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459" w:tblpY="-145"/>
        <w:tblW w:w="10040" w:type="dxa"/>
        <w:tblInd w:w="0" w:type="dxa"/>
        <w:tblLayout w:type="fixed"/>
        <w:tblCellMar>
          <w:top w:w="0" w:type="dxa"/>
          <w:left w:w="108" w:type="dxa"/>
          <w:bottom w:w="0" w:type="dxa"/>
          <w:right w:w="108" w:type="dxa"/>
        </w:tblCellMar>
      </w:tblPr>
      <w:tblGrid>
        <w:gridCol w:w="4786"/>
        <w:gridCol w:w="5254"/>
      </w:tblGrid>
      <w:tr w14:paraId="41AE6E80">
        <w:tblPrEx>
          <w:tblCellMar>
            <w:top w:w="0" w:type="dxa"/>
            <w:left w:w="108" w:type="dxa"/>
            <w:bottom w:w="0" w:type="dxa"/>
            <w:right w:w="108" w:type="dxa"/>
          </w:tblCellMar>
        </w:tblPrEx>
        <w:trPr>
          <w:trHeight w:val="1260" w:hRule="atLeast"/>
        </w:trPr>
        <w:tc>
          <w:tcPr>
            <w:tcW w:w="4786" w:type="dxa"/>
            <w:vAlign w:val="center"/>
          </w:tcPr>
          <w:p w14:paraId="390890F7">
            <w:pP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CÔNG TY CỔ PHẦN DỊCH VỤ TƯ VẤN</w:t>
            </w:r>
            <w:r>
              <w:rPr>
                <w:b/>
                <w:bCs/>
                <w:color w:val="000000" w:themeColor="text1"/>
                <w:sz w:val="26"/>
                <w:szCs w:val="26"/>
                <w:lang w:val="vi-VN"/>
                <w14:textFill>
                  <w14:solidFill>
                    <w14:schemeClr w14:val="tx1"/>
                  </w14:solidFill>
                </w14:textFill>
              </w:rPr>
              <w:t xml:space="preserve"> VÀ </w:t>
            </w:r>
            <w:r>
              <w:rPr>
                <w:b/>
                <w:bCs/>
                <w:color w:val="000000" w:themeColor="text1"/>
                <w:sz w:val="26"/>
                <w:szCs w:val="26"/>
                <w14:textFill>
                  <w14:solidFill>
                    <w14:schemeClr w14:val="tx1"/>
                  </w14:solidFill>
                </w14:textFill>
              </w:rPr>
              <w:t>THẨM ĐỊNH GIÁ VIỆT NAM</w:t>
            </w:r>
          </w:p>
          <w:p w14:paraId="18AE36CA">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w:t>
            </w:r>
          </w:p>
          <w:p w14:paraId="6E789BCD">
            <w:pPr>
              <w:spacing w:before="120" w:after="12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Số:</w:t>
            </w:r>
            <w:bookmarkStart w:id="0" w:name="_Hlk150372713"/>
            <w:r>
              <w:rPr>
                <w:bCs/>
                <w:color w:val="000000" w:themeColor="text1"/>
                <w:sz w:val="26"/>
                <w:szCs w:val="26"/>
                <w:lang w:val="vi-VN"/>
                <w14:textFill>
                  <w14:solidFill>
                    <w14:schemeClr w14:val="tx1"/>
                  </w14:solidFill>
                </w14:textFill>
              </w:rPr>
              <w:t xml:space="preserve"> </w:t>
            </w:r>
            <w:r>
              <w:t xml:space="preserve"> </w:t>
            </w:r>
            <w:r>
              <w:rPr>
                <w:bCs/>
                <w:color w:val="000000" w:themeColor="text1"/>
                <w:sz w:val="26"/>
                <w:szCs w:val="26"/>
                <w14:textFill>
                  <w14:solidFill>
                    <w14:schemeClr w14:val="tx1"/>
                  </w14:solidFill>
                </w14:textFill>
              </w:rPr>
              <w:t>2507.01/2025/451-BC</w:t>
            </w:r>
            <w:bookmarkEnd w:id="0"/>
          </w:p>
        </w:tc>
        <w:tc>
          <w:tcPr>
            <w:tcW w:w="5254" w:type="dxa"/>
            <w:vAlign w:val="center"/>
          </w:tcPr>
          <w:p w14:paraId="23FDFF0F">
            <w:pPr>
              <w:pStyle w:val="7"/>
              <w:rPr>
                <w:rFonts w:cs="Times New Roman"/>
                <w:color w:val="000000" w:themeColor="text1"/>
                <w:spacing w:val="-12"/>
                <w:szCs w:val="26"/>
                <w14:textFill>
                  <w14:solidFill>
                    <w14:schemeClr w14:val="tx1"/>
                  </w14:solidFill>
                </w14:textFill>
              </w:rPr>
            </w:pPr>
            <w:r>
              <w:rPr>
                <w:rFonts w:cs="Times New Roman"/>
                <w:color w:val="000000" w:themeColor="text1"/>
                <w:spacing w:val="-12"/>
                <w:szCs w:val="26"/>
                <w14:textFill>
                  <w14:solidFill>
                    <w14:schemeClr w14:val="tx1"/>
                  </w14:solidFill>
                </w14:textFill>
              </w:rPr>
              <w:t>CỘNG HOÀ XÃ HỘI CHỦ NGHĨA VIỆT NAM</w:t>
            </w:r>
          </w:p>
          <w:p w14:paraId="622EB864">
            <w:pPr>
              <w:jc w:val="center"/>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Độc Lập - Tự Do - Hạnh Phúc</w:t>
            </w:r>
          </w:p>
          <w:p w14:paraId="3564BB48">
            <w:pPr>
              <w:spacing w:before="120" w:after="120"/>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w:t>
            </w:r>
          </w:p>
          <w:p w14:paraId="747182A8">
            <w:pPr>
              <w:spacing w:before="120" w:after="120"/>
              <w:jc w:val="center"/>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Hà Nội, ngày 25 tháng 07 năm 2025</w:t>
            </w:r>
          </w:p>
        </w:tc>
      </w:tr>
    </w:tbl>
    <w:p w14:paraId="51B4CD30">
      <w:pPr>
        <w:tabs>
          <w:tab w:val="left" w:pos="4890"/>
        </w:tabs>
        <w:spacing w:before="120" w:after="120"/>
        <w:jc w:val="center"/>
        <w:rPr>
          <w:b/>
          <w:color w:val="000000" w:themeColor="text1"/>
          <w:sz w:val="26"/>
          <w:szCs w:val="26"/>
          <w14:textFill>
            <w14:solidFill>
              <w14:schemeClr w14:val="tx1"/>
            </w14:solidFill>
          </w14:textFill>
        </w:rPr>
      </w:pPr>
    </w:p>
    <w:p w14:paraId="17C99C48">
      <w:pPr>
        <w:autoSpaceDE w:val="0"/>
        <w:autoSpaceDN w:val="0"/>
        <w:adjustRightInd w:val="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BÁO CÁO THUYẾT MINH ĐỊNH GIÁ ĐẤT </w:t>
      </w:r>
    </w:p>
    <w:p w14:paraId="34AD9C24">
      <w:pPr>
        <w:autoSpaceDE w:val="0"/>
        <w:autoSpaceDN w:val="0"/>
        <w:adjustRightInd w:val="0"/>
        <w:jc w:val="center"/>
        <w:rPr>
          <w:bCs/>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w:t>
      </w:r>
      <w:r>
        <w:rPr>
          <w:bCs/>
          <w:i/>
          <w:color w:val="000000" w:themeColor="text1"/>
          <w:sz w:val="26"/>
          <w:szCs w:val="26"/>
          <w14:textFill>
            <w14:solidFill>
              <w14:schemeClr w14:val="tx1"/>
            </w14:solidFill>
          </w14:textFill>
        </w:rPr>
        <w:t>Kèm theo Dự thảo Chứng thư định giá số 2507.01/2025/451-DTCT ngày 25/07/2025</w:t>
      </w:r>
    </w:p>
    <w:p w14:paraId="034BE8E6">
      <w:pPr>
        <w:jc w:val="center"/>
        <w:rPr>
          <w:i/>
          <w:color w:val="000000" w:themeColor="text1"/>
          <w:sz w:val="26"/>
          <w:szCs w:val="26"/>
          <w14:textFill>
            <w14:solidFill>
              <w14:schemeClr w14:val="tx1"/>
            </w14:solidFill>
          </w14:textFill>
        </w:rPr>
      </w:pPr>
      <w:r>
        <w:rPr>
          <w:bCs/>
          <w:i/>
          <w:color w:val="000000" w:themeColor="text1"/>
          <w:sz w:val="26"/>
          <w:szCs w:val="26"/>
          <w14:textFill>
            <w14:solidFill>
              <w14:schemeClr w14:val="tx1"/>
            </w14:solidFill>
          </w14:textFill>
        </w:rPr>
        <w:t>của Công ty Cổ phần Dịch vụ Tư vấn và Thẩm định giá Việt Nam</w:t>
      </w:r>
      <w:r>
        <w:rPr>
          <w:i/>
          <w:color w:val="000000" w:themeColor="text1"/>
          <w:sz w:val="26"/>
          <w:szCs w:val="26"/>
          <w14:textFill>
            <w14:solidFill>
              <w14:schemeClr w14:val="tx1"/>
            </w14:solidFill>
          </w14:textFill>
        </w:rPr>
        <w:t>)</w:t>
      </w:r>
    </w:p>
    <w:p w14:paraId="6E54ACC5">
      <w:pPr>
        <w:tabs>
          <w:tab w:val="left" w:pos="4890"/>
        </w:tabs>
        <w:spacing w:before="120" w:after="120"/>
        <w:jc w:val="center"/>
        <w:rPr>
          <w:color w:val="000000" w:themeColor="text1"/>
          <w:sz w:val="26"/>
          <w:szCs w:val="26"/>
          <w14:textFill>
            <w14:solidFill>
              <w14:schemeClr w14:val="tx1"/>
            </w14:solidFill>
          </w14:textFill>
        </w:rPr>
      </w:pPr>
    </w:p>
    <w:p w14:paraId="6A79668B">
      <w:pPr>
        <w:tabs>
          <w:tab w:val="left" w:pos="4890"/>
        </w:tabs>
        <w:spacing w:before="120" w:after="12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 CÁC THÔNG TIN VỀ DOANH NGHIỆP THẨM</w:t>
      </w:r>
      <w:r>
        <w:rPr>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ĐỊNH GIÁ</w:t>
      </w:r>
    </w:p>
    <w:p w14:paraId="4E5FC5A0">
      <w:pPr>
        <w:tabs>
          <w:tab w:val="left" w:pos="4890"/>
        </w:tabs>
        <w:spacing w:before="120" w:after="120"/>
        <w:ind w:firstLine="567"/>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Tên công ty:</w:t>
      </w:r>
      <w:r>
        <w:rPr>
          <w:color w:val="000000" w:themeColor="text1"/>
          <w:sz w:val="26"/>
          <w:szCs w:val="26"/>
          <w14:textFill>
            <w14:solidFill>
              <w14:schemeClr w14:val="tx1"/>
            </w14:solidFill>
          </w14:textFill>
        </w:rPr>
        <w:t xml:space="preserve"> </w:t>
      </w:r>
      <w:r>
        <w:rPr>
          <w:b/>
          <w:bCs/>
          <w:color w:val="000000" w:themeColor="text1"/>
          <w:sz w:val="26"/>
          <w:szCs w:val="26"/>
          <w14:textFill>
            <w14:solidFill>
              <w14:schemeClr w14:val="tx1"/>
            </w14:solidFill>
          </w14:textFill>
        </w:rPr>
        <w:t>Công ty Cổ phần Dịch vụ Tư vấn và Thẩm định giá Việt Nam (gọi tắt là VCVS)</w:t>
      </w:r>
    </w:p>
    <w:p w14:paraId="4B2D70E1">
      <w:pPr>
        <w:tabs>
          <w:tab w:val="left" w:pos="4890"/>
        </w:tabs>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Trụ sở tại: Số</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58</w:t>
      </w:r>
      <w:r>
        <w:rPr>
          <w:color w:val="000000" w:themeColor="text1"/>
          <w:sz w:val="26"/>
          <w:szCs w:val="26"/>
          <w:lang w:val="vi-VN"/>
          <w14:textFill>
            <w14:solidFill>
              <w14:schemeClr w14:val="tx1"/>
            </w14:solidFill>
          </w14:textFill>
        </w:rPr>
        <w:t xml:space="preserve"> Ngõ 13 Đường 800A, Phường Nghĩa Đô, Quận Cầu Giấy</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Thành phố.</w:t>
      </w:r>
      <w:r>
        <w:rPr>
          <w:color w:val="000000" w:themeColor="text1"/>
          <w:sz w:val="26"/>
          <w:szCs w:val="26"/>
          <w14:textFill>
            <w14:solidFill>
              <w14:schemeClr w14:val="tx1"/>
            </w14:solidFill>
          </w14:textFill>
        </w:rPr>
        <w:t xml:space="preserve"> Hà Nội</w:t>
      </w:r>
    </w:p>
    <w:p w14:paraId="295034D7">
      <w:pPr>
        <w:tabs>
          <w:tab w:val="left" w:pos="4890"/>
        </w:tabs>
        <w:spacing w:before="120" w:after="120"/>
        <w:ind w:firstLine="567"/>
        <w:rPr>
          <w:color w:val="000000" w:themeColor="text1"/>
          <w:sz w:val="26"/>
          <w:szCs w:val="26"/>
          <w:lang w:val="vi-VN" w:eastAsia="vi-VN"/>
          <w14:textFill>
            <w14:solidFill>
              <w14:schemeClr w14:val="tx1"/>
            </w14:solidFill>
          </w14:textFill>
        </w:rPr>
      </w:pPr>
      <w:r>
        <w:rPr>
          <w:color w:val="000000" w:themeColor="text1"/>
          <w:sz w:val="26"/>
          <w:szCs w:val="26"/>
          <w14:textFill>
            <w14:solidFill>
              <w14:schemeClr w14:val="tx1"/>
            </w14:solidFill>
          </w14:textFill>
        </w:rPr>
        <w:t xml:space="preserve">- Điện thoại: </w:t>
      </w:r>
      <w:r>
        <w:rPr>
          <w:color w:val="000000" w:themeColor="text1"/>
          <w:sz w:val="26"/>
          <w:szCs w:val="26"/>
          <w:lang w:val="vi-VN" w:eastAsia="vi-VN"/>
          <w14:textFill>
            <w14:solidFill>
              <w14:schemeClr w14:val="tx1"/>
            </w14:solidFill>
          </w14:textFill>
        </w:rPr>
        <w:t>024.3350.9198</w:t>
      </w:r>
    </w:p>
    <w:p w14:paraId="0507F26D">
      <w:pPr>
        <w:tabs>
          <w:tab w:val="left" w:pos="4890"/>
        </w:tabs>
        <w:spacing w:before="120" w:after="120"/>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II. THÔNG TIN CƠ BẢN VỀ CUỘC ĐỊNH GIÁ</w:t>
      </w:r>
    </w:p>
    <w:p w14:paraId="1CEBFCAB">
      <w:pPr>
        <w:tabs>
          <w:tab w:val="left" w:pos="4890"/>
          <w:tab w:val="left" w:leader="dot" w:pos="8640"/>
        </w:tabs>
        <w:spacing w:before="120" w:after="120" w:line="360" w:lineRule="exact"/>
        <w:ind w:firstLine="567"/>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 Thông tin về khách hàng yêu cầu định giá:</w:t>
      </w:r>
    </w:p>
    <w:p w14:paraId="27B55CBC">
      <w:pPr>
        <w:tabs>
          <w:tab w:val="left" w:pos="4890"/>
          <w:tab w:val="left" w:leader="dot" w:pos="8640"/>
        </w:tabs>
        <w:spacing w:before="120" w:after="120" w:line="360" w:lineRule="exact"/>
        <w:ind w:firstLine="567"/>
        <w:jc w:val="center"/>
        <w:rPr>
          <w:b/>
          <w:color w:val="000000" w:themeColor="text1"/>
          <w:sz w:val="26"/>
          <w:szCs w:val="26"/>
          <w:lang w:val="vi-VN"/>
          <w14:textFill>
            <w14:solidFill>
              <w14:schemeClr w14:val="tx1"/>
            </w14:solidFill>
          </w14:textFill>
        </w:rPr>
      </w:pPr>
      <w:r>
        <w:rPr>
          <w:b/>
          <w:color w:val="000000" w:themeColor="text1"/>
          <w:spacing w:val="-6"/>
          <w:sz w:val="26"/>
          <w:szCs w:val="26"/>
          <w:lang w:val="da-DK"/>
          <w14:textFill>
            <w14:solidFill>
              <w14:schemeClr w14:val="tx1"/>
            </w14:solidFill>
          </w14:textFill>
        </w:rPr>
        <w:t>Sở Nông nghiệp và Môi trường tỉnh Lạng Sơn</w:t>
      </w:r>
    </w:p>
    <w:tbl>
      <w:tblPr>
        <w:tblStyle w:val="9"/>
        <w:tblW w:w="8211" w:type="dxa"/>
        <w:jc w:val="center"/>
        <w:tblLayout w:type="autofit"/>
        <w:tblCellMar>
          <w:top w:w="0" w:type="dxa"/>
          <w:left w:w="108" w:type="dxa"/>
          <w:bottom w:w="0" w:type="dxa"/>
          <w:right w:w="108" w:type="dxa"/>
        </w:tblCellMar>
      </w:tblPr>
      <w:tblGrid>
        <w:gridCol w:w="8211"/>
      </w:tblGrid>
      <w:tr w14:paraId="52704697">
        <w:tblPrEx>
          <w:tblCellMar>
            <w:top w:w="0" w:type="dxa"/>
            <w:left w:w="108" w:type="dxa"/>
            <w:bottom w:w="0" w:type="dxa"/>
            <w:right w:w="108" w:type="dxa"/>
          </w:tblCellMar>
        </w:tblPrEx>
        <w:trPr>
          <w:trHeight w:val="471" w:hRule="atLeast"/>
          <w:jc w:val="center"/>
        </w:trPr>
        <w:tc>
          <w:tcPr>
            <w:tcW w:w="8211" w:type="dxa"/>
            <w:vAlign w:val="center"/>
          </w:tcPr>
          <w:p w14:paraId="4E3EAEC1">
            <w:pPr>
              <w:spacing w:before="40" w:after="40" w:line="245" w:lineRule="auto"/>
              <w:jc w:val="both"/>
              <w:rPr>
                <w:color w:val="000000"/>
                <w:sz w:val="26"/>
                <w:szCs w:val="26"/>
                <w:lang w:val="pt-BR" w:eastAsia="vi-VN"/>
              </w:rPr>
            </w:pPr>
            <w:r>
              <w:rPr>
                <w:color w:val="000000"/>
                <w:sz w:val="26"/>
                <w:szCs w:val="26"/>
                <w:lang w:val="pt-BR"/>
              </w:rPr>
              <w:t xml:space="preserve">- Địa chỉ: </w:t>
            </w:r>
            <w:r>
              <w:rPr>
                <w:sz w:val="26"/>
                <w:szCs w:val="26"/>
                <w:lang w:val="da-DK"/>
              </w:rPr>
              <w:t>Số 118, đường Ba Sơn, xã Hoàng Đồng, tỉnh Lạng Sơn</w:t>
            </w:r>
            <w:r>
              <w:rPr>
                <w:color w:val="000000"/>
                <w:sz w:val="26"/>
                <w:szCs w:val="26"/>
                <w:lang w:val="pt-BR" w:eastAsia="vi-VN"/>
              </w:rPr>
              <w:t>.</w:t>
            </w:r>
          </w:p>
          <w:p w14:paraId="55C300AC">
            <w:pPr>
              <w:spacing w:before="40" w:after="40" w:line="245" w:lineRule="auto"/>
              <w:jc w:val="both"/>
              <w:rPr>
                <w:color w:val="000000"/>
                <w:sz w:val="26"/>
                <w:szCs w:val="26"/>
                <w:lang w:val="pt-BR"/>
              </w:rPr>
            </w:pPr>
            <w:r>
              <w:rPr>
                <w:color w:val="000000"/>
                <w:sz w:val="26"/>
                <w:szCs w:val="26"/>
                <w:lang w:val="pt-BR"/>
              </w:rPr>
              <w:t xml:space="preserve">- Điện thoại: </w:t>
            </w:r>
            <w:r>
              <w:rPr>
                <w:color w:val="000000"/>
                <w:sz w:val="26"/>
                <w:szCs w:val="26"/>
                <w:lang w:val="pt-BR" w:eastAsia="vi-VN"/>
              </w:rPr>
              <w:t xml:space="preserve">02053.870.353      </w:t>
            </w:r>
          </w:p>
          <w:p w14:paraId="34FDA92A">
            <w:pPr>
              <w:widowControl w:val="0"/>
              <w:spacing w:after="40" w:line="288" w:lineRule="auto"/>
              <w:jc w:val="both"/>
              <w:rPr>
                <w:rFonts w:eastAsia="Calibri"/>
                <w:color w:val="000000"/>
                <w:sz w:val="26"/>
                <w:szCs w:val="26"/>
                <w:lang w:val="pt-BR" w:eastAsia="vi-VN"/>
              </w:rPr>
            </w:pPr>
            <w:r>
              <w:rPr>
                <w:rFonts w:eastAsia="Calibri"/>
                <w:color w:val="000000"/>
                <w:sz w:val="26"/>
                <w:szCs w:val="26"/>
                <w:lang w:val="pt-BR"/>
              </w:rPr>
              <w:t xml:space="preserve">- Số Tài khoản: </w:t>
            </w:r>
            <w:r>
              <w:rPr>
                <w:rFonts w:eastAsia="Calibri"/>
                <w:color w:val="000000"/>
                <w:sz w:val="26"/>
                <w:szCs w:val="26"/>
                <w:lang w:val="pt-BR" w:eastAsia="vi-VN"/>
              </w:rPr>
              <w:t>9527.2.1135220 tại Phòng Giao dịch số 16 – Kho bạc nhà nước khu vực VI.</w:t>
            </w:r>
          </w:p>
          <w:p w14:paraId="2886B23B">
            <w:pPr>
              <w:widowControl w:val="0"/>
              <w:spacing w:before="40" w:after="40" w:line="245" w:lineRule="auto"/>
              <w:jc w:val="both"/>
              <w:rPr>
                <w:color w:val="000000"/>
                <w:sz w:val="28"/>
                <w:szCs w:val="28"/>
                <w:lang w:val="pt-BR"/>
              </w:rPr>
            </w:pPr>
            <w:r>
              <w:rPr>
                <w:color w:val="000000"/>
                <w:sz w:val="26"/>
                <w:szCs w:val="26"/>
                <w:lang w:val="pt-BR"/>
              </w:rPr>
              <w:t xml:space="preserve">- Mã số thuế: </w:t>
            </w:r>
            <w:r>
              <w:rPr>
                <w:color w:val="000000"/>
                <w:sz w:val="26"/>
                <w:szCs w:val="26"/>
                <w:lang w:val="pt-BR" w:eastAsia="vi-VN"/>
              </w:rPr>
              <w:t>4900921145</w:t>
            </w:r>
            <w:r>
              <w:rPr>
                <w:color w:val="000000"/>
                <w:sz w:val="26"/>
                <w:szCs w:val="26"/>
                <w:lang w:val="pt-BR"/>
              </w:rPr>
              <w:t>.</w:t>
            </w:r>
          </w:p>
        </w:tc>
      </w:tr>
    </w:tbl>
    <w:p w14:paraId="423E837A">
      <w:pPr>
        <w:tabs>
          <w:tab w:val="left" w:pos="4890"/>
          <w:tab w:val="left" w:leader="dot" w:pos="9180"/>
        </w:tabs>
        <w:spacing w:before="120" w:after="120" w:line="380" w:lineRule="exact"/>
        <w:ind w:firstLine="567"/>
        <w:jc w:val="both"/>
        <w:rPr>
          <w:b/>
          <w:color w:val="000000" w:themeColor="text1"/>
          <w:sz w:val="26"/>
          <w:szCs w:val="26"/>
          <w:lang w:val="da-DK"/>
          <w14:textFill>
            <w14:solidFill>
              <w14:schemeClr w14:val="tx1"/>
            </w14:solidFill>
          </w14:textFill>
        </w:rPr>
      </w:pPr>
      <w:bookmarkStart w:id="1" w:name="_Hlk136498790"/>
      <w:r>
        <w:rPr>
          <w:b/>
          <w:color w:val="000000" w:themeColor="text1"/>
          <w:sz w:val="26"/>
          <w:szCs w:val="26"/>
          <w:lang w:val="da-DK"/>
          <w14:textFill>
            <w14:solidFill>
              <w14:schemeClr w14:val="tx1"/>
            </w14:solidFill>
          </w14:textFill>
        </w:rPr>
        <w:t>2. Thửa đất, khu đất cần định giá</w:t>
      </w:r>
    </w:p>
    <w:p w14:paraId="7346AF0B">
      <w:pPr>
        <w:widowControl w:val="0"/>
        <w:spacing w:before="120" w:after="120" w:line="380" w:lineRule="exact"/>
        <w:ind w:firstLine="567"/>
        <w:jc w:val="both"/>
        <w:rPr>
          <w:bCs/>
          <w:iCs/>
          <w:color w:val="000000" w:themeColor="text1"/>
          <w:spacing w:val="-4"/>
          <w:sz w:val="26"/>
          <w:szCs w:val="26"/>
          <w:lang w:val="da-DK"/>
          <w14:textFill>
            <w14:solidFill>
              <w14:schemeClr w14:val="tx1"/>
            </w14:solidFill>
          </w14:textFill>
        </w:rPr>
      </w:pPr>
      <w:bookmarkStart w:id="2" w:name="_Hlk171919284"/>
      <w:r>
        <w:rPr>
          <w:bCs/>
          <w:iCs/>
          <w:color w:val="000000" w:themeColor="text1"/>
          <w:spacing w:val="-4"/>
          <w:sz w:val="26"/>
          <w:szCs w:val="26"/>
          <w:lang w:val="vi-VN"/>
          <w14:textFill>
            <w14:solidFill>
              <w14:schemeClr w14:val="tx1"/>
            </w14:solidFill>
          </w14:textFill>
        </w:rPr>
        <w:t>Tài sản định giá:</w:t>
      </w:r>
      <w:r>
        <w:rPr>
          <w:bCs/>
          <w:iCs/>
          <w:color w:val="000000" w:themeColor="text1"/>
          <w:spacing w:val="-4"/>
          <w:sz w:val="26"/>
          <w:szCs w:val="26"/>
          <w:lang w:val="da-DK"/>
          <w14:textFill>
            <w14:solidFill>
              <w14:schemeClr w14:val="tx1"/>
            </w14:solidFill>
          </w14:textFill>
        </w:rPr>
        <w:t xml:space="preserve"> Xác định giá đất cụ thể, tính thu tiền sử dụng đất khi Nhà nước giao đất cho Liên danh Công ty Cổ phần Đầu tư xây dựng hạ tầng Chi Lăng và Công ty Cổ phần Tập đoàn BGI</w:t>
      </w:r>
      <w:r>
        <w:rPr>
          <w:bCs/>
          <w:iCs/>
          <w:color w:val="000000" w:themeColor="text1"/>
          <w:spacing w:val="-4"/>
          <w:sz w:val="26"/>
          <w:szCs w:val="26"/>
          <w:lang w:val="vi-VN"/>
          <w14:textFill>
            <w14:solidFill>
              <w14:schemeClr w14:val="tx1"/>
            </w14:solidFill>
          </w14:textFill>
        </w:rPr>
        <w:t xml:space="preserve"> </w:t>
      </w:r>
      <w:r>
        <w:rPr>
          <w:bCs/>
          <w:iCs/>
          <w:color w:val="000000" w:themeColor="text1"/>
          <w:spacing w:val="-4"/>
          <w:sz w:val="26"/>
          <w:szCs w:val="26"/>
          <w:lang w:val="da-DK"/>
          <w14:textFill>
            <w14:solidFill>
              <w14:schemeClr w14:val="tx1"/>
            </w14:solidFill>
          </w14:textFill>
        </w:rPr>
        <w:t xml:space="preserve">để thực hiện Dự án: Khu đô thị phía Đông Nam thị trấn Đồng Mỏ (nay là xã Chi Lăng, tỉnh Lạng Sơn). Trong đó Diện tích giao đất có thu tiền sử dụng đất (đợt 1): </w:t>
      </w:r>
      <w:r>
        <w:rPr>
          <w:b/>
          <w:i/>
          <w:color w:val="000000" w:themeColor="text1"/>
          <w:spacing w:val="-4"/>
          <w:sz w:val="26"/>
          <w:szCs w:val="26"/>
          <w:lang w:val="da-DK"/>
          <w14:textFill>
            <w14:solidFill>
              <w14:schemeClr w14:val="tx1"/>
            </w14:solidFill>
          </w14:textFill>
        </w:rPr>
        <w:t>34.702,20m2</w:t>
      </w:r>
      <w:r>
        <w:rPr>
          <w:bCs/>
          <w:i/>
          <w:color w:val="000000" w:themeColor="text1"/>
          <w:spacing w:val="-4"/>
          <w:sz w:val="26"/>
          <w:szCs w:val="26"/>
          <w:lang w:val="da-DK"/>
          <w14:textFill>
            <w14:solidFill>
              <w14:schemeClr w14:val="tx1"/>
            </w14:solidFill>
          </w14:textFill>
        </w:rPr>
        <w:t xml:space="preserve"> (Tại quyết định 86/QĐ-UBND ngày 09 tháng 01 năm 2025 của UBND tỉnh Lạng Sơn).</w:t>
      </w:r>
    </w:p>
    <w:bookmarkEnd w:id="2"/>
    <w:p w14:paraId="79B61D06">
      <w:pPr>
        <w:spacing w:before="120" w:after="120" w:line="380" w:lineRule="exact"/>
        <w:ind w:firstLine="567"/>
        <w:jc w:val="both"/>
        <w:rPr>
          <w:b/>
          <w:color w:val="000000" w:themeColor="text1"/>
          <w:sz w:val="26"/>
          <w:szCs w:val="26"/>
          <w:lang w:val="da-DK"/>
          <w14:textFill>
            <w14:solidFill>
              <w14:schemeClr w14:val="tx1"/>
            </w14:solidFill>
          </w14:textFill>
        </w:rPr>
      </w:pPr>
      <w:r>
        <w:rPr>
          <w:b/>
          <w:color w:val="000000" w:themeColor="text1"/>
          <w:sz w:val="26"/>
          <w:szCs w:val="26"/>
          <w:lang w:val="da-DK"/>
          <w14:textFill>
            <w14:solidFill>
              <w14:schemeClr w14:val="tx1"/>
            </w14:solidFill>
          </w14:textFill>
        </w:rPr>
        <w:t xml:space="preserve">3. Mục đích định giá đất: </w:t>
      </w:r>
    </w:p>
    <w:p w14:paraId="5A845BE6">
      <w:pPr>
        <w:widowControl w:val="0"/>
        <w:spacing w:before="120" w:after="120" w:line="380" w:lineRule="exact"/>
        <w:ind w:firstLine="567"/>
        <w:jc w:val="both"/>
        <w:rPr>
          <w:bCs/>
          <w:iCs/>
          <w:color w:val="000000" w:themeColor="text1"/>
          <w:spacing w:val="-8"/>
          <w:sz w:val="26"/>
          <w:szCs w:val="26"/>
          <w:lang w:val="da-DK"/>
          <w14:textFill>
            <w14:solidFill>
              <w14:schemeClr w14:val="tx1"/>
            </w14:solidFill>
          </w14:textFill>
        </w:rPr>
      </w:pPr>
      <w:bookmarkStart w:id="3" w:name="_Hlk203552719"/>
      <w:bookmarkStart w:id="4" w:name="_Hlk171919254"/>
      <w:r>
        <w:rPr>
          <w:bCs/>
          <w:iCs/>
          <w:color w:val="000000" w:themeColor="text1"/>
          <w:sz w:val="26"/>
          <w:szCs w:val="26"/>
          <w:lang w:val="vi-VN"/>
          <w14:textFill>
            <w14:solidFill>
              <w14:schemeClr w14:val="tx1"/>
            </w14:solidFill>
          </w14:textFill>
        </w:rPr>
        <w:t xml:space="preserve">Kết quả </w:t>
      </w:r>
      <w:r>
        <w:rPr>
          <w:bCs/>
          <w:iCs/>
          <w:color w:val="000000" w:themeColor="text1"/>
          <w:sz w:val="26"/>
          <w:szCs w:val="26"/>
          <w:lang w:val="da-DK"/>
          <w14:textFill>
            <w14:solidFill>
              <w14:schemeClr w14:val="tx1"/>
            </w14:solidFill>
          </w14:textFill>
        </w:rPr>
        <w:t xml:space="preserve">xác </w:t>
      </w:r>
      <w:r>
        <w:rPr>
          <w:bCs/>
          <w:iCs/>
          <w:color w:val="000000" w:themeColor="text1"/>
          <w:sz w:val="26"/>
          <w:szCs w:val="26"/>
          <w:lang w:val="vi-VN"/>
          <w14:textFill>
            <w14:solidFill>
              <w14:schemeClr w14:val="tx1"/>
            </w14:solidFill>
          </w14:textFill>
        </w:rPr>
        <w:t>định giá</w:t>
      </w:r>
      <w:r>
        <w:rPr>
          <w:bCs/>
          <w:iCs/>
          <w:color w:val="000000" w:themeColor="text1"/>
          <w:sz w:val="26"/>
          <w:szCs w:val="26"/>
          <w:lang w:val="da-DK"/>
          <w14:textFill>
            <w14:solidFill>
              <w14:schemeClr w14:val="tx1"/>
            </w14:solidFill>
          </w14:textFill>
        </w:rPr>
        <w:t xml:space="preserve"> đất cụ thể</w:t>
      </w:r>
      <w:r>
        <w:rPr>
          <w:bCs/>
          <w:iCs/>
          <w:color w:val="000000" w:themeColor="text1"/>
          <w:sz w:val="26"/>
          <w:szCs w:val="26"/>
          <w:lang w:val="vi-VN"/>
          <w14:textFill>
            <w14:solidFill>
              <w14:schemeClr w14:val="tx1"/>
            </w14:solidFill>
          </w14:textFill>
        </w:rPr>
        <w:t xml:space="preserve"> được sử dụng là một trong những căn cứ</w:t>
      </w:r>
      <w:r>
        <w:rPr>
          <w:bCs/>
          <w:iCs/>
          <w:color w:val="000000" w:themeColor="text1"/>
          <w:sz w:val="26"/>
          <w:szCs w:val="26"/>
          <w:lang w:val="da-DK"/>
          <w14:textFill>
            <w14:solidFill>
              <w14:schemeClr w14:val="tx1"/>
            </w14:solidFill>
          </w14:textFill>
        </w:rPr>
        <w:t xml:space="preserve"> để </w:t>
      </w:r>
      <w:r>
        <w:rPr>
          <w:bCs/>
          <w:iCs/>
          <w:color w:val="000000" w:themeColor="text1"/>
          <w:sz w:val="26"/>
          <w:szCs w:val="26"/>
          <w:lang w:val="vi-VN"/>
          <w14:textFill>
            <w14:solidFill>
              <w14:schemeClr w14:val="tx1"/>
            </w14:solidFill>
          </w14:textFill>
        </w:rPr>
        <w:t>Sở Nông nghiệp và Môi trường tỉnh Lạng Sơn</w:t>
      </w:r>
      <w:r>
        <w:rPr>
          <w:bCs/>
          <w:iCs/>
          <w:color w:val="000000" w:themeColor="text1"/>
          <w:sz w:val="26"/>
          <w:szCs w:val="26"/>
          <w:lang w:val="da-DK"/>
          <w14:textFill>
            <w14:solidFill>
              <w14:schemeClr w14:val="tx1"/>
            </w14:solidFill>
          </w14:textFill>
        </w:rPr>
        <w:t xml:space="preserve"> và các cơ quan liên quan</w:t>
      </w:r>
      <w:r>
        <w:rPr>
          <w:bCs/>
          <w:iCs/>
          <w:color w:val="000000" w:themeColor="text1"/>
          <w:sz w:val="26"/>
          <w:szCs w:val="26"/>
          <w:lang w:val="vi-VN"/>
          <w14:textFill>
            <w14:solidFill>
              <w14:schemeClr w14:val="tx1"/>
            </w14:solidFill>
          </w14:textFill>
        </w:rPr>
        <w:t xml:space="preserve"> tham khảo, trình cơ quan có thẩm quyền phê duyệt giá đất tính thu tiền sử dụng đất khi Nhà nước quyết định giao đất</w:t>
      </w:r>
      <w:r>
        <w:rPr>
          <w:bCs/>
          <w:iCs/>
          <w:color w:val="000000" w:themeColor="text1"/>
          <w:sz w:val="26"/>
          <w:szCs w:val="26"/>
          <w:lang w:val="da-DK"/>
          <w14:textFill>
            <w14:solidFill>
              <w14:schemeClr w14:val="tx1"/>
            </w14:solidFill>
          </w14:textFill>
        </w:rPr>
        <w:t xml:space="preserve"> </w:t>
      </w:r>
      <w:r>
        <w:rPr>
          <w:bCs/>
          <w:iCs/>
          <w:color w:val="000000" w:themeColor="text1"/>
          <w:sz w:val="26"/>
          <w:szCs w:val="26"/>
          <w:lang w:val="vi-VN"/>
          <w14:textFill>
            <w14:solidFill>
              <w14:schemeClr w14:val="tx1"/>
            </w14:solidFill>
          </w14:textFill>
        </w:rPr>
        <w:t>cho Liên danh Công ty Cổ phần Đầu tư xây dựng hạ tầng Chi Lăng và Công ty Cổ phần Tập đoàn BGI để thực hiện dự án Khu đô thị phía Đông Nam thị trấn Đồng Mỏ</w:t>
      </w:r>
      <w:r>
        <w:rPr>
          <w:bCs/>
          <w:iCs/>
          <w:color w:val="000000" w:themeColor="text1"/>
          <w:sz w:val="26"/>
          <w:szCs w:val="26"/>
          <w:lang w:val="da-DK"/>
          <w14:textFill>
            <w14:solidFill>
              <w14:schemeClr w14:val="tx1"/>
            </w14:solidFill>
          </w14:textFill>
        </w:rPr>
        <w:t xml:space="preserve"> (nay là xã Chi Lăng, tỉnh Lạng Sơn) theo quy định pháp luật</w:t>
      </w:r>
      <w:bookmarkEnd w:id="3"/>
      <w:r>
        <w:rPr>
          <w:bCs/>
          <w:iCs/>
          <w:color w:val="000000" w:themeColor="text1"/>
          <w:spacing w:val="-8"/>
          <w:sz w:val="26"/>
          <w:szCs w:val="26"/>
          <w:lang w:val="da-DK"/>
          <w14:textFill>
            <w14:solidFill>
              <w14:schemeClr w14:val="tx1"/>
            </w14:solidFill>
          </w14:textFill>
        </w:rPr>
        <w:t>.</w:t>
      </w:r>
    </w:p>
    <w:bookmarkEnd w:id="4"/>
    <w:p w14:paraId="5290584A">
      <w:pPr>
        <w:tabs>
          <w:tab w:val="left" w:pos="360"/>
        </w:tabs>
        <w:spacing w:before="120" w:after="120" w:line="380" w:lineRule="exact"/>
        <w:ind w:firstLine="567"/>
        <w:jc w:val="both"/>
        <w:rPr>
          <w:color w:val="000000" w:themeColor="text1"/>
          <w:spacing w:val="-2"/>
          <w:sz w:val="26"/>
          <w:szCs w:val="26"/>
          <w:lang w:val="da-DK"/>
          <w14:textFill>
            <w14:solidFill>
              <w14:schemeClr w14:val="tx1"/>
            </w14:solidFill>
          </w14:textFill>
        </w:rPr>
      </w:pPr>
      <w:r>
        <w:rPr>
          <w:b/>
          <w:bCs/>
          <w:color w:val="000000" w:themeColor="text1"/>
          <w:spacing w:val="-2"/>
          <w:sz w:val="26"/>
          <w:szCs w:val="26"/>
          <w:lang w:val="da-DK"/>
          <w14:textFill>
            <w14:solidFill>
              <w14:schemeClr w14:val="tx1"/>
            </w14:solidFill>
          </w14:textFill>
        </w:rPr>
        <w:t>4. Thời điểm định giá:</w:t>
      </w:r>
      <w:r>
        <w:rPr>
          <w:color w:val="000000" w:themeColor="text1"/>
          <w:spacing w:val="-2"/>
          <w:sz w:val="26"/>
          <w:szCs w:val="26"/>
          <w:lang w:val="da-DK"/>
          <w14:textFill>
            <w14:solidFill>
              <w14:schemeClr w14:val="tx1"/>
            </w14:solidFill>
          </w14:textFill>
        </w:rPr>
        <w:t xml:space="preserve"> </w:t>
      </w:r>
      <w:bookmarkStart w:id="5" w:name="_Hlk150371858"/>
      <w:r>
        <w:rPr>
          <w:b/>
          <w:bCs/>
          <w:color w:val="000000" w:themeColor="text1"/>
          <w:spacing w:val="-2"/>
          <w:sz w:val="26"/>
          <w:szCs w:val="26"/>
          <w:lang w:val="da-DK"/>
          <w14:textFill>
            <w14:solidFill>
              <w14:schemeClr w14:val="tx1"/>
            </w14:solidFill>
          </w14:textFill>
        </w:rPr>
        <w:t>Tại thời điểm</w:t>
      </w:r>
      <w:r>
        <w:rPr>
          <w:color w:val="000000" w:themeColor="text1"/>
          <w:spacing w:val="-2"/>
          <w:sz w:val="26"/>
          <w:szCs w:val="26"/>
          <w:lang w:val="da-DK"/>
          <w14:textFill>
            <w14:solidFill>
              <w14:schemeClr w14:val="tx1"/>
            </w14:solidFill>
          </w14:textFill>
        </w:rPr>
        <w:t xml:space="preserve"> </w:t>
      </w:r>
      <w:r>
        <w:rPr>
          <w:b/>
          <w:bCs/>
          <w:color w:val="000000" w:themeColor="text1"/>
          <w:spacing w:val="-2"/>
          <w:sz w:val="26"/>
          <w:szCs w:val="26"/>
          <w:lang w:val="da-DK"/>
          <w14:textFill>
            <w14:solidFill>
              <w14:schemeClr w14:val="tx1"/>
            </w14:solidFill>
          </w14:textFill>
        </w:rPr>
        <w:t>tháng 01 năm 2025</w:t>
      </w:r>
      <w:r>
        <w:rPr>
          <w:b/>
          <w:bCs/>
          <w:color w:val="000000" w:themeColor="text1"/>
          <w:spacing w:val="-2"/>
          <w:sz w:val="26"/>
          <w:szCs w:val="26"/>
          <w:lang w:val="vi-VN"/>
          <w14:textFill>
            <w14:solidFill>
              <w14:schemeClr w14:val="tx1"/>
            </w14:solidFill>
          </w14:textFill>
        </w:rPr>
        <w:t xml:space="preserve"> (thời điểm ban hành </w:t>
      </w:r>
      <w:bookmarkStart w:id="6" w:name="_Hlk183381690"/>
      <w:bookmarkStart w:id="7" w:name="_Hlk183386290"/>
      <w:r>
        <w:rPr>
          <w:b/>
          <w:bCs/>
          <w:color w:val="000000" w:themeColor="text1"/>
          <w:spacing w:val="-2"/>
          <w:sz w:val="26"/>
          <w:szCs w:val="26"/>
          <w:lang w:val="vi-VN"/>
          <w14:textFill>
            <w14:solidFill>
              <w14:schemeClr w14:val="tx1"/>
            </w14:solidFill>
          </w14:textFill>
        </w:rPr>
        <w:t xml:space="preserve">QĐ số </w:t>
      </w:r>
      <w:r>
        <w:rPr>
          <w:b/>
          <w:bCs/>
          <w:color w:val="000000" w:themeColor="text1"/>
          <w:spacing w:val="-2"/>
          <w:sz w:val="26"/>
          <w:szCs w:val="26"/>
          <w14:textFill>
            <w14:solidFill>
              <w14:schemeClr w14:val="tx1"/>
            </w14:solidFill>
          </w14:textFill>
        </w:rPr>
        <w:t>86/QĐ-UBND ngày 09 tháng 01 năm 2025</w:t>
      </w:r>
      <w:r>
        <w:rPr>
          <w:b/>
          <w:bCs/>
          <w:color w:val="000000" w:themeColor="text1"/>
          <w:spacing w:val="-2"/>
          <w:sz w:val="26"/>
          <w:szCs w:val="26"/>
          <w:lang w:val="vi-VN"/>
          <w14:textFill>
            <w14:solidFill>
              <w14:schemeClr w14:val="tx1"/>
            </w14:solidFill>
          </w14:textFill>
        </w:rPr>
        <w:t xml:space="preserve"> của UBND tỉnh </w:t>
      </w:r>
      <w:bookmarkEnd w:id="6"/>
      <w:r>
        <w:rPr>
          <w:b/>
          <w:bCs/>
          <w:color w:val="000000" w:themeColor="text1"/>
          <w:spacing w:val="-2"/>
          <w:sz w:val="26"/>
          <w:szCs w:val="26"/>
          <w14:textFill>
            <w14:solidFill>
              <w14:schemeClr w14:val="tx1"/>
            </w14:solidFill>
          </w14:textFill>
        </w:rPr>
        <w:t>Lạng Sơn</w:t>
      </w:r>
      <w:bookmarkEnd w:id="7"/>
      <w:r>
        <w:rPr>
          <w:b/>
          <w:bCs/>
          <w:color w:val="000000" w:themeColor="text1"/>
          <w:spacing w:val="-2"/>
          <w:sz w:val="26"/>
          <w:szCs w:val="26"/>
          <w:lang w:val="vi-VN"/>
          <w14:textFill>
            <w14:solidFill>
              <w14:schemeClr w14:val="tx1"/>
            </w14:solidFill>
          </w14:textFill>
        </w:rPr>
        <w:t>).</w:t>
      </w:r>
      <w:r>
        <w:rPr>
          <w:color w:val="000000" w:themeColor="text1"/>
          <w:spacing w:val="-2"/>
          <w:sz w:val="26"/>
          <w:szCs w:val="26"/>
          <w:lang w:val="da-DK"/>
          <w14:textFill>
            <w14:solidFill>
              <w14:schemeClr w14:val="tx1"/>
            </w14:solidFill>
          </w14:textFill>
        </w:rPr>
        <w:t xml:space="preserve"> </w:t>
      </w:r>
      <w:bookmarkEnd w:id="5"/>
    </w:p>
    <w:p w14:paraId="32A8AF1E">
      <w:pPr>
        <w:tabs>
          <w:tab w:val="left" w:pos="360"/>
        </w:tabs>
        <w:spacing w:before="120" w:after="120" w:line="380" w:lineRule="exact"/>
        <w:ind w:firstLine="567"/>
        <w:jc w:val="both"/>
        <w:rPr>
          <w:b/>
          <w:bCs/>
          <w:color w:val="000000" w:themeColor="text1"/>
          <w:sz w:val="26"/>
          <w:szCs w:val="26"/>
          <w:lang w:val="da-DK"/>
          <w14:textFill>
            <w14:solidFill>
              <w14:schemeClr w14:val="tx1"/>
            </w14:solidFill>
          </w14:textFill>
        </w:rPr>
      </w:pPr>
      <w:r>
        <w:rPr>
          <w:b/>
          <w:bCs/>
          <w:color w:val="000000" w:themeColor="text1"/>
          <w:sz w:val="26"/>
          <w:szCs w:val="26"/>
          <w:lang w:val="da-DK"/>
          <w14:textFill>
            <w14:solidFill>
              <w14:schemeClr w14:val="tx1"/>
            </w14:solidFill>
          </w14:textFill>
        </w:rPr>
        <w:t>5. Căn cứ pháp lý</w:t>
      </w:r>
    </w:p>
    <w:p w14:paraId="0C52EDB0">
      <w:pPr>
        <w:spacing w:before="120" w:after="120" w:line="380" w:lineRule="exact"/>
        <w:ind w:firstLine="567"/>
        <w:jc w:val="both"/>
        <w:rPr>
          <w:b/>
          <w:color w:val="000000" w:themeColor="text1"/>
          <w:sz w:val="26"/>
          <w:szCs w:val="26"/>
          <w:lang w:val="da-DK"/>
          <w14:textFill>
            <w14:solidFill>
              <w14:schemeClr w14:val="tx1"/>
            </w14:solidFill>
          </w14:textFill>
        </w:rPr>
      </w:pPr>
      <w:bookmarkStart w:id="8" w:name="top"/>
      <w:bookmarkEnd w:id="8"/>
      <w:r>
        <w:rPr>
          <w:b/>
          <w:color w:val="000000" w:themeColor="text1"/>
          <w:sz w:val="26"/>
          <w:szCs w:val="26"/>
          <w:lang w:val="da-DK"/>
          <w14:textFill>
            <w14:solidFill>
              <w14:schemeClr w14:val="tx1"/>
            </w14:solidFill>
          </w14:textFill>
        </w:rPr>
        <w:t>5.1. Các văn bản pháp quy về thẩm định giá</w:t>
      </w:r>
    </w:p>
    <w:p w14:paraId="32ED8D32">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Luật Giá số 16/2023/QH15 ngày 19 tháng 06 năm 2023;</w:t>
      </w:r>
    </w:p>
    <w:p w14:paraId="5E4E8C22">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Luật Đấu giá tài sản số 01/2016/QH14 ngày ngày 17 tháng 11 năm 2016</w:t>
      </w:r>
    </w:p>
    <w:p w14:paraId="0662CD72">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w:t>
      </w:r>
      <w:r>
        <w:rPr>
          <w:bCs/>
          <w:iCs/>
          <w:color w:val="000000" w:themeColor="text1"/>
          <w:spacing w:val="-6"/>
          <w:sz w:val="26"/>
          <w:szCs w:val="26"/>
          <w:lang w:val="vi-VN"/>
          <w14:textFill>
            <w14:solidFill>
              <w14:schemeClr w14:val="tx1"/>
            </w14:solidFill>
          </w14:textFill>
        </w:rPr>
        <w:tab/>
      </w:r>
      <w:r>
        <w:rPr>
          <w:bCs/>
          <w:iCs/>
          <w:color w:val="000000" w:themeColor="text1"/>
          <w:spacing w:val="-6"/>
          <w:sz w:val="26"/>
          <w:szCs w:val="26"/>
          <w:lang w:val="vi-VN"/>
          <w14:textFill>
            <w14:solidFill>
              <w14:schemeClr w14:val="tx1"/>
            </w14:solidFill>
          </w14:textFill>
        </w:rPr>
        <w:t>Nghị định 78/2024/NĐ-CP ngày 01/7/2024 của Chính phủ quy định chi tiết một số điều của Luật Giá về thẩm định giá;</w:t>
      </w:r>
    </w:p>
    <w:p w14:paraId="177040C5">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w:t>
      </w:r>
      <w:r>
        <w:rPr>
          <w:bCs/>
          <w:iCs/>
          <w:color w:val="000000" w:themeColor="text1"/>
          <w:spacing w:val="-6"/>
          <w:sz w:val="26"/>
          <w:szCs w:val="26"/>
          <w:lang w:val="vi-VN"/>
          <w14:textFill>
            <w14:solidFill>
              <w14:schemeClr w14:val="tx1"/>
            </w14:solidFill>
          </w14:textFill>
        </w:rPr>
        <w:tab/>
      </w:r>
      <w:r>
        <w:rPr>
          <w:bCs/>
          <w:iCs/>
          <w:color w:val="000000" w:themeColor="text1"/>
          <w:spacing w:val="-6"/>
          <w:sz w:val="26"/>
          <w:szCs w:val="26"/>
          <w:lang w:val="vi-VN"/>
          <w14:textFill>
            <w14:solidFill>
              <w14:schemeClr w14:val="tx1"/>
            </w14:solidFill>
          </w14:textFill>
        </w:rPr>
        <w:t>Thông tư 28/2024/TT-BTC ngày 16 tháng 5 năm 2024 của Bộ Tài chính quy định về trình tự, thủ tục kiểm tra việc chấp hành pháp luật về giá, thẩm định giá;;</w:t>
      </w:r>
      <w:r>
        <w:rPr>
          <w:bCs/>
          <w:iCs/>
          <w:color w:val="000000" w:themeColor="text1"/>
          <w:spacing w:val="-6"/>
          <w:sz w:val="26"/>
          <w:szCs w:val="26"/>
          <w:lang w:val="vi-VN"/>
          <w14:textFill>
            <w14:solidFill>
              <w14:schemeClr w14:val="tx1"/>
            </w14:solidFill>
          </w14:textFill>
        </w:rPr>
        <w:tab/>
      </w:r>
    </w:p>
    <w:p w14:paraId="48717B71">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Thông tư số 30/2024/TT-BTC ngày 16 tháng 5 năm 2024 của Bộ Tài chính Ban hành các chuẩn mực thẩm định giá Việt Nam về quy tắc đạo đức nghề nghiệp thẩm định giá, phạm vi công việc thẩm định giá, cơ sở giá trị thẩm định giá, hồ sơ thẩm định giá;</w:t>
      </w:r>
    </w:p>
    <w:p w14:paraId="44996888">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Thông tư số 31/2024/TT-BTC ngày 16 tháng 5 năm 2024 của Bộ Tài chính Ban hành các chuẩn mực thẩm định giá Việt Nam về thu thập và phân tích thông tin về tài sản thẩm định giá;</w:t>
      </w:r>
    </w:p>
    <w:p w14:paraId="4C4BF203">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Thông tư số 32/2024/TT-BTC ngày 16 tháng 5 năm 2024 của Bộ Tài chính Ban hành các chuẩn mực thẩm định giá Việt Nam về cách tiếp cận từ thị trường, cách tiếp cận từ chi phí, cách tiếp cận từ thu nhập;</w:t>
      </w:r>
    </w:p>
    <w:p w14:paraId="1890374E">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Thông tư số 34/2024/TT-BTC ngày 16/05/2024 của Bộ Tài chính về việc quy định việc thi, quản lý, cấp và thu hồi Thẻ thẩm định viên về giá;</w:t>
      </w:r>
    </w:p>
    <w:p w14:paraId="6FA6797C">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Thông tư số 37/2024/TT-BTC ngày 16 tháng 05 năm 2024 của Bộ Tài chính Ban hành Chuẩn mực thẩm định giá Việt Nam về Thẩm định giá tài sản vô hình;</w:t>
      </w:r>
    </w:p>
    <w:p w14:paraId="608F7531">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Thông tư số 38/2024/TT-BTC ngày 16 tháng 05 năm 2024 của Bộ Tài chính Quy định về đánh giá hoạt động doanh nghiệp thẩm định giá; trích lập dự phòng rủi ro nghề nghiệp, chế độ báo cáo hoạt động thẩm định giá của doanh nghiệp và chi phí phục vụ cho việc thẩm định giá của hội đồng thẩm định giá.</w:t>
      </w:r>
    </w:p>
    <w:p w14:paraId="7A8FCF69">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Thông tư số 42/2024/TT-BTC ngày 20 tháng 06 năm 2024 của Bộ Tài chính Ban hành Chuẩn mực thẩm định giá Việt Nam về Thẩm định giá bất động sản;</w:t>
      </w:r>
    </w:p>
    <w:p w14:paraId="3AEC6BF7">
      <w:pPr>
        <w:spacing w:before="120" w:after="120" w:line="380" w:lineRule="exact"/>
        <w:ind w:firstLine="567"/>
        <w:jc w:val="both"/>
        <w:rPr>
          <w:b/>
          <w:color w:val="000000" w:themeColor="text1"/>
          <w:sz w:val="26"/>
          <w:szCs w:val="26"/>
          <w:lang w:val="da-DK"/>
          <w14:textFill>
            <w14:solidFill>
              <w14:schemeClr w14:val="tx1"/>
            </w14:solidFill>
          </w14:textFill>
        </w:rPr>
      </w:pPr>
      <w:r>
        <w:rPr>
          <w:b/>
          <w:color w:val="000000" w:themeColor="text1"/>
          <w:sz w:val="26"/>
          <w:szCs w:val="26"/>
          <w:lang w:val="da-DK"/>
          <w14:textFill>
            <w14:solidFill>
              <w14:schemeClr w14:val="tx1"/>
            </w14:solidFill>
          </w14:textFill>
        </w:rPr>
        <w:t>5.2. Các văn bản pháp quy về Đất đai để xác định giá đất cụ thể</w:t>
      </w:r>
    </w:p>
    <w:p w14:paraId="5F26D926">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Luật Đất đai số 31/2024/QH15 ngày 18 tháng 1 năm 2024;</w:t>
      </w:r>
    </w:p>
    <w:p w14:paraId="706580A3">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Luật Xây dựng số 50/2014/QH13 ngày 18 tháng 6 năm 2014;</w:t>
      </w:r>
    </w:p>
    <w:p w14:paraId="20BDAEC3">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Luật kinh doanh bất động sản số 29/2023/QH15 ngày 28 tháng 11 năm 2023;</w:t>
      </w:r>
    </w:p>
    <w:p w14:paraId="0F9DC621">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Luật nhà ở số 27/2023/QH15 ngày 27 tháng 11 năm 2023</w:t>
      </w:r>
    </w:p>
    <w:p w14:paraId="0104D465">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Nghị định số 102/2024/NĐ-CP ngày 30 tháng 7 năm 2024 của Chính phủ quy định chi tiết thi hành một số điều của Luật Đất đai.</w:t>
      </w:r>
    </w:p>
    <w:p w14:paraId="3154DED0">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Nghị định số 103/2024/NĐ-CP ngày 30 tháng 7 năm 2024 của Chính phủ quy định về tiền sử dụng đất, tiền thuê đất;</w:t>
      </w:r>
    </w:p>
    <w:p w14:paraId="1FF4AD47">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Nghị định số 71/2024/NĐ-CP ngày 27/06/2024 của Chính Phủ quy định về giá đất;</w:t>
      </w:r>
    </w:p>
    <w:p w14:paraId="7FCAF537">
      <w:pPr>
        <w:shd w:val="clear" w:color="auto" w:fill="FFFFFF"/>
        <w:spacing w:before="120" w:after="120" w:line="380" w:lineRule="exact"/>
        <w:ind w:firstLine="567"/>
        <w:jc w:val="both"/>
        <w:rPr>
          <w:b/>
          <w:color w:val="000000" w:themeColor="text1"/>
          <w:sz w:val="26"/>
          <w:szCs w:val="26"/>
          <w:lang w:val="da-DK"/>
          <w14:textFill>
            <w14:solidFill>
              <w14:schemeClr w14:val="tx1"/>
            </w14:solidFill>
          </w14:textFill>
        </w:rPr>
      </w:pPr>
      <w:r>
        <w:rPr>
          <w:b/>
          <w:bCs/>
          <w:color w:val="000000" w:themeColor="text1"/>
          <w:sz w:val="26"/>
          <w:szCs w:val="26"/>
          <w:lang w:val="da-DK"/>
          <w14:textFill>
            <w14:solidFill>
              <w14:schemeClr w14:val="tx1"/>
            </w14:solidFill>
          </w14:textFill>
        </w:rPr>
        <w:t>5</w:t>
      </w:r>
      <w:r>
        <w:rPr>
          <w:b/>
          <w:bCs/>
          <w:color w:val="000000" w:themeColor="text1"/>
          <w:sz w:val="26"/>
          <w:szCs w:val="26"/>
          <w:lang w:val="vi-VN"/>
          <w14:textFill>
            <w14:solidFill>
              <w14:schemeClr w14:val="tx1"/>
            </w14:solidFill>
          </w14:textFill>
        </w:rPr>
        <w:t>.3.</w:t>
      </w:r>
      <w:r>
        <w:rPr>
          <w:b/>
          <w:bCs/>
          <w:color w:val="000000" w:themeColor="text1"/>
          <w:sz w:val="26"/>
          <w:szCs w:val="26"/>
          <w:lang w:val="da-DK"/>
          <w14:textFill>
            <w14:solidFill>
              <w14:schemeClr w14:val="tx1"/>
            </w14:solidFill>
          </w14:textFill>
        </w:rPr>
        <w:t xml:space="preserve"> Các</w:t>
      </w:r>
      <w:r>
        <w:rPr>
          <w:b/>
          <w:color w:val="000000" w:themeColor="text1"/>
          <w:sz w:val="26"/>
          <w:szCs w:val="26"/>
          <w:lang w:val="da-DK"/>
          <w14:textFill>
            <w14:solidFill>
              <w14:schemeClr w14:val="tx1"/>
            </w14:solidFill>
          </w14:textFill>
        </w:rPr>
        <w:t xml:space="preserve"> văn bản của UBND tỉnh Lạng Sơn</w:t>
      </w:r>
    </w:p>
    <w:p w14:paraId="14F8C9D9">
      <w:pPr>
        <w:shd w:val="clear" w:color="auto" w:fill="FFFFFF"/>
        <w:spacing w:before="120" w:after="120" w:line="380" w:lineRule="exact"/>
        <w:ind w:firstLine="567"/>
        <w:jc w:val="both"/>
        <w:rPr>
          <w:bCs/>
          <w:iCs/>
          <w:color w:val="000000" w:themeColor="text1"/>
          <w:spacing w:val="-10"/>
          <w:sz w:val="26"/>
          <w:szCs w:val="26"/>
          <w:lang w:val="vi-VN"/>
          <w14:textFill>
            <w14:solidFill>
              <w14:schemeClr w14:val="tx1"/>
            </w14:solidFill>
          </w14:textFill>
        </w:rPr>
      </w:pPr>
      <w:r>
        <w:rPr>
          <w:spacing w:val="-10"/>
          <w:sz w:val="26"/>
          <w:szCs w:val="26"/>
          <w:lang w:val="da-DK"/>
        </w:rPr>
        <w:t xml:space="preserve">- </w:t>
      </w:r>
      <w:r>
        <w:rPr>
          <w:bCs/>
          <w:iCs/>
          <w:color w:val="000000" w:themeColor="text1"/>
          <w:spacing w:val="-10"/>
          <w:sz w:val="26"/>
          <w:szCs w:val="26"/>
          <w:lang w:val="vi-VN"/>
          <w14:textFill>
            <w14:solidFill>
              <w14:schemeClr w14:val="tx1"/>
            </w14:solidFill>
          </w14:textFill>
        </w:rPr>
        <w:t xml:space="preserve">Căn cứ Quyết định số 32/2019/QĐ-UBND ngày 20 tháng 12 năm 2019 của UBND tỉnh Lạng Sơn về việc ban hành Bảng giá đất trên địa bàn tỉnh Lạng Sơn, giai đoạn 2020-2024; </w:t>
      </w:r>
    </w:p>
    <w:p w14:paraId="27645835">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Căn cứ Quyết định số 40/2022/QĐ-UBND ngày 23 tháng 12 năm 2022 của UBND tỉnh Lạng Sơn Sửa đổi, bổ sung Quyết định số 32/2019/QĐ-UBND ngày 20 tháng 12 năm 2019 của Ủy ban nhân dân tỉnh ban hành Bảng giá đất trên địa bàn tỉnh Lạng Sơn, giai đoạn 2020 – 2024; Quyết định số 05/2021/QĐ-UBND ngày 09 tháng 3 năm 2021 của Ủy ban nhân dân tỉnh sửa đổi, Quyết định số 36/2021/QĐ-UBND ngày 23 tháng 12 năm 2021 của Ủy ban nhân dân tỉnh;</w:t>
      </w:r>
    </w:p>
    <w:p w14:paraId="4F98C2F1">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Căn cứ Quyết định số 27/2023/QĐ-UBND ngày 21 tháng 12 năm 2023 của UBND tỉnh Lạng Sơn Sửa đổi, bổ sung các Quyết định của Ủy ban nhân dân tỉnh ban hành Bảng giá đất trên địa bàn tỉnh Lạng Sơn, giai đoạn 2020 – 2024</w:t>
      </w:r>
    </w:p>
    <w:p w14:paraId="327B81A7">
      <w:pPr>
        <w:shd w:val="clear" w:color="auto" w:fill="FFFFFF"/>
        <w:spacing w:before="120" w:after="120" w:line="380" w:lineRule="exact"/>
        <w:ind w:firstLine="567"/>
        <w:jc w:val="both"/>
        <w:rPr>
          <w:bCs/>
          <w:iCs/>
          <w:color w:val="000000" w:themeColor="text1"/>
          <w:spacing w:val="-6"/>
          <w:sz w:val="26"/>
          <w:szCs w:val="26"/>
          <w14:textFill>
            <w14:solidFill>
              <w14:schemeClr w14:val="tx1"/>
            </w14:solidFill>
          </w14:textFill>
        </w:rPr>
      </w:pPr>
      <w:r>
        <w:rPr>
          <w:bCs/>
          <w:iCs/>
          <w:color w:val="000000" w:themeColor="text1"/>
          <w:spacing w:val="-6"/>
          <w:sz w:val="26"/>
          <w:szCs w:val="26"/>
          <w:lang w:val="vi-VN"/>
          <w14:textFill>
            <w14:solidFill>
              <w14:schemeClr w14:val="tx1"/>
            </w14:solidFill>
          </w14:textFill>
        </w:rPr>
        <w:t>- Căn cứ Quyết định 28/2023/QĐ-UBND quy định về hệ số điều chỉnh giá đất năm 2024 trên địa bàn tỉnh Lạng Sơn;</w:t>
      </w:r>
    </w:p>
    <w:p w14:paraId="50B52A9D">
      <w:pPr>
        <w:shd w:val="clear" w:color="auto" w:fill="FFFFFF"/>
        <w:spacing w:before="120" w:after="120" w:line="380" w:lineRule="exact"/>
        <w:ind w:firstLine="567"/>
        <w:jc w:val="both"/>
        <w:rPr>
          <w:bCs/>
          <w:iCs/>
          <w:color w:val="000000" w:themeColor="text1"/>
          <w:spacing w:val="-6"/>
          <w:sz w:val="26"/>
          <w:szCs w:val="26"/>
          <w14:textFill>
            <w14:solidFill>
              <w14:schemeClr w14:val="tx1"/>
            </w14:solidFill>
          </w14:textFill>
        </w:rPr>
      </w:pPr>
      <w:r>
        <w:rPr>
          <w:bCs/>
          <w:iCs/>
          <w:color w:val="000000" w:themeColor="text1"/>
          <w:spacing w:val="-6"/>
          <w:sz w:val="26"/>
          <w:szCs w:val="26"/>
          <w14:textFill>
            <w14:solidFill>
              <w14:schemeClr w14:val="tx1"/>
            </w14:solidFill>
          </w14:textFill>
        </w:rPr>
        <w:t>- Nghị quyết số 04/2025/NQ-HĐND ngày 28/03/2025 của UBND tỉnh Lạng Sơn Về việc thông qua bổ sung giá đất trong bảng giá đất trên địa bàn tỉnh Lạng Sơn, giai đoạn 2020 – 2024 và năm 2025;</w:t>
      </w:r>
    </w:p>
    <w:p w14:paraId="1082E9FD">
      <w:pPr>
        <w:shd w:val="clear" w:color="auto" w:fill="FFFFFF"/>
        <w:spacing w:before="120" w:after="120" w:line="380" w:lineRule="exact"/>
        <w:ind w:firstLine="567"/>
        <w:jc w:val="both"/>
        <w:rPr>
          <w:bCs/>
          <w:iCs/>
          <w:color w:val="000000" w:themeColor="text1"/>
          <w:sz w:val="26"/>
          <w:szCs w:val="26"/>
          <w14:textFill>
            <w14:solidFill>
              <w14:schemeClr w14:val="tx1"/>
            </w14:solidFill>
          </w14:textFill>
        </w:rPr>
      </w:pPr>
      <w:r>
        <w:rPr>
          <w:bCs/>
          <w:iCs/>
          <w:color w:val="000000" w:themeColor="text1"/>
          <w:sz w:val="26"/>
          <w:szCs w:val="26"/>
          <w14:textFill>
            <w14:solidFill>
              <w14:schemeClr w14:val="tx1"/>
            </w14:solidFill>
          </w14:textFill>
        </w:rPr>
        <w:t>- Quyết định số 30/2025/QĐ-UBND ngày 12/05/2025 của UBND tỉnh Lạng Sơn Về việc điều chỉnh bảng giá đất và sửa đổi, bổ sung một số quy định tại các Quyết định của Ủy ban nhân dân tỉnh về bảng giá đất trên địa bàn tỉnh Lạng Sơn, giai đoạn 2020 - 2024, năm 2025;</w:t>
      </w:r>
    </w:p>
    <w:p w14:paraId="480B9375">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Căn cứ quyết định số 47/2024/QĐ-UBND ngày 30 tháng 10 năm 2024 của UBND tỉnh Lạng Sơn Ban hành Quy định một số chỉ tiêu cụ thể để áp dụng phương pháp định giá đất trên địa bàn tỉnh Lạng Sơn.</w:t>
      </w:r>
    </w:p>
    <w:p w14:paraId="42F5CD68">
      <w:pPr>
        <w:spacing w:before="120" w:after="120" w:line="380" w:lineRule="exact"/>
        <w:ind w:firstLine="567"/>
        <w:jc w:val="both"/>
        <w:rPr>
          <w:b/>
          <w:color w:val="000000" w:themeColor="text1"/>
          <w:sz w:val="26"/>
          <w:szCs w:val="26"/>
          <w:lang w:val="da-DK"/>
          <w14:textFill>
            <w14:solidFill>
              <w14:schemeClr w14:val="tx1"/>
            </w14:solidFill>
          </w14:textFill>
        </w:rPr>
      </w:pPr>
      <w:r>
        <w:rPr>
          <w:b/>
          <w:color w:val="000000" w:themeColor="text1"/>
          <w:sz w:val="26"/>
          <w:szCs w:val="26"/>
          <w:lang w:val="da-DK"/>
          <w14:textFill>
            <w14:solidFill>
              <w14:schemeClr w14:val="tx1"/>
            </w14:solidFill>
          </w14:textFill>
        </w:rPr>
        <w:t>5</w:t>
      </w:r>
      <w:r>
        <w:rPr>
          <w:b/>
          <w:color w:val="000000" w:themeColor="text1"/>
          <w:sz w:val="26"/>
          <w:szCs w:val="26"/>
          <w:lang w:val="vi-VN"/>
          <w14:textFill>
            <w14:solidFill>
              <w14:schemeClr w14:val="tx1"/>
            </w14:solidFill>
          </w14:textFill>
        </w:rPr>
        <w:t>.</w:t>
      </w:r>
      <w:r>
        <w:rPr>
          <w:b/>
          <w:color w:val="000000" w:themeColor="text1"/>
          <w:sz w:val="26"/>
          <w:szCs w:val="26"/>
          <w:lang w:val="da-DK"/>
          <w14:textFill>
            <w14:solidFill>
              <w14:schemeClr w14:val="tx1"/>
            </w14:solidFill>
          </w14:textFill>
        </w:rPr>
        <w:t>4. Hồ sơ pháp lý, kỹ thuật của tài sản định giá.</w:t>
      </w:r>
    </w:p>
    <w:p w14:paraId="419BA1F0">
      <w:pPr>
        <w:spacing w:before="120" w:after="120" w:line="264" w:lineRule="auto"/>
        <w:ind w:firstLine="567"/>
        <w:jc w:val="both"/>
        <w:rPr>
          <w:bCs/>
          <w:iCs/>
          <w:color w:val="000000" w:themeColor="text1"/>
          <w:spacing w:val="-6"/>
          <w:sz w:val="26"/>
          <w:szCs w:val="26"/>
          <w:lang w:val="vi-VN"/>
          <w14:textFill>
            <w14:solidFill>
              <w14:schemeClr w14:val="tx1"/>
            </w14:solidFill>
          </w14:textFill>
        </w:rPr>
      </w:pPr>
      <w:bookmarkStart w:id="9" w:name="_Hlk199775817"/>
      <w:r>
        <w:rPr>
          <w:bCs/>
          <w:iCs/>
          <w:color w:val="000000" w:themeColor="text1"/>
          <w:spacing w:val="-6"/>
          <w:sz w:val="26"/>
          <w:szCs w:val="26"/>
          <w:lang w:val="vi-VN"/>
          <w14:textFill>
            <w14:solidFill>
              <w14:schemeClr w14:val="tx1"/>
            </w14:solidFill>
          </w14:textFill>
        </w:rPr>
        <w:t xml:space="preserve">- Quyết định số </w:t>
      </w:r>
      <w:r>
        <w:rPr>
          <w:bCs/>
          <w:iCs/>
          <w:color w:val="000000" w:themeColor="text1"/>
          <w:spacing w:val="-6"/>
          <w:sz w:val="26"/>
          <w:szCs w:val="26"/>
          <w14:textFill>
            <w14:solidFill>
              <w14:schemeClr w14:val="tx1"/>
            </w14:solidFill>
          </w14:textFill>
        </w:rPr>
        <w:t>2483</w:t>
      </w:r>
      <w:r>
        <w:rPr>
          <w:bCs/>
          <w:iCs/>
          <w:color w:val="000000" w:themeColor="text1"/>
          <w:spacing w:val="-6"/>
          <w:sz w:val="26"/>
          <w:szCs w:val="26"/>
          <w:lang w:val="vi-VN"/>
          <w14:textFill>
            <w14:solidFill>
              <w14:schemeClr w14:val="tx1"/>
            </w14:solidFill>
          </w14:textFill>
        </w:rPr>
        <w:t xml:space="preserve">/QĐ-UBND ngày 26 tháng </w:t>
      </w:r>
      <w:r>
        <w:rPr>
          <w:bCs/>
          <w:iCs/>
          <w:color w:val="000000" w:themeColor="text1"/>
          <w:spacing w:val="-6"/>
          <w:sz w:val="26"/>
          <w:szCs w:val="26"/>
          <w14:textFill>
            <w14:solidFill>
              <w14:schemeClr w14:val="tx1"/>
            </w14:solidFill>
          </w14:textFill>
        </w:rPr>
        <w:t>6</w:t>
      </w:r>
      <w:r>
        <w:rPr>
          <w:bCs/>
          <w:iCs/>
          <w:color w:val="000000" w:themeColor="text1"/>
          <w:spacing w:val="-6"/>
          <w:sz w:val="26"/>
          <w:szCs w:val="26"/>
          <w:lang w:val="vi-VN"/>
          <w14:textFill>
            <w14:solidFill>
              <w14:schemeClr w14:val="tx1"/>
            </w14:solidFill>
          </w14:textFill>
        </w:rPr>
        <w:t xml:space="preserve"> năm 20</w:t>
      </w:r>
      <w:r>
        <w:rPr>
          <w:bCs/>
          <w:iCs/>
          <w:color w:val="000000" w:themeColor="text1"/>
          <w:spacing w:val="-6"/>
          <w:sz w:val="26"/>
          <w:szCs w:val="26"/>
          <w14:textFill>
            <w14:solidFill>
              <w14:schemeClr w14:val="tx1"/>
            </w14:solidFill>
          </w14:textFill>
        </w:rPr>
        <w:t>20</w:t>
      </w:r>
      <w:r>
        <w:rPr>
          <w:bCs/>
          <w:iCs/>
          <w:color w:val="000000" w:themeColor="text1"/>
          <w:spacing w:val="-6"/>
          <w:sz w:val="26"/>
          <w:szCs w:val="26"/>
          <w:lang w:val="vi-VN"/>
          <w14:textFill>
            <w14:solidFill>
              <w14:schemeClr w14:val="tx1"/>
            </w14:solidFill>
          </w14:textFill>
        </w:rPr>
        <w:t xml:space="preserve"> của UBND </w:t>
      </w:r>
      <w:r>
        <w:rPr>
          <w:bCs/>
          <w:iCs/>
          <w:color w:val="000000" w:themeColor="text1"/>
          <w:spacing w:val="-6"/>
          <w:sz w:val="26"/>
          <w:szCs w:val="26"/>
          <w14:textFill>
            <w14:solidFill>
              <w14:schemeClr w14:val="tx1"/>
            </w14:solidFill>
          </w14:textFill>
        </w:rPr>
        <w:t>huyện Chi Lăng</w:t>
      </w:r>
      <w:r>
        <w:rPr>
          <w:bCs/>
          <w:iCs/>
          <w:color w:val="000000" w:themeColor="text1"/>
          <w:spacing w:val="-6"/>
          <w:sz w:val="26"/>
          <w:szCs w:val="26"/>
          <w:lang w:val="vi-VN"/>
          <w14:textFill>
            <w14:solidFill>
              <w14:schemeClr w14:val="tx1"/>
            </w14:solidFill>
          </w14:textFill>
        </w:rPr>
        <w:t xml:space="preserve"> Về việc phê duyệt </w:t>
      </w:r>
      <w:r>
        <w:rPr>
          <w:bCs/>
          <w:iCs/>
          <w:color w:val="000000" w:themeColor="text1"/>
          <w:spacing w:val="-6"/>
          <w:sz w:val="26"/>
          <w:szCs w:val="26"/>
          <w14:textFill>
            <w14:solidFill>
              <w14:schemeClr w14:val="tx1"/>
            </w14:solidFill>
          </w14:textFill>
        </w:rPr>
        <w:t>đồ án Quy hoạch chi tiết tỷ lệ 1/500 Khu đô thị mới hai bên đường Quốc lộ 1 phía Đông Nam thị trấn Đồng Mỏ</w:t>
      </w:r>
      <w:r>
        <w:rPr>
          <w:bCs/>
          <w:iCs/>
          <w:color w:val="000000" w:themeColor="text1"/>
          <w:spacing w:val="-6"/>
          <w:sz w:val="26"/>
          <w:szCs w:val="26"/>
          <w:lang w:val="vi-VN"/>
          <w14:textFill>
            <w14:solidFill>
              <w14:schemeClr w14:val="tx1"/>
            </w14:solidFill>
          </w14:textFill>
        </w:rPr>
        <w:t>;</w:t>
      </w:r>
    </w:p>
    <w:p w14:paraId="36CE03C1">
      <w:pPr>
        <w:shd w:val="clear" w:color="auto" w:fill="FFFFFF"/>
        <w:spacing w:before="120" w:after="120" w:line="264" w:lineRule="auto"/>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w:t>
      </w:r>
      <w:r>
        <w:rPr>
          <w:bCs/>
          <w:iCs/>
          <w:color w:val="000000" w:themeColor="text1"/>
          <w:spacing w:val="-6"/>
          <w:sz w:val="26"/>
          <w:szCs w:val="26"/>
          <w14:textFill>
            <w14:solidFill>
              <w14:schemeClr w14:val="tx1"/>
            </w14:solidFill>
          </w14:textFill>
        </w:rPr>
        <w:t xml:space="preserve"> Quyết định số 4564/QĐ-UBND ngày 14 tháng 12 năm 2020 của UBND huyện Chi Lăng về việc điều chỉnh tên đồ án Quy hoạch chi tiết 1/500 Khu đô thị mới hai bên đường Quốc lộ 1 phía Đông Nam thị trấn Đồng Mỏ tại Quyết định số 2483/QĐ-UBND ngày 26/6/2020</w:t>
      </w:r>
      <w:r>
        <w:rPr>
          <w:bCs/>
          <w:iCs/>
          <w:color w:val="000000" w:themeColor="text1"/>
          <w:spacing w:val="-6"/>
          <w:sz w:val="26"/>
          <w:szCs w:val="26"/>
          <w:lang w:val="vi-VN"/>
          <w14:textFill>
            <w14:solidFill>
              <w14:schemeClr w14:val="tx1"/>
            </w14:solidFill>
          </w14:textFill>
        </w:rPr>
        <w:t>.</w:t>
      </w:r>
    </w:p>
    <w:p w14:paraId="1B947B0D">
      <w:pPr>
        <w:shd w:val="clear" w:color="auto" w:fill="FFFFFF"/>
        <w:spacing w:before="120" w:after="120" w:line="264" w:lineRule="auto"/>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xml:space="preserve">- Thuyết minh </w:t>
      </w:r>
      <w:r>
        <w:rPr>
          <w:bCs/>
          <w:iCs/>
          <w:color w:val="000000" w:themeColor="text1"/>
          <w:spacing w:val="-6"/>
          <w:sz w:val="26"/>
          <w:szCs w:val="26"/>
          <w14:textFill>
            <w14:solidFill>
              <w14:schemeClr w14:val="tx1"/>
            </w14:solidFill>
          </w14:textFill>
        </w:rPr>
        <w:t>tổng hợp</w:t>
      </w:r>
      <w:r>
        <w:rPr>
          <w:bCs/>
          <w:iCs/>
          <w:color w:val="000000" w:themeColor="text1"/>
          <w:spacing w:val="-6"/>
          <w:sz w:val="26"/>
          <w:szCs w:val="26"/>
          <w:lang w:val="vi-VN"/>
          <w14:textFill>
            <w14:solidFill>
              <w14:schemeClr w14:val="tx1"/>
            </w14:solidFill>
          </w14:textFill>
        </w:rPr>
        <w:t xml:space="preserve"> QH chi tiết</w:t>
      </w:r>
      <w:r>
        <w:rPr>
          <w:bCs/>
          <w:iCs/>
          <w:color w:val="000000" w:themeColor="text1"/>
          <w:spacing w:val="-6"/>
          <w:sz w:val="26"/>
          <w:szCs w:val="26"/>
          <w14:textFill>
            <w14:solidFill>
              <w14:schemeClr w14:val="tx1"/>
            </w14:solidFill>
          </w14:textFill>
        </w:rPr>
        <w:t xml:space="preserve"> tỷ lệ 1/500 Khu đô thị mới hai bên đường Quốc lộ 1 phía Đông Nam thị trấn Đồng Mỏ</w:t>
      </w:r>
      <w:r>
        <w:rPr>
          <w:bCs/>
          <w:iCs/>
          <w:color w:val="000000" w:themeColor="text1"/>
          <w:spacing w:val="-6"/>
          <w:sz w:val="26"/>
          <w:szCs w:val="26"/>
          <w:lang w:val="vi-VN"/>
          <w14:textFill>
            <w14:solidFill>
              <w14:schemeClr w14:val="tx1"/>
            </w14:solidFill>
          </w14:textFill>
        </w:rPr>
        <w:t>;</w:t>
      </w:r>
    </w:p>
    <w:p w14:paraId="2BDF66B0">
      <w:pPr>
        <w:shd w:val="clear" w:color="auto" w:fill="FFFFFF"/>
        <w:spacing w:before="120" w:after="120" w:line="264" w:lineRule="auto"/>
        <w:ind w:firstLine="567"/>
        <w:jc w:val="both"/>
        <w:rPr>
          <w:bCs/>
          <w:iCs/>
          <w:color w:val="000000" w:themeColor="text1"/>
          <w:sz w:val="26"/>
          <w:szCs w:val="26"/>
          <w14:textFill>
            <w14:solidFill>
              <w14:schemeClr w14:val="tx1"/>
            </w14:solidFill>
          </w14:textFill>
        </w:rPr>
      </w:pPr>
      <w:r>
        <w:rPr>
          <w:bCs/>
          <w:iCs/>
          <w:color w:val="000000" w:themeColor="text1"/>
          <w:sz w:val="26"/>
          <w:szCs w:val="26"/>
          <w:lang w:val="vi-VN"/>
          <w14:textFill>
            <w14:solidFill>
              <w14:schemeClr w14:val="tx1"/>
            </w14:solidFill>
          </w14:textFill>
        </w:rPr>
        <w:t>-</w:t>
      </w:r>
      <w:r>
        <w:rPr>
          <w:bCs/>
          <w:iCs/>
          <w:color w:val="000000" w:themeColor="text1"/>
          <w:sz w:val="26"/>
          <w:szCs w:val="26"/>
          <w14:textFill>
            <w14:solidFill>
              <w14:schemeClr w14:val="tx1"/>
            </w14:solidFill>
          </w14:textFill>
        </w:rPr>
        <w:t xml:space="preserve"> Thông báo số 138/SXD-HTKT&amp;VLXD ngày 21 tháng 01 năm 2022 của Sở Xây dựng v/v thông báo kết quả thẩm định báo cáo nghiên cứu khả thi đầu tư xây dựng dự án: Khu đô thị phía Đông Nam thị trấn Đồng Mỏ. Hạng mục hạ tầng kỹ thuật và nhà xây thô</w:t>
      </w:r>
      <w:r>
        <w:rPr>
          <w:bCs/>
          <w:iCs/>
          <w:color w:val="000000" w:themeColor="text1"/>
          <w:sz w:val="26"/>
          <w:szCs w:val="26"/>
          <w:lang w:val="vi-VN"/>
          <w14:textFill>
            <w14:solidFill>
              <w14:schemeClr w14:val="tx1"/>
            </w14:solidFill>
          </w14:textFill>
        </w:rPr>
        <w:t>;</w:t>
      </w:r>
    </w:p>
    <w:p w14:paraId="188C2750">
      <w:pPr>
        <w:shd w:val="clear" w:color="auto" w:fill="FFFFFF"/>
        <w:spacing w:before="120" w:after="120" w:line="264" w:lineRule="auto"/>
        <w:ind w:firstLine="567"/>
        <w:jc w:val="both"/>
        <w:rPr>
          <w:bCs/>
          <w:iCs/>
          <w:color w:val="000000" w:themeColor="text1"/>
          <w:sz w:val="26"/>
          <w:szCs w:val="26"/>
          <w14:textFill>
            <w14:solidFill>
              <w14:schemeClr w14:val="tx1"/>
            </w14:solidFill>
          </w14:textFill>
        </w:rPr>
      </w:pPr>
      <w:r>
        <w:rPr>
          <w:bCs/>
          <w:iCs/>
          <w:color w:val="000000" w:themeColor="text1"/>
          <w:sz w:val="26"/>
          <w:szCs w:val="26"/>
          <w14:textFill>
            <w14:solidFill>
              <w14:schemeClr w14:val="tx1"/>
            </w14:solidFill>
          </w14:textFill>
        </w:rPr>
        <w:t xml:space="preserve">- </w:t>
      </w:r>
      <w:r>
        <w:rPr>
          <w:bCs/>
          <w:iCs/>
          <w:color w:val="000000" w:themeColor="text1"/>
          <w:spacing w:val="-4"/>
          <w:sz w:val="26"/>
          <w:szCs w:val="26"/>
          <w14:textFill>
            <w14:solidFill>
              <w14:schemeClr w14:val="tx1"/>
            </w14:solidFill>
          </w14:textFill>
        </w:rPr>
        <w:t>Hồ sơ Báo cáo nghiên cứu khả thi đầu tư xây dựng đã chỉnh sửa theo kết quả thẩm định số 138/SXD-HTKT&amp;VLXD ngày 21/01/2022 của Sở Xây dựng tỉnh Lạng Sơn);</w:t>
      </w:r>
    </w:p>
    <w:p w14:paraId="538D8BE3">
      <w:pPr>
        <w:shd w:val="clear" w:color="auto" w:fill="FFFFFF"/>
        <w:spacing w:before="120" w:after="120" w:line="264" w:lineRule="auto"/>
        <w:ind w:firstLine="567"/>
        <w:jc w:val="both"/>
        <w:rPr>
          <w:bCs/>
          <w:iCs/>
          <w:color w:val="000000" w:themeColor="text1"/>
          <w:sz w:val="26"/>
          <w:szCs w:val="26"/>
          <w:lang w:val="vi-VN"/>
          <w14:textFill>
            <w14:solidFill>
              <w14:schemeClr w14:val="tx1"/>
            </w14:solidFill>
          </w14:textFill>
        </w:rPr>
      </w:pPr>
      <w:r>
        <w:rPr>
          <w:bCs/>
          <w:iCs/>
          <w:color w:val="000000" w:themeColor="text1"/>
          <w:sz w:val="26"/>
          <w:szCs w:val="26"/>
          <w:lang w:val="vi-VN"/>
          <w14:textFill>
            <w14:solidFill>
              <w14:schemeClr w14:val="tx1"/>
            </w14:solidFill>
          </w14:textFill>
        </w:rPr>
        <w:t xml:space="preserve">- </w:t>
      </w:r>
      <w:r>
        <w:rPr>
          <w:bCs/>
          <w:iCs/>
          <w:color w:val="000000" w:themeColor="text1"/>
          <w:sz w:val="26"/>
          <w:szCs w:val="26"/>
          <w14:textFill>
            <w14:solidFill>
              <w14:schemeClr w14:val="tx1"/>
            </w14:solidFill>
          </w14:textFill>
        </w:rPr>
        <w:t>Quyết định số 26.01/QĐ-HTCL-BGI ngày 26 tháng 01 năm 2022 của Liên danh Công ty Cổ phần đầu tư xây dựng hạ tầng Chi Lăng và Công ty Cổ phần tập đoàn BGI quyết định phê duyệt dự án: Khu đô thị phía Đông Nam thị trấn Đồng Mỏ. Hạng mục hạ tầng kỹ thuật và nhà xây thô</w:t>
      </w:r>
      <w:r>
        <w:rPr>
          <w:bCs/>
          <w:iCs/>
          <w:color w:val="000000" w:themeColor="text1"/>
          <w:sz w:val="26"/>
          <w:szCs w:val="26"/>
          <w:lang w:val="vi-VN"/>
          <w14:textFill>
            <w14:solidFill>
              <w14:schemeClr w14:val="tx1"/>
            </w14:solidFill>
          </w14:textFill>
        </w:rPr>
        <w:t>;</w:t>
      </w:r>
    </w:p>
    <w:p w14:paraId="6E2C26CF">
      <w:pPr>
        <w:shd w:val="clear" w:color="auto" w:fill="FFFFFF"/>
        <w:spacing w:before="120" w:after="120" w:line="264" w:lineRule="auto"/>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xml:space="preserve">- Quyết định số </w:t>
      </w:r>
      <w:r>
        <w:rPr>
          <w:bCs/>
          <w:iCs/>
          <w:color w:val="000000" w:themeColor="text1"/>
          <w:spacing w:val="-6"/>
          <w:sz w:val="26"/>
          <w:szCs w:val="26"/>
          <w14:textFill>
            <w14:solidFill>
              <w14:schemeClr w14:val="tx1"/>
            </w14:solidFill>
          </w14:textFill>
        </w:rPr>
        <w:t>1328</w:t>
      </w:r>
      <w:r>
        <w:rPr>
          <w:bCs/>
          <w:iCs/>
          <w:color w:val="000000" w:themeColor="text1"/>
          <w:spacing w:val="-6"/>
          <w:sz w:val="26"/>
          <w:szCs w:val="26"/>
          <w:lang w:val="vi-VN"/>
          <w14:textFill>
            <w14:solidFill>
              <w14:schemeClr w14:val="tx1"/>
            </w14:solidFill>
          </w14:textFill>
        </w:rPr>
        <w:t>/QĐ-</w:t>
      </w:r>
      <w:r>
        <w:rPr>
          <w:bCs/>
          <w:iCs/>
          <w:color w:val="000000" w:themeColor="text1"/>
          <w:spacing w:val="-6"/>
          <w:sz w:val="26"/>
          <w:szCs w:val="26"/>
          <w14:textFill>
            <w14:solidFill>
              <w14:schemeClr w14:val="tx1"/>
            </w14:solidFill>
          </w14:textFill>
        </w:rPr>
        <w:t>UBND</w:t>
      </w:r>
      <w:r>
        <w:rPr>
          <w:bCs/>
          <w:iCs/>
          <w:color w:val="000000" w:themeColor="text1"/>
          <w:spacing w:val="-6"/>
          <w:sz w:val="26"/>
          <w:szCs w:val="26"/>
          <w:lang w:val="vi-VN"/>
          <w14:textFill>
            <w14:solidFill>
              <w14:schemeClr w14:val="tx1"/>
            </w14:solidFill>
          </w14:textFill>
        </w:rPr>
        <w:t xml:space="preserve"> ngày </w:t>
      </w:r>
      <w:r>
        <w:rPr>
          <w:bCs/>
          <w:iCs/>
          <w:color w:val="000000" w:themeColor="text1"/>
          <w:spacing w:val="-6"/>
          <w:sz w:val="26"/>
          <w:szCs w:val="26"/>
          <w14:textFill>
            <w14:solidFill>
              <w14:schemeClr w14:val="tx1"/>
            </w14:solidFill>
          </w14:textFill>
        </w:rPr>
        <w:t>0</w:t>
      </w:r>
      <w:r>
        <w:rPr>
          <w:bCs/>
          <w:iCs/>
          <w:color w:val="000000" w:themeColor="text1"/>
          <w:spacing w:val="-6"/>
          <w:sz w:val="26"/>
          <w:szCs w:val="26"/>
          <w:lang w:val="vi-VN"/>
          <w14:textFill>
            <w14:solidFill>
              <w14:schemeClr w14:val="tx1"/>
            </w14:solidFill>
          </w14:textFill>
        </w:rPr>
        <w:t xml:space="preserve">5/07/2021 </w:t>
      </w:r>
      <w:r>
        <w:rPr>
          <w:bCs/>
          <w:iCs/>
          <w:color w:val="000000" w:themeColor="text1"/>
          <w:spacing w:val="-6"/>
          <w:sz w:val="26"/>
          <w:szCs w:val="26"/>
          <w14:textFill>
            <w14:solidFill>
              <w14:schemeClr w14:val="tx1"/>
            </w14:solidFill>
          </w14:textFill>
        </w:rPr>
        <w:t>của UBND tỉnh Lạng Sơn quyết định chấp thuận chủ trương đầu tư đồng thời chấp thuận nhà đầu tư</w:t>
      </w:r>
      <w:r>
        <w:rPr>
          <w:bCs/>
          <w:iCs/>
          <w:color w:val="000000" w:themeColor="text1"/>
          <w:spacing w:val="-6"/>
          <w:sz w:val="26"/>
          <w:szCs w:val="26"/>
          <w:lang w:val="vi-VN"/>
          <w14:textFill>
            <w14:solidFill>
              <w14:schemeClr w14:val="tx1"/>
            </w14:solidFill>
          </w14:textFill>
        </w:rPr>
        <w:t>;</w:t>
      </w:r>
    </w:p>
    <w:p w14:paraId="35A6BDA9">
      <w:pPr>
        <w:shd w:val="clear" w:color="auto" w:fill="FFFFFF"/>
        <w:spacing w:before="120" w:after="120" w:line="264" w:lineRule="auto"/>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xml:space="preserve">- Quyết định số </w:t>
      </w:r>
      <w:r>
        <w:rPr>
          <w:bCs/>
          <w:iCs/>
          <w:color w:val="000000" w:themeColor="text1"/>
          <w:spacing w:val="-6"/>
          <w:sz w:val="26"/>
          <w:szCs w:val="26"/>
          <w14:textFill>
            <w14:solidFill>
              <w14:schemeClr w14:val="tx1"/>
            </w14:solidFill>
          </w14:textFill>
        </w:rPr>
        <w:t>8</w:t>
      </w:r>
      <w:r>
        <w:rPr>
          <w:bCs/>
          <w:iCs/>
          <w:color w:val="000000" w:themeColor="text1"/>
          <w:spacing w:val="-6"/>
          <w:sz w:val="26"/>
          <w:szCs w:val="26"/>
          <w:lang w:val="vi-VN"/>
          <w14:textFill>
            <w14:solidFill>
              <w14:schemeClr w14:val="tx1"/>
            </w14:solidFill>
          </w14:textFill>
        </w:rPr>
        <w:t xml:space="preserve">6/QĐ-UBND ngày </w:t>
      </w:r>
      <w:r>
        <w:rPr>
          <w:bCs/>
          <w:iCs/>
          <w:color w:val="000000" w:themeColor="text1"/>
          <w:spacing w:val="-6"/>
          <w:sz w:val="26"/>
          <w:szCs w:val="26"/>
          <w14:textFill>
            <w14:solidFill>
              <w14:schemeClr w14:val="tx1"/>
            </w14:solidFill>
          </w14:textFill>
        </w:rPr>
        <w:t>09</w:t>
      </w:r>
      <w:r>
        <w:rPr>
          <w:bCs/>
          <w:iCs/>
          <w:color w:val="000000" w:themeColor="text1"/>
          <w:spacing w:val="-6"/>
          <w:sz w:val="26"/>
          <w:szCs w:val="26"/>
          <w:lang w:val="vi-VN"/>
          <w14:textFill>
            <w14:solidFill>
              <w14:schemeClr w14:val="tx1"/>
            </w14:solidFill>
          </w14:textFill>
        </w:rPr>
        <w:t xml:space="preserve"> tháng </w:t>
      </w:r>
      <w:r>
        <w:rPr>
          <w:bCs/>
          <w:iCs/>
          <w:color w:val="000000" w:themeColor="text1"/>
          <w:spacing w:val="-6"/>
          <w:sz w:val="26"/>
          <w:szCs w:val="26"/>
          <w14:textFill>
            <w14:solidFill>
              <w14:schemeClr w14:val="tx1"/>
            </w14:solidFill>
          </w14:textFill>
        </w:rPr>
        <w:t>01</w:t>
      </w:r>
      <w:r>
        <w:rPr>
          <w:bCs/>
          <w:iCs/>
          <w:color w:val="000000" w:themeColor="text1"/>
          <w:spacing w:val="-6"/>
          <w:sz w:val="26"/>
          <w:szCs w:val="26"/>
          <w:lang w:val="vi-VN"/>
          <w14:textFill>
            <w14:solidFill>
              <w14:schemeClr w14:val="tx1"/>
            </w14:solidFill>
          </w14:textFill>
        </w:rPr>
        <w:t xml:space="preserve"> năm 202</w:t>
      </w:r>
      <w:r>
        <w:rPr>
          <w:bCs/>
          <w:iCs/>
          <w:color w:val="000000" w:themeColor="text1"/>
          <w:spacing w:val="-6"/>
          <w:sz w:val="26"/>
          <w:szCs w:val="26"/>
          <w14:textFill>
            <w14:solidFill>
              <w14:schemeClr w14:val="tx1"/>
            </w14:solidFill>
          </w14:textFill>
        </w:rPr>
        <w:t>5</w:t>
      </w:r>
      <w:r>
        <w:rPr>
          <w:bCs/>
          <w:iCs/>
          <w:color w:val="000000" w:themeColor="text1"/>
          <w:spacing w:val="-6"/>
          <w:sz w:val="26"/>
          <w:szCs w:val="26"/>
          <w:lang w:val="vi-VN"/>
          <w14:textFill>
            <w14:solidFill>
              <w14:schemeClr w14:val="tx1"/>
            </w14:solidFill>
          </w14:textFill>
        </w:rPr>
        <w:t xml:space="preserve"> của UBND tỉnh Lạng Sơn Về việc giao đất cho Liên danh Công ty Cổ phần Đầu tư xây dựng hạ tầng Chi Lăng và Công ty Cổ phần Tập đoàn BGI để thực hiện dự án Khu đô thị </w:t>
      </w:r>
      <w:r>
        <w:rPr>
          <w:bCs/>
          <w:iCs/>
          <w:color w:val="000000" w:themeColor="text1"/>
          <w:spacing w:val="-6"/>
          <w:sz w:val="26"/>
          <w:szCs w:val="26"/>
          <w14:textFill>
            <w14:solidFill>
              <w14:schemeClr w14:val="tx1"/>
            </w14:solidFill>
          </w14:textFill>
        </w:rPr>
        <w:t>phía Đông Nam, thị trấn Đồng Mỏ</w:t>
      </w:r>
      <w:r>
        <w:rPr>
          <w:bCs/>
          <w:iCs/>
          <w:color w:val="000000" w:themeColor="text1"/>
          <w:spacing w:val="-6"/>
          <w:sz w:val="26"/>
          <w:szCs w:val="26"/>
          <w:lang w:val="vi-VN"/>
          <w14:textFill>
            <w14:solidFill>
              <w14:schemeClr w14:val="tx1"/>
            </w14:solidFill>
          </w14:textFill>
        </w:rPr>
        <w:t>;</w:t>
      </w:r>
    </w:p>
    <w:p w14:paraId="66C5764C">
      <w:pPr>
        <w:shd w:val="clear" w:color="auto" w:fill="FFFFFF"/>
        <w:spacing w:before="120" w:after="120" w:line="264" w:lineRule="auto"/>
        <w:ind w:firstLine="567"/>
        <w:jc w:val="both"/>
        <w:rPr>
          <w:bCs/>
          <w:iCs/>
          <w:spacing w:val="-6"/>
          <w:sz w:val="26"/>
          <w:szCs w:val="26"/>
          <w:lang w:val="vi-VN"/>
        </w:rPr>
      </w:pPr>
      <w:r>
        <w:rPr>
          <w:bCs/>
          <w:iCs/>
          <w:spacing w:val="-6"/>
          <w:sz w:val="26"/>
          <w:szCs w:val="26"/>
          <w:lang w:val="vi-VN"/>
        </w:rPr>
        <w:t>- Công văn số 37</w:t>
      </w:r>
      <w:r>
        <w:rPr>
          <w:bCs/>
          <w:iCs/>
          <w:spacing w:val="-6"/>
          <w:sz w:val="26"/>
          <w:szCs w:val="26"/>
        </w:rPr>
        <w:t>80</w:t>
      </w:r>
      <w:r>
        <w:rPr>
          <w:bCs/>
          <w:iCs/>
          <w:spacing w:val="-6"/>
          <w:sz w:val="26"/>
          <w:szCs w:val="26"/>
          <w:lang w:val="vi-VN"/>
        </w:rPr>
        <w:t xml:space="preserve">/STNMT-KHTC ngày </w:t>
      </w:r>
      <w:r>
        <w:rPr>
          <w:bCs/>
          <w:iCs/>
          <w:spacing w:val="-6"/>
          <w:sz w:val="26"/>
          <w:szCs w:val="26"/>
        </w:rPr>
        <w:t>19</w:t>
      </w:r>
      <w:r>
        <w:rPr>
          <w:bCs/>
          <w:iCs/>
          <w:spacing w:val="-6"/>
          <w:sz w:val="26"/>
          <w:szCs w:val="26"/>
          <w:lang w:val="vi-VN"/>
        </w:rPr>
        <w:t xml:space="preserve"> tháng 12 năm 2024 của Sở Tài nguyên và Môi trường tỉnh Lạng Sơn V/v đề nghị cung cấp hồ sơ,</w:t>
      </w:r>
      <w:r>
        <w:rPr>
          <w:bCs/>
          <w:iCs/>
          <w:spacing w:val="-6"/>
          <w:sz w:val="26"/>
          <w:szCs w:val="26"/>
        </w:rPr>
        <w:t xml:space="preserve"> cho ý kiến để </w:t>
      </w:r>
      <w:r>
        <w:rPr>
          <w:bCs/>
          <w:iCs/>
          <w:spacing w:val="-6"/>
          <w:sz w:val="26"/>
          <w:szCs w:val="26"/>
          <w:lang w:val="vi-VN"/>
        </w:rPr>
        <w:t>phục vụ công tác xác định giá đất cụ thể;</w:t>
      </w:r>
    </w:p>
    <w:p w14:paraId="7770B1E1">
      <w:pPr>
        <w:shd w:val="clear" w:color="auto" w:fill="FFFFFF"/>
        <w:spacing w:before="120" w:after="120" w:line="264" w:lineRule="auto"/>
        <w:ind w:firstLine="567"/>
        <w:jc w:val="both"/>
        <w:rPr>
          <w:bCs/>
          <w:iCs/>
          <w:spacing w:val="-6"/>
          <w:sz w:val="26"/>
          <w:szCs w:val="26"/>
          <w:lang w:val="vi-VN"/>
        </w:rPr>
      </w:pPr>
      <w:r>
        <w:rPr>
          <w:bCs/>
          <w:iCs/>
          <w:spacing w:val="-6"/>
          <w:sz w:val="26"/>
          <w:szCs w:val="26"/>
          <w:lang w:val="vi-VN"/>
        </w:rPr>
        <w:t>- Công văn số 3</w:t>
      </w:r>
      <w:r>
        <w:rPr>
          <w:bCs/>
          <w:iCs/>
          <w:spacing w:val="-6"/>
          <w:sz w:val="26"/>
          <w:szCs w:val="26"/>
        </w:rPr>
        <w:t>160</w:t>
      </w:r>
      <w:r>
        <w:rPr>
          <w:bCs/>
          <w:iCs/>
          <w:spacing w:val="-6"/>
          <w:sz w:val="26"/>
          <w:szCs w:val="26"/>
          <w:lang w:val="vi-VN"/>
        </w:rPr>
        <w:t>/</w:t>
      </w:r>
      <w:r>
        <w:rPr>
          <w:bCs/>
          <w:iCs/>
          <w:spacing w:val="-10"/>
          <w:sz w:val="26"/>
          <w:szCs w:val="26"/>
          <w:lang w:val="vi-VN"/>
        </w:rPr>
        <w:t xml:space="preserve"> SXD-HTKT&amp;VLXD </w:t>
      </w:r>
      <w:r>
        <w:rPr>
          <w:bCs/>
          <w:iCs/>
          <w:spacing w:val="-6"/>
          <w:sz w:val="26"/>
          <w:szCs w:val="26"/>
          <w:lang w:val="vi-VN"/>
        </w:rPr>
        <w:t>ngày 2</w:t>
      </w:r>
      <w:r>
        <w:rPr>
          <w:bCs/>
          <w:iCs/>
          <w:spacing w:val="-6"/>
          <w:sz w:val="26"/>
          <w:szCs w:val="26"/>
        </w:rPr>
        <w:t>5</w:t>
      </w:r>
      <w:r>
        <w:rPr>
          <w:bCs/>
          <w:iCs/>
          <w:spacing w:val="-6"/>
          <w:sz w:val="26"/>
          <w:szCs w:val="26"/>
          <w:lang w:val="vi-VN"/>
        </w:rPr>
        <w:t xml:space="preserve"> tháng 12 năm 2024 của Sở </w:t>
      </w:r>
      <w:r>
        <w:rPr>
          <w:bCs/>
          <w:iCs/>
          <w:spacing w:val="-6"/>
          <w:sz w:val="26"/>
          <w:szCs w:val="26"/>
        </w:rPr>
        <w:t>Xây dựng</w:t>
      </w:r>
      <w:r>
        <w:rPr>
          <w:bCs/>
          <w:iCs/>
          <w:spacing w:val="-6"/>
          <w:sz w:val="26"/>
          <w:szCs w:val="26"/>
          <w:lang w:val="vi-VN"/>
        </w:rPr>
        <w:t xml:space="preserve"> tỉnh Lạng Sơn V/</w:t>
      </w:r>
      <w:r>
        <w:rPr>
          <w:bCs/>
          <w:iCs/>
          <w:spacing w:val="-6"/>
          <w:sz w:val="26"/>
          <w:szCs w:val="26"/>
        </w:rPr>
        <w:t>v tham gia</w:t>
      </w:r>
      <w:r>
        <w:rPr>
          <w:bCs/>
          <w:iCs/>
          <w:spacing w:val="-6"/>
          <w:sz w:val="26"/>
          <w:szCs w:val="26"/>
          <w:lang w:val="vi-VN"/>
        </w:rPr>
        <w:t xml:space="preserve"> ý kiến về dự toán xây dựng </w:t>
      </w:r>
      <w:r>
        <w:rPr>
          <w:bCs/>
          <w:iCs/>
          <w:spacing w:val="-6"/>
          <w:sz w:val="26"/>
          <w:szCs w:val="26"/>
        </w:rPr>
        <w:t xml:space="preserve">công trình dự án Khu đô thị phía Đông Nam, thị trấn Đồng Mỏ </w:t>
      </w:r>
      <w:r>
        <w:rPr>
          <w:bCs/>
          <w:iCs/>
          <w:spacing w:val="-6"/>
          <w:sz w:val="26"/>
          <w:szCs w:val="26"/>
          <w:lang w:val="vi-VN"/>
        </w:rPr>
        <w:t>để phục vụ công tác xác định giá đất cụ thể;</w:t>
      </w:r>
    </w:p>
    <w:p w14:paraId="1316B154">
      <w:pPr>
        <w:shd w:val="clear" w:color="auto" w:fill="FFFFFF"/>
        <w:spacing w:before="120" w:after="120" w:line="264" w:lineRule="auto"/>
        <w:ind w:firstLine="567"/>
        <w:jc w:val="both"/>
        <w:rPr>
          <w:sz w:val="26"/>
          <w:szCs w:val="26"/>
        </w:rPr>
      </w:pPr>
      <w:r>
        <w:rPr>
          <w:bCs/>
          <w:iCs/>
          <w:spacing w:val="-10"/>
          <w:sz w:val="26"/>
          <w:szCs w:val="26"/>
        </w:rPr>
        <w:t xml:space="preserve">- </w:t>
      </w:r>
      <w:r>
        <w:rPr>
          <w:sz w:val="26"/>
          <w:szCs w:val="26"/>
        </w:rPr>
        <w:t>Công văn số 93/SNNMT-KHTC ngày 10 tháng 03 năm 2025 của Sở Nông nghiệp và Môi trường tỉnh Lạng Sơn vv cung cấp hồ sơ, tài liệu phục vụ công tác xác định giá đất cụ thể;</w:t>
      </w:r>
    </w:p>
    <w:p w14:paraId="69B7A3C3">
      <w:pPr>
        <w:shd w:val="clear" w:color="auto" w:fill="FFFFFF"/>
        <w:spacing w:before="120" w:after="120" w:line="264" w:lineRule="auto"/>
        <w:ind w:firstLine="567"/>
        <w:jc w:val="both"/>
        <w:rPr>
          <w:bCs/>
          <w:iCs/>
          <w:spacing w:val="-6"/>
          <w:sz w:val="26"/>
          <w:szCs w:val="26"/>
          <w:lang w:val="vi-VN"/>
        </w:rPr>
      </w:pPr>
      <w:r>
        <w:rPr>
          <w:bCs/>
          <w:iCs/>
          <w:spacing w:val="-6"/>
          <w:sz w:val="26"/>
          <w:szCs w:val="26"/>
        </w:rPr>
        <w:t xml:space="preserve">- </w:t>
      </w:r>
      <w:r>
        <w:rPr>
          <w:bCs/>
          <w:iCs/>
          <w:spacing w:val="-6"/>
          <w:sz w:val="26"/>
          <w:szCs w:val="26"/>
          <w:lang w:val="vi-VN"/>
        </w:rPr>
        <w:t xml:space="preserve">Công văn số </w:t>
      </w:r>
      <w:r>
        <w:rPr>
          <w:bCs/>
          <w:iCs/>
          <w:spacing w:val="-6"/>
          <w:sz w:val="26"/>
          <w:szCs w:val="26"/>
        </w:rPr>
        <w:t>121</w:t>
      </w:r>
      <w:r>
        <w:rPr>
          <w:bCs/>
          <w:iCs/>
          <w:spacing w:val="-6"/>
          <w:sz w:val="26"/>
          <w:szCs w:val="26"/>
          <w:lang w:val="vi-VN"/>
        </w:rPr>
        <w:t>/</w:t>
      </w:r>
      <w:r>
        <w:rPr>
          <w:sz w:val="26"/>
          <w:szCs w:val="26"/>
        </w:rPr>
        <w:t xml:space="preserve"> SNNMT-KHTC </w:t>
      </w:r>
      <w:r>
        <w:rPr>
          <w:bCs/>
          <w:iCs/>
          <w:spacing w:val="-6"/>
          <w:sz w:val="26"/>
          <w:szCs w:val="26"/>
          <w:lang w:val="vi-VN"/>
        </w:rPr>
        <w:t xml:space="preserve">ngày </w:t>
      </w:r>
      <w:r>
        <w:rPr>
          <w:bCs/>
          <w:iCs/>
          <w:spacing w:val="-6"/>
          <w:sz w:val="26"/>
          <w:szCs w:val="26"/>
        </w:rPr>
        <w:t>11</w:t>
      </w:r>
      <w:r>
        <w:rPr>
          <w:bCs/>
          <w:iCs/>
          <w:spacing w:val="-6"/>
          <w:sz w:val="26"/>
          <w:szCs w:val="26"/>
          <w:lang w:val="vi-VN"/>
        </w:rPr>
        <w:t xml:space="preserve"> tháng </w:t>
      </w:r>
      <w:r>
        <w:rPr>
          <w:bCs/>
          <w:iCs/>
          <w:spacing w:val="-6"/>
          <w:sz w:val="26"/>
          <w:szCs w:val="26"/>
        </w:rPr>
        <w:t>3</w:t>
      </w:r>
      <w:r>
        <w:rPr>
          <w:bCs/>
          <w:iCs/>
          <w:spacing w:val="-6"/>
          <w:sz w:val="26"/>
          <w:szCs w:val="26"/>
          <w:lang w:val="vi-VN"/>
        </w:rPr>
        <w:t xml:space="preserve"> năm 2025 của Sở </w:t>
      </w:r>
      <w:r>
        <w:rPr>
          <w:sz w:val="26"/>
          <w:szCs w:val="26"/>
        </w:rPr>
        <w:t>Nông nghiệp và Môi trường</w:t>
      </w:r>
      <w:r>
        <w:rPr>
          <w:bCs/>
          <w:iCs/>
          <w:spacing w:val="-6"/>
          <w:sz w:val="26"/>
          <w:szCs w:val="26"/>
          <w:lang w:val="vi-VN"/>
        </w:rPr>
        <w:t xml:space="preserve"> tỉnh Lạng Sơn V/v </w:t>
      </w:r>
      <w:r>
        <w:rPr>
          <w:bCs/>
          <w:iCs/>
          <w:spacing w:val="-6"/>
          <w:sz w:val="26"/>
          <w:szCs w:val="26"/>
        </w:rPr>
        <w:t>đề nghị rà soát, hoàn thiện dự toán xây dựng phụ vụ công tác định giá đất cụ thể dự án Khu đô thị Đông Nam, thị trấn Đồng Mỏ</w:t>
      </w:r>
      <w:r>
        <w:rPr>
          <w:bCs/>
          <w:iCs/>
          <w:spacing w:val="-6"/>
          <w:sz w:val="26"/>
          <w:szCs w:val="26"/>
          <w:lang w:val="vi-VN"/>
        </w:rPr>
        <w:t>;</w:t>
      </w:r>
    </w:p>
    <w:p w14:paraId="1F7E2470">
      <w:pPr>
        <w:shd w:val="clear" w:color="auto" w:fill="FFFFFF"/>
        <w:spacing w:before="120" w:after="120" w:line="264" w:lineRule="auto"/>
        <w:ind w:firstLine="567"/>
        <w:jc w:val="both"/>
        <w:rPr>
          <w:bCs/>
          <w:iCs/>
          <w:spacing w:val="-6"/>
          <w:sz w:val="26"/>
          <w:szCs w:val="26"/>
        </w:rPr>
      </w:pPr>
      <w:r>
        <w:rPr>
          <w:bCs/>
          <w:iCs/>
          <w:spacing w:val="-6"/>
          <w:sz w:val="26"/>
          <w:szCs w:val="26"/>
        </w:rPr>
        <w:t>- Công văn số 755/SXD-QLHT ngày 25 tháng 3 năm 2025 của Sở Xây dựng v/v góp ý kiến về dự toán xây dựng để thực hiện xác định giá đất cụ thể;</w:t>
      </w:r>
    </w:p>
    <w:p w14:paraId="463A98E2">
      <w:pPr>
        <w:shd w:val="clear" w:color="auto" w:fill="FFFFFF"/>
        <w:spacing w:before="120" w:after="120" w:line="264" w:lineRule="auto"/>
        <w:ind w:firstLine="567"/>
        <w:jc w:val="both"/>
        <w:rPr>
          <w:bCs/>
          <w:iCs/>
          <w:spacing w:val="-6"/>
          <w:sz w:val="26"/>
          <w:szCs w:val="26"/>
        </w:rPr>
      </w:pPr>
      <w:r>
        <w:rPr>
          <w:bCs/>
          <w:iCs/>
          <w:spacing w:val="-6"/>
          <w:sz w:val="26"/>
          <w:szCs w:val="26"/>
        </w:rPr>
        <w:t xml:space="preserve">- </w:t>
      </w:r>
      <w:r>
        <w:rPr>
          <w:bCs/>
          <w:iCs/>
          <w:spacing w:val="-6"/>
          <w:sz w:val="26"/>
          <w:szCs w:val="26"/>
          <w:lang w:val="vi-VN"/>
        </w:rPr>
        <w:t xml:space="preserve">Công văn </w:t>
      </w:r>
      <w:bookmarkStart w:id="10" w:name="_Hlk203551031"/>
      <w:r>
        <w:rPr>
          <w:bCs/>
          <w:iCs/>
          <w:spacing w:val="-6"/>
          <w:sz w:val="26"/>
          <w:szCs w:val="26"/>
          <w:lang w:val="vi-VN"/>
        </w:rPr>
        <w:t xml:space="preserve">số </w:t>
      </w:r>
      <w:r>
        <w:rPr>
          <w:bCs/>
          <w:iCs/>
          <w:spacing w:val="-6"/>
          <w:sz w:val="26"/>
          <w:szCs w:val="26"/>
        </w:rPr>
        <w:t xml:space="preserve">678/SNNMT-KHTC </w:t>
      </w:r>
      <w:r>
        <w:rPr>
          <w:bCs/>
          <w:iCs/>
          <w:spacing w:val="-10"/>
          <w:sz w:val="26"/>
          <w:szCs w:val="26"/>
          <w:lang w:val="vi-VN"/>
        </w:rPr>
        <w:t xml:space="preserve"> </w:t>
      </w:r>
      <w:r>
        <w:rPr>
          <w:bCs/>
          <w:iCs/>
          <w:spacing w:val="-6"/>
          <w:sz w:val="26"/>
          <w:szCs w:val="26"/>
          <w:lang w:val="vi-VN"/>
        </w:rPr>
        <w:t xml:space="preserve">ngày </w:t>
      </w:r>
      <w:r>
        <w:rPr>
          <w:bCs/>
          <w:iCs/>
          <w:spacing w:val="-6"/>
          <w:sz w:val="26"/>
          <w:szCs w:val="26"/>
        </w:rPr>
        <w:t>10</w:t>
      </w:r>
      <w:r>
        <w:rPr>
          <w:bCs/>
          <w:iCs/>
          <w:spacing w:val="-6"/>
          <w:sz w:val="26"/>
          <w:szCs w:val="26"/>
          <w:lang w:val="vi-VN"/>
        </w:rPr>
        <w:t xml:space="preserve"> tháng </w:t>
      </w:r>
      <w:r>
        <w:rPr>
          <w:bCs/>
          <w:iCs/>
          <w:spacing w:val="-6"/>
          <w:sz w:val="26"/>
          <w:szCs w:val="26"/>
        </w:rPr>
        <w:t>4</w:t>
      </w:r>
      <w:r>
        <w:rPr>
          <w:bCs/>
          <w:iCs/>
          <w:spacing w:val="-6"/>
          <w:sz w:val="26"/>
          <w:szCs w:val="26"/>
          <w:lang w:val="vi-VN"/>
        </w:rPr>
        <w:t xml:space="preserve"> năm 202</w:t>
      </w:r>
      <w:r>
        <w:rPr>
          <w:bCs/>
          <w:iCs/>
          <w:spacing w:val="-6"/>
          <w:sz w:val="26"/>
          <w:szCs w:val="26"/>
        </w:rPr>
        <w:t>5</w:t>
      </w:r>
      <w:r>
        <w:rPr>
          <w:bCs/>
          <w:iCs/>
          <w:spacing w:val="-6"/>
          <w:sz w:val="26"/>
          <w:szCs w:val="26"/>
          <w:lang w:val="vi-VN"/>
        </w:rPr>
        <w:t xml:space="preserve"> của Sở </w:t>
      </w:r>
      <w:r>
        <w:rPr>
          <w:bCs/>
          <w:iCs/>
          <w:spacing w:val="-6"/>
          <w:sz w:val="26"/>
          <w:szCs w:val="26"/>
        </w:rPr>
        <w:t>Nông nghiệp và Môi trường</w:t>
      </w:r>
      <w:r>
        <w:rPr>
          <w:bCs/>
          <w:iCs/>
          <w:spacing w:val="-6"/>
          <w:sz w:val="26"/>
          <w:szCs w:val="26"/>
          <w:lang w:val="vi-VN"/>
        </w:rPr>
        <w:t xml:space="preserve"> tỉnh Lạng Sơn </w:t>
      </w:r>
      <w:r>
        <w:rPr>
          <w:bCs/>
          <w:iCs/>
          <w:spacing w:val="-6"/>
          <w:sz w:val="26"/>
          <w:szCs w:val="26"/>
        </w:rPr>
        <w:t>v/v đề nghị rà soát, hoàn thiện dự toán xây dựng phục vụ định giá đất cụ thể dự án Khu đô thị phía Đông Nam, thị trấn Đồng Mỏ</w:t>
      </w:r>
      <w:bookmarkEnd w:id="10"/>
    </w:p>
    <w:p w14:paraId="127BBE47">
      <w:pPr>
        <w:shd w:val="clear" w:color="auto" w:fill="FFFFFF"/>
        <w:spacing w:before="120" w:after="120" w:line="264" w:lineRule="auto"/>
        <w:ind w:firstLine="567"/>
        <w:jc w:val="both"/>
        <w:rPr>
          <w:bCs/>
          <w:iCs/>
          <w:spacing w:val="-6"/>
          <w:sz w:val="26"/>
          <w:szCs w:val="26"/>
        </w:rPr>
      </w:pPr>
      <w:r>
        <w:rPr>
          <w:bCs/>
          <w:iCs/>
          <w:spacing w:val="-6"/>
          <w:sz w:val="26"/>
          <w:szCs w:val="26"/>
        </w:rPr>
        <w:t xml:space="preserve">- </w:t>
      </w:r>
      <w:r>
        <w:rPr>
          <w:bCs/>
          <w:iCs/>
          <w:spacing w:val="-6"/>
          <w:sz w:val="26"/>
          <w:szCs w:val="26"/>
          <w:lang w:val="vi-VN"/>
        </w:rPr>
        <w:t xml:space="preserve">Công văn số </w:t>
      </w:r>
      <w:r>
        <w:rPr>
          <w:bCs/>
          <w:iCs/>
          <w:spacing w:val="-6"/>
          <w:sz w:val="26"/>
          <w:szCs w:val="26"/>
        </w:rPr>
        <w:t>115</w:t>
      </w:r>
      <w:r>
        <w:rPr>
          <w:bCs/>
          <w:iCs/>
          <w:spacing w:val="-6"/>
          <w:sz w:val="26"/>
          <w:szCs w:val="26"/>
          <w:lang w:val="vi-VN"/>
        </w:rPr>
        <w:t>/</w:t>
      </w:r>
      <w:r>
        <w:rPr>
          <w:bCs/>
          <w:iCs/>
          <w:spacing w:val="-6"/>
          <w:sz w:val="26"/>
          <w:szCs w:val="26"/>
        </w:rPr>
        <w:t>CNVPĐKĐĐCL</w:t>
      </w:r>
      <w:r>
        <w:rPr>
          <w:bCs/>
          <w:iCs/>
          <w:spacing w:val="-6"/>
          <w:sz w:val="26"/>
          <w:szCs w:val="26"/>
          <w:lang w:val="vi-VN"/>
        </w:rPr>
        <w:t xml:space="preserve"> ngày </w:t>
      </w:r>
      <w:r>
        <w:rPr>
          <w:bCs/>
          <w:iCs/>
          <w:spacing w:val="-6"/>
          <w:sz w:val="26"/>
          <w:szCs w:val="26"/>
        </w:rPr>
        <w:t>21</w:t>
      </w:r>
      <w:r>
        <w:rPr>
          <w:bCs/>
          <w:iCs/>
          <w:spacing w:val="-6"/>
          <w:sz w:val="26"/>
          <w:szCs w:val="26"/>
          <w:lang w:val="vi-VN"/>
        </w:rPr>
        <w:t xml:space="preserve"> tháng</w:t>
      </w:r>
      <w:r>
        <w:rPr>
          <w:bCs/>
          <w:iCs/>
          <w:spacing w:val="-6"/>
          <w:sz w:val="26"/>
          <w:szCs w:val="26"/>
        </w:rPr>
        <w:t xml:space="preserve"> 4</w:t>
      </w:r>
      <w:r>
        <w:rPr>
          <w:bCs/>
          <w:iCs/>
          <w:spacing w:val="-6"/>
          <w:sz w:val="26"/>
          <w:szCs w:val="26"/>
          <w:lang w:val="vi-VN"/>
        </w:rPr>
        <w:t xml:space="preserve"> năm 2025 của </w:t>
      </w:r>
      <w:r>
        <w:rPr>
          <w:bCs/>
          <w:iCs/>
          <w:spacing w:val="-6"/>
          <w:sz w:val="26"/>
          <w:szCs w:val="26"/>
        </w:rPr>
        <w:t>Chi nhánh Văn phòng Đăng ký đất đai huyện Chi Lăng</w:t>
      </w:r>
      <w:r>
        <w:rPr>
          <w:bCs/>
          <w:iCs/>
          <w:spacing w:val="-6"/>
          <w:sz w:val="26"/>
          <w:szCs w:val="26"/>
          <w:lang w:val="vi-VN"/>
        </w:rPr>
        <w:t xml:space="preserve"> V/v cung cấp thông tin</w:t>
      </w:r>
      <w:r>
        <w:rPr>
          <w:bCs/>
          <w:iCs/>
          <w:spacing w:val="-6"/>
          <w:sz w:val="26"/>
          <w:szCs w:val="26"/>
        </w:rPr>
        <w:t>, tài liệu để phục vụ công tác xác định giá đất cụ thể theo Văn bản số 810/SNNMT-KHTC ngày 18/4/2025 của Sở Nông nghiệp và Môi trường</w:t>
      </w:r>
      <w:r>
        <w:rPr>
          <w:bCs/>
          <w:iCs/>
          <w:spacing w:val="-6"/>
          <w:sz w:val="26"/>
          <w:szCs w:val="26"/>
          <w:lang w:val="vi-VN"/>
        </w:rPr>
        <w:t>;</w:t>
      </w:r>
      <w:bookmarkEnd w:id="9"/>
    </w:p>
    <w:p w14:paraId="2DB7FC4F">
      <w:pPr>
        <w:shd w:val="clear" w:color="auto" w:fill="FFFFFF"/>
        <w:spacing w:before="120" w:after="120" w:line="264" w:lineRule="auto"/>
        <w:ind w:firstLine="567"/>
        <w:jc w:val="both"/>
        <w:rPr>
          <w:bCs/>
          <w:iCs/>
          <w:spacing w:val="-6"/>
          <w:sz w:val="26"/>
          <w:szCs w:val="26"/>
        </w:rPr>
      </w:pPr>
      <w:r>
        <w:rPr>
          <w:bCs/>
          <w:iCs/>
          <w:spacing w:val="-6"/>
          <w:sz w:val="26"/>
          <w:szCs w:val="26"/>
        </w:rPr>
        <w:t xml:space="preserve">- </w:t>
      </w:r>
      <w:r>
        <w:rPr>
          <w:bCs/>
          <w:iCs/>
          <w:spacing w:val="-6"/>
          <w:sz w:val="26"/>
          <w:szCs w:val="26"/>
          <w:lang w:val="vi-VN"/>
        </w:rPr>
        <w:t xml:space="preserve">Công văn số </w:t>
      </w:r>
      <w:r>
        <w:rPr>
          <w:bCs/>
          <w:iCs/>
          <w:spacing w:val="-6"/>
          <w:sz w:val="26"/>
          <w:szCs w:val="26"/>
        </w:rPr>
        <w:t>1182</w:t>
      </w:r>
      <w:r>
        <w:rPr>
          <w:bCs/>
          <w:iCs/>
          <w:spacing w:val="-6"/>
          <w:sz w:val="26"/>
          <w:szCs w:val="26"/>
          <w:lang w:val="vi-VN"/>
        </w:rPr>
        <w:t>/</w:t>
      </w:r>
      <w:r>
        <w:rPr>
          <w:bCs/>
          <w:iCs/>
          <w:spacing w:val="-10"/>
          <w:sz w:val="26"/>
          <w:szCs w:val="26"/>
          <w:lang w:val="vi-VN"/>
        </w:rPr>
        <w:t xml:space="preserve"> SXD-</w:t>
      </w:r>
      <w:r>
        <w:rPr>
          <w:bCs/>
          <w:iCs/>
          <w:spacing w:val="-10"/>
          <w:sz w:val="26"/>
          <w:szCs w:val="26"/>
        </w:rPr>
        <w:t>QLHT</w:t>
      </w:r>
      <w:r>
        <w:rPr>
          <w:bCs/>
          <w:iCs/>
          <w:spacing w:val="-10"/>
          <w:sz w:val="26"/>
          <w:szCs w:val="26"/>
          <w:lang w:val="vi-VN"/>
        </w:rPr>
        <w:t xml:space="preserve"> </w:t>
      </w:r>
      <w:r>
        <w:rPr>
          <w:bCs/>
          <w:iCs/>
          <w:spacing w:val="-6"/>
          <w:sz w:val="26"/>
          <w:szCs w:val="26"/>
          <w:lang w:val="vi-VN"/>
        </w:rPr>
        <w:t xml:space="preserve">ngày </w:t>
      </w:r>
      <w:r>
        <w:rPr>
          <w:bCs/>
          <w:iCs/>
          <w:spacing w:val="-6"/>
          <w:sz w:val="26"/>
          <w:szCs w:val="26"/>
        </w:rPr>
        <w:t>26</w:t>
      </w:r>
      <w:r>
        <w:rPr>
          <w:bCs/>
          <w:iCs/>
          <w:spacing w:val="-6"/>
          <w:sz w:val="26"/>
          <w:szCs w:val="26"/>
          <w:lang w:val="vi-VN"/>
        </w:rPr>
        <w:t xml:space="preserve"> tháng </w:t>
      </w:r>
      <w:r>
        <w:rPr>
          <w:bCs/>
          <w:iCs/>
          <w:spacing w:val="-6"/>
          <w:sz w:val="26"/>
          <w:szCs w:val="26"/>
        </w:rPr>
        <w:t>4</w:t>
      </w:r>
      <w:r>
        <w:rPr>
          <w:bCs/>
          <w:iCs/>
          <w:spacing w:val="-6"/>
          <w:sz w:val="26"/>
          <w:szCs w:val="26"/>
          <w:lang w:val="vi-VN"/>
        </w:rPr>
        <w:t xml:space="preserve"> năm 202</w:t>
      </w:r>
      <w:r>
        <w:rPr>
          <w:bCs/>
          <w:iCs/>
          <w:spacing w:val="-6"/>
          <w:sz w:val="26"/>
          <w:szCs w:val="26"/>
        </w:rPr>
        <w:t>5</w:t>
      </w:r>
      <w:r>
        <w:rPr>
          <w:bCs/>
          <w:iCs/>
          <w:spacing w:val="-6"/>
          <w:sz w:val="26"/>
          <w:szCs w:val="26"/>
          <w:lang w:val="vi-VN"/>
        </w:rPr>
        <w:t xml:space="preserve"> của Sở </w:t>
      </w:r>
      <w:r>
        <w:rPr>
          <w:bCs/>
          <w:iCs/>
          <w:spacing w:val="-6"/>
          <w:sz w:val="26"/>
          <w:szCs w:val="26"/>
        </w:rPr>
        <w:t>Xây dựng</w:t>
      </w:r>
      <w:r>
        <w:rPr>
          <w:bCs/>
          <w:iCs/>
          <w:spacing w:val="-6"/>
          <w:sz w:val="26"/>
          <w:szCs w:val="26"/>
          <w:lang w:val="vi-VN"/>
        </w:rPr>
        <w:t xml:space="preserve"> tỉnh Lạng Sơn V/</w:t>
      </w:r>
      <w:r>
        <w:rPr>
          <w:bCs/>
          <w:iCs/>
          <w:spacing w:val="-6"/>
          <w:sz w:val="26"/>
          <w:szCs w:val="26"/>
        </w:rPr>
        <w:t>v tham gia</w:t>
      </w:r>
      <w:r>
        <w:rPr>
          <w:bCs/>
          <w:iCs/>
          <w:spacing w:val="-6"/>
          <w:sz w:val="26"/>
          <w:szCs w:val="26"/>
          <w:lang w:val="vi-VN"/>
        </w:rPr>
        <w:t xml:space="preserve"> ý kiến về dự toán xây dựng </w:t>
      </w:r>
      <w:r>
        <w:rPr>
          <w:bCs/>
          <w:iCs/>
          <w:spacing w:val="-6"/>
          <w:sz w:val="26"/>
          <w:szCs w:val="26"/>
        </w:rPr>
        <w:t xml:space="preserve">để thực hiện xác định giá đất cụ thể dự án Khu đô thị phía Đông Nam, thị trấn Đồng Mỏ </w:t>
      </w:r>
      <w:r>
        <w:rPr>
          <w:bCs/>
          <w:iCs/>
          <w:spacing w:val="-6"/>
          <w:sz w:val="26"/>
          <w:szCs w:val="26"/>
          <w:lang w:val="vi-VN"/>
        </w:rPr>
        <w:t>để phục vụ công tác xác định giá đất cụ thể</w:t>
      </w:r>
    </w:p>
    <w:p w14:paraId="594BE552">
      <w:pPr>
        <w:shd w:val="clear" w:color="auto" w:fill="FFFFFF"/>
        <w:spacing w:before="120" w:after="120" w:line="264" w:lineRule="auto"/>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Sơ đồ quy hoạch giao thông theo quy hoạch chi tiết 1/500.</w:t>
      </w:r>
    </w:p>
    <w:p w14:paraId="78565FB9">
      <w:pPr>
        <w:shd w:val="clear" w:color="auto" w:fill="FFFFFF"/>
        <w:spacing w:before="120" w:after="120" w:line="264" w:lineRule="auto"/>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Sơ đồ quy hoạch phân lô đất ở theo quy hoạch chi tiết 1/500.</w:t>
      </w:r>
    </w:p>
    <w:p w14:paraId="5D81D95E">
      <w:pPr>
        <w:shd w:val="clear" w:color="auto" w:fill="FFFFFF"/>
        <w:spacing w:before="120" w:after="120" w:line="264" w:lineRule="auto"/>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xml:space="preserve">- </w:t>
      </w:r>
      <w:r>
        <w:rPr>
          <w:bCs/>
          <w:iCs/>
          <w:color w:val="000000" w:themeColor="text1"/>
          <w:spacing w:val="-6"/>
          <w:sz w:val="26"/>
          <w:szCs w:val="26"/>
          <w14:textFill>
            <w14:solidFill>
              <w14:schemeClr w14:val="tx1"/>
            </w14:solidFill>
          </w14:textFill>
        </w:rPr>
        <w:t>Trích lục bản trích đo địa chính</w:t>
      </w:r>
      <w:r>
        <w:rPr>
          <w:bCs/>
          <w:iCs/>
          <w:color w:val="000000" w:themeColor="text1"/>
          <w:spacing w:val="-6"/>
          <w:sz w:val="26"/>
          <w:szCs w:val="26"/>
          <w:lang w:val="vi-VN"/>
          <w14:textFill>
            <w14:solidFill>
              <w14:schemeClr w14:val="tx1"/>
            </w14:solidFill>
          </w14:textFill>
        </w:rPr>
        <w:t>.</w:t>
      </w:r>
    </w:p>
    <w:p w14:paraId="597CE55A">
      <w:pPr>
        <w:shd w:val="clear" w:color="auto" w:fill="FFFFFF"/>
        <w:spacing w:before="120" w:after="120" w:line="264" w:lineRule="auto"/>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Một số hồ sơ liên quan khác.</w:t>
      </w:r>
    </w:p>
    <w:p w14:paraId="2648C2C7">
      <w:pPr>
        <w:shd w:val="clear" w:color="auto" w:fill="FFFFFF"/>
        <w:spacing w:before="120" w:after="120" w:line="380" w:lineRule="exact"/>
        <w:ind w:firstLine="567"/>
        <w:jc w:val="both"/>
        <w:rPr>
          <w:b/>
          <w:color w:val="000000" w:themeColor="text1"/>
          <w:sz w:val="26"/>
          <w:szCs w:val="26"/>
          <w:lang w:val="da-DK"/>
          <w14:textFill>
            <w14:solidFill>
              <w14:schemeClr w14:val="tx1"/>
            </w14:solidFill>
          </w14:textFill>
        </w:rPr>
      </w:pPr>
      <w:r>
        <w:rPr>
          <w:b/>
          <w:color w:val="000000" w:themeColor="text1"/>
          <w:sz w:val="26"/>
          <w:szCs w:val="26"/>
          <w:lang w:val="da-DK"/>
          <w14:textFill>
            <w14:solidFill>
              <w14:schemeClr w14:val="tx1"/>
            </w14:solidFill>
          </w14:textFill>
        </w:rPr>
        <w:t>5.4. Các</w:t>
      </w:r>
      <w:r>
        <w:rPr>
          <w:b/>
          <w:color w:val="000000" w:themeColor="text1"/>
          <w:sz w:val="26"/>
          <w:szCs w:val="26"/>
          <w:lang w:val="vi-VN"/>
          <w14:textFill>
            <w14:solidFill>
              <w14:schemeClr w14:val="tx1"/>
            </w14:solidFill>
          </w14:textFill>
        </w:rPr>
        <w:t xml:space="preserve"> văn bản, hồ sơ liên quan khác.</w:t>
      </w:r>
    </w:p>
    <w:p w14:paraId="3F80D71B">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bookmarkStart w:id="11" w:name="_Hlk171919214"/>
      <w:r>
        <w:rPr>
          <w:bCs/>
          <w:iCs/>
          <w:color w:val="000000" w:themeColor="text1"/>
          <w:spacing w:val="-6"/>
          <w:sz w:val="26"/>
          <w:szCs w:val="26"/>
          <w:lang w:val="vi-VN"/>
          <w14:textFill>
            <w14:solidFill>
              <w14:schemeClr w14:val="tx1"/>
            </w14:solidFill>
          </w14:textFill>
        </w:rPr>
        <w:t xml:space="preserve">- </w:t>
      </w:r>
      <w:r>
        <w:rPr>
          <w:spacing w:val="-2"/>
          <w:sz w:val="26"/>
          <w:szCs w:val="26"/>
          <w:lang w:val="nb-NO"/>
        </w:rPr>
        <w:t xml:space="preserve">Căn cứ Quyết định số 41/QĐ-STNMT ngày 19/02/2025 của Sở Tài nguyên và Môi trường tỉnh Lạng Sơn </w:t>
      </w:r>
      <w:r>
        <w:rPr>
          <w:spacing w:val="-2"/>
          <w:sz w:val="26"/>
          <w:szCs w:val="26"/>
        </w:rPr>
        <w:t>Về việc phê duyệt chỉ định thầu đơn vị thực hiện gói thầu: Tư vấn xác định giá đất cụ thể làm căn cứ tính tiền sử dụng đất đối với Liên danh Công ty Cổ phần Đầu tư xây dựng hạ tầng Chi Lăng và Công ty Cổ phần Tập đoàn BGI tại dự án Khu đô thị phía Đông Nam, thị trấn Đồng Mỏ</w:t>
      </w:r>
      <w:r>
        <w:rPr>
          <w:bCs/>
          <w:iCs/>
          <w:color w:val="000000" w:themeColor="text1"/>
          <w:spacing w:val="-6"/>
          <w:sz w:val="26"/>
          <w:szCs w:val="26"/>
          <w:lang w:val="vi-VN"/>
          <w14:textFill>
            <w14:solidFill>
              <w14:schemeClr w14:val="tx1"/>
            </w14:solidFill>
          </w14:textFill>
        </w:rPr>
        <w:t>;</w:t>
      </w:r>
    </w:p>
    <w:p w14:paraId="51A05510">
      <w:pPr>
        <w:shd w:val="clear" w:color="auto" w:fill="FFFFFF"/>
        <w:spacing w:before="120" w:after="120" w:line="380" w:lineRule="exact"/>
        <w:ind w:firstLine="567"/>
        <w:jc w:val="both"/>
        <w:rPr>
          <w:bCs/>
          <w:iCs/>
          <w:color w:val="000000" w:themeColor="text1"/>
          <w:spacing w:val="-6"/>
          <w:sz w:val="26"/>
          <w:szCs w:val="26"/>
          <w14:textFill>
            <w14:solidFill>
              <w14:schemeClr w14:val="tx1"/>
            </w14:solidFill>
          </w14:textFill>
        </w:rPr>
      </w:pPr>
      <w:r>
        <w:rPr>
          <w:bCs/>
          <w:iCs/>
          <w:color w:val="000000" w:themeColor="text1"/>
          <w:spacing w:val="-6"/>
          <w:sz w:val="26"/>
          <w:szCs w:val="26"/>
          <w:lang w:val="vi-VN"/>
          <w14:textFill>
            <w14:solidFill>
              <w14:schemeClr w14:val="tx1"/>
            </w14:solidFill>
          </w14:textFill>
        </w:rPr>
        <w:t xml:space="preserve">- Hợp đồng Kinh tế số </w:t>
      </w:r>
      <w:r>
        <w:rPr>
          <w:bCs/>
          <w:iCs/>
          <w:spacing w:val="-6"/>
          <w:sz w:val="26"/>
          <w:szCs w:val="26"/>
          <w:lang w:val="vi-VN"/>
        </w:rPr>
        <w:t>04/2025/HĐTVĐG ngày 20 tháng 02 năm 2025</w:t>
      </w:r>
      <w:r>
        <w:rPr>
          <w:bCs/>
          <w:iCs/>
          <w:spacing w:val="-6"/>
          <w:sz w:val="26"/>
          <w:szCs w:val="26"/>
        </w:rPr>
        <w:t xml:space="preserve"> </w:t>
      </w:r>
      <w:r>
        <w:rPr>
          <w:bCs/>
          <w:iCs/>
          <w:spacing w:val="-6"/>
          <w:sz w:val="26"/>
          <w:szCs w:val="26"/>
          <w:lang w:val="vi-VN"/>
        </w:rPr>
        <w:t xml:space="preserve">giữa </w:t>
      </w:r>
      <w:r>
        <w:rPr>
          <w:bCs/>
          <w:iCs/>
          <w:color w:val="000000" w:themeColor="text1"/>
          <w:spacing w:val="-6"/>
          <w:sz w:val="26"/>
          <w:szCs w:val="26"/>
          <w:lang w:val="vi-VN"/>
          <w14:textFill>
            <w14:solidFill>
              <w14:schemeClr w14:val="tx1"/>
            </w14:solidFill>
          </w14:textFill>
        </w:rPr>
        <w:t xml:space="preserve">Sở </w:t>
      </w:r>
      <w:r>
        <w:rPr>
          <w:bCs/>
          <w:iCs/>
          <w:color w:val="000000" w:themeColor="text1"/>
          <w:spacing w:val="-6"/>
          <w:sz w:val="26"/>
          <w:szCs w:val="26"/>
          <w14:textFill>
            <w14:solidFill>
              <w14:schemeClr w14:val="tx1"/>
            </w14:solidFill>
          </w14:textFill>
        </w:rPr>
        <w:t>Tài nguyên</w:t>
      </w:r>
      <w:r>
        <w:rPr>
          <w:bCs/>
          <w:iCs/>
          <w:color w:val="000000" w:themeColor="text1"/>
          <w:spacing w:val="-6"/>
          <w:sz w:val="26"/>
          <w:szCs w:val="26"/>
          <w:lang w:val="vi-VN"/>
          <w14:textFill>
            <w14:solidFill>
              <w14:schemeClr w14:val="tx1"/>
            </w14:solidFill>
          </w14:textFill>
        </w:rPr>
        <w:t xml:space="preserve"> và Môi trường tỉnh Lạng Sơn với Công ty Cổ phần Dịch vụ Tư vấn và Thẩm định giá Việt Nam về việc </w:t>
      </w:r>
      <w:bookmarkEnd w:id="11"/>
      <w:bookmarkStart w:id="12" w:name="_Hlk159876095"/>
      <w:r>
        <w:rPr>
          <w:bCs/>
          <w:iCs/>
          <w:color w:val="000000" w:themeColor="text1"/>
          <w:spacing w:val="-6"/>
          <w:sz w:val="26"/>
          <w:szCs w:val="26"/>
          <w14:textFill>
            <w14:solidFill>
              <w14:schemeClr w14:val="tx1"/>
            </w14:solidFill>
          </w14:textFill>
        </w:rPr>
        <w:t>Tư vấn xác định giá đất cụ thể làm căn cứ tính tiền sử dụng đất đối với Liên danh Công ty Cổ phần Đầu tư xây dựng hạ tầng Chi Lăng và Công ty Cổ phần Tập đoàn BGI tại dự án Khu đô thị phía Đông Nam, thị trấn Đồng Mỏ.</w:t>
      </w:r>
    </w:p>
    <w:p w14:paraId="5635EA17">
      <w:pPr>
        <w:shd w:val="clear" w:color="auto" w:fill="FFFFFF"/>
        <w:spacing w:before="120" w:after="120" w:line="380" w:lineRule="exact"/>
        <w:ind w:firstLine="567"/>
        <w:jc w:val="both"/>
        <w:rPr>
          <w:b/>
          <w:bCs/>
          <w:iCs/>
          <w:color w:val="000000" w:themeColor="text1"/>
          <w:spacing w:val="-6"/>
          <w:sz w:val="26"/>
          <w:szCs w:val="26"/>
          <w14:textFill>
            <w14:solidFill>
              <w14:schemeClr w14:val="tx1"/>
            </w14:solidFill>
          </w14:textFill>
        </w:rPr>
      </w:pPr>
      <w:r>
        <w:rPr>
          <w:bCs/>
          <w:iCs/>
          <w:color w:val="000000" w:themeColor="text1"/>
          <w:spacing w:val="-6"/>
          <w:sz w:val="26"/>
          <w:szCs w:val="26"/>
          <w14:textFill>
            <w14:solidFill>
              <w14:schemeClr w14:val="tx1"/>
            </w14:solidFill>
          </w14:textFill>
        </w:rPr>
        <w:t>- Phụ lục hợp đồng giữa Sở Nông nghiệp và Môi trường tỉnh Lạng Sơn với Công ty Cổ phần Dịch vụ Tư vấn và Thẩm định giá Việt Nam;</w:t>
      </w:r>
    </w:p>
    <w:bookmarkEnd w:id="12"/>
    <w:p w14:paraId="5E3877F1">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Kết quả khảo sát thông tin và thực trạng của tài sản định giá;</w:t>
      </w:r>
    </w:p>
    <w:p w14:paraId="375E3FA7">
      <w:pPr>
        <w:shd w:val="clear" w:color="auto" w:fill="FFFFFF"/>
        <w:spacing w:before="120" w:after="120" w:line="380" w:lineRule="exact"/>
        <w:ind w:firstLine="567"/>
        <w:jc w:val="both"/>
        <w:rPr>
          <w:bCs/>
          <w:iCs/>
          <w:color w:val="000000" w:themeColor="text1"/>
          <w:spacing w:val="-6"/>
          <w:sz w:val="26"/>
          <w:szCs w:val="26"/>
          <w:lang w:val="vi-VN"/>
          <w14:textFill>
            <w14:solidFill>
              <w14:schemeClr w14:val="tx1"/>
            </w14:solidFill>
          </w14:textFill>
        </w:rPr>
      </w:pPr>
      <w:r>
        <w:rPr>
          <w:bCs/>
          <w:iCs/>
          <w:color w:val="000000" w:themeColor="text1"/>
          <w:spacing w:val="-6"/>
          <w:sz w:val="26"/>
          <w:szCs w:val="26"/>
          <w:lang w:val="vi-VN"/>
          <w14:textFill>
            <w14:solidFill>
              <w14:schemeClr w14:val="tx1"/>
            </w14:solidFill>
          </w14:textFill>
        </w:rPr>
        <w:t>- Cơ sở dữ liệu của Công ty Cổ phần Dịch vụ Tư vấn và Thẩm định giá Việt Nam;</w:t>
      </w:r>
    </w:p>
    <w:p w14:paraId="03A0F38D">
      <w:pPr>
        <w:spacing w:before="120" w:after="120" w:line="380" w:lineRule="exact"/>
        <w:jc w:val="both"/>
        <w:rPr>
          <w:b/>
          <w:color w:val="000000" w:themeColor="text1"/>
          <w:sz w:val="26"/>
          <w:szCs w:val="26"/>
          <w:lang w:val="vi-VN"/>
          <w14:textFill>
            <w14:solidFill>
              <w14:schemeClr w14:val="tx1"/>
            </w14:solidFill>
          </w14:textFill>
        </w:rPr>
      </w:pPr>
      <w:r>
        <w:rPr>
          <w:b/>
          <w:color w:val="000000" w:themeColor="text1"/>
          <w:sz w:val="26"/>
          <w:szCs w:val="26"/>
          <w:lang w:val="da-DK"/>
          <w14:textFill>
            <w14:solidFill>
              <w14:schemeClr w14:val="tx1"/>
            </w14:solidFill>
          </w14:textFill>
        </w:rPr>
        <w:t>III</w:t>
      </w:r>
      <w:r>
        <w:rPr>
          <w:b/>
          <w:color w:val="000000" w:themeColor="text1"/>
          <w:sz w:val="26"/>
          <w:szCs w:val="26"/>
          <w:lang w:val="vi-VN"/>
          <w14:textFill>
            <w14:solidFill>
              <w14:schemeClr w14:val="tx1"/>
            </w14:solidFill>
          </w14:textFill>
        </w:rPr>
        <w:t xml:space="preserve">. THÔNG TIN VỀ TÀI SẢN THẨM ĐỊNH GIÁ </w:t>
      </w:r>
    </w:p>
    <w:bookmarkEnd w:id="1"/>
    <w:p w14:paraId="52D51A57">
      <w:pPr>
        <w:spacing w:before="120" w:after="120" w:line="380" w:lineRule="exact"/>
        <w:ind w:firstLine="567"/>
        <w:jc w:val="both"/>
        <w:rPr>
          <w:b/>
          <w:color w:val="000000" w:themeColor="text1"/>
          <w:sz w:val="26"/>
          <w:szCs w:val="26"/>
          <w:lang w:val="vi-VN"/>
          <w14:textFill>
            <w14:solidFill>
              <w14:schemeClr w14:val="tx1"/>
            </w14:solidFill>
          </w14:textFill>
        </w:rPr>
      </w:pPr>
      <w:bookmarkStart w:id="13" w:name="_Hlk171919327"/>
      <w:bookmarkStart w:id="14" w:name="_Hlk137223508"/>
      <w:r>
        <w:rPr>
          <w:b/>
          <w:color w:val="000000" w:themeColor="text1"/>
          <w:sz w:val="26"/>
          <w:szCs w:val="26"/>
          <w:lang w:val="vi-VN"/>
          <w14:textFill>
            <w14:solidFill>
              <w14:schemeClr w14:val="tx1"/>
            </w14:solidFill>
          </w14:textFill>
        </w:rPr>
        <w:t>1. Ranh giới và phạm vi nghiên cứu</w:t>
      </w:r>
    </w:p>
    <w:p w14:paraId="54604E40">
      <w:pPr>
        <w:spacing w:before="120" w:after="120" w:line="380" w:lineRule="exact"/>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a</w:t>
      </w:r>
      <w:r>
        <w:rPr>
          <w:b/>
          <w:color w:val="000000" w:themeColor="text1"/>
          <w:sz w:val="26"/>
          <w:szCs w:val="26"/>
          <w:lang w:val="vi-VN"/>
          <w14:textFill>
            <w14:solidFill>
              <w14:schemeClr w14:val="tx1"/>
            </w14:solidFill>
          </w14:textFill>
        </w:rPr>
        <w:t>. Vị trí</w:t>
      </w:r>
      <w:r>
        <w:rPr>
          <w:b/>
          <w:color w:val="000000" w:themeColor="text1"/>
          <w:sz w:val="26"/>
          <w:szCs w:val="26"/>
          <w14:textFill>
            <w14:solidFill>
              <w14:schemeClr w14:val="tx1"/>
            </w14:solidFill>
          </w14:textFill>
        </w:rPr>
        <w:t>, ranh giới</w:t>
      </w:r>
      <w:r>
        <w:rPr>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dự án (theo quy hoạch 1/500).</w:t>
      </w:r>
    </w:p>
    <w:p w14:paraId="0B75E135">
      <w:pPr>
        <w:spacing w:before="120" w:after="120" w:line="380" w:lineRule="exact"/>
        <w:ind w:firstLine="567"/>
        <w:jc w:val="both"/>
        <w:rPr>
          <w:bCs/>
          <w:i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 xml:space="preserve">- </w:t>
      </w:r>
      <w:r>
        <w:rPr>
          <w:bCs/>
          <w:iCs/>
          <w:color w:val="000000" w:themeColor="text1"/>
          <w:sz w:val="26"/>
          <w:szCs w:val="26"/>
          <w:lang w:val="vi-VN"/>
          <w14:textFill>
            <w14:solidFill>
              <w14:schemeClr w14:val="tx1"/>
            </w14:solidFill>
          </w14:textFill>
        </w:rPr>
        <w:t>Phạm vi, ranh giới của dự án:</w:t>
      </w:r>
    </w:p>
    <w:p w14:paraId="263E12D4">
      <w:pPr>
        <w:spacing w:before="120" w:after="120" w:line="380" w:lineRule="exact"/>
        <w:ind w:firstLine="567"/>
        <w:jc w:val="both"/>
        <w:rPr>
          <w:bCs/>
          <w:color w:val="000000" w:themeColor="text1"/>
          <w:spacing w:val="-6"/>
          <w:sz w:val="26"/>
          <w:szCs w:val="26"/>
          <w14:textFill>
            <w14:solidFill>
              <w14:schemeClr w14:val="tx1"/>
            </w14:solidFill>
          </w14:textFill>
        </w:rPr>
      </w:pPr>
      <w:r>
        <w:rPr>
          <w:bCs/>
          <w:color w:val="000000" w:themeColor="text1"/>
          <w:spacing w:val="-6"/>
          <w:sz w:val="26"/>
          <w:szCs w:val="26"/>
          <w14:textFill>
            <w14:solidFill>
              <w14:schemeClr w14:val="tx1"/>
            </w14:solidFill>
          </w14:textFill>
        </w:rPr>
        <w:t xml:space="preserve">+ Phía Bắc: Giáp khu dân cư hiện trạng và đường sắt Hà Nội-Lạng Sơn; </w:t>
      </w:r>
    </w:p>
    <w:p w14:paraId="7F2BF1A1">
      <w:pPr>
        <w:spacing w:before="120" w:after="120" w:line="380" w:lineRule="exact"/>
        <w:ind w:firstLine="567"/>
        <w:jc w:val="both"/>
        <w:rPr>
          <w:bCs/>
          <w:color w:val="000000" w:themeColor="text1"/>
          <w:spacing w:val="-6"/>
          <w:sz w:val="26"/>
          <w:szCs w:val="26"/>
          <w14:textFill>
            <w14:solidFill>
              <w14:schemeClr w14:val="tx1"/>
            </w14:solidFill>
          </w14:textFill>
        </w:rPr>
      </w:pPr>
      <w:r>
        <w:rPr>
          <w:bCs/>
          <w:color w:val="000000" w:themeColor="text1"/>
          <w:spacing w:val="-6"/>
          <w:sz w:val="26"/>
          <w:szCs w:val="26"/>
          <w14:textFill>
            <w14:solidFill>
              <w14:schemeClr w14:val="tx1"/>
            </w14:solidFill>
          </w14:textFill>
        </w:rPr>
        <w:t>+ Phía Nam: Giáp Quốc lộ 1;</w:t>
      </w:r>
    </w:p>
    <w:p w14:paraId="4847F731">
      <w:pPr>
        <w:spacing w:before="120" w:after="120" w:line="380" w:lineRule="exact"/>
        <w:ind w:firstLine="567"/>
        <w:jc w:val="both"/>
        <w:rPr>
          <w:bCs/>
          <w:color w:val="000000" w:themeColor="text1"/>
          <w:spacing w:val="-6"/>
          <w:sz w:val="26"/>
          <w:szCs w:val="26"/>
          <w14:textFill>
            <w14:solidFill>
              <w14:schemeClr w14:val="tx1"/>
            </w14:solidFill>
          </w14:textFill>
        </w:rPr>
      </w:pPr>
      <w:r>
        <w:rPr>
          <w:bCs/>
          <w:color w:val="000000" w:themeColor="text1"/>
          <w:spacing w:val="-6"/>
          <w:sz w:val="26"/>
          <w:szCs w:val="26"/>
          <w14:textFill>
            <w14:solidFill>
              <w14:schemeClr w14:val="tx1"/>
            </w14:solidFill>
          </w14:textFill>
        </w:rPr>
        <w:t>+ Phía Đông: Giáp đường Đại Huề và khu đô thị phía Đông thị trấn Đồng Mỏ;</w:t>
      </w:r>
    </w:p>
    <w:p w14:paraId="0BBFB848">
      <w:pPr>
        <w:spacing w:before="120" w:after="120" w:line="380" w:lineRule="exact"/>
        <w:ind w:firstLine="567"/>
        <w:jc w:val="both"/>
        <w:rPr>
          <w:bCs/>
          <w:color w:val="000000" w:themeColor="text1"/>
          <w:spacing w:val="-6"/>
          <w:sz w:val="26"/>
          <w:szCs w:val="26"/>
          <w14:textFill>
            <w14:solidFill>
              <w14:schemeClr w14:val="tx1"/>
            </w14:solidFill>
          </w14:textFill>
        </w:rPr>
      </w:pPr>
      <w:r>
        <w:rPr>
          <w:bCs/>
          <w:color w:val="000000" w:themeColor="text1"/>
          <w:spacing w:val="-6"/>
          <w:sz w:val="26"/>
          <w:szCs w:val="26"/>
          <w14:textFill>
            <w14:solidFill>
              <w14:schemeClr w14:val="tx1"/>
            </w14:solidFill>
          </w14:textFill>
        </w:rPr>
        <w:t>+ Phía Tây: Giáp khu dân cư phía Nam ga Đồng Mỏ.</w:t>
      </w:r>
    </w:p>
    <w:p w14:paraId="33FEF99F">
      <w:pPr>
        <w:spacing w:before="120" w:after="120" w:line="380" w:lineRule="exact"/>
        <w:ind w:firstLine="567"/>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b. Địa điểm của khu đất:</w:t>
      </w:r>
    </w:p>
    <w:p w14:paraId="79810CD3">
      <w:pPr>
        <w:spacing w:before="120" w:after="120" w:line="380" w:lineRule="exact"/>
        <w:ind w:firstLine="567"/>
        <w:jc w:val="both"/>
        <w:rPr>
          <w:color w:val="000000" w:themeColor="text1"/>
          <w:sz w:val="26"/>
          <w:szCs w:val="26"/>
          <w:lang w:val="da-DK"/>
          <w14:textFill>
            <w14:solidFill>
              <w14:schemeClr w14:val="tx1"/>
            </w14:solidFill>
          </w14:textFill>
        </w:rPr>
      </w:pPr>
      <w:r>
        <w:rPr>
          <w:color w:val="000000" w:themeColor="text1"/>
          <w:sz w:val="26"/>
          <w:szCs w:val="26"/>
          <w14:textFill>
            <w14:solidFill>
              <w14:schemeClr w14:val="tx1"/>
            </w14:solidFill>
          </w14:textFill>
        </w:rPr>
        <w:t>Dự án Khu đô thị phía Đông Nam thị trấn Đồng Mỏ được xây dựng thuộc ranh giới hành chính thị trấn Đồng Mỏ, huyện Chi Lăng, tỉnh Lạng Sơn</w:t>
      </w:r>
      <w:r>
        <w:rPr>
          <w:color w:val="000000" w:themeColor="text1"/>
          <w:sz w:val="26"/>
          <w:szCs w:val="26"/>
          <w:lang w:val="da-DK"/>
          <w14:textFill>
            <w14:solidFill>
              <w14:schemeClr w14:val="tx1"/>
            </w14:solidFill>
          </w14:textFill>
        </w:rPr>
        <w:t xml:space="preserve"> (nay là xã Chi Lăng, tỉnh Lạng Sơn).</w:t>
      </w:r>
    </w:p>
    <w:p w14:paraId="55548523">
      <w:pPr>
        <w:spacing w:before="120" w:after="120" w:line="380" w:lineRule="exact"/>
        <w:ind w:firstLine="567"/>
        <w:jc w:val="both"/>
        <w:rPr>
          <w:b/>
          <w:bCs/>
          <w:i/>
          <w:iCs/>
          <w:color w:val="000000" w:themeColor="text1"/>
          <w:spacing w:val="-8"/>
          <w:sz w:val="26"/>
          <w:szCs w:val="26"/>
          <w14:textFill>
            <w14:solidFill>
              <w14:schemeClr w14:val="tx1"/>
            </w14:solidFill>
          </w14:textFill>
        </w:rPr>
      </w:pPr>
      <w:r>
        <w:rPr>
          <w:b/>
          <w:color w:val="000000" w:themeColor="text1"/>
          <w:spacing w:val="-8"/>
          <w:sz w:val="26"/>
          <w:szCs w:val="26"/>
          <w:lang w:val="da-DK"/>
          <w14:textFill>
            <w14:solidFill>
              <w14:schemeClr w14:val="tx1"/>
            </w14:solidFill>
          </w14:textFill>
        </w:rPr>
        <w:t>c</w:t>
      </w:r>
      <w:r>
        <w:rPr>
          <w:b/>
          <w:color w:val="000000" w:themeColor="text1"/>
          <w:spacing w:val="-8"/>
          <w:sz w:val="26"/>
          <w:szCs w:val="26"/>
          <w:lang w:val="vi-VN"/>
          <w14:textFill>
            <w14:solidFill>
              <w14:schemeClr w14:val="tx1"/>
            </w14:solidFill>
          </w14:textFill>
        </w:rPr>
        <w:t>. Quy mô</w:t>
      </w:r>
      <w:r>
        <w:rPr>
          <w:b/>
          <w:color w:val="000000" w:themeColor="text1"/>
          <w:spacing w:val="-8"/>
          <w:sz w:val="26"/>
          <w:szCs w:val="26"/>
          <w:lang w:val="da-DK"/>
          <w14:textFill>
            <w14:solidFill>
              <w14:schemeClr w14:val="tx1"/>
            </w14:solidFill>
          </w14:textFill>
        </w:rPr>
        <w:t>, diện tích</w:t>
      </w:r>
      <w:r>
        <w:rPr>
          <w:b/>
          <w:color w:val="000000" w:themeColor="text1"/>
          <w:spacing w:val="-8"/>
          <w:sz w:val="26"/>
          <w:szCs w:val="26"/>
          <w:lang w:val="vi-VN"/>
          <w14:textFill>
            <w14:solidFill>
              <w14:schemeClr w14:val="tx1"/>
            </w14:solidFill>
          </w14:textFill>
        </w:rPr>
        <w:t xml:space="preserve"> dự án: </w:t>
      </w:r>
      <w:bookmarkStart w:id="15" w:name="_Hlk199837889"/>
      <w:bookmarkStart w:id="16" w:name="_Hlk150371920"/>
      <w:r>
        <w:rPr>
          <w:color w:val="000000" w:themeColor="text1"/>
          <w:spacing w:val="-8"/>
          <w:sz w:val="26"/>
          <w:szCs w:val="26"/>
          <w:lang w:val="vi-VN"/>
          <w14:textFill>
            <w14:solidFill>
              <w14:schemeClr w14:val="tx1"/>
            </w14:solidFill>
          </w14:textFill>
        </w:rPr>
        <w:t>Khu đô thị phía Đông Nam thị trấn Đồng Mỏ</w:t>
      </w:r>
      <w:r>
        <w:rPr>
          <w:color w:val="000000" w:themeColor="text1"/>
          <w:spacing w:val="-8"/>
          <w:sz w:val="26"/>
          <w:szCs w:val="26"/>
          <w14:textFill>
            <w14:solidFill>
              <w14:schemeClr w14:val="tx1"/>
            </w14:solidFill>
          </w14:textFill>
        </w:rPr>
        <w:t xml:space="preserve"> </w:t>
      </w:r>
      <w:r>
        <w:rPr>
          <w:color w:val="000000" w:themeColor="text1"/>
          <w:spacing w:val="-8"/>
          <w:sz w:val="26"/>
          <w:szCs w:val="26"/>
          <w:lang w:val="vi-VN"/>
          <w14:textFill>
            <w14:solidFill>
              <w14:schemeClr w14:val="tx1"/>
            </w14:solidFill>
          </w14:textFill>
        </w:rPr>
        <w:t>(nay là xã Chi Lăng, tỉnh Lạng Sơn)</w:t>
      </w:r>
      <w:r>
        <w:rPr>
          <w:bCs/>
          <w:color w:val="000000" w:themeColor="text1"/>
          <w:spacing w:val="-8"/>
          <w:sz w:val="26"/>
          <w:szCs w:val="26"/>
          <w:lang w:val="vi-VN"/>
          <w14:textFill>
            <w14:solidFill>
              <w14:schemeClr w14:val="tx1"/>
            </w14:solidFill>
          </w14:textFill>
        </w:rPr>
        <w:t xml:space="preserve"> </w:t>
      </w:r>
      <w:r>
        <w:rPr>
          <w:bCs/>
          <w:color w:val="000000" w:themeColor="text1"/>
          <w:spacing w:val="-8"/>
          <w:sz w:val="26"/>
          <w:szCs w:val="26"/>
          <w14:textFill>
            <w14:solidFill>
              <w14:schemeClr w14:val="tx1"/>
            </w14:solidFill>
          </w14:textFill>
        </w:rPr>
        <w:t>có quy mô theo quy hoạch được duyệt</w:t>
      </w:r>
      <w:r>
        <w:rPr>
          <w:color w:val="000000" w:themeColor="text1"/>
          <w:spacing w:val="-8"/>
          <w:sz w:val="26"/>
          <w:szCs w:val="26"/>
          <w14:textFill>
            <w14:solidFill>
              <w14:schemeClr w14:val="tx1"/>
            </w14:solidFill>
          </w14:textFill>
        </w:rPr>
        <w:t xml:space="preserve"> </w:t>
      </w:r>
      <w:r>
        <w:rPr>
          <w:i/>
          <w:iCs/>
          <w:color w:val="000000" w:themeColor="text1"/>
          <w:spacing w:val="-8"/>
          <w:sz w:val="26"/>
          <w:szCs w:val="26"/>
          <w14:textFill>
            <w14:solidFill>
              <w14:schemeClr w14:val="tx1"/>
            </w14:solidFill>
          </w14:textFill>
        </w:rPr>
        <w:t xml:space="preserve">(QĐ số </w:t>
      </w:r>
      <w:r>
        <w:rPr>
          <w:bCs/>
          <w:i/>
          <w:iCs/>
          <w:color w:val="000000" w:themeColor="text1"/>
          <w:spacing w:val="-6"/>
          <w:sz w:val="26"/>
          <w:szCs w:val="26"/>
          <w14:textFill>
            <w14:solidFill>
              <w14:schemeClr w14:val="tx1"/>
            </w14:solidFill>
          </w14:textFill>
        </w:rPr>
        <w:t>2483</w:t>
      </w:r>
      <w:r>
        <w:rPr>
          <w:bCs/>
          <w:i/>
          <w:iCs/>
          <w:color w:val="000000" w:themeColor="text1"/>
          <w:spacing w:val="-6"/>
          <w:sz w:val="26"/>
          <w:szCs w:val="26"/>
          <w:lang w:val="vi-VN"/>
          <w14:textFill>
            <w14:solidFill>
              <w14:schemeClr w14:val="tx1"/>
            </w14:solidFill>
          </w14:textFill>
        </w:rPr>
        <w:t xml:space="preserve">/QĐ-UBND ngày 26 tháng </w:t>
      </w:r>
      <w:r>
        <w:rPr>
          <w:bCs/>
          <w:i/>
          <w:iCs/>
          <w:color w:val="000000" w:themeColor="text1"/>
          <w:spacing w:val="-6"/>
          <w:sz w:val="26"/>
          <w:szCs w:val="26"/>
          <w14:textFill>
            <w14:solidFill>
              <w14:schemeClr w14:val="tx1"/>
            </w14:solidFill>
          </w14:textFill>
        </w:rPr>
        <w:t>6</w:t>
      </w:r>
      <w:r>
        <w:rPr>
          <w:bCs/>
          <w:i/>
          <w:iCs/>
          <w:color w:val="000000" w:themeColor="text1"/>
          <w:spacing w:val="-6"/>
          <w:sz w:val="26"/>
          <w:szCs w:val="26"/>
          <w:lang w:val="vi-VN"/>
          <w14:textFill>
            <w14:solidFill>
              <w14:schemeClr w14:val="tx1"/>
            </w14:solidFill>
          </w14:textFill>
        </w:rPr>
        <w:t xml:space="preserve"> năm 20</w:t>
      </w:r>
      <w:r>
        <w:rPr>
          <w:bCs/>
          <w:i/>
          <w:iCs/>
          <w:color w:val="000000" w:themeColor="text1"/>
          <w:spacing w:val="-6"/>
          <w:sz w:val="26"/>
          <w:szCs w:val="26"/>
          <w14:textFill>
            <w14:solidFill>
              <w14:schemeClr w14:val="tx1"/>
            </w14:solidFill>
          </w14:textFill>
        </w:rPr>
        <w:t>20</w:t>
      </w:r>
      <w:r>
        <w:rPr>
          <w:bCs/>
          <w:i/>
          <w:iCs/>
          <w:color w:val="000000" w:themeColor="text1"/>
          <w:spacing w:val="-6"/>
          <w:sz w:val="26"/>
          <w:szCs w:val="26"/>
          <w:lang w:val="vi-VN"/>
          <w14:textFill>
            <w14:solidFill>
              <w14:schemeClr w14:val="tx1"/>
            </w14:solidFill>
          </w14:textFill>
        </w:rPr>
        <w:t xml:space="preserve"> của UBND </w:t>
      </w:r>
      <w:r>
        <w:rPr>
          <w:bCs/>
          <w:i/>
          <w:iCs/>
          <w:color w:val="000000" w:themeColor="text1"/>
          <w:spacing w:val="-6"/>
          <w:sz w:val="26"/>
          <w:szCs w:val="26"/>
          <w14:textFill>
            <w14:solidFill>
              <w14:schemeClr w14:val="tx1"/>
            </w14:solidFill>
          </w14:textFill>
        </w:rPr>
        <w:t>huyện Chi Lăng</w:t>
      </w:r>
      <w:r>
        <w:rPr>
          <w:bCs/>
          <w:i/>
          <w:iCs/>
          <w:color w:val="000000" w:themeColor="text1"/>
          <w:spacing w:val="-6"/>
          <w:sz w:val="26"/>
          <w:szCs w:val="26"/>
          <w:lang w:val="vi-VN"/>
          <w14:textFill>
            <w14:solidFill>
              <w14:schemeClr w14:val="tx1"/>
            </w14:solidFill>
          </w14:textFill>
        </w:rPr>
        <w:t xml:space="preserve"> Về việc phê duyệt </w:t>
      </w:r>
      <w:r>
        <w:rPr>
          <w:bCs/>
          <w:i/>
          <w:iCs/>
          <w:color w:val="000000" w:themeColor="text1"/>
          <w:spacing w:val="-6"/>
          <w:sz w:val="26"/>
          <w:szCs w:val="26"/>
          <w14:textFill>
            <w14:solidFill>
              <w14:schemeClr w14:val="tx1"/>
            </w14:solidFill>
          </w14:textFill>
        </w:rPr>
        <w:t xml:space="preserve">đồ án Quy hoạch chi tiết tỷ lệ 1/500; </w:t>
      </w:r>
      <w:r>
        <w:t xml:space="preserve">và </w:t>
      </w:r>
      <w:r>
        <w:rPr>
          <w:bCs/>
          <w:i/>
          <w:iCs/>
          <w:color w:val="000000" w:themeColor="text1"/>
          <w:spacing w:val="-6"/>
          <w:sz w:val="26"/>
          <w:szCs w:val="26"/>
          <w14:textFill>
            <w14:solidFill>
              <w14:schemeClr w14:val="tx1"/>
            </w14:solidFill>
          </w14:textFill>
        </w:rPr>
        <w:t>QĐ điều chỉnh tên đồ án QH chi tiết tại QĐ số 4564/QĐ-UBND ngày 14/12/2020</w:t>
      </w:r>
      <w:r>
        <w:rPr>
          <w:bCs/>
          <w:iCs/>
          <w:color w:val="000000" w:themeColor="text1"/>
          <w:spacing w:val="-6"/>
          <w:sz w:val="26"/>
          <w:szCs w:val="26"/>
          <w14:textFill>
            <w14:solidFill>
              <w14:schemeClr w14:val="tx1"/>
            </w14:solidFill>
          </w14:textFill>
        </w:rPr>
        <w:t>)</w:t>
      </w:r>
      <w:r>
        <w:rPr>
          <w:color w:val="000000" w:themeColor="text1"/>
          <w:spacing w:val="-8"/>
          <w:sz w:val="26"/>
          <w:szCs w:val="26"/>
          <w14:textFill>
            <w14:solidFill>
              <w14:schemeClr w14:val="tx1"/>
            </w14:solidFill>
          </w14:textFill>
        </w:rPr>
        <w:t xml:space="preserve"> là </w:t>
      </w:r>
      <w:r>
        <w:rPr>
          <w:b/>
          <w:bCs/>
          <w:color w:val="000000" w:themeColor="text1"/>
          <w:spacing w:val="-8"/>
          <w:sz w:val="26"/>
          <w:szCs w:val="26"/>
          <w14:textFill>
            <w14:solidFill>
              <w14:schemeClr w14:val="tx1"/>
            </w14:solidFill>
          </w14:textFill>
        </w:rPr>
        <w:t>19,82 ha</w:t>
      </w:r>
      <w:r>
        <w:rPr>
          <w:color w:val="000000" w:themeColor="text1"/>
          <w:spacing w:val="-8"/>
          <w:sz w:val="26"/>
          <w:szCs w:val="26"/>
          <w:lang w:val="vi-VN"/>
          <w14:textFill>
            <w14:solidFill>
              <w14:schemeClr w14:val="tx1"/>
            </w14:solidFill>
          </w14:textFill>
        </w:rPr>
        <w:t>. Trong đó diện tích giao đất</w:t>
      </w:r>
      <w:r>
        <w:rPr>
          <w:color w:val="000000" w:themeColor="text1"/>
          <w:spacing w:val="-8"/>
          <w:sz w:val="26"/>
          <w:szCs w:val="26"/>
          <w14:textFill>
            <w14:solidFill>
              <w14:schemeClr w14:val="tx1"/>
            </w14:solidFill>
          </w14:textFill>
        </w:rPr>
        <w:t xml:space="preserve"> </w:t>
      </w:r>
      <w:r>
        <w:rPr>
          <w:i/>
          <w:iCs/>
          <w:color w:val="000000" w:themeColor="text1"/>
          <w:spacing w:val="-8"/>
          <w:sz w:val="26"/>
          <w:szCs w:val="26"/>
          <w14:textFill>
            <w14:solidFill>
              <w14:schemeClr w14:val="tx1"/>
            </w14:solidFill>
          </w14:textFill>
        </w:rPr>
        <w:t>(</w:t>
      </w:r>
      <w:r>
        <w:rPr>
          <w:i/>
          <w:iCs/>
          <w:color w:val="000000" w:themeColor="text1"/>
          <w:spacing w:val="-8"/>
          <w:sz w:val="26"/>
          <w:szCs w:val="26"/>
          <w:lang w:val="vi-VN"/>
          <w14:textFill>
            <w14:solidFill>
              <w14:schemeClr w14:val="tx1"/>
            </w14:solidFill>
          </w14:textFill>
        </w:rPr>
        <w:t xml:space="preserve">QĐ số </w:t>
      </w:r>
      <w:r>
        <w:rPr>
          <w:bCs/>
          <w:i/>
          <w:iCs/>
          <w:color w:val="000000" w:themeColor="text1"/>
          <w:spacing w:val="-6"/>
          <w:sz w:val="26"/>
          <w:szCs w:val="26"/>
          <w14:textFill>
            <w14:solidFill>
              <w14:schemeClr w14:val="tx1"/>
            </w14:solidFill>
          </w14:textFill>
        </w:rPr>
        <w:t>8</w:t>
      </w:r>
      <w:r>
        <w:rPr>
          <w:bCs/>
          <w:i/>
          <w:iCs/>
          <w:color w:val="000000" w:themeColor="text1"/>
          <w:spacing w:val="-6"/>
          <w:sz w:val="26"/>
          <w:szCs w:val="26"/>
          <w:lang w:val="vi-VN"/>
          <w14:textFill>
            <w14:solidFill>
              <w14:schemeClr w14:val="tx1"/>
            </w14:solidFill>
          </w14:textFill>
        </w:rPr>
        <w:t xml:space="preserve">6/QĐ-UBND ngày </w:t>
      </w:r>
      <w:r>
        <w:rPr>
          <w:bCs/>
          <w:i/>
          <w:iCs/>
          <w:color w:val="000000" w:themeColor="text1"/>
          <w:spacing w:val="-6"/>
          <w:sz w:val="26"/>
          <w:szCs w:val="26"/>
          <w14:textFill>
            <w14:solidFill>
              <w14:schemeClr w14:val="tx1"/>
            </w14:solidFill>
          </w14:textFill>
        </w:rPr>
        <w:t>09</w:t>
      </w:r>
      <w:r>
        <w:rPr>
          <w:bCs/>
          <w:i/>
          <w:iCs/>
          <w:color w:val="000000" w:themeColor="text1"/>
          <w:spacing w:val="-6"/>
          <w:sz w:val="26"/>
          <w:szCs w:val="26"/>
          <w:lang w:val="vi-VN"/>
          <w14:textFill>
            <w14:solidFill>
              <w14:schemeClr w14:val="tx1"/>
            </w14:solidFill>
          </w14:textFill>
        </w:rPr>
        <w:t xml:space="preserve"> tháng </w:t>
      </w:r>
      <w:r>
        <w:rPr>
          <w:bCs/>
          <w:i/>
          <w:iCs/>
          <w:color w:val="000000" w:themeColor="text1"/>
          <w:spacing w:val="-6"/>
          <w:sz w:val="26"/>
          <w:szCs w:val="26"/>
          <w14:textFill>
            <w14:solidFill>
              <w14:schemeClr w14:val="tx1"/>
            </w14:solidFill>
          </w14:textFill>
        </w:rPr>
        <w:t>01</w:t>
      </w:r>
      <w:r>
        <w:rPr>
          <w:bCs/>
          <w:i/>
          <w:iCs/>
          <w:color w:val="000000" w:themeColor="text1"/>
          <w:spacing w:val="-6"/>
          <w:sz w:val="26"/>
          <w:szCs w:val="26"/>
          <w:lang w:val="vi-VN"/>
          <w14:textFill>
            <w14:solidFill>
              <w14:schemeClr w14:val="tx1"/>
            </w14:solidFill>
          </w14:textFill>
        </w:rPr>
        <w:t xml:space="preserve"> năm 202</w:t>
      </w:r>
      <w:r>
        <w:rPr>
          <w:bCs/>
          <w:i/>
          <w:iCs/>
          <w:color w:val="000000" w:themeColor="text1"/>
          <w:spacing w:val="-6"/>
          <w:sz w:val="26"/>
          <w:szCs w:val="26"/>
          <w14:textFill>
            <w14:solidFill>
              <w14:schemeClr w14:val="tx1"/>
            </w14:solidFill>
          </w14:textFill>
        </w:rPr>
        <w:t>5</w:t>
      </w:r>
      <w:r>
        <w:rPr>
          <w:bCs/>
          <w:i/>
          <w:iCs/>
          <w:color w:val="000000" w:themeColor="text1"/>
          <w:spacing w:val="-6"/>
          <w:sz w:val="26"/>
          <w:szCs w:val="26"/>
          <w:lang w:val="vi-VN"/>
          <w14:textFill>
            <w14:solidFill>
              <w14:schemeClr w14:val="tx1"/>
            </w14:solidFill>
          </w14:textFill>
        </w:rPr>
        <w:t xml:space="preserve"> của UBND tỉnh Lạng Sơn</w:t>
      </w:r>
      <w:r>
        <w:rPr>
          <w:i/>
          <w:iCs/>
          <w:color w:val="000000" w:themeColor="text1"/>
          <w:spacing w:val="-8"/>
          <w:sz w:val="26"/>
          <w:szCs w:val="26"/>
          <w14:textFill>
            <w14:solidFill>
              <w14:schemeClr w14:val="tx1"/>
            </w14:solidFill>
          </w14:textFill>
        </w:rPr>
        <w:t>)</w:t>
      </w:r>
      <w:r>
        <w:rPr>
          <w:color w:val="000000" w:themeColor="text1"/>
          <w:spacing w:val="-8"/>
          <w:sz w:val="26"/>
          <w:szCs w:val="26"/>
          <w14:textFill>
            <w14:solidFill>
              <w14:schemeClr w14:val="tx1"/>
            </w14:solidFill>
          </w14:textFill>
        </w:rPr>
        <w:t xml:space="preserve"> là: 79.413,1 m2; diện tích đất giao </w:t>
      </w:r>
      <w:r>
        <w:rPr>
          <w:color w:val="000000" w:themeColor="text1"/>
          <w:spacing w:val="-8"/>
          <w:sz w:val="26"/>
          <w:szCs w:val="26"/>
          <w:lang w:val="vi-VN"/>
          <w14:textFill>
            <w14:solidFill>
              <w14:schemeClr w14:val="tx1"/>
            </w14:solidFill>
          </w14:textFill>
        </w:rPr>
        <w:t>có thu tiền sử dụng đất</w:t>
      </w:r>
      <w:r>
        <w:rPr>
          <w:color w:val="000000" w:themeColor="text1"/>
          <w:spacing w:val="-8"/>
          <w:sz w:val="26"/>
          <w:szCs w:val="26"/>
          <w14:textFill>
            <w14:solidFill>
              <w14:schemeClr w14:val="tx1"/>
            </w14:solidFill>
          </w14:textFill>
        </w:rPr>
        <w:t xml:space="preserve"> </w:t>
      </w:r>
      <w:r>
        <w:rPr>
          <w:color w:val="000000" w:themeColor="text1"/>
          <w:spacing w:val="-8"/>
          <w:sz w:val="26"/>
          <w:szCs w:val="26"/>
          <w:lang w:val="vi-VN"/>
          <w14:textFill>
            <w14:solidFill>
              <w14:schemeClr w14:val="tx1"/>
            </w14:solidFill>
          </w14:textFill>
        </w:rPr>
        <w:t>là</w:t>
      </w:r>
      <w:r>
        <w:rPr>
          <w:b/>
          <w:bCs/>
          <w:i/>
          <w:iCs/>
          <w:color w:val="000000" w:themeColor="text1"/>
          <w:spacing w:val="-8"/>
          <w:sz w:val="26"/>
          <w:szCs w:val="26"/>
          <w14:textFill>
            <w14:solidFill>
              <w14:schemeClr w14:val="tx1"/>
            </w14:solidFill>
          </w14:textFill>
        </w:rPr>
        <w:t xml:space="preserve"> 34.702,20</w:t>
      </w:r>
      <w:r>
        <w:rPr>
          <w:b/>
          <w:bCs/>
          <w:i/>
          <w:iCs/>
          <w:color w:val="000000" w:themeColor="text1"/>
          <w:spacing w:val="-8"/>
          <w:sz w:val="26"/>
          <w:szCs w:val="26"/>
          <w:lang w:val="vi-VN"/>
          <w14:textFill>
            <w14:solidFill>
              <w14:schemeClr w14:val="tx1"/>
            </w14:solidFill>
          </w14:textFill>
        </w:rPr>
        <w:t>m2</w:t>
      </w:r>
      <w:r>
        <w:rPr>
          <w:color w:val="000000" w:themeColor="text1"/>
          <w:spacing w:val="-8"/>
          <w:sz w:val="26"/>
          <w:szCs w:val="26"/>
          <w:lang w:val="vi-VN"/>
          <w14:textFill>
            <w14:solidFill>
              <w14:schemeClr w14:val="tx1"/>
            </w14:solidFill>
          </w14:textFill>
        </w:rPr>
        <w:t xml:space="preserve">. </w:t>
      </w:r>
      <w:bookmarkEnd w:id="15"/>
    </w:p>
    <w:bookmarkEnd w:id="16"/>
    <w:p w14:paraId="26848488">
      <w:pPr>
        <w:spacing w:before="120" w:after="120" w:line="380" w:lineRule="exact"/>
        <w:ind w:firstLine="567"/>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d. Mục tiêu đầu tư</w:t>
      </w:r>
    </w:p>
    <w:p w14:paraId="1C5F1AC1">
      <w:pPr>
        <w:spacing w:before="120" w:after="120" w:line="38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Cụ thể hóa đồ án quy hoạch điều chỉnh quy hoạch chung xây dựng thị trấn Đồng Mỏ, huyện Chi Lăng đến năm 2030;</w:t>
      </w:r>
    </w:p>
    <w:p w14:paraId="079224B3">
      <w:pPr>
        <w:spacing w:before="120" w:after="120" w:line="380" w:lineRule="exact"/>
        <w:ind w:firstLine="567"/>
        <w:jc w:val="both"/>
        <w:rPr>
          <w:color w:val="000000" w:themeColor="text1"/>
          <w:spacing w:val="-2"/>
          <w:sz w:val="26"/>
          <w:szCs w:val="26"/>
          <w14:textFill>
            <w14:solidFill>
              <w14:schemeClr w14:val="tx1"/>
            </w14:solidFill>
          </w14:textFill>
        </w:rPr>
      </w:pPr>
      <w:r>
        <w:rPr>
          <w:color w:val="000000" w:themeColor="text1"/>
          <w:spacing w:val="-6"/>
          <w:sz w:val="26"/>
          <w:szCs w:val="26"/>
          <w14:textFill>
            <w14:solidFill>
              <w14:schemeClr w14:val="tx1"/>
            </w14:solidFill>
          </w14:textFill>
        </w:rPr>
        <w:t>- Xây dựng Khu đô thị phục vụ cho nhu cầu đầu tư, đảm bảo phù hợp với chiến lược và cấu trúc phát triển chung của toàn đô thị, đảm bảo khớp nối về mặt tổ chức không gian và hạ tầng kỹ thuật giữa khu vực lập quy hoạch và các khu vực lân cận, đảm bảo tính đồng bộ, hiệu quả và bền vững trên cơ sở rà soát, đánh giá hiện trạng sử dụng đất, hạ tầng kỹ thuật</w:t>
      </w:r>
      <w:r>
        <w:rPr>
          <w:color w:val="000000" w:themeColor="text1"/>
          <w:spacing w:val="-2"/>
          <w:sz w:val="26"/>
          <w:szCs w:val="26"/>
          <w14:textFill>
            <w14:solidFill>
              <w14:schemeClr w14:val="tx1"/>
            </w14:solidFill>
          </w14:textFill>
        </w:rPr>
        <w:t>.</w:t>
      </w:r>
    </w:p>
    <w:p w14:paraId="0C969E8D">
      <w:pPr>
        <w:spacing w:before="120" w:after="120" w:line="38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Hình thành hệ thống không gian đô thị, dịch vụ, gắn kết hài hòa với đặc điểm địa hình tự nhiên, mặt nước và hệ sinh thái cho khu chức năng đô thị.</w:t>
      </w:r>
    </w:p>
    <w:p w14:paraId="094D518E">
      <w:pPr>
        <w:spacing w:before="120" w:after="120" w:line="38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Tạo quỹ đất phát triển quỹ nhà ở, phát triển đô thị phù hợp với quy hoạch.</w:t>
      </w:r>
    </w:p>
    <w:p w14:paraId="763E6F40">
      <w:pPr>
        <w:spacing w:before="120" w:after="120" w:line="38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Làm cơ sở cho việc quản lý quy hoạch, quản lý đất đai và triển khai các dự án đầu tư xây dựng theo quy hoạch được duyệt.</w:t>
      </w:r>
    </w:p>
    <w:p w14:paraId="6CC5BD0B">
      <w:pPr>
        <w:spacing w:before="120" w:after="120" w:line="380" w:lineRule="exact"/>
        <w:ind w:firstLine="567"/>
        <w:jc w:val="both"/>
        <w:rPr>
          <w:color w:val="000000" w:themeColor="text1"/>
          <w:spacing w:val="-2"/>
          <w:sz w:val="26"/>
          <w:szCs w:val="26"/>
          <w:lang w:val="vi-VN"/>
          <w14:textFill>
            <w14:solidFill>
              <w14:schemeClr w14:val="tx1"/>
            </w14:solidFill>
          </w14:textFill>
        </w:rPr>
      </w:pPr>
      <w:r>
        <w:rPr>
          <w:color w:val="000000" w:themeColor="text1"/>
          <w:spacing w:val="-2"/>
          <w:sz w:val="26"/>
          <w:szCs w:val="26"/>
          <w14:textFill>
            <w14:solidFill>
              <w14:schemeClr w14:val="tx1"/>
            </w14:solidFill>
          </w14:textFill>
        </w:rPr>
        <w:t>- Đầu tư xây dựng khu dân cư mới với quy mô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chung của khu vực trước khi thực hiện việc chuyển nhượng quyền sử dụng đất cho người dân tự xây dựng nhà ở; đảm bảo cung cấp các dịch vụ thiết yếu gồm cấp điện, cấp nước, thoát nước, thu gom rác thải.</w:t>
      </w:r>
    </w:p>
    <w:p w14:paraId="488BA5DF">
      <w:pPr>
        <w:spacing w:before="120" w:after="120" w:line="380" w:lineRule="exact"/>
        <w:ind w:firstLine="567"/>
        <w:jc w:val="both"/>
        <w:rPr>
          <w:rFonts w:ascii="Times New Roman Bold" w:hAnsi="Times New Roman Bold"/>
          <w:b/>
          <w:color w:val="000000" w:themeColor="text1"/>
          <w:spacing w:val="-8"/>
          <w:sz w:val="26"/>
          <w:szCs w:val="26"/>
          <w14:textFill>
            <w14:solidFill>
              <w14:schemeClr w14:val="tx1"/>
            </w14:solidFill>
          </w14:textFill>
        </w:rPr>
      </w:pPr>
      <w:r>
        <w:rPr>
          <w:rFonts w:ascii="Times New Roman Bold" w:hAnsi="Times New Roman Bold"/>
          <w:b/>
          <w:color w:val="000000" w:themeColor="text1"/>
          <w:spacing w:val="-8"/>
          <w:sz w:val="26"/>
          <w:szCs w:val="26"/>
          <w:lang w:val="vi-VN"/>
          <w14:textFill>
            <w14:solidFill>
              <w14:schemeClr w14:val="tx1"/>
            </w14:solidFill>
          </w14:textFill>
        </w:rPr>
        <w:t>2. Thời gian bắt đầu, kết thúc và tiến độ thực hiện:</w:t>
      </w:r>
      <w:bookmarkStart w:id="17" w:name="_Hlk150371948"/>
      <w:r>
        <w:rPr>
          <w:rFonts w:ascii="Times New Roman Bold" w:hAnsi="Times New Roman Bold"/>
          <w:b/>
          <w:color w:val="000000" w:themeColor="text1"/>
          <w:spacing w:val="-8"/>
          <w:sz w:val="26"/>
          <w:szCs w:val="26"/>
          <w14:textFill>
            <w14:solidFill>
              <w14:schemeClr w14:val="tx1"/>
            </w14:solidFill>
          </w14:textFill>
        </w:rPr>
        <w:t xml:space="preserve"> </w:t>
      </w:r>
    </w:p>
    <w:p w14:paraId="7044FD82">
      <w:pPr>
        <w:spacing w:before="120" w:after="120" w:line="380" w:lineRule="exact"/>
        <w:ind w:firstLine="567"/>
        <w:jc w:val="both"/>
        <w:rPr>
          <w:color w:val="000000" w:themeColor="text1"/>
          <w:spacing w:val="-6"/>
          <w:sz w:val="26"/>
          <w:szCs w:val="26"/>
          <w14:textFill>
            <w14:solidFill>
              <w14:schemeClr w14:val="tx1"/>
            </w14:solidFill>
          </w14:textFill>
        </w:rPr>
      </w:pPr>
      <w:r>
        <w:rPr>
          <w:color w:val="000000" w:themeColor="text1"/>
          <w:spacing w:val="-6"/>
          <w:sz w:val="26"/>
          <w:szCs w:val="26"/>
          <w:lang w:val="vi-VN"/>
          <w14:textFill>
            <w14:solidFill>
              <w14:schemeClr w14:val="tx1"/>
            </w14:solidFill>
          </w14:textFill>
        </w:rPr>
        <w:t xml:space="preserve">Căn cứ </w:t>
      </w:r>
      <w:r>
        <w:rPr>
          <w:color w:val="000000" w:themeColor="text1"/>
          <w:spacing w:val="-6"/>
          <w:sz w:val="26"/>
          <w:szCs w:val="26"/>
          <w14:textFill>
            <w14:solidFill>
              <w14:schemeClr w14:val="tx1"/>
            </w14:solidFill>
          </w14:textFill>
        </w:rPr>
        <w:t xml:space="preserve">Quyết định số </w:t>
      </w:r>
      <w:r>
        <w:rPr>
          <w:bCs/>
          <w:iCs/>
          <w:spacing w:val="-6"/>
          <w:sz w:val="26"/>
          <w:szCs w:val="26"/>
        </w:rPr>
        <w:t>1328</w:t>
      </w:r>
      <w:r>
        <w:rPr>
          <w:bCs/>
          <w:iCs/>
          <w:spacing w:val="-6"/>
          <w:sz w:val="26"/>
          <w:szCs w:val="26"/>
          <w:lang w:val="vi-VN"/>
        </w:rPr>
        <w:t>/QĐ-</w:t>
      </w:r>
      <w:r>
        <w:rPr>
          <w:bCs/>
          <w:iCs/>
          <w:spacing w:val="-6"/>
          <w:sz w:val="26"/>
          <w:szCs w:val="26"/>
        </w:rPr>
        <w:t>UBND</w:t>
      </w:r>
      <w:r>
        <w:rPr>
          <w:bCs/>
          <w:iCs/>
          <w:spacing w:val="-6"/>
          <w:sz w:val="26"/>
          <w:szCs w:val="26"/>
          <w:lang w:val="vi-VN"/>
        </w:rPr>
        <w:t xml:space="preserve"> ngày </w:t>
      </w:r>
      <w:r>
        <w:rPr>
          <w:bCs/>
          <w:iCs/>
          <w:spacing w:val="-6"/>
          <w:sz w:val="26"/>
          <w:szCs w:val="26"/>
        </w:rPr>
        <w:t>0</w:t>
      </w:r>
      <w:r>
        <w:rPr>
          <w:bCs/>
          <w:iCs/>
          <w:spacing w:val="-6"/>
          <w:sz w:val="26"/>
          <w:szCs w:val="26"/>
          <w:lang w:val="vi-VN"/>
        </w:rPr>
        <w:t xml:space="preserve">5/07/2021 </w:t>
      </w:r>
      <w:r>
        <w:rPr>
          <w:bCs/>
          <w:iCs/>
          <w:spacing w:val="-6"/>
          <w:sz w:val="26"/>
          <w:szCs w:val="26"/>
        </w:rPr>
        <w:t>của UBND tỉnh Lạng Sơn quyết định chấp thuận chủ trương đầu tư đồng thời chấp thuận nhà đầu tư</w:t>
      </w:r>
      <w:r>
        <w:rPr>
          <w:color w:val="000000" w:themeColor="text1"/>
          <w:spacing w:val="-6"/>
          <w:sz w:val="26"/>
          <w:szCs w:val="26"/>
          <w14:textFill>
            <w14:solidFill>
              <w14:schemeClr w14:val="tx1"/>
            </w14:solidFill>
          </w14:textFill>
        </w:rPr>
        <w:t>:</w:t>
      </w:r>
    </w:p>
    <w:p w14:paraId="7009ED73">
      <w:pPr>
        <w:spacing w:before="120" w:after="120" w:line="380" w:lineRule="exact"/>
        <w:ind w:firstLine="567"/>
        <w:jc w:val="both"/>
        <w:rPr>
          <w:color w:val="000000" w:themeColor="text1"/>
          <w:spacing w:val="-6"/>
          <w:sz w:val="26"/>
          <w:szCs w:val="26"/>
          <w14:textFill>
            <w14:solidFill>
              <w14:schemeClr w14:val="tx1"/>
            </w14:solidFill>
          </w14:textFill>
        </w:rPr>
      </w:pPr>
      <w:r>
        <w:rPr>
          <w:color w:val="000000" w:themeColor="text1"/>
          <w:spacing w:val="-6"/>
          <w:sz w:val="26"/>
          <w:szCs w:val="26"/>
          <w14:textFill>
            <w14:solidFill>
              <w14:schemeClr w14:val="tx1"/>
            </w14:solidFill>
          </w14:textFill>
        </w:rPr>
        <w:t>“8. Tiến độ thực hiện dự án: 07 năm (trong đó dự kiến 01 năm chuẩn bị đầu tư, 04 năm triển khai xây dựng dự án, 02 năm tổ chức kinh doanh bán hàng).</w:t>
      </w:r>
    </w:p>
    <w:p w14:paraId="47E745C5">
      <w:pPr>
        <w:spacing w:before="120" w:after="120" w:line="380" w:lineRule="exact"/>
        <w:ind w:firstLine="567"/>
        <w:jc w:val="both"/>
        <w:rPr>
          <w:color w:val="000000" w:themeColor="text1"/>
          <w:spacing w:val="-6"/>
          <w:sz w:val="26"/>
          <w:szCs w:val="26"/>
          <w14:textFill>
            <w14:solidFill>
              <w14:schemeClr w14:val="tx1"/>
            </w14:solidFill>
          </w14:textFill>
        </w:rPr>
      </w:pPr>
      <w:r>
        <w:rPr>
          <w:color w:val="000000" w:themeColor="text1"/>
          <w:spacing w:val="-6"/>
          <w:sz w:val="26"/>
          <w:szCs w:val="26"/>
          <w14:textFill>
            <w14:solidFill>
              <w14:schemeClr w14:val="tx1"/>
            </w14:solidFill>
          </w14:textFill>
        </w:rPr>
        <w:t>- Công tác chuẩn bị đầu tư (Giải phóng mặt bằng, thực hiện các thủ tục về đất đai, xây dựng, môi trường): Quý III/2021 – Quý III/2022.</w:t>
      </w:r>
    </w:p>
    <w:p w14:paraId="0E6C6D1D">
      <w:pPr>
        <w:spacing w:before="120" w:after="120" w:line="380" w:lineRule="exact"/>
        <w:ind w:firstLine="567"/>
        <w:jc w:val="both"/>
        <w:rPr>
          <w:color w:val="000000" w:themeColor="text1"/>
          <w:spacing w:val="-6"/>
          <w:sz w:val="26"/>
          <w:szCs w:val="26"/>
          <w14:textFill>
            <w14:solidFill>
              <w14:schemeClr w14:val="tx1"/>
            </w14:solidFill>
          </w14:textFill>
        </w:rPr>
      </w:pPr>
      <w:r>
        <w:rPr>
          <w:color w:val="000000" w:themeColor="text1"/>
          <w:spacing w:val="-6"/>
          <w:sz w:val="26"/>
          <w:szCs w:val="26"/>
          <w14:textFill>
            <w14:solidFill>
              <w14:schemeClr w14:val="tx1"/>
            </w14:solidFill>
          </w14:textFill>
        </w:rPr>
        <w:t>+ Thi công hạ tầng kỹ thuật và công trình trên đất, nghiệm thu hoàn thành: Quý IV/2022 – Quý IV/2026.</w:t>
      </w:r>
    </w:p>
    <w:p w14:paraId="70A29D24">
      <w:pPr>
        <w:spacing w:before="120" w:after="120" w:line="380" w:lineRule="exact"/>
        <w:ind w:firstLine="567"/>
        <w:jc w:val="both"/>
        <w:rPr>
          <w:color w:val="000000" w:themeColor="text1"/>
          <w:spacing w:val="-6"/>
          <w:sz w:val="26"/>
          <w:szCs w:val="26"/>
          <w14:textFill>
            <w14:solidFill>
              <w14:schemeClr w14:val="tx1"/>
            </w14:solidFill>
          </w14:textFill>
        </w:rPr>
      </w:pPr>
      <w:r>
        <w:rPr>
          <w:color w:val="000000" w:themeColor="text1"/>
          <w:spacing w:val="-6"/>
          <w:sz w:val="26"/>
          <w:szCs w:val="26"/>
          <w14:textFill>
            <w14:solidFill>
              <w14:schemeClr w14:val="tx1"/>
            </w14:solidFill>
          </w14:textFill>
        </w:rPr>
        <w:t>+ Tổ chức kinh doanh, bán hàng: Quý I/2027 – Quý IV/2028.</w:t>
      </w:r>
    </w:p>
    <w:p w14:paraId="7A092F61">
      <w:pPr>
        <w:spacing w:before="120" w:after="120" w:line="380" w:lineRule="exact"/>
        <w:ind w:firstLine="567"/>
        <w:jc w:val="both"/>
        <w:rPr>
          <w:b/>
          <w:color w:val="000000" w:themeColor="text1"/>
          <w:sz w:val="26"/>
          <w:szCs w:val="26"/>
          <w14:textFill>
            <w14:solidFill>
              <w14:schemeClr w14:val="tx1"/>
            </w14:solidFill>
          </w14:textFill>
        </w:rPr>
      </w:pPr>
      <w:r>
        <w:rPr>
          <w:color w:val="000000" w:themeColor="text1"/>
          <w:spacing w:val="-6"/>
          <w:sz w:val="26"/>
          <w:szCs w:val="26"/>
          <w14:textFill>
            <w14:solidFill>
              <w14:schemeClr w14:val="tx1"/>
            </w14:solidFill>
          </w14:textFill>
        </w:rPr>
        <w:t>+ Quyết toán, bàn giao cơ quan quản lý nhà nước: Quý IV/2028.”</w:t>
      </w:r>
    </w:p>
    <w:bookmarkEnd w:id="17"/>
    <w:p w14:paraId="7270941C">
      <w:pPr>
        <w:spacing w:before="120" w:after="120" w:line="380" w:lineRule="exact"/>
        <w:ind w:firstLine="567"/>
        <w:jc w:val="both"/>
        <w:rPr>
          <w:bCs/>
          <w:i/>
          <w:i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3. Cơ cấu quy hoạch sử dụng đất</w:t>
      </w:r>
      <w:r>
        <w:rPr>
          <w:b/>
          <w:color w:val="000000" w:themeColor="text1"/>
          <w:sz w:val="26"/>
          <w:szCs w:val="26"/>
          <w14:textFill>
            <w14:solidFill>
              <w14:schemeClr w14:val="tx1"/>
            </w14:solidFill>
          </w14:textFill>
        </w:rPr>
        <w:t xml:space="preserve"> </w:t>
      </w:r>
      <w:r>
        <w:rPr>
          <w:bCs/>
          <w:i/>
          <w:iCs/>
          <w:color w:val="000000" w:themeColor="text1"/>
          <w:sz w:val="26"/>
          <w:szCs w:val="26"/>
          <w14:textFill>
            <w14:solidFill>
              <w14:schemeClr w14:val="tx1"/>
            </w14:solidFill>
          </w14:textFill>
        </w:rPr>
        <w:t>(</w:t>
      </w:r>
      <w:r>
        <w:rPr>
          <w:bCs/>
          <w:i/>
          <w:iCs/>
          <w:color w:val="000000" w:themeColor="text1"/>
          <w:sz w:val="26"/>
          <w:szCs w:val="26"/>
          <w:lang w:val="vi-VN"/>
          <w14:textFill>
            <w14:solidFill>
              <w14:schemeClr w14:val="tx1"/>
            </w14:solidFill>
          </w14:textFill>
        </w:rPr>
        <w:t xml:space="preserve">Theo quy hoạch chi tiết được duyệt tại QĐ </w:t>
      </w:r>
      <w:r>
        <w:rPr>
          <w:bCs/>
          <w:i/>
          <w:iCs/>
          <w:color w:val="000000" w:themeColor="text1"/>
          <w:sz w:val="26"/>
          <w:szCs w:val="26"/>
          <w14:textFill>
            <w14:solidFill>
              <w14:schemeClr w14:val="tx1"/>
            </w14:solidFill>
          </w14:textFill>
        </w:rPr>
        <w:t xml:space="preserve">số </w:t>
      </w:r>
      <w:r>
        <w:rPr>
          <w:bCs/>
          <w:i/>
          <w:spacing w:val="-6"/>
          <w:sz w:val="26"/>
          <w:szCs w:val="26"/>
        </w:rPr>
        <w:t>2483</w:t>
      </w:r>
      <w:r>
        <w:rPr>
          <w:bCs/>
          <w:i/>
          <w:spacing w:val="-6"/>
          <w:sz w:val="26"/>
          <w:szCs w:val="26"/>
          <w:lang w:val="vi-VN"/>
        </w:rPr>
        <w:t xml:space="preserve">/QĐ-UBND ngày 26 tháng </w:t>
      </w:r>
      <w:r>
        <w:rPr>
          <w:bCs/>
          <w:i/>
          <w:spacing w:val="-6"/>
          <w:sz w:val="26"/>
          <w:szCs w:val="26"/>
        </w:rPr>
        <w:t>6</w:t>
      </w:r>
      <w:r>
        <w:rPr>
          <w:bCs/>
          <w:i/>
          <w:spacing w:val="-6"/>
          <w:sz w:val="26"/>
          <w:szCs w:val="26"/>
          <w:lang w:val="vi-VN"/>
        </w:rPr>
        <w:t xml:space="preserve"> năm 20</w:t>
      </w:r>
      <w:r>
        <w:rPr>
          <w:bCs/>
          <w:i/>
          <w:spacing w:val="-6"/>
          <w:sz w:val="26"/>
          <w:szCs w:val="26"/>
        </w:rPr>
        <w:t>20</w:t>
      </w:r>
      <w:r>
        <w:rPr>
          <w:bCs/>
          <w:i/>
          <w:spacing w:val="-6"/>
          <w:sz w:val="26"/>
          <w:szCs w:val="26"/>
          <w:lang w:val="vi-VN"/>
        </w:rPr>
        <w:t xml:space="preserve"> của UBND </w:t>
      </w:r>
      <w:r>
        <w:rPr>
          <w:bCs/>
          <w:i/>
          <w:spacing w:val="-6"/>
          <w:sz w:val="26"/>
          <w:szCs w:val="26"/>
        </w:rPr>
        <w:t>huyện Chi Lăng và Quyết định số 4564/QĐ-UBND ngày 14 tháng 12 năm 2020 của UBND huyện Chi Lăng về việc điều chỉnh tên đồ án Quy hoạch chi tiết 1/500</w:t>
      </w:r>
      <w:r>
        <w:rPr>
          <w:bCs/>
          <w:i/>
          <w:iCs/>
          <w:color w:val="000000" w:themeColor="text1"/>
          <w:sz w:val="26"/>
          <w:szCs w:val="26"/>
          <w14:textFill>
            <w14:solidFill>
              <w14:schemeClr w14:val="tx1"/>
            </w14:solidFill>
          </w14:textFill>
        </w:rPr>
        <w:t>):</w:t>
      </w:r>
    </w:p>
    <w:tbl>
      <w:tblPr>
        <w:tblStyle w:val="9"/>
        <w:tblW w:w="0" w:type="auto"/>
        <w:tblInd w:w="0" w:type="dxa"/>
        <w:tblLayout w:type="fixed"/>
        <w:tblCellMar>
          <w:top w:w="0" w:type="dxa"/>
          <w:left w:w="108" w:type="dxa"/>
          <w:bottom w:w="0" w:type="dxa"/>
          <w:right w:w="108" w:type="dxa"/>
        </w:tblCellMar>
      </w:tblPr>
      <w:tblGrid>
        <w:gridCol w:w="670"/>
        <w:gridCol w:w="3191"/>
        <w:gridCol w:w="1394"/>
        <w:gridCol w:w="1116"/>
        <w:gridCol w:w="1042"/>
        <w:gridCol w:w="910"/>
        <w:gridCol w:w="737"/>
      </w:tblGrid>
      <w:tr w14:paraId="350A37C4">
        <w:tblPrEx>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vAlign w:val="center"/>
          </w:tcPr>
          <w:p w14:paraId="2984D8EC">
            <w:pPr>
              <w:jc w:val="center"/>
              <w:rPr>
                <w:b/>
                <w:bCs/>
              </w:rPr>
            </w:pPr>
            <w:r>
              <w:rPr>
                <w:b/>
                <w:bCs/>
              </w:rPr>
              <w:t>STT</w:t>
            </w:r>
          </w:p>
        </w:tc>
        <w:tc>
          <w:tcPr>
            <w:tcW w:w="3191" w:type="dxa"/>
            <w:tcBorders>
              <w:top w:val="single" w:color="auto" w:sz="4" w:space="0"/>
              <w:left w:val="nil"/>
              <w:bottom w:val="single" w:color="auto" w:sz="4" w:space="0"/>
              <w:right w:val="single" w:color="auto" w:sz="4" w:space="0"/>
            </w:tcBorders>
            <w:vAlign w:val="center"/>
          </w:tcPr>
          <w:p w14:paraId="68829918">
            <w:pPr>
              <w:jc w:val="center"/>
              <w:rPr>
                <w:b/>
                <w:bCs/>
              </w:rPr>
            </w:pPr>
            <w:r>
              <w:rPr>
                <w:b/>
                <w:bCs/>
              </w:rPr>
              <w:t>LOẠI ĐẤT</w:t>
            </w:r>
          </w:p>
        </w:tc>
        <w:tc>
          <w:tcPr>
            <w:tcW w:w="1394" w:type="dxa"/>
            <w:tcBorders>
              <w:top w:val="single" w:color="auto" w:sz="4" w:space="0"/>
              <w:left w:val="nil"/>
              <w:bottom w:val="single" w:color="auto" w:sz="4" w:space="0"/>
              <w:right w:val="single" w:color="auto" w:sz="4" w:space="0"/>
            </w:tcBorders>
            <w:vAlign w:val="center"/>
          </w:tcPr>
          <w:p w14:paraId="753812DE">
            <w:pPr>
              <w:jc w:val="center"/>
              <w:rPr>
                <w:b/>
                <w:bCs/>
              </w:rPr>
            </w:pPr>
            <w:r>
              <w:rPr>
                <w:b/>
                <w:bCs/>
              </w:rPr>
              <w:t>DT ĐẤT</w:t>
            </w:r>
            <w:r>
              <w:rPr>
                <w:b/>
                <w:bCs/>
              </w:rPr>
              <w:br w:type="textWrapping"/>
            </w:r>
            <w:r>
              <w:rPr>
                <w:b/>
                <w:bCs/>
              </w:rPr>
              <w:t>(m2)</w:t>
            </w:r>
          </w:p>
        </w:tc>
        <w:tc>
          <w:tcPr>
            <w:tcW w:w="1116" w:type="dxa"/>
            <w:tcBorders>
              <w:top w:val="single" w:color="auto" w:sz="4" w:space="0"/>
              <w:left w:val="nil"/>
              <w:bottom w:val="single" w:color="auto" w:sz="4" w:space="0"/>
              <w:right w:val="single" w:color="auto" w:sz="4" w:space="0"/>
            </w:tcBorders>
            <w:vAlign w:val="center"/>
          </w:tcPr>
          <w:p w14:paraId="0338D719">
            <w:pPr>
              <w:jc w:val="center"/>
              <w:rPr>
                <w:b/>
                <w:bCs/>
              </w:rPr>
            </w:pPr>
            <w:r>
              <w:rPr>
                <w:b/>
                <w:bCs/>
              </w:rPr>
              <w:t>TỶ LỆ</w:t>
            </w:r>
            <w:r>
              <w:rPr>
                <w:b/>
                <w:bCs/>
              </w:rPr>
              <w:br w:type="textWrapping"/>
            </w:r>
            <w:r>
              <w:rPr>
                <w:b/>
                <w:bCs/>
              </w:rPr>
              <w:t>(%)</w:t>
            </w:r>
          </w:p>
        </w:tc>
        <w:tc>
          <w:tcPr>
            <w:tcW w:w="1042" w:type="dxa"/>
            <w:tcBorders>
              <w:top w:val="single" w:color="auto" w:sz="4" w:space="0"/>
              <w:left w:val="nil"/>
              <w:bottom w:val="single" w:color="auto" w:sz="4" w:space="0"/>
              <w:right w:val="single" w:color="auto" w:sz="4" w:space="0"/>
            </w:tcBorders>
            <w:vAlign w:val="center"/>
          </w:tcPr>
          <w:p w14:paraId="36A084B8">
            <w:pPr>
              <w:jc w:val="center"/>
              <w:rPr>
                <w:b/>
                <w:bCs/>
              </w:rPr>
            </w:pPr>
            <w:r>
              <w:rPr>
                <w:b/>
                <w:bCs/>
              </w:rPr>
              <w:t>MẬT ĐỘ</w:t>
            </w:r>
            <w:r>
              <w:rPr>
                <w:b/>
                <w:bCs/>
              </w:rPr>
              <w:br w:type="textWrapping"/>
            </w:r>
            <w:r>
              <w:rPr>
                <w:b/>
                <w:bCs/>
              </w:rPr>
              <w:t>(%)</w:t>
            </w:r>
          </w:p>
        </w:tc>
        <w:tc>
          <w:tcPr>
            <w:tcW w:w="910" w:type="dxa"/>
            <w:tcBorders>
              <w:top w:val="single" w:color="auto" w:sz="4" w:space="0"/>
              <w:left w:val="nil"/>
              <w:bottom w:val="single" w:color="auto" w:sz="4" w:space="0"/>
              <w:right w:val="single" w:color="auto" w:sz="4" w:space="0"/>
            </w:tcBorders>
            <w:vAlign w:val="center"/>
          </w:tcPr>
          <w:p w14:paraId="471047E2">
            <w:pPr>
              <w:jc w:val="center"/>
              <w:rPr>
                <w:b/>
                <w:bCs/>
              </w:rPr>
            </w:pPr>
            <w:r>
              <w:rPr>
                <w:b/>
                <w:bCs/>
              </w:rPr>
              <w:t>TẦNG</w:t>
            </w:r>
            <w:r>
              <w:rPr>
                <w:b/>
                <w:bCs/>
              </w:rPr>
              <w:br w:type="textWrapping"/>
            </w:r>
            <w:r>
              <w:rPr>
                <w:b/>
                <w:bCs/>
              </w:rPr>
              <w:t>CAO</w:t>
            </w:r>
          </w:p>
        </w:tc>
        <w:tc>
          <w:tcPr>
            <w:tcW w:w="737" w:type="dxa"/>
            <w:tcBorders>
              <w:top w:val="single" w:color="auto" w:sz="4" w:space="0"/>
              <w:left w:val="nil"/>
              <w:bottom w:val="single" w:color="auto" w:sz="4" w:space="0"/>
              <w:right w:val="single" w:color="auto" w:sz="4" w:space="0"/>
            </w:tcBorders>
            <w:vAlign w:val="center"/>
          </w:tcPr>
          <w:p w14:paraId="56A28D0E">
            <w:pPr>
              <w:jc w:val="center"/>
              <w:rPr>
                <w:b/>
                <w:bCs/>
              </w:rPr>
            </w:pPr>
            <w:r>
              <w:rPr>
                <w:b/>
                <w:bCs/>
              </w:rPr>
              <w:t>SỐ LÔ</w:t>
            </w:r>
          </w:p>
        </w:tc>
      </w:tr>
      <w:tr w14:paraId="6D7CDF44">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640A2056">
            <w:pPr>
              <w:jc w:val="center"/>
              <w:rPr>
                <w:b/>
                <w:bCs/>
              </w:rPr>
            </w:pPr>
            <w:r>
              <w:rPr>
                <w:b/>
                <w:bCs/>
              </w:rPr>
              <w:t>I</w:t>
            </w:r>
          </w:p>
        </w:tc>
        <w:tc>
          <w:tcPr>
            <w:tcW w:w="3191" w:type="dxa"/>
            <w:tcBorders>
              <w:top w:val="nil"/>
              <w:left w:val="nil"/>
              <w:bottom w:val="single" w:color="auto" w:sz="4" w:space="0"/>
              <w:right w:val="single" w:color="auto" w:sz="4" w:space="0"/>
            </w:tcBorders>
            <w:vAlign w:val="center"/>
          </w:tcPr>
          <w:p w14:paraId="73875DAE">
            <w:pPr>
              <w:rPr>
                <w:b/>
                <w:bCs/>
              </w:rPr>
            </w:pPr>
            <w:r>
              <w:rPr>
                <w:b/>
                <w:bCs/>
              </w:rPr>
              <w:t>ĐẤT NHÓM NHÀ Ở</w:t>
            </w:r>
          </w:p>
        </w:tc>
        <w:tc>
          <w:tcPr>
            <w:tcW w:w="1394" w:type="dxa"/>
            <w:tcBorders>
              <w:top w:val="nil"/>
              <w:left w:val="nil"/>
              <w:bottom w:val="single" w:color="auto" w:sz="4" w:space="0"/>
              <w:right w:val="single" w:color="auto" w:sz="4" w:space="0"/>
            </w:tcBorders>
            <w:vAlign w:val="center"/>
          </w:tcPr>
          <w:p w14:paraId="2B21BF45">
            <w:pPr>
              <w:jc w:val="center"/>
              <w:rPr>
                <w:b/>
                <w:bCs/>
              </w:rPr>
            </w:pPr>
            <w:r>
              <w:rPr>
                <w:b/>
                <w:bCs/>
              </w:rPr>
              <w:t>100.898,3</w:t>
            </w:r>
          </w:p>
        </w:tc>
        <w:tc>
          <w:tcPr>
            <w:tcW w:w="1116" w:type="dxa"/>
            <w:tcBorders>
              <w:top w:val="nil"/>
              <w:left w:val="nil"/>
              <w:bottom w:val="single" w:color="auto" w:sz="4" w:space="0"/>
              <w:right w:val="single" w:color="auto" w:sz="4" w:space="0"/>
            </w:tcBorders>
            <w:vAlign w:val="center"/>
          </w:tcPr>
          <w:p w14:paraId="48B372A3">
            <w:pPr>
              <w:jc w:val="center"/>
              <w:rPr>
                <w:b/>
                <w:bCs/>
              </w:rPr>
            </w:pPr>
            <w:r>
              <w:rPr>
                <w:b/>
                <w:bCs/>
              </w:rPr>
              <w:t>50,90%</w:t>
            </w:r>
          </w:p>
        </w:tc>
        <w:tc>
          <w:tcPr>
            <w:tcW w:w="1042" w:type="dxa"/>
            <w:tcBorders>
              <w:top w:val="nil"/>
              <w:left w:val="nil"/>
              <w:bottom w:val="single" w:color="auto" w:sz="4" w:space="0"/>
              <w:right w:val="single" w:color="auto" w:sz="4" w:space="0"/>
            </w:tcBorders>
            <w:vAlign w:val="center"/>
          </w:tcPr>
          <w:p w14:paraId="2741B660">
            <w:pPr>
              <w:jc w:val="center"/>
            </w:pPr>
          </w:p>
        </w:tc>
        <w:tc>
          <w:tcPr>
            <w:tcW w:w="910" w:type="dxa"/>
            <w:tcBorders>
              <w:top w:val="nil"/>
              <w:left w:val="nil"/>
              <w:bottom w:val="single" w:color="auto" w:sz="4" w:space="0"/>
              <w:right w:val="single" w:color="auto" w:sz="4" w:space="0"/>
            </w:tcBorders>
            <w:vAlign w:val="center"/>
          </w:tcPr>
          <w:p w14:paraId="1EFE4E94">
            <w:pPr>
              <w:jc w:val="center"/>
            </w:pPr>
          </w:p>
        </w:tc>
        <w:tc>
          <w:tcPr>
            <w:tcW w:w="737" w:type="dxa"/>
            <w:tcBorders>
              <w:top w:val="nil"/>
              <w:left w:val="nil"/>
              <w:bottom w:val="single" w:color="auto" w:sz="4" w:space="0"/>
              <w:right w:val="single" w:color="auto" w:sz="4" w:space="0"/>
            </w:tcBorders>
            <w:vAlign w:val="center"/>
          </w:tcPr>
          <w:p w14:paraId="1D19451B">
            <w:pPr>
              <w:jc w:val="center"/>
            </w:pPr>
          </w:p>
        </w:tc>
      </w:tr>
      <w:tr w14:paraId="65A710F2">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6A8E3853">
            <w:pPr>
              <w:jc w:val="center"/>
            </w:pPr>
            <w:r>
              <w:t>1</w:t>
            </w:r>
          </w:p>
        </w:tc>
        <w:tc>
          <w:tcPr>
            <w:tcW w:w="3191" w:type="dxa"/>
            <w:tcBorders>
              <w:top w:val="nil"/>
              <w:left w:val="nil"/>
              <w:bottom w:val="single" w:color="auto" w:sz="4" w:space="0"/>
              <w:right w:val="single" w:color="auto" w:sz="4" w:space="0"/>
            </w:tcBorders>
            <w:vAlign w:val="center"/>
          </w:tcPr>
          <w:p w14:paraId="6D13B578">
            <w:pPr>
              <w:rPr>
                <w:b/>
                <w:bCs/>
              </w:rPr>
            </w:pPr>
            <w:r>
              <w:rPr>
                <w:b/>
                <w:bCs/>
              </w:rPr>
              <w:t>ĐẤT Ở</w:t>
            </w:r>
          </w:p>
        </w:tc>
        <w:tc>
          <w:tcPr>
            <w:tcW w:w="1394" w:type="dxa"/>
            <w:tcBorders>
              <w:top w:val="nil"/>
              <w:left w:val="nil"/>
              <w:bottom w:val="single" w:color="auto" w:sz="4" w:space="0"/>
              <w:right w:val="single" w:color="auto" w:sz="4" w:space="0"/>
            </w:tcBorders>
            <w:vAlign w:val="center"/>
          </w:tcPr>
          <w:p w14:paraId="2825BD53">
            <w:pPr>
              <w:jc w:val="center"/>
              <w:rPr>
                <w:b/>
                <w:bCs/>
              </w:rPr>
            </w:pPr>
            <w:r>
              <w:rPr>
                <w:b/>
                <w:bCs/>
              </w:rPr>
              <w:t>87.948,4</w:t>
            </w:r>
          </w:p>
        </w:tc>
        <w:tc>
          <w:tcPr>
            <w:tcW w:w="1116" w:type="dxa"/>
            <w:tcBorders>
              <w:top w:val="nil"/>
              <w:left w:val="nil"/>
              <w:bottom w:val="single" w:color="auto" w:sz="4" w:space="0"/>
              <w:right w:val="single" w:color="auto" w:sz="4" w:space="0"/>
            </w:tcBorders>
            <w:vAlign w:val="center"/>
          </w:tcPr>
          <w:p w14:paraId="4ADCCF07">
            <w:pPr>
              <w:jc w:val="center"/>
              <w:rPr>
                <w:b/>
                <w:bCs/>
              </w:rPr>
            </w:pPr>
            <w:r>
              <w:rPr>
                <w:b/>
                <w:bCs/>
              </w:rPr>
              <w:t>44,37%</w:t>
            </w:r>
          </w:p>
        </w:tc>
        <w:tc>
          <w:tcPr>
            <w:tcW w:w="1042" w:type="dxa"/>
            <w:tcBorders>
              <w:top w:val="nil"/>
              <w:left w:val="nil"/>
              <w:bottom w:val="single" w:color="auto" w:sz="4" w:space="0"/>
              <w:right w:val="single" w:color="auto" w:sz="4" w:space="0"/>
            </w:tcBorders>
            <w:vAlign w:val="center"/>
          </w:tcPr>
          <w:p w14:paraId="13FF0A06">
            <w:pPr>
              <w:jc w:val="center"/>
            </w:pPr>
          </w:p>
        </w:tc>
        <w:tc>
          <w:tcPr>
            <w:tcW w:w="910" w:type="dxa"/>
            <w:tcBorders>
              <w:top w:val="nil"/>
              <w:left w:val="nil"/>
              <w:bottom w:val="single" w:color="auto" w:sz="4" w:space="0"/>
              <w:right w:val="single" w:color="auto" w:sz="4" w:space="0"/>
            </w:tcBorders>
            <w:vAlign w:val="center"/>
          </w:tcPr>
          <w:p w14:paraId="3A3050C9">
            <w:pPr>
              <w:jc w:val="center"/>
            </w:pPr>
          </w:p>
        </w:tc>
        <w:tc>
          <w:tcPr>
            <w:tcW w:w="737" w:type="dxa"/>
            <w:tcBorders>
              <w:top w:val="nil"/>
              <w:left w:val="nil"/>
              <w:bottom w:val="single" w:color="auto" w:sz="4" w:space="0"/>
              <w:right w:val="single" w:color="auto" w:sz="4" w:space="0"/>
            </w:tcBorders>
            <w:vAlign w:val="center"/>
          </w:tcPr>
          <w:p w14:paraId="6A98093B">
            <w:pPr>
              <w:jc w:val="center"/>
            </w:pPr>
          </w:p>
        </w:tc>
      </w:tr>
      <w:tr w14:paraId="11EBFA21">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5541FF0F">
            <w:pPr>
              <w:jc w:val="center"/>
            </w:pPr>
            <w:r>
              <w:t>1.1</w:t>
            </w:r>
          </w:p>
        </w:tc>
        <w:tc>
          <w:tcPr>
            <w:tcW w:w="3191" w:type="dxa"/>
            <w:tcBorders>
              <w:top w:val="nil"/>
              <w:left w:val="nil"/>
              <w:bottom w:val="single" w:color="auto" w:sz="4" w:space="0"/>
              <w:right w:val="single" w:color="auto" w:sz="4" w:space="0"/>
            </w:tcBorders>
            <w:vAlign w:val="center"/>
          </w:tcPr>
          <w:p w14:paraId="5FE2D8E9">
            <w:r>
              <w:t>Đất hiện trạng</w:t>
            </w:r>
          </w:p>
        </w:tc>
        <w:tc>
          <w:tcPr>
            <w:tcW w:w="1394" w:type="dxa"/>
            <w:tcBorders>
              <w:top w:val="nil"/>
              <w:left w:val="nil"/>
              <w:bottom w:val="single" w:color="auto" w:sz="4" w:space="0"/>
              <w:right w:val="single" w:color="auto" w:sz="4" w:space="0"/>
            </w:tcBorders>
            <w:vAlign w:val="center"/>
          </w:tcPr>
          <w:p w14:paraId="1CA84328">
            <w:pPr>
              <w:jc w:val="center"/>
            </w:pPr>
            <w:r>
              <w:t>29.745,0</w:t>
            </w:r>
          </w:p>
        </w:tc>
        <w:tc>
          <w:tcPr>
            <w:tcW w:w="1116" w:type="dxa"/>
            <w:tcBorders>
              <w:top w:val="nil"/>
              <w:left w:val="nil"/>
              <w:bottom w:val="single" w:color="auto" w:sz="4" w:space="0"/>
              <w:right w:val="single" w:color="auto" w:sz="4" w:space="0"/>
            </w:tcBorders>
            <w:vAlign w:val="center"/>
          </w:tcPr>
          <w:p w14:paraId="7E250735">
            <w:pPr>
              <w:jc w:val="center"/>
            </w:pPr>
            <w:r>
              <w:t>15,01%</w:t>
            </w:r>
          </w:p>
        </w:tc>
        <w:tc>
          <w:tcPr>
            <w:tcW w:w="1042" w:type="dxa"/>
            <w:tcBorders>
              <w:top w:val="nil"/>
              <w:left w:val="nil"/>
              <w:bottom w:val="single" w:color="auto" w:sz="4" w:space="0"/>
              <w:right w:val="single" w:color="auto" w:sz="4" w:space="0"/>
            </w:tcBorders>
            <w:vAlign w:val="center"/>
          </w:tcPr>
          <w:p w14:paraId="6D926680">
            <w:pPr>
              <w:jc w:val="center"/>
            </w:pPr>
            <w:r>
              <w:t>90</w:t>
            </w:r>
          </w:p>
        </w:tc>
        <w:tc>
          <w:tcPr>
            <w:tcW w:w="910" w:type="dxa"/>
            <w:tcBorders>
              <w:top w:val="nil"/>
              <w:left w:val="nil"/>
              <w:bottom w:val="single" w:color="auto" w:sz="4" w:space="0"/>
              <w:right w:val="single" w:color="auto" w:sz="4" w:space="0"/>
            </w:tcBorders>
            <w:vAlign w:val="center"/>
          </w:tcPr>
          <w:p w14:paraId="24732C38">
            <w:pPr>
              <w:jc w:val="center"/>
            </w:pPr>
            <w:r>
              <w:t>5</w:t>
            </w:r>
          </w:p>
        </w:tc>
        <w:tc>
          <w:tcPr>
            <w:tcW w:w="737" w:type="dxa"/>
            <w:tcBorders>
              <w:top w:val="nil"/>
              <w:left w:val="nil"/>
              <w:bottom w:val="single" w:color="auto" w:sz="4" w:space="0"/>
              <w:right w:val="single" w:color="auto" w:sz="4" w:space="0"/>
            </w:tcBorders>
            <w:vAlign w:val="center"/>
          </w:tcPr>
          <w:p w14:paraId="71743396">
            <w:pPr>
              <w:jc w:val="center"/>
            </w:pPr>
            <w:r>
              <w:t>188</w:t>
            </w:r>
          </w:p>
        </w:tc>
      </w:tr>
      <w:tr w14:paraId="7340B5A2">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24E7888D">
            <w:pPr>
              <w:jc w:val="center"/>
            </w:pPr>
            <w:r>
              <w:t>1.2</w:t>
            </w:r>
          </w:p>
        </w:tc>
        <w:tc>
          <w:tcPr>
            <w:tcW w:w="3191" w:type="dxa"/>
            <w:tcBorders>
              <w:top w:val="nil"/>
              <w:left w:val="nil"/>
              <w:bottom w:val="single" w:color="auto" w:sz="4" w:space="0"/>
              <w:right w:val="single" w:color="auto" w:sz="4" w:space="0"/>
            </w:tcBorders>
            <w:vAlign w:val="center"/>
          </w:tcPr>
          <w:p w14:paraId="616E446A">
            <w:r>
              <w:t>Đất ở biệt thự</w:t>
            </w:r>
          </w:p>
        </w:tc>
        <w:tc>
          <w:tcPr>
            <w:tcW w:w="1394" w:type="dxa"/>
            <w:tcBorders>
              <w:top w:val="nil"/>
              <w:left w:val="nil"/>
              <w:bottom w:val="single" w:color="auto" w:sz="4" w:space="0"/>
              <w:right w:val="single" w:color="auto" w:sz="4" w:space="0"/>
            </w:tcBorders>
            <w:vAlign w:val="center"/>
          </w:tcPr>
          <w:p w14:paraId="5E438361">
            <w:pPr>
              <w:jc w:val="center"/>
            </w:pPr>
            <w:r>
              <w:t>3.009,1</w:t>
            </w:r>
          </w:p>
        </w:tc>
        <w:tc>
          <w:tcPr>
            <w:tcW w:w="1116" w:type="dxa"/>
            <w:tcBorders>
              <w:top w:val="nil"/>
              <w:left w:val="nil"/>
              <w:bottom w:val="single" w:color="auto" w:sz="4" w:space="0"/>
              <w:right w:val="single" w:color="auto" w:sz="4" w:space="0"/>
            </w:tcBorders>
            <w:vAlign w:val="center"/>
          </w:tcPr>
          <w:p w14:paraId="5F13F727">
            <w:pPr>
              <w:jc w:val="center"/>
            </w:pPr>
            <w:r>
              <w:t>1,52%</w:t>
            </w:r>
          </w:p>
        </w:tc>
        <w:tc>
          <w:tcPr>
            <w:tcW w:w="1042" w:type="dxa"/>
            <w:tcBorders>
              <w:top w:val="nil"/>
              <w:left w:val="nil"/>
              <w:bottom w:val="single" w:color="auto" w:sz="4" w:space="0"/>
              <w:right w:val="single" w:color="auto" w:sz="4" w:space="0"/>
            </w:tcBorders>
            <w:vAlign w:val="center"/>
          </w:tcPr>
          <w:p w14:paraId="1BFD87FC">
            <w:pPr>
              <w:jc w:val="center"/>
            </w:pPr>
            <w:r>
              <w:t>50</w:t>
            </w:r>
          </w:p>
        </w:tc>
        <w:tc>
          <w:tcPr>
            <w:tcW w:w="910" w:type="dxa"/>
            <w:tcBorders>
              <w:top w:val="nil"/>
              <w:left w:val="nil"/>
              <w:bottom w:val="single" w:color="auto" w:sz="4" w:space="0"/>
              <w:right w:val="single" w:color="auto" w:sz="4" w:space="0"/>
            </w:tcBorders>
            <w:vAlign w:val="center"/>
          </w:tcPr>
          <w:p w14:paraId="685688D7">
            <w:pPr>
              <w:jc w:val="center"/>
            </w:pPr>
            <w:r>
              <w:t>3</w:t>
            </w:r>
          </w:p>
        </w:tc>
        <w:tc>
          <w:tcPr>
            <w:tcW w:w="737" w:type="dxa"/>
            <w:tcBorders>
              <w:top w:val="nil"/>
              <w:left w:val="nil"/>
              <w:bottom w:val="single" w:color="auto" w:sz="4" w:space="0"/>
              <w:right w:val="single" w:color="auto" w:sz="4" w:space="0"/>
            </w:tcBorders>
            <w:vAlign w:val="center"/>
          </w:tcPr>
          <w:p w14:paraId="5ACC8615">
            <w:pPr>
              <w:jc w:val="center"/>
            </w:pPr>
            <w:r>
              <w:t>10</w:t>
            </w:r>
          </w:p>
        </w:tc>
      </w:tr>
      <w:tr w14:paraId="2D6FB503">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1484F82C">
            <w:pPr>
              <w:jc w:val="center"/>
            </w:pPr>
            <w:r>
              <w:t>1.3</w:t>
            </w:r>
          </w:p>
        </w:tc>
        <w:tc>
          <w:tcPr>
            <w:tcW w:w="3191" w:type="dxa"/>
            <w:tcBorders>
              <w:top w:val="nil"/>
              <w:left w:val="nil"/>
              <w:bottom w:val="single" w:color="auto" w:sz="4" w:space="0"/>
              <w:right w:val="single" w:color="auto" w:sz="4" w:space="0"/>
            </w:tcBorders>
            <w:vAlign w:val="center"/>
          </w:tcPr>
          <w:p w14:paraId="4C316E40">
            <w:r>
              <w:t>Đất nhà ở Liền kề kết hợp kinh doanh</w:t>
            </w:r>
          </w:p>
        </w:tc>
        <w:tc>
          <w:tcPr>
            <w:tcW w:w="1394" w:type="dxa"/>
            <w:tcBorders>
              <w:top w:val="nil"/>
              <w:left w:val="nil"/>
              <w:bottom w:val="single" w:color="auto" w:sz="4" w:space="0"/>
              <w:right w:val="single" w:color="auto" w:sz="4" w:space="0"/>
            </w:tcBorders>
            <w:vAlign w:val="center"/>
          </w:tcPr>
          <w:p w14:paraId="1F5F64EB">
            <w:pPr>
              <w:jc w:val="center"/>
            </w:pPr>
            <w:r>
              <w:t>55.194,3</w:t>
            </w:r>
          </w:p>
        </w:tc>
        <w:tc>
          <w:tcPr>
            <w:tcW w:w="1116" w:type="dxa"/>
            <w:tcBorders>
              <w:top w:val="nil"/>
              <w:left w:val="nil"/>
              <w:bottom w:val="single" w:color="auto" w:sz="4" w:space="0"/>
              <w:right w:val="single" w:color="auto" w:sz="4" w:space="0"/>
            </w:tcBorders>
            <w:vAlign w:val="center"/>
          </w:tcPr>
          <w:p w14:paraId="29AF52C8">
            <w:pPr>
              <w:jc w:val="center"/>
            </w:pPr>
            <w:r>
              <w:t>27,85%</w:t>
            </w:r>
          </w:p>
        </w:tc>
        <w:tc>
          <w:tcPr>
            <w:tcW w:w="1042" w:type="dxa"/>
            <w:tcBorders>
              <w:top w:val="nil"/>
              <w:left w:val="nil"/>
              <w:bottom w:val="single" w:color="auto" w:sz="4" w:space="0"/>
              <w:right w:val="single" w:color="auto" w:sz="4" w:space="0"/>
            </w:tcBorders>
            <w:vAlign w:val="center"/>
          </w:tcPr>
          <w:p w14:paraId="46077A1A">
            <w:pPr>
              <w:jc w:val="center"/>
            </w:pPr>
            <w:r>
              <w:t>93</w:t>
            </w:r>
          </w:p>
        </w:tc>
        <w:tc>
          <w:tcPr>
            <w:tcW w:w="910" w:type="dxa"/>
            <w:tcBorders>
              <w:top w:val="nil"/>
              <w:left w:val="nil"/>
              <w:bottom w:val="single" w:color="auto" w:sz="4" w:space="0"/>
              <w:right w:val="single" w:color="auto" w:sz="4" w:space="0"/>
            </w:tcBorders>
            <w:vAlign w:val="center"/>
          </w:tcPr>
          <w:p w14:paraId="27E4212C">
            <w:pPr>
              <w:jc w:val="center"/>
            </w:pPr>
            <w:r>
              <w:t>5</w:t>
            </w:r>
          </w:p>
        </w:tc>
        <w:tc>
          <w:tcPr>
            <w:tcW w:w="737" w:type="dxa"/>
            <w:tcBorders>
              <w:top w:val="nil"/>
              <w:left w:val="nil"/>
              <w:bottom w:val="single" w:color="auto" w:sz="4" w:space="0"/>
              <w:right w:val="single" w:color="auto" w:sz="4" w:space="0"/>
            </w:tcBorders>
            <w:vAlign w:val="center"/>
          </w:tcPr>
          <w:p w14:paraId="75D953C5">
            <w:pPr>
              <w:jc w:val="center"/>
            </w:pPr>
            <w:r>
              <w:t>571</w:t>
            </w:r>
          </w:p>
        </w:tc>
      </w:tr>
      <w:tr w14:paraId="5E63194C">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31800517">
            <w:pPr>
              <w:jc w:val="center"/>
            </w:pPr>
            <w:r>
              <w:t>2</w:t>
            </w:r>
          </w:p>
        </w:tc>
        <w:tc>
          <w:tcPr>
            <w:tcW w:w="3191" w:type="dxa"/>
            <w:tcBorders>
              <w:top w:val="nil"/>
              <w:left w:val="nil"/>
              <w:bottom w:val="single" w:color="auto" w:sz="4" w:space="0"/>
              <w:right w:val="single" w:color="auto" w:sz="4" w:space="0"/>
            </w:tcBorders>
            <w:vAlign w:val="center"/>
          </w:tcPr>
          <w:p w14:paraId="17500465">
            <w:r>
              <w:t>ĐẤT CÔNG CỘNG</w:t>
            </w:r>
          </w:p>
        </w:tc>
        <w:tc>
          <w:tcPr>
            <w:tcW w:w="1394" w:type="dxa"/>
            <w:tcBorders>
              <w:top w:val="nil"/>
              <w:left w:val="nil"/>
              <w:bottom w:val="single" w:color="auto" w:sz="4" w:space="0"/>
              <w:right w:val="single" w:color="auto" w:sz="4" w:space="0"/>
            </w:tcBorders>
            <w:vAlign w:val="center"/>
          </w:tcPr>
          <w:p w14:paraId="73C563A4">
            <w:pPr>
              <w:jc w:val="center"/>
            </w:pPr>
            <w:r>
              <w:t>3.200,7</w:t>
            </w:r>
          </w:p>
        </w:tc>
        <w:tc>
          <w:tcPr>
            <w:tcW w:w="1116" w:type="dxa"/>
            <w:tcBorders>
              <w:top w:val="nil"/>
              <w:left w:val="nil"/>
              <w:bottom w:val="single" w:color="auto" w:sz="4" w:space="0"/>
              <w:right w:val="single" w:color="auto" w:sz="4" w:space="0"/>
            </w:tcBorders>
            <w:vAlign w:val="center"/>
          </w:tcPr>
          <w:p w14:paraId="768C7952">
            <w:pPr>
              <w:jc w:val="center"/>
            </w:pPr>
            <w:r>
              <w:t>1,61%</w:t>
            </w:r>
          </w:p>
        </w:tc>
        <w:tc>
          <w:tcPr>
            <w:tcW w:w="1042" w:type="dxa"/>
            <w:tcBorders>
              <w:top w:val="nil"/>
              <w:left w:val="nil"/>
              <w:bottom w:val="single" w:color="auto" w:sz="4" w:space="0"/>
              <w:right w:val="single" w:color="auto" w:sz="4" w:space="0"/>
            </w:tcBorders>
            <w:vAlign w:val="center"/>
          </w:tcPr>
          <w:p w14:paraId="06172A9D">
            <w:pPr>
              <w:jc w:val="center"/>
            </w:pPr>
            <w:r>
              <w:t>40</w:t>
            </w:r>
          </w:p>
        </w:tc>
        <w:tc>
          <w:tcPr>
            <w:tcW w:w="910" w:type="dxa"/>
            <w:tcBorders>
              <w:top w:val="nil"/>
              <w:left w:val="nil"/>
              <w:bottom w:val="single" w:color="auto" w:sz="4" w:space="0"/>
              <w:right w:val="single" w:color="auto" w:sz="4" w:space="0"/>
            </w:tcBorders>
            <w:vAlign w:val="center"/>
          </w:tcPr>
          <w:p w14:paraId="41CA8B32">
            <w:pPr>
              <w:jc w:val="center"/>
            </w:pPr>
            <w:r>
              <w:t>3</w:t>
            </w:r>
          </w:p>
        </w:tc>
        <w:tc>
          <w:tcPr>
            <w:tcW w:w="737" w:type="dxa"/>
            <w:tcBorders>
              <w:top w:val="nil"/>
              <w:left w:val="nil"/>
              <w:bottom w:val="single" w:color="auto" w:sz="4" w:space="0"/>
              <w:right w:val="single" w:color="auto" w:sz="4" w:space="0"/>
            </w:tcBorders>
            <w:vAlign w:val="center"/>
          </w:tcPr>
          <w:p w14:paraId="124AE5EB">
            <w:pPr>
              <w:jc w:val="center"/>
            </w:pPr>
          </w:p>
        </w:tc>
      </w:tr>
      <w:tr w14:paraId="0CCA3D2A">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1ACE69E7">
            <w:pPr>
              <w:jc w:val="center"/>
            </w:pPr>
            <w:r>
              <w:t>3</w:t>
            </w:r>
          </w:p>
        </w:tc>
        <w:tc>
          <w:tcPr>
            <w:tcW w:w="3191" w:type="dxa"/>
            <w:tcBorders>
              <w:top w:val="nil"/>
              <w:left w:val="nil"/>
              <w:bottom w:val="single" w:color="auto" w:sz="4" w:space="0"/>
              <w:right w:val="single" w:color="auto" w:sz="4" w:space="0"/>
            </w:tcBorders>
            <w:vAlign w:val="center"/>
          </w:tcPr>
          <w:p w14:paraId="7BC18EF8">
            <w:r>
              <w:t>TRƯỜNG HỌC</w:t>
            </w:r>
          </w:p>
        </w:tc>
        <w:tc>
          <w:tcPr>
            <w:tcW w:w="1394" w:type="dxa"/>
            <w:tcBorders>
              <w:top w:val="nil"/>
              <w:left w:val="nil"/>
              <w:bottom w:val="single" w:color="auto" w:sz="4" w:space="0"/>
              <w:right w:val="single" w:color="auto" w:sz="4" w:space="0"/>
            </w:tcBorders>
            <w:vAlign w:val="center"/>
          </w:tcPr>
          <w:p w14:paraId="4B96A7F2">
            <w:pPr>
              <w:jc w:val="center"/>
            </w:pPr>
            <w:r>
              <w:t>2.889,9</w:t>
            </w:r>
          </w:p>
        </w:tc>
        <w:tc>
          <w:tcPr>
            <w:tcW w:w="1116" w:type="dxa"/>
            <w:tcBorders>
              <w:top w:val="nil"/>
              <w:left w:val="nil"/>
              <w:bottom w:val="single" w:color="auto" w:sz="4" w:space="0"/>
              <w:right w:val="single" w:color="auto" w:sz="4" w:space="0"/>
            </w:tcBorders>
            <w:vAlign w:val="center"/>
          </w:tcPr>
          <w:p w14:paraId="6DB5BF76">
            <w:pPr>
              <w:jc w:val="center"/>
            </w:pPr>
            <w:r>
              <w:t>1,46%</w:t>
            </w:r>
          </w:p>
        </w:tc>
        <w:tc>
          <w:tcPr>
            <w:tcW w:w="1042" w:type="dxa"/>
            <w:tcBorders>
              <w:top w:val="nil"/>
              <w:left w:val="nil"/>
              <w:bottom w:val="single" w:color="auto" w:sz="4" w:space="0"/>
              <w:right w:val="single" w:color="auto" w:sz="4" w:space="0"/>
            </w:tcBorders>
            <w:vAlign w:val="center"/>
          </w:tcPr>
          <w:p w14:paraId="707EF5D2">
            <w:pPr>
              <w:jc w:val="center"/>
            </w:pPr>
            <w:r>
              <w:t>40</w:t>
            </w:r>
          </w:p>
        </w:tc>
        <w:tc>
          <w:tcPr>
            <w:tcW w:w="910" w:type="dxa"/>
            <w:tcBorders>
              <w:top w:val="nil"/>
              <w:left w:val="nil"/>
              <w:bottom w:val="single" w:color="auto" w:sz="4" w:space="0"/>
              <w:right w:val="single" w:color="auto" w:sz="4" w:space="0"/>
            </w:tcBorders>
            <w:vAlign w:val="center"/>
          </w:tcPr>
          <w:p w14:paraId="51A95F1E">
            <w:pPr>
              <w:jc w:val="center"/>
            </w:pPr>
            <w:r>
              <w:t>3</w:t>
            </w:r>
          </w:p>
        </w:tc>
        <w:tc>
          <w:tcPr>
            <w:tcW w:w="737" w:type="dxa"/>
            <w:tcBorders>
              <w:top w:val="nil"/>
              <w:left w:val="nil"/>
              <w:bottom w:val="single" w:color="auto" w:sz="4" w:space="0"/>
              <w:right w:val="single" w:color="auto" w:sz="4" w:space="0"/>
            </w:tcBorders>
            <w:vAlign w:val="center"/>
          </w:tcPr>
          <w:p w14:paraId="69B2D60A">
            <w:pPr>
              <w:jc w:val="center"/>
            </w:pPr>
          </w:p>
        </w:tc>
      </w:tr>
      <w:tr w14:paraId="3222C43D">
        <w:trPr>
          <w:trHeight w:val="20" w:hRule="atLeast"/>
        </w:trPr>
        <w:tc>
          <w:tcPr>
            <w:tcW w:w="670" w:type="dxa"/>
            <w:tcBorders>
              <w:top w:val="nil"/>
              <w:left w:val="single" w:color="auto" w:sz="4" w:space="0"/>
              <w:bottom w:val="single" w:color="auto" w:sz="4" w:space="0"/>
              <w:right w:val="single" w:color="auto" w:sz="4" w:space="0"/>
            </w:tcBorders>
            <w:vAlign w:val="center"/>
          </w:tcPr>
          <w:p w14:paraId="45992D94">
            <w:pPr>
              <w:jc w:val="center"/>
            </w:pPr>
            <w:r>
              <w:t>4</w:t>
            </w:r>
          </w:p>
        </w:tc>
        <w:tc>
          <w:tcPr>
            <w:tcW w:w="3191" w:type="dxa"/>
            <w:tcBorders>
              <w:top w:val="nil"/>
              <w:left w:val="nil"/>
              <w:bottom w:val="single" w:color="auto" w:sz="4" w:space="0"/>
              <w:right w:val="single" w:color="auto" w:sz="4" w:space="0"/>
            </w:tcBorders>
            <w:vAlign w:val="center"/>
          </w:tcPr>
          <w:p w14:paraId="20765EE2">
            <w:r>
              <w:t>ĐẤT CÂY XANH, MẶT NƯỚC</w:t>
            </w:r>
          </w:p>
        </w:tc>
        <w:tc>
          <w:tcPr>
            <w:tcW w:w="1394" w:type="dxa"/>
            <w:tcBorders>
              <w:top w:val="nil"/>
              <w:left w:val="nil"/>
              <w:bottom w:val="single" w:color="auto" w:sz="4" w:space="0"/>
              <w:right w:val="single" w:color="auto" w:sz="4" w:space="0"/>
            </w:tcBorders>
            <w:vAlign w:val="center"/>
          </w:tcPr>
          <w:p w14:paraId="7822CEF4">
            <w:pPr>
              <w:jc w:val="center"/>
            </w:pPr>
            <w:r>
              <w:t>6.859,3</w:t>
            </w:r>
          </w:p>
        </w:tc>
        <w:tc>
          <w:tcPr>
            <w:tcW w:w="1116" w:type="dxa"/>
            <w:tcBorders>
              <w:top w:val="nil"/>
              <w:left w:val="nil"/>
              <w:bottom w:val="single" w:color="auto" w:sz="4" w:space="0"/>
              <w:right w:val="single" w:color="auto" w:sz="4" w:space="0"/>
            </w:tcBorders>
            <w:vAlign w:val="center"/>
          </w:tcPr>
          <w:p w14:paraId="6A6A5216">
            <w:pPr>
              <w:jc w:val="center"/>
            </w:pPr>
            <w:r>
              <w:t>3,46%</w:t>
            </w:r>
          </w:p>
        </w:tc>
        <w:tc>
          <w:tcPr>
            <w:tcW w:w="1042" w:type="dxa"/>
            <w:tcBorders>
              <w:top w:val="nil"/>
              <w:left w:val="nil"/>
              <w:bottom w:val="single" w:color="auto" w:sz="4" w:space="0"/>
              <w:right w:val="single" w:color="auto" w:sz="4" w:space="0"/>
            </w:tcBorders>
            <w:vAlign w:val="center"/>
          </w:tcPr>
          <w:p w14:paraId="0BDC021E">
            <w:pPr>
              <w:jc w:val="center"/>
            </w:pPr>
            <w:r>
              <w:t>5</w:t>
            </w:r>
          </w:p>
        </w:tc>
        <w:tc>
          <w:tcPr>
            <w:tcW w:w="910" w:type="dxa"/>
            <w:tcBorders>
              <w:top w:val="nil"/>
              <w:left w:val="nil"/>
              <w:bottom w:val="single" w:color="auto" w:sz="4" w:space="0"/>
              <w:right w:val="single" w:color="auto" w:sz="4" w:space="0"/>
            </w:tcBorders>
            <w:vAlign w:val="center"/>
          </w:tcPr>
          <w:p w14:paraId="1249F080">
            <w:pPr>
              <w:jc w:val="center"/>
            </w:pPr>
            <w:r>
              <w:t>1</w:t>
            </w:r>
          </w:p>
        </w:tc>
        <w:tc>
          <w:tcPr>
            <w:tcW w:w="737" w:type="dxa"/>
            <w:tcBorders>
              <w:top w:val="nil"/>
              <w:left w:val="nil"/>
              <w:bottom w:val="single" w:color="auto" w:sz="4" w:space="0"/>
              <w:right w:val="single" w:color="auto" w:sz="4" w:space="0"/>
            </w:tcBorders>
            <w:vAlign w:val="center"/>
          </w:tcPr>
          <w:p w14:paraId="399C096F">
            <w:pPr>
              <w:jc w:val="center"/>
            </w:pPr>
          </w:p>
        </w:tc>
      </w:tr>
      <w:tr w14:paraId="04C9DABC">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7ACF14A0">
            <w:pPr>
              <w:jc w:val="center"/>
              <w:rPr>
                <w:b/>
                <w:bCs/>
              </w:rPr>
            </w:pPr>
            <w:r>
              <w:rPr>
                <w:b/>
                <w:bCs/>
              </w:rPr>
              <w:t>II</w:t>
            </w:r>
          </w:p>
        </w:tc>
        <w:tc>
          <w:tcPr>
            <w:tcW w:w="3191" w:type="dxa"/>
            <w:tcBorders>
              <w:top w:val="nil"/>
              <w:left w:val="nil"/>
              <w:bottom w:val="single" w:color="auto" w:sz="4" w:space="0"/>
              <w:right w:val="single" w:color="auto" w:sz="4" w:space="0"/>
            </w:tcBorders>
            <w:vAlign w:val="center"/>
          </w:tcPr>
          <w:p w14:paraId="75572E5D">
            <w:pPr>
              <w:rPr>
                <w:b/>
                <w:bCs/>
              </w:rPr>
            </w:pPr>
            <w:r>
              <w:rPr>
                <w:b/>
                <w:bCs/>
              </w:rPr>
              <w:t>ĐẤT THƯƠNG MẠI DỊCH VỤ</w:t>
            </w:r>
          </w:p>
        </w:tc>
        <w:tc>
          <w:tcPr>
            <w:tcW w:w="1394" w:type="dxa"/>
            <w:tcBorders>
              <w:top w:val="nil"/>
              <w:left w:val="nil"/>
              <w:bottom w:val="single" w:color="auto" w:sz="4" w:space="0"/>
              <w:right w:val="single" w:color="auto" w:sz="4" w:space="0"/>
            </w:tcBorders>
            <w:vAlign w:val="center"/>
          </w:tcPr>
          <w:p w14:paraId="2C9AA9E3">
            <w:pPr>
              <w:jc w:val="center"/>
              <w:rPr>
                <w:b/>
                <w:bCs/>
              </w:rPr>
            </w:pPr>
            <w:r>
              <w:rPr>
                <w:b/>
                <w:bCs/>
              </w:rPr>
              <w:t>3.368,2</w:t>
            </w:r>
          </w:p>
        </w:tc>
        <w:tc>
          <w:tcPr>
            <w:tcW w:w="1116" w:type="dxa"/>
            <w:tcBorders>
              <w:top w:val="nil"/>
              <w:left w:val="nil"/>
              <w:bottom w:val="single" w:color="auto" w:sz="4" w:space="0"/>
              <w:right w:val="single" w:color="auto" w:sz="4" w:space="0"/>
            </w:tcBorders>
            <w:vAlign w:val="center"/>
          </w:tcPr>
          <w:p w14:paraId="447425EF">
            <w:pPr>
              <w:jc w:val="center"/>
              <w:rPr>
                <w:b/>
                <w:bCs/>
              </w:rPr>
            </w:pPr>
            <w:r>
              <w:rPr>
                <w:b/>
                <w:bCs/>
              </w:rPr>
              <w:t>1,70%</w:t>
            </w:r>
          </w:p>
        </w:tc>
        <w:tc>
          <w:tcPr>
            <w:tcW w:w="1042" w:type="dxa"/>
            <w:tcBorders>
              <w:top w:val="nil"/>
              <w:left w:val="nil"/>
              <w:bottom w:val="single" w:color="auto" w:sz="4" w:space="0"/>
              <w:right w:val="single" w:color="auto" w:sz="4" w:space="0"/>
            </w:tcBorders>
            <w:vAlign w:val="center"/>
          </w:tcPr>
          <w:p w14:paraId="36E00BB4">
            <w:pPr>
              <w:jc w:val="center"/>
              <w:rPr>
                <w:b/>
                <w:bCs/>
              </w:rPr>
            </w:pPr>
            <w:r>
              <w:rPr>
                <w:b/>
                <w:bCs/>
              </w:rPr>
              <w:t>70</w:t>
            </w:r>
          </w:p>
        </w:tc>
        <w:tc>
          <w:tcPr>
            <w:tcW w:w="910" w:type="dxa"/>
            <w:tcBorders>
              <w:top w:val="nil"/>
              <w:left w:val="nil"/>
              <w:bottom w:val="single" w:color="auto" w:sz="4" w:space="0"/>
              <w:right w:val="single" w:color="auto" w:sz="4" w:space="0"/>
            </w:tcBorders>
            <w:vAlign w:val="center"/>
          </w:tcPr>
          <w:p w14:paraId="4C2DD5FA">
            <w:pPr>
              <w:jc w:val="center"/>
              <w:rPr>
                <w:b/>
                <w:bCs/>
              </w:rPr>
            </w:pPr>
            <w:r>
              <w:rPr>
                <w:b/>
                <w:bCs/>
              </w:rPr>
              <w:t>3</w:t>
            </w:r>
          </w:p>
        </w:tc>
        <w:tc>
          <w:tcPr>
            <w:tcW w:w="737" w:type="dxa"/>
            <w:tcBorders>
              <w:top w:val="nil"/>
              <w:left w:val="nil"/>
              <w:bottom w:val="single" w:color="auto" w:sz="4" w:space="0"/>
              <w:right w:val="single" w:color="auto" w:sz="4" w:space="0"/>
            </w:tcBorders>
            <w:vAlign w:val="center"/>
          </w:tcPr>
          <w:p w14:paraId="1576ACA4">
            <w:pPr>
              <w:jc w:val="center"/>
              <w:rPr>
                <w:b/>
                <w:bCs/>
              </w:rPr>
            </w:pPr>
          </w:p>
        </w:tc>
      </w:tr>
      <w:tr w14:paraId="420EC84A">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4ED918E4">
            <w:pPr>
              <w:jc w:val="center"/>
              <w:rPr>
                <w:b/>
                <w:bCs/>
              </w:rPr>
            </w:pPr>
            <w:r>
              <w:rPr>
                <w:b/>
                <w:bCs/>
              </w:rPr>
              <w:t>III</w:t>
            </w:r>
          </w:p>
        </w:tc>
        <w:tc>
          <w:tcPr>
            <w:tcW w:w="3191" w:type="dxa"/>
            <w:tcBorders>
              <w:top w:val="nil"/>
              <w:left w:val="nil"/>
              <w:bottom w:val="single" w:color="auto" w:sz="4" w:space="0"/>
              <w:right w:val="single" w:color="auto" w:sz="4" w:space="0"/>
            </w:tcBorders>
            <w:vAlign w:val="center"/>
          </w:tcPr>
          <w:p w14:paraId="799CBE50">
            <w:pPr>
              <w:rPr>
                <w:b/>
                <w:bCs/>
              </w:rPr>
            </w:pPr>
            <w:r>
              <w:rPr>
                <w:b/>
                <w:bCs/>
              </w:rPr>
              <w:t>ĐẤT HẠ TẦNG KỸ THUẬT, BÃI ĐỖ XE</w:t>
            </w:r>
          </w:p>
        </w:tc>
        <w:tc>
          <w:tcPr>
            <w:tcW w:w="1394" w:type="dxa"/>
            <w:tcBorders>
              <w:top w:val="nil"/>
              <w:left w:val="nil"/>
              <w:bottom w:val="single" w:color="auto" w:sz="4" w:space="0"/>
              <w:right w:val="single" w:color="auto" w:sz="4" w:space="0"/>
            </w:tcBorders>
            <w:vAlign w:val="center"/>
          </w:tcPr>
          <w:p w14:paraId="0D3DFAF4">
            <w:pPr>
              <w:jc w:val="center"/>
              <w:rPr>
                <w:b/>
                <w:bCs/>
              </w:rPr>
            </w:pPr>
            <w:r>
              <w:rPr>
                <w:b/>
                <w:bCs/>
              </w:rPr>
              <w:t>3.826,7</w:t>
            </w:r>
          </w:p>
        </w:tc>
        <w:tc>
          <w:tcPr>
            <w:tcW w:w="1116" w:type="dxa"/>
            <w:tcBorders>
              <w:top w:val="nil"/>
              <w:left w:val="nil"/>
              <w:bottom w:val="single" w:color="auto" w:sz="4" w:space="0"/>
              <w:right w:val="single" w:color="auto" w:sz="4" w:space="0"/>
            </w:tcBorders>
            <w:vAlign w:val="center"/>
          </w:tcPr>
          <w:p w14:paraId="1DD107BC">
            <w:pPr>
              <w:jc w:val="center"/>
              <w:rPr>
                <w:b/>
                <w:bCs/>
              </w:rPr>
            </w:pPr>
            <w:r>
              <w:rPr>
                <w:b/>
                <w:bCs/>
              </w:rPr>
              <w:t>1,93%</w:t>
            </w:r>
          </w:p>
        </w:tc>
        <w:tc>
          <w:tcPr>
            <w:tcW w:w="1042" w:type="dxa"/>
            <w:tcBorders>
              <w:top w:val="nil"/>
              <w:left w:val="nil"/>
              <w:bottom w:val="single" w:color="auto" w:sz="4" w:space="0"/>
              <w:right w:val="single" w:color="auto" w:sz="4" w:space="0"/>
            </w:tcBorders>
            <w:vAlign w:val="center"/>
          </w:tcPr>
          <w:p w14:paraId="77226766">
            <w:pPr>
              <w:jc w:val="center"/>
              <w:rPr>
                <w:b/>
                <w:bCs/>
              </w:rPr>
            </w:pPr>
            <w:r>
              <w:rPr>
                <w:b/>
                <w:bCs/>
              </w:rPr>
              <w:t>5</w:t>
            </w:r>
          </w:p>
        </w:tc>
        <w:tc>
          <w:tcPr>
            <w:tcW w:w="910" w:type="dxa"/>
            <w:tcBorders>
              <w:top w:val="nil"/>
              <w:left w:val="nil"/>
              <w:bottom w:val="single" w:color="auto" w:sz="4" w:space="0"/>
              <w:right w:val="single" w:color="auto" w:sz="4" w:space="0"/>
            </w:tcBorders>
            <w:vAlign w:val="center"/>
          </w:tcPr>
          <w:p w14:paraId="7DE5A56B">
            <w:pPr>
              <w:jc w:val="center"/>
              <w:rPr>
                <w:b/>
                <w:bCs/>
              </w:rPr>
            </w:pPr>
            <w:r>
              <w:rPr>
                <w:b/>
                <w:bCs/>
              </w:rPr>
              <w:t>1</w:t>
            </w:r>
          </w:p>
        </w:tc>
        <w:tc>
          <w:tcPr>
            <w:tcW w:w="737" w:type="dxa"/>
            <w:tcBorders>
              <w:top w:val="nil"/>
              <w:left w:val="nil"/>
              <w:bottom w:val="single" w:color="auto" w:sz="4" w:space="0"/>
              <w:right w:val="single" w:color="auto" w:sz="4" w:space="0"/>
            </w:tcBorders>
            <w:vAlign w:val="center"/>
          </w:tcPr>
          <w:p w14:paraId="6E07F354">
            <w:pPr>
              <w:jc w:val="center"/>
              <w:rPr>
                <w:b/>
                <w:bCs/>
              </w:rPr>
            </w:pPr>
          </w:p>
        </w:tc>
      </w:tr>
      <w:tr w14:paraId="57E6F2E8">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4C269294">
            <w:pPr>
              <w:jc w:val="center"/>
              <w:rPr>
                <w:b/>
                <w:bCs/>
              </w:rPr>
            </w:pPr>
            <w:r>
              <w:rPr>
                <w:b/>
                <w:bCs/>
              </w:rPr>
              <w:t>IV</w:t>
            </w:r>
          </w:p>
        </w:tc>
        <w:tc>
          <w:tcPr>
            <w:tcW w:w="3191" w:type="dxa"/>
            <w:tcBorders>
              <w:top w:val="nil"/>
              <w:left w:val="nil"/>
              <w:bottom w:val="single" w:color="auto" w:sz="4" w:space="0"/>
              <w:right w:val="single" w:color="auto" w:sz="4" w:space="0"/>
            </w:tcBorders>
            <w:vAlign w:val="center"/>
          </w:tcPr>
          <w:p w14:paraId="7ED20D7B">
            <w:pPr>
              <w:rPr>
                <w:b/>
                <w:bCs/>
              </w:rPr>
            </w:pPr>
            <w:r>
              <w:rPr>
                <w:b/>
                <w:bCs/>
              </w:rPr>
              <w:t>TRUNG TÂM THỂ DỤC THỂ THAO</w:t>
            </w:r>
          </w:p>
        </w:tc>
        <w:tc>
          <w:tcPr>
            <w:tcW w:w="1394" w:type="dxa"/>
            <w:tcBorders>
              <w:top w:val="nil"/>
              <w:left w:val="nil"/>
              <w:bottom w:val="single" w:color="auto" w:sz="4" w:space="0"/>
              <w:right w:val="single" w:color="auto" w:sz="4" w:space="0"/>
            </w:tcBorders>
            <w:vAlign w:val="center"/>
          </w:tcPr>
          <w:p w14:paraId="5B5C2018">
            <w:pPr>
              <w:jc w:val="center"/>
              <w:rPr>
                <w:b/>
                <w:bCs/>
              </w:rPr>
            </w:pPr>
            <w:r>
              <w:rPr>
                <w:b/>
                <w:bCs/>
              </w:rPr>
              <w:t>27.008,6</w:t>
            </w:r>
          </w:p>
        </w:tc>
        <w:tc>
          <w:tcPr>
            <w:tcW w:w="1116" w:type="dxa"/>
            <w:tcBorders>
              <w:top w:val="nil"/>
              <w:left w:val="nil"/>
              <w:bottom w:val="single" w:color="auto" w:sz="4" w:space="0"/>
              <w:right w:val="single" w:color="auto" w:sz="4" w:space="0"/>
            </w:tcBorders>
            <w:vAlign w:val="center"/>
          </w:tcPr>
          <w:p w14:paraId="78480EA9">
            <w:pPr>
              <w:jc w:val="center"/>
              <w:rPr>
                <w:b/>
                <w:bCs/>
              </w:rPr>
            </w:pPr>
            <w:r>
              <w:rPr>
                <w:b/>
                <w:bCs/>
              </w:rPr>
              <w:t>13,63%</w:t>
            </w:r>
          </w:p>
        </w:tc>
        <w:tc>
          <w:tcPr>
            <w:tcW w:w="1042" w:type="dxa"/>
            <w:tcBorders>
              <w:top w:val="nil"/>
              <w:left w:val="nil"/>
              <w:bottom w:val="single" w:color="auto" w:sz="4" w:space="0"/>
              <w:right w:val="single" w:color="auto" w:sz="4" w:space="0"/>
            </w:tcBorders>
            <w:vAlign w:val="center"/>
          </w:tcPr>
          <w:p w14:paraId="7F675058">
            <w:pPr>
              <w:jc w:val="center"/>
              <w:rPr>
                <w:b/>
                <w:bCs/>
              </w:rPr>
            </w:pPr>
            <w:r>
              <w:rPr>
                <w:b/>
                <w:bCs/>
              </w:rPr>
              <w:t>25</w:t>
            </w:r>
          </w:p>
        </w:tc>
        <w:tc>
          <w:tcPr>
            <w:tcW w:w="910" w:type="dxa"/>
            <w:tcBorders>
              <w:top w:val="nil"/>
              <w:left w:val="nil"/>
              <w:bottom w:val="single" w:color="auto" w:sz="4" w:space="0"/>
              <w:right w:val="single" w:color="auto" w:sz="4" w:space="0"/>
            </w:tcBorders>
            <w:vAlign w:val="center"/>
          </w:tcPr>
          <w:p w14:paraId="39822FFD">
            <w:pPr>
              <w:jc w:val="center"/>
              <w:rPr>
                <w:b/>
                <w:bCs/>
              </w:rPr>
            </w:pPr>
            <w:r>
              <w:rPr>
                <w:b/>
                <w:bCs/>
              </w:rPr>
              <w:t>2</w:t>
            </w:r>
          </w:p>
        </w:tc>
        <w:tc>
          <w:tcPr>
            <w:tcW w:w="737" w:type="dxa"/>
            <w:tcBorders>
              <w:top w:val="nil"/>
              <w:left w:val="nil"/>
              <w:bottom w:val="single" w:color="auto" w:sz="4" w:space="0"/>
              <w:right w:val="single" w:color="auto" w:sz="4" w:space="0"/>
            </w:tcBorders>
            <w:vAlign w:val="center"/>
          </w:tcPr>
          <w:p w14:paraId="5277C5AA">
            <w:pPr>
              <w:jc w:val="center"/>
            </w:pPr>
          </w:p>
        </w:tc>
      </w:tr>
      <w:tr w14:paraId="29811E55">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vAlign w:val="center"/>
          </w:tcPr>
          <w:p w14:paraId="52019A8D">
            <w:pPr>
              <w:jc w:val="center"/>
              <w:rPr>
                <w:b/>
                <w:bCs/>
              </w:rPr>
            </w:pPr>
            <w:r>
              <w:rPr>
                <w:b/>
                <w:bCs/>
              </w:rPr>
              <w:t>V</w:t>
            </w:r>
          </w:p>
        </w:tc>
        <w:tc>
          <w:tcPr>
            <w:tcW w:w="3191" w:type="dxa"/>
            <w:tcBorders>
              <w:top w:val="nil"/>
              <w:left w:val="nil"/>
              <w:bottom w:val="single" w:color="auto" w:sz="4" w:space="0"/>
              <w:right w:val="single" w:color="auto" w:sz="4" w:space="0"/>
            </w:tcBorders>
            <w:vAlign w:val="center"/>
          </w:tcPr>
          <w:p w14:paraId="2292FF1F">
            <w:pPr>
              <w:rPr>
                <w:b/>
                <w:bCs/>
              </w:rPr>
            </w:pPr>
            <w:r>
              <w:rPr>
                <w:b/>
                <w:bCs/>
              </w:rPr>
              <w:t>ĐẤT GIAO THÔNG</w:t>
            </w:r>
          </w:p>
        </w:tc>
        <w:tc>
          <w:tcPr>
            <w:tcW w:w="1394" w:type="dxa"/>
            <w:tcBorders>
              <w:top w:val="nil"/>
              <w:left w:val="nil"/>
              <w:bottom w:val="single" w:color="auto" w:sz="4" w:space="0"/>
              <w:right w:val="single" w:color="auto" w:sz="4" w:space="0"/>
            </w:tcBorders>
            <w:vAlign w:val="center"/>
          </w:tcPr>
          <w:p w14:paraId="7C521150">
            <w:pPr>
              <w:jc w:val="center"/>
              <w:rPr>
                <w:b/>
                <w:bCs/>
              </w:rPr>
            </w:pPr>
            <w:r>
              <w:rPr>
                <w:b/>
                <w:bCs/>
              </w:rPr>
              <w:t>63.115,2</w:t>
            </w:r>
          </w:p>
        </w:tc>
        <w:tc>
          <w:tcPr>
            <w:tcW w:w="1116" w:type="dxa"/>
            <w:tcBorders>
              <w:top w:val="nil"/>
              <w:left w:val="nil"/>
              <w:bottom w:val="single" w:color="auto" w:sz="4" w:space="0"/>
              <w:right w:val="single" w:color="auto" w:sz="4" w:space="0"/>
            </w:tcBorders>
            <w:vAlign w:val="center"/>
          </w:tcPr>
          <w:p w14:paraId="736F2E15">
            <w:pPr>
              <w:jc w:val="center"/>
              <w:rPr>
                <w:b/>
                <w:bCs/>
              </w:rPr>
            </w:pPr>
            <w:r>
              <w:rPr>
                <w:b/>
                <w:bCs/>
              </w:rPr>
              <w:t>31,84%</w:t>
            </w:r>
          </w:p>
        </w:tc>
        <w:tc>
          <w:tcPr>
            <w:tcW w:w="1042" w:type="dxa"/>
            <w:tcBorders>
              <w:top w:val="nil"/>
              <w:left w:val="nil"/>
              <w:bottom w:val="single" w:color="auto" w:sz="4" w:space="0"/>
              <w:right w:val="single" w:color="auto" w:sz="4" w:space="0"/>
            </w:tcBorders>
            <w:vAlign w:val="center"/>
          </w:tcPr>
          <w:p w14:paraId="0B47DDEF">
            <w:pPr>
              <w:jc w:val="center"/>
            </w:pPr>
          </w:p>
        </w:tc>
        <w:tc>
          <w:tcPr>
            <w:tcW w:w="910" w:type="dxa"/>
            <w:tcBorders>
              <w:top w:val="nil"/>
              <w:left w:val="nil"/>
              <w:bottom w:val="single" w:color="auto" w:sz="4" w:space="0"/>
              <w:right w:val="single" w:color="auto" w:sz="4" w:space="0"/>
            </w:tcBorders>
            <w:vAlign w:val="center"/>
          </w:tcPr>
          <w:p w14:paraId="5F19C881">
            <w:pPr>
              <w:jc w:val="center"/>
            </w:pPr>
          </w:p>
        </w:tc>
        <w:tc>
          <w:tcPr>
            <w:tcW w:w="737" w:type="dxa"/>
            <w:tcBorders>
              <w:top w:val="nil"/>
              <w:left w:val="nil"/>
              <w:bottom w:val="single" w:color="auto" w:sz="4" w:space="0"/>
              <w:right w:val="single" w:color="auto" w:sz="4" w:space="0"/>
            </w:tcBorders>
            <w:vAlign w:val="center"/>
          </w:tcPr>
          <w:p w14:paraId="7B2DDCEB">
            <w:pPr>
              <w:jc w:val="center"/>
            </w:pPr>
          </w:p>
        </w:tc>
      </w:tr>
      <w:tr w14:paraId="4B0A02F3">
        <w:tblPrEx>
          <w:tblCellMar>
            <w:top w:w="0" w:type="dxa"/>
            <w:left w:w="108" w:type="dxa"/>
            <w:bottom w:w="0" w:type="dxa"/>
            <w:right w:w="108" w:type="dxa"/>
          </w:tblCellMar>
        </w:tblPrEx>
        <w:trPr>
          <w:trHeight w:val="20" w:hRule="atLeast"/>
        </w:trPr>
        <w:tc>
          <w:tcPr>
            <w:tcW w:w="670" w:type="dxa"/>
            <w:tcBorders>
              <w:top w:val="nil"/>
              <w:left w:val="single" w:color="auto" w:sz="4" w:space="0"/>
              <w:bottom w:val="single" w:color="auto" w:sz="4" w:space="0"/>
              <w:right w:val="single" w:color="auto" w:sz="4" w:space="0"/>
            </w:tcBorders>
            <w:noWrap/>
            <w:vAlign w:val="center"/>
          </w:tcPr>
          <w:p w14:paraId="59755933">
            <w:pPr>
              <w:jc w:val="center"/>
            </w:pPr>
          </w:p>
        </w:tc>
        <w:tc>
          <w:tcPr>
            <w:tcW w:w="3191" w:type="dxa"/>
            <w:tcBorders>
              <w:top w:val="nil"/>
              <w:left w:val="nil"/>
              <w:bottom w:val="single" w:color="auto" w:sz="4" w:space="0"/>
              <w:right w:val="single" w:color="auto" w:sz="4" w:space="0"/>
            </w:tcBorders>
            <w:vAlign w:val="center"/>
          </w:tcPr>
          <w:p w14:paraId="05EBEDD2">
            <w:pPr>
              <w:rPr>
                <w:b/>
                <w:bCs/>
              </w:rPr>
            </w:pPr>
            <w:r>
              <w:rPr>
                <w:b/>
                <w:bCs/>
              </w:rPr>
              <w:t>TỔNG CỘNG</w:t>
            </w:r>
          </w:p>
        </w:tc>
        <w:tc>
          <w:tcPr>
            <w:tcW w:w="1394" w:type="dxa"/>
            <w:tcBorders>
              <w:top w:val="nil"/>
              <w:left w:val="nil"/>
              <w:bottom w:val="single" w:color="auto" w:sz="4" w:space="0"/>
              <w:right w:val="single" w:color="auto" w:sz="4" w:space="0"/>
            </w:tcBorders>
            <w:vAlign w:val="center"/>
          </w:tcPr>
          <w:p w14:paraId="470F412B">
            <w:pPr>
              <w:jc w:val="center"/>
              <w:rPr>
                <w:b/>
                <w:bCs/>
              </w:rPr>
            </w:pPr>
            <w:r>
              <w:rPr>
                <w:b/>
                <w:bCs/>
              </w:rPr>
              <w:t>198.217,0</w:t>
            </w:r>
          </w:p>
        </w:tc>
        <w:tc>
          <w:tcPr>
            <w:tcW w:w="1116" w:type="dxa"/>
            <w:tcBorders>
              <w:top w:val="nil"/>
              <w:left w:val="nil"/>
              <w:bottom w:val="single" w:color="auto" w:sz="4" w:space="0"/>
              <w:right w:val="single" w:color="auto" w:sz="4" w:space="0"/>
            </w:tcBorders>
            <w:vAlign w:val="center"/>
          </w:tcPr>
          <w:p w14:paraId="2F43EB15">
            <w:pPr>
              <w:jc w:val="center"/>
              <w:rPr>
                <w:b/>
                <w:bCs/>
              </w:rPr>
            </w:pPr>
            <w:r>
              <w:rPr>
                <w:b/>
                <w:bCs/>
              </w:rPr>
              <w:t>100,00%</w:t>
            </w:r>
          </w:p>
        </w:tc>
        <w:tc>
          <w:tcPr>
            <w:tcW w:w="1042" w:type="dxa"/>
            <w:tcBorders>
              <w:top w:val="nil"/>
              <w:left w:val="nil"/>
              <w:bottom w:val="single" w:color="auto" w:sz="4" w:space="0"/>
              <w:right w:val="single" w:color="auto" w:sz="4" w:space="0"/>
            </w:tcBorders>
            <w:vAlign w:val="center"/>
          </w:tcPr>
          <w:p w14:paraId="5B9E6403">
            <w:pPr>
              <w:jc w:val="center"/>
            </w:pPr>
          </w:p>
        </w:tc>
        <w:tc>
          <w:tcPr>
            <w:tcW w:w="910" w:type="dxa"/>
            <w:tcBorders>
              <w:top w:val="nil"/>
              <w:left w:val="nil"/>
              <w:bottom w:val="single" w:color="auto" w:sz="4" w:space="0"/>
              <w:right w:val="single" w:color="auto" w:sz="4" w:space="0"/>
            </w:tcBorders>
            <w:vAlign w:val="center"/>
          </w:tcPr>
          <w:p w14:paraId="666FA9B2">
            <w:pPr>
              <w:jc w:val="center"/>
            </w:pPr>
          </w:p>
        </w:tc>
        <w:tc>
          <w:tcPr>
            <w:tcW w:w="737" w:type="dxa"/>
            <w:tcBorders>
              <w:top w:val="nil"/>
              <w:left w:val="nil"/>
              <w:bottom w:val="single" w:color="auto" w:sz="4" w:space="0"/>
              <w:right w:val="single" w:color="auto" w:sz="4" w:space="0"/>
            </w:tcBorders>
            <w:vAlign w:val="center"/>
          </w:tcPr>
          <w:p w14:paraId="64CDED00">
            <w:pPr>
              <w:jc w:val="center"/>
              <w:rPr>
                <w:b/>
                <w:bCs/>
              </w:rPr>
            </w:pPr>
          </w:p>
        </w:tc>
      </w:tr>
      <w:bookmarkEnd w:id="13"/>
    </w:tbl>
    <w:p w14:paraId="52F684F9">
      <w:pPr>
        <w:spacing w:before="120" w:after="120" w:line="360" w:lineRule="exact"/>
        <w:ind w:firstLine="567"/>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 xml:space="preserve">4. </w:t>
      </w:r>
      <w:bookmarkStart w:id="18" w:name="_Hlk171919382"/>
      <w:r>
        <w:rPr>
          <w:b/>
          <w:color w:val="000000" w:themeColor="text1"/>
          <w:sz w:val="26"/>
          <w:szCs w:val="26"/>
          <w14:textFill>
            <w14:solidFill>
              <w14:schemeClr w14:val="tx1"/>
            </w14:solidFill>
          </w14:textFill>
        </w:rPr>
        <w:t>Nội dung đầu tư:</w:t>
      </w:r>
    </w:p>
    <w:p w14:paraId="377D539F">
      <w:pPr>
        <w:spacing w:before="120" w:after="120"/>
        <w:ind w:firstLine="567"/>
        <w:jc w:val="both"/>
        <w:rPr>
          <w:color w:val="000000" w:themeColor="text1"/>
          <w:sz w:val="26"/>
          <w:szCs w:val="26"/>
          <w14:textFill>
            <w14:solidFill>
              <w14:schemeClr w14:val="tx1"/>
            </w14:solidFill>
          </w14:textFill>
        </w:rPr>
      </w:pPr>
      <w:bookmarkStart w:id="19" w:name="_Hlk150371993"/>
      <w:r>
        <w:rPr>
          <w:color w:val="000000" w:themeColor="text1"/>
          <w:sz w:val="26"/>
          <w:szCs w:val="26"/>
          <w14:textFill>
            <w14:solidFill>
              <w14:schemeClr w14:val="tx1"/>
            </w14:solidFill>
          </w14:textFill>
        </w:rPr>
        <w:t>*Căn cứ Quyết định số 1328/QĐ-UBND ngày 05/07/2021 của UBND tỉnh Lạng Sơn quyết định chấp thuận chủ trương đầu tư đồng thời chấp thuận nhà đầu tư:</w:t>
      </w:r>
    </w:p>
    <w:p w14:paraId="674FE534">
      <w:pPr>
        <w:spacing w:before="120" w:after="120"/>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xml:space="preserve">- Số lượng nhà ở: dự kiến 581 lô đất xây dựng nhà ở (bao gồm: 571 lô đất ở liền kề, 10 lô đất ở biệt thự), trong đó dự kiến xây dựng công trình nhà ở (phần thô) cho 120 lô đất tiếp giáp Mặt cắt 1-1, quy mô đường rộng 31m và Mặt cắt 2-2, quy mô đường rộng 16,5m theo quy hoạch được phê duyệt. </w:t>
      </w:r>
    </w:p>
    <w:p w14:paraId="08543D1C">
      <w:pPr>
        <w:spacing w:before="120" w:after="120"/>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*Căn cứ Bản đồ quy hoạch sử dụng đất quy hoạch chi tiết tỷ lệ 1/500 dự án Khu đô thị phía Đông Nam thị trấn Đồng Mỏ do Sở Nông nghiệp và môi trường tỉnh Lạng Sơn cung cấp kèm theo công văn số 93/SNNMT-KHTC ngày 10/03/2025. Số lô đất xây dựng công trình nhà ở là 585 (bao gồm: 575 lô đất ở liền kề, 10 lô đất ở biệt thự).</w:t>
      </w:r>
    </w:p>
    <w:p w14:paraId="66C8D63F">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Sơ bộ phương án đầu tư xây dựng, quản lý hạ tầng đô thị với dự án đầu tư xây dựng khu đô thị:</w:t>
      </w:r>
    </w:p>
    <w:p w14:paraId="41D01996">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Nhà đầu tư xây dựng đồng bộ hệ thống hạ tầng kỹ thuật, duy tu, bảo dưỡng hệ thống hạ tầng kỹ thuật trong quá trình xây dựng cơ bản của dự án và giai đoạn đưa dự án vào vận hành, khai thác theo đúng quy định.</w:t>
      </w:r>
    </w:p>
    <w:p w14:paraId="67725C24">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Sau khi công trình hoàn thành và trước khi bàn giao các công trình theo quy định, nhà đầu tư tổ chức quản lý, vận hành và bảo trì công trình theo các quy định của pháp luật hiện hành.</w:t>
      </w:r>
    </w:p>
    <w:p w14:paraId="2945CA50">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bộ phần hạ tầng đô thị nhà đầu tư giữ lại để kinh doanh: Nhà đầu tư giữ lại để kinh doanh đối với phần diện tích đất nhà ở liền kề kết hợp kinh doanh có diện tích 55.194,3 m2, đất biệt thự có diện tích 3.009,1 m2, đất trường học có diện tích 2.889,9 m2, đất thương mại dịch vụ có diện tích 3.368,2 m2, đất trung tâm thể dục thể thao có diện tích 27.008,6 m2.</w:t>
      </w:r>
    </w:p>
    <w:p w14:paraId="6443C527">
      <w:pPr>
        <w:spacing w:before="120" w:after="120"/>
        <w:ind w:firstLine="567"/>
        <w:jc w:val="both"/>
        <w:rPr>
          <w:color w:val="000000" w:themeColor="text1"/>
          <w:sz w:val="26"/>
          <w:szCs w:val="26"/>
          <w:lang w:val="es-AR"/>
          <w14:textFill>
            <w14:solidFill>
              <w14:schemeClr w14:val="tx1"/>
            </w14:solidFill>
          </w14:textFill>
        </w:rPr>
      </w:pPr>
      <w:r>
        <w:rPr>
          <w:color w:val="000000" w:themeColor="text1"/>
          <w:sz w:val="26"/>
          <w:szCs w:val="26"/>
          <w14:textFill>
            <w14:solidFill>
              <w14:schemeClr w14:val="tx1"/>
            </w14:solidFill>
          </w14:textFill>
        </w:rPr>
        <w:t>- Sơ bộ phần hạ tầng đô thị nhà đầu tư bàn giao cho địa phương: Đất công cộng nhóm ở có diện tích 3.200,7 m2, đất cây xanh, mặt nước nhóm nhà ở có diện tích 6.859,3 m2, hạ tầng kỹ thuật/bãi đỗ xe có diện tích 3.826,7 m2, đất giao thông có diện tích 63.115,2 m2.</w:t>
      </w:r>
    </w:p>
    <w:p w14:paraId="579CC3E4">
      <w:pPr>
        <w:spacing w:before="120" w:after="120"/>
        <w:ind w:firstLine="567"/>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 Tổ chức không gian kiến trúc cảnh quan</w:t>
      </w:r>
    </w:p>
    <w:p w14:paraId="3413F55E">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Căn cứ quyết định </w:t>
      </w:r>
      <w:r>
        <w:rPr>
          <w:bCs/>
          <w:iCs/>
          <w:spacing w:val="-6"/>
          <w:sz w:val="26"/>
          <w:szCs w:val="26"/>
          <w:lang w:val="vi-VN"/>
        </w:rPr>
        <w:t xml:space="preserve">số </w:t>
      </w:r>
      <w:r>
        <w:rPr>
          <w:bCs/>
          <w:iCs/>
          <w:spacing w:val="-6"/>
          <w:sz w:val="26"/>
          <w:szCs w:val="26"/>
        </w:rPr>
        <w:t>2483</w:t>
      </w:r>
      <w:r>
        <w:rPr>
          <w:bCs/>
          <w:iCs/>
          <w:spacing w:val="-6"/>
          <w:sz w:val="26"/>
          <w:szCs w:val="26"/>
          <w:lang w:val="vi-VN"/>
        </w:rPr>
        <w:t xml:space="preserve">/QĐ-UBND ngày 26 tháng </w:t>
      </w:r>
      <w:r>
        <w:rPr>
          <w:bCs/>
          <w:iCs/>
          <w:spacing w:val="-6"/>
          <w:sz w:val="26"/>
          <w:szCs w:val="26"/>
        </w:rPr>
        <w:t>6</w:t>
      </w:r>
      <w:r>
        <w:rPr>
          <w:bCs/>
          <w:iCs/>
          <w:spacing w:val="-6"/>
          <w:sz w:val="26"/>
          <w:szCs w:val="26"/>
          <w:lang w:val="vi-VN"/>
        </w:rPr>
        <w:t xml:space="preserve"> năm 20</w:t>
      </w:r>
      <w:r>
        <w:rPr>
          <w:bCs/>
          <w:iCs/>
          <w:spacing w:val="-6"/>
          <w:sz w:val="26"/>
          <w:szCs w:val="26"/>
        </w:rPr>
        <w:t>20</w:t>
      </w:r>
      <w:r>
        <w:rPr>
          <w:bCs/>
          <w:iCs/>
          <w:spacing w:val="-6"/>
          <w:sz w:val="26"/>
          <w:szCs w:val="26"/>
          <w:lang w:val="vi-VN"/>
        </w:rPr>
        <w:t xml:space="preserve"> của UBND </w:t>
      </w:r>
      <w:r>
        <w:rPr>
          <w:bCs/>
          <w:iCs/>
          <w:spacing w:val="-6"/>
          <w:sz w:val="26"/>
          <w:szCs w:val="26"/>
        </w:rPr>
        <w:t>huyện Chi Lăng</w:t>
      </w:r>
      <w:r>
        <w:rPr>
          <w:bCs/>
          <w:iCs/>
          <w:spacing w:val="-6"/>
          <w:sz w:val="26"/>
          <w:szCs w:val="26"/>
          <w:lang w:val="vi-VN"/>
        </w:rPr>
        <w:t xml:space="preserve"> Về việc phê duyệt </w:t>
      </w:r>
      <w:r>
        <w:rPr>
          <w:bCs/>
          <w:iCs/>
          <w:spacing w:val="-6"/>
          <w:sz w:val="26"/>
          <w:szCs w:val="26"/>
        </w:rPr>
        <w:t>đồ án Quy hoạch chi tiết tỷ lệ 1/500 Khu đô thị mới hai bên đường Quốc lộ 1 phía Đông Nam thị trấn Đồng Mỏ (Quyết định số 4564/QĐ-UBND ngày 14 tháng 12 năm 2020 của UBND huyện Chi Lăng về việc điều chỉnh tên đồ án Quy hoạch chi tiết 1/500);</w:t>
      </w:r>
    </w:p>
    <w:p w14:paraId="2CB7429D">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Quy hoạch chi tiết Khu đô thị phía Đông thị trấn Đồng Mỏ kết hợp giữa kế thừa, cải tạo và xây dựng mới đảm bảo cho đô thị phát triển bền vững, ổn định, nâng cao đời sống cho nhân dân. </w:t>
      </w:r>
    </w:p>
    <w:p w14:paraId="4B29B5EC">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Bộ mặt kiến trúc đô thị chính của thị trấn được xác định theo các trục đường chính: Đường Quốc lộ 1, đường trục chính hứng Đông Tây và đường trục chính hướng Bắc Nam, chỉ giới các tuyến đường này là 31,0m.</w:t>
      </w:r>
    </w:p>
    <w:p w14:paraId="5BCDADC9">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Không gian tổng thể khu đô thị được cụ thể hoá định hướng của đồ án điêu fhcinrh quy hoạch chung thị trấn Đồng Mỏ đối với khu vực thiết kế, tạo nên khu vực đô thị mạng ô cờ với các lớp không gian chức năng được quy hoạch từ Tây sang Đông,</w:t>
      </w:r>
    </w:p>
    <w:p w14:paraId="337D53AB">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Tại phía Nam, khu vực tiếp giáp với đường Quốc lộ 1 phát triển các chức năng nhà ở liền kề kết hợp kinh doanh, dịch vụ thương mại để khai thác lợi thế hoạt động dịch vụ dọc đường Quốc lộ 1 và cung cấp các tiện ích tổng hợp cho khu đô thị trong tương lai. Khu vực kế cận bố trí cụm dịch vụ xã hội gồm, nhà văn hóa, trạm y tế.... nhằm phục vụ cho khu đô thị và Trung tâm thể dục thể thao toàn thị trấn.</w:t>
      </w:r>
    </w:p>
    <w:p w14:paraId="1A728537">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Phía Bắc của khu đô thị, bố trí trường mầm non, bãi đỗ xe, cây xanh tập trung tại khu vực tiếp giáp với khu dân cư hiện trạng. Vị trí trường được bố trí sắp xếp để phù hợp với đặc điểm chức năng của từng công trình, đảm bảo tiếp cận thuận lợi và có quy mô phù hợp với các quy chuẩn, tiêu chuẩn.</w:t>
      </w:r>
    </w:p>
    <w:p w14:paraId="4E1F3263">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Phần lớn diện tích khu đô thị bố trí khu nhà ở được quy hoạch thành các loại hình nhà ở gồm: Nhà ở thương mại bám dọc các trục đường có kích thước lô 5x18m; 6x15m; nhà ở biệt thự đơn lập có kích thước 15x20m. Các khu vực nhà ở biệt thự được thiết kế biệt lập, đảm bảo sự yên tĩnh và chất lượng không gian cao.</w:t>
      </w:r>
    </w:p>
    <w:p w14:paraId="64D00DEF">
      <w:pPr>
        <w:spacing w:before="120" w:after="120"/>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Không gian khu vực được tổ chức với các công trình có tầng cao từ 3-5 tầng. Không gian khu chức năng tạo sự chuyển tiếp nhịp điệu và mềm mại, đảm bảo sự hài hòa giữa không gian và chức năng của mỗi công trình. Các công trình được thiết kế linh hoạt với quy mô diện tích hợp lý, giải pháp kiến trúc đa dạng, khai thác tốt không gian. Mỗi khu chức năng đều có bãi đỗ xe nổi, sinh thái, đảm bảo kết nối nhanh chóng thuận tiện.</w:t>
      </w:r>
    </w:p>
    <w:bookmarkEnd w:id="19"/>
    <w:p w14:paraId="60745D70">
      <w:pPr>
        <w:spacing w:before="120" w:after="120" w:line="360" w:lineRule="exact"/>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r>
        <w:rPr>
          <w:b/>
          <w:color w:val="000000" w:themeColor="text1"/>
          <w:sz w:val="26"/>
          <w:szCs w:val="26"/>
          <w:lang w:val="vi-VN"/>
          <w14:textFill>
            <w14:solidFill>
              <w14:schemeClr w14:val="tx1"/>
            </w14:solidFill>
          </w14:textFill>
        </w:rPr>
        <w:t>. Giải pháp thiết kế:</w:t>
      </w:r>
      <w:r>
        <w:rPr>
          <w:b/>
          <w:color w:val="000000" w:themeColor="text1"/>
          <w:sz w:val="26"/>
          <w:szCs w:val="26"/>
          <w14:textFill>
            <w14:solidFill>
              <w14:schemeClr w14:val="tx1"/>
            </w14:solidFill>
          </w14:textFill>
        </w:rPr>
        <w:t xml:space="preserve"> </w:t>
      </w:r>
    </w:p>
    <w:p w14:paraId="5D4C145A">
      <w:pPr>
        <w:spacing w:before="120" w:after="120" w:line="360" w:lineRule="exact"/>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*Tại thông báo số 138/SXD-HTKT&amp;VLXD ngày 21/01/2022 của Sở xây dựng tỉnh Lạng Sơn V/v thông báo kết quả thẩm định báo cáo nghiên cứu khả thi đầu tư xây dựng dự án: Khu đô thị phía Đông Nam thị trấn Đồng Mỏ. Hạng mục hạ tầng kỹ thuật và nhà xây thô:</w:t>
      </w:r>
    </w:p>
    <w:p w14:paraId="350C61BC">
      <w:pPr>
        <w:spacing w:before="120" w:after="120"/>
        <w:ind w:firstLine="567"/>
        <w:jc w:val="both"/>
        <w:rPr>
          <w:b/>
          <w:i/>
          <w:color w:val="000000" w:themeColor="text1"/>
          <w:sz w:val="26"/>
          <w:szCs w:val="26"/>
          <w:lang w:val="vi-VN"/>
          <w14:textFill>
            <w14:solidFill>
              <w14:schemeClr w14:val="tx1"/>
            </w14:solidFill>
          </w14:textFill>
        </w:rPr>
      </w:pPr>
      <w:r>
        <w:rPr>
          <w:b/>
          <w:i/>
          <w:color w:val="000000" w:themeColor="text1"/>
          <w:sz w:val="26"/>
          <w:szCs w:val="26"/>
          <w:lang w:val="vi-VN"/>
          <w14:textFill>
            <w14:solidFill>
              <w14:schemeClr w14:val="tx1"/>
            </w14:solidFill>
          </w14:textFill>
        </w:rPr>
        <w:t>a. San nền:</w:t>
      </w:r>
    </w:p>
    <w:p w14:paraId="05998CD6">
      <w:pPr>
        <w:spacing w:line="276" w:lineRule="auto"/>
        <w:ind w:firstLine="709"/>
        <w:jc w:val="both"/>
        <w:rPr>
          <w:sz w:val="26"/>
          <w:szCs w:val="26"/>
        </w:rPr>
      </w:pPr>
      <w:r>
        <w:rPr>
          <w:sz w:val="26"/>
          <w:szCs w:val="26"/>
        </w:rPr>
        <w:t>- San nền 22 lô. Cao độ san nền cao nhất tại ví trí Đông Nam quốc lộ 1 là +77,15m, cao độ san nền thấp nhất tại vị trí phía Bắc là +63,20m. Hướng dốc san nền từ Nam - Bắc, Đông - Tây.</w:t>
      </w:r>
    </w:p>
    <w:p w14:paraId="048BA8D0">
      <w:pPr>
        <w:spacing w:line="276" w:lineRule="auto"/>
        <w:ind w:firstLine="709"/>
        <w:jc w:val="both"/>
        <w:rPr>
          <w:sz w:val="26"/>
          <w:szCs w:val="26"/>
        </w:rPr>
      </w:pPr>
      <w:r>
        <w:rPr>
          <w:sz w:val="26"/>
          <w:szCs w:val="26"/>
        </w:rPr>
        <w:t>- Độ dốc san nền là: i≥ 0,4%.</w:t>
      </w:r>
    </w:p>
    <w:p w14:paraId="7CD7F4E6">
      <w:pPr>
        <w:spacing w:line="276" w:lineRule="auto"/>
        <w:ind w:firstLine="709"/>
        <w:jc w:val="both"/>
        <w:rPr>
          <w:sz w:val="26"/>
          <w:szCs w:val="26"/>
        </w:rPr>
      </w:pPr>
      <w:r>
        <w:rPr>
          <w:sz w:val="26"/>
          <w:szCs w:val="26"/>
        </w:rPr>
        <w:t>- Độ chặt đất đắp san nền: K=0,9.</w:t>
      </w:r>
    </w:p>
    <w:p w14:paraId="08D15016">
      <w:pPr>
        <w:spacing w:line="276" w:lineRule="auto"/>
        <w:ind w:firstLine="709"/>
        <w:jc w:val="both"/>
        <w:rPr>
          <w:sz w:val="26"/>
          <w:szCs w:val="26"/>
          <w:lang w:val="nl-NL"/>
        </w:rPr>
      </w:pPr>
      <w:r>
        <w:rPr>
          <w:b/>
          <w:bCs/>
          <w:sz w:val="26"/>
          <w:szCs w:val="26"/>
        </w:rPr>
        <w:t xml:space="preserve">- </w:t>
      </w:r>
      <w:r>
        <w:rPr>
          <w:sz w:val="26"/>
          <w:szCs w:val="26"/>
        </w:rPr>
        <w:t>San nền taluy.</w:t>
      </w:r>
    </w:p>
    <w:p w14:paraId="35A61041">
      <w:pPr>
        <w:spacing w:before="120" w:after="120"/>
        <w:ind w:firstLine="567"/>
        <w:jc w:val="both"/>
        <w:rPr>
          <w:b/>
          <w:i/>
          <w:color w:val="000000" w:themeColor="text1"/>
          <w:sz w:val="26"/>
          <w:szCs w:val="26"/>
          <w14:textFill>
            <w14:solidFill>
              <w14:schemeClr w14:val="tx1"/>
            </w14:solidFill>
          </w14:textFill>
        </w:rPr>
      </w:pPr>
      <w:r>
        <w:rPr>
          <w:b/>
          <w:i/>
          <w:color w:val="000000" w:themeColor="text1"/>
          <w:sz w:val="26"/>
          <w:szCs w:val="26"/>
          <w:lang w:val="vi-VN"/>
          <w14:textFill>
            <w14:solidFill>
              <w14:schemeClr w14:val="tx1"/>
            </w14:solidFill>
          </w14:textFill>
        </w:rPr>
        <w:t>b. Giao thông:</w:t>
      </w:r>
    </w:p>
    <w:p w14:paraId="58E8A75D">
      <w:pPr>
        <w:spacing w:before="120" w:after="120"/>
        <w:ind w:firstLine="567"/>
        <w:jc w:val="both"/>
        <w:rPr>
          <w:sz w:val="26"/>
          <w:szCs w:val="26"/>
        </w:rPr>
      </w:pPr>
      <w:r>
        <w:rPr>
          <w:sz w:val="26"/>
          <w:szCs w:val="26"/>
        </w:rPr>
        <w:t xml:space="preserve">a) Mặt cắt ngang các tuyến đường: </w:t>
      </w:r>
    </w:p>
    <w:p w14:paraId="2D5F95E8">
      <w:pPr>
        <w:spacing w:before="120" w:after="120"/>
        <w:ind w:firstLine="567"/>
        <w:jc w:val="both"/>
        <w:rPr>
          <w:sz w:val="26"/>
          <w:szCs w:val="26"/>
        </w:rPr>
      </w:pPr>
      <w:r>
        <w:rPr>
          <w:sz w:val="26"/>
          <w:szCs w:val="26"/>
        </w:rPr>
        <w:t xml:space="preserve">- Tuyến RD-12: Nền đường rộng 31m; mặt đường rộng 2x8,5m; giải phân cách giữa rộng 2m; vỉa hè rộng 2x6m. </w:t>
      </w:r>
    </w:p>
    <w:p w14:paraId="2B52FA56">
      <w:pPr>
        <w:spacing w:before="120" w:after="120"/>
        <w:ind w:firstLine="567"/>
        <w:jc w:val="both"/>
        <w:rPr>
          <w:sz w:val="26"/>
          <w:szCs w:val="26"/>
        </w:rPr>
      </w:pPr>
      <w:r>
        <w:rPr>
          <w:sz w:val="26"/>
          <w:szCs w:val="26"/>
        </w:rPr>
        <w:t xml:space="preserve">- Tuyến RD-07: Nền đường rộng 16,5m; mặt đường rộng 7,5m; vỉa hè rộng 2x4,5m. </w:t>
      </w:r>
    </w:p>
    <w:p w14:paraId="38554B51">
      <w:pPr>
        <w:spacing w:before="120" w:after="120"/>
        <w:ind w:firstLine="567"/>
        <w:jc w:val="both"/>
        <w:rPr>
          <w:sz w:val="26"/>
          <w:szCs w:val="26"/>
        </w:rPr>
      </w:pPr>
      <w:r>
        <w:rPr>
          <w:sz w:val="26"/>
          <w:szCs w:val="26"/>
        </w:rPr>
        <w:t xml:space="preserve">- Tuyến RD-01, RD-02, RD-03, RD-04, RD-06, RD-08, RD-09, RD-10, RD-11, RD-13, RD-14, RD-15, RD-17: Nền đường rộng 13,5m; mặt đường rộng 7,5m; vỉa hè rộng 2x3,0m. </w:t>
      </w:r>
    </w:p>
    <w:p w14:paraId="42036192">
      <w:pPr>
        <w:spacing w:before="120" w:after="120"/>
        <w:ind w:firstLine="567"/>
        <w:jc w:val="both"/>
        <w:rPr>
          <w:sz w:val="26"/>
          <w:szCs w:val="26"/>
        </w:rPr>
      </w:pPr>
      <w:r>
        <w:rPr>
          <w:sz w:val="26"/>
          <w:szCs w:val="26"/>
        </w:rPr>
        <w:t xml:space="preserve">- Tuyến RD-05 ( tuyến chia có 2 dạng mặt cắt): </w:t>
      </w:r>
    </w:p>
    <w:p w14:paraId="05F512AC">
      <w:pPr>
        <w:spacing w:before="120" w:after="120"/>
        <w:ind w:firstLine="567"/>
        <w:jc w:val="both"/>
        <w:rPr>
          <w:sz w:val="26"/>
          <w:szCs w:val="26"/>
        </w:rPr>
      </w:pPr>
      <w:r>
        <w:rPr>
          <w:sz w:val="26"/>
          <w:szCs w:val="26"/>
        </w:rPr>
        <w:t xml:space="preserve">+ Nền đường rộng 13,5m; mặt đường rộng 7,5m; vỉa hè rộng 2x4,5m. </w:t>
      </w:r>
    </w:p>
    <w:p w14:paraId="7F878B42">
      <w:pPr>
        <w:spacing w:before="120" w:after="120"/>
        <w:ind w:firstLine="567"/>
        <w:jc w:val="both"/>
        <w:rPr>
          <w:sz w:val="26"/>
          <w:szCs w:val="26"/>
        </w:rPr>
      </w:pPr>
      <w:r>
        <w:rPr>
          <w:sz w:val="26"/>
          <w:szCs w:val="26"/>
        </w:rPr>
        <w:t>+ Nền đường rộng 10,0m; mặt đường rộng 6,0m; vỉa hè rộng 2x2,0m</w:t>
      </w:r>
    </w:p>
    <w:p w14:paraId="63DFDD1F">
      <w:pPr>
        <w:spacing w:before="120" w:after="120"/>
        <w:ind w:firstLine="567"/>
        <w:jc w:val="both"/>
        <w:rPr>
          <w:sz w:val="26"/>
          <w:szCs w:val="26"/>
        </w:rPr>
      </w:pPr>
      <w:r>
        <w:rPr>
          <w:sz w:val="26"/>
          <w:szCs w:val="26"/>
        </w:rPr>
        <w:t xml:space="preserve">- Tuyến RD-05A: Nền đường rộng 10,0m; mặt đường rộng 7,0m; vỉa hè rộng 1x3,0m. </w:t>
      </w:r>
    </w:p>
    <w:p w14:paraId="74F2EB8A">
      <w:pPr>
        <w:spacing w:before="120" w:after="120"/>
        <w:ind w:firstLine="567"/>
        <w:jc w:val="both"/>
        <w:rPr>
          <w:sz w:val="26"/>
          <w:szCs w:val="26"/>
        </w:rPr>
      </w:pPr>
      <w:r>
        <w:rPr>
          <w:sz w:val="26"/>
          <w:szCs w:val="26"/>
        </w:rPr>
        <w:t xml:space="preserve">- Tuyến RD-DN: Mặt cắt Quốc lộ 1; mở rộng theo hiện trạng mặt đường đấu nối. </w:t>
      </w:r>
    </w:p>
    <w:p w14:paraId="1356B980">
      <w:pPr>
        <w:spacing w:before="120" w:after="120"/>
        <w:ind w:firstLine="567"/>
        <w:jc w:val="both"/>
        <w:rPr>
          <w:sz w:val="26"/>
          <w:szCs w:val="26"/>
        </w:rPr>
      </w:pPr>
      <w:r>
        <w:rPr>
          <w:sz w:val="26"/>
          <w:szCs w:val="26"/>
        </w:rPr>
        <w:t xml:space="preserve">b) Thông số kỹ thuật tất cả các tuyến đường: </w:t>
      </w:r>
    </w:p>
    <w:p w14:paraId="3A6BAA14">
      <w:pPr>
        <w:spacing w:before="120" w:after="120"/>
        <w:ind w:firstLine="567"/>
        <w:jc w:val="both"/>
        <w:rPr>
          <w:sz w:val="26"/>
          <w:szCs w:val="26"/>
        </w:rPr>
      </w:pPr>
      <w:r>
        <w:rPr>
          <w:sz w:val="26"/>
          <w:szCs w:val="26"/>
        </w:rPr>
        <w:t>+ Độ dốc ngang mặt đường i = 2%; độ dốc vỉa hè i = 1,5% + Kết cấu áo đường: Các lớp từ trên xuống dưới bao gồm Mặt đường BTN C9.5, dày 5cm; tưới nhựa nhũ tương dính bám 0,5kg/m2 ; Lớp BTN C12,5, dày 7cm; Tưới nhựa nhũ tương thấm bám 1kg/m2 ; Lớp móng CPĐD loại I, dày 20cm; Lớp móng CPĐD loại II, dày 25cm; Lớp đất đầm chặt K≥0,98, dày 50cm; Lớp đất san nền đầm chặt K≥0,95.</w:t>
      </w:r>
    </w:p>
    <w:p w14:paraId="42D74D5C">
      <w:pPr>
        <w:spacing w:before="120" w:after="120"/>
        <w:ind w:firstLine="567"/>
        <w:jc w:val="both"/>
        <w:rPr>
          <w:sz w:val="26"/>
          <w:szCs w:val="26"/>
        </w:rPr>
      </w:pPr>
      <w:r>
        <w:rPr>
          <w:sz w:val="26"/>
          <w:szCs w:val="26"/>
        </w:rPr>
        <w:t xml:space="preserve">- Vỉa hè, cây xanh các tuyến đường: </w:t>
      </w:r>
    </w:p>
    <w:p w14:paraId="29A656CE">
      <w:pPr>
        <w:spacing w:before="120" w:after="120"/>
        <w:ind w:firstLine="567"/>
        <w:jc w:val="both"/>
        <w:rPr>
          <w:sz w:val="26"/>
          <w:szCs w:val="26"/>
        </w:rPr>
      </w:pPr>
      <w:r>
        <w:rPr>
          <w:sz w:val="26"/>
          <w:szCs w:val="26"/>
        </w:rPr>
        <w:t xml:space="preserve">+ Vỉa hè: Độ dốc ngang i = 1,5% hướng thoát nước ra mặt đường, các lớp kết cấu vỉa hè từ trên xuống như sau: gạch tự chèn dày 6cm, cát đen tạo phẳng dày 5cm, đất nền đầm chặt k95. </w:t>
      </w:r>
    </w:p>
    <w:p w14:paraId="610723DD">
      <w:pPr>
        <w:spacing w:before="120" w:after="120"/>
        <w:ind w:firstLine="567"/>
        <w:jc w:val="both"/>
        <w:rPr>
          <w:sz w:val="26"/>
          <w:szCs w:val="26"/>
        </w:rPr>
      </w:pPr>
      <w:r>
        <w:rPr>
          <w:sz w:val="26"/>
          <w:szCs w:val="26"/>
        </w:rPr>
        <w:t xml:space="preserve">+ Block vỉa hè + rãnh đan bằng bê tông mác 250, rộng 60cm, dài 100cm; Lớp lót bằng BTXM mác 150, dày 10cm. </w:t>
      </w:r>
    </w:p>
    <w:p w14:paraId="7358E7CF">
      <w:pPr>
        <w:spacing w:before="120" w:after="120"/>
        <w:ind w:firstLine="567"/>
        <w:jc w:val="both"/>
        <w:rPr>
          <w:sz w:val="26"/>
          <w:szCs w:val="26"/>
        </w:rPr>
      </w:pPr>
      <w:r>
        <w:rPr>
          <w:sz w:val="26"/>
          <w:szCs w:val="26"/>
        </w:rPr>
        <w:t xml:space="preserve">+ Bó gáy hè: bằng gạch không nung vữa xi măng mác 75, dày 110mm. </w:t>
      </w:r>
    </w:p>
    <w:p w14:paraId="0555C8F9">
      <w:pPr>
        <w:spacing w:before="120" w:after="120"/>
        <w:ind w:firstLine="567"/>
        <w:jc w:val="both"/>
        <w:rPr>
          <w:sz w:val="26"/>
          <w:szCs w:val="26"/>
        </w:rPr>
      </w:pPr>
      <w:r>
        <w:rPr>
          <w:sz w:val="26"/>
          <w:szCs w:val="26"/>
        </w:rPr>
        <w:t xml:space="preserve">+ Bó vỉa dải phân cách (Tuyến RD-12): bê tông xi măng mác 500, kích thước (20x50x100)cm; Lớp lót bằng BTXM mác 150, dày 5cm. </w:t>
      </w:r>
    </w:p>
    <w:p w14:paraId="70861CF0">
      <w:pPr>
        <w:spacing w:before="120" w:after="120"/>
        <w:ind w:firstLine="567"/>
        <w:jc w:val="both"/>
        <w:rPr>
          <w:sz w:val="26"/>
          <w:szCs w:val="26"/>
        </w:rPr>
      </w:pPr>
      <w:r>
        <w:rPr>
          <w:sz w:val="26"/>
          <w:szCs w:val="26"/>
        </w:rPr>
        <w:t>+ Trồng cây trên vỉa hè các tuyến đường;kích thước hố trồng cây (1x1)m cách nhau 6,5m-10m.</w:t>
      </w:r>
    </w:p>
    <w:p w14:paraId="41D0D559">
      <w:pPr>
        <w:spacing w:before="120" w:after="120"/>
        <w:ind w:firstLine="567"/>
        <w:jc w:val="both"/>
        <w:rPr>
          <w:b/>
          <w:i/>
          <w:sz w:val="26"/>
          <w:szCs w:val="26"/>
        </w:rPr>
      </w:pPr>
      <w:r>
        <w:rPr>
          <w:b/>
          <w:i/>
          <w:sz w:val="26"/>
          <w:szCs w:val="26"/>
        </w:rPr>
        <w:t xml:space="preserve">c. Bãi đỗ xe: </w:t>
      </w:r>
    </w:p>
    <w:p w14:paraId="76CAC36F">
      <w:pPr>
        <w:spacing w:before="120" w:after="120"/>
        <w:ind w:firstLine="567"/>
        <w:jc w:val="both"/>
        <w:rPr>
          <w:sz w:val="26"/>
          <w:szCs w:val="26"/>
        </w:rPr>
      </w:pPr>
      <w:r>
        <w:rPr>
          <w:sz w:val="26"/>
          <w:szCs w:val="26"/>
        </w:rPr>
        <w:t xml:space="preserve">Các lớp từ trên xuống dưới bao gồm Mặt đường BTN C12.5, dày 5cm; tưới nhựa nhũ tương dính bám 0,5kg/m2 ; Lớp BTN C12,5, dày 7cm; Tưới nhựa nhũ tương thấm bám 1kg/m2 ; Lớp móng CPĐD loại I, dày 20cm; Lớp móng CPĐD loại II, dày 25cm; Lớp đất san nền đầm chặt K≥0,95. </w:t>
      </w:r>
    </w:p>
    <w:p w14:paraId="4EB2968E">
      <w:pPr>
        <w:spacing w:before="120" w:after="120"/>
        <w:ind w:firstLine="567"/>
        <w:jc w:val="both"/>
        <w:rPr>
          <w:b/>
          <w:i/>
          <w:sz w:val="26"/>
          <w:szCs w:val="26"/>
        </w:rPr>
      </w:pPr>
      <w:r>
        <w:rPr>
          <w:b/>
          <w:i/>
          <w:sz w:val="26"/>
          <w:szCs w:val="26"/>
        </w:rPr>
        <w:t xml:space="preserve">d. Hệ thống cấp điện: </w:t>
      </w:r>
    </w:p>
    <w:p w14:paraId="6F68FEDC">
      <w:pPr>
        <w:spacing w:before="120" w:after="120"/>
        <w:ind w:firstLine="567"/>
        <w:jc w:val="both"/>
        <w:rPr>
          <w:sz w:val="26"/>
          <w:szCs w:val="26"/>
        </w:rPr>
      </w:pPr>
      <w:r>
        <w:rPr>
          <w:sz w:val="26"/>
          <w:szCs w:val="26"/>
        </w:rPr>
        <w:t xml:space="preserve">- Nguồn cấp điện cho các Trạm biến áp của dự án được lấy từ đỉnh trạm biến áp Khuôn Phang 250kVA-35/0,4kV thuộc đường dây 35kV nhánh rẽ TBA Khuôn Phang lộ 373E13.1, điểm đấu nối cấp điện cho dự án tại khu vực phía Đông Bắc của dự án. </w:t>
      </w:r>
    </w:p>
    <w:p w14:paraId="204A635B">
      <w:pPr>
        <w:spacing w:before="120" w:after="120"/>
        <w:ind w:firstLine="567"/>
        <w:jc w:val="both"/>
        <w:rPr>
          <w:sz w:val="26"/>
          <w:szCs w:val="26"/>
        </w:rPr>
      </w:pPr>
      <w:r>
        <w:rPr>
          <w:sz w:val="26"/>
          <w:szCs w:val="26"/>
        </w:rPr>
        <w:t xml:space="preserve">- Trạm biến áp: Sử dụng Trạm biến áp kiểu Kios hợp bộ, máy biến áp 03 pha gồm có 04 trạm: TBA-1, TBA-2, TBA-3, TBA-4có công suất 560VA-35/0,4kV. </w:t>
      </w:r>
    </w:p>
    <w:p w14:paraId="2E1C61CB">
      <w:pPr>
        <w:spacing w:before="120" w:after="120"/>
        <w:ind w:firstLine="567"/>
        <w:jc w:val="both"/>
        <w:rPr>
          <w:sz w:val="26"/>
          <w:szCs w:val="26"/>
        </w:rPr>
      </w:pPr>
      <w:r>
        <w:rPr>
          <w:sz w:val="26"/>
          <w:szCs w:val="26"/>
        </w:rPr>
        <w:t>- Đường dây trung thế: Phần đường dây 35KVđi nổi dùng dây dẫn AC-70/11treo trên tuyến cột PC.I 20-190-14kN dựng mới có chiều dài 0,677Km. Phần đường dây 35kV đi ngầm dùng cáp ngầm Cu/XLPE/CTS/PVC/DSTA/PVC-W(3x70)mm2 -35kV được đặt trên giá đỡ thép trong hào tuynen kỹ thuật, có chiều dài 1,040Km.</w:t>
      </w:r>
    </w:p>
    <w:p w14:paraId="488E0029">
      <w:pPr>
        <w:spacing w:before="120" w:after="120"/>
        <w:ind w:firstLine="567"/>
        <w:jc w:val="both"/>
        <w:rPr>
          <w:sz w:val="26"/>
          <w:szCs w:val="26"/>
        </w:rPr>
      </w:pPr>
      <w:r>
        <w:rPr>
          <w:sz w:val="26"/>
          <w:szCs w:val="26"/>
        </w:rPr>
        <w:t xml:space="preserve">- Đường dây hạ thế 0,4KV: Đi ngầm, nguồn điện được lấy từ khoang hạ thế các Trạm biến áp trong khu đô thị cấp đến các tủ điện công tơ, sau đó cung cấp đến các công trình và các hộ dân. Sử dụng cáp ngầm Cu/XLPE/PVC/DSTA/PVC (3x95+1x50)mm2 - 0,6/1kV được đặt trên giá đỡ thép trong hào tuynen kỹ thuật. </w:t>
      </w:r>
    </w:p>
    <w:p w14:paraId="31C0F6D6">
      <w:pPr>
        <w:spacing w:before="120" w:after="120"/>
        <w:ind w:firstLine="567"/>
        <w:jc w:val="both"/>
        <w:rPr>
          <w:sz w:val="26"/>
          <w:szCs w:val="26"/>
        </w:rPr>
      </w:pPr>
      <w:r>
        <w:rPr>
          <w:sz w:val="26"/>
          <w:szCs w:val="26"/>
        </w:rPr>
        <w:t xml:space="preserve">- Chiếu sáng nội bộ: </w:t>
      </w:r>
    </w:p>
    <w:p w14:paraId="0D32D450">
      <w:pPr>
        <w:spacing w:before="120" w:after="120"/>
        <w:ind w:firstLine="567"/>
        <w:jc w:val="both"/>
        <w:rPr>
          <w:sz w:val="26"/>
          <w:szCs w:val="26"/>
        </w:rPr>
      </w:pPr>
      <w:r>
        <w:rPr>
          <w:sz w:val="26"/>
          <w:szCs w:val="26"/>
        </w:rPr>
        <w:t xml:space="preserve">+ Tuyến đường dây chiếu sáng đi tronghào tuynen kỹ thuật, sử dụng cáp Cu/XLPE/DSTA/PVC (4x16)mm2 được luồn trong ống nhựa xoắn chịu lực 40/30, dây lên đèn dùng cáp PVC (2x2,5)mm2 . </w:t>
      </w:r>
    </w:p>
    <w:p w14:paraId="7667F7DE">
      <w:pPr>
        <w:spacing w:before="120" w:after="120"/>
        <w:ind w:firstLine="567"/>
        <w:jc w:val="both"/>
        <w:rPr>
          <w:sz w:val="26"/>
          <w:szCs w:val="26"/>
        </w:rPr>
      </w:pPr>
      <w:r>
        <w:rPr>
          <w:sz w:val="26"/>
          <w:szCs w:val="26"/>
        </w:rPr>
        <w:t xml:space="preserve">+ Cột điện chiếu sáng sử dụng cột thép bát giác liền cần chiều cao 08m và 12m. Bóng đèn chiếu sáng sử dụng bóng LED 150W-220V, 200W-220V. </w:t>
      </w:r>
    </w:p>
    <w:p w14:paraId="455B8700">
      <w:pPr>
        <w:spacing w:before="120" w:after="120"/>
        <w:ind w:firstLine="567"/>
        <w:jc w:val="both"/>
        <w:rPr>
          <w:b/>
          <w:i/>
          <w:sz w:val="26"/>
          <w:szCs w:val="26"/>
        </w:rPr>
      </w:pPr>
      <w:r>
        <w:rPr>
          <w:b/>
          <w:i/>
          <w:sz w:val="26"/>
          <w:szCs w:val="26"/>
        </w:rPr>
        <w:t xml:space="preserve">e. Hệ thống thông tin liên lạc: </w:t>
      </w:r>
    </w:p>
    <w:p w14:paraId="3218A343">
      <w:pPr>
        <w:spacing w:before="120" w:after="120"/>
        <w:ind w:firstLine="567"/>
        <w:jc w:val="both"/>
        <w:rPr>
          <w:sz w:val="26"/>
          <w:szCs w:val="26"/>
        </w:rPr>
      </w:pPr>
      <w:r>
        <w:rPr>
          <w:sz w:val="26"/>
          <w:szCs w:val="26"/>
        </w:rPr>
        <w:t xml:space="preserve">Lắp đặt ống chờ luồn cáp, sử dụng ống nhựa PVC D=110, ống nhựa xoắn HDPE D40/30 đi ngầm trong hào tuynen kỹ thuật. Hệ thống cáp được chia nhánh tại các bể cáp được đặt trên vỉa hè. </w:t>
      </w:r>
    </w:p>
    <w:p w14:paraId="00F53A76">
      <w:pPr>
        <w:spacing w:before="120" w:after="120"/>
        <w:ind w:firstLine="567"/>
        <w:jc w:val="both"/>
        <w:rPr>
          <w:b/>
          <w:i/>
          <w:sz w:val="26"/>
          <w:szCs w:val="26"/>
        </w:rPr>
      </w:pPr>
      <w:r>
        <w:rPr>
          <w:b/>
          <w:i/>
          <w:sz w:val="26"/>
          <w:szCs w:val="26"/>
        </w:rPr>
        <w:t xml:space="preserve">f. Hệ thống cấp nước: </w:t>
      </w:r>
    </w:p>
    <w:p w14:paraId="30EE230A">
      <w:pPr>
        <w:spacing w:before="120" w:after="120"/>
        <w:ind w:firstLine="567"/>
        <w:jc w:val="both"/>
        <w:rPr>
          <w:sz w:val="26"/>
          <w:szCs w:val="26"/>
        </w:rPr>
      </w:pPr>
      <w:r>
        <w:rPr>
          <w:sz w:val="26"/>
          <w:szCs w:val="26"/>
        </w:rPr>
        <w:t xml:space="preserve">Nguồn cấp nước cho dự án được lấy từ đường ống cấp nước D150mmtrên đường Đại Huề của Nhà máy cấp nước Chi Lăng, đấu nối tại vị trí phía Bắc của dự án. Tuyến ống cấp nước gồm ống phân phối và ống dịch vụ, ống phân phối sử dụng ống nhựa HDPE đường kính D =100mm; ống dịch vụ sử dụng ống HDPE đường kính D = 75mm, D = 50mm. Trên tuyến ống phânphối bố trí các trụ cứu hỏa cấp nước chữa cháy, đường kính D=100mm (số lượng 07 trụ). Hệ thống ống cấp nước sinh hoạt đi ngầm trong đất. </w:t>
      </w:r>
    </w:p>
    <w:p w14:paraId="14180C95">
      <w:pPr>
        <w:spacing w:before="120" w:after="120"/>
        <w:ind w:firstLine="567"/>
        <w:jc w:val="both"/>
        <w:rPr>
          <w:b/>
          <w:i/>
          <w:sz w:val="26"/>
          <w:szCs w:val="26"/>
        </w:rPr>
      </w:pPr>
      <w:r>
        <w:rPr>
          <w:b/>
          <w:i/>
          <w:sz w:val="26"/>
          <w:szCs w:val="26"/>
        </w:rPr>
        <w:t xml:space="preserve">g. Hệ thống thoát nước: </w:t>
      </w:r>
    </w:p>
    <w:p w14:paraId="6F9C4BE6">
      <w:pPr>
        <w:spacing w:before="120" w:after="120"/>
        <w:ind w:firstLine="567"/>
        <w:jc w:val="both"/>
        <w:rPr>
          <w:sz w:val="26"/>
          <w:szCs w:val="26"/>
        </w:rPr>
      </w:pPr>
      <w:r>
        <w:rPr>
          <w:sz w:val="26"/>
          <w:szCs w:val="26"/>
        </w:rPr>
        <w:t xml:space="preserve">- Hệ thống thoát nước mưa: Hệ thống thoát nước mặt: Nước mưa được thu vào các hố ga, sau đó theo hệ thống cống dọc các tuyến đường (cống tròn BTCT đường kính D=400mm, D=600mm, D=800mm, D=1.000mm), thoát ra 04 cửa xả. Trong đó 01 cửa xả thoát nước ra sông Thương, 03 cửa xả còn lại thoát nước theo địa hình tự nhiên của khu vực. </w:t>
      </w:r>
    </w:p>
    <w:p w14:paraId="0DB7FE5A">
      <w:pPr>
        <w:spacing w:before="120" w:after="120"/>
        <w:ind w:firstLine="567"/>
        <w:jc w:val="both"/>
        <w:rPr>
          <w:sz w:val="26"/>
          <w:szCs w:val="26"/>
        </w:rPr>
      </w:pPr>
      <w:r>
        <w:rPr>
          <w:sz w:val="26"/>
          <w:szCs w:val="26"/>
        </w:rPr>
        <w:t xml:space="preserve">- Hệ thống thoát nước thải thiết kế độc lập với hệ thống thoát nước mưa: Hệ thống thoát nước thải thiết kế độc lập với hệ thống thoát nước mưa. Nước thải dọc các tuyến đường nội bộ, được gom vào hệ thống cống thoát nước (cống BTCT mác 300, đường kính D=300mm), chảy về Trạm xử lý nước thải xây dựng ở phía Tây khu đất thực hiện dự án, công suất xử lý 650m3 /ng.đ. Nước thải tự chảy theo độ dốc thiết kế i=0,3%, có 01 vị trí cục bộ phải sử dụng bơm tăng áp(Máy bơm: Sử dụng máy bơm nước thải chìm công suất 980W, lưu lượng tối đa 15m3 /1h; Tuyến ống: Sử dụng ống HDPE 2D100mm, chiều dài L=130m). </w:t>
      </w:r>
    </w:p>
    <w:p w14:paraId="2177419F">
      <w:pPr>
        <w:spacing w:before="120" w:after="120"/>
        <w:ind w:firstLine="567"/>
        <w:jc w:val="both"/>
        <w:rPr>
          <w:sz w:val="26"/>
          <w:szCs w:val="26"/>
        </w:rPr>
      </w:pPr>
      <w:r>
        <w:rPr>
          <w:sz w:val="26"/>
          <w:szCs w:val="26"/>
        </w:rPr>
        <w:t xml:space="preserve">- Cống hộp đấu nối nước qua dự án: Cống hộp BTCT hộp (1x2x2)m, đấu nối tại vị trí phía Đông Nam và thoát ra tại vị trí Tây Nam dự án. </w:t>
      </w:r>
    </w:p>
    <w:p w14:paraId="2955892A">
      <w:pPr>
        <w:spacing w:before="120" w:after="120"/>
        <w:ind w:firstLine="567"/>
        <w:jc w:val="both"/>
        <w:rPr>
          <w:sz w:val="26"/>
          <w:szCs w:val="26"/>
        </w:rPr>
      </w:pPr>
      <w:r>
        <w:rPr>
          <w:sz w:val="26"/>
          <w:szCs w:val="26"/>
        </w:rPr>
        <w:t>- Trạm xử lý nước thải:Đầu tư xây dựng 01 Trạm xử lý nước thải, công suất 650m3 /ng.đ. Xây dựng trong khu đất diện tích 850m2 , bao gồm các hạng mục:</w:t>
      </w:r>
    </w:p>
    <w:p w14:paraId="7183F3C5">
      <w:pPr>
        <w:spacing w:before="120" w:after="120"/>
        <w:ind w:firstLine="567"/>
        <w:jc w:val="both"/>
        <w:rPr>
          <w:sz w:val="26"/>
          <w:szCs w:val="26"/>
        </w:rPr>
      </w:pPr>
      <w:r>
        <w:rPr>
          <w:sz w:val="26"/>
          <w:szCs w:val="26"/>
        </w:rPr>
        <w:t>- Nhà bảo vệ cao 01 tầng, kích thước (3,72x3,72)m. - Nhà vận hành cao 01 tầng, kích thước (8,22x5,22)m - Các hạng mục:Bể thu gom, bể lắng cát, bể điều hoà, bể sinh học thiếu khí Anoxic, bể hiếu khí MBBR, bể lắng sinh học, bể khử trùng, bể chứa bùn.</w:t>
      </w:r>
    </w:p>
    <w:p w14:paraId="1AE3B761">
      <w:pPr>
        <w:spacing w:before="120" w:after="120"/>
        <w:ind w:firstLine="567"/>
        <w:jc w:val="both"/>
        <w:rPr>
          <w:color w:val="000000" w:themeColor="text1"/>
          <w:sz w:val="26"/>
          <w:szCs w:val="26"/>
          <w:lang w:val="nl-NL"/>
          <w14:textFill>
            <w14:solidFill>
              <w14:schemeClr w14:val="tx1"/>
            </w14:solidFill>
          </w14:textFill>
        </w:rPr>
      </w:pPr>
      <w:r>
        <w:rPr>
          <w:b/>
          <w:i/>
          <w:sz w:val="26"/>
          <w:szCs w:val="26"/>
        </w:rPr>
        <w:t>h. Hào tuyến kỹ thuật</w:t>
      </w:r>
      <w:r>
        <w:rPr>
          <w:sz w:val="26"/>
          <w:szCs w:val="26"/>
        </w:rPr>
        <w:t>: thành xây bằng gạch không nung vữa xi măng mác 75, dày 22cm, nắp bằng BTCT mác 200 dày 10cm. Chiều rộng thông thuỷ 50cm.</w:t>
      </w:r>
    </w:p>
    <w:p w14:paraId="539B520D">
      <w:pPr>
        <w:spacing w:before="120" w:after="120" w:line="360" w:lineRule="exact"/>
        <w:ind w:firstLine="567"/>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7</w:t>
      </w:r>
      <w:r>
        <w:rPr>
          <w:b/>
          <w:color w:val="000000" w:themeColor="text1"/>
          <w:sz w:val="26"/>
          <w:szCs w:val="26"/>
          <w:lang w:val="vi-VN"/>
          <w14:textFill>
            <w14:solidFill>
              <w14:schemeClr w14:val="tx1"/>
            </w14:solidFill>
          </w14:textFill>
        </w:rPr>
        <w:t>. Đặc điểm hiện trạng</w:t>
      </w:r>
      <w:bookmarkStart w:id="20" w:name="_Hlk150372092"/>
      <w:r>
        <w:rPr>
          <w:b/>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Hiện trạng khu đất tại thời điểm định giá đang chuẩn bị đầu tư san lấp và xây dựng hạ tầng kỹ thuật và các công trình xây dựng.</w:t>
      </w:r>
      <w:r>
        <w:rPr>
          <w:color w:val="000000" w:themeColor="text1"/>
          <w:sz w:val="26"/>
          <w:szCs w:val="26"/>
          <w14:textFill>
            <w14:solidFill>
              <w14:schemeClr w14:val="tx1"/>
            </w14:solidFill>
          </w14:textFill>
        </w:rPr>
        <w:t xml:space="preserve"> Tại thời điểm chuẩn bị ban hành dự thảo chứng thư định giá, dự án đang được san lấp mặt bằng.</w:t>
      </w:r>
    </w:p>
    <w:bookmarkEnd w:id="18"/>
    <w:p w14:paraId="31724485">
      <w:pPr>
        <w:spacing w:before="120" w:after="120" w:line="360" w:lineRule="exact"/>
        <w:ind w:firstLine="567"/>
        <w:jc w:val="both"/>
        <w:rPr>
          <w:b/>
          <w:color w:val="000000" w:themeColor="text1"/>
          <w:sz w:val="26"/>
          <w:szCs w:val="26"/>
          <w14:textFill>
            <w14:solidFill>
              <w14:schemeClr w14:val="tx1"/>
            </w14:solidFill>
          </w14:textFill>
        </w:rPr>
      </w:pPr>
      <w:bookmarkStart w:id="21" w:name="_Hlk171919413"/>
      <w:bookmarkStart w:id="22" w:name="_Hlk183561820"/>
      <w:r>
        <w:rPr>
          <w:b/>
          <w:color w:val="000000" w:themeColor="text1"/>
          <w:sz w:val="26"/>
          <w:szCs w:val="26"/>
          <w14:textFill>
            <w14:solidFill>
              <w14:schemeClr w14:val="tx1"/>
            </w14:solidFill>
          </w14:textFill>
        </w:rPr>
        <w:t>*Tại Báo cáo thẩm tra hồ sơ thiết kế bản vẽ thi công và dự toán ngày 13/07/2025 của Công ty TNHH MTV tư vấn đầu tư xây dựng Sơn Nam:</w:t>
      </w:r>
    </w:p>
    <w:p w14:paraId="73673DB4">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6484" w:firstLine="567"/>
        <w:rPr>
          <w:sz w:val="26"/>
          <w:szCs w:val="26"/>
        </w:rPr>
      </w:pPr>
      <w:r>
        <w:rPr>
          <w:b/>
          <w:sz w:val="26"/>
          <w:szCs w:val="26"/>
        </w:rPr>
        <w:t>“2.3. San nền</w:t>
      </w:r>
      <w:r>
        <w:rPr>
          <w:sz w:val="26"/>
          <w:szCs w:val="26"/>
        </w:rPr>
        <w:t xml:space="preserve">: </w:t>
      </w:r>
    </w:p>
    <w:p w14:paraId="5AB7193A">
      <w:pPr>
        <w:widowControl w:val="0"/>
        <w:pBdr>
          <w:top w:val="none" w:color="auto" w:sz="0" w:space="0"/>
          <w:left w:val="none" w:color="auto" w:sz="0" w:space="0"/>
          <w:bottom w:val="none" w:color="auto" w:sz="0" w:space="0"/>
          <w:right w:val="none" w:color="auto" w:sz="0" w:space="0"/>
          <w:between w:val="none" w:color="auto" w:sz="0" w:space="0"/>
        </w:pBdr>
        <w:spacing w:before="105" w:line="276" w:lineRule="auto"/>
        <w:ind w:right="5452" w:firstLine="720"/>
        <w:rPr>
          <w:sz w:val="26"/>
          <w:szCs w:val="26"/>
        </w:rPr>
      </w:pPr>
      <w:r>
        <w:rPr>
          <w:b/>
          <w:i/>
          <w:sz w:val="26"/>
          <w:szCs w:val="26"/>
        </w:rPr>
        <w:t>a</w:t>
      </w:r>
      <w:r>
        <w:rPr>
          <w:sz w:val="26"/>
          <w:szCs w:val="26"/>
        </w:rPr>
        <w:t xml:space="preserve">. </w:t>
      </w:r>
      <w:r>
        <w:rPr>
          <w:b/>
          <w:i/>
          <w:sz w:val="26"/>
          <w:szCs w:val="26"/>
        </w:rPr>
        <w:t>Nguyên tắc thiết kế</w:t>
      </w:r>
      <w:r>
        <w:rPr>
          <w:sz w:val="26"/>
          <w:szCs w:val="26"/>
        </w:rPr>
        <w:t xml:space="preserve">. </w:t>
      </w:r>
    </w:p>
    <w:p w14:paraId="3D4FA335">
      <w:pPr>
        <w:widowControl w:val="0"/>
        <w:pBdr>
          <w:top w:val="none" w:color="auto" w:sz="0" w:space="0"/>
          <w:left w:val="none" w:color="auto" w:sz="0" w:space="0"/>
          <w:bottom w:val="none" w:color="auto" w:sz="0" w:space="0"/>
          <w:right w:val="none" w:color="auto" w:sz="0" w:space="0"/>
          <w:between w:val="none" w:color="auto" w:sz="0" w:space="0"/>
        </w:pBdr>
        <w:spacing w:before="57" w:line="276" w:lineRule="auto"/>
        <w:ind w:right="-331" w:firstLine="720"/>
        <w:jc w:val="both"/>
        <w:rPr>
          <w:sz w:val="26"/>
          <w:szCs w:val="26"/>
        </w:rPr>
      </w:pPr>
      <w:r>
        <w:rPr>
          <w:sz w:val="26"/>
          <w:szCs w:val="26"/>
        </w:rPr>
        <w:t xml:space="preserve">- Cao trình thiết kế san nền lô đất được khống chế theo cao độ mép bé hè đường giao thông thiết kế và cao độ với các khu hiện trạng, các khu vực xung quanh, đảm bảo thoát thước trong khu vực. </w:t>
      </w:r>
    </w:p>
    <w:p w14:paraId="3334F9A1">
      <w:pPr>
        <w:widowControl w:val="0"/>
        <w:pBdr>
          <w:top w:val="none" w:color="auto" w:sz="0" w:space="0"/>
          <w:left w:val="none" w:color="auto" w:sz="0" w:space="0"/>
          <w:bottom w:val="none" w:color="auto" w:sz="0" w:space="0"/>
          <w:right w:val="none" w:color="auto" w:sz="0" w:space="0"/>
          <w:between w:val="none" w:color="auto" w:sz="0" w:space="0"/>
        </w:pBdr>
        <w:spacing w:before="67" w:line="276" w:lineRule="auto"/>
        <w:ind w:right="-326"/>
        <w:rPr>
          <w:sz w:val="26"/>
          <w:szCs w:val="26"/>
        </w:rPr>
      </w:pPr>
      <w:r>
        <w:rPr>
          <w:sz w:val="26"/>
          <w:szCs w:val="26"/>
        </w:rPr>
        <w:t>-</w:t>
      </w:r>
      <w:r>
        <w:rPr>
          <w:sz w:val="26"/>
          <w:szCs w:val="26"/>
        </w:rPr>
        <w:tab/>
      </w:r>
      <w:r>
        <w:rPr>
          <w:sz w:val="26"/>
          <w:szCs w:val="26"/>
        </w:rPr>
        <w:t xml:space="preserve"> Các vị </w:t>
      </w:r>
      <w:r>
        <w:rPr>
          <w:b/>
          <w:sz w:val="26"/>
          <w:szCs w:val="26"/>
        </w:rPr>
        <w:t xml:space="preserve">trí </w:t>
      </w:r>
      <w:r>
        <w:rPr>
          <w:sz w:val="26"/>
          <w:szCs w:val="26"/>
        </w:rPr>
        <w:t xml:space="preserve">giáp ranh chênh lệch cao độ lớn, cần thiết kế hệ thống mái taluy đào, đắp phù hợp đảm bảo ổn định. </w:t>
      </w:r>
    </w:p>
    <w:p w14:paraId="12595302">
      <w:pPr>
        <w:widowControl w:val="0"/>
        <w:pBdr>
          <w:top w:val="none" w:color="auto" w:sz="0" w:space="0"/>
          <w:left w:val="none" w:color="auto" w:sz="0" w:space="0"/>
          <w:bottom w:val="none" w:color="auto" w:sz="0" w:space="0"/>
          <w:right w:val="none" w:color="auto" w:sz="0" w:space="0"/>
          <w:between w:val="none" w:color="auto" w:sz="0" w:space="0"/>
        </w:pBdr>
        <w:spacing w:before="105" w:line="276" w:lineRule="auto"/>
        <w:ind w:right="4238" w:firstLine="720"/>
        <w:rPr>
          <w:i/>
          <w:sz w:val="26"/>
          <w:szCs w:val="26"/>
        </w:rPr>
      </w:pPr>
      <w:r>
        <w:rPr>
          <w:b/>
          <w:i/>
          <w:sz w:val="26"/>
          <w:szCs w:val="26"/>
        </w:rPr>
        <w:t>b. Quy mô và khối lượng san nền</w:t>
      </w:r>
      <w:r>
        <w:rPr>
          <w:i/>
          <w:sz w:val="26"/>
          <w:szCs w:val="26"/>
        </w:rPr>
        <w:t xml:space="preserve">: </w:t>
      </w:r>
    </w:p>
    <w:p w14:paraId="07D22C14">
      <w:pPr>
        <w:widowControl w:val="0"/>
        <w:pBdr>
          <w:top w:val="none" w:color="auto" w:sz="0" w:space="0"/>
          <w:left w:val="none" w:color="auto" w:sz="0" w:space="0"/>
          <w:bottom w:val="none" w:color="auto" w:sz="0" w:space="0"/>
          <w:right w:val="none" w:color="auto" w:sz="0" w:space="0"/>
          <w:between w:val="none" w:color="auto" w:sz="0" w:space="0"/>
        </w:pBdr>
        <w:spacing w:before="115" w:line="276" w:lineRule="auto"/>
        <w:ind w:right="4267" w:firstLine="720"/>
        <w:rPr>
          <w:sz w:val="26"/>
          <w:szCs w:val="26"/>
        </w:rPr>
      </w:pPr>
      <w:r>
        <w:rPr>
          <w:sz w:val="26"/>
          <w:szCs w:val="26"/>
        </w:rPr>
        <w:t xml:space="preserve">- Tổng diện tích san nền: 17,06 ha. </w:t>
      </w:r>
    </w:p>
    <w:p w14:paraId="24F19F29">
      <w:pPr>
        <w:widowControl w:val="0"/>
        <w:pBdr>
          <w:top w:val="none" w:color="auto" w:sz="0" w:space="0"/>
          <w:left w:val="none" w:color="auto" w:sz="0" w:space="0"/>
          <w:bottom w:val="none" w:color="auto" w:sz="0" w:space="0"/>
          <w:right w:val="none" w:color="auto" w:sz="0" w:space="0"/>
          <w:between w:val="none" w:color="auto" w:sz="0" w:space="0"/>
        </w:pBdr>
        <w:spacing w:before="91" w:line="276" w:lineRule="auto"/>
        <w:ind w:right="5577" w:firstLine="720"/>
        <w:rPr>
          <w:b/>
          <w:bCs/>
          <w:i/>
          <w:iCs/>
          <w:sz w:val="26"/>
          <w:szCs w:val="26"/>
        </w:rPr>
      </w:pPr>
      <w:r>
        <w:rPr>
          <w:b/>
          <w:bCs/>
          <w:i/>
          <w:iCs/>
          <w:sz w:val="26"/>
          <w:szCs w:val="26"/>
        </w:rPr>
        <w:t xml:space="preserve">c. Giải pháp thiết kế: </w:t>
      </w:r>
    </w:p>
    <w:p w14:paraId="64739B98">
      <w:pPr>
        <w:widowControl w:val="0"/>
        <w:pBdr>
          <w:top w:val="none" w:color="auto" w:sz="0" w:space="0"/>
          <w:left w:val="none" w:color="auto" w:sz="0" w:space="0"/>
          <w:bottom w:val="none" w:color="auto" w:sz="0" w:space="0"/>
          <w:right w:val="none" w:color="auto" w:sz="0" w:space="0"/>
          <w:between w:val="none" w:color="auto" w:sz="0" w:space="0"/>
        </w:pBdr>
        <w:spacing w:before="14" w:line="276" w:lineRule="auto"/>
        <w:ind w:right="-355" w:firstLine="720"/>
        <w:jc w:val="both"/>
        <w:rPr>
          <w:sz w:val="26"/>
          <w:szCs w:val="26"/>
        </w:rPr>
      </w:pPr>
      <w:r>
        <w:rPr>
          <w:sz w:val="26"/>
          <w:szCs w:val="26"/>
        </w:rPr>
        <w:t xml:space="preserve">Toàn bộ khu vực dự kiến lập dự án chủ yếu là đất đồi, vườn, một phần đất trồng cây lâu năm và đất ở một số hộ dân, do đó cần phải san lấp một khối lượng tương đối lớn. Cao độ san nền phù hợp với khu vực xung quanh, đảm bảo sau khi xây dựng công trình kết nối được hiện trạng xung quanh. </w:t>
      </w:r>
    </w:p>
    <w:p w14:paraId="4224FCCC">
      <w:pPr>
        <w:widowControl w:val="0"/>
        <w:pBdr>
          <w:top w:val="none" w:color="auto" w:sz="0" w:space="0"/>
          <w:left w:val="none" w:color="auto" w:sz="0" w:space="0"/>
          <w:bottom w:val="none" w:color="auto" w:sz="0" w:space="0"/>
          <w:right w:val="none" w:color="auto" w:sz="0" w:space="0"/>
          <w:between w:val="none" w:color="auto" w:sz="0" w:space="0"/>
        </w:pBdr>
        <w:spacing w:before="67" w:line="276" w:lineRule="auto"/>
        <w:ind w:right="-345" w:firstLine="720"/>
        <w:rPr>
          <w:sz w:val="26"/>
          <w:szCs w:val="26"/>
        </w:rPr>
      </w:pPr>
      <w:r>
        <w:rPr>
          <w:sz w:val="26"/>
          <w:szCs w:val="26"/>
        </w:rPr>
        <w:t xml:space="preserve">Xác định cao độ khống chế: Cao độ hiện trạng tại các vị trí đấu nối đường giao thông, cao độ khống chế lấy theo cao độ đường bê tông hiện trạng. </w:t>
      </w:r>
    </w:p>
    <w:p w14:paraId="2002EB23">
      <w:pPr>
        <w:widowControl w:val="0"/>
        <w:pBdr>
          <w:top w:val="none" w:color="auto" w:sz="0" w:space="0"/>
          <w:left w:val="none" w:color="auto" w:sz="0" w:space="0"/>
          <w:bottom w:val="none" w:color="auto" w:sz="0" w:space="0"/>
          <w:right w:val="none" w:color="auto" w:sz="0" w:space="0"/>
          <w:between w:val="none" w:color="auto" w:sz="0" w:space="0"/>
        </w:pBdr>
        <w:spacing w:before="91" w:line="276" w:lineRule="auto"/>
        <w:ind w:right="3115"/>
        <w:rPr>
          <w:sz w:val="26"/>
          <w:szCs w:val="26"/>
        </w:rPr>
      </w:pPr>
      <w:r>
        <w:rPr>
          <w:sz w:val="26"/>
          <w:szCs w:val="26"/>
        </w:rPr>
        <w:t xml:space="preserve">- </w:t>
      </w:r>
      <w:r>
        <w:rPr>
          <w:sz w:val="26"/>
          <w:szCs w:val="26"/>
        </w:rPr>
        <w:tab/>
      </w:r>
      <w:r>
        <w:rPr>
          <w:sz w:val="26"/>
          <w:szCs w:val="26"/>
        </w:rPr>
        <w:t xml:space="preserve">Căn cứ cao độ hạ tầng hiện hữu giáp ranh. </w:t>
      </w:r>
    </w:p>
    <w:p w14:paraId="3D7BE65D">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720" w:right="652"/>
        <w:rPr>
          <w:sz w:val="26"/>
          <w:szCs w:val="26"/>
        </w:rPr>
      </w:pPr>
      <w:r>
        <w:rPr>
          <w:sz w:val="26"/>
          <w:szCs w:val="26"/>
        </w:rPr>
        <w:t xml:space="preserve">- Độ dốc thiết kế mặt bằng san nền đảm bảo khả năng thoát nước. </w:t>
      </w:r>
    </w:p>
    <w:p w14:paraId="554158AC">
      <w:pPr>
        <w:widowControl w:val="0"/>
        <w:pBdr>
          <w:top w:val="none" w:color="auto" w:sz="0" w:space="0"/>
          <w:left w:val="none" w:color="auto" w:sz="0" w:space="0"/>
          <w:bottom w:val="none" w:color="auto" w:sz="0" w:space="0"/>
          <w:right w:val="none" w:color="auto" w:sz="0" w:space="0"/>
          <w:between w:val="none" w:color="auto" w:sz="0" w:space="0"/>
        </w:pBdr>
        <w:spacing w:before="91" w:line="276" w:lineRule="auto"/>
        <w:ind w:right="-369" w:firstLine="720"/>
        <w:jc w:val="both"/>
        <w:rPr>
          <w:sz w:val="26"/>
          <w:szCs w:val="26"/>
        </w:rPr>
      </w:pPr>
      <w:r>
        <w:rPr>
          <w:sz w:val="26"/>
          <w:szCs w:val="26"/>
        </w:rPr>
        <w:t xml:space="preserve">Phương án san nền: Dựa trên cơ sở phạm vi giới hạn quy hoạch tổng mặt bằng của dự án sử dụng phương pháp san nền bằng cắt dọc – cắt ngang, giải pháp san nền như sau: </w:t>
      </w:r>
    </w:p>
    <w:p w14:paraId="46F3A4FC">
      <w:pPr>
        <w:widowControl w:val="0"/>
        <w:pBdr>
          <w:top w:val="none" w:color="auto" w:sz="0" w:space="0"/>
          <w:left w:val="none" w:color="auto" w:sz="0" w:space="0"/>
          <w:bottom w:val="none" w:color="auto" w:sz="0" w:space="0"/>
          <w:right w:val="none" w:color="auto" w:sz="0" w:space="0"/>
          <w:between w:val="none" w:color="auto" w:sz="0" w:space="0"/>
        </w:pBdr>
        <w:spacing w:before="115" w:line="276" w:lineRule="auto"/>
        <w:ind w:right="5227" w:firstLine="720"/>
        <w:rPr>
          <w:sz w:val="26"/>
          <w:szCs w:val="26"/>
        </w:rPr>
      </w:pPr>
      <w:r>
        <w:rPr>
          <w:sz w:val="26"/>
          <w:szCs w:val="26"/>
        </w:rPr>
        <w:t xml:space="preserve">- Giải pháp đào mặt bằng: </w:t>
      </w:r>
    </w:p>
    <w:p w14:paraId="0C0D43F9">
      <w:pPr>
        <w:widowControl w:val="0"/>
        <w:pBdr>
          <w:top w:val="none" w:color="auto" w:sz="0" w:space="0"/>
          <w:left w:val="none" w:color="auto" w:sz="0" w:space="0"/>
          <w:bottom w:val="none" w:color="auto" w:sz="0" w:space="0"/>
          <w:right w:val="none" w:color="auto" w:sz="0" w:space="0"/>
          <w:between w:val="none" w:color="auto" w:sz="0" w:space="0"/>
        </w:pBdr>
        <w:spacing w:before="72" w:line="276" w:lineRule="auto"/>
        <w:ind w:right="-360" w:firstLine="720"/>
        <w:jc w:val="both"/>
        <w:rPr>
          <w:sz w:val="26"/>
          <w:szCs w:val="26"/>
        </w:rPr>
      </w:pPr>
      <w:r>
        <w:rPr>
          <w:sz w:val="26"/>
          <w:szCs w:val="26"/>
        </w:rPr>
        <w:t xml:space="preserve">+ Xác định ranh giới đào mặt bằng, thiết kế đào san mặt bằng theo từng lô đất, cao độ san nền bám theo cao độ vỉa hè hoàn thiện của các tuyến đường, độ dốc mặt bằng bám theo độ dốc của các tuyến đường giao thông xung quanh, </w:t>
      </w:r>
    </w:p>
    <w:p w14:paraId="73F55490">
      <w:pPr>
        <w:widowControl w:val="0"/>
        <w:pBdr>
          <w:top w:val="none" w:color="auto" w:sz="0" w:space="0"/>
          <w:left w:val="none" w:color="auto" w:sz="0" w:space="0"/>
          <w:bottom w:val="none" w:color="auto" w:sz="0" w:space="0"/>
          <w:right w:val="none" w:color="auto" w:sz="0" w:space="0"/>
          <w:between w:val="none" w:color="auto" w:sz="0" w:space="0"/>
        </w:pBdr>
        <w:spacing w:before="120" w:line="276" w:lineRule="auto"/>
        <w:ind w:right="2203" w:firstLine="720"/>
        <w:rPr>
          <w:sz w:val="26"/>
          <w:szCs w:val="26"/>
        </w:rPr>
      </w:pPr>
      <w:r>
        <w:rPr>
          <w:sz w:val="26"/>
          <w:szCs w:val="26"/>
        </w:rPr>
        <w:t xml:space="preserve">+ Thết kế mái taluy đào: độ dốc mái taluy đào 1/0,75 </w:t>
      </w:r>
    </w:p>
    <w:p w14:paraId="25B9FF7E">
      <w:pPr>
        <w:widowControl w:val="0"/>
        <w:pBdr>
          <w:top w:val="none" w:color="auto" w:sz="0" w:space="0"/>
          <w:left w:val="none" w:color="auto" w:sz="0" w:space="0"/>
          <w:bottom w:val="none" w:color="auto" w:sz="0" w:space="0"/>
          <w:right w:val="none" w:color="auto" w:sz="0" w:space="0"/>
          <w:between w:val="none" w:color="auto" w:sz="0" w:space="0"/>
        </w:pBdr>
        <w:spacing w:before="115" w:line="276" w:lineRule="auto"/>
        <w:ind w:right="5232" w:firstLine="720"/>
        <w:rPr>
          <w:sz w:val="26"/>
          <w:szCs w:val="26"/>
        </w:rPr>
      </w:pPr>
      <w:r>
        <w:rPr>
          <w:sz w:val="26"/>
          <w:szCs w:val="26"/>
        </w:rPr>
        <w:t xml:space="preserve">- Giải pháp đắp mặt bằng: </w:t>
      </w:r>
    </w:p>
    <w:p w14:paraId="6B8B3CE4">
      <w:pPr>
        <w:widowControl w:val="0"/>
        <w:pBdr>
          <w:top w:val="none" w:color="auto" w:sz="0" w:space="0"/>
          <w:left w:val="none" w:color="auto" w:sz="0" w:space="0"/>
          <w:bottom w:val="none" w:color="auto" w:sz="0" w:space="0"/>
          <w:right w:val="none" w:color="auto" w:sz="0" w:space="0"/>
          <w:between w:val="none" w:color="auto" w:sz="0" w:space="0"/>
        </w:pBdr>
        <w:spacing w:before="91" w:line="276" w:lineRule="auto"/>
        <w:ind w:right="3235" w:firstLine="720"/>
        <w:rPr>
          <w:sz w:val="26"/>
          <w:szCs w:val="26"/>
        </w:rPr>
      </w:pPr>
      <w:r>
        <w:rPr>
          <w:sz w:val="26"/>
          <w:szCs w:val="26"/>
        </w:rPr>
        <w:t xml:space="preserve">+ San nền bằng với hệ số đầm chặt K=0,85. </w:t>
      </w:r>
    </w:p>
    <w:p w14:paraId="57ABF8E7">
      <w:pPr>
        <w:widowControl w:val="0"/>
        <w:pBdr>
          <w:top w:val="none" w:color="auto" w:sz="0" w:space="0"/>
          <w:left w:val="none" w:color="auto" w:sz="0" w:space="0"/>
          <w:bottom w:val="none" w:color="auto" w:sz="0" w:space="0"/>
          <w:right w:val="none" w:color="auto" w:sz="0" w:space="0"/>
          <w:between w:val="none" w:color="auto" w:sz="0" w:space="0"/>
        </w:pBdr>
        <w:spacing w:before="115" w:line="276" w:lineRule="auto"/>
        <w:ind w:right="5313" w:firstLine="720"/>
        <w:rPr>
          <w:b/>
          <w:sz w:val="26"/>
          <w:szCs w:val="26"/>
        </w:rPr>
      </w:pPr>
      <w:r>
        <w:rPr>
          <w:b/>
          <w:sz w:val="26"/>
          <w:szCs w:val="26"/>
        </w:rPr>
        <w:t xml:space="preserve">2.4. Hệ thống cấp điện </w:t>
      </w:r>
    </w:p>
    <w:p w14:paraId="7B789C57">
      <w:pPr>
        <w:widowControl w:val="0"/>
        <w:pBdr>
          <w:top w:val="none" w:color="auto" w:sz="0" w:space="0"/>
          <w:left w:val="none" w:color="auto" w:sz="0" w:space="0"/>
          <w:bottom w:val="none" w:color="auto" w:sz="0" w:space="0"/>
          <w:right w:val="none" w:color="auto" w:sz="0" w:space="0"/>
          <w:between w:val="none" w:color="auto" w:sz="0" w:space="0"/>
        </w:pBdr>
        <w:spacing w:before="110" w:line="276" w:lineRule="auto"/>
        <w:ind w:right="6230" w:firstLine="720"/>
        <w:rPr>
          <w:b/>
          <w:i/>
          <w:sz w:val="26"/>
          <w:szCs w:val="26"/>
        </w:rPr>
      </w:pPr>
      <w:r>
        <w:rPr>
          <w:b/>
          <w:i/>
          <w:sz w:val="26"/>
          <w:szCs w:val="26"/>
        </w:rPr>
        <w:t xml:space="preserve">a. Nguồn điện: </w:t>
      </w:r>
    </w:p>
    <w:p w14:paraId="5D12C16C">
      <w:pPr>
        <w:widowControl w:val="0"/>
        <w:pBdr>
          <w:top w:val="none" w:color="auto" w:sz="0" w:space="0"/>
          <w:left w:val="none" w:color="auto" w:sz="0" w:space="0"/>
          <w:bottom w:val="none" w:color="auto" w:sz="0" w:space="0"/>
          <w:right w:val="none" w:color="auto" w:sz="0" w:space="0"/>
          <w:between w:val="none" w:color="auto" w:sz="0" w:space="0"/>
        </w:pBdr>
        <w:spacing w:before="72" w:line="276" w:lineRule="auto"/>
        <w:ind w:right="-388" w:firstLine="720"/>
        <w:jc w:val="both"/>
        <w:rPr>
          <w:sz w:val="26"/>
          <w:szCs w:val="26"/>
        </w:rPr>
      </w:pPr>
      <w:r>
        <w:rPr>
          <w:sz w:val="26"/>
          <w:szCs w:val="26"/>
        </w:rPr>
        <w:t xml:space="preserve">Nguồn điện cấp cho dự án từ mạng lưới điện của thị trấn, từ thanh cái 35kV của trạm 110kV Đồng Mỏ cung cấp điện cho toàn bộ thị trấn Đồng Mỏ và các xã lân cận. Đấu nối từ trạm 35kv ga Đồng Mỏ về dự án qua tuyến đường phía tây khu vực nghiên cứu. Điểm đấu nối trung thế chính xác sẽ được thỏa thuận với cơ quan điện lực tại các giai đoạn thiết kế tiếp theo. </w:t>
      </w:r>
    </w:p>
    <w:p w14:paraId="2EF2E3DB">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4334" w:firstLine="720"/>
        <w:rPr>
          <w:b/>
          <w:bCs/>
          <w:i/>
          <w:sz w:val="26"/>
          <w:szCs w:val="26"/>
        </w:rPr>
      </w:pPr>
      <w:r>
        <w:rPr>
          <w:b/>
          <w:bCs/>
          <w:i/>
          <w:sz w:val="26"/>
          <w:szCs w:val="26"/>
        </w:rPr>
        <w:t xml:space="preserve">b. Giải pháp và kết quả thiết kế: </w:t>
      </w:r>
    </w:p>
    <w:p w14:paraId="371C0C4B">
      <w:pPr>
        <w:widowControl w:val="0"/>
        <w:pBdr>
          <w:top w:val="none" w:color="auto" w:sz="0" w:space="0"/>
          <w:left w:val="none" w:color="auto" w:sz="0" w:space="0"/>
          <w:bottom w:val="none" w:color="auto" w:sz="0" w:space="0"/>
          <w:right w:val="none" w:color="auto" w:sz="0" w:space="0"/>
          <w:between w:val="none" w:color="auto" w:sz="0" w:space="0"/>
        </w:pBdr>
        <w:spacing w:before="105" w:line="276" w:lineRule="auto"/>
        <w:ind w:right="-350" w:firstLine="720"/>
        <w:jc w:val="both"/>
        <w:rPr>
          <w:sz w:val="26"/>
          <w:szCs w:val="26"/>
        </w:rPr>
      </w:pPr>
      <w:r>
        <w:rPr>
          <w:sz w:val="26"/>
          <w:szCs w:val="26"/>
        </w:rPr>
        <w:t xml:space="preserve">Lưới điện trung áp: Xây dựng mới đường dây trên không sử dụng dây AC70/11 kéo đến đầu khu đô thị. Sau đó hạ ngầm sử dụng cáp 3 lõi đồng bọc cách điện 35kV tiết diện 3x70 đi dọc vỉa hè, trong hào cáp. </w:t>
      </w:r>
    </w:p>
    <w:p w14:paraId="4A107AE1">
      <w:pPr>
        <w:widowControl w:val="0"/>
        <w:pBdr>
          <w:top w:val="none" w:color="auto" w:sz="0" w:space="0"/>
          <w:left w:val="none" w:color="auto" w:sz="0" w:space="0"/>
          <w:bottom w:val="none" w:color="auto" w:sz="0" w:space="0"/>
          <w:right w:val="none" w:color="auto" w:sz="0" w:space="0"/>
          <w:between w:val="none" w:color="auto" w:sz="0" w:space="0"/>
        </w:pBdr>
        <w:spacing w:before="81" w:line="276" w:lineRule="auto"/>
        <w:ind w:right="-345" w:firstLine="720"/>
        <w:rPr>
          <w:sz w:val="26"/>
          <w:szCs w:val="26"/>
        </w:rPr>
      </w:pPr>
      <w:r>
        <w:rPr>
          <w:sz w:val="26"/>
          <w:szCs w:val="26"/>
        </w:rPr>
        <w:t xml:space="preserve">Trạm biến áp lưới 35 KV: Trong khu vực sẽ đặt khoảng 5 trạm hạ </w:t>
      </w:r>
      <w:r>
        <w:rPr>
          <w:b/>
          <w:sz w:val="26"/>
          <w:szCs w:val="26"/>
        </w:rPr>
        <w:t xml:space="preserve">thế </w:t>
      </w:r>
      <w:r>
        <w:rPr>
          <w:sz w:val="26"/>
          <w:szCs w:val="26"/>
        </w:rPr>
        <w:t xml:space="preserve">35/0,4KV để cấp điện hạ thế cho các phân khu, với tổng công suất khoảng: </w:t>
      </w:r>
    </w:p>
    <w:p w14:paraId="39BB2BC7">
      <w:pPr>
        <w:widowControl w:val="0"/>
        <w:pBdr>
          <w:top w:val="none" w:color="auto" w:sz="0" w:space="0"/>
          <w:left w:val="none" w:color="auto" w:sz="0" w:space="0"/>
          <w:bottom w:val="none" w:color="auto" w:sz="0" w:space="0"/>
          <w:right w:val="none" w:color="auto" w:sz="0" w:space="0"/>
          <w:between w:val="none" w:color="auto" w:sz="0" w:space="0"/>
        </w:pBdr>
        <w:spacing w:before="48" w:line="276" w:lineRule="auto"/>
        <w:ind w:right="7344"/>
        <w:rPr>
          <w:sz w:val="26"/>
          <w:szCs w:val="26"/>
        </w:rPr>
      </w:pPr>
      <w:r>
        <w:rPr>
          <w:sz w:val="26"/>
          <w:szCs w:val="26"/>
        </w:rPr>
        <w:t>3.770 KVA.</w:t>
      </w:r>
    </w:p>
    <w:p w14:paraId="5C8B4031">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364" w:firstLine="720"/>
        <w:jc w:val="both"/>
        <w:rPr>
          <w:sz w:val="26"/>
          <w:szCs w:val="26"/>
        </w:rPr>
      </w:pPr>
      <w:r>
        <w:rPr>
          <w:sz w:val="26"/>
          <w:szCs w:val="26"/>
        </w:rPr>
        <w:t xml:space="preserve">Các tuyến hạ thế xuất phát từ các trạm biến áp cấp điện cho khu vực nhà ở thấp tầng sử dụng cáp ngầm Cu/XLPE/(3x120+1x70)mm2. Các tuyến cáp hạ thế cấp điện cho các khối nhà cao tầng, tòa nhà chung cư có tiết diện phù hợp với công suất của từng tòa nhà. Dỡ bỏ các tuyến dây hạ thế hiện có thay thế bằng đường dây cáp ngầm. </w:t>
      </w:r>
    </w:p>
    <w:p w14:paraId="652A7BE7">
      <w:pPr>
        <w:widowControl w:val="0"/>
        <w:pBdr>
          <w:top w:val="none" w:color="auto" w:sz="0" w:space="0"/>
          <w:left w:val="none" w:color="auto" w:sz="0" w:space="0"/>
          <w:bottom w:val="none" w:color="auto" w:sz="0" w:space="0"/>
          <w:right w:val="none" w:color="auto" w:sz="0" w:space="0"/>
          <w:between w:val="none" w:color="auto" w:sz="0" w:space="0"/>
        </w:pBdr>
        <w:spacing w:before="105" w:line="276" w:lineRule="auto"/>
        <w:ind w:right="5568" w:firstLine="720"/>
        <w:rPr>
          <w:sz w:val="26"/>
          <w:szCs w:val="26"/>
        </w:rPr>
      </w:pPr>
      <w:r>
        <w:rPr>
          <w:sz w:val="26"/>
          <w:szCs w:val="26"/>
        </w:rPr>
        <w:t xml:space="preserve">Lưới điện chiếu sáng: </w:t>
      </w:r>
    </w:p>
    <w:p w14:paraId="29E04089">
      <w:pPr>
        <w:widowControl w:val="0"/>
        <w:pBdr>
          <w:top w:val="none" w:color="auto" w:sz="0" w:space="0"/>
          <w:left w:val="none" w:color="auto" w:sz="0" w:space="0"/>
          <w:bottom w:val="none" w:color="auto" w:sz="0" w:space="0"/>
          <w:right w:val="none" w:color="auto" w:sz="0" w:space="0"/>
          <w:between w:val="none" w:color="auto" w:sz="0" w:space="0"/>
        </w:pBdr>
        <w:spacing w:before="91" w:line="276" w:lineRule="auto"/>
        <w:ind w:right="1881" w:firstLine="720"/>
        <w:rPr>
          <w:sz w:val="26"/>
          <w:szCs w:val="26"/>
        </w:rPr>
      </w:pPr>
      <w:r>
        <w:rPr>
          <w:sz w:val="26"/>
          <w:szCs w:val="26"/>
        </w:rPr>
        <w:t xml:space="preserve">- Lưới điện chiếu sáng được bố trí đi ngầm trên vỉa hè. </w:t>
      </w:r>
    </w:p>
    <w:p w14:paraId="1B1885AA">
      <w:pPr>
        <w:widowControl w:val="0"/>
        <w:pBdr>
          <w:top w:val="none" w:color="auto" w:sz="0" w:space="0"/>
          <w:left w:val="none" w:color="auto" w:sz="0" w:space="0"/>
          <w:bottom w:val="none" w:color="auto" w:sz="0" w:space="0"/>
          <w:right w:val="none" w:color="auto" w:sz="0" w:space="0"/>
          <w:between w:val="none" w:color="auto" w:sz="0" w:space="0"/>
        </w:pBdr>
        <w:spacing w:before="57" w:line="276" w:lineRule="auto"/>
        <w:ind w:right="-374" w:firstLine="720"/>
        <w:jc w:val="both"/>
        <w:rPr>
          <w:sz w:val="26"/>
          <w:szCs w:val="26"/>
        </w:rPr>
      </w:pPr>
      <w:r>
        <w:rPr>
          <w:sz w:val="26"/>
          <w:szCs w:val="26"/>
        </w:rPr>
        <w:t xml:space="preserve">- Cột đèn chiếu sáng dùng loại cột thép mạ nhúng kẽm, chiều cao 9-11m, bóng đèn LED, công suất từ 100W - 150W. Cáp điện chiếu sáng là loại cáp ngầm có tiết diện 4x10mm </w:t>
      </w:r>
    </w:p>
    <w:p w14:paraId="16CC7F96">
      <w:pPr>
        <w:widowControl w:val="0"/>
        <w:pBdr>
          <w:top w:val="none" w:color="auto" w:sz="0" w:space="0"/>
          <w:left w:val="none" w:color="auto" w:sz="0" w:space="0"/>
          <w:bottom w:val="none" w:color="auto" w:sz="0" w:space="0"/>
          <w:right w:val="none" w:color="auto" w:sz="0" w:space="0"/>
          <w:between w:val="none" w:color="auto" w:sz="0" w:space="0"/>
        </w:pBdr>
        <w:spacing w:before="91" w:line="276" w:lineRule="auto"/>
        <w:ind w:right="-379" w:firstLine="720"/>
        <w:jc w:val="both"/>
        <w:rPr>
          <w:sz w:val="26"/>
          <w:szCs w:val="26"/>
        </w:rPr>
      </w:pPr>
      <w:r>
        <w:rPr>
          <w:sz w:val="26"/>
          <w:szCs w:val="26"/>
        </w:rPr>
        <w:t xml:space="preserve">+ Đường dây trung thế 35KV: Xây dựng mới đường dây trên không sử dụng dây AC70/11 dài 662m kéo đến đầu khu đô thị. Sau đó hạ ngầm sử dụng cáp 3 lõi đồng bọc cách điện 35kV tiết diện 3x70 với tổng chiều dài 1.129m. </w:t>
      </w:r>
    </w:p>
    <w:p w14:paraId="3E475324">
      <w:pPr>
        <w:widowControl w:val="0"/>
        <w:pBdr>
          <w:top w:val="none" w:color="auto" w:sz="0" w:space="0"/>
          <w:left w:val="none" w:color="auto" w:sz="0" w:space="0"/>
          <w:bottom w:val="none" w:color="auto" w:sz="0" w:space="0"/>
          <w:right w:val="none" w:color="auto" w:sz="0" w:space="0"/>
          <w:between w:val="none" w:color="auto" w:sz="0" w:space="0"/>
        </w:pBdr>
        <w:spacing w:before="67" w:line="276" w:lineRule="auto"/>
        <w:ind w:right="-350" w:firstLine="720"/>
        <w:rPr>
          <w:sz w:val="26"/>
          <w:szCs w:val="26"/>
        </w:rPr>
      </w:pPr>
      <w:r>
        <w:rPr>
          <w:sz w:val="26"/>
          <w:szCs w:val="26"/>
        </w:rPr>
        <w:t xml:space="preserve">+ Trạm biến áp: xây mới 05 trạm biến áp, 1 trạm 400KVA-35/0,4KV, 1 trạm 2x560KVA-35/0,4KV, và 3 trạm 750KVA-35/0,4KV. </w:t>
      </w:r>
    </w:p>
    <w:p w14:paraId="514D6804">
      <w:pPr>
        <w:widowControl w:val="0"/>
        <w:pBdr>
          <w:top w:val="none" w:color="auto" w:sz="0" w:space="0"/>
          <w:left w:val="none" w:color="auto" w:sz="0" w:space="0"/>
          <w:bottom w:val="none" w:color="auto" w:sz="0" w:space="0"/>
          <w:right w:val="none" w:color="auto" w:sz="0" w:space="0"/>
          <w:between w:val="none" w:color="auto" w:sz="0" w:space="0"/>
        </w:pBdr>
        <w:spacing w:before="67" w:line="276" w:lineRule="auto"/>
        <w:ind w:right="-124" w:firstLine="720"/>
        <w:rPr>
          <w:sz w:val="26"/>
          <w:szCs w:val="26"/>
        </w:rPr>
      </w:pPr>
      <w:r>
        <w:rPr>
          <w:sz w:val="26"/>
          <w:szCs w:val="26"/>
        </w:rPr>
        <w:t xml:space="preserve">+ Cấp điện hạ thế 0,4KV: xây dựng tuyến đường dây 0,4kV dài 4.181m. + Cấp điện chiếu sáng: xây dựng đường điện chiếu sáng dài 3.891m. </w:t>
      </w:r>
    </w:p>
    <w:p w14:paraId="219C366D">
      <w:pPr>
        <w:widowControl w:val="0"/>
        <w:pBdr>
          <w:top w:val="none" w:color="auto" w:sz="0" w:space="0"/>
          <w:left w:val="none" w:color="auto" w:sz="0" w:space="0"/>
          <w:bottom w:val="none" w:color="auto" w:sz="0" w:space="0"/>
          <w:right w:val="none" w:color="auto" w:sz="0" w:space="0"/>
          <w:between w:val="none" w:color="auto" w:sz="0" w:space="0"/>
        </w:pBdr>
        <w:spacing w:before="124" w:line="276" w:lineRule="auto"/>
        <w:ind w:right="-388" w:firstLine="720"/>
        <w:rPr>
          <w:sz w:val="26"/>
          <w:szCs w:val="26"/>
        </w:rPr>
      </w:pPr>
      <w:r>
        <w:rPr>
          <w:sz w:val="26"/>
          <w:szCs w:val="26"/>
        </w:rPr>
        <w:t xml:space="preserve">Hệ thống phòng cháy, chữa cháy gồm bể trữ nước 110m3, đường ống và trụ chữa cháy đặt nổi D100mm. </w:t>
      </w:r>
    </w:p>
    <w:p w14:paraId="00E0A654">
      <w:pPr>
        <w:widowControl w:val="0"/>
        <w:pBdr>
          <w:top w:val="none" w:color="auto" w:sz="0" w:space="0"/>
          <w:left w:val="none" w:color="auto" w:sz="0" w:space="0"/>
          <w:bottom w:val="none" w:color="auto" w:sz="0" w:space="0"/>
          <w:right w:val="none" w:color="auto" w:sz="0" w:space="0"/>
          <w:between w:val="none" w:color="auto" w:sz="0" w:space="0"/>
        </w:pBdr>
        <w:spacing w:before="86" w:line="276" w:lineRule="auto"/>
        <w:ind w:right="5208" w:firstLine="720"/>
        <w:rPr>
          <w:b/>
          <w:sz w:val="26"/>
          <w:szCs w:val="26"/>
        </w:rPr>
      </w:pPr>
      <w:r>
        <w:rPr>
          <w:b/>
          <w:sz w:val="26"/>
          <w:szCs w:val="26"/>
        </w:rPr>
        <w:t xml:space="preserve">2.5. Hệ thống cấp nước </w:t>
      </w:r>
    </w:p>
    <w:p w14:paraId="455996DE">
      <w:pPr>
        <w:widowControl w:val="0"/>
        <w:pBdr>
          <w:top w:val="none" w:color="auto" w:sz="0" w:space="0"/>
          <w:left w:val="none" w:color="auto" w:sz="0" w:space="0"/>
          <w:bottom w:val="none" w:color="auto" w:sz="0" w:space="0"/>
          <w:right w:val="none" w:color="auto" w:sz="0" w:space="0"/>
          <w:between w:val="none" w:color="auto" w:sz="0" w:space="0"/>
        </w:pBdr>
        <w:spacing w:before="72" w:line="276" w:lineRule="auto"/>
        <w:ind w:right="-398" w:firstLine="720"/>
        <w:jc w:val="both"/>
        <w:rPr>
          <w:sz w:val="26"/>
          <w:szCs w:val="26"/>
        </w:rPr>
      </w:pPr>
      <w:r>
        <w:rPr>
          <w:sz w:val="26"/>
          <w:szCs w:val="26"/>
        </w:rPr>
        <w:t xml:space="preserve">- Nguồn nước cấp cho khu vực lấy từ hệ thống cấp nước sạch của thị trấn, hệ thống cấp nước sử dụng ống Gang và ống HDPE đường kính từ D40 - 200, chạy dọc đường Đại Huề. Đường ống cấp nước dịch vụ sử dụng ống HDPE D63mm, đường ống cấp nước phân phối sử dụng ống HDPE D110mm. Ông qua đường đặt lồng trong ống thép. Các tuyến ống dịch vụ, ống phân phối đều được lắp đặt dưới vỉa hè và có đồng hồ + van chặn. </w:t>
      </w:r>
    </w:p>
    <w:p w14:paraId="18FD9EE4">
      <w:pPr>
        <w:widowControl w:val="0"/>
        <w:pBdr>
          <w:top w:val="none" w:color="auto" w:sz="0" w:space="0"/>
          <w:left w:val="none" w:color="auto" w:sz="0" w:space="0"/>
          <w:bottom w:val="none" w:color="auto" w:sz="0" w:space="0"/>
          <w:right w:val="none" w:color="auto" w:sz="0" w:space="0"/>
          <w:between w:val="none" w:color="auto" w:sz="0" w:space="0"/>
        </w:pBdr>
        <w:spacing w:before="115" w:line="276" w:lineRule="auto"/>
        <w:ind w:right="-412" w:firstLine="720"/>
        <w:jc w:val="both"/>
        <w:rPr>
          <w:sz w:val="26"/>
          <w:szCs w:val="26"/>
        </w:rPr>
      </w:pPr>
      <w:r>
        <w:rPr>
          <w:sz w:val="26"/>
          <w:szCs w:val="26"/>
        </w:rPr>
        <w:t xml:space="preserve">- Cấp nước PCCC: thiết kế bể nước dự trữ cho công tác phòng cháy, chữa cháy quy mô 108m3. Lắp đặt hệ thống máy bơm, đường ống D110mm và trụ chữa cháy đặt nổi tại các vị trí thuận lợi cho xe chữa cháy tiếp cận. </w:t>
      </w:r>
    </w:p>
    <w:p w14:paraId="54C54068">
      <w:pPr>
        <w:widowControl w:val="0"/>
        <w:pBdr>
          <w:top w:val="none" w:color="auto" w:sz="0" w:space="0"/>
          <w:left w:val="none" w:color="auto" w:sz="0" w:space="0"/>
          <w:bottom w:val="none" w:color="auto" w:sz="0" w:space="0"/>
          <w:right w:val="none" w:color="auto" w:sz="0" w:space="0"/>
          <w:between w:val="none" w:color="auto" w:sz="0" w:space="0"/>
        </w:pBdr>
        <w:spacing w:before="110" w:line="276" w:lineRule="auto"/>
        <w:ind w:right="4996" w:firstLine="720"/>
        <w:rPr>
          <w:b/>
          <w:sz w:val="26"/>
          <w:szCs w:val="26"/>
        </w:rPr>
      </w:pPr>
      <w:r>
        <w:rPr>
          <w:b/>
          <w:sz w:val="26"/>
          <w:szCs w:val="26"/>
        </w:rPr>
        <w:t xml:space="preserve">2.6. Hệ thống thoát nước </w:t>
      </w:r>
    </w:p>
    <w:p w14:paraId="5BF0B530">
      <w:pPr>
        <w:widowControl w:val="0"/>
        <w:pBdr>
          <w:top w:val="none" w:color="auto" w:sz="0" w:space="0"/>
          <w:left w:val="none" w:color="auto" w:sz="0" w:space="0"/>
          <w:bottom w:val="none" w:color="auto" w:sz="0" w:space="0"/>
          <w:right w:val="none" w:color="auto" w:sz="0" w:space="0"/>
          <w:between w:val="none" w:color="auto" w:sz="0" w:space="0"/>
        </w:pBdr>
        <w:spacing w:before="100" w:line="276" w:lineRule="auto"/>
        <w:ind w:right="-412"/>
        <w:rPr>
          <w:sz w:val="26"/>
          <w:szCs w:val="26"/>
        </w:rPr>
      </w:pPr>
      <w:r>
        <w:rPr>
          <w:sz w:val="26"/>
          <w:szCs w:val="26"/>
        </w:rPr>
        <w:t xml:space="preserve">Thoát nước mưa: nước mưa được thu gom qua các hố ga thu nước dọc các tuyến đường vào hệ thống cống và hố ga; hệ thống cống thoát nước mưa đặt ngầm dưới đường giao thông, cống thoát nước mưa sử dụng các loại cống tròn D=600mm (dài 2467m);D=800mm (dài 257m); D=1.000mm (dài 318m) bằng bê tông cốt thép; nước thoát trực tiếp ra sông Thương, phía Tây Bắc của dự án.gom </w:t>
      </w:r>
    </w:p>
    <w:p w14:paraId="3C63E215">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374" w:firstLine="720"/>
        <w:jc w:val="both"/>
        <w:rPr>
          <w:sz w:val="26"/>
          <w:szCs w:val="26"/>
        </w:rPr>
      </w:pPr>
      <w:r>
        <w:rPr>
          <w:sz w:val="26"/>
          <w:szCs w:val="26"/>
        </w:rPr>
        <w:t xml:space="preserve">Thoát nước thải: hệ thống thoát nước thải thiết kế theo nguyên tắc tự chảy; nước thải sinh hoạt được xử lý cục bộ bằng bể tự hoại tại từng công trình thu về các ga thoát nước bằng đường ống PVC D=110mm, sau đó thu về trạm xử lý nước thải có công suất 650m3/ngày đêm bằng hệ thống ống cống BTCT D=300mm dài 6030m, đặt ngầm dưới vỉa hè các tuyến đường giao thông; trên tuyến bố trí 351 hố ga thu nước. Nước thải sau khi được xử lý tại trạm xử lý nước thải đạt tiêu chuẩn mới thoát ra cống hiện trạng khu vực tại phía Tây Bắc của dự án. </w:t>
      </w:r>
    </w:p>
    <w:p w14:paraId="5EE50BD4">
      <w:pPr>
        <w:widowControl w:val="0"/>
        <w:pBdr>
          <w:top w:val="none" w:color="auto" w:sz="0" w:space="0"/>
          <w:left w:val="none" w:color="auto" w:sz="0" w:space="0"/>
          <w:bottom w:val="none" w:color="auto" w:sz="0" w:space="0"/>
          <w:right w:val="none" w:color="auto" w:sz="0" w:space="0"/>
          <w:between w:val="none" w:color="auto" w:sz="0" w:space="0"/>
        </w:pBdr>
        <w:spacing w:before="163" w:line="276" w:lineRule="auto"/>
        <w:ind w:right="4934" w:firstLine="720"/>
        <w:rPr>
          <w:b/>
          <w:sz w:val="26"/>
          <w:szCs w:val="26"/>
        </w:rPr>
      </w:pPr>
      <w:r>
        <w:rPr>
          <w:b/>
          <w:sz w:val="26"/>
          <w:szCs w:val="26"/>
        </w:rPr>
        <w:t xml:space="preserve">2.7. Trạm xử lý nước thải </w:t>
      </w:r>
    </w:p>
    <w:p w14:paraId="1403B9CE">
      <w:pPr>
        <w:widowControl w:val="0"/>
        <w:pBdr>
          <w:top w:val="none" w:color="auto" w:sz="0" w:space="0"/>
          <w:left w:val="none" w:color="auto" w:sz="0" w:space="0"/>
          <w:bottom w:val="none" w:color="auto" w:sz="0" w:space="0"/>
          <w:right w:val="none" w:color="auto" w:sz="0" w:space="0"/>
          <w:between w:val="none" w:color="auto" w:sz="0" w:space="0"/>
        </w:pBdr>
        <w:spacing w:before="86" w:line="276" w:lineRule="auto"/>
        <w:ind w:right="5995" w:firstLine="720"/>
        <w:rPr>
          <w:sz w:val="26"/>
          <w:szCs w:val="26"/>
        </w:rPr>
      </w:pPr>
      <w:r>
        <w:rPr>
          <w:sz w:val="26"/>
          <w:szCs w:val="26"/>
        </w:rPr>
        <w:t xml:space="preserve">a) Nhà điều hành: </w:t>
      </w:r>
    </w:p>
    <w:p w14:paraId="6DFBDBFD">
      <w:pPr>
        <w:widowControl w:val="0"/>
        <w:pBdr>
          <w:top w:val="none" w:color="auto" w:sz="0" w:space="0"/>
          <w:left w:val="none" w:color="auto" w:sz="0" w:space="0"/>
          <w:bottom w:val="none" w:color="auto" w:sz="0" w:space="0"/>
          <w:right w:val="none" w:color="auto" w:sz="0" w:space="0"/>
          <w:between w:val="none" w:color="auto" w:sz="0" w:space="0"/>
        </w:pBdr>
        <w:spacing w:before="96" w:line="276" w:lineRule="auto"/>
        <w:ind w:right="-374" w:firstLine="720"/>
        <w:rPr>
          <w:sz w:val="26"/>
          <w:szCs w:val="26"/>
        </w:rPr>
      </w:pPr>
      <w:r>
        <w:rPr>
          <w:sz w:val="26"/>
          <w:szCs w:val="26"/>
        </w:rPr>
        <w:t xml:space="preserve">Thiết kế kiến trúc: công trình cao 01 tầng, mặt bằng hình chữ nhật, kích thước (5,22x8,22)m; chiều cao toàn nhà 3,85m. </w:t>
      </w:r>
    </w:p>
    <w:p w14:paraId="7233760A">
      <w:pPr>
        <w:widowControl w:val="0"/>
        <w:pBdr>
          <w:top w:val="none" w:color="auto" w:sz="0" w:space="0"/>
          <w:left w:val="none" w:color="auto" w:sz="0" w:space="0"/>
          <w:bottom w:val="none" w:color="auto" w:sz="0" w:space="0"/>
          <w:right w:val="none" w:color="auto" w:sz="0" w:space="0"/>
          <w:between w:val="none" w:color="auto" w:sz="0" w:space="0"/>
        </w:pBdr>
        <w:spacing w:before="57" w:line="276" w:lineRule="auto"/>
        <w:ind w:right="-374" w:firstLine="720"/>
        <w:jc w:val="both"/>
        <w:rPr>
          <w:sz w:val="26"/>
          <w:szCs w:val="26"/>
        </w:rPr>
      </w:pPr>
      <w:r>
        <w:rPr>
          <w:sz w:val="26"/>
          <w:szCs w:val="26"/>
        </w:rPr>
        <w:t xml:space="preserve">- Công tác hoàn thiện: nền nhà bằng BTXM-M200 đá 1x2cm dày 10cm. Tường trong và ngoài nhà trát bằng vữa xi măng cát mác 75 dày 15mm, toàn bộ dầm, trần trong và ngoài nhà lăn sơn 02 lớp màu trắng. Cửa đi, cửa sổ bằng thép hộp sơn tĩnh điện. </w:t>
      </w:r>
    </w:p>
    <w:p w14:paraId="450AD7F1">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388" w:firstLine="720"/>
        <w:jc w:val="both"/>
        <w:rPr>
          <w:sz w:val="26"/>
          <w:szCs w:val="26"/>
        </w:rPr>
      </w:pPr>
      <w:r>
        <w:rPr>
          <w:sz w:val="26"/>
          <w:szCs w:val="26"/>
        </w:rPr>
        <w:t xml:space="preserve">Thiết kế kết cấu: sử dụng móng BTXM-M200 đá 1x2cm, vữa xi măng mác 75. Tường xây gạch không nung kích thước (220x105x65)mm, sàn mái bằng BTCT đá (1x2)cm mác 200, dày 100mm. </w:t>
      </w:r>
    </w:p>
    <w:p w14:paraId="4C0B1C81">
      <w:pPr>
        <w:widowControl w:val="0"/>
        <w:pBdr>
          <w:top w:val="none" w:color="auto" w:sz="0" w:space="0"/>
          <w:left w:val="none" w:color="auto" w:sz="0" w:space="0"/>
          <w:bottom w:val="none" w:color="auto" w:sz="0" w:space="0"/>
          <w:right w:val="none" w:color="auto" w:sz="0" w:space="0"/>
          <w:between w:val="none" w:color="auto" w:sz="0" w:space="0"/>
        </w:pBdr>
        <w:spacing w:before="158" w:line="276" w:lineRule="auto"/>
        <w:ind w:right="6331" w:firstLine="720"/>
        <w:rPr>
          <w:sz w:val="26"/>
          <w:szCs w:val="26"/>
        </w:rPr>
      </w:pPr>
      <w:r>
        <w:rPr>
          <w:sz w:val="26"/>
          <w:szCs w:val="26"/>
        </w:rPr>
        <w:t xml:space="preserve">b) Nhà bảo vệ: </w:t>
      </w:r>
    </w:p>
    <w:p w14:paraId="6151668A">
      <w:pPr>
        <w:widowControl w:val="0"/>
        <w:pBdr>
          <w:top w:val="none" w:color="auto" w:sz="0" w:space="0"/>
          <w:left w:val="none" w:color="auto" w:sz="0" w:space="0"/>
          <w:bottom w:val="none" w:color="auto" w:sz="0" w:space="0"/>
          <w:right w:val="none" w:color="auto" w:sz="0" w:space="0"/>
          <w:between w:val="none" w:color="auto" w:sz="0" w:space="0"/>
        </w:pBdr>
        <w:spacing w:before="91" w:line="276" w:lineRule="auto"/>
        <w:ind w:right="-379" w:firstLine="720"/>
        <w:rPr>
          <w:sz w:val="26"/>
          <w:szCs w:val="26"/>
        </w:rPr>
      </w:pPr>
      <w:r>
        <w:rPr>
          <w:sz w:val="26"/>
          <w:szCs w:val="26"/>
        </w:rPr>
        <w:t xml:space="preserve">Thiết kế kiến trúc: công trình cao 01 tầng, mặt bằng hình vuông, kích thước (3,72x3,72)m; chiều cao toàn nhà 3,85m; </w:t>
      </w:r>
    </w:p>
    <w:p w14:paraId="0AD7A8A2">
      <w:pPr>
        <w:widowControl w:val="0"/>
        <w:pBdr>
          <w:top w:val="none" w:color="auto" w:sz="0" w:space="0"/>
          <w:left w:val="none" w:color="auto" w:sz="0" w:space="0"/>
          <w:bottom w:val="none" w:color="auto" w:sz="0" w:space="0"/>
          <w:right w:val="none" w:color="auto" w:sz="0" w:space="0"/>
          <w:between w:val="none" w:color="auto" w:sz="0" w:space="0"/>
        </w:pBdr>
        <w:spacing w:before="96" w:line="276" w:lineRule="auto"/>
        <w:ind w:right="-398" w:firstLine="720"/>
        <w:jc w:val="both"/>
        <w:rPr>
          <w:sz w:val="26"/>
          <w:szCs w:val="26"/>
        </w:rPr>
      </w:pPr>
      <w:r>
        <w:rPr>
          <w:sz w:val="26"/>
          <w:szCs w:val="26"/>
        </w:rPr>
        <w:t xml:space="preserve">c) Bể xử lý nước thải: kích thước (37,75x8,7)m mỗi bể bằng ccomposite/FRP cốt sợi thủy tinh. Bên trong bể gồm dây chuyền xử lý nước thải gồm: bể điều hòa, bể hiếu khí, bể lắng sinh học, hệ thống xử lý hóa chất, hệ thống xử lý mùi và các đường ống dẫn nước, hóa chất bằng uPVC. </w:t>
      </w:r>
    </w:p>
    <w:p w14:paraId="0E6D02EE">
      <w:pPr>
        <w:widowControl w:val="0"/>
        <w:pBdr>
          <w:top w:val="none" w:color="auto" w:sz="0" w:space="0"/>
          <w:left w:val="none" w:color="auto" w:sz="0" w:space="0"/>
          <w:bottom w:val="none" w:color="auto" w:sz="0" w:space="0"/>
          <w:right w:val="none" w:color="auto" w:sz="0" w:space="0"/>
          <w:between w:val="none" w:color="auto" w:sz="0" w:space="0"/>
        </w:pBdr>
        <w:spacing w:before="100" w:line="276" w:lineRule="auto"/>
        <w:ind w:right="-398" w:firstLine="720"/>
        <w:jc w:val="both"/>
        <w:rPr>
          <w:sz w:val="26"/>
          <w:szCs w:val="26"/>
        </w:rPr>
      </w:pPr>
      <w:r>
        <w:rPr>
          <w:sz w:val="26"/>
          <w:szCs w:val="26"/>
        </w:rPr>
        <w:t xml:space="preserve">Cổng: xây trụ cổng kích thước (45x45x280)cm bằng gạch không nung VXM mác 75, trát vữa xi măng mác 75 dày 1,5cm sơn 01 nước lót + 02 nước phủ. Cánh cổng hoa sắt sơn hoàn thiện 3 lớp. </w:t>
      </w:r>
    </w:p>
    <w:p w14:paraId="07162128">
      <w:pPr>
        <w:widowControl w:val="0"/>
        <w:pBdr>
          <w:top w:val="none" w:color="auto" w:sz="0" w:space="0"/>
          <w:left w:val="none" w:color="auto" w:sz="0" w:space="0"/>
          <w:bottom w:val="none" w:color="auto" w:sz="0" w:space="0"/>
          <w:right w:val="none" w:color="auto" w:sz="0" w:space="0"/>
          <w:between w:val="none" w:color="auto" w:sz="0" w:space="0"/>
        </w:pBdr>
        <w:spacing w:before="129" w:line="276" w:lineRule="auto"/>
        <w:ind w:right="-398" w:firstLine="720"/>
        <w:jc w:val="both"/>
        <w:rPr>
          <w:sz w:val="26"/>
          <w:szCs w:val="26"/>
        </w:rPr>
      </w:pPr>
      <w:r>
        <w:rPr>
          <w:sz w:val="26"/>
          <w:szCs w:val="26"/>
        </w:rPr>
        <w:t xml:space="preserve">Tường rào: xây xung quanh khu vực trạm xử lý nước thải có thân, móng tường xây bằng gạch không nung VXM mác 50, trát vữa xi măng mác 75 dày 1,5cm tường sơn sơn 01 nước lót + 02 nước phủ. </w:t>
      </w:r>
    </w:p>
    <w:p w14:paraId="7702B3F3">
      <w:pPr>
        <w:widowControl w:val="0"/>
        <w:pBdr>
          <w:top w:val="none" w:color="auto" w:sz="0" w:space="0"/>
          <w:left w:val="none" w:color="auto" w:sz="0" w:space="0"/>
          <w:bottom w:val="none" w:color="auto" w:sz="0" w:space="0"/>
          <w:right w:val="none" w:color="auto" w:sz="0" w:space="0"/>
          <w:between w:val="none" w:color="auto" w:sz="0" w:space="0"/>
        </w:pBdr>
        <w:spacing w:before="96" w:line="276" w:lineRule="auto"/>
        <w:ind w:right="-398" w:firstLine="720"/>
        <w:rPr>
          <w:sz w:val="26"/>
          <w:szCs w:val="26"/>
        </w:rPr>
      </w:pPr>
      <w:r>
        <w:rPr>
          <w:sz w:val="26"/>
          <w:szCs w:val="26"/>
        </w:rPr>
        <w:t xml:space="preserve">Sân bê tông: bằng BTXM mác 200, đá (1x2)cm, dày 180mm; lớp nilon chống thấm; cấp phối đá dăm dày 200mm. </w:t>
      </w:r>
    </w:p>
    <w:p w14:paraId="4CC9BC3A">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5476" w:firstLine="720"/>
        <w:rPr>
          <w:b/>
          <w:sz w:val="26"/>
          <w:szCs w:val="26"/>
        </w:rPr>
      </w:pPr>
      <w:r>
        <w:rPr>
          <w:b/>
          <w:sz w:val="26"/>
          <w:szCs w:val="26"/>
        </w:rPr>
        <w:t xml:space="preserve">2.8 Phần nhà xây thô </w:t>
      </w:r>
    </w:p>
    <w:p w14:paraId="7246E405">
      <w:pPr>
        <w:widowControl w:val="0"/>
        <w:pBdr>
          <w:top w:val="none" w:color="auto" w:sz="0" w:space="0"/>
          <w:left w:val="none" w:color="auto" w:sz="0" w:space="0"/>
          <w:bottom w:val="none" w:color="auto" w:sz="0" w:space="0"/>
          <w:right w:val="none" w:color="auto" w:sz="0" w:space="0"/>
          <w:between w:val="none" w:color="auto" w:sz="0" w:space="0"/>
        </w:pBdr>
        <w:spacing w:before="139" w:line="276" w:lineRule="auto"/>
        <w:ind w:right="-345" w:firstLine="720"/>
        <w:jc w:val="both"/>
        <w:rPr>
          <w:sz w:val="26"/>
          <w:szCs w:val="26"/>
        </w:rPr>
      </w:pPr>
      <w:r>
        <w:rPr>
          <w:sz w:val="26"/>
          <w:szCs w:val="26"/>
        </w:rPr>
        <w:t xml:space="preserve">- Thực hiện xây thô và hoàn thiện mặt tiền đối với 120 lô xây dựng thô tiếp giáp Mặt cắt 1-1, quy mô đường rộng 31m và Mặt cắt 2-2, quy mô đường rộng 16,5m theo quy hoạch được phê duyệt. </w:t>
      </w:r>
    </w:p>
    <w:p w14:paraId="24A683B0">
      <w:pPr>
        <w:widowControl w:val="0"/>
        <w:pBdr>
          <w:top w:val="none" w:color="auto" w:sz="0" w:space="0"/>
          <w:left w:val="none" w:color="auto" w:sz="0" w:space="0"/>
          <w:bottom w:val="none" w:color="auto" w:sz="0" w:space="0"/>
          <w:right w:val="none" w:color="auto" w:sz="0" w:space="0"/>
          <w:between w:val="none" w:color="auto" w:sz="0" w:space="0"/>
        </w:pBdr>
        <w:spacing w:before="153" w:line="276" w:lineRule="auto"/>
        <w:ind w:right="-364" w:firstLine="720"/>
        <w:jc w:val="both"/>
        <w:rPr>
          <w:sz w:val="26"/>
          <w:szCs w:val="26"/>
        </w:rPr>
      </w:pPr>
      <w:r>
        <w:rPr>
          <w:sz w:val="26"/>
          <w:szCs w:val="26"/>
        </w:rPr>
        <w:t xml:space="preserve">- Với dãy nhà liền kề tiếp giáp Mặt cắt 1-1, quy mô đường rộng 31m có hình thức kiến trúc tân cổ điển. Đây là hình thức kiến trúc kết hợp hài hòa giữa chất cổ điển và hiện đại, vừa tạo nên sự sang trọng và là điểm nhấn cho khu vực này, với toàn bộ hệ thống cửa vách kính lớn tại tầng 1, tạo lên không gian mở cho trục đường chính. </w:t>
      </w:r>
    </w:p>
    <w:p w14:paraId="2316B1C2">
      <w:pPr>
        <w:widowControl w:val="0"/>
        <w:pBdr>
          <w:top w:val="none" w:color="auto" w:sz="0" w:space="0"/>
          <w:left w:val="none" w:color="auto" w:sz="0" w:space="0"/>
          <w:bottom w:val="none" w:color="auto" w:sz="0" w:space="0"/>
          <w:right w:val="none" w:color="auto" w:sz="0" w:space="0"/>
          <w:between w:val="none" w:color="auto" w:sz="0" w:space="0"/>
        </w:pBdr>
        <w:spacing w:before="153" w:line="276" w:lineRule="auto"/>
        <w:ind w:right="-364" w:firstLine="720"/>
        <w:jc w:val="both"/>
        <w:rPr>
          <w:sz w:val="26"/>
          <w:szCs w:val="26"/>
        </w:rPr>
      </w:pPr>
      <w:r>
        <w:rPr>
          <w:sz w:val="26"/>
          <w:szCs w:val="26"/>
        </w:rPr>
        <w:t xml:space="preserve">- Với dãy nhà liền kề tiếp giáp Mặt cắt 2-2, quy mô đường rộng 16,5m có hình thức kiến trúc tân cổ điển hình thức biến tấu so với dãy nhà liền kề tiếp giáp Mặt cắt 1-1, quy mô đường rộng 31m. Tạo sự đa dạng cho dự án. </w:t>
      </w:r>
    </w:p>
    <w:p w14:paraId="38AE2982">
      <w:pPr>
        <w:widowControl w:val="0"/>
        <w:pBdr>
          <w:top w:val="none" w:color="auto" w:sz="0" w:space="0"/>
          <w:left w:val="none" w:color="auto" w:sz="0" w:space="0"/>
          <w:bottom w:val="none" w:color="auto" w:sz="0" w:space="0"/>
          <w:right w:val="none" w:color="auto" w:sz="0" w:space="0"/>
          <w:between w:val="none" w:color="auto" w:sz="0" w:space="0"/>
        </w:pBdr>
        <w:spacing w:before="148" w:line="276" w:lineRule="auto"/>
        <w:ind w:right="5832" w:firstLine="720"/>
        <w:rPr>
          <w:sz w:val="26"/>
          <w:szCs w:val="26"/>
        </w:rPr>
      </w:pPr>
      <w:r>
        <w:rPr>
          <w:sz w:val="26"/>
          <w:szCs w:val="26"/>
        </w:rPr>
        <w:t xml:space="preserve">Giải pháp kiến trúc </w:t>
      </w:r>
    </w:p>
    <w:p w14:paraId="0C7B2564">
      <w:pPr>
        <w:widowControl w:val="0"/>
        <w:pBdr>
          <w:top w:val="none" w:color="auto" w:sz="0" w:space="0"/>
          <w:left w:val="none" w:color="auto" w:sz="0" w:space="0"/>
          <w:bottom w:val="none" w:color="auto" w:sz="0" w:space="0"/>
          <w:right w:val="none" w:color="auto" w:sz="0" w:space="0"/>
          <w:between w:val="none" w:color="auto" w:sz="0" w:space="0"/>
        </w:pBdr>
        <w:spacing w:before="129" w:line="276" w:lineRule="auto"/>
        <w:ind w:right="-374" w:firstLine="720"/>
        <w:jc w:val="both"/>
        <w:rPr>
          <w:sz w:val="26"/>
          <w:szCs w:val="26"/>
        </w:rPr>
      </w:pPr>
      <w:r>
        <w:rPr>
          <w:sz w:val="26"/>
          <w:szCs w:val="26"/>
        </w:rPr>
        <w:t xml:space="preserve">+ Tường và phào tầng 1 ốp đá tự nhiên, từ tầng 2 đến tầng tum trát vữa XM mác 75 dày 15, sau đó sơn 3 nước màu bằng sơn loại dùng cho ngoại thất (1 nước sơn lót, 2 nước sơn hoàn thiện màu trắng) </w:t>
      </w:r>
    </w:p>
    <w:p w14:paraId="6B56138A">
      <w:pPr>
        <w:widowControl w:val="0"/>
        <w:pBdr>
          <w:top w:val="none" w:color="auto" w:sz="0" w:space="0"/>
          <w:left w:val="none" w:color="auto" w:sz="0" w:space="0"/>
          <w:bottom w:val="none" w:color="auto" w:sz="0" w:space="0"/>
          <w:right w:val="none" w:color="auto" w:sz="0" w:space="0"/>
          <w:between w:val="none" w:color="auto" w:sz="0" w:space="0"/>
        </w:pBdr>
        <w:spacing w:before="134" w:line="276" w:lineRule="auto"/>
        <w:ind w:right="-379" w:firstLine="720"/>
        <w:rPr>
          <w:sz w:val="26"/>
          <w:szCs w:val="26"/>
        </w:rPr>
      </w:pPr>
      <w:r>
        <w:rPr>
          <w:sz w:val="26"/>
          <w:szCs w:val="26"/>
        </w:rPr>
        <w:t xml:space="preserve">+ Lan can thép cho ban công dùng thép hộp, thép đặc sơn hoàn thiện bằng sơn 2 thành phần; </w:t>
      </w:r>
    </w:p>
    <w:p w14:paraId="60388766">
      <w:pPr>
        <w:widowControl w:val="0"/>
        <w:pBdr>
          <w:top w:val="none" w:color="auto" w:sz="0" w:space="0"/>
          <w:left w:val="none" w:color="auto" w:sz="0" w:space="0"/>
          <w:bottom w:val="none" w:color="auto" w:sz="0" w:space="0"/>
          <w:right w:val="none" w:color="auto" w:sz="0" w:space="0"/>
          <w:between w:val="none" w:color="auto" w:sz="0" w:space="0"/>
        </w:pBdr>
        <w:spacing w:before="158" w:line="276" w:lineRule="auto"/>
        <w:ind w:right="-374" w:firstLine="720"/>
        <w:rPr>
          <w:sz w:val="26"/>
          <w:szCs w:val="26"/>
        </w:rPr>
      </w:pPr>
      <w:r>
        <w:rPr>
          <w:sz w:val="26"/>
          <w:szCs w:val="26"/>
        </w:rPr>
        <w:t xml:space="preserve">+ Sân mái tầng tum phần sân ngoài trời hoàn thiện láng vữa xi măng mác 75 đánh dốc về ga thu nước </w:t>
      </w:r>
    </w:p>
    <w:p w14:paraId="73AF2E0A">
      <w:pPr>
        <w:widowControl w:val="0"/>
        <w:pBdr>
          <w:top w:val="none" w:color="auto" w:sz="0" w:space="0"/>
          <w:left w:val="none" w:color="auto" w:sz="0" w:space="0"/>
          <w:bottom w:val="none" w:color="auto" w:sz="0" w:space="0"/>
          <w:right w:val="none" w:color="auto" w:sz="0" w:space="0"/>
          <w:between w:val="none" w:color="auto" w:sz="0" w:space="0"/>
        </w:pBdr>
        <w:spacing w:before="134" w:line="276" w:lineRule="auto"/>
        <w:ind w:right="-374" w:firstLine="720"/>
        <w:rPr>
          <w:sz w:val="26"/>
          <w:szCs w:val="26"/>
        </w:rPr>
      </w:pPr>
      <w:r>
        <w:rPr>
          <w:sz w:val="26"/>
          <w:szCs w:val="26"/>
        </w:rPr>
        <w:t xml:space="preserve">+ Hoàn thiện mái tầng tum hoàn thiện láng vữa xi măng mác 75 đánh dốc vè ga </w:t>
      </w:r>
    </w:p>
    <w:p w14:paraId="22863B9B">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7032"/>
        <w:rPr>
          <w:sz w:val="26"/>
          <w:szCs w:val="26"/>
        </w:rPr>
      </w:pPr>
      <w:r>
        <w:rPr>
          <w:sz w:val="26"/>
          <w:szCs w:val="26"/>
        </w:rPr>
        <w:t>thu nước.</w:t>
      </w:r>
    </w:p>
    <w:p w14:paraId="12A97A76">
      <w:pPr>
        <w:widowControl w:val="0"/>
        <w:pBdr>
          <w:top w:val="none" w:color="auto" w:sz="0" w:space="0"/>
          <w:left w:val="none" w:color="auto" w:sz="0" w:space="0"/>
          <w:bottom w:val="none" w:color="auto" w:sz="0" w:space="0"/>
          <w:right w:val="none" w:color="auto" w:sz="0" w:space="0"/>
          <w:between w:val="none" w:color="auto" w:sz="0" w:space="0"/>
        </w:pBdr>
        <w:spacing w:before="220" w:line="276" w:lineRule="auto"/>
        <w:ind w:right="4300" w:firstLine="720"/>
        <w:rPr>
          <w:sz w:val="26"/>
          <w:szCs w:val="26"/>
        </w:rPr>
      </w:pPr>
      <w:r>
        <w:rPr>
          <w:sz w:val="26"/>
          <w:szCs w:val="26"/>
        </w:rPr>
        <w:t xml:space="preserve">+ Mái dốc dán ngói màu ghi sẫm </w:t>
      </w:r>
    </w:p>
    <w:p w14:paraId="0ACBA97B">
      <w:pPr>
        <w:widowControl w:val="0"/>
        <w:pBdr>
          <w:top w:val="none" w:color="auto" w:sz="0" w:space="0"/>
          <w:left w:val="none" w:color="auto" w:sz="0" w:space="0"/>
          <w:bottom w:val="none" w:color="auto" w:sz="0" w:space="0"/>
          <w:right w:val="none" w:color="auto" w:sz="0" w:space="0"/>
          <w:between w:val="none" w:color="auto" w:sz="0" w:space="0"/>
        </w:pBdr>
        <w:spacing w:before="168" w:line="276" w:lineRule="auto"/>
        <w:ind w:right="-383" w:firstLine="720"/>
        <w:jc w:val="both"/>
        <w:rPr>
          <w:sz w:val="26"/>
          <w:szCs w:val="26"/>
        </w:rPr>
      </w:pPr>
      <w:r>
        <w:rPr>
          <w:sz w:val="26"/>
          <w:szCs w:val="26"/>
        </w:rPr>
        <w:t xml:space="preserve">Giải pháp kết cấu:Sử dụng móng băng, móng đơn BTCT, tường móng xây gạch không nung vữa xi măng mác 75. Tường xây gạch không nung kích thước (220x105x65)mm, khung nhà hệ khung BTCT, sàn mái bằng BTCT đá (1x2)cm mác 250 </w:t>
      </w:r>
    </w:p>
    <w:p w14:paraId="42319865">
      <w:pPr>
        <w:widowControl w:val="0"/>
        <w:pBdr>
          <w:top w:val="none" w:color="auto" w:sz="0" w:space="0"/>
          <w:left w:val="none" w:color="auto" w:sz="0" w:space="0"/>
          <w:bottom w:val="none" w:color="auto" w:sz="0" w:space="0"/>
          <w:right w:val="none" w:color="auto" w:sz="0" w:space="0"/>
          <w:between w:val="none" w:color="auto" w:sz="0" w:space="0"/>
        </w:pBdr>
        <w:spacing w:before="144" w:line="276" w:lineRule="auto"/>
        <w:ind w:right="-388" w:firstLine="720"/>
        <w:rPr>
          <w:sz w:val="26"/>
          <w:szCs w:val="26"/>
        </w:rPr>
      </w:pPr>
      <w:r>
        <w:rPr>
          <w:sz w:val="26"/>
          <w:szCs w:val="26"/>
        </w:rPr>
        <w:t xml:space="preserve">Giải pháp thiết kế cấp điện:Nguồn điện cấp cho các căn nhà được lấy từ tủ phân phối ngoài nhà. </w:t>
      </w:r>
    </w:p>
    <w:p w14:paraId="03B023D3">
      <w:pPr>
        <w:widowControl w:val="0"/>
        <w:pBdr>
          <w:top w:val="none" w:color="auto" w:sz="0" w:space="0"/>
          <w:left w:val="none" w:color="auto" w:sz="0" w:space="0"/>
          <w:bottom w:val="none" w:color="auto" w:sz="0" w:space="0"/>
          <w:right w:val="none" w:color="auto" w:sz="0" w:space="0"/>
          <w:between w:val="none" w:color="auto" w:sz="0" w:space="0"/>
        </w:pBdr>
        <w:spacing w:before="201" w:line="276" w:lineRule="auto"/>
        <w:ind w:right="-393" w:firstLine="720"/>
        <w:jc w:val="both"/>
        <w:rPr>
          <w:sz w:val="26"/>
          <w:szCs w:val="26"/>
        </w:rPr>
      </w:pPr>
      <w:r>
        <w:rPr>
          <w:sz w:val="26"/>
          <w:szCs w:val="26"/>
        </w:rPr>
        <w:t xml:space="preserve">Giải pháp thiết kế chống sét: Sử dụng các kim thu sét bằng thép tròn trơn D=16mm lắp đặt trên các vị trí cao nhất trên mái các căn hộ. Các kim thu sét được kết nối với nhau bằng các dây thép tròn trơn đường kính d=10mm và kết nối với hệ thống nối đất bằng dây xuống sử dụng dây đồng trần M70 đi ngầm tường trong lớp vữa trát. Tại mỗi lộ xuống đặt một hộp đo điện trở nối đất ở độ cao 0,5m. </w:t>
      </w:r>
    </w:p>
    <w:p w14:paraId="1C17F60A">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2424" w:firstLine="720"/>
        <w:rPr>
          <w:sz w:val="26"/>
          <w:szCs w:val="26"/>
        </w:rPr>
      </w:pPr>
      <w:r>
        <w:rPr>
          <w:sz w:val="26"/>
          <w:szCs w:val="26"/>
        </w:rPr>
        <w:t xml:space="preserve">Giải pháp thiết kế cấp nước, thoát nước trong nhà </w:t>
      </w:r>
    </w:p>
    <w:p w14:paraId="5E46A50A">
      <w:pPr>
        <w:widowControl w:val="0"/>
        <w:pBdr>
          <w:top w:val="none" w:color="auto" w:sz="0" w:space="0"/>
          <w:left w:val="none" w:color="auto" w:sz="0" w:space="0"/>
          <w:bottom w:val="none" w:color="auto" w:sz="0" w:space="0"/>
          <w:right w:val="none" w:color="auto" w:sz="0" w:space="0"/>
          <w:between w:val="none" w:color="auto" w:sz="0" w:space="0"/>
        </w:pBdr>
        <w:spacing w:before="139" w:line="276" w:lineRule="auto"/>
        <w:ind w:right="-47" w:firstLine="720"/>
        <w:rPr>
          <w:sz w:val="26"/>
          <w:szCs w:val="26"/>
        </w:rPr>
      </w:pPr>
      <w:r>
        <w:rPr>
          <w:sz w:val="26"/>
          <w:szCs w:val="26"/>
        </w:rPr>
        <w:t xml:space="preserve">+ Nước cấp cho các căn nhà được lấy từ hệ thống cấp nước sinh hoạt của dự án. </w:t>
      </w:r>
    </w:p>
    <w:p w14:paraId="2ECCB309">
      <w:pPr>
        <w:widowControl w:val="0"/>
        <w:pBdr>
          <w:top w:val="none" w:color="auto" w:sz="0" w:space="0"/>
          <w:left w:val="none" w:color="auto" w:sz="0" w:space="0"/>
          <w:bottom w:val="none" w:color="auto" w:sz="0" w:space="0"/>
          <w:right w:val="none" w:color="auto" w:sz="0" w:space="0"/>
          <w:between w:val="none" w:color="auto" w:sz="0" w:space="0"/>
        </w:pBdr>
        <w:spacing w:before="124" w:line="276" w:lineRule="auto"/>
        <w:ind w:right="-379" w:firstLine="720"/>
        <w:jc w:val="both"/>
        <w:rPr>
          <w:sz w:val="26"/>
          <w:szCs w:val="26"/>
        </w:rPr>
      </w:pPr>
      <w:r>
        <w:rPr>
          <w:sz w:val="26"/>
          <w:szCs w:val="26"/>
        </w:rPr>
        <w:t>+ Thoát nước: Nước mưa thu trên mái tập trung chảy qua lưới chắn rác thu vào các ống đứng dẫn vào hệ thống thoát nước mặt của dự án, nước thải thoát ra hệ thống thoát nước thải của dự án”.</w:t>
      </w:r>
    </w:p>
    <w:p w14:paraId="7415FF16">
      <w:pPr>
        <w:spacing w:before="120" w:after="120"/>
        <w:jc w:val="center"/>
        <w:rPr>
          <w:rFonts w:asciiTheme="minorHAnsi" w:hAnsiTheme="minorHAnsi"/>
          <w:b/>
          <w:bCs/>
          <w:color w:val="000000" w:themeColor="text1"/>
          <w:spacing w:val="-4"/>
          <w:sz w:val="26"/>
          <w:szCs w:val="26"/>
          <w14:textFill>
            <w14:solidFill>
              <w14:schemeClr w14:val="tx1"/>
            </w14:solidFill>
          </w14:textFill>
        </w:rPr>
      </w:pPr>
    </w:p>
    <w:p w14:paraId="7F431DBC">
      <w:pPr>
        <w:spacing w:before="120" w:after="120"/>
        <w:jc w:val="center"/>
        <w:rPr>
          <w:rFonts w:asciiTheme="minorHAnsi" w:hAnsiTheme="minorHAnsi"/>
          <w:b/>
          <w:bCs/>
          <w:color w:val="000000" w:themeColor="text1"/>
          <w:spacing w:val="-4"/>
          <w:sz w:val="26"/>
          <w:szCs w:val="26"/>
          <w14:textFill>
            <w14:solidFill>
              <w14:schemeClr w14:val="tx1"/>
            </w14:solidFill>
          </w14:textFill>
        </w:rPr>
      </w:pPr>
    </w:p>
    <w:p w14:paraId="2FFCE9BB">
      <w:pPr>
        <w:spacing w:before="120" w:after="120"/>
        <w:jc w:val="center"/>
        <w:rPr>
          <w:rFonts w:asciiTheme="minorHAnsi" w:hAnsiTheme="minorHAnsi"/>
          <w:b/>
          <w:bCs/>
          <w:color w:val="000000" w:themeColor="text1"/>
          <w:spacing w:val="-4"/>
          <w:sz w:val="26"/>
          <w:szCs w:val="26"/>
          <w14:textFill>
            <w14:solidFill>
              <w14:schemeClr w14:val="tx1"/>
            </w14:solidFill>
          </w14:textFill>
        </w:rPr>
      </w:pPr>
    </w:p>
    <w:p w14:paraId="42E13DB4">
      <w:pPr>
        <w:spacing w:before="120" w:after="120"/>
        <w:jc w:val="center"/>
        <w:rPr>
          <w:rFonts w:asciiTheme="minorHAnsi" w:hAnsiTheme="minorHAnsi"/>
          <w:b/>
          <w:bCs/>
          <w:color w:val="000000" w:themeColor="text1"/>
          <w:spacing w:val="-4"/>
          <w:sz w:val="26"/>
          <w:szCs w:val="26"/>
          <w14:textFill>
            <w14:solidFill>
              <w14:schemeClr w14:val="tx1"/>
            </w14:solidFill>
          </w14:textFill>
        </w:rPr>
      </w:pPr>
    </w:p>
    <w:p w14:paraId="2F90AE53">
      <w:pPr>
        <w:spacing w:before="120" w:after="120"/>
        <w:jc w:val="center"/>
        <w:rPr>
          <w:rFonts w:asciiTheme="minorHAnsi" w:hAnsiTheme="minorHAnsi"/>
          <w:b/>
          <w:bCs/>
          <w:color w:val="000000" w:themeColor="text1"/>
          <w:spacing w:val="-4"/>
          <w:sz w:val="26"/>
          <w:szCs w:val="26"/>
          <w14:textFill>
            <w14:solidFill>
              <w14:schemeClr w14:val="tx1"/>
            </w14:solidFill>
          </w14:textFill>
        </w:rPr>
      </w:pPr>
    </w:p>
    <w:p w14:paraId="2EE82937">
      <w:pPr>
        <w:spacing w:before="120" w:after="120"/>
        <w:jc w:val="center"/>
        <w:rPr>
          <w:rFonts w:asciiTheme="minorHAnsi" w:hAnsiTheme="minorHAnsi"/>
          <w:b/>
          <w:bCs/>
          <w:color w:val="000000" w:themeColor="text1"/>
          <w:spacing w:val="-4"/>
          <w:sz w:val="26"/>
          <w:szCs w:val="26"/>
          <w14:textFill>
            <w14:solidFill>
              <w14:schemeClr w14:val="tx1"/>
            </w14:solidFill>
          </w14:textFill>
        </w:rPr>
      </w:pPr>
    </w:p>
    <w:p w14:paraId="07504938">
      <w:pPr>
        <w:spacing w:before="120" w:after="120"/>
        <w:rPr>
          <w:rFonts w:asciiTheme="minorHAnsi" w:hAnsiTheme="minorHAnsi"/>
          <w:b/>
          <w:bCs/>
          <w:color w:val="000000" w:themeColor="text1"/>
          <w:spacing w:val="-4"/>
          <w:sz w:val="26"/>
          <w:szCs w:val="26"/>
          <w14:textFill>
            <w14:solidFill>
              <w14:schemeClr w14:val="tx1"/>
            </w14:solidFill>
          </w14:textFill>
        </w:rPr>
        <w:sectPr>
          <w:footerReference r:id="rId3" w:type="default"/>
          <w:pgSz w:w="11905" w:h="16838"/>
          <w:pgMar w:top="1134" w:right="1134" w:bottom="1134" w:left="1701" w:header="720" w:footer="720" w:gutter="0"/>
          <w:cols w:space="0" w:num="1"/>
          <w:docGrid w:linePitch="367" w:charSpace="0"/>
        </w:sectPr>
      </w:pPr>
    </w:p>
    <w:p w14:paraId="3CA7F21E">
      <w:pPr>
        <w:spacing w:before="120" w:after="120"/>
        <w:jc w:val="center"/>
        <w:rPr>
          <w:b/>
          <w:bCs/>
          <w:color w:val="000000" w:themeColor="text1"/>
          <w:spacing w:val="-4"/>
          <w:sz w:val="26"/>
          <w:szCs w:val="26"/>
          <w14:textFill>
            <w14:solidFill>
              <w14:schemeClr w14:val="tx1"/>
            </w14:solidFill>
          </w14:textFill>
        </w:rPr>
      </w:pPr>
      <w:r>
        <w:rPr>
          <w:rFonts w:ascii="Times New Roman Bold" w:hAnsi="Times New Roman Bold"/>
          <w:b/>
          <w:bCs/>
          <w:color w:val="000000" w:themeColor="text1"/>
          <w:spacing w:val="-4"/>
          <w:sz w:val="26"/>
          <w:szCs w:val="26"/>
          <w:lang w:val="vi-VN"/>
          <w14:textFill>
            <w14:solidFill>
              <w14:schemeClr w14:val="tx1"/>
            </w14:solidFill>
          </w14:textFill>
        </w:rPr>
        <w:t>BẢNG THỐNG KÊ</w:t>
      </w:r>
      <w:r>
        <w:rPr>
          <w:rFonts w:asciiTheme="minorHAnsi" w:hAnsiTheme="minorHAnsi"/>
          <w:b/>
          <w:bCs/>
          <w:color w:val="000000" w:themeColor="text1"/>
          <w:spacing w:val="-4"/>
          <w:sz w:val="26"/>
          <w:szCs w:val="26"/>
          <w:lang w:val="vi-VN"/>
          <w14:textFill>
            <w14:solidFill>
              <w14:schemeClr w14:val="tx1"/>
            </w14:solidFill>
          </w14:textFill>
        </w:rPr>
        <w:t xml:space="preserve"> </w:t>
      </w:r>
      <w:r>
        <w:rPr>
          <w:b/>
          <w:bCs/>
          <w:color w:val="000000" w:themeColor="text1"/>
          <w:spacing w:val="-4"/>
          <w:sz w:val="26"/>
          <w:szCs w:val="26"/>
          <w:lang w:val="vi-VN"/>
          <w14:textFill>
            <w14:solidFill>
              <w14:schemeClr w14:val="tx1"/>
            </w14:solidFill>
          </w14:textFill>
        </w:rPr>
        <w:t xml:space="preserve">THÔNG SỐ </w:t>
      </w:r>
      <w:r>
        <w:rPr>
          <w:rFonts w:ascii="Times New Roman Bold" w:hAnsi="Times New Roman Bold"/>
          <w:b/>
          <w:bCs/>
          <w:color w:val="000000" w:themeColor="text1"/>
          <w:spacing w:val="-4"/>
          <w:sz w:val="26"/>
          <w:szCs w:val="26"/>
          <w:lang w:val="vi-VN"/>
          <w14:textFill>
            <w14:solidFill>
              <w14:schemeClr w14:val="tx1"/>
            </w14:solidFill>
          </w14:textFill>
        </w:rPr>
        <w:t xml:space="preserve">QUY HOẠCH SỬ DỤNG ĐẤT </w:t>
      </w:r>
      <w:bookmarkEnd w:id="14"/>
      <w:bookmarkEnd w:id="20"/>
      <w:bookmarkEnd w:id="21"/>
    </w:p>
    <w:bookmarkEnd w:id="22"/>
    <w:tbl>
      <w:tblPr>
        <w:tblStyle w:val="9"/>
        <w:tblW w:w="1531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1033"/>
        <w:gridCol w:w="1459"/>
        <w:gridCol w:w="1273"/>
        <w:gridCol w:w="2047"/>
        <w:gridCol w:w="1276"/>
        <w:gridCol w:w="992"/>
        <w:gridCol w:w="992"/>
        <w:gridCol w:w="1134"/>
        <w:gridCol w:w="993"/>
        <w:gridCol w:w="992"/>
      </w:tblGrid>
      <w:tr w14:paraId="7290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10" w:type="dxa"/>
            <w:vAlign w:val="center"/>
          </w:tcPr>
          <w:p w14:paraId="391D8B64">
            <w:pPr>
              <w:jc w:val="center"/>
              <w:rPr>
                <w:b/>
                <w:bCs/>
                <w:color w:val="000000"/>
                <w:sz w:val="20"/>
                <w:szCs w:val="20"/>
              </w:rPr>
            </w:pPr>
            <w:r>
              <w:rPr>
                <w:b/>
                <w:bCs/>
                <w:color w:val="000000"/>
                <w:sz w:val="20"/>
                <w:szCs w:val="20"/>
              </w:rPr>
              <w:t>STT</w:t>
            </w:r>
          </w:p>
        </w:tc>
        <w:tc>
          <w:tcPr>
            <w:tcW w:w="2409" w:type="dxa"/>
            <w:vAlign w:val="center"/>
          </w:tcPr>
          <w:p w14:paraId="3D795265">
            <w:pPr>
              <w:rPr>
                <w:b/>
                <w:bCs/>
                <w:color w:val="000000"/>
                <w:sz w:val="20"/>
                <w:szCs w:val="20"/>
              </w:rPr>
            </w:pPr>
            <w:r>
              <w:rPr>
                <w:b/>
                <w:bCs/>
                <w:color w:val="000000"/>
                <w:sz w:val="20"/>
                <w:szCs w:val="20"/>
              </w:rPr>
              <w:t>LOẠI ĐẤT</w:t>
            </w:r>
          </w:p>
        </w:tc>
        <w:tc>
          <w:tcPr>
            <w:tcW w:w="1033" w:type="dxa"/>
            <w:vAlign w:val="center"/>
          </w:tcPr>
          <w:p w14:paraId="725AC913">
            <w:pPr>
              <w:jc w:val="center"/>
              <w:rPr>
                <w:b/>
                <w:bCs/>
                <w:color w:val="000000"/>
                <w:sz w:val="20"/>
                <w:szCs w:val="20"/>
              </w:rPr>
            </w:pPr>
            <w:r>
              <w:rPr>
                <w:b/>
                <w:bCs/>
                <w:color w:val="000000"/>
                <w:sz w:val="20"/>
                <w:szCs w:val="20"/>
              </w:rPr>
              <w:t>KÝ HIỆU</w:t>
            </w:r>
          </w:p>
        </w:tc>
        <w:tc>
          <w:tcPr>
            <w:tcW w:w="1459" w:type="dxa"/>
            <w:vAlign w:val="center"/>
          </w:tcPr>
          <w:p w14:paraId="1FE0DCAF">
            <w:pPr>
              <w:jc w:val="center"/>
              <w:rPr>
                <w:b/>
                <w:bCs/>
                <w:color w:val="000000"/>
                <w:sz w:val="20"/>
                <w:szCs w:val="20"/>
              </w:rPr>
            </w:pPr>
            <w:r>
              <w:rPr>
                <w:b/>
                <w:bCs/>
                <w:color w:val="000000"/>
                <w:sz w:val="20"/>
                <w:szCs w:val="20"/>
              </w:rPr>
              <w:t>DT ĐẤT</w:t>
            </w:r>
          </w:p>
        </w:tc>
        <w:tc>
          <w:tcPr>
            <w:tcW w:w="1273" w:type="dxa"/>
            <w:vAlign w:val="center"/>
          </w:tcPr>
          <w:p w14:paraId="107EE5F1">
            <w:pPr>
              <w:jc w:val="center"/>
              <w:rPr>
                <w:b/>
                <w:bCs/>
                <w:color w:val="000000"/>
                <w:sz w:val="20"/>
                <w:szCs w:val="20"/>
              </w:rPr>
            </w:pPr>
            <w:r>
              <w:rPr>
                <w:b/>
                <w:bCs/>
                <w:color w:val="000000"/>
                <w:sz w:val="20"/>
                <w:szCs w:val="20"/>
              </w:rPr>
              <w:t>TỶ LỆ</w:t>
            </w:r>
          </w:p>
        </w:tc>
        <w:tc>
          <w:tcPr>
            <w:tcW w:w="2047" w:type="dxa"/>
            <w:vAlign w:val="center"/>
          </w:tcPr>
          <w:p w14:paraId="6F480326">
            <w:pPr>
              <w:jc w:val="center"/>
              <w:rPr>
                <w:b/>
                <w:bCs/>
                <w:color w:val="000000"/>
                <w:sz w:val="20"/>
                <w:szCs w:val="20"/>
              </w:rPr>
            </w:pPr>
            <w:r>
              <w:rPr>
                <w:b/>
                <w:bCs/>
                <w:color w:val="000000"/>
                <w:sz w:val="20"/>
                <w:szCs w:val="20"/>
              </w:rPr>
              <w:t>DTXD</w:t>
            </w:r>
          </w:p>
        </w:tc>
        <w:tc>
          <w:tcPr>
            <w:tcW w:w="1276" w:type="dxa"/>
            <w:vAlign w:val="center"/>
          </w:tcPr>
          <w:p w14:paraId="38ADB647">
            <w:pPr>
              <w:jc w:val="center"/>
              <w:rPr>
                <w:b/>
                <w:bCs/>
                <w:color w:val="000000"/>
                <w:sz w:val="20"/>
                <w:szCs w:val="20"/>
              </w:rPr>
            </w:pPr>
            <w:r>
              <w:rPr>
                <w:b/>
                <w:bCs/>
                <w:color w:val="000000"/>
                <w:sz w:val="20"/>
                <w:szCs w:val="20"/>
              </w:rPr>
              <w:t>DTS</w:t>
            </w:r>
          </w:p>
        </w:tc>
        <w:tc>
          <w:tcPr>
            <w:tcW w:w="992" w:type="dxa"/>
            <w:vAlign w:val="center"/>
          </w:tcPr>
          <w:p w14:paraId="7B3683CD">
            <w:pPr>
              <w:jc w:val="center"/>
              <w:rPr>
                <w:b/>
                <w:bCs/>
                <w:color w:val="000000"/>
                <w:sz w:val="20"/>
                <w:szCs w:val="20"/>
              </w:rPr>
            </w:pPr>
            <w:r>
              <w:rPr>
                <w:b/>
                <w:bCs/>
                <w:color w:val="000000"/>
                <w:sz w:val="20"/>
                <w:szCs w:val="20"/>
              </w:rPr>
              <w:t>Mật độ</w:t>
            </w:r>
          </w:p>
        </w:tc>
        <w:tc>
          <w:tcPr>
            <w:tcW w:w="992" w:type="dxa"/>
            <w:vAlign w:val="center"/>
          </w:tcPr>
          <w:p w14:paraId="4232323C">
            <w:pPr>
              <w:jc w:val="center"/>
              <w:rPr>
                <w:b/>
                <w:bCs/>
                <w:color w:val="000000"/>
                <w:sz w:val="20"/>
                <w:szCs w:val="20"/>
              </w:rPr>
            </w:pPr>
            <w:r>
              <w:rPr>
                <w:b/>
                <w:bCs/>
                <w:color w:val="000000"/>
                <w:sz w:val="20"/>
                <w:szCs w:val="20"/>
              </w:rPr>
              <w:t>TẦNG</w:t>
            </w:r>
          </w:p>
          <w:p w14:paraId="756B50A5">
            <w:pPr>
              <w:jc w:val="center"/>
              <w:rPr>
                <w:b/>
                <w:bCs/>
                <w:color w:val="000000"/>
                <w:sz w:val="20"/>
                <w:szCs w:val="20"/>
              </w:rPr>
            </w:pPr>
            <w:r>
              <w:rPr>
                <w:b/>
                <w:bCs/>
                <w:color w:val="000000"/>
                <w:sz w:val="20"/>
                <w:szCs w:val="20"/>
              </w:rPr>
              <w:t>CAO</w:t>
            </w:r>
          </w:p>
        </w:tc>
        <w:tc>
          <w:tcPr>
            <w:tcW w:w="1134" w:type="dxa"/>
            <w:vAlign w:val="center"/>
          </w:tcPr>
          <w:p w14:paraId="3101CFD7">
            <w:pPr>
              <w:jc w:val="center"/>
              <w:rPr>
                <w:b/>
                <w:bCs/>
                <w:color w:val="000000"/>
                <w:sz w:val="20"/>
                <w:szCs w:val="20"/>
              </w:rPr>
            </w:pPr>
            <w:r>
              <w:rPr>
                <w:b/>
                <w:bCs/>
                <w:color w:val="000000"/>
                <w:sz w:val="20"/>
                <w:szCs w:val="20"/>
              </w:rPr>
              <w:t>HSSSD</w:t>
            </w:r>
          </w:p>
        </w:tc>
        <w:tc>
          <w:tcPr>
            <w:tcW w:w="993" w:type="dxa"/>
            <w:vAlign w:val="center"/>
          </w:tcPr>
          <w:p w14:paraId="2D8F355C">
            <w:pPr>
              <w:jc w:val="center"/>
              <w:rPr>
                <w:b/>
                <w:bCs/>
                <w:color w:val="000000"/>
                <w:sz w:val="20"/>
                <w:szCs w:val="20"/>
              </w:rPr>
            </w:pPr>
            <w:r>
              <w:rPr>
                <w:b/>
                <w:bCs/>
                <w:color w:val="000000"/>
                <w:sz w:val="20"/>
                <w:szCs w:val="20"/>
              </w:rPr>
              <w:t>LÔ SỐ</w:t>
            </w:r>
          </w:p>
        </w:tc>
        <w:tc>
          <w:tcPr>
            <w:tcW w:w="992" w:type="dxa"/>
            <w:vAlign w:val="center"/>
          </w:tcPr>
          <w:p w14:paraId="69FEE47C">
            <w:pPr>
              <w:jc w:val="center"/>
              <w:rPr>
                <w:b/>
                <w:bCs/>
                <w:color w:val="000000"/>
                <w:sz w:val="20"/>
                <w:szCs w:val="20"/>
              </w:rPr>
            </w:pPr>
            <w:r>
              <w:rPr>
                <w:b/>
                <w:bCs/>
                <w:color w:val="000000"/>
                <w:sz w:val="20"/>
                <w:szCs w:val="20"/>
              </w:rPr>
              <w:t>Ghi chú</w:t>
            </w:r>
          </w:p>
        </w:tc>
      </w:tr>
      <w:tr w14:paraId="67CE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254B7A27">
            <w:pPr>
              <w:jc w:val="center"/>
              <w:rPr>
                <w:b/>
                <w:bCs/>
                <w:color w:val="000000"/>
                <w:sz w:val="20"/>
                <w:szCs w:val="20"/>
              </w:rPr>
            </w:pPr>
          </w:p>
        </w:tc>
        <w:tc>
          <w:tcPr>
            <w:tcW w:w="2409" w:type="dxa"/>
            <w:vAlign w:val="center"/>
          </w:tcPr>
          <w:p w14:paraId="5B99F984">
            <w:pPr>
              <w:rPr>
                <w:b/>
                <w:bCs/>
                <w:color w:val="000000"/>
                <w:sz w:val="20"/>
                <w:szCs w:val="20"/>
              </w:rPr>
            </w:pPr>
          </w:p>
        </w:tc>
        <w:tc>
          <w:tcPr>
            <w:tcW w:w="1033" w:type="dxa"/>
            <w:vAlign w:val="center"/>
          </w:tcPr>
          <w:p w14:paraId="3D062481">
            <w:pPr>
              <w:jc w:val="center"/>
              <w:rPr>
                <w:b/>
                <w:bCs/>
                <w:color w:val="000000"/>
                <w:sz w:val="20"/>
                <w:szCs w:val="20"/>
              </w:rPr>
            </w:pPr>
            <w:r>
              <w:rPr>
                <w:b/>
                <w:bCs/>
                <w:color w:val="000000"/>
                <w:sz w:val="20"/>
                <w:szCs w:val="20"/>
              </w:rPr>
              <w:t>-</w:t>
            </w:r>
          </w:p>
        </w:tc>
        <w:tc>
          <w:tcPr>
            <w:tcW w:w="1459" w:type="dxa"/>
            <w:vAlign w:val="center"/>
          </w:tcPr>
          <w:p w14:paraId="2FB343C1">
            <w:pPr>
              <w:jc w:val="center"/>
              <w:rPr>
                <w:b/>
                <w:bCs/>
                <w:color w:val="000000"/>
                <w:sz w:val="20"/>
                <w:szCs w:val="20"/>
              </w:rPr>
            </w:pPr>
            <w:r>
              <w:rPr>
                <w:b/>
                <w:bCs/>
                <w:color w:val="000000"/>
                <w:sz w:val="20"/>
                <w:szCs w:val="20"/>
              </w:rPr>
              <w:t>(m2)</w:t>
            </w:r>
          </w:p>
        </w:tc>
        <w:tc>
          <w:tcPr>
            <w:tcW w:w="1273" w:type="dxa"/>
            <w:vAlign w:val="center"/>
          </w:tcPr>
          <w:p w14:paraId="0B3B0341">
            <w:pPr>
              <w:jc w:val="center"/>
              <w:rPr>
                <w:b/>
                <w:bCs/>
                <w:color w:val="000000"/>
                <w:sz w:val="20"/>
                <w:szCs w:val="20"/>
              </w:rPr>
            </w:pPr>
            <w:r>
              <w:rPr>
                <w:b/>
                <w:bCs/>
                <w:color w:val="000000"/>
                <w:sz w:val="20"/>
                <w:szCs w:val="20"/>
              </w:rPr>
              <w:t>(m2)</w:t>
            </w:r>
          </w:p>
        </w:tc>
        <w:tc>
          <w:tcPr>
            <w:tcW w:w="2047" w:type="dxa"/>
            <w:vAlign w:val="center"/>
          </w:tcPr>
          <w:p w14:paraId="71F89AAB">
            <w:pPr>
              <w:jc w:val="center"/>
              <w:rPr>
                <w:b/>
                <w:bCs/>
                <w:color w:val="000000"/>
                <w:sz w:val="20"/>
                <w:szCs w:val="20"/>
              </w:rPr>
            </w:pPr>
            <w:r>
              <w:rPr>
                <w:b/>
                <w:bCs/>
                <w:color w:val="000000"/>
                <w:sz w:val="20"/>
                <w:szCs w:val="20"/>
              </w:rPr>
              <w:t>(m2)</w:t>
            </w:r>
          </w:p>
        </w:tc>
        <w:tc>
          <w:tcPr>
            <w:tcW w:w="1276" w:type="dxa"/>
            <w:vAlign w:val="center"/>
          </w:tcPr>
          <w:p w14:paraId="69528BF4">
            <w:pPr>
              <w:jc w:val="center"/>
              <w:rPr>
                <w:b/>
                <w:bCs/>
                <w:color w:val="000000"/>
                <w:sz w:val="20"/>
                <w:szCs w:val="20"/>
              </w:rPr>
            </w:pPr>
            <w:r>
              <w:rPr>
                <w:b/>
                <w:bCs/>
                <w:color w:val="000000"/>
                <w:sz w:val="20"/>
                <w:szCs w:val="20"/>
              </w:rPr>
              <w:t>(%)</w:t>
            </w:r>
          </w:p>
        </w:tc>
        <w:tc>
          <w:tcPr>
            <w:tcW w:w="992" w:type="dxa"/>
            <w:vAlign w:val="center"/>
          </w:tcPr>
          <w:p w14:paraId="1ECFF6F8">
            <w:pPr>
              <w:jc w:val="center"/>
              <w:rPr>
                <w:b/>
                <w:bCs/>
                <w:color w:val="000000"/>
                <w:sz w:val="20"/>
                <w:szCs w:val="20"/>
              </w:rPr>
            </w:pPr>
            <w:r>
              <w:rPr>
                <w:b/>
                <w:bCs/>
                <w:color w:val="000000"/>
                <w:sz w:val="20"/>
                <w:szCs w:val="20"/>
              </w:rPr>
              <w:t>(tầng)</w:t>
            </w:r>
          </w:p>
        </w:tc>
        <w:tc>
          <w:tcPr>
            <w:tcW w:w="992" w:type="dxa"/>
            <w:vAlign w:val="center"/>
          </w:tcPr>
          <w:p w14:paraId="2B424E14">
            <w:pPr>
              <w:jc w:val="center"/>
              <w:rPr>
                <w:b/>
                <w:bCs/>
                <w:color w:val="000000"/>
                <w:sz w:val="20"/>
                <w:szCs w:val="20"/>
              </w:rPr>
            </w:pPr>
            <w:r>
              <w:rPr>
                <w:b/>
                <w:bCs/>
                <w:color w:val="000000"/>
                <w:sz w:val="20"/>
                <w:szCs w:val="20"/>
              </w:rPr>
              <w:t>(lần)</w:t>
            </w:r>
          </w:p>
        </w:tc>
        <w:tc>
          <w:tcPr>
            <w:tcW w:w="1134" w:type="dxa"/>
            <w:vAlign w:val="center"/>
          </w:tcPr>
          <w:p w14:paraId="29BA21C5">
            <w:pPr>
              <w:jc w:val="center"/>
              <w:rPr>
                <w:b/>
                <w:bCs/>
                <w:color w:val="000000"/>
                <w:sz w:val="20"/>
                <w:szCs w:val="20"/>
              </w:rPr>
            </w:pPr>
            <w:r>
              <w:rPr>
                <w:b/>
                <w:bCs/>
                <w:color w:val="000000"/>
                <w:sz w:val="20"/>
                <w:szCs w:val="20"/>
              </w:rPr>
              <w:t>(%)</w:t>
            </w:r>
          </w:p>
        </w:tc>
        <w:tc>
          <w:tcPr>
            <w:tcW w:w="993" w:type="dxa"/>
            <w:vAlign w:val="center"/>
          </w:tcPr>
          <w:p w14:paraId="64AE4780">
            <w:pPr>
              <w:jc w:val="center"/>
              <w:rPr>
                <w:b/>
                <w:bCs/>
                <w:color w:val="000000"/>
                <w:sz w:val="20"/>
                <w:szCs w:val="20"/>
              </w:rPr>
            </w:pPr>
            <w:r>
              <w:rPr>
                <w:b/>
                <w:bCs/>
                <w:color w:val="000000"/>
                <w:sz w:val="20"/>
                <w:szCs w:val="20"/>
              </w:rPr>
              <w:t>-</w:t>
            </w:r>
          </w:p>
        </w:tc>
        <w:tc>
          <w:tcPr>
            <w:tcW w:w="992" w:type="dxa"/>
            <w:vAlign w:val="center"/>
          </w:tcPr>
          <w:p w14:paraId="0CF9D78A">
            <w:pPr>
              <w:jc w:val="center"/>
              <w:rPr>
                <w:b/>
                <w:bCs/>
                <w:color w:val="000000"/>
                <w:sz w:val="20"/>
                <w:szCs w:val="20"/>
              </w:rPr>
            </w:pPr>
          </w:p>
        </w:tc>
      </w:tr>
      <w:tr w14:paraId="2673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752E10E">
            <w:pPr>
              <w:jc w:val="center"/>
              <w:rPr>
                <w:b/>
                <w:bCs/>
                <w:color w:val="000000"/>
                <w:sz w:val="20"/>
                <w:szCs w:val="20"/>
              </w:rPr>
            </w:pPr>
            <w:r>
              <w:rPr>
                <w:b/>
                <w:bCs/>
                <w:color w:val="000000"/>
                <w:sz w:val="20"/>
                <w:szCs w:val="20"/>
              </w:rPr>
              <w:t>I</w:t>
            </w:r>
          </w:p>
        </w:tc>
        <w:tc>
          <w:tcPr>
            <w:tcW w:w="2409" w:type="dxa"/>
            <w:vAlign w:val="center"/>
          </w:tcPr>
          <w:p w14:paraId="4190DFA8">
            <w:pPr>
              <w:rPr>
                <w:b/>
                <w:bCs/>
                <w:color w:val="000000"/>
                <w:sz w:val="20"/>
                <w:szCs w:val="20"/>
              </w:rPr>
            </w:pPr>
            <w:r>
              <w:rPr>
                <w:b/>
                <w:bCs/>
                <w:color w:val="000000"/>
                <w:sz w:val="20"/>
                <w:szCs w:val="20"/>
              </w:rPr>
              <w:t>ĐẤT NHÓM NHÀ Ở</w:t>
            </w:r>
          </w:p>
        </w:tc>
        <w:tc>
          <w:tcPr>
            <w:tcW w:w="1033" w:type="dxa"/>
            <w:vAlign w:val="center"/>
          </w:tcPr>
          <w:p w14:paraId="6DE0F663">
            <w:pPr>
              <w:jc w:val="center"/>
              <w:rPr>
                <w:b/>
                <w:bCs/>
                <w:color w:val="000000"/>
                <w:sz w:val="20"/>
                <w:szCs w:val="20"/>
              </w:rPr>
            </w:pPr>
          </w:p>
        </w:tc>
        <w:tc>
          <w:tcPr>
            <w:tcW w:w="1459" w:type="dxa"/>
            <w:vAlign w:val="center"/>
          </w:tcPr>
          <w:p w14:paraId="6A59234E">
            <w:pPr>
              <w:jc w:val="center"/>
              <w:rPr>
                <w:b/>
                <w:bCs/>
                <w:color w:val="000000"/>
                <w:sz w:val="20"/>
                <w:szCs w:val="20"/>
              </w:rPr>
            </w:pPr>
            <w:r>
              <w:rPr>
                <w:b/>
                <w:bCs/>
                <w:color w:val="000000"/>
                <w:sz w:val="20"/>
                <w:szCs w:val="20"/>
              </w:rPr>
              <w:t>100.898,30</w:t>
            </w:r>
          </w:p>
        </w:tc>
        <w:tc>
          <w:tcPr>
            <w:tcW w:w="1273" w:type="dxa"/>
            <w:vAlign w:val="center"/>
          </w:tcPr>
          <w:p w14:paraId="78AC648A">
            <w:pPr>
              <w:jc w:val="center"/>
              <w:rPr>
                <w:b/>
                <w:bCs/>
                <w:color w:val="000000"/>
                <w:sz w:val="20"/>
                <w:szCs w:val="20"/>
              </w:rPr>
            </w:pPr>
            <w:r>
              <w:rPr>
                <w:b/>
                <w:bCs/>
                <w:color w:val="000000"/>
                <w:sz w:val="20"/>
                <w:szCs w:val="20"/>
              </w:rPr>
              <w:t>50,90%</w:t>
            </w:r>
          </w:p>
        </w:tc>
        <w:tc>
          <w:tcPr>
            <w:tcW w:w="2047" w:type="dxa"/>
            <w:vAlign w:val="center"/>
          </w:tcPr>
          <w:p w14:paraId="0899EFFB">
            <w:pPr>
              <w:jc w:val="center"/>
              <w:rPr>
                <w:b/>
                <w:bCs/>
                <w:color w:val="000000"/>
                <w:sz w:val="20"/>
                <w:szCs w:val="20"/>
              </w:rPr>
            </w:pPr>
            <w:r>
              <w:rPr>
                <w:b/>
                <w:bCs/>
                <w:color w:val="000000"/>
                <w:sz w:val="20"/>
                <w:szCs w:val="20"/>
              </w:rPr>
              <w:t>250,0</w:t>
            </w:r>
          </w:p>
        </w:tc>
        <w:tc>
          <w:tcPr>
            <w:tcW w:w="1276" w:type="dxa"/>
            <w:vAlign w:val="center"/>
          </w:tcPr>
          <w:p w14:paraId="14982EC0">
            <w:pPr>
              <w:jc w:val="center"/>
              <w:rPr>
                <w:b/>
                <w:bCs/>
                <w:color w:val="000000"/>
                <w:sz w:val="20"/>
                <w:szCs w:val="20"/>
              </w:rPr>
            </w:pPr>
          </w:p>
        </w:tc>
        <w:tc>
          <w:tcPr>
            <w:tcW w:w="992" w:type="dxa"/>
            <w:vAlign w:val="center"/>
          </w:tcPr>
          <w:p w14:paraId="2D4648ED">
            <w:pPr>
              <w:jc w:val="center"/>
              <w:rPr>
                <w:b/>
                <w:bCs/>
                <w:color w:val="000000"/>
                <w:sz w:val="20"/>
                <w:szCs w:val="20"/>
              </w:rPr>
            </w:pPr>
          </w:p>
        </w:tc>
        <w:tc>
          <w:tcPr>
            <w:tcW w:w="992" w:type="dxa"/>
            <w:vAlign w:val="center"/>
          </w:tcPr>
          <w:p w14:paraId="7C688961">
            <w:pPr>
              <w:jc w:val="center"/>
              <w:rPr>
                <w:b/>
                <w:bCs/>
                <w:color w:val="000000"/>
                <w:sz w:val="20"/>
                <w:szCs w:val="20"/>
              </w:rPr>
            </w:pPr>
          </w:p>
        </w:tc>
        <w:tc>
          <w:tcPr>
            <w:tcW w:w="1134" w:type="dxa"/>
            <w:vAlign w:val="center"/>
          </w:tcPr>
          <w:p w14:paraId="516B53E9">
            <w:pPr>
              <w:jc w:val="center"/>
              <w:rPr>
                <w:b/>
                <w:bCs/>
                <w:color w:val="000000"/>
                <w:sz w:val="20"/>
                <w:szCs w:val="20"/>
              </w:rPr>
            </w:pPr>
          </w:p>
        </w:tc>
        <w:tc>
          <w:tcPr>
            <w:tcW w:w="993" w:type="dxa"/>
            <w:vAlign w:val="center"/>
          </w:tcPr>
          <w:p w14:paraId="1D7EED49">
            <w:pPr>
              <w:jc w:val="center"/>
              <w:rPr>
                <w:b/>
                <w:bCs/>
                <w:color w:val="000000"/>
                <w:sz w:val="20"/>
                <w:szCs w:val="20"/>
              </w:rPr>
            </w:pPr>
          </w:p>
        </w:tc>
        <w:tc>
          <w:tcPr>
            <w:tcW w:w="992" w:type="dxa"/>
            <w:vAlign w:val="center"/>
          </w:tcPr>
          <w:p w14:paraId="2961C29E">
            <w:pPr>
              <w:jc w:val="center"/>
              <w:rPr>
                <w:b/>
                <w:bCs/>
                <w:color w:val="000000"/>
                <w:sz w:val="20"/>
                <w:szCs w:val="20"/>
              </w:rPr>
            </w:pPr>
          </w:p>
        </w:tc>
      </w:tr>
      <w:tr w14:paraId="62E7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7FC39E3">
            <w:pPr>
              <w:jc w:val="center"/>
              <w:rPr>
                <w:b/>
                <w:bCs/>
                <w:color w:val="000000"/>
                <w:sz w:val="20"/>
                <w:szCs w:val="20"/>
              </w:rPr>
            </w:pPr>
            <w:r>
              <w:rPr>
                <w:b/>
                <w:bCs/>
                <w:color w:val="000000"/>
                <w:sz w:val="20"/>
                <w:szCs w:val="20"/>
              </w:rPr>
              <w:t>1</w:t>
            </w:r>
          </w:p>
        </w:tc>
        <w:tc>
          <w:tcPr>
            <w:tcW w:w="2409" w:type="dxa"/>
            <w:vAlign w:val="center"/>
          </w:tcPr>
          <w:p w14:paraId="3245A3CA">
            <w:pPr>
              <w:rPr>
                <w:b/>
                <w:bCs/>
                <w:color w:val="000000"/>
                <w:sz w:val="20"/>
                <w:szCs w:val="20"/>
              </w:rPr>
            </w:pPr>
            <w:r>
              <w:rPr>
                <w:b/>
                <w:bCs/>
                <w:color w:val="000000"/>
                <w:sz w:val="20"/>
                <w:szCs w:val="20"/>
              </w:rPr>
              <w:t>Đất ở</w:t>
            </w:r>
          </w:p>
        </w:tc>
        <w:tc>
          <w:tcPr>
            <w:tcW w:w="1033" w:type="dxa"/>
            <w:vAlign w:val="center"/>
          </w:tcPr>
          <w:p w14:paraId="34A94C8F">
            <w:pPr>
              <w:jc w:val="center"/>
              <w:rPr>
                <w:b/>
                <w:bCs/>
                <w:color w:val="000000"/>
                <w:sz w:val="20"/>
                <w:szCs w:val="20"/>
              </w:rPr>
            </w:pPr>
          </w:p>
        </w:tc>
        <w:tc>
          <w:tcPr>
            <w:tcW w:w="1459" w:type="dxa"/>
            <w:vAlign w:val="center"/>
          </w:tcPr>
          <w:p w14:paraId="5DEACB0F">
            <w:pPr>
              <w:jc w:val="center"/>
              <w:rPr>
                <w:b/>
                <w:bCs/>
                <w:color w:val="000000"/>
                <w:sz w:val="20"/>
                <w:szCs w:val="20"/>
              </w:rPr>
            </w:pPr>
            <w:r>
              <w:rPr>
                <w:b/>
                <w:bCs/>
                <w:color w:val="000000"/>
                <w:sz w:val="20"/>
                <w:szCs w:val="20"/>
              </w:rPr>
              <w:t>87.948,40</w:t>
            </w:r>
          </w:p>
        </w:tc>
        <w:tc>
          <w:tcPr>
            <w:tcW w:w="1273" w:type="dxa"/>
            <w:vAlign w:val="center"/>
          </w:tcPr>
          <w:p w14:paraId="137CF8BC">
            <w:pPr>
              <w:jc w:val="center"/>
              <w:rPr>
                <w:b/>
                <w:bCs/>
                <w:color w:val="000000"/>
                <w:sz w:val="20"/>
                <w:szCs w:val="20"/>
              </w:rPr>
            </w:pPr>
            <w:r>
              <w:rPr>
                <w:b/>
                <w:bCs/>
                <w:color w:val="000000"/>
                <w:sz w:val="20"/>
                <w:szCs w:val="20"/>
              </w:rPr>
              <w:t>44,37%</w:t>
            </w:r>
          </w:p>
        </w:tc>
        <w:tc>
          <w:tcPr>
            <w:tcW w:w="2047" w:type="dxa"/>
            <w:vAlign w:val="center"/>
          </w:tcPr>
          <w:p w14:paraId="3C5F088F">
            <w:pPr>
              <w:jc w:val="center"/>
              <w:rPr>
                <w:b/>
                <w:bCs/>
                <w:color w:val="000000"/>
                <w:sz w:val="20"/>
                <w:szCs w:val="20"/>
              </w:rPr>
            </w:pPr>
            <w:r>
              <w:rPr>
                <w:b/>
                <w:bCs/>
                <w:color w:val="000000"/>
                <w:sz w:val="20"/>
                <w:szCs w:val="20"/>
              </w:rPr>
              <w:t>76.437,6</w:t>
            </w:r>
          </w:p>
        </w:tc>
        <w:tc>
          <w:tcPr>
            <w:tcW w:w="1276" w:type="dxa"/>
            <w:vAlign w:val="center"/>
          </w:tcPr>
          <w:p w14:paraId="24D81BA2">
            <w:pPr>
              <w:jc w:val="center"/>
              <w:rPr>
                <w:b/>
                <w:bCs/>
                <w:color w:val="000000"/>
                <w:sz w:val="20"/>
                <w:szCs w:val="20"/>
              </w:rPr>
            </w:pPr>
          </w:p>
        </w:tc>
        <w:tc>
          <w:tcPr>
            <w:tcW w:w="992" w:type="dxa"/>
            <w:vAlign w:val="center"/>
          </w:tcPr>
          <w:p w14:paraId="11A8ECD9">
            <w:pPr>
              <w:jc w:val="center"/>
              <w:rPr>
                <w:b/>
                <w:bCs/>
                <w:color w:val="000000"/>
                <w:sz w:val="20"/>
                <w:szCs w:val="20"/>
              </w:rPr>
            </w:pPr>
          </w:p>
        </w:tc>
        <w:tc>
          <w:tcPr>
            <w:tcW w:w="992" w:type="dxa"/>
            <w:vAlign w:val="center"/>
          </w:tcPr>
          <w:p w14:paraId="1892EFE4">
            <w:pPr>
              <w:jc w:val="center"/>
              <w:rPr>
                <w:b/>
                <w:bCs/>
                <w:color w:val="000000"/>
                <w:sz w:val="20"/>
                <w:szCs w:val="20"/>
              </w:rPr>
            </w:pPr>
          </w:p>
        </w:tc>
        <w:tc>
          <w:tcPr>
            <w:tcW w:w="1134" w:type="dxa"/>
            <w:vAlign w:val="center"/>
          </w:tcPr>
          <w:p w14:paraId="5809B400">
            <w:pPr>
              <w:jc w:val="center"/>
              <w:rPr>
                <w:b/>
                <w:bCs/>
                <w:color w:val="000000"/>
                <w:sz w:val="20"/>
                <w:szCs w:val="20"/>
              </w:rPr>
            </w:pPr>
          </w:p>
        </w:tc>
        <w:tc>
          <w:tcPr>
            <w:tcW w:w="993" w:type="dxa"/>
            <w:vAlign w:val="center"/>
          </w:tcPr>
          <w:p w14:paraId="074B4A5B">
            <w:pPr>
              <w:jc w:val="center"/>
              <w:rPr>
                <w:b/>
                <w:bCs/>
                <w:color w:val="000000"/>
                <w:sz w:val="20"/>
                <w:szCs w:val="20"/>
              </w:rPr>
            </w:pPr>
          </w:p>
        </w:tc>
        <w:tc>
          <w:tcPr>
            <w:tcW w:w="992" w:type="dxa"/>
            <w:vAlign w:val="center"/>
          </w:tcPr>
          <w:p w14:paraId="6E703D2D">
            <w:pPr>
              <w:jc w:val="center"/>
              <w:rPr>
                <w:b/>
                <w:bCs/>
                <w:color w:val="000000"/>
                <w:sz w:val="20"/>
                <w:szCs w:val="20"/>
              </w:rPr>
            </w:pPr>
          </w:p>
        </w:tc>
      </w:tr>
      <w:tr w14:paraId="32C7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75F2BAA9">
            <w:pPr>
              <w:jc w:val="center"/>
              <w:rPr>
                <w:b/>
                <w:bCs/>
                <w:color w:val="000000"/>
                <w:sz w:val="20"/>
                <w:szCs w:val="20"/>
              </w:rPr>
            </w:pPr>
            <w:r>
              <w:rPr>
                <w:b/>
                <w:bCs/>
                <w:color w:val="000000"/>
                <w:sz w:val="20"/>
                <w:szCs w:val="20"/>
              </w:rPr>
              <w:t>1.1</w:t>
            </w:r>
          </w:p>
        </w:tc>
        <w:tc>
          <w:tcPr>
            <w:tcW w:w="2409" w:type="dxa"/>
            <w:vAlign w:val="center"/>
          </w:tcPr>
          <w:p w14:paraId="7BEFCAD8">
            <w:pPr>
              <w:rPr>
                <w:b/>
                <w:bCs/>
                <w:color w:val="000000"/>
                <w:sz w:val="20"/>
                <w:szCs w:val="20"/>
              </w:rPr>
            </w:pPr>
            <w:r>
              <w:rPr>
                <w:b/>
                <w:bCs/>
                <w:color w:val="000000"/>
                <w:sz w:val="20"/>
                <w:szCs w:val="20"/>
              </w:rPr>
              <w:t>Đất hiện trạng</w:t>
            </w:r>
          </w:p>
        </w:tc>
        <w:tc>
          <w:tcPr>
            <w:tcW w:w="1033" w:type="dxa"/>
            <w:noWrap/>
            <w:vAlign w:val="center"/>
          </w:tcPr>
          <w:p w14:paraId="3945BE93">
            <w:pPr>
              <w:jc w:val="center"/>
              <w:rPr>
                <w:b/>
                <w:bCs/>
                <w:color w:val="000000"/>
                <w:sz w:val="20"/>
                <w:szCs w:val="20"/>
              </w:rPr>
            </w:pPr>
            <w:r>
              <w:rPr>
                <w:b/>
                <w:bCs/>
                <w:color w:val="000000"/>
                <w:sz w:val="20"/>
                <w:szCs w:val="20"/>
              </w:rPr>
              <w:t>HT</w:t>
            </w:r>
          </w:p>
        </w:tc>
        <w:tc>
          <w:tcPr>
            <w:tcW w:w="1459" w:type="dxa"/>
            <w:vAlign w:val="center"/>
          </w:tcPr>
          <w:p w14:paraId="43ACDBDA">
            <w:pPr>
              <w:jc w:val="center"/>
              <w:rPr>
                <w:b/>
                <w:bCs/>
                <w:color w:val="000000"/>
                <w:sz w:val="20"/>
                <w:szCs w:val="20"/>
              </w:rPr>
            </w:pPr>
            <w:r>
              <w:rPr>
                <w:b/>
                <w:bCs/>
                <w:color w:val="000000"/>
                <w:sz w:val="20"/>
                <w:szCs w:val="20"/>
              </w:rPr>
              <w:t>29.745,00</w:t>
            </w:r>
          </w:p>
        </w:tc>
        <w:tc>
          <w:tcPr>
            <w:tcW w:w="1273" w:type="dxa"/>
            <w:vAlign w:val="center"/>
          </w:tcPr>
          <w:p w14:paraId="597B1ADA">
            <w:pPr>
              <w:jc w:val="center"/>
              <w:rPr>
                <w:b/>
                <w:bCs/>
                <w:color w:val="000000"/>
                <w:sz w:val="20"/>
                <w:szCs w:val="20"/>
              </w:rPr>
            </w:pPr>
            <w:r>
              <w:rPr>
                <w:b/>
                <w:bCs/>
                <w:color w:val="000000"/>
                <w:sz w:val="20"/>
                <w:szCs w:val="20"/>
              </w:rPr>
              <w:t>15,01%</w:t>
            </w:r>
          </w:p>
        </w:tc>
        <w:tc>
          <w:tcPr>
            <w:tcW w:w="2047" w:type="dxa"/>
            <w:vAlign w:val="center"/>
          </w:tcPr>
          <w:p w14:paraId="62C2032C">
            <w:pPr>
              <w:jc w:val="center"/>
              <w:rPr>
                <w:b/>
                <w:bCs/>
                <w:color w:val="000000"/>
                <w:sz w:val="20"/>
                <w:szCs w:val="20"/>
              </w:rPr>
            </w:pPr>
            <w:r>
              <w:rPr>
                <w:b/>
                <w:bCs/>
                <w:color w:val="000000"/>
                <w:sz w:val="20"/>
                <w:szCs w:val="20"/>
              </w:rPr>
              <w:t>26.770,5</w:t>
            </w:r>
          </w:p>
        </w:tc>
        <w:tc>
          <w:tcPr>
            <w:tcW w:w="1276" w:type="dxa"/>
            <w:vAlign w:val="center"/>
          </w:tcPr>
          <w:p w14:paraId="480090FE">
            <w:pPr>
              <w:jc w:val="center"/>
              <w:rPr>
                <w:b/>
                <w:bCs/>
                <w:color w:val="000000"/>
                <w:sz w:val="20"/>
                <w:szCs w:val="20"/>
              </w:rPr>
            </w:pPr>
            <w:r>
              <w:rPr>
                <w:b/>
                <w:bCs/>
                <w:color w:val="000000"/>
                <w:sz w:val="20"/>
                <w:szCs w:val="20"/>
              </w:rPr>
              <w:t>133.852,50</w:t>
            </w:r>
          </w:p>
        </w:tc>
        <w:tc>
          <w:tcPr>
            <w:tcW w:w="992" w:type="dxa"/>
            <w:vAlign w:val="center"/>
          </w:tcPr>
          <w:p w14:paraId="58C72A3A">
            <w:pPr>
              <w:jc w:val="center"/>
              <w:rPr>
                <w:b/>
                <w:bCs/>
                <w:color w:val="000000"/>
                <w:sz w:val="20"/>
                <w:szCs w:val="20"/>
              </w:rPr>
            </w:pPr>
            <w:r>
              <w:rPr>
                <w:b/>
                <w:bCs/>
                <w:color w:val="000000"/>
                <w:sz w:val="20"/>
                <w:szCs w:val="20"/>
              </w:rPr>
              <w:t>90</w:t>
            </w:r>
          </w:p>
        </w:tc>
        <w:tc>
          <w:tcPr>
            <w:tcW w:w="992" w:type="dxa"/>
            <w:vAlign w:val="center"/>
          </w:tcPr>
          <w:p w14:paraId="6BABD79F">
            <w:pPr>
              <w:jc w:val="center"/>
              <w:rPr>
                <w:b/>
                <w:bCs/>
                <w:color w:val="000000"/>
                <w:sz w:val="20"/>
                <w:szCs w:val="20"/>
              </w:rPr>
            </w:pPr>
            <w:r>
              <w:rPr>
                <w:b/>
                <w:bCs/>
                <w:color w:val="000000"/>
                <w:sz w:val="20"/>
                <w:szCs w:val="20"/>
              </w:rPr>
              <w:t>5</w:t>
            </w:r>
          </w:p>
        </w:tc>
        <w:tc>
          <w:tcPr>
            <w:tcW w:w="1134" w:type="dxa"/>
            <w:vAlign w:val="center"/>
          </w:tcPr>
          <w:p w14:paraId="3A7BE5D3">
            <w:pPr>
              <w:jc w:val="center"/>
              <w:rPr>
                <w:b/>
                <w:bCs/>
                <w:color w:val="000000"/>
                <w:sz w:val="20"/>
                <w:szCs w:val="20"/>
              </w:rPr>
            </w:pPr>
            <w:r>
              <w:rPr>
                <w:b/>
                <w:bCs/>
                <w:color w:val="000000"/>
                <w:sz w:val="20"/>
                <w:szCs w:val="20"/>
              </w:rPr>
              <w:t>4,5</w:t>
            </w:r>
          </w:p>
        </w:tc>
        <w:tc>
          <w:tcPr>
            <w:tcW w:w="993" w:type="dxa"/>
            <w:vAlign w:val="center"/>
          </w:tcPr>
          <w:p w14:paraId="3E2C9B41">
            <w:pPr>
              <w:jc w:val="center"/>
              <w:rPr>
                <w:b/>
                <w:bCs/>
                <w:color w:val="000000"/>
                <w:sz w:val="20"/>
                <w:szCs w:val="20"/>
              </w:rPr>
            </w:pPr>
            <w:r>
              <w:rPr>
                <w:b/>
                <w:bCs/>
                <w:color w:val="000000"/>
                <w:sz w:val="20"/>
                <w:szCs w:val="20"/>
              </w:rPr>
              <w:t>188</w:t>
            </w:r>
          </w:p>
        </w:tc>
        <w:tc>
          <w:tcPr>
            <w:tcW w:w="992" w:type="dxa"/>
            <w:vAlign w:val="center"/>
          </w:tcPr>
          <w:p w14:paraId="504CF104">
            <w:pPr>
              <w:jc w:val="center"/>
              <w:rPr>
                <w:color w:val="000000"/>
                <w:sz w:val="20"/>
                <w:szCs w:val="20"/>
              </w:rPr>
            </w:pPr>
          </w:p>
        </w:tc>
      </w:tr>
      <w:tr w14:paraId="1ADB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19AD748A">
            <w:pPr>
              <w:jc w:val="center"/>
              <w:rPr>
                <w:color w:val="000000"/>
                <w:sz w:val="20"/>
                <w:szCs w:val="20"/>
              </w:rPr>
            </w:pPr>
          </w:p>
        </w:tc>
        <w:tc>
          <w:tcPr>
            <w:tcW w:w="2409" w:type="dxa"/>
            <w:vAlign w:val="center"/>
          </w:tcPr>
          <w:p w14:paraId="2E5C8875">
            <w:pPr>
              <w:rPr>
                <w:color w:val="000000"/>
                <w:sz w:val="20"/>
                <w:szCs w:val="20"/>
              </w:rPr>
            </w:pPr>
            <w:r>
              <w:rPr>
                <w:color w:val="000000"/>
                <w:sz w:val="20"/>
                <w:szCs w:val="20"/>
              </w:rPr>
              <w:t>Nhà ở hiện trạng cải tạo 01</w:t>
            </w:r>
          </w:p>
        </w:tc>
        <w:tc>
          <w:tcPr>
            <w:tcW w:w="1033" w:type="dxa"/>
            <w:vAlign w:val="center"/>
          </w:tcPr>
          <w:p w14:paraId="2EEBBE6E">
            <w:pPr>
              <w:jc w:val="center"/>
              <w:rPr>
                <w:color w:val="000000"/>
                <w:sz w:val="20"/>
                <w:szCs w:val="20"/>
              </w:rPr>
            </w:pPr>
            <w:r>
              <w:rPr>
                <w:color w:val="000000"/>
                <w:sz w:val="20"/>
                <w:szCs w:val="20"/>
              </w:rPr>
              <w:t>HT01</w:t>
            </w:r>
          </w:p>
        </w:tc>
        <w:tc>
          <w:tcPr>
            <w:tcW w:w="1459" w:type="dxa"/>
            <w:vAlign w:val="center"/>
          </w:tcPr>
          <w:p w14:paraId="24F55835">
            <w:pPr>
              <w:jc w:val="center"/>
              <w:rPr>
                <w:color w:val="000000"/>
                <w:sz w:val="20"/>
                <w:szCs w:val="20"/>
              </w:rPr>
            </w:pPr>
            <w:r>
              <w:rPr>
                <w:color w:val="000000"/>
                <w:sz w:val="20"/>
                <w:szCs w:val="20"/>
              </w:rPr>
              <w:t>2.117,40</w:t>
            </w:r>
          </w:p>
        </w:tc>
        <w:tc>
          <w:tcPr>
            <w:tcW w:w="1273" w:type="dxa"/>
            <w:vAlign w:val="center"/>
          </w:tcPr>
          <w:p w14:paraId="73459F59">
            <w:pPr>
              <w:jc w:val="center"/>
              <w:rPr>
                <w:color w:val="000000"/>
                <w:sz w:val="20"/>
                <w:szCs w:val="20"/>
              </w:rPr>
            </w:pPr>
            <w:r>
              <w:rPr>
                <w:color w:val="000000"/>
                <w:sz w:val="20"/>
                <w:szCs w:val="20"/>
              </w:rPr>
              <w:t>1,07%</w:t>
            </w:r>
          </w:p>
        </w:tc>
        <w:tc>
          <w:tcPr>
            <w:tcW w:w="2047" w:type="dxa"/>
            <w:vAlign w:val="center"/>
          </w:tcPr>
          <w:p w14:paraId="50FF1F14">
            <w:pPr>
              <w:jc w:val="center"/>
              <w:rPr>
                <w:color w:val="000000"/>
                <w:sz w:val="20"/>
                <w:szCs w:val="20"/>
              </w:rPr>
            </w:pPr>
            <w:r>
              <w:rPr>
                <w:color w:val="000000"/>
                <w:sz w:val="20"/>
                <w:szCs w:val="20"/>
              </w:rPr>
              <w:t>1.905,7</w:t>
            </w:r>
          </w:p>
        </w:tc>
        <w:tc>
          <w:tcPr>
            <w:tcW w:w="1276" w:type="dxa"/>
            <w:vAlign w:val="center"/>
          </w:tcPr>
          <w:p w14:paraId="665824F2">
            <w:pPr>
              <w:jc w:val="center"/>
              <w:rPr>
                <w:color w:val="000000"/>
                <w:sz w:val="20"/>
                <w:szCs w:val="20"/>
              </w:rPr>
            </w:pPr>
            <w:r>
              <w:rPr>
                <w:color w:val="000000"/>
                <w:sz w:val="20"/>
                <w:szCs w:val="20"/>
              </w:rPr>
              <w:t>9.528,30</w:t>
            </w:r>
          </w:p>
        </w:tc>
        <w:tc>
          <w:tcPr>
            <w:tcW w:w="992" w:type="dxa"/>
            <w:vAlign w:val="center"/>
          </w:tcPr>
          <w:p w14:paraId="5E8E3A38">
            <w:pPr>
              <w:jc w:val="center"/>
              <w:rPr>
                <w:color w:val="000000"/>
                <w:sz w:val="20"/>
                <w:szCs w:val="20"/>
              </w:rPr>
            </w:pPr>
            <w:r>
              <w:rPr>
                <w:color w:val="000000"/>
                <w:sz w:val="20"/>
                <w:szCs w:val="20"/>
              </w:rPr>
              <w:t>90</w:t>
            </w:r>
          </w:p>
        </w:tc>
        <w:tc>
          <w:tcPr>
            <w:tcW w:w="992" w:type="dxa"/>
            <w:vAlign w:val="center"/>
          </w:tcPr>
          <w:p w14:paraId="115C5C2D">
            <w:pPr>
              <w:jc w:val="center"/>
              <w:rPr>
                <w:color w:val="000000"/>
                <w:sz w:val="20"/>
                <w:szCs w:val="20"/>
              </w:rPr>
            </w:pPr>
            <w:r>
              <w:rPr>
                <w:color w:val="000000"/>
                <w:sz w:val="20"/>
                <w:szCs w:val="20"/>
              </w:rPr>
              <w:t>5</w:t>
            </w:r>
          </w:p>
        </w:tc>
        <w:tc>
          <w:tcPr>
            <w:tcW w:w="1134" w:type="dxa"/>
            <w:vAlign w:val="center"/>
          </w:tcPr>
          <w:p w14:paraId="1F48D80E">
            <w:pPr>
              <w:jc w:val="center"/>
              <w:rPr>
                <w:color w:val="000000"/>
                <w:sz w:val="20"/>
                <w:szCs w:val="20"/>
              </w:rPr>
            </w:pPr>
            <w:r>
              <w:rPr>
                <w:color w:val="000000"/>
                <w:sz w:val="20"/>
                <w:szCs w:val="20"/>
              </w:rPr>
              <w:t>4,5</w:t>
            </w:r>
          </w:p>
        </w:tc>
        <w:tc>
          <w:tcPr>
            <w:tcW w:w="993" w:type="dxa"/>
            <w:vAlign w:val="center"/>
          </w:tcPr>
          <w:p w14:paraId="48956348">
            <w:pPr>
              <w:jc w:val="center"/>
              <w:rPr>
                <w:color w:val="000000"/>
                <w:sz w:val="20"/>
                <w:szCs w:val="20"/>
              </w:rPr>
            </w:pPr>
            <w:r>
              <w:rPr>
                <w:color w:val="000000"/>
                <w:sz w:val="20"/>
                <w:szCs w:val="20"/>
              </w:rPr>
              <w:t>13</w:t>
            </w:r>
          </w:p>
        </w:tc>
        <w:tc>
          <w:tcPr>
            <w:tcW w:w="992" w:type="dxa"/>
            <w:vAlign w:val="center"/>
          </w:tcPr>
          <w:p w14:paraId="260EA4F6">
            <w:pPr>
              <w:jc w:val="center"/>
              <w:rPr>
                <w:color w:val="000000"/>
                <w:sz w:val="20"/>
                <w:szCs w:val="20"/>
              </w:rPr>
            </w:pPr>
          </w:p>
        </w:tc>
      </w:tr>
      <w:tr w14:paraId="5C2D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10" w:type="dxa"/>
            <w:noWrap/>
            <w:vAlign w:val="center"/>
          </w:tcPr>
          <w:p w14:paraId="6990858B">
            <w:pPr>
              <w:jc w:val="center"/>
              <w:rPr>
                <w:color w:val="000000"/>
                <w:sz w:val="20"/>
                <w:szCs w:val="20"/>
              </w:rPr>
            </w:pPr>
          </w:p>
        </w:tc>
        <w:tc>
          <w:tcPr>
            <w:tcW w:w="2409" w:type="dxa"/>
            <w:vAlign w:val="center"/>
          </w:tcPr>
          <w:p w14:paraId="6860258C">
            <w:pPr>
              <w:rPr>
                <w:color w:val="000000"/>
                <w:sz w:val="20"/>
                <w:szCs w:val="20"/>
              </w:rPr>
            </w:pPr>
            <w:r>
              <w:rPr>
                <w:color w:val="000000"/>
                <w:sz w:val="20"/>
                <w:szCs w:val="20"/>
              </w:rPr>
              <w:t>Nhà ở hiện trạng cải tạo 02</w:t>
            </w:r>
          </w:p>
        </w:tc>
        <w:tc>
          <w:tcPr>
            <w:tcW w:w="1033" w:type="dxa"/>
            <w:vAlign w:val="center"/>
          </w:tcPr>
          <w:p w14:paraId="4B8D55F5">
            <w:pPr>
              <w:jc w:val="center"/>
              <w:rPr>
                <w:color w:val="000000"/>
                <w:sz w:val="20"/>
                <w:szCs w:val="20"/>
              </w:rPr>
            </w:pPr>
            <w:r>
              <w:rPr>
                <w:color w:val="000000"/>
                <w:sz w:val="20"/>
                <w:szCs w:val="20"/>
              </w:rPr>
              <w:t>HT02</w:t>
            </w:r>
          </w:p>
        </w:tc>
        <w:tc>
          <w:tcPr>
            <w:tcW w:w="1459" w:type="dxa"/>
            <w:vAlign w:val="center"/>
          </w:tcPr>
          <w:p w14:paraId="082779A4">
            <w:pPr>
              <w:jc w:val="center"/>
              <w:rPr>
                <w:color w:val="000000"/>
                <w:sz w:val="20"/>
                <w:szCs w:val="20"/>
              </w:rPr>
            </w:pPr>
            <w:r>
              <w:rPr>
                <w:color w:val="000000"/>
                <w:sz w:val="20"/>
                <w:szCs w:val="20"/>
              </w:rPr>
              <w:t>10.735,20</w:t>
            </w:r>
          </w:p>
        </w:tc>
        <w:tc>
          <w:tcPr>
            <w:tcW w:w="1273" w:type="dxa"/>
            <w:vAlign w:val="center"/>
          </w:tcPr>
          <w:p w14:paraId="6D722FB0">
            <w:pPr>
              <w:jc w:val="center"/>
              <w:rPr>
                <w:color w:val="000000"/>
                <w:sz w:val="20"/>
                <w:szCs w:val="20"/>
              </w:rPr>
            </w:pPr>
            <w:r>
              <w:rPr>
                <w:color w:val="000000"/>
                <w:sz w:val="20"/>
                <w:szCs w:val="20"/>
              </w:rPr>
              <w:t>5,42%</w:t>
            </w:r>
          </w:p>
        </w:tc>
        <w:tc>
          <w:tcPr>
            <w:tcW w:w="2047" w:type="dxa"/>
            <w:vAlign w:val="center"/>
          </w:tcPr>
          <w:p w14:paraId="509C6C19">
            <w:pPr>
              <w:jc w:val="center"/>
              <w:rPr>
                <w:color w:val="000000"/>
                <w:sz w:val="20"/>
                <w:szCs w:val="20"/>
              </w:rPr>
            </w:pPr>
            <w:r>
              <w:rPr>
                <w:color w:val="000000"/>
                <w:sz w:val="20"/>
                <w:szCs w:val="20"/>
              </w:rPr>
              <w:t>9.661,7</w:t>
            </w:r>
          </w:p>
        </w:tc>
        <w:tc>
          <w:tcPr>
            <w:tcW w:w="1276" w:type="dxa"/>
            <w:vAlign w:val="center"/>
          </w:tcPr>
          <w:p w14:paraId="1BEBC9FC">
            <w:pPr>
              <w:jc w:val="center"/>
              <w:rPr>
                <w:color w:val="000000"/>
                <w:sz w:val="20"/>
                <w:szCs w:val="20"/>
              </w:rPr>
            </w:pPr>
            <w:r>
              <w:rPr>
                <w:color w:val="000000"/>
                <w:sz w:val="20"/>
                <w:szCs w:val="20"/>
              </w:rPr>
              <w:t>48.308,40</w:t>
            </w:r>
          </w:p>
        </w:tc>
        <w:tc>
          <w:tcPr>
            <w:tcW w:w="992" w:type="dxa"/>
            <w:vAlign w:val="center"/>
          </w:tcPr>
          <w:p w14:paraId="3FB0864A">
            <w:pPr>
              <w:jc w:val="center"/>
              <w:rPr>
                <w:color w:val="000000"/>
                <w:sz w:val="20"/>
                <w:szCs w:val="20"/>
              </w:rPr>
            </w:pPr>
            <w:r>
              <w:rPr>
                <w:color w:val="000000"/>
                <w:sz w:val="20"/>
                <w:szCs w:val="20"/>
              </w:rPr>
              <w:t>90</w:t>
            </w:r>
          </w:p>
        </w:tc>
        <w:tc>
          <w:tcPr>
            <w:tcW w:w="992" w:type="dxa"/>
            <w:vAlign w:val="center"/>
          </w:tcPr>
          <w:p w14:paraId="721C9222">
            <w:pPr>
              <w:jc w:val="center"/>
              <w:rPr>
                <w:color w:val="000000"/>
                <w:sz w:val="20"/>
                <w:szCs w:val="20"/>
              </w:rPr>
            </w:pPr>
            <w:r>
              <w:rPr>
                <w:color w:val="000000"/>
                <w:sz w:val="20"/>
                <w:szCs w:val="20"/>
              </w:rPr>
              <w:t>5</w:t>
            </w:r>
          </w:p>
        </w:tc>
        <w:tc>
          <w:tcPr>
            <w:tcW w:w="1134" w:type="dxa"/>
            <w:vAlign w:val="center"/>
          </w:tcPr>
          <w:p w14:paraId="4D1F069B">
            <w:pPr>
              <w:jc w:val="center"/>
              <w:rPr>
                <w:color w:val="000000"/>
                <w:sz w:val="20"/>
                <w:szCs w:val="20"/>
              </w:rPr>
            </w:pPr>
            <w:r>
              <w:rPr>
                <w:color w:val="000000"/>
                <w:sz w:val="20"/>
                <w:szCs w:val="20"/>
              </w:rPr>
              <w:t>4,5</w:t>
            </w:r>
          </w:p>
        </w:tc>
        <w:tc>
          <w:tcPr>
            <w:tcW w:w="993" w:type="dxa"/>
            <w:vAlign w:val="center"/>
          </w:tcPr>
          <w:p w14:paraId="3A4D43A6">
            <w:pPr>
              <w:jc w:val="center"/>
              <w:rPr>
                <w:color w:val="000000"/>
                <w:sz w:val="20"/>
                <w:szCs w:val="20"/>
              </w:rPr>
            </w:pPr>
            <w:r>
              <w:rPr>
                <w:color w:val="000000"/>
                <w:sz w:val="20"/>
                <w:szCs w:val="20"/>
              </w:rPr>
              <w:t>68</w:t>
            </w:r>
          </w:p>
        </w:tc>
        <w:tc>
          <w:tcPr>
            <w:tcW w:w="992" w:type="dxa"/>
            <w:vAlign w:val="center"/>
          </w:tcPr>
          <w:p w14:paraId="4128FAE4">
            <w:pPr>
              <w:jc w:val="center"/>
              <w:rPr>
                <w:color w:val="000000"/>
                <w:sz w:val="20"/>
                <w:szCs w:val="20"/>
              </w:rPr>
            </w:pPr>
          </w:p>
        </w:tc>
      </w:tr>
      <w:tr w14:paraId="597F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64A57A65">
            <w:pPr>
              <w:jc w:val="center"/>
              <w:rPr>
                <w:color w:val="000000"/>
                <w:sz w:val="20"/>
                <w:szCs w:val="20"/>
              </w:rPr>
            </w:pPr>
          </w:p>
        </w:tc>
        <w:tc>
          <w:tcPr>
            <w:tcW w:w="2409" w:type="dxa"/>
            <w:vAlign w:val="center"/>
          </w:tcPr>
          <w:p w14:paraId="3B556D1A">
            <w:pPr>
              <w:rPr>
                <w:color w:val="000000"/>
                <w:sz w:val="20"/>
                <w:szCs w:val="20"/>
              </w:rPr>
            </w:pPr>
            <w:r>
              <w:rPr>
                <w:color w:val="000000"/>
                <w:sz w:val="20"/>
                <w:szCs w:val="20"/>
              </w:rPr>
              <w:t>Nhà ở hiện trạng cải tạo 03</w:t>
            </w:r>
          </w:p>
        </w:tc>
        <w:tc>
          <w:tcPr>
            <w:tcW w:w="1033" w:type="dxa"/>
            <w:vAlign w:val="center"/>
          </w:tcPr>
          <w:p w14:paraId="57475450">
            <w:pPr>
              <w:jc w:val="center"/>
              <w:rPr>
                <w:color w:val="000000"/>
                <w:sz w:val="20"/>
                <w:szCs w:val="20"/>
              </w:rPr>
            </w:pPr>
            <w:r>
              <w:rPr>
                <w:color w:val="000000"/>
                <w:sz w:val="20"/>
                <w:szCs w:val="20"/>
              </w:rPr>
              <w:t>HT03</w:t>
            </w:r>
          </w:p>
        </w:tc>
        <w:tc>
          <w:tcPr>
            <w:tcW w:w="1459" w:type="dxa"/>
            <w:vAlign w:val="center"/>
          </w:tcPr>
          <w:p w14:paraId="667A610B">
            <w:pPr>
              <w:jc w:val="center"/>
              <w:rPr>
                <w:color w:val="000000"/>
                <w:sz w:val="20"/>
                <w:szCs w:val="20"/>
              </w:rPr>
            </w:pPr>
            <w:r>
              <w:rPr>
                <w:color w:val="000000"/>
                <w:sz w:val="20"/>
                <w:szCs w:val="20"/>
              </w:rPr>
              <w:t>4.096,00</w:t>
            </w:r>
          </w:p>
        </w:tc>
        <w:tc>
          <w:tcPr>
            <w:tcW w:w="1273" w:type="dxa"/>
            <w:vAlign w:val="center"/>
          </w:tcPr>
          <w:p w14:paraId="7FE9D6FB">
            <w:pPr>
              <w:jc w:val="center"/>
              <w:rPr>
                <w:color w:val="000000"/>
                <w:sz w:val="20"/>
                <w:szCs w:val="20"/>
              </w:rPr>
            </w:pPr>
            <w:r>
              <w:rPr>
                <w:color w:val="000000"/>
                <w:sz w:val="20"/>
                <w:szCs w:val="20"/>
              </w:rPr>
              <w:t>2,07%</w:t>
            </w:r>
          </w:p>
        </w:tc>
        <w:tc>
          <w:tcPr>
            <w:tcW w:w="2047" w:type="dxa"/>
            <w:vAlign w:val="center"/>
          </w:tcPr>
          <w:p w14:paraId="48E96247">
            <w:pPr>
              <w:jc w:val="center"/>
              <w:rPr>
                <w:color w:val="000000"/>
                <w:sz w:val="20"/>
                <w:szCs w:val="20"/>
              </w:rPr>
            </w:pPr>
            <w:r>
              <w:rPr>
                <w:color w:val="000000"/>
                <w:sz w:val="20"/>
                <w:szCs w:val="20"/>
              </w:rPr>
              <w:t>3.686,4</w:t>
            </w:r>
          </w:p>
        </w:tc>
        <w:tc>
          <w:tcPr>
            <w:tcW w:w="1276" w:type="dxa"/>
            <w:vAlign w:val="center"/>
          </w:tcPr>
          <w:p w14:paraId="3C6C2AD0">
            <w:pPr>
              <w:jc w:val="center"/>
              <w:rPr>
                <w:color w:val="000000"/>
                <w:sz w:val="20"/>
                <w:szCs w:val="20"/>
              </w:rPr>
            </w:pPr>
            <w:r>
              <w:rPr>
                <w:color w:val="000000"/>
                <w:sz w:val="20"/>
                <w:szCs w:val="20"/>
              </w:rPr>
              <w:t>18.432,00</w:t>
            </w:r>
          </w:p>
        </w:tc>
        <w:tc>
          <w:tcPr>
            <w:tcW w:w="992" w:type="dxa"/>
            <w:vAlign w:val="center"/>
          </w:tcPr>
          <w:p w14:paraId="1CB3526B">
            <w:pPr>
              <w:jc w:val="center"/>
              <w:rPr>
                <w:color w:val="000000"/>
                <w:sz w:val="20"/>
                <w:szCs w:val="20"/>
              </w:rPr>
            </w:pPr>
            <w:r>
              <w:rPr>
                <w:color w:val="000000"/>
                <w:sz w:val="20"/>
                <w:szCs w:val="20"/>
              </w:rPr>
              <w:t>90</w:t>
            </w:r>
          </w:p>
        </w:tc>
        <w:tc>
          <w:tcPr>
            <w:tcW w:w="992" w:type="dxa"/>
            <w:vAlign w:val="center"/>
          </w:tcPr>
          <w:p w14:paraId="266D9915">
            <w:pPr>
              <w:jc w:val="center"/>
              <w:rPr>
                <w:color w:val="000000"/>
                <w:sz w:val="20"/>
                <w:szCs w:val="20"/>
              </w:rPr>
            </w:pPr>
            <w:r>
              <w:rPr>
                <w:color w:val="000000"/>
                <w:sz w:val="20"/>
                <w:szCs w:val="20"/>
              </w:rPr>
              <w:t>5</w:t>
            </w:r>
          </w:p>
        </w:tc>
        <w:tc>
          <w:tcPr>
            <w:tcW w:w="1134" w:type="dxa"/>
            <w:vAlign w:val="center"/>
          </w:tcPr>
          <w:p w14:paraId="559675AC">
            <w:pPr>
              <w:jc w:val="center"/>
              <w:rPr>
                <w:color w:val="000000"/>
                <w:sz w:val="20"/>
                <w:szCs w:val="20"/>
              </w:rPr>
            </w:pPr>
            <w:r>
              <w:rPr>
                <w:color w:val="000000"/>
                <w:sz w:val="20"/>
                <w:szCs w:val="20"/>
              </w:rPr>
              <w:t>4,5</w:t>
            </w:r>
          </w:p>
        </w:tc>
        <w:tc>
          <w:tcPr>
            <w:tcW w:w="993" w:type="dxa"/>
            <w:vAlign w:val="center"/>
          </w:tcPr>
          <w:p w14:paraId="082D266C">
            <w:pPr>
              <w:jc w:val="center"/>
              <w:rPr>
                <w:color w:val="000000"/>
                <w:sz w:val="20"/>
                <w:szCs w:val="20"/>
              </w:rPr>
            </w:pPr>
            <w:r>
              <w:rPr>
                <w:color w:val="000000"/>
                <w:sz w:val="20"/>
                <w:szCs w:val="20"/>
              </w:rPr>
              <w:t>26</w:t>
            </w:r>
          </w:p>
        </w:tc>
        <w:tc>
          <w:tcPr>
            <w:tcW w:w="992" w:type="dxa"/>
            <w:vAlign w:val="center"/>
          </w:tcPr>
          <w:p w14:paraId="4727B608">
            <w:pPr>
              <w:jc w:val="center"/>
              <w:rPr>
                <w:b/>
                <w:bCs/>
                <w:color w:val="000000"/>
                <w:sz w:val="20"/>
                <w:szCs w:val="20"/>
              </w:rPr>
            </w:pPr>
          </w:p>
        </w:tc>
      </w:tr>
      <w:tr w14:paraId="5CAF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7CC60802">
            <w:pPr>
              <w:jc w:val="center"/>
              <w:rPr>
                <w:color w:val="000000"/>
                <w:sz w:val="20"/>
                <w:szCs w:val="20"/>
              </w:rPr>
            </w:pPr>
          </w:p>
        </w:tc>
        <w:tc>
          <w:tcPr>
            <w:tcW w:w="2409" w:type="dxa"/>
            <w:vAlign w:val="center"/>
          </w:tcPr>
          <w:p w14:paraId="542E1D8D">
            <w:pPr>
              <w:rPr>
                <w:color w:val="000000"/>
                <w:sz w:val="20"/>
                <w:szCs w:val="20"/>
              </w:rPr>
            </w:pPr>
            <w:r>
              <w:rPr>
                <w:color w:val="000000"/>
                <w:sz w:val="20"/>
                <w:szCs w:val="20"/>
              </w:rPr>
              <w:t>Nhà ở hiện trạng cải tạo 04</w:t>
            </w:r>
          </w:p>
        </w:tc>
        <w:tc>
          <w:tcPr>
            <w:tcW w:w="1033" w:type="dxa"/>
            <w:vAlign w:val="center"/>
          </w:tcPr>
          <w:p w14:paraId="08308890">
            <w:pPr>
              <w:jc w:val="center"/>
              <w:rPr>
                <w:color w:val="000000"/>
                <w:sz w:val="20"/>
                <w:szCs w:val="20"/>
              </w:rPr>
            </w:pPr>
            <w:r>
              <w:rPr>
                <w:color w:val="000000"/>
                <w:sz w:val="20"/>
                <w:szCs w:val="20"/>
              </w:rPr>
              <w:t>HT04</w:t>
            </w:r>
          </w:p>
        </w:tc>
        <w:tc>
          <w:tcPr>
            <w:tcW w:w="1459" w:type="dxa"/>
            <w:vAlign w:val="center"/>
          </w:tcPr>
          <w:p w14:paraId="48F3A3B9">
            <w:pPr>
              <w:jc w:val="center"/>
              <w:rPr>
                <w:color w:val="000000"/>
                <w:sz w:val="20"/>
                <w:szCs w:val="20"/>
              </w:rPr>
            </w:pPr>
            <w:r>
              <w:rPr>
                <w:color w:val="000000"/>
                <w:sz w:val="20"/>
                <w:szCs w:val="20"/>
              </w:rPr>
              <w:t>3.545,30</w:t>
            </w:r>
          </w:p>
        </w:tc>
        <w:tc>
          <w:tcPr>
            <w:tcW w:w="1273" w:type="dxa"/>
            <w:vAlign w:val="center"/>
          </w:tcPr>
          <w:p w14:paraId="45DCDEE0">
            <w:pPr>
              <w:jc w:val="center"/>
              <w:rPr>
                <w:color w:val="000000"/>
                <w:sz w:val="20"/>
                <w:szCs w:val="20"/>
              </w:rPr>
            </w:pPr>
            <w:r>
              <w:rPr>
                <w:color w:val="000000"/>
                <w:sz w:val="20"/>
                <w:szCs w:val="20"/>
              </w:rPr>
              <w:t>1,79%</w:t>
            </w:r>
          </w:p>
        </w:tc>
        <w:tc>
          <w:tcPr>
            <w:tcW w:w="2047" w:type="dxa"/>
            <w:vAlign w:val="center"/>
          </w:tcPr>
          <w:p w14:paraId="455F1C14">
            <w:pPr>
              <w:jc w:val="center"/>
              <w:rPr>
                <w:color w:val="000000"/>
                <w:sz w:val="20"/>
                <w:szCs w:val="20"/>
              </w:rPr>
            </w:pPr>
            <w:r>
              <w:rPr>
                <w:color w:val="000000"/>
                <w:sz w:val="20"/>
                <w:szCs w:val="20"/>
              </w:rPr>
              <w:t>3.190,8</w:t>
            </w:r>
          </w:p>
        </w:tc>
        <w:tc>
          <w:tcPr>
            <w:tcW w:w="1276" w:type="dxa"/>
            <w:vAlign w:val="center"/>
          </w:tcPr>
          <w:p w14:paraId="6CC509E6">
            <w:pPr>
              <w:jc w:val="center"/>
              <w:rPr>
                <w:color w:val="000000"/>
                <w:sz w:val="20"/>
                <w:szCs w:val="20"/>
              </w:rPr>
            </w:pPr>
            <w:r>
              <w:rPr>
                <w:color w:val="000000"/>
                <w:sz w:val="20"/>
                <w:szCs w:val="20"/>
              </w:rPr>
              <w:t>15.953,85</w:t>
            </w:r>
          </w:p>
        </w:tc>
        <w:tc>
          <w:tcPr>
            <w:tcW w:w="992" w:type="dxa"/>
            <w:vAlign w:val="center"/>
          </w:tcPr>
          <w:p w14:paraId="5E19A634">
            <w:pPr>
              <w:jc w:val="center"/>
              <w:rPr>
                <w:color w:val="000000"/>
                <w:sz w:val="20"/>
                <w:szCs w:val="20"/>
              </w:rPr>
            </w:pPr>
            <w:r>
              <w:rPr>
                <w:color w:val="000000"/>
                <w:sz w:val="20"/>
                <w:szCs w:val="20"/>
              </w:rPr>
              <w:t>90</w:t>
            </w:r>
          </w:p>
        </w:tc>
        <w:tc>
          <w:tcPr>
            <w:tcW w:w="992" w:type="dxa"/>
            <w:vAlign w:val="center"/>
          </w:tcPr>
          <w:p w14:paraId="1909F73A">
            <w:pPr>
              <w:jc w:val="center"/>
              <w:rPr>
                <w:color w:val="000000"/>
                <w:sz w:val="20"/>
                <w:szCs w:val="20"/>
              </w:rPr>
            </w:pPr>
            <w:r>
              <w:rPr>
                <w:color w:val="000000"/>
                <w:sz w:val="20"/>
                <w:szCs w:val="20"/>
              </w:rPr>
              <w:t>5</w:t>
            </w:r>
          </w:p>
        </w:tc>
        <w:tc>
          <w:tcPr>
            <w:tcW w:w="1134" w:type="dxa"/>
            <w:vAlign w:val="center"/>
          </w:tcPr>
          <w:p w14:paraId="2E5E39D9">
            <w:pPr>
              <w:jc w:val="center"/>
              <w:rPr>
                <w:color w:val="000000"/>
                <w:sz w:val="20"/>
                <w:szCs w:val="20"/>
              </w:rPr>
            </w:pPr>
            <w:r>
              <w:rPr>
                <w:color w:val="000000"/>
                <w:sz w:val="20"/>
                <w:szCs w:val="20"/>
              </w:rPr>
              <w:t>4,5</w:t>
            </w:r>
          </w:p>
        </w:tc>
        <w:tc>
          <w:tcPr>
            <w:tcW w:w="993" w:type="dxa"/>
            <w:vAlign w:val="center"/>
          </w:tcPr>
          <w:p w14:paraId="6FDE0223">
            <w:pPr>
              <w:jc w:val="center"/>
              <w:rPr>
                <w:color w:val="000000"/>
                <w:sz w:val="20"/>
                <w:szCs w:val="20"/>
              </w:rPr>
            </w:pPr>
            <w:r>
              <w:rPr>
                <w:color w:val="000000"/>
                <w:sz w:val="20"/>
                <w:szCs w:val="20"/>
              </w:rPr>
              <w:t>22</w:t>
            </w:r>
          </w:p>
        </w:tc>
        <w:tc>
          <w:tcPr>
            <w:tcW w:w="992" w:type="dxa"/>
            <w:vAlign w:val="center"/>
          </w:tcPr>
          <w:p w14:paraId="3304DD6B">
            <w:pPr>
              <w:jc w:val="center"/>
              <w:rPr>
                <w:b/>
                <w:bCs/>
                <w:color w:val="000000"/>
                <w:sz w:val="20"/>
                <w:szCs w:val="20"/>
              </w:rPr>
            </w:pPr>
          </w:p>
        </w:tc>
      </w:tr>
      <w:tr w14:paraId="0B5A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47E4AE83">
            <w:pPr>
              <w:jc w:val="center"/>
              <w:rPr>
                <w:color w:val="000000"/>
                <w:sz w:val="20"/>
                <w:szCs w:val="20"/>
              </w:rPr>
            </w:pPr>
          </w:p>
        </w:tc>
        <w:tc>
          <w:tcPr>
            <w:tcW w:w="2409" w:type="dxa"/>
            <w:vAlign w:val="center"/>
          </w:tcPr>
          <w:p w14:paraId="2B07B5C7">
            <w:pPr>
              <w:rPr>
                <w:color w:val="000000"/>
                <w:sz w:val="20"/>
                <w:szCs w:val="20"/>
              </w:rPr>
            </w:pPr>
            <w:r>
              <w:rPr>
                <w:color w:val="000000"/>
                <w:sz w:val="20"/>
                <w:szCs w:val="20"/>
              </w:rPr>
              <w:t>Nhà ở hiện trạng cải tạo 05</w:t>
            </w:r>
          </w:p>
        </w:tc>
        <w:tc>
          <w:tcPr>
            <w:tcW w:w="1033" w:type="dxa"/>
            <w:vAlign w:val="center"/>
          </w:tcPr>
          <w:p w14:paraId="61D55321">
            <w:pPr>
              <w:jc w:val="center"/>
              <w:rPr>
                <w:color w:val="000000"/>
                <w:sz w:val="20"/>
                <w:szCs w:val="20"/>
              </w:rPr>
            </w:pPr>
            <w:r>
              <w:rPr>
                <w:color w:val="000000"/>
                <w:sz w:val="20"/>
                <w:szCs w:val="20"/>
              </w:rPr>
              <w:t>HT05</w:t>
            </w:r>
          </w:p>
        </w:tc>
        <w:tc>
          <w:tcPr>
            <w:tcW w:w="1459" w:type="dxa"/>
            <w:vAlign w:val="center"/>
          </w:tcPr>
          <w:p w14:paraId="4FE30FE6">
            <w:pPr>
              <w:jc w:val="center"/>
              <w:rPr>
                <w:color w:val="000000"/>
                <w:sz w:val="20"/>
                <w:szCs w:val="20"/>
              </w:rPr>
            </w:pPr>
            <w:r>
              <w:rPr>
                <w:color w:val="000000"/>
                <w:sz w:val="20"/>
                <w:szCs w:val="20"/>
              </w:rPr>
              <w:t>1.996,30</w:t>
            </w:r>
          </w:p>
        </w:tc>
        <w:tc>
          <w:tcPr>
            <w:tcW w:w="1273" w:type="dxa"/>
            <w:vAlign w:val="center"/>
          </w:tcPr>
          <w:p w14:paraId="54E5CE82">
            <w:pPr>
              <w:jc w:val="center"/>
              <w:rPr>
                <w:color w:val="000000"/>
                <w:sz w:val="20"/>
                <w:szCs w:val="20"/>
              </w:rPr>
            </w:pPr>
            <w:r>
              <w:rPr>
                <w:color w:val="000000"/>
                <w:sz w:val="20"/>
                <w:szCs w:val="20"/>
              </w:rPr>
              <w:t>1,01%</w:t>
            </w:r>
          </w:p>
        </w:tc>
        <w:tc>
          <w:tcPr>
            <w:tcW w:w="2047" w:type="dxa"/>
            <w:vAlign w:val="center"/>
          </w:tcPr>
          <w:p w14:paraId="0F3036E8">
            <w:pPr>
              <w:jc w:val="center"/>
              <w:rPr>
                <w:color w:val="000000"/>
                <w:sz w:val="20"/>
                <w:szCs w:val="20"/>
              </w:rPr>
            </w:pPr>
            <w:r>
              <w:rPr>
                <w:color w:val="000000"/>
                <w:sz w:val="20"/>
                <w:szCs w:val="20"/>
              </w:rPr>
              <w:t>1.796,7</w:t>
            </w:r>
          </w:p>
        </w:tc>
        <w:tc>
          <w:tcPr>
            <w:tcW w:w="1276" w:type="dxa"/>
            <w:vAlign w:val="center"/>
          </w:tcPr>
          <w:p w14:paraId="47B7286A">
            <w:pPr>
              <w:jc w:val="center"/>
              <w:rPr>
                <w:color w:val="000000"/>
                <w:sz w:val="20"/>
                <w:szCs w:val="20"/>
              </w:rPr>
            </w:pPr>
            <w:r>
              <w:rPr>
                <w:color w:val="000000"/>
                <w:sz w:val="20"/>
                <w:szCs w:val="20"/>
              </w:rPr>
              <w:t>8.983,35</w:t>
            </w:r>
          </w:p>
        </w:tc>
        <w:tc>
          <w:tcPr>
            <w:tcW w:w="992" w:type="dxa"/>
            <w:vAlign w:val="center"/>
          </w:tcPr>
          <w:p w14:paraId="589644F2">
            <w:pPr>
              <w:jc w:val="center"/>
              <w:rPr>
                <w:color w:val="000000"/>
                <w:sz w:val="20"/>
                <w:szCs w:val="20"/>
              </w:rPr>
            </w:pPr>
            <w:r>
              <w:rPr>
                <w:color w:val="000000"/>
                <w:sz w:val="20"/>
                <w:szCs w:val="20"/>
              </w:rPr>
              <w:t>90</w:t>
            </w:r>
          </w:p>
        </w:tc>
        <w:tc>
          <w:tcPr>
            <w:tcW w:w="992" w:type="dxa"/>
            <w:vAlign w:val="center"/>
          </w:tcPr>
          <w:p w14:paraId="17DFDAF9">
            <w:pPr>
              <w:jc w:val="center"/>
              <w:rPr>
                <w:color w:val="000000"/>
                <w:sz w:val="20"/>
                <w:szCs w:val="20"/>
              </w:rPr>
            </w:pPr>
            <w:r>
              <w:rPr>
                <w:color w:val="000000"/>
                <w:sz w:val="20"/>
                <w:szCs w:val="20"/>
              </w:rPr>
              <w:t>5</w:t>
            </w:r>
          </w:p>
        </w:tc>
        <w:tc>
          <w:tcPr>
            <w:tcW w:w="1134" w:type="dxa"/>
            <w:vAlign w:val="center"/>
          </w:tcPr>
          <w:p w14:paraId="01E03AE2">
            <w:pPr>
              <w:jc w:val="center"/>
              <w:rPr>
                <w:color w:val="000000"/>
                <w:sz w:val="20"/>
                <w:szCs w:val="20"/>
              </w:rPr>
            </w:pPr>
            <w:r>
              <w:rPr>
                <w:color w:val="000000"/>
                <w:sz w:val="20"/>
                <w:szCs w:val="20"/>
              </w:rPr>
              <w:t>4,5</w:t>
            </w:r>
          </w:p>
        </w:tc>
        <w:tc>
          <w:tcPr>
            <w:tcW w:w="993" w:type="dxa"/>
            <w:vAlign w:val="center"/>
          </w:tcPr>
          <w:p w14:paraId="123F9AF7">
            <w:pPr>
              <w:jc w:val="center"/>
              <w:rPr>
                <w:color w:val="000000"/>
                <w:sz w:val="20"/>
                <w:szCs w:val="20"/>
              </w:rPr>
            </w:pPr>
            <w:r>
              <w:rPr>
                <w:color w:val="000000"/>
                <w:sz w:val="20"/>
                <w:szCs w:val="20"/>
              </w:rPr>
              <w:t>13</w:t>
            </w:r>
          </w:p>
        </w:tc>
        <w:tc>
          <w:tcPr>
            <w:tcW w:w="992" w:type="dxa"/>
            <w:vAlign w:val="center"/>
          </w:tcPr>
          <w:p w14:paraId="2D28A550">
            <w:pPr>
              <w:jc w:val="center"/>
              <w:rPr>
                <w:color w:val="000000"/>
                <w:sz w:val="20"/>
                <w:szCs w:val="20"/>
              </w:rPr>
            </w:pPr>
          </w:p>
        </w:tc>
      </w:tr>
      <w:tr w14:paraId="507F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345D7E78">
            <w:pPr>
              <w:jc w:val="center"/>
              <w:rPr>
                <w:color w:val="000000"/>
                <w:sz w:val="20"/>
                <w:szCs w:val="20"/>
              </w:rPr>
            </w:pPr>
          </w:p>
        </w:tc>
        <w:tc>
          <w:tcPr>
            <w:tcW w:w="2409" w:type="dxa"/>
            <w:vAlign w:val="center"/>
          </w:tcPr>
          <w:p w14:paraId="01C9A387">
            <w:pPr>
              <w:rPr>
                <w:color w:val="000000"/>
                <w:sz w:val="20"/>
                <w:szCs w:val="20"/>
              </w:rPr>
            </w:pPr>
            <w:r>
              <w:rPr>
                <w:color w:val="000000"/>
                <w:sz w:val="20"/>
                <w:szCs w:val="20"/>
              </w:rPr>
              <w:t>Nhà ở hiện trạng cải tạo 06</w:t>
            </w:r>
          </w:p>
        </w:tc>
        <w:tc>
          <w:tcPr>
            <w:tcW w:w="1033" w:type="dxa"/>
            <w:vAlign w:val="center"/>
          </w:tcPr>
          <w:p w14:paraId="2F933508">
            <w:pPr>
              <w:jc w:val="center"/>
              <w:rPr>
                <w:color w:val="000000"/>
                <w:sz w:val="20"/>
                <w:szCs w:val="20"/>
              </w:rPr>
            </w:pPr>
            <w:r>
              <w:rPr>
                <w:color w:val="000000"/>
                <w:sz w:val="20"/>
                <w:szCs w:val="20"/>
              </w:rPr>
              <w:t>HT06</w:t>
            </w:r>
          </w:p>
        </w:tc>
        <w:tc>
          <w:tcPr>
            <w:tcW w:w="1459" w:type="dxa"/>
            <w:vAlign w:val="center"/>
          </w:tcPr>
          <w:p w14:paraId="3D663638">
            <w:pPr>
              <w:jc w:val="center"/>
              <w:rPr>
                <w:color w:val="000000"/>
                <w:sz w:val="20"/>
                <w:szCs w:val="20"/>
              </w:rPr>
            </w:pPr>
            <w:r>
              <w:rPr>
                <w:color w:val="000000"/>
                <w:sz w:val="20"/>
                <w:szCs w:val="20"/>
              </w:rPr>
              <w:t>1.236,90</w:t>
            </w:r>
          </w:p>
        </w:tc>
        <w:tc>
          <w:tcPr>
            <w:tcW w:w="1273" w:type="dxa"/>
            <w:vAlign w:val="center"/>
          </w:tcPr>
          <w:p w14:paraId="153AE9AC">
            <w:pPr>
              <w:jc w:val="center"/>
              <w:rPr>
                <w:color w:val="000000"/>
                <w:sz w:val="20"/>
                <w:szCs w:val="20"/>
              </w:rPr>
            </w:pPr>
            <w:r>
              <w:rPr>
                <w:color w:val="000000"/>
                <w:sz w:val="20"/>
                <w:szCs w:val="20"/>
              </w:rPr>
              <w:t>0,62%</w:t>
            </w:r>
          </w:p>
        </w:tc>
        <w:tc>
          <w:tcPr>
            <w:tcW w:w="2047" w:type="dxa"/>
            <w:vAlign w:val="center"/>
          </w:tcPr>
          <w:p w14:paraId="10233178">
            <w:pPr>
              <w:jc w:val="center"/>
              <w:rPr>
                <w:color w:val="000000"/>
                <w:sz w:val="20"/>
                <w:szCs w:val="20"/>
              </w:rPr>
            </w:pPr>
            <w:r>
              <w:rPr>
                <w:color w:val="000000"/>
                <w:sz w:val="20"/>
                <w:szCs w:val="20"/>
              </w:rPr>
              <w:t>1.113,2</w:t>
            </w:r>
          </w:p>
        </w:tc>
        <w:tc>
          <w:tcPr>
            <w:tcW w:w="1276" w:type="dxa"/>
            <w:vAlign w:val="center"/>
          </w:tcPr>
          <w:p w14:paraId="312D9519">
            <w:pPr>
              <w:jc w:val="center"/>
              <w:rPr>
                <w:color w:val="000000"/>
                <w:sz w:val="20"/>
                <w:szCs w:val="20"/>
              </w:rPr>
            </w:pPr>
            <w:r>
              <w:rPr>
                <w:color w:val="000000"/>
                <w:sz w:val="20"/>
                <w:szCs w:val="20"/>
              </w:rPr>
              <w:t>5.566,05</w:t>
            </w:r>
          </w:p>
        </w:tc>
        <w:tc>
          <w:tcPr>
            <w:tcW w:w="992" w:type="dxa"/>
            <w:vAlign w:val="center"/>
          </w:tcPr>
          <w:p w14:paraId="3CBDA504">
            <w:pPr>
              <w:jc w:val="center"/>
              <w:rPr>
                <w:color w:val="000000"/>
                <w:sz w:val="20"/>
                <w:szCs w:val="20"/>
              </w:rPr>
            </w:pPr>
            <w:r>
              <w:rPr>
                <w:color w:val="000000"/>
                <w:sz w:val="20"/>
                <w:szCs w:val="20"/>
              </w:rPr>
              <w:t>90</w:t>
            </w:r>
          </w:p>
        </w:tc>
        <w:tc>
          <w:tcPr>
            <w:tcW w:w="992" w:type="dxa"/>
            <w:vAlign w:val="center"/>
          </w:tcPr>
          <w:p w14:paraId="5270687D">
            <w:pPr>
              <w:jc w:val="center"/>
              <w:rPr>
                <w:color w:val="000000"/>
                <w:sz w:val="20"/>
                <w:szCs w:val="20"/>
              </w:rPr>
            </w:pPr>
            <w:r>
              <w:rPr>
                <w:color w:val="000000"/>
                <w:sz w:val="20"/>
                <w:szCs w:val="20"/>
              </w:rPr>
              <w:t>5</w:t>
            </w:r>
          </w:p>
        </w:tc>
        <w:tc>
          <w:tcPr>
            <w:tcW w:w="1134" w:type="dxa"/>
            <w:vAlign w:val="center"/>
          </w:tcPr>
          <w:p w14:paraId="3D655BAD">
            <w:pPr>
              <w:jc w:val="center"/>
              <w:rPr>
                <w:color w:val="000000"/>
                <w:sz w:val="20"/>
                <w:szCs w:val="20"/>
              </w:rPr>
            </w:pPr>
            <w:r>
              <w:rPr>
                <w:color w:val="000000"/>
                <w:sz w:val="20"/>
                <w:szCs w:val="20"/>
              </w:rPr>
              <w:t>4,5</w:t>
            </w:r>
          </w:p>
        </w:tc>
        <w:tc>
          <w:tcPr>
            <w:tcW w:w="993" w:type="dxa"/>
            <w:vAlign w:val="center"/>
          </w:tcPr>
          <w:p w14:paraId="747AD4A3">
            <w:pPr>
              <w:jc w:val="center"/>
              <w:rPr>
                <w:color w:val="000000"/>
                <w:sz w:val="20"/>
                <w:szCs w:val="20"/>
              </w:rPr>
            </w:pPr>
            <w:r>
              <w:rPr>
                <w:color w:val="000000"/>
                <w:sz w:val="20"/>
                <w:szCs w:val="20"/>
              </w:rPr>
              <w:t>8</w:t>
            </w:r>
          </w:p>
        </w:tc>
        <w:tc>
          <w:tcPr>
            <w:tcW w:w="992" w:type="dxa"/>
            <w:vAlign w:val="center"/>
          </w:tcPr>
          <w:p w14:paraId="273C546C">
            <w:pPr>
              <w:jc w:val="center"/>
              <w:rPr>
                <w:color w:val="000000"/>
                <w:sz w:val="20"/>
                <w:szCs w:val="20"/>
              </w:rPr>
            </w:pPr>
          </w:p>
        </w:tc>
      </w:tr>
      <w:tr w14:paraId="2D3B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45688533">
            <w:pPr>
              <w:jc w:val="center"/>
              <w:rPr>
                <w:color w:val="000000"/>
                <w:sz w:val="20"/>
                <w:szCs w:val="20"/>
              </w:rPr>
            </w:pPr>
          </w:p>
        </w:tc>
        <w:tc>
          <w:tcPr>
            <w:tcW w:w="2409" w:type="dxa"/>
            <w:vAlign w:val="center"/>
          </w:tcPr>
          <w:p w14:paraId="55CACC38">
            <w:pPr>
              <w:rPr>
                <w:color w:val="000000"/>
                <w:sz w:val="20"/>
                <w:szCs w:val="20"/>
              </w:rPr>
            </w:pPr>
            <w:r>
              <w:rPr>
                <w:color w:val="000000"/>
                <w:sz w:val="20"/>
                <w:szCs w:val="20"/>
              </w:rPr>
              <w:t>Nhà ở hiện trạng cải tạo 07</w:t>
            </w:r>
          </w:p>
        </w:tc>
        <w:tc>
          <w:tcPr>
            <w:tcW w:w="1033" w:type="dxa"/>
            <w:vAlign w:val="center"/>
          </w:tcPr>
          <w:p w14:paraId="60096040">
            <w:pPr>
              <w:jc w:val="center"/>
              <w:rPr>
                <w:color w:val="000000"/>
                <w:sz w:val="20"/>
                <w:szCs w:val="20"/>
              </w:rPr>
            </w:pPr>
            <w:r>
              <w:rPr>
                <w:color w:val="000000"/>
                <w:sz w:val="20"/>
                <w:szCs w:val="20"/>
              </w:rPr>
              <w:t>HT07</w:t>
            </w:r>
          </w:p>
        </w:tc>
        <w:tc>
          <w:tcPr>
            <w:tcW w:w="1459" w:type="dxa"/>
            <w:vAlign w:val="center"/>
          </w:tcPr>
          <w:p w14:paraId="62BE6445">
            <w:pPr>
              <w:jc w:val="center"/>
              <w:rPr>
                <w:color w:val="000000"/>
                <w:sz w:val="20"/>
                <w:szCs w:val="20"/>
              </w:rPr>
            </w:pPr>
            <w:r>
              <w:rPr>
                <w:color w:val="000000"/>
                <w:sz w:val="20"/>
                <w:szCs w:val="20"/>
              </w:rPr>
              <w:t>6.017,90</w:t>
            </w:r>
          </w:p>
        </w:tc>
        <w:tc>
          <w:tcPr>
            <w:tcW w:w="1273" w:type="dxa"/>
            <w:vAlign w:val="center"/>
          </w:tcPr>
          <w:p w14:paraId="3D198FEC">
            <w:pPr>
              <w:jc w:val="center"/>
              <w:rPr>
                <w:color w:val="000000"/>
                <w:sz w:val="20"/>
                <w:szCs w:val="20"/>
              </w:rPr>
            </w:pPr>
            <w:r>
              <w:rPr>
                <w:color w:val="000000"/>
                <w:sz w:val="20"/>
                <w:szCs w:val="20"/>
              </w:rPr>
              <w:t>3,04%</w:t>
            </w:r>
          </w:p>
        </w:tc>
        <w:tc>
          <w:tcPr>
            <w:tcW w:w="2047" w:type="dxa"/>
            <w:vAlign w:val="center"/>
          </w:tcPr>
          <w:p w14:paraId="18B316F2">
            <w:pPr>
              <w:jc w:val="center"/>
              <w:rPr>
                <w:color w:val="000000"/>
                <w:sz w:val="20"/>
                <w:szCs w:val="20"/>
              </w:rPr>
            </w:pPr>
            <w:r>
              <w:rPr>
                <w:color w:val="000000"/>
                <w:sz w:val="20"/>
                <w:szCs w:val="20"/>
              </w:rPr>
              <w:t>5.416,1</w:t>
            </w:r>
          </w:p>
        </w:tc>
        <w:tc>
          <w:tcPr>
            <w:tcW w:w="1276" w:type="dxa"/>
            <w:vAlign w:val="center"/>
          </w:tcPr>
          <w:p w14:paraId="2983FCF6">
            <w:pPr>
              <w:jc w:val="center"/>
              <w:rPr>
                <w:color w:val="000000"/>
                <w:sz w:val="20"/>
                <w:szCs w:val="20"/>
              </w:rPr>
            </w:pPr>
            <w:r>
              <w:rPr>
                <w:color w:val="000000"/>
                <w:sz w:val="20"/>
                <w:szCs w:val="20"/>
              </w:rPr>
              <w:t>27.080,55</w:t>
            </w:r>
          </w:p>
        </w:tc>
        <w:tc>
          <w:tcPr>
            <w:tcW w:w="992" w:type="dxa"/>
            <w:vAlign w:val="center"/>
          </w:tcPr>
          <w:p w14:paraId="478C21F0">
            <w:pPr>
              <w:jc w:val="center"/>
              <w:rPr>
                <w:color w:val="000000"/>
                <w:sz w:val="20"/>
                <w:szCs w:val="20"/>
              </w:rPr>
            </w:pPr>
            <w:r>
              <w:rPr>
                <w:color w:val="000000"/>
                <w:sz w:val="20"/>
                <w:szCs w:val="20"/>
              </w:rPr>
              <w:t>90</w:t>
            </w:r>
          </w:p>
        </w:tc>
        <w:tc>
          <w:tcPr>
            <w:tcW w:w="992" w:type="dxa"/>
            <w:vAlign w:val="center"/>
          </w:tcPr>
          <w:p w14:paraId="65FED358">
            <w:pPr>
              <w:jc w:val="center"/>
              <w:rPr>
                <w:color w:val="000000"/>
                <w:sz w:val="20"/>
                <w:szCs w:val="20"/>
              </w:rPr>
            </w:pPr>
            <w:r>
              <w:rPr>
                <w:color w:val="000000"/>
                <w:sz w:val="20"/>
                <w:szCs w:val="20"/>
              </w:rPr>
              <w:t>5</w:t>
            </w:r>
          </w:p>
        </w:tc>
        <w:tc>
          <w:tcPr>
            <w:tcW w:w="1134" w:type="dxa"/>
            <w:vAlign w:val="center"/>
          </w:tcPr>
          <w:p w14:paraId="7BFECB08">
            <w:pPr>
              <w:jc w:val="center"/>
              <w:rPr>
                <w:color w:val="000000"/>
                <w:sz w:val="20"/>
                <w:szCs w:val="20"/>
              </w:rPr>
            </w:pPr>
            <w:r>
              <w:rPr>
                <w:color w:val="000000"/>
                <w:sz w:val="20"/>
                <w:szCs w:val="20"/>
              </w:rPr>
              <w:t>4,5</w:t>
            </w:r>
          </w:p>
        </w:tc>
        <w:tc>
          <w:tcPr>
            <w:tcW w:w="993" w:type="dxa"/>
            <w:vAlign w:val="center"/>
          </w:tcPr>
          <w:p w14:paraId="78BFD99B">
            <w:pPr>
              <w:jc w:val="center"/>
              <w:rPr>
                <w:color w:val="000000"/>
                <w:sz w:val="20"/>
                <w:szCs w:val="20"/>
              </w:rPr>
            </w:pPr>
            <w:r>
              <w:rPr>
                <w:color w:val="000000"/>
                <w:sz w:val="20"/>
                <w:szCs w:val="20"/>
              </w:rPr>
              <w:t>38</w:t>
            </w:r>
          </w:p>
        </w:tc>
        <w:tc>
          <w:tcPr>
            <w:tcW w:w="992" w:type="dxa"/>
            <w:vAlign w:val="center"/>
          </w:tcPr>
          <w:p w14:paraId="730BF821">
            <w:pPr>
              <w:jc w:val="center"/>
              <w:rPr>
                <w:color w:val="000000"/>
                <w:sz w:val="20"/>
                <w:szCs w:val="20"/>
              </w:rPr>
            </w:pPr>
          </w:p>
        </w:tc>
      </w:tr>
      <w:tr w14:paraId="4299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DAF43CA">
            <w:pPr>
              <w:jc w:val="center"/>
              <w:rPr>
                <w:b/>
                <w:bCs/>
                <w:color w:val="000000"/>
                <w:sz w:val="20"/>
                <w:szCs w:val="20"/>
              </w:rPr>
            </w:pPr>
            <w:r>
              <w:rPr>
                <w:b/>
                <w:bCs/>
                <w:color w:val="000000"/>
                <w:sz w:val="20"/>
                <w:szCs w:val="20"/>
              </w:rPr>
              <w:t>1.2</w:t>
            </w:r>
          </w:p>
        </w:tc>
        <w:tc>
          <w:tcPr>
            <w:tcW w:w="2409" w:type="dxa"/>
            <w:vAlign w:val="center"/>
          </w:tcPr>
          <w:p w14:paraId="57C86BA8">
            <w:pPr>
              <w:rPr>
                <w:b/>
                <w:bCs/>
                <w:color w:val="000000"/>
                <w:sz w:val="20"/>
                <w:szCs w:val="20"/>
              </w:rPr>
            </w:pPr>
            <w:r>
              <w:rPr>
                <w:b/>
                <w:bCs/>
                <w:color w:val="000000"/>
                <w:sz w:val="20"/>
                <w:szCs w:val="20"/>
              </w:rPr>
              <w:t>Đất ở biệt thự</w:t>
            </w:r>
          </w:p>
        </w:tc>
        <w:tc>
          <w:tcPr>
            <w:tcW w:w="1033" w:type="dxa"/>
            <w:vAlign w:val="center"/>
          </w:tcPr>
          <w:p w14:paraId="3ED6EC9D">
            <w:pPr>
              <w:jc w:val="center"/>
              <w:rPr>
                <w:b/>
                <w:bCs/>
                <w:color w:val="000000"/>
                <w:sz w:val="20"/>
                <w:szCs w:val="20"/>
              </w:rPr>
            </w:pPr>
            <w:r>
              <w:rPr>
                <w:b/>
                <w:bCs/>
                <w:color w:val="000000"/>
                <w:sz w:val="20"/>
                <w:szCs w:val="20"/>
              </w:rPr>
              <w:t>BT</w:t>
            </w:r>
          </w:p>
        </w:tc>
        <w:tc>
          <w:tcPr>
            <w:tcW w:w="1459" w:type="dxa"/>
            <w:vAlign w:val="center"/>
          </w:tcPr>
          <w:p w14:paraId="5640220B">
            <w:pPr>
              <w:jc w:val="center"/>
              <w:rPr>
                <w:b/>
                <w:bCs/>
                <w:color w:val="000000"/>
                <w:sz w:val="20"/>
                <w:szCs w:val="20"/>
              </w:rPr>
            </w:pPr>
            <w:r>
              <w:rPr>
                <w:b/>
                <w:bCs/>
                <w:color w:val="000000"/>
                <w:sz w:val="20"/>
                <w:szCs w:val="20"/>
              </w:rPr>
              <w:t>3.009,10</w:t>
            </w:r>
          </w:p>
        </w:tc>
        <w:tc>
          <w:tcPr>
            <w:tcW w:w="1273" w:type="dxa"/>
            <w:vAlign w:val="center"/>
          </w:tcPr>
          <w:p w14:paraId="7566E61F">
            <w:pPr>
              <w:jc w:val="center"/>
              <w:rPr>
                <w:b/>
                <w:bCs/>
                <w:color w:val="000000"/>
                <w:sz w:val="20"/>
                <w:szCs w:val="20"/>
              </w:rPr>
            </w:pPr>
            <w:r>
              <w:rPr>
                <w:b/>
                <w:bCs/>
                <w:color w:val="000000"/>
                <w:sz w:val="20"/>
                <w:szCs w:val="20"/>
              </w:rPr>
              <w:t>1,52%</w:t>
            </w:r>
          </w:p>
        </w:tc>
        <w:tc>
          <w:tcPr>
            <w:tcW w:w="2047" w:type="dxa"/>
            <w:vAlign w:val="center"/>
          </w:tcPr>
          <w:p w14:paraId="07972335">
            <w:pPr>
              <w:jc w:val="center"/>
              <w:rPr>
                <w:b/>
                <w:bCs/>
                <w:color w:val="000000"/>
                <w:sz w:val="20"/>
                <w:szCs w:val="20"/>
              </w:rPr>
            </w:pPr>
            <w:r>
              <w:rPr>
                <w:b/>
                <w:bCs/>
                <w:color w:val="000000"/>
                <w:sz w:val="20"/>
                <w:szCs w:val="20"/>
              </w:rPr>
              <w:t>1.902,5</w:t>
            </w:r>
          </w:p>
        </w:tc>
        <w:tc>
          <w:tcPr>
            <w:tcW w:w="1276" w:type="dxa"/>
            <w:vAlign w:val="center"/>
          </w:tcPr>
          <w:p w14:paraId="4C2E6A1E">
            <w:pPr>
              <w:jc w:val="center"/>
              <w:rPr>
                <w:b/>
                <w:bCs/>
                <w:color w:val="000000"/>
                <w:sz w:val="20"/>
                <w:szCs w:val="20"/>
              </w:rPr>
            </w:pPr>
            <w:r>
              <w:rPr>
                <w:b/>
                <w:bCs/>
                <w:color w:val="000000"/>
                <w:sz w:val="20"/>
                <w:szCs w:val="20"/>
              </w:rPr>
              <w:t>5.707,50</w:t>
            </w:r>
          </w:p>
        </w:tc>
        <w:tc>
          <w:tcPr>
            <w:tcW w:w="992" w:type="dxa"/>
            <w:vAlign w:val="center"/>
          </w:tcPr>
          <w:p w14:paraId="2BA9CDC7">
            <w:pPr>
              <w:jc w:val="center"/>
              <w:rPr>
                <w:b/>
                <w:bCs/>
                <w:color w:val="000000"/>
                <w:sz w:val="20"/>
                <w:szCs w:val="20"/>
              </w:rPr>
            </w:pPr>
            <w:r>
              <w:rPr>
                <w:b/>
                <w:bCs/>
                <w:color w:val="000000"/>
                <w:sz w:val="20"/>
                <w:szCs w:val="20"/>
              </w:rPr>
              <w:t>50</w:t>
            </w:r>
          </w:p>
        </w:tc>
        <w:tc>
          <w:tcPr>
            <w:tcW w:w="992" w:type="dxa"/>
            <w:vAlign w:val="center"/>
          </w:tcPr>
          <w:p w14:paraId="2C480CB5">
            <w:pPr>
              <w:jc w:val="center"/>
              <w:rPr>
                <w:b/>
                <w:bCs/>
                <w:color w:val="000000"/>
                <w:sz w:val="20"/>
                <w:szCs w:val="20"/>
              </w:rPr>
            </w:pPr>
            <w:r>
              <w:rPr>
                <w:b/>
                <w:bCs/>
                <w:color w:val="000000"/>
                <w:sz w:val="20"/>
                <w:szCs w:val="20"/>
              </w:rPr>
              <w:t>3</w:t>
            </w:r>
          </w:p>
        </w:tc>
        <w:tc>
          <w:tcPr>
            <w:tcW w:w="1134" w:type="dxa"/>
            <w:vAlign w:val="center"/>
          </w:tcPr>
          <w:p w14:paraId="631C452F">
            <w:pPr>
              <w:jc w:val="center"/>
              <w:rPr>
                <w:color w:val="000000"/>
                <w:sz w:val="20"/>
                <w:szCs w:val="20"/>
              </w:rPr>
            </w:pPr>
            <w:r>
              <w:rPr>
                <w:color w:val="000000"/>
                <w:sz w:val="20"/>
                <w:szCs w:val="20"/>
              </w:rPr>
              <w:t>1,5</w:t>
            </w:r>
          </w:p>
        </w:tc>
        <w:tc>
          <w:tcPr>
            <w:tcW w:w="993" w:type="dxa"/>
            <w:vAlign w:val="center"/>
          </w:tcPr>
          <w:p w14:paraId="4E96F636">
            <w:pPr>
              <w:jc w:val="center"/>
              <w:rPr>
                <w:b/>
                <w:bCs/>
                <w:color w:val="000000"/>
                <w:sz w:val="20"/>
                <w:szCs w:val="20"/>
              </w:rPr>
            </w:pPr>
            <w:r>
              <w:rPr>
                <w:b/>
                <w:bCs/>
                <w:color w:val="000000"/>
                <w:sz w:val="20"/>
                <w:szCs w:val="20"/>
              </w:rPr>
              <w:t>10</w:t>
            </w:r>
          </w:p>
        </w:tc>
        <w:tc>
          <w:tcPr>
            <w:tcW w:w="992" w:type="dxa"/>
            <w:vAlign w:val="center"/>
          </w:tcPr>
          <w:p w14:paraId="1070632A">
            <w:pPr>
              <w:jc w:val="center"/>
              <w:rPr>
                <w:color w:val="000000"/>
                <w:sz w:val="20"/>
                <w:szCs w:val="20"/>
              </w:rPr>
            </w:pPr>
          </w:p>
        </w:tc>
      </w:tr>
      <w:tr w14:paraId="68D2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044E19FC">
            <w:pPr>
              <w:jc w:val="center"/>
              <w:rPr>
                <w:color w:val="000000"/>
                <w:sz w:val="20"/>
                <w:szCs w:val="20"/>
              </w:rPr>
            </w:pPr>
          </w:p>
        </w:tc>
        <w:tc>
          <w:tcPr>
            <w:tcW w:w="2409" w:type="dxa"/>
            <w:vAlign w:val="center"/>
          </w:tcPr>
          <w:p w14:paraId="43479637">
            <w:pPr>
              <w:rPr>
                <w:color w:val="000000"/>
                <w:sz w:val="20"/>
                <w:szCs w:val="20"/>
              </w:rPr>
            </w:pPr>
            <w:r>
              <w:rPr>
                <w:color w:val="000000"/>
                <w:sz w:val="20"/>
                <w:szCs w:val="20"/>
              </w:rPr>
              <w:t>Nhà ở biệt thự 01</w:t>
            </w:r>
          </w:p>
        </w:tc>
        <w:tc>
          <w:tcPr>
            <w:tcW w:w="1033" w:type="dxa"/>
            <w:vAlign w:val="center"/>
          </w:tcPr>
          <w:p w14:paraId="2C5A8244">
            <w:pPr>
              <w:jc w:val="center"/>
              <w:rPr>
                <w:color w:val="000000"/>
                <w:sz w:val="20"/>
                <w:szCs w:val="20"/>
              </w:rPr>
            </w:pPr>
            <w:r>
              <w:rPr>
                <w:color w:val="000000"/>
                <w:sz w:val="20"/>
                <w:szCs w:val="20"/>
              </w:rPr>
              <w:t>BT01</w:t>
            </w:r>
          </w:p>
        </w:tc>
        <w:tc>
          <w:tcPr>
            <w:tcW w:w="1459" w:type="dxa"/>
            <w:vAlign w:val="center"/>
          </w:tcPr>
          <w:p w14:paraId="27442CB7">
            <w:pPr>
              <w:jc w:val="center"/>
              <w:rPr>
                <w:color w:val="000000"/>
                <w:sz w:val="20"/>
                <w:szCs w:val="20"/>
              </w:rPr>
            </w:pPr>
            <w:r>
              <w:rPr>
                <w:color w:val="000000"/>
                <w:sz w:val="20"/>
                <w:szCs w:val="20"/>
              </w:rPr>
              <w:t>625,80</w:t>
            </w:r>
          </w:p>
        </w:tc>
        <w:tc>
          <w:tcPr>
            <w:tcW w:w="1273" w:type="dxa"/>
            <w:vAlign w:val="center"/>
          </w:tcPr>
          <w:p w14:paraId="7D74434A">
            <w:pPr>
              <w:jc w:val="center"/>
              <w:rPr>
                <w:color w:val="000000"/>
                <w:sz w:val="20"/>
                <w:szCs w:val="20"/>
              </w:rPr>
            </w:pPr>
            <w:r>
              <w:rPr>
                <w:color w:val="000000"/>
                <w:sz w:val="20"/>
                <w:szCs w:val="20"/>
              </w:rPr>
              <w:t>0,32%</w:t>
            </w:r>
          </w:p>
        </w:tc>
        <w:tc>
          <w:tcPr>
            <w:tcW w:w="2047" w:type="dxa"/>
            <w:vAlign w:val="center"/>
          </w:tcPr>
          <w:p w14:paraId="704673C7">
            <w:pPr>
              <w:jc w:val="center"/>
              <w:rPr>
                <w:color w:val="000000"/>
                <w:sz w:val="20"/>
                <w:szCs w:val="20"/>
              </w:rPr>
            </w:pPr>
            <w:r>
              <w:rPr>
                <w:color w:val="000000"/>
                <w:sz w:val="20"/>
                <w:szCs w:val="20"/>
              </w:rPr>
              <w:t>371,5</w:t>
            </w:r>
          </w:p>
        </w:tc>
        <w:tc>
          <w:tcPr>
            <w:tcW w:w="1276" w:type="dxa"/>
            <w:vAlign w:val="center"/>
          </w:tcPr>
          <w:p w14:paraId="59D489E9">
            <w:pPr>
              <w:jc w:val="center"/>
              <w:rPr>
                <w:color w:val="000000"/>
                <w:sz w:val="20"/>
                <w:szCs w:val="20"/>
              </w:rPr>
            </w:pPr>
            <w:r>
              <w:rPr>
                <w:color w:val="000000"/>
                <w:sz w:val="20"/>
                <w:szCs w:val="20"/>
              </w:rPr>
              <w:t>1.114,50</w:t>
            </w:r>
          </w:p>
        </w:tc>
        <w:tc>
          <w:tcPr>
            <w:tcW w:w="992" w:type="dxa"/>
            <w:vAlign w:val="center"/>
          </w:tcPr>
          <w:p w14:paraId="49BB89C8">
            <w:pPr>
              <w:jc w:val="center"/>
              <w:rPr>
                <w:color w:val="000000"/>
                <w:sz w:val="20"/>
                <w:szCs w:val="20"/>
              </w:rPr>
            </w:pPr>
            <w:r>
              <w:rPr>
                <w:color w:val="000000"/>
                <w:sz w:val="20"/>
                <w:szCs w:val="20"/>
              </w:rPr>
              <w:t>50</w:t>
            </w:r>
          </w:p>
        </w:tc>
        <w:tc>
          <w:tcPr>
            <w:tcW w:w="992" w:type="dxa"/>
            <w:vAlign w:val="center"/>
          </w:tcPr>
          <w:p w14:paraId="3AA1AB34">
            <w:pPr>
              <w:jc w:val="center"/>
              <w:rPr>
                <w:color w:val="000000"/>
                <w:sz w:val="20"/>
                <w:szCs w:val="20"/>
              </w:rPr>
            </w:pPr>
            <w:r>
              <w:rPr>
                <w:color w:val="000000"/>
                <w:sz w:val="20"/>
                <w:szCs w:val="20"/>
              </w:rPr>
              <w:t>3</w:t>
            </w:r>
          </w:p>
        </w:tc>
        <w:tc>
          <w:tcPr>
            <w:tcW w:w="1134" w:type="dxa"/>
            <w:vAlign w:val="center"/>
          </w:tcPr>
          <w:p w14:paraId="6731B2CB">
            <w:pPr>
              <w:jc w:val="center"/>
              <w:rPr>
                <w:color w:val="000000"/>
                <w:sz w:val="20"/>
                <w:szCs w:val="20"/>
              </w:rPr>
            </w:pPr>
            <w:r>
              <w:rPr>
                <w:color w:val="000000"/>
                <w:sz w:val="20"/>
                <w:szCs w:val="20"/>
              </w:rPr>
              <w:t>1,5</w:t>
            </w:r>
          </w:p>
        </w:tc>
        <w:tc>
          <w:tcPr>
            <w:tcW w:w="993" w:type="dxa"/>
            <w:vAlign w:val="center"/>
          </w:tcPr>
          <w:p w14:paraId="78A50BD4">
            <w:pPr>
              <w:jc w:val="center"/>
              <w:rPr>
                <w:color w:val="000000"/>
                <w:sz w:val="20"/>
                <w:szCs w:val="20"/>
              </w:rPr>
            </w:pPr>
            <w:r>
              <w:rPr>
                <w:color w:val="000000"/>
                <w:sz w:val="20"/>
                <w:szCs w:val="20"/>
              </w:rPr>
              <w:t>2</w:t>
            </w:r>
          </w:p>
        </w:tc>
        <w:tc>
          <w:tcPr>
            <w:tcW w:w="992" w:type="dxa"/>
            <w:vAlign w:val="center"/>
          </w:tcPr>
          <w:p w14:paraId="6EC3CE68">
            <w:pPr>
              <w:jc w:val="center"/>
              <w:rPr>
                <w:color w:val="000000"/>
                <w:sz w:val="20"/>
                <w:szCs w:val="20"/>
              </w:rPr>
            </w:pPr>
          </w:p>
        </w:tc>
      </w:tr>
      <w:tr w14:paraId="0874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689A15EB">
            <w:pPr>
              <w:jc w:val="center"/>
              <w:rPr>
                <w:color w:val="000000"/>
                <w:sz w:val="20"/>
                <w:szCs w:val="20"/>
              </w:rPr>
            </w:pPr>
          </w:p>
        </w:tc>
        <w:tc>
          <w:tcPr>
            <w:tcW w:w="2409" w:type="dxa"/>
            <w:vAlign w:val="center"/>
          </w:tcPr>
          <w:p w14:paraId="7A47B607">
            <w:pPr>
              <w:rPr>
                <w:color w:val="000000"/>
                <w:sz w:val="20"/>
                <w:szCs w:val="20"/>
              </w:rPr>
            </w:pPr>
            <w:r>
              <w:rPr>
                <w:color w:val="000000"/>
                <w:sz w:val="20"/>
                <w:szCs w:val="20"/>
              </w:rPr>
              <w:t>Nhà ở biệt thự 02</w:t>
            </w:r>
          </w:p>
        </w:tc>
        <w:tc>
          <w:tcPr>
            <w:tcW w:w="1033" w:type="dxa"/>
            <w:vAlign w:val="center"/>
          </w:tcPr>
          <w:p w14:paraId="2C1F2CB2">
            <w:pPr>
              <w:jc w:val="center"/>
              <w:rPr>
                <w:color w:val="000000"/>
                <w:sz w:val="20"/>
                <w:szCs w:val="20"/>
              </w:rPr>
            </w:pPr>
            <w:r>
              <w:rPr>
                <w:color w:val="000000"/>
                <w:sz w:val="20"/>
                <w:szCs w:val="20"/>
              </w:rPr>
              <w:t>BT02</w:t>
            </w:r>
          </w:p>
        </w:tc>
        <w:tc>
          <w:tcPr>
            <w:tcW w:w="1459" w:type="dxa"/>
            <w:vAlign w:val="center"/>
          </w:tcPr>
          <w:p w14:paraId="43026FC5">
            <w:pPr>
              <w:jc w:val="center"/>
              <w:rPr>
                <w:color w:val="000000"/>
                <w:sz w:val="20"/>
                <w:szCs w:val="20"/>
              </w:rPr>
            </w:pPr>
            <w:r>
              <w:rPr>
                <w:color w:val="000000"/>
                <w:sz w:val="20"/>
                <w:szCs w:val="20"/>
              </w:rPr>
              <w:t>2.383,30</w:t>
            </w:r>
          </w:p>
        </w:tc>
        <w:tc>
          <w:tcPr>
            <w:tcW w:w="1273" w:type="dxa"/>
            <w:vAlign w:val="center"/>
          </w:tcPr>
          <w:p w14:paraId="4F86C0DE">
            <w:pPr>
              <w:jc w:val="center"/>
              <w:rPr>
                <w:color w:val="000000"/>
                <w:sz w:val="20"/>
                <w:szCs w:val="20"/>
              </w:rPr>
            </w:pPr>
            <w:r>
              <w:rPr>
                <w:color w:val="000000"/>
                <w:sz w:val="20"/>
                <w:szCs w:val="20"/>
              </w:rPr>
              <w:t>1,20%</w:t>
            </w:r>
          </w:p>
        </w:tc>
        <w:tc>
          <w:tcPr>
            <w:tcW w:w="2047" w:type="dxa"/>
            <w:vAlign w:val="center"/>
          </w:tcPr>
          <w:p w14:paraId="7FA1D87D">
            <w:pPr>
              <w:jc w:val="center"/>
              <w:rPr>
                <w:color w:val="000000"/>
                <w:sz w:val="20"/>
                <w:szCs w:val="20"/>
              </w:rPr>
            </w:pPr>
            <w:r>
              <w:rPr>
                <w:color w:val="000000"/>
                <w:sz w:val="20"/>
                <w:szCs w:val="20"/>
              </w:rPr>
              <w:t>1.531,0</w:t>
            </w:r>
          </w:p>
        </w:tc>
        <w:tc>
          <w:tcPr>
            <w:tcW w:w="1276" w:type="dxa"/>
            <w:vAlign w:val="center"/>
          </w:tcPr>
          <w:p w14:paraId="7EFB3D6D">
            <w:pPr>
              <w:jc w:val="center"/>
              <w:rPr>
                <w:color w:val="000000"/>
                <w:sz w:val="20"/>
                <w:szCs w:val="20"/>
              </w:rPr>
            </w:pPr>
            <w:r>
              <w:rPr>
                <w:color w:val="000000"/>
                <w:sz w:val="20"/>
                <w:szCs w:val="20"/>
              </w:rPr>
              <w:t>4.593,00</w:t>
            </w:r>
          </w:p>
        </w:tc>
        <w:tc>
          <w:tcPr>
            <w:tcW w:w="992" w:type="dxa"/>
            <w:vAlign w:val="center"/>
          </w:tcPr>
          <w:p w14:paraId="07706EEB">
            <w:pPr>
              <w:jc w:val="center"/>
              <w:rPr>
                <w:color w:val="000000"/>
                <w:sz w:val="20"/>
                <w:szCs w:val="20"/>
              </w:rPr>
            </w:pPr>
            <w:r>
              <w:rPr>
                <w:color w:val="000000"/>
                <w:sz w:val="20"/>
                <w:szCs w:val="20"/>
              </w:rPr>
              <w:t>50</w:t>
            </w:r>
          </w:p>
        </w:tc>
        <w:tc>
          <w:tcPr>
            <w:tcW w:w="992" w:type="dxa"/>
            <w:vAlign w:val="center"/>
          </w:tcPr>
          <w:p w14:paraId="7F5BEBA2">
            <w:pPr>
              <w:jc w:val="center"/>
              <w:rPr>
                <w:color w:val="000000"/>
                <w:sz w:val="20"/>
                <w:szCs w:val="20"/>
              </w:rPr>
            </w:pPr>
            <w:r>
              <w:rPr>
                <w:color w:val="000000"/>
                <w:sz w:val="20"/>
                <w:szCs w:val="20"/>
              </w:rPr>
              <w:t>3</w:t>
            </w:r>
          </w:p>
        </w:tc>
        <w:tc>
          <w:tcPr>
            <w:tcW w:w="1134" w:type="dxa"/>
            <w:vAlign w:val="center"/>
          </w:tcPr>
          <w:p w14:paraId="046BA3E3">
            <w:pPr>
              <w:jc w:val="center"/>
              <w:rPr>
                <w:color w:val="000000"/>
                <w:sz w:val="20"/>
                <w:szCs w:val="20"/>
              </w:rPr>
            </w:pPr>
            <w:r>
              <w:rPr>
                <w:color w:val="000000"/>
                <w:sz w:val="20"/>
                <w:szCs w:val="20"/>
              </w:rPr>
              <w:t>1,5</w:t>
            </w:r>
          </w:p>
        </w:tc>
        <w:tc>
          <w:tcPr>
            <w:tcW w:w="993" w:type="dxa"/>
            <w:vAlign w:val="center"/>
          </w:tcPr>
          <w:p w14:paraId="307ADCA9">
            <w:pPr>
              <w:jc w:val="center"/>
              <w:rPr>
                <w:color w:val="000000"/>
                <w:sz w:val="20"/>
                <w:szCs w:val="20"/>
              </w:rPr>
            </w:pPr>
            <w:r>
              <w:rPr>
                <w:color w:val="000000"/>
                <w:sz w:val="20"/>
                <w:szCs w:val="20"/>
              </w:rPr>
              <w:t>8</w:t>
            </w:r>
          </w:p>
        </w:tc>
        <w:tc>
          <w:tcPr>
            <w:tcW w:w="992" w:type="dxa"/>
            <w:vAlign w:val="center"/>
          </w:tcPr>
          <w:p w14:paraId="747004C6">
            <w:pPr>
              <w:jc w:val="center"/>
              <w:rPr>
                <w:color w:val="000000"/>
                <w:sz w:val="20"/>
                <w:szCs w:val="20"/>
              </w:rPr>
            </w:pPr>
          </w:p>
        </w:tc>
      </w:tr>
      <w:tr w14:paraId="6193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6B26BCE8">
            <w:pPr>
              <w:jc w:val="center"/>
              <w:rPr>
                <w:b/>
                <w:bCs/>
                <w:color w:val="000000"/>
                <w:sz w:val="20"/>
                <w:szCs w:val="20"/>
              </w:rPr>
            </w:pPr>
            <w:r>
              <w:rPr>
                <w:b/>
                <w:bCs/>
                <w:color w:val="000000"/>
                <w:sz w:val="20"/>
                <w:szCs w:val="20"/>
              </w:rPr>
              <w:t>1.3</w:t>
            </w:r>
          </w:p>
        </w:tc>
        <w:tc>
          <w:tcPr>
            <w:tcW w:w="2409" w:type="dxa"/>
            <w:vAlign w:val="center"/>
          </w:tcPr>
          <w:p w14:paraId="4829F24A">
            <w:pPr>
              <w:rPr>
                <w:b/>
                <w:bCs/>
                <w:color w:val="000000"/>
                <w:sz w:val="20"/>
                <w:szCs w:val="20"/>
              </w:rPr>
            </w:pPr>
            <w:r>
              <w:rPr>
                <w:b/>
                <w:bCs/>
                <w:color w:val="000000"/>
                <w:sz w:val="20"/>
                <w:szCs w:val="20"/>
              </w:rPr>
              <w:t>Đất nhà ở liền kề kết hợp kinh doanh</w:t>
            </w:r>
          </w:p>
        </w:tc>
        <w:tc>
          <w:tcPr>
            <w:tcW w:w="1033" w:type="dxa"/>
            <w:vAlign w:val="center"/>
          </w:tcPr>
          <w:p w14:paraId="0C40CAD7">
            <w:pPr>
              <w:jc w:val="center"/>
              <w:rPr>
                <w:b/>
                <w:bCs/>
                <w:color w:val="000000"/>
                <w:sz w:val="20"/>
                <w:szCs w:val="20"/>
              </w:rPr>
            </w:pPr>
            <w:r>
              <w:rPr>
                <w:b/>
                <w:bCs/>
                <w:color w:val="000000"/>
                <w:sz w:val="20"/>
                <w:szCs w:val="20"/>
              </w:rPr>
              <w:t>LK</w:t>
            </w:r>
          </w:p>
        </w:tc>
        <w:tc>
          <w:tcPr>
            <w:tcW w:w="1459" w:type="dxa"/>
            <w:vAlign w:val="center"/>
          </w:tcPr>
          <w:p w14:paraId="2CB2584C">
            <w:pPr>
              <w:jc w:val="center"/>
              <w:rPr>
                <w:b/>
                <w:bCs/>
                <w:color w:val="000000"/>
                <w:sz w:val="20"/>
                <w:szCs w:val="20"/>
              </w:rPr>
            </w:pPr>
            <w:r>
              <w:rPr>
                <w:b/>
                <w:bCs/>
                <w:color w:val="000000"/>
                <w:sz w:val="20"/>
                <w:szCs w:val="20"/>
              </w:rPr>
              <w:t>55.194,30</w:t>
            </w:r>
          </w:p>
        </w:tc>
        <w:tc>
          <w:tcPr>
            <w:tcW w:w="1273" w:type="dxa"/>
            <w:vAlign w:val="center"/>
          </w:tcPr>
          <w:p w14:paraId="50F22C4E">
            <w:pPr>
              <w:jc w:val="center"/>
              <w:rPr>
                <w:b/>
                <w:bCs/>
                <w:color w:val="000000"/>
                <w:sz w:val="20"/>
                <w:szCs w:val="20"/>
              </w:rPr>
            </w:pPr>
            <w:r>
              <w:rPr>
                <w:b/>
                <w:bCs/>
                <w:color w:val="000000"/>
                <w:sz w:val="20"/>
                <w:szCs w:val="20"/>
              </w:rPr>
              <w:t>27,85%</w:t>
            </w:r>
          </w:p>
        </w:tc>
        <w:tc>
          <w:tcPr>
            <w:tcW w:w="2047" w:type="dxa"/>
            <w:vAlign w:val="center"/>
          </w:tcPr>
          <w:p w14:paraId="759A9E39">
            <w:pPr>
              <w:jc w:val="center"/>
              <w:rPr>
                <w:b/>
                <w:bCs/>
                <w:color w:val="000000"/>
                <w:sz w:val="20"/>
                <w:szCs w:val="20"/>
              </w:rPr>
            </w:pPr>
            <w:r>
              <w:rPr>
                <w:b/>
                <w:bCs/>
                <w:color w:val="000000"/>
                <w:sz w:val="20"/>
                <w:szCs w:val="20"/>
              </w:rPr>
              <w:t>47.764,6</w:t>
            </w:r>
          </w:p>
        </w:tc>
        <w:tc>
          <w:tcPr>
            <w:tcW w:w="1276" w:type="dxa"/>
            <w:vAlign w:val="center"/>
          </w:tcPr>
          <w:p w14:paraId="47B4F481">
            <w:pPr>
              <w:jc w:val="center"/>
              <w:rPr>
                <w:b/>
                <w:bCs/>
                <w:color w:val="000000"/>
                <w:sz w:val="20"/>
                <w:szCs w:val="20"/>
              </w:rPr>
            </w:pPr>
            <w:r>
              <w:rPr>
                <w:b/>
                <w:bCs/>
                <w:color w:val="000000"/>
                <w:sz w:val="20"/>
                <w:szCs w:val="20"/>
              </w:rPr>
              <w:t>238.823,00</w:t>
            </w:r>
          </w:p>
        </w:tc>
        <w:tc>
          <w:tcPr>
            <w:tcW w:w="992" w:type="dxa"/>
            <w:vAlign w:val="center"/>
          </w:tcPr>
          <w:p w14:paraId="0414E630">
            <w:pPr>
              <w:jc w:val="center"/>
              <w:rPr>
                <w:b/>
                <w:bCs/>
                <w:color w:val="000000"/>
                <w:sz w:val="20"/>
                <w:szCs w:val="20"/>
              </w:rPr>
            </w:pPr>
            <w:r>
              <w:rPr>
                <w:b/>
                <w:bCs/>
                <w:color w:val="000000"/>
                <w:sz w:val="20"/>
                <w:szCs w:val="20"/>
              </w:rPr>
              <w:t>93</w:t>
            </w:r>
          </w:p>
        </w:tc>
        <w:tc>
          <w:tcPr>
            <w:tcW w:w="992" w:type="dxa"/>
            <w:vAlign w:val="center"/>
          </w:tcPr>
          <w:p w14:paraId="30CF7370">
            <w:pPr>
              <w:jc w:val="center"/>
              <w:rPr>
                <w:b/>
                <w:bCs/>
                <w:color w:val="000000"/>
                <w:sz w:val="20"/>
                <w:szCs w:val="20"/>
              </w:rPr>
            </w:pPr>
            <w:r>
              <w:rPr>
                <w:b/>
                <w:bCs/>
                <w:color w:val="000000"/>
                <w:sz w:val="20"/>
                <w:szCs w:val="20"/>
              </w:rPr>
              <w:t>5</w:t>
            </w:r>
          </w:p>
        </w:tc>
        <w:tc>
          <w:tcPr>
            <w:tcW w:w="1134" w:type="dxa"/>
            <w:vAlign w:val="center"/>
          </w:tcPr>
          <w:p w14:paraId="218C6BC7">
            <w:pPr>
              <w:jc w:val="center"/>
              <w:rPr>
                <w:b/>
                <w:bCs/>
                <w:color w:val="000000"/>
                <w:sz w:val="20"/>
                <w:szCs w:val="20"/>
              </w:rPr>
            </w:pPr>
            <w:r>
              <w:rPr>
                <w:b/>
                <w:bCs/>
                <w:color w:val="000000"/>
                <w:sz w:val="20"/>
                <w:szCs w:val="20"/>
              </w:rPr>
              <w:t>4</w:t>
            </w:r>
          </w:p>
        </w:tc>
        <w:tc>
          <w:tcPr>
            <w:tcW w:w="993" w:type="dxa"/>
            <w:vAlign w:val="center"/>
          </w:tcPr>
          <w:p w14:paraId="230F6DD6">
            <w:pPr>
              <w:jc w:val="center"/>
              <w:rPr>
                <w:b/>
                <w:bCs/>
                <w:color w:val="000000"/>
                <w:sz w:val="20"/>
                <w:szCs w:val="20"/>
              </w:rPr>
            </w:pPr>
            <w:r>
              <w:rPr>
                <w:b/>
                <w:bCs/>
                <w:color w:val="000000"/>
                <w:sz w:val="20"/>
                <w:szCs w:val="20"/>
              </w:rPr>
              <w:t>575</w:t>
            </w:r>
          </w:p>
        </w:tc>
        <w:tc>
          <w:tcPr>
            <w:tcW w:w="992" w:type="dxa"/>
            <w:vAlign w:val="center"/>
          </w:tcPr>
          <w:p w14:paraId="21F57B98">
            <w:pPr>
              <w:jc w:val="center"/>
              <w:rPr>
                <w:b/>
                <w:bCs/>
                <w:color w:val="000000"/>
                <w:sz w:val="20"/>
                <w:szCs w:val="20"/>
              </w:rPr>
            </w:pPr>
          </w:p>
        </w:tc>
      </w:tr>
      <w:tr w14:paraId="6FE5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65A503FB">
            <w:pPr>
              <w:jc w:val="center"/>
              <w:rPr>
                <w:color w:val="000000"/>
                <w:sz w:val="20"/>
                <w:szCs w:val="20"/>
              </w:rPr>
            </w:pPr>
          </w:p>
        </w:tc>
        <w:tc>
          <w:tcPr>
            <w:tcW w:w="2409" w:type="dxa"/>
            <w:vAlign w:val="center"/>
          </w:tcPr>
          <w:p w14:paraId="0696A22F">
            <w:pPr>
              <w:rPr>
                <w:color w:val="000000"/>
                <w:sz w:val="20"/>
                <w:szCs w:val="20"/>
              </w:rPr>
            </w:pPr>
            <w:r>
              <w:rPr>
                <w:color w:val="000000"/>
                <w:sz w:val="20"/>
                <w:szCs w:val="20"/>
              </w:rPr>
              <w:t>Đất nhà ở liền kề kết hợp kinh doanh 01</w:t>
            </w:r>
          </w:p>
        </w:tc>
        <w:tc>
          <w:tcPr>
            <w:tcW w:w="1033" w:type="dxa"/>
            <w:vAlign w:val="center"/>
          </w:tcPr>
          <w:p w14:paraId="5BD88B10">
            <w:pPr>
              <w:jc w:val="center"/>
              <w:rPr>
                <w:color w:val="000000"/>
                <w:sz w:val="20"/>
                <w:szCs w:val="20"/>
              </w:rPr>
            </w:pPr>
            <w:r>
              <w:rPr>
                <w:color w:val="000000"/>
                <w:sz w:val="20"/>
                <w:szCs w:val="20"/>
              </w:rPr>
              <w:t>LK01</w:t>
            </w:r>
          </w:p>
        </w:tc>
        <w:tc>
          <w:tcPr>
            <w:tcW w:w="1459" w:type="dxa"/>
            <w:vAlign w:val="center"/>
          </w:tcPr>
          <w:p w14:paraId="1D5BC22D">
            <w:pPr>
              <w:jc w:val="center"/>
              <w:rPr>
                <w:color w:val="000000"/>
                <w:sz w:val="20"/>
                <w:szCs w:val="20"/>
              </w:rPr>
            </w:pPr>
            <w:r>
              <w:rPr>
                <w:color w:val="000000"/>
                <w:sz w:val="20"/>
                <w:szCs w:val="20"/>
              </w:rPr>
              <w:t>1.072,00</w:t>
            </w:r>
          </w:p>
        </w:tc>
        <w:tc>
          <w:tcPr>
            <w:tcW w:w="1273" w:type="dxa"/>
            <w:vAlign w:val="center"/>
          </w:tcPr>
          <w:p w14:paraId="6434F842">
            <w:pPr>
              <w:jc w:val="center"/>
              <w:rPr>
                <w:color w:val="000000"/>
                <w:sz w:val="20"/>
                <w:szCs w:val="20"/>
              </w:rPr>
            </w:pPr>
            <w:r>
              <w:rPr>
                <w:color w:val="000000"/>
                <w:sz w:val="20"/>
                <w:szCs w:val="20"/>
              </w:rPr>
              <w:t>0,54%</w:t>
            </w:r>
          </w:p>
        </w:tc>
        <w:tc>
          <w:tcPr>
            <w:tcW w:w="2047" w:type="dxa"/>
            <w:vAlign w:val="center"/>
          </w:tcPr>
          <w:p w14:paraId="5F24F9DB">
            <w:pPr>
              <w:jc w:val="center"/>
              <w:rPr>
                <w:color w:val="000000"/>
                <w:sz w:val="20"/>
                <w:szCs w:val="20"/>
              </w:rPr>
            </w:pPr>
            <w:r>
              <w:rPr>
                <w:color w:val="000000"/>
                <w:sz w:val="20"/>
                <w:szCs w:val="20"/>
              </w:rPr>
              <w:t>879,5</w:t>
            </w:r>
          </w:p>
        </w:tc>
        <w:tc>
          <w:tcPr>
            <w:tcW w:w="1276" w:type="dxa"/>
            <w:vAlign w:val="center"/>
          </w:tcPr>
          <w:p w14:paraId="28922665">
            <w:pPr>
              <w:jc w:val="center"/>
              <w:rPr>
                <w:color w:val="000000"/>
                <w:sz w:val="20"/>
                <w:szCs w:val="20"/>
              </w:rPr>
            </w:pPr>
            <w:r>
              <w:rPr>
                <w:color w:val="000000"/>
                <w:sz w:val="20"/>
                <w:szCs w:val="20"/>
              </w:rPr>
              <w:t>4.397,50</w:t>
            </w:r>
          </w:p>
        </w:tc>
        <w:tc>
          <w:tcPr>
            <w:tcW w:w="992" w:type="dxa"/>
            <w:vAlign w:val="center"/>
          </w:tcPr>
          <w:p w14:paraId="09D7B062">
            <w:pPr>
              <w:jc w:val="center"/>
              <w:rPr>
                <w:color w:val="000000"/>
                <w:sz w:val="20"/>
                <w:szCs w:val="20"/>
              </w:rPr>
            </w:pPr>
            <w:r>
              <w:rPr>
                <w:color w:val="000000"/>
                <w:sz w:val="20"/>
                <w:szCs w:val="20"/>
              </w:rPr>
              <w:t>82</w:t>
            </w:r>
          </w:p>
        </w:tc>
        <w:tc>
          <w:tcPr>
            <w:tcW w:w="992" w:type="dxa"/>
            <w:vAlign w:val="center"/>
          </w:tcPr>
          <w:p w14:paraId="32966237">
            <w:pPr>
              <w:jc w:val="center"/>
              <w:rPr>
                <w:color w:val="000000"/>
                <w:sz w:val="20"/>
                <w:szCs w:val="20"/>
              </w:rPr>
            </w:pPr>
            <w:r>
              <w:rPr>
                <w:color w:val="000000"/>
                <w:sz w:val="20"/>
                <w:szCs w:val="20"/>
              </w:rPr>
              <w:t>5</w:t>
            </w:r>
          </w:p>
        </w:tc>
        <w:tc>
          <w:tcPr>
            <w:tcW w:w="1134" w:type="dxa"/>
            <w:vAlign w:val="center"/>
          </w:tcPr>
          <w:p w14:paraId="4E429DD0">
            <w:pPr>
              <w:jc w:val="center"/>
              <w:rPr>
                <w:color w:val="000000"/>
                <w:sz w:val="20"/>
                <w:szCs w:val="20"/>
              </w:rPr>
            </w:pPr>
            <w:r>
              <w:rPr>
                <w:color w:val="000000"/>
                <w:sz w:val="20"/>
                <w:szCs w:val="20"/>
              </w:rPr>
              <w:t>4,1</w:t>
            </w:r>
          </w:p>
        </w:tc>
        <w:tc>
          <w:tcPr>
            <w:tcW w:w="993" w:type="dxa"/>
            <w:vAlign w:val="center"/>
          </w:tcPr>
          <w:p w14:paraId="6CAD197D">
            <w:pPr>
              <w:jc w:val="center"/>
              <w:rPr>
                <w:color w:val="000000"/>
                <w:sz w:val="20"/>
                <w:szCs w:val="20"/>
              </w:rPr>
            </w:pPr>
            <w:r>
              <w:rPr>
                <w:color w:val="000000"/>
                <w:sz w:val="20"/>
                <w:szCs w:val="20"/>
              </w:rPr>
              <w:t>11</w:t>
            </w:r>
          </w:p>
        </w:tc>
        <w:tc>
          <w:tcPr>
            <w:tcW w:w="992" w:type="dxa"/>
            <w:vAlign w:val="center"/>
          </w:tcPr>
          <w:p w14:paraId="47B7C3F3">
            <w:pPr>
              <w:jc w:val="center"/>
              <w:rPr>
                <w:color w:val="000000"/>
                <w:sz w:val="20"/>
                <w:szCs w:val="20"/>
              </w:rPr>
            </w:pPr>
          </w:p>
        </w:tc>
      </w:tr>
      <w:tr w14:paraId="3778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43D8195D">
            <w:pPr>
              <w:jc w:val="center"/>
              <w:rPr>
                <w:color w:val="000000"/>
                <w:sz w:val="20"/>
                <w:szCs w:val="20"/>
              </w:rPr>
            </w:pPr>
          </w:p>
        </w:tc>
        <w:tc>
          <w:tcPr>
            <w:tcW w:w="2409" w:type="dxa"/>
            <w:vAlign w:val="center"/>
          </w:tcPr>
          <w:p w14:paraId="5451D854">
            <w:pPr>
              <w:rPr>
                <w:color w:val="000000"/>
                <w:sz w:val="20"/>
                <w:szCs w:val="20"/>
              </w:rPr>
            </w:pPr>
            <w:r>
              <w:rPr>
                <w:color w:val="000000"/>
                <w:sz w:val="20"/>
                <w:szCs w:val="20"/>
              </w:rPr>
              <w:t>Đất nhà ở liền kề kết hợp kinh doanh 02</w:t>
            </w:r>
          </w:p>
        </w:tc>
        <w:tc>
          <w:tcPr>
            <w:tcW w:w="1033" w:type="dxa"/>
            <w:vAlign w:val="center"/>
          </w:tcPr>
          <w:p w14:paraId="62E4FCA9">
            <w:pPr>
              <w:jc w:val="center"/>
              <w:rPr>
                <w:color w:val="000000"/>
                <w:sz w:val="20"/>
                <w:szCs w:val="20"/>
              </w:rPr>
            </w:pPr>
            <w:r>
              <w:rPr>
                <w:color w:val="000000"/>
                <w:sz w:val="20"/>
                <w:szCs w:val="20"/>
              </w:rPr>
              <w:t>LK02</w:t>
            </w:r>
          </w:p>
        </w:tc>
        <w:tc>
          <w:tcPr>
            <w:tcW w:w="1459" w:type="dxa"/>
            <w:vAlign w:val="center"/>
          </w:tcPr>
          <w:p w14:paraId="05BDB9B0">
            <w:pPr>
              <w:jc w:val="center"/>
              <w:rPr>
                <w:color w:val="000000"/>
                <w:sz w:val="20"/>
                <w:szCs w:val="20"/>
              </w:rPr>
            </w:pPr>
            <w:r>
              <w:rPr>
                <w:color w:val="000000"/>
                <w:sz w:val="20"/>
                <w:szCs w:val="20"/>
              </w:rPr>
              <w:t>1.072,00</w:t>
            </w:r>
          </w:p>
        </w:tc>
        <w:tc>
          <w:tcPr>
            <w:tcW w:w="1273" w:type="dxa"/>
            <w:vAlign w:val="center"/>
          </w:tcPr>
          <w:p w14:paraId="5A8943B1">
            <w:pPr>
              <w:jc w:val="center"/>
              <w:rPr>
                <w:color w:val="000000"/>
                <w:sz w:val="20"/>
                <w:szCs w:val="20"/>
              </w:rPr>
            </w:pPr>
            <w:r>
              <w:rPr>
                <w:color w:val="000000"/>
                <w:sz w:val="20"/>
                <w:szCs w:val="20"/>
              </w:rPr>
              <w:t>0,54%</w:t>
            </w:r>
          </w:p>
        </w:tc>
        <w:tc>
          <w:tcPr>
            <w:tcW w:w="2047" w:type="dxa"/>
            <w:vAlign w:val="center"/>
          </w:tcPr>
          <w:p w14:paraId="5EF6C453">
            <w:pPr>
              <w:jc w:val="center"/>
              <w:rPr>
                <w:color w:val="000000"/>
                <w:sz w:val="20"/>
                <w:szCs w:val="20"/>
              </w:rPr>
            </w:pPr>
            <w:r>
              <w:rPr>
                <w:color w:val="000000"/>
                <w:sz w:val="20"/>
                <w:szCs w:val="20"/>
              </w:rPr>
              <w:t>879,5</w:t>
            </w:r>
          </w:p>
        </w:tc>
        <w:tc>
          <w:tcPr>
            <w:tcW w:w="1276" w:type="dxa"/>
            <w:vAlign w:val="center"/>
          </w:tcPr>
          <w:p w14:paraId="3BD69AFD">
            <w:pPr>
              <w:jc w:val="center"/>
              <w:rPr>
                <w:color w:val="000000"/>
                <w:sz w:val="20"/>
                <w:szCs w:val="20"/>
              </w:rPr>
            </w:pPr>
            <w:r>
              <w:rPr>
                <w:color w:val="000000"/>
                <w:sz w:val="20"/>
                <w:szCs w:val="20"/>
              </w:rPr>
              <w:t>4.397,50</w:t>
            </w:r>
          </w:p>
        </w:tc>
        <w:tc>
          <w:tcPr>
            <w:tcW w:w="992" w:type="dxa"/>
            <w:vAlign w:val="center"/>
          </w:tcPr>
          <w:p w14:paraId="3304B8E6">
            <w:pPr>
              <w:jc w:val="center"/>
              <w:rPr>
                <w:color w:val="000000"/>
                <w:sz w:val="20"/>
                <w:szCs w:val="20"/>
              </w:rPr>
            </w:pPr>
            <w:r>
              <w:rPr>
                <w:color w:val="000000"/>
                <w:sz w:val="20"/>
                <w:szCs w:val="20"/>
              </w:rPr>
              <w:t>82</w:t>
            </w:r>
          </w:p>
        </w:tc>
        <w:tc>
          <w:tcPr>
            <w:tcW w:w="992" w:type="dxa"/>
            <w:vAlign w:val="center"/>
          </w:tcPr>
          <w:p w14:paraId="573612FD">
            <w:pPr>
              <w:jc w:val="center"/>
              <w:rPr>
                <w:color w:val="000000"/>
                <w:sz w:val="20"/>
                <w:szCs w:val="20"/>
              </w:rPr>
            </w:pPr>
            <w:r>
              <w:rPr>
                <w:color w:val="000000"/>
                <w:sz w:val="20"/>
                <w:szCs w:val="20"/>
              </w:rPr>
              <w:t>5</w:t>
            </w:r>
          </w:p>
        </w:tc>
        <w:tc>
          <w:tcPr>
            <w:tcW w:w="1134" w:type="dxa"/>
            <w:vAlign w:val="center"/>
          </w:tcPr>
          <w:p w14:paraId="50836008">
            <w:pPr>
              <w:jc w:val="center"/>
              <w:rPr>
                <w:color w:val="000000"/>
                <w:sz w:val="20"/>
                <w:szCs w:val="20"/>
              </w:rPr>
            </w:pPr>
            <w:r>
              <w:rPr>
                <w:color w:val="000000"/>
                <w:sz w:val="20"/>
                <w:szCs w:val="20"/>
              </w:rPr>
              <w:t>4,1</w:t>
            </w:r>
          </w:p>
        </w:tc>
        <w:tc>
          <w:tcPr>
            <w:tcW w:w="993" w:type="dxa"/>
            <w:vAlign w:val="center"/>
          </w:tcPr>
          <w:p w14:paraId="5B07F0DD">
            <w:pPr>
              <w:jc w:val="center"/>
              <w:rPr>
                <w:color w:val="000000"/>
                <w:sz w:val="20"/>
                <w:szCs w:val="20"/>
              </w:rPr>
            </w:pPr>
            <w:r>
              <w:rPr>
                <w:color w:val="000000"/>
                <w:sz w:val="20"/>
                <w:szCs w:val="20"/>
              </w:rPr>
              <w:t>11</w:t>
            </w:r>
          </w:p>
        </w:tc>
        <w:tc>
          <w:tcPr>
            <w:tcW w:w="992" w:type="dxa"/>
            <w:vAlign w:val="center"/>
          </w:tcPr>
          <w:p w14:paraId="5AB045F2">
            <w:pPr>
              <w:jc w:val="center"/>
              <w:rPr>
                <w:color w:val="000000"/>
                <w:sz w:val="20"/>
                <w:szCs w:val="20"/>
              </w:rPr>
            </w:pPr>
          </w:p>
        </w:tc>
      </w:tr>
      <w:tr w14:paraId="7047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191C4E7C">
            <w:pPr>
              <w:jc w:val="center"/>
              <w:rPr>
                <w:color w:val="000000"/>
                <w:sz w:val="20"/>
                <w:szCs w:val="20"/>
              </w:rPr>
            </w:pPr>
          </w:p>
        </w:tc>
        <w:tc>
          <w:tcPr>
            <w:tcW w:w="2409" w:type="dxa"/>
            <w:vAlign w:val="center"/>
          </w:tcPr>
          <w:p w14:paraId="6DFBB4EC">
            <w:pPr>
              <w:rPr>
                <w:color w:val="000000"/>
                <w:sz w:val="20"/>
                <w:szCs w:val="20"/>
              </w:rPr>
            </w:pPr>
            <w:r>
              <w:rPr>
                <w:color w:val="000000"/>
                <w:sz w:val="20"/>
                <w:szCs w:val="20"/>
              </w:rPr>
              <w:t>Đất nhà ở liền kề kết hợp kinh doanh 03</w:t>
            </w:r>
          </w:p>
        </w:tc>
        <w:tc>
          <w:tcPr>
            <w:tcW w:w="1033" w:type="dxa"/>
            <w:vAlign w:val="center"/>
          </w:tcPr>
          <w:p w14:paraId="6C58C5AE">
            <w:pPr>
              <w:jc w:val="center"/>
              <w:rPr>
                <w:color w:val="000000"/>
                <w:sz w:val="20"/>
                <w:szCs w:val="20"/>
              </w:rPr>
            </w:pPr>
            <w:r>
              <w:rPr>
                <w:color w:val="000000"/>
                <w:sz w:val="20"/>
                <w:szCs w:val="20"/>
              </w:rPr>
              <w:t>LK03</w:t>
            </w:r>
          </w:p>
        </w:tc>
        <w:tc>
          <w:tcPr>
            <w:tcW w:w="1459" w:type="dxa"/>
            <w:vAlign w:val="center"/>
          </w:tcPr>
          <w:p w14:paraId="24A49F78">
            <w:pPr>
              <w:jc w:val="center"/>
              <w:rPr>
                <w:color w:val="000000"/>
                <w:sz w:val="20"/>
                <w:szCs w:val="20"/>
              </w:rPr>
            </w:pPr>
            <w:r>
              <w:rPr>
                <w:color w:val="000000"/>
                <w:sz w:val="20"/>
                <w:szCs w:val="20"/>
              </w:rPr>
              <w:t>908,50</w:t>
            </w:r>
          </w:p>
        </w:tc>
        <w:tc>
          <w:tcPr>
            <w:tcW w:w="1273" w:type="dxa"/>
            <w:vAlign w:val="center"/>
          </w:tcPr>
          <w:p w14:paraId="5A8690CA">
            <w:pPr>
              <w:jc w:val="center"/>
              <w:rPr>
                <w:color w:val="000000"/>
                <w:sz w:val="20"/>
                <w:szCs w:val="20"/>
              </w:rPr>
            </w:pPr>
            <w:r>
              <w:rPr>
                <w:color w:val="000000"/>
                <w:sz w:val="20"/>
                <w:szCs w:val="20"/>
              </w:rPr>
              <w:t>0,46%</w:t>
            </w:r>
          </w:p>
        </w:tc>
        <w:tc>
          <w:tcPr>
            <w:tcW w:w="2047" w:type="dxa"/>
            <w:vAlign w:val="center"/>
          </w:tcPr>
          <w:p w14:paraId="776D792F">
            <w:pPr>
              <w:jc w:val="center"/>
              <w:rPr>
                <w:color w:val="000000"/>
                <w:sz w:val="20"/>
                <w:szCs w:val="20"/>
              </w:rPr>
            </w:pPr>
            <w:r>
              <w:rPr>
                <w:color w:val="000000"/>
                <w:sz w:val="20"/>
                <w:szCs w:val="20"/>
              </w:rPr>
              <w:t>738,8</w:t>
            </w:r>
          </w:p>
        </w:tc>
        <w:tc>
          <w:tcPr>
            <w:tcW w:w="1276" w:type="dxa"/>
            <w:vAlign w:val="center"/>
          </w:tcPr>
          <w:p w14:paraId="3DCEFE2E">
            <w:pPr>
              <w:jc w:val="center"/>
              <w:rPr>
                <w:color w:val="000000"/>
                <w:sz w:val="20"/>
                <w:szCs w:val="20"/>
              </w:rPr>
            </w:pPr>
            <w:r>
              <w:rPr>
                <w:color w:val="000000"/>
                <w:sz w:val="20"/>
                <w:szCs w:val="20"/>
              </w:rPr>
              <w:t>3.694,00</w:t>
            </w:r>
          </w:p>
        </w:tc>
        <w:tc>
          <w:tcPr>
            <w:tcW w:w="992" w:type="dxa"/>
            <w:vAlign w:val="center"/>
          </w:tcPr>
          <w:p w14:paraId="48F9F929">
            <w:pPr>
              <w:jc w:val="center"/>
              <w:rPr>
                <w:color w:val="000000"/>
                <w:sz w:val="20"/>
                <w:szCs w:val="20"/>
              </w:rPr>
            </w:pPr>
            <w:r>
              <w:rPr>
                <w:color w:val="000000"/>
                <w:sz w:val="20"/>
                <w:szCs w:val="20"/>
              </w:rPr>
              <w:t>82</w:t>
            </w:r>
          </w:p>
        </w:tc>
        <w:tc>
          <w:tcPr>
            <w:tcW w:w="992" w:type="dxa"/>
            <w:vAlign w:val="center"/>
          </w:tcPr>
          <w:p w14:paraId="38D87A8E">
            <w:pPr>
              <w:jc w:val="center"/>
              <w:rPr>
                <w:color w:val="000000"/>
                <w:sz w:val="20"/>
                <w:szCs w:val="20"/>
              </w:rPr>
            </w:pPr>
            <w:r>
              <w:rPr>
                <w:color w:val="000000"/>
                <w:sz w:val="20"/>
                <w:szCs w:val="20"/>
              </w:rPr>
              <w:t>5</w:t>
            </w:r>
          </w:p>
        </w:tc>
        <w:tc>
          <w:tcPr>
            <w:tcW w:w="1134" w:type="dxa"/>
            <w:vAlign w:val="center"/>
          </w:tcPr>
          <w:p w14:paraId="63E25933">
            <w:pPr>
              <w:jc w:val="center"/>
              <w:rPr>
                <w:color w:val="000000"/>
                <w:sz w:val="20"/>
                <w:szCs w:val="20"/>
              </w:rPr>
            </w:pPr>
            <w:r>
              <w:rPr>
                <w:color w:val="000000"/>
                <w:sz w:val="20"/>
                <w:szCs w:val="20"/>
              </w:rPr>
              <w:t>4,1</w:t>
            </w:r>
          </w:p>
        </w:tc>
        <w:tc>
          <w:tcPr>
            <w:tcW w:w="993" w:type="dxa"/>
            <w:vAlign w:val="center"/>
          </w:tcPr>
          <w:p w14:paraId="7D84DB88">
            <w:pPr>
              <w:jc w:val="center"/>
              <w:rPr>
                <w:color w:val="000000"/>
                <w:sz w:val="20"/>
                <w:szCs w:val="20"/>
              </w:rPr>
            </w:pPr>
            <w:r>
              <w:rPr>
                <w:color w:val="000000"/>
                <w:sz w:val="20"/>
                <w:szCs w:val="20"/>
              </w:rPr>
              <w:t>9</w:t>
            </w:r>
          </w:p>
        </w:tc>
        <w:tc>
          <w:tcPr>
            <w:tcW w:w="992" w:type="dxa"/>
            <w:vAlign w:val="center"/>
          </w:tcPr>
          <w:p w14:paraId="6CE6E0B9">
            <w:pPr>
              <w:jc w:val="center"/>
              <w:rPr>
                <w:color w:val="000000"/>
                <w:sz w:val="20"/>
                <w:szCs w:val="20"/>
              </w:rPr>
            </w:pPr>
          </w:p>
        </w:tc>
      </w:tr>
      <w:tr w14:paraId="44F8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14E1D27C">
            <w:pPr>
              <w:jc w:val="center"/>
              <w:rPr>
                <w:color w:val="000000"/>
                <w:sz w:val="20"/>
                <w:szCs w:val="20"/>
              </w:rPr>
            </w:pPr>
          </w:p>
        </w:tc>
        <w:tc>
          <w:tcPr>
            <w:tcW w:w="2409" w:type="dxa"/>
            <w:vAlign w:val="center"/>
          </w:tcPr>
          <w:p w14:paraId="3654AD7F">
            <w:pPr>
              <w:rPr>
                <w:color w:val="000000"/>
                <w:sz w:val="20"/>
                <w:szCs w:val="20"/>
              </w:rPr>
            </w:pPr>
            <w:r>
              <w:rPr>
                <w:color w:val="000000"/>
                <w:sz w:val="20"/>
                <w:szCs w:val="20"/>
              </w:rPr>
              <w:t>Đất nhà ở liền kề kết hợp kinh doanh 04</w:t>
            </w:r>
          </w:p>
        </w:tc>
        <w:tc>
          <w:tcPr>
            <w:tcW w:w="1033" w:type="dxa"/>
            <w:vAlign w:val="center"/>
          </w:tcPr>
          <w:p w14:paraId="6990C1CB">
            <w:pPr>
              <w:jc w:val="center"/>
              <w:rPr>
                <w:color w:val="000000"/>
                <w:sz w:val="20"/>
                <w:szCs w:val="20"/>
              </w:rPr>
            </w:pPr>
            <w:r>
              <w:rPr>
                <w:color w:val="000000"/>
                <w:sz w:val="20"/>
                <w:szCs w:val="20"/>
              </w:rPr>
              <w:t>LK04</w:t>
            </w:r>
          </w:p>
        </w:tc>
        <w:tc>
          <w:tcPr>
            <w:tcW w:w="1459" w:type="dxa"/>
            <w:vAlign w:val="center"/>
          </w:tcPr>
          <w:p w14:paraId="71676EB9">
            <w:pPr>
              <w:jc w:val="center"/>
              <w:rPr>
                <w:color w:val="000000"/>
                <w:sz w:val="20"/>
                <w:szCs w:val="20"/>
              </w:rPr>
            </w:pPr>
            <w:r>
              <w:rPr>
                <w:color w:val="000000"/>
                <w:sz w:val="20"/>
                <w:szCs w:val="20"/>
              </w:rPr>
              <w:t>756,00</w:t>
            </w:r>
          </w:p>
        </w:tc>
        <w:tc>
          <w:tcPr>
            <w:tcW w:w="1273" w:type="dxa"/>
            <w:vAlign w:val="center"/>
          </w:tcPr>
          <w:p w14:paraId="280F9137">
            <w:pPr>
              <w:jc w:val="center"/>
              <w:rPr>
                <w:color w:val="000000"/>
                <w:sz w:val="20"/>
                <w:szCs w:val="20"/>
              </w:rPr>
            </w:pPr>
            <w:r>
              <w:rPr>
                <w:color w:val="000000"/>
                <w:sz w:val="20"/>
                <w:szCs w:val="20"/>
              </w:rPr>
              <w:t>0,38%</w:t>
            </w:r>
          </w:p>
        </w:tc>
        <w:tc>
          <w:tcPr>
            <w:tcW w:w="2047" w:type="dxa"/>
            <w:vAlign w:val="center"/>
          </w:tcPr>
          <w:p w14:paraId="7842B4EE">
            <w:pPr>
              <w:jc w:val="center"/>
              <w:rPr>
                <w:color w:val="000000"/>
                <w:sz w:val="20"/>
                <w:szCs w:val="20"/>
              </w:rPr>
            </w:pPr>
            <w:r>
              <w:rPr>
                <w:color w:val="000000"/>
                <w:sz w:val="20"/>
                <w:szCs w:val="20"/>
              </w:rPr>
              <w:t>651,9</w:t>
            </w:r>
          </w:p>
        </w:tc>
        <w:tc>
          <w:tcPr>
            <w:tcW w:w="1276" w:type="dxa"/>
            <w:vAlign w:val="center"/>
          </w:tcPr>
          <w:p w14:paraId="32241961">
            <w:pPr>
              <w:jc w:val="center"/>
              <w:rPr>
                <w:color w:val="000000"/>
                <w:sz w:val="20"/>
                <w:szCs w:val="20"/>
              </w:rPr>
            </w:pPr>
            <w:r>
              <w:rPr>
                <w:color w:val="000000"/>
                <w:sz w:val="20"/>
                <w:szCs w:val="20"/>
              </w:rPr>
              <w:t>3.259,50</w:t>
            </w:r>
          </w:p>
        </w:tc>
        <w:tc>
          <w:tcPr>
            <w:tcW w:w="992" w:type="dxa"/>
            <w:vAlign w:val="center"/>
          </w:tcPr>
          <w:p w14:paraId="2DEE6F16">
            <w:pPr>
              <w:jc w:val="center"/>
              <w:rPr>
                <w:color w:val="000000"/>
                <w:sz w:val="20"/>
                <w:szCs w:val="20"/>
              </w:rPr>
            </w:pPr>
            <w:r>
              <w:rPr>
                <w:color w:val="000000"/>
                <w:sz w:val="20"/>
                <w:szCs w:val="20"/>
              </w:rPr>
              <w:t>88</w:t>
            </w:r>
          </w:p>
        </w:tc>
        <w:tc>
          <w:tcPr>
            <w:tcW w:w="992" w:type="dxa"/>
            <w:vAlign w:val="center"/>
          </w:tcPr>
          <w:p w14:paraId="2F287875">
            <w:pPr>
              <w:jc w:val="center"/>
              <w:rPr>
                <w:color w:val="000000"/>
                <w:sz w:val="20"/>
                <w:szCs w:val="20"/>
              </w:rPr>
            </w:pPr>
            <w:r>
              <w:rPr>
                <w:color w:val="000000"/>
                <w:sz w:val="20"/>
                <w:szCs w:val="20"/>
              </w:rPr>
              <w:t>5</w:t>
            </w:r>
          </w:p>
        </w:tc>
        <w:tc>
          <w:tcPr>
            <w:tcW w:w="1134" w:type="dxa"/>
            <w:vAlign w:val="center"/>
          </w:tcPr>
          <w:p w14:paraId="3EA1F5B3">
            <w:pPr>
              <w:jc w:val="center"/>
              <w:rPr>
                <w:color w:val="000000"/>
                <w:sz w:val="20"/>
                <w:szCs w:val="20"/>
              </w:rPr>
            </w:pPr>
            <w:r>
              <w:rPr>
                <w:color w:val="000000"/>
                <w:sz w:val="20"/>
                <w:szCs w:val="20"/>
              </w:rPr>
              <w:t>4,4</w:t>
            </w:r>
          </w:p>
        </w:tc>
        <w:tc>
          <w:tcPr>
            <w:tcW w:w="993" w:type="dxa"/>
            <w:vAlign w:val="center"/>
          </w:tcPr>
          <w:p w14:paraId="665B9BA8">
            <w:pPr>
              <w:jc w:val="center"/>
              <w:rPr>
                <w:color w:val="000000"/>
                <w:sz w:val="20"/>
                <w:szCs w:val="20"/>
              </w:rPr>
            </w:pPr>
            <w:r>
              <w:rPr>
                <w:color w:val="000000"/>
                <w:sz w:val="20"/>
                <w:szCs w:val="20"/>
              </w:rPr>
              <w:t>8</w:t>
            </w:r>
          </w:p>
        </w:tc>
        <w:tc>
          <w:tcPr>
            <w:tcW w:w="992" w:type="dxa"/>
            <w:vAlign w:val="center"/>
          </w:tcPr>
          <w:p w14:paraId="636F6EBF">
            <w:pPr>
              <w:jc w:val="center"/>
              <w:rPr>
                <w:color w:val="000000"/>
                <w:sz w:val="20"/>
                <w:szCs w:val="20"/>
              </w:rPr>
            </w:pPr>
          </w:p>
        </w:tc>
      </w:tr>
      <w:tr w14:paraId="082A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0A56EFAB">
            <w:pPr>
              <w:jc w:val="center"/>
              <w:rPr>
                <w:color w:val="000000"/>
                <w:sz w:val="20"/>
                <w:szCs w:val="20"/>
              </w:rPr>
            </w:pPr>
          </w:p>
        </w:tc>
        <w:tc>
          <w:tcPr>
            <w:tcW w:w="2409" w:type="dxa"/>
            <w:vAlign w:val="center"/>
          </w:tcPr>
          <w:p w14:paraId="44352446">
            <w:pPr>
              <w:rPr>
                <w:color w:val="000000"/>
                <w:sz w:val="20"/>
                <w:szCs w:val="20"/>
              </w:rPr>
            </w:pPr>
            <w:r>
              <w:rPr>
                <w:color w:val="000000"/>
                <w:sz w:val="20"/>
                <w:szCs w:val="20"/>
              </w:rPr>
              <w:t>Đất nhà ở liền kề kết hợp kinh doanh 05</w:t>
            </w:r>
          </w:p>
        </w:tc>
        <w:tc>
          <w:tcPr>
            <w:tcW w:w="1033" w:type="dxa"/>
            <w:vAlign w:val="center"/>
          </w:tcPr>
          <w:p w14:paraId="45BD7143">
            <w:pPr>
              <w:jc w:val="center"/>
              <w:rPr>
                <w:color w:val="000000"/>
                <w:sz w:val="20"/>
                <w:szCs w:val="20"/>
              </w:rPr>
            </w:pPr>
            <w:r>
              <w:rPr>
                <w:color w:val="000000"/>
                <w:sz w:val="20"/>
                <w:szCs w:val="20"/>
              </w:rPr>
              <w:t>LK05</w:t>
            </w:r>
          </w:p>
        </w:tc>
        <w:tc>
          <w:tcPr>
            <w:tcW w:w="1459" w:type="dxa"/>
            <w:vAlign w:val="center"/>
          </w:tcPr>
          <w:p w14:paraId="0FAEFD65">
            <w:pPr>
              <w:jc w:val="center"/>
              <w:rPr>
                <w:color w:val="000000"/>
                <w:sz w:val="20"/>
                <w:szCs w:val="20"/>
              </w:rPr>
            </w:pPr>
            <w:r>
              <w:rPr>
                <w:color w:val="000000"/>
                <w:sz w:val="20"/>
                <w:szCs w:val="20"/>
              </w:rPr>
              <w:t>912,60</w:t>
            </w:r>
          </w:p>
        </w:tc>
        <w:tc>
          <w:tcPr>
            <w:tcW w:w="1273" w:type="dxa"/>
            <w:vAlign w:val="center"/>
          </w:tcPr>
          <w:p w14:paraId="473BCE4D">
            <w:pPr>
              <w:jc w:val="center"/>
              <w:rPr>
                <w:color w:val="000000"/>
                <w:sz w:val="20"/>
                <w:szCs w:val="20"/>
              </w:rPr>
            </w:pPr>
            <w:r>
              <w:rPr>
                <w:color w:val="000000"/>
                <w:sz w:val="20"/>
                <w:szCs w:val="20"/>
              </w:rPr>
              <w:t>0,46%</w:t>
            </w:r>
          </w:p>
        </w:tc>
        <w:tc>
          <w:tcPr>
            <w:tcW w:w="2047" w:type="dxa"/>
            <w:vAlign w:val="center"/>
          </w:tcPr>
          <w:p w14:paraId="5C664C2B">
            <w:pPr>
              <w:jc w:val="center"/>
              <w:rPr>
                <w:color w:val="000000"/>
                <w:sz w:val="20"/>
                <w:szCs w:val="20"/>
              </w:rPr>
            </w:pPr>
            <w:r>
              <w:rPr>
                <w:color w:val="000000"/>
                <w:sz w:val="20"/>
                <w:szCs w:val="20"/>
              </w:rPr>
              <w:t>794,6</w:t>
            </w:r>
          </w:p>
        </w:tc>
        <w:tc>
          <w:tcPr>
            <w:tcW w:w="1276" w:type="dxa"/>
            <w:vAlign w:val="center"/>
          </w:tcPr>
          <w:p w14:paraId="5B84F28C">
            <w:pPr>
              <w:jc w:val="center"/>
              <w:rPr>
                <w:color w:val="000000"/>
                <w:sz w:val="20"/>
                <w:szCs w:val="20"/>
              </w:rPr>
            </w:pPr>
            <w:r>
              <w:rPr>
                <w:color w:val="000000"/>
                <w:sz w:val="20"/>
                <w:szCs w:val="20"/>
              </w:rPr>
              <w:t>3.973,00</w:t>
            </w:r>
          </w:p>
        </w:tc>
        <w:tc>
          <w:tcPr>
            <w:tcW w:w="992" w:type="dxa"/>
            <w:vAlign w:val="center"/>
          </w:tcPr>
          <w:p w14:paraId="1659D867">
            <w:pPr>
              <w:jc w:val="center"/>
              <w:rPr>
                <w:color w:val="000000"/>
                <w:sz w:val="20"/>
                <w:szCs w:val="20"/>
              </w:rPr>
            </w:pPr>
            <w:r>
              <w:rPr>
                <w:color w:val="000000"/>
                <w:sz w:val="20"/>
                <w:szCs w:val="20"/>
              </w:rPr>
              <w:t>88</w:t>
            </w:r>
          </w:p>
        </w:tc>
        <w:tc>
          <w:tcPr>
            <w:tcW w:w="992" w:type="dxa"/>
            <w:vAlign w:val="center"/>
          </w:tcPr>
          <w:p w14:paraId="0FCF9E58">
            <w:pPr>
              <w:jc w:val="center"/>
              <w:rPr>
                <w:color w:val="000000"/>
                <w:sz w:val="20"/>
                <w:szCs w:val="20"/>
              </w:rPr>
            </w:pPr>
            <w:r>
              <w:rPr>
                <w:color w:val="000000"/>
                <w:sz w:val="20"/>
                <w:szCs w:val="20"/>
              </w:rPr>
              <w:t>5</w:t>
            </w:r>
          </w:p>
        </w:tc>
        <w:tc>
          <w:tcPr>
            <w:tcW w:w="1134" w:type="dxa"/>
            <w:vAlign w:val="center"/>
          </w:tcPr>
          <w:p w14:paraId="2AFA4EEA">
            <w:pPr>
              <w:jc w:val="center"/>
              <w:rPr>
                <w:color w:val="000000"/>
                <w:sz w:val="20"/>
                <w:szCs w:val="20"/>
              </w:rPr>
            </w:pPr>
            <w:r>
              <w:rPr>
                <w:color w:val="000000"/>
                <w:sz w:val="20"/>
                <w:szCs w:val="20"/>
              </w:rPr>
              <w:t>4,4</w:t>
            </w:r>
          </w:p>
        </w:tc>
        <w:tc>
          <w:tcPr>
            <w:tcW w:w="993" w:type="dxa"/>
            <w:vAlign w:val="center"/>
          </w:tcPr>
          <w:p w14:paraId="5FB242A5">
            <w:pPr>
              <w:jc w:val="center"/>
              <w:rPr>
                <w:color w:val="000000"/>
                <w:sz w:val="20"/>
                <w:szCs w:val="20"/>
              </w:rPr>
            </w:pPr>
            <w:r>
              <w:rPr>
                <w:color w:val="000000"/>
                <w:sz w:val="20"/>
                <w:szCs w:val="20"/>
              </w:rPr>
              <w:t>10</w:t>
            </w:r>
          </w:p>
        </w:tc>
        <w:tc>
          <w:tcPr>
            <w:tcW w:w="992" w:type="dxa"/>
            <w:vAlign w:val="center"/>
          </w:tcPr>
          <w:p w14:paraId="54B39366">
            <w:pPr>
              <w:jc w:val="center"/>
              <w:rPr>
                <w:color w:val="000000"/>
                <w:sz w:val="20"/>
                <w:szCs w:val="20"/>
              </w:rPr>
            </w:pPr>
          </w:p>
        </w:tc>
      </w:tr>
      <w:tr w14:paraId="0760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65548CB4">
            <w:pPr>
              <w:jc w:val="center"/>
              <w:rPr>
                <w:color w:val="000000"/>
                <w:sz w:val="20"/>
                <w:szCs w:val="20"/>
              </w:rPr>
            </w:pPr>
          </w:p>
        </w:tc>
        <w:tc>
          <w:tcPr>
            <w:tcW w:w="2409" w:type="dxa"/>
            <w:vAlign w:val="center"/>
          </w:tcPr>
          <w:p w14:paraId="77A6BFB6">
            <w:pPr>
              <w:rPr>
                <w:color w:val="000000"/>
                <w:sz w:val="20"/>
                <w:szCs w:val="20"/>
              </w:rPr>
            </w:pPr>
            <w:r>
              <w:rPr>
                <w:color w:val="000000"/>
                <w:sz w:val="20"/>
                <w:szCs w:val="20"/>
              </w:rPr>
              <w:t>Đất nhà ở liền kề kết hợp kinh doanh 06</w:t>
            </w:r>
          </w:p>
        </w:tc>
        <w:tc>
          <w:tcPr>
            <w:tcW w:w="1033" w:type="dxa"/>
            <w:vAlign w:val="center"/>
          </w:tcPr>
          <w:p w14:paraId="53159FA7">
            <w:pPr>
              <w:jc w:val="center"/>
              <w:rPr>
                <w:color w:val="000000"/>
                <w:sz w:val="20"/>
                <w:szCs w:val="20"/>
              </w:rPr>
            </w:pPr>
            <w:r>
              <w:rPr>
                <w:color w:val="000000"/>
                <w:sz w:val="20"/>
                <w:szCs w:val="20"/>
              </w:rPr>
              <w:t>LK06</w:t>
            </w:r>
          </w:p>
        </w:tc>
        <w:tc>
          <w:tcPr>
            <w:tcW w:w="1459" w:type="dxa"/>
            <w:vAlign w:val="center"/>
          </w:tcPr>
          <w:p w14:paraId="7F9AB14A">
            <w:pPr>
              <w:jc w:val="center"/>
              <w:rPr>
                <w:color w:val="000000"/>
                <w:sz w:val="20"/>
                <w:szCs w:val="20"/>
              </w:rPr>
            </w:pPr>
            <w:r>
              <w:rPr>
                <w:color w:val="000000"/>
                <w:sz w:val="20"/>
                <w:szCs w:val="20"/>
              </w:rPr>
              <w:t>838,00</w:t>
            </w:r>
          </w:p>
        </w:tc>
        <w:tc>
          <w:tcPr>
            <w:tcW w:w="1273" w:type="dxa"/>
            <w:vAlign w:val="center"/>
          </w:tcPr>
          <w:p w14:paraId="6C906C1A">
            <w:pPr>
              <w:jc w:val="center"/>
              <w:rPr>
                <w:color w:val="000000"/>
                <w:sz w:val="20"/>
                <w:szCs w:val="20"/>
              </w:rPr>
            </w:pPr>
            <w:r>
              <w:rPr>
                <w:color w:val="000000"/>
                <w:sz w:val="20"/>
                <w:szCs w:val="20"/>
              </w:rPr>
              <w:t>0,42%</w:t>
            </w:r>
          </w:p>
        </w:tc>
        <w:tc>
          <w:tcPr>
            <w:tcW w:w="2047" w:type="dxa"/>
            <w:vAlign w:val="center"/>
          </w:tcPr>
          <w:p w14:paraId="7B9003F9">
            <w:pPr>
              <w:jc w:val="center"/>
              <w:rPr>
                <w:color w:val="000000"/>
                <w:sz w:val="20"/>
                <w:szCs w:val="20"/>
              </w:rPr>
            </w:pPr>
            <w:r>
              <w:rPr>
                <w:color w:val="000000"/>
                <w:sz w:val="20"/>
                <w:szCs w:val="20"/>
              </w:rPr>
              <w:t>725,9</w:t>
            </w:r>
          </w:p>
        </w:tc>
        <w:tc>
          <w:tcPr>
            <w:tcW w:w="1276" w:type="dxa"/>
            <w:vAlign w:val="center"/>
          </w:tcPr>
          <w:p w14:paraId="5EF56243">
            <w:pPr>
              <w:jc w:val="center"/>
              <w:rPr>
                <w:color w:val="000000"/>
                <w:sz w:val="20"/>
                <w:szCs w:val="20"/>
              </w:rPr>
            </w:pPr>
            <w:r>
              <w:rPr>
                <w:color w:val="000000"/>
                <w:sz w:val="20"/>
                <w:szCs w:val="20"/>
              </w:rPr>
              <w:t>3.629,50</w:t>
            </w:r>
          </w:p>
        </w:tc>
        <w:tc>
          <w:tcPr>
            <w:tcW w:w="992" w:type="dxa"/>
            <w:vAlign w:val="center"/>
          </w:tcPr>
          <w:p w14:paraId="06C79975">
            <w:pPr>
              <w:jc w:val="center"/>
              <w:rPr>
                <w:color w:val="000000"/>
                <w:sz w:val="20"/>
                <w:szCs w:val="20"/>
              </w:rPr>
            </w:pPr>
            <w:r>
              <w:rPr>
                <w:color w:val="000000"/>
                <w:sz w:val="20"/>
                <w:szCs w:val="20"/>
              </w:rPr>
              <w:t>88</w:t>
            </w:r>
          </w:p>
        </w:tc>
        <w:tc>
          <w:tcPr>
            <w:tcW w:w="992" w:type="dxa"/>
            <w:vAlign w:val="center"/>
          </w:tcPr>
          <w:p w14:paraId="3256CD4F">
            <w:pPr>
              <w:jc w:val="center"/>
              <w:rPr>
                <w:color w:val="000000"/>
                <w:sz w:val="20"/>
                <w:szCs w:val="20"/>
              </w:rPr>
            </w:pPr>
            <w:r>
              <w:rPr>
                <w:color w:val="000000"/>
                <w:sz w:val="20"/>
                <w:szCs w:val="20"/>
              </w:rPr>
              <w:t>5</w:t>
            </w:r>
          </w:p>
        </w:tc>
        <w:tc>
          <w:tcPr>
            <w:tcW w:w="1134" w:type="dxa"/>
            <w:vAlign w:val="center"/>
          </w:tcPr>
          <w:p w14:paraId="470F2531">
            <w:pPr>
              <w:jc w:val="center"/>
              <w:rPr>
                <w:color w:val="000000"/>
                <w:sz w:val="20"/>
                <w:szCs w:val="20"/>
              </w:rPr>
            </w:pPr>
            <w:r>
              <w:rPr>
                <w:color w:val="000000"/>
                <w:sz w:val="20"/>
                <w:szCs w:val="20"/>
              </w:rPr>
              <w:t>4,4</w:t>
            </w:r>
          </w:p>
        </w:tc>
        <w:tc>
          <w:tcPr>
            <w:tcW w:w="993" w:type="dxa"/>
            <w:vAlign w:val="center"/>
          </w:tcPr>
          <w:p w14:paraId="2B12AC4F">
            <w:pPr>
              <w:jc w:val="center"/>
              <w:rPr>
                <w:color w:val="000000"/>
                <w:sz w:val="20"/>
                <w:szCs w:val="20"/>
              </w:rPr>
            </w:pPr>
            <w:r>
              <w:rPr>
                <w:color w:val="000000"/>
                <w:sz w:val="20"/>
                <w:szCs w:val="20"/>
              </w:rPr>
              <w:t>9</w:t>
            </w:r>
          </w:p>
        </w:tc>
        <w:tc>
          <w:tcPr>
            <w:tcW w:w="992" w:type="dxa"/>
            <w:vAlign w:val="center"/>
          </w:tcPr>
          <w:p w14:paraId="06690E92">
            <w:pPr>
              <w:jc w:val="center"/>
              <w:rPr>
                <w:color w:val="000000"/>
                <w:sz w:val="20"/>
                <w:szCs w:val="20"/>
              </w:rPr>
            </w:pPr>
          </w:p>
        </w:tc>
      </w:tr>
      <w:tr w14:paraId="799D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233AF2F6">
            <w:pPr>
              <w:jc w:val="center"/>
              <w:rPr>
                <w:color w:val="000000"/>
                <w:sz w:val="20"/>
                <w:szCs w:val="20"/>
              </w:rPr>
            </w:pPr>
          </w:p>
        </w:tc>
        <w:tc>
          <w:tcPr>
            <w:tcW w:w="2409" w:type="dxa"/>
            <w:vAlign w:val="center"/>
          </w:tcPr>
          <w:p w14:paraId="27879931">
            <w:pPr>
              <w:rPr>
                <w:color w:val="000000"/>
                <w:sz w:val="20"/>
                <w:szCs w:val="20"/>
              </w:rPr>
            </w:pPr>
            <w:r>
              <w:rPr>
                <w:color w:val="000000"/>
                <w:sz w:val="20"/>
                <w:szCs w:val="20"/>
              </w:rPr>
              <w:t>Đất nhà ở liền kề kết hợp kinh doanh 07</w:t>
            </w:r>
          </w:p>
        </w:tc>
        <w:tc>
          <w:tcPr>
            <w:tcW w:w="1033" w:type="dxa"/>
            <w:vAlign w:val="center"/>
          </w:tcPr>
          <w:p w14:paraId="180CADC4">
            <w:pPr>
              <w:jc w:val="center"/>
              <w:rPr>
                <w:color w:val="000000"/>
                <w:sz w:val="20"/>
                <w:szCs w:val="20"/>
              </w:rPr>
            </w:pPr>
            <w:r>
              <w:rPr>
                <w:color w:val="000000"/>
                <w:sz w:val="20"/>
                <w:szCs w:val="20"/>
              </w:rPr>
              <w:t>LK07</w:t>
            </w:r>
          </w:p>
        </w:tc>
        <w:tc>
          <w:tcPr>
            <w:tcW w:w="1459" w:type="dxa"/>
            <w:vAlign w:val="center"/>
          </w:tcPr>
          <w:p w14:paraId="3972FE30">
            <w:pPr>
              <w:jc w:val="center"/>
              <w:rPr>
                <w:color w:val="000000"/>
                <w:sz w:val="20"/>
                <w:szCs w:val="20"/>
              </w:rPr>
            </w:pPr>
            <w:r>
              <w:rPr>
                <w:color w:val="000000"/>
                <w:sz w:val="20"/>
                <w:szCs w:val="20"/>
              </w:rPr>
              <w:t>841,80</w:t>
            </w:r>
          </w:p>
        </w:tc>
        <w:tc>
          <w:tcPr>
            <w:tcW w:w="1273" w:type="dxa"/>
            <w:vAlign w:val="center"/>
          </w:tcPr>
          <w:p w14:paraId="0B8E43F1">
            <w:pPr>
              <w:jc w:val="center"/>
              <w:rPr>
                <w:color w:val="000000"/>
                <w:sz w:val="20"/>
                <w:szCs w:val="20"/>
              </w:rPr>
            </w:pPr>
            <w:r>
              <w:rPr>
                <w:color w:val="000000"/>
                <w:sz w:val="20"/>
                <w:szCs w:val="20"/>
              </w:rPr>
              <w:t>0,42%</w:t>
            </w:r>
          </w:p>
        </w:tc>
        <w:tc>
          <w:tcPr>
            <w:tcW w:w="2047" w:type="dxa"/>
            <w:vAlign w:val="center"/>
          </w:tcPr>
          <w:p w14:paraId="6BD1397C">
            <w:pPr>
              <w:jc w:val="center"/>
              <w:rPr>
                <w:color w:val="000000"/>
                <w:sz w:val="20"/>
                <w:szCs w:val="20"/>
              </w:rPr>
            </w:pPr>
            <w:r>
              <w:rPr>
                <w:color w:val="000000"/>
                <w:sz w:val="20"/>
                <w:szCs w:val="20"/>
              </w:rPr>
              <w:t>722,6</w:t>
            </w:r>
          </w:p>
        </w:tc>
        <w:tc>
          <w:tcPr>
            <w:tcW w:w="1276" w:type="dxa"/>
            <w:vAlign w:val="center"/>
          </w:tcPr>
          <w:p w14:paraId="54972815">
            <w:pPr>
              <w:jc w:val="center"/>
              <w:rPr>
                <w:color w:val="000000"/>
                <w:sz w:val="20"/>
                <w:szCs w:val="20"/>
              </w:rPr>
            </w:pPr>
            <w:r>
              <w:rPr>
                <w:color w:val="000000"/>
                <w:sz w:val="20"/>
                <w:szCs w:val="20"/>
              </w:rPr>
              <w:t>3.613,00</w:t>
            </w:r>
          </w:p>
        </w:tc>
        <w:tc>
          <w:tcPr>
            <w:tcW w:w="992" w:type="dxa"/>
            <w:vAlign w:val="center"/>
          </w:tcPr>
          <w:p w14:paraId="45E985F8">
            <w:pPr>
              <w:jc w:val="center"/>
              <w:rPr>
                <w:color w:val="000000"/>
                <w:sz w:val="20"/>
                <w:szCs w:val="20"/>
              </w:rPr>
            </w:pPr>
            <w:r>
              <w:rPr>
                <w:color w:val="000000"/>
                <w:sz w:val="20"/>
                <w:szCs w:val="20"/>
              </w:rPr>
              <w:t>88</w:t>
            </w:r>
          </w:p>
        </w:tc>
        <w:tc>
          <w:tcPr>
            <w:tcW w:w="992" w:type="dxa"/>
            <w:vAlign w:val="center"/>
          </w:tcPr>
          <w:p w14:paraId="2AC55ADB">
            <w:pPr>
              <w:jc w:val="center"/>
              <w:rPr>
                <w:color w:val="000000"/>
                <w:sz w:val="20"/>
                <w:szCs w:val="20"/>
              </w:rPr>
            </w:pPr>
            <w:r>
              <w:rPr>
                <w:color w:val="000000"/>
                <w:sz w:val="20"/>
                <w:szCs w:val="20"/>
              </w:rPr>
              <w:t>5</w:t>
            </w:r>
          </w:p>
        </w:tc>
        <w:tc>
          <w:tcPr>
            <w:tcW w:w="1134" w:type="dxa"/>
            <w:vAlign w:val="center"/>
          </w:tcPr>
          <w:p w14:paraId="703B3C47">
            <w:pPr>
              <w:jc w:val="center"/>
              <w:rPr>
                <w:color w:val="000000"/>
                <w:sz w:val="20"/>
                <w:szCs w:val="20"/>
              </w:rPr>
            </w:pPr>
            <w:r>
              <w:rPr>
                <w:color w:val="000000"/>
                <w:sz w:val="20"/>
                <w:szCs w:val="20"/>
              </w:rPr>
              <w:t>4,4</w:t>
            </w:r>
          </w:p>
        </w:tc>
        <w:tc>
          <w:tcPr>
            <w:tcW w:w="993" w:type="dxa"/>
            <w:vAlign w:val="center"/>
          </w:tcPr>
          <w:p w14:paraId="2B845CE4">
            <w:pPr>
              <w:jc w:val="center"/>
              <w:rPr>
                <w:color w:val="000000"/>
                <w:sz w:val="20"/>
                <w:szCs w:val="20"/>
              </w:rPr>
            </w:pPr>
            <w:r>
              <w:rPr>
                <w:color w:val="000000"/>
                <w:sz w:val="20"/>
                <w:szCs w:val="20"/>
              </w:rPr>
              <w:t>9</w:t>
            </w:r>
          </w:p>
        </w:tc>
        <w:tc>
          <w:tcPr>
            <w:tcW w:w="992" w:type="dxa"/>
            <w:vAlign w:val="center"/>
          </w:tcPr>
          <w:p w14:paraId="0FEC5C4A">
            <w:pPr>
              <w:jc w:val="center"/>
              <w:rPr>
                <w:color w:val="000000"/>
                <w:sz w:val="20"/>
                <w:szCs w:val="20"/>
              </w:rPr>
            </w:pPr>
          </w:p>
        </w:tc>
      </w:tr>
      <w:tr w14:paraId="3727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216BBFE1">
            <w:pPr>
              <w:jc w:val="center"/>
              <w:rPr>
                <w:color w:val="000000"/>
                <w:sz w:val="20"/>
                <w:szCs w:val="20"/>
              </w:rPr>
            </w:pPr>
          </w:p>
        </w:tc>
        <w:tc>
          <w:tcPr>
            <w:tcW w:w="2409" w:type="dxa"/>
            <w:vAlign w:val="center"/>
          </w:tcPr>
          <w:p w14:paraId="3DACCFDD">
            <w:pPr>
              <w:rPr>
                <w:color w:val="000000"/>
                <w:sz w:val="20"/>
                <w:szCs w:val="20"/>
              </w:rPr>
            </w:pPr>
            <w:r>
              <w:rPr>
                <w:color w:val="000000"/>
                <w:sz w:val="20"/>
                <w:szCs w:val="20"/>
              </w:rPr>
              <w:t>Đất nhà ở liền kề kết hợp kinh doanh 08</w:t>
            </w:r>
          </w:p>
        </w:tc>
        <w:tc>
          <w:tcPr>
            <w:tcW w:w="1033" w:type="dxa"/>
            <w:vAlign w:val="center"/>
          </w:tcPr>
          <w:p w14:paraId="29AF22CF">
            <w:pPr>
              <w:jc w:val="center"/>
              <w:rPr>
                <w:color w:val="000000"/>
                <w:sz w:val="20"/>
                <w:szCs w:val="20"/>
              </w:rPr>
            </w:pPr>
            <w:r>
              <w:rPr>
                <w:color w:val="000000"/>
                <w:sz w:val="20"/>
                <w:szCs w:val="20"/>
              </w:rPr>
              <w:t>LK08</w:t>
            </w:r>
          </w:p>
        </w:tc>
        <w:tc>
          <w:tcPr>
            <w:tcW w:w="1459" w:type="dxa"/>
            <w:vAlign w:val="center"/>
          </w:tcPr>
          <w:p w14:paraId="3ED72AA7">
            <w:pPr>
              <w:jc w:val="center"/>
              <w:rPr>
                <w:color w:val="000000"/>
                <w:sz w:val="20"/>
                <w:szCs w:val="20"/>
              </w:rPr>
            </w:pPr>
            <w:r>
              <w:rPr>
                <w:color w:val="000000"/>
                <w:sz w:val="20"/>
                <w:szCs w:val="20"/>
              </w:rPr>
              <w:t>752,50</w:t>
            </w:r>
          </w:p>
        </w:tc>
        <w:tc>
          <w:tcPr>
            <w:tcW w:w="1273" w:type="dxa"/>
            <w:vAlign w:val="center"/>
          </w:tcPr>
          <w:p w14:paraId="5F8C1F22">
            <w:pPr>
              <w:jc w:val="center"/>
              <w:rPr>
                <w:color w:val="000000"/>
                <w:sz w:val="20"/>
                <w:szCs w:val="20"/>
              </w:rPr>
            </w:pPr>
            <w:r>
              <w:rPr>
                <w:color w:val="000000"/>
                <w:sz w:val="20"/>
                <w:szCs w:val="20"/>
              </w:rPr>
              <w:t>0,38%</w:t>
            </w:r>
          </w:p>
        </w:tc>
        <w:tc>
          <w:tcPr>
            <w:tcW w:w="2047" w:type="dxa"/>
            <w:vAlign w:val="center"/>
          </w:tcPr>
          <w:p w14:paraId="1D934CB8">
            <w:pPr>
              <w:jc w:val="center"/>
              <w:rPr>
                <w:color w:val="000000"/>
                <w:sz w:val="20"/>
                <w:szCs w:val="20"/>
              </w:rPr>
            </w:pPr>
            <w:r>
              <w:rPr>
                <w:color w:val="000000"/>
                <w:sz w:val="20"/>
                <w:szCs w:val="20"/>
              </w:rPr>
              <w:t>649,7</w:t>
            </w:r>
          </w:p>
        </w:tc>
        <w:tc>
          <w:tcPr>
            <w:tcW w:w="1276" w:type="dxa"/>
            <w:vAlign w:val="center"/>
          </w:tcPr>
          <w:p w14:paraId="36F301DD">
            <w:pPr>
              <w:jc w:val="center"/>
              <w:rPr>
                <w:color w:val="000000"/>
                <w:sz w:val="20"/>
                <w:szCs w:val="20"/>
              </w:rPr>
            </w:pPr>
            <w:r>
              <w:rPr>
                <w:color w:val="000000"/>
                <w:sz w:val="20"/>
                <w:szCs w:val="20"/>
              </w:rPr>
              <w:t>3.248,50</w:t>
            </w:r>
          </w:p>
        </w:tc>
        <w:tc>
          <w:tcPr>
            <w:tcW w:w="992" w:type="dxa"/>
            <w:vAlign w:val="center"/>
          </w:tcPr>
          <w:p w14:paraId="239B5F04">
            <w:pPr>
              <w:jc w:val="center"/>
              <w:rPr>
                <w:color w:val="000000"/>
                <w:sz w:val="20"/>
                <w:szCs w:val="20"/>
              </w:rPr>
            </w:pPr>
            <w:r>
              <w:rPr>
                <w:color w:val="000000"/>
                <w:sz w:val="20"/>
                <w:szCs w:val="20"/>
              </w:rPr>
              <w:t>88</w:t>
            </w:r>
          </w:p>
        </w:tc>
        <w:tc>
          <w:tcPr>
            <w:tcW w:w="992" w:type="dxa"/>
            <w:vAlign w:val="center"/>
          </w:tcPr>
          <w:p w14:paraId="1A98ED3A">
            <w:pPr>
              <w:jc w:val="center"/>
              <w:rPr>
                <w:color w:val="000000"/>
                <w:sz w:val="20"/>
                <w:szCs w:val="20"/>
              </w:rPr>
            </w:pPr>
            <w:r>
              <w:rPr>
                <w:color w:val="000000"/>
                <w:sz w:val="20"/>
                <w:szCs w:val="20"/>
              </w:rPr>
              <w:t>5</w:t>
            </w:r>
          </w:p>
        </w:tc>
        <w:tc>
          <w:tcPr>
            <w:tcW w:w="1134" w:type="dxa"/>
            <w:vAlign w:val="center"/>
          </w:tcPr>
          <w:p w14:paraId="77D19C90">
            <w:pPr>
              <w:jc w:val="center"/>
              <w:rPr>
                <w:color w:val="000000"/>
                <w:sz w:val="20"/>
                <w:szCs w:val="20"/>
              </w:rPr>
            </w:pPr>
            <w:r>
              <w:rPr>
                <w:color w:val="000000"/>
                <w:sz w:val="20"/>
                <w:szCs w:val="20"/>
              </w:rPr>
              <w:t>4,4</w:t>
            </w:r>
          </w:p>
        </w:tc>
        <w:tc>
          <w:tcPr>
            <w:tcW w:w="993" w:type="dxa"/>
            <w:vAlign w:val="center"/>
          </w:tcPr>
          <w:p w14:paraId="3F703FFE">
            <w:pPr>
              <w:jc w:val="center"/>
              <w:rPr>
                <w:color w:val="000000"/>
                <w:sz w:val="20"/>
                <w:szCs w:val="20"/>
              </w:rPr>
            </w:pPr>
            <w:r>
              <w:rPr>
                <w:color w:val="000000"/>
                <w:sz w:val="20"/>
                <w:szCs w:val="20"/>
              </w:rPr>
              <w:t>8</w:t>
            </w:r>
          </w:p>
        </w:tc>
        <w:tc>
          <w:tcPr>
            <w:tcW w:w="992" w:type="dxa"/>
            <w:vAlign w:val="center"/>
          </w:tcPr>
          <w:p w14:paraId="5053BA88">
            <w:pPr>
              <w:jc w:val="center"/>
              <w:rPr>
                <w:color w:val="000000"/>
                <w:sz w:val="20"/>
                <w:szCs w:val="20"/>
              </w:rPr>
            </w:pPr>
          </w:p>
        </w:tc>
      </w:tr>
      <w:tr w14:paraId="2A7C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0B7B6CC3">
            <w:pPr>
              <w:jc w:val="center"/>
              <w:rPr>
                <w:color w:val="000000"/>
                <w:sz w:val="20"/>
                <w:szCs w:val="20"/>
              </w:rPr>
            </w:pPr>
          </w:p>
        </w:tc>
        <w:tc>
          <w:tcPr>
            <w:tcW w:w="2409" w:type="dxa"/>
            <w:vAlign w:val="center"/>
          </w:tcPr>
          <w:p w14:paraId="190832E2">
            <w:pPr>
              <w:rPr>
                <w:color w:val="000000"/>
                <w:sz w:val="20"/>
                <w:szCs w:val="20"/>
              </w:rPr>
            </w:pPr>
            <w:r>
              <w:rPr>
                <w:color w:val="000000"/>
                <w:sz w:val="20"/>
                <w:szCs w:val="20"/>
              </w:rPr>
              <w:t>Đất nhà ở liền kề kết hợp kinh doanh 09</w:t>
            </w:r>
          </w:p>
        </w:tc>
        <w:tc>
          <w:tcPr>
            <w:tcW w:w="1033" w:type="dxa"/>
            <w:vAlign w:val="center"/>
          </w:tcPr>
          <w:p w14:paraId="6A94CADC">
            <w:pPr>
              <w:jc w:val="center"/>
              <w:rPr>
                <w:color w:val="000000"/>
                <w:sz w:val="20"/>
                <w:szCs w:val="20"/>
              </w:rPr>
            </w:pPr>
            <w:r>
              <w:rPr>
                <w:color w:val="000000"/>
                <w:sz w:val="20"/>
                <w:szCs w:val="20"/>
              </w:rPr>
              <w:t>LK09</w:t>
            </w:r>
          </w:p>
        </w:tc>
        <w:tc>
          <w:tcPr>
            <w:tcW w:w="1459" w:type="dxa"/>
            <w:vAlign w:val="center"/>
          </w:tcPr>
          <w:p w14:paraId="6937540E">
            <w:pPr>
              <w:jc w:val="center"/>
              <w:rPr>
                <w:color w:val="000000"/>
                <w:sz w:val="20"/>
                <w:szCs w:val="20"/>
              </w:rPr>
            </w:pPr>
            <w:r>
              <w:rPr>
                <w:color w:val="000000"/>
                <w:sz w:val="20"/>
                <w:szCs w:val="20"/>
              </w:rPr>
              <w:t>1.070,80</w:t>
            </w:r>
          </w:p>
        </w:tc>
        <w:tc>
          <w:tcPr>
            <w:tcW w:w="1273" w:type="dxa"/>
            <w:vAlign w:val="center"/>
          </w:tcPr>
          <w:p w14:paraId="0AA079C7">
            <w:pPr>
              <w:jc w:val="center"/>
              <w:rPr>
                <w:color w:val="000000"/>
                <w:sz w:val="20"/>
                <w:szCs w:val="20"/>
              </w:rPr>
            </w:pPr>
            <w:r>
              <w:rPr>
                <w:color w:val="000000"/>
                <w:sz w:val="20"/>
                <w:szCs w:val="20"/>
              </w:rPr>
              <w:t>0,54%</w:t>
            </w:r>
          </w:p>
        </w:tc>
        <w:tc>
          <w:tcPr>
            <w:tcW w:w="2047" w:type="dxa"/>
            <w:vAlign w:val="center"/>
          </w:tcPr>
          <w:p w14:paraId="496C6EDB">
            <w:pPr>
              <w:jc w:val="center"/>
              <w:rPr>
                <w:color w:val="000000"/>
                <w:sz w:val="20"/>
                <w:szCs w:val="20"/>
              </w:rPr>
            </w:pPr>
            <w:r>
              <w:rPr>
                <w:color w:val="000000"/>
                <w:sz w:val="20"/>
                <w:szCs w:val="20"/>
              </w:rPr>
              <w:t>885,3</w:t>
            </w:r>
          </w:p>
        </w:tc>
        <w:tc>
          <w:tcPr>
            <w:tcW w:w="1276" w:type="dxa"/>
            <w:vAlign w:val="center"/>
          </w:tcPr>
          <w:p w14:paraId="5FE59DCD">
            <w:pPr>
              <w:jc w:val="center"/>
              <w:rPr>
                <w:color w:val="000000"/>
                <w:sz w:val="20"/>
                <w:szCs w:val="20"/>
              </w:rPr>
            </w:pPr>
            <w:r>
              <w:rPr>
                <w:color w:val="000000"/>
                <w:sz w:val="20"/>
                <w:szCs w:val="20"/>
              </w:rPr>
              <w:t>4.426,50</w:t>
            </w:r>
          </w:p>
        </w:tc>
        <w:tc>
          <w:tcPr>
            <w:tcW w:w="992" w:type="dxa"/>
            <w:vAlign w:val="center"/>
          </w:tcPr>
          <w:p w14:paraId="06E39DF0">
            <w:pPr>
              <w:jc w:val="center"/>
              <w:rPr>
                <w:color w:val="000000"/>
                <w:sz w:val="20"/>
                <w:szCs w:val="20"/>
              </w:rPr>
            </w:pPr>
            <w:r>
              <w:rPr>
                <w:color w:val="000000"/>
                <w:sz w:val="20"/>
                <w:szCs w:val="20"/>
              </w:rPr>
              <w:t>88</w:t>
            </w:r>
          </w:p>
        </w:tc>
        <w:tc>
          <w:tcPr>
            <w:tcW w:w="992" w:type="dxa"/>
            <w:vAlign w:val="center"/>
          </w:tcPr>
          <w:p w14:paraId="652EB935">
            <w:pPr>
              <w:jc w:val="center"/>
              <w:rPr>
                <w:color w:val="000000"/>
                <w:sz w:val="20"/>
                <w:szCs w:val="20"/>
              </w:rPr>
            </w:pPr>
            <w:r>
              <w:rPr>
                <w:color w:val="000000"/>
                <w:sz w:val="20"/>
                <w:szCs w:val="20"/>
              </w:rPr>
              <w:t>5</w:t>
            </w:r>
          </w:p>
        </w:tc>
        <w:tc>
          <w:tcPr>
            <w:tcW w:w="1134" w:type="dxa"/>
            <w:vAlign w:val="center"/>
          </w:tcPr>
          <w:p w14:paraId="4C8408DC">
            <w:pPr>
              <w:jc w:val="center"/>
              <w:rPr>
                <w:color w:val="000000"/>
                <w:sz w:val="20"/>
                <w:szCs w:val="20"/>
              </w:rPr>
            </w:pPr>
            <w:r>
              <w:rPr>
                <w:color w:val="000000"/>
                <w:sz w:val="20"/>
                <w:szCs w:val="20"/>
              </w:rPr>
              <w:t>4,4</w:t>
            </w:r>
          </w:p>
        </w:tc>
        <w:tc>
          <w:tcPr>
            <w:tcW w:w="993" w:type="dxa"/>
            <w:vAlign w:val="center"/>
          </w:tcPr>
          <w:p w14:paraId="0054BB44">
            <w:pPr>
              <w:jc w:val="center"/>
              <w:rPr>
                <w:color w:val="000000"/>
                <w:sz w:val="20"/>
                <w:szCs w:val="20"/>
              </w:rPr>
            </w:pPr>
            <w:r>
              <w:rPr>
                <w:color w:val="000000"/>
                <w:sz w:val="20"/>
                <w:szCs w:val="20"/>
              </w:rPr>
              <w:t>10</w:t>
            </w:r>
          </w:p>
        </w:tc>
        <w:tc>
          <w:tcPr>
            <w:tcW w:w="992" w:type="dxa"/>
            <w:vAlign w:val="center"/>
          </w:tcPr>
          <w:p w14:paraId="4DA0BCED">
            <w:pPr>
              <w:jc w:val="center"/>
              <w:rPr>
                <w:color w:val="000000"/>
                <w:sz w:val="20"/>
                <w:szCs w:val="20"/>
              </w:rPr>
            </w:pPr>
          </w:p>
        </w:tc>
      </w:tr>
      <w:tr w14:paraId="418C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0AA486DB">
            <w:pPr>
              <w:jc w:val="center"/>
              <w:rPr>
                <w:color w:val="000000"/>
                <w:sz w:val="20"/>
                <w:szCs w:val="20"/>
              </w:rPr>
            </w:pPr>
          </w:p>
        </w:tc>
        <w:tc>
          <w:tcPr>
            <w:tcW w:w="2409" w:type="dxa"/>
            <w:vAlign w:val="center"/>
          </w:tcPr>
          <w:p w14:paraId="64D62672">
            <w:pPr>
              <w:rPr>
                <w:color w:val="000000"/>
                <w:sz w:val="20"/>
                <w:szCs w:val="20"/>
              </w:rPr>
            </w:pPr>
            <w:r>
              <w:rPr>
                <w:color w:val="000000"/>
                <w:sz w:val="20"/>
                <w:szCs w:val="20"/>
              </w:rPr>
              <w:t>Đất nhà ở liền kề kết hợp kinh doanh 10</w:t>
            </w:r>
          </w:p>
        </w:tc>
        <w:tc>
          <w:tcPr>
            <w:tcW w:w="1033" w:type="dxa"/>
            <w:vAlign w:val="center"/>
          </w:tcPr>
          <w:p w14:paraId="068DC7AC">
            <w:pPr>
              <w:jc w:val="center"/>
              <w:rPr>
                <w:color w:val="000000"/>
                <w:sz w:val="20"/>
                <w:szCs w:val="20"/>
              </w:rPr>
            </w:pPr>
            <w:r>
              <w:rPr>
                <w:color w:val="000000"/>
                <w:sz w:val="20"/>
                <w:szCs w:val="20"/>
              </w:rPr>
              <w:t>LK10</w:t>
            </w:r>
          </w:p>
        </w:tc>
        <w:tc>
          <w:tcPr>
            <w:tcW w:w="1459" w:type="dxa"/>
            <w:vAlign w:val="center"/>
          </w:tcPr>
          <w:p w14:paraId="0831C650">
            <w:pPr>
              <w:jc w:val="center"/>
              <w:rPr>
                <w:color w:val="000000"/>
                <w:sz w:val="20"/>
                <w:szCs w:val="20"/>
              </w:rPr>
            </w:pPr>
            <w:r>
              <w:rPr>
                <w:color w:val="000000"/>
                <w:sz w:val="20"/>
                <w:szCs w:val="20"/>
              </w:rPr>
              <w:t>1.000,00</w:t>
            </w:r>
          </w:p>
        </w:tc>
        <w:tc>
          <w:tcPr>
            <w:tcW w:w="1273" w:type="dxa"/>
            <w:vAlign w:val="center"/>
          </w:tcPr>
          <w:p w14:paraId="7891A0B5">
            <w:pPr>
              <w:jc w:val="center"/>
              <w:rPr>
                <w:color w:val="000000"/>
                <w:sz w:val="20"/>
                <w:szCs w:val="20"/>
              </w:rPr>
            </w:pPr>
            <w:r>
              <w:rPr>
                <w:color w:val="000000"/>
                <w:sz w:val="20"/>
                <w:szCs w:val="20"/>
              </w:rPr>
              <w:t>0,50%</w:t>
            </w:r>
          </w:p>
        </w:tc>
        <w:tc>
          <w:tcPr>
            <w:tcW w:w="2047" w:type="dxa"/>
            <w:vAlign w:val="center"/>
          </w:tcPr>
          <w:p w14:paraId="05CF420F">
            <w:pPr>
              <w:jc w:val="center"/>
              <w:rPr>
                <w:color w:val="000000"/>
                <w:sz w:val="20"/>
                <w:szCs w:val="20"/>
              </w:rPr>
            </w:pPr>
            <w:r>
              <w:rPr>
                <w:color w:val="000000"/>
                <w:sz w:val="20"/>
                <w:szCs w:val="20"/>
              </w:rPr>
              <w:t>872,0</w:t>
            </w:r>
          </w:p>
        </w:tc>
        <w:tc>
          <w:tcPr>
            <w:tcW w:w="1276" w:type="dxa"/>
            <w:vAlign w:val="center"/>
          </w:tcPr>
          <w:p w14:paraId="7B25E820">
            <w:pPr>
              <w:jc w:val="center"/>
              <w:rPr>
                <w:color w:val="000000"/>
                <w:sz w:val="20"/>
                <w:szCs w:val="20"/>
              </w:rPr>
            </w:pPr>
            <w:r>
              <w:rPr>
                <w:color w:val="000000"/>
                <w:sz w:val="20"/>
                <w:szCs w:val="20"/>
              </w:rPr>
              <w:t>4.360,00</w:t>
            </w:r>
          </w:p>
        </w:tc>
        <w:tc>
          <w:tcPr>
            <w:tcW w:w="992" w:type="dxa"/>
            <w:vAlign w:val="center"/>
          </w:tcPr>
          <w:p w14:paraId="78471A0B">
            <w:pPr>
              <w:jc w:val="center"/>
              <w:rPr>
                <w:color w:val="000000"/>
                <w:sz w:val="20"/>
                <w:szCs w:val="20"/>
              </w:rPr>
            </w:pPr>
            <w:r>
              <w:rPr>
                <w:color w:val="000000"/>
                <w:sz w:val="20"/>
                <w:szCs w:val="20"/>
              </w:rPr>
              <w:t>88</w:t>
            </w:r>
          </w:p>
        </w:tc>
        <w:tc>
          <w:tcPr>
            <w:tcW w:w="992" w:type="dxa"/>
            <w:vAlign w:val="center"/>
          </w:tcPr>
          <w:p w14:paraId="5ABF131A">
            <w:pPr>
              <w:jc w:val="center"/>
              <w:rPr>
                <w:color w:val="000000"/>
                <w:sz w:val="20"/>
                <w:szCs w:val="20"/>
              </w:rPr>
            </w:pPr>
            <w:r>
              <w:rPr>
                <w:color w:val="000000"/>
                <w:sz w:val="20"/>
                <w:szCs w:val="20"/>
              </w:rPr>
              <w:t>5</w:t>
            </w:r>
          </w:p>
        </w:tc>
        <w:tc>
          <w:tcPr>
            <w:tcW w:w="1134" w:type="dxa"/>
            <w:vAlign w:val="center"/>
          </w:tcPr>
          <w:p w14:paraId="6F4CB711">
            <w:pPr>
              <w:jc w:val="center"/>
              <w:rPr>
                <w:color w:val="000000"/>
                <w:sz w:val="20"/>
                <w:szCs w:val="20"/>
              </w:rPr>
            </w:pPr>
            <w:r>
              <w:rPr>
                <w:color w:val="000000"/>
                <w:sz w:val="20"/>
                <w:szCs w:val="20"/>
              </w:rPr>
              <w:t>4,4</w:t>
            </w:r>
          </w:p>
        </w:tc>
        <w:tc>
          <w:tcPr>
            <w:tcW w:w="993" w:type="dxa"/>
            <w:vAlign w:val="center"/>
          </w:tcPr>
          <w:p w14:paraId="6D17F338">
            <w:pPr>
              <w:jc w:val="center"/>
              <w:rPr>
                <w:color w:val="000000"/>
                <w:sz w:val="20"/>
                <w:szCs w:val="20"/>
              </w:rPr>
            </w:pPr>
            <w:r>
              <w:rPr>
                <w:color w:val="000000"/>
                <w:sz w:val="20"/>
                <w:szCs w:val="20"/>
              </w:rPr>
              <w:t>11</w:t>
            </w:r>
          </w:p>
        </w:tc>
        <w:tc>
          <w:tcPr>
            <w:tcW w:w="992" w:type="dxa"/>
            <w:vAlign w:val="center"/>
          </w:tcPr>
          <w:p w14:paraId="4ADAA8D9">
            <w:pPr>
              <w:jc w:val="center"/>
              <w:rPr>
                <w:color w:val="000000"/>
                <w:sz w:val="20"/>
                <w:szCs w:val="20"/>
              </w:rPr>
            </w:pPr>
          </w:p>
        </w:tc>
      </w:tr>
      <w:tr w14:paraId="6F86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43BB959A">
            <w:pPr>
              <w:jc w:val="center"/>
              <w:rPr>
                <w:color w:val="000000"/>
                <w:sz w:val="20"/>
                <w:szCs w:val="20"/>
              </w:rPr>
            </w:pPr>
          </w:p>
        </w:tc>
        <w:tc>
          <w:tcPr>
            <w:tcW w:w="2409" w:type="dxa"/>
            <w:vAlign w:val="center"/>
          </w:tcPr>
          <w:p w14:paraId="0E6717EE">
            <w:pPr>
              <w:rPr>
                <w:color w:val="000000"/>
                <w:sz w:val="20"/>
                <w:szCs w:val="20"/>
              </w:rPr>
            </w:pPr>
            <w:r>
              <w:rPr>
                <w:color w:val="000000"/>
                <w:sz w:val="20"/>
                <w:szCs w:val="20"/>
              </w:rPr>
              <w:t>Đất nhà ở liền kề kết hợp kinh doanh 11</w:t>
            </w:r>
          </w:p>
        </w:tc>
        <w:tc>
          <w:tcPr>
            <w:tcW w:w="1033" w:type="dxa"/>
            <w:vAlign w:val="center"/>
          </w:tcPr>
          <w:p w14:paraId="240DB6EA">
            <w:pPr>
              <w:jc w:val="center"/>
              <w:rPr>
                <w:color w:val="000000"/>
                <w:sz w:val="20"/>
                <w:szCs w:val="20"/>
              </w:rPr>
            </w:pPr>
            <w:r>
              <w:rPr>
                <w:color w:val="000000"/>
                <w:sz w:val="20"/>
                <w:szCs w:val="20"/>
              </w:rPr>
              <w:t>LK11</w:t>
            </w:r>
          </w:p>
        </w:tc>
        <w:tc>
          <w:tcPr>
            <w:tcW w:w="1459" w:type="dxa"/>
            <w:vAlign w:val="center"/>
          </w:tcPr>
          <w:p w14:paraId="3D2F045A">
            <w:pPr>
              <w:jc w:val="center"/>
              <w:rPr>
                <w:color w:val="000000"/>
                <w:sz w:val="20"/>
                <w:szCs w:val="20"/>
              </w:rPr>
            </w:pPr>
            <w:r>
              <w:rPr>
                <w:color w:val="000000"/>
                <w:sz w:val="20"/>
                <w:szCs w:val="20"/>
              </w:rPr>
              <w:t>852,20</w:t>
            </w:r>
          </w:p>
        </w:tc>
        <w:tc>
          <w:tcPr>
            <w:tcW w:w="1273" w:type="dxa"/>
            <w:vAlign w:val="center"/>
          </w:tcPr>
          <w:p w14:paraId="4FC6C643">
            <w:pPr>
              <w:jc w:val="center"/>
              <w:rPr>
                <w:color w:val="000000"/>
                <w:sz w:val="20"/>
                <w:szCs w:val="20"/>
              </w:rPr>
            </w:pPr>
            <w:r>
              <w:rPr>
                <w:color w:val="000000"/>
                <w:sz w:val="20"/>
                <w:szCs w:val="20"/>
              </w:rPr>
              <w:t>0,43%</w:t>
            </w:r>
          </w:p>
        </w:tc>
        <w:tc>
          <w:tcPr>
            <w:tcW w:w="2047" w:type="dxa"/>
            <w:vAlign w:val="center"/>
          </w:tcPr>
          <w:p w14:paraId="17B0E2D1">
            <w:pPr>
              <w:jc w:val="center"/>
              <w:rPr>
                <w:color w:val="000000"/>
                <w:sz w:val="20"/>
                <w:szCs w:val="20"/>
              </w:rPr>
            </w:pPr>
            <w:r>
              <w:rPr>
                <w:color w:val="000000"/>
                <w:sz w:val="20"/>
                <w:szCs w:val="20"/>
              </w:rPr>
              <w:t>731,5</w:t>
            </w:r>
          </w:p>
        </w:tc>
        <w:tc>
          <w:tcPr>
            <w:tcW w:w="1276" w:type="dxa"/>
            <w:vAlign w:val="center"/>
          </w:tcPr>
          <w:p w14:paraId="77FA23AB">
            <w:pPr>
              <w:jc w:val="center"/>
              <w:rPr>
                <w:color w:val="000000"/>
                <w:sz w:val="20"/>
                <w:szCs w:val="20"/>
              </w:rPr>
            </w:pPr>
            <w:r>
              <w:rPr>
                <w:color w:val="000000"/>
                <w:sz w:val="20"/>
                <w:szCs w:val="20"/>
              </w:rPr>
              <w:t>3.657,50</w:t>
            </w:r>
          </w:p>
        </w:tc>
        <w:tc>
          <w:tcPr>
            <w:tcW w:w="992" w:type="dxa"/>
            <w:vAlign w:val="center"/>
          </w:tcPr>
          <w:p w14:paraId="52375CB8">
            <w:pPr>
              <w:jc w:val="center"/>
              <w:rPr>
                <w:color w:val="000000"/>
                <w:sz w:val="20"/>
                <w:szCs w:val="20"/>
              </w:rPr>
            </w:pPr>
            <w:r>
              <w:rPr>
                <w:color w:val="000000"/>
                <w:sz w:val="20"/>
                <w:szCs w:val="20"/>
              </w:rPr>
              <w:t>88</w:t>
            </w:r>
          </w:p>
        </w:tc>
        <w:tc>
          <w:tcPr>
            <w:tcW w:w="992" w:type="dxa"/>
            <w:vAlign w:val="center"/>
          </w:tcPr>
          <w:p w14:paraId="30ECD397">
            <w:pPr>
              <w:jc w:val="center"/>
              <w:rPr>
                <w:color w:val="000000"/>
                <w:sz w:val="20"/>
                <w:szCs w:val="20"/>
              </w:rPr>
            </w:pPr>
            <w:r>
              <w:rPr>
                <w:color w:val="000000"/>
                <w:sz w:val="20"/>
                <w:szCs w:val="20"/>
              </w:rPr>
              <w:t>5</w:t>
            </w:r>
          </w:p>
        </w:tc>
        <w:tc>
          <w:tcPr>
            <w:tcW w:w="1134" w:type="dxa"/>
            <w:vAlign w:val="center"/>
          </w:tcPr>
          <w:p w14:paraId="087E0C0B">
            <w:pPr>
              <w:jc w:val="center"/>
              <w:rPr>
                <w:color w:val="000000"/>
                <w:sz w:val="20"/>
                <w:szCs w:val="20"/>
              </w:rPr>
            </w:pPr>
            <w:r>
              <w:rPr>
                <w:color w:val="000000"/>
                <w:sz w:val="20"/>
                <w:szCs w:val="20"/>
              </w:rPr>
              <w:t>4,4</w:t>
            </w:r>
          </w:p>
        </w:tc>
        <w:tc>
          <w:tcPr>
            <w:tcW w:w="993" w:type="dxa"/>
            <w:vAlign w:val="center"/>
          </w:tcPr>
          <w:p w14:paraId="66A0C0B6">
            <w:pPr>
              <w:jc w:val="center"/>
              <w:rPr>
                <w:color w:val="000000"/>
                <w:sz w:val="20"/>
                <w:szCs w:val="20"/>
              </w:rPr>
            </w:pPr>
            <w:r>
              <w:rPr>
                <w:color w:val="000000"/>
                <w:sz w:val="20"/>
                <w:szCs w:val="20"/>
              </w:rPr>
              <w:t>9</w:t>
            </w:r>
          </w:p>
        </w:tc>
        <w:tc>
          <w:tcPr>
            <w:tcW w:w="992" w:type="dxa"/>
            <w:vAlign w:val="center"/>
          </w:tcPr>
          <w:p w14:paraId="400DE13B">
            <w:pPr>
              <w:jc w:val="center"/>
              <w:rPr>
                <w:color w:val="000000"/>
                <w:sz w:val="20"/>
                <w:szCs w:val="20"/>
              </w:rPr>
            </w:pPr>
          </w:p>
        </w:tc>
      </w:tr>
      <w:tr w14:paraId="3410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12894D62">
            <w:pPr>
              <w:jc w:val="center"/>
              <w:rPr>
                <w:color w:val="000000"/>
                <w:sz w:val="20"/>
                <w:szCs w:val="20"/>
              </w:rPr>
            </w:pPr>
          </w:p>
        </w:tc>
        <w:tc>
          <w:tcPr>
            <w:tcW w:w="2409" w:type="dxa"/>
            <w:vAlign w:val="center"/>
          </w:tcPr>
          <w:p w14:paraId="386A56FC">
            <w:pPr>
              <w:rPr>
                <w:color w:val="000000"/>
                <w:sz w:val="20"/>
                <w:szCs w:val="20"/>
              </w:rPr>
            </w:pPr>
            <w:r>
              <w:rPr>
                <w:color w:val="000000"/>
                <w:sz w:val="20"/>
                <w:szCs w:val="20"/>
              </w:rPr>
              <w:t>Đất nhà ở liền kề kết hợp kinh doanh 12</w:t>
            </w:r>
          </w:p>
        </w:tc>
        <w:tc>
          <w:tcPr>
            <w:tcW w:w="1033" w:type="dxa"/>
            <w:vAlign w:val="center"/>
          </w:tcPr>
          <w:p w14:paraId="6297C5BB">
            <w:pPr>
              <w:jc w:val="center"/>
              <w:rPr>
                <w:color w:val="000000"/>
                <w:sz w:val="20"/>
                <w:szCs w:val="20"/>
              </w:rPr>
            </w:pPr>
            <w:r>
              <w:rPr>
                <w:color w:val="000000"/>
                <w:sz w:val="20"/>
                <w:szCs w:val="20"/>
              </w:rPr>
              <w:t>LK12</w:t>
            </w:r>
          </w:p>
        </w:tc>
        <w:tc>
          <w:tcPr>
            <w:tcW w:w="1459" w:type="dxa"/>
            <w:vAlign w:val="center"/>
          </w:tcPr>
          <w:p w14:paraId="73897C02">
            <w:pPr>
              <w:jc w:val="center"/>
              <w:rPr>
                <w:color w:val="000000"/>
                <w:sz w:val="20"/>
                <w:szCs w:val="20"/>
              </w:rPr>
            </w:pPr>
            <w:r>
              <w:rPr>
                <w:color w:val="000000"/>
                <w:sz w:val="20"/>
                <w:szCs w:val="20"/>
              </w:rPr>
              <w:t>848,50</w:t>
            </w:r>
          </w:p>
        </w:tc>
        <w:tc>
          <w:tcPr>
            <w:tcW w:w="1273" w:type="dxa"/>
            <w:vAlign w:val="center"/>
          </w:tcPr>
          <w:p w14:paraId="7C675A33">
            <w:pPr>
              <w:jc w:val="center"/>
              <w:rPr>
                <w:color w:val="000000"/>
                <w:sz w:val="20"/>
                <w:szCs w:val="20"/>
              </w:rPr>
            </w:pPr>
            <w:r>
              <w:rPr>
                <w:color w:val="000000"/>
                <w:sz w:val="20"/>
                <w:szCs w:val="20"/>
              </w:rPr>
              <w:t>0,43%</w:t>
            </w:r>
          </w:p>
        </w:tc>
        <w:tc>
          <w:tcPr>
            <w:tcW w:w="2047" w:type="dxa"/>
            <w:vAlign w:val="center"/>
          </w:tcPr>
          <w:p w14:paraId="23FC51F0">
            <w:pPr>
              <w:jc w:val="center"/>
              <w:rPr>
                <w:color w:val="000000"/>
                <w:sz w:val="20"/>
                <w:szCs w:val="20"/>
              </w:rPr>
            </w:pPr>
            <w:r>
              <w:rPr>
                <w:color w:val="000000"/>
                <w:sz w:val="20"/>
                <w:szCs w:val="20"/>
              </w:rPr>
              <w:t>731,2</w:t>
            </w:r>
          </w:p>
        </w:tc>
        <w:tc>
          <w:tcPr>
            <w:tcW w:w="1276" w:type="dxa"/>
            <w:vAlign w:val="center"/>
          </w:tcPr>
          <w:p w14:paraId="21E01DF6">
            <w:pPr>
              <w:jc w:val="center"/>
              <w:rPr>
                <w:color w:val="000000"/>
                <w:sz w:val="20"/>
                <w:szCs w:val="20"/>
              </w:rPr>
            </w:pPr>
            <w:r>
              <w:rPr>
                <w:color w:val="000000"/>
                <w:sz w:val="20"/>
                <w:szCs w:val="20"/>
              </w:rPr>
              <w:t>3.656,00</w:t>
            </w:r>
          </w:p>
        </w:tc>
        <w:tc>
          <w:tcPr>
            <w:tcW w:w="992" w:type="dxa"/>
            <w:vAlign w:val="center"/>
          </w:tcPr>
          <w:p w14:paraId="2DEA1B91">
            <w:pPr>
              <w:jc w:val="center"/>
              <w:rPr>
                <w:color w:val="000000"/>
                <w:sz w:val="20"/>
                <w:szCs w:val="20"/>
              </w:rPr>
            </w:pPr>
            <w:r>
              <w:rPr>
                <w:color w:val="000000"/>
                <w:sz w:val="20"/>
                <w:szCs w:val="20"/>
              </w:rPr>
              <w:t>88</w:t>
            </w:r>
          </w:p>
        </w:tc>
        <w:tc>
          <w:tcPr>
            <w:tcW w:w="992" w:type="dxa"/>
            <w:vAlign w:val="center"/>
          </w:tcPr>
          <w:p w14:paraId="0930622B">
            <w:pPr>
              <w:jc w:val="center"/>
              <w:rPr>
                <w:color w:val="000000"/>
                <w:sz w:val="20"/>
                <w:szCs w:val="20"/>
              </w:rPr>
            </w:pPr>
            <w:r>
              <w:rPr>
                <w:color w:val="000000"/>
                <w:sz w:val="20"/>
                <w:szCs w:val="20"/>
              </w:rPr>
              <w:t>5</w:t>
            </w:r>
          </w:p>
        </w:tc>
        <w:tc>
          <w:tcPr>
            <w:tcW w:w="1134" w:type="dxa"/>
            <w:vAlign w:val="center"/>
          </w:tcPr>
          <w:p w14:paraId="2032D2F5">
            <w:pPr>
              <w:jc w:val="center"/>
              <w:rPr>
                <w:color w:val="000000"/>
                <w:sz w:val="20"/>
                <w:szCs w:val="20"/>
              </w:rPr>
            </w:pPr>
            <w:r>
              <w:rPr>
                <w:color w:val="000000"/>
                <w:sz w:val="20"/>
                <w:szCs w:val="20"/>
              </w:rPr>
              <w:t>4,4</w:t>
            </w:r>
          </w:p>
        </w:tc>
        <w:tc>
          <w:tcPr>
            <w:tcW w:w="993" w:type="dxa"/>
            <w:vAlign w:val="center"/>
          </w:tcPr>
          <w:p w14:paraId="58D3B17B">
            <w:pPr>
              <w:jc w:val="center"/>
              <w:rPr>
                <w:color w:val="000000"/>
                <w:sz w:val="20"/>
                <w:szCs w:val="20"/>
              </w:rPr>
            </w:pPr>
            <w:r>
              <w:rPr>
                <w:color w:val="000000"/>
                <w:sz w:val="20"/>
                <w:szCs w:val="20"/>
              </w:rPr>
              <w:t>9</w:t>
            </w:r>
          </w:p>
        </w:tc>
        <w:tc>
          <w:tcPr>
            <w:tcW w:w="992" w:type="dxa"/>
            <w:vAlign w:val="center"/>
          </w:tcPr>
          <w:p w14:paraId="4C4CA987">
            <w:pPr>
              <w:jc w:val="center"/>
              <w:rPr>
                <w:color w:val="000000"/>
                <w:sz w:val="20"/>
                <w:szCs w:val="20"/>
              </w:rPr>
            </w:pPr>
          </w:p>
        </w:tc>
      </w:tr>
      <w:tr w14:paraId="68A8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8C451E4">
            <w:pPr>
              <w:jc w:val="center"/>
              <w:rPr>
                <w:b/>
                <w:bCs/>
                <w:color w:val="000000"/>
                <w:sz w:val="20"/>
                <w:szCs w:val="20"/>
              </w:rPr>
            </w:pPr>
          </w:p>
        </w:tc>
        <w:tc>
          <w:tcPr>
            <w:tcW w:w="2409" w:type="dxa"/>
            <w:vAlign w:val="center"/>
          </w:tcPr>
          <w:p w14:paraId="1E867D5C">
            <w:pPr>
              <w:rPr>
                <w:color w:val="000000"/>
                <w:sz w:val="20"/>
                <w:szCs w:val="20"/>
              </w:rPr>
            </w:pPr>
            <w:r>
              <w:rPr>
                <w:color w:val="000000"/>
                <w:sz w:val="20"/>
                <w:szCs w:val="20"/>
              </w:rPr>
              <w:t>Đất nhà ở liền kề kết hợp kinh doanh 13</w:t>
            </w:r>
          </w:p>
        </w:tc>
        <w:tc>
          <w:tcPr>
            <w:tcW w:w="1033" w:type="dxa"/>
            <w:vAlign w:val="center"/>
          </w:tcPr>
          <w:p w14:paraId="2883EAB2">
            <w:pPr>
              <w:jc w:val="center"/>
              <w:rPr>
                <w:color w:val="000000"/>
                <w:sz w:val="20"/>
                <w:szCs w:val="20"/>
              </w:rPr>
            </w:pPr>
            <w:r>
              <w:rPr>
                <w:color w:val="000000"/>
                <w:sz w:val="20"/>
                <w:szCs w:val="20"/>
              </w:rPr>
              <w:t>LK13</w:t>
            </w:r>
          </w:p>
        </w:tc>
        <w:tc>
          <w:tcPr>
            <w:tcW w:w="1459" w:type="dxa"/>
            <w:vAlign w:val="center"/>
          </w:tcPr>
          <w:p w14:paraId="67CF71F3">
            <w:pPr>
              <w:jc w:val="center"/>
              <w:rPr>
                <w:color w:val="000000"/>
                <w:sz w:val="20"/>
                <w:szCs w:val="20"/>
              </w:rPr>
            </w:pPr>
            <w:r>
              <w:rPr>
                <w:color w:val="000000"/>
                <w:sz w:val="20"/>
                <w:szCs w:val="20"/>
              </w:rPr>
              <w:t>856,30</w:t>
            </w:r>
          </w:p>
        </w:tc>
        <w:tc>
          <w:tcPr>
            <w:tcW w:w="1273" w:type="dxa"/>
            <w:vAlign w:val="center"/>
          </w:tcPr>
          <w:p w14:paraId="1C535577">
            <w:pPr>
              <w:jc w:val="center"/>
              <w:rPr>
                <w:color w:val="000000"/>
                <w:sz w:val="20"/>
                <w:szCs w:val="20"/>
              </w:rPr>
            </w:pPr>
            <w:r>
              <w:rPr>
                <w:color w:val="000000"/>
                <w:sz w:val="20"/>
                <w:szCs w:val="20"/>
              </w:rPr>
              <w:t>0,43%</w:t>
            </w:r>
          </w:p>
        </w:tc>
        <w:tc>
          <w:tcPr>
            <w:tcW w:w="2047" w:type="dxa"/>
            <w:vAlign w:val="center"/>
          </w:tcPr>
          <w:p w14:paraId="44027612">
            <w:pPr>
              <w:jc w:val="center"/>
              <w:rPr>
                <w:color w:val="000000"/>
                <w:sz w:val="20"/>
                <w:szCs w:val="20"/>
              </w:rPr>
            </w:pPr>
            <w:r>
              <w:rPr>
                <w:color w:val="000000"/>
                <w:sz w:val="20"/>
                <w:szCs w:val="20"/>
              </w:rPr>
              <w:t>740,4</w:t>
            </w:r>
          </w:p>
        </w:tc>
        <w:tc>
          <w:tcPr>
            <w:tcW w:w="1276" w:type="dxa"/>
            <w:vAlign w:val="center"/>
          </w:tcPr>
          <w:p w14:paraId="2D786117">
            <w:pPr>
              <w:jc w:val="center"/>
              <w:rPr>
                <w:color w:val="000000"/>
                <w:sz w:val="20"/>
                <w:szCs w:val="20"/>
              </w:rPr>
            </w:pPr>
            <w:r>
              <w:rPr>
                <w:color w:val="000000"/>
                <w:sz w:val="20"/>
                <w:szCs w:val="20"/>
              </w:rPr>
              <w:t>3.702,00</w:t>
            </w:r>
          </w:p>
        </w:tc>
        <w:tc>
          <w:tcPr>
            <w:tcW w:w="992" w:type="dxa"/>
            <w:vAlign w:val="center"/>
          </w:tcPr>
          <w:p w14:paraId="7E316CF1">
            <w:pPr>
              <w:jc w:val="center"/>
              <w:rPr>
                <w:color w:val="000000"/>
                <w:sz w:val="20"/>
                <w:szCs w:val="20"/>
              </w:rPr>
            </w:pPr>
            <w:r>
              <w:rPr>
                <w:color w:val="000000"/>
                <w:sz w:val="20"/>
                <w:szCs w:val="20"/>
              </w:rPr>
              <w:t>93</w:t>
            </w:r>
          </w:p>
        </w:tc>
        <w:tc>
          <w:tcPr>
            <w:tcW w:w="992" w:type="dxa"/>
            <w:vAlign w:val="center"/>
          </w:tcPr>
          <w:p w14:paraId="492D6597">
            <w:pPr>
              <w:jc w:val="center"/>
              <w:rPr>
                <w:color w:val="000000"/>
                <w:sz w:val="20"/>
                <w:szCs w:val="20"/>
              </w:rPr>
            </w:pPr>
            <w:r>
              <w:rPr>
                <w:color w:val="000000"/>
                <w:sz w:val="20"/>
                <w:szCs w:val="20"/>
              </w:rPr>
              <w:t>5</w:t>
            </w:r>
          </w:p>
        </w:tc>
        <w:tc>
          <w:tcPr>
            <w:tcW w:w="1134" w:type="dxa"/>
            <w:vAlign w:val="center"/>
          </w:tcPr>
          <w:p w14:paraId="6D9F3E6D">
            <w:pPr>
              <w:jc w:val="center"/>
              <w:rPr>
                <w:color w:val="000000"/>
                <w:sz w:val="20"/>
                <w:szCs w:val="20"/>
              </w:rPr>
            </w:pPr>
            <w:r>
              <w:rPr>
                <w:color w:val="000000"/>
                <w:sz w:val="20"/>
                <w:szCs w:val="20"/>
              </w:rPr>
              <w:t>4,7</w:t>
            </w:r>
          </w:p>
        </w:tc>
        <w:tc>
          <w:tcPr>
            <w:tcW w:w="993" w:type="dxa"/>
            <w:vAlign w:val="center"/>
          </w:tcPr>
          <w:p w14:paraId="112ABD02">
            <w:pPr>
              <w:jc w:val="center"/>
              <w:rPr>
                <w:color w:val="000000"/>
                <w:sz w:val="20"/>
                <w:szCs w:val="20"/>
              </w:rPr>
            </w:pPr>
            <w:r>
              <w:rPr>
                <w:color w:val="000000"/>
                <w:sz w:val="20"/>
                <w:szCs w:val="20"/>
              </w:rPr>
              <w:t>9</w:t>
            </w:r>
          </w:p>
        </w:tc>
        <w:tc>
          <w:tcPr>
            <w:tcW w:w="992" w:type="dxa"/>
            <w:vAlign w:val="center"/>
          </w:tcPr>
          <w:p w14:paraId="2FA1AE4C">
            <w:pPr>
              <w:jc w:val="center"/>
              <w:rPr>
                <w:color w:val="000000"/>
                <w:sz w:val="20"/>
                <w:szCs w:val="20"/>
              </w:rPr>
            </w:pPr>
          </w:p>
        </w:tc>
      </w:tr>
      <w:tr w14:paraId="69F4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222DEB45">
            <w:pPr>
              <w:jc w:val="center"/>
              <w:rPr>
                <w:color w:val="000000"/>
                <w:sz w:val="20"/>
                <w:szCs w:val="20"/>
              </w:rPr>
            </w:pPr>
          </w:p>
        </w:tc>
        <w:tc>
          <w:tcPr>
            <w:tcW w:w="2409" w:type="dxa"/>
            <w:vAlign w:val="center"/>
          </w:tcPr>
          <w:p w14:paraId="56A77767">
            <w:pPr>
              <w:rPr>
                <w:color w:val="000000"/>
                <w:sz w:val="20"/>
                <w:szCs w:val="20"/>
              </w:rPr>
            </w:pPr>
            <w:r>
              <w:rPr>
                <w:color w:val="000000"/>
                <w:sz w:val="20"/>
                <w:szCs w:val="20"/>
              </w:rPr>
              <w:t>Đất nhà ở liền kề kết hợp kinh doanh 14</w:t>
            </w:r>
          </w:p>
        </w:tc>
        <w:tc>
          <w:tcPr>
            <w:tcW w:w="1033" w:type="dxa"/>
            <w:vAlign w:val="center"/>
          </w:tcPr>
          <w:p w14:paraId="719C933D">
            <w:pPr>
              <w:jc w:val="center"/>
              <w:rPr>
                <w:color w:val="000000"/>
                <w:sz w:val="20"/>
                <w:szCs w:val="20"/>
              </w:rPr>
            </w:pPr>
            <w:r>
              <w:rPr>
                <w:color w:val="000000"/>
                <w:sz w:val="20"/>
                <w:szCs w:val="20"/>
              </w:rPr>
              <w:t>LK14</w:t>
            </w:r>
          </w:p>
        </w:tc>
        <w:tc>
          <w:tcPr>
            <w:tcW w:w="1459" w:type="dxa"/>
            <w:vAlign w:val="center"/>
          </w:tcPr>
          <w:p w14:paraId="1EC98FC9">
            <w:pPr>
              <w:jc w:val="center"/>
              <w:rPr>
                <w:color w:val="000000"/>
                <w:sz w:val="20"/>
                <w:szCs w:val="20"/>
              </w:rPr>
            </w:pPr>
            <w:r>
              <w:rPr>
                <w:color w:val="000000"/>
                <w:sz w:val="20"/>
                <w:szCs w:val="20"/>
              </w:rPr>
              <w:t>1.044,10</w:t>
            </w:r>
          </w:p>
        </w:tc>
        <w:tc>
          <w:tcPr>
            <w:tcW w:w="1273" w:type="dxa"/>
            <w:vAlign w:val="center"/>
          </w:tcPr>
          <w:p w14:paraId="359DD8FA">
            <w:pPr>
              <w:jc w:val="center"/>
              <w:rPr>
                <w:color w:val="000000"/>
                <w:sz w:val="20"/>
                <w:szCs w:val="20"/>
              </w:rPr>
            </w:pPr>
            <w:r>
              <w:rPr>
                <w:color w:val="000000"/>
                <w:sz w:val="20"/>
                <w:szCs w:val="20"/>
              </w:rPr>
              <w:t>0,53%</w:t>
            </w:r>
          </w:p>
        </w:tc>
        <w:tc>
          <w:tcPr>
            <w:tcW w:w="2047" w:type="dxa"/>
            <w:vAlign w:val="center"/>
          </w:tcPr>
          <w:p w14:paraId="0399C930">
            <w:pPr>
              <w:jc w:val="center"/>
              <w:rPr>
                <w:color w:val="000000"/>
                <w:sz w:val="20"/>
                <w:szCs w:val="20"/>
              </w:rPr>
            </w:pPr>
            <w:r>
              <w:rPr>
                <w:color w:val="000000"/>
                <w:sz w:val="20"/>
                <w:szCs w:val="20"/>
              </w:rPr>
              <w:t>819,4</w:t>
            </w:r>
          </w:p>
        </w:tc>
        <w:tc>
          <w:tcPr>
            <w:tcW w:w="1276" w:type="dxa"/>
            <w:vAlign w:val="center"/>
          </w:tcPr>
          <w:p w14:paraId="3DC7EC29">
            <w:pPr>
              <w:jc w:val="center"/>
              <w:rPr>
                <w:color w:val="000000"/>
                <w:sz w:val="20"/>
                <w:szCs w:val="20"/>
              </w:rPr>
            </w:pPr>
            <w:r>
              <w:rPr>
                <w:color w:val="000000"/>
                <w:sz w:val="20"/>
                <w:szCs w:val="20"/>
              </w:rPr>
              <w:t>4.097,00</w:t>
            </w:r>
          </w:p>
        </w:tc>
        <w:tc>
          <w:tcPr>
            <w:tcW w:w="992" w:type="dxa"/>
            <w:vAlign w:val="center"/>
          </w:tcPr>
          <w:p w14:paraId="39BBC3CD">
            <w:pPr>
              <w:jc w:val="center"/>
              <w:rPr>
                <w:color w:val="000000"/>
                <w:sz w:val="20"/>
                <w:szCs w:val="20"/>
              </w:rPr>
            </w:pPr>
            <w:r>
              <w:rPr>
                <w:color w:val="000000"/>
                <w:sz w:val="20"/>
                <w:szCs w:val="20"/>
              </w:rPr>
              <w:t>87</w:t>
            </w:r>
          </w:p>
        </w:tc>
        <w:tc>
          <w:tcPr>
            <w:tcW w:w="992" w:type="dxa"/>
            <w:vAlign w:val="center"/>
          </w:tcPr>
          <w:p w14:paraId="73536051">
            <w:pPr>
              <w:jc w:val="center"/>
              <w:rPr>
                <w:color w:val="000000"/>
                <w:sz w:val="20"/>
                <w:szCs w:val="20"/>
              </w:rPr>
            </w:pPr>
            <w:r>
              <w:rPr>
                <w:color w:val="000000"/>
                <w:sz w:val="20"/>
                <w:szCs w:val="20"/>
              </w:rPr>
              <w:t>5</w:t>
            </w:r>
          </w:p>
        </w:tc>
        <w:tc>
          <w:tcPr>
            <w:tcW w:w="1134" w:type="dxa"/>
            <w:vAlign w:val="center"/>
          </w:tcPr>
          <w:p w14:paraId="60A30340">
            <w:pPr>
              <w:jc w:val="center"/>
              <w:rPr>
                <w:color w:val="000000"/>
                <w:sz w:val="20"/>
                <w:szCs w:val="20"/>
              </w:rPr>
            </w:pPr>
            <w:r>
              <w:rPr>
                <w:color w:val="000000"/>
                <w:sz w:val="20"/>
                <w:szCs w:val="20"/>
              </w:rPr>
              <w:t>4,4</w:t>
            </w:r>
          </w:p>
        </w:tc>
        <w:tc>
          <w:tcPr>
            <w:tcW w:w="993" w:type="dxa"/>
            <w:vAlign w:val="center"/>
          </w:tcPr>
          <w:p w14:paraId="68C0A9F4">
            <w:pPr>
              <w:jc w:val="center"/>
              <w:rPr>
                <w:color w:val="000000"/>
                <w:sz w:val="20"/>
                <w:szCs w:val="20"/>
              </w:rPr>
            </w:pPr>
            <w:r>
              <w:rPr>
                <w:color w:val="000000"/>
                <w:sz w:val="20"/>
                <w:szCs w:val="20"/>
              </w:rPr>
              <w:t>9</w:t>
            </w:r>
          </w:p>
        </w:tc>
        <w:tc>
          <w:tcPr>
            <w:tcW w:w="992" w:type="dxa"/>
            <w:vAlign w:val="center"/>
          </w:tcPr>
          <w:p w14:paraId="4244F192">
            <w:pPr>
              <w:jc w:val="center"/>
              <w:rPr>
                <w:color w:val="000000"/>
                <w:sz w:val="20"/>
                <w:szCs w:val="20"/>
              </w:rPr>
            </w:pPr>
          </w:p>
        </w:tc>
      </w:tr>
      <w:tr w14:paraId="28C1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5DF477B3">
            <w:pPr>
              <w:jc w:val="center"/>
              <w:rPr>
                <w:color w:val="000000"/>
                <w:sz w:val="20"/>
                <w:szCs w:val="20"/>
              </w:rPr>
            </w:pPr>
          </w:p>
        </w:tc>
        <w:tc>
          <w:tcPr>
            <w:tcW w:w="2409" w:type="dxa"/>
            <w:vAlign w:val="center"/>
          </w:tcPr>
          <w:p w14:paraId="06A0ED44">
            <w:pPr>
              <w:rPr>
                <w:color w:val="000000"/>
                <w:sz w:val="20"/>
                <w:szCs w:val="20"/>
              </w:rPr>
            </w:pPr>
            <w:r>
              <w:rPr>
                <w:color w:val="000000"/>
                <w:sz w:val="20"/>
                <w:szCs w:val="20"/>
              </w:rPr>
              <w:t>Đất nhà ở liền kề kết hợp kinh doanh 15</w:t>
            </w:r>
          </w:p>
        </w:tc>
        <w:tc>
          <w:tcPr>
            <w:tcW w:w="1033" w:type="dxa"/>
            <w:vAlign w:val="center"/>
          </w:tcPr>
          <w:p w14:paraId="66BAF802">
            <w:pPr>
              <w:jc w:val="center"/>
              <w:rPr>
                <w:color w:val="000000"/>
                <w:sz w:val="20"/>
                <w:szCs w:val="20"/>
              </w:rPr>
            </w:pPr>
            <w:r>
              <w:rPr>
                <w:color w:val="000000"/>
                <w:sz w:val="20"/>
                <w:szCs w:val="20"/>
              </w:rPr>
              <w:t>LK15</w:t>
            </w:r>
          </w:p>
        </w:tc>
        <w:tc>
          <w:tcPr>
            <w:tcW w:w="1459" w:type="dxa"/>
            <w:vAlign w:val="center"/>
          </w:tcPr>
          <w:p w14:paraId="2DC9484F">
            <w:pPr>
              <w:jc w:val="center"/>
              <w:rPr>
                <w:color w:val="000000"/>
                <w:sz w:val="20"/>
                <w:szCs w:val="20"/>
              </w:rPr>
            </w:pPr>
            <w:r>
              <w:rPr>
                <w:color w:val="000000"/>
                <w:sz w:val="20"/>
                <w:szCs w:val="20"/>
              </w:rPr>
              <w:t>903,90</w:t>
            </w:r>
          </w:p>
        </w:tc>
        <w:tc>
          <w:tcPr>
            <w:tcW w:w="1273" w:type="dxa"/>
            <w:vAlign w:val="center"/>
          </w:tcPr>
          <w:p w14:paraId="1DE7C18A">
            <w:pPr>
              <w:jc w:val="center"/>
              <w:rPr>
                <w:color w:val="000000"/>
                <w:sz w:val="20"/>
                <w:szCs w:val="20"/>
              </w:rPr>
            </w:pPr>
            <w:r>
              <w:rPr>
                <w:color w:val="000000"/>
                <w:sz w:val="20"/>
                <w:szCs w:val="20"/>
              </w:rPr>
              <w:t>0,46%</w:t>
            </w:r>
          </w:p>
        </w:tc>
        <w:tc>
          <w:tcPr>
            <w:tcW w:w="2047" w:type="dxa"/>
            <w:vAlign w:val="center"/>
          </w:tcPr>
          <w:p w14:paraId="5EF87F82">
            <w:pPr>
              <w:jc w:val="center"/>
              <w:rPr>
                <w:color w:val="000000"/>
                <w:sz w:val="20"/>
                <w:szCs w:val="20"/>
              </w:rPr>
            </w:pPr>
            <w:r>
              <w:rPr>
                <w:color w:val="000000"/>
                <w:sz w:val="20"/>
                <w:szCs w:val="20"/>
              </w:rPr>
              <w:t>765,2</w:t>
            </w:r>
          </w:p>
        </w:tc>
        <w:tc>
          <w:tcPr>
            <w:tcW w:w="1276" w:type="dxa"/>
            <w:vAlign w:val="center"/>
          </w:tcPr>
          <w:p w14:paraId="7E4076CA">
            <w:pPr>
              <w:jc w:val="center"/>
              <w:rPr>
                <w:color w:val="000000"/>
                <w:sz w:val="20"/>
                <w:szCs w:val="20"/>
              </w:rPr>
            </w:pPr>
            <w:r>
              <w:rPr>
                <w:color w:val="000000"/>
                <w:sz w:val="20"/>
                <w:szCs w:val="20"/>
              </w:rPr>
              <w:t>3.826,00</w:t>
            </w:r>
          </w:p>
        </w:tc>
        <w:tc>
          <w:tcPr>
            <w:tcW w:w="992" w:type="dxa"/>
            <w:vAlign w:val="center"/>
          </w:tcPr>
          <w:p w14:paraId="0A1A180D">
            <w:pPr>
              <w:jc w:val="center"/>
              <w:rPr>
                <w:color w:val="000000"/>
                <w:sz w:val="20"/>
                <w:szCs w:val="20"/>
              </w:rPr>
            </w:pPr>
            <w:r>
              <w:rPr>
                <w:color w:val="000000"/>
                <w:sz w:val="20"/>
                <w:szCs w:val="20"/>
              </w:rPr>
              <w:t>88</w:t>
            </w:r>
          </w:p>
        </w:tc>
        <w:tc>
          <w:tcPr>
            <w:tcW w:w="992" w:type="dxa"/>
            <w:vAlign w:val="center"/>
          </w:tcPr>
          <w:p w14:paraId="26195728">
            <w:pPr>
              <w:jc w:val="center"/>
              <w:rPr>
                <w:color w:val="000000"/>
                <w:sz w:val="20"/>
                <w:szCs w:val="20"/>
              </w:rPr>
            </w:pPr>
            <w:r>
              <w:rPr>
                <w:color w:val="000000"/>
                <w:sz w:val="20"/>
                <w:szCs w:val="20"/>
              </w:rPr>
              <w:t>5</w:t>
            </w:r>
          </w:p>
        </w:tc>
        <w:tc>
          <w:tcPr>
            <w:tcW w:w="1134" w:type="dxa"/>
            <w:vAlign w:val="center"/>
          </w:tcPr>
          <w:p w14:paraId="3531685B">
            <w:pPr>
              <w:jc w:val="center"/>
              <w:rPr>
                <w:color w:val="000000"/>
                <w:sz w:val="20"/>
                <w:szCs w:val="20"/>
              </w:rPr>
            </w:pPr>
            <w:r>
              <w:rPr>
                <w:color w:val="000000"/>
                <w:sz w:val="20"/>
                <w:szCs w:val="20"/>
              </w:rPr>
              <w:t>4,4</w:t>
            </w:r>
          </w:p>
        </w:tc>
        <w:tc>
          <w:tcPr>
            <w:tcW w:w="993" w:type="dxa"/>
            <w:vAlign w:val="center"/>
          </w:tcPr>
          <w:p w14:paraId="437D4832">
            <w:pPr>
              <w:jc w:val="center"/>
              <w:rPr>
                <w:color w:val="000000"/>
                <w:sz w:val="20"/>
                <w:szCs w:val="20"/>
              </w:rPr>
            </w:pPr>
            <w:r>
              <w:rPr>
                <w:color w:val="000000"/>
                <w:sz w:val="20"/>
                <w:szCs w:val="20"/>
              </w:rPr>
              <w:t>9</w:t>
            </w:r>
          </w:p>
        </w:tc>
        <w:tc>
          <w:tcPr>
            <w:tcW w:w="992" w:type="dxa"/>
            <w:vAlign w:val="center"/>
          </w:tcPr>
          <w:p w14:paraId="38477789">
            <w:pPr>
              <w:jc w:val="center"/>
              <w:rPr>
                <w:color w:val="000000"/>
                <w:sz w:val="20"/>
                <w:szCs w:val="20"/>
              </w:rPr>
            </w:pPr>
          </w:p>
        </w:tc>
      </w:tr>
      <w:tr w14:paraId="4C65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28230D04">
            <w:pPr>
              <w:jc w:val="center"/>
              <w:rPr>
                <w:color w:val="000000"/>
                <w:sz w:val="20"/>
                <w:szCs w:val="20"/>
              </w:rPr>
            </w:pPr>
          </w:p>
        </w:tc>
        <w:tc>
          <w:tcPr>
            <w:tcW w:w="2409" w:type="dxa"/>
            <w:vAlign w:val="center"/>
          </w:tcPr>
          <w:p w14:paraId="63B71CB5">
            <w:pPr>
              <w:rPr>
                <w:color w:val="000000"/>
                <w:sz w:val="20"/>
                <w:szCs w:val="20"/>
              </w:rPr>
            </w:pPr>
            <w:r>
              <w:rPr>
                <w:color w:val="000000"/>
                <w:sz w:val="20"/>
                <w:szCs w:val="20"/>
              </w:rPr>
              <w:t>Đất nhà ở liền kề kết hợp kinh doanh 16</w:t>
            </w:r>
          </w:p>
        </w:tc>
        <w:tc>
          <w:tcPr>
            <w:tcW w:w="1033" w:type="dxa"/>
            <w:vAlign w:val="center"/>
          </w:tcPr>
          <w:p w14:paraId="02D525D2">
            <w:pPr>
              <w:jc w:val="center"/>
              <w:rPr>
                <w:color w:val="000000"/>
                <w:sz w:val="20"/>
                <w:szCs w:val="20"/>
              </w:rPr>
            </w:pPr>
            <w:r>
              <w:rPr>
                <w:color w:val="000000"/>
                <w:sz w:val="20"/>
                <w:szCs w:val="20"/>
              </w:rPr>
              <w:t>LK16</w:t>
            </w:r>
          </w:p>
        </w:tc>
        <w:tc>
          <w:tcPr>
            <w:tcW w:w="1459" w:type="dxa"/>
            <w:vAlign w:val="center"/>
          </w:tcPr>
          <w:p w14:paraId="4618A981">
            <w:pPr>
              <w:jc w:val="center"/>
              <w:rPr>
                <w:color w:val="000000"/>
                <w:sz w:val="20"/>
                <w:szCs w:val="20"/>
              </w:rPr>
            </w:pPr>
            <w:r>
              <w:rPr>
                <w:color w:val="000000"/>
                <w:sz w:val="20"/>
                <w:szCs w:val="20"/>
              </w:rPr>
              <w:t>941,60</w:t>
            </w:r>
          </w:p>
        </w:tc>
        <w:tc>
          <w:tcPr>
            <w:tcW w:w="1273" w:type="dxa"/>
            <w:vAlign w:val="center"/>
          </w:tcPr>
          <w:p w14:paraId="3B2B86E4">
            <w:pPr>
              <w:jc w:val="center"/>
              <w:rPr>
                <w:color w:val="000000"/>
                <w:sz w:val="20"/>
                <w:szCs w:val="20"/>
              </w:rPr>
            </w:pPr>
            <w:r>
              <w:rPr>
                <w:color w:val="000000"/>
                <w:sz w:val="20"/>
                <w:szCs w:val="20"/>
              </w:rPr>
              <w:t>0,48%</w:t>
            </w:r>
          </w:p>
        </w:tc>
        <w:tc>
          <w:tcPr>
            <w:tcW w:w="2047" w:type="dxa"/>
            <w:vAlign w:val="center"/>
          </w:tcPr>
          <w:p w14:paraId="0FE2BF2F">
            <w:pPr>
              <w:jc w:val="center"/>
              <w:rPr>
                <w:color w:val="000000"/>
                <w:sz w:val="20"/>
                <w:szCs w:val="20"/>
              </w:rPr>
            </w:pPr>
            <w:r>
              <w:rPr>
                <w:color w:val="000000"/>
                <w:sz w:val="20"/>
                <w:szCs w:val="20"/>
              </w:rPr>
              <w:t>785,1</w:t>
            </w:r>
          </w:p>
        </w:tc>
        <w:tc>
          <w:tcPr>
            <w:tcW w:w="1276" w:type="dxa"/>
            <w:vAlign w:val="center"/>
          </w:tcPr>
          <w:p w14:paraId="08CD2633">
            <w:pPr>
              <w:jc w:val="center"/>
              <w:rPr>
                <w:color w:val="000000"/>
                <w:sz w:val="20"/>
                <w:szCs w:val="20"/>
              </w:rPr>
            </w:pPr>
            <w:r>
              <w:rPr>
                <w:color w:val="000000"/>
                <w:sz w:val="20"/>
                <w:szCs w:val="20"/>
              </w:rPr>
              <w:t>3.925,50</w:t>
            </w:r>
          </w:p>
        </w:tc>
        <w:tc>
          <w:tcPr>
            <w:tcW w:w="992" w:type="dxa"/>
            <w:vAlign w:val="center"/>
          </w:tcPr>
          <w:p w14:paraId="413F27E0">
            <w:pPr>
              <w:jc w:val="center"/>
              <w:rPr>
                <w:color w:val="000000"/>
                <w:sz w:val="20"/>
                <w:szCs w:val="20"/>
              </w:rPr>
            </w:pPr>
            <w:r>
              <w:rPr>
                <w:color w:val="000000"/>
                <w:sz w:val="20"/>
                <w:szCs w:val="20"/>
              </w:rPr>
              <w:t>88</w:t>
            </w:r>
          </w:p>
        </w:tc>
        <w:tc>
          <w:tcPr>
            <w:tcW w:w="992" w:type="dxa"/>
            <w:vAlign w:val="center"/>
          </w:tcPr>
          <w:p w14:paraId="2EE9A2CE">
            <w:pPr>
              <w:jc w:val="center"/>
              <w:rPr>
                <w:color w:val="000000"/>
                <w:sz w:val="20"/>
                <w:szCs w:val="20"/>
              </w:rPr>
            </w:pPr>
            <w:r>
              <w:rPr>
                <w:color w:val="000000"/>
                <w:sz w:val="20"/>
                <w:szCs w:val="20"/>
              </w:rPr>
              <w:t>5</w:t>
            </w:r>
          </w:p>
        </w:tc>
        <w:tc>
          <w:tcPr>
            <w:tcW w:w="1134" w:type="dxa"/>
            <w:vAlign w:val="center"/>
          </w:tcPr>
          <w:p w14:paraId="541777ED">
            <w:pPr>
              <w:jc w:val="center"/>
              <w:rPr>
                <w:color w:val="000000"/>
                <w:sz w:val="20"/>
                <w:szCs w:val="20"/>
              </w:rPr>
            </w:pPr>
            <w:r>
              <w:rPr>
                <w:color w:val="000000"/>
                <w:sz w:val="20"/>
                <w:szCs w:val="20"/>
              </w:rPr>
              <w:t>4,4</w:t>
            </w:r>
          </w:p>
        </w:tc>
        <w:tc>
          <w:tcPr>
            <w:tcW w:w="993" w:type="dxa"/>
            <w:vAlign w:val="center"/>
          </w:tcPr>
          <w:p w14:paraId="236096B1">
            <w:pPr>
              <w:jc w:val="center"/>
              <w:rPr>
                <w:color w:val="000000"/>
                <w:sz w:val="20"/>
                <w:szCs w:val="20"/>
              </w:rPr>
            </w:pPr>
            <w:r>
              <w:rPr>
                <w:color w:val="000000"/>
                <w:sz w:val="20"/>
                <w:szCs w:val="20"/>
              </w:rPr>
              <w:t>9</w:t>
            </w:r>
          </w:p>
        </w:tc>
        <w:tc>
          <w:tcPr>
            <w:tcW w:w="992" w:type="dxa"/>
            <w:vAlign w:val="center"/>
          </w:tcPr>
          <w:p w14:paraId="4B81C4BD">
            <w:pPr>
              <w:jc w:val="center"/>
              <w:rPr>
                <w:b/>
                <w:bCs/>
                <w:color w:val="000000"/>
                <w:sz w:val="20"/>
                <w:szCs w:val="20"/>
              </w:rPr>
            </w:pPr>
          </w:p>
        </w:tc>
      </w:tr>
      <w:tr w14:paraId="52F8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696A5234">
            <w:pPr>
              <w:jc w:val="center"/>
              <w:rPr>
                <w:b/>
                <w:bCs/>
                <w:color w:val="000000"/>
                <w:sz w:val="20"/>
                <w:szCs w:val="20"/>
              </w:rPr>
            </w:pPr>
          </w:p>
        </w:tc>
        <w:tc>
          <w:tcPr>
            <w:tcW w:w="2409" w:type="dxa"/>
            <w:vAlign w:val="center"/>
          </w:tcPr>
          <w:p w14:paraId="2EE07D91">
            <w:pPr>
              <w:rPr>
                <w:color w:val="000000"/>
                <w:sz w:val="20"/>
                <w:szCs w:val="20"/>
              </w:rPr>
            </w:pPr>
            <w:r>
              <w:rPr>
                <w:color w:val="000000"/>
                <w:sz w:val="20"/>
                <w:szCs w:val="20"/>
              </w:rPr>
              <w:t>Đất nhà ở liền kề kết hợp kinh doanh 17</w:t>
            </w:r>
          </w:p>
        </w:tc>
        <w:tc>
          <w:tcPr>
            <w:tcW w:w="1033" w:type="dxa"/>
            <w:vAlign w:val="center"/>
          </w:tcPr>
          <w:p w14:paraId="753DF3FF">
            <w:pPr>
              <w:jc w:val="center"/>
              <w:rPr>
                <w:color w:val="000000"/>
                <w:sz w:val="20"/>
                <w:szCs w:val="20"/>
              </w:rPr>
            </w:pPr>
            <w:r>
              <w:rPr>
                <w:color w:val="000000"/>
                <w:sz w:val="20"/>
                <w:szCs w:val="20"/>
              </w:rPr>
              <w:t>LK17</w:t>
            </w:r>
          </w:p>
        </w:tc>
        <w:tc>
          <w:tcPr>
            <w:tcW w:w="1459" w:type="dxa"/>
            <w:vAlign w:val="center"/>
          </w:tcPr>
          <w:p w14:paraId="64C6730C">
            <w:pPr>
              <w:jc w:val="center"/>
              <w:rPr>
                <w:color w:val="000000"/>
                <w:sz w:val="20"/>
                <w:szCs w:val="20"/>
              </w:rPr>
            </w:pPr>
            <w:r>
              <w:rPr>
                <w:color w:val="000000"/>
                <w:sz w:val="20"/>
                <w:szCs w:val="20"/>
              </w:rPr>
              <w:t>917,10</w:t>
            </w:r>
          </w:p>
        </w:tc>
        <w:tc>
          <w:tcPr>
            <w:tcW w:w="1273" w:type="dxa"/>
            <w:vAlign w:val="center"/>
          </w:tcPr>
          <w:p w14:paraId="2C38857A">
            <w:pPr>
              <w:jc w:val="center"/>
              <w:rPr>
                <w:color w:val="000000"/>
                <w:sz w:val="20"/>
                <w:szCs w:val="20"/>
              </w:rPr>
            </w:pPr>
            <w:r>
              <w:rPr>
                <w:color w:val="000000"/>
                <w:sz w:val="20"/>
                <w:szCs w:val="20"/>
              </w:rPr>
              <w:t>0,46%</w:t>
            </w:r>
          </w:p>
        </w:tc>
        <w:tc>
          <w:tcPr>
            <w:tcW w:w="2047" w:type="dxa"/>
            <w:vAlign w:val="center"/>
          </w:tcPr>
          <w:p w14:paraId="0F65654D">
            <w:pPr>
              <w:jc w:val="center"/>
              <w:rPr>
                <w:color w:val="000000"/>
                <w:sz w:val="20"/>
                <w:szCs w:val="20"/>
              </w:rPr>
            </w:pPr>
            <w:r>
              <w:rPr>
                <w:color w:val="000000"/>
                <w:sz w:val="20"/>
                <w:szCs w:val="20"/>
              </w:rPr>
              <w:t>769,8</w:t>
            </w:r>
          </w:p>
        </w:tc>
        <w:tc>
          <w:tcPr>
            <w:tcW w:w="1276" w:type="dxa"/>
            <w:vAlign w:val="center"/>
          </w:tcPr>
          <w:p w14:paraId="3FEBF57E">
            <w:pPr>
              <w:jc w:val="center"/>
              <w:rPr>
                <w:color w:val="000000"/>
                <w:sz w:val="20"/>
                <w:szCs w:val="20"/>
              </w:rPr>
            </w:pPr>
            <w:r>
              <w:rPr>
                <w:color w:val="000000"/>
                <w:sz w:val="20"/>
                <w:szCs w:val="20"/>
              </w:rPr>
              <w:t>3.849,00</w:t>
            </w:r>
          </w:p>
        </w:tc>
        <w:tc>
          <w:tcPr>
            <w:tcW w:w="992" w:type="dxa"/>
            <w:vAlign w:val="center"/>
          </w:tcPr>
          <w:p w14:paraId="5A35B74B">
            <w:pPr>
              <w:jc w:val="center"/>
              <w:rPr>
                <w:color w:val="000000"/>
                <w:sz w:val="20"/>
                <w:szCs w:val="20"/>
              </w:rPr>
            </w:pPr>
            <w:r>
              <w:rPr>
                <w:color w:val="000000"/>
                <w:sz w:val="20"/>
                <w:szCs w:val="20"/>
              </w:rPr>
              <w:t>88</w:t>
            </w:r>
          </w:p>
        </w:tc>
        <w:tc>
          <w:tcPr>
            <w:tcW w:w="992" w:type="dxa"/>
            <w:vAlign w:val="center"/>
          </w:tcPr>
          <w:p w14:paraId="59C58DE3">
            <w:pPr>
              <w:jc w:val="center"/>
              <w:rPr>
                <w:color w:val="000000"/>
                <w:sz w:val="20"/>
                <w:szCs w:val="20"/>
              </w:rPr>
            </w:pPr>
            <w:r>
              <w:rPr>
                <w:color w:val="000000"/>
                <w:sz w:val="20"/>
                <w:szCs w:val="20"/>
              </w:rPr>
              <w:t>5</w:t>
            </w:r>
          </w:p>
        </w:tc>
        <w:tc>
          <w:tcPr>
            <w:tcW w:w="1134" w:type="dxa"/>
            <w:vAlign w:val="center"/>
          </w:tcPr>
          <w:p w14:paraId="0AE12EE9">
            <w:pPr>
              <w:jc w:val="center"/>
              <w:rPr>
                <w:color w:val="000000"/>
                <w:sz w:val="20"/>
                <w:szCs w:val="20"/>
              </w:rPr>
            </w:pPr>
            <w:r>
              <w:rPr>
                <w:color w:val="000000"/>
                <w:sz w:val="20"/>
                <w:szCs w:val="20"/>
              </w:rPr>
              <w:t>4,4</w:t>
            </w:r>
          </w:p>
        </w:tc>
        <w:tc>
          <w:tcPr>
            <w:tcW w:w="993" w:type="dxa"/>
            <w:vAlign w:val="center"/>
          </w:tcPr>
          <w:p w14:paraId="7BD15444">
            <w:pPr>
              <w:jc w:val="center"/>
              <w:rPr>
                <w:color w:val="000000"/>
                <w:sz w:val="20"/>
                <w:szCs w:val="20"/>
              </w:rPr>
            </w:pPr>
            <w:r>
              <w:rPr>
                <w:color w:val="000000"/>
                <w:sz w:val="20"/>
                <w:szCs w:val="20"/>
              </w:rPr>
              <w:t>9</w:t>
            </w:r>
          </w:p>
        </w:tc>
        <w:tc>
          <w:tcPr>
            <w:tcW w:w="992" w:type="dxa"/>
            <w:vAlign w:val="center"/>
          </w:tcPr>
          <w:p w14:paraId="289ABAAD">
            <w:pPr>
              <w:jc w:val="center"/>
              <w:rPr>
                <w:color w:val="000000"/>
                <w:sz w:val="20"/>
                <w:szCs w:val="20"/>
              </w:rPr>
            </w:pPr>
          </w:p>
        </w:tc>
      </w:tr>
      <w:tr w14:paraId="68DF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B21B89D">
            <w:pPr>
              <w:jc w:val="center"/>
              <w:rPr>
                <w:color w:val="000000"/>
                <w:sz w:val="20"/>
                <w:szCs w:val="20"/>
              </w:rPr>
            </w:pPr>
          </w:p>
        </w:tc>
        <w:tc>
          <w:tcPr>
            <w:tcW w:w="2409" w:type="dxa"/>
            <w:vAlign w:val="center"/>
          </w:tcPr>
          <w:p w14:paraId="77B423BE">
            <w:pPr>
              <w:rPr>
                <w:color w:val="000000"/>
                <w:sz w:val="20"/>
                <w:szCs w:val="20"/>
              </w:rPr>
            </w:pPr>
            <w:r>
              <w:rPr>
                <w:color w:val="000000"/>
                <w:sz w:val="20"/>
                <w:szCs w:val="20"/>
              </w:rPr>
              <w:t>Đất nhà ở liền kề kết hợp kinh doanh 18</w:t>
            </w:r>
          </w:p>
        </w:tc>
        <w:tc>
          <w:tcPr>
            <w:tcW w:w="1033" w:type="dxa"/>
            <w:vAlign w:val="center"/>
          </w:tcPr>
          <w:p w14:paraId="54CC1F84">
            <w:pPr>
              <w:jc w:val="center"/>
              <w:rPr>
                <w:color w:val="000000"/>
                <w:sz w:val="20"/>
                <w:szCs w:val="20"/>
              </w:rPr>
            </w:pPr>
            <w:r>
              <w:rPr>
                <w:color w:val="000000"/>
                <w:sz w:val="20"/>
                <w:szCs w:val="20"/>
              </w:rPr>
              <w:t>LK18</w:t>
            </w:r>
          </w:p>
        </w:tc>
        <w:tc>
          <w:tcPr>
            <w:tcW w:w="1459" w:type="dxa"/>
            <w:vAlign w:val="center"/>
          </w:tcPr>
          <w:p w14:paraId="35E1EF95">
            <w:pPr>
              <w:jc w:val="center"/>
              <w:rPr>
                <w:color w:val="000000"/>
                <w:sz w:val="20"/>
                <w:szCs w:val="20"/>
              </w:rPr>
            </w:pPr>
            <w:r>
              <w:rPr>
                <w:color w:val="000000"/>
                <w:sz w:val="20"/>
                <w:szCs w:val="20"/>
              </w:rPr>
              <w:t>543,30</w:t>
            </w:r>
          </w:p>
        </w:tc>
        <w:tc>
          <w:tcPr>
            <w:tcW w:w="1273" w:type="dxa"/>
            <w:vAlign w:val="center"/>
          </w:tcPr>
          <w:p w14:paraId="37B0FECC">
            <w:pPr>
              <w:jc w:val="center"/>
              <w:rPr>
                <w:color w:val="000000"/>
                <w:sz w:val="20"/>
                <w:szCs w:val="20"/>
              </w:rPr>
            </w:pPr>
            <w:r>
              <w:rPr>
                <w:color w:val="000000"/>
                <w:sz w:val="20"/>
                <w:szCs w:val="20"/>
              </w:rPr>
              <w:t>0,27%</w:t>
            </w:r>
          </w:p>
        </w:tc>
        <w:tc>
          <w:tcPr>
            <w:tcW w:w="2047" w:type="dxa"/>
            <w:vAlign w:val="center"/>
          </w:tcPr>
          <w:p w14:paraId="1C2B9F85">
            <w:pPr>
              <w:jc w:val="center"/>
              <w:rPr>
                <w:color w:val="000000"/>
                <w:sz w:val="20"/>
                <w:szCs w:val="20"/>
              </w:rPr>
            </w:pPr>
            <w:r>
              <w:rPr>
                <w:color w:val="000000"/>
                <w:sz w:val="20"/>
                <w:szCs w:val="20"/>
              </w:rPr>
              <w:t>475,6</w:t>
            </w:r>
          </w:p>
        </w:tc>
        <w:tc>
          <w:tcPr>
            <w:tcW w:w="1276" w:type="dxa"/>
            <w:vAlign w:val="center"/>
          </w:tcPr>
          <w:p w14:paraId="509368C3">
            <w:pPr>
              <w:jc w:val="center"/>
              <w:rPr>
                <w:color w:val="000000"/>
                <w:sz w:val="20"/>
                <w:szCs w:val="20"/>
              </w:rPr>
            </w:pPr>
            <w:r>
              <w:rPr>
                <w:color w:val="000000"/>
                <w:sz w:val="20"/>
                <w:szCs w:val="20"/>
              </w:rPr>
              <w:t>2.378,00</w:t>
            </w:r>
          </w:p>
        </w:tc>
        <w:tc>
          <w:tcPr>
            <w:tcW w:w="992" w:type="dxa"/>
            <w:vAlign w:val="center"/>
          </w:tcPr>
          <w:p w14:paraId="4226EA90">
            <w:pPr>
              <w:jc w:val="center"/>
              <w:rPr>
                <w:color w:val="000000"/>
                <w:sz w:val="20"/>
                <w:szCs w:val="20"/>
              </w:rPr>
            </w:pPr>
            <w:r>
              <w:rPr>
                <w:color w:val="000000"/>
                <w:sz w:val="20"/>
                <w:szCs w:val="20"/>
              </w:rPr>
              <w:t>88</w:t>
            </w:r>
          </w:p>
        </w:tc>
        <w:tc>
          <w:tcPr>
            <w:tcW w:w="992" w:type="dxa"/>
            <w:vAlign w:val="center"/>
          </w:tcPr>
          <w:p w14:paraId="6A017B77">
            <w:pPr>
              <w:jc w:val="center"/>
              <w:rPr>
                <w:color w:val="000000"/>
                <w:sz w:val="20"/>
                <w:szCs w:val="20"/>
              </w:rPr>
            </w:pPr>
            <w:r>
              <w:rPr>
                <w:color w:val="000000"/>
                <w:sz w:val="20"/>
                <w:szCs w:val="20"/>
              </w:rPr>
              <w:t>5</w:t>
            </w:r>
          </w:p>
        </w:tc>
        <w:tc>
          <w:tcPr>
            <w:tcW w:w="1134" w:type="dxa"/>
            <w:vAlign w:val="center"/>
          </w:tcPr>
          <w:p w14:paraId="55EA6650">
            <w:pPr>
              <w:jc w:val="center"/>
              <w:rPr>
                <w:color w:val="000000"/>
                <w:sz w:val="20"/>
                <w:szCs w:val="20"/>
              </w:rPr>
            </w:pPr>
            <w:r>
              <w:rPr>
                <w:color w:val="000000"/>
                <w:sz w:val="20"/>
                <w:szCs w:val="20"/>
              </w:rPr>
              <w:t>4,4</w:t>
            </w:r>
          </w:p>
        </w:tc>
        <w:tc>
          <w:tcPr>
            <w:tcW w:w="993" w:type="dxa"/>
            <w:vAlign w:val="center"/>
          </w:tcPr>
          <w:p w14:paraId="1C63DBFD">
            <w:pPr>
              <w:jc w:val="center"/>
              <w:rPr>
                <w:color w:val="000000"/>
                <w:sz w:val="20"/>
                <w:szCs w:val="20"/>
              </w:rPr>
            </w:pPr>
            <w:r>
              <w:rPr>
                <w:color w:val="000000"/>
                <w:sz w:val="20"/>
                <w:szCs w:val="20"/>
              </w:rPr>
              <w:t>6</w:t>
            </w:r>
          </w:p>
        </w:tc>
        <w:tc>
          <w:tcPr>
            <w:tcW w:w="992" w:type="dxa"/>
            <w:vAlign w:val="center"/>
          </w:tcPr>
          <w:p w14:paraId="3DFB32FB">
            <w:pPr>
              <w:jc w:val="center"/>
              <w:rPr>
                <w:color w:val="000000"/>
                <w:sz w:val="20"/>
                <w:szCs w:val="20"/>
              </w:rPr>
            </w:pPr>
          </w:p>
        </w:tc>
      </w:tr>
      <w:tr w14:paraId="0AEC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64E0E3FB">
            <w:pPr>
              <w:jc w:val="center"/>
              <w:rPr>
                <w:color w:val="000000"/>
                <w:sz w:val="20"/>
                <w:szCs w:val="20"/>
              </w:rPr>
            </w:pPr>
          </w:p>
        </w:tc>
        <w:tc>
          <w:tcPr>
            <w:tcW w:w="2409" w:type="dxa"/>
            <w:vAlign w:val="center"/>
          </w:tcPr>
          <w:p w14:paraId="22970361">
            <w:pPr>
              <w:rPr>
                <w:color w:val="000000"/>
                <w:sz w:val="20"/>
                <w:szCs w:val="20"/>
              </w:rPr>
            </w:pPr>
            <w:r>
              <w:rPr>
                <w:color w:val="000000"/>
                <w:sz w:val="20"/>
                <w:szCs w:val="20"/>
              </w:rPr>
              <w:t>Đất nhà ở liền kề kết hợp kinh doanh 19</w:t>
            </w:r>
          </w:p>
        </w:tc>
        <w:tc>
          <w:tcPr>
            <w:tcW w:w="1033" w:type="dxa"/>
            <w:vAlign w:val="center"/>
          </w:tcPr>
          <w:p w14:paraId="166968FF">
            <w:pPr>
              <w:jc w:val="center"/>
              <w:rPr>
                <w:color w:val="000000"/>
                <w:sz w:val="20"/>
                <w:szCs w:val="20"/>
              </w:rPr>
            </w:pPr>
            <w:r>
              <w:rPr>
                <w:color w:val="000000"/>
                <w:sz w:val="20"/>
                <w:szCs w:val="20"/>
              </w:rPr>
              <w:t>LK19</w:t>
            </w:r>
          </w:p>
        </w:tc>
        <w:tc>
          <w:tcPr>
            <w:tcW w:w="1459" w:type="dxa"/>
            <w:vAlign w:val="center"/>
          </w:tcPr>
          <w:p w14:paraId="64EDC06C">
            <w:pPr>
              <w:jc w:val="center"/>
              <w:rPr>
                <w:color w:val="000000"/>
                <w:sz w:val="20"/>
                <w:szCs w:val="20"/>
              </w:rPr>
            </w:pPr>
            <w:r>
              <w:rPr>
                <w:color w:val="000000"/>
                <w:sz w:val="20"/>
                <w:szCs w:val="20"/>
              </w:rPr>
              <w:t>543,30</w:t>
            </w:r>
          </w:p>
        </w:tc>
        <w:tc>
          <w:tcPr>
            <w:tcW w:w="1273" w:type="dxa"/>
            <w:vAlign w:val="center"/>
          </w:tcPr>
          <w:p w14:paraId="0FFBDB82">
            <w:pPr>
              <w:jc w:val="center"/>
              <w:rPr>
                <w:color w:val="000000"/>
                <w:sz w:val="20"/>
                <w:szCs w:val="20"/>
              </w:rPr>
            </w:pPr>
            <w:r>
              <w:rPr>
                <w:color w:val="000000"/>
                <w:sz w:val="20"/>
                <w:szCs w:val="20"/>
              </w:rPr>
              <w:t>0,27%</w:t>
            </w:r>
          </w:p>
        </w:tc>
        <w:tc>
          <w:tcPr>
            <w:tcW w:w="2047" w:type="dxa"/>
            <w:vAlign w:val="center"/>
          </w:tcPr>
          <w:p w14:paraId="4C20CFC2">
            <w:pPr>
              <w:jc w:val="center"/>
              <w:rPr>
                <w:color w:val="000000"/>
                <w:sz w:val="20"/>
                <w:szCs w:val="20"/>
              </w:rPr>
            </w:pPr>
            <w:r>
              <w:rPr>
                <w:color w:val="000000"/>
                <w:sz w:val="20"/>
                <w:szCs w:val="20"/>
              </w:rPr>
              <w:t>475,6</w:t>
            </w:r>
          </w:p>
        </w:tc>
        <w:tc>
          <w:tcPr>
            <w:tcW w:w="1276" w:type="dxa"/>
            <w:vAlign w:val="center"/>
          </w:tcPr>
          <w:p w14:paraId="21CF34E6">
            <w:pPr>
              <w:jc w:val="center"/>
              <w:rPr>
                <w:color w:val="000000"/>
                <w:sz w:val="20"/>
                <w:szCs w:val="20"/>
              </w:rPr>
            </w:pPr>
            <w:r>
              <w:rPr>
                <w:color w:val="000000"/>
                <w:sz w:val="20"/>
                <w:szCs w:val="20"/>
              </w:rPr>
              <w:t>2.378,00</w:t>
            </w:r>
          </w:p>
        </w:tc>
        <w:tc>
          <w:tcPr>
            <w:tcW w:w="992" w:type="dxa"/>
            <w:vAlign w:val="center"/>
          </w:tcPr>
          <w:p w14:paraId="252D12DB">
            <w:pPr>
              <w:jc w:val="center"/>
              <w:rPr>
                <w:color w:val="000000"/>
                <w:sz w:val="20"/>
                <w:szCs w:val="20"/>
              </w:rPr>
            </w:pPr>
            <w:r>
              <w:rPr>
                <w:color w:val="000000"/>
                <w:sz w:val="20"/>
                <w:szCs w:val="20"/>
              </w:rPr>
              <w:t>88</w:t>
            </w:r>
          </w:p>
        </w:tc>
        <w:tc>
          <w:tcPr>
            <w:tcW w:w="992" w:type="dxa"/>
            <w:vAlign w:val="center"/>
          </w:tcPr>
          <w:p w14:paraId="4D3910FB">
            <w:pPr>
              <w:jc w:val="center"/>
              <w:rPr>
                <w:color w:val="000000"/>
                <w:sz w:val="20"/>
                <w:szCs w:val="20"/>
              </w:rPr>
            </w:pPr>
            <w:r>
              <w:rPr>
                <w:color w:val="000000"/>
                <w:sz w:val="20"/>
                <w:szCs w:val="20"/>
              </w:rPr>
              <w:t>5</w:t>
            </w:r>
          </w:p>
        </w:tc>
        <w:tc>
          <w:tcPr>
            <w:tcW w:w="1134" w:type="dxa"/>
            <w:vAlign w:val="center"/>
          </w:tcPr>
          <w:p w14:paraId="214D5A95">
            <w:pPr>
              <w:jc w:val="center"/>
              <w:rPr>
                <w:color w:val="000000"/>
                <w:sz w:val="20"/>
                <w:szCs w:val="20"/>
              </w:rPr>
            </w:pPr>
            <w:r>
              <w:rPr>
                <w:color w:val="000000"/>
                <w:sz w:val="20"/>
                <w:szCs w:val="20"/>
              </w:rPr>
              <w:t>4,4</w:t>
            </w:r>
          </w:p>
        </w:tc>
        <w:tc>
          <w:tcPr>
            <w:tcW w:w="993" w:type="dxa"/>
            <w:vAlign w:val="center"/>
          </w:tcPr>
          <w:p w14:paraId="2F98C119">
            <w:pPr>
              <w:jc w:val="center"/>
              <w:rPr>
                <w:color w:val="000000"/>
                <w:sz w:val="20"/>
                <w:szCs w:val="20"/>
              </w:rPr>
            </w:pPr>
            <w:r>
              <w:rPr>
                <w:color w:val="000000"/>
                <w:sz w:val="20"/>
                <w:szCs w:val="20"/>
              </w:rPr>
              <w:t>6</w:t>
            </w:r>
          </w:p>
        </w:tc>
        <w:tc>
          <w:tcPr>
            <w:tcW w:w="992" w:type="dxa"/>
            <w:vAlign w:val="center"/>
          </w:tcPr>
          <w:p w14:paraId="1234B40D">
            <w:pPr>
              <w:jc w:val="center"/>
              <w:rPr>
                <w:color w:val="000000"/>
                <w:sz w:val="20"/>
                <w:szCs w:val="20"/>
              </w:rPr>
            </w:pPr>
          </w:p>
        </w:tc>
      </w:tr>
      <w:tr w14:paraId="2395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10" w:type="dxa"/>
            <w:noWrap/>
            <w:vAlign w:val="center"/>
          </w:tcPr>
          <w:p w14:paraId="1DBA47E8">
            <w:pPr>
              <w:jc w:val="center"/>
              <w:rPr>
                <w:color w:val="000000"/>
                <w:sz w:val="20"/>
                <w:szCs w:val="20"/>
              </w:rPr>
            </w:pPr>
          </w:p>
        </w:tc>
        <w:tc>
          <w:tcPr>
            <w:tcW w:w="2409" w:type="dxa"/>
            <w:vAlign w:val="center"/>
          </w:tcPr>
          <w:p w14:paraId="0E655425">
            <w:pPr>
              <w:rPr>
                <w:color w:val="000000"/>
                <w:sz w:val="20"/>
                <w:szCs w:val="20"/>
              </w:rPr>
            </w:pPr>
            <w:r>
              <w:rPr>
                <w:color w:val="000000"/>
                <w:sz w:val="20"/>
                <w:szCs w:val="20"/>
              </w:rPr>
              <w:t>Đất nhà ở liền kề kết hợp kinh doanh 20</w:t>
            </w:r>
          </w:p>
        </w:tc>
        <w:tc>
          <w:tcPr>
            <w:tcW w:w="1033" w:type="dxa"/>
            <w:vAlign w:val="center"/>
          </w:tcPr>
          <w:p w14:paraId="6059C025">
            <w:pPr>
              <w:jc w:val="center"/>
              <w:rPr>
                <w:color w:val="000000"/>
                <w:sz w:val="20"/>
                <w:szCs w:val="20"/>
              </w:rPr>
            </w:pPr>
            <w:r>
              <w:rPr>
                <w:color w:val="000000"/>
                <w:sz w:val="20"/>
                <w:szCs w:val="20"/>
              </w:rPr>
              <w:t>LK20</w:t>
            </w:r>
          </w:p>
        </w:tc>
        <w:tc>
          <w:tcPr>
            <w:tcW w:w="1459" w:type="dxa"/>
            <w:vAlign w:val="center"/>
          </w:tcPr>
          <w:p w14:paraId="6E2D27D3">
            <w:pPr>
              <w:jc w:val="center"/>
              <w:rPr>
                <w:color w:val="000000"/>
                <w:sz w:val="20"/>
                <w:szCs w:val="20"/>
              </w:rPr>
            </w:pPr>
            <w:r>
              <w:rPr>
                <w:color w:val="000000"/>
                <w:sz w:val="20"/>
                <w:szCs w:val="20"/>
              </w:rPr>
              <w:t>648,90</w:t>
            </w:r>
          </w:p>
        </w:tc>
        <w:tc>
          <w:tcPr>
            <w:tcW w:w="1273" w:type="dxa"/>
            <w:vAlign w:val="center"/>
          </w:tcPr>
          <w:p w14:paraId="555DC86E">
            <w:pPr>
              <w:jc w:val="center"/>
              <w:rPr>
                <w:color w:val="000000"/>
                <w:sz w:val="20"/>
                <w:szCs w:val="20"/>
              </w:rPr>
            </w:pPr>
            <w:r>
              <w:rPr>
                <w:color w:val="000000"/>
                <w:sz w:val="20"/>
                <w:szCs w:val="20"/>
              </w:rPr>
              <w:t>0,33%</w:t>
            </w:r>
          </w:p>
        </w:tc>
        <w:tc>
          <w:tcPr>
            <w:tcW w:w="2047" w:type="dxa"/>
            <w:vAlign w:val="center"/>
          </w:tcPr>
          <w:p w14:paraId="09DF0AB1">
            <w:pPr>
              <w:jc w:val="center"/>
              <w:rPr>
                <w:color w:val="000000"/>
                <w:sz w:val="20"/>
                <w:szCs w:val="20"/>
              </w:rPr>
            </w:pPr>
            <w:r>
              <w:rPr>
                <w:color w:val="000000"/>
                <w:sz w:val="20"/>
                <w:szCs w:val="20"/>
              </w:rPr>
              <w:t>561,3</w:t>
            </w:r>
          </w:p>
        </w:tc>
        <w:tc>
          <w:tcPr>
            <w:tcW w:w="1276" w:type="dxa"/>
            <w:vAlign w:val="center"/>
          </w:tcPr>
          <w:p w14:paraId="4CA9DCE6">
            <w:pPr>
              <w:jc w:val="center"/>
              <w:rPr>
                <w:color w:val="000000"/>
                <w:sz w:val="20"/>
                <w:szCs w:val="20"/>
              </w:rPr>
            </w:pPr>
            <w:r>
              <w:rPr>
                <w:color w:val="000000"/>
                <w:sz w:val="20"/>
                <w:szCs w:val="20"/>
              </w:rPr>
              <w:t>2.806,50</w:t>
            </w:r>
          </w:p>
        </w:tc>
        <w:tc>
          <w:tcPr>
            <w:tcW w:w="992" w:type="dxa"/>
            <w:vAlign w:val="center"/>
          </w:tcPr>
          <w:p w14:paraId="2B8C5107">
            <w:pPr>
              <w:jc w:val="center"/>
              <w:rPr>
                <w:color w:val="000000"/>
                <w:sz w:val="20"/>
                <w:szCs w:val="20"/>
              </w:rPr>
            </w:pPr>
            <w:r>
              <w:rPr>
                <w:color w:val="000000"/>
                <w:sz w:val="20"/>
                <w:szCs w:val="20"/>
              </w:rPr>
              <w:t>88</w:t>
            </w:r>
          </w:p>
        </w:tc>
        <w:tc>
          <w:tcPr>
            <w:tcW w:w="992" w:type="dxa"/>
            <w:vAlign w:val="center"/>
          </w:tcPr>
          <w:p w14:paraId="410D3B7B">
            <w:pPr>
              <w:jc w:val="center"/>
              <w:rPr>
                <w:color w:val="000000"/>
                <w:sz w:val="20"/>
                <w:szCs w:val="20"/>
              </w:rPr>
            </w:pPr>
            <w:r>
              <w:rPr>
                <w:color w:val="000000"/>
                <w:sz w:val="20"/>
                <w:szCs w:val="20"/>
              </w:rPr>
              <w:t>5</w:t>
            </w:r>
          </w:p>
        </w:tc>
        <w:tc>
          <w:tcPr>
            <w:tcW w:w="1134" w:type="dxa"/>
            <w:vAlign w:val="center"/>
          </w:tcPr>
          <w:p w14:paraId="33AFB188">
            <w:pPr>
              <w:jc w:val="center"/>
              <w:rPr>
                <w:color w:val="000000"/>
                <w:sz w:val="20"/>
                <w:szCs w:val="20"/>
              </w:rPr>
            </w:pPr>
            <w:r>
              <w:rPr>
                <w:color w:val="000000"/>
                <w:sz w:val="20"/>
                <w:szCs w:val="20"/>
              </w:rPr>
              <w:t>4,4</w:t>
            </w:r>
          </w:p>
        </w:tc>
        <w:tc>
          <w:tcPr>
            <w:tcW w:w="993" w:type="dxa"/>
            <w:vAlign w:val="center"/>
          </w:tcPr>
          <w:p w14:paraId="763A6BB2">
            <w:pPr>
              <w:jc w:val="center"/>
              <w:rPr>
                <w:color w:val="000000"/>
                <w:sz w:val="20"/>
                <w:szCs w:val="20"/>
              </w:rPr>
            </w:pPr>
            <w:r>
              <w:rPr>
                <w:color w:val="000000"/>
                <w:sz w:val="20"/>
                <w:szCs w:val="20"/>
              </w:rPr>
              <w:t>7</w:t>
            </w:r>
          </w:p>
        </w:tc>
        <w:tc>
          <w:tcPr>
            <w:tcW w:w="992" w:type="dxa"/>
            <w:vAlign w:val="center"/>
          </w:tcPr>
          <w:p w14:paraId="3A427BD5">
            <w:pPr>
              <w:jc w:val="center"/>
              <w:rPr>
                <w:b/>
                <w:bCs/>
                <w:color w:val="000000"/>
                <w:sz w:val="20"/>
                <w:szCs w:val="20"/>
              </w:rPr>
            </w:pPr>
          </w:p>
        </w:tc>
      </w:tr>
      <w:tr w14:paraId="58F8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371F9F73">
            <w:pPr>
              <w:jc w:val="center"/>
              <w:rPr>
                <w:color w:val="000000"/>
                <w:sz w:val="20"/>
                <w:szCs w:val="20"/>
              </w:rPr>
            </w:pPr>
          </w:p>
        </w:tc>
        <w:tc>
          <w:tcPr>
            <w:tcW w:w="2409" w:type="dxa"/>
            <w:vAlign w:val="center"/>
          </w:tcPr>
          <w:p w14:paraId="5334C56F">
            <w:pPr>
              <w:rPr>
                <w:color w:val="000000"/>
                <w:sz w:val="20"/>
                <w:szCs w:val="20"/>
              </w:rPr>
            </w:pPr>
            <w:r>
              <w:rPr>
                <w:color w:val="000000"/>
                <w:sz w:val="20"/>
                <w:szCs w:val="20"/>
              </w:rPr>
              <w:t>Đất nhà ở liền kề kết hợp kinh doanh 21</w:t>
            </w:r>
          </w:p>
        </w:tc>
        <w:tc>
          <w:tcPr>
            <w:tcW w:w="1033" w:type="dxa"/>
            <w:vAlign w:val="center"/>
          </w:tcPr>
          <w:p w14:paraId="2A87182E">
            <w:pPr>
              <w:jc w:val="center"/>
              <w:rPr>
                <w:color w:val="000000"/>
                <w:sz w:val="20"/>
                <w:szCs w:val="20"/>
              </w:rPr>
            </w:pPr>
            <w:r>
              <w:rPr>
                <w:color w:val="000000"/>
                <w:sz w:val="20"/>
                <w:szCs w:val="20"/>
              </w:rPr>
              <w:t>LK21</w:t>
            </w:r>
          </w:p>
        </w:tc>
        <w:tc>
          <w:tcPr>
            <w:tcW w:w="1459" w:type="dxa"/>
            <w:vAlign w:val="center"/>
          </w:tcPr>
          <w:p w14:paraId="1BB762EC">
            <w:pPr>
              <w:jc w:val="center"/>
              <w:rPr>
                <w:color w:val="000000"/>
                <w:sz w:val="20"/>
                <w:szCs w:val="20"/>
              </w:rPr>
            </w:pPr>
            <w:r>
              <w:rPr>
                <w:color w:val="000000"/>
                <w:sz w:val="20"/>
                <w:szCs w:val="20"/>
              </w:rPr>
              <w:t>648,90</w:t>
            </w:r>
          </w:p>
        </w:tc>
        <w:tc>
          <w:tcPr>
            <w:tcW w:w="1273" w:type="dxa"/>
            <w:vAlign w:val="center"/>
          </w:tcPr>
          <w:p w14:paraId="655AB2C7">
            <w:pPr>
              <w:jc w:val="center"/>
              <w:rPr>
                <w:color w:val="000000"/>
                <w:sz w:val="20"/>
                <w:szCs w:val="20"/>
              </w:rPr>
            </w:pPr>
            <w:r>
              <w:rPr>
                <w:color w:val="000000"/>
                <w:sz w:val="20"/>
                <w:szCs w:val="20"/>
              </w:rPr>
              <w:t>0,33%</w:t>
            </w:r>
          </w:p>
        </w:tc>
        <w:tc>
          <w:tcPr>
            <w:tcW w:w="2047" w:type="dxa"/>
            <w:vAlign w:val="center"/>
          </w:tcPr>
          <w:p w14:paraId="63895B3A">
            <w:pPr>
              <w:jc w:val="center"/>
              <w:rPr>
                <w:color w:val="000000"/>
                <w:sz w:val="20"/>
                <w:szCs w:val="20"/>
              </w:rPr>
            </w:pPr>
            <w:r>
              <w:rPr>
                <w:color w:val="000000"/>
                <w:sz w:val="20"/>
                <w:szCs w:val="20"/>
              </w:rPr>
              <w:t>561,3</w:t>
            </w:r>
          </w:p>
        </w:tc>
        <w:tc>
          <w:tcPr>
            <w:tcW w:w="1276" w:type="dxa"/>
            <w:vAlign w:val="center"/>
          </w:tcPr>
          <w:p w14:paraId="277D9F3B">
            <w:pPr>
              <w:jc w:val="center"/>
              <w:rPr>
                <w:color w:val="000000"/>
                <w:sz w:val="20"/>
                <w:szCs w:val="20"/>
              </w:rPr>
            </w:pPr>
            <w:r>
              <w:rPr>
                <w:color w:val="000000"/>
                <w:sz w:val="20"/>
                <w:szCs w:val="20"/>
              </w:rPr>
              <w:t>2.806,50</w:t>
            </w:r>
          </w:p>
        </w:tc>
        <w:tc>
          <w:tcPr>
            <w:tcW w:w="992" w:type="dxa"/>
            <w:vAlign w:val="center"/>
          </w:tcPr>
          <w:p w14:paraId="19526823">
            <w:pPr>
              <w:jc w:val="center"/>
              <w:rPr>
                <w:color w:val="000000"/>
                <w:sz w:val="20"/>
                <w:szCs w:val="20"/>
              </w:rPr>
            </w:pPr>
            <w:r>
              <w:rPr>
                <w:color w:val="000000"/>
                <w:sz w:val="20"/>
                <w:szCs w:val="20"/>
              </w:rPr>
              <w:t>88</w:t>
            </w:r>
          </w:p>
        </w:tc>
        <w:tc>
          <w:tcPr>
            <w:tcW w:w="992" w:type="dxa"/>
            <w:vAlign w:val="center"/>
          </w:tcPr>
          <w:p w14:paraId="0971C80E">
            <w:pPr>
              <w:jc w:val="center"/>
              <w:rPr>
                <w:color w:val="000000"/>
                <w:sz w:val="20"/>
                <w:szCs w:val="20"/>
              </w:rPr>
            </w:pPr>
            <w:r>
              <w:rPr>
                <w:color w:val="000000"/>
                <w:sz w:val="20"/>
                <w:szCs w:val="20"/>
              </w:rPr>
              <w:t>5</w:t>
            </w:r>
          </w:p>
        </w:tc>
        <w:tc>
          <w:tcPr>
            <w:tcW w:w="1134" w:type="dxa"/>
            <w:vAlign w:val="center"/>
          </w:tcPr>
          <w:p w14:paraId="6D14838B">
            <w:pPr>
              <w:jc w:val="center"/>
              <w:rPr>
                <w:color w:val="000000"/>
                <w:sz w:val="20"/>
                <w:szCs w:val="20"/>
              </w:rPr>
            </w:pPr>
            <w:r>
              <w:rPr>
                <w:color w:val="000000"/>
                <w:sz w:val="20"/>
                <w:szCs w:val="20"/>
              </w:rPr>
              <w:t>4,4</w:t>
            </w:r>
          </w:p>
        </w:tc>
        <w:tc>
          <w:tcPr>
            <w:tcW w:w="993" w:type="dxa"/>
            <w:vAlign w:val="center"/>
          </w:tcPr>
          <w:p w14:paraId="4707701E">
            <w:pPr>
              <w:jc w:val="center"/>
              <w:rPr>
                <w:color w:val="000000"/>
                <w:sz w:val="20"/>
                <w:szCs w:val="20"/>
              </w:rPr>
            </w:pPr>
            <w:r>
              <w:rPr>
                <w:color w:val="000000"/>
                <w:sz w:val="20"/>
                <w:szCs w:val="20"/>
              </w:rPr>
              <w:t>7</w:t>
            </w:r>
          </w:p>
        </w:tc>
        <w:tc>
          <w:tcPr>
            <w:tcW w:w="992" w:type="dxa"/>
            <w:vAlign w:val="center"/>
          </w:tcPr>
          <w:p w14:paraId="03651C39">
            <w:pPr>
              <w:jc w:val="center"/>
              <w:rPr>
                <w:color w:val="000000"/>
                <w:sz w:val="20"/>
                <w:szCs w:val="20"/>
              </w:rPr>
            </w:pPr>
          </w:p>
        </w:tc>
      </w:tr>
      <w:tr w14:paraId="6941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4D227DD7">
            <w:pPr>
              <w:jc w:val="center"/>
              <w:rPr>
                <w:color w:val="000000"/>
                <w:sz w:val="20"/>
                <w:szCs w:val="20"/>
              </w:rPr>
            </w:pPr>
          </w:p>
        </w:tc>
        <w:tc>
          <w:tcPr>
            <w:tcW w:w="2409" w:type="dxa"/>
            <w:vAlign w:val="center"/>
          </w:tcPr>
          <w:p w14:paraId="3F428403">
            <w:pPr>
              <w:rPr>
                <w:color w:val="000000"/>
                <w:sz w:val="20"/>
                <w:szCs w:val="20"/>
              </w:rPr>
            </w:pPr>
            <w:r>
              <w:rPr>
                <w:color w:val="000000"/>
                <w:sz w:val="20"/>
                <w:szCs w:val="20"/>
              </w:rPr>
              <w:t>Đất nhà ở liền kề kết hợp kinh doanh 22</w:t>
            </w:r>
          </w:p>
        </w:tc>
        <w:tc>
          <w:tcPr>
            <w:tcW w:w="1033" w:type="dxa"/>
            <w:vAlign w:val="center"/>
          </w:tcPr>
          <w:p w14:paraId="75CF37EF">
            <w:pPr>
              <w:jc w:val="center"/>
              <w:rPr>
                <w:color w:val="000000"/>
                <w:sz w:val="20"/>
                <w:szCs w:val="20"/>
              </w:rPr>
            </w:pPr>
            <w:r>
              <w:rPr>
                <w:color w:val="000000"/>
                <w:sz w:val="20"/>
                <w:szCs w:val="20"/>
              </w:rPr>
              <w:t>LK22</w:t>
            </w:r>
          </w:p>
        </w:tc>
        <w:tc>
          <w:tcPr>
            <w:tcW w:w="1459" w:type="dxa"/>
            <w:vAlign w:val="center"/>
          </w:tcPr>
          <w:p w14:paraId="29A1CBA7">
            <w:pPr>
              <w:jc w:val="center"/>
              <w:rPr>
                <w:color w:val="000000"/>
                <w:sz w:val="20"/>
                <w:szCs w:val="20"/>
              </w:rPr>
            </w:pPr>
            <w:r>
              <w:rPr>
                <w:color w:val="000000"/>
                <w:sz w:val="20"/>
                <w:szCs w:val="20"/>
              </w:rPr>
              <w:t>640,90</w:t>
            </w:r>
          </w:p>
        </w:tc>
        <w:tc>
          <w:tcPr>
            <w:tcW w:w="1273" w:type="dxa"/>
            <w:vAlign w:val="center"/>
          </w:tcPr>
          <w:p w14:paraId="3F0E9B03">
            <w:pPr>
              <w:jc w:val="center"/>
              <w:rPr>
                <w:color w:val="000000"/>
                <w:sz w:val="20"/>
                <w:szCs w:val="20"/>
              </w:rPr>
            </w:pPr>
            <w:r>
              <w:rPr>
                <w:color w:val="000000"/>
                <w:sz w:val="20"/>
                <w:szCs w:val="20"/>
              </w:rPr>
              <w:t>0,32%</w:t>
            </w:r>
          </w:p>
        </w:tc>
        <w:tc>
          <w:tcPr>
            <w:tcW w:w="2047" w:type="dxa"/>
            <w:vAlign w:val="center"/>
          </w:tcPr>
          <w:p w14:paraId="2E5D97A9">
            <w:pPr>
              <w:jc w:val="center"/>
              <w:rPr>
                <w:color w:val="000000"/>
                <w:sz w:val="20"/>
                <w:szCs w:val="20"/>
              </w:rPr>
            </w:pPr>
            <w:r>
              <w:rPr>
                <w:color w:val="000000"/>
                <w:sz w:val="20"/>
                <w:szCs w:val="20"/>
              </w:rPr>
              <w:t>555,8</w:t>
            </w:r>
          </w:p>
        </w:tc>
        <w:tc>
          <w:tcPr>
            <w:tcW w:w="1276" w:type="dxa"/>
            <w:vAlign w:val="center"/>
          </w:tcPr>
          <w:p w14:paraId="578FF281">
            <w:pPr>
              <w:jc w:val="center"/>
              <w:rPr>
                <w:color w:val="000000"/>
                <w:sz w:val="20"/>
                <w:szCs w:val="20"/>
              </w:rPr>
            </w:pPr>
            <w:r>
              <w:rPr>
                <w:color w:val="000000"/>
                <w:sz w:val="20"/>
                <w:szCs w:val="20"/>
              </w:rPr>
              <w:t>2.779,00</w:t>
            </w:r>
          </w:p>
        </w:tc>
        <w:tc>
          <w:tcPr>
            <w:tcW w:w="992" w:type="dxa"/>
            <w:vAlign w:val="center"/>
          </w:tcPr>
          <w:p w14:paraId="48571CF9">
            <w:pPr>
              <w:jc w:val="center"/>
              <w:rPr>
                <w:color w:val="000000"/>
                <w:sz w:val="20"/>
                <w:szCs w:val="20"/>
              </w:rPr>
            </w:pPr>
            <w:r>
              <w:rPr>
                <w:color w:val="000000"/>
                <w:sz w:val="20"/>
                <w:szCs w:val="20"/>
              </w:rPr>
              <w:t>88</w:t>
            </w:r>
          </w:p>
        </w:tc>
        <w:tc>
          <w:tcPr>
            <w:tcW w:w="992" w:type="dxa"/>
            <w:vAlign w:val="center"/>
          </w:tcPr>
          <w:p w14:paraId="50FF5BB1">
            <w:pPr>
              <w:jc w:val="center"/>
              <w:rPr>
                <w:color w:val="000000"/>
                <w:sz w:val="20"/>
                <w:szCs w:val="20"/>
              </w:rPr>
            </w:pPr>
            <w:r>
              <w:rPr>
                <w:color w:val="000000"/>
                <w:sz w:val="20"/>
                <w:szCs w:val="20"/>
              </w:rPr>
              <w:t>5</w:t>
            </w:r>
          </w:p>
        </w:tc>
        <w:tc>
          <w:tcPr>
            <w:tcW w:w="1134" w:type="dxa"/>
            <w:vAlign w:val="center"/>
          </w:tcPr>
          <w:p w14:paraId="6F6D69F8">
            <w:pPr>
              <w:jc w:val="center"/>
              <w:rPr>
                <w:color w:val="000000"/>
                <w:sz w:val="20"/>
                <w:szCs w:val="20"/>
              </w:rPr>
            </w:pPr>
            <w:r>
              <w:rPr>
                <w:color w:val="000000"/>
                <w:sz w:val="20"/>
                <w:szCs w:val="20"/>
              </w:rPr>
              <w:t>4,4</w:t>
            </w:r>
          </w:p>
        </w:tc>
        <w:tc>
          <w:tcPr>
            <w:tcW w:w="993" w:type="dxa"/>
            <w:vAlign w:val="center"/>
          </w:tcPr>
          <w:p w14:paraId="538732AC">
            <w:pPr>
              <w:jc w:val="center"/>
              <w:rPr>
                <w:color w:val="000000"/>
                <w:sz w:val="20"/>
                <w:szCs w:val="20"/>
              </w:rPr>
            </w:pPr>
            <w:r>
              <w:rPr>
                <w:color w:val="000000"/>
                <w:sz w:val="20"/>
                <w:szCs w:val="20"/>
              </w:rPr>
              <w:t>7</w:t>
            </w:r>
          </w:p>
        </w:tc>
        <w:tc>
          <w:tcPr>
            <w:tcW w:w="992" w:type="dxa"/>
            <w:vAlign w:val="center"/>
          </w:tcPr>
          <w:p w14:paraId="04AFD9C3">
            <w:pPr>
              <w:jc w:val="center"/>
              <w:rPr>
                <w:color w:val="000000"/>
                <w:sz w:val="20"/>
                <w:szCs w:val="20"/>
              </w:rPr>
            </w:pPr>
          </w:p>
        </w:tc>
      </w:tr>
      <w:tr w14:paraId="7976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BCFE485">
            <w:pPr>
              <w:jc w:val="center"/>
              <w:rPr>
                <w:color w:val="000000"/>
                <w:sz w:val="20"/>
                <w:szCs w:val="20"/>
              </w:rPr>
            </w:pPr>
          </w:p>
        </w:tc>
        <w:tc>
          <w:tcPr>
            <w:tcW w:w="2409" w:type="dxa"/>
            <w:vAlign w:val="center"/>
          </w:tcPr>
          <w:p w14:paraId="117E90FF">
            <w:pPr>
              <w:rPr>
                <w:color w:val="000000"/>
                <w:sz w:val="20"/>
                <w:szCs w:val="20"/>
              </w:rPr>
            </w:pPr>
            <w:r>
              <w:rPr>
                <w:color w:val="000000"/>
                <w:sz w:val="20"/>
                <w:szCs w:val="20"/>
              </w:rPr>
              <w:t>Đất nhà ở liền kề kết hợp kinh doanh 23</w:t>
            </w:r>
          </w:p>
        </w:tc>
        <w:tc>
          <w:tcPr>
            <w:tcW w:w="1033" w:type="dxa"/>
            <w:vAlign w:val="center"/>
          </w:tcPr>
          <w:p w14:paraId="3F8D2F79">
            <w:pPr>
              <w:jc w:val="center"/>
              <w:rPr>
                <w:color w:val="000000"/>
                <w:sz w:val="20"/>
                <w:szCs w:val="20"/>
              </w:rPr>
            </w:pPr>
            <w:r>
              <w:rPr>
                <w:color w:val="000000"/>
                <w:sz w:val="20"/>
                <w:szCs w:val="20"/>
              </w:rPr>
              <w:t>LK23</w:t>
            </w:r>
          </w:p>
        </w:tc>
        <w:tc>
          <w:tcPr>
            <w:tcW w:w="1459" w:type="dxa"/>
            <w:vAlign w:val="center"/>
          </w:tcPr>
          <w:p w14:paraId="26630E93">
            <w:pPr>
              <w:jc w:val="center"/>
              <w:rPr>
                <w:color w:val="000000"/>
                <w:sz w:val="20"/>
                <w:szCs w:val="20"/>
              </w:rPr>
            </w:pPr>
            <w:r>
              <w:rPr>
                <w:color w:val="000000"/>
                <w:sz w:val="20"/>
                <w:szCs w:val="20"/>
              </w:rPr>
              <w:t>640,90</w:t>
            </w:r>
          </w:p>
        </w:tc>
        <w:tc>
          <w:tcPr>
            <w:tcW w:w="1273" w:type="dxa"/>
            <w:vAlign w:val="center"/>
          </w:tcPr>
          <w:p w14:paraId="4132DA2B">
            <w:pPr>
              <w:jc w:val="center"/>
              <w:rPr>
                <w:color w:val="000000"/>
                <w:sz w:val="20"/>
                <w:szCs w:val="20"/>
              </w:rPr>
            </w:pPr>
            <w:r>
              <w:rPr>
                <w:color w:val="000000"/>
                <w:sz w:val="20"/>
                <w:szCs w:val="20"/>
              </w:rPr>
              <w:t>0,32%</w:t>
            </w:r>
          </w:p>
        </w:tc>
        <w:tc>
          <w:tcPr>
            <w:tcW w:w="2047" w:type="dxa"/>
            <w:vAlign w:val="center"/>
          </w:tcPr>
          <w:p w14:paraId="56E8895F">
            <w:pPr>
              <w:jc w:val="center"/>
              <w:rPr>
                <w:color w:val="000000"/>
                <w:sz w:val="20"/>
                <w:szCs w:val="20"/>
              </w:rPr>
            </w:pPr>
            <w:r>
              <w:rPr>
                <w:color w:val="000000"/>
                <w:sz w:val="20"/>
                <w:szCs w:val="20"/>
              </w:rPr>
              <w:t>555,8</w:t>
            </w:r>
          </w:p>
        </w:tc>
        <w:tc>
          <w:tcPr>
            <w:tcW w:w="1276" w:type="dxa"/>
            <w:vAlign w:val="center"/>
          </w:tcPr>
          <w:p w14:paraId="31EAF4FA">
            <w:pPr>
              <w:jc w:val="center"/>
              <w:rPr>
                <w:color w:val="000000"/>
                <w:sz w:val="20"/>
                <w:szCs w:val="20"/>
              </w:rPr>
            </w:pPr>
            <w:r>
              <w:rPr>
                <w:color w:val="000000"/>
                <w:sz w:val="20"/>
                <w:szCs w:val="20"/>
              </w:rPr>
              <w:t>2.779,00</w:t>
            </w:r>
          </w:p>
        </w:tc>
        <w:tc>
          <w:tcPr>
            <w:tcW w:w="992" w:type="dxa"/>
            <w:vAlign w:val="center"/>
          </w:tcPr>
          <w:p w14:paraId="1DC4F124">
            <w:pPr>
              <w:jc w:val="center"/>
              <w:rPr>
                <w:color w:val="000000"/>
                <w:sz w:val="20"/>
                <w:szCs w:val="20"/>
              </w:rPr>
            </w:pPr>
            <w:r>
              <w:rPr>
                <w:color w:val="000000"/>
                <w:sz w:val="20"/>
                <w:szCs w:val="20"/>
              </w:rPr>
              <w:t>88</w:t>
            </w:r>
          </w:p>
        </w:tc>
        <w:tc>
          <w:tcPr>
            <w:tcW w:w="992" w:type="dxa"/>
            <w:vAlign w:val="center"/>
          </w:tcPr>
          <w:p w14:paraId="2763AF26">
            <w:pPr>
              <w:jc w:val="center"/>
              <w:rPr>
                <w:color w:val="000000"/>
                <w:sz w:val="20"/>
                <w:szCs w:val="20"/>
              </w:rPr>
            </w:pPr>
            <w:r>
              <w:rPr>
                <w:color w:val="000000"/>
                <w:sz w:val="20"/>
                <w:szCs w:val="20"/>
              </w:rPr>
              <w:t>5</w:t>
            </w:r>
          </w:p>
        </w:tc>
        <w:tc>
          <w:tcPr>
            <w:tcW w:w="1134" w:type="dxa"/>
            <w:vAlign w:val="center"/>
          </w:tcPr>
          <w:p w14:paraId="3642F9B4">
            <w:pPr>
              <w:jc w:val="center"/>
              <w:rPr>
                <w:color w:val="000000"/>
                <w:sz w:val="20"/>
                <w:szCs w:val="20"/>
              </w:rPr>
            </w:pPr>
            <w:r>
              <w:rPr>
                <w:color w:val="000000"/>
                <w:sz w:val="20"/>
                <w:szCs w:val="20"/>
              </w:rPr>
              <w:t>4,4</w:t>
            </w:r>
          </w:p>
        </w:tc>
        <w:tc>
          <w:tcPr>
            <w:tcW w:w="993" w:type="dxa"/>
            <w:vAlign w:val="center"/>
          </w:tcPr>
          <w:p w14:paraId="4272515F">
            <w:pPr>
              <w:jc w:val="center"/>
              <w:rPr>
                <w:color w:val="000000"/>
                <w:sz w:val="20"/>
                <w:szCs w:val="20"/>
              </w:rPr>
            </w:pPr>
            <w:r>
              <w:rPr>
                <w:color w:val="000000"/>
                <w:sz w:val="20"/>
                <w:szCs w:val="20"/>
              </w:rPr>
              <w:t>7</w:t>
            </w:r>
          </w:p>
        </w:tc>
        <w:tc>
          <w:tcPr>
            <w:tcW w:w="992" w:type="dxa"/>
            <w:vAlign w:val="center"/>
          </w:tcPr>
          <w:p w14:paraId="36A88154">
            <w:pPr>
              <w:jc w:val="center"/>
              <w:rPr>
                <w:color w:val="000000"/>
                <w:sz w:val="20"/>
                <w:szCs w:val="20"/>
              </w:rPr>
            </w:pPr>
          </w:p>
        </w:tc>
      </w:tr>
      <w:tr w14:paraId="53BD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9D5F57D">
            <w:pPr>
              <w:jc w:val="center"/>
              <w:rPr>
                <w:color w:val="000000"/>
                <w:sz w:val="20"/>
                <w:szCs w:val="20"/>
              </w:rPr>
            </w:pPr>
          </w:p>
        </w:tc>
        <w:tc>
          <w:tcPr>
            <w:tcW w:w="2409" w:type="dxa"/>
            <w:vAlign w:val="center"/>
          </w:tcPr>
          <w:p w14:paraId="3037A709">
            <w:pPr>
              <w:rPr>
                <w:color w:val="000000"/>
                <w:sz w:val="20"/>
                <w:szCs w:val="20"/>
              </w:rPr>
            </w:pPr>
            <w:r>
              <w:rPr>
                <w:color w:val="000000"/>
                <w:sz w:val="20"/>
                <w:szCs w:val="20"/>
              </w:rPr>
              <w:t>Đất nhà ở liền kề kết hợp kinh doanh 24</w:t>
            </w:r>
          </w:p>
        </w:tc>
        <w:tc>
          <w:tcPr>
            <w:tcW w:w="1033" w:type="dxa"/>
            <w:vAlign w:val="center"/>
          </w:tcPr>
          <w:p w14:paraId="620FC9F3">
            <w:pPr>
              <w:jc w:val="center"/>
              <w:rPr>
                <w:color w:val="000000"/>
                <w:sz w:val="20"/>
                <w:szCs w:val="20"/>
              </w:rPr>
            </w:pPr>
            <w:r>
              <w:rPr>
                <w:color w:val="000000"/>
                <w:sz w:val="20"/>
                <w:szCs w:val="20"/>
              </w:rPr>
              <w:t>LK24</w:t>
            </w:r>
          </w:p>
        </w:tc>
        <w:tc>
          <w:tcPr>
            <w:tcW w:w="1459" w:type="dxa"/>
            <w:vAlign w:val="center"/>
          </w:tcPr>
          <w:p w14:paraId="12C36CA3">
            <w:pPr>
              <w:jc w:val="center"/>
              <w:rPr>
                <w:color w:val="000000"/>
                <w:sz w:val="20"/>
                <w:szCs w:val="20"/>
              </w:rPr>
            </w:pPr>
            <w:r>
              <w:rPr>
                <w:color w:val="000000"/>
                <w:sz w:val="20"/>
                <w:szCs w:val="20"/>
              </w:rPr>
              <w:t>946,50</w:t>
            </w:r>
          </w:p>
        </w:tc>
        <w:tc>
          <w:tcPr>
            <w:tcW w:w="1273" w:type="dxa"/>
            <w:vAlign w:val="center"/>
          </w:tcPr>
          <w:p w14:paraId="6E2B5844">
            <w:pPr>
              <w:jc w:val="center"/>
              <w:rPr>
                <w:color w:val="000000"/>
                <w:sz w:val="20"/>
                <w:szCs w:val="20"/>
              </w:rPr>
            </w:pPr>
            <w:r>
              <w:rPr>
                <w:color w:val="000000"/>
                <w:sz w:val="20"/>
                <w:szCs w:val="20"/>
              </w:rPr>
              <w:t>0,48%</w:t>
            </w:r>
          </w:p>
        </w:tc>
        <w:tc>
          <w:tcPr>
            <w:tcW w:w="2047" w:type="dxa"/>
            <w:vAlign w:val="center"/>
          </w:tcPr>
          <w:p w14:paraId="0FE62B9B">
            <w:pPr>
              <w:jc w:val="center"/>
              <w:rPr>
                <w:color w:val="000000"/>
                <w:sz w:val="20"/>
                <w:szCs w:val="20"/>
              </w:rPr>
            </w:pPr>
            <w:r>
              <w:rPr>
                <w:color w:val="000000"/>
                <w:sz w:val="20"/>
                <w:szCs w:val="20"/>
              </w:rPr>
              <w:t>817,1</w:t>
            </w:r>
          </w:p>
        </w:tc>
        <w:tc>
          <w:tcPr>
            <w:tcW w:w="1276" w:type="dxa"/>
            <w:vAlign w:val="center"/>
          </w:tcPr>
          <w:p w14:paraId="0C239960">
            <w:pPr>
              <w:jc w:val="center"/>
              <w:rPr>
                <w:color w:val="000000"/>
                <w:sz w:val="20"/>
                <w:szCs w:val="20"/>
              </w:rPr>
            </w:pPr>
            <w:r>
              <w:rPr>
                <w:color w:val="000000"/>
                <w:sz w:val="20"/>
                <w:szCs w:val="20"/>
              </w:rPr>
              <w:t>4.085,50</w:t>
            </w:r>
          </w:p>
        </w:tc>
        <w:tc>
          <w:tcPr>
            <w:tcW w:w="992" w:type="dxa"/>
            <w:vAlign w:val="center"/>
          </w:tcPr>
          <w:p w14:paraId="4CBFB6F7">
            <w:pPr>
              <w:jc w:val="center"/>
              <w:rPr>
                <w:color w:val="000000"/>
                <w:sz w:val="20"/>
                <w:szCs w:val="20"/>
              </w:rPr>
            </w:pPr>
            <w:r>
              <w:rPr>
                <w:color w:val="000000"/>
                <w:sz w:val="20"/>
                <w:szCs w:val="20"/>
              </w:rPr>
              <w:t>88</w:t>
            </w:r>
          </w:p>
        </w:tc>
        <w:tc>
          <w:tcPr>
            <w:tcW w:w="992" w:type="dxa"/>
            <w:vAlign w:val="center"/>
          </w:tcPr>
          <w:p w14:paraId="71DAF952">
            <w:pPr>
              <w:jc w:val="center"/>
              <w:rPr>
                <w:color w:val="000000"/>
                <w:sz w:val="20"/>
                <w:szCs w:val="20"/>
              </w:rPr>
            </w:pPr>
            <w:r>
              <w:rPr>
                <w:color w:val="000000"/>
                <w:sz w:val="20"/>
                <w:szCs w:val="20"/>
              </w:rPr>
              <w:t>5</w:t>
            </w:r>
          </w:p>
        </w:tc>
        <w:tc>
          <w:tcPr>
            <w:tcW w:w="1134" w:type="dxa"/>
            <w:vAlign w:val="center"/>
          </w:tcPr>
          <w:p w14:paraId="789BA596">
            <w:pPr>
              <w:jc w:val="center"/>
              <w:rPr>
                <w:color w:val="000000"/>
                <w:sz w:val="20"/>
                <w:szCs w:val="20"/>
              </w:rPr>
            </w:pPr>
            <w:r>
              <w:rPr>
                <w:color w:val="000000"/>
                <w:sz w:val="20"/>
                <w:szCs w:val="20"/>
              </w:rPr>
              <w:t>4,4</w:t>
            </w:r>
          </w:p>
        </w:tc>
        <w:tc>
          <w:tcPr>
            <w:tcW w:w="993" w:type="dxa"/>
            <w:vAlign w:val="center"/>
          </w:tcPr>
          <w:p w14:paraId="062C73CA">
            <w:pPr>
              <w:jc w:val="center"/>
              <w:rPr>
                <w:color w:val="000000"/>
                <w:sz w:val="20"/>
                <w:szCs w:val="20"/>
              </w:rPr>
            </w:pPr>
            <w:r>
              <w:rPr>
                <w:color w:val="000000"/>
                <w:sz w:val="20"/>
                <w:szCs w:val="20"/>
              </w:rPr>
              <w:t>10</w:t>
            </w:r>
          </w:p>
        </w:tc>
        <w:tc>
          <w:tcPr>
            <w:tcW w:w="992" w:type="dxa"/>
            <w:vAlign w:val="center"/>
          </w:tcPr>
          <w:p w14:paraId="7262CF71">
            <w:pPr>
              <w:jc w:val="center"/>
              <w:rPr>
                <w:color w:val="000000"/>
                <w:sz w:val="20"/>
                <w:szCs w:val="20"/>
              </w:rPr>
            </w:pPr>
          </w:p>
        </w:tc>
      </w:tr>
      <w:tr w14:paraId="2D62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75CA605">
            <w:pPr>
              <w:jc w:val="center"/>
              <w:rPr>
                <w:color w:val="000000"/>
                <w:sz w:val="20"/>
                <w:szCs w:val="20"/>
              </w:rPr>
            </w:pPr>
          </w:p>
        </w:tc>
        <w:tc>
          <w:tcPr>
            <w:tcW w:w="2409" w:type="dxa"/>
            <w:vAlign w:val="center"/>
          </w:tcPr>
          <w:p w14:paraId="5859C4D0">
            <w:pPr>
              <w:rPr>
                <w:color w:val="000000"/>
                <w:sz w:val="20"/>
                <w:szCs w:val="20"/>
              </w:rPr>
            </w:pPr>
            <w:r>
              <w:rPr>
                <w:color w:val="000000"/>
                <w:sz w:val="20"/>
                <w:szCs w:val="20"/>
              </w:rPr>
              <w:t>Đất nhà ở liền kề kết hợp kinh doanh 25</w:t>
            </w:r>
          </w:p>
        </w:tc>
        <w:tc>
          <w:tcPr>
            <w:tcW w:w="1033" w:type="dxa"/>
            <w:vAlign w:val="center"/>
          </w:tcPr>
          <w:p w14:paraId="06E045D8">
            <w:pPr>
              <w:jc w:val="center"/>
              <w:rPr>
                <w:color w:val="000000"/>
                <w:sz w:val="20"/>
                <w:szCs w:val="20"/>
              </w:rPr>
            </w:pPr>
            <w:r>
              <w:rPr>
                <w:color w:val="000000"/>
                <w:sz w:val="20"/>
                <w:szCs w:val="20"/>
              </w:rPr>
              <w:t>LK25</w:t>
            </w:r>
          </w:p>
        </w:tc>
        <w:tc>
          <w:tcPr>
            <w:tcW w:w="1459" w:type="dxa"/>
            <w:vAlign w:val="center"/>
          </w:tcPr>
          <w:p w14:paraId="64E4209F">
            <w:pPr>
              <w:jc w:val="center"/>
              <w:rPr>
                <w:color w:val="000000"/>
                <w:sz w:val="20"/>
                <w:szCs w:val="20"/>
              </w:rPr>
            </w:pPr>
            <w:r>
              <w:rPr>
                <w:color w:val="000000"/>
                <w:sz w:val="20"/>
                <w:szCs w:val="20"/>
              </w:rPr>
              <w:t>946,50</w:t>
            </w:r>
          </w:p>
        </w:tc>
        <w:tc>
          <w:tcPr>
            <w:tcW w:w="1273" w:type="dxa"/>
            <w:vAlign w:val="center"/>
          </w:tcPr>
          <w:p w14:paraId="1EC45399">
            <w:pPr>
              <w:jc w:val="center"/>
              <w:rPr>
                <w:color w:val="000000"/>
                <w:sz w:val="20"/>
                <w:szCs w:val="20"/>
              </w:rPr>
            </w:pPr>
            <w:r>
              <w:rPr>
                <w:color w:val="000000"/>
                <w:sz w:val="20"/>
                <w:szCs w:val="20"/>
              </w:rPr>
              <w:t>0,48%</w:t>
            </w:r>
          </w:p>
        </w:tc>
        <w:tc>
          <w:tcPr>
            <w:tcW w:w="2047" w:type="dxa"/>
            <w:vAlign w:val="center"/>
          </w:tcPr>
          <w:p w14:paraId="6CC7D445">
            <w:pPr>
              <w:jc w:val="center"/>
              <w:rPr>
                <w:color w:val="000000"/>
                <w:sz w:val="20"/>
                <w:szCs w:val="20"/>
              </w:rPr>
            </w:pPr>
            <w:r>
              <w:rPr>
                <w:color w:val="000000"/>
                <w:sz w:val="20"/>
                <w:szCs w:val="20"/>
              </w:rPr>
              <w:t>817,1</w:t>
            </w:r>
          </w:p>
        </w:tc>
        <w:tc>
          <w:tcPr>
            <w:tcW w:w="1276" w:type="dxa"/>
            <w:vAlign w:val="center"/>
          </w:tcPr>
          <w:p w14:paraId="4927440A">
            <w:pPr>
              <w:jc w:val="center"/>
              <w:rPr>
                <w:color w:val="000000"/>
                <w:sz w:val="20"/>
                <w:szCs w:val="20"/>
              </w:rPr>
            </w:pPr>
            <w:r>
              <w:rPr>
                <w:color w:val="000000"/>
                <w:sz w:val="20"/>
                <w:szCs w:val="20"/>
              </w:rPr>
              <w:t>4.085,50</w:t>
            </w:r>
          </w:p>
        </w:tc>
        <w:tc>
          <w:tcPr>
            <w:tcW w:w="992" w:type="dxa"/>
            <w:vAlign w:val="center"/>
          </w:tcPr>
          <w:p w14:paraId="026A1FE9">
            <w:pPr>
              <w:jc w:val="center"/>
              <w:rPr>
                <w:color w:val="000000"/>
                <w:sz w:val="20"/>
                <w:szCs w:val="20"/>
              </w:rPr>
            </w:pPr>
            <w:r>
              <w:rPr>
                <w:color w:val="000000"/>
                <w:sz w:val="20"/>
                <w:szCs w:val="20"/>
              </w:rPr>
              <w:t>88</w:t>
            </w:r>
          </w:p>
        </w:tc>
        <w:tc>
          <w:tcPr>
            <w:tcW w:w="992" w:type="dxa"/>
            <w:vAlign w:val="center"/>
          </w:tcPr>
          <w:p w14:paraId="3C56CCD1">
            <w:pPr>
              <w:jc w:val="center"/>
              <w:rPr>
                <w:color w:val="000000"/>
                <w:sz w:val="20"/>
                <w:szCs w:val="20"/>
              </w:rPr>
            </w:pPr>
            <w:r>
              <w:rPr>
                <w:color w:val="000000"/>
                <w:sz w:val="20"/>
                <w:szCs w:val="20"/>
              </w:rPr>
              <w:t>5</w:t>
            </w:r>
          </w:p>
        </w:tc>
        <w:tc>
          <w:tcPr>
            <w:tcW w:w="1134" w:type="dxa"/>
            <w:vAlign w:val="center"/>
          </w:tcPr>
          <w:p w14:paraId="68FC36FB">
            <w:pPr>
              <w:jc w:val="center"/>
              <w:rPr>
                <w:color w:val="000000"/>
                <w:sz w:val="20"/>
                <w:szCs w:val="20"/>
              </w:rPr>
            </w:pPr>
            <w:r>
              <w:rPr>
                <w:color w:val="000000"/>
                <w:sz w:val="20"/>
                <w:szCs w:val="20"/>
              </w:rPr>
              <w:t>4,4</w:t>
            </w:r>
          </w:p>
        </w:tc>
        <w:tc>
          <w:tcPr>
            <w:tcW w:w="993" w:type="dxa"/>
            <w:vAlign w:val="center"/>
          </w:tcPr>
          <w:p w14:paraId="2ED62FD9">
            <w:pPr>
              <w:jc w:val="center"/>
              <w:rPr>
                <w:color w:val="000000"/>
                <w:sz w:val="20"/>
                <w:szCs w:val="20"/>
              </w:rPr>
            </w:pPr>
            <w:r>
              <w:rPr>
                <w:color w:val="000000"/>
                <w:sz w:val="20"/>
                <w:szCs w:val="20"/>
              </w:rPr>
              <w:t>10</w:t>
            </w:r>
          </w:p>
        </w:tc>
        <w:tc>
          <w:tcPr>
            <w:tcW w:w="992" w:type="dxa"/>
            <w:vAlign w:val="center"/>
          </w:tcPr>
          <w:p w14:paraId="69F66A8D">
            <w:pPr>
              <w:jc w:val="center"/>
              <w:rPr>
                <w:color w:val="000000"/>
                <w:sz w:val="20"/>
                <w:szCs w:val="20"/>
              </w:rPr>
            </w:pPr>
          </w:p>
        </w:tc>
      </w:tr>
      <w:tr w14:paraId="3BB7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9727D4F">
            <w:pPr>
              <w:jc w:val="center"/>
              <w:rPr>
                <w:color w:val="000000"/>
                <w:sz w:val="20"/>
                <w:szCs w:val="20"/>
              </w:rPr>
            </w:pPr>
          </w:p>
        </w:tc>
        <w:tc>
          <w:tcPr>
            <w:tcW w:w="2409" w:type="dxa"/>
            <w:vAlign w:val="center"/>
          </w:tcPr>
          <w:p w14:paraId="783E10B2">
            <w:pPr>
              <w:rPr>
                <w:color w:val="000000"/>
                <w:sz w:val="20"/>
                <w:szCs w:val="20"/>
              </w:rPr>
            </w:pPr>
            <w:r>
              <w:rPr>
                <w:color w:val="000000"/>
                <w:sz w:val="20"/>
                <w:szCs w:val="20"/>
              </w:rPr>
              <w:t>Đất nhà ở liền kề kết hợp kinh doanh 26</w:t>
            </w:r>
          </w:p>
        </w:tc>
        <w:tc>
          <w:tcPr>
            <w:tcW w:w="1033" w:type="dxa"/>
            <w:vAlign w:val="center"/>
          </w:tcPr>
          <w:p w14:paraId="00136412">
            <w:pPr>
              <w:jc w:val="center"/>
              <w:rPr>
                <w:color w:val="000000"/>
                <w:sz w:val="20"/>
                <w:szCs w:val="20"/>
              </w:rPr>
            </w:pPr>
            <w:r>
              <w:rPr>
                <w:color w:val="000000"/>
                <w:sz w:val="20"/>
                <w:szCs w:val="20"/>
              </w:rPr>
              <w:t>LK26</w:t>
            </w:r>
          </w:p>
        </w:tc>
        <w:tc>
          <w:tcPr>
            <w:tcW w:w="1459" w:type="dxa"/>
            <w:vAlign w:val="center"/>
          </w:tcPr>
          <w:p w14:paraId="02F2AD22">
            <w:pPr>
              <w:jc w:val="center"/>
              <w:rPr>
                <w:color w:val="000000"/>
                <w:sz w:val="20"/>
                <w:szCs w:val="20"/>
              </w:rPr>
            </w:pPr>
            <w:r>
              <w:rPr>
                <w:color w:val="000000"/>
                <w:sz w:val="20"/>
                <w:szCs w:val="20"/>
              </w:rPr>
              <w:t>946,50</w:t>
            </w:r>
          </w:p>
        </w:tc>
        <w:tc>
          <w:tcPr>
            <w:tcW w:w="1273" w:type="dxa"/>
            <w:vAlign w:val="center"/>
          </w:tcPr>
          <w:p w14:paraId="32E8935F">
            <w:pPr>
              <w:jc w:val="center"/>
              <w:rPr>
                <w:color w:val="000000"/>
                <w:sz w:val="20"/>
                <w:szCs w:val="20"/>
              </w:rPr>
            </w:pPr>
            <w:r>
              <w:rPr>
                <w:color w:val="000000"/>
                <w:sz w:val="20"/>
                <w:szCs w:val="20"/>
              </w:rPr>
              <w:t>0,48%</w:t>
            </w:r>
          </w:p>
        </w:tc>
        <w:tc>
          <w:tcPr>
            <w:tcW w:w="2047" w:type="dxa"/>
            <w:vAlign w:val="center"/>
          </w:tcPr>
          <w:p w14:paraId="1F6A767A">
            <w:pPr>
              <w:jc w:val="center"/>
              <w:rPr>
                <w:color w:val="000000"/>
                <w:sz w:val="20"/>
                <w:szCs w:val="20"/>
              </w:rPr>
            </w:pPr>
            <w:r>
              <w:rPr>
                <w:color w:val="000000"/>
                <w:sz w:val="20"/>
                <w:szCs w:val="20"/>
              </w:rPr>
              <w:t>817,1</w:t>
            </w:r>
          </w:p>
        </w:tc>
        <w:tc>
          <w:tcPr>
            <w:tcW w:w="1276" w:type="dxa"/>
            <w:vAlign w:val="center"/>
          </w:tcPr>
          <w:p w14:paraId="524FFB37">
            <w:pPr>
              <w:jc w:val="center"/>
              <w:rPr>
                <w:color w:val="000000"/>
                <w:sz w:val="20"/>
                <w:szCs w:val="20"/>
              </w:rPr>
            </w:pPr>
            <w:r>
              <w:rPr>
                <w:color w:val="000000"/>
                <w:sz w:val="20"/>
                <w:szCs w:val="20"/>
              </w:rPr>
              <w:t>4.085,50</w:t>
            </w:r>
          </w:p>
        </w:tc>
        <w:tc>
          <w:tcPr>
            <w:tcW w:w="992" w:type="dxa"/>
            <w:vAlign w:val="center"/>
          </w:tcPr>
          <w:p w14:paraId="61653F1A">
            <w:pPr>
              <w:jc w:val="center"/>
              <w:rPr>
                <w:color w:val="000000"/>
                <w:sz w:val="20"/>
                <w:szCs w:val="20"/>
              </w:rPr>
            </w:pPr>
            <w:r>
              <w:rPr>
                <w:color w:val="000000"/>
                <w:sz w:val="20"/>
                <w:szCs w:val="20"/>
              </w:rPr>
              <w:t>88</w:t>
            </w:r>
          </w:p>
        </w:tc>
        <w:tc>
          <w:tcPr>
            <w:tcW w:w="992" w:type="dxa"/>
            <w:vAlign w:val="center"/>
          </w:tcPr>
          <w:p w14:paraId="0432A549">
            <w:pPr>
              <w:jc w:val="center"/>
              <w:rPr>
                <w:color w:val="000000"/>
                <w:sz w:val="20"/>
                <w:szCs w:val="20"/>
              </w:rPr>
            </w:pPr>
            <w:r>
              <w:rPr>
                <w:color w:val="000000"/>
                <w:sz w:val="20"/>
                <w:szCs w:val="20"/>
              </w:rPr>
              <w:t>5</w:t>
            </w:r>
          </w:p>
        </w:tc>
        <w:tc>
          <w:tcPr>
            <w:tcW w:w="1134" w:type="dxa"/>
            <w:vAlign w:val="center"/>
          </w:tcPr>
          <w:p w14:paraId="25FB9705">
            <w:pPr>
              <w:jc w:val="center"/>
              <w:rPr>
                <w:color w:val="000000"/>
                <w:sz w:val="20"/>
                <w:szCs w:val="20"/>
              </w:rPr>
            </w:pPr>
            <w:r>
              <w:rPr>
                <w:color w:val="000000"/>
                <w:sz w:val="20"/>
                <w:szCs w:val="20"/>
              </w:rPr>
              <w:t>4,4</w:t>
            </w:r>
          </w:p>
        </w:tc>
        <w:tc>
          <w:tcPr>
            <w:tcW w:w="993" w:type="dxa"/>
            <w:vAlign w:val="center"/>
          </w:tcPr>
          <w:p w14:paraId="3FDD68D1">
            <w:pPr>
              <w:jc w:val="center"/>
              <w:rPr>
                <w:color w:val="000000"/>
                <w:sz w:val="20"/>
                <w:szCs w:val="20"/>
              </w:rPr>
            </w:pPr>
            <w:r>
              <w:rPr>
                <w:color w:val="000000"/>
                <w:sz w:val="20"/>
                <w:szCs w:val="20"/>
              </w:rPr>
              <w:t>10</w:t>
            </w:r>
          </w:p>
        </w:tc>
        <w:tc>
          <w:tcPr>
            <w:tcW w:w="992" w:type="dxa"/>
            <w:vAlign w:val="center"/>
          </w:tcPr>
          <w:p w14:paraId="2C0AF723">
            <w:pPr>
              <w:jc w:val="center"/>
              <w:rPr>
                <w:color w:val="000000"/>
                <w:sz w:val="20"/>
                <w:szCs w:val="20"/>
              </w:rPr>
            </w:pPr>
          </w:p>
        </w:tc>
      </w:tr>
      <w:tr w14:paraId="698C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60242D9">
            <w:pPr>
              <w:jc w:val="center"/>
              <w:rPr>
                <w:color w:val="000000"/>
                <w:sz w:val="20"/>
                <w:szCs w:val="20"/>
              </w:rPr>
            </w:pPr>
          </w:p>
        </w:tc>
        <w:tc>
          <w:tcPr>
            <w:tcW w:w="2409" w:type="dxa"/>
            <w:vAlign w:val="center"/>
          </w:tcPr>
          <w:p w14:paraId="6FCB378D">
            <w:pPr>
              <w:rPr>
                <w:color w:val="000000"/>
                <w:sz w:val="20"/>
                <w:szCs w:val="20"/>
              </w:rPr>
            </w:pPr>
            <w:r>
              <w:rPr>
                <w:color w:val="000000"/>
                <w:sz w:val="20"/>
                <w:szCs w:val="20"/>
              </w:rPr>
              <w:t>Đất nhà ở liền kề kết hợp kinh doanh 27</w:t>
            </w:r>
          </w:p>
        </w:tc>
        <w:tc>
          <w:tcPr>
            <w:tcW w:w="1033" w:type="dxa"/>
            <w:vAlign w:val="center"/>
          </w:tcPr>
          <w:p w14:paraId="621F0951">
            <w:pPr>
              <w:jc w:val="center"/>
              <w:rPr>
                <w:color w:val="000000"/>
                <w:sz w:val="20"/>
                <w:szCs w:val="20"/>
              </w:rPr>
            </w:pPr>
            <w:r>
              <w:rPr>
                <w:color w:val="000000"/>
                <w:sz w:val="20"/>
                <w:szCs w:val="20"/>
              </w:rPr>
              <w:t>LK27</w:t>
            </w:r>
          </w:p>
        </w:tc>
        <w:tc>
          <w:tcPr>
            <w:tcW w:w="1459" w:type="dxa"/>
            <w:vAlign w:val="center"/>
          </w:tcPr>
          <w:p w14:paraId="5BB5543F">
            <w:pPr>
              <w:jc w:val="center"/>
              <w:rPr>
                <w:color w:val="000000"/>
                <w:sz w:val="20"/>
                <w:szCs w:val="20"/>
              </w:rPr>
            </w:pPr>
            <w:r>
              <w:rPr>
                <w:color w:val="000000"/>
                <w:sz w:val="20"/>
                <w:szCs w:val="20"/>
              </w:rPr>
              <w:t>946,50</w:t>
            </w:r>
          </w:p>
        </w:tc>
        <w:tc>
          <w:tcPr>
            <w:tcW w:w="1273" w:type="dxa"/>
            <w:vAlign w:val="center"/>
          </w:tcPr>
          <w:p w14:paraId="566DDD56">
            <w:pPr>
              <w:jc w:val="center"/>
              <w:rPr>
                <w:color w:val="000000"/>
                <w:sz w:val="20"/>
                <w:szCs w:val="20"/>
              </w:rPr>
            </w:pPr>
            <w:r>
              <w:rPr>
                <w:color w:val="000000"/>
                <w:sz w:val="20"/>
                <w:szCs w:val="20"/>
              </w:rPr>
              <w:t>0,48%</w:t>
            </w:r>
          </w:p>
        </w:tc>
        <w:tc>
          <w:tcPr>
            <w:tcW w:w="2047" w:type="dxa"/>
            <w:vAlign w:val="center"/>
          </w:tcPr>
          <w:p w14:paraId="4FD10E06">
            <w:pPr>
              <w:jc w:val="center"/>
              <w:rPr>
                <w:color w:val="000000"/>
                <w:sz w:val="20"/>
                <w:szCs w:val="20"/>
              </w:rPr>
            </w:pPr>
            <w:r>
              <w:rPr>
                <w:color w:val="000000"/>
                <w:sz w:val="20"/>
                <w:szCs w:val="20"/>
              </w:rPr>
              <w:t>817,1</w:t>
            </w:r>
          </w:p>
        </w:tc>
        <w:tc>
          <w:tcPr>
            <w:tcW w:w="1276" w:type="dxa"/>
            <w:vAlign w:val="center"/>
          </w:tcPr>
          <w:p w14:paraId="2213D798">
            <w:pPr>
              <w:jc w:val="center"/>
              <w:rPr>
                <w:color w:val="000000"/>
                <w:sz w:val="20"/>
                <w:szCs w:val="20"/>
              </w:rPr>
            </w:pPr>
            <w:r>
              <w:rPr>
                <w:color w:val="000000"/>
                <w:sz w:val="20"/>
                <w:szCs w:val="20"/>
              </w:rPr>
              <w:t>4.085,50</w:t>
            </w:r>
          </w:p>
        </w:tc>
        <w:tc>
          <w:tcPr>
            <w:tcW w:w="992" w:type="dxa"/>
            <w:vAlign w:val="center"/>
          </w:tcPr>
          <w:p w14:paraId="6E42ACC5">
            <w:pPr>
              <w:jc w:val="center"/>
              <w:rPr>
                <w:color w:val="000000"/>
                <w:sz w:val="20"/>
                <w:szCs w:val="20"/>
              </w:rPr>
            </w:pPr>
            <w:r>
              <w:rPr>
                <w:color w:val="000000"/>
                <w:sz w:val="20"/>
                <w:szCs w:val="20"/>
              </w:rPr>
              <w:t>88</w:t>
            </w:r>
          </w:p>
        </w:tc>
        <w:tc>
          <w:tcPr>
            <w:tcW w:w="992" w:type="dxa"/>
            <w:vAlign w:val="center"/>
          </w:tcPr>
          <w:p w14:paraId="0EEAF782">
            <w:pPr>
              <w:jc w:val="center"/>
              <w:rPr>
                <w:color w:val="000000"/>
                <w:sz w:val="20"/>
                <w:szCs w:val="20"/>
              </w:rPr>
            </w:pPr>
            <w:r>
              <w:rPr>
                <w:color w:val="000000"/>
                <w:sz w:val="20"/>
                <w:szCs w:val="20"/>
              </w:rPr>
              <w:t>5</w:t>
            </w:r>
          </w:p>
        </w:tc>
        <w:tc>
          <w:tcPr>
            <w:tcW w:w="1134" w:type="dxa"/>
            <w:vAlign w:val="center"/>
          </w:tcPr>
          <w:p w14:paraId="6725E61B">
            <w:pPr>
              <w:jc w:val="center"/>
              <w:rPr>
                <w:color w:val="000000"/>
                <w:sz w:val="20"/>
                <w:szCs w:val="20"/>
              </w:rPr>
            </w:pPr>
            <w:r>
              <w:rPr>
                <w:color w:val="000000"/>
                <w:sz w:val="20"/>
                <w:szCs w:val="20"/>
              </w:rPr>
              <w:t>4,4</w:t>
            </w:r>
          </w:p>
        </w:tc>
        <w:tc>
          <w:tcPr>
            <w:tcW w:w="993" w:type="dxa"/>
            <w:vAlign w:val="center"/>
          </w:tcPr>
          <w:p w14:paraId="33F97645">
            <w:pPr>
              <w:jc w:val="center"/>
              <w:rPr>
                <w:color w:val="000000"/>
                <w:sz w:val="20"/>
                <w:szCs w:val="20"/>
              </w:rPr>
            </w:pPr>
            <w:r>
              <w:rPr>
                <w:color w:val="000000"/>
                <w:sz w:val="20"/>
                <w:szCs w:val="20"/>
              </w:rPr>
              <w:t>10</w:t>
            </w:r>
          </w:p>
        </w:tc>
        <w:tc>
          <w:tcPr>
            <w:tcW w:w="992" w:type="dxa"/>
            <w:vAlign w:val="center"/>
          </w:tcPr>
          <w:p w14:paraId="043B1474">
            <w:pPr>
              <w:jc w:val="center"/>
              <w:rPr>
                <w:b/>
                <w:bCs/>
                <w:color w:val="000000"/>
                <w:sz w:val="20"/>
                <w:szCs w:val="20"/>
              </w:rPr>
            </w:pPr>
          </w:p>
        </w:tc>
      </w:tr>
      <w:tr w14:paraId="2E80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9A724F0">
            <w:pPr>
              <w:jc w:val="center"/>
              <w:rPr>
                <w:color w:val="000000"/>
                <w:sz w:val="20"/>
                <w:szCs w:val="20"/>
              </w:rPr>
            </w:pPr>
          </w:p>
        </w:tc>
        <w:tc>
          <w:tcPr>
            <w:tcW w:w="2409" w:type="dxa"/>
            <w:vAlign w:val="center"/>
          </w:tcPr>
          <w:p w14:paraId="2C40F523">
            <w:pPr>
              <w:rPr>
                <w:color w:val="000000"/>
                <w:sz w:val="20"/>
                <w:szCs w:val="20"/>
              </w:rPr>
            </w:pPr>
            <w:r>
              <w:rPr>
                <w:color w:val="000000"/>
                <w:sz w:val="20"/>
                <w:szCs w:val="20"/>
              </w:rPr>
              <w:t>Đất nhà ở liền kề kết hợp kinh doanh 28</w:t>
            </w:r>
          </w:p>
        </w:tc>
        <w:tc>
          <w:tcPr>
            <w:tcW w:w="1033" w:type="dxa"/>
            <w:vAlign w:val="center"/>
          </w:tcPr>
          <w:p w14:paraId="53091369">
            <w:pPr>
              <w:jc w:val="center"/>
              <w:rPr>
                <w:color w:val="000000"/>
                <w:sz w:val="20"/>
                <w:szCs w:val="20"/>
              </w:rPr>
            </w:pPr>
            <w:r>
              <w:rPr>
                <w:color w:val="000000"/>
                <w:sz w:val="20"/>
                <w:szCs w:val="20"/>
              </w:rPr>
              <w:t>LK28</w:t>
            </w:r>
          </w:p>
        </w:tc>
        <w:tc>
          <w:tcPr>
            <w:tcW w:w="1459" w:type="dxa"/>
            <w:vAlign w:val="center"/>
          </w:tcPr>
          <w:p w14:paraId="1E3A78DD">
            <w:pPr>
              <w:jc w:val="center"/>
              <w:rPr>
                <w:color w:val="000000"/>
                <w:sz w:val="20"/>
                <w:szCs w:val="20"/>
              </w:rPr>
            </w:pPr>
            <w:r>
              <w:rPr>
                <w:color w:val="000000"/>
                <w:sz w:val="20"/>
                <w:szCs w:val="20"/>
              </w:rPr>
              <w:t>946,50</w:t>
            </w:r>
          </w:p>
        </w:tc>
        <w:tc>
          <w:tcPr>
            <w:tcW w:w="1273" w:type="dxa"/>
            <w:vAlign w:val="center"/>
          </w:tcPr>
          <w:p w14:paraId="443B8855">
            <w:pPr>
              <w:jc w:val="center"/>
              <w:rPr>
                <w:color w:val="000000"/>
                <w:sz w:val="20"/>
                <w:szCs w:val="20"/>
              </w:rPr>
            </w:pPr>
            <w:r>
              <w:rPr>
                <w:color w:val="000000"/>
                <w:sz w:val="20"/>
                <w:szCs w:val="20"/>
              </w:rPr>
              <w:t>0,48%</w:t>
            </w:r>
          </w:p>
        </w:tc>
        <w:tc>
          <w:tcPr>
            <w:tcW w:w="2047" w:type="dxa"/>
            <w:vAlign w:val="center"/>
          </w:tcPr>
          <w:p w14:paraId="3AE9FABF">
            <w:pPr>
              <w:jc w:val="center"/>
              <w:rPr>
                <w:color w:val="000000"/>
                <w:sz w:val="20"/>
                <w:szCs w:val="20"/>
              </w:rPr>
            </w:pPr>
            <w:r>
              <w:rPr>
                <w:color w:val="000000"/>
                <w:sz w:val="20"/>
                <w:szCs w:val="20"/>
              </w:rPr>
              <w:t>817,1</w:t>
            </w:r>
          </w:p>
        </w:tc>
        <w:tc>
          <w:tcPr>
            <w:tcW w:w="1276" w:type="dxa"/>
            <w:vAlign w:val="center"/>
          </w:tcPr>
          <w:p w14:paraId="3D45515F">
            <w:pPr>
              <w:jc w:val="center"/>
              <w:rPr>
                <w:color w:val="000000"/>
                <w:sz w:val="20"/>
                <w:szCs w:val="20"/>
              </w:rPr>
            </w:pPr>
            <w:r>
              <w:rPr>
                <w:color w:val="000000"/>
                <w:sz w:val="20"/>
                <w:szCs w:val="20"/>
              </w:rPr>
              <w:t>4.085,50</w:t>
            </w:r>
          </w:p>
        </w:tc>
        <w:tc>
          <w:tcPr>
            <w:tcW w:w="992" w:type="dxa"/>
            <w:vAlign w:val="center"/>
          </w:tcPr>
          <w:p w14:paraId="274F7724">
            <w:pPr>
              <w:jc w:val="center"/>
              <w:rPr>
                <w:color w:val="000000"/>
                <w:sz w:val="20"/>
                <w:szCs w:val="20"/>
              </w:rPr>
            </w:pPr>
            <w:r>
              <w:rPr>
                <w:color w:val="000000"/>
                <w:sz w:val="20"/>
                <w:szCs w:val="20"/>
              </w:rPr>
              <w:t>88</w:t>
            </w:r>
          </w:p>
        </w:tc>
        <w:tc>
          <w:tcPr>
            <w:tcW w:w="992" w:type="dxa"/>
            <w:vAlign w:val="center"/>
          </w:tcPr>
          <w:p w14:paraId="2E9A5A73">
            <w:pPr>
              <w:jc w:val="center"/>
              <w:rPr>
                <w:color w:val="000000"/>
                <w:sz w:val="20"/>
                <w:szCs w:val="20"/>
              </w:rPr>
            </w:pPr>
            <w:r>
              <w:rPr>
                <w:color w:val="000000"/>
                <w:sz w:val="20"/>
                <w:szCs w:val="20"/>
              </w:rPr>
              <w:t>5</w:t>
            </w:r>
          </w:p>
        </w:tc>
        <w:tc>
          <w:tcPr>
            <w:tcW w:w="1134" w:type="dxa"/>
            <w:vAlign w:val="center"/>
          </w:tcPr>
          <w:p w14:paraId="728CB45B">
            <w:pPr>
              <w:jc w:val="center"/>
              <w:rPr>
                <w:color w:val="000000"/>
                <w:sz w:val="20"/>
                <w:szCs w:val="20"/>
              </w:rPr>
            </w:pPr>
            <w:r>
              <w:rPr>
                <w:color w:val="000000"/>
                <w:sz w:val="20"/>
                <w:szCs w:val="20"/>
              </w:rPr>
              <w:t>4,4</w:t>
            </w:r>
          </w:p>
        </w:tc>
        <w:tc>
          <w:tcPr>
            <w:tcW w:w="993" w:type="dxa"/>
            <w:vAlign w:val="center"/>
          </w:tcPr>
          <w:p w14:paraId="1AF00B4F">
            <w:pPr>
              <w:jc w:val="center"/>
              <w:rPr>
                <w:color w:val="000000"/>
                <w:sz w:val="20"/>
                <w:szCs w:val="20"/>
              </w:rPr>
            </w:pPr>
            <w:r>
              <w:rPr>
                <w:color w:val="000000"/>
                <w:sz w:val="20"/>
                <w:szCs w:val="20"/>
              </w:rPr>
              <w:t>10</w:t>
            </w:r>
          </w:p>
        </w:tc>
        <w:tc>
          <w:tcPr>
            <w:tcW w:w="992" w:type="dxa"/>
            <w:vAlign w:val="center"/>
          </w:tcPr>
          <w:p w14:paraId="05EEA01B">
            <w:pPr>
              <w:jc w:val="center"/>
              <w:rPr>
                <w:b/>
                <w:bCs/>
                <w:color w:val="000000"/>
                <w:sz w:val="20"/>
                <w:szCs w:val="20"/>
              </w:rPr>
            </w:pPr>
          </w:p>
        </w:tc>
      </w:tr>
      <w:tr w14:paraId="5AC7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23220CC0">
            <w:pPr>
              <w:jc w:val="center"/>
              <w:rPr>
                <w:color w:val="000000"/>
                <w:sz w:val="20"/>
                <w:szCs w:val="20"/>
              </w:rPr>
            </w:pPr>
          </w:p>
        </w:tc>
        <w:tc>
          <w:tcPr>
            <w:tcW w:w="2409" w:type="dxa"/>
            <w:vAlign w:val="center"/>
          </w:tcPr>
          <w:p w14:paraId="6C4FEF86">
            <w:pPr>
              <w:rPr>
                <w:color w:val="000000"/>
                <w:sz w:val="20"/>
                <w:szCs w:val="20"/>
              </w:rPr>
            </w:pPr>
            <w:r>
              <w:rPr>
                <w:color w:val="000000"/>
                <w:sz w:val="20"/>
                <w:szCs w:val="20"/>
              </w:rPr>
              <w:t>Đất nhà ở liền kề kết hợp kinh doanh 29</w:t>
            </w:r>
          </w:p>
        </w:tc>
        <w:tc>
          <w:tcPr>
            <w:tcW w:w="1033" w:type="dxa"/>
            <w:vAlign w:val="center"/>
          </w:tcPr>
          <w:p w14:paraId="51A4D659">
            <w:pPr>
              <w:jc w:val="center"/>
              <w:rPr>
                <w:color w:val="000000"/>
                <w:sz w:val="20"/>
                <w:szCs w:val="20"/>
              </w:rPr>
            </w:pPr>
            <w:r>
              <w:rPr>
                <w:color w:val="000000"/>
                <w:sz w:val="20"/>
                <w:szCs w:val="20"/>
              </w:rPr>
              <w:t>LK29</w:t>
            </w:r>
          </w:p>
        </w:tc>
        <w:tc>
          <w:tcPr>
            <w:tcW w:w="1459" w:type="dxa"/>
            <w:vAlign w:val="center"/>
          </w:tcPr>
          <w:p w14:paraId="3BBFF91C">
            <w:pPr>
              <w:jc w:val="center"/>
              <w:rPr>
                <w:color w:val="000000"/>
                <w:sz w:val="20"/>
                <w:szCs w:val="20"/>
              </w:rPr>
            </w:pPr>
            <w:r>
              <w:rPr>
                <w:color w:val="000000"/>
                <w:sz w:val="20"/>
                <w:szCs w:val="20"/>
              </w:rPr>
              <w:t>946,50</w:t>
            </w:r>
          </w:p>
        </w:tc>
        <w:tc>
          <w:tcPr>
            <w:tcW w:w="1273" w:type="dxa"/>
            <w:vAlign w:val="center"/>
          </w:tcPr>
          <w:p w14:paraId="4EC48CC6">
            <w:pPr>
              <w:jc w:val="center"/>
              <w:rPr>
                <w:color w:val="000000"/>
                <w:sz w:val="20"/>
                <w:szCs w:val="20"/>
              </w:rPr>
            </w:pPr>
            <w:r>
              <w:rPr>
                <w:color w:val="000000"/>
                <w:sz w:val="20"/>
                <w:szCs w:val="20"/>
              </w:rPr>
              <w:t>0,48%</w:t>
            </w:r>
          </w:p>
        </w:tc>
        <w:tc>
          <w:tcPr>
            <w:tcW w:w="2047" w:type="dxa"/>
            <w:vAlign w:val="center"/>
          </w:tcPr>
          <w:p w14:paraId="65596D75">
            <w:pPr>
              <w:jc w:val="center"/>
              <w:rPr>
                <w:color w:val="000000"/>
                <w:sz w:val="20"/>
                <w:szCs w:val="20"/>
              </w:rPr>
            </w:pPr>
            <w:r>
              <w:rPr>
                <w:color w:val="000000"/>
                <w:sz w:val="20"/>
                <w:szCs w:val="20"/>
              </w:rPr>
              <w:t>817,1</w:t>
            </w:r>
          </w:p>
        </w:tc>
        <w:tc>
          <w:tcPr>
            <w:tcW w:w="1276" w:type="dxa"/>
            <w:vAlign w:val="center"/>
          </w:tcPr>
          <w:p w14:paraId="32C90011">
            <w:pPr>
              <w:jc w:val="center"/>
              <w:rPr>
                <w:color w:val="000000"/>
                <w:sz w:val="20"/>
                <w:szCs w:val="20"/>
              </w:rPr>
            </w:pPr>
            <w:r>
              <w:rPr>
                <w:color w:val="000000"/>
                <w:sz w:val="20"/>
                <w:szCs w:val="20"/>
              </w:rPr>
              <w:t>4.085,50</w:t>
            </w:r>
          </w:p>
        </w:tc>
        <w:tc>
          <w:tcPr>
            <w:tcW w:w="992" w:type="dxa"/>
            <w:vAlign w:val="center"/>
          </w:tcPr>
          <w:p w14:paraId="6414487E">
            <w:pPr>
              <w:jc w:val="center"/>
              <w:rPr>
                <w:color w:val="000000"/>
                <w:sz w:val="20"/>
                <w:szCs w:val="20"/>
              </w:rPr>
            </w:pPr>
            <w:r>
              <w:rPr>
                <w:color w:val="000000"/>
                <w:sz w:val="20"/>
                <w:szCs w:val="20"/>
              </w:rPr>
              <w:t>88</w:t>
            </w:r>
          </w:p>
        </w:tc>
        <w:tc>
          <w:tcPr>
            <w:tcW w:w="992" w:type="dxa"/>
            <w:vAlign w:val="center"/>
          </w:tcPr>
          <w:p w14:paraId="792DEC14">
            <w:pPr>
              <w:jc w:val="center"/>
              <w:rPr>
                <w:color w:val="000000"/>
                <w:sz w:val="20"/>
                <w:szCs w:val="20"/>
              </w:rPr>
            </w:pPr>
            <w:r>
              <w:rPr>
                <w:color w:val="000000"/>
                <w:sz w:val="20"/>
                <w:szCs w:val="20"/>
              </w:rPr>
              <w:t>5</w:t>
            </w:r>
          </w:p>
        </w:tc>
        <w:tc>
          <w:tcPr>
            <w:tcW w:w="1134" w:type="dxa"/>
            <w:vAlign w:val="center"/>
          </w:tcPr>
          <w:p w14:paraId="71C6A117">
            <w:pPr>
              <w:jc w:val="center"/>
              <w:rPr>
                <w:color w:val="000000"/>
                <w:sz w:val="20"/>
                <w:szCs w:val="20"/>
              </w:rPr>
            </w:pPr>
            <w:r>
              <w:rPr>
                <w:color w:val="000000"/>
                <w:sz w:val="20"/>
                <w:szCs w:val="20"/>
              </w:rPr>
              <w:t>4,4</w:t>
            </w:r>
          </w:p>
        </w:tc>
        <w:tc>
          <w:tcPr>
            <w:tcW w:w="993" w:type="dxa"/>
            <w:vAlign w:val="center"/>
          </w:tcPr>
          <w:p w14:paraId="6C1EE9DC">
            <w:pPr>
              <w:jc w:val="center"/>
              <w:rPr>
                <w:color w:val="000000"/>
                <w:sz w:val="20"/>
                <w:szCs w:val="20"/>
              </w:rPr>
            </w:pPr>
            <w:r>
              <w:rPr>
                <w:color w:val="000000"/>
                <w:sz w:val="20"/>
                <w:szCs w:val="20"/>
              </w:rPr>
              <w:t>10</w:t>
            </w:r>
          </w:p>
        </w:tc>
        <w:tc>
          <w:tcPr>
            <w:tcW w:w="992" w:type="dxa"/>
            <w:vAlign w:val="center"/>
          </w:tcPr>
          <w:p w14:paraId="78FE9C86">
            <w:pPr>
              <w:jc w:val="center"/>
              <w:rPr>
                <w:color w:val="000000"/>
                <w:sz w:val="20"/>
                <w:szCs w:val="20"/>
              </w:rPr>
            </w:pPr>
          </w:p>
        </w:tc>
      </w:tr>
      <w:tr w14:paraId="0CD5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86E1BD2">
            <w:pPr>
              <w:jc w:val="center"/>
              <w:rPr>
                <w:color w:val="000000"/>
                <w:sz w:val="20"/>
                <w:szCs w:val="20"/>
              </w:rPr>
            </w:pPr>
          </w:p>
        </w:tc>
        <w:tc>
          <w:tcPr>
            <w:tcW w:w="2409" w:type="dxa"/>
            <w:vAlign w:val="center"/>
          </w:tcPr>
          <w:p w14:paraId="732E155D">
            <w:pPr>
              <w:rPr>
                <w:color w:val="000000"/>
                <w:sz w:val="20"/>
                <w:szCs w:val="20"/>
              </w:rPr>
            </w:pPr>
            <w:r>
              <w:rPr>
                <w:color w:val="000000"/>
                <w:sz w:val="20"/>
                <w:szCs w:val="20"/>
              </w:rPr>
              <w:t>Đất nhà ở liền kề kết hợp kinh doanh 30</w:t>
            </w:r>
          </w:p>
        </w:tc>
        <w:tc>
          <w:tcPr>
            <w:tcW w:w="1033" w:type="dxa"/>
            <w:vAlign w:val="center"/>
          </w:tcPr>
          <w:p w14:paraId="49F674F7">
            <w:pPr>
              <w:jc w:val="center"/>
              <w:rPr>
                <w:color w:val="000000"/>
                <w:sz w:val="20"/>
                <w:szCs w:val="20"/>
              </w:rPr>
            </w:pPr>
            <w:r>
              <w:rPr>
                <w:color w:val="000000"/>
                <w:sz w:val="20"/>
                <w:szCs w:val="20"/>
              </w:rPr>
              <w:t>LK30</w:t>
            </w:r>
          </w:p>
        </w:tc>
        <w:tc>
          <w:tcPr>
            <w:tcW w:w="1459" w:type="dxa"/>
            <w:vAlign w:val="center"/>
          </w:tcPr>
          <w:p w14:paraId="0EF1FC07">
            <w:pPr>
              <w:jc w:val="center"/>
              <w:rPr>
                <w:color w:val="000000"/>
                <w:sz w:val="20"/>
                <w:szCs w:val="20"/>
              </w:rPr>
            </w:pPr>
            <w:r>
              <w:rPr>
                <w:color w:val="000000"/>
                <w:sz w:val="20"/>
                <w:szCs w:val="20"/>
              </w:rPr>
              <w:t>946,50</w:t>
            </w:r>
          </w:p>
        </w:tc>
        <w:tc>
          <w:tcPr>
            <w:tcW w:w="1273" w:type="dxa"/>
            <w:vAlign w:val="center"/>
          </w:tcPr>
          <w:p w14:paraId="745E5947">
            <w:pPr>
              <w:jc w:val="center"/>
              <w:rPr>
                <w:color w:val="000000"/>
                <w:sz w:val="20"/>
                <w:szCs w:val="20"/>
              </w:rPr>
            </w:pPr>
            <w:r>
              <w:rPr>
                <w:color w:val="000000"/>
                <w:sz w:val="20"/>
                <w:szCs w:val="20"/>
              </w:rPr>
              <w:t>0,48%</w:t>
            </w:r>
          </w:p>
        </w:tc>
        <w:tc>
          <w:tcPr>
            <w:tcW w:w="2047" w:type="dxa"/>
            <w:vAlign w:val="center"/>
          </w:tcPr>
          <w:p w14:paraId="6293F699">
            <w:pPr>
              <w:jc w:val="center"/>
              <w:rPr>
                <w:color w:val="000000"/>
                <w:sz w:val="20"/>
                <w:szCs w:val="20"/>
              </w:rPr>
            </w:pPr>
            <w:r>
              <w:rPr>
                <w:color w:val="000000"/>
                <w:sz w:val="20"/>
                <w:szCs w:val="20"/>
              </w:rPr>
              <w:t>817,1</w:t>
            </w:r>
          </w:p>
        </w:tc>
        <w:tc>
          <w:tcPr>
            <w:tcW w:w="1276" w:type="dxa"/>
            <w:vAlign w:val="center"/>
          </w:tcPr>
          <w:p w14:paraId="61682485">
            <w:pPr>
              <w:jc w:val="center"/>
              <w:rPr>
                <w:color w:val="000000"/>
                <w:sz w:val="20"/>
                <w:szCs w:val="20"/>
              </w:rPr>
            </w:pPr>
            <w:r>
              <w:rPr>
                <w:color w:val="000000"/>
                <w:sz w:val="20"/>
                <w:szCs w:val="20"/>
              </w:rPr>
              <w:t>4.085,50</w:t>
            </w:r>
          </w:p>
        </w:tc>
        <w:tc>
          <w:tcPr>
            <w:tcW w:w="992" w:type="dxa"/>
            <w:vAlign w:val="center"/>
          </w:tcPr>
          <w:p w14:paraId="734DF375">
            <w:pPr>
              <w:jc w:val="center"/>
              <w:rPr>
                <w:color w:val="000000"/>
                <w:sz w:val="20"/>
                <w:szCs w:val="20"/>
              </w:rPr>
            </w:pPr>
            <w:r>
              <w:rPr>
                <w:color w:val="000000"/>
                <w:sz w:val="20"/>
                <w:szCs w:val="20"/>
              </w:rPr>
              <w:t>88</w:t>
            </w:r>
          </w:p>
        </w:tc>
        <w:tc>
          <w:tcPr>
            <w:tcW w:w="992" w:type="dxa"/>
            <w:vAlign w:val="center"/>
          </w:tcPr>
          <w:p w14:paraId="1081B3FC">
            <w:pPr>
              <w:jc w:val="center"/>
              <w:rPr>
                <w:color w:val="000000"/>
                <w:sz w:val="20"/>
                <w:szCs w:val="20"/>
              </w:rPr>
            </w:pPr>
            <w:r>
              <w:rPr>
                <w:color w:val="000000"/>
                <w:sz w:val="20"/>
                <w:szCs w:val="20"/>
              </w:rPr>
              <w:t>5</w:t>
            </w:r>
          </w:p>
        </w:tc>
        <w:tc>
          <w:tcPr>
            <w:tcW w:w="1134" w:type="dxa"/>
            <w:vAlign w:val="center"/>
          </w:tcPr>
          <w:p w14:paraId="5AE2945A">
            <w:pPr>
              <w:jc w:val="center"/>
              <w:rPr>
                <w:color w:val="000000"/>
                <w:sz w:val="20"/>
                <w:szCs w:val="20"/>
              </w:rPr>
            </w:pPr>
            <w:r>
              <w:rPr>
                <w:color w:val="000000"/>
                <w:sz w:val="20"/>
                <w:szCs w:val="20"/>
              </w:rPr>
              <w:t>4,4</w:t>
            </w:r>
          </w:p>
        </w:tc>
        <w:tc>
          <w:tcPr>
            <w:tcW w:w="993" w:type="dxa"/>
            <w:vAlign w:val="center"/>
          </w:tcPr>
          <w:p w14:paraId="41621750">
            <w:pPr>
              <w:jc w:val="center"/>
              <w:rPr>
                <w:color w:val="000000"/>
                <w:sz w:val="20"/>
                <w:szCs w:val="20"/>
              </w:rPr>
            </w:pPr>
            <w:r>
              <w:rPr>
                <w:color w:val="000000"/>
                <w:sz w:val="20"/>
                <w:szCs w:val="20"/>
              </w:rPr>
              <w:t>10</w:t>
            </w:r>
          </w:p>
        </w:tc>
        <w:tc>
          <w:tcPr>
            <w:tcW w:w="992" w:type="dxa"/>
            <w:vAlign w:val="center"/>
          </w:tcPr>
          <w:p w14:paraId="6B253100">
            <w:pPr>
              <w:jc w:val="center"/>
              <w:rPr>
                <w:color w:val="000000"/>
                <w:sz w:val="20"/>
                <w:szCs w:val="20"/>
              </w:rPr>
            </w:pPr>
          </w:p>
        </w:tc>
      </w:tr>
      <w:tr w14:paraId="6E33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EEC4FB4">
            <w:pPr>
              <w:jc w:val="center"/>
              <w:rPr>
                <w:color w:val="000000"/>
                <w:sz w:val="20"/>
                <w:szCs w:val="20"/>
              </w:rPr>
            </w:pPr>
          </w:p>
        </w:tc>
        <w:tc>
          <w:tcPr>
            <w:tcW w:w="2409" w:type="dxa"/>
            <w:vAlign w:val="center"/>
          </w:tcPr>
          <w:p w14:paraId="4ABAAA6B">
            <w:pPr>
              <w:rPr>
                <w:color w:val="000000"/>
                <w:sz w:val="20"/>
                <w:szCs w:val="20"/>
              </w:rPr>
            </w:pPr>
            <w:r>
              <w:rPr>
                <w:color w:val="000000"/>
                <w:sz w:val="20"/>
                <w:szCs w:val="20"/>
              </w:rPr>
              <w:t>Đất nhà ở liền kề kết hợp kinh doanh 31</w:t>
            </w:r>
          </w:p>
        </w:tc>
        <w:tc>
          <w:tcPr>
            <w:tcW w:w="1033" w:type="dxa"/>
            <w:vAlign w:val="center"/>
          </w:tcPr>
          <w:p w14:paraId="7628B8CA">
            <w:pPr>
              <w:jc w:val="center"/>
              <w:rPr>
                <w:color w:val="000000"/>
                <w:sz w:val="20"/>
                <w:szCs w:val="20"/>
              </w:rPr>
            </w:pPr>
            <w:r>
              <w:rPr>
                <w:color w:val="000000"/>
                <w:sz w:val="20"/>
                <w:szCs w:val="20"/>
              </w:rPr>
              <w:t>LK31</w:t>
            </w:r>
          </w:p>
        </w:tc>
        <w:tc>
          <w:tcPr>
            <w:tcW w:w="1459" w:type="dxa"/>
            <w:vAlign w:val="center"/>
          </w:tcPr>
          <w:p w14:paraId="13460922">
            <w:pPr>
              <w:jc w:val="center"/>
              <w:rPr>
                <w:color w:val="000000"/>
                <w:sz w:val="20"/>
                <w:szCs w:val="20"/>
              </w:rPr>
            </w:pPr>
            <w:r>
              <w:rPr>
                <w:color w:val="000000"/>
                <w:sz w:val="20"/>
                <w:szCs w:val="20"/>
              </w:rPr>
              <w:t>946,50</w:t>
            </w:r>
          </w:p>
        </w:tc>
        <w:tc>
          <w:tcPr>
            <w:tcW w:w="1273" w:type="dxa"/>
            <w:vAlign w:val="center"/>
          </w:tcPr>
          <w:p w14:paraId="00D918A0">
            <w:pPr>
              <w:jc w:val="center"/>
              <w:rPr>
                <w:color w:val="000000"/>
                <w:sz w:val="20"/>
                <w:szCs w:val="20"/>
              </w:rPr>
            </w:pPr>
            <w:r>
              <w:rPr>
                <w:color w:val="000000"/>
                <w:sz w:val="20"/>
                <w:szCs w:val="20"/>
              </w:rPr>
              <w:t>0,48%</w:t>
            </w:r>
          </w:p>
        </w:tc>
        <w:tc>
          <w:tcPr>
            <w:tcW w:w="2047" w:type="dxa"/>
            <w:vAlign w:val="center"/>
          </w:tcPr>
          <w:p w14:paraId="2392593D">
            <w:pPr>
              <w:jc w:val="center"/>
              <w:rPr>
                <w:color w:val="000000"/>
                <w:sz w:val="20"/>
                <w:szCs w:val="20"/>
              </w:rPr>
            </w:pPr>
            <w:r>
              <w:rPr>
                <w:color w:val="000000"/>
                <w:sz w:val="20"/>
                <w:szCs w:val="20"/>
              </w:rPr>
              <w:t>817,1</w:t>
            </w:r>
          </w:p>
        </w:tc>
        <w:tc>
          <w:tcPr>
            <w:tcW w:w="1276" w:type="dxa"/>
            <w:vAlign w:val="center"/>
          </w:tcPr>
          <w:p w14:paraId="40764BF5">
            <w:pPr>
              <w:jc w:val="center"/>
              <w:rPr>
                <w:color w:val="000000"/>
                <w:sz w:val="20"/>
                <w:szCs w:val="20"/>
              </w:rPr>
            </w:pPr>
            <w:r>
              <w:rPr>
                <w:color w:val="000000"/>
                <w:sz w:val="20"/>
                <w:szCs w:val="20"/>
              </w:rPr>
              <w:t>4.085,50</w:t>
            </w:r>
          </w:p>
        </w:tc>
        <w:tc>
          <w:tcPr>
            <w:tcW w:w="992" w:type="dxa"/>
            <w:vAlign w:val="center"/>
          </w:tcPr>
          <w:p w14:paraId="154CD055">
            <w:pPr>
              <w:jc w:val="center"/>
              <w:rPr>
                <w:color w:val="000000"/>
                <w:sz w:val="20"/>
                <w:szCs w:val="20"/>
              </w:rPr>
            </w:pPr>
            <w:r>
              <w:rPr>
                <w:color w:val="000000"/>
                <w:sz w:val="20"/>
                <w:szCs w:val="20"/>
              </w:rPr>
              <w:t>88</w:t>
            </w:r>
          </w:p>
        </w:tc>
        <w:tc>
          <w:tcPr>
            <w:tcW w:w="992" w:type="dxa"/>
            <w:vAlign w:val="center"/>
          </w:tcPr>
          <w:p w14:paraId="3EE11243">
            <w:pPr>
              <w:jc w:val="center"/>
              <w:rPr>
                <w:color w:val="000000"/>
                <w:sz w:val="20"/>
                <w:szCs w:val="20"/>
              </w:rPr>
            </w:pPr>
            <w:r>
              <w:rPr>
                <w:color w:val="000000"/>
                <w:sz w:val="20"/>
                <w:szCs w:val="20"/>
              </w:rPr>
              <w:t>5</w:t>
            </w:r>
          </w:p>
        </w:tc>
        <w:tc>
          <w:tcPr>
            <w:tcW w:w="1134" w:type="dxa"/>
            <w:vAlign w:val="center"/>
          </w:tcPr>
          <w:p w14:paraId="5B8675D2">
            <w:pPr>
              <w:jc w:val="center"/>
              <w:rPr>
                <w:color w:val="000000"/>
                <w:sz w:val="20"/>
                <w:szCs w:val="20"/>
              </w:rPr>
            </w:pPr>
            <w:r>
              <w:rPr>
                <w:color w:val="000000"/>
                <w:sz w:val="20"/>
                <w:szCs w:val="20"/>
              </w:rPr>
              <w:t>4,4</w:t>
            </w:r>
          </w:p>
        </w:tc>
        <w:tc>
          <w:tcPr>
            <w:tcW w:w="993" w:type="dxa"/>
            <w:vAlign w:val="center"/>
          </w:tcPr>
          <w:p w14:paraId="5062DF31">
            <w:pPr>
              <w:jc w:val="center"/>
              <w:rPr>
                <w:color w:val="000000"/>
                <w:sz w:val="20"/>
                <w:szCs w:val="20"/>
              </w:rPr>
            </w:pPr>
            <w:r>
              <w:rPr>
                <w:color w:val="000000"/>
                <w:sz w:val="20"/>
                <w:szCs w:val="20"/>
              </w:rPr>
              <w:t>10</w:t>
            </w:r>
          </w:p>
        </w:tc>
        <w:tc>
          <w:tcPr>
            <w:tcW w:w="992" w:type="dxa"/>
            <w:vAlign w:val="center"/>
          </w:tcPr>
          <w:p w14:paraId="7C1935D6">
            <w:pPr>
              <w:jc w:val="center"/>
              <w:rPr>
                <w:color w:val="000000"/>
                <w:sz w:val="20"/>
                <w:szCs w:val="20"/>
              </w:rPr>
            </w:pPr>
          </w:p>
        </w:tc>
      </w:tr>
      <w:tr w14:paraId="3DF3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03E940A">
            <w:pPr>
              <w:jc w:val="center"/>
              <w:rPr>
                <w:color w:val="000000"/>
                <w:sz w:val="20"/>
                <w:szCs w:val="20"/>
              </w:rPr>
            </w:pPr>
          </w:p>
        </w:tc>
        <w:tc>
          <w:tcPr>
            <w:tcW w:w="2409" w:type="dxa"/>
            <w:vAlign w:val="center"/>
          </w:tcPr>
          <w:p w14:paraId="3BC225DD">
            <w:pPr>
              <w:rPr>
                <w:color w:val="000000"/>
                <w:sz w:val="20"/>
                <w:szCs w:val="20"/>
              </w:rPr>
            </w:pPr>
            <w:r>
              <w:rPr>
                <w:color w:val="000000"/>
                <w:sz w:val="20"/>
                <w:szCs w:val="20"/>
              </w:rPr>
              <w:t>Đất nhà ở liền kề kết hợp kinh doanh 32</w:t>
            </w:r>
          </w:p>
        </w:tc>
        <w:tc>
          <w:tcPr>
            <w:tcW w:w="1033" w:type="dxa"/>
            <w:vAlign w:val="center"/>
          </w:tcPr>
          <w:p w14:paraId="22336E26">
            <w:pPr>
              <w:jc w:val="center"/>
              <w:rPr>
                <w:color w:val="000000"/>
                <w:sz w:val="20"/>
                <w:szCs w:val="20"/>
              </w:rPr>
            </w:pPr>
            <w:r>
              <w:rPr>
                <w:color w:val="000000"/>
                <w:sz w:val="20"/>
                <w:szCs w:val="20"/>
              </w:rPr>
              <w:t>LK32</w:t>
            </w:r>
          </w:p>
        </w:tc>
        <w:tc>
          <w:tcPr>
            <w:tcW w:w="1459" w:type="dxa"/>
            <w:vAlign w:val="center"/>
          </w:tcPr>
          <w:p w14:paraId="2A1559A2">
            <w:pPr>
              <w:jc w:val="center"/>
              <w:rPr>
                <w:color w:val="000000"/>
                <w:sz w:val="20"/>
                <w:szCs w:val="20"/>
              </w:rPr>
            </w:pPr>
            <w:r>
              <w:rPr>
                <w:color w:val="000000"/>
                <w:sz w:val="20"/>
                <w:szCs w:val="20"/>
              </w:rPr>
              <w:t>946,50</w:t>
            </w:r>
          </w:p>
        </w:tc>
        <w:tc>
          <w:tcPr>
            <w:tcW w:w="1273" w:type="dxa"/>
            <w:vAlign w:val="center"/>
          </w:tcPr>
          <w:p w14:paraId="101C6DAD">
            <w:pPr>
              <w:jc w:val="center"/>
              <w:rPr>
                <w:color w:val="000000"/>
                <w:sz w:val="20"/>
                <w:szCs w:val="20"/>
              </w:rPr>
            </w:pPr>
            <w:r>
              <w:rPr>
                <w:color w:val="000000"/>
                <w:sz w:val="20"/>
                <w:szCs w:val="20"/>
              </w:rPr>
              <w:t>0,48%</w:t>
            </w:r>
          </w:p>
        </w:tc>
        <w:tc>
          <w:tcPr>
            <w:tcW w:w="2047" w:type="dxa"/>
            <w:vAlign w:val="center"/>
          </w:tcPr>
          <w:p w14:paraId="2DA846D0">
            <w:pPr>
              <w:jc w:val="center"/>
              <w:rPr>
                <w:color w:val="000000"/>
                <w:sz w:val="20"/>
                <w:szCs w:val="20"/>
              </w:rPr>
            </w:pPr>
            <w:r>
              <w:rPr>
                <w:color w:val="000000"/>
                <w:sz w:val="20"/>
                <w:szCs w:val="20"/>
              </w:rPr>
              <w:t>817,1</w:t>
            </w:r>
          </w:p>
        </w:tc>
        <w:tc>
          <w:tcPr>
            <w:tcW w:w="1276" w:type="dxa"/>
            <w:vAlign w:val="center"/>
          </w:tcPr>
          <w:p w14:paraId="2BB15F8C">
            <w:pPr>
              <w:jc w:val="center"/>
              <w:rPr>
                <w:color w:val="000000"/>
                <w:sz w:val="20"/>
                <w:szCs w:val="20"/>
              </w:rPr>
            </w:pPr>
            <w:r>
              <w:rPr>
                <w:color w:val="000000"/>
                <w:sz w:val="20"/>
                <w:szCs w:val="20"/>
              </w:rPr>
              <w:t>4.085,50</w:t>
            </w:r>
          </w:p>
        </w:tc>
        <w:tc>
          <w:tcPr>
            <w:tcW w:w="992" w:type="dxa"/>
            <w:vAlign w:val="center"/>
          </w:tcPr>
          <w:p w14:paraId="4EAB4A5C">
            <w:pPr>
              <w:jc w:val="center"/>
              <w:rPr>
                <w:color w:val="000000"/>
                <w:sz w:val="20"/>
                <w:szCs w:val="20"/>
              </w:rPr>
            </w:pPr>
            <w:r>
              <w:rPr>
                <w:color w:val="000000"/>
                <w:sz w:val="20"/>
                <w:szCs w:val="20"/>
              </w:rPr>
              <w:t>88</w:t>
            </w:r>
          </w:p>
        </w:tc>
        <w:tc>
          <w:tcPr>
            <w:tcW w:w="992" w:type="dxa"/>
            <w:vAlign w:val="center"/>
          </w:tcPr>
          <w:p w14:paraId="1C5096B9">
            <w:pPr>
              <w:jc w:val="center"/>
              <w:rPr>
                <w:color w:val="000000"/>
                <w:sz w:val="20"/>
                <w:szCs w:val="20"/>
              </w:rPr>
            </w:pPr>
            <w:r>
              <w:rPr>
                <w:color w:val="000000"/>
                <w:sz w:val="20"/>
                <w:szCs w:val="20"/>
              </w:rPr>
              <w:t>5</w:t>
            </w:r>
          </w:p>
        </w:tc>
        <w:tc>
          <w:tcPr>
            <w:tcW w:w="1134" w:type="dxa"/>
            <w:vAlign w:val="center"/>
          </w:tcPr>
          <w:p w14:paraId="5AB2EEE1">
            <w:pPr>
              <w:jc w:val="center"/>
              <w:rPr>
                <w:color w:val="000000"/>
                <w:sz w:val="20"/>
                <w:szCs w:val="20"/>
              </w:rPr>
            </w:pPr>
            <w:r>
              <w:rPr>
                <w:color w:val="000000"/>
                <w:sz w:val="20"/>
                <w:szCs w:val="20"/>
              </w:rPr>
              <w:t>4,4</w:t>
            </w:r>
          </w:p>
        </w:tc>
        <w:tc>
          <w:tcPr>
            <w:tcW w:w="993" w:type="dxa"/>
            <w:vAlign w:val="center"/>
          </w:tcPr>
          <w:p w14:paraId="1D830602">
            <w:pPr>
              <w:jc w:val="center"/>
              <w:rPr>
                <w:color w:val="000000"/>
                <w:sz w:val="20"/>
                <w:szCs w:val="20"/>
              </w:rPr>
            </w:pPr>
            <w:r>
              <w:rPr>
                <w:color w:val="000000"/>
                <w:sz w:val="20"/>
                <w:szCs w:val="20"/>
              </w:rPr>
              <w:t>10</w:t>
            </w:r>
          </w:p>
        </w:tc>
        <w:tc>
          <w:tcPr>
            <w:tcW w:w="992" w:type="dxa"/>
            <w:vAlign w:val="center"/>
          </w:tcPr>
          <w:p w14:paraId="468A2D27">
            <w:pPr>
              <w:jc w:val="center"/>
              <w:rPr>
                <w:color w:val="000000"/>
                <w:sz w:val="20"/>
                <w:szCs w:val="20"/>
              </w:rPr>
            </w:pPr>
          </w:p>
        </w:tc>
      </w:tr>
      <w:tr w14:paraId="5BF9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1616D3C">
            <w:pPr>
              <w:jc w:val="center"/>
              <w:rPr>
                <w:color w:val="000000"/>
                <w:sz w:val="20"/>
                <w:szCs w:val="20"/>
              </w:rPr>
            </w:pPr>
          </w:p>
        </w:tc>
        <w:tc>
          <w:tcPr>
            <w:tcW w:w="2409" w:type="dxa"/>
            <w:vAlign w:val="center"/>
          </w:tcPr>
          <w:p w14:paraId="01A85FC8">
            <w:pPr>
              <w:rPr>
                <w:color w:val="000000"/>
                <w:sz w:val="20"/>
                <w:szCs w:val="20"/>
              </w:rPr>
            </w:pPr>
            <w:r>
              <w:rPr>
                <w:color w:val="000000"/>
                <w:sz w:val="20"/>
                <w:szCs w:val="20"/>
              </w:rPr>
              <w:t>Đất nhà ở liền kề kết hợp kinh doanh 33</w:t>
            </w:r>
          </w:p>
        </w:tc>
        <w:tc>
          <w:tcPr>
            <w:tcW w:w="1033" w:type="dxa"/>
            <w:vAlign w:val="center"/>
          </w:tcPr>
          <w:p w14:paraId="336F2BFC">
            <w:pPr>
              <w:jc w:val="center"/>
              <w:rPr>
                <w:color w:val="000000"/>
                <w:sz w:val="20"/>
                <w:szCs w:val="20"/>
              </w:rPr>
            </w:pPr>
            <w:r>
              <w:rPr>
                <w:color w:val="000000"/>
                <w:sz w:val="20"/>
                <w:szCs w:val="20"/>
              </w:rPr>
              <w:t>LK33</w:t>
            </w:r>
          </w:p>
        </w:tc>
        <w:tc>
          <w:tcPr>
            <w:tcW w:w="1459" w:type="dxa"/>
            <w:vAlign w:val="center"/>
          </w:tcPr>
          <w:p w14:paraId="4AF74275">
            <w:pPr>
              <w:jc w:val="center"/>
              <w:rPr>
                <w:color w:val="000000"/>
                <w:sz w:val="20"/>
                <w:szCs w:val="20"/>
              </w:rPr>
            </w:pPr>
            <w:r>
              <w:rPr>
                <w:color w:val="000000"/>
                <w:sz w:val="20"/>
                <w:szCs w:val="20"/>
              </w:rPr>
              <w:t>946,50</w:t>
            </w:r>
          </w:p>
        </w:tc>
        <w:tc>
          <w:tcPr>
            <w:tcW w:w="1273" w:type="dxa"/>
            <w:vAlign w:val="center"/>
          </w:tcPr>
          <w:p w14:paraId="0ABD54AB">
            <w:pPr>
              <w:jc w:val="center"/>
              <w:rPr>
                <w:color w:val="000000"/>
                <w:sz w:val="20"/>
                <w:szCs w:val="20"/>
              </w:rPr>
            </w:pPr>
            <w:r>
              <w:rPr>
                <w:color w:val="000000"/>
                <w:sz w:val="20"/>
                <w:szCs w:val="20"/>
              </w:rPr>
              <w:t>0,48%</w:t>
            </w:r>
          </w:p>
        </w:tc>
        <w:tc>
          <w:tcPr>
            <w:tcW w:w="2047" w:type="dxa"/>
            <w:vAlign w:val="center"/>
          </w:tcPr>
          <w:p w14:paraId="1C65CAF0">
            <w:pPr>
              <w:jc w:val="center"/>
              <w:rPr>
                <w:color w:val="000000"/>
                <w:sz w:val="20"/>
                <w:szCs w:val="20"/>
              </w:rPr>
            </w:pPr>
            <w:r>
              <w:rPr>
                <w:color w:val="000000"/>
                <w:sz w:val="20"/>
                <w:szCs w:val="20"/>
              </w:rPr>
              <w:t>817,1</w:t>
            </w:r>
          </w:p>
        </w:tc>
        <w:tc>
          <w:tcPr>
            <w:tcW w:w="1276" w:type="dxa"/>
            <w:vAlign w:val="center"/>
          </w:tcPr>
          <w:p w14:paraId="0827101D">
            <w:pPr>
              <w:jc w:val="center"/>
              <w:rPr>
                <w:color w:val="000000"/>
                <w:sz w:val="20"/>
                <w:szCs w:val="20"/>
              </w:rPr>
            </w:pPr>
            <w:r>
              <w:rPr>
                <w:color w:val="000000"/>
                <w:sz w:val="20"/>
                <w:szCs w:val="20"/>
              </w:rPr>
              <w:t>4.085,50</w:t>
            </w:r>
          </w:p>
        </w:tc>
        <w:tc>
          <w:tcPr>
            <w:tcW w:w="992" w:type="dxa"/>
            <w:vAlign w:val="center"/>
          </w:tcPr>
          <w:p w14:paraId="5DA1E17B">
            <w:pPr>
              <w:jc w:val="center"/>
              <w:rPr>
                <w:color w:val="000000"/>
                <w:sz w:val="20"/>
                <w:szCs w:val="20"/>
              </w:rPr>
            </w:pPr>
            <w:r>
              <w:rPr>
                <w:color w:val="000000"/>
                <w:sz w:val="20"/>
                <w:szCs w:val="20"/>
              </w:rPr>
              <w:t>88</w:t>
            </w:r>
          </w:p>
        </w:tc>
        <w:tc>
          <w:tcPr>
            <w:tcW w:w="992" w:type="dxa"/>
            <w:vAlign w:val="center"/>
          </w:tcPr>
          <w:p w14:paraId="26540753">
            <w:pPr>
              <w:jc w:val="center"/>
              <w:rPr>
                <w:color w:val="000000"/>
                <w:sz w:val="20"/>
                <w:szCs w:val="20"/>
              </w:rPr>
            </w:pPr>
            <w:r>
              <w:rPr>
                <w:color w:val="000000"/>
                <w:sz w:val="20"/>
                <w:szCs w:val="20"/>
              </w:rPr>
              <w:t>5</w:t>
            </w:r>
          </w:p>
        </w:tc>
        <w:tc>
          <w:tcPr>
            <w:tcW w:w="1134" w:type="dxa"/>
            <w:vAlign w:val="center"/>
          </w:tcPr>
          <w:p w14:paraId="00A9B440">
            <w:pPr>
              <w:jc w:val="center"/>
              <w:rPr>
                <w:color w:val="000000"/>
                <w:sz w:val="20"/>
                <w:szCs w:val="20"/>
              </w:rPr>
            </w:pPr>
            <w:r>
              <w:rPr>
                <w:color w:val="000000"/>
                <w:sz w:val="20"/>
                <w:szCs w:val="20"/>
              </w:rPr>
              <w:t>4,4</w:t>
            </w:r>
          </w:p>
        </w:tc>
        <w:tc>
          <w:tcPr>
            <w:tcW w:w="993" w:type="dxa"/>
            <w:vAlign w:val="center"/>
          </w:tcPr>
          <w:p w14:paraId="0974BE77">
            <w:pPr>
              <w:jc w:val="center"/>
              <w:rPr>
                <w:color w:val="000000"/>
                <w:sz w:val="20"/>
                <w:szCs w:val="20"/>
              </w:rPr>
            </w:pPr>
            <w:r>
              <w:rPr>
                <w:color w:val="000000"/>
                <w:sz w:val="20"/>
                <w:szCs w:val="20"/>
              </w:rPr>
              <w:t>10</w:t>
            </w:r>
          </w:p>
        </w:tc>
        <w:tc>
          <w:tcPr>
            <w:tcW w:w="992" w:type="dxa"/>
            <w:vAlign w:val="center"/>
          </w:tcPr>
          <w:p w14:paraId="5EBB8C15">
            <w:pPr>
              <w:jc w:val="center"/>
              <w:rPr>
                <w:b/>
                <w:bCs/>
                <w:color w:val="000000"/>
                <w:sz w:val="20"/>
                <w:szCs w:val="20"/>
              </w:rPr>
            </w:pPr>
          </w:p>
        </w:tc>
      </w:tr>
      <w:tr w14:paraId="3115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F96FC01">
            <w:pPr>
              <w:jc w:val="center"/>
              <w:rPr>
                <w:color w:val="000000"/>
                <w:sz w:val="20"/>
                <w:szCs w:val="20"/>
              </w:rPr>
            </w:pPr>
          </w:p>
        </w:tc>
        <w:tc>
          <w:tcPr>
            <w:tcW w:w="2409" w:type="dxa"/>
            <w:vAlign w:val="center"/>
          </w:tcPr>
          <w:p w14:paraId="7E4E6430">
            <w:pPr>
              <w:rPr>
                <w:color w:val="000000"/>
                <w:sz w:val="20"/>
                <w:szCs w:val="20"/>
              </w:rPr>
            </w:pPr>
            <w:r>
              <w:rPr>
                <w:color w:val="000000"/>
                <w:sz w:val="20"/>
                <w:szCs w:val="20"/>
              </w:rPr>
              <w:t>Đất nhà ở liền kề kết hợp kinh doanh 34</w:t>
            </w:r>
          </w:p>
        </w:tc>
        <w:tc>
          <w:tcPr>
            <w:tcW w:w="1033" w:type="dxa"/>
            <w:vAlign w:val="center"/>
          </w:tcPr>
          <w:p w14:paraId="20667DA0">
            <w:pPr>
              <w:jc w:val="center"/>
              <w:rPr>
                <w:color w:val="000000"/>
                <w:sz w:val="20"/>
                <w:szCs w:val="20"/>
              </w:rPr>
            </w:pPr>
            <w:r>
              <w:rPr>
                <w:color w:val="000000"/>
                <w:sz w:val="20"/>
                <w:szCs w:val="20"/>
              </w:rPr>
              <w:t>LK34</w:t>
            </w:r>
          </w:p>
        </w:tc>
        <w:tc>
          <w:tcPr>
            <w:tcW w:w="1459" w:type="dxa"/>
            <w:vAlign w:val="center"/>
          </w:tcPr>
          <w:p w14:paraId="16EE2417">
            <w:pPr>
              <w:jc w:val="center"/>
              <w:rPr>
                <w:color w:val="000000"/>
                <w:sz w:val="20"/>
                <w:szCs w:val="20"/>
              </w:rPr>
            </w:pPr>
            <w:r>
              <w:rPr>
                <w:color w:val="000000"/>
                <w:sz w:val="20"/>
                <w:szCs w:val="20"/>
              </w:rPr>
              <w:t>946,50</w:t>
            </w:r>
          </w:p>
        </w:tc>
        <w:tc>
          <w:tcPr>
            <w:tcW w:w="1273" w:type="dxa"/>
            <w:vAlign w:val="center"/>
          </w:tcPr>
          <w:p w14:paraId="48EB4C57">
            <w:pPr>
              <w:jc w:val="center"/>
              <w:rPr>
                <w:color w:val="000000"/>
                <w:sz w:val="20"/>
                <w:szCs w:val="20"/>
              </w:rPr>
            </w:pPr>
            <w:r>
              <w:rPr>
                <w:color w:val="000000"/>
                <w:sz w:val="20"/>
                <w:szCs w:val="20"/>
              </w:rPr>
              <w:t>0,48%</w:t>
            </w:r>
          </w:p>
        </w:tc>
        <w:tc>
          <w:tcPr>
            <w:tcW w:w="2047" w:type="dxa"/>
            <w:vAlign w:val="center"/>
          </w:tcPr>
          <w:p w14:paraId="05DC721C">
            <w:pPr>
              <w:jc w:val="center"/>
              <w:rPr>
                <w:color w:val="000000"/>
                <w:sz w:val="20"/>
                <w:szCs w:val="20"/>
              </w:rPr>
            </w:pPr>
            <w:r>
              <w:rPr>
                <w:color w:val="000000"/>
                <w:sz w:val="20"/>
                <w:szCs w:val="20"/>
              </w:rPr>
              <w:t>817,1</w:t>
            </w:r>
          </w:p>
        </w:tc>
        <w:tc>
          <w:tcPr>
            <w:tcW w:w="1276" w:type="dxa"/>
            <w:vAlign w:val="center"/>
          </w:tcPr>
          <w:p w14:paraId="7512611A">
            <w:pPr>
              <w:jc w:val="center"/>
              <w:rPr>
                <w:color w:val="000000"/>
                <w:sz w:val="20"/>
                <w:szCs w:val="20"/>
              </w:rPr>
            </w:pPr>
            <w:r>
              <w:rPr>
                <w:color w:val="000000"/>
                <w:sz w:val="20"/>
                <w:szCs w:val="20"/>
              </w:rPr>
              <w:t>4.085,50</w:t>
            </w:r>
          </w:p>
        </w:tc>
        <w:tc>
          <w:tcPr>
            <w:tcW w:w="992" w:type="dxa"/>
            <w:vAlign w:val="center"/>
          </w:tcPr>
          <w:p w14:paraId="5D2426D8">
            <w:pPr>
              <w:jc w:val="center"/>
              <w:rPr>
                <w:color w:val="000000"/>
                <w:sz w:val="20"/>
                <w:szCs w:val="20"/>
              </w:rPr>
            </w:pPr>
            <w:r>
              <w:rPr>
                <w:color w:val="000000"/>
                <w:sz w:val="20"/>
                <w:szCs w:val="20"/>
              </w:rPr>
              <w:t>88</w:t>
            </w:r>
          </w:p>
        </w:tc>
        <w:tc>
          <w:tcPr>
            <w:tcW w:w="992" w:type="dxa"/>
            <w:vAlign w:val="center"/>
          </w:tcPr>
          <w:p w14:paraId="4EF304CF">
            <w:pPr>
              <w:jc w:val="center"/>
              <w:rPr>
                <w:color w:val="000000"/>
                <w:sz w:val="20"/>
                <w:szCs w:val="20"/>
              </w:rPr>
            </w:pPr>
            <w:r>
              <w:rPr>
                <w:color w:val="000000"/>
                <w:sz w:val="20"/>
                <w:szCs w:val="20"/>
              </w:rPr>
              <w:t>5</w:t>
            </w:r>
          </w:p>
        </w:tc>
        <w:tc>
          <w:tcPr>
            <w:tcW w:w="1134" w:type="dxa"/>
            <w:vAlign w:val="center"/>
          </w:tcPr>
          <w:p w14:paraId="5C0C58F5">
            <w:pPr>
              <w:jc w:val="center"/>
              <w:rPr>
                <w:color w:val="000000"/>
                <w:sz w:val="20"/>
                <w:szCs w:val="20"/>
              </w:rPr>
            </w:pPr>
            <w:r>
              <w:rPr>
                <w:color w:val="000000"/>
                <w:sz w:val="20"/>
                <w:szCs w:val="20"/>
              </w:rPr>
              <w:t>4,4</w:t>
            </w:r>
          </w:p>
        </w:tc>
        <w:tc>
          <w:tcPr>
            <w:tcW w:w="993" w:type="dxa"/>
            <w:vAlign w:val="center"/>
          </w:tcPr>
          <w:p w14:paraId="60BD8E16">
            <w:pPr>
              <w:jc w:val="center"/>
              <w:rPr>
                <w:color w:val="000000"/>
                <w:sz w:val="20"/>
                <w:szCs w:val="20"/>
              </w:rPr>
            </w:pPr>
            <w:r>
              <w:rPr>
                <w:color w:val="000000"/>
                <w:sz w:val="20"/>
                <w:szCs w:val="20"/>
              </w:rPr>
              <w:t>10</w:t>
            </w:r>
          </w:p>
        </w:tc>
        <w:tc>
          <w:tcPr>
            <w:tcW w:w="992" w:type="dxa"/>
            <w:vAlign w:val="center"/>
          </w:tcPr>
          <w:p w14:paraId="6300CF16">
            <w:pPr>
              <w:jc w:val="center"/>
              <w:rPr>
                <w:b/>
                <w:bCs/>
                <w:color w:val="000000"/>
                <w:sz w:val="20"/>
                <w:szCs w:val="20"/>
              </w:rPr>
            </w:pPr>
          </w:p>
        </w:tc>
      </w:tr>
      <w:tr w14:paraId="0F14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DAF9604">
            <w:pPr>
              <w:jc w:val="center"/>
              <w:rPr>
                <w:color w:val="000000"/>
                <w:sz w:val="20"/>
                <w:szCs w:val="20"/>
              </w:rPr>
            </w:pPr>
          </w:p>
        </w:tc>
        <w:tc>
          <w:tcPr>
            <w:tcW w:w="2409" w:type="dxa"/>
            <w:vAlign w:val="center"/>
          </w:tcPr>
          <w:p w14:paraId="741AD2DE">
            <w:pPr>
              <w:rPr>
                <w:color w:val="000000"/>
                <w:sz w:val="20"/>
                <w:szCs w:val="20"/>
              </w:rPr>
            </w:pPr>
            <w:r>
              <w:rPr>
                <w:color w:val="000000"/>
                <w:sz w:val="20"/>
                <w:szCs w:val="20"/>
              </w:rPr>
              <w:t>Đất nhà ở liền kề kết hợp kinh doanh 35</w:t>
            </w:r>
          </w:p>
        </w:tc>
        <w:tc>
          <w:tcPr>
            <w:tcW w:w="1033" w:type="dxa"/>
            <w:vAlign w:val="center"/>
          </w:tcPr>
          <w:p w14:paraId="4418906D">
            <w:pPr>
              <w:jc w:val="center"/>
              <w:rPr>
                <w:color w:val="000000"/>
                <w:sz w:val="20"/>
                <w:szCs w:val="20"/>
              </w:rPr>
            </w:pPr>
            <w:r>
              <w:rPr>
                <w:color w:val="000000"/>
                <w:sz w:val="20"/>
                <w:szCs w:val="20"/>
              </w:rPr>
              <w:t>LK35</w:t>
            </w:r>
          </w:p>
        </w:tc>
        <w:tc>
          <w:tcPr>
            <w:tcW w:w="1459" w:type="dxa"/>
            <w:vAlign w:val="center"/>
          </w:tcPr>
          <w:p w14:paraId="7D697026">
            <w:pPr>
              <w:jc w:val="center"/>
              <w:rPr>
                <w:color w:val="000000"/>
                <w:sz w:val="20"/>
                <w:szCs w:val="20"/>
              </w:rPr>
            </w:pPr>
            <w:r>
              <w:rPr>
                <w:color w:val="000000"/>
                <w:sz w:val="20"/>
                <w:szCs w:val="20"/>
              </w:rPr>
              <w:t>946,50</w:t>
            </w:r>
          </w:p>
        </w:tc>
        <w:tc>
          <w:tcPr>
            <w:tcW w:w="1273" w:type="dxa"/>
            <w:vAlign w:val="center"/>
          </w:tcPr>
          <w:p w14:paraId="510057BE">
            <w:pPr>
              <w:jc w:val="center"/>
              <w:rPr>
                <w:color w:val="000000"/>
                <w:sz w:val="20"/>
                <w:szCs w:val="20"/>
              </w:rPr>
            </w:pPr>
            <w:r>
              <w:rPr>
                <w:color w:val="000000"/>
                <w:sz w:val="20"/>
                <w:szCs w:val="20"/>
              </w:rPr>
              <w:t>0,48%</w:t>
            </w:r>
          </w:p>
        </w:tc>
        <w:tc>
          <w:tcPr>
            <w:tcW w:w="2047" w:type="dxa"/>
            <w:vAlign w:val="center"/>
          </w:tcPr>
          <w:p w14:paraId="1532EA45">
            <w:pPr>
              <w:jc w:val="center"/>
              <w:rPr>
                <w:color w:val="000000"/>
                <w:sz w:val="20"/>
                <w:szCs w:val="20"/>
              </w:rPr>
            </w:pPr>
            <w:r>
              <w:rPr>
                <w:color w:val="000000"/>
                <w:sz w:val="20"/>
                <w:szCs w:val="20"/>
              </w:rPr>
              <w:t>817,1</w:t>
            </w:r>
          </w:p>
        </w:tc>
        <w:tc>
          <w:tcPr>
            <w:tcW w:w="1276" w:type="dxa"/>
            <w:vAlign w:val="center"/>
          </w:tcPr>
          <w:p w14:paraId="5D520F2A">
            <w:pPr>
              <w:jc w:val="center"/>
              <w:rPr>
                <w:color w:val="000000"/>
                <w:sz w:val="20"/>
                <w:szCs w:val="20"/>
              </w:rPr>
            </w:pPr>
            <w:r>
              <w:rPr>
                <w:color w:val="000000"/>
                <w:sz w:val="20"/>
                <w:szCs w:val="20"/>
              </w:rPr>
              <w:t>4.085,50</w:t>
            </w:r>
          </w:p>
        </w:tc>
        <w:tc>
          <w:tcPr>
            <w:tcW w:w="992" w:type="dxa"/>
            <w:vAlign w:val="center"/>
          </w:tcPr>
          <w:p w14:paraId="301C9DA5">
            <w:pPr>
              <w:jc w:val="center"/>
              <w:rPr>
                <w:color w:val="000000"/>
                <w:sz w:val="20"/>
                <w:szCs w:val="20"/>
              </w:rPr>
            </w:pPr>
            <w:r>
              <w:rPr>
                <w:color w:val="000000"/>
                <w:sz w:val="20"/>
                <w:szCs w:val="20"/>
              </w:rPr>
              <w:t>88</w:t>
            </w:r>
          </w:p>
        </w:tc>
        <w:tc>
          <w:tcPr>
            <w:tcW w:w="992" w:type="dxa"/>
            <w:vAlign w:val="center"/>
          </w:tcPr>
          <w:p w14:paraId="54D87F2F">
            <w:pPr>
              <w:jc w:val="center"/>
              <w:rPr>
                <w:color w:val="000000"/>
                <w:sz w:val="20"/>
                <w:szCs w:val="20"/>
              </w:rPr>
            </w:pPr>
            <w:r>
              <w:rPr>
                <w:color w:val="000000"/>
                <w:sz w:val="20"/>
                <w:szCs w:val="20"/>
              </w:rPr>
              <w:t>5</w:t>
            </w:r>
          </w:p>
        </w:tc>
        <w:tc>
          <w:tcPr>
            <w:tcW w:w="1134" w:type="dxa"/>
            <w:vAlign w:val="center"/>
          </w:tcPr>
          <w:p w14:paraId="1094096A">
            <w:pPr>
              <w:jc w:val="center"/>
              <w:rPr>
                <w:color w:val="000000"/>
                <w:sz w:val="20"/>
                <w:szCs w:val="20"/>
              </w:rPr>
            </w:pPr>
            <w:r>
              <w:rPr>
                <w:color w:val="000000"/>
                <w:sz w:val="20"/>
                <w:szCs w:val="20"/>
              </w:rPr>
              <w:t>4,4</w:t>
            </w:r>
          </w:p>
        </w:tc>
        <w:tc>
          <w:tcPr>
            <w:tcW w:w="993" w:type="dxa"/>
            <w:vAlign w:val="center"/>
          </w:tcPr>
          <w:p w14:paraId="1A39EB19">
            <w:pPr>
              <w:jc w:val="center"/>
              <w:rPr>
                <w:color w:val="000000"/>
                <w:sz w:val="20"/>
                <w:szCs w:val="20"/>
              </w:rPr>
            </w:pPr>
            <w:r>
              <w:rPr>
                <w:color w:val="000000"/>
                <w:sz w:val="20"/>
                <w:szCs w:val="20"/>
              </w:rPr>
              <w:t>10</w:t>
            </w:r>
          </w:p>
        </w:tc>
        <w:tc>
          <w:tcPr>
            <w:tcW w:w="992" w:type="dxa"/>
            <w:vAlign w:val="center"/>
          </w:tcPr>
          <w:p w14:paraId="3AFCCB6A">
            <w:pPr>
              <w:jc w:val="center"/>
              <w:rPr>
                <w:b/>
                <w:bCs/>
                <w:color w:val="000000"/>
                <w:sz w:val="20"/>
                <w:szCs w:val="20"/>
              </w:rPr>
            </w:pPr>
          </w:p>
        </w:tc>
      </w:tr>
      <w:tr w14:paraId="7872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F2EBE1E">
            <w:pPr>
              <w:jc w:val="center"/>
              <w:rPr>
                <w:color w:val="000000"/>
                <w:sz w:val="20"/>
                <w:szCs w:val="20"/>
              </w:rPr>
            </w:pPr>
          </w:p>
        </w:tc>
        <w:tc>
          <w:tcPr>
            <w:tcW w:w="2409" w:type="dxa"/>
            <w:vAlign w:val="center"/>
          </w:tcPr>
          <w:p w14:paraId="5F405AC4">
            <w:pPr>
              <w:rPr>
                <w:color w:val="000000"/>
                <w:sz w:val="20"/>
                <w:szCs w:val="20"/>
              </w:rPr>
            </w:pPr>
            <w:r>
              <w:rPr>
                <w:color w:val="000000"/>
                <w:sz w:val="20"/>
                <w:szCs w:val="20"/>
              </w:rPr>
              <w:t>Đất nhà ở liền kề kết hợp kinh doanh 36</w:t>
            </w:r>
          </w:p>
        </w:tc>
        <w:tc>
          <w:tcPr>
            <w:tcW w:w="1033" w:type="dxa"/>
            <w:vAlign w:val="center"/>
          </w:tcPr>
          <w:p w14:paraId="42E6F130">
            <w:pPr>
              <w:jc w:val="center"/>
              <w:rPr>
                <w:color w:val="000000"/>
                <w:sz w:val="20"/>
                <w:szCs w:val="20"/>
              </w:rPr>
            </w:pPr>
            <w:r>
              <w:rPr>
                <w:color w:val="000000"/>
                <w:sz w:val="20"/>
                <w:szCs w:val="20"/>
              </w:rPr>
              <w:t>LK36</w:t>
            </w:r>
          </w:p>
        </w:tc>
        <w:tc>
          <w:tcPr>
            <w:tcW w:w="1459" w:type="dxa"/>
            <w:vAlign w:val="center"/>
          </w:tcPr>
          <w:p w14:paraId="30BF8C11">
            <w:pPr>
              <w:jc w:val="center"/>
              <w:rPr>
                <w:color w:val="000000"/>
                <w:sz w:val="20"/>
                <w:szCs w:val="20"/>
              </w:rPr>
            </w:pPr>
            <w:r>
              <w:rPr>
                <w:color w:val="000000"/>
                <w:sz w:val="20"/>
                <w:szCs w:val="20"/>
              </w:rPr>
              <w:t>561,70</w:t>
            </w:r>
          </w:p>
        </w:tc>
        <w:tc>
          <w:tcPr>
            <w:tcW w:w="1273" w:type="dxa"/>
            <w:vAlign w:val="center"/>
          </w:tcPr>
          <w:p w14:paraId="3F6D228C">
            <w:pPr>
              <w:jc w:val="center"/>
              <w:rPr>
                <w:color w:val="000000"/>
                <w:sz w:val="20"/>
                <w:szCs w:val="20"/>
              </w:rPr>
            </w:pPr>
            <w:r>
              <w:rPr>
                <w:color w:val="000000"/>
                <w:sz w:val="20"/>
                <w:szCs w:val="20"/>
              </w:rPr>
              <w:t>0,28%</w:t>
            </w:r>
          </w:p>
        </w:tc>
        <w:tc>
          <w:tcPr>
            <w:tcW w:w="2047" w:type="dxa"/>
            <w:vAlign w:val="center"/>
          </w:tcPr>
          <w:p w14:paraId="58D31B71">
            <w:pPr>
              <w:jc w:val="center"/>
              <w:rPr>
                <w:color w:val="000000"/>
                <w:sz w:val="20"/>
                <w:szCs w:val="20"/>
              </w:rPr>
            </w:pPr>
            <w:r>
              <w:rPr>
                <w:color w:val="000000"/>
                <w:sz w:val="20"/>
                <w:szCs w:val="20"/>
              </w:rPr>
              <w:t>477,6</w:t>
            </w:r>
          </w:p>
        </w:tc>
        <w:tc>
          <w:tcPr>
            <w:tcW w:w="1276" w:type="dxa"/>
            <w:vAlign w:val="center"/>
          </w:tcPr>
          <w:p w14:paraId="35D09BF0">
            <w:pPr>
              <w:jc w:val="center"/>
              <w:rPr>
                <w:color w:val="000000"/>
                <w:sz w:val="20"/>
                <w:szCs w:val="20"/>
              </w:rPr>
            </w:pPr>
            <w:r>
              <w:rPr>
                <w:color w:val="000000"/>
                <w:sz w:val="20"/>
                <w:szCs w:val="20"/>
              </w:rPr>
              <w:t>2.388,00</w:t>
            </w:r>
          </w:p>
        </w:tc>
        <w:tc>
          <w:tcPr>
            <w:tcW w:w="992" w:type="dxa"/>
            <w:vAlign w:val="center"/>
          </w:tcPr>
          <w:p w14:paraId="1EFB1085">
            <w:pPr>
              <w:jc w:val="center"/>
              <w:rPr>
                <w:color w:val="000000"/>
                <w:sz w:val="20"/>
                <w:szCs w:val="20"/>
              </w:rPr>
            </w:pPr>
            <w:r>
              <w:rPr>
                <w:color w:val="000000"/>
                <w:sz w:val="20"/>
                <w:szCs w:val="20"/>
              </w:rPr>
              <w:t>88</w:t>
            </w:r>
          </w:p>
        </w:tc>
        <w:tc>
          <w:tcPr>
            <w:tcW w:w="992" w:type="dxa"/>
            <w:vAlign w:val="center"/>
          </w:tcPr>
          <w:p w14:paraId="20B578FD">
            <w:pPr>
              <w:jc w:val="center"/>
              <w:rPr>
                <w:color w:val="000000"/>
                <w:sz w:val="20"/>
                <w:szCs w:val="20"/>
              </w:rPr>
            </w:pPr>
            <w:r>
              <w:rPr>
                <w:color w:val="000000"/>
                <w:sz w:val="20"/>
                <w:szCs w:val="20"/>
              </w:rPr>
              <w:t>5</w:t>
            </w:r>
          </w:p>
        </w:tc>
        <w:tc>
          <w:tcPr>
            <w:tcW w:w="1134" w:type="dxa"/>
            <w:vAlign w:val="center"/>
          </w:tcPr>
          <w:p w14:paraId="6CEF3E00">
            <w:pPr>
              <w:jc w:val="center"/>
              <w:rPr>
                <w:color w:val="000000"/>
                <w:sz w:val="20"/>
                <w:szCs w:val="20"/>
              </w:rPr>
            </w:pPr>
            <w:r>
              <w:rPr>
                <w:color w:val="000000"/>
                <w:sz w:val="20"/>
                <w:szCs w:val="20"/>
              </w:rPr>
              <w:t>4,4</w:t>
            </w:r>
          </w:p>
        </w:tc>
        <w:tc>
          <w:tcPr>
            <w:tcW w:w="993" w:type="dxa"/>
            <w:vAlign w:val="center"/>
          </w:tcPr>
          <w:p w14:paraId="312A79C4">
            <w:pPr>
              <w:jc w:val="center"/>
              <w:rPr>
                <w:color w:val="000000"/>
                <w:sz w:val="20"/>
                <w:szCs w:val="20"/>
              </w:rPr>
            </w:pPr>
            <w:r>
              <w:rPr>
                <w:color w:val="000000"/>
                <w:sz w:val="20"/>
                <w:szCs w:val="20"/>
              </w:rPr>
              <w:t>6</w:t>
            </w:r>
          </w:p>
        </w:tc>
        <w:tc>
          <w:tcPr>
            <w:tcW w:w="992" w:type="dxa"/>
            <w:vAlign w:val="center"/>
          </w:tcPr>
          <w:p w14:paraId="458E201B">
            <w:pPr>
              <w:jc w:val="center"/>
              <w:rPr>
                <w:b/>
                <w:bCs/>
                <w:color w:val="000000"/>
                <w:sz w:val="20"/>
                <w:szCs w:val="20"/>
              </w:rPr>
            </w:pPr>
          </w:p>
        </w:tc>
      </w:tr>
      <w:tr w14:paraId="74B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5C80E2D9">
            <w:pPr>
              <w:jc w:val="center"/>
              <w:rPr>
                <w:color w:val="000000"/>
                <w:sz w:val="20"/>
                <w:szCs w:val="20"/>
              </w:rPr>
            </w:pPr>
          </w:p>
        </w:tc>
        <w:tc>
          <w:tcPr>
            <w:tcW w:w="2409" w:type="dxa"/>
            <w:vAlign w:val="center"/>
          </w:tcPr>
          <w:p w14:paraId="578B742D">
            <w:pPr>
              <w:rPr>
                <w:color w:val="000000"/>
                <w:sz w:val="20"/>
                <w:szCs w:val="20"/>
              </w:rPr>
            </w:pPr>
            <w:r>
              <w:rPr>
                <w:color w:val="000000"/>
                <w:sz w:val="20"/>
                <w:szCs w:val="20"/>
              </w:rPr>
              <w:t>Đất nhà ở liền kề kết hợp kinh doanh 37</w:t>
            </w:r>
          </w:p>
        </w:tc>
        <w:tc>
          <w:tcPr>
            <w:tcW w:w="1033" w:type="dxa"/>
            <w:vAlign w:val="center"/>
          </w:tcPr>
          <w:p w14:paraId="1BF4B7EB">
            <w:pPr>
              <w:jc w:val="center"/>
              <w:rPr>
                <w:color w:val="000000"/>
                <w:sz w:val="20"/>
                <w:szCs w:val="20"/>
              </w:rPr>
            </w:pPr>
            <w:r>
              <w:rPr>
                <w:color w:val="000000"/>
                <w:sz w:val="20"/>
                <w:szCs w:val="20"/>
              </w:rPr>
              <w:t>LK37</w:t>
            </w:r>
          </w:p>
        </w:tc>
        <w:tc>
          <w:tcPr>
            <w:tcW w:w="1459" w:type="dxa"/>
            <w:vAlign w:val="center"/>
          </w:tcPr>
          <w:p w14:paraId="1640767C">
            <w:pPr>
              <w:jc w:val="center"/>
              <w:rPr>
                <w:color w:val="000000"/>
                <w:sz w:val="20"/>
                <w:szCs w:val="20"/>
              </w:rPr>
            </w:pPr>
            <w:r>
              <w:rPr>
                <w:color w:val="000000"/>
                <w:sz w:val="20"/>
                <w:szCs w:val="20"/>
              </w:rPr>
              <w:t>798,50</w:t>
            </w:r>
          </w:p>
        </w:tc>
        <w:tc>
          <w:tcPr>
            <w:tcW w:w="1273" w:type="dxa"/>
            <w:vAlign w:val="center"/>
          </w:tcPr>
          <w:p w14:paraId="420E2ACB">
            <w:pPr>
              <w:jc w:val="center"/>
              <w:rPr>
                <w:color w:val="000000"/>
                <w:sz w:val="20"/>
                <w:szCs w:val="20"/>
              </w:rPr>
            </w:pPr>
            <w:r>
              <w:rPr>
                <w:color w:val="000000"/>
                <w:sz w:val="20"/>
                <w:szCs w:val="20"/>
              </w:rPr>
              <w:t>0,40%</w:t>
            </w:r>
          </w:p>
        </w:tc>
        <w:tc>
          <w:tcPr>
            <w:tcW w:w="2047" w:type="dxa"/>
            <w:vAlign w:val="center"/>
          </w:tcPr>
          <w:p w14:paraId="348C8CFB">
            <w:pPr>
              <w:jc w:val="center"/>
              <w:rPr>
                <w:color w:val="000000"/>
                <w:sz w:val="20"/>
                <w:szCs w:val="20"/>
              </w:rPr>
            </w:pPr>
            <w:r>
              <w:rPr>
                <w:color w:val="000000"/>
                <w:sz w:val="20"/>
                <w:szCs w:val="20"/>
              </w:rPr>
              <w:t>710,4</w:t>
            </w:r>
          </w:p>
        </w:tc>
        <w:tc>
          <w:tcPr>
            <w:tcW w:w="1276" w:type="dxa"/>
            <w:vAlign w:val="center"/>
          </w:tcPr>
          <w:p w14:paraId="0F094DDB">
            <w:pPr>
              <w:jc w:val="center"/>
              <w:rPr>
                <w:color w:val="000000"/>
                <w:sz w:val="20"/>
                <w:szCs w:val="20"/>
              </w:rPr>
            </w:pPr>
            <w:r>
              <w:rPr>
                <w:color w:val="000000"/>
                <w:sz w:val="20"/>
                <w:szCs w:val="20"/>
              </w:rPr>
              <w:t>3.552,00</w:t>
            </w:r>
          </w:p>
        </w:tc>
        <w:tc>
          <w:tcPr>
            <w:tcW w:w="992" w:type="dxa"/>
            <w:vAlign w:val="center"/>
          </w:tcPr>
          <w:p w14:paraId="72FC87C6">
            <w:pPr>
              <w:jc w:val="center"/>
              <w:rPr>
                <w:color w:val="000000"/>
                <w:sz w:val="20"/>
                <w:szCs w:val="20"/>
              </w:rPr>
            </w:pPr>
            <w:r>
              <w:rPr>
                <w:color w:val="000000"/>
                <w:sz w:val="20"/>
                <w:szCs w:val="20"/>
              </w:rPr>
              <w:t>93</w:t>
            </w:r>
          </w:p>
        </w:tc>
        <w:tc>
          <w:tcPr>
            <w:tcW w:w="992" w:type="dxa"/>
            <w:vAlign w:val="center"/>
          </w:tcPr>
          <w:p w14:paraId="5CF1A021">
            <w:pPr>
              <w:jc w:val="center"/>
              <w:rPr>
                <w:color w:val="000000"/>
                <w:sz w:val="20"/>
                <w:szCs w:val="20"/>
              </w:rPr>
            </w:pPr>
            <w:r>
              <w:rPr>
                <w:color w:val="000000"/>
                <w:sz w:val="20"/>
                <w:szCs w:val="20"/>
              </w:rPr>
              <w:t>5</w:t>
            </w:r>
          </w:p>
        </w:tc>
        <w:tc>
          <w:tcPr>
            <w:tcW w:w="1134" w:type="dxa"/>
            <w:vAlign w:val="center"/>
          </w:tcPr>
          <w:p w14:paraId="3C98ECBA">
            <w:pPr>
              <w:jc w:val="center"/>
              <w:rPr>
                <w:color w:val="000000"/>
                <w:sz w:val="20"/>
                <w:szCs w:val="20"/>
              </w:rPr>
            </w:pPr>
            <w:r>
              <w:rPr>
                <w:color w:val="000000"/>
                <w:sz w:val="20"/>
                <w:szCs w:val="20"/>
              </w:rPr>
              <w:t>4,7</w:t>
            </w:r>
          </w:p>
        </w:tc>
        <w:tc>
          <w:tcPr>
            <w:tcW w:w="993" w:type="dxa"/>
            <w:vAlign w:val="center"/>
          </w:tcPr>
          <w:p w14:paraId="51BE7423">
            <w:pPr>
              <w:jc w:val="center"/>
              <w:rPr>
                <w:color w:val="000000"/>
                <w:sz w:val="20"/>
                <w:szCs w:val="20"/>
              </w:rPr>
            </w:pPr>
            <w:r>
              <w:rPr>
                <w:color w:val="000000"/>
                <w:sz w:val="20"/>
                <w:szCs w:val="20"/>
              </w:rPr>
              <w:t>9</w:t>
            </w:r>
          </w:p>
        </w:tc>
        <w:tc>
          <w:tcPr>
            <w:tcW w:w="992" w:type="dxa"/>
            <w:vAlign w:val="center"/>
          </w:tcPr>
          <w:p w14:paraId="127A3105">
            <w:pPr>
              <w:jc w:val="center"/>
              <w:rPr>
                <w:b/>
                <w:bCs/>
                <w:color w:val="000000"/>
                <w:sz w:val="20"/>
                <w:szCs w:val="20"/>
              </w:rPr>
            </w:pPr>
          </w:p>
        </w:tc>
      </w:tr>
      <w:tr w14:paraId="573D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4193B34">
            <w:pPr>
              <w:jc w:val="center"/>
              <w:rPr>
                <w:color w:val="000000"/>
                <w:sz w:val="20"/>
                <w:szCs w:val="20"/>
              </w:rPr>
            </w:pPr>
          </w:p>
        </w:tc>
        <w:tc>
          <w:tcPr>
            <w:tcW w:w="2409" w:type="dxa"/>
            <w:vAlign w:val="center"/>
          </w:tcPr>
          <w:p w14:paraId="47011B39">
            <w:pPr>
              <w:rPr>
                <w:color w:val="000000"/>
                <w:sz w:val="20"/>
                <w:szCs w:val="20"/>
              </w:rPr>
            </w:pPr>
            <w:r>
              <w:rPr>
                <w:color w:val="000000"/>
                <w:sz w:val="20"/>
                <w:szCs w:val="20"/>
              </w:rPr>
              <w:t>Đất nhà ở liền kề kết hợp kinh doanh 38</w:t>
            </w:r>
          </w:p>
        </w:tc>
        <w:tc>
          <w:tcPr>
            <w:tcW w:w="1033" w:type="dxa"/>
            <w:vAlign w:val="center"/>
          </w:tcPr>
          <w:p w14:paraId="107E31AD">
            <w:pPr>
              <w:jc w:val="center"/>
              <w:rPr>
                <w:color w:val="000000"/>
                <w:sz w:val="20"/>
                <w:szCs w:val="20"/>
              </w:rPr>
            </w:pPr>
            <w:r>
              <w:rPr>
                <w:color w:val="000000"/>
                <w:sz w:val="20"/>
                <w:szCs w:val="20"/>
              </w:rPr>
              <w:t>LK38</w:t>
            </w:r>
          </w:p>
        </w:tc>
        <w:tc>
          <w:tcPr>
            <w:tcW w:w="1459" w:type="dxa"/>
            <w:vAlign w:val="center"/>
          </w:tcPr>
          <w:p w14:paraId="544476C3">
            <w:pPr>
              <w:jc w:val="center"/>
              <w:rPr>
                <w:color w:val="000000"/>
                <w:sz w:val="20"/>
                <w:szCs w:val="20"/>
              </w:rPr>
            </w:pPr>
            <w:r>
              <w:rPr>
                <w:color w:val="000000"/>
                <w:sz w:val="20"/>
                <w:szCs w:val="20"/>
              </w:rPr>
              <w:t>798,50</w:t>
            </w:r>
          </w:p>
        </w:tc>
        <w:tc>
          <w:tcPr>
            <w:tcW w:w="1273" w:type="dxa"/>
            <w:vAlign w:val="center"/>
          </w:tcPr>
          <w:p w14:paraId="618D0A87">
            <w:pPr>
              <w:jc w:val="center"/>
              <w:rPr>
                <w:color w:val="000000"/>
                <w:sz w:val="20"/>
                <w:szCs w:val="20"/>
              </w:rPr>
            </w:pPr>
            <w:r>
              <w:rPr>
                <w:color w:val="000000"/>
                <w:sz w:val="20"/>
                <w:szCs w:val="20"/>
              </w:rPr>
              <w:t>0,40%</w:t>
            </w:r>
          </w:p>
        </w:tc>
        <w:tc>
          <w:tcPr>
            <w:tcW w:w="2047" w:type="dxa"/>
            <w:vAlign w:val="center"/>
          </w:tcPr>
          <w:p w14:paraId="7AD9C843">
            <w:pPr>
              <w:jc w:val="center"/>
              <w:rPr>
                <w:color w:val="000000"/>
                <w:sz w:val="20"/>
                <w:szCs w:val="20"/>
              </w:rPr>
            </w:pPr>
            <w:r>
              <w:rPr>
                <w:color w:val="000000"/>
                <w:sz w:val="20"/>
                <w:szCs w:val="20"/>
              </w:rPr>
              <w:t>710,4</w:t>
            </w:r>
          </w:p>
        </w:tc>
        <w:tc>
          <w:tcPr>
            <w:tcW w:w="1276" w:type="dxa"/>
            <w:vAlign w:val="center"/>
          </w:tcPr>
          <w:p w14:paraId="0FE4AFC6">
            <w:pPr>
              <w:jc w:val="center"/>
              <w:rPr>
                <w:color w:val="000000"/>
                <w:sz w:val="20"/>
                <w:szCs w:val="20"/>
              </w:rPr>
            </w:pPr>
            <w:r>
              <w:rPr>
                <w:color w:val="000000"/>
                <w:sz w:val="20"/>
                <w:szCs w:val="20"/>
              </w:rPr>
              <w:t>3.552,00</w:t>
            </w:r>
          </w:p>
        </w:tc>
        <w:tc>
          <w:tcPr>
            <w:tcW w:w="992" w:type="dxa"/>
            <w:vAlign w:val="center"/>
          </w:tcPr>
          <w:p w14:paraId="5337F51A">
            <w:pPr>
              <w:jc w:val="center"/>
              <w:rPr>
                <w:color w:val="000000"/>
                <w:sz w:val="20"/>
                <w:szCs w:val="20"/>
              </w:rPr>
            </w:pPr>
            <w:r>
              <w:rPr>
                <w:color w:val="000000"/>
                <w:sz w:val="20"/>
                <w:szCs w:val="20"/>
              </w:rPr>
              <w:t>93</w:t>
            </w:r>
          </w:p>
        </w:tc>
        <w:tc>
          <w:tcPr>
            <w:tcW w:w="992" w:type="dxa"/>
            <w:vAlign w:val="center"/>
          </w:tcPr>
          <w:p w14:paraId="24C2CCCD">
            <w:pPr>
              <w:jc w:val="center"/>
              <w:rPr>
                <w:color w:val="000000"/>
                <w:sz w:val="20"/>
                <w:szCs w:val="20"/>
              </w:rPr>
            </w:pPr>
            <w:r>
              <w:rPr>
                <w:color w:val="000000"/>
                <w:sz w:val="20"/>
                <w:szCs w:val="20"/>
              </w:rPr>
              <w:t>5</w:t>
            </w:r>
          </w:p>
        </w:tc>
        <w:tc>
          <w:tcPr>
            <w:tcW w:w="1134" w:type="dxa"/>
            <w:vAlign w:val="center"/>
          </w:tcPr>
          <w:p w14:paraId="60378C98">
            <w:pPr>
              <w:jc w:val="center"/>
              <w:rPr>
                <w:color w:val="000000"/>
                <w:sz w:val="20"/>
                <w:szCs w:val="20"/>
              </w:rPr>
            </w:pPr>
            <w:r>
              <w:rPr>
                <w:color w:val="000000"/>
                <w:sz w:val="20"/>
                <w:szCs w:val="20"/>
              </w:rPr>
              <w:t>4,7</w:t>
            </w:r>
          </w:p>
        </w:tc>
        <w:tc>
          <w:tcPr>
            <w:tcW w:w="993" w:type="dxa"/>
            <w:vAlign w:val="center"/>
          </w:tcPr>
          <w:p w14:paraId="4E197EEE">
            <w:pPr>
              <w:jc w:val="center"/>
              <w:rPr>
                <w:color w:val="000000"/>
                <w:sz w:val="20"/>
                <w:szCs w:val="20"/>
              </w:rPr>
            </w:pPr>
            <w:r>
              <w:rPr>
                <w:color w:val="000000"/>
                <w:sz w:val="20"/>
                <w:szCs w:val="20"/>
              </w:rPr>
              <w:t>9</w:t>
            </w:r>
          </w:p>
        </w:tc>
        <w:tc>
          <w:tcPr>
            <w:tcW w:w="992" w:type="dxa"/>
            <w:vAlign w:val="center"/>
          </w:tcPr>
          <w:p w14:paraId="432756E3">
            <w:pPr>
              <w:jc w:val="center"/>
              <w:rPr>
                <w:b/>
                <w:bCs/>
                <w:color w:val="000000"/>
                <w:sz w:val="20"/>
                <w:szCs w:val="20"/>
              </w:rPr>
            </w:pPr>
          </w:p>
        </w:tc>
      </w:tr>
      <w:tr w14:paraId="44E4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603139F6">
            <w:pPr>
              <w:jc w:val="center"/>
              <w:rPr>
                <w:color w:val="000000"/>
                <w:sz w:val="20"/>
                <w:szCs w:val="20"/>
              </w:rPr>
            </w:pPr>
          </w:p>
        </w:tc>
        <w:tc>
          <w:tcPr>
            <w:tcW w:w="2409" w:type="dxa"/>
            <w:vAlign w:val="center"/>
          </w:tcPr>
          <w:p w14:paraId="5B89792B">
            <w:pPr>
              <w:rPr>
                <w:color w:val="000000"/>
                <w:sz w:val="20"/>
                <w:szCs w:val="20"/>
              </w:rPr>
            </w:pPr>
            <w:r>
              <w:rPr>
                <w:color w:val="000000"/>
                <w:sz w:val="20"/>
                <w:szCs w:val="20"/>
              </w:rPr>
              <w:t>Đất nhà ở liền kề kết hợp kinh doanh 39</w:t>
            </w:r>
          </w:p>
        </w:tc>
        <w:tc>
          <w:tcPr>
            <w:tcW w:w="1033" w:type="dxa"/>
            <w:vAlign w:val="center"/>
          </w:tcPr>
          <w:p w14:paraId="43FA488D">
            <w:pPr>
              <w:jc w:val="center"/>
              <w:rPr>
                <w:color w:val="000000"/>
                <w:sz w:val="20"/>
                <w:szCs w:val="20"/>
              </w:rPr>
            </w:pPr>
            <w:r>
              <w:rPr>
                <w:color w:val="000000"/>
                <w:sz w:val="20"/>
                <w:szCs w:val="20"/>
              </w:rPr>
              <w:t>LK39</w:t>
            </w:r>
          </w:p>
        </w:tc>
        <w:tc>
          <w:tcPr>
            <w:tcW w:w="1459" w:type="dxa"/>
            <w:vAlign w:val="center"/>
          </w:tcPr>
          <w:p w14:paraId="73BE3292">
            <w:pPr>
              <w:jc w:val="center"/>
              <w:rPr>
                <w:color w:val="000000"/>
                <w:sz w:val="20"/>
                <w:szCs w:val="20"/>
              </w:rPr>
            </w:pPr>
            <w:r>
              <w:rPr>
                <w:color w:val="000000"/>
                <w:sz w:val="20"/>
                <w:szCs w:val="20"/>
              </w:rPr>
              <w:t>946,50</w:t>
            </w:r>
          </w:p>
        </w:tc>
        <w:tc>
          <w:tcPr>
            <w:tcW w:w="1273" w:type="dxa"/>
            <w:vAlign w:val="center"/>
          </w:tcPr>
          <w:p w14:paraId="62A6F3B6">
            <w:pPr>
              <w:jc w:val="center"/>
              <w:rPr>
                <w:color w:val="000000"/>
                <w:sz w:val="20"/>
                <w:szCs w:val="20"/>
              </w:rPr>
            </w:pPr>
            <w:r>
              <w:rPr>
                <w:color w:val="000000"/>
                <w:sz w:val="20"/>
                <w:szCs w:val="20"/>
              </w:rPr>
              <w:t>0,48%</w:t>
            </w:r>
          </w:p>
        </w:tc>
        <w:tc>
          <w:tcPr>
            <w:tcW w:w="2047" w:type="dxa"/>
            <w:vAlign w:val="center"/>
          </w:tcPr>
          <w:p w14:paraId="39E083E1">
            <w:pPr>
              <w:jc w:val="center"/>
              <w:rPr>
                <w:color w:val="000000"/>
                <w:sz w:val="20"/>
                <w:szCs w:val="20"/>
              </w:rPr>
            </w:pPr>
            <w:r>
              <w:rPr>
                <w:color w:val="000000"/>
                <w:sz w:val="20"/>
                <w:szCs w:val="20"/>
              </w:rPr>
              <w:t>817,1</w:t>
            </w:r>
          </w:p>
        </w:tc>
        <w:tc>
          <w:tcPr>
            <w:tcW w:w="1276" w:type="dxa"/>
            <w:vAlign w:val="center"/>
          </w:tcPr>
          <w:p w14:paraId="753024C1">
            <w:pPr>
              <w:jc w:val="center"/>
              <w:rPr>
                <w:color w:val="000000"/>
                <w:sz w:val="20"/>
                <w:szCs w:val="20"/>
              </w:rPr>
            </w:pPr>
            <w:r>
              <w:rPr>
                <w:color w:val="000000"/>
                <w:sz w:val="20"/>
                <w:szCs w:val="20"/>
              </w:rPr>
              <w:t>4.085,50</w:t>
            </w:r>
          </w:p>
        </w:tc>
        <w:tc>
          <w:tcPr>
            <w:tcW w:w="992" w:type="dxa"/>
            <w:vAlign w:val="center"/>
          </w:tcPr>
          <w:p w14:paraId="52FEEE08">
            <w:pPr>
              <w:jc w:val="center"/>
              <w:rPr>
                <w:color w:val="000000"/>
                <w:sz w:val="20"/>
                <w:szCs w:val="20"/>
              </w:rPr>
            </w:pPr>
            <w:r>
              <w:rPr>
                <w:color w:val="000000"/>
                <w:sz w:val="20"/>
                <w:szCs w:val="20"/>
              </w:rPr>
              <w:t>88</w:t>
            </w:r>
          </w:p>
        </w:tc>
        <w:tc>
          <w:tcPr>
            <w:tcW w:w="992" w:type="dxa"/>
            <w:vAlign w:val="center"/>
          </w:tcPr>
          <w:p w14:paraId="18FE94BB">
            <w:pPr>
              <w:jc w:val="center"/>
              <w:rPr>
                <w:color w:val="000000"/>
                <w:sz w:val="20"/>
                <w:szCs w:val="20"/>
              </w:rPr>
            </w:pPr>
            <w:r>
              <w:rPr>
                <w:color w:val="000000"/>
                <w:sz w:val="20"/>
                <w:szCs w:val="20"/>
              </w:rPr>
              <w:t>5</w:t>
            </w:r>
          </w:p>
        </w:tc>
        <w:tc>
          <w:tcPr>
            <w:tcW w:w="1134" w:type="dxa"/>
            <w:vAlign w:val="center"/>
          </w:tcPr>
          <w:p w14:paraId="799C8C04">
            <w:pPr>
              <w:jc w:val="center"/>
              <w:rPr>
                <w:color w:val="000000"/>
                <w:sz w:val="20"/>
                <w:szCs w:val="20"/>
              </w:rPr>
            </w:pPr>
            <w:r>
              <w:rPr>
                <w:color w:val="000000"/>
                <w:sz w:val="20"/>
                <w:szCs w:val="20"/>
              </w:rPr>
              <w:t>4,4</w:t>
            </w:r>
          </w:p>
        </w:tc>
        <w:tc>
          <w:tcPr>
            <w:tcW w:w="993" w:type="dxa"/>
            <w:vAlign w:val="center"/>
          </w:tcPr>
          <w:p w14:paraId="05B47D9A">
            <w:pPr>
              <w:jc w:val="center"/>
              <w:rPr>
                <w:color w:val="000000"/>
                <w:sz w:val="20"/>
                <w:szCs w:val="20"/>
              </w:rPr>
            </w:pPr>
            <w:r>
              <w:rPr>
                <w:color w:val="000000"/>
                <w:sz w:val="20"/>
                <w:szCs w:val="20"/>
              </w:rPr>
              <w:t>10</w:t>
            </w:r>
          </w:p>
        </w:tc>
        <w:tc>
          <w:tcPr>
            <w:tcW w:w="992" w:type="dxa"/>
            <w:vAlign w:val="center"/>
          </w:tcPr>
          <w:p w14:paraId="78433211">
            <w:pPr>
              <w:jc w:val="center"/>
              <w:rPr>
                <w:b/>
                <w:bCs/>
                <w:color w:val="000000"/>
                <w:sz w:val="20"/>
                <w:szCs w:val="20"/>
              </w:rPr>
            </w:pPr>
          </w:p>
        </w:tc>
      </w:tr>
      <w:tr w14:paraId="216F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3F66745">
            <w:pPr>
              <w:jc w:val="center"/>
              <w:rPr>
                <w:color w:val="000000"/>
                <w:sz w:val="20"/>
                <w:szCs w:val="20"/>
              </w:rPr>
            </w:pPr>
          </w:p>
        </w:tc>
        <w:tc>
          <w:tcPr>
            <w:tcW w:w="2409" w:type="dxa"/>
            <w:vAlign w:val="center"/>
          </w:tcPr>
          <w:p w14:paraId="6EE4722B">
            <w:pPr>
              <w:rPr>
                <w:color w:val="000000"/>
                <w:sz w:val="20"/>
                <w:szCs w:val="20"/>
              </w:rPr>
            </w:pPr>
            <w:r>
              <w:rPr>
                <w:color w:val="000000"/>
                <w:sz w:val="20"/>
                <w:szCs w:val="20"/>
              </w:rPr>
              <w:t>Đất nhà ở liền kề kết hợp kinh doanh 40</w:t>
            </w:r>
          </w:p>
        </w:tc>
        <w:tc>
          <w:tcPr>
            <w:tcW w:w="1033" w:type="dxa"/>
            <w:vAlign w:val="center"/>
          </w:tcPr>
          <w:p w14:paraId="4CFCCCFD">
            <w:pPr>
              <w:jc w:val="center"/>
              <w:rPr>
                <w:color w:val="000000"/>
                <w:sz w:val="20"/>
                <w:szCs w:val="20"/>
              </w:rPr>
            </w:pPr>
            <w:r>
              <w:rPr>
                <w:color w:val="000000"/>
                <w:sz w:val="20"/>
                <w:szCs w:val="20"/>
              </w:rPr>
              <w:t>LK40</w:t>
            </w:r>
          </w:p>
        </w:tc>
        <w:tc>
          <w:tcPr>
            <w:tcW w:w="1459" w:type="dxa"/>
            <w:vAlign w:val="center"/>
          </w:tcPr>
          <w:p w14:paraId="1950D902">
            <w:pPr>
              <w:jc w:val="center"/>
              <w:rPr>
                <w:color w:val="000000"/>
                <w:sz w:val="20"/>
                <w:szCs w:val="20"/>
              </w:rPr>
            </w:pPr>
            <w:r>
              <w:rPr>
                <w:color w:val="000000"/>
                <w:sz w:val="20"/>
                <w:szCs w:val="20"/>
              </w:rPr>
              <w:t>946,50</w:t>
            </w:r>
          </w:p>
        </w:tc>
        <w:tc>
          <w:tcPr>
            <w:tcW w:w="1273" w:type="dxa"/>
            <w:vAlign w:val="center"/>
          </w:tcPr>
          <w:p w14:paraId="4DA1E610">
            <w:pPr>
              <w:jc w:val="center"/>
              <w:rPr>
                <w:color w:val="000000"/>
                <w:sz w:val="20"/>
                <w:szCs w:val="20"/>
              </w:rPr>
            </w:pPr>
            <w:r>
              <w:rPr>
                <w:color w:val="000000"/>
                <w:sz w:val="20"/>
                <w:szCs w:val="20"/>
              </w:rPr>
              <w:t>0,48%</w:t>
            </w:r>
          </w:p>
        </w:tc>
        <w:tc>
          <w:tcPr>
            <w:tcW w:w="2047" w:type="dxa"/>
            <w:vAlign w:val="center"/>
          </w:tcPr>
          <w:p w14:paraId="5703C077">
            <w:pPr>
              <w:jc w:val="center"/>
              <w:rPr>
                <w:color w:val="000000"/>
                <w:sz w:val="20"/>
                <w:szCs w:val="20"/>
              </w:rPr>
            </w:pPr>
            <w:r>
              <w:rPr>
                <w:color w:val="000000"/>
                <w:sz w:val="20"/>
                <w:szCs w:val="20"/>
              </w:rPr>
              <w:t>817,1</w:t>
            </w:r>
          </w:p>
        </w:tc>
        <w:tc>
          <w:tcPr>
            <w:tcW w:w="1276" w:type="dxa"/>
            <w:vAlign w:val="center"/>
          </w:tcPr>
          <w:p w14:paraId="45FB681A">
            <w:pPr>
              <w:jc w:val="center"/>
              <w:rPr>
                <w:color w:val="000000"/>
                <w:sz w:val="20"/>
                <w:szCs w:val="20"/>
              </w:rPr>
            </w:pPr>
            <w:r>
              <w:rPr>
                <w:color w:val="000000"/>
                <w:sz w:val="20"/>
                <w:szCs w:val="20"/>
              </w:rPr>
              <w:t>4.085,50</w:t>
            </w:r>
          </w:p>
        </w:tc>
        <w:tc>
          <w:tcPr>
            <w:tcW w:w="992" w:type="dxa"/>
            <w:vAlign w:val="center"/>
          </w:tcPr>
          <w:p w14:paraId="58D5833D">
            <w:pPr>
              <w:jc w:val="center"/>
              <w:rPr>
                <w:color w:val="000000"/>
                <w:sz w:val="20"/>
                <w:szCs w:val="20"/>
              </w:rPr>
            </w:pPr>
            <w:r>
              <w:rPr>
                <w:color w:val="000000"/>
                <w:sz w:val="20"/>
                <w:szCs w:val="20"/>
              </w:rPr>
              <w:t>88</w:t>
            </w:r>
          </w:p>
        </w:tc>
        <w:tc>
          <w:tcPr>
            <w:tcW w:w="992" w:type="dxa"/>
            <w:vAlign w:val="center"/>
          </w:tcPr>
          <w:p w14:paraId="1218942E">
            <w:pPr>
              <w:jc w:val="center"/>
              <w:rPr>
                <w:color w:val="000000"/>
                <w:sz w:val="20"/>
                <w:szCs w:val="20"/>
              </w:rPr>
            </w:pPr>
            <w:r>
              <w:rPr>
                <w:color w:val="000000"/>
                <w:sz w:val="20"/>
                <w:szCs w:val="20"/>
              </w:rPr>
              <w:t>5</w:t>
            </w:r>
          </w:p>
        </w:tc>
        <w:tc>
          <w:tcPr>
            <w:tcW w:w="1134" w:type="dxa"/>
            <w:vAlign w:val="center"/>
          </w:tcPr>
          <w:p w14:paraId="53F95418">
            <w:pPr>
              <w:jc w:val="center"/>
              <w:rPr>
                <w:color w:val="000000"/>
                <w:sz w:val="20"/>
                <w:szCs w:val="20"/>
              </w:rPr>
            </w:pPr>
            <w:r>
              <w:rPr>
                <w:color w:val="000000"/>
                <w:sz w:val="20"/>
                <w:szCs w:val="20"/>
              </w:rPr>
              <w:t>4,4</w:t>
            </w:r>
          </w:p>
        </w:tc>
        <w:tc>
          <w:tcPr>
            <w:tcW w:w="993" w:type="dxa"/>
            <w:vAlign w:val="center"/>
          </w:tcPr>
          <w:p w14:paraId="1F1BFD14">
            <w:pPr>
              <w:jc w:val="center"/>
              <w:rPr>
                <w:color w:val="000000"/>
                <w:sz w:val="20"/>
                <w:szCs w:val="20"/>
              </w:rPr>
            </w:pPr>
            <w:r>
              <w:rPr>
                <w:color w:val="000000"/>
                <w:sz w:val="20"/>
                <w:szCs w:val="20"/>
              </w:rPr>
              <w:t>10</w:t>
            </w:r>
          </w:p>
        </w:tc>
        <w:tc>
          <w:tcPr>
            <w:tcW w:w="992" w:type="dxa"/>
            <w:vAlign w:val="center"/>
          </w:tcPr>
          <w:p w14:paraId="0FC8B25F">
            <w:pPr>
              <w:jc w:val="center"/>
              <w:rPr>
                <w:b/>
                <w:bCs/>
                <w:color w:val="000000"/>
                <w:sz w:val="20"/>
                <w:szCs w:val="20"/>
              </w:rPr>
            </w:pPr>
          </w:p>
        </w:tc>
      </w:tr>
      <w:tr w14:paraId="5F99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55250608">
            <w:pPr>
              <w:jc w:val="center"/>
              <w:rPr>
                <w:color w:val="000000"/>
                <w:sz w:val="20"/>
                <w:szCs w:val="20"/>
              </w:rPr>
            </w:pPr>
          </w:p>
        </w:tc>
        <w:tc>
          <w:tcPr>
            <w:tcW w:w="2409" w:type="dxa"/>
            <w:vAlign w:val="center"/>
          </w:tcPr>
          <w:p w14:paraId="0865538D">
            <w:pPr>
              <w:rPr>
                <w:color w:val="000000"/>
                <w:sz w:val="20"/>
                <w:szCs w:val="20"/>
              </w:rPr>
            </w:pPr>
            <w:r>
              <w:rPr>
                <w:color w:val="000000"/>
                <w:sz w:val="20"/>
                <w:szCs w:val="20"/>
              </w:rPr>
              <w:t>Đất nhà ở liền kề kết hợp kinh doanh 41</w:t>
            </w:r>
          </w:p>
        </w:tc>
        <w:tc>
          <w:tcPr>
            <w:tcW w:w="1033" w:type="dxa"/>
            <w:vAlign w:val="center"/>
          </w:tcPr>
          <w:p w14:paraId="3242F841">
            <w:pPr>
              <w:jc w:val="center"/>
              <w:rPr>
                <w:color w:val="000000"/>
                <w:sz w:val="20"/>
                <w:szCs w:val="20"/>
              </w:rPr>
            </w:pPr>
            <w:r>
              <w:rPr>
                <w:color w:val="000000"/>
                <w:sz w:val="20"/>
                <w:szCs w:val="20"/>
              </w:rPr>
              <w:t>LK41</w:t>
            </w:r>
          </w:p>
        </w:tc>
        <w:tc>
          <w:tcPr>
            <w:tcW w:w="1459" w:type="dxa"/>
            <w:vAlign w:val="center"/>
          </w:tcPr>
          <w:p w14:paraId="4E3A99A6">
            <w:pPr>
              <w:jc w:val="center"/>
              <w:rPr>
                <w:color w:val="000000"/>
                <w:sz w:val="20"/>
                <w:szCs w:val="20"/>
              </w:rPr>
            </w:pPr>
            <w:r>
              <w:rPr>
                <w:color w:val="000000"/>
                <w:sz w:val="20"/>
                <w:szCs w:val="20"/>
              </w:rPr>
              <w:t>946,50</w:t>
            </w:r>
          </w:p>
        </w:tc>
        <w:tc>
          <w:tcPr>
            <w:tcW w:w="1273" w:type="dxa"/>
            <w:vAlign w:val="center"/>
          </w:tcPr>
          <w:p w14:paraId="39254C72">
            <w:pPr>
              <w:jc w:val="center"/>
              <w:rPr>
                <w:color w:val="000000"/>
                <w:sz w:val="20"/>
                <w:szCs w:val="20"/>
              </w:rPr>
            </w:pPr>
            <w:r>
              <w:rPr>
                <w:color w:val="000000"/>
                <w:sz w:val="20"/>
                <w:szCs w:val="20"/>
              </w:rPr>
              <w:t>0,48%</w:t>
            </w:r>
          </w:p>
        </w:tc>
        <w:tc>
          <w:tcPr>
            <w:tcW w:w="2047" w:type="dxa"/>
            <w:vAlign w:val="center"/>
          </w:tcPr>
          <w:p w14:paraId="66F294C4">
            <w:pPr>
              <w:jc w:val="center"/>
              <w:rPr>
                <w:color w:val="000000"/>
                <w:sz w:val="20"/>
                <w:szCs w:val="20"/>
              </w:rPr>
            </w:pPr>
            <w:r>
              <w:rPr>
                <w:color w:val="000000"/>
                <w:sz w:val="20"/>
                <w:szCs w:val="20"/>
              </w:rPr>
              <w:t>817,1</w:t>
            </w:r>
          </w:p>
        </w:tc>
        <w:tc>
          <w:tcPr>
            <w:tcW w:w="1276" w:type="dxa"/>
            <w:vAlign w:val="center"/>
          </w:tcPr>
          <w:p w14:paraId="03421DDD">
            <w:pPr>
              <w:jc w:val="center"/>
              <w:rPr>
                <w:color w:val="000000"/>
                <w:sz w:val="20"/>
                <w:szCs w:val="20"/>
              </w:rPr>
            </w:pPr>
            <w:r>
              <w:rPr>
                <w:color w:val="000000"/>
                <w:sz w:val="20"/>
                <w:szCs w:val="20"/>
              </w:rPr>
              <w:t>4.085,50</w:t>
            </w:r>
          </w:p>
        </w:tc>
        <w:tc>
          <w:tcPr>
            <w:tcW w:w="992" w:type="dxa"/>
            <w:vAlign w:val="center"/>
          </w:tcPr>
          <w:p w14:paraId="1A806807">
            <w:pPr>
              <w:jc w:val="center"/>
              <w:rPr>
                <w:color w:val="000000"/>
                <w:sz w:val="20"/>
                <w:szCs w:val="20"/>
              </w:rPr>
            </w:pPr>
            <w:r>
              <w:rPr>
                <w:color w:val="000000"/>
                <w:sz w:val="20"/>
                <w:szCs w:val="20"/>
              </w:rPr>
              <w:t>88</w:t>
            </w:r>
          </w:p>
        </w:tc>
        <w:tc>
          <w:tcPr>
            <w:tcW w:w="992" w:type="dxa"/>
            <w:vAlign w:val="center"/>
          </w:tcPr>
          <w:p w14:paraId="4B23859F">
            <w:pPr>
              <w:jc w:val="center"/>
              <w:rPr>
                <w:color w:val="000000"/>
                <w:sz w:val="20"/>
                <w:szCs w:val="20"/>
              </w:rPr>
            </w:pPr>
            <w:r>
              <w:rPr>
                <w:color w:val="000000"/>
                <w:sz w:val="20"/>
                <w:szCs w:val="20"/>
              </w:rPr>
              <w:t>5</w:t>
            </w:r>
          </w:p>
        </w:tc>
        <w:tc>
          <w:tcPr>
            <w:tcW w:w="1134" w:type="dxa"/>
            <w:vAlign w:val="center"/>
          </w:tcPr>
          <w:p w14:paraId="2CCA14A2">
            <w:pPr>
              <w:jc w:val="center"/>
              <w:rPr>
                <w:color w:val="000000"/>
                <w:sz w:val="20"/>
                <w:szCs w:val="20"/>
              </w:rPr>
            </w:pPr>
            <w:r>
              <w:rPr>
                <w:color w:val="000000"/>
                <w:sz w:val="20"/>
                <w:szCs w:val="20"/>
              </w:rPr>
              <w:t>4,4</w:t>
            </w:r>
          </w:p>
        </w:tc>
        <w:tc>
          <w:tcPr>
            <w:tcW w:w="993" w:type="dxa"/>
            <w:vAlign w:val="center"/>
          </w:tcPr>
          <w:p w14:paraId="5F864598">
            <w:pPr>
              <w:jc w:val="center"/>
              <w:rPr>
                <w:color w:val="000000"/>
                <w:sz w:val="20"/>
                <w:szCs w:val="20"/>
              </w:rPr>
            </w:pPr>
            <w:r>
              <w:rPr>
                <w:color w:val="000000"/>
                <w:sz w:val="20"/>
                <w:szCs w:val="20"/>
              </w:rPr>
              <w:t>10</w:t>
            </w:r>
          </w:p>
        </w:tc>
        <w:tc>
          <w:tcPr>
            <w:tcW w:w="992" w:type="dxa"/>
            <w:vAlign w:val="center"/>
          </w:tcPr>
          <w:p w14:paraId="3D28C1A5">
            <w:pPr>
              <w:jc w:val="center"/>
              <w:rPr>
                <w:b/>
                <w:bCs/>
                <w:color w:val="000000"/>
                <w:sz w:val="20"/>
                <w:szCs w:val="20"/>
              </w:rPr>
            </w:pPr>
          </w:p>
        </w:tc>
      </w:tr>
      <w:tr w14:paraId="6A53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23A476E9">
            <w:pPr>
              <w:jc w:val="center"/>
              <w:rPr>
                <w:color w:val="000000"/>
                <w:sz w:val="20"/>
                <w:szCs w:val="20"/>
              </w:rPr>
            </w:pPr>
          </w:p>
        </w:tc>
        <w:tc>
          <w:tcPr>
            <w:tcW w:w="2409" w:type="dxa"/>
            <w:vAlign w:val="center"/>
          </w:tcPr>
          <w:p w14:paraId="77729811">
            <w:pPr>
              <w:rPr>
                <w:color w:val="000000"/>
                <w:sz w:val="20"/>
                <w:szCs w:val="20"/>
              </w:rPr>
            </w:pPr>
            <w:r>
              <w:rPr>
                <w:color w:val="000000"/>
                <w:sz w:val="20"/>
                <w:szCs w:val="20"/>
              </w:rPr>
              <w:t>Đất nhà ở liền kề kết hợp kinh doanh 42</w:t>
            </w:r>
          </w:p>
        </w:tc>
        <w:tc>
          <w:tcPr>
            <w:tcW w:w="1033" w:type="dxa"/>
            <w:vAlign w:val="center"/>
          </w:tcPr>
          <w:p w14:paraId="0240B2B3">
            <w:pPr>
              <w:jc w:val="center"/>
              <w:rPr>
                <w:color w:val="000000"/>
                <w:sz w:val="20"/>
                <w:szCs w:val="20"/>
              </w:rPr>
            </w:pPr>
            <w:r>
              <w:rPr>
                <w:color w:val="000000"/>
                <w:sz w:val="20"/>
                <w:szCs w:val="20"/>
              </w:rPr>
              <w:t>LK42</w:t>
            </w:r>
          </w:p>
        </w:tc>
        <w:tc>
          <w:tcPr>
            <w:tcW w:w="1459" w:type="dxa"/>
            <w:vAlign w:val="center"/>
          </w:tcPr>
          <w:p w14:paraId="07142D82">
            <w:pPr>
              <w:jc w:val="center"/>
              <w:rPr>
                <w:color w:val="000000"/>
                <w:sz w:val="20"/>
                <w:szCs w:val="20"/>
              </w:rPr>
            </w:pPr>
            <w:r>
              <w:rPr>
                <w:color w:val="000000"/>
                <w:sz w:val="20"/>
                <w:szCs w:val="20"/>
              </w:rPr>
              <w:t>946,50</w:t>
            </w:r>
          </w:p>
        </w:tc>
        <w:tc>
          <w:tcPr>
            <w:tcW w:w="1273" w:type="dxa"/>
            <w:vAlign w:val="center"/>
          </w:tcPr>
          <w:p w14:paraId="2C229BB6">
            <w:pPr>
              <w:jc w:val="center"/>
              <w:rPr>
                <w:color w:val="000000"/>
                <w:sz w:val="20"/>
                <w:szCs w:val="20"/>
              </w:rPr>
            </w:pPr>
            <w:r>
              <w:rPr>
                <w:color w:val="000000"/>
                <w:sz w:val="20"/>
                <w:szCs w:val="20"/>
              </w:rPr>
              <w:t>0,48%</w:t>
            </w:r>
          </w:p>
        </w:tc>
        <w:tc>
          <w:tcPr>
            <w:tcW w:w="2047" w:type="dxa"/>
            <w:vAlign w:val="center"/>
          </w:tcPr>
          <w:p w14:paraId="46BC6A87">
            <w:pPr>
              <w:jc w:val="center"/>
              <w:rPr>
                <w:color w:val="000000"/>
                <w:sz w:val="20"/>
                <w:szCs w:val="20"/>
              </w:rPr>
            </w:pPr>
            <w:r>
              <w:rPr>
                <w:color w:val="000000"/>
                <w:sz w:val="20"/>
                <w:szCs w:val="20"/>
              </w:rPr>
              <w:t>817,1</w:t>
            </w:r>
          </w:p>
        </w:tc>
        <w:tc>
          <w:tcPr>
            <w:tcW w:w="1276" w:type="dxa"/>
            <w:vAlign w:val="center"/>
          </w:tcPr>
          <w:p w14:paraId="454F8A55">
            <w:pPr>
              <w:jc w:val="center"/>
              <w:rPr>
                <w:color w:val="000000"/>
                <w:sz w:val="20"/>
                <w:szCs w:val="20"/>
              </w:rPr>
            </w:pPr>
            <w:r>
              <w:rPr>
                <w:color w:val="000000"/>
                <w:sz w:val="20"/>
                <w:szCs w:val="20"/>
              </w:rPr>
              <w:t>4.085,50</w:t>
            </w:r>
          </w:p>
        </w:tc>
        <w:tc>
          <w:tcPr>
            <w:tcW w:w="992" w:type="dxa"/>
            <w:vAlign w:val="center"/>
          </w:tcPr>
          <w:p w14:paraId="177AB367">
            <w:pPr>
              <w:jc w:val="center"/>
              <w:rPr>
                <w:color w:val="000000"/>
                <w:sz w:val="20"/>
                <w:szCs w:val="20"/>
              </w:rPr>
            </w:pPr>
            <w:r>
              <w:rPr>
                <w:color w:val="000000"/>
                <w:sz w:val="20"/>
                <w:szCs w:val="20"/>
              </w:rPr>
              <w:t>88</w:t>
            </w:r>
          </w:p>
        </w:tc>
        <w:tc>
          <w:tcPr>
            <w:tcW w:w="992" w:type="dxa"/>
            <w:vAlign w:val="center"/>
          </w:tcPr>
          <w:p w14:paraId="594125B2">
            <w:pPr>
              <w:jc w:val="center"/>
              <w:rPr>
                <w:color w:val="000000"/>
                <w:sz w:val="20"/>
                <w:szCs w:val="20"/>
              </w:rPr>
            </w:pPr>
            <w:r>
              <w:rPr>
                <w:color w:val="000000"/>
                <w:sz w:val="20"/>
                <w:szCs w:val="20"/>
              </w:rPr>
              <w:t>5</w:t>
            </w:r>
          </w:p>
        </w:tc>
        <w:tc>
          <w:tcPr>
            <w:tcW w:w="1134" w:type="dxa"/>
            <w:vAlign w:val="center"/>
          </w:tcPr>
          <w:p w14:paraId="33500F1B">
            <w:pPr>
              <w:jc w:val="center"/>
              <w:rPr>
                <w:color w:val="000000"/>
                <w:sz w:val="20"/>
                <w:szCs w:val="20"/>
              </w:rPr>
            </w:pPr>
            <w:r>
              <w:rPr>
                <w:color w:val="000000"/>
                <w:sz w:val="20"/>
                <w:szCs w:val="20"/>
              </w:rPr>
              <w:t>4,4</w:t>
            </w:r>
          </w:p>
        </w:tc>
        <w:tc>
          <w:tcPr>
            <w:tcW w:w="993" w:type="dxa"/>
            <w:vAlign w:val="center"/>
          </w:tcPr>
          <w:p w14:paraId="216058CD">
            <w:pPr>
              <w:jc w:val="center"/>
              <w:rPr>
                <w:color w:val="000000"/>
                <w:sz w:val="20"/>
                <w:szCs w:val="20"/>
              </w:rPr>
            </w:pPr>
            <w:r>
              <w:rPr>
                <w:color w:val="000000"/>
                <w:sz w:val="20"/>
                <w:szCs w:val="20"/>
              </w:rPr>
              <w:t>10</w:t>
            </w:r>
          </w:p>
        </w:tc>
        <w:tc>
          <w:tcPr>
            <w:tcW w:w="992" w:type="dxa"/>
            <w:vAlign w:val="center"/>
          </w:tcPr>
          <w:p w14:paraId="083B69B9">
            <w:pPr>
              <w:jc w:val="center"/>
              <w:rPr>
                <w:b/>
                <w:bCs/>
                <w:color w:val="000000"/>
                <w:sz w:val="20"/>
                <w:szCs w:val="20"/>
              </w:rPr>
            </w:pPr>
          </w:p>
        </w:tc>
      </w:tr>
      <w:tr w14:paraId="33D0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21BB4740">
            <w:pPr>
              <w:jc w:val="center"/>
              <w:rPr>
                <w:color w:val="000000"/>
                <w:sz w:val="20"/>
                <w:szCs w:val="20"/>
              </w:rPr>
            </w:pPr>
          </w:p>
        </w:tc>
        <w:tc>
          <w:tcPr>
            <w:tcW w:w="2409" w:type="dxa"/>
            <w:vAlign w:val="center"/>
          </w:tcPr>
          <w:p w14:paraId="28A926F6">
            <w:pPr>
              <w:rPr>
                <w:color w:val="000000"/>
                <w:sz w:val="20"/>
                <w:szCs w:val="20"/>
              </w:rPr>
            </w:pPr>
            <w:r>
              <w:rPr>
                <w:color w:val="000000"/>
                <w:sz w:val="20"/>
                <w:szCs w:val="20"/>
              </w:rPr>
              <w:t>Đất nhà ở liền kề kết hợp kinh doanh 43</w:t>
            </w:r>
          </w:p>
        </w:tc>
        <w:tc>
          <w:tcPr>
            <w:tcW w:w="1033" w:type="dxa"/>
            <w:vAlign w:val="center"/>
          </w:tcPr>
          <w:p w14:paraId="7C48747E">
            <w:pPr>
              <w:jc w:val="center"/>
              <w:rPr>
                <w:color w:val="000000"/>
                <w:sz w:val="20"/>
                <w:szCs w:val="20"/>
              </w:rPr>
            </w:pPr>
            <w:r>
              <w:rPr>
                <w:color w:val="000000"/>
                <w:sz w:val="20"/>
                <w:szCs w:val="20"/>
              </w:rPr>
              <w:t>LK43</w:t>
            </w:r>
          </w:p>
        </w:tc>
        <w:tc>
          <w:tcPr>
            <w:tcW w:w="1459" w:type="dxa"/>
            <w:vAlign w:val="center"/>
          </w:tcPr>
          <w:p w14:paraId="02AA10C5">
            <w:pPr>
              <w:jc w:val="center"/>
              <w:rPr>
                <w:color w:val="000000"/>
                <w:sz w:val="20"/>
                <w:szCs w:val="20"/>
              </w:rPr>
            </w:pPr>
            <w:r>
              <w:rPr>
                <w:color w:val="000000"/>
                <w:sz w:val="20"/>
                <w:szCs w:val="20"/>
              </w:rPr>
              <w:t>798,50</w:t>
            </w:r>
          </w:p>
        </w:tc>
        <w:tc>
          <w:tcPr>
            <w:tcW w:w="1273" w:type="dxa"/>
            <w:vAlign w:val="center"/>
          </w:tcPr>
          <w:p w14:paraId="515206F2">
            <w:pPr>
              <w:jc w:val="center"/>
              <w:rPr>
                <w:color w:val="000000"/>
                <w:sz w:val="20"/>
                <w:szCs w:val="20"/>
              </w:rPr>
            </w:pPr>
            <w:r>
              <w:rPr>
                <w:color w:val="000000"/>
                <w:sz w:val="20"/>
                <w:szCs w:val="20"/>
              </w:rPr>
              <w:t>0,40%</w:t>
            </w:r>
          </w:p>
        </w:tc>
        <w:tc>
          <w:tcPr>
            <w:tcW w:w="2047" w:type="dxa"/>
            <w:vAlign w:val="center"/>
          </w:tcPr>
          <w:p w14:paraId="52E1404A">
            <w:pPr>
              <w:jc w:val="center"/>
              <w:rPr>
                <w:color w:val="000000"/>
                <w:sz w:val="20"/>
                <w:szCs w:val="20"/>
              </w:rPr>
            </w:pPr>
            <w:r>
              <w:rPr>
                <w:color w:val="000000"/>
                <w:sz w:val="20"/>
                <w:szCs w:val="20"/>
              </w:rPr>
              <w:t>1.420,8</w:t>
            </w:r>
          </w:p>
        </w:tc>
        <w:tc>
          <w:tcPr>
            <w:tcW w:w="1276" w:type="dxa"/>
            <w:vAlign w:val="center"/>
          </w:tcPr>
          <w:p w14:paraId="266C4794">
            <w:pPr>
              <w:jc w:val="center"/>
              <w:rPr>
                <w:color w:val="000000"/>
                <w:sz w:val="20"/>
                <w:szCs w:val="20"/>
              </w:rPr>
            </w:pPr>
            <w:r>
              <w:rPr>
                <w:color w:val="000000"/>
                <w:sz w:val="20"/>
                <w:szCs w:val="20"/>
              </w:rPr>
              <w:t>7.104,00</w:t>
            </w:r>
          </w:p>
        </w:tc>
        <w:tc>
          <w:tcPr>
            <w:tcW w:w="992" w:type="dxa"/>
            <w:vAlign w:val="center"/>
          </w:tcPr>
          <w:p w14:paraId="2302B370">
            <w:pPr>
              <w:jc w:val="center"/>
              <w:rPr>
                <w:color w:val="000000"/>
                <w:sz w:val="20"/>
                <w:szCs w:val="20"/>
              </w:rPr>
            </w:pPr>
            <w:r>
              <w:rPr>
                <w:color w:val="000000"/>
                <w:sz w:val="20"/>
                <w:szCs w:val="20"/>
              </w:rPr>
              <w:t>93</w:t>
            </w:r>
          </w:p>
        </w:tc>
        <w:tc>
          <w:tcPr>
            <w:tcW w:w="992" w:type="dxa"/>
            <w:vAlign w:val="center"/>
          </w:tcPr>
          <w:p w14:paraId="39AA8BC8">
            <w:pPr>
              <w:jc w:val="center"/>
              <w:rPr>
                <w:color w:val="000000"/>
                <w:sz w:val="20"/>
                <w:szCs w:val="20"/>
              </w:rPr>
            </w:pPr>
            <w:r>
              <w:rPr>
                <w:color w:val="000000"/>
                <w:sz w:val="20"/>
                <w:szCs w:val="20"/>
              </w:rPr>
              <w:t>5</w:t>
            </w:r>
          </w:p>
        </w:tc>
        <w:tc>
          <w:tcPr>
            <w:tcW w:w="1134" w:type="dxa"/>
            <w:vAlign w:val="center"/>
          </w:tcPr>
          <w:p w14:paraId="5EC1450E">
            <w:pPr>
              <w:jc w:val="center"/>
              <w:rPr>
                <w:color w:val="000000"/>
                <w:sz w:val="20"/>
                <w:szCs w:val="20"/>
              </w:rPr>
            </w:pPr>
            <w:r>
              <w:rPr>
                <w:color w:val="000000"/>
                <w:sz w:val="20"/>
                <w:szCs w:val="20"/>
              </w:rPr>
              <w:t>4,7</w:t>
            </w:r>
          </w:p>
        </w:tc>
        <w:tc>
          <w:tcPr>
            <w:tcW w:w="993" w:type="dxa"/>
            <w:vAlign w:val="center"/>
          </w:tcPr>
          <w:p w14:paraId="37831C47">
            <w:pPr>
              <w:jc w:val="center"/>
              <w:rPr>
                <w:color w:val="000000"/>
                <w:sz w:val="20"/>
                <w:szCs w:val="20"/>
              </w:rPr>
            </w:pPr>
            <w:r>
              <w:rPr>
                <w:color w:val="000000"/>
                <w:sz w:val="20"/>
                <w:szCs w:val="20"/>
              </w:rPr>
              <w:t>9</w:t>
            </w:r>
          </w:p>
        </w:tc>
        <w:tc>
          <w:tcPr>
            <w:tcW w:w="992" w:type="dxa"/>
            <w:vAlign w:val="center"/>
          </w:tcPr>
          <w:p w14:paraId="3BE0A2BD">
            <w:pPr>
              <w:jc w:val="center"/>
              <w:rPr>
                <w:b/>
                <w:bCs/>
                <w:color w:val="000000"/>
                <w:sz w:val="20"/>
                <w:szCs w:val="20"/>
              </w:rPr>
            </w:pPr>
          </w:p>
        </w:tc>
      </w:tr>
      <w:tr w14:paraId="4C5E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F064921">
            <w:pPr>
              <w:jc w:val="center"/>
              <w:rPr>
                <w:color w:val="000000"/>
                <w:sz w:val="20"/>
                <w:szCs w:val="20"/>
              </w:rPr>
            </w:pPr>
          </w:p>
        </w:tc>
        <w:tc>
          <w:tcPr>
            <w:tcW w:w="2409" w:type="dxa"/>
            <w:vAlign w:val="center"/>
          </w:tcPr>
          <w:p w14:paraId="3F30491C">
            <w:pPr>
              <w:rPr>
                <w:color w:val="000000"/>
                <w:sz w:val="20"/>
                <w:szCs w:val="20"/>
              </w:rPr>
            </w:pPr>
            <w:r>
              <w:rPr>
                <w:color w:val="000000"/>
                <w:sz w:val="20"/>
                <w:szCs w:val="20"/>
              </w:rPr>
              <w:t>Đất nhà ở liền kề kết hợp kinh doanh 44</w:t>
            </w:r>
          </w:p>
        </w:tc>
        <w:tc>
          <w:tcPr>
            <w:tcW w:w="1033" w:type="dxa"/>
            <w:vAlign w:val="center"/>
          </w:tcPr>
          <w:p w14:paraId="3A719402">
            <w:pPr>
              <w:jc w:val="center"/>
              <w:rPr>
                <w:color w:val="000000"/>
                <w:sz w:val="20"/>
                <w:szCs w:val="20"/>
              </w:rPr>
            </w:pPr>
            <w:r>
              <w:rPr>
                <w:color w:val="000000"/>
                <w:sz w:val="20"/>
                <w:szCs w:val="20"/>
              </w:rPr>
              <w:t>LK44</w:t>
            </w:r>
          </w:p>
        </w:tc>
        <w:tc>
          <w:tcPr>
            <w:tcW w:w="1459" w:type="dxa"/>
            <w:vAlign w:val="center"/>
          </w:tcPr>
          <w:p w14:paraId="3247EC97">
            <w:pPr>
              <w:jc w:val="center"/>
              <w:rPr>
                <w:color w:val="000000"/>
                <w:sz w:val="20"/>
                <w:szCs w:val="20"/>
              </w:rPr>
            </w:pPr>
            <w:r>
              <w:rPr>
                <w:color w:val="000000"/>
                <w:sz w:val="20"/>
                <w:szCs w:val="20"/>
              </w:rPr>
              <w:t>798,50</w:t>
            </w:r>
          </w:p>
        </w:tc>
        <w:tc>
          <w:tcPr>
            <w:tcW w:w="1273" w:type="dxa"/>
            <w:vAlign w:val="center"/>
          </w:tcPr>
          <w:p w14:paraId="0C4C2ADC">
            <w:pPr>
              <w:jc w:val="center"/>
              <w:rPr>
                <w:color w:val="000000"/>
                <w:sz w:val="20"/>
                <w:szCs w:val="20"/>
              </w:rPr>
            </w:pPr>
            <w:r>
              <w:rPr>
                <w:color w:val="000000"/>
                <w:sz w:val="20"/>
                <w:szCs w:val="20"/>
              </w:rPr>
              <w:t>0,40%</w:t>
            </w:r>
          </w:p>
        </w:tc>
        <w:tc>
          <w:tcPr>
            <w:tcW w:w="2047" w:type="dxa"/>
            <w:vAlign w:val="center"/>
          </w:tcPr>
          <w:p w14:paraId="6114F0C5">
            <w:pPr>
              <w:jc w:val="center"/>
              <w:rPr>
                <w:color w:val="000000"/>
                <w:sz w:val="20"/>
                <w:szCs w:val="20"/>
              </w:rPr>
            </w:pPr>
            <w:r>
              <w:rPr>
                <w:color w:val="000000"/>
                <w:sz w:val="20"/>
                <w:szCs w:val="20"/>
              </w:rPr>
              <w:t>710,4</w:t>
            </w:r>
          </w:p>
        </w:tc>
        <w:tc>
          <w:tcPr>
            <w:tcW w:w="1276" w:type="dxa"/>
            <w:vAlign w:val="center"/>
          </w:tcPr>
          <w:p w14:paraId="7B658DE7">
            <w:pPr>
              <w:jc w:val="center"/>
              <w:rPr>
                <w:color w:val="000000"/>
                <w:sz w:val="20"/>
                <w:szCs w:val="20"/>
              </w:rPr>
            </w:pPr>
            <w:r>
              <w:rPr>
                <w:color w:val="000000"/>
                <w:sz w:val="20"/>
                <w:szCs w:val="20"/>
              </w:rPr>
              <w:t>3.552,00</w:t>
            </w:r>
          </w:p>
        </w:tc>
        <w:tc>
          <w:tcPr>
            <w:tcW w:w="992" w:type="dxa"/>
            <w:vAlign w:val="center"/>
          </w:tcPr>
          <w:p w14:paraId="0201DD0B">
            <w:pPr>
              <w:jc w:val="center"/>
              <w:rPr>
                <w:color w:val="000000"/>
                <w:sz w:val="20"/>
                <w:szCs w:val="20"/>
              </w:rPr>
            </w:pPr>
            <w:r>
              <w:rPr>
                <w:color w:val="000000"/>
                <w:sz w:val="20"/>
                <w:szCs w:val="20"/>
              </w:rPr>
              <w:t>93</w:t>
            </w:r>
          </w:p>
        </w:tc>
        <w:tc>
          <w:tcPr>
            <w:tcW w:w="992" w:type="dxa"/>
            <w:vAlign w:val="center"/>
          </w:tcPr>
          <w:p w14:paraId="1C89A7DF">
            <w:pPr>
              <w:jc w:val="center"/>
              <w:rPr>
                <w:color w:val="000000"/>
                <w:sz w:val="20"/>
                <w:szCs w:val="20"/>
              </w:rPr>
            </w:pPr>
            <w:r>
              <w:rPr>
                <w:color w:val="000000"/>
                <w:sz w:val="20"/>
                <w:szCs w:val="20"/>
              </w:rPr>
              <w:t>5</w:t>
            </w:r>
          </w:p>
        </w:tc>
        <w:tc>
          <w:tcPr>
            <w:tcW w:w="1134" w:type="dxa"/>
            <w:vAlign w:val="center"/>
          </w:tcPr>
          <w:p w14:paraId="67F9C451">
            <w:pPr>
              <w:jc w:val="center"/>
              <w:rPr>
                <w:color w:val="000000"/>
                <w:sz w:val="20"/>
                <w:szCs w:val="20"/>
              </w:rPr>
            </w:pPr>
            <w:r>
              <w:rPr>
                <w:color w:val="000000"/>
                <w:sz w:val="20"/>
                <w:szCs w:val="20"/>
              </w:rPr>
              <w:t>4,7</w:t>
            </w:r>
          </w:p>
        </w:tc>
        <w:tc>
          <w:tcPr>
            <w:tcW w:w="993" w:type="dxa"/>
            <w:vAlign w:val="center"/>
          </w:tcPr>
          <w:p w14:paraId="73ED5201">
            <w:pPr>
              <w:jc w:val="center"/>
              <w:rPr>
                <w:color w:val="000000"/>
                <w:sz w:val="20"/>
                <w:szCs w:val="20"/>
              </w:rPr>
            </w:pPr>
            <w:r>
              <w:rPr>
                <w:color w:val="000000"/>
                <w:sz w:val="20"/>
                <w:szCs w:val="20"/>
              </w:rPr>
              <w:t>9</w:t>
            </w:r>
          </w:p>
        </w:tc>
        <w:tc>
          <w:tcPr>
            <w:tcW w:w="992" w:type="dxa"/>
            <w:vAlign w:val="center"/>
          </w:tcPr>
          <w:p w14:paraId="726FF6DB">
            <w:pPr>
              <w:jc w:val="center"/>
              <w:rPr>
                <w:b/>
                <w:bCs/>
                <w:color w:val="000000"/>
                <w:sz w:val="20"/>
                <w:szCs w:val="20"/>
              </w:rPr>
            </w:pPr>
          </w:p>
        </w:tc>
      </w:tr>
      <w:tr w14:paraId="2364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54A01A7B">
            <w:pPr>
              <w:jc w:val="center"/>
              <w:rPr>
                <w:color w:val="000000"/>
                <w:sz w:val="20"/>
                <w:szCs w:val="20"/>
              </w:rPr>
            </w:pPr>
          </w:p>
        </w:tc>
        <w:tc>
          <w:tcPr>
            <w:tcW w:w="2409" w:type="dxa"/>
            <w:vAlign w:val="center"/>
          </w:tcPr>
          <w:p w14:paraId="1D24D13A">
            <w:pPr>
              <w:rPr>
                <w:color w:val="000000"/>
                <w:sz w:val="20"/>
                <w:szCs w:val="20"/>
              </w:rPr>
            </w:pPr>
            <w:r>
              <w:rPr>
                <w:color w:val="000000"/>
                <w:sz w:val="20"/>
                <w:szCs w:val="20"/>
              </w:rPr>
              <w:t>Đất nhà ở liền kề kết hợp kinh doanh 45</w:t>
            </w:r>
          </w:p>
        </w:tc>
        <w:tc>
          <w:tcPr>
            <w:tcW w:w="1033" w:type="dxa"/>
            <w:vAlign w:val="center"/>
          </w:tcPr>
          <w:p w14:paraId="287B712B">
            <w:pPr>
              <w:jc w:val="center"/>
              <w:rPr>
                <w:color w:val="000000"/>
                <w:sz w:val="20"/>
                <w:szCs w:val="20"/>
              </w:rPr>
            </w:pPr>
            <w:r>
              <w:rPr>
                <w:color w:val="000000"/>
                <w:sz w:val="20"/>
                <w:szCs w:val="20"/>
              </w:rPr>
              <w:t>LK45</w:t>
            </w:r>
          </w:p>
        </w:tc>
        <w:tc>
          <w:tcPr>
            <w:tcW w:w="1459" w:type="dxa"/>
            <w:vAlign w:val="center"/>
          </w:tcPr>
          <w:p w14:paraId="22B142F5">
            <w:pPr>
              <w:jc w:val="center"/>
              <w:rPr>
                <w:color w:val="000000"/>
                <w:sz w:val="20"/>
                <w:szCs w:val="20"/>
              </w:rPr>
            </w:pPr>
            <w:r>
              <w:rPr>
                <w:color w:val="000000"/>
                <w:sz w:val="20"/>
                <w:szCs w:val="20"/>
              </w:rPr>
              <w:t>946,50</w:t>
            </w:r>
          </w:p>
        </w:tc>
        <w:tc>
          <w:tcPr>
            <w:tcW w:w="1273" w:type="dxa"/>
            <w:vAlign w:val="center"/>
          </w:tcPr>
          <w:p w14:paraId="05627DA9">
            <w:pPr>
              <w:jc w:val="center"/>
              <w:rPr>
                <w:color w:val="000000"/>
                <w:sz w:val="20"/>
                <w:szCs w:val="20"/>
              </w:rPr>
            </w:pPr>
            <w:r>
              <w:rPr>
                <w:color w:val="000000"/>
                <w:sz w:val="20"/>
                <w:szCs w:val="20"/>
              </w:rPr>
              <w:t>0,48%</w:t>
            </w:r>
          </w:p>
        </w:tc>
        <w:tc>
          <w:tcPr>
            <w:tcW w:w="2047" w:type="dxa"/>
            <w:vAlign w:val="center"/>
          </w:tcPr>
          <w:p w14:paraId="2E7B68E7">
            <w:pPr>
              <w:jc w:val="center"/>
              <w:rPr>
                <w:color w:val="000000"/>
                <w:sz w:val="20"/>
                <w:szCs w:val="20"/>
              </w:rPr>
            </w:pPr>
            <w:r>
              <w:rPr>
                <w:color w:val="000000"/>
                <w:sz w:val="20"/>
                <w:szCs w:val="20"/>
              </w:rPr>
              <w:t>842,2</w:t>
            </w:r>
          </w:p>
        </w:tc>
        <w:tc>
          <w:tcPr>
            <w:tcW w:w="1276" w:type="dxa"/>
            <w:vAlign w:val="center"/>
          </w:tcPr>
          <w:p w14:paraId="4F743BB6">
            <w:pPr>
              <w:jc w:val="center"/>
              <w:rPr>
                <w:color w:val="000000"/>
                <w:sz w:val="20"/>
                <w:szCs w:val="20"/>
              </w:rPr>
            </w:pPr>
            <w:r>
              <w:rPr>
                <w:color w:val="000000"/>
                <w:sz w:val="20"/>
                <w:szCs w:val="20"/>
              </w:rPr>
              <w:t>4.211,00</w:t>
            </w:r>
          </w:p>
        </w:tc>
        <w:tc>
          <w:tcPr>
            <w:tcW w:w="992" w:type="dxa"/>
            <w:vAlign w:val="center"/>
          </w:tcPr>
          <w:p w14:paraId="39238E22">
            <w:pPr>
              <w:jc w:val="center"/>
              <w:rPr>
                <w:color w:val="000000"/>
                <w:sz w:val="20"/>
                <w:szCs w:val="20"/>
              </w:rPr>
            </w:pPr>
            <w:r>
              <w:rPr>
                <w:color w:val="000000"/>
                <w:sz w:val="20"/>
                <w:szCs w:val="20"/>
              </w:rPr>
              <w:t>88</w:t>
            </w:r>
          </w:p>
        </w:tc>
        <w:tc>
          <w:tcPr>
            <w:tcW w:w="992" w:type="dxa"/>
            <w:vAlign w:val="center"/>
          </w:tcPr>
          <w:p w14:paraId="2410801A">
            <w:pPr>
              <w:jc w:val="center"/>
              <w:rPr>
                <w:color w:val="000000"/>
                <w:sz w:val="20"/>
                <w:szCs w:val="20"/>
              </w:rPr>
            </w:pPr>
            <w:r>
              <w:rPr>
                <w:color w:val="000000"/>
                <w:sz w:val="20"/>
                <w:szCs w:val="20"/>
              </w:rPr>
              <w:t>5</w:t>
            </w:r>
          </w:p>
        </w:tc>
        <w:tc>
          <w:tcPr>
            <w:tcW w:w="1134" w:type="dxa"/>
            <w:vAlign w:val="center"/>
          </w:tcPr>
          <w:p w14:paraId="280F1F71">
            <w:pPr>
              <w:jc w:val="center"/>
              <w:rPr>
                <w:color w:val="000000"/>
                <w:sz w:val="20"/>
                <w:szCs w:val="20"/>
              </w:rPr>
            </w:pPr>
            <w:r>
              <w:rPr>
                <w:color w:val="000000"/>
                <w:sz w:val="20"/>
                <w:szCs w:val="20"/>
              </w:rPr>
              <w:t>4,4</w:t>
            </w:r>
          </w:p>
        </w:tc>
        <w:tc>
          <w:tcPr>
            <w:tcW w:w="993" w:type="dxa"/>
            <w:vAlign w:val="center"/>
          </w:tcPr>
          <w:p w14:paraId="6735FC27">
            <w:pPr>
              <w:jc w:val="center"/>
              <w:rPr>
                <w:color w:val="000000"/>
                <w:sz w:val="20"/>
                <w:szCs w:val="20"/>
              </w:rPr>
            </w:pPr>
            <w:r>
              <w:rPr>
                <w:color w:val="000000"/>
                <w:sz w:val="20"/>
                <w:szCs w:val="20"/>
              </w:rPr>
              <w:t>10</w:t>
            </w:r>
          </w:p>
        </w:tc>
        <w:tc>
          <w:tcPr>
            <w:tcW w:w="992" w:type="dxa"/>
            <w:vAlign w:val="center"/>
          </w:tcPr>
          <w:p w14:paraId="1D1756A9">
            <w:pPr>
              <w:jc w:val="center"/>
              <w:rPr>
                <w:b/>
                <w:bCs/>
                <w:color w:val="000000"/>
                <w:sz w:val="20"/>
                <w:szCs w:val="20"/>
              </w:rPr>
            </w:pPr>
          </w:p>
        </w:tc>
      </w:tr>
      <w:tr w14:paraId="7E87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5BD7CC79">
            <w:pPr>
              <w:jc w:val="center"/>
              <w:rPr>
                <w:color w:val="000000"/>
                <w:sz w:val="20"/>
                <w:szCs w:val="20"/>
              </w:rPr>
            </w:pPr>
          </w:p>
        </w:tc>
        <w:tc>
          <w:tcPr>
            <w:tcW w:w="2409" w:type="dxa"/>
            <w:vAlign w:val="center"/>
          </w:tcPr>
          <w:p w14:paraId="00CC145B">
            <w:pPr>
              <w:rPr>
                <w:color w:val="000000"/>
                <w:sz w:val="20"/>
                <w:szCs w:val="20"/>
              </w:rPr>
            </w:pPr>
            <w:r>
              <w:rPr>
                <w:color w:val="000000"/>
                <w:sz w:val="20"/>
                <w:szCs w:val="20"/>
              </w:rPr>
              <w:t>Đất nhà ở liền kề kết hợp kinh doanh 46</w:t>
            </w:r>
          </w:p>
        </w:tc>
        <w:tc>
          <w:tcPr>
            <w:tcW w:w="1033" w:type="dxa"/>
            <w:vAlign w:val="center"/>
          </w:tcPr>
          <w:p w14:paraId="303584BB">
            <w:pPr>
              <w:jc w:val="center"/>
              <w:rPr>
                <w:color w:val="000000"/>
                <w:sz w:val="20"/>
                <w:szCs w:val="20"/>
              </w:rPr>
            </w:pPr>
            <w:r>
              <w:rPr>
                <w:color w:val="000000"/>
                <w:sz w:val="20"/>
                <w:szCs w:val="20"/>
              </w:rPr>
              <w:t>LK46</w:t>
            </w:r>
          </w:p>
        </w:tc>
        <w:tc>
          <w:tcPr>
            <w:tcW w:w="1459" w:type="dxa"/>
            <w:vAlign w:val="center"/>
          </w:tcPr>
          <w:p w14:paraId="1031D114">
            <w:pPr>
              <w:jc w:val="center"/>
              <w:rPr>
                <w:color w:val="000000"/>
                <w:sz w:val="20"/>
                <w:szCs w:val="20"/>
              </w:rPr>
            </w:pPr>
            <w:r>
              <w:rPr>
                <w:color w:val="000000"/>
                <w:sz w:val="20"/>
                <w:szCs w:val="20"/>
              </w:rPr>
              <w:t>946,50</w:t>
            </w:r>
          </w:p>
        </w:tc>
        <w:tc>
          <w:tcPr>
            <w:tcW w:w="1273" w:type="dxa"/>
            <w:vAlign w:val="center"/>
          </w:tcPr>
          <w:p w14:paraId="622EB4C2">
            <w:pPr>
              <w:jc w:val="center"/>
              <w:rPr>
                <w:color w:val="000000"/>
                <w:sz w:val="20"/>
                <w:szCs w:val="20"/>
              </w:rPr>
            </w:pPr>
            <w:r>
              <w:rPr>
                <w:color w:val="000000"/>
                <w:sz w:val="20"/>
                <w:szCs w:val="20"/>
              </w:rPr>
              <w:t>0,48%</w:t>
            </w:r>
          </w:p>
        </w:tc>
        <w:tc>
          <w:tcPr>
            <w:tcW w:w="2047" w:type="dxa"/>
            <w:vAlign w:val="center"/>
          </w:tcPr>
          <w:p w14:paraId="34D9596C">
            <w:pPr>
              <w:jc w:val="center"/>
              <w:rPr>
                <w:color w:val="000000"/>
                <w:sz w:val="20"/>
                <w:szCs w:val="20"/>
              </w:rPr>
            </w:pPr>
            <w:r>
              <w:rPr>
                <w:color w:val="000000"/>
                <w:sz w:val="20"/>
                <w:szCs w:val="20"/>
              </w:rPr>
              <w:t>817,1</w:t>
            </w:r>
          </w:p>
        </w:tc>
        <w:tc>
          <w:tcPr>
            <w:tcW w:w="1276" w:type="dxa"/>
            <w:vAlign w:val="center"/>
          </w:tcPr>
          <w:p w14:paraId="1148456D">
            <w:pPr>
              <w:jc w:val="center"/>
              <w:rPr>
                <w:color w:val="000000"/>
                <w:sz w:val="20"/>
                <w:szCs w:val="20"/>
              </w:rPr>
            </w:pPr>
            <w:r>
              <w:rPr>
                <w:color w:val="000000"/>
                <w:sz w:val="20"/>
                <w:szCs w:val="20"/>
              </w:rPr>
              <w:t>4.085,50</w:t>
            </w:r>
          </w:p>
        </w:tc>
        <w:tc>
          <w:tcPr>
            <w:tcW w:w="992" w:type="dxa"/>
            <w:vAlign w:val="center"/>
          </w:tcPr>
          <w:p w14:paraId="1C9C1B20">
            <w:pPr>
              <w:jc w:val="center"/>
              <w:rPr>
                <w:color w:val="000000"/>
                <w:sz w:val="20"/>
                <w:szCs w:val="20"/>
              </w:rPr>
            </w:pPr>
            <w:r>
              <w:rPr>
                <w:color w:val="000000"/>
                <w:sz w:val="20"/>
                <w:szCs w:val="20"/>
              </w:rPr>
              <w:t>88</w:t>
            </w:r>
          </w:p>
        </w:tc>
        <w:tc>
          <w:tcPr>
            <w:tcW w:w="992" w:type="dxa"/>
            <w:vAlign w:val="center"/>
          </w:tcPr>
          <w:p w14:paraId="2BC95AC4">
            <w:pPr>
              <w:jc w:val="center"/>
              <w:rPr>
                <w:color w:val="000000"/>
                <w:sz w:val="20"/>
                <w:szCs w:val="20"/>
              </w:rPr>
            </w:pPr>
            <w:r>
              <w:rPr>
                <w:color w:val="000000"/>
                <w:sz w:val="20"/>
                <w:szCs w:val="20"/>
              </w:rPr>
              <w:t>5</w:t>
            </w:r>
          </w:p>
        </w:tc>
        <w:tc>
          <w:tcPr>
            <w:tcW w:w="1134" w:type="dxa"/>
            <w:vAlign w:val="center"/>
          </w:tcPr>
          <w:p w14:paraId="66ABD742">
            <w:pPr>
              <w:jc w:val="center"/>
              <w:rPr>
                <w:color w:val="000000"/>
                <w:sz w:val="20"/>
                <w:szCs w:val="20"/>
              </w:rPr>
            </w:pPr>
            <w:r>
              <w:rPr>
                <w:color w:val="000000"/>
                <w:sz w:val="20"/>
                <w:szCs w:val="20"/>
              </w:rPr>
              <w:t>4,4</w:t>
            </w:r>
          </w:p>
        </w:tc>
        <w:tc>
          <w:tcPr>
            <w:tcW w:w="993" w:type="dxa"/>
            <w:vAlign w:val="center"/>
          </w:tcPr>
          <w:p w14:paraId="696DF8CF">
            <w:pPr>
              <w:jc w:val="center"/>
              <w:rPr>
                <w:color w:val="000000"/>
                <w:sz w:val="20"/>
                <w:szCs w:val="20"/>
              </w:rPr>
            </w:pPr>
            <w:r>
              <w:rPr>
                <w:color w:val="000000"/>
                <w:sz w:val="20"/>
                <w:szCs w:val="20"/>
              </w:rPr>
              <w:t>10</w:t>
            </w:r>
          </w:p>
        </w:tc>
        <w:tc>
          <w:tcPr>
            <w:tcW w:w="992" w:type="dxa"/>
            <w:vAlign w:val="center"/>
          </w:tcPr>
          <w:p w14:paraId="3AEF0460">
            <w:pPr>
              <w:jc w:val="center"/>
              <w:rPr>
                <w:b/>
                <w:bCs/>
                <w:color w:val="000000"/>
                <w:sz w:val="20"/>
                <w:szCs w:val="20"/>
              </w:rPr>
            </w:pPr>
          </w:p>
        </w:tc>
      </w:tr>
      <w:tr w14:paraId="3DD1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7428644">
            <w:pPr>
              <w:jc w:val="center"/>
              <w:rPr>
                <w:color w:val="000000"/>
                <w:sz w:val="20"/>
                <w:szCs w:val="20"/>
              </w:rPr>
            </w:pPr>
          </w:p>
        </w:tc>
        <w:tc>
          <w:tcPr>
            <w:tcW w:w="2409" w:type="dxa"/>
            <w:vAlign w:val="center"/>
          </w:tcPr>
          <w:p w14:paraId="0E25A2F7">
            <w:pPr>
              <w:rPr>
                <w:color w:val="000000"/>
                <w:sz w:val="20"/>
                <w:szCs w:val="20"/>
              </w:rPr>
            </w:pPr>
            <w:r>
              <w:rPr>
                <w:color w:val="000000"/>
                <w:sz w:val="20"/>
                <w:szCs w:val="20"/>
              </w:rPr>
              <w:t>Đất nhà ở liền kề kết hợp kinh doanh 47</w:t>
            </w:r>
          </w:p>
        </w:tc>
        <w:tc>
          <w:tcPr>
            <w:tcW w:w="1033" w:type="dxa"/>
            <w:vAlign w:val="center"/>
          </w:tcPr>
          <w:p w14:paraId="54E9A36A">
            <w:pPr>
              <w:jc w:val="center"/>
              <w:rPr>
                <w:color w:val="000000"/>
                <w:sz w:val="20"/>
                <w:szCs w:val="20"/>
              </w:rPr>
            </w:pPr>
            <w:r>
              <w:rPr>
                <w:color w:val="000000"/>
                <w:sz w:val="20"/>
                <w:szCs w:val="20"/>
              </w:rPr>
              <w:t>LK47</w:t>
            </w:r>
          </w:p>
        </w:tc>
        <w:tc>
          <w:tcPr>
            <w:tcW w:w="1459" w:type="dxa"/>
            <w:vAlign w:val="center"/>
          </w:tcPr>
          <w:p w14:paraId="222EF080">
            <w:pPr>
              <w:jc w:val="center"/>
              <w:rPr>
                <w:color w:val="000000"/>
                <w:sz w:val="20"/>
                <w:szCs w:val="20"/>
              </w:rPr>
            </w:pPr>
            <w:r>
              <w:rPr>
                <w:color w:val="000000"/>
                <w:sz w:val="20"/>
                <w:szCs w:val="20"/>
              </w:rPr>
              <w:t>946,50</w:t>
            </w:r>
          </w:p>
        </w:tc>
        <w:tc>
          <w:tcPr>
            <w:tcW w:w="1273" w:type="dxa"/>
            <w:vAlign w:val="center"/>
          </w:tcPr>
          <w:p w14:paraId="7DCD33EA">
            <w:pPr>
              <w:jc w:val="center"/>
              <w:rPr>
                <w:color w:val="000000"/>
                <w:sz w:val="20"/>
                <w:szCs w:val="20"/>
              </w:rPr>
            </w:pPr>
            <w:r>
              <w:rPr>
                <w:color w:val="000000"/>
                <w:sz w:val="20"/>
                <w:szCs w:val="20"/>
              </w:rPr>
              <w:t>0,48%</w:t>
            </w:r>
          </w:p>
        </w:tc>
        <w:tc>
          <w:tcPr>
            <w:tcW w:w="2047" w:type="dxa"/>
            <w:vAlign w:val="center"/>
          </w:tcPr>
          <w:p w14:paraId="444D9AE8">
            <w:pPr>
              <w:jc w:val="center"/>
              <w:rPr>
                <w:color w:val="000000"/>
                <w:sz w:val="20"/>
                <w:szCs w:val="20"/>
              </w:rPr>
            </w:pPr>
            <w:r>
              <w:rPr>
                <w:color w:val="000000"/>
                <w:sz w:val="20"/>
                <w:szCs w:val="20"/>
              </w:rPr>
              <w:t>817,1</w:t>
            </w:r>
          </w:p>
        </w:tc>
        <w:tc>
          <w:tcPr>
            <w:tcW w:w="1276" w:type="dxa"/>
            <w:vAlign w:val="center"/>
          </w:tcPr>
          <w:p w14:paraId="703C9CB5">
            <w:pPr>
              <w:jc w:val="center"/>
              <w:rPr>
                <w:color w:val="000000"/>
                <w:sz w:val="20"/>
                <w:szCs w:val="20"/>
              </w:rPr>
            </w:pPr>
            <w:r>
              <w:rPr>
                <w:color w:val="000000"/>
                <w:sz w:val="20"/>
                <w:szCs w:val="20"/>
              </w:rPr>
              <w:t>4.085,50</w:t>
            </w:r>
          </w:p>
        </w:tc>
        <w:tc>
          <w:tcPr>
            <w:tcW w:w="992" w:type="dxa"/>
            <w:vAlign w:val="center"/>
          </w:tcPr>
          <w:p w14:paraId="6054B135">
            <w:pPr>
              <w:jc w:val="center"/>
              <w:rPr>
                <w:color w:val="000000"/>
                <w:sz w:val="20"/>
                <w:szCs w:val="20"/>
              </w:rPr>
            </w:pPr>
            <w:r>
              <w:rPr>
                <w:color w:val="000000"/>
                <w:sz w:val="20"/>
                <w:szCs w:val="20"/>
              </w:rPr>
              <w:t>88</w:t>
            </w:r>
          </w:p>
        </w:tc>
        <w:tc>
          <w:tcPr>
            <w:tcW w:w="992" w:type="dxa"/>
            <w:vAlign w:val="center"/>
          </w:tcPr>
          <w:p w14:paraId="2C1F15FF">
            <w:pPr>
              <w:jc w:val="center"/>
              <w:rPr>
                <w:color w:val="000000"/>
                <w:sz w:val="20"/>
                <w:szCs w:val="20"/>
              </w:rPr>
            </w:pPr>
            <w:r>
              <w:rPr>
                <w:color w:val="000000"/>
                <w:sz w:val="20"/>
                <w:szCs w:val="20"/>
              </w:rPr>
              <w:t>5</w:t>
            </w:r>
          </w:p>
        </w:tc>
        <w:tc>
          <w:tcPr>
            <w:tcW w:w="1134" w:type="dxa"/>
            <w:vAlign w:val="center"/>
          </w:tcPr>
          <w:p w14:paraId="3F9BA603">
            <w:pPr>
              <w:jc w:val="center"/>
              <w:rPr>
                <w:color w:val="000000"/>
                <w:sz w:val="20"/>
                <w:szCs w:val="20"/>
              </w:rPr>
            </w:pPr>
            <w:r>
              <w:rPr>
                <w:color w:val="000000"/>
                <w:sz w:val="20"/>
                <w:szCs w:val="20"/>
              </w:rPr>
              <w:t>4,4</w:t>
            </w:r>
          </w:p>
        </w:tc>
        <w:tc>
          <w:tcPr>
            <w:tcW w:w="993" w:type="dxa"/>
            <w:vAlign w:val="center"/>
          </w:tcPr>
          <w:p w14:paraId="513C9AC7">
            <w:pPr>
              <w:jc w:val="center"/>
              <w:rPr>
                <w:color w:val="000000"/>
                <w:sz w:val="20"/>
                <w:szCs w:val="20"/>
              </w:rPr>
            </w:pPr>
            <w:r>
              <w:rPr>
                <w:color w:val="000000"/>
                <w:sz w:val="20"/>
                <w:szCs w:val="20"/>
              </w:rPr>
              <w:t>10</w:t>
            </w:r>
          </w:p>
        </w:tc>
        <w:tc>
          <w:tcPr>
            <w:tcW w:w="992" w:type="dxa"/>
            <w:vAlign w:val="center"/>
          </w:tcPr>
          <w:p w14:paraId="1D0AAE65">
            <w:pPr>
              <w:jc w:val="center"/>
              <w:rPr>
                <w:b/>
                <w:bCs/>
                <w:color w:val="000000"/>
                <w:sz w:val="20"/>
                <w:szCs w:val="20"/>
              </w:rPr>
            </w:pPr>
          </w:p>
        </w:tc>
      </w:tr>
      <w:tr w14:paraId="6D48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8F791D9">
            <w:pPr>
              <w:jc w:val="center"/>
              <w:rPr>
                <w:color w:val="000000"/>
                <w:sz w:val="20"/>
                <w:szCs w:val="20"/>
              </w:rPr>
            </w:pPr>
          </w:p>
        </w:tc>
        <w:tc>
          <w:tcPr>
            <w:tcW w:w="2409" w:type="dxa"/>
            <w:vAlign w:val="center"/>
          </w:tcPr>
          <w:p w14:paraId="6CA2DE43">
            <w:pPr>
              <w:rPr>
                <w:color w:val="000000"/>
                <w:sz w:val="20"/>
                <w:szCs w:val="20"/>
              </w:rPr>
            </w:pPr>
            <w:r>
              <w:rPr>
                <w:color w:val="000000"/>
                <w:sz w:val="20"/>
                <w:szCs w:val="20"/>
              </w:rPr>
              <w:t>Đất nhà ở liền kề kết hợp kinh doanh 48</w:t>
            </w:r>
          </w:p>
        </w:tc>
        <w:tc>
          <w:tcPr>
            <w:tcW w:w="1033" w:type="dxa"/>
            <w:vAlign w:val="center"/>
          </w:tcPr>
          <w:p w14:paraId="3F35A587">
            <w:pPr>
              <w:jc w:val="center"/>
              <w:rPr>
                <w:color w:val="000000"/>
                <w:sz w:val="20"/>
                <w:szCs w:val="20"/>
              </w:rPr>
            </w:pPr>
            <w:r>
              <w:rPr>
                <w:color w:val="000000"/>
                <w:sz w:val="20"/>
                <w:szCs w:val="20"/>
              </w:rPr>
              <w:t>LK48</w:t>
            </w:r>
          </w:p>
        </w:tc>
        <w:tc>
          <w:tcPr>
            <w:tcW w:w="1459" w:type="dxa"/>
            <w:vAlign w:val="center"/>
          </w:tcPr>
          <w:p w14:paraId="081C092F">
            <w:pPr>
              <w:jc w:val="center"/>
              <w:rPr>
                <w:color w:val="000000"/>
                <w:sz w:val="20"/>
                <w:szCs w:val="20"/>
              </w:rPr>
            </w:pPr>
            <w:r>
              <w:rPr>
                <w:color w:val="000000"/>
                <w:sz w:val="20"/>
                <w:szCs w:val="20"/>
              </w:rPr>
              <w:t>946,50</w:t>
            </w:r>
          </w:p>
        </w:tc>
        <w:tc>
          <w:tcPr>
            <w:tcW w:w="1273" w:type="dxa"/>
            <w:vAlign w:val="center"/>
          </w:tcPr>
          <w:p w14:paraId="3698FB15">
            <w:pPr>
              <w:jc w:val="center"/>
              <w:rPr>
                <w:color w:val="000000"/>
                <w:sz w:val="20"/>
                <w:szCs w:val="20"/>
              </w:rPr>
            </w:pPr>
            <w:r>
              <w:rPr>
                <w:color w:val="000000"/>
                <w:sz w:val="20"/>
                <w:szCs w:val="20"/>
              </w:rPr>
              <w:t>0,48%</w:t>
            </w:r>
          </w:p>
        </w:tc>
        <w:tc>
          <w:tcPr>
            <w:tcW w:w="2047" w:type="dxa"/>
            <w:vAlign w:val="center"/>
          </w:tcPr>
          <w:p w14:paraId="25E53883">
            <w:pPr>
              <w:jc w:val="center"/>
              <w:rPr>
                <w:color w:val="000000"/>
                <w:sz w:val="20"/>
                <w:szCs w:val="20"/>
              </w:rPr>
            </w:pPr>
            <w:r>
              <w:rPr>
                <w:color w:val="000000"/>
                <w:sz w:val="20"/>
                <w:szCs w:val="20"/>
              </w:rPr>
              <w:t>813,9</w:t>
            </w:r>
          </w:p>
        </w:tc>
        <w:tc>
          <w:tcPr>
            <w:tcW w:w="1276" w:type="dxa"/>
            <w:vAlign w:val="center"/>
          </w:tcPr>
          <w:p w14:paraId="65B5B1EF">
            <w:pPr>
              <w:jc w:val="center"/>
              <w:rPr>
                <w:color w:val="000000"/>
                <w:sz w:val="20"/>
                <w:szCs w:val="20"/>
              </w:rPr>
            </w:pPr>
            <w:r>
              <w:rPr>
                <w:color w:val="000000"/>
                <w:sz w:val="20"/>
                <w:szCs w:val="20"/>
              </w:rPr>
              <w:t>4.069,50</w:t>
            </w:r>
          </w:p>
        </w:tc>
        <w:tc>
          <w:tcPr>
            <w:tcW w:w="992" w:type="dxa"/>
            <w:vAlign w:val="center"/>
          </w:tcPr>
          <w:p w14:paraId="06780E72">
            <w:pPr>
              <w:jc w:val="center"/>
              <w:rPr>
                <w:color w:val="000000"/>
                <w:sz w:val="20"/>
                <w:szCs w:val="20"/>
              </w:rPr>
            </w:pPr>
            <w:r>
              <w:rPr>
                <w:color w:val="000000"/>
                <w:sz w:val="20"/>
                <w:szCs w:val="20"/>
              </w:rPr>
              <w:t>88</w:t>
            </w:r>
          </w:p>
        </w:tc>
        <w:tc>
          <w:tcPr>
            <w:tcW w:w="992" w:type="dxa"/>
            <w:vAlign w:val="center"/>
          </w:tcPr>
          <w:p w14:paraId="46CEDF1D">
            <w:pPr>
              <w:jc w:val="center"/>
              <w:rPr>
                <w:color w:val="000000"/>
                <w:sz w:val="20"/>
                <w:szCs w:val="20"/>
              </w:rPr>
            </w:pPr>
            <w:r>
              <w:rPr>
                <w:color w:val="000000"/>
                <w:sz w:val="20"/>
                <w:szCs w:val="20"/>
              </w:rPr>
              <w:t>5</w:t>
            </w:r>
          </w:p>
        </w:tc>
        <w:tc>
          <w:tcPr>
            <w:tcW w:w="1134" w:type="dxa"/>
            <w:vAlign w:val="center"/>
          </w:tcPr>
          <w:p w14:paraId="0952421E">
            <w:pPr>
              <w:jc w:val="center"/>
              <w:rPr>
                <w:color w:val="000000"/>
                <w:sz w:val="20"/>
                <w:szCs w:val="20"/>
              </w:rPr>
            </w:pPr>
            <w:r>
              <w:rPr>
                <w:color w:val="000000"/>
                <w:sz w:val="20"/>
                <w:szCs w:val="20"/>
              </w:rPr>
              <w:t>4,4</w:t>
            </w:r>
          </w:p>
        </w:tc>
        <w:tc>
          <w:tcPr>
            <w:tcW w:w="993" w:type="dxa"/>
            <w:vAlign w:val="center"/>
          </w:tcPr>
          <w:p w14:paraId="33BF1F90">
            <w:pPr>
              <w:jc w:val="center"/>
              <w:rPr>
                <w:color w:val="000000"/>
                <w:sz w:val="20"/>
                <w:szCs w:val="20"/>
              </w:rPr>
            </w:pPr>
            <w:r>
              <w:rPr>
                <w:color w:val="000000"/>
                <w:sz w:val="20"/>
                <w:szCs w:val="20"/>
              </w:rPr>
              <w:t>10</w:t>
            </w:r>
          </w:p>
        </w:tc>
        <w:tc>
          <w:tcPr>
            <w:tcW w:w="992" w:type="dxa"/>
            <w:vAlign w:val="center"/>
          </w:tcPr>
          <w:p w14:paraId="462AA6A9">
            <w:pPr>
              <w:jc w:val="center"/>
              <w:rPr>
                <w:b/>
                <w:bCs/>
                <w:color w:val="000000"/>
                <w:sz w:val="20"/>
                <w:szCs w:val="20"/>
              </w:rPr>
            </w:pPr>
          </w:p>
        </w:tc>
      </w:tr>
      <w:tr w14:paraId="4F61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10" w:type="dxa"/>
            <w:vAlign w:val="center"/>
          </w:tcPr>
          <w:p w14:paraId="12BA86CE">
            <w:pPr>
              <w:jc w:val="center"/>
              <w:rPr>
                <w:color w:val="000000"/>
                <w:sz w:val="20"/>
                <w:szCs w:val="20"/>
              </w:rPr>
            </w:pPr>
          </w:p>
        </w:tc>
        <w:tc>
          <w:tcPr>
            <w:tcW w:w="2409" w:type="dxa"/>
            <w:vAlign w:val="center"/>
          </w:tcPr>
          <w:p w14:paraId="18D24D0D">
            <w:pPr>
              <w:rPr>
                <w:color w:val="000000"/>
                <w:sz w:val="20"/>
                <w:szCs w:val="20"/>
              </w:rPr>
            </w:pPr>
            <w:r>
              <w:rPr>
                <w:color w:val="000000"/>
                <w:sz w:val="20"/>
                <w:szCs w:val="20"/>
              </w:rPr>
              <w:t>Đất nhà ở liền kề kết hợp kinh doanh 49</w:t>
            </w:r>
          </w:p>
        </w:tc>
        <w:tc>
          <w:tcPr>
            <w:tcW w:w="1033" w:type="dxa"/>
            <w:vAlign w:val="center"/>
          </w:tcPr>
          <w:p w14:paraId="56E2B8BF">
            <w:pPr>
              <w:jc w:val="center"/>
              <w:rPr>
                <w:color w:val="000000"/>
                <w:sz w:val="20"/>
                <w:szCs w:val="20"/>
              </w:rPr>
            </w:pPr>
            <w:r>
              <w:rPr>
                <w:color w:val="000000"/>
                <w:sz w:val="20"/>
                <w:szCs w:val="20"/>
              </w:rPr>
              <w:t>LK49</w:t>
            </w:r>
          </w:p>
        </w:tc>
        <w:tc>
          <w:tcPr>
            <w:tcW w:w="1459" w:type="dxa"/>
            <w:vAlign w:val="center"/>
          </w:tcPr>
          <w:p w14:paraId="52D66D19">
            <w:pPr>
              <w:jc w:val="center"/>
              <w:rPr>
                <w:color w:val="000000"/>
                <w:sz w:val="20"/>
                <w:szCs w:val="20"/>
              </w:rPr>
            </w:pPr>
            <w:r>
              <w:rPr>
                <w:color w:val="000000"/>
                <w:sz w:val="20"/>
                <w:szCs w:val="20"/>
              </w:rPr>
              <w:t>846,00</w:t>
            </w:r>
          </w:p>
        </w:tc>
        <w:tc>
          <w:tcPr>
            <w:tcW w:w="1273" w:type="dxa"/>
            <w:vAlign w:val="center"/>
          </w:tcPr>
          <w:p w14:paraId="07243FA3">
            <w:pPr>
              <w:jc w:val="center"/>
              <w:rPr>
                <w:color w:val="000000"/>
                <w:sz w:val="20"/>
                <w:szCs w:val="20"/>
              </w:rPr>
            </w:pPr>
            <w:r>
              <w:rPr>
                <w:color w:val="000000"/>
                <w:sz w:val="20"/>
                <w:szCs w:val="20"/>
              </w:rPr>
              <w:t>0,43%</w:t>
            </w:r>
          </w:p>
        </w:tc>
        <w:tc>
          <w:tcPr>
            <w:tcW w:w="2047" w:type="dxa"/>
            <w:vAlign w:val="center"/>
          </w:tcPr>
          <w:p w14:paraId="14AA04BE">
            <w:pPr>
              <w:jc w:val="center"/>
              <w:rPr>
                <w:color w:val="000000"/>
                <w:sz w:val="20"/>
                <w:szCs w:val="20"/>
              </w:rPr>
            </w:pPr>
            <w:r>
              <w:rPr>
                <w:color w:val="000000"/>
                <w:sz w:val="20"/>
                <w:szCs w:val="20"/>
              </w:rPr>
              <w:t>736,2</w:t>
            </w:r>
          </w:p>
        </w:tc>
        <w:tc>
          <w:tcPr>
            <w:tcW w:w="1276" w:type="dxa"/>
            <w:vAlign w:val="center"/>
          </w:tcPr>
          <w:p w14:paraId="5984AD29">
            <w:pPr>
              <w:jc w:val="center"/>
              <w:rPr>
                <w:color w:val="000000"/>
                <w:sz w:val="20"/>
                <w:szCs w:val="20"/>
              </w:rPr>
            </w:pPr>
            <w:r>
              <w:rPr>
                <w:color w:val="000000"/>
                <w:sz w:val="20"/>
                <w:szCs w:val="20"/>
              </w:rPr>
              <w:t>3.681,00</w:t>
            </w:r>
          </w:p>
        </w:tc>
        <w:tc>
          <w:tcPr>
            <w:tcW w:w="992" w:type="dxa"/>
            <w:vAlign w:val="center"/>
          </w:tcPr>
          <w:p w14:paraId="51F3EA51">
            <w:pPr>
              <w:jc w:val="center"/>
              <w:rPr>
                <w:color w:val="000000"/>
                <w:sz w:val="20"/>
                <w:szCs w:val="20"/>
              </w:rPr>
            </w:pPr>
            <w:r>
              <w:rPr>
                <w:color w:val="000000"/>
                <w:sz w:val="20"/>
                <w:szCs w:val="20"/>
              </w:rPr>
              <w:t>90</w:t>
            </w:r>
          </w:p>
        </w:tc>
        <w:tc>
          <w:tcPr>
            <w:tcW w:w="992" w:type="dxa"/>
            <w:vAlign w:val="center"/>
          </w:tcPr>
          <w:p w14:paraId="1570F8E6">
            <w:pPr>
              <w:jc w:val="center"/>
              <w:rPr>
                <w:color w:val="000000"/>
                <w:sz w:val="20"/>
                <w:szCs w:val="20"/>
              </w:rPr>
            </w:pPr>
            <w:r>
              <w:rPr>
                <w:color w:val="000000"/>
                <w:sz w:val="20"/>
                <w:szCs w:val="20"/>
              </w:rPr>
              <w:t>5</w:t>
            </w:r>
          </w:p>
        </w:tc>
        <w:tc>
          <w:tcPr>
            <w:tcW w:w="1134" w:type="dxa"/>
            <w:vAlign w:val="center"/>
          </w:tcPr>
          <w:p w14:paraId="2A09505F">
            <w:pPr>
              <w:jc w:val="center"/>
              <w:rPr>
                <w:color w:val="000000"/>
                <w:sz w:val="20"/>
                <w:szCs w:val="20"/>
              </w:rPr>
            </w:pPr>
            <w:r>
              <w:rPr>
                <w:color w:val="000000"/>
                <w:sz w:val="20"/>
                <w:szCs w:val="20"/>
              </w:rPr>
              <w:t>4,5</w:t>
            </w:r>
          </w:p>
        </w:tc>
        <w:tc>
          <w:tcPr>
            <w:tcW w:w="993" w:type="dxa"/>
            <w:vAlign w:val="center"/>
          </w:tcPr>
          <w:p w14:paraId="425D048F">
            <w:pPr>
              <w:jc w:val="center"/>
              <w:rPr>
                <w:color w:val="000000"/>
                <w:sz w:val="20"/>
                <w:szCs w:val="20"/>
              </w:rPr>
            </w:pPr>
            <w:r>
              <w:rPr>
                <w:color w:val="000000"/>
                <w:sz w:val="20"/>
                <w:szCs w:val="20"/>
              </w:rPr>
              <w:t>9</w:t>
            </w:r>
          </w:p>
        </w:tc>
        <w:tc>
          <w:tcPr>
            <w:tcW w:w="992" w:type="dxa"/>
            <w:vAlign w:val="center"/>
          </w:tcPr>
          <w:p w14:paraId="0584B6B2">
            <w:pPr>
              <w:jc w:val="center"/>
              <w:rPr>
                <w:b/>
                <w:bCs/>
                <w:color w:val="000000"/>
                <w:sz w:val="20"/>
                <w:szCs w:val="20"/>
              </w:rPr>
            </w:pPr>
          </w:p>
        </w:tc>
      </w:tr>
      <w:tr w14:paraId="298D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6CB1FFE8">
            <w:pPr>
              <w:jc w:val="center"/>
              <w:rPr>
                <w:color w:val="000000"/>
                <w:sz w:val="20"/>
                <w:szCs w:val="20"/>
              </w:rPr>
            </w:pPr>
          </w:p>
        </w:tc>
        <w:tc>
          <w:tcPr>
            <w:tcW w:w="2409" w:type="dxa"/>
            <w:vAlign w:val="center"/>
          </w:tcPr>
          <w:p w14:paraId="03B368C3">
            <w:pPr>
              <w:rPr>
                <w:color w:val="000000"/>
                <w:sz w:val="20"/>
                <w:szCs w:val="20"/>
              </w:rPr>
            </w:pPr>
            <w:r>
              <w:rPr>
                <w:color w:val="000000"/>
                <w:sz w:val="20"/>
                <w:szCs w:val="20"/>
              </w:rPr>
              <w:t>Đất nhà ở liền kề kết hợp kinh doanh 50</w:t>
            </w:r>
          </w:p>
        </w:tc>
        <w:tc>
          <w:tcPr>
            <w:tcW w:w="1033" w:type="dxa"/>
            <w:vAlign w:val="center"/>
          </w:tcPr>
          <w:p w14:paraId="14C6AF86">
            <w:pPr>
              <w:jc w:val="center"/>
              <w:rPr>
                <w:color w:val="000000"/>
                <w:sz w:val="20"/>
                <w:szCs w:val="20"/>
              </w:rPr>
            </w:pPr>
            <w:r>
              <w:rPr>
                <w:color w:val="000000"/>
                <w:sz w:val="20"/>
                <w:szCs w:val="20"/>
              </w:rPr>
              <w:t>LK50</w:t>
            </w:r>
          </w:p>
        </w:tc>
        <w:tc>
          <w:tcPr>
            <w:tcW w:w="1459" w:type="dxa"/>
            <w:vAlign w:val="center"/>
          </w:tcPr>
          <w:p w14:paraId="25486160">
            <w:pPr>
              <w:jc w:val="center"/>
              <w:rPr>
                <w:color w:val="000000"/>
                <w:sz w:val="20"/>
                <w:szCs w:val="20"/>
              </w:rPr>
            </w:pPr>
            <w:r>
              <w:rPr>
                <w:color w:val="000000"/>
                <w:sz w:val="20"/>
                <w:szCs w:val="20"/>
              </w:rPr>
              <w:t>866,10</w:t>
            </w:r>
          </w:p>
        </w:tc>
        <w:tc>
          <w:tcPr>
            <w:tcW w:w="1273" w:type="dxa"/>
            <w:vAlign w:val="center"/>
          </w:tcPr>
          <w:p w14:paraId="64CC7478">
            <w:pPr>
              <w:jc w:val="center"/>
              <w:rPr>
                <w:color w:val="000000"/>
                <w:sz w:val="20"/>
                <w:szCs w:val="20"/>
              </w:rPr>
            </w:pPr>
            <w:r>
              <w:rPr>
                <w:color w:val="000000"/>
                <w:sz w:val="20"/>
                <w:szCs w:val="20"/>
              </w:rPr>
              <w:t>0,44%</w:t>
            </w:r>
          </w:p>
        </w:tc>
        <w:tc>
          <w:tcPr>
            <w:tcW w:w="2047" w:type="dxa"/>
            <w:vAlign w:val="center"/>
          </w:tcPr>
          <w:p w14:paraId="129CFC35">
            <w:pPr>
              <w:jc w:val="center"/>
              <w:rPr>
                <w:color w:val="000000"/>
                <w:sz w:val="20"/>
                <w:szCs w:val="20"/>
              </w:rPr>
            </w:pPr>
            <w:r>
              <w:rPr>
                <w:color w:val="000000"/>
                <w:sz w:val="20"/>
                <w:szCs w:val="20"/>
              </w:rPr>
              <w:t>746,0</w:t>
            </w:r>
          </w:p>
        </w:tc>
        <w:tc>
          <w:tcPr>
            <w:tcW w:w="1276" w:type="dxa"/>
            <w:vAlign w:val="center"/>
          </w:tcPr>
          <w:p w14:paraId="2B844436">
            <w:pPr>
              <w:jc w:val="center"/>
              <w:rPr>
                <w:color w:val="000000"/>
                <w:sz w:val="20"/>
                <w:szCs w:val="20"/>
              </w:rPr>
            </w:pPr>
            <w:r>
              <w:rPr>
                <w:color w:val="000000"/>
                <w:sz w:val="20"/>
                <w:szCs w:val="20"/>
              </w:rPr>
              <w:t>3.730,00</w:t>
            </w:r>
          </w:p>
        </w:tc>
        <w:tc>
          <w:tcPr>
            <w:tcW w:w="992" w:type="dxa"/>
            <w:vAlign w:val="center"/>
          </w:tcPr>
          <w:p w14:paraId="0C39A5FC">
            <w:pPr>
              <w:jc w:val="center"/>
              <w:rPr>
                <w:color w:val="000000"/>
                <w:sz w:val="20"/>
                <w:szCs w:val="20"/>
              </w:rPr>
            </w:pPr>
            <w:r>
              <w:rPr>
                <w:color w:val="000000"/>
                <w:sz w:val="20"/>
                <w:szCs w:val="20"/>
              </w:rPr>
              <w:t>89</w:t>
            </w:r>
          </w:p>
        </w:tc>
        <w:tc>
          <w:tcPr>
            <w:tcW w:w="992" w:type="dxa"/>
            <w:vAlign w:val="center"/>
          </w:tcPr>
          <w:p w14:paraId="1AA16A46">
            <w:pPr>
              <w:jc w:val="center"/>
              <w:rPr>
                <w:color w:val="000000"/>
                <w:sz w:val="20"/>
                <w:szCs w:val="20"/>
              </w:rPr>
            </w:pPr>
            <w:r>
              <w:rPr>
                <w:color w:val="000000"/>
                <w:sz w:val="20"/>
                <w:szCs w:val="20"/>
              </w:rPr>
              <w:t>5</w:t>
            </w:r>
          </w:p>
        </w:tc>
        <w:tc>
          <w:tcPr>
            <w:tcW w:w="1134" w:type="dxa"/>
            <w:vAlign w:val="center"/>
          </w:tcPr>
          <w:p w14:paraId="3D76BBF9">
            <w:pPr>
              <w:jc w:val="center"/>
              <w:rPr>
                <w:color w:val="000000"/>
                <w:sz w:val="20"/>
                <w:szCs w:val="20"/>
              </w:rPr>
            </w:pPr>
            <w:r>
              <w:rPr>
                <w:color w:val="000000"/>
                <w:sz w:val="20"/>
                <w:szCs w:val="20"/>
              </w:rPr>
              <w:t>4,5</w:t>
            </w:r>
          </w:p>
        </w:tc>
        <w:tc>
          <w:tcPr>
            <w:tcW w:w="993" w:type="dxa"/>
            <w:vAlign w:val="center"/>
          </w:tcPr>
          <w:p w14:paraId="0F16104F">
            <w:pPr>
              <w:jc w:val="center"/>
              <w:rPr>
                <w:color w:val="000000"/>
                <w:sz w:val="20"/>
                <w:szCs w:val="20"/>
              </w:rPr>
            </w:pPr>
            <w:r>
              <w:rPr>
                <w:color w:val="000000"/>
                <w:sz w:val="20"/>
                <w:szCs w:val="20"/>
              </w:rPr>
              <w:t>9</w:t>
            </w:r>
          </w:p>
        </w:tc>
        <w:tc>
          <w:tcPr>
            <w:tcW w:w="992" w:type="dxa"/>
            <w:vAlign w:val="center"/>
          </w:tcPr>
          <w:p w14:paraId="5C7C59CD">
            <w:pPr>
              <w:jc w:val="center"/>
              <w:rPr>
                <w:b/>
                <w:bCs/>
                <w:color w:val="000000"/>
                <w:sz w:val="20"/>
                <w:szCs w:val="20"/>
              </w:rPr>
            </w:pPr>
          </w:p>
        </w:tc>
      </w:tr>
      <w:tr w14:paraId="357C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33D81C1">
            <w:pPr>
              <w:jc w:val="center"/>
              <w:rPr>
                <w:color w:val="000000"/>
                <w:sz w:val="20"/>
                <w:szCs w:val="20"/>
              </w:rPr>
            </w:pPr>
          </w:p>
        </w:tc>
        <w:tc>
          <w:tcPr>
            <w:tcW w:w="2409" w:type="dxa"/>
            <w:vAlign w:val="center"/>
          </w:tcPr>
          <w:p w14:paraId="29A79578">
            <w:pPr>
              <w:rPr>
                <w:color w:val="000000"/>
                <w:sz w:val="20"/>
                <w:szCs w:val="20"/>
              </w:rPr>
            </w:pPr>
            <w:r>
              <w:rPr>
                <w:color w:val="000000"/>
                <w:sz w:val="20"/>
                <w:szCs w:val="20"/>
              </w:rPr>
              <w:t>Đất nhà ở liền kề kết hợp kinh doanh 51</w:t>
            </w:r>
          </w:p>
        </w:tc>
        <w:tc>
          <w:tcPr>
            <w:tcW w:w="1033" w:type="dxa"/>
            <w:vAlign w:val="center"/>
          </w:tcPr>
          <w:p w14:paraId="1D1DD398">
            <w:pPr>
              <w:jc w:val="center"/>
              <w:rPr>
                <w:color w:val="000000"/>
                <w:sz w:val="20"/>
                <w:szCs w:val="20"/>
              </w:rPr>
            </w:pPr>
            <w:r>
              <w:rPr>
                <w:color w:val="000000"/>
                <w:sz w:val="20"/>
                <w:szCs w:val="20"/>
              </w:rPr>
              <w:t>LK51</w:t>
            </w:r>
          </w:p>
        </w:tc>
        <w:tc>
          <w:tcPr>
            <w:tcW w:w="1459" w:type="dxa"/>
            <w:vAlign w:val="center"/>
          </w:tcPr>
          <w:p w14:paraId="1C4B2E23">
            <w:pPr>
              <w:jc w:val="center"/>
              <w:rPr>
                <w:color w:val="000000"/>
                <w:sz w:val="20"/>
                <w:szCs w:val="20"/>
              </w:rPr>
            </w:pPr>
            <w:r>
              <w:rPr>
                <w:color w:val="000000"/>
                <w:sz w:val="20"/>
                <w:szCs w:val="20"/>
              </w:rPr>
              <w:t>800,00</w:t>
            </w:r>
          </w:p>
        </w:tc>
        <w:tc>
          <w:tcPr>
            <w:tcW w:w="1273" w:type="dxa"/>
            <w:vAlign w:val="center"/>
          </w:tcPr>
          <w:p w14:paraId="0B35A5DF">
            <w:pPr>
              <w:jc w:val="center"/>
              <w:rPr>
                <w:color w:val="000000"/>
                <w:sz w:val="20"/>
                <w:szCs w:val="20"/>
              </w:rPr>
            </w:pPr>
            <w:r>
              <w:rPr>
                <w:color w:val="000000"/>
                <w:sz w:val="20"/>
                <w:szCs w:val="20"/>
              </w:rPr>
              <w:t>0,40%</w:t>
            </w:r>
          </w:p>
        </w:tc>
        <w:tc>
          <w:tcPr>
            <w:tcW w:w="2047" w:type="dxa"/>
            <w:vAlign w:val="center"/>
          </w:tcPr>
          <w:p w14:paraId="2429157C">
            <w:pPr>
              <w:jc w:val="center"/>
              <w:rPr>
                <w:color w:val="000000"/>
                <w:sz w:val="20"/>
                <w:szCs w:val="20"/>
              </w:rPr>
            </w:pPr>
            <w:r>
              <w:rPr>
                <w:color w:val="000000"/>
                <w:sz w:val="20"/>
                <w:szCs w:val="20"/>
              </w:rPr>
              <w:t>673,6</w:t>
            </w:r>
          </w:p>
        </w:tc>
        <w:tc>
          <w:tcPr>
            <w:tcW w:w="1276" w:type="dxa"/>
            <w:vAlign w:val="center"/>
          </w:tcPr>
          <w:p w14:paraId="5729F5BC">
            <w:pPr>
              <w:jc w:val="center"/>
              <w:rPr>
                <w:color w:val="000000"/>
                <w:sz w:val="20"/>
                <w:szCs w:val="20"/>
              </w:rPr>
            </w:pPr>
            <w:r>
              <w:rPr>
                <w:color w:val="000000"/>
                <w:sz w:val="20"/>
                <w:szCs w:val="20"/>
              </w:rPr>
              <w:t>3.368,00</w:t>
            </w:r>
          </w:p>
        </w:tc>
        <w:tc>
          <w:tcPr>
            <w:tcW w:w="992" w:type="dxa"/>
            <w:vAlign w:val="center"/>
          </w:tcPr>
          <w:p w14:paraId="7FC51645">
            <w:pPr>
              <w:jc w:val="center"/>
              <w:rPr>
                <w:color w:val="000000"/>
                <w:sz w:val="20"/>
                <w:szCs w:val="20"/>
              </w:rPr>
            </w:pPr>
            <w:r>
              <w:rPr>
                <w:color w:val="000000"/>
                <w:sz w:val="20"/>
                <w:szCs w:val="20"/>
              </w:rPr>
              <w:t>90</w:t>
            </w:r>
          </w:p>
        </w:tc>
        <w:tc>
          <w:tcPr>
            <w:tcW w:w="992" w:type="dxa"/>
            <w:vAlign w:val="center"/>
          </w:tcPr>
          <w:p w14:paraId="46F44143">
            <w:pPr>
              <w:jc w:val="center"/>
              <w:rPr>
                <w:color w:val="000000"/>
                <w:sz w:val="20"/>
                <w:szCs w:val="20"/>
              </w:rPr>
            </w:pPr>
            <w:r>
              <w:rPr>
                <w:color w:val="000000"/>
                <w:sz w:val="20"/>
                <w:szCs w:val="20"/>
              </w:rPr>
              <w:t>5</w:t>
            </w:r>
          </w:p>
        </w:tc>
        <w:tc>
          <w:tcPr>
            <w:tcW w:w="1134" w:type="dxa"/>
            <w:vAlign w:val="center"/>
          </w:tcPr>
          <w:p w14:paraId="23788C45">
            <w:pPr>
              <w:jc w:val="center"/>
              <w:rPr>
                <w:color w:val="000000"/>
                <w:sz w:val="20"/>
                <w:szCs w:val="20"/>
              </w:rPr>
            </w:pPr>
            <w:r>
              <w:rPr>
                <w:color w:val="000000"/>
                <w:sz w:val="20"/>
                <w:szCs w:val="20"/>
              </w:rPr>
              <w:t>4,5</w:t>
            </w:r>
          </w:p>
        </w:tc>
        <w:tc>
          <w:tcPr>
            <w:tcW w:w="993" w:type="dxa"/>
            <w:vAlign w:val="center"/>
          </w:tcPr>
          <w:p w14:paraId="62AA003E">
            <w:pPr>
              <w:jc w:val="center"/>
              <w:rPr>
                <w:color w:val="000000"/>
                <w:sz w:val="20"/>
                <w:szCs w:val="20"/>
              </w:rPr>
            </w:pPr>
            <w:r>
              <w:rPr>
                <w:color w:val="000000"/>
                <w:sz w:val="20"/>
                <w:szCs w:val="20"/>
              </w:rPr>
              <w:t>8</w:t>
            </w:r>
          </w:p>
        </w:tc>
        <w:tc>
          <w:tcPr>
            <w:tcW w:w="992" w:type="dxa"/>
            <w:vAlign w:val="center"/>
          </w:tcPr>
          <w:p w14:paraId="2ED827CF">
            <w:pPr>
              <w:jc w:val="center"/>
              <w:rPr>
                <w:b/>
                <w:bCs/>
                <w:color w:val="000000"/>
                <w:sz w:val="20"/>
                <w:szCs w:val="20"/>
              </w:rPr>
            </w:pPr>
          </w:p>
        </w:tc>
      </w:tr>
      <w:tr w14:paraId="1D6B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36BC9DC">
            <w:pPr>
              <w:jc w:val="center"/>
              <w:rPr>
                <w:color w:val="000000"/>
                <w:sz w:val="20"/>
                <w:szCs w:val="20"/>
              </w:rPr>
            </w:pPr>
          </w:p>
        </w:tc>
        <w:tc>
          <w:tcPr>
            <w:tcW w:w="2409" w:type="dxa"/>
            <w:vAlign w:val="center"/>
          </w:tcPr>
          <w:p w14:paraId="092C02BF">
            <w:pPr>
              <w:rPr>
                <w:color w:val="000000"/>
                <w:sz w:val="20"/>
                <w:szCs w:val="20"/>
              </w:rPr>
            </w:pPr>
            <w:r>
              <w:rPr>
                <w:color w:val="000000"/>
                <w:sz w:val="20"/>
                <w:szCs w:val="20"/>
              </w:rPr>
              <w:t>Đất nhà ở liền kề kết hợp kinh doanh 52</w:t>
            </w:r>
          </w:p>
        </w:tc>
        <w:tc>
          <w:tcPr>
            <w:tcW w:w="1033" w:type="dxa"/>
            <w:vAlign w:val="center"/>
          </w:tcPr>
          <w:p w14:paraId="78721CBE">
            <w:pPr>
              <w:jc w:val="center"/>
              <w:rPr>
                <w:color w:val="000000"/>
                <w:sz w:val="20"/>
                <w:szCs w:val="20"/>
              </w:rPr>
            </w:pPr>
            <w:r>
              <w:rPr>
                <w:color w:val="000000"/>
                <w:sz w:val="20"/>
                <w:szCs w:val="20"/>
              </w:rPr>
              <w:t>LK52</w:t>
            </w:r>
          </w:p>
        </w:tc>
        <w:tc>
          <w:tcPr>
            <w:tcW w:w="1459" w:type="dxa"/>
            <w:vAlign w:val="center"/>
          </w:tcPr>
          <w:p w14:paraId="4CC5B08A">
            <w:pPr>
              <w:jc w:val="center"/>
              <w:rPr>
                <w:color w:val="000000"/>
                <w:sz w:val="20"/>
                <w:szCs w:val="20"/>
              </w:rPr>
            </w:pPr>
            <w:r>
              <w:rPr>
                <w:color w:val="000000"/>
                <w:sz w:val="20"/>
                <w:szCs w:val="20"/>
              </w:rPr>
              <w:t>918,90</w:t>
            </w:r>
          </w:p>
        </w:tc>
        <w:tc>
          <w:tcPr>
            <w:tcW w:w="1273" w:type="dxa"/>
            <w:vAlign w:val="center"/>
          </w:tcPr>
          <w:p w14:paraId="5712805D">
            <w:pPr>
              <w:jc w:val="center"/>
              <w:rPr>
                <w:color w:val="000000"/>
                <w:sz w:val="20"/>
                <w:szCs w:val="20"/>
              </w:rPr>
            </w:pPr>
            <w:r>
              <w:rPr>
                <w:color w:val="000000"/>
                <w:sz w:val="20"/>
                <w:szCs w:val="20"/>
              </w:rPr>
              <w:t>0,46%</w:t>
            </w:r>
          </w:p>
        </w:tc>
        <w:tc>
          <w:tcPr>
            <w:tcW w:w="2047" w:type="dxa"/>
            <w:vAlign w:val="center"/>
          </w:tcPr>
          <w:p w14:paraId="7BD34EA4">
            <w:pPr>
              <w:jc w:val="center"/>
              <w:rPr>
                <w:color w:val="000000"/>
                <w:sz w:val="20"/>
                <w:szCs w:val="20"/>
              </w:rPr>
            </w:pPr>
            <w:r>
              <w:rPr>
                <w:color w:val="000000"/>
                <w:sz w:val="20"/>
                <w:szCs w:val="20"/>
              </w:rPr>
              <w:t>796,5</w:t>
            </w:r>
          </w:p>
        </w:tc>
        <w:tc>
          <w:tcPr>
            <w:tcW w:w="1276" w:type="dxa"/>
            <w:vAlign w:val="center"/>
          </w:tcPr>
          <w:p w14:paraId="747CE821">
            <w:pPr>
              <w:jc w:val="center"/>
              <w:rPr>
                <w:color w:val="000000"/>
                <w:sz w:val="20"/>
                <w:szCs w:val="20"/>
              </w:rPr>
            </w:pPr>
            <w:r>
              <w:rPr>
                <w:color w:val="000000"/>
                <w:sz w:val="20"/>
                <w:szCs w:val="20"/>
              </w:rPr>
              <w:t>3.982,50</w:t>
            </w:r>
          </w:p>
        </w:tc>
        <w:tc>
          <w:tcPr>
            <w:tcW w:w="992" w:type="dxa"/>
            <w:vAlign w:val="center"/>
          </w:tcPr>
          <w:p w14:paraId="76E2323F">
            <w:pPr>
              <w:jc w:val="center"/>
              <w:rPr>
                <w:color w:val="000000"/>
                <w:sz w:val="20"/>
                <w:szCs w:val="20"/>
              </w:rPr>
            </w:pPr>
            <w:r>
              <w:rPr>
                <w:color w:val="000000"/>
                <w:sz w:val="20"/>
                <w:szCs w:val="20"/>
              </w:rPr>
              <w:t>90</w:t>
            </w:r>
          </w:p>
        </w:tc>
        <w:tc>
          <w:tcPr>
            <w:tcW w:w="992" w:type="dxa"/>
            <w:vAlign w:val="center"/>
          </w:tcPr>
          <w:p w14:paraId="5EAE8941">
            <w:pPr>
              <w:jc w:val="center"/>
              <w:rPr>
                <w:color w:val="000000"/>
                <w:sz w:val="20"/>
                <w:szCs w:val="20"/>
              </w:rPr>
            </w:pPr>
            <w:r>
              <w:rPr>
                <w:color w:val="000000"/>
                <w:sz w:val="20"/>
                <w:szCs w:val="20"/>
              </w:rPr>
              <w:t>5</w:t>
            </w:r>
          </w:p>
        </w:tc>
        <w:tc>
          <w:tcPr>
            <w:tcW w:w="1134" w:type="dxa"/>
            <w:vAlign w:val="center"/>
          </w:tcPr>
          <w:p w14:paraId="68D471E1">
            <w:pPr>
              <w:jc w:val="center"/>
              <w:rPr>
                <w:color w:val="000000"/>
                <w:sz w:val="20"/>
                <w:szCs w:val="20"/>
              </w:rPr>
            </w:pPr>
            <w:r>
              <w:rPr>
                <w:color w:val="000000"/>
                <w:sz w:val="20"/>
                <w:szCs w:val="20"/>
              </w:rPr>
              <w:t>4,5</w:t>
            </w:r>
          </w:p>
        </w:tc>
        <w:tc>
          <w:tcPr>
            <w:tcW w:w="993" w:type="dxa"/>
            <w:vAlign w:val="center"/>
          </w:tcPr>
          <w:p w14:paraId="3921BAD3">
            <w:pPr>
              <w:jc w:val="center"/>
              <w:rPr>
                <w:color w:val="000000"/>
                <w:sz w:val="20"/>
                <w:szCs w:val="20"/>
              </w:rPr>
            </w:pPr>
            <w:r>
              <w:rPr>
                <w:color w:val="000000"/>
                <w:sz w:val="20"/>
                <w:szCs w:val="20"/>
              </w:rPr>
              <w:t>10</w:t>
            </w:r>
          </w:p>
        </w:tc>
        <w:tc>
          <w:tcPr>
            <w:tcW w:w="992" w:type="dxa"/>
            <w:vAlign w:val="center"/>
          </w:tcPr>
          <w:p w14:paraId="5E0914AE">
            <w:pPr>
              <w:jc w:val="center"/>
              <w:rPr>
                <w:b/>
                <w:bCs/>
                <w:color w:val="000000"/>
                <w:sz w:val="20"/>
                <w:szCs w:val="20"/>
              </w:rPr>
            </w:pPr>
          </w:p>
        </w:tc>
      </w:tr>
      <w:tr w14:paraId="4D29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71710EF">
            <w:pPr>
              <w:jc w:val="center"/>
              <w:rPr>
                <w:color w:val="000000"/>
                <w:sz w:val="20"/>
                <w:szCs w:val="20"/>
              </w:rPr>
            </w:pPr>
          </w:p>
        </w:tc>
        <w:tc>
          <w:tcPr>
            <w:tcW w:w="2409" w:type="dxa"/>
            <w:vAlign w:val="center"/>
          </w:tcPr>
          <w:p w14:paraId="0AF17BA4">
            <w:pPr>
              <w:rPr>
                <w:color w:val="000000"/>
                <w:sz w:val="20"/>
                <w:szCs w:val="20"/>
              </w:rPr>
            </w:pPr>
            <w:r>
              <w:rPr>
                <w:color w:val="000000"/>
                <w:sz w:val="20"/>
                <w:szCs w:val="20"/>
              </w:rPr>
              <w:t>Đất nhà ở liền kề kết hợp kinh doanh 53</w:t>
            </w:r>
          </w:p>
        </w:tc>
        <w:tc>
          <w:tcPr>
            <w:tcW w:w="1033" w:type="dxa"/>
            <w:vAlign w:val="center"/>
          </w:tcPr>
          <w:p w14:paraId="6D20FBBF">
            <w:pPr>
              <w:jc w:val="center"/>
              <w:rPr>
                <w:color w:val="000000"/>
                <w:sz w:val="20"/>
                <w:szCs w:val="20"/>
              </w:rPr>
            </w:pPr>
            <w:r>
              <w:rPr>
                <w:color w:val="000000"/>
                <w:sz w:val="20"/>
                <w:szCs w:val="20"/>
              </w:rPr>
              <w:t>LK53</w:t>
            </w:r>
          </w:p>
        </w:tc>
        <w:tc>
          <w:tcPr>
            <w:tcW w:w="1459" w:type="dxa"/>
            <w:vAlign w:val="center"/>
          </w:tcPr>
          <w:p w14:paraId="2566BEEE">
            <w:pPr>
              <w:jc w:val="center"/>
              <w:rPr>
                <w:color w:val="000000"/>
                <w:sz w:val="20"/>
                <w:szCs w:val="20"/>
              </w:rPr>
            </w:pPr>
            <w:r>
              <w:rPr>
                <w:color w:val="000000"/>
                <w:sz w:val="20"/>
                <w:szCs w:val="20"/>
              </w:rPr>
              <w:t>920,70</w:t>
            </w:r>
          </w:p>
        </w:tc>
        <w:tc>
          <w:tcPr>
            <w:tcW w:w="1273" w:type="dxa"/>
            <w:vAlign w:val="center"/>
          </w:tcPr>
          <w:p w14:paraId="71B783B4">
            <w:pPr>
              <w:jc w:val="center"/>
              <w:rPr>
                <w:color w:val="000000"/>
                <w:sz w:val="20"/>
                <w:szCs w:val="20"/>
              </w:rPr>
            </w:pPr>
            <w:r>
              <w:rPr>
                <w:color w:val="000000"/>
                <w:sz w:val="20"/>
                <w:szCs w:val="20"/>
              </w:rPr>
              <w:t>0,46%</w:t>
            </w:r>
          </w:p>
        </w:tc>
        <w:tc>
          <w:tcPr>
            <w:tcW w:w="2047" w:type="dxa"/>
            <w:vAlign w:val="center"/>
          </w:tcPr>
          <w:p w14:paraId="28448907">
            <w:pPr>
              <w:jc w:val="center"/>
              <w:rPr>
                <w:color w:val="000000"/>
                <w:sz w:val="20"/>
                <w:szCs w:val="20"/>
              </w:rPr>
            </w:pPr>
            <w:r>
              <w:rPr>
                <w:color w:val="000000"/>
                <w:sz w:val="20"/>
                <w:szCs w:val="20"/>
              </w:rPr>
              <w:t>737,3</w:t>
            </w:r>
          </w:p>
        </w:tc>
        <w:tc>
          <w:tcPr>
            <w:tcW w:w="1276" w:type="dxa"/>
            <w:vAlign w:val="center"/>
          </w:tcPr>
          <w:p w14:paraId="6849961A">
            <w:pPr>
              <w:jc w:val="center"/>
              <w:rPr>
                <w:color w:val="000000"/>
                <w:sz w:val="20"/>
                <w:szCs w:val="20"/>
              </w:rPr>
            </w:pPr>
            <w:r>
              <w:rPr>
                <w:color w:val="000000"/>
                <w:sz w:val="20"/>
                <w:szCs w:val="20"/>
              </w:rPr>
              <w:t>3.686,50</w:t>
            </w:r>
          </w:p>
        </w:tc>
        <w:tc>
          <w:tcPr>
            <w:tcW w:w="992" w:type="dxa"/>
            <w:vAlign w:val="center"/>
          </w:tcPr>
          <w:p w14:paraId="6A104500">
            <w:pPr>
              <w:jc w:val="center"/>
              <w:rPr>
                <w:color w:val="000000"/>
                <w:sz w:val="20"/>
                <w:szCs w:val="20"/>
              </w:rPr>
            </w:pPr>
            <w:r>
              <w:rPr>
                <w:color w:val="000000"/>
                <w:sz w:val="20"/>
                <w:szCs w:val="20"/>
              </w:rPr>
              <w:t>82</w:t>
            </w:r>
          </w:p>
        </w:tc>
        <w:tc>
          <w:tcPr>
            <w:tcW w:w="992" w:type="dxa"/>
            <w:vAlign w:val="center"/>
          </w:tcPr>
          <w:p w14:paraId="0D33FDE0">
            <w:pPr>
              <w:jc w:val="center"/>
              <w:rPr>
                <w:color w:val="000000"/>
                <w:sz w:val="20"/>
                <w:szCs w:val="20"/>
              </w:rPr>
            </w:pPr>
            <w:r>
              <w:rPr>
                <w:color w:val="000000"/>
                <w:sz w:val="20"/>
                <w:szCs w:val="20"/>
              </w:rPr>
              <w:t>5</w:t>
            </w:r>
          </w:p>
        </w:tc>
        <w:tc>
          <w:tcPr>
            <w:tcW w:w="1134" w:type="dxa"/>
            <w:vAlign w:val="center"/>
          </w:tcPr>
          <w:p w14:paraId="1E9F2AEE">
            <w:pPr>
              <w:jc w:val="center"/>
              <w:rPr>
                <w:color w:val="000000"/>
                <w:sz w:val="20"/>
                <w:szCs w:val="20"/>
              </w:rPr>
            </w:pPr>
            <w:r>
              <w:rPr>
                <w:color w:val="000000"/>
                <w:sz w:val="20"/>
                <w:szCs w:val="20"/>
              </w:rPr>
              <w:t>4,1</w:t>
            </w:r>
          </w:p>
        </w:tc>
        <w:tc>
          <w:tcPr>
            <w:tcW w:w="993" w:type="dxa"/>
            <w:vAlign w:val="center"/>
          </w:tcPr>
          <w:p w14:paraId="5B3EBAE9">
            <w:pPr>
              <w:jc w:val="center"/>
              <w:rPr>
                <w:color w:val="000000"/>
                <w:sz w:val="20"/>
                <w:szCs w:val="20"/>
              </w:rPr>
            </w:pPr>
            <w:r>
              <w:rPr>
                <w:color w:val="000000"/>
                <w:sz w:val="20"/>
                <w:szCs w:val="20"/>
              </w:rPr>
              <w:t>9</w:t>
            </w:r>
          </w:p>
        </w:tc>
        <w:tc>
          <w:tcPr>
            <w:tcW w:w="992" w:type="dxa"/>
            <w:vAlign w:val="center"/>
          </w:tcPr>
          <w:p w14:paraId="10955D4E">
            <w:pPr>
              <w:jc w:val="center"/>
              <w:rPr>
                <w:b/>
                <w:bCs/>
                <w:color w:val="000000"/>
                <w:sz w:val="20"/>
                <w:szCs w:val="20"/>
              </w:rPr>
            </w:pPr>
          </w:p>
        </w:tc>
      </w:tr>
      <w:tr w14:paraId="70B0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17AA449">
            <w:pPr>
              <w:jc w:val="center"/>
              <w:rPr>
                <w:color w:val="000000"/>
                <w:sz w:val="20"/>
                <w:szCs w:val="20"/>
              </w:rPr>
            </w:pPr>
          </w:p>
        </w:tc>
        <w:tc>
          <w:tcPr>
            <w:tcW w:w="2409" w:type="dxa"/>
            <w:vAlign w:val="center"/>
          </w:tcPr>
          <w:p w14:paraId="18FD4E7A">
            <w:pPr>
              <w:rPr>
                <w:color w:val="000000"/>
                <w:sz w:val="20"/>
                <w:szCs w:val="20"/>
              </w:rPr>
            </w:pPr>
            <w:r>
              <w:rPr>
                <w:color w:val="000000"/>
                <w:sz w:val="20"/>
                <w:szCs w:val="20"/>
              </w:rPr>
              <w:t>Đất nhà ở liền kề kết hợp kinh doanh 54</w:t>
            </w:r>
          </w:p>
        </w:tc>
        <w:tc>
          <w:tcPr>
            <w:tcW w:w="1033" w:type="dxa"/>
            <w:vAlign w:val="center"/>
          </w:tcPr>
          <w:p w14:paraId="48B85C83">
            <w:pPr>
              <w:jc w:val="center"/>
              <w:rPr>
                <w:color w:val="000000"/>
                <w:sz w:val="20"/>
                <w:szCs w:val="20"/>
              </w:rPr>
            </w:pPr>
            <w:r>
              <w:rPr>
                <w:color w:val="000000"/>
                <w:sz w:val="20"/>
                <w:szCs w:val="20"/>
              </w:rPr>
              <w:t>LK54</w:t>
            </w:r>
          </w:p>
        </w:tc>
        <w:tc>
          <w:tcPr>
            <w:tcW w:w="1459" w:type="dxa"/>
            <w:vAlign w:val="center"/>
          </w:tcPr>
          <w:p w14:paraId="63C1DE49">
            <w:pPr>
              <w:jc w:val="center"/>
              <w:rPr>
                <w:color w:val="000000"/>
                <w:sz w:val="20"/>
                <w:szCs w:val="20"/>
              </w:rPr>
            </w:pPr>
            <w:r>
              <w:rPr>
                <w:color w:val="000000"/>
                <w:sz w:val="20"/>
                <w:szCs w:val="20"/>
              </w:rPr>
              <w:t>945,80</w:t>
            </w:r>
          </w:p>
        </w:tc>
        <w:tc>
          <w:tcPr>
            <w:tcW w:w="1273" w:type="dxa"/>
            <w:vAlign w:val="center"/>
          </w:tcPr>
          <w:p w14:paraId="1F79886A">
            <w:pPr>
              <w:jc w:val="center"/>
              <w:rPr>
                <w:color w:val="000000"/>
                <w:sz w:val="20"/>
                <w:szCs w:val="20"/>
              </w:rPr>
            </w:pPr>
            <w:r>
              <w:rPr>
                <w:color w:val="000000"/>
                <w:sz w:val="20"/>
                <w:szCs w:val="20"/>
              </w:rPr>
              <w:t>0,48%</w:t>
            </w:r>
          </w:p>
        </w:tc>
        <w:tc>
          <w:tcPr>
            <w:tcW w:w="2047" w:type="dxa"/>
            <w:vAlign w:val="center"/>
          </w:tcPr>
          <w:p w14:paraId="14730195">
            <w:pPr>
              <w:jc w:val="center"/>
              <w:rPr>
                <w:color w:val="000000"/>
                <w:sz w:val="20"/>
                <w:szCs w:val="20"/>
              </w:rPr>
            </w:pPr>
            <w:r>
              <w:rPr>
                <w:color w:val="000000"/>
                <w:sz w:val="20"/>
                <w:szCs w:val="20"/>
              </w:rPr>
              <w:t>764,7</w:t>
            </w:r>
          </w:p>
        </w:tc>
        <w:tc>
          <w:tcPr>
            <w:tcW w:w="1276" w:type="dxa"/>
            <w:vAlign w:val="center"/>
          </w:tcPr>
          <w:p w14:paraId="1B107803">
            <w:pPr>
              <w:jc w:val="center"/>
              <w:rPr>
                <w:color w:val="000000"/>
                <w:sz w:val="20"/>
                <w:szCs w:val="20"/>
              </w:rPr>
            </w:pPr>
            <w:r>
              <w:rPr>
                <w:color w:val="000000"/>
                <w:sz w:val="20"/>
                <w:szCs w:val="20"/>
              </w:rPr>
              <w:t>3.823,50</w:t>
            </w:r>
          </w:p>
        </w:tc>
        <w:tc>
          <w:tcPr>
            <w:tcW w:w="992" w:type="dxa"/>
            <w:vAlign w:val="center"/>
          </w:tcPr>
          <w:p w14:paraId="61D8DE7C">
            <w:pPr>
              <w:jc w:val="center"/>
              <w:rPr>
                <w:color w:val="000000"/>
                <w:sz w:val="20"/>
                <w:szCs w:val="20"/>
              </w:rPr>
            </w:pPr>
            <w:r>
              <w:rPr>
                <w:color w:val="000000"/>
                <w:sz w:val="20"/>
                <w:szCs w:val="20"/>
              </w:rPr>
              <w:t>93</w:t>
            </w:r>
          </w:p>
        </w:tc>
        <w:tc>
          <w:tcPr>
            <w:tcW w:w="992" w:type="dxa"/>
            <w:vAlign w:val="center"/>
          </w:tcPr>
          <w:p w14:paraId="57DC1B41">
            <w:pPr>
              <w:jc w:val="center"/>
              <w:rPr>
                <w:color w:val="000000"/>
                <w:sz w:val="20"/>
                <w:szCs w:val="20"/>
              </w:rPr>
            </w:pPr>
            <w:r>
              <w:rPr>
                <w:color w:val="000000"/>
                <w:sz w:val="20"/>
                <w:szCs w:val="20"/>
              </w:rPr>
              <w:t>5</w:t>
            </w:r>
          </w:p>
        </w:tc>
        <w:tc>
          <w:tcPr>
            <w:tcW w:w="1134" w:type="dxa"/>
            <w:vAlign w:val="center"/>
          </w:tcPr>
          <w:p w14:paraId="320E6F25">
            <w:pPr>
              <w:jc w:val="center"/>
              <w:rPr>
                <w:color w:val="000000"/>
                <w:sz w:val="20"/>
                <w:szCs w:val="20"/>
              </w:rPr>
            </w:pPr>
            <w:r>
              <w:rPr>
                <w:color w:val="000000"/>
                <w:sz w:val="20"/>
                <w:szCs w:val="20"/>
              </w:rPr>
              <w:t>4,7</w:t>
            </w:r>
          </w:p>
        </w:tc>
        <w:tc>
          <w:tcPr>
            <w:tcW w:w="993" w:type="dxa"/>
            <w:vAlign w:val="center"/>
          </w:tcPr>
          <w:p w14:paraId="6ECAB2CF">
            <w:pPr>
              <w:jc w:val="center"/>
              <w:rPr>
                <w:color w:val="000000"/>
                <w:sz w:val="20"/>
                <w:szCs w:val="20"/>
              </w:rPr>
            </w:pPr>
            <w:r>
              <w:rPr>
                <w:color w:val="000000"/>
                <w:sz w:val="20"/>
                <w:szCs w:val="20"/>
              </w:rPr>
              <w:t>9</w:t>
            </w:r>
          </w:p>
        </w:tc>
        <w:tc>
          <w:tcPr>
            <w:tcW w:w="992" w:type="dxa"/>
            <w:vAlign w:val="center"/>
          </w:tcPr>
          <w:p w14:paraId="713A9D44">
            <w:pPr>
              <w:jc w:val="center"/>
              <w:rPr>
                <w:b/>
                <w:bCs/>
                <w:color w:val="000000"/>
                <w:sz w:val="20"/>
                <w:szCs w:val="20"/>
              </w:rPr>
            </w:pPr>
          </w:p>
        </w:tc>
      </w:tr>
      <w:tr w14:paraId="463F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2B31627">
            <w:pPr>
              <w:jc w:val="center"/>
              <w:rPr>
                <w:color w:val="000000"/>
                <w:sz w:val="20"/>
                <w:szCs w:val="20"/>
              </w:rPr>
            </w:pPr>
          </w:p>
        </w:tc>
        <w:tc>
          <w:tcPr>
            <w:tcW w:w="2409" w:type="dxa"/>
            <w:vAlign w:val="center"/>
          </w:tcPr>
          <w:p w14:paraId="1B659962">
            <w:pPr>
              <w:rPr>
                <w:color w:val="000000"/>
                <w:sz w:val="20"/>
                <w:szCs w:val="20"/>
              </w:rPr>
            </w:pPr>
            <w:r>
              <w:rPr>
                <w:color w:val="000000"/>
                <w:sz w:val="20"/>
                <w:szCs w:val="20"/>
              </w:rPr>
              <w:t>Đất nhà ở liền kề kết hợp kinh doanh 55</w:t>
            </w:r>
          </w:p>
        </w:tc>
        <w:tc>
          <w:tcPr>
            <w:tcW w:w="1033" w:type="dxa"/>
            <w:vAlign w:val="center"/>
          </w:tcPr>
          <w:p w14:paraId="23B9F575">
            <w:pPr>
              <w:jc w:val="center"/>
              <w:rPr>
                <w:color w:val="000000"/>
                <w:sz w:val="20"/>
                <w:szCs w:val="20"/>
              </w:rPr>
            </w:pPr>
            <w:r>
              <w:rPr>
                <w:color w:val="000000"/>
                <w:sz w:val="20"/>
                <w:szCs w:val="20"/>
              </w:rPr>
              <w:t>LK55</w:t>
            </w:r>
          </w:p>
        </w:tc>
        <w:tc>
          <w:tcPr>
            <w:tcW w:w="1459" w:type="dxa"/>
            <w:vAlign w:val="center"/>
          </w:tcPr>
          <w:p w14:paraId="300A4D77">
            <w:pPr>
              <w:jc w:val="center"/>
              <w:rPr>
                <w:color w:val="000000"/>
                <w:sz w:val="20"/>
                <w:szCs w:val="20"/>
              </w:rPr>
            </w:pPr>
            <w:r>
              <w:rPr>
                <w:color w:val="000000"/>
                <w:sz w:val="20"/>
                <w:szCs w:val="20"/>
              </w:rPr>
              <w:t>1.089,70</w:t>
            </w:r>
          </w:p>
        </w:tc>
        <w:tc>
          <w:tcPr>
            <w:tcW w:w="1273" w:type="dxa"/>
            <w:vAlign w:val="center"/>
          </w:tcPr>
          <w:p w14:paraId="164A9E68">
            <w:pPr>
              <w:jc w:val="center"/>
              <w:rPr>
                <w:color w:val="000000"/>
                <w:sz w:val="20"/>
                <w:szCs w:val="20"/>
              </w:rPr>
            </w:pPr>
            <w:r>
              <w:rPr>
                <w:color w:val="000000"/>
                <w:sz w:val="20"/>
                <w:szCs w:val="20"/>
              </w:rPr>
              <w:t>0,55%</w:t>
            </w:r>
          </w:p>
        </w:tc>
        <w:tc>
          <w:tcPr>
            <w:tcW w:w="2047" w:type="dxa"/>
            <w:vAlign w:val="center"/>
          </w:tcPr>
          <w:p w14:paraId="47ABBCE5">
            <w:pPr>
              <w:jc w:val="center"/>
              <w:rPr>
                <w:color w:val="000000"/>
                <w:sz w:val="20"/>
                <w:szCs w:val="20"/>
              </w:rPr>
            </w:pPr>
            <w:r>
              <w:rPr>
                <w:color w:val="000000"/>
                <w:sz w:val="20"/>
                <w:szCs w:val="20"/>
              </w:rPr>
              <w:t>859,8</w:t>
            </w:r>
          </w:p>
        </w:tc>
        <w:tc>
          <w:tcPr>
            <w:tcW w:w="1276" w:type="dxa"/>
            <w:vAlign w:val="center"/>
          </w:tcPr>
          <w:p w14:paraId="227A711D">
            <w:pPr>
              <w:jc w:val="center"/>
              <w:rPr>
                <w:color w:val="000000"/>
                <w:sz w:val="20"/>
                <w:szCs w:val="20"/>
              </w:rPr>
            </w:pPr>
            <w:r>
              <w:rPr>
                <w:color w:val="000000"/>
                <w:sz w:val="20"/>
                <w:szCs w:val="20"/>
              </w:rPr>
              <w:t>4.299,00</w:t>
            </w:r>
          </w:p>
        </w:tc>
        <w:tc>
          <w:tcPr>
            <w:tcW w:w="992" w:type="dxa"/>
            <w:vAlign w:val="center"/>
          </w:tcPr>
          <w:p w14:paraId="4E5229CB">
            <w:pPr>
              <w:jc w:val="center"/>
              <w:rPr>
                <w:color w:val="000000"/>
                <w:sz w:val="20"/>
                <w:szCs w:val="20"/>
              </w:rPr>
            </w:pPr>
            <w:r>
              <w:rPr>
                <w:color w:val="000000"/>
                <w:sz w:val="20"/>
                <w:szCs w:val="20"/>
              </w:rPr>
              <w:t>80</w:t>
            </w:r>
          </w:p>
        </w:tc>
        <w:tc>
          <w:tcPr>
            <w:tcW w:w="992" w:type="dxa"/>
            <w:vAlign w:val="center"/>
          </w:tcPr>
          <w:p w14:paraId="411A3CCB">
            <w:pPr>
              <w:jc w:val="center"/>
              <w:rPr>
                <w:color w:val="000000"/>
                <w:sz w:val="20"/>
                <w:szCs w:val="20"/>
              </w:rPr>
            </w:pPr>
            <w:r>
              <w:rPr>
                <w:color w:val="000000"/>
                <w:sz w:val="20"/>
                <w:szCs w:val="20"/>
              </w:rPr>
              <w:t>5</w:t>
            </w:r>
          </w:p>
        </w:tc>
        <w:tc>
          <w:tcPr>
            <w:tcW w:w="1134" w:type="dxa"/>
            <w:vAlign w:val="center"/>
          </w:tcPr>
          <w:p w14:paraId="269B0EBD">
            <w:pPr>
              <w:jc w:val="center"/>
              <w:rPr>
                <w:color w:val="000000"/>
                <w:sz w:val="20"/>
                <w:szCs w:val="20"/>
              </w:rPr>
            </w:pPr>
            <w:r>
              <w:rPr>
                <w:color w:val="000000"/>
                <w:sz w:val="20"/>
                <w:szCs w:val="20"/>
              </w:rPr>
              <w:t>4,0</w:t>
            </w:r>
          </w:p>
        </w:tc>
        <w:tc>
          <w:tcPr>
            <w:tcW w:w="993" w:type="dxa"/>
            <w:vAlign w:val="center"/>
          </w:tcPr>
          <w:p w14:paraId="25913E15">
            <w:pPr>
              <w:jc w:val="center"/>
              <w:rPr>
                <w:color w:val="000000"/>
                <w:sz w:val="20"/>
                <w:szCs w:val="20"/>
              </w:rPr>
            </w:pPr>
            <w:r>
              <w:rPr>
                <w:color w:val="000000"/>
                <w:sz w:val="20"/>
                <w:szCs w:val="20"/>
              </w:rPr>
              <w:t>10</w:t>
            </w:r>
          </w:p>
        </w:tc>
        <w:tc>
          <w:tcPr>
            <w:tcW w:w="992" w:type="dxa"/>
            <w:vAlign w:val="center"/>
          </w:tcPr>
          <w:p w14:paraId="500761CD">
            <w:pPr>
              <w:jc w:val="center"/>
              <w:rPr>
                <w:b/>
                <w:bCs/>
                <w:color w:val="000000"/>
                <w:sz w:val="20"/>
                <w:szCs w:val="20"/>
              </w:rPr>
            </w:pPr>
          </w:p>
        </w:tc>
      </w:tr>
      <w:tr w14:paraId="36AF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AE10C24">
            <w:pPr>
              <w:jc w:val="center"/>
              <w:rPr>
                <w:color w:val="000000"/>
                <w:sz w:val="20"/>
                <w:szCs w:val="20"/>
              </w:rPr>
            </w:pPr>
          </w:p>
        </w:tc>
        <w:tc>
          <w:tcPr>
            <w:tcW w:w="2409" w:type="dxa"/>
            <w:vAlign w:val="center"/>
          </w:tcPr>
          <w:p w14:paraId="469B766D">
            <w:pPr>
              <w:rPr>
                <w:color w:val="000000"/>
                <w:sz w:val="20"/>
                <w:szCs w:val="20"/>
              </w:rPr>
            </w:pPr>
            <w:r>
              <w:rPr>
                <w:color w:val="000000"/>
                <w:sz w:val="20"/>
                <w:szCs w:val="20"/>
              </w:rPr>
              <w:t>Đất nhà ở liền kề kết hợp kinh doanh 56</w:t>
            </w:r>
          </w:p>
        </w:tc>
        <w:tc>
          <w:tcPr>
            <w:tcW w:w="1033" w:type="dxa"/>
            <w:vAlign w:val="center"/>
          </w:tcPr>
          <w:p w14:paraId="551B1A06">
            <w:pPr>
              <w:jc w:val="center"/>
              <w:rPr>
                <w:color w:val="000000"/>
                <w:sz w:val="20"/>
                <w:szCs w:val="20"/>
              </w:rPr>
            </w:pPr>
            <w:r>
              <w:rPr>
                <w:color w:val="000000"/>
                <w:sz w:val="20"/>
                <w:szCs w:val="20"/>
              </w:rPr>
              <w:t>LK56</w:t>
            </w:r>
          </w:p>
        </w:tc>
        <w:tc>
          <w:tcPr>
            <w:tcW w:w="1459" w:type="dxa"/>
            <w:vAlign w:val="center"/>
          </w:tcPr>
          <w:p w14:paraId="0BC23DA3">
            <w:pPr>
              <w:jc w:val="center"/>
              <w:rPr>
                <w:color w:val="000000"/>
                <w:sz w:val="20"/>
                <w:szCs w:val="20"/>
              </w:rPr>
            </w:pPr>
            <w:r>
              <w:rPr>
                <w:color w:val="000000"/>
                <w:sz w:val="20"/>
                <w:szCs w:val="20"/>
              </w:rPr>
              <w:t>1.136,80</w:t>
            </w:r>
          </w:p>
        </w:tc>
        <w:tc>
          <w:tcPr>
            <w:tcW w:w="1273" w:type="dxa"/>
            <w:vAlign w:val="center"/>
          </w:tcPr>
          <w:p w14:paraId="35C34772">
            <w:pPr>
              <w:jc w:val="center"/>
              <w:rPr>
                <w:color w:val="000000"/>
                <w:sz w:val="20"/>
                <w:szCs w:val="20"/>
              </w:rPr>
            </w:pPr>
            <w:r>
              <w:rPr>
                <w:color w:val="000000"/>
                <w:sz w:val="20"/>
                <w:szCs w:val="20"/>
              </w:rPr>
              <w:t>0,57%</w:t>
            </w:r>
          </w:p>
        </w:tc>
        <w:tc>
          <w:tcPr>
            <w:tcW w:w="2047" w:type="dxa"/>
            <w:vAlign w:val="center"/>
          </w:tcPr>
          <w:p w14:paraId="1F98A0DB">
            <w:pPr>
              <w:jc w:val="center"/>
              <w:rPr>
                <w:color w:val="000000"/>
                <w:sz w:val="20"/>
                <w:szCs w:val="20"/>
              </w:rPr>
            </w:pPr>
            <w:r>
              <w:rPr>
                <w:color w:val="000000"/>
                <w:sz w:val="20"/>
                <w:szCs w:val="20"/>
              </w:rPr>
              <w:t>813,5</w:t>
            </w:r>
          </w:p>
        </w:tc>
        <w:tc>
          <w:tcPr>
            <w:tcW w:w="1276" w:type="dxa"/>
            <w:vAlign w:val="center"/>
          </w:tcPr>
          <w:p w14:paraId="3D5FAD21">
            <w:pPr>
              <w:jc w:val="center"/>
              <w:rPr>
                <w:color w:val="000000"/>
                <w:sz w:val="20"/>
                <w:szCs w:val="20"/>
              </w:rPr>
            </w:pPr>
            <w:r>
              <w:rPr>
                <w:color w:val="000000"/>
                <w:sz w:val="20"/>
                <w:szCs w:val="20"/>
              </w:rPr>
              <w:t>4.067,50</w:t>
            </w:r>
          </w:p>
        </w:tc>
        <w:tc>
          <w:tcPr>
            <w:tcW w:w="992" w:type="dxa"/>
            <w:vAlign w:val="center"/>
          </w:tcPr>
          <w:p w14:paraId="1A818DFA">
            <w:pPr>
              <w:jc w:val="center"/>
              <w:rPr>
                <w:color w:val="000000"/>
                <w:sz w:val="20"/>
                <w:szCs w:val="20"/>
              </w:rPr>
            </w:pPr>
            <w:r>
              <w:rPr>
                <w:color w:val="000000"/>
                <w:sz w:val="20"/>
                <w:szCs w:val="20"/>
              </w:rPr>
              <w:t>85</w:t>
            </w:r>
          </w:p>
        </w:tc>
        <w:tc>
          <w:tcPr>
            <w:tcW w:w="992" w:type="dxa"/>
            <w:vAlign w:val="center"/>
          </w:tcPr>
          <w:p w14:paraId="77307221">
            <w:pPr>
              <w:jc w:val="center"/>
              <w:rPr>
                <w:color w:val="000000"/>
                <w:sz w:val="20"/>
                <w:szCs w:val="20"/>
              </w:rPr>
            </w:pPr>
            <w:r>
              <w:rPr>
                <w:color w:val="000000"/>
                <w:sz w:val="20"/>
                <w:szCs w:val="20"/>
              </w:rPr>
              <w:t>5</w:t>
            </w:r>
          </w:p>
        </w:tc>
        <w:tc>
          <w:tcPr>
            <w:tcW w:w="1134" w:type="dxa"/>
            <w:vAlign w:val="center"/>
          </w:tcPr>
          <w:p w14:paraId="189752AD">
            <w:pPr>
              <w:jc w:val="center"/>
              <w:rPr>
                <w:color w:val="000000"/>
                <w:sz w:val="20"/>
                <w:szCs w:val="20"/>
              </w:rPr>
            </w:pPr>
            <w:r>
              <w:rPr>
                <w:color w:val="000000"/>
                <w:sz w:val="20"/>
                <w:szCs w:val="20"/>
              </w:rPr>
              <w:t>4,3</w:t>
            </w:r>
          </w:p>
        </w:tc>
        <w:tc>
          <w:tcPr>
            <w:tcW w:w="993" w:type="dxa"/>
            <w:vAlign w:val="center"/>
          </w:tcPr>
          <w:p w14:paraId="004B85E7">
            <w:pPr>
              <w:jc w:val="center"/>
              <w:rPr>
                <w:color w:val="000000"/>
                <w:sz w:val="20"/>
                <w:szCs w:val="20"/>
              </w:rPr>
            </w:pPr>
            <w:r>
              <w:rPr>
                <w:color w:val="000000"/>
                <w:sz w:val="20"/>
                <w:szCs w:val="20"/>
              </w:rPr>
              <w:t>10</w:t>
            </w:r>
          </w:p>
        </w:tc>
        <w:tc>
          <w:tcPr>
            <w:tcW w:w="992" w:type="dxa"/>
            <w:vAlign w:val="center"/>
          </w:tcPr>
          <w:p w14:paraId="6C5C943B">
            <w:pPr>
              <w:jc w:val="center"/>
              <w:rPr>
                <w:b/>
                <w:bCs/>
                <w:color w:val="000000"/>
                <w:sz w:val="20"/>
                <w:szCs w:val="20"/>
              </w:rPr>
            </w:pPr>
          </w:p>
        </w:tc>
      </w:tr>
      <w:tr w14:paraId="3EA1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06D3804E">
            <w:pPr>
              <w:jc w:val="center"/>
              <w:rPr>
                <w:color w:val="000000"/>
                <w:sz w:val="20"/>
                <w:szCs w:val="20"/>
              </w:rPr>
            </w:pPr>
          </w:p>
        </w:tc>
        <w:tc>
          <w:tcPr>
            <w:tcW w:w="2409" w:type="dxa"/>
            <w:vAlign w:val="center"/>
          </w:tcPr>
          <w:p w14:paraId="7AEDE049">
            <w:pPr>
              <w:rPr>
                <w:color w:val="000000"/>
                <w:sz w:val="20"/>
                <w:szCs w:val="20"/>
              </w:rPr>
            </w:pPr>
            <w:r>
              <w:rPr>
                <w:color w:val="000000"/>
                <w:sz w:val="20"/>
                <w:szCs w:val="20"/>
              </w:rPr>
              <w:t>Đất nhà ở liền kề kết hợp kinh doanh 57</w:t>
            </w:r>
          </w:p>
        </w:tc>
        <w:tc>
          <w:tcPr>
            <w:tcW w:w="1033" w:type="dxa"/>
            <w:vAlign w:val="center"/>
          </w:tcPr>
          <w:p w14:paraId="12C25A51">
            <w:pPr>
              <w:jc w:val="center"/>
              <w:rPr>
                <w:color w:val="000000"/>
                <w:sz w:val="20"/>
                <w:szCs w:val="20"/>
              </w:rPr>
            </w:pPr>
            <w:r>
              <w:rPr>
                <w:color w:val="000000"/>
                <w:sz w:val="20"/>
                <w:szCs w:val="20"/>
              </w:rPr>
              <w:t>LK57</w:t>
            </w:r>
          </w:p>
        </w:tc>
        <w:tc>
          <w:tcPr>
            <w:tcW w:w="1459" w:type="dxa"/>
            <w:vAlign w:val="center"/>
          </w:tcPr>
          <w:p w14:paraId="450F8A66">
            <w:pPr>
              <w:jc w:val="center"/>
              <w:rPr>
                <w:color w:val="000000"/>
                <w:sz w:val="20"/>
                <w:szCs w:val="20"/>
              </w:rPr>
            </w:pPr>
            <w:r>
              <w:rPr>
                <w:color w:val="000000"/>
                <w:sz w:val="20"/>
                <w:szCs w:val="20"/>
              </w:rPr>
              <w:t>914,70</w:t>
            </w:r>
          </w:p>
        </w:tc>
        <w:tc>
          <w:tcPr>
            <w:tcW w:w="1273" w:type="dxa"/>
            <w:vAlign w:val="center"/>
          </w:tcPr>
          <w:p w14:paraId="003D5502">
            <w:pPr>
              <w:jc w:val="center"/>
              <w:rPr>
                <w:color w:val="000000"/>
                <w:sz w:val="20"/>
                <w:szCs w:val="20"/>
              </w:rPr>
            </w:pPr>
            <w:r>
              <w:rPr>
                <w:color w:val="000000"/>
                <w:sz w:val="20"/>
                <w:szCs w:val="20"/>
              </w:rPr>
              <w:t>0,46%</w:t>
            </w:r>
          </w:p>
        </w:tc>
        <w:tc>
          <w:tcPr>
            <w:tcW w:w="2047" w:type="dxa"/>
            <w:vAlign w:val="center"/>
          </w:tcPr>
          <w:p w14:paraId="4BF2DB0F">
            <w:pPr>
              <w:jc w:val="center"/>
              <w:rPr>
                <w:color w:val="000000"/>
                <w:sz w:val="20"/>
                <w:szCs w:val="20"/>
              </w:rPr>
            </w:pPr>
            <w:r>
              <w:rPr>
                <w:color w:val="000000"/>
                <w:sz w:val="20"/>
                <w:szCs w:val="20"/>
              </w:rPr>
              <w:t>809,0</w:t>
            </w:r>
          </w:p>
        </w:tc>
        <w:tc>
          <w:tcPr>
            <w:tcW w:w="1276" w:type="dxa"/>
            <w:vAlign w:val="center"/>
          </w:tcPr>
          <w:p w14:paraId="3ECAA42B">
            <w:pPr>
              <w:jc w:val="center"/>
              <w:rPr>
                <w:color w:val="000000"/>
                <w:sz w:val="20"/>
                <w:szCs w:val="20"/>
              </w:rPr>
            </w:pPr>
            <w:r>
              <w:rPr>
                <w:color w:val="000000"/>
                <w:sz w:val="20"/>
                <w:szCs w:val="20"/>
              </w:rPr>
              <w:t>4.045,00</w:t>
            </w:r>
          </w:p>
        </w:tc>
        <w:tc>
          <w:tcPr>
            <w:tcW w:w="992" w:type="dxa"/>
            <w:vAlign w:val="center"/>
          </w:tcPr>
          <w:p w14:paraId="7F08E60D">
            <w:pPr>
              <w:jc w:val="center"/>
              <w:rPr>
                <w:color w:val="000000"/>
                <w:sz w:val="20"/>
                <w:szCs w:val="20"/>
              </w:rPr>
            </w:pPr>
            <w:r>
              <w:rPr>
                <w:color w:val="000000"/>
                <w:sz w:val="20"/>
                <w:szCs w:val="20"/>
              </w:rPr>
              <w:t>90</w:t>
            </w:r>
          </w:p>
        </w:tc>
        <w:tc>
          <w:tcPr>
            <w:tcW w:w="992" w:type="dxa"/>
            <w:vAlign w:val="center"/>
          </w:tcPr>
          <w:p w14:paraId="136E7829">
            <w:pPr>
              <w:jc w:val="center"/>
              <w:rPr>
                <w:color w:val="000000"/>
                <w:sz w:val="20"/>
                <w:szCs w:val="20"/>
              </w:rPr>
            </w:pPr>
            <w:r>
              <w:rPr>
                <w:color w:val="000000"/>
                <w:sz w:val="20"/>
                <w:szCs w:val="20"/>
              </w:rPr>
              <w:t>5</w:t>
            </w:r>
          </w:p>
        </w:tc>
        <w:tc>
          <w:tcPr>
            <w:tcW w:w="1134" w:type="dxa"/>
            <w:vAlign w:val="center"/>
          </w:tcPr>
          <w:p w14:paraId="1004850E">
            <w:pPr>
              <w:jc w:val="center"/>
              <w:rPr>
                <w:color w:val="000000"/>
                <w:sz w:val="20"/>
                <w:szCs w:val="20"/>
              </w:rPr>
            </w:pPr>
            <w:r>
              <w:rPr>
                <w:color w:val="000000"/>
                <w:sz w:val="20"/>
                <w:szCs w:val="20"/>
              </w:rPr>
              <w:t>4,5</w:t>
            </w:r>
          </w:p>
        </w:tc>
        <w:tc>
          <w:tcPr>
            <w:tcW w:w="993" w:type="dxa"/>
            <w:vAlign w:val="center"/>
          </w:tcPr>
          <w:p w14:paraId="18711A7E">
            <w:pPr>
              <w:jc w:val="center"/>
              <w:rPr>
                <w:color w:val="000000"/>
                <w:sz w:val="20"/>
                <w:szCs w:val="20"/>
              </w:rPr>
            </w:pPr>
            <w:r>
              <w:rPr>
                <w:color w:val="000000"/>
                <w:sz w:val="20"/>
                <w:szCs w:val="20"/>
              </w:rPr>
              <w:t>10</w:t>
            </w:r>
          </w:p>
        </w:tc>
        <w:tc>
          <w:tcPr>
            <w:tcW w:w="992" w:type="dxa"/>
            <w:vAlign w:val="center"/>
          </w:tcPr>
          <w:p w14:paraId="46121449">
            <w:pPr>
              <w:jc w:val="center"/>
              <w:rPr>
                <w:b/>
                <w:bCs/>
                <w:color w:val="000000"/>
                <w:sz w:val="20"/>
                <w:szCs w:val="20"/>
              </w:rPr>
            </w:pPr>
          </w:p>
        </w:tc>
      </w:tr>
      <w:tr w14:paraId="75CA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5F27719">
            <w:pPr>
              <w:jc w:val="center"/>
              <w:rPr>
                <w:color w:val="000000"/>
                <w:sz w:val="20"/>
                <w:szCs w:val="20"/>
              </w:rPr>
            </w:pPr>
          </w:p>
        </w:tc>
        <w:tc>
          <w:tcPr>
            <w:tcW w:w="2409" w:type="dxa"/>
            <w:vAlign w:val="center"/>
          </w:tcPr>
          <w:p w14:paraId="01CFE323">
            <w:pPr>
              <w:rPr>
                <w:color w:val="000000"/>
                <w:sz w:val="20"/>
                <w:szCs w:val="20"/>
              </w:rPr>
            </w:pPr>
            <w:r>
              <w:rPr>
                <w:color w:val="000000"/>
                <w:sz w:val="20"/>
                <w:szCs w:val="20"/>
              </w:rPr>
              <w:t>Đất nhà ở liền kề kết hợp kinh doanh 58</w:t>
            </w:r>
          </w:p>
        </w:tc>
        <w:tc>
          <w:tcPr>
            <w:tcW w:w="1033" w:type="dxa"/>
            <w:vAlign w:val="center"/>
          </w:tcPr>
          <w:p w14:paraId="1F495C28">
            <w:pPr>
              <w:jc w:val="center"/>
              <w:rPr>
                <w:color w:val="000000"/>
                <w:sz w:val="20"/>
                <w:szCs w:val="20"/>
              </w:rPr>
            </w:pPr>
            <w:r>
              <w:rPr>
                <w:color w:val="000000"/>
                <w:sz w:val="20"/>
                <w:szCs w:val="20"/>
              </w:rPr>
              <w:t>LK58</w:t>
            </w:r>
          </w:p>
        </w:tc>
        <w:tc>
          <w:tcPr>
            <w:tcW w:w="1459" w:type="dxa"/>
            <w:vAlign w:val="center"/>
          </w:tcPr>
          <w:p w14:paraId="5C6124FA">
            <w:pPr>
              <w:jc w:val="center"/>
              <w:rPr>
                <w:color w:val="000000"/>
                <w:sz w:val="20"/>
                <w:szCs w:val="20"/>
              </w:rPr>
            </w:pPr>
            <w:r>
              <w:rPr>
                <w:color w:val="000000"/>
                <w:sz w:val="20"/>
                <w:szCs w:val="20"/>
              </w:rPr>
              <w:t>993,10</w:t>
            </w:r>
          </w:p>
        </w:tc>
        <w:tc>
          <w:tcPr>
            <w:tcW w:w="1273" w:type="dxa"/>
            <w:vAlign w:val="center"/>
          </w:tcPr>
          <w:p w14:paraId="15D46F61">
            <w:pPr>
              <w:jc w:val="center"/>
              <w:rPr>
                <w:color w:val="000000"/>
                <w:sz w:val="20"/>
                <w:szCs w:val="20"/>
              </w:rPr>
            </w:pPr>
            <w:r>
              <w:rPr>
                <w:color w:val="000000"/>
                <w:sz w:val="20"/>
                <w:szCs w:val="20"/>
              </w:rPr>
              <w:t>0,50%</w:t>
            </w:r>
          </w:p>
        </w:tc>
        <w:tc>
          <w:tcPr>
            <w:tcW w:w="2047" w:type="dxa"/>
            <w:vAlign w:val="center"/>
          </w:tcPr>
          <w:p w14:paraId="11C18693">
            <w:pPr>
              <w:jc w:val="center"/>
              <w:rPr>
                <w:color w:val="000000"/>
                <w:sz w:val="20"/>
                <w:szCs w:val="20"/>
              </w:rPr>
            </w:pPr>
            <w:r>
              <w:rPr>
                <w:color w:val="000000"/>
                <w:sz w:val="20"/>
                <w:szCs w:val="20"/>
              </w:rPr>
              <w:t>822,0</w:t>
            </w:r>
          </w:p>
        </w:tc>
        <w:tc>
          <w:tcPr>
            <w:tcW w:w="1276" w:type="dxa"/>
            <w:vAlign w:val="center"/>
          </w:tcPr>
          <w:p w14:paraId="485480EE">
            <w:pPr>
              <w:jc w:val="center"/>
              <w:rPr>
                <w:color w:val="000000"/>
                <w:sz w:val="20"/>
                <w:szCs w:val="20"/>
              </w:rPr>
            </w:pPr>
            <w:r>
              <w:rPr>
                <w:color w:val="000000"/>
                <w:sz w:val="20"/>
                <w:szCs w:val="20"/>
              </w:rPr>
              <w:t>4.110,00</w:t>
            </w:r>
          </w:p>
        </w:tc>
        <w:tc>
          <w:tcPr>
            <w:tcW w:w="992" w:type="dxa"/>
            <w:vAlign w:val="center"/>
          </w:tcPr>
          <w:p w14:paraId="6CE307E5">
            <w:pPr>
              <w:jc w:val="center"/>
              <w:rPr>
                <w:color w:val="000000"/>
                <w:sz w:val="20"/>
                <w:szCs w:val="20"/>
              </w:rPr>
            </w:pPr>
            <w:r>
              <w:rPr>
                <w:color w:val="000000"/>
                <w:sz w:val="20"/>
                <w:szCs w:val="20"/>
              </w:rPr>
              <w:t>90</w:t>
            </w:r>
          </w:p>
        </w:tc>
        <w:tc>
          <w:tcPr>
            <w:tcW w:w="992" w:type="dxa"/>
            <w:vAlign w:val="center"/>
          </w:tcPr>
          <w:p w14:paraId="5CB2C96F">
            <w:pPr>
              <w:jc w:val="center"/>
              <w:rPr>
                <w:color w:val="000000"/>
                <w:sz w:val="20"/>
                <w:szCs w:val="20"/>
              </w:rPr>
            </w:pPr>
            <w:r>
              <w:rPr>
                <w:color w:val="000000"/>
                <w:sz w:val="20"/>
                <w:szCs w:val="20"/>
              </w:rPr>
              <w:t>5</w:t>
            </w:r>
          </w:p>
        </w:tc>
        <w:tc>
          <w:tcPr>
            <w:tcW w:w="1134" w:type="dxa"/>
            <w:vAlign w:val="center"/>
          </w:tcPr>
          <w:p w14:paraId="51E6A13B">
            <w:pPr>
              <w:jc w:val="center"/>
              <w:rPr>
                <w:color w:val="000000"/>
                <w:sz w:val="20"/>
                <w:szCs w:val="20"/>
              </w:rPr>
            </w:pPr>
            <w:r>
              <w:rPr>
                <w:color w:val="000000"/>
                <w:sz w:val="20"/>
                <w:szCs w:val="20"/>
              </w:rPr>
              <w:t>4,5</w:t>
            </w:r>
          </w:p>
        </w:tc>
        <w:tc>
          <w:tcPr>
            <w:tcW w:w="993" w:type="dxa"/>
            <w:vAlign w:val="center"/>
          </w:tcPr>
          <w:p w14:paraId="17C44295">
            <w:pPr>
              <w:jc w:val="center"/>
              <w:rPr>
                <w:color w:val="000000"/>
                <w:sz w:val="20"/>
                <w:szCs w:val="20"/>
              </w:rPr>
            </w:pPr>
            <w:r>
              <w:rPr>
                <w:color w:val="000000"/>
                <w:sz w:val="20"/>
                <w:szCs w:val="20"/>
              </w:rPr>
              <w:t>10</w:t>
            </w:r>
          </w:p>
        </w:tc>
        <w:tc>
          <w:tcPr>
            <w:tcW w:w="992" w:type="dxa"/>
            <w:vAlign w:val="center"/>
          </w:tcPr>
          <w:p w14:paraId="5F3B020D">
            <w:pPr>
              <w:jc w:val="center"/>
              <w:rPr>
                <w:b/>
                <w:bCs/>
                <w:color w:val="000000"/>
                <w:sz w:val="20"/>
                <w:szCs w:val="20"/>
              </w:rPr>
            </w:pPr>
          </w:p>
        </w:tc>
      </w:tr>
      <w:tr w14:paraId="2E65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AA3B9EA">
            <w:pPr>
              <w:jc w:val="center"/>
              <w:rPr>
                <w:color w:val="000000"/>
                <w:sz w:val="20"/>
                <w:szCs w:val="20"/>
              </w:rPr>
            </w:pPr>
          </w:p>
        </w:tc>
        <w:tc>
          <w:tcPr>
            <w:tcW w:w="2409" w:type="dxa"/>
            <w:vAlign w:val="center"/>
          </w:tcPr>
          <w:p w14:paraId="76203CEB">
            <w:pPr>
              <w:rPr>
                <w:color w:val="000000"/>
                <w:sz w:val="20"/>
                <w:szCs w:val="20"/>
              </w:rPr>
            </w:pPr>
            <w:r>
              <w:rPr>
                <w:color w:val="000000"/>
                <w:sz w:val="20"/>
                <w:szCs w:val="20"/>
              </w:rPr>
              <w:t>Đất nhà ở liền kề kết hợp kinh doanh 59</w:t>
            </w:r>
          </w:p>
        </w:tc>
        <w:tc>
          <w:tcPr>
            <w:tcW w:w="1033" w:type="dxa"/>
            <w:vAlign w:val="center"/>
          </w:tcPr>
          <w:p w14:paraId="4DCDE766">
            <w:pPr>
              <w:jc w:val="center"/>
              <w:rPr>
                <w:color w:val="000000"/>
                <w:sz w:val="20"/>
                <w:szCs w:val="20"/>
              </w:rPr>
            </w:pPr>
            <w:r>
              <w:rPr>
                <w:color w:val="000000"/>
                <w:sz w:val="20"/>
                <w:szCs w:val="20"/>
              </w:rPr>
              <w:t>LK59</w:t>
            </w:r>
          </w:p>
        </w:tc>
        <w:tc>
          <w:tcPr>
            <w:tcW w:w="1459" w:type="dxa"/>
            <w:vAlign w:val="center"/>
          </w:tcPr>
          <w:p w14:paraId="6F3320C6">
            <w:pPr>
              <w:jc w:val="center"/>
              <w:rPr>
                <w:color w:val="000000"/>
                <w:sz w:val="20"/>
                <w:szCs w:val="20"/>
              </w:rPr>
            </w:pPr>
            <w:r>
              <w:rPr>
                <w:color w:val="000000"/>
                <w:sz w:val="20"/>
                <w:szCs w:val="20"/>
              </w:rPr>
              <w:t>535,70</w:t>
            </w:r>
          </w:p>
        </w:tc>
        <w:tc>
          <w:tcPr>
            <w:tcW w:w="1273" w:type="dxa"/>
            <w:vAlign w:val="center"/>
          </w:tcPr>
          <w:p w14:paraId="177D3B47">
            <w:pPr>
              <w:jc w:val="center"/>
              <w:rPr>
                <w:color w:val="000000"/>
                <w:sz w:val="20"/>
                <w:szCs w:val="20"/>
              </w:rPr>
            </w:pPr>
            <w:r>
              <w:rPr>
                <w:color w:val="000000"/>
                <w:sz w:val="20"/>
                <w:szCs w:val="20"/>
              </w:rPr>
              <w:t>0,27%</w:t>
            </w:r>
          </w:p>
        </w:tc>
        <w:tc>
          <w:tcPr>
            <w:tcW w:w="2047" w:type="dxa"/>
            <w:vAlign w:val="center"/>
          </w:tcPr>
          <w:p w14:paraId="3A57C346">
            <w:pPr>
              <w:jc w:val="center"/>
              <w:rPr>
                <w:color w:val="000000"/>
                <w:sz w:val="20"/>
                <w:szCs w:val="20"/>
              </w:rPr>
            </w:pPr>
            <w:r>
              <w:rPr>
                <w:color w:val="000000"/>
                <w:sz w:val="20"/>
                <w:szCs w:val="20"/>
              </w:rPr>
              <w:t>474,4</w:t>
            </w:r>
          </w:p>
        </w:tc>
        <w:tc>
          <w:tcPr>
            <w:tcW w:w="1276" w:type="dxa"/>
            <w:vAlign w:val="center"/>
          </w:tcPr>
          <w:p w14:paraId="53EB1BE9">
            <w:pPr>
              <w:jc w:val="center"/>
              <w:rPr>
                <w:color w:val="000000"/>
                <w:sz w:val="20"/>
                <w:szCs w:val="20"/>
              </w:rPr>
            </w:pPr>
            <w:r>
              <w:rPr>
                <w:color w:val="000000"/>
                <w:sz w:val="20"/>
                <w:szCs w:val="20"/>
              </w:rPr>
              <w:t>2.372,00</w:t>
            </w:r>
          </w:p>
        </w:tc>
        <w:tc>
          <w:tcPr>
            <w:tcW w:w="992" w:type="dxa"/>
            <w:vAlign w:val="center"/>
          </w:tcPr>
          <w:p w14:paraId="7D9A9E6B">
            <w:pPr>
              <w:jc w:val="center"/>
              <w:rPr>
                <w:color w:val="000000"/>
                <w:sz w:val="20"/>
                <w:szCs w:val="20"/>
              </w:rPr>
            </w:pPr>
            <w:r>
              <w:rPr>
                <w:color w:val="000000"/>
                <w:sz w:val="20"/>
                <w:szCs w:val="20"/>
              </w:rPr>
              <w:t>91</w:t>
            </w:r>
          </w:p>
        </w:tc>
        <w:tc>
          <w:tcPr>
            <w:tcW w:w="992" w:type="dxa"/>
            <w:vAlign w:val="center"/>
          </w:tcPr>
          <w:p w14:paraId="2FBC7AD7">
            <w:pPr>
              <w:jc w:val="center"/>
              <w:rPr>
                <w:color w:val="000000"/>
                <w:sz w:val="20"/>
                <w:szCs w:val="20"/>
              </w:rPr>
            </w:pPr>
            <w:r>
              <w:rPr>
                <w:color w:val="000000"/>
                <w:sz w:val="20"/>
                <w:szCs w:val="20"/>
              </w:rPr>
              <w:t>5</w:t>
            </w:r>
          </w:p>
        </w:tc>
        <w:tc>
          <w:tcPr>
            <w:tcW w:w="1134" w:type="dxa"/>
            <w:vAlign w:val="center"/>
          </w:tcPr>
          <w:p w14:paraId="6CC14945">
            <w:pPr>
              <w:jc w:val="center"/>
              <w:rPr>
                <w:color w:val="000000"/>
                <w:sz w:val="20"/>
                <w:szCs w:val="20"/>
              </w:rPr>
            </w:pPr>
            <w:r>
              <w:rPr>
                <w:color w:val="000000"/>
                <w:sz w:val="20"/>
                <w:szCs w:val="20"/>
              </w:rPr>
              <w:t>4,6</w:t>
            </w:r>
          </w:p>
        </w:tc>
        <w:tc>
          <w:tcPr>
            <w:tcW w:w="993" w:type="dxa"/>
            <w:vAlign w:val="center"/>
          </w:tcPr>
          <w:p w14:paraId="4E24BAA0">
            <w:pPr>
              <w:jc w:val="center"/>
              <w:rPr>
                <w:color w:val="000000"/>
                <w:sz w:val="20"/>
                <w:szCs w:val="20"/>
              </w:rPr>
            </w:pPr>
            <w:r>
              <w:rPr>
                <w:color w:val="000000"/>
                <w:sz w:val="20"/>
                <w:szCs w:val="20"/>
              </w:rPr>
              <w:t>6</w:t>
            </w:r>
          </w:p>
        </w:tc>
        <w:tc>
          <w:tcPr>
            <w:tcW w:w="992" w:type="dxa"/>
            <w:vAlign w:val="center"/>
          </w:tcPr>
          <w:p w14:paraId="72186EF4">
            <w:pPr>
              <w:jc w:val="center"/>
              <w:rPr>
                <w:b/>
                <w:bCs/>
                <w:color w:val="000000"/>
                <w:sz w:val="20"/>
                <w:szCs w:val="20"/>
              </w:rPr>
            </w:pPr>
          </w:p>
        </w:tc>
      </w:tr>
      <w:tr w14:paraId="2FE2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058E99D7">
            <w:pPr>
              <w:jc w:val="center"/>
              <w:rPr>
                <w:color w:val="000000"/>
                <w:sz w:val="20"/>
                <w:szCs w:val="20"/>
              </w:rPr>
            </w:pPr>
          </w:p>
        </w:tc>
        <w:tc>
          <w:tcPr>
            <w:tcW w:w="2409" w:type="dxa"/>
            <w:vAlign w:val="center"/>
          </w:tcPr>
          <w:p w14:paraId="4AB0897F">
            <w:pPr>
              <w:rPr>
                <w:color w:val="000000"/>
                <w:sz w:val="20"/>
                <w:szCs w:val="20"/>
              </w:rPr>
            </w:pPr>
            <w:r>
              <w:rPr>
                <w:color w:val="000000"/>
                <w:sz w:val="20"/>
                <w:szCs w:val="20"/>
              </w:rPr>
              <w:t>Đất nhà ở liền kề kết hợp kinh doanh 60</w:t>
            </w:r>
          </w:p>
        </w:tc>
        <w:tc>
          <w:tcPr>
            <w:tcW w:w="1033" w:type="dxa"/>
            <w:vAlign w:val="center"/>
          </w:tcPr>
          <w:p w14:paraId="7197B669">
            <w:pPr>
              <w:jc w:val="center"/>
              <w:rPr>
                <w:color w:val="000000"/>
                <w:sz w:val="20"/>
                <w:szCs w:val="20"/>
              </w:rPr>
            </w:pPr>
            <w:r>
              <w:rPr>
                <w:color w:val="000000"/>
                <w:sz w:val="20"/>
                <w:szCs w:val="20"/>
              </w:rPr>
              <w:t>LK60</w:t>
            </w:r>
          </w:p>
        </w:tc>
        <w:tc>
          <w:tcPr>
            <w:tcW w:w="1459" w:type="dxa"/>
            <w:vAlign w:val="center"/>
          </w:tcPr>
          <w:p w14:paraId="643DBBD9">
            <w:pPr>
              <w:jc w:val="center"/>
              <w:rPr>
                <w:color w:val="000000"/>
                <w:sz w:val="20"/>
                <w:szCs w:val="20"/>
              </w:rPr>
            </w:pPr>
            <w:r>
              <w:rPr>
                <w:color w:val="000000"/>
                <w:sz w:val="20"/>
                <w:szCs w:val="20"/>
              </w:rPr>
              <w:t>819,60</w:t>
            </w:r>
          </w:p>
        </w:tc>
        <w:tc>
          <w:tcPr>
            <w:tcW w:w="1273" w:type="dxa"/>
            <w:vAlign w:val="center"/>
          </w:tcPr>
          <w:p w14:paraId="2F5C6EA4">
            <w:pPr>
              <w:jc w:val="center"/>
              <w:rPr>
                <w:color w:val="000000"/>
                <w:sz w:val="20"/>
                <w:szCs w:val="20"/>
              </w:rPr>
            </w:pPr>
            <w:r>
              <w:rPr>
                <w:color w:val="000000"/>
                <w:sz w:val="20"/>
                <w:szCs w:val="20"/>
              </w:rPr>
              <w:t>0,41%</w:t>
            </w:r>
          </w:p>
        </w:tc>
        <w:tc>
          <w:tcPr>
            <w:tcW w:w="2047" w:type="dxa"/>
            <w:vAlign w:val="center"/>
          </w:tcPr>
          <w:p w14:paraId="080D5842">
            <w:pPr>
              <w:jc w:val="center"/>
              <w:rPr>
                <w:color w:val="000000"/>
                <w:sz w:val="20"/>
                <w:szCs w:val="20"/>
              </w:rPr>
            </w:pPr>
            <w:r>
              <w:rPr>
                <w:color w:val="000000"/>
                <w:sz w:val="20"/>
                <w:szCs w:val="20"/>
              </w:rPr>
              <w:t>713,6</w:t>
            </w:r>
          </w:p>
        </w:tc>
        <w:tc>
          <w:tcPr>
            <w:tcW w:w="1276" w:type="dxa"/>
            <w:vAlign w:val="center"/>
          </w:tcPr>
          <w:p w14:paraId="02FF84D1">
            <w:pPr>
              <w:jc w:val="center"/>
              <w:rPr>
                <w:color w:val="000000"/>
                <w:sz w:val="20"/>
                <w:szCs w:val="20"/>
              </w:rPr>
            </w:pPr>
            <w:r>
              <w:rPr>
                <w:color w:val="000000"/>
                <w:sz w:val="20"/>
                <w:szCs w:val="20"/>
              </w:rPr>
              <w:t>3.568,00</w:t>
            </w:r>
          </w:p>
        </w:tc>
        <w:tc>
          <w:tcPr>
            <w:tcW w:w="992" w:type="dxa"/>
            <w:vAlign w:val="center"/>
          </w:tcPr>
          <w:p w14:paraId="1F96F92E">
            <w:pPr>
              <w:jc w:val="center"/>
              <w:rPr>
                <w:color w:val="000000"/>
                <w:sz w:val="20"/>
                <w:szCs w:val="20"/>
              </w:rPr>
            </w:pPr>
            <w:r>
              <w:rPr>
                <w:color w:val="000000"/>
                <w:sz w:val="20"/>
                <w:szCs w:val="20"/>
              </w:rPr>
              <w:t>88</w:t>
            </w:r>
          </w:p>
        </w:tc>
        <w:tc>
          <w:tcPr>
            <w:tcW w:w="992" w:type="dxa"/>
            <w:vAlign w:val="center"/>
          </w:tcPr>
          <w:p w14:paraId="7DE2167A">
            <w:pPr>
              <w:jc w:val="center"/>
              <w:rPr>
                <w:color w:val="000000"/>
                <w:sz w:val="20"/>
                <w:szCs w:val="20"/>
              </w:rPr>
            </w:pPr>
            <w:r>
              <w:rPr>
                <w:color w:val="000000"/>
                <w:sz w:val="20"/>
                <w:szCs w:val="20"/>
              </w:rPr>
              <w:t>5</w:t>
            </w:r>
          </w:p>
        </w:tc>
        <w:tc>
          <w:tcPr>
            <w:tcW w:w="1134" w:type="dxa"/>
            <w:vAlign w:val="center"/>
          </w:tcPr>
          <w:p w14:paraId="65854313">
            <w:pPr>
              <w:jc w:val="center"/>
              <w:rPr>
                <w:color w:val="000000"/>
                <w:sz w:val="20"/>
                <w:szCs w:val="20"/>
              </w:rPr>
            </w:pPr>
            <w:r>
              <w:rPr>
                <w:color w:val="000000"/>
                <w:sz w:val="20"/>
                <w:szCs w:val="20"/>
              </w:rPr>
              <w:t>4,4</w:t>
            </w:r>
          </w:p>
        </w:tc>
        <w:tc>
          <w:tcPr>
            <w:tcW w:w="993" w:type="dxa"/>
            <w:vAlign w:val="center"/>
          </w:tcPr>
          <w:p w14:paraId="446B1A60">
            <w:pPr>
              <w:jc w:val="center"/>
              <w:rPr>
                <w:color w:val="000000"/>
                <w:sz w:val="20"/>
                <w:szCs w:val="20"/>
              </w:rPr>
            </w:pPr>
            <w:r>
              <w:rPr>
                <w:color w:val="000000"/>
                <w:sz w:val="20"/>
                <w:szCs w:val="20"/>
              </w:rPr>
              <w:t>9</w:t>
            </w:r>
          </w:p>
        </w:tc>
        <w:tc>
          <w:tcPr>
            <w:tcW w:w="992" w:type="dxa"/>
            <w:vAlign w:val="center"/>
          </w:tcPr>
          <w:p w14:paraId="5BDFB2FC">
            <w:pPr>
              <w:jc w:val="center"/>
              <w:rPr>
                <w:b/>
                <w:bCs/>
                <w:color w:val="000000"/>
                <w:sz w:val="20"/>
                <w:szCs w:val="20"/>
              </w:rPr>
            </w:pPr>
          </w:p>
        </w:tc>
      </w:tr>
      <w:tr w14:paraId="1345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7A86954">
            <w:pPr>
              <w:jc w:val="center"/>
              <w:rPr>
                <w:color w:val="000000"/>
                <w:sz w:val="20"/>
                <w:szCs w:val="20"/>
              </w:rPr>
            </w:pPr>
          </w:p>
        </w:tc>
        <w:tc>
          <w:tcPr>
            <w:tcW w:w="2409" w:type="dxa"/>
            <w:vAlign w:val="center"/>
          </w:tcPr>
          <w:p w14:paraId="32DD78BC">
            <w:pPr>
              <w:rPr>
                <w:color w:val="000000"/>
                <w:sz w:val="20"/>
                <w:szCs w:val="20"/>
              </w:rPr>
            </w:pPr>
            <w:r>
              <w:rPr>
                <w:color w:val="000000"/>
                <w:sz w:val="20"/>
                <w:szCs w:val="20"/>
              </w:rPr>
              <w:t>Đất nhà ở liền kề kết hợp kinh doanh 61</w:t>
            </w:r>
          </w:p>
        </w:tc>
        <w:tc>
          <w:tcPr>
            <w:tcW w:w="1033" w:type="dxa"/>
            <w:vAlign w:val="center"/>
          </w:tcPr>
          <w:p w14:paraId="756D8721">
            <w:pPr>
              <w:jc w:val="center"/>
              <w:rPr>
                <w:color w:val="000000"/>
                <w:sz w:val="20"/>
                <w:szCs w:val="20"/>
              </w:rPr>
            </w:pPr>
            <w:r>
              <w:rPr>
                <w:color w:val="000000"/>
                <w:sz w:val="20"/>
                <w:szCs w:val="20"/>
              </w:rPr>
              <w:t>LK61</w:t>
            </w:r>
          </w:p>
        </w:tc>
        <w:tc>
          <w:tcPr>
            <w:tcW w:w="1459" w:type="dxa"/>
            <w:vAlign w:val="center"/>
          </w:tcPr>
          <w:p w14:paraId="05E5FE18">
            <w:pPr>
              <w:jc w:val="center"/>
              <w:rPr>
                <w:color w:val="000000"/>
                <w:sz w:val="20"/>
                <w:szCs w:val="20"/>
              </w:rPr>
            </w:pPr>
            <w:r>
              <w:rPr>
                <w:color w:val="000000"/>
                <w:sz w:val="20"/>
                <w:szCs w:val="20"/>
              </w:rPr>
              <w:t>767,10</w:t>
            </w:r>
          </w:p>
        </w:tc>
        <w:tc>
          <w:tcPr>
            <w:tcW w:w="1273" w:type="dxa"/>
            <w:vAlign w:val="center"/>
          </w:tcPr>
          <w:p w14:paraId="635190FE">
            <w:pPr>
              <w:jc w:val="center"/>
              <w:rPr>
                <w:color w:val="000000"/>
                <w:sz w:val="20"/>
                <w:szCs w:val="20"/>
              </w:rPr>
            </w:pPr>
            <w:r>
              <w:rPr>
                <w:color w:val="000000"/>
                <w:sz w:val="20"/>
                <w:szCs w:val="20"/>
              </w:rPr>
              <w:t>0,39%</w:t>
            </w:r>
          </w:p>
        </w:tc>
        <w:tc>
          <w:tcPr>
            <w:tcW w:w="2047" w:type="dxa"/>
            <w:vAlign w:val="center"/>
          </w:tcPr>
          <w:p w14:paraId="4B345BE8">
            <w:pPr>
              <w:jc w:val="center"/>
              <w:rPr>
                <w:color w:val="000000"/>
                <w:sz w:val="20"/>
                <w:szCs w:val="20"/>
              </w:rPr>
            </w:pPr>
            <w:r>
              <w:rPr>
                <w:color w:val="000000"/>
                <w:sz w:val="20"/>
                <w:szCs w:val="20"/>
              </w:rPr>
              <w:t>659,0</w:t>
            </w:r>
          </w:p>
        </w:tc>
        <w:tc>
          <w:tcPr>
            <w:tcW w:w="1276" w:type="dxa"/>
            <w:vAlign w:val="center"/>
          </w:tcPr>
          <w:p w14:paraId="32B6A1E2">
            <w:pPr>
              <w:jc w:val="center"/>
              <w:rPr>
                <w:color w:val="000000"/>
                <w:sz w:val="20"/>
                <w:szCs w:val="20"/>
              </w:rPr>
            </w:pPr>
            <w:r>
              <w:rPr>
                <w:color w:val="000000"/>
                <w:sz w:val="20"/>
                <w:szCs w:val="20"/>
              </w:rPr>
              <w:t>3.295,00</w:t>
            </w:r>
          </w:p>
        </w:tc>
        <w:tc>
          <w:tcPr>
            <w:tcW w:w="992" w:type="dxa"/>
            <w:vAlign w:val="center"/>
          </w:tcPr>
          <w:p w14:paraId="236D2356">
            <w:pPr>
              <w:jc w:val="center"/>
              <w:rPr>
                <w:color w:val="000000"/>
                <w:sz w:val="20"/>
                <w:szCs w:val="20"/>
              </w:rPr>
            </w:pPr>
            <w:r>
              <w:rPr>
                <w:color w:val="000000"/>
                <w:sz w:val="20"/>
                <w:szCs w:val="20"/>
              </w:rPr>
              <w:t>88</w:t>
            </w:r>
          </w:p>
        </w:tc>
        <w:tc>
          <w:tcPr>
            <w:tcW w:w="992" w:type="dxa"/>
            <w:vAlign w:val="center"/>
          </w:tcPr>
          <w:p w14:paraId="2CF1519E">
            <w:pPr>
              <w:jc w:val="center"/>
              <w:rPr>
                <w:color w:val="000000"/>
                <w:sz w:val="20"/>
                <w:szCs w:val="20"/>
              </w:rPr>
            </w:pPr>
            <w:r>
              <w:rPr>
                <w:color w:val="000000"/>
                <w:sz w:val="20"/>
                <w:szCs w:val="20"/>
              </w:rPr>
              <w:t>5</w:t>
            </w:r>
          </w:p>
        </w:tc>
        <w:tc>
          <w:tcPr>
            <w:tcW w:w="1134" w:type="dxa"/>
            <w:vAlign w:val="center"/>
          </w:tcPr>
          <w:p w14:paraId="40D4D6CA">
            <w:pPr>
              <w:jc w:val="center"/>
              <w:rPr>
                <w:color w:val="000000"/>
                <w:sz w:val="20"/>
                <w:szCs w:val="20"/>
              </w:rPr>
            </w:pPr>
            <w:r>
              <w:rPr>
                <w:color w:val="000000"/>
                <w:sz w:val="20"/>
                <w:szCs w:val="20"/>
              </w:rPr>
              <w:t>4,4</w:t>
            </w:r>
          </w:p>
        </w:tc>
        <w:tc>
          <w:tcPr>
            <w:tcW w:w="993" w:type="dxa"/>
            <w:vAlign w:val="center"/>
          </w:tcPr>
          <w:p w14:paraId="4040ECA8">
            <w:pPr>
              <w:jc w:val="center"/>
              <w:rPr>
                <w:color w:val="000000"/>
                <w:sz w:val="20"/>
                <w:szCs w:val="20"/>
              </w:rPr>
            </w:pPr>
            <w:r>
              <w:rPr>
                <w:color w:val="000000"/>
                <w:sz w:val="20"/>
                <w:szCs w:val="20"/>
              </w:rPr>
              <w:t>8</w:t>
            </w:r>
          </w:p>
        </w:tc>
        <w:tc>
          <w:tcPr>
            <w:tcW w:w="992" w:type="dxa"/>
            <w:vAlign w:val="center"/>
          </w:tcPr>
          <w:p w14:paraId="15C3CABE">
            <w:pPr>
              <w:jc w:val="center"/>
              <w:rPr>
                <w:b/>
                <w:bCs/>
                <w:color w:val="000000"/>
                <w:sz w:val="20"/>
                <w:szCs w:val="20"/>
              </w:rPr>
            </w:pPr>
          </w:p>
        </w:tc>
      </w:tr>
      <w:tr w14:paraId="1E5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6DA99F7B">
            <w:pPr>
              <w:jc w:val="center"/>
              <w:rPr>
                <w:color w:val="000000"/>
                <w:sz w:val="20"/>
                <w:szCs w:val="20"/>
              </w:rPr>
            </w:pPr>
          </w:p>
        </w:tc>
        <w:tc>
          <w:tcPr>
            <w:tcW w:w="2409" w:type="dxa"/>
            <w:vAlign w:val="center"/>
          </w:tcPr>
          <w:p w14:paraId="1F582740">
            <w:pPr>
              <w:rPr>
                <w:color w:val="000000"/>
                <w:sz w:val="20"/>
                <w:szCs w:val="20"/>
              </w:rPr>
            </w:pPr>
            <w:r>
              <w:rPr>
                <w:color w:val="000000"/>
                <w:sz w:val="20"/>
                <w:szCs w:val="20"/>
              </w:rPr>
              <w:t>Đất nhà ở liền kề kết hợp kinh doanh 62</w:t>
            </w:r>
          </w:p>
        </w:tc>
        <w:tc>
          <w:tcPr>
            <w:tcW w:w="1033" w:type="dxa"/>
            <w:vAlign w:val="center"/>
          </w:tcPr>
          <w:p w14:paraId="13E67594">
            <w:pPr>
              <w:jc w:val="center"/>
              <w:rPr>
                <w:color w:val="000000"/>
                <w:sz w:val="20"/>
                <w:szCs w:val="20"/>
              </w:rPr>
            </w:pPr>
            <w:r>
              <w:rPr>
                <w:color w:val="000000"/>
                <w:sz w:val="20"/>
                <w:szCs w:val="20"/>
              </w:rPr>
              <w:t>LK62</w:t>
            </w:r>
          </w:p>
        </w:tc>
        <w:tc>
          <w:tcPr>
            <w:tcW w:w="1459" w:type="dxa"/>
            <w:vAlign w:val="center"/>
          </w:tcPr>
          <w:p w14:paraId="0B397281">
            <w:pPr>
              <w:jc w:val="center"/>
              <w:rPr>
                <w:color w:val="000000"/>
                <w:sz w:val="20"/>
                <w:szCs w:val="20"/>
              </w:rPr>
            </w:pPr>
            <w:r>
              <w:rPr>
                <w:color w:val="000000"/>
                <w:sz w:val="20"/>
                <w:szCs w:val="20"/>
              </w:rPr>
              <w:t>543,30</w:t>
            </w:r>
          </w:p>
        </w:tc>
        <w:tc>
          <w:tcPr>
            <w:tcW w:w="1273" w:type="dxa"/>
            <w:vAlign w:val="center"/>
          </w:tcPr>
          <w:p w14:paraId="35EA7A22">
            <w:pPr>
              <w:jc w:val="center"/>
              <w:rPr>
                <w:color w:val="000000"/>
                <w:sz w:val="20"/>
                <w:szCs w:val="20"/>
              </w:rPr>
            </w:pPr>
            <w:r>
              <w:rPr>
                <w:color w:val="000000"/>
                <w:sz w:val="20"/>
                <w:szCs w:val="20"/>
              </w:rPr>
              <w:t>0,27%</w:t>
            </w:r>
          </w:p>
        </w:tc>
        <w:tc>
          <w:tcPr>
            <w:tcW w:w="2047" w:type="dxa"/>
            <w:vAlign w:val="center"/>
          </w:tcPr>
          <w:p w14:paraId="7F5C37D3">
            <w:pPr>
              <w:jc w:val="center"/>
              <w:rPr>
                <w:color w:val="000000"/>
                <w:sz w:val="20"/>
                <w:szCs w:val="20"/>
              </w:rPr>
            </w:pPr>
            <w:r>
              <w:rPr>
                <w:color w:val="000000"/>
                <w:sz w:val="20"/>
                <w:szCs w:val="20"/>
              </w:rPr>
              <w:t>475,6</w:t>
            </w:r>
          </w:p>
        </w:tc>
        <w:tc>
          <w:tcPr>
            <w:tcW w:w="1276" w:type="dxa"/>
            <w:vAlign w:val="center"/>
          </w:tcPr>
          <w:p w14:paraId="0FD692D1">
            <w:pPr>
              <w:jc w:val="center"/>
              <w:rPr>
                <w:color w:val="000000"/>
                <w:sz w:val="20"/>
                <w:szCs w:val="20"/>
              </w:rPr>
            </w:pPr>
            <w:r>
              <w:rPr>
                <w:color w:val="000000"/>
                <w:sz w:val="20"/>
                <w:szCs w:val="20"/>
              </w:rPr>
              <w:t>2.378,00</w:t>
            </w:r>
          </w:p>
        </w:tc>
        <w:tc>
          <w:tcPr>
            <w:tcW w:w="992" w:type="dxa"/>
            <w:vAlign w:val="center"/>
          </w:tcPr>
          <w:p w14:paraId="35CB0477">
            <w:pPr>
              <w:jc w:val="center"/>
              <w:rPr>
                <w:color w:val="000000"/>
                <w:sz w:val="20"/>
                <w:szCs w:val="20"/>
              </w:rPr>
            </w:pPr>
            <w:r>
              <w:rPr>
                <w:color w:val="000000"/>
                <w:sz w:val="20"/>
                <w:szCs w:val="20"/>
              </w:rPr>
              <w:t>88</w:t>
            </w:r>
          </w:p>
        </w:tc>
        <w:tc>
          <w:tcPr>
            <w:tcW w:w="992" w:type="dxa"/>
            <w:vAlign w:val="center"/>
          </w:tcPr>
          <w:p w14:paraId="487706F9">
            <w:pPr>
              <w:jc w:val="center"/>
              <w:rPr>
                <w:color w:val="000000"/>
                <w:sz w:val="20"/>
                <w:szCs w:val="20"/>
              </w:rPr>
            </w:pPr>
            <w:r>
              <w:rPr>
                <w:color w:val="000000"/>
                <w:sz w:val="20"/>
                <w:szCs w:val="20"/>
              </w:rPr>
              <w:t>5</w:t>
            </w:r>
          </w:p>
        </w:tc>
        <w:tc>
          <w:tcPr>
            <w:tcW w:w="1134" w:type="dxa"/>
            <w:vAlign w:val="center"/>
          </w:tcPr>
          <w:p w14:paraId="19534BB6">
            <w:pPr>
              <w:jc w:val="center"/>
              <w:rPr>
                <w:color w:val="000000"/>
                <w:sz w:val="20"/>
                <w:szCs w:val="20"/>
              </w:rPr>
            </w:pPr>
            <w:r>
              <w:rPr>
                <w:color w:val="000000"/>
                <w:sz w:val="20"/>
                <w:szCs w:val="20"/>
              </w:rPr>
              <w:t>4,4</w:t>
            </w:r>
          </w:p>
        </w:tc>
        <w:tc>
          <w:tcPr>
            <w:tcW w:w="993" w:type="dxa"/>
            <w:vAlign w:val="center"/>
          </w:tcPr>
          <w:p w14:paraId="2B8C4302">
            <w:pPr>
              <w:jc w:val="center"/>
              <w:rPr>
                <w:color w:val="000000"/>
                <w:sz w:val="20"/>
                <w:szCs w:val="20"/>
              </w:rPr>
            </w:pPr>
            <w:r>
              <w:rPr>
                <w:color w:val="000000"/>
                <w:sz w:val="20"/>
                <w:szCs w:val="20"/>
              </w:rPr>
              <w:t>6</w:t>
            </w:r>
          </w:p>
        </w:tc>
        <w:tc>
          <w:tcPr>
            <w:tcW w:w="992" w:type="dxa"/>
            <w:vAlign w:val="center"/>
          </w:tcPr>
          <w:p w14:paraId="3EF37EEA">
            <w:pPr>
              <w:jc w:val="center"/>
              <w:rPr>
                <w:b/>
                <w:bCs/>
                <w:color w:val="000000"/>
                <w:sz w:val="20"/>
                <w:szCs w:val="20"/>
              </w:rPr>
            </w:pPr>
          </w:p>
        </w:tc>
      </w:tr>
      <w:tr w14:paraId="0ECB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BD8A2C1">
            <w:pPr>
              <w:jc w:val="center"/>
              <w:rPr>
                <w:color w:val="000000"/>
                <w:sz w:val="20"/>
                <w:szCs w:val="20"/>
              </w:rPr>
            </w:pPr>
          </w:p>
        </w:tc>
        <w:tc>
          <w:tcPr>
            <w:tcW w:w="2409" w:type="dxa"/>
            <w:vAlign w:val="center"/>
          </w:tcPr>
          <w:p w14:paraId="50E89B15">
            <w:pPr>
              <w:rPr>
                <w:color w:val="000000"/>
                <w:sz w:val="20"/>
                <w:szCs w:val="20"/>
              </w:rPr>
            </w:pPr>
            <w:r>
              <w:rPr>
                <w:color w:val="000000"/>
                <w:sz w:val="20"/>
                <w:szCs w:val="20"/>
              </w:rPr>
              <w:t>Đất nhà ở liền kề kết hợp kinh doanh 63</w:t>
            </w:r>
          </w:p>
        </w:tc>
        <w:tc>
          <w:tcPr>
            <w:tcW w:w="1033" w:type="dxa"/>
            <w:vAlign w:val="center"/>
          </w:tcPr>
          <w:p w14:paraId="06924DB9">
            <w:pPr>
              <w:jc w:val="center"/>
              <w:rPr>
                <w:color w:val="000000"/>
                <w:sz w:val="20"/>
                <w:szCs w:val="20"/>
              </w:rPr>
            </w:pPr>
            <w:r>
              <w:rPr>
                <w:color w:val="000000"/>
                <w:sz w:val="20"/>
                <w:szCs w:val="20"/>
              </w:rPr>
              <w:t>LK63</w:t>
            </w:r>
          </w:p>
        </w:tc>
        <w:tc>
          <w:tcPr>
            <w:tcW w:w="1459" w:type="dxa"/>
            <w:vAlign w:val="center"/>
          </w:tcPr>
          <w:p w14:paraId="35BC648F">
            <w:pPr>
              <w:jc w:val="center"/>
              <w:rPr>
                <w:color w:val="000000"/>
                <w:sz w:val="20"/>
                <w:szCs w:val="20"/>
              </w:rPr>
            </w:pPr>
            <w:r>
              <w:rPr>
                <w:color w:val="000000"/>
                <w:sz w:val="20"/>
                <w:szCs w:val="20"/>
              </w:rPr>
              <w:t>1.157,00</w:t>
            </w:r>
          </w:p>
        </w:tc>
        <w:tc>
          <w:tcPr>
            <w:tcW w:w="1273" w:type="dxa"/>
            <w:vAlign w:val="center"/>
          </w:tcPr>
          <w:p w14:paraId="176A9E30">
            <w:pPr>
              <w:jc w:val="center"/>
              <w:rPr>
                <w:color w:val="000000"/>
                <w:sz w:val="20"/>
                <w:szCs w:val="20"/>
              </w:rPr>
            </w:pPr>
            <w:r>
              <w:rPr>
                <w:color w:val="000000"/>
                <w:sz w:val="20"/>
                <w:szCs w:val="20"/>
              </w:rPr>
              <w:t>0,58%</w:t>
            </w:r>
          </w:p>
        </w:tc>
        <w:tc>
          <w:tcPr>
            <w:tcW w:w="2047" w:type="dxa"/>
            <w:vAlign w:val="center"/>
          </w:tcPr>
          <w:p w14:paraId="704361EA">
            <w:pPr>
              <w:jc w:val="center"/>
              <w:rPr>
                <w:color w:val="000000"/>
                <w:sz w:val="20"/>
                <w:szCs w:val="20"/>
              </w:rPr>
            </w:pPr>
            <w:r>
              <w:rPr>
                <w:color w:val="000000"/>
                <w:sz w:val="20"/>
                <w:szCs w:val="20"/>
              </w:rPr>
              <w:t>962,1</w:t>
            </w:r>
          </w:p>
        </w:tc>
        <w:tc>
          <w:tcPr>
            <w:tcW w:w="1276" w:type="dxa"/>
            <w:vAlign w:val="center"/>
          </w:tcPr>
          <w:p w14:paraId="64103CFA">
            <w:pPr>
              <w:jc w:val="center"/>
              <w:rPr>
                <w:color w:val="000000"/>
                <w:sz w:val="20"/>
                <w:szCs w:val="20"/>
              </w:rPr>
            </w:pPr>
            <w:r>
              <w:rPr>
                <w:color w:val="000000"/>
                <w:sz w:val="20"/>
                <w:szCs w:val="20"/>
              </w:rPr>
              <w:t>4.810,50</w:t>
            </w:r>
          </w:p>
        </w:tc>
        <w:tc>
          <w:tcPr>
            <w:tcW w:w="992" w:type="dxa"/>
            <w:vAlign w:val="center"/>
          </w:tcPr>
          <w:p w14:paraId="5E001D1B">
            <w:pPr>
              <w:jc w:val="center"/>
              <w:rPr>
                <w:color w:val="000000"/>
                <w:sz w:val="20"/>
                <w:szCs w:val="20"/>
              </w:rPr>
            </w:pPr>
            <w:r>
              <w:rPr>
                <w:color w:val="000000"/>
                <w:sz w:val="20"/>
                <w:szCs w:val="20"/>
              </w:rPr>
              <w:t>88</w:t>
            </w:r>
          </w:p>
        </w:tc>
        <w:tc>
          <w:tcPr>
            <w:tcW w:w="992" w:type="dxa"/>
            <w:vAlign w:val="center"/>
          </w:tcPr>
          <w:p w14:paraId="4569904A">
            <w:pPr>
              <w:jc w:val="center"/>
              <w:rPr>
                <w:color w:val="000000"/>
                <w:sz w:val="20"/>
                <w:szCs w:val="20"/>
              </w:rPr>
            </w:pPr>
            <w:r>
              <w:rPr>
                <w:color w:val="000000"/>
                <w:sz w:val="20"/>
                <w:szCs w:val="20"/>
              </w:rPr>
              <w:t>5</w:t>
            </w:r>
          </w:p>
        </w:tc>
        <w:tc>
          <w:tcPr>
            <w:tcW w:w="1134" w:type="dxa"/>
            <w:vAlign w:val="center"/>
          </w:tcPr>
          <w:p w14:paraId="7DD14DE8">
            <w:pPr>
              <w:jc w:val="center"/>
              <w:rPr>
                <w:color w:val="000000"/>
                <w:sz w:val="20"/>
                <w:szCs w:val="20"/>
              </w:rPr>
            </w:pPr>
            <w:r>
              <w:rPr>
                <w:color w:val="000000"/>
                <w:sz w:val="20"/>
                <w:szCs w:val="20"/>
              </w:rPr>
              <w:t>4,4</w:t>
            </w:r>
          </w:p>
        </w:tc>
        <w:tc>
          <w:tcPr>
            <w:tcW w:w="993" w:type="dxa"/>
            <w:vAlign w:val="center"/>
          </w:tcPr>
          <w:p w14:paraId="61A6B41E">
            <w:pPr>
              <w:jc w:val="center"/>
              <w:rPr>
                <w:color w:val="000000"/>
                <w:sz w:val="20"/>
                <w:szCs w:val="20"/>
              </w:rPr>
            </w:pPr>
            <w:r>
              <w:rPr>
                <w:color w:val="000000"/>
                <w:sz w:val="20"/>
                <w:szCs w:val="20"/>
              </w:rPr>
              <w:t>11</w:t>
            </w:r>
          </w:p>
        </w:tc>
        <w:tc>
          <w:tcPr>
            <w:tcW w:w="992" w:type="dxa"/>
            <w:vAlign w:val="center"/>
          </w:tcPr>
          <w:p w14:paraId="5358C009">
            <w:pPr>
              <w:jc w:val="center"/>
              <w:rPr>
                <w:b/>
                <w:bCs/>
                <w:color w:val="000000"/>
                <w:sz w:val="20"/>
                <w:szCs w:val="20"/>
              </w:rPr>
            </w:pPr>
          </w:p>
        </w:tc>
      </w:tr>
      <w:tr w14:paraId="72B0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FF57975">
            <w:pPr>
              <w:jc w:val="center"/>
              <w:rPr>
                <w:b/>
                <w:bCs/>
                <w:color w:val="000000"/>
                <w:sz w:val="20"/>
                <w:szCs w:val="20"/>
              </w:rPr>
            </w:pPr>
            <w:r>
              <w:rPr>
                <w:b/>
                <w:bCs/>
                <w:color w:val="000000"/>
                <w:sz w:val="20"/>
                <w:szCs w:val="20"/>
              </w:rPr>
              <w:t>2</w:t>
            </w:r>
          </w:p>
        </w:tc>
        <w:tc>
          <w:tcPr>
            <w:tcW w:w="2409" w:type="dxa"/>
            <w:vAlign w:val="center"/>
          </w:tcPr>
          <w:p w14:paraId="47415C37">
            <w:pPr>
              <w:rPr>
                <w:b/>
                <w:bCs/>
                <w:color w:val="000000"/>
                <w:sz w:val="20"/>
                <w:szCs w:val="20"/>
              </w:rPr>
            </w:pPr>
            <w:r>
              <w:rPr>
                <w:b/>
                <w:bCs/>
                <w:color w:val="000000"/>
                <w:sz w:val="20"/>
                <w:szCs w:val="20"/>
              </w:rPr>
              <w:t>Đất công cộng</w:t>
            </w:r>
          </w:p>
        </w:tc>
        <w:tc>
          <w:tcPr>
            <w:tcW w:w="1033" w:type="dxa"/>
            <w:vAlign w:val="center"/>
          </w:tcPr>
          <w:p w14:paraId="317B743C">
            <w:pPr>
              <w:jc w:val="center"/>
              <w:rPr>
                <w:b/>
                <w:bCs/>
                <w:color w:val="000000"/>
                <w:sz w:val="20"/>
                <w:szCs w:val="20"/>
              </w:rPr>
            </w:pPr>
            <w:r>
              <w:rPr>
                <w:b/>
                <w:bCs/>
                <w:color w:val="000000"/>
                <w:sz w:val="20"/>
                <w:szCs w:val="20"/>
              </w:rPr>
              <w:t>CCO</w:t>
            </w:r>
          </w:p>
        </w:tc>
        <w:tc>
          <w:tcPr>
            <w:tcW w:w="1459" w:type="dxa"/>
            <w:vAlign w:val="center"/>
          </w:tcPr>
          <w:p w14:paraId="6826FBDC">
            <w:pPr>
              <w:jc w:val="center"/>
              <w:rPr>
                <w:b/>
                <w:bCs/>
                <w:color w:val="000000"/>
                <w:sz w:val="20"/>
                <w:szCs w:val="20"/>
              </w:rPr>
            </w:pPr>
            <w:r>
              <w:rPr>
                <w:b/>
                <w:bCs/>
                <w:color w:val="000000"/>
                <w:sz w:val="20"/>
                <w:szCs w:val="20"/>
              </w:rPr>
              <w:t>3.200,70</w:t>
            </w:r>
          </w:p>
        </w:tc>
        <w:tc>
          <w:tcPr>
            <w:tcW w:w="1273" w:type="dxa"/>
            <w:vAlign w:val="center"/>
          </w:tcPr>
          <w:p w14:paraId="3A990D80">
            <w:pPr>
              <w:jc w:val="center"/>
              <w:rPr>
                <w:b/>
                <w:bCs/>
                <w:color w:val="000000"/>
                <w:sz w:val="20"/>
                <w:szCs w:val="20"/>
              </w:rPr>
            </w:pPr>
            <w:r>
              <w:rPr>
                <w:b/>
                <w:bCs/>
                <w:color w:val="000000"/>
                <w:sz w:val="20"/>
                <w:szCs w:val="20"/>
              </w:rPr>
              <w:t>1,61%</w:t>
            </w:r>
          </w:p>
        </w:tc>
        <w:tc>
          <w:tcPr>
            <w:tcW w:w="2047" w:type="dxa"/>
            <w:vAlign w:val="center"/>
          </w:tcPr>
          <w:p w14:paraId="1CA7B487">
            <w:pPr>
              <w:jc w:val="center"/>
              <w:rPr>
                <w:b/>
                <w:bCs/>
                <w:color w:val="000000"/>
                <w:sz w:val="20"/>
                <w:szCs w:val="20"/>
              </w:rPr>
            </w:pPr>
            <w:r>
              <w:rPr>
                <w:b/>
                <w:bCs/>
                <w:color w:val="000000"/>
                <w:sz w:val="20"/>
                <w:szCs w:val="20"/>
              </w:rPr>
              <w:t>1.280,3</w:t>
            </w:r>
          </w:p>
        </w:tc>
        <w:tc>
          <w:tcPr>
            <w:tcW w:w="1276" w:type="dxa"/>
            <w:vAlign w:val="center"/>
          </w:tcPr>
          <w:p w14:paraId="68C56E64">
            <w:pPr>
              <w:jc w:val="center"/>
              <w:rPr>
                <w:b/>
                <w:bCs/>
                <w:color w:val="000000"/>
                <w:sz w:val="20"/>
                <w:szCs w:val="20"/>
              </w:rPr>
            </w:pPr>
            <w:r>
              <w:rPr>
                <w:b/>
                <w:bCs/>
                <w:color w:val="000000"/>
                <w:sz w:val="20"/>
                <w:szCs w:val="20"/>
              </w:rPr>
              <w:t>3.840,90</w:t>
            </w:r>
          </w:p>
        </w:tc>
        <w:tc>
          <w:tcPr>
            <w:tcW w:w="992" w:type="dxa"/>
            <w:vAlign w:val="center"/>
          </w:tcPr>
          <w:p w14:paraId="7928D9E0">
            <w:pPr>
              <w:jc w:val="center"/>
              <w:rPr>
                <w:b/>
                <w:bCs/>
                <w:color w:val="000000"/>
                <w:sz w:val="20"/>
                <w:szCs w:val="20"/>
              </w:rPr>
            </w:pPr>
            <w:r>
              <w:rPr>
                <w:b/>
                <w:bCs/>
                <w:color w:val="000000"/>
                <w:sz w:val="20"/>
                <w:szCs w:val="20"/>
              </w:rPr>
              <w:t>40</w:t>
            </w:r>
          </w:p>
        </w:tc>
        <w:tc>
          <w:tcPr>
            <w:tcW w:w="992" w:type="dxa"/>
            <w:vAlign w:val="center"/>
          </w:tcPr>
          <w:p w14:paraId="2F3B67A1">
            <w:pPr>
              <w:jc w:val="center"/>
              <w:rPr>
                <w:b/>
                <w:bCs/>
                <w:color w:val="000000"/>
                <w:sz w:val="20"/>
                <w:szCs w:val="20"/>
              </w:rPr>
            </w:pPr>
            <w:r>
              <w:rPr>
                <w:b/>
                <w:bCs/>
                <w:color w:val="000000"/>
                <w:sz w:val="20"/>
                <w:szCs w:val="20"/>
              </w:rPr>
              <w:t>3</w:t>
            </w:r>
          </w:p>
        </w:tc>
        <w:tc>
          <w:tcPr>
            <w:tcW w:w="1134" w:type="dxa"/>
            <w:vAlign w:val="center"/>
          </w:tcPr>
          <w:p w14:paraId="15034BB4">
            <w:pPr>
              <w:jc w:val="center"/>
              <w:rPr>
                <w:b/>
                <w:bCs/>
                <w:color w:val="000000"/>
                <w:sz w:val="20"/>
                <w:szCs w:val="20"/>
              </w:rPr>
            </w:pPr>
            <w:r>
              <w:rPr>
                <w:b/>
                <w:bCs/>
                <w:color w:val="000000"/>
                <w:sz w:val="20"/>
                <w:szCs w:val="20"/>
              </w:rPr>
              <w:t>1,2</w:t>
            </w:r>
          </w:p>
        </w:tc>
        <w:tc>
          <w:tcPr>
            <w:tcW w:w="993" w:type="dxa"/>
            <w:vAlign w:val="center"/>
          </w:tcPr>
          <w:p w14:paraId="3A7C056B">
            <w:pPr>
              <w:jc w:val="center"/>
              <w:rPr>
                <w:b/>
                <w:bCs/>
                <w:color w:val="000000"/>
                <w:sz w:val="20"/>
                <w:szCs w:val="20"/>
              </w:rPr>
            </w:pPr>
          </w:p>
        </w:tc>
        <w:tc>
          <w:tcPr>
            <w:tcW w:w="992" w:type="dxa"/>
            <w:vAlign w:val="center"/>
          </w:tcPr>
          <w:p w14:paraId="42E8A938">
            <w:pPr>
              <w:jc w:val="center"/>
              <w:rPr>
                <w:b/>
                <w:bCs/>
                <w:color w:val="000000"/>
                <w:sz w:val="20"/>
                <w:szCs w:val="20"/>
              </w:rPr>
            </w:pPr>
          </w:p>
        </w:tc>
      </w:tr>
      <w:tr w14:paraId="1042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F7F1C13">
            <w:pPr>
              <w:jc w:val="center"/>
              <w:rPr>
                <w:b/>
                <w:bCs/>
                <w:color w:val="000000"/>
                <w:sz w:val="20"/>
                <w:szCs w:val="20"/>
              </w:rPr>
            </w:pPr>
          </w:p>
        </w:tc>
        <w:tc>
          <w:tcPr>
            <w:tcW w:w="2409" w:type="dxa"/>
            <w:vAlign w:val="center"/>
          </w:tcPr>
          <w:p w14:paraId="4A6511D8">
            <w:pPr>
              <w:rPr>
                <w:color w:val="000000"/>
                <w:sz w:val="20"/>
                <w:szCs w:val="20"/>
              </w:rPr>
            </w:pPr>
            <w:r>
              <w:rPr>
                <w:color w:val="000000"/>
                <w:sz w:val="20"/>
                <w:szCs w:val="20"/>
              </w:rPr>
              <w:t>Nhà văn hóa</w:t>
            </w:r>
          </w:p>
        </w:tc>
        <w:tc>
          <w:tcPr>
            <w:tcW w:w="1033" w:type="dxa"/>
            <w:vAlign w:val="center"/>
          </w:tcPr>
          <w:p w14:paraId="226A5892">
            <w:pPr>
              <w:jc w:val="center"/>
              <w:rPr>
                <w:color w:val="000000"/>
                <w:sz w:val="20"/>
                <w:szCs w:val="20"/>
              </w:rPr>
            </w:pPr>
            <w:r>
              <w:rPr>
                <w:color w:val="000000"/>
                <w:sz w:val="20"/>
                <w:szCs w:val="20"/>
              </w:rPr>
              <w:t>CCO01</w:t>
            </w:r>
          </w:p>
        </w:tc>
        <w:tc>
          <w:tcPr>
            <w:tcW w:w="1459" w:type="dxa"/>
            <w:vAlign w:val="center"/>
          </w:tcPr>
          <w:p w14:paraId="64D4AF5B">
            <w:pPr>
              <w:jc w:val="center"/>
              <w:rPr>
                <w:color w:val="000000"/>
                <w:sz w:val="20"/>
                <w:szCs w:val="20"/>
              </w:rPr>
            </w:pPr>
            <w:r>
              <w:rPr>
                <w:color w:val="000000"/>
                <w:sz w:val="20"/>
                <w:szCs w:val="20"/>
              </w:rPr>
              <w:t>658,00</w:t>
            </w:r>
          </w:p>
        </w:tc>
        <w:tc>
          <w:tcPr>
            <w:tcW w:w="1273" w:type="dxa"/>
            <w:vAlign w:val="center"/>
          </w:tcPr>
          <w:p w14:paraId="4E58197D">
            <w:pPr>
              <w:jc w:val="center"/>
              <w:rPr>
                <w:color w:val="000000"/>
                <w:sz w:val="20"/>
                <w:szCs w:val="20"/>
              </w:rPr>
            </w:pPr>
            <w:r>
              <w:rPr>
                <w:color w:val="000000"/>
                <w:sz w:val="20"/>
                <w:szCs w:val="20"/>
              </w:rPr>
              <w:t>0,33%</w:t>
            </w:r>
          </w:p>
        </w:tc>
        <w:tc>
          <w:tcPr>
            <w:tcW w:w="2047" w:type="dxa"/>
            <w:vAlign w:val="center"/>
          </w:tcPr>
          <w:p w14:paraId="24D6ABAD">
            <w:pPr>
              <w:jc w:val="center"/>
              <w:rPr>
                <w:color w:val="000000"/>
                <w:sz w:val="20"/>
                <w:szCs w:val="20"/>
              </w:rPr>
            </w:pPr>
            <w:r>
              <w:rPr>
                <w:color w:val="000000"/>
                <w:sz w:val="20"/>
                <w:szCs w:val="20"/>
              </w:rPr>
              <w:t>263,2</w:t>
            </w:r>
          </w:p>
        </w:tc>
        <w:tc>
          <w:tcPr>
            <w:tcW w:w="1276" w:type="dxa"/>
            <w:vAlign w:val="center"/>
          </w:tcPr>
          <w:p w14:paraId="5A84C877">
            <w:pPr>
              <w:jc w:val="center"/>
              <w:rPr>
                <w:color w:val="000000"/>
                <w:sz w:val="20"/>
                <w:szCs w:val="20"/>
              </w:rPr>
            </w:pPr>
            <w:r>
              <w:rPr>
                <w:color w:val="000000"/>
                <w:sz w:val="20"/>
                <w:szCs w:val="20"/>
              </w:rPr>
              <w:t>789,60</w:t>
            </w:r>
          </w:p>
        </w:tc>
        <w:tc>
          <w:tcPr>
            <w:tcW w:w="992" w:type="dxa"/>
            <w:vAlign w:val="center"/>
          </w:tcPr>
          <w:p w14:paraId="330B550C">
            <w:pPr>
              <w:jc w:val="center"/>
              <w:rPr>
                <w:color w:val="000000"/>
                <w:sz w:val="20"/>
                <w:szCs w:val="20"/>
              </w:rPr>
            </w:pPr>
            <w:r>
              <w:rPr>
                <w:color w:val="000000"/>
                <w:sz w:val="20"/>
                <w:szCs w:val="20"/>
              </w:rPr>
              <w:t>40</w:t>
            </w:r>
          </w:p>
        </w:tc>
        <w:tc>
          <w:tcPr>
            <w:tcW w:w="992" w:type="dxa"/>
            <w:vAlign w:val="center"/>
          </w:tcPr>
          <w:p w14:paraId="54CA82B4">
            <w:pPr>
              <w:jc w:val="center"/>
              <w:rPr>
                <w:color w:val="000000"/>
                <w:sz w:val="20"/>
                <w:szCs w:val="20"/>
              </w:rPr>
            </w:pPr>
            <w:r>
              <w:rPr>
                <w:color w:val="000000"/>
                <w:sz w:val="20"/>
                <w:szCs w:val="20"/>
              </w:rPr>
              <w:t>3</w:t>
            </w:r>
          </w:p>
        </w:tc>
        <w:tc>
          <w:tcPr>
            <w:tcW w:w="1134" w:type="dxa"/>
            <w:vAlign w:val="center"/>
          </w:tcPr>
          <w:p w14:paraId="780508F5">
            <w:pPr>
              <w:jc w:val="center"/>
              <w:rPr>
                <w:color w:val="000000"/>
                <w:sz w:val="20"/>
                <w:szCs w:val="20"/>
              </w:rPr>
            </w:pPr>
            <w:r>
              <w:rPr>
                <w:color w:val="000000"/>
                <w:sz w:val="20"/>
                <w:szCs w:val="20"/>
              </w:rPr>
              <w:t>1,2</w:t>
            </w:r>
          </w:p>
        </w:tc>
        <w:tc>
          <w:tcPr>
            <w:tcW w:w="993" w:type="dxa"/>
            <w:vAlign w:val="center"/>
          </w:tcPr>
          <w:p w14:paraId="74358979">
            <w:pPr>
              <w:jc w:val="center"/>
              <w:rPr>
                <w:color w:val="000000"/>
                <w:sz w:val="20"/>
                <w:szCs w:val="20"/>
              </w:rPr>
            </w:pPr>
          </w:p>
        </w:tc>
        <w:tc>
          <w:tcPr>
            <w:tcW w:w="992" w:type="dxa"/>
            <w:vAlign w:val="center"/>
          </w:tcPr>
          <w:p w14:paraId="44E7EB81">
            <w:pPr>
              <w:jc w:val="center"/>
              <w:rPr>
                <w:b/>
                <w:bCs/>
                <w:color w:val="000000"/>
                <w:sz w:val="20"/>
                <w:szCs w:val="20"/>
              </w:rPr>
            </w:pPr>
          </w:p>
        </w:tc>
      </w:tr>
      <w:tr w14:paraId="2737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66202E98">
            <w:pPr>
              <w:jc w:val="center"/>
              <w:rPr>
                <w:b/>
                <w:bCs/>
                <w:color w:val="000000"/>
                <w:sz w:val="20"/>
                <w:szCs w:val="20"/>
              </w:rPr>
            </w:pPr>
          </w:p>
        </w:tc>
        <w:tc>
          <w:tcPr>
            <w:tcW w:w="2409" w:type="dxa"/>
            <w:vAlign w:val="center"/>
          </w:tcPr>
          <w:p w14:paraId="7BA85D0C">
            <w:pPr>
              <w:rPr>
                <w:color w:val="000000"/>
                <w:sz w:val="20"/>
                <w:szCs w:val="20"/>
              </w:rPr>
            </w:pPr>
            <w:r>
              <w:rPr>
                <w:color w:val="000000"/>
                <w:sz w:val="20"/>
                <w:szCs w:val="20"/>
              </w:rPr>
              <w:t>Trạm y tế</w:t>
            </w:r>
          </w:p>
        </w:tc>
        <w:tc>
          <w:tcPr>
            <w:tcW w:w="1033" w:type="dxa"/>
            <w:vAlign w:val="center"/>
          </w:tcPr>
          <w:p w14:paraId="0506A1C7">
            <w:pPr>
              <w:jc w:val="center"/>
              <w:rPr>
                <w:color w:val="000000"/>
                <w:sz w:val="20"/>
                <w:szCs w:val="20"/>
              </w:rPr>
            </w:pPr>
            <w:r>
              <w:rPr>
                <w:color w:val="000000"/>
                <w:sz w:val="20"/>
                <w:szCs w:val="20"/>
              </w:rPr>
              <w:t>CCO02</w:t>
            </w:r>
          </w:p>
        </w:tc>
        <w:tc>
          <w:tcPr>
            <w:tcW w:w="1459" w:type="dxa"/>
            <w:vAlign w:val="center"/>
          </w:tcPr>
          <w:p w14:paraId="6A79120D">
            <w:pPr>
              <w:jc w:val="center"/>
              <w:rPr>
                <w:color w:val="000000"/>
                <w:sz w:val="20"/>
                <w:szCs w:val="20"/>
              </w:rPr>
            </w:pPr>
            <w:r>
              <w:rPr>
                <w:color w:val="000000"/>
                <w:sz w:val="20"/>
                <w:szCs w:val="20"/>
              </w:rPr>
              <w:t>524,40</w:t>
            </w:r>
          </w:p>
        </w:tc>
        <w:tc>
          <w:tcPr>
            <w:tcW w:w="1273" w:type="dxa"/>
            <w:vAlign w:val="center"/>
          </w:tcPr>
          <w:p w14:paraId="41B676DB">
            <w:pPr>
              <w:jc w:val="center"/>
              <w:rPr>
                <w:color w:val="000000"/>
                <w:sz w:val="20"/>
                <w:szCs w:val="20"/>
              </w:rPr>
            </w:pPr>
            <w:r>
              <w:rPr>
                <w:color w:val="000000"/>
                <w:sz w:val="20"/>
                <w:szCs w:val="20"/>
              </w:rPr>
              <w:t>0,26%</w:t>
            </w:r>
          </w:p>
        </w:tc>
        <w:tc>
          <w:tcPr>
            <w:tcW w:w="2047" w:type="dxa"/>
            <w:vAlign w:val="center"/>
          </w:tcPr>
          <w:p w14:paraId="0FFA8C40">
            <w:pPr>
              <w:jc w:val="center"/>
              <w:rPr>
                <w:color w:val="000000"/>
                <w:sz w:val="20"/>
                <w:szCs w:val="20"/>
              </w:rPr>
            </w:pPr>
            <w:r>
              <w:rPr>
                <w:color w:val="000000"/>
                <w:sz w:val="20"/>
                <w:szCs w:val="20"/>
              </w:rPr>
              <w:t>209,8</w:t>
            </w:r>
          </w:p>
        </w:tc>
        <w:tc>
          <w:tcPr>
            <w:tcW w:w="1276" w:type="dxa"/>
            <w:vAlign w:val="center"/>
          </w:tcPr>
          <w:p w14:paraId="19E31AD1">
            <w:pPr>
              <w:jc w:val="center"/>
              <w:rPr>
                <w:color w:val="000000"/>
                <w:sz w:val="20"/>
                <w:szCs w:val="20"/>
              </w:rPr>
            </w:pPr>
            <w:r>
              <w:rPr>
                <w:color w:val="000000"/>
                <w:sz w:val="20"/>
                <w:szCs w:val="20"/>
              </w:rPr>
              <w:t>629,40</w:t>
            </w:r>
          </w:p>
        </w:tc>
        <w:tc>
          <w:tcPr>
            <w:tcW w:w="992" w:type="dxa"/>
            <w:vAlign w:val="center"/>
          </w:tcPr>
          <w:p w14:paraId="388873CE">
            <w:pPr>
              <w:jc w:val="center"/>
              <w:rPr>
                <w:color w:val="000000"/>
                <w:sz w:val="20"/>
                <w:szCs w:val="20"/>
              </w:rPr>
            </w:pPr>
            <w:r>
              <w:rPr>
                <w:color w:val="000000"/>
                <w:sz w:val="20"/>
                <w:szCs w:val="20"/>
              </w:rPr>
              <w:t>40</w:t>
            </w:r>
          </w:p>
        </w:tc>
        <w:tc>
          <w:tcPr>
            <w:tcW w:w="992" w:type="dxa"/>
            <w:vAlign w:val="center"/>
          </w:tcPr>
          <w:p w14:paraId="65CF824C">
            <w:pPr>
              <w:jc w:val="center"/>
              <w:rPr>
                <w:color w:val="000000"/>
                <w:sz w:val="20"/>
                <w:szCs w:val="20"/>
              </w:rPr>
            </w:pPr>
            <w:r>
              <w:rPr>
                <w:color w:val="000000"/>
                <w:sz w:val="20"/>
                <w:szCs w:val="20"/>
              </w:rPr>
              <w:t>3</w:t>
            </w:r>
          </w:p>
        </w:tc>
        <w:tc>
          <w:tcPr>
            <w:tcW w:w="1134" w:type="dxa"/>
            <w:vAlign w:val="center"/>
          </w:tcPr>
          <w:p w14:paraId="64C67CFE">
            <w:pPr>
              <w:jc w:val="center"/>
              <w:rPr>
                <w:color w:val="000000"/>
                <w:sz w:val="20"/>
                <w:szCs w:val="20"/>
              </w:rPr>
            </w:pPr>
            <w:r>
              <w:rPr>
                <w:color w:val="000000"/>
                <w:sz w:val="20"/>
                <w:szCs w:val="20"/>
              </w:rPr>
              <w:t>1,2</w:t>
            </w:r>
          </w:p>
        </w:tc>
        <w:tc>
          <w:tcPr>
            <w:tcW w:w="993" w:type="dxa"/>
            <w:vAlign w:val="center"/>
          </w:tcPr>
          <w:p w14:paraId="2DB5FEE1">
            <w:pPr>
              <w:jc w:val="center"/>
              <w:rPr>
                <w:color w:val="000000"/>
                <w:sz w:val="20"/>
                <w:szCs w:val="20"/>
              </w:rPr>
            </w:pPr>
          </w:p>
        </w:tc>
        <w:tc>
          <w:tcPr>
            <w:tcW w:w="992" w:type="dxa"/>
            <w:vAlign w:val="center"/>
          </w:tcPr>
          <w:p w14:paraId="39FFD914">
            <w:pPr>
              <w:jc w:val="center"/>
              <w:rPr>
                <w:b/>
                <w:bCs/>
                <w:color w:val="000000"/>
                <w:sz w:val="20"/>
                <w:szCs w:val="20"/>
              </w:rPr>
            </w:pPr>
          </w:p>
        </w:tc>
      </w:tr>
      <w:tr w14:paraId="76D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AC959E5">
            <w:pPr>
              <w:jc w:val="center"/>
              <w:rPr>
                <w:b/>
                <w:bCs/>
                <w:color w:val="000000"/>
                <w:sz w:val="20"/>
                <w:szCs w:val="20"/>
              </w:rPr>
            </w:pPr>
          </w:p>
        </w:tc>
        <w:tc>
          <w:tcPr>
            <w:tcW w:w="2409" w:type="dxa"/>
            <w:vAlign w:val="center"/>
          </w:tcPr>
          <w:p w14:paraId="398A558C">
            <w:pPr>
              <w:rPr>
                <w:color w:val="000000"/>
                <w:sz w:val="20"/>
                <w:szCs w:val="20"/>
              </w:rPr>
            </w:pPr>
            <w:r>
              <w:rPr>
                <w:color w:val="000000"/>
                <w:sz w:val="20"/>
                <w:szCs w:val="20"/>
              </w:rPr>
              <w:t>Chợ</w:t>
            </w:r>
          </w:p>
        </w:tc>
        <w:tc>
          <w:tcPr>
            <w:tcW w:w="1033" w:type="dxa"/>
            <w:vAlign w:val="center"/>
          </w:tcPr>
          <w:p w14:paraId="0B00ADE9">
            <w:pPr>
              <w:jc w:val="center"/>
              <w:rPr>
                <w:color w:val="000000"/>
                <w:sz w:val="20"/>
                <w:szCs w:val="20"/>
              </w:rPr>
            </w:pPr>
            <w:r>
              <w:rPr>
                <w:color w:val="000000"/>
                <w:sz w:val="20"/>
                <w:szCs w:val="20"/>
              </w:rPr>
              <w:t>CCO03</w:t>
            </w:r>
          </w:p>
        </w:tc>
        <w:tc>
          <w:tcPr>
            <w:tcW w:w="1459" w:type="dxa"/>
            <w:vAlign w:val="center"/>
          </w:tcPr>
          <w:p w14:paraId="341C7326">
            <w:pPr>
              <w:jc w:val="center"/>
              <w:rPr>
                <w:color w:val="000000"/>
                <w:sz w:val="20"/>
                <w:szCs w:val="20"/>
              </w:rPr>
            </w:pPr>
            <w:r>
              <w:rPr>
                <w:color w:val="000000"/>
                <w:sz w:val="20"/>
                <w:szCs w:val="20"/>
              </w:rPr>
              <w:t>2.018,30</w:t>
            </w:r>
          </w:p>
        </w:tc>
        <w:tc>
          <w:tcPr>
            <w:tcW w:w="1273" w:type="dxa"/>
            <w:vAlign w:val="center"/>
          </w:tcPr>
          <w:p w14:paraId="427A58CA">
            <w:pPr>
              <w:jc w:val="center"/>
              <w:rPr>
                <w:color w:val="000000"/>
                <w:sz w:val="20"/>
                <w:szCs w:val="20"/>
              </w:rPr>
            </w:pPr>
            <w:r>
              <w:rPr>
                <w:color w:val="000000"/>
                <w:sz w:val="20"/>
                <w:szCs w:val="20"/>
              </w:rPr>
              <w:t>1,02%</w:t>
            </w:r>
          </w:p>
        </w:tc>
        <w:tc>
          <w:tcPr>
            <w:tcW w:w="2047" w:type="dxa"/>
            <w:vAlign w:val="center"/>
          </w:tcPr>
          <w:p w14:paraId="6AAD0B02">
            <w:pPr>
              <w:jc w:val="center"/>
              <w:rPr>
                <w:color w:val="000000"/>
                <w:sz w:val="20"/>
                <w:szCs w:val="20"/>
              </w:rPr>
            </w:pPr>
            <w:r>
              <w:rPr>
                <w:color w:val="000000"/>
                <w:sz w:val="20"/>
                <w:szCs w:val="20"/>
              </w:rPr>
              <w:t>807,3</w:t>
            </w:r>
          </w:p>
        </w:tc>
        <w:tc>
          <w:tcPr>
            <w:tcW w:w="1276" w:type="dxa"/>
            <w:vAlign w:val="center"/>
          </w:tcPr>
          <w:p w14:paraId="0B8C2C76">
            <w:pPr>
              <w:jc w:val="center"/>
              <w:rPr>
                <w:color w:val="000000"/>
                <w:sz w:val="20"/>
                <w:szCs w:val="20"/>
              </w:rPr>
            </w:pPr>
            <w:r>
              <w:rPr>
                <w:color w:val="000000"/>
                <w:sz w:val="20"/>
                <w:szCs w:val="20"/>
              </w:rPr>
              <w:t>2.421,90</w:t>
            </w:r>
          </w:p>
        </w:tc>
        <w:tc>
          <w:tcPr>
            <w:tcW w:w="992" w:type="dxa"/>
            <w:vAlign w:val="center"/>
          </w:tcPr>
          <w:p w14:paraId="1B927174">
            <w:pPr>
              <w:jc w:val="center"/>
              <w:rPr>
                <w:color w:val="000000"/>
                <w:sz w:val="20"/>
                <w:szCs w:val="20"/>
              </w:rPr>
            </w:pPr>
            <w:r>
              <w:rPr>
                <w:color w:val="000000"/>
                <w:sz w:val="20"/>
                <w:szCs w:val="20"/>
              </w:rPr>
              <w:t>40</w:t>
            </w:r>
          </w:p>
        </w:tc>
        <w:tc>
          <w:tcPr>
            <w:tcW w:w="992" w:type="dxa"/>
            <w:vAlign w:val="center"/>
          </w:tcPr>
          <w:p w14:paraId="5C1726A9">
            <w:pPr>
              <w:jc w:val="center"/>
              <w:rPr>
                <w:color w:val="000000"/>
                <w:sz w:val="20"/>
                <w:szCs w:val="20"/>
              </w:rPr>
            </w:pPr>
            <w:r>
              <w:rPr>
                <w:color w:val="000000"/>
                <w:sz w:val="20"/>
                <w:szCs w:val="20"/>
              </w:rPr>
              <w:t>3</w:t>
            </w:r>
          </w:p>
        </w:tc>
        <w:tc>
          <w:tcPr>
            <w:tcW w:w="1134" w:type="dxa"/>
            <w:vAlign w:val="center"/>
          </w:tcPr>
          <w:p w14:paraId="7F331215">
            <w:pPr>
              <w:jc w:val="center"/>
              <w:rPr>
                <w:color w:val="000000"/>
                <w:sz w:val="20"/>
                <w:szCs w:val="20"/>
              </w:rPr>
            </w:pPr>
          </w:p>
        </w:tc>
        <w:tc>
          <w:tcPr>
            <w:tcW w:w="993" w:type="dxa"/>
            <w:vAlign w:val="center"/>
          </w:tcPr>
          <w:p w14:paraId="6549B706">
            <w:pPr>
              <w:jc w:val="center"/>
              <w:rPr>
                <w:color w:val="000000"/>
                <w:sz w:val="20"/>
                <w:szCs w:val="20"/>
              </w:rPr>
            </w:pPr>
          </w:p>
        </w:tc>
        <w:tc>
          <w:tcPr>
            <w:tcW w:w="992" w:type="dxa"/>
            <w:vAlign w:val="center"/>
          </w:tcPr>
          <w:p w14:paraId="57FF43B6">
            <w:pPr>
              <w:jc w:val="center"/>
              <w:rPr>
                <w:b/>
                <w:bCs/>
                <w:color w:val="000000"/>
                <w:sz w:val="20"/>
                <w:szCs w:val="20"/>
              </w:rPr>
            </w:pPr>
          </w:p>
        </w:tc>
      </w:tr>
      <w:tr w14:paraId="6F46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56F901D">
            <w:pPr>
              <w:jc w:val="center"/>
              <w:rPr>
                <w:b/>
                <w:bCs/>
                <w:color w:val="000000"/>
                <w:sz w:val="20"/>
                <w:szCs w:val="20"/>
              </w:rPr>
            </w:pPr>
            <w:r>
              <w:rPr>
                <w:b/>
                <w:bCs/>
                <w:color w:val="000000"/>
                <w:sz w:val="20"/>
                <w:szCs w:val="20"/>
              </w:rPr>
              <w:t>3</w:t>
            </w:r>
          </w:p>
        </w:tc>
        <w:tc>
          <w:tcPr>
            <w:tcW w:w="2409" w:type="dxa"/>
            <w:vAlign w:val="center"/>
          </w:tcPr>
          <w:p w14:paraId="53F8A24B">
            <w:pPr>
              <w:rPr>
                <w:b/>
                <w:bCs/>
                <w:color w:val="000000"/>
                <w:sz w:val="20"/>
                <w:szCs w:val="20"/>
              </w:rPr>
            </w:pPr>
            <w:r>
              <w:rPr>
                <w:b/>
                <w:bCs/>
                <w:color w:val="000000"/>
                <w:sz w:val="20"/>
                <w:szCs w:val="20"/>
              </w:rPr>
              <w:t>Đất trường học</w:t>
            </w:r>
          </w:p>
        </w:tc>
        <w:tc>
          <w:tcPr>
            <w:tcW w:w="1033" w:type="dxa"/>
            <w:vAlign w:val="center"/>
          </w:tcPr>
          <w:p w14:paraId="0476F788">
            <w:pPr>
              <w:jc w:val="center"/>
              <w:rPr>
                <w:b/>
                <w:bCs/>
                <w:color w:val="000000"/>
                <w:sz w:val="20"/>
                <w:szCs w:val="20"/>
              </w:rPr>
            </w:pPr>
            <w:r>
              <w:rPr>
                <w:b/>
                <w:bCs/>
                <w:color w:val="000000"/>
                <w:sz w:val="20"/>
                <w:szCs w:val="20"/>
              </w:rPr>
              <w:t>TH</w:t>
            </w:r>
          </w:p>
        </w:tc>
        <w:tc>
          <w:tcPr>
            <w:tcW w:w="1459" w:type="dxa"/>
            <w:vAlign w:val="center"/>
          </w:tcPr>
          <w:p w14:paraId="6302DF8A">
            <w:pPr>
              <w:jc w:val="center"/>
              <w:rPr>
                <w:b/>
                <w:bCs/>
                <w:color w:val="000000"/>
                <w:sz w:val="20"/>
                <w:szCs w:val="20"/>
              </w:rPr>
            </w:pPr>
            <w:r>
              <w:rPr>
                <w:b/>
                <w:bCs/>
                <w:color w:val="000000"/>
                <w:sz w:val="20"/>
                <w:szCs w:val="20"/>
              </w:rPr>
              <w:t>2.889,90</w:t>
            </w:r>
          </w:p>
        </w:tc>
        <w:tc>
          <w:tcPr>
            <w:tcW w:w="1273" w:type="dxa"/>
            <w:vAlign w:val="center"/>
          </w:tcPr>
          <w:p w14:paraId="0046A7C0">
            <w:pPr>
              <w:jc w:val="center"/>
              <w:rPr>
                <w:b/>
                <w:bCs/>
                <w:color w:val="000000"/>
                <w:sz w:val="20"/>
                <w:szCs w:val="20"/>
              </w:rPr>
            </w:pPr>
            <w:r>
              <w:rPr>
                <w:b/>
                <w:bCs/>
                <w:color w:val="000000"/>
                <w:sz w:val="20"/>
                <w:szCs w:val="20"/>
              </w:rPr>
              <w:t>1,46%</w:t>
            </w:r>
          </w:p>
        </w:tc>
        <w:tc>
          <w:tcPr>
            <w:tcW w:w="2047" w:type="dxa"/>
            <w:vAlign w:val="center"/>
          </w:tcPr>
          <w:p w14:paraId="319E1278">
            <w:pPr>
              <w:jc w:val="center"/>
              <w:rPr>
                <w:b/>
                <w:bCs/>
                <w:color w:val="000000"/>
                <w:sz w:val="20"/>
                <w:szCs w:val="20"/>
              </w:rPr>
            </w:pPr>
            <w:r>
              <w:rPr>
                <w:b/>
                <w:bCs/>
                <w:color w:val="000000"/>
                <w:sz w:val="20"/>
                <w:szCs w:val="20"/>
              </w:rPr>
              <w:t>1.156,0</w:t>
            </w:r>
          </w:p>
        </w:tc>
        <w:tc>
          <w:tcPr>
            <w:tcW w:w="1276" w:type="dxa"/>
            <w:vAlign w:val="center"/>
          </w:tcPr>
          <w:p w14:paraId="18375566">
            <w:pPr>
              <w:jc w:val="center"/>
              <w:rPr>
                <w:b/>
                <w:bCs/>
                <w:color w:val="000000"/>
                <w:sz w:val="20"/>
                <w:szCs w:val="20"/>
              </w:rPr>
            </w:pPr>
            <w:r>
              <w:rPr>
                <w:b/>
                <w:bCs/>
                <w:color w:val="000000"/>
                <w:sz w:val="20"/>
                <w:szCs w:val="20"/>
              </w:rPr>
              <w:t>3.468,00</w:t>
            </w:r>
          </w:p>
        </w:tc>
        <w:tc>
          <w:tcPr>
            <w:tcW w:w="992" w:type="dxa"/>
            <w:vAlign w:val="center"/>
          </w:tcPr>
          <w:p w14:paraId="1DD3D6B7">
            <w:pPr>
              <w:jc w:val="center"/>
              <w:rPr>
                <w:b/>
                <w:bCs/>
                <w:color w:val="000000"/>
                <w:sz w:val="20"/>
                <w:szCs w:val="20"/>
              </w:rPr>
            </w:pPr>
            <w:r>
              <w:rPr>
                <w:b/>
                <w:bCs/>
                <w:color w:val="000000"/>
                <w:sz w:val="20"/>
                <w:szCs w:val="20"/>
              </w:rPr>
              <w:t>40</w:t>
            </w:r>
          </w:p>
        </w:tc>
        <w:tc>
          <w:tcPr>
            <w:tcW w:w="992" w:type="dxa"/>
            <w:vAlign w:val="center"/>
          </w:tcPr>
          <w:p w14:paraId="62E0E7D8">
            <w:pPr>
              <w:jc w:val="center"/>
              <w:rPr>
                <w:b/>
                <w:bCs/>
                <w:color w:val="000000"/>
                <w:sz w:val="20"/>
                <w:szCs w:val="20"/>
              </w:rPr>
            </w:pPr>
            <w:r>
              <w:rPr>
                <w:b/>
                <w:bCs/>
                <w:color w:val="000000"/>
                <w:sz w:val="20"/>
                <w:szCs w:val="20"/>
              </w:rPr>
              <w:t>3</w:t>
            </w:r>
          </w:p>
        </w:tc>
        <w:tc>
          <w:tcPr>
            <w:tcW w:w="1134" w:type="dxa"/>
            <w:vAlign w:val="center"/>
          </w:tcPr>
          <w:p w14:paraId="692B409A">
            <w:pPr>
              <w:jc w:val="center"/>
              <w:rPr>
                <w:b/>
                <w:bCs/>
                <w:color w:val="000000"/>
                <w:sz w:val="20"/>
                <w:szCs w:val="20"/>
              </w:rPr>
            </w:pPr>
          </w:p>
        </w:tc>
        <w:tc>
          <w:tcPr>
            <w:tcW w:w="993" w:type="dxa"/>
            <w:vAlign w:val="center"/>
          </w:tcPr>
          <w:p w14:paraId="3B5A4CCE">
            <w:pPr>
              <w:jc w:val="center"/>
              <w:rPr>
                <w:b/>
                <w:bCs/>
                <w:color w:val="000000"/>
                <w:sz w:val="20"/>
                <w:szCs w:val="20"/>
              </w:rPr>
            </w:pPr>
          </w:p>
        </w:tc>
        <w:tc>
          <w:tcPr>
            <w:tcW w:w="992" w:type="dxa"/>
            <w:vAlign w:val="center"/>
          </w:tcPr>
          <w:p w14:paraId="12415427">
            <w:pPr>
              <w:jc w:val="center"/>
              <w:rPr>
                <w:b/>
                <w:bCs/>
                <w:color w:val="000000"/>
                <w:sz w:val="20"/>
                <w:szCs w:val="20"/>
              </w:rPr>
            </w:pPr>
          </w:p>
        </w:tc>
      </w:tr>
      <w:tr w14:paraId="568F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0C9DC78">
            <w:pPr>
              <w:jc w:val="center"/>
              <w:rPr>
                <w:b/>
                <w:bCs/>
                <w:color w:val="000000"/>
                <w:sz w:val="20"/>
                <w:szCs w:val="20"/>
              </w:rPr>
            </w:pPr>
            <w:r>
              <w:rPr>
                <w:b/>
                <w:bCs/>
                <w:color w:val="000000"/>
                <w:sz w:val="20"/>
                <w:szCs w:val="20"/>
              </w:rPr>
              <w:t>4</w:t>
            </w:r>
          </w:p>
        </w:tc>
        <w:tc>
          <w:tcPr>
            <w:tcW w:w="2409" w:type="dxa"/>
            <w:vAlign w:val="center"/>
          </w:tcPr>
          <w:p w14:paraId="0B1BD9B7">
            <w:pPr>
              <w:rPr>
                <w:b/>
                <w:bCs/>
                <w:color w:val="000000"/>
                <w:sz w:val="20"/>
                <w:szCs w:val="20"/>
              </w:rPr>
            </w:pPr>
            <w:r>
              <w:rPr>
                <w:b/>
                <w:bCs/>
                <w:color w:val="000000"/>
                <w:sz w:val="20"/>
                <w:szCs w:val="20"/>
              </w:rPr>
              <w:t>Đất cây xanh, mặt nước</w:t>
            </w:r>
          </w:p>
        </w:tc>
        <w:tc>
          <w:tcPr>
            <w:tcW w:w="1033" w:type="dxa"/>
            <w:vAlign w:val="center"/>
          </w:tcPr>
          <w:p w14:paraId="467BE72B">
            <w:pPr>
              <w:jc w:val="center"/>
              <w:rPr>
                <w:b/>
                <w:bCs/>
                <w:color w:val="000000"/>
                <w:sz w:val="20"/>
                <w:szCs w:val="20"/>
              </w:rPr>
            </w:pPr>
            <w:r>
              <w:rPr>
                <w:b/>
                <w:bCs/>
                <w:color w:val="000000"/>
                <w:sz w:val="20"/>
                <w:szCs w:val="20"/>
              </w:rPr>
              <w:t>CXO</w:t>
            </w:r>
          </w:p>
        </w:tc>
        <w:tc>
          <w:tcPr>
            <w:tcW w:w="1459" w:type="dxa"/>
            <w:vAlign w:val="center"/>
          </w:tcPr>
          <w:p w14:paraId="1A604479">
            <w:pPr>
              <w:jc w:val="center"/>
              <w:rPr>
                <w:b/>
                <w:bCs/>
                <w:color w:val="000000"/>
                <w:sz w:val="20"/>
                <w:szCs w:val="20"/>
              </w:rPr>
            </w:pPr>
            <w:r>
              <w:rPr>
                <w:b/>
                <w:bCs/>
                <w:color w:val="000000"/>
                <w:sz w:val="20"/>
                <w:szCs w:val="20"/>
              </w:rPr>
              <w:t>6.859,30</w:t>
            </w:r>
          </w:p>
        </w:tc>
        <w:tc>
          <w:tcPr>
            <w:tcW w:w="1273" w:type="dxa"/>
            <w:vAlign w:val="center"/>
          </w:tcPr>
          <w:p w14:paraId="7A2FA65A">
            <w:pPr>
              <w:jc w:val="center"/>
              <w:rPr>
                <w:b/>
                <w:bCs/>
                <w:color w:val="000000"/>
                <w:sz w:val="20"/>
                <w:szCs w:val="20"/>
              </w:rPr>
            </w:pPr>
            <w:r>
              <w:rPr>
                <w:b/>
                <w:bCs/>
                <w:color w:val="000000"/>
                <w:sz w:val="20"/>
                <w:szCs w:val="20"/>
              </w:rPr>
              <w:t>3,46%</w:t>
            </w:r>
          </w:p>
        </w:tc>
        <w:tc>
          <w:tcPr>
            <w:tcW w:w="2047" w:type="dxa"/>
            <w:vAlign w:val="center"/>
          </w:tcPr>
          <w:p w14:paraId="110DC714">
            <w:pPr>
              <w:jc w:val="center"/>
              <w:rPr>
                <w:b/>
                <w:bCs/>
                <w:color w:val="000000"/>
                <w:sz w:val="20"/>
                <w:szCs w:val="20"/>
              </w:rPr>
            </w:pPr>
            <w:r>
              <w:rPr>
                <w:b/>
                <w:bCs/>
                <w:color w:val="000000"/>
                <w:sz w:val="20"/>
                <w:szCs w:val="20"/>
              </w:rPr>
              <w:t>223,2</w:t>
            </w:r>
          </w:p>
        </w:tc>
        <w:tc>
          <w:tcPr>
            <w:tcW w:w="1276" w:type="dxa"/>
            <w:vAlign w:val="center"/>
          </w:tcPr>
          <w:p w14:paraId="589B11D2">
            <w:pPr>
              <w:jc w:val="center"/>
              <w:rPr>
                <w:b/>
                <w:bCs/>
                <w:color w:val="000000"/>
                <w:sz w:val="20"/>
                <w:szCs w:val="20"/>
              </w:rPr>
            </w:pPr>
            <w:r>
              <w:rPr>
                <w:b/>
                <w:bCs/>
                <w:color w:val="000000"/>
                <w:sz w:val="20"/>
                <w:szCs w:val="20"/>
              </w:rPr>
              <w:t>223,20</w:t>
            </w:r>
          </w:p>
        </w:tc>
        <w:tc>
          <w:tcPr>
            <w:tcW w:w="992" w:type="dxa"/>
            <w:vAlign w:val="center"/>
          </w:tcPr>
          <w:p w14:paraId="50079109">
            <w:pPr>
              <w:jc w:val="center"/>
              <w:rPr>
                <w:b/>
                <w:bCs/>
                <w:color w:val="000000"/>
                <w:sz w:val="20"/>
                <w:szCs w:val="20"/>
              </w:rPr>
            </w:pPr>
            <w:r>
              <w:rPr>
                <w:b/>
                <w:bCs/>
                <w:color w:val="000000"/>
                <w:sz w:val="20"/>
                <w:szCs w:val="20"/>
              </w:rPr>
              <w:t>5</w:t>
            </w:r>
          </w:p>
        </w:tc>
        <w:tc>
          <w:tcPr>
            <w:tcW w:w="992" w:type="dxa"/>
            <w:vAlign w:val="center"/>
          </w:tcPr>
          <w:p w14:paraId="4D53E7C0">
            <w:pPr>
              <w:jc w:val="center"/>
              <w:rPr>
                <w:b/>
                <w:bCs/>
                <w:color w:val="000000"/>
                <w:sz w:val="20"/>
                <w:szCs w:val="20"/>
              </w:rPr>
            </w:pPr>
            <w:r>
              <w:rPr>
                <w:b/>
                <w:bCs/>
                <w:color w:val="000000"/>
                <w:sz w:val="20"/>
                <w:szCs w:val="20"/>
              </w:rPr>
              <w:t>1</w:t>
            </w:r>
          </w:p>
        </w:tc>
        <w:tc>
          <w:tcPr>
            <w:tcW w:w="1134" w:type="dxa"/>
            <w:vAlign w:val="center"/>
          </w:tcPr>
          <w:p w14:paraId="26EE96A8">
            <w:pPr>
              <w:jc w:val="center"/>
              <w:rPr>
                <w:b/>
                <w:bCs/>
                <w:color w:val="000000"/>
                <w:sz w:val="20"/>
                <w:szCs w:val="20"/>
              </w:rPr>
            </w:pPr>
          </w:p>
        </w:tc>
        <w:tc>
          <w:tcPr>
            <w:tcW w:w="993" w:type="dxa"/>
            <w:vAlign w:val="center"/>
          </w:tcPr>
          <w:p w14:paraId="2A165FB5">
            <w:pPr>
              <w:jc w:val="center"/>
              <w:rPr>
                <w:b/>
                <w:bCs/>
                <w:color w:val="000000"/>
                <w:sz w:val="20"/>
                <w:szCs w:val="20"/>
              </w:rPr>
            </w:pPr>
          </w:p>
        </w:tc>
        <w:tc>
          <w:tcPr>
            <w:tcW w:w="992" w:type="dxa"/>
            <w:vAlign w:val="center"/>
          </w:tcPr>
          <w:p w14:paraId="376270D4">
            <w:pPr>
              <w:jc w:val="center"/>
              <w:rPr>
                <w:b/>
                <w:bCs/>
                <w:color w:val="000000"/>
                <w:sz w:val="20"/>
                <w:szCs w:val="20"/>
              </w:rPr>
            </w:pPr>
          </w:p>
        </w:tc>
      </w:tr>
      <w:tr w14:paraId="7671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545DA762">
            <w:pPr>
              <w:jc w:val="center"/>
              <w:rPr>
                <w:b/>
                <w:bCs/>
                <w:color w:val="000000"/>
                <w:sz w:val="20"/>
                <w:szCs w:val="20"/>
              </w:rPr>
            </w:pPr>
          </w:p>
        </w:tc>
        <w:tc>
          <w:tcPr>
            <w:tcW w:w="2409" w:type="dxa"/>
            <w:vAlign w:val="center"/>
          </w:tcPr>
          <w:p w14:paraId="27EB3ABD">
            <w:pPr>
              <w:rPr>
                <w:b/>
                <w:bCs/>
                <w:color w:val="000000"/>
                <w:sz w:val="20"/>
                <w:szCs w:val="20"/>
              </w:rPr>
            </w:pPr>
          </w:p>
        </w:tc>
        <w:tc>
          <w:tcPr>
            <w:tcW w:w="1033" w:type="dxa"/>
            <w:vAlign w:val="center"/>
          </w:tcPr>
          <w:p w14:paraId="063919DD">
            <w:pPr>
              <w:jc w:val="center"/>
              <w:rPr>
                <w:color w:val="000000"/>
                <w:sz w:val="20"/>
                <w:szCs w:val="20"/>
              </w:rPr>
            </w:pPr>
            <w:r>
              <w:rPr>
                <w:color w:val="000000"/>
                <w:sz w:val="20"/>
                <w:szCs w:val="20"/>
              </w:rPr>
              <w:t>CXO01</w:t>
            </w:r>
          </w:p>
        </w:tc>
        <w:tc>
          <w:tcPr>
            <w:tcW w:w="1459" w:type="dxa"/>
            <w:vAlign w:val="center"/>
          </w:tcPr>
          <w:p w14:paraId="57A1E569">
            <w:pPr>
              <w:jc w:val="center"/>
              <w:rPr>
                <w:color w:val="000000"/>
                <w:sz w:val="20"/>
                <w:szCs w:val="20"/>
              </w:rPr>
            </w:pPr>
            <w:r>
              <w:rPr>
                <w:color w:val="000000"/>
                <w:sz w:val="20"/>
                <w:szCs w:val="20"/>
              </w:rPr>
              <w:t>159,70</w:t>
            </w:r>
          </w:p>
        </w:tc>
        <w:tc>
          <w:tcPr>
            <w:tcW w:w="1273" w:type="dxa"/>
            <w:vAlign w:val="center"/>
          </w:tcPr>
          <w:p w14:paraId="78EADAD6">
            <w:pPr>
              <w:jc w:val="center"/>
              <w:rPr>
                <w:color w:val="000000"/>
                <w:sz w:val="20"/>
                <w:szCs w:val="20"/>
              </w:rPr>
            </w:pPr>
            <w:r>
              <w:rPr>
                <w:color w:val="000000"/>
                <w:sz w:val="20"/>
                <w:szCs w:val="20"/>
              </w:rPr>
              <w:t>0,08%</w:t>
            </w:r>
          </w:p>
        </w:tc>
        <w:tc>
          <w:tcPr>
            <w:tcW w:w="2047" w:type="dxa"/>
            <w:vAlign w:val="center"/>
          </w:tcPr>
          <w:p w14:paraId="64DA40F2">
            <w:pPr>
              <w:jc w:val="center"/>
              <w:rPr>
                <w:color w:val="000000"/>
                <w:sz w:val="20"/>
                <w:szCs w:val="20"/>
              </w:rPr>
            </w:pPr>
          </w:p>
        </w:tc>
        <w:tc>
          <w:tcPr>
            <w:tcW w:w="1276" w:type="dxa"/>
            <w:vAlign w:val="center"/>
          </w:tcPr>
          <w:p w14:paraId="23FA71D6">
            <w:pPr>
              <w:jc w:val="center"/>
              <w:rPr>
                <w:color w:val="000000"/>
                <w:sz w:val="20"/>
                <w:szCs w:val="20"/>
              </w:rPr>
            </w:pPr>
          </w:p>
        </w:tc>
        <w:tc>
          <w:tcPr>
            <w:tcW w:w="992" w:type="dxa"/>
            <w:vAlign w:val="center"/>
          </w:tcPr>
          <w:p w14:paraId="59EDE420">
            <w:pPr>
              <w:jc w:val="center"/>
              <w:rPr>
                <w:color w:val="000000"/>
                <w:sz w:val="20"/>
                <w:szCs w:val="20"/>
              </w:rPr>
            </w:pPr>
          </w:p>
        </w:tc>
        <w:tc>
          <w:tcPr>
            <w:tcW w:w="992" w:type="dxa"/>
            <w:vAlign w:val="center"/>
          </w:tcPr>
          <w:p w14:paraId="1655811C">
            <w:pPr>
              <w:jc w:val="center"/>
              <w:rPr>
                <w:color w:val="000000"/>
                <w:sz w:val="20"/>
                <w:szCs w:val="20"/>
              </w:rPr>
            </w:pPr>
          </w:p>
        </w:tc>
        <w:tc>
          <w:tcPr>
            <w:tcW w:w="1134" w:type="dxa"/>
            <w:vAlign w:val="center"/>
          </w:tcPr>
          <w:p w14:paraId="6946CEB5">
            <w:pPr>
              <w:jc w:val="center"/>
              <w:rPr>
                <w:color w:val="000000"/>
                <w:sz w:val="20"/>
                <w:szCs w:val="20"/>
              </w:rPr>
            </w:pPr>
          </w:p>
        </w:tc>
        <w:tc>
          <w:tcPr>
            <w:tcW w:w="993" w:type="dxa"/>
            <w:vAlign w:val="center"/>
          </w:tcPr>
          <w:p w14:paraId="5C74F727">
            <w:pPr>
              <w:jc w:val="center"/>
              <w:rPr>
                <w:color w:val="000000"/>
                <w:sz w:val="20"/>
                <w:szCs w:val="20"/>
              </w:rPr>
            </w:pPr>
          </w:p>
        </w:tc>
        <w:tc>
          <w:tcPr>
            <w:tcW w:w="992" w:type="dxa"/>
            <w:vAlign w:val="center"/>
          </w:tcPr>
          <w:p w14:paraId="0E3A879C">
            <w:pPr>
              <w:jc w:val="center"/>
              <w:rPr>
                <w:b/>
                <w:bCs/>
                <w:color w:val="000000"/>
                <w:sz w:val="20"/>
                <w:szCs w:val="20"/>
              </w:rPr>
            </w:pPr>
          </w:p>
        </w:tc>
      </w:tr>
      <w:tr w14:paraId="717C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6E5174A1">
            <w:pPr>
              <w:jc w:val="center"/>
              <w:rPr>
                <w:color w:val="000000"/>
                <w:sz w:val="20"/>
                <w:szCs w:val="20"/>
              </w:rPr>
            </w:pPr>
          </w:p>
        </w:tc>
        <w:tc>
          <w:tcPr>
            <w:tcW w:w="2409" w:type="dxa"/>
            <w:noWrap/>
            <w:vAlign w:val="center"/>
          </w:tcPr>
          <w:p w14:paraId="45F4249F">
            <w:pPr>
              <w:rPr>
                <w:color w:val="000000"/>
                <w:sz w:val="20"/>
                <w:szCs w:val="20"/>
              </w:rPr>
            </w:pPr>
          </w:p>
        </w:tc>
        <w:tc>
          <w:tcPr>
            <w:tcW w:w="1033" w:type="dxa"/>
            <w:vAlign w:val="center"/>
          </w:tcPr>
          <w:p w14:paraId="422DC366">
            <w:pPr>
              <w:jc w:val="center"/>
              <w:rPr>
                <w:color w:val="000000"/>
                <w:sz w:val="20"/>
                <w:szCs w:val="20"/>
              </w:rPr>
            </w:pPr>
            <w:r>
              <w:rPr>
                <w:color w:val="000000"/>
                <w:sz w:val="20"/>
                <w:szCs w:val="20"/>
              </w:rPr>
              <w:t>CXO02</w:t>
            </w:r>
          </w:p>
        </w:tc>
        <w:tc>
          <w:tcPr>
            <w:tcW w:w="1459" w:type="dxa"/>
            <w:vAlign w:val="center"/>
          </w:tcPr>
          <w:p w14:paraId="70ADFF83">
            <w:pPr>
              <w:jc w:val="center"/>
              <w:rPr>
                <w:color w:val="000000"/>
                <w:sz w:val="20"/>
                <w:szCs w:val="20"/>
              </w:rPr>
            </w:pPr>
            <w:r>
              <w:rPr>
                <w:color w:val="000000"/>
                <w:sz w:val="20"/>
                <w:szCs w:val="20"/>
              </w:rPr>
              <w:t>991,40</w:t>
            </w:r>
          </w:p>
        </w:tc>
        <w:tc>
          <w:tcPr>
            <w:tcW w:w="1273" w:type="dxa"/>
            <w:vAlign w:val="center"/>
          </w:tcPr>
          <w:p w14:paraId="5E302E2A">
            <w:pPr>
              <w:jc w:val="center"/>
              <w:rPr>
                <w:color w:val="000000"/>
                <w:sz w:val="20"/>
                <w:szCs w:val="20"/>
              </w:rPr>
            </w:pPr>
            <w:r>
              <w:rPr>
                <w:color w:val="000000"/>
                <w:sz w:val="20"/>
                <w:szCs w:val="20"/>
              </w:rPr>
              <w:t>0,50%</w:t>
            </w:r>
          </w:p>
        </w:tc>
        <w:tc>
          <w:tcPr>
            <w:tcW w:w="2047" w:type="dxa"/>
            <w:vAlign w:val="center"/>
          </w:tcPr>
          <w:p w14:paraId="7967D88C">
            <w:pPr>
              <w:jc w:val="center"/>
              <w:rPr>
                <w:color w:val="000000"/>
                <w:sz w:val="20"/>
                <w:szCs w:val="20"/>
              </w:rPr>
            </w:pPr>
          </w:p>
        </w:tc>
        <w:tc>
          <w:tcPr>
            <w:tcW w:w="1276" w:type="dxa"/>
            <w:vAlign w:val="center"/>
          </w:tcPr>
          <w:p w14:paraId="1FEB6427">
            <w:pPr>
              <w:jc w:val="center"/>
              <w:rPr>
                <w:color w:val="000000"/>
                <w:sz w:val="20"/>
                <w:szCs w:val="20"/>
              </w:rPr>
            </w:pPr>
          </w:p>
        </w:tc>
        <w:tc>
          <w:tcPr>
            <w:tcW w:w="992" w:type="dxa"/>
            <w:vAlign w:val="center"/>
          </w:tcPr>
          <w:p w14:paraId="246DF839">
            <w:pPr>
              <w:jc w:val="center"/>
              <w:rPr>
                <w:color w:val="000000"/>
                <w:sz w:val="20"/>
                <w:szCs w:val="20"/>
              </w:rPr>
            </w:pPr>
          </w:p>
        </w:tc>
        <w:tc>
          <w:tcPr>
            <w:tcW w:w="992" w:type="dxa"/>
            <w:vAlign w:val="center"/>
          </w:tcPr>
          <w:p w14:paraId="29D86432">
            <w:pPr>
              <w:jc w:val="center"/>
              <w:rPr>
                <w:color w:val="000000"/>
                <w:sz w:val="20"/>
                <w:szCs w:val="20"/>
              </w:rPr>
            </w:pPr>
          </w:p>
        </w:tc>
        <w:tc>
          <w:tcPr>
            <w:tcW w:w="1134" w:type="dxa"/>
            <w:vAlign w:val="center"/>
          </w:tcPr>
          <w:p w14:paraId="6D88A28F">
            <w:pPr>
              <w:jc w:val="center"/>
              <w:rPr>
                <w:color w:val="000000"/>
                <w:sz w:val="20"/>
                <w:szCs w:val="20"/>
              </w:rPr>
            </w:pPr>
          </w:p>
        </w:tc>
        <w:tc>
          <w:tcPr>
            <w:tcW w:w="993" w:type="dxa"/>
            <w:vAlign w:val="center"/>
          </w:tcPr>
          <w:p w14:paraId="2DD14455">
            <w:pPr>
              <w:jc w:val="center"/>
              <w:rPr>
                <w:color w:val="000000"/>
                <w:sz w:val="20"/>
                <w:szCs w:val="20"/>
              </w:rPr>
            </w:pPr>
          </w:p>
        </w:tc>
        <w:tc>
          <w:tcPr>
            <w:tcW w:w="992" w:type="dxa"/>
            <w:vAlign w:val="center"/>
          </w:tcPr>
          <w:p w14:paraId="5037386F">
            <w:pPr>
              <w:jc w:val="center"/>
              <w:rPr>
                <w:b/>
                <w:bCs/>
                <w:color w:val="000000"/>
                <w:sz w:val="20"/>
                <w:szCs w:val="20"/>
              </w:rPr>
            </w:pPr>
          </w:p>
        </w:tc>
      </w:tr>
      <w:tr w14:paraId="0417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5F932205">
            <w:pPr>
              <w:jc w:val="center"/>
              <w:rPr>
                <w:color w:val="000000"/>
                <w:sz w:val="20"/>
                <w:szCs w:val="20"/>
              </w:rPr>
            </w:pPr>
          </w:p>
        </w:tc>
        <w:tc>
          <w:tcPr>
            <w:tcW w:w="2409" w:type="dxa"/>
            <w:noWrap/>
            <w:vAlign w:val="center"/>
          </w:tcPr>
          <w:p w14:paraId="2A8CFFCC">
            <w:pPr>
              <w:rPr>
                <w:color w:val="000000"/>
                <w:sz w:val="20"/>
                <w:szCs w:val="20"/>
              </w:rPr>
            </w:pPr>
          </w:p>
        </w:tc>
        <w:tc>
          <w:tcPr>
            <w:tcW w:w="1033" w:type="dxa"/>
            <w:vAlign w:val="center"/>
          </w:tcPr>
          <w:p w14:paraId="7E3DF0C0">
            <w:pPr>
              <w:jc w:val="center"/>
              <w:rPr>
                <w:color w:val="000000"/>
                <w:sz w:val="20"/>
                <w:szCs w:val="20"/>
              </w:rPr>
            </w:pPr>
            <w:r>
              <w:rPr>
                <w:color w:val="000000"/>
                <w:sz w:val="20"/>
                <w:szCs w:val="20"/>
              </w:rPr>
              <w:t>CXO03</w:t>
            </w:r>
          </w:p>
        </w:tc>
        <w:tc>
          <w:tcPr>
            <w:tcW w:w="1459" w:type="dxa"/>
            <w:vAlign w:val="center"/>
          </w:tcPr>
          <w:p w14:paraId="2949E612">
            <w:pPr>
              <w:jc w:val="center"/>
              <w:rPr>
                <w:color w:val="000000"/>
                <w:sz w:val="20"/>
                <w:szCs w:val="20"/>
              </w:rPr>
            </w:pPr>
            <w:r>
              <w:rPr>
                <w:color w:val="000000"/>
                <w:sz w:val="20"/>
                <w:szCs w:val="20"/>
              </w:rPr>
              <w:t>1.693,30</w:t>
            </w:r>
          </w:p>
        </w:tc>
        <w:tc>
          <w:tcPr>
            <w:tcW w:w="1273" w:type="dxa"/>
            <w:vAlign w:val="center"/>
          </w:tcPr>
          <w:p w14:paraId="130BFECF">
            <w:pPr>
              <w:jc w:val="center"/>
              <w:rPr>
                <w:color w:val="000000"/>
                <w:sz w:val="20"/>
                <w:szCs w:val="20"/>
              </w:rPr>
            </w:pPr>
            <w:r>
              <w:rPr>
                <w:color w:val="000000"/>
                <w:sz w:val="20"/>
                <w:szCs w:val="20"/>
              </w:rPr>
              <w:t>0,85%</w:t>
            </w:r>
          </w:p>
        </w:tc>
        <w:tc>
          <w:tcPr>
            <w:tcW w:w="2047" w:type="dxa"/>
            <w:vAlign w:val="center"/>
          </w:tcPr>
          <w:p w14:paraId="4E3AFC80">
            <w:pPr>
              <w:jc w:val="center"/>
              <w:rPr>
                <w:color w:val="000000"/>
                <w:sz w:val="20"/>
                <w:szCs w:val="20"/>
              </w:rPr>
            </w:pPr>
          </w:p>
        </w:tc>
        <w:tc>
          <w:tcPr>
            <w:tcW w:w="1276" w:type="dxa"/>
            <w:vAlign w:val="center"/>
          </w:tcPr>
          <w:p w14:paraId="47F5A845">
            <w:pPr>
              <w:jc w:val="center"/>
              <w:rPr>
                <w:color w:val="000000"/>
                <w:sz w:val="20"/>
                <w:szCs w:val="20"/>
              </w:rPr>
            </w:pPr>
          </w:p>
        </w:tc>
        <w:tc>
          <w:tcPr>
            <w:tcW w:w="992" w:type="dxa"/>
            <w:vAlign w:val="center"/>
          </w:tcPr>
          <w:p w14:paraId="36453CE1">
            <w:pPr>
              <w:jc w:val="center"/>
              <w:rPr>
                <w:color w:val="000000"/>
                <w:sz w:val="20"/>
                <w:szCs w:val="20"/>
              </w:rPr>
            </w:pPr>
            <w:r>
              <w:rPr>
                <w:color w:val="000000"/>
                <w:sz w:val="20"/>
                <w:szCs w:val="20"/>
              </w:rPr>
              <w:t>5</w:t>
            </w:r>
          </w:p>
        </w:tc>
        <w:tc>
          <w:tcPr>
            <w:tcW w:w="992" w:type="dxa"/>
            <w:vAlign w:val="center"/>
          </w:tcPr>
          <w:p w14:paraId="193D471A">
            <w:pPr>
              <w:jc w:val="center"/>
              <w:rPr>
                <w:color w:val="000000"/>
                <w:sz w:val="20"/>
                <w:szCs w:val="20"/>
              </w:rPr>
            </w:pPr>
          </w:p>
        </w:tc>
        <w:tc>
          <w:tcPr>
            <w:tcW w:w="1134" w:type="dxa"/>
            <w:vAlign w:val="center"/>
          </w:tcPr>
          <w:p w14:paraId="5EDD6F3C">
            <w:pPr>
              <w:jc w:val="center"/>
              <w:rPr>
                <w:color w:val="000000"/>
                <w:sz w:val="20"/>
                <w:szCs w:val="20"/>
              </w:rPr>
            </w:pPr>
          </w:p>
        </w:tc>
        <w:tc>
          <w:tcPr>
            <w:tcW w:w="993" w:type="dxa"/>
            <w:vAlign w:val="center"/>
          </w:tcPr>
          <w:p w14:paraId="700132E0">
            <w:pPr>
              <w:jc w:val="center"/>
              <w:rPr>
                <w:color w:val="000000"/>
                <w:sz w:val="20"/>
                <w:szCs w:val="20"/>
              </w:rPr>
            </w:pPr>
          </w:p>
        </w:tc>
        <w:tc>
          <w:tcPr>
            <w:tcW w:w="992" w:type="dxa"/>
            <w:vAlign w:val="center"/>
          </w:tcPr>
          <w:p w14:paraId="7909B2A8">
            <w:pPr>
              <w:jc w:val="center"/>
              <w:rPr>
                <w:b/>
                <w:bCs/>
                <w:color w:val="000000"/>
                <w:sz w:val="20"/>
                <w:szCs w:val="20"/>
              </w:rPr>
            </w:pPr>
          </w:p>
        </w:tc>
      </w:tr>
      <w:tr w14:paraId="75FC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22A5DF2A">
            <w:pPr>
              <w:jc w:val="center"/>
              <w:rPr>
                <w:color w:val="000000"/>
                <w:sz w:val="20"/>
                <w:szCs w:val="20"/>
              </w:rPr>
            </w:pPr>
          </w:p>
        </w:tc>
        <w:tc>
          <w:tcPr>
            <w:tcW w:w="2409" w:type="dxa"/>
            <w:noWrap/>
            <w:vAlign w:val="center"/>
          </w:tcPr>
          <w:p w14:paraId="506F1D3B">
            <w:pPr>
              <w:rPr>
                <w:color w:val="000000"/>
                <w:sz w:val="20"/>
                <w:szCs w:val="20"/>
              </w:rPr>
            </w:pPr>
          </w:p>
        </w:tc>
        <w:tc>
          <w:tcPr>
            <w:tcW w:w="1033" w:type="dxa"/>
            <w:vAlign w:val="center"/>
          </w:tcPr>
          <w:p w14:paraId="51C14B81">
            <w:pPr>
              <w:jc w:val="center"/>
              <w:rPr>
                <w:color w:val="000000"/>
                <w:sz w:val="20"/>
                <w:szCs w:val="20"/>
              </w:rPr>
            </w:pPr>
            <w:r>
              <w:rPr>
                <w:color w:val="000000"/>
                <w:sz w:val="20"/>
                <w:szCs w:val="20"/>
              </w:rPr>
              <w:t>CXO04</w:t>
            </w:r>
          </w:p>
        </w:tc>
        <w:tc>
          <w:tcPr>
            <w:tcW w:w="1459" w:type="dxa"/>
            <w:vAlign w:val="center"/>
          </w:tcPr>
          <w:p w14:paraId="7F7A835A">
            <w:pPr>
              <w:jc w:val="center"/>
              <w:rPr>
                <w:color w:val="000000"/>
                <w:sz w:val="20"/>
                <w:szCs w:val="20"/>
              </w:rPr>
            </w:pPr>
            <w:r>
              <w:rPr>
                <w:color w:val="000000"/>
                <w:sz w:val="20"/>
                <w:szCs w:val="20"/>
              </w:rPr>
              <w:t>2.769,70</w:t>
            </w:r>
          </w:p>
        </w:tc>
        <w:tc>
          <w:tcPr>
            <w:tcW w:w="1273" w:type="dxa"/>
            <w:vAlign w:val="center"/>
          </w:tcPr>
          <w:p w14:paraId="1A0E1EB1">
            <w:pPr>
              <w:jc w:val="center"/>
              <w:rPr>
                <w:color w:val="000000"/>
                <w:sz w:val="20"/>
                <w:szCs w:val="20"/>
              </w:rPr>
            </w:pPr>
            <w:r>
              <w:rPr>
                <w:color w:val="000000"/>
                <w:sz w:val="20"/>
                <w:szCs w:val="20"/>
              </w:rPr>
              <w:t>1,40%</w:t>
            </w:r>
          </w:p>
        </w:tc>
        <w:tc>
          <w:tcPr>
            <w:tcW w:w="2047" w:type="dxa"/>
            <w:vAlign w:val="center"/>
          </w:tcPr>
          <w:p w14:paraId="2ABC1DAE">
            <w:pPr>
              <w:jc w:val="center"/>
              <w:rPr>
                <w:color w:val="000000"/>
                <w:sz w:val="20"/>
                <w:szCs w:val="20"/>
              </w:rPr>
            </w:pPr>
          </w:p>
        </w:tc>
        <w:tc>
          <w:tcPr>
            <w:tcW w:w="1276" w:type="dxa"/>
            <w:vAlign w:val="center"/>
          </w:tcPr>
          <w:p w14:paraId="0DCB6A97">
            <w:pPr>
              <w:jc w:val="center"/>
              <w:rPr>
                <w:color w:val="000000"/>
                <w:sz w:val="20"/>
                <w:szCs w:val="20"/>
              </w:rPr>
            </w:pPr>
          </w:p>
        </w:tc>
        <w:tc>
          <w:tcPr>
            <w:tcW w:w="992" w:type="dxa"/>
            <w:vAlign w:val="center"/>
          </w:tcPr>
          <w:p w14:paraId="4FC4D62E">
            <w:pPr>
              <w:jc w:val="center"/>
              <w:rPr>
                <w:color w:val="000000"/>
                <w:sz w:val="20"/>
                <w:szCs w:val="20"/>
              </w:rPr>
            </w:pPr>
            <w:r>
              <w:rPr>
                <w:color w:val="000000"/>
                <w:sz w:val="20"/>
                <w:szCs w:val="20"/>
              </w:rPr>
              <w:t>5</w:t>
            </w:r>
          </w:p>
        </w:tc>
        <w:tc>
          <w:tcPr>
            <w:tcW w:w="992" w:type="dxa"/>
            <w:vAlign w:val="center"/>
          </w:tcPr>
          <w:p w14:paraId="4D598CCF">
            <w:pPr>
              <w:jc w:val="center"/>
              <w:rPr>
                <w:color w:val="000000"/>
                <w:sz w:val="20"/>
                <w:szCs w:val="20"/>
              </w:rPr>
            </w:pPr>
          </w:p>
        </w:tc>
        <w:tc>
          <w:tcPr>
            <w:tcW w:w="1134" w:type="dxa"/>
            <w:vAlign w:val="center"/>
          </w:tcPr>
          <w:p w14:paraId="7F7BC2D4">
            <w:pPr>
              <w:jc w:val="center"/>
              <w:rPr>
                <w:color w:val="000000"/>
                <w:sz w:val="20"/>
                <w:szCs w:val="20"/>
              </w:rPr>
            </w:pPr>
          </w:p>
        </w:tc>
        <w:tc>
          <w:tcPr>
            <w:tcW w:w="993" w:type="dxa"/>
            <w:vAlign w:val="center"/>
          </w:tcPr>
          <w:p w14:paraId="49EE32DB">
            <w:pPr>
              <w:jc w:val="center"/>
              <w:rPr>
                <w:color w:val="000000"/>
                <w:sz w:val="20"/>
                <w:szCs w:val="20"/>
              </w:rPr>
            </w:pPr>
          </w:p>
        </w:tc>
        <w:tc>
          <w:tcPr>
            <w:tcW w:w="992" w:type="dxa"/>
            <w:vAlign w:val="center"/>
          </w:tcPr>
          <w:p w14:paraId="5221CE81">
            <w:pPr>
              <w:jc w:val="center"/>
              <w:rPr>
                <w:b/>
                <w:bCs/>
                <w:color w:val="000000"/>
                <w:sz w:val="20"/>
                <w:szCs w:val="20"/>
              </w:rPr>
            </w:pPr>
          </w:p>
        </w:tc>
      </w:tr>
      <w:tr w14:paraId="409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60BD5A04">
            <w:pPr>
              <w:jc w:val="center"/>
              <w:rPr>
                <w:color w:val="000000"/>
                <w:sz w:val="20"/>
                <w:szCs w:val="20"/>
              </w:rPr>
            </w:pPr>
          </w:p>
        </w:tc>
        <w:tc>
          <w:tcPr>
            <w:tcW w:w="2409" w:type="dxa"/>
            <w:noWrap/>
            <w:vAlign w:val="center"/>
          </w:tcPr>
          <w:p w14:paraId="5B334403">
            <w:pPr>
              <w:rPr>
                <w:color w:val="000000"/>
                <w:sz w:val="20"/>
                <w:szCs w:val="20"/>
              </w:rPr>
            </w:pPr>
          </w:p>
        </w:tc>
        <w:tc>
          <w:tcPr>
            <w:tcW w:w="1033" w:type="dxa"/>
            <w:vAlign w:val="center"/>
          </w:tcPr>
          <w:p w14:paraId="58C50AE5">
            <w:pPr>
              <w:jc w:val="center"/>
              <w:rPr>
                <w:color w:val="000000"/>
                <w:sz w:val="20"/>
                <w:szCs w:val="20"/>
              </w:rPr>
            </w:pPr>
            <w:r>
              <w:rPr>
                <w:color w:val="000000"/>
                <w:sz w:val="20"/>
                <w:szCs w:val="20"/>
              </w:rPr>
              <w:t>CXO05</w:t>
            </w:r>
          </w:p>
        </w:tc>
        <w:tc>
          <w:tcPr>
            <w:tcW w:w="1459" w:type="dxa"/>
            <w:vAlign w:val="center"/>
          </w:tcPr>
          <w:p w14:paraId="1A3FCAEF">
            <w:pPr>
              <w:jc w:val="center"/>
              <w:rPr>
                <w:color w:val="000000"/>
                <w:sz w:val="20"/>
                <w:szCs w:val="20"/>
              </w:rPr>
            </w:pPr>
            <w:r>
              <w:rPr>
                <w:color w:val="000000"/>
                <w:sz w:val="20"/>
                <w:szCs w:val="20"/>
              </w:rPr>
              <w:t>1.245,20</w:t>
            </w:r>
          </w:p>
        </w:tc>
        <w:tc>
          <w:tcPr>
            <w:tcW w:w="1273" w:type="dxa"/>
            <w:vAlign w:val="center"/>
          </w:tcPr>
          <w:p w14:paraId="1C590134">
            <w:pPr>
              <w:jc w:val="center"/>
              <w:rPr>
                <w:color w:val="000000"/>
                <w:sz w:val="20"/>
                <w:szCs w:val="20"/>
              </w:rPr>
            </w:pPr>
            <w:r>
              <w:rPr>
                <w:color w:val="000000"/>
                <w:sz w:val="20"/>
                <w:szCs w:val="20"/>
              </w:rPr>
              <w:t>0,63%</w:t>
            </w:r>
          </w:p>
        </w:tc>
        <w:tc>
          <w:tcPr>
            <w:tcW w:w="2047" w:type="dxa"/>
            <w:vAlign w:val="center"/>
          </w:tcPr>
          <w:p w14:paraId="1D8FDB38">
            <w:pPr>
              <w:jc w:val="center"/>
              <w:rPr>
                <w:color w:val="000000"/>
                <w:sz w:val="20"/>
                <w:szCs w:val="20"/>
              </w:rPr>
            </w:pPr>
          </w:p>
        </w:tc>
        <w:tc>
          <w:tcPr>
            <w:tcW w:w="1276" w:type="dxa"/>
            <w:vAlign w:val="center"/>
          </w:tcPr>
          <w:p w14:paraId="32D9B714">
            <w:pPr>
              <w:jc w:val="center"/>
              <w:rPr>
                <w:color w:val="000000"/>
                <w:sz w:val="20"/>
                <w:szCs w:val="20"/>
              </w:rPr>
            </w:pPr>
          </w:p>
        </w:tc>
        <w:tc>
          <w:tcPr>
            <w:tcW w:w="992" w:type="dxa"/>
            <w:vAlign w:val="center"/>
          </w:tcPr>
          <w:p w14:paraId="65515BE5">
            <w:pPr>
              <w:jc w:val="center"/>
              <w:rPr>
                <w:color w:val="000000"/>
                <w:sz w:val="20"/>
                <w:szCs w:val="20"/>
              </w:rPr>
            </w:pPr>
          </w:p>
        </w:tc>
        <w:tc>
          <w:tcPr>
            <w:tcW w:w="992" w:type="dxa"/>
            <w:vAlign w:val="center"/>
          </w:tcPr>
          <w:p w14:paraId="7D3F5407">
            <w:pPr>
              <w:jc w:val="center"/>
              <w:rPr>
                <w:color w:val="000000"/>
                <w:sz w:val="20"/>
                <w:szCs w:val="20"/>
              </w:rPr>
            </w:pPr>
          </w:p>
        </w:tc>
        <w:tc>
          <w:tcPr>
            <w:tcW w:w="1134" w:type="dxa"/>
            <w:vAlign w:val="center"/>
          </w:tcPr>
          <w:p w14:paraId="018789B5">
            <w:pPr>
              <w:jc w:val="center"/>
              <w:rPr>
                <w:color w:val="000000"/>
                <w:sz w:val="20"/>
                <w:szCs w:val="20"/>
              </w:rPr>
            </w:pPr>
          </w:p>
        </w:tc>
        <w:tc>
          <w:tcPr>
            <w:tcW w:w="993" w:type="dxa"/>
            <w:vAlign w:val="center"/>
          </w:tcPr>
          <w:p w14:paraId="47BA8D4A">
            <w:pPr>
              <w:jc w:val="center"/>
              <w:rPr>
                <w:color w:val="000000"/>
                <w:sz w:val="20"/>
                <w:szCs w:val="20"/>
              </w:rPr>
            </w:pPr>
          </w:p>
        </w:tc>
        <w:tc>
          <w:tcPr>
            <w:tcW w:w="992" w:type="dxa"/>
            <w:vAlign w:val="center"/>
          </w:tcPr>
          <w:p w14:paraId="5ACB33FD">
            <w:pPr>
              <w:jc w:val="center"/>
              <w:rPr>
                <w:b/>
                <w:bCs/>
                <w:color w:val="000000"/>
                <w:sz w:val="20"/>
                <w:szCs w:val="20"/>
              </w:rPr>
            </w:pPr>
          </w:p>
        </w:tc>
      </w:tr>
      <w:tr w14:paraId="452A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60935B5C">
            <w:pPr>
              <w:jc w:val="center"/>
              <w:rPr>
                <w:b/>
                <w:bCs/>
                <w:color w:val="000000"/>
                <w:sz w:val="20"/>
                <w:szCs w:val="20"/>
              </w:rPr>
            </w:pPr>
            <w:r>
              <w:rPr>
                <w:b/>
                <w:bCs/>
                <w:color w:val="000000"/>
                <w:sz w:val="20"/>
                <w:szCs w:val="20"/>
              </w:rPr>
              <w:t>II</w:t>
            </w:r>
          </w:p>
        </w:tc>
        <w:tc>
          <w:tcPr>
            <w:tcW w:w="2409" w:type="dxa"/>
            <w:vAlign w:val="center"/>
          </w:tcPr>
          <w:p w14:paraId="1024C944">
            <w:pPr>
              <w:rPr>
                <w:b/>
                <w:bCs/>
                <w:color w:val="000000"/>
                <w:sz w:val="20"/>
                <w:szCs w:val="20"/>
              </w:rPr>
            </w:pPr>
            <w:r>
              <w:rPr>
                <w:b/>
                <w:bCs/>
                <w:color w:val="000000"/>
                <w:sz w:val="20"/>
                <w:szCs w:val="20"/>
              </w:rPr>
              <w:t>ĐẤT THƯƠNG MẠI DỊCH VỤ</w:t>
            </w:r>
          </w:p>
        </w:tc>
        <w:tc>
          <w:tcPr>
            <w:tcW w:w="1033" w:type="dxa"/>
            <w:vAlign w:val="center"/>
          </w:tcPr>
          <w:p w14:paraId="6E49FE4E">
            <w:pPr>
              <w:jc w:val="center"/>
              <w:rPr>
                <w:b/>
                <w:bCs/>
                <w:color w:val="000000"/>
                <w:sz w:val="20"/>
                <w:szCs w:val="20"/>
              </w:rPr>
            </w:pPr>
            <w:r>
              <w:rPr>
                <w:b/>
                <w:bCs/>
                <w:color w:val="000000"/>
                <w:sz w:val="20"/>
                <w:szCs w:val="20"/>
              </w:rPr>
              <w:t>TMDV</w:t>
            </w:r>
          </w:p>
        </w:tc>
        <w:tc>
          <w:tcPr>
            <w:tcW w:w="1459" w:type="dxa"/>
            <w:vAlign w:val="center"/>
          </w:tcPr>
          <w:p w14:paraId="27ADF6EA">
            <w:pPr>
              <w:jc w:val="center"/>
              <w:rPr>
                <w:b/>
                <w:bCs/>
                <w:color w:val="000000"/>
                <w:sz w:val="20"/>
                <w:szCs w:val="20"/>
              </w:rPr>
            </w:pPr>
            <w:r>
              <w:rPr>
                <w:b/>
                <w:bCs/>
                <w:color w:val="000000"/>
                <w:sz w:val="20"/>
                <w:szCs w:val="20"/>
              </w:rPr>
              <w:t>3.368,20</w:t>
            </w:r>
          </w:p>
        </w:tc>
        <w:tc>
          <w:tcPr>
            <w:tcW w:w="1273" w:type="dxa"/>
            <w:vAlign w:val="center"/>
          </w:tcPr>
          <w:p w14:paraId="57E63D28">
            <w:pPr>
              <w:jc w:val="center"/>
              <w:rPr>
                <w:b/>
                <w:bCs/>
                <w:color w:val="000000"/>
                <w:sz w:val="20"/>
                <w:szCs w:val="20"/>
              </w:rPr>
            </w:pPr>
            <w:r>
              <w:rPr>
                <w:b/>
                <w:bCs/>
                <w:color w:val="000000"/>
                <w:sz w:val="20"/>
                <w:szCs w:val="20"/>
              </w:rPr>
              <w:t>1,70%</w:t>
            </w:r>
          </w:p>
        </w:tc>
        <w:tc>
          <w:tcPr>
            <w:tcW w:w="2047" w:type="dxa"/>
            <w:vAlign w:val="center"/>
          </w:tcPr>
          <w:p w14:paraId="36C512AE">
            <w:pPr>
              <w:jc w:val="center"/>
              <w:rPr>
                <w:b/>
                <w:bCs/>
                <w:color w:val="000000"/>
                <w:sz w:val="20"/>
                <w:szCs w:val="20"/>
              </w:rPr>
            </w:pPr>
            <w:r>
              <w:rPr>
                <w:b/>
                <w:bCs/>
                <w:color w:val="000000"/>
                <w:sz w:val="20"/>
                <w:szCs w:val="20"/>
              </w:rPr>
              <w:t>2.357,7</w:t>
            </w:r>
          </w:p>
        </w:tc>
        <w:tc>
          <w:tcPr>
            <w:tcW w:w="1276" w:type="dxa"/>
            <w:vAlign w:val="center"/>
          </w:tcPr>
          <w:p w14:paraId="416A6D4F">
            <w:pPr>
              <w:jc w:val="center"/>
              <w:rPr>
                <w:b/>
                <w:bCs/>
                <w:color w:val="000000"/>
                <w:sz w:val="20"/>
                <w:szCs w:val="20"/>
              </w:rPr>
            </w:pPr>
          </w:p>
        </w:tc>
        <w:tc>
          <w:tcPr>
            <w:tcW w:w="992" w:type="dxa"/>
            <w:vAlign w:val="center"/>
          </w:tcPr>
          <w:p w14:paraId="2AF05035">
            <w:pPr>
              <w:jc w:val="center"/>
              <w:rPr>
                <w:b/>
                <w:bCs/>
                <w:color w:val="000000"/>
                <w:sz w:val="20"/>
                <w:szCs w:val="20"/>
              </w:rPr>
            </w:pPr>
            <w:r>
              <w:rPr>
                <w:b/>
                <w:bCs/>
                <w:color w:val="000000"/>
                <w:sz w:val="20"/>
                <w:szCs w:val="20"/>
              </w:rPr>
              <w:t>70</w:t>
            </w:r>
          </w:p>
        </w:tc>
        <w:tc>
          <w:tcPr>
            <w:tcW w:w="992" w:type="dxa"/>
            <w:vAlign w:val="center"/>
          </w:tcPr>
          <w:p w14:paraId="6041D94B">
            <w:pPr>
              <w:jc w:val="center"/>
              <w:rPr>
                <w:b/>
                <w:bCs/>
                <w:color w:val="000000"/>
                <w:sz w:val="20"/>
                <w:szCs w:val="20"/>
              </w:rPr>
            </w:pPr>
            <w:r>
              <w:rPr>
                <w:b/>
                <w:bCs/>
                <w:color w:val="000000"/>
                <w:sz w:val="20"/>
                <w:szCs w:val="20"/>
              </w:rPr>
              <w:t>3</w:t>
            </w:r>
          </w:p>
        </w:tc>
        <w:tc>
          <w:tcPr>
            <w:tcW w:w="1134" w:type="dxa"/>
            <w:vAlign w:val="center"/>
          </w:tcPr>
          <w:p w14:paraId="5939FC7E">
            <w:pPr>
              <w:jc w:val="center"/>
              <w:rPr>
                <w:b/>
                <w:bCs/>
                <w:color w:val="000000"/>
                <w:sz w:val="20"/>
                <w:szCs w:val="20"/>
              </w:rPr>
            </w:pPr>
          </w:p>
        </w:tc>
        <w:tc>
          <w:tcPr>
            <w:tcW w:w="993" w:type="dxa"/>
            <w:vAlign w:val="center"/>
          </w:tcPr>
          <w:p w14:paraId="20985D58">
            <w:pPr>
              <w:jc w:val="center"/>
              <w:rPr>
                <w:b/>
                <w:bCs/>
                <w:color w:val="000000"/>
                <w:sz w:val="20"/>
                <w:szCs w:val="20"/>
              </w:rPr>
            </w:pPr>
          </w:p>
        </w:tc>
        <w:tc>
          <w:tcPr>
            <w:tcW w:w="992" w:type="dxa"/>
            <w:vAlign w:val="center"/>
          </w:tcPr>
          <w:p w14:paraId="1041BE35">
            <w:pPr>
              <w:jc w:val="center"/>
              <w:rPr>
                <w:b/>
                <w:bCs/>
                <w:color w:val="000000"/>
                <w:sz w:val="20"/>
                <w:szCs w:val="20"/>
              </w:rPr>
            </w:pPr>
          </w:p>
        </w:tc>
      </w:tr>
      <w:tr w14:paraId="10B5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0FF32479">
            <w:pPr>
              <w:jc w:val="center"/>
              <w:rPr>
                <w:b/>
                <w:bCs/>
                <w:color w:val="000000"/>
                <w:sz w:val="20"/>
                <w:szCs w:val="20"/>
              </w:rPr>
            </w:pPr>
          </w:p>
        </w:tc>
        <w:tc>
          <w:tcPr>
            <w:tcW w:w="2409" w:type="dxa"/>
            <w:vAlign w:val="center"/>
          </w:tcPr>
          <w:p w14:paraId="7DCAE9E1">
            <w:pPr>
              <w:rPr>
                <w:color w:val="000000"/>
                <w:sz w:val="20"/>
                <w:szCs w:val="20"/>
              </w:rPr>
            </w:pPr>
            <w:r>
              <w:rPr>
                <w:color w:val="000000"/>
                <w:sz w:val="20"/>
                <w:szCs w:val="20"/>
              </w:rPr>
              <w:t>Đất TMDV 01</w:t>
            </w:r>
          </w:p>
        </w:tc>
        <w:tc>
          <w:tcPr>
            <w:tcW w:w="1033" w:type="dxa"/>
            <w:vAlign w:val="center"/>
          </w:tcPr>
          <w:p w14:paraId="6C7B5838">
            <w:pPr>
              <w:jc w:val="center"/>
              <w:rPr>
                <w:color w:val="000000"/>
                <w:sz w:val="20"/>
                <w:szCs w:val="20"/>
              </w:rPr>
            </w:pPr>
            <w:r>
              <w:rPr>
                <w:color w:val="000000"/>
                <w:sz w:val="20"/>
                <w:szCs w:val="20"/>
              </w:rPr>
              <w:t>TMDV01</w:t>
            </w:r>
          </w:p>
        </w:tc>
        <w:tc>
          <w:tcPr>
            <w:tcW w:w="1459" w:type="dxa"/>
            <w:vAlign w:val="center"/>
          </w:tcPr>
          <w:p w14:paraId="52F4435F">
            <w:pPr>
              <w:jc w:val="center"/>
              <w:rPr>
                <w:color w:val="000000"/>
                <w:sz w:val="20"/>
                <w:szCs w:val="20"/>
              </w:rPr>
            </w:pPr>
            <w:r>
              <w:rPr>
                <w:color w:val="000000"/>
                <w:sz w:val="20"/>
                <w:szCs w:val="20"/>
              </w:rPr>
              <w:t>2.531,00</w:t>
            </w:r>
          </w:p>
        </w:tc>
        <w:tc>
          <w:tcPr>
            <w:tcW w:w="1273" w:type="dxa"/>
            <w:vAlign w:val="center"/>
          </w:tcPr>
          <w:p w14:paraId="7FC9640E">
            <w:pPr>
              <w:jc w:val="center"/>
              <w:rPr>
                <w:color w:val="000000"/>
                <w:sz w:val="20"/>
                <w:szCs w:val="20"/>
              </w:rPr>
            </w:pPr>
            <w:r>
              <w:rPr>
                <w:color w:val="000000"/>
                <w:sz w:val="20"/>
                <w:szCs w:val="20"/>
              </w:rPr>
              <w:t>1,28%</w:t>
            </w:r>
          </w:p>
        </w:tc>
        <w:tc>
          <w:tcPr>
            <w:tcW w:w="2047" w:type="dxa"/>
            <w:vAlign w:val="center"/>
          </w:tcPr>
          <w:p w14:paraId="6C107767">
            <w:pPr>
              <w:jc w:val="center"/>
              <w:rPr>
                <w:color w:val="000000"/>
                <w:sz w:val="20"/>
                <w:szCs w:val="20"/>
              </w:rPr>
            </w:pPr>
            <w:r>
              <w:rPr>
                <w:color w:val="000000"/>
                <w:sz w:val="20"/>
                <w:szCs w:val="20"/>
              </w:rPr>
              <w:t>1.771,7</w:t>
            </w:r>
          </w:p>
        </w:tc>
        <w:tc>
          <w:tcPr>
            <w:tcW w:w="1276" w:type="dxa"/>
            <w:vAlign w:val="center"/>
          </w:tcPr>
          <w:p w14:paraId="4EC1903F">
            <w:pPr>
              <w:jc w:val="center"/>
              <w:rPr>
                <w:color w:val="000000"/>
                <w:sz w:val="20"/>
                <w:szCs w:val="20"/>
              </w:rPr>
            </w:pPr>
          </w:p>
        </w:tc>
        <w:tc>
          <w:tcPr>
            <w:tcW w:w="992" w:type="dxa"/>
            <w:vAlign w:val="center"/>
          </w:tcPr>
          <w:p w14:paraId="72C79507">
            <w:pPr>
              <w:jc w:val="center"/>
              <w:rPr>
                <w:color w:val="000000"/>
                <w:sz w:val="20"/>
                <w:szCs w:val="20"/>
              </w:rPr>
            </w:pPr>
            <w:r>
              <w:rPr>
                <w:color w:val="000000"/>
                <w:sz w:val="20"/>
                <w:szCs w:val="20"/>
              </w:rPr>
              <w:t>70</w:t>
            </w:r>
          </w:p>
        </w:tc>
        <w:tc>
          <w:tcPr>
            <w:tcW w:w="992" w:type="dxa"/>
            <w:vAlign w:val="center"/>
          </w:tcPr>
          <w:p w14:paraId="6DAD2D12">
            <w:pPr>
              <w:jc w:val="center"/>
              <w:rPr>
                <w:color w:val="000000"/>
                <w:sz w:val="20"/>
                <w:szCs w:val="20"/>
              </w:rPr>
            </w:pPr>
            <w:r>
              <w:rPr>
                <w:color w:val="000000"/>
                <w:sz w:val="20"/>
                <w:szCs w:val="20"/>
              </w:rPr>
              <w:t>3</w:t>
            </w:r>
          </w:p>
        </w:tc>
        <w:tc>
          <w:tcPr>
            <w:tcW w:w="1134" w:type="dxa"/>
            <w:vAlign w:val="center"/>
          </w:tcPr>
          <w:p w14:paraId="27A6EB60">
            <w:pPr>
              <w:jc w:val="center"/>
              <w:rPr>
                <w:color w:val="000000"/>
                <w:sz w:val="20"/>
                <w:szCs w:val="20"/>
              </w:rPr>
            </w:pPr>
          </w:p>
        </w:tc>
        <w:tc>
          <w:tcPr>
            <w:tcW w:w="993" w:type="dxa"/>
            <w:vAlign w:val="center"/>
          </w:tcPr>
          <w:p w14:paraId="49A081A4">
            <w:pPr>
              <w:jc w:val="center"/>
              <w:rPr>
                <w:color w:val="000000"/>
                <w:sz w:val="20"/>
                <w:szCs w:val="20"/>
              </w:rPr>
            </w:pPr>
          </w:p>
        </w:tc>
        <w:tc>
          <w:tcPr>
            <w:tcW w:w="992" w:type="dxa"/>
            <w:vAlign w:val="center"/>
          </w:tcPr>
          <w:p w14:paraId="2D9A3A29">
            <w:pPr>
              <w:jc w:val="center"/>
              <w:rPr>
                <w:b/>
                <w:bCs/>
                <w:color w:val="000000"/>
                <w:sz w:val="20"/>
                <w:szCs w:val="20"/>
              </w:rPr>
            </w:pPr>
          </w:p>
        </w:tc>
      </w:tr>
      <w:tr w14:paraId="4835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00F379D">
            <w:pPr>
              <w:jc w:val="center"/>
              <w:rPr>
                <w:b/>
                <w:bCs/>
                <w:color w:val="000000"/>
                <w:sz w:val="20"/>
                <w:szCs w:val="20"/>
              </w:rPr>
            </w:pPr>
          </w:p>
        </w:tc>
        <w:tc>
          <w:tcPr>
            <w:tcW w:w="2409" w:type="dxa"/>
            <w:vAlign w:val="center"/>
          </w:tcPr>
          <w:p w14:paraId="52D54BB0">
            <w:pPr>
              <w:rPr>
                <w:color w:val="000000"/>
                <w:sz w:val="20"/>
                <w:szCs w:val="20"/>
              </w:rPr>
            </w:pPr>
            <w:r>
              <w:rPr>
                <w:color w:val="000000"/>
                <w:sz w:val="20"/>
                <w:szCs w:val="20"/>
              </w:rPr>
              <w:t>Đất TMDV 02</w:t>
            </w:r>
          </w:p>
        </w:tc>
        <w:tc>
          <w:tcPr>
            <w:tcW w:w="1033" w:type="dxa"/>
            <w:vAlign w:val="center"/>
          </w:tcPr>
          <w:p w14:paraId="5BC58DFB">
            <w:pPr>
              <w:jc w:val="center"/>
              <w:rPr>
                <w:color w:val="000000"/>
                <w:sz w:val="20"/>
                <w:szCs w:val="20"/>
              </w:rPr>
            </w:pPr>
            <w:r>
              <w:rPr>
                <w:color w:val="000000"/>
                <w:sz w:val="20"/>
                <w:szCs w:val="20"/>
              </w:rPr>
              <w:t>TMDV02</w:t>
            </w:r>
          </w:p>
        </w:tc>
        <w:tc>
          <w:tcPr>
            <w:tcW w:w="1459" w:type="dxa"/>
            <w:vAlign w:val="center"/>
          </w:tcPr>
          <w:p w14:paraId="44E4B75E">
            <w:pPr>
              <w:jc w:val="center"/>
              <w:rPr>
                <w:color w:val="000000"/>
                <w:sz w:val="20"/>
                <w:szCs w:val="20"/>
              </w:rPr>
            </w:pPr>
            <w:r>
              <w:rPr>
                <w:color w:val="000000"/>
                <w:sz w:val="20"/>
                <w:szCs w:val="20"/>
              </w:rPr>
              <w:t>837,20</w:t>
            </w:r>
          </w:p>
        </w:tc>
        <w:tc>
          <w:tcPr>
            <w:tcW w:w="1273" w:type="dxa"/>
            <w:vAlign w:val="center"/>
          </w:tcPr>
          <w:p w14:paraId="155B5B2E">
            <w:pPr>
              <w:jc w:val="center"/>
              <w:rPr>
                <w:color w:val="000000"/>
                <w:sz w:val="20"/>
                <w:szCs w:val="20"/>
              </w:rPr>
            </w:pPr>
            <w:r>
              <w:rPr>
                <w:color w:val="000000"/>
                <w:sz w:val="20"/>
                <w:szCs w:val="20"/>
              </w:rPr>
              <w:t>0,42%</w:t>
            </w:r>
          </w:p>
        </w:tc>
        <w:tc>
          <w:tcPr>
            <w:tcW w:w="2047" w:type="dxa"/>
            <w:vAlign w:val="center"/>
          </w:tcPr>
          <w:p w14:paraId="6CC5B8DE">
            <w:pPr>
              <w:jc w:val="center"/>
              <w:rPr>
                <w:color w:val="000000"/>
                <w:sz w:val="20"/>
                <w:szCs w:val="20"/>
              </w:rPr>
            </w:pPr>
            <w:r>
              <w:rPr>
                <w:color w:val="000000"/>
                <w:sz w:val="20"/>
                <w:szCs w:val="20"/>
              </w:rPr>
              <w:t>586,0</w:t>
            </w:r>
          </w:p>
        </w:tc>
        <w:tc>
          <w:tcPr>
            <w:tcW w:w="1276" w:type="dxa"/>
            <w:vAlign w:val="center"/>
          </w:tcPr>
          <w:p w14:paraId="78520F96">
            <w:pPr>
              <w:jc w:val="center"/>
              <w:rPr>
                <w:color w:val="000000"/>
                <w:sz w:val="20"/>
                <w:szCs w:val="20"/>
              </w:rPr>
            </w:pPr>
          </w:p>
        </w:tc>
        <w:tc>
          <w:tcPr>
            <w:tcW w:w="992" w:type="dxa"/>
            <w:vAlign w:val="center"/>
          </w:tcPr>
          <w:p w14:paraId="7F2CDFE7">
            <w:pPr>
              <w:jc w:val="center"/>
              <w:rPr>
                <w:color w:val="000000"/>
                <w:sz w:val="20"/>
                <w:szCs w:val="20"/>
              </w:rPr>
            </w:pPr>
            <w:r>
              <w:rPr>
                <w:color w:val="000000"/>
                <w:sz w:val="20"/>
                <w:szCs w:val="20"/>
              </w:rPr>
              <w:t>70</w:t>
            </w:r>
          </w:p>
        </w:tc>
        <w:tc>
          <w:tcPr>
            <w:tcW w:w="992" w:type="dxa"/>
            <w:vAlign w:val="center"/>
          </w:tcPr>
          <w:p w14:paraId="7796AF34">
            <w:pPr>
              <w:jc w:val="center"/>
              <w:rPr>
                <w:color w:val="000000"/>
                <w:sz w:val="20"/>
                <w:szCs w:val="20"/>
              </w:rPr>
            </w:pPr>
            <w:r>
              <w:rPr>
                <w:color w:val="000000"/>
                <w:sz w:val="20"/>
                <w:szCs w:val="20"/>
              </w:rPr>
              <w:t>3</w:t>
            </w:r>
          </w:p>
        </w:tc>
        <w:tc>
          <w:tcPr>
            <w:tcW w:w="1134" w:type="dxa"/>
            <w:vAlign w:val="center"/>
          </w:tcPr>
          <w:p w14:paraId="6ACC5BB1">
            <w:pPr>
              <w:jc w:val="center"/>
              <w:rPr>
                <w:color w:val="000000"/>
                <w:sz w:val="20"/>
                <w:szCs w:val="20"/>
              </w:rPr>
            </w:pPr>
          </w:p>
        </w:tc>
        <w:tc>
          <w:tcPr>
            <w:tcW w:w="993" w:type="dxa"/>
            <w:vAlign w:val="center"/>
          </w:tcPr>
          <w:p w14:paraId="3CE6949B">
            <w:pPr>
              <w:jc w:val="center"/>
              <w:rPr>
                <w:color w:val="000000"/>
                <w:sz w:val="20"/>
                <w:szCs w:val="20"/>
              </w:rPr>
            </w:pPr>
          </w:p>
        </w:tc>
        <w:tc>
          <w:tcPr>
            <w:tcW w:w="992" w:type="dxa"/>
            <w:vAlign w:val="center"/>
          </w:tcPr>
          <w:p w14:paraId="74DFC929">
            <w:pPr>
              <w:jc w:val="center"/>
              <w:rPr>
                <w:b/>
                <w:bCs/>
                <w:color w:val="000000"/>
                <w:sz w:val="20"/>
                <w:szCs w:val="20"/>
              </w:rPr>
            </w:pPr>
          </w:p>
        </w:tc>
      </w:tr>
      <w:tr w14:paraId="393A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378096BA">
            <w:pPr>
              <w:jc w:val="center"/>
              <w:rPr>
                <w:b/>
                <w:bCs/>
                <w:color w:val="000000"/>
                <w:sz w:val="20"/>
                <w:szCs w:val="20"/>
              </w:rPr>
            </w:pPr>
            <w:r>
              <w:rPr>
                <w:b/>
                <w:bCs/>
                <w:color w:val="000000"/>
                <w:sz w:val="20"/>
                <w:szCs w:val="20"/>
              </w:rPr>
              <w:t>III</w:t>
            </w:r>
          </w:p>
        </w:tc>
        <w:tc>
          <w:tcPr>
            <w:tcW w:w="2409" w:type="dxa"/>
            <w:vAlign w:val="center"/>
          </w:tcPr>
          <w:p w14:paraId="5B233B87">
            <w:pPr>
              <w:rPr>
                <w:b/>
                <w:bCs/>
                <w:color w:val="000000"/>
                <w:sz w:val="20"/>
                <w:szCs w:val="20"/>
              </w:rPr>
            </w:pPr>
            <w:r>
              <w:rPr>
                <w:b/>
                <w:bCs/>
                <w:color w:val="000000"/>
                <w:sz w:val="20"/>
                <w:szCs w:val="20"/>
              </w:rPr>
              <w:t>ĐẤT TRUNG TÂM THỂ DỤC THỂ THAO</w:t>
            </w:r>
          </w:p>
        </w:tc>
        <w:tc>
          <w:tcPr>
            <w:tcW w:w="1033" w:type="dxa"/>
            <w:vAlign w:val="center"/>
          </w:tcPr>
          <w:p w14:paraId="71AFA1B3">
            <w:pPr>
              <w:jc w:val="center"/>
              <w:rPr>
                <w:b/>
                <w:bCs/>
                <w:color w:val="000000"/>
                <w:sz w:val="20"/>
                <w:szCs w:val="20"/>
              </w:rPr>
            </w:pPr>
            <w:r>
              <w:rPr>
                <w:b/>
                <w:bCs/>
                <w:color w:val="000000"/>
                <w:sz w:val="20"/>
                <w:szCs w:val="20"/>
              </w:rPr>
              <w:t>CX</w:t>
            </w:r>
          </w:p>
        </w:tc>
        <w:tc>
          <w:tcPr>
            <w:tcW w:w="1459" w:type="dxa"/>
            <w:vAlign w:val="center"/>
          </w:tcPr>
          <w:p w14:paraId="79DB534C">
            <w:pPr>
              <w:jc w:val="center"/>
              <w:rPr>
                <w:b/>
                <w:bCs/>
                <w:color w:val="000000"/>
                <w:sz w:val="20"/>
                <w:szCs w:val="20"/>
              </w:rPr>
            </w:pPr>
            <w:r>
              <w:rPr>
                <w:b/>
                <w:bCs/>
                <w:color w:val="000000"/>
                <w:sz w:val="20"/>
                <w:szCs w:val="20"/>
              </w:rPr>
              <w:t>27.008,60</w:t>
            </w:r>
          </w:p>
        </w:tc>
        <w:tc>
          <w:tcPr>
            <w:tcW w:w="1273" w:type="dxa"/>
            <w:vAlign w:val="center"/>
          </w:tcPr>
          <w:p w14:paraId="6E1793CD">
            <w:pPr>
              <w:jc w:val="center"/>
              <w:rPr>
                <w:b/>
                <w:bCs/>
                <w:color w:val="000000"/>
                <w:sz w:val="20"/>
                <w:szCs w:val="20"/>
              </w:rPr>
            </w:pPr>
            <w:r>
              <w:rPr>
                <w:b/>
                <w:bCs/>
                <w:color w:val="000000"/>
                <w:sz w:val="20"/>
                <w:szCs w:val="20"/>
              </w:rPr>
              <w:t>13,63%</w:t>
            </w:r>
          </w:p>
        </w:tc>
        <w:tc>
          <w:tcPr>
            <w:tcW w:w="2047" w:type="dxa"/>
            <w:vAlign w:val="center"/>
          </w:tcPr>
          <w:p w14:paraId="198E0FCB">
            <w:pPr>
              <w:jc w:val="center"/>
              <w:rPr>
                <w:b/>
                <w:bCs/>
                <w:color w:val="000000"/>
                <w:sz w:val="20"/>
                <w:szCs w:val="20"/>
              </w:rPr>
            </w:pPr>
            <w:r>
              <w:rPr>
                <w:b/>
                <w:bCs/>
                <w:color w:val="000000"/>
                <w:sz w:val="20"/>
                <w:szCs w:val="20"/>
              </w:rPr>
              <w:t>6.752,2</w:t>
            </w:r>
          </w:p>
        </w:tc>
        <w:tc>
          <w:tcPr>
            <w:tcW w:w="1276" w:type="dxa"/>
            <w:vAlign w:val="center"/>
          </w:tcPr>
          <w:p w14:paraId="7A009D02">
            <w:pPr>
              <w:jc w:val="center"/>
              <w:rPr>
                <w:b/>
                <w:bCs/>
                <w:color w:val="000000"/>
                <w:sz w:val="20"/>
                <w:szCs w:val="20"/>
              </w:rPr>
            </w:pPr>
          </w:p>
        </w:tc>
        <w:tc>
          <w:tcPr>
            <w:tcW w:w="992" w:type="dxa"/>
            <w:vAlign w:val="center"/>
          </w:tcPr>
          <w:p w14:paraId="049453C3">
            <w:pPr>
              <w:jc w:val="center"/>
              <w:rPr>
                <w:b/>
                <w:bCs/>
                <w:color w:val="000000"/>
                <w:sz w:val="20"/>
                <w:szCs w:val="20"/>
              </w:rPr>
            </w:pPr>
            <w:r>
              <w:rPr>
                <w:b/>
                <w:bCs/>
                <w:color w:val="000000"/>
                <w:sz w:val="20"/>
                <w:szCs w:val="20"/>
              </w:rPr>
              <w:t>25</w:t>
            </w:r>
          </w:p>
        </w:tc>
        <w:tc>
          <w:tcPr>
            <w:tcW w:w="992" w:type="dxa"/>
            <w:vAlign w:val="center"/>
          </w:tcPr>
          <w:p w14:paraId="495E0108">
            <w:pPr>
              <w:jc w:val="center"/>
              <w:rPr>
                <w:b/>
                <w:bCs/>
                <w:color w:val="000000"/>
                <w:sz w:val="20"/>
                <w:szCs w:val="20"/>
              </w:rPr>
            </w:pPr>
            <w:r>
              <w:rPr>
                <w:b/>
                <w:bCs/>
                <w:color w:val="000000"/>
                <w:sz w:val="20"/>
                <w:szCs w:val="20"/>
              </w:rPr>
              <w:t>2</w:t>
            </w:r>
          </w:p>
        </w:tc>
        <w:tc>
          <w:tcPr>
            <w:tcW w:w="1134" w:type="dxa"/>
            <w:vAlign w:val="center"/>
          </w:tcPr>
          <w:p w14:paraId="365A7BA7">
            <w:pPr>
              <w:jc w:val="center"/>
              <w:rPr>
                <w:b/>
                <w:bCs/>
                <w:color w:val="000000"/>
                <w:sz w:val="20"/>
                <w:szCs w:val="20"/>
              </w:rPr>
            </w:pPr>
          </w:p>
        </w:tc>
        <w:tc>
          <w:tcPr>
            <w:tcW w:w="993" w:type="dxa"/>
            <w:vAlign w:val="center"/>
          </w:tcPr>
          <w:p w14:paraId="48469726">
            <w:pPr>
              <w:jc w:val="center"/>
              <w:rPr>
                <w:b/>
                <w:bCs/>
                <w:color w:val="000000"/>
                <w:sz w:val="20"/>
                <w:szCs w:val="20"/>
              </w:rPr>
            </w:pPr>
          </w:p>
        </w:tc>
        <w:tc>
          <w:tcPr>
            <w:tcW w:w="992" w:type="dxa"/>
            <w:vAlign w:val="center"/>
          </w:tcPr>
          <w:p w14:paraId="572172B5">
            <w:pPr>
              <w:jc w:val="center"/>
              <w:rPr>
                <w:b/>
                <w:bCs/>
                <w:color w:val="000000"/>
                <w:sz w:val="20"/>
                <w:szCs w:val="20"/>
              </w:rPr>
            </w:pPr>
          </w:p>
        </w:tc>
      </w:tr>
      <w:tr w14:paraId="2939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0398DD3">
            <w:pPr>
              <w:jc w:val="center"/>
              <w:rPr>
                <w:b/>
                <w:bCs/>
                <w:color w:val="000000"/>
                <w:sz w:val="20"/>
                <w:szCs w:val="20"/>
              </w:rPr>
            </w:pPr>
            <w:r>
              <w:rPr>
                <w:b/>
                <w:bCs/>
                <w:color w:val="000000"/>
                <w:sz w:val="20"/>
                <w:szCs w:val="20"/>
              </w:rPr>
              <w:t>IV</w:t>
            </w:r>
          </w:p>
        </w:tc>
        <w:tc>
          <w:tcPr>
            <w:tcW w:w="2409" w:type="dxa"/>
            <w:vAlign w:val="center"/>
          </w:tcPr>
          <w:p w14:paraId="0B029579">
            <w:pPr>
              <w:rPr>
                <w:b/>
                <w:bCs/>
                <w:color w:val="000000"/>
                <w:sz w:val="20"/>
                <w:szCs w:val="20"/>
              </w:rPr>
            </w:pPr>
            <w:r>
              <w:rPr>
                <w:b/>
                <w:bCs/>
                <w:color w:val="000000"/>
                <w:sz w:val="20"/>
                <w:szCs w:val="20"/>
              </w:rPr>
              <w:t>ĐẤT HẠ TẦNG KỸ THUẬT/BÃI ĐỖ XE</w:t>
            </w:r>
          </w:p>
        </w:tc>
        <w:tc>
          <w:tcPr>
            <w:tcW w:w="1033" w:type="dxa"/>
            <w:vAlign w:val="center"/>
          </w:tcPr>
          <w:p w14:paraId="7D2CF0CF">
            <w:pPr>
              <w:jc w:val="center"/>
              <w:rPr>
                <w:b/>
                <w:bCs/>
                <w:color w:val="000000"/>
                <w:sz w:val="20"/>
                <w:szCs w:val="20"/>
              </w:rPr>
            </w:pPr>
            <w:r>
              <w:rPr>
                <w:b/>
                <w:bCs/>
                <w:color w:val="000000"/>
                <w:sz w:val="20"/>
                <w:szCs w:val="20"/>
              </w:rPr>
              <w:t>HTKT</w:t>
            </w:r>
          </w:p>
        </w:tc>
        <w:tc>
          <w:tcPr>
            <w:tcW w:w="1459" w:type="dxa"/>
            <w:vAlign w:val="center"/>
          </w:tcPr>
          <w:p w14:paraId="401F3BB2">
            <w:pPr>
              <w:jc w:val="center"/>
              <w:rPr>
                <w:b/>
                <w:bCs/>
                <w:color w:val="000000"/>
                <w:sz w:val="20"/>
                <w:szCs w:val="20"/>
              </w:rPr>
            </w:pPr>
            <w:r>
              <w:rPr>
                <w:b/>
                <w:bCs/>
                <w:color w:val="000000"/>
                <w:sz w:val="20"/>
                <w:szCs w:val="20"/>
              </w:rPr>
              <w:t>3.826,70</w:t>
            </w:r>
          </w:p>
        </w:tc>
        <w:tc>
          <w:tcPr>
            <w:tcW w:w="1273" w:type="dxa"/>
            <w:vAlign w:val="center"/>
          </w:tcPr>
          <w:p w14:paraId="0941F74E">
            <w:pPr>
              <w:jc w:val="center"/>
              <w:rPr>
                <w:b/>
                <w:bCs/>
                <w:color w:val="000000"/>
                <w:sz w:val="20"/>
                <w:szCs w:val="20"/>
              </w:rPr>
            </w:pPr>
            <w:r>
              <w:rPr>
                <w:b/>
                <w:bCs/>
                <w:color w:val="000000"/>
                <w:sz w:val="20"/>
                <w:szCs w:val="20"/>
              </w:rPr>
              <w:t>1,93%</w:t>
            </w:r>
          </w:p>
        </w:tc>
        <w:tc>
          <w:tcPr>
            <w:tcW w:w="2047" w:type="dxa"/>
            <w:vAlign w:val="center"/>
          </w:tcPr>
          <w:p w14:paraId="42B9246E">
            <w:pPr>
              <w:jc w:val="center"/>
              <w:rPr>
                <w:b/>
                <w:bCs/>
                <w:color w:val="000000"/>
                <w:sz w:val="20"/>
                <w:szCs w:val="20"/>
              </w:rPr>
            </w:pPr>
            <w:r>
              <w:rPr>
                <w:b/>
                <w:bCs/>
                <w:color w:val="000000"/>
                <w:sz w:val="20"/>
                <w:szCs w:val="20"/>
              </w:rPr>
              <w:t>42,7</w:t>
            </w:r>
          </w:p>
        </w:tc>
        <w:tc>
          <w:tcPr>
            <w:tcW w:w="1276" w:type="dxa"/>
            <w:vAlign w:val="center"/>
          </w:tcPr>
          <w:p w14:paraId="53B77989">
            <w:pPr>
              <w:jc w:val="center"/>
              <w:rPr>
                <w:b/>
                <w:bCs/>
                <w:color w:val="000000"/>
                <w:sz w:val="20"/>
                <w:szCs w:val="20"/>
              </w:rPr>
            </w:pPr>
          </w:p>
        </w:tc>
        <w:tc>
          <w:tcPr>
            <w:tcW w:w="992" w:type="dxa"/>
            <w:vAlign w:val="center"/>
          </w:tcPr>
          <w:p w14:paraId="40BE53FD">
            <w:pPr>
              <w:jc w:val="center"/>
              <w:rPr>
                <w:b/>
                <w:bCs/>
                <w:color w:val="000000"/>
                <w:sz w:val="20"/>
                <w:szCs w:val="20"/>
              </w:rPr>
            </w:pPr>
            <w:r>
              <w:rPr>
                <w:b/>
                <w:bCs/>
                <w:color w:val="000000"/>
                <w:sz w:val="20"/>
                <w:szCs w:val="20"/>
              </w:rPr>
              <w:t>5</w:t>
            </w:r>
          </w:p>
        </w:tc>
        <w:tc>
          <w:tcPr>
            <w:tcW w:w="992" w:type="dxa"/>
            <w:vAlign w:val="center"/>
          </w:tcPr>
          <w:p w14:paraId="60A8D4DE">
            <w:pPr>
              <w:jc w:val="center"/>
              <w:rPr>
                <w:b/>
                <w:bCs/>
                <w:color w:val="000000"/>
                <w:sz w:val="20"/>
                <w:szCs w:val="20"/>
              </w:rPr>
            </w:pPr>
            <w:r>
              <w:rPr>
                <w:b/>
                <w:bCs/>
                <w:color w:val="000000"/>
                <w:sz w:val="20"/>
                <w:szCs w:val="20"/>
              </w:rPr>
              <w:t>1</w:t>
            </w:r>
          </w:p>
        </w:tc>
        <w:tc>
          <w:tcPr>
            <w:tcW w:w="1134" w:type="dxa"/>
            <w:vAlign w:val="center"/>
          </w:tcPr>
          <w:p w14:paraId="47FB3F2F">
            <w:pPr>
              <w:jc w:val="center"/>
              <w:rPr>
                <w:b/>
                <w:bCs/>
                <w:color w:val="000000"/>
                <w:sz w:val="20"/>
                <w:szCs w:val="20"/>
              </w:rPr>
            </w:pPr>
          </w:p>
        </w:tc>
        <w:tc>
          <w:tcPr>
            <w:tcW w:w="993" w:type="dxa"/>
            <w:vAlign w:val="center"/>
          </w:tcPr>
          <w:p w14:paraId="0CB3D58E">
            <w:pPr>
              <w:jc w:val="center"/>
              <w:rPr>
                <w:b/>
                <w:bCs/>
                <w:color w:val="000000"/>
                <w:sz w:val="20"/>
                <w:szCs w:val="20"/>
              </w:rPr>
            </w:pPr>
          </w:p>
        </w:tc>
        <w:tc>
          <w:tcPr>
            <w:tcW w:w="992" w:type="dxa"/>
            <w:vAlign w:val="center"/>
          </w:tcPr>
          <w:p w14:paraId="6A145624">
            <w:pPr>
              <w:jc w:val="center"/>
              <w:rPr>
                <w:b/>
                <w:bCs/>
                <w:color w:val="000000"/>
                <w:sz w:val="20"/>
                <w:szCs w:val="20"/>
              </w:rPr>
            </w:pPr>
          </w:p>
        </w:tc>
      </w:tr>
      <w:tr w14:paraId="111A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FFDF814">
            <w:pPr>
              <w:jc w:val="center"/>
              <w:rPr>
                <w:b/>
                <w:bCs/>
                <w:color w:val="000000"/>
                <w:sz w:val="20"/>
                <w:szCs w:val="20"/>
              </w:rPr>
            </w:pPr>
          </w:p>
        </w:tc>
        <w:tc>
          <w:tcPr>
            <w:tcW w:w="2409" w:type="dxa"/>
            <w:vAlign w:val="center"/>
          </w:tcPr>
          <w:p w14:paraId="6D22C7E4">
            <w:pPr>
              <w:rPr>
                <w:color w:val="000000"/>
                <w:sz w:val="20"/>
                <w:szCs w:val="20"/>
              </w:rPr>
            </w:pPr>
            <w:r>
              <w:rPr>
                <w:color w:val="000000"/>
                <w:sz w:val="20"/>
                <w:szCs w:val="20"/>
              </w:rPr>
              <w:t>Đất hạ tầng kỹ thuật/Bãi đỗ xe 01</w:t>
            </w:r>
          </w:p>
        </w:tc>
        <w:tc>
          <w:tcPr>
            <w:tcW w:w="1033" w:type="dxa"/>
            <w:vAlign w:val="center"/>
          </w:tcPr>
          <w:p w14:paraId="6A5B719B">
            <w:pPr>
              <w:jc w:val="center"/>
              <w:rPr>
                <w:color w:val="000000"/>
                <w:sz w:val="20"/>
                <w:szCs w:val="20"/>
              </w:rPr>
            </w:pPr>
            <w:r>
              <w:rPr>
                <w:color w:val="000000"/>
                <w:sz w:val="20"/>
                <w:szCs w:val="20"/>
              </w:rPr>
              <w:t>HTKT01</w:t>
            </w:r>
          </w:p>
        </w:tc>
        <w:tc>
          <w:tcPr>
            <w:tcW w:w="1459" w:type="dxa"/>
            <w:vAlign w:val="center"/>
          </w:tcPr>
          <w:p w14:paraId="51224A35">
            <w:pPr>
              <w:jc w:val="center"/>
              <w:rPr>
                <w:color w:val="000000"/>
                <w:sz w:val="20"/>
                <w:szCs w:val="20"/>
              </w:rPr>
            </w:pPr>
            <w:r>
              <w:rPr>
                <w:color w:val="000000"/>
                <w:sz w:val="20"/>
                <w:szCs w:val="20"/>
              </w:rPr>
              <w:t>737,40</w:t>
            </w:r>
          </w:p>
        </w:tc>
        <w:tc>
          <w:tcPr>
            <w:tcW w:w="1273" w:type="dxa"/>
            <w:vAlign w:val="center"/>
          </w:tcPr>
          <w:p w14:paraId="2B85B99C">
            <w:pPr>
              <w:jc w:val="center"/>
              <w:rPr>
                <w:color w:val="000000"/>
                <w:sz w:val="20"/>
                <w:szCs w:val="20"/>
              </w:rPr>
            </w:pPr>
            <w:r>
              <w:rPr>
                <w:color w:val="000000"/>
                <w:sz w:val="20"/>
                <w:szCs w:val="20"/>
              </w:rPr>
              <w:t>0,37%</w:t>
            </w:r>
          </w:p>
        </w:tc>
        <w:tc>
          <w:tcPr>
            <w:tcW w:w="2047" w:type="dxa"/>
            <w:vAlign w:val="center"/>
          </w:tcPr>
          <w:p w14:paraId="442E4DCB">
            <w:pPr>
              <w:jc w:val="center"/>
              <w:rPr>
                <w:color w:val="000000"/>
                <w:sz w:val="20"/>
                <w:szCs w:val="20"/>
              </w:rPr>
            </w:pPr>
          </w:p>
        </w:tc>
        <w:tc>
          <w:tcPr>
            <w:tcW w:w="1276" w:type="dxa"/>
            <w:vAlign w:val="center"/>
          </w:tcPr>
          <w:p w14:paraId="3F6B4075">
            <w:pPr>
              <w:jc w:val="center"/>
              <w:rPr>
                <w:color w:val="000000"/>
                <w:sz w:val="20"/>
                <w:szCs w:val="20"/>
              </w:rPr>
            </w:pPr>
          </w:p>
        </w:tc>
        <w:tc>
          <w:tcPr>
            <w:tcW w:w="992" w:type="dxa"/>
            <w:vAlign w:val="center"/>
          </w:tcPr>
          <w:p w14:paraId="1094AEEF">
            <w:pPr>
              <w:jc w:val="center"/>
              <w:rPr>
                <w:color w:val="000000"/>
                <w:sz w:val="20"/>
                <w:szCs w:val="20"/>
              </w:rPr>
            </w:pPr>
          </w:p>
        </w:tc>
        <w:tc>
          <w:tcPr>
            <w:tcW w:w="992" w:type="dxa"/>
            <w:vAlign w:val="center"/>
          </w:tcPr>
          <w:p w14:paraId="3307C5EA">
            <w:pPr>
              <w:jc w:val="center"/>
              <w:rPr>
                <w:color w:val="000000"/>
                <w:sz w:val="20"/>
                <w:szCs w:val="20"/>
              </w:rPr>
            </w:pPr>
          </w:p>
        </w:tc>
        <w:tc>
          <w:tcPr>
            <w:tcW w:w="1134" w:type="dxa"/>
            <w:vAlign w:val="center"/>
          </w:tcPr>
          <w:p w14:paraId="4C407999">
            <w:pPr>
              <w:jc w:val="center"/>
              <w:rPr>
                <w:color w:val="000000"/>
                <w:sz w:val="20"/>
                <w:szCs w:val="20"/>
              </w:rPr>
            </w:pPr>
          </w:p>
        </w:tc>
        <w:tc>
          <w:tcPr>
            <w:tcW w:w="993" w:type="dxa"/>
            <w:vAlign w:val="center"/>
          </w:tcPr>
          <w:p w14:paraId="6085C962">
            <w:pPr>
              <w:jc w:val="center"/>
              <w:rPr>
                <w:color w:val="000000"/>
                <w:sz w:val="20"/>
                <w:szCs w:val="20"/>
              </w:rPr>
            </w:pPr>
          </w:p>
        </w:tc>
        <w:tc>
          <w:tcPr>
            <w:tcW w:w="992" w:type="dxa"/>
            <w:vAlign w:val="center"/>
          </w:tcPr>
          <w:p w14:paraId="078B9689">
            <w:pPr>
              <w:jc w:val="center"/>
              <w:rPr>
                <w:b/>
                <w:bCs/>
                <w:color w:val="000000"/>
                <w:sz w:val="20"/>
                <w:szCs w:val="20"/>
              </w:rPr>
            </w:pPr>
          </w:p>
        </w:tc>
      </w:tr>
      <w:tr w14:paraId="1619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4B947CCA">
            <w:pPr>
              <w:jc w:val="center"/>
              <w:rPr>
                <w:b/>
                <w:bCs/>
                <w:color w:val="000000"/>
                <w:sz w:val="20"/>
                <w:szCs w:val="20"/>
              </w:rPr>
            </w:pPr>
          </w:p>
        </w:tc>
        <w:tc>
          <w:tcPr>
            <w:tcW w:w="2409" w:type="dxa"/>
            <w:vAlign w:val="center"/>
          </w:tcPr>
          <w:p w14:paraId="1A8421B5">
            <w:pPr>
              <w:rPr>
                <w:color w:val="000000"/>
                <w:sz w:val="20"/>
                <w:szCs w:val="20"/>
              </w:rPr>
            </w:pPr>
            <w:r>
              <w:rPr>
                <w:color w:val="000000"/>
                <w:sz w:val="20"/>
                <w:szCs w:val="20"/>
              </w:rPr>
              <w:t>Đất hạ tầng kỹ thuật/Bãi đỗ xe 02</w:t>
            </w:r>
          </w:p>
        </w:tc>
        <w:tc>
          <w:tcPr>
            <w:tcW w:w="1033" w:type="dxa"/>
            <w:vAlign w:val="center"/>
          </w:tcPr>
          <w:p w14:paraId="5A0DEBCD">
            <w:pPr>
              <w:jc w:val="center"/>
              <w:rPr>
                <w:color w:val="000000"/>
                <w:sz w:val="20"/>
                <w:szCs w:val="20"/>
              </w:rPr>
            </w:pPr>
            <w:r>
              <w:rPr>
                <w:color w:val="000000"/>
                <w:sz w:val="20"/>
                <w:szCs w:val="20"/>
              </w:rPr>
              <w:t>HTKT02</w:t>
            </w:r>
          </w:p>
        </w:tc>
        <w:tc>
          <w:tcPr>
            <w:tcW w:w="1459" w:type="dxa"/>
            <w:vAlign w:val="center"/>
          </w:tcPr>
          <w:p w14:paraId="631C0983">
            <w:pPr>
              <w:jc w:val="center"/>
              <w:rPr>
                <w:color w:val="000000"/>
                <w:sz w:val="20"/>
                <w:szCs w:val="20"/>
              </w:rPr>
            </w:pPr>
            <w:r>
              <w:rPr>
                <w:color w:val="000000"/>
                <w:sz w:val="20"/>
                <w:szCs w:val="20"/>
              </w:rPr>
              <w:t>2.236,20</w:t>
            </w:r>
          </w:p>
        </w:tc>
        <w:tc>
          <w:tcPr>
            <w:tcW w:w="1273" w:type="dxa"/>
            <w:vAlign w:val="center"/>
          </w:tcPr>
          <w:p w14:paraId="45A5D1F6">
            <w:pPr>
              <w:jc w:val="center"/>
              <w:rPr>
                <w:color w:val="000000"/>
                <w:sz w:val="20"/>
                <w:szCs w:val="20"/>
              </w:rPr>
            </w:pPr>
            <w:r>
              <w:rPr>
                <w:color w:val="000000"/>
                <w:sz w:val="20"/>
                <w:szCs w:val="20"/>
              </w:rPr>
              <w:t>1,13%</w:t>
            </w:r>
          </w:p>
        </w:tc>
        <w:tc>
          <w:tcPr>
            <w:tcW w:w="2047" w:type="dxa"/>
            <w:vAlign w:val="center"/>
          </w:tcPr>
          <w:p w14:paraId="0574AF60">
            <w:pPr>
              <w:jc w:val="center"/>
              <w:rPr>
                <w:color w:val="000000"/>
                <w:sz w:val="20"/>
                <w:szCs w:val="20"/>
              </w:rPr>
            </w:pPr>
          </w:p>
        </w:tc>
        <w:tc>
          <w:tcPr>
            <w:tcW w:w="1276" w:type="dxa"/>
            <w:vAlign w:val="center"/>
          </w:tcPr>
          <w:p w14:paraId="6878A3A7">
            <w:pPr>
              <w:jc w:val="center"/>
              <w:rPr>
                <w:color w:val="000000"/>
                <w:sz w:val="20"/>
                <w:szCs w:val="20"/>
              </w:rPr>
            </w:pPr>
          </w:p>
        </w:tc>
        <w:tc>
          <w:tcPr>
            <w:tcW w:w="992" w:type="dxa"/>
            <w:vAlign w:val="center"/>
          </w:tcPr>
          <w:p w14:paraId="772B3D31">
            <w:pPr>
              <w:jc w:val="center"/>
              <w:rPr>
                <w:color w:val="000000"/>
                <w:sz w:val="20"/>
                <w:szCs w:val="20"/>
              </w:rPr>
            </w:pPr>
          </w:p>
        </w:tc>
        <w:tc>
          <w:tcPr>
            <w:tcW w:w="992" w:type="dxa"/>
            <w:vAlign w:val="center"/>
          </w:tcPr>
          <w:p w14:paraId="50D786D9">
            <w:pPr>
              <w:jc w:val="center"/>
              <w:rPr>
                <w:color w:val="000000"/>
                <w:sz w:val="20"/>
                <w:szCs w:val="20"/>
              </w:rPr>
            </w:pPr>
          </w:p>
        </w:tc>
        <w:tc>
          <w:tcPr>
            <w:tcW w:w="1134" w:type="dxa"/>
            <w:vAlign w:val="center"/>
          </w:tcPr>
          <w:p w14:paraId="775D0B05">
            <w:pPr>
              <w:jc w:val="center"/>
              <w:rPr>
                <w:color w:val="000000"/>
                <w:sz w:val="20"/>
                <w:szCs w:val="20"/>
              </w:rPr>
            </w:pPr>
          </w:p>
        </w:tc>
        <w:tc>
          <w:tcPr>
            <w:tcW w:w="993" w:type="dxa"/>
            <w:vAlign w:val="center"/>
          </w:tcPr>
          <w:p w14:paraId="477CB700">
            <w:pPr>
              <w:jc w:val="center"/>
              <w:rPr>
                <w:color w:val="000000"/>
                <w:sz w:val="20"/>
                <w:szCs w:val="20"/>
              </w:rPr>
            </w:pPr>
          </w:p>
        </w:tc>
        <w:tc>
          <w:tcPr>
            <w:tcW w:w="992" w:type="dxa"/>
            <w:vAlign w:val="center"/>
          </w:tcPr>
          <w:p w14:paraId="16856254">
            <w:pPr>
              <w:jc w:val="center"/>
              <w:rPr>
                <w:b/>
                <w:bCs/>
                <w:color w:val="000000"/>
                <w:sz w:val="20"/>
                <w:szCs w:val="20"/>
              </w:rPr>
            </w:pPr>
          </w:p>
        </w:tc>
      </w:tr>
      <w:tr w14:paraId="5296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D125900">
            <w:pPr>
              <w:jc w:val="center"/>
              <w:rPr>
                <w:b/>
                <w:bCs/>
                <w:color w:val="000000"/>
                <w:sz w:val="20"/>
                <w:szCs w:val="20"/>
              </w:rPr>
            </w:pPr>
          </w:p>
        </w:tc>
        <w:tc>
          <w:tcPr>
            <w:tcW w:w="2409" w:type="dxa"/>
            <w:vAlign w:val="center"/>
          </w:tcPr>
          <w:p w14:paraId="43ED404C">
            <w:pPr>
              <w:rPr>
                <w:color w:val="000000"/>
                <w:sz w:val="20"/>
                <w:szCs w:val="20"/>
              </w:rPr>
            </w:pPr>
            <w:r>
              <w:rPr>
                <w:color w:val="000000"/>
                <w:sz w:val="20"/>
                <w:szCs w:val="20"/>
              </w:rPr>
              <w:t>Hạ tầng kỹ thuật</w:t>
            </w:r>
          </w:p>
        </w:tc>
        <w:tc>
          <w:tcPr>
            <w:tcW w:w="1033" w:type="dxa"/>
            <w:vAlign w:val="center"/>
          </w:tcPr>
          <w:p w14:paraId="7FC881A4">
            <w:pPr>
              <w:jc w:val="center"/>
              <w:rPr>
                <w:color w:val="000000"/>
                <w:sz w:val="20"/>
                <w:szCs w:val="20"/>
              </w:rPr>
            </w:pPr>
            <w:r>
              <w:rPr>
                <w:color w:val="000000"/>
                <w:sz w:val="20"/>
                <w:szCs w:val="20"/>
              </w:rPr>
              <w:t>HTKT03</w:t>
            </w:r>
          </w:p>
        </w:tc>
        <w:tc>
          <w:tcPr>
            <w:tcW w:w="1459" w:type="dxa"/>
            <w:vAlign w:val="center"/>
          </w:tcPr>
          <w:p w14:paraId="4A226F35">
            <w:pPr>
              <w:jc w:val="center"/>
              <w:rPr>
                <w:color w:val="000000"/>
                <w:sz w:val="20"/>
                <w:szCs w:val="20"/>
              </w:rPr>
            </w:pPr>
            <w:r>
              <w:rPr>
                <w:color w:val="000000"/>
                <w:sz w:val="20"/>
                <w:szCs w:val="20"/>
              </w:rPr>
              <w:t>853,10</w:t>
            </w:r>
          </w:p>
        </w:tc>
        <w:tc>
          <w:tcPr>
            <w:tcW w:w="1273" w:type="dxa"/>
            <w:vAlign w:val="center"/>
          </w:tcPr>
          <w:p w14:paraId="26111D32">
            <w:pPr>
              <w:jc w:val="center"/>
              <w:rPr>
                <w:color w:val="000000"/>
                <w:sz w:val="20"/>
                <w:szCs w:val="20"/>
              </w:rPr>
            </w:pPr>
            <w:r>
              <w:rPr>
                <w:color w:val="000000"/>
                <w:sz w:val="20"/>
                <w:szCs w:val="20"/>
              </w:rPr>
              <w:t>0,43%</w:t>
            </w:r>
          </w:p>
        </w:tc>
        <w:tc>
          <w:tcPr>
            <w:tcW w:w="2047" w:type="dxa"/>
            <w:vAlign w:val="center"/>
          </w:tcPr>
          <w:p w14:paraId="7999D1F0">
            <w:pPr>
              <w:jc w:val="center"/>
              <w:rPr>
                <w:color w:val="000000"/>
                <w:sz w:val="20"/>
                <w:szCs w:val="20"/>
              </w:rPr>
            </w:pPr>
          </w:p>
        </w:tc>
        <w:tc>
          <w:tcPr>
            <w:tcW w:w="1276" w:type="dxa"/>
            <w:vAlign w:val="center"/>
          </w:tcPr>
          <w:p w14:paraId="1D17EF08">
            <w:pPr>
              <w:jc w:val="center"/>
              <w:rPr>
                <w:color w:val="000000"/>
                <w:sz w:val="20"/>
                <w:szCs w:val="20"/>
              </w:rPr>
            </w:pPr>
          </w:p>
        </w:tc>
        <w:tc>
          <w:tcPr>
            <w:tcW w:w="992" w:type="dxa"/>
            <w:vAlign w:val="center"/>
          </w:tcPr>
          <w:p w14:paraId="3A39CFB6">
            <w:pPr>
              <w:jc w:val="center"/>
              <w:rPr>
                <w:color w:val="000000"/>
                <w:sz w:val="20"/>
                <w:szCs w:val="20"/>
              </w:rPr>
            </w:pPr>
            <w:r>
              <w:rPr>
                <w:color w:val="000000"/>
                <w:sz w:val="20"/>
                <w:szCs w:val="20"/>
              </w:rPr>
              <w:t>5</w:t>
            </w:r>
          </w:p>
        </w:tc>
        <w:tc>
          <w:tcPr>
            <w:tcW w:w="992" w:type="dxa"/>
            <w:vAlign w:val="center"/>
          </w:tcPr>
          <w:p w14:paraId="56E24FBC">
            <w:pPr>
              <w:jc w:val="center"/>
              <w:rPr>
                <w:color w:val="000000"/>
                <w:sz w:val="20"/>
                <w:szCs w:val="20"/>
              </w:rPr>
            </w:pPr>
          </w:p>
        </w:tc>
        <w:tc>
          <w:tcPr>
            <w:tcW w:w="1134" w:type="dxa"/>
            <w:vAlign w:val="center"/>
          </w:tcPr>
          <w:p w14:paraId="4319B83D">
            <w:pPr>
              <w:jc w:val="center"/>
              <w:rPr>
                <w:color w:val="000000"/>
                <w:sz w:val="20"/>
                <w:szCs w:val="20"/>
              </w:rPr>
            </w:pPr>
          </w:p>
        </w:tc>
        <w:tc>
          <w:tcPr>
            <w:tcW w:w="993" w:type="dxa"/>
            <w:vAlign w:val="center"/>
          </w:tcPr>
          <w:p w14:paraId="4CBDC6F0">
            <w:pPr>
              <w:jc w:val="center"/>
              <w:rPr>
                <w:color w:val="000000"/>
                <w:sz w:val="20"/>
                <w:szCs w:val="20"/>
              </w:rPr>
            </w:pPr>
          </w:p>
        </w:tc>
        <w:tc>
          <w:tcPr>
            <w:tcW w:w="992" w:type="dxa"/>
            <w:vAlign w:val="center"/>
          </w:tcPr>
          <w:p w14:paraId="2785C9AB">
            <w:pPr>
              <w:jc w:val="center"/>
              <w:rPr>
                <w:b/>
                <w:bCs/>
                <w:color w:val="000000"/>
                <w:sz w:val="20"/>
                <w:szCs w:val="20"/>
              </w:rPr>
            </w:pPr>
          </w:p>
        </w:tc>
      </w:tr>
      <w:tr w14:paraId="4F4A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702770D7">
            <w:pPr>
              <w:jc w:val="center"/>
              <w:rPr>
                <w:b/>
                <w:bCs/>
                <w:color w:val="000000"/>
                <w:sz w:val="20"/>
                <w:szCs w:val="20"/>
              </w:rPr>
            </w:pPr>
            <w:r>
              <w:rPr>
                <w:b/>
                <w:bCs/>
                <w:color w:val="000000"/>
                <w:sz w:val="20"/>
                <w:szCs w:val="20"/>
              </w:rPr>
              <w:t>V</w:t>
            </w:r>
          </w:p>
        </w:tc>
        <w:tc>
          <w:tcPr>
            <w:tcW w:w="2409" w:type="dxa"/>
            <w:vAlign w:val="center"/>
          </w:tcPr>
          <w:p w14:paraId="3420EB88">
            <w:pPr>
              <w:rPr>
                <w:b/>
                <w:bCs/>
                <w:color w:val="000000"/>
                <w:sz w:val="20"/>
                <w:szCs w:val="20"/>
              </w:rPr>
            </w:pPr>
            <w:r>
              <w:rPr>
                <w:b/>
                <w:bCs/>
                <w:color w:val="000000"/>
                <w:sz w:val="20"/>
                <w:szCs w:val="20"/>
              </w:rPr>
              <w:t>ĐẤT GIAO THÔNG</w:t>
            </w:r>
          </w:p>
        </w:tc>
        <w:tc>
          <w:tcPr>
            <w:tcW w:w="1033" w:type="dxa"/>
            <w:vAlign w:val="center"/>
          </w:tcPr>
          <w:p w14:paraId="6DF88AF5">
            <w:pPr>
              <w:jc w:val="center"/>
              <w:rPr>
                <w:b/>
                <w:bCs/>
                <w:color w:val="000000"/>
                <w:sz w:val="20"/>
                <w:szCs w:val="20"/>
              </w:rPr>
            </w:pPr>
            <w:r>
              <w:rPr>
                <w:b/>
                <w:bCs/>
                <w:color w:val="000000"/>
                <w:sz w:val="20"/>
                <w:szCs w:val="20"/>
              </w:rPr>
              <w:t>GT</w:t>
            </w:r>
          </w:p>
        </w:tc>
        <w:tc>
          <w:tcPr>
            <w:tcW w:w="1459" w:type="dxa"/>
            <w:vAlign w:val="center"/>
          </w:tcPr>
          <w:p w14:paraId="72F7CEF0">
            <w:pPr>
              <w:jc w:val="center"/>
              <w:rPr>
                <w:b/>
                <w:bCs/>
                <w:color w:val="000000"/>
                <w:sz w:val="20"/>
                <w:szCs w:val="20"/>
              </w:rPr>
            </w:pPr>
            <w:r>
              <w:rPr>
                <w:b/>
                <w:bCs/>
                <w:color w:val="000000"/>
                <w:sz w:val="20"/>
                <w:szCs w:val="20"/>
              </w:rPr>
              <w:t>63.115,20</w:t>
            </w:r>
          </w:p>
        </w:tc>
        <w:tc>
          <w:tcPr>
            <w:tcW w:w="1273" w:type="dxa"/>
            <w:vAlign w:val="center"/>
          </w:tcPr>
          <w:p w14:paraId="27CAC9CC">
            <w:pPr>
              <w:jc w:val="center"/>
              <w:rPr>
                <w:b/>
                <w:bCs/>
                <w:color w:val="000000"/>
                <w:sz w:val="20"/>
                <w:szCs w:val="20"/>
              </w:rPr>
            </w:pPr>
            <w:r>
              <w:rPr>
                <w:b/>
                <w:bCs/>
                <w:color w:val="000000"/>
                <w:sz w:val="20"/>
                <w:szCs w:val="20"/>
              </w:rPr>
              <w:t>31,84%</w:t>
            </w:r>
          </w:p>
        </w:tc>
        <w:tc>
          <w:tcPr>
            <w:tcW w:w="2047" w:type="dxa"/>
            <w:vAlign w:val="center"/>
          </w:tcPr>
          <w:p w14:paraId="29AC4D49">
            <w:pPr>
              <w:jc w:val="center"/>
              <w:rPr>
                <w:b/>
                <w:bCs/>
                <w:color w:val="000000"/>
                <w:sz w:val="20"/>
                <w:szCs w:val="20"/>
              </w:rPr>
            </w:pPr>
          </w:p>
        </w:tc>
        <w:tc>
          <w:tcPr>
            <w:tcW w:w="1276" w:type="dxa"/>
            <w:vAlign w:val="center"/>
          </w:tcPr>
          <w:p w14:paraId="521DA982">
            <w:pPr>
              <w:jc w:val="center"/>
              <w:rPr>
                <w:b/>
                <w:bCs/>
                <w:color w:val="000000"/>
                <w:sz w:val="20"/>
                <w:szCs w:val="20"/>
              </w:rPr>
            </w:pPr>
          </w:p>
        </w:tc>
        <w:tc>
          <w:tcPr>
            <w:tcW w:w="992" w:type="dxa"/>
            <w:vAlign w:val="center"/>
          </w:tcPr>
          <w:p w14:paraId="56FCBEB6">
            <w:pPr>
              <w:jc w:val="center"/>
              <w:rPr>
                <w:b/>
                <w:bCs/>
                <w:color w:val="000000"/>
                <w:sz w:val="20"/>
                <w:szCs w:val="20"/>
              </w:rPr>
            </w:pPr>
          </w:p>
        </w:tc>
        <w:tc>
          <w:tcPr>
            <w:tcW w:w="992" w:type="dxa"/>
            <w:vAlign w:val="center"/>
          </w:tcPr>
          <w:p w14:paraId="392D27D5">
            <w:pPr>
              <w:jc w:val="center"/>
              <w:rPr>
                <w:b/>
                <w:bCs/>
                <w:color w:val="000000"/>
                <w:sz w:val="20"/>
                <w:szCs w:val="20"/>
              </w:rPr>
            </w:pPr>
          </w:p>
        </w:tc>
        <w:tc>
          <w:tcPr>
            <w:tcW w:w="1134" w:type="dxa"/>
            <w:vAlign w:val="center"/>
          </w:tcPr>
          <w:p w14:paraId="145DD672">
            <w:pPr>
              <w:jc w:val="center"/>
              <w:rPr>
                <w:b/>
                <w:bCs/>
                <w:color w:val="000000"/>
                <w:sz w:val="20"/>
                <w:szCs w:val="20"/>
              </w:rPr>
            </w:pPr>
          </w:p>
        </w:tc>
        <w:tc>
          <w:tcPr>
            <w:tcW w:w="993" w:type="dxa"/>
            <w:vAlign w:val="center"/>
          </w:tcPr>
          <w:p w14:paraId="6EF89280">
            <w:pPr>
              <w:jc w:val="center"/>
              <w:rPr>
                <w:b/>
                <w:bCs/>
                <w:color w:val="000000"/>
                <w:sz w:val="20"/>
                <w:szCs w:val="20"/>
              </w:rPr>
            </w:pPr>
          </w:p>
        </w:tc>
        <w:tc>
          <w:tcPr>
            <w:tcW w:w="992" w:type="dxa"/>
            <w:vAlign w:val="center"/>
          </w:tcPr>
          <w:p w14:paraId="51193674">
            <w:pPr>
              <w:jc w:val="center"/>
              <w:rPr>
                <w:b/>
                <w:bCs/>
                <w:color w:val="000000"/>
                <w:sz w:val="20"/>
                <w:szCs w:val="20"/>
              </w:rPr>
            </w:pPr>
          </w:p>
        </w:tc>
      </w:tr>
      <w:tr w14:paraId="5ACD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078D6D5B">
            <w:pPr>
              <w:jc w:val="center"/>
              <w:rPr>
                <w:b/>
                <w:bCs/>
                <w:color w:val="000000"/>
                <w:sz w:val="20"/>
                <w:szCs w:val="20"/>
              </w:rPr>
            </w:pPr>
          </w:p>
        </w:tc>
        <w:tc>
          <w:tcPr>
            <w:tcW w:w="2409" w:type="dxa"/>
            <w:vAlign w:val="center"/>
          </w:tcPr>
          <w:p w14:paraId="57A8FAEC">
            <w:pPr>
              <w:rPr>
                <w:color w:val="000000"/>
                <w:sz w:val="20"/>
                <w:szCs w:val="20"/>
              </w:rPr>
            </w:pPr>
            <w:r>
              <w:rPr>
                <w:color w:val="000000"/>
                <w:sz w:val="20"/>
                <w:szCs w:val="20"/>
              </w:rPr>
              <w:t>Đường cấp khu vực</w:t>
            </w:r>
          </w:p>
        </w:tc>
        <w:tc>
          <w:tcPr>
            <w:tcW w:w="1033" w:type="dxa"/>
            <w:noWrap/>
            <w:vAlign w:val="center"/>
          </w:tcPr>
          <w:p w14:paraId="08AF18CA">
            <w:pPr>
              <w:jc w:val="center"/>
              <w:rPr>
                <w:color w:val="000000"/>
                <w:sz w:val="20"/>
                <w:szCs w:val="20"/>
              </w:rPr>
            </w:pPr>
          </w:p>
        </w:tc>
        <w:tc>
          <w:tcPr>
            <w:tcW w:w="1459" w:type="dxa"/>
            <w:vAlign w:val="center"/>
          </w:tcPr>
          <w:p w14:paraId="4056A3D2">
            <w:pPr>
              <w:jc w:val="center"/>
              <w:rPr>
                <w:color w:val="000000"/>
                <w:sz w:val="20"/>
                <w:szCs w:val="20"/>
              </w:rPr>
            </w:pPr>
            <w:r>
              <w:rPr>
                <w:color w:val="000000"/>
                <w:sz w:val="20"/>
                <w:szCs w:val="20"/>
              </w:rPr>
              <w:t>17.759,30</w:t>
            </w:r>
          </w:p>
        </w:tc>
        <w:tc>
          <w:tcPr>
            <w:tcW w:w="1273" w:type="dxa"/>
            <w:vAlign w:val="center"/>
          </w:tcPr>
          <w:p w14:paraId="56D79018">
            <w:pPr>
              <w:jc w:val="center"/>
              <w:rPr>
                <w:color w:val="000000"/>
                <w:sz w:val="20"/>
                <w:szCs w:val="20"/>
              </w:rPr>
            </w:pPr>
            <w:r>
              <w:rPr>
                <w:color w:val="000000"/>
                <w:sz w:val="20"/>
                <w:szCs w:val="20"/>
              </w:rPr>
              <w:t>8,96%</w:t>
            </w:r>
          </w:p>
        </w:tc>
        <w:tc>
          <w:tcPr>
            <w:tcW w:w="2047" w:type="dxa"/>
            <w:vAlign w:val="center"/>
          </w:tcPr>
          <w:p w14:paraId="26BFDCA2">
            <w:pPr>
              <w:jc w:val="center"/>
              <w:rPr>
                <w:color w:val="000000"/>
                <w:sz w:val="20"/>
                <w:szCs w:val="20"/>
              </w:rPr>
            </w:pPr>
          </w:p>
        </w:tc>
        <w:tc>
          <w:tcPr>
            <w:tcW w:w="1276" w:type="dxa"/>
            <w:vAlign w:val="center"/>
          </w:tcPr>
          <w:p w14:paraId="29800C9E">
            <w:pPr>
              <w:jc w:val="center"/>
              <w:rPr>
                <w:color w:val="000000"/>
                <w:sz w:val="20"/>
                <w:szCs w:val="20"/>
              </w:rPr>
            </w:pPr>
          </w:p>
        </w:tc>
        <w:tc>
          <w:tcPr>
            <w:tcW w:w="992" w:type="dxa"/>
            <w:vAlign w:val="center"/>
          </w:tcPr>
          <w:p w14:paraId="3070D41A">
            <w:pPr>
              <w:jc w:val="center"/>
              <w:rPr>
                <w:color w:val="000000"/>
                <w:sz w:val="20"/>
                <w:szCs w:val="20"/>
              </w:rPr>
            </w:pPr>
          </w:p>
        </w:tc>
        <w:tc>
          <w:tcPr>
            <w:tcW w:w="992" w:type="dxa"/>
            <w:vAlign w:val="center"/>
          </w:tcPr>
          <w:p w14:paraId="7385C6F4">
            <w:pPr>
              <w:jc w:val="center"/>
              <w:rPr>
                <w:color w:val="000000"/>
                <w:sz w:val="20"/>
                <w:szCs w:val="20"/>
              </w:rPr>
            </w:pPr>
          </w:p>
        </w:tc>
        <w:tc>
          <w:tcPr>
            <w:tcW w:w="1134" w:type="dxa"/>
            <w:vAlign w:val="center"/>
          </w:tcPr>
          <w:p w14:paraId="6E2E72DA">
            <w:pPr>
              <w:jc w:val="center"/>
              <w:rPr>
                <w:color w:val="000000"/>
                <w:sz w:val="20"/>
                <w:szCs w:val="20"/>
              </w:rPr>
            </w:pPr>
          </w:p>
        </w:tc>
        <w:tc>
          <w:tcPr>
            <w:tcW w:w="993" w:type="dxa"/>
            <w:vAlign w:val="center"/>
          </w:tcPr>
          <w:p w14:paraId="06F90AE9">
            <w:pPr>
              <w:jc w:val="center"/>
              <w:rPr>
                <w:color w:val="000000"/>
                <w:sz w:val="20"/>
                <w:szCs w:val="20"/>
              </w:rPr>
            </w:pPr>
          </w:p>
        </w:tc>
        <w:tc>
          <w:tcPr>
            <w:tcW w:w="992" w:type="dxa"/>
            <w:vAlign w:val="center"/>
          </w:tcPr>
          <w:p w14:paraId="1B244DE9">
            <w:pPr>
              <w:jc w:val="center"/>
              <w:rPr>
                <w:b/>
                <w:bCs/>
                <w:color w:val="000000"/>
                <w:sz w:val="20"/>
                <w:szCs w:val="20"/>
              </w:rPr>
            </w:pPr>
          </w:p>
        </w:tc>
      </w:tr>
      <w:tr w14:paraId="5110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14:paraId="1D5EE419">
            <w:pPr>
              <w:jc w:val="center"/>
              <w:rPr>
                <w:b/>
                <w:bCs/>
                <w:color w:val="000000"/>
                <w:sz w:val="20"/>
                <w:szCs w:val="20"/>
              </w:rPr>
            </w:pPr>
          </w:p>
        </w:tc>
        <w:tc>
          <w:tcPr>
            <w:tcW w:w="2409" w:type="dxa"/>
            <w:vAlign w:val="center"/>
          </w:tcPr>
          <w:p w14:paraId="5C615983">
            <w:pPr>
              <w:rPr>
                <w:color w:val="000000"/>
                <w:sz w:val="20"/>
                <w:szCs w:val="20"/>
              </w:rPr>
            </w:pPr>
            <w:r>
              <w:rPr>
                <w:color w:val="000000"/>
                <w:sz w:val="20"/>
                <w:szCs w:val="20"/>
              </w:rPr>
              <w:t>Đường cấp nội bộ</w:t>
            </w:r>
          </w:p>
        </w:tc>
        <w:tc>
          <w:tcPr>
            <w:tcW w:w="1033" w:type="dxa"/>
            <w:vAlign w:val="center"/>
          </w:tcPr>
          <w:p w14:paraId="1DB3ECE7">
            <w:pPr>
              <w:jc w:val="center"/>
              <w:rPr>
                <w:color w:val="000000"/>
                <w:sz w:val="20"/>
                <w:szCs w:val="20"/>
              </w:rPr>
            </w:pPr>
          </w:p>
        </w:tc>
        <w:tc>
          <w:tcPr>
            <w:tcW w:w="1459" w:type="dxa"/>
            <w:vAlign w:val="center"/>
          </w:tcPr>
          <w:p w14:paraId="1A942C7E">
            <w:pPr>
              <w:jc w:val="center"/>
              <w:rPr>
                <w:color w:val="000000"/>
                <w:sz w:val="20"/>
                <w:szCs w:val="20"/>
              </w:rPr>
            </w:pPr>
            <w:r>
              <w:rPr>
                <w:color w:val="000000"/>
                <w:sz w:val="20"/>
                <w:szCs w:val="20"/>
              </w:rPr>
              <w:t>45.355,90</w:t>
            </w:r>
          </w:p>
        </w:tc>
        <w:tc>
          <w:tcPr>
            <w:tcW w:w="1273" w:type="dxa"/>
            <w:vAlign w:val="center"/>
          </w:tcPr>
          <w:p w14:paraId="417B97B1">
            <w:pPr>
              <w:jc w:val="center"/>
              <w:rPr>
                <w:color w:val="000000"/>
                <w:sz w:val="20"/>
                <w:szCs w:val="20"/>
              </w:rPr>
            </w:pPr>
            <w:r>
              <w:rPr>
                <w:color w:val="000000"/>
                <w:sz w:val="20"/>
                <w:szCs w:val="20"/>
              </w:rPr>
              <w:t>22,88%</w:t>
            </w:r>
          </w:p>
        </w:tc>
        <w:tc>
          <w:tcPr>
            <w:tcW w:w="2047" w:type="dxa"/>
            <w:vAlign w:val="center"/>
          </w:tcPr>
          <w:p w14:paraId="3D774ACD">
            <w:pPr>
              <w:jc w:val="center"/>
              <w:rPr>
                <w:color w:val="000000"/>
                <w:sz w:val="20"/>
                <w:szCs w:val="20"/>
              </w:rPr>
            </w:pPr>
          </w:p>
        </w:tc>
        <w:tc>
          <w:tcPr>
            <w:tcW w:w="1276" w:type="dxa"/>
            <w:vAlign w:val="center"/>
          </w:tcPr>
          <w:p w14:paraId="247D6AB9">
            <w:pPr>
              <w:jc w:val="center"/>
              <w:rPr>
                <w:color w:val="000000"/>
                <w:sz w:val="20"/>
                <w:szCs w:val="20"/>
              </w:rPr>
            </w:pPr>
          </w:p>
        </w:tc>
        <w:tc>
          <w:tcPr>
            <w:tcW w:w="992" w:type="dxa"/>
            <w:vAlign w:val="center"/>
          </w:tcPr>
          <w:p w14:paraId="7A740349">
            <w:pPr>
              <w:jc w:val="center"/>
              <w:rPr>
                <w:color w:val="000000"/>
                <w:sz w:val="20"/>
                <w:szCs w:val="20"/>
              </w:rPr>
            </w:pPr>
          </w:p>
        </w:tc>
        <w:tc>
          <w:tcPr>
            <w:tcW w:w="992" w:type="dxa"/>
            <w:vAlign w:val="center"/>
          </w:tcPr>
          <w:p w14:paraId="4FAEFDAE">
            <w:pPr>
              <w:jc w:val="center"/>
              <w:rPr>
                <w:color w:val="000000"/>
                <w:sz w:val="20"/>
                <w:szCs w:val="20"/>
              </w:rPr>
            </w:pPr>
          </w:p>
        </w:tc>
        <w:tc>
          <w:tcPr>
            <w:tcW w:w="1134" w:type="dxa"/>
            <w:vAlign w:val="center"/>
          </w:tcPr>
          <w:p w14:paraId="0746E74A">
            <w:pPr>
              <w:jc w:val="center"/>
              <w:rPr>
                <w:color w:val="000000"/>
                <w:sz w:val="20"/>
                <w:szCs w:val="20"/>
              </w:rPr>
            </w:pPr>
          </w:p>
        </w:tc>
        <w:tc>
          <w:tcPr>
            <w:tcW w:w="993" w:type="dxa"/>
            <w:vAlign w:val="center"/>
          </w:tcPr>
          <w:p w14:paraId="4623A4A6">
            <w:pPr>
              <w:jc w:val="center"/>
              <w:rPr>
                <w:color w:val="000000"/>
                <w:sz w:val="20"/>
                <w:szCs w:val="20"/>
              </w:rPr>
            </w:pPr>
          </w:p>
        </w:tc>
        <w:tc>
          <w:tcPr>
            <w:tcW w:w="992" w:type="dxa"/>
            <w:vAlign w:val="center"/>
          </w:tcPr>
          <w:p w14:paraId="607058EF">
            <w:pPr>
              <w:jc w:val="center"/>
              <w:rPr>
                <w:b/>
                <w:bCs/>
                <w:color w:val="000000"/>
                <w:sz w:val="20"/>
                <w:szCs w:val="20"/>
              </w:rPr>
            </w:pPr>
          </w:p>
        </w:tc>
      </w:tr>
      <w:tr w14:paraId="6DB9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ign w:val="center"/>
          </w:tcPr>
          <w:p w14:paraId="05E9C92F">
            <w:pPr>
              <w:jc w:val="center"/>
              <w:rPr>
                <w:b/>
                <w:bCs/>
                <w:color w:val="000000"/>
                <w:sz w:val="20"/>
                <w:szCs w:val="20"/>
              </w:rPr>
            </w:pPr>
          </w:p>
        </w:tc>
        <w:tc>
          <w:tcPr>
            <w:tcW w:w="2409" w:type="dxa"/>
            <w:vAlign w:val="center"/>
          </w:tcPr>
          <w:p w14:paraId="74D7C785">
            <w:pPr>
              <w:rPr>
                <w:b/>
                <w:bCs/>
                <w:color w:val="000000"/>
                <w:sz w:val="20"/>
                <w:szCs w:val="20"/>
              </w:rPr>
            </w:pPr>
            <w:r>
              <w:rPr>
                <w:b/>
                <w:bCs/>
                <w:color w:val="000000"/>
                <w:sz w:val="20"/>
                <w:szCs w:val="20"/>
              </w:rPr>
              <w:t>TỔNG CỘNG</w:t>
            </w:r>
          </w:p>
        </w:tc>
        <w:tc>
          <w:tcPr>
            <w:tcW w:w="1033" w:type="dxa"/>
            <w:vAlign w:val="center"/>
          </w:tcPr>
          <w:p w14:paraId="150E230B">
            <w:pPr>
              <w:jc w:val="center"/>
              <w:rPr>
                <w:b/>
                <w:bCs/>
                <w:color w:val="000000"/>
                <w:sz w:val="20"/>
                <w:szCs w:val="20"/>
              </w:rPr>
            </w:pPr>
          </w:p>
        </w:tc>
        <w:tc>
          <w:tcPr>
            <w:tcW w:w="1459" w:type="dxa"/>
            <w:vAlign w:val="center"/>
          </w:tcPr>
          <w:p w14:paraId="5A631BDC">
            <w:pPr>
              <w:jc w:val="center"/>
              <w:rPr>
                <w:b/>
                <w:bCs/>
                <w:color w:val="000000"/>
                <w:sz w:val="20"/>
                <w:szCs w:val="20"/>
              </w:rPr>
            </w:pPr>
            <w:r>
              <w:rPr>
                <w:b/>
                <w:bCs/>
                <w:color w:val="000000"/>
                <w:sz w:val="20"/>
                <w:szCs w:val="20"/>
              </w:rPr>
              <w:t>198.217,00</w:t>
            </w:r>
          </w:p>
        </w:tc>
        <w:tc>
          <w:tcPr>
            <w:tcW w:w="1273" w:type="dxa"/>
            <w:vAlign w:val="center"/>
          </w:tcPr>
          <w:p w14:paraId="2730AFF9">
            <w:pPr>
              <w:jc w:val="center"/>
              <w:rPr>
                <w:b/>
                <w:bCs/>
                <w:color w:val="000000"/>
                <w:sz w:val="20"/>
                <w:szCs w:val="20"/>
              </w:rPr>
            </w:pPr>
            <w:r>
              <w:rPr>
                <w:b/>
                <w:bCs/>
                <w:color w:val="000000"/>
                <w:sz w:val="20"/>
                <w:szCs w:val="20"/>
              </w:rPr>
              <w:t>100,00%</w:t>
            </w:r>
          </w:p>
        </w:tc>
        <w:tc>
          <w:tcPr>
            <w:tcW w:w="2047" w:type="dxa"/>
            <w:vAlign w:val="center"/>
          </w:tcPr>
          <w:p w14:paraId="11DBB043">
            <w:pPr>
              <w:jc w:val="center"/>
              <w:rPr>
                <w:b/>
                <w:bCs/>
                <w:color w:val="000000"/>
                <w:sz w:val="20"/>
                <w:szCs w:val="20"/>
              </w:rPr>
            </w:pPr>
          </w:p>
        </w:tc>
        <w:tc>
          <w:tcPr>
            <w:tcW w:w="1276" w:type="dxa"/>
            <w:vAlign w:val="center"/>
          </w:tcPr>
          <w:p w14:paraId="3405B4C9">
            <w:pPr>
              <w:jc w:val="center"/>
              <w:rPr>
                <w:b/>
                <w:bCs/>
                <w:color w:val="000000"/>
                <w:sz w:val="20"/>
                <w:szCs w:val="20"/>
              </w:rPr>
            </w:pPr>
          </w:p>
        </w:tc>
        <w:tc>
          <w:tcPr>
            <w:tcW w:w="992" w:type="dxa"/>
            <w:vAlign w:val="center"/>
          </w:tcPr>
          <w:p w14:paraId="59F55092">
            <w:pPr>
              <w:jc w:val="center"/>
              <w:rPr>
                <w:b/>
                <w:bCs/>
                <w:color w:val="000000"/>
                <w:sz w:val="20"/>
                <w:szCs w:val="20"/>
              </w:rPr>
            </w:pPr>
          </w:p>
        </w:tc>
        <w:tc>
          <w:tcPr>
            <w:tcW w:w="992" w:type="dxa"/>
            <w:vAlign w:val="center"/>
          </w:tcPr>
          <w:p w14:paraId="3320CACE">
            <w:pPr>
              <w:jc w:val="center"/>
              <w:rPr>
                <w:b/>
                <w:bCs/>
                <w:color w:val="000000"/>
                <w:sz w:val="20"/>
                <w:szCs w:val="20"/>
              </w:rPr>
            </w:pPr>
          </w:p>
        </w:tc>
        <w:tc>
          <w:tcPr>
            <w:tcW w:w="1134" w:type="dxa"/>
            <w:vAlign w:val="center"/>
          </w:tcPr>
          <w:p w14:paraId="0C110B8B">
            <w:pPr>
              <w:jc w:val="center"/>
              <w:rPr>
                <w:b/>
                <w:bCs/>
                <w:color w:val="000000"/>
                <w:sz w:val="20"/>
                <w:szCs w:val="20"/>
              </w:rPr>
            </w:pPr>
          </w:p>
        </w:tc>
        <w:tc>
          <w:tcPr>
            <w:tcW w:w="993" w:type="dxa"/>
            <w:vAlign w:val="center"/>
          </w:tcPr>
          <w:p w14:paraId="04F48AA6">
            <w:pPr>
              <w:jc w:val="center"/>
              <w:rPr>
                <w:b/>
                <w:bCs/>
                <w:color w:val="000000"/>
                <w:sz w:val="20"/>
                <w:szCs w:val="20"/>
              </w:rPr>
            </w:pPr>
          </w:p>
        </w:tc>
        <w:tc>
          <w:tcPr>
            <w:tcW w:w="992" w:type="dxa"/>
            <w:vAlign w:val="center"/>
          </w:tcPr>
          <w:p w14:paraId="3477A9CB">
            <w:pPr>
              <w:jc w:val="center"/>
              <w:rPr>
                <w:b/>
                <w:bCs/>
                <w:color w:val="000000"/>
                <w:sz w:val="20"/>
                <w:szCs w:val="20"/>
              </w:rPr>
            </w:pPr>
          </w:p>
        </w:tc>
      </w:tr>
    </w:tbl>
    <w:p w14:paraId="5DC7AF2E">
      <w:pPr>
        <w:tabs>
          <w:tab w:val="left" w:pos="0"/>
        </w:tabs>
        <w:spacing w:before="120" w:after="120"/>
        <w:jc w:val="both"/>
        <w:rPr>
          <w:b/>
          <w:color w:val="000000" w:themeColor="text1"/>
          <w:spacing w:val="-8"/>
          <w:sz w:val="26"/>
          <w:szCs w:val="26"/>
          <w:lang w:val="da-DK"/>
          <w14:textFill>
            <w14:solidFill>
              <w14:schemeClr w14:val="tx1"/>
            </w14:solidFill>
          </w14:textFill>
        </w:rPr>
      </w:pPr>
    </w:p>
    <w:p w14:paraId="69F6C8F1">
      <w:pPr>
        <w:tabs>
          <w:tab w:val="left" w:pos="0"/>
        </w:tabs>
        <w:spacing w:before="120" w:after="120"/>
        <w:jc w:val="both"/>
        <w:rPr>
          <w:b/>
          <w:color w:val="000000" w:themeColor="text1"/>
          <w:spacing w:val="-8"/>
          <w:sz w:val="26"/>
          <w:szCs w:val="26"/>
          <w:lang w:val="da-DK"/>
          <w14:textFill>
            <w14:solidFill>
              <w14:schemeClr w14:val="tx1"/>
            </w14:solidFill>
          </w14:textFill>
        </w:rPr>
        <w:sectPr>
          <w:pgSz w:w="16838" w:h="11905" w:orient="landscape"/>
          <w:pgMar w:top="1361" w:right="1134" w:bottom="1134" w:left="1134" w:header="720" w:footer="720" w:gutter="0"/>
          <w:cols w:space="0" w:num="1"/>
          <w:docGrid w:linePitch="367" w:charSpace="0"/>
        </w:sectPr>
      </w:pPr>
    </w:p>
    <w:p w14:paraId="4202D8E7">
      <w:pPr>
        <w:tabs>
          <w:tab w:val="left" w:pos="0"/>
        </w:tabs>
        <w:spacing w:before="120" w:after="120"/>
        <w:jc w:val="both"/>
        <w:rPr>
          <w:b/>
          <w:color w:val="000000" w:themeColor="text1"/>
          <w:spacing w:val="-8"/>
          <w:sz w:val="26"/>
          <w:szCs w:val="26"/>
          <w:lang w:val="vi-VN"/>
          <w14:textFill>
            <w14:solidFill>
              <w14:schemeClr w14:val="tx1"/>
            </w14:solidFill>
          </w14:textFill>
        </w:rPr>
      </w:pPr>
      <w:r>
        <w:rPr>
          <w:b/>
          <w:color w:val="000000" w:themeColor="text1"/>
          <w:spacing w:val="-8"/>
          <w:sz w:val="26"/>
          <w:szCs w:val="26"/>
          <w:lang w:val="da-DK"/>
          <w14:textFill>
            <w14:solidFill>
              <w14:schemeClr w14:val="tx1"/>
            </w14:solidFill>
          </w14:textFill>
        </w:rPr>
        <w:t>IV</w:t>
      </w:r>
      <w:r>
        <w:rPr>
          <w:b/>
          <w:color w:val="000000" w:themeColor="text1"/>
          <w:spacing w:val="-8"/>
          <w:sz w:val="26"/>
          <w:szCs w:val="26"/>
          <w:lang w:val="vi-VN"/>
          <w14:textFill>
            <w14:solidFill>
              <w14:schemeClr w14:val="tx1"/>
            </w14:solidFill>
          </w14:textFill>
        </w:rPr>
        <w:t xml:space="preserve">. CƠ SỞ GIÁ TRỊ CỦA THẨM ĐỊNH GIÁ, CÁC NGUYÊN TẮC VÀ PHƯƠNG PHÁP ĐỊNH GIÁ </w:t>
      </w:r>
    </w:p>
    <w:p w14:paraId="0247F887">
      <w:pPr>
        <w:spacing w:before="120" w:after="120"/>
        <w:ind w:firstLine="567"/>
        <w:jc w:val="both"/>
        <w:rPr>
          <w:b/>
          <w:color w:val="000000" w:themeColor="text1"/>
          <w:spacing w:val="-2"/>
          <w:sz w:val="26"/>
          <w:szCs w:val="26"/>
          <w:lang w:val="vi-VN"/>
          <w14:textFill>
            <w14:solidFill>
              <w14:schemeClr w14:val="tx1"/>
            </w14:solidFill>
          </w14:textFill>
        </w:rPr>
      </w:pPr>
      <w:r>
        <w:rPr>
          <w:b/>
          <w:color w:val="000000" w:themeColor="text1"/>
          <w:spacing w:val="-2"/>
          <w:sz w:val="26"/>
          <w:szCs w:val="26"/>
          <w:lang w:val="da-DK"/>
          <w14:textFill>
            <w14:solidFill>
              <w14:schemeClr w14:val="tx1"/>
            </w14:solidFill>
          </w14:textFill>
        </w:rPr>
        <w:t>1</w:t>
      </w:r>
      <w:r>
        <w:rPr>
          <w:b/>
          <w:color w:val="000000" w:themeColor="text1"/>
          <w:spacing w:val="-2"/>
          <w:sz w:val="26"/>
          <w:szCs w:val="26"/>
          <w:lang w:val="vi-VN"/>
          <w14:textFill>
            <w14:solidFill>
              <w14:schemeClr w14:val="tx1"/>
            </w14:solidFill>
          </w14:textFill>
        </w:rPr>
        <w:t xml:space="preserve">. Cơ sở giá trị thẩm định giá: </w:t>
      </w:r>
    </w:p>
    <w:p w14:paraId="1CBFD445">
      <w:pPr>
        <w:spacing w:before="120" w:after="120"/>
        <w:ind w:firstLine="567"/>
        <w:jc w:val="both"/>
        <w:rPr>
          <w:bCs/>
          <w:spacing w:val="-2"/>
          <w:sz w:val="26"/>
          <w:szCs w:val="26"/>
          <w:lang w:val="da-DK"/>
        </w:rPr>
      </w:pPr>
      <w:r>
        <w:rPr>
          <w:bCs/>
          <w:spacing w:val="-2"/>
          <w:sz w:val="26"/>
          <w:szCs w:val="26"/>
          <w:lang w:val="da-DK"/>
        </w:rPr>
        <w:t>Căn cứ vào mục đích thẩm định giá và đặc điểm của tài sản thẩm định giá, Công ty Cổ phần Dịch vụ Tư vấn và Thẩm định giá Việt Nam</w:t>
      </w:r>
      <w:r>
        <w:rPr>
          <w:bCs/>
          <w:spacing w:val="-2"/>
          <w:sz w:val="26"/>
          <w:szCs w:val="26"/>
          <w:lang w:val="vi-VN"/>
        </w:rPr>
        <w:t xml:space="preserve"> </w:t>
      </w:r>
      <w:r>
        <w:rPr>
          <w:bCs/>
          <w:spacing w:val="-2"/>
          <w:sz w:val="26"/>
          <w:szCs w:val="26"/>
          <w:lang w:val="da-DK"/>
        </w:rPr>
        <w:t>chọn cơ sở giá trị thị trường làm cơ sở để thẩm định giá.</w:t>
      </w:r>
    </w:p>
    <w:p w14:paraId="733D813B">
      <w:pPr>
        <w:spacing w:before="120" w:after="120"/>
        <w:ind w:firstLine="567"/>
        <w:jc w:val="both"/>
        <w:rPr>
          <w:color w:val="000000" w:themeColor="text1"/>
          <w:sz w:val="26"/>
          <w:szCs w:val="26"/>
          <w:lang w:val="da-DK"/>
          <w14:textFill>
            <w14:solidFill>
              <w14:schemeClr w14:val="tx1"/>
            </w14:solidFill>
          </w14:textFill>
        </w:rPr>
      </w:pPr>
      <w:r>
        <w:rPr>
          <w:sz w:val="26"/>
          <w:szCs w:val="26"/>
          <w:lang w:val="vi-VN"/>
        </w:rPr>
        <w:t>Giá trị thị trường là khoản tiền ước tính để tài sản có thể được giao dịch tại thời điểm thẩm định giá giữa người sẵn sàng mua và người sẵn sàng bán trong một giao dịch khách quan, độc lập, sau khi được tiếp thị đầy đủ và các bên tham gia hành động có hiểu biết, thận trọng và không bị ép buộc” (Chuẩn mực thẩm định giá Việt Nam về Cơ sở giá trị thẩm định giá)</w:t>
      </w:r>
      <w:r>
        <w:rPr>
          <w:sz w:val="26"/>
          <w:szCs w:val="26"/>
          <w:lang w:val="da-DK"/>
        </w:rPr>
        <w:t>.</w:t>
      </w:r>
    </w:p>
    <w:p w14:paraId="4BAB391E">
      <w:pPr>
        <w:spacing w:before="120" w:after="120"/>
        <w:ind w:firstLine="567"/>
        <w:jc w:val="both"/>
        <w:rPr>
          <w:b/>
          <w:color w:val="000000" w:themeColor="text1"/>
          <w:sz w:val="26"/>
          <w:szCs w:val="26"/>
          <w:lang w:val="da-DK"/>
          <w14:textFill>
            <w14:solidFill>
              <w14:schemeClr w14:val="tx1"/>
            </w14:solidFill>
          </w14:textFill>
        </w:rPr>
      </w:pPr>
      <w:r>
        <w:rPr>
          <w:b/>
          <w:color w:val="000000" w:themeColor="text1"/>
          <w:sz w:val="26"/>
          <w:szCs w:val="26"/>
          <w:lang w:val="da-DK"/>
          <w14:textFill>
            <w14:solidFill>
              <w14:schemeClr w14:val="tx1"/>
            </w14:solidFill>
          </w14:textFill>
        </w:rPr>
        <w:t xml:space="preserve">2. Các nguyên tắc được sử dụng để thẩm định giá: </w:t>
      </w:r>
    </w:p>
    <w:p w14:paraId="02BB008E">
      <w:pPr>
        <w:spacing w:before="120" w:after="120"/>
        <w:ind w:firstLine="567"/>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Trên cơ sở nghiên cứu các tài liệu về pháp lý, kỹ thuật, thị trường, chúng tôi lựa chọn nguyên tắc giá trị áp dụng trong phân tích, tính toán để có kết quả thẩm định đúng nhất, các nguyên tắc áp dụng bao gồm:</w:t>
      </w:r>
    </w:p>
    <w:p w14:paraId="5B10F418">
      <w:pPr>
        <w:spacing w:before="120" w:after="120"/>
        <w:ind w:firstLine="567"/>
        <w:jc w:val="both"/>
        <w:rPr>
          <w:b/>
          <w:i/>
          <w:color w:val="000000" w:themeColor="text1"/>
          <w:sz w:val="26"/>
          <w:szCs w:val="26"/>
          <w:lang w:val="vi-VN"/>
          <w14:textFill>
            <w14:solidFill>
              <w14:schemeClr w14:val="tx1"/>
            </w14:solidFill>
          </w14:textFill>
        </w:rPr>
      </w:pPr>
      <w:r>
        <w:rPr>
          <w:b/>
          <w:i/>
          <w:color w:val="000000" w:themeColor="text1"/>
          <w:sz w:val="26"/>
          <w:szCs w:val="26"/>
          <w:lang w:val="vi-VN"/>
          <w14:textFill>
            <w14:solidFill>
              <w14:schemeClr w14:val="tx1"/>
            </w14:solidFill>
          </w14:textFill>
        </w:rPr>
        <w:t>- Nguyên tắc cung - cầu</w:t>
      </w:r>
    </w:p>
    <w:p w14:paraId="34711284">
      <w:pPr>
        <w:tabs>
          <w:tab w:val="left" w:pos="-540"/>
          <w:tab w:val="left" w:pos="-180"/>
        </w:tabs>
        <w:spacing w:before="120" w:after="120"/>
        <w:ind w:firstLine="567"/>
        <w:jc w:val="both"/>
        <w:rPr>
          <w:color w:val="000000" w:themeColor="text1"/>
          <w:spacing w:val="-6"/>
          <w:sz w:val="26"/>
          <w:szCs w:val="26"/>
          <w:lang w:val="vi-VN"/>
          <w14:textFill>
            <w14:solidFill>
              <w14:schemeClr w14:val="tx1"/>
            </w14:solidFill>
          </w14:textFill>
        </w:rPr>
      </w:pPr>
      <w:r>
        <w:rPr>
          <w:color w:val="000000" w:themeColor="text1"/>
          <w:spacing w:val="-6"/>
          <w:sz w:val="26"/>
          <w:szCs w:val="26"/>
          <w:lang w:val="vi-VN"/>
          <w14:textFill>
            <w14:solidFill>
              <w14:schemeClr w14:val="tx1"/>
            </w14:solidFill>
          </w14:textFill>
        </w:rPr>
        <w:t xml:space="preserve">+ Giá trị của một tài sản được xác định bởi mối quan hệ cung và cầu về tài sản đó trên thị trường. Ngược lại, giá trị của tài sản đó cũng tác động đến cung và cầu về tài sản. Giá trị của tài sản thay đổi tỷ lệ thuận với cầu và tỷ lệ nghịch với cung về tài sản. </w:t>
      </w:r>
    </w:p>
    <w:p w14:paraId="70E01B9B">
      <w:pPr>
        <w:tabs>
          <w:tab w:val="left" w:pos="-540"/>
          <w:tab w:val="left" w:pos="-180"/>
        </w:tabs>
        <w:spacing w:before="120" w:after="12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Giá trị của tài sản được xác định bởi mối quan hệ cung và cầu, trong đó có các yếu tố về đặc điểm vật lý và đặc điểm kinh tế - xã hội khác biệt với những thuộc tính của các tài sản khác. Sự ảnh hưởng của những đặc tính phụ thêm này được phản ánh trong cung - cầu và giá trị tài sản.</w:t>
      </w:r>
    </w:p>
    <w:p w14:paraId="608FF85A">
      <w:pPr>
        <w:tabs>
          <w:tab w:val="left" w:pos="-540"/>
          <w:tab w:val="left" w:pos="-180"/>
          <w:tab w:val="left" w:pos="540"/>
        </w:tabs>
        <w:spacing w:before="120" w:after="120"/>
        <w:ind w:firstLine="567"/>
        <w:jc w:val="both"/>
        <w:rPr>
          <w:b/>
          <w:i/>
          <w:color w:val="000000" w:themeColor="text1"/>
          <w:sz w:val="26"/>
          <w:szCs w:val="26"/>
          <w:lang w:val="vi-VN"/>
          <w14:textFill>
            <w14:solidFill>
              <w14:schemeClr w14:val="tx1"/>
            </w14:solidFill>
          </w14:textFill>
        </w:rPr>
      </w:pPr>
      <w:r>
        <w:rPr>
          <w:b/>
          <w:i/>
          <w:color w:val="000000" w:themeColor="text1"/>
          <w:sz w:val="26"/>
          <w:szCs w:val="26"/>
          <w:lang w:val="vi-VN"/>
          <w14:textFill>
            <w14:solidFill>
              <w14:schemeClr w14:val="tx1"/>
            </w14:solidFill>
          </w14:textFill>
        </w:rPr>
        <w:t>- Nguyên tắc sử dụng tốt nhất và có hiệu quả nhất</w:t>
      </w:r>
    </w:p>
    <w:p w14:paraId="0E377608">
      <w:pPr>
        <w:tabs>
          <w:tab w:val="left" w:pos="-540"/>
          <w:tab w:val="left" w:pos="-180"/>
        </w:tabs>
        <w:spacing w:before="120" w:after="12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Việc sử dụng tốt nhất và có hiệu quả nhất của tài sản là đạt được mức hữu dụng tối đa trong những hoàn cảnh kinh tế - xã hội thực tế phù hợp, có thể cho phép về mặt kỹ thuật, về pháp lý, về tài chính và đem lại giá trị lớn nhất cho tài sản.</w:t>
      </w:r>
    </w:p>
    <w:p w14:paraId="00B7C283">
      <w:pPr>
        <w:tabs>
          <w:tab w:val="left" w:pos="-540"/>
          <w:tab w:val="left" w:pos="-180"/>
        </w:tabs>
        <w:spacing w:before="120" w:after="12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Một tài sản đang sử dụng thực tế không nhất thiết đã thể hiện khả năng sử dụng tốt nhất và có hiệu quả nhất của tài sản đó. </w:t>
      </w:r>
    </w:p>
    <w:p w14:paraId="24ADD882">
      <w:pPr>
        <w:spacing w:before="120" w:after="120"/>
        <w:ind w:firstLine="567"/>
        <w:jc w:val="both"/>
        <w:rPr>
          <w:b/>
          <w:i/>
          <w:color w:val="000000" w:themeColor="text1"/>
          <w:sz w:val="26"/>
          <w:szCs w:val="26"/>
          <w:lang w:val="vi-VN"/>
          <w14:textFill>
            <w14:solidFill>
              <w14:schemeClr w14:val="tx1"/>
            </w14:solidFill>
          </w14:textFill>
        </w:rPr>
      </w:pPr>
      <w:r>
        <w:rPr>
          <w:b/>
          <w:i/>
          <w:color w:val="000000" w:themeColor="text1"/>
          <w:spacing w:val="-3"/>
          <w:sz w:val="26"/>
          <w:szCs w:val="26"/>
          <w:lang w:val="vi-VN"/>
          <w14:textFill>
            <w14:solidFill>
              <w14:schemeClr w14:val="tx1"/>
            </w14:solidFill>
          </w14:textFill>
        </w:rPr>
        <w:t>- Nguyên tắc thay đổi</w:t>
      </w:r>
    </w:p>
    <w:p w14:paraId="3C57C08E">
      <w:pPr>
        <w:spacing w:before="120" w:after="120"/>
        <w:ind w:firstLine="567"/>
        <w:jc w:val="both"/>
        <w:rPr>
          <w:color w:val="000000" w:themeColor="text1"/>
          <w:sz w:val="26"/>
          <w:szCs w:val="26"/>
          <w:lang w:val="vi-VN"/>
          <w14:textFill>
            <w14:solidFill>
              <w14:schemeClr w14:val="tx1"/>
            </w14:solidFill>
          </w14:textFill>
        </w:rPr>
      </w:pPr>
      <w:r>
        <w:rPr>
          <w:color w:val="000000" w:themeColor="text1"/>
          <w:spacing w:val="-3"/>
          <w:sz w:val="26"/>
          <w:szCs w:val="26"/>
          <w:lang w:val="vi-VN"/>
          <w14:textFill>
            <w14:solidFill>
              <w14:schemeClr w14:val="tx1"/>
            </w14:solidFill>
          </w14:textFill>
        </w:rPr>
        <w:t>+ Giá trị của tài sản thay đổi theo sự thay đổi của những yếu tố hình thành và tác động đến giá trị của nó.</w:t>
      </w:r>
    </w:p>
    <w:p w14:paraId="0D82D7F3">
      <w:pPr>
        <w:spacing w:before="120" w:after="120"/>
        <w:ind w:firstLine="567"/>
        <w:jc w:val="both"/>
        <w:rPr>
          <w:color w:val="000000" w:themeColor="text1"/>
          <w:spacing w:val="-8"/>
          <w:sz w:val="26"/>
          <w:szCs w:val="26"/>
          <w:lang w:val="vi-VN"/>
          <w14:textFill>
            <w14:solidFill>
              <w14:schemeClr w14:val="tx1"/>
            </w14:solidFill>
          </w14:textFill>
        </w:rPr>
      </w:pPr>
      <w:r>
        <w:rPr>
          <w:color w:val="000000" w:themeColor="text1"/>
          <w:spacing w:val="-8"/>
          <w:sz w:val="26"/>
          <w:szCs w:val="26"/>
          <w:lang w:val="vi-VN"/>
          <w14:textFill>
            <w14:solidFill>
              <w14:schemeClr w14:val="tx1"/>
            </w14:solidFill>
          </w14:textFill>
        </w:rPr>
        <w:t>+ Giá trị của tài sản cũng được hình thành trong quá trình thay đổi liên tục phản ánh hàng loạt các mối quan hệ nhân quả giữa các yếu tố ảnh hưởng đến giá trị. Bản thân các yếu tố ảnh hưởng đến giá trị luôn luôn thay đổi. Do đó, trong thẩm định giá tài sản, thẩm định viên phải nắm được mối quan hệ nhân quả giữa các nhân tố ở trạng thái động, phải phân tích quá trình thay đổi nhằm xác định mức sử dụng tài sản tốt nhất và có hiệu quả nhất.</w:t>
      </w:r>
    </w:p>
    <w:p w14:paraId="6FA344AA">
      <w:pPr>
        <w:spacing w:before="120" w:after="120"/>
        <w:ind w:firstLine="567"/>
        <w:jc w:val="both"/>
        <w:rPr>
          <w:b/>
          <w:i/>
          <w:color w:val="000000" w:themeColor="text1"/>
          <w:spacing w:val="-3"/>
          <w:sz w:val="26"/>
          <w:szCs w:val="26"/>
          <w:lang w:val="vi-VN"/>
          <w14:textFill>
            <w14:solidFill>
              <w14:schemeClr w14:val="tx1"/>
            </w14:solidFill>
          </w14:textFill>
        </w:rPr>
      </w:pPr>
      <w:r>
        <w:rPr>
          <w:b/>
          <w:i/>
          <w:color w:val="000000" w:themeColor="text1"/>
          <w:spacing w:val="-3"/>
          <w:sz w:val="26"/>
          <w:szCs w:val="26"/>
          <w:lang w:val="vi-VN"/>
          <w14:textFill>
            <w14:solidFill>
              <w14:schemeClr w14:val="tx1"/>
            </w14:solidFill>
          </w14:textFill>
        </w:rPr>
        <w:t>- Nguyên tắc thay thế</w:t>
      </w:r>
    </w:p>
    <w:p w14:paraId="658E2138">
      <w:pPr>
        <w:spacing w:before="120" w:after="12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Trong trường hợp hai hay nhiều tài sản có thể thay thế lẫn nhau trong quá trình sử dụng, thì giá trị của những tài sản đó được xác định bởi sự tác động lẫn nhau của tài sản này đến tài sản khác.</w:t>
      </w:r>
    </w:p>
    <w:p w14:paraId="189D5E1A">
      <w:pPr>
        <w:spacing w:before="120" w:after="120"/>
        <w:ind w:firstLine="567"/>
        <w:jc w:val="both"/>
        <w:rPr>
          <w:color w:val="000000" w:themeColor="text1"/>
          <w:spacing w:val="-4"/>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 Khi hai tài sản có tính hữu ích như nhau, tài sản nào chào bán ở mức giá thấp nhất thì tài sản đó sẽ bán được trước. Giới hạn trên của giá trị tài sản có xu hướng được thiết lập bởi chi phí mua một tài sản thay thế cần thiết tương đương, với điều kiện không có sự chậm trễ quá mức làm ảnh hưởng đến sự thay thế. Một người mua thận trọng sẽ không trả giá cao hơn chi phí mua một tài sản thay thế trong cùng một thị trường và một thời điểm.</w:t>
      </w:r>
    </w:p>
    <w:p w14:paraId="682FCF7A">
      <w:pPr>
        <w:spacing w:before="120" w:after="120"/>
        <w:ind w:firstLine="567"/>
        <w:jc w:val="both"/>
        <w:rPr>
          <w:b/>
          <w:i/>
          <w:color w:val="000000" w:themeColor="text1"/>
          <w:spacing w:val="-3"/>
          <w:sz w:val="26"/>
          <w:szCs w:val="26"/>
          <w:lang w:val="vi-VN"/>
          <w14:textFill>
            <w14:solidFill>
              <w14:schemeClr w14:val="tx1"/>
            </w14:solidFill>
          </w14:textFill>
        </w:rPr>
      </w:pPr>
      <w:r>
        <w:rPr>
          <w:b/>
          <w:i/>
          <w:color w:val="000000" w:themeColor="text1"/>
          <w:spacing w:val="-3"/>
          <w:sz w:val="26"/>
          <w:szCs w:val="26"/>
          <w:lang w:val="vi-VN"/>
          <w14:textFill>
            <w14:solidFill>
              <w14:schemeClr w14:val="tx1"/>
            </w14:solidFill>
          </w14:textFill>
        </w:rPr>
        <w:t>- Nguyên tắc cân bằng</w:t>
      </w:r>
    </w:p>
    <w:p w14:paraId="5157D09D">
      <w:pPr>
        <w:spacing w:before="120" w:after="120"/>
        <w:ind w:firstLine="567"/>
        <w:jc w:val="both"/>
        <w:rPr>
          <w:color w:val="000000" w:themeColor="text1"/>
          <w:spacing w:val="-3"/>
          <w:sz w:val="26"/>
          <w:szCs w:val="26"/>
          <w:lang w:val="vi-VN"/>
          <w14:textFill>
            <w14:solidFill>
              <w14:schemeClr w14:val="tx1"/>
            </w14:solidFill>
          </w14:textFill>
        </w:rPr>
      </w:pPr>
      <w:r>
        <w:rPr>
          <w:color w:val="000000" w:themeColor="text1"/>
          <w:spacing w:val="-3"/>
          <w:sz w:val="26"/>
          <w:szCs w:val="26"/>
          <w:lang w:val="vi-VN"/>
          <w14:textFill>
            <w14:solidFill>
              <w14:schemeClr w14:val="tx1"/>
            </w14:solidFill>
          </w14:textFill>
        </w:rPr>
        <w:t>+ Khi các yếu tố cấu thành của tài sản đạt được sự cân bằng thì tài sản đạt được khả năng sinh lời tối đa hay mức hữu dụng cao nhất. Do đó, để ước tính mức sử dụng tốt nhất và có hiệu quả nhất của tài sản, cần phải phân tích về sự cân bằng của các yếu tố cấu thành của tài sản cần thẩm định giá.</w:t>
      </w:r>
    </w:p>
    <w:p w14:paraId="24231A02">
      <w:pPr>
        <w:spacing w:before="120" w:after="120"/>
        <w:ind w:firstLine="567"/>
        <w:jc w:val="both"/>
        <w:rPr>
          <w:b/>
          <w:i/>
          <w:color w:val="000000" w:themeColor="text1"/>
          <w:spacing w:val="-3"/>
          <w:sz w:val="26"/>
          <w:szCs w:val="26"/>
          <w:lang w:val="vi-VN"/>
          <w14:textFill>
            <w14:solidFill>
              <w14:schemeClr w14:val="tx1"/>
            </w14:solidFill>
          </w14:textFill>
        </w:rPr>
      </w:pPr>
      <w:r>
        <w:rPr>
          <w:b/>
          <w:i/>
          <w:color w:val="000000" w:themeColor="text1"/>
          <w:spacing w:val="-3"/>
          <w:sz w:val="26"/>
          <w:szCs w:val="26"/>
          <w:lang w:val="vi-VN"/>
          <w14:textFill>
            <w14:solidFill>
              <w14:schemeClr w14:val="tx1"/>
            </w14:solidFill>
          </w14:textFill>
        </w:rPr>
        <w:t>- Nguyên tắc đóng góp</w:t>
      </w:r>
    </w:p>
    <w:p w14:paraId="71A99305">
      <w:pPr>
        <w:spacing w:before="120" w:after="120"/>
        <w:ind w:firstLine="567"/>
        <w:jc w:val="both"/>
        <w:rPr>
          <w:color w:val="000000" w:themeColor="text1"/>
          <w:sz w:val="26"/>
          <w:szCs w:val="26"/>
          <w:lang w:val="vi-VN"/>
          <w14:textFill>
            <w14:solidFill>
              <w14:schemeClr w14:val="tx1"/>
            </w14:solidFill>
          </w14:textFill>
        </w:rPr>
      </w:pPr>
      <w:r>
        <w:rPr>
          <w:color w:val="000000" w:themeColor="text1"/>
          <w:spacing w:val="-3"/>
          <w:sz w:val="26"/>
          <w:szCs w:val="26"/>
          <w:lang w:val="vi-VN"/>
          <w14:textFill>
            <w14:solidFill>
              <w14:schemeClr w14:val="tx1"/>
            </w14:solidFill>
          </w14:textFill>
        </w:rPr>
        <w:t>+ Mức độ mà mỗi bộ phận của tài sản đóng góp vào tổng thu nhập từ toàn bộ tài sản có tác động đến tổng giá trị của tài sản đó.</w:t>
      </w:r>
    </w:p>
    <w:p w14:paraId="117A0DEC">
      <w:pPr>
        <w:spacing w:before="120" w:after="120"/>
        <w:ind w:firstLine="567"/>
        <w:jc w:val="both"/>
        <w:rPr>
          <w:color w:val="000000" w:themeColor="text1"/>
          <w:spacing w:val="-4"/>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 Giá trị của một tác nhân sản xuất hay một bộ phận cấu thành tài sản phụ thuộc vào sự vắng mặt của tác nhân đó làm giảm đi bao nhiêu giá trị của toàn bộ tài sản, có nghĩa là lượng giá trị mà nó đóng góp vào giá trị toàn bộ là bao nhiêu. Khi xem xét giá trị của tài sản bộ phận, thẩm định viên cần phải xem xét nó trong mối quan hệ với tài sản tổng thể.</w:t>
      </w:r>
    </w:p>
    <w:p w14:paraId="1274C7D1">
      <w:pPr>
        <w:spacing w:before="120" w:after="120"/>
        <w:ind w:firstLine="567"/>
        <w:jc w:val="both"/>
        <w:rPr>
          <w:color w:val="000000" w:themeColor="text1"/>
          <w:spacing w:val="-11"/>
          <w:sz w:val="26"/>
          <w:szCs w:val="26"/>
          <w:lang w:val="vi-VN"/>
          <w14:textFill>
            <w14:solidFill>
              <w14:schemeClr w14:val="tx1"/>
            </w14:solidFill>
          </w14:textFill>
        </w:rPr>
      </w:pPr>
      <w:r>
        <w:rPr>
          <w:color w:val="000000" w:themeColor="text1"/>
          <w:spacing w:val="-11"/>
          <w:sz w:val="26"/>
          <w:szCs w:val="26"/>
          <w:lang w:val="vi-VN"/>
          <w14:textFill>
            <w14:solidFill>
              <w14:schemeClr w14:val="tx1"/>
            </w14:solidFill>
          </w14:textFill>
        </w:rPr>
        <w:t>+ Nguyên tắc này là nguyên tắc cơ bản trong việc xem xét tính khả thi của việc đầu tư bổ sung vào tài sản khi thẩm định viên xác định mức sử dụng tài sản tốt nhất và có hiệu quả nhất.</w:t>
      </w:r>
    </w:p>
    <w:p w14:paraId="25224F6E">
      <w:pPr>
        <w:spacing w:before="120" w:after="120"/>
        <w:ind w:firstLine="567"/>
        <w:jc w:val="both"/>
        <w:rPr>
          <w:b/>
          <w:i/>
          <w:color w:val="000000" w:themeColor="text1"/>
          <w:spacing w:val="-3"/>
          <w:sz w:val="26"/>
          <w:szCs w:val="26"/>
          <w:lang w:val="vi-VN"/>
          <w14:textFill>
            <w14:solidFill>
              <w14:schemeClr w14:val="tx1"/>
            </w14:solidFill>
          </w14:textFill>
        </w:rPr>
      </w:pPr>
      <w:r>
        <w:rPr>
          <w:b/>
          <w:i/>
          <w:color w:val="000000" w:themeColor="text1"/>
          <w:spacing w:val="-3"/>
          <w:sz w:val="26"/>
          <w:szCs w:val="26"/>
          <w:lang w:val="vi-VN"/>
          <w14:textFill>
            <w14:solidFill>
              <w14:schemeClr w14:val="tx1"/>
            </w14:solidFill>
          </w14:textFill>
        </w:rPr>
        <w:t>- Nguyên tắc phù hợp</w:t>
      </w:r>
    </w:p>
    <w:p w14:paraId="304DF2C6">
      <w:pPr>
        <w:spacing w:before="120" w:after="120"/>
        <w:ind w:firstLine="567"/>
        <w:jc w:val="both"/>
        <w:rPr>
          <w:b/>
          <w:bCs/>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Tài sản cần phải phù hợp với môi trường của nó nhằm đạt được mức sinh lời tối đa hoặc mức hữu dụng cao nhất. Do đó, thẩm định viên phải phân tích xem liệu tài sản đó có phù hợp với môi trường hay không khi thẩm định viên xác định mức sử dụng tài sản tốt nhất và có hiệu quả nhất.</w:t>
      </w:r>
      <w:r>
        <w:rPr>
          <w:b/>
          <w:bCs/>
          <w:color w:val="000000" w:themeColor="text1"/>
          <w:sz w:val="26"/>
          <w:szCs w:val="26"/>
          <w:lang w:val="vi-VN"/>
          <w14:textFill>
            <w14:solidFill>
              <w14:schemeClr w14:val="tx1"/>
            </w14:solidFill>
          </w14:textFill>
        </w:rPr>
        <w:t xml:space="preserve">          </w:t>
      </w:r>
    </w:p>
    <w:p w14:paraId="3967582B">
      <w:pPr>
        <w:spacing w:before="120" w:after="120"/>
        <w:ind w:firstLine="567"/>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3. Phương pháp định giá:</w:t>
      </w:r>
      <w:bookmarkStart w:id="23" w:name="dieu_5"/>
    </w:p>
    <w:p w14:paraId="0EC9CF59">
      <w:pPr>
        <w:spacing w:before="120" w:beforeLines="50" w:after="120"/>
        <w:ind w:firstLine="560"/>
        <w:rPr>
          <w:rFonts w:eastAsia="Tahoma"/>
          <w:b/>
          <w:color w:val="000000" w:themeColor="text1"/>
          <w:sz w:val="26"/>
          <w:szCs w:val="26"/>
          <w:lang w:val="vi-VN"/>
          <w14:textFill>
            <w14:solidFill>
              <w14:schemeClr w14:val="tx1"/>
            </w14:solidFill>
          </w14:textFill>
        </w:rPr>
      </w:pPr>
      <w:bookmarkStart w:id="24" w:name="_Hlk136498530"/>
      <w:r>
        <w:rPr>
          <w:rFonts w:eastAsia="Tahoma"/>
          <w:b/>
          <w:bCs/>
          <w:color w:val="000000" w:themeColor="text1"/>
          <w:sz w:val="26"/>
          <w:szCs w:val="26"/>
          <w:lang w:val="vi-VN"/>
          <w14:textFill>
            <w14:solidFill>
              <w14:schemeClr w14:val="tx1"/>
            </w14:solidFill>
          </w14:textFill>
        </w:rPr>
        <w:t xml:space="preserve">3.1. </w:t>
      </w:r>
      <w:r>
        <w:rPr>
          <w:rFonts w:eastAsia="Tahoma"/>
          <w:b/>
          <w:color w:val="000000" w:themeColor="text1"/>
          <w:sz w:val="26"/>
          <w:szCs w:val="26"/>
          <w:lang w:val="vi-VN"/>
          <w14:textFill>
            <w14:solidFill>
              <w14:schemeClr w14:val="tx1"/>
            </w14:solidFill>
          </w14:textFill>
        </w:rPr>
        <w:t>Đánh giá các yếu tố ảnh hưởng đến giá đất của khu đất cần định giá:</w:t>
      </w:r>
    </w:p>
    <w:p w14:paraId="3B8DE31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Thị trường bất động sản có vai trò, đóng góp quan trọng trong nền kinh tế quốc dân và chiếm tỷ trọng lớn trong lượng của cải vật chất của đất nước. Ước tính đóng góp trung bình của ngành Xây dựng và bất động sản vào GDP các năm gần đây chiếm khoảng 11% tổng thu ngân sách. Trong đó, ngành bất động sản trực tiếp chiếm khoảng 4,5%, đóng góp trung bình khoảng 0,5 điểm phần trăm vào tăng trưởng GDP. Đặc biệt, lĩnh vực bất động sản có khả năng tác động đến nhiều ngành kinh tế quan trọng khác của nền kinh tế, nhất là những ngành liên quan trực tiếp như xây dựng, công nghiệp chế biến chế tạo, du lịch, lưu trú - ăn uống và tài chính - ngân hàng...Ngoài ra, thị trường bất động sản còn ảnh hưởng lớn đến an sinh xã hội: đáp ứng nhu cầu về chỗ ở của người dân, phát triển đô thị, du lịch, tạo công ăn việc làm...</w:t>
      </w:r>
    </w:p>
    <w:p w14:paraId="4D4D4AA2">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xml:space="preserve">Tuy nhiên, trong những năm gần đây, thị trường bất động sản cả nước đã và đang trải qua những đợt chao đảo mạnh, do ảnh hưởng kéo dài của dịch bệnh khiến thanh khoản toàn thị trường kém ở nhiều phân khúc. Các tài sản cho thuê bị bỏ trống hàng loạt, bất động sản nhà ở, thương mại, tiêu dùng ế ẩm, nhiều nhà đầu tư và khách mua nhà mất khả năng thanh toán, các doanh nghiệp địa ốc khó khăn dòng tiền... Thị trường khó có cơ hội đảo chiều từ giảm tốc sang nóng sốt trong giai đoạn hiện nay. Ngoài ảnh hưởng từ dịch Covid-19 bùng phát kéo dài và phủ rộng khắp thêm vào đó trong bối cảnh xung đột Nga - Ukraine ngày càng leo thang dữ dội gây ảnh hưởng sâu sắc, toàn diện và tiêu cực, trước mắt và lâu dài tới kinh tế, thương mại, tài chính, tới chuỗi sản xuất và cung ứng toàn cầu của thế giới cũng như Việt Nam. Việt Nam là nước có độ mở kinh tế rất cao, hội nhập rất sâu vào kinh tế toàn cầu. Vì vậy, sẽ chịu ảnh hưởng không nhỏ bởi những biến động thị trường; tới tăng trưởng, phát triển kinh tế, hợp tác kinh tế thương mại, cũng như xuất nhập khẩu hàng hóa. Dưới sự tác động sâu sắc từ dịch bệnh và những tác động lớn từ xung đột Nga – Ukraine khiến lạm phát tăng cao, người dân đối mặt khó khăn hơn về mặt tài chính, sức mua giảm rõ rệt, dự kiến sẽ ảnh hưởng không nhỏ tới thị trường bất động sản. </w:t>
      </w:r>
    </w:p>
    <w:p w14:paraId="293516EC">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năm 2022 và đặc biệt là nửa cuối năm 2022 và sang năm 2023, thị trường bất động sản gặp nhiều khó khăn do bối cảnh chung của tình hình kinh tế, bất động sản của thế giới cũng như nền kinh tế Việt Nam đang trong quá trình phục hồi phát triển; Một số tồn tại, hạn chế kéo dài từ trước chưa thể khắc phục triệt để, như: hệ thống pháp luật liên quan đến đất đai, đầu tư, xây dựng, kinh doanh bất động sản vẫn còn một số tồn tại, bất cập; Nguồn cung khan hiếm do nhiều dự án bất động sản tại các địa phương gặp nhiều khó khăn trong triển khai thực hiện, nhà ở giảm nhiều so với thời gian trước; Cơ cấu sản phẩm không hợp lý, dư thừa sản phẩm, phân khúc cao cấp, trong khi thiếu nhà ở cho công nhân, nhà ở xã hội. Nhiều Tập đoàn, doanh nghiệp kinh doanh bất động sản gặp nhiều khó khăn trong tiếp cận nguồn vốn vay tín dụng, phát hành trái phiếu và huy động vốn của khách hàng dẫn đến doanh nghiệp thiếu vốn phải giãn tiến độ, dừng triển khai thực hiện dự án.</w:t>
      </w:r>
    </w:p>
    <w:p w14:paraId="74BD2F0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xml:space="preserve">Thủ tướng Phạm Minh Chính yêu cầu Ngân hàng Nhà nước tổng hợp, phân tích dữ liệu để có đánh giá nhằm kiểm soát tín dụng vào lĩnh vực rủi ro như </w:t>
      </w:r>
      <w:r>
        <w:fldChar w:fldCharType="begin"/>
      </w:r>
      <w:r>
        <w:instrText xml:space="preserve"> HYPERLINK "https://www.vietnamplus.vn/tags/t%c3%adn-d%e1%bb%a5ng-b%e1%ba%a5t-%c4%91%e1%bb%99ng-s%e1%ba%a3n.vnp" </w:instrText>
      </w:r>
      <w:r>
        <w:fldChar w:fldCharType="separate"/>
      </w:r>
      <w:r>
        <w:rPr>
          <w:rFonts w:eastAsia="Tahoma"/>
          <w:color w:val="000000" w:themeColor="text1"/>
          <w:sz w:val="26"/>
          <w:szCs w:val="26"/>
          <w:lang w:val="vi-VN"/>
          <w14:textFill>
            <w14:solidFill>
              <w14:schemeClr w14:val="tx1"/>
            </w14:solidFill>
          </w14:textFill>
        </w:rPr>
        <w:t>tín dụng bất động sản</w:t>
      </w:r>
      <w:r>
        <w:rPr>
          <w:rFonts w:eastAsia="Tahoma"/>
          <w:color w:val="000000" w:themeColor="text1"/>
          <w:sz w:val="26"/>
          <w:szCs w:val="26"/>
          <w:lang w:val="vi-VN"/>
          <w14:textFill>
            <w14:solidFill>
              <w14:schemeClr w14:val="tx1"/>
            </w14:solidFill>
          </w14:textFill>
        </w:rPr>
        <w:fldChar w:fldCharType="end"/>
      </w:r>
      <w:r>
        <w:rPr>
          <w:rFonts w:eastAsia="Tahoma"/>
          <w:color w:val="000000" w:themeColor="text1"/>
          <w:sz w:val="26"/>
          <w:szCs w:val="26"/>
          <w:lang w:val="vi-VN"/>
          <w14:textFill>
            <w14:solidFill>
              <w14:schemeClr w14:val="tx1"/>
            </w14:solidFill>
          </w14:textFill>
        </w:rPr>
        <w:t xml:space="preserve"> và chứng khoán.</w:t>
      </w:r>
    </w:p>
    <w:p w14:paraId="18C3055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Nửa cuối năm 2022 dưới tình trạng “cạn room” của các ngân hàng đã khiến người vay vốn đầu tư hoặc mua nhà để ở đang gặp tình trạng “treo” hồ sơ chờ ngân hàng “nới room” tín dụng cho vay.</w:t>
      </w:r>
    </w:p>
    <w:p w14:paraId="0CB027E2">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xml:space="preserve">Để ngăn chặn tình trạng cấp tín dụng ồ ạt, các ngân hàng tạm dừng hoặc hạn chế cho vay vào lĩnh vực bất động sản. Các ngân hàng thương mại đã ban hành công văn trên toàn hệ thống, cho biết sẽ không cấp tín dụng đối với lĩnh vực bất động sản. Các ngân hàng tập trung tín dụng vào một số lĩnh vực sản xuất, ưu tiên nông nghiệp, nông thôn, xuất khẩu, công nghiệp hỗ trợ, doanh nghiệp nhỏ và vừa, ứng dụng công nghệ cao và các ngành thương mại, dịch vụ có giá trị gia tăng gia tăng cao như xất khẩu, dịch vụ, logictics…. </w:t>
      </w:r>
    </w:p>
    <w:p w14:paraId="5CF6BDB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Sáng 8/11/2022, hơn 10 doanh nghiệp bất động sản khu vực phía Nam đã có buổi làm việc với Phó thủ tướng Chính phủ Lê Minh Khái và Bộ Xây dựng, trong đó có một số doanh nghiệp lớn như: Novaland, Phú Mỹ Hưng, Hưng Thịnh, Him Lam, Lê Thành, Sơn Kim Land, DIC Corp, Khang Điền…</w:t>
      </w:r>
    </w:p>
    <w:p w14:paraId="00D8698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Cuộc họp diễn ra tại Văn phòng Chính phủ TP.HCM trong bối cảnh các doanh nghiệp bất động sản đối diện nhiều khó khăn.</w:t>
      </w:r>
    </w:p>
    <w:p w14:paraId="09541571">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báo cáo tóm tắt gửi đến cuộc họp, Bộ Xây dựng cho biết hoạt động của các doanh nghiệp kinh doanh bất động sản đang gặp nhiều khó khăn: “Một số tập đoàn, doanh nghiệp bất động sản đang thu hẹp quy mô đầu tư sản xuất kinh doanh như dừng, hoãn đầu tư, thi công một số dự án, dừng triển khai dự án mới, dừng phát hành cổ phiếu tăng vốn, dừng IPO... Một số phải tinh giản tối đa bộ máy, giảm lực lượng lao động, thậm chí có tập đoàn giảm đến 50% lực lượng lao động”, Bộ Xây dựng nhận định.</w:t>
      </w:r>
    </w:p>
    <w:p w14:paraId="79C73D8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ông Lê Hoàng Châu, Chủ tịch Hiệp hội Bất động sản TP.HCM (HoREA), do tắc nguồn vốn tín dụng, tắc nguồn vốn trái phiếu, tắc cả nguồn vốn huy động từ khách hàng, nên một số doanh nghiệp bất động sản “đói vốn” phải vay ngoài xã hội với lãi suất rất cao, đầy rủi ro.</w:t>
      </w:r>
    </w:p>
    <w:p w14:paraId="6B90798F">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xml:space="preserve">Đồng thời, họ phải bán bớt tài sản, dự án hoặc bán sản phẩm bất động sản, nhà ở với chiết khấu sâu, thậm chí đến 40% giá hợp đồng, tạo cơ hội cho khách hàng mua với giá rẻ, nhưng có rủi ro do là sản phẩm hình thành trong tương lai. Bên cạnh đó, việc bán dự án với giá hời có thể tạo lợi thế cho các nhà đầu tư có tiềm lực </w:t>
      </w:r>
      <w:r>
        <w:fldChar w:fldCharType="begin"/>
      </w:r>
      <w:r>
        <w:instrText xml:space="preserve"> HYPERLINK "http://baodautu.vn/tai-chinh-bao-hiem-d6/" </w:instrText>
      </w:r>
      <w:r>
        <w:fldChar w:fldCharType="separate"/>
      </w:r>
      <w:r>
        <w:rPr>
          <w:rFonts w:eastAsia="Tahoma"/>
          <w:color w:val="000000" w:themeColor="text1"/>
          <w:sz w:val="26"/>
          <w:szCs w:val="26"/>
          <w:lang w:val="vi-VN"/>
          <w14:textFill>
            <w14:solidFill>
              <w14:schemeClr w14:val="tx1"/>
            </w14:solidFill>
          </w14:textFill>
        </w:rPr>
        <w:t>tài chính</w:t>
      </w:r>
      <w:r>
        <w:rPr>
          <w:rFonts w:eastAsia="Tahoma"/>
          <w:color w:val="000000" w:themeColor="text1"/>
          <w:sz w:val="26"/>
          <w:szCs w:val="26"/>
          <w:lang w:val="vi-VN"/>
          <w14:textFill>
            <w14:solidFill>
              <w14:schemeClr w14:val="tx1"/>
            </w14:solidFill>
          </w14:textFill>
        </w:rPr>
        <w:fldChar w:fldCharType="end"/>
      </w:r>
      <w:r>
        <w:rPr>
          <w:rFonts w:eastAsia="Tahoma"/>
          <w:color w:val="000000" w:themeColor="text1"/>
          <w:sz w:val="26"/>
          <w:szCs w:val="26"/>
          <w:lang w:val="vi-VN"/>
          <w14:textFill>
            <w14:solidFill>
              <w14:schemeClr w14:val="tx1"/>
            </w14:solidFill>
          </w14:textFill>
        </w:rPr>
        <w:t xml:space="preserve"> mạnh, trong đó có nhà đầu tư nước ngoài có cơ hội thôn tính có thể làm mất đi lợi thế của doanh nghiệp nội địa đang thống lĩnh thị trường bất động sản hiện nay.</w:t>
      </w:r>
    </w:p>
    <w:p w14:paraId="209461CE">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Song song đó, Hiệp hội đề nghị Chính phủ tháo gỡ các khó khăn về nguồn vốn cho doanh nghiệp về cả tín dụng lẫn trái phiếu. “Thị trường bất động sản đang rất khó khăn, đứng trước khả năng có thể rơi vào suy thoái nếu Nhà nước không sớm ban hành các giải pháp điều chỉnh, hỗ trợ kịp thời và hiệu quả”, ông Lê Hoàng Châu nhấn mạnh.</w:t>
      </w:r>
    </w:p>
    <w:p w14:paraId="7778E33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Để tháo gỡ khó khăn cho thị trường bất động sản, Thủ tướng Chính phủ đã thành lập Tổ công tác của Thủ tướng Chính phủ và ban hành nhiều Công điện (số 1156/CĐ-TTg, số 1163/CĐ-TTg, số 1164/CĐ-TTg…), chỉ đạo các Bộ, ngành, địa phương thực hiện nhiều nhiệm vụ, giải pháp trong ngắn hạn cũng như lâu dài để tháo gỡ, thúc đẩy thị trường bất động sản phát triển an toàn, lành mạnh, bền vững. Tổ công tác, Bộ Xây dựng, Bộ Tài chính, Ngân hàng Nhà nước Việt Nam và các Bộ, ngành, địa phương đã khẩn trương, tích cực triển khai, thực hiện các nhiệm vụ được giao và đạt được một số kết quả cụ thể.</w:t>
      </w:r>
    </w:p>
    <w:p w14:paraId="73B29F55">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Hiện nay, tình hình thị trường bất động sản đã có những chuyển biến, tuy nhiên thị trường vẫn còn nhiều khó khăn về thể chế, nguồn vốn tín dụng, trái phiếu,…và tổ chức thực thi của địa phương cần được tập trung tháo gỡ, thúc đẩy.</w:t>
      </w:r>
    </w:p>
    <w:p w14:paraId="2697699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Chính phủ ban hành nghị quyết về một số giải pháp tháo gỡ khó khăn để thị trường bất động sản phát triển an toàn, lành mạnh, bền vững tại nghị quyết số 10/NQ-CP ngày 3/2/2023 phiên họp Chính phủ thường kỳ tháng 01 năm 2023 trực tuyến với địa phương nhận định: Trong tháng 1/2023, thị trường bất động sản tiếp tục đối mặt với nhiều khó khăn, nhất là về thanh khoản, dòng tiền, trái phiếu doanh nghiệp bất động sản...; Ban hành nghị quyết 33/NQQ-CP ngày 11/03/2023 về một số giải pháp tháo gõ và thúc đẩy thị trường bất động sản phát triển an toàn, lành mạnh, bền vững.</w:t>
      </w:r>
    </w:p>
    <w:p w14:paraId="19BB1E2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Trên cơ sở đó, Nghị quyết của Chính phủ yêu cầu Ngân hàng Nhà nước Việt Nam chủ trì, phối hợp với các cơ quan, địa phương tiếp tục tháo gỡ khó khăn về tín dụng bất động sản đối với các doanh nghiệp bất động sản và người mua theo đúng chỉ đạo của Thủ tướng Chính phủ tại Chỉ thị số 03/CT-TTg ngày 27/01/2023.</w:t>
      </w:r>
    </w:p>
    <w:p w14:paraId="3A81670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Bộ Xây dựng chủ trì, phối hợp với các cơ quan, địa phương khẩn trương rà soát, đề xuất các biện pháp đồng bộ tháo gỡ khó khăn cho thị trường bất động sản và chuẩn bị tổ chức Hội nghị tháo gỡ khó khăn cho thị trường bất động sản, báo cáo Thủ tướng Chính phủ trước ngày 15/02/2023.</w:t>
      </w:r>
    </w:p>
    <w:p w14:paraId="115A911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Tại hội nghị lần thứ hai trong nửa năm qua về các giải pháp tháo gỡ khó khăn cho bất động sản, chiều ngày 03/8/2023, Thủ tướng Phạm Minh Chính yêu cầu các cơ quan quản lý tiếp tục rà soát khung khổ pháp lý, "xem vướng mắc ở đâu, tại văn bản nào, nội dung gì, ai giải quyết, giải quyết trong bao lâu". Cũng tại cuộc họp ông Lê Tự Minh, Chủ tịch Công ty cổ phần đầu tư IMG trao đổi vấn đề lãi suất vay trung hạn vẫn khá cao nên  doanh nghiệp không muốn vay, không dám vay, các doanh nghiệp rất khó khăn trong tiếp cận vốn vay ngân hàng.</w:t>
      </w:r>
    </w:p>
    <w:p w14:paraId="5A7C405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Thủ tướng yêu cầu Ngân hàng Nhà nước và các bộ nghiên cứu sửa ngay quy định tại Thông tư 06 về cho vay, trong đó có lĩnh vực bất động sản. Chỉ đạo này được Thủ tướng Phạm Minh Chính đưa ra ngày 16/8/2023. Theo đó, ông giao Phó thủ tướng Lê Minh Khái chủ trì, họp ngay với Thống đốc Ngân hàng Nhà nước và các bộ, ngành để nghiên cứu, sửa điểm bất hợp lý trong tiếp cận tín dụng vay, trong đó có lĩnh vực bất động sản nêu tại Thông tư 06/2023. Thông tư 06 dự kiến có hiệu lực từ 1/9, bổ sung quy định không được vay vốn để góp vốn, hợp tác đầu tư với dự án đầu tư không đủ điều kiện kinh doanh. Quy định này, theo phản ánh của giới chuyên gia, sẽ dẫn tới tình trạng một số khách hàng có nhu cầu vay vốn, gồm doanh nghiệp bất động sản, người mua nhà, nhà đầu tư, sẽ không tiếp cận được tín dụng do "dự án chưa đủ điều kiện kinh doanh".</w:t>
      </w:r>
    </w:p>
    <w:p w14:paraId="6BBD63E1">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Thị trường bất động sản, nhất là một số dự án lớn sau thời gian đóng băng, gần đây đã "nhúc nhích" khởi động sau sự vào cuộc gỡ khó của Chính phủ, bộ ngành và địa phương. Tuy vậy, thị trường này vẫn chưa thực sự "tan băng", doanh nghiệp bất động sản chưa hết khó khăn.</w:t>
      </w:r>
    </w:p>
    <w:p w14:paraId="5BADAED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số liệu của Bộ Xây dựng, quý II năm 2023 chỉ có 7 dự án bất động sản, nhà ở hoàn thành với hơn 2.420 căn, giảm một nửa so với quý I và chỉ bằng 30% so với cùng kỳ năm ngoái. Việc triển khai các dự án bị chậm hoặc dừng do gặp khó khăn về pháp lý, vốn.</w:t>
      </w:r>
    </w:p>
    <w:p w14:paraId="311A4581">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số liệu báo cáo của 52/63 địa phương, lượng tồn kho bất động sản trong quý III năm 2023 vào khoảng 16.940 căn (bao gồm chung cư, nhà ở riêng lẻ, đất nền), trong đó: chung cư 3.196 căn; nhà ở riêng lẻ 6.554 căn; đất nền 7.190 nền.</w:t>
      </w:r>
    </w:p>
    <w:p w14:paraId="57E92AF2">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Từ đầu năm đến nay nền kinh tế Việt Nam tiếp tục duy trì đà hồi phục với tốc độ chậm. Quý 3/2023, GDP cả nước ghi nhận mức tăng 5.33% so với cùng kỳ, tăng nhẹ so với mức tăng 4.05% của Quý 2/23. Lũy kết 9 tháng đầu năm  2023, GDP Việt Nam tăng trưởng 4.24% so với cùng kỳ, tuy nhiên vẫn còn cách khá xa so với mục tiêu tăng trưởng 6.5% trong năm nay của Chính phủ.</w:t>
      </w:r>
    </w:p>
    <w:p w14:paraId="272171E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quý 3, lạm phát tăng 2.89% so với cùng kỳ trong đó giá thuê nhà (tăng 28.5% so với cùng kỳ) là yếu tố tác động lớn nhất tới CPI, bên cạnh giá lương thực và giáo dục. CPI bình quân 9T/2023 tăng 3.16% so với cùng kỳ năm trước, thấp hơn mục tiêu 4.5% của cả năm 2023.</w:t>
      </w:r>
    </w:p>
    <w:p w14:paraId="491AE17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Về phía ngân hàng thì NHNN 4 lần hạ lãi suất huy động, kéo mặt bằng lãi suất cho vay về tương đương đầu năm 2022. Chính sách tiền tệ chuyển từ “chặt chẽ, chắc chắn” sang “linh hoạt, nới lỏng”. NHNN hút ròng 90,000 tỷ qua kênh tín phiếu nhằm giảm áp lực tỷ giá. Triển khai gói ưu đãi NOXH 120,000 tỷ, lãi suất thấp hơn từ 1.5-2%/năm so với thị trường. Phê duyệt đề án 1 triệu căn NOXH giai đoạn 2021-2030. Các chính sách tài khóa hỗ trợ doanh nghiệp và người dân như cho phép giãn hoãn thuế, giảm 2% thuế VAT, giảm 30% tiền thuê đất góp phần làm giảm bớt - chia sẻ khó khăn cho thị trường.</w:t>
      </w:r>
    </w:p>
    <w:p w14:paraId="274951F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Tình hình GDP tăng trưởng thấp. Nền kinh tế có độ mở cao, dễ bị tác động mạnh bởi tình hình thế giới kinh tế, chính trị của thế giới: Chiến tranh Nga - Ukraine, chiến tranh Israel vs Hamas. Kinh tế Châu Âu đình trệ, lãi suất các ngân hàng trung ương như FED và ECB tiếp tục tăng cao gây áp lực lên tỷ giá và nền kinh tế trong nước. Lãi suất huy động đã giảm, tuy nhiên lãi suất cho vay vẫn chưa thực sự giảm do lượng tiền gửi tiết kiệm mà ngân hàng huy động trước đó vẫn ở mức cao, cung tiền trong nền kinh tế bị hạn chế do NHNN hút tiền qua tín phiếu để ổn định tỷ giá. Cho nên thị trường cần thêm thời gian để doanh nghiệp và người dân có thể tiếp cận được khoản vay lãi suất thấp. Cầu mua, thuê nhà ở giảm, dẫn đến cho vay nhà ở giảm hoặc tăng chậm.</w:t>
      </w:r>
    </w:p>
    <w:p w14:paraId="42D9B37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Gói tín dụng hỗ trợ NOXH triển khai nhưng doanh nghiệp khó tiếp cận do các thủ tục còn nhiều vướng mắc chưa thể đẩy nhanh. Hơn nữa lãi suất ưu đãi cho NOXH vẫn ở mức cao, khoảng trên 8%/năm khiến người mua vẫn gặp nhiều khó khăn khi tiếp cận</w:t>
      </w:r>
    </w:p>
    <w:p w14:paraId="34C5B99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Hiện nay, tình hình thị trường bất động sản vẫn còn nhiều khó khăn về thể chế, nguồn vốn tín dụng, trái phiếu,…và tổ chức thực thi của địa phương cần được tập trung tháo gỡ, thúc đẩy. Tổ công tác, Bộ Xây dựng, Bộ Tài chính, Ngân hàng Nhà nước Việt Nam và các Bộ, ngành, địa phương đã và tiếp tục khẩn trương, tích cực triển khai, thực hiện các nhiệm vụ được giao.</w:t>
      </w:r>
    </w:p>
    <w:p w14:paraId="206C960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*Ngày 12/01/2024, Bộ Xây dựng đã có Thông cáo 04/TC-BXD về việc công bố thông tin về nhà ở và thị trường bất động sản quý IV năm 2023 và cả năm 2023:</w:t>
      </w:r>
    </w:p>
    <w:p w14:paraId="00C4D77A">
      <w:pPr>
        <w:spacing w:before="60"/>
        <w:ind w:firstLine="567"/>
        <w:jc w:val="both"/>
        <w:rPr>
          <w:i/>
          <w:color w:val="000000" w:themeColor="text1"/>
          <w:sz w:val="26"/>
          <w:szCs w:val="26"/>
          <w:u w:val="single"/>
          <w:lang w:val="vi-VN"/>
          <w14:textFill>
            <w14:solidFill>
              <w14:schemeClr w14:val="tx1"/>
            </w14:solidFill>
          </w14:textFill>
        </w:rPr>
      </w:pPr>
      <w:r>
        <w:rPr>
          <w:i/>
          <w:color w:val="000000" w:themeColor="text1"/>
          <w:sz w:val="26"/>
          <w:szCs w:val="26"/>
          <w:u w:val="single"/>
          <w:lang w:val="vi-VN"/>
          <w14:textFill>
            <w14:solidFill>
              <w14:schemeClr w14:val="tx1"/>
            </w14:solidFill>
          </w14:textFill>
        </w:rPr>
        <w:t xml:space="preserve">- Về tồn kho bất động sản: </w:t>
      </w:r>
    </w:p>
    <w:p w14:paraId="1A8B0EA2">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số liệu báo cáo của 53/63 địa phương, lượng tồn kho bất động sản tại các dự án trong quý IV vào khoảng 16.315 căn (bao gồm chung cư, nhà ở riêng lẻ, đất nền), trong đó: chung cư 2.826 căn; nhà ở riêng lẻ 5.173 căn; đất nền 8.316 nền. Theo đó, có thể thấy tỷ trọng tồn kho chủ yếu ở phân khúc bất động sản nhà ở riêng lẻ và đất nền của các dự án. Lượng tồn kho thuộc phân khúc nhà chung cư trong quý IV bằng khoảng 88,42% so với quý III/2023; lượng tồn kho thuộc phân khúc đất nền bằng khoảng 115,66% so với quý III/2023 và lượng tồn kho thuộc phân khúc nhà ở riêng lẻ bằng khoảng 78,93% so với quý III/2023. Nhìn chung, trong năm 2023, lượng tồn kho bất động sản trong các dự án đối với các phân khúc nhà ở chung cư, nhà ở riêng lẻ và phân khúc đất nền có xu hướng giảm.</w:t>
      </w:r>
    </w:p>
    <w:p w14:paraId="63BD0FE1">
      <w:pPr>
        <w:spacing w:before="60"/>
        <w:ind w:firstLine="567"/>
        <w:jc w:val="both"/>
        <w:rPr>
          <w:i/>
          <w:color w:val="000000" w:themeColor="text1"/>
          <w:sz w:val="26"/>
          <w:szCs w:val="26"/>
          <w:u w:val="single"/>
          <w:lang w:val="vi-VN"/>
          <w14:textFill>
            <w14:solidFill>
              <w14:schemeClr w14:val="tx1"/>
            </w14:solidFill>
          </w14:textFill>
        </w:rPr>
      </w:pPr>
      <w:r>
        <w:rPr>
          <w:i/>
          <w:color w:val="000000" w:themeColor="text1"/>
          <w:sz w:val="26"/>
          <w:szCs w:val="26"/>
          <w:u w:val="single"/>
          <w:lang w:val="vi-VN"/>
          <w14:textFill>
            <w14:solidFill>
              <w14:schemeClr w14:val="tx1"/>
            </w14:solidFill>
          </w14:textFill>
        </w:rPr>
        <w:t xml:space="preserve">- Về giá giao dịch: </w:t>
      </w:r>
    </w:p>
    <w:p w14:paraId="67170476">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Đối với căn hộ chung cư: Trong Quý IV/2023, theo số liệu tổng hợp báo cáo của các địa phương và thông tin khảo sát đánh giá của các tổ chức nghiên cứu thị trường thì giá căn hộ chung cư tiếp tục xu hướng tăng giá tại 02 thành phố lớn là Hà Nội và TP. Hồ Chí Minh, đặc biệt là các khu vực trung tâm. Trên thị trường gần như không có dự án phân khúc căn hộ bình dân (giá dưới 25 triệu đồng/m2) mà chủ yếu là phân khúc căn hộ trung cấp (giá từ 25-50 triệu đồng/m2) đủ điều kiện huy động vốn và giao dịch.</w:t>
      </w:r>
    </w:p>
    <w:p w14:paraId="79132397">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Đối với nhà ở riêng lẻ, đất nền trong dự án: Trong quý IV/2023, theo báo cáo nghiên cứu về thị trường bất động sản thì giá giao dịch thứ cấp nhà ở riêng lẻ trong năm 2023 tại các địa phương có xu hướng giảm đều theo quý và giảm từ 10÷14% so với năm 2022.</w:t>
      </w:r>
    </w:p>
    <w:p w14:paraId="6E495A4E">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Đối với văn phòng cho thuê: Trong Quý IV/2023, giá cho thuê văn phòng tại các thành phố lớn như Tp. Hà Nội, Tp. Hồ Chí Minh có xu hướng giảm giá thuê 9 -22% so với quý trước, đồng thời tình trạng trả mặt bằng và xu hướng dịch chuyển văn phòng từ khu vực trung tâm ra các vùng phụ cận tăng hơn quý trước.</w:t>
      </w:r>
    </w:p>
    <w:p w14:paraId="0F1A4552">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Tại Tp. Hà Nội: một số tòa nhà, trụ sở văn phòng, nhiều đơn vị cho thuê văn phòng trên phố Duy Tân (quận Cầu Giấy, Hà Nội) gần đây đang tìm khách thuê kèm theo ưu đãi cao, nhiều đơn vị kinh doanh văn phòng, tòa nhà nằm trên tuyến phố phải treo biển cho thuê hàng loạt với mức giá ưu đãi (cho phép giãn tiến độ đóng tiền, miễn phí phụ phí khi làm việc ngoài giờ) để giữ chân khách thuê vì tình trạng dịch chuyển văn phòng ra ngoại thành có dấu hiệu tăng mạnh.</w:t>
      </w:r>
    </w:p>
    <w:p w14:paraId="7DE20C5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Tại Tp. Hồ Chí Minh: Trong Quý IV/2023, theo khảo sát của một số tổ chức nghiên cứu thì tại Tp. Hồ Chí Minh nhiều tòa nhà văn phòng bình dân giảm giá thuê 10-20%, cụ thể như tại quận Phú Nhuận, Tân Bình và các vị trí phụ cận quận 1 như phường Đa Kao, Tân Định ... nhiều chương trình giảm giá thuê văn phòng gián tiếp bằng hình thức khuyến mãi, nhiều tòa văn phòng khu vực Tân Bình và Phú Nhuận có tỷ lệ trống tăng lên 15-25% trong quý. Theo đó, tình trạng trả mặt bằng và dịch chuyển văn phòng ra các vùng phụ cận trung tâm tăng so với quý trước</w:t>
      </w:r>
    </w:p>
    <w:p w14:paraId="63FF5BBC">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Đối với bất động sản du lịch nghỉ dưỡng: Trong Quý IV/2023, theo một số tổ chức nghiên cứu thị trường thì giá bán và lượng giao dịch bất động sản nghỉ dưỡng tiếp tục giảm và hạn chế về giao dịch. Số lượng biệt thự nghỉ dưỡng được mở bán tại khu vực phía Nam (Tp. Hồ Chí Minh và các vùng phụ cận) giảm mạnh và số lượng căn hộ du lịch mở bán trong năm 2023 trên cả nước giảm so với năm 2022.</w:t>
      </w:r>
    </w:p>
    <w:p w14:paraId="566F331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Quý IV/2023, Chính phủ, Ngân hàng Nhà nước Việt Nam đã quyết tâm, nỗ lực triển khai đồng bộ nhiều giải pháp tháo gỡ khó khăn, tăng khả năng hấp thụ vốn tín dụng của nền kinh tế. Theo đó, nhiều ngân hàng tiếp tục giảm lãi suất huy động (lãi suất huy động và lãi suất cho vay mới của các ngân hàng thương mại đã giảm khoảng hơn 2%/năm so với cuối năm 2022), đồng thời lãi suất cho vay mua nhà cuối năm của một số ngân hàng cũng giảm hơn so với năm 2022.</w:t>
      </w:r>
    </w:p>
    <w:p w14:paraId="03087DA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năm 2023, Ngân hàng Nhà nước Việt Nam đã chủ động điều hành và đạt được các chỉ tiêu, mục tiêu đặt ra, đó là góp phần kiểm soát lạm phát, ổn định kinh tế vĩ mô; thị trường tiền tệ ngoại hối về cơ bản ổn định; mặt bằng lãi suất giảm, theo đó đã ban hành kịp thời các cơ chế, chính sách nhằm hỗ trợ phát triển thị trường trái phiếu doanh nghiệp, thị trường bất động sản… Điều hành, giám sát, bảo đảm hệ thống các tổ chức tín dụng và thị trường tiền tệ, thị trường ngoại hối cơ bản ổn định và luôn trong tầm kiểm soát để ổn định kinh tế vĩ mô phát triển kinh tế - xã hội</w:t>
      </w:r>
    </w:p>
    <w:p w14:paraId="77C9709E">
      <w:pPr>
        <w:spacing w:before="60"/>
        <w:ind w:firstLine="567"/>
        <w:jc w:val="both"/>
        <w:rPr>
          <w:i/>
          <w:iCs/>
          <w:color w:val="000000" w:themeColor="text1"/>
          <w:sz w:val="26"/>
          <w:szCs w:val="26"/>
          <w:u w:val="single"/>
          <w:lang w:val="vi-VN"/>
          <w14:textFill>
            <w14:solidFill>
              <w14:schemeClr w14:val="tx1"/>
            </w14:solidFill>
          </w14:textFill>
        </w:rPr>
      </w:pPr>
      <w:r>
        <w:rPr>
          <w:i/>
          <w:iCs/>
          <w:color w:val="000000" w:themeColor="text1"/>
          <w:sz w:val="26"/>
          <w:szCs w:val="26"/>
          <w:u w:val="single"/>
          <w:lang w:val="vi-VN"/>
          <w14:textFill>
            <w14:solidFill>
              <w14:schemeClr w14:val="tx1"/>
            </w14:solidFill>
          </w14:textFill>
        </w:rPr>
        <w:t>Về hoạt động của doanh nghiệp trong lĩnh vực bất động sản</w:t>
      </w:r>
    </w:p>
    <w:p w14:paraId="05F24E66">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Các doanh nghiệp bất động sản trong năm 2023 hiện vẫn gặp nhiều khó khăn khi số lượng doanh nghiệp hoạt động trong lĩnh vực bất động sản thành lập mới chỉ có 4.725 doanh nghiệp, giảm 45,01% so với năm 2022; số lượng doanh nghiệp giải thể, ngừng kinh doanh có thời hạn lần lượt là 1.286 doanh nghiệp (tăng 7,7%) và 3.705 doanh nghiệp (tăng 47,4%) so với năm trước</w:t>
      </w:r>
      <w:r>
        <w:rPr>
          <w:iCs/>
          <w:color w:val="000000" w:themeColor="text1"/>
          <w:sz w:val="26"/>
          <w:szCs w:val="26"/>
          <w:lang w:val="vi-VN"/>
          <w14:textFill>
            <w14:solidFill>
              <w14:schemeClr w14:val="tx1"/>
            </w14:solidFill>
          </w14:textFill>
        </w:rPr>
        <w:t xml:space="preserve"> (</w:t>
      </w:r>
      <w:r>
        <w:rPr>
          <w:i/>
          <w:iCs/>
          <w:color w:val="000000" w:themeColor="text1"/>
          <w:sz w:val="26"/>
          <w:szCs w:val="26"/>
          <w:lang w:val="vi-VN"/>
          <w14:textFill>
            <w14:solidFill>
              <w14:schemeClr w14:val="tx1"/>
            </w14:solidFill>
          </w14:textFill>
        </w:rPr>
        <w:t>số liệu tổng hợp từ Cục Đăng ký kinh doanh - Bộ Kế hoạch và Đầu tư</w:t>
      </w:r>
      <w:r>
        <w:rPr>
          <w:iCs/>
          <w:color w:val="000000" w:themeColor="text1"/>
          <w:sz w:val="26"/>
          <w:szCs w:val="26"/>
          <w:lang w:val="vi-VN"/>
          <w14:textFill>
            <w14:solidFill>
              <w14:schemeClr w14:val="tx1"/>
            </w14:solidFill>
          </w14:textFill>
        </w:rPr>
        <w:t xml:space="preserve">). </w:t>
      </w:r>
      <w:r>
        <w:rPr>
          <w:rFonts w:eastAsia="Tahoma"/>
          <w:color w:val="000000" w:themeColor="text1"/>
          <w:sz w:val="26"/>
          <w:szCs w:val="26"/>
          <w:lang w:val="vi-VN"/>
          <w14:textFill>
            <w14:solidFill>
              <w14:schemeClr w14:val="tx1"/>
            </w14:solidFill>
          </w14:textFill>
        </w:rPr>
        <w:t>Tình trạng cắt giảm nhân sự tại các doanh nghiệp bất động sản vẫn đang diễn ra không chỉ đối với các doanh nghiệp nhỏ mà cả các doanh nghiệp bất động sản lớn trên thị trường.</w:t>
      </w:r>
    </w:p>
    <w:p w14:paraId="3BB63FF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Hoạt động của doanh nghiệp thuộc lĩnh vực bất động sản vẫn đang có nhiều khó khăn, thách thức, cụ thể như:</w:t>
      </w:r>
    </w:p>
    <w:p w14:paraId="59C01D26">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(1) Khó khăn, vướng mắc về pháp lý dự án, cụ thể như việc thực hiện quy định về phương pháp định giá đất còn nhiều vướng mắc; quy hoạch sử dụng đất đã được công bố nhưng chưa có kế hoạch sử dụng đất hàng năm của cấp huyện; có quy hoạch chi tiết 1/500 đã được phê duyệt nhưng không phù hợp với quy hoạch cấp trên;...</w:t>
      </w:r>
    </w:p>
    <w:p w14:paraId="3A2B2CC5">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(2) Cơ chế phối hợp giữa các Sở, ban, ngành, địa phương còn chưa kịp thời, đồng bộ cũng đã gây ra nhiều khó khăn, vướng mắc cho dự án bất động sản, cụ thể như: trong công tác giải phóng mặt bằng bồi thường, hỗ trợ và tái định cư, thỏa thuận thu hồi đất, áp giá bồi hoàn với người dân; công tác xác định giá đất để tính thu tiền sử dụng đất, thực hiện các hồ sơ, thủ tục của dự án; …</w:t>
      </w:r>
    </w:p>
    <w:p w14:paraId="256165F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(3) Khó khăn trong tiếp cận vốn vay tín dụng và hầu như không huy động được vốn trái phiếu doanh nghiệp và huy động vốn khác, dẫn đến thiếu vốn để thực hiện dự án (phải giãn tiến độ, dừng triển khai). Khó khăn về thanh khoản, dòng tiền, đặc biệt trong bối cảnh áp lực đáo hạn và trả nợ trái phiếu doanh nghiệp vào các tháng cuối năm 2023…</w:t>
      </w:r>
    </w:p>
    <w:p w14:paraId="2491C438">
      <w:pPr>
        <w:spacing w:before="120" w:after="120"/>
        <w:ind w:firstLine="567"/>
        <w:jc w:val="both"/>
        <w:rPr>
          <w:rFonts w:eastAsia="Tahoma"/>
          <w:color w:val="000000" w:themeColor="text1"/>
          <w:spacing w:val="-4"/>
          <w:sz w:val="26"/>
          <w:szCs w:val="26"/>
          <w:lang w:val="vi-VN"/>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Để tháo gỡ khó khăn, thúc đẩy sản xuất - kinh doanh cho doanh nghiệp, Chính phủ, Thủ tướng Chính phủ đã có các biện pháp quyết liệt nhằm thúc đẩy, tạo được sự chuyển biến rất tích cực có tính lan tỏa từ các Bộ, ngành đến các địa phương. Cụ thể như Tổ công tác của Thủ tướng Chính phủ do Bộ trưởng Bộ Xây dựng Nguyễn Thanh Nghị làm Tổ trưởng cùng với sự vào cuộc mạnh mẽ của Ủy ban nhân dân cấp tỉnh, để kiến tạo môi trường đầu tư kinh doanh minh bạch, tạo điều kiện để tiếp cận thuận lợi thị trường vốn, tín dụng và tháo gỡ được các “vướng mắc pháp lý” cho dự án bất động sản…</w:t>
      </w:r>
    </w:p>
    <w:p w14:paraId="07216C1E">
      <w:pPr>
        <w:spacing w:before="120" w:after="120"/>
        <w:ind w:firstLine="567"/>
        <w:jc w:val="both"/>
        <w:rPr>
          <w:rFonts w:eastAsia="Tahoma"/>
          <w:b/>
          <w:bCs/>
          <w:i/>
          <w:iCs/>
          <w:color w:val="000000" w:themeColor="text1"/>
          <w:sz w:val="26"/>
          <w:szCs w:val="26"/>
          <w:u w:val="single"/>
          <w:lang w:val="vi-VN"/>
          <w14:textFill>
            <w14:solidFill>
              <w14:schemeClr w14:val="tx1"/>
            </w14:solidFill>
          </w14:textFill>
        </w:rPr>
      </w:pPr>
      <w:r>
        <w:rPr>
          <w:rFonts w:eastAsia="Tahoma"/>
          <w:b/>
          <w:bCs/>
          <w:i/>
          <w:iCs/>
          <w:color w:val="000000" w:themeColor="text1"/>
          <w:sz w:val="26"/>
          <w:szCs w:val="26"/>
          <w:u w:val="single"/>
          <w:lang w:val="vi-VN"/>
          <w14:textFill>
            <w14:solidFill>
              <w14:schemeClr w14:val="tx1"/>
            </w14:solidFill>
          </w14:textFill>
        </w:rPr>
        <w:t>*Ngày 26/4/2024, Bộ Xây dựng đã có Thông cáo 57/TC-BXD về việc công bố thông tin về nhà ở và thị trường bất động sản quý I năm 2024:</w:t>
      </w:r>
    </w:p>
    <w:p w14:paraId="283D713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tổng hợp số liệu từ Sở Xây dựng các địa phương có báo cáo, lượng giao dịch bất động sản cả nước cụ thể như sau:</w:t>
      </w:r>
    </w:p>
    <w:p w14:paraId="582D65A2">
      <w:pPr>
        <w:spacing w:before="120" w:after="120"/>
        <w:ind w:firstLine="567"/>
        <w:jc w:val="both"/>
        <w:rPr>
          <w:rFonts w:eastAsia="Tahoma"/>
          <w:color w:val="000000" w:themeColor="text1"/>
          <w:spacing w:val="-4"/>
          <w:sz w:val="26"/>
          <w:szCs w:val="26"/>
          <w:lang w:val="vi-VN"/>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 Lượng giao dịch căn hộ chung cư, nhà ở riêng lẻ: có 35.853 giao dịch thành công.</w:t>
      </w:r>
    </w:p>
    <w:p w14:paraId="60A0CE1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Lượng giao dịch đất nền: có 97.659 giao dịch thành công.</w:t>
      </w:r>
    </w:p>
    <w:p w14:paraId="140F4B2F">
      <w:pPr>
        <w:spacing w:before="120" w:after="120"/>
        <w:ind w:firstLine="567"/>
        <w:jc w:val="both"/>
        <w:rPr>
          <w:rFonts w:eastAsia="Tahoma"/>
          <w:color w:val="000000" w:themeColor="text1"/>
          <w:spacing w:val="-4"/>
          <w:sz w:val="26"/>
          <w:szCs w:val="26"/>
          <w:lang w:val="vi-VN"/>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Qua số liệu tổng hợp cho thấy: lượng giao dịch trong 03 phân khúc đất nền, căn hộ chung cư và nhà ở riêng lẻ trong Quý I có xu hướng tăng so với quý IV/2023 (trong quý IV/2023 có 27.590 giao dịch nhà ở riêng lẻ và chung cư, có 81.476 giao dịch đất nền).</w:t>
      </w:r>
    </w:p>
    <w:p w14:paraId="29C4031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Về tồn kho bất động sản: Theo số liệu báo cáo của 56/63 địa phương, lượng tồn kho bất động sản tại các dự án trong quý I/2024 vào khoảng 23.029 căn (bao gồm chung cư, nhà ở riêng lẻ, đất nền), trong đó: chung cư có 3.706 căn; nhà ở riêng lẻ có 8.468 căn; đất nền có 10.855 nền. Theo đó, có thể thấy tỷ trọng tồn kho chủ yếu ở phân khúc bất động sản nhà ở riêng lẻ và đất nền của các dự án.</w:t>
      </w:r>
    </w:p>
    <w:p w14:paraId="5FB7925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Lượng tồn kho nhà ở riêng lẻ, đất nền trong quý I/2024 là 19.323 căn/nền (nhà ở riêng lẻ có 8.468 căn; đất nền có 10.855 nền), tương đương 143,25% so với Quý IV/2023 (lượng tồn kho nhà ở riêng lẻ, đất nền trong quý IV/2023 là 13.489 căn/nền, trong đó: nhà ở riêng lẻ có 5.173 căn, đất nền có 8.316 nền).</w:t>
      </w:r>
    </w:p>
    <w:p w14:paraId="2075557E">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Theo đó, lượng giao dịch chung cư và nhà ở riêng lẻ bằng 129,95% so với quý IV/2023, bằng 81,51% so với cùng kỳ năm 2023; lượng giao dịch đất nền bằng 119,86% so với quý IV/2023 và bằng 145,18% so với cùng kỳ năm 2023.</w:t>
      </w:r>
    </w:p>
    <w:p w14:paraId="505D865C">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Giá nhà ở và một số loại bất động sản</w:t>
      </w:r>
    </w:p>
    <w:p w14:paraId="2EF84B1E">
      <w:pPr>
        <w:spacing w:before="120" w:after="120"/>
        <w:ind w:firstLine="567"/>
        <w:jc w:val="both"/>
        <w:rPr>
          <w:rFonts w:eastAsia="Tahoma"/>
          <w:i/>
          <w:iCs/>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Đối với căn hộ chung cư</w:t>
      </w:r>
    </w:p>
    <w:p w14:paraId="0666939F">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Thị trường căn hộ chung cư vẫn tiếp tục thu hút sự quan tâm của nhóm đối tượng có nhu cầu ở thực và các nhà đầu tư trung và dài hạn. Theo khảo sát của một số tổ chức nghiên cứu thì giá bán trung bình một số dự án tại TP.Hà Nội và TP.Hồ Chí Minh dao động khoảng 50 - 70 triệu/m</w:t>
      </w:r>
      <w:r>
        <w:rPr>
          <w:rFonts w:eastAsia="Tahoma"/>
          <w:color w:val="000000" w:themeColor="text1"/>
          <w:sz w:val="26"/>
          <w:szCs w:val="26"/>
          <w:vertAlign w:val="superscript"/>
          <w:lang w:val="vi-VN"/>
          <w14:textFill>
            <w14:solidFill>
              <w14:schemeClr w14:val="tx1"/>
            </w14:solidFill>
          </w14:textFill>
        </w:rPr>
        <w:t>2</w:t>
      </w:r>
      <w:r>
        <w:rPr>
          <w:rFonts w:eastAsia="Tahoma"/>
          <w:color w:val="000000" w:themeColor="text1"/>
          <w:sz w:val="26"/>
          <w:szCs w:val="26"/>
          <w:lang w:val="vi-VN"/>
          <w14:textFill>
            <w14:solidFill>
              <w14:schemeClr w14:val="tx1"/>
            </w14:solidFill>
          </w14:textFill>
        </w:rPr>
        <w:t>.</w:t>
      </w:r>
    </w:p>
    <w:p w14:paraId="2839E672">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Đối với nhà ở riêng lẻ, biệt thự, liền kề, đất nền trong dự án</w:t>
      </w:r>
    </w:p>
    <w:p w14:paraId="504A794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Quý I/2024, nhu cầu tìm kiếm nhà ở riêng lẻ, đất nền đã tăng so với quý trước và so với cùng kỳ năm trước. Giá bán tại Hà Nội được giao dịch tăng khoảng từ 5 - 15% so với cuối năm 2023 (giá bán dao động trong khoảng từ 80 - 220 triệu đồng/m</w:t>
      </w:r>
      <w:r>
        <w:rPr>
          <w:rFonts w:eastAsia="Tahoma"/>
          <w:color w:val="000000" w:themeColor="text1"/>
          <w:sz w:val="26"/>
          <w:szCs w:val="26"/>
          <w:vertAlign w:val="superscript"/>
          <w:lang w:val="vi-VN"/>
          <w14:textFill>
            <w14:solidFill>
              <w14:schemeClr w14:val="tx1"/>
            </w14:solidFill>
          </w14:textFill>
        </w:rPr>
        <w:t>2</w:t>
      </w:r>
      <w:r>
        <w:rPr>
          <w:rFonts w:eastAsia="Tahoma"/>
          <w:color w:val="000000" w:themeColor="text1"/>
          <w:sz w:val="26"/>
          <w:szCs w:val="26"/>
          <w:lang w:val="vi-VN"/>
          <w14:textFill>
            <w14:solidFill>
              <w14:schemeClr w14:val="tx1"/>
            </w14:solidFill>
          </w14:textFill>
        </w:rPr>
        <w:t>) và tại TP. Hồ Chí Minh (giá bán dao động trong khoảng từ 90 - 250 triệu đồng/m</w:t>
      </w:r>
      <w:r>
        <w:rPr>
          <w:rFonts w:eastAsia="Tahoma"/>
          <w:color w:val="000000" w:themeColor="text1"/>
          <w:sz w:val="26"/>
          <w:szCs w:val="26"/>
          <w:vertAlign w:val="superscript"/>
          <w:lang w:val="vi-VN"/>
          <w14:textFill>
            <w14:solidFill>
              <w14:schemeClr w14:val="tx1"/>
            </w14:solidFill>
          </w14:textFill>
        </w:rPr>
        <w:t>2</w:t>
      </w:r>
      <w:r>
        <w:rPr>
          <w:rFonts w:eastAsia="Tahoma"/>
          <w:color w:val="000000" w:themeColor="text1"/>
          <w:sz w:val="26"/>
          <w:szCs w:val="26"/>
          <w:lang w:val="vi-VN"/>
          <w14:textFill>
            <w14:solidFill>
              <w14:schemeClr w14:val="tx1"/>
            </w14:solidFill>
          </w14:textFill>
        </w:rPr>
        <w:t>). </w:t>
      </w:r>
    </w:p>
    <w:p w14:paraId="541B9F2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khảo sát đánh giá thì sau kỳ nghỉ Tết Nguyên đán tại một số khu vực có giá bán tăng nhẹ và giao dịch khá sôi động, việc tổ chức đấu giá đất nền tại các khu đô thị, khu dân cư mới đã được các địa phương triển khai nhiều hơn so với cùng kỳ năm 2023. Đây cũng được coi là một yếu tố có thể tác động giúp thị trường đất nền sôi động hơn trong thời gian tới.</w:t>
      </w:r>
    </w:p>
    <w:p w14:paraId="42B4F5B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Đối với văn phòng cho thuê</w:t>
      </w:r>
    </w:p>
    <w:p w14:paraId="3342DB2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quý I/2024, nguồn cung mới về văn phòng cho thuê trên địa bàn cả nước tiếp tục hạn chế, không có toà nhà văn phòng mới được khai trương và đi vào hoạt động.</w:t>
      </w:r>
    </w:p>
    <w:p w14:paraId="26DD2136">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Công suất thuê hiện nay vẫn duy trì ở mức cao, đạt trên 90% tại khu vực trung tâm và trên 75% tại các khu vực ngoài trung tâm. Hiện tượng chuyển hạ hạng văn phòng, vị trí thuê ra ngoài khu vực trung tâm đã có xu hướng giảm so với năm 2023. Giá cho thuê văn phòng bình quân toàn thị trường trong quý I/2024 cơ bản ổn định so với quý trước.</w:t>
      </w:r>
    </w:p>
    <w:p w14:paraId="0C4FCC2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Đối với khách sạn, lưu trú, du lịch nghỉ dưỡng</w:t>
      </w:r>
    </w:p>
    <w:p w14:paraId="6C574B6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Nhu cầu thuê và công suất thuê phòng khách sạn bình quân toàn thị trường trong quý I/2024 cơ bản ổn định so với quý trước. Lượng khách du lịch nội địa và lượng khách quốc tế đến Việt Nam trong quý I/2024 có sự tăng trưởng tích cực so với cùng kỳ năm 2023 đã cho thấy dấu hiệu cải thiện tốt của ngành du lịch qua đó cũng tạo điều kiện thuận lợi cho phân khúc bất động sản nghỉ dưỡng dần hồi phục.</w:t>
      </w:r>
    </w:p>
    <w:p w14:paraId="6BF4B5D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Đối với bất động sản nghỉ dưỡng để bán, tình hình giao dịch trong quý I/2024 vẫn chưa thể cải thiện khi nguồn cung mới và lượng giao dịch thành công vẫn rất thấp và hạn chế so với cùng kỳ năm các năm trước.</w:t>
      </w:r>
    </w:p>
    <w:p w14:paraId="25EFCF1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Đối với bất động sản công nghiệp</w:t>
      </w:r>
    </w:p>
    <w:p w14:paraId="7BE8A02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Giá cho thuê đất bình quân và giá cho thuê nhà xưởng, kho bãi trong quý I/2024 tăng nhẹ khoảng 2÷3% so với cùng kỳ năm trước. Giá cho thuê bình quân tại các khu công nghiệp phổ biến hiện nay là khoảng 3,5÷5 USD/m</w:t>
      </w:r>
      <w:r>
        <w:rPr>
          <w:rFonts w:eastAsia="Tahoma"/>
          <w:color w:val="000000" w:themeColor="text1"/>
          <w:sz w:val="26"/>
          <w:szCs w:val="26"/>
          <w:vertAlign w:val="superscript"/>
          <w:lang w:val="vi-VN"/>
          <w14:textFill>
            <w14:solidFill>
              <w14:schemeClr w14:val="tx1"/>
            </w14:solidFill>
          </w14:textFill>
        </w:rPr>
        <w:t>2</w:t>
      </w:r>
      <w:r>
        <w:rPr>
          <w:rFonts w:eastAsia="Tahoma"/>
          <w:color w:val="000000" w:themeColor="text1"/>
          <w:sz w:val="26"/>
          <w:szCs w:val="26"/>
          <w:lang w:val="vi-VN"/>
          <w14:textFill>
            <w14:solidFill>
              <w14:schemeClr w14:val="tx1"/>
            </w14:solidFill>
          </w14:textFill>
        </w:rPr>
        <w:t>/tháng.</w:t>
      </w:r>
    </w:p>
    <w:p w14:paraId="265539EF">
      <w:pPr>
        <w:spacing w:before="120" w:after="120"/>
        <w:ind w:firstLine="567"/>
        <w:jc w:val="both"/>
        <w:rPr>
          <w:rFonts w:eastAsia="Tahoma"/>
          <w:b/>
          <w:bCs/>
          <w:i/>
          <w:iCs/>
          <w:color w:val="000000" w:themeColor="text1"/>
          <w:sz w:val="26"/>
          <w:szCs w:val="26"/>
          <w:u w:val="single"/>
          <w:lang w:val="vi-VN"/>
          <w14:textFill>
            <w14:solidFill>
              <w14:schemeClr w14:val="tx1"/>
            </w14:solidFill>
          </w14:textFill>
        </w:rPr>
      </w:pPr>
      <w:r>
        <w:rPr>
          <w:rFonts w:eastAsia="Tahoma"/>
          <w:b/>
          <w:bCs/>
          <w:i/>
          <w:iCs/>
          <w:color w:val="000000" w:themeColor="text1"/>
          <w:sz w:val="26"/>
          <w:szCs w:val="26"/>
          <w:u w:val="single"/>
          <w:lang w:val="vi-VN"/>
          <w14:textFill>
            <w14:solidFill>
              <w14:schemeClr w14:val="tx1"/>
            </w14:solidFill>
          </w14:textFill>
        </w:rPr>
        <w:t>*Ngày 13/8/2024, Bộ Xây dựng đã có Thông cáo 165/TC-BXD về việc công bố thông tin về nhà ở và thị trường bất động sản Quý II năm 2024.</w:t>
      </w:r>
    </w:p>
    <w:p w14:paraId="2E9C552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Theo tổng hợp số liệu từ 60/63 Sở Xây dựng các địa phương có báo cáo, lượng giao dịch bất động sản cụ thể như sau:</w:t>
      </w:r>
    </w:p>
    <w:p w14:paraId="3E7C608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Lượng giao dịch căn hộ chung cư, nhà ở riêng lẻ: có 25.885 giao dịch thành công.</w:t>
      </w:r>
    </w:p>
    <w:p w14:paraId="449042A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Lượng giao dịch đất nền: có 124.991 giao dịch thành công.</w:t>
      </w:r>
    </w:p>
    <w:p w14:paraId="6D5A0D8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Qua số liệu tổng hợp cho thấy: lượng giao dịch thuộc loại hình căn hộ chung cư và nhà ở riêng lẻ trong Quý II có xu hướng giảm so với quý I/2024 trong khi lượng giao dịch đất nền có xu hướng tăng (trong quý I/2024 có 35.853 giao dịch nhà ở riêng lẻ và chung cư, có 97.659 giao dịch đất nền).</w:t>
      </w:r>
    </w:p>
    <w:p w14:paraId="32C606D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Theo đó, lượng giao dịch chung cư và nhà ở riêng lẻ bằng 72,2% so với quý I/2024, bằng 87,08% so với cùng kỳ năm 2023; lượng giao dịch đất nền bằng 127,9% so với quý I/2024 và bằng 185,8% so với cùng kỳ năm 2023.</w:t>
      </w:r>
    </w:p>
    <w:p w14:paraId="7200C68F">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b/>
          <w:bCs/>
          <w:i/>
          <w:iCs/>
          <w:color w:val="000000" w:themeColor="text1"/>
          <w:sz w:val="26"/>
          <w:szCs w:val="26"/>
          <w:lang w:val="vi-VN"/>
          <w14:textFill>
            <w14:solidFill>
              <w14:schemeClr w14:val="tx1"/>
            </w14:solidFill>
          </w14:textFill>
        </w:rPr>
        <w:t>- Về tồn kho bất động sản:</w:t>
      </w:r>
      <w:r>
        <w:rPr>
          <w:rFonts w:eastAsia="Tahoma"/>
          <w:color w:val="000000" w:themeColor="text1"/>
          <w:sz w:val="26"/>
          <w:szCs w:val="26"/>
          <w:lang w:val="vi-VN"/>
          <w14:textFill>
            <w14:solidFill>
              <w14:schemeClr w14:val="tx1"/>
            </w14:solidFill>
          </w14:textFill>
        </w:rPr>
        <w:t xml:space="preserve"> Theo số liệu báo cáo của 60/63 địa phương, lượng tồn kho bất động sản tại các dự án trong quý II/2024 vào khoảng 17.105 căn, nền (bao gồm chung cư, nhà ở riêng lẻ, đất nền), trong đó: chung cư có 2.999 căn; nhà ở riêng lẻ có 7.045 căn; đất nền có 7.061 nền. Theo đó, có thể thấy tỷ trọng tồn kho chủ yếu ở phân khúc bất động sản nhà ở riêng lẻ và đất nền của các dự án.</w:t>
      </w:r>
    </w:p>
    <w:p w14:paraId="22CE4A1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Lượng tồn kho nhà ở riêng lẻ, đất nền trong quý II/2024 là 14.106 căn/nền (nhà ở riêng lẻ có 7.045 căn; đất nền có 7.061 nền), tương đương 73% so với Quý I/2024 (lượng tồn kho nhà ở riêng lẻ, đất nền trong quý I/2024 là 19.323 căn/nền, trong đó: nhà ở riêng lẻ có 8.468 căn, đất nền có 10.855 nền).</w:t>
      </w:r>
    </w:p>
    <w:p w14:paraId="5EFD5528">
      <w:pPr>
        <w:spacing w:before="120" w:after="120"/>
        <w:ind w:firstLine="567"/>
        <w:jc w:val="both"/>
        <w:rPr>
          <w:rFonts w:eastAsia="Tahoma"/>
          <w:b/>
          <w:bCs/>
          <w:i/>
          <w:iCs/>
          <w:color w:val="000000" w:themeColor="text1"/>
          <w:sz w:val="26"/>
          <w:szCs w:val="26"/>
          <w:lang w:val="vi-VN"/>
          <w14:textFill>
            <w14:solidFill>
              <w14:schemeClr w14:val="tx1"/>
            </w14:solidFill>
          </w14:textFill>
        </w:rPr>
      </w:pPr>
      <w:r>
        <w:rPr>
          <w:rFonts w:eastAsia="Tahoma"/>
          <w:b/>
          <w:bCs/>
          <w:i/>
          <w:iCs/>
          <w:color w:val="000000" w:themeColor="text1"/>
          <w:sz w:val="26"/>
          <w:szCs w:val="26"/>
          <w:lang w:val="vi-VN"/>
          <w14:textFill>
            <w14:solidFill>
              <w14:schemeClr w14:val="tx1"/>
            </w14:solidFill>
          </w14:textFill>
        </w:rPr>
        <w:t>- Về giá giao dịch</w:t>
      </w:r>
    </w:p>
    <w:p w14:paraId="37B8C296">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w:t>
      </w:r>
      <w:r>
        <w:rPr>
          <w:rFonts w:eastAsia="Tahoma"/>
          <w:i/>
          <w:iCs/>
          <w:color w:val="000000" w:themeColor="text1"/>
          <w:sz w:val="26"/>
          <w:szCs w:val="26"/>
          <w:lang w:val="vi-VN"/>
          <w14:textFill>
            <w14:solidFill>
              <w14:schemeClr w14:val="tx1"/>
            </w14:solidFill>
          </w14:textFill>
        </w:rPr>
        <w:t xml:space="preserve"> Đối với căn hộ chung cư</w:t>
      </w:r>
    </w:p>
    <w:p w14:paraId="460DD347">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Quý II/ 2024, theo khảo sát và tổng hợp báo cáo của một số tỉnh, thành phố lớn như Hà Nội và TP. Hồ Chí Minh thì giá căn hộ chung cư tăng trung bình khoảng từ tăng 5% đến 6,5% trong quý II và 25% theo năm tùy từng khu vực và vị trí, giá bán chung cư tăng không chỉ ở những dự án mới mở bán mà còn ở nhiều căn hộ cũ, đã được qua sử dụng nhiều năm. Tuy nhiên, tình trạng này cũng chỉ xảy ra trong một giai đoạn ngắn, đồng thời có dấu hiệu chững lại vào cuối quý do giá đã ở mức cao và tâm lý người mua đang ở trạng thái chờ đợi.</w:t>
      </w:r>
    </w:p>
    <w:p w14:paraId="1B6F1C05">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Đối với biệt thự, nhà ở liền kề trong dự án</w:t>
      </w:r>
    </w:p>
    <w:p w14:paraId="10929B66">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quý II/2024, theo khảo sát giá bán biệt thự, nhà liền kề trong dự án đều có xu hướng tăng so với quý trước. Việc tăng giá nóng tại thị trường căn hộ chung cư cũng đã có ảnh hưởng kéo theo giá nhà ở riêng lẻ, nhà liền kề tại các dự án và cả nhà ở tại các khu dân cư hiện hữu có xu hướng tăng lên. Một số khu vực của 02 thành phố lớn là Hà Nội và Thành phố Hồ Chí Minh có mức biến động giá tăng trong quý.</w:t>
      </w:r>
    </w:p>
    <w:p w14:paraId="636058A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Đối với văn phòng, mặt bằng thương mại</w:t>
      </w:r>
    </w:p>
    <w:p w14:paraId="02357B7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Nhu cầu thuê văn phòng trong nửa đầu năm 2024 có xu hướng giảm nhẹ so với kỳ trước khi tình hình hoạt động kinh doanh của các doanh nghiệp hiện nay vẫn còn gặp nhiều khó khăn về thị trường đầu ra trong bối cảnh nền kinh tế trong nước và thế giới vẫn đang gặp nhiều thách thức. Số lượng doanh nghiệp gần như không thay đổi nhưng năng lực sản xuất kinh doanh bị suy giảm cũng ảnh hưởng tới nhu cầu về mở rộng văn phòng và nhu cầu thuê văn phòng. Đối với mặt bằng thương mại, nhu cầu thuê mặt bằng kinh doanh có xu hướng tăng nhẹ so với cuối năm 2023.</w:t>
      </w:r>
    </w:p>
    <w:p w14:paraId="58CDA585">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xml:space="preserve">Giá cho thuê bình quân toàn thị trường đối với văn phòng, mặt bằng thương mại trong quý so với cùng kỳ năm 2023 tăng nhẹ khoảng 1÷ 3%. Đối với mặt bằng bán lẻ nhà phố, giá cho thuê so với kỳ trước cơ bản ổn định. </w:t>
      </w:r>
    </w:p>
    <w:p w14:paraId="6453C8BE">
      <w:pPr>
        <w:spacing w:before="120" w:after="120"/>
        <w:ind w:firstLine="567"/>
        <w:jc w:val="both"/>
        <w:rPr>
          <w:rFonts w:eastAsia="Tahoma"/>
          <w:b/>
          <w:bCs/>
          <w:i/>
          <w:iCs/>
          <w:color w:val="000000" w:themeColor="text1"/>
          <w:sz w:val="26"/>
          <w:szCs w:val="26"/>
          <w:lang w:val="vi-VN"/>
          <w14:textFill>
            <w14:solidFill>
              <w14:schemeClr w14:val="tx1"/>
            </w14:solidFill>
          </w14:textFill>
        </w:rPr>
      </w:pPr>
      <w:r>
        <w:rPr>
          <w:rFonts w:eastAsia="Tahoma"/>
          <w:b/>
          <w:bCs/>
          <w:i/>
          <w:iCs/>
          <w:color w:val="000000" w:themeColor="text1"/>
          <w:sz w:val="26"/>
          <w:szCs w:val="26"/>
          <w:lang w:val="vi-VN"/>
          <w14:textFill>
            <w14:solidFill>
              <w14:schemeClr w14:val="tx1"/>
            </w14:solidFill>
          </w14:textFill>
        </w:rPr>
        <w:t>- Về hoạt động của doanh nghiệp trong lĩnh vực bất động sản</w:t>
      </w:r>
    </w:p>
    <w:p w14:paraId="7D49014E">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số liệu báo cáo thì tình hình hoạt động của các doanh nghiệp kinh doanh bất động sản trong 6 tháng đầu năm 2024 đã có sự cải thiện hơn khi số lượng doanh nghiệp đăng ký thành lập mới và số lượng doanh nghiệp quay trở lại hoạt động đều tăng so với cùng kỳ năm 2023. Cụ thể, số lượng doanh nghiệp đăng ký thành lập mới là 2.210 doanh nghiệp (tăng 1,4%), số lượng các doanh nghiệp quay trở lại hoạt động là 1.577 doanh nghiệp, tăng 11,4% so với cùng kỳ năm 2023 </w:t>
      </w:r>
      <w:r>
        <w:rPr>
          <w:rFonts w:eastAsia="Tahoma"/>
          <w:i/>
          <w:iCs/>
          <w:color w:val="000000" w:themeColor="text1"/>
          <w:sz w:val="26"/>
          <w:szCs w:val="26"/>
          <w:lang w:val="vi-VN"/>
          <w14:textFill>
            <w14:solidFill>
              <w14:schemeClr w14:val="tx1"/>
            </w14:solidFill>
          </w14:textFill>
        </w:rPr>
        <w:t>(Cục Đăng ký kinh doanh - Bộ Kế hoạch và Đầu tư)</w:t>
      </w:r>
      <w:r>
        <w:rPr>
          <w:rFonts w:eastAsia="Tahoma"/>
          <w:color w:val="000000" w:themeColor="text1"/>
          <w:sz w:val="26"/>
          <w:szCs w:val="26"/>
          <w:lang w:val="vi-VN"/>
          <w14:textFill>
            <w14:solidFill>
              <w14:schemeClr w14:val="tx1"/>
            </w14:solidFill>
          </w14:textFill>
        </w:rPr>
        <w:t>.</w:t>
      </w:r>
    </w:p>
    <w:p w14:paraId="74C3F6D5">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bối cảnh thị trường bất động sản phục hồi còn chậm, nhiều doanh nghiệp kinh doanh bất động sản hiện nay đàn có kế hoạch mở rộng quỹ đất để phát triển dự án, theo đó, pháp lý, tính thanh khoản, tiền sử dụng đất… là những tiêu chí hàng đầu mà doanh nghiệp lựa chọn để đầu tư. Thời gian gần đây thị trường cho thấy cũng có một số dấu hiệu các doanh nghiệp hoạt động trong lĩnh vực bất động sản có những chiến lược phát triển quỹ đất để chuẩn bị cho thời điểm phục hồi của ngành bất động sản, theo đó doanh nghiệp nghiêm túc và tính toán kỹ hơn về phương án, tìm hiểu thị trường để làm sao các dự án đất sạch hoàn chỉnh về mặt pháp lý, nộp đầy đủ tiền sử dụng đất và có thể đưa vào khai thác trong các năm tới. Ngoài ra, còn có các doanh nghiệp hoạt động trong lĩnh vực cho thuê văn phòng và nghỉ cũng hướng đến các quỹ đất phù hợp với lĩnh vực kinh doanh của mình trong thời gian tới.</w:t>
      </w:r>
    </w:p>
    <w:p w14:paraId="1CE13FFE">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Để tiếp tục tháo gỡ khó khăn, thúc đẩy thị trường bất động sản phát triển ổn định, lành mạnh bền vững trong thời gian tới, đề nghị các bộ, ngành, địa phương cần quán triệt nghiêm, thực hiện toàn diện, hiệu quả hơn nữa các Nghị quyết, Kết luận của Trung ương Đảng, Bộ Chính trị, Quốc hội và các Nghị quyết của Chính phủ như Nghị quyết số 01/NQ-CP, 02/NQ-CP, Nghị quyết số 93/NQ-CP và những chỉ đạo của Chính phủ, Thủ tướng Chính phủ. Đồng thời cần khẩn trương cụ thể hóa, đưa các Luật, Nghị quyết đã được Quốc hội thông qua tại Kỳ họp thứ 7 và cuộc sống.</w:t>
      </w:r>
    </w:p>
    <w:p w14:paraId="0860BB6F">
      <w:pPr>
        <w:spacing w:before="120" w:after="120"/>
        <w:ind w:firstLine="567"/>
        <w:jc w:val="both"/>
        <w:rPr>
          <w:rFonts w:eastAsia="Tahoma"/>
          <w:b/>
          <w:bCs/>
          <w:i/>
          <w:iCs/>
          <w:color w:val="000000" w:themeColor="text1"/>
          <w:sz w:val="26"/>
          <w:szCs w:val="26"/>
          <w:u w:val="single"/>
          <w:lang w:val="vi-VN"/>
          <w14:textFill>
            <w14:solidFill>
              <w14:schemeClr w14:val="tx1"/>
            </w14:solidFill>
          </w14:textFill>
        </w:rPr>
      </w:pPr>
      <w:r>
        <w:rPr>
          <w:rFonts w:eastAsia="Tahoma"/>
          <w:i/>
          <w:iCs/>
          <w:color w:val="000000" w:themeColor="text1"/>
          <w:sz w:val="26"/>
          <w:szCs w:val="26"/>
          <w:u w:val="single"/>
          <w:lang w:val="vi-VN"/>
          <w14:textFill>
            <w14:solidFill>
              <w14:schemeClr w14:val="tx1"/>
            </w14:solidFill>
          </w14:textFill>
        </w:rPr>
        <w:t xml:space="preserve">* </w:t>
      </w:r>
      <w:r>
        <w:rPr>
          <w:rFonts w:eastAsia="Tahoma"/>
          <w:b/>
          <w:bCs/>
          <w:i/>
          <w:iCs/>
          <w:color w:val="000000" w:themeColor="text1"/>
          <w:sz w:val="26"/>
          <w:szCs w:val="26"/>
          <w:u w:val="single"/>
          <w:lang w:val="vi-VN"/>
          <w14:textFill>
            <w14:solidFill>
              <w14:schemeClr w14:val="tx1"/>
            </w14:solidFill>
          </w14:textFill>
        </w:rPr>
        <w:t>Ngày 30/10/2024, Bộ Xây dựng đã có Thông cáo 269/TC-BXD về việc công bố thông tin về nhà ở và thị trường bất động sản Quý III năm 2024.</w:t>
      </w:r>
    </w:p>
    <w:p w14:paraId="020341B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Lượng giao dịch chung cư, nhà ở riêng lẻ, đất nền:</w:t>
      </w:r>
    </w:p>
    <w:p w14:paraId="51FD6372">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Theo tổng hợp số liệu từ 60/63 Sở Xây dựng các địa phương có báo cáo, lượng giao dịch bất động sản cụ thể như sau:</w:t>
      </w:r>
    </w:p>
    <w:p w14:paraId="00DCF552">
      <w:pPr>
        <w:spacing w:before="120" w:after="120"/>
        <w:ind w:firstLine="567"/>
        <w:jc w:val="both"/>
        <w:rPr>
          <w:rFonts w:eastAsia="Tahoma"/>
          <w:color w:val="000000" w:themeColor="text1"/>
          <w:spacing w:val="-4"/>
          <w:sz w:val="26"/>
          <w:szCs w:val="26"/>
          <w:lang w:val="vi-VN"/>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 Lượng giao dịch căn hộ chung cư, nhà ở riêng lẻ: có 38.398 giao dịch thành công.</w:t>
      </w:r>
    </w:p>
    <w:p w14:paraId="37BBFA4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Lượng giao dịch đất nền: có 102.966 giao dịch thành công.</w:t>
      </w:r>
    </w:p>
    <w:p w14:paraId="417DEF3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Qua số liệu tổng hợp cho thấy: lượng giao dịch thuộc loại hình căn hộ chung cư và nhà ở riêng lẻ trong Quý III có xu hướng tăng so với quý II/2024 trong khi lượng giao dịch đất nền có xu hướng giảm (trong quý II/2024 có 25.885 giao dịch nhà ở riêng lẻ và chung cư, có 124.991 giao dịch đất nền).</w:t>
      </w:r>
    </w:p>
    <w:p w14:paraId="174F8387">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Theo đó, lượng giao dịch chung cư và nhà ở riêng lẻ bằng 148,3% so với quý II/2024, bằng 129% so với cùng kỳ năm 2023; lượng giao dịch đất nền bằng 82,3% so với quý II/2024 và bằng 112,8% so với cùng kỳ năm 2023.</w:t>
      </w:r>
    </w:p>
    <w:p w14:paraId="60758465">
      <w:pPr>
        <w:spacing w:before="120" w:after="120"/>
        <w:ind w:firstLine="567"/>
        <w:jc w:val="both"/>
        <w:rPr>
          <w:rFonts w:eastAsia="Tahoma"/>
          <w:color w:val="000000" w:themeColor="text1"/>
          <w:spacing w:val="-2"/>
          <w:sz w:val="26"/>
          <w:szCs w:val="26"/>
          <w:lang w:val="vi-VN"/>
          <w14:textFill>
            <w14:solidFill>
              <w14:schemeClr w14:val="tx1"/>
            </w14:solidFill>
          </w14:textFill>
        </w:rPr>
      </w:pPr>
      <w:r>
        <w:rPr>
          <w:rFonts w:eastAsia="Tahoma"/>
          <w:b/>
          <w:bCs/>
          <w:i/>
          <w:iCs/>
          <w:color w:val="000000" w:themeColor="text1"/>
          <w:spacing w:val="-2"/>
          <w:sz w:val="26"/>
          <w:szCs w:val="26"/>
          <w:lang w:val="vi-VN"/>
          <w14:textFill>
            <w14:solidFill>
              <w14:schemeClr w14:val="tx1"/>
            </w14:solidFill>
          </w14:textFill>
        </w:rPr>
        <w:t>- Về tồn kho bất động sản:</w:t>
      </w:r>
      <w:r>
        <w:rPr>
          <w:rFonts w:eastAsia="Tahoma"/>
          <w:color w:val="000000" w:themeColor="text1"/>
          <w:spacing w:val="-2"/>
          <w:sz w:val="26"/>
          <w:szCs w:val="26"/>
          <w:lang w:val="vi-VN"/>
          <w14:textFill>
            <w14:solidFill>
              <w14:schemeClr w14:val="tx1"/>
            </w14:solidFill>
          </w14:textFill>
        </w:rPr>
        <w:t xml:space="preserve"> Theo số liệu báo cáo của 60/63 địa phương, lượng tồn kho bất động sản (số lượng bất động sản của dự án đủ điều kiện đưa vào giao dịch theo quy định của pháp luật nhưng chưa giao dịch trong kỳ báo cáo) tại các dự án trong quý III/2024 vào khoảng 25.937 căn, nền (bao gồm chung cư, nhà ở riêng lẻ, đất nền), trong đó: chung cư có 4.688 căn; nhà ở riêng lẻ có 12.250 căn; đất nền có 8.999 nền.</w:t>
      </w:r>
    </w:p>
    <w:p w14:paraId="1764F2EE">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Lượng tồn kho nhà ở riêng lẻ, đất nền trong quý III/2024 là 21.249 căn/nền (nhà ở riêng lẻ có 12.250 căn; đất nền có 8.999 nền), tương đương 150,6% so với Quý II/2024 (lượng tồn kho nhà ở riêng lẻ, đất nền trong quý II/2024 là 14.106 căn/nền, trong đó: nhà ở riêng lẻ có 7.045 căn, đất nền có 7.061 nền).</w:t>
      </w:r>
    </w:p>
    <w:p w14:paraId="16C85EF1">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b/>
          <w:bCs/>
          <w:i/>
          <w:iCs/>
          <w:color w:val="000000" w:themeColor="text1"/>
          <w:sz w:val="26"/>
          <w:szCs w:val="26"/>
          <w:lang w:val="vi-VN"/>
          <w14:textFill>
            <w14:solidFill>
              <w14:schemeClr w14:val="tx1"/>
            </w14:solidFill>
          </w14:textFill>
        </w:rPr>
        <w:t>- Về giá giao dịch</w:t>
      </w:r>
    </w:p>
    <w:p w14:paraId="1FEF0C2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Đối với căn hộ chung cư</w:t>
      </w:r>
    </w:p>
    <w:p w14:paraId="30B234BF">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Trong Quý III/2024, theo khảo sát và tổng hợp báo cáo của một số tỉnh, thành phố lớn như Hà Nội và TP. Hồ Chí Minh thì giá căn hộ chung tại Hà Nội tiếp tục tăng ở cả dự án mới và cũ, mặt bằng giá dự án mới đã tăng khoảng (4% đến 6%) theo quý và (22% đến 25%) theo năm. Nguyên nhân tăng giá bất động sản trong thời gian qua một phần lớn do tác động bởi một số yếu tố như việc biến động tăng đối với chi phí liên quan đến đất đai, đặc biệt tại một số địa phương; sản phẩm nhà ở giá bình dân không đủ nguồn cung cho nhu cầu của thị trường. Theo đó, đã kéo giá bán chung cư tăng lên, đặc biệt có một số khu vực tăng cục bộ lên khoảng 35% đến 40% tùy từng vị trí so với quý trước.</w:t>
      </w:r>
    </w:p>
    <w:p w14:paraId="3F9E518A">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Trên thị trường phân khúc căn hộ chung cư bình dân (có mức giá bán dưới 25 triệu đồng/m</w:t>
      </w:r>
      <w:r>
        <w:rPr>
          <w:rFonts w:eastAsia="Tahoma"/>
          <w:color w:val="000000" w:themeColor="text1"/>
          <w:sz w:val="26"/>
          <w:szCs w:val="26"/>
          <w:vertAlign w:val="superscript"/>
          <w:lang w:val="vi-VN"/>
          <w14:textFill>
            <w14:solidFill>
              <w14:schemeClr w14:val="tx1"/>
            </w14:solidFill>
          </w14:textFill>
        </w:rPr>
        <w:t>2</w:t>
      </w:r>
      <w:r>
        <w:rPr>
          <w:rFonts w:eastAsia="Tahoma"/>
          <w:color w:val="000000" w:themeColor="text1"/>
          <w:sz w:val="26"/>
          <w:szCs w:val="26"/>
          <w:lang w:val="vi-VN"/>
          <w14:textFill>
            <w14:solidFill>
              <w14:schemeClr w14:val="tx1"/>
            </w14:solidFill>
          </w14:textFill>
        </w:rPr>
        <w:t>) gần như không có giao dịch và sản phẩm để bán; căn hộ chung cư trung cấp (có mức giá khoảng 25 triệu đồng/m</w:t>
      </w:r>
      <w:r>
        <w:rPr>
          <w:rFonts w:eastAsia="Tahoma"/>
          <w:color w:val="000000" w:themeColor="text1"/>
          <w:sz w:val="26"/>
          <w:szCs w:val="26"/>
          <w:vertAlign w:val="superscript"/>
          <w:lang w:val="vi-VN"/>
          <w14:textFill>
            <w14:solidFill>
              <w14:schemeClr w14:val="tx1"/>
            </w14:solidFill>
          </w14:textFill>
        </w:rPr>
        <w:t>2</w:t>
      </w:r>
      <w:r>
        <w:rPr>
          <w:rFonts w:eastAsia="Tahoma"/>
          <w:color w:val="000000" w:themeColor="text1"/>
          <w:sz w:val="26"/>
          <w:szCs w:val="26"/>
          <w:lang w:val="vi-VN"/>
          <w14:textFill>
            <w14:solidFill>
              <w14:schemeClr w14:val="tx1"/>
            </w14:solidFill>
          </w14:textFill>
        </w:rPr>
        <w:t> đến dưới 50 triệu đồng/m</w:t>
      </w:r>
      <w:r>
        <w:rPr>
          <w:rFonts w:eastAsia="Tahoma"/>
          <w:color w:val="000000" w:themeColor="text1"/>
          <w:sz w:val="26"/>
          <w:szCs w:val="26"/>
          <w:vertAlign w:val="superscript"/>
          <w:lang w:val="vi-VN"/>
          <w14:textFill>
            <w14:solidFill>
              <w14:schemeClr w14:val="tx1"/>
            </w14:solidFill>
          </w14:textFill>
        </w:rPr>
        <w:t>2</w:t>
      </w:r>
      <w:r>
        <w:rPr>
          <w:rFonts w:eastAsia="Tahoma"/>
          <w:color w:val="000000" w:themeColor="text1"/>
          <w:sz w:val="26"/>
          <w:szCs w:val="26"/>
          <w:lang w:val="vi-VN"/>
          <w14:textFill>
            <w14:solidFill>
              <w14:schemeClr w14:val="tx1"/>
            </w14:solidFill>
          </w14:textFill>
        </w:rPr>
        <w:t>) vẫn chiếm tỉ trọng cao về giao dịch và nguồn cung trên thị trường, thứ tự còn lại là căn hộ chung cư cao cấp, siêu cao cấp (có mức giá trên 50 triệu đồng/m</w:t>
      </w:r>
      <w:r>
        <w:rPr>
          <w:rFonts w:eastAsia="Tahoma"/>
          <w:color w:val="000000" w:themeColor="text1"/>
          <w:sz w:val="26"/>
          <w:szCs w:val="26"/>
          <w:vertAlign w:val="superscript"/>
          <w:lang w:val="vi-VN"/>
          <w14:textFill>
            <w14:solidFill>
              <w14:schemeClr w14:val="tx1"/>
            </w14:solidFill>
          </w14:textFill>
        </w:rPr>
        <w:t>2</w:t>
      </w:r>
      <w:r>
        <w:rPr>
          <w:rFonts w:eastAsia="Tahoma"/>
          <w:color w:val="000000" w:themeColor="text1"/>
          <w:sz w:val="26"/>
          <w:szCs w:val="26"/>
          <w:lang w:val="vi-VN"/>
          <w14:textFill>
            <w14:solidFill>
              <w14:schemeClr w14:val="tx1"/>
            </w14:solidFill>
          </w14:textFill>
        </w:rPr>
        <w:t>)</w:t>
      </w:r>
    </w:p>
    <w:p w14:paraId="37AADFEB">
      <w:pPr>
        <w:spacing w:before="120" w:after="120"/>
        <w:ind w:firstLine="567"/>
        <w:jc w:val="both"/>
        <w:rPr>
          <w:rFonts w:eastAsia="Tahoma"/>
          <w:b/>
          <w:bCs/>
          <w:i/>
          <w:iCs/>
          <w:color w:val="000000" w:themeColor="text1"/>
          <w:sz w:val="26"/>
          <w:szCs w:val="26"/>
          <w:u w:val="single"/>
          <w:lang w:val="vi-VN"/>
          <w14:textFill>
            <w14:solidFill>
              <w14:schemeClr w14:val="tx1"/>
            </w14:solidFill>
          </w14:textFill>
        </w:rPr>
      </w:pPr>
      <w:r>
        <w:rPr>
          <w:rFonts w:eastAsia="Tahoma"/>
          <w:i/>
          <w:iCs/>
          <w:color w:val="000000" w:themeColor="text1"/>
          <w:sz w:val="26"/>
          <w:szCs w:val="26"/>
          <w:u w:val="single"/>
          <w:lang w:val="vi-VN"/>
          <w14:textFill>
            <w14:solidFill>
              <w14:schemeClr w14:val="tx1"/>
            </w14:solidFill>
          </w14:textFill>
        </w:rPr>
        <w:t xml:space="preserve">* </w:t>
      </w:r>
      <w:r>
        <w:rPr>
          <w:rFonts w:eastAsia="Tahoma"/>
          <w:b/>
          <w:bCs/>
          <w:i/>
          <w:iCs/>
          <w:color w:val="000000" w:themeColor="text1"/>
          <w:sz w:val="26"/>
          <w:szCs w:val="26"/>
          <w:u w:val="single"/>
          <w:lang w:val="vi-VN"/>
          <w14:textFill>
            <w14:solidFill>
              <w14:schemeClr w14:val="tx1"/>
            </w14:solidFill>
          </w14:textFill>
        </w:rPr>
        <w:t>Ngày 24/01/2025, Bộ Xây dựng đã có Thông cáo 21/BC-BXD về việc công bố thông tin về nhà ở và thị trường bất động sản Quý Iv năm 2024 và cả năm 2024</w:t>
      </w:r>
    </w:p>
    <w:p w14:paraId="315D0A7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báo cáo của Tổng cục Thống kê về công bố tình hình kinh tế - xã hội quý IV và năm 2024 thì tổng sản phẩm trong nước (GDP) quý IV/2024 ước tính tăng 7,55% so với cùng kỳ năm trước và duy trì xu hướng quý sau cao hơn quý trước (quý I tăng 5,98%, quý II tăng 7,25%, quý III tăng 7,43%). Trong đó, khu vực công nghiệp và xây dựng tăng 8,35%, đóng góp 44,03%. Vốn đầu tư thực hiện toàn xã hội năm 2024 theo giá hiện hành ước đạt 3.692,1 nghìn tỷ đồng, tăng 7,5% so với năm 2023, đồng thời vốn FDI thực hiện tại Việt Nam năm 2024 đạt mức cao nhất từ trước đến nay (khu vực có vốn đầu tư trực tiếp nước ngoài đạt 608,6 nghìn tỷ đồng, chiếm 16,5% và tăng 10,6%).</w:t>
      </w:r>
    </w:p>
    <w:p w14:paraId="59677E1A">
      <w:pPr>
        <w:spacing w:before="120" w:after="120"/>
        <w:ind w:firstLine="567"/>
        <w:jc w:val="both"/>
        <w:rPr>
          <w:rFonts w:eastAsia="Tahoma"/>
          <w:color w:val="000000" w:themeColor="text1"/>
          <w:spacing w:val="-2"/>
          <w:sz w:val="26"/>
          <w:szCs w:val="26"/>
          <w:lang w:val="vi-VN"/>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Theo nhận định của các Tổ chức, chuyên gia nghiên cứu kinh tế thì năm 2024, kinh tế Việt Nam diễn ra trong bối cảnh kinh tế thế giới dần hồi phục, thương mại toàn cầu vẫn bấp bênh, đối mặt với nhiều rủi ro, bất định, bất ổn địa chính trị và xung đột quân sự gây ra biến động về giá xăng dầu, giá nguyên vật liệu,... tạo áp lực lên lạm phát, tăng trưởng toàn cầu chậm lại. Tuy nhiên, Chính phủ Việt Nam đã có những chính sách, điều hành linh hoạt, hành động cụ thể, kịp thời hiệu quả cùng sự đồng hành của Quốc hội, theo đó kinh tế Việt Nam đã hóa giải được những khó khăn, bất cập trong năm 2024, đồng thời sẽ có nhiều triển vọng đạt mục tiêu tăng trưởng kinh tế năm 2025 ở mức cao, tạo nền tảng và gia tốc để kinh tế Việt Nam vươn mình trong kỷ nguyên mới.</w:t>
      </w:r>
    </w:p>
    <w:p w14:paraId="725D837C">
      <w:pPr>
        <w:spacing w:before="120" w:after="120"/>
        <w:ind w:firstLine="567"/>
        <w:jc w:val="both"/>
        <w:rPr>
          <w:rFonts w:eastAsia="Tahoma"/>
          <w:color w:val="000000" w:themeColor="text1"/>
          <w:spacing w:val="-2"/>
          <w:sz w:val="26"/>
          <w:szCs w:val="26"/>
          <w:lang w:val="vi-VN"/>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Trong năm 2024, Đảng, Chính phủ, Thủ tướng Chính phủ đã chỉ đạo các Bộ, ngành tích cực nghiên cứu, hoàn thiện nhiều cơ chế, chính sách để đảm bảo tính đồng bộ, liên thông của hệ thống pháp luật liên quan đến đất đai, xây dựng, nhà ở, kinh doanh bất động sản. Đặc biệt, Chính phủ chỉ đạo ban hành các Nghị định hướng dẫn Luật Đất đai, Luật Nhà ở, Luật Kinh doanh bất động sản để có hiệu lực ngày 01/8/2024. Bên cạnh đó là hàng loạt các chỉ đạo, điều hành kịp thời, linh hoạt, quyết liệt của Chính phủ, Thủ tướng Chính phủ, Bộ, ngành thông qua các nghị quyết, chỉ thị, công điện, quyết định, kết luận hội nghị, cuộc họp, văn bản chỉ đạo điều hành, đôn đốc, hướng dẫn tháo gỡ khó khăn đối với lĩnh vực bất động sản và một số lĩnh vực khác có tác động tương hỗ đến lĩnh vực bất động sản (như: tín dụng, trái phiếu,..). Tất cả điều này đã tạo ra các xung lực mới, có tác động tích cực tới thị trường bất động sản.</w:t>
      </w:r>
    </w:p>
    <w:p w14:paraId="088A164D">
      <w:pPr>
        <w:spacing w:before="120" w:after="120"/>
        <w:ind w:firstLine="567"/>
        <w:jc w:val="both"/>
        <w:rPr>
          <w:rFonts w:eastAsia="Tahoma"/>
          <w:color w:val="000000" w:themeColor="text1"/>
          <w:spacing w:val="-2"/>
          <w:sz w:val="26"/>
          <w:szCs w:val="26"/>
          <w:lang w:val="vi-VN"/>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Do đó, nguồn cung bất động sản năm 2024 tăng trưởng và có nhiều dự án quy mô lớn mở bán vào thời điểm cuối năm cùng các chính sách thanh toán ưu đãi, linh hoạt,… Lượng giao dịch trong năm 2024 tiếp tục tăng trưởng ổn định khi nguồn cung được cải thiện cả về lượng và chất; nhu cầu mua bất động sản, bao gồm cả để ở và đầu tư vẫn cao tăng. Tuy nhiên, thị trường bất động sản vẫn đang rất khan hiếm nguồn cung, đặc biệt là phân khúc nhà ở vừa túi tiền; giá đất, giá nhà ở tăng cao, nhất là giá nhà chung cư và giá đất nền tại một số địa phương do nhiều dự án còn bị đình trệ vì vướng mắc pháp lý; vướng mắc trong công tác bồi thường giải phóng mặt bằng, chuyển mục đích sử dụng đất, xác định giá đất, tính tiền sử dụng đất, điều chỉnh quy hoạch,…</w:t>
      </w:r>
    </w:p>
    <w:p w14:paraId="34862AF7">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Số lượng các dự án phát triển nhà ở, dự án bất động sản được cấp phép, đang triển khai, đã hoàn thành và đủ điều kiện bán nhà ở hình thành trong tương lai trong Quý IV/2024 và cả năm 2024</w:t>
      </w:r>
    </w:p>
    <w:p w14:paraId="1A2B18E7">
      <w:pPr>
        <w:spacing w:before="120" w:after="120"/>
        <w:ind w:firstLine="567"/>
        <w:jc w:val="both"/>
        <w:rPr>
          <w:rFonts w:eastAsia="Tahoma"/>
          <w:b/>
          <w:bCs/>
          <w:i/>
          <w:iCs/>
          <w:color w:val="000000" w:themeColor="text1"/>
          <w:sz w:val="26"/>
          <w:szCs w:val="26"/>
          <w:lang w:val="vi-VN"/>
          <w14:textFill>
            <w14:solidFill>
              <w14:schemeClr w14:val="tx1"/>
            </w14:solidFill>
          </w14:textFill>
        </w:rPr>
      </w:pPr>
      <w:r>
        <w:rPr>
          <w:rFonts w:eastAsia="Tahoma"/>
          <w:b/>
          <w:bCs/>
          <w:color w:val="000000" w:themeColor="text1"/>
          <w:sz w:val="26"/>
          <w:szCs w:val="26"/>
          <w:lang w:val="vi-VN"/>
          <w14:textFill>
            <w14:solidFill>
              <w14:schemeClr w14:val="tx1"/>
            </w14:solidFill>
          </w14:textFill>
        </w:rPr>
        <w:t>*</w:t>
      </w:r>
      <w:r>
        <w:rPr>
          <w:rFonts w:eastAsia="Tahoma"/>
          <w:b/>
          <w:bCs/>
          <w:i/>
          <w:iCs/>
          <w:color w:val="000000" w:themeColor="text1"/>
          <w:sz w:val="26"/>
          <w:szCs w:val="26"/>
          <w:lang w:val="vi-VN"/>
          <w14:textFill>
            <w14:solidFill>
              <w14:schemeClr w14:val="tx1"/>
            </w14:solidFill>
          </w14:textFill>
        </w:rPr>
        <w:t>Đối với dự án phát triển nhà ở thương mại</w:t>
      </w:r>
    </w:p>
    <w:p w14:paraId="0267213A">
      <w:pPr>
        <w:spacing w:before="120" w:after="120"/>
        <w:ind w:firstLine="567"/>
        <w:jc w:val="both"/>
        <w:rPr>
          <w:rFonts w:eastAsia="Tahoma"/>
          <w:i/>
          <w:iCs/>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Trong quý IV năm 2024:</w:t>
      </w:r>
    </w:p>
    <w:p w14:paraId="4972503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Hoàn thành: có 34 dự án với quy mô khoảng 13.836 căn, số lượng dự án bằng 212,5% so với Quý III/2024, cụ thể: tại miền Bắc có 21 dự án với 5.370 căn; tại miền Trung có 03 dự án với 194 căn; tại miền Nam có 10 dự án với 8.272 căn.</w:t>
      </w:r>
    </w:p>
    <w:p w14:paraId="417D076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Được cấp phép mới: có 18 dự án với quy mô khoảng 6.672 căn, số lượng dự án được cấp phép mới bằng 86,96% so với Quý III/2024, cụ thể: tại miền Bắc có 8 dự án, tại miền Trung có 2 dự án tại miền Nam có 8 dự án.</w:t>
      </w:r>
    </w:p>
    <w:p w14:paraId="74920A0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Đủ điều kiện bán nhà ở hình thành trong tương lai: có 61 dự án với quy mô khoảng 13.163 căn, số lượng dự án đủ điều kiện bán nhà ở hình thành trong tương lai bằng 110,9% với Quý III/2024.</w:t>
      </w:r>
    </w:p>
    <w:p w14:paraId="21989CC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Đang triển khai xây dựng: có 937 dự án với quy mô khoảng 403. 349 căn, số lượng dự án đang triển khai xây dựng bằng 99,7% so với Quý III/2024, cụ thể: tại miền Bắc có 366 dự án với quy mô khoảng 216.945 căn; tại miền Trung có 407 dự án với quy mô khoảng 106.897 căn; tại miền Nam có 189 dự án với quy mô khoảng 79.507 căn.</w:t>
      </w:r>
    </w:p>
    <w:p w14:paraId="76C3EC30">
      <w:pPr>
        <w:spacing w:before="120" w:after="120"/>
        <w:ind w:firstLine="567"/>
        <w:jc w:val="both"/>
        <w:rPr>
          <w:rFonts w:eastAsia="Tahoma"/>
          <w:i/>
          <w:iCs/>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Trong cả năm 2024</w:t>
      </w:r>
    </w:p>
    <w:p w14:paraId="5548E27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Cả nước có 79 dự án được cấp phép mới với quy mô khoảng 38.345 căn; có 69 dự án hoàn thành xây dựng với quy mô khoảng 23.041 căn; có 204 dự án đủ điều kiện bán nhà ở hình thành trong tương lai.</w:t>
      </w:r>
    </w:p>
    <w:p w14:paraId="682531AB">
      <w:pPr>
        <w:spacing w:before="120" w:after="120"/>
        <w:ind w:firstLine="567"/>
        <w:jc w:val="both"/>
        <w:rPr>
          <w:rFonts w:eastAsia="Tahoma"/>
          <w:b/>
          <w:bCs/>
          <w:i/>
          <w:iCs/>
          <w:color w:val="000000" w:themeColor="text1"/>
          <w:sz w:val="26"/>
          <w:szCs w:val="26"/>
          <w:lang w:val="vi-VN"/>
          <w14:textFill>
            <w14:solidFill>
              <w14:schemeClr w14:val="tx1"/>
            </w14:solidFill>
          </w14:textFill>
        </w:rPr>
      </w:pPr>
      <w:r>
        <w:rPr>
          <w:rFonts w:eastAsia="Tahoma"/>
          <w:b/>
          <w:bCs/>
          <w:i/>
          <w:iCs/>
          <w:color w:val="000000" w:themeColor="text1"/>
          <w:sz w:val="26"/>
          <w:szCs w:val="26"/>
          <w:lang w:val="vi-VN"/>
          <w14:textFill>
            <w14:solidFill>
              <w14:schemeClr w14:val="tx1"/>
            </w14:solidFill>
          </w14:textFill>
        </w:rPr>
        <w:t>*Đối với dự án nhà ở xã hội dành cho đối tượng thu nhập thấp và công nhân khu công nghiệp</w:t>
      </w:r>
    </w:p>
    <w:p w14:paraId="75EF54AB">
      <w:pPr>
        <w:spacing w:before="120" w:after="120"/>
        <w:ind w:firstLine="567"/>
        <w:jc w:val="both"/>
        <w:rPr>
          <w:rFonts w:eastAsia="Tahoma"/>
          <w:i/>
          <w:iCs/>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Trong Quý IV năm 2024</w:t>
      </w:r>
    </w:p>
    <w:p w14:paraId="7990255F">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Trên địa bàn cả nước đã có 15 dự án nhà ở xã hội dành cho đối tượng thu nhập thấp và công nhân khu công nghiệp với quy mô 10.235 căn đã hoàn thành và cấp phép xây dựng, cụ thể như sau:</w:t>
      </w:r>
    </w:p>
    <w:p w14:paraId="29F69417">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Đã hoàn thành 12 dự án với quy mô 6.397 căn;</w:t>
      </w:r>
    </w:p>
    <w:p w14:paraId="739C037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Đã được cấp phép, khởi công xây dựng 3 dự án với quy mô 3.838 căn.</w:t>
      </w:r>
    </w:p>
    <w:p w14:paraId="433D75D2">
      <w:pPr>
        <w:spacing w:before="120" w:after="120"/>
        <w:ind w:firstLine="567"/>
        <w:jc w:val="both"/>
        <w:rPr>
          <w:rFonts w:eastAsia="Tahoma"/>
          <w:i/>
          <w:iCs/>
          <w:color w:val="000000" w:themeColor="text1"/>
          <w:sz w:val="26"/>
          <w:szCs w:val="26"/>
          <w:lang w:val="vi-VN"/>
          <w14:textFill>
            <w14:solidFill>
              <w14:schemeClr w14:val="tx1"/>
            </w14:solidFill>
          </w14:textFill>
        </w:rPr>
      </w:pPr>
      <w:r>
        <w:rPr>
          <w:rFonts w:eastAsia="Tahoma"/>
          <w:i/>
          <w:iCs/>
          <w:color w:val="000000" w:themeColor="text1"/>
          <w:sz w:val="26"/>
          <w:szCs w:val="26"/>
          <w:lang w:val="vi-VN"/>
          <w14:textFill>
            <w14:solidFill>
              <w14:schemeClr w14:val="tx1"/>
            </w14:solidFill>
          </w14:textFill>
        </w:rPr>
        <w:t>- Trong cả năm 2024</w:t>
      </w:r>
    </w:p>
    <w:p w14:paraId="27DDDCB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xml:space="preserve">Trong năm 2024, cả nước có 28 dự án với quy mô 20.284 căn đã hoàn thành (tăng khoảng 46% so với năm 2023, tương đương khoảng 6.420 căn); 23 dự án với quy mô 25.399 căn đã được cấp phép, khởi công xây dựng (tăng khoảng 13% so với </w:t>
      </w:r>
      <w:r>
        <w:rPr>
          <w:rFonts w:eastAsia="Tahoma"/>
          <w:color w:val="000000" w:themeColor="text1"/>
          <w:spacing w:val="-6"/>
          <w:sz w:val="26"/>
          <w:szCs w:val="26"/>
          <w:lang w:val="vi-VN"/>
          <w14:textFill>
            <w14:solidFill>
              <w14:schemeClr w14:val="tx1"/>
            </w14:solidFill>
          </w14:textFill>
        </w:rPr>
        <w:t>năm 2023, tương đương khoảng 3.000 căn); số lượng dự án được chấp thuận chủ trương đầu tư là 113 dự án, tương đương 142.450 căn (tăng khoảng 101% so với năm 2023).</w:t>
      </w:r>
    </w:p>
    <w:p w14:paraId="05695A1C">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Lũy kế thực hiện Đề án 01 triệu căn hộ nhà ở xã hội giai đoạn 2021 - 2030</w:t>
      </w:r>
    </w:p>
    <w:p w14:paraId="35B2A0CA">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Thực hiện Đề án “Đầu tư xây dựng ít nhất 01 triệu căn hộ nhà ở xã hội cho đối tượng thu nhập thấp, công nhân khu công nghiệp giai đoạn 2021-2030”, trên địa bàn cả nước đã có 645 dự án nhà ở xã hội đã được triển khai với quy mô 581.218 căn, trong đó:</w:t>
      </w:r>
    </w:p>
    <w:p w14:paraId="20CF3D3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Số lượng dự án hoàn thành: 96 dự án với quy mô 57.652 căn.</w:t>
      </w:r>
    </w:p>
    <w:p w14:paraId="496BA2DF">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Số lượng dự án đã khởi công xây dựng: 135 dự án với quy mô 115.630 căn.</w:t>
      </w:r>
    </w:p>
    <w:p w14:paraId="41541A9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Số lượng dự án đã được chấp thuận chủ trương đầu tư: 414 dự án với quy mô 407.936 căn.</w:t>
      </w:r>
    </w:p>
    <w:p w14:paraId="528C8A3D">
      <w:pPr>
        <w:spacing w:before="120" w:after="120"/>
        <w:ind w:firstLine="567"/>
        <w:jc w:val="both"/>
        <w:rPr>
          <w:rFonts w:eastAsia="Tahoma"/>
          <w:color w:val="000000" w:themeColor="text1"/>
          <w:spacing w:val="-4"/>
          <w:sz w:val="26"/>
          <w:szCs w:val="26"/>
          <w:lang w:val="vi-VN"/>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Nhìn chung trong quý IV/2024, nguồn cung bất động sản (của dự án nhà ở thương mại, dự án được chuyển nhượng quyền sử dụng đất cho cá nhân tự xây dựng nhà ở) đã dần được cải thiện theo từng quý, quý sau cao hơn quý trước, theo đó: số lượng dự án nhà ở thương mại hoàn thành trong quý IV bằng 156,25% so với Quý III/2024; số lượng dự án nhà ở thương mại đủ điều kiện bán nhà ở hình thành trong tương lai bằng 98,18% so với Quý III/2024; số lượng dự án được chuyển nhượng quyền sử dụng đất cho cá nhân tự xây dựng nhà ở hoàn thành bằng 285,7% so với quý III/2024.</w:t>
      </w:r>
    </w:p>
    <w:p w14:paraId="74A0244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Về tổng thể, nguồn cung bất động sản trong năm 2024 (số lượng dự án nhà ở thương mại được cấp phép mới) có xu hướng tăng nhẹ so với năm 2023.</w:t>
      </w:r>
    </w:p>
    <w:p w14:paraId="3E9C4A4D">
      <w:pPr>
        <w:spacing w:before="120" w:after="120"/>
        <w:ind w:firstLine="567"/>
        <w:jc w:val="both"/>
        <w:rPr>
          <w:rFonts w:eastAsia="Tahoma"/>
          <w:color w:val="000000" w:themeColor="text1"/>
          <w:sz w:val="26"/>
          <w:szCs w:val="26"/>
          <w:lang w:val="vi-VN"/>
          <w14:textFill>
            <w14:solidFill>
              <w14:schemeClr w14:val="tx1"/>
            </w14:solidFill>
          </w14:textFill>
        </w:rPr>
      </w:pPr>
      <w:bookmarkStart w:id="25" w:name="dieu_2"/>
      <w:r>
        <w:rPr>
          <w:rFonts w:eastAsia="Tahoma"/>
          <w:b/>
          <w:bCs/>
          <w:i/>
          <w:iCs/>
          <w:color w:val="000000" w:themeColor="text1"/>
          <w:sz w:val="26"/>
          <w:szCs w:val="26"/>
          <w:lang w:val="vi-VN"/>
          <w14:textFill>
            <w14:solidFill>
              <w14:schemeClr w14:val="tx1"/>
            </w14:solidFill>
          </w14:textFill>
        </w:rPr>
        <w:t>*Lượng giao dịch chung cư, nhà ở riêng lẻ, đất nền</w:t>
      </w:r>
      <w:bookmarkEnd w:id="25"/>
    </w:p>
    <w:p w14:paraId="0CDB40B8">
      <w:pPr>
        <w:spacing w:before="120" w:after="120"/>
        <w:ind w:firstLine="567"/>
        <w:jc w:val="both"/>
        <w:rPr>
          <w:rFonts w:eastAsia="Tahoma"/>
          <w:color w:val="000000" w:themeColor="text1"/>
          <w:sz w:val="26"/>
          <w:szCs w:val="26"/>
          <w:u w:val="single"/>
          <w:lang w:val="vi-VN"/>
          <w14:textFill>
            <w14:solidFill>
              <w14:schemeClr w14:val="tx1"/>
            </w14:solidFill>
          </w14:textFill>
        </w:rPr>
      </w:pPr>
      <w:r>
        <w:rPr>
          <w:rFonts w:eastAsia="Tahoma"/>
          <w:i/>
          <w:iCs/>
          <w:color w:val="000000" w:themeColor="text1"/>
          <w:sz w:val="26"/>
          <w:szCs w:val="26"/>
          <w:u w:val="single"/>
          <w:lang w:val="vi-VN"/>
          <w14:textFill>
            <w14:solidFill>
              <w14:schemeClr w14:val="tx1"/>
            </w14:solidFill>
          </w14:textFill>
        </w:rPr>
        <w:t>- Trong quý IV/2024</w:t>
      </w:r>
    </w:p>
    <w:p w14:paraId="524E9707">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tổng hợp số liệu từ Sở Xây dựng các địa phương có báo cáo, lượng giao dịch bất động sản cụ thể như sau:</w:t>
      </w:r>
    </w:p>
    <w:p w14:paraId="2C04CC9F">
      <w:pPr>
        <w:spacing w:before="120" w:after="120"/>
        <w:ind w:firstLine="567"/>
        <w:jc w:val="both"/>
        <w:rPr>
          <w:rFonts w:eastAsia="Tahoma"/>
          <w:color w:val="000000" w:themeColor="text1"/>
          <w:spacing w:val="-6"/>
          <w:sz w:val="26"/>
          <w:szCs w:val="26"/>
          <w:lang w:val="vi-VN"/>
          <w14:textFill>
            <w14:solidFill>
              <w14:schemeClr w14:val="tx1"/>
            </w14:solidFill>
          </w14:textFill>
        </w:rPr>
      </w:pPr>
      <w:r>
        <w:rPr>
          <w:rFonts w:eastAsia="Tahoma"/>
          <w:color w:val="000000" w:themeColor="text1"/>
          <w:spacing w:val="-6"/>
          <w:sz w:val="26"/>
          <w:szCs w:val="26"/>
          <w:lang w:val="vi-VN"/>
          <w14:textFill>
            <w14:solidFill>
              <w14:schemeClr w14:val="tx1"/>
            </w14:solidFill>
          </w14:textFill>
        </w:rPr>
        <w:t>+ Lượng giao dịch căn hộ chung cư, nhà ở riêng lẻ: có 25.409 giao dịch thành công.</w:t>
      </w:r>
    </w:p>
    <w:p w14:paraId="4F2ACAE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Lượng giao dịch đất nền: có 86.796 giao dịch thành công.</w:t>
      </w:r>
    </w:p>
    <w:p w14:paraId="37B5C86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Qua số liệu tổng hợp cho thấy: lượng giao dịch trong phân khúc đất nền, căn hộ chung cư và nhà ở riêng lẻ trong Quý IV giảm với Quý III/2024 (trong quý IV/2024 có 86.796 giao dịch đất nền, bằng khoảng 84,3% so với quý III/2024; đối với giao dịch căn hộ chung cư và nhà ở riêng lẻ trong quý IV/2024 có 25.409 giao dịch căn hộ chung cư và nhà ở riêng lẻ bằng khoảng 66,1% so với quý III/2024).</w:t>
      </w:r>
    </w:p>
    <w:p w14:paraId="53D690EE">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i/>
          <w:iCs/>
          <w:color w:val="000000" w:themeColor="text1"/>
          <w:sz w:val="26"/>
          <w:szCs w:val="26"/>
          <w:u w:val="single"/>
          <w:lang w:val="vi-VN"/>
          <w14:textFill>
            <w14:solidFill>
              <w14:schemeClr w14:val="tx1"/>
            </w14:solidFill>
          </w14:textFill>
        </w:rPr>
        <w:t>- Trong cả năm 2024</w:t>
      </w:r>
      <w:r>
        <w:rPr>
          <w:rFonts w:eastAsia="Tahoma"/>
          <w:color w:val="000000" w:themeColor="text1"/>
          <w:sz w:val="26"/>
          <w:szCs w:val="26"/>
          <w:lang w:val="vi-VN"/>
          <w14:textFill>
            <w14:solidFill>
              <w14:schemeClr w14:val="tx1"/>
            </w14:solidFill>
          </w14:textFill>
        </w:rPr>
        <w:t>: Trong năm 2024, lượng giao dịch chung cư và nhà ở riêng lẻ thành công vào khoảng 125.545 căn; lượng giao dịch đất nền vào khoảng 412.448 lô/nền.</w:t>
      </w:r>
    </w:p>
    <w:p w14:paraId="6982CF0E">
      <w:pPr>
        <w:spacing w:before="120" w:after="120"/>
        <w:ind w:firstLine="720"/>
        <w:jc w:val="both"/>
        <w:rPr>
          <w:rFonts w:eastAsia="Tahoma"/>
          <w:color w:val="000000" w:themeColor="text1"/>
          <w:sz w:val="26"/>
          <w:szCs w:val="26"/>
          <w:lang w:val="vi-VN"/>
          <w14:textFill>
            <w14:solidFill>
              <w14:schemeClr w14:val="tx1"/>
            </w14:solidFill>
          </w14:textFill>
        </w:rPr>
      </w:pPr>
      <w:r>
        <w:rPr>
          <w:rFonts w:eastAsia="Tahoma"/>
          <w:b/>
          <w:bCs/>
          <w:color w:val="000000" w:themeColor="text1"/>
          <w:sz w:val="26"/>
          <w:szCs w:val="26"/>
          <w:u w:val="single"/>
          <w:lang w:val="vi-VN"/>
          <w14:textFill>
            <w14:solidFill>
              <w14:schemeClr w14:val="tx1"/>
            </w14:solidFill>
          </w14:textFill>
        </w:rPr>
        <w:t>*Về tồn kho bất động sản</w:t>
      </w:r>
    </w:p>
    <w:p w14:paraId="5A4E28B2">
      <w:pPr>
        <w:spacing w:before="120" w:after="120"/>
        <w:ind w:firstLine="720"/>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Lượng tồn kho bất động sản tại các dự án trong quý IV/2024 vào khoảng 17.058 căn/nền (bao gồm chung cư, nhà ở riêng lẻ, đất nền), trong đó: chung cư 1.072 căn; nhà ở riêng lẻ 11.218 căn; đất nền 4.768 nền. Theo đó, có thể thấy tỷ trọng tồn kho chủ yếu ở phân khúc bất động sản là nhà ở riêng lẻ và đất nền của các dự án.</w:t>
      </w:r>
    </w:p>
    <w:p w14:paraId="037C21FD">
      <w:pPr>
        <w:spacing w:before="120" w:after="120"/>
        <w:ind w:firstLine="720"/>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Lượng tồn kho bất động sản tại các dự án tiếp tục giảm so với quý III/2024, trong đó, phân khúc nhà chung cư bằng khoảng 22,87% so với quý III/2024; phân khúc đất nền bằng khoảng 52,98% so với quý III/2024 và phân khúc nhà ở riêng lẻ bằng khoảng 91,58% so với quý III/2024.</w:t>
      </w:r>
    </w:p>
    <w:p w14:paraId="4C309AE9">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Nhìn chung, trong năm 2024, lượng tồn kho bất động sản trong các dự án đối với các phân khúc nhà ở chung cư, nhà ở riêng lẻ và phân khúc đất nền có xu hướng giảm.</w:t>
      </w:r>
    </w:p>
    <w:p w14:paraId="7FB3B8BA">
      <w:pPr>
        <w:spacing w:before="120" w:after="120"/>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Nguồn:</w:t>
      </w:r>
      <w:r>
        <w:fldChar w:fldCharType="begin"/>
      </w:r>
      <w:r>
        <w:instrText xml:space="preserve"> HYPERLINK "https://thuvienphapluat.vn/van-ban/Bat-dong-san/Bao-cao-21-BC-BXD-2025-cong-bo-thong-tin-ve-nha-o-va-thi-truong-bat-dong-san-Quy-IV-2024-642348.aspx" </w:instrText>
      </w:r>
      <w:r>
        <w:fldChar w:fldCharType="separate"/>
      </w:r>
      <w:r>
        <w:rPr>
          <w:rFonts w:eastAsia="Tahoma"/>
          <w:color w:val="000000" w:themeColor="text1"/>
          <w:sz w:val="26"/>
          <w:szCs w:val="26"/>
          <w:u w:val="single"/>
          <w:lang w:val="vi-VN"/>
          <w14:textFill>
            <w14:solidFill>
              <w14:schemeClr w14:val="tx1"/>
            </w14:solidFill>
          </w14:textFill>
        </w:rPr>
        <w:t>https://thuvienphapluat.vn/van-ban/Bat-dong-san/Bao-cao-21-BC-BXD-2025-cong-bo-thong-tin-ve-nha-o-va-thi-truong-bat-dong-san-Quy-IV-2024-642348.aspx</w:t>
      </w:r>
      <w:r>
        <w:rPr>
          <w:rFonts w:eastAsia="Tahoma"/>
          <w:color w:val="000000" w:themeColor="text1"/>
          <w:sz w:val="26"/>
          <w:szCs w:val="26"/>
          <w:u w:val="single"/>
          <w:lang w:val="vi-VN"/>
          <w14:textFill>
            <w14:solidFill>
              <w14:schemeClr w14:val="tx1"/>
            </w14:solidFill>
          </w14:textFill>
        </w:rPr>
        <w:fldChar w:fldCharType="end"/>
      </w:r>
    </w:p>
    <w:p w14:paraId="2CC2C0D7">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b/>
          <w:bCs/>
          <w:color w:val="000000" w:themeColor="text1"/>
          <w:sz w:val="26"/>
          <w:szCs w:val="26"/>
          <w:lang w:val="vi-VN"/>
          <w14:textFill>
            <w14:solidFill>
              <w14:schemeClr w14:val="tx1"/>
            </w14:solidFill>
          </w14:textFill>
        </w:rPr>
        <w:t>* Một số nguyên nhân làm tăng giá bất động sản trong thời gian qua</w:t>
      </w:r>
    </w:p>
    <w:p w14:paraId="466CC8F4">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Qua tổng hợp cho thấy trong Quý III/2024, giá bất động sản tại một số địa phương vẫn có xu hướng tăng, đặc biệt tại TP. Hà Nội, TP. Hồ Chí Minh và các đô thị lớn. Hiện tượng tăng giá có tính cục bộ, xảy ra ở một số khu vực, một số loại hình, một số phân khúc bất động sản dẫn đến tác động làm tăng giá chung. Qua phân tích cho thấy có nhiều nguyên nhân tác động làm tăng giá bất động sản nhà ở, trong đó có một số nguyên nhân cơ bản, chủ yếu sau:</w:t>
      </w:r>
    </w:p>
    <w:p w14:paraId="5666121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(1) Giá bán bất động sản tăng một phần do biến động tăng đối với chi phí liên quan đến đất đai gần đây cũng như tác động khi áp dụng phương pháp tính và bảng giá đất mới.</w:t>
      </w:r>
    </w:p>
    <w:p w14:paraId="24D16B01">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Đặc biệt tại một số địa phương, khu vực có hiện tượng đấu giá quyền sử dụng đất với kết quả trúng đấu giá cao gấp nhiều lần giá khởi điểm. Việc quản lý, thực hiện đấu giá quyền sử dụng đất tại một số khu vực, địa phương chưa tốt; có hiện tượng nhiều nhà đầu tư thành lập hội, nhóm tham gia đấu giá; trả giá đất cao gấp nhiều lần so với giá khởi điểm, rồi có thể “bỏ cọc” sau khi trúng đấu giá đất nhằm mục đích thiết lập mặt bằng giá ảo tại khu vực để kiếm lời.</w:t>
      </w:r>
    </w:p>
    <w:p w14:paraId="1102CCFF">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Việc đấu giá quyền sử dụng đất với kết quả trúng đấu giá cao gấp nhiều lần giá khởi điểm sẽ có tác động làm tăng mặt bằng giá đất, giá bất động sản, giá nhà ở của khu vực lân cận và của địa phương; đồng thời làm tăng chi phí triển khai thực hiện dự án nhà ở, gây khó khăn cho doanh nghiệp, giảm nguồn cung cho thị trường, tác động tiêu cực đến thị trường bất động sản.</w:t>
      </w:r>
    </w:p>
    <w:p w14:paraId="337F1EF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(2) Hiện tượng “tạo giá ảo”, “thổi giá” của giới đầu cơ và các cá nhân hành nghề môi giới bất động sản; lợi dụng sự thiếu hiểu biết, đầu tư theo tâm lý đám đông của người dân để trục lợi.</w:t>
      </w:r>
    </w:p>
    <w:p w14:paraId="2ED4AD46">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Đây là các cá nhân hoạt động môi giới tự do, không có chứng chỉ môi giới bất động sản, yếu về chuyên môn, hiểu biết pháp luật hạn chế, chưa có tính chuyên nghiệp, yếu kém về đạo đức kinh doanh dẫn đến tình trạng làm ăn chụp giật, thông đồng làm giá, thổi giá cao so với giá trị thực tế, thao túng thị trường, gây thiệt hại cho khách hàng và làm giảm tính minh bạch của thị trường bất động sản.</w:t>
      </w:r>
    </w:p>
    <w:p w14:paraId="30081658">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(3) Thiếu nguồn cung bất động sản, nhà ở để đáp ứng  nhu cầu đại bộ phận người dân, các đối tượng thu nhập thấp, thu nhập trung bình tại các khu vực đô thị, đặc biệt là Tp.Hà Nội và Tp.Hồ Chí Minh, do một số nguyên nhân:</w:t>
      </w:r>
    </w:p>
    <w:p w14:paraId="414E057C">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Doanh nghiệp kinh doanh bất động sản gặp khó khăn, vướng mắc trong thủ tục pháp lý, đặc biệt là việc xác định giá đất, tính tiền sử dụng đất, giải phóng mặt bằng, giao đất.</w:t>
      </w:r>
    </w:p>
    <w:p w14:paraId="693545E1">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Nhiều doanh nghiệp gặp khó khăn về nguồn vốn vay tín dụng, nguồn vốn từ phát hành trái phiếu doanh nghiệp.</w:t>
      </w:r>
    </w:p>
    <w:p w14:paraId="3BC6AEC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 Nhiều dự án đã, đang triển khai xây dựng thời gian qua phải tạm dừng, giãn tiến độ, chậm tiến độ triển khai xây dựng.</w:t>
      </w:r>
    </w:p>
    <w:p w14:paraId="502C645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Mặc dù các Luật Đất đai 2024, Luật Nhà ở 2023, Luật Kinh doanh bất động sản 2023 được ban hành và có hiệu lực thi hành, các vướng mắc khó khăn về thể chế, quy định pháp luật (đất đai, nhà ở, kinh doanh bất động sản, tín dụng...) đối với doanh nghiệp đã cơ bản được tháo gỡ, nguồn cung bất động sản đã cho thấy có sự cải thiện. Tuy nhiên, vẫn còn một số hạn chế do cần có thời gian để các cơ chế, chính sách, pháp luật mới được ban hành được thực thi có kết quả, “đi vào cuộc sống”.</w:t>
      </w:r>
    </w:p>
    <w:p w14:paraId="5212E341">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(4) Biến động của nền kinh tế trong thời gian qua liên quan đến thị trường chứng khoán, trái phiếu, vàng... đã tác động đến tâm lý của người dân, nhà đầu tư, dẫn đến xu hướng chuyển dịch dòng tiền của người dân, nhà đầu tư sang đầu tư nhà, đất để làm nơi “trú ẩn” an toàn cho nguồn tiền tích lũy, nguồn vốn đầu tư.</w:t>
      </w:r>
    </w:p>
    <w:p w14:paraId="39A5198B">
      <w:pPr>
        <w:spacing w:before="120" w:after="120"/>
        <w:ind w:firstLine="567"/>
        <w:jc w:val="both"/>
        <w:rPr>
          <w:rFonts w:eastAsia="Tahoma"/>
          <w:b/>
          <w:bCs/>
          <w:color w:val="000000" w:themeColor="text1"/>
          <w:sz w:val="26"/>
          <w:szCs w:val="26"/>
          <w:lang w:val="vi-VN"/>
          <w14:textFill>
            <w14:solidFill>
              <w14:schemeClr w14:val="tx1"/>
            </w14:solidFill>
          </w14:textFill>
        </w:rPr>
      </w:pPr>
      <w:r>
        <w:rPr>
          <w:rFonts w:eastAsia="Tahoma"/>
          <w:b/>
          <w:bCs/>
          <w:color w:val="000000" w:themeColor="text1"/>
          <w:sz w:val="26"/>
          <w:szCs w:val="26"/>
          <w:lang w:val="vi-VN"/>
          <w14:textFill>
            <w14:solidFill>
              <w14:schemeClr w14:val="tx1"/>
            </w14:solidFill>
          </w14:textFill>
        </w:rPr>
        <w:t>*Đánh giá tổng quan thị trường BSĐ năm 2024:</w:t>
      </w:r>
    </w:p>
    <w:p w14:paraId="0DD1B6A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Theo đánh giá của Hội môi giới Bất động sản (VARS), thị trường bất động sản Việt Nam đã “khép lại” năm 2024 với các kết quả phục hồi tích cực nhờ các bước tiến lớn trong việc hoàn thiện hành lang pháp lý, với các thông tin ngày càng minh bạch, rõ ràng cho mọi thành phần tham gia. Có thể khẳng định, năm 2024 là một năm bản lề, là nền tảng tạo động lực cho thị trường bất động sản phát triển trong giai đoạn tới.</w:t>
      </w:r>
    </w:p>
    <w:p w14:paraId="4159C1C5">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Nhìn chung, thị trường BĐS đã “khép lại” năm 2024 với các kết quả phục hồi tích cực nhờ các bước tiến lớn trong việc hoàn thiện hành lang pháp lý, cùng sự chỉ đạo, điều hành sát sao của Đảng, Nhà nước, Chính phủ. Tới thời điểm hiện tại, thị trường BĐS vẫn đang chuyển động tích cực. Thanh khoản trên thị trường đang có xu hướng giảm nhẹ ở phân khúc cao cấp, nhưng vẫn duy trì ổn định ở các sản phẩm nhà ở phù hợp với nhu cầu ở thực, giá trị hợp lý với các yếu tố cấu thành bao gồm hạ tầng kỹ thuật, hạ tầng xã hội, cây xanh, hồ nước, khu vui chơi, thương mại, công tác quản lý, an ninh...</w:t>
      </w:r>
    </w:p>
    <w:p w14:paraId="2B6B81E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VARS cho biết, nguồn cung BĐS nhà ở năm 2024 tăng trưởng mạnh theo năm với ngày càng nhiều các dự án quy mô lớn mở bán vào thời điểm cuối năm cùng các chính sách thanh toán ưu đãi, linh hoạt.</w:t>
      </w:r>
    </w:p>
    <w:p w14:paraId="56624A03">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Tại thời điểm cuối năm 2024, thị trường BĐS ghi nhận khoảng 56 nghìn sản phẩm chào bán trên thị trường sơ cấp, tương đương với thời điểm cuối năm 2023 do nhiều dự án "giải phóng" được lượng lớn hàng tồn trong bối cảnh thị trường phục hồi.</w:t>
      </w:r>
    </w:p>
    <w:p w14:paraId="13BE348D">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Tính chung cả năm 2024, toàn thị trường ghi nhận khoảng gần 81 nghìn sản phẩm chào bán, tăng hơn 40% so với năm 2023. Trong đó, có 65,376 sản phẩm chào bán mới, gấp khoảng 3 lần so với năm 2023, nhưng mới chỉ bằng khoảng 7% so với năm 2018 - năm chưa xảy ra đại dịch.</w:t>
      </w:r>
    </w:p>
    <w:p w14:paraId="02F2C870">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Riêng quý 4/2024, thị trường ghi nhận 28 nghìn sản phẩm chào bán mới, gấp 2 lần so với quý trước và gấp 4 lần cùng kỳ năm 2023.</w:t>
      </w:r>
    </w:p>
    <w:p w14:paraId="3700218B">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Lượng giao dịch trong năm 2024 cũng tiếp tục tăng trưởng ổn định khi nguồn cung được cải thiện cả về lượng và chất. Nhu cầu mua BĐS, bao gồm cả để ở và đầu tư rất cao và đang không ngừng tăng cùng tốc độ đô thị hóa và quá trình phát triển kinh tế, trên nền tảng hành lang pháp lý được hoàn thiện.</w:t>
      </w:r>
    </w:p>
    <w:p w14:paraId="1B139576">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Tính chung cả năm 2024, toàn thị trường ghi nhận hơn 47 nghìn giao dịch thành công, tương đương với tỷ lệ hấp thụ đạt 72%. Với hơn 50% lượng giao dịch sơ cấp được đóng góp bởi nhu cầu đầu tư. Trong đó,có một lượng đầu cơ nhất định.</w:t>
      </w:r>
    </w:p>
    <w:p w14:paraId="595990AE">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Về cơ cấu giao dịch, căn hộ cao cấp là loại hình áp đảo thị phần, chiếm 75% lượng giao dịch toàn thị trường. Các dự án mới có tỷ lệ hấp thụ rất tốt, đạt trên 70%. Đặc biệt, nhiều dự án ghi nhận tỷ lệ hấp thụ lên tới trên 90% ngay thời điểm chính thức mở bán. Nhiều sản phẩm căn hộ cao cấp được "sang tay" ngay cả khi chưa hoặc mới ký kết hợp đồng mua bán.</w:t>
      </w:r>
    </w:p>
    <w:p w14:paraId="5C10419F">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Giao dịch thấp tầng cũng cải thiện mạnh trong bối cảnh thị trường phục hồi, tỷ lệ hấp thụ các dự án mở bán mới ở mức rất tốt, ước đạt gần 65%, tương đương với gần 9 nghìn giao dịch. Hơn 60% lượng giao dịch được đóng góp bởi 2 dự án đại đô thị của chủ đầu tư Vinhomes.</w:t>
      </w:r>
    </w:p>
    <w:p w14:paraId="76B24581">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Trên thị trường thứ cấp, thanh khoản tập trung chủ yếu ở các sản phẩm phục vụ nhu cầu ở thực và có thể "ở ngay". Tại các dự án đại đô thị đã có dân cư ở với hạ tầng, tiện ích đồng bộ, hiện đại. Và các sản phẩm nhà ở riêng lẻ có pháp lý đảm bảo, giá dưới 4 tỷ đồng tại các thành phố lớn.</w:t>
      </w:r>
    </w:p>
    <w:p w14:paraId="3021506A">
      <w:pPr>
        <w:spacing w:before="120" w:after="120"/>
        <w:ind w:firstLine="567"/>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Phân khúc đất nền, giao dịch chủ yếu phát sinh trên thị trường thứ cấp, khi hành lang pháp lý mới buộc các chủ đầu tư phải xây nhà để bán. Các mảnh đất lớn, chưa có pháp lý bị "cắt lỗ", trong khi các mảnh đất đã tách thửa, pháp lý đảm bảo được các nhà đầu tư ráo riết "săn lùng".</w:t>
      </w:r>
    </w:p>
    <w:p w14:paraId="0916B160">
      <w:pPr>
        <w:spacing w:before="120" w:after="120"/>
        <w:ind w:firstLine="567"/>
        <w:jc w:val="both"/>
        <w:rPr>
          <w:rFonts w:eastAsia="Tahoma"/>
          <w:color w:val="000000" w:themeColor="text1"/>
          <w:sz w:val="26"/>
          <w:szCs w:val="26"/>
          <w:lang w:val="vi-VN"/>
          <w14:textFill>
            <w14:solidFill>
              <w14:schemeClr w14:val="tx1"/>
            </w14:solidFill>
          </w14:textFill>
        </w:rPr>
      </w:pPr>
      <w:r>
        <w:fldChar w:fldCharType="begin"/>
      </w:r>
      <w:r>
        <w:instrText xml:space="preserve"> HYPERLINK "https://baochinhphu.vn/nam-2024-nguon-cung-bat-dong-san-tang-truong-manh-10224123109473222.htm" </w:instrText>
      </w:r>
      <w:r>
        <w:fldChar w:fldCharType="separate"/>
      </w:r>
      <w:r>
        <w:rPr>
          <w:rFonts w:eastAsia="Tahoma"/>
          <w:color w:val="000000" w:themeColor="text1"/>
          <w:sz w:val="26"/>
          <w:szCs w:val="26"/>
          <w:u w:val="single"/>
          <w:lang w:val="vi-VN"/>
          <w14:textFill>
            <w14:solidFill>
              <w14:schemeClr w14:val="tx1"/>
            </w14:solidFill>
          </w14:textFill>
        </w:rPr>
        <w:t>https://baochinhphu.vn/nam-2024-nguon-cung-bat-dong-san-tang-truong-manh-10224123109473222.htm</w:t>
      </w:r>
      <w:r>
        <w:rPr>
          <w:rFonts w:eastAsia="Tahoma"/>
          <w:color w:val="000000" w:themeColor="text1"/>
          <w:sz w:val="26"/>
          <w:szCs w:val="26"/>
          <w:u w:val="single"/>
          <w:lang w:val="vi-VN"/>
          <w14:textFill>
            <w14:solidFill>
              <w14:schemeClr w14:val="tx1"/>
            </w14:solidFill>
          </w14:textFill>
        </w:rPr>
        <w:fldChar w:fldCharType="end"/>
      </w:r>
    </w:p>
    <w:p w14:paraId="469F7290">
      <w:pPr>
        <w:spacing w:before="120" w:after="120"/>
        <w:ind w:firstLine="567"/>
        <w:jc w:val="both"/>
        <w:rPr>
          <w:rFonts w:eastAsia="Tahoma"/>
          <w:color w:val="000000" w:themeColor="text1"/>
          <w:sz w:val="26"/>
          <w:szCs w:val="26"/>
          <w:lang w:val="vi-VN"/>
          <w14:textFill>
            <w14:solidFill>
              <w14:schemeClr w14:val="tx1"/>
            </w14:solidFill>
          </w14:textFill>
        </w:rPr>
      </w:pPr>
      <w:r>
        <w:fldChar w:fldCharType="begin"/>
      </w:r>
      <w:r>
        <w:instrText xml:space="preserve"> HYPERLINK "https://thoibaotaichinhvietnam.vn/thi-truong-bat-dong-san-da-khep-lai-nam-2024-voi-cac-ket-qua-phuc-hoi-tich-cuc-167692.html" </w:instrText>
      </w:r>
      <w:r>
        <w:fldChar w:fldCharType="separate"/>
      </w:r>
      <w:r>
        <w:rPr>
          <w:rFonts w:eastAsia="Tahoma"/>
          <w:color w:val="000000" w:themeColor="text1"/>
          <w:sz w:val="26"/>
          <w:szCs w:val="26"/>
          <w:u w:val="single"/>
          <w:lang w:val="vi-VN"/>
          <w14:textFill>
            <w14:solidFill>
              <w14:schemeClr w14:val="tx1"/>
            </w14:solidFill>
          </w14:textFill>
        </w:rPr>
        <w:t>https://thoibaotaichinhvietnam.vn/thi-truong-bat-dong-san-da-khep-lai-nam-2024-voi-cac-ket-qua-phuc-hoi-tich-cuc-167692.html</w:t>
      </w:r>
      <w:r>
        <w:rPr>
          <w:rFonts w:eastAsia="Tahoma"/>
          <w:color w:val="000000" w:themeColor="text1"/>
          <w:sz w:val="26"/>
          <w:szCs w:val="26"/>
          <w:u w:val="single"/>
          <w:lang w:val="vi-VN"/>
          <w14:textFill>
            <w14:solidFill>
              <w14:schemeClr w14:val="tx1"/>
            </w14:solidFill>
          </w14:textFill>
        </w:rPr>
        <w:fldChar w:fldCharType="end"/>
      </w:r>
    </w:p>
    <w:p w14:paraId="6DFACB1D">
      <w:pPr>
        <w:spacing w:before="120" w:after="120"/>
        <w:ind w:firstLine="567"/>
        <w:jc w:val="both"/>
        <w:rPr>
          <w:rFonts w:eastAsia="Tahoma"/>
          <w:color w:val="000000" w:themeColor="text1"/>
          <w:sz w:val="26"/>
          <w:szCs w:val="26"/>
          <w:lang w:val="vi-VN"/>
          <w14:textFill>
            <w14:solidFill>
              <w14:schemeClr w14:val="tx1"/>
            </w14:solidFill>
          </w14:textFill>
        </w:rPr>
      </w:pPr>
      <w:r>
        <w:fldChar w:fldCharType="begin"/>
      </w:r>
      <w:r>
        <w:instrText xml:space="preserve"> HYPERLINK "https://kinhtedothi.vn/nhin-lai-thi-truong-bat-dong-san-nam-2024.html" </w:instrText>
      </w:r>
      <w:r>
        <w:fldChar w:fldCharType="separate"/>
      </w:r>
      <w:r>
        <w:rPr>
          <w:rFonts w:eastAsia="Tahoma"/>
          <w:color w:val="000000" w:themeColor="text1"/>
          <w:sz w:val="26"/>
          <w:szCs w:val="26"/>
          <w:u w:val="single"/>
          <w:lang w:val="vi-VN"/>
          <w14:textFill>
            <w14:solidFill>
              <w14:schemeClr w14:val="tx1"/>
            </w14:solidFill>
          </w14:textFill>
        </w:rPr>
        <w:t>https://kinhtedothi.vn/nhin-lai-thi-truong-bat-dong-san-nam-2024.html</w:t>
      </w:r>
      <w:r>
        <w:rPr>
          <w:rFonts w:eastAsia="Tahoma"/>
          <w:color w:val="000000" w:themeColor="text1"/>
          <w:sz w:val="26"/>
          <w:szCs w:val="26"/>
          <w:u w:val="single"/>
          <w:lang w:val="vi-VN"/>
          <w14:textFill>
            <w14:solidFill>
              <w14:schemeClr w14:val="tx1"/>
            </w14:solidFill>
          </w14:textFill>
        </w:rPr>
        <w:fldChar w:fldCharType="end"/>
      </w:r>
    </w:p>
    <w:p w14:paraId="494EF858">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Theo ông Nguyễn Văn Đính, Phó Chủ tịch Hiệp hội Bất động sản Việt Nam và Chủ tịch Hội Môi giới Bất động sản Việt Nam, năm 2025 sẽ chứng kiến sự gia tăng mạnh mẽ nguồn cung bất động sản, nhờ vào các chính sách hỗ trợ từ Chính phủ và nỗ lực khôi phục của doanh nghiệp bất động sản sau giai đoạn khó khăn. Dự báo, tại Hà Nội và các đô thị vệ tinh, nguồn cung nhà ở mới sẽ đạt khoảng 3.000 - 7.000 sản phẩm, trong khi TP.HCM và các khu vực vây quanh có thể đạt hơn 8.000 sản phẩm.</w:t>
      </w:r>
    </w:p>
    <w:p w14:paraId="759A1584">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Phân khúc bất động sản nghỉ dưỡng cũng dự báo sẽ tăng trưởng mạnh mẽ, với mức tăng trưởng lên tới 70-80% so với năm 2024. Tuy nhiên, phân khúc nhà ở cao cấp và trung cấp vẫn chiếm ưu thế, trong khi nhà ở giá rẻ vẫn chưa có nhiều chuyển biến đáng kể.</w:t>
      </w:r>
    </w:p>
    <w:p w14:paraId="33386915">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Về nhu cầu, thị trường bất động sản năm 2025 sẽ tiếp tục ghi nhận sự gia tăng, đặc biệt ở cả phân khúc đầu tư và nhu cầu ở thực. Theo các chuyên gia, đà tăng trưởng kinh tế, cùng với các chính sách đầu tư hạ tầng và hỗ trợ từ Chính phủ, sẽ kích thích nhu cầu mua nhà trong năm tới.</w:t>
      </w:r>
    </w:p>
    <w:p w14:paraId="1624157C">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Mức tăng trưởng GDP 8% trong năm 2025 được dự báo sẽ góp phần thúc đẩy hoạt động đầu tư, từ đó đẩy mạnh giao dịch bất động sản. Các chính sách hỗ trợ, đặc biệt trong việc phát triển các khu nhà ở xã hội và các dự án hạ tầng, sẽ tiếp tục tạo điều kiện cho sự phát triển của thị trường.</w:t>
      </w:r>
    </w:p>
    <w:p w14:paraId="0158FB23">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Ông Đính cũng cho rằng, giá bất động sản trong năm 2025 sẽ được điều chỉnh hợp lý sau một năm tăng mạnh vào năm 2024. Tuy nhiên, khả năng giảm sâu giá bất động sản rất khó xảy ra do áp lực từ giá đất và chi phí đầu vào cao.</w:t>
      </w:r>
    </w:p>
    <w:p w14:paraId="4DA70CF6">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Về giao dịch, với sự cải thiện nguồn cung, các phân khúc bất động sản dự báo sẽ ổn định hơn, giúp lượng giao dịch gia tăng so với năm 2024. Thị trường sẽ hoạt động tích cực hơn, dù chưa thể quay lại đà tăng trưởng mạnh mẽ như giai đoạn 2018 - 2019.</w:t>
      </w:r>
    </w:p>
    <w:p w14:paraId="1CA90965">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Ông Vương Duy Dũng, Phó Cục trưởng Cục Quản lý Nhà và Thị trường bất động sản (Bộ Xây dựng), nhận định năm 2025 là năm mở ra nhiều cơ hội cho thị trường bất động sản nhờ những chính sách pháp luật mới như Luật Nhà ở, Luật Kinh doanh Bất động sản, và Luật Đất đai. Những quy định mới này được kỳ vọng sẽ tháo gỡ vướng mắc trong các dự án đầu tư, thúc đẩy sự triển khai nhanh chóng của các dự án bất động sản, từ đó tạo ra nguồn cung mới cho thị trường.</w:t>
      </w:r>
    </w:p>
    <w:p w14:paraId="1BDA2656">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Việc phân cấp quản lý, trao quyền cho UBND các tỉnh trong phê duyệt và triển khai các dự án cũng là một bước đi quan trọng, giúp giảm bớt thủ tục hành chính và đẩy nhanh tiến độ phát triển đô thị.</w:t>
      </w:r>
    </w:p>
    <w:p w14:paraId="1AFD5F07">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Tuy nhiên, thị trường cũng đang phải đối mặt với không ít thách thức. Một trong những khó khăn lớn nhất là giá bất động sản tăng cao, do nguồn cung hạn chế trong giai đoạn 2022-2024. Điều này đã đẩy giá nhà đất lên mức cao ngất, gây khó khăn cho người lao động trong việc tiếp cận nhà ở. Bên cạnh đó, khả năng tiếp cận vốn vay vẫn còn hạn chế, khi lãi suất cho vay và các kênh huy động vốn cho doanh nghiệp bất động sản vẫn chưa được cải thiện rõ rệt.</w:t>
      </w:r>
    </w:p>
    <w:p w14:paraId="05334259">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“Cũng cần phải lưu ý rằng sự phục hồi của nền kinh tế vẫn chưa hoàn toàn vững chắc, khi mà các yếu tố toàn cầu như giá năng lượng, lạm phát và biến động tài chính quốc tế vẫn có thể ảnh hưởng đến tâm lý của các nhà đầu tư,” ông Dũng cảnh báo.</w:t>
      </w:r>
    </w:p>
    <w:p w14:paraId="1A8509A8">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Nguồn: </w:t>
      </w:r>
      <w:r>
        <w:fldChar w:fldCharType="begin"/>
      </w:r>
      <w:r>
        <w:instrText xml:space="preserve"> HYPERLINK "https://nongnghiepmoitruong.vn/bat-dong-san-2025-co-hoi-va-thach-thuc-trong-boi-canh-moi-d741041.html" </w:instrText>
      </w:r>
      <w:r>
        <w:fldChar w:fldCharType="separate"/>
      </w:r>
      <w:r>
        <w:rPr>
          <w:color w:val="000000" w:themeColor="text1"/>
          <w:sz w:val="26"/>
          <w:szCs w:val="26"/>
          <w:u w:val="single"/>
          <w:lang w:val="vi-VN"/>
          <w14:textFill>
            <w14:solidFill>
              <w14:schemeClr w14:val="tx1"/>
            </w14:solidFill>
          </w14:textFill>
        </w:rPr>
        <w:t>https://nongnghiepmoitruong.vn/bat-dong-san-2025-co-hoi-va-thach-thuc-trong-boi-canh-moi-d741041.html</w:t>
      </w:r>
      <w:r>
        <w:rPr>
          <w:color w:val="000000" w:themeColor="text1"/>
          <w:sz w:val="26"/>
          <w:szCs w:val="26"/>
          <w:u w:val="single"/>
          <w:lang w:val="vi-VN"/>
          <w14:textFill>
            <w14:solidFill>
              <w14:schemeClr w14:val="tx1"/>
            </w14:solidFill>
          </w14:textFill>
        </w:rPr>
        <w:fldChar w:fldCharType="end"/>
      </w:r>
    </w:p>
    <w:p w14:paraId="7CD023C8">
      <w:pPr>
        <w:spacing w:before="120" w:after="120"/>
        <w:ind w:firstLine="567"/>
        <w:jc w:val="both"/>
        <w:rPr>
          <w:rFonts w:eastAsia="Tahoma"/>
          <w:b/>
          <w:bCs/>
          <w:color w:val="000000" w:themeColor="text1"/>
          <w:sz w:val="26"/>
          <w:szCs w:val="26"/>
          <w:lang w:val="vi-VN"/>
          <w14:textFill>
            <w14:solidFill>
              <w14:schemeClr w14:val="tx1"/>
            </w14:solidFill>
          </w14:textFill>
        </w:rPr>
      </w:pPr>
      <w:r>
        <w:rPr>
          <w:rFonts w:eastAsia="Tahoma"/>
          <w:b/>
          <w:bCs/>
          <w:color w:val="000000" w:themeColor="text1"/>
          <w:sz w:val="26"/>
          <w:szCs w:val="26"/>
          <w:lang w:val="vi-VN"/>
          <w14:textFill>
            <w14:solidFill>
              <w14:schemeClr w14:val="tx1"/>
            </w14:solidFill>
          </w14:textFill>
        </w:rPr>
        <w:t>*Đánh giá tổng quan thị trường BSĐ năm 2025:</w:t>
      </w:r>
    </w:p>
    <w:p w14:paraId="57F9A0DF">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Bước vào năm 2025, thị trường </w:t>
      </w:r>
      <w:r>
        <w:rPr>
          <w:sz w:val="27"/>
          <w:szCs w:val="27"/>
        </w:rPr>
        <w:fldChar w:fldCharType="begin"/>
      </w:r>
      <w:r>
        <w:rPr>
          <w:sz w:val="27"/>
          <w:szCs w:val="27"/>
        </w:rPr>
        <w:instrText xml:space="preserve">HYPERLINK "https://laodong.vn/bat-dong-san/sot-gia-bat-dong-san-va-nhung-tin-hieu-phuc-hoi-tich-cuc-1456055.ldo" \t "_self" \o "bất động sản"</w:instrText>
      </w:r>
      <w:r>
        <w:rPr>
          <w:sz w:val="27"/>
          <w:szCs w:val="27"/>
        </w:rPr>
        <w:fldChar w:fldCharType="separate"/>
      </w:r>
      <w:r>
        <w:rPr>
          <w:color w:val="000000" w:themeColor="text1"/>
          <w:sz w:val="26"/>
          <w:szCs w:val="26"/>
          <w:lang w:val="vi-VN"/>
          <w14:textFill>
            <w14:solidFill>
              <w14:schemeClr w14:val="tx1"/>
            </w14:solidFill>
          </w14:textFill>
        </w:rPr>
        <w:t>bất động sản</w:t>
      </w:r>
      <w:r>
        <w:rPr>
          <w:sz w:val="27"/>
          <w:szCs w:val="27"/>
        </w:rPr>
        <w:fldChar w:fldCharType="end"/>
      </w:r>
      <w:r>
        <w:rPr>
          <w:color w:val="000000" w:themeColor="text1"/>
          <w:sz w:val="26"/>
          <w:szCs w:val="26"/>
          <w:lang w:val="vi-VN"/>
          <w14:textFill>
            <w14:solidFill>
              <w14:schemeClr w14:val="tx1"/>
            </w14:solidFill>
          </w14:textFill>
        </w:rPr>
        <w:t> Việt Nam tiếp tục ghi nhận nhiều diễn biến đáng chú ý. Đặc biệt đối với phân khúc đất nền và căn hộ chung cư.</w:t>
      </w:r>
    </w:p>
    <w:p w14:paraId="1E9D7689">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Sau một năm tăng trưởng mạnh, mặt bằng giá căn hộ chung cư đã thiết lập ở mức cao, trong khi đất nền vùng ven và tại các tỉnh lân cận đang dần trở thành tâm điểm mới của dòng tiền đầu tư. Giới chuyên gia nhận định, năm nay, hai phân khúc có thể tạo ra sự bứt phá mạnh mẽ, tiếp tục dẫn dắt thị trường là đất nền và căn hộ chung cư.</w:t>
      </w:r>
    </w:p>
    <w:p w14:paraId="19D93259">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Trong suốt năm 2024, thị trường chung cư Hà Nội liên tục tăng giá mạnh, đặc biệt tại khu vực trung tâm và vùng ven có hạ tầng phát triển tốt. Thời điểm đầu năm, các dự án mới ra mắt có giá trung bình khoảng 60 triệu đồng/m2, đến cuối năm, giá bán đã tiệm cận mức 70-100 triệu đồng/m2. Đặc biệt, nhiều dự án chung cư tại Đông Anh, Hà Đông, Gia Lâm đã chạm ngưỡng 100 triệu đồng/m2, thiết lập mặt bằng giá mới cho thị trường. Một số dự án như Masteri Grand Avenue, Imperia Cổ Loa hay QMS Top Tower đều có mức giá dao động từ 90-120 triệu đồng/m2, thậm chí cao ngang hoặc hơn một số dự án khu vực nội thành trước đây.</w:t>
      </w:r>
    </w:p>
    <w:p w14:paraId="3C6D4C3C">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PGS.TS Đinh Trọng Thịnh - chuyên gia Kinh tế - nhận định, đà tăng giá chung cư trong năm 2024 quá nhanh, mặt bằng giá mới cao hơn hẳn so với những năm trước. Vị chuyên gia dự báo, trong năm 2025, giá chung cư khó có thể giảm, xu hướng giá sẽ đi ngang và duy trì ở mức cao do nguồn cung hạn chế và chi phí phát triển dự án ngày càng lớn.</w:t>
      </w:r>
    </w:p>
    <w:p w14:paraId="481273B6">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Theo khảo sát, hiện tại, Hà Nội không còn dự án sơ cấp nào có giá dưới 50 triệu đồng/m2, trong khi phần lớn nguồn cung chung cư tại Hà Nội đến từ phân khúc cao cấp và hạng sang.</w:t>
      </w:r>
    </w:p>
    <w:p w14:paraId="06EDE5C3">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Đối với phân khúc đất nền, thị trường chứng kiến sự chuyển động mạnh mẽ sau thời gian trầm lắng kéo dài từ năm 2023. Nếu trong năm 2024, thị trường đất nền vùng ven Hà Nội như Đông Anh, Hoài Đức, Thanh Oai, Đan Phượng tăng trưởng mạnh nhờ hiệu ứng hạ tầng và đấu giá đất, thì từ năm 2025, dòng tiền bắt đầu dịch chuyển sang các tỉnh lân cận. Những khu vực như Bắc Ninh, Bắc Giang, Hưng Yên hay Hòa Bình ngày càng thu hút sự quan tâm lớn từ nhà đầu tư nhờ giá đất còn thấp và tiềm năng tăng trưởng cao.</w:t>
      </w:r>
    </w:p>
    <w:p w14:paraId="6F9418BE">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Ông Phạm Đức Toản - Tổng Giám đốc Công ty Cổ phần Đầu tư và phát triển Bất động sản EZ - phân tích, thị trường Hà Nội đã có mức tăng giá quá nhanh trong năm 2024, khiến nhiều nhà đầu tư bắt đầu tìm kiếm cơ hội tại các tỉnh có tốc độ phát triển kinh tế tốt, hạ tầng đồng bộ và mức giá còn thấp. Ông Toản dự báo, từ quý II/2025, phân khúc đất nền tại các tỉnh này sẽ sôi động hơn, thanh khoản cải thiện và thu hút dòng tiền đầu tư lớn hơn.</w:t>
      </w:r>
    </w:p>
    <w:p w14:paraId="1F8625FD">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Trong năm qua, những khu vực hưởng lợi trực tiếp từ các tuyến đường trọng điểm như Vành đai 4, Vành đai 3.5 đang có mức tăng giá khá mạnh. Đất nền tại Đông Anh hiện đã vượt 100 triệu đồng/m2, Hoài Đức đạt 75-100 triệu đồng/m2, trong khi Mê Linh, Đan Phượng có mức tăng khoảng 50-70% so với năm ngoái.</w:t>
      </w:r>
    </w:p>
    <w:p w14:paraId="786C2336">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Với góc nhìn dài hạn, ông Nguyễn Quốc Anh - Phó Tổng Giám đốc PropertyGuru Việt Nam - dự báo khi Luật Đất đai 2024 có hiệu lực, thị trường đất nền sẽ chứng kiến nhiều thay đổi tích cực từ nguồn cung đến giao dịch.</w:t>
      </w:r>
    </w:p>
    <w:p w14:paraId="678FD9AF">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Ông Quốc Anh đánh giá, từ quý II/2025, khi thị trường bước vào giai đoạn khởi sắc, đất nền sẽ trở thành tâm điểm thu hút dòng tiền đầu tư, cùng với biệt thự dự án. Đến giai đoạn từ quý I/2026 đến quý IV/2026, thị trường sẽ bước vào chu kỳ ổn định, thanh khoản cải thiện rõ rệt. Đây sẽ là thời điểm </w:t>
      </w:r>
      <w:r>
        <w:rPr>
          <w:sz w:val="27"/>
          <w:szCs w:val="27"/>
        </w:rPr>
        <w:fldChar w:fldCharType="begin"/>
      </w:r>
      <w:r>
        <w:rPr>
          <w:sz w:val="27"/>
          <w:szCs w:val="27"/>
        </w:rPr>
        <w:instrText xml:space="preserve">HYPERLINK "https://laodong.vn/bat-dong-san/sot-gia-bat-dong-san-va-nhung-tin-hieu-phuc-hoi-tich-cuc-1456055.ldo" \t "_self" \o "bất động sản"</w:instrText>
      </w:r>
      <w:r>
        <w:rPr>
          <w:sz w:val="27"/>
          <w:szCs w:val="27"/>
        </w:rPr>
        <w:fldChar w:fldCharType="separate"/>
      </w:r>
      <w:r>
        <w:rPr>
          <w:color w:val="000000" w:themeColor="text1"/>
          <w:sz w:val="26"/>
          <w:szCs w:val="26"/>
          <w:lang w:val="vi-VN"/>
          <w14:textFill>
            <w14:solidFill>
              <w14:schemeClr w14:val="tx1"/>
            </w14:solidFill>
          </w14:textFill>
        </w:rPr>
        <w:t>bất động sản</w:t>
      </w:r>
      <w:r>
        <w:rPr>
          <w:sz w:val="27"/>
          <w:szCs w:val="27"/>
        </w:rPr>
        <w:fldChar w:fldCharType="end"/>
      </w:r>
      <w:r>
        <w:rPr>
          <w:color w:val="000000" w:themeColor="text1"/>
          <w:sz w:val="26"/>
          <w:szCs w:val="26"/>
          <w:lang w:val="vi-VN"/>
          <w14:textFill>
            <w14:solidFill>
              <w14:schemeClr w14:val="tx1"/>
            </w14:solidFill>
          </w14:textFill>
        </w:rPr>
        <w:t> phục hồi mạnh mẽ, đặc biệt với phân khúc đất nền và những khu vực có tiềm năng phát triển lâu dài.</w:t>
      </w:r>
    </w:p>
    <w:p w14:paraId="149EED36">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Nguồn: </w:t>
      </w:r>
      <w:r>
        <w:fldChar w:fldCharType="begin"/>
      </w:r>
      <w:r>
        <w:instrText xml:space="preserve"> HYPERLINK "https://laodong.vn/bat-dong-san/du-bao-hai-phan-khuc-khuay-dao-thi-truong-bat-dong-san-2025-1457645.ldo" </w:instrText>
      </w:r>
      <w:r>
        <w:fldChar w:fldCharType="separate"/>
      </w:r>
      <w:r>
        <w:rPr>
          <w:color w:val="000000" w:themeColor="text1"/>
          <w:sz w:val="26"/>
          <w:szCs w:val="26"/>
          <w:u w:val="single"/>
          <w:lang w:val="vi-VN"/>
          <w14:textFill>
            <w14:solidFill>
              <w14:schemeClr w14:val="tx1"/>
            </w14:solidFill>
          </w14:textFill>
        </w:rPr>
        <w:t>https://laodong.vn/bat-dong-san/du-bao-hai-phan-khuc-khuay-dao-thi-truong-bat-dong-san-2025-1457645.ldo</w:t>
      </w:r>
      <w:r>
        <w:rPr>
          <w:color w:val="000000" w:themeColor="text1"/>
          <w:sz w:val="26"/>
          <w:szCs w:val="26"/>
          <w:u w:val="single"/>
          <w:lang w:val="vi-VN"/>
          <w14:textFill>
            <w14:solidFill>
              <w14:schemeClr w14:val="tx1"/>
            </w14:solidFill>
          </w14:textFill>
        </w:rPr>
        <w:fldChar w:fldCharType="end"/>
      </w:r>
    </w:p>
    <w:p w14:paraId="2FFEF3E7">
      <w:pPr>
        <w:spacing w:before="60"/>
        <w:jc w:val="both"/>
        <w:rPr>
          <w:color w:val="000000" w:themeColor="text1"/>
          <w:sz w:val="26"/>
          <w:szCs w:val="26"/>
          <w:lang w:val="vi-VN"/>
          <w14:textFill>
            <w14:solidFill>
              <w14:schemeClr w14:val="tx1"/>
            </w14:solidFill>
          </w14:textFill>
        </w:rPr>
      </w:pPr>
    </w:p>
    <w:p w14:paraId="62DFC31A">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Trong báo cáo thị trường quý I, Bộ Xây dựng cho biết giao dịch nhà ở và đất nền có nhiều biến động so với quý trước do thông tin sáp nhập các tỉnh, thành. Cả nước có gần 33.600 giao dịch nhà ở riêng lẻ, tăng 32% theo quý. Phân khúc đất nền cũng ghi nhận hơn 101.000 giao dịch, tăng hơn 16%.</w:t>
      </w:r>
    </w:p>
    <w:p w14:paraId="3D4CA2A6">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Về giá bán, Bộ cho biết các tỉnh, thành có thông tin là nơi đặt cơ quan hành chính mới, </w:t>
      </w:r>
      <w:r>
        <w:rPr>
          <w:sz w:val="27"/>
          <w:szCs w:val="27"/>
        </w:rPr>
        <w:fldChar w:fldCharType="begin"/>
      </w:r>
      <w:r>
        <w:rPr>
          <w:sz w:val="27"/>
          <w:szCs w:val="27"/>
        </w:rPr>
        <w:instrText xml:space="preserve">HYPERLINK "https://vnexpress.net/nha-dau-tu-mat-tien-ty-vi-luot-song-dat-vung-ven-4886242.html" \t "_blank"</w:instrText>
      </w:r>
      <w:r>
        <w:rPr>
          <w:sz w:val="27"/>
          <w:szCs w:val="27"/>
        </w:rPr>
        <w:fldChar w:fldCharType="separate"/>
      </w:r>
      <w:r>
        <w:rPr>
          <w:color w:val="000000" w:themeColor="text1"/>
          <w:sz w:val="26"/>
          <w:szCs w:val="26"/>
          <w:lang w:val="vi-VN"/>
          <w14:textFill>
            <w14:solidFill>
              <w14:schemeClr w14:val="tx1"/>
            </w14:solidFill>
          </w14:textFill>
        </w:rPr>
        <w:t>mặt bằng giá đất</w:t>
      </w:r>
      <w:r>
        <w:rPr>
          <w:sz w:val="27"/>
          <w:szCs w:val="27"/>
        </w:rPr>
        <w:fldChar w:fldCharType="end"/>
      </w:r>
      <w:r>
        <w:rPr>
          <w:color w:val="000000" w:themeColor="text1"/>
          <w:sz w:val="26"/>
          <w:szCs w:val="26"/>
          <w:lang w:val="vi-VN"/>
          <w14:textFill>
            <w14:solidFill>
              <w14:schemeClr w14:val="tx1"/>
            </w14:solidFill>
          </w14:textFill>
        </w:rPr>
        <w:t> bị đẩy lên cao. Ví dụ, tại Phú Thọ, một số khu dân cư, thậm chí cả khu đô thị bị bỏ hoang tại các phường Vân Phú, Trưng Vương, Thọ Sơn, Thanh Miếu, Gia Cẩm được rao bán với giá đất tăng 20-30% so cùng kỳ năm trước. Tại Hải Phòng, đất nền tại Kiến Thụy, An Đồng, Thủy Nguyên được chào giá tăng 15-20%.</w:t>
      </w:r>
    </w:p>
    <w:p w14:paraId="40088ADA">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Tương tự, ở phía Nam, giá bán đất nền một số khu vực thuộc Nhơn Trạch (Đồng Nai) tăng khoảng 20-30%, có nơi tăng trên 40% so cùng kỳ năm 2024.</w:t>
      </w:r>
    </w:p>
    <w:p w14:paraId="22C3B127">
      <w:pPr>
        <w:spacing w:before="60"/>
        <w:ind w:firstLine="567"/>
        <w:jc w:val="both"/>
        <w:rPr>
          <w:color w:val="000000" w:themeColor="text1"/>
          <w:spacing w:val="-4"/>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"Đà tăng về giá và lượng giao dịch đất nền có yếu tố đầu cơ, tiềm ẩn nhiểu rủi ro cho thị trường", Bộ Xây dựng đánh giá và cho biết cơ quan quản lý tại nhiều địa phương đã cảnh báo tình trạng trên đồng thời tăng cường kiểm soát, quản lý thị trường.</w:t>
      </w:r>
    </w:p>
    <w:p w14:paraId="486FE47B">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Theo ghi nhận của</w:t>
      </w:r>
      <w:r>
        <w:rPr>
          <w:i/>
          <w:iCs/>
          <w:color w:val="000000" w:themeColor="text1"/>
          <w:sz w:val="26"/>
          <w:szCs w:val="26"/>
          <w:lang w:val="vi-VN"/>
          <w14:textFill>
            <w14:solidFill>
              <w14:schemeClr w14:val="tx1"/>
            </w14:solidFill>
          </w14:textFill>
        </w:rPr>
        <w:t> VnExpress</w:t>
      </w:r>
      <w:r>
        <w:rPr>
          <w:color w:val="000000" w:themeColor="text1"/>
          <w:sz w:val="26"/>
          <w:szCs w:val="26"/>
          <w:lang w:val="vi-VN"/>
          <w14:textFill>
            <w14:solidFill>
              <w14:schemeClr w14:val="tx1"/>
            </w14:solidFill>
          </w14:textFill>
        </w:rPr>
        <w:t>, ngay đầu năm, bất động sản nhiều địa phương có thông tin sáp nhập, được đặt trung tâm hành chính có dấu hiệu nóng cục bộ. Giá bán đất nền tại nhiều nơi như TP Hưng Yên, huyện Văn Giang (Hưng Yên), TP Việt Trì, TP Ninh Bình, TP Bắc Giang... đã rục rịch tăng 5-15% so với cuối năm ngoái. Thậm chí nhiều chủ đất còn rao giá tăng hơn 30% để hưởng lợi từ "sóng" sáp nhập.</w:t>
      </w:r>
    </w:p>
    <w:p w14:paraId="079D2F2F">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Tại khu vực phía Nam, mức độ quan tâm và giá bán của các khu vực như Bình Dương, Bà Rịa - Vũng Tàu hay Nhơn Trạch (Đồng Nai) cũng có xu hướng tăng nhanh. Dữ liệu của kênh Batdongsan cho thấy giá bán một số khu vực có dấu hiệu "nóng" khi leo thang 20-30% so với cuối năm ngoái.</w:t>
      </w:r>
    </w:p>
    <w:p w14:paraId="3427D227">
      <w:pPr>
        <w:spacing w:before="60"/>
        <w:ind w:firstLine="567"/>
        <w:jc w:val="both"/>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Giá đất nhanh chóng hạ nhiệt sang đầu quý II</w:t>
      </w:r>
      <w:r>
        <w:rPr>
          <w:color w:val="000000" w:themeColor="text1"/>
          <w:sz w:val="26"/>
          <w:szCs w:val="26"/>
          <w:lang w:val="vi-VN"/>
          <w14:textFill>
            <w14:solidFill>
              <w14:schemeClr w14:val="tx1"/>
            </w14:solidFill>
          </w14:textFill>
        </w:rPr>
        <w:t>, khi tin đồn không thành hiện thực ở một số địa phương. Điển hình như thị trường nhà đất Đồng Nai xuất hiện tình trạng bỏ cọc bởi nhà đầu tư không kịp xoay xở vốn dù đến hạn thanh toán.</w:t>
      </w:r>
    </w:p>
    <w:p w14:paraId="76B5DEDB">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Dữ liệu của công ty dịch vụ bất động sản DKRA Group cho thấy từ tháng 4, nhu cầu mua ở Nhơn Trạch, Long Thành bắt đầu hạ nhiệt 20-30%, đà tăng giá chững lại và xuất hiện </w:t>
      </w:r>
      <w:r>
        <w:rPr>
          <w:sz w:val="27"/>
          <w:szCs w:val="27"/>
        </w:rPr>
        <w:fldChar w:fldCharType="begin"/>
      </w:r>
      <w:r>
        <w:rPr>
          <w:sz w:val="27"/>
          <w:szCs w:val="27"/>
        </w:rPr>
        <w:instrText xml:space="preserve">HYPERLINK "https://vnexpress.net/nha-dau-tu-thua-lo-vi-om-dat-theo-sap-nhap-tinh-4884647.html" \t "_blank"</w:instrText>
      </w:r>
      <w:r>
        <w:rPr>
          <w:sz w:val="27"/>
          <w:szCs w:val="27"/>
        </w:rPr>
        <w:fldChar w:fldCharType="separate"/>
      </w:r>
      <w:r>
        <w:rPr>
          <w:color w:val="000000" w:themeColor="text1"/>
          <w:sz w:val="26"/>
          <w:szCs w:val="26"/>
          <w:lang w:val="vi-VN"/>
          <w14:textFill>
            <w14:solidFill>
              <w14:schemeClr w14:val="tx1"/>
            </w14:solidFill>
          </w14:textFill>
        </w:rPr>
        <w:t>tình trạng bỏ cọc</w:t>
      </w:r>
      <w:r>
        <w:rPr>
          <w:sz w:val="27"/>
          <w:szCs w:val="27"/>
        </w:rPr>
        <w:fldChar w:fldCharType="end"/>
      </w:r>
      <w:r>
        <w:rPr>
          <w:color w:val="000000" w:themeColor="text1"/>
          <w:sz w:val="26"/>
          <w:szCs w:val="26"/>
          <w:lang w:val="vi-VN"/>
          <w14:textFill>
            <w14:solidFill>
              <w14:schemeClr w14:val="tx1"/>
            </w14:solidFill>
          </w14:textFill>
        </w:rPr>
        <w:t> bởi các địa phương này không sáp nhập về TP HCM như "tin đồn" trước đó.</w:t>
      </w:r>
    </w:p>
    <w:p w14:paraId="3A337CB5">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Tình cảnh đầu tư thua lỗ theo "sóng" tin đồn từng được nhiều chuyên gia cảnh báo trước đó. Ông Phạm Đức Toản, Tổng giám đốc Công ty EZ Property, cho biết chạy theo cơn "sốt đất" khiến nhà đầu tư dễ rơi vào cảnh mua cao bán thấp, thậm chí mất thanh khoản, chôn vốn nhiều năm.</w:t>
      </w:r>
    </w:p>
    <w:p w14:paraId="6443FD0D">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Những khu vực từng được dự đoán là nơi "đón sóng" mạnh nhất có thời điểm phải giảm giá sâu để thanh khoản được. Không ít nhà đầu tư mạo hiểm dùng đòn bẩy để lao vào cơn sốt đất, sau đó chật vật "cắt lỗ" để nhanh chóng rút tiền về, không thì mất tài sản.</w:t>
      </w:r>
    </w:p>
    <w:p w14:paraId="1F4FB8A3">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Tại cuộc họp với các bộ ngành mới đây, Phó thủ tướng Trần Hồng Hà cũng nhận xét thị trường bất động sản còn nhiều dấu hiệu bất ổn. Ông chỉ ra tốc độ tăng giá bất động sản ở Việt Nam thuộc nhóm cao nhất thế giới, trong khi khả năng tiếp cận nhà ở của người dân ngày càng giảm. Đây là thực trạng đáng lo ngại.</w:t>
      </w:r>
    </w:p>
    <w:p w14:paraId="506B01AE">
      <w:pPr>
        <w:spacing w:before="60"/>
        <w:ind w:firstLine="567"/>
        <w:jc w:val="both"/>
        <w:rPr>
          <w:color w:val="000000" w:themeColor="text1"/>
          <w:spacing w:val="-6"/>
          <w:sz w:val="26"/>
          <w:szCs w:val="26"/>
          <w:lang w:val="vi-VN"/>
          <w14:textFill>
            <w14:solidFill>
              <w14:schemeClr w14:val="tx1"/>
            </w14:solidFill>
          </w14:textFill>
        </w:rPr>
      </w:pPr>
      <w:r>
        <w:rPr>
          <w:color w:val="000000" w:themeColor="text1"/>
          <w:spacing w:val="-6"/>
          <w:sz w:val="26"/>
          <w:szCs w:val="26"/>
          <w:lang w:val="vi-VN"/>
          <w14:textFill>
            <w14:solidFill>
              <w14:schemeClr w14:val="tx1"/>
            </w14:solidFill>
          </w14:textFill>
        </w:rPr>
        <w:t>Phó thủ tướng cho rằng cần nghiên cứu đánh thuế với đất hoang hóa, dự án chậm triển khai. Tuy nhiên, ông lưu ý việc này cần phân biệt rõ nhu cầu ở thực với đầu cơ, nhằm tránh tình trạng đánh thuế trùng, ảnh hưởng tới người dân sử dụng nhà đất hợp pháp.</w:t>
      </w:r>
    </w:p>
    <w:p w14:paraId="342C6074">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Bộ Xây dựng cho biết sẽ cùng các bộ, ngành nghiên cứu đề án thí điểm mô hình Trung tâm giao dịch bất động sản và quyền sử dụng đất do Nhà nước quản lý. Giải pháp này được kỳ vọng tăng cường tính công khai, minh bạch của giao dịch địa ốc.</w:t>
      </w:r>
    </w:p>
    <w:p w14:paraId="257D1FBA">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Cơ quan này cũng kiến nghị Bộ Tài chính đề xuất </w:t>
      </w:r>
      <w:r>
        <w:rPr>
          <w:sz w:val="27"/>
          <w:szCs w:val="27"/>
        </w:rPr>
        <w:fldChar w:fldCharType="begin"/>
      </w:r>
      <w:r>
        <w:rPr>
          <w:sz w:val="27"/>
          <w:szCs w:val="27"/>
        </w:rPr>
        <w:instrText xml:space="preserve">HYPERLINK "https://vnexpress.net/bo-tai-chinh-nghien-cuu-ap-thue-20-tren-lai-chuyen-nhuong-nha-dat-4881779.html" \t "_blank"</w:instrText>
      </w:r>
      <w:r>
        <w:rPr>
          <w:sz w:val="27"/>
          <w:szCs w:val="27"/>
        </w:rPr>
        <w:fldChar w:fldCharType="separate"/>
      </w:r>
      <w:r>
        <w:rPr>
          <w:color w:val="000000" w:themeColor="text1"/>
          <w:sz w:val="26"/>
          <w:szCs w:val="26"/>
          <w:lang w:val="vi-VN"/>
          <w14:textFill>
            <w14:solidFill>
              <w14:schemeClr w14:val="tx1"/>
            </w14:solidFill>
          </w14:textFill>
        </w:rPr>
        <w:t>chính sách thuế</w:t>
      </w:r>
      <w:r>
        <w:rPr>
          <w:sz w:val="27"/>
          <w:szCs w:val="27"/>
        </w:rPr>
        <w:fldChar w:fldCharType="end"/>
      </w:r>
      <w:r>
        <w:rPr>
          <w:color w:val="000000" w:themeColor="text1"/>
          <w:sz w:val="26"/>
          <w:szCs w:val="26"/>
          <w:lang w:val="vi-VN"/>
          <w14:textFill>
            <w14:solidFill>
              <w14:schemeClr w14:val="tx1"/>
            </w14:solidFill>
          </w14:textFill>
        </w:rPr>
        <w:t> nhằm hạn chế hoạt động đầu cơ, trong đó nghiên cứu phương án thu thuế phần chênh lệch giữa các lần giao dịch.</w:t>
      </w:r>
    </w:p>
    <w:p w14:paraId="4C36F764">
      <w:pPr>
        <w:spacing w:before="60"/>
        <w:ind w:firstLine="567"/>
        <w:jc w:val="both"/>
        <w:rPr>
          <w:color w:val="000000" w:themeColor="text1"/>
          <w:lang w:val="vi-VN"/>
          <w14:textFill>
            <w14:solidFill>
              <w14:schemeClr w14:val="tx1"/>
            </w14:solidFill>
          </w14:textFill>
        </w:rPr>
      </w:pPr>
      <w:r>
        <w:rPr>
          <w:color w:val="000000" w:themeColor="text1"/>
          <w:sz w:val="26"/>
          <w:szCs w:val="26"/>
          <w:lang w:val="vi-VN"/>
          <w14:textFill>
            <w14:solidFill>
              <w14:schemeClr w14:val="tx1"/>
            </w14:solidFill>
          </w14:textFill>
        </w:rPr>
        <w:t>Nguồn:</w:t>
      </w:r>
      <w:r>
        <w:rPr>
          <w:color w:val="000000" w:themeColor="text1"/>
          <w:lang w:val="vi-VN"/>
          <w14:textFill>
            <w14:solidFill>
              <w14:schemeClr w14:val="tx1"/>
            </w14:solidFill>
          </w14:textFill>
        </w:rPr>
        <w:t xml:space="preserve"> </w:t>
      </w:r>
    </w:p>
    <w:p w14:paraId="73BD827A">
      <w:pPr>
        <w:spacing w:before="60"/>
        <w:ind w:firstLine="567"/>
        <w:jc w:val="both"/>
        <w:rPr>
          <w:color w:val="000000" w:themeColor="text1"/>
          <w:sz w:val="26"/>
          <w:szCs w:val="26"/>
          <w:lang w:val="vi-VN"/>
          <w14:textFill>
            <w14:solidFill>
              <w14:schemeClr w14:val="tx1"/>
            </w14:solidFill>
          </w14:textFill>
        </w:rPr>
      </w:pPr>
      <w:r>
        <w:fldChar w:fldCharType="begin"/>
      </w:r>
      <w:r>
        <w:instrText xml:space="preserve"> HYPERLINK "https://vnexpress.net/gia-dat-tang-nhanh-theo-tin-sap-nhap-co-yeu-to-dau-co-4888158.html" </w:instrText>
      </w:r>
      <w:r>
        <w:fldChar w:fldCharType="separate"/>
      </w:r>
      <w:r>
        <w:rPr>
          <w:color w:val="000000" w:themeColor="text1"/>
          <w:sz w:val="26"/>
          <w:szCs w:val="26"/>
          <w:u w:val="single"/>
          <w:lang w:val="vi-VN"/>
          <w14:textFill>
            <w14:solidFill>
              <w14:schemeClr w14:val="tx1"/>
            </w14:solidFill>
          </w14:textFill>
        </w:rPr>
        <w:t>https://vnexpress.net/gia-dat-tang-nhanh-theo-tin-sap-nhap-co-yeu-to-dau-co-4888158.html</w:t>
      </w:r>
      <w:r>
        <w:rPr>
          <w:color w:val="000000" w:themeColor="text1"/>
          <w:sz w:val="26"/>
          <w:szCs w:val="26"/>
          <w:u w:val="single"/>
          <w:lang w:val="vi-VN"/>
          <w14:textFill>
            <w14:solidFill>
              <w14:schemeClr w14:val="tx1"/>
            </w14:solidFill>
          </w14:textFill>
        </w:rPr>
        <w:fldChar w:fldCharType="end"/>
      </w:r>
    </w:p>
    <w:p w14:paraId="484389A4">
      <w:pPr>
        <w:spacing w:before="60"/>
        <w:ind w:firstLine="567"/>
        <w:jc w:val="both"/>
        <w:rPr>
          <w:color w:val="000000" w:themeColor="text1"/>
          <w:sz w:val="26"/>
          <w:szCs w:val="26"/>
          <w:lang w:val="vi-VN"/>
          <w14:textFill>
            <w14:solidFill>
              <w14:schemeClr w14:val="tx1"/>
            </w14:solidFill>
          </w14:textFill>
        </w:rPr>
      </w:pPr>
      <w:r>
        <w:fldChar w:fldCharType="begin"/>
      </w:r>
      <w:r>
        <w:instrText xml:space="preserve"> HYPERLINK "https://vnexpress.net/pho-thu-tuong-thi-truong-bat-dong-san-con-dau-hieu-bat-on-4886551.html" </w:instrText>
      </w:r>
      <w:r>
        <w:fldChar w:fldCharType="separate"/>
      </w:r>
      <w:r>
        <w:rPr>
          <w:color w:val="000000" w:themeColor="text1"/>
          <w:sz w:val="26"/>
          <w:szCs w:val="26"/>
          <w:u w:val="single"/>
          <w:lang w:val="vi-VN"/>
          <w14:textFill>
            <w14:solidFill>
              <w14:schemeClr w14:val="tx1"/>
            </w14:solidFill>
          </w14:textFill>
        </w:rPr>
        <w:t>https://vnexpress.net/pho-thu-tuong-thi-truong-bat-dong-san-con-dau-hieu-bat-on-4886551.html</w:t>
      </w:r>
      <w:r>
        <w:rPr>
          <w:color w:val="000000" w:themeColor="text1"/>
          <w:sz w:val="26"/>
          <w:szCs w:val="26"/>
          <w:u w:val="single"/>
          <w:lang w:val="vi-VN"/>
          <w14:textFill>
            <w14:solidFill>
              <w14:schemeClr w14:val="tx1"/>
            </w14:solidFill>
          </w14:textFill>
        </w:rPr>
        <w:fldChar w:fldCharType="end"/>
      </w:r>
    </w:p>
    <w:p w14:paraId="62043437">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Bước vào năm 2025, thị trường </w:t>
      </w:r>
      <w:r>
        <w:rPr>
          <w:sz w:val="27"/>
          <w:szCs w:val="27"/>
        </w:rPr>
        <w:fldChar w:fldCharType="begin"/>
      </w:r>
      <w:r>
        <w:rPr>
          <w:sz w:val="27"/>
          <w:szCs w:val="27"/>
        </w:rPr>
        <w:instrText xml:space="preserve">HYPERLINK "https://laodong.vn/bat-dong-san/sot-gia-bat-dong-san-va-nhung-tin-hieu-phuc-hoi-tich-cuc-1456055.ldo" \t "_self" \o "bất động sản"</w:instrText>
      </w:r>
      <w:r>
        <w:rPr>
          <w:sz w:val="27"/>
          <w:szCs w:val="27"/>
        </w:rPr>
        <w:fldChar w:fldCharType="separate"/>
      </w:r>
      <w:r>
        <w:rPr>
          <w:color w:val="000000" w:themeColor="text1"/>
          <w:sz w:val="26"/>
          <w:szCs w:val="26"/>
          <w:lang w:val="vi-VN"/>
          <w14:textFill>
            <w14:solidFill>
              <w14:schemeClr w14:val="tx1"/>
            </w14:solidFill>
          </w14:textFill>
        </w:rPr>
        <w:t>bất động sản</w:t>
      </w:r>
      <w:r>
        <w:rPr>
          <w:sz w:val="27"/>
          <w:szCs w:val="27"/>
        </w:rPr>
        <w:fldChar w:fldCharType="end"/>
      </w:r>
      <w:r>
        <w:rPr>
          <w:color w:val="000000" w:themeColor="text1"/>
          <w:sz w:val="26"/>
          <w:szCs w:val="26"/>
          <w:lang w:val="vi-VN"/>
          <w14:textFill>
            <w14:solidFill>
              <w14:schemeClr w14:val="tx1"/>
            </w14:solidFill>
          </w14:textFill>
        </w:rPr>
        <w:t> Việt Nam tiếp tục ghi nhận nhiều diễn biến đáng chú ý. Đặc biệt đối với phân khúc đất nền và căn hộ chung cư.</w:t>
      </w:r>
    </w:p>
    <w:p w14:paraId="56540170">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Sau một năm tăng trưởng mạnh, mặt bằng giá căn hộ chung cư đã thiết lập ở mức cao, trong khi đất nền vùng ven và tại các tỉnh lân cận đang dần trở thành tâm điểm mới của dòng tiền đầu tư. Giới chuyên gia nhận định, năm nay, hai phân khúc có thể tạo ra sự bứt phá mạnh mẽ, tiếp tục dẫn dắt thị trường là đất nền và căn hộ chung cư.</w:t>
      </w:r>
    </w:p>
    <w:p w14:paraId="6FC80F42">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Trong suốt năm 2024, thị trường chung cư Hà Nội liên tục tăng giá mạnh, đặc biệt tại khu vực trung tâm và vùng ven có hạ tầng phát triển tốt. Thời điểm đầu năm, các dự án mới ra mắt có giá trung bình khoảng 60 triệu đồng/m2, đến cuối năm, giá bán đã tiệm cận mức 70-100 triệu đồng/m2. Đặc biệt, nhiều dự án chung cư tại Đông Anh, Hà Đông, Gia Lâm đã chạm ngưỡng 100 triệu đồng/m2, thiết lập mặt bằng giá mới cho thị trường. Một số dự án như Masteri Grand Avenue, Imperia Cổ Loa hay QMS Top Tower đều có mức giá dao động từ 90-120 triệu đồng/m2, thậm chí cao ngang hoặc hơn một số dự án khu vực nội thành trước đây.</w:t>
      </w:r>
    </w:p>
    <w:p w14:paraId="68FE548E">
      <w:pPr>
        <w:spacing w:before="60"/>
        <w:ind w:firstLine="567"/>
        <w:jc w:val="both"/>
        <w:rPr>
          <w:color w:val="000000" w:themeColor="text1"/>
          <w:spacing w:val="-8"/>
          <w:sz w:val="26"/>
          <w:szCs w:val="26"/>
          <w:lang w:val="vi-VN"/>
          <w14:textFill>
            <w14:solidFill>
              <w14:schemeClr w14:val="tx1"/>
            </w14:solidFill>
          </w14:textFill>
        </w:rPr>
      </w:pPr>
      <w:r>
        <w:rPr>
          <w:color w:val="000000" w:themeColor="text1"/>
          <w:spacing w:val="-8"/>
          <w:sz w:val="26"/>
          <w:szCs w:val="26"/>
          <w:lang w:val="vi-VN"/>
          <w14:textFill>
            <w14:solidFill>
              <w14:schemeClr w14:val="tx1"/>
            </w14:solidFill>
          </w14:textFill>
        </w:rPr>
        <w:t>PGS.TS Đinh Trọng Thịnh - chuyên gia Kinh tế - nhận định, đà tăng giá chung cư trong năm 2024 quá nhanh, mặt bằng giá mới cao hơn hẳn so với những năm trước. Vị chuyên gia dự báo, trong năm 2025, giá chung cư khó có thể giảm, xu hướng giá sẽ đi ngang và duy trì ở mức cao do nguồn cung hạn chế và chi phí phát triển dự án ngày càng lớn.</w:t>
      </w:r>
    </w:p>
    <w:p w14:paraId="7FFEB5E8">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Theo khảo sát, hiện tại, Hà Nội không còn dự án sơ cấp nào có giá dưới 50 triệu đồng/m2, trong khi phần lớn nguồn cung chung cư tại Hà Nội đến từ phân khúc cao cấp và hạng sang.</w:t>
      </w:r>
    </w:p>
    <w:p w14:paraId="69957BD1">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Đối với phân khúc đất nền, thị trường chứng kiến sự chuyển động mạnh mẽ sau thời gian trầm lắng kéo dài từ năm 2023. Nếu trong năm 2024, thị trường đất nền vùng ven Hà Nội như Đông Anh, Hoài Đức, Thanh Oai, Đan Phượng tăng trưởng mạnh nhờ hiệu ứng hạ tầng và đấu giá đất, thì từ năm 2025, dòng tiền bắt đầu dịch chuyển sang các tỉnh lân cận. Những khu vực như Bắc Ninh, Bắc Giang, Hưng Yên hay Hòa Bình ngày càng thu hút sự quan tâm lớn từ nhà đầu tư nhờ giá đất còn thấp và tiềm năng tăng trưởng cao.</w:t>
      </w:r>
    </w:p>
    <w:p w14:paraId="26BBE88E">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Ông Phạm Đức Toản - Tổng Giám đốc Công ty Cổ phần Đầu tư và phát triển Bất động sản EZ - phân tích, thị trường Hà Nội đã có mức tăng giá quá nhanh trong năm 2024, khiến nhiều nhà đầu tư bắt đầu tìm kiếm cơ hội tại các tỉnh có tốc độ phát triển kinh tế tốt, hạ tầng đồng bộ và mức giá còn thấp. Ông Toản dự báo, từ quý II/2025, phân khúc đất nền tại các tỉnh này sẽ sôi động hơn, thanh khoản cải thiện và thu hút dòng tiền đầu tư lớn hơn.</w:t>
      </w:r>
    </w:p>
    <w:p w14:paraId="11D54B15">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Trong năm qua, những khu vực hưởng lợi trực tiếp từ các tuyến đường trọng điểm như Vành đai 4, Vành đai 3.5 đang có mức tăng giá khá mạnh. Đất nền tại Đông Anh hiện đã vượt 100 triệu đồng/m2, Hoài Đức đạt 75-100 triệu đồng/m2, trong khi Mê Linh, Đan Phượng có mức tăng khoảng 50-70% so với năm ngoái.</w:t>
      </w:r>
    </w:p>
    <w:p w14:paraId="3EAE20A6">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Với góc nhìn dài hạn, ông Nguyễn Quốc Anh - Phó Tổng Giám đốc PropertyGuru Việt Nam - dự báo khi Luật Đất đai 2024 có hiệu lực, thị trường đất nền sẽ chứng kiến nhiều thay đổi tích cực từ nguồn cung đến giao dịch.</w:t>
      </w:r>
    </w:p>
    <w:p w14:paraId="392746BD">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Ông Quốc Anh đánh giá, từ quý II/2025, khi thị trường bước vào giai đoạn khởi sắc, đất nền sẽ trở thành tâm điểm thu hút dòng tiền đầu tư, cùng với biệt thự dự án. Đến giai đoạn từ quý I/2026 đến quý IV/2026, thị trường sẽ bước vào chu kỳ ổn định, thanh khoản cải thiện rõ rệt. Đây sẽ là thời điểm </w:t>
      </w:r>
      <w:r>
        <w:rPr>
          <w:sz w:val="27"/>
          <w:szCs w:val="27"/>
        </w:rPr>
        <w:fldChar w:fldCharType="begin"/>
      </w:r>
      <w:r>
        <w:rPr>
          <w:sz w:val="27"/>
          <w:szCs w:val="27"/>
        </w:rPr>
        <w:instrText xml:space="preserve">HYPERLINK "https://laodong.vn/bat-dong-san/sot-gia-bat-dong-san-va-nhung-tin-hieu-phuc-hoi-tich-cuc-1456055.ldo" \t "_self" \o "bất động sản"</w:instrText>
      </w:r>
      <w:r>
        <w:rPr>
          <w:sz w:val="27"/>
          <w:szCs w:val="27"/>
        </w:rPr>
        <w:fldChar w:fldCharType="separate"/>
      </w:r>
      <w:r>
        <w:rPr>
          <w:color w:val="000000" w:themeColor="text1"/>
          <w:sz w:val="26"/>
          <w:szCs w:val="26"/>
          <w:lang w:val="vi-VN"/>
          <w14:textFill>
            <w14:solidFill>
              <w14:schemeClr w14:val="tx1"/>
            </w14:solidFill>
          </w14:textFill>
        </w:rPr>
        <w:t>bất động sản</w:t>
      </w:r>
      <w:r>
        <w:rPr>
          <w:sz w:val="27"/>
          <w:szCs w:val="27"/>
        </w:rPr>
        <w:fldChar w:fldCharType="end"/>
      </w:r>
      <w:r>
        <w:rPr>
          <w:color w:val="000000" w:themeColor="text1"/>
          <w:sz w:val="26"/>
          <w:szCs w:val="26"/>
          <w:lang w:val="vi-VN"/>
          <w14:textFill>
            <w14:solidFill>
              <w14:schemeClr w14:val="tx1"/>
            </w14:solidFill>
          </w14:textFill>
        </w:rPr>
        <w:t> phục hồi mạnh mẽ, đặc biệt với phân khúc đất nền và những khu vực có tiềm năng phát triển lâu dài.</w:t>
      </w:r>
    </w:p>
    <w:p w14:paraId="32D1909C">
      <w:pPr>
        <w:spacing w:before="60"/>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Nguồn: </w:t>
      </w:r>
      <w:r>
        <w:fldChar w:fldCharType="begin"/>
      </w:r>
      <w:r>
        <w:instrText xml:space="preserve"> HYPERLINK "https://laodong.vn/bat-dong-san/du-bao-hai-phan-khuc-khuay-dao-thi-truong-bat-dong-san-2025-1457645.ldo" </w:instrText>
      </w:r>
      <w:r>
        <w:fldChar w:fldCharType="separate"/>
      </w:r>
      <w:r>
        <w:rPr>
          <w:color w:val="000000" w:themeColor="text1"/>
          <w:sz w:val="26"/>
          <w:szCs w:val="26"/>
          <w:u w:val="single"/>
          <w:lang w:val="vi-VN"/>
          <w14:textFill>
            <w14:solidFill>
              <w14:schemeClr w14:val="tx1"/>
            </w14:solidFill>
          </w14:textFill>
        </w:rPr>
        <w:t>https://laodong.vn/bat-dong-san/du-bao-hai-phan-khuc-khuay-dao-thi-truong-bat-dong-san-2025-1457645.ldo</w:t>
      </w:r>
      <w:r>
        <w:rPr>
          <w:color w:val="000000" w:themeColor="text1"/>
          <w:sz w:val="26"/>
          <w:szCs w:val="26"/>
          <w:u w:val="single"/>
          <w:lang w:val="vi-VN"/>
          <w14:textFill>
            <w14:solidFill>
              <w14:schemeClr w14:val="tx1"/>
            </w14:solidFill>
          </w14:textFill>
        </w:rPr>
        <w:fldChar w:fldCharType="end"/>
      </w:r>
    </w:p>
    <w:p w14:paraId="2CA5833F">
      <w:pPr>
        <w:spacing w:before="60"/>
        <w:ind w:firstLine="567"/>
        <w:jc w:val="both"/>
        <w:rPr>
          <w:b/>
          <w:spacing w:val="-4"/>
          <w:sz w:val="26"/>
          <w:szCs w:val="26"/>
        </w:rPr>
      </w:pPr>
      <w:r>
        <w:rPr>
          <w:b/>
          <w:spacing w:val="-4"/>
          <w:sz w:val="26"/>
          <w:szCs w:val="26"/>
        </w:rPr>
        <w:t>*Tại thông báo số 294/TB-VPCP ngày 09/06/2025 Thông báo kết luận của thường trực chính phủ tại cuộc họp về tình hình thị trường BĐS:</w:t>
      </w:r>
    </w:p>
    <w:p w14:paraId="64A8C1CE">
      <w:pPr>
        <w:spacing w:before="60"/>
        <w:ind w:firstLine="567"/>
        <w:jc w:val="both"/>
        <w:rPr>
          <w:bCs/>
          <w:spacing w:val="-4"/>
          <w:sz w:val="26"/>
          <w:szCs w:val="26"/>
        </w:rPr>
      </w:pPr>
      <w:r>
        <w:rPr>
          <w:bCs/>
          <w:spacing w:val="-4"/>
          <w:sz w:val="26"/>
          <w:szCs w:val="26"/>
        </w:rPr>
        <w:t>Ngày 24 tháng 5 năm 2025, tại trụ sở Chính phủ, Thủ tướng Chính phủ Phạm Minh Chính đã chủ trì cuộc họp Thường trực Chính phù hợp, cho ý kiến về tình hình thị trường bất động sản.</w:t>
      </w:r>
    </w:p>
    <w:p w14:paraId="391FE556">
      <w:pPr>
        <w:spacing w:before="60"/>
        <w:ind w:firstLine="567"/>
        <w:jc w:val="both"/>
        <w:rPr>
          <w:bCs/>
          <w:spacing w:val="-4"/>
          <w:sz w:val="26"/>
          <w:szCs w:val="26"/>
        </w:rPr>
      </w:pPr>
      <w:r>
        <w:rPr>
          <w:bCs/>
          <w:spacing w:val="-4"/>
          <w:sz w:val="26"/>
          <w:szCs w:val="26"/>
        </w:rPr>
        <w:t>Sau khi nghe báo cáo của của Bộ Xây dựng và ý kiến của lãnh đạo, đại diện các bộ, ngành, cơ quan, hiệp hội, doanh nghiệp và ngân hàng tại cuộc họp, Thường trực Chính phủ có ý kiến như sau:</w:t>
      </w:r>
    </w:p>
    <w:p w14:paraId="17ADE47E">
      <w:pPr>
        <w:spacing w:before="60"/>
        <w:ind w:firstLine="567"/>
        <w:jc w:val="both"/>
        <w:rPr>
          <w:bCs/>
          <w:spacing w:val="-4"/>
          <w:sz w:val="26"/>
          <w:szCs w:val="26"/>
        </w:rPr>
      </w:pPr>
      <w:r>
        <w:rPr>
          <w:bCs/>
          <w:spacing w:val="-4"/>
          <w:sz w:val="26"/>
          <w:szCs w:val="26"/>
        </w:rPr>
        <w:t>I. Hoan nghênh Bộ Xây dựng trong thời gian qua đã chủ động theo dõi, nắm bắt tình hình thị trường bất động sản và nhà ở, nhanh chóng xây dựng báo cáo phục vụ cuộc họp Thường trực Chính phủ về thị trường bất động sản.</w:t>
      </w:r>
    </w:p>
    <w:p w14:paraId="05237DDC">
      <w:pPr>
        <w:spacing w:before="60"/>
        <w:ind w:firstLine="567"/>
        <w:jc w:val="both"/>
        <w:rPr>
          <w:bCs/>
          <w:spacing w:val="-4"/>
          <w:sz w:val="26"/>
          <w:szCs w:val="26"/>
        </w:rPr>
      </w:pPr>
      <w:r>
        <w:rPr>
          <w:bCs/>
          <w:spacing w:val="-4"/>
          <w:sz w:val="26"/>
          <w:szCs w:val="26"/>
        </w:rPr>
        <w:t>Thị trường bất động sản có đóng góp quan trọng cho nền kinh tế, tác động đến chuỗi sản xuất, thị trường vốn, tín dụng, lao động..., nhất là vấn nhà ở và nhà ở xã hội cho người dân là vấn đề an sinh xã hội. Thời gian qua, Chính phủ, Thủ tướng Chính phủ đã quyết liệt chỉ đạo, giao nhiệm vụ cụ thể cho các bộ, cơ quan để tháo gỡ và thúc đẩy thị trường bất động sản phát triển an toàn, lành mạnh, bền vững. Theo báo cáo của Bộ Xây dựng, trong những tháng đầu của năm 2025, thị trường bất động sản đã có nhiều khởi sắc, theo đó nguồn cung, lượng giao dịch bất động sản đều tăng so với cùng kỳ năm 2024.</w:t>
      </w:r>
    </w:p>
    <w:p w14:paraId="3DA00A5C">
      <w:pPr>
        <w:spacing w:before="60"/>
        <w:ind w:firstLine="567"/>
        <w:jc w:val="both"/>
        <w:rPr>
          <w:bCs/>
          <w:spacing w:val="-4"/>
          <w:sz w:val="26"/>
          <w:szCs w:val="26"/>
        </w:rPr>
      </w:pPr>
      <w:r>
        <w:rPr>
          <w:bCs/>
          <w:spacing w:val="-4"/>
          <w:sz w:val="26"/>
          <w:szCs w:val="26"/>
        </w:rPr>
        <w:t>Tuy nhiên, sự phát triển của thị trường bất động sản còn chưa tương xứng với tiềm lực do vẫn còn tồn tại, vướng mắc gây cản trở sự phát triển của thị trường bất động sản, như: (i) nguồn cung hạn chế, chưa đáp ứng được nhu cầu của thị trường; (ii) cơ cấu sản phẩm chưa cân đối, thiếu nhà ở phù hợp với nhu cầu của người lao động, người trẻ, thừa biệt thự, nhà thấp tầng; (iii) giá bất động sản, nhà ở chưa phù hợp với khả năng của người có nhu cầu; (iv) tình trạng đầu cơ, thao túng, thổi giá, lũng đoạn thị trường vẫn còn tồn tại; (v) tình trạng thiếu công khai, minh bạch trong giao dịch bất động sản chưa được cải thiện; (vi) thủ tục hành chính của các cơ quan nhà nước còn rườm rà.</w:t>
      </w:r>
    </w:p>
    <w:p w14:paraId="3FBA300E">
      <w:pPr>
        <w:spacing w:before="60"/>
        <w:ind w:firstLine="567"/>
        <w:jc w:val="both"/>
        <w:rPr>
          <w:bCs/>
          <w:spacing w:val="-4"/>
          <w:sz w:val="26"/>
          <w:szCs w:val="26"/>
        </w:rPr>
      </w:pPr>
      <w:r>
        <w:rPr>
          <w:bCs/>
          <w:spacing w:val="-4"/>
          <w:sz w:val="26"/>
          <w:szCs w:val="26"/>
        </w:rPr>
        <w:t>II. Để thúc đẩy thị trường bất động sản phát triển lành mạnh, thực chất, bình đẳng, văn minh, tiến bộ, phù hợp với điều kiện kinh tế, thu nhập của đa số người dân Thường trực Chính phủ yêu cầu:</w:t>
      </w:r>
    </w:p>
    <w:p w14:paraId="64D2719C">
      <w:pPr>
        <w:spacing w:before="60"/>
        <w:ind w:firstLine="567"/>
        <w:jc w:val="both"/>
        <w:rPr>
          <w:bCs/>
          <w:spacing w:val="-4"/>
          <w:sz w:val="26"/>
          <w:szCs w:val="26"/>
        </w:rPr>
      </w:pPr>
      <w:r>
        <w:rPr>
          <w:bCs/>
          <w:spacing w:val="-4"/>
          <w:sz w:val="26"/>
          <w:szCs w:val="26"/>
        </w:rPr>
        <w:t>1. Bộ trưởng, Thủ trưởng các cơ quan ngang bộ, cơ quan thuộc Chính phủ và Chủ tịch Ủy ban nhân dân các tỉnh, thành phố trực thuộc Trung ương khẩn trương:</w:t>
      </w:r>
    </w:p>
    <w:p w14:paraId="785D566B">
      <w:pPr>
        <w:spacing w:before="60"/>
        <w:ind w:firstLine="567"/>
        <w:jc w:val="both"/>
        <w:rPr>
          <w:bCs/>
          <w:spacing w:val="-4"/>
          <w:sz w:val="26"/>
          <w:szCs w:val="26"/>
        </w:rPr>
      </w:pPr>
      <w:r>
        <w:rPr>
          <w:bCs/>
          <w:spacing w:val="-4"/>
          <w:sz w:val="26"/>
          <w:szCs w:val="26"/>
        </w:rPr>
        <w:t>- Thực hiện phân cấp, phân quyền triệt để theo Kết luận số 115-KL/TW ngày 16 tháng 01 năm 2025 của Bộ Chính trị theo hướng các cơ quan trung ương tập trung quản lý vĩ mô, xây dựng thể chế, quy hoạch, chiến lược, những việc cụ thể giao cho địa phương trên tinh thần địa phương quyết, địa phương làm, địa phương chịu trách nhiệm kết hợp phân cấp chính quyền 2 cấp trong thời gian tới.</w:t>
      </w:r>
    </w:p>
    <w:p w14:paraId="2FC94487">
      <w:pPr>
        <w:spacing w:before="60"/>
        <w:ind w:firstLine="567"/>
        <w:jc w:val="both"/>
        <w:rPr>
          <w:bCs/>
          <w:spacing w:val="-4"/>
          <w:sz w:val="26"/>
          <w:szCs w:val="26"/>
        </w:rPr>
      </w:pPr>
      <w:r>
        <w:rPr>
          <w:bCs/>
          <w:spacing w:val="-4"/>
          <w:sz w:val="26"/>
          <w:szCs w:val="26"/>
        </w:rPr>
        <w:t>- Rà soát, làm rõ ngay các nguyên nhân làm tăng cơ cấu giá bất động sản (giá đất, giá nguyên vật liệu, lãi vay...); khẩn trương có phương án giảm các thành tố làm tăng giá bất động sản, tăng khả năng tiếp cận bất động sản nhiều hơn và tăng nguồn cung.</w:t>
      </w:r>
    </w:p>
    <w:p w14:paraId="5756BA0C">
      <w:pPr>
        <w:spacing w:before="60"/>
        <w:ind w:firstLine="567"/>
        <w:jc w:val="both"/>
        <w:rPr>
          <w:bCs/>
          <w:spacing w:val="-4"/>
          <w:sz w:val="26"/>
          <w:szCs w:val="26"/>
        </w:rPr>
      </w:pPr>
      <w:r>
        <w:rPr>
          <w:bCs/>
          <w:spacing w:val="-4"/>
          <w:sz w:val="26"/>
          <w:szCs w:val="26"/>
        </w:rPr>
        <w:t>- Tập trung cắt giảm tối đa các thủ tục hành chính chồng chéo, không cần thiết, loại bỏ ngay các yêu cầu về giấy tờ, hồ sơ phức tạp, bảo đảm cắt giảm ít nhất 30% thời gian giải quyết các thủ tục hành chính, 30% chi phí tuân thủ thủ tục hành chính theo đúng mục tiêu yêu cầu của Chính phủ tại Nghị quyết số 66/NQ-CP ngày 26 tháng 3 năm 2025 đối với việc triển khai các dự án bất động sản; trong đó, nghiên cứu cắt giảm các thủ tục về chấp thuận chủ trương đầu tư, về thẩm định dự án, thiết kế, nhất là các thủ tục cấp phép xây dựng, kiểm tra công tác nghiệm thu, giảm tiền kiểm, tăng cường hậu kiểm.</w:t>
      </w:r>
    </w:p>
    <w:p w14:paraId="352C3162">
      <w:pPr>
        <w:spacing w:before="60"/>
        <w:ind w:firstLine="567"/>
        <w:jc w:val="both"/>
        <w:rPr>
          <w:bCs/>
          <w:spacing w:val="-4"/>
          <w:sz w:val="26"/>
          <w:szCs w:val="26"/>
        </w:rPr>
      </w:pPr>
      <w:r>
        <w:rPr>
          <w:bCs/>
          <w:spacing w:val="-4"/>
          <w:sz w:val="26"/>
          <w:szCs w:val="26"/>
        </w:rPr>
        <w:t>- Rà soát, sửa đổi, bãi bỏ ngay các quy chuẩn, tiêu chuẩn không phù hợp, mâu thuẫn làm phát sinh chi phí như quy chuẩn về quy hoạch, chỗ đỗ xe, phòng cháy,...</w:t>
      </w:r>
    </w:p>
    <w:p w14:paraId="7B6F39F7">
      <w:pPr>
        <w:spacing w:before="60"/>
        <w:ind w:firstLine="567"/>
        <w:jc w:val="both"/>
        <w:rPr>
          <w:bCs/>
          <w:spacing w:val="-4"/>
          <w:sz w:val="26"/>
          <w:szCs w:val="26"/>
        </w:rPr>
      </w:pPr>
      <w:r>
        <w:rPr>
          <w:bCs/>
          <w:spacing w:val="-4"/>
          <w:sz w:val="26"/>
          <w:szCs w:val="26"/>
        </w:rPr>
        <w:t>- Nghiên cứu, xây dựng chính sách hỗ trợ cho người mua nhà có nhu cầu thực, người trẻ tuổi, tăng khả năng tiếp cận của người dân về nhà ở, bất động sản để người dân thực hiện quyền có nhà ở theo quy định của Hiến pháp.</w:t>
      </w:r>
    </w:p>
    <w:p w14:paraId="750FAFDD">
      <w:pPr>
        <w:spacing w:before="60"/>
        <w:ind w:firstLine="567"/>
        <w:jc w:val="both"/>
        <w:rPr>
          <w:bCs/>
          <w:spacing w:val="-4"/>
          <w:sz w:val="26"/>
          <w:szCs w:val="26"/>
        </w:rPr>
      </w:pPr>
      <w:r>
        <w:rPr>
          <w:bCs/>
          <w:spacing w:val="-4"/>
          <w:sz w:val="26"/>
          <w:szCs w:val="26"/>
        </w:rPr>
        <w:t>- Xử lý nghiêm các tổ chức, cá nhân lợi dụng đấu giá để nâng giá đất gây ảnh hưởng, ách tắc đến phát triển bất động sản.</w:t>
      </w:r>
    </w:p>
    <w:p w14:paraId="75DAAA4B">
      <w:pPr>
        <w:spacing w:before="60"/>
        <w:ind w:firstLine="567"/>
        <w:jc w:val="both"/>
        <w:rPr>
          <w:bCs/>
          <w:spacing w:val="-4"/>
          <w:sz w:val="26"/>
          <w:szCs w:val="26"/>
        </w:rPr>
      </w:pPr>
      <w:r>
        <w:rPr>
          <w:bCs/>
          <w:spacing w:val="-4"/>
          <w:sz w:val="26"/>
          <w:szCs w:val="26"/>
        </w:rPr>
        <w:t>- Nghiên cứu các quy định về giải phóng mặt bằng phù hợp với thực tiễn, cân nhắc về hiệu quả giữa doanh nghiệp hoặc nhà nước thực hiện để đề xuất phương án phù hợp, bảo đảm tiến độ, hiệu quả trong triển khai các dự án.</w:t>
      </w:r>
    </w:p>
    <w:p w14:paraId="60C3E692">
      <w:pPr>
        <w:spacing w:before="60"/>
        <w:ind w:firstLine="567"/>
        <w:jc w:val="both"/>
        <w:rPr>
          <w:bCs/>
          <w:spacing w:val="-4"/>
          <w:sz w:val="26"/>
          <w:szCs w:val="26"/>
        </w:rPr>
      </w:pPr>
      <w:r>
        <w:rPr>
          <w:bCs/>
          <w:spacing w:val="-4"/>
          <w:sz w:val="26"/>
          <w:szCs w:val="26"/>
        </w:rPr>
        <w:t>- Tiếp tục rà soát các dự án tồn đọng có khó khăn, vướng mắc để báo cáo Ban Chỉ đạo tháo gỡ khó khăn, vướng mắc cho các dự án theo Quyết định số 751/QĐ-TTg ngày 11 tháng 4 năm 2025 của Thủ tướng Chính phủ (Ban Chỉ đạo 751), đề xuất các cơ chế để tháo gỡ.</w:t>
      </w:r>
    </w:p>
    <w:p w14:paraId="56715B76">
      <w:pPr>
        <w:spacing w:before="60"/>
        <w:ind w:firstLine="567"/>
        <w:jc w:val="both"/>
        <w:rPr>
          <w:bCs/>
          <w:spacing w:val="-4"/>
          <w:sz w:val="26"/>
          <w:szCs w:val="26"/>
        </w:rPr>
      </w:pPr>
      <w:r>
        <w:rPr>
          <w:bCs/>
          <w:spacing w:val="-4"/>
          <w:sz w:val="26"/>
          <w:szCs w:val="26"/>
        </w:rPr>
        <w:t>- Nghiên cứu phát triển các dự án bất động sản đa dạng phân khúc, đa dạng sản phẩm bất động sản để tăng khả năng tiếp cận của người mua, giảm giá thành, tăng nguồn cung, người dân có thêm nhiều lựa chọn phù hợp với khả năng.</w:t>
      </w:r>
    </w:p>
    <w:p w14:paraId="55CE9156">
      <w:pPr>
        <w:spacing w:before="60"/>
        <w:ind w:firstLine="567"/>
        <w:jc w:val="both"/>
        <w:rPr>
          <w:bCs/>
          <w:spacing w:val="-4"/>
          <w:sz w:val="26"/>
          <w:szCs w:val="26"/>
        </w:rPr>
      </w:pPr>
      <w:r>
        <w:rPr>
          <w:bCs/>
          <w:spacing w:val="-4"/>
          <w:sz w:val="26"/>
          <w:szCs w:val="26"/>
        </w:rPr>
        <w:t>- Công tác quy hoạch cần chú trọng bố trí các vị trí trung tâm để phát triển sản xuất, kinh doanh, dịch vụ lâu dài, đối với các khu chức năng phát triển nhà ở phải bố trí đầy đủ hạ tầng kỹ thuật, hạ tầng xã hội tại các khu vực bảo đảm đáp ứng về đất đai.</w:t>
      </w:r>
    </w:p>
    <w:p w14:paraId="70AA776A">
      <w:pPr>
        <w:spacing w:before="60"/>
        <w:ind w:firstLine="567"/>
        <w:jc w:val="both"/>
        <w:rPr>
          <w:bCs/>
          <w:spacing w:val="-4"/>
          <w:sz w:val="26"/>
          <w:szCs w:val="26"/>
        </w:rPr>
      </w:pPr>
      <w:r>
        <w:rPr>
          <w:bCs/>
          <w:spacing w:val="-4"/>
          <w:sz w:val="26"/>
          <w:szCs w:val="26"/>
        </w:rPr>
        <w:t>- Kiên quyết xử lý nghiêm các hành vi đầu cơ, thổi giá, đưa thông tin sai lệch với mục đích tạo sốt ảo và lừa đảo người dân để trục lợi.</w:t>
      </w:r>
    </w:p>
    <w:p w14:paraId="070D4189">
      <w:pPr>
        <w:spacing w:before="60"/>
        <w:ind w:firstLine="567"/>
        <w:jc w:val="both"/>
        <w:rPr>
          <w:b/>
          <w:bCs/>
          <w:spacing w:val="-4"/>
          <w:sz w:val="26"/>
          <w:szCs w:val="26"/>
          <w:lang w:val="vi-VN"/>
        </w:rPr>
      </w:pPr>
      <w:r>
        <w:rPr>
          <w:b/>
          <w:bCs/>
          <w:color w:val="000000" w:themeColor="text1"/>
          <w:spacing w:val="-4"/>
          <w:sz w:val="26"/>
          <w:szCs w:val="26"/>
          <w14:textFill>
            <w14:solidFill>
              <w14:schemeClr w14:val="tx1"/>
            </w14:solidFill>
          </w14:textFill>
        </w:rPr>
        <w:t>3.2</w:t>
      </w:r>
      <w:r>
        <w:rPr>
          <w:b/>
          <w:bCs/>
          <w:color w:val="000000" w:themeColor="text1"/>
          <w:spacing w:val="-4"/>
          <w:sz w:val="26"/>
          <w:szCs w:val="26"/>
          <w:lang w:val="vi-VN"/>
          <w14:textFill>
            <w14:solidFill>
              <w14:schemeClr w14:val="tx1"/>
            </w14:solidFill>
          </w14:textFill>
        </w:rPr>
        <w:t xml:space="preserve">. </w:t>
      </w:r>
      <w:r>
        <w:rPr>
          <w:b/>
          <w:bCs/>
          <w:spacing w:val="-4"/>
          <w:sz w:val="26"/>
          <w:szCs w:val="26"/>
          <w:lang w:val="vi-VN"/>
        </w:rPr>
        <w:t>Tổng quan thị trường bất động sản</w:t>
      </w:r>
      <w:r>
        <w:rPr>
          <w:b/>
          <w:bCs/>
          <w:spacing w:val="-4"/>
          <w:sz w:val="26"/>
          <w:szCs w:val="26"/>
        </w:rPr>
        <w:t xml:space="preserve"> chung</w:t>
      </w:r>
      <w:r>
        <w:rPr>
          <w:b/>
          <w:bCs/>
          <w:spacing w:val="-4"/>
          <w:sz w:val="26"/>
          <w:szCs w:val="26"/>
          <w:lang w:val="vi-VN"/>
        </w:rPr>
        <w:t xml:space="preserve"> trên địa bàn</w:t>
      </w:r>
      <w:r>
        <w:rPr>
          <w:b/>
          <w:bCs/>
          <w:spacing w:val="-4"/>
          <w:sz w:val="26"/>
          <w:szCs w:val="26"/>
        </w:rPr>
        <w:t xml:space="preserve"> tỉnh Lạng Sơn.</w:t>
      </w:r>
    </w:p>
    <w:p w14:paraId="6EF9F9DD">
      <w:pPr>
        <w:spacing w:before="120" w:after="120"/>
        <w:ind w:firstLine="567"/>
        <w:jc w:val="both"/>
        <w:rPr>
          <w:rFonts w:eastAsia="Tahoma"/>
          <w:i/>
          <w:iCs/>
          <w:color w:val="000000" w:themeColor="text1"/>
          <w:spacing w:val="-4"/>
          <w:sz w:val="26"/>
          <w:szCs w:val="26"/>
          <w14:textFill>
            <w14:solidFill>
              <w14:schemeClr w14:val="tx1"/>
            </w14:solidFill>
          </w14:textFill>
        </w:rPr>
      </w:pPr>
      <w:r>
        <w:rPr>
          <w:rFonts w:eastAsia="Tahoma"/>
          <w:i/>
          <w:iCs/>
          <w:color w:val="000000" w:themeColor="text1"/>
          <w:spacing w:val="-4"/>
          <w:sz w:val="26"/>
          <w:szCs w:val="26"/>
          <w14:textFill>
            <w14:solidFill>
              <w14:schemeClr w14:val="tx1"/>
            </w14:solidFill>
          </w14:textFill>
        </w:rPr>
        <w:t xml:space="preserve">*Tại báo cáo số 655/BC-UBND ngày 21/12/2022 báo cáo kết quả thực hiện Chỉ thị số 40/CT-TTg ngày 02/11/2020 của Thủ tướng Chính phủ về tăng cường công tác quản lý nhà nước đối với hoạt động đấu giá tài sản trên địa bàn tỉnh Lạng Sơn năm 2022: </w:t>
      </w:r>
    </w:p>
    <w:p w14:paraId="06F38315">
      <w:pPr>
        <w:spacing w:before="120" w:after="120"/>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Theo báo cáo của các các tổ chức đấu giá chuyên nghiệp trên địa bàn tỉnh, đã thực hiện 164 cuộc đấu giá. Kết quả: 88 cuộc đấu giá thành, trong đó tài sản đấu giá là quyền sử dụng đất để giao đất có thu tiền sử dụng đất hoặc cho thuê đất là 22 cuộc, tài sản đấu giá khác là 66 cuộc. Tổng trị giá tài sản đấu giá thành tính theo giá khởi điểm: 104.529.959.026 đồng; tổng trị giá tài sản bán được: 108.629.679.040 đồng; chênh lệch giữa tổng giá trị tài sản đấu giá thành so với giá khởi điểm là: 4.099.720.014 đồng. Tỷ lệ chênh lệch giá khởi điểm và giá trúng đấu giá tăng 3,92%.</w:t>
      </w:r>
    </w:p>
    <w:p w14:paraId="46F87067">
      <w:pPr>
        <w:spacing w:before="120" w:after="120"/>
        <w:ind w:firstLine="720"/>
        <w:jc w:val="both"/>
        <w:rPr>
          <w:rFonts w:eastAsia="Tahoma"/>
          <w:i/>
          <w:iCs/>
          <w:color w:val="000000" w:themeColor="text1"/>
          <w:spacing w:val="-4"/>
          <w:sz w:val="26"/>
          <w:szCs w:val="26"/>
          <w14:textFill>
            <w14:solidFill>
              <w14:schemeClr w14:val="tx1"/>
            </w14:solidFill>
          </w14:textFill>
        </w:rPr>
      </w:pPr>
      <w:r>
        <w:rPr>
          <w:rFonts w:eastAsia="Tahoma"/>
          <w:i/>
          <w:iCs/>
          <w:color w:val="000000" w:themeColor="text1"/>
          <w:spacing w:val="-4"/>
          <w:sz w:val="26"/>
          <w:szCs w:val="26"/>
          <w14:textFill>
            <w14:solidFill>
              <w14:schemeClr w14:val="tx1"/>
            </w14:solidFill>
          </w14:textFill>
        </w:rPr>
        <w:t>*Tại báo cáo số 04/BC-UBND ngày 03/01/2024 báo cáo kết quả thực hiện Chỉ thị số 40/CT-TTg ngày 02/11/2020 của Thủ tướng Chính phủ về tăng cường công tác quản lý nhà nước đối với hoạt động đấu giá tài sản trên địa bàn tỉnh Lạng Sơn năm 2023:</w:t>
      </w:r>
    </w:p>
    <w:p w14:paraId="43FD0CF7">
      <w:pPr>
        <w:spacing w:before="120" w:after="120"/>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Trong kỳ báo cáo, các tổ chức đấu giá chuyên nghiệp trên địa bàn tỉnh đã thực hiện 255 cuộc đấu giá. Kết quả: 81 cuộc đấu giá thành. Tổng trị giá tài sản đấu giá thành tính theo giá khởi điểm: 69.249.000.380 đồng; tổng trị giá tài sản bán được: 70.032.122.000 đồng; chênh lệch giữa tổng giá trị tài sản đấu giá thành so với giá khởi điểm là: 1.836.551.000 đồng. Tổng số tiền thù lao dịch vụ đấu giá thu được 1.008.688.043 đồng.  Tỷ lệ chênh lệch giá khởi điểm và giá trúng đấu giá tăng 2,65%.</w:t>
      </w:r>
    </w:p>
    <w:p w14:paraId="5DE728A2">
      <w:pPr>
        <w:spacing w:before="120" w:after="120"/>
        <w:ind w:firstLine="567"/>
        <w:jc w:val="both"/>
        <w:rPr>
          <w:i/>
          <w:iCs/>
        </w:rPr>
      </w:pPr>
      <w:r>
        <w:rPr>
          <w:i/>
          <w:iCs/>
        </w:rPr>
        <w:t>* Tại báo cáo số 672/BC-UBND ngày 07/12/2023 báo cáo tình hình kinh tế - xã hội tháng 11, và 11 tháng đầu năm, nhiệm vụ trọng tâm tháng 12 năm 2023:</w:t>
      </w:r>
    </w:p>
    <w:p w14:paraId="080EC4F1">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Tình hình kinh tế - xã hội tiếp tục ổn định và có bước phát triển. UBND tỉnh đã tập trung chỉ đạo các cấp, các ngành đẩy mạnh triển khai toàn diện trên các lĩnh vực. Sản xuất nông, lâm, nghiệp, thủy sản, công nghiệp, xây dựng, thương mại, dịch vụ và du lịch tăng so với cùng kỳ. Lĩnh vực văn hóa - xã hội, an sinh xã hội được quan tâm, đời sống nhân dân được đảm bảo và cải thiện. Công tác cải cách hành chính, chuyển đổi số, thanh tra, kiểm tra tiếp tục được đẩy mạnh. Quốc phòng, an ninh, trật tự an toàn xã hội được đảm bảo, chủ quyền biên giới quốc gia được giữ vững, công tác đối ngoại tiếp tục được duy trì, hoạt động hiệu quả. Bên cạnh đó, kết quả một số lĩnh vực vẫn còn hạn chế, một số khoản thu nội địa chưa đạt tiến độ dự toán, giảm so với cùng kỳ; thu tiền sử dụng đất đạt thấp do ảnh hưởng thị trường bất động sản trầm lắng, một số khu đất bán đấu giá nhưng ít có khách hàng tham gia; tiến độ triển khai một số dự án đầu tư, công tác giải phóng mặt bằng, công tác giải ngân vốn đầu tư công còn chậm chưa đáp ứng được yêu cầu…</w:t>
      </w:r>
    </w:p>
    <w:p w14:paraId="39A60F38">
      <w:pPr>
        <w:spacing w:before="120" w:after="120"/>
        <w:ind w:firstLine="567"/>
        <w:jc w:val="both"/>
        <w:rPr>
          <w:i/>
          <w:iCs/>
          <w:spacing w:val="-4"/>
          <w:lang w:val="vi-VN"/>
        </w:rPr>
      </w:pPr>
      <w:r>
        <w:rPr>
          <w:i/>
          <w:iCs/>
          <w:spacing w:val="-4"/>
          <w:lang w:val="vi-VN"/>
        </w:rPr>
        <w:t xml:space="preserve">*Tại báo cáo số 158/BC-UBND ngày 29/03/2024 của UBND tỉnh Lạng Sơn Báo cáo tình hình thực hiện Kế hoạch phát triển kinh tế - xã hội quý I, nhiệm vụ trọng tâm quý II năm 2024: </w:t>
      </w:r>
    </w:p>
    <w:p w14:paraId="32A29DA1">
      <w:pPr>
        <w:spacing w:before="120" w:after="120"/>
        <w:ind w:firstLine="567"/>
        <w:jc w:val="both"/>
        <w:rPr>
          <w:rFonts w:eastAsia="Tahoma"/>
          <w:color w:val="000000" w:themeColor="text1"/>
          <w:sz w:val="26"/>
          <w:szCs w:val="26"/>
          <w14:textFill>
            <w14:solidFill>
              <w14:schemeClr w14:val="tx1"/>
            </w14:solidFill>
          </w14:textFill>
        </w:rPr>
      </w:pPr>
      <w:r>
        <w:rPr>
          <w:lang w:val="vi-VN"/>
        </w:rPr>
        <w:t xml:space="preserve">- </w:t>
      </w:r>
      <w:r>
        <w:rPr>
          <w:rFonts w:eastAsia="Tahoma"/>
          <w:color w:val="000000" w:themeColor="text1"/>
          <w:sz w:val="26"/>
          <w:szCs w:val="26"/>
          <w14:textFill>
            <w14:solidFill>
              <w14:schemeClr w14:val="tx1"/>
            </w14:solidFill>
          </w14:textFill>
        </w:rPr>
        <w:t>Tốc độ tăng tổng sản phẩm trên địa bàn (GRDP) dự báo thấp hơn so cùng kỳ. Việc đưa một số cơ chế, chính sách, Nghị quyết của Tỉnh ủy, HĐND tỉnh vào cuộc sống còn chậm. Trên địa bàn tỉnh chưa có những mô hình kinh tế mới thật sự nổi bật, hiệu quả cao. Tiến độ trồng rừng mới chậm hơn so với cùng kỳ. Một số doanh nghiệp công nghiệp phục hồi chậm, mức tăng xuất khẩu hàng địa phương chưa đạt tiến độ. Công tác giải phóng mặt bằng đã có nhiều chuyển biến tích cực nhưng chưa đạt được như kỳ vọng, kế hoạch đề ra. Số doanh nghiệp gặp khó khăn phải tạm ngừng hoạt động, giải thể còn cao. Một số khoản thu nội địa chưa đảm bảo tiến độ dự toán giao. Công tác tạo việc làm mới còn hạn chế. Tình trạng buôn lậu, gian lận thương mại vẫn diễn ra với các hình thức tinh vi hơn. Tình hình an ninh trật tự, an toàn xã hội ở một số địa bàn, trên không gian mạng, cháy nổ còn tiềm ẩn rủi ro; số vụ tai nạn giao thông và số người bị thương tăng cao.</w:t>
      </w:r>
    </w:p>
    <w:p w14:paraId="2385EB81">
      <w:pPr>
        <w:spacing w:before="120"/>
        <w:ind w:firstLine="720"/>
        <w:jc w:val="both"/>
        <w:rPr>
          <w:rFonts w:eastAsia="Tahoma"/>
          <w:color w:val="000000" w:themeColor="text1"/>
          <w:spacing w:val="-4"/>
          <w:sz w:val="26"/>
          <w:szCs w:val="26"/>
          <w14:textFill>
            <w14:solidFill>
              <w14:schemeClr w14:val="tx1"/>
            </w14:solidFill>
          </w14:textFill>
        </w:rPr>
      </w:pPr>
      <w:r>
        <w:rPr>
          <w:rFonts w:eastAsia="Tahoma"/>
          <w:color w:val="000000" w:themeColor="text1"/>
          <w:spacing w:val="-4"/>
          <w:sz w:val="26"/>
          <w:szCs w:val="26"/>
          <w14:textFill>
            <w14:solidFill>
              <w14:schemeClr w14:val="tx1"/>
            </w14:solidFill>
          </w14:textFill>
        </w:rPr>
        <w:t xml:space="preserve">Tình hình kinh tế thế giới, trong nước vẫn còn gặp nhiều khó khăn; một số ngành vẫn tiếp tục chịu tác động của dịch Covid-19, cần thời gian dài để phục hồi. Thời tiết rét đậm, rét hại xảy ra trên diện rộng, xuất hiện băng giá tại một số nơi vào cuối tháng 2 và đầu tháng 3 đã ảnh hưởng tiến độ trồng rừng. Một số văn bản Luật mới được ban hành, các Nghị định, văn bản hướng dẫn dưới Luật đang trong quá trình xây dựng; chính sách về giảm thuế giá trị gia tăng, giảm thuế bảo vệ môi trường tác động làm giảm thu một số khoản thu, đặc biệt là tình trạng thị trường bất động sản trầm lắng ảnh hưởng đến nguồn thu từ tiền sử dụng đất. Một số thủ tục hành chính triển khai các dự án trọng điểm phải xin ý kiến của các bộ, ngành Trung ương dẫn đến thời gian xử lý kéo dài. </w:t>
      </w:r>
    </w:p>
    <w:p w14:paraId="63A86850">
      <w:pPr>
        <w:spacing w:before="120"/>
        <w:ind w:firstLine="720"/>
        <w:jc w:val="both"/>
        <w:rPr>
          <w:rFonts w:eastAsia="Tahoma"/>
          <w:color w:val="000000" w:themeColor="text1"/>
          <w:spacing w:val="-4"/>
          <w:sz w:val="26"/>
          <w:szCs w:val="26"/>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 xml:space="preserve">- </w:t>
      </w:r>
      <w:r>
        <w:rPr>
          <w:rFonts w:eastAsia="Tahoma"/>
          <w:color w:val="000000" w:themeColor="text1"/>
          <w:spacing w:val="-4"/>
          <w:sz w:val="26"/>
          <w:szCs w:val="26"/>
          <w14:textFill>
            <w14:solidFill>
              <w14:schemeClr w14:val="tx1"/>
            </w14:solidFill>
          </w14:textFill>
        </w:rPr>
        <w:t>Tốc độ tăng tổng sản phẩm trên địa bàn (GRDP) dự báo thấp hơn so cùng kỳ. Việc đưa một số cơ chế, chính sách, Nghị quyết của Tỉnh ủy, HĐND tỉnh vào cuộc sống còn chậm. Trên địa bàn tỉnh chưa có những mô hình kinh tế mới thật sự nổi bật, hiệu quả cao. Tiến độ trồng rừng mới chậm hơn so với cùng kỳ. Một số doanh nghiệp công nghiệp phục hồi chậm, mức tăng xuất khẩu hàng địa phương chưa đạt tiến độ. Công tác giải phóng mặt bằng đã có nhiều chuyển biến tích cực nhưng chưa đạt được như kỳ vọng, kế hoạch đề ra. Số doanh nghiệp gặp khó khăn phải tạm ngừng hoạt động, giải thể còn cao. Một số khoản thu nội địa chưa đảm bảo tiến độ dự toán giao. Công tác tạo việc làm mới còn hạn chế. Tình trạng buôn lậu, gian lận thương mại vẫn diễn ra với các hình thức tinh vi hơn. Tình hình an ninh trật tự, an toàn xã hội ở một số địa bàn, trên không gian mạng, cháy nổ còn tiềm ẩn rủi ro; số vụ tai nạn giao thông và số người bị thương tăng cao.</w:t>
      </w:r>
    </w:p>
    <w:p w14:paraId="4EB6A498">
      <w:pPr>
        <w:spacing w:before="120"/>
        <w:ind w:firstLine="720"/>
        <w:jc w:val="both"/>
        <w:rPr>
          <w:rFonts w:ascii="Times New Roman Italic" w:hAnsi="Times New Roman Italic" w:eastAsia="Tahoma"/>
          <w:i/>
          <w:iCs/>
          <w:color w:val="000000" w:themeColor="text1"/>
          <w:spacing w:val="-6"/>
          <w:sz w:val="26"/>
          <w:szCs w:val="26"/>
          <w14:textFill>
            <w14:solidFill>
              <w14:schemeClr w14:val="tx1"/>
            </w14:solidFill>
          </w14:textFill>
        </w:rPr>
      </w:pPr>
      <w:r>
        <w:rPr>
          <w:rFonts w:ascii="Times New Roman Italic" w:hAnsi="Times New Roman Italic" w:eastAsia="Tahoma"/>
          <w:i/>
          <w:iCs/>
          <w:color w:val="000000" w:themeColor="text1"/>
          <w:spacing w:val="-6"/>
          <w:sz w:val="26"/>
          <w:szCs w:val="26"/>
          <w:lang w:val="vi-VN"/>
          <w14:textFill>
            <w14:solidFill>
              <w14:schemeClr w14:val="tx1"/>
            </w14:solidFill>
          </w14:textFill>
        </w:rPr>
        <w:t xml:space="preserve">*Tại báo cáo số </w:t>
      </w:r>
      <w:r>
        <w:rPr>
          <w:rFonts w:ascii="Times New Roman Italic" w:hAnsi="Times New Roman Italic" w:eastAsia="Tahoma"/>
          <w:i/>
          <w:iCs/>
          <w:color w:val="000000" w:themeColor="text1"/>
          <w:spacing w:val="-6"/>
          <w:sz w:val="26"/>
          <w:szCs w:val="26"/>
          <w14:textFill>
            <w14:solidFill>
              <w14:schemeClr w14:val="tx1"/>
            </w14:solidFill>
          </w14:textFill>
        </w:rPr>
        <w:t>610</w:t>
      </w:r>
      <w:r>
        <w:rPr>
          <w:rFonts w:ascii="Times New Roman Italic" w:hAnsi="Times New Roman Italic" w:eastAsia="Tahoma"/>
          <w:i/>
          <w:iCs/>
          <w:color w:val="000000" w:themeColor="text1"/>
          <w:spacing w:val="-6"/>
          <w:sz w:val="26"/>
          <w:szCs w:val="26"/>
          <w:lang w:val="vi-VN"/>
          <w14:textFill>
            <w14:solidFill>
              <w14:schemeClr w14:val="tx1"/>
            </w14:solidFill>
          </w14:textFill>
        </w:rPr>
        <w:t>/BC-UBND ngày 29/</w:t>
      </w:r>
      <w:r>
        <w:rPr>
          <w:rFonts w:ascii="Times New Roman Italic" w:hAnsi="Times New Roman Italic" w:eastAsia="Tahoma"/>
          <w:i/>
          <w:iCs/>
          <w:color w:val="000000" w:themeColor="text1"/>
          <w:spacing w:val="-6"/>
          <w:sz w:val="26"/>
          <w:szCs w:val="26"/>
          <w14:textFill>
            <w14:solidFill>
              <w14:schemeClr w14:val="tx1"/>
            </w14:solidFill>
          </w14:textFill>
        </w:rPr>
        <w:t>11</w:t>
      </w:r>
      <w:r>
        <w:rPr>
          <w:rFonts w:ascii="Times New Roman Italic" w:hAnsi="Times New Roman Italic" w:eastAsia="Tahoma"/>
          <w:i/>
          <w:iCs/>
          <w:color w:val="000000" w:themeColor="text1"/>
          <w:spacing w:val="-6"/>
          <w:sz w:val="26"/>
          <w:szCs w:val="26"/>
          <w:lang w:val="vi-VN"/>
          <w14:textFill>
            <w14:solidFill>
              <w14:schemeClr w14:val="tx1"/>
            </w14:solidFill>
          </w14:textFill>
        </w:rPr>
        <w:t xml:space="preserve">/2024 của UBND tỉnh Lạng Sơn </w:t>
      </w:r>
      <w:r>
        <w:rPr>
          <w:rFonts w:ascii="Times New Roman Italic" w:hAnsi="Times New Roman Italic" w:eastAsia="Tahoma"/>
          <w:i/>
          <w:iCs/>
          <w:color w:val="000000" w:themeColor="text1"/>
          <w:spacing w:val="-6"/>
          <w:sz w:val="26"/>
          <w:szCs w:val="26"/>
          <w14:textFill>
            <w14:solidFill>
              <w14:schemeClr w14:val="tx1"/>
            </w14:solidFill>
          </w14:textFill>
        </w:rPr>
        <w:t>Tình hình kinh tế - xã hội tháng 11 và 11 tháng đầu năm, nhiệm vụ trọng tâm tháng 12 năm 2024</w:t>
      </w:r>
      <w:r>
        <w:rPr>
          <w:rFonts w:ascii="Times New Roman Italic" w:hAnsi="Times New Roman Italic" w:eastAsia="Tahoma"/>
          <w:i/>
          <w:iCs/>
          <w:color w:val="000000" w:themeColor="text1"/>
          <w:spacing w:val="-6"/>
          <w:sz w:val="26"/>
          <w:szCs w:val="26"/>
          <w:lang w:val="vi-VN"/>
          <w14:textFill>
            <w14:solidFill>
              <w14:schemeClr w14:val="tx1"/>
            </w14:solidFill>
          </w14:textFill>
        </w:rPr>
        <w:t xml:space="preserve">: </w:t>
      </w:r>
    </w:p>
    <w:p w14:paraId="4FD54BC3">
      <w:pPr>
        <w:spacing w:before="120"/>
        <w:ind w:firstLine="720"/>
        <w:jc w:val="both"/>
        <w:rPr>
          <w:rFonts w:eastAsia="Tahoma"/>
          <w:color w:val="000000" w:themeColor="text1"/>
          <w:spacing w:val="-4"/>
          <w:sz w:val="26"/>
          <w:szCs w:val="26"/>
          <w14:textFill>
            <w14:solidFill>
              <w14:schemeClr w14:val="tx1"/>
            </w14:solidFill>
          </w14:textFill>
        </w:rPr>
      </w:pPr>
      <w:r>
        <w:rPr>
          <w:rFonts w:eastAsia="Tahoma"/>
          <w:color w:val="000000" w:themeColor="text1"/>
          <w:spacing w:val="-4"/>
          <w:sz w:val="26"/>
          <w:szCs w:val="26"/>
          <w14:textFill>
            <w14:solidFill>
              <w14:schemeClr w14:val="tx1"/>
            </w14:solidFill>
          </w14:textFill>
        </w:rPr>
        <w:t>Hoạt động xuất nhập khẩu được duy trì ổn định, kim ngạch xuất nhập khẩu tăng so cùng kỳ. Từ đầu tháng đến ngày 12/11/2024, tổng kim ngạch hàng hóa xuất nhập khẩu qua địa bàn tỉnh đạt 6.843,4 triệu USD (tăng 19,9% so với tháng trước), trong đó kim ngạch hàng hóa xuất nhập khẩu mở tờ khai tại Cục Hải quan Lạng Sơn đạt 432,5 triệu USD, giảm 31%% so với tháng trước5. Lũy kế từ đầu năm, tổng kim ngạch hàng hóa xuất nhập khẩu đạt 55.613,5 triệu USD, tăng 28,2% so với cùng kỳ; trong đó, kim ngạch hàng hóa xuất nhập khẩu mở tờ khai tại Cục Hải quan tỉnh đạt 4.760 triệu USD, tăng 9%6. Xuất khẩu hàng địa phương trong tháng đạt 16 triệu USD, lũy kế 154 triệu USD, đạt 91,1% kế hoạch, tăng 7,7% so với cùng kỳ.</w:t>
      </w:r>
    </w:p>
    <w:p w14:paraId="44C84AEF">
      <w:pPr>
        <w:spacing w:before="120"/>
        <w:ind w:firstLine="720"/>
        <w:jc w:val="both"/>
        <w:rPr>
          <w:rFonts w:eastAsia="Tahoma"/>
          <w:color w:val="000000" w:themeColor="text1"/>
          <w:spacing w:val="-4"/>
          <w:sz w:val="26"/>
          <w:szCs w:val="26"/>
          <w14:textFill>
            <w14:solidFill>
              <w14:schemeClr w14:val="tx1"/>
            </w14:solidFill>
          </w14:textFill>
        </w:rPr>
      </w:pPr>
      <w:r>
        <w:rPr>
          <w:rFonts w:eastAsia="Tahoma"/>
          <w:color w:val="000000" w:themeColor="text1"/>
          <w:spacing w:val="-4"/>
          <w:sz w:val="26"/>
          <w:szCs w:val="26"/>
          <w14:textFill>
            <w14:solidFill>
              <w14:schemeClr w14:val="tx1"/>
            </w14:solidFill>
          </w14:textFill>
        </w:rPr>
        <w:t>Hoạt động thương mại và dịch vụ diễn ra ổn định, hàng hóa phong phú, đa dạng, giá cả các mặt hàng tiêu dùng thiết yếu bình ổn, không có hiện tượng biến động tăng giá đột biến gây mất ổn định thị trường, tổng mức bán lẻ hàng hóa và dịch vụ tiêu dùng tháng 11/2024 đạt 3.511,4 tỷ đồng, tăng 16,85% so với cùng kỳ, trong đó: Tổng mức bán lẻ đạt 3.082,2 tỷ đồng, tăng 17,9% so với cùng kỳ. Doanh thu dịch vụ lưu trú, ăn uống đạt 274 tỷ đồng, tăng 20,1% so với cùng kỳ. Lũy kế 11 tháng 2024, tổng mức bán lẻ hàng hóa và dịch vụ tiêu dùng ước đạt 33.990,9 tỷ đồng, tăng 16,85% so với cùng kỳ. Hệ thống ngân hàng triển khai tích cực, các giải pháp tháo gỡ khó khăn cho sản xuất kinh doanh của người dân và doanh nghiệp được triển khai kịp thời, kết quả tổng nguồn vốn huy động của các ngân hàng trên địa bàn tỉnh ước đến 30/11/2024 đạt 48.595 tỷ đồng, tăng 10,8% so với 31/12/2023; tổng dư nợ tín dụng 43.669 tỷ đồng, tăng 0,6%. Hoạt động vận tải tương đối ổn định, cơ bản đáp ứng nhu cầu xuất, nhập khẩu và vận chuyển hàng hóa và đi lại của nhân dân. Dự ước tổng doanh thu vận tải, kho bãi 11 tháng năm 2024 đạt 2.315,6 tỷ đồng, tăng 9,54% so với cùng kỳ.</w:t>
      </w:r>
    </w:p>
    <w:p w14:paraId="52EF9D85">
      <w:pPr>
        <w:spacing w:before="120"/>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Giá trị khối lượng thực hiện các dự án nguồn vốn đầu tư công năm 2024 đến hết tháng 11/2024 ước đạt 2.667,8 tỷ đồng, đạt 66,3% kế hoạch, trong đó: Giá trị thực hiện dự án thuộc kế hoạch đầu tư công Thủ tướng Chính phủ giao: 2.477,8 tỷ đồng, đạt 61,6% kế hoạch (gồm: Ngân sách địa phương: 656,1 tỷ đồng, đạt 46,5% kế hoạch11; Ngân sách trung ương: 1.813 tỷ đồng, đạt 69,5% kế hoạch12); vốn bổ sung cho đầu tư địa phương triển khai: 190 tỷ đồng, đạt 43,7% kế hoạch. Ước kết quả giải ngân kế hoạch vốn đầu tư đến hết tháng 11/2024: 2.577,8 tỷ đồng, đạt 64,1% kế hoạch (cao hơn cùng kỳ năm 2023: 368 tỷ đồng, vượt 7,3% điểm phần trăm13), trong đó: Vốn thuộc kế hoạch đầu tư công Thủ tướng Chính phủ giao: 2.392,8 tỷ đồng, đạt 59,5% kế hoạch (gồm: Ngân sách địa phương: 614,8 tỷ đồng, đạt 43,6% kế hoạch14; Ngân sách trung ương: 1.778 tỷ đồng, đạt 68,1% kế hoạch15); vốn bổ sung cho đầu tư địa phương triển khai: 185 tỷ đồng, đạt 42,6% kế hoạch.</w:t>
      </w:r>
    </w:p>
    <w:p w14:paraId="4D7AEA55">
      <w:pPr>
        <w:spacing w:before="120"/>
        <w:ind w:firstLine="720"/>
        <w:jc w:val="both"/>
        <w:rPr>
          <w:rFonts w:eastAsia="Tahoma"/>
          <w:color w:val="000000" w:themeColor="text1"/>
          <w:spacing w:val="-4"/>
          <w:sz w:val="26"/>
          <w:szCs w:val="26"/>
          <w14:textFill>
            <w14:solidFill>
              <w14:schemeClr w14:val="tx1"/>
            </w14:solidFill>
          </w14:textFill>
        </w:rPr>
      </w:pPr>
      <w:r>
        <w:rPr>
          <w:rFonts w:eastAsia="Tahoma"/>
          <w:color w:val="000000" w:themeColor="text1"/>
          <w:spacing w:val="-4"/>
          <w:sz w:val="26"/>
          <w:szCs w:val="26"/>
          <w14:textFill>
            <w14:solidFill>
              <w14:schemeClr w14:val="tx1"/>
            </w14:solidFill>
          </w14:textFill>
        </w:rPr>
        <w:t>Cùng với những kết quả đạt được, kinh tế - xã hội vẫn phải đối mặt mới nhiều khó khăn, thách thức; số lượng doanh nghiệp tạm ngừng hoạt động, rút lui khỏi thị trường vẫn có xu hướng tăng do khó khăn trong sản xuất kinh doanh; thu tiền sử dụng đất cấp tỉnh chưa đạt kế hoạch do các khu đất dự kiến bán đấu giá năm 2024 chưa bán đấu giá thành công, các dự án dự kiến giao đất thu tiền sử dụng đất chưa hoàn thành thủ tục giao đất gây ảnh hưởng đến tiến độ giải ngân vốn đầu tư công; việc giải ngân nguồn vốn sự nghiệp các Chương trình mục tiêu quốc gia còn nhiều khó khăn, vướng mắc. Tình hình tai nạn giao thông vẫn tiếp tục diễn biến phức tạp, có xu hướng gia tăng.</w:t>
      </w:r>
    </w:p>
    <w:p w14:paraId="19537708">
      <w:pPr>
        <w:spacing w:before="120"/>
        <w:ind w:firstLine="720"/>
        <w:jc w:val="both"/>
        <w:rPr>
          <w:rFonts w:eastAsia="Tahoma"/>
          <w:b/>
          <w:bCs/>
          <w:i/>
          <w:iCs/>
          <w:color w:val="000000" w:themeColor="text1"/>
          <w:spacing w:val="-4"/>
          <w:sz w:val="26"/>
          <w:szCs w:val="26"/>
          <w14:textFill>
            <w14:solidFill>
              <w14:schemeClr w14:val="tx1"/>
            </w14:solidFill>
          </w14:textFill>
        </w:rPr>
      </w:pPr>
      <w:r>
        <w:rPr>
          <w:rFonts w:eastAsia="Tahoma"/>
          <w:b/>
          <w:bCs/>
          <w:i/>
          <w:iCs/>
          <w:color w:val="000000" w:themeColor="text1"/>
          <w:spacing w:val="-4"/>
          <w:sz w:val="26"/>
          <w:szCs w:val="26"/>
          <w14:textFill>
            <w14:solidFill>
              <w14:schemeClr w14:val="tx1"/>
            </w14:solidFill>
          </w14:textFill>
        </w:rPr>
        <w:t>*Huyện Chi Lăng (trước sáp nhập):</w:t>
      </w:r>
    </w:p>
    <w:p w14:paraId="40971419">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Huyện Chi Lăng là một huyện miền núi nằm ở phía Tây Nam của tỉnh Lạng Sơn, nằm ở độ cao trung bình so với mặt nước biển khoảng 240m. Toạ độ địa lý 21032’- 21048’ vĩ độ Bắc và 106025’- 106050” kinh độ Đông.</w:t>
      </w:r>
    </w:p>
    <w:p w14:paraId="0FF9C023">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Ranh giới của huyện:</w:t>
      </w:r>
    </w:p>
    <w:p w14:paraId="7F24C65B">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 xml:space="preserve">- Phía Bắc giáp với huyện Cao Lộc và thành phố Lạng Sơn; </w:t>
      </w:r>
    </w:p>
    <w:p w14:paraId="2DE8584B">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 Phía Đông giáp huyện Lộc Bình;</w:t>
      </w:r>
    </w:p>
    <w:p w14:paraId="78DB3CB4">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 Phía Tây giáp huyện Văn Quan;</w:t>
      </w:r>
    </w:p>
    <w:p w14:paraId="3AC9FCF5">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 Phía Nam giáp huyện Hữu Lũng và huyện Lục Ngạn của tỉnh Bắc Giang.</w:t>
      </w:r>
    </w:p>
    <w:p w14:paraId="24F1C7F8">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Đơn vị hành chính:</w:t>
      </w:r>
    </w:p>
    <w:p w14:paraId="77BB9DDA">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Huyện Chi Lăng có 20 xã, thị trấn đó là các xã: Bắc Thủy, Bằng Hữu, Bằng Mạc, Chi Lăng,Chiến Thắng, Gia Lộc, Hòa Bình, Hữu Kiên, Lâm Sơn, Liên Sơn, Mai Sao, Nhân Lý, Quan Sơn, Thượng Cường, Vân An, Vạn Linh, Vân Thủy, Y Tịch và 2 thị trấn: Đồng Mỏ, Chi Lăng. Trung tâm huyện đặt tại thị trấn Đồng Mỏ.</w:t>
      </w:r>
    </w:p>
    <w:p w14:paraId="4CEDA736">
      <w:pPr>
        <w:spacing w:before="120" w:after="120"/>
        <w:ind w:firstLine="567"/>
        <w:jc w:val="both"/>
        <w:rPr>
          <w:rFonts w:eastAsia="Tahoma"/>
          <w:color w:val="000000" w:themeColor="text1"/>
          <w:sz w:val="26"/>
          <w:szCs w:val="26"/>
          <w14:textFill>
            <w14:solidFill>
              <w14:schemeClr w14:val="tx1"/>
            </w14:solidFill>
          </w14:textFill>
        </w:rPr>
      </w:pPr>
      <w:r>
        <w:rPr>
          <w:rFonts w:eastAsia="Tahoma"/>
          <w:b/>
          <w:bCs/>
          <w:color w:val="000000" w:themeColor="text1"/>
          <w:sz w:val="26"/>
          <w:szCs w:val="26"/>
          <w14:textFill>
            <w14:solidFill>
              <w14:schemeClr w14:val="tx1"/>
            </w14:solidFill>
          </w14:textFill>
        </w:rPr>
        <w:t>1. Diện tích, vị trí địa lý, địa hình, khí hậu, sông ngòi, tài nguyên khoáng sản</w:t>
      </w:r>
    </w:p>
    <w:p w14:paraId="5434A9A5">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Chi Lăng là huyện miền núi nằm ở phía Tây nam của tỉnh Lạng Sơn, nằm ở độ cao trung bình so với mặt nước biển khoảng 240m, cách trung tâm thành phố Lạng Sơn 36 km về phía Tây Nam theo Quốc lộ 1A; có tọa độ địa lý 21</w:t>
      </w:r>
      <w:r>
        <w:rPr>
          <w:rFonts w:eastAsia="Tahoma"/>
          <w:color w:val="000000" w:themeColor="text1"/>
          <w:sz w:val="26"/>
          <w:szCs w:val="26"/>
          <w:vertAlign w:val="superscript"/>
          <w14:textFill>
            <w14:solidFill>
              <w14:schemeClr w14:val="tx1"/>
            </w14:solidFill>
          </w14:textFill>
        </w:rPr>
        <w:t>0</w:t>
      </w:r>
      <w:r>
        <w:rPr>
          <w:rFonts w:eastAsia="Tahoma"/>
          <w:color w:val="000000" w:themeColor="text1"/>
          <w:sz w:val="26"/>
          <w:szCs w:val="26"/>
          <w14:textFill>
            <w14:solidFill>
              <w14:schemeClr w14:val="tx1"/>
            </w14:solidFill>
          </w14:textFill>
        </w:rPr>
        <w:t>32’-21</w:t>
      </w:r>
      <w:r>
        <w:rPr>
          <w:rFonts w:eastAsia="Tahoma"/>
          <w:color w:val="000000" w:themeColor="text1"/>
          <w:sz w:val="26"/>
          <w:szCs w:val="26"/>
          <w:vertAlign w:val="superscript"/>
          <w14:textFill>
            <w14:solidFill>
              <w14:schemeClr w14:val="tx1"/>
            </w14:solidFill>
          </w14:textFill>
        </w:rPr>
        <w:t>0</w:t>
      </w:r>
      <w:r>
        <w:rPr>
          <w:rFonts w:eastAsia="Tahoma"/>
          <w:color w:val="000000" w:themeColor="text1"/>
          <w:sz w:val="26"/>
          <w:szCs w:val="26"/>
          <w14:textFill>
            <w14:solidFill>
              <w14:schemeClr w14:val="tx1"/>
            </w14:solidFill>
          </w14:textFill>
        </w:rPr>
        <w:t>48’ vĩ độ Bắc 106</w:t>
      </w:r>
      <w:r>
        <w:rPr>
          <w:rFonts w:eastAsia="Tahoma"/>
          <w:color w:val="000000" w:themeColor="text1"/>
          <w:sz w:val="26"/>
          <w:szCs w:val="26"/>
          <w:vertAlign w:val="superscript"/>
          <w14:textFill>
            <w14:solidFill>
              <w14:schemeClr w14:val="tx1"/>
            </w14:solidFill>
          </w14:textFill>
        </w:rPr>
        <w:t>0</w:t>
      </w:r>
      <w:r>
        <w:rPr>
          <w:rFonts w:eastAsia="Tahoma"/>
          <w:color w:val="000000" w:themeColor="text1"/>
          <w:sz w:val="26"/>
          <w:szCs w:val="26"/>
          <w14:textFill>
            <w14:solidFill>
              <w14:schemeClr w14:val="tx1"/>
            </w14:solidFill>
          </w14:textFill>
        </w:rPr>
        <w:t>25’-106</w:t>
      </w:r>
      <w:r>
        <w:rPr>
          <w:rFonts w:eastAsia="Tahoma"/>
          <w:color w:val="000000" w:themeColor="text1"/>
          <w:sz w:val="26"/>
          <w:szCs w:val="26"/>
          <w:vertAlign w:val="superscript"/>
          <w14:textFill>
            <w14:solidFill>
              <w14:schemeClr w14:val="tx1"/>
            </w14:solidFill>
          </w14:textFill>
        </w:rPr>
        <w:t>0</w:t>
      </w:r>
      <w:r>
        <w:rPr>
          <w:rFonts w:eastAsia="Tahoma"/>
          <w:color w:val="000000" w:themeColor="text1"/>
          <w:sz w:val="26"/>
          <w:szCs w:val="26"/>
          <w14:textFill>
            <w14:solidFill>
              <w14:schemeClr w14:val="tx1"/>
            </w14:solidFill>
          </w14:textFill>
        </w:rPr>
        <w:t>50’ kinh độ Đông. Vị trí tiếp giáp với các đơn vị hành chính như sau:</w:t>
      </w:r>
    </w:p>
    <w:p w14:paraId="035CEF6B">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Phía Bắc giáp huyện Cao Lộc và thành phố Lạng Sơn, tỉnh Lạng Sơn;</w:t>
      </w:r>
    </w:p>
    <w:p w14:paraId="1F59927F">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Phía Đông giáp huyện Lộc Bình, tỉnh Lạng Sơn</w:t>
      </w:r>
    </w:p>
    <w:p w14:paraId="4A55D592">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Phía Tây giáp huyện Văn Quan, tỉnh Lạng Sơn</w:t>
      </w:r>
    </w:p>
    <w:p w14:paraId="59EF2E29">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Phía Nam giáp huyện Hữu Lũng, tỉnh Lạng Sơn và huyện Lục Ngạn, tỉnh Bắc Giang.</w:t>
      </w:r>
    </w:p>
    <w:p w14:paraId="47CAB8DB">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Địa hình Chi Lăng khá phức tạp, trong đó núi đá và rừng chiếm khoảng 83.3% diện tích. Địa hình có thể chia làm ba vùng khác nhau: Vùng thứ nhất là vùng địa mạo cacxtơ với những dẫy đá vôi thuộc các xã phía tây của huyện; Vùng thứ hai là vùng đại mạo thung lũng thềm đất thấp bao gồm các xã, thị trấn chạy dọc Quốc lộ 1; Vùng thứ ba là vùng địa mạo xa phiến, núi cáo trung bình sắp xếp thành dải, thuộc các xã đông bắc, vùng này đồi núi cao, độ cao trung bình từ 300m đến 400m.</w:t>
      </w:r>
    </w:p>
    <w:p w14:paraId="47227ADB">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Huyện Chi Lăng nằm chọn trong vùng nhiệt đới gió mùa, những điều kiện tự nhiên đó đã tạo điều kiện thuận lợi để phát triển kinh tế nông, lâm nghiệp và ngành công nghiệp vật liệu xây dựng.</w:t>
      </w:r>
    </w:p>
    <w:p w14:paraId="10D00079">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Huyện Chi Lăng có con sông chính là thượng nguồn Sông Thương. Sông chảy theo hướng đông bắc - tây nam, xuống huyện Hữu Lũng.</w:t>
      </w:r>
    </w:p>
    <w:p w14:paraId="16AEDE6D">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Do đặc điểm mùa mưa tập trung vào các tháng mùa hè (tháng 6 đến tháng 9), vì vậy lưu lượng dòng chảy cao nhất đạt vào tháng 7, tháng 8, nhỏ nhất vào tháng 3. Tại các vùng núi thấp và trung bình Modul dòng chảy là 20 – 30l/s. Nhìn chung lũ lụt ở địa phương năm nào cũng có nhưng ở mức độ khác nhau. Qua theo dõi cho thấy lũ lụt ở vùng này có quy luật theo chu kỳ khoảng 3 đến 5 năm thì 1 năm có lũ lụt ở mức độ trung bình và 8 đến 10 năm lại xảy ra lũ lụt lớn gây thiệt hại cho hoạt động sản xuất và đời sống của người dân trên địa bàn huyện.</w:t>
      </w:r>
    </w:p>
    <w:p w14:paraId="4D97C57A">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Chất lượng đất, nước và không khí huyện Chi Lăng hiện nay đang bị tác động mạnh và có chiều hướng suy giảm, nguyên nhân chủ yếu là từ các hoạt động sản xuất nông nghiệp, sử dụng không hợp lý thuốc bảo vệ thực vật và hoạt động công nghiệp dịch vụ…vv. Với tính chất và khả năng tồn lưu, tích lũy rất lâu trong đất, đặc biệt là trong đất nông nghiệp thâm canh cây lúa.</w:t>
      </w:r>
    </w:p>
    <w:p w14:paraId="527FB6E8">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*Đơn vị hành chính</w:t>
      </w:r>
    </w:p>
    <w:p w14:paraId="0898B71B">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 Huyện Chi Lăng có 20 đơn vị hành chính. Gồm thị trấn Chi Lăng; thị trấn Đồng Mỏ và 18 xã: Bắc Thủy; Bằng Hữu; Bằng Mạc; Chi Lăng; Chiến Thắng; Gia Lộc; Hòa Bình; Hữu Kiên; Lâm Sơn; Liên Sơn; Mai Sao; Nhân Lý; Quan Sơn; Thượng Cường; Vân An; Vạn Linh; Vân Thủy; Y Tịch.</w:t>
      </w:r>
    </w:p>
    <w:p w14:paraId="65B52B99">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*Dân số, dân tộc, nguồn nhân lực</w:t>
      </w:r>
    </w:p>
    <w:p w14:paraId="72566D89">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Huyện Chi Lăng có dân số trung bình năm 2023 là 76.574 người, mật độ dân số trung bình là 109 người/km2, cao hơn mức trung bình của tỉnh, với nhiều dân tộc khác nhau sinh sống. 74% dân số sống ở nông thôn và sản xuất nông nghiệp, dân số thành thị chỉ là 26%. Trong những năm qua với quyết tâm, nỗ lực của toàn đảng, toàn dân kinh tế huyện có nhiều chuyển biến tích cực, cơ cấu kinh tế chuyển dịch theo hước công nghiệp hóa, hiện đại hóa nông nghiệp, nông thôn, bước đầu khai thác có hiệu quả và phát huy những tiềm năng, thế mạnh của địa phương.</w:t>
      </w:r>
    </w:p>
    <w:p w14:paraId="78B5229E">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*Cơ sở hạ tầng: Điện, đường, trường, trạm</w:t>
      </w:r>
    </w:p>
    <w:p w14:paraId="57FDFF5C">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Hệ thống lưới điện quốc gia được kéo đến trung tâm xã, thôn bản.</w:t>
      </w:r>
    </w:p>
    <w:p w14:paraId="463A3EEB">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Nước sinh hoạt: Hiện nay trên địa bàn huyện có 1 hệ thống cấp nước sinh hoạt với 02 bể chứa, 10km đường ống nhựa, công suất thiết kế 130m3/ng: 21 giếng khoan, 9 công trình nước sạch ở xã, tuy nhiên đa số các hộ dân sử dụng nước giếng tự đào, dẫn nước từ khe mạch ...vv.</w:t>
      </w:r>
    </w:p>
    <w:p w14:paraId="438C96B0">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Giao thông: Trên địa bàn huyện có 2 loại hình giao thông gồm đường bộ, đường sắt. Trong những năm gần đây, nhờ sự đầu tư từ ngân sách nhà nước, mạng lưới giao thông trên địa bàn ngày càng phát triển, với các đường tỉnh, đường huyện, đường liên xã, đường liên thôn từng bước được nâng cấp tạo điều kiện thuận lợi cho công tác đối nội, đối ngoại của huyện và Nhân dân trao đổi hàng hóa giữa các vùng miền trong và ngoài huyện, góp phần phát triển kinh tế - xã hội của địa phương.</w:t>
      </w:r>
    </w:p>
    <w:p w14:paraId="037DA533">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Thông tin liên lạc: Trong những năm qua, hệ thống bưu chính - viễn thông, thông tin liên lạc trên địa bàn huyện ngày càng phát triển và mở rộng hiện nay trên địa bàn huyện 100% các xã có điểm bưu điện văn hóa xã; Mạng di động 3g, 4g được phủ sóng đến 100% trung tâm các thôn./.</w:t>
      </w:r>
    </w:p>
    <w:p w14:paraId="03664EF3">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TÌNH HÌNH PHÁT TRIỂN KINH TẾ XÃ HỘI</w:t>
      </w:r>
    </w:p>
    <w:p w14:paraId="44889405">
      <w:pPr>
        <w:spacing w:before="120" w:after="120"/>
        <w:ind w:firstLine="567"/>
        <w:jc w:val="both"/>
        <w:rPr>
          <w:rFonts w:eastAsia="Tahoma"/>
          <w:color w:val="000000" w:themeColor="text1"/>
          <w:sz w:val="26"/>
          <w:szCs w:val="26"/>
          <w14:textFill>
            <w14:solidFill>
              <w14:schemeClr w14:val="tx1"/>
            </w14:solidFill>
          </w14:textFill>
        </w:rPr>
      </w:pPr>
    </w:p>
    <w:p w14:paraId="06F04951">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*Tại Báo số 678/BC-UBND ngày 11/08/2024 của UBND huyện Chi Lăng v/v báo cáo Tình hình thực hiện kế hoạch phát triển kinh tế - xã hội 9 tháng đầu năm và nhiệm vụ, giải pháp quý IV năm 2024:</w:t>
      </w:r>
    </w:p>
    <w:p w14:paraId="082FCBE4">
      <w:pPr>
        <w:spacing w:before="120" w:after="120"/>
        <w:ind w:firstLine="567"/>
        <w:jc w:val="both"/>
        <w:rPr>
          <w:sz w:val="26"/>
          <w:szCs w:val="26"/>
        </w:rPr>
      </w:pPr>
      <w:r>
        <w:rPr>
          <w:sz w:val="26"/>
          <w:szCs w:val="26"/>
        </w:rPr>
        <w:t xml:space="preserve">1.1. Về sản xuất nông lâm nghiệp và xây dựng nông thôn mới Tổ chức triển khai thực hiện các chỉ tiêu sản xuất nông lâm nghiệp năm 2024; tuyên truyền, hướng dẫn Nhân dân tiến hành sản xuất và thu hoạch cây trồng vụ Đông, làm đất; gieo trồng, chắm sóc cây trồng vụ Xuân năm 2024. Tổng diện tích gieo trồng 09 tháng đầu năm 2024 ước đạt 10.228,2 ha, bằng 100,3% so với kế hoạch, bằng 99,3% so với cùng kỳ năm 2023. Tổng sản lượng lương thực có hạt ước đạt 30.100 tấn, tăng 7,8% so với kế hoạch, tăng 0,4% so với cùng kỳ. </w:t>
      </w:r>
    </w:p>
    <w:p w14:paraId="6A3078E5">
      <w:pPr>
        <w:spacing w:before="120" w:after="120"/>
        <w:ind w:firstLine="567"/>
        <w:jc w:val="both"/>
        <w:rPr>
          <w:sz w:val="26"/>
          <w:szCs w:val="26"/>
        </w:rPr>
      </w:pPr>
      <w:r>
        <w:rPr>
          <w:sz w:val="26"/>
          <w:szCs w:val="26"/>
        </w:rPr>
        <w:t xml:space="preserve">Cung ứng kịp thời đầy đủ giống, phân bón, thuốc bảo vệ thực vật các loại cho sản xuất vụ Đông - Xuân 2023-2024 (cung ứng ước đạt 3.000 tấn phân bón các loại, bằng 100 % so với cùng kỳ; 69 tấn ngô, lúa các loại). Chỉ đạo phòng chuyên môn, UBND các xã, thị trấn tăng cường công tác kiểm tra chất lượng giống, cây trồng, vật tư, phân bón đảm bảo có địa chỉ xuất xứ rõ ràng, chất lượng tốt đáp ứng phục vụ cho Nhân dân sản xuất. Chỉ đạo các xã, thị trấn hướng dẫn Nhân dân chăm sóc và phòng trừ sâu bệnh hại cây trồng và tiếp tục thực hiện các mô hình2 ; Chỉ đạo tổ chức thực hiện trồng rừng năm 2024 theo kế hoạch, ước thực hiện 9 tháng đầu năm trồng mới được 1.166,3 ha, đạt 106% kế hoạch (trồng rừng sản xuất 1.120,6 ha; trồng rừng phân tán đạt 45,7ha), độ che phủ rừng đạt 49,91%; trồng mới được 238 ha cây ăn quả, đạt 95,2% kế hoạch, bằng 68% so với cùng kỳ, tập trung vào một số loài cây chính như: Na, đào, mít, quýt, cam đường canh,... Tiếp tục triển khai thực hiện hiệu quả các nội dung tại Nghị quyết 08/2019/NQ-HĐND ngày 10/12/2019 và Nghị quyết số 15/2021/NQHĐND ngày 17/7/2021 của HĐND tỉnh Lạng Sơn. </w:t>
      </w:r>
    </w:p>
    <w:p w14:paraId="2F6656FB">
      <w:pPr>
        <w:spacing w:before="120" w:after="120"/>
        <w:ind w:firstLine="567"/>
        <w:jc w:val="both"/>
        <w:rPr>
          <w:sz w:val="26"/>
          <w:szCs w:val="26"/>
        </w:rPr>
      </w:pPr>
      <w:r>
        <w:rPr>
          <w:sz w:val="26"/>
          <w:szCs w:val="26"/>
        </w:rPr>
        <w:t xml:space="preserve">Chăn nuôi gia súc, gia cầm được quan tâm chỉ đạo thực hiện. Tổng đàn gia súc, gia cầm trên địa bàn được duy trì: Đàn trâu có khoảng 8.694 con, đàn bò có khoảng 4.592 con, đàn ngựa có 3.006 con, đàn dê có khoảng 6242 con; đàn lợn có khoảng 17.778 con; đàn gia cầm có khoảng là 418.800 con; đàn chó có khoảng 9.970 con. </w:t>
      </w:r>
    </w:p>
    <w:p w14:paraId="6685F423">
      <w:pPr>
        <w:spacing w:before="120" w:after="120"/>
        <w:ind w:firstLine="567"/>
        <w:jc w:val="both"/>
        <w:rPr>
          <w:sz w:val="26"/>
          <w:szCs w:val="26"/>
        </w:rPr>
      </w:pPr>
      <w:r>
        <w:rPr>
          <w:sz w:val="26"/>
          <w:szCs w:val="26"/>
        </w:rPr>
        <w:t xml:space="preserve">Trong 9 tháng đầu năm trên địa bàn huyện phát sinh bệnh Dịch tả lợn Châu Phi xảy ra tại 443 hộ/55 thôn/11 xã thị trấn (Vân An, Chiến Thắng, Vân Thủy, Nhân Lý, Lâm Sơn, Mai Sao, Chi Lăng, Bắc Thủy, Quan Sơn, Thị trấn Đồng Mỏ, Gia Lộc). Chết và tiêu hủy 1.564 con, tổng trọng lượng 73.041 kg. UBND huyện đã ban hành Quyết định công bố dịch bệnh dịch tả lợn Châu Phi tại 11/11 xã, thị trấn; Tổ chức thực hiện tiêm phòng bệnh Dịch tả lợn Châu phi 20/20 xã, thị trấn được 8.311 con, trong đó (Vắc xin do kinh phí ngân sách nhà nước cấp tiêm là: 6.865 con; nhân dân tự tiêm là: 1.446 con). Công tác tiêm phòng dịch bệnh cho đàn vật nuôi, công tác kiểm soát giết mổ, kiểm tra vệ sinh thú y gia súc, gia cầm trên địa bàn tiếp tục được tăng cường3. </w:t>
      </w:r>
    </w:p>
    <w:p w14:paraId="4F25CE4D">
      <w:pPr>
        <w:spacing w:before="120" w:after="120"/>
        <w:ind w:firstLine="567"/>
        <w:jc w:val="both"/>
        <w:rPr>
          <w:sz w:val="26"/>
          <w:szCs w:val="26"/>
        </w:rPr>
      </w:pPr>
      <w:r>
        <w:rPr>
          <w:sz w:val="26"/>
          <w:szCs w:val="26"/>
        </w:rPr>
        <w:t>Chương trình mục tiêu quốc gia về xây dựng nông thôn mới được quan tâm: Ban hành các kế hoạch4 để tổ chức triển khai thực hiện, chỉ đạo các xã đã đạt chuẩn nông thôn mới tiếp tục rà soát các chỉ tiêu, tiêu chí, xây dựng kế hoạch khắc phục những khó khăn, vướng mắc khi áp dụng Bộ tiêu chí mới đã bị tụt tiêu chí, phấn đấu hoàn thiện 19/19 tiêu chí xây dựng nông thôn mới theo Quyết định số 1494/QĐ-UBND ngày 14/9/2022 của UBND tỉnh, yêu cầu đăng ký phấn đấu thực hiện đạt từ 02 tiêu chí xã nông thôn mới nâng cao trở lên trong năm 2024; Đối với các xã chưa đạt chuẩn NTM: Xây dựng kế hoạch thực hiện đạt từ 01 tiêu chí trở lên. Phấn đấu hết năm 2024, bình quân các xã trên địa bàn huyện đạt từ 15-16 tiêu chí/xã, không còn xã đạt dưới 6 tiêu chí; chỉ đạo quyết liệt, hướng dẫn xã Bằng Hữu xây dựng đạt chuẩn nông thôn mới, xã Nhân Lý đạt chuẩn nông thôn mới nâng cao, xã Chi Lăng xây dựng kế hoạch duy trì đạt chuẩn các tiêu chí xã nông thôn mới kiểu mẫu. Chỉ đạo phòng chuyên môn phối hợp với UBND xã Thượng Cường tổ chức thành công lễ đón Bằng công nhận xã đạt chuẩn nông thôn mới nâng cao năm 2023, xã Nhân Lý tổ chức lễ đón Bằng công nhận xã đạt chuẩn nông thôn mới năm 2023 đảm bảo trang trọng, tiết kiệm.</w:t>
      </w:r>
    </w:p>
    <w:p w14:paraId="6E7CCB08">
      <w:pPr>
        <w:spacing w:before="120" w:after="120"/>
        <w:ind w:firstLine="567"/>
        <w:jc w:val="both"/>
        <w:rPr>
          <w:sz w:val="26"/>
          <w:szCs w:val="26"/>
        </w:rPr>
      </w:pPr>
      <w:r>
        <w:rPr>
          <w:sz w:val="26"/>
          <w:szCs w:val="26"/>
        </w:rPr>
        <w:t xml:space="preserve">1.2. Sản xuất công nghiệp Tình hình sản xuất công nghiệp, tiểu thủ công nghiệp được duy trì ổn định. Tổng giá trị sản xuất ước thực hiện 9 tháng đầu năm 2024 đạt 2.585 tỷ đồng, đạt 76,5% so với kế hoạch. Một số sản phẩm chủ yếu: Vật liệu xây dựng, khai thác mỏ, công nghiệp chế biến, sản xuất phân phối điện, khí đốt, cung cấp nước, hoạt động quản lý rác thải... </w:t>
      </w:r>
    </w:p>
    <w:p w14:paraId="60F3B5EF">
      <w:pPr>
        <w:spacing w:before="120" w:after="120"/>
        <w:ind w:firstLine="567"/>
        <w:jc w:val="both"/>
        <w:rPr>
          <w:sz w:val="26"/>
          <w:szCs w:val="26"/>
        </w:rPr>
      </w:pPr>
      <w:r>
        <w:rPr>
          <w:sz w:val="26"/>
          <w:szCs w:val="26"/>
        </w:rPr>
        <w:t xml:space="preserve">1.3. Hoạt động thương mại, dịch vụ và du lịch Hoạt động kinh doanh thương mại và dịch vụ trên địa bàn huyện được quan tâm, duy trì ổn định; hàng hóa lưu thông trên thị trường đa dạng về chủng loại, mẫu mã, cơ bản hàng hóa đảm bảo chất lượng, ghi nhãn hàng hóa đầy đủ theo quy định, các mặt hàng thiết yếu được quan tâm, cung ứng đầy đủ kịp thời, đáp ứng đủ nhu cầu tiêu dùng của nhân dân. Tổng mức lưu thông hàng hóa, dịch vụ bán lẻ ước thực hiện 9 tháng đầu năm 2024 đạt 982 tỷ đồng, đạt 75,5% so với kế hoạch. Kim ngạch xuất khẩu hàng địa phương trong 9 tháng đầu năm 2024 ước đạt 12,56 triệu USD, đạt 76,12% kế hoạch. </w:t>
      </w:r>
    </w:p>
    <w:p w14:paraId="6837848E">
      <w:pPr>
        <w:spacing w:before="120" w:after="120"/>
        <w:ind w:firstLine="567"/>
        <w:jc w:val="both"/>
        <w:rPr>
          <w:sz w:val="26"/>
          <w:szCs w:val="26"/>
        </w:rPr>
      </w:pPr>
      <w:r>
        <w:rPr>
          <w:sz w:val="26"/>
          <w:szCs w:val="26"/>
        </w:rPr>
        <w:t>1.4. Đầu tư và xây dựng kết cấu hạ tầng UBND huyện đã ban hành Quyết định số 5510/QĐ-UBND ngày 19/12/2023 về việc giao mục tiêu, nhiệm vụ, kế hoạch vốn đầu tư công và kế hoạch vốn thực hiện các chương trình mục tiêu quốc gia năm 2024; Quyết định số 3125/QĐ-UBND ngày 23/7/2024 của UBND huyện Chi Lăng về việc điều chỉnh, bổ sung Kế hoạch đầu tư công và kế hoạch vốn thực hiện các Chương trình mục tiêu quốc gia năm 2024 huyện Chi Lăng. Công tác thực hiện, giải ngân thanh toán vốn năm 2024 được tập trung chỉ đạo triển khai thực hiện theo đúng chỉ đạo của UBND tỉnh7 . Chỉ đạo, đôn đốc các Chủ đầu tư, nhà thầu khẩn trương hoàn hiện công tác chuẩn bị đầu tư, phê duyệt dự án theo quy định hiện hành, thực hiện lựa chọn nhà thầu để thi công bảo đảm tiến độ đề ra trong năm đối với dự án khởi công mới; đôn đốc đẩy nhanh tiến độ giải ngân vốn đối với các dự án hoàn thành, các dự án kéo dài vốn từ năm 2023 sang năm 2024. Tổng kế hoạch vốn đầu tư công giải ngân tính đến 31/7/2024 là 75.164/150.089 triệu đồng, đạt 50% kế hoạch vốn giao8 ; ước thực hiện 9 tháng đầu năm 2024 giải ngân được 96.862 triệu đồng, đạt 64,5% kế hoạch vốn.</w:t>
      </w:r>
    </w:p>
    <w:p w14:paraId="58209CB6">
      <w:pPr>
        <w:spacing w:before="120" w:after="120"/>
        <w:ind w:firstLine="567"/>
        <w:jc w:val="both"/>
        <w:rPr>
          <w:sz w:val="26"/>
          <w:szCs w:val="26"/>
        </w:rPr>
      </w:pPr>
      <w:r>
        <w:rPr>
          <w:sz w:val="26"/>
          <w:szCs w:val="26"/>
        </w:rPr>
        <w:t xml:space="preserve">1.5. Tình hình sản xuất kinh doanh của các doanh nghiệp, hợp tác xã </w:t>
      </w:r>
    </w:p>
    <w:p w14:paraId="76CB7A60">
      <w:pPr>
        <w:spacing w:before="120" w:after="120"/>
        <w:ind w:firstLine="567"/>
        <w:jc w:val="both"/>
        <w:rPr>
          <w:sz w:val="26"/>
          <w:szCs w:val="26"/>
        </w:rPr>
      </w:pPr>
      <w:r>
        <w:rPr>
          <w:sz w:val="26"/>
          <w:szCs w:val="26"/>
        </w:rPr>
        <w:t>Chỉ đạo quyết liệt các nhiệm vụ, giải pháp chủ yếu cải thiện môi trường kinh doanh, nâng cao năng lực cạnh tranh cấp huyện (DDCI): Tổ chức họp Ban Chỉ đạo cải thiện môi trường đầu tư kinh doanh, nâng cao chỉ số năng lực cạnh tranh DDCI huyện nhằm đánh giá kết quả triển khai thực hiện Bộ chỉ số năng lực cạnh tranh cấp huyện (DDCI) năm 2023, triển khai nhiệm vụ kế hoạch năm 2024; kịp thời kiện toàn Ban Chỉ đạo, phối hợp với đơn vị tư vấn DDCI tổ chức tập huấn phân tích, đánh giá các chỉ số DDCI năm 2023 và hướng dẫn công tác lập kế hoạch nâng cao chỉ số đánh giá năng lực cạnh tranh năm 2024. Ban hành kế hoạch số 78/KHUBND ngày 29/02/2024 về thực hiện các nhiệm vụ, giải pháp chủ yếu cải thiện môi trường kinh doanh, nâng cao năng lực cạnh tranh cấp huyện (DDCI) năm 2024; Kế hoạch số Kế hoạch số 239 /KH-UBND ngày 22/7/2024 về Cải thiện môi trường đầu tư kinh doanh, nâng cao chỉ số năng lực cạnh tranh cấp tỉnh (PCI) năm 2024 và các năm tiếp theo trên địa bàn huyện Chi Lăng. Trong 9 tháng đầu năm 2024, trên địa bàn huyện có 08 doanh nghiệp, 02 HTX đăng ký thành lập mới. Lũy kế toàn huyện hiện có có 121 doanh nghiệp đăng ký tại địa bàn huyện, 48 hợp tác xã. Chỉ đạo rà soát, tổng hợp ý kiến, kiến nghị, những khó khăn vướng mắc của các HTX; tham gia trưng bày gian hàng tại Hội nghị gặp mặt, kết nối tiêu thụ sản phẩm của các hợp tác xã tỉnh Lạng Sơn năm 2024. Xây dựng kế hoạch số 248/KH-UBND ngày 05/8/2024 về tổ chức Hội nghị gặp mặt, đối thoại giữa Lãnh đạo huyện với các doanh nghiệp, Hợp tác xã, Hộ kinh doanh trên địa bàn huyện năm 2024 (dự kiến tổ chức cuối tháng 8/2024).</w:t>
      </w:r>
    </w:p>
    <w:p w14:paraId="4B83ACAC">
      <w:pPr>
        <w:spacing w:before="120" w:after="120"/>
        <w:ind w:firstLine="567"/>
        <w:jc w:val="both"/>
        <w:rPr>
          <w:sz w:val="26"/>
          <w:szCs w:val="26"/>
        </w:rPr>
      </w:pPr>
      <w:r>
        <w:rPr>
          <w:b/>
          <w:bCs/>
          <w:i/>
          <w:iCs/>
          <w:sz w:val="26"/>
          <w:szCs w:val="26"/>
        </w:rPr>
        <w:t>*Kết quả đạt được:</w:t>
      </w:r>
      <w:r>
        <w:rPr>
          <w:sz w:val="26"/>
          <w:szCs w:val="26"/>
        </w:rPr>
        <w:t xml:space="preserve"> </w:t>
      </w:r>
    </w:p>
    <w:p w14:paraId="07F5B90E">
      <w:pPr>
        <w:spacing w:before="120" w:after="120"/>
        <w:ind w:firstLine="567"/>
        <w:jc w:val="both"/>
        <w:rPr>
          <w:sz w:val="26"/>
          <w:szCs w:val="26"/>
        </w:rPr>
      </w:pPr>
      <w:r>
        <w:rPr>
          <w:sz w:val="26"/>
          <w:szCs w:val="26"/>
        </w:rPr>
        <w:t>Trong 9 tháng đầu năm 2024, UBND huyện đã tập trung chỉ đạo nghiêm túc, đầy đủ, thực hiện đồng bộ, quyết liệt Quyết định của UBND tỉnh, các Nghị quyết của Ban Chấp hành Đảng bộ huyện, Hội đồng nhân dân huyện về những nhiệm vụ, giải pháp phát triển kinh tế; Tiến độ sản xuất nông lâm nghiệp được thực hiện đảm bảo đúng thời vụ; phong trào ra quân đầu xuân làm thủy lợi, làm đường giao thông nông thôn, vệ sinh môi trường và trồng cây đầu xuân được triển khai đồng bộ, có hiệu quả, trở thành phong trào thi đua sâu rộng, sôi nổi được Nhân dân đồng tình hưởng ứng; Công tác xây dựng nông thôn mới được tích cực triển khai thực hiện; Công tác giải phóng mặt bằng được đẩy mạnh chỉ đạo thực hiện từ huyện đến cơ sở; Thu ngân sách đạt khá so với dự toán giao, công tác chi ngân sách được kiểm soát chặt chẽ, chi đúng mục đích, đúng đối tượng, hiệu quả tiết kiệm, chống lãng phí. Giải ngân vốn đầu tư công có chuyển biến tích cực; hoạt động công nghiệp, thương mại dịch vụ tiếp tục được duy trì ổn định, các mặt hàng tiêu dùng thiết yếu trực tiếp phục vụ cho nhu cầu của Nhân dân được cung ứng đầy đủ, giá cả được kiểm soát, thị trường được ổn định. Công tác phòng chống buôn lậu và gian lận thương mại, hàng giả được các lực lượng đẩy mạnh triển khai thực hiện, xử lý kịp thời các hành vi vi phạm. Chỉ đạo thực hiện tốt công tác dạy và học theo chương trình, kế hoạch năm học, tham gia các cuộc thi cấp học sinh giỏi huyện, cấp tỉnh đạt được kết quả cao.</w:t>
      </w:r>
    </w:p>
    <w:p w14:paraId="2F219D55">
      <w:pPr>
        <w:spacing w:before="120" w:after="120"/>
        <w:ind w:firstLine="567"/>
        <w:jc w:val="both"/>
        <w:rPr>
          <w:sz w:val="26"/>
          <w:szCs w:val="26"/>
        </w:rPr>
      </w:pPr>
      <w:r>
        <w:rPr>
          <w:sz w:val="26"/>
          <w:szCs w:val="26"/>
        </w:rPr>
        <w:t xml:space="preserve">Chính sách an sinh xã hội đối với các hộ gia đình chính sách, người có công, các hộ nghèo, các đối tượng bảo trợ xã hội, hộ đồng bào vùng khó khăn được các cấp, các ngành quan tâm chăm lo, hỗ trợ kịp thời, không có hộ dân nào bị thiếu đói trong dịp Tết, kỳ giáp hạt. Công tác đảm bảo vệ sinh an toàn thực phẩm được quan tâm thực hiện, không xảy ra ngộ độc thực phẩm. Các hoạt động văn hoá, văn nghệ, thể dục thể thao và các lễ hội được tổ chức bằng nhiều hình thức và nội dung phong phú đảm bảo tiết kiệm, đoàn kết, an toàn, hiệu quả, tạo không khí vui tươi, phấn khởi, lành mạnh trong những ngày đầu xuân. Công tác khám chữa bệnh được tăng cường; Công tác thanh tra kiểm tra, giám sát được tăng cường; quốc phòng, an ninh, trật tự an toàn xã hội đảm bảo, không xảy ra vụ việc phức tạp, các mục tiêu, địa bàn trọng yếu được bảo vệ tuyệt đối an toàn; Cải cách hành chính có sự cải thiện, công tác tiếp công dân, giải quyết đơn thư được thực hiện thường xuyên và giải quyết kịp thời. Công tác thi đua khen thưởng tiếp tục trở thành phong trào thi đua sâu rộng; Phối hợp tổ chức Lễ khởi công Dự án tuyến cao tốc cửa khẩu Hữu Nghị - Chi Lăng theo hình thức BOT đảm bảo trang trọng; phối hợp chuẩn bị tốt các điều kiện tổ chức Đại hội điểm của tỉnh về thành lập Hội người cao tuổi huyện Chi Lăng nhiệm kỳ 2024 – 2026; tổ chức thành công Đại hội thi đua Quyết thắng lực lượng vũ trang (LLVT) huyện Chi Lăng giai đoạn 2019-2024; Đại hội Đại hội đại biểu các dân tộc thiểu số huyện Chi Lăng lần thứ IV năm 2024; </w:t>
      </w:r>
    </w:p>
    <w:p w14:paraId="08172FA3">
      <w:pPr>
        <w:spacing w:before="120" w:after="120"/>
        <w:ind w:firstLine="567"/>
        <w:jc w:val="both"/>
        <w:rPr>
          <w:b/>
          <w:bCs/>
          <w:i/>
          <w:iCs/>
          <w:sz w:val="26"/>
          <w:szCs w:val="26"/>
        </w:rPr>
      </w:pPr>
    </w:p>
    <w:p w14:paraId="32DA607A">
      <w:pPr>
        <w:spacing w:before="120" w:after="120"/>
        <w:ind w:firstLine="567"/>
        <w:jc w:val="both"/>
        <w:rPr>
          <w:b/>
          <w:bCs/>
          <w:i/>
          <w:iCs/>
          <w:sz w:val="26"/>
          <w:szCs w:val="26"/>
        </w:rPr>
      </w:pPr>
      <w:r>
        <w:rPr>
          <w:b/>
          <w:bCs/>
          <w:i/>
          <w:iCs/>
          <w:sz w:val="26"/>
          <w:szCs w:val="26"/>
        </w:rPr>
        <w:t>*Một số hạn chế:</w:t>
      </w:r>
    </w:p>
    <w:p w14:paraId="061F3E63">
      <w:pPr>
        <w:spacing w:before="120" w:after="120"/>
        <w:ind w:firstLine="567"/>
        <w:jc w:val="both"/>
        <w:rPr>
          <w:sz w:val="26"/>
          <w:szCs w:val="26"/>
        </w:rPr>
      </w:pPr>
      <w:r>
        <w:rPr>
          <w:sz w:val="26"/>
          <w:szCs w:val="26"/>
        </w:rPr>
        <w:t xml:space="preserve">- Tiến độ giải ngân vốn sự nghiệp thực hiện các Chương trình mục tiêu quốc gia tỷ lệ giải ngân còn thấp, chưa đáp ứng theo yêu cầu kế hoạch. </w:t>
      </w:r>
    </w:p>
    <w:p w14:paraId="09536AE4">
      <w:pPr>
        <w:spacing w:before="120" w:after="120"/>
        <w:ind w:firstLine="567"/>
        <w:jc w:val="both"/>
        <w:rPr>
          <w:sz w:val="26"/>
          <w:szCs w:val="26"/>
        </w:rPr>
      </w:pPr>
      <w:r>
        <w:rPr>
          <w:sz w:val="26"/>
          <w:szCs w:val="26"/>
        </w:rPr>
        <w:t xml:space="preserve">- Công tác giải phóng mặt bằng một số dự án công trình, dự án như: Dự án cao tốc cửa khẩu Hữu Nghị - Chi Lăng, Khu đô thị phía Đông thị trấn Đồng Mỏ; Khu đô thị phía Đông Nam thị trấn Đồng Mỏ, đường giao thông khu công nghiệp Đồng Bành giai đoạn 2,… còn gặp khó khăn, vướng mắc nhất định. </w:t>
      </w:r>
    </w:p>
    <w:p w14:paraId="6D71A667">
      <w:pPr>
        <w:spacing w:before="120" w:after="120"/>
        <w:ind w:firstLine="567"/>
        <w:jc w:val="both"/>
        <w:rPr>
          <w:sz w:val="26"/>
          <w:szCs w:val="26"/>
        </w:rPr>
      </w:pPr>
      <w:r>
        <w:rPr>
          <w:sz w:val="26"/>
          <w:szCs w:val="26"/>
        </w:rPr>
        <w:t xml:space="preserve">- Việc tổ chức triển khai thực hiện một số nhiệm vụ được giao tại một số cơ quan, đơn vị còn để chậm muộn, kết quả đạt được chưa cao. </w:t>
      </w:r>
    </w:p>
    <w:p w14:paraId="5AAB664E">
      <w:pPr>
        <w:spacing w:before="120" w:after="120"/>
        <w:ind w:firstLine="567"/>
        <w:jc w:val="both"/>
        <w:rPr>
          <w:sz w:val="26"/>
          <w:szCs w:val="26"/>
        </w:rPr>
      </w:pPr>
      <w:r>
        <w:rPr>
          <w:sz w:val="26"/>
          <w:szCs w:val="26"/>
        </w:rPr>
        <w:t xml:space="preserve">- Việc triển khai thực hiện đăng ký đất đai lần đầu đối với người sử dụng đất tại một số xã (Bắc Thủy, Liên Sơn, Lâm Sơn, Hòa Bình, Gia Lộc) còn chậm so với kế hoạch huyện giao. </w:t>
      </w:r>
    </w:p>
    <w:p w14:paraId="6BFBEC49">
      <w:pPr>
        <w:spacing w:before="120" w:after="120"/>
        <w:ind w:firstLine="567"/>
        <w:jc w:val="both"/>
        <w:rPr>
          <w:sz w:val="26"/>
          <w:szCs w:val="26"/>
        </w:rPr>
      </w:pPr>
      <w:r>
        <w:rPr>
          <w:sz w:val="26"/>
          <w:szCs w:val="26"/>
        </w:rPr>
        <w:t xml:space="preserve">- Công tác cải cách hành chính, cải cách thủ tục hành chính, giải quyết thủ tục hành chính một số cơ quan chuyên môn thuộc UBND huyện, UBND các xã, thị trấn vẫn còn có những chỉ số chưa đạt theo chỉ tiêu giao như: Tỷ lệ thanh toán trực tuyến chưa đạt 45%, vẫn còn có hồ sơ trả chậm hạn trên Dịch vụ công của tỉnh. </w:t>
      </w:r>
    </w:p>
    <w:p w14:paraId="57D6E5BB">
      <w:pPr>
        <w:spacing w:before="120" w:after="120"/>
        <w:ind w:firstLine="567"/>
        <w:jc w:val="both"/>
        <w:rPr>
          <w:spacing w:val="-4"/>
          <w:sz w:val="26"/>
          <w:szCs w:val="26"/>
        </w:rPr>
      </w:pPr>
      <w:r>
        <w:rPr>
          <w:spacing w:val="-4"/>
          <w:sz w:val="26"/>
          <w:szCs w:val="26"/>
        </w:rPr>
        <w:t xml:space="preserve">- Tỷ lệ người dân tham gia bảo hiểm y tế đạt thấp so với chỉ tiêu kế hoạch đã đề ra. </w:t>
      </w:r>
    </w:p>
    <w:p w14:paraId="178D1CF7">
      <w:pPr>
        <w:spacing w:before="120" w:after="120"/>
        <w:ind w:firstLine="567"/>
        <w:jc w:val="both"/>
        <w:rPr>
          <w:sz w:val="26"/>
          <w:szCs w:val="26"/>
        </w:rPr>
      </w:pPr>
      <w:r>
        <w:rPr>
          <w:sz w:val="26"/>
          <w:szCs w:val="26"/>
        </w:rPr>
        <w:t>- Tình hình tai nạn giao thông, tội phạm sử dụng công nghệ cao để lừa đảo, chiếm đoạt tài sản của nhân dân có diễn biến phức tạp.</w:t>
      </w:r>
    </w:p>
    <w:p w14:paraId="326A8770">
      <w:pPr>
        <w:spacing w:before="120" w:after="120"/>
        <w:ind w:firstLine="567"/>
        <w:jc w:val="both"/>
        <w:rPr>
          <w:b/>
          <w:bCs/>
          <w:sz w:val="26"/>
          <w:szCs w:val="26"/>
        </w:rPr>
      </w:pPr>
      <w:r>
        <w:rPr>
          <w:b/>
          <w:bCs/>
          <w:sz w:val="26"/>
          <w:szCs w:val="26"/>
        </w:rPr>
        <w:t>*Ngày 21/4, đồng chí Đoàn Thanh Sơn, Phó Chủ tịch UBND tỉnh, Trưởng đoàn kiểm tra số 4 của UBND tỉnh kiểm tra tình hình triển khai kế hoạch phát triển kinh tế - xã hội, dự toán ngân sách nhà nước, thực hiện kịch bản tăng trưởng kinh tế năm 2025 và các chương trình mục tiêu quốc gia trên địa bàn huyện Chi Lăng:</w:t>
      </w:r>
    </w:p>
    <w:p w14:paraId="4A5045A0">
      <w:pPr>
        <w:spacing w:before="120" w:after="120"/>
        <w:ind w:firstLine="567"/>
        <w:jc w:val="both"/>
        <w:rPr>
          <w:sz w:val="26"/>
          <w:szCs w:val="26"/>
        </w:rPr>
      </w:pPr>
      <w:r>
        <w:rPr>
          <w:sz w:val="26"/>
          <w:szCs w:val="26"/>
        </w:rPr>
        <w:t>Theo báo cáo của UBND huyện Chi Lăng, thực hiện các nghị quyết của HĐND tỉnh, quyết định của UBND tỉnh về giao chỉ tiêu kế hoạch phát triển kinh tế - xã hội năm 2025 và dự toán ngân sách nhà nước 2025, UBND huyện Chi Lăng đã giao chỉ tiêu và dự toán ngân sách cho các đơn vị tổ chức thực hiện. Bên cạnh đó, UBND huyện đã điều chỉnh các mục tiêu tăng trưởng đối với một số ngành kinh tế chủ yếu của huyện từ 9,3% đến 16,2% so với năm 2024. Trong đó, huyện đã đề ra các mục tiêu cụ thể của các lĩnh vực như: kim ngạch xuất nhập khẩu hàng hóa địa phương đạt 18,04 triệu USD, tăng 9,3%; tổng thu ngân sách trên địa bàn đạt 108,4 tỷ đồng, tăng 11,7%; các ngành nông - lâm nghiệp, thủy sản, công nghiệp, xây dựng đạt trên 10.400 tỷ đồng, tăng 16,2%...</w:t>
      </w:r>
    </w:p>
    <w:p w14:paraId="58F6F8CA">
      <w:pPr>
        <w:spacing w:before="120" w:after="120"/>
        <w:ind w:firstLine="567"/>
        <w:jc w:val="both"/>
        <w:rPr>
          <w:sz w:val="26"/>
          <w:szCs w:val="26"/>
        </w:rPr>
      </w:pPr>
      <w:r>
        <w:rPr>
          <w:sz w:val="26"/>
          <w:szCs w:val="26"/>
        </w:rPr>
        <w:t>Kết quả, trong quý I/2025, sản xuất nông - lâm nghiệp, sản xuất công nghiệp, thương mại, dịch vụ và du lịch trên địa bàn được triển khai đảm bảo tiến độ đề ra. Bên cạnh đó, tổng thu ngân sách đạt trên 219 tỷ đồng, đạt 21,8% kế hoạch tỉnh giao và tăng 28% so với cùng kỳ.</w:t>
      </w:r>
    </w:p>
    <w:p w14:paraId="15B3429D">
      <w:pPr>
        <w:spacing w:before="120" w:after="120"/>
        <w:ind w:firstLine="567"/>
        <w:jc w:val="both"/>
        <w:rPr>
          <w:sz w:val="26"/>
          <w:szCs w:val="26"/>
        </w:rPr>
      </w:pPr>
      <w:r>
        <w:rPr>
          <w:sz w:val="26"/>
          <w:szCs w:val="26"/>
        </w:rPr>
        <w:t>Đối với việc thực hiện 3 chương trình mục tiêu quốc gia được giao vốn đầu tư, các chủ đầu tư trên địa bàn đã giải ngân 26,4 tỷ đồng, đạt 30,7% kế hoạch vốn giao. Đồng thời, công tác giải phóng mặt bằng, xây dựng nông thôn mới được các cơ quan, đơn vị triển khai có hiệu quả theo kế hoạch; lĩnh vực văn hóa, an sinh xã hội được quan tâm thực hiện kịp thời; quốc phòng, an ninh được bảo đảm…</w:t>
      </w:r>
    </w:p>
    <w:p w14:paraId="04D4BEF4">
      <w:pPr>
        <w:spacing w:before="120" w:after="120"/>
        <w:ind w:firstLine="567"/>
        <w:jc w:val="both"/>
        <w:rPr>
          <w:sz w:val="26"/>
          <w:szCs w:val="26"/>
        </w:rPr>
      </w:pPr>
      <w:r>
        <w:rPr>
          <w:sz w:val="26"/>
          <w:szCs w:val="26"/>
        </w:rPr>
        <w:t>Trong công tác phát triển kinh tế - xã hội, đồng chí nhấn mạnh: Các cấp chính quyền trên địa bàn huyện tiếp tục cố gắng khắc phục tối đa khó khăn do thiếu nước  gây ra để duy trì ổn định công tác sản xuất nông - lâm nghiệp; xây dựng, nhân rộng các mô hình phát triển sản xuất phù hợp với điều kiện địa phương; tăng cường phòng chống cháy rừng, thiên tai, bão lũ trong thời gian tới; tiếp tục quan tâm thúc đẩy công tác giải phóng mặt bằng tuyến cao tốc cửa khẩu Hữu nghị - Chi Lăng; đẩy nhanh tiến độ xây dựng, sửa chữa chương trình xóa nhà tạm, nhà dột nát trên địa bàn; quan tâm thực hiện tốt các chương trình chính sách, an sinh xã hội cho nhân dân…</w:t>
      </w:r>
    </w:p>
    <w:p w14:paraId="72E1AAD2">
      <w:pPr>
        <w:spacing w:before="120" w:after="120"/>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Sau giải thể đơn vị hành chính cấp huyện, và sáp nhập các xã, hiện nay gồm 6 xã mới của Huyện Chi Lăng cũ (Nay thuộc Tỉnh Lạng Sơn) bao gồm: Xã Chi Lăng, Xã Quan Sơn; xã Chiến Thắng, xã Nhân Lý, xã Bằng Mục, xã Vạn Linh.</w:t>
      </w:r>
    </w:p>
    <w:p w14:paraId="5406B8C9">
      <w:pPr>
        <w:spacing w:before="120" w:after="120"/>
        <w:ind w:firstLine="567"/>
        <w:jc w:val="both"/>
        <w:rPr>
          <w:rFonts w:eastAsia="Tahoma"/>
          <w:b/>
          <w:bCs/>
          <w:color w:val="000000" w:themeColor="text1"/>
          <w:sz w:val="26"/>
          <w:szCs w:val="26"/>
          <w14:textFill>
            <w14:solidFill>
              <w14:schemeClr w14:val="tx1"/>
            </w14:solidFill>
          </w14:textFill>
        </w:rPr>
      </w:pPr>
      <w:r>
        <w:rPr>
          <w:rFonts w:eastAsia="Tahoma"/>
          <w:b/>
          <w:bCs/>
          <w:color w:val="000000" w:themeColor="text1"/>
          <w:sz w:val="26"/>
          <w:szCs w:val="26"/>
          <w14:textFill>
            <w14:solidFill>
              <w14:schemeClr w14:val="tx1"/>
            </w14:solidFill>
          </w14:textFill>
        </w:rPr>
        <w:t>3.3.</w:t>
      </w:r>
      <w:r>
        <w:rPr>
          <w:rFonts w:eastAsia="Tahoma"/>
          <w:b/>
          <w:bCs/>
          <w:color w:val="000000" w:themeColor="text1"/>
          <w:sz w:val="26"/>
          <w:szCs w:val="26"/>
          <w:lang w:val="vi-VN"/>
          <w14:textFill>
            <w14:solidFill>
              <w14:schemeClr w14:val="tx1"/>
            </w14:solidFill>
          </w14:textFill>
        </w:rPr>
        <w:t xml:space="preserve"> Tổng quan thị trường bất động sản</w:t>
      </w:r>
      <w:r>
        <w:rPr>
          <w:rFonts w:eastAsia="Tahoma"/>
          <w:b/>
          <w:bCs/>
          <w:color w:val="000000" w:themeColor="text1"/>
          <w:sz w:val="26"/>
          <w:szCs w:val="26"/>
          <w14:textFill>
            <w14:solidFill>
              <w14:schemeClr w14:val="tx1"/>
            </w14:solidFill>
          </w14:textFill>
        </w:rPr>
        <w:t xml:space="preserve"> </w:t>
      </w:r>
      <w:r>
        <w:rPr>
          <w:rFonts w:eastAsia="Tahoma"/>
          <w:b/>
          <w:bCs/>
          <w:color w:val="000000" w:themeColor="text1"/>
          <w:sz w:val="26"/>
          <w:szCs w:val="26"/>
          <w:lang w:val="vi-VN"/>
          <w14:textFill>
            <w14:solidFill>
              <w14:schemeClr w14:val="tx1"/>
            </w14:solidFill>
          </w14:textFill>
        </w:rPr>
        <w:t>trên địa bàn</w:t>
      </w:r>
      <w:r>
        <w:rPr>
          <w:rFonts w:eastAsia="Tahoma"/>
          <w:b/>
          <w:bCs/>
          <w:color w:val="000000" w:themeColor="text1"/>
          <w:sz w:val="26"/>
          <w:szCs w:val="26"/>
          <w14:textFill>
            <w14:solidFill>
              <w14:schemeClr w14:val="tx1"/>
            </w14:solidFill>
          </w14:textFill>
        </w:rPr>
        <w:t xml:space="preserve"> huyện Chi Lăng (cũ) và khu vực thẩm định giá.</w:t>
      </w:r>
    </w:p>
    <w:p w14:paraId="7B031D8D">
      <w:pPr>
        <w:spacing w:before="120" w:after="120"/>
        <w:ind w:firstLine="567"/>
        <w:jc w:val="both"/>
      </w:pPr>
      <w:r>
        <w:rPr>
          <w:color w:val="000000" w:themeColor="text1"/>
          <w:spacing w:val="-6"/>
          <w:sz w:val="26"/>
          <w:szCs w:val="26"/>
          <w:lang w:val="vi-VN"/>
          <w14:textFill>
            <w14:solidFill>
              <w14:schemeClr w14:val="tx1"/>
            </w14:solidFill>
          </w14:textFill>
        </w:rPr>
        <w:t xml:space="preserve">Căn cứ Quyết định số </w:t>
      </w:r>
      <w:r>
        <w:rPr>
          <w:color w:val="000000" w:themeColor="text1"/>
          <w:spacing w:val="-6"/>
          <w:sz w:val="26"/>
          <w:szCs w:val="26"/>
          <w14:textFill>
            <w14:solidFill>
              <w14:schemeClr w14:val="tx1"/>
            </w14:solidFill>
          </w14:textFill>
        </w:rPr>
        <w:t>86</w:t>
      </w:r>
      <w:r>
        <w:rPr>
          <w:color w:val="000000" w:themeColor="text1"/>
          <w:spacing w:val="-6"/>
          <w:sz w:val="26"/>
          <w:szCs w:val="26"/>
          <w:lang w:val="vi-VN"/>
          <w14:textFill>
            <w14:solidFill>
              <w14:schemeClr w14:val="tx1"/>
            </w14:solidFill>
          </w14:textFill>
        </w:rPr>
        <w:t xml:space="preserve">/QĐ-UBND ngày </w:t>
      </w:r>
      <w:r>
        <w:rPr>
          <w:color w:val="000000" w:themeColor="text1"/>
          <w:spacing w:val="-6"/>
          <w:sz w:val="26"/>
          <w:szCs w:val="26"/>
          <w14:textFill>
            <w14:solidFill>
              <w14:schemeClr w14:val="tx1"/>
            </w14:solidFill>
          </w14:textFill>
        </w:rPr>
        <w:t>09</w:t>
      </w:r>
      <w:r>
        <w:rPr>
          <w:color w:val="000000" w:themeColor="text1"/>
          <w:spacing w:val="-6"/>
          <w:sz w:val="26"/>
          <w:szCs w:val="26"/>
          <w:lang w:val="vi-VN"/>
          <w14:textFill>
            <w14:solidFill>
              <w14:schemeClr w14:val="tx1"/>
            </w14:solidFill>
          </w14:textFill>
        </w:rPr>
        <w:t xml:space="preserve"> tháng 1 năm 202</w:t>
      </w:r>
      <w:r>
        <w:rPr>
          <w:color w:val="000000" w:themeColor="text1"/>
          <w:spacing w:val="-6"/>
          <w:sz w:val="26"/>
          <w:szCs w:val="26"/>
          <w14:textFill>
            <w14:solidFill>
              <w14:schemeClr w14:val="tx1"/>
            </w14:solidFill>
          </w14:textFill>
        </w:rPr>
        <w:t>5</w:t>
      </w:r>
      <w:r>
        <w:rPr>
          <w:color w:val="000000" w:themeColor="text1"/>
          <w:spacing w:val="-6"/>
          <w:sz w:val="26"/>
          <w:szCs w:val="26"/>
          <w:lang w:val="vi-VN"/>
          <w14:textFill>
            <w14:solidFill>
              <w14:schemeClr w14:val="tx1"/>
            </w14:solidFill>
          </w14:textFill>
        </w:rPr>
        <w:t xml:space="preserve"> của UBND tỉnh Lạng Sơn </w:t>
      </w:r>
      <w:r>
        <w:rPr>
          <w:color w:val="000000" w:themeColor="text1"/>
          <w:spacing w:val="-6"/>
          <w:sz w:val="26"/>
          <w:szCs w:val="26"/>
          <w14:textFill>
            <w14:solidFill>
              <w14:schemeClr w14:val="tx1"/>
            </w14:solidFill>
          </w14:textFill>
        </w:rPr>
        <w:t>về việc Giao đất cho Liên danh Công ty Cổ phần Đầu tư xây dựng hạ tầng Chi Lăng và Công ty Cổ phần Tập đoàn BGI tại dự án Khu đô thị phía Đông Nam, thị trấn Đồng Mỏ. Công ty cổ phần dịch vụ tư vấn và Thẩm định giá Việt Nam tiến hành khảo sát thị trường bất động sản, kết quả đấu giá QSD đất ở, mức giá đất được phê duyệt của các KDC, KĐT; giao dịch chuyển nhượng trên địa bàn từ thời điểm tháng 01/2025 trở về trước làm cơ sở tham chiếu dữ liệu về giá.</w:t>
      </w:r>
    </w:p>
    <w:p w14:paraId="2BACFEF6">
      <w:pPr>
        <w:spacing w:before="120" w:after="120"/>
        <w:ind w:firstLine="567"/>
        <w:jc w:val="both"/>
        <w:rPr>
          <w:b/>
          <w:bCs/>
          <w:lang w:val="vi-VN"/>
        </w:rPr>
      </w:pPr>
      <w:r>
        <w:rPr>
          <w:b/>
          <w:bCs/>
        </w:rPr>
        <w:t xml:space="preserve">a. </w:t>
      </w:r>
      <w:r>
        <w:rPr>
          <w:b/>
          <w:bCs/>
          <w:lang w:val="vi-VN"/>
        </w:rPr>
        <w:t xml:space="preserve">Qua khảo sát tình hình đấu giá trên địa bàn </w:t>
      </w:r>
      <w:r>
        <w:rPr>
          <w:b/>
          <w:bCs/>
        </w:rPr>
        <w:t>huyện Chi Lăng</w:t>
      </w:r>
      <w:r>
        <w:rPr>
          <w:b/>
          <w:bCs/>
          <w:lang w:val="vi-VN"/>
        </w:rPr>
        <w:t>, Công ty VCVS thu thập được một số thông tin như sau:</w:t>
      </w:r>
    </w:p>
    <w:p w14:paraId="0A27411D">
      <w:pPr>
        <w:spacing w:before="120" w:after="120" w:line="34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xml:space="preserve">Tháng 11/2023 UBND huyện Chi Lăng tổ chức đấu giá thành công 24/27 thửa đất tại khu dân cư thôn Nà Sèn, xã Mai Sao, huyện Chi Lăng. Qua khảo sát thực tế, khu dân cư thôn Nà Sèn thuộc làn 2 đường tỉnh 234B, cách UBND xã, trung tâm Mai Sao khoảng 1,4km. Nằm trong khu vực dân cư thưa thớt, gần ban chỉ quy quân sự huyện Chi Lăng, gần mỏ khai thác đá, phía sau lưng sát núi đá. Mức trúng đấu giá bình quân  2.189.088 đồng/m2. Cách tài sản thẩm định khoảng 4,5km. </w:t>
      </w:r>
    </w:p>
    <w:p w14:paraId="4BC768B1">
      <w:pPr>
        <w:spacing w:before="120" w:after="120"/>
        <w:ind w:firstLine="567"/>
        <w:jc w:val="both"/>
        <w:rPr>
          <w:spacing w:val="-2"/>
        </w:rPr>
      </w:pPr>
      <w:r>
        <w:rPr>
          <w:rFonts w:eastAsia="Calibri"/>
          <w:spacing w:val="-2"/>
          <w:sz w:val="26"/>
          <w:szCs w:val="26"/>
          <w:lang w:val="vi-VN"/>
        </w:rPr>
        <w:tab/>
      </w:r>
      <w:r>
        <w:rPr>
          <w:rFonts w:eastAsia="Calibri"/>
          <w:spacing w:val="-2"/>
          <w:sz w:val="26"/>
          <w:szCs w:val="26"/>
          <w:lang w:val="vi-VN"/>
        </w:rPr>
        <w:t xml:space="preserve">=&gt; </w:t>
      </w:r>
      <w:r>
        <w:rPr>
          <w:spacing w:val="-2"/>
          <w:sz w:val="27"/>
          <w:szCs w:val="27"/>
          <w:lang w:val="vi-VN"/>
        </w:rPr>
        <w:t xml:space="preserve">Thông qua kết quả các cuộc đấu giá trên địa bàn </w:t>
      </w:r>
      <w:r>
        <w:rPr>
          <w:spacing w:val="-2"/>
          <w:sz w:val="27"/>
          <w:szCs w:val="27"/>
        </w:rPr>
        <w:t>huyện Chi Lăng, năm 2023 chỉ tổ chức đấu giá thành công khu dân cư thôn Nà Sèn, xã Mai Sao và 2024 không có cuộc đấu giá QSD đất ở nào được tổ chức thành công</w:t>
      </w:r>
      <w:r>
        <w:rPr>
          <w:spacing w:val="-2"/>
          <w:sz w:val="27"/>
          <w:szCs w:val="27"/>
          <w:lang w:val="vi-VN"/>
        </w:rPr>
        <w:t>.</w:t>
      </w:r>
      <w:r>
        <w:rPr>
          <w:spacing w:val="-2"/>
          <w:sz w:val="27"/>
          <w:szCs w:val="27"/>
        </w:rPr>
        <w:t xml:space="preserve"> Do đó việc tham chiếu cơ sở giá thị trường thông gia tình hình đấu giá gặp khó khăn và thiếu thông tin.</w:t>
      </w:r>
    </w:p>
    <w:p w14:paraId="2A2A4098">
      <w:pPr>
        <w:spacing w:before="120" w:after="120" w:line="340" w:lineRule="exact"/>
        <w:ind w:firstLine="567"/>
        <w:jc w:val="both"/>
        <w:rPr>
          <w:rFonts w:ascii="Times New Roman Bold" w:hAnsi="Times New Roman Bold"/>
          <w:b/>
          <w:bCs/>
          <w:spacing w:val="-4"/>
          <w:sz w:val="26"/>
          <w:szCs w:val="26"/>
          <w:lang w:val="da-DK"/>
        </w:rPr>
      </w:pPr>
      <w:r>
        <w:rPr>
          <w:rFonts w:ascii="Times New Roman Bold" w:hAnsi="Times New Roman Bold"/>
          <w:b/>
          <w:bCs/>
          <w:spacing w:val="-4"/>
          <w:sz w:val="26"/>
          <w:szCs w:val="26"/>
        </w:rPr>
        <w:t xml:space="preserve">b. </w:t>
      </w:r>
      <w:r>
        <w:rPr>
          <w:rFonts w:ascii="Times New Roman Bold" w:hAnsi="Times New Roman Bold"/>
          <w:b/>
          <w:bCs/>
          <w:spacing w:val="-4"/>
          <w:sz w:val="26"/>
          <w:szCs w:val="26"/>
          <w:lang w:val="vi-VN"/>
        </w:rPr>
        <w:t xml:space="preserve">Căn cứ quy định tại Nghị định số </w:t>
      </w:r>
      <w:r>
        <w:rPr>
          <w:rFonts w:ascii="Times New Roman Bold" w:hAnsi="Times New Roman Bold"/>
          <w:b/>
          <w:bCs/>
          <w:spacing w:val="-4"/>
          <w:sz w:val="26"/>
          <w:szCs w:val="26"/>
          <w:lang w:val="da-DK"/>
        </w:rPr>
        <w:t>71</w:t>
      </w:r>
      <w:r>
        <w:rPr>
          <w:rFonts w:ascii="Times New Roman Bold" w:hAnsi="Times New Roman Bold"/>
          <w:b/>
          <w:bCs/>
          <w:spacing w:val="-4"/>
          <w:sz w:val="26"/>
          <w:szCs w:val="26"/>
          <w:lang w:val="vi-VN"/>
        </w:rPr>
        <w:t xml:space="preserve">/2024/NĐ-CP ngày </w:t>
      </w:r>
      <w:r>
        <w:rPr>
          <w:rFonts w:ascii="Times New Roman Bold" w:hAnsi="Times New Roman Bold"/>
          <w:b/>
          <w:bCs/>
          <w:spacing w:val="-4"/>
          <w:sz w:val="26"/>
          <w:szCs w:val="26"/>
          <w:lang w:val="da-DK"/>
        </w:rPr>
        <w:t>27</w:t>
      </w:r>
      <w:r>
        <w:rPr>
          <w:rFonts w:ascii="Times New Roman Bold" w:hAnsi="Times New Roman Bold"/>
          <w:b/>
          <w:bCs/>
          <w:spacing w:val="-4"/>
          <w:sz w:val="26"/>
          <w:szCs w:val="26"/>
          <w:lang w:val="vi-VN"/>
        </w:rPr>
        <w:t>/0</w:t>
      </w:r>
      <w:r>
        <w:rPr>
          <w:rFonts w:ascii="Times New Roman Bold" w:hAnsi="Times New Roman Bold"/>
          <w:b/>
          <w:bCs/>
          <w:spacing w:val="-4"/>
          <w:sz w:val="26"/>
          <w:szCs w:val="26"/>
          <w:lang w:val="da-DK"/>
        </w:rPr>
        <w:t>6</w:t>
      </w:r>
      <w:r>
        <w:rPr>
          <w:rFonts w:ascii="Times New Roman Bold" w:hAnsi="Times New Roman Bold"/>
          <w:b/>
          <w:bCs/>
          <w:spacing w:val="-4"/>
          <w:sz w:val="26"/>
          <w:szCs w:val="26"/>
          <w:lang w:val="vi-VN"/>
        </w:rPr>
        <w:t>/2024 của Chính Phủ</w:t>
      </w:r>
      <w:r>
        <w:rPr>
          <w:rFonts w:ascii="Times New Roman Bold" w:hAnsi="Times New Roman Bold"/>
          <w:b/>
          <w:bCs/>
          <w:spacing w:val="-4"/>
          <w:sz w:val="26"/>
          <w:szCs w:val="26"/>
          <w:lang w:val="da-DK"/>
        </w:rPr>
        <w:t xml:space="preserve">, </w:t>
      </w:r>
      <w:r>
        <w:rPr>
          <w:rFonts w:ascii="Times New Roman Bold" w:hAnsi="Times New Roman Bold"/>
          <w:b/>
          <w:bCs/>
          <w:spacing w:val="-4"/>
          <w:sz w:val="26"/>
          <w:szCs w:val="26"/>
          <w:lang w:val="vi-VN"/>
        </w:rPr>
        <w:t xml:space="preserve">Công ty </w:t>
      </w:r>
      <w:r>
        <w:rPr>
          <w:rFonts w:ascii="Times New Roman Bold" w:hAnsi="Times New Roman Bold"/>
          <w:b/>
          <w:bCs/>
          <w:spacing w:val="-4"/>
          <w:sz w:val="26"/>
          <w:szCs w:val="26"/>
          <w:lang w:val="da-DK"/>
        </w:rPr>
        <w:t xml:space="preserve">CP dịch vụ Tư vấn và Thẩm định giá Việt Nam ban hành công văn số  0303.01/2025/VCVS-CV ngày 03/03/2025 gửi Sở Nông nghiệp và Môi trường tỉnh Lạng Sơn V/v đề nghị cung cấp tài liệu phục vụ công tác định giá đất. Sở Nông nghiệp và Môi trường tỉnh Lạng Sơn gửi công văn số 810/SNNMT-KHTC ngày 18/04/2025 tới chi nhánh VPĐK đất đai huyện Chi Lăng. </w:t>
      </w:r>
    </w:p>
    <w:p w14:paraId="4E20E67F">
      <w:pPr>
        <w:spacing w:before="120" w:after="120" w:line="340" w:lineRule="exact"/>
        <w:ind w:firstLine="567"/>
        <w:jc w:val="both"/>
        <w:rPr>
          <w:rFonts w:ascii="Times New Roman Bold" w:hAnsi="Times New Roman Bold"/>
          <w:b/>
          <w:bCs/>
          <w:spacing w:val="-4"/>
          <w:sz w:val="26"/>
          <w:szCs w:val="26"/>
          <w:lang w:val="da-DK"/>
        </w:rPr>
      </w:pPr>
      <w:r>
        <w:rPr>
          <w:rFonts w:ascii="Times New Roman Bold" w:hAnsi="Times New Roman Bold"/>
          <w:b/>
          <w:bCs/>
          <w:spacing w:val="-4"/>
          <w:sz w:val="26"/>
          <w:szCs w:val="26"/>
          <w:lang w:val="da-DK"/>
        </w:rPr>
        <w:t xml:space="preserve">Tại công văn số 115/CNVPĐKĐĐCL ngày 21/04/2025 chi nhánh VPĐK đất đai huyện Chi Lăng đã cung cấp các hợp đồng giao dịch chuyển nhượng đất ở trên địa bàn </w:t>
      </w:r>
      <w:r>
        <w:rPr>
          <w:rFonts w:ascii="Times New Roman Bold" w:hAnsi="Times New Roman Bold"/>
          <w:b/>
          <w:bCs/>
          <w:spacing w:val="-4"/>
          <w:sz w:val="26"/>
          <w:szCs w:val="26"/>
        </w:rPr>
        <w:t xml:space="preserve">thị trấn Đồng Mỏ </w:t>
      </w:r>
      <w:r>
        <w:rPr>
          <w:rFonts w:ascii="Times New Roman Bold" w:hAnsi="Times New Roman Bold"/>
          <w:b/>
          <w:bCs/>
          <w:spacing w:val="-4"/>
          <w:sz w:val="26"/>
          <w:szCs w:val="26"/>
          <w:lang w:val="da-DK"/>
        </w:rPr>
        <w:t>và khu vực lân cận, thu thập được một số hợp đồng giao dịch cụ thể như sau:</w:t>
      </w:r>
    </w:p>
    <w:tbl>
      <w:tblPr>
        <w:tblStyle w:val="564"/>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264"/>
        <w:gridCol w:w="6668"/>
      </w:tblGrid>
      <w:tr w14:paraId="7EAE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9DFE89C">
            <w:pPr>
              <w:spacing w:before="120"/>
              <w:jc w:val="center"/>
              <w:rPr>
                <w:rFonts w:ascii="Times New Roman" w:hAnsi="Times New Roman" w:eastAsia="Arial"/>
                <w:b/>
                <w:shd w:val="clear" w:color="auto" w:fill="FFFFFF"/>
                <w:lang w:val="vi-VN"/>
              </w:rPr>
            </w:pPr>
            <w:r>
              <w:rPr>
                <w:rFonts w:ascii="Times New Roman" w:hAnsi="Times New Roman" w:eastAsia="Arial"/>
                <w:b/>
                <w:shd w:val="clear" w:color="auto" w:fill="FFFFFF"/>
                <w:lang w:val="vi-VN"/>
              </w:rPr>
              <w:t>STT</w:t>
            </w:r>
          </w:p>
        </w:tc>
        <w:tc>
          <w:tcPr>
            <w:tcW w:w="2264" w:type="dxa"/>
          </w:tcPr>
          <w:p w14:paraId="2DEB8090">
            <w:pPr>
              <w:spacing w:before="120"/>
              <w:jc w:val="center"/>
              <w:rPr>
                <w:rFonts w:ascii="Times New Roman" w:hAnsi="Times New Roman" w:eastAsia="Arial"/>
                <w:b/>
                <w:shd w:val="clear" w:color="auto" w:fill="FFFFFF"/>
                <w:lang w:val="vi-VN"/>
              </w:rPr>
            </w:pPr>
            <w:r>
              <w:rPr>
                <w:rFonts w:ascii="Times New Roman" w:hAnsi="Times New Roman" w:eastAsia="Arial"/>
                <w:b/>
                <w:shd w:val="clear" w:color="auto" w:fill="FFFFFF"/>
                <w:lang w:val="vi-VN"/>
              </w:rPr>
              <w:t>TÊN</w:t>
            </w:r>
          </w:p>
        </w:tc>
        <w:tc>
          <w:tcPr>
            <w:tcW w:w="6668" w:type="dxa"/>
          </w:tcPr>
          <w:p w14:paraId="3EAFF0A0">
            <w:pPr>
              <w:spacing w:before="120"/>
              <w:jc w:val="center"/>
              <w:rPr>
                <w:rFonts w:ascii="Times New Roman" w:hAnsi="Times New Roman" w:eastAsia="Arial"/>
                <w:b/>
                <w:shd w:val="clear" w:color="auto" w:fill="FFFFFF"/>
                <w:lang w:val="vi-VN"/>
              </w:rPr>
            </w:pPr>
            <w:r>
              <w:rPr>
                <w:rFonts w:ascii="Times New Roman" w:hAnsi="Times New Roman" w:eastAsia="Arial"/>
                <w:b/>
                <w:shd w:val="clear" w:color="auto" w:fill="FFFFFF"/>
                <w:lang w:val="vi-VN"/>
              </w:rPr>
              <w:t>THÔNG TIN</w:t>
            </w:r>
          </w:p>
        </w:tc>
      </w:tr>
      <w:tr w14:paraId="0461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9F5FAE4">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w:t>
            </w:r>
          </w:p>
        </w:tc>
        <w:tc>
          <w:tcPr>
            <w:tcW w:w="2264" w:type="dxa"/>
          </w:tcPr>
          <w:p w14:paraId="0CA6B13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Vũ Ngọc Quỳnh - Lý Văn Phó</w:t>
            </w:r>
          </w:p>
        </w:tc>
        <w:tc>
          <w:tcPr>
            <w:tcW w:w="6668" w:type="dxa"/>
          </w:tcPr>
          <w:p w14:paraId="71E8F07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Thửa đất số 171, </w:t>
            </w:r>
          </w:p>
          <w:p w14:paraId="105D86C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Tờ bản đồ số 72, </w:t>
            </w:r>
          </w:p>
          <w:p w14:paraId="6F095FA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Diện tích đất 748,0 m2, trong đó diện tích đất ở tại đô thị là 547,0m2; diện tích đất chuyên trồng lúa nước là 201,0 m2), thời điểm giao dịch tháng 11/2024, </w:t>
            </w:r>
          </w:p>
          <w:p w14:paraId="55A698AD">
            <w:pPr>
              <w:spacing w:before="120"/>
              <w:jc w:val="both"/>
              <w:rPr>
                <w:rFonts w:ascii="Times New Roman" w:hAnsi="Times New Roman" w:eastAsia="Arial"/>
                <w:i/>
                <w:shd w:val="clear" w:color="auto" w:fill="FFFFFF"/>
                <w:lang w:val="vi-VN"/>
              </w:rPr>
            </w:pPr>
            <w:r>
              <w:rPr>
                <w:rFonts w:ascii="Times New Roman" w:hAnsi="Times New Roman" w:eastAsia="Arial"/>
                <w:shd w:val="clear" w:color="auto" w:fill="FFFFFF"/>
                <w:lang w:val="vi-VN"/>
              </w:rPr>
              <w:t xml:space="preserve">Vị trí thửa đất (tại thời điểm chuyển nhượng) </w:t>
            </w:r>
            <w:r>
              <w:rPr>
                <w:rFonts w:ascii="Times New Roman" w:hAnsi="Times New Roman" w:eastAsia="Arial"/>
                <w:i/>
                <w:shd w:val="clear" w:color="auto" w:fill="FFFFFF"/>
                <w:lang w:val="vi-VN"/>
              </w:rPr>
              <w:t xml:space="preserve">ko có phiếu chuyển thông tin </w:t>
            </w:r>
          </w:p>
          <w:p w14:paraId="733C01FB">
            <w:pPr>
              <w:spacing w:before="120"/>
              <w:jc w:val="both"/>
              <w:rPr>
                <w:rFonts w:ascii="Times New Roman" w:hAnsi="Times New Roman" w:eastAsia="Arial"/>
                <w:shd w:val="clear" w:color="auto" w:fill="FFFFFF"/>
                <w:lang w:val="vi-VN"/>
              </w:rPr>
            </w:pP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 Giá trị chuyển nhượng thửa đất thực tế là 800.000.000 đồng/BĐS.</w:t>
            </w:r>
          </w:p>
          <w:p w14:paraId="6024F1EB">
            <w:pPr>
              <w:spacing w:before="120"/>
              <w:jc w:val="both"/>
              <w:rPr>
                <w:rFonts w:ascii="Times New Roman" w:hAnsi="Times New Roman" w:eastAsia="Arial"/>
                <w:shd w:val="clear" w:color="auto" w:fill="FFFFFF"/>
                <w:lang w:val="vi-VN"/>
              </w:rPr>
            </w:pPr>
          </w:p>
        </w:tc>
      </w:tr>
      <w:tr w14:paraId="3C76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1863DB4">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2</w:t>
            </w:r>
          </w:p>
        </w:tc>
        <w:tc>
          <w:tcPr>
            <w:tcW w:w="2264" w:type="dxa"/>
          </w:tcPr>
          <w:p w14:paraId="05F9E46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Vi Văn Hưng – Vi Văn Sơn</w:t>
            </w:r>
          </w:p>
        </w:tc>
        <w:tc>
          <w:tcPr>
            <w:tcW w:w="6668" w:type="dxa"/>
          </w:tcPr>
          <w:p w14:paraId="5EBC1E3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1284</w:t>
            </w:r>
          </w:p>
          <w:p w14:paraId="71E09CF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Tờ bản đồ số 03 </w:t>
            </w:r>
          </w:p>
          <w:p w14:paraId="50F2A046">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rừng sản xuất 1759,8 m2</w:t>
            </w:r>
          </w:p>
          <w:p w14:paraId="06FB70AE">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2/2023</w:t>
            </w:r>
          </w:p>
          <w:p w14:paraId="771E6F1E">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Vị trí thửa đất (tại thời điểm chuyển nhượng) thuộc vị trí 1,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 xml:space="preserve">. </w:t>
            </w:r>
          </w:p>
          <w:p w14:paraId="6599BCA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9.000 đồng/m2 (15.838.200 đồng/BDS)</w:t>
            </w:r>
          </w:p>
          <w:p w14:paraId="55E7E62E">
            <w:pPr>
              <w:spacing w:before="120"/>
              <w:jc w:val="both"/>
              <w:rPr>
                <w:rFonts w:ascii="Times New Roman" w:hAnsi="Times New Roman" w:eastAsia="Arial"/>
                <w:color w:val="000000"/>
                <w:spacing w:val="3"/>
                <w:shd w:val="clear" w:color="auto" w:fill="FFFFFF"/>
                <w:lang w:val="vi-VN"/>
              </w:rPr>
            </w:pPr>
            <w:r>
              <w:rPr>
                <w:rFonts w:ascii="Times New Roman" w:hAnsi="Times New Roman" w:eastAsia="Arial"/>
                <w:shd w:val="clear" w:color="auto" w:fill="FFFFFF"/>
                <w:lang w:val="vi-VN"/>
              </w:rPr>
              <w:t>Giá trị chuyển nhượng thửa đất thực tế là 0</w:t>
            </w:r>
          </w:p>
        </w:tc>
      </w:tr>
      <w:tr w14:paraId="3278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0C57602">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3</w:t>
            </w:r>
          </w:p>
        </w:tc>
        <w:tc>
          <w:tcPr>
            <w:tcW w:w="2264" w:type="dxa"/>
          </w:tcPr>
          <w:p w14:paraId="524D009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Dương Trường Giang</w:t>
            </w:r>
          </w:p>
        </w:tc>
        <w:tc>
          <w:tcPr>
            <w:tcW w:w="6668" w:type="dxa"/>
          </w:tcPr>
          <w:p w14:paraId="6F1CA73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38</w:t>
            </w:r>
          </w:p>
          <w:p w14:paraId="3947438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73</w:t>
            </w:r>
          </w:p>
          <w:p w14:paraId="7DF5FFA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Diện tích thửa đất 339,0 m2, trong đó diện tích đất ở 290,0 m2, diện tích đất trồng cây hàng năm là 49,0m2. </w:t>
            </w:r>
          </w:p>
          <w:p w14:paraId="615EC98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Thời điểm giao dịch tháng 8/2024, vị trí thửa đất (tại thời điểm chuyển nhượng): 35,4m2 đất ở thuộc vị trí 2, 254,6m2 đất ở thuộc vị trí 1, 49m2 đất trồng cây hàng năm thuộc vị trí 1, Quốc lộ 1 đoạn từ Km51+630 (đường rẽ vào đình Làng Mỏ bên trái tuyến Quốc lộ 1 chiều từ Lạng Sơn hướng đi Hà Nội).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0C65D15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đất ở vị trí 1 1.900.000 đồng/m2; đất ở vị trí 2 1.140.000 đồng/m2; đất trồng cây hàng năm vị trí 1 54.000 đồng/m2 (526.742.000 đồng/BDS)</w:t>
            </w:r>
          </w:p>
          <w:p w14:paraId="391D41F6">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là 0</w:t>
            </w:r>
          </w:p>
        </w:tc>
      </w:tr>
      <w:tr w14:paraId="0595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D1B08BC">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4</w:t>
            </w:r>
          </w:p>
        </w:tc>
        <w:tc>
          <w:tcPr>
            <w:tcW w:w="2264" w:type="dxa"/>
          </w:tcPr>
          <w:p w14:paraId="212B010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Nông Thị Bích Phương – Chu Hồng Xiêm</w:t>
            </w:r>
          </w:p>
        </w:tc>
        <w:tc>
          <w:tcPr>
            <w:tcW w:w="6668" w:type="dxa"/>
          </w:tcPr>
          <w:p w14:paraId="09D2E5C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400, 401</w:t>
            </w:r>
          </w:p>
          <w:p w14:paraId="7AC699C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83</w:t>
            </w:r>
          </w:p>
          <w:p w14:paraId="30072D6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500m2, diện tích đất trồng cây hàng năm: 1196,6m2</w:t>
            </w:r>
          </w:p>
          <w:p w14:paraId="1E64CF4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Thời điểm giao dịch tháng 7/2024, vị tri thửa đất (tại thời điểm chuyển nhượng): vị trí 1 HNK 1196,6m2, nhóm vị trí 2 ODT 500m2 </w:t>
            </w:r>
          </w:p>
          <w:p w14:paraId="1C6FFBD5">
            <w:pPr>
              <w:spacing w:before="120"/>
              <w:jc w:val="both"/>
              <w:rPr>
                <w:rFonts w:ascii="Times New Roman" w:hAnsi="Times New Roman" w:eastAsia="Arial"/>
                <w:shd w:val="clear" w:color="auto" w:fill="FFFFFF"/>
                <w:lang w:val="vi-VN"/>
              </w:rPr>
            </w:pP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 xml:space="preserve">. </w:t>
            </w:r>
          </w:p>
          <w:p w14:paraId="0F1CE09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nhóm vị trí 2: 175.000 đồng/m2, vị trí 1: 54.000 đồng/m2 (152.116.400 đồng/BDS)</w:t>
            </w:r>
          </w:p>
          <w:p w14:paraId="61E0BBE6">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là 0</w:t>
            </w:r>
          </w:p>
        </w:tc>
      </w:tr>
      <w:tr w14:paraId="3CE8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A97AB92">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5</w:t>
            </w:r>
          </w:p>
        </w:tc>
        <w:tc>
          <w:tcPr>
            <w:tcW w:w="2264" w:type="dxa"/>
          </w:tcPr>
          <w:p w14:paraId="379DCDBE">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Phan Huy Thạch – Nông Đại Đức</w:t>
            </w:r>
          </w:p>
        </w:tc>
        <w:tc>
          <w:tcPr>
            <w:tcW w:w="6668" w:type="dxa"/>
          </w:tcPr>
          <w:p w14:paraId="3BEAB35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80</w:t>
            </w:r>
          </w:p>
          <w:p w14:paraId="35EFB93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24d</w:t>
            </w:r>
          </w:p>
          <w:p w14:paraId="48A2842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379,3m2</w:t>
            </w:r>
          </w:p>
          <w:p w14:paraId="1DB46C9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7/2024</w:t>
            </w:r>
          </w:p>
          <w:p w14:paraId="2DB78F7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3</w:t>
            </w:r>
          </w:p>
          <w:p w14:paraId="76078631">
            <w:pPr>
              <w:spacing w:before="120"/>
              <w:jc w:val="both"/>
              <w:rPr>
                <w:rFonts w:ascii="Times New Roman" w:hAnsi="Times New Roman" w:eastAsia="Arial"/>
                <w:shd w:val="clear" w:color="auto" w:fill="FFFFFF"/>
                <w:lang w:val="vi-VN"/>
              </w:rPr>
            </w:pPr>
            <w:r>
              <w:rPr>
                <w:rFonts w:ascii="Times New Roman" w:hAnsi="Times New Roman"/>
                <w:lang w:val="vi-VN" w:eastAsia="vi-VN"/>
              </w:rPr>
              <w:t>Thị trấn Đồng Mỏ, đường Lê Lợi: từ tường rào phía bắc nhà số 383 (trụ sở phòng Giáo dục và Đào tạo huyện Chi Lăng) đến tường rào phía Bắc nhà số 466</w:t>
            </w:r>
            <w:r>
              <w:rPr>
                <w:rFonts w:ascii="Times New Roman" w:hAnsi="Times New Roman" w:eastAsia="Arial"/>
                <w:shd w:val="clear" w:color="auto" w:fill="FFFFFF"/>
                <w:lang w:val="vi-VN"/>
              </w:rPr>
              <w:t xml:space="preserve">. </w:t>
            </w:r>
            <w:r>
              <w:rPr>
                <w:rFonts w:ascii="Times New Roman" w:hAnsi="Times New Roman"/>
                <w:lang w:val="vi-VN" w:eastAsia="vi-VN"/>
              </w:rPr>
              <w:t>Khu Hòa Bình 2, thị trấn Đồng Mỏ, huyện Chi Lăng, tỉnh Lạng Sơn</w:t>
            </w:r>
            <w:r>
              <w:rPr>
                <w:rFonts w:ascii="Times New Roman" w:hAnsi="Times New Roman" w:eastAsia="Arial"/>
                <w:shd w:val="clear" w:color="auto" w:fill="FFFFFF"/>
                <w:lang w:val="vi-VN"/>
              </w:rPr>
              <w:t xml:space="preserve">. </w:t>
            </w:r>
          </w:p>
          <w:p w14:paraId="19B40E5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1.400.000 đồng/m2 (531.020.000 đồng)</w:t>
            </w:r>
          </w:p>
          <w:p w14:paraId="2B9637D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là 0 đồng</w:t>
            </w:r>
          </w:p>
        </w:tc>
      </w:tr>
      <w:tr w14:paraId="34B7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4D8BBE8">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6</w:t>
            </w:r>
          </w:p>
        </w:tc>
        <w:tc>
          <w:tcPr>
            <w:tcW w:w="2264" w:type="dxa"/>
          </w:tcPr>
          <w:p w14:paraId="49AD9EE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Phan Huy Thạch – Vi Quốc Toản</w:t>
            </w:r>
          </w:p>
        </w:tc>
        <w:tc>
          <w:tcPr>
            <w:tcW w:w="6668" w:type="dxa"/>
          </w:tcPr>
          <w:p w14:paraId="24B4F14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189</w:t>
            </w:r>
          </w:p>
          <w:p w14:paraId="4C99454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24d</w:t>
            </w:r>
          </w:p>
          <w:p w14:paraId="2F04754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143,7 m2</w:t>
            </w:r>
          </w:p>
          <w:p w14:paraId="5913607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7/2024</w:t>
            </w:r>
          </w:p>
          <w:p w14:paraId="57684F8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1: 97.9m2; vị trí 2: 45.8m2</w:t>
            </w:r>
          </w:p>
          <w:p w14:paraId="57BFE4E1">
            <w:pPr>
              <w:spacing w:before="120"/>
              <w:jc w:val="both"/>
              <w:rPr>
                <w:rFonts w:ascii="Times New Roman" w:hAnsi="Times New Roman" w:eastAsia="Arial"/>
                <w:shd w:val="clear" w:color="auto" w:fill="FFFFFF"/>
                <w:lang w:val="vi-VN"/>
              </w:rPr>
            </w:pPr>
            <w:r>
              <w:rPr>
                <w:rFonts w:ascii="Times New Roman" w:hAnsi="Times New Roman"/>
                <w:lang w:val="vi-VN" w:eastAsia="vi-VN"/>
              </w:rPr>
              <w:t>Thị trấn Đồng Mỏ, đường Lê Lợi: từ tường rào phía bắc nhà số 383 (trụ sở phòng Giáo dục và Đào tạo huyện Chi Lăng) đến tường rào phía Bắc nhà số 466</w:t>
            </w:r>
            <w:r>
              <w:rPr>
                <w:rFonts w:ascii="Times New Roman" w:hAnsi="Times New Roman" w:eastAsia="Arial"/>
                <w:shd w:val="clear" w:color="auto" w:fill="FFFFFF"/>
                <w:lang w:val="vi-VN"/>
              </w:rPr>
              <w:t xml:space="preserve">. Khu Hòa Bình 2, </w:t>
            </w:r>
            <w:r>
              <w:rPr>
                <w:rFonts w:ascii="Times New Roman" w:hAnsi="Times New Roman"/>
                <w:lang w:val="vi-VN" w:eastAsia="vi-VN"/>
              </w:rPr>
              <w:t>thị trấn Đồng Mỏ, huyện Chi Lăng, tỉnh Lạng Sơn</w:t>
            </w:r>
            <w:r>
              <w:rPr>
                <w:rFonts w:ascii="Times New Roman" w:hAnsi="Times New Roman" w:eastAsia="Arial"/>
                <w:shd w:val="clear" w:color="auto" w:fill="FFFFFF"/>
                <w:lang w:val="vi-VN"/>
              </w:rPr>
              <w:t>.</w:t>
            </w:r>
          </w:p>
          <w:p w14:paraId="77BC68B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438.830.000 đồng (vị trí 1: 3.500.000 đồng/m2; vị trí 2: 2.100.000 đồng/m2)</w:t>
            </w:r>
          </w:p>
          <w:p w14:paraId="120A6B0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 đồng</w:t>
            </w:r>
          </w:p>
        </w:tc>
      </w:tr>
      <w:tr w14:paraId="14BD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FB80003">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7</w:t>
            </w:r>
          </w:p>
        </w:tc>
        <w:tc>
          <w:tcPr>
            <w:tcW w:w="2264" w:type="dxa"/>
          </w:tcPr>
          <w:p w14:paraId="20E51E0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Trần Việt Anh – Lê Đình Hậu</w:t>
            </w:r>
          </w:p>
        </w:tc>
        <w:tc>
          <w:tcPr>
            <w:tcW w:w="6668" w:type="dxa"/>
          </w:tcPr>
          <w:p w14:paraId="10BDA91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290</w:t>
            </w:r>
          </w:p>
          <w:p w14:paraId="570CBA2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72</w:t>
            </w:r>
          </w:p>
          <w:p w14:paraId="1E4F8D5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thửa đất: 697.6m2 (đất ở: 428.7m2; đất trồng cây hàng năm khác: 268.9m2)</w:t>
            </w:r>
          </w:p>
          <w:p w14:paraId="6CED3A0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7/2024</w:t>
            </w:r>
          </w:p>
          <w:p w14:paraId="63D759E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3</w:t>
            </w:r>
          </w:p>
          <w:p w14:paraId="57A10ACC">
            <w:pPr>
              <w:spacing w:before="120"/>
              <w:jc w:val="both"/>
              <w:rPr>
                <w:rFonts w:ascii="Times New Roman" w:hAnsi="Times New Roman" w:eastAsia="Arial"/>
                <w:shd w:val="clear" w:color="auto" w:fill="FFFFFF"/>
                <w:lang w:val="vi-VN"/>
              </w:rPr>
            </w:pPr>
            <w:r>
              <w:rPr>
                <w:rFonts w:ascii="Times New Roman" w:hAnsi="Times New Roman"/>
                <w:lang w:val="vi-VN" w:eastAsia="vi-VN"/>
              </w:rPr>
              <w:t>Thị trấn Đồng Mỏ, Quốc lộ 1, đoạn 5: Từ Km52+630 (đường rẽ vào đình Làng Mỏ</w:t>
            </w:r>
            <w:r>
              <w:rPr>
                <w:rFonts w:ascii="Times New Roman" w:hAnsi="Times New Roman" w:eastAsia="Arial"/>
                <w:shd w:val="clear" w:color="auto" w:fill="FFFFFF"/>
                <w:lang w:val="vi-VN"/>
              </w:rPr>
              <w:t xml:space="preserve"> bên trái tuyến Quốc lộ 1 chiều từ Lạng Sơn hướng đi Hà Nội) đến ngã tư Than Muội.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 xml:space="preserve">. </w:t>
            </w:r>
          </w:p>
          <w:p w14:paraId="5828151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là 716.743 đồng/m2 (500.000.000 đồng/ BDS)</w:t>
            </w:r>
          </w:p>
        </w:tc>
      </w:tr>
      <w:tr w14:paraId="541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3023348">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8</w:t>
            </w:r>
          </w:p>
        </w:tc>
        <w:tc>
          <w:tcPr>
            <w:tcW w:w="2264" w:type="dxa"/>
          </w:tcPr>
          <w:p w14:paraId="76761C9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Vi Quốc Toản – Trần Tuấn Anh</w:t>
            </w:r>
          </w:p>
        </w:tc>
        <w:tc>
          <w:tcPr>
            <w:tcW w:w="6668" w:type="dxa"/>
          </w:tcPr>
          <w:p w14:paraId="2C34632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189</w:t>
            </w:r>
          </w:p>
          <w:p w14:paraId="70CC273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24d</w:t>
            </w:r>
          </w:p>
          <w:p w14:paraId="6309E36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143,7 m2</w:t>
            </w:r>
          </w:p>
          <w:p w14:paraId="0D654EF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7/2024</w:t>
            </w:r>
          </w:p>
          <w:p w14:paraId="0293393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1: 97.9m2; vị trí 2: 45.8m2</w:t>
            </w:r>
          </w:p>
          <w:p w14:paraId="6505D002">
            <w:pPr>
              <w:spacing w:before="120"/>
              <w:jc w:val="both"/>
              <w:rPr>
                <w:rFonts w:ascii="Times New Roman" w:hAnsi="Times New Roman" w:eastAsia="Arial"/>
                <w:shd w:val="clear" w:color="auto" w:fill="FFFFFF"/>
                <w:lang w:val="vi-VN"/>
              </w:rPr>
            </w:pPr>
            <w:r>
              <w:rPr>
                <w:rFonts w:ascii="Times New Roman" w:hAnsi="Times New Roman"/>
                <w:lang w:val="vi-VN" w:eastAsia="vi-VN"/>
              </w:rPr>
              <w:t>Thị trấn Đồng Mỏ, đường Lê Lợi: từ tường rào phía bắc nhà số 383 (trụ sở phòng Giáo dục và Đào tạo huyện Chi Lăng) đến tường rào phía Bắc nhà số 466</w:t>
            </w:r>
            <w:r>
              <w:rPr>
                <w:rFonts w:ascii="Times New Roman" w:hAnsi="Times New Roman" w:eastAsia="Arial"/>
                <w:shd w:val="clear" w:color="auto" w:fill="FFFFFF"/>
                <w:lang w:val="vi-VN"/>
              </w:rPr>
              <w:t>. Khu Hòa Bình 2, thị trấn Đồng Mỏ, huyện Chi Lăng, tỉnh Lạng Sơn</w:t>
            </w:r>
          </w:p>
          <w:p w14:paraId="2B09DA4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vị trí 1: 3.500.000 đồng/m2; vị trí 2: 2.100.000 đồng/m2 (438.830.000 đồng /BDS)</w:t>
            </w:r>
          </w:p>
          <w:p w14:paraId="3408E3A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 đồng</w:t>
            </w:r>
          </w:p>
        </w:tc>
      </w:tr>
      <w:tr w14:paraId="1AF0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D248195">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9</w:t>
            </w:r>
          </w:p>
        </w:tc>
        <w:tc>
          <w:tcPr>
            <w:tcW w:w="2264" w:type="dxa"/>
          </w:tcPr>
          <w:p w14:paraId="2C8C2B5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Đàm Khắc Hùng – Hoàng Văn Hùng</w:t>
            </w:r>
          </w:p>
        </w:tc>
        <w:tc>
          <w:tcPr>
            <w:tcW w:w="6668" w:type="dxa"/>
          </w:tcPr>
          <w:p w14:paraId="186765F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577</w:t>
            </w:r>
          </w:p>
          <w:p w14:paraId="51BFD23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73</w:t>
            </w:r>
          </w:p>
          <w:p w14:paraId="46F0F3EE">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132 m2</w:t>
            </w:r>
          </w:p>
          <w:p w14:paraId="24CACAC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7/2024</w:t>
            </w:r>
          </w:p>
          <w:p w14:paraId="12D1FB8E">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4</w:t>
            </w:r>
          </w:p>
          <w:p w14:paraId="1CAC2019">
            <w:pPr>
              <w:spacing w:before="120"/>
              <w:jc w:val="both"/>
              <w:rPr>
                <w:rFonts w:ascii="Times New Roman" w:hAnsi="Times New Roman" w:eastAsia="Arial"/>
                <w:shd w:val="clear" w:color="auto" w:fill="FFFFFF"/>
                <w:lang w:val="vi-VN"/>
              </w:rPr>
            </w:pPr>
            <w:r>
              <w:rPr>
                <w:rFonts w:ascii="Times New Roman" w:hAnsi="Times New Roman"/>
                <w:lang w:val="vi-VN" w:eastAsia="vi-VN"/>
              </w:rPr>
              <w:t>Thị trấn Đồng Mỏ, từ Km51+200 đến Km52+630 (đường rẽ vào đình Làng Mỏ bên trái tuyến Quốc lộ 1 chiều từ Lạng Sơn hướng đi Hà Nội</w:t>
            </w:r>
            <w:r>
              <w:rPr>
                <w:rFonts w:ascii="Times New Roman" w:hAnsi="Times New Roman" w:eastAsia="Arial"/>
                <w:shd w:val="clear" w:color="auto" w:fill="FFFFFF"/>
                <w:lang w:val="vi-VN"/>
              </w:rPr>
              <w:t xml:space="preserve">.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12582AB0">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380.000 đồng/m2 (50.160.000 đồng)</w:t>
            </w:r>
          </w:p>
          <w:p w14:paraId="5B6A5FF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 đồng</w:t>
            </w:r>
          </w:p>
        </w:tc>
      </w:tr>
      <w:tr w14:paraId="49A2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3F31B0">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10</w:t>
            </w:r>
          </w:p>
        </w:tc>
        <w:tc>
          <w:tcPr>
            <w:tcW w:w="2264" w:type="dxa"/>
          </w:tcPr>
          <w:p w14:paraId="6161E34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Bùi Văn Thúy – Hoàng Thị Huyền Trang</w:t>
            </w:r>
          </w:p>
        </w:tc>
        <w:tc>
          <w:tcPr>
            <w:tcW w:w="6668" w:type="dxa"/>
          </w:tcPr>
          <w:p w14:paraId="03584F4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232</w:t>
            </w:r>
          </w:p>
          <w:p w14:paraId="6DE5B9F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73</w:t>
            </w:r>
          </w:p>
          <w:p w14:paraId="211B556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127 m2</w:t>
            </w:r>
          </w:p>
          <w:p w14:paraId="30A7236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4/2024</w:t>
            </w:r>
          </w:p>
          <w:p w14:paraId="17063D5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Vị trí thửa đất (tại thời điểm chuyển nhượng): nhóm vị trí 2. </w:t>
            </w:r>
          </w:p>
          <w:p w14:paraId="656B6C3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Khu vực còn lại tại nông thôn: Các khu vực còn lại của thị trấn Đồng Mỏ thuộc xã Quang Lang cũ và khu Lũng Cút.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 xml:space="preserve">. </w:t>
            </w:r>
          </w:p>
          <w:p w14:paraId="6524979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175.000 đồng/m2 (22.225.000 đồng)</w:t>
            </w:r>
          </w:p>
          <w:p w14:paraId="47D8222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 đồng</w:t>
            </w:r>
          </w:p>
        </w:tc>
      </w:tr>
      <w:tr w14:paraId="71E3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85AADC">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11</w:t>
            </w:r>
          </w:p>
        </w:tc>
        <w:tc>
          <w:tcPr>
            <w:tcW w:w="2264" w:type="dxa"/>
          </w:tcPr>
          <w:p w14:paraId="5CF86C9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Đỗ Danh Đức – Nông Văn Tuấn</w:t>
            </w:r>
          </w:p>
        </w:tc>
        <w:tc>
          <w:tcPr>
            <w:tcW w:w="6668" w:type="dxa"/>
          </w:tcPr>
          <w:p w14:paraId="416A152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984</w:t>
            </w:r>
          </w:p>
          <w:p w14:paraId="1DBA4A2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02</w:t>
            </w:r>
          </w:p>
          <w:p w14:paraId="0EBC14A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950.0 m2</w:t>
            </w:r>
          </w:p>
          <w:p w14:paraId="6071645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5/2024</w:t>
            </w:r>
          </w:p>
          <w:p w14:paraId="792372B6">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nhóm vị trí 2</w:t>
            </w:r>
          </w:p>
          <w:p w14:paraId="5FF49BC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Khu vực còn lại tại nông thôn: Các khu vực còn lại của thị trấn Đồng Mỏ thuộc xã Quang Lang cũ và khu Lũng Cút.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46096EF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175.000 đồng/m2 (166.250.000 đồng/BDS)</w:t>
            </w:r>
          </w:p>
          <w:p w14:paraId="72F3111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 đồng</w:t>
            </w:r>
          </w:p>
        </w:tc>
      </w:tr>
      <w:tr w14:paraId="6A62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86F0CD1">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12</w:t>
            </w:r>
          </w:p>
        </w:tc>
        <w:tc>
          <w:tcPr>
            <w:tcW w:w="2264" w:type="dxa"/>
          </w:tcPr>
          <w:p w14:paraId="174B83D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Lâm Văn Hà – Hoàng Thị Lan</w:t>
            </w:r>
          </w:p>
        </w:tc>
        <w:tc>
          <w:tcPr>
            <w:tcW w:w="6668" w:type="dxa"/>
          </w:tcPr>
          <w:p w14:paraId="470EC29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89</w:t>
            </w:r>
          </w:p>
          <w:p w14:paraId="1C4C577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19d</w:t>
            </w:r>
          </w:p>
          <w:p w14:paraId="37C3B7E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61.4m2</w:t>
            </w:r>
          </w:p>
          <w:p w14:paraId="6A724286">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5/2024</w:t>
            </w:r>
          </w:p>
          <w:p w14:paraId="3C6EFE5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nhóm vị trí 2</w:t>
            </w:r>
          </w:p>
          <w:p w14:paraId="091F825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Khu vực còn lại tại nông thôn: Các khu vực còn lại của thị trấn Đồng Mỏ thuộc xã Quang Lang cũ và khu Lũng Cút.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18D8AC7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6.500.000 đồng/m2 (399.100.000 đồng/BDS)</w:t>
            </w:r>
          </w:p>
          <w:p w14:paraId="4B5DD93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 đồng</w:t>
            </w:r>
          </w:p>
        </w:tc>
      </w:tr>
      <w:tr w14:paraId="43D6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E6EF1E8">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13</w:t>
            </w:r>
          </w:p>
        </w:tc>
        <w:tc>
          <w:tcPr>
            <w:tcW w:w="2264" w:type="dxa"/>
          </w:tcPr>
          <w:p w14:paraId="61433A2E">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Nguyễn Khắc Phong – Trần Quang Hòa</w:t>
            </w:r>
          </w:p>
        </w:tc>
        <w:tc>
          <w:tcPr>
            <w:tcW w:w="6668" w:type="dxa"/>
          </w:tcPr>
          <w:p w14:paraId="6B1BDBF0">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11</w:t>
            </w:r>
          </w:p>
          <w:p w14:paraId="26D16F3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29b</w:t>
            </w:r>
          </w:p>
          <w:p w14:paraId="4BA5441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140.6 m2</w:t>
            </w:r>
          </w:p>
          <w:p w14:paraId="1E32D4E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5/2024</w:t>
            </w:r>
          </w:p>
          <w:p w14:paraId="1F1F00A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2</w:t>
            </w:r>
          </w:p>
          <w:p w14:paraId="0369EDB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Khu Ga Nam, thị trấn Đồng Mỏ, huyện Chi Lăng, tỉnh Lạng Sơn</w:t>
            </w:r>
          </w:p>
          <w:p w14:paraId="11D1BC3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Giá trị chuyển nhượng thửa đất theo giá do UBND quy định: </w:t>
            </w:r>
          </w:p>
          <w:p w14:paraId="362EFE1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Giá trị chuyển nhượng thửa đất thực tế: </w:t>
            </w:r>
          </w:p>
        </w:tc>
      </w:tr>
      <w:tr w14:paraId="7309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3F6A3A2">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14</w:t>
            </w:r>
          </w:p>
        </w:tc>
        <w:tc>
          <w:tcPr>
            <w:tcW w:w="2264" w:type="dxa"/>
          </w:tcPr>
          <w:p w14:paraId="47F0503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Nguyễn Tuấn Văn – Nguyễn Văn Hùng</w:t>
            </w:r>
          </w:p>
        </w:tc>
        <w:tc>
          <w:tcPr>
            <w:tcW w:w="6668" w:type="dxa"/>
          </w:tcPr>
          <w:p w14:paraId="69417FE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578</w:t>
            </w:r>
          </w:p>
          <w:p w14:paraId="10D4B6C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73</w:t>
            </w:r>
          </w:p>
          <w:p w14:paraId="4B74E5C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347 m2</w:t>
            </w:r>
          </w:p>
          <w:p w14:paraId="5E9FFC4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5/2024</w:t>
            </w:r>
          </w:p>
          <w:p w14:paraId="3A9EFD3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1, nhóm I, áp dụng bảng 2.</w:t>
            </w:r>
          </w:p>
          <w:p w14:paraId="00655917">
            <w:pPr>
              <w:spacing w:before="120"/>
              <w:jc w:val="both"/>
              <w:rPr>
                <w:rFonts w:ascii="Times New Roman" w:hAnsi="Times New Roman" w:eastAsia="Arial"/>
                <w:shd w:val="clear" w:color="auto" w:fill="FFFFFF"/>
                <w:lang w:val="vi-VN"/>
              </w:rPr>
            </w:pP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4B17719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47.000 đồng/m2 (16.309.000 đồng/BDS)</w:t>
            </w:r>
          </w:p>
          <w:p w14:paraId="5D6E7EF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437D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BA567FD">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15</w:t>
            </w:r>
          </w:p>
        </w:tc>
        <w:tc>
          <w:tcPr>
            <w:tcW w:w="2264" w:type="dxa"/>
          </w:tcPr>
          <w:p w14:paraId="23933A4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Phạm Ngọc Thông – Nguyễn Huy Hoàng</w:t>
            </w:r>
          </w:p>
        </w:tc>
        <w:tc>
          <w:tcPr>
            <w:tcW w:w="6668" w:type="dxa"/>
          </w:tcPr>
          <w:p w14:paraId="622FF98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59</w:t>
            </w:r>
          </w:p>
          <w:p w14:paraId="6583B4C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29a</w:t>
            </w:r>
          </w:p>
          <w:p w14:paraId="08BB649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102.5 m2</w:t>
            </w:r>
          </w:p>
          <w:p w14:paraId="180E484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5/2024</w:t>
            </w:r>
          </w:p>
          <w:p w14:paraId="76F77C5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Vị trí thửa đất (tại thời điểm chuyển nhượng): vị trí 2, nhóm I, áp dụng bảng 8. Thị trấn Đồng Mỏ, đường Khu Ga: từ Trụ sở liên cơ quan đến hết sân ga Đồng Mỏ. </w:t>
            </w:r>
          </w:p>
          <w:p w14:paraId="0F6A30C9">
            <w:pPr>
              <w:spacing w:before="120"/>
              <w:jc w:val="both"/>
              <w:rPr>
                <w:rFonts w:ascii="Times New Roman" w:hAnsi="Times New Roman" w:eastAsia="Arial"/>
                <w:shd w:val="clear" w:color="auto" w:fill="FFFFFF"/>
                <w:lang w:val="vi-VN"/>
              </w:rPr>
            </w:pPr>
            <w:r>
              <w:rPr>
                <w:rFonts w:ascii="Times New Roman" w:hAnsi="Times New Roman"/>
                <w:lang w:val="vi-VN" w:eastAsia="vi-VN"/>
              </w:rPr>
              <w:t>Khu Ga Nam, thị trấn Đồng Mỏ, huyện Chi Lăng, tỉnh Lạng Sơn</w:t>
            </w:r>
            <w:r>
              <w:rPr>
                <w:rFonts w:ascii="Times New Roman" w:hAnsi="Times New Roman" w:eastAsia="Arial"/>
                <w:shd w:val="clear" w:color="auto" w:fill="FFFFFF"/>
                <w:lang w:val="vi-VN"/>
              </w:rPr>
              <w:t>.</w:t>
            </w:r>
          </w:p>
          <w:p w14:paraId="77DE496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1.800.000 đồng/m2 (184.500.000 đồng/BDS)</w:t>
            </w:r>
          </w:p>
          <w:p w14:paraId="25B247E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46CB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97527A">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16</w:t>
            </w:r>
          </w:p>
        </w:tc>
        <w:tc>
          <w:tcPr>
            <w:tcW w:w="2264" w:type="dxa"/>
          </w:tcPr>
          <w:p w14:paraId="1F43EB1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Trần Thủy Hương – Nguyễn Thị Truyền</w:t>
            </w:r>
          </w:p>
        </w:tc>
        <w:tc>
          <w:tcPr>
            <w:tcW w:w="6668" w:type="dxa"/>
          </w:tcPr>
          <w:p w14:paraId="0B9F746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70</w:t>
            </w:r>
          </w:p>
          <w:p w14:paraId="7F40739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26-d</w:t>
            </w:r>
          </w:p>
          <w:p w14:paraId="669F7D8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63.3 m2</w:t>
            </w:r>
          </w:p>
          <w:p w14:paraId="0FA0D42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3/2024</w:t>
            </w:r>
          </w:p>
          <w:p w14:paraId="27F7CA0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1, nhóm I, áp dụng bảng 8. Thị trấn Đồng Mỏ, đường Khu Ga: từ Trụ sở liên cơ quan đến hết sân ga Đồng Mỏ.</w:t>
            </w:r>
          </w:p>
          <w:p w14:paraId="680DB9DE">
            <w:pPr>
              <w:spacing w:before="120"/>
              <w:jc w:val="both"/>
              <w:rPr>
                <w:rFonts w:ascii="Times New Roman" w:hAnsi="Times New Roman" w:eastAsia="Arial"/>
                <w:shd w:val="clear" w:color="auto" w:fill="FFFFFF"/>
                <w:lang w:val="vi-VN"/>
              </w:rPr>
            </w:pPr>
            <w:r>
              <w:rPr>
                <w:rFonts w:ascii="Times New Roman" w:hAnsi="Times New Roman"/>
                <w:lang w:val="vi-VN" w:eastAsia="vi-VN"/>
              </w:rPr>
              <w:t>Khu Ga Bắc, thị trấn Đồng Mỏ, huyện Chi Lăng, tỉnh Lạng Sơn</w:t>
            </w:r>
            <w:r>
              <w:rPr>
                <w:rFonts w:ascii="Times New Roman" w:hAnsi="Times New Roman" w:eastAsia="Arial"/>
                <w:shd w:val="clear" w:color="auto" w:fill="FFFFFF"/>
                <w:lang w:val="vi-VN"/>
              </w:rPr>
              <w:t>.</w:t>
            </w:r>
          </w:p>
          <w:p w14:paraId="71A05F40">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3.000.000 đồng/m2 (189.000.000 đồng/BDS)</w:t>
            </w:r>
          </w:p>
          <w:p w14:paraId="3072FFC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0891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15F94C0">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17</w:t>
            </w:r>
          </w:p>
        </w:tc>
        <w:tc>
          <w:tcPr>
            <w:tcW w:w="2264" w:type="dxa"/>
          </w:tcPr>
          <w:p w14:paraId="4ADA4192">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Trịnh Thiết Tường – Trịnh Thị Kim Thoa</w:t>
            </w:r>
          </w:p>
        </w:tc>
        <w:tc>
          <w:tcPr>
            <w:tcW w:w="6668" w:type="dxa"/>
          </w:tcPr>
          <w:p w14:paraId="3212643E">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579 (tách từ thửa 537)</w:t>
            </w:r>
          </w:p>
          <w:p w14:paraId="069C7A8A">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73</w:t>
            </w:r>
          </w:p>
          <w:p w14:paraId="3C15B5B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ở 66.8m2</w:t>
            </w:r>
          </w:p>
          <w:p w14:paraId="27E8B5B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3/2024</w:t>
            </w:r>
          </w:p>
          <w:p w14:paraId="2590534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Vị trí thửa đất (tại thời điểm chuyển nhượng): vị trí 4. </w:t>
            </w:r>
            <w:r>
              <w:rPr>
                <w:rFonts w:ascii="Times New Roman" w:hAnsi="Times New Roman"/>
                <w:lang w:val="vi-VN" w:eastAsia="vi-VN"/>
              </w:rPr>
              <w:t>Thị trấn Đồng Mỏ, từ Km51+200 đến Km52+630 (đường rẽ vào đình Làng Mỏ bên trái tuyến Quốc lộ 1 chiều từ Lạng Sơn hướng đi Hà Nội)</w:t>
            </w:r>
            <w:r>
              <w:rPr>
                <w:rFonts w:ascii="Times New Roman" w:hAnsi="Times New Roman" w:eastAsia="Arial"/>
                <w:shd w:val="clear" w:color="auto" w:fill="FFFFFF"/>
                <w:lang w:val="vi-VN"/>
              </w:rPr>
              <w:t xml:space="preserve">.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2CD8635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380.000 đồng/m2 (25.384.000 đồng/BDS)</w:t>
            </w:r>
          </w:p>
          <w:p w14:paraId="04674365">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7852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23156CE">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18</w:t>
            </w:r>
          </w:p>
        </w:tc>
        <w:tc>
          <w:tcPr>
            <w:tcW w:w="2264" w:type="dxa"/>
          </w:tcPr>
          <w:p w14:paraId="79DBF70C">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Trương Văn Vỹ - Lê Văn Yên – Triệu Vân Hạnh</w:t>
            </w:r>
          </w:p>
        </w:tc>
        <w:tc>
          <w:tcPr>
            <w:tcW w:w="6668" w:type="dxa"/>
          </w:tcPr>
          <w:p w14:paraId="06A17BE0">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542</w:t>
            </w:r>
          </w:p>
          <w:p w14:paraId="7C1A053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64</w:t>
            </w:r>
          </w:p>
          <w:p w14:paraId="0D47A5DE">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thửa đất 139.1m2</w:t>
            </w:r>
          </w:p>
          <w:p w14:paraId="10B2EBD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3/2024</w:t>
            </w:r>
          </w:p>
          <w:p w14:paraId="3B0DBDA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ODT vị trí 1 = 43.1 m2 + vị trí 2 = 4.06m2; HNK vị trí 1 = 55.4m2</w:t>
            </w:r>
          </w:p>
          <w:p w14:paraId="19311B11">
            <w:pPr>
              <w:spacing w:before="120"/>
              <w:jc w:val="both"/>
              <w:rPr>
                <w:rFonts w:ascii="Times New Roman" w:hAnsi="Times New Roman" w:eastAsia="Arial"/>
                <w:shd w:val="clear" w:color="auto" w:fill="FFFFFF"/>
                <w:lang w:val="vi-VN"/>
              </w:rPr>
            </w:pPr>
            <w:r>
              <w:rPr>
                <w:rFonts w:ascii="Times New Roman" w:hAnsi="Times New Roman"/>
                <w:lang w:val="vi-VN" w:eastAsia="vi-VN"/>
              </w:rPr>
              <w:t>Thị trấn Đồng Mỏ, từ Km51+200 đến Km52+630 (đường rẽ vào đình Làng Mỏ bên trái tuyến Quốc lộ 1 chiều từ Lạng Sơn hướng đi Hà Nội)</w:t>
            </w:r>
            <w:r>
              <w:rPr>
                <w:rFonts w:ascii="Times New Roman" w:hAnsi="Times New Roman" w:eastAsia="Arial"/>
                <w:shd w:val="clear" w:color="auto" w:fill="FFFFFF"/>
                <w:lang w:val="vi-VN"/>
              </w:rPr>
              <w:t xml:space="preserve">. </w:t>
            </w: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0BE8108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Giá trị chuyển nhượng thửa đất theo giá do UBND quy định: </w:t>
            </w:r>
          </w:p>
          <w:p w14:paraId="60CECB1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Giá trị chuyển nhượng thửa đất thực tế: </w:t>
            </w:r>
          </w:p>
        </w:tc>
      </w:tr>
      <w:tr w14:paraId="58C9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740D1EF">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19</w:t>
            </w:r>
          </w:p>
        </w:tc>
        <w:tc>
          <w:tcPr>
            <w:tcW w:w="2264" w:type="dxa"/>
          </w:tcPr>
          <w:p w14:paraId="2CC27E57">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Vi Ngọc Chung – Đoàn Thị Hoàn</w:t>
            </w:r>
          </w:p>
        </w:tc>
        <w:tc>
          <w:tcPr>
            <w:tcW w:w="6668" w:type="dxa"/>
          </w:tcPr>
          <w:p w14:paraId="3C75922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518</w:t>
            </w:r>
          </w:p>
          <w:p w14:paraId="0574544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64</w:t>
            </w:r>
          </w:p>
          <w:p w14:paraId="5AD31D6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rừng sản xuất 180.2 m2</w:t>
            </w:r>
          </w:p>
          <w:p w14:paraId="701B2BC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4/2024</w:t>
            </w:r>
          </w:p>
          <w:p w14:paraId="5D6ADF0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Vị trí thửa đất (tại thời điểm chuyển nhượng): vị trí 1.</w:t>
            </w:r>
          </w:p>
          <w:p w14:paraId="67FA43A3">
            <w:pPr>
              <w:spacing w:before="120"/>
              <w:jc w:val="both"/>
              <w:rPr>
                <w:rFonts w:ascii="Times New Roman" w:hAnsi="Times New Roman" w:eastAsia="Arial"/>
                <w:shd w:val="clear" w:color="auto" w:fill="FFFFFF"/>
                <w:lang w:val="vi-VN"/>
              </w:rPr>
            </w:pP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0701C45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9.000 đồng/m2 (1.621.800 đồng/BDS)</w:t>
            </w:r>
          </w:p>
          <w:p w14:paraId="69D62EA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0139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F8E597D">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20</w:t>
            </w:r>
          </w:p>
        </w:tc>
        <w:tc>
          <w:tcPr>
            <w:tcW w:w="2264" w:type="dxa"/>
          </w:tcPr>
          <w:p w14:paraId="530BDFAF">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Chu Thị Lan – Hoàng Gia Tú</w:t>
            </w:r>
          </w:p>
        </w:tc>
        <w:tc>
          <w:tcPr>
            <w:tcW w:w="6668" w:type="dxa"/>
          </w:tcPr>
          <w:p w14:paraId="09911D2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283</w:t>
            </w:r>
          </w:p>
          <w:p w14:paraId="1F18668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19d</w:t>
            </w:r>
          </w:p>
          <w:p w14:paraId="0622A244">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110.7m2</w:t>
            </w:r>
          </w:p>
          <w:p w14:paraId="79B7ADE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4/2023</w:t>
            </w:r>
          </w:p>
          <w:p w14:paraId="1697F87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Vị trí thửa đất (tại thời điểm chuyển nhượng): vị trí 1 = 83m2, vị trí 2 = 27.7m2. </w:t>
            </w:r>
          </w:p>
          <w:p w14:paraId="5F2312CA">
            <w:pPr>
              <w:spacing w:before="120"/>
              <w:jc w:val="both"/>
              <w:rPr>
                <w:rFonts w:ascii="Times New Roman" w:hAnsi="Times New Roman" w:eastAsia="Arial"/>
                <w:shd w:val="clear" w:color="auto" w:fill="FFFFFF"/>
                <w:lang w:val="vi-VN"/>
              </w:rPr>
            </w:pPr>
            <w:r>
              <w:rPr>
                <w:rFonts w:ascii="Times New Roman" w:hAnsi="Times New Roman"/>
                <w:lang w:val="vi-VN" w:eastAsia="vi-VN"/>
              </w:rPr>
              <w:t>Thị trấn Đồng Mỏ, phố Thân Cảnh Phúc, từ Đường Lê Lợi (qua trạm thú y) đến Đường Cai Kinh)</w:t>
            </w:r>
          </w:p>
          <w:p w14:paraId="5F94C65E">
            <w:pPr>
              <w:spacing w:before="120"/>
              <w:jc w:val="both"/>
              <w:rPr>
                <w:rFonts w:ascii="Times New Roman" w:hAnsi="Times New Roman" w:eastAsia="Arial"/>
                <w:shd w:val="clear" w:color="auto" w:fill="FFFFFF"/>
                <w:lang w:val="vi-VN"/>
              </w:rPr>
            </w:pPr>
            <w:r>
              <w:rPr>
                <w:rFonts w:ascii="Times New Roman" w:hAnsi="Times New Roman"/>
                <w:lang w:val="vi-VN" w:eastAsia="vi-VN"/>
              </w:rPr>
              <w:t>Khu Trung Tâm, thị trấn Đồng Mỏ, huyện Chi Lăng, tỉnh Lạng Sơn</w:t>
            </w:r>
            <w:r>
              <w:rPr>
                <w:rFonts w:ascii="Times New Roman" w:hAnsi="Times New Roman" w:eastAsia="Arial"/>
                <w:shd w:val="clear" w:color="auto" w:fill="FFFFFF"/>
                <w:lang w:val="vi-VN"/>
              </w:rPr>
              <w:t>.</w:t>
            </w:r>
          </w:p>
          <w:p w14:paraId="698AEF12">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vị trí 2 = 2.400.000 đồng/m2, vị trí 1 = 4.000.000 đồng/m2 (398.480.000 đồng/BDS)</w:t>
            </w:r>
          </w:p>
          <w:p w14:paraId="1202671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7D35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CFA7C6">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21</w:t>
            </w:r>
          </w:p>
        </w:tc>
        <w:tc>
          <w:tcPr>
            <w:tcW w:w="2264" w:type="dxa"/>
          </w:tcPr>
          <w:p w14:paraId="07642562">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Lê Hồng Lâm – Lý Thị Ngoan</w:t>
            </w:r>
          </w:p>
        </w:tc>
        <w:tc>
          <w:tcPr>
            <w:tcW w:w="6668" w:type="dxa"/>
          </w:tcPr>
          <w:p w14:paraId="27FAE666">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367</w:t>
            </w:r>
          </w:p>
          <w:p w14:paraId="5F65A55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74</w:t>
            </w:r>
          </w:p>
          <w:p w14:paraId="5983F6D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130m2</w:t>
            </w:r>
          </w:p>
          <w:p w14:paraId="36A1998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3/2024</w:t>
            </w:r>
          </w:p>
          <w:p w14:paraId="708BC0CF">
            <w:pPr>
              <w:spacing w:before="120"/>
              <w:jc w:val="both"/>
              <w:rPr>
                <w:rFonts w:ascii="Times New Roman" w:hAnsi="Times New Roman"/>
                <w:lang w:val="vi-VN" w:eastAsia="vi-VN"/>
              </w:rPr>
            </w:pPr>
            <w:r>
              <w:rPr>
                <w:rFonts w:ascii="Times New Roman" w:hAnsi="Times New Roman" w:eastAsia="Arial"/>
                <w:shd w:val="clear" w:color="auto" w:fill="FFFFFF"/>
                <w:lang w:val="vi-VN"/>
              </w:rPr>
              <w:t xml:space="preserve">Vị trí thửa đất (tại thời điểm chuyển nhượng): vị trí 4. Quốc lộ 1 đoạn 4 </w:t>
            </w:r>
            <w:r>
              <w:rPr>
                <w:rFonts w:ascii="Times New Roman" w:hAnsi="Times New Roman"/>
                <w:lang w:val="vi-VN" w:eastAsia="vi-VN"/>
              </w:rPr>
              <w:t>từ Km51+200 đến Km52+630 (đường rẽ vào đình Làng Mỏ bên trái tuyến Quốc lộ 1 chiều từ Lạng Sơn hướng đi Hà Nội)</w:t>
            </w:r>
            <w:r>
              <w:rPr>
                <w:rFonts w:ascii="Times New Roman" w:hAnsi="Times New Roman" w:eastAsia="Arial"/>
                <w:shd w:val="clear" w:color="auto" w:fill="FFFFFF"/>
                <w:lang w:val="vi-VN"/>
              </w:rPr>
              <w:t xml:space="preserve">. </w:t>
            </w:r>
          </w:p>
          <w:p w14:paraId="3C70AD33">
            <w:pPr>
              <w:spacing w:before="120"/>
              <w:jc w:val="both"/>
              <w:rPr>
                <w:rFonts w:ascii="Times New Roman" w:hAnsi="Times New Roman" w:eastAsia="Arial"/>
                <w:shd w:val="clear" w:color="auto" w:fill="FFFFFF"/>
                <w:lang w:val="vi-VN"/>
              </w:rPr>
            </w:pP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49B15BDD">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w:t>
            </w:r>
          </w:p>
          <w:p w14:paraId="341DFB10">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638C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3422C9B">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22</w:t>
            </w:r>
          </w:p>
        </w:tc>
        <w:tc>
          <w:tcPr>
            <w:tcW w:w="2264" w:type="dxa"/>
          </w:tcPr>
          <w:p w14:paraId="1CB5EE95">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Lê Thành Lâm – Lô Thời Nhuận</w:t>
            </w:r>
          </w:p>
        </w:tc>
        <w:tc>
          <w:tcPr>
            <w:tcW w:w="6668" w:type="dxa"/>
          </w:tcPr>
          <w:p w14:paraId="0A8E8D6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28</w:t>
            </w:r>
          </w:p>
          <w:p w14:paraId="19D410B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73</w:t>
            </w:r>
          </w:p>
          <w:p w14:paraId="779159C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Diện tích đất 211m2 </w:t>
            </w:r>
          </w:p>
          <w:p w14:paraId="1E2EDED9">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5/2023</w:t>
            </w:r>
          </w:p>
          <w:p w14:paraId="0727E880">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 xml:space="preserve">Vị trí thửa đất (tại thời điểm chuyển nhượng): ODT vị trí 1 = 85.9m2, ODT vị trí 2 = 114.1m2; HNK vị trí 1 = 11m2. </w:t>
            </w:r>
          </w:p>
          <w:p w14:paraId="210F3CC9">
            <w:pPr>
              <w:spacing w:before="120"/>
              <w:jc w:val="both"/>
              <w:rPr>
                <w:rFonts w:ascii="Times New Roman" w:hAnsi="Times New Roman"/>
                <w:lang w:val="vi-VN" w:eastAsia="vi-VN"/>
              </w:rPr>
            </w:pPr>
            <w:r>
              <w:rPr>
                <w:rFonts w:ascii="Times New Roman" w:hAnsi="Times New Roman" w:eastAsia="Arial"/>
                <w:shd w:val="clear" w:color="auto" w:fill="FFFFFF"/>
                <w:lang w:val="vi-VN"/>
              </w:rPr>
              <w:t xml:space="preserve">Quốc lộ 1 đoạn 4 </w:t>
            </w:r>
            <w:r>
              <w:rPr>
                <w:rFonts w:ascii="Times New Roman" w:hAnsi="Times New Roman"/>
                <w:lang w:val="vi-VN" w:eastAsia="vi-VN"/>
              </w:rPr>
              <w:t>từ Km51+200 đến Km52+630 (đường rẽ vào đình Làng Mỏ bên trái tuyến Quốc lộ 1 chiều từ Lạng Sơn hướng đi Hà Nội)</w:t>
            </w:r>
            <w:r>
              <w:rPr>
                <w:rFonts w:ascii="Times New Roman" w:hAnsi="Times New Roman" w:eastAsia="Arial"/>
                <w:shd w:val="clear" w:color="auto" w:fill="FFFFFF"/>
                <w:lang w:val="vi-VN"/>
              </w:rPr>
              <w:t xml:space="preserve">. </w:t>
            </w:r>
          </w:p>
          <w:p w14:paraId="609BAD08">
            <w:pPr>
              <w:spacing w:before="120"/>
              <w:jc w:val="both"/>
              <w:rPr>
                <w:rFonts w:ascii="Times New Roman" w:hAnsi="Times New Roman" w:eastAsia="Arial"/>
                <w:shd w:val="clear" w:color="auto" w:fill="FFFFFF"/>
                <w:lang w:val="vi-VN"/>
              </w:rPr>
            </w:pP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4F49E6B8">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 ODT vị trí 1 = 1.900.000 đồng/m2; ODT vị trí 2 = 1.140.000 đồng/m2; HNK vị trí 1 = 54.000 đồng/m2. (293.878.000 đồng/BDS)</w:t>
            </w:r>
          </w:p>
          <w:p w14:paraId="61250060">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64A6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96902F8">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23</w:t>
            </w:r>
          </w:p>
        </w:tc>
        <w:tc>
          <w:tcPr>
            <w:tcW w:w="2264" w:type="dxa"/>
          </w:tcPr>
          <w:p w14:paraId="6CA3A86D">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Lương Hồng Phú – Lê Hồng Lâm</w:t>
            </w:r>
          </w:p>
        </w:tc>
        <w:tc>
          <w:tcPr>
            <w:tcW w:w="6668" w:type="dxa"/>
          </w:tcPr>
          <w:p w14:paraId="5D81509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28</w:t>
            </w:r>
          </w:p>
          <w:p w14:paraId="44FE69FB">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73</w:t>
            </w:r>
          </w:p>
          <w:p w14:paraId="6F349EF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130m2</w:t>
            </w:r>
          </w:p>
          <w:p w14:paraId="50C27ECF">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4/2024</w:t>
            </w:r>
          </w:p>
          <w:p w14:paraId="50879D65">
            <w:pPr>
              <w:spacing w:before="120"/>
              <w:jc w:val="both"/>
              <w:rPr>
                <w:rFonts w:ascii="Times New Roman" w:hAnsi="Times New Roman"/>
                <w:lang w:val="vi-VN" w:eastAsia="vi-VN"/>
              </w:rPr>
            </w:pPr>
            <w:r>
              <w:rPr>
                <w:rFonts w:ascii="Times New Roman" w:hAnsi="Times New Roman" w:eastAsia="Arial"/>
                <w:shd w:val="clear" w:color="auto" w:fill="FFFFFF"/>
                <w:lang w:val="vi-VN"/>
              </w:rPr>
              <w:t xml:space="preserve">Vị trí thửa đất (tại thời điểm chuyển nhượng): vị trí 4. Quốc lộ 1 đoạn 4 </w:t>
            </w:r>
            <w:r>
              <w:rPr>
                <w:rFonts w:ascii="Times New Roman" w:hAnsi="Times New Roman"/>
                <w:lang w:val="vi-VN" w:eastAsia="vi-VN"/>
              </w:rPr>
              <w:t>từ Km51+200 đến Km52+630 (đường rẽ vào đình Làng Mỏ bên trái tuyến Quốc lộ 1 chiều từ Lạng Sơn hướng đi Hà Nội)</w:t>
            </w:r>
            <w:r>
              <w:rPr>
                <w:rFonts w:ascii="Times New Roman" w:hAnsi="Times New Roman" w:eastAsia="Arial"/>
                <w:shd w:val="clear" w:color="auto" w:fill="FFFFFF"/>
                <w:lang w:val="vi-VN"/>
              </w:rPr>
              <w:t xml:space="preserve">. </w:t>
            </w:r>
          </w:p>
          <w:p w14:paraId="7DAE0F7E">
            <w:pPr>
              <w:spacing w:before="120"/>
              <w:jc w:val="both"/>
              <w:rPr>
                <w:rFonts w:ascii="Times New Roman" w:hAnsi="Times New Roman" w:eastAsia="Arial"/>
                <w:shd w:val="clear" w:color="auto" w:fill="FFFFFF"/>
                <w:lang w:val="vi-VN"/>
              </w:rPr>
            </w:pP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199552E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w:t>
            </w:r>
          </w:p>
          <w:p w14:paraId="1099503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r w14:paraId="0CFE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476D8B2">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24</w:t>
            </w:r>
          </w:p>
        </w:tc>
        <w:tc>
          <w:tcPr>
            <w:tcW w:w="2264" w:type="dxa"/>
          </w:tcPr>
          <w:p w14:paraId="6E6406AB">
            <w:pPr>
              <w:spacing w:before="120"/>
              <w:jc w:val="center"/>
              <w:rPr>
                <w:rFonts w:ascii="Times New Roman" w:hAnsi="Times New Roman" w:eastAsia="Arial"/>
                <w:shd w:val="clear" w:color="auto" w:fill="FFFFFF"/>
                <w:lang w:val="vi-VN"/>
              </w:rPr>
            </w:pPr>
            <w:r>
              <w:rPr>
                <w:rFonts w:ascii="Times New Roman" w:hAnsi="Times New Roman" w:eastAsia="Arial"/>
                <w:shd w:val="clear" w:color="auto" w:fill="FFFFFF"/>
                <w:lang w:val="vi-VN"/>
              </w:rPr>
              <w:t>Vi Hoài Nam – Trần Anh Tuấn</w:t>
            </w:r>
          </w:p>
        </w:tc>
        <w:tc>
          <w:tcPr>
            <w:tcW w:w="6668" w:type="dxa"/>
          </w:tcPr>
          <w:p w14:paraId="0E60BE7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Thửa đất số 1295</w:t>
            </w:r>
          </w:p>
          <w:p w14:paraId="3076B351">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Tờ bản đồ số 03</w:t>
            </w:r>
          </w:p>
          <w:p w14:paraId="54CA0217">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Diện tích đất 1854.1m2</w:t>
            </w:r>
          </w:p>
          <w:p w14:paraId="64BF1A20">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Thời điểm giao dịch tháng 12/2023</w:t>
            </w:r>
          </w:p>
          <w:p w14:paraId="125A1B70">
            <w:pPr>
              <w:spacing w:before="120"/>
              <w:jc w:val="both"/>
              <w:rPr>
                <w:rFonts w:ascii="Times New Roman" w:hAnsi="Times New Roman"/>
                <w:lang w:val="vi-VN" w:eastAsia="vi-VN"/>
              </w:rPr>
            </w:pPr>
            <w:r>
              <w:rPr>
                <w:rFonts w:ascii="Times New Roman" w:hAnsi="Times New Roman" w:eastAsia="Arial"/>
                <w:shd w:val="clear" w:color="auto" w:fill="FFFFFF"/>
                <w:lang w:val="vi-VN"/>
              </w:rPr>
              <w:t xml:space="preserve">Vị trí thửa đất: . </w:t>
            </w:r>
          </w:p>
          <w:p w14:paraId="25DB5B0D">
            <w:pPr>
              <w:spacing w:before="120"/>
              <w:jc w:val="both"/>
              <w:rPr>
                <w:rFonts w:ascii="Times New Roman" w:hAnsi="Times New Roman" w:eastAsia="Arial"/>
                <w:shd w:val="clear" w:color="auto" w:fill="FFFFFF"/>
                <w:lang w:val="vi-VN"/>
              </w:rPr>
            </w:pPr>
            <w:r>
              <w:rPr>
                <w:rFonts w:ascii="Times New Roman" w:hAnsi="Times New Roman"/>
                <w:lang w:val="vi-VN" w:eastAsia="vi-VN"/>
              </w:rPr>
              <w:t>Khu Hữu Nghị, thị trấn Đồng Mỏ, huyện Chi Lăng, tỉnh Lạng Sơn</w:t>
            </w:r>
            <w:r>
              <w:rPr>
                <w:rFonts w:ascii="Times New Roman" w:hAnsi="Times New Roman" w:eastAsia="Arial"/>
                <w:shd w:val="clear" w:color="auto" w:fill="FFFFFF"/>
                <w:lang w:val="vi-VN"/>
              </w:rPr>
              <w:t>.</w:t>
            </w:r>
          </w:p>
          <w:p w14:paraId="6B40C083">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theo giá do UBND quy định:</w:t>
            </w:r>
          </w:p>
          <w:p w14:paraId="2E2643AC">
            <w:pPr>
              <w:spacing w:before="120"/>
              <w:jc w:val="both"/>
              <w:rPr>
                <w:rFonts w:ascii="Times New Roman" w:hAnsi="Times New Roman" w:eastAsia="Arial"/>
                <w:shd w:val="clear" w:color="auto" w:fill="FFFFFF"/>
                <w:lang w:val="vi-VN"/>
              </w:rPr>
            </w:pPr>
            <w:r>
              <w:rPr>
                <w:rFonts w:ascii="Times New Roman" w:hAnsi="Times New Roman" w:eastAsia="Arial"/>
                <w:shd w:val="clear" w:color="auto" w:fill="FFFFFF"/>
                <w:lang w:val="vi-VN"/>
              </w:rPr>
              <w:t>Giá trị chuyển nhượng thửa đất thực tế: 0</w:t>
            </w:r>
          </w:p>
        </w:tc>
      </w:tr>
    </w:tbl>
    <w:p w14:paraId="5B76D9A5">
      <w:pPr>
        <w:spacing w:before="120" w:after="120" w:line="340" w:lineRule="exact"/>
        <w:jc w:val="both"/>
        <w:rPr>
          <w:b/>
          <w:bCs/>
          <w:color w:val="000000"/>
          <w:sz w:val="26"/>
          <w:szCs w:val="26"/>
        </w:rPr>
      </w:pPr>
      <w:r>
        <w:rPr>
          <w:rFonts w:eastAsia="Tahoma"/>
          <w:sz w:val="26"/>
          <w:szCs w:val="26"/>
          <w:lang w:val="da-DK"/>
        </w:rPr>
        <w:t xml:space="preserve"> </w:t>
      </w:r>
      <w:r>
        <w:rPr>
          <w:rFonts w:eastAsia="Tahoma"/>
          <w:sz w:val="26"/>
          <w:szCs w:val="26"/>
          <w:lang w:val="da-DK"/>
        </w:rPr>
        <w:tab/>
      </w:r>
      <w:r>
        <w:rPr>
          <w:rFonts w:eastAsia="Tahoma"/>
          <w:sz w:val="26"/>
          <w:szCs w:val="26"/>
          <w:lang w:val="da-DK"/>
        </w:rPr>
        <w:t>Sở Nông nghiệp và môi trường tỉnh Lạng Sơn ban hành Công văn số 810/SNNMT-KHTC ngày 18/4/2025 về việc đề nghị cung cấp thông tin, tài liệu để phục vụ công tác xác định giá đất cụ thể.</w:t>
      </w:r>
      <w:r>
        <w:rPr>
          <w:b/>
          <w:bCs/>
          <w:color w:val="000000"/>
          <w:sz w:val="26"/>
          <w:szCs w:val="26"/>
        </w:rPr>
        <w:t xml:space="preserve"> </w:t>
      </w:r>
      <w:r>
        <w:rPr>
          <w:color w:val="000000"/>
          <w:sz w:val="26"/>
          <w:szCs w:val="26"/>
        </w:rPr>
        <w:t>Chi nhánh VPDKĐĐ huyện Chi Lăng đã có báo cáo Về việc cung cấp thông tin đất đai: Kết quả kiểm tra, rà soát hồ sơ liên quan đến đấu giá quyền sử dụng đất là tài sản của Thi hành án, thế chấp Ngân hàng hợp đồng với tổ chức đấu giá, được lưu trữ tại Chi nhánh Văn phòng đăng ký đất đai huyện Chi Lăng: Chi nhánh cung cấp tổng số 01 bộ hồ sơ trúng đấu giá bao gồm Quyết định trúng đấu giá, giá trúng đấu giá quyền sử dụng đất; chứng từ nộp tiền vào ngân sách nhà nước và hợp đồng mua bán đấu giá quyền sử dụng đất.</w:t>
      </w:r>
    </w:p>
    <w:p w14:paraId="1D08EFEC">
      <w:pPr>
        <w:spacing w:before="120" w:after="120" w:line="340" w:lineRule="exact"/>
        <w:ind w:firstLine="567"/>
        <w:jc w:val="both"/>
        <w:rPr>
          <w:color w:val="000000"/>
          <w:sz w:val="26"/>
          <w:szCs w:val="26"/>
        </w:rPr>
      </w:pPr>
      <w:r>
        <w:rPr>
          <w:color w:val="000000"/>
          <w:sz w:val="26"/>
          <w:szCs w:val="26"/>
        </w:rPr>
        <w:t>Qua rà soát, sàng lọc các hồ sơ trong thời điểm từ tháng 1/2023 đến tháng 1/2025 đảm bảo theo quy định tại nghị định số 71/2024/NĐ-CP ngày 27/06/2024 của Chính Phủ, Công ty CP dịch vụ tư vấn và Thẩm định giá Việt Nam đã thu thập được các thông tin cụ thể như sau:</w:t>
      </w:r>
    </w:p>
    <w:tbl>
      <w:tblPr>
        <w:tblStyle w:val="9"/>
        <w:tblW w:w="9493" w:type="dxa"/>
        <w:jc w:val="center"/>
        <w:tblLayout w:type="fixed"/>
        <w:tblCellMar>
          <w:top w:w="0" w:type="dxa"/>
          <w:left w:w="108" w:type="dxa"/>
          <w:bottom w:w="0" w:type="dxa"/>
          <w:right w:w="108" w:type="dxa"/>
        </w:tblCellMar>
      </w:tblPr>
      <w:tblGrid>
        <w:gridCol w:w="632"/>
        <w:gridCol w:w="879"/>
        <w:gridCol w:w="839"/>
        <w:gridCol w:w="1331"/>
        <w:gridCol w:w="839"/>
        <w:gridCol w:w="844"/>
        <w:gridCol w:w="1577"/>
        <w:gridCol w:w="993"/>
        <w:gridCol w:w="1559"/>
      </w:tblGrid>
      <w:tr w14:paraId="79A3F40F">
        <w:tblPrEx>
          <w:tblCellMar>
            <w:top w:w="0" w:type="dxa"/>
            <w:left w:w="108" w:type="dxa"/>
            <w:bottom w:w="0" w:type="dxa"/>
            <w:right w:w="108" w:type="dxa"/>
          </w:tblCellMar>
        </w:tblPrEx>
        <w:trPr>
          <w:trHeight w:val="2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3791F268">
            <w:pPr>
              <w:jc w:val="center"/>
              <w:rPr>
                <w:color w:val="000000"/>
                <w:sz w:val="20"/>
                <w:szCs w:val="20"/>
              </w:rPr>
            </w:pPr>
            <w:r>
              <w:rPr>
                <w:color w:val="000000"/>
                <w:sz w:val="20"/>
                <w:szCs w:val="20"/>
              </w:rPr>
              <w:t>Stt</w:t>
            </w:r>
          </w:p>
        </w:tc>
        <w:tc>
          <w:tcPr>
            <w:tcW w:w="879" w:type="dxa"/>
            <w:tcBorders>
              <w:top w:val="single" w:color="auto" w:sz="4" w:space="0"/>
              <w:left w:val="nil"/>
              <w:bottom w:val="single" w:color="auto" w:sz="4" w:space="0"/>
              <w:right w:val="single" w:color="auto" w:sz="4" w:space="0"/>
            </w:tcBorders>
            <w:vAlign w:val="center"/>
          </w:tcPr>
          <w:p w14:paraId="750D4B15">
            <w:pPr>
              <w:jc w:val="center"/>
              <w:rPr>
                <w:color w:val="000000"/>
                <w:sz w:val="20"/>
                <w:szCs w:val="20"/>
              </w:rPr>
            </w:pPr>
            <w:r>
              <w:rPr>
                <w:color w:val="000000"/>
                <w:sz w:val="20"/>
                <w:szCs w:val="20"/>
              </w:rPr>
              <w:t>Thửa số</w:t>
            </w:r>
          </w:p>
        </w:tc>
        <w:tc>
          <w:tcPr>
            <w:tcW w:w="839" w:type="dxa"/>
            <w:tcBorders>
              <w:top w:val="single" w:color="auto" w:sz="4" w:space="0"/>
              <w:left w:val="nil"/>
              <w:bottom w:val="single" w:color="auto" w:sz="4" w:space="0"/>
              <w:right w:val="single" w:color="auto" w:sz="4" w:space="0"/>
            </w:tcBorders>
            <w:vAlign w:val="center"/>
          </w:tcPr>
          <w:p w14:paraId="1A065387">
            <w:pPr>
              <w:jc w:val="center"/>
              <w:rPr>
                <w:color w:val="000000"/>
                <w:sz w:val="20"/>
                <w:szCs w:val="20"/>
              </w:rPr>
            </w:pPr>
            <w:r>
              <w:rPr>
                <w:color w:val="000000"/>
                <w:sz w:val="20"/>
                <w:szCs w:val="20"/>
              </w:rPr>
              <w:t>Tờ bản đồ</w:t>
            </w:r>
          </w:p>
        </w:tc>
        <w:tc>
          <w:tcPr>
            <w:tcW w:w="1331" w:type="dxa"/>
            <w:tcBorders>
              <w:top w:val="single" w:color="auto" w:sz="4" w:space="0"/>
              <w:left w:val="nil"/>
              <w:bottom w:val="single" w:color="auto" w:sz="4" w:space="0"/>
              <w:right w:val="single" w:color="auto" w:sz="4" w:space="0"/>
            </w:tcBorders>
            <w:vAlign w:val="center"/>
          </w:tcPr>
          <w:p w14:paraId="7FBF0EEC">
            <w:pPr>
              <w:jc w:val="center"/>
              <w:rPr>
                <w:color w:val="000000"/>
                <w:sz w:val="20"/>
                <w:szCs w:val="20"/>
              </w:rPr>
            </w:pPr>
            <w:r>
              <w:rPr>
                <w:color w:val="000000"/>
                <w:sz w:val="20"/>
                <w:szCs w:val="20"/>
              </w:rPr>
              <w:t>Địa chỉ</w:t>
            </w:r>
          </w:p>
        </w:tc>
        <w:tc>
          <w:tcPr>
            <w:tcW w:w="839" w:type="dxa"/>
            <w:tcBorders>
              <w:top w:val="single" w:color="auto" w:sz="4" w:space="0"/>
              <w:left w:val="nil"/>
              <w:bottom w:val="single" w:color="auto" w:sz="4" w:space="0"/>
              <w:right w:val="single" w:color="auto" w:sz="4" w:space="0"/>
            </w:tcBorders>
            <w:vAlign w:val="center"/>
          </w:tcPr>
          <w:p w14:paraId="5FAC6C5E">
            <w:pPr>
              <w:jc w:val="center"/>
              <w:rPr>
                <w:color w:val="000000"/>
                <w:sz w:val="20"/>
                <w:szCs w:val="20"/>
              </w:rPr>
            </w:pPr>
            <w:r>
              <w:rPr>
                <w:color w:val="000000"/>
                <w:sz w:val="20"/>
                <w:szCs w:val="20"/>
              </w:rPr>
              <w:t>Diện tích (m2)</w:t>
            </w:r>
          </w:p>
        </w:tc>
        <w:tc>
          <w:tcPr>
            <w:tcW w:w="844" w:type="dxa"/>
            <w:tcBorders>
              <w:top w:val="single" w:color="auto" w:sz="4" w:space="0"/>
              <w:left w:val="nil"/>
              <w:bottom w:val="single" w:color="auto" w:sz="4" w:space="0"/>
              <w:right w:val="single" w:color="auto" w:sz="4" w:space="0"/>
            </w:tcBorders>
            <w:vAlign w:val="center"/>
          </w:tcPr>
          <w:p w14:paraId="74C63D11">
            <w:pPr>
              <w:jc w:val="center"/>
              <w:rPr>
                <w:color w:val="000000"/>
                <w:sz w:val="20"/>
                <w:szCs w:val="20"/>
              </w:rPr>
            </w:pPr>
            <w:r>
              <w:rPr>
                <w:color w:val="000000"/>
                <w:sz w:val="20"/>
                <w:szCs w:val="20"/>
              </w:rPr>
              <w:t>Tổng diện tích sàn nhà (m2)</w:t>
            </w:r>
          </w:p>
        </w:tc>
        <w:tc>
          <w:tcPr>
            <w:tcW w:w="1577" w:type="dxa"/>
            <w:tcBorders>
              <w:top w:val="single" w:color="auto" w:sz="4" w:space="0"/>
              <w:left w:val="nil"/>
              <w:bottom w:val="single" w:color="auto" w:sz="4" w:space="0"/>
              <w:right w:val="single" w:color="auto" w:sz="4" w:space="0"/>
            </w:tcBorders>
            <w:vAlign w:val="center"/>
          </w:tcPr>
          <w:p w14:paraId="4D602EBD">
            <w:pPr>
              <w:jc w:val="center"/>
              <w:rPr>
                <w:color w:val="000000"/>
                <w:sz w:val="20"/>
                <w:szCs w:val="20"/>
              </w:rPr>
            </w:pPr>
            <w:r>
              <w:rPr>
                <w:color w:val="000000"/>
                <w:sz w:val="20"/>
                <w:szCs w:val="20"/>
              </w:rPr>
              <w:t>Thành tiền</w:t>
            </w:r>
          </w:p>
        </w:tc>
        <w:tc>
          <w:tcPr>
            <w:tcW w:w="993" w:type="dxa"/>
            <w:tcBorders>
              <w:top w:val="single" w:color="auto" w:sz="4" w:space="0"/>
              <w:left w:val="nil"/>
              <w:bottom w:val="single" w:color="auto" w:sz="4" w:space="0"/>
              <w:right w:val="single" w:color="auto" w:sz="4" w:space="0"/>
            </w:tcBorders>
            <w:vAlign w:val="center"/>
          </w:tcPr>
          <w:p w14:paraId="7DEDED96">
            <w:pPr>
              <w:jc w:val="center"/>
              <w:rPr>
                <w:color w:val="000000"/>
                <w:sz w:val="20"/>
                <w:szCs w:val="20"/>
              </w:rPr>
            </w:pPr>
            <w:r>
              <w:rPr>
                <w:color w:val="000000"/>
                <w:sz w:val="20"/>
                <w:szCs w:val="20"/>
              </w:rPr>
              <w:t>Thời gian</w:t>
            </w:r>
          </w:p>
        </w:tc>
        <w:tc>
          <w:tcPr>
            <w:tcW w:w="1559" w:type="dxa"/>
            <w:tcBorders>
              <w:top w:val="single" w:color="auto" w:sz="4" w:space="0"/>
              <w:left w:val="nil"/>
              <w:bottom w:val="single" w:color="auto" w:sz="4" w:space="0"/>
              <w:right w:val="single" w:color="auto" w:sz="4" w:space="0"/>
            </w:tcBorders>
            <w:vAlign w:val="center"/>
          </w:tcPr>
          <w:p w14:paraId="2BC08708">
            <w:pPr>
              <w:jc w:val="center"/>
              <w:rPr>
                <w:color w:val="000000"/>
                <w:sz w:val="20"/>
                <w:szCs w:val="20"/>
              </w:rPr>
            </w:pPr>
            <w:r>
              <w:rPr>
                <w:color w:val="000000"/>
                <w:sz w:val="20"/>
                <w:szCs w:val="20"/>
              </w:rPr>
              <w:t>Ghi chú</w:t>
            </w:r>
          </w:p>
        </w:tc>
      </w:tr>
      <w:tr w14:paraId="6F28F52D">
        <w:tblPrEx>
          <w:tblCellMar>
            <w:top w:w="0" w:type="dxa"/>
            <w:left w:w="108" w:type="dxa"/>
            <w:bottom w:w="0" w:type="dxa"/>
            <w:right w:w="108" w:type="dxa"/>
          </w:tblCellMar>
        </w:tblPrEx>
        <w:trPr>
          <w:trHeight w:val="20" w:hRule="atLeast"/>
          <w:jc w:val="center"/>
        </w:trPr>
        <w:tc>
          <w:tcPr>
            <w:tcW w:w="632" w:type="dxa"/>
            <w:tcBorders>
              <w:top w:val="nil"/>
              <w:left w:val="single" w:color="auto" w:sz="4" w:space="0"/>
              <w:bottom w:val="single" w:color="auto" w:sz="4" w:space="0"/>
              <w:right w:val="single" w:color="auto" w:sz="4" w:space="0"/>
            </w:tcBorders>
            <w:vAlign w:val="center"/>
          </w:tcPr>
          <w:p w14:paraId="21D6EC58">
            <w:pPr>
              <w:jc w:val="center"/>
              <w:rPr>
                <w:color w:val="000000"/>
                <w:sz w:val="20"/>
                <w:szCs w:val="20"/>
              </w:rPr>
            </w:pPr>
            <w:r>
              <w:rPr>
                <w:color w:val="000000"/>
                <w:sz w:val="20"/>
                <w:szCs w:val="20"/>
              </w:rPr>
              <w:t>1</w:t>
            </w:r>
          </w:p>
        </w:tc>
        <w:tc>
          <w:tcPr>
            <w:tcW w:w="879" w:type="dxa"/>
            <w:tcBorders>
              <w:top w:val="nil"/>
              <w:left w:val="nil"/>
              <w:bottom w:val="single" w:color="auto" w:sz="4" w:space="0"/>
              <w:right w:val="single" w:color="auto" w:sz="4" w:space="0"/>
            </w:tcBorders>
            <w:vAlign w:val="center"/>
          </w:tcPr>
          <w:p w14:paraId="4D35C06A">
            <w:pPr>
              <w:jc w:val="center"/>
              <w:rPr>
                <w:color w:val="000000"/>
                <w:sz w:val="20"/>
                <w:szCs w:val="20"/>
              </w:rPr>
            </w:pPr>
            <w:r>
              <w:rPr>
                <w:color w:val="000000"/>
                <w:sz w:val="20"/>
                <w:szCs w:val="20"/>
              </w:rPr>
              <w:t>9,23</w:t>
            </w:r>
          </w:p>
        </w:tc>
        <w:tc>
          <w:tcPr>
            <w:tcW w:w="839" w:type="dxa"/>
            <w:tcBorders>
              <w:top w:val="nil"/>
              <w:left w:val="nil"/>
              <w:bottom w:val="single" w:color="auto" w:sz="4" w:space="0"/>
              <w:right w:val="single" w:color="auto" w:sz="4" w:space="0"/>
            </w:tcBorders>
            <w:vAlign w:val="center"/>
          </w:tcPr>
          <w:p w14:paraId="2223712F">
            <w:pPr>
              <w:jc w:val="center"/>
              <w:rPr>
                <w:color w:val="000000"/>
                <w:sz w:val="20"/>
                <w:szCs w:val="20"/>
              </w:rPr>
            </w:pPr>
            <w:r>
              <w:rPr>
                <w:color w:val="000000"/>
                <w:sz w:val="20"/>
                <w:szCs w:val="20"/>
              </w:rPr>
              <w:t>8(38)</w:t>
            </w:r>
          </w:p>
        </w:tc>
        <w:tc>
          <w:tcPr>
            <w:tcW w:w="1331" w:type="dxa"/>
            <w:tcBorders>
              <w:top w:val="nil"/>
              <w:left w:val="nil"/>
              <w:bottom w:val="single" w:color="auto" w:sz="4" w:space="0"/>
              <w:right w:val="single" w:color="auto" w:sz="4" w:space="0"/>
            </w:tcBorders>
            <w:vAlign w:val="center"/>
          </w:tcPr>
          <w:p w14:paraId="44B9E746">
            <w:pPr>
              <w:jc w:val="center"/>
              <w:rPr>
                <w:color w:val="000000"/>
                <w:sz w:val="20"/>
                <w:szCs w:val="20"/>
              </w:rPr>
            </w:pPr>
            <w:r>
              <w:rPr>
                <w:color w:val="000000"/>
                <w:sz w:val="20"/>
                <w:szCs w:val="20"/>
              </w:rPr>
              <w:t>Khu Đoàn Kết, thị trấn Đồng Mỏ, huyện Chi Lăng, tỉnh Lạng Sơn</w:t>
            </w:r>
          </w:p>
        </w:tc>
        <w:tc>
          <w:tcPr>
            <w:tcW w:w="839" w:type="dxa"/>
            <w:tcBorders>
              <w:top w:val="nil"/>
              <w:left w:val="nil"/>
              <w:bottom w:val="single" w:color="auto" w:sz="4" w:space="0"/>
              <w:right w:val="single" w:color="auto" w:sz="4" w:space="0"/>
            </w:tcBorders>
            <w:vAlign w:val="center"/>
          </w:tcPr>
          <w:p w14:paraId="2AEA420C">
            <w:pPr>
              <w:jc w:val="center"/>
              <w:rPr>
                <w:color w:val="000000"/>
                <w:sz w:val="20"/>
                <w:szCs w:val="20"/>
              </w:rPr>
            </w:pPr>
            <w:r>
              <w:rPr>
                <w:color w:val="000000"/>
                <w:sz w:val="20"/>
                <w:szCs w:val="20"/>
              </w:rPr>
              <w:t>519</w:t>
            </w:r>
          </w:p>
        </w:tc>
        <w:tc>
          <w:tcPr>
            <w:tcW w:w="844" w:type="dxa"/>
            <w:tcBorders>
              <w:top w:val="nil"/>
              <w:left w:val="nil"/>
              <w:bottom w:val="single" w:color="auto" w:sz="4" w:space="0"/>
              <w:right w:val="single" w:color="auto" w:sz="4" w:space="0"/>
            </w:tcBorders>
            <w:vAlign w:val="center"/>
          </w:tcPr>
          <w:p w14:paraId="77F48320">
            <w:pPr>
              <w:jc w:val="center"/>
              <w:rPr>
                <w:color w:val="000000"/>
                <w:sz w:val="20"/>
                <w:szCs w:val="20"/>
              </w:rPr>
            </w:pPr>
            <w:r>
              <w:rPr>
                <w:color w:val="000000"/>
                <w:sz w:val="20"/>
                <w:szCs w:val="20"/>
              </w:rPr>
              <w:t>300</w:t>
            </w:r>
          </w:p>
        </w:tc>
        <w:tc>
          <w:tcPr>
            <w:tcW w:w="1577" w:type="dxa"/>
            <w:tcBorders>
              <w:top w:val="nil"/>
              <w:left w:val="nil"/>
              <w:bottom w:val="single" w:color="auto" w:sz="4" w:space="0"/>
              <w:right w:val="single" w:color="auto" w:sz="4" w:space="0"/>
            </w:tcBorders>
            <w:vAlign w:val="center"/>
          </w:tcPr>
          <w:p w14:paraId="01807E7E">
            <w:pPr>
              <w:jc w:val="center"/>
              <w:rPr>
                <w:color w:val="000000"/>
                <w:sz w:val="20"/>
                <w:szCs w:val="20"/>
              </w:rPr>
            </w:pPr>
            <w:r>
              <w:rPr>
                <w:color w:val="000000"/>
                <w:sz w:val="20"/>
                <w:szCs w:val="20"/>
              </w:rPr>
              <w:t>1.818.000.000</w:t>
            </w:r>
          </w:p>
        </w:tc>
        <w:tc>
          <w:tcPr>
            <w:tcW w:w="993" w:type="dxa"/>
            <w:tcBorders>
              <w:top w:val="nil"/>
              <w:left w:val="nil"/>
              <w:bottom w:val="single" w:color="auto" w:sz="4" w:space="0"/>
              <w:right w:val="single" w:color="auto" w:sz="4" w:space="0"/>
            </w:tcBorders>
            <w:vAlign w:val="center"/>
          </w:tcPr>
          <w:p w14:paraId="398165BD">
            <w:pPr>
              <w:jc w:val="center"/>
              <w:rPr>
                <w:color w:val="000000"/>
                <w:sz w:val="20"/>
                <w:szCs w:val="20"/>
              </w:rPr>
            </w:pPr>
            <w:r>
              <w:rPr>
                <w:color w:val="000000"/>
                <w:sz w:val="20"/>
                <w:szCs w:val="20"/>
              </w:rPr>
              <w:t>11/2024</w:t>
            </w:r>
          </w:p>
        </w:tc>
        <w:tc>
          <w:tcPr>
            <w:tcW w:w="1559" w:type="dxa"/>
            <w:tcBorders>
              <w:top w:val="nil"/>
              <w:left w:val="nil"/>
              <w:bottom w:val="single" w:color="auto" w:sz="4" w:space="0"/>
              <w:right w:val="single" w:color="auto" w:sz="4" w:space="0"/>
            </w:tcBorders>
            <w:vAlign w:val="center"/>
          </w:tcPr>
          <w:p w14:paraId="3428E5D2">
            <w:pPr>
              <w:jc w:val="center"/>
              <w:rPr>
                <w:color w:val="000000"/>
                <w:sz w:val="20"/>
                <w:szCs w:val="20"/>
              </w:rPr>
            </w:pPr>
            <w:r>
              <w:rPr>
                <w:color w:val="000000"/>
                <w:sz w:val="20"/>
                <w:szCs w:val="20"/>
              </w:rPr>
              <w:t>Thửa 09 diện tích 340m2; Thửa 23 diện tích; thành tiền bao gồm cả cây cối trên đất</w:t>
            </w:r>
          </w:p>
        </w:tc>
      </w:tr>
    </w:tbl>
    <w:p w14:paraId="6873517A">
      <w:pPr>
        <w:spacing w:before="120" w:after="120" w:line="340" w:lineRule="exact"/>
        <w:ind w:firstLine="567"/>
        <w:jc w:val="both"/>
        <w:rPr>
          <w:b/>
          <w:bCs/>
          <w:color w:val="000000"/>
          <w:sz w:val="26"/>
          <w:szCs w:val="26"/>
        </w:rPr>
      </w:pPr>
      <w:r>
        <w:rPr>
          <w:b/>
          <w:bCs/>
          <w:color w:val="000000"/>
          <w:sz w:val="26"/>
          <w:szCs w:val="26"/>
        </w:rPr>
        <w:t xml:space="preserve">3.4. Đánh giá sơ bộ dự án Khu đô thị phía Đông Nam, thị trấn Đồng Mỏ. </w:t>
      </w:r>
    </w:p>
    <w:p w14:paraId="240E24D7">
      <w:pPr>
        <w:spacing w:before="120" w:after="120" w:line="380" w:lineRule="exact"/>
        <w:ind w:firstLine="567"/>
        <w:jc w:val="both"/>
        <w:rPr>
          <w:b/>
          <w:bCs/>
          <w:i/>
          <w:iCs/>
          <w:color w:val="000000" w:themeColor="text1"/>
          <w:spacing w:val="-6"/>
          <w:sz w:val="26"/>
          <w:szCs w:val="26"/>
          <w14:textFill>
            <w14:solidFill>
              <w14:schemeClr w14:val="tx1"/>
            </w14:solidFill>
          </w14:textFill>
        </w:rPr>
      </w:pPr>
      <w:r>
        <w:rPr>
          <w:color w:val="000000" w:themeColor="text1"/>
          <w:spacing w:val="-6"/>
          <w:sz w:val="26"/>
          <w:szCs w:val="26"/>
          <w14:textFill>
            <w14:solidFill>
              <w14:schemeClr w14:val="tx1"/>
            </w14:solidFill>
          </w14:textFill>
        </w:rPr>
        <w:t xml:space="preserve">- Dự án </w:t>
      </w:r>
      <w:r>
        <w:rPr>
          <w:color w:val="000000" w:themeColor="text1"/>
          <w:spacing w:val="-6"/>
          <w:sz w:val="26"/>
          <w:szCs w:val="26"/>
          <w:lang w:val="vi-VN"/>
          <w14:textFill>
            <w14:solidFill>
              <w14:schemeClr w14:val="tx1"/>
            </w14:solidFill>
          </w14:textFill>
        </w:rPr>
        <w:t>Khu đô thị phía Đông Nam thị trấn Đồng Mỏ</w:t>
      </w:r>
      <w:r>
        <w:rPr>
          <w:bCs/>
          <w:color w:val="000000" w:themeColor="text1"/>
          <w:spacing w:val="-6"/>
          <w:sz w:val="26"/>
          <w:szCs w:val="26"/>
          <w:lang w:val="vi-VN"/>
          <w14:textFill>
            <w14:solidFill>
              <w14:schemeClr w14:val="tx1"/>
            </w14:solidFill>
          </w14:textFill>
        </w:rPr>
        <w:t xml:space="preserve"> </w:t>
      </w:r>
      <w:r>
        <w:rPr>
          <w:bCs/>
          <w:color w:val="000000" w:themeColor="text1"/>
          <w:spacing w:val="-6"/>
          <w:sz w:val="26"/>
          <w:szCs w:val="26"/>
          <w14:textFill>
            <w14:solidFill>
              <w14:schemeClr w14:val="tx1"/>
            </w14:solidFill>
          </w14:textFill>
        </w:rPr>
        <w:t>có quy mô theo quy hoạch được duyệt</w:t>
      </w:r>
      <w:r>
        <w:rPr>
          <w:color w:val="000000" w:themeColor="text1"/>
          <w:spacing w:val="-6"/>
          <w:sz w:val="26"/>
          <w:szCs w:val="26"/>
          <w14:textFill>
            <w14:solidFill>
              <w14:schemeClr w14:val="tx1"/>
            </w14:solidFill>
          </w14:textFill>
        </w:rPr>
        <w:t xml:space="preserve"> </w:t>
      </w:r>
      <w:r>
        <w:rPr>
          <w:i/>
          <w:iCs/>
          <w:color w:val="000000" w:themeColor="text1"/>
          <w:spacing w:val="-6"/>
          <w:sz w:val="26"/>
          <w:szCs w:val="26"/>
          <w14:textFill>
            <w14:solidFill>
              <w14:schemeClr w14:val="tx1"/>
            </w14:solidFill>
          </w14:textFill>
        </w:rPr>
        <w:t xml:space="preserve">(QĐ số </w:t>
      </w:r>
      <w:r>
        <w:rPr>
          <w:bCs/>
          <w:i/>
          <w:spacing w:val="-6"/>
          <w:sz w:val="26"/>
          <w:szCs w:val="26"/>
        </w:rPr>
        <w:t>2483</w:t>
      </w:r>
      <w:r>
        <w:rPr>
          <w:bCs/>
          <w:i/>
          <w:spacing w:val="-6"/>
          <w:sz w:val="26"/>
          <w:szCs w:val="26"/>
          <w:lang w:val="vi-VN"/>
        </w:rPr>
        <w:t xml:space="preserve">/QĐ-UBND ngày 26 tháng </w:t>
      </w:r>
      <w:r>
        <w:rPr>
          <w:bCs/>
          <w:i/>
          <w:spacing w:val="-6"/>
          <w:sz w:val="26"/>
          <w:szCs w:val="26"/>
        </w:rPr>
        <w:t>6</w:t>
      </w:r>
      <w:r>
        <w:rPr>
          <w:bCs/>
          <w:i/>
          <w:spacing w:val="-6"/>
          <w:sz w:val="26"/>
          <w:szCs w:val="26"/>
          <w:lang w:val="vi-VN"/>
        </w:rPr>
        <w:t xml:space="preserve"> năm 20</w:t>
      </w:r>
      <w:r>
        <w:rPr>
          <w:bCs/>
          <w:i/>
          <w:spacing w:val="-6"/>
          <w:sz w:val="26"/>
          <w:szCs w:val="26"/>
        </w:rPr>
        <w:t>20</w:t>
      </w:r>
      <w:r>
        <w:rPr>
          <w:bCs/>
          <w:i/>
          <w:spacing w:val="-6"/>
          <w:sz w:val="26"/>
          <w:szCs w:val="26"/>
          <w:lang w:val="vi-VN"/>
        </w:rPr>
        <w:t xml:space="preserve"> của UBND </w:t>
      </w:r>
      <w:r>
        <w:rPr>
          <w:bCs/>
          <w:i/>
          <w:spacing w:val="-6"/>
          <w:sz w:val="26"/>
          <w:szCs w:val="26"/>
        </w:rPr>
        <w:t>huyện Chi Lăng</w:t>
      </w:r>
      <w:r>
        <w:rPr>
          <w:bCs/>
          <w:i/>
          <w:spacing w:val="-6"/>
          <w:sz w:val="26"/>
          <w:szCs w:val="26"/>
          <w:lang w:val="vi-VN"/>
        </w:rPr>
        <w:t xml:space="preserve"> Về việc phê duyệt </w:t>
      </w:r>
      <w:r>
        <w:rPr>
          <w:bCs/>
          <w:i/>
          <w:spacing w:val="-6"/>
          <w:sz w:val="26"/>
          <w:szCs w:val="26"/>
        </w:rPr>
        <w:t>đồ án Quy hoạch chi tiết tỷ lệ 1/500 Khu đô thị mới hai bên đường Quốc lộ 1 phía Đông Nam thị trấn Đồng Mỏ</w:t>
      </w:r>
      <w:r>
        <w:rPr>
          <w:i/>
          <w:iCs/>
          <w:color w:val="000000" w:themeColor="text1"/>
          <w:spacing w:val="-6"/>
          <w:sz w:val="26"/>
          <w:szCs w:val="26"/>
          <w14:textFill>
            <w14:solidFill>
              <w14:schemeClr w14:val="tx1"/>
            </w14:solidFill>
          </w14:textFill>
        </w:rPr>
        <w:t>)</w:t>
      </w:r>
      <w:r>
        <w:rPr>
          <w:color w:val="000000" w:themeColor="text1"/>
          <w:spacing w:val="-6"/>
          <w:sz w:val="26"/>
          <w:szCs w:val="26"/>
          <w14:textFill>
            <w14:solidFill>
              <w14:schemeClr w14:val="tx1"/>
            </w14:solidFill>
          </w14:textFill>
        </w:rPr>
        <w:t xml:space="preserve"> là </w:t>
      </w:r>
      <w:r>
        <w:rPr>
          <w:b/>
          <w:bCs/>
          <w:color w:val="000000" w:themeColor="text1"/>
          <w:spacing w:val="-6"/>
          <w:sz w:val="26"/>
          <w:szCs w:val="26"/>
          <w14:textFill>
            <w14:solidFill>
              <w14:schemeClr w14:val="tx1"/>
            </w14:solidFill>
          </w14:textFill>
        </w:rPr>
        <w:t>19,82 ha</w:t>
      </w:r>
      <w:r>
        <w:rPr>
          <w:color w:val="000000" w:themeColor="text1"/>
          <w:spacing w:val="-6"/>
          <w:sz w:val="26"/>
          <w:szCs w:val="26"/>
          <w:lang w:val="vi-VN"/>
          <w14:textFill>
            <w14:solidFill>
              <w14:schemeClr w14:val="tx1"/>
            </w14:solidFill>
          </w14:textFill>
        </w:rPr>
        <w:t>. Trong đó diện tích giao đất</w:t>
      </w:r>
      <w:r>
        <w:rPr>
          <w:color w:val="000000" w:themeColor="text1"/>
          <w:spacing w:val="-6"/>
          <w:sz w:val="26"/>
          <w:szCs w:val="26"/>
          <w14:textFill>
            <w14:solidFill>
              <w14:schemeClr w14:val="tx1"/>
            </w14:solidFill>
          </w14:textFill>
        </w:rPr>
        <w:t xml:space="preserve"> </w:t>
      </w:r>
      <w:r>
        <w:rPr>
          <w:i/>
          <w:iCs/>
          <w:color w:val="000000" w:themeColor="text1"/>
          <w:spacing w:val="-6"/>
          <w:sz w:val="26"/>
          <w:szCs w:val="26"/>
          <w14:textFill>
            <w14:solidFill>
              <w14:schemeClr w14:val="tx1"/>
            </w14:solidFill>
          </w14:textFill>
        </w:rPr>
        <w:t>(</w:t>
      </w:r>
      <w:r>
        <w:rPr>
          <w:i/>
          <w:iCs/>
          <w:color w:val="000000" w:themeColor="text1"/>
          <w:spacing w:val="-6"/>
          <w:sz w:val="26"/>
          <w:szCs w:val="26"/>
          <w:lang w:val="vi-VN"/>
          <w14:textFill>
            <w14:solidFill>
              <w14:schemeClr w14:val="tx1"/>
            </w14:solidFill>
          </w14:textFill>
        </w:rPr>
        <w:t xml:space="preserve">QĐ số </w:t>
      </w:r>
      <w:r>
        <w:rPr>
          <w:bCs/>
          <w:i/>
          <w:spacing w:val="-6"/>
          <w:sz w:val="26"/>
          <w:szCs w:val="26"/>
        </w:rPr>
        <w:t>8</w:t>
      </w:r>
      <w:r>
        <w:rPr>
          <w:bCs/>
          <w:i/>
          <w:spacing w:val="-6"/>
          <w:sz w:val="26"/>
          <w:szCs w:val="26"/>
          <w:lang w:val="vi-VN"/>
        </w:rPr>
        <w:t xml:space="preserve">6/QĐ-UBND ngày </w:t>
      </w:r>
      <w:r>
        <w:rPr>
          <w:bCs/>
          <w:i/>
          <w:spacing w:val="-6"/>
          <w:sz w:val="26"/>
          <w:szCs w:val="26"/>
        </w:rPr>
        <w:t>09</w:t>
      </w:r>
      <w:r>
        <w:rPr>
          <w:bCs/>
          <w:i/>
          <w:spacing w:val="-6"/>
          <w:sz w:val="26"/>
          <w:szCs w:val="26"/>
          <w:lang w:val="vi-VN"/>
        </w:rPr>
        <w:t xml:space="preserve"> tháng </w:t>
      </w:r>
      <w:r>
        <w:rPr>
          <w:bCs/>
          <w:i/>
          <w:spacing w:val="-6"/>
          <w:sz w:val="26"/>
          <w:szCs w:val="26"/>
        </w:rPr>
        <w:t>01</w:t>
      </w:r>
      <w:r>
        <w:rPr>
          <w:bCs/>
          <w:i/>
          <w:spacing w:val="-6"/>
          <w:sz w:val="26"/>
          <w:szCs w:val="26"/>
          <w:lang w:val="vi-VN"/>
        </w:rPr>
        <w:t xml:space="preserve"> năm 202</w:t>
      </w:r>
      <w:r>
        <w:rPr>
          <w:bCs/>
          <w:i/>
          <w:spacing w:val="-6"/>
          <w:sz w:val="26"/>
          <w:szCs w:val="26"/>
        </w:rPr>
        <w:t>5</w:t>
      </w:r>
      <w:r>
        <w:rPr>
          <w:bCs/>
          <w:i/>
          <w:spacing w:val="-6"/>
          <w:sz w:val="26"/>
          <w:szCs w:val="26"/>
          <w:lang w:val="vi-VN"/>
        </w:rPr>
        <w:t xml:space="preserve"> </w:t>
      </w:r>
      <w:r>
        <w:rPr>
          <w:i/>
          <w:spacing w:val="-6"/>
          <w:sz w:val="26"/>
          <w:szCs w:val="26"/>
          <w:lang w:val="vi-VN"/>
        </w:rPr>
        <w:t xml:space="preserve"> </w:t>
      </w:r>
      <w:r>
        <w:rPr>
          <w:i/>
          <w:iCs/>
          <w:color w:val="000000" w:themeColor="text1"/>
          <w:spacing w:val="-6"/>
          <w:sz w:val="26"/>
          <w:szCs w:val="26"/>
          <w:lang w:val="vi-VN"/>
          <w14:textFill>
            <w14:solidFill>
              <w14:schemeClr w14:val="tx1"/>
            </w14:solidFill>
          </w14:textFill>
        </w:rPr>
        <w:t xml:space="preserve">của UBND tỉnh </w:t>
      </w:r>
      <w:r>
        <w:rPr>
          <w:i/>
          <w:iCs/>
          <w:color w:val="000000" w:themeColor="text1"/>
          <w:spacing w:val="-6"/>
          <w:sz w:val="26"/>
          <w:szCs w:val="26"/>
          <w14:textFill>
            <w14:solidFill>
              <w14:schemeClr w14:val="tx1"/>
            </w14:solidFill>
          </w14:textFill>
        </w:rPr>
        <w:t>Lạng Sơn)</w:t>
      </w:r>
      <w:r>
        <w:rPr>
          <w:i/>
          <w:iCs/>
          <w:color w:val="000000" w:themeColor="text1"/>
          <w:spacing w:val="-6"/>
          <w:sz w:val="26"/>
          <w:szCs w:val="26"/>
          <w:lang w:val="vi-VN"/>
          <w14:textFill>
            <w14:solidFill>
              <w14:schemeClr w14:val="tx1"/>
            </w14:solidFill>
          </w14:textFill>
        </w:rPr>
        <w:t xml:space="preserve"> </w:t>
      </w:r>
      <w:r>
        <w:rPr>
          <w:color w:val="000000" w:themeColor="text1"/>
          <w:spacing w:val="-6"/>
          <w:sz w:val="26"/>
          <w:szCs w:val="26"/>
          <w14:textFill>
            <w14:solidFill>
              <w14:schemeClr w14:val="tx1"/>
            </w14:solidFill>
          </w14:textFill>
        </w:rPr>
        <w:t xml:space="preserve"> là: 79.413,10 m2; diện tích đất giao </w:t>
      </w:r>
      <w:r>
        <w:rPr>
          <w:color w:val="000000" w:themeColor="text1"/>
          <w:spacing w:val="-6"/>
          <w:sz w:val="26"/>
          <w:szCs w:val="26"/>
          <w:lang w:val="vi-VN"/>
          <w14:textFill>
            <w14:solidFill>
              <w14:schemeClr w14:val="tx1"/>
            </w14:solidFill>
          </w14:textFill>
        </w:rPr>
        <w:t>có thu tiền sử dụng đất</w:t>
      </w:r>
      <w:r>
        <w:rPr>
          <w:color w:val="000000" w:themeColor="text1"/>
          <w:spacing w:val="-6"/>
          <w:sz w:val="26"/>
          <w:szCs w:val="26"/>
          <w14:textFill>
            <w14:solidFill>
              <w14:schemeClr w14:val="tx1"/>
            </w14:solidFill>
          </w14:textFill>
        </w:rPr>
        <w:t xml:space="preserve"> </w:t>
      </w:r>
      <w:r>
        <w:rPr>
          <w:color w:val="000000" w:themeColor="text1"/>
          <w:spacing w:val="-6"/>
          <w:sz w:val="26"/>
          <w:szCs w:val="26"/>
          <w:lang w:val="vi-VN"/>
          <w14:textFill>
            <w14:solidFill>
              <w14:schemeClr w14:val="tx1"/>
            </w14:solidFill>
          </w14:textFill>
        </w:rPr>
        <w:t>là</w:t>
      </w:r>
      <w:r>
        <w:rPr>
          <w:b/>
          <w:bCs/>
          <w:i/>
          <w:iCs/>
          <w:color w:val="000000" w:themeColor="text1"/>
          <w:spacing w:val="-6"/>
          <w:sz w:val="26"/>
          <w:szCs w:val="26"/>
          <w14:textFill>
            <w14:solidFill>
              <w14:schemeClr w14:val="tx1"/>
            </w14:solidFill>
          </w14:textFill>
        </w:rPr>
        <w:t xml:space="preserve"> 34.702,20</w:t>
      </w:r>
      <w:r>
        <w:rPr>
          <w:b/>
          <w:bCs/>
          <w:i/>
          <w:iCs/>
          <w:color w:val="000000" w:themeColor="text1"/>
          <w:spacing w:val="-6"/>
          <w:sz w:val="26"/>
          <w:szCs w:val="26"/>
          <w:lang w:val="vi-VN"/>
          <w14:textFill>
            <w14:solidFill>
              <w14:schemeClr w14:val="tx1"/>
            </w14:solidFill>
          </w14:textFill>
        </w:rPr>
        <w:t>m2</w:t>
      </w:r>
      <w:r>
        <w:rPr>
          <w:b/>
          <w:bCs/>
          <w:i/>
          <w:iCs/>
          <w:color w:val="000000" w:themeColor="text1"/>
          <w:spacing w:val="-6"/>
          <w:sz w:val="26"/>
          <w:szCs w:val="26"/>
          <w14:textFill>
            <w14:solidFill>
              <w14:schemeClr w14:val="tx1"/>
            </w14:solidFill>
          </w14:textFill>
        </w:rPr>
        <w:t>.</w:t>
      </w:r>
      <w:r>
        <w:rPr>
          <w:color w:val="000000" w:themeColor="text1"/>
          <w:spacing w:val="-6"/>
          <w:sz w:val="26"/>
          <w:szCs w:val="26"/>
          <w:lang w:val="vi-VN"/>
          <w14:textFill>
            <w14:solidFill>
              <w14:schemeClr w14:val="tx1"/>
            </w14:solidFill>
          </w14:textFill>
        </w:rPr>
        <w:t xml:space="preserve"> </w:t>
      </w:r>
    </w:p>
    <w:p w14:paraId="7DEF5B43">
      <w:pPr>
        <w:widowControl w:val="0"/>
        <w:tabs>
          <w:tab w:val="left" w:pos="1276"/>
        </w:tabs>
        <w:spacing w:before="120" w:after="120" w:line="340" w:lineRule="exact"/>
        <w:ind w:firstLine="567"/>
        <w:jc w:val="both"/>
        <w:rPr>
          <w:bCs/>
          <w:sz w:val="26"/>
          <w:szCs w:val="26"/>
        </w:rPr>
      </w:pPr>
      <w:r>
        <w:rPr>
          <w:sz w:val="26"/>
          <w:szCs w:val="26"/>
        </w:rPr>
        <w:t>- Về với ranh giới, vị trí</w:t>
      </w:r>
      <w:r>
        <w:rPr>
          <w:bCs/>
          <w:sz w:val="26"/>
          <w:szCs w:val="26"/>
        </w:rPr>
        <w:t>: + Phía Bắc: Giáp khu dân cư hiện trạng và đường sắt Hà Nội-Lạng Sơn; Phía Nam: Giáp Quốc lộ 1; Phía Đông: Giáp đường Đại Huề và khu đô thị phía Đông thị trấn Đồng Mỏ; Phía Tây: Giáp khu dân cư phía Nam ga Đồng Mỏ. Cách ngã ba giao cắt QL1A và đường Đại Huề khoảng từ 80m đến 900m; cách bệnh viện đa khoa Chi Lăng khoảng từ 1km đến 1,4km; cách ga Đồng Mỏ khoảng từ 500m đến khoảng 1,5km; cách chợ Đồng Mỏ khoảng từ 1,1km đến gần 1,8km; cách trụ sở UBND xã Chi Lăng (mới) khoảng từ 1,10km đến khoảng 1,5km; cách sân vận động Chi Lăng khoảng từ 1,7km đến hơn 2km; cách trường tiểu học Đồng Mỏ khoảng từ 300m đến 650m; cách trường THCS Chu Văn An, xã Chi Lăng khoảng từ 1,8km đến gần 2,2km; cách trường THPT Chi Lăng khoảng từ 1,6km đến gần 2km.</w:t>
      </w:r>
    </w:p>
    <w:p w14:paraId="703A4DBD">
      <w:pPr>
        <w:widowControl w:val="0"/>
        <w:tabs>
          <w:tab w:val="left" w:pos="1276"/>
        </w:tabs>
        <w:spacing w:before="120" w:after="120" w:line="340" w:lineRule="exact"/>
        <w:ind w:firstLine="567"/>
        <w:jc w:val="both"/>
        <w:rPr>
          <w:b/>
          <w:sz w:val="26"/>
          <w:szCs w:val="26"/>
        </w:rPr>
      </w:pPr>
      <w:r>
        <w:rPr>
          <w:b/>
          <w:sz w:val="26"/>
          <w:szCs w:val="26"/>
        </w:rPr>
        <w:t>Đánh giá tổng thể vị trí dự án Khu đô thị phía Đông Nam thị trấn Đồng Mỏ (nay là xã Chi Lăng, tỉnh Lạng Sơn) có hai mặt chính tiếp giáp đường gom QL1A và đường Đại Huề, các trục đường còn lại trong dự án không kết nối sang khu vực khác. Phía cuối dự án là đường ray tàu hoả và dân cư hiện trạng, do đó hạn chế kết nối dự án với các khu vực xung quanh. Thị trấn Đồng Mỏ nay là xã Chi Lăng dân cư tập trung đông đúc gần trụ sở uỷ ban, khu vực chợ, công viên, và cách dự án từ trên 1km. Do đặc thù dự án là đồi cao, nên cách tương đối xa các khu vực dân cư sầm uất hiện hữu. Về giao dịch đơn vị tư vấn khảo sát đối với vị trí làn 1 đường Đại Huề giao dịch các lô đất mặt đường 5m (chiều sâu từ trên 20m) các lô giao dịch 2,3 tỷ/lô đến 2,5 tỷ /lô mặt tiền 5m không tính chiều sâu bao gồm nhà cao 02 tầng. Tương đương khoảng 23 đến 25tr/lô (điện thoại chủ nhà đã giao dịch: 0961173982). Đối với lô đất mặt tiền 15m chiều sâu khoảng từ 20m có giá giao dịch 4,4 tỷ đồng đến 4,3 tỷ đồng/BĐS tương đương 14,3tr/m2. Khu vực trục đường Đại Huề phía gần đền Chầu Bát không có giao dịch gần nhất, chỉ có giao bán 2,3 tỷ/lô mặt tiền rộng 4m, sâu khoảng 20m nhưng không giao dịch được (0988733271 số bà Miêng mà có đất chỗ khu gần đền Chầu Bát đang giao bán). Đường Đại Huề là trục đường có vị trí lợi thế thương mại cao nhất khu vực định giá, dân cư tập trung kinh doanh buôn bán, là một trong các trục đường kết nối giao thông từ QL1A vào trung tâm thị trấn Đồng Mỏ nay là xã Chi Lăng. Đối với vị trí 1 QL1A đây là vị trí dân cư thưa thớt, ít lợi thế thương mại, giao dịch 1,7 tỷ/BĐS, tương đương khoảng 17tr đến 18tr/m2. Các vị trí bên trong ít giao dịch, mức giá giao dịch thấp do không có lợi thế thương mại.</w:t>
      </w:r>
    </w:p>
    <w:p w14:paraId="7A760E69">
      <w:pPr>
        <w:widowControl w:val="0"/>
        <w:tabs>
          <w:tab w:val="left" w:pos="1276"/>
        </w:tabs>
        <w:spacing w:before="120" w:after="120" w:line="340" w:lineRule="exact"/>
        <w:ind w:firstLine="567"/>
        <w:jc w:val="both"/>
        <w:rPr>
          <w:b/>
          <w:sz w:val="26"/>
          <w:szCs w:val="26"/>
        </w:rPr>
      </w:pPr>
      <w:r>
        <w:rPr>
          <w:b/>
          <w:sz w:val="26"/>
          <w:szCs w:val="26"/>
        </w:rPr>
        <w:t xml:space="preserve">Dự án Khu đô thị phía Đông Nam thị trấn Đồng Mỏ (nay là xã Chi Lăng, tỉnh Lạng Sơn) có vị trí ít thuận lợi, cách xa trung tâm, địa thế đất hiện trạng là đồi cao, theo phương án thi công sau khi san gạt và đầu tư hạ tầng có cốt nền cao hơn mặt đường Đại Huề hiện trạng, dự án ít vị trí lợi thế, các trục đường bên trong không có điều kiện kết nối vùng, không thuận lợi về điều kiện thương mại, chủ yếu phù hợp để ở. </w:t>
      </w:r>
    </w:p>
    <w:p w14:paraId="61BE925D">
      <w:pPr>
        <w:widowControl w:val="0"/>
        <w:tabs>
          <w:tab w:val="left" w:pos="1276"/>
        </w:tabs>
        <w:spacing w:before="120" w:after="120" w:line="340" w:lineRule="exact"/>
        <w:ind w:firstLine="567"/>
        <w:jc w:val="both"/>
        <w:rPr>
          <w:b/>
          <w:sz w:val="26"/>
          <w:szCs w:val="26"/>
        </w:rPr>
      </w:pPr>
      <w:r>
        <w:rPr>
          <w:b/>
          <w:sz w:val="26"/>
          <w:szCs w:val="26"/>
        </w:rPr>
        <w:t>Căn cứ Chấp thuận chủ trương đầu tư thì nhà đầu tư số 1328/QĐ-UBND ngày 05/07/2021: dự kiến xây dựng công trình nhà ở (phần thô) cho 120 lô đất tiếp giáp Mặt cắt 1-1, quy mô đường rộng 31m và Mặt cắt 2-2, quy mô đường rộng 16,5m theo quy hoạch được phê duyệt. Đối với các lô đất xây thô hoàn thiện mặt ngoài, xét yếu tố thanh khoản có phần kém hơn các ô đất nền cùng vị trí, do giá trị nhà cộng vào cùng giá trị đất do đó giá trị giao dịch sẽ cao. Quan điểm dân cư nông thôn hoặc đô thị miền núi chưa thực sự ưa chuộng nhà xây sẵn vì lo ngại chất lượng công trình, mẫu nhà không được theo ý muốn cá nhân, nhiều người muốn mua đất nền để tích luỹ chứ chưa có nhu cầu xây dựng.... Người đầu tư chưa thực sự muốn đầu tư phân khúc nhà có sẵn vì liên quan yếu tố thanh khoán, lượng tiền đầu tư cao, khi chưa giao dịch được thì công trình nhà sẽ xuống cấp.</w:t>
      </w:r>
    </w:p>
    <w:p w14:paraId="44B1C7BB">
      <w:pPr>
        <w:widowControl w:val="0"/>
        <w:tabs>
          <w:tab w:val="left" w:pos="1276"/>
        </w:tabs>
        <w:spacing w:before="120" w:after="120" w:line="340" w:lineRule="exact"/>
        <w:ind w:firstLine="567"/>
        <w:jc w:val="both"/>
        <w:rPr>
          <w:b/>
          <w:spacing w:val="-6"/>
          <w:sz w:val="26"/>
          <w:szCs w:val="26"/>
        </w:rPr>
      </w:pPr>
      <w:r>
        <w:rPr>
          <w:b/>
          <w:spacing w:val="-6"/>
          <w:sz w:val="26"/>
          <w:szCs w:val="26"/>
        </w:rPr>
        <w:t>3.5. Khảo sát, đánh giá,  lựa chọn thông tin của các thửa đất so sánh:</w:t>
      </w:r>
    </w:p>
    <w:p w14:paraId="0FFD76A7">
      <w:pPr>
        <w:spacing w:before="120" w:after="120" w:line="320" w:lineRule="exact"/>
        <w:ind w:firstLine="567"/>
        <w:jc w:val="both"/>
        <w:rPr>
          <w:rFonts w:eastAsia="Tahoma"/>
          <w:i/>
          <w:iCs/>
          <w:color w:val="000000" w:themeColor="text1"/>
          <w:sz w:val="26"/>
          <w:szCs w:val="26"/>
          <w:lang w:val="da-DK"/>
          <w14:textFill>
            <w14:solidFill>
              <w14:schemeClr w14:val="tx1"/>
            </w14:solidFill>
          </w14:textFill>
        </w:rPr>
      </w:pPr>
      <w:r>
        <w:rPr>
          <w:rFonts w:eastAsia="Tahoma"/>
          <w:i/>
          <w:iCs/>
          <w:color w:val="000000" w:themeColor="text1"/>
          <w:sz w:val="26"/>
          <w:szCs w:val="26"/>
          <w:lang w:val="da-DK"/>
          <w14:textFill>
            <w14:solidFill>
              <w14:schemeClr w14:val="tx1"/>
            </w14:solidFill>
          </w14:textFill>
        </w:rPr>
        <w:t xml:space="preserve">* Nguyên tắc khi lựa chọn các tài sản so sánh: </w:t>
      </w:r>
    </w:p>
    <w:p w14:paraId="17140D24">
      <w:pPr>
        <w:spacing w:before="120" w:after="120" w:line="320" w:lineRule="exact"/>
        <w:ind w:firstLine="720"/>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xml:space="preserve">Căn cứ quy định tại Khoản 2, Điều 4, nghị định 71/2024/NĐ-CP ngày 27/06/2024 của Chính Phủ: </w:t>
      </w:r>
    </w:p>
    <w:p w14:paraId="7AD9A5BC">
      <w:pPr>
        <w:spacing w:before="120" w:after="120" w:line="320" w:lineRule="exact"/>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w:t>
      </w:r>
      <w:r>
        <w:rPr>
          <w:rFonts w:eastAsia="Tahoma"/>
          <w:color w:val="000000" w:themeColor="text1"/>
          <w:sz w:val="26"/>
          <w:szCs w:val="26"/>
          <w:lang w:val="vi-VN"/>
          <w14:textFill>
            <w14:solidFill>
              <w14:schemeClr w14:val="tx1"/>
            </w14:solidFill>
          </w14:textFill>
        </w:rPr>
        <w:t>2. Khảo sát, thu thập thông tin đối với thửa đất so sánh, gồm:</w:t>
      </w:r>
    </w:p>
    <w:p w14:paraId="0AB81A6E">
      <w:pPr>
        <w:spacing w:before="120" w:after="120" w:line="320" w:lineRule="exact"/>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lang w:val="vi-VN"/>
          <w14:textFill>
            <w14:solidFill>
              <w14:schemeClr w14:val="tx1"/>
            </w14:solidFill>
          </w14:textFill>
        </w:rPr>
        <w:t>a) Thông tin đầu vào để định giá đất là giá đất đã chuyển nhượng trên thị trường, giá đất đã trúng đấu giá quyền sử dụng đất sau khi hoàn thành nghĩa vụ tài chính quy định tại các điểm a, b và c khoản 3 Điều 158 Luật Đất đai</w:t>
      </w:r>
      <w:r>
        <w:rPr>
          <w:rFonts w:eastAsia="Tahoma"/>
          <w:color w:val="000000" w:themeColor="text1"/>
          <w:sz w:val="26"/>
          <w:szCs w:val="26"/>
          <w14:textFill>
            <w14:solidFill>
              <w14:schemeClr w14:val="tx1"/>
            </w14:solidFill>
          </w14:textFill>
        </w:rPr>
        <w:t>”</w:t>
      </w:r>
    </w:p>
    <w:p w14:paraId="15966DA0">
      <w:pPr>
        <w:spacing w:before="120" w:after="120" w:line="380" w:lineRule="exact"/>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 xml:space="preserve">- Qua khảo sát giá đất tại các hợp đồng chuyển nhượng, đơn vị tư vấn nhận thấy </w:t>
      </w:r>
      <w:r>
        <w:rPr>
          <w:rFonts w:eastAsia="Tahoma"/>
          <w:color w:val="000000" w:themeColor="text1"/>
          <w:sz w:val="26"/>
          <w:szCs w:val="26"/>
          <w:lang w:val="vi-VN"/>
          <w14:textFill>
            <w14:solidFill>
              <w14:schemeClr w14:val="tx1"/>
            </w14:solidFill>
          </w14:textFill>
        </w:rPr>
        <w:t xml:space="preserve">các thông tin giao dịch thực tế chỉ mang tính chất tham khảo do mức giao dịch chỉ mang tính đơn lẻ, không phổ biến, người được phỏng vấn có thể chưa cung cấp đúng thông tin thực tế. Giá chuyển nhượng các thửa đất đơn lẻ có thể bị ảnh hưởng bởi các yếu tố chủ quan giữa người mua và người bán. Việc khảo sát thu thập thông tin tại mỗi thời điểm hoặc mỗi cá nhân đi thu thập có thể sẽ nhận được các thông tin khác nhau cùng 1 thửa đất, người cung cấp thông tin không ký xác nhận hay chịu trách nhiệm về thông tin họ cung cấp. Mức giá giao dịch trên hợp đồng có thể được đưa ra thấp hơn mức giao dịch thực tế nhưng không có cơ sở để kiểm chứng chính xác, mức giá kê khai thực hiện nghĩa vụ thuế thường bằng hoặc cao hơn không đáng kể so với mức giá quy định trong bảng giá đất. </w:t>
      </w:r>
    </w:p>
    <w:p w14:paraId="3D98DFE0">
      <w:pPr>
        <w:spacing w:before="120" w:after="120" w:line="380" w:lineRule="exact"/>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 xml:space="preserve">=&gt; </w:t>
      </w:r>
      <w:r>
        <w:rPr>
          <w:rFonts w:eastAsia="Tahoma"/>
          <w:color w:val="000000" w:themeColor="text1"/>
          <w:sz w:val="26"/>
          <w:szCs w:val="26"/>
          <w:lang w:val="vi-VN"/>
          <w14:textFill>
            <w14:solidFill>
              <w14:schemeClr w14:val="tx1"/>
            </w14:solidFill>
          </w14:textFill>
        </w:rPr>
        <w:t>Do đó đơn vị tư vấn đề xuất sử dụng các giao dịch giá đất đã trúng đấu giá quyền sử dụng đất sau khi hoàn thành nghĩa vụ tài chính làm cơ sở so sánh</w:t>
      </w:r>
      <w:r>
        <w:rPr>
          <w:rFonts w:eastAsia="Tahoma"/>
          <w:color w:val="000000" w:themeColor="text1"/>
          <w:sz w:val="26"/>
          <w:szCs w:val="26"/>
          <w14:textFill>
            <w14:solidFill>
              <w14:schemeClr w14:val="tx1"/>
            </w14:solidFill>
          </w14:textFill>
        </w:rPr>
        <w:t>.</w:t>
      </w:r>
    </w:p>
    <w:p w14:paraId="71B5CC8A">
      <w:pPr>
        <w:spacing w:before="120" w:after="120" w:line="380" w:lineRule="exact"/>
        <w:ind w:firstLine="567"/>
        <w:jc w:val="both"/>
        <w:rPr>
          <w:color w:val="000000"/>
          <w:spacing w:val="-2"/>
          <w:sz w:val="26"/>
          <w:szCs w:val="26"/>
        </w:rPr>
      </w:pPr>
      <w:r>
        <w:rPr>
          <w:color w:val="000000"/>
          <w:spacing w:val="-2"/>
          <w:sz w:val="26"/>
          <w:szCs w:val="26"/>
        </w:rPr>
        <w:t xml:space="preserve">Các tài sản đấu giá phát mại của ngân hàng không thuộc hình thức đấu giá tài sản công khai của Nhà nước theo luật đấu giá tài sản như đối với các thửa đất mà Nhà nước đầu tư hạ tầng kỹ thuật và đưa ra đấu giá theo quy định. Theo pháp luật dân sự, phương thức phát mãi tài sản là các phương thức xử lý tài sản bảo đảm tài sản thế chấp được các bên thỏa thuận khi bên vay không bảo đảm được nghĩa vụ thanh toán nợ của mình, do vậy việc công bố thông tin không thật sự rộng rãi, đối tượng khách hàng có thể tiếp cận không nhiều. Do đó số người tham gia đấu giá, mua bán thường rất ít, chủ yếu đủ đảm bảo số phiếu tối thiểu theo quy định, không tạo ra cơ sở giao dịch thị trường thực sự như đối với tài sản do Nhà nước tổ chức đấu giá rộng rãi công khai. </w:t>
      </w:r>
    </w:p>
    <w:p w14:paraId="6674B79A">
      <w:pPr>
        <w:spacing w:before="120" w:after="120" w:line="380" w:lineRule="exact"/>
        <w:ind w:firstLine="567"/>
        <w:jc w:val="both"/>
        <w:rPr>
          <w:color w:val="000000"/>
          <w:spacing w:val="-2"/>
          <w:sz w:val="26"/>
          <w:szCs w:val="26"/>
        </w:rPr>
      </w:pPr>
      <w:r>
        <w:rPr>
          <w:color w:val="000000"/>
          <w:spacing w:val="-2"/>
          <w:sz w:val="26"/>
          <w:szCs w:val="26"/>
        </w:rPr>
        <w:t xml:space="preserve">Các tài sản ngân hàng tổ chức đấu giá phát mại, chuyển nhượng tài sản đều bán theo hình thức có sao bán vậy theo hiện trạng tài sản, và chủ yếu là duy nhất 01 đến 02 tài sản được đưa ra đấu/bán trên một đợt. Vì vậy về hạ tầng không được đầu đồng bộ, kết nối như đối với các khu đấu giá mà Nhà nước đã đầu tư theo quy hoạch và mang ra đấu giá với số lượng lớn, tạo ra thị trường công khai minh bạch. </w:t>
      </w:r>
    </w:p>
    <w:p w14:paraId="26B47753">
      <w:pPr>
        <w:spacing w:before="120" w:after="120" w:line="380" w:lineRule="exact"/>
        <w:ind w:firstLine="567"/>
        <w:jc w:val="both"/>
        <w:rPr>
          <w:color w:val="000000"/>
          <w:spacing w:val="-2"/>
          <w:sz w:val="26"/>
          <w:szCs w:val="26"/>
        </w:rPr>
      </w:pPr>
      <w:r>
        <w:rPr>
          <w:color w:val="000000"/>
          <w:spacing w:val="-2"/>
          <w:sz w:val="26"/>
          <w:szCs w:val="26"/>
        </w:rPr>
        <w:t>=&gt; Từ các đánh giá trên, đơn vị tư vấn đề xuất không sử dụng kết quả trúng đấu giá thành công, giá chuyển nhượng từ các hồ sơ liên quan đến đấu giá quyền sử dụng đất là tài sản của Thi hành án, thế chấp Ngân hàng hợp đồng với tổ chức đấu giá, do Văn phòng đăng ký đất đai huyện Chi Lăng cung cấp.</w:t>
      </w:r>
    </w:p>
    <w:p w14:paraId="7893F842">
      <w:pPr>
        <w:spacing w:before="120" w:after="120" w:line="380" w:lineRule="exact"/>
        <w:ind w:firstLine="720"/>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xml:space="preserve">Căn cứ quy định tại Khoản 3, Điều 4, nghị định 71/2024/NĐ-CP ngày 27/06/2024 của Chính Phủ: </w:t>
      </w:r>
    </w:p>
    <w:p w14:paraId="2F35AAB1">
      <w:pPr>
        <w:spacing w:before="120" w:after="120" w:line="380" w:lineRule="exact"/>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14:textFill>
            <w14:solidFill>
              <w14:schemeClr w14:val="tx1"/>
            </w14:solidFill>
          </w14:textFill>
        </w:rPr>
        <w:t>“</w:t>
      </w:r>
      <w:r>
        <w:rPr>
          <w:rFonts w:eastAsia="Tahoma"/>
          <w:color w:val="000000" w:themeColor="text1"/>
          <w:sz w:val="26"/>
          <w:szCs w:val="26"/>
          <w:lang w:val="vi-VN"/>
          <w14:textFill>
            <w14:solidFill>
              <w14:schemeClr w14:val="tx1"/>
            </w14:solidFill>
          </w14:textFill>
        </w:rPr>
        <w:t>3. Việc lựa chọn thông tin của các thửa đất so sánh thực hiện theo thứ tự ưu tiên như sau:</w:t>
      </w:r>
    </w:p>
    <w:p w14:paraId="38E22164">
      <w:pPr>
        <w:spacing w:before="120" w:after="120" w:line="380" w:lineRule="exact"/>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lang w:val="vi-VN"/>
          <w14:textFill>
            <w14:solidFill>
              <w14:schemeClr w14:val="tx1"/>
            </w14:solidFill>
          </w14:textFill>
        </w:rPr>
        <w:t>a) Thông tin gần nhất với thời điểm định giá đất.</w:t>
      </w:r>
    </w:p>
    <w:p w14:paraId="5627D20B">
      <w:pPr>
        <w:spacing w:before="120" w:after="120" w:line="380" w:lineRule="exact"/>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lang w:val="vi-VN"/>
          <w14:textFill>
            <w14:solidFill>
              <w14:schemeClr w14:val="tx1"/>
            </w14:solidFill>
          </w14:textFill>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50B1CC3B">
      <w:pPr>
        <w:spacing w:before="120" w:after="120" w:line="380" w:lineRule="exact"/>
        <w:ind w:firstLine="720"/>
        <w:jc w:val="both"/>
        <w:rPr>
          <w:rFonts w:eastAsia="Tahoma"/>
          <w:color w:val="000000" w:themeColor="text1"/>
          <w:sz w:val="26"/>
          <w:szCs w:val="26"/>
          <w14:textFill>
            <w14:solidFill>
              <w14:schemeClr w14:val="tx1"/>
            </w14:solidFill>
          </w14:textFill>
        </w:rPr>
      </w:pPr>
      <w:r>
        <w:rPr>
          <w:rFonts w:eastAsia="Tahoma"/>
          <w:color w:val="000000" w:themeColor="text1"/>
          <w:sz w:val="26"/>
          <w:szCs w:val="26"/>
          <w:lang w:val="vi-VN"/>
          <w14:textFill>
            <w14:solidFill>
              <w14:schemeClr w14:val="tx1"/>
            </w14:solidFill>
          </w14:textFill>
        </w:rPr>
        <w:t>b) Tương đồng nhất định về các yếu tố ảnh hưởng đến giá đất;</w:t>
      </w:r>
    </w:p>
    <w:p w14:paraId="48CD8894">
      <w:pPr>
        <w:spacing w:before="120" w:after="120" w:line="380" w:lineRule="exact"/>
        <w:ind w:firstLine="720"/>
        <w:jc w:val="both"/>
        <w:rPr>
          <w:rFonts w:eastAsia="Tahoma"/>
          <w:color w:val="000000" w:themeColor="text1"/>
          <w:spacing w:val="-4"/>
          <w:sz w:val="26"/>
          <w:szCs w:val="26"/>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c) Có khoảng cách gần nhất đến thửa đất, khu đất cần định giá và không bị giới hạn bởi địa giới hành chính của các đơn vị hành chính cấp xã, cấp huyện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r>
        <w:rPr>
          <w:rFonts w:eastAsia="Tahoma"/>
          <w:color w:val="000000" w:themeColor="text1"/>
          <w:spacing w:val="-4"/>
          <w:sz w:val="26"/>
          <w:szCs w:val="26"/>
          <w14:textFill>
            <w14:solidFill>
              <w14:schemeClr w14:val="tx1"/>
            </w14:solidFill>
          </w14:textFill>
        </w:rPr>
        <w:t>”.</w:t>
      </w:r>
    </w:p>
    <w:p w14:paraId="26A1D2A4">
      <w:pPr>
        <w:spacing w:before="120" w:after="120" w:line="38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xml:space="preserve">- Để đảm bảo các thửa đất so sánh có khoảng cách gần nhất đến thửa đất, khu đất cần định giá và không bị giới hạn bởi địa giới hành chính của các đơn vị hành chính cấp xã, cấp huyện trong địa bàn hành chính cấp tỉnh. Công ty cổ phần dịch vụ tư vấn và thẩm định giá Việt Nam tiến hành khảo sát thực tế kết quả các thửa đất đấu giá thành công trên </w:t>
      </w:r>
      <w:r>
        <w:rPr>
          <w:rFonts w:eastAsia="Tahoma"/>
          <w:b/>
          <w:bCs/>
          <w:color w:val="000000" w:themeColor="text1"/>
          <w:sz w:val="26"/>
          <w:szCs w:val="26"/>
          <w:lang w:val="da-DK"/>
          <w14:textFill>
            <w14:solidFill>
              <w14:schemeClr w14:val="tx1"/>
            </w14:solidFill>
          </w14:textFill>
        </w:rPr>
        <w:t>địa bàn huyện Chi Lăng</w:t>
      </w:r>
      <w:r>
        <w:rPr>
          <w:rFonts w:eastAsia="Tahoma"/>
          <w:color w:val="000000" w:themeColor="text1"/>
          <w:sz w:val="26"/>
          <w:szCs w:val="26"/>
          <w:lang w:val="da-DK"/>
          <w14:textFill>
            <w14:solidFill>
              <w14:schemeClr w14:val="tx1"/>
            </w14:solidFill>
          </w14:textFill>
        </w:rPr>
        <w:t xml:space="preserve">, đánh giá về các yếu tố tương đồng, phù hợp, cụ thể như sau: </w:t>
      </w:r>
    </w:p>
    <w:p w14:paraId="689D870F">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Tháng 11/2023 UBND huyện Chi Lăng tổ chức đấu giá thành công 24/27 thửa đất tại khu dân cư thôn Nà Sèn, xã Mai Sao, huyện Chi Lăng. Qua khảo sát thực tế, khu dân cư thôn Nà Sèn thuộc làn 2 đường tỉnh 234B, cách UBND xã, trung tâm Mai Sao khoảng 1,4km. Nằm trong khu vực dân cư thưa thớt, gần ban chỉ quy quân sự huyện Chi Lăng, gần mỏ khai thác đá, phía sau lưng sát núi đá. Mức trúng đấu giá bình quân  2.189.088 đồng/m2. Cách tài sản thẩm định khoảng 4,5km. Đơn vị tư vấn nhận thấy, vị trí khu đất đấu giá kém lợi thế, mức giá trúng đấu giá thấp. Do đó đơn vị tư vấn không sử dụng các thửa đất đã trúng đấu giá tại khu dân cư thôn Nà Sèn, xã Mai Sao, huyện Chi Lăng làm thửa đất so sánh.</w:t>
      </w:r>
    </w:p>
    <w:p w14:paraId="767C1E25">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T</w:t>
      </w:r>
      <w:r>
        <w:rPr>
          <w:rFonts w:eastAsia="Tahoma"/>
          <w:color w:val="000000" w:themeColor="text1"/>
          <w:sz w:val="26"/>
          <w:szCs w:val="26"/>
          <w:lang w:val="vi-VN"/>
          <w14:textFill>
            <w14:solidFill>
              <w14:schemeClr w14:val="tx1"/>
            </w14:solidFill>
          </w14:textFill>
        </w:rPr>
        <w:t xml:space="preserve">hông qua kết quả các cuộc đấu giá trên địa bàn </w:t>
      </w:r>
      <w:r>
        <w:rPr>
          <w:rFonts w:eastAsia="Tahoma"/>
          <w:color w:val="000000" w:themeColor="text1"/>
          <w:sz w:val="26"/>
          <w:szCs w:val="26"/>
          <w14:textFill>
            <w14:solidFill>
              <w14:schemeClr w14:val="tx1"/>
            </w14:solidFill>
          </w14:textFill>
        </w:rPr>
        <w:t>thành phố Lạng Sơn, năm 2022 chỉ tổ chức đấu giá thành công 03 thửa đất, năm 2023 và 2024 không có cuộc đấu giá QSD đất ở nào được tổ chức thành công</w:t>
      </w:r>
      <w:r>
        <w:rPr>
          <w:rFonts w:eastAsia="Tahoma"/>
          <w:color w:val="000000" w:themeColor="text1"/>
          <w:sz w:val="26"/>
          <w:szCs w:val="26"/>
          <w:lang w:val="da-DK"/>
          <w14:textFill>
            <w14:solidFill>
              <w14:schemeClr w14:val="tx1"/>
            </w14:solidFill>
          </w14:textFill>
        </w:rPr>
        <w:t xml:space="preserve">. </w:t>
      </w:r>
    </w:p>
    <w:p w14:paraId="2CA99EE0">
      <w:pPr>
        <w:spacing w:before="120" w:after="120" w:line="360" w:lineRule="exact"/>
        <w:ind w:firstLine="567"/>
        <w:jc w:val="both"/>
        <w:rPr>
          <w:rFonts w:eastAsia="Tahoma"/>
          <w:b/>
          <w:bCs/>
          <w:i/>
          <w:iCs/>
          <w:spacing w:val="-2"/>
          <w:sz w:val="26"/>
          <w:szCs w:val="26"/>
          <w:lang w:val="da-DK"/>
        </w:rPr>
      </w:pPr>
      <w:r>
        <w:rPr>
          <w:rFonts w:eastAsia="Tahoma"/>
          <w:b/>
          <w:bCs/>
          <w:i/>
          <w:iCs/>
          <w:spacing w:val="-2"/>
          <w:sz w:val="26"/>
          <w:szCs w:val="26"/>
          <w:lang w:val="da-DK"/>
        </w:rPr>
        <w:t>- Đơn vị tư vấn tiến hành mở rộng khảo sát đấu giá thành công đã hoàn thành nghĩa vụ tài chính đối với huyện lân cận trong địa bàn tỉnh là huyện Hữu Lũng; thành phố Lạng Sơn; huyện Cao Lộc, huyện Lộc Bình (trước khi xoá bỏ cơ quan hành chính cấp huyện, thành phố), thu thập được các thông tin khảo sát như sau:</w:t>
      </w:r>
    </w:p>
    <w:p w14:paraId="627FD568">
      <w:pPr>
        <w:spacing w:before="120" w:after="120" w:line="360" w:lineRule="exact"/>
        <w:ind w:firstLine="567"/>
        <w:jc w:val="both"/>
        <w:rPr>
          <w:rFonts w:eastAsia="Tahoma"/>
          <w:b/>
          <w:bCs/>
          <w:sz w:val="26"/>
          <w:szCs w:val="26"/>
          <w:lang w:val="da-DK"/>
        </w:rPr>
      </w:pPr>
      <w:r>
        <w:rPr>
          <w:rFonts w:eastAsia="Tahoma"/>
          <w:b/>
          <w:bCs/>
          <w:sz w:val="26"/>
          <w:szCs w:val="26"/>
          <w:lang w:val="da-DK"/>
        </w:rPr>
        <w:t>*Đối với địa bàn huyện Hữu Lũng:</w:t>
      </w:r>
    </w:p>
    <w:p w14:paraId="1FF6A773">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xml:space="preserve">+ Khu đất trạm cơ điện cũ thôn Dốc Mới 1, xã Sơn Hà, huyện Hữu Lũng, tỉnh Lạng Sơn tại phiên đấu giá tháng 12/2022. Tổng số lô đất ở bán đấu giá: 06 lô, số lô đất đã trúng đấu giá là: 06 lô. Thuộc vị trí 3 - Quốc lộ 1 cũ  - đoạn 2: Địa phận xã Sơn Hà giáp Thị trấn Hữu Lũng đến Ngã ba đường QL1 mới giao đường QL 1 cũ. Cách tài sản thẩm định khoảng 34,5km. Mức giá trúng đấu giá bình quân cả khu là </w:t>
      </w:r>
      <w:r>
        <w:rPr>
          <w:rFonts w:eastAsia="Tahoma"/>
          <w:b/>
          <w:bCs/>
          <w:i/>
          <w:iCs/>
          <w:color w:val="000000" w:themeColor="text1"/>
          <w:sz w:val="26"/>
          <w:szCs w:val="26"/>
          <w:lang w:val="da-DK"/>
          <w14:textFill>
            <w14:solidFill>
              <w14:schemeClr w14:val="tx1"/>
            </w14:solidFill>
          </w14:textFill>
        </w:rPr>
        <w:t>5.187.417 đồng/m2</w:t>
      </w:r>
      <w:r>
        <w:rPr>
          <w:rFonts w:eastAsia="Tahoma"/>
          <w:color w:val="000000" w:themeColor="text1"/>
          <w:sz w:val="26"/>
          <w:szCs w:val="26"/>
          <w:lang w:val="da-DK"/>
          <w14:textFill>
            <w14:solidFill>
              <w14:schemeClr w14:val="tx1"/>
            </w14:solidFill>
          </w14:textFill>
        </w:rPr>
        <w:t>;</w:t>
      </w:r>
    </w:p>
    <w:p w14:paraId="5482B740">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Năm 2023 UBND huyện Hữu Lũng tổ chức đấu giá tại Khu đấu giá trại chăn nuôi (cũ) thôn Bến Lường, xã Minh Sơn, huyện Hữu Lũng, tỉnh Lạng Sơn tại phiên đấu giá tháng 12/2023.</w:t>
      </w:r>
      <w:r>
        <w:t xml:space="preserve"> </w:t>
      </w:r>
      <w:r>
        <w:rPr>
          <w:rFonts w:eastAsia="Tahoma"/>
          <w:color w:val="000000" w:themeColor="text1"/>
          <w:sz w:val="26"/>
          <w:szCs w:val="26"/>
          <w:lang w:val="da-DK"/>
          <w14:textFill>
            <w14:solidFill>
              <w14:schemeClr w14:val="tx1"/>
            </w14:solidFill>
          </w14:textFill>
        </w:rPr>
        <w:t xml:space="preserve">Tổng số lô đất ở đã trúng đấu giá là: 09 lô. Thuộc Vị trí 1, vị trí 2 - QL1A đoạn 9 - Cột mốc km 92 đến đầu cầu Lường. Cách dự án cần thẩm định khoảng 42,5km. Mức giá trúng đấu giá bình quân cả khu là </w:t>
      </w:r>
      <w:r>
        <w:rPr>
          <w:rFonts w:eastAsia="Tahoma"/>
          <w:b/>
          <w:bCs/>
          <w:i/>
          <w:iCs/>
          <w:color w:val="000000" w:themeColor="text1"/>
          <w:sz w:val="26"/>
          <w:szCs w:val="26"/>
          <w:lang w:val="da-DK"/>
          <w14:textFill>
            <w14:solidFill>
              <w14:schemeClr w14:val="tx1"/>
            </w14:solidFill>
          </w14:textFill>
        </w:rPr>
        <w:t>2.433.681 đồng/m2;</w:t>
      </w:r>
    </w:p>
    <w:p w14:paraId="5C235C40">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Năm 2024 UBND huyện Hữu Lũng không tổ chức đấu giá QSD đất ở.</w:t>
      </w:r>
    </w:p>
    <w:p w14:paraId="2878E270">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Đối với Khu đất trạm cơ điện cũ thôn Dốc Mới 1, xã Sơn Hà do đã quá thời hạn tham chiếu 24 tháng kể từ thời điểm định giá, nên đơn vị tư vấn không sử dụng làm tài sản tham chiếu. Đối với Khu đấu giá trại chăn nuôi (cũ) thôn Bến Lường, xã Minh Sơn, huyện Hữu Lũng, tỉnh Lạng Sơn tại phiên đấu giá tháng 12/2023. Qua khảo sát đơn vị tư vấn nhận thấy thời gian tổ chức đấu đấu giá cách tương đối xa thời điểm thẩm định (13 tháng); mức giá trúng đấu giá thấp, đơn vị tư vấn đề xuất không sử dụng làm tài sản so sánh mà chỉ mang tính chất tham khảo.</w:t>
      </w:r>
    </w:p>
    <w:p w14:paraId="05169CAF">
      <w:pPr>
        <w:spacing w:before="120" w:after="120" w:line="360" w:lineRule="exact"/>
        <w:ind w:firstLine="567"/>
        <w:jc w:val="both"/>
        <w:rPr>
          <w:b/>
          <w:bCs/>
          <w:spacing w:val="-6"/>
          <w:lang w:val="vi-VN"/>
        </w:rPr>
      </w:pPr>
      <w:r>
        <w:rPr>
          <w:rFonts w:eastAsia="Tahoma"/>
          <w:color w:val="000000" w:themeColor="text1"/>
          <w:spacing w:val="-6"/>
          <w:sz w:val="26"/>
          <w:szCs w:val="26"/>
          <w:lang w:val="da-DK"/>
          <w14:textFill>
            <w14:solidFill>
              <w14:schemeClr w14:val="tx1"/>
            </w14:solidFill>
          </w14:textFill>
        </w:rPr>
        <w:tab/>
      </w:r>
      <w:r>
        <w:rPr>
          <w:rFonts w:eastAsia="Tahoma"/>
          <w:color w:val="000000" w:themeColor="text1"/>
          <w:spacing w:val="-6"/>
          <w:sz w:val="26"/>
          <w:szCs w:val="26"/>
          <w:lang w:val="da-DK"/>
          <w14:textFill>
            <w14:solidFill>
              <w14:schemeClr w14:val="tx1"/>
            </w14:solidFill>
          </w14:textFill>
        </w:rPr>
        <w:t>*</w:t>
      </w:r>
      <w:r>
        <w:rPr>
          <w:b/>
          <w:bCs/>
          <w:spacing w:val="-6"/>
        </w:rPr>
        <w:t>Đối với</w:t>
      </w:r>
      <w:r>
        <w:rPr>
          <w:b/>
          <w:bCs/>
          <w:spacing w:val="-6"/>
          <w:lang w:val="vi-VN"/>
        </w:rPr>
        <w:t xml:space="preserve"> </w:t>
      </w:r>
      <w:r>
        <w:rPr>
          <w:b/>
          <w:bCs/>
          <w:spacing w:val="-6"/>
        </w:rPr>
        <w:t>thành phố Lạng Sơn</w:t>
      </w:r>
      <w:r>
        <w:rPr>
          <w:b/>
          <w:bCs/>
          <w:spacing w:val="-6"/>
          <w:lang w:val="vi-VN"/>
        </w:rPr>
        <w:t>, Công ty VCVS thu thập được một số thông tin như sau:</w:t>
      </w:r>
    </w:p>
    <w:p w14:paraId="4F859D8C">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xml:space="preserve">- Ngày 29/11/2022 UBND thành phố Lạng Sơn ban hành QĐ số 3179/QĐ-UBND </w:t>
      </w:r>
      <w:bookmarkStart w:id="26" w:name="_Hlk168405623"/>
      <w:r>
        <w:rPr>
          <w:rFonts w:eastAsia="Tahoma"/>
          <w:color w:val="000000" w:themeColor="text1"/>
          <w:sz w:val="26"/>
          <w:szCs w:val="26"/>
          <w:lang w:val="da-DK"/>
          <w14:textFill>
            <w14:solidFill>
              <w14:schemeClr w14:val="tx1"/>
            </w14:solidFill>
          </w14:textFill>
        </w:rPr>
        <w:t>Công nhận kết quả trúng đấu giá quyền sử dụng đất lô đất số 3, khu tập thể trường Mầm non 8-3, phường Chi Lăng, thành phố Lạng Sơn (Thuộc tờ bản đồ địa chính phường Đông Kinh số 43 và tiếp giáp đường Thác Mạ 2, thuộc dự án Tiểu khu tái định cư khối 9, phường Đông Kinh, thành phố Lạng Sơn). Diện tích 162,2m2, giá khởi điểm 3.162.900.000 đồng, giá trúng đấu giá 3.165.000.000 đồng, đơn giá trúng 19.512.947 đồng/m2.</w:t>
      </w:r>
    </w:p>
    <w:p w14:paraId="53F9D1A2">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Ngày 25/08/2022 UBND thành phố Lạng Sơn ban hành QĐ số 2136/QĐ-UBND Công nhận kết quả trúng đấu giá quyền sử dụng đất thửa đất 404 tại khu TĐC Khối 9, phường Đông Kinh, thành phố Lạng Sơn (thửa đất số 191, tờ bản đồ địa chính số 5 thuộc đường Hoàng Diệu, phường Chi Lăng, thành phố Lạng Sơn). Diện tích 68,9m2, giá khởi điểm 1.212.640.000đồng, giá trúng đấu giá 1.235.000.000 đồng, đơn giá trúng 17.924.528đồng/m2.</w:t>
      </w:r>
    </w:p>
    <w:p w14:paraId="31EC2286">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Ngày 25/08/2022 UBND thành phố Lạng Sơn ban hành QĐ số 2137/QĐ-UBND Công nhận kết quả trúng đấu giá quyền sử dụng đất thửa đất 405 tại khu TĐC khối 9, phường Đông Kinh, thành phố Lạng Sơn (Thuộc tờ bản đồ địa chính phường Đông Kinh số 43 và tiếp giáp đường Thác Mạ 2, thuộc dự án Tiểu khu tái định cư khối 9, phường Đông Kinh, thành phố Lạng Sơn). Diện tích 91m2, giá khởi điểm 1.683.500.000 đồng, giá trúng đấu giá 1.690.000.000 đồng, đơn giá trúng 18.571.429 đồng/m2.</w:t>
      </w:r>
    </w:p>
    <w:p w14:paraId="4AF52D05">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Ngày 25/08/2022 UBND thành phố Lạng Sơn ban hành QĐ số 2137/QĐ-UBND Công nhận kết quả trúng đấu giá quyền sử dụng đất thửa đất 405 tại khu TĐC khối 9, phường Đông Kinh, thành phố Lạng Sơn (Thuộc tờ bản đồ địa chính phường Đông Kinh số 43 và tiếp giáp đường Thác Mạ 2, thuộc dự án Tiểu khu tái định cư khối 9, phường Đông Kinh, thành phố Lạng Sơn). Diện tích 91m2, giá khởi điểm 1.683.500.000 đồng, giá trúng đấu giá 1.690.000.000 đồng, đơn giá trúng 18.571.429 đồng/m2.</w:t>
      </w:r>
    </w:p>
    <w:bookmarkEnd w:id="26"/>
    <w:p w14:paraId="3ACCF774">
      <w:pPr>
        <w:spacing w:before="120" w:after="120" w:line="360" w:lineRule="exact"/>
        <w:ind w:firstLine="567"/>
        <w:jc w:val="both"/>
      </w:pPr>
      <w:r>
        <w:rPr>
          <w:rFonts w:eastAsia="Calibri"/>
          <w:sz w:val="26"/>
          <w:szCs w:val="26"/>
          <w:lang w:val="vi-VN"/>
        </w:rPr>
        <w:tab/>
      </w:r>
      <w:r>
        <w:rPr>
          <w:rFonts w:eastAsia="Calibri"/>
          <w:sz w:val="26"/>
          <w:szCs w:val="26"/>
          <w:lang w:val="vi-VN"/>
        </w:rPr>
        <w:t xml:space="preserve">=&gt; </w:t>
      </w:r>
      <w:r>
        <w:rPr>
          <w:sz w:val="27"/>
          <w:szCs w:val="27"/>
          <w:lang w:val="vi-VN"/>
        </w:rPr>
        <w:t xml:space="preserve">Thông qua kết quả các cuộc đấu giá trên địa bàn </w:t>
      </w:r>
      <w:r>
        <w:rPr>
          <w:sz w:val="27"/>
          <w:szCs w:val="27"/>
        </w:rPr>
        <w:t>thành phố Lạng Sơn, năm 2022 chỉ tổ chức đấu giá thành công 03 thửa đất, năm 2023 và 2024 không có cuộc đấu giá QSD đất ở nào được tổ chức thành công</w:t>
      </w:r>
      <w:r>
        <w:rPr>
          <w:sz w:val="27"/>
          <w:szCs w:val="27"/>
          <w:lang w:val="vi-VN"/>
        </w:rPr>
        <w:t>.</w:t>
      </w:r>
      <w:r>
        <w:rPr>
          <w:sz w:val="27"/>
          <w:szCs w:val="27"/>
        </w:rPr>
        <w:t xml:space="preserve"> Do đó việc tham chiếu cơ sở giá thị trường thông gia tình hình đấu giá gặp khó khăn và thiếu thông tin</w:t>
      </w:r>
      <w:r>
        <w:rPr>
          <w:sz w:val="27"/>
          <w:szCs w:val="27"/>
          <w:lang w:val="vi-VN"/>
        </w:rPr>
        <w:t xml:space="preserve"> </w:t>
      </w:r>
    </w:p>
    <w:p w14:paraId="62AF3A12">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b/>
          <w:bCs/>
          <w:color w:val="000000" w:themeColor="text1"/>
          <w:sz w:val="26"/>
          <w:szCs w:val="26"/>
          <w:lang w:val="da-DK"/>
          <w14:textFill>
            <w14:solidFill>
              <w14:schemeClr w14:val="tx1"/>
            </w14:solidFill>
          </w14:textFill>
        </w:rPr>
        <w:t>*Đối với địa bàn huyện Cao Lộc</w:t>
      </w:r>
      <w:r>
        <w:rPr>
          <w:rFonts w:eastAsia="Tahoma"/>
          <w:color w:val="000000" w:themeColor="text1"/>
          <w:sz w:val="26"/>
          <w:szCs w:val="26"/>
          <w:lang w:val="da-DK"/>
          <w14:textFill>
            <w14:solidFill>
              <w14:schemeClr w14:val="tx1"/>
            </w14:solidFill>
          </w14:textFill>
        </w:rPr>
        <w:t>: duy nhất tháng 06/2023 UBND huyện Cao Lộc phê duyệt giá khởi điểm đấu giá QSD đất tại khu đất Nhà trụ sở tiếp dân và cấp chứng minh nhân dân cũ tại khối 7, thị trấn Cao Lộc, huyện Cao Lộc, có diện tích 229,2m2, giá khởi điểm 22.002.000 đồng/m2, tuy nhiên không có khách hàng tham gia đấu giá, vì vậy không đủ điều kiện để tổ chức cuộc đấu giá.</w:t>
      </w:r>
    </w:p>
    <w:p w14:paraId="7769796A">
      <w:pPr>
        <w:spacing w:before="120" w:after="120" w:line="360" w:lineRule="exact"/>
        <w:ind w:firstLine="567"/>
        <w:jc w:val="both"/>
        <w:rPr>
          <w:rFonts w:eastAsia="Tahoma"/>
          <w:b/>
          <w:bCs/>
          <w:color w:val="000000" w:themeColor="text1"/>
          <w:sz w:val="26"/>
          <w:szCs w:val="26"/>
          <w:lang w:val="da-DK"/>
          <w14:textFill>
            <w14:solidFill>
              <w14:schemeClr w14:val="tx1"/>
            </w14:solidFill>
          </w14:textFill>
        </w:rPr>
      </w:pPr>
      <w:r>
        <w:rPr>
          <w:rFonts w:eastAsia="Tahoma"/>
          <w:b/>
          <w:bCs/>
          <w:color w:val="000000" w:themeColor="text1"/>
          <w:sz w:val="26"/>
          <w:szCs w:val="26"/>
          <w:lang w:val="da-DK"/>
          <w14:textFill>
            <w14:solidFill>
              <w14:schemeClr w14:val="tx1"/>
            </w14:solidFill>
          </w14:textFill>
        </w:rPr>
        <w:t xml:space="preserve">*Đối với địa bàn huyện Lộc Bình: </w:t>
      </w:r>
    </w:p>
    <w:p w14:paraId="5E7A812A">
      <w:pPr>
        <w:spacing w:before="120" w:after="120" w:line="360" w:lineRule="exact"/>
        <w:ind w:firstLine="567"/>
        <w:jc w:val="both"/>
        <w:rPr>
          <w:rFonts w:eastAsia="Tahoma"/>
          <w:color w:val="000000" w:themeColor="text1"/>
          <w:sz w:val="26"/>
          <w:szCs w:val="26"/>
          <w14:textFill>
            <w14:solidFill>
              <w14:schemeClr w14:val="tx1"/>
            </w14:solidFill>
          </w14:textFill>
        </w:rPr>
      </w:pPr>
      <w:r>
        <w:rPr>
          <w:rFonts w:eastAsia="Tahoma"/>
          <w:color w:val="000000" w:themeColor="text1"/>
          <w:sz w:val="26"/>
          <w:szCs w:val="26"/>
          <w:lang w:val="da-DK"/>
          <w14:textFill>
            <w14:solidFill>
              <w14:schemeClr w14:val="tx1"/>
            </w14:solidFill>
          </w14:textFill>
        </w:rPr>
        <w:t xml:space="preserve">Qua khảo sát trên địa bàn huyện Lộc Bình năm 2023, 2024 UBND huyện Lộc Bình tổ chức đấu giá QSD đất ở thành công 3 phiên tại </w:t>
      </w:r>
      <w:r>
        <w:rPr>
          <w:rFonts w:eastAsia="Tahoma"/>
          <w:color w:val="000000" w:themeColor="text1"/>
          <w:sz w:val="26"/>
          <w:szCs w:val="26"/>
          <w14:textFill>
            <w14:solidFill>
              <w14:schemeClr w14:val="tx1"/>
            </w14:solidFill>
          </w14:textFill>
        </w:rPr>
        <w:t>Khu tái định cư Huyện đội, khu Lao Động, thị trấn Lộc Bình, huyện Lộc Bình. Vị trí cách trục đường QL4B khoảng 65m; cách UBND huyện Lộc Bình khoảng 850m; cách trường THCS Lộc Bình khoảng 950m; cách khu liên cơ quan huyện khoảng 1,1km; cách chợ Lộc Bình khoảng 700m</w:t>
      </w:r>
      <w:r>
        <w:rPr>
          <w:rFonts w:eastAsia="Tahoma"/>
          <w:color w:val="000000" w:themeColor="text1"/>
          <w:sz w:val="26"/>
          <w:szCs w:val="26"/>
          <w:lang w:val="da-DK"/>
          <w14:textFill>
            <w14:solidFill>
              <w14:schemeClr w14:val="tx1"/>
            </w14:solidFill>
          </w14:textFill>
        </w:rPr>
        <w:t xml:space="preserve">. Vị trí cách dự án cần định giá - </w:t>
      </w:r>
      <w:r>
        <w:rPr>
          <w:rFonts w:eastAsia="Tahoma"/>
          <w:color w:val="000000" w:themeColor="text1"/>
          <w:sz w:val="26"/>
          <w:szCs w:val="26"/>
          <w14:textFill>
            <w14:solidFill>
              <w14:schemeClr w14:val="tx1"/>
            </w14:solidFill>
          </w14:textFill>
        </w:rPr>
        <w:t xml:space="preserve">Khu đô thị phía Đông Nam, thị trấn Đồng Mỏ khoảng 55,1km. </w:t>
      </w:r>
      <w:r>
        <w:rPr>
          <w:rFonts w:eastAsia="Tahoma"/>
          <w:color w:val="000000" w:themeColor="text1"/>
          <w:sz w:val="26"/>
          <w:szCs w:val="26"/>
          <w:lang w:val="da-DK"/>
          <w14:textFill>
            <w14:solidFill>
              <w14:schemeClr w14:val="tx1"/>
            </w14:solidFill>
          </w14:textFill>
        </w:rPr>
        <w:t>Các phiên đấu thuộc tháng 07/2023; tháng 04/2024; tháng 07/2024, cụ thể:</w:t>
      </w:r>
    </w:p>
    <w:p w14:paraId="34C7E8F8">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xml:space="preserve">.) Phiên tháng 7/2023: Số lô trúng đấu giá 04 lô (lô số 235, 239, 234, 244) bình mức trúng đấu giá thành công là </w:t>
      </w:r>
      <w:r>
        <w:rPr>
          <w:rFonts w:eastAsia="Tahoma"/>
          <w:color w:val="000000" w:themeColor="text1"/>
          <w:sz w:val="26"/>
          <w:szCs w:val="26"/>
          <w14:textFill>
            <w14:solidFill>
              <w14:schemeClr w14:val="tx1"/>
            </w14:solidFill>
          </w14:textFill>
        </w:rPr>
        <w:t>9.852.105</w:t>
      </w:r>
      <w:r>
        <w:rPr>
          <w:rFonts w:eastAsia="Tahoma"/>
          <w:color w:val="000000" w:themeColor="text1"/>
          <w:sz w:val="26"/>
          <w:szCs w:val="26"/>
          <w:lang w:val="da-DK"/>
          <w14:textFill>
            <w14:solidFill>
              <w14:schemeClr w14:val="tx1"/>
            </w14:solidFill>
          </w14:textFill>
        </w:rPr>
        <w:t xml:space="preserve"> đồng/m2.</w:t>
      </w:r>
    </w:p>
    <w:p w14:paraId="11465A73">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Phiên tháng 04/2024: Số lô trúng đấu giá 01 lô (lô số 240) mức trúng đấu giá 9.134.948 đồng/m2;</w:t>
      </w:r>
    </w:p>
    <w:p w14:paraId="31F67C3F">
      <w:pPr>
        <w:spacing w:before="120" w:after="120" w:line="360" w:lineRule="exact"/>
        <w:ind w:firstLine="567"/>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 Phiên tháng 07/2024: Số lô trúng đấu giá là 05 lô (lô số 229; 230; 234; 241; 242) mức trúng đấu giá bình quân là 9.087.948 đồng/m2.</w:t>
      </w:r>
    </w:p>
    <w:p w14:paraId="29D45352">
      <w:pPr>
        <w:spacing w:before="120" w:after="120" w:line="360" w:lineRule="exact"/>
        <w:ind w:firstLine="567"/>
        <w:jc w:val="both"/>
        <w:rPr>
          <w:rFonts w:eastAsia="Tahoma"/>
          <w:b/>
          <w:bCs/>
          <w:color w:val="000000" w:themeColor="text1"/>
          <w:sz w:val="26"/>
          <w:szCs w:val="26"/>
          <w14:textFill>
            <w14:solidFill>
              <w14:schemeClr w14:val="tx1"/>
            </w14:solidFill>
          </w14:textFill>
        </w:rPr>
      </w:pPr>
      <w:r>
        <w:rPr>
          <w:rFonts w:eastAsia="Tahoma"/>
          <w:b/>
          <w:bCs/>
          <w:color w:val="000000" w:themeColor="text1"/>
          <w:sz w:val="26"/>
          <w:szCs w:val="26"/>
          <w:lang w:val="da-DK"/>
          <w14:textFill>
            <w14:solidFill>
              <w14:schemeClr w14:val="tx1"/>
            </w14:solidFill>
          </w14:textFill>
        </w:rPr>
        <w:t xml:space="preserve">Xét thấy, về vị trí, kết nối giao thông, khoảng cách đến dự án thẩm định - </w:t>
      </w:r>
      <w:r>
        <w:rPr>
          <w:rFonts w:eastAsia="Tahoma"/>
          <w:b/>
          <w:bCs/>
          <w:color w:val="000000" w:themeColor="text1"/>
          <w:sz w:val="26"/>
          <w:szCs w:val="26"/>
          <w14:textFill>
            <w14:solidFill>
              <w14:schemeClr w14:val="tx1"/>
            </w14:solidFill>
          </w14:textFill>
        </w:rPr>
        <w:t>Khu đô thị phía Đông Nam, thị trấn Đồng Mỏ (khoảng 55,1km), xét về các yếu tố tương đồng, thời điểm đấu giá tương đối gần thời điểm định giá. Đơn vị tư vấn đề xuất lựa chọn kết quả trúng đấu giá thuộc Khu tái định cư Huyện đội, khu Lao Động, thị trấn Lộc Bình, huyện Lộc Bình tại phiên đấu năm 2024 làm tài sản tham chiếu, so sánh.</w:t>
      </w:r>
    </w:p>
    <w:p w14:paraId="796A3A8E">
      <w:pPr>
        <w:spacing w:before="120" w:after="120" w:line="360" w:lineRule="exact"/>
        <w:ind w:firstLine="567"/>
        <w:jc w:val="both"/>
        <w:rPr>
          <w:rFonts w:eastAsia="Tahoma"/>
          <w:b/>
          <w:bCs/>
          <w:color w:val="000000" w:themeColor="text1"/>
          <w:sz w:val="26"/>
          <w:szCs w:val="26"/>
          <w14:textFill>
            <w14:solidFill>
              <w14:schemeClr w14:val="tx1"/>
            </w14:solidFill>
          </w14:textFill>
        </w:rPr>
      </w:pPr>
      <w:r>
        <w:rPr>
          <w:rFonts w:eastAsia="Tahoma"/>
          <w:b/>
          <w:bCs/>
          <w:color w:val="000000" w:themeColor="text1"/>
          <w:sz w:val="26"/>
          <w:szCs w:val="26"/>
          <w:lang w:val="da-DK"/>
          <w14:textFill>
            <w14:solidFill>
              <w14:schemeClr w14:val="tx1"/>
            </w14:solidFill>
          </w14:textFill>
        </w:rPr>
        <w:t xml:space="preserve">Căn cứ quy định tại Khoản 3, Điều 4, nghị định 71/2024/NĐ-CP ngày 27/06/2024 của Chính Phủ: </w:t>
      </w:r>
      <w:r>
        <w:rPr>
          <w:rFonts w:eastAsia="Tahoma"/>
          <w:b/>
          <w:bCs/>
          <w:color w:val="000000" w:themeColor="text1"/>
          <w:spacing w:val="-2"/>
          <w:sz w:val="26"/>
          <w:szCs w:val="26"/>
          <w14:textFill>
            <w14:solidFill>
              <w14:schemeClr w14:val="tx1"/>
            </w14:solidFill>
          </w14:textFill>
        </w:rPr>
        <w:t>“</w:t>
      </w:r>
      <w:r>
        <w:rPr>
          <w:rFonts w:eastAsia="Tahoma"/>
          <w:b/>
          <w:bCs/>
          <w:color w:val="000000" w:themeColor="text1"/>
          <w:spacing w:val="-2"/>
          <w:sz w:val="26"/>
          <w:szCs w:val="26"/>
          <w:lang w:val="vi-VN"/>
          <w14:textFill>
            <w14:solidFill>
              <w14:schemeClr w14:val="tx1"/>
            </w14:solidFill>
          </w14:textFill>
        </w:rPr>
        <w:t>c</w:t>
      </w:r>
      <w:r>
        <w:rPr>
          <w:rFonts w:eastAsia="Tahoma"/>
          <w:b/>
          <w:bCs/>
          <w:color w:val="000000" w:themeColor="text1"/>
          <w:spacing w:val="-2"/>
          <w:sz w:val="26"/>
          <w:szCs w:val="26"/>
          <w14:textFill>
            <w14:solidFill>
              <w14:schemeClr w14:val="tx1"/>
            </w14:solidFill>
          </w14:textFill>
        </w:rPr>
        <w:t>……</w:t>
      </w:r>
      <w:r>
        <w:rPr>
          <w:rFonts w:eastAsia="Tahoma"/>
          <w:b/>
          <w:bCs/>
          <w:color w:val="000000" w:themeColor="text1"/>
          <w:spacing w:val="-2"/>
          <w:sz w:val="26"/>
          <w:szCs w:val="26"/>
          <w:lang w:val="vi-VN"/>
          <w14:textFill>
            <w14:solidFill>
              <w14:schemeClr w14:val="tx1"/>
            </w14:solidFill>
          </w14:textFill>
        </w:rPr>
        <w:t>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r>
        <w:rPr>
          <w:rFonts w:eastAsia="Tahoma"/>
          <w:b/>
          <w:bCs/>
          <w:color w:val="000000" w:themeColor="text1"/>
          <w:spacing w:val="-2"/>
          <w:sz w:val="26"/>
          <w:szCs w:val="26"/>
          <w14:textFill>
            <w14:solidFill>
              <w14:schemeClr w14:val="tx1"/>
            </w14:solidFill>
          </w14:textFill>
        </w:rPr>
        <w:t>”.</w:t>
      </w:r>
    </w:p>
    <w:p w14:paraId="40CA19C6">
      <w:pPr>
        <w:spacing w:before="120" w:after="120" w:line="360" w:lineRule="exact"/>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da-DK"/>
          <w14:textFill>
            <w14:solidFill>
              <w14:schemeClr w14:val="tx1"/>
            </w14:solidFill>
          </w14:textFill>
        </w:rPr>
        <w:tab/>
      </w:r>
      <w:r>
        <w:rPr>
          <w:rFonts w:eastAsia="Tahoma"/>
          <w:color w:val="000000" w:themeColor="text1"/>
          <w:sz w:val="26"/>
          <w:szCs w:val="26"/>
          <w:lang w:val="da-DK"/>
          <w14:textFill>
            <w14:solidFill>
              <w14:schemeClr w14:val="tx1"/>
            </w14:solidFill>
          </w14:textFill>
        </w:rPr>
        <w:t>- Công ty cổ phần dịch vụ tư vấn và thẩm định giá Việt Nam nhận thấy huyện Lạng Giang, tỉnh Bắc Giang (trước khi sáp nhập) có vị trí giáp ranh tỉnh Lạng Sơn qua cầu Lường. Xét về địa giới hành chính thì hai địa bàn cùng địa giới hành chính cấp huyện, có sự tương đồng về yếu tố giao thông như cùng tiếp giáp QL1A, đường cao tốc Bắc Giang – Lạng Sơn. Về vị trí cùng là huyện trung du miền núi phía bắc, có sự tương đồng nhất định về hạ tầng kỹ thuật và hạ tầng xã hội, hạ tầng không gian tuy có nhiều yếu tố thuận lợi hơn. Huyện Lạng Giang đã tổ chức thành công nhiều phiên đấu giá QSD đất ở, phân bố trải rộng khắp các xã và thị trấn, hình thành thị trường bất động sản rõ rệt, cơ sở tham chiếu đa dạng phong phú. Do đó Công ty cổ phần dịch vụ tư vấn và thẩm định giá Việt Nam xin đề xuất lựa chọn các thửa đất ở đã trúng đấu giá thành công trên địa bàn huyện Lạng Giang làm thửa đất so sánh.</w:t>
      </w:r>
    </w:p>
    <w:p w14:paraId="5255691E">
      <w:pPr>
        <w:widowControl w:val="0"/>
        <w:spacing w:before="120" w:after="120" w:line="320" w:lineRule="exact"/>
        <w:ind w:firstLine="720"/>
        <w:jc w:val="both"/>
        <w:rPr>
          <w:b/>
          <w:bCs/>
          <w:i/>
          <w:iCs/>
          <w:spacing w:val="-8"/>
          <w:sz w:val="26"/>
          <w:szCs w:val="26"/>
        </w:rPr>
      </w:pPr>
      <w:r>
        <w:rPr>
          <w:b/>
          <w:bCs/>
          <w:i/>
          <w:iCs/>
          <w:spacing w:val="-8"/>
          <w:sz w:val="26"/>
          <w:szCs w:val="26"/>
        </w:rPr>
        <w:t>- Năm 2022 UBND huyện Lạng Giang tổ chức các phiên đấu giá như sau:</w:t>
      </w:r>
    </w:p>
    <w:p w14:paraId="282A6E52">
      <w:pPr>
        <w:widowControl w:val="0"/>
        <w:spacing w:before="120" w:after="120" w:line="320" w:lineRule="exact"/>
        <w:ind w:firstLine="720"/>
        <w:jc w:val="both"/>
        <w:rPr>
          <w:b/>
          <w:bCs/>
          <w:i/>
          <w:iCs/>
          <w:spacing w:val="-8"/>
          <w:sz w:val="26"/>
          <w:szCs w:val="26"/>
        </w:rPr>
      </w:pP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56"/>
        <w:gridCol w:w="1843"/>
        <w:gridCol w:w="1016"/>
        <w:gridCol w:w="666"/>
        <w:gridCol w:w="1566"/>
        <w:gridCol w:w="1566"/>
        <w:gridCol w:w="856"/>
      </w:tblGrid>
      <w:tr w14:paraId="29C2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595" w:type="dxa"/>
            <w:vMerge w:val="restart"/>
            <w:noWrap/>
            <w:vAlign w:val="center"/>
          </w:tcPr>
          <w:p w14:paraId="17B90E49">
            <w:pPr>
              <w:jc w:val="center"/>
              <w:rPr>
                <w:b/>
                <w:bCs/>
                <w:sz w:val="20"/>
                <w:szCs w:val="20"/>
              </w:rPr>
            </w:pPr>
            <w:r>
              <w:rPr>
                <w:b/>
                <w:bCs/>
                <w:sz w:val="20"/>
                <w:szCs w:val="20"/>
              </w:rPr>
              <w:t>STT</w:t>
            </w:r>
          </w:p>
        </w:tc>
        <w:tc>
          <w:tcPr>
            <w:tcW w:w="1356" w:type="dxa"/>
            <w:vAlign w:val="center"/>
          </w:tcPr>
          <w:p w14:paraId="3165B6B3">
            <w:pPr>
              <w:jc w:val="center"/>
              <w:rPr>
                <w:b/>
                <w:bCs/>
                <w:sz w:val="20"/>
                <w:szCs w:val="20"/>
              </w:rPr>
            </w:pPr>
            <w:r>
              <w:rPr>
                <w:b/>
                <w:bCs/>
                <w:sz w:val="20"/>
                <w:szCs w:val="20"/>
              </w:rPr>
              <w:t>Tên dự án, Địa chỉ khu đất</w:t>
            </w:r>
          </w:p>
        </w:tc>
        <w:tc>
          <w:tcPr>
            <w:tcW w:w="1843" w:type="dxa"/>
            <w:vMerge w:val="restart"/>
            <w:vAlign w:val="center"/>
          </w:tcPr>
          <w:p w14:paraId="261EC300">
            <w:pPr>
              <w:jc w:val="center"/>
              <w:rPr>
                <w:b/>
                <w:bCs/>
                <w:sz w:val="20"/>
                <w:szCs w:val="20"/>
              </w:rPr>
            </w:pPr>
            <w:r>
              <w:rPr>
                <w:b/>
                <w:bCs/>
                <w:sz w:val="20"/>
                <w:szCs w:val="20"/>
              </w:rPr>
              <w:t>Khu đất</w:t>
            </w:r>
          </w:p>
        </w:tc>
        <w:tc>
          <w:tcPr>
            <w:tcW w:w="1016" w:type="dxa"/>
            <w:vMerge w:val="restart"/>
            <w:vAlign w:val="center"/>
          </w:tcPr>
          <w:p w14:paraId="052BA5E7">
            <w:pPr>
              <w:jc w:val="center"/>
              <w:rPr>
                <w:b/>
                <w:bCs/>
                <w:sz w:val="20"/>
                <w:szCs w:val="20"/>
              </w:rPr>
            </w:pPr>
            <w:r>
              <w:rPr>
                <w:b/>
                <w:bCs/>
                <w:sz w:val="20"/>
                <w:szCs w:val="20"/>
              </w:rPr>
              <w:t>Diện tích</w:t>
            </w:r>
          </w:p>
        </w:tc>
        <w:tc>
          <w:tcPr>
            <w:tcW w:w="666" w:type="dxa"/>
            <w:vMerge w:val="restart"/>
            <w:vAlign w:val="center"/>
          </w:tcPr>
          <w:p w14:paraId="76884CA8">
            <w:pPr>
              <w:jc w:val="center"/>
              <w:rPr>
                <w:b/>
                <w:bCs/>
                <w:sz w:val="20"/>
                <w:szCs w:val="20"/>
              </w:rPr>
            </w:pPr>
            <w:r>
              <w:rPr>
                <w:b/>
                <w:bCs/>
                <w:sz w:val="20"/>
                <w:szCs w:val="20"/>
              </w:rPr>
              <w:t>Số lô TĐG</w:t>
            </w:r>
          </w:p>
        </w:tc>
        <w:tc>
          <w:tcPr>
            <w:tcW w:w="1566" w:type="dxa"/>
            <w:vAlign w:val="center"/>
          </w:tcPr>
          <w:p w14:paraId="65F1BCA5">
            <w:pPr>
              <w:jc w:val="center"/>
              <w:rPr>
                <w:b/>
                <w:bCs/>
                <w:sz w:val="20"/>
                <w:szCs w:val="20"/>
              </w:rPr>
            </w:pPr>
            <w:r>
              <w:rPr>
                <w:b/>
                <w:bCs/>
                <w:sz w:val="20"/>
                <w:szCs w:val="20"/>
              </w:rPr>
              <w:t>Giá khởi điểm (của những</w:t>
            </w:r>
          </w:p>
        </w:tc>
        <w:tc>
          <w:tcPr>
            <w:tcW w:w="1566" w:type="dxa"/>
            <w:vAlign w:val="center"/>
          </w:tcPr>
          <w:p w14:paraId="05DEEA46">
            <w:pPr>
              <w:jc w:val="center"/>
              <w:rPr>
                <w:b/>
                <w:bCs/>
                <w:sz w:val="20"/>
                <w:szCs w:val="20"/>
              </w:rPr>
            </w:pPr>
            <w:r>
              <w:rPr>
                <w:b/>
                <w:bCs/>
                <w:sz w:val="20"/>
                <w:szCs w:val="20"/>
              </w:rPr>
              <w:t>Tổng số tiền</w:t>
            </w:r>
          </w:p>
        </w:tc>
        <w:tc>
          <w:tcPr>
            <w:tcW w:w="856" w:type="dxa"/>
            <w:vAlign w:val="center"/>
          </w:tcPr>
          <w:p w14:paraId="53CE3B39">
            <w:pPr>
              <w:jc w:val="center"/>
              <w:rPr>
                <w:b/>
                <w:bCs/>
                <w:sz w:val="20"/>
                <w:szCs w:val="20"/>
              </w:rPr>
            </w:pPr>
            <w:r>
              <w:rPr>
                <w:b/>
                <w:bCs/>
                <w:sz w:val="20"/>
                <w:szCs w:val="20"/>
              </w:rPr>
              <w:t>Tỷ lệ chênh lệch so với giá</w:t>
            </w:r>
          </w:p>
        </w:tc>
      </w:tr>
      <w:tr w14:paraId="0E2C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95" w:type="dxa"/>
            <w:vMerge w:val="continue"/>
            <w:vAlign w:val="center"/>
          </w:tcPr>
          <w:p w14:paraId="31EFB6E5">
            <w:pPr>
              <w:rPr>
                <w:b/>
                <w:bCs/>
                <w:sz w:val="20"/>
                <w:szCs w:val="20"/>
              </w:rPr>
            </w:pPr>
          </w:p>
        </w:tc>
        <w:tc>
          <w:tcPr>
            <w:tcW w:w="1356" w:type="dxa"/>
            <w:vAlign w:val="center"/>
          </w:tcPr>
          <w:p w14:paraId="544840A3">
            <w:pPr>
              <w:rPr>
                <w:b/>
                <w:bCs/>
                <w:sz w:val="20"/>
                <w:szCs w:val="20"/>
              </w:rPr>
            </w:pPr>
            <w:r>
              <w:rPr>
                <w:b/>
                <w:bCs/>
                <w:sz w:val="20"/>
                <w:szCs w:val="20"/>
              </w:rPr>
              <w:t>(xã, thị trấn)</w:t>
            </w:r>
          </w:p>
        </w:tc>
        <w:tc>
          <w:tcPr>
            <w:tcW w:w="1843" w:type="dxa"/>
            <w:vMerge w:val="continue"/>
            <w:vAlign w:val="center"/>
          </w:tcPr>
          <w:p w14:paraId="72E4980F">
            <w:pPr>
              <w:rPr>
                <w:b/>
                <w:bCs/>
                <w:sz w:val="20"/>
                <w:szCs w:val="20"/>
              </w:rPr>
            </w:pPr>
          </w:p>
        </w:tc>
        <w:tc>
          <w:tcPr>
            <w:tcW w:w="1016" w:type="dxa"/>
            <w:vMerge w:val="continue"/>
            <w:vAlign w:val="center"/>
          </w:tcPr>
          <w:p w14:paraId="46AA7867">
            <w:pPr>
              <w:rPr>
                <w:b/>
                <w:bCs/>
                <w:sz w:val="20"/>
                <w:szCs w:val="20"/>
              </w:rPr>
            </w:pPr>
          </w:p>
        </w:tc>
        <w:tc>
          <w:tcPr>
            <w:tcW w:w="666" w:type="dxa"/>
            <w:vMerge w:val="continue"/>
            <w:vAlign w:val="center"/>
          </w:tcPr>
          <w:p w14:paraId="14D9D220">
            <w:pPr>
              <w:rPr>
                <w:b/>
                <w:bCs/>
                <w:sz w:val="20"/>
                <w:szCs w:val="20"/>
              </w:rPr>
            </w:pPr>
          </w:p>
        </w:tc>
        <w:tc>
          <w:tcPr>
            <w:tcW w:w="1566" w:type="dxa"/>
            <w:vAlign w:val="center"/>
          </w:tcPr>
          <w:p w14:paraId="035ECCC7">
            <w:pPr>
              <w:jc w:val="right"/>
              <w:rPr>
                <w:b/>
                <w:bCs/>
                <w:sz w:val="20"/>
                <w:szCs w:val="20"/>
              </w:rPr>
            </w:pPr>
            <w:r>
              <w:rPr>
                <w:b/>
                <w:bCs/>
                <w:sz w:val="20"/>
                <w:szCs w:val="20"/>
              </w:rPr>
              <w:t>lô đấu thành)</w:t>
            </w:r>
          </w:p>
        </w:tc>
        <w:tc>
          <w:tcPr>
            <w:tcW w:w="1566" w:type="dxa"/>
            <w:vAlign w:val="center"/>
          </w:tcPr>
          <w:p w14:paraId="66E295C7">
            <w:pPr>
              <w:jc w:val="right"/>
              <w:rPr>
                <w:b/>
                <w:bCs/>
                <w:sz w:val="20"/>
                <w:szCs w:val="20"/>
              </w:rPr>
            </w:pPr>
            <w:r>
              <w:rPr>
                <w:b/>
                <w:bCs/>
                <w:sz w:val="20"/>
                <w:szCs w:val="20"/>
              </w:rPr>
              <w:t>trúng đấu giá</w:t>
            </w:r>
          </w:p>
        </w:tc>
        <w:tc>
          <w:tcPr>
            <w:tcW w:w="856" w:type="dxa"/>
            <w:vAlign w:val="center"/>
          </w:tcPr>
          <w:p w14:paraId="1D98E8EF">
            <w:pPr>
              <w:jc w:val="right"/>
              <w:rPr>
                <w:b/>
                <w:bCs/>
                <w:sz w:val="20"/>
                <w:szCs w:val="20"/>
              </w:rPr>
            </w:pPr>
            <w:r>
              <w:rPr>
                <w:b/>
                <w:bCs/>
                <w:sz w:val="20"/>
                <w:szCs w:val="20"/>
              </w:rPr>
              <w:t>KĐ (%)</w:t>
            </w:r>
          </w:p>
        </w:tc>
      </w:tr>
      <w:tr w14:paraId="74A0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vMerge w:val="restart"/>
            <w:noWrap/>
            <w:vAlign w:val="center"/>
          </w:tcPr>
          <w:p w14:paraId="68A92C01">
            <w:pPr>
              <w:jc w:val="center"/>
              <w:rPr>
                <w:sz w:val="20"/>
                <w:szCs w:val="20"/>
              </w:rPr>
            </w:pPr>
            <w:r>
              <w:rPr>
                <w:sz w:val="20"/>
                <w:szCs w:val="20"/>
              </w:rPr>
              <w:t>1</w:t>
            </w:r>
          </w:p>
        </w:tc>
        <w:tc>
          <w:tcPr>
            <w:tcW w:w="1356" w:type="dxa"/>
            <w:vMerge w:val="restart"/>
            <w:noWrap/>
            <w:vAlign w:val="center"/>
          </w:tcPr>
          <w:p w14:paraId="3D0A087E">
            <w:pPr>
              <w:rPr>
                <w:sz w:val="20"/>
                <w:szCs w:val="20"/>
              </w:rPr>
            </w:pPr>
            <w:r>
              <w:rPr>
                <w:sz w:val="20"/>
                <w:szCs w:val="20"/>
              </w:rPr>
              <w:t>Quang Thịnh</w:t>
            </w:r>
          </w:p>
        </w:tc>
        <w:tc>
          <w:tcPr>
            <w:tcW w:w="1843" w:type="dxa"/>
            <w:vAlign w:val="center"/>
          </w:tcPr>
          <w:p w14:paraId="44F4935A">
            <w:pPr>
              <w:rPr>
                <w:sz w:val="20"/>
                <w:szCs w:val="20"/>
              </w:rPr>
            </w:pPr>
            <w:r>
              <w:rPr>
                <w:sz w:val="20"/>
                <w:szCs w:val="20"/>
              </w:rPr>
              <w:t>Khu cổng UBND xã (đợt 1+đợt 2)</w:t>
            </w:r>
          </w:p>
        </w:tc>
        <w:tc>
          <w:tcPr>
            <w:tcW w:w="1016" w:type="dxa"/>
            <w:noWrap/>
            <w:vAlign w:val="center"/>
          </w:tcPr>
          <w:p w14:paraId="75C5CBC5">
            <w:pPr>
              <w:jc w:val="right"/>
              <w:rPr>
                <w:sz w:val="20"/>
                <w:szCs w:val="20"/>
              </w:rPr>
            </w:pPr>
            <w:r>
              <w:rPr>
                <w:sz w:val="20"/>
                <w:szCs w:val="20"/>
              </w:rPr>
              <w:t>7467,6</w:t>
            </w:r>
          </w:p>
        </w:tc>
        <w:tc>
          <w:tcPr>
            <w:tcW w:w="666" w:type="dxa"/>
            <w:noWrap/>
            <w:vAlign w:val="center"/>
          </w:tcPr>
          <w:p w14:paraId="402729DF">
            <w:pPr>
              <w:jc w:val="right"/>
              <w:rPr>
                <w:sz w:val="20"/>
                <w:szCs w:val="20"/>
              </w:rPr>
            </w:pPr>
            <w:r>
              <w:rPr>
                <w:sz w:val="20"/>
                <w:szCs w:val="20"/>
              </w:rPr>
              <w:t>67</w:t>
            </w:r>
          </w:p>
        </w:tc>
        <w:tc>
          <w:tcPr>
            <w:tcW w:w="1566" w:type="dxa"/>
            <w:noWrap/>
            <w:vAlign w:val="center"/>
          </w:tcPr>
          <w:p w14:paraId="397E19AB">
            <w:pPr>
              <w:jc w:val="right"/>
              <w:rPr>
                <w:sz w:val="20"/>
                <w:szCs w:val="20"/>
              </w:rPr>
            </w:pPr>
            <w:r>
              <w:rPr>
                <w:sz w:val="20"/>
                <w:szCs w:val="20"/>
              </w:rPr>
              <w:t>49.380.630.000</w:t>
            </w:r>
          </w:p>
        </w:tc>
        <w:tc>
          <w:tcPr>
            <w:tcW w:w="1566" w:type="dxa"/>
            <w:noWrap/>
            <w:vAlign w:val="center"/>
          </w:tcPr>
          <w:p w14:paraId="35AB7DCD">
            <w:pPr>
              <w:jc w:val="right"/>
              <w:rPr>
                <w:sz w:val="20"/>
                <w:szCs w:val="20"/>
              </w:rPr>
            </w:pPr>
            <w:r>
              <w:rPr>
                <w:sz w:val="20"/>
                <w:szCs w:val="20"/>
              </w:rPr>
              <w:t>119.116.425.000</w:t>
            </w:r>
          </w:p>
        </w:tc>
        <w:tc>
          <w:tcPr>
            <w:tcW w:w="856" w:type="dxa"/>
            <w:vAlign w:val="center"/>
          </w:tcPr>
          <w:p w14:paraId="0F0602A8">
            <w:pPr>
              <w:jc w:val="right"/>
              <w:rPr>
                <w:sz w:val="20"/>
                <w:szCs w:val="20"/>
              </w:rPr>
            </w:pPr>
            <w:r>
              <w:rPr>
                <w:sz w:val="20"/>
                <w:szCs w:val="20"/>
              </w:rPr>
              <w:t>241%</w:t>
            </w:r>
          </w:p>
        </w:tc>
      </w:tr>
      <w:tr w14:paraId="6D87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vMerge w:val="continue"/>
            <w:vAlign w:val="center"/>
          </w:tcPr>
          <w:p w14:paraId="53B577F8">
            <w:pPr>
              <w:rPr>
                <w:sz w:val="20"/>
                <w:szCs w:val="20"/>
              </w:rPr>
            </w:pPr>
          </w:p>
        </w:tc>
        <w:tc>
          <w:tcPr>
            <w:tcW w:w="1356" w:type="dxa"/>
            <w:vMerge w:val="continue"/>
            <w:vAlign w:val="center"/>
          </w:tcPr>
          <w:p w14:paraId="73C8581B">
            <w:pPr>
              <w:rPr>
                <w:sz w:val="20"/>
                <w:szCs w:val="20"/>
              </w:rPr>
            </w:pPr>
          </w:p>
        </w:tc>
        <w:tc>
          <w:tcPr>
            <w:tcW w:w="1843" w:type="dxa"/>
            <w:noWrap/>
            <w:vAlign w:val="center"/>
          </w:tcPr>
          <w:p w14:paraId="67E8FD0A">
            <w:pPr>
              <w:rPr>
                <w:sz w:val="20"/>
                <w:szCs w:val="20"/>
              </w:rPr>
            </w:pPr>
            <w:r>
              <w:rPr>
                <w:sz w:val="20"/>
                <w:szCs w:val="20"/>
              </w:rPr>
              <w:t>Thanh lương</w:t>
            </w:r>
          </w:p>
        </w:tc>
        <w:tc>
          <w:tcPr>
            <w:tcW w:w="1016" w:type="dxa"/>
            <w:noWrap/>
            <w:vAlign w:val="center"/>
          </w:tcPr>
          <w:p w14:paraId="704064F0">
            <w:pPr>
              <w:jc w:val="right"/>
              <w:rPr>
                <w:sz w:val="20"/>
                <w:szCs w:val="20"/>
              </w:rPr>
            </w:pPr>
            <w:r>
              <w:rPr>
                <w:sz w:val="20"/>
                <w:szCs w:val="20"/>
              </w:rPr>
              <w:t>175,10</w:t>
            </w:r>
          </w:p>
        </w:tc>
        <w:tc>
          <w:tcPr>
            <w:tcW w:w="666" w:type="dxa"/>
            <w:noWrap/>
            <w:vAlign w:val="center"/>
          </w:tcPr>
          <w:p w14:paraId="716D3223">
            <w:pPr>
              <w:jc w:val="right"/>
              <w:rPr>
                <w:sz w:val="20"/>
                <w:szCs w:val="20"/>
              </w:rPr>
            </w:pPr>
            <w:r>
              <w:rPr>
                <w:sz w:val="20"/>
                <w:szCs w:val="20"/>
              </w:rPr>
              <w:t>1,00</w:t>
            </w:r>
          </w:p>
        </w:tc>
        <w:tc>
          <w:tcPr>
            <w:tcW w:w="1566" w:type="dxa"/>
            <w:noWrap/>
            <w:vAlign w:val="center"/>
          </w:tcPr>
          <w:p w14:paraId="052958BD">
            <w:pPr>
              <w:jc w:val="right"/>
              <w:rPr>
                <w:sz w:val="20"/>
                <w:szCs w:val="20"/>
              </w:rPr>
            </w:pPr>
            <w:r>
              <w:rPr>
                <w:sz w:val="20"/>
                <w:szCs w:val="20"/>
              </w:rPr>
              <w:t>1.234.455.000</w:t>
            </w:r>
          </w:p>
        </w:tc>
        <w:tc>
          <w:tcPr>
            <w:tcW w:w="1566" w:type="dxa"/>
            <w:noWrap/>
            <w:vAlign w:val="center"/>
          </w:tcPr>
          <w:p w14:paraId="1E3DED0E">
            <w:pPr>
              <w:jc w:val="right"/>
              <w:rPr>
                <w:sz w:val="20"/>
                <w:szCs w:val="20"/>
              </w:rPr>
            </w:pPr>
            <w:r>
              <w:rPr>
                <w:sz w:val="20"/>
                <w:szCs w:val="20"/>
              </w:rPr>
              <w:t>1.379.100.000</w:t>
            </w:r>
          </w:p>
        </w:tc>
        <w:tc>
          <w:tcPr>
            <w:tcW w:w="856" w:type="dxa"/>
            <w:vAlign w:val="center"/>
          </w:tcPr>
          <w:p w14:paraId="48BBF3DF">
            <w:pPr>
              <w:jc w:val="right"/>
              <w:rPr>
                <w:sz w:val="20"/>
                <w:szCs w:val="20"/>
              </w:rPr>
            </w:pPr>
            <w:r>
              <w:rPr>
                <w:sz w:val="20"/>
                <w:szCs w:val="20"/>
              </w:rPr>
              <w:t>112%</w:t>
            </w:r>
          </w:p>
        </w:tc>
      </w:tr>
      <w:tr w14:paraId="1A38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06D01C0F">
            <w:pPr>
              <w:jc w:val="center"/>
              <w:rPr>
                <w:sz w:val="20"/>
                <w:szCs w:val="20"/>
              </w:rPr>
            </w:pPr>
            <w:r>
              <w:rPr>
                <w:sz w:val="20"/>
                <w:szCs w:val="20"/>
              </w:rPr>
              <w:t>2</w:t>
            </w:r>
          </w:p>
        </w:tc>
        <w:tc>
          <w:tcPr>
            <w:tcW w:w="1356" w:type="dxa"/>
            <w:noWrap/>
            <w:vAlign w:val="center"/>
          </w:tcPr>
          <w:p w14:paraId="78D10E23">
            <w:pPr>
              <w:rPr>
                <w:sz w:val="20"/>
                <w:szCs w:val="20"/>
              </w:rPr>
            </w:pPr>
            <w:r>
              <w:rPr>
                <w:sz w:val="20"/>
                <w:szCs w:val="20"/>
              </w:rPr>
              <w:t>Đai Lâm</w:t>
            </w:r>
          </w:p>
        </w:tc>
        <w:tc>
          <w:tcPr>
            <w:tcW w:w="1843" w:type="dxa"/>
            <w:vAlign w:val="center"/>
          </w:tcPr>
          <w:p w14:paraId="071858BE">
            <w:pPr>
              <w:rPr>
                <w:sz w:val="20"/>
                <w:szCs w:val="20"/>
              </w:rPr>
            </w:pPr>
            <w:r>
              <w:rPr>
                <w:sz w:val="20"/>
                <w:szCs w:val="20"/>
              </w:rPr>
              <w:t>Thôn Hậu</w:t>
            </w:r>
          </w:p>
        </w:tc>
        <w:tc>
          <w:tcPr>
            <w:tcW w:w="1016" w:type="dxa"/>
            <w:noWrap/>
            <w:vAlign w:val="center"/>
          </w:tcPr>
          <w:p w14:paraId="4C112699">
            <w:pPr>
              <w:jc w:val="right"/>
              <w:rPr>
                <w:sz w:val="20"/>
                <w:szCs w:val="20"/>
              </w:rPr>
            </w:pPr>
            <w:r>
              <w:rPr>
                <w:sz w:val="20"/>
                <w:szCs w:val="20"/>
              </w:rPr>
              <w:t>11.715,10</w:t>
            </w:r>
          </w:p>
        </w:tc>
        <w:tc>
          <w:tcPr>
            <w:tcW w:w="666" w:type="dxa"/>
            <w:noWrap/>
            <w:vAlign w:val="center"/>
          </w:tcPr>
          <w:p w14:paraId="4902908D">
            <w:pPr>
              <w:jc w:val="right"/>
              <w:rPr>
                <w:sz w:val="20"/>
                <w:szCs w:val="20"/>
              </w:rPr>
            </w:pPr>
            <w:r>
              <w:rPr>
                <w:sz w:val="20"/>
                <w:szCs w:val="20"/>
              </w:rPr>
              <w:t>22,00</w:t>
            </w:r>
          </w:p>
        </w:tc>
        <w:tc>
          <w:tcPr>
            <w:tcW w:w="1566" w:type="dxa"/>
            <w:noWrap/>
            <w:vAlign w:val="center"/>
          </w:tcPr>
          <w:p w14:paraId="02704A51">
            <w:pPr>
              <w:jc w:val="right"/>
              <w:rPr>
                <w:sz w:val="20"/>
                <w:szCs w:val="20"/>
              </w:rPr>
            </w:pPr>
            <w:r>
              <w:rPr>
                <w:sz w:val="20"/>
                <w:szCs w:val="20"/>
              </w:rPr>
              <w:t>116.215.425.000</w:t>
            </w:r>
          </w:p>
        </w:tc>
        <w:tc>
          <w:tcPr>
            <w:tcW w:w="1566" w:type="dxa"/>
            <w:noWrap/>
            <w:vAlign w:val="center"/>
          </w:tcPr>
          <w:p w14:paraId="28DFB7C8">
            <w:pPr>
              <w:jc w:val="right"/>
              <w:rPr>
                <w:sz w:val="20"/>
                <w:szCs w:val="20"/>
              </w:rPr>
            </w:pPr>
            <w:r>
              <w:rPr>
                <w:sz w:val="20"/>
                <w:szCs w:val="20"/>
              </w:rPr>
              <w:t>280.727.178.000</w:t>
            </w:r>
          </w:p>
        </w:tc>
        <w:tc>
          <w:tcPr>
            <w:tcW w:w="856" w:type="dxa"/>
            <w:vAlign w:val="center"/>
          </w:tcPr>
          <w:p w14:paraId="299A2989">
            <w:pPr>
              <w:jc w:val="right"/>
              <w:rPr>
                <w:sz w:val="20"/>
                <w:szCs w:val="20"/>
              </w:rPr>
            </w:pPr>
            <w:r>
              <w:rPr>
                <w:sz w:val="20"/>
                <w:szCs w:val="20"/>
              </w:rPr>
              <w:t>242%</w:t>
            </w:r>
          </w:p>
        </w:tc>
      </w:tr>
      <w:tr w14:paraId="2C48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775F155D">
            <w:pPr>
              <w:jc w:val="center"/>
              <w:rPr>
                <w:sz w:val="20"/>
                <w:szCs w:val="20"/>
              </w:rPr>
            </w:pPr>
            <w:r>
              <w:rPr>
                <w:sz w:val="20"/>
                <w:szCs w:val="20"/>
              </w:rPr>
              <w:t>3</w:t>
            </w:r>
          </w:p>
        </w:tc>
        <w:tc>
          <w:tcPr>
            <w:tcW w:w="1356" w:type="dxa"/>
            <w:noWrap/>
            <w:vAlign w:val="center"/>
          </w:tcPr>
          <w:p w14:paraId="15C39230">
            <w:pPr>
              <w:rPr>
                <w:sz w:val="20"/>
                <w:szCs w:val="20"/>
              </w:rPr>
            </w:pPr>
            <w:r>
              <w:rPr>
                <w:sz w:val="20"/>
                <w:szCs w:val="20"/>
              </w:rPr>
              <w:t>Thị Trấn Vôi</w:t>
            </w:r>
          </w:p>
        </w:tc>
        <w:tc>
          <w:tcPr>
            <w:tcW w:w="1843" w:type="dxa"/>
            <w:noWrap/>
            <w:vAlign w:val="center"/>
          </w:tcPr>
          <w:p w14:paraId="0ACC0997">
            <w:pPr>
              <w:rPr>
                <w:sz w:val="20"/>
                <w:szCs w:val="20"/>
              </w:rPr>
            </w:pPr>
            <w:r>
              <w:rPr>
                <w:sz w:val="20"/>
                <w:szCs w:val="20"/>
              </w:rPr>
              <w:t>Tân Luận</w:t>
            </w:r>
          </w:p>
        </w:tc>
        <w:tc>
          <w:tcPr>
            <w:tcW w:w="1016" w:type="dxa"/>
            <w:noWrap/>
            <w:vAlign w:val="center"/>
          </w:tcPr>
          <w:p w14:paraId="5098AAA4">
            <w:pPr>
              <w:jc w:val="right"/>
              <w:rPr>
                <w:sz w:val="20"/>
                <w:szCs w:val="20"/>
              </w:rPr>
            </w:pPr>
            <w:r>
              <w:rPr>
                <w:sz w:val="20"/>
                <w:szCs w:val="20"/>
              </w:rPr>
              <w:t>13.647,10</w:t>
            </w:r>
          </w:p>
        </w:tc>
        <w:tc>
          <w:tcPr>
            <w:tcW w:w="666" w:type="dxa"/>
            <w:noWrap/>
            <w:vAlign w:val="center"/>
          </w:tcPr>
          <w:p w14:paraId="0BD725AE">
            <w:pPr>
              <w:jc w:val="right"/>
              <w:rPr>
                <w:sz w:val="20"/>
                <w:szCs w:val="20"/>
              </w:rPr>
            </w:pPr>
            <w:r>
              <w:rPr>
                <w:sz w:val="20"/>
                <w:szCs w:val="20"/>
              </w:rPr>
              <w:t>89,00</w:t>
            </w:r>
          </w:p>
        </w:tc>
        <w:tc>
          <w:tcPr>
            <w:tcW w:w="1566" w:type="dxa"/>
            <w:noWrap/>
            <w:vAlign w:val="center"/>
          </w:tcPr>
          <w:p w14:paraId="57CD3E5B">
            <w:pPr>
              <w:jc w:val="right"/>
              <w:rPr>
                <w:sz w:val="20"/>
                <w:szCs w:val="20"/>
              </w:rPr>
            </w:pPr>
            <w:r>
              <w:rPr>
                <w:sz w:val="20"/>
                <w:szCs w:val="20"/>
              </w:rPr>
              <w:t>114.184.640.000</w:t>
            </w:r>
          </w:p>
        </w:tc>
        <w:tc>
          <w:tcPr>
            <w:tcW w:w="1566" w:type="dxa"/>
            <w:noWrap/>
            <w:vAlign w:val="center"/>
          </w:tcPr>
          <w:p w14:paraId="77DE0119">
            <w:pPr>
              <w:jc w:val="right"/>
              <w:rPr>
                <w:sz w:val="20"/>
                <w:szCs w:val="20"/>
              </w:rPr>
            </w:pPr>
            <w:r>
              <w:rPr>
                <w:sz w:val="20"/>
                <w:szCs w:val="20"/>
              </w:rPr>
              <w:t>214.473.847.499</w:t>
            </w:r>
          </w:p>
        </w:tc>
        <w:tc>
          <w:tcPr>
            <w:tcW w:w="856" w:type="dxa"/>
            <w:vAlign w:val="center"/>
          </w:tcPr>
          <w:p w14:paraId="1ADD0655">
            <w:pPr>
              <w:jc w:val="right"/>
              <w:rPr>
                <w:sz w:val="20"/>
                <w:szCs w:val="20"/>
              </w:rPr>
            </w:pPr>
            <w:r>
              <w:rPr>
                <w:sz w:val="20"/>
                <w:szCs w:val="20"/>
              </w:rPr>
              <w:t>188%</w:t>
            </w:r>
          </w:p>
        </w:tc>
      </w:tr>
      <w:tr w14:paraId="7193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7C3734F7">
            <w:pPr>
              <w:jc w:val="center"/>
              <w:rPr>
                <w:sz w:val="20"/>
                <w:szCs w:val="20"/>
              </w:rPr>
            </w:pPr>
            <w:r>
              <w:rPr>
                <w:sz w:val="20"/>
                <w:szCs w:val="20"/>
              </w:rPr>
              <w:t>4</w:t>
            </w:r>
          </w:p>
        </w:tc>
        <w:tc>
          <w:tcPr>
            <w:tcW w:w="1356" w:type="dxa"/>
            <w:noWrap/>
            <w:vAlign w:val="center"/>
          </w:tcPr>
          <w:p w14:paraId="6CF7D965">
            <w:pPr>
              <w:rPr>
                <w:sz w:val="20"/>
                <w:szCs w:val="20"/>
              </w:rPr>
            </w:pPr>
            <w:r>
              <w:rPr>
                <w:sz w:val="20"/>
                <w:szCs w:val="20"/>
              </w:rPr>
              <w:t>Mỹ Hà</w:t>
            </w:r>
          </w:p>
        </w:tc>
        <w:tc>
          <w:tcPr>
            <w:tcW w:w="1843" w:type="dxa"/>
            <w:noWrap/>
            <w:vAlign w:val="center"/>
          </w:tcPr>
          <w:p w14:paraId="7B5BE6A8">
            <w:pPr>
              <w:rPr>
                <w:sz w:val="20"/>
                <w:szCs w:val="20"/>
              </w:rPr>
            </w:pPr>
            <w:r>
              <w:rPr>
                <w:sz w:val="20"/>
                <w:szCs w:val="20"/>
              </w:rPr>
              <w:t>KDC xã Mỹ Hà</w:t>
            </w:r>
          </w:p>
        </w:tc>
        <w:tc>
          <w:tcPr>
            <w:tcW w:w="1016" w:type="dxa"/>
            <w:noWrap/>
            <w:vAlign w:val="center"/>
          </w:tcPr>
          <w:p w14:paraId="0FACBBB0">
            <w:pPr>
              <w:jc w:val="right"/>
              <w:rPr>
                <w:sz w:val="20"/>
                <w:szCs w:val="20"/>
              </w:rPr>
            </w:pPr>
            <w:r>
              <w:rPr>
                <w:sz w:val="20"/>
                <w:szCs w:val="20"/>
              </w:rPr>
              <w:t>5.416,90</w:t>
            </w:r>
          </w:p>
        </w:tc>
        <w:tc>
          <w:tcPr>
            <w:tcW w:w="666" w:type="dxa"/>
            <w:noWrap/>
            <w:vAlign w:val="center"/>
          </w:tcPr>
          <w:p w14:paraId="70A8FDC4">
            <w:pPr>
              <w:jc w:val="right"/>
              <w:rPr>
                <w:sz w:val="20"/>
                <w:szCs w:val="20"/>
              </w:rPr>
            </w:pPr>
            <w:r>
              <w:rPr>
                <w:sz w:val="20"/>
                <w:szCs w:val="20"/>
              </w:rPr>
              <w:t>55,00</w:t>
            </w:r>
          </w:p>
        </w:tc>
        <w:tc>
          <w:tcPr>
            <w:tcW w:w="1566" w:type="dxa"/>
            <w:noWrap/>
            <w:vAlign w:val="center"/>
          </w:tcPr>
          <w:p w14:paraId="1E1C3633">
            <w:pPr>
              <w:jc w:val="right"/>
              <w:rPr>
                <w:sz w:val="20"/>
                <w:szCs w:val="20"/>
              </w:rPr>
            </w:pPr>
          </w:p>
        </w:tc>
        <w:tc>
          <w:tcPr>
            <w:tcW w:w="1566" w:type="dxa"/>
            <w:noWrap/>
            <w:vAlign w:val="center"/>
          </w:tcPr>
          <w:p w14:paraId="3B580EE1">
            <w:pPr>
              <w:jc w:val="right"/>
              <w:rPr>
                <w:sz w:val="20"/>
                <w:szCs w:val="20"/>
              </w:rPr>
            </w:pPr>
            <w:r>
              <w:rPr>
                <w:sz w:val="20"/>
                <w:szCs w:val="20"/>
              </w:rPr>
              <w:t>87.644.396.336</w:t>
            </w:r>
          </w:p>
        </w:tc>
        <w:tc>
          <w:tcPr>
            <w:tcW w:w="856" w:type="dxa"/>
            <w:vAlign w:val="center"/>
          </w:tcPr>
          <w:p w14:paraId="3C3FAB19">
            <w:pPr>
              <w:jc w:val="right"/>
              <w:rPr>
                <w:sz w:val="20"/>
                <w:szCs w:val="20"/>
              </w:rPr>
            </w:pPr>
          </w:p>
        </w:tc>
      </w:tr>
      <w:tr w14:paraId="7D1D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4CE0D4F0">
            <w:pPr>
              <w:jc w:val="center"/>
              <w:rPr>
                <w:sz w:val="20"/>
                <w:szCs w:val="20"/>
              </w:rPr>
            </w:pPr>
            <w:r>
              <w:rPr>
                <w:sz w:val="20"/>
                <w:szCs w:val="20"/>
              </w:rPr>
              <w:t>5</w:t>
            </w:r>
          </w:p>
        </w:tc>
        <w:tc>
          <w:tcPr>
            <w:tcW w:w="1356" w:type="dxa"/>
            <w:noWrap/>
            <w:vAlign w:val="center"/>
          </w:tcPr>
          <w:p w14:paraId="6855DB05">
            <w:pPr>
              <w:rPr>
                <w:sz w:val="20"/>
                <w:szCs w:val="20"/>
              </w:rPr>
            </w:pPr>
            <w:r>
              <w:rPr>
                <w:sz w:val="20"/>
                <w:szCs w:val="20"/>
              </w:rPr>
              <w:t>Tân Thanh</w:t>
            </w:r>
          </w:p>
        </w:tc>
        <w:tc>
          <w:tcPr>
            <w:tcW w:w="1843" w:type="dxa"/>
            <w:noWrap/>
            <w:vAlign w:val="center"/>
          </w:tcPr>
          <w:p w14:paraId="40C034DE">
            <w:pPr>
              <w:rPr>
                <w:sz w:val="20"/>
                <w:szCs w:val="20"/>
              </w:rPr>
            </w:pPr>
            <w:r>
              <w:rPr>
                <w:sz w:val="20"/>
                <w:szCs w:val="20"/>
              </w:rPr>
              <w:t>Mải Hạ</w:t>
            </w:r>
          </w:p>
        </w:tc>
        <w:tc>
          <w:tcPr>
            <w:tcW w:w="1016" w:type="dxa"/>
            <w:noWrap/>
            <w:vAlign w:val="center"/>
          </w:tcPr>
          <w:p w14:paraId="28B911A0">
            <w:pPr>
              <w:jc w:val="right"/>
              <w:rPr>
                <w:sz w:val="20"/>
                <w:szCs w:val="20"/>
              </w:rPr>
            </w:pPr>
            <w:r>
              <w:rPr>
                <w:sz w:val="20"/>
                <w:szCs w:val="20"/>
              </w:rPr>
              <w:t>1.917,30</w:t>
            </w:r>
          </w:p>
        </w:tc>
        <w:tc>
          <w:tcPr>
            <w:tcW w:w="666" w:type="dxa"/>
            <w:noWrap/>
            <w:vAlign w:val="center"/>
          </w:tcPr>
          <w:p w14:paraId="5EE5ECF5">
            <w:pPr>
              <w:jc w:val="right"/>
              <w:rPr>
                <w:sz w:val="20"/>
                <w:szCs w:val="20"/>
              </w:rPr>
            </w:pPr>
            <w:r>
              <w:rPr>
                <w:sz w:val="20"/>
                <w:szCs w:val="20"/>
              </w:rPr>
              <w:t>15,00</w:t>
            </w:r>
          </w:p>
        </w:tc>
        <w:tc>
          <w:tcPr>
            <w:tcW w:w="1566" w:type="dxa"/>
            <w:noWrap/>
            <w:vAlign w:val="center"/>
          </w:tcPr>
          <w:p w14:paraId="35C057EF">
            <w:pPr>
              <w:jc w:val="right"/>
              <w:rPr>
                <w:sz w:val="20"/>
                <w:szCs w:val="20"/>
              </w:rPr>
            </w:pPr>
            <w:r>
              <w:rPr>
                <w:sz w:val="20"/>
                <w:szCs w:val="20"/>
              </w:rPr>
              <w:t>11.822.040.000</w:t>
            </w:r>
          </w:p>
        </w:tc>
        <w:tc>
          <w:tcPr>
            <w:tcW w:w="1566" w:type="dxa"/>
            <w:noWrap/>
            <w:vAlign w:val="center"/>
          </w:tcPr>
          <w:p w14:paraId="2EFA3900">
            <w:pPr>
              <w:jc w:val="right"/>
              <w:rPr>
                <w:sz w:val="20"/>
                <w:szCs w:val="20"/>
              </w:rPr>
            </w:pPr>
            <w:r>
              <w:rPr>
                <w:sz w:val="20"/>
                <w:szCs w:val="20"/>
              </w:rPr>
              <w:t>25.076.100.000</w:t>
            </w:r>
          </w:p>
        </w:tc>
        <w:tc>
          <w:tcPr>
            <w:tcW w:w="856" w:type="dxa"/>
            <w:vAlign w:val="center"/>
          </w:tcPr>
          <w:p w14:paraId="50699249">
            <w:pPr>
              <w:jc w:val="right"/>
              <w:rPr>
                <w:sz w:val="20"/>
                <w:szCs w:val="20"/>
              </w:rPr>
            </w:pPr>
            <w:r>
              <w:rPr>
                <w:sz w:val="20"/>
                <w:szCs w:val="20"/>
              </w:rPr>
              <w:t>212%</w:t>
            </w:r>
          </w:p>
        </w:tc>
      </w:tr>
      <w:tr w14:paraId="5FD7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7D3A75A6">
            <w:pPr>
              <w:jc w:val="center"/>
              <w:rPr>
                <w:sz w:val="20"/>
                <w:szCs w:val="20"/>
              </w:rPr>
            </w:pPr>
            <w:r>
              <w:rPr>
                <w:sz w:val="20"/>
                <w:szCs w:val="20"/>
              </w:rPr>
              <w:t>6</w:t>
            </w:r>
          </w:p>
        </w:tc>
        <w:tc>
          <w:tcPr>
            <w:tcW w:w="1356" w:type="dxa"/>
            <w:noWrap/>
            <w:vAlign w:val="center"/>
          </w:tcPr>
          <w:p w14:paraId="46C06734">
            <w:pPr>
              <w:rPr>
                <w:sz w:val="20"/>
                <w:szCs w:val="20"/>
              </w:rPr>
            </w:pPr>
            <w:r>
              <w:rPr>
                <w:sz w:val="20"/>
                <w:szCs w:val="20"/>
              </w:rPr>
              <w:t>Tân Hưng</w:t>
            </w:r>
          </w:p>
        </w:tc>
        <w:tc>
          <w:tcPr>
            <w:tcW w:w="1843" w:type="dxa"/>
            <w:noWrap/>
            <w:vAlign w:val="center"/>
          </w:tcPr>
          <w:p w14:paraId="5E440025">
            <w:pPr>
              <w:rPr>
                <w:sz w:val="20"/>
                <w:szCs w:val="20"/>
              </w:rPr>
            </w:pPr>
            <w:r>
              <w:rPr>
                <w:sz w:val="20"/>
                <w:szCs w:val="20"/>
              </w:rPr>
              <w:t>Vĩnh Thịnh</w:t>
            </w:r>
          </w:p>
        </w:tc>
        <w:tc>
          <w:tcPr>
            <w:tcW w:w="1016" w:type="dxa"/>
            <w:noWrap/>
            <w:vAlign w:val="center"/>
          </w:tcPr>
          <w:p w14:paraId="71C66581">
            <w:pPr>
              <w:jc w:val="right"/>
              <w:rPr>
                <w:sz w:val="20"/>
                <w:szCs w:val="20"/>
              </w:rPr>
            </w:pPr>
            <w:r>
              <w:rPr>
                <w:sz w:val="20"/>
                <w:szCs w:val="20"/>
              </w:rPr>
              <w:t>2.148,80</w:t>
            </w:r>
          </w:p>
        </w:tc>
        <w:tc>
          <w:tcPr>
            <w:tcW w:w="666" w:type="dxa"/>
            <w:noWrap/>
            <w:vAlign w:val="center"/>
          </w:tcPr>
          <w:p w14:paraId="6330EC70">
            <w:pPr>
              <w:jc w:val="right"/>
              <w:rPr>
                <w:sz w:val="20"/>
                <w:szCs w:val="20"/>
              </w:rPr>
            </w:pPr>
            <w:r>
              <w:rPr>
                <w:sz w:val="20"/>
                <w:szCs w:val="20"/>
              </w:rPr>
              <w:t>20,00</w:t>
            </w:r>
          </w:p>
        </w:tc>
        <w:tc>
          <w:tcPr>
            <w:tcW w:w="1566" w:type="dxa"/>
            <w:noWrap/>
            <w:vAlign w:val="center"/>
          </w:tcPr>
          <w:p w14:paraId="66EB7826">
            <w:pPr>
              <w:jc w:val="right"/>
              <w:rPr>
                <w:sz w:val="20"/>
                <w:szCs w:val="20"/>
              </w:rPr>
            </w:pPr>
            <w:r>
              <w:rPr>
                <w:sz w:val="20"/>
                <w:szCs w:val="20"/>
              </w:rPr>
              <w:t>16.306.640.000</w:t>
            </w:r>
          </w:p>
        </w:tc>
        <w:tc>
          <w:tcPr>
            <w:tcW w:w="1566" w:type="dxa"/>
            <w:noWrap/>
            <w:vAlign w:val="center"/>
          </w:tcPr>
          <w:p w14:paraId="726D467C">
            <w:pPr>
              <w:jc w:val="right"/>
              <w:rPr>
                <w:sz w:val="20"/>
                <w:szCs w:val="20"/>
              </w:rPr>
            </w:pPr>
            <w:r>
              <w:rPr>
                <w:sz w:val="20"/>
                <w:szCs w:val="20"/>
              </w:rPr>
              <w:t>28.474.150.000</w:t>
            </w:r>
          </w:p>
        </w:tc>
        <w:tc>
          <w:tcPr>
            <w:tcW w:w="856" w:type="dxa"/>
            <w:vAlign w:val="center"/>
          </w:tcPr>
          <w:p w14:paraId="6535E67A">
            <w:pPr>
              <w:jc w:val="right"/>
              <w:rPr>
                <w:sz w:val="20"/>
                <w:szCs w:val="20"/>
              </w:rPr>
            </w:pPr>
            <w:r>
              <w:rPr>
                <w:sz w:val="20"/>
                <w:szCs w:val="20"/>
              </w:rPr>
              <w:t>175%</w:t>
            </w:r>
          </w:p>
        </w:tc>
      </w:tr>
      <w:tr w14:paraId="24CB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70C763FA">
            <w:pPr>
              <w:jc w:val="center"/>
              <w:rPr>
                <w:sz w:val="20"/>
                <w:szCs w:val="20"/>
              </w:rPr>
            </w:pPr>
            <w:r>
              <w:rPr>
                <w:sz w:val="20"/>
                <w:szCs w:val="20"/>
              </w:rPr>
              <w:t>7</w:t>
            </w:r>
          </w:p>
        </w:tc>
        <w:tc>
          <w:tcPr>
            <w:tcW w:w="1356" w:type="dxa"/>
            <w:vMerge w:val="restart"/>
            <w:noWrap/>
            <w:vAlign w:val="center"/>
          </w:tcPr>
          <w:p w14:paraId="2C5367E1">
            <w:pPr>
              <w:rPr>
                <w:sz w:val="20"/>
                <w:szCs w:val="20"/>
              </w:rPr>
            </w:pPr>
            <w:r>
              <w:rPr>
                <w:sz w:val="20"/>
                <w:szCs w:val="20"/>
              </w:rPr>
              <w:t>Yên Mỹ</w:t>
            </w:r>
          </w:p>
        </w:tc>
        <w:tc>
          <w:tcPr>
            <w:tcW w:w="1843" w:type="dxa"/>
            <w:vAlign w:val="center"/>
          </w:tcPr>
          <w:p w14:paraId="16C4F889">
            <w:pPr>
              <w:rPr>
                <w:sz w:val="20"/>
                <w:szCs w:val="20"/>
              </w:rPr>
            </w:pPr>
            <w:r>
              <w:rPr>
                <w:sz w:val="20"/>
                <w:szCs w:val="20"/>
              </w:rPr>
              <w:t>Khu Máng Cao, thôn An Long</w:t>
            </w:r>
          </w:p>
        </w:tc>
        <w:tc>
          <w:tcPr>
            <w:tcW w:w="1016" w:type="dxa"/>
            <w:noWrap/>
            <w:vAlign w:val="center"/>
          </w:tcPr>
          <w:p w14:paraId="1D7F526C">
            <w:pPr>
              <w:jc w:val="right"/>
              <w:rPr>
                <w:sz w:val="20"/>
                <w:szCs w:val="20"/>
              </w:rPr>
            </w:pPr>
            <w:r>
              <w:rPr>
                <w:sz w:val="20"/>
                <w:szCs w:val="20"/>
              </w:rPr>
              <w:t>200,00</w:t>
            </w:r>
          </w:p>
        </w:tc>
        <w:tc>
          <w:tcPr>
            <w:tcW w:w="666" w:type="dxa"/>
            <w:noWrap/>
            <w:vAlign w:val="center"/>
          </w:tcPr>
          <w:p w14:paraId="3889CAFB">
            <w:pPr>
              <w:jc w:val="right"/>
              <w:rPr>
                <w:sz w:val="20"/>
                <w:szCs w:val="20"/>
              </w:rPr>
            </w:pPr>
            <w:r>
              <w:rPr>
                <w:sz w:val="20"/>
                <w:szCs w:val="20"/>
              </w:rPr>
              <w:t>1,00</w:t>
            </w:r>
          </w:p>
        </w:tc>
        <w:tc>
          <w:tcPr>
            <w:tcW w:w="1566" w:type="dxa"/>
            <w:noWrap/>
            <w:vAlign w:val="center"/>
          </w:tcPr>
          <w:p w14:paraId="193CDF8B">
            <w:pPr>
              <w:jc w:val="right"/>
              <w:rPr>
                <w:sz w:val="20"/>
                <w:szCs w:val="20"/>
              </w:rPr>
            </w:pPr>
            <w:r>
              <w:rPr>
                <w:sz w:val="20"/>
                <w:szCs w:val="20"/>
              </w:rPr>
              <w:t>900.000.000</w:t>
            </w:r>
          </w:p>
        </w:tc>
        <w:tc>
          <w:tcPr>
            <w:tcW w:w="1566" w:type="dxa"/>
            <w:noWrap/>
            <w:vAlign w:val="center"/>
          </w:tcPr>
          <w:p w14:paraId="4F58A199">
            <w:pPr>
              <w:jc w:val="right"/>
              <w:rPr>
                <w:sz w:val="20"/>
                <w:szCs w:val="20"/>
              </w:rPr>
            </w:pPr>
            <w:r>
              <w:rPr>
                <w:sz w:val="20"/>
                <w:szCs w:val="20"/>
              </w:rPr>
              <w:t>1.586.000.000</w:t>
            </w:r>
          </w:p>
        </w:tc>
        <w:tc>
          <w:tcPr>
            <w:tcW w:w="856" w:type="dxa"/>
            <w:vAlign w:val="center"/>
          </w:tcPr>
          <w:p w14:paraId="163C5D13">
            <w:pPr>
              <w:jc w:val="right"/>
              <w:rPr>
                <w:sz w:val="20"/>
                <w:szCs w:val="20"/>
              </w:rPr>
            </w:pPr>
            <w:r>
              <w:rPr>
                <w:sz w:val="20"/>
                <w:szCs w:val="20"/>
              </w:rPr>
              <w:t>176%</w:t>
            </w:r>
          </w:p>
        </w:tc>
      </w:tr>
      <w:tr w14:paraId="6C0C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2ABC17B3">
            <w:pPr>
              <w:jc w:val="center"/>
              <w:rPr>
                <w:sz w:val="20"/>
                <w:szCs w:val="20"/>
              </w:rPr>
            </w:pPr>
          </w:p>
        </w:tc>
        <w:tc>
          <w:tcPr>
            <w:tcW w:w="1356" w:type="dxa"/>
            <w:vMerge w:val="continue"/>
            <w:vAlign w:val="center"/>
          </w:tcPr>
          <w:p w14:paraId="0CE6046C">
            <w:pPr>
              <w:rPr>
                <w:sz w:val="20"/>
                <w:szCs w:val="20"/>
              </w:rPr>
            </w:pPr>
          </w:p>
        </w:tc>
        <w:tc>
          <w:tcPr>
            <w:tcW w:w="1843" w:type="dxa"/>
            <w:noWrap/>
            <w:vAlign w:val="center"/>
          </w:tcPr>
          <w:p w14:paraId="6F446744">
            <w:pPr>
              <w:rPr>
                <w:sz w:val="20"/>
                <w:szCs w:val="20"/>
              </w:rPr>
            </w:pPr>
            <w:r>
              <w:rPr>
                <w:sz w:val="20"/>
                <w:szCs w:val="20"/>
              </w:rPr>
              <w:t>Ao Luông</w:t>
            </w:r>
          </w:p>
        </w:tc>
        <w:tc>
          <w:tcPr>
            <w:tcW w:w="1016" w:type="dxa"/>
            <w:noWrap/>
            <w:vAlign w:val="center"/>
          </w:tcPr>
          <w:p w14:paraId="2E3A9936">
            <w:pPr>
              <w:jc w:val="right"/>
              <w:rPr>
                <w:sz w:val="20"/>
                <w:szCs w:val="20"/>
              </w:rPr>
            </w:pPr>
            <w:r>
              <w:rPr>
                <w:sz w:val="20"/>
                <w:szCs w:val="20"/>
              </w:rPr>
              <w:t>720</w:t>
            </w:r>
          </w:p>
        </w:tc>
        <w:tc>
          <w:tcPr>
            <w:tcW w:w="666" w:type="dxa"/>
            <w:noWrap/>
            <w:vAlign w:val="center"/>
          </w:tcPr>
          <w:p w14:paraId="191469B0">
            <w:pPr>
              <w:jc w:val="right"/>
              <w:rPr>
                <w:sz w:val="20"/>
                <w:szCs w:val="20"/>
              </w:rPr>
            </w:pPr>
            <w:r>
              <w:rPr>
                <w:sz w:val="20"/>
                <w:szCs w:val="20"/>
              </w:rPr>
              <w:t>8</w:t>
            </w:r>
          </w:p>
        </w:tc>
        <w:tc>
          <w:tcPr>
            <w:tcW w:w="1566" w:type="dxa"/>
            <w:noWrap/>
            <w:vAlign w:val="center"/>
          </w:tcPr>
          <w:p w14:paraId="3F2739D6">
            <w:pPr>
              <w:jc w:val="right"/>
              <w:rPr>
                <w:sz w:val="20"/>
                <w:szCs w:val="20"/>
              </w:rPr>
            </w:pPr>
            <w:r>
              <w:rPr>
                <w:sz w:val="20"/>
                <w:szCs w:val="20"/>
              </w:rPr>
              <w:t>5.400.000.000</w:t>
            </w:r>
          </w:p>
        </w:tc>
        <w:tc>
          <w:tcPr>
            <w:tcW w:w="1566" w:type="dxa"/>
            <w:noWrap/>
            <w:vAlign w:val="center"/>
          </w:tcPr>
          <w:p w14:paraId="5EE2A9B9">
            <w:pPr>
              <w:jc w:val="right"/>
              <w:rPr>
                <w:sz w:val="20"/>
                <w:szCs w:val="20"/>
              </w:rPr>
            </w:pPr>
            <w:r>
              <w:rPr>
                <w:sz w:val="20"/>
                <w:szCs w:val="20"/>
              </w:rPr>
              <w:t>6.703.640.000</w:t>
            </w:r>
          </w:p>
        </w:tc>
        <w:tc>
          <w:tcPr>
            <w:tcW w:w="856" w:type="dxa"/>
            <w:vAlign w:val="center"/>
          </w:tcPr>
          <w:p w14:paraId="3895F606">
            <w:pPr>
              <w:jc w:val="right"/>
              <w:rPr>
                <w:sz w:val="20"/>
                <w:szCs w:val="20"/>
              </w:rPr>
            </w:pPr>
            <w:r>
              <w:rPr>
                <w:sz w:val="20"/>
                <w:szCs w:val="20"/>
              </w:rPr>
              <w:t>124%</w:t>
            </w:r>
          </w:p>
        </w:tc>
      </w:tr>
      <w:tr w14:paraId="3B6E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273BFF40">
            <w:pPr>
              <w:jc w:val="center"/>
              <w:rPr>
                <w:sz w:val="20"/>
                <w:szCs w:val="20"/>
              </w:rPr>
            </w:pPr>
            <w:r>
              <w:rPr>
                <w:sz w:val="20"/>
                <w:szCs w:val="20"/>
              </w:rPr>
              <w:t>8</w:t>
            </w:r>
          </w:p>
        </w:tc>
        <w:tc>
          <w:tcPr>
            <w:tcW w:w="1356" w:type="dxa"/>
            <w:noWrap/>
            <w:vAlign w:val="center"/>
          </w:tcPr>
          <w:p w14:paraId="43BBFE83">
            <w:pPr>
              <w:rPr>
                <w:sz w:val="20"/>
                <w:szCs w:val="20"/>
              </w:rPr>
            </w:pPr>
            <w:r>
              <w:rPr>
                <w:sz w:val="20"/>
                <w:szCs w:val="20"/>
              </w:rPr>
              <w:t>An Hà</w:t>
            </w:r>
          </w:p>
        </w:tc>
        <w:tc>
          <w:tcPr>
            <w:tcW w:w="1843" w:type="dxa"/>
            <w:noWrap/>
            <w:vAlign w:val="center"/>
          </w:tcPr>
          <w:p w14:paraId="1E1FAD47">
            <w:pPr>
              <w:rPr>
                <w:sz w:val="20"/>
                <w:szCs w:val="20"/>
              </w:rPr>
            </w:pPr>
            <w:r>
              <w:rPr>
                <w:sz w:val="20"/>
                <w:szCs w:val="20"/>
              </w:rPr>
              <w:t>Thôn Kép</w:t>
            </w:r>
          </w:p>
        </w:tc>
        <w:tc>
          <w:tcPr>
            <w:tcW w:w="1016" w:type="dxa"/>
            <w:noWrap/>
            <w:vAlign w:val="center"/>
          </w:tcPr>
          <w:p w14:paraId="40472D6C">
            <w:pPr>
              <w:jc w:val="right"/>
              <w:rPr>
                <w:sz w:val="20"/>
                <w:szCs w:val="20"/>
              </w:rPr>
            </w:pPr>
            <w:r>
              <w:rPr>
                <w:sz w:val="20"/>
                <w:szCs w:val="20"/>
              </w:rPr>
              <w:t>1.076,90</w:t>
            </w:r>
          </w:p>
        </w:tc>
        <w:tc>
          <w:tcPr>
            <w:tcW w:w="666" w:type="dxa"/>
            <w:noWrap/>
            <w:vAlign w:val="center"/>
          </w:tcPr>
          <w:p w14:paraId="05A65DA8">
            <w:pPr>
              <w:jc w:val="right"/>
              <w:rPr>
                <w:sz w:val="20"/>
                <w:szCs w:val="20"/>
              </w:rPr>
            </w:pPr>
            <w:r>
              <w:rPr>
                <w:sz w:val="20"/>
                <w:szCs w:val="20"/>
              </w:rPr>
              <w:t>3,00</w:t>
            </w:r>
          </w:p>
        </w:tc>
        <w:tc>
          <w:tcPr>
            <w:tcW w:w="1566" w:type="dxa"/>
            <w:noWrap/>
            <w:vAlign w:val="center"/>
          </w:tcPr>
          <w:p w14:paraId="5A63AC34">
            <w:pPr>
              <w:jc w:val="right"/>
              <w:rPr>
                <w:sz w:val="20"/>
                <w:szCs w:val="20"/>
              </w:rPr>
            </w:pPr>
            <w:r>
              <w:rPr>
                <w:sz w:val="20"/>
                <w:szCs w:val="20"/>
              </w:rPr>
              <w:t>3.230.700.000</w:t>
            </w:r>
          </w:p>
        </w:tc>
        <w:tc>
          <w:tcPr>
            <w:tcW w:w="1566" w:type="dxa"/>
            <w:noWrap/>
            <w:vAlign w:val="center"/>
          </w:tcPr>
          <w:p w14:paraId="3CD22D3E">
            <w:pPr>
              <w:jc w:val="right"/>
              <w:rPr>
                <w:sz w:val="20"/>
                <w:szCs w:val="20"/>
              </w:rPr>
            </w:pPr>
            <w:r>
              <w:rPr>
                <w:sz w:val="20"/>
                <w:szCs w:val="20"/>
              </w:rPr>
              <w:t>3.747.600.000</w:t>
            </w:r>
          </w:p>
        </w:tc>
        <w:tc>
          <w:tcPr>
            <w:tcW w:w="856" w:type="dxa"/>
            <w:vAlign w:val="center"/>
          </w:tcPr>
          <w:p w14:paraId="661E8202">
            <w:pPr>
              <w:jc w:val="right"/>
              <w:rPr>
                <w:sz w:val="20"/>
                <w:szCs w:val="20"/>
              </w:rPr>
            </w:pPr>
            <w:r>
              <w:rPr>
                <w:sz w:val="20"/>
                <w:szCs w:val="20"/>
              </w:rPr>
              <w:t>116%</w:t>
            </w:r>
          </w:p>
        </w:tc>
      </w:tr>
      <w:tr w14:paraId="7558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14C3491E">
            <w:pPr>
              <w:rPr>
                <w:sz w:val="20"/>
                <w:szCs w:val="20"/>
              </w:rPr>
            </w:pPr>
            <w:r>
              <w:rPr>
                <w:sz w:val="20"/>
                <w:szCs w:val="20"/>
              </w:rPr>
              <w:t xml:space="preserve">   9</w:t>
            </w:r>
          </w:p>
        </w:tc>
        <w:tc>
          <w:tcPr>
            <w:tcW w:w="1356" w:type="dxa"/>
            <w:noWrap/>
            <w:vAlign w:val="center"/>
          </w:tcPr>
          <w:p w14:paraId="22D8C2FD">
            <w:pPr>
              <w:rPr>
                <w:sz w:val="20"/>
                <w:szCs w:val="20"/>
              </w:rPr>
            </w:pPr>
            <w:r>
              <w:rPr>
                <w:sz w:val="20"/>
                <w:szCs w:val="20"/>
              </w:rPr>
              <w:t>Hương Lạc</w:t>
            </w:r>
          </w:p>
        </w:tc>
        <w:tc>
          <w:tcPr>
            <w:tcW w:w="1843" w:type="dxa"/>
            <w:noWrap/>
            <w:vAlign w:val="center"/>
          </w:tcPr>
          <w:p w14:paraId="70BD3B80">
            <w:pPr>
              <w:rPr>
                <w:sz w:val="20"/>
                <w:szCs w:val="20"/>
              </w:rPr>
            </w:pPr>
            <w:r>
              <w:rPr>
                <w:sz w:val="20"/>
                <w:szCs w:val="20"/>
              </w:rPr>
              <w:t>Thôn 5</w:t>
            </w:r>
          </w:p>
        </w:tc>
        <w:tc>
          <w:tcPr>
            <w:tcW w:w="1016" w:type="dxa"/>
            <w:noWrap/>
            <w:vAlign w:val="center"/>
          </w:tcPr>
          <w:p w14:paraId="26A0844E">
            <w:pPr>
              <w:jc w:val="right"/>
              <w:rPr>
                <w:sz w:val="20"/>
                <w:szCs w:val="20"/>
              </w:rPr>
            </w:pPr>
            <w:r>
              <w:rPr>
                <w:sz w:val="20"/>
                <w:szCs w:val="20"/>
              </w:rPr>
              <w:t>436,00</w:t>
            </w:r>
          </w:p>
        </w:tc>
        <w:tc>
          <w:tcPr>
            <w:tcW w:w="666" w:type="dxa"/>
            <w:noWrap/>
            <w:vAlign w:val="center"/>
          </w:tcPr>
          <w:p w14:paraId="77005FE7">
            <w:pPr>
              <w:jc w:val="right"/>
              <w:rPr>
                <w:sz w:val="20"/>
                <w:szCs w:val="20"/>
              </w:rPr>
            </w:pPr>
            <w:r>
              <w:rPr>
                <w:sz w:val="20"/>
                <w:szCs w:val="20"/>
              </w:rPr>
              <w:t>2,00</w:t>
            </w:r>
          </w:p>
        </w:tc>
        <w:tc>
          <w:tcPr>
            <w:tcW w:w="1566" w:type="dxa"/>
            <w:noWrap/>
            <w:vAlign w:val="center"/>
          </w:tcPr>
          <w:p w14:paraId="646C0A44">
            <w:pPr>
              <w:jc w:val="right"/>
              <w:rPr>
                <w:sz w:val="20"/>
                <w:szCs w:val="20"/>
              </w:rPr>
            </w:pPr>
            <w:r>
              <w:rPr>
                <w:sz w:val="20"/>
                <w:szCs w:val="20"/>
              </w:rPr>
              <w:t>1.744.000.000</w:t>
            </w:r>
          </w:p>
        </w:tc>
        <w:tc>
          <w:tcPr>
            <w:tcW w:w="1566" w:type="dxa"/>
            <w:noWrap/>
            <w:vAlign w:val="center"/>
          </w:tcPr>
          <w:p w14:paraId="1FD2BB88">
            <w:pPr>
              <w:jc w:val="right"/>
              <w:rPr>
                <w:sz w:val="20"/>
                <w:szCs w:val="20"/>
              </w:rPr>
            </w:pPr>
            <w:r>
              <w:rPr>
                <w:sz w:val="20"/>
                <w:szCs w:val="20"/>
              </w:rPr>
              <w:t>2.257.760.000</w:t>
            </w:r>
          </w:p>
        </w:tc>
        <w:tc>
          <w:tcPr>
            <w:tcW w:w="856" w:type="dxa"/>
            <w:vAlign w:val="center"/>
          </w:tcPr>
          <w:p w14:paraId="7271084D">
            <w:pPr>
              <w:jc w:val="right"/>
              <w:rPr>
                <w:sz w:val="20"/>
                <w:szCs w:val="20"/>
              </w:rPr>
            </w:pPr>
            <w:r>
              <w:rPr>
                <w:sz w:val="20"/>
                <w:szCs w:val="20"/>
              </w:rPr>
              <w:t>129%</w:t>
            </w:r>
          </w:p>
        </w:tc>
      </w:tr>
      <w:tr w14:paraId="62B8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5A46DAF1">
            <w:pPr>
              <w:jc w:val="center"/>
              <w:rPr>
                <w:sz w:val="20"/>
                <w:szCs w:val="20"/>
              </w:rPr>
            </w:pPr>
            <w:r>
              <w:rPr>
                <w:sz w:val="20"/>
                <w:szCs w:val="20"/>
              </w:rPr>
              <w:t>10</w:t>
            </w:r>
          </w:p>
        </w:tc>
        <w:tc>
          <w:tcPr>
            <w:tcW w:w="1356" w:type="dxa"/>
            <w:vMerge w:val="restart"/>
            <w:noWrap/>
            <w:vAlign w:val="center"/>
          </w:tcPr>
          <w:p w14:paraId="6B4A3AEC">
            <w:pPr>
              <w:rPr>
                <w:sz w:val="20"/>
                <w:szCs w:val="20"/>
              </w:rPr>
            </w:pPr>
            <w:r>
              <w:rPr>
                <w:sz w:val="20"/>
                <w:szCs w:val="20"/>
              </w:rPr>
              <w:t>Nghĩa Hòa</w:t>
            </w:r>
          </w:p>
        </w:tc>
        <w:tc>
          <w:tcPr>
            <w:tcW w:w="1843" w:type="dxa"/>
            <w:noWrap/>
            <w:vAlign w:val="center"/>
          </w:tcPr>
          <w:p w14:paraId="19C354BE">
            <w:pPr>
              <w:rPr>
                <w:sz w:val="20"/>
                <w:szCs w:val="20"/>
              </w:rPr>
            </w:pPr>
            <w:r>
              <w:rPr>
                <w:sz w:val="20"/>
                <w:szCs w:val="20"/>
              </w:rPr>
              <w:t>Thôn Bằng</w:t>
            </w:r>
          </w:p>
        </w:tc>
        <w:tc>
          <w:tcPr>
            <w:tcW w:w="1016" w:type="dxa"/>
            <w:noWrap/>
            <w:vAlign w:val="center"/>
          </w:tcPr>
          <w:p w14:paraId="7596AACD">
            <w:pPr>
              <w:jc w:val="right"/>
              <w:rPr>
                <w:sz w:val="20"/>
                <w:szCs w:val="20"/>
              </w:rPr>
            </w:pPr>
            <w:r>
              <w:rPr>
                <w:sz w:val="20"/>
                <w:szCs w:val="20"/>
              </w:rPr>
              <w:t>76,50</w:t>
            </w:r>
          </w:p>
        </w:tc>
        <w:tc>
          <w:tcPr>
            <w:tcW w:w="666" w:type="dxa"/>
            <w:noWrap/>
            <w:vAlign w:val="center"/>
          </w:tcPr>
          <w:p w14:paraId="30237A00">
            <w:pPr>
              <w:jc w:val="right"/>
              <w:rPr>
                <w:sz w:val="20"/>
                <w:szCs w:val="20"/>
              </w:rPr>
            </w:pPr>
            <w:r>
              <w:rPr>
                <w:sz w:val="20"/>
                <w:szCs w:val="20"/>
              </w:rPr>
              <w:t>1,00</w:t>
            </w:r>
          </w:p>
        </w:tc>
        <w:tc>
          <w:tcPr>
            <w:tcW w:w="1566" w:type="dxa"/>
            <w:noWrap/>
            <w:vAlign w:val="center"/>
          </w:tcPr>
          <w:p w14:paraId="5C0C31D5">
            <w:pPr>
              <w:jc w:val="right"/>
              <w:rPr>
                <w:sz w:val="20"/>
                <w:szCs w:val="20"/>
              </w:rPr>
            </w:pPr>
            <w:r>
              <w:rPr>
                <w:sz w:val="20"/>
                <w:szCs w:val="20"/>
              </w:rPr>
              <w:t>650.250.000</w:t>
            </w:r>
          </w:p>
        </w:tc>
        <w:tc>
          <w:tcPr>
            <w:tcW w:w="1566" w:type="dxa"/>
            <w:noWrap/>
            <w:vAlign w:val="center"/>
          </w:tcPr>
          <w:p w14:paraId="5AE09E6E">
            <w:pPr>
              <w:jc w:val="right"/>
              <w:rPr>
                <w:sz w:val="20"/>
                <w:szCs w:val="20"/>
              </w:rPr>
            </w:pPr>
            <w:r>
              <w:rPr>
                <w:sz w:val="20"/>
                <w:szCs w:val="20"/>
              </w:rPr>
              <w:t>850.000.000</w:t>
            </w:r>
          </w:p>
        </w:tc>
        <w:tc>
          <w:tcPr>
            <w:tcW w:w="856" w:type="dxa"/>
            <w:vAlign w:val="center"/>
          </w:tcPr>
          <w:p w14:paraId="762ACAEF">
            <w:pPr>
              <w:jc w:val="right"/>
              <w:rPr>
                <w:sz w:val="20"/>
                <w:szCs w:val="20"/>
              </w:rPr>
            </w:pPr>
            <w:r>
              <w:rPr>
                <w:sz w:val="20"/>
                <w:szCs w:val="20"/>
              </w:rPr>
              <w:t>131%</w:t>
            </w:r>
          </w:p>
        </w:tc>
      </w:tr>
      <w:tr w14:paraId="513C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4C8AE7BF">
            <w:pPr>
              <w:jc w:val="center"/>
              <w:rPr>
                <w:sz w:val="20"/>
                <w:szCs w:val="20"/>
              </w:rPr>
            </w:pPr>
          </w:p>
        </w:tc>
        <w:tc>
          <w:tcPr>
            <w:tcW w:w="1356" w:type="dxa"/>
            <w:vMerge w:val="continue"/>
            <w:vAlign w:val="center"/>
          </w:tcPr>
          <w:p w14:paraId="07E95791">
            <w:pPr>
              <w:rPr>
                <w:sz w:val="20"/>
                <w:szCs w:val="20"/>
              </w:rPr>
            </w:pPr>
          </w:p>
        </w:tc>
        <w:tc>
          <w:tcPr>
            <w:tcW w:w="1843" w:type="dxa"/>
            <w:vAlign w:val="center"/>
          </w:tcPr>
          <w:p w14:paraId="1DD10C9A">
            <w:pPr>
              <w:rPr>
                <w:sz w:val="20"/>
                <w:szCs w:val="20"/>
              </w:rPr>
            </w:pPr>
            <w:r>
              <w:rPr>
                <w:sz w:val="20"/>
                <w:szCs w:val="20"/>
              </w:rPr>
              <w:t>Bãi Gai thôn Hạ</w:t>
            </w:r>
          </w:p>
        </w:tc>
        <w:tc>
          <w:tcPr>
            <w:tcW w:w="1016" w:type="dxa"/>
            <w:noWrap/>
            <w:vAlign w:val="center"/>
          </w:tcPr>
          <w:p w14:paraId="77DD28E3">
            <w:pPr>
              <w:jc w:val="right"/>
              <w:rPr>
                <w:sz w:val="20"/>
                <w:szCs w:val="20"/>
              </w:rPr>
            </w:pPr>
            <w:r>
              <w:rPr>
                <w:sz w:val="20"/>
                <w:szCs w:val="20"/>
              </w:rPr>
              <w:t>4.229,00</w:t>
            </w:r>
          </w:p>
        </w:tc>
        <w:tc>
          <w:tcPr>
            <w:tcW w:w="666" w:type="dxa"/>
            <w:noWrap/>
            <w:vAlign w:val="center"/>
          </w:tcPr>
          <w:p w14:paraId="7A768E76">
            <w:pPr>
              <w:jc w:val="right"/>
              <w:rPr>
                <w:sz w:val="20"/>
                <w:szCs w:val="20"/>
              </w:rPr>
            </w:pPr>
            <w:r>
              <w:rPr>
                <w:sz w:val="20"/>
                <w:szCs w:val="20"/>
              </w:rPr>
              <w:t>18,00</w:t>
            </w:r>
          </w:p>
        </w:tc>
        <w:tc>
          <w:tcPr>
            <w:tcW w:w="1566" w:type="dxa"/>
            <w:noWrap/>
            <w:vAlign w:val="center"/>
          </w:tcPr>
          <w:p w14:paraId="31444AC4">
            <w:pPr>
              <w:jc w:val="right"/>
              <w:rPr>
                <w:sz w:val="20"/>
                <w:szCs w:val="20"/>
              </w:rPr>
            </w:pPr>
            <w:r>
              <w:rPr>
                <w:sz w:val="20"/>
                <w:szCs w:val="20"/>
              </w:rPr>
              <w:t>13.884.800.000</w:t>
            </w:r>
          </w:p>
        </w:tc>
        <w:tc>
          <w:tcPr>
            <w:tcW w:w="1566" w:type="dxa"/>
            <w:noWrap/>
            <w:vAlign w:val="center"/>
          </w:tcPr>
          <w:p w14:paraId="23F50B76">
            <w:pPr>
              <w:jc w:val="right"/>
              <w:rPr>
                <w:sz w:val="20"/>
                <w:szCs w:val="20"/>
              </w:rPr>
            </w:pPr>
            <w:r>
              <w:rPr>
                <w:sz w:val="20"/>
                <w:szCs w:val="20"/>
              </w:rPr>
              <w:t>20.082.555.000</w:t>
            </w:r>
          </w:p>
        </w:tc>
        <w:tc>
          <w:tcPr>
            <w:tcW w:w="856" w:type="dxa"/>
            <w:vAlign w:val="center"/>
          </w:tcPr>
          <w:p w14:paraId="0AC56192">
            <w:pPr>
              <w:jc w:val="right"/>
              <w:rPr>
                <w:sz w:val="20"/>
                <w:szCs w:val="20"/>
              </w:rPr>
            </w:pPr>
            <w:r>
              <w:rPr>
                <w:sz w:val="20"/>
                <w:szCs w:val="20"/>
              </w:rPr>
              <w:t>145%</w:t>
            </w:r>
          </w:p>
        </w:tc>
      </w:tr>
      <w:tr w14:paraId="3E3E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272730A4">
            <w:pPr>
              <w:jc w:val="center"/>
              <w:rPr>
                <w:sz w:val="20"/>
                <w:szCs w:val="20"/>
              </w:rPr>
            </w:pPr>
            <w:r>
              <w:rPr>
                <w:sz w:val="20"/>
                <w:szCs w:val="20"/>
              </w:rPr>
              <w:t>11</w:t>
            </w:r>
          </w:p>
        </w:tc>
        <w:tc>
          <w:tcPr>
            <w:tcW w:w="1356" w:type="dxa"/>
            <w:vMerge w:val="restart"/>
            <w:noWrap/>
            <w:vAlign w:val="center"/>
          </w:tcPr>
          <w:p w14:paraId="2581D2EE">
            <w:pPr>
              <w:rPr>
                <w:sz w:val="20"/>
                <w:szCs w:val="20"/>
              </w:rPr>
            </w:pPr>
            <w:r>
              <w:rPr>
                <w:sz w:val="20"/>
                <w:szCs w:val="20"/>
              </w:rPr>
              <w:t>Tiên Lục</w:t>
            </w:r>
          </w:p>
        </w:tc>
        <w:tc>
          <w:tcPr>
            <w:tcW w:w="1843" w:type="dxa"/>
            <w:noWrap/>
            <w:vAlign w:val="center"/>
          </w:tcPr>
          <w:p w14:paraId="0085B5A7">
            <w:pPr>
              <w:rPr>
                <w:sz w:val="20"/>
                <w:szCs w:val="20"/>
              </w:rPr>
            </w:pPr>
            <w:r>
              <w:rPr>
                <w:sz w:val="20"/>
                <w:szCs w:val="20"/>
              </w:rPr>
              <w:t>Thôn Vàng</w:t>
            </w:r>
          </w:p>
        </w:tc>
        <w:tc>
          <w:tcPr>
            <w:tcW w:w="1016" w:type="dxa"/>
            <w:noWrap/>
            <w:vAlign w:val="center"/>
          </w:tcPr>
          <w:p w14:paraId="24967C32">
            <w:pPr>
              <w:jc w:val="right"/>
              <w:rPr>
                <w:sz w:val="20"/>
                <w:szCs w:val="20"/>
              </w:rPr>
            </w:pPr>
            <w:r>
              <w:rPr>
                <w:sz w:val="20"/>
                <w:szCs w:val="20"/>
              </w:rPr>
              <w:t>250,00</w:t>
            </w:r>
          </w:p>
        </w:tc>
        <w:tc>
          <w:tcPr>
            <w:tcW w:w="666" w:type="dxa"/>
            <w:noWrap/>
            <w:vAlign w:val="center"/>
          </w:tcPr>
          <w:p w14:paraId="3C274A4E">
            <w:pPr>
              <w:jc w:val="right"/>
              <w:rPr>
                <w:sz w:val="20"/>
                <w:szCs w:val="20"/>
              </w:rPr>
            </w:pPr>
            <w:r>
              <w:rPr>
                <w:sz w:val="20"/>
                <w:szCs w:val="20"/>
              </w:rPr>
              <w:t>2,00</w:t>
            </w:r>
          </w:p>
        </w:tc>
        <w:tc>
          <w:tcPr>
            <w:tcW w:w="1566" w:type="dxa"/>
            <w:noWrap/>
            <w:vAlign w:val="center"/>
          </w:tcPr>
          <w:p w14:paraId="4A5A63E5">
            <w:pPr>
              <w:jc w:val="right"/>
              <w:rPr>
                <w:sz w:val="20"/>
                <w:szCs w:val="20"/>
              </w:rPr>
            </w:pPr>
            <w:r>
              <w:rPr>
                <w:sz w:val="20"/>
                <w:szCs w:val="20"/>
              </w:rPr>
              <w:t>1.171.750.000</w:t>
            </w:r>
          </w:p>
        </w:tc>
        <w:tc>
          <w:tcPr>
            <w:tcW w:w="1566" w:type="dxa"/>
            <w:noWrap/>
            <w:vAlign w:val="center"/>
          </w:tcPr>
          <w:p w14:paraId="08B72A5A">
            <w:pPr>
              <w:jc w:val="right"/>
              <w:rPr>
                <w:sz w:val="20"/>
                <w:szCs w:val="20"/>
              </w:rPr>
            </w:pPr>
            <w:r>
              <w:rPr>
                <w:sz w:val="20"/>
                <w:szCs w:val="20"/>
              </w:rPr>
              <w:t>1.557.088.000</w:t>
            </w:r>
          </w:p>
        </w:tc>
        <w:tc>
          <w:tcPr>
            <w:tcW w:w="856" w:type="dxa"/>
            <w:vAlign w:val="center"/>
          </w:tcPr>
          <w:p w14:paraId="75E07038">
            <w:pPr>
              <w:jc w:val="right"/>
              <w:rPr>
                <w:sz w:val="20"/>
                <w:szCs w:val="20"/>
              </w:rPr>
            </w:pPr>
            <w:r>
              <w:rPr>
                <w:sz w:val="20"/>
                <w:szCs w:val="20"/>
              </w:rPr>
              <w:t>133%</w:t>
            </w:r>
          </w:p>
        </w:tc>
      </w:tr>
      <w:tr w14:paraId="0866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6F05EC43">
            <w:pPr>
              <w:jc w:val="center"/>
              <w:rPr>
                <w:sz w:val="20"/>
                <w:szCs w:val="20"/>
              </w:rPr>
            </w:pPr>
          </w:p>
        </w:tc>
        <w:tc>
          <w:tcPr>
            <w:tcW w:w="1356" w:type="dxa"/>
            <w:vMerge w:val="continue"/>
            <w:vAlign w:val="center"/>
          </w:tcPr>
          <w:p w14:paraId="5145B130">
            <w:pPr>
              <w:rPr>
                <w:sz w:val="20"/>
                <w:szCs w:val="20"/>
              </w:rPr>
            </w:pPr>
          </w:p>
        </w:tc>
        <w:tc>
          <w:tcPr>
            <w:tcW w:w="1843" w:type="dxa"/>
            <w:vAlign w:val="center"/>
          </w:tcPr>
          <w:p w14:paraId="79AB592C">
            <w:pPr>
              <w:rPr>
                <w:sz w:val="20"/>
                <w:szCs w:val="20"/>
              </w:rPr>
            </w:pPr>
            <w:r>
              <w:rPr>
                <w:sz w:val="20"/>
                <w:szCs w:val="20"/>
              </w:rPr>
              <w:t>Khu dân cư Chợ Năm</w:t>
            </w:r>
          </w:p>
        </w:tc>
        <w:tc>
          <w:tcPr>
            <w:tcW w:w="1016" w:type="dxa"/>
            <w:noWrap/>
            <w:vAlign w:val="center"/>
          </w:tcPr>
          <w:p w14:paraId="3D88EBEA">
            <w:pPr>
              <w:jc w:val="right"/>
              <w:rPr>
                <w:sz w:val="20"/>
                <w:szCs w:val="20"/>
              </w:rPr>
            </w:pPr>
            <w:r>
              <w:rPr>
                <w:sz w:val="20"/>
                <w:szCs w:val="20"/>
              </w:rPr>
              <w:t>1.167,50</w:t>
            </w:r>
          </w:p>
        </w:tc>
        <w:tc>
          <w:tcPr>
            <w:tcW w:w="666" w:type="dxa"/>
            <w:noWrap/>
            <w:vAlign w:val="center"/>
          </w:tcPr>
          <w:p w14:paraId="48CF3E75">
            <w:pPr>
              <w:jc w:val="right"/>
              <w:rPr>
                <w:sz w:val="20"/>
                <w:szCs w:val="20"/>
              </w:rPr>
            </w:pPr>
            <w:r>
              <w:rPr>
                <w:sz w:val="20"/>
                <w:szCs w:val="20"/>
              </w:rPr>
              <w:t>5,00</w:t>
            </w:r>
          </w:p>
        </w:tc>
        <w:tc>
          <w:tcPr>
            <w:tcW w:w="1566" w:type="dxa"/>
            <w:noWrap/>
            <w:vAlign w:val="center"/>
          </w:tcPr>
          <w:p w14:paraId="519BEF29">
            <w:pPr>
              <w:jc w:val="right"/>
              <w:rPr>
                <w:sz w:val="20"/>
                <w:szCs w:val="20"/>
              </w:rPr>
            </w:pPr>
            <w:r>
              <w:rPr>
                <w:sz w:val="20"/>
                <w:szCs w:val="20"/>
              </w:rPr>
              <w:t>5.997.700.000</w:t>
            </w:r>
          </w:p>
        </w:tc>
        <w:tc>
          <w:tcPr>
            <w:tcW w:w="1566" w:type="dxa"/>
            <w:noWrap/>
            <w:vAlign w:val="center"/>
          </w:tcPr>
          <w:p w14:paraId="6632DDDF">
            <w:pPr>
              <w:jc w:val="right"/>
              <w:rPr>
                <w:sz w:val="20"/>
                <w:szCs w:val="20"/>
              </w:rPr>
            </w:pPr>
            <w:r>
              <w:rPr>
                <w:sz w:val="20"/>
                <w:szCs w:val="20"/>
              </w:rPr>
              <w:t>6.565.888.000</w:t>
            </w:r>
          </w:p>
        </w:tc>
        <w:tc>
          <w:tcPr>
            <w:tcW w:w="856" w:type="dxa"/>
            <w:vAlign w:val="center"/>
          </w:tcPr>
          <w:p w14:paraId="48769605">
            <w:pPr>
              <w:jc w:val="right"/>
              <w:rPr>
                <w:sz w:val="20"/>
                <w:szCs w:val="20"/>
              </w:rPr>
            </w:pPr>
            <w:r>
              <w:rPr>
                <w:sz w:val="20"/>
                <w:szCs w:val="20"/>
              </w:rPr>
              <w:t>109%</w:t>
            </w:r>
          </w:p>
        </w:tc>
      </w:tr>
      <w:tr w14:paraId="5E36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4D44F51F">
            <w:pPr>
              <w:jc w:val="center"/>
              <w:rPr>
                <w:sz w:val="20"/>
                <w:szCs w:val="20"/>
              </w:rPr>
            </w:pPr>
            <w:r>
              <w:rPr>
                <w:sz w:val="20"/>
                <w:szCs w:val="20"/>
              </w:rPr>
              <w:t>12</w:t>
            </w:r>
          </w:p>
        </w:tc>
        <w:tc>
          <w:tcPr>
            <w:tcW w:w="1356" w:type="dxa"/>
            <w:vAlign w:val="center"/>
          </w:tcPr>
          <w:p w14:paraId="697C76F5">
            <w:pPr>
              <w:rPr>
                <w:sz w:val="20"/>
                <w:szCs w:val="20"/>
              </w:rPr>
            </w:pPr>
            <w:r>
              <w:rPr>
                <w:sz w:val="20"/>
                <w:szCs w:val="20"/>
              </w:rPr>
              <w:t>Tân Hưng</w:t>
            </w:r>
          </w:p>
        </w:tc>
        <w:tc>
          <w:tcPr>
            <w:tcW w:w="1843" w:type="dxa"/>
            <w:vAlign w:val="center"/>
          </w:tcPr>
          <w:p w14:paraId="66EC86E5">
            <w:pPr>
              <w:rPr>
                <w:sz w:val="20"/>
                <w:szCs w:val="20"/>
              </w:rPr>
            </w:pPr>
            <w:r>
              <w:rPr>
                <w:sz w:val="20"/>
                <w:szCs w:val="20"/>
              </w:rPr>
              <w:t>TT xã Tân Hưng</w:t>
            </w:r>
          </w:p>
        </w:tc>
        <w:tc>
          <w:tcPr>
            <w:tcW w:w="1016" w:type="dxa"/>
            <w:noWrap/>
            <w:vAlign w:val="center"/>
          </w:tcPr>
          <w:p w14:paraId="1AFFDCA1">
            <w:pPr>
              <w:jc w:val="right"/>
              <w:rPr>
                <w:sz w:val="20"/>
                <w:szCs w:val="20"/>
              </w:rPr>
            </w:pPr>
            <w:r>
              <w:rPr>
                <w:sz w:val="20"/>
                <w:szCs w:val="20"/>
              </w:rPr>
              <w:t xml:space="preserve">9.065,5   </w:t>
            </w:r>
          </w:p>
        </w:tc>
        <w:tc>
          <w:tcPr>
            <w:tcW w:w="666" w:type="dxa"/>
            <w:noWrap/>
            <w:vAlign w:val="center"/>
          </w:tcPr>
          <w:p w14:paraId="64BFD35E">
            <w:pPr>
              <w:jc w:val="right"/>
              <w:rPr>
                <w:sz w:val="20"/>
                <w:szCs w:val="20"/>
              </w:rPr>
            </w:pPr>
            <w:r>
              <w:rPr>
                <w:sz w:val="20"/>
                <w:szCs w:val="20"/>
              </w:rPr>
              <w:t>69</w:t>
            </w:r>
          </w:p>
        </w:tc>
        <w:tc>
          <w:tcPr>
            <w:tcW w:w="1566" w:type="dxa"/>
            <w:noWrap/>
            <w:vAlign w:val="center"/>
          </w:tcPr>
          <w:p w14:paraId="2E1CB6E9">
            <w:pPr>
              <w:jc w:val="right"/>
              <w:rPr>
                <w:sz w:val="20"/>
                <w:szCs w:val="20"/>
              </w:rPr>
            </w:pPr>
            <w:r>
              <w:rPr>
                <w:sz w:val="20"/>
                <w:szCs w:val="20"/>
              </w:rPr>
              <w:t xml:space="preserve">92.615.068.000   </w:t>
            </w:r>
          </w:p>
        </w:tc>
        <w:tc>
          <w:tcPr>
            <w:tcW w:w="1566" w:type="dxa"/>
            <w:noWrap/>
            <w:vAlign w:val="center"/>
          </w:tcPr>
          <w:p w14:paraId="1EA1C27E">
            <w:pPr>
              <w:jc w:val="right"/>
              <w:rPr>
                <w:sz w:val="20"/>
                <w:szCs w:val="20"/>
              </w:rPr>
            </w:pPr>
            <w:r>
              <w:rPr>
                <w:sz w:val="20"/>
                <w:szCs w:val="20"/>
              </w:rPr>
              <w:t xml:space="preserve">173.297.586.500   </w:t>
            </w:r>
          </w:p>
        </w:tc>
        <w:tc>
          <w:tcPr>
            <w:tcW w:w="856" w:type="dxa"/>
            <w:vAlign w:val="center"/>
          </w:tcPr>
          <w:p w14:paraId="3EAF17F1">
            <w:pPr>
              <w:jc w:val="right"/>
              <w:rPr>
                <w:sz w:val="20"/>
                <w:szCs w:val="20"/>
              </w:rPr>
            </w:pPr>
            <w:r>
              <w:rPr>
                <w:sz w:val="20"/>
                <w:szCs w:val="20"/>
              </w:rPr>
              <w:t>187%</w:t>
            </w:r>
          </w:p>
        </w:tc>
      </w:tr>
      <w:tr w14:paraId="4F2E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6431C170">
            <w:pPr>
              <w:jc w:val="center"/>
              <w:rPr>
                <w:sz w:val="20"/>
                <w:szCs w:val="20"/>
              </w:rPr>
            </w:pPr>
            <w:r>
              <w:rPr>
                <w:sz w:val="20"/>
                <w:szCs w:val="20"/>
              </w:rPr>
              <w:t>13</w:t>
            </w:r>
          </w:p>
        </w:tc>
        <w:tc>
          <w:tcPr>
            <w:tcW w:w="1356" w:type="dxa"/>
            <w:vAlign w:val="center"/>
          </w:tcPr>
          <w:p w14:paraId="63D6DF5F">
            <w:pPr>
              <w:rPr>
                <w:sz w:val="20"/>
                <w:szCs w:val="20"/>
              </w:rPr>
            </w:pPr>
            <w:r>
              <w:rPr>
                <w:sz w:val="20"/>
                <w:szCs w:val="20"/>
              </w:rPr>
              <w:t>Tân Thanh</w:t>
            </w:r>
          </w:p>
        </w:tc>
        <w:tc>
          <w:tcPr>
            <w:tcW w:w="1843" w:type="dxa"/>
            <w:vAlign w:val="center"/>
          </w:tcPr>
          <w:p w14:paraId="454418C0">
            <w:pPr>
              <w:rPr>
                <w:sz w:val="20"/>
                <w:szCs w:val="20"/>
              </w:rPr>
            </w:pPr>
            <w:r>
              <w:rPr>
                <w:sz w:val="20"/>
                <w:szCs w:val="20"/>
              </w:rPr>
              <w:t>Mải Hạ</w:t>
            </w:r>
          </w:p>
        </w:tc>
        <w:tc>
          <w:tcPr>
            <w:tcW w:w="1016" w:type="dxa"/>
            <w:noWrap/>
            <w:vAlign w:val="center"/>
          </w:tcPr>
          <w:p w14:paraId="60766466">
            <w:pPr>
              <w:jc w:val="right"/>
              <w:rPr>
                <w:sz w:val="20"/>
                <w:szCs w:val="20"/>
              </w:rPr>
            </w:pPr>
            <w:r>
              <w:rPr>
                <w:sz w:val="20"/>
                <w:szCs w:val="20"/>
              </w:rPr>
              <w:t>3.370,0</w:t>
            </w:r>
          </w:p>
        </w:tc>
        <w:tc>
          <w:tcPr>
            <w:tcW w:w="666" w:type="dxa"/>
            <w:noWrap/>
            <w:vAlign w:val="center"/>
          </w:tcPr>
          <w:p w14:paraId="38F6976A">
            <w:pPr>
              <w:jc w:val="right"/>
              <w:rPr>
                <w:sz w:val="20"/>
                <w:szCs w:val="20"/>
              </w:rPr>
            </w:pPr>
            <w:r>
              <w:rPr>
                <w:sz w:val="20"/>
                <w:szCs w:val="20"/>
              </w:rPr>
              <w:t>33</w:t>
            </w:r>
          </w:p>
        </w:tc>
        <w:tc>
          <w:tcPr>
            <w:tcW w:w="1566" w:type="dxa"/>
            <w:noWrap/>
            <w:vAlign w:val="center"/>
          </w:tcPr>
          <w:p w14:paraId="671B88BC">
            <w:pPr>
              <w:jc w:val="right"/>
              <w:rPr>
                <w:sz w:val="20"/>
                <w:szCs w:val="20"/>
              </w:rPr>
            </w:pPr>
            <w:r>
              <w:rPr>
                <w:sz w:val="20"/>
                <w:szCs w:val="20"/>
              </w:rPr>
              <w:t>29.597.740.000</w:t>
            </w:r>
          </w:p>
        </w:tc>
        <w:tc>
          <w:tcPr>
            <w:tcW w:w="1566" w:type="dxa"/>
            <w:noWrap/>
            <w:vAlign w:val="center"/>
          </w:tcPr>
          <w:p w14:paraId="26597C39">
            <w:pPr>
              <w:jc w:val="right"/>
              <w:rPr>
                <w:sz w:val="20"/>
                <w:szCs w:val="20"/>
              </w:rPr>
            </w:pPr>
            <w:r>
              <w:rPr>
                <w:sz w:val="20"/>
                <w:szCs w:val="20"/>
              </w:rPr>
              <w:t>31.217.633.000</w:t>
            </w:r>
          </w:p>
        </w:tc>
        <w:tc>
          <w:tcPr>
            <w:tcW w:w="856" w:type="dxa"/>
            <w:vAlign w:val="center"/>
          </w:tcPr>
          <w:p w14:paraId="51FF6E13">
            <w:pPr>
              <w:jc w:val="right"/>
              <w:rPr>
                <w:sz w:val="20"/>
                <w:szCs w:val="20"/>
              </w:rPr>
            </w:pPr>
            <w:r>
              <w:rPr>
                <w:sz w:val="20"/>
                <w:szCs w:val="20"/>
              </w:rPr>
              <w:t>105%</w:t>
            </w:r>
          </w:p>
        </w:tc>
      </w:tr>
      <w:tr w14:paraId="5662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5" w:type="dxa"/>
            <w:noWrap/>
            <w:vAlign w:val="center"/>
          </w:tcPr>
          <w:p w14:paraId="4ADBA067">
            <w:pPr>
              <w:jc w:val="center"/>
              <w:rPr>
                <w:sz w:val="20"/>
                <w:szCs w:val="20"/>
              </w:rPr>
            </w:pPr>
            <w:r>
              <w:rPr>
                <w:sz w:val="20"/>
                <w:szCs w:val="20"/>
              </w:rPr>
              <w:t>14</w:t>
            </w:r>
          </w:p>
        </w:tc>
        <w:tc>
          <w:tcPr>
            <w:tcW w:w="1356" w:type="dxa"/>
            <w:vAlign w:val="center"/>
          </w:tcPr>
          <w:p w14:paraId="66A577A4">
            <w:pPr>
              <w:rPr>
                <w:sz w:val="20"/>
                <w:szCs w:val="20"/>
              </w:rPr>
            </w:pPr>
            <w:r>
              <w:rPr>
                <w:sz w:val="20"/>
                <w:szCs w:val="20"/>
              </w:rPr>
              <w:t>Yên Mỹ</w:t>
            </w:r>
          </w:p>
        </w:tc>
        <w:tc>
          <w:tcPr>
            <w:tcW w:w="1843" w:type="dxa"/>
            <w:vAlign w:val="center"/>
          </w:tcPr>
          <w:p w14:paraId="74EBC1D1">
            <w:pPr>
              <w:rPr>
                <w:sz w:val="20"/>
                <w:szCs w:val="20"/>
              </w:rPr>
            </w:pPr>
            <w:r>
              <w:rPr>
                <w:sz w:val="20"/>
                <w:szCs w:val="20"/>
              </w:rPr>
              <w:t>Ao Luông</w:t>
            </w:r>
          </w:p>
        </w:tc>
        <w:tc>
          <w:tcPr>
            <w:tcW w:w="1016" w:type="dxa"/>
            <w:noWrap/>
            <w:vAlign w:val="center"/>
          </w:tcPr>
          <w:p w14:paraId="137756B4">
            <w:pPr>
              <w:jc w:val="right"/>
              <w:rPr>
                <w:sz w:val="20"/>
                <w:szCs w:val="20"/>
              </w:rPr>
            </w:pPr>
            <w:r>
              <w:rPr>
                <w:sz w:val="20"/>
                <w:szCs w:val="20"/>
              </w:rPr>
              <w:t>1.000</w:t>
            </w:r>
          </w:p>
        </w:tc>
        <w:tc>
          <w:tcPr>
            <w:tcW w:w="666" w:type="dxa"/>
            <w:noWrap/>
            <w:vAlign w:val="center"/>
          </w:tcPr>
          <w:p w14:paraId="644600E5">
            <w:pPr>
              <w:jc w:val="right"/>
              <w:rPr>
                <w:sz w:val="20"/>
                <w:szCs w:val="20"/>
              </w:rPr>
            </w:pPr>
            <w:r>
              <w:rPr>
                <w:sz w:val="20"/>
                <w:szCs w:val="20"/>
              </w:rPr>
              <w:t>9</w:t>
            </w:r>
          </w:p>
        </w:tc>
        <w:tc>
          <w:tcPr>
            <w:tcW w:w="1566" w:type="dxa"/>
            <w:noWrap/>
            <w:vAlign w:val="center"/>
          </w:tcPr>
          <w:p w14:paraId="6C9D324C">
            <w:pPr>
              <w:jc w:val="right"/>
              <w:rPr>
                <w:sz w:val="20"/>
                <w:szCs w:val="20"/>
              </w:rPr>
            </w:pPr>
            <w:r>
              <w:rPr>
                <w:sz w:val="20"/>
                <w:szCs w:val="20"/>
              </w:rPr>
              <w:t>7.704.000.000</w:t>
            </w:r>
          </w:p>
        </w:tc>
        <w:tc>
          <w:tcPr>
            <w:tcW w:w="1566" w:type="dxa"/>
            <w:noWrap/>
            <w:vAlign w:val="center"/>
          </w:tcPr>
          <w:p w14:paraId="659F7708">
            <w:pPr>
              <w:jc w:val="right"/>
              <w:rPr>
                <w:sz w:val="20"/>
                <w:szCs w:val="20"/>
              </w:rPr>
            </w:pPr>
            <w:r>
              <w:rPr>
                <w:sz w:val="20"/>
                <w:szCs w:val="20"/>
              </w:rPr>
              <w:t>8.113.573.000</w:t>
            </w:r>
          </w:p>
        </w:tc>
        <w:tc>
          <w:tcPr>
            <w:tcW w:w="856" w:type="dxa"/>
            <w:vAlign w:val="center"/>
          </w:tcPr>
          <w:p w14:paraId="31A65DA0">
            <w:pPr>
              <w:spacing w:line="360" w:lineRule="auto"/>
              <w:jc w:val="right"/>
              <w:rPr>
                <w:sz w:val="20"/>
                <w:szCs w:val="20"/>
              </w:rPr>
            </w:pPr>
            <w:r>
              <w:rPr>
                <w:sz w:val="20"/>
                <w:szCs w:val="20"/>
              </w:rPr>
              <w:t>105%</w:t>
            </w:r>
          </w:p>
        </w:tc>
      </w:tr>
    </w:tbl>
    <w:p w14:paraId="5F35DFDA">
      <w:pPr>
        <w:widowControl w:val="0"/>
        <w:spacing w:before="120" w:after="120"/>
        <w:ind w:firstLine="720"/>
        <w:jc w:val="both"/>
        <w:rPr>
          <w:b/>
          <w:bCs/>
          <w:color w:val="000000"/>
          <w:sz w:val="20"/>
          <w:szCs w:val="20"/>
        </w:rPr>
      </w:pPr>
    </w:p>
    <w:p w14:paraId="64F956A0">
      <w:pPr>
        <w:widowControl w:val="0"/>
        <w:spacing w:before="120" w:after="120"/>
        <w:ind w:firstLine="720"/>
        <w:jc w:val="both"/>
        <w:rPr>
          <w:b/>
          <w:bCs/>
          <w:color w:val="000000"/>
          <w:sz w:val="20"/>
          <w:szCs w:val="20"/>
        </w:rPr>
        <w:sectPr>
          <w:pgSz w:w="11905" w:h="16838"/>
          <w:pgMar w:top="1134" w:right="1134" w:bottom="1134" w:left="1701" w:header="720" w:footer="720" w:gutter="0"/>
          <w:cols w:space="0" w:num="1"/>
          <w:docGrid w:linePitch="367" w:charSpace="0"/>
        </w:sectPr>
      </w:pPr>
    </w:p>
    <w:tbl>
      <w:tblPr>
        <w:tblStyle w:val="9"/>
        <w:tblW w:w="1573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243"/>
        <w:gridCol w:w="1211"/>
        <w:gridCol w:w="918"/>
        <w:gridCol w:w="1244"/>
        <w:gridCol w:w="1817"/>
        <w:gridCol w:w="6"/>
        <w:gridCol w:w="802"/>
        <w:gridCol w:w="1329"/>
        <w:gridCol w:w="696"/>
        <w:gridCol w:w="1761"/>
        <w:gridCol w:w="1732"/>
        <w:gridCol w:w="24"/>
        <w:gridCol w:w="1220"/>
      </w:tblGrid>
      <w:tr w14:paraId="15AE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735" w:type="dxa"/>
            <w:gridSpan w:val="14"/>
            <w:tcBorders>
              <w:top w:val="nil"/>
              <w:left w:val="nil"/>
              <w:bottom w:val="nil"/>
              <w:right w:val="nil"/>
            </w:tcBorders>
            <w:vAlign w:val="center"/>
          </w:tcPr>
          <w:p w14:paraId="425A61B4">
            <w:pPr>
              <w:jc w:val="center"/>
              <w:rPr>
                <w:b/>
                <w:bCs/>
                <w:sz w:val="26"/>
                <w:szCs w:val="26"/>
              </w:rPr>
            </w:pPr>
            <w:r>
              <w:rPr>
                <w:b/>
                <w:bCs/>
                <w:sz w:val="26"/>
                <w:szCs w:val="26"/>
              </w:rPr>
              <w:t>BIỂU TỔNG HỢP</w:t>
            </w:r>
            <w:r>
              <w:rPr>
                <w:b/>
                <w:bCs/>
                <w:sz w:val="26"/>
                <w:szCs w:val="26"/>
              </w:rPr>
              <w:br w:type="textWrapping"/>
            </w:r>
            <w:r>
              <w:rPr>
                <w:b/>
                <w:bCs/>
                <w:sz w:val="26"/>
                <w:szCs w:val="26"/>
              </w:rPr>
              <w:t xml:space="preserve">Kết quả đấu giá quyền sử dụng đất có thu tiền sử dụng đất ở cho hộ gia đình, cá nhân trên địa bàn huyện Lạng Giang </w:t>
            </w:r>
          </w:p>
          <w:p w14:paraId="20631F25">
            <w:pPr>
              <w:jc w:val="center"/>
              <w:rPr>
                <w:b/>
                <w:bCs/>
                <w:sz w:val="26"/>
                <w:szCs w:val="26"/>
              </w:rPr>
            </w:pPr>
            <w:r>
              <w:rPr>
                <w:b/>
                <w:bCs/>
                <w:sz w:val="26"/>
                <w:szCs w:val="26"/>
              </w:rPr>
              <w:t>đến hết tháng 10 năm 2023</w:t>
            </w:r>
          </w:p>
        </w:tc>
      </w:tr>
      <w:tr w14:paraId="1BC3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vMerge w:val="restart"/>
            <w:vAlign w:val="center"/>
          </w:tcPr>
          <w:p w14:paraId="62592A70">
            <w:pPr>
              <w:jc w:val="center"/>
              <w:rPr>
                <w:b/>
                <w:bCs/>
                <w:sz w:val="22"/>
                <w:szCs w:val="22"/>
              </w:rPr>
            </w:pPr>
            <w:r>
              <w:rPr>
                <w:b/>
                <w:bCs/>
                <w:sz w:val="22"/>
                <w:szCs w:val="22"/>
              </w:rPr>
              <w:t>TT</w:t>
            </w:r>
          </w:p>
        </w:tc>
        <w:tc>
          <w:tcPr>
            <w:tcW w:w="2243" w:type="dxa"/>
            <w:vMerge w:val="restart"/>
            <w:vAlign w:val="center"/>
          </w:tcPr>
          <w:p w14:paraId="11BDFD1B">
            <w:pPr>
              <w:jc w:val="center"/>
              <w:rPr>
                <w:b/>
                <w:bCs/>
                <w:sz w:val="22"/>
                <w:szCs w:val="22"/>
              </w:rPr>
            </w:pPr>
            <w:r>
              <w:rPr>
                <w:b/>
                <w:bCs/>
                <w:sz w:val="22"/>
                <w:szCs w:val="22"/>
              </w:rPr>
              <w:t>Tài sản</w:t>
            </w:r>
          </w:p>
        </w:tc>
        <w:tc>
          <w:tcPr>
            <w:tcW w:w="1211" w:type="dxa"/>
            <w:vMerge w:val="restart"/>
            <w:vAlign w:val="center"/>
          </w:tcPr>
          <w:p w14:paraId="40A3B64C">
            <w:pPr>
              <w:jc w:val="center"/>
              <w:rPr>
                <w:b/>
                <w:bCs/>
                <w:sz w:val="22"/>
                <w:szCs w:val="22"/>
              </w:rPr>
            </w:pPr>
            <w:r>
              <w:rPr>
                <w:b/>
                <w:bCs/>
                <w:sz w:val="22"/>
                <w:szCs w:val="22"/>
              </w:rPr>
              <w:t>Ngày tổ chức đấu giá</w:t>
            </w:r>
          </w:p>
        </w:tc>
        <w:tc>
          <w:tcPr>
            <w:tcW w:w="3985" w:type="dxa"/>
            <w:gridSpan w:val="4"/>
            <w:vAlign w:val="center"/>
          </w:tcPr>
          <w:p w14:paraId="63955201">
            <w:pPr>
              <w:jc w:val="center"/>
              <w:rPr>
                <w:b/>
                <w:bCs/>
                <w:sz w:val="22"/>
                <w:szCs w:val="22"/>
              </w:rPr>
            </w:pPr>
            <w:r>
              <w:rPr>
                <w:b/>
                <w:bCs/>
                <w:sz w:val="22"/>
                <w:szCs w:val="22"/>
              </w:rPr>
              <w:t>Tổng số cuộc đấu giá và Tổng số lô đất đưa ra đấu ra trên địa bàn huyện</w:t>
            </w:r>
          </w:p>
        </w:tc>
        <w:tc>
          <w:tcPr>
            <w:tcW w:w="6344" w:type="dxa"/>
            <w:gridSpan w:val="6"/>
            <w:vAlign w:val="center"/>
          </w:tcPr>
          <w:p w14:paraId="7277ECBE">
            <w:pPr>
              <w:jc w:val="center"/>
              <w:rPr>
                <w:b/>
                <w:bCs/>
                <w:sz w:val="22"/>
                <w:szCs w:val="22"/>
              </w:rPr>
            </w:pPr>
            <w:r>
              <w:rPr>
                <w:b/>
                <w:bCs/>
                <w:sz w:val="22"/>
                <w:szCs w:val="22"/>
              </w:rPr>
              <w:t>Kết quả thực hiện đấu giá</w:t>
            </w:r>
          </w:p>
        </w:tc>
        <w:tc>
          <w:tcPr>
            <w:tcW w:w="1220" w:type="dxa"/>
            <w:vAlign w:val="center"/>
          </w:tcPr>
          <w:p w14:paraId="7DC222F1">
            <w:pPr>
              <w:jc w:val="center"/>
              <w:rPr>
                <w:b/>
                <w:bCs/>
                <w:sz w:val="22"/>
                <w:szCs w:val="22"/>
                <w:lang w:val="sv-SE"/>
              </w:rPr>
            </w:pPr>
            <w:r>
              <w:rPr>
                <w:b/>
                <w:bCs/>
                <w:sz w:val="22"/>
                <w:szCs w:val="22"/>
                <w:lang w:val="sv-SE"/>
              </w:rPr>
              <w:t>Tỷ lệ tăng % trung bình</w:t>
            </w:r>
          </w:p>
        </w:tc>
      </w:tr>
      <w:tr w14:paraId="47E1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vMerge w:val="continue"/>
            <w:vAlign w:val="center"/>
          </w:tcPr>
          <w:p w14:paraId="31C81C0A">
            <w:pPr>
              <w:jc w:val="center"/>
              <w:rPr>
                <w:b/>
                <w:bCs/>
                <w:sz w:val="22"/>
                <w:szCs w:val="22"/>
                <w:lang w:val="sv-SE"/>
              </w:rPr>
            </w:pPr>
          </w:p>
        </w:tc>
        <w:tc>
          <w:tcPr>
            <w:tcW w:w="2243" w:type="dxa"/>
            <w:vMerge w:val="continue"/>
            <w:vAlign w:val="center"/>
          </w:tcPr>
          <w:p w14:paraId="64E86E04">
            <w:pPr>
              <w:jc w:val="center"/>
              <w:rPr>
                <w:b/>
                <w:bCs/>
                <w:sz w:val="22"/>
                <w:szCs w:val="22"/>
                <w:lang w:val="sv-SE"/>
              </w:rPr>
            </w:pPr>
          </w:p>
        </w:tc>
        <w:tc>
          <w:tcPr>
            <w:tcW w:w="1211" w:type="dxa"/>
            <w:vMerge w:val="continue"/>
            <w:vAlign w:val="center"/>
          </w:tcPr>
          <w:p w14:paraId="43D18D1C">
            <w:pPr>
              <w:jc w:val="center"/>
              <w:rPr>
                <w:b/>
                <w:bCs/>
                <w:sz w:val="22"/>
                <w:szCs w:val="22"/>
                <w:lang w:val="sv-SE"/>
              </w:rPr>
            </w:pPr>
          </w:p>
        </w:tc>
        <w:tc>
          <w:tcPr>
            <w:tcW w:w="918" w:type="dxa"/>
            <w:vAlign w:val="center"/>
          </w:tcPr>
          <w:p w14:paraId="591F3619">
            <w:pPr>
              <w:jc w:val="center"/>
              <w:rPr>
                <w:b/>
                <w:bCs/>
                <w:sz w:val="22"/>
                <w:szCs w:val="22"/>
                <w:lang w:val="sv-SE"/>
              </w:rPr>
            </w:pPr>
            <w:r>
              <w:rPr>
                <w:b/>
                <w:bCs/>
                <w:sz w:val="22"/>
                <w:szCs w:val="22"/>
                <w:lang w:val="sv-SE"/>
              </w:rPr>
              <w:t>Tổng số lô đưa ra đấu giá</w:t>
            </w:r>
          </w:p>
        </w:tc>
        <w:tc>
          <w:tcPr>
            <w:tcW w:w="1244" w:type="dxa"/>
            <w:vAlign w:val="center"/>
          </w:tcPr>
          <w:p w14:paraId="1D6B4F80">
            <w:pPr>
              <w:ind w:left="-168" w:firstLine="168"/>
              <w:jc w:val="center"/>
              <w:rPr>
                <w:b/>
                <w:bCs/>
                <w:sz w:val="22"/>
                <w:szCs w:val="22"/>
              </w:rPr>
            </w:pPr>
            <w:r>
              <w:rPr>
                <w:b/>
                <w:bCs/>
                <w:sz w:val="22"/>
                <w:szCs w:val="22"/>
              </w:rPr>
              <w:t>Tổng diện tích</w:t>
            </w:r>
          </w:p>
        </w:tc>
        <w:tc>
          <w:tcPr>
            <w:tcW w:w="1817" w:type="dxa"/>
            <w:vAlign w:val="center"/>
          </w:tcPr>
          <w:p w14:paraId="38D5A2FD">
            <w:pPr>
              <w:jc w:val="center"/>
              <w:rPr>
                <w:b/>
                <w:bCs/>
                <w:sz w:val="22"/>
                <w:szCs w:val="22"/>
              </w:rPr>
            </w:pPr>
            <w:r>
              <w:rPr>
                <w:b/>
                <w:bCs/>
                <w:sz w:val="22"/>
                <w:szCs w:val="22"/>
              </w:rPr>
              <w:t>Tổng tiền theo giá khởi điểm (đ)</w:t>
            </w:r>
          </w:p>
        </w:tc>
        <w:tc>
          <w:tcPr>
            <w:tcW w:w="808" w:type="dxa"/>
            <w:gridSpan w:val="2"/>
            <w:vAlign w:val="center"/>
          </w:tcPr>
          <w:p w14:paraId="76DA944E">
            <w:pPr>
              <w:jc w:val="center"/>
              <w:rPr>
                <w:b/>
                <w:bCs/>
                <w:sz w:val="22"/>
                <w:szCs w:val="22"/>
              </w:rPr>
            </w:pPr>
            <w:r>
              <w:rPr>
                <w:b/>
                <w:bCs/>
                <w:sz w:val="22"/>
                <w:szCs w:val="22"/>
              </w:rPr>
              <w:t>Số lô đấu thành công</w:t>
            </w:r>
          </w:p>
        </w:tc>
        <w:tc>
          <w:tcPr>
            <w:tcW w:w="1329" w:type="dxa"/>
            <w:vAlign w:val="center"/>
          </w:tcPr>
          <w:p w14:paraId="3A7870B8">
            <w:pPr>
              <w:jc w:val="center"/>
              <w:rPr>
                <w:b/>
                <w:bCs/>
                <w:sz w:val="22"/>
                <w:szCs w:val="22"/>
              </w:rPr>
            </w:pPr>
            <w:r>
              <w:rPr>
                <w:b/>
                <w:bCs/>
                <w:sz w:val="22"/>
                <w:szCs w:val="22"/>
              </w:rPr>
              <w:t>Diện tích các lô đấu giá thành (m2)</w:t>
            </w:r>
          </w:p>
        </w:tc>
        <w:tc>
          <w:tcPr>
            <w:tcW w:w="696" w:type="dxa"/>
            <w:vAlign w:val="center"/>
          </w:tcPr>
          <w:p w14:paraId="39890A67">
            <w:pPr>
              <w:jc w:val="center"/>
              <w:rPr>
                <w:b/>
                <w:bCs/>
                <w:sz w:val="22"/>
                <w:szCs w:val="22"/>
              </w:rPr>
            </w:pPr>
            <w:r>
              <w:rPr>
                <w:b/>
                <w:bCs/>
                <w:sz w:val="22"/>
                <w:szCs w:val="22"/>
              </w:rPr>
              <w:t>Số lô bỏ cọc</w:t>
            </w:r>
          </w:p>
        </w:tc>
        <w:tc>
          <w:tcPr>
            <w:tcW w:w="1761" w:type="dxa"/>
            <w:vAlign w:val="center"/>
          </w:tcPr>
          <w:p w14:paraId="5960D6CD">
            <w:pPr>
              <w:jc w:val="center"/>
              <w:rPr>
                <w:b/>
                <w:bCs/>
                <w:sz w:val="22"/>
                <w:szCs w:val="22"/>
              </w:rPr>
            </w:pPr>
            <w:r>
              <w:rPr>
                <w:b/>
                <w:bCs/>
                <w:sz w:val="22"/>
                <w:szCs w:val="22"/>
              </w:rPr>
              <w:t>Tổng tiền giá khởi điểm lô đấu thành (đ)</w:t>
            </w:r>
          </w:p>
        </w:tc>
        <w:tc>
          <w:tcPr>
            <w:tcW w:w="1732" w:type="dxa"/>
            <w:vAlign w:val="center"/>
          </w:tcPr>
          <w:p w14:paraId="731D57F4">
            <w:pPr>
              <w:jc w:val="center"/>
              <w:rPr>
                <w:b/>
                <w:bCs/>
                <w:sz w:val="22"/>
                <w:szCs w:val="22"/>
              </w:rPr>
            </w:pPr>
            <w:r>
              <w:rPr>
                <w:b/>
                <w:bCs/>
                <w:sz w:val="22"/>
                <w:szCs w:val="22"/>
              </w:rPr>
              <w:t>Tổng tiền trúng đấu giá thu được (đ)</w:t>
            </w:r>
          </w:p>
        </w:tc>
        <w:tc>
          <w:tcPr>
            <w:tcW w:w="1244" w:type="dxa"/>
            <w:gridSpan w:val="2"/>
            <w:vAlign w:val="center"/>
          </w:tcPr>
          <w:p w14:paraId="47C4118B">
            <w:pPr>
              <w:jc w:val="center"/>
              <w:rPr>
                <w:b/>
                <w:bCs/>
                <w:sz w:val="22"/>
                <w:szCs w:val="22"/>
              </w:rPr>
            </w:pPr>
          </w:p>
        </w:tc>
      </w:tr>
      <w:tr w14:paraId="41F2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5" w:type="dxa"/>
            <w:gridSpan w:val="2"/>
            <w:vAlign w:val="center"/>
          </w:tcPr>
          <w:p w14:paraId="3ED641D8">
            <w:pPr>
              <w:jc w:val="center"/>
              <w:rPr>
                <w:b/>
                <w:bCs/>
                <w:sz w:val="22"/>
                <w:szCs w:val="22"/>
              </w:rPr>
            </w:pPr>
            <w:r>
              <w:rPr>
                <w:b/>
                <w:bCs/>
                <w:sz w:val="22"/>
                <w:szCs w:val="22"/>
              </w:rPr>
              <w:t>Quý I</w:t>
            </w:r>
          </w:p>
        </w:tc>
        <w:tc>
          <w:tcPr>
            <w:tcW w:w="1211" w:type="dxa"/>
            <w:noWrap/>
            <w:vAlign w:val="center"/>
          </w:tcPr>
          <w:p w14:paraId="3CA8DFA6">
            <w:pPr>
              <w:jc w:val="center"/>
              <w:rPr>
                <w:b/>
                <w:bCs/>
                <w:sz w:val="22"/>
                <w:szCs w:val="22"/>
              </w:rPr>
            </w:pPr>
          </w:p>
        </w:tc>
        <w:tc>
          <w:tcPr>
            <w:tcW w:w="918" w:type="dxa"/>
            <w:noWrap/>
            <w:vAlign w:val="center"/>
          </w:tcPr>
          <w:p w14:paraId="3598B786">
            <w:pPr>
              <w:jc w:val="center"/>
              <w:rPr>
                <w:b/>
                <w:bCs/>
                <w:sz w:val="22"/>
                <w:szCs w:val="22"/>
              </w:rPr>
            </w:pPr>
            <w:r>
              <w:rPr>
                <w:b/>
                <w:bCs/>
                <w:sz w:val="22"/>
                <w:szCs w:val="22"/>
              </w:rPr>
              <w:t>141</w:t>
            </w:r>
          </w:p>
        </w:tc>
        <w:tc>
          <w:tcPr>
            <w:tcW w:w="1244" w:type="dxa"/>
            <w:noWrap/>
            <w:vAlign w:val="center"/>
          </w:tcPr>
          <w:p w14:paraId="3EC56FD0">
            <w:pPr>
              <w:jc w:val="center"/>
              <w:rPr>
                <w:b/>
                <w:bCs/>
                <w:sz w:val="22"/>
                <w:szCs w:val="22"/>
              </w:rPr>
            </w:pPr>
            <w:r>
              <w:rPr>
                <w:b/>
                <w:bCs/>
                <w:sz w:val="22"/>
                <w:szCs w:val="22"/>
              </w:rPr>
              <w:t>13,721.58</w:t>
            </w:r>
          </w:p>
        </w:tc>
        <w:tc>
          <w:tcPr>
            <w:tcW w:w="1817" w:type="dxa"/>
            <w:noWrap/>
            <w:vAlign w:val="center"/>
          </w:tcPr>
          <w:p w14:paraId="375F5A20">
            <w:pPr>
              <w:jc w:val="center"/>
              <w:rPr>
                <w:b/>
                <w:bCs/>
                <w:sz w:val="22"/>
                <w:szCs w:val="22"/>
              </w:rPr>
            </w:pPr>
            <w:r>
              <w:rPr>
                <w:b/>
                <w:bCs/>
                <w:sz w:val="22"/>
                <w:szCs w:val="22"/>
              </w:rPr>
              <w:t>118,836,336,000</w:t>
            </w:r>
          </w:p>
        </w:tc>
        <w:tc>
          <w:tcPr>
            <w:tcW w:w="808" w:type="dxa"/>
            <w:gridSpan w:val="2"/>
            <w:noWrap/>
            <w:vAlign w:val="center"/>
          </w:tcPr>
          <w:p w14:paraId="6011561D">
            <w:pPr>
              <w:jc w:val="center"/>
              <w:rPr>
                <w:b/>
                <w:bCs/>
                <w:sz w:val="22"/>
                <w:szCs w:val="22"/>
              </w:rPr>
            </w:pPr>
            <w:r>
              <w:rPr>
                <w:b/>
                <w:bCs/>
                <w:sz w:val="22"/>
                <w:szCs w:val="22"/>
              </w:rPr>
              <w:t>120</w:t>
            </w:r>
          </w:p>
        </w:tc>
        <w:tc>
          <w:tcPr>
            <w:tcW w:w="1329" w:type="dxa"/>
            <w:noWrap/>
            <w:vAlign w:val="center"/>
          </w:tcPr>
          <w:p w14:paraId="1421843C">
            <w:pPr>
              <w:jc w:val="center"/>
              <w:rPr>
                <w:b/>
                <w:bCs/>
                <w:sz w:val="22"/>
                <w:szCs w:val="22"/>
              </w:rPr>
            </w:pPr>
            <w:r>
              <w:rPr>
                <w:b/>
                <w:bCs/>
                <w:sz w:val="22"/>
                <w:szCs w:val="22"/>
              </w:rPr>
              <w:t>11,641.17</w:t>
            </w:r>
          </w:p>
        </w:tc>
        <w:tc>
          <w:tcPr>
            <w:tcW w:w="696" w:type="dxa"/>
            <w:noWrap/>
            <w:vAlign w:val="center"/>
          </w:tcPr>
          <w:p w14:paraId="64DAA246">
            <w:pPr>
              <w:jc w:val="center"/>
              <w:rPr>
                <w:b/>
                <w:bCs/>
                <w:sz w:val="22"/>
                <w:szCs w:val="22"/>
              </w:rPr>
            </w:pPr>
            <w:r>
              <w:rPr>
                <w:b/>
                <w:bCs/>
                <w:sz w:val="22"/>
                <w:szCs w:val="22"/>
              </w:rPr>
              <w:t>13</w:t>
            </w:r>
          </w:p>
        </w:tc>
        <w:tc>
          <w:tcPr>
            <w:tcW w:w="1761" w:type="dxa"/>
            <w:noWrap/>
            <w:vAlign w:val="center"/>
          </w:tcPr>
          <w:p w14:paraId="32904547">
            <w:pPr>
              <w:jc w:val="center"/>
              <w:rPr>
                <w:b/>
                <w:bCs/>
                <w:sz w:val="22"/>
                <w:szCs w:val="22"/>
              </w:rPr>
            </w:pPr>
            <w:r>
              <w:rPr>
                <w:b/>
                <w:bCs/>
                <w:sz w:val="22"/>
                <w:szCs w:val="22"/>
              </w:rPr>
              <w:t>102,320,400,000</w:t>
            </w:r>
          </w:p>
        </w:tc>
        <w:tc>
          <w:tcPr>
            <w:tcW w:w="1732" w:type="dxa"/>
            <w:noWrap/>
            <w:vAlign w:val="center"/>
          </w:tcPr>
          <w:p w14:paraId="63BE7335">
            <w:pPr>
              <w:jc w:val="center"/>
              <w:rPr>
                <w:b/>
                <w:bCs/>
                <w:sz w:val="22"/>
                <w:szCs w:val="22"/>
              </w:rPr>
            </w:pPr>
            <w:r>
              <w:rPr>
                <w:b/>
                <w:bCs/>
                <w:sz w:val="22"/>
                <w:szCs w:val="22"/>
              </w:rPr>
              <w:t>143,581,469,000</w:t>
            </w:r>
          </w:p>
        </w:tc>
        <w:tc>
          <w:tcPr>
            <w:tcW w:w="1244" w:type="dxa"/>
            <w:gridSpan w:val="2"/>
            <w:noWrap/>
            <w:vAlign w:val="center"/>
          </w:tcPr>
          <w:p w14:paraId="1C569DDC">
            <w:pPr>
              <w:jc w:val="center"/>
              <w:rPr>
                <w:b/>
                <w:bCs/>
                <w:sz w:val="22"/>
                <w:szCs w:val="22"/>
              </w:rPr>
            </w:pPr>
          </w:p>
        </w:tc>
      </w:tr>
      <w:tr w14:paraId="236D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18BFEA8E">
            <w:pPr>
              <w:jc w:val="center"/>
              <w:rPr>
                <w:sz w:val="22"/>
                <w:szCs w:val="22"/>
              </w:rPr>
            </w:pPr>
            <w:r>
              <w:rPr>
                <w:sz w:val="22"/>
                <w:szCs w:val="22"/>
              </w:rPr>
              <w:t>1</w:t>
            </w:r>
          </w:p>
        </w:tc>
        <w:tc>
          <w:tcPr>
            <w:tcW w:w="2243" w:type="dxa"/>
            <w:vAlign w:val="center"/>
          </w:tcPr>
          <w:p w14:paraId="159605E8">
            <w:pPr>
              <w:rPr>
                <w:sz w:val="22"/>
                <w:szCs w:val="22"/>
              </w:rPr>
            </w:pPr>
            <w:r>
              <w:rPr>
                <w:sz w:val="22"/>
                <w:szCs w:val="22"/>
              </w:rPr>
              <w:t>Đấu giá QSD đất72 lô đất ở tại thôn Chùa, xã Xuân Hương</w:t>
            </w:r>
          </w:p>
        </w:tc>
        <w:tc>
          <w:tcPr>
            <w:tcW w:w="1211" w:type="dxa"/>
            <w:noWrap/>
            <w:vAlign w:val="center"/>
          </w:tcPr>
          <w:p w14:paraId="376D513A">
            <w:pPr>
              <w:jc w:val="center"/>
              <w:rPr>
                <w:sz w:val="22"/>
                <w:szCs w:val="22"/>
              </w:rPr>
            </w:pPr>
            <w:r>
              <w:rPr>
                <w:sz w:val="22"/>
                <w:szCs w:val="22"/>
              </w:rPr>
              <w:t>20/3/2023</w:t>
            </w:r>
          </w:p>
        </w:tc>
        <w:tc>
          <w:tcPr>
            <w:tcW w:w="918" w:type="dxa"/>
            <w:noWrap/>
            <w:vAlign w:val="center"/>
          </w:tcPr>
          <w:p w14:paraId="77D1DD88">
            <w:pPr>
              <w:jc w:val="center"/>
              <w:rPr>
                <w:sz w:val="22"/>
                <w:szCs w:val="22"/>
              </w:rPr>
            </w:pPr>
            <w:r>
              <w:rPr>
                <w:sz w:val="22"/>
                <w:szCs w:val="22"/>
              </w:rPr>
              <w:t>72</w:t>
            </w:r>
          </w:p>
        </w:tc>
        <w:tc>
          <w:tcPr>
            <w:tcW w:w="1244" w:type="dxa"/>
            <w:noWrap/>
            <w:vAlign w:val="center"/>
          </w:tcPr>
          <w:p w14:paraId="492CA4D7">
            <w:pPr>
              <w:jc w:val="center"/>
              <w:rPr>
                <w:sz w:val="22"/>
                <w:szCs w:val="22"/>
              </w:rPr>
            </w:pPr>
            <w:r>
              <w:rPr>
                <w:sz w:val="22"/>
                <w:szCs w:val="22"/>
              </w:rPr>
              <w:t>7,077.70</w:t>
            </w:r>
          </w:p>
        </w:tc>
        <w:tc>
          <w:tcPr>
            <w:tcW w:w="1817" w:type="dxa"/>
            <w:noWrap/>
            <w:vAlign w:val="center"/>
          </w:tcPr>
          <w:p w14:paraId="50BC9E73">
            <w:pPr>
              <w:jc w:val="center"/>
              <w:rPr>
                <w:sz w:val="22"/>
                <w:szCs w:val="22"/>
              </w:rPr>
            </w:pPr>
            <w:r>
              <w:rPr>
                <w:sz w:val="22"/>
                <w:szCs w:val="22"/>
              </w:rPr>
              <w:t>60,459,032,000</w:t>
            </w:r>
          </w:p>
        </w:tc>
        <w:tc>
          <w:tcPr>
            <w:tcW w:w="808" w:type="dxa"/>
            <w:gridSpan w:val="2"/>
            <w:noWrap/>
            <w:vAlign w:val="center"/>
          </w:tcPr>
          <w:p w14:paraId="6F179384">
            <w:pPr>
              <w:jc w:val="center"/>
              <w:rPr>
                <w:sz w:val="22"/>
                <w:szCs w:val="22"/>
              </w:rPr>
            </w:pPr>
            <w:r>
              <w:rPr>
                <w:sz w:val="22"/>
                <w:szCs w:val="22"/>
              </w:rPr>
              <w:t>72</w:t>
            </w:r>
          </w:p>
        </w:tc>
        <w:tc>
          <w:tcPr>
            <w:tcW w:w="1329" w:type="dxa"/>
            <w:noWrap/>
            <w:vAlign w:val="center"/>
          </w:tcPr>
          <w:p w14:paraId="768324D0">
            <w:pPr>
              <w:jc w:val="center"/>
              <w:rPr>
                <w:sz w:val="22"/>
                <w:szCs w:val="22"/>
              </w:rPr>
            </w:pPr>
            <w:r>
              <w:rPr>
                <w:sz w:val="22"/>
                <w:szCs w:val="22"/>
              </w:rPr>
              <w:t>7,077.70</w:t>
            </w:r>
          </w:p>
        </w:tc>
        <w:tc>
          <w:tcPr>
            <w:tcW w:w="696" w:type="dxa"/>
            <w:noWrap/>
            <w:vAlign w:val="center"/>
          </w:tcPr>
          <w:p w14:paraId="20283521">
            <w:pPr>
              <w:jc w:val="center"/>
              <w:rPr>
                <w:b/>
                <w:bCs/>
                <w:sz w:val="22"/>
                <w:szCs w:val="22"/>
              </w:rPr>
            </w:pPr>
            <w:r>
              <w:rPr>
                <w:b/>
                <w:bCs/>
                <w:sz w:val="22"/>
                <w:szCs w:val="22"/>
              </w:rPr>
              <w:t>13</w:t>
            </w:r>
          </w:p>
        </w:tc>
        <w:tc>
          <w:tcPr>
            <w:tcW w:w="1761" w:type="dxa"/>
            <w:noWrap/>
            <w:vAlign w:val="center"/>
          </w:tcPr>
          <w:p w14:paraId="418AE650">
            <w:pPr>
              <w:jc w:val="center"/>
              <w:rPr>
                <w:sz w:val="22"/>
                <w:szCs w:val="22"/>
              </w:rPr>
            </w:pPr>
            <w:r>
              <w:rPr>
                <w:sz w:val="22"/>
                <w:szCs w:val="22"/>
              </w:rPr>
              <w:t>60,459,032,000</w:t>
            </w:r>
          </w:p>
        </w:tc>
        <w:tc>
          <w:tcPr>
            <w:tcW w:w="1732" w:type="dxa"/>
            <w:noWrap/>
            <w:vAlign w:val="center"/>
          </w:tcPr>
          <w:p w14:paraId="08B2752A">
            <w:pPr>
              <w:jc w:val="center"/>
              <w:rPr>
                <w:sz w:val="22"/>
                <w:szCs w:val="22"/>
              </w:rPr>
            </w:pPr>
            <w:r>
              <w:rPr>
                <w:sz w:val="22"/>
                <w:szCs w:val="22"/>
              </w:rPr>
              <w:t>93,069,878,000</w:t>
            </w:r>
          </w:p>
        </w:tc>
        <w:tc>
          <w:tcPr>
            <w:tcW w:w="1244" w:type="dxa"/>
            <w:gridSpan w:val="2"/>
            <w:vAlign w:val="center"/>
          </w:tcPr>
          <w:p w14:paraId="41458787">
            <w:pPr>
              <w:jc w:val="center"/>
              <w:rPr>
                <w:sz w:val="22"/>
                <w:szCs w:val="22"/>
              </w:rPr>
            </w:pPr>
            <w:r>
              <w:rPr>
                <w:sz w:val="22"/>
                <w:szCs w:val="22"/>
              </w:rPr>
              <w:t>154%</w:t>
            </w:r>
          </w:p>
        </w:tc>
      </w:tr>
      <w:tr w14:paraId="791F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2A92A81D">
            <w:pPr>
              <w:jc w:val="center"/>
              <w:rPr>
                <w:sz w:val="22"/>
                <w:szCs w:val="22"/>
              </w:rPr>
            </w:pPr>
            <w:r>
              <w:rPr>
                <w:sz w:val="22"/>
                <w:szCs w:val="22"/>
              </w:rPr>
              <w:t>2</w:t>
            </w:r>
          </w:p>
        </w:tc>
        <w:tc>
          <w:tcPr>
            <w:tcW w:w="2243" w:type="dxa"/>
            <w:vAlign w:val="center"/>
          </w:tcPr>
          <w:p w14:paraId="57482F5C">
            <w:pPr>
              <w:rPr>
                <w:sz w:val="22"/>
                <w:szCs w:val="22"/>
              </w:rPr>
            </w:pPr>
            <w:r>
              <w:rPr>
                <w:sz w:val="22"/>
                <w:szCs w:val="22"/>
              </w:rPr>
              <w:t>Đấu giá QSD đất 69 lô đất ở tại 02 xã: Đào Mỹ và Xương Lâm</w:t>
            </w:r>
          </w:p>
        </w:tc>
        <w:tc>
          <w:tcPr>
            <w:tcW w:w="1211" w:type="dxa"/>
            <w:noWrap/>
            <w:vAlign w:val="center"/>
          </w:tcPr>
          <w:p w14:paraId="074DB990">
            <w:pPr>
              <w:jc w:val="center"/>
              <w:rPr>
                <w:sz w:val="22"/>
                <w:szCs w:val="22"/>
              </w:rPr>
            </w:pPr>
            <w:r>
              <w:rPr>
                <w:sz w:val="22"/>
                <w:szCs w:val="22"/>
              </w:rPr>
              <w:t>26/3/2023</w:t>
            </w:r>
          </w:p>
        </w:tc>
        <w:tc>
          <w:tcPr>
            <w:tcW w:w="918" w:type="dxa"/>
            <w:noWrap/>
            <w:vAlign w:val="center"/>
          </w:tcPr>
          <w:p w14:paraId="4BD47452">
            <w:pPr>
              <w:jc w:val="center"/>
              <w:rPr>
                <w:sz w:val="22"/>
                <w:szCs w:val="22"/>
              </w:rPr>
            </w:pPr>
            <w:r>
              <w:rPr>
                <w:sz w:val="22"/>
                <w:szCs w:val="22"/>
              </w:rPr>
              <w:t>69</w:t>
            </w:r>
          </w:p>
        </w:tc>
        <w:tc>
          <w:tcPr>
            <w:tcW w:w="1244" w:type="dxa"/>
            <w:noWrap/>
            <w:vAlign w:val="center"/>
          </w:tcPr>
          <w:p w14:paraId="307F51AB">
            <w:pPr>
              <w:jc w:val="center"/>
              <w:rPr>
                <w:sz w:val="22"/>
                <w:szCs w:val="22"/>
              </w:rPr>
            </w:pPr>
            <w:r>
              <w:rPr>
                <w:sz w:val="22"/>
                <w:szCs w:val="22"/>
              </w:rPr>
              <w:t>6,643.88</w:t>
            </w:r>
          </w:p>
        </w:tc>
        <w:tc>
          <w:tcPr>
            <w:tcW w:w="1817" w:type="dxa"/>
            <w:noWrap/>
            <w:vAlign w:val="center"/>
          </w:tcPr>
          <w:p w14:paraId="1F6CEBD5">
            <w:pPr>
              <w:jc w:val="center"/>
              <w:rPr>
                <w:sz w:val="22"/>
                <w:szCs w:val="22"/>
              </w:rPr>
            </w:pPr>
            <w:r>
              <w:rPr>
                <w:sz w:val="22"/>
                <w:szCs w:val="22"/>
              </w:rPr>
              <w:t>58,377,304,000</w:t>
            </w:r>
          </w:p>
        </w:tc>
        <w:tc>
          <w:tcPr>
            <w:tcW w:w="808" w:type="dxa"/>
            <w:gridSpan w:val="2"/>
            <w:noWrap/>
            <w:vAlign w:val="center"/>
          </w:tcPr>
          <w:p w14:paraId="30A014A2">
            <w:pPr>
              <w:jc w:val="center"/>
              <w:rPr>
                <w:sz w:val="22"/>
                <w:szCs w:val="22"/>
              </w:rPr>
            </w:pPr>
            <w:r>
              <w:rPr>
                <w:sz w:val="22"/>
                <w:szCs w:val="22"/>
              </w:rPr>
              <w:t>48</w:t>
            </w:r>
          </w:p>
        </w:tc>
        <w:tc>
          <w:tcPr>
            <w:tcW w:w="1329" w:type="dxa"/>
            <w:noWrap/>
            <w:vAlign w:val="center"/>
          </w:tcPr>
          <w:p w14:paraId="084464EB">
            <w:pPr>
              <w:jc w:val="center"/>
              <w:rPr>
                <w:sz w:val="22"/>
                <w:szCs w:val="22"/>
              </w:rPr>
            </w:pPr>
            <w:r>
              <w:rPr>
                <w:sz w:val="22"/>
                <w:szCs w:val="22"/>
              </w:rPr>
              <w:t>4,563.47</w:t>
            </w:r>
          </w:p>
        </w:tc>
        <w:tc>
          <w:tcPr>
            <w:tcW w:w="696" w:type="dxa"/>
            <w:noWrap/>
            <w:vAlign w:val="center"/>
          </w:tcPr>
          <w:p w14:paraId="42E04B96">
            <w:pPr>
              <w:jc w:val="center"/>
              <w:rPr>
                <w:b/>
                <w:bCs/>
                <w:sz w:val="22"/>
                <w:szCs w:val="22"/>
              </w:rPr>
            </w:pPr>
            <w:r>
              <w:rPr>
                <w:b/>
                <w:bCs/>
                <w:sz w:val="22"/>
                <w:szCs w:val="22"/>
              </w:rPr>
              <w:t>-</w:t>
            </w:r>
          </w:p>
        </w:tc>
        <w:tc>
          <w:tcPr>
            <w:tcW w:w="1761" w:type="dxa"/>
            <w:noWrap/>
            <w:vAlign w:val="center"/>
          </w:tcPr>
          <w:p w14:paraId="31C08685">
            <w:pPr>
              <w:jc w:val="center"/>
              <w:rPr>
                <w:sz w:val="22"/>
                <w:szCs w:val="22"/>
              </w:rPr>
            </w:pPr>
            <w:r>
              <w:rPr>
                <w:sz w:val="22"/>
                <w:szCs w:val="22"/>
              </w:rPr>
              <w:t>41,861,368,000</w:t>
            </w:r>
          </w:p>
        </w:tc>
        <w:tc>
          <w:tcPr>
            <w:tcW w:w="1732" w:type="dxa"/>
            <w:noWrap/>
            <w:vAlign w:val="center"/>
          </w:tcPr>
          <w:p w14:paraId="41F56BAA">
            <w:pPr>
              <w:jc w:val="center"/>
              <w:rPr>
                <w:sz w:val="22"/>
                <w:szCs w:val="22"/>
              </w:rPr>
            </w:pPr>
            <w:r>
              <w:rPr>
                <w:sz w:val="22"/>
                <w:szCs w:val="22"/>
              </w:rPr>
              <w:t>50,511,591,000</w:t>
            </w:r>
          </w:p>
        </w:tc>
        <w:tc>
          <w:tcPr>
            <w:tcW w:w="1244" w:type="dxa"/>
            <w:gridSpan w:val="2"/>
            <w:vAlign w:val="center"/>
          </w:tcPr>
          <w:p w14:paraId="7F30404E">
            <w:pPr>
              <w:jc w:val="center"/>
              <w:rPr>
                <w:sz w:val="22"/>
                <w:szCs w:val="22"/>
              </w:rPr>
            </w:pPr>
            <w:r>
              <w:rPr>
                <w:sz w:val="22"/>
                <w:szCs w:val="22"/>
              </w:rPr>
              <w:t>121%</w:t>
            </w:r>
          </w:p>
        </w:tc>
      </w:tr>
      <w:tr w14:paraId="4A56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5" w:type="dxa"/>
            <w:gridSpan w:val="2"/>
            <w:vAlign w:val="center"/>
          </w:tcPr>
          <w:p w14:paraId="5983EE11">
            <w:pPr>
              <w:rPr>
                <w:b/>
                <w:bCs/>
                <w:sz w:val="22"/>
                <w:szCs w:val="22"/>
              </w:rPr>
            </w:pPr>
            <w:r>
              <w:rPr>
                <w:b/>
                <w:bCs/>
                <w:sz w:val="22"/>
                <w:szCs w:val="22"/>
              </w:rPr>
              <w:t>Quý II</w:t>
            </w:r>
          </w:p>
        </w:tc>
        <w:tc>
          <w:tcPr>
            <w:tcW w:w="1211" w:type="dxa"/>
            <w:noWrap/>
            <w:vAlign w:val="center"/>
          </w:tcPr>
          <w:p w14:paraId="3550F5A4">
            <w:pPr>
              <w:jc w:val="center"/>
              <w:rPr>
                <w:b/>
                <w:bCs/>
                <w:sz w:val="22"/>
                <w:szCs w:val="22"/>
              </w:rPr>
            </w:pPr>
          </w:p>
        </w:tc>
        <w:tc>
          <w:tcPr>
            <w:tcW w:w="918" w:type="dxa"/>
            <w:noWrap/>
            <w:vAlign w:val="center"/>
          </w:tcPr>
          <w:p w14:paraId="7DEC6AE4">
            <w:pPr>
              <w:jc w:val="center"/>
              <w:rPr>
                <w:b/>
                <w:bCs/>
                <w:sz w:val="22"/>
                <w:szCs w:val="22"/>
              </w:rPr>
            </w:pPr>
            <w:r>
              <w:rPr>
                <w:b/>
                <w:bCs/>
                <w:sz w:val="22"/>
                <w:szCs w:val="22"/>
              </w:rPr>
              <w:t>156</w:t>
            </w:r>
          </w:p>
        </w:tc>
        <w:tc>
          <w:tcPr>
            <w:tcW w:w="1244" w:type="dxa"/>
            <w:noWrap/>
            <w:vAlign w:val="center"/>
          </w:tcPr>
          <w:p w14:paraId="71CDB69E">
            <w:pPr>
              <w:jc w:val="center"/>
              <w:rPr>
                <w:b/>
                <w:bCs/>
                <w:sz w:val="22"/>
                <w:szCs w:val="22"/>
              </w:rPr>
            </w:pPr>
            <w:r>
              <w:rPr>
                <w:b/>
                <w:bCs/>
                <w:sz w:val="22"/>
                <w:szCs w:val="22"/>
              </w:rPr>
              <w:t>18,796.04</w:t>
            </w:r>
          </w:p>
        </w:tc>
        <w:tc>
          <w:tcPr>
            <w:tcW w:w="1817" w:type="dxa"/>
            <w:noWrap/>
            <w:vAlign w:val="center"/>
          </w:tcPr>
          <w:p w14:paraId="7BE3CD19">
            <w:pPr>
              <w:jc w:val="center"/>
              <w:rPr>
                <w:b/>
                <w:bCs/>
                <w:sz w:val="22"/>
                <w:szCs w:val="22"/>
              </w:rPr>
            </w:pPr>
            <w:r>
              <w:rPr>
                <w:b/>
                <w:bCs/>
                <w:sz w:val="22"/>
                <w:szCs w:val="22"/>
              </w:rPr>
              <w:t>212,987,290,000</w:t>
            </w:r>
          </w:p>
        </w:tc>
        <w:tc>
          <w:tcPr>
            <w:tcW w:w="808" w:type="dxa"/>
            <w:gridSpan w:val="2"/>
            <w:noWrap/>
            <w:vAlign w:val="center"/>
          </w:tcPr>
          <w:p w14:paraId="6D40221A">
            <w:pPr>
              <w:jc w:val="center"/>
              <w:rPr>
                <w:b/>
                <w:bCs/>
                <w:sz w:val="22"/>
                <w:szCs w:val="22"/>
              </w:rPr>
            </w:pPr>
            <w:r>
              <w:rPr>
                <w:b/>
                <w:bCs/>
                <w:sz w:val="22"/>
                <w:szCs w:val="22"/>
              </w:rPr>
              <w:t>65</w:t>
            </w:r>
          </w:p>
        </w:tc>
        <w:tc>
          <w:tcPr>
            <w:tcW w:w="1329" w:type="dxa"/>
            <w:noWrap/>
            <w:vAlign w:val="center"/>
          </w:tcPr>
          <w:p w14:paraId="5069408C">
            <w:pPr>
              <w:jc w:val="center"/>
              <w:rPr>
                <w:b/>
                <w:bCs/>
                <w:sz w:val="22"/>
                <w:szCs w:val="22"/>
              </w:rPr>
            </w:pPr>
            <w:r>
              <w:rPr>
                <w:b/>
                <w:bCs/>
                <w:sz w:val="22"/>
                <w:szCs w:val="22"/>
              </w:rPr>
              <w:t>7,666.00</w:t>
            </w:r>
          </w:p>
        </w:tc>
        <w:tc>
          <w:tcPr>
            <w:tcW w:w="696" w:type="dxa"/>
            <w:noWrap/>
            <w:vAlign w:val="center"/>
          </w:tcPr>
          <w:p w14:paraId="70DE137F">
            <w:pPr>
              <w:jc w:val="center"/>
              <w:rPr>
                <w:b/>
                <w:bCs/>
                <w:sz w:val="22"/>
                <w:szCs w:val="22"/>
              </w:rPr>
            </w:pPr>
            <w:r>
              <w:rPr>
                <w:b/>
                <w:bCs/>
                <w:sz w:val="22"/>
                <w:szCs w:val="22"/>
              </w:rPr>
              <w:t>1</w:t>
            </w:r>
          </w:p>
        </w:tc>
        <w:tc>
          <w:tcPr>
            <w:tcW w:w="1761" w:type="dxa"/>
            <w:noWrap/>
            <w:vAlign w:val="center"/>
          </w:tcPr>
          <w:p w14:paraId="129EEAC6">
            <w:pPr>
              <w:jc w:val="center"/>
              <w:rPr>
                <w:b/>
                <w:bCs/>
                <w:sz w:val="22"/>
                <w:szCs w:val="22"/>
              </w:rPr>
            </w:pPr>
            <w:r>
              <w:rPr>
                <w:b/>
                <w:bCs/>
                <w:sz w:val="22"/>
                <w:szCs w:val="22"/>
              </w:rPr>
              <w:t>94,711,110,000</w:t>
            </w:r>
          </w:p>
        </w:tc>
        <w:tc>
          <w:tcPr>
            <w:tcW w:w="1732" w:type="dxa"/>
            <w:noWrap/>
            <w:vAlign w:val="center"/>
          </w:tcPr>
          <w:p w14:paraId="75A15650">
            <w:pPr>
              <w:jc w:val="center"/>
              <w:rPr>
                <w:b/>
                <w:bCs/>
                <w:sz w:val="22"/>
                <w:szCs w:val="22"/>
              </w:rPr>
            </w:pPr>
            <w:r>
              <w:rPr>
                <w:b/>
                <w:bCs/>
                <w:sz w:val="22"/>
                <w:szCs w:val="22"/>
              </w:rPr>
              <w:t>112,479,952,900</w:t>
            </w:r>
          </w:p>
        </w:tc>
        <w:tc>
          <w:tcPr>
            <w:tcW w:w="1244" w:type="dxa"/>
            <w:gridSpan w:val="2"/>
            <w:noWrap/>
            <w:vAlign w:val="center"/>
          </w:tcPr>
          <w:p w14:paraId="49793798">
            <w:pPr>
              <w:jc w:val="center"/>
              <w:rPr>
                <w:b/>
                <w:bCs/>
                <w:sz w:val="22"/>
                <w:szCs w:val="22"/>
              </w:rPr>
            </w:pPr>
          </w:p>
        </w:tc>
      </w:tr>
      <w:tr w14:paraId="7DF6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770CC45C">
            <w:pPr>
              <w:jc w:val="center"/>
              <w:rPr>
                <w:sz w:val="22"/>
                <w:szCs w:val="22"/>
              </w:rPr>
            </w:pPr>
            <w:r>
              <w:rPr>
                <w:sz w:val="22"/>
                <w:szCs w:val="22"/>
              </w:rPr>
              <w:t>1</w:t>
            </w:r>
          </w:p>
        </w:tc>
        <w:tc>
          <w:tcPr>
            <w:tcW w:w="2243" w:type="dxa"/>
            <w:vAlign w:val="center"/>
          </w:tcPr>
          <w:p w14:paraId="3FD5FDC6">
            <w:pPr>
              <w:rPr>
                <w:sz w:val="22"/>
                <w:szCs w:val="22"/>
              </w:rPr>
            </w:pPr>
            <w:r>
              <w:rPr>
                <w:sz w:val="22"/>
                <w:szCs w:val="22"/>
              </w:rPr>
              <w:t>Tân Hưng, An Hà và Xương lâm</w:t>
            </w:r>
          </w:p>
        </w:tc>
        <w:tc>
          <w:tcPr>
            <w:tcW w:w="1211" w:type="dxa"/>
            <w:noWrap/>
            <w:vAlign w:val="center"/>
          </w:tcPr>
          <w:p w14:paraId="0F75749E">
            <w:pPr>
              <w:jc w:val="center"/>
              <w:rPr>
                <w:sz w:val="22"/>
                <w:szCs w:val="22"/>
              </w:rPr>
            </w:pPr>
            <w:r>
              <w:rPr>
                <w:sz w:val="22"/>
                <w:szCs w:val="22"/>
              </w:rPr>
              <w:t>13/5/2023</w:t>
            </w:r>
          </w:p>
        </w:tc>
        <w:tc>
          <w:tcPr>
            <w:tcW w:w="918" w:type="dxa"/>
            <w:noWrap/>
            <w:vAlign w:val="center"/>
          </w:tcPr>
          <w:p w14:paraId="28078327">
            <w:pPr>
              <w:jc w:val="center"/>
              <w:rPr>
                <w:sz w:val="22"/>
                <w:szCs w:val="22"/>
              </w:rPr>
            </w:pPr>
            <w:r>
              <w:rPr>
                <w:sz w:val="22"/>
                <w:szCs w:val="22"/>
              </w:rPr>
              <w:t>82</w:t>
            </w:r>
          </w:p>
        </w:tc>
        <w:tc>
          <w:tcPr>
            <w:tcW w:w="1244" w:type="dxa"/>
            <w:noWrap/>
            <w:vAlign w:val="center"/>
          </w:tcPr>
          <w:p w14:paraId="433F3A05">
            <w:pPr>
              <w:jc w:val="center"/>
              <w:rPr>
                <w:sz w:val="22"/>
                <w:szCs w:val="22"/>
              </w:rPr>
            </w:pPr>
            <w:r>
              <w:rPr>
                <w:sz w:val="22"/>
                <w:szCs w:val="22"/>
              </w:rPr>
              <w:t>10,032.90</w:t>
            </w:r>
          </w:p>
        </w:tc>
        <w:tc>
          <w:tcPr>
            <w:tcW w:w="1817" w:type="dxa"/>
            <w:noWrap/>
            <w:vAlign w:val="center"/>
          </w:tcPr>
          <w:p w14:paraId="6BA1BD43">
            <w:pPr>
              <w:jc w:val="center"/>
              <w:rPr>
                <w:sz w:val="22"/>
                <w:szCs w:val="22"/>
              </w:rPr>
            </w:pPr>
            <w:r>
              <w:rPr>
                <w:sz w:val="22"/>
                <w:szCs w:val="22"/>
              </w:rPr>
              <w:t>121,610,640,000</w:t>
            </w:r>
          </w:p>
        </w:tc>
        <w:tc>
          <w:tcPr>
            <w:tcW w:w="808" w:type="dxa"/>
            <w:gridSpan w:val="2"/>
            <w:noWrap/>
            <w:vAlign w:val="center"/>
          </w:tcPr>
          <w:p w14:paraId="36E69F50">
            <w:pPr>
              <w:jc w:val="center"/>
              <w:rPr>
                <w:sz w:val="22"/>
                <w:szCs w:val="22"/>
              </w:rPr>
            </w:pPr>
            <w:r>
              <w:rPr>
                <w:sz w:val="22"/>
                <w:szCs w:val="22"/>
              </w:rPr>
              <w:t>54</w:t>
            </w:r>
          </w:p>
        </w:tc>
        <w:tc>
          <w:tcPr>
            <w:tcW w:w="1329" w:type="dxa"/>
            <w:noWrap/>
            <w:vAlign w:val="center"/>
          </w:tcPr>
          <w:p w14:paraId="487A9029">
            <w:pPr>
              <w:jc w:val="center"/>
              <w:rPr>
                <w:sz w:val="22"/>
                <w:szCs w:val="22"/>
              </w:rPr>
            </w:pPr>
            <w:r>
              <w:rPr>
                <w:sz w:val="22"/>
                <w:szCs w:val="22"/>
              </w:rPr>
              <w:t>6,707.70</w:t>
            </w:r>
          </w:p>
        </w:tc>
        <w:tc>
          <w:tcPr>
            <w:tcW w:w="696" w:type="dxa"/>
            <w:noWrap/>
            <w:vAlign w:val="center"/>
          </w:tcPr>
          <w:p w14:paraId="20F95568">
            <w:pPr>
              <w:jc w:val="center"/>
              <w:rPr>
                <w:b/>
                <w:bCs/>
                <w:sz w:val="22"/>
                <w:szCs w:val="22"/>
              </w:rPr>
            </w:pPr>
            <w:r>
              <w:rPr>
                <w:b/>
                <w:bCs/>
                <w:sz w:val="22"/>
                <w:szCs w:val="22"/>
              </w:rPr>
              <w:t>-</w:t>
            </w:r>
          </w:p>
        </w:tc>
        <w:tc>
          <w:tcPr>
            <w:tcW w:w="1761" w:type="dxa"/>
            <w:noWrap/>
            <w:vAlign w:val="center"/>
          </w:tcPr>
          <w:p w14:paraId="184E2876">
            <w:pPr>
              <w:jc w:val="center"/>
              <w:rPr>
                <w:sz w:val="22"/>
                <w:szCs w:val="22"/>
              </w:rPr>
            </w:pPr>
            <w:r>
              <w:rPr>
                <w:sz w:val="22"/>
                <w:szCs w:val="22"/>
              </w:rPr>
              <w:t>83,869,560,000</w:t>
            </w:r>
          </w:p>
        </w:tc>
        <w:tc>
          <w:tcPr>
            <w:tcW w:w="1732" w:type="dxa"/>
            <w:noWrap/>
            <w:vAlign w:val="center"/>
          </w:tcPr>
          <w:p w14:paraId="0972FAC2">
            <w:pPr>
              <w:jc w:val="center"/>
              <w:rPr>
                <w:sz w:val="22"/>
                <w:szCs w:val="22"/>
              </w:rPr>
            </w:pPr>
            <w:r>
              <w:rPr>
                <w:sz w:val="22"/>
                <w:szCs w:val="22"/>
              </w:rPr>
              <w:t>100,086,252,900</w:t>
            </w:r>
          </w:p>
        </w:tc>
        <w:tc>
          <w:tcPr>
            <w:tcW w:w="1244" w:type="dxa"/>
            <w:gridSpan w:val="2"/>
            <w:vAlign w:val="center"/>
          </w:tcPr>
          <w:p w14:paraId="1B0A8752">
            <w:pPr>
              <w:jc w:val="center"/>
              <w:rPr>
                <w:sz w:val="22"/>
                <w:szCs w:val="22"/>
              </w:rPr>
            </w:pPr>
            <w:r>
              <w:rPr>
                <w:sz w:val="22"/>
                <w:szCs w:val="22"/>
              </w:rPr>
              <w:t>119%</w:t>
            </w:r>
          </w:p>
        </w:tc>
      </w:tr>
      <w:tr w14:paraId="3588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65512BB9">
            <w:pPr>
              <w:jc w:val="center"/>
              <w:rPr>
                <w:sz w:val="22"/>
                <w:szCs w:val="22"/>
              </w:rPr>
            </w:pPr>
            <w:r>
              <w:rPr>
                <w:sz w:val="22"/>
                <w:szCs w:val="22"/>
              </w:rPr>
              <w:t>2</w:t>
            </w:r>
          </w:p>
        </w:tc>
        <w:tc>
          <w:tcPr>
            <w:tcW w:w="2243" w:type="dxa"/>
            <w:vAlign w:val="center"/>
          </w:tcPr>
          <w:p w14:paraId="7607466C">
            <w:pPr>
              <w:rPr>
                <w:sz w:val="22"/>
                <w:szCs w:val="22"/>
              </w:rPr>
            </w:pPr>
            <w:r>
              <w:rPr>
                <w:sz w:val="22"/>
                <w:szCs w:val="22"/>
              </w:rPr>
              <w:t>Hương Sơn và Kép</w:t>
            </w:r>
          </w:p>
        </w:tc>
        <w:tc>
          <w:tcPr>
            <w:tcW w:w="1211" w:type="dxa"/>
            <w:noWrap/>
            <w:vAlign w:val="center"/>
          </w:tcPr>
          <w:p w14:paraId="1025A4DC">
            <w:pPr>
              <w:jc w:val="center"/>
              <w:rPr>
                <w:sz w:val="22"/>
                <w:szCs w:val="22"/>
              </w:rPr>
            </w:pPr>
            <w:r>
              <w:rPr>
                <w:sz w:val="22"/>
                <w:szCs w:val="22"/>
              </w:rPr>
              <w:t>27/5/2023</w:t>
            </w:r>
          </w:p>
        </w:tc>
        <w:tc>
          <w:tcPr>
            <w:tcW w:w="918" w:type="dxa"/>
            <w:noWrap/>
            <w:vAlign w:val="center"/>
          </w:tcPr>
          <w:p w14:paraId="0F3236B6">
            <w:pPr>
              <w:jc w:val="center"/>
              <w:rPr>
                <w:sz w:val="22"/>
                <w:szCs w:val="22"/>
              </w:rPr>
            </w:pPr>
            <w:r>
              <w:rPr>
                <w:sz w:val="22"/>
                <w:szCs w:val="22"/>
              </w:rPr>
              <w:t>74</w:t>
            </w:r>
          </w:p>
        </w:tc>
        <w:tc>
          <w:tcPr>
            <w:tcW w:w="1244" w:type="dxa"/>
            <w:noWrap/>
            <w:vAlign w:val="center"/>
          </w:tcPr>
          <w:p w14:paraId="14698CBB">
            <w:pPr>
              <w:jc w:val="center"/>
              <w:rPr>
                <w:sz w:val="22"/>
                <w:szCs w:val="22"/>
              </w:rPr>
            </w:pPr>
            <w:r>
              <w:rPr>
                <w:sz w:val="22"/>
                <w:szCs w:val="22"/>
              </w:rPr>
              <w:t>8,763.14</w:t>
            </w:r>
          </w:p>
        </w:tc>
        <w:tc>
          <w:tcPr>
            <w:tcW w:w="1817" w:type="dxa"/>
            <w:noWrap/>
            <w:vAlign w:val="center"/>
          </w:tcPr>
          <w:p w14:paraId="3048A6A5">
            <w:pPr>
              <w:jc w:val="center"/>
              <w:rPr>
                <w:sz w:val="22"/>
                <w:szCs w:val="22"/>
              </w:rPr>
            </w:pPr>
            <w:r>
              <w:rPr>
                <w:sz w:val="22"/>
                <w:szCs w:val="22"/>
              </w:rPr>
              <w:t>91,376,650,000</w:t>
            </w:r>
          </w:p>
        </w:tc>
        <w:tc>
          <w:tcPr>
            <w:tcW w:w="808" w:type="dxa"/>
            <w:gridSpan w:val="2"/>
            <w:noWrap/>
            <w:vAlign w:val="center"/>
          </w:tcPr>
          <w:p w14:paraId="6E2DD112">
            <w:pPr>
              <w:jc w:val="center"/>
              <w:rPr>
                <w:sz w:val="22"/>
                <w:szCs w:val="22"/>
              </w:rPr>
            </w:pPr>
            <w:r>
              <w:rPr>
                <w:sz w:val="22"/>
                <w:szCs w:val="22"/>
              </w:rPr>
              <w:t>11</w:t>
            </w:r>
          </w:p>
        </w:tc>
        <w:tc>
          <w:tcPr>
            <w:tcW w:w="1329" w:type="dxa"/>
            <w:noWrap/>
            <w:vAlign w:val="center"/>
          </w:tcPr>
          <w:p w14:paraId="6EBA842A">
            <w:pPr>
              <w:jc w:val="center"/>
              <w:rPr>
                <w:sz w:val="22"/>
                <w:szCs w:val="22"/>
              </w:rPr>
            </w:pPr>
            <w:r>
              <w:rPr>
                <w:sz w:val="22"/>
                <w:szCs w:val="22"/>
              </w:rPr>
              <w:t>958.30</w:t>
            </w:r>
          </w:p>
        </w:tc>
        <w:tc>
          <w:tcPr>
            <w:tcW w:w="696" w:type="dxa"/>
            <w:noWrap/>
            <w:vAlign w:val="center"/>
          </w:tcPr>
          <w:p w14:paraId="046D3D5E">
            <w:pPr>
              <w:jc w:val="center"/>
              <w:rPr>
                <w:b/>
                <w:bCs/>
                <w:sz w:val="22"/>
                <w:szCs w:val="22"/>
              </w:rPr>
            </w:pPr>
            <w:r>
              <w:rPr>
                <w:b/>
                <w:bCs/>
                <w:sz w:val="22"/>
                <w:szCs w:val="22"/>
              </w:rPr>
              <w:t>1</w:t>
            </w:r>
          </w:p>
        </w:tc>
        <w:tc>
          <w:tcPr>
            <w:tcW w:w="1761" w:type="dxa"/>
            <w:noWrap/>
            <w:vAlign w:val="center"/>
          </w:tcPr>
          <w:p w14:paraId="6DD7E73C">
            <w:pPr>
              <w:jc w:val="center"/>
              <w:rPr>
                <w:sz w:val="22"/>
                <w:szCs w:val="22"/>
              </w:rPr>
            </w:pPr>
            <w:r>
              <w:rPr>
                <w:sz w:val="22"/>
                <w:szCs w:val="22"/>
              </w:rPr>
              <w:t>10,841,550,000</w:t>
            </w:r>
          </w:p>
        </w:tc>
        <w:tc>
          <w:tcPr>
            <w:tcW w:w="1732" w:type="dxa"/>
            <w:noWrap/>
            <w:vAlign w:val="center"/>
          </w:tcPr>
          <w:p w14:paraId="0ECEC975">
            <w:pPr>
              <w:jc w:val="center"/>
              <w:rPr>
                <w:sz w:val="22"/>
                <w:szCs w:val="22"/>
              </w:rPr>
            </w:pPr>
            <w:r>
              <w:rPr>
                <w:sz w:val="22"/>
                <w:szCs w:val="22"/>
              </w:rPr>
              <w:t>12,393,700,000</w:t>
            </w:r>
          </w:p>
        </w:tc>
        <w:tc>
          <w:tcPr>
            <w:tcW w:w="1244" w:type="dxa"/>
            <w:gridSpan w:val="2"/>
            <w:vAlign w:val="center"/>
          </w:tcPr>
          <w:p w14:paraId="2E134D45">
            <w:pPr>
              <w:jc w:val="center"/>
              <w:rPr>
                <w:sz w:val="22"/>
                <w:szCs w:val="22"/>
              </w:rPr>
            </w:pPr>
            <w:r>
              <w:rPr>
                <w:sz w:val="22"/>
                <w:szCs w:val="22"/>
              </w:rPr>
              <w:t>114%</w:t>
            </w:r>
          </w:p>
        </w:tc>
      </w:tr>
      <w:tr w14:paraId="7ECC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5" w:type="dxa"/>
            <w:gridSpan w:val="2"/>
            <w:noWrap/>
            <w:vAlign w:val="center"/>
          </w:tcPr>
          <w:p w14:paraId="414CB704">
            <w:pPr>
              <w:rPr>
                <w:b/>
                <w:bCs/>
                <w:sz w:val="22"/>
                <w:szCs w:val="22"/>
              </w:rPr>
            </w:pPr>
            <w:r>
              <w:rPr>
                <w:b/>
                <w:bCs/>
                <w:sz w:val="22"/>
                <w:szCs w:val="22"/>
              </w:rPr>
              <w:t>Quý III</w:t>
            </w:r>
          </w:p>
        </w:tc>
        <w:tc>
          <w:tcPr>
            <w:tcW w:w="1211" w:type="dxa"/>
            <w:noWrap/>
            <w:vAlign w:val="center"/>
          </w:tcPr>
          <w:p w14:paraId="3715F9C2">
            <w:pPr>
              <w:jc w:val="center"/>
              <w:rPr>
                <w:b/>
                <w:bCs/>
                <w:sz w:val="22"/>
                <w:szCs w:val="22"/>
              </w:rPr>
            </w:pPr>
          </w:p>
        </w:tc>
        <w:tc>
          <w:tcPr>
            <w:tcW w:w="918" w:type="dxa"/>
            <w:noWrap/>
            <w:vAlign w:val="center"/>
          </w:tcPr>
          <w:p w14:paraId="611B5121">
            <w:pPr>
              <w:jc w:val="center"/>
              <w:rPr>
                <w:b/>
                <w:bCs/>
                <w:sz w:val="22"/>
                <w:szCs w:val="22"/>
              </w:rPr>
            </w:pPr>
            <w:r>
              <w:rPr>
                <w:b/>
                <w:bCs/>
                <w:sz w:val="22"/>
                <w:szCs w:val="22"/>
              </w:rPr>
              <w:t>378</w:t>
            </w:r>
          </w:p>
        </w:tc>
        <w:tc>
          <w:tcPr>
            <w:tcW w:w="1244" w:type="dxa"/>
            <w:noWrap/>
            <w:vAlign w:val="center"/>
          </w:tcPr>
          <w:p w14:paraId="70044E08">
            <w:pPr>
              <w:jc w:val="center"/>
              <w:rPr>
                <w:b/>
                <w:bCs/>
                <w:sz w:val="22"/>
                <w:szCs w:val="22"/>
              </w:rPr>
            </w:pPr>
            <w:r>
              <w:rPr>
                <w:b/>
                <w:bCs/>
                <w:sz w:val="22"/>
                <w:szCs w:val="22"/>
              </w:rPr>
              <w:t>47,365</w:t>
            </w:r>
          </w:p>
        </w:tc>
        <w:tc>
          <w:tcPr>
            <w:tcW w:w="1817" w:type="dxa"/>
            <w:noWrap/>
            <w:vAlign w:val="center"/>
          </w:tcPr>
          <w:p w14:paraId="70326A16">
            <w:pPr>
              <w:jc w:val="center"/>
              <w:rPr>
                <w:b/>
                <w:bCs/>
                <w:sz w:val="22"/>
                <w:szCs w:val="22"/>
              </w:rPr>
            </w:pPr>
            <w:r>
              <w:rPr>
                <w:b/>
                <w:bCs/>
                <w:sz w:val="22"/>
                <w:szCs w:val="22"/>
              </w:rPr>
              <w:t>530,444,416,400</w:t>
            </w:r>
          </w:p>
        </w:tc>
        <w:tc>
          <w:tcPr>
            <w:tcW w:w="808" w:type="dxa"/>
            <w:gridSpan w:val="2"/>
            <w:noWrap/>
            <w:vAlign w:val="center"/>
          </w:tcPr>
          <w:p w14:paraId="591CBE75">
            <w:pPr>
              <w:jc w:val="center"/>
              <w:rPr>
                <w:b/>
                <w:bCs/>
                <w:sz w:val="22"/>
                <w:szCs w:val="22"/>
              </w:rPr>
            </w:pPr>
            <w:r>
              <w:rPr>
                <w:b/>
                <w:bCs/>
                <w:sz w:val="22"/>
                <w:szCs w:val="22"/>
              </w:rPr>
              <w:t>169</w:t>
            </w:r>
          </w:p>
        </w:tc>
        <w:tc>
          <w:tcPr>
            <w:tcW w:w="1329" w:type="dxa"/>
            <w:noWrap/>
            <w:vAlign w:val="center"/>
          </w:tcPr>
          <w:p w14:paraId="3EC38112">
            <w:pPr>
              <w:jc w:val="center"/>
              <w:rPr>
                <w:b/>
                <w:bCs/>
                <w:sz w:val="22"/>
                <w:szCs w:val="22"/>
              </w:rPr>
            </w:pPr>
            <w:r>
              <w:rPr>
                <w:b/>
                <w:bCs/>
                <w:sz w:val="22"/>
                <w:szCs w:val="22"/>
              </w:rPr>
              <w:t>18,659.29</w:t>
            </w:r>
          </w:p>
        </w:tc>
        <w:tc>
          <w:tcPr>
            <w:tcW w:w="696" w:type="dxa"/>
            <w:noWrap/>
            <w:vAlign w:val="center"/>
          </w:tcPr>
          <w:p w14:paraId="6D3B5EF6">
            <w:pPr>
              <w:jc w:val="center"/>
              <w:rPr>
                <w:b/>
                <w:bCs/>
                <w:sz w:val="22"/>
                <w:szCs w:val="22"/>
              </w:rPr>
            </w:pPr>
            <w:r>
              <w:rPr>
                <w:b/>
                <w:bCs/>
                <w:sz w:val="22"/>
                <w:szCs w:val="22"/>
              </w:rPr>
              <w:t>-</w:t>
            </w:r>
          </w:p>
        </w:tc>
        <w:tc>
          <w:tcPr>
            <w:tcW w:w="1761" w:type="dxa"/>
            <w:noWrap/>
            <w:vAlign w:val="center"/>
          </w:tcPr>
          <w:p w14:paraId="19B6F1E4">
            <w:pPr>
              <w:jc w:val="center"/>
              <w:rPr>
                <w:b/>
                <w:bCs/>
                <w:sz w:val="22"/>
                <w:szCs w:val="22"/>
              </w:rPr>
            </w:pPr>
            <w:r>
              <w:rPr>
                <w:b/>
                <w:bCs/>
                <w:sz w:val="22"/>
                <w:szCs w:val="22"/>
              </w:rPr>
              <w:t>196,614,020,400</w:t>
            </w:r>
          </w:p>
        </w:tc>
        <w:tc>
          <w:tcPr>
            <w:tcW w:w="1732" w:type="dxa"/>
            <w:noWrap/>
            <w:vAlign w:val="center"/>
          </w:tcPr>
          <w:p w14:paraId="1A6A684F">
            <w:pPr>
              <w:jc w:val="center"/>
              <w:rPr>
                <w:b/>
                <w:bCs/>
                <w:sz w:val="22"/>
                <w:szCs w:val="22"/>
              </w:rPr>
            </w:pPr>
            <w:r>
              <w:rPr>
                <w:b/>
                <w:bCs/>
                <w:sz w:val="22"/>
                <w:szCs w:val="22"/>
              </w:rPr>
              <w:t>230,442,740,000</w:t>
            </w:r>
          </w:p>
        </w:tc>
        <w:tc>
          <w:tcPr>
            <w:tcW w:w="1244" w:type="dxa"/>
            <w:gridSpan w:val="2"/>
            <w:vAlign w:val="center"/>
          </w:tcPr>
          <w:p w14:paraId="7F30662D">
            <w:pPr>
              <w:jc w:val="center"/>
              <w:rPr>
                <w:b/>
                <w:bCs/>
                <w:sz w:val="22"/>
                <w:szCs w:val="22"/>
              </w:rPr>
            </w:pPr>
          </w:p>
        </w:tc>
      </w:tr>
      <w:tr w14:paraId="40C9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1373BC17">
            <w:pPr>
              <w:jc w:val="center"/>
              <w:rPr>
                <w:sz w:val="22"/>
                <w:szCs w:val="22"/>
              </w:rPr>
            </w:pPr>
            <w:r>
              <w:rPr>
                <w:sz w:val="22"/>
                <w:szCs w:val="22"/>
              </w:rPr>
              <w:t>1</w:t>
            </w:r>
          </w:p>
        </w:tc>
        <w:tc>
          <w:tcPr>
            <w:tcW w:w="2243" w:type="dxa"/>
            <w:vAlign w:val="center"/>
          </w:tcPr>
          <w:p w14:paraId="5A038490">
            <w:pPr>
              <w:rPr>
                <w:sz w:val="22"/>
                <w:szCs w:val="22"/>
              </w:rPr>
            </w:pPr>
            <w:r>
              <w:rPr>
                <w:sz w:val="22"/>
                <w:szCs w:val="22"/>
              </w:rPr>
              <w:t>Mỹ Thái</w:t>
            </w:r>
          </w:p>
        </w:tc>
        <w:tc>
          <w:tcPr>
            <w:tcW w:w="1211" w:type="dxa"/>
            <w:noWrap/>
            <w:vAlign w:val="center"/>
          </w:tcPr>
          <w:p w14:paraId="540169B8">
            <w:pPr>
              <w:jc w:val="center"/>
              <w:rPr>
                <w:sz w:val="22"/>
                <w:szCs w:val="22"/>
              </w:rPr>
            </w:pPr>
            <w:r>
              <w:rPr>
                <w:sz w:val="22"/>
                <w:szCs w:val="22"/>
              </w:rPr>
              <w:t>5/8/2023</w:t>
            </w:r>
          </w:p>
        </w:tc>
        <w:tc>
          <w:tcPr>
            <w:tcW w:w="918" w:type="dxa"/>
            <w:noWrap/>
            <w:vAlign w:val="center"/>
          </w:tcPr>
          <w:p w14:paraId="554196C7">
            <w:pPr>
              <w:jc w:val="center"/>
              <w:rPr>
                <w:sz w:val="22"/>
                <w:szCs w:val="22"/>
              </w:rPr>
            </w:pPr>
            <w:r>
              <w:rPr>
                <w:sz w:val="22"/>
                <w:szCs w:val="22"/>
              </w:rPr>
              <w:t>29</w:t>
            </w:r>
          </w:p>
        </w:tc>
        <w:tc>
          <w:tcPr>
            <w:tcW w:w="1244" w:type="dxa"/>
            <w:noWrap/>
            <w:vAlign w:val="center"/>
          </w:tcPr>
          <w:p w14:paraId="50422F74">
            <w:pPr>
              <w:jc w:val="center"/>
              <w:rPr>
                <w:sz w:val="22"/>
                <w:szCs w:val="22"/>
              </w:rPr>
            </w:pPr>
            <w:r>
              <w:rPr>
                <w:sz w:val="22"/>
                <w:szCs w:val="22"/>
              </w:rPr>
              <w:t>3,134.40</w:t>
            </w:r>
          </w:p>
        </w:tc>
        <w:tc>
          <w:tcPr>
            <w:tcW w:w="1817" w:type="dxa"/>
            <w:noWrap/>
            <w:vAlign w:val="center"/>
          </w:tcPr>
          <w:p w14:paraId="162342D8">
            <w:pPr>
              <w:jc w:val="center"/>
              <w:rPr>
                <w:sz w:val="22"/>
                <w:szCs w:val="22"/>
              </w:rPr>
            </w:pPr>
            <w:r>
              <w:rPr>
                <w:sz w:val="22"/>
                <w:szCs w:val="22"/>
              </w:rPr>
              <w:t>22,331,880,000</w:t>
            </w:r>
          </w:p>
        </w:tc>
        <w:tc>
          <w:tcPr>
            <w:tcW w:w="808" w:type="dxa"/>
            <w:gridSpan w:val="2"/>
            <w:noWrap/>
            <w:vAlign w:val="center"/>
          </w:tcPr>
          <w:p w14:paraId="61C819CE">
            <w:pPr>
              <w:jc w:val="center"/>
              <w:rPr>
                <w:sz w:val="22"/>
                <w:szCs w:val="22"/>
              </w:rPr>
            </w:pPr>
            <w:r>
              <w:rPr>
                <w:sz w:val="22"/>
                <w:szCs w:val="22"/>
              </w:rPr>
              <w:t>21</w:t>
            </w:r>
          </w:p>
        </w:tc>
        <w:tc>
          <w:tcPr>
            <w:tcW w:w="1329" w:type="dxa"/>
            <w:noWrap/>
            <w:vAlign w:val="center"/>
          </w:tcPr>
          <w:p w14:paraId="5492DCA9">
            <w:pPr>
              <w:jc w:val="center"/>
              <w:rPr>
                <w:sz w:val="22"/>
                <w:szCs w:val="22"/>
              </w:rPr>
            </w:pPr>
            <w:r>
              <w:rPr>
                <w:sz w:val="22"/>
                <w:szCs w:val="22"/>
              </w:rPr>
              <w:t>2,208.00</w:t>
            </w:r>
          </w:p>
        </w:tc>
        <w:tc>
          <w:tcPr>
            <w:tcW w:w="696" w:type="dxa"/>
            <w:noWrap/>
            <w:vAlign w:val="center"/>
          </w:tcPr>
          <w:p w14:paraId="21281DA8">
            <w:pPr>
              <w:jc w:val="center"/>
              <w:rPr>
                <w:sz w:val="22"/>
                <w:szCs w:val="22"/>
              </w:rPr>
            </w:pPr>
          </w:p>
        </w:tc>
        <w:tc>
          <w:tcPr>
            <w:tcW w:w="1761" w:type="dxa"/>
            <w:noWrap/>
            <w:vAlign w:val="center"/>
          </w:tcPr>
          <w:p w14:paraId="1B067CD7">
            <w:pPr>
              <w:jc w:val="center"/>
              <w:rPr>
                <w:sz w:val="22"/>
                <w:szCs w:val="22"/>
              </w:rPr>
            </w:pPr>
            <w:r>
              <w:rPr>
                <w:sz w:val="22"/>
                <w:szCs w:val="22"/>
              </w:rPr>
              <w:t>15,739,824,000</w:t>
            </w:r>
          </w:p>
        </w:tc>
        <w:tc>
          <w:tcPr>
            <w:tcW w:w="1732" w:type="dxa"/>
            <w:noWrap/>
            <w:vAlign w:val="center"/>
          </w:tcPr>
          <w:p w14:paraId="62F01088">
            <w:pPr>
              <w:jc w:val="center"/>
              <w:rPr>
                <w:sz w:val="22"/>
                <w:szCs w:val="22"/>
              </w:rPr>
            </w:pPr>
            <w:r>
              <w:rPr>
                <w:sz w:val="22"/>
                <w:szCs w:val="22"/>
              </w:rPr>
              <w:t>16,913,822,000</w:t>
            </w:r>
          </w:p>
        </w:tc>
        <w:tc>
          <w:tcPr>
            <w:tcW w:w="1244" w:type="dxa"/>
            <w:gridSpan w:val="2"/>
            <w:vAlign w:val="center"/>
          </w:tcPr>
          <w:p w14:paraId="2EB715BD">
            <w:pPr>
              <w:jc w:val="center"/>
              <w:rPr>
                <w:sz w:val="22"/>
                <w:szCs w:val="22"/>
              </w:rPr>
            </w:pPr>
            <w:r>
              <w:rPr>
                <w:sz w:val="22"/>
                <w:szCs w:val="22"/>
              </w:rPr>
              <w:t>107%</w:t>
            </w:r>
          </w:p>
        </w:tc>
      </w:tr>
      <w:tr w14:paraId="7278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145CCD09">
            <w:pPr>
              <w:jc w:val="center"/>
              <w:rPr>
                <w:sz w:val="22"/>
                <w:szCs w:val="22"/>
              </w:rPr>
            </w:pPr>
            <w:r>
              <w:rPr>
                <w:sz w:val="22"/>
                <w:szCs w:val="22"/>
              </w:rPr>
              <w:t>2</w:t>
            </w:r>
          </w:p>
        </w:tc>
        <w:tc>
          <w:tcPr>
            <w:tcW w:w="2243" w:type="dxa"/>
            <w:vAlign w:val="center"/>
          </w:tcPr>
          <w:p w14:paraId="47328838">
            <w:pPr>
              <w:rPr>
                <w:sz w:val="22"/>
                <w:szCs w:val="22"/>
              </w:rPr>
            </w:pPr>
            <w:r>
              <w:rPr>
                <w:sz w:val="22"/>
                <w:szCs w:val="22"/>
              </w:rPr>
              <w:t>Xuân Hương và Xương Lâm</w:t>
            </w:r>
          </w:p>
        </w:tc>
        <w:tc>
          <w:tcPr>
            <w:tcW w:w="1211" w:type="dxa"/>
            <w:noWrap/>
            <w:vAlign w:val="center"/>
          </w:tcPr>
          <w:p w14:paraId="78A09DCA">
            <w:pPr>
              <w:jc w:val="center"/>
              <w:rPr>
                <w:sz w:val="22"/>
                <w:szCs w:val="22"/>
              </w:rPr>
            </w:pPr>
            <w:r>
              <w:rPr>
                <w:sz w:val="22"/>
                <w:szCs w:val="22"/>
              </w:rPr>
              <w:t>19/8/2023</w:t>
            </w:r>
          </w:p>
        </w:tc>
        <w:tc>
          <w:tcPr>
            <w:tcW w:w="918" w:type="dxa"/>
            <w:noWrap/>
            <w:vAlign w:val="center"/>
          </w:tcPr>
          <w:p w14:paraId="44D2393B">
            <w:pPr>
              <w:jc w:val="center"/>
              <w:rPr>
                <w:sz w:val="22"/>
                <w:szCs w:val="22"/>
              </w:rPr>
            </w:pPr>
            <w:r>
              <w:rPr>
                <w:sz w:val="22"/>
                <w:szCs w:val="22"/>
              </w:rPr>
              <w:t>50</w:t>
            </w:r>
          </w:p>
        </w:tc>
        <w:tc>
          <w:tcPr>
            <w:tcW w:w="1244" w:type="dxa"/>
            <w:noWrap/>
            <w:vAlign w:val="center"/>
          </w:tcPr>
          <w:p w14:paraId="4FEA672C">
            <w:pPr>
              <w:jc w:val="center"/>
              <w:rPr>
                <w:sz w:val="22"/>
                <w:szCs w:val="22"/>
              </w:rPr>
            </w:pPr>
            <w:r>
              <w:rPr>
                <w:sz w:val="22"/>
                <w:szCs w:val="22"/>
              </w:rPr>
              <w:t>4,615.71</w:t>
            </w:r>
          </w:p>
        </w:tc>
        <w:tc>
          <w:tcPr>
            <w:tcW w:w="1817" w:type="dxa"/>
            <w:noWrap/>
            <w:vAlign w:val="center"/>
          </w:tcPr>
          <w:p w14:paraId="6E84DB8C">
            <w:pPr>
              <w:jc w:val="center"/>
              <w:rPr>
                <w:sz w:val="22"/>
                <w:szCs w:val="22"/>
              </w:rPr>
            </w:pPr>
            <w:r>
              <w:rPr>
                <w:sz w:val="22"/>
                <w:szCs w:val="22"/>
              </w:rPr>
              <w:t>43,260,598,800</w:t>
            </w:r>
          </w:p>
        </w:tc>
        <w:tc>
          <w:tcPr>
            <w:tcW w:w="808" w:type="dxa"/>
            <w:gridSpan w:val="2"/>
            <w:noWrap/>
            <w:vAlign w:val="center"/>
          </w:tcPr>
          <w:p w14:paraId="79E77E85">
            <w:pPr>
              <w:jc w:val="center"/>
              <w:rPr>
                <w:sz w:val="22"/>
                <w:szCs w:val="22"/>
              </w:rPr>
            </w:pPr>
            <w:r>
              <w:rPr>
                <w:sz w:val="22"/>
                <w:szCs w:val="22"/>
              </w:rPr>
              <w:t>41</w:t>
            </w:r>
          </w:p>
        </w:tc>
        <w:tc>
          <w:tcPr>
            <w:tcW w:w="1329" w:type="dxa"/>
            <w:noWrap/>
            <w:vAlign w:val="center"/>
          </w:tcPr>
          <w:p w14:paraId="40EDAD7A">
            <w:pPr>
              <w:jc w:val="center"/>
              <w:rPr>
                <w:sz w:val="22"/>
                <w:szCs w:val="22"/>
              </w:rPr>
            </w:pPr>
            <w:r>
              <w:rPr>
                <w:sz w:val="22"/>
                <w:szCs w:val="22"/>
              </w:rPr>
              <w:t>3,805.71</w:t>
            </w:r>
          </w:p>
        </w:tc>
        <w:tc>
          <w:tcPr>
            <w:tcW w:w="696" w:type="dxa"/>
            <w:noWrap/>
            <w:vAlign w:val="center"/>
          </w:tcPr>
          <w:p w14:paraId="7924F037">
            <w:pPr>
              <w:jc w:val="center"/>
              <w:rPr>
                <w:sz w:val="22"/>
                <w:szCs w:val="22"/>
              </w:rPr>
            </w:pPr>
          </w:p>
        </w:tc>
        <w:tc>
          <w:tcPr>
            <w:tcW w:w="1761" w:type="dxa"/>
            <w:noWrap/>
            <w:vAlign w:val="center"/>
          </w:tcPr>
          <w:p w14:paraId="19207873">
            <w:pPr>
              <w:jc w:val="center"/>
              <w:rPr>
                <w:sz w:val="22"/>
                <w:szCs w:val="22"/>
              </w:rPr>
            </w:pPr>
            <w:r>
              <w:rPr>
                <w:sz w:val="22"/>
                <w:szCs w:val="22"/>
              </w:rPr>
              <w:t>36,105,598,800</w:t>
            </w:r>
          </w:p>
        </w:tc>
        <w:tc>
          <w:tcPr>
            <w:tcW w:w="1732" w:type="dxa"/>
            <w:noWrap/>
            <w:vAlign w:val="center"/>
          </w:tcPr>
          <w:p w14:paraId="0DB9A108">
            <w:pPr>
              <w:jc w:val="center"/>
              <w:rPr>
                <w:sz w:val="22"/>
                <w:szCs w:val="22"/>
              </w:rPr>
            </w:pPr>
            <w:r>
              <w:rPr>
                <w:sz w:val="22"/>
                <w:szCs w:val="22"/>
              </w:rPr>
              <w:t>49,049,209,000</w:t>
            </w:r>
          </w:p>
        </w:tc>
        <w:tc>
          <w:tcPr>
            <w:tcW w:w="1244" w:type="dxa"/>
            <w:gridSpan w:val="2"/>
            <w:vAlign w:val="center"/>
          </w:tcPr>
          <w:p w14:paraId="25636DCD">
            <w:pPr>
              <w:jc w:val="center"/>
              <w:rPr>
                <w:sz w:val="22"/>
                <w:szCs w:val="22"/>
              </w:rPr>
            </w:pPr>
            <w:r>
              <w:rPr>
                <w:sz w:val="22"/>
                <w:szCs w:val="22"/>
              </w:rPr>
              <w:t>136%</w:t>
            </w:r>
          </w:p>
        </w:tc>
      </w:tr>
      <w:tr w14:paraId="2AAE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01966DA0">
            <w:pPr>
              <w:jc w:val="center"/>
              <w:rPr>
                <w:sz w:val="22"/>
                <w:szCs w:val="22"/>
              </w:rPr>
            </w:pPr>
            <w:r>
              <w:rPr>
                <w:sz w:val="22"/>
                <w:szCs w:val="22"/>
              </w:rPr>
              <w:t>3</w:t>
            </w:r>
          </w:p>
        </w:tc>
        <w:tc>
          <w:tcPr>
            <w:tcW w:w="2243" w:type="dxa"/>
            <w:vAlign w:val="center"/>
          </w:tcPr>
          <w:p w14:paraId="02F848B4">
            <w:pPr>
              <w:rPr>
                <w:sz w:val="22"/>
                <w:szCs w:val="22"/>
              </w:rPr>
            </w:pPr>
            <w:r>
              <w:rPr>
                <w:sz w:val="22"/>
                <w:szCs w:val="22"/>
              </w:rPr>
              <w:t>Tân Luận</w:t>
            </w:r>
          </w:p>
        </w:tc>
        <w:tc>
          <w:tcPr>
            <w:tcW w:w="1211" w:type="dxa"/>
            <w:noWrap/>
            <w:vAlign w:val="center"/>
          </w:tcPr>
          <w:p w14:paraId="0A09D000">
            <w:pPr>
              <w:jc w:val="center"/>
              <w:rPr>
                <w:sz w:val="22"/>
                <w:szCs w:val="22"/>
              </w:rPr>
            </w:pPr>
            <w:r>
              <w:rPr>
                <w:sz w:val="22"/>
                <w:szCs w:val="22"/>
              </w:rPr>
              <w:t>26/8/2023</w:t>
            </w:r>
          </w:p>
        </w:tc>
        <w:tc>
          <w:tcPr>
            <w:tcW w:w="918" w:type="dxa"/>
            <w:noWrap/>
            <w:vAlign w:val="center"/>
          </w:tcPr>
          <w:p w14:paraId="357D4E3A">
            <w:pPr>
              <w:jc w:val="center"/>
              <w:rPr>
                <w:sz w:val="22"/>
                <w:szCs w:val="22"/>
              </w:rPr>
            </w:pPr>
            <w:r>
              <w:rPr>
                <w:sz w:val="22"/>
                <w:szCs w:val="22"/>
              </w:rPr>
              <w:t>71</w:t>
            </w:r>
          </w:p>
        </w:tc>
        <w:tc>
          <w:tcPr>
            <w:tcW w:w="1244" w:type="dxa"/>
            <w:noWrap/>
            <w:vAlign w:val="center"/>
          </w:tcPr>
          <w:p w14:paraId="232ED771">
            <w:pPr>
              <w:jc w:val="center"/>
              <w:rPr>
                <w:sz w:val="22"/>
                <w:szCs w:val="22"/>
              </w:rPr>
            </w:pPr>
            <w:r>
              <w:rPr>
                <w:sz w:val="22"/>
                <w:szCs w:val="22"/>
              </w:rPr>
              <w:t>9,336.21</w:t>
            </w:r>
          </w:p>
        </w:tc>
        <w:tc>
          <w:tcPr>
            <w:tcW w:w="1817" w:type="dxa"/>
            <w:noWrap/>
            <w:vAlign w:val="center"/>
          </w:tcPr>
          <w:p w14:paraId="570BD8A6">
            <w:pPr>
              <w:jc w:val="center"/>
              <w:rPr>
                <w:sz w:val="22"/>
                <w:szCs w:val="22"/>
              </w:rPr>
            </w:pPr>
            <w:r>
              <w:rPr>
                <w:sz w:val="22"/>
                <w:szCs w:val="22"/>
              </w:rPr>
              <w:t>96,183,180,000</w:t>
            </w:r>
          </w:p>
        </w:tc>
        <w:tc>
          <w:tcPr>
            <w:tcW w:w="808" w:type="dxa"/>
            <w:gridSpan w:val="2"/>
            <w:noWrap/>
            <w:vAlign w:val="center"/>
          </w:tcPr>
          <w:p w14:paraId="7C8346E5">
            <w:pPr>
              <w:jc w:val="center"/>
              <w:rPr>
                <w:sz w:val="22"/>
                <w:szCs w:val="22"/>
              </w:rPr>
            </w:pPr>
            <w:r>
              <w:rPr>
                <w:sz w:val="22"/>
                <w:szCs w:val="22"/>
              </w:rPr>
              <w:t>12</w:t>
            </w:r>
          </w:p>
        </w:tc>
        <w:tc>
          <w:tcPr>
            <w:tcW w:w="1329" w:type="dxa"/>
            <w:noWrap/>
            <w:vAlign w:val="center"/>
          </w:tcPr>
          <w:p w14:paraId="5343C34A">
            <w:pPr>
              <w:jc w:val="center"/>
              <w:rPr>
                <w:sz w:val="22"/>
                <w:szCs w:val="22"/>
              </w:rPr>
            </w:pPr>
            <w:r>
              <w:rPr>
                <w:sz w:val="22"/>
                <w:szCs w:val="22"/>
              </w:rPr>
              <w:t>1,288.00</w:t>
            </w:r>
          </w:p>
        </w:tc>
        <w:tc>
          <w:tcPr>
            <w:tcW w:w="696" w:type="dxa"/>
            <w:noWrap/>
            <w:vAlign w:val="center"/>
          </w:tcPr>
          <w:p w14:paraId="69A7D0B6">
            <w:pPr>
              <w:jc w:val="center"/>
              <w:rPr>
                <w:sz w:val="22"/>
                <w:szCs w:val="22"/>
              </w:rPr>
            </w:pPr>
          </w:p>
        </w:tc>
        <w:tc>
          <w:tcPr>
            <w:tcW w:w="1761" w:type="dxa"/>
            <w:noWrap/>
            <w:vAlign w:val="center"/>
          </w:tcPr>
          <w:p w14:paraId="65FEC65C">
            <w:pPr>
              <w:jc w:val="center"/>
              <w:rPr>
                <w:sz w:val="22"/>
                <w:szCs w:val="22"/>
              </w:rPr>
            </w:pPr>
            <w:r>
              <w:rPr>
                <w:sz w:val="22"/>
                <w:szCs w:val="22"/>
              </w:rPr>
              <w:t>13,116,000,000</w:t>
            </w:r>
          </w:p>
        </w:tc>
        <w:tc>
          <w:tcPr>
            <w:tcW w:w="1732" w:type="dxa"/>
            <w:noWrap/>
            <w:vAlign w:val="center"/>
          </w:tcPr>
          <w:p w14:paraId="7A0C9501">
            <w:pPr>
              <w:jc w:val="center"/>
              <w:rPr>
                <w:sz w:val="22"/>
                <w:szCs w:val="22"/>
              </w:rPr>
            </w:pPr>
            <w:r>
              <w:rPr>
                <w:sz w:val="22"/>
                <w:szCs w:val="22"/>
              </w:rPr>
              <w:t>13,891,180,000</w:t>
            </w:r>
          </w:p>
        </w:tc>
        <w:tc>
          <w:tcPr>
            <w:tcW w:w="1244" w:type="dxa"/>
            <w:gridSpan w:val="2"/>
            <w:vAlign w:val="center"/>
          </w:tcPr>
          <w:p w14:paraId="4FBD428B">
            <w:pPr>
              <w:jc w:val="center"/>
              <w:rPr>
                <w:sz w:val="22"/>
                <w:szCs w:val="22"/>
              </w:rPr>
            </w:pPr>
            <w:r>
              <w:rPr>
                <w:sz w:val="22"/>
                <w:szCs w:val="22"/>
              </w:rPr>
              <w:t>106%</w:t>
            </w:r>
          </w:p>
        </w:tc>
      </w:tr>
      <w:tr w14:paraId="3112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0D09140D">
            <w:pPr>
              <w:jc w:val="center"/>
              <w:rPr>
                <w:sz w:val="22"/>
                <w:szCs w:val="22"/>
              </w:rPr>
            </w:pPr>
            <w:r>
              <w:rPr>
                <w:sz w:val="22"/>
                <w:szCs w:val="22"/>
              </w:rPr>
              <w:t>4</w:t>
            </w:r>
          </w:p>
        </w:tc>
        <w:tc>
          <w:tcPr>
            <w:tcW w:w="2243" w:type="dxa"/>
            <w:vAlign w:val="center"/>
          </w:tcPr>
          <w:p w14:paraId="3052EBD9">
            <w:pPr>
              <w:rPr>
                <w:sz w:val="22"/>
                <w:szCs w:val="22"/>
              </w:rPr>
            </w:pPr>
            <w:r>
              <w:rPr>
                <w:sz w:val="22"/>
                <w:szCs w:val="22"/>
              </w:rPr>
              <w:t>Tân Hưng</w:t>
            </w:r>
          </w:p>
        </w:tc>
        <w:tc>
          <w:tcPr>
            <w:tcW w:w="1211" w:type="dxa"/>
            <w:noWrap/>
            <w:vAlign w:val="center"/>
          </w:tcPr>
          <w:p w14:paraId="782EB55A">
            <w:pPr>
              <w:jc w:val="center"/>
              <w:rPr>
                <w:sz w:val="22"/>
                <w:szCs w:val="22"/>
              </w:rPr>
            </w:pPr>
            <w:r>
              <w:rPr>
                <w:sz w:val="22"/>
                <w:szCs w:val="22"/>
              </w:rPr>
              <w:t>9/9/2023</w:t>
            </w:r>
          </w:p>
        </w:tc>
        <w:tc>
          <w:tcPr>
            <w:tcW w:w="918" w:type="dxa"/>
            <w:noWrap/>
            <w:vAlign w:val="center"/>
          </w:tcPr>
          <w:p w14:paraId="32F02F83">
            <w:pPr>
              <w:jc w:val="center"/>
              <w:rPr>
                <w:sz w:val="22"/>
                <w:szCs w:val="22"/>
              </w:rPr>
            </w:pPr>
            <w:r>
              <w:rPr>
                <w:sz w:val="22"/>
                <w:szCs w:val="22"/>
              </w:rPr>
              <w:t>56</w:t>
            </w:r>
          </w:p>
        </w:tc>
        <w:tc>
          <w:tcPr>
            <w:tcW w:w="1244" w:type="dxa"/>
            <w:noWrap/>
            <w:vAlign w:val="center"/>
          </w:tcPr>
          <w:p w14:paraId="435B8B22">
            <w:pPr>
              <w:jc w:val="center"/>
              <w:rPr>
                <w:sz w:val="22"/>
                <w:szCs w:val="22"/>
              </w:rPr>
            </w:pPr>
            <w:r>
              <w:rPr>
                <w:sz w:val="22"/>
                <w:szCs w:val="22"/>
              </w:rPr>
              <w:t>7,588.10</w:t>
            </w:r>
          </w:p>
        </w:tc>
        <w:tc>
          <w:tcPr>
            <w:tcW w:w="1817" w:type="dxa"/>
            <w:noWrap/>
            <w:vAlign w:val="center"/>
          </w:tcPr>
          <w:p w14:paraId="29F56953">
            <w:pPr>
              <w:jc w:val="center"/>
              <w:rPr>
                <w:sz w:val="22"/>
                <w:szCs w:val="22"/>
              </w:rPr>
            </w:pPr>
            <w:r>
              <w:rPr>
                <w:sz w:val="22"/>
                <w:szCs w:val="22"/>
              </w:rPr>
              <w:t>94,095,880,000</w:t>
            </w:r>
          </w:p>
        </w:tc>
        <w:tc>
          <w:tcPr>
            <w:tcW w:w="808" w:type="dxa"/>
            <w:gridSpan w:val="2"/>
            <w:noWrap/>
            <w:vAlign w:val="center"/>
          </w:tcPr>
          <w:p w14:paraId="46D6640D">
            <w:pPr>
              <w:jc w:val="center"/>
              <w:rPr>
                <w:sz w:val="22"/>
                <w:szCs w:val="22"/>
              </w:rPr>
            </w:pPr>
            <w:r>
              <w:rPr>
                <w:sz w:val="22"/>
                <w:szCs w:val="22"/>
              </w:rPr>
              <w:t>30</w:t>
            </w:r>
          </w:p>
        </w:tc>
        <w:tc>
          <w:tcPr>
            <w:tcW w:w="1329" w:type="dxa"/>
            <w:noWrap/>
            <w:vAlign w:val="center"/>
          </w:tcPr>
          <w:p w14:paraId="29C92AD4">
            <w:pPr>
              <w:jc w:val="center"/>
              <w:rPr>
                <w:sz w:val="22"/>
                <w:szCs w:val="22"/>
              </w:rPr>
            </w:pPr>
            <w:r>
              <w:rPr>
                <w:sz w:val="22"/>
                <w:szCs w:val="22"/>
              </w:rPr>
              <w:t>3,999.60</w:t>
            </w:r>
          </w:p>
        </w:tc>
        <w:tc>
          <w:tcPr>
            <w:tcW w:w="696" w:type="dxa"/>
            <w:noWrap/>
            <w:vAlign w:val="center"/>
          </w:tcPr>
          <w:p w14:paraId="257CD445">
            <w:pPr>
              <w:jc w:val="center"/>
              <w:rPr>
                <w:sz w:val="22"/>
                <w:szCs w:val="22"/>
              </w:rPr>
            </w:pPr>
          </w:p>
        </w:tc>
        <w:tc>
          <w:tcPr>
            <w:tcW w:w="1761" w:type="dxa"/>
            <w:noWrap/>
            <w:vAlign w:val="center"/>
          </w:tcPr>
          <w:p w14:paraId="40E818F5">
            <w:pPr>
              <w:jc w:val="center"/>
              <w:rPr>
                <w:sz w:val="22"/>
                <w:szCs w:val="22"/>
              </w:rPr>
            </w:pPr>
            <w:r>
              <w:rPr>
                <w:sz w:val="22"/>
                <w:szCs w:val="22"/>
              </w:rPr>
              <w:t>49,768,880,000</w:t>
            </w:r>
          </w:p>
        </w:tc>
        <w:tc>
          <w:tcPr>
            <w:tcW w:w="1732" w:type="dxa"/>
            <w:noWrap/>
            <w:vAlign w:val="center"/>
          </w:tcPr>
          <w:p w14:paraId="23124A32">
            <w:pPr>
              <w:jc w:val="center"/>
              <w:rPr>
                <w:sz w:val="22"/>
                <w:szCs w:val="22"/>
              </w:rPr>
            </w:pPr>
            <w:r>
              <w:rPr>
                <w:sz w:val="22"/>
                <w:szCs w:val="22"/>
              </w:rPr>
              <w:t>53,356,838,000</w:t>
            </w:r>
          </w:p>
        </w:tc>
        <w:tc>
          <w:tcPr>
            <w:tcW w:w="1244" w:type="dxa"/>
            <w:gridSpan w:val="2"/>
            <w:vAlign w:val="center"/>
          </w:tcPr>
          <w:p w14:paraId="0FB515D1">
            <w:pPr>
              <w:jc w:val="center"/>
              <w:rPr>
                <w:sz w:val="22"/>
                <w:szCs w:val="22"/>
              </w:rPr>
            </w:pPr>
            <w:r>
              <w:rPr>
                <w:sz w:val="22"/>
                <w:szCs w:val="22"/>
              </w:rPr>
              <w:t>107%</w:t>
            </w:r>
          </w:p>
        </w:tc>
      </w:tr>
      <w:tr w14:paraId="34D8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33D70B78">
            <w:pPr>
              <w:jc w:val="center"/>
              <w:rPr>
                <w:sz w:val="22"/>
                <w:szCs w:val="22"/>
              </w:rPr>
            </w:pPr>
            <w:r>
              <w:rPr>
                <w:sz w:val="22"/>
                <w:szCs w:val="22"/>
              </w:rPr>
              <w:t>5</w:t>
            </w:r>
          </w:p>
        </w:tc>
        <w:tc>
          <w:tcPr>
            <w:tcW w:w="2243" w:type="dxa"/>
            <w:vAlign w:val="center"/>
          </w:tcPr>
          <w:p w14:paraId="5BDFD3AF">
            <w:pPr>
              <w:rPr>
                <w:sz w:val="22"/>
                <w:szCs w:val="22"/>
              </w:rPr>
            </w:pPr>
            <w:r>
              <w:rPr>
                <w:sz w:val="22"/>
                <w:szCs w:val="22"/>
              </w:rPr>
              <w:t>Xuân Hương</w:t>
            </w:r>
          </w:p>
        </w:tc>
        <w:tc>
          <w:tcPr>
            <w:tcW w:w="1211" w:type="dxa"/>
            <w:noWrap/>
            <w:vAlign w:val="center"/>
          </w:tcPr>
          <w:p w14:paraId="34C8B94A">
            <w:pPr>
              <w:jc w:val="center"/>
              <w:rPr>
                <w:sz w:val="22"/>
                <w:szCs w:val="22"/>
              </w:rPr>
            </w:pPr>
            <w:r>
              <w:rPr>
                <w:sz w:val="22"/>
                <w:szCs w:val="22"/>
              </w:rPr>
              <w:t>10/9/2023</w:t>
            </w:r>
          </w:p>
        </w:tc>
        <w:tc>
          <w:tcPr>
            <w:tcW w:w="918" w:type="dxa"/>
            <w:noWrap/>
            <w:vAlign w:val="center"/>
          </w:tcPr>
          <w:p w14:paraId="1379281F">
            <w:pPr>
              <w:jc w:val="center"/>
              <w:rPr>
                <w:sz w:val="22"/>
                <w:szCs w:val="22"/>
              </w:rPr>
            </w:pPr>
            <w:r>
              <w:rPr>
                <w:sz w:val="22"/>
                <w:szCs w:val="22"/>
              </w:rPr>
              <w:t>39</w:t>
            </w:r>
          </w:p>
        </w:tc>
        <w:tc>
          <w:tcPr>
            <w:tcW w:w="1244" w:type="dxa"/>
            <w:noWrap/>
            <w:vAlign w:val="center"/>
          </w:tcPr>
          <w:p w14:paraId="2A04F7BE">
            <w:pPr>
              <w:jc w:val="center"/>
              <w:rPr>
                <w:sz w:val="22"/>
                <w:szCs w:val="22"/>
              </w:rPr>
            </w:pPr>
            <w:r>
              <w:rPr>
                <w:sz w:val="22"/>
                <w:szCs w:val="22"/>
              </w:rPr>
              <w:t>3,879.68</w:t>
            </w:r>
          </w:p>
        </w:tc>
        <w:tc>
          <w:tcPr>
            <w:tcW w:w="1817" w:type="dxa"/>
            <w:noWrap/>
            <w:vAlign w:val="center"/>
          </w:tcPr>
          <w:p w14:paraId="1BA0FCA2">
            <w:pPr>
              <w:jc w:val="center"/>
              <w:rPr>
                <w:sz w:val="22"/>
                <w:szCs w:val="22"/>
              </w:rPr>
            </w:pPr>
            <w:r>
              <w:rPr>
                <w:sz w:val="22"/>
                <w:szCs w:val="22"/>
              </w:rPr>
              <w:t>37,192,197,600</w:t>
            </w:r>
          </w:p>
        </w:tc>
        <w:tc>
          <w:tcPr>
            <w:tcW w:w="808" w:type="dxa"/>
            <w:gridSpan w:val="2"/>
            <w:noWrap/>
            <w:vAlign w:val="center"/>
          </w:tcPr>
          <w:p w14:paraId="0A0886B5">
            <w:pPr>
              <w:jc w:val="center"/>
              <w:rPr>
                <w:sz w:val="22"/>
                <w:szCs w:val="22"/>
              </w:rPr>
            </w:pPr>
            <w:r>
              <w:rPr>
                <w:sz w:val="22"/>
                <w:szCs w:val="22"/>
              </w:rPr>
              <w:t>39</w:t>
            </w:r>
          </w:p>
        </w:tc>
        <w:tc>
          <w:tcPr>
            <w:tcW w:w="1329" w:type="dxa"/>
            <w:noWrap/>
            <w:vAlign w:val="center"/>
          </w:tcPr>
          <w:p w14:paraId="0424758B">
            <w:pPr>
              <w:jc w:val="center"/>
              <w:rPr>
                <w:sz w:val="22"/>
                <w:szCs w:val="22"/>
              </w:rPr>
            </w:pPr>
            <w:r>
              <w:rPr>
                <w:sz w:val="22"/>
                <w:szCs w:val="22"/>
              </w:rPr>
              <w:t>3,879.68</w:t>
            </w:r>
          </w:p>
        </w:tc>
        <w:tc>
          <w:tcPr>
            <w:tcW w:w="696" w:type="dxa"/>
            <w:noWrap/>
            <w:vAlign w:val="center"/>
          </w:tcPr>
          <w:p w14:paraId="05BE1A49">
            <w:pPr>
              <w:jc w:val="center"/>
              <w:rPr>
                <w:sz w:val="22"/>
                <w:szCs w:val="22"/>
              </w:rPr>
            </w:pPr>
          </w:p>
        </w:tc>
        <w:tc>
          <w:tcPr>
            <w:tcW w:w="1761" w:type="dxa"/>
            <w:noWrap/>
            <w:vAlign w:val="center"/>
          </w:tcPr>
          <w:p w14:paraId="69030C41">
            <w:pPr>
              <w:jc w:val="center"/>
              <w:rPr>
                <w:sz w:val="22"/>
                <w:szCs w:val="22"/>
              </w:rPr>
            </w:pPr>
            <w:r>
              <w:rPr>
                <w:sz w:val="22"/>
                <w:szCs w:val="22"/>
              </w:rPr>
              <w:t>37,192,197,600</w:t>
            </w:r>
          </w:p>
        </w:tc>
        <w:tc>
          <w:tcPr>
            <w:tcW w:w="1732" w:type="dxa"/>
            <w:noWrap/>
            <w:vAlign w:val="center"/>
          </w:tcPr>
          <w:p w14:paraId="34F9FA1F">
            <w:pPr>
              <w:jc w:val="center"/>
              <w:rPr>
                <w:sz w:val="22"/>
                <w:szCs w:val="22"/>
              </w:rPr>
            </w:pPr>
            <w:r>
              <w:rPr>
                <w:sz w:val="22"/>
                <w:szCs w:val="22"/>
              </w:rPr>
              <w:t>46,713,894,000</w:t>
            </w:r>
          </w:p>
        </w:tc>
        <w:tc>
          <w:tcPr>
            <w:tcW w:w="1244" w:type="dxa"/>
            <w:gridSpan w:val="2"/>
            <w:vAlign w:val="center"/>
          </w:tcPr>
          <w:p w14:paraId="74FD4F4D">
            <w:pPr>
              <w:jc w:val="center"/>
              <w:rPr>
                <w:sz w:val="22"/>
                <w:szCs w:val="22"/>
              </w:rPr>
            </w:pPr>
            <w:r>
              <w:rPr>
                <w:sz w:val="22"/>
                <w:szCs w:val="22"/>
              </w:rPr>
              <w:t>126%</w:t>
            </w:r>
          </w:p>
        </w:tc>
      </w:tr>
      <w:tr w14:paraId="11AF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63657F0F">
            <w:pPr>
              <w:jc w:val="center"/>
              <w:rPr>
                <w:sz w:val="22"/>
                <w:szCs w:val="22"/>
              </w:rPr>
            </w:pPr>
            <w:r>
              <w:rPr>
                <w:sz w:val="22"/>
                <w:szCs w:val="22"/>
              </w:rPr>
              <w:t>6</w:t>
            </w:r>
          </w:p>
        </w:tc>
        <w:tc>
          <w:tcPr>
            <w:tcW w:w="2243" w:type="dxa"/>
            <w:vAlign w:val="center"/>
          </w:tcPr>
          <w:p w14:paraId="47C85BFC">
            <w:pPr>
              <w:rPr>
                <w:sz w:val="22"/>
                <w:szCs w:val="22"/>
              </w:rPr>
            </w:pPr>
            <w:r>
              <w:rPr>
                <w:sz w:val="22"/>
                <w:szCs w:val="22"/>
              </w:rPr>
              <w:t>Tân Hưng</w:t>
            </w:r>
          </w:p>
        </w:tc>
        <w:tc>
          <w:tcPr>
            <w:tcW w:w="1211" w:type="dxa"/>
            <w:noWrap/>
            <w:vAlign w:val="center"/>
          </w:tcPr>
          <w:p w14:paraId="6C7D9DD9">
            <w:pPr>
              <w:jc w:val="center"/>
              <w:rPr>
                <w:sz w:val="22"/>
                <w:szCs w:val="22"/>
              </w:rPr>
            </w:pPr>
            <w:r>
              <w:rPr>
                <w:sz w:val="22"/>
                <w:szCs w:val="22"/>
              </w:rPr>
              <w:t>14/9/2023</w:t>
            </w:r>
          </w:p>
        </w:tc>
        <w:tc>
          <w:tcPr>
            <w:tcW w:w="918" w:type="dxa"/>
            <w:noWrap/>
            <w:vAlign w:val="center"/>
          </w:tcPr>
          <w:p w14:paraId="2A1D7CBA">
            <w:pPr>
              <w:jc w:val="center"/>
              <w:rPr>
                <w:sz w:val="22"/>
                <w:szCs w:val="22"/>
              </w:rPr>
            </w:pPr>
            <w:r>
              <w:rPr>
                <w:sz w:val="22"/>
                <w:szCs w:val="22"/>
              </w:rPr>
              <w:t>77</w:t>
            </w:r>
          </w:p>
        </w:tc>
        <w:tc>
          <w:tcPr>
            <w:tcW w:w="1244" w:type="dxa"/>
            <w:noWrap/>
            <w:vAlign w:val="center"/>
          </w:tcPr>
          <w:p w14:paraId="4846BED1">
            <w:pPr>
              <w:jc w:val="center"/>
              <w:rPr>
                <w:sz w:val="22"/>
                <w:szCs w:val="22"/>
              </w:rPr>
            </w:pPr>
            <w:r>
              <w:rPr>
                <w:sz w:val="22"/>
                <w:szCs w:val="22"/>
              </w:rPr>
              <w:t>10,892.80</w:t>
            </w:r>
          </w:p>
        </w:tc>
        <w:tc>
          <w:tcPr>
            <w:tcW w:w="1817" w:type="dxa"/>
            <w:noWrap/>
            <w:vAlign w:val="center"/>
          </w:tcPr>
          <w:p w14:paraId="5D132A32">
            <w:pPr>
              <w:jc w:val="center"/>
              <w:rPr>
                <w:sz w:val="22"/>
                <w:szCs w:val="22"/>
              </w:rPr>
            </w:pPr>
            <w:r>
              <w:rPr>
                <w:sz w:val="22"/>
                <w:szCs w:val="22"/>
              </w:rPr>
              <w:t>138,752,380,000</w:t>
            </w:r>
          </w:p>
        </w:tc>
        <w:tc>
          <w:tcPr>
            <w:tcW w:w="808" w:type="dxa"/>
            <w:gridSpan w:val="2"/>
            <w:noWrap/>
            <w:vAlign w:val="center"/>
          </w:tcPr>
          <w:p w14:paraId="4346AAF0">
            <w:pPr>
              <w:jc w:val="center"/>
              <w:rPr>
                <w:sz w:val="22"/>
                <w:szCs w:val="22"/>
              </w:rPr>
            </w:pPr>
            <w:r>
              <w:rPr>
                <w:sz w:val="22"/>
                <w:szCs w:val="22"/>
              </w:rPr>
              <w:t>16</w:t>
            </w:r>
          </w:p>
        </w:tc>
        <w:tc>
          <w:tcPr>
            <w:tcW w:w="1329" w:type="dxa"/>
            <w:noWrap/>
            <w:vAlign w:val="center"/>
          </w:tcPr>
          <w:p w14:paraId="09188CD0">
            <w:pPr>
              <w:jc w:val="center"/>
              <w:rPr>
                <w:sz w:val="22"/>
                <w:szCs w:val="22"/>
              </w:rPr>
            </w:pPr>
            <w:r>
              <w:rPr>
                <w:sz w:val="22"/>
                <w:szCs w:val="22"/>
              </w:rPr>
              <w:t>2,162.30</w:t>
            </w:r>
          </w:p>
        </w:tc>
        <w:tc>
          <w:tcPr>
            <w:tcW w:w="696" w:type="dxa"/>
            <w:noWrap/>
            <w:vAlign w:val="center"/>
          </w:tcPr>
          <w:p w14:paraId="0DDEAFF4">
            <w:pPr>
              <w:jc w:val="center"/>
              <w:rPr>
                <w:sz w:val="22"/>
                <w:szCs w:val="22"/>
              </w:rPr>
            </w:pPr>
          </w:p>
        </w:tc>
        <w:tc>
          <w:tcPr>
            <w:tcW w:w="1761" w:type="dxa"/>
            <w:noWrap/>
            <w:vAlign w:val="center"/>
          </w:tcPr>
          <w:p w14:paraId="3310D372">
            <w:pPr>
              <w:jc w:val="center"/>
              <w:rPr>
                <w:sz w:val="22"/>
                <w:szCs w:val="22"/>
              </w:rPr>
            </w:pPr>
            <w:r>
              <w:rPr>
                <w:sz w:val="22"/>
                <w:szCs w:val="22"/>
              </w:rPr>
              <w:t>27,772,920,000</w:t>
            </w:r>
          </w:p>
        </w:tc>
        <w:tc>
          <w:tcPr>
            <w:tcW w:w="1732" w:type="dxa"/>
            <w:noWrap/>
            <w:vAlign w:val="center"/>
          </w:tcPr>
          <w:p w14:paraId="278C91E9">
            <w:pPr>
              <w:jc w:val="center"/>
              <w:rPr>
                <w:sz w:val="22"/>
                <w:szCs w:val="22"/>
              </w:rPr>
            </w:pPr>
            <w:r>
              <w:rPr>
                <w:sz w:val="22"/>
                <w:szCs w:val="22"/>
              </w:rPr>
              <w:t>30,156,600,000</w:t>
            </w:r>
          </w:p>
        </w:tc>
        <w:tc>
          <w:tcPr>
            <w:tcW w:w="1244" w:type="dxa"/>
            <w:gridSpan w:val="2"/>
            <w:vAlign w:val="center"/>
          </w:tcPr>
          <w:p w14:paraId="56C654C9">
            <w:pPr>
              <w:jc w:val="center"/>
              <w:rPr>
                <w:sz w:val="22"/>
                <w:szCs w:val="22"/>
              </w:rPr>
            </w:pPr>
            <w:r>
              <w:rPr>
                <w:sz w:val="22"/>
                <w:szCs w:val="22"/>
              </w:rPr>
              <w:t>109%</w:t>
            </w:r>
          </w:p>
        </w:tc>
      </w:tr>
      <w:tr w14:paraId="3448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1597C71D">
            <w:pPr>
              <w:jc w:val="center"/>
              <w:rPr>
                <w:sz w:val="22"/>
                <w:szCs w:val="22"/>
              </w:rPr>
            </w:pPr>
            <w:r>
              <w:rPr>
                <w:sz w:val="22"/>
                <w:szCs w:val="22"/>
              </w:rPr>
              <w:t>7</w:t>
            </w:r>
          </w:p>
        </w:tc>
        <w:tc>
          <w:tcPr>
            <w:tcW w:w="2243" w:type="dxa"/>
            <w:vAlign w:val="center"/>
          </w:tcPr>
          <w:p w14:paraId="7ABE555C">
            <w:pPr>
              <w:rPr>
                <w:sz w:val="22"/>
                <w:szCs w:val="22"/>
              </w:rPr>
            </w:pPr>
            <w:r>
              <w:rPr>
                <w:sz w:val="22"/>
                <w:szCs w:val="22"/>
              </w:rPr>
              <w:t>Tân Hưng</w:t>
            </w:r>
          </w:p>
        </w:tc>
        <w:tc>
          <w:tcPr>
            <w:tcW w:w="1211" w:type="dxa"/>
            <w:noWrap/>
            <w:vAlign w:val="center"/>
          </w:tcPr>
          <w:p w14:paraId="72DDA29B">
            <w:pPr>
              <w:jc w:val="center"/>
              <w:rPr>
                <w:sz w:val="22"/>
                <w:szCs w:val="22"/>
              </w:rPr>
            </w:pPr>
            <w:r>
              <w:rPr>
                <w:sz w:val="22"/>
                <w:szCs w:val="22"/>
              </w:rPr>
              <w:t>24/9/2023</w:t>
            </w:r>
          </w:p>
        </w:tc>
        <w:tc>
          <w:tcPr>
            <w:tcW w:w="918" w:type="dxa"/>
            <w:noWrap/>
            <w:vAlign w:val="center"/>
          </w:tcPr>
          <w:p w14:paraId="3BB3FBA3">
            <w:pPr>
              <w:jc w:val="center"/>
              <w:rPr>
                <w:sz w:val="22"/>
                <w:szCs w:val="22"/>
              </w:rPr>
            </w:pPr>
            <w:r>
              <w:rPr>
                <w:sz w:val="22"/>
                <w:szCs w:val="22"/>
              </w:rPr>
              <w:t>56</w:t>
            </w:r>
          </w:p>
        </w:tc>
        <w:tc>
          <w:tcPr>
            <w:tcW w:w="1244" w:type="dxa"/>
            <w:noWrap/>
            <w:vAlign w:val="center"/>
          </w:tcPr>
          <w:p w14:paraId="02C96247">
            <w:pPr>
              <w:jc w:val="center"/>
              <w:rPr>
                <w:sz w:val="22"/>
                <w:szCs w:val="22"/>
              </w:rPr>
            </w:pPr>
            <w:r>
              <w:rPr>
                <w:sz w:val="22"/>
                <w:szCs w:val="22"/>
              </w:rPr>
              <w:t>7,917.60</w:t>
            </w:r>
          </w:p>
        </w:tc>
        <w:tc>
          <w:tcPr>
            <w:tcW w:w="1817" w:type="dxa"/>
            <w:noWrap/>
            <w:vAlign w:val="center"/>
          </w:tcPr>
          <w:p w14:paraId="02CBEAE7">
            <w:pPr>
              <w:jc w:val="center"/>
              <w:rPr>
                <w:sz w:val="22"/>
                <w:szCs w:val="22"/>
              </w:rPr>
            </w:pPr>
            <w:r>
              <w:rPr>
                <w:sz w:val="22"/>
                <w:szCs w:val="22"/>
              </w:rPr>
              <w:t>98,628,300,000</w:t>
            </w:r>
          </w:p>
        </w:tc>
        <w:tc>
          <w:tcPr>
            <w:tcW w:w="808" w:type="dxa"/>
            <w:gridSpan w:val="2"/>
            <w:noWrap/>
            <w:vAlign w:val="center"/>
          </w:tcPr>
          <w:p w14:paraId="63FF60BB">
            <w:pPr>
              <w:jc w:val="center"/>
              <w:rPr>
                <w:sz w:val="22"/>
                <w:szCs w:val="22"/>
              </w:rPr>
            </w:pPr>
            <w:r>
              <w:rPr>
                <w:sz w:val="22"/>
                <w:szCs w:val="22"/>
              </w:rPr>
              <w:t>10</w:t>
            </w:r>
          </w:p>
        </w:tc>
        <w:tc>
          <w:tcPr>
            <w:tcW w:w="1329" w:type="dxa"/>
            <w:noWrap/>
            <w:vAlign w:val="center"/>
          </w:tcPr>
          <w:p w14:paraId="572EDB57">
            <w:pPr>
              <w:jc w:val="center"/>
              <w:rPr>
                <w:sz w:val="22"/>
                <w:szCs w:val="22"/>
              </w:rPr>
            </w:pPr>
            <w:r>
              <w:rPr>
                <w:sz w:val="22"/>
                <w:szCs w:val="22"/>
              </w:rPr>
              <w:t>1,316.00</w:t>
            </w:r>
          </w:p>
        </w:tc>
        <w:tc>
          <w:tcPr>
            <w:tcW w:w="696" w:type="dxa"/>
            <w:noWrap/>
            <w:vAlign w:val="center"/>
          </w:tcPr>
          <w:p w14:paraId="3BA18301">
            <w:pPr>
              <w:jc w:val="center"/>
              <w:rPr>
                <w:sz w:val="22"/>
                <w:szCs w:val="22"/>
              </w:rPr>
            </w:pPr>
          </w:p>
        </w:tc>
        <w:tc>
          <w:tcPr>
            <w:tcW w:w="1761" w:type="dxa"/>
            <w:noWrap/>
            <w:vAlign w:val="center"/>
          </w:tcPr>
          <w:p w14:paraId="3E2B9481">
            <w:pPr>
              <w:jc w:val="center"/>
              <w:rPr>
                <w:sz w:val="22"/>
                <w:szCs w:val="22"/>
              </w:rPr>
            </w:pPr>
            <w:r>
              <w:rPr>
                <w:sz w:val="22"/>
                <w:szCs w:val="22"/>
              </w:rPr>
              <w:t>16,918,600,000</w:t>
            </w:r>
          </w:p>
        </w:tc>
        <w:tc>
          <w:tcPr>
            <w:tcW w:w="1732" w:type="dxa"/>
            <w:noWrap/>
            <w:vAlign w:val="center"/>
          </w:tcPr>
          <w:p w14:paraId="28ECFC38">
            <w:pPr>
              <w:jc w:val="center"/>
              <w:rPr>
                <w:sz w:val="22"/>
                <w:szCs w:val="22"/>
              </w:rPr>
            </w:pPr>
            <w:r>
              <w:rPr>
                <w:sz w:val="22"/>
                <w:szCs w:val="22"/>
              </w:rPr>
              <w:t>20,361,197,000</w:t>
            </w:r>
          </w:p>
        </w:tc>
        <w:tc>
          <w:tcPr>
            <w:tcW w:w="1244" w:type="dxa"/>
            <w:gridSpan w:val="2"/>
            <w:vAlign w:val="center"/>
          </w:tcPr>
          <w:p w14:paraId="2694C4A4">
            <w:pPr>
              <w:jc w:val="center"/>
              <w:rPr>
                <w:sz w:val="22"/>
                <w:szCs w:val="22"/>
              </w:rPr>
            </w:pPr>
            <w:r>
              <w:rPr>
                <w:sz w:val="22"/>
                <w:szCs w:val="22"/>
              </w:rPr>
              <w:t>120%</w:t>
            </w:r>
          </w:p>
        </w:tc>
      </w:tr>
      <w:tr w14:paraId="54B9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5" w:type="dxa"/>
            <w:gridSpan w:val="2"/>
            <w:noWrap/>
            <w:vAlign w:val="center"/>
          </w:tcPr>
          <w:p w14:paraId="5DA262DE">
            <w:pPr>
              <w:jc w:val="center"/>
              <w:rPr>
                <w:b/>
                <w:bCs/>
                <w:sz w:val="20"/>
                <w:szCs w:val="20"/>
              </w:rPr>
            </w:pPr>
            <w:r>
              <w:rPr>
                <w:b/>
                <w:bCs/>
                <w:sz w:val="20"/>
                <w:szCs w:val="20"/>
              </w:rPr>
              <w:t>Quý IV</w:t>
            </w:r>
          </w:p>
        </w:tc>
        <w:tc>
          <w:tcPr>
            <w:tcW w:w="1211" w:type="dxa"/>
            <w:noWrap/>
            <w:vAlign w:val="center"/>
          </w:tcPr>
          <w:p w14:paraId="39B7B784">
            <w:pPr>
              <w:jc w:val="center"/>
              <w:rPr>
                <w:b/>
                <w:bCs/>
                <w:sz w:val="20"/>
                <w:szCs w:val="20"/>
              </w:rPr>
            </w:pPr>
          </w:p>
        </w:tc>
        <w:tc>
          <w:tcPr>
            <w:tcW w:w="918" w:type="dxa"/>
            <w:noWrap/>
            <w:vAlign w:val="center"/>
          </w:tcPr>
          <w:p w14:paraId="580806C3">
            <w:pPr>
              <w:jc w:val="center"/>
              <w:rPr>
                <w:b/>
                <w:bCs/>
                <w:sz w:val="20"/>
                <w:szCs w:val="20"/>
              </w:rPr>
            </w:pPr>
            <w:r>
              <w:rPr>
                <w:b/>
                <w:bCs/>
                <w:sz w:val="20"/>
                <w:szCs w:val="20"/>
              </w:rPr>
              <w:t>195</w:t>
            </w:r>
          </w:p>
        </w:tc>
        <w:tc>
          <w:tcPr>
            <w:tcW w:w="1244" w:type="dxa"/>
            <w:noWrap/>
            <w:vAlign w:val="center"/>
          </w:tcPr>
          <w:p w14:paraId="46F84F71">
            <w:pPr>
              <w:jc w:val="center"/>
              <w:rPr>
                <w:b/>
                <w:bCs/>
                <w:sz w:val="20"/>
                <w:szCs w:val="20"/>
              </w:rPr>
            </w:pPr>
            <w:r>
              <w:rPr>
                <w:b/>
                <w:bCs/>
                <w:sz w:val="20"/>
                <w:szCs w:val="20"/>
              </w:rPr>
              <w:t>24798.43</w:t>
            </w:r>
          </w:p>
        </w:tc>
        <w:tc>
          <w:tcPr>
            <w:tcW w:w="1817" w:type="dxa"/>
            <w:noWrap/>
            <w:vAlign w:val="center"/>
          </w:tcPr>
          <w:p w14:paraId="3F0C6B68">
            <w:pPr>
              <w:jc w:val="center"/>
              <w:rPr>
                <w:b/>
                <w:bCs/>
                <w:sz w:val="20"/>
                <w:szCs w:val="20"/>
              </w:rPr>
            </w:pPr>
            <w:r>
              <w:rPr>
                <w:b/>
                <w:bCs/>
                <w:sz w:val="20"/>
                <w:szCs w:val="20"/>
              </w:rPr>
              <w:t>255,184,056,000</w:t>
            </w:r>
          </w:p>
        </w:tc>
        <w:tc>
          <w:tcPr>
            <w:tcW w:w="808" w:type="dxa"/>
            <w:gridSpan w:val="2"/>
            <w:noWrap/>
            <w:vAlign w:val="center"/>
          </w:tcPr>
          <w:p w14:paraId="5A8147F3">
            <w:pPr>
              <w:jc w:val="center"/>
              <w:rPr>
                <w:b/>
                <w:bCs/>
                <w:sz w:val="20"/>
                <w:szCs w:val="20"/>
              </w:rPr>
            </w:pPr>
            <w:r>
              <w:rPr>
                <w:b/>
                <w:bCs/>
                <w:sz w:val="20"/>
                <w:szCs w:val="20"/>
              </w:rPr>
              <w:t>35</w:t>
            </w:r>
          </w:p>
        </w:tc>
        <w:tc>
          <w:tcPr>
            <w:tcW w:w="1329" w:type="dxa"/>
            <w:noWrap/>
            <w:vAlign w:val="center"/>
          </w:tcPr>
          <w:p w14:paraId="2CB226F2">
            <w:pPr>
              <w:jc w:val="center"/>
              <w:rPr>
                <w:b/>
                <w:bCs/>
                <w:sz w:val="20"/>
                <w:szCs w:val="20"/>
              </w:rPr>
            </w:pPr>
            <w:r>
              <w:rPr>
                <w:b/>
                <w:bCs/>
                <w:sz w:val="20"/>
                <w:szCs w:val="20"/>
              </w:rPr>
              <w:t>3994.68</w:t>
            </w:r>
          </w:p>
        </w:tc>
        <w:tc>
          <w:tcPr>
            <w:tcW w:w="696" w:type="dxa"/>
            <w:noWrap/>
            <w:vAlign w:val="center"/>
          </w:tcPr>
          <w:p w14:paraId="498CDA72">
            <w:pPr>
              <w:jc w:val="center"/>
              <w:rPr>
                <w:b/>
                <w:bCs/>
                <w:sz w:val="20"/>
                <w:szCs w:val="20"/>
              </w:rPr>
            </w:pPr>
            <w:r>
              <w:rPr>
                <w:b/>
                <w:bCs/>
                <w:sz w:val="20"/>
                <w:szCs w:val="20"/>
              </w:rPr>
              <w:t>0</w:t>
            </w:r>
          </w:p>
        </w:tc>
        <w:tc>
          <w:tcPr>
            <w:tcW w:w="1761" w:type="dxa"/>
            <w:noWrap/>
            <w:vAlign w:val="center"/>
          </w:tcPr>
          <w:p w14:paraId="3BA51AA9">
            <w:pPr>
              <w:jc w:val="center"/>
              <w:rPr>
                <w:b/>
                <w:bCs/>
                <w:sz w:val="20"/>
                <w:szCs w:val="20"/>
              </w:rPr>
            </w:pPr>
            <w:r>
              <w:rPr>
                <w:b/>
                <w:bCs/>
                <w:sz w:val="20"/>
                <w:szCs w:val="20"/>
              </w:rPr>
              <w:t>41,134,640,000</w:t>
            </w:r>
          </w:p>
        </w:tc>
        <w:tc>
          <w:tcPr>
            <w:tcW w:w="1732" w:type="dxa"/>
            <w:noWrap/>
            <w:vAlign w:val="center"/>
          </w:tcPr>
          <w:p w14:paraId="47FC97AA">
            <w:pPr>
              <w:jc w:val="center"/>
              <w:rPr>
                <w:b/>
                <w:bCs/>
                <w:sz w:val="20"/>
                <w:szCs w:val="20"/>
              </w:rPr>
            </w:pPr>
            <w:r>
              <w:rPr>
                <w:b/>
                <w:bCs/>
                <w:sz w:val="20"/>
                <w:szCs w:val="20"/>
              </w:rPr>
              <w:t>42,704,255,000</w:t>
            </w:r>
          </w:p>
        </w:tc>
        <w:tc>
          <w:tcPr>
            <w:tcW w:w="1244" w:type="dxa"/>
            <w:gridSpan w:val="2"/>
            <w:vAlign w:val="center"/>
          </w:tcPr>
          <w:p w14:paraId="40533F88">
            <w:pPr>
              <w:jc w:val="center"/>
              <w:rPr>
                <w:b/>
                <w:bCs/>
                <w:sz w:val="20"/>
                <w:szCs w:val="20"/>
              </w:rPr>
            </w:pPr>
          </w:p>
        </w:tc>
      </w:tr>
      <w:tr w14:paraId="0D20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5BDB934B">
            <w:pPr>
              <w:jc w:val="center"/>
              <w:rPr>
                <w:sz w:val="20"/>
                <w:szCs w:val="20"/>
              </w:rPr>
            </w:pPr>
            <w:r>
              <w:rPr>
                <w:sz w:val="20"/>
                <w:szCs w:val="20"/>
              </w:rPr>
              <w:t>1</w:t>
            </w:r>
          </w:p>
        </w:tc>
        <w:tc>
          <w:tcPr>
            <w:tcW w:w="2243" w:type="dxa"/>
            <w:vAlign w:val="center"/>
          </w:tcPr>
          <w:p w14:paraId="11AE7A6B">
            <w:pPr>
              <w:jc w:val="center"/>
              <w:rPr>
                <w:sz w:val="20"/>
                <w:szCs w:val="20"/>
              </w:rPr>
            </w:pPr>
            <w:r>
              <w:rPr>
                <w:sz w:val="20"/>
                <w:szCs w:val="20"/>
              </w:rPr>
              <w:t>Đào Mỹ</w:t>
            </w:r>
          </w:p>
        </w:tc>
        <w:tc>
          <w:tcPr>
            <w:tcW w:w="1211" w:type="dxa"/>
            <w:noWrap/>
            <w:vAlign w:val="center"/>
          </w:tcPr>
          <w:p w14:paraId="6D9B0A00">
            <w:pPr>
              <w:jc w:val="center"/>
              <w:rPr>
                <w:sz w:val="20"/>
                <w:szCs w:val="20"/>
              </w:rPr>
            </w:pPr>
            <w:r>
              <w:rPr>
                <w:sz w:val="20"/>
                <w:szCs w:val="20"/>
              </w:rPr>
              <w:t>9/10/2023</w:t>
            </w:r>
          </w:p>
        </w:tc>
        <w:tc>
          <w:tcPr>
            <w:tcW w:w="918" w:type="dxa"/>
            <w:noWrap/>
            <w:vAlign w:val="center"/>
          </w:tcPr>
          <w:p w14:paraId="6FDB8581">
            <w:pPr>
              <w:jc w:val="center"/>
              <w:rPr>
                <w:sz w:val="20"/>
                <w:szCs w:val="20"/>
              </w:rPr>
            </w:pPr>
            <w:r>
              <w:rPr>
                <w:sz w:val="20"/>
                <w:szCs w:val="20"/>
              </w:rPr>
              <w:t>57</w:t>
            </w:r>
          </w:p>
        </w:tc>
        <w:tc>
          <w:tcPr>
            <w:tcW w:w="1244" w:type="dxa"/>
            <w:noWrap/>
            <w:vAlign w:val="center"/>
          </w:tcPr>
          <w:p w14:paraId="539D8818">
            <w:pPr>
              <w:jc w:val="center"/>
              <w:rPr>
                <w:sz w:val="20"/>
                <w:szCs w:val="20"/>
              </w:rPr>
            </w:pPr>
            <w:r>
              <w:rPr>
                <w:sz w:val="20"/>
                <w:szCs w:val="20"/>
              </w:rPr>
              <w:t>5,188.23</w:t>
            </w:r>
          </w:p>
        </w:tc>
        <w:tc>
          <w:tcPr>
            <w:tcW w:w="1817" w:type="dxa"/>
            <w:noWrap/>
            <w:vAlign w:val="center"/>
          </w:tcPr>
          <w:p w14:paraId="5D7ADFA7">
            <w:pPr>
              <w:jc w:val="center"/>
              <w:rPr>
                <w:sz w:val="20"/>
                <w:szCs w:val="20"/>
              </w:rPr>
            </w:pPr>
            <w:r>
              <w:rPr>
                <w:sz w:val="20"/>
                <w:szCs w:val="20"/>
              </w:rPr>
              <w:t>42,851,920,000</w:t>
            </w:r>
          </w:p>
        </w:tc>
        <w:tc>
          <w:tcPr>
            <w:tcW w:w="808" w:type="dxa"/>
            <w:gridSpan w:val="2"/>
            <w:noWrap/>
            <w:vAlign w:val="center"/>
          </w:tcPr>
          <w:p w14:paraId="4DE2E8D4">
            <w:pPr>
              <w:jc w:val="center"/>
              <w:rPr>
                <w:sz w:val="20"/>
                <w:szCs w:val="20"/>
              </w:rPr>
            </w:pPr>
            <w:r>
              <w:rPr>
                <w:sz w:val="20"/>
                <w:szCs w:val="20"/>
              </w:rPr>
              <w:t>14</w:t>
            </w:r>
          </w:p>
        </w:tc>
        <w:tc>
          <w:tcPr>
            <w:tcW w:w="1329" w:type="dxa"/>
            <w:noWrap/>
            <w:vAlign w:val="center"/>
          </w:tcPr>
          <w:p w14:paraId="150ADAB8">
            <w:pPr>
              <w:jc w:val="center"/>
              <w:rPr>
                <w:sz w:val="20"/>
                <w:szCs w:val="20"/>
              </w:rPr>
            </w:pPr>
            <w:r>
              <w:rPr>
                <w:sz w:val="20"/>
                <w:szCs w:val="20"/>
              </w:rPr>
              <w:t>1,247.18</w:t>
            </w:r>
          </w:p>
        </w:tc>
        <w:tc>
          <w:tcPr>
            <w:tcW w:w="696" w:type="dxa"/>
            <w:noWrap/>
            <w:vAlign w:val="center"/>
          </w:tcPr>
          <w:p w14:paraId="5C75862E">
            <w:pPr>
              <w:jc w:val="center"/>
              <w:rPr>
                <w:sz w:val="20"/>
                <w:szCs w:val="20"/>
              </w:rPr>
            </w:pPr>
          </w:p>
        </w:tc>
        <w:tc>
          <w:tcPr>
            <w:tcW w:w="1761" w:type="dxa"/>
            <w:noWrap/>
            <w:vAlign w:val="center"/>
          </w:tcPr>
          <w:p w14:paraId="23A97B8A">
            <w:pPr>
              <w:jc w:val="center"/>
              <w:rPr>
                <w:sz w:val="20"/>
                <w:szCs w:val="20"/>
              </w:rPr>
            </w:pPr>
            <w:r>
              <w:rPr>
                <w:sz w:val="20"/>
                <w:szCs w:val="20"/>
              </w:rPr>
              <w:t>10,185,840,000</w:t>
            </w:r>
          </w:p>
        </w:tc>
        <w:tc>
          <w:tcPr>
            <w:tcW w:w="1732" w:type="dxa"/>
            <w:noWrap/>
            <w:vAlign w:val="center"/>
          </w:tcPr>
          <w:p w14:paraId="37F51508">
            <w:pPr>
              <w:jc w:val="center"/>
              <w:rPr>
                <w:sz w:val="20"/>
                <w:szCs w:val="20"/>
              </w:rPr>
            </w:pPr>
            <w:r>
              <w:rPr>
                <w:sz w:val="20"/>
                <w:szCs w:val="20"/>
              </w:rPr>
              <w:t>10,300,150,000</w:t>
            </w:r>
          </w:p>
        </w:tc>
        <w:tc>
          <w:tcPr>
            <w:tcW w:w="1244" w:type="dxa"/>
            <w:gridSpan w:val="2"/>
            <w:vAlign w:val="center"/>
          </w:tcPr>
          <w:p w14:paraId="50349AB6">
            <w:pPr>
              <w:jc w:val="center"/>
              <w:rPr>
                <w:sz w:val="20"/>
                <w:szCs w:val="20"/>
              </w:rPr>
            </w:pPr>
            <w:r>
              <w:rPr>
                <w:sz w:val="20"/>
                <w:szCs w:val="20"/>
              </w:rPr>
              <w:t>101%</w:t>
            </w:r>
          </w:p>
        </w:tc>
      </w:tr>
      <w:tr w14:paraId="0F65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261AEA9D">
            <w:pPr>
              <w:jc w:val="center"/>
              <w:rPr>
                <w:sz w:val="20"/>
                <w:szCs w:val="20"/>
              </w:rPr>
            </w:pPr>
            <w:r>
              <w:rPr>
                <w:sz w:val="20"/>
                <w:szCs w:val="20"/>
              </w:rPr>
              <w:t>2</w:t>
            </w:r>
          </w:p>
        </w:tc>
        <w:tc>
          <w:tcPr>
            <w:tcW w:w="2243" w:type="dxa"/>
            <w:vAlign w:val="center"/>
          </w:tcPr>
          <w:p w14:paraId="71A744D3">
            <w:pPr>
              <w:jc w:val="center"/>
              <w:rPr>
                <w:sz w:val="20"/>
                <w:szCs w:val="20"/>
              </w:rPr>
            </w:pPr>
            <w:r>
              <w:rPr>
                <w:sz w:val="20"/>
                <w:szCs w:val="20"/>
              </w:rPr>
              <w:t>Tân Hưng và Mỹ Thái</w:t>
            </w:r>
          </w:p>
        </w:tc>
        <w:tc>
          <w:tcPr>
            <w:tcW w:w="1211" w:type="dxa"/>
            <w:noWrap/>
            <w:vAlign w:val="center"/>
          </w:tcPr>
          <w:p w14:paraId="390850E8">
            <w:pPr>
              <w:jc w:val="center"/>
              <w:rPr>
                <w:sz w:val="20"/>
                <w:szCs w:val="20"/>
              </w:rPr>
            </w:pPr>
            <w:r>
              <w:rPr>
                <w:sz w:val="20"/>
                <w:szCs w:val="20"/>
              </w:rPr>
              <w:t>22/10/2023</w:t>
            </w:r>
          </w:p>
        </w:tc>
        <w:tc>
          <w:tcPr>
            <w:tcW w:w="918" w:type="dxa"/>
            <w:noWrap/>
            <w:vAlign w:val="center"/>
          </w:tcPr>
          <w:p w14:paraId="0F14B0AC">
            <w:pPr>
              <w:jc w:val="center"/>
              <w:rPr>
                <w:sz w:val="20"/>
                <w:szCs w:val="20"/>
              </w:rPr>
            </w:pPr>
            <w:r>
              <w:rPr>
                <w:sz w:val="20"/>
                <w:szCs w:val="20"/>
              </w:rPr>
              <w:t>76</w:t>
            </w:r>
          </w:p>
        </w:tc>
        <w:tc>
          <w:tcPr>
            <w:tcW w:w="1244" w:type="dxa"/>
            <w:noWrap/>
            <w:vAlign w:val="center"/>
          </w:tcPr>
          <w:p w14:paraId="27CA688A">
            <w:pPr>
              <w:jc w:val="center"/>
              <w:rPr>
                <w:sz w:val="20"/>
                <w:szCs w:val="20"/>
              </w:rPr>
            </w:pPr>
            <w:r>
              <w:rPr>
                <w:sz w:val="20"/>
                <w:szCs w:val="20"/>
              </w:rPr>
              <w:t>10,832.20</w:t>
            </w:r>
          </w:p>
        </w:tc>
        <w:tc>
          <w:tcPr>
            <w:tcW w:w="1817" w:type="dxa"/>
            <w:noWrap/>
            <w:vAlign w:val="center"/>
          </w:tcPr>
          <w:p w14:paraId="1B193680">
            <w:pPr>
              <w:jc w:val="center"/>
              <w:rPr>
                <w:sz w:val="20"/>
                <w:szCs w:val="20"/>
              </w:rPr>
            </w:pPr>
            <w:r>
              <w:rPr>
                <w:sz w:val="20"/>
                <w:szCs w:val="20"/>
              </w:rPr>
              <w:t>130,120,856,000</w:t>
            </w:r>
          </w:p>
        </w:tc>
        <w:tc>
          <w:tcPr>
            <w:tcW w:w="808" w:type="dxa"/>
            <w:gridSpan w:val="2"/>
            <w:noWrap/>
            <w:vAlign w:val="center"/>
          </w:tcPr>
          <w:p w14:paraId="314C811A">
            <w:pPr>
              <w:jc w:val="center"/>
              <w:rPr>
                <w:sz w:val="20"/>
                <w:szCs w:val="20"/>
              </w:rPr>
            </w:pPr>
            <w:r>
              <w:rPr>
                <w:sz w:val="20"/>
                <w:szCs w:val="20"/>
              </w:rPr>
              <w:t>18</w:t>
            </w:r>
          </w:p>
        </w:tc>
        <w:tc>
          <w:tcPr>
            <w:tcW w:w="1329" w:type="dxa"/>
            <w:noWrap/>
            <w:vAlign w:val="center"/>
          </w:tcPr>
          <w:p w14:paraId="5F01898D">
            <w:pPr>
              <w:jc w:val="center"/>
              <w:rPr>
                <w:sz w:val="20"/>
                <w:szCs w:val="20"/>
              </w:rPr>
            </w:pPr>
            <w:r>
              <w:rPr>
                <w:sz w:val="20"/>
                <w:szCs w:val="20"/>
              </w:rPr>
              <w:t>2,355.50</w:t>
            </w:r>
          </w:p>
        </w:tc>
        <w:tc>
          <w:tcPr>
            <w:tcW w:w="696" w:type="dxa"/>
            <w:noWrap/>
            <w:vAlign w:val="center"/>
          </w:tcPr>
          <w:p w14:paraId="5906CE86">
            <w:pPr>
              <w:jc w:val="center"/>
              <w:rPr>
                <w:sz w:val="20"/>
                <w:szCs w:val="20"/>
              </w:rPr>
            </w:pPr>
          </w:p>
        </w:tc>
        <w:tc>
          <w:tcPr>
            <w:tcW w:w="1761" w:type="dxa"/>
            <w:noWrap/>
            <w:vAlign w:val="center"/>
          </w:tcPr>
          <w:p w14:paraId="752DBE86">
            <w:pPr>
              <w:jc w:val="center"/>
              <w:rPr>
                <w:sz w:val="20"/>
                <w:szCs w:val="20"/>
              </w:rPr>
            </w:pPr>
            <w:r>
              <w:rPr>
                <w:sz w:val="20"/>
                <w:szCs w:val="20"/>
              </w:rPr>
              <w:t>27,268,800,000</w:t>
            </w:r>
          </w:p>
        </w:tc>
        <w:tc>
          <w:tcPr>
            <w:tcW w:w="1732" w:type="dxa"/>
            <w:noWrap/>
            <w:vAlign w:val="center"/>
          </w:tcPr>
          <w:p w14:paraId="76F2FE55">
            <w:pPr>
              <w:jc w:val="center"/>
              <w:rPr>
                <w:sz w:val="20"/>
                <w:szCs w:val="20"/>
              </w:rPr>
            </w:pPr>
            <w:r>
              <w:rPr>
                <w:sz w:val="20"/>
                <w:szCs w:val="20"/>
              </w:rPr>
              <w:t>28,688,105,000</w:t>
            </w:r>
          </w:p>
        </w:tc>
        <w:tc>
          <w:tcPr>
            <w:tcW w:w="1244" w:type="dxa"/>
            <w:gridSpan w:val="2"/>
            <w:vAlign w:val="center"/>
          </w:tcPr>
          <w:p w14:paraId="6313F332">
            <w:pPr>
              <w:jc w:val="center"/>
              <w:rPr>
                <w:sz w:val="20"/>
                <w:szCs w:val="20"/>
              </w:rPr>
            </w:pPr>
            <w:r>
              <w:rPr>
                <w:sz w:val="20"/>
                <w:szCs w:val="20"/>
              </w:rPr>
              <w:t>105%</w:t>
            </w:r>
          </w:p>
        </w:tc>
      </w:tr>
      <w:tr w14:paraId="42D1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dxa"/>
            <w:noWrap/>
            <w:vAlign w:val="center"/>
          </w:tcPr>
          <w:p w14:paraId="4A2FA869">
            <w:pPr>
              <w:jc w:val="center"/>
              <w:rPr>
                <w:sz w:val="20"/>
                <w:szCs w:val="20"/>
              </w:rPr>
            </w:pPr>
            <w:r>
              <w:rPr>
                <w:sz w:val="20"/>
                <w:szCs w:val="20"/>
              </w:rPr>
              <w:t>3</w:t>
            </w:r>
          </w:p>
        </w:tc>
        <w:tc>
          <w:tcPr>
            <w:tcW w:w="2243" w:type="dxa"/>
            <w:vAlign w:val="center"/>
          </w:tcPr>
          <w:p w14:paraId="215CB1EB">
            <w:pPr>
              <w:jc w:val="center"/>
              <w:rPr>
                <w:sz w:val="20"/>
                <w:szCs w:val="20"/>
              </w:rPr>
            </w:pPr>
            <w:r>
              <w:rPr>
                <w:sz w:val="20"/>
                <w:szCs w:val="20"/>
              </w:rPr>
              <w:t>Hương Lạc</w:t>
            </w:r>
          </w:p>
        </w:tc>
        <w:tc>
          <w:tcPr>
            <w:tcW w:w="1211" w:type="dxa"/>
            <w:noWrap/>
            <w:vAlign w:val="center"/>
          </w:tcPr>
          <w:p w14:paraId="7C223BD1">
            <w:pPr>
              <w:jc w:val="center"/>
              <w:rPr>
                <w:sz w:val="20"/>
                <w:szCs w:val="20"/>
              </w:rPr>
            </w:pPr>
            <w:r>
              <w:rPr>
                <w:sz w:val="20"/>
                <w:szCs w:val="20"/>
              </w:rPr>
              <w:t>25/10/2023</w:t>
            </w:r>
          </w:p>
        </w:tc>
        <w:tc>
          <w:tcPr>
            <w:tcW w:w="918" w:type="dxa"/>
            <w:noWrap/>
            <w:vAlign w:val="center"/>
          </w:tcPr>
          <w:p w14:paraId="485DAAA6">
            <w:pPr>
              <w:jc w:val="center"/>
              <w:rPr>
                <w:sz w:val="20"/>
                <w:szCs w:val="20"/>
              </w:rPr>
            </w:pPr>
            <w:r>
              <w:rPr>
                <w:sz w:val="20"/>
                <w:szCs w:val="20"/>
              </w:rPr>
              <w:t>62</w:t>
            </w:r>
          </w:p>
        </w:tc>
        <w:tc>
          <w:tcPr>
            <w:tcW w:w="1244" w:type="dxa"/>
            <w:noWrap/>
            <w:vAlign w:val="center"/>
          </w:tcPr>
          <w:p w14:paraId="4C688788">
            <w:pPr>
              <w:jc w:val="center"/>
              <w:rPr>
                <w:sz w:val="20"/>
                <w:szCs w:val="20"/>
              </w:rPr>
            </w:pPr>
            <w:r>
              <w:rPr>
                <w:sz w:val="20"/>
                <w:szCs w:val="20"/>
              </w:rPr>
              <w:t>8,778.00</w:t>
            </w:r>
          </w:p>
        </w:tc>
        <w:tc>
          <w:tcPr>
            <w:tcW w:w="1817" w:type="dxa"/>
            <w:noWrap/>
            <w:vAlign w:val="center"/>
          </w:tcPr>
          <w:p w14:paraId="61245574">
            <w:pPr>
              <w:jc w:val="center"/>
              <w:rPr>
                <w:sz w:val="20"/>
                <w:szCs w:val="20"/>
              </w:rPr>
            </w:pPr>
            <w:r>
              <w:rPr>
                <w:sz w:val="20"/>
                <w:szCs w:val="20"/>
              </w:rPr>
              <w:t>82,211,280,000</w:t>
            </w:r>
          </w:p>
        </w:tc>
        <w:tc>
          <w:tcPr>
            <w:tcW w:w="808" w:type="dxa"/>
            <w:gridSpan w:val="2"/>
            <w:noWrap/>
            <w:vAlign w:val="center"/>
          </w:tcPr>
          <w:p w14:paraId="49EF364E">
            <w:pPr>
              <w:jc w:val="center"/>
              <w:rPr>
                <w:sz w:val="20"/>
                <w:szCs w:val="20"/>
              </w:rPr>
            </w:pPr>
            <w:r>
              <w:rPr>
                <w:sz w:val="20"/>
                <w:szCs w:val="20"/>
              </w:rPr>
              <w:t>3</w:t>
            </w:r>
          </w:p>
        </w:tc>
        <w:tc>
          <w:tcPr>
            <w:tcW w:w="1329" w:type="dxa"/>
            <w:noWrap/>
            <w:vAlign w:val="center"/>
          </w:tcPr>
          <w:p w14:paraId="79032F24">
            <w:pPr>
              <w:jc w:val="center"/>
              <w:rPr>
                <w:sz w:val="20"/>
                <w:szCs w:val="20"/>
              </w:rPr>
            </w:pPr>
            <w:r>
              <w:rPr>
                <w:sz w:val="20"/>
                <w:szCs w:val="20"/>
              </w:rPr>
              <w:t>392.00</w:t>
            </w:r>
          </w:p>
        </w:tc>
        <w:tc>
          <w:tcPr>
            <w:tcW w:w="696" w:type="dxa"/>
            <w:noWrap/>
            <w:vAlign w:val="center"/>
          </w:tcPr>
          <w:p w14:paraId="0A346BFF">
            <w:pPr>
              <w:jc w:val="center"/>
              <w:rPr>
                <w:sz w:val="20"/>
                <w:szCs w:val="20"/>
              </w:rPr>
            </w:pPr>
          </w:p>
        </w:tc>
        <w:tc>
          <w:tcPr>
            <w:tcW w:w="1761" w:type="dxa"/>
            <w:noWrap/>
            <w:vAlign w:val="center"/>
          </w:tcPr>
          <w:p w14:paraId="181FC91D">
            <w:pPr>
              <w:jc w:val="center"/>
              <w:rPr>
                <w:sz w:val="20"/>
                <w:szCs w:val="20"/>
              </w:rPr>
            </w:pPr>
            <w:r>
              <w:rPr>
                <w:sz w:val="20"/>
                <w:szCs w:val="20"/>
              </w:rPr>
              <w:t>3,680,000,000</w:t>
            </w:r>
          </w:p>
        </w:tc>
        <w:tc>
          <w:tcPr>
            <w:tcW w:w="1732" w:type="dxa"/>
            <w:noWrap/>
            <w:vAlign w:val="center"/>
          </w:tcPr>
          <w:p w14:paraId="16732F36">
            <w:pPr>
              <w:jc w:val="center"/>
              <w:rPr>
                <w:sz w:val="20"/>
                <w:szCs w:val="20"/>
              </w:rPr>
            </w:pPr>
            <w:r>
              <w:rPr>
                <w:sz w:val="20"/>
                <w:szCs w:val="20"/>
              </w:rPr>
              <w:t>3,716,000,000</w:t>
            </w:r>
          </w:p>
        </w:tc>
        <w:tc>
          <w:tcPr>
            <w:tcW w:w="1244" w:type="dxa"/>
            <w:gridSpan w:val="2"/>
            <w:vAlign w:val="center"/>
          </w:tcPr>
          <w:p w14:paraId="5BE6DDA4">
            <w:pPr>
              <w:jc w:val="center"/>
              <w:rPr>
                <w:sz w:val="20"/>
                <w:szCs w:val="20"/>
              </w:rPr>
            </w:pPr>
            <w:r>
              <w:rPr>
                <w:sz w:val="20"/>
                <w:szCs w:val="20"/>
              </w:rPr>
              <w:t>101%</w:t>
            </w:r>
          </w:p>
        </w:tc>
      </w:tr>
      <w:tr w14:paraId="164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86" w:type="dxa"/>
            <w:gridSpan w:val="3"/>
            <w:noWrap/>
            <w:vAlign w:val="center"/>
          </w:tcPr>
          <w:p w14:paraId="06522A61">
            <w:pPr>
              <w:jc w:val="center"/>
              <w:rPr>
                <w:b/>
                <w:bCs/>
                <w:sz w:val="20"/>
                <w:szCs w:val="20"/>
              </w:rPr>
            </w:pPr>
            <w:r>
              <w:rPr>
                <w:b/>
                <w:bCs/>
                <w:sz w:val="20"/>
                <w:szCs w:val="20"/>
              </w:rPr>
              <w:t>Tổng</w:t>
            </w:r>
          </w:p>
        </w:tc>
        <w:tc>
          <w:tcPr>
            <w:tcW w:w="918" w:type="dxa"/>
            <w:noWrap/>
            <w:vAlign w:val="center"/>
          </w:tcPr>
          <w:p w14:paraId="193070DB">
            <w:pPr>
              <w:jc w:val="center"/>
              <w:rPr>
                <w:b/>
                <w:bCs/>
                <w:sz w:val="20"/>
                <w:szCs w:val="20"/>
              </w:rPr>
            </w:pPr>
            <w:r>
              <w:rPr>
                <w:b/>
                <w:bCs/>
                <w:sz w:val="20"/>
                <w:szCs w:val="20"/>
              </w:rPr>
              <w:t>870</w:t>
            </w:r>
          </w:p>
        </w:tc>
        <w:tc>
          <w:tcPr>
            <w:tcW w:w="1244" w:type="dxa"/>
            <w:noWrap/>
            <w:vAlign w:val="center"/>
          </w:tcPr>
          <w:p w14:paraId="72663C13">
            <w:pPr>
              <w:jc w:val="center"/>
              <w:rPr>
                <w:b/>
                <w:bCs/>
                <w:sz w:val="20"/>
                <w:szCs w:val="20"/>
              </w:rPr>
            </w:pPr>
            <w:r>
              <w:rPr>
                <w:b/>
                <w:bCs/>
                <w:sz w:val="20"/>
                <w:szCs w:val="20"/>
              </w:rPr>
              <w:t>104,680.55</w:t>
            </w:r>
          </w:p>
        </w:tc>
        <w:tc>
          <w:tcPr>
            <w:tcW w:w="1817" w:type="dxa"/>
            <w:noWrap/>
            <w:vAlign w:val="center"/>
          </w:tcPr>
          <w:p w14:paraId="571B9FC9">
            <w:pPr>
              <w:jc w:val="center"/>
              <w:rPr>
                <w:b/>
                <w:bCs/>
                <w:sz w:val="20"/>
                <w:szCs w:val="20"/>
              </w:rPr>
            </w:pPr>
            <w:r>
              <w:rPr>
                <w:b/>
                <w:bCs/>
                <w:sz w:val="20"/>
                <w:szCs w:val="20"/>
              </w:rPr>
              <w:t>1,117,452,098,400</w:t>
            </w:r>
          </w:p>
        </w:tc>
        <w:tc>
          <w:tcPr>
            <w:tcW w:w="808" w:type="dxa"/>
            <w:gridSpan w:val="2"/>
            <w:noWrap/>
            <w:vAlign w:val="center"/>
          </w:tcPr>
          <w:p w14:paraId="59CDB7A9">
            <w:pPr>
              <w:jc w:val="center"/>
              <w:rPr>
                <w:b/>
                <w:bCs/>
                <w:sz w:val="20"/>
                <w:szCs w:val="20"/>
              </w:rPr>
            </w:pPr>
            <w:r>
              <w:rPr>
                <w:b/>
                <w:bCs/>
                <w:sz w:val="20"/>
                <w:szCs w:val="20"/>
              </w:rPr>
              <w:t>389</w:t>
            </w:r>
          </w:p>
        </w:tc>
        <w:tc>
          <w:tcPr>
            <w:tcW w:w="1329" w:type="dxa"/>
            <w:noWrap/>
            <w:vAlign w:val="center"/>
          </w:tcPr>
          <w:p w14:paraId="440BBFD6">
            <w:pPr>
              <w:jc w:val="center"/>
              <w:rPr>
                <w:b/>
                <w:bCs/>
                <w:sz w:val="20"/>
                <w:szCs w:val="20"/>
              </w:rPr>
            </w:pPr>
            <w:r>
              <w:rPr>
                <w:b/>
                <w:bCs/>
                <w:sz w:val="20"/>
                <w:szCs w:val="20"/>
              </w:rPr>
              <w:t>41,961.14</w:t>
            </w:r>
          </w:p>
        </w:tc>
        <w:tc>
          <w:tcPr>
            <w:tcW w:w="696" w:type="dxa"/>
            <w:noWrap/>
            <w:vAlign w:val="center"/>
          </w:tcPr>
          <w:p w14:paraId="11CB4EBC">
            <w:pPr>
              <w:jc w:val="center"/>
              <w:rPr>
                <w:b/>
                <w:bCs/>
                <w:sz w:val="20"/>
                <w:szCs w:val="20"/>
              </w:rPr>
            </w:pPr>
            <w:r>
              <w:rPr>
                <w:b/>
                <w:bCs/>
                <w:sz w:val="20"/>
                <w:szCs w:val="20"/>
              </w:rPr>
              <w:t>14</w:t>
            </w:r>
          </w:p>
        </w:tc>
        <w:tc>
          <w:tcPr>
            <w:tcW w:w="1761" w:type="dxa"/>
            <w:noWrap/>
            <w:vAlign w:val="center"/>
          </w:tcPr>
          <w:p w14:paraId="3F983B8B">
            <w:pPr>
              <w:jc w:val="center"/>
              <w:rPr>
                <w:b/>
                <w:bCs/>
                <w:sz w:val="20"/>
                <w:szCs w:val="20"/>
              </w:rPr>
            </w:pPr>
            <w:r>
              <w:rPr>
                <w:b/>
                <w:bCs/>
                <w:sz w:val="20"/>
                <w:szCs w:val="20"/>
              </w:rPr>
              <w:t>434,780,170,400</w:t>
            </w:r>
          </w:p>
        </w:tc>
        <w:tc>
          <w:tcPr>
            <w:tcW w:w="1732" w:type="dxa"/>
            <w:noWrap/>
            <w:vAlign w:val="center"/>
          </w:tcPr>
          <w:p w14:paraId="4E3114A5">
            <w:pPr>
              <w:jc w:val="center"/>
              <w:rPr>
                <w:b/>
                <w:bCs/>
                <w:sz w:val="20"/>
                <w:szCs w:val="20"/>
              </w:rPr>
            </w:pPr>
            <w:r>
              <w:rPr>
                <w:b/>
                <w:bCs/>
                <w:sz w:val="20"/>
                <w:szCs w:val="20"/>
              </w:rPr>
              <w:t>529,208,416,900</w:t>
            </w:r>
          </w:p>
        </w:tc>
        <w:tc>
          <w:tcPr>
            <w:tcW w:w="1244" w:type="dxa"/>
            <w:gridSpan w:val="2"/>
            <w:noWrap/>
            <w:vAlign w:val="center"/>
          </w:tcPr>
          <w:p w14:paraId="4BF1CCEA">
            <w:pPr>
              <w:jc w:val="center"/>
              <w:rPr>
                <w:b/>
                <w:bCs/>
                <w:sz w:val="20"/>
                <w:szCs w:val="20"/>
              </w:rPr>
            </w:pPr>
          </w:p>
        </w:tc>
      </w:tr>
    </w:tbl>
    <w:p w14:paraId="431C5966">
      <w:pPr>
        <w:widowControl w:val="0"/>
        <w:spacing w:before="120" w:after="120"/>
        <w:jc w:val="both"/>
        <w:rPr>
          <w:b/>
          <w:bCs/>
          <w:color w:val="000000"/>
          <w:sz w:val="20"/>
          <w:szCs w:val="20"/>
        </w:rPr>
        <w:sectPr>
          <w:pgSz w:w="16838" w:h="11905" w:orient="landscape"/>
          <w:pgMar w:top="1134" w:right="1134" w:bottom="1134" w:left="1134" w:header="720" w:footer="720" w:gutter="0"/>
          <w:cols w:space="0" w:num="1"/>
          <w:docGrid w:linePitch="367" w:charSpace="0"/>
        </w:sectPr>
      </w:pPr>
    </w:p>
    <w:p w14:paraId="19D32E12">
      <w:pPr>
        <w:spacing w:line="360" w:lineRule="exact"/>
        <w:ind w:firstLine="567"/>
        <w:jc w:val="both"/>
        <w:rPr>
          <w:rFonts w:eastAsia="Calibri"/>
          <w:sz w:val="26"/>
          <w:szCs w:val="26"/>
        </w:rPr>
      </w:pPr>
      <w:r>
        <w:rPr>
          <w:rFonts w:eastAsia="Calibri"/>
          <w:sz w:val="26"/>
          <w:szCs w:val="26"/>
        </w:rPr>
        <w:t>- Thông qua kết quả trúng đấu giá từ năm 2020 đến hết tháng 10 năm 2023 trên địa bàn huyện Lạng Giang, xét về tỷ lệ chênh lệch giữa giá trúng đấu giá và giá khởi điểm có sự suy giảm lớn. Cụ thể:</w:t>
      </w:r>
    </w:p>
    <w:p w14:paraId="559B22C2">
      <w:pPr>
        <w:spacing w:line="360" w:lineRule="exact"/>
        <w:ind w:firstLine="567"/>
        <w:jc w:val="both"/>
        <w:rPr>
          <w:rFonts w:eastAsia="Calibri"/>
          <w:sz w:val="26"/>
          <w:szCs w:val="26"/>
        </w:rPr>
      </w:pPr>
      <w:r>
        <w:rPr>
          <w:rFonts w:eastAsia="Calibri"/>
          <w:sz w:val="26"/>
          <w:szCs w:val="26"/>
        </w:rPr>
        <w:t>+ Năm 2020 tỷ lệ chênh lệch giữa giá trúng đấu giá và giá khởi điểm đạt 137%;</w:t>
      </w:r>
    </w:p>
    <w:p w14:paraId="3B914B7C">
      <w:pPr>
        <w:spacing w:line="360" w:lineRule="exact"/>
        <w:ind w:firstLine="567"/>
        <w:jc w:val="both"/>
        <w:rPr>
          <w:rFonts w:eastAsia="Calibri"/>
          <w:sz w:val="26"/>
          <w:szCs w:val="26"/>
        </w:rPr>
      </w:pPr>
      <w:r>
        <w:rPr>
          <w:rFonts w:eastAsia="Calibri"/>
          <w:sz w:val="26"/>
          <w:szCs w:val="26"/>
        </w:rPr>
        <w:t>+ Năm 2021 tỷ lệ chênh lệch giữa giá trúng đấu giá và giá khởi điểm đạt 169%;</w:t>
      </w:r>
    </w:p>
    <w:p w14:paraId="5009BA2C">
      <w:pPr>
        <w:spacing w:line="360" w:lineRule="exact"/>
        <w:ind w:firstLine="567"/>
        <w:jc w:val="both"/>
        <w:rPr>
          <w:rFonts w:eastAsia="Calibri"/>
          <w:sz w:val="26"/>
          <w:szCs w:val="26"/>
        </w:rPr>
      </w:pPr>
      <w:r>
        <w:rPr>
          <w:rFonts w:eastAsia="Calibri"/>
          <w:sz w:val="26"/>
          <w:szCs w:val="26"/>
        </w:rPr>
        <w:t>+ Năm 2022 tỷ lệ chênh lệch giữa giá trúng đấu giá và giá khởi điểm đạt 155%;</w:t>
      </w:r>
    </w:p>
    <w:p w14:paraId="203819EE">
      <w:pPr>
        <w:spacing w:line="360" w:lineRule="exact"/>
        <w:ind w:firstLine="567"/>
        <w:jc w:val="both"/>
        <w:rPr>
          <w:rFonts w:eastAsia="Calibri"/>
          <w:sz w:val="26"/>
          <w:szCs w:val="26"/>
        </w:rPr>
      </w:pPr>
      <w:r>
        <w:rPr>
          <w:rFonts w:eastAsia="Calibri"/>
          <w:sz w:val="26"/>
          <w:szCs w:val="26"/>
        </w:rPr>
        <w:t>+ Năm 2023 (tính đến hết tháng 10/2023) tỷ lệ chênh lệch giữa giá trúng đấu giá và giá khởi điểm đạt 113%;</w:t>
      </w:r>
    </w:p>
    <w:p w14:paraId="2347812D">
      <w:pPr>
        <w:spacing w:line="360" w:lineRule="exact"/>
        <w:ind w:firstLine="567"/>
        <w:jc w:val="both"/>
        <w:rPr>
          <w:rFonts w:eastAsia="Calibri"/>
          <w:b/>
          <w:bCs/>
          <w:sz w:val="26"/>
          <w:szCs w:val="26"/>
        </w:rPr>
      </w:pPr>
      <w:r>
        <w:rPr>
          <w:rFonts w:eastAsia="Calibri"/>
          <w:b/>
          <w:bCs/>
          <w:sz w:val="26"/>
          <w:szCs w:val="26"/>
        </w:rPr>
        <w:t>=&gt; Bình quân tỷ lệ chênh lệch giữa giá trúng đấu giá và giá khởi điểm tính đến hết tháng 10 năm 2023 giảm so với các năm cụ thể như sau:</w:t>
      </w:r>
    </w:p>
    <w:p w14:paraId="09335A4B">
      <w:pPr>
        <w:spacing w:line="360" w:lineRule="exact"/>
        <w:ind w:firstLine="567"/>
        <w:jc w:val="both"/>
        <w:rPr>
          <w:rFonts w:eastAsia="Calibri"/>
          <w:b/>
          <w:bCs/>
          <w:sz w:val="26"/>
          <w:szCs w:val="26"/>
        </w:rPr>
      </w:pPr>
      <w:r>
        <w:rPr>
          <w:rFonts w:eastAsia="Calibri"/>
          <w:b/>
          <w:bCs/>
          <w:sz w:val="26"/>
          <w:szCs w:val="26"/>
        </w:rPr>
        <w:t>+ So với năm 2020 giảm 21%;</w:t>
      </w:r>
    </w:p>
    <w:p w14:paraId="121B928A">
      <w:pPr>
        <w:spacing w:line="360" w:lineRule="exact"/>
        <w:ind w:firstLine="567"/>
        <w:jc w:val="both"/>
        <w:rPr>
          <w:rFonts w:eastAsia="Calibri"/>
          <w:b/>
          <w:bCs/>
          <w:sz w:val="26"/>
          <w:szCs w:val="26"/>
        </w:rPr>
      </w:pPr>
      <w:r>
        <w:rPr>
          <w:rFonts w:eastAsia="Calibri"/>
          <w:b/>
          <w:bCs/>
          <w:sz w:val="26"/>
          <w:szCs w:val="26"/>
        </w:rPr>
        <w:t>+ So với năm 2021 giảm 53%;</w:t>
      </w:r>
    </w:p>
    <w:p w14:paraId="46D180D0">
      <w:pPr>
        <w:spacing w:line="360" w:lineRule="exact"/>
        <w:ind w:firstLine="567"/>
        <w:jc w:val="both"/>
        <w:rPr>
          <w:rFonts w:eastAsia="Calibri"/>
          <w:b/>
          <w:bCs/>
          <w:sz w:val="26"/>
          <w:szCs w:val="26"/>
        </w:rPr>
      </w:pPr>
      <w:r>
        <w:rPr>
          <w:rFonts w:eastAsia="Calibri"/>
          <w:b/>
          <w:bCs/>
          <w:sz w:val="26"/>
          <w:szCs w:val="26"/>
        </w:rPr>
        <w:t>+ So với năm 2022 giảm 39%;</w:t>
      </w:r>
    </w:p>
    <w:p w14:paraId="6E478CBE">
      <w:pPr>
        <w:ind w:firstLine="567"/>
        <w:jc w:val="both"/>
        <w:rPr>
          <w:rFonts w:eastAsia="Calibri"/>
          <w:sz w:val="26"/>
          <w:szCs w:val="26"/>
        </w:rPr>
      </w:pPr>
      <w:r>
        <w:rPr>
          <w:rFonts w:eastAsia="Calibri"/>
          <w:sz w:val="26"/>
          <w:szCs w:val="26"/>
        </w:rPr>
        <w:t>=&gt; Thông qua kết quả các cuộc đấu giá trên địa bàn huyện Lạng Giang giai đoạn từ năm 2020 đến tháng 10 năm 2023 đã bộc lộ rất rõ sự trầm lắng của thị trường bất động sản tại địa phương. Số lô trúng đấu giá qua các phiên giảm đi rõ rệt, đặc biệt tỷ lệ chênh lệch giữa giá trúng đấu giá và giá khởi điểm từ đầu năm 2023 đến hết quý III/2023 giảm nhiều so với các năm trước.</w:t>
      </w:r>
    </w:p>
    <w:p w14:paraId="63AC1988">
      <w:pPr>
        <w:ind w:firstLine="567"/>
        <w:jc w:val="both"/>
        <w:rPr>
          <w:rFonts w:eastAsia="Calibri"/>
          <w:sz w:val="26"/>
          <w:szCs w:val="26"/>
        </w:rPr>
      </w:pPr>
    </w:p>
    <w:tbl>
      <w:tblPr>
        <w:tblStyle w:val="9"/>
        <w:tblW w:w="992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752"/>
        <w:gridCol w:w="944"/>
        <w:gridCol w:w="1116"/>
        <w:gridCol w:w="1010"/>
        <w:gridCol w:w="1591"/>
        <w:gridCol w:w="1700"/>
        <w:gridCol w:w="1140"/>
        <w:gridCol w:w="16"/>
      </w:tblGrid>
      <w:tr w14:paraId="791B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6" w:type="dxa"/>
            <w:gridSpan w:val="9"/>
            <w:noWrap/>
            <w:vAlign w:val="center"/>
          </w:tcPr>
          <w:p w14:paraId="13D1F7C7">
            <w:pPr>
              <w:jc w:val="center"/>
              <w:rPr>
                <w:b/>
                <w:bCs/>
                <w:sz w:val="22"/>
                <w:szCs w:val="22"/>
              </w:rPr>
            </w:pPr>
            <w:r>
              <w:rPr>
                <w:b/>
                <w:bCs/>
                <w:sz w:val="22"/>
                <w:szCs w:val="22"/>
              </w:rPr>
              <w:t>BIỂU TỔNG HỢP KẾT QUẢ TRÚNG ĐẤU GIÁ THÀNH CÔNG TRÊN ĐỊA BÀN HUYỆN LẠNG GIANG năm 2024</w:t>
            </w:r>
          </w:p>
        </w:tc>
      </w:tr>
      <w:tr w14:paraId="135E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76" w:hRule="atLeast"/>
        </w:trPr>
        <w:tc>
          <w:tcPr>
            <w:tcW w:w="657" w:type="dxa"/>
            <w:vMerge w:val="restart"/>
            <w:vAlign w:val="center"/>
          </w:tcPr>
          <w:p w14:paraId="28061AEB">
            <w:pPr>
              <w:jc w:val="center"/>
              <w:rPr>
                <w:b/>
                <w:bCs/>
                <w:sz w:val="22"/>
                <w:szCs w:val="22"/>
              </w:rPr>
            </w:pPr>
            <w:r>
              <w:rPr>
                <w:b/>
                <w:bCs/>
                <w:sz w:val="22"/>
                <w:szCs w:val="22"/>
              </w:rPr>
              <w:t>STT</w:t>
            </w:r>
          </w:p>
        </w:tc>
        <w:tc>
          <w:tcPr>
            <w:tcW w:w="1752" w:type="dxa"/>
            <w:vMerge w:val="restart"/>
            <w:vAlign w:val="center"/>
          </w:tcPr>
          <w:p w14:paraId="0D436EAF">
            <w:pPr>
              <w:jc w:val="center"/>
              <w:rPr>
                <w:b/>
                <w:bCs/>
                <w:sz w:val="22"/>
                <w:szCs w:val="22"/>
              </w:rPr>
            </w:pPr>
            <w:r>
              <w:rPr>
                <w:b/>
                <w:bCs/>
                <w:sz w:val="22"/>
                <w:szCs w:val="22"/>
              </w:rPr>
              <w:t>Địa chỉ lô đất đấu giá</w:t>
            </w:r>
          </w:p>
        </w:tc>
        <w:tc>
          <w:tcPr>
            <w:tcW w:w="944" w:type="dxa"/>
            <w:vMerge w:val="restart"/>
            <w:vAlign w:val="center"/>
          </w:tcPr>
          <w:p w14:paraId="6EF9E3B9">
            <w:pPr>
              <w:jc w:val="center"/>
              <w:rPr>
                <w:b/>
                <w:bCs/>
                <w:sz w:val="22"/>
                <w:szCs w:val="22"/>
              </w:rPr>
            </w:pPr>
            <w:r>
              <w:rPr>
                <w:b/>
                <w:bCs/>
                <w:sz w:val="22"/>
                <w:szCs w:val="22"/>
              </w:rPr>
              <w:t>Phân lô</w:t>
            </w:r>
          </w:p>
        </w:tc>
        <w:tc>
          <w:tcPr>
            <w:tcW w:w="1116" w:type="dxa"/>
            <w:vMerge w:val="restart"/>
            <w:vAlign w:val="center"/>
          </w:tcPr>
          <w:p w14:paraId="03A21A3C">
            <w:pPr>
              <w:jc w:val="center"/>
              <w:rPr>
                <w:b/>
                <w:bCs/>
                <w:sz w:val="22"/>
                <w:szCs w:val="22"/>
              </w:rPr>
            </w:pPr>
            <w:r>
              <w:rPr>
                <w:b/>
                <w:bCs/>
                <w:sz w:val="22"/>
                <w:szCs w:val="22"/>
              </w:rPr>
              <w:t>Lô đất số</w:t>
            </w:r>
          </w:p>
        </w:tc>
        <w:tc>
          <w:tcPr>
            <w:tcW w:w="1010" w:type="dxa"/>
            <w:vMerge w:val="restart"/>
            <w:vAlign w:val="center"/>
          </w:tcPr>
          <w:p w14:paraId="7CD5242B">
            <w:pPr>
              <w:jc w:val="center"/>
              <w:rPr>
                <w:b/>
                <w:bCs/>
                <w:sz w:val="22"/>
                <w:szCs w:val="22"/>
              </w:rPr>
            </w:pPr>
            <w:r>
              <w:rPr>
                <w:b/>
                <w:bCs/>
                <w:sz w:val="22"/>
                <w:szCs w:val="22"/>
              </w:rPr>
              <w:t>Diện tích (m2)</w:t>
            </w:r>
          </w:p>
        </w:tc>
        <w:tc>
          <w:tcPr>
            <w:tcW w:w="1591" w:type="dxa"/>
            <w:vMerge w:val="restart"/>
            <w:vAlign w:val="center"/>
          </w:tcPr>
          <w:p w14:paraId="17D9848D">
            <w:pPr>
              <w:jc w:val="center"/>
              <w:rPr>
                <w:b/>
                <w:bCs/>
                <w:sz w:val="22"/>
                <w:szCs w:val="22"/>
              </w:rPr>
            </w:pPr>
            <w:r>
              <w:rPr>
                <w:b/>
                <w:bCs/>
                <w:sz w:val="22"/>
                <w:szCs w:val="22"/>
              </w:rPr>
              <w:t>Giá khởi điểm (đồng)</w:t>
            </w:r>
          </w:p>
        </w:tc>
        <w:tc>
          <w:tcPr>
            <w:tcW w:w="1700" w:type="dxa"/>
            <w:vMerge w:val="restart"/>
            <w:vAlign w:val="center"/>
          </w:tcPr>
          <w:p w14:paraId="0EBEE3AD">
            <w:pPr>
              <w:jc w:val="center"/>
              <w:rPr>
                <w:b/>
                <w:bCs/>
                <w:sz w:val="22"/>
                <w:szCs w:val="22"/>
              </w:rPr>
            </w:pPr>
            <w:r>
              <w:rPr>
                <w:b/>
                <w:bCs/>
                <w:sz w:val="22"/>
                <w:szCs w:val="22"/>
              </w:rPr>
              <w:t>Số tiền (đồng)</w:t>
            </w:r>
          </w:p>
        </w:tc>
        <w:tc>
          <w:tcPr>
            <w:tcW w:w="1140" w:type="dxa"/>
            <w:vMerge w:val="restart"/>
            <w:vAlign w:val="center"/>
          </w:tcPr>
          <w:p w14:paraId="4C311E24">
            <w:pPr>
              <w:jc w:val="center"/>
              <w:rPr>
                <w:b/>
                <w:bCs/>
                <w:sz w:val="22"/>
                <w:szCs w:val="22"/>
              </w:rPr>
            </w:pPr>
            <w:r>
              <w:rPr>
                <w:b/>
                <w:bCs/>
                <w:sz w:val="22"/>
                <w:szCs w:val="22"/>
              </w:rPr>
              <w:t>Chênh lệch giữa giá trúng đấu thầu/ giá khởi điểm</w:t>
            </w:r>
          </w:p>
        </w:tc>
      </w:tr>
      <w:tr w14:paraId="67B1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76" w:hRule="atLeast"/>
        </w:trPr>
        <w:tc>
          <w:tcPr>
            <w:tcW w:w="657" w:type="dxa"/>
            <w:vMerge w:val="continue"/>
            <w:vAlign w:val="center"/>
          </w:tcPr>
          <w:p w14:paraId="1F8CC818">
            <w:pPr>
              <w:jc w:val="center"/>
              <w:rPr>
                <w:sz w:val="22"/>
                <w:szCs w:val="22"/>
              </w:rPr>
            </w:pPr>
          </w:p>
        </w:tc>
        <w:tc>
          <w:tcPr>
            <w:tcW w:w="1752" w:type="dxa"/>
            <w:vMerge w:val="continue"/>
            <w:vAlign w:val="center"/>
          </w:tcPr>
          <w:p w14:paraId="76E50AAC">
            <w:pPr>
              <w:jc w:val="center"/>
              <w:rPr>
                <w:sz w:val="22"/>
                <w:szCs w:val="22"/>
              </w:rPr>
            </w:pPr>
          </w:p>
        </w:tc>
        <w:tc>
          <w:tcPr>
            <w:tcW w:w="944" w:type="dxa"/>
            <w:vMerge w:val="continue"/>
            <w:vAlign w:val="center"/>
          </w:tcPr>
          <w:p w14:paraId="4BD74D0A">
            <w:pPr>
              <w:jc w:val="center"/>
              <w:rPr>
                <w:sz w:val="22"/>
                <w:szCs w:val="22"/>
              </w:rPr>
            </w:pPr>
          </w:p>
        </w:tc>
        <w:tc>
          <w:tcPr>
            <w:tcW w:w="1116" w:type="dxa"/>
            <w:vMerge w:val="continue"/>
            <w:vAlign w:val="center"/>
          </w:tcPr>
          <w:p w14:paraId="1DB3497C">
            <w:pPr>
              <w:jc w:val="center"/>
              <w:rPr>
                <w:sz w:val="22"/>
                <w:szCs w:val="22"/>
              </w:rPr>
            </w:pPr>
          </w:p>
        </w:tc>
        <w:tc>
          <w:tcPr>
            <w:tcW w:w="1010" w:type="dxa"/>
            <w:vMerge w:val="continue"/>
            <w:vAlign w:val="center"/>
          </w:tcPr>
          <w:p w14:paraId="0216CD27">
            <w:pPr>
              <w:jc w:val="center"/>
              <w:rPr>
                <w:sz w:val="22"/>
                <w:szCs w:val="22"/>
              </w:rPr>
            </w:pPr>
          </w:p>
        </w:tc>
        <w:tc>
          <w:tcPr>
            <w:tcW w:w="1591" w:type="dxa"/>
            <w:vMerge w:val="continue"/>
            <w:vAlign w:val="center"/>
          </w:tcPr>
          <w:p w14:paraId="3FC90000">
            <w:pPr>
              <w:jc w:val="center"/>
              <w:rPr>
                <w:sz w:val="22"/>
                <w:szCs w:val="22"/>
              </w:rPr>
            </w:pPr>
          </w:p>
        </w:tc>
        <w:tc>
          <w:tcPr>
            <w:tcW w:w="1700" w:type="dxa"/>
            <w:vMerge w:val="continue"/>
            <w:vAlign w:val="center"/>
          </w:tcPr>
          <w:p w14:paraId="1D11C7A3">
            <w:pPr>
              <w:jc w:val="center"/>
              <w:rPr>
                <w:sz w:val="22"/>
                <w:szCs w:val="22"/>
              </w:rPr>
            </w:pPr>
          </w:p>
        </w:tc>
        <w:tc>
          <w:tcPr>
            <w:tcW w:w="1140" w:type="dxa"/>
            <w:vMerge w:val="continue"/>
            <w:vAlign w:val="center"/>
          </w:tcPr>
          <w:p w14:paraId="4E247535">
            <w:pPr>
              <w:jc w:val="center"/>
              <w:rPr>
                <w:sz w:val="22"/>
                <w:szCs w:val="22"/>
              </w:rPr>
            </w:pPr>
          </w:p>
        </w:tc>
      </w:tr>
      <w:tr w14:paraId="71E1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4469" w:type="dxa"/>
            <w:gridSpan w:val="4"/>
            <w:vAlign w:val="center"/>
          </w:tcPr>
          <w:p w14:paraId="16EC4FF7">
            <w:pPr>
              <w:jc w:val="center"/>
              <w:rPr>
                <w:b/>
                <w:bCs/>
                <w:sz w:val="22"/>
                <w:szCs w:val="22"/>
              </w:rPr>
            </w:pPr>
            <w:r>
              <w:rPr>
                <w:b/>
                <w:bCs/>
                <w:sz w:val="22"/>
                <w:szCs w:val="22"/>
              </w:rPr>
              <w:t>CUỘC ĐẤU GIÁ 42 LÔ ĐẤT KHU CỔNG UBND XÃ QUANG THỊNH, HUYỆN LẠNG GIANG, ĐẤU 28/8/2024</w:t>
            </w:r>
          </w:p>
        </w:tc>
        <w:tc>
          <w:tcPr>
            <w:tcW w:w="1010" w:type="dxa"/>
            <w:noWrap/>
            <w:vAlign w:val="center"/>
          </w:tcPr>
          <w:p w14:paraId="02C467D0">
            <w:pPr>
              <w:jc w:val="center"/>
              <w:rPr>
                <w:b/>
                <w:bCs/>
                <w:sz w:val="22"/>
                <w:szCs w:val="22"/>
              </w:rPr>
            </w:pPr>
            <w:r>
              <w:rPr>
                <w:b/>
                <w:bCs/>
                <w:sz w:val="22"/>
                <w:szCs w:val="22"/>
              </w:rPr>
              <w:t>4169,2</w:t>
            </w:r>
          </w:p>
        </w:tc>
        <w:tc>
          <w:tcPr>
            <w:tcW w:w="1591" w:type="dxa"/>
            <w:noWrap/>
            <w:vAlign w:val="center"/>
          </w:tcPr>
          <w:p w14:paraId="43CF4910">
            <w:pPr>
              <w:jc w:val="center"/>
              <w:rPr>
                <w:b/>
                <w:bCs/>
                <w:sz w:val="22"/>
                <w:szCs w:val="22"/>
              </w:rPr>
            </w:pPr>
            <w:r>
              <w:rPr>
                <w:b/>
                <w:bCs/>
                <w:sz w:val="22"/>
                <w:szCs w:val="22"/>
              </w:rPr>
              <w:t>43.645.840.000</w:t>
            </w:r>
          </w:p>
        </w:tc>
        <w:tc>
          <w:tcPr>
            <w:tcW w:w="1700" w:type="dxa"/>
            <w:noWrap/>
            <w:vAlign w:val="center"/>
          </w:tcPr>
          <w:p w14:paraId="0232D4FE">
            <w:pPr>
              <w:jc w:val="center"/>
              <w:rPr>
                <w:b/>
                <w:bCs/>
                <w:sz w:val="22"/>
                <w:szCs w:val="22"/>
              </w:rPr>
            </w:pPr>
            <w:r>
              <w:rPr>
                <w:b/>
                <w:bCs/>
                <w:sz w:val="22"/>
                <w:szCs w:val="22"/>
              </w:rPr>
              <w:t>48.078.800.000</w:t>
            </w:r>
          </w:p>
        </w:tc>
        <w:tc>
          <w:tcPr>
            <w:tcW w:w="1140" w:type="dxa"/>
            <w:noWrap/>
            <w:vAlign w:val="center"/>
          </w:tcPr>
          <w:p w14:paraId="7321C726">
            <w:pPr>
              <w:jc w:val="center"/>
              <w:rPr>
                <w:b/>
                <w:bCs/>
                <w:sz w:val="22"/>
                <w:szCs w:val="22"/>
              </w:rPr>
            </w:pPr>
          </w:p>
        </w:tc>
      </w:tr>
      <w:tr w14:paraId="5B51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1DFEA95">
            <w:pPr>
              <w:jc w:val="center"/>
              <w:rPr>
                <w:sz w:val="22"/>
                <w:szCs w:val="22"/>
              </w:rPr>
            </w:pPr>
          </w:p>
        </w:tc>
        <w:tc>
          <w:tcPr>
            <w:tcW w:w="1752" w:type="dxa"/>
            <w:vMerge w:val="restart"/>
            <w:vAlign w:val="center"/>
          </w:tcPr>
          <w:p w14:paraId="0636F8F9">
            <w:pPr>
              <w:jc w:val="center"/>
              <w:rPr>
                <w:sz w:val="22"/>
                <w:szCs w:val="22"/>
              </w:rPr>
            </w:pPr>
          </w:p>
        </w:tc>
        <w:tc>
          <w:tcPr>
            <w:tcW w:w="944" w:type="dxa"/>
            <w:vMerge w:val="restart"/>
            <w:vAlign w:val="center"/>
          </w:tcPr>
          <w:p w14:paraId="05FA2DB2">
            <w:pPr>
              <w:jc w:val="center"/>
              <w:rPr>
                <w:sz w:val="22"/>
                <w:szCs w:val="22"/>
              </w:rPr>
            </w:pPr>
            <w:r>
              <w:rPr>
                <w:sz w:val="22"/>
                <w:szCs w:val="22"/>
              </w:rPr>
              <w:t>LK01</w:t>
            </w:r>
          </w:p>
        </w:tc>
        <w:tc>
          <w:tcPr>
            <w:tcW w:w="1116" w:type="dxa"/>
            <w:noWrap/>
            <w:vAlign w:val="center"/>
          </w:tcPr>
          <w:p w14:paraId="69B7C9D6">
            <w:pPr>
              <w:jc w:val="center"/>
              <w:rPr>
                <w:sz w:val="22"/>
                <w:szCs w:val="22"/>
              </w:rPr>
            </w:pPr>
          </w:p>
        </w:tc>
        <w:tc>
          <w:tcPr>
            <w:tcW w:w="1010" w:type="dxa"/>
            <w:vAlign w:val="center"/>
          </w:tcPr>
          <w:p w14:paraId="4AC712ED">
            <w:pPr>
              <w:jc w:val="center"/>
              <w:rPr>
                <w:sz w:val="22"/>
                <w:szCs w:val="22"/>
              </w:rPr>
            </w:pPr>
            <w:r>
              <w:rPr>
                <w:sz w:val="22"/>
                <w:szCs w:val="22"/>
              </w:rPr>
              <w:t>978,0</w:t>
            </w:r>
          </w:p>
        </w:tc>
        <w:tc>
          <w:tcPr>
            <w:tcW w:w="1591" w:type="dxa"/>
            <w:vAlign w:val="center"/>
          </w:tcPr>
          <w:p w14:paraId="522DEE88">
            <w:pPr>
              <w:jc w:val="center"/>
              <w:rPr>
                <w:sz w:val="22"/>
                <w:szCs w:val="22"/>
              </w:rPr>
            </w:pPr>
            <w:r>
              <w:rPr>
                <w:sz w:val="22"/>
                <w:szCs w:val="22"/>
              </w:rPr>
              <w:t>9.984.000.000</w:t>
            </w:r>
          </w:p>
        </w:tc>
        <w:tc>
          <w:tcPr>
            <w:tcW w:w="1700" w:type="dxa"/>
            <w:vAlign w:val="center"/>
          </w:tcPr>
          <w:p w14:paraId="4724A87B">
            <w:pPr>
              <w:jc w:val="center"/>
              <w:rPr>
                <w:sz w:val="22"/>
                <w:szCs w:val="22"/>
              </w:rPr>
            </w:pPr>
            <w:r>
              <w:rPr>
                <w:sz w:val="22"/>
                <w:szCs w:val="22"/>
              </w:rPr>
              <w:t>10.798.900.000</w:t>
            </w:r>
          </w:p>
        </w:tc>
        <w:tc>
          <w:tcPr>
            <w:tcW w:w="1140" w:type="dxa"/>
            <w:noWrap/>
            <w:vAlign w:val="center"/>
          </w:tcPr>
          <w:p w14:paraId="64603EB0">
            <w:pPr>
              <w:jc w:val="center"/>
              <w:rPr>
                <w:sz w:val="22"/>
                <w:szCs w:val="22"/>
              </w:rPr>
            </w:pPr>
          </w:p>
        </w:tc>
      </w:tr>
      <w:tr w14:paraId="15DC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D6A421B">
            <w:pPr>
              <w:jc w:val="center"/>
              <w:rPr>
                <w:sz w:val="22"/>
                <w:szCs w:val="22"/>
              </w:rPr>
            </w:pPr>
            <w:r>
              <w:rPr>
                <w:sz w:val="22"/>
                <w:szCs w:val="22"/>
              </w:rPr>
              <w:t>1</w:t>
            </w:r>
          </w:p>
        </w:tc>
        <w:tc>
          <w:tcPr>
            <w:tcW w:w="1752" w:type="dxa"/>
            <w:vMerge w:val="continue"/>
            <w:vAlign w:val="center"/>
          </w:tcPr>
          <w:p w14:paraId="2076EDF6">
            <w:pPr>
              <w:jc w:val="center"/>
              <w:rPr>
                <w:sz w:val="22"/>
                <w:szCs w:val="22"/>
              </w:rPr>
            </w:pPr>
          </w:p>
        </w:tc>
        <w:tc>
          <w:tcPr>
            <w:tcW w:w="944" w:type="dxa"/>
            <w:vMerge w:val="continue"/>
            <w:vAlign w:val="center"/>
          </w:tcPr>
          <w:p w14:paraId="0D93BC6E">
            <w:pPr>
              <w:jc w:val="center"/>
              <w:rPr>
                <w:sz w:val="22"/>
                <w:szCs w:val="22"/>
              </w:rPr>
            </w:pPr>
          </w:p>
        </w:tc>
        <w:tc>
          <w:tcPr>
            <w:tcW w:w="1116" w:type="dxa"/>
            <w:noWrap/>
            <w:vAlign w:val="center"/>
          </w:tcPr>
          <w:p w14:paraId="77B07511">
            <w:pPr>
              <w:jc w:val="center"/>
              <w:rPr>
                <w:sz w:val="22"/>
                <w:szCs w:val="22"/>
              </w:rPr>
            </w:pPr>
            <w:r>
              <w:rPr>
                <w:sz w:val="22"/>
                <w:szCs w:val="22"/>
              </w:rPr>
              <w:t>9</w:t>
            </w:r>
          </w:p>
        </w:tc>
        <w:tc>
          <w:tcPr>
            <w:tcW w:w="1010" w:type="dxa"/>
            <w:noWrap/>
            <w:vAlign w:val="center"/>
          </w:tcPr>
          <w:p w14:paraId="4787F45A">
            <w:pPr>
              <w:jc w:val="center"/>
              <w:rPr>
                <w:sz w:val="22"/>
                <w:szCs w:val="22"/>
              </w:rPr>
            </w:pPr>
            <w:r>
              <w:rPr>
                <w:sz w:val="22"/>
                <w:szCs w:val="22"/>
              </w:rPr>
              <w:t>102,0</w:t>
            </w:r>
          </w:p>
        </w:tc>
        <w:tc>
          <w:tcPr>
            <w:tcW w:w="1591" w:type="dxa"/>
            <w:noWrap/>
            <w:vAlign w:val="center"/>
          </w:tcPr>
          <w:p w14:paraId="45B5FF2E">
            <w:pPr>
              <w:jc w:val="center"/>
              <w:rPr>
                <w:sz w:val="22"/>
                <w:szCs w:val="22"/>
              </w:rPr>
            </w:pPr>
            <w:r>
              <w:rPr>
                <w:sz w:val="22"/>
                <w:szCs w:val="22"/>
              </w:rPr>
              <w:t>1.071.000.000</w:t>
            </w:r>
          </w:p>
        </w:tc>
        <w:tc>
          <w:tcPr>
            <w:tcW w:w="1700" w:type="dxa"/>
            <w:vAlign w:val="center"/>
          </w:tcPr>
          <w:p w14:paraId="720B636C">
            <w:pPr>
              <w:jc w:val="center"/>
              <w:rPr>
                <w:sz w:val="22"/>
                <w:szCs w:val="22"/>
              </w:rPr>
            </w:pPr>
            <w:r>
              <w:rPr>
                <w:sz w:val="22"/>
                <w:szCs w:val="22"/>
              </w:rPr>
              <w:t>1.105.000.000</w:t>
            </w:r>
          </w:p>
        </w:tc>
        <w:tc>
          <w:tcPr>
            <w:tcW w:w="1140" w:type="dxa"/>
            <w:noWrap/>
            <w:vAlign w:val="center"/>
          </w:tcPr>
          <w:p w14:paraId="39F20CA9">
            <w:pPr>
              <w:jc w:val="center"/>
              <w:rPr>
                <w:sz w:val="22"/>
                <w:szCs w:val="22"/>
              </w:rPr>
            </w:pPr>
            <w:r>
              <w:rPr>
                <w:sz w:val="22"/>
                <w:szCs w:val="22"/>
              </w:rPr>
              <w:t>1,03%</w:t>
            </w:r>
          </w:p>
        </w:tc>
      </w:tr>
      <w:tr w14:paraId="5B6E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A4A004B">
            <w:pPr>
              <w:jc w:val="center"/>
              <w:rPr>
                <w:sz w:val="22"/>
                <w:szCs w:val="22"/>
              </w:rPr>
            </w:pPr>
            <w:r>
              <w:rPr>
                <w:sz w:val="22"/>
                <w:szCs w:val="22"/>
              </w:rPr>
              <w:t>2</w:t>
            </w:r>
          </w:p>
        </w:tc>
        <w:tc>
          <w:tcPr>
            <w:tcW w:w="1752" w:type="dxa"/>
            <w:vMerge w:val="continue"/>
            <w:vAlign w:val="center"/>
          </w:tcPr>
          <w:p w14:paraId="13FA1FEE">
            <w:pPr>
              <w:jc w:val="center"/>
              <w:rPr>
                <w:sz w:val="22"/>
                <w:szCs w:val="22"/>
              </w:rPr>
            </w:pPr>
          </w:p>
        </w:tc>
        <w:tc>
          <w:tcPr>
            <w:tcW w:w="944" w:type="dxa"/>
            <w:vMerge w:val="continue"/>
            <w:vAlign w:val="center"/>
          </w:tcPr>
          <w:p w14:paraId="7DA7A966">
            <w:pPr>
              <w:jc w:val="center"/>
              <w:rPr>
                <w:sz w:val="22"/>
                <w:szCs w:val="22"/>
              </w:rPr>
            </w:pPr>
          </w:p>
        </w:tc>
        <w:tc>
          <w:tcPr>
            <w:tcW w:w="1116" w:type="dxa"/>
            <w:noWrap/>
            <w:vAlign w:val="center"/>
          </w:tcPr>
          <w:p w14:paraId="241ABA3F">
            <w:pPr>
              <w:jc w:val="center"/>
              <w:rPr>
                <w:sz w:val="22"/>
                <w:szCs w:val="22"/>
              </w:rPr>
            </w:pPr>
            <w:r>
              <w:rPr>
                <w:sz w:val="22"/>
                <w:szCs w:val="22"/>
              </w:rPr>
              <w:t>10</w:t>
            </w:r>
          </w:p>
        </w:tc>
        <w:tc>
          <w:tcPr>
            <w:tcW w:w="1010" w:type="dxa"/>
            <w:noWrap/>
            <w:vAlign w:val="center"/>
          </w:tcPr>
          <w:p w14:paraId="3067D708">
            <w:pPr>
              <w:jc w:val="center"/>
              <w:rPr>
                <w:sz w:val="22"/>
                <w:szCs w:val="22"/>
              </w:rPr>
            </w:pPr>
            <w:r>
              <w:rPr>
                <w:sz w:val="22"/>
                <w:szCs w:val="22"/>
              </w:rPr>
              <w:t>102,0</w:t>
            </w:r>
          </w:p>
        </w:tc>
        <w:tc>
          <w:tcPr>
            <w:tcW w:w="1591" w:type="dxa"/>
            <w:noWrap/>
            <w:vAlign w:val="center"/>
          </w:tcPr>
          <w:p w14:paraId="1AB12713">
            <w:pPr>
              <w:jc w:val="center"/>
              <w:rPr>
                <w:sz w:val="22"/>
                <w:szCs w:val="22"/>
              </w:rPr>
            </w:pPr>
            <w:r>
              <w:rPr>
                <w:sz w:val="22"/>
                <w:szCs w:val="22"/>
              </w:rPr>
              <w:t>1.071.000.000</w:t>
            </w:r>
          </w:p>
        </w:tc>
        <w:tc>
          <w:tcPr>
            <w:tcW w:w="1700" w:type="dxa"/>
            <w:vAlign w:val="center"/>
          </w:tcPr>
          <w:p w14:paraId="1934BD3A">
            <w:pPr>
              <w:jc w:val="center"/>
              <w:rPr>
                <w:sz w:val="22"/>
                <w:szCs w:val="22"/>
              </w:rPr>
            </w:pPr>
            <w:r>
              <w:rPr>
                <w:sz w:val="22"/>
                <w:szCs w:val="22"/>
              </w:rPr>
              <w:t>1.151.000.000</w:t>
            </w:r>
          </w:p>
        </w:tc>
        <w:tc>
          <w:tcPr>
            <w:tcW w:w="1140" w:type="dxa"/>
            <w:noWrap/>
            <w:vAlign w:val="center"/>
          </w:tcPr>
          <w:p w14:paraId="174C0BD3">
            <w:pPr>
              <w:jc w:val="center"/>
              <w:rPr>
                <w:sz w:val="22"/>
                <w:szCs w:val="22"/>
              </w:rPr>
            </w:pPr>
            <w:r>
              <w:rPr>
                <w:sz w:val="22"/>
                <w:szCs w:val="22"/>
              </w:rPr>
              <w:t>1,07%</w:t>
            </w:r>
          </w:p>
        </w:tc>
      </w:tr>
      <w:tr w14:paraId="3533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5AC0850">
            <w:pPr>
              <w:jc w:val="center"/>
              <w:rPr>
                <w:sz w:val="22"/>
                <w:szCs w:val="22"/>
              </w:rPr>
            </w:pPr>
            <w:r>
              <w:rPr>
                <w:sz w:val="22"/>
                <w:szCs w:val="22"/>
              </w:rPr>
              <w:t>3</w:t>
            </w:r>
          </w:p>
        </w:tc>
        <w:tc>
          <w:tcPr>
            <w:tcW w:w="1752" w:type="dxa"/>
            <w:vMerge w:val="continue"/>
            <w:vAlign w:val="center"/>
          </w:tcPr>
          <w:p w14:paraId="23C7AAAC">
            <w:pPr>
              <w:jc w:val="center"/>
              <w:rPr>
                <w:sz w:val="22"/>
                <w:szCs w:val="22"/>
              </w:rPr>
            </w:pPr>
          </w:p>
        </w:tc>
        <w:tc>
          <w:tcPr>
            <w:tcW w:w="944" w:type="dxa"/>
            <w:vMerge w:val="continue"/>
            <w:vAlign w:val="center"/>
          </w:tcPr>
          <w:p w14:paraId="3DEB5882">
            <w:pPr>
              <w:jc w:val="center"/>
              <w:rPr>
                <w:sz w:val="22"/>
                <w:szCs w:val="22"/>
              </w:rPr>
            </w:pPr>
          </w:p>
        </w:tc>
        <w:tc>
          <w:tcPr>
            <w:tcW w:w="1116" w:type="dxa"/>
            <w:noWrap/>
            <w:vAlign w:val="center"/>
          </w:tcPr>
          <w:p w14:paraId="08AF4CC5">
            <w:pPr>
              <w:jc w:val="center"/>
              <w:rPr>
                <w:sz w:val="22"/>
                <w:szCs w:val="22"/>
              </w:rPr>
            </w:pPr>
            <w:r>
              <w:rPr>
                <w:sz w:val="22"/>
                <w:szCs w:val="22"/>
              </w:rPr>
              <w:t>13</w:t>
            </w:r>
          </w:p>
        </w:tc>
        <w:tc>
          <w:tcPr>
            <w:tcW w:w="1010" w:type="dxa"/>
            <w:noWrap/>
            <w:vAlign w:val="center"/>
          </w:tcPr>
          <w:p w14:paraId="4820D75D">
            <w:pPr>
              <w:jc w:val="center"/>
              <w:rPr>
                <w:sz w:val="22"/>
                <w:szCs w:val="22"/>
              </w:rPr>
            </w:pPr>
            <w:r>
              <w:rPr>
                <w:sz w:val="22"/>
                <w:szCs w:val="22"/>
              </w:rPr>
              <w:t>102,0</w:t>
            </w:r>
          </w:p>
        </w:tc>
        <w:tc>
          <w:tcPr>
            <w:tcW w:w="1591" w:type="dxa"/>
            <w:noWrap/>
            <w:vAlign w:val="center"/>
          </w:tcPr>
          <w:p w14:paraId="2EF2F4A9">
            <w:pPr>
              <w:jc w:val="center"/>
              <w:rPr>
                <w:sz w:val="22"/>
                <w:szCs w:val="22"/>
              </w:rPr>
            </w:pPr>
            <w:r>
              <w:rPr>
                <w:sz w:val="22"/>
                <w:szCs w:val="22"/>
              </w:rPr>
              <w:t>1.122.000.000</w:t>
            </w:r>
          </w:p>
        </w:tc>
        <w:tc>
          <w:tcPr>
            <w:tcW w:w="1700" w:type="dxa"/>
            <w:vAlign w:val="center"/>
          </w:tcPr>
          <w:p w14:paraId="39A0C41F">
            <w:pPr>
              <w:jc w:val="center"/>
              <w:rPr>
                <w:sz w:val="22"/>
                <w:szCs w:val="22"/>
              </w:rPr>
            </w:pPr>
            <w:r>
              <w:rPr>
                <w:sz w:val="22"/>
                <w:szCs w:val="22"/>
              </w:rPr>
              <w:t>1.385.000.000</w:t>
            </w:r>
          </w:p>
        </w:tc>
        <w:tc>
          <w:tcPr>
            <w:tcW w:w="1140" w:type="dxa"/>
            <w:noWrap/>
            <w:vAlign w:val="center"/>
          </w:tcPr>
          <w:p w14:paraId="6790B319">
            <w:pPr>
              <w:jc w:val="center"/>
              <w:rPr>
                <w:sz w:val="22"/>
                <w:szCs w:val="22"/>
              </w:rPr>
            </w:pPr>
            <w:r>
              <w:rPr>
                <w:sz w:val="22"/>
                <w:szCs w:val="22"/>
              </w:rPr>
              <w:t>1,23%</w:t>
            </w:r>
          </w:p>
        </w:tc>
      </w:tr>
      <w:tr w14:paraId="1E6E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D115E4A">
            <w:pPr>
              <w:jc w:val="center"/>
              <w:rPr>
                <w:sz w:val="22"/>
                <w:szCs w:val="22"/>
              </w:rPr>
            </w:pPr>
            <w:r>
              <w:rPr>
                <w:sz w:val="22"/>
                <w:szCs w:val="22"/>
              </w:rPr>
              <w:t>4</w:t>
            </w:r>
          </w:p>
        </w:tc>
        <w:tc>
          <w:tcPr>
            <w:tcW w:w="1752" w:type="dxa"/>
            <w:vMerge w:val="continue"/>
            <w:vAlign w:val="center"/>
          </w:tcPr>
          <w:p w14:paraId="3E5B0B1C">
            <w:pPr>
              <w:jc w:val="center"/>
              <w:rPr>
                <w:sz w:val="22"/>
                <w:szCs w:val="22"/>
              </w:rPr>
            </w:pPr>
          </w:p>
        </w:tc>
        <w:tc>
          <w:tcPr>
            <w:tcW w:w="944" w:type="dxa"/>
            <w:vMerge w:val="continue"/>
            <w:vAlign w:val="center"/>
          </w:tcPr>
          <w:p w14:paraId="45C5FCED">
            <w:pPr>
              <w:jc w:val="center"/>
              <w:rPr>
                <w:sz w:val="22"/>
                <w:szCs w:val="22"/>
              </w:rPr>
            </w:pPr>
          </w:p>
        </w:tc>
        <w:tc>
          <w:tcPr>
            <w:tcW w:w="1116" w:type="dxa"/>
            <w:noWrap/>
            <w:vAlign w:val="center"/>
          </w:tcPr>
          <w:p w14:paraId="5784DC13">
            <w:pPr>
              <w:jc w:val="center"/>
              <w:rPr>
                <w:sz w:val="22"/>
                <w:szCs w:val="22"/>
              </w:rPr>
            </w:pPr>
            <w:r>
              <w:rPr>
                <w:sz w:val="22"/>
                <w:szCs w:val="22"/>
              </w:rPr>
              <w:t>16</w:t>
            </w:r>
          </w:p>
        </w:tc>
        <w:tc>
          <w:tcPr>
            <w:tcW w:w="1010" w:type="dxa"/>
            <w:noWrap/>
            <w:vAlign w:val="center"/>
          </w:tcPr>
          <w:p w14:paraId="1EFBA5C9">
            <w:pPr>
              <w:jc w:val="center"/>
              <w:rPr>
                <w:sz w:val="22"/>
                <w:szCs w:val="22"/>
              </w:rPr>
            </w:pPr>
            <w:r>
              <w:rPr>
                <w:sz w:val="22"/>
                <w:szCs w:val="22"/>
              </w:rPr>
              <w:t>96,0</w:t>
            </w:r>
          </w:p>
        </w:tc>
        <w:tc>
          <w:tcPr>
            <w:tcW w:w="1591" w:type="dxa"/>
            <w:noWrap/>
            <w:vAlign w:val="center"/>
          </w:tcPr>
          <w:p w14:paraId="3713E48A">
            <w:pPr>
              <w:jc w:val="center"/>
              <w:rPr>
                <w:sz w:val="22"/>
                <w:szCs w:val="22"/>
              </w:rPr>
            </w:pPr>
            <w:r>
              <w:rPr>
                <w:sz w:val="22"/>
                <w:szCs w:val="22"/>
              </w:rPr>
              <w:t>960.000.000</w:t>
            </w:r>
          </w:p>
        </w:tc>
        <w:tc>
          <w:tcPr>
            <w:tcW w:w="1700" w:type="dxa"/>
            <w:vAlign w:val="center"/>
          </w:tcPr>
          <w:p w14:paraId="113357C7">
            <w:pPr>
              <w:jc w:val="center"/>
              <w:rPr>
                <w:sz w:val="22"/>
                <w:szCs w:val="22"/>
              </w:rPr>
            </w:pPr>
            <w:r>
              <w:rPr>
                <w:sz w:val="22"/>
                <w:szCs w:val="22"/>
              </w:rPr>
              <w:t>1.068.900.000</w:t>
            </w:r>
          </w:p>
        </w:tc>
        <w:tc>
          <w:tcPr>
            <w:tcW w:w="1140" w:type="dxa"/>
            <w:noWrap/>
            <w:vAlign w:val="center"/>
          </w:tcPr>
          <w:p w14:paraId="79BB385E">
            <w:pPr>
              <w:jc w:val="center"/>
              <w:rPr>
                <w:sz w:val="22"/>
                <w:szCs w:val="22"/>
              </w:rPr>
            </w:pPr>
            <w:r>
              <w:rPr>
                <w:sz w:val="22"/>
                <w:szCs w:val="22"/>
              </w:rPr>
              <w:t>1,11%</w:t>
            </w:r>
          </w:p>
        </w:tc>
      </w:tr>
      <w:tr w14:paraId="0702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D920430">
            <w:pPr>
              <w:jc w:val="center"/>
              <w:rPr>
                <w:sz w:val="22"/>
                <w:szCs w:val="22"/>
              </w:rPr>
            </w:pPr>
            <w:r>
              <w:rPr>
                <w:sz w:val="22"/>
                <w:szCs w:val="22"/>
              </w:rPr>
              <w:t>5</w:t>
            </w:r>
          </w:p>
        </w:tc>
        <w:tc>
          <w:tcPr>
            <w:tcW w:w="1752" w:type="dxa"/>
            <w:vMerge w:val="continue"/>
            <w:vAlign w:val="center"/>
          </w:tcPr>
          <w:p w14:paraId="35B75731">
            <w:pPr>
              <w:jc w:val="center"/>
              <w:rPr>
                <w:sz w:val="22"/>
                <w:szCs w:val="22"/>
              </w:rPr>
            </w:pPr>
          </w:p>
        </w:tc>
        <w:tc>
          <w:tcPr>
            <w:tcW w:w="944" w:type="dxa"/>
            <w:vMerge w:val="continue"/>
            <w:vAlign w:val="center"/>
          </w:tcPr>
          <w:p w14:paraId="5598BDA7">
            <w:pPr>
              <w:jc w:val="center"/>
              <w:rPr>
                <w:sz w:val="22"/>
                <w:szCs w:val="22"/>
              </w:rPr>
            </w:pPr>
          </w:p>
        </w:tc>
        <w:tc>
          <w:tcPr>
            <w:tcW w:w="1116" w:type="dxa"/>
            <w:noWrap/>
            <w:vAlign w:val="center"/>
          </w:tcPr>
          <w:p w14:paraId="5FB09B1D">
            <w:pPr>
              <w:jc w:val="center"/>
              <w:rPr>
                <w:sz w:val="22"/>
                <w:szCs w:val="22"/>
              </w:rPr>
            </w:pPr>
            <w:r>
              <w:rPr>
                <w:sz w:val="22"/>
                <w:szCs w:val="22"/>
              </w:rPr>
              <w:t>17</w:t>
            </w:r>
          </w:p>
        </w:tc>
        <w:tc>
          <w:tcPr>
            <w:tcW w:w="1010" w:type="dxa"/>
            <w:noWrap/>
            <w:vAlign w:val="center"/>
          </w:tcPr>
          <w:p w14:paraId="153B9382">
            <w:pPr>
              <w:jc w:val="center"/>
              <w:rPr>
                <w:sz w:val="22"/>
                <w:szCs w:val="22"/>
              </w:rPr>
            </w:pPr>
            <w:r>
              <w:rPr>
                <w:sz w:val="22"/>
                <w:szCs w:val="22"/>
              </w:rPr>
              <w:t>96,0</w:t>
            </w:r>
          </w:p>
        </w:tc>
        <w:tc>
          <w:tcPr>
            <w:tcW w:w="1591" w:type="dxa"/>
            <w:noWrap/>
            <w:vAlign w:val="center"/>
          </w:tcPr>
          <w:p w14:paraId="2996B240">
            <w:pPr>
              <w:jc w:val="center"/>
              <w:rPr>
                <w:sz w:val="22"/>
                <w:szCs w:val="22"/>
              </w:rPr>
            </w:pPr>
            <w:r>
              <w:rPr>
                <w:sz w:val="22"/>
                <w:szCs w:val="22"/>
              </w:rPr>
              <w:t>960.000.000</w:t>
            </w:r>
          </w:p>
        </w:tc>
        <w:tc>
          <w:tcPr>
            <w:tcW w:w="1700" w:type="dxa"/>
            <w:vAlign w:val="center"/>
          </w:tcPr>
          <w:p w14:paraId="15411ACB">
            <w:pPr>
              <w:jc w:val="center"/>
              <w:rPr>
                <w:sz w:val="22"/>
                <w:szCs w:val="22"/>
              </w:rPr>
            </w:pPr>
            <w:r>
              <w:rPr>
                <w:sz w:val="22"/>
                <w:szCs w:val="22"/>
              </w:rPr>
              <w:t>1.020.000.000</w:t>
            </w:r>
          </w:p>
        </w:tc>
        <w:tc>
          <w:tcPr>
            <w:tcW w:w="1140" w:type="dxa"/>
            <w:noWrap/>
            <w:vAlign w:val="center"/>
          </w:tcPr>
          <w:p w14:paraId="7DAD938B">
            <w:pPr>
              <w:jc w:val="center"/>
              <w:rPr>
                <w:sz w:val="22"/>
                <w:szCs w:val="22"/>
              </w:rPr>
            </w:pPr>
            <w:r>
              <w:rPr>
                <w:sz w:val="22"/>
                <w:szCs w:val="22"/>
              </w:rPr>
              <w:t>1,06%</w:t>
            </w:r>
          </w:p>
        </w:tc>
      </w:tr>
      <w:tr w14:paraId="7A19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8607A4F">
            <w:pPr>
              <w:jc w:val="center"/>
              <w:rPr>
                <w:sz w:val="22"/>
                <w:szCs w:val="22"/>
              </w:rPr>
            </w:pPr>
            <w:r>
              <w:rPr>
                <w:sz w:val="22"/>
                <w:szCs w:val="22"/>
              </w:rPr>
              <w:t>6</w:t>
            </w:r>
          </w:p>
        </w:tc>
        <w:tc>
          <w:tcPr>
            <w:tcW w:w="1752" w:type="dxa"/>
            <w:vMerge w:val="continue"/>
            <w:vAlign w:val="center"/>
          </w:tcPr>
          <w:p w14:paraId="28412FDF">
            <w:pPr>
              <w:jc w:val="center"/>
              <w:rPr>
                <w:sz w:val="22"/>
                <w:szCs w:val="22"/>
              </w:rPr>
            </w:pPr>
          </w:p>
        </w:tc>
        <w:tc>
          <w:tcPr>
            <w:tcW w:w="944" w:type="dxa"/>
            <w:vMerge w:val="continue"/>
            <w:vAlign w:val="center"/>
          </w:tcPr>
          <w:p w14:paraId="67D64B8F">
            <w:pPr>
              <w:jc w:val="center"/>
              <w:rPr>
                <w:sz w:val="22"/>
                <w:szCs w:val="22"/>
              </w:rPr>
            </w:pPr>
          </w:p>
        </w:tc>
        <w:tc>
          <w:tcPr>
            <w:tcW w:w="1116" w:type="dxa"/>
            <w:noWrap/>
            <w:vAlign w:val="center"/>
          </w:tcPr>
          <w:p w14:paraId="231DAD14">
            <w:pPr>
              <w:jc w:val="center"/>
              <w:rPr>
                <w:sz w:val="22"/>
                <w:szCs w:val="22"/>
              </w:rPr>
            </w:pPr>
            <w:r>
              <w:rPr>
                <w:sz w:val="22"/>
                <w:szCs w:val="22"/>
              </w:rPr>
              <w:t>18</w:t>
            </w:r>
          </w:p>
        </w:tc>
        <w:tc>
          <w:tcPr>
            <w:tcW w:w="1010" w:type="dxa"/>
            <w:noWrap/>
            <w:vAlign w:val="center"/>
          </w:tcPr>
          <w:p w14:paraId="4485A2F8">
            <w:pPr>
              <w:jc w:val="center"/>
              <w:rPr>
                <w:sz w:val="22"/>
                <w:szCs w:val="22"/>
              </w:rPr>
            </w:pPr>
            <w:r>
              <w:rPr>
                <w:sz w:val="22"/>
                <w:szCs w:val="22"/>
              </w:rPr>
              <w:t>96,0</w:t>
            </w:r>
          </w:p>
        </w:tc>
        <w:tc>
          <w:tcPr>
            <w:tcW w:w="1591" w:type="dxa"/>
            <w:noWrap/>
            <w:vAlign w:val="center"/>
          </w:tcPr>
          <w:p w14:paraId="55C9E19A">
            <w:pPr>
              <w:jc w:val="center"/>
              <w:rPr>
                <w:sz w:val="22"/>
                <w:szCs w:val="22"/>
              </w:rPr>
            </w:pPr>
            <w:r>
              <w:rPr>
                <w:sz w:val="22"/>
                <w:szCs w:val="22"/>
              </w:rPr>
              <w:t>960.000.000</w:t>
            </w:r>
          </w:p>
        </w:tc>
        <w:tc>
          <w:tcPr>
            <w:tcW w:w="1700" w:type="dxa"/>
            <w:vAlign w:val="center"/>
          </w:tcPr>
          <w:p w14:paraId="3CE0C529">
            <w:pPr>
              <w:jc w:val="center"/>
              <w:rPr>
                <w:sz w:val="22"/>
                <w:szCs w:val="22"/>
              </w:rPr>
            </w:pPr>
            <w:r>
              <w:rPr>
                <w:sz w:val="22"/>
                <w:szCs w:val="22"/>
              </w:rPr>
              <w:t>1.016.000.000</w:t>
            </w:r>
          </w:p>
        </w:tc>
        <w:tc>
          <w:tcPr>
            <w:tcW w:w="1140" w:type="dxa"/>
            <w:noWrap/>
            <w:vAlign w:val="center"/>
          </w:tcPr>
          <w:p w14:paraId="15F8852C">
            <w:pPr>
              <w:jc w:val="center"/>
              <w:rPr>
                <w:sz w:val="22"/>
                <w:szCs w:val="22"/>
              </w:rPr>
            </w:pPr>
            <w:r>
              <w:rPr>
                <w:sz w:val="22"/>
                <w:szCs w:val="22"/>
              </w:rPr>
              <w:t>1,06%</w:t>
            </w:r>
          </w:p>
        </w:tc>
      </w:tr>
      <w:tr w14:paraId="73709CC8">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4496E0E6">
            <w:pPr>
              <w:jc w:val="center"/>
              <w:rPr>
                <w:sz w:val="22"/>
                <w:szCs w:val="22"/>
              </w:rPr>
            </w:pPr>
            <w:r>
              <w:rPr>
                <w:sz w:val="22"/>
                <w:szCs w:val="22"/>
              </w:rPr>
              <w:t>7</w:t>
            </w:r>
          </w:p>
        </w:tc>
        <w:tc>
          <w:tcPr>
            <w:tcW w:w="1752" w:type="dxa"/>
            <w:vMerge w:val="continue"/>
            <w:vAlign w:val="center"/>
          </w:tcPr>
          <w:p w14:paraId="6B3EBDAE">
            <w:pPr>
              <w:jc w:val="center"/>
              <w:rPr>
                <w:sz w:val="22"/>
                <w:szCs w:val="22"/>
              </w:rPr>
            </w:pPr>
          </w:p>
        </w:tc>
        <w:tc>
          <w:tcPr>
            <w:tcW w:w="944" w:type="dxa"/>
            <w:vMerge w:val="continue"/>
            <w:vAlign w:val="center"/>
          </w:tcPr>
          <w:p w14:paraId="60FFAC27">
            <w:pPr>
              <w:jc w:val="center"/>
              <w:rPr>
                <w:sz w:val="22"/>
                <w:szCs w:val="22"/>
              </w:rPr>
            </w:pPr>
          </w:p>
        </w:tc>
        <w:tc>
          <w:tcPr>
            <w:tcW w:w="1116" w:type="dxa"/>
            <w:noWrap/>
            <w:vAlign w:val="center"/>
          </w:tcPr>
          <w:p w14:paraId="4B7C3C65">
            <w:pPr>
              <w:jc w:val="center"/>
              <w:rPr>
                <w:sz w:val="22"/>
                <w:szCs w:val="22"/>
              </w:rPr>
            </w:pPr>
            <w:r>
              <w:rPr>
                <w:sz w:val="22"/>
                <w:szCs w:val="22"/>
              </w:rPr>
              <w:t>19</w:t>
            </w:r>
          </w:p>
        </w:tc>
        <w:tc>
          <w:tcPr>
            <w:tcW w:w="1010" w:type="dxa"/>
            <w:noWrap/>
            <w:vAlign w:val="center"/>
          </w:tcPr>
          <w:p w14:paraId="7825BB91">
            <w:pPr>
              <w:jc w:val="center"/>
              <w:rPr>
                <w:sz w:val="22"/>
                <w:szCs w:val="22"/>
              </w:rPr>
            </w:pPr>
            <w:r>
              <w:rPr>
                <w:sz w:val="22"/>
                <w:szCs w:val="22"/>
              </w:rPr>
              <w:t>96,0</w:t>
            </w:r>
          </w:p>
        </w:tc>
        <w:tc>
          <w:tcPr>
            <w:tcW w:w="1591" w:type="dxa"/>
            <w:noWrap/>
            <w:vAlign w:val="center"/>
          </w:tcPr>
          <w:p w14:paraId="5A999173">
            <w:pPr>
              <w:jc w:val="center"/>
              <w:rPr>
                <w:sz w:val="22"/>
                <w:szCs w:val="22"/>
              </w:rPr>
            </w:pPr>
            <w:r>
              <w:rPr>
                <w:sz w:val="22"/>
                <w:szCs w:val="22"/>
              </w:rPr>
              <w:t>960.000.000</w:t>
            </w:r>
          </w:p>
        </w:tc>
        <w:tc>
          <w:tcPr>
            <w:tcW w:w="1700" w:type="dxa"/>
            <w:vAlign w:val="center"/>
          </w:tcPr>
          <w:p w14:paraId="506DD8A5">
            <w:pPr>
              <w:jc w:val="center"/>
              <w:rPr>
                <w:sz w:val="22"/>
                <w:szCs w:val="22"/>
              </w:rPr>
            </w:pPr>
            <w:r>
              <w:rPr>
                <w:sz w:val="22"/>
                <w:szCs w:val="22"/>
              </w:rPr>
              <w:t>971.000.000</w:t>
            </w:r>
          </w:p>
        </w:tc>
        <w:tc>
          <w:tcPr>
            <w:tcW w:w="1140" w:type="dxa"/>
            <w:noWrap/>
            <w:vAlign w:val="center"/>
          </w:tcPr>
          <w:p w14:paraId="211D130D">
            <w:pPr>
              <w:jc w:val="center"/>
              <w:rPr>
                <w:sz w:val="22"/>
                <w:szCs w:val="22"/>
              </w:rPr>
            </w:pPr>
            <w:r>
              <w:rPr>
                <w:sz w:val="22"/>
                <w:szCs w:val="22"/>
              </w:rPr>
              <w:t>1,01%</w:t>
            </w:r>
          </w:p>
        </w:tc>
      </w:tr>
      <w:tr w14:paraId="6144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23B944D">
            <w:pPr>
              <w:jc w:val="center"/>
              <w:rPr>
                <w:sz w:val="22"/>
                <w:szCs w:val="22"/>
              </w:rPr>
            </w:pPr>
            <w:r>
              <w:rPr>
                <w:sz w:val="22"/>
                <w:szCs w:val="22"/>
              </w:rPr>
              <w:t>8</w:t>
            </w:r>
          </w:p>
        </w:tc>
        <w:tc>
          <w:tcPr>
            <w:tcW w:w="1752" w:type="dxa"/>
            <w:vMerge w:val="continue"/>
            <w:vAlign w:val="center"/>
          </w:tcPr>
          <w:p w14:paraId="02B51A54">
            <w:pPr>
              <w:jc w:val="center"/>
              <w:rPr>
                <w:sz w:val="22"/>
                <w:szCs w:val="22"/>
              </w:rPr>
            </w:pPr>
          </w:p>
        </w:tc>
        <w:tc>
          <w:tcPr>
            <w:tcW w:w="944" w:type="dxa"/>
            <w:vMerge w:val="continue"/>
            <w:vAlign w:val="center"/>
          </w:tcPr>
          <w:p w14:paraId="78BFBF83">
            <w:pPr>
              <w:jc w:val="center"/>
              <w:rPr>
                <w:sz w:val="22"/>
                <w:szCs w:val="22"/>
              </w:rPr>
            </w:pPr>
          </w:p>
        </w:tc>
        <w:tc>
          <w:tcPr>
            <w:tcW w:w="1116" w:type="dxa"/>
            <w:noWrap/>
            <w:vAlign w:val="center"/>
          </w:tcPr>
          <w:p w14:paraId="6F22EADE">
            <w:pPr>
              <w:jc w:val="center"/>
              <w:rPr>
                <w:sz w:val="22"/>
                <w:szCs w:val="22"/>
              </w:rPr>
            </w:pPr>
            <w:r>
              <w:rPr>
                <w:sz w:val="22"/>
                <w:szCs w:val="22"/>
              </w:rPr>
              <w:t>22</w:t>
            </w:r>
          </w:p>
        </w:tc>
        <w:tc>
          <w:tcPr>
            <w:tcW w:w="1010" w:type="dxa"/>
            <w:noWrap/>
            <w:vAlign w:val="center"/>
          </w:tcPr>
          <w:p w14:paraId="2999352B">
            <w:pPr>
              <w:jc w:val="center"/>
              <w:rPr>
                <w:sz w:val="22"/>
                <w:szCs w:val="22"/>
              </w:rPr>
            </w:pPr>
            <w:r>
              <w:rPr>
                <w:sz w:val="22"/>
                <w:szCs w:val="22"/>
              </w:rPr>
              <w:t>96,0</w:t>
            </w:r>
          </w:p>
        </w:tc>
        <w:tc>
          <w:tcPr>
            <w:tcW w:w="1591" w:type="dxa"/>
            <w:noWrap/>
            <w:vAlign w:val="center"/>
          </w:tcPr>
          <w:p w14:paraId="75998976">
            <w:pPr>
              <w:jc w:val="center"/>
              <w:rPr>
                <w:sz w:val="22"/>
                <w:szCs w:val="22"/>
              </w:rPr>
            </w:pPr>
            <w:r>
              <w:rPr>
                <w:sz w:val="22"/>
                <w:szCs w:val="22"/>
              </w:rPr>
              <w:t>960.000.000</w:t>
            </w:r>
          </w:p>
        </w:tc>
        <w:tc>
          <w:tcPr>
            <w:tcW w:w="1700" w:type="dxa"/>
            <w:vAlign w:val="center"/>
          </w:tcPr>
          <w:p w14:paraId="1E3B61B7">
            <w:pPr>
              <w:jc w:val="center"/>
              <w:rPr>
                <w:sz w:val="22"/>
                <w:szCs w:val="22"/>
              </w:rPr>
            </w:pPr>
            <w:r>
              <w:rPr>
                <w:sz w:val="22"/>
                <w:szCs w:val="22"/>
              </w:rPr>
              <w:t>1.026.000.000</w:t>
            </w:r>
          </w:p>
        </w:tc>
        <w:tc>
          <w:tcPr>
            <w:tcW w:w="1140" w:type="dxa"/>
            <w:noWrap/>
            <w:vAlign w:val="center"/>
          </w:tcPr>
          <w:p w14:paraId="6720680B">
            <w:pPr>
              <w:jc w:val="center"/>
              <w:rPr>
                <w:sz w:val="22"/>
                <w:szCs w:val="22"/>
              </w:rPr>
            </w:pPr>
            <w:r>
              <w:rPr>
                <w:sz w:val="22"/>
                <w:szCs w:val="22"/>
              </w:rPr>
              <w:t>1,07%</w:t>
            </w:r>
          </w:p>
        </w:tc>
      </w:tr>
      <w:tr w14:paraId="5F4D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75EA20F">
            <w:pPr>
              <w:jc w:val="center"/>
              <w:rPr>
                <w:sz w:val="22"/>
                <w:szCs w:val="22"/>
              </w:rPr>
            </w:pPr>
            <w:r>
              <w:rPr>
                <w:sz w:val="22"/>
                <w:szCs w:val="22"/>
              </w:rPr>
              <w:t>9</w:t>
            </w:r>
          </w:p>
        </w:tc>
        <w:tc>
          <w:tcPr>
            <w:tcW w:w="1752" w:type="dxa"/>
            <w:vMerge w:val="continue"/>
            <w:vAlign w:val="center"/>
          </w:tcPr>
          <w:p w14:paraId="247BD266">
            <w:pPr>
              <w:jc w:val="center"/>
              <w:rPr>
                <w:sz w:val="22"/>
                <w:szCs w:val="22"/>
              </w:rPr>
            </w:pPr>
          </w:p>
        </w:tc>
        <w:tc>
          <w:tcPr>
            <w:tcW w:w="944" w:type="dxa"/>
            <w:vMerge w:val="continue"/>
            <w:vAlign w:val="center"/>
          </w:tcPr>
          <w:p w14:paraId="3D434854">
            <w:pPr>
              <w:jc w:val="center"/>
              <w:rPr>
                <w:sz w:val="22"/>
                <w:szCs w:val="22"/>
              </w:rPr>
            </w:pPr>
          </w:p>
        </w:tc>
        <w:tc>
          <w:tcPr>
            <w:tcW w:w="1116" w:type="dxa"/>
            <w:noWrap/>
            <w:vAlign w:val="center"/>
          </w:tcPr>
          <w:p w14:paraId="593A9DF9">
            <w:pPr>
              <w:jc w:val="center"/>
              <w:rPr>
                <w:sz w:val="22"/>
                <w:szCs w:val="22"/>
              </w:rPr>
            </w:pPr>
            <w:r>
              <w:rPr>
                <w:sz w:val="22"/>
                <w:szCs w:val="22"/>
              </w:rPr>
              <w:t>23</w:t>
            </w:r>
          </w:p>
        </w:tc>
        <w:tc>
          <w:tcPr>
            <w:tcW w:w="1010" w:type="dxa"/>
            <w:noWrap/>
            <w:vAlign w:val="center"/>
          </w:tcPr>
          <w:p w14:paraId="38CB4308">
            <w:pPr>
              <w:jc w:val="center"/>
              <w:rPr>
                <w:sz w:val="22"/>
                <w:szCs w:val="22"/>
              </w:rPr>
            </w:pPr>
            <w:r>
              <w:rPr>
                <w:sz w:val="22"/>
                <w:szCs w:val="22"/>
              </w:rPr>
              <w:t>96,0</w:t>
            </w:r>
          </w:p>
        </w:tc>
        <w:tc>
          <w:tcPr>
            <w:tcW w:w="1591" w:type="dxa"/>
            <w:noWrap/>
            <w:vAlign w:val="center"/>
          </w:tcPr>
          <w:p w14:paraId="68D7611F">
            <w:pPr>
              <w:jc w:val="center"/>
              <w:rPr>
                <w:sz w:val="22"/>
                <w:szCs w:val="22"/>
              </w:rPr>
            </w:pPr>
            <w:r>
              <w:rPr>
                <w:sz w:val="22"/>
                <w:szCs w:val="22"/>
              </w:rPr>
              <w:t>960.000.000</w:t>
            </w:r>
          </w:p>
        </w:tc>
        <w:tc>
          <w:tcPr>
            <w:tcW w:w="1700" w:type="dxa"/>
            <w:vAlign w:val="center"/>
          </w:tcPr>
          <w:p w14:paraId="29B5CC96">
            <w:pPr>
              <w:jc w:val="center"/>
              <w:rPr>
                <w:sz w:val="22"/>
                <w:szCs w:val="22"/>
              </w:rPr>
            </w:pPr>
            <w:r>
              <w:rPr>
                <w:sz w:val="22"/>
                <w:szCs w:val="22"/>
              </w:rPr>
              <w:t>1.028.000.000</w:t>
            </w:r>
          </w:p>
        </w:tc>
        <w:tc>
          <w:tcPr>
            <w:tcW w:w="1140" w:type="dxa"/>
            <w:noWrap/>
            <w:vAlign w:val="center"/>
          </w:tcPr>
          <w:p w14:paraId="3E7666AA">
            <w:pPr>
              <w:jc w:val="center"/>
              <w:rPr>
                <w:sz w:val="22"/>
                <w:szCs w:val="22"/>
              </w:rPr>
            </w:pPr>
            <w:r>
              <w:rPr>
                <w:sz w:val="22"/>
                <w:szCs w:val="22"/>
              </w:rPr>
              <w:t>1,07%</w:t>
            </w:r>
          </w:p>
        </w:tc>
      </w:tr>
      <w:tr w14:paraId="2D3C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8B124B8">
            <w:pPr>
              <w:jc w:val="center"/>
              <w:rPr>
                <w:sz w:val="22"/>
                <w:szCs w:val="22"/>
              </w:rPr>
            </w:pPr>
            <w:r>
              <w:rPr>
                <w:sz w:val="22"/>
                <w:szCs w:val="22"/>
              </w:rPr>
              <w:t>10</w:t>
            </w:r>
          </w:p>
        </w:tc>
        <w:tc>
          <w:tcPr>
            <w:tcW w:w="1752" w:type="dxa"/>
            <w:vMerge w:val="continue"/>
            <w:vAlign w:val="center"/>
          </w:tcPr>
          <w:p w14:paraId="7EDA6B1A">
            <w:pPr>
              <w:jc w:val="center"/>
              <w:rPr>
                <w:sz w:val="22"/>
                <w:szCs w:val="22"/>
              </w:rPr>
            </w:pPr>
          </w:p>
        </w:tc>
        <w:tc>
          <w:tcPr>
            <w:tcW w:w="944" w:type="dxa"/>
            <w:vMerge w:val="continue"/>
            <w:vAlign w:val="center"/>
          </w:tcPr>
          <w:p w14:paraId="1C4BB07F">
            <w:pPr>
              <w:jc w:val="center"/>
              <w:rPr>
                <w:sz w:val="22"/>
                <w:szCs w:val="22"/>
              </w:rPr>
            </w:pPr>
          </w:p>
        </w:tc>
        <w:tc>
          <w:tcPr>
            <w:tcW w:w="1116" w:type="dxa"/>
            <w:noWrap/>
            <w:vAlign w:val="center"/>
          </w:tcPr>
          <w:p w14:paraId="1EBEA8EB">
            <w:pPr>
              <w:jc w:val="center"/>
              <w:rPr>
                <w:sz w:val="22"/>
                <w:szCs w:val="22"/>
              </w:rPr>
            </w:pPr>
            <w:r>
              <w:rPr>
                <w:sz w:val="22"/>
                <w:szCs w:val="22"/>
              </w:rPr>
              <w:t>24</w:t>
            </w:r>
          </w:p>
        </w:tc>
        <w:tc>
          <w:tcPr>
            <w:tcW w:w="1010" w:type="dxa"/>
            <w:noWrap/>
            <w:vAlign w:val="center"/>
          </w:tcPr>
          <w:p w14:paraId="1362FC5E">
            <w:pPr>
              <w:jc w:val="center"/>
              <w:rPr>
                <w:sz w:val="22"/>
                <w:szCs w:val="22"/>
              </w:rPr>
            </w:pPr>
            <w:r>
              <w:rPr>
                <w:sz w:val="22"/>
                <w:szCs w:val="22"/>
              </w:rPr>
              <w:t>96,0</w:t>
            </w:r>
          </w:p>
        </w:tc>
        <w:tc>
          <w:tcPr>
            <w:tcW w:w="1591" w:type="dxa"/>
            <w:noWrap/>
            <w:vAlign w:val="center"/>
          </w:tcPr>
          <w:p w14:paraId="57785014">
            <w:pPr>
              <w:jc w:val="center"/>
              <w:rPr>
                <w:sz w:val="22"/>
                <w:szCs w:val="22"/>
              </w:rPr>
            </w:pPr>
            <w:r>
              <w:rPr>
                <w:sz w:val="22"/>
                <w:szCs w:val="22"/>
              </w:rPr>
              <w:t>960.000.000</w:t>
            </w:r>
          </w:p>
        </w:tc>
        <w:tc>
          <w:tcPr>
            <w:tcW w:w="1700" w:type="dxa"/>
            <w:vAlign w:val="center"/>
          </w:tcPr>
          <w:p w14:paraId="3DA4F65E">
            <w:pPr>
              <w:jc w:val="center"/>
              <w:rPr>
                <w:sz w:val="22"/>
                <w:szCs w:val="22"/>
              </w:rPr>
            </w:pPr>
            <w:r>
              <w:rPr>
                <w:sz w:val="22"/>
                <w:szCs w:val="22"/>
              </w:rPr>
              <w:t>1.028.000.000</w:t>
            </w:r>
          </w:p>
        </w:tc>
        <w:tc>
          <w:tcPr>
            <w:tcW w:w="1140" w:type="dxa"/>
            <w:noWrap/>
            <w:vAlign w:val="center"/>
          </w:tcPr>
          <w:p w14:paraId="7C8C4B96">
            <w:pPr>
              <w:jc w:val="center"/>
              <w:rPr>
                <w:sz w:val="22"/>
                <w:szCs w:val="22"/>
              </w:rPr>
            </w:pPr>
            <w:r>
              <w:rPr>
                <w:sz w:val="22"/>
                <w:szCs w:val="22"/>
              </w:rPr>
              <w:t>1,07%</w:t>
            </w:r>
          </w:p>
        </w:tc>
      </w:tr>
      <w:tr w14:paraId="1709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D87552C">
            <w:pPr>
              <w:jc w:val="center"/>
              <w:rPr>
                <w:sz w:val="22"/>
                <w:szCs w:val="22"/>
              </w:rPr>
            </w:pPr>
          </w:p>
        </w:tc>
        <w:tc>
          <w:tcPr>
            <w:tcW w:w="1752" w:type="dxa"/>
            <w:vMerge w:val="continue"/>
            <w:vAlign w:val="center"/>
          </w:tcPr>
          <w:p w14:paraId="1BDB22CC">
            <w:pPr>
              <w:jc w:val="center"/>
              <w:rPr>
                <w:sz w:val="22"/>
                <w:szCs w:val="22"/>
              </w:rPr>
            </w:pPr>
          </w:p>
        </w:tc>
        <w:tc>
          <w:tcPr>
            <w:tcW w:w="944" w:type="dxa"/>
            <w:vMerge w:val="restart"/>
            <w:vAlign w:val="center"/>
          </w:tcPr>
          <w:p w14:paraId="40D2AD39">
            <w:pPr>
              <w:jc w:val="center"/>
              <w:rPr>
                <w:sz w:val="22"/>
                <w:szCs w:val="22"/>
              </w:rPr>
            </w:pPr>
            <w:r>
              <w:rPr>
                <w:sz w:val="22"/>
                <w:szCs w:val="22"/>
              </w:rPr>
              <w:t>LK02</w:t>
            </w:r>
          </w:p>
        </w:tc>
        <w:tc>
          <w:tcPr>
            <w:tcW w:w="1116" w:type="dxa"/>
            <w:noWrap/>
            <w:vAlign w:val="center"/>
          </w:tcPr>
          <w:p w14:paraId="6D4C37A0">
            <w:pPr>
              <w:jc w:val="center"/>
              <w:rPr>
                <w:sz w:val="22"/>
                <w:szCs w:val="22"/>
              </w:rPr>
            </w:pPr>
          </w:p>
        </w:tc>
        <w:tc>
          <w:tcPr>
            <w:tcW w:w="1010" w:type="dxa"/>
            <w:vAlign w:val="center"/>
          </w:tcPr>
          <w:p w14:paraId="1FFEDFC0">
            <w:pPr>
              <w:jc w:val="center"/>
              <w:rPr>
                <w:sz w:val="22"/>
                <w:szCs w:val="22"/>
              </w:rPr>
            </w:pPr>
            <w:r>
              <w:rPr>
                <w:sz w:val="22"/>
                <w:szCs w:val="22"/>
              </w:rPr>
              <w:t>204,0</w:t>
            </w:r>
          </w:p>
        </w:tc>
        <w:tc>
          <w:tcPr>
            <w:tcW w:w="1591" w:type="dxa"/>
            <w:vAlign w:val="center"/>
          </w:tcPr>
          <w:p w14:paraId="0FDA8E83">
            <w:pPr>
              <w:jc w:val="center"/>
              <w:rPr>
                <w:sz w:val="22"/>
                <w:szCs w:val="22"/>
              </w:rPr>
            </w:pPr>
            <w:r>
              <w:rPr>
                <w:sz w:val="22"/>
                <w:szCs w:val="22"/>
              </w:rPr>
              <w:t>2.142.000.000</w:t>
            </w:r>
          </w:p>
        </w:tc>
        <w:tc>
          <w:tcPr>
            <w:tcW w:w="1700" w:type="dxa"/>
            <w:vAlign w:val="center"/>
          </w:tcPr>
          <w:p w14:paraId="4E99EF30">
            <w:pPr>
              <w:jc w:val="center"/>
              <w:rPr>
                <w:sz w:val="22"/>
                <w:szCs w:val="22"/>
              </w:rPr>
            </w:pPr>
            <w:r>
              <w:rPr>
                <w:sz w:val="22"/>
                <w:szCs w:val="22"/>
              </w:rPr>
              <w:t>2.142.000.000</w:t>
            </w:r>
          </w:p>
        </w:tc>
        <w:tc>
          <w:tcPr>
            <w:tcW w:w="1140" w:type="dxa"/>
            <w:noWrap/>
            <w:vAlign w:val="center"/>
          </w:tcPr>
          <w:p w14:paraId="0279D5BD">
            <w:pPr>
              <w:jc w:val="center"/>
              <w:rPr>
                <w:sz w:val="22"/>
                <w:szCs w:val="22"/>
              </w:rPr>
            </w:pPr>
          </w:p>
        </w:tc>
      </w:tr>
      <w:tr w14:paraId="58B3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F3C5616">
            <w:pPr>
              <w:jc w:val="center"/>
              <w:rPr>
                <w:sz w:val="22"/>
                <w:szCs w:val="22"/>
              </w:rPr>
            </w:pPr>
            <w:r>
              <w:rPr>
                <w:sz w:val="22"/>
                <w:szCs w:val="22"/>
              </w:rPr>
              <w:t>11</w:t>
            </w:r>
          </w:p>
        </w:tc>
        <w:tc>
          <w:tcPr>
            <w:tcW w:w="1752" w:type="dxa"/>
            <w:vMerge w:val="continue"/>
            <w:vAlign w:val="center"/>
          </w:tcPr>
          <w:p w14:paraId="28BF6AE0">
            <w:pPr>
              <w:jc w:val="center"/>
              <w:rPr>
                <w:sz w:val="22"/>
                <w:szCs w:val="22"/>
              </w:rPr>
            </w:pPr>
          </w:p>
        </w:tc>
        <w:tc>
          <w:tcPr>
            <w:tcW w:w="944" w:type="dxa"/>
            <w:vMerge w:val="continue"/>
            <w:vAlign w:val="center"/>
          </w:tcPr>
          <w:p w14:paraId="5273E7E5">
            <w:pPr>
              <w:jc w:val="center"/>
              <w:rPr>
                <w:sz w:val="22"/>
                <w:szCs w:val="22"/>
              </w:rPr>
            </w:pPr>
          </w:p>
        </w:tc>
        <w:tc>
          <w:tcPr>
            <w:tcW w:w="1116" w:type="dxa"/>
            <w:noWrap/>
            <w:vAlign w:val="center"/>
          </w:tcPr>
          <w:p w14:paraId="439411D6">
            <w:pPr>
              <w:jc w:val="center"/>
              <w:rPr>
                <w:sz w:val="22"/>
                <w:szCs w:val="22"/>
              </w:rPr>
            </w:pPr>
            <w:r>
              <w:rPr>
                <w:sz w:val="22"/>
                <w:szCs w:val="22"/>
              </w:rPr>
              <w:t>12</w:t>
            </w:r>
          </w:p>
        </w:tc>
        <w:tc>
          <w:tcPr>
            <w:tcW w:w="1010" w:type="dxa"/>
            <w:noWrap/>
            <w:vAlign w:val="center"/>
          </w:tcPr>
          <w:p w14:paraId="227D09D3">
            <w:pPr>
              <w:jc w:val="center"/>
              <w:rPr>
                <w:sz w:val="22"/>
                <w:szCs w:val="22"/>
              </w:rPr>
            </w:pPr>
            <w:r>
              <w:rPr>
                <w:sz w:val="22"/>
                <w:szCs w:val="22"/>
              </w:rPr>
              <w:t>102,0</w:t>
            </w:r>
          </w:p>
        </w:tc>
        <w:tc>
          <w:tcPr>
            <w:tcW w:w="1591" w:type="dxa"/>
            <w:noWrap/>
            <w:vAlign w:val="center"/>
          </w:tcPr>
          <w:p w14:paraId="31EE9747">
            <w:pPr>
              <w:jc w:val="center"/>
              <w:rPr>
                <w:sz w:val="22"/>
                <w:szCs w:val="22"/>
              </w:rPr>
            </w:pPr>
            <w:r>
              <w:rPr>
                <w:sz w:val="22"/>
                <w:szCs w:val="22"/>
              </w:rPr>
              <w:t>1.071.000.000</w:t>
            </w:r>
          </w:p>
        </w:tc>
        <w:tc>
          <w:tcPr>
            <w:tcW w:w="1700" w:type="dxa"/>
            <w:vAlign w:val="center"/>
          </w:tcPr>
          <w:p w14:paraId="292E5E67">
            <w:pPr>
              <w:jc w:val="center"/>
              <w:rPr>
                <w:sz w:val="22"/>
                <w:szCs w:val="22"/>
              </w:rPr>
            </w:pPr>
            <w:r>
              <w:rPr>
                <w:sz w:val="22"/>
                <w:szCs w:val="22"/>
              </w:rPr>
              <w:t>1.071.000.000</w:t>
            </w:r>
          </w:p>
        </w:tc>
        <w:tc>
          <w:tcPr>
            <w:tcW w:w="1140" w:type="dxa"/>
            <w:noWrap/>
            <w:vAlign w:val="center"/>
          </w:tcPr>
          <w:p w14:paraId="72E86690">
            <w:pPr>
              <w:jc w:val="center"/>
              <w:rPr>
                <w:sz w:val="22"/>
                <w:szCs w:val="22"/>
              </w:rPr>
            </w:pPr>
            <w:r>
              <w:rPr>
                <w:sz w:val="22"/>
                <w:szCs w:val="22"/>
              </w:rPr>
              <w:t>1,00%</w:t>
            </w:r>
          </w:p>
        </w:tc>
      </w:tr>
      <w:tr w14:paraId="08C9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CCDA686">
            <w:pPr>
              <w:jc w:val="center"/>
              <w:rPr>
                <w:sz w:val="22"/>
                <w:szCs w:val="22"/>
              </w:rPr>
            </w:pPr>
            <w:r>
              <w:rPr>
                <w:sz w:val="22"/>
                <w:szCs w:val="22"/>
              </w:rPr>
              <w:t>12</w:t>
            </w:r>
          </w:p>
        </w:tc>
        <w:tc>
          <w:tcPr>
            <w:tcW w:w="1752" w:type="dxa"/>
            <w:vMerge w:val="continue"/>
            <w:vAlign w:val="center"/>
          </w:tcPr>
          <w:p w14:paraId="787A601B">
            <w:pPr>
              <w:jc w:val="center"/>
              <w:rPr>
                <w:sz w:val="22"/>
                <w:szCs w:val="22"/>
              </w:rPr>
            </w:pPr>
          </w:p>
        </w:tc>
        <w:tc>
          <w:tcPr>
            <w:tcW w:w="944" w:type="dxa"/>
            <w:vMerge w:val="continue"/>
            <w:vAlign w:val="center"/>
          </w:tcPr>
          <w:p w14:paraId="09C5EEB6">
            <w:pPr>
              <w:jc w:val="center"/>
              <w:rPr>
                <w:sz w:val="22"/>
                <w:szCs w:val="22"/>
              </w:rPr>
            </w:pPr>
          </w:p>
        </w:tc>
        <w:tc>
          <w:tcPr>
            <w:tcW w:w="1116" w:type="dxa"/>
            <w:noWrap/>
            <w:vAlign w:val="center"/>
          </w:tcPr>
          <w:p w14:paraId="09637C2F">
            <w:pPr>
              <w:jc w:val="center"/>
              <w:rPr>
                <w:sz w:val="22"/>
                <w:szCs w:val="22"/>
              </w:rPr>
            </w:pPr>
            <w:r>
              <w:rPr>
                <w:sz w:val="22"/>
                <w:szCs w:val="22"/>
              </w:rPr>
              <w:t>13</w:t>
            </w:r>
          </w:p>
        </w:tc>
        <w:tc>
          <w:tcPr>
            <w:tcW w:w="1010" w:type="dxa"/>
            <w:noWrap/>
            <w:vAlign w:val="center"/>
          </w:tcPr>
          <w:p w14:paraId="489FD62A">
            <w:pPr>
              <w:jc w:val="center"/>
              <w:rPr>
                <w:sz w:val="22"/>
                <w:szCs w:val="22"/>
              </w:rPr>
            </w:pPr>
            <w:r>
              <w:rPr>
                <w:sz w:val="22"/>
                <w:szCs w:val="22"/>
              </w:rPr>
              <w:t>102,0</w:t>
            </w:r>
          </w:p>
        </w:tc>
        <w:tc>
          <w:tcPr>
            <w:tcW w:w="1591" w:type="dxa"/>
            <w:noWrap/>
            <w:vAlign w:val="center"/>
          </w:tcPr>
          <w:p w14:paraId="36E7E0DA">
            <w:pPr>
              <w:jc w:val="center"/>
              <w:rPr>
                <w:sz w:val="22"/>
                <w:szCs w:val="22"/>
              </w:rPr>
            </w:pPr>
            <w:r>
              <w:rPr>
                <w:sz w:val="22"/>
                <w:szCs w:val="22"/>
              </w:rPr>
              <w:t>1.071.000.000</w:t>
            </w:r>
          </w:p>
        </w:tc>
        <w:tc>
          <w:tcPr>
            <w:tcW w:w="1700" w:type="dxa"/>
            <w:vAlign w:val="center"/>
          </w:tcPr>
          <w:p w14:paraId="78A9CBA1">
            <w:pPr>
              <w:jc w:val="center"/>
              <w:rPr>
                <w:sz w:val="22"/>
                <w:szCs w:val="22"/>
              </w:rPr>
            </w:pPr>
            <w:r>
              <w:rPr>
                <w:sz w:val="22"/>
                <w:szCs w:val="22"/>
              </w:rPr>
              <w:t>1.071.000.000</w:t>
            </w:r>
          </w:p>
        </w:tc>
        <w:tc>
          <w:tcPr>
            <w:tcW w:w="1140" w:type="dxa"/>
            <w:noWrap/>
            <w:vAlign w:val="center"/>
          </w:tcPr>
          <w:p w14:paraId="24F5E7C9">
            <w:pPr>
              <w:jc w:val="center"/>
              <w:rPr>
                <w:sz w:val="22"/>
                <w:szCs w:val="22"/>
              </w:rPr>
            </w:pPr>
            <w:r>
              <w:rPr>
                <w:sz w:val="22"/>
                <w:szCs w:val="22"/>
              </w:rPr>
              <w:t>1,00%</w:t>
            </w:r>
          </w:p>
        </w:tc>
      </w:tr>
      <w:tr w14:paraId="750F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0CD67E9">
            <w:pPr>
              <w:jc w:val="center"/>
              <w:rPr>
                <w:sz w:val="22"/>
                <w:szCs w:val="22"/>
              </w:rPr>
            </w:pPr>
          </w:p>
        </w:tc>
        <w:tc>
          <w:tcPr>
            <w:tcW w:w="1752" w:type="dxa"/>
            <w:vMerge w:val="continue"/>
            <w:vAlign w:val="center"/>
          </w:tcPr>
          <w:p w14:paraId="231821D9">
            <w:pPr>
              <w:jc w:val="center"/>
              <w:rPr>
                <w:sz w:val="22"/>
                <w:szCs w:val="22"/>
              </w:rPr>
            </w:pPr>
          </w:p>
        </w:tc>
        <w:tc>
          <w:tcPr>
            <w:tcW w:w="944" w:type="dxa"/>
            <w:vMerge w:val="restart"/>
            <w:vAlign w:val="center"/>
          </w:tcPr>
          <w:p w14:paraId="6FD75141">
            <w:pPr>
              <w:jc w:val="center"/>
              <w:rPr>
                <w:sz w:val="22"/>
                <w:szCs w:val="22"/>
              </w:rPr>
            </w:pPr>
            <w:r>
              <w:rPr>
                <w:sz w:val="22"/>
                <w:szCs w:val="22"/>
              </w:rPr>
              <w:t>LK03</w:t>
            </w:r>
          </w:p>
        </w:tc>
        <w:tc>
          <w:tcPr>
            <w:tcW w:w="1116" w:type="dxa"/>
            <w:noWrap/>
            <w:vAlign w:val="center"/>
          </w:tcPr>
          <w:p w14:paraId="32551922">
            <w:pPr>
              <w:jc w:val="center"/>
              <w:rPr>
                <w:sz w:val="22"/>
                <w:szCs w:val="22"/>
              </w:rPr>
            </w:pPr>
          </w:p>
        </w:tc>
        <w:tc>
          <w:tcPr>
            <w:tcW w:w="1010" w:type="dxa"/>
            <w:noWrap/>
            <w:vAlign w:val="center"/>
          </w:tcPr>
          <w:p w14:paraId="05B20433">
            <w:pPr>
              <w:jc w:val="center"/>
              <w:rPr>
                <w:sz w:val="22"/>
                <w:szCs w:val="22"/>
              </w:rPr>
            </w:pPr>
            <w:r>
              <w:rPr>
                <w:sz w:val="22"/>
                <w:szCs w:val="22"/>
              </w:rPr>
              <w:t>1029</w:t>
            </w:r>
          </w:p>
        </w:tc>
        <w:tc>
          <w:tcPr>
            <w:tcW w:w="1591" w:type="dxa"/>
            <w:noWrap/>
            <w:vAlign w:val="center"/>
          </w:tcPr>
          <w:p w14:paraId="1957B9A6">
            <w:pPr>
              <w:jc w:val="center"/>
              <w:rPr>
                <w:sz w:val="22"/>
                <w:szCs w:val="22"/>
              </w:rPr>
            </w:pPr>
            <w:r>
              <w:rPr>
                <w:sz w:val="22"/>
                <w:szCs w:val="22"/>
              </w:rPr>
              <w:t>10.833.600.000</w:t>
            </w:r>
          </w:p>
        </w:tc>
        <w:tc>
          <w:tcPr>
            <w:tcW w:w="1700" w:type="dxa"/>
            <w:noWrap/>
            <w:vAlign w:val="center"/>
          </w:tcPr>
          <w:p w14:paraId="5579D3B8">
            <w:pPr>
              <w:jc w:val="center"/>
              <w:rPr>
                <w:sz w:val="22"/>
                <w:szCs w:val="22"/>
              </w:rPr>
            </w:pPr>
            <w:r>
              <w:rPr>
                <w:sz w:val="22"/>
                <w:szCs w:val="22"/>
              </w:rPr>
              <w:t>11.112.900.000</w:t>
            </w:r>
          </w:p>
        </w:tc>
        <w:tc>
          <w:tcPr>
            <w:tcW w:w="1140" w:type="dxa"/>
            <w:noWrap/>
            <w:vAlign w:val="center"/>
          </w:tcPr>
          <w:p w14:paraId="3DBC1F72">
            <w:pPr>
              <w:jc w:val="center"/>
              <w:rPr>
                <w:sz w:val="22"/>
                <w:szCs w:val="22"/>
              </w:rPr>
            </w:pPr>
          </w:p>
        </w:tc>
      </w:tr>
      <w:tr w14:paraId="3668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4C8251C">
            <w:pPr>
              <w:jc w:val="center"/>
              <w:rPr>
                <w:sz w:val="22"/>
                <w:szCs w:val="22"/>
              </w:rPr>
            </w:pPr>
            <w:r>
              <w:rPr>
                <w:sz w:val="22"/>
                <w:szCs w:val="22"/>
              </w:rPr>
              <w:t>13</w:t>
            </w:r>
          </w:p>
        </w:tc>
        <w:tc>
          <w:tcPr>
            <w:tcW w:w="1752" w:type="dxa"/>
            <w:vMerge w:val="continue"/>
            <w:vAlign w:val="center"/>
          </w:tcPr>
          <w:p w14:paraId="6D448600">
            <w:pPr>
              <w:jc w:val="center"/>
              <w:rPr>
                <w:sz w:val="22"/>
                <w:szCs w:val="22"/>
              </w:rPr>
            </w:pPr>
          </w:p>
        </w:tc>
        <w:tc>
          <w:tcPr>
            <w:tcW w:w="944" w:type="dxa"/>
            <w:vMerge w:val="continue"/>
            <w:vAlign w:val="center"/>
          </w:tcPr>
          <w:p w14:paraId="78D59E3D">
            <w:pPr>
              <w:jc w:val="center"/>
              <w:rPr>
                <w:sz w:val="22"/>
                <w:szCs w:val="22"/>
              </w:rPr>
            </w:pPr>
          </w:p>
        </w:tc>
        <w:tc>
          <w:tcPr>
            <w:tcW w:w="1116" w:type="dxa"/>
            <w:noWrap/>
            <w:vAlign w:val="center"/>
          </w:tcPr>
          <w:p w14:paraId="36248E42">
            <w:pPr>
              <w:jc w:val="center"/>
              <w:rPr>
                <w:sz w:val="22"/>
                <w:szCs w:val="22"/>
              </w:rPr>
            </w:pPr>
            <w:r>
              <w:rPr>
                <w:sz w:val="22"/>
                <w:szCs w:val="22"/>
              </w:rPr>
              <w:t>1</w:t>
            </w:r>
          </w:p>
        </w:tc>
        <w:tc>
          <w:tcPr>
            <w:tcW w:w="1010" w:type="dxa"/>
            <w:noWrap/>
            <w:vAlign w:val="center"/>
          </w:tcPr>
          <w:p w14:paraId="33725CCF">
            <w:pPr>
              <w:jc w:val="center"/>
              <w:rPr>
                <w:sz w:val="22"/>
                <w:szCs w:val="22"/>
              </w:rPr>
            </w:pPr>
            <w:r>
              <w:rPr>
                <w:sz w:val="22"/>
                <w:szCs w:val="22"/>
              </w:rPr>
              <w:t>111,0</w:t>
            </w:r>
          </w:p>
        </w:tc>
        <w:tc>
          <w:tcPr>
            <w:tcW w:w="1591" w:type="dxa"/>
            <w:noWrap/>
            <w:vAlign w:val="center"/>
          </w:tcPr>
          <w:p w14:paraId="455F3B14">
            <w:pPr>
              <w:jc w:val="center"/>
              <w:rPr>
                <w:sz w:val="22"/>
                <w:szCs w:val="22"/>
              </w:rPr>
            </w:pPr>
            <w:r>
              <w:rPr>
                <w:sz w:val="22"/>
                <w:szCs w:val="22"/>
              </w:rPr>
              <w:t>1.398.600.000</w:t>
            </w:r>
          </w:p>
        </w:tc>
        <w:tc>
          <w:tcPr>
            <w:tcW w:w="1700" w:type="dxa"/>
            <w:vAlign w:val="center"/>
          </w:tcPr>
          <w:p w14:paraId="716A4BD9">
            <w:pPr>
              <w:jc w:val="center"/>
              <w:rPr>
                <w:sz w:val="22"/>
                <w:szCs w:val="22"/>
              </w:rPr>
            </w:pPr>
            <w:r>
              <w:rPr>
                <w:sz w:val="22"/>
                <w:szCs w:val="22"/>
              </w:rPr>
              <w:t>1.416.900.000</w:t>
            </w:r>
          </w:p>
        </w:tc>
        <w:tc>
          <w:tcPr>
            <w:tcW w:w="1140" w:type="dxa"/>
            <w:noWrap/>
            <w:vAlign w:val="center"/>
          </w:tcPr>
          <w:p w14:paraId="15ECBF04">
            <w:pPr>
              <w:jc w:val="center"/>
              <w:rPr>
                <w:sz w:val="22"/>
                <w:szCs w:val="22"/>
              </w:rPr>
            </w:pPr>
            <w:r>
              <w:rPr>
                <w:sz w:val="22"/>
                <w:szCs w:val="22"/>
              </w:rPr>
              <w:t>1,01%</w:t>
            </w:r>
          </w:p>
        </w:tc>
      </w:tr>
      <w:tr w14:paraId="025D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CBE6643">
            <w:pPr>
              <w:jc w:val="center"/>
              <w:rPr>
                <w:sz w:val="22"/>
                <w:szCs w:val="22"/>
              </w:rPr>
            </w:pPr>
            <w:r>
              <w:rPr>
                <w:sz w:val="22"/>
                <w:szCs w:val="22"/>
              </w:rPr>
              <w:t>14</w:t>
            </w:r>
          </w:p>
        </w:tc>
        <w:tc>
          <w:tcPr>
            <w:tcW w:w="1752" w:type="dxa"/>
            <w:vMerge w:val="continue"/>
            <w:vAlign w:val="center"/>
          </w:tcPr>
          <w:p w14:paraId="5F661A30">
            <w:pPr>
              <w:jc w:val="center"/>
              <w:rPr>
                <w:sz w:val="22"/>
                <w:szCs w:val="22"/>
              </w:rPr>
            </w:pPr>
          </w:p>
        </w:tc>
        <w:tc>
          <w:tcPr>
            <w:tcW w:w="944" w:type="dxa"/>
            <w:vMerge w:val="continue"/>
            <w:vAlign w:val="center"/>
          </w:tcPr>
          <w:p w14:paraId="6B079B65">
            <w:pPr>
              <w:jc w:val="center"/>
              <w:rPr>
                <w:sz w:val="22"/>
                <w:szCs w:val="22"/>
              </w:rPr>
            </w:pPr>
          </w:p>
        </w:tc>
        <w:tc>
          <w:tcPr>
            <w:tcW w:w="1116" w:type="dxa"/>
            <w:noWrap/>
            <w:vAlign w:val="center"/>
          </w:tcPr>
          <w:p w14:paraId="1DE16A7A">
            <w:pPr>
              <w:jc w:val="center"/>
              <w:rPr>
                <w:sz w:val="22"/>
                <w:szCs w:val="22"/>
              </w:rPr>
            </w:pPr>
            <w:r>
              <w:rPr>
                <w:sz w:val="22"/>
                <w:szCs w:val="22"/>
              </w:rPr>
              <w:t>2</w:t>
            </w:r>
          </w:p>
        </w:tc>
        <w:tc>
          <w:tcPr>
            <w:tcW w:w="1010" w:type="dxa"/>
            <w:noWrap/>
            <w:vAlign w:val="center"/>
          </w:tcPr>
          <w:p w14:paraId="6BBE9CAA">
            <w:pPr>
              <w:jc w:val="center"/>
              <w:rPr>
                <w:sz w:val="22"/>
                <w:szCs w:val="22"/>
              </w:rPr>
            </w:pPr>
            <w:r>
              <w:rPr>
                <w:sz w:val="22"/>
                <w:szCs w:val="22"/>
              </w:rPr>
              <w:t>102,0</w:t>
            </w:r>
          </w:p>
        </w:tc>
        <w:tc>
          <w:tcPr>
            <w:tcW w:w="1591" w:type="dxa"/>
            <w:noWrap/>
            <w:vAlign w:val="center"/>
          </w:tcPr>
          <w:p w14:paraId="0A8D1781">
            <w:pPr>
              <w:jc w:val="center"/>
              <w:rPr>
                <w:sz w:val="22"/>
                <w:szCs w:val="22"/>
              </w:rPr>
            </w:pPr>
            <w:r>
              <w:rPr>
                <w:sz w:val="22"/>
                <w:szCs w:val="22"/>
              </w:rPr>
              <w:t>1.071.000.000</w:t>
            </w:r>
          </w:p>
        </w:tc>
        <w:tc>
          <w:tcPr>
            <w:tcW w:w="1700" w:type="dxa"/>
            <w:vAlign w:val="center"/>
          </w:tcPr>
          <w:p w14:paraId="61CB5926">
            <w:pPr>
              <w:jc w:val="center"/>
              <w:rPr>
                <w:sz w:val="22"/>
                <w:szCs w:val="22"/>
              </w:rPr>
            </w:pPr>
            <w:r>
              <w:rPr>
                <w:sz w:val="22"/>
                <w:szCs w:val="22"/>
              </w:rPr>
              <w:t>1.138.000.000</w:t>
            </w:r>
          </w:p>
        </w:tc>
        <w:tc>
          <w:tcPr>
            <w:tcW w:w="1140" w:type="dxa"/>
            <w:noWrap/>
            <w:vAlign w:val="center"/>
          </w:tcPr>
          <w:p w14:paraId="5127E3DD">
            <w:pPr>
              <w:jc w:val="center"/>
              <w:rPr>
                <w:sz w:val="22"/>
                <w:szCs w:val="22"/>
              </w:rPr>
            </w:pPr>
            <w:r>
              <w:rPr>
                <w:sz w:val="22"/>
                <w:szCs w:val="22"/>
              </w:rPr>
              <w:t>1,06%</w:t>
            </w:r>
          </w:p>
        </w:tc>
      </w:tr>
      <w:tr w14:paraId="04B5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8EC88B9">
            <w:pPr>
              <w:jc w:val="center"/>
              <w:rPr>
                <w:sz w:val="22"/>
                <w:szCs w:val="22"/>
              </w:rPr>
            </w:pPr>
            <w:r>
              <w:rPr>
                <w:sz w:val="22"/>
                <w:szCs w:val="22"/>
              </w:rPr>
              <w:t>15</w:t>
            </w:r>
          </w:p>
        </w:tc>
        <w:tc>
          <w:tcPr>
            <w:tcW w:w="1752" w:type="dxa"/>
            <w:vMerge w:val="continue"/>
            <w:vAlign w:val="center"/>
          </w:tcPr>
          <w:p w14:paraId="0545FF8C">
            <w:pPr>
              <w:jc w:val="center"/>
              <w:rPr>
                <w:sz w:val="22"/>
                <w:szCs w:val="22"/>
              </w:rPr>
            </w:pPr>
          </w:p>
        </w:tc>
        <w:tc>
          <w:tcPr>
            <w:tcW w:w="944" w:type="dxa"/>
            <w:vMerge w:val="continue"/>
            <w:vAlign w:val="center"/>
          </w:tcPr>
          <w:p w14:paraId="69695C46">
            <w:pPr>
              <w:jc w:val="center"/>
              <w:rPr>
                <w:sz w:val="22"/>
                <w:szCs w:val="22"/>
              </w:rPr>
            </w:pPr>
          </w:p>
        </w:tc>
        <w:tc>
          <w:tcPr>
            <w:tcW w:w="1116" w:type="dxa"/>
            <w:noWrap/>
            <w:vAlign w:val="center"/>
          </w:tcPr>
          <w:p w14:paraId="0A05CF09">
            <w:pPr>
              <w:jc w:val="center"/>
              <w:rPr>
                <w:sz w:val="22"/>
                <w:szCs w:val="22"/>
              </w:rPr>
            </w:pPr>
            <w:r>
              <w:rPr>
                <w:sz w:val="22"/>
                <w:szCs w:val="22"/>
              </w:rPr>
              <w:t>3</w:t>
            </w:r>
          </w:p>
        </w:tc>
        <w:tc>
          <w:tcPr>
            <w:tcW w:w="1010" w:type="dxa"/>
            <w:noWrap/>
            <w:vAlign w:val="center"/>
          </w:tcPr>
          <w:p w14:paraId="1BE44B70">
            <w:pPr>
              <w:jc w:val="center"/>
              <w:rPr>
                <w:sz w:val="22"/>
                <w:szCs w:val="22"/>
              </w:rPr>
            </w:pPr>
            <w:r>
              <w:rPr>
                <w:sz w:val="22"/>
                <w:szCs w:val="22"/>
              </w:rPr>
              <w:t>102,0</w:t>
            </w:r>
          </w:p>
        </w:tc>
        <w:tc>
          <w:tcPr>
            <w:tcW w:w="1591" w:type="dxa"/>
            <w:noWrap/>
            <w:vAlign w:val="center"/>
          </w:tcPr>
          <w:p w14:paraId="202EBFE3">
            <w:pPr>
              <w:jc w:val="center"/>
              <w:rPr>
                <w:sz w:val="22"/>
                <w:szCs w:val="22"/>
              </w:rPr>
            </w:pPr>
            <w:r>
              <w:rPr>
                <w:sz w:val="22"/>
                <w:szCs w:val="22"/>
              </w:rPr>
              <w:t>1.071.000.000</w:t>
            </w:r>
          </w:p>
        </w:tc>
        <w:tc>
          <w:tcPr>
            <w:tcW w:w="1700" w:type="dxa"/>
            <w:vAlign w:val="center"/>
          </w:tcPr>
          <w:p w14:paraId="3C8423C8">
            <w:pPr>
              <w:jc w:val="center"/>
              <w:rPr>
                <w:sz w:val="22"/>
                <w:szCs w:val="22"/>
              </w:rPr>
            </w:pPr>
            <w:r>
              <w:rPr>
                <w:sz w:val="22"/>
                <w:szCs w:val="22"/>
              </w:rPr>
              <w:t>1.109.000.000</w:t>
            </w:r>
          </w:p>
        </w:tc>
        <w:tc>
          <w:tcPr>
            <w:tcW w:w="1140" w:type="dxa"/>
            <w:noWrap/>
            <w:vAlign w:val="center"/>
          </w:tcPr>
          <w:p w14:paraId="345D91F7">
            <w:pPr>
              <w:jc w:val="center"/>
              <w:rPr>
                <w:sz w:val="22"/>
                <w:szCs w:val="22"/>
              </w:rPr>
            </w:pPr>
            <w:r>
              <w:rPr>
                <w:sz w:val="22"/>
                <w:szCs w:val="22"/>
              </w:rPr>
              <w:t>1,04%</w:t>
            </w:r>
          </w:p>
        </w:tc>
      </w:tr>
      <w:tr w14:paraId="5A96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F9E023C">
            <w:pPr>
              <w:jc w:val="center"/>
              <w:rPr>
                <w:sz w:val="22"/>
                <w:szCs w:val="22"/>
              </w:rPr>
            </w:pPr>
            <w:r>
              <w:rPr>
                <w:sz w:val="22"/>
                <w:szCs w:val="22"/>
              </w:rPr>
              <w:t>16</w:t>
            </w:r>
          </w:p>
        </w:tc>
        <w:tc>
          <w:tcPr>
            <w:tcW w:w="1752" w:type="dxa"/>
            <w:vMerge w:val="continue"/>
            <w:vAlign w:val="center"/>
          </w:tcPr>
          <w:p w14:paraId="2BC889FF">
            <w:pPr>
              <w:jc w:val="center"/>
              <w:rPr>
                <w:sz w:val="22"/>
                <w:szCs w:val="22"/>
              </w:rPr>
            </w:pPr>
          </w:p>
        </w:tc>
        <w:tc>
          <w:tcPr>
            <w:tcW w:w="944" w:type="dxa"/>
            <w:vMerge w:val="continue"/>
            <w:vAlign w:val="center"/>
          </w:tcPr>
          <w:p w14:paraId="4762B914">
            <w:pPr>
              <w:jc w:val="center"/>
              <w:rPr>
                <w:sz w:val="22"/>
                <w:szCs w:val="22"/>
              </w:rPr>
            </w:pPr>
          </w:p>
        </w:tc>
        <w:tc>
          <w:tcPr>
            <w:tcW w:w="1116" w:type="dxa"/>
            <w:noWrap/>
            <w:vAlign w:val="center"/>
          </w:tcPr>
          <w:p w14:paraId="31630C02">
            <w:pPr>
              <w:jc w:val="center"/>
              <w:rPr>
                <w:sz w:val="22"/>
                <w:szCs w:val="22"/>
              </w:rPr>
            </w:pPr>
            <w:r>
              <w:rPr>
                <w:sz w:val="22"/>
                <w:szCs w:val="22"/>
              </w:rPr>
              <w:t>4</w:t>
            </w:r>
          </w:p>
        </w:tc>
        <w:tc>
          <w:tcPr>
            <w:tcW w:w="1010" w:type="dxa"/>
            <w:noWrap/>
            <w:vAlign w:val="center"/>
          </w:tcPr>
          <w:p w14:paraId="3FD0771A">
            <w:pPr>
              <w:jc w:val="center"/>
              <w:rPr>
                <w:sz w:val="22"/>
                <w:szCs w:val="22"/>
              </w:rPr>
            </w:pPr>
            <w:r>
              <w:rPr>
                <w:sz w:val="22"/>
                <w:szCs w:val="22"/>
              </w:rPr>
              <w:t>102,0</w:t>
            </w:r>
          </w:p>
        </w:tc>
        <w:tc>
          <w:tcPr>
            <w:tcW w:w="1591" w:type="dxa"/>
            <w:noWrap/>
            <w:vAlign w:val="center"/>
          </w:tcPr>
          <w:p w14:paraId="3B75FA23">
            <w:pPr>
              <w:jc w:val="center"/>
              <w:rPr>
                <w:sz w:val="22"/>
                <w:szCs w:val="22"/>
              </w:rPr>
            </w:pPr>
            <w:r>
              <w:rPr>
                <w:sz w:val="22"/>
                <w:szCs w:val="22"/>
              </w:rPr>
              <w:t>1.071.000.000</w:t>
            </w:r>
          </w:p>
        </w:tc>
        <w:tc>
          <w:tcPr>
            <w:tcW w:w="1700" w:type="dxa"/>
            <w:vAlign w:val="center"/>
          </w:tcPr>
          <w:p w14:paraId="3809D473">
            <w:pPr>
              <w:jc w:val="center"/>
              <w:rPr>
                <w:sz w:val="22"/>
                <w:szCs w:val="22"/>
              </w:rPr>
            </w:pPr>
            <w:r>
              <w:rPr>
                <w:sz w:val="22"/>
                <w:szCs w:val="22"/>
              </w:rPr>
              <w:t>1.109.000.000</w:t>
            </w:r>
          </w:p>
        </w:tc>
        <w:tc>
          <w:tcPr>
            <w:tcW w:w="1140" w:type="dxa"/>
            <w:noWrap/>
            <w:vAlign w:val="center"/>
          </w:tcPr>
          <w:p w14:paraId="6C282168">
            <w:pPr>
              <w:jc w:val="center"/>
              <w:rPr>
                <w:sz w:val="22"/>
                <w:szCs w:val="22"/>
              </w:rPr>
            </w:pPr>
            <w:r>
              <w:rPr>
                <w:sz w:val="22"/>
                <w:szCs w:val="22"/>
              </w:rPr>
              <w:t>1,04%</w:t>
            </w:r>
          </w:p>
        </w:tc>
      </w:tr>
      <w:tr w14:paraId="0ECC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BB754B5">
            <w:pPr>
              <w:jc w:val="center"/>
              <w:rPr>
                <w:sz w:val="22"/>
                <w:szCs w:val="22"/>
              </w:rPr>
            </w:pPr>
            <w:r>
              <w:rPr>
                <w:sz w:val="22"/>
                <w:szCs w:val="22"/>
              </w:rPr>
              <w:t>17</w:t>
            </w:r>
          </w:p>
        </w:tc>
        <w:tc>
          <w:tcPr>
            <w:tcW w:w="1752" w:type="dxa"/>
            <w:vMerge w:val="continue"/>
            <w:vAlign w:val="center"/>
          </w:tcPr>
          <w:p w14:paraId="23398084">
            <w:pPr>
              <w:jc w:val="center"/>
              <w:rPr>
                <w:sz w:val="22"/>
                <w:szCs w:val="22"/>
              </w:rPr>
            </w:pPr>
          </w:p>
        </w:tc>
        <w:tc>
          <w:tcPr>
            <w:tcW w:w="944" w:type="dxa"/>
            <w:vMerge w:val="continue"/>
            <w:vAlign w:val="center"/>
          </w:tcPr>
          <w:p w14:paraId="70041CD8">
            <w:pPr>
              <w:jc w:val="center"/>
              <w:rPr>
                <w:sz w:val="22"/>
                <w:szCs w:val="22"/>
              </w:rPr>
            </w:pPr>
          </w:p>
        </w:tc>
        <w:tc>
          <w:tcPr>
            <w:tcW w:w="1116" w:type="dxa"/>
            <w:noWrap/>
            <w:vAlign w:val="center"/>
          </w:tcPr>
          <w:p w14:paraId="68D382F4">
            <w:pPr>
              <w:jc w:val="center"/>
              <w:rPr>
                <w:sz w:val="22"/>
                <w:szCs w:val="22"/>
              </w:rPr>
            </w:pPr>
            <w:r>
              <w:rPr>
                <w:sz w:val="22"/>
                <w:szCs w:val="22"/>
              </w:rPr>
              <w:t>8</w:t>
            </w:r>
          </w:p>
        </w:tc>
        <w:tc>
          <w:tcPr>
            <w:tcW w:w="1010" w:type="dxa"/>
            <w:noWrap/>
            <w:vAlign w:val="center"/>
          </w:tcPr>
          <w:p w14:paraId="1553A77B">
            <w:pPr>
              <w:jc w:val="center"/>
              <w:rPr>
                <w:sz w:val="22"/>
                <w:szCs w:val="22"/>
              </w:rPr>
            </w:pPr>
            <w:r>
              <w:rPr>
                <w:sz w:val="22"/>
                <w:szCs w:val="22"/>
              </w:rPr>
              <w:t>102,0</w:t>
            </w:r>
          </w:p>
        </w:tc>
        <w:tc>
          <w:tcPr>
            <w:tcW w:w="1591" w:type="dxa"/>
            <w:noWrap/>
            <w:vAlign w:val="center"/>
          </w:tcPr>
          <w:p w14:paraId="454CCF2F">
            <w:pPr>
              <w:jc w:val="center"/>
              <w:rPr>
                <w:sz w:val="22"/>
                <w:szCs w:val="22"/>
              </w:rPr>
            </w:pPr>
            <w:r>
              <w:rPr>
                <w:sz w:val="22"/>
                <w:szCs w:val="22"/>
              </w:rPr>
              <w:t>1.071.000.000</w:t>
            </w:r>
          </w:p>
        </w:tc>
        <w:tc>
          <w:tcPr>
            <w:tcW w:w="1700" w:type="dxa"/>
            <w:vAlign w:val="center"/>
          </w:tcPr>
          <w:p w14:paraId="2EB50C13">
            <w:pPr>
              <w:jc w:val="center"/>
              <w:rPr>
                <w:sz w:val="22"/>
                <w:szCs w:val="22"/>
              </w:rPr>
            </w:pPr>
            <w:r>
              <w:rPr>
                <w:sz w:val="22"/>
                <w:szCs w:val="22"/>
              </w:rPr>
              <w:t>1.090.000.000</w:t>
            </w:r>
          </w:p>
        </w:tc>
        <w:tc>
          <w:tcPr>
            <w:tcW w:w="1140" w:type="dxa"/>
            <w:noWrap/>
            <w:vAlign w:val="center"/>
          </w:tcPr>
          <w:p w14:paraId="729D121C">
            <w:pPr>
              <w:jc w:val="center"/>
              <w:rPr>
                <w:sz w:val="22"/>
                <w:szCs w:val="22"/>
              </w:rPr>
            </w:pPr>
            <w:r>
              <w:rPr>
                <w:sz w:val="22"/>
                <w:szCs w:val="22"/>
              </w:rPr>
              <w:t>1,02%</w:t>
            </w:r>
          </w:p>
        </w:tc>
      </w:tr>
      <w:tr w14:paraId="77C4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F2A0335">
            <w:pPr>
              <w:jc w:val="center"/>
              <w:rPr>
                <w:sz w:val="22"/>
                <w:szCs w:val="22"/>
              </w:rPr>
            </w:pPr>
            <w:r>
              <w:rPr>
                <w:sz w:val="22"/>
                <w:szCs w:val="22"/>
              </w:rPr>
              <w:t>18</w:t>
            </w:r>
          </w:p>
        </w:tc>
        <w:tc>
          <w:tcPr>
            <w:tcW w:w="1752" w:type="dxa"/>
            <w:vMerge w:val="continue"/>
            <w:vAlign w:val="center"/>
          </w:tcPr>
          <w:p w14:paraId="69C9EE4E">
            <w:pPr>
              <w:jc w:val="center"/>
              <w:rPr>
                <w:sz w:val="22"/>
                <w:szCs w:val="22"/>
              </w:rPr>
            </w:pPr>
          </w:p>
        </w:tc>
        <w:tc>
          <w:tcPr>
            <w:tcW w:w="944" w:type="dxa"/>
            <w:vMerge w:val="continue"/>
            <w:vAlign w:val="center"/>
          </w:tcPr>
          <w:p w14:paraId="02C80F51">
            <w:pPr>
              <w:jc w:val="center"/>
              <w:rPr>
                <w:sz w:val="22"/>
                <w:szCs w:val="22"/>
              </w:rPr>
            </w:pPr>
          </w:p>
        </w:tc>
        <w:tc>
          <w:tcPr>
            <w:tcW w:w="1116" w:type="dxa"/>
            <w:noWrap/>
            <w:vAlign w:val="center"/>
          </w:tcPr>
          <w:p w14:paraId="500035E5">
            <w:pPr>
              <w:jc w:val="center"/>
              <w:rPr>
                <w:sz w:val="22"/>
                <w:szCs w:val="22"/>
              </w:rPr>
            </w:pPr>
            <w:r>
              <w:rPr>
                <w:sz w:val="22"/>
                <w:szCs w:val="22"/>
              </w:rPr>
              <w:t>11</w:t>
            </w:r>
          </w:p>
        </w:tc>
        <w:tc>
          <w:tcPr>
            <w:tcW w:w="1010" w:type="dxa"/>
            <w:noWrap/>
            <w:vAlign w:val="center"/>
          </w:tcPr>
          <w:p w14:paraId="33207720">
            <w:pPr>
              <w:jc w:val="center"/>
              <w:rPr>
                <w:sz w:val="22"/>
                <w:szCs w:val="22"/>
              </w:rPr>
            </w:pPr>
            <w:r>
              <w:rPr>
                <w:sz w:val="22"/>
                <w:szCs w:val="22"/>
              </w:rPr>
              <w:t>102,0</w:t>
            </w:r>
          </w:p>
        </w:tc>
        <w:tc>
          <w:tcPr>
            <w:tcW w:w="1591" w:type="dxa"/>
            <w:noWrap/>
            <w:vAlign w:val="center"/>
          </w:tcPr>
          <w:p w14:paraId="7F86C470">
            <w:pPr>
              <w:jc w:val="center"/>
              <w:rPr>
                <w:sz w:val="22"/>
                <w:szCs w:val="22"/>
              </w:rPr>
            </w:pPr>
            <w:r>
              <w:rPr>
                <w:sz w:val="22"/>
                <w:szCs w:val="22"/>
              </w:rPr>
              <w:t>1.071.000.000</w:t>
            </w:r>
          </w:p>
        </w:tc>
        <w:tc>
          <w:tcPr>
            <w:tcW w:w="1700" w:type="dxa"/>
            <w:vAlign w:val="center"/>
          </w:tcPr>
          <w:p w14:paraId="702AF744">
            <w:pPr>
              <w:jc w:val="center"/>
              <w:rPr>
                <w:sz w:val="22"/>
                <w:szCs w:val="22"/>
              </w:rPr>
            </w:pPr>
            <w:r>
              <w:rPr>
                <w:sz w:val="22"/>
                <w:szCs w:val="22"/>
              </w:rPr>
              <w:t>1.071.000.000</w:t>
            </w:r>
          </w:p>
        </w:tc>
        <w:tc>
          <w:tcPr>
            <w:tcW w:w="1140" w:type="dxa"/>
            <w:noWrap/>
            <w:vAlign w:val="center"/>
          </w:tcPr>
          <w:p w14:paraId="3B5CF233">
            <w:pPr>
              <w:jc w:val="center"/>
              <w:rPr>
                <w:sz w:val="22"/>
                <w:szCs w:val="22"/>
              </w:rPr>
            </w:pPr>
            <w:r>
              <w:rPr>
                <w:sz w:val="22"/>
                <w:szCs w:val="22"/>
              </w:rPr>
              <w:t>1,00%</w:t>
            </w:r>
          </w:p>
        </w:tc>
      </w:tr>
      <w:tr w14:paraId="01A6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529ACB7">
            <w:pPr>
              <w:jc w:val="center"/>
              <w:rPr>
                <w:sz w:val="22"/>
                <w:szCs w:val="22"/>
              </w:rPr>
            </w:pPr>
            <w:r>
              <w:rPr>
                <w:sz w:val="22"/>
                <w:szCs w:val="22"/>
              </w:rPr>
              <w:t>19</w:t>
            </w:r>
          </w:p>
        </w:tc>
        <w:tc>
          <w:tcPr>
            <w:tcW w:w="1752" w:type="dxa"/>
            <w:vMerge w:val="continue"/>
            <w:vAlign w:val="center"/>
          </w:tcPr>
          <w:p w14:paraId="6AD3D234">
            <w:pPr>
              <w:jc w:val="center"/>
              <w:rPr>
                <w:sz w:val="22"/>
                <w:szCs w:val="22"/>
              </w:rPr>
            </w:pPr>
          </w:p>
        </w:tc>
        <w:tc>
          <w:tcPr>
            <w:tcW w:w="944" w:type="dxa"/>
            <w:vMerge w:val="continue"/>
            <w:vAlign w:val="center"/>
          </w:tcPr>
          <w:p w14:paraId="5B33FA0B">
            <w:pPr>
              <w:jc w:val="center"/>
              <w:rPr>
                <w:sz w:val="22"/>
                <w:szCs w:val="22"/>
              </w:rPr>
            </w:pPr>
          </w:p>
        </w:tc>
        <w:tc>
          <w:tcPr>
            <w:tcW w:w="1116" w:type="dxa"/>
            <w:noWrap/>
            <w:vAlign w:val="center"/>
          </w:tcPr>
          <w:p w14:paraId="740C5A39">
            <w:pPr>
              <w:jc w:val="center"/>
              <w:rPr>
                <w:sz w:val="22"/>
                <w:szCs w:val="22"/>
              </w:rPr>
            </w:pPr>
            <w:r>
              <w:rPr>
                <w:sz w:val="22"/>
                <w:szCs w:val="22"/>
              </w:rPr>
              <w:t>32</w:t>
            </w:r>
          </w:p>
        </w:tc>
        <w:tc>
          <w:tcPr>
            <w:tcW w:w="1010" w:type="dxa"/>
            <w:noWrap/>
            <w:vAlign w:val="center"/>
          </w:tcPr>
          <w:p w14:paraId="18EE41EF">
            <w:pPr>
              <w:jc w:val="center"/>
              <w:rPr>
                <w:sz w:val="22"/>
                <w:szCs w:val="22"/>
              </w:rPr>
            </w:pPr>
            <w:r>
              <w:rPr>
                <w:sz w:val="22"/>
                <w:szCs w:val="22"/>
              </w:rPr>
              <w:t>102,0</w:t>
            </w:r>
          </w:p>
        </w:tc>
        <w:tc>
          <w:tcPr>
            <w:tcW w:w="1591" w:type="dxa"/>
            <w:noWrap/>
            <w:vAlign w:val="center"/>
          </w:tcPr>
          <w:p w14:paraId="07641FCE">
            <w:pPr>
              <w:jc w:val="center"/>
              <w:rPr>
                <w:sz w:val="22"/>
                <w:szCs w:val="22"/>
              </w:rPr>
            </w:pPr>
            <w:r>
              <w:rPr>
                <w:sz w:val="22"/>
                <w:szCs w:val="22"/>
              </w:rPr>
              <w:t>1.020.000.000</w:t>
            </w:r>
          </w:p>
        </w:tc>
        <w:tc>
          <w:tcPr>
            <w:tcW w:w="1700" w:type="dxa"/>
            <w:vAlign w:val="center"/>
          </w:tcPr>
          <w:p w14:paraId="2724DB3C">
            <w:pPr>
              <w:jc w:val="center"/>
              <w:rPr>
                <w:sz w:val="22"/>
                <w:szCs w:val="22"/>
              </w:rPr>
            </w:pPr>
            <w:r>
              <w:rPr>
                <w:sz w:val="22"/>
                <w:szCs w:val="22"/>
              </w:rPr>
              <w:t>1.020.000.000</w:t>
            </w:r>
          </w:p>
        </w:tc>
        <w:tc>
          <w:tcPr>
            <w:tcW w:w="1140" w:type="dxa"/>
            <w:noWrap/>
            <w:vAlign w:val="center"/>
          </w:tcPr>
          <w:p w14:paraId="4BFB4584">
            <w:pPr>
              <w:jc w:val="center"/>
              <w:rPr>
                <w:sz w:val="22"/>
                <w:szCs w:val="22"/>
              </w:rPr>
            </w:pPr>
            <w:r>
              <w:rPr>
                <w:sz w:val="22"/>
                <w:szCs w:val="22"/>
              </w:rPr>
              <w:t>1,00%</w:t>
            </w:r>
          </w:p>
        </w:tc>
      </w:tr>
      <w:tr w14:paraId="7E15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608A62E">
            <w:pPr>
              <w:jc w:val="center"/>
              <w:rPr>
                <w:sz w:val="22"/>
                <w:szCs w:val="22"/>
              </w:rPr>
            </w:pPr>
            <w:r>
              <w:rPr>
                <w:sz w:val="22"/>
                <w:szCs w:val="22"/>
              </w:rPr>
              <w:t>20</w:t>
            </w:r>
          </w:p>
        </w:tc>
        <w:tc>
          <w:tcPr>
            <w:tcW w:w="1752" w:type="dxa"/>
            <w:vMerge w:val="continue"/>
            <w:vAlign w:val="center"/>
          </w:tcPr>
          <w:p w14:paraId="44DC1B2A">
            <w:pPr>
              <w:jc w:val="center"/>
              <w:rPr>
                <w:sz w:val="22"/>
                <w:szCs w:val="22"/>
              </w:rPr>
            </w:pPr>
          </w:p>
        </w:tc>
        <w:tc>
          <w:tcPr>
            <w:tcW w:w="944" w:type="dxa"/>
            <w:vMerge w:val="continue"/>
            <w:vAlign w:val="center"/>
          </w:tcPr>
          <w:p w14:paraId="4B0AE137">
            <w:pPr>
              <w:jc w:val="center"/>
              <w:rPr>
                <w:sz w:val="22"/>
                <w:szCs w:val="22"/>
              </w:rPr>
            </w:pPr>
          </w:p>
        </w:tc>
        <w:tc>
          <w:tcPr>
            <w:tcW w:w="1116" w:type="dxa"/>
            <w:noWrap/>
            <w:vAlign w:val="center"/>
          </w:tcPr>
          <w:p w14:paraId="7B6ED557">
            <w:pPr>
              <w:jc w:val="center"/>
              <w:rPr>
                <w:sz w:val="22"/>
                <w:szCs w:val="22"/>
              </w:rPr>
            </w:pPr>
            <w:r>
              <w:rPr>
                <w:sz w:val="22"/>
                <w:szCs w:val="22"/>
              </w:rPr>
              <w:t>33</w:t>
            </w:r>
          </w:p>
        </w:tc>
        <w:tc>
          <w:tcPr>
            <w:tcW w:w="1010" w:type="dxa"/>
            <w:noWrap/>
            <w:vAlign w:val="center"/>
          </w:tcPr>
          <w:p w14:paraId="65FB6D0E">
            <w:pPr>
              <w:jc w:val="center"/>
              <w:rPr>
                <w:sz w:val="22"/>
                <w:szCs w:val="22"/>
              </w:rPr>
            </w:pPr>
            <w:r>
              <w:rPr>
                <w:sz w:val="22"/>
                <w:szCs w:val="22"/>
              </w:rPr>
              <w:t>102,0</w:t>
            </w:r>
          </w:p>
        </w:tc>
        <w:tc>
          <w:tcPr>
            <w:tcW w:w="1591" w:type="dxa"/>
            <w:noWrap/>
            <w:vAlign w:val="center"/>
          </w:tcPr>
          <w:p w14:paraId="79939510">
            <w:pPr>
              <w:jc w:val="center"/>
              <w:rPr>
                <w:sz w:val="22"/>
                <w:szCs w:val="22"/>
              </w:rPr>
            </w:pPr>
            <w:r>
              <w:rPr>
                <w:sz w:val="22"/>
                <w:szCs w:val="22"/>
              </w:rPr>
              <w:t>1.020.000.000</w:t>
            </w:r>
          </w:p>
        </w:tc>
        <w:tc>
          <w:tcPr>
            <w:tcW w:w="1700" w:type="dxa"/>
            <w:vAlign w:val="center"/>
          </w:tcPr>
          <w:p w14:paraId="2DCA84FE">
            <w:pPr>
              <w:jc w:val="center"/>
              <w:rPr>
                <w:sz w:val="22"/>
                <w:szCs w:val="22"/>
              </w:rPr>
            </w:pPr>
            <w:r>
              <w:rPr>
                <w:sz w:val="22"/>
                <w:szCs w:val="22"/>
              </w:rPr>
              <w:t>1.020.000.000</w:t>
            </w:r>
          </w:p>
        </w:tc>
        <w:tc>
          <w:tcPr>
            <w:tcW w:w="1140" w:type="dxa"/>
            <w:noWrap/>
            <w:vAlign w:val="center"/>
          </w:tcPr>
          <w:p w14:paraId="4D5CD99E">
            <w:pPr>
              <w:jc w:val="center"/>
              <w:rPr>
                <w:sz w:val="22"/>
                <w:szCs w:val="22"/>
              </w:rPr>
            </w:pPr>
            <w:r>
              <w:rPr>
                <w:sz w:val="22"/>
                <w:szCs w:val="22"/>
              </w:rPr>
              <w:t>1,00%</w:t>
            </w:r>
          </w:p>
        </w:tc>
      </w:tr>
      <w:tr w14:paraId="7C6D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3DC8935">
            <w:pPr>
              <w:jc w:val="center"/>
              <w:rPr>
                <w:sz w:val="22"/>
                <w:szCs w:val="22"/>
              </w:rPr>
            </w:pPr>
            <w:r>
              <w:rPr>
                <w:sz w:val="22"/>
                <w:szCs w:val="22"/>
              </w:rPr>
              <w:t>21</w:t>
            </w:r>
          </w:p>
        </w:tc>
        <w:tc>
          <w:tcPr>
            <w:tcW w:w="1752" w:type="dxa"/>
            <w:vMerge w:val="continue"/>
            <w:vAlign w:val="center"/>
          </w:tcPr>
          <w:p w14:paraId="0E886E14">
            <w:pPr>
              <w:jc w:val="center"/>
              <w:rPr>
                <w:sz w:val="22"/>
                <w:szCs w:val="22"/>
              </w:rPr>
            </w:pPr>
          </w:p>
        </w:tc>
        <w:tc>
          <w:tcPr>
            <w:tcW w:w="944" w:type="dxa"/>
            <w:vMerge w:val="continue"/>
            <w:vAlign w:val="center"/>
          </w:tcPr>
          <w:p w14:paraId="22F3B51B">
            <w:pPr>
              <w:jc w:val="center"/>
              <w:rPr>
                <w:sz w:val="22"/>
                <w:szCs w:val="22"/>
              </w:rPr>
            </w:pPr>
          </w:p>
        </w:tc>
        <w:tc>
          <w:tcPr>
            <w:tcW w:w="1116" w:type="dxa"/>
            <w:noWrap/>
            <w:vAlign w:val="center"/>
          </w:tcPr>
          <w:p w14:paraId="7A779D5A">
            <w:pPr>
              <w:jc w:val="center"/>
              <w:rPr>
                <w:sz w:val="22"/>
                <w:szCs w:val="22"/>
              </w:rPr>
            </w:pPr>
            <w:r>
              <w:rPr>
                <w:sz w:val="22"/>
                <w:szCs w:val="22"/>
              </w:rPr>
              <w:t>37</w:t>
            </w:r>
          </w:p>
        </w:tc>
        <w:tc>
          <w:tcPr>
            <w:tcW w:w="1010" w:type="dxa"/>
            <w:noWrap/>
            <w:vAlign w:val="center"/>
          </w:tcPr>
          <w:p w14:paraId="59DC9003">
            <w:pPr>
              <w:jc w:val="center"/>
              <w:rPr>
                <w:sz w:val="22"/>
                <w:szCs w:val="22"/>
              </w:rPr>
            </w:pPr>
            <w:r>
              <w:rPr>
                <w:sz w:val="22"/>
                <w:szCs w:val="22"/>
              </w:rPr>
              <w:t>102,0</w:t>
            </w:r>
          </w:p>
        </w:tc>
        <w:tc>
          <w:tcPr>
            <w:tcW w:w="1591" w:type="dxa"/>
            <w:noWrap/>
            <w:vAlign w:val="center"/>
          </w:tcPr>
          <w:p w14:paraId="7D8DA8EA">
            <w:pPr>
              <w:jc w:val="center"/>
              <w:rPr>
                <w:sz w:val="22"/>
                <w:szCs w:val="22"/>
              </w:rPr>
            </w:pPr>
            <w:r>
              <w:rPr>
                <w:sz w:val="22"/>
                <w:szCs w:val="22"/>
              </w:rPr>
              <w:t>1.020.000.000</w:t>
            </w:r>
          </w:p>
        </w:tc>
        <w:tc>
          <w:tcPr>
            <w:tcW w:w="1700" w:type="dxa"/>
            <w:vAlign w:val="center"/>
          </w:tcPr>
          <w:p w14:paraId="3E961371">
            <w:pPr>
              <w:jc w:val="center"/>
              <w:rPr>
                <w:sz w:val="22"/>
                <w:szCs w:val="22"/>
              </w:rPr>
            </w:pPr>
            <w:r>
              <w:rPr>
                <w:sz w:val="22"/>
                <w:szCs w:val="22"/>
              </w:rPr>
              <w:t>1.080.000.000</w:t>
            </w:r>
          </w:p>
        </w:tc>
        <w:tc>
          <w:tcPr>
            <w:tcW w:w="1140" w:type="dxa"/>
            <w:noWrap/>
            <w:vAlign w:val="center"/>
          </w:tcPr>
          <w:p w14:paraId="1E74A866">
            <w:pPr>
              <w:jc w:val="center"/>
              <w:rPr>
                <w:sz w:val="22"/>
                <w:szCs w:val="22"/>
              </w:rPr>
            </w:pPr>
            <w:r>
              <w:rPr>
                <w:sz w:val="22"/>
                <w:szCs w:val="22"/>
              </w:rPr>
              <w:t>1,06%</w:t>
            </w:r>
          </w:p>
        </w:tc>
      </w:tr>
      <w:tr w14:paraId="7FA0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0E89DD4">
            <w:pPr>
              <w:jc w:val="center"/>
              <w:rPr>
                <w:sz w:val="22"/>
                <w:szCs w:val="22"/>
              </w:rPr>
            </w:pPr>
            <w:r>
              <w:rPr>
                <w:sz w:val="22"/>
                <w:szCs w:val="22"/>
              </w:rPr>
              <w:t>22</w:t>
            </w:r>
          </w:p>
        </w:tc>
        <w:tc>
          <w:tcPr>
            <w:tcW w:w="1752" w:type="dxa"/>
            <w:vMerge w:val="continue"/>
            <w:vAlign w:val="center"/>
          </w:tcPr>
          <w:p w14:paraId="76FB76D9">
            <w:pPr>
              <w:jc w:val="center"/>
              <w:rPr>
                <w:sz w:val="22"/>
                <w:szCs w:val="22"/>
              </w:rPr>
            </w:pPr>
          </w:p>
        </w:tc>
        <w:tc>
          <w:tcPr>
            <w:tcW w:w="944" w:type="dxa"/>
            <w:vMerge w:val="continue"/>
            <w:vAlign w:val="center"/>
          </w:tcPr>
          <w:p w14:paraId="280B62D0">
            <w:pPr>
              <w:jc w:val="center"/>
              <w:rPr>
                <w:sz w:val="22"/>
                <w:szCs w:val="22"/>
              </w:rPr>
            </w:pPr>
          </w:p>
        </w:tc>
        <w:tc>
          <w:tcPr>
            <w:tcW w:w="1116" w:type="dxa"/>
            <w:noWrap/>
            <w:vAlign w:val="center"/>
          </w:tcPr>
          <w:p w14:paraId="57DA8DDE">
            <w:pPr>
              <w:jc w:val="center"/>
              <w:rPr>
                <w:sz w:val="22"/>
                <w:szCs w:val="22"/>
              </w:rPr>
            </w:pPr>
            <w:r>
              <w:rPr>
                <w:sz w:val="22"/>
                <w:szCs w:val="22"/>
              </w:rPr>
              <w:t>38</w:t>
            </w:r>
          </w:p>
        </w:tc>
        <w:tc>
          <w:tcPr>
            <w:tcW w:w="1010" w:type="dxa"/>
            <w:noWrap/>
            <w:vAlign w:val="center"/>
          </w:tcPr>
          <w:p w14:paraId="76816259">
            <w:pPr>
              <w:jc w:val="center"/>
              <w:rPr>
                <w:sz w:val="22"/>
                <w:szCs w:val="22"/>
              </w:rPr>
            </w:pPr>
            <w:r>
              <w:rPr>
                <w:sz w:val="22"/>
                <w:szCs w:val="22"/>
              </w:rPr>
              <w:t>102,0</w:t>
            </w:r>
          </w:p>
        </w:tc>
        <w:tc>
          <w:tcPr>
            <w:tcW w:w="1591" w:type="dxa"/>
            <w:noWrap/>
            <w:vAlign w:val="center"/>
          </w:tcPr>
          <w:p w14:paraId="5CA6F554">
            <w:pPr>
              <w:jc w:val="center"/>
              <w:rPr>
                <w:sz w:val="22"/>
                <w:szCs w:val="22"/>
              </w:rPr>
            </w:pPr>
            <w:r>
              <w:rPr>
                <w:sz w:val="22"/>
                <w:szCs w:val="22"/>
              </w:rPr>
              <w:t>1.020.000.000</w:t>
            </w:r>
          </w:p>
        </w:tc>
        <w:tc>
          <w:tcPr>
            <w:tcW w:w="1700" w:type="dxa"/>
            <w:vAlign w:val="center"/>
          </w:tcPr>
          <w:p w14:paraId="0C1E813E">
            <w:pPr>
              <w:jc w:val="center"/>
              <w:rPr>
                <w:sz w:val="22"/>
                <w:szCs w:val="22"/>
              </w:rPr>
            </w:pPr>
            <w:r>
              <w:rPr>
                <w:sz w:val="22"/>
                <w:szCs w:val="22"/>
              </w:rPr>
              <w:t>1.059.000.000</w:t>
            </w:r>
          </w:p>
        </w:tc>
        <w:tc>
          <w:tcPr>
            <w:tcW w:w="1140" w:type="dxa"/>
            <w:noWrap/>
            <w:vAlign w:val="center"/>
          </w:tcPr>
          <w:p w14:paraId="0950E651">
            <w:pPr>
              <w:jc w:val="center"/>
              <w:rPr>
                <w:sz w:val="22"/>
                <w:szCs w:val="22"/>
              </w:rPr>
            </w:pPr>
            <w:r>
              <w:rPr>
                <w:sz w:val="22"/>
                <w:szCs w:val="22"/>
              </w:rPr>
              <w:t>1,04%</w:t>
            </w:r>
          </w:p>
        </w:tc>
      </w:tr>
      <w:tr w14:paraId="15F7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887F55D">
            <w:pPr>
              <w:jc w:val="center"/>
              <w:rPr>
                <w:sz w:val="22"/>
                <w:szCs w:val="22"/>
              </w:rPr>
            </w:pPr>
          </w:p>
        </w:tc>
        <w:tc>
          <w:tcPr>
            <w:tcW w:w="1752" w:type="dxa"/>
            <w:vMerge w:val="continue"/>
            <w:vAlign w:val="center"/>
          </w:tcPr>
          <w:p w14:paraId="22DCD138">
            <w:pPr>
              <w:jc w:val="center"/>
              <w:rPr>
                <w:sz w:val="22"/>
                <w:szCs w:val="22"/>
              </w:rPr>
            </w:pPr>
          </w:p>
        </w:tc>
        <w:tc>
          <w:tcPr>
            <w:tcW w:w="944" w:type="dxa"/>
            <w:vMerge w:val="restart"/>
            <w:vAlign w:val="center"/>
          </w:tcPr>
          <w:p w14:paraId="0C53226B">
            <w:pPr>
              <w:jc w:val="center"/>
              <w:rPr>
                <w:sz w:val="22"/>
                <w:szCs w:val="22"/>
              </w:rPr>
            </w:pPr>
            <w:r>
              <w:rPr>
                <w:sz w:val="22"/>
                <w:szCs w:val="22"/>
              </w:rPr>
              <w:t>LK04</w:t>
            </w:r>
          </w:p>
        </w:tc>
        <w:tc>
          <w:tcPr>
            <w:tcW w:w="1116" w:type="dxa"/>
            <w:noWrap/>
            <w:vAlign w:val="center"/>
          </w:tcPr>
          <w:p w14:paraId="6C5C2AE0">
            <w:pPr>
              <w:jc w:val="center"/>
              <w:rPr>
                <w:sz w:val="22"/>
                <w:szCs w:val="22"/>
              </w:rPr>
            </w:pPr>
          </w:p>
        </w:tc>
        <w:tc>
          <w:tcPr>
            <w:tcW w:w="1010" w:type="dxa"/>
            <w:noWrap/>
            <w:vAlign w:val="center"/>
          </w:tcPr>
          <w:p w14:paraId="26E5C292">
            <w:pPr>
              <w:jc w:val="center"/>
              <w:rPr>
                <w:sz w:val="22"/>
                <w:szCs w:val="22"/>
              </w:rPr>
            </w:pPr>
            <w:r>
              <w:rPr>
                <w:sz w:val="22"/>
                <w:szCs w:val="22"/>
              </w:rPr>
              <w:t>952,5</w:t>
            </w:r>
          </w:p>
        </w:tc>
        <w:tc>
          <w:tcPr>
            <w:tcW w:w="1591" w:type="dxa"/>
            <w:noWrap/>
            <w:vAlign w:val="center"/>
          </w:tcPr>
          <w:p w14:paraId="576623CB">
            <w:pPr>
              <w:jc w:val="center"/>
              <w:rPr>
                <w:sz w:val="22"/>
                <w:szCs w:val="22"/>
              </w:rPr>
            </w:pPr>
            <w:r>
              <w:rPr>
                <w:sz w:val="22"/>
                <w:szCs w:val="22"/>
              </w:rPr>
              <w:t>10.291.000.000</w:t>
            </w:r>
          </w:p>
        </w:tc>
        <w:tc>
          <w:tcPr>
            <w:tcW w:w="1700" w:type="dxa"/>
            <w:noWrap/>
            <w:vAlign w:val="center"/>
          </w:tcPr>
          <w:p w14:paraId="04780AE6">
            <w:pPr>
              <w:jc w:val="center"/>
              <w:rPr>
                <w:sz w:val="22"/>
                <w:szCs w:val="22"/>
              </w:rPr>
            </w:pPr>
            <w:r>
              <w:rPr>
                <w:sz w:val="22"/>
                <w:szCs w:val="22"/>
              </w:rPr>
              <w:t>12.445.000.000</w:t>
            </w:r>
          </w:p>
        </w:tc>
        <w:tc>
          <w:tcPr>
            <w:tcW w:w="1140" w:type="dxa"/>
            <w:noWrap/>
            <w:vAlign w:val="center"/>
          </w:tcPr>
          <w:p w14:paraId="0C46DF77">
            <w:pPr>
              <w:jc w:val="center"/>
              <w:rPr>
                <w:sz w:val="22"/>
                <w:szCs w:val="22"/>
              </w:rPr>
            </w:pPr>
          </w:p>
        </w:tc>
      </w:tr>
      <w:tr w14:paraId="02C9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76C3142">
            <w:pPr>
              <w:jc w:val="center"/>
              <w:rPr>
                <w:sz w:val="22"/>
                <w:szCs w:val="22"/>
              </w:rPr>
            </w:pPr>
            <w:r>
              <w:rPr>
                <w:sz w:val="22"/>
                <w:szCs w:val="22"/>
              </w:rPr>
              <w:t>23</w:t>
            </w:r>
          </w:p>
        </w:tc>
        <w:tc>
          <w:tcPr>
            <w:tcW w:w="1752" w:type="dxa"/>
            <w:vMerge w:val="continue"/>
            <w:vAlign w:val="center"/>
          </w:tcPr>
          <w:p w14:paraId="6CAA8EA2">
            <w:pPr>
              <w:jc w:val="center"/>
              <w:rPr>
                <w:sz w:val="22"/>
                <w:szCs w:val="22"/>
              </w:rPr>
            </w:pPr>
          </w:p>
        </w:tc>
        <w:tc>
          <w:tcPr>
            <w:tcW w:w="944" w:type="dxa"/>
            <w:vMerge w:val="continue"/>
            <w:vAlign w:val="center"/>
          </w:tcPr>
          <w:p w14:paraId="662EDF00">
            <w:pPr>
              <w:jc w:val="center"/>
              <w:rPr>
                <w:sz w:val="22"/>
                <w:szCs w:val="22"/>
              </w:rPr>
            </w:pPr>
          </w:p>
        </w:tc>
        <w:tc>
          <w:tcPr>
            <w:tcW w:w="1116" w:type="dxa"/>
            <w:noWrap/>
            <w:vAlign w:val="center"/>
          </w:tcPr>
          <w:p w14:paraId="2F2DF079">
            <w:pPr>
              <w:jc w:val="center"/>
              <w:rPr>
                <w:sz w:val="22"/>
                <w:szCs w:val="22"/>
              </w:rPr>
            </w:pPr>
            <w:r>
              <w:rPr>
                <w:sz w:val="22"/>
                <w:szCs w:val="22"/>
              </w:rPr>
              <w:t>5</w:t>
            </w:r>
          </w:p>
        </w:tc>
        <w:tc>
          <w:tcPr>
            <w:tcW w:w="1010" w:type="dxa"/>
            <w:noWrap/>
            <w:vAlign w:val="center"/>
          </w:tcPr>
          <w:p w14:paraId="106F13E6">
            <w:pPr>
              <w:jc w:val="center"/>
              <w:rPr>
                <w:sz w:val="22"/>
                <w:szCs w:val="22"/>
              </w:rPr>
            </w:pPr>
            <w:r>
              <w:rPr>
                <w:sz w:val="22"/>
                <w:szCs w:val="22"/>
              </w:rPr>
              <w:t>102,0</w:t>
            </w:r>
          </w:p>
        </w:tc>
        <w:tc>
          <w:tcPr>
            <w:tcW w:w="1591" w:type="dxa"/>
            <w:noWrap/>
            <w:vAlign w:val="center"/>
          </w:tcPr>
          <w:p w14:paraId="105B0C0A">
            <w:pPr>
              <w:jc w:val="center"/>
              <w:rPr>
                <w:sz w:val="22"/>
                <w:szCs w:val="22"/>
              </w:rPr>
            </w:pPr>
            <w:r>
              <w:rPr>
                <w:sz w:val="22"/>
                <w:szCs w:val="22"/>
              </w:rPr>
              <w:t>1.122.000.000</w:t>
            </w:r>
          </w:p>
        </w:tc>
        <w:tc>
          <w:tcPr>
            <w:tcW w:w="1700" w:type="dxa"/>
            <w:vAlign w:val="center"/>
          </w:tcPr>
          <w:p w14:paraId="0FE998ED">
            <w:pPr>
              <w:jc w:val="center"/>
              <w:rPr>
                <w:sz w:val="22"/>
                <w:szCs w:val="22"/>
              </w:rPr>
            </w:pPr>
            <w:r>
              <w:rPr>
                <w:sz w:val="22"/>
                <w:szCs w:val="22"/>
              </w:rPr>
              <w:t>1.412.000.000</w:t>
            </w:r>
          </w:p>
        </w:tc>
        <w:tc>
          <w:tcPr>
            <w:tcW w:w="1140" w:type="dxa"/>
            <w:noWrap/>
            <w:vAlign w:val="center"/>
          </w:tcPr>
          <w:p w14:paraId="0F9C85E8">
            <w:pPr>
              <w:jc w:val="center"/>
              <w:rPr>
                <w:sz w:val="22"/>
                <w:szCs w:val="22"/>
              </w:rPr>
            </w:pPr>
            <w:r>
              <w:rPr>
                <w:sz w:val="22"/>
                <w:szCs w:val="22"/>
              </w:rPr>
              <w:t>1,26%</w:t>
            </w:r>
          </w:p>
        </w:tc>
      </w:tr>
      <w:tr w14:paraId="3FE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1ABF1B6">
            <w:pPr>
              <w:jc w:val="center"/>
              <w:rPr>
                <w:sz w:val="22"/>
                <w:szCs w:val="22"/>
              </w:rPr>
            </w:pPr>
            <w:r>
              <w:rPr>
                <w:sz w:val="22"/>
                <w:szCs w:val="22"/>
              </w:rPr>
              <w:t>24</w:t>
            </w:r>
          </w:p>
        </w:tc>
        <w:tc>
          <w:tcPr>
            <w:tcW w:w="1752" w:type="dxa"/>
            <w:vMerge w:val="continue"/>
            <w:vAlign w:val="center"/>
          </w:tcPr>
          <w:p w14:paraId="0C649DE7">
            <w:pPr>
              <w:jc w:val="center"/>
              <w:rPr>
                <w:sz w:val="22"/>
                <w:szCs w:val="22"/>
              </w:rPr>
            </w:pPr>
          </w:p>
        </w:tc>
        <w:tc>
          <w:tcPr>
            <w:tcW w:w="944" w:type="dxa"/>
            <w:vMerge w:val="continue"/>
            <w:vAlign w:val="center"/>
          </w:tcPr>
          <w:p w14:paraId="0B0A55AD">
            <w:pPr>
              <w:jc w:val="center"/>
              <w:rPr>
                <w:sz w:val="22"/>
                <w:szCs w:val="22"/>
              </w:rPr>
            </w:pPr>
          </w:p>
        </w:tc>
        <w:tc>
          <w:tcPr>
            <w:tcW w:w="1116" w:type="dxa"/>
            <w:noWrap/>
            <w:vAlign w:val="center"/>
          </w:tcPr>
          <w:p w14:paraId="26858E83">
            <w:pPr>
              <w:jc w:val="center"/>
              <w:rPr>
                <w:sz w:val="22"/>
                <w:szCs w:val="22"/>
              </w:rPr>
            </w:pPr>
            <w:r>
              <w:rPr>
                <w:sz w:val="22"/>
                <w:szCs w:val="22"/>
              </w:rPr>
              <w:t>9</w:t>
            </w:r>
          </w:p>
        </w:tc>
        <w:tc>
          <w:tcPr>
            <w:tcW w:w="1010" w:type="dxa"/>
            <w:noWrap/>
            <w:vAlign w:val="center"/>
          </w:tcPr>
          <w:p w14:paraId="6CB9080F">
            <w:pPr>
              <w:jc w:val="center"/>
              <w:rPr>
                <w:sz w:val="22"/>
                <w:szCs w:val="22"/>
              </w:rPr>
            </w:pPr>
            <w:r>
              <w:rPr>
                <w:sz w:val="22"/>
                <w:szCs w:val="22"/>
              </w:rPr>
              <w:t>102,0</w:t>
            </w:r>
          </w:p>
        </w:tc>
        <w:tc>
          <w:tcPr>
            <w:tcW w:w="1591" w:type="dxa"/>
            <w:noWrap/>
            <w:vAlign w:val="center"/>
          </w:tcPr>
          <w:p w14:paraId="11772ACD">
            <w:pPr>
              <w:jc w:val="center"/>
              <w:rPr>
                <w:sz w:val="22"/>
                <w:szCs w:val="22"/>
              </w:rPr>
            </w:pPr>
            <w:r>
              <w:rPr>
                <w:sz w:val="22"/>
                <w:szCs w:val="22"/>
              </w:rPr>
              <w:t>1.122.000.000</w:t>
            </w:r>
          </w:p>
        </w:tc>
        <w:tc>
          <w:tcPr>
            <w:tcW w:w="1700" w:type="dxa"/>
            <w:vAlign w:val="center"/>
          </w:tcPr>
          <w:p w14:paraId="23B1BDFC">
            <w:pPr>
              <w:jc w:val="center"/>
              <w:rPr>
                <w:sz w:val="22"/>
                <w:szCs w:val="22"/>
              </w:rPr>
            </w:pPr>
            <w:r>
              <w:rPr>
                <w:sz w:val="22"/>
                <w:szCs w:val="22"/>
              </w:rPr>
              <w:t>1.459.600.000</w:t>
            </w:r>
          </w:p>
        </w:tc>
        <w:tc>
          <w:tcPr>
            <w:tcW w:w="1140" w:type="dxa"/>
            <w:noWrap/>
            <w:vAlign w:val="center"/>
          </w:tcPr>
          <w:p w14:paraId="74D23945">
            <w:pPr>
              <w:jc w:val="center"/>
              <w:rPr>
                <w:sz w:val="22"/>
                <w:szCs w:val="22"/>
              </w:rPr>
            </w:pPr>
            <w:r>
              <w:rPr>
                <w:sz w:val="22"/>
                <w:szCs w:val="22"/>
              </w:rPr>
              <w:t>1,30%</w:t>
            </w:r>
          </w:p>
        </w:tc>
      </w:tr>
      <w:tr w14:paraId="3F09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D9F84D0">
            <w:pPr>
              <w:jc w:val="center"/>
              <w:rPr>
                <w:sz w:val="22"/>
                <w:szCs w:val="22"/>
              </w:rPr>
            </w:pPr>
            <w:r>
              <w:rPr>
                <w:sz w:val="22"/>
                <w:szCs w:val="22"/>
              </w:rPr>
              <w:t>25</w:t>
            </w:r>
          </w:p>
        </w:tc>
        <w:tc>
          <w:tcPr>
            <w:tcW w:w="1752" w:type="dxa"/>
            <w:vMerge w:val="continue"/>
            <w:vAlign w:val="center"/>
          </w:tcPr>
          <w:p w14:paraId="4BB6FFEB">
            <w:pPr>
              <w:jc w:val="center"/>
              <w:rPr>
                <w:sz w:val="22"/>
                <w:szCs w:val="22"/>
              </w:rPr>
            </w:pPr>
          </w:p>
        </w:tc>
        <w:tc>
          <w:tcPr>
            <w:tcW w:w="944" w:type="dxa"/>
            <w:vMerge w:val="continue"/>
            <w:vAlign w:val="center"/>
          </w:tcPr>
          <w:p w14:paraId="4684CAD7">
            <w:pPr>
              <w:jc w:val="center"/>
              <w:rPr>
                <w:sz w:val="22"/>
                <w:szCs w:val="22"/>
              </w:rPr>
            </w:pPr>
          </w:p>
        </w:tc>
        <w:tc>
          <w:tcPr>
            <w:tcW w:w="1116" w:type="dxa"/>
            <w:noWrap/>
            <w:vAlign w:val="center"/>
          </w:tcPr>
          <w:p w14:paraId="6F66663B">
            <w:pPr>
              <w:jc w:val="center"/>
              <w:rPr>
                <w:sz w:val="22"/>
                <w:szCs w:val="22"/>
              </w:rPr>
            </w:pPr>
            <w:r>
              <w:rPr>
                <w:sz w:val="22"/>
                <w:szCs w:val="22"/>
              </w:rPr>
              <w:t>10</w:t>
            </w:r>
          </w:p>
        </w:tc>
        <w:tc>
          <w:tcPr>
            <w:tcW w:w="1010" w:type="dxa"/>
            <w:noWrap/>
            <w:vAlign w:val="center"/>
          </w:tcPr>
          <w:p w14:paraId="466CD441">
            <w:pPr>
              <w:jc w:val="center"/>
              <w:rPr>
                <w:sz w:val="22"/>
                <w:szCs w:val="22"/>
              </w:rPr>
            </w:pPr>
            <w:r>
              <w:rPr>
                <w:sz w:val="22"/>
                <w:szCs w:val="22"/>
              </w:rPr>
              <w:t>102,0</w:t>
            </w:r>
          </w:p>
        </w:tc>
        <w:tc>
          <w:tcPr>
            <w:tcW w:w="1591" w:type="dxa"/>
            <w:noWrap/>
            <w:vAlign w:val="center"/>
          </w:tcPr>
          <w:p w14:paraId="58178DF7">
            <w:pPr>
              <w:jc w:val="center"/>
              <w:rPr>
                <w:sz w:val="22"/>
                <w:szCs w:val="22"/>
              </w:rPr>
            </w:pPr>
            <w:r>
              <w:rPr>
                <w:sz w:val="22"/>
                <w:szCs w:val="22"/>
              </w:rPr>
              <w:t>1.122.000.000</w:t>
            </w:r>
          </w:p>
        </w:tc>
        <w:tc>
          <w:tcPr>
            <w:tcW w:w="1700" w:type="dxa"/>
            <w:vAlign w:val="center"/>
          </w:tcPr>
          <w:p w14:paraId="1AAE1A18">
            <w:pPr>
              <w:jc w:val="center"/>
              <w:rPr>
                <w:sz w:val="22"/>
                <w:szCs w:val="22"/>
              </w:rPr>
            </w:pPr>
            <w:r>
              <w:rPr>
                <w:sz w:val="22"/>
                <w:szCs w:val="22"/>
              </w:rPr>
              <w:t>1.486.000.000</w:t>
            </w:r>
          </w:p>
        </w:tc>
        <w:tc>
          <w:tcPr>
            <w:tcW w:w="1140" w:type="dxa"/>
            <w:noWrap/>
            <w:vAlign w:val="center"/>
          </w:tcPr>
          <w:p w14:paraId="242BCAA2">
            <w:pPr>
              <w:jc w:val="center"/>
              <w:rPr>
                <w:sz w:val="22"/>
                <w:szCs w:val="22"/>
              </w:rPr>
            </w:pPr>
            <w:r>
              <w:rPr>
                <w:sz w:val="22"/>
                <w:szCs w:val="22"/>
              </w:rPr>
              <w:t>1,32%</w:t>
            </w:r>
          </w:p>
        </w:tc>
      </w:tr>
      <w:tr w14:paraId="177F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A8E75FB">
            <w:pPr>
              <w:jc w:val="center"/>
              <w:rPr>
                <w:sz w:val="22"/>
                <w:szCs w:val="22"/>
              </w:rPr>
            </w:pPr>
            <w:r>
              <w:rPr>
                <w:sz w:val="22"/>
                <w:szCs w:val="22"/>
              </w:rPr>
              <w:t>26</w:t>
            </w:r>
          </w:p>
        </w:tc>
        <w:tc>
          <w:tcPr>
            <w:tcW w:w="1752" w:type="dxa"/>
            <w:vMerge w:val="continue"/>
            <w:vAlign w:val="center"/>
          </w:tcPr>
          <w:p w14:paraId="7651043C">
            <w:pPr>
              <w:jc w:val="center"/>
              <w:rPr>
                <w:sz w:val="22"/>
                <w:szCs w:val="22"/>
              </w:rPr>
            </w:pPr>
          </w:p>
        </w:tc>
        <w:tc>
          <w:tcPr>
            <w:tcW w:w="944" w:type="dxa"/>
            <w:vMerge w:val="continue"/>
            <w:vAlign w:val="center"/>
          </w:tcPr>
          <w:p w14:paraId="1D1C5AC6">
            <w:pPr>
              <w:jc w:val="center"/>
              <w:rPr>
                <w:sz w:val="22"/>
                <w:szCs w:val="22"/>
              </w:rPr>
            </w:pPr>
          </w:p>
        </w:tc>
        <w:tc>
          <w:tcPr>
            <w:tcW w:w="1116" w:type="dxa"/>
            <w:noWrap/>
            <w:vAlign w:val="center"/>
          </w:tcPr>
          <w:p w14:paraId="63D323D6">
            <w:pPr>
              <w:jc w:val="center"/>
              <w:rPr>
                <w:sz w:val="22"/>
                <w:szCs w:val="22"/>
              </w:rPr>
            </w:pPr>
            <w:r>
              <w:rPr>
                <w:sz w:val="22"/>
                <w:szCs w:val="22"/>
              </w:rPr>
              <w:t>16</w:t>
            </w:r>
          </w:p>
        </w:tc>
        <w:tc>
          <w:tcPr>
            <w:tcW w:w="1010" w:type="dxa"/>
            <w:noWrap/>
            <w:vAlign w:val="center"/>
          </w:tcPr>
          <w:p w14:paraId="3612B4A4">
            <w:pPr>
              <w:jc w:val="center"/>
              <w:rPr>
                <w:sz w:val="22"/>
                <w:szCs w:val="22"/>
              </w:rPr>
            </w:pPr>
            <w:r>
              <w:rPr>
                <w:sz w:val="22"/>
                <w:szCs w:val="22"/>
              </w:rPr>
              <w:t>102,0</w:t>
            </w:r>
          </w:p>
        </w:tc>
        <w:tc>
          <w:tcPr>
            <w:tcW w:w="1591" w:type="dxa"/>
            <w:noWrap/>
            <w:vAlign w:val="center"/>
          </w:tcPr>
          <w:p w14:paraId="06A8C0A3">
            <w:pPr>
              <w:jc w:val="center"/>
              <w:rPr>
                <w:sz w:val="22"/>
                <w:szCs w:val="22"/>
              </w:rPr>
            </w:pPr>
            <w:r>
              <w:rPr>
                <w:sz w:val="22"/>
                <w:szCs w:val="22"/>
              </w:rPr>
              <w:t>1.122.000.000</w:t>
            </w:r>
          </w:p>
        </w:tc>
        <w:tc>
          <w:tcPr>
            <w:tcW w:w="1700" w:type="dxa"/>
            <w:vAlign w:val="center"/>
          </w:tcPr>
          <w:p w14:paraId="12F2E484">
            <w:pPr>
              <w:jc w:val="center"/>
              <w:rPr>
                <w:sz w:val="22"/>
                <w:szCs w:val="22"/>
              </w:rPr>
            </w:pPr>
            <w:r>
              <w:rPr>
                <w:sz w:val="22"/>
                <w:szCs w:val="22"/>
              </w:rPr>
              <w:t>1.579.200.000</w:t>
            </w:r>
          </w:p>
        </w:tc>
        <w:tc>
          <w:tcPr>
            <w:tcW w:w="1140" w:type="dxa"/>
            <w:noWrap/>
            <w:vAlign w:val="center"/>
          </w:tcPr>
          <w:p w14:paraId="0B355161">
            <w:pPr>
              <w:jc w:val="center"/>
              <w:rPr>
                <w:sz w:val="22"/>
                <w:szCs w:val="22"/>
              </w:rPr>
            </w:pPr>
            <w:r>
              <w:rPr>
                <w:sz w:val="22"/>
                <w:szCs w:val="22"/>
              </w:rPr>
              <w:t>1,41%</w:t>
            </w:r>
          </w:p>
        </w:tc>
      </w:tr>
      <w:tr w14:paraId="5826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A8CE167">
            <w:pPr>
              <w:jc w:val="center"/>
              <w:rPr>
                <w:sz w:val="22"/>
                <w:szCs w:val="22"/>
              </w:rPr>
            </w:pPr>
            <w:r>
              <w:rPr>
                <w:sz w:val="22"/>
                <w:szCs w:val="22"/>
              </w:rPr>
              <w:t>27</w:t>
            </w:r>
          </w:p>
        </w:tc>
        <w:tc>
          <w:tcPr>
            <w:tcW w:w="1752" w:type="dxa"/>
            <w:vMerge w:val="continue"/>
            <w:vAlign w:val="center"/>
          </w:tcPr>
          <w:p w14:paraId="29AFDE06">
            <w:pPr>
              <w:jc w:val="center"/>
              <w:rPr>
                <w:sz w:val="22"/>
                <w:szCs w:val="22"/>
              </w:rPr>
            </w:pPr>
          </w:p>
        </w:tc>
        <w:tc>
          <w:tcPr>
            <w:tcW w:w="944" w:type="dxa"/>
            <w:vMerge w:val="continue"/>
            <w:vAlign w:val="center"/>
          </w:tcPr>
          <w:p w14:paraId="5AE54918">
            <w:pPr>
              <w:jc w:val="center"/>
              <w:rPr>
                <w:sz w:val="22"/>
                <w:szCs w:val="22"/>
              </w:rPr>
            </w:pPr>
          </w:p>
        </w:tc>
        <w:tc>
          <w:tcPr>
            <w:tcW w:w="1116" w:type="dxa"/>
            <w:noWrap/>
            <w:vAlign w:val="center"/>
          </w:tcPr>
          <w:p w14:paraId="29321169">
            <w:pPr>
              <w:jc w:val="center"/>
              <w:rPr>
                <w:sz w:val="22"/>
                <w:szCs w:val="22"/>
              </w:rPr>
            </w:pPr>
            <w:r>
              <w:rPr>
                <w:sz w:val="22"/>
                <w:szCs w:val="22"/>
              </w:rPr>
              <w:t>18</w:t>
            </w:r>
          </w:p>
        </w:tc>
        <w:tc>
          <w:tcPr>
            <w:tcW w:w="1010" w:type="dxa"/>
            <w:noWrap/>
            <w:vAlign w:val="center"/>
          </w:tcPr>
          <w:p w14:paraId="00D2AE02">
            <w:pPr>
              <w:jc w:val="center"/>
              <w:rPr>
                <w:sz w:val="22"/>
                <w:szCs w:val="22"/>
              </w:rPr>
            </w:pPr>
            <w:r>
              <w:rPr>
                <w:sz w:val="22"/>
                <w:szCs w:val="22"/>
              </w:rPr>
              <w:t>119,0</w:t>
            </w:r>
          </w:p>
        </w:tc>
        <w:tc>
          <w:tcPr>
            <w:tcW w:w="1591" w:type="dxa"/>
            <w:noWrap/>
            <w:vAlign w:val="center"/>
          </w:tcPr>
          <w:p w14:paraId="2D6A336E">
            <w:pPr>
              <w:jc w:val="center"/>
              <w:rPr>
                <w:sz w:val="22"/>
                <w:szCs w:val="22"/>
              </w:rPr>
            </w:pPr>
            <w:r>
              <w:rPr>
                <w:sz w:val="22"/>
                <w:szCs w:val="22"/>
              </w:rPr>
              <w:t>1.309.000.000</w:t>
            </w:r>
          </w:p>
        </w:tc>
        <w:tc>
          <w:tcPr>
            <w:tcW w:w="1700" w:type="dxa"/>
            <w:vAlign w:val="center"/>
          </w:tcPr>
          <w:p w14:paraId="5E43DF59">
            <w:pPr>
              <w:jc w:val="center"/>
              <w:rPr>
                <w:sz w:val="22"/>
                <w:szCs w:val="22"/>
              </w:rPr>
            </w:pPr>
            <w:r>
              <w:rPr>
                <w:sz w:val="22"/>
                <w:szCs w:val="22"/>
              </w:rPr>
              <w:t>1.719.200.000</w:t>
            </w:r>
          </w:p>
        </w:tc>
        <w:tc>
          <w:tcPr>
            <w:tcW w:w="1140" w:type="dxa"/>
            <w:noWrap/>
            <w:vAlign w:val="center"/>
          </w:tcPr>
          <w:p w14:paraId="6CDC3D3F">
            <w:pPr>
              <w:jc w:val="center"/>
              <w:rPr>
                <w:sz w:val="22"/>
                <w:szCs w:val="22"/>
              </w:rPr>
            </w:pPr>
            <w:r>
              <w:rPr>
                <w:sz w:val="22"/>
                <w:szCs w:val="22"/>
              </w:rPr>
              <w:t>1,31%</w:t>
            </w:r>
          </w:p>
        </w:tc>
      </w:tr>
      <w:tr w14:paraId="2A1B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A5168EE">
            <w:pPr>
              <w:jc w:val="center"/>
              <w:rPr>
                <w:sz w:val="22"/>
                <w:szCs w:val="22"/>
              </w:rPr>
            </w:pPr>
            <w:r>
              <w:rPr>
                <w:sz w:val="22"/>
                <w:szCs w:val="22"/>
              </w:rPr>
              <w:t>28</w:t>
            </w:r>
          </w:p>
        </w:tc>
        <w:tc>
          <w:tcPr>
            <w:tcW w:w="1752" w:type="dxa"/>
            <w:vMerge w:val="continue"/>
            <w:vAlign w:val="center"/>
          </w:tcPr>
          <w:p w14:paraId="00334988">
            <w:pPr>
              <w:jc w:val="center"/>
              <w:rPr>
                <w:sz w:val="22"/>
                <w:szCs w:val="22"/>
              </w:rPr>
            </w:pPr>
          </w:p>
        </w:tc>
        <w:tc>
          <w:tcPr>
            <w:tcW w:w="944" w:type="dxa"/>
            <w:vMerge w:val="continue"/>
            <w:vAlign w:val="center"/>
          </w:tcPr>
          <w:p w14:paraId="4A989C6E">
            <w:pPr>
              <w:jc w:val="center"/>
              <w:rPr>
                <w:sz w:val="22"/>
                <w:szCs w:val="22"/>
              </w:rPr>
            </w:pPr>
          </w:p>
        </w:tc>
        <w:tc>
          <w:tcPr>
            <w:tcW w:w="1116" w:type="dxa"/>
            <w:noWrap/>
            <w:vAlign w:val="center"/>
          </w:tcPr>
          <w:p w14:paraId="5BB60060">
            <w:pPr>
              <w:jc w:val="center"/>
              <w:rPr>
                <w:sz w:val="22"/>
                <w:szCs w:val="22"/>
              </w:rPr>
            </w:pPr>
            <w:r>
              <w:rPr>
                <w:sz w:val="22"/>
                <w:szCs w:val="22"/>
              </w:rPr>
              <w:t>32</w:t>
            </w:r>
          </w:p>
        </w:tc>
        <w:tc>
          <w:tcPr>
            <w:tcW w:w="1010" w:type="dxa"/>
            <w:noWrap/>
            <w:vAlign w:val="center"/>
          </w:tcPr>
          <w:p w14:paraId="703957FC">
            <w:pPr>
              <w:jc w:val="center"/>
              <w:rPr>
                <w:sz w:val="22"/>
                <w:szCs w:val="22"/>
              </w:rPr>
            </w:pPr>
            <w:r>
              <w:rPr>
                <w:sz w:val="22"/>
                <w:szCs w:val="22"/>
              </w:rPr>
              <w:t>102,0</w:t>
            </w:r>
          </w:p>
        </w:tc>
        <w:tc>
          <w:tcPr>
            <w:tcW w:w="1591" w:type="dxa"/>
            <w:noWrap/>
            <w:vAlign w:val="center"/>
          </w:tcPr>
          <w:p w14:paraId="62F15B13">
            <w:pPr>
              <w:jc w:val="center"/>
              <w:rPr>
                <w:sz w:val="22"/>
                <w:szCs w:val="22"/>
              </w:rPr>
            </w:pPr>
            <w:r>
              <w:rPr>
                <w:sz w:val="22"/>
                <w:szCs w:val="22"/>
              </w:rPr>
              <w:t>1.020.000.000</w:t>
            </w:r>
          </w:p>
        </w:tc>
        <w:tc>
          <w:tcPr>
            <w:tcW w:w="1700" w:type="dxa"/>
            <w:vAlign w:val="center"/>
          </w:tcPr>
          <w:p w14:paraId="603FE3E8">
            <w:pPr>
              <w:jc w:val="center"/>
              <w:rPr>
                <w:sz w:val="22"/>
                <w:szCs w:val="22"/>
              </w:rPr>
            </w:pPr>
            <w:r>
              <w:rPr>
                <w:sz w:val="22"/>
                <w:szCs w:val="22"/>
              </w:rPr>
              <w:t>1.076.000.000</w:t>
            </w:r>
          </w:p>
        </w:tc>
        <w:tc>
          <w:tcPr>
            <w:tcW w:w="1140" w:type="dxa"/>
            <w:noWrap/>
            <w:vAlign w:val="center"/>
          </w:tcPr>
          <w:p w14:paraId="0E172CBA">
            <w:pPr>
              <w:jc w:val="center"/>
              <w:rPr>
                <w:sz w:val="22"/>
                <w:szCs w:val="22"/>
              </w:rPr>
            </w:pPr>
            <w:r>
              <w:rPr>
                <w:sz w:val="22"/>
                <w:szCs w:val="22"/>
              </w:rPr>
              <w:t>1,05%</w:t>
            </w:r>
          </w:p>
        </w:tc>
      </w:tr>
      <w:tr w14:paraId="77D2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E5150C5">
            <w:pPr>
              <w:jc w:val="center"/>
              <w:rPr>
                <w:sz w:val="22"/>
                <w:szCs w:val="22"/>
              </w:rPr>
            </w:pPr>
            <w:r>
              <w:rPr>
                <w:sz w:val="22"/>
                <w:szCs w:val="22"/>
              </w:rPr>
              <w:t>29</w:t>
            </w:r>
          </w:p>
        </w:tc>
        <w:tc>
          <w:tcPr>
            <w:tcW w:w="1752" w:type="dxa"/>
            <w:vMerge w:val="continue"/>
            <w:vAlign w:val="center"/>
          </w:tcPr>
          <w:p w14:paraId="10948D15">
            <w:pPr>
              <w:jc w:val="center"/>
              <w:rPr>
                <w:sz w:val="22"/>
                <w:szCs w:val="22"/>
              </w:rPr>
            </w:pPr>
          </w:p>
        </w:tc>
        <w:tc>
          <w:tcPr>
            <w:tcW w:w="944" w:type="dxa"/>
            <w:vMerge w:val="continue"/>
            <w:vAlign w:val="center"/>
          </w:tcPr>
          <w:p w14:paraId="2DF50751">
            <w:pPr>
              <w:jc w:val="center"/>
              <w:rPr>
                <w:sz w:val="22"/>
                <w:szCs w:val="22"/>
              </w:rPr>
            </w:pPr>
          </w:p>
        </w:tc>
        <w:tc>
          <w:tcPr>
            <w:tcW w:w="1116" w:type="dxa"/>
            <w:noWrap/>
            <w:vAlign w:val="center"/>
          </w:tcPr>
          <w:p w14:paraId="2C267A1B">
            <w:pPr>
              <w:jc w:val="center"/>
              <w:rPr>
                <w:sz w:val="22"/>
                <w:szCs w:val="22"/>
              </w:rPr>
            </w:pPr>
            <w:r>
              <w:rPr>
                <w:sz w:val="22"/>
                <w:szCs w:val="22"/>
              </w:rPr>
              <w:t>35</w:t>
            </w:r>
          </w:p>
        </w:tc>
        <w:tc>
          <w:tcPr>
            <w:tcW w:w="1010" w:type="dxa"/>
            <w:noWrap/>
            <w:vAlign w:val="center"/>
          </w:tcPr>
          <w:p w14:paraId="5B2722D1">
            <w:pPr>
              <w:jc w:val="center"/>
              <w:rPr>
                <w:sz w:val="22"/>
                <w:szCs w:val="22"/>
              </w:rPr>
            </w:pPr>
            <w:r>
              <w:rPr>
                <w:sz w:val="22"/>
                <w:szCs w:val="22"/>
              </w:rPr>
              <w:t>102,0</w:t>
            </w:r>
          </w:p>
        </w:tc>
        <w:tc>
          <w:tcPr>
            <w:tcW w:w="1591" w:type="dxa"/>
            <w:noWrap/>
            <w:vAlign w:val="center"/>
          </w:tcPr>
          <w:p w14:paraId="076F90EF">
            <w:pPr>
              <w:jc w:val="center"/>
              <w:rPr>
                <w:sz w:val="22"/>
                <w:szCs w:val="22"/>
              </w:rPr>
            </w:pPr>
            <w:r>
              <w:rPr>
                <w:sz w:val="22"/>
                <w:szCs w:val="22"/>
              </w:rPr>
              <w:t>1.020.000.000</w:t>
            </w:r>
          </w:p>
        </w:tc>
        <w:tc>
          <w:tcPr>
            <w:tcW w:w="1700" w:type="dxa"/>
            <w:vAlign w:val="center"/>
          </w:tcPr>
          <w:p w14:paraId="5E17CE9B">
            <w:pPr>
              <w:jc w:val="center"/>
              <w:rPr>
                <w:sz w:val="22"/>
                <w:szCs w:val="22"/>
              </w:rPr>
            </w:pPr>
            <w:r>
              <w:rPr>
                <w:sz w:val="22"/>
                <w:szCs w:val="22"/>
              </w:rPr>
              <w:t>1.137.000.000</w:t>
            </w:r>
          </w:p>
        </w:tc>
        <w:tc>
          <w:tcPr>
            <w:tcW w:w="1140" w:type="dxa"/>
            <w:noWrap/>
            <w:vAlign w:val="center"/>
          </w:tcPr>
          <w:p w14:paraId="525DE979">
            <w:pPr>
              <w:jc w:val="center"/>
              <w:rPr>
                <w:sz w:val="22"/>
                <w:szCs w:val="22"/>
              </w:rPr>
            </w:pPr>
            <w:r>
              <w:rPr>
                <w:sz w:val="22"/>
                <w:szCs w:val="22"/>
              </w:rPr>
              <w:t>1,11%</w:t>
            </w:r>
          </w:p>
        </w:tc>
      </w:tr>
      <w:tr w14:paraId="2AF8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74FB9B1">
            <w:pPr>
              <w:jc w:val="center"/>
              <w:rPr>
                <w:sz w:val="22"/>
                <w:szCs w:val="22"/>
              </w:rPr>
            </w:pPr>
            <w:r>
              <w:rPr>
                <w:sz w:val="22"/>
                <w:szCs w:val="22"/>
              </w:rPr>
              <w:t>30</w:t>
            </w:r>
          </w:p>
        </w:tc>
        <w:tc>
          <w:tcPr>
            <w:tcW w:w="1752" w:type="dxa"/>
            <w:vMerge w:val="continue"/>
            <w:vAlign w:val="center"/>
          </w:tcPr>
          <w:p w14:paraId="7893AC84">
            <w:pPr>
              <w:jc w:val="center"/>
              <w:rPr>
                <w:sz w:val="22"/>
                <w:szCs w:val="22"/>
              </w:rPr>
            </w:pPr>
          </w:p>
        </w:tc>
        <w:tc>
          <w:tcPr>
            <w:tcW w:w="944" w:type="dxa"/>
            <w:vMerge w:val="continue"/>
            <w:vAlign w:val="center"/>
          </w:tcPr>
          <w:p w14:paraId="544E2F66">
            <w:pPr>
              <w:jc w:val="center"/>
              <w:rPr>
                <w:sz w:val="22"/>
                <w:szCs w:val="22"/>
              </w:rPr>
            </w:pPr>
          </w:p>
        </w:tc>
        <w:tc>
          <w:tcPr>
            <w:tcW w:w="1116" w:type="dxa"/>
            <w:noWrap/>
            <w:vAlign w:val="center"/>
          </w:tcPr>
          <w:p w14:paraId="567D482D">
            <w:pPr>
              <w:jc w:val="center"/>
              <w:rPr>
                <w:sz w:val="22"/>
                <w:szCs w:val="22"/>
              </w:rPr>
            </w:pPr>
            <w:r>
              <w:rPr>
                <w:sz w:val="22"/>
                <w:szCs w:val="22"/>
              </w:rPr>
              <w:t>43</w:t>
            </w:r>
          </w:p>
        </w:tc>
        <w:tc>
          <w:tcPr>
            <w:tcW w:w="1010" w:type="dxa"/>
            <w:noWrap/>
            <w:vAlign w:val="center"/>
          </w:tcPr>
          <w:p w14:paraId="1F46C44F">
            <w:pPr>
              <w:jc w:val="center"/>
              <w:rPr>
                <w:sz w:val="22"/>
                <w:szCs w:val="22"/>
              </w:rPr>
            </w:pPr>
            <w:r>
              <w:rPr>
                <w:sz w:val="22"/>
                <w:szCs w:val="22"/>
              </w:rPr>
              <w:t>102,0</w:t>
            </w:r>
          </w:p>
        </w:tc>
        <w:tc>
          <w:tcPr>
            <w:tcW w:w="1591" w:type="dxa"/>
            <w:noWrap/>
            <w:vAlign w:val="center"/>
          </w:tcPr>
          <w:p w14:paraId="78E5DBFE">
            <w:pPr>
              <w:jc w:val="center"/>
              <w:rPr>
                <w:sz w:val="22"/>
                <w:szCs w:val="22"/>
              </w:rPr>
            </w:pPr>
            <w:r>
              <w:rPr>
                <w:sz w:val="22"/>
                <w:szCs w:val="22"/>
              </w:rPr>
              <w:t>1.020.000.000</w:t>
            </w:r>
          </w:p>
        </w:tc>
        <w:tc>
          <w:tcPr>
            <w:tcW w:w="1700" w:type="dxa"/>
            <w:vAlign w:val="center"/>
          </w:tcPr>
          <w:p w14:paraId="2535A28D">
            <w:pPr>
              <w:jc w:val="center"/>
              <w:rPr>
                <w:sz w:val="22"/>
                <w:szCs w:val="22"/>
              </w:rPr>
            </w:pPr>
            <w:r>
              <w:rPr>
                <w:sz w:val="22"/>
                <w:szCs w:val="22"/>
              </w:rPr>
              <w:t>1.046.000.000</w:t>
            </w:r>
          </w:p>
        </w:tc>
        <w:tc>
          <w:tcPr>
            <w:tcW w:w="1140" w:type="dxa"/>
            <w:noWrap/>
            <w:vAlign w:val="center"/>
          </w:tcPr>
          <w:p w14:paraId="15A9B7B1">
            <w:pPr>
              <w:jc w:val="center"/>
              <w:rPr>
                <w:sz w:val="22"/>
                <w:szCs w:val="22"/>
              </w:rPr>
            </w:pPr>
            <w:r>
              <w:rPr>
                <w:sz w:val="22"/>
                <w:szCs w:val="22"/>
              </w:rPr>
              <w:t>1,03%</w:t>
            </w:r>
          </w:p>
        </w:tc>
      </w:tr>
      <w:tr w14:paraId="5F69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597814C">
            <w:pPr>
              <w:jc w:val="center"/>
              <w:rPr>
                <w:sz w:val="22"/>
                <w:szCs w:val="22"/>
              </w:rPr>
            </w:pPr>
            <w:r>
              <w:rPr>
                <w:sz w:val="22"/>
                <w:szCs w:val="22"/>
              </w:rPr>
              <w:t>31</w:t>
            </w:r>
          </w:p>
        </w:tc>
        <w:tc>
          <w:tcPr>
            <w:tcW w:w="1752" w:type="dxa"/>
            <w:vMerge w:val="continue"/>
            <w:vAlign w:val="center"/>
          </w:tcPr>
          <w:p w14:paraId="4048156E">
            <w:pPr>
              <w:jc w:val="center"/>
              <w:rPr>
                <w:sz w:val="22"/>
                <w:szCs w:val="22"/>
              </w:rPr>
            </w:pPr>
          </w:p>
        </w:tc>
        <w:tc>
          <w:tcPr>
            <w:tcW w:w="944" w:type="dxa"/>
            <w:vMerge w:val="continue"/>
            <w:vAlign w:val="center"/>
          </w:tcPr>
          <w:p w14:paraId="286AE81E">
            <w:pPr>
              <w:jc w:val="center"/>
              <w:rPr>
                <w:sz w:val="22"/>
                <w:szCs w:val="22"/>
              </w:rPr>
            </w:pPr>
          </w:p>
        </w:tc>
        <w:tc>
          <w:tcPr>
            <w:tcW w:w="1116" w:type="dxa"/>
            <w:noWrap/>
            <w:vAlign w:val="center"/>
          </w:tcPr>
          <w:p w14:paraId="2857817E">
            <w:pPr>
              <w:jc w:val="center"/>
              <w:rPr>
                <w:sz w:val="22"/>
                <w:szCs w:val="22"/>
              </w:rPr>
            </w:pPr>
            <w:r>
              <w:rPr>
                <w:sz w:val="22"/>
                <w:szCs w:val="22"/>
              </w:rPr>
              <w:t>48</w:t>
            </w:r>
          </w:p>
        </w:tc>
        <w:tc>
          <w:tcPr>
            <w:tcW w:w="1010" w:type="dxa"/>
            <w:noWrap/>
            <w:vAlign w:val="center"/>
          </w:tcPr>
          <w:p w14:paraId="400F9A43">
            <w:pPr>
              <w:jc w:val="center"/>
              <w:rPr>
                <w:sz w:val="22"/>
                <w:szCs w:val="22"/>
              </w:rPr>
            </w:pPr>
            <w:r>
              <w:rPr>
                <w:sz w:val="22"/>
                <w:szCs w:val="22"/>
              </w:rPr>
              <w:t>119,5</w:t>
            </w:r>
          </w:p>
        </w:tc>
        <w:tc>
          <w:tcPr>
            <w:tcW w:w="1591" w:type="dxa"/>
            <w:noWrap/>
            <w:vAlign w:val="center"/>
          </w:tcPr>
          <w:p w14:paraId="319DCDDD">
            <w:pPr>
              <w:jc w:val="center"/>
              <w:rPr>
                <w:sz w:val="22"/>
                <w:szCs w:val="22"/>
              </w:rPr>
            </w:pPr>
            <w:r>
              <w:rPr>
                <w:sz w:val="22"/>
                <w:szCs w:val="22"/>
              </w:rPr>
              <w:t>1.434.000.000</w:t>
            </w:r>
          </w:p>
        </w:tc>
        <w:tc>
          <w:tcPr>
            <w:tcW w:w="1700" w:type="dxa"/>
            <w:vAlign w:val="center"/>
          </w:tcPr>
          <w:p w14:paraId="0DEF62BE">
            <w:pPr>
              <w:jc w:val="center"/>
              <w:rPr>
                <w:sz w:val="22"/>
                <w:szCs w:val="22"/>
              </w:rPr>
            </w:pPr>
            <w:r>
              <w:rPr>
                <w:sz w:val="22"/>
                <w:szCs w:val="22"/>
              </w:rPr>
              <w:t>1.530.000.000</w:t>
            </w:r>
          </w:p>
        </w:tc>
        <w:tc>
          <w:tcPr>
            <w:tcW w:w="1140" w:type="dxa"/>
            <w:noWrap/>
            <w:vAlign w:val="center"/>
          </w:tcPr>
          <w:p w14:paraId="33ABC321">
            <w:pPr>
              <w:jc w:val="center"/>
              <w:rPr>
                <w:sz w:val="22"/>
                <w:szCs w:val="22"/>
              </w:rPr>
            </w:pPr>
            <w:r>
              <w:rPr>
                <w:sz w:val="22"/>
                <w:szCs w:val="22"/>
              </w:rPr>
              <w:t>1,07%</w:t>
            </w:r>
          </w:p>
        </w:tc>
      </w:tr>
      <w:tr w14:paraId="0E91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05F4A4B">
            <w:pPr>
              <w:jc w:val="center"/>
              <w:rPr>
                <w:sz w:val="22"/>
                <w:szCs w:val="22"/>
              </w:rPr>
            </w:pPr>
            <w:r>
              <w:rPr>
                <w:sz w:val="22"/>
                <w:szCs w:val="22"/>
              </w:rPr>
              <w:t>32</w:t>
            </w:r>
          </w:p>
        </w:tc>
        <w:tc>
          <w:tcPr>
            <w:tcW w:w="1752" w:type="dxa"/>
            <w:vMerge w:val="continue"/>
            <w:vAlign w:val="center"/>
          </w:tcPr>
          <w:p w14:paraId="12B202FB">
            <w:pPr>
              <w:jc w:val="center"/>
              <w:rPr>
                <w:sz w:val="22"/>
                <w:szCs w:val="22"/>
              </w:rPr>
            </w:pPr>
          </w:p>
        </w:tc>
        <w:tc>
          <w:tcPr>
            <w:tcW w:w="944" w:type="dxa"/>
            <w:vAlign w:val="center"/>
          </w:tcPr>
          <w:p w14:paraId="522901AB">
            <w:pPr>
              <w:jc w:val="center"/>
              <w:rPr>
                <w:sz w:val="22"/>
                <w:szCs w:val="22"/>
              </w:rPr>
            </w:pPr>
            <w:r>
              <w:rPr>
                <w:sz w:val="22"/>
                <w:szCs w:val="22"/>
              </w:rPr>
              <w:t>LK05</w:t>
            </w:r>
          </w:p>
        </w:tc>
        <w:tc>
          <w:tcPr>
            <w:tcW w:w="1116" w:type="dxa"/>
            <w:noWrap/>
            <w:vAlign w:val="center"/>
          </w:tcPr>
          <w:p w14:paraId="0A31D697">
            <w:pPr>
              <w:jc w:val="center"/>
              <w:rPr>
                <w:sz w:val="22"/>
                <w:szCs w:val="22"/>
              </w:rPr>
            </w:pPr>
            <w:r>
              <w:rPr>
                <w:sz w:val="22"/>
                <w:szCs w:val="22"/>
              </w:rPr>
              <w:t>7</w:t>
            </w:r>
          </w:p>
        </w:tc>
        <w:tc>
          <w:tcPr>
            <w:tcW w:w="1010" w:type="dxa"/>
            <w:noWrap/>
            <w:vAlign w:val="center"/>
          </w:tcPr>
          <w:p w14:paraId="35020DB0">
            <w:pPr>
              <w:jc w:val="center"/>
              <w:rPr>
                <w:sz w:val="22"/>
                <w:szCs w:val="22"/>
              </w:rPr>
            </w:pPr>
            <w:r>
              <w:rPr>
                <w:sz w:val="22"/>
                <w:szCs w:val="22"/>
              </w:rPr>
              <w:t>105,7</w:t>
            </w:r>
          </w:p>
        </w:tc>
        <w:tc>
          <w:tcPr>
            <w:tcW w:w="1591" w:type="dxa"/>
            <w:noWrap/>
            <w:vAlign w:val="center"/>
          </w:tcPr>
          <w:p w14:paraId="2AD3E092">
            <w:pPr>
              <w:jc w:val="center"/>
              <w:rPr>
                <w:sz w:val="22"/>
                <w:szCs w:val="22"/>
              </w:rPr>
            </w:pPr>
            <w:r>
              <w:rPr>
                <w:sz w:val="22"/>
                <w:szCs w:val="22"/>
              </w:rPr>
              <w:t>1.395.240.000</w:t>
            </w:r>
          </w:p>
        </w:tc>
        <w:tc>
          <w:tcPr>
            <w:tcW w:w="1700" w:type="dxa"/>
            <w:vAlign w:val="center"/>
          </w:tcPr>
          <w:p w14:paraId="1D5B0D65">
            <w:pPr>
              <w:jc w:val="center"/>
              <w:rPr>
                <w:sz w:val="22"/>
                <w:szCs w:val="22"/>
              </w:rPr>
            </w:pPr>
            <w:r>
              <w:rPr>
                <w:sz w:val="22"/>
                <w:szCs w:val="22"/>
              </w:rPr>
              <w:t>1.678.000.000</w:t>
            </w:r>
          </w:p>
        </w:tc>
        <w:tc>
          <w:tcPr>
            <w:tcW w:w="1140" w:type="dxa"/>
            <w:noWrap/>
            <w:vAlign w:val="center"/>
          </w:tcPr>
          <w:p w14:paraId="491D92B0">
            <w:pPr>
              <w:jc w:val="center"/>
              <w:rPr>
                <w:sz w:val="22"/>
                <w:szCs w:val="22"/>
              </w:rPr>
            </w:pPr>
            <w:r>
              <w:rPr>
                <w:sz w:val="22"/>
                <w:szCs w:val="22"/>
              </w:rPr>
              <w:t>1,20%</w:t>
            </w:r>
          </w:p>
        </w:tc>
      </w:tr>
      <w:tr w14:paraId="2573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7BF257E">
            <w:pPr>
              <w:jc w:val="center"/>
              <w:rPr>
                <w:sz w:val="22"/>
                <w:szCs w:val="22"/>
              </w:rPr>
            </w:pPr>
          </w:p>
        </w:tc>
        <w:tc>
          <w:tcPr>
            <w:tcW w:w="1752" w:type="dxa"/>
            <w:vMerge w:val="continue"/>
            <w:vAlign w:val="center"/>
          </w:tcPr>
          <w:p w14:paraId="7B0E58F7">
            <w:pPr>
              <w:jc w:val="center"/>
              <w:rPr>
                <w:sz w:val="22"/>
                <w:szCs w:val="22"/>
              </w:rPr>
            </w:pPr>
          </w:p>
        </w:tc>
        <w:tc>
          <w:tcPr>
            <w:tcW w:w="944" w:type="dxa"/>
            <w:vMerge w:val="restart"/>
            <w:vAlign w:val="center"/>
          </w:tcPr>
          <w:p w14:paraId="70780838">
            <w:pPr>
              <w:jc w:val="center"/>
              <w:rPr>
                <w:sz w:val="22"/>
                <w:szCs w:val="22"/>
              </w:rPr>
            </w:pPr>
            <w:r>
              <w:rPr>
                <w:sz w:val="22"/>
                <w:szCs w:val="22"/>
              </w:rPr>
              <w:t>LK06</w:t>
            </w:r>
          </w:p>
        </w:tc>
        <w:tc>
          <w:tcPr>
            <w:tcW w:w="1116" w:type="dxa"/>
            <w:noWrap/>
            <w:vAlign w:val="center"/>
          </w:tcPr>
          <w:p w14:paraId="47E03C5D">
            <w:pPr>
              <w:jc w:val="center"/>
              <w:rPr>
                <w:sz w:val="22"/>
                <w:szCs w:val="22"/>
              </w:rPr>
            </w:pPr>
          </w:p>
        </w:tc>
        <w:tc>
          <w:tcPr>
            <w:tcW w:w="1010" w:type="dxa"/>
            <w:noWrap/>
            <w:vAlign w:val="center"/>
          </w:tcPr>
          <w:p w14:paraId="0078848B">
            <w:pPr>
              <w:jc w:val="center"/>
              <w:rPr>
                <w:sz w:val="22"/>
                <w:szCs w:val="22"/>
              </w:rPr>
            </w:pPr>
            <w:r>
              <w:rPr>
                <w:sz w:val="22"/>
                <w:szCs w:val="22"/>
              </w:rPr>
              <w:t>900</w:t>
            </w:r>
          </w:p>
        </w:tc>
        <w:tc>
          <w:tcPr>
            <w:tcW w:w="1591" w:type="dxa"/>
            <w:noWrap/>
            <w:vAlign w:val="center"/>
          </w:tcPr>
          <w:p w14:paraId="2A818A49">
            <w:pPr>
              <w:jc w:val="center"/>
              <w:rPr>
                <w:sz w:val="22"/>
                <w:szCs w:val="22"/>
              </w:rPr>
            </w:pPr>
            <w:r>
              <w:rPr>
                <w:sz w:val="22"/>
                <w:szCs w:val="22"/>
              </w:rPr>
              <w:t>9.000.000.000</w:t>
            </w:r>
          </w:p>
        </w:tc>
        <w:tc>
          <w:tcPr>
            <w:tcW w:w="1700" w:type="dxa"/>
            <w:noWrap/>
            <w:vAlign w:val="center"/>
          </w:tcPr>
          <w:p w14:paraId="46A2D86E">
            <w:pPr>
              <w:jc w:val="center"/>
              <w:rPr>
                <w:sz w:val="22"/>
                <w:szCs w:val="22"/>
              </w:rPr>
            </w:pPr>
            <w:r>
              <w:rPr>
                <w:sz w:val="22"/>
                <w:szCs w:val="22"/>
              </w:rPr>
              <w:t>9.902.000.000</w:t>
            </w:r>
          </w:p>
        </w:tc>
        <w:tc>
          <w:tcPr>
            <w:tcW w:w="1140" w:type="dxa"/>
            <w:noWrap/>
            <w:vAlign w:val="center"/>
          </w:tcPr>
          <w:p w14:paraId="7055C4FE">
            <w:pPr>
              <w:jc w:val="center"/>
              <w:rPr>
                <w:sz w:val="22"/>
                <w:szCs w:val="22"/>
              </w:rPr>
            </w:pPr>
            <w:r>
              <w:rPr>
                <w:sz w:val="22"/>
                <w:szCs w:val="22"/>
              </w:rPr>
              <w:t>1,10%</w:t>
            </w:r>
          </w:p>
        </w:tc>
      </w:tr>
      <w:tr w14:paraId="7FA0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1C371E4">
            <w:pPr>
              <w:jc w:val="center"/>
              <w:rPr>
                <w:sz w:val="22"/>
                <w:szCs w:val="22"/>
              </w:rPr>
            </w:pPr>
            <w:r>
              <w:rPr>
                <w:sz w:val="22"/>
                <w:szCs w:val="22"/>
              </w:rPr>
              <w:t>33</w:t>
            </w:r>
          </w:p>
        </w:tc>
        <w:tc>
          <w:tcPr>
            <w:tcW w:w="1752" w:type="dxa"/>
            <w:vMerge w:val="continue"/>
            <w:vAlign w:val="center"/>
          </w:tcPr>
          <w:p w14:paraId="51F52393">
            <w:pPr>
              <w:jc w:val="center"/>
              <w:rPr>
                <w:sz w:val="22"/>
                <w:szCs w:val="22"/>
              </w:rPr>
            </w:pPr>
          </w:p>
        </w:tc>
        <w:tc>
          <w:tcPr>
            <w:tcW w:w="944" w:type="dxa"/>
            <w:vMerge w:val="continue"/>
            <w:vAlign w:val="center"/>
          </w:tcPr>
          <w:p w14:paraId="44629FE2">
            <w:pPr>
              <w:jc w:val="center"/>
              <w:rPr>
                <w:sz w:val="22"/>
                <w:szCs w:val="22"/>
              </w:rPr>
            </w:pPr>
          </w:p>
        </w:tc>
        <w:tc>
          <w:tcPr>
            <w:tcW w:w="1116" w:type="dxa"/>
            <w:noWrap/>
            <w:vAlign w:val="center"/>
          </w:tcPr>
          <w:p w14:paraId="169C8702">
            <w:pPr>
              <w:jc w:val="center"/>
              <w:rPr>
                <w:sz w:val="22"/>
                <w:szCs w:val="22"/>
              </w:rPr>
            </w:pPr>
            <w:r>
              <w:rPr>
                <w:sz w:val="22"/>
                <w:szCs w:val="22"/>
              </w:rPr>
              <w:t>2</w:t>
            </w:r>
          </w:p>
        </w:tc>
        <w:tc>
          <w:tcPr>
            <w:tcW w:w="1010" w:type="dxa"/>
            <w:noWrap/>
            <w:vAlign w:val="center"/>
          </w:tcPr>
          <w:p w14:paraId="0DF40C68">
            <w:pPr>
              <w:jc w:val="center"/>
              <w:rPr>
                <w:sz w:val="22"/>
                <w:szCs w:val="22"/>
              </w:rPr>
            </w:pPr>
            <w:r>
              <w:rPr>
                <w:sz w:val="22"/>
                <w:szCs w:val="22"/>
              </w:rPr>
              <w:t>90,0</w:t>
            </w:r>
          </w:p>
        </w:tc>
        <w:tc>
          <w:tcPr>
            <w:tcW w:w="1591" w:type="dxa"/>
            <w:noWrap/>
            <w:vAlign w:val="center"/>
          </w:tcPr>
          <w:p w14:paraId="668C997E">
            <w:pPr>
              <w:jc w:val="center"/>
              <w:rPr>
                <w:sz w:val="22"/>
                <w:szCs w:val="22"/>
              </w:rPr>
            </w:pPr>
            <w:r>
              <w:rPr>
                <w:sz w:val="22"/>
                <w:szCs w:val="22"/>
              </w:rPr>
              <w:t>900.000.000</w:t>
            </w:r>
          </w:p>
        </w:tc>
        <w:tc>
          <w:tcPr>
            <w:tcW w:w="1700" w:type="dxa"/>
            <w:vAlign w:val="center"/>
          </w:tcPr>
          <w:p w14:paraId="3AE95AF4">
            <w:pPr>
              <w:jc w:val="center"/>
              <w:rPr>
                <w:sz w:val="22"/>
                <w:szCs w:val="22"/>
              </w:rPr>
            </w:pPr>
            <w:r>
              <w:rPr>
                <w:sz w:val="22"/>
                <w:szCs w:val="22"/>
              </w:rPr>
              <w:t>938.000.000</w:t>
            </w:r>
          </w:p>
        </w:tc>
        <w:tc>
          <w:tcPr>
            <w:tcW w:w="1140" w:type="dxa"/>
            <w:noWrap/>
            <w:vAlign w:val="center"/>
          </w:tcPr>
          <w:p w14:paraId="255316DD">
            <w:pPr>
              <w:jc w:val="center"/>
              <w:rPr>
                <w:sz w:val="22"/>
                <w:szCs w:val="22"/>
              </w:rPr>
            </w:pPr>
            <w:r>
              <w:rPr>
                <w:sz w:val="22"/>
                <w:szCs w:val="22"/>
              </w:rPr>
              <w:t>1,04%</w:t>
            </w:r>
          </w:p>
        </w:tc>
      </w:tr>
      <w:tr w14:paraId="067F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840B2A6">
            <w:pPr>
              <w:jc w:val="center"/>
              <w:rPr>
                <w:sz w:val="22"/>
                <w:szCs w:val="22"/>
              </w:rPr>
            </w:pPr>
            <w:r>
              <w:rPr>
                <w:sz w:val="22"/>
                <w:szCs w:val="22"/>
              </w:rPr>
              <w:t>34</w:t>
            </w:r>
          </w:p>
        </w:tc>
        <w:tc>
          <w:tcPr>
            <w:tcW w:w="1752" w:type="dxa"/>
            <w:vMerge w:val="continue"/>
            <w:vAlign w:val="center"/>
          </w:tcPr>
          <w:p w14:paraId="451262F2">
            <w:pPr>
              <w:jc w:val="center"/>
              <w:rPr>
                <w:sz w:val="22"/>
                <w:szCs w:val="22"/>
              </w:rPr>
            </w:pPr>
          </w:p>
        </w:tc>
        <w:tc>
          <w:tcPr>
            <w:tcW w:w="944" w:type="dxa"/>
            <w:vMerge w:val="continue"/>
            <w:vAlign w:val="center"/>
          </w:tcPr>
          <w:p w14:paraId="6D6AB32E">
            <w:pPr>
              <w:jc w:val="center"/>
              <w:rPr>
                <w:sz w:val="22"/>
                <w:szCs w:val="22"/>
              </w:rPr>
            </w:pPr>
          </w:p>
        </w:tc>
        <w:tc>
          <w:tcPr>
            <w:tcW w:w="1116" w:type="dxa"/>
            <w:noWrap/>
            <w:vAlign w:val="center"/>
          </w:tcPr>
          <w:p w14:paraId="3168E0AD">
            <w:pPr>
              <w:jc w:val="center"/>
              <w:rPr>
                <w:sz w:val="22"/>
                <w:szCs w:val="22"/>
              </w:rPr>
            </w:pPr>
            <w:r>
              <w:rPr>
                <w:sz w:val="22"/>
                <w:szCs w:val="22"/>
              </w:rPr>
              <w:t>3</w:t>
            </w:r>
          </w:p>
        </w:tc>
        <w:tc>
          <w:tcPr>
            <w:tcW w:w="1010" w:type="dxa"/>
            <w:noWrap/>
            <w:vAlign w:val="center"/>
          </w:tcPr>
          <w:p w14:paraId="1F801528">
            <w:pPr>
              <w:jc w:val="center"/>
              <w:rPr>
                <w:sz w:val="22"/>
                <w:szCs w:val="22"/>
              </w:rPr>
            </w:pPr>
            <w:r>
              <w:rPr>
                <w:sz w:val="22"/>
                <w:szCs w:val="22"/>
              </w:rPr>
              <w:t>90,0</w:t>
            </w:r>
          </w:p>
        </w:tc>
        <w:tc>
          <w:tcPr>
            <w:tcW w:w="1591" w:type="dxa"/>
            <w:noWrap/>
            <w:vAlign w:val="center"/>
          </w:tcPr>
          <w:p w14:paraId="0FB85DE0">
            <w:pPr>
              <w:jc w:val="center"/>
              <w:rPr>
                <w:sz w:val="22"/>
                <w:szCs w:val="22"/>
              </w:rPr>
            </w:pPr>
            <w:r>
              <w:rPr>
                <w:sz w:val="22"/>
                <w:szCs w:val="22"/>
              </w:rPr>
              <w:t>900.000.000</w:t>
            </w:r>
          </w:p>
        </w:tc>
        <w:tc>
          <w:tcPr>
            <w:tcW w:w="1700" w:type="dxa"/>
            <w:vAlign w:val="center"/>
          </w:tcPr>
          <w:p w14:paraId="2EF612A6">
            <w:pPr>
              <w:jc w:val="center"/>
              <w:rPr>
                <w:sz w:val="22"/>
                <w:szCs w:val="22"/>
              </w:rPr>
            </w:pPr>
            <w:r>
              <w:rPr>
                <w:sz w:val="22"/>
                <w:szCs w:val="22"/>
              </w:rPr>
              <w:t>1.001.000.000</w:t>
            </w:r>
          </w:p>
        </w:tc>
        <w:tc>
          <w:tcPr>
            <w:tcW w:w="1140" w:type="dxa"/>
            <w:noWrap/>
            <w:vAlign w:val="center"/>
          </w:tcPr>
          <w:p w14:paraId="31362D97">
            <w:pPr>
              <w:jc w:val="center"/>
              <w:rPr>
                <w:sz w:val="22"/>
                <w:szCs w:val="22"/>
              </w:rPr>
            </w:pPr>
            <w:r>
              <w:rPr>
                <w:sz w:val="22"/>
                <w:szCs w:val="22"/>
              </w:rPr>
              <w:t>1,11%</w:t>
            </w:r>
          </w:p>
        </w:tc>
      </w:tr>
      <w:tr w14:paraId="5B41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18FDDD5">
            <w:pPr>
              <w:jc w:val="center"/>
              <w:rPr>
                <w:sz w:val="22"/>
                <w:szCs w:val="22"/>
              </w:rPr>
            </w:pPr>
            <w:r>
              <w:rPr>
                <w:sz w:val="22"/>
                <w:szCs w:val="22"/>
              </w:rPr>
              <w:t>35</w:t>
            </w:r>
          </w:p>
        </w:tc>
        <w:tc>
          <w:tcPr>
            <w:tcW w:w="1752" w:type="dxa"/>
            <w:vMerge w:val="continue"/>
            <w:vAlign w:val="center"/>
          </w:tcPr>
          <w:p w14:paraId="373E2B4A">
            <w:pPr>
              <w:jc w:val="center"/>
              <w:rPr>
                <w:sz w:val="22"/>
                <w:szCs w:val="22"/>
              </w:rPr>
            </w:pPr>
          </w:p>
        </w:tc>
        <w:tc>
          <w:tcPr>
            <w:tcW w:w="944" w:type="dxa"/>
            <w:vMerge w:val="continue"/>
            <w:vAlign w:val="center"/>
          </w:tcPr>
          <w:p w14:paraId="670F99E9">
            <w:pPr>
              <w:jc w:val="center"/>
              <w:rPr>
                <w:sz w:val="22"/>
                <w:szCs w:val="22"/>
              </w:rPr>
            </w:pPr>
          </w:p>
        </w:tc>
        <w:tc>
          <w:tcPr>
            <w:tcW w:w="1116" w:type="dxa"/>
            <w:noWrap/>
            <w:vAlign w:val="center"/>
          </w:tcPr>
          <w:p w14:paraId="5C906C4A">
            <w:pPr>
              <w:jc w:val="center"/>
              <w:rPr>
                <w:sz w:val="22"/>
                <w:szCs w:val="22"/>
              </w:rPr>
            </w:pPr>
            <w:r>
              <w:rPr>
                <w:sz w:val="22"/>
                <w:szCs w:val="22"/>
              </w:rPr>
              <w:t>4</w:t>
            </w:r>
          </w:p>
        </w:tc>
        <w:tc>
          <w:tcPr>
            <w:tcW w:w="1010" w:type="dxa"/>
            <w:noWrap/>
            <w:vAlign w:val="center"/>
          </w:tcPr>
          <w:p w14:paraId="2B973B42">
            <w:pPr>
              <w:jc w:val="center"/>
              <w:rPr>
                <w:sz w:val="22"/>
                <w:szCs w:val="22"/>
              </w:rPr>
            </w:pPr>
            <w:r>
              <w:rPr>
                <w:sz w:val="22"/>
                <w:szCs w:val="22"/>
              </w:rPr>
              <w:t>90,0</w:t>
            </w:r>
          </w:p>
        </w:tc>
        <w:tc>
          <w:tcPr>
            <w:tcW w:w="1591" w:type="dxa"/>
            <w:noWrap/>
            <w:vAlign w:val="center"/>
          </w:tcPr>
          <w:p w14:paraId="63C92DCA">
            <w:pPr>
              <w:jc w:val="center"/>
              <w:rPr>
                <w:sz w:val="22"/>
                <w:szCs w:val="22"/>
              </w:rPr>
            </w:pPr>
            <w:r>
              <w:rPr>
                <w:sz w:val="22"/>
                <w:szCs w:val="22"/>
              </w:rPr>
              <w:t>900.000.000</w:t>
            </w:r>
          </w:p>
        </w:tc>
        <w:tc>
          <w:tcPr>
            <w:tcW w:w="1700" w:type="dxa"/>
            <w:vAlign w:val="center"/>
          </w:tcPr>
          <w:p w14:paraId="37EE7DEB">
            <w:pPr>
              <w:jc w:val="center"/>
              <w:rPr>
                <w:sz w:val="22"/>
                <w:szCs w:val="22"/>
              </w:rPr>
            </w:pPr>
            <w:r>
              <w:rPr>
                <w:sz w:val="22"/>
                <w:szCs w:val="22"/>
              </w:rPr>
              <w:t>1.003.000.000</w:t>
            </w:r>
          </w:p>
        </w:tc>
        <w:tc>
          <w:tcPr>
            <w:tcW w:w="1140" w:type="dxa"/>
            <w:noWrap/>
            <w:vAlign w:val="center"/>
          </w:tcPr>
          <w:p w14:paraId="53616A8D">
            <w:pPr>
              <w:jc w:val="center"/>
              <w:rPr>
                <w:sz w:val="22"/>
                <w:szCs w:val="22"/>
              </w:rPr>
            </w:pPr>
            <w:r>
              <w:rPr>
                <w:sz w:val="22"/>
                <w:szCs w:val="22"/>
              </w:rPr>
              <w:t>1,11%</w:t>
            </w:r>
          </w:p>
        </w:tc>
      </w:tr>
      <w:tr w14:paraId="24A7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964EC1F">
            <w:pPr>
              <w:jc w:val="center"/>
              <w:rPr>
                <w:sz w:val="22"/>
                <w:szCs w:val="22"/>
              </w:rPr>
            </w:pPr>
            <w:r>
              <w:rPr>
                <w:sz w:val="22"/>
                <w:szCs w:val="22"/>
              </w:rPr>
              <w:t>36</w:t>
            </w:r>
          </w:p>
        </w:tc>
        <w:tc>
          <w:tcPr>
            <w:tcW w:w="1752" w:type="dxa"/>
            <w:vMerge w:val="continue"/>
            <w:vAlign w:val="center"/>
          </w:tcPr>
          <w:p w14:paraId="2FC35447">
            <w:pPr>
              <w:jc w:val="center"/>
              <w:rPr>
                <w:sz w:val="22"/>
                <w:szCs w:val="22"/>
              </w:rPr>
            </w:pPr>
          </w:p>
        </w:tc>
        <w:tc>
          <w:tcPr>
            <w:tcW w:w="944" w:type="dxa"/>
            <w:vMerge w:val="continue"/>
            <w:vAlign w:val="center"/>
          </w:tcPr>
          <w:p w14:paraId="7384FABC">
            <w:pPr>
              <w:jc w:val="center"/>
              <w:rPr>
                <w:sz w:val="22"/>
                <w:szCs w:val="22"/>
              </w:rPr>
            </w:pPr>
          </w:p>
        </w:tc>
        <w:tc>
          <w:tcPr>
            <w:tcW w:w="1116" w:type="dxa"/>
            <w:noWrap/>
            <w:vAlign w:val="center"/>
          </w:tcPr>
          <w:p w14:paraId="4F94016C">
            <w:pPr>
              <w:jc w:val="center"/>
              <w:rPr>
                <w:sz w:val="22"/>
                <w:szCs w:val="22"/>
              </w:rPr>
            </w:pPr>
            <w:r>
              <w:rPr>
                <w:sz w:val="22"/>
                <w:szCs w:val="22"/>
              </w:rPr>
              <w:t>5</w:t>
            </w:r>
          </w:p>
        </w:tc>
        <w:tc>
          <w:tcPr>
            <w:tcW w:w="1010" w:type="dxa"/>
            <w:noWrap/>
            <w:vAlign w:val="center"/>
          </w:tcPr>
          <w:p w14:paraId="7C076146">
            <w:pPr>
              <w:jc w:val="center"/>
              <w:rPr>
                <w:sz w:val="22"/>
                <w:szCs w:val="22"/>
              </w:rPr>
            </w:pPr>
            <w:r>
              <w:rPr>
                <w:sz w:val="22"/>
                <w:szCs w:val="22"/>
              </w:rPr>
              <w:t>90,0</w:t>
            </w:r>
          </w:p>
        </w:tc>
        <w:tc>
          <w:tcPr>
            <w:tcW w:w="1591" w:type="dxa"/>
            <w:noWrap/>
            <w:vAlign w:val="center"/>
          </w:tcPr>
          <w:p w14:paraId="422BC0DA">
            <w:pPr>
              <w:jc w:val="center"/>
              <w:rPr>
                <w:sz w:val="22"/>
                <w:szCs w:val="22"/>
              </w:rPr>
            </w:pPr>
            <w:r>
              <w:rPr>
                <w:sz w:val="22"/>
                <w:szCs w:val="22"/>
              </w:rPr>
              <w:t>900.000.000</w:t>
            </w:r>
          </w:p>
        </w:tc>
        <w:tc>
          <w:tcPr>
            <w:tcW w:w="1700" w:type="dxa"/>
            <w:vAlign w:val="center"/>
          </w:tcPr>
          <w:p w14:paraId="23923FF1">
            <w:pPr>
              <w:jc w:val="center"/>
              <w:rPr>
                <w:sz w:val="22"/>
                <w:szCs w:val="22"/>
              </w:rPr>
            </w:pPr>
            <w:r>
              <w:rPr>
                <w:sz w:val="22"/>
                <w:szCs w:val="22"/>
              </w:rPr>
              <w:t>1.003.000.000</w:t>
            </w:r>
          </w:p>
        </w:tc>
        <w:tc>
          <w:tcPr>
            <w:tcW w:w="1140" w:type="dxa"/>
            <w:noWrap/>
            <w:vAlign w:val="center"/>
          </w:tcPr>
          <w:p w14:paraId="3CABC4BC">
            <w:pPr>
              <w:jc w:val="center"/>
              <w:rPr>
                <w:sz w:val="22"/>
                <w:szCs w:val="22"/>
              </w:rPr>
            </w:pPr>
            <w:r>
              <w:rPr>
                <w:sz w:val="22"/>
                <w:szCs w:val="22"/>
              </w:rPr>
              <w:t>1,11%</w:t>
            </w:r>
          </w:p>
        </w:tc>
      </w:tr>
      <w:tr w14:paraId="341B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01D4EFD">
            <w:pPr>
              <w:jc w:val="center"/>
              <w:rPr>
                <w:sz w:val="22"/>
                <w:szCs w:val="22"/>
              </w:rPr>
            </w:pPr>
            <w:r>
              <w:rPr>
                <w:sz w:val="22"/>
                <w:szCs w:val="22"/>
              </w:rPr>
              <w:t>37</w:t>
            </w:r>
          </w:p>
        </w:tc>
        <w:tc>
          <w:tcPr>
            <w:tcW w:w="1752" w:type="dxa"/>
            <w:vMerge w:val="continue"/>
            <w:vAlign w:val="center"/>
          </w:tcPr>
          <w:p w14:paraId="3F6C14F4">
            <w:pPr>
              <w:jc w:val="center"/>
              <w:rPr>
                <w:sz w:val="22"/>
                <w:szCs w:val="22"/>
              </w:rPr>
            </w:pPr>
          </w:p>
        </w:tc>
        <w:tc>
          <w:tcPr>
            <w:tcW w:w="944" w:type="dxa"/>
            <w:vMerge w:val="continue"/>
            <w:vAlign w:val="center"/>
          </w:tcPr>
          <w:p w14:paraId="306CB4B3">
            <w:pPr>
              <w:jc w:val="center"/>
              <w:rPr>
                <w:sz w:val="22"/>
                <w:szCs w:val="22"/>
              </w:rPr>
            </w:pPr>
          </w:p>
        </w:tc>
        <w:tc>
          <w:tcPr>
            <w:tcW w:w="1116" w:type="dxa"/>
            <w:noWrap/>
            <w:vAlign w:val="center"/>
          </w:tcPr>
          <w:p w14:paraId="555D0B9F">
            <w:pPr>
              <w:jc w:val="center"/>
              <w:rPr>
                <w:sz w:val="22"/>
                <w:szCs w:val="22"/>
              </w:rPr>
            </w:pPr>
            <w:r>
              <w:rPr>
                <w:sz w:val="22"/>
                <w:szCs w:val="22"/>
              </w:rPr>
              <w:t>6</w:t>
            </w:r>
          </w:p>
        </w:tc>
        <w:tc>
          <w:tcPr>
            <w:tcW w:w="1010" w:type="dxa"/>
            <w:noWrap/>
            <w:vAlign w:val="center"/>
          </w:tcPr>
          <w:p w14:paraId="6D93AF5F">
            <w:pPr>
              <w:jc w:val="center"/>
              <w:rPr>
                <w:sz w:val="22"/>
                <w:szCs w:val="22"/>
              </w:rPr>
            </w:pPr>
            <w:r>
              <w:rPr>
                <w:sz w:val="22"/>
                <w:szCs w:val="22"/>
              </w:rPr>
              <w:t>90,0</w:t>
            </w:r>
          </w:p>
        </w:tc>
        <w:tc>
          <w:tcPr>
            <w:tcW w:w="1591" w:type="dxa"/>
            <w:noWrap/>
            <w:vAlign w:val="center"/>
          </w:tcPr>
          <w:p w14:paraId="55BBBCD5">
            <w:pPr>
              <w:jc w:val="center"/>
              <w:rPr>
                <w:sz w:val="22"/>
                <w:szCs w:val="22"/>
              </w:rPr>
            </w:pPr>
            <w:r>
              <w:rPr>
                <w:sz w:val="22"/>
                <w:szCs w:val="22"/>
              </w:rPr>
              <w:t>900.000.000</w:t>
            </w:r>
          </w:p>
        </w:tc>
        <w:tc>
          <w:tcPr>
            <w:tcW w:w="1700" w:type="dxa"/>
            <w:vAlign w:val="center"/>
          </w:tcPr>
          <w:p w14:paraId="1E4811D2">
            <w:pPr>
              <w:jc w:val="center"/>
              <w:rPr>
                <w:sz w:val="22"/>
                <w:szCs w:val="22"/>
              </w:rPr>
            </w:pPr>
            <w:r>
              <w:rPr>
                <w:sz w:val="22"/>
                <w:szCs w:val="22"/>
              </w:rPr>
              <w:t>1.005.000.000</w:t>
            </w:r>
          </w:p>
        </w:tc>
        <w:tc>
          <w:tcPr>
            <w:tcW w:w="1140" w:type="dxa"/>
            <w:noWrap/>
            <w:vAlign w:val="center"/>
          </w:tcPr>
          <w:p w14:paraId="4DE061FB">
            <w:pPr>
              <w:jc w:val="center"/>
              <w:rPr>
                <w:sz w:val="22"/>
                <w:szCs w:val="22"/>
              </w:rPr>
            </w:pPr>
            <w:r>
              <w:rPr>
                <w:sz w:val="22"/>
                <w:szCs w:val="22"/>
              </w:rPr>
              <w:t>1,12%</w:t>
            </w:r>
          </w:p>
        </w:tc>
      </w:tr>
      <w:tr w14:paraId="3906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93D351">
            <w:pPr>
              <w:jc w:val="center"/>
              <w:rPr>
                <w:sz w:val="22"/>
                <w:szCs w:val="22"/>
              </w:rPr>
            </w:pPr>
            <w:r>
              <w:rPr>
                <w:sz w:val="22"/>
                <w:szCs w:val="22"/>
              </w:rPr>
              <w:t>38</w:t>
            </w:r>
          </w:p>
        </w:tc>
        <w:tc>
          <w:tcPr>
            <w:tcW w:w="1752" w:type="dxa"/>
            <w:vMerge w:val="continue"/>
            <w:vAlign w:val="center"/>
          </w:tcPr>
          <w:p w14:paraId="101EA05F">
            <w:pPr>
              <w:jc w:val="center"/>
              <w:rPr>
                <w:sz w:val="22"/>
                <w:szCs w:val="22"/>
              </w:rPr>
            </w:pPr>
          </w:p>
        </w:tc>
        <w:tc>
          <w:tcPr>
            <w:tcW w:w="944" w:type="dxa"/>
            <w:vMerge w:val="continue"/>
            <w:vAlign w:val="center"/>
          </w:tcPr>
          <w:p w14:paraId="01FB1D1B">
            <w:pPr>
              <w:jc w:val="center"/>
              <w:rPr>
                <w:sz w:val="22"/>
                <w:szCs w:val="22"/>
              </w:rPr>
            </w:pPr>
          </w:p>
        </w:tc>
        <w:tc>
          <w:tcPr>
            <w:tcW w:w="1116" w:type="dxa"/>
            <w:noWrap/>
            <w:vAlign w:val="center"/>
          </w:tcPr>
          <w:p w14:paraId="199837F4">
            <w:pPr>
              <w:jc w:val="center"/>
              <w:rPr>
                <w:sz w:val="22"/>
                <w:szCs w:val="22"/>
              </w:rPr>
            </w:pPr>
            <w:r>
              <w:rPr>
                <w:sz w:val="22"/>
                <w:szCs w:val="22"/>
              </w:rPr>
              <w:t>7</w:t>
            </w:r>
          </w:p>
        </w:tc>
        <w:tc>
          <w:tcPr>
            <w:tcW w:w="1010" w:type="dxa"/>
            <w:noWrap/>
            <w:vAlign w:val="center"/>
          </w:tcPr>
          <w:p w14:paraId="7FA74662">
            <w:pPr>
              <w:jc w:val="center"/>
              <w:rPr>
                <w:sz w:val="22"/>
                <w:szCs w:val="22"/>
              </w:rPr>
            </w:pPr>
            <w:r>
              <w:rPr>
                <w:sz w:val="22"/>
                <w:szCs w:val="22"/>
              </w:rPr>
              <w:t>90,0</w:t>
            </w:r>
          </w:p>
        </w:tc>
        <w:tc>
          <w:tcPr>
            <w:tcW w:w="1591" w:type="dxa"/>
            <w:noWrap/>
            <w:vAlign w:val="center"/>
          </w:tcPr>
          <w:p w14:paraId="4F441E07">
            <w:pPr>
              <w:jc w:val="center"/>
              <w:rPr>
                <w:sz w:val="22"/>
                <w:szCs w:val="22"/>
              </w:rPr>
            </w:pPr>
            <w:r>
              <w:rPr>
                <w:sz w:val="22"/>
                <w:szCs w:val="22"/>
              </w:rPr>
              <w:t>900.000.000</w:t>
            </w:r>
          </w:p>
        </w:tc>
        <w:tc>
          <w:tcPr>
            <w:tcW w:w="1700" w:type="dxa"/>
            <w:vAlign w:val="center"/>
          </w:tcPr>
          <w:p w14:paraId="0340D946">
            <w:pPr>
              <w:jc w:val="center"/>
              <w:rPr>
                <w:sz w:val="22"/>
                <w:szCs w:val="22"/>
              </w:rPr>
            </w:pPr>
            <w:r>
              <w:rPr>
                <w:sz w:val="22"/>
                <w:szCs w:val="22"/>
              </w:rPr>
              <w:t>1.005.000.000</w:t>
            </w:r>
          </w:p>
        </w:tc>
        <w:tc>
          <w:tcPr>
            <w:tcW w:w="1140" w:type="dxa"/>
            <w:noWrap/>
            <w:vAlign w:val="center"/>
          </w:tcPr>
          <w:p w14:paraId="69DC0707">
            <w:pPr>
              <w:jc w:val="center"/>
              <w:rPr>
                <w:sz w:val="22"/>
                <w:szCs w:val="22"/>
              </w:rPr>
            </w:pPr>
            <w:r>
              <w:rPr>
                <w:sz w:val="22"/>
                <w:szCs w:val="22"/>
              </w:rPr>
              <w:t>1,12%</w:t>
            </w:r>
          </w:p>
        </w:tc>
      </w:tr>
      <w:tr w14:paraId="7EA6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A29C365">
            <w:pPr>
              <w:jc w:val="center"/>
              <w:rPr>
                <w:sz w:val="22"/>
                <w:szCs w:val="22"/>
              </w:rPr>
            </w:pPr>
            <w:r>
              <w:rPr>
                <w:sz w:val="22"/>
                <w:szCs w:val="22"/>
              </w:rPr>
              <w:t>39</w:t>
            </w:r>
          </w:p>
        </w:tc>
        <w:tc>
          <w:tcPr>
            <w:tcW w:w="1752" w:type="dxa"/>
            <w:vMerge w:val="continue"/>
            <w:vAlign w:val="center"/>
          </w:tcPr>
          <w:p w14:paraId="3F39C478">
            <w:pPr>
              <w:jc w:val="center"/>
              <w:rPr>
                <w:sz w:val="22"/>
                <w:szCs w:val="22"/>
              </w:rPr>
            </w:pPr>
          </w:p>
        </w:tc>
        <w:tc>
          <w:tcPr>
            <w:tcW w:w="944" w:type="dxa"/>
            <w:vMerge w:val="continue"/>
            <w:vAlign w:val="center"/>
          </w:tcPr>
          <w:p w14:paraId="26331413">
            <w:pPr>
              <w:jc w:val="center"/>
              <w:rPr>
                <w:sz w:val="22"/>
                <w:szCs w:val="22"/>
              </w:rPr>
            </w:pPr>
          </w:p>
        </w:tc>
        <w:tc>
          <w:tcPr>
            <w:tcW w:w="1116" w:type="dxa"/>
            <w:noWrap/>
            <w:vAlign w:val="center"/>
          </w:tcPr>
          <w:p w14:paraId="1095E6A3">
            <w:pPr>
              <w:jc w:val="center"/>
              <w:rPr>
                <w:sz w:val="22"/>
                <w:szCs w:val="22"/>
              </w:rPr>
            </w:pPr>
            <w:r>
              <w:rPr>
                <w:sz w:val="22"/>
                <w:szCs w:val="22"/>
              </w:rPr>
              <w:t>8</w:t>
            </w:r>
          </w:p>
        </w:tc>
        <w:tc>
          <w:tcPr>
            <w:tcW w:w="1010" w:type="dxa"/>
            <w:noWrap/>
            <w:vAlign w:val="center"/>
          </w:tcPr>
          <w:p w14:paraId="61BDA480">
            <w:pPr>
              <w:jc w:val="center"/>
              <w:rPr>
                <w:sz w:val="22"/>
                <w:szCs w:val="22"/>
              </w:rPr>
            </w:pPr>
            <w:r>
              <w:rPr>
                <w:sz w:val="22"/>
                <w:szCs w:val="22"/>
              </w:rPr>
              <w:t>90,0</w:t>
            </w:r>
          </w:p>
        </w:tc>
        <w:tc>
          <w:tcPr>
            <w:tcW w:w="1591" w:type="dxa"/>
            <w:noWrap/>
            <w:vAlign w:val="center"/>
          </w:tcPr>
          <w:p w14:paraId="435C9F90">
            <w:pPr>
              <w:jc w:val="center"/>
              <w:rPr>
                <w:sz w:val="22"/>
                <w:szCs w:val="22"/>
              </w:rPr>
            </w:pPr>
            <w:r>
              <w:rPr>
                <w:sz w:val="22"/>
                <w:szCs w:val="22"/>
              </w:rPr>
              <w:t>900.000.000</w:t>
            </w:r>
          </w:p>
        </w:tc>
        <w:tc>
          <w:tcPr>
            <w:tcW w:w="1700" w:type="dxa"/>
            <w:vAlign w:val="center"/>
          </w:tcPr>
          <w:p w14:paraId="536221B7">
            <w:pPr>
              <w:jc w:val="center"/>
              <w:rPr>
                <w:sz w:val="22"/>
                <w:szCs w:val="22"/>
              </w:rPr>
            </w:pPr>
            <w:r>
              <w:rPr>
                <w:sz w:val="22"/>
                <w:szCs w:val="22"/>
              </w:rPr>
              <w:t>1.057.000.000</w:t>
            </w:r>
          </w:p>
        </w:tc>
        <w:tc>
          <w:tcPr>
            <w:tcW w:w="1140" w:type="dxa"/>
            <w:noWrap/>
            <w:vAlign w:val="center"/>
          </w:tcPr>
          <w:p w14:paraId="76B4517A">
            <w:pPr>
              <w:jc w:val="center"/>
              <w:rPr>
                <w:sz w:val="22"/>
                <w:szCs w:val="22"/>
              </w:rPr>
            </w:pPr>
            <w:r>
              <w:rPr>
                <w:sz w:val="22"/>
                <w:szCs w:val="22"/>
              </w:rPr>
              <w:t>1,17%</w:t>
            </w:r>
          </w:p>
        </w:tc>
      </w:tr>
      <w:tr w14:paraId="01C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D3B1FAA">
            <w:pPr>
              <w:jc w:val="center"/>
              <w:rPr>
                <w:sz w:val="22"/>
                <w:szCs w:val="22"/>
              </w:rPr>
            </w:pPr>
            <w:r>
              <w:rPr>
                <w:sz w:val="22"/>
                <w:szCs w:val="22"/>
              </w:rPr>
              <w:t>40</w:t>
            </w:r>
          </w:p>
        </w:tc>
        <w:tc>
          <w:tcPr>
            <w:tcW w:w="1752" w:type="dxa"/>
            <w:vMerge w:val="continue"/>
            <w:vAlign w:val="center"/>
          </w:tcPr>
          <w:p w14:paraId="403AB278">
            <w:pPr>
              <w:jc w:val="center"/>
              <w:rPr>
                <w:sz w:val="22"/>
                <w:szCs w:val="22"/>
              </w:rPr>
            </w:pPr>
          </w:p>
        </w:tc>
        <w:tc>
          <w:tcPr>
            <w:tcW w:w="944" w:type="dxa"/>
            <w:vMerge w:val="continue"/>
            <w:vAlign w:val="center"/>
          </w:tcPr>
          <w:p w14:paraId="26DD8D26">
            <w:pPr>
              <w:jc w:val="center"/>
              <w:rPr>
                <w:sz w:val="22"/>
                <w:szCs w:val="22"/>
              </w:rPr>
            </w:pPr>
          </w:p>
        </w:tc>
        <w:tc>
          <w:tcPr>
            <w:tcW w:w="1116" w:type="dxa"/>
            <w:noWrap/>
            <w:vAlign w:val="center"/>
          </w:tcPr>
          <w:p w14:paraId="1C7C9F55">
            <w:pPr>
              <w:jc w:val="center"/>
              <w:rPr>
                <w:sz w:val="22"/>
                <w:szCs w:val="22"/>
              </w:rPr>
            </w:pPr>
            <w:r>
              <w:rPr>
                <w:sz w:val="22"/>
                <w:szCs w:val="22"/>
              </w:rPr>
              <w:t>9</w:t>
            </w:r>
          </w:p>
        </w:tc>
        <w:tc>
          <w:tcPr>
            <w:tcW w:w="1010" w:type="dxa"/>
            <w:noWrap/>
            <w:vAlign w:val="center"/>
          </w:tcPr>
          <w:p w14:paraId="73F94004">
            <w:pPr>
              <w:jc w:val="center"/>
              <w:rPr>
                <w:sz w:val="22"/>
                <w:szCs w:val="22"/>
              </w:rPr>
            </w:pPr>
            <w:r>
              <w:rPr>
                <w:sz w:val="22"/>
                <w:szCs w:val="22"/>
              </w:rPr>
              <w:t>90,0</w:t>
            </w:r>
          </w:p>
        </w:tc>
        <w:tc>
          <w:tcPr>
            <w:tcW w:w="1591" w:type="dxa"/>
            <w:noWrap/>
            <w:vAlign w:val="center"/>
          </w:tcPr>
          <w:p w14:paraId="3C19C5E0">
            <w:pPr>
              <w:jc w:val="center"/>
              <w:rPr>
                <w:sz w:val="22"/>
                <w:szCs w:val="22"/>
              </w:rPr>
            </w:pPr>
            <w:r>
              <w:rPr>
                <w:sz w:val="22"/>
                <w:szCs w:val="22"/>
              </w:rPr>
              <w:t>900.000.000</w:t>
            </w:r>
          </w:p>
        </w:tc>
        <w:tc>
          <w:tcPr>
            <w:tcW w:w="1700" w:type="dxa"/>
            <w:vAlign w:val="center"/>
          </w:tcPr>
          <w:p w14:paraId="43C8F5EC">
            <w:pPr>
              <w:jc w:val="center"/>
              <w:rPr>
                <w:sz w:val="22"/>
                <w:szCs w:val="22"/>
              </w:rPr>
            </w:pPr>
            <w:r>
              <w:rPr>
                <w:sz w:val="22"/>
                <w:szCs w:val="22"/>
              </w:rPr>
              <w:t>942.000.000</w:t>
            </w:r>
          </w:p>
        </w:tc>
        <w:tc>
          <w:tcPr>
            <w:tcW w:w="1140" w:type="dxa"/>
            <w:noWrap/>
            <w:vAlign w:val="center"/>
          </w:tcPr>
          <w:p w14:paraId="0F8F2685">
            <w:pPr>
              <w:jc w:val="center"/>
              <w:rPr>
                <w:sz w:val="22"/>
                <w:szCs w:val="22"/>
              </w:rPr>
            </w:pPr>
            <w:r>
              <w:rPr>
                <w:sz w:val="22"/>
                <w:szCs w:val="22"/>
              </w:rPr>
              <w:t>1,05%</w:t>
            </w:r>
          </w:p>
        </w:tc>
      </w:tr>
      <w:tr w14:paraId="4695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E6FCFA5">
            <w:pPr>
              <w:jc w:val="center"/>
              <w:rPr>
                <w:sz w:val="22"/>
                <w:szCs w:val="22"/>
              </w:rPr>
            </w:pPr>
            <w:r>
              <w:rPr>
                <w:sz w:val="22"/>
                <w:szCs w:val="22"/>
              </w:rPr>
              <w:t>41</w:t>
            </w:r>
          </w:p>
        </w:tc>
        <w:tc>
          <w:tcPr>
            <w:tcW w:w="1752" w:type="dxa"/>
            <w:vMerge w:val="continue"/>
            <w:vAlign w:val="center"/>
          </w:tcPr>
          <w:p w14:paraId="727DAD9B">
            <w:pPr>
              <w:jc w:val="center"/>
              <w:rPr>
                <w:sz w:val="22"/>
                <w:szCs w:val="22"/>
              </w:rPr>
            </w:pPr>
          </w:p>
        </w:tc>
        <w:tc>
          <w:tcPr>
            <w:tcW w:w="944" w:type="dxa"/>
            <w:vMerge w:val="continue"/>
            <w:vAlign w:val="center"/>
          </w:tcPr>
          <w:p w14:paraId="5A79FAC9">
            <w:pPr>
              <w:jc w:val="center"/>
              <w:rPr>
                <w:sz w:val="22"/>
                <w:szCs w:val="22"/>
              </w:rPr>
            </w:pPr>
          </w:p>
        </w:tc>
        <w:tc>
          <w:tcPr>
            <w:tcW w:w="1116" w:type="dxa"/>
            <w:noWrap/>
            <w:vAlign w:val="center"/>
          </w:tcPr>
          <w:p w14:paraId="1496C504">
            <w:pPr>
              <w:jc w:val="center"/>
              <w:rPr>
                <w:sz w:val="22"/>
                <w:szCs w:val="22"/>
              </w:rPr>
            </w:pPr>
            <w:r>
              <w:rPr>
                <w:sz w:val="22"/>
                <w:szCs w:val="22"/>
              </w:rPr>
              <w:t>10</w:t>
            </w:r>
          </w:p>
        </w:tc>
        <w:tc>
          <w:tcPr>
            <w:tcW w:w="1010" w:type="dxa"/>
            <w:noWrap/>
            <w:vAlign w:val="center"/>
          </w:tcPr>
          <w:p w14:paraId="7710F5AE">
            <w:pPr>
              <w:jc w:val="center"/>
              <w:rPr>
                <w:sz w:val="22"/>
                <w:szCs w:val="22"/>
              </w:rPr>
            </w:pPr>
            <w:r>
              <w:rPr>
                <w:sz w:val="22"/>
                <w:szCs w:val="22"/>
              </w:rPr>
              <w:t>90,0</w:t>
            </w:r>
          </w:p>
        </w:tc>
        <w:tc>
          <w:tcPr>
            <w:tcW w:w="1591" w:type="dxa"/>
            <w:noWrap/>
            <w:vAlign w:val="center"/>
          </w:tcPr>
          <w:p w14:paraId="60ADFC23">
            <w:pPr>
              <w:jc w:val="center"/>
              <w:rPr>
                <w:sz w:val="22"/>
                <w:szCs w:val="22"/>
              </w:rPr>
            </w:pPr>
            <w:r>
              <w:rPr>
                <w:sz w:val="22"/>
                <w:szCs w:val="22"/>
              </w:rPr>
              <w:t>900.000.000</w:t>
            </w:r>
          </w:p>
        </w:tc>
        <w:tc>
          <w:tcPr>
            <w:tcW w:w="1700" w:type="dxa"/>
            <w:vAlign w:val="center"/>
          </w:tcPr>
          <w:p w14:paraId="0DAEA229">
            <w:pPr>
              <w:jc w:val="center"/>
              <w:rPr>
                <w:sz w:val="22"/>
                <w:szCs w:val="22"/>
              </w:rPr>
            </w:pPr>
            <w:r>
              <w:rPr>
                <w:sz w:val="22"/>
                <w:szCs w:val="22"/>
              </w:rPr>
              <w:t>945.000.000</w:t>
            </w:r>
          </w:p>
        </w:tc>
        <w:tc>
          <w:tcPr>
            <w:tcW w:w="1140" w:type="dxa"/>
            <w:noWrap/>
            <w:vAlign w:val="center"/>
          </w:tcPr>
          <w:p w14:paraId="7F8FB165">
            <w:pPr>
              <w:jc w:val="center"/>
              <w:rPr>
                <w:sz w:val="22"/>
                <w:szCs w:val="22"/>
              </w:rPr>
            </w:pPr>
            <w:r>
              <w:rPr>
                <w:sz w:val="22"/>
                <w:szCs w:val="22"/>
              </w:rPr>
              <w:t>1,05%</w:t>
            </w:r>
          </w:p>
        </w:tc>
      </w:tr>
      <w:tr w14:paraId="010D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AA55BF5">
            <w:pPr>
              <w:jc w:val="center"/>
              <w:rPr>
                <w:sz w:val="22"/>
                <w:szCs w:val="22"/>
              </w:rPr>
            </w:pPr>
            <w:r>
              <w:rPr>
                <w:sz w:val="22"/>
                <w:szCs w:val="22"/>
              </w:rPr>
              <w:t>42</w:t>
            </w:r>
          </w:p>
        </w:tc>
        <w:tc>
          <w:tcPr>
            <w:tcW w:w="1752" w:type="dxa"/>
            <w:vMerge w:val="continue"/>
            <w:vAlign w:val="center"/>
          </w:tcPr>
          <w:p w14:paraId="64C5BCB0">
            <w:pPr>
              <w:jc w:val="center"/>
              <w:rPr>
                <w:sz w:val="22"/>
                <w:szCs w:val="22"/>
              </w:rPr>
            </w:pPr>
          </w:p>
        </w:tc>
        <w:tc>
          <w:tcPr>
            <w:tcW w:w="944" w:type="dxa"/>
            <w:vMerge w:val="continue"/>
            <w:vAlign w:val="center"/>
          </w:tcPr>
          <w:p w14:paraId="10E4A15A">
            <w:pPr>
              <w:jc w:val="center"/>
              <w:rPr>
                <w:sz w:val="22"/>
                <w:szCs w:val="22"/>
              </w:rPr>
            </w:pPr>
          </w:p>
        </w:tc>
        <w:tc>
          <w:tcPr>
            <w:tcW w:w="1116" w:type="dxa"/>
            <w:noWrap/>
            <w:vAlign w:val="center"/>
          </w:tcPr>
          <w:p w14:paraId="2E0EC560">
            <w:pPr>
              <w:jc w:val="center"/>
              <w:rPr>
                <w:sz w:val="22"/>
                <w:szCs w:val="22"/>
              </w:rPr>
            </w:pPr>
            <w:r>
              <w:rPr>
                <w:sz w:val="22"/>
                <w:szCs w:val="22"/>
              </w:rPr>
              <w:t>13</w:t>
            </w:r>
          </w:p>
        </w:tc>
        <w:tc>
          <w:tcPr>
            <w:tcW w:w="1010" w:type="dxa"/>
            <w:noWrap/>
            <w:vAlign w:val="center"/>
          </w:tcPr>
          <w:p w14:paraId="07B6B8E3">
            <w:pPr>
              <w:jc w:val="center"/>
              <w:rPr>
                <w:sz w:val="22"/>
                <w:szCs w:val="22"/>
              </w:rPr>
            </w:pPr>
            <w:r>
              <w:rPr>
                <w:sz w:val="22"/>
                <w:szCs w:val="22"/>
              </w:rPr>
              <w:t>90,0</w:t>
            </w:r>
          </w:p>
        </w:tc>
        <w:tc>
          <w:tcPr>
            <w:tcW w:w="1591" w:type="dxa"/>
            <w:noWrap/>
            <w:vAlign w:val="center"/>
          </w:tcPr>
          <w:p w14:paraId="07DF9B1C">
            <w:pPr>
              <w:jc w:val="center"/>
              <w:rPr>
                <w:sz w:val="22"/>
                <w:szCs w:val="22"/>
              </w:rPr>
            </w:pPr>
            <w:r>
              <w:rPr>
                <w:sz w:val="22"/>
                <w:szCs w:val="22"/>
              </w:rPr>
              <w:t>900.000.000</w:t>
            </w:r>
          </w:p>
        </w:tc>
        <w:tc>
          <w:tcPr>
            <w:tcW w:w="1700" w:type="dxa"/>
            <w:vAlign w:val="center"/>
          </w:tcPr>
          <w:p w14:paraId="284E2EF4">
            <w:pPr>
              <w:jc w:val="center"/>
              <w:rPr>
                <w:sz w:val="22"/>
                <w:szCs w:val="22"/>
              </w:rPr>
            </w:pPr>
            <w:r>
              <w:rPr>
                <w:sz w:val="22"/>
                <w:szCs w:val="22"/>
              </w:rPr>
              <w:t>1.003.000.000</w:t>
            </w:r>
          </w:p>
        </w:tc>
        <w:tc>
          <w:tcPr>
            <w:tcW w:w="1140" w:type="dxa"/>
            <w:noWrap/>
            <w:vAlign w:val="center"/>
          </w:tcPr>
          <w:p w14:paraId="5A6C1FCE">
            <w:pPr>
              <w:jc w:val="center"/>
              <w:rPr>
                <w:sz w:val="22"/>
                <w:szCs w:val="22"/>
              </w:rPr>
            </w:pPr>
            <w:r>
              <w:rPr>
                <w:sz w:val="22"/>
                <w:szCs w:val="22"/>
              </w:rPr>
              <w:t>1,11%</w:t>
            </w:r>
          </w:p>
        </w:tc>
      </w:tr>
      <w:tr w14:paraId="5D42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4469" w:type="dxa"/>
            <w:gridSpan w:val="4"/>
            <w:vAlign w:val="center"/>
          </w:tcPr>
          <w:p w14:paraId="6B00236E">
            <w:pPr>
              <w:jc w:val="center"/>
              <w:rPr>
                <w:b/>
                <w:bCs/>
                <w:sz w:val="22"/>
                <w:szCs w:val="22"/>
              </w:rPr>
            </w:pPr>
            <w:r>
              <w:rPr>
                <w:b/>
                <w:bCs/>
                <w:sz w:val="22"/>
                <w:szCs w:val="22"/>
              </w:rPr>
              <w:t>CUỘC ĐẤU GIÁ 48 LÔ ĐẤT KHU DÂN CƯ TRUNG TÂM XÃ TÂN HƯNG ĐẤU NGÀY 18/3/2024</w:t>
            </w:r>
          </w:p>
        </w:tc>
        <w:tc>
          <w:tcPr>
            <w:tcW w:w="1010" w:type="dxa"/>
            <w:noWrap/>
            <w:vAlign w:val="center"/>
          </w:tcPr>
          <w:p w14:paraId="7F5C242D">
            <w:pPr>
              <w:jc w:val="center"/>
              <w:rPr>
                <w:b/>
                <w:bCs/>
                <w:sz w:val="22"/>
                <w:szCs w:val="22"/>
              </w:rPr>
            </w:pPr>
            <w:r>
              <w:rPr>
                <w:b/>
                <w:bCs/>
                <w:sz w:val="22"/>
                <w:szCs w:val="22"/>
              </w:rPr>
              <w:t>6510,7</w:t>
            </w:r>
          </w:p>
        </w:tc>
        <w:tc>
          <w:tcPr>
            <w:tcW w:w="1591" w:type="dxa"/>
            <w:noWrap/>
            <w:vAlign w:val="center"/>
          </w:tcPr>
          <w:p w14:paraId="0CE4C96A">
            <w:pPr>
              <w:jc w:val="center"/>
              <w:rPr>
                <w:b/>
                <w:bCs/>
                <w:sz w:val="22"/>
                <w:szCs w:val="22"/>
              </w:rPr>
            </w:pPr>
            <w:r>
              <w:rPr>
                <w:b/>
                <w:bCs/>
                <w:sz w:val="22"/>
                <w:szCs w:val="22"/>
              </w:rPr>
              <w:t>81.868.200.000</w:t>
            </w:r>
          </w:p>
        </w:tc>
        <w:tc>
          <w:tcPr>
            <w:tcW w:w="1700" w:type="dxa"/>
            <w:noWrap/>
            <w:vAlign w:val="center"/>
          </w:tcPr>
          <w:p w14:paraId="400F8CBF">
            <w:pPr>
              <w:jc w:val="center"/>
              <w:rPr>
                <w:b/>
                <w:bCs/>
                <w:sz w:val="22"/>
                <w:szCs w:val="22"/>
              </w:rPr>
            </w:pPr>
            <w:r>
              <w:rPr>
                <w:b/>
                <w:bCs/>
                <w:sz w:val="22"/>
                <w:szCs w:val="22"/>
              </w:rPr>
              <w:t>88.356.187.000</w:t>
            </w:r>
          </w:p>
        </w:tc>
        <w:tc>
          <w:tcPr>
            <w:tcW w:w="1140" w:type="dxa"/>
            <w:noWrap/>
            <w:vAlign w:val="center"/>
          </w:tcPr>
          <w:p w14:paraId="2F975FCB">
            <w:pPr>
              <w:jc w:val="center"/>
              <w:rPr>
                <w:b/>
                <w:bCs/>
                <w:sz w:val="22"/>
                <w:szCs w:val="22"/>
              </w:rPr>
            </w:pPr>
          </w:p>
        </w:tc>
      </w:tr>
      <w:tr w14:paraId="2F53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2A09BFF">
            <w:pPr>
              <w:jc w:val="center"/>
              <w:rPr>
                <w:sz w:val="22"/>
                <w:szCs w:val="22"/>
              </w:rPr>
            </w:pPr>
            <w:r>
              <w:rPr>
                <w:sz w:val="22"/>
                <w:szCs w:val="22"/>
              </w:rPr>
              <w:t>1</w:t>
            </w:r>
          </w:p>
        </w:tc>
        <w:tc>
          <w:tcPr>
            <w:tcW w:w="1752" w:type="dxa"/>
            <w:vMerge w:val="restart"/>
            <w:vAlign w:val="center"/>
          </w:tcPr>
          <w:p w14:paraId="468D6253">
            <w:pPr>
              <w:jc w:val="center"/>
              <w:rPr>
                <w:sz w:val="22"/>
                <w:szCs w:val="22"/>
              </w:rPr>
            </w:pPr>
            <w:r>
              <w:rPr>
                <w:sz w:val="22"/>
                <w:szCs w:val="22"/>
              </w:rPr>
              <w:t>KHU DÂN CƯ TRUNG TÂM XÃ TÂN HƯNG</w:t>
            </w:r>
          </w:p>
        </w:tc>
        <w:tc>
          <w:tcPr>
            <w:tcW w:w="944" w:type="dxa"/>
            <w:vMerge w:val="restart"/>
            <w:vAlign w:val="center"/>
          </w:tcPr>
          <w:p w14:paraId="3901D814">
            <w:pPr>
              <w:jc w:val="center"/>
              <w:rPr>
                <w:sz w:val="22"/>
                <w:szCs w:val="22"/>
              </w:rPr>
            </w:pPr>
            <w:r>
              <w:rPr>
                <w:sz w:val="22"/>
                <w:szCs w:val="22"/>
              </w:rPr>
              <w:t>LK09</w:t>
            </w:r>
          </w:p>
        </w:tc>
        <w:tc>
          <w:tcPr>
            <w:tcW w:w="1116" w:type="dxa"/>
            <w:noWrap/>
            <w:vAlign w:val="center"/>
          </w:tcPr>
          <w:p w14:paraId="16CB4D83">
            <w:pPr>
              <w:jc w:val="center"/>
              <w:rPr>
                <w:sz w:val="22"/>
                <w:szCs w:val="22"/>
              </w:rPr>
            </w:pPr>
            <w:r>
              <w:rPr>
                <w:sz w:val="22"/>
                <w:szCs w:val="22"/>
              </w:rPr>
              <w:t>LK9.20</w:t>
            </w:r>
          </w:p>
        </w:tc>
        <w:tc>
          <w:tcPr>
            <w:tcW w:w="1010" w:type="dxa"/>
            <w:noWrap/>
            <w:vAlign w:val="center"/>
          </w:tcPr>
          <w:p w14:paraId="106950B1">
            <w:pPr>
              <w:jc w:val="center"/>
              <w:rPr>
                <w:sz w:val="22"/>
                <w:szCs w:val="22"/>
              </w:rPr>
            </w:pPr>
            <w:r>
              <w:rPr>
                <w:sz w:val="22"/>
                <w:szCs w:val="22"/>
              </w:rPr>
              <w:t>126,00</w:t>
            </w:r>
          </w:p>
        </w:tc>
        <w:tc>
          <w:tcPr>
            <w:tcW w:w="1591" w:type="dxa"/>
            <w:noWrap/>
            <w:vAlign w:val="center"/>
          </w:tcPr>
          <w:p w14:paraId="33494F53">
            <w:pPr>
              <w:jc w:val="center"/>
              <w:rPr>
                <w:sz w:val="22"/>
                <w:szCs w:val="22"/>
              </w:rPr>
            </w:pPr>
            <w:r>
              <w:rPr>
                <w:sz w:val="22"/>
                <w:szCs w:val="22"/>
              </w:rPr>
              <w:t>1.512.000.000</w:t>
            </w:r>
          </w:p>
        </w:tc>
        <w:tc>
          <w:tcPr>
            <w:tcW w:w="1700" w:type="dxa"/>
            <w:noWrap/>
            <w:vAlign w:val="center"/>
          </w:tcPr>
          <w:p w14:paraId="1E74DF66">
            <w:pPr>
              <w:jc w:val="center"/>
              <w:rPr>
                <w:sz w:val="22"/>
                <w:szCs w:val="22"/>
              </w:rPr>
            </w:pPr>
            <w:r>
              <w:rPr>
                <w:sz w:val="22"/>
                <w:szCs w:val="22"/>
              </w:rPr>
              <w:t>1.659.000.000</w:t>
            </w:r>
          </w:p>
        </w:tc>
        <w:tc>
          <w:tcPr>
            <w:tcW w:w="1140" w:type="dxa"/>
            <w:noWrap/>
            <w:vAlign w:val="center"/>
          </w:tcPr>
          <w:p w14:paraId="04AB0108">
            <w:pPr>
              <w:jc w:val="center"/>
              <w:rPr>
                <w:sz w:val="22"/>
                <w:szCs w:val="22"/>
              </w:rPr>
            </w:pPr>
            <w:r>
              <w:rPr>
                <w:sz w:val="22"/>
                <w:szCs w:val="22"/>
              </w:rPr>
              <w:t>1,10%</w:t>
            </w:r>
          </w:p>
        </w:tc>
      </w:tr>
      <w:tr w14:paraId="1817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AB6DC78">
            <w:pPr>
              <w:jc w:val="center"/>
              <w:rPr>
                <w:sz w:val="22"/>
                <w:szCs w:val="22"/>
              </w:rPr>
            </w:pPr>
            <w:r>
              <w:rPr>
                <w:sz w:val="22"/>
                <w:szCs w:val="22"/>
              </w:rPr>
              <w:t>2</w:t>
            </w:r>
          </w:p>
        </w:tc>
        <w:tc>
          <w:tcPr>
            <w:tcW w:w="1752" w:type="dxa"/>
            <w:vMerge w:val="continue"/>
            <w:vAlign w:val="center"/>
          </w:tcPr>
          <w:p w14:paraId="4434BD50">
            <w:pPr>
              <w:jc w:val="center"/>
              <w:rPr>
                <w:sz w:val="22"/>
                <w:szCs w:val="22"/>
              </w:rPr>
            </w:pPr>
          </w:p>
        </w:tc>
        <w:tc>
          <w:tcPr>
            <w:tcW w:w="944" w:type="dxa"/>
            <w:vMerge w:val="continue"/>
            <w:vAlign w:val="center"/>
          </w:tcPr>
          <w:p w14:paraId="364F781C">
            <w:pPr>
              <w:jc w:val="center"/>
              <w:rPr>
                <w:sz w:val="22"/>
                <w:szCs w:val="22"/>
              </w:rPr>
            </w:pPr>
          </w:p>
        </w:tc>
        <w:tc>
          <w:tcPr>
            <w:tcW w:w="1116" w:type="dxa"/>
            <w:noWrap/>
            <w:vAlign w:val="center"/>
          </w:tcPr>
          <w:p w14:paraId="21BFA00B">
            <w:pPr>
              <w:jc w:val="center"/>
              <w:rPr>
                <w:sz w:val="22"/>
                <w:szCs w:val="22"/>
              </w:rPr>
            </w:pPr>
            <w:r>
              <w:rPr>
                <w:sz w:val="22"/>
                <w:szCs w:val="22"/>
              </w:rPr>
              <w:t>LK9.21</w:t>
            </w:r>
          </w:p>
        </w:tc>
        <w:tc>
          <w:tcPr>
            <w:tcW w:w="1010" w:type="dxa"/>
            <w:noWrap/>
            <w:vAlign w:val="center"/>
          </w:tcPr>
          <w:p w14:paraId="4F6B7F9E">
            <w:pPr>
              <w:jc w:val="center"/>
              <w:rPr>
                <w:sz w:val="22"/>
                <w:szCs w:val="22"/>
              </w:rPr>
            </w:pPr>
            <w:r>
              <w:rPr>
                <w:sz w:val="22"/>
                <w:szCs w:val="22"/>
              </w:rPr>
              <w:t>126,00</w:t>
            </w:r>
          </w:p>
        </w:tc>
        <w:tc>
          <w:tcPr>
            <w:tcW w:w="1591" w:type="dxa"/>
            <w:noWrap/>
            <w:vAlign w:val="center"/>
          </w:tcPr>
          <w:p w14:paraId="6A0B9E06">
            <w:pPr>
              <w:jc w:val="center"/>
              <w:rPr>
                <w:sz w:val="22"/>
                <w:szCs w:val="22"/>
              </w:rPr>
            </w:pPr>
            <w:r>
              <w:rPr>
                <w:sz w:val="22"/>
                <w:szCs w:val="22"/>
              </w:rPr>
              <w:t>1.512.000.000</w:t>
            </w:r>
          </w:p>
        </w:tc>
        <w:tc>
          <w:tcPr>
            <w:tcW w:w="1700" w:type="dxa"/>
            <w:noWrap/>
            <w:vAlign w:val="center"/>
          </w:tcPr>
          <w:p w14:paraId="5ABA2CE9">
            <w:pPr>
              <w:jc w:val="center"/>
              <w:rPr>
                <w:sz w:val="22"/>
                <w:szCs w:val="22"/>
              </w:rPr>
            </w:pPr>
            <w:r>
              <w:rPr>
                <w:sz w:val="22"/>
                <w:szCs w:val="22"/>
              </w:rPr>
              <w:t>1.641.999.000</w:t>
            </w:r>
          </w:p>
        </w:tc>
        <w:tc>
          <w:tcPr>
            <w:tcW w:w="1140" w:type="dxa"/>
            <w:noWrap/>
            <w:vAlign w:val="center"/>
          </w:tcPr>
          <w:p w14:paraId="3359D397">
            <w:pPr>
              <w:jc w:val="center"/>
              <w:rPr>
                <w:sz w:val="22"/>
                <w:szCs w:val="22"/>
              </w:rPr>
            </w:pPr>
            <w:r>
              <w:rPr>
                <w:sz w:val="22"/>
                <w:szCs w:val="22"/>
              </w:rPr>
              <w:t>1,09%</w:t>
            </w:r>
          </w:p>
        </w:tc>
      </w:tr>
      <w:tr w14:paraId="17EE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B0FB45A">
            <w:pPr>
              <w:jc w:val="center"/>
              <w:rPr>
                <w:sz w:val="22"/>
                <w:szCs w:val="22"/>
              </w:rPr>
            </w:pPr>
            <w:r>
              <w:rPr>
                <w:sz w:val="22"/>
                <w:szCs w:val="22"/>
              </w:rPr>
              <w:t>3</w:t>
            </w:r>
          </w:p>
        </w:tc>
        <w:tc>
          <w:tcPr>
            <w:tcW w:w="1752" w:type="dxa"/>
            <w:vMerge w:val="continue"/>
            <w:vAlign w:val="center"/>
          </w:tcPr>
          <w:p w14:paraId="3486C1BA">
            <w:pPr>
              <w:jc w:val="center"/>
              <w:rPr>
                <w:sz w:val="22"/>
                <w:szCs w:val="22"/>
              </w:rPr>
            </w:pPr>
          </w:p>
        </w:tc>
        <w:tc>
          <w:tcPr>
            <w:tcW w:w="944" w:type="dxa"/>
            <w:vMerge w:val="continue"/>
            <w:vAlign w:val="center"/>
          </w:tcPr>
          <w:p w14:paraId="30C2DF07">
            <w:pPr>
              <w:jc w:val="center"/>
              <w:rPr>
                <w:sz w:val="22"/>
                <w:szCs w:val="22"/>
              </w:rPr>
            </w:pPr>
          </w:p>
        </w:tc>
        <w:tc>
          <w:tcPr>
            <w:tcW w:w="1116" w:type="dxa"/>
            <w:noWrap/>
            <w:vAlign w:val="center"/>
          </w:tcPr>
          <w:p w14:paraId="3EF2DCF2">
            <w:pPr>
              <w:jc w:val="center"/>
              <w:rPr>
                <w:sz w:val="22"/>
                <w:szCs w:val="22"/>
              </w:rPr>
            </w:pPr>
            <w:r>
              <w:rPr>
                <w:sz w:val="22"/>
                <w:szCs w:val="22"/>
              </w:rPr>
              <w:t>LK9.22</w:t>
            </w:r>
          </w:p>
        </w:tc>
        <w:tc>
          <w:tcPr>
            <w:tcW w:w="1010" w:type="dxa"/>
            <w:noWrap/>
            <w:vAlign w:val="center"/>
          </w:tcPr>
          <w:p w14:paraId="0612FBBF">
            <w:pPr>
              <w:jc w:val="center"/>
              <w:rPr>
                <w:sz w:val="22"/>
                <w:szCs w:val="22"/>
              </w:rPr>
            </w:pPr>
            <w:r>
              <w:rPr>
                <w:sz w:val="22"/>
                <w:szCs w:val="22"/>
              </w:rPr>
              <w:t>126,00</w:t>
            </w:r>
          </w:p>
        </w:tc>
        <w:tc>
          <w:tcPr>
            <w:tcW w:w="1591" w:type="dxa"/>
            <w:noWrap/>
            <w:vAlign w:val="center"/>
          </w:tcPr>
          <w:p w14:paraId="21507AF9">
            <w:pPr>
              <w:jc w:val="center"/>
              <w:rPr>
                <w:sz w:val="22"/>
                <w:szCs w:val="22"/>
              </w:rPr>
            </w:pPr>
            <w:r>
              <w:rPr>
                <w:sz w:val="22"/>
                <w:szCs w:val="22"/>
              </w:rPr>
              <w:t>1.512.000.000</w:t>
            </w:r>
          </w:p>
        </w:tc>
        <w:tc>
          <w:tcPr>
            <w:tcW w:w="1700" w:type="dxa"/>
            <w:noWrap/>
            <w:vAlign w:val="center"/>
          </w:tcPr>
          <w:p w14:paraId="278A58DB">
            <w:pPr>
              <w:jc w:val="center"/>
              <w:rPr>
                <w:sz w:val="22"/>
                <w:szCs w:val="22"/>
              </w:rPr>
            </w:pPr>
            <w:r>
              <w:rPr>
                <w:sz w:val="22"/>
                <w:szCs w:val="22"/>
              </w:rPr>
              <w:t>1.650.000.000</w:t>
            </w:r>
          </w:p>
        </w:tc>
        <w:tc>
          <w:tcPr>
            <w:tcW w:w="1140" w:type="dxa"/>
            <w:noWrap/>
            <w:vAlign w:val="center"/>
          </w:tcPr>
          <w:p w14:paraId="017F9E75">
            <w:pPr>
              <w:jc w:val="center"/>
              <w:rPr>
                <w:sz w:val="22"/>
                <w:szCs w:val="22"/>
              </w:rPr>
            </w:pPr>
            <w:r>
              <w:rPr>
                <w:sz w:val="22"/>
                <w:szCs w:val="22"/>
              </w:rPr>
              <w:t>1,09%</w:t>
            </w:r>
          </w:p>
        </w:tc>
      </w:tr>
      <w:tr w14:paraId="680C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7A0D92E">
            <w:pPr>
              <w:jc w:val="center"/>
              <w:rPr>
                <w:sz w:val="22"/>
                <w:szCs w:val="22"/>
              </w:rPr>
            </w:pPr>
            <w:r>
              <w:rPr>
                <w:sz w:val="22"/>
                <w:szCs w:val="22"/>
              </w:rPr>
              <w:t>4</w:t>
            </w:r>
          </w:p>
        </w:tc>
        <w:tc>
          <w:tcPr>
            <w:tcW w:w="1752" w:type="dxa"/>
            <w:vMerge w:val="continue"/>
            <w:vAlign w:val="center"/>
          </w:tcPr>
          <w:p w14:paraId="30B87AB6">
            <w:pPr>
              <w:jc w:val="center"/>
              <w:rPr>
                <w:sz w:val="22"/>
                <w:szCs w:val="22"/>
              </w:rPr>
            </w:pPr>
          </w:p>
        </w:tc>
        <w:tc>
          <w:tcPr>
            <w:tcW w:w="944" w:type="dxa"/>
            <w:vMerge w:val="continue"/>
            <w:vAlign w:val="center"/>
          </w:tcPr>
          <w:p w14:paraId="304874BB">
            <w:pPr>
              <w:jc w:val="center"/>
              <w:rPr>
                <w:sz w:val="22"/>
                <w:szCs w:val="22"/>
              </w:rPr>
            </w:pPr>
          </w:p>
        </w:tc>
        <w:tc>
          <w:tcPr>
            <w:tcW w:w="1116" w:type="dxa"/>
            <w:noWrap/>
            <w:vAlign w:val="center"/>
          </w:tcPr>
          <w:p w14:paraId="66B2F0E3">
            <w:pPr>
              <w:jc w:val="center"/>
              <w:rPr>
                <w:sz w:val="22"/>
                <w:szCs w:val="22"/>
              </w:rPr>
            </w:pPr>
            <w:r>
              <w:rPr>
                <w:sz w:val="22"/>
                <w:szCs w:val="22"/>
              </w:rPr>
              <w:t>LK9.23</w:t>
            </w:r>
          </w:p>
        </w:tc>
        <w:tc>
          <w:tcPr>
            <w:tcW w:w="1010" w:type="dxa"/>
            <w:noWrap/>
            <w:vAlign w:val="center"/>
          </w:tcPr>
          <w:p w14:paraId="79D03530">
            <w:pPr>
              <w:jc w:val="center"/>
              <w:rPr>
                <w:sz w:val="22"/>
                <w:szCs w:val="22"/>
              </w:rPr>
            </w:pPr>
            <w:r>
              <w:rPr>
                <w:sz w:val="22"/>
                <w:szCs w:val="22"/>
              </w:rPr>
              <w:t>126,00</w:t>
            </w:r>
          </w:p>
        </w:tc>
        <w:tc>
          <w:tcPr>
            <w:tcW w:w="1591" w:type="dxa"/>
            <w:noWrap/>
            <w:vAlign w:val="center"/>
          </w:tcPr>
          <w:p w14:paraId="439574E3">
            <w:pPr>
              <w:jc w:val="center"/>
              <w:rPr>
                <w:sz w:val="22"/>
                <w:szCs w:val="22"/>
              </w:rPr>
            </w:pPr>
            <w:r>
              <w:rPr>
                <w:sz w:val="22"/>
                <w:szCs w:val="22"/>
              </w:rPr>
              <w:t>1.512.000.000</w:t>
            </w:r>
          </w:p>
        </w:tc>
        <w:tc>
          <w:tcPr>
            <w:tcW w:w="1700" w:type="dxa"/>
            <w:noWrap/>
            <w:vAlign w:val="center"/>
          </w:tcPr>
          <w:p w14:paraId="57B20B72">
            <w:pPr>
              <w:jc w:val="center"/>
              <w:rPr>
                <w:sz w:val="22"/>
                <w:szCs w:val="22"/>
              </w:rPr>
            </w:pPr>
            <w:r>
              <w:rPr>
                <w:sz w:val="22"/>
                <w:szCs w:val="22"/>
              </w:rPr>
              <w:t>1.650.000.000</w:t>
            </w:r>
          </w:p>
        </w:tc>
        <w:tc>
          <w:tcPr>
            <w:tcW w:w="1140" w:type="dxa"/>
            <w:noWrap/>
            <w:vAlign w:val="center"/>
          </w:tcPr>
          <w:p w14:paraId="646DEC3A">
            <w:pPr>
              <w:jc w:val="center"/>
              <w:rPr>
                <w:sz w:val="22"/>
                <w:szCs w:val="22"/>
              </w:rPr>
            </w:pPr>
            <w:r>
              <w:rPr>
                <w:sz w:val="22"/>
                <w:szCs w:val="22"/>
              </w:rPr>
              <w:t>1,09%</w:t>
            </w:r>
          </w:p>
        </w:tc>
      </w:tr>
      <w:tr w14:paraId="320F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F1C6FDD">
            <w:pPr>
              <w:jc w:val="center"/>
              <w:rPr>
                <w:sz w:val="22"/>
                <w:szCs w:val="22"/>
              </w:rPr>
            </w:pPr>
            <w:r>
              <w:rPr>
                <w:sz w:val="22"/>
                <w:szCs w:val="22"/>
              </w:rPr>
              <w:t>5</w:t>
            </w:r>
          </w:p>
        </w:tc>
        <w:tc>
          <w:tcPr>
            <w:tcW w:w="1752" w:type="dxa"/>
            <w:vMerge w:val="continue"/>
            <w:vAlign w:val="center"/>
          </w:tcPr>
          <w:p w14:paraId="40FC3565">
            <w:pPr>
              <w:jc w:val="center"/>
              <w:rPr>
                <w:sz w:val="22"/>
                <w:szCs w:val="22"/>
              </w:rPr>
            </w:pPr>
          </w:p>
        </w:tc>
        <w:tc>
          <w:tcPr>
            <w:tcW w:w="944" w:type="dxa"/>
            <w:vMerge w:val="continue"/>
            <w:vAlign w:val="center"/>
          </w:tcPr>
          <w:p w14:paraId="269941CE">
            <w:pPr>
              <w:jc w:val="center"/>
              <w:rPr>
                <w:sz w:val="22"/>
                <w:szCs w:val="22"/>
              </w:rPr>
            </w:pPr>
          </w:p>
        </w:tc>
        <w:tc>
          <w:tcPr>
            <w:tcW w:w="1116" w:type="dxa"/>
            <w:noWrap/>
            <w:vAlign w:val="center"/>
          </w:tcPr>
          <w:p w14:paraId="607E34B4">
            <w:pPr>
              <w:jc w:val="center"/>
              <w:rPr>
                <w:sz w:val="22"/>
                <w:szCs w:val="22"/>
              </w:rPr>
            </w:pPr>
            <w:r>
              <w:rPr>
                <w:sz w:val="22"/>
                <w:szCs w:val="22"/>
              </w:rPr>
              <w:t>LK9.24</w:t>
            </w:r>
          </w:p>
        </w:tc>
        <w:tc>
          <w:tcPr>
            <w:tcW w:w="1010" w:type="dxa"/>
            <w:noWrap/>
            <w:vAlign w:val="center"/>
          </w:tcPr>
          <w:p w14:paraId="64B8D86C">
            <w:pPr>
              <w:jc w:val="center"/>
              <w:rPr>
                <w:sz w:val="22"/>
                <w:szCs w:val="22"/>
              </w:rPr>
            </w:pPr>
            <w:r>
              <w:rPr>
                <w:sz w:val="22"/>
                <w:szCs w:val="22"/>
              </w:rPr>
              <w:t>126,00</w:t>
            </w:r>
          </w:p>
        </w:tc>
        <w:tc>
          <w:tcPr>
            <w:tcW w:w="1591" w:type="dxa"/>
            <w:noWrap/>
            <w:vAlign w:val="center"/>
          </w:tcPr>
          <w:p w14:paraId="22538AD1">
            <w:pPr>
              <w:jc w:val="center"/>
              <w:rPr>
                <w:sz w:val="22"/>
                <w:szCs w:val="22"/>
              </w:rPr>
            </w:pPr>
            <w:r>
              <w:rPr>
                <w:sz w:val="22"/>
                <w:szCs w:val="22"/>
              </w:rPr>
              <w:t>1.512.000.000</w:t>
            </w:r>
          </w:p>
        </w:tc>
        <w:tc>
          <w:tcPr>
            <w:tcW w:w="1700" w:type="dxa"/>
            <w:noWrap/>
            <w:vAlign w:val="center"/>
          </w:tcPr>
          <w:p w14:paraId="7A0136C2">
            <w:pPr>
              <w:jc w:val="center"/>
              <w:rPr>
                <w:sz w:val="22"/>
                <w:szCs w:val="22"/>
              </w:rPr>
            </w:pPr>
            <w:r>
              <w:rPr>
                <w:sz w:val="22"/>
                <w:szCs w:val="22"/>
              </w:rPr>
              <w:t>1.633.000.000</w:t>
            </w:r>
          </w:p>
        </w:tc>
        <w:tc>
          <w:tcPr>
            <w:tcW w:w="1140" w:type="dxa"/>
            <w:noWrap/>
            <w:vAlign w:val="center"/>
          </w:tcPr>
          <w:p w14:paraId="1B9EB195">
            <w:pPr>
              <w:jc w:val="center"/>
              <w:rPr>
                <w:sz w:val="22"/>
                <w:szCs w:val="22"/>
              </w:rPr>
            </w:pPr>
            <w:r>
              <w:rPr>
                <w:sz w:val="22"/>
                <w:szCs w:val="22"/>
              </w:rPr>
              <w:t>1,08%</w:t>
            </w:r>
          </w:p>
        </w:tc>
      </w:tr>
      <w:tr w14:paraId="1602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0FF920E">
            <w:pPr>
              <w:jc w:val="center"/>
              <w:rPr>
                <w:sz w:val="22"/>
                <w:szCs w:val="22"/>
              </w:rPr>
            </w:pPr>
            <w:r>
              <w:rPr>
                <w:sz w:val="22"/>
                <w:szCs w:val="22"/>
              </w:rPr>
              <w:t>6</w:t>
            </w:r>
          </w:p>
        </w:tc>
        <w:tc>
          <w:tcPr>
            <w:tcW w:w="1752" w:type="dxa"/>
            <w:vMerge w:val="continue"/>
            <w:vAlign w:val="center"/>
          </w:tcPr>
          <w:p w14:paraId="3792CB53">
            <w:pPr>
              <w:jc w:val="center"/>
              <w:rPr>
                <w:sz w:val="22"/>
                <w:szCs w:val="22"/>
              </w:rPr>
            </w:pPr>
          </w:p>
        </w:tc>
        <w:tc>
          <w:tcPr>
            <w:tcW w:w="944" w:type="dxa"/>
            <w:vMerge w:val="continue"/>
            <w:vAlign w:val="center"/>
          </w:tcPr>
          <w:p w14:paraId="158EF763">
            <w:pPr>
              <w:jc w:val="center"/>
              <w:rPr>
                <w:sz w:val="22"/>
                <w:szCs w:val="22"/>
              </w:rPr>
            </w:pPr>
          </w:p>
        </w:tc>
        <w:tc>
          <w:tcPr>
            <w:tcW w:w="1116" w:type="dxa"/>
            <w:noWrap/>
            <w:vAlign w:val="center"/>
          </w:tcPr>
          <w:p w14:paraId="28B54857">
            <w:pPr>
              <w:jc w:val="center"/>
              <w:rPr>
                <w:sz w:val="22"/>
                <w:szCs w:val="22"/>
              </w:rPr>
            </w:pPr>
            <w:r>
              <w:rPr>
                <w:sz w:val="22"/>
                <w:szCs w:val="22"/>
              </w:rPr>
              <w:t>LK9.25</w:t>
            </w:r>
          </w:p>
        </w:tc>
        <w:tc>
          <w:tcPr>
            <w:tcW w:w="1010" w:type="dxa"/>
            <w:noWrap/>
            <w:vAlign w:val="center"/>
          </w:tcPr>
          <w:p w14:paraId="4DA4EDFF">
            <w:pPr>
              <w:jc w:val="center"/>
              <w:rPr>
                <w:sz w:val="22"/>
                <w:szCs w:val="22"/>
              </w:rPr>
            </w:pPr>
            <w:r>
              <w:rPr>
                <w:sz w:val="22"/>
                <w:szCs w:val="22"/>
              </w:rPr>
              <w:t>126,00</w:t>
            </w:r>
          </w:p>
        </w:tc>
        <w:tc>
          <w:tcPr>
            <w:tcW w:w="1591" w:type="dxa"/>
            <w:noWrap/>
            <w:vAlign w:val="center"/>
          </w:tcPr>
          <w:p w14:paraId="4B4B38E9">
            <w:pPr>
              <w:jc w:val="center"/>
              <w:rPr>
                <w:sz w:val="22"/>
                <w:szCs w:val="22"/>
              </w:rPr>
            </w:pPr>
            <w:r>
              <w:rPr>
                <w:sz w:val="22"/>
                <w:szCs w:val="22"/>
              </w:rPr>
              <w:t>1.512.000.000</w:t>
            </w:r>
          </w:p>
        </w:tc>
        <w:tc>
          <w:tcPr>
            <w:tcW w:w="1700" w:type="dxa"/>
            <w:noWrap/>
            <w:vAlign w:val="center"/>
          </w:tcPr>
          <w:p w14:paraId="1FD3245A">
            <w:pPr>
              <w:jc w:val="center"/>
              <w:rPr>
                <w:sz w:val="22"/>
                <w:szCs w:val="22"/>
              </w:rPr>
            </w:pPr>
            <w:r>
              <w:rPr>
                <w:sz w:val="22"/>
                <w:szCs w:val="22"/>
              </w:rPr>
              <w:t>1.639.990.000</w:t>
            </w:r>
          </w:p>
        </w:tc>
        <w:tc>
          <w:tcPr>
            <w:tcW w:w="1140" w:type="dxa"/>
            <w:noWrap/>
            <w:vAlign w:val="center"/>
          </w:tcPr>
          <w:p w14:paraId="02266525">
            <w:pPr>
              <w:jc w:val="center"/>
              <w:rPr>
                <w:sz w:val="22"/>
                <w:szCs w:val="22"/>
              </w:rPr>
            </w:pPr>
            <w:r>
              <w:rPr>
                <w:sz w:val="22"/>
                <w:szCs w:val="22"/>
              </w:rPr>
              <w:t>1,08%</w:t>
            </w:r>
          </w:p>
        </w:tc>
      </w:tr>
      <w:tr w14:paraId="5181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80E8F52">
            <w:pPr>
              <w:jc w:val="center"/>
              <w:rPr>
                <w:sz w:val="22"/>
                <w:szCs w:val="22"/>
              </w:rPr>
            </w:pPr>
            <w:r>
              <w:rPr>
                <w:sz w:val="22"/>
                <w:szCs w:val="22"/>
              </w:rPr>
              <w:t>7</w:t>
            </w:r>
          </w:p>
        </w:tc>
        <w:tc>
          <w:tcPr>
            <w:tcW w:w="1752" w:type="dxa"/>
            <w:vMerge w:val="continue"/>
            <w:vAlign w:val="center"/>
          </w:tcPr>
          <w:p w14:paraId="319CE0AE">
            <w:pPr>
              <w:jc w:val="center"/>
              <w:rPr>
                <w:sz w:val="22"/>
                <w:szCs w:val="22"/>
              </w:rPr>
            </w:pPr>
          </w:p>
        </w:tc>
        <w:tc>
          <w:tcPr>
            <w:tcW w:w="944" w:type="dxa"/>
            <w:vMerge w:val="restart"/>
            <w:vAlign w:val="center"/>
          </w:tcPr>
          <w:p w14:paraId="6A644D46">
            <w:pPr>
              <w:jc w:val="center"/>
              <w:rPr>
                <w:sz w:val="22"/>
                <w:szCs w:val="22"/>
              </w:rPr>
            </w:pPr>
            <w:r>
              <w:rPr>
                <w:sz w:val="22"/>
                <w:szCs w:val="22"/>
              </w:rPr>
              <w:t>LK10</w:t>
            </w:r>
          </w:p>
        </w:tc>
        <w:tc>
          <w:tcPr>
            <w:tcW w:w="1116" w:type="dxa"/>
            <w:noWrap/>
            <w:vAlign w:val="center"/>
          </w:tcPr>
          <w:p w14:paraId="24F55D02">
            <w:pPr>
              <w:jc w:val="center"/>
              <w:rPr>
                <w:sz w:val="22"/>
                <w:szCs w:val="22"/>
              </w:rPr>
            </w:pPr>
            <w:r>
              <w:rPr>
                <w:sz w:val="22"/>
                <w:szCs w:val="22"/>
              </w:rPr>
              <w:t>LK10.1</w:t>
            </w:r>
          </w:p>
        </w:tc>
        <w:tc>
          <w:tcPr>
            <w:tcW w:w="1010" w:type="dxa"/>
            <w:noWrap/>
            <w:vAlign w:val="center"/>
          </w:tcPr>
          <w:p w14:paraId="73FDE2C0">
            <w:pPr>
              <w:jc w:val="center"/>
              <w:rPr>
                <w:sz w:val="22"/>
                <w:szCs w:val="22"/>
              </w:rPr>
            </w:pPr>
            <w:r>
              <w:rPr>
                <w:sz w:val="22"/>
                <w:szCs w:val="22"/>
              </w:rPr>
              <w:t>221,20</w:t>
            </w:r>
          </w:p>
        </w:tc>
        <w:tc>
          <w:tcPr>
            <w:tcW w:w="1591" w:type="dxa"/>
            <w:noWrap/>
            <w:vAlign w:val="center"/>
          </w:tcPr>
          <w:p w14:paraId="6DF0D576">
            <w:pPr>
              <w:jc w:val="center"/>
              <w:rPr>
                <w:sz w:val="22"/>
                <w:szCs w:val="22"/>
              </w:rPr>
            </w:pPr>
            <w:r>
              <w:rPr>
                <w:sz w:val="22"/>
                <w:szCs w:val="22"/>
              </w:rPr>
              <w:t>3.318.000.000</w:t>
            </w:r>
          </w:p>
        </w:tc>
        <w:tc>
          <w:tcPr>
            <w:tcW w:w="1700" w:type="dxa"/>
            <w:noWrap/>
            <w:vAlign w:val="center"/>
          </w:tcPr>
          <w:p w14:paraId="4B39F77E">
            <w:pPr>
              <w:jc w:val="center"/>
              <w:rPr>
                <w:sz w:val="22"/>
                <w:szCs w:val="22"/>
              </w:rPr>
            </w:pPr>
            <w:r>
              <w:rPr>
                <w:sz w:val="22"/>
                <w:szCs w:val="22"/>
              </w:rPr>
              <w:t>3.476.198.000</w:t>
            </w:r>
          </w:p>
        </w:tc>
        <w:tc>
          <w:tcPr>
            <w:tcW w:w="1140" w:type="dxa"/>
            <w:noWrap/>
            <w:vAlign w:val="center"/>
          </w:tcPr>
          <w:p w14:paraId="09D87EB5">
            <w:pPr>
              <w:jc w:val="center"/>
              <w:rPr>
                <w:sz w:val="22"/>
                <w:szCs w:val="22"/>
              </w:rPr>
            </w:pPr>
            <w:r>
              <w:rPr>
                <w:sz w:val="22"/>
                <w:szCs w:val="22"/>
              </w:rPr>
              <w:t>1,05%</w:t>
            </w:r>
          </w:p>
        </w:tc>
      </w:tr>
      <w:tr w14:paraId="1430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6334355">
            <w:pPr>
              <w:jc w:val="center"/>
              <w:rPr>
                <w:sz w:val="22"/>
                <w:szCs w:val="22"/>
              </w:rPr>
            </w:pPr>
            <w:r>
              <w:rPr>
                <w:sz w:val="22"/>
                <w:szCs w:val="22"/>
              </w:rPr>
              <w:t>8</w:t>
            </w:r>
          </w:p>
        </w:tc>
        <w:tc>
          <w:tcPr>
            <w:tcW w:w="1752" w:type="dxa"/>
            <w:vMerge w:val="continue"/>
            <w:vAlign w:val="center"/>
          </w:tcPr>
          <w:p w14:paraId="27AB0A91">
            <w:pPr>
              <w:jc w:val="center"/>
              <w:rPr>
                <w:sz w:val="22"/>
                <w:szCs w:val="22"/>
              </w:rPr>
            </w:pPr>
          </w:p>
        </w:tc>
        <w:tc>
          <w:tcPr>
            <w:tcW w:w="944" w:type="dxa"/>
            <w:vMerge w:val="continue"/>
            <w:vAlign w:val="center"/>
          </w:tcPr>
          <w:p w14:paraId="67C12BB9">
            <w:pPr>
              <w:jc w:val="center"/>
              <w:rPr>
                <w:sz w:val="22"/>
                <w:szCs w:val="22"/>
              </w:rPr>
            </w:pPr>
          </w:p>
        </w:tc>
        <w:tc>
          <w:tcPr>
            <w:tcW w:w="1116" w:type="dxa"/>
            <w:noWrap/>
            <w:vAlign w:val="center"/>
          </w:tcPr>
          <w:p w14:paraId="78B74A3F">
            <w:pPr>
              <w:jc w:val="center"/>
              <w:rPr>
                <w:sz w:val="22"/>
                <w:szCs w:val="22"/>
              </w:rPr>
            </w:pPr>
            <w:r>
              <w:rPr>
                <w:sz w:val="22"/>
                <w:szCs w:val="22"/>
              </w:rPr>
              <w:t>LK10.2</w:t>
            </w:r>
          </w:p>
        </w:tc>
        <w:tc>
          <w:tcPr>
            <w:tcW w:w="1010" w:type="dxa"/>
            <w:noWrap/>
            <w:vAlign w:val="center"/>
          </w:tcPr>
          <w:p w14:paraId="2AA83E43">
            <w:pPr>
              <w:jc w:val="center"/>
              <w:rPr>
                <w:sz w:val="22"/>
                <w:szCs w:val="22"/>
              </w:rPr>
            </w:pPr>
            <w:r>
              <w:rPr>
                <w:sz w:val="22"/>
                <w:szCs w:val="22"/>
              </w:rPr>
              <w:t>140,00</w:t>
            </w:r>
          </w:p>
        </w:tc>
        <w:tc>
          <w:tcPr>
            <w:tcW w:w="1591" w:type="dxa"/>
            <w:noWrap/>
            <w:vAlign w:val="center"/>
          </w:tcPr>
          <w:p w14:paraId="13694F0F">
            <w:pPr>
              <w:jc w:val="center"/>
              <w:rPr>
                <w:sz w:val="22"/>
                <w:szCs w:val="22"/>
              </w:rPr>
            </w:pPr>
            <w:r>
              <w:rPr>
                <w:sz w:val="22"/>
                <w:szCs w:val="22"/>
              </w:rPr>
              <w:t>1.750.000.000</w:t>
            </w:r>
          </w:p>
        </w:tc>
        <w:tc>
          <w:tcPr>
            <w:tcW w:w="1700" w:type="dxa"/>
            <w:noWrap/>
            <w:vAlign w:val="center"/>
          </w:tcPr>
          <w:p w14:paraId="4A0AA733">
            <w:pPr>
              <w:jc w:val="center"/>
              <w:rPr>
                <w:sz w:val="22"/>
                <w:szCs w:val="22"/>
              </w:rPr>
            </w:pPr>
            <w:r>
              <w:rPr>
                <w:sz w:val="22"/>
                <w:szCs w:val="22"/>
              </w:rPr>
              <w:t>1.880.000.000</w:t>
            </w:r>
          </w:p>
        </w:tc>
        <w:tc>
          <w:tcPr>
            <w:tcW w:w="1140" w:type="dxa"/>
            <w:noWrap/>
            <w:vAlign w:val="center"/>
          </w:tcPr>
          <w:p w14:paraId="15BD2493">
            <w:pPr>
              <w:jc w:val="center"/>
              <w:rPr>
                <w:sz w:val="22"/>
                <w:szCs w:val="22"/>
              </w:rPr>
            </w:pPr>
            <w:r>
              <w:rPr>
                <w:sz w:val="22"/>
                <w:szCs w:val="22"/>
              </w:rPr>
              <w:t>1,07%</w:t>
            </w:r>
          </w:p>
        </w:tc>
      </w:tr>
      <w:tr w14:paraId="57BB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06BF4AD">
            <w:pPr>
              <w:jc w:val="center"/>
              <w:rPr>
                <w:sz w:val="22"/>
                <w:szCs w:val="22"/>
              </w:rPr>
            </w:pPr>
            <w:r>
              <w:rPr>
                <w:sz w:val="22"/>
                <w:szCs w:val="22"/>
              </w:rPr>
              <w:t>9</w:t>
            </w:r>
          </w:p>
        </w:tc>
        <w:tc>
          <w:tcPr>
            <w:tcW w:w="1752" w:type="dxa"/>
            <w:vMerge w:val="continue"/>
            <w:vAlign w:val="center"/>
          </w:tcPr>
          <w:p w14:paraId="38966D76">
            <w:pPr>
              <w:jc w:val="center"/>
              <w:rPr>
                <w:sz w:val="22"/>
                <w:szCs w:val="22"/>
              </w:rPr>
            </w:pPr>
          </w:p>
        </w:tc>
        <w:tc>
          <w:tcPr>
            <w:tcW w:w="944" w:type="dxa"/>
            <w:vMerge w:val="continue"/>
            <w:vAlign w:val="center"/>
          </w:tcPr>
          <w:p w14:paraId="7DF20ED2">
            <w:pPr>
              <w:jc w:val="center"/>
              <w:rPr>
                <w:sz w:val="22"/>
                <w:szCs w:val="22"/>
              </w:rPr>
            </w:pPr>
          </w:p>
        </w:tc>
        <w:tc>
          <w:tcPr>
            <w:tcW w:w="1116" w:type="dxa"/>
            <w:noWrap/>
            <w:vAlign w:val="center"/>
          </w:tcPr>
          <w:p w14:paraId="4A2F8F04">
            <w:pPr>
              <w:jc w:val="center"/>
              <w:rPr>
                <w:sz w:val="22"/>
                <w:szCs w:val="22"/>
              </w:rPr>
            </w:pPr>
            <w:r>
              <w:rPr>
                <w:sz w:val="22"/>
                <w:szCs w:val="22"/>
              </w:rPr>
              <w:t>LK10.3</w:t>
            </w:r>
          </w:p>
        </w:tc>
        <w:tc>
          <w:tcPr>
            <w:tcW w:w="1010" w:type="dxa"/>
            <w:noWrap/>
            <w:vAlign w:val="center"/>
          </w:tcPr>
          <w:p w14:paraId="1D8E68B1">
            <w:pPr>
              <w:jc w:val="center"/>
              <w:rPr>
                <w:sz w:val="22"/>
                <w:szCs w:val="22"/>
              </w:rPr>
            </w:pPr>
            <w:r>
              <w:rPr>
                <w:sz w:val="22"/>
                <w:szCs w:val="22"/>
              </w:rPr>
              <w:t>140,00</w:t>
            </w:r>
          </w:p>
        </w:tc>
        <w:tc>
          <w:tcPr>
            <w:tcW w:w="1591" w:type="dxa"/>
            <w:noWrap/>
            <w:vAlign w:val="center"/>
          </w:tcPr>
          <w:p w14:paraId="7B5318C7">
            <w:pPr>
              <w:jc w:val="center"/>
              <w:rPr>
                <w:sz w:val="22"/>
                <w:szCs w:val="22"/>
              </w:rPr>
            </w:pPr>
            <w:r>
              <w:rPr>
                <w:sz w:val="22"/>
                <w:szCs w:val="22"/>
              </w:rPr>
              <w:t>1.750.000.000</w:t>
            </w:r>
          </w:p>
        </w:tc>
        <w:tc>
          <w:tcPr>
            <w:tcW w:w="1700" w:type="dxa"/>
            <w:noWrap/>
            <w:vAlign w:val="center"/>
          </w:tcPr>
          <w:p w14:paraId="3DEA7943">
            <w:pPr>
              <w:jc w:val="center"/>
              <w:rPr>
                <w:sz w:val="22"/>
                <w:szCs w:val="22"/>
              </w:rPr>
            </w:pPr>
            <w:r>
              <w:rPr>
                <w:sz w:val="22"/>
                <w:szCs w:val="22"/>
              </w:rPr>
              <w:t>1.870.300.000</w:t>
            </w:r>
          </w:p>
        </w:tc>
        <w:tc>
          <w:tcPr>
            <w:tcW w:w="1140" w:type="dxa"/>
            <w:noWrap/>
            <w:vAlign w:val="center"/>
          </w:tcPr>
          <w:p w14:paraId="673AD9A0">
            <w:pPr>
              <w:jc w:val="center"/>
              <w:rPr>
                <w:sz w:val="22"/>
                <w:szCs w:val="22"/>
              </w:rPr>
            </w:pPr>
            <w:r>
              <w:rPr>
                <w:sz w:val="22"/>
                <w:szCs w:val="22"/>
              </w:rPr>
              <w:t>1,07%</w:t>
            </w:r>
          </w:p>
        </w:tc>
      </w:tr>
      <w:tr w14:paraId="2CFD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A588355">
            <w:pPr>
              <w:jc w:val="center"/>
              <w:rPr>
                <w:sz w:val="22"/>
                <w:szCs w:val="22"/>
              </w:rPr>
            </w:pPr>
            <w:r>
              <w:rPr>
                <w:sz w:val="22"/>
                <w:szCs w:val="22"/>
              </w:rPr>
              <w:t>10</w:t>
            </w:r>
          </w:p>
        </w:tc>
        <w:tc>
          <w:tcPr>
            <w:tcW w:w="1752" w:type="dxa"/>
            <w:vMerge w:val="continue"/>
            <w:vAlign w:val="center"/>
          </w:tcPr>
          <w:p w14:paraId="10B34AB8">
            <w:pPr>
              <w:jc w:val="center"/>
              <w:rPr>
                <w:sz w:val="22"/>
                <w:szCs w:val="22"/>
              </w:rPr>
            </w:pPr>
          </w:p>
        </w:tc>
        <w:tc>
          <w:tcPr>
            <w:tcW w:w="944" w:type="dxa"/>
            <w:vMerge w:val="continue"/>
            <w:vAlign w:val="center"/>
          </w:tcPr>
          <w:p w14:paraId="49462B77">
            <w:pPr>
              <w:jc w:val="center"/>
              <w:rPr>
                <w:sz w:val="22"/>
                <w:szCs w:val="22"/>
              </w:rPr>
            </w:pPr>
          </w:p>
        </w:tc>
        <w:tc>
          <w:tcPr>
            <w:tcW w:w="1116" w:type="dxa"/>
            <w:noWrap/>
            <w:vAlign w:val="center"/>
          </w:tcPr>
          <w:p w14:paraId="23FE5E08">
            <w:pPr>
              <w:jc w:val="center"/>
              <w:rPr>
                <w:sz w:val="22"/>
                <w:szCs w:val="22"/>
              </w:rPr>
            </w:pPr>
            <w:r>
              <w:rPr>
                <w:sz w:val="22"/>
                <w:szCs w:val="22"/>
              </w:rPr>
              <w:t>LK10.4</w:t>
            </w:r>
          </w:p>
        </w:tc>
        <w:tc>
          <w:tcPr>
            <w:tcW w:w="1010" w:type="dxa"/>
            <w:noWrap/>
            <w:vAlign w:val="center"/>
          </w:tcPr>
          <w:p w14:paraId="706A1EA9">
            <w:pPr>
              <w:jc w:val="center"/>
              <w:rPr>
                <w:sz w:val="22"/>
                <w:szCs w:val="22"/>
              </w:rPr>
            </w:pPr>
            <w:r>
              <w:rPr>
                <w:sz w:val="22"/>
                <w:szCs w:val="22"/>
              </w:rPr>
              <w:t>140,00</w:t>
            </w:r>
          </w:p>
        </w:tc>
        <w:tc>
          <w:tcPr>
            <w:tcW w:w="1591" w:type="dxa"/>
            <w:noWrap/>
            <w:vAlign w:val="center"/>
          </w:tcPr>
          <w:p w14:paraId="32273DB8">
            <w:pPr>
              <w:jc w:val="center"/>
              <w:rPr>
                <w:sz w:val="22"/>
                <w:szCs w:val="22"/>
              </w:rPr>
            </w:pPr>
            <w:r>
              <w:rPr>
                <w:sz w:val="22"/>
                <w:szCs w:val="22"/>
              </w:rPr>
              <w:t>1.750.000.000</w:t>
            </w:r>
          </w:p>
        </w:tc>
        <w:tc>
          <w:tcPr>
            <w:tcW w:w="1700" w:type="dxa"/>
            <w:noWrap/>
            <w:vAlign w:val="center"/>
          </w:tcPr>
          <w:p w14:paraId="26778D4B">
            <w:pPr>
              <w:jc w:val="center"/>
              <w:rPr>
                <w:sz w:val="22"/>
                <w:szCs w:val="22"/>
              </w:rPr>
            </w:pPr>
            <w:r>
              <w:rPr>
                <w:sz w:val="22"/>
                <w:szCs w:val="22"/>
              </w:rPr>
              <w:t>1.870.300.000</w:t>
            </w:r>
          </w:p>
        </w:tc>
        <w:tc>
          <w:tcPr>
            <w:tcW w:w="1140" w:type="dxa"/>
            <w:noWrap/>
            <w:vAlign w:val="center"/>
          </w:tcPr>
          <w:p w14:paraId="53743ABB">
            <w:pPr>
              <w:jc w:val="center"/>
              <w:rPr>
                <w:sz w:val="22"/>
                <w:szCs w:val="22"/>
              </w:rPr>
            </w:pPr>
            <w:r>
              <w:rPr>
                <w:sz w:val="22"/>
                <w:szCs w:val="22"/>
              </w:rPr>
              <w:t>1,07%</w:t>
            </w:r>
          </w:p>
        </w:tc>
      </w:tr>
      <w:tr w14:paraId="1089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54DC94F">
            <w:pPr>
              <w:jc w:val="center"/>
              <w:rPr>
                <w:sz w:val="22"/>
                <w:szCs w:val="22"/>
              </w:rPr>
            </w:pPr>
            <w:r>
              <w:rPr>
                <w:sz w:val="22"/>
                <w:szCs w:val="22"/>
              </w:rPr>
              <w:t>11</w:t>
            </w:r>
          </w:p>
        </w:tc>
        <w:tc>
          <w:tcPr>
            <w:tcW w:w="1752" w:type="dxa"/>
            <w:vMerge w:val="continue"/>
            <w:vAlign w:val="center"/>
          </w:tcPr>
          <w:p w14:paraId="3430B23E">
            <w:pPr>
              <w:jc w:val="center"/>
              <w:rPr>
                <w:sz w:val="22"/>
                <w:szCs w:val="22"/>
              </w:rPr>
            </w:pPr>
          </w:p>
        </w:tc>
        <w:tc>
          <w:tcPr>
            <w:tcW w:w="944" w:type="dxa"/>
            <w:vMerge w:val="continue"/>
            <w:vAlign w:val="center"/>
          </w:tcPr>
          <w:p w14:paraId="4B32C67F">
            <w:pPr>
              <w:jc w:val="center"/>
              <w:rPr>
                <w:sz w:val="22"/>
                <w:szCs w:val="22"/>
              </w:rPr>
            </w:pPr>
          </w:p>
        </w:tc>
        <w:tc>
          <w:tcPr>
            <w:tcW w:w="1116" w:type="dxa"/>
            <w:noWrap/>
            <w:vAlign w:val="center"/>
          </w:tcPr>
          <w:p w14:paraId="75F5C509">
            <w:pPr>
              <w:jc w:val="center"/>
              <w:rPr>
                <w:sz w:val="22"/>
                <w:szCs w:val="22"/>
              </w:rPr>
            </w:pPr>
            <w:r>
              <w:rPr>
                <w:sz w:val="22"/>
                <w:szCs w:val="22"/>
              </w:rPr>
              <w:t>LK10.8</w:t>
            </w:r>
          </w:p>
        </w:tc>
        <w:tc>
          <w:tcPr>
            <w:tcW w:w="1010" w:type="dxa"/>
            <w:noWrap/>
            <w:vAlign w:val="center"/>
          </w:tcPr>
          <w:p w14:paraId="7094CE5F">
            <w:pPr>
              <w:jc w:val="center"/>
              <w:rPr>
                <w:sz w:val="22"/>
                <w:szCs w:val="22"/>
              </w:rPr>
            </w:pPr>
            <w:r>
              <w:rPr>
                <w:sz w:val="22"/>
                <w:szCs w:val="22"/>
              </w:rPr>
              <w:t>140,00</w:t>
            </w:r>
          </w:p>
        </w:tc>
        <w:tc>
          <w:tcPr>
            <w:tcW w:w="1591" w:type="dxa"/>
            <w:noWrap/>
            <w:vAlign w:val="center"/>
          </w:tcPr>
          <w:p w14:paraId="17BE0621">
            <w:pPr>
              <w:jc w:val="center"/>
              <w:rPr>
                <w:sz w:val="22"/>
                <w:szCs w:val="22"/>
              </w:rPr>
            </w:pPr>
            <w:r>
              <w:rPr>
                <w:sz w:val="22"/>
                <w:szCs w:val="22"/>
              </w:rPr>
              <w:t>1.750.000.000</w:t>
            </w:r>
          </w:p>
        </w:tc>
        <w:tc>
          <w:tcPr>
            <w:tcW w:w="1700" w:type="dxa"/>
            <w:noWrap/>
            <w:vAlign w:val="center"/>
          </w:tcPr>
          <w:p w14:paraId="6FFDDDF4">
            <w:pPr>
              <w:jc w:val="center"/>
              <w:rPr>
                <w:sz w:val="22"/>
                <w:szCs w:val="22"/>
              </w:rPr>
            </w:pPr>
            <w:r>
              <w:rPr>
                <w:sz w:val="22"/>
                <w:szCs w:val="22"/>
              </w:rPr>
              <w:t>1.876.500.000</w:t>
            </w:r>
          </w:p>
        </w:tc>
        <w:tc>
          <w:tcPr>
            <w:tcW w:w="1140" w:type="dxa"/>
            <w:noWrap/>
            <w:vAlign w:val="center"/>
          </w:tcPr>
          <w:p w14:paraId="7938BBCB">
            <w:pPr>
              <w:jc w:val="center"/>
              <w:rPr>
                <w:sz w:val="22"/>
                <w:szCs w:val="22"/>
              </w:rPr>
            </w:pPr>
            <w:r>
              <w:rPr>
                <w:sz w:val="22"/>
                <w:szCs w:val="22"/>
              </w:rPr>
              <w:t>1,07%</w:t>
            </w:r>
          </w:p>
        </w:tc>
      </w:tr>
      <w:tr w14:paraId="605C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02DF122">
            <w:pPr>
              <w:jc w:val="center"/>
              <w:rPr>
                <w:sz w:val="22"/>
                <w:szCs w:val="22"/>
              </w:rPr>
            </w:pPr>
            <w:r>
              <w:rPr>
                <w:sz w:val="22"/>
                <w:szCs w:val="22"/>
              </w:rPr>
              <w:t>12</w:t>
            </w:r>
          </w:p>
        </w:tc>
        <w:tc>
          <w:tcPr>
            <w:tcW w:w="1752" w:type="dxa"/>
            <w:vMerge w:val="continue"/>
            <w:vAlign w:val="center"/>
          </w:tcPr>
          <w:p w14:paraId="7D884F28">
            <w:pPr>
              <w:jc w:val="center"/>
              <w:rPr>
                <w:sz w:val="22"/>
                <w:szCs w:val="22"/>
              </w:rPr>
            </w:pPr>
          </w:p>
        </w:tc>
        <w:tc>
          <w:tcPr>
            <w:tcW w:w="944" w:type="dxa"/>
            <w:vMerge w:val="continue"/>
            <w:vAlign w:val="center"/>
          </w:tcPr>
          <w:p w14:paraId="7151BF5F">
            <w:pPr>
              <w:jc w:val="center"/>
              <w:rPr>
                <w:sz w:val="22"/>
                <w:szCs w:val="22"/>
              </w:rPr>
            </w:pPr>
          </w:p>
        </w:tc>
        <w:tc>
          <w:tcPr>
            <w:tcW w:w="1116" w:type="dxa"/>
            <w:noWrap/>
            <w:vAlign w:val="center"/>
          </w:tcPr>
          <w:p w14:paraId="682781E4">
            <w:pPr>
              <w:jc w:val="center"/>
              <w:rPr>
                <w:sz w:val="22"/>
                <w:szCs w:val="22"/>
              </w:rPr>
            </w:pPr>
            <w:r>
              <w:rPr>
                <w:sz w:val="22"/>
                <w:szCs w:val="22"/>
              </w:rPr>
              <w:t>LK10.9</w:t>
            </w:r>
          </w:p>
        </w:tc>
        <w:tc>
          <w:tcPr>
            <w:tcW w:w="1010" w:type="dxa"/>
            <w:noWrap/>
            <w:vAlign w:val="center"/>
          </w:tcPr>
          <w:p w14:paraId="4EAEF4B3">
            <w:pPr>
              <w:jc w:val="center"/>
              <w:rPr>
                <w:sz w:val="22"/>
                <w:szCs w:val="22"/>
              </w:rPr>
            </w:pPr>
            <w:r>
              <w:rPr>
                <w:sz w:val="22"/>
                <w:szCs w:val="22"/>
              </w:rPr>
              <w:t>140,00</w:t>
            </w:r>
          </w:p>
        </w:tc>
        <w:tc>
          <w:tcPr>
            <w:tcW w:w="1591" w:type="dxa"/>
            <w:noWrap/>
            <w:vAlign w:val="center"/>
          </w:tcPr>
          <w:p w14:paraId="28EE4DF2">
            <w:pPr>
              <w:jc w:val="center"/>
              <w:rPr>
                <w:sz w:val="22"/>
                <w:szCs w:val="22"/>
              </w:rPr>
            </w:pPr>
            <w:r>
              <w:rPr>
                <w:sz w:val="22"/>
                <w:szCs w:val="22"/>
              </w:rPr>
              <w:t>1.750.000.000</w:t>
            </w:r>
          </w:p>
        </w:tc>
        <w:tc>
          <w:tcPr>
            <w:tcW w:w="1700" w:type="dxa"/>
            <w:noWrap/>
            <w:vAlign w:val="center"/>
          </w:tcPr>
          <w:p w14:paraId="59310B5D">
            <w:pPr>
              <w:jc w:val="center"/>
              <w:rPr>
                <w:sz w:val="22"/>
                <w:szCs w:val="22"/>
              </w:rPr>
            </w:pPr>
            <w:r>
              <w:rPr>
                <w:sz w:val="22"/>
                <w:szCs w:val="22"/>
              </w:rPr>
              <w:t>1.852.000.000</w:t>
            </w:r>
          </w:p>
        </w:tc>
        <w:tc>
          <w:tcPr>
            <w:tcW w:w="1140" w:type="dxa"/>
            <w:noWrap/>
            <w:vAlign w:val="center"/>
          </w:tcPr>
          <w:p w14:paraId="498DCF71">
            <w:pPr>
              <w:jc w:val="center"/>
              <w:rPr>
                <w:sz w:val="22"/>
                <w:szCs w:val="22"/>
              </w:rPr>
            </w:pPr>
            <w:r>
              <w:rPr>
                <w:sz w:val="22"/>
                <w:szCs w:val="22"/>
              </w:rPr>
              <w:t>1,06%</w:t>
            </w:r>
          </w:p>
        </w:tc>
      </w:tr>
      <w:tr w14:paraId="121B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5ACD68D">
            <w:pPr>
              <w:jc w:val="center"/>
              <w:rPr>
                <w:sz w:val="22"/>
                <w:szCs w:val="22"/>
              </w:rPr>
            </w:pPr>
            <w:r>
              <w:rPr>
                <w:sz w:val="22"/>
                <w:szCs w:val="22"/>
              </w:rPr>
              <w:t>13</w:t>
            </w:r>
          </w:p>
        </w:tc>
        <w:tc>
          <w:tcPr>
            <w:tcW w:w="1752" w:type="dxa"/>
            <w:vMerge w:val="continue"/>
            <w:vAlign w:val="center"/>
          </w:tcPr>
          <w:p w14:paraId="12AFA92E">
            <w:pPr>
              <w:jc w:val="center"/>
              <w:rPr>
                <w:sz w:val="22"/>
                <w:szCs w:val="22"/>
              </w:rPr>
            </w:pPr>
          </w:p>
        </w:tc>
        <w:tc>
          <w:tcPr>
            <w:tcW w:w="944" w:type="dxa"/>
            <w:vMerge w:val="continue"/>
            <w:vAlign w:val="center"/>
          </w:tcPr>
          <w:p w14:paraId="77FA07E6">
            <w:pPr>
              <w:jc w:val="center"/>
              <w:rPr>
                <w:sz w:val="22"/>
                <w:szCs w:val="22"/>
              </w:rPr>
            </w:pPr>
          </w:p>
        </w:tc>
        <w:tc>
          <w:tcPr>
            <w:tcW w:w="1116" w:type="dxa"/>
            <w:noWrap/>
            <w:vAlign w:val="center"/>
          </w:tcPr>
          <w:p w14:paraId="4E0DF99D">
            <w:pPr>
              <w:jc w:val="center"/>
              <w:rPr>
                <w:sz w:val="22"/>
                <w:szCs w:val="22"/>
              </w:rPr>
            </w:pPr>
            <w:r>
              <w:rPr>
                <w:sz w:val="22"/>
                <w:szCs w:val="22"/>
              </w:rPr>
              <w:t>LK10.14</w:t>
            </w:r>
          </w:p>
        </w:tc>
        <w:tc>
          <w:tcPr>
            <w:tcW w:w="1010" w:type="dxa"/>
            <w:noWrap/>
            <w:vAlign w:val="center"/>
          </w:tcPr>
          <w:p w14:paraId="092DEE01">
            <w:pPr>
              <w:jc w:val="center"/>
              <w:rPr>
                <w:sz w:val="22"/>
                <w:szCs w:val="22"/>
              </w:rPr>
            </w:pPr>
            <w:r>
              <w:rPr>
                <w:sz w:val="22"/>
                <w:szCs w:val="22"/>
              </w:rPr>
              <w:t>126,00</w:t>
            </w:r>
          </w:p>
        </w:tc>
        <w:tc>
          <w:tcPr>
            <w:tcW w:w="1591" w:type="dxa"/>
            <w:noWrap/>
            <w:vAlign w:val="center"/>
          </w:tcPr>
          <w:p w14:paraId="42105A67">
            <w:pPr>
              <w:jc w:val="center"/>
              <w:rPr>
                <w:sz w:val="22"/>
                <w:szCs w:val="22"/>
              </w:rPr>
            </w:pPr>
            <w:r>
              <w:rPr>
                <w:sz w:val="22"/>
                <w:szCs w:val="22"/>
              </w:rPr>
              <w:t>1.512.000.000</w:t>
            </w:r>
          </w:p>
        </w:tc>
        <w:tc>
          <w:tcPr>
            <w:tcW w:w="1700" w:type="dxa"/>
            <w:noWrap/>
            <w:vAlign w:val="center"/>
          </w:tcPr>
          <w:p w14:paraId="08690A8C">
            <w:pPr>
              <w:jc w:val="center"/>
              <w:rPr>
                <w:sz w:val="22"/>
                <w:szCs w:val="22"/>
              </w:rPr>
            </w:pPr>
            <w:r>
              <w:rPr>
                <w:sz w:val="22"/>
                <w:szCs w:val="22"/>
              </w:rPr>
              <w:t>1.737.000.000</w:t>
            </w:r>
          </w:p>
        </w:tc>
        <w:tc>
          <w:tcPr>
            <w:tcW w:w="1140" w:type="dxa"/>
            <w:noWrap/>
            <w:vAlign w:val="center"/>
          </w:tcPr>
          <w:p w14:paraId="40C64A44">
            <w:pPr>
              <w:jc w:val="center"/>
              <w:rPr>
                <w:sz w:val="22"/>
                <w:szCs w:val="22"/>
              </w:rPr>
            </w:pPr>
            <w:r>
              <w:rPr>
                <w:sz w:val="22"/>
                <w:szCs w:val="22"/>
              </w:rPr>
              <w:t>1,15%</w:t>
            </w:r>
          </w:p>
        </w:tc>
      </w:tr>
      <w:tr w14:paraId="3B49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4BB9D41">
            <w:pPr>
              <w:jc w:val="center"/>
              <w:rPr>
                <w:sz w:val="22"/>
                <w:szCs w:val="22"/>
              </w:rPr>
            </w:pPr>
            <w:r>
              <w:rPr>
                <w:sz w:val="22"/>
                <w:szCs w:val="22"/>
              </w:rPr>
              <w:t>14</w:t>
            </w:r>
          </w:p>
        </w:tc>
        <w:tc>
          <w:tcPr>
            <w:tcW w:w="1752" w:type="dxa"/>
            <w:vMerge w:val="continue"/>
            <w:vAlign w:val="center"/>
          </w:tcPr>
          <w:p w14:paraId="3C8C9CDB">
            <w:pPr>
              <w:jc w:val="center"/>
              <w:rPr>
                <w:sz w:val="22"/>
                <w:szCs w:val="22"/>
              </w:rPr>
            </w:pPr>
          </w:p>
        </w:tc>
        <w:tc>
          <w:tcPr>
            <w:tcW w:w="944" w:type="dxa"/>
            <w:vMerge w:val="continue"/>
            <w:vAlign w:val="center"/>
          </w:tcPr>
          <w:p w14:paraId="796A5A04">
            <w:pPr>
              <w:jc w:val="center"/>
              <w:rPr>
                <w:sz w:val="22"/>
                <w:szCs w:val="22"/>
              </w:rPr>
            </w:pPr>
          </w:p>
        </w:tc>
        <w:tc>
          <w:tcPr>
            <w:tcW w:w="1116" w:type="dxa"/>
            <w:noWrap/>
            <w:vAlign w:val="center"/>
          </w:tcPr>
          <w:p w14:paraId="000C5134">
            <w:pPr>
              <w:jc w:val="center"/>
              <w:rPr>
                <w:sz w:val="22"/>
                <w:szCs w:val="22"/>
              </w:rPr>
            </w:pPr>
            <w:r>
              <w:rPr>
                <w:sz w:val="22"/>
                <w:szCs w:val="22"/>
              </w:rPr>
              <w:t>LK10.22</w:t>
            </w:r>
          </w:p>
        </w:tc>
        <w:tc>
          <w:tcPr>
            <w:tcW w:w="1010" w:type="dxa"/>
            <w:noWrap/>
            <w:vAlign w:val="center"/>
          </w:tcPr>
          <w:p w14:paraId="7393F435">
            <w:pPr>
              <w:jc w:val="center"/>
              <w:rPr>
                <w:sz w:val="22"/>
                <w:szCs w:val="22"/>
              </w:rPr>
            </w:pPr>
            <w:r>
              <w:rPr>
                <w:sz w:val="22"/>
                <w:szCs w:val="22"/>
              </w:rPr>
              <w:t>126,00</w:t>
            </w:r>
          </w:p>
        </w:tc>
        <w:tc>
          <w:tcPr>
            <w:tcW w:w="1591" w:type="dxa"/>
            <w:noWrap/>
            <w:vAlign w:val="center"/>
          </w:tcPr>
          <w:p w14:paraId="0E0C7791">
            <w:pPr>
              <w:jc w:val="center"/>
              <w:rPr>
                <w:sz w:val="22"/>
                <w:szCs w:val="22"/>
              </w:rPr>
            </w:pPr>
            <w:r>
              <w:rPr>
                <w:sz w:val="22"/>
                <w:szCs w:val="22"/>
              </w:rPr>
              <w:t>1.512.000.000</w:t>
            </w:r>
          </w:p>
        </w:tc>
        <w:tc>
          <w:tcPr>
            <w:tcW w:w="1700" w:type="dxa"/>
            <w:noWrap/>
            <w:vAlign w:val="center"/>
          </w:tcPr>
          <w:p w14:paraId="0F539C91">
            <w:pPr>
              <w:jc w:val="center"/>
              <w:rPr>
                <w:sz w:val="22"/>
                <w:szCs w:val="22"/>
              </w:rPr>
            </w:pPr>
            <w:r>
              <w:rPr>
                <w:sz w:val="22"/>
                <w:szCs w:val="22"/>
              </w:rPr>
              <w:t>1.695.000.000</w:t>
            </w:r>
          </w:p>
        </w:tc>
        <w:tc>
          <w:tcPr>
            <w:tcW w:w="1140" w:type="dxa"/>
            <w:noWrap/>
            <w:vAlign w:val="center"/>
          </w:tcPr>
          <w:p w14:paraId="15AA2492">
            <w:pPr>
              <w:jc w:val="center"/>
              <w:rPr>
                <w:sz w:val="22"/>
                <w:szCs w:val="22"/>
              </w:rPr>
            </w:pPr>
            <w:r>
              <w:rPr>
                <w:sz w:val="22"/>
                <w:szCs w:val="22"/>
              </w:rPr>
              <w:t>1,12%</w:t>
            </w:r>
          </w:p>
        </w:tc>
      </w:tr>
      <w:tr w14:paraId="558A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4065F4D">
            <w:pPr>
              <w:jc w:val="center"/>
              <w:rPr>
                <w:sz w:val="22"/>
                <w:szCs w:val="22"/>
              </w:rPr>
            </w:pPr>
            <w:r>
              <w:rPr>
                <w:sz w:val="22"/>
                <w:szCs w:val="22"/>
              </w:rPr>
              <w:t>15</w:t>
            </w:r>
          </w:p>
        </w:tc>
        <w:tc>
          <w:tcPr>
            <w:tcW w:w="1752" w:type="dxa"/>
            <w:vMerge w:val="continue"/>
            <w:vAlign w:val="center"/>
          </w:tcPr>
          <w:p w14:paraId="5382C28C">
            <w:pPr>
              <w:jc w:val="center"/>
              <w:rPr>
                <w:sz w:val="22"/>
                <w:szCs w:val="22"/>
              </w:rPr>
            </w:pPr>
          </w:p>
        </w:tc>
        <w:tc>
          <w:tcPr>
            <w:tcW w:w="944" w:type="dxa"/>
            <w:vMerge w:val="restart"/>
            <w:vAlign w:val="center"/>
          </w:tcPr>
          <w:p w14:paraId="5A6E49D4">
            <w:pPr>
              <w:jc w:val="center"/>
              <w:rPr>
                <w:sz w:val="22"/>
                <w:szCs w:val="22"/>
              </w:rPr>
            </w:pPr>
            <w:r>
              <w:rPr>
                <w:sz w:val="22"/>
                <w:szCs w:val="22"/>
              </w:rPr>
              <w:t>LK11</w:t>
            </w:r>
          </w:p>
        </w:tc>
        <w:tc>
          <w:tcPr>
            <w:tcW w:w="1116" w:type="dxa"/>
            <w:noWrap/>
            <w:vAlign w:val="center"/>
          </w:tcPr>
          <w:p w14:paraId="5413231B">
            <w:pPr>
              <w:jc w:val="center"/>
              <w:rPr>
                <w:sz w:val="22"/>
                <w:szCs w:val="22"/>
              </w:rPr>
            </w:pPr>
            <w:r>
              <w:rPr>
                <w:sz w:val="22"/>
                <w:szCs w:val="22"/>
              </w:rPr>
              <w:t>LK11.13</w:t>
            </w:r>
          </w:p>
        </w:tc>
        <w:tc>
          <w:tcPr>
            <w:tcW w:w="1010" w:type="dxa"/>
            <w:noWrap/>
            <w:vAlign w:val="center"/>
          </w:tcPr>
          <w:p w14:paraId="7D369B85">
            <w:pPr>
              <w:jc w:val="center"/>
              <w:rPr>
                <w:sz w:val="22"/>
                <w:szCs w:val="22"/>
              </w:rPr>
            </w:pPr>
            <w:r>
              <w:rPr>
                <w:sz w:val="22"/>
                <w:szCs w:val="22"/>
              </w:rPr>
              <w:t>262,00</w:t>
            </w:r>
          </w:p>
        </w:tc>
        <w:tc>
          <w:tcPr>
            <w:tcW w:w="1591" w:type="dxa"/>
            <w:noWrap/>
            <w:vAlign w:val="center"/>
          </w:tcPr>
          <w:p w14:paraId="32F93FEB">
            <w:pPr>
              <w:jc w:val="center"/>
              <w:rPr>
                <w:sz w:val="22"/>
                <w:szCs w:val="22"/>
              </w:rPr>
            </w:pPr>
            <w:r>
              <w:rPr>
                <w:sz w:val="22"/>
                <w:szCs w:val="22"/>
              </w:rPr>
              <w:t>3.930.000.000</w:t>
            </w:r>
          </w:p>
        </w:tc>
        <w:tc>
          <w:tcPr>
            <w:tcW w:w="1700" w:type="dxa"/>
            <w:noWrap/>
            <w:vAlign w:val="center"/>
          </w:tcPr>
          <w:p w14:paraId="1F15E4ED">
            <w:pPr>
              <w:jc w:val="center"/>
              <w:rPr>
                <w:sz w:val="22"/>
                <w:szCs w:val="22"/>
              </w:rPr>
            </w:pPr>
            <w:r>
              <w:rPr>
                <w:sz w:val="22"/>
                <w:szCs w:val="22"/>
              </w:rPr>
              <w:t>4.300.000.000</w:t>
            </w:r>
          </w:p>
        </w:tc>
        <w:tc>
          <w:tcPr>
            <w:tcW w:w="1140" w:type="dxa"/>
            <w:noWrap/>
            <w:vAlign w:val="center"/>
          </w:tcPr>
          <w:p w14:paraId="25FC27AC">
            <w:pPr>
              <w:jc w:val="center"/>
              <w:rPr>
                <w:sz w:val="22"/>
                <w:szCs w:val="22"/>
              </w:rPr>
            </w:pPr>
            <w:r>
              <w:rPr>
                <w:sz w:val="22"/>
                <w:szCs w:val="22"/>
              </w:rPr>
              <w:t>1,09%</w:t>
            </w:r>
          </w:p>
        </w:tc>
      </w:tr>
      <w:tr w14:paraId="107F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817474A">
            <w:pPr>
              <w:jc w:val="center"/>
              <w:rPr>
                <w:sz w:val="22"/>
                <w:szCs w:val="22"/>
              </w:rPr>
            </w:pPr>
            <w:r>
              <w:rPr>
                <w:sz w:val="22"/>
                <w:szCs w:val="22"/>
              </w:rPr>
              <w:t>16</w:t>
            </w:r>
          </w:p>
        </w:tc>
        <w:tc>
          <w:tcPr>
            <w:tcW w:w="1752" w:type="dxa"/>
            <w:vMerge w:val="continue"/>
            <w:vAlign w:val="center"/>
          </w:tcPr>
          <w:p w14:paraId="4016C982">
            <w:pPr>
              <w:jc w:val="center"/>
              <w:rPr>
                <w:sz w:val="22"/>
                <w:szCs w:val="22"/>
              </w:rPr>
            </w:pPr>
          </w:p>
        </w:tc>
        <w:tc>
          <w:tcPr>
            <w:tcW w:w="944" w:type="dxa"/>
            <w:vMerge w:val="continue"/>
            <w:vAlign w:val="center"/>
          </w:tcPr>
          <w:p w14:paraId="453D6215">
            <w:pPr>
              <w:jc w:val="center"/>
              <w:rPr>
                <w:sz w:val="22"/>
                <w:szCs w:val="22"/>
              </w:rPr>
            </w:pPr>
          </w:p>
        </w:tc>
        <w:tc>
          <w:tcPr>
            <w:tcW w:w="1116" w:type="dxa"/>
            <w:noWrap/>
            <w:vAlign w:val="center"/>
          </w:tcPr>
          <w:p w14:paraId="5EE8A202">
            <w:pPr>
              <w:jc w:val="center"/>
              <w:rPr>
                <w:sz w:val="22"/>
                <w:szCs w:val="22"/>
              </w:rPr>
            </w:pPr>
            <w:r>
              <w:rPr>
                <w:sz w:val="22"/>
                <w:szCs w:val="22"/>
              </w:rPr>
              <w:t>LK11.14</w:t>
            </w:r>
          </w:p>
        </w:tc>
        <w:tc>
          <w:tcPr>
            <w:tcW w:w="1010" w:type="dxa"/>
            <w:noWrap/>
            <w:vAlign w:val="center"/>
          </w:tcPr>
          <w:p w14:paraId="1D9C1386">
            <w:pPr>
              <w:jc w:val="center"/>
              <w:rPr>
                <w:sz w:val="22"/>
                <w:szCs w:val="22"/>
              </w:rPr>
            </w:pPr>
            <w:r>
              <w:rPr>
                <w:sz w:val="22"/>
                <w:szCs w:val="22"/>
              </w:rPr>
              <w:t>140,00</w:t>
            </w:r>
          </w:p>
        </w:tc>
        <w:tc>
          <w:tcPr>
            <w:tcW w:w="1591" w:type="dxa"/>
            <w:noWrap/>
            <w:vAlign w:val="center"/>
          </w:tcPr>
          <w:p w14:paraId="07A5CBA2">
            <w:pPr>
              <w:jc w:val="center"/>
              <w:rPr>
                <w:sz w:val="22"/>
                <w:szCs w:val="22"/>
              </w:rPr>
            </w:pPr>
            <w:r>
              <w:rPr>
                <w:sz w:val="22"/>
                <w:szCs w:val="22"/>
              </w:rPr>
              <w:t>1.750.000.000</w:t>
            </w:r>
          </w:p>
        </w:tc>
        <w:tc>
          <w:tcPr>
            <w:tcW w:w="1700" w:type="dxa"/>
            <w:noWrap/>
            <w:vAlign w:val="center"/>
          </w:tcPr>
          <w:p w14:paraId="7E81B20E">
            <w:pPr>
              <w:jc w:val="center"/>
              <w:rPr>
                <w:sz w:val="22"/>
                <w:szCs w:val="22"/>
              </w:rPr>
            </w:pPr>
            <w:r>
              <w:rPr>
                <w:sz w:val="22"/>
                <w:szCs w:val="22"/>
              </w:rPr>
              <w:t>1.936.600.000</w:t>
            </w:r>
          </w:p>
        </w:tc>
        <w:tc>
          <w:tcPr>
            <w:tcW w:w="1140" w:type="dxa"/>
            <w:noWrap/>
            <w:vAlign w:val="center"/>
          </w:tcPr>
          <w:p w14:paraId="5098C9BB">
            <w:pPr>
              <w:jc w:val="center"/>
              <w:rPr>
                <w:sz w:val="22"/>
                <w:szCs w:val="22"/>
              </w:rPr>
            </w:pPr>
            <w:r>
              <w:rPr>
                <w:sz w:val="22"/>
                <w:szCs w:val="22"/>
              </w:rPr>
              <w:t>1,11%</w:t>
            </w:r>
          </w:p>
        </w:tc>
      </w:tr>
      <w:tr w14:paraId="15B6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7D3F672">
            <w:pPr>
              <w:jc w:val="center"/>
              <w:rPr>
                <w:sz w:val="22"/>
                <w:szCs w:val="22"/>
              </w:rPr>
            </w:pPr>
            <w:r>
              <w:rPr>
                <w:sz w:val="22"/>
                <w:szCs w:val="22"/>
              </w:rPr>
              <w:t>17</w:t>
            </w:r>
          </w:p>
        </w:tc>
        <w:tc>
          <w:tcPr>
            <w:tcW w:w="1752" w:type="dxa"/>
            <w:vMerge w:val="continue"/>
            <w:vAlign w:val="center"/>
          </w:tcPr>
          <w:p w14:paraId="39A23760">
            <w:pPr>
              <w:jc w:val="center"/>
              <w:rPr>
                <w:sz w:val="22"/>
                <w:szCs w:val="22"/>
              </w:rPr>
            </w:pPr>
          </w:p>
        </w:tc>
        <w:tc>
          <w:tcPr>
            <w:tcW w:w="944" w:type="dxa"/>
            <w:vMerge w:val="continue"/>
            <w:vAlign w:val="center"/>
          </w:tcPr>
          <w:p w14:paraId="1F332E0D">
            <w:pPr>
              <w:jc w:val="center"/>
              <w:rPr>
                <w:sz w:val="22"/>
                <w:szCs w:val="22"/>
              </w:rPr>
            </w:pPr>
          </w:p>
        </w:tc>
        <w:tc>
          <w:tcPr>
            <w:tcW w:w="1116" w:type="dxa"/>
            <w:noWrap/>
            <w:vAlign w:val="center"/>
          </w:tcPr>
          <w:p w14:paraId="097A69D7">
            <w:pPr>
              <w:jc w:val="center"/>
              <w:rPr>
                <w:sz w:val="22"/>
                <w:szCs w:val="22"/>
              </w:rPr>
            </w:pPr>
            <w:r>
              <w:rPr>
                <w:sz w:val="22"/>
                <w:szCs w:val="22"/>
              </w:rPr>
              <w:t>LK11.15</w:t>
            </w:r>
          </w:p>
        </w:tc>
        <w:tc>
          <w:tcPr>
            <w:tcW w:w="1010" w:type="dxa"/>
            <w:noWrap/>
            <w:vAlign w:val="center"/>
          </w:tcPr>
          <w:p w14:paraId="383B0AAA">
            <w:pPr>
              <w:jc w:val="center"/>
              <w:rPr>
                <w:sz w:val="22"/>
                <w:szCs w:val="22"/>
              </w:rPr>
            </w:pPr>
            <w:r>
              <w:rPr>
                <w:sz w:val="22"/>
                <w:szCs w:val="22"/>
              </w:rPr>
              <w:t>140,00</w:t>
            </w:r>
          </w:p>
        </w:tc>
        <w:tc>
          <w:tcPr>
            <w:tcW w:w="1591" w:type="dxa"/>
            <w:noWrap/>
            <w:vAlign w:val="center"/>
          </w:tcPr>
          <w:p w14:paraId="4C14E004">
            <w:pPr>
              <w:jc w:val="center"/>
              <w:rPr>
                <w:sz w:val="22"/>
                <w:szCs w:val="22"/>
              </w:rPr>
            </w:pPr>
            <w:r>
              <w:rPr>
                <w:sz w:val="22"/>
                <w:szCs w:val="22"/>
              </w:rPr>
              <w:t>1.750.000.000</w:t>
            </w:r>
          </w:p>
        </w:tc>
        <w:tc>
          <w:tcPr>
            <w:tcW w:w="1700" w:type="dxa"/>
            <w:noWrap/>
            <w:vAlign w:val="center"/>
          </w:tcPr>
          <w:p w14:paraId="57E2E580">
            <w:pPr>
              <w:jc w:val="center"/>
              <w:rPr>
                <w:sz w:val="22"/>
                <w:szCs w:val="22"/>
              </w:rPr>
            </w:pPr>
            <w:r>
              <w:rPr>
                <w:sz w:val="22"/>
                <w:szCs w:val="22"/>
              </w:rPr>
              <w:t>1.922.600.000</w:t>
            </w:r>
          </w:p>
        </w:tc>
        <w:tc>
          <w:tcPr>
            <w:tcW w:w="1140" w:type="dxa"/>
            <w:noWrap/>
            <w:vAlign w:val="center"/>
          </w:tcPr>
          <w:p w14:paraId="368B367E">
            <w:pPr>
              <w:jc w:val="center"/>
              <w:rPr>
                <w:sz w:val="22"/>
                <w:szCs w:val="22"/>
              </w:rPr>
            </w:pPr>
            <w:r>
              <w:rPr>
                <w:sz w:val="22"/>
                <w:szCs w:val="22"/>
              </w:rPr>
              <w:t>1,10%</w:t>
            </w:r>
          </w:p>
        </w:tc>
      </w:tr>
      <w:tr w14:paraId="3FC6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EEF1557">
            <w:pPr>
              <w:jc w:val="center"/>
              <w:rPr>
                <w:sz w:val="22"/>
                <w:szCs w:val="22"/>
              </w:rPr>
            </w:pPr>
            <w:r>
              <w:rPr>
                <w:sz w:val="22"/>
                <w:szCs w:val="22"/>
              </w:rPr>
              <w:t>18</w:t>
            </w:r>
          </w:p>
        </w:tc>
        <w:tc>
          <w:tcPr>
            <w:tcW w:w="1752" w:type="dxa"/>
            <w:vMerge w:val="continue"/>
            <w:vAlign w:val="center"/>
          </w:tcPr>
          <w:p w14:paraId="05126A99">
            <w:pPr>
              <w:jc w:val="center"/>
              <w:rPr>
                <w:sz w:val="22"/>
                <w:szCs w:val="22"/>
              </w:rPr>
            </w:pPr>
          </w:p>
        </w:tc>
        <w:tc>
          <w:tcPr>
            <w:tcW w:w="944" w:type="dxa"/>
            <w:vMerge w:val="continue"/>
            <w:vAlign w:val="center"/>
          </w:tcPr>
          <w:p w14:paraId="2E9027B4">
            <w:pPr>
              <w:jc w:val="center"/>
              <w:rPr>
                <w:sz w:val="22"/>
                <w:szCs w:val="22"/>
              </w:rPr>
            </w:pPr>
          </w:p>
        </w:tc>
        <w:tc>
          <w:tcPr>
            <w:tcW w:w="1116" w:type="dxa"/>
            <w:noWrap/>
            <w:vAlign w:val="center"/>
          </w:tcPr>
          <w:p w14:paraId="6B50001A">
            <w:pPr>
              <w:jc w:val="center"/>
              <w:rPr>
                <w:sz w:val="22"/>
                <w:szCs w:val="22"/>
              </w:rPr>
            </w:pPr>
            <w:r>
              <w:rPr>
                <w:sz w:val="22"/>
                <w:szCs w:val="22"/>
              </w:rPr>
              <w:t>LK11.16</w:t>
            </w:r>
          </w:p>
        </w:tc>
        <w:tc>
          <w:tcPr>
            <w:tcW w:w="1010" w:type="dxa"/>
            <w:noWrap/>
            <w:vAlign w:val="center"/>
          </w:tcPr>
          <w:p w14:paraId="7720CBDF">
            <w:pPr>
              <w:jc w:val="center"/>
              <w:rPr>
                <w:sz w:val="22"/>
                <w:szCs w:val="22"/>
              </w:rPr>
            </w:pPr>
            <w:r>
              <w:rPr>
                <w:sz w:val="22"/>
                <w:szCs w:val="22"/>
              </w:rPr>
              <w:t>140,00</w:t>
            </w:r>
          </w:p>
        </w:tc>
        <w:tc>
          <w:tcPr>
            <w:tcW w:w="1591" w:type="dxa"/>
            <w:noWrap/>
            <w:vAlign w:val="center"/>
          </w:tcPr>
          <w:p w14:paraId="403A0F8A">
            <w:pPr>
              <w:jc w:val="center"/>
              <w:rPr>
                <w:sz w:val="22"/>
                <w:szCs w:val="22"/>
              </w:rPr>
            </w:pPr>
            <w:r>
              <w:rPr>
                <w:sz w:val="22"/>
                <w:szCs w:val="22"/>
              </w:rPr>
              <w:t>1.750.000.000</w:t>
            </w:r>
          </w:p>
        </w:tc>
        <w:tc>
          <w:tcPr>
            <w:tcW w:w="1700" w:type="dxa"/>
            <w:noWrap/>
            <w:vAlign w:val="center"/>
          </w:tcPr>
          <w:p w14:paraId="0E72FFC5">
            <w:pPr>
              <w:jc w:val="center"/>
              <w:rPr>
                <w:sz w:val="22"/>
                <w:szCs w:val="22"/>
              </w:rPr>
            </w:pPr>
            <w:r>
              <w:rPr>
                <w:sz w:val="22"/>
                <w:szCs w:val="22"/>
              </w:rPr>
              <w:t>1.886.000.000</w:t>
            </w:r>
          </w:p>
        </w:tc>
        <w:tc>
          <w:tcPr>
            <w:tcW w:w="1140" w:type="dxa"/>
            <w:noWrap/>
            <w:vAlign w:val="center"/>
          </w:tcPr>
          <w:p w14:paraId="6CCAEBD9">
            <w:pPr>
              <w:jc w:val="center"/>
              <w:rPr>
                <w:sz w:val="22"/>
                <w:szCs w:val="22"/>
              </w:rPr>
            </w:pPr>
            <w:r>
              <w:rPr>
                <w:sz w:val="22"/>
                <w:szCs w:val="22"/>
              </w:rPr>
              <w:t>1,08%</w:t>
            </w:r>
          </w:p>
        </w:tc>
      </w:tr>
      <w:tr w14:paraId="75ED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CCDB784">
            <w:pPr>
              <w:jc w:val="center"/>
              <w:rPr>
                <w:sz w:val="22"/>
                <w:szCs w:val="22"/>
              </w:rPr>
            </w:pPr>
            <w:r>
              <w:rPr>
                <w:sz w:val="22"/>
                <w:szCs w:val="22"/>
              </w:rPr>
              <w:t>19</w:t>
            </w:r>
          </w:p>
        </w:tc>
        <w:tc>
          <w:tcPr>
            <w:tcW w:w="1752" w:type="dxa"/>
            <w:vMerge w:val="continue"/>
            <w:vAlign w:val="center"/>
          </w:tcPr>
          <w:p w14:paraId="0B061A79">
            <w:pPr>
              <w:jc w:val="center"/>
              <w:rPr>
                <w:sz w:val="22"/>
                <w:szCs w:val="22"/>
              </w:rPr>
            </w:pPr>
          </w:p>
        </w:tc>
        <w:tc>
          <w:tcPr>
            <w:tcW w:w="944" w:type="dxa"/>
            <w:vMerge w:val="continue"/>
            <w:vAlign w:val="center"/>
          </w:tcPr>
          <w:p w14:paraId="04324D6E">
            <w:pPr>
              <w:jc w:val="center"/>
              <w:rPr>
                <w:sz w:val="22"/>
                <w:szCs w:val="22"/>
              </w:rPr>
            </w:pPr>
          </w:p>
        </w:tc>
        <w:tc>
          <w:tcPr>
            <w:tcW w:w="1116" w:type="dxa"/>
            <w:noWrap/>
            <w:vAlign w:val="center"/>
          </w:tcPr>
          <w:p w14:paraId="18D134A7">
            <w:pPr>
              <w:jc w:val="center"/>
              <w:rPr>
                <w:sz w:val="22"/>
                <w:szCs w:val="22"/>
              </w:rPr>
            </w:pPr>
            <w:r>
              <w:rPr>
                <w:sz w:val="22"/>
                <w:szCs w:val="22"/>
              </w:rPr>
              <w:t>LK11.17</w:t>
            </w:r>
          </w:p>
        </w:tc>
        <w:tc>
          <w:tcPr>
            <w:tcW w:w="1010" w:type="dxa"/>
            <w:noWrap/>
            <w:vAlign w:val="center"/>
          </w:tcPr>
          <w:p w14:paraId="2CDDAD48">
            <w:pPr>
              <w:jc w:val="center"/>
              <w:rPr>
                <w:sz w:val="22"/>
                <w:szCs w:val="22"/>
              </w:rPr>
            </w:pPr>
            <w:r>
              <w:rPr>
                <w:sz w:val="22"/>
                <w:szCs w:val="22"/>
              </w:rPr>
              <w:t>140,00</w:t>
            </w:r>
          </w:p>
        </w:tc>
        <w:tc>
          <w:tcPr>
            <w:tcW w:w="1591" w:type="dxa"/>
            <w:noWrap/>
            <w:vAlign w:val="center"/>
          </w:tcPr>
          <w:p w14:paraId="4F4D68FD">
            <w:pPr>
              <w:jc w:val="center"/>
              <w:rPr>
                <w:sz w:val="22"/>
                <w:szCs w:val="22"/>
              </w:rPr>
            </w:pPr>
            <w:r>
              <w:rPr>
                <w:sz w:val="22"/>
                <w:szCs w:val="22"/>
              </w:rPr>
              <w:t>1.750.000.000</w:t>
            </w:r>
          </w:p>
        </w:tc>
        <w:tc>
          <w:tcPr>
            <w:tcW w:w="1700" w:type="dxa"/>
            <w:noWrap/>
            <w:vAlign w:val="center"/>
          </w:tcPr>
          <w:p w14:paraId="67C196D6">
            <w:pPr>
              <w:jc w:val="center"/>
              <w:rPr>
                <w:sz w:val="22"/>
                <w:szCs w:val="22"/>
              </w:rPr>
            </w:pPr>
            <w:r>
              <w:rPr>
                <w:sz w:val="22"/>
                <w:szCs w:val="22"/>
              </w:rPr>
              <w:t>1.886.000.000</w:t>
            </w:r>
          </w:p>
        </w:tc>
        <w:tc>
          <w:tcPr>
            <w:tcW w:w="1140" w:type="dxa"/>
            <w:noWrap/>
            <w:vAlign w:val="center"/>
          </w:tcPr>
          <w:p w14:paraId="08C48349">
            <w:pPr>
              <w:jc w:val="center"/>
              <w:rPr>
                <w:sz w:val="22"/>
                <w:szCs w:val="22"/>
              </w:rPr>
            </w:pPr>
            <w:r>
              <w:rPr>
                <w:sz w:val="22"/>
                <w:szCs w:val="22"/>
              </w:rPr>
              <w:t>1,08%</w:t>
            </w:r>
          </w:p>
        </w:tc>
      </w:tr>
      <w:tr w14:paraId="1EAF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981545C">
            <w:pPr>
              <w:jc w:val="center"/>
              <w:rPr>
                <w:sz w:val="22"/>
                <w:szCs w:val="22"/>
              </w:rPr>
            </w:pPr>
            <w:r>
              <w:rPr>
                <w:sz w:val="22"/>
                <w:szCs w:val="22"/>
              </w:rPr>
              <w:t>20</w:t>
            </w:r>
          </w:p>
        </w:tc>
        <w:tc>
          <w:tcPr>
            <w:tcW w:w="1752" w:type="dxa"/>
            <w:vMerge w:val="continue"/>
            <w:vAlign w:val="center"/>
          </w:tcPr>
          <w:p w14:paraId="618E290F">
            <w:pPr>
              <w:jc w:val="center"/>
              <w:rPr>
                <w:sz w:val="22"/>
                <w:szCs w:val="22"/>
              </w:rPr>
            </w:pPr>
          </w:p>
        </w:tc>
        <w:tc>
          <w:tcPr>
            <w:tcW w:w="944" w:type="dxa"/>
            <w:vMerge w:val="continue"/>
            <w:vAlign w:val="center"/>
          </w:tcPr>
          <w:p w14:paraId="25CA03E9">
            <w:pPr>
              <w:jc w:val="center"/>
              <w:rPr>
                <w:sz w:val="22"/>
                <w:szCs w:val="22"/>
              </w:rPr>
            </w:pPr>
          </w:p>
        </w:tc>
        <w:tc>
          <w:tcPr>
            <w:tcW w:w="1116" w:type="dxa"/>
            <w:noWrap/>
            <w:vAlign w:val="center"/>
          </w:tcPr>
          <w:p w14:paraId="5204C4DB">
            <w:pPr>
              <w:jc w:val="center"/>
              <w:rPr>
                <w:sz w:val="22"/>
                <w:szCs w:val="22"/>
              </w:rPr>
            </w:pPr>
            <w:r>
              <w:rPr>
                <w:sz w:val="22"/>
                <w:szCs w:val="22"/>
              </w:rPr>
              <w:t>LK11.18</w:t>
            </w:r>
          </w:p>
        </w:tc>
        <w:tc>
          <w:tcPr>
            <w:tcW w:w="1010" w:type="dxa"/>
            <w:noWrap/>
            <w:vAlign w:val="center"/>
          </w:tcPr>
          <w:p w14:paraId="1C00DCC7">
            <w:pPr>
              <w:jc w:val="center"/>
              <w:rPr>
                <w:sz w:val="22"/>
                <w:szCs w:val="22"/>
              </w:rPr>
            </w:pPr>
            <w:r>
              <w:rPr>
                <w:sz w:val="22"/>
                <w:szCs w:val="22"/>
              </w:rPr>
              <w:t>140,00</w:t>
            </w:r>
          </w:p>
        </w:tc>
        <w:tc>
          <w:tcPr>
            <w:tcW w:w="1591" w:type="dxa"/>
            <w:noWrap/>
            <w:vAlign w:val="center"/>
          </w:tcPr>
          <w:p w14:paraId="68228240">
            <w:pPr>
              <w:jc w:val="center"/>
              <w:rPr>
                <w:sz w:val="22"/>
                <w:szCs w:val="22"/>
              </w:rPr>
            </w:pPr>
            <w:r>
              <w:rPr>
                <w:sz w:val="22"/>
                <w:szCs w:val="22"/>
              </w:rPr>
              <w:t>1.750.000.000</w:t>
            </w:r>
          </w:p>
        </w:tc>
        <w:tc>
          <w:tcPr>
            <w:tcW w:w="1700" w:type="dxa"/>
            <w:noWrap/>
            <w:vAlign w:val="center"/>
          </w:tcPr>
          <w:p w14:paraId="0EEBC7CA">
            <w:pPr>
              <w:jc w:val="center"/>
              <w:rPr>
                <w:sz w:val="22"/>
                <w:szCs w:val="22"/>
              </w:rPr>
            </w:pPr>
            <w:r>
              <w:rPr>
                <w:sz w:val="22"/>
                <w:szCs w:val="22"/>
              </w:rPr>
              <w:t>1.969.000.000</w:t>
            </w:r>
          </w:p>
        </w:tc>
        <w:tc>
          <w:tcPr>
            <w:tcW w:w="1140" w:type="dxa"/>
            <w:noWrap/>
            <w:vAlign w:val="center"/>
          </w:tcPr>
          <w:p w14:paraId="065C5180">
            <w:pPr>
              <w:jc w:val="center"/>
              <w:rPr>
                <w:sz w:val="22"/>
                <w:szCs w:val="22"/>
              </w:rPr>
            </w:pPr>
            <w:r>
              <w:rPr>
                <w:sz w:val="22"/>
                <w:szCs w:val="22"/>
              </w:rPr>
              <w:t>1,13%</w:t>
            </w:r>
          </w:p>
        </w:tc>
      </w:tr>
      <w:tr w14:paraId="7D52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59288B5">
            <w:pPr>
              <w:jc w:val="center"/>
              <w:rPr>
                <w:sz w:val="22"/>
                <w:szCs w:val="22"/>
              </w:rPr>
            </w:pPr>
            <w:r>
              <w:rPr>
                <w:sz w:val="22"/>
                <w:szCs w:val="22"/>
              </w:rPr>
              <w:t>21</w:t>
            </w:r>
          </w:p>
        </w:tc>
        <w:tc>
          <w:tcPr>
            <w:tcW w:w="1752" w:type="dxa"/>
            <w:vMerge w:val="continue"/>
            <w:vAlign w:val="center"/>
          </w:tcPr>
          <w:p w14:paraId="219373CD">
            <w:pPr>
              <w:jc w:val="center"/>
              <w:rPr>
                <w:sz w:val="22"/>
                <w:szCs w:val="22"/>
              </w:rPr>
            </w:pPr>
          </w:p>
        </w:tc>
        <w:tc>
          <w:tcPr>
            <w:tcW w:w="944" w:type="dxa"/>
            <w:vMerge w:val="continue"/>
            <w:vAlign w:val="center"/>
          </w:tcPr>
          <w:p w14:paraId="30CE5677">
            <w:pPr>
              <w:jc w:val="center"/>
              <w:rPr>
                <w:sz w:val="22"/>
                <w:szCs w:val="22"/>
              </w:rPr>
            </w:pPr>
          </w:p>
        </w:tc>
        <w:tc>
          <w:tcPr>
            <w:tcW w:w="1116" w:type="dxa"/>
            <w:noWrap/>
            <w:vAlign w:val="center"/>
          </w:tcPr>
          <w:p w14:paraId="76D7E8A5">
            <w:pPr>
              <w:jc w:val="center"/>
              <w:rPr>
                <w:sz w:val="22"/>
                <w:szCs w:val="22"/>
              </w:rPr>
            </w:pPr>
            <w:r>
              <w:rPr>
                <w:sz w:val="22"/>
                <w:szCs w:val="22"/>
              </w:rPr>
              <w:t>LK11.19</w:t>
            </w:r>
          </w:p>
        </w:tc>
        <w:tc>
          <w:tcPr>
            <w:tcW w:w="1010" w:type="dxa"/>
            <w:noWrap/>
            <w:vAlign w:val="center"/>
          </w:tcPr>
          <w:p w14:paraId="540504D7">
            <w:pPr>
              <w:jc w:val="center"/>
              <w:rPr>
                <w:sz w:val="22"/>
                <w:szCs w:val="22"/>
              </w:rPr>
            </w:pPr>
            <w:r>
              <w:rPr>
                <w:sz w:val="22"/>
                <w:szCs w:val="22"/>
              </w:rPr>
              <w:t>140,00</w:t>
            </w:r>
          </w:p>
        </w:tc>
        <w:tc>
          <w:tcPr>
            <w:tcW w:w="1591" w:type="dxa"/>
            <w:noWrap/>
            <w:vAlign w:val="center"/>
          </w:tcPr>
          <w:p w14:paraId="5F979288">
            <w:pPr>
              <w:jc w:val="center"/>
              <w:rPr>
                <w:sz w:val="22"/>
                <w:szCs w:val="22"/>
              </w:rPr>
            </w:pPr>
            <w:r>
              <w:rPr>
                <w:sz w:val="22"/>
                <w:szCs w:val="22"/>
              </w:rPr>
              <w:t>1.750.000.000</w:t>
            </w:r>
          </w:p>
        </w:tc>
        <w:tc>
          <w:tcPr>
            <w:tcW w:w="1700" w:type="dxa"/>
            <w:noWrap/>
            <w:vAlign w:val="center"/>
          </w:tcPr>
          <w:p w14:paraId="54DD50DC">
            <w:pPr>
              <w:jc w:val="center"/>
              <w:rPr>
                <w:sz w:val="22"/>
                <w:szCs w:val="22"/>
              </w:rPr>
            </w:pPr>
            <w:r>
              <w:rPr>
                <w:sz w:val="22"/>
                <w:szCs w:val="22"/>
              </w:rPr>
              <w:t>1.979.000.000</w:t>
            </w:r>
          </w:p>
        </w:tc>
        <w:tc>
          <w:tcPr>
            <w:tcW w:w="1140" w:type="dxa"/>
            <w:noWrap/>
            <w:vAlign w:val="center"/>
          </w:tcPr>
          <w:p w14:paraId="4973DF83">
            <w:pPr>
              <w:jc w:val="center"/>
              <w:rPr>
                <w:sz w:val="22"/>
                <w:szCs w:val="22"/>
              </w:rPr>
            </w:pPr>
            <w:r>
              <w:rPr>
                <w:sz w:val="22"/>
                <w:szCs w:val="22"/>
              </w:rPr>
              <w:t>1,13%</w:t>
            </w:r>
          </w:p>
        </w:tc>
      </w:tr>
      <w:tr w14:paraId="204F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2BA5D42">
            <w:pPr>
              <w:jc w:val="center"/>
              <w:rPr>
                <w:sz w:val="22"/>
                <w:szCs w:val="22"/>
              </w:rPr>
            </w:pPr>
            <w:r>
              <w:rPr>
                <w:sz w:val="22"/>
                <w:szCs w:val="22"/>
              </w:rPr>
              <w:t>22</w:t>
            </w:r>
          </w:p>
        </w:tc>
        <w:tc>
          <w:tcPr>
            <w:tcW w:w="1752" w:type="dxa"/>
            <w:vMerge w:val="continue"/>
            <w:vAlign w:val="center"/>
          </w:tcPr>
          <w:p w14:paraId="22989667">
            <w:pPr>
              <w:jc w:val="center"/>
              <w:rPr>
                <w:sz w:val="22"/>
                <w:szCs w:val="22"/>
              </w:rPr>
            </w:pPr>
          </w:p>
        </w:tc>
        <w:tc>
          <w:tcPr>
            <w:tcW w:w="944" w:type="dxa"/>
            <w:vMerge w:val="continue"/>
            <w:vAlign w:val="center"/>
          </w:tcPr>
          <w:p w14:paraId="52CEB6B2">
            <w:pPr>
              <w:jc w:val="center"/>
              <w:rPr>
                <w:sz w:val="22"/>
                <w:szCs w:val="22"/>
              </w:rPr>
            </w:pPr>
          </w:p>
        </w:tc>
        <w:tc>
          <w:tcPr>
            <w:tcW w:w="1116" w:type="dxa"/>
            <w:noWrap/>
            <w:vAlign w:val="center"/>
          </w:tcPr>
          <w:p w14:paraId="5F43BD3A">
            <w:pPr>
              <w:jc w:val="center"/>
              <w:rPr>
                <w:sz w:val="22"/>
                <w:szCs w:val="22"/>
              </w:rPr>
            </w:pPr>
            <w:r>
              <w:rPr>
                <w:sz w:val="22"/>
                <w:szCs w:val="22"/>
              </w:rPr>
              <w:t>LK11.20</w:t>
            </w:r>
          </w:p>
        </w:tc>
        <w:tc>
          <w:tcPr>
            <w:tcW w:w="1010" w:type="dxa"/>
            <w:noWrap/>
            <w:vAlign w:val="center"/>
          </w:tcPr>
          <w:p w14:paraId="44BF4FDC">
            <w:pPr>
              <w:jc w:val="center"/>
              <w:rPr>
                <w:sz w:val="22"/>
                <w:szCs w:val="22"/>
              </w:rPr>
            </w:pPr>
            <w:r>
              <w:rPr>
                <w:sz w:val="22"/>
                <w:szCs w:val="22"/>
              </w:rPr>
              <w:t>140,00</w:t>
            </w:r>
          </w:p>
        </w:tc>
        <w:tc>
          <w:tcPr>
            <w:tcW w:w="1591" w:type="dxa"/>
            <w:noWrap/>
            <w:vAlign w:val="center"/>
          </w:tcPr>
          <w:p w14:paraId="7A677313">
            <w:pPr>
              <w:jc w:val="center"/>
              <w:rPr>
                <w:sz w:val="22"/>
                <w:szCs w:val="22"/>
              </w:rPr>
            </w:pPr>
            <w:r>
              <w:rPr>
                <w:sz w:val="22"/>
                <w:szCs w:val="22"/>
              </w:rPr>
              <w:t>1.750.000.000</w:t>
            </w:r>
          </w:p>
        </w:tc>
        <w:tc>
          <w:tcPr>
            <w:tcW w:w="1700" w:type="dxa"/>
            <w:noWrap/>
            <w:vAlign w:val="center"/>
          </w:tcPr>
          <w:p w14:paraId="6DB69D08">
            <w:pPr>
              <w:jc w:val="center"/>
              <w:rPr>
                <w:sz w:val="22"/>
                <w:szCs w:val="22"/>
              </w:rPr>
            </w:pPr>
            <w:r>
              <w:rPr>
                <w:sz w:val="22"/>
                <w:szCs w:val="22"/>
              </w:rPr>
              <w:t>1.889.000.000</w:t>
            </w:r>
          </w:p>
        </w:tc>
        <w:tc>
          <w:tcPr>
            <w:tcW w:w="1140" w:type="dxa"/>
            <w:noWrap/>
            <w:vAlign w:val="center"/>
          </w:tcPr>
          <w:p w14:paraId="11B322F0">
            <w:pPr>
              <w:jc w:val="center"/>
              <w:rPr>
                <w:sz w:val="22"/>
                <w:szCs w:val="22"/>
              </w:rPr>
            </w:pPr>
            <w:r>
              <w:rPr>
                <w:sz w:val="22"/>
                <w:szCs w:val="22"/>
              </w:rPr>
              <w:t>1,08%</w:t>
            </w:r>
          </w:p>
        </w:tc>
      </w:tr>
      <w:tr w14:paraId="264C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76B4F78">
            <w:pPr>
              <w:jc w:val="center"/>
              <w:rPr>
                <w:sz w:val="22"/>
                <w:szCs w:val="22"/>
              </w:rPr>
            </w:pPr>
            <w:r>
              <w:rPr>
                <w:sz w:val="22"/>
                <w:szCs w:val="22"/>
              </w:rPr>
              <w:t>23</w:t>
            </w:r>
          </w:p>
        </w:tc>
        <w:tc>
          <w:tcPr>
            <w:tcW w:w="1752" w:type="dxa"/>
            <w:vMerge w:val="continue"/>
            <w:vAlign w:val="center"/>
          </w:tcPr>
          <w:p w14:paraId="2AD46DE9">
            <w:pPr>
              <w:jc w:val="center"/>
              <w:rPr>
                <w:sz w:val="22"/>
                <w:szCs w:val="22"/>
              </w:rPr>
            </w:pPr>
          </w:p>
        </w:tc>
        <w:tc>
          <w:tcPr>
            <w:tcW w:w="944" w:type="dxa"/>
            <w:vMerge w:val="continue"/>
            <w:vAlign w:val="center"/>
          </w:tcPr>
          <w:p w14:paraId="328949C7">
            <w:pPr>
              <w:jc w:val="center"/>
              <w:rPr>
                <w:sz w:val="22"/>
                <w:szCs w:val="22"/>
              </w:rPr>
            </w:pPr>
          </w:p>
        </w:tc>
        <w:tc>
          <w:tcPr>
            <w:tcW w:w="1116" w:type="dxa"/>
            <w:noWrap/>
            <w:vAlign w:val="center"/>
          </w:tcPr>
          <w:p w14:paraId="57E031BB">
            <w:pPr>
              <w:jc w:val="center"/>
              <w:rPr>
                <w:sz w:val="22"/>
                <w:szCs w:val="22"/>
              </w:rPr>
            </w:pPr>
            <w:r>
              <w:rPr>
                <w:sz w:val="22"/>
                <w:szCs w:val="22"/>
              </w:rPr>
              <w:t>LK11.21</w:t>
            </w:r>
          </w:p>
        </w:tc>
        <w:tc>
          <w:tcPr>
            <w:tcW w:w="1010" w:type="dxa"/>
            <w:noWrap/>
            <w:vAlign w:val="center"/>
          </w:tcPr>
          <w:p w14:paraId="4EE0B5FD">
            <w:pPr>
              <w:jc w:val="center"/>
              <w:rPr>
                <w:sz w:val="22"/>
                <w:szCs w:val="22"/>
              </w:rPr>
            </w:pPr>
            <w:r>
              <w:rPr>
                <w:sz w:val="22"/>
                <w:szCs w:val="22"/>
              </w:rPr>
              <w:t>140,00</w:t>
            </w:r>
          </w:p>
        </w:tc>
        <w:tc>
          <w:tcPr>
            <w:tcW w:w="1591" w:type="dxa"/>
            <w:noWrap/>
            <w:vAlign w:val="center"/>
          </w:tcPr>
          <w:p w14:paraId="1DB289B2">
            <w:pPr>
              <w:jc w:val="center"/>
              <w:rPr>
                <w:sz w:val="22"/>
                <w:szCs w:val="22"/>
              </w:rPr>
            </w:pPr>
            <w:r>
              <w:rPr>
                <w:sz w:val="22"/>
                <w:szCs w:val="22"/>
              </w:rPr>
              <w:t>1.750.000.000</w:t>
            </w:r>
          </w:p>
        </w:tc>
        <w:tc>
          <w:tcPr>
            <w:tcW w:w="1700" w:type="dxa"/>
            <w:noWrap/>
            <w:vAlign w:val="center"/>
          </w:tcPr>
          <w:p w14:paraId="655942E2">
            <w:pPr>
              <w:jc w:val="center"/>
              <w:rPr>
                <w:sz w:val="22"/>
                <w:szCs w:val="22"/>
              </w:rPr>
            </w:pPr>
            <w:r>
              <w:rPr>
                <w:sz w:val="22"/>
                <w:szCs w:val="22"/>
              </w:rPr>
              <w:t>1.890.000.000</w:t>
            </w:r>
          </w:p>
        </w:tc>
        <w:tc>
          <w:tcPr>
            <w:tcW w:w="1140" w:type="dxa"/>
            <w:noWrap/>
            <w:vAlign w:val="center"/>
          </w:tcPr>
          <w:p w14:paraId="2C67D469">
            <w:pPr>
              <w:jc w:val="center"/>
              <w:rPr>
                <w:sz w:val="22"/>
                <w:szCs w:val="22"/>
              </w:rPr>
            </w:pPr>
            <w:r>
              <w:rPr>
                <w:sz w:val="22"/>
                <w:szCs w:val="22"/>
              </w:rPr>
              <w:t>1,08%</w:t>
            </w:r>
          </w:p>
        </w:tc>
      </w:tr>
      <w:tr w14:paraId="5F71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FF375CD">
            <w:pPr>
              <w:jc w:val="center"/>
              <w:rPr>
                <w:sz w:val="22"/>
                <w:szCs w:val="22"/>
              </w:rPr>
            </w:pPr>
            <w:r>
              <w:rPr>
                <w:sz w:val="22"/>
                <w:szCs w:val="22"/>
              </w:rPr>
              <w:t>24</w:t>
            </w:r>
          </w:p>
        </w:tc>
        <w:tc>
          <w:tcPr>
            <w:tcW w:w="1752" w:type="dxa"/>
            <w:vMerge w:val="continue"/>
            <w:vAlign w:val="center"/>
          </w:tcPr>
          <w:p w14:paraId="19FB1A95">
            <w:pPr>
              <w:jc w:val="center"/>
              <w:rPr>
                <w:sz w:val="22"/>
                <w:szCs w:val="22"/>
              </w:rPr>
            </w:pPr>
          </w:p>
        </w:tc>
        <w:tc>
          <w:tcPr>
            <w:tcW w:w="944" w:type="dxa"/>
            <w:vMerge w:val="continue"/>
            <w:vAlign w:val="center"/>
          </w:tcPr>
          <w:p w14:paraId="51378930">
            <w:pPr>
              <w:jc w:val="center"/>
              <w:rPr>
                <w:sz w:val="22"/>
                <w:szCs w:val="22"/>
              </w:rPr>
            </w:pPr>
          </w:p>
        </w:tc>
        <w:tc>
          <w:tcPr>
            <w:tcW w:w="1116" w:type="dxa"/>
            <w:noWrap/>
            <w:vAlign w:val="center"/>
          </w:tcPr>
          <w:p w14:paraId="5A96E614">
            <w:pPr>
              <w:jc w:val="center"/>
              <w:rPr>
                <w:sz w:val="22"/>
                <w:szCs w:val="22"/>
              </w:rPr>
            </w:pPr>
            <w:r>
              <w:rPr>
                <w:sz w:val="22"/>
                <w:szCs w:val="22"/>
              </w:rPr>
              <w:t>LK11.22</w:t>
            </w:r>
          </w:p>
        </w:tc>
        <w:tc>
          <w:tcPr>
            <w:tcW w:w="1010" w:type="dxa"/>
            <w:noWrap/>
            <w:vAlign w:val="center"/>
          </w:tcPr>
          <w:p w14:paraId="6A057FD4">
            <w:pPr>
              <w:jc w:val="center"/>
              <w:rPr>
                <w:sz w:val="22"/>
                <w:szCs w:val="22"/>
              </w:rPr>
            </w:pPr>
            <w:r>
              <w:rPr>
                <w:sz w:val="22"/>
                <w:szCs w:val="22"/>
              </w:rPr>
              <w:t>140,00</w:t>
            </w:r>
          </w:p>
        </w:tc>
        <w:tc>
          <w:tcPr>
            <w:tcW w:w="1591" w:type="dxa"/>
            <w:noWrap/>
            <w:vAlign w:val="center"/>
          </w:tcPr>
          <w:p w14:paraId="7005DDCD">
            <w:pPr>
              <w:jc w:val="center"/>
              <w:rPr>
                <w:sz w:val="22"/>
                <w:szCs w:val="22"/>
              </w:rPr>
            </w:pPr>
            <w:r>
              <w:rPr>
                <w:sz w:val="22"/>
                <w:szCs w:val="22"/>
              </w:rPr>
              <w:t>1.750.000.000</w:t>
            </w:r>
          </w:p>
        </w:tc>
        <w:tc>
          <w:tcPr>
            <w:tcW w:w="1700" w:type="dxa"/>
            <w:noWrap/>
            <w:vAlign w:val="center"/>
          </w:tcPr>
          <w:p w14:paraId="2C1AEFFE">
            <w:pPr>
              <w:jc w:val="center"/>
              <w:rPr>
                <w:sz w:val="22"/>
                <w:szCs w:val="22"/>
              </w:rPr>
            </w:pPr>
            <w:r>
              <w:rPr>
                <w:sz w:val="22"/>
                <w:szCs w:val="22"/>
              </w:rPr>
              <w:t>1.890.000.000</w:t>
            </w:r>
          </w:p>
        </w:tc>
        <w:tc>
          <w:tcPr>
            <w:tcW w:w="1140" w:type="dxa"/>
            <w:noWrap/>
            <w:vAlign w:val="center"/>
          </w:tcPr>
          <w:p w14:paraId="2075BA1E">
            <w:pPr>
              <w:jc w:val="center"/>
              <w:rPr>
                <w:sz w:val="22"/>
                <w:szCs w:val="22"/>
              </w:rPr>
            </w:pPr>
            <w:r>
              <w:rPr>
                <w:sz w:val="22"/>
                <w:szCs w:val="22"/>
              </w:rPr>
              <w:t>1,08%</w:t>
            </w:r>
          </w:p>
        </w:tc>
      </w:tr>
      <w:tr w14:paraId="56EE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D86E605">
            <w:pPr>
              <w:jc w:val="center"/>
              <w:rPr>
                <w:sz w:val="22"/>
                <w:szCs w:val="22"/>
              </w:rPr>
            </w:pPr>
            <w:r>
              <w:rPr>
                <w:sz w:val="22"/>
                <w:szCs w:val="22"/>
              </w:rPr>
              <w:t>25</w:t>
            </w:r>
          </w:p>
        </w:tc>
        <w:tc>
          <w:tcPr>
            <w:tcW w:w="1752" w:type="dxa"/>
            <w:vMerge w:val="continue"/>
            <w:vAlign w:val="center"/>
          </w:tcPr>
          <w:p w14:paraId="2B330D0F">
            <w:pPr>
              <w:jc w:val="center"/>
              <w:rPr>
                <w:sz w:val="22"/>
                <w:szCs w:val="22"/>
              </w:rPr>
            </w:pPr>
          </w:p>
        </w:tc>
        <w:tc>
          <w:tcPr>
            <w:tcW w:w="944" w:type="dxa"/>
            <w:vMerge w:val="continue"/>
            <w:vAlign w:val="center"/>
          </w:tcPr>
          <w:p w14:paraId="6088B79D">
            <w:pPr>
              <w:jc w:val="center"/>
              <w:rPr>
                <w:sz w:val="22"/>
                <w:szCs w:val="22"/>
              </w:rPr>
            </w:pPr>
          </w:p>
        </w:tc>
        <w:tc>
          <w:tcPr>
            <w:tcW w:w="1116" w:type="dxa"/>
            <w:noWrap/>
            <w:vAlign w:val="center"/>
          </w:tcPr>
          <w:p w14:paraId="77F8E097">
            <w:pPr>
              <w:jc w:val="center"/>
              <w:rPr>
                <w:sz w:val="22"/>
                <w:szCs w:val="22"/>
              </w:rPr>
            </w:pPr>
            <w:r>
              <w:rPr>
                <w:sz w:val="22"/>
                <w:szCs w:val="22"/>
              </w:rPr>
              <w:t>LK11.23</w:t>
            </w:r>
          </w:p>
        </w:tc>
        <w:tc>
          <w:tcPr>
            <w:tcW w:w="1010" w:type="dxa"/>
            <w:noWrap/>
            <w:vAlign w:val="center"/>
          </w:tcPr>
          <w:p w14:paraId="21CD09E7">
            <w:pPr>
              <w:jc w:val="center"/>
              <w:rPr>
                <w:sz w:val="22"/>
                <w:szCs w:val="22"/>
              </w:rPr>
            </w:pPr>
            <w:r>
              <w:rPr>
                <w:sz w:val="22"/>
                <w:szCs w:val="22"/>
              </w:rPr>
              <w:t>140,00</w:t>
            </w:r>
          </w:p>
        </w:tc>
        <w:tc>
          <w:tcPr>
            <w:tcW w:w="1591" w:type="dxa"/>
            <w:noWrap/>
            <w:vAlign w:val="center"/>
          </w:tcPr>
          <w:p w14:paraId="52019EEF">
            <w:pPr>
              <w:jc w:val="center"/>
              <w:rPr>
                <w:sz w:val="22"/>
                <w:szCs w:val="22"/>
              </w:rPr>
            </w:pPr>
            <w:r>
              <w:rPr>
                <w:sz w:val="22"/>
                <w:szCs w:val="22"/>
              </w:rPr>
              <w:t>1.750.000.000</w:t>
            </w:r>
          </w:p>
        </w:tc>
        <w:tc>
          <w:tcPr>
            <w:tcW w:w="1700" w:type="dxa"/>
            <w:noWrap/>
            <w:vAlign w:val="center"/>
          </w:tcPr>
          <w:p w14:paraId="233B239F">
            <w:pPr>
              <w:jc w:val="center"/>
              <w:rPr>
                <w:sz w:val="22"/>
                <w:szCs w:val="22"/>
              </w:rPr>
            </w:pPr>
            <w:r>
              <w:rPr>
                <w:sz w:val="22"/>
                <w:szCs w:val="22"/>
              </w:rPr>
              <w:t>1.923.000.000</w:t>
            </w:r>
          </w:p>
        </w:tc>
        <w:tc>
          <w:tcPr>
            <w:tcW w:w="1140" w:type="dxa"/>
            <w:noWrap/>
            <w:vAlign w:val="center"/>
          </w:tcPr>
          <w:p w14:paraId="2ED25AB6">
            <w:pPr>
              <w:jc w:val="center"/>
              <w:rPr>
                <w:sz w:val="22"/>
                <w:szCs w:val="22"/>
              </w:rPr>
            </w:pPr>
            <w:r>
              <w:rPr>
                <w:sz w:val="22"/>
                <w:szCs w:val="22"/>
              </w:rPr>
              <w:t>1,10%</w:t>
            </w:r>
          </w:p>
        </w:tc>
      </w:tr>
      <w:tr w14:paraId="6162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1E2A239">
            <w:pPr>
              <w:jc w:val="center"/>
              <w:rPr>
                <w:sz w:val="22"/>
                <w:szCs w:val="22"/>
              </w:rPr>
            </w:pPr>
            <w:r>
              <w:rPr>
                <w:sz w:val="22"/>
                <w:szCs w:val="22"/>
              </w:rPr>
              <w:t>26</w:t>
            </w:r>
          </w:p>
        </w:tc>
        <w:tc>
          <w:tcPr>
            <w:tcW w:w="1752" w:type="dxa"/>
            <w:vMerge w:val="continue"/>
            <w:vAlign w:val="center"/>
          </w:tcPr>
          <w:p w14:paraId="0E7627D9">
            <w:pPr>
              <w:jc w:val="center"/>
              <w:rPr>
                <w:sz w:val="22"/>
                <w:szCs w:val="22"/>
              </w:rPr>
            </w:pPr>
          </w:p>
        </w:tc>
        <w:tc>
          <w:tcPr>
            <w:tcW w:w="944" w:type="dxa"/>
            <w:vMerge w:val="restart"/>
            <w:vAlign w:val="center"/>
          </w:tcPr>
          <w:p w14:paraId="65E359B7">
            <w:pPr>
              <w:jc w:val="center"/>
              <w:rPr>
                <w:sz w:val="22"/>
                <w:szCs w:val="22"/>
              </w:rPr>
            </w:pPr>
            <w:r>
              <w:rPr>
                <w:sz w:val="22"/>
                <w:szCs w:val="22"/>
              </w:rPr>
              <w:t>LK12</w:t>
            </w:r>
          </w:p>
        </w:tc>
        <w:tc>
          <w:tcPr>
            <w:tcW w:w="1116" w:type="dxa"/>
            <w:noWrap/>
            <w:vAlign w:val="center"/>
          </w:tcPr>
          <w:p w14:paraId="5DF5AFEC">
            <w:pPr>
              <w:jc w:val="center"/>
              <w:rPr>
                <w:sz w:val="22"/>
                <w:szCs w:val="22"/>
              </w:rPr>
            </w:pPr>
            <w:r>
              <w:rPr>
                <w:sz w:val="22"/>
                <w:szCs w:val="22"/>
              </w:rPr>
              <w:t>LK12.1</w:t>
            </w:r>
          </w:p>
        </w:tc>
        <w:tc>
          <w:tcPr>
            <w:tcW w:w="1010" w:type="dxa"/>
            <w:noWrap/>
            <w:vAlign w:val="center"/>
          </w:tcPr>
          <w:p w14:paraId="356AE6E6">
            <w:pPr>
              <w:jc w:val="center"/>
              <w:rPr>
                <w:sz w:val="22"/>
                <w:szCs w:val="22"/>
              </w:rPr>
            </w:pPr>
            <w:r>
              <w:rPr>
                <w:sz w:val="22"/>
                <w:szCs w:val="22"/>
              </w:rPr>
              <w:t>192,75</w:t>
            </w:r>
          </w:p>
        </w:tc>
        <w:tc>
          <w:tcPr>
            <w:tcW w:w="1591" w:type="dxa"/>
            <w:noWrap/>
            <w:vAlign w:val="center"/>
          </w:tcPr>
          <w:p w14:paraId="6128CA30">
            <w:pPr>
              <w:jc w:val="center"/>
              <w:rPr>
                <w:sz w:val="22"/>
                <w:szCs w:val="22"/>
              </w:rPr>
            </w:pPr>
            <w:r>
              <w:rPr>
                <w:sz w:val="22"/>
                <w:szCs w:val="22"/>
              </w:rPr>
              <w:t>2.775.600.000</w:t>
            </w:r>
          </w:p>
        </w:tc>
        <w:tc>
          <w:tcPr>
            <w:tcW w:w="1700" w:type="dxa"/>
            <w:noWrap/>
            <w:vAlign w:val="center"/>
          </w:tcPr>
          <w:p w14:paraId="74E17BF6">
            <w:pPr>
              <w:jc w:val="center"/>
              <w:rPr>
                <w:sz w:val="22"/>
                <w:szCs w:val="22"/>
              </w:rPr>
            </w:pPr>
            <w:r>
              <w:rPr>
                <w:sz w:val="22"/>
                <w:szCs w:val="22"/>
              </w:rPr>
              <w:t>2.786.000.000</w:t>
            </w:r>
          </w:p>
        </w:tc>
        <w:tc>
          <w:tcPr>
            <w:tcW w:w="1140" w:type="dxa"/>
            <w:noWrap/>
            <w:vAlign w:val="center"/>
          </w:tcPr>
          <w:p w14:paraId="095D751F">
            <w:pPr>
              <w:jc w:val="center"/>
              <w:rPr>
                <w:sz w:val="22"/>
                <w:szCs w:val="22"/>
              </w:rPr>
            </w:pPr>
            <w:r>
              <w:rPr>
                <w:sz w:val="22"/>
                <w:szCs w:val="22"/>
              </w:rPr>
              <w:t>1,00%</w:t>
            </w:r>
          </w:p>
        </w:tc>
      </w:tr>
      <w:tr w14:paraId="2F104EC0">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27EBFD79">
            <w:pPr>
              <w:jc w:val="center"/>
              <w:rPr>
                <w:sz w:val="22"/>
                <w:szCs w:val="22"/>
              </w:rPr>
            </w:pPr>
            <w:r>
              <w:rPr>
                <w:sz w:val="22"/>
                <w:szCs w:val="22"/>
              </w:rPr>
              <w:t>27</w:t>
            </w:r>
          </w:p>
        </w:tc>
        <w:tc>
          <w:tcPr>
            <w:tcW w:w="1752" w:type="dxa"/>
            <w:vMerge w:val="continue"/>
            <w:vAlign w:val="center"/>
          </w:tcPr>
          <w:p w14:paraId="2367CEC5">
            <w:pPr>
              <w:jc w:val="center"/>
              <w:rPr>
                <w:sz w:val="22"/>
                <w:szCs w:val="22"/>
              </w:rPr>
            </w:pPr>
          </w:p>
        </w:tc>
        <w:tc>
          <w:tcPr>
            <w:tcW w:w="944" w:type="dxa"/>
            <w:vMerge w:val="continue"/>
            <w:vAlign w:val="center"/>
          </w:tcPr>
          <w:p w14:paraId="60741DCD">
            <w:pPr>
              <w:jc w:val="center"/>
              <w:rPr>
                <w:sz w:val="22"/>
                <w:szCs w:val="22"/>
              </w:rPr>
            </w:pPr>
          </w:p>
        </w:tc>
        <w:tc>
          <w:tcPr>
            <w:tcW w:w="1116" w:type="dxa"/>
            <w:noWrap/>
            <w:vAlign w:val="center"/>
          </w:tcPr>
          <w:p w14:paraId="61A83130">
            <w:pPr>
              <w:jc w:val="center"/>
              <w:rPr>
                <w:sz w:val="22"/>
                <w:szCs w:val="22"/>
              </w:rPr>
            </w:pPr>
            <w:r>
              <w:rPr>
                <w:sz w:val="22"/>
                <w:szCs w:val="22"/>
              </w:rPr>
              <w:t>LK12.2</w:t>
            </w:r>
          </w:p>
        </w:tc>
        <w:tc>
          <w:tcPr>
            <w:tcW w:w="1010" w:type="dxa"/>
            <w:noWrap/>
            <w:vAlign w:val="center"/>
          </w:tcPr>
          <w:p w14:paraId="0C73F7FA">
            <w:pPr>
              <w:jc w:val="center"/>
              <w:rPr>
                <w:sz w:val="22"/>
                <w:szCs w:val="22"/>
              </w:rPr>
            </w:pPr>
            <w:r>
              <w:rPr>
                <w:sz w:val="22"/>
                <w:szCs w:val="22"/>
              </w:rPr>
              <w:t>119,00</w:t>
            </w:r>
          </w:p>
        </w:tc>
        <w:tc>
          <w:tcPr>
            <w:tcW w:w="1591" w:type="dxa"/>
            <w:noWrap/>
            <w:vAlign w:val="center"/>
          </w:tcPr>
          <w:p w14:paraId="57FCD6C2">
            <w:pPr>
              <w:jc w:val="center"/>
              <w:rPr>
                <w:sz w:val="22"/>
                <w:szCs w:val="22"/>
              </w:rPr>
            </w:pPr>
            <w:r>
              <w:rPr>
                <w:sz w:val="22"/>
                <w:szCs w:val="22"/>
              </w:rPr>
              <w:t>1.428.000.000</w:t>
            </w:r>
          </w:p>
        </w:tc>
        <w:tc>
          <w:tcPr>
            <w:tcW w:w="1700" w:type="dxa"/>
            <w:noWrap/>
            <w:vAlign w:val="center"/>
          </w:tcPr>
          <w:p w14:paraId="19C7BF60">
            <w:pPr>
              <w:jc w:val="center"/>
              <w:rPr>
                <w:sz w:val="22"/>
                <w:szCs w:val="22"/>
              </w:rPr>
            </w:pPr>
            <w:r>
              <w:rPr>
                <w:sz w:val="22"/>
                <w:szCs w:val="22"/>
              </w:rPr>
              <w:t>1.586.000.000</w:t>
            </w:r>
          </w:p>
        </w:tc>
        <w:tc>
          <w:tcPr>
            <w:tcW w:w="1140" w:type="dxa"/>
            <w:noWrap/>
            <w:vAlign w:val="center"/>
          </w:tcPr>
          <w:p w14:paraId="1F0572C2">
            <w:pPr>
              <w:jc w:val="center"/>
              <w:rPr>
                <w:sz w:val="22"/>
                <w:szCs w:val="22"/>
              </w:rPr>
            </w:pPr>
            <w:r>
              <w:rPr>
                <w:sz w:val="22"/>
                <w:szCs w:val="22"/>
              </w:rPr>
              <w:t>1,11%</w:t>
            </w:r>
          </w:p>
        </w:tc>
      </w:tr>
      <w:tr w14:paraId="31DB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FA9E029">
            <w:pPr>
              <w:jc w:val="center"/>
              <w:rPr>
                <w:sz w:val="22"/>
                <w:szCs w:val="22"/>
              </w:rPr>
            </w:pPr>
            <w:r>
              <w:rPr>
                <w:sz w:val="22"/>
                <w:szCs w:val="22"/>
              </w:rPr>
              <w:t>28</w:t>
            </w:r>
          </w:p>
        </w:tc>
        <w:tc>
          <w:tcPr>
            <w:tcW w:w="1752" w:type="dxa"/>
            <w:vMerge w:val="continue"/>
            <w:vAlign w:val="center"/>
          </w:tcPr>
          <w:p w14:paraId="53095883">
            <w:pPr>
              <w:jc w:val="center"/>
              <w:rPr>
                <w:sz w:val="22"/>
                <w:szCs w:val="22"/>
              </w:rPr>
            </w:pPr>
          </w:p>
        </w:tc>
        <w:tc>
          <w:tcPr>
            <w:tcW w:w="944" w:type="dxa"/>
            <w:vMerge w:val="continue"/>
            <w:vAlign w:val="center"/>
          </w:tcPr>
          <w:p w14:paraId="28958EB4">
            <w:pPr>
              <w:jc w:val="center"/>
              <w:rPr>
                <w:sz w:val="22"/>
                <w:szCs w:val="22"/>
              </w:rPr>
            </w:pPr>
          </w:p>
        </w:tc>
        <w:tc>
          <w:tcPr>
            <w:tcW w:w="1116" w:type="dxa"/>
            <w:noWrap/>
            <w:vAlign w:val="center"/>
          </w:tcPr>
          <w:p w14:paraId="0C906590">
            <w:pPr>
              <w:jc w:val="center"/>
              <w:rPr>
                <w:sz w:val="22"/>
                <w:szCs w:val="22"/>
              </w:rPr>
            </w:pPr>
            <w:r>
              <w:rPr>
                <w:sz w:val="22"/>
                <w:szCs w:val="22"/>
              </w:rPr>
              <w:t>LK12.3</w:t>
            </w:r>
          </w:p>
        </w:tc>
        <w:tc>
          <w:tcPr>
            <w:tcW w:w="1010" w:type="dxa"/>
            <w:noWrap/>
            <w:vAlign w:val="center"/>
          </w:tcPr>
          <w:p w14:paraId="1A94F472">
            <w:pPr>
              <w:jc w:val="center"/>
              <w:rPr>
                <w:sz w:val="22"/>
                <w:szCs w:val="22"/>
              </w:rPr>
            </w:pPr>
            <w:r>
              <w:rPr>
                <w:sz w:val="22"/>
                <w:szCs w:val="22"/>
              </w:rPr>
              <w:t>119,00</w:t>
            </w:r>
          </w:p>
        </w:tc>
        <w:tc>
          <w:tcPr>
            <w:tcW w:w="1591" w:type="dxa"/>
            <w:noWrap/>
            <w:vAlign w:val="center"/>
          </w:tcPr>
          <w:p w14:paraId="5F72768E">
            <w:pPr>
              <w:jc w:val="center"/>
              <w:rPr>
                <w:sz w:val="22"/>
                <w:szCs w:val="22"/>
              </w:rPr>
            </w:pPr>
            <w:r>
              <w:rPr>
                <w:sz w:val="22"/>
                <w:szCs w:val="22"/>
              </w:rPr>
              <w:t>1.428.000.000</w:t>
            </w:r>
          </w:p>
        </w:tc>
        <w:tc>
          <w:tcPr>
            <w:tcW w:w="1700" w:type="dxa"/>
            <w:noWrap/>
            <w:vAlign w:val="center"/>
          </w:tcPr>
          <w:p w14:paraId="453B07D1">
            <w:pPr>
              <w:jc w:val="center"/>
              <w:rPr>
                <w:sz w:val="22"/>
                <w:szCs w:val="22"/>
              </w:rPr>
            </w:pPr>
            <w:r>
              <w:rPr>
                <w:sz w:val="22"/>
                <w:szCs w:val="22"/>
              </w:rPr>
              <w:t>1.512.000.000</w:t>
            </w:r>
          </w:p>
        </w:tc>
        <w:tc>
          <w:tcPr>
            <w:tcW w:w="1140" w:type="dxa"/>
            <w:noWrap/>
            <w:vAlign w:val="center"/>
          </w:tcPr>
          <w:p w14:paraId="04A7BBCA">
            <w:pPr>
              <w:jc w:val="center"/>
              <w:rPr>
                <w:sz w:val="22"/>
                <w:szCs w:val="22"/>
              </w:rPr>
            </w:pPr>
            <w:r>
              <w:rPr>
                <w:sz w:val="22"/>
                <w:szCs w:val="22"/>
              </w:rPr>
              <w:t>1,06%</w:t>
            </w:r>
          </w:p>
        </w:tc>
      </w:tr>
      <w:tr w14:paraId="5AB9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C1B7770">
            <w:pPr>
              <w:jc w:val="center"/>
              <w:rPr>
                <w:sz w:val="22"/>
                <w:szCs w:val="22"/>
              </w:rPr>
            </w:pPr>
            <w:r>
              <w:rPr>
                <w:sz w:val="22"/>
                <w:szCs w:val="22"/>
              </w:rPr>
              <w:t>29</w:t>
            </w:r>
          </w:p>
        </w:tc>
        <w:tc>
          <w:tcPr>
            <w:tcW w:w="1752" w:type="dxa"/>
            <w:vMerge w:val="continue"/>
            <w:vAlign w:val="center"/>
          </w:tcPr>
          <w:p w14:paraId="24C1EB04">
            <w:pPr>
              <w:jc w:val="center"/>
              <w:rPr>
                <w:sz w:val="22"/>
                <w:szCs w:val="22"/>
              </w:rPr>
            </w:pPr>
          </w:p>
        </w:tc>
        <w:tc>
          <w:tcPr>
            <w:tcW w:w="944" w:type="dxa"/>
            <w:vMerge w:val="continue"/>
            <w:vAlign w:val="center"/>
          </w:tcPr>
          <w:p w14:paraId="3E61BE70">
            <w:pPr>
              <w:jc w:val="center"/>
              <w:rPr>
                <w:sz w:val="22"/>
                <w:szCs w:val="22"/>
              </w:rPr>
            </w:pPr>
          </w:p>
        </w:tc>
        <w:tc>
          <w:tcPr>
            <w:tcW w:w="1116" w:type="dxa"/>
            <w:noWrap/>
            <w:vAlign w:val="center"/>
          </w:tcPr>
          <w:p w14:paraId="46D39B30">
            <w:pPr>
              <w:jc w:val="center"/>
              <w:rPr>
                <w:sz w:val="22"/>
                <w:szCs w:val="22"/>
              </w:rPr>
            </w:pPr>
            <w:r>
              <w:rPr>
                <w:sz w:val="22"/>
                <w:szCs w:val="22"/>
              </w:rPr>
              <w:t>LK12.4</w:t>
            </w:r>
          </w:p>
        </w:tc>
        <w:tc>
          <w:tcPr>
            <w:tcW w:w="1010" w:type="dxa"/>
            <w:noWrap/>
            <w:vAlign w:val="center"/>
          </w:tcPr>
          <w:p w14:paraId="3EF56BBC">
            <w:pPr>
              <w:jc w:val="center"/>
              <w:rPr>
                <w:sz w:val="22"/>
                <w:szCs w:val="22"/>
              </w:rPr>
            </w:pPr>
            <w:r>
              <w:rPr>
                <w:sz w:val="22"/>
                <w:szCs w:val="22"/>
              </w:rPr>
              <w:t>119,00</w:t>
            </w:r>
          </w:p>
        </w:tc>
        <w:tc>
          <w:tcPr>
            <w:tcW w:w="1591" w:type="dxa"/>
            <w:noWrap/>
            <w:vAlign w:val="center"/>
          </w:tcPr>
          <w:p w14:paraId="6832E954">
            <w:pPr>
              <w:jc w:val="center"/>
              <w:rPr>
                <w:sz w:val="22"/>
                <w:szCs w:val="22"/>
              </w:rPr>
            </w:pPr>
            <w:r>
              <w:rPr>
                <w:sz w:val="22"/>
                <w:szCs w:val="22"/>
              </w:rPr>
              <w:t>1.428.000.000</w:t>
            </w:r>
          </w:p>
        </w:tc>
        <w:tc>
          <w:tcPr>
            <w:tcW w:w="1700" w:type="dxa"/>
            <w:noWrap/>
            <w:vAlign w:val="center"/>
          </w:tcPr>
          <w:p w14:paraId="042E3A26">
            <w:pPr>
              <w:jc w:val="center"/>
              <w:rPr>
                <w:sz w:val="22"/>
                <w:szCs w:val="22"/>
              </w:rPr>
            </w:pPr>
            <w:r>
              <w:rPr>
                <w:sz w:val="22"/>
                <w:szCs w:val="22"/>
              </w:rPr>
              <w:t>1.526.000.000</w:t>
            </w:r>
          </w:p>
        </w:tc>
        <w:tc>
          <w:tcPr>
            <w:tcW w:w="1140" w:type="dxa"/>
            <w:noWrap/>
            <w:vAlign w:val="center"/>
          </w:tcPr>
          <w:p w14:paraId="7C79763A">
            <w:pPr>
              <w:jc w:val="center"/>
              <w:rPr>
                <w:sz w:val="22"/>
                <w:szCs w:val="22"/>
              </w:rPr>
            </w:pPr>
            <w:r>
              <w:rPr>
                <w:sz w:val="22"/>
                <w:szCs w:val="22"/>
              </w:rPr>
              <w:t>1,07%</w:t>
            </w:r>
          </w:p>
        </w:tc>
      </w:tr>
      <w:tr w14:paraId="5C9F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D2191F0">
            <w:pPr>
              <w:jc w:val="center"/>
              <w:rPr>
                <w:sz w:val="22"/>
                <w:szCs w:val="22"/>
              </w:rPr>
            </w:pPr>
            <w:r>
              <w:rPr>
                <w:sz w:val="22"/>
                <w:szCs w:val="22"/>
              </w:rPr>
              <w:t>30</w:t>
            </w:r>
          </w:p>
        </w:tc>
        <w:tc>
          <w:tcPr>
            <w:tcW w:w="1752" w:type="dxa"/>
            <w:vMerge w:val="continue"/>
            <w:vAlign w:val="center"/>
          </w:tcPr>
          <w:p w14:paraId="2BE86D2B">
            <w:pPr>
              <w:jc w:val="center"/>
              <w:rPr>
                <w:sz w:val="22"/>
                <w:szCs w:val="22"/>
              </w:rPr>
            </w:pPr>
          </w:p>
        </w:tc>
        <w:tc>
          <w:tcPr>
            <w:tcW w:w="944" w:type="dxa"/>
            <w:vMerge w:val="continue"/>
            <w:vAlign w:val="center"/>
          </w:tcPr>
          <w:p w14:paraId="0EB0E151">
            <w:pPr>
              <w:jc w:val="center"/>
              <w:rPr>
                <w:sz w:val="22"/>
                <w:szCs w:val="22"/>
              </w:rPr>
            </w:pPr>
          </w:p>
        </w:tc>
        <w:tc>
          <w:tcPr>
            <w:tcW w:w="1116" w:type="dxa"/>
            <w:noWrap/>
            <w:vAlign w:val="center"/>
          </w:tcPr>
          <w:p w14:paraId="32C099F9">
            <w:pPr>
              <w:jc w:val="center"/>
              <w:rPr>
                <w:sz w:val="22"/>
                <w:szCs w:val="22"/>
              </w:rPr>
            </w:pPr>
            <w:r>
              <w:rPr>
                <w:sz w:val="22"/>
                <w:szCs w:val="22"/>
              </w:rPr>
              <w:t>LK12.5</w:t>
            </w:r>
          </w:p>
        </w:tc>
        <w:tc>
          <w:tcPr>
            <w:tcW w:w="1010" w:type="dxa"/>
            <w:noWrap/>
            <w:vAlign w:val="center"/>
          </w:tcPr>
          <w:p w14:paraId="21DFAC1E">
            <w:pPr>
              <w:jc w:val="center"/>
              <w:rPr>
                <w:sz w:val="22"/>
                <w:szCs w:val="22"/>
              </w:rPr>
            </w:pPr>
            <w:r>
              <w:rPr>
                <w:sz w:val="22"/>
                <w:szCs w:val="22"/>
              </w:rPr>
              <w:t>119,00</w:t>
            </w:r>
          </w:p>
        </w:tc>
        <w:tc>
          <w:tcPr>
            <w:tcW w:w="1591" w:type="dxa"/>
            <w:noWrap/>
            <w:vAlign w:val="center"/>
          </w:tcPr>
          <w:p w14:paraId="1CDAB964">
            <w:pPr>
              <w:jc w:val="center"/>
              <w:rPr>
                <w:sz w:val="22"/>
                <w:szCs w:val="22"/>
              </w:rPr>
            </w:pPr>
            <w:r>
              <w:rPr>
                <w:sz w:val="22"/>
                <w:szCs w:val="22"/>
              </w:rPr>
              <w:t>1.428.000.000</w:t>
            </w:r>
          </w:p>
        </w:tc>
        <w:tc>
          <w:tcPr>
            <w:tcW w:w="1700" w:type="dxa"/>
            <w:noWrap/>
            <w:vAlign w:val="center"/>
          </w:tcPr>
          <w:p w14:paraId="0E06F78A">
            <w:pPr>
              <w:jc w:val="center"/>
              <w:rPr>
                <w:sz w:val="22"/>
                <w:szCs w:val="22"/>
              </w:rPr>
            </w:pPr>
            <w:r>
              <w:rPr>
                <w:sz w:val="22"/>
                <w:szCs w:val="22"/>
              </w:rPr>
              <w:t>1.569.900.000</w:t>
            </w:r>
          </w:p>
        </w:tc>
        <w:tc>
          <w:tcPr>
            <w:tcW w:w="1140" w:type="dxa"/>
            <w:noWrap/>
            <w:vAlign w:val="center"/>
          </w:tcPr>
          <w:p w14:paraId="3C53242D">
            <w:pPr>
              <w:jc w:val="center"/>
              <w:rPr>
                <w:sz w:val="22"/>
                <w:szCs w:val="22"/>
              </w:rPr>
            </w:pPr>
            <w:r>
              <w:rPr>
                <w:sz w:val="22"/>
                <w:szCs w:val="22"/>
              </w:rPr>
              <w:t>1,10%</w:t>
            </w:r>
          </w:p>
        </w:tc>
      </w:tr>
      <w:tr w14:paraId="71D8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560F650">
            <w:pPr>
              <w:jc w:val="center"/>
              <w:rPr>
                <w:sz w:val="22"/>
                <w:szCs w:val="22"/>
              </w:rPr>
            </w:pPr>
            <w:r>
              <w:rPr>
                <w:sz w:val="22"/>
                <w:szCs w:val="22"/>
              </w:rPr>
              <w:t>31</w:t>
            </w:r>
          </w:p>
        </w:tc>
        <w:tc>
          <w:tcPr>
            <w:tcW w:w="1752" w:type="dxa"/>
            <w:vMerge w:val="continue"/>
            <w:vAlign w:val="center"/>
          </w:tcPr>
          <w:p w14:paraId="23D64F21">
            <w:pPr>
              <w:jc w:val="center"/>
              <w:rPr>
                <w:sz w:val="22"/>
                <w:szCs w:val="22"/>
              </w:rPr>
            </w:pPr>
          </w:p>
        </w:tc>
        <w:tc>
          <w:tcPr>
            <w:tcW w:w="944" w:type="dxa"/>
            <w:vMerge w:val="continue"/>
            <w:vAlign w:val="center"/>
          </w:tcPr>
          <w:p w14:paraId="6FA66666">
            <w:pPr>
              <w:jc w:val="center"/>
              <w:rPr>
                <w:sz w:val="22"/>
                <w:szCs w:val="22"/>
              </w:rPr>
            </w:pPr>
          </w:p>
        </w:tc>
        <w:tc>
          <w:tcPr>
            <w:tcW w:w="1116" w:type="dxa"/>
            <w:noWrap/>
            <w:vAlign w:val="center"/>
          </w:tcPr>
          <w:p w14:paraId="5DB346D9">
            <w:pPr>
              <w:jc w:val="center"/>
              <w:rPr>
                <w:sz w:val="22"/>
                <w:szCs w:val="22"/>
              </w:rPr>
            </w:pPr>
            <w:r>
              <w:rPr>
                <w:sz w:val="22"/>
                <w:szCs w:val="22"/>
              </w:rPr>
              <w:t>LK12.10</w:t>
            </w:r>
          </w:p>
        </w:tc>
        <w:tc>
          <w:tcPr>
            <w:tcW w:w="1010" w:type="dxa"/>
            <w:noWrap/>
            <w:vAlign w:val="center"/>
          </w:tcPr>
          <w:p w14:paraId="41B1CCF9">
            <w:pPr>
              <w:jc w:val="center"/>
              <w:rPr>
                <w:sz w:val="22"/>
                <w:szCs w:val="22"/>
              </w:rPr>
            </w:pPr>
            <w:r>
              <w:rPr>
                <w:sz w:val="22"/>
                <w:szCs w:val="22"/>
              </w:rPr>
              <w:t>119,00</w:t>
            </w:r>
          </w:p>
        </w:tc>
        <w:tc>
          <w:tcPr>
            <w:tcW w:w="1591" w:type="dxa"/>
            <w:noWrap/>
            <w:vAlign w:val="center"/>
          </w:tcPr>
          <w:p w14:paraId="5D1133A3">
            <w:pPr>
              <w:jc w:val="center"/>
              <w:rPr>
                <w:sz w:val="22"/>
                <w:szCs w:val="22"/>
              </w:rPr>
            </w:pPr>
            <w:r>
              <w:rPr>
                <w:sz w:val="22"/>
                <w:szCs w:val="22"/>
              </w:rPr>
              <w:t>1.428.000.000</w:t>
            </w:r>
          </w:p>
        </w:tc>
        <w:tc>
          <w:tcPr>
            <w:tcW w:w="1700" w:type="dxa"/>
            <w:noWrap/>
            <w:vAlign w:val="center"/>
          </w:tcPr>
          <w:p w14:paraId="77F6E37B">
            <w:pPr>
              <w:jc w:val="center"/>
              <w:rPr>
                <w:sz w:val="22"/>
                <w:szCs w:val="22"/>
              </w:rPr>
            </w:pPr>
            <w:r>
              <w:rPr>
                <w:sz w:val="22"/>
                <w:szCs w:val="22"/>
              </w:rPr>
              <w:t>1.507.600.000</w:t>
            </w:r>
          </w:p>
        </w:tc>
        <w:tc>
          <w:tcPr>
            <w:tcW w:w="1140" w:type="dxa"/>
            <w:noWrap/>
            <w:vAlign w:val="center"/>
          </w:tcPr>
          <w:p w14:paraId="5581DBC5">
            <w:pPr>
              <w:jc w:val="center"/>
              <w:rPr>
                <w:sz w:val="22"/>
                <w:szCs w:val="22"/>
              </w:rPr>
            </w:pPr>
            <w:r>
              <w:rPr>
                <w:sz w:val="22"/>
                <w:szCs w:val="22"/>
              </w:rPr>
              <w:t>1,06%</w:t>
            </w:r>
          </w:p>
        </w:tc>
      </w:tr>
      <w:tr w14:paraId="6D66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BC5CBDE">
            <w:pPr>
              <w:jc w:val="center"/>
              <w:rPr>
                <w:sz w:val="22"/>
                <w:szCs w:val="22"/>
              </w:rPr>
            </w:pPr>
            <w:r>
              <w:rPr>
                <w:sz w:val="22"/>
                <w:szCs w:val="22"/>
              </w:rPr>
              <w:t>32</w:t>
            </w:r>
          </w:p>
        </w:tc>
        <w:tc>
          <w:tcPr>
            <w:tcW w:w="1752" w:type="dxa"/>
            <w:vMerge w:val="continue"/>
            <w:vAlign w:val="center"/>
          </w:tcPr>
          <w:p w14:paraId="5E2AC5CF">
            <w:pPr>
              <w:jc w:val="center"/>
              <w:rPr>
                <w:sz w:val="22"/>
                <w:szCs w:val="22"/>
              </w:rPr>
            </w:pPr>
          </w:p>
        </w:tc>
        <w:tc>
          <w:tcPr>
            <w:tcW w:w="944" w:type="dxa"/>
            <w:vMerge w:val="continue"/>
            <w:vAlign w:val="center"/>
          </w:tcPr>
          <w:p w14:paraId="29F37EF3">
            <w:pPr>
              <w:jc w:val="center"/>
              <w:rPr>
                <w:sz w:val="22"/>
                <w:szCs w:val="22"/>
              </w:rPr>
            </w:pPr>
          </w:p>
        </w:tc>
        <w:tc>
          <w:tcPr>
            <w:tcW w:w="1116" w:type="dxa"/>
            <w:noWrap/>
            <w:vAlign w:val="center"/>
          </w:tcPr>
          <w:p w14:paraId="7D5A0791">
            <w:pPr>
              <w:jc w:val="center"/>
              <w:rPr>
                <w:sz w:val="22"/>
                <w:szCs w:val="22"/>
              </w:rPr>
            </w:pPr>
            <w:r>
              <w:rPr>
                <w:sz w:val="22"/>
                <w:szCs w:val="22"/>
              </w:rPr>
              <w:t>LK12.11</w:t>
            </w:r>
          </w:p>
        </w:tc>
        <w:tc>
          <w:tcPr>
            <w:tcW w:w="1010" w:type="dxa"/>
            <w:noWrap/>
            <w:vAlign w:val="center"/>
          </w:tcPr>
          <w:p w14:paraId="01E136F9">
            <w:pPr>
              <w:jc w:val="center"/>
              <w:rPr>
                <w:sz w:val="22"/>
                <w:szCs w:val="22"/>
              </w:rPr>
            </w:pPr>
            <w:r>
              <w:rPr>
                <w:sz w:val="22"/>
                <w:szCs w:val="22"/>
              </w:rPr>
              <w:t>119,00</w:t>
            </w:r>
          </w:p>
        </w:tc>
        <w:tc>
          <w:tcPr>
            <w:tcW w:w="1591" w:type="dxa"/>
            <w:noWrap/>
            <w:vAlign w:val="center"/>
          </w:tcPr>
          <w:p w14:paraId="38069426">
            <w:pPr>
              <w:jc w:val="center"/>
              <w:rPr>
                <w:sz w:val="22"/>
                <w:szCs w:val="22"/>
              </w:rPr>
            </w:pPr>
            <w:r>
              <w:rPr>
                <w:sz w:val="22"/>
                <w:szCs w:val="22"/>
              </w:rPr>
              <w:t>1.428.000.000</w:t>
            </w:r>
          </w:p>
        </w:tc>
        <w:tc>
          <w:tcPr>
            <w:tcW w:w="1700" w:type="dxa"/>
            <w:noWrap/>
            <w:vAlign w:val="center"/>
          </w:tcPr>
          <w:p w14:paraId="6F6E374B">
            <w:pPr>
              <w:jc w:val="center"/>
              <w:rPr>
                <w:sz w:val="22"/>
                <w:szCs w:val="22"/>
              </w:rPr>
            </w:pPr>
            <w:r>
              <w:rPr>
                <w:sz w:val="22"/>
                <w:szCs w:val="22"/>
              </w:rPr>
              <w:t>1.618.000.000</w:t>
            </w:r>
          </w:p>
        </w:tc>
        <w:tc>
          <w:tcPr>
            <w:tcW w:w="1140" w:type="dxa"/>
            <w:noWrap/>
            <w:vAlign w:val="center"/>
          </w:tcPr>
          <w:p w14:paraId="724C1FA5">
            <w:pPr>
              <w:jc w:val="center"/>
              <w:rPr>
                <w:sz w:val="22"/>
                <w:szCs w:val="22"/>
              </w:rPr>
            </w:pPr>
            <w:r>
              <w:rPr>
                <w:sz w:val="22"/>
                <w:szCs w:val="22"/>
              </w:rPr>
              <w:t>1,13%</w:t>
            </w:r>
          </w:p>
        </w:tc>
      </w:tr>
      <w:tr w14:paraId="04CC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11BDC6F">
            <w:pPr>
              <w:jc w:val="center"/>
              <w:rPr>
                <w:sz w:val="22"/>
                <w:szCs w:val="22"/>
              </w:rPr>
            </w:pPr>
            <w:r>
              <w:rPr>
                <w:sz w:val="22"/>
                <w:szCs w:val="22"/>
              </w:rPr>
              <w:t>33</w:t>
            </w:r>
          </w:p>
        </w:tc>
        <w:tc>
          <w:tcPr>
            <w:tcW w:w="1752" w:type="dxa"/>
            <w:vMerge w:val="continue"/>
            <w:vAlign w:val="center"/>
          </w:tcPr>
          <w:p w14:paraId="44E45AAD">
            <w:pPr>
              <w:jc w:val="center"/>
              <w:rPr>
                <w:sz w:val="22"/>
                <w:szCs w:val="22"/>
              </w:rPr>
            </w:pPr>
          </w:p>
        </w:tc>
        <w:tc>
          <w:tcPr>
            <w:tcW w:w="944" w:type="dxa"/>
            <w:vMerge w:val="continue"/>
            <w:vAlign w:val="center"/>
          </w:tcPr>
          <w:p w14:paraId="07777C36">
            <w:pPr>
              <w:jc w:val="center"/>
              <w:rPr>
                <w:sz w:val="22"/>
                <w:szCs w:val="22"/>
              </w:rPr>
            </w:pPr>
          </w:p>
        </w:tc>
        <w:tc>
          <w:tcPr>
            <w:tcW w:w="1116" w:type="dxa"/>
            <w:noWrap/>
            <w:vAlign w:val="center"/>
          </w:tcPr>
          <w:p w14:paraId="0DE4E389">
            <w:pPr>
              <w:jc w:val="center"/>
              <w:rPr>
                <w:sz w:val="22"/>
                <w:szCs w:val="22"/>
              </w:rPr>
            </w:pPr>
            <w:r>
              <w:rPr>
                <w:sz w:val="22"/>
                <w:szCs w:val="22"/>
              </w:rPr>
              <w:t>LK12.28</w:t>
            </w:r>
          </w:p>
        </w:tc>
        <w:tc>
          <w:tcPr>
            <w:tcW w:w="1010" w:type="dxa"/>
            <w:noWrap/>
            <w:vAlign w:val="center"/>
          </w:tcPr>
          <w:p w14:paraId="20F9AFED">
            <w:pPr>
              <w:jc w:val="center"/>
              <w:rPr>
                <w:sz w:val="22"/>
                <w:szCs w:val="22"/>
              </w:rPr>
            </w:pPr>
            <w:r>
              <w:rPr>
                <w:sz w:val="22"/>
                <w:szCs w:val="22"/>
              </w:rPr>
              <w:t>119,00</w:t>
            </w:r>
          </w:p>
        </w:tc>
        <w:tc>
          <w:tcPr>
            <w:tcW w:w="1591" w:type="dxa"/>
            <w:noWrap/>
            <w:vAlign w:val="center"/>
          </w:tcPr>
          <w:p w14:paraId="25DED092">
            <w:pPr>
              <w:jc w:val="center"/>
              <w:rPr>
                <w:sz w:val="22"/>
                <w:szCs w:val="22"/>
              </w:rPr>
            </w:pPr>
            <w:r>
              <w:rPr>
                <w:sz w:val="22"/>
                <w:szCs w:val="22"/>
              </w:rPr>
              <w:t>1.428.000.000</w:t>
            </w:r>
          </w:p>
        </w:tc>
        <w:tc>
          <w:tcPr>
            <w:tcW w:w="1700" w:type="dxa"/>
            <w:noWrap/>
            <w:vAlign w:val="center"/>
          </w:tcPr>
          <w:p w14:paraId="6FF430BA">
            <w:pPr>
              <w:jc w:val="center"/>
              <w:rPr>
                <w:sz w:val="22"/>
                <w:szCs w:val="22"/>
              </w:rPr>
            </w:pPr>
            <w:r>
              <w:rPr>
                <w:sz w:val="22"/>
                <w:szCs w:val="22"/>
              </w:rPr>
              <w:t>1.462.000.000</w:t>
            </w:r>
          </w:p>
        </w:tc>
        <w:tc>
          <w:tcPr>
            <w:tcW w:w="1140" w:type="dxa"/>
            <w:noWrap/>
            <w:vAlign w:val="center"/>
          </w:tcPr>
          <w:p w14:paraId="05FE388C">
            <w:pPr>
              <w:jc w:val="center"/>
              <w:rPr>
                <w:sz w:val="22"/>
                <w:szCs w:val="22"/>
              </w:rPr>
            </w:pPr>
            <w:r>
              <w:rPr>
                <w:sz w:val="22"/>
                <w:szCs w:val="22"/>
              </w:rPr>
              <w:t>1,02%</w:t>
            </w:r>
          </w:p>
        </w:tc>
      </w:tr>
      <w:tr w14:paraId="4AE9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4DF031A">
            <w:pPr>
              <w:jc w:val="center"/>
              <w:rPr>
                <w:sz w:val="22"/>
                <w:szCs w:val="22"/>
              </w:rPr>
            </w:pPr>
            <w:r>
              <w:rPr>
                <w:sz w:val="22"/>
                <w:szCs w:val="22"/>
              </w:rPr>
              <w:t>34</w:t>
            </w:r>
          </w:p>
        </w:tc>
        <w:tc>
          <w:tcPr>
            <w:tcW w:w="1752" w:type="dxa"/>
            <w:vMerge w:val="continue"/>
            <w:vAlign w:val="center"/>
          </w:tcPr>
          <w:p w14:paraId="1A86C581">
            <w:pPr>
              <w:jc w:val="center"/>
              <w:rPr>
                <w:sz w:val="22"/>
                <w:szCs w:val="22"/>
              </w:rPr>
            </w:pPr>
          </w:p>
        </w:tc>
        <w:tc>
          <w:tcPr>
            <w:tcW w:w="944" w:type="dxa"/>
            <w:vMerge w:val="continue"/>
            <w:vAlign w:val="center"/>
          </w:tcPr>
          <w:p w14:paraId="3F539D29">
            <w:pPr>
              <w:jc w:val="center"/>
              <w:rPr>
                <w:sz w:val="22"/>
                <w:szCs w:val="22"/>
              </w:rPr>
            </w:pPr>
          </w:p>
        </w:tc>
        <w:tc>
          <w:tcPr>
            <w:tcW w:w="1116" w:type="dxa"/>
            <w:noWrap/>
            <w:vAlign w:val="center"/>
          </w:tcPr>
          <w:p w14:paraId="05C109B0">
            <w:pPr>
              <w:jc w:val="center"/>
              <w:rPr>
                <w:sz w:val="22"/>
                <w:szCs w:val="22"/>
              </w:rPr>
            </w:pPr>
            <w:r>
              <w:rPr>
                <w:sz w:val="22"/>
                <w:szCs w:val="22"/>
              </w:rPr>
              <w:t>LK12.29</w:t>
            </w:r>
          </w:p>
        </w:tc>
        <w:tc>
          <w:tcPr>
            <w:tcW w:w="1010" w:type="dxa"/>
            <w:noWrap/>
            <w:vAlign w:val="center"/>
          </w:tcPr>
          <w:p w14:paraId="599D459B">
            <w:pPr>
              <w:jc w:val="center"/>
              <w:rPr>
                <w:sz w:val="22"/>
                <w:szCs w:val="22"/>
              </w:rPr>
            </w:pPr>
            <w:r>
              <w:rPr>
                <w:sz w:val="22"/>
                <w:szCs w:val="22"/>
              </w:rPr>
              <w:t>119,00</w:t>
            </w:r>
          </w:p>
        </w:tc>
        <w:tc>
          <w:tcPr>
            <w:tcW w:w="1591" w:type="dxa"/>
            <w:noWrap/>
            <w:vAlign w:val="center"/>
          </w:tcPr>
          <w:p w14:paraId="01842CA5">
            <w:pPr>
              <w:jc w:val="center"/>
              <w:rPr>
                <w:sz w:val="22"/>
                <w:szCs w:val="22"/>
              </w:rPr>
            </w:pPr>
            <w:r>
              <w:rPr>
                <w:sz w:val="22"/>
                <w:szCs w:val="22"/>
              </w:rPr>
              <w:t>1.428.000.000</w:t>
            </w:r>
          </w:p>
        </w:tc>
        <w:tc>
          <w:tcPr>
            <w:tcW w:w="1700" w:type="dxa"/>
            <w:noWrap/>
            <w:vAlign w:val="center"/>
          </w:tcPr>
          <w:p w14:paraId="46B1678B">
            <w:pPr>
              <w:jc w:val="center"/>
              <w:rPr>
                <w:sz w:val="22"/>
                <w:szCs w:val="22"/>
              </w:rPr>
            </w:pPr>
            <w:r>
              <w:rPr>
                <w:sz w:val="22"/>
                <w:szCs w:val="22"/>
              </w:rPr>
              <w:t>1.470.000.000</w:t>
            </w:r>
          </w:p>
        </w:tc>
        <w:tc>
          <w:tcPr>
            <w:tcW w:w="1140" w:type="dxa"/>
            <w:noWrap/>
            <w:vAlign w:val="center"/>
          </w:tcPr>
          <w:p w14:paraId="1EDE22C8">
            <w:pPr>
              <w:jc w:val="center"/>
              <w:rPr>
                <w:sz w:val="22"/>
                <w:szCs w:val="22"/>
              </w:rPr>
            </w:pPr>
            <w:r>
              <w:rPr>
                <w:sz w:val="22"/>
                <w:szCs w:val="22"/>
              </w:rPr>
              <w:t>1,03%</w:t>
            </w:r>
          </w:p>
        </w:tc>
      </w:tr>
      <w:tr w14:paraId="167B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874D9D5">
            <w:pPr>
              <w:jc w:val="center"/>
              <w:rPr>
                <w:sz w:val="22"/>
                <w:szCs w:val="22"/>
              </w:rPr>
            </w:pPr>
            <w:r>
              <w:rPr>
                <w:sz w:val="22"/>
                <w:szCs w:val="22"/>
              </w:rPr>
              <w:t>35</w:t>
            </w:r>
          </w:p>
        </w:tc>
        <w:tc>
          <w:tcPr>
            <w:tcW w:w="1752" w:type="dxa"/>
            <w:vMerge w:val="continue"/>
            <w:vAlign w:val="center"/>
          </w:tcPr>
          <w:p w14:paraId="65D5AD19">
            <w:pPr>
              <w:jc w:val="center"/>
              <w:rPr>
                <w:sz w:val="22"/>
                <w:szCs w:val="22"/>
              </w:rPr>
            </w:pPr>
          </w:p>
        </w:tc>
        <w:tc>
          <w:tcPr>
            <w:tcW w:w="944" w:type="dxa"/>
            <w:vMerge w:val="continue"/>
            <w:vAlign w:val="center"/>
          </w:tcPr>
          <w:p w14:paraId="515E876D">
            <w:pPr>
              <w:jc w:val="center"/>
              <w:rPr>
                <w:sz w:val="22"/>
                <w:szCs w:val="22"/>
              </w:rPr>
            </w:pPr>
          </w:p>
        </w:tc>
        <w:tc>
          <w:tcPr>
            <w:tcW w:w="1116" w:type="dxa"/>
            <w:noWrap/>
            <w:vAlign w:val="center"/>
          </w:tcPr>
          <w:p w14:paraId="327E374A">
            <w:pPr>
              <w:jc w:val="center"/>
              <w:rPr>
                <w:sz w:val="22"/>
                <w:szCs w:val="22"/>
              </w:rPr>
            </w:pPr>
            <w:r>
              <w:rPr>
                <w:sz w:val="22"/>
                <w:szCs w:val="22"/>
              </w:rPr>
              <w:t>LK12.30</w:t>
            </w:r>
          </w:p>
        </w:tc>
        <w:tc>
          <w:tcPr>
            <w:tcW w:w="1010" w:type="dxa"/>
            <w:noWrap/>
            <w:vAlign w:val="center"/>
          </w:tcPr>
          <w:p w14:paraId="2F1BF1CB">
            <w:pPr>
              <w:jc w:val="center"/>
              <w:rPr>
                <w:sz w:val="22"/>
                <w:szCs w:val="22"/>
              </w:rPr>
            </w:pPr>
            <w:r>
              <w:rPr>
                <w:sz w:val="22"/>
                <w:szCs w:val="22"/>
              </w:rPr>
              <w:t>119,00</w:t>
            </w:r>
          </w:p>
        </w:tc>
        <w:tc>
          <w:tcPr>
            <w:tcW w:w="1591" w:type="dxa"/>
            <w:noWrap/>
            <w:vAlign w:val="center"/>
          </w:tcPr>
          <w:p w14:paraId="5E17BF67">
            <w:pPr>
              <w:jc w:val="center"/>
              <w:rPr>
                <w:sz w:val="22"/>
                <w:szCs w:val="22"/>
              </w:rPr>
            </w:pPr>
            <w:r>
              <w:rPr>
                <w:sz w:val="22"/>
                <w:szCs w:val="22"/>
              </w:rPr>
              <w:t>1.428.000.000</w:t>
            </w:r>
          </w:p>
        </w:tc>
        <w:tc>
          <w:tcPr>
            <w:tcW w:w="1700" w:type="dxa"/>
            <w:noWrap/>
            <w:vAlign w:val="center"/>
          </w:tcPr>
          <w:p w14:paraId="5016B745">
            <w:pPr>
              <w:jc w:val="center"/>
              <w:rPr>
                <w:sz w:val="22"/>
                <w:szCs w:val="22"/>
              </w:rPr>
            </w:pPr>
            <w:r>
              <w:rPr>
                <w:sz w:val="22"/>
                <w:szCs w:val="22"/>
              </w:rPr>
              <w:t>1.520.000.000</w:t>
            </w:r>
          </w:p>
        </w:tc>
        <w:tc>
          <w:tcPr>
            <w:tcW w:w="1140" w:type="dxa"/>
            <w:noWrap/>
            <w:vAlign w:val="center"/>
          </w:tcPr>
          <w:p w14:paraId="1281BEA4">
            <w:pPr>
              <w:jc w:val="center"/>
              <w:rPr>
                <w:sz w:val="22"/>
                <w:szCs w:val="22"/>
              </w:rPr>
            </w:pPr>
            <w:r>
              <w:rPr>
                <w:sz w:val="22"/>
                <w:szCs w:val="22"/>
              </w:rPr>
              <w:t>1,06%</w:t>
            </w:r>
          </w:p>
        </w:tc>
      </w:tr>
      <w:tr w14:paraId="3BE4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46A36B3">
            <w:pPr>
              <w:jc w:val="center"/>
              <w:rPr>
                <w:sz w:val="22"/>
                <w:szCs w:val="22"/>
              </w:rPr>
            </w:pPr>
            <w:r>
              <w:rPr>
                <w:sz w:val="22"/>
                <w:szCs w:val="22"/>
              </w:rPr>
              <w:t>36</w:t>
            </w:r>
          </w:p>
        </w:tc>
        <w:tc>
          <w:tcPr>
            <w:tcW w:w="1752" w:type="dxa"/>
            <w:vMerge w:val="continue"/>
            <w:vAlign w:val="center"/>
          </w:tcPr>
          <w:p w14:paraId="49C129D3">
            <w:pPr>
              <w:jc w:val="center"/>
              <w:rPr>
                <w:sz w:val="22"/>
                <w:szCs w:val="22"/>
              </w:rPr>
            </w:pPr>
          </w:p>
        </w:tc>
        <w:tc>
          <w:tcPr>
            <w:tcW w:w="944" w:type="dxa"/>
            <w:vMerge w:val="continue"/>
            <w:vAlign w:val="center"/>
          </w:tcPr>
          <w:p w14:paraId="126E515B">
            <w:pPr>
              <w:jc w:val="center"/>
              <w:rPr>
                <w:sz w:val="22"/>
                <w:szCs w:val="22"/>
              </w:rPr>
            </w:pPr>
          </w:p>
        </w:tc>
        <w:tc>
          <w:tcPr>
            <w:tcW w:w="1116" w:type="dxa"/>
            <w:noWrap/>
            <w:vAlign w:val="center"/>
          </w:tcPr>
          <w:p w14:paraId="2D33D166">
            <w:pPr>
              <w:jc w:val="center"/>
              <w:rPr>
                <w:sz w:val="22"/>
                <w:szCs w:val="22"/>
              </w:rPr>
            </w:pPr>
            <w:r>
              <w:rPr>
                <w:sz w:val="22"/>
                <w:szCs w:val="22"/>
              </w:rPr>
              <w:t>LK12.31</w:t>
            </w:r>
          </w:p>
        </w:tc>
        <w:tc>
          <w:tcPr>
            <w:tcW w:w="1010" w:type="dxa"/>
            <w:noWrap/>
            <w:vAlign w:val="center"/>
          </w:tcPr>
          <w:p w14:paraId="37F4F884">
            <w:pPr>
              <w:jc w:val="center"/>
              <w:rPr>
                <w:sz w:val="22"/>
                <w:szCs w:val="22"/>
              </w:rPr>
            </w:pPr>
            <w:r>
              <w:rPr>
                <w:sz w:val="22"/>
                <w:szCs w:val="22"/>
              </w:rPr>
              <w:t>119,00</w:t>
            </w:r>
          </w:p>
        </w:tc>
        <w:tc>
          <w:tcPr>
            <w:tcW w:w="1591" w:type="dxa"/>
            <w:noWrap/>
            <w:vAlign w:val="center"/>
          </w:tcPr>
          <w:p w14:paraId="4BEEBE36">
            <w:pPr>
              <w:jc w:val="center"/>
              <w:rPr>
                <w:sz w:val="22"/>
                <w:szCs w:val="22"/>
              </w:rPr>
            </w:pPr>
            <w:r>
              <w:rPr>
                <w:sz w:val="22"/>
                <w:szCs w:val="22"/>
              </w:rPr>
              <w:t>1.428.000.000</w:t>
            </w:r>
          </w:p>
        </w:tc>
        <w:tc>
          <w:tcPr>
            <w:tcW w:w="1700" w:type="dxa"/>
            <w:noWrap/>
            <w:vAlign w:val="center"/>
          </w:tcPr>
          <w:p w14:paraId="21040ACA">
            <w:pPr>
              <w:jc w:val="center"/>
              <w:rPr>
                <w:sz w:val="22"/>
                <w:szCs w:val="22"/>
              </w:rPr>
            </w:pPr>
            <w:r>
              <w:rPr>
                <w:sz w:val="22"/>
                <w:szCs w:val="22"/>
              </w:rPr>
              <w:t>1.530.000.000</w:t>
            </w:r>
          </w:p>
        </w:tc>
        <w:tc>
          <w:tcPr>
            <w:tcW w:w="1140" w:type="dxa"/>
            <w:noWrap/>
            <w:vAlign w:val="center"/>
          </w:tcPr>
          <w:p w14:paraId="331EB3D0">
            <w:pPr>
              <w:jc w:val="center"/>
              <w:rPr>
                <w:sz w:val="22"/>
                <w:szCs w:val="22"/>
              </w:rPr>
            </w:pPr>
            <w:r>
              <w:rPr>
                <w:sz w:val="22"/>
                <w:szCs w:val="22"/>
              </w:rPr>
              <w:t>1,07%</w:t>
            </w:r>
          </w:p>
        </w:tc>
      </w:tr>
      <w:tr w14:paraId="1C33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8EC4D33">
            <w:pPr>
              <w:jc w:val="center"/>
              <w:rPr>
                <w:sz w:val="22"/>
                <w:szCs w:val="22"/>
              </w:rPr>
            </w:pPr>
            <w:r>
              <w:rPr>
                <w:sz w:val="22"/>
                <w:szCs w:val="22"/>
              </w:rPr>
              <w:t>37</w:t>
            </w:r>
          </w:p>
        </w:tc>
        <w:tc>
          <w:tcPr>
            <w:tcW w:w="1752" w:type="dxa"/>
            <w:vMerge w:val="continue"/>
            <w:vAlign w:val="center"/>
          </w:tcPr>
          <w:p w14:paraId="7C5A756A">
            <w:pPr>
              <w:jc w:val="center"/>
              <w:rPr>
                <w:sz w:val="22"/>
                <w:szCs w:val="22"/>
              </w:rPr>
            </w:pPr>
          </w:p>
        </w:tc>
        <w:tc>
          <w:tcPr>
            <w:tcW w:w="944" w:type="dxa"/>
            <w:vMerge w:val="continue"/>
            <w:vAlign w:val="center"/>
          </w:tcPr>
          <w:p w14:paraId="3557662F">
            <w:pPr>
              <w:jc w:val="center"/>
              <w:rPr>
                <w:sz w:val="22"/>
                <w:szCs w:val="22"/>
              </w:rPr>
            </w:pPr>
          </w:p>
        </w:tc>
        <w:tc>
          <w:tcPr>
            <w:tcW w:w="1116" w:type="dxa"/>
            <w:noWrap/>
            <w:vAlign w:val="center"/>
          </w:tcPr>
          <w:p w14:paraId="74F7EA85">
            <w:pPr>
              <w:jc w:val="center"/>
              <w:rPr>
                <w:sz w:val="22"/>
                <w:szCs w:val="22"/>
              </w:rPr>
            </w:pPr>
            <w:r>
              <w:rPr>
                <w:sz w:val="22"/>
                <w:szCs w:val="22"/>
              </w:rPr>
              <w:t>LK12.33</w:t>
            </w:r>
          </w:p>
        </w:tc>
        <w:tc>
          <w:tcPr>
            <w:tcW w:w="1010" w:type="dxa"/>
            <w:noWrap/>
            <w:vAlign w:val="center"/>
          </w:tcPr>
          <w:p w14:paraId="65ECDB2A">
            <w:pPr>
              <w:jc w:val="center"/>
              <w:rPr>
                <w:sz w:val="22"/>
                <w:szCs w:val="22"/>
              </w:rPr>
            </w:pPr>
            <w:r>
              <w:rPr>
                <w:sz w:val="22"/>
                <w:szCs w:val="22"/>
              </w:rPr>
              <w:t>119,00</w:t>
            </w:r>
          </w:p>
        </w:tc>
        <w:tc>
          <w:tcPr>
            <w:tcW w:w="1591" w:type="dxa"/>
            <w:noWrap/>
            <w:vAlign w:val="center"/>
          </w:tcPr>
          <w:p w14:paraId="4AA0B4FF">
            <w:pPr>
              <w:jc w:val="center"/>
              <w:rPr>
                <w:sz w:val="22"/>
                <w:szCs w:val="22"/>
              </w:rPr>
            </w:pPr>
            <w:r>
              <w:rPr>
                <w:sz w:val="22"/>
                <w:szCs w:val="22"/>
              </w:rPr>
              <w:t>1.428.000.000</w:t>
            </w:r>
          </w:p>
        </w:tc>
        <w:tc>
          <w:tcPr>
            <w:tcW w:w="1700" w:type="dxa"/>
            <w:noWrap/>
            <w:vAlign w:val="center"/>
          </w:tcPr>
          <w:p w14:paraId="124C7334">
            <w:pPr>
              <w:jc w:val="center"/>
              <w:rPr>
                <w:sz w:val="22"/>
                <w:szCs w:val="22"/>
              </w:rPr>
            </w:pPr>
            <w:r>
              <w:rPr>
                <w:sz w:val="22"/>
                <w:szCs w:val="22"/>
              </w:rPr>
              <w:t>1.493.000.000</w:t>
            </w:r>
          </w:p>
        </w:tc>
        <w:tc>
          <w:tcPr>
            <w:tcW w:w="1140" w:type="dxa"/>
            <w:noWrap/>
            <w:vAlign w:val="center"/>
          </w:tcPr>
          <w:p w14:paraId="19EC6031">
            <w:pPr>
              <w:jc w:val="center"/>
              <w:rPr>
                <w:sz w:val="22"/>
                <w:szCs w:val="22"/>
              </w:rPr>
            </w:pPr>
            <w:r>
              <w:rPr>
                <w:sz w:val="22"/>
                <w:szCs w:val="22"/>
              </w:rPr>
              <w:t>1,05%</w:t>
            </w:r>
          </w:p>
        </w:tc>
      </w:tr>
      <w:tr w14:paraId="6E2B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D277E89">
            <w:pPr>
              <w:jc w:val="center"/>
              <w:rPr>
                <w:sz w:val="22"/>
                <w:szCs w:val="22"/>
              </w:rPr>
            </w:pPr>
            <w:r>
              <w:rPr>
                <w:sz w:val="22"/>
                <w:szCs w:val="22"/>
              </w:rPr>
              <w:t>38</w:t>
            </w:r>
          </w:p>
        </w:tc>
        <w:tc>
          <w:tcPr>
            <w:tcW w:w="1752" w:type="dxa"/>
            <w:vMerge w:val="continue"/>
            <w:vAlign w:val="center"/>
          </w:tcPr>
          <w:p w14:paraId="1F2E2F07">
            <w:pPr>
              <w:jc w:val="center"/>
              <w:rPr>
                <w:sz w:val="22"/>
                <w:szCs w:val="22"/>
              </w:rPr>
            </w:pPr>
          </w:p>
        </w:tc>
        <w:tc>
          <w:tcPr>
            <w:tcW w:w="944" w:type="dxa"/>
            <w:vMerge w:val="continue"/>
            <w:vAlign w:val="center"/>
          </w:tcPr>
          <w:p w14:paraId="49CEF0B1">
            <w:pPr>
              <w:jc w:val="center"/>
              <w:rPr>
                <w:sz w:val="22"/>
                <w:szCs w:val="22"/>
              </w:rPr>
            </w:pPr>
          </w:p>
        </w:tc>
        <w:tc>
          <w:tcPr>
            <w:tcW w:w="1116" w:type="dxa"/>
            <w:noWrap/>
            <w:vAlign w:val="center"/>
          </w:tcPr>
          <w:p w14:paraId="22F48547">
            <w:pPr>
              <w:jc w:val="center"/>
              <w:rPr>
                <w:sz w:val="22"/>
                <w:szCs w:val="22"/>
              </w:rPr>
            </w:pPr>
            <w:r>
              <w:rPr>
                <w:sz w:val="22"/>
                <w:szCs w:val="22"/>
              </w:rPr>
              <w:t>LK12.35</w:t>
            </w:r>
          </w:p>
        </w:tc>
        <w:tc>
          <w:tcPr>
            <w:tcW w:w="1010" w:type="dxa"/>
            <w:noWrap/>
            <w:vAlign w:val="center"/>
          </w:tcPr>
          <w:p w14:paraId="19A9B981">
            <w:pPr>
              <w:jc w:val="center"/>
              <w:rPr>
                <w:sz w:val="22"/>
                <w:szCs w:val="22"/>
              </w:rPr>
            </w:pPr>
            <w:r>
              <w:rPr>
                <w:sz w:val="22"/>
                <w:szCs w:val="22"/>
              </w:rPr>
              <w:t>119,00</w:t>
            </w:r>
          </w:p>
        </w:tc>
        <w:tc>
          <w:tcPr>
            <w:tcW w:w="1591" w:type="dxa"/>
            <w:noWrap/>
            <w:vAlign w:val="center"/>
          </w:tcPr>
          <w:p w14:paraId="1F3E52FF">
            <w:pPr>
              <w:jc w:val="center"/>
              <w:rPr>
                <w:sz w:val="22"/>
                <w:szCs w:val="22"/>
              </w:rPr>
            </w:pPr>
            <w:r>
              <w:rPr>
                <w:sz w:val="22"/>
                <w:szCs w:val="22"/>
              </w:rPr>
              <w:t>1.428.000.000</w:t>
            </w:r>
          </w:p>
        </w:tc>
        <w:tc>
          <w:tcPr>
            <w:tcW w:w="1700" w:type="dxa"/>
            <w:noWrap/>
            <w:vAlign w:val="center"/>
          </w:tcPr>
          <w:p w14:paraId="3502BEE7">
            <w:pPr>
              <w:jc w:val="center"/>
              <w:rPr>
                <w:sz w:val="22"/>
                <w:szCs w:val="22"/>
              </w:rPr>
            </w:pPr>
            <w:r>
              <w:rPr>
                <w:sz w:val="22"/>
                <w:szCs w:val="22"/>
              </w:rPr>
              <w:t>1.509.000.000</w:t>
            </w:r>
          </w:p>
        </w:tc>
        <w:tc>
          <w:tcPr>
            <w:tcW w:w="1140" w:type="dxa"/>
            <w:noWrap/>
            <w:vAlign w:val="center"/>
          </w:tcPr>
          <w:p w14:paraId="45627B96">
            <w:pPr>
              <w:jc w:val="center"/>
              <w:rPr>
                <w:sz w:val="22"/>
                <w:szCs w:val="22"/>
              </w:rPr>
            </w:pPr>
            <w:r>
              <w:rPr>
                <w:sz w:val="22"/>
                <w:szCs w:val="22"/>
              </w:rPr>
              <w:t>1,06%</w:t>
            </w:r>
          </w:p>
        </w:tc>
      </w:tr>
      <w:tr w14:paraId="1C3B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C5855E">
            <w:pPr>
              <w:jc w:val="center"/>
              <w:rPr>
                <w:sz w:val="22"/>
                <w:szCs w:val="22"/>
              </w:rPr>
            </w:pPr>
            <w:r>
              <w:rPr>
                <w:sz w:val="22"/>
                <w:szCs w:val="22"/>
              </w:rPr>
              <w:t>39</w:t>
            </w:r>
          </w:p>
        </w:tc>
        <w:tc>
          <w:tcPr>
            <w:tcW w:w="1752" w:type="dxa"/>
            <w:vMerge w:val="continue"/>
            <w:vAlign w:val="center"/>
          </w:tcPr>
          <w:p w14:paraId="029A2A83">
            <w:pPr>
              <w:jc w:val="center"/>
              <w:rPr>
                <w:sz w:val="22"/>
                <w:szCs w:val="22"/>
              </w:rPr>
            </w:pPr>
          </w:p>
        </w:tc>
        <w:tc>
          <w:tcPr>
            <w:tcW w:w="944" w:type="dxa"/>
            <w:vMerge w:val="continue"/>
            <w:vAlign w:val="center"/>
          </w:tcPr>
          <w:p w14:paraId="6F5DA261">
            <w:pPr>
              <w:jc w:val="center"/>
              <w:rPr>
                <w:sz w:val="22"/>
                <w:szCs w:val="22"/>
              </w:rPr>
            </w:pPr>
          </w:p>
        </w:tc>
        <w:tc>
          <w:tcPr>
            <w:tcW w:w="1116" w:type="dxa"/>
            <w:noWrap/>
            <w:vAlign w:val="center"/>
          </w:tcPr>
          <w:p w14:paraId="762B4552">
            <w:pPr>
              <w:jc w:val="center"/>
              <w:rPr>
                <w:sz w:val="22"/>
                <w:szCs w:val="22"/>
              </w:rPr>
            </w:pPr>
            <w:r>
              <w:rPr>
                <w:sz w:val="22"/>
                <w:szCs w:val="22"/>
              </w:rPr>
              <w:t>LK12.36</w:t>
            </w:r>
          </w:p>
        </w:tc>
        <w:tc>
          <w:tcPr>
            <w:tcW w:w="1010" w:type="dxa"/>
            <w:noWrap/>
            <w:vAlign w:val="center"/>
          </w:tcPr>
          <w:p w14:paraId="750F42B6">
            <w:pPr>
              <w:jc w:val="center"/>
              <w:rPr>
                <w:sz w:val="22"/>
                <w:szCs w:val="22"/>
              </w:rPr>
            </w:pPr>
            <w:r>
              <w:rPr>
                <w:sz w:val="22"/>
                <w:szCs w:val="22"/>
              </w:rPr>
              <w:t>119,00</w:t>
            </w:r>
          </w:p>
        </w:tc>
        <w:tc>
          <w:tcPr>
            <w:tcW w:w="1591" w:type="dxa"/>
            <w:noWrap/>
            <w:vAlign w:val="center"/>
          </w:tcPr>
          <w:p w14:paraId="657F3DEB">
            <w:pPr>
              <w:jc w:val="center"/>
              <w:rPr>
                <w:sz w:val="22"/>
                <w:szCs w:val="22"/>
              </w:rPr>
            </w:pPr>
            <w:r>
              <w:rPr>
                <w:sz w:val="22"/>
                <w:szCs w:val="22"/>
              </w:rPr>
              <w:t>1.428.000.000</w:t>
            </w:r>
          </w:p>
        </w:tc>
        <w:tc>
          <w:tcPr>
            <w:tcW w:w="1700" w:type="dxa"/>
            <w:noWrap/>
            <w:vAlign w:val="center"/>
          </w:tcPr>
          <w:p w14:paraId="5D775FAC">
            <w:pPr>
              <w:jc w:val="center"/>
              <w:rPr>
                <w:sz w:val="22"/>
                <w:szCs w:val="22"/>
              </w:rPr>
            </w:pPr>
            <w:r>
              <w:rPr>
                <w:sz w:val="22"/>
                <w:szCs w:val="22"/>
              </w:rPr>
              <w:t>1.516.600.000</w:t>
            </w:r>
          </w:p>
        </w:tc>
        <w:tc>
          <w:tcPr>
            <w:tcW w:w="1140" w:type="dxa"/>
            <w:noWrap/>
            <w:vAlign w:val="center"/>
          </w:tcPr>
          <w:p w14:paraId="479E3AA0">
            <w:pPr>
              <w:jc w:val="center"/>
              <w:rPr>
                <w:sz w:val="22"/>
                <w:szCs w:val="22"/>
              </w:rPr>
            </w:pPr>
            <w:r>
              <w:rPr>
                <w:sz w:val="22"/>
                <w:szCs w:val="22"/>
              </w:rPr>
              <w:t>1,06%</w:t>
            </w:r>
          </w:p>
        </w:tc>
      </w:tr>
      <w:tr w14:paraId="45B0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28A340A">
            <w:pPr>
              <w:jc w:val="center"/>
              <w:rPr>
                <w:sz w:val="22"/>
                <w:szCs w:val="22"/>
              </w:rPr>
            </w:pPr>
            <w:r>
              <w:rPr>
                <w:sz w:val="22"/>
                <w:szCs w:val="22"/>
              </w:rPr>
              <w:t>40</w:t>
            </w:r>
          </w:p>
        </w:tc>
        <w:tc>
          <w:tcPr>
            <w:tcW w:w="1752" w:type="dxa"/>
            <w:vMerge w:val="continue"/>
            <w:vAlign w:val="center"/>
          </w:tcPr>
          <w:p w14:paraId="4AFB3348">
            <w:pPr>
              <w:jc w:val="center"/>
              <w:rPr>
                <w:sz w:val="22"/>
                <w:szCs w:val="22"/>
              </w:rPr>
            </w:pPr>
          </w:p>
        </w:tc>
        <w:tc>
          <w:tcPr>
            <w:tcW w:w="944" w:type="dxa"/>
            <w:vMerge w:val="continue"/>
            <w:vAlign w:val="center"/>
          </w:tcPr>
          <w:p w14:paraId="21EB2E38">
            <w:pPr>
              <w:jc w:val="center"/>
              <w:rPr>
                <w:sz w:val="22"/>
                <w:szCs w:val="22"/>
              </w:rPr>
            </w:pPr>
          </w:p>
        </w:tc>
        <w:tc>
          <w:tcPr>
            <w:tcW w:w="1116" w:type="dxa"/>
            <w:noWrap/>
            <w:vAlign w:val="center"/>
          </w:tcPr>
          <w:p w14:paraId="5658E4BF">
            <w:pPr>
              <w:jc w:val="center"/>
              <w:rPr>
                <w:sz w:val="22"/>
                <w:szCs w:val="22"/>
              </w:rPr>
            </w:pPr>
            <w:r>
              <w:rPr>
                <w:sz w:val="22"/>
                <w:szCs w:val="22"/>
              </w:rPr>
              <w:t>LK12.37</w:t>
            </w:r>
          </w:p>
        </w:tc>
        <w:tc>
          <w:tcPr>
            <w:tcW w:w="1010" w:type="dxa"/>
            <w:noWrap/>
            <w:vAlign w:val="center"/>
          </w:tcPr>
          <w:p w14:paraId="2B4C5B64">
            <w:pPr>
              <w:jc w:val="center"/>
              <w:rPr>
                <w:sz w:val="22"/>
                <w:szCs w:val="22"/>
              </w:rPr>
            </w:pPr>
            <w:r>
              <w:rPr>
                <w:sz w:val="22"/>
                <w:szCs w:val="22"/>
              </w:rPr>
              <w:t>119,00</w:t>
            </w:r>
          </w:p>
        </w:tc>
        <w:tc>
          <w:tcPr>
            <w:tcW w:w="1591" w:type="dxa"/>
            <w:noWrap/>
            <w:vAlign w:val="center"/>
          </w:tcPr>
          <w:p w14:paraId="2B5AC34D">
            <w:pPr>
              <w:jc w:val="center"/>
              <w:rPr>
                <w:sz w:val="22"/>
                <w:szCs w:val="22"/>
              </w:rPr>
            </w:pPr>
            <w:r>
              <w:rPr>
                <w:sz w:val="22"/>
                <w:szCs w:val="22"/>
              </w:rPr>
              <w:t>1.428.000.000</w:t>
            </w:r>
          </w:p>
        </w:tc>
        <w:tc>
          <w:tcPr>
            <w:tcW w:w="1700" w:type="dxa"/>
            <w:noWrap/>
            <w:vAlign w:val="center"/>
          </w:tcPr>
          <w:p w14:paraId="54032EBF">
            <w:pPr>
              <w:jc w:val="center"/>
              <w:rPr>
                <w:sz w:val="22"/>
                <w:szCs w:val="22"/>
              </w:rPr>
            </w:pPr>
            <w:r>
              <w:rPr>
                <w:sz w:val="22"/>
                <w:szCs w:val="22"/>
              </w:rPr>
              <w:t>1.519.600.000</w:t>
            </w:r>
          </w:p>
        </w:tc>
        <w:tc>
          <w:tcPr>
            <w:tcW w:w="1140" w:type="dxa"/>
            <w:noWrap/>
            <w:vAlign w:val="center"/>
          </w:tcPr>
          <w:p w14:paraId="1925440F">
            <w:pPr>
              <w:jc w:val="center"/>
              <w:rPr>
                <w:sz w:val="22"/>
                <w:szCs w:val="22"/>
              </w:rPr>
            </w:pPr>
            <w:r>
              <w:rPr>
                <w:sz w:val="22"/>
                <w:szCs w:val="22"/>
              </w:rPr>
              <w:t>1,06%</w:t>
            </w:r>
          </w:p>
        </w:tc>
      </w:tr>
      <w:tr w14:paraId="0AEA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A17105">
            <w:pPr>
              <w:jc w:val="center"/>
              <w:rPr>
                <w:sz w:val="22"/>
                <w:szCs w:val="22"/>
              </w:rPr>
            </w:pPr>
            <w:r>
              <w:rPr>
                <w:sz w:val="22"/>
                <w:szCs w:val="22"/>
              </w:rPr>
              <w:t>41</w:t>
            </w:r>
          </w:p>
        </w:tc>
        <w:tc>
          <w:tcPr>
            <w:tcW w:w="1752" w:type="dxa"/>
            <w:vMerge w:val="continue"/>
            <w:vAlign w:val="center"/>
          </w:tcPr>
          <w:p w14:paraId="1A79901B">
            <w:pPr>
              <w:jc w:val="center"/>
              <w:rPr>
                <w:sz w:val="22"/>
                <w:szCs w:val="22"/>
              </w:rPr>
            </w:pPr>
          </w:p>
        </w:tc>
        <w:tc>
          <w:tcPr>
            <w:tcW w:w="944" w:type="dxa"/>
            <w:vMerge w:val="continue"/>
            <w:vAlign w:val="center"/>
          </w:tcPr>
          <w:p w14:paraId="449A13A1">
            <w:pPr>
              <w:jc w:val="center"/>
              <w:rPr>
                <w:sz w:val="22"/>
                <w:szCs w:val="22"/>
              </w:rPr>
            </w:pPr>
          </w:p>
        </w:tc>
        <w:tc>
          <w:tcPr>
            <w:tcW w:w="1116" w:type="dxa"/>
            <w:noWrap/>
            <w:vAlign w:val="center"/>
          </w:tcPr>
          <w:p w14:paraId="65EFEDB0">
            <w:pPr>
              <w:jc w:val="center"/>
              <w:rPr>
                <w:sz w:val="22"/>
                <w:szCs w:val="22"/>
              </w:rPr>
            </w:pPr>
            <w:r>
              <w:rPr>
                <w:sz w:val="22"/>
                <w:szCs w:val="22"/>
              </w:rPr>
              <w:t>LK12.38</w:t>
            </w:r>
          </w:p>
        </w:tc>
        <w:tc>
          <w:tcPr>
            <w:tcW w:w="1010" w:type="dxa"/>
            <w:noWrap/>
            <w:vAlign w:val="center"/>
          </w:tcPr>
          <w:p w14:paraId="407E6FD9">
            <w:pPr>
              <w:jc w:val="center"/>
              <w:rPr>
                <w:sz w:val="22"/>
                <w:szCs w:val="22"/>
              </w:rPr>
            </w:pPr>
            <w:r>
              <w:rPr>
                <w:sz w:val="22"/>
                <w:szCs w:val="22"/>
              </w:rPr>
              <w:t>119,00</w:t>
            </w:r>
          </w:p>
        </w:tc>
        <w:tc>
          <w:tcPr>
            <w:tcW w:w="1591" w:type="dxa"/>
            <w:noWrap/>
            <w:vAlign w:val="center"/>
          </w:tcPr>
          <w:p w14:paraId="4D95BBC9">
            <w:pPr>
              <w:jc w:val="center"/>
              <w:rPr>
                <w:sz w:val="22"/>
                <w:szCs w:val="22"/>
              </w:rPr>
            </w:pPr>
            <w:r>
              <w:rPr>
                <w:sz w:val="22"/>
                <w:szCs w:val="22"/>
              </w:rPr>
              <w:t>1.428.000.000</w:t>
            </w:r>
          </w:p>
        </w:tc>
        <w:tc>
          <w:tcPr>
            <w:tcW w:w="1700" w:type="dxa"/>
            <w:noWrap/>
            <w:vAlign w:val="center"/>
          </w:tcPr>
          <w:p w14:paraId="0451F3B4">
            <w:pPr>
              <w:jc w:val="center"/>
              <w:rPr>
                <w:sz w:val="22"/>
                <w:szCs w:val="22"/>
              </w:rPr>
            </w:pPr>
            <w:r>
              <w:rPr>
                <w:sz w:val="22"/>
                <w:szCs w:val="22"/>
              </w:rPr>
              <w:t>1.515.000.000</w:t>
            </w:r>
          </w:p>
        </w:tc>
        <w:tc>
          <w:tcPr>
            <w:tcW w:w="1140" w:type="dxa"/>
            <w:noWrap/>
            <w:vAlign w:val="center"/>
          </w:tcPr>
          <w:p w14:paraId="56FEE029">
            <w:pPr>
              <w:jc w:val="center"/>
              <w:rPr>
                <w:sz w:val="22"/>
                <w:szCs w:val="22"/>
              </w:rPr>
            </w:pPr>
            <w:r>
              <w:rPr>
                <w:sz w:val="22"/>
                <w:szCs w:val="22"/>
              </w:rPr>
              <w:t>1,06%</w:t>
            </w:r>
          </w:p>
        </w:tc>
      </w:tr>
      <w:tr w14:paraId="3307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C5822EF">
            <w:pPr>
              <w:jc w:val="center"/>
              <w:rPr>
                <w:sz w:val="22"/>
                <w:szCs w:val="22"/>
              </w:rPr>
            </w:pPr>
            <w:r>
              <w:rPr>
                <w:sz w:val="22"/>
                <w:szCs w:val="22"/>
              </w:rPr>
              <w:t>42</w:t>
            </w:r>
          </w:p>
        </w:tc>
        <w:tc>
          <w:tcPr>
            <w:tcW w:w="1752" w:type="dxa"/>
            <w:vMerge w:val="continue"/>
            <w:vAlign w:val="center"/>
          </w:tcPr>
          <w:p w14:paraId="3C41099C">
            <w:pPr>
              <w:jc w:val="center"/>
              <w:rPr>
                <w:sz w:val="22"/>
                <w:szCs w:val="22"/>
              </w:rPr>
            </w:pPr>
          </w:p>
        </w:tc>
        <w:tc>
          <w:tcPr>
            <w:tcW w:w="944" w:type="dxa"/>
            <w:vMerge w:val="continue"/>
            <w:vAlign w:val="center"/>
          </w:tcPr>
          <w:p w14:paraId="261A76E5">
            <w:pPr>
              <w:jc w:val="center"/>
              <w:rPr>
                <w:sz w:val="22"/>
                <w:szCs w:val="22"/>
              </w:rPr>
            </w:pPr>
          </w:p>
        </w:tc>
        <w:tc>
          <w:tcPr>
            <w:tcW w:w="1116" w:type="dxa"/>
            <w:noWrap/>
            <w:vAlign w:val="center"/>
          </w:tcPr>
          <w:p w14:paraId="60500522">
            <w:pPr>
              <w:jc w:val="center"/>
              <w:rPr>
                <w:sz w:val="22"/>
                <w:szCs w:val="22"/>
              </w:rPr>
            </w:pPr>
            <w:r>
              <w:rPr>
                <w:sz w:val="22"/>
                <w:szCs w:val="22"/>
              </w:rPr>
              <w:t>LK12.39</w:t>
            </w:r>
          </w:p>
        </w:tc>
        <w:tc>
          <w:tcPr>
            <w:tcW w:w="1010" w:type="dxa"/>
            <w:noWrap/>
            <w:vAlign w:val="center"/>
          </w:tcPr>
          <w:p w14:paraId="78E1D04D">
            <w:pPr>
              <w:jc w:val="center"/>
              <w:rPr>
                <w:sz w:val="22"/>
                <w:szCs w:val="22"/>
              </w:rPr>
            </w:pPr>
            <w:r>
              <w:rPr>
                <w:sz w:val="22"/>
                <w:szCs w:val="22"/>
              </w:rPr>
              <w:t>119,00</w:t>
            </w:r>
          </w:p>
        </w:tc>
        <w:tc>
          <w:tcPr>
            <w:tcW w:w="1591" w:type="dxa"/>
            <w:noWrap/>
            <w:vAlign w:val="center"/>
          </w:tcPr>
          <w:p w14:paraId="0A0109D8">
            <w:pPr>
              <w:jc w:val="center"/>
              <w:rPr>
                <w:sz w:val="22"/>
                <w:szCs w:val="22"/>
              </w:rPr>
            </w:pPr>
            <w:r>
              <w:rPr>
                <w:sz w:val="22"/>
                <w:szCs w:val="22"/>
              </w:rPr>
              <w:t>1.428.000.000</w:t>
            </w:r>
          </w:p>
        </w:tc>
        <w:tc>
          <w:tcPr>
            <w:tcW w:w="1700" w:type="dxa"/>
            <w:noWrap/>
            <w:vAlign w:val="center"/>
          </w:tcPr>
          <w:p w14:paraId="64E35E49">
            <w:pPr>
              <w:jc w:val="center"/>
              <w:rPr>
                <w:sz w:val="22"/>
                <w:szCs w:val="22"/>
              </w:rPr>
            </w:pPr>
            <w:r>
              <w:rPr>
                <w:sz w:val="22"/>
                <w:szCs w:val="22"/>
              </w:rPr>
              <w:t>1.526.000.000</w:t>
            </w:r>
          </w:p>
        </w:tc>
        <w:tc>
          <w:tcPr>
            <w:tcW w:w="1140" w:type="dxa"/>
            <w:noWrap/>
            <w:vAlign w:val="center"/>
          </w:tcPr>
          <w:p w14:paraId="01A506EB">
            <w:pPr>
              <w:jc w:val="center"/>
              <w:rPr>
                <w:sz w:val="22"/>
                <w:szCs w:val="22"/>
              </w:rPr>
            </w:pPr>
            <w:r>
              <w:rPr>
                <w:sz w:val="22"/>
                <w:szCs w:val="22"/>
              </w:rPr>
              <w:t>1,07%</w:t>
            </w:r>
          </w:p>
        </w:tc>
      </w:tr>
      <w:tr w14:paraId="68DB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F37B233">
            <w:pPr>
              <w:jc w:val="center"/>
              <w:rPr>
                <w:sz w:val="22"/>
                <w:szCs w:val="22"/>
              </w:rPr>
            </w:pPr>
            <w:r>
              <w:rPr>
                <w:sz w:val="22"/>
                <w:szCs w:val="22"/>
              </w:rPr>
              <w:t>43</w:t>
            </w:r>
          </w:p>
        </w:tc>
        <w:tc>
          <w:tcPr>
            <w:tcW w:w="1752" w:type="dxa"/>
            <w:vMerge w:val="continue"/>
            <w:vAlign w:val="center"/>
          </w:tcPr>
          <w:p w14:paraId="06BC25EF">
            <w:pPr>
              <w:jc w:val="center"/>
              <w:rPr>
                <w:sz w:val="22"/>
                <w:szCs w:val="22"/>
              </w:rPr>
            </w:pPr>
          </w:p>
        </w:tc>
        <w:tc>
          <w:tcPr>
            <w:tcW w:w="944" w:type="dxa"/>
            <w:vMerge w:val="continue"/>
            <w:vAlign w:val="center"/>
          </w:tcPr>
          <w:p w14:paraId="7B080405">
            <w:pPr>
              <w:jc w:val="center"/>
              <w:rPr>
                <w:sz w:val="22"/>
                <w:szCs w:val="22"/>
              </w:rPr>
            </w:pPr>
          </w:p>
        </w:tc>
        <w:tc>
          <w:tcPr>
            <w:tcW w:w="1116" w:type="dxa"/>
            <w:noWrap/>
            <w:vAlign w:val="center"/>
          </w:tcPr>
          <w:p w14:paraId="7D8F333B">
            <w:pPr>
              <w:jc w:val="center"/>
              <w:rPr>
                <w:sz w:val="22"/>
                <w:szCs w:val="22"/>
              </w:rPr>
            </w:pPr>
            <w:r>
              <w:rPr>
                <w:sz w:val="22"/>
                <w:szCs w:val="22"/>
              </w:rPr>
              <w:t>LK12.40</w:t>
            </w:r>
          </w:p>
        </w:tc>
        <w:tc>
          <w:tcPr>
            <w:tcW w:w="1010" w:type="dxa"/>
            <w:noWrap/>
            <w:vAlign w:val="center"/>
          </w:tcPr>
          <w:p w14:paraId="79AD46F5">
            <w:pPr>
              <w:jc w:val="center"/>
              <w:rPr>
                <w:sz w:val="22"/>
                <w:szCs w:val="22"/>
              </w:rPr>
            </w:pPr>
            <w:r>
              <w:rPr>
                <w:sz w:val="22"/>
                <w:szCs w:val="22"/>
              </w:rPr>
              <w:t>192,75</w:t>
            </w:r>
          </w:p>
        </w:tc>
        <w:tc>
          <w:tcPr>
            <w:tcW w:w="1591" w:type="dxa"/>
            <w:noWrap/>
            <w:vAlign w:val="center"/>
          </w:tcPr>
          <w:p w14:paraId="07880DD5">
            <w:pPr>
              <w:jc w:val="center"/>
              <w:rPr>
                <w:sz w:val="22"/>
                <w:szCs w:val="22"/>
              </w:rPr>
            </w:pPr>
            <w:r>
              <w:rPr>
                <w:sz w:val="22"/>
                <w:szCs w:val="22"/>
              </w:rPr>
              <w:t>2.775.600.000</w:t>
            </w:r>
          </w:p>
        </w:tc>
        <w:tc>
          <w:tcPr>
            <w:tcW w:w="1700" w:type="dxa"/>
            <w:noWrap/>
            <w:vAlign w:val="center"/>
          </w:tcPr>
          <w:p w14:paraId="09875C5B">
            <w:pPr>
              <w:jc w:val="center"/>
              <w:rPr>
                <w:sz w:val="22"/>
                <w:szCs w:val="22"/>
              </w:rPr>
            </w:pPr>
            <w:r>
              <w:rPr>
                <w:sz w:val="22"/>
                <w:szCs w:val="22"/>
              </w:rPr>
              <w:t>2.785.000.000</w:t>
            </w:r>
          </w:p>
        </w:tc>
        <w:tc>
          <w:tcPr>
            <w:tcW w:w="1140" w:type="dxa"/>
            <w:noWrap/>
            <w:vAlign w:val="center"/>
          </w:tcPr>
          <w:p w14:paraId="28EEB679">
            <w:pPr>
              <w:jc w:val="center"/>
              <w:rPr>
                <w:sz w:val="22"/>
                <w:szCs w:val="22"/>
              </w:rPr>
            </w:pPr>
            <w:r>
              <w:rPr>
                <w:sz w:val="22"/>
                <w:szCs w:val="22"/>
              </w:rPr>
              <w:t>1,00%</w:t>
            </w:r>
          </w:p>
        </w:tc>
      </w:tr>
      <w:tr w14:paraId="008C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5D8D70B">
            <w:pPr>
              <w:jc w:val="center"/>
              <w:rPr>
                <w:sz w:val="22"/>
                <w:szCs w:val="22"/>
              </w:rPr>
            </w:pPr>
            <w:r>
              <w:rPr>
                <w:sz w:val="22"/>
                <w:szCs w:val="22"/>
              </w:rPr>
              <w:t>44</w:t>
            </w:r>
          </w:p>
        </w:tc>
        <w:tc>
          <w:tcPr>
            <w:tcW w:w="1752" w:type="dxa"/>
            <w:vMerge w:val="continue"/>
            <w:vAlign w:val="center"/>
          </w:tcPr>
          <w:p w14:paraId="5ABE9FA1">
            <w:pPr>
              <w:jc w:val="center"/>
              <w:rPr>
                <w:sz w:val="22"/>
                <w:szCs w:val="22"/>
              </w:rPr>
            </w:pPr>
          </w:p>
        </w:tc>
        <w:tc>
          <w:tcPr>
            <w:tcW w:w="944" w:type="dxa"/>
            <w:vMerge w:val="restart"/>
            <w:vAlign w:val="center"/>
          </w:tcPr>
          <w:p w14:paraId="5DFECD23">
            <w:pPr>
              <w:jc w:val="center"/>
              <w:rPr>
                <w:sz w:val="22"/>
                <w:szCs w:val="22"/>
              </w:rPr>
            </w:pPr>
            <w:r>
              <w:rPr>
                <w:sz w:val="22"/>
                <w:szCs w:val="22"/>
              </w:rPr>
              <w:t>LK13</w:t>
            </w:r>
          </w:p>
        </w:tc>
        <w:tc>
          <w:tcPr>
            <w:tcW w:w="1116" w:type="dxa"/>
            <w:noWrap/>
            <w:vAlign w:val="center"/>
          </w:tcPr>
          <w:p w14:paraId="131095E7">
            <w:pPr>
              <w:jc w:val="center"/>
              <w:rPr>
                <w:sz w:val="22"/>
                <w:szCs w:val="22"/>
              </w:rPr>
            </w:pPr>
            <w:r>
              <w:rPr>
                <w:sz w:val="22"/>
                <w:szCs w:val="22"/>
              </w:rPr>
              <w:t>LK13.22</w:t>
            </w:r>
          </w:p>
        </w:tc>
        <w:tc>
          <w:tcPr>
            <w:tcW w:w="1010" w:type="dxa"/>
            <w:noWrap/>
            <w:vAlign w:val="center"/>
          </w:tcPr>
          <w:p w14:paraId="7E537EC1">
            <w:pPr>
              <w:jc w:val="center"/>
              <w:rPr>
                <w:sz w:val="22"/>
                <w:szCs w:val="22"/>
              </w:rPr>
            </w:pPr>
            <w:r>
              <w:rPr>
                <w:sz w:val="22"/>
                <w:szCs w:val="22"/>
              </w:rPr>
              <w:t>126,00</w:t>
            </w:r>
          </w:p>
        </w:tc>
        <w:tc>
          <w:tcPr>
            <w:tcW w:w="1591" w:type="dxa"/>
            <w:noWrap/>
            <w:vAlign w:val="center"/>
          </w:tcPr>
          <w:p w14:paraId="6432A906">
            <w:pPr>
              <w:jc w:val="center"/>
              <w:rPr>
                <w:sz w:val="22"/>
                <w:szCs w:val="22"/>
              </w:rPr>
            </w:pPr>
            <w:r>
              <w:rPr>
                <w:sz w:val="22"/>
                <w:szCs w:val="22"/>
              </w:rPr>
              <w:t>1.575.000.000</w:t>
            </w:r>
          </w:p>
        </w:tc>
        <w:tc>
          <w:tcPr>
            <w:tcW w:w="1700" w:type="dxa"/>
            <w:noWrap/>
            <w:vAlign w:val="center"/>
          </w:tcPr>
          <w:p w14:paraId="068B2F36">
            <w:pPr>
              <w:jc w:val="center"/>
              <w:rPr>
                <w:sz w:val="22"/>
                <w:szCs w:val="22"/>
              </w:rPr>
            </w:pPr>
            <w:r>
              <w:rPr>
                <w:sz w:val="22"/>
                <w:szCs w:val="22"/>
              </w:rPr>
              <w:t>1.739.000.000</w:t>
            </w:r>
          </w:p>
        </w:tc>
        <w:tc>
          <w:tcPr>
            <w:tcW w:w="1140" w:type="dxa"/>
            <w:noWrap/>
            <w:vAlign w:val="center"/>
          </w:tcPr>
          <w:p w14:paraId="249EF0E7">
            <w:pPr>
              <w:jc w:val="center"/>
              <w:rPr>
                <w:sz w:val="22"/>
                <w:szCs w:val="22"/>
              </w:rPr>
            </w:pPr>
            <w:r>
              <w:rPr>
                <w:sz w:val="22"/>
                <w:szCs w:val="22"/>
              </w:rPr>
              <w:t>1,10%</w:t>
            </w:r>
          </w:p>
        </w:tc>
      </w:tr>
      <w:tr w14:paraId="0B0DD404">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2B7A7847">
            <w:pPr>
              <w:jc w:val="center"/>
              <w:rPr>
                <w:sz w:val="22"/>
                <w:szCs w:val="22"/>
              </w:rPr>
            </w:pPr>
            <w:r>
              <w:rPr>
                <w:sz w:val="22"/>
                <w:szCs w:val="22"/>
              </w:rPr>
              <w:t>45</w:t>
            </w:r>
          </w:p>
        </w:tc>
        <w:tc>
          <w:tcPr>
            <w:tcW w:w="1752" w:type="dxa"/>
            <w:vMerge w:val="continue"/>
            <w:vAlign w:val="center"/>
          </w:tcPr>
          <w:p w14:paraId="1464F4F8">
            <w:pPr>
              <w:jc w:val="center"/>
              <w:rPr>
                <w:sz w:val="22"/>
                <w:szCs w:val="22"/>
              </w:rPr>
            </w:pPr>
          </w:p>
        </w:tc>
        <w:tc>
          <w:tcPr>
            <w:tcW w:w="944" w:type="dxa"/>
            <w:vMerge w:val="continue"/>
            <w:vAlign w:val="center"/>
          </w:tcPr>
          <w:p w14:paraId="00167D6A">
            <w:pPr>
              <w:jc w:val="center"/>
              <w:rPr>
                <w:sz w:val="22"/>
                <w:szCs w:val="22"/>
              </w:rPr>
            </w:pPr>
          </w:p>
        </w:tc>
        <w:tc>
          <w:tcPr>
            <w:tcW w:w="1116" w:type="dxa"/>
            <w:noWrap/>
            <w:vAlign w:val="center"/>
          </w:tcPr>
          <w:p w14:paraId="79D606E3">
            <w:pPr>
              <w:jc w:val="center"/>
              <w:rPr>
                <w:sz w:val="22"/>
                <w:szCs w:val="22"/>
              </w:rPr>
            </w:pPr>
            <w:r>
              <w:rPr>
                <w:sz w:val="22"/>
                <w:szCs w:val="22"/>
              </w:rPr>
              <w:t>LK13.23</w:t>
            </w:r>
          </w:p>
        </w:tc>
        <w:tc>
          <w:tcPr>
            <w:tcW w:w="1010" w:type="dxa"/>
            <w:noWrap/>
            <w:vAlign w:val="center"/>
          </w:tcPr>
          <w:p w14:paraId="22D31D94">
            <w:pPr>
              <w:jc w:val="center"/>
              <w:rPr>
                <w:sz w:val="22"/>
                <w:szCs w:val="22"/>
              </w:rPr>
            </w:pPr>
            <w:r>
              <w:rPr>
                <w:sz w:val="22"/>
                <w:szCs w:val="22"/>
              </w:rPr>
              <w:t>126,00</w:t>
            </w:r>
          </w:p>
        </w:tc>
        <w:tc>
          <w:tcPr>
            <w:tcW w:w="1591" w:type="dxa"/>
            <w:noWrap/>
            <w:vAlign w:val="center"/>
          </w:tcPr>
          <w:p w14:paraId="18227DE0">
            <w:pPr>
              <w:jc w:val="center"/>
              <w:rPr>
                <w:sz w:val="22"/>
                <w:szCs w:val="22"/>
              </w:rPr>
            </w:pPr>
            <w:r>
              <w:rPr>
                <w:sz w:val="22"/>
                <w:szCs w:val="22"/>
              </w:rPr>
              <w:t>1.575.000.000</w:t>
            </w:r>
          </w:p>
        </w:tc>
        <w:tc>
          <w:tcPr>
            <w:tcW w:w="1700" w:type="dxa"/>
            <w:noWrap/>
            <w:vAlign w:val="center"/>
          </w:tcPr>
          <w:p w14:paraId="7E43BC4F">
            <w:pPr>
              <w:jc w:val="center"/>
              <w:rPr>
                <w:sz w:val="22"/>
                <w:szCs w:val="22"/>
              </w:rPr>
            </w:pPr>
            <w:r>
              <w:rPr>
                <w:sz w:val="22"/>
                <w:szCs w:val="22"/>
              </w:rPr>
              <w:t>1.752.000.000</w:t>
            </w:r>
          </w:p>
        </w:tc>
        <w:tc>
          <w:tcPr>
            <w:tcW w:w="1140" w:type="dxa"/>
            <w:noWrap/>
            <w:vAlign w:val="center"/>
          </w:tcPr>
          <w:p w14:paraId="079C1CE9">
            <w:pPr>
              <w:jc w:val="center"/>
              <w:rPr>
                <w:sz w:val="22"/>
                <w:szCs w:val="22"/>
              </w:rPr>
            </w:pPr>
            <w:r>
              <w:rPr>
                <w:sz w:val="22"/>
                <w:szCs w:val="22"/>
              </w:rPr>
              <w:t>1,11%</w:t>
            </w:r>
          </w:p>
        </w:tc>
      </w:tr>
      <w:tr w14:paraId="6EC6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C8B47DD">
            <w:pPr>
              <w:jc w:val="center"/>
              <w:rPr>
                <w:sz w:val="22"/>
                <w:szCs w:val="22"/>
              </w:rPr>
            </w:pPr>
            <w:r>
              <w:rPr>
                <w:sz w:val="22"/>
                <w:szCs w:val="22"/>
              </w:rPr>
              <w:t>46</w:t>
            </w:r>
          </w:p>
        </w:tc>
        <w:tc>
          <w:tcPr>
            <w:tcW w:w="1752" w:type="dxa"/>
            <w:vMerge w:val="continue"/>
            <w:vAlign w:val="center"/>
          </w:tcPr>
          <w:p w14:paraId="7650BBC7">
            <w:pPr>
              <w:jc w:val="center"/>
              <w:rPr>
                <w:sz w:val="22"/>
                <w:szCs w:val="22"/>
              </w:rPr>
            </w:pPr>
          </w:p>
        </w:tc>
        <w:tc>
          <w:tcPr>
            <w:tcW w:w="944" w:type="dxa"/>
            <w:vMerge w:val="continue"/>
            <w:vAlign w:val="center"/>
          </w:tcPr>
          <w:p w14:paraId="1240C0F9">
            <w:pPr>
              <w:jc w:val="center"/>
              <w:rPr>
                <w:sz w:val="22"/>
                <w:szCs w:val="22"/>
              </w:rPr>
            </w:pPr>
          </w:p>
        </w:tc>
        <w:tc>
          <w:tcPr>
            <w:tcW w:w="1116" w:type="dxa"/>
            <w:noWrap/>
            <w:vAlign w:val="center"/>
          </w:tcPr>
          <w:p w14:paraId="5937D7B6">
            <w:pPr>
              <w:jc w:val="center"/>
              <w:rPr>
                <w:sz w:val="22"/>
                <w:szCs w:val="22"/>
              </w:rPr>
            </w:pPr>
            <w:r>
              <w:rPr>
                <w:sz w:val="22"/>
                <w:szCs w:val="22"/>
              </w:rPr>
              <w:t>LK13.26</w:t>
            </w:r>
          </w:p>
        </w:tc>
        <w:tc>
          <w:tcPr>
            <w:tcW w:w="1010" w:type="dxa"/>
            <w:noWrap/>
            <w:vAlign w:val="center"/>
          </w:tcPr>
          <w:p w14:paraId="4E5B575A">
            <w:pPr>
              <w:jc w:val="center"/>
              <w:rPr>
                <w:sz w:val="22"/>
                <w:szCs w:val="22"/>
              </w:rPr>
            </w:pPr>
            <w:r>
              <w:rPr>
                <w:sz w:val="22"/>
                <w:szCs w:val="22"/>
              </w:rPr>
              <w:t>126,00</w:t>
            </w:r>
          </w:p>
        </w:tc>
        <w:tc>
          <w:tcPr>
            <w:tcW w:w="1591" w:type="dxa"/>
            <w:noWrap/>
            <w:vAlign w:val="center"/>
          </w:tcPr>
          <w:p w14:paraId="213309AA">
            <w:pPr>
              <w:jc w:val="center"/>
              <w:rPr>
                <w:sz w:val="22"/>
                <w:szCs w:val="22"/>
              </w:rPr>
            </w:pPr>
            <w:r>
              <w:rPr>
                <w:sz w:val="22"/>
                <w:szCs w:val="22"/>
              </w:rPr>
              <w:t>1.575.000.000</w:t>
            </w:r>
          </w:p>
        </w:tc>
        <w:tc>
          <w:tcPr>
            <w:tcW w:w="1700" w:type="dxa"/>
            <w:noWrap/>
            <w:vAlign w:val="center"/>
          </w:tcPr>
          <w:p w14:paraId="3E067CCD">
            <w:pPr>
              <w:jc w:val="center"/>
              <w:rPr>
                <w:sz w:val="22"/>
                <w:szCs w:val="22"/>
              </w:rPr>
            </w:pPr>
            <w:r>
              <w:rPr>
                <w:sz w:val="22"/>
                <w:szCs w:val="22"/>
              </w:rPr>
              <w:t>1.756.000.000</w:t>
            </w:r>
          </w:p>
        </w:tc>
        <w:tc>
          <w:tcPr>
            <w:tcW w:w="1140" w:type="dxa"/>
            <w:noWrap/>
            <w:vAlign w:val="center"/>
          </w:tcPr>
          <w:p w14:paraId="19EE873D">
            <w:pPr>
              <w:jc w:val="center"/>
              <w:rPr>
                <w:sz w:val="22"/>
                <w:szCs w:val="22"/>
              </w:rPr>
            </w:pPr>
            <w:r>
              <w:rPr>
                <w:sz w:val="22"/>
                <w:szCs w:val="22"/>
              </w:rPr>
              <w:t>1,11%</w:t>
            </w:r>
          </w:p>
        </w:tc>
      </w:tr>
      <w:tr w14:paraId="5403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E08835C">
            <w:pPr>
              <w:jc w:val="center"/>
              <w:rPr>
                <w:sz w:val="22"/>
                <w:szCs w:val="22"/>
              </w:rPr>
            </w:pPr>
            <w:r>
              <w:rPr>
                <w:sz w:val="22"/>
                <w:szCs w:val="22"/>
              </w:rPr>
              <w:t>47</w:t>
            </w:r>
          </w:p>
        </w:tc>
        <w:tc>
          <w:tcPr>
            <w:tcW w:w="1752" w:type="dxa"/>
            <w:vMerge w:val="continue"/>
            <w:vAlign w:val="center"/>
          </w:tcPr>
          <w:p w14:paraId="07A454CA">
            <w:pPr>
              <w:jc w:val="center"/>
              <w:rPr>
                <w:sz w:val="22"/>
                <w:szCs w:val="22"/>
              </w:rPr>
            </w:pPr>
          </w:p>
        </w:tc>
        <w:tc>
          <w:tcPr>
            <w:tcW w:w="944" w:type="dxa"/>
            <w:vMerge w:val="continue"/>
            <w:vAlign w:val="center"/>
          </w:tcPr>
          <w:p w14:paraId="4655803B">
            <w:pPr>
              <w:jc w:val="center"/>
              <w:rPr>
                <w:sz w:val="22"/>
                <w:szCs w:val="22"/>
              </w:rPr>
            </w:pPr>
          </w:p>
        </w:tc>
        <w:tc>
          <w:tcPr>
            <w:tcW w:w="1116" w:type="dxa"/>
            <w:noWrap/>
            <w:vAlign w:val="center"/>
          </w:tcPr>
          <w:p w14:paraId="59252FC6">
            <w:pPr>
              <w:jc w:val="center"/>
              <w:rPr>
                <w:sz w:val="22"/>
                <w:szCs w:val="22"/>
              </w:rPr>
            </w:pPr>
            <w:r>
              <w:rPr>
                <w:sz w:val="22"/>
                <w:szCs w:val="22"/>
              </w:rPr>
              <w:t>LK13.27</w:t>
            </w:r>
          </w:p>
        </w:tc>
        <w:tc>
          <w:tcPr>
            <w:tcW w:w="1010" w:type="dxa"/>
            <w:noWrap/>
            <w:vAlign w:val="center"/>
          </w:tcPr>
          <w:p w14:paraId="02A69EB1">
            <w:pPr>
              <w:jc w:val="center"/>
              <w:rPr>
                <w:sz w:val="22"/>
                <w:szCs w:val="22"/>
              </w:rPr>
            </w:pPr>
            <w:r>
              <w:rPr>
                <w:sz w:val="22"/>
                <w:szCs w:val="22"/>
              </w:rPr>
              <w:t>126,00</w:t>
            </w:r>
          </w:p>
        </w:tc>
        <w:tc>
          <w:tcPr>
            <w:tcW w:w="1591" w:type="dxa"/>
            <w:noWrap/>
            <w:vAlign w:val="center"/>
          </w:tcPr>
          <w:p w14:paraId="4D22A505">
            <w:pPr>
              <w:jc w:val="center"/>
              <w:rPr>
                <w:sz w:val="22"/>
                <w:szCs w:val="22"/>
              </w:rPr>
            </w:pPr>
            <w:r>
              <w:rPr>
                <w:sz w:val="22"/>
                <w:szCs w:val="22"/>
              </w:rPr>
              <w:t>1.575.000.000</w:t>
            </w:r>
          </w:p>
        </w:tc>
        <w:tc>
          <w:tcPr>
            <w:tcW w:w="1700" w:type="dxa"/>
            <w:noWrap/>
            <w:vAlign w:val="center"/>
          </w:tcPr>
          <w:p w14:paraId="45219DEA">
            <w:pPr>
              <w:jc w:val="center"/>
              <w:rPr>
                <w:sz w:val="22"/>
                <w:szCs w:val="22"/>
              </w:rPr>
            </w:pPr>
            <w:r>
              <w:rPr>
                <w:sz w:val="22"/>
                <w:szCs w:val="22"/>
              </w:rPr>
              <w:t>1.776.000.000</w:t>
            </w:r>
          </w:p>
        </w:tc>
        <w:tc>
          <w:tcPr>
            <w:tcW w:w="1140" w:type="dxa"/>
            <w:noWrap/>
            <w:vAlign w:val="center"/>
          </w:tcPr>
          <w:p w14:paraId="35B3F678">
            <w:pPr>
              <w:jc w:val="center"/>
              <w:rPr>
                <w:sz w:val="22"/>
                <w:szCs w:val="22"/>
              </w:rPr>
            </w:pPr>
            <w:r>
              <w:rPr>
                <w:sz w:val="22"/>
                <w:szCs w:val="22"/>
              </w:rPr>
              <w:t>1,13%</w:t>
            </w:r>
          </w:p>
        </w:tc>
      </w:tr>
      <w:tr w14:paraId="77C6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AADB16E">
            <w:pPr>
              <w:jc w:val="center"/>
              <w:rPr>
                <w:sz w:val="22"/>
                <w:szCs w:val="22"/>
              </w:rPr>
            </w:pPr>
            <w:r>
              <w:rPr>
                <w:sz w:val="22"/>
                <w:szCs w:val="22"/>
              </w:rPr>
              <w:t>48</w:t>
            </w:r>
          </w:p>
        </w:tc>
        <w:tc>
          <w:tcPr>
            <w:tcW w:w="1752" w:type="dxa"/>
            <w:vMerge w:val="continue"/>
            <w:vAlign w:val="center"/>
          </w:tcPr>
          <w:p w14:paraId="147C7DF0">
            <w:pPr>
              <w:jc w:val="center"/>
              <w:rPr>
                <w:sz w:val="22"/>
                <w:szCs w:val="22"/>
              </w:rPr>
            </w:pPr>
          </w:p>
        </w:tc>
        <w:tc>
          <w:tcPr>
            <w:tcW w:w="944" w:type="dxa"/>
            <w:vMerge w:val="continue"/>
            <w:vAlign w:val="center"/>
          </w:tcPr>
          <w:p w14:paraId="06F823C7">
            <w:pPr>
              <w:jc w:val="center"/>
              <w:rPr>
                <w:sz w:val="22"/>
                <w:szCs w:val="22"/>
              </w:rPr>
            </w:pPr>
          </w:p>
        </w:tc>
        <w:tc>
          <w:tcPr>
            <w:tcW w:w="1116" w:type="dxa"/>
            <w:noWrap/>
            <w:vAlign w:val="center"/>
          </w:tcPr>
          <w:p w14:paraId="7881369F">
            <w:pPr>
              <w:jc w:val="center"/>
              <w:rPr>
                <w:sz w:val="22"/>
                <w:szCs w:val="22"/>
              </w:rPr>
            </w:pPr>
            <w:r>
              <w:rPr>
                <w:sz w:val="22"/>
                <w:szCs w:val="22"/>
              </w:rPr>
              <w:t>LK13.29</w:t>
            </w:r>
          </w:p>
        </w:tc>
        <w:tc>
          <w:tcPr>
            <w:tcW w:w="1010" w:type="dxa"/>
            <w:noWrap/>
            <w:vAlign w:val="center"/>
          </w:tcPr>
          <w:p w14:paraId="10196DD9">
            <w:pPr>
              <w:jc w:val="center"/>
              <w:rPr>
                <w:sz w:val="22"/>
                <w:szCs w:val="22"/>
              </w:rPr>
            </w:pPr>
            <w:r>
              <w:rPr>
                <w:sz w:val="22"/>
                <w:szCs w:val="22"/>
              </w:rPr>
              <w:t>126,00</w:t>
            </w:r>
          </w:p>
        </w:tc>
        <w:tc>
          <w:tcPr>
            <w:tcW w:w="1591" w:type="dxa"/>
            <w:noWrap/>
            <w:vAlign w:val="center"/>
          </w:tcPr>
          <w:p w14:paraId="3A97C984">
            <w:pPr>
              <w:jc w:val="center"/>
              <w:rPr>
                <w:sz w:val="22"/>
                <w:szCs w:val="22"/>
              </w:rPr>
            </w:pPr>
            <w:r>
              <w:rPr>
                <w:sz w:val="22"/>
                <w:szCs w:val="22"/>
              </w:rPr>
              <w:t>1.575.000.000</w:t>
            </w:r>
          </w:p>
        </w:tc>
        <w:tc>
          <w:tcPr>
            <w:tcW w:w="1700" w:type="dxa"/>
            <w:noWrap/>
            <w:vAlign w:val="center"/>
          </w:tcPr>
          <w:p w14:paraId="6C1AA2D2">
            <w:pPr>
              <w:jc w:val="center"/>
              <w:rPr>
                <w:sz w:val="22"/>
                <w:szCs w:val="22"/>
              </w:rPr>
            </w:pPr>
            <w:r>
              <w:rPr>
                <w:sz w:val="22"/>
                <w:szCs w:val="22"/>
              </w:rPr>
              <w:t>1.779.000.000</w:t>
            </w:r>
          </w:p>
        </w:tc>
        <w:tc>
          <w:tcPr>
            <w:tcW w:w="1140" w:type="dxa"/>
            <w:noWrap/>
            <w:vAlign w:val="center"/>
          </w:tcPr>
          <w:p w14:paraId="54E53245">
            <w:pPr>
              <w:jc w:val="center"/>
              <w:rPr>
                <w:sz w:val="22"/>
                <w:szCs w:val="22"/>
              </w:rPr>
            </w:pPr>
            <w:r>
              <w:rPr>
                <w:sz w:val="22"/>
                <w:szCs w:val="22"/>
              </w:rPr>
              <w:t>1,13%</w:t>
            </w:r>
          </w:p>
        </w:tc>
      </w:tr>
      <w:tr w14:paraId="4584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4469" w:type="dxa"/>
            <w:gridSpan w:val="4"/>
            <w:vAlign w:val="center"/>
          </w:tcPr>
          <w:p w14:paraId="13885AB1">
            <w:pPr>
              <w:jc w:val="center"/>
              <w:rPr>
                <w:b/>
                <w:bCs/>
                <w:sz w:val="22"/>
                <w:szCs w:val="22"/>
              </w:rPr>
            </w:pPr>
            <w:r>
              <w:rPr>
                <w:b/>
                <w:bCs/>
                <w:sz w:val="22"/>
                <w:szCs w:val="22"/>
              </w:rPr>
              <w:t>CUỘC ĐẤU GIÁ 48 LÔ ĐẤT XÃ XƯƠNG LÂM, MỸ THÁI VÀ THỊ TRẤN VÔI ĐẤU NGÀY 21/8/2024</w:t>
            </w:r>
          </w:p>
        </w:tc>
        <w:tc>
          <w:tcPr>
            <w:tcW w:w="1010" w:type="dxa"/>
            <w:noWrap/>
            <w:vAlign w:val="center"/>
          </w:tcPr>
          <w:p w14:paraId="710BFAC2">
            <w:pPr>
              <w:jc w:val="center"/>
              <w:rPr>
                <w:b/>
                <w:bCs/>
                <w:sz w:val="22"/>
                <w:szCs w:val="22"/>
              </w:rPr>
            </w:pPr>
            <w:r>
              <w:rPr>
                <w:b/>
                <w:bCs/>
                <w:sz w:val="22"/>
                <w:szCs w:val="22"/>
              </w:rPr>
              <w:t>5.762,8</w:t>
            </w:r>
          </w:p>
        </w:tc>
        <w:tc>
          <w:tcPr>
            <w:tcW w:w="1591" w:type="dxa"/>
            <w:noWrap/>
            <w:vAlign w:val="center"/>
          </w:tcPr>
          <w:p w14:paraId="739FE919">
            <w:pPr>
              <w:jc w:val="center"/>
              <w:rPr>
                <w:b/>
                <w:bCs/>
                <w:sz w:val="22"/>
                <w:szCs w:val="22"/>
              </w:rPr>
            </w:pPr>
            <w:r>
              <w:rPr>
                <w:b/>
                <w:bCs/>
                <w:sz w:val="22"/>
                <w:szCs w:val="22"/>
              </w:rPr>
              <w:t>57.082.780.000</w:t>
            </w:r>
          </w:p>
        </w:tc>
        <w:tc>
          <w:tcPr>
            <w:tcW w:w="1700" w:type="dxa"/>
            <w:noWrap/>
            <w:vAlign w:val="center"/>
          </w:tcPr>
          <w:p w14:paraId="58BE5167">
            <w:pPr>
              <w:jc w:val="center"/>
              <w:rPr>
                <w:b/>
                <w:bCs/>
                <w:sz w:val="22"/>
                <w:szCs w:val="22"/>
              </w:rPr>
            </w:pPr>
            <w:r>
              <w:rPr>
                <w:b/>
                <w:bCs/>
                <w:sz w:val="22"/>
                <w:szCs w:val="22"/>
              </w:rPr>
              <w:t>66.318.400.000</w:t>
            </w:r>
          </w:p>
        </w:tc>
        <w:tc>
          <w:tcPr>
            <w:tcW w:w="1140" w:type="dxa"/>
            <w:noWrap/>
            <w:vAlign w:val="center"/>
          </w:tcPr>
          <w:p w14:paraId="1845B6DC">
            <w:pPr>
              <w:jc w:val="center"/>
              <w:rPr>
                <w:b/>
                <w:bCs/>
                <w:sz w:val="22"/>
                <w:szCs w:val="22"/>
              </w:rPr>
            </w:pPr>
          </w:p>
        </w:tc>
      </w:tr>
      <w:tr w14:paraId="1F52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vAlign w:val="center"/>
          </w:tcPr>
          <w:p w14:paraId="1390AFD3">
            <w:pPr>
              <w:jc w:val="center"/>
              <w:rPr>
                <w:sz w:val="22"/>
                <w:szCs w:val="22"/>
              </w:rPr>
            </w:pPr>
            <w:r>
              <w:rPr>
                <w:sz w:val="22"/>
                <w:szCs w:val="22"/>
              </w:rPr>
              <w:t>A</w:t>
            </w:r>
          </w:p>
        </w:tc>
        <w:tc>
          <w:tcPr>
            <w:tcW w:w="1752" w:type="dxa"/>
            <w:vMerge w:val="restart"/>
            <w:vAlign w:val="center"/>
          </w:tcPr>
          <w:p w14:paraId="30B5DC83">
            <w:pPr>
              <w:jc w:val="center"/>
              <w:rPr>
                <w:sz w:val="22"/>
                <w:szCs w:val="22"/>
              </w:rPr>
            </w:pPr>
            <w:r>
              <w:rPr>
                <w:sz w:val="22"/>
                <w:szCs w:val="22"/>
              </w:rPr>
              <w:t>KHU DÂN CƯ TRUNG TÂM XÃ XƯƠNG LÂM</w:t>
            </w:r>
          </w:p>
        </w:tc>
        <w:tc>
          <w:tcPr>
            <w:tcW w:w="944" w:type="dxa"/>
            <w:vAlign w:val="center"/>
          </w:tcPr>
          <w:p w14:paraId="4BD96388">
            <w:pPr>
              <w:jc w:val="center"/>
              <w:rPr>
                <w:sz w:val="22"/>
                <w:szCs w:val="22"/>
              </w:rPr>
            </w:pPr>
          </w:p>
        </w:tc>
        <w:tc>
          <w:tcPr>
            <w:tcW w:w="1116" w:type="dxa"/>
            <w:noWrap/>
            <w:vAlign w:val="center"/>
          </w:tcPr>
          <w:p w14:paraId="6DCC3F5B">
            <w:pPr>
              <w:jc w:val="center"/>
              <w:rPr>
                <w:sz w:val="22"/>
                <w:szCs w:val="22"/>
              </w:rPr>
            </w:pPr>
          </w:p>
        </w:tc>
        <w:tc>
          <w:tcPr>
            <w:tcW w:w="1010" w:type="dxa"/>
            <w:noWrap/>
            <w:vAlign w:val="center"/>
          </w:tcPr>
          <w:p w14:paraId="4FA775ED">
            <w:pPr>
              <w:jc w:val="center"/>
              <w:rPr>
                <w:sz w:val="22"/>
                <w:szCs w:val="22"/>
              </w:rPr>
            </w:pPr>
          </w:p>
        </w:tc>
        <w:tc>
          <w:tcPr>
            <w:tcW w:w="1591" w:type="dxa"/>
            <w:noWrap/>
            <w:vAlign w:val="center"/>
          </w:tcPr>
          <w:p w14:paraId="6663E647">
            <w:pPr>
              <w:jc w:val="center"/>
              <w:rPr>
                <w:sz w:val="22"/>
                <w:szCs w:val="22"/>
              </w:rPr>
            </w:pPr>
          </w:p>
        </w:tc>
        <w:tc>
          <w:tcPr>
            <w:tcW w:w="1700" w:type="dxa"/>
            <w:noWrap/>
            <w:vAlign w:val="center"/>
          </w:tcPr>
          <w:p w14:paraId="21862230">
            <w:pPr>
              <w:jc w:val="center"/>
              <w:rPr>
                <w:sz w:val="22"/>
                <w:szCs w:val="22"/>
              </w:rPr>
            </w:pPr>
          </w:p>
        </w:tc>
        <w:tc>
          <w:tcPr>
            <w:tcW w:w="1140" w:type="dxa"/>
            <w:noWrap/>
            <w:vAlign w:val="center"/>
          </w:tcPr>
          <w:p w14:paraId="31DA5099">
            <w:pPr>
              <w:jc w:val="center"/>
              <w:rPr>
                <w:sz w:val="22"/>
                <w:szCs w:val="22"/>
              </w:rPr>
            </w:pPr>
          </w:p>
        </w:tc>
      </w:tr>
      <w:tr w14:paraId="240A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62252CC">
            <w:pPr>
              <w:jc w:val="center"/>
              <w:rPr>
                <w:sz w:val="22"/>
                <w:szCs w:val="22"/>
              </w:rPr>
            </w:pPr>
            <w:r>
              <w:rPr>
                <w:sz w:val="22"/>
                <w:szCs w:val="22"/>
              </w:rPr>
              <w:t>1</w:t>
            </w:r>
          </w:p>
        </w:tc>
        <w:tc>
          <w:tcPr>
            <w:tcW w:w="1752" w:type="dxa"/>
            <w:vMerge w:val="continue"/>
            <w:vAlign w:val="center"/>
          </w:tcPr>
          <w:p w14:paraId="2DCF3606">
            <w:pPr>
              <w:jc w:val="center"/>
              <w:rPr>
                <w:sz w:val="22"/>
                <w:szCs w:val="22"/>
              </w:rPr>
            </w:pPr>
          </w:p>
        </w:tc>
        <w:tc>
          <w:tcPr>
            <w:tcW w:w="944" w:type="dxa"/>
            <w:noWrap/>
            <w:vAlign w:val="center"/>
          </w:tcPr>
          <w:p w14:paraId="01585CD3">
            <w:pPr>
              <w:jc w:val="center"/>
              <w:rPr>
                <w:sz w:val="22"/>
                <w:szCs w:val="22"/>
              </w:rPr>
            </w:pPr>
          </w:p>
        </w:tc>
        <w:tc>
          <w:tcPr>
            <w:tcW w:w="1116" w:type="dxa"/>
            <w:vAlign w:val="center"/>
          </w:tcPr>
          <w:p w14:paraId="35EDB98F">
            <w:pPr>
              <w:jc w:val="center"/>
              <w:rPr>
                <w:sz w:val="22"/>
                <w:szCs w:val="22"/>
              </w:rPr>
            </w:pPr>
            <w:r>
              <w:rPr>
                <w:sz w:val="22"/>
                <w:szCs w:val="22"/>
              </w:rPr>
              <w:t>LK08.7</w:t>
            </w:r>
          </w:p>
        </w:tc>
        <w:tc>
          <w:tcPr>
            <w:tcW w:w="1010" w:type="dxa"/>
            <w:vAlign w:val="center"/>
          </w:tcPr>
          <w:p w14:paraId="7BF4718C">
            <w:pPr>
              <w:jc w:val="center"/>
              <w:rPr>
                <w:sz w:val="22"/>
                <w:szCs w:val="22"/>
              </w:rPr>
            </w:pPr>
            <w:r>
              <w:rPr>
                <w:sz w:val="22"/>
                <w:szCs w:val="22"/>
              </w:rPr>
              <w:t>90,0</w:t>
            </w:r>
          </w:p>
        </w:tc>
        <w:tc>
          <w:tcPr>
            <w:tcW w:w="1591" w:type="dxa"/>
            <w:vAlign w:val="center"/>
          </w:tcPr>
          <w:p w14:paraId="6BB501EA">
            <w:pPr>
              <w:jc w:val="center"/>
              <w:rPr>
                <w:sz w:val="22"/>
                <w:szCs w:val="22"/>
              </w:rPr>
            </w:pPr>
            <w:r>
              <w:rPr>
                <w:sz w:val="22"/>
                <w:szCs w:val="22"/>
              </w:rPr>
              <w:t>990.000.000</w:t>
            </w:r>
          </w:p>
        </w:tc>
        <w:tc>
          <w:tcPr>
            <w:tcW w:w="1700" w:type="dxa"/>
            <w:vAlign w:val="center"/>
          </w:tcPr>
          <w:p w14:paraId="1A176A2B">
            <w:pPr>
              <w:jc w:val="center"/>
              <w:rPr>
                <w:sz w:val="22"/>
                <w:szCs w:val="22"/>
              </w:rPr>
            </w:pPr>
            <w:r>
              <w:rPr>
                <w:sz w:val="22"/>
                <w:szCs w:val="22"/>
              </w:rPr>
              <w:t>1.409.000.000</w:t>
            </w:r>
          </w:p>
        </w:tc>
        <w:tc>
          <w:tcPr>
            <w:tcW w:w="1140" w:type="dxa"/>
            <w:noWrap/>
            <w:vAlign w:val="center"/>
          </w:tcPr>
          <w:p w14:paraId="0F50A65A">
            <w:pPr>
              <w:jc w:val="center"/>
              <w:rPr>
                <w:sz w:val="22"/>
                <w:szCs w:val="22"/>
              </w:rPr>
            </w:pPr>
            <w:r>
              <w:rPr>
                <w:sz w:val="22"/>
                <w:szCs w:val="22"/>
              </w:rPr>
              <w:t>1,42%</w:t>
            </w:r>
          </w:p>
        </w:tc>
      </w:tr>
      <w:tr w14:paraId="412B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16C1199">
            <w:pPr>
              <w:jc w:val="center"/>
              <w:rPr>
                <w:sz w:val="22"/>
                <w:szCs w:val="22"/>
              </w:rPr>
            </w:pPr>
            <w:r>
              <w:rPr>
                <w:sz w:val="22"/>
                <w:szCs w:val="22"/>
              </w:rPr>
              <w:t>2</w:t>
            </w:r>
          </w:p>
        </w:tc>
        <w:tc>
          <w:tcPr>
            <w:tcW w:w="1752" w:type="dxa"/>
            <w:vMerge w:val="continue"/>
            <w:vAlign w:val="center"/>
          </w:tcPr>
          <w:p w14:paraId="69EBE50F">
            <w:pPr>
              <w:jc w:val="center"/>
              <w:rPr>
                <w:sz w:val="22"/>
                <w:szCs w:val="22"/>
              </w:rPr>
            </w:pPr>
          </w:p>
        </w:tc>
        <w:tc>
          <w:tcPr>
            <w:tcW w:w="944" w:type="dxa"/>
            <w:vAlign w:val="center"/>
          </w:tcPr>
          <w:p w14:paraId="19BF5F6C">
            <w:pPr>
              <w:jc w:val="center"/>
              <w:rPr>
                <w:sz w:val="22"/>
                <w:szCs w:val="22"/>
              </w:rPr>
            </w:pPr>
          </w:p>
        </w:tc>
        <w:tc>
          <w:tcPr>
            <w:tcW w:w="1116" w:type="dxa"/>
            <w:vAlign w:val="center"/>
          </w:tcPr>
          <w:p w14:paraId="5DBC6615">
            <w:pPr>
              <w:jc w:val="center"/>
              <w:rPr>
                <w:sz w:val="22"/>
                <w:szCs w:val="22"/>
              </w:rPr>
            </w:pPr>
            <w:r>
              <w:rPr>
                <w:sz w:val="22"/>
                <w:szCs w:val="22"/>
              </w:rPr>
              <w:t>LK08.11</w:t>
            </w:r>
          </w:p>
        </w:tc>
        <w:tc>
          <w:tcPr>
            <w:tcW w:w="1010" w:type="dxa"/>
            <w:vAlign w:val="center"/>
          </w:tcPr>
          <w:p w14:paraId="1FA52825">
            <w:pPr>
              <w:jc w:val="center"/>
              <w:rPr>
                <w:sz w:val="22"/>
                <w:szCs w:val="22"/>
              </w:rPr>
            </w:pPr>
            <w:r>
              <w:rPr>
                <w:sz w:val="22"/>
                <w:szCs w:val="22"/>
              </w:rPr>
              <w:t>90,0</w:t>
            </w:r>
          </w:p>
        </w:tc>
        <w:tc>
          <w:tcPr>
            <w:tcW w:w="1591" w:type="dxa"/>
            <w:vAlign w:val="center"/>
          </w:tcPr>
          <w:p w14:paraId="1E01D83A">
            <w:pPr>
              <w:jc w:val="center"/>
              <w:rPr>
                <w:sz w:val="22"/>
                <w:szCs w:val="22"/>
              </w:rPr>
            </w:pPr>
            <w:r>
              <w:rPr>
                <w:sz w:val="22"/>
                <w:szCs w:val="22"/>
              </w:rPr>
              <w:t>990.000.000</w:t>
            </w:r>
          </w:p>
        </w:tc>
        <w:tc>
          <w:tcPr>
            <w:tcW w:w="1700" w:type="dxa"/>
            <w:vAlign w:val="center"/>
          </w:tcPr>
          <w:p w14:paraId="47D0F92B">
            <w:pPr>
              <w:jc w:val="center"/>
              <w:rPr>
                <w:sz w:val="22"/>
                <w:szCs w:val="22"/>
              </w:rPr>
            </w:pPr>
            <w:r>
              <w:rPr>
                <w:sz w:val="22"/>
                <w:szCs w:val="22"/>
              </w:rPr>
              <w:t>1.239.000.000</w:t>
            </w:r>
          </w:p>
        </w:tc>
        <w:tc>
          <w:tcPr>
            <w:tcW w:w="1140" w:type="dxa"/>
            <w:noWrap/>
            <w:vAlign w:val="center"/>
          </w:tcPr>
          <w:p w14:paraId="36F3C721">
            <w:pPr>
              <w:jc w:val="center"/>
              <w:rPr>
                <w:sz w:val="22"/>
                <w:szCs w:val="22"/>
              </w:rPr>
            </w:pPr>
            <w:r>
              <w:rPr>
                <w:sz w:val="22"/>
                <w:szCs w:val="22"/>
              </w:rPr>
              <w:t>1,25%</w:t>
            </w:r>
          </w:p>
        </w:tc>
      </w:tr>
      <w:tr w14:paraId="0737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CD297CB">
            <w:pPr>
              <w:jc w:val="center"/>
              <w:rPr>
                <w:sz w:val="22"/>
                <w:szCs w:val="22"/>
              </w:rPr>
            </w:pPr>
            <w:r>
              <w:rPr>
                <w:sz w:val="22"/>
                <w:szCs w:val="22"/>
              </w:rPr>
              <w:t>3</w:t>
            </w:r>
          </w:p>
        </w:tc>
        <w:tc>
          <w:tcPr>
            <w:tcW w:w="1752" w:type="dxa"/>
            <w:vMerge w:val="continue"/>
            <w:vAlign w:val="center"/>
          </w:tcPr>
          <w:p w14:paraId="26160FF4">
            <w:pPr>
              <w:jc w:val="center"/>
              <w:rPr>
                <w:sz w:val="22"/>
                <w:szCs w:val="22"/>
              </w:rPr>
            </w:pPr>
          </w:p>
        </w:tc>
        <w:tc>
          <w:tcPr>
            <w:tcW w:w="944" w:type="dxa"/>
            <w:vAlign w:val="center"/>
          </w:tcPr>
          <w:p w14:paraId="376EC8E0">
            <w:pPr>
              <w:jc w:val="center"/>
              <w:rPr>
                <w:sz w:val="22"/>
                <w:szCs w:val="22"/>
              </w:rPr>
            </w:pPr>
          </w:p>
        </w:tc>
        <w:tc>
          <w:tcPr>
            <w:tcW w:w="1116" w:type="dxa"/>
            <w:vAlign w:val="center"/>
          </w:tcPr>
          <w:p w14:paraId="301D0CEC">
            <w:pPr>
              <w:jc w:val="center"/>
              <w:rPr>
                <w:sz w:val="22"/>
                <w:szCs w:val="22"/>
              </w:rPr>
            </w:pPr>
            <w:r>
              <w:rPr>
                <w:sz w:val="22"/>
                <w:szCs w:val="22"/>
              </w:rPr>
              <w:t>LK08.15</w:t>
            </w:r>
          </w:p>
        </w:tc>
        <w:tc>
          <w:tcPr>
            <w:tcW w:w="1010" w:type="dxa"/>
            <w:vAlign w:val="center"/>
          </w:tcPr>
          <w:p w14:paraId="65858184">
            <w:pPr>
              <w:jc w:val="center"/>
              <w:rPr>
                <w:sz w:val="22"/>
                <w:szCs w:val="22"/>
              </w:rPr>
            </w:pPr>
            <w:r>
              <w:rPr>
                <w:sz w:val="22"/>
                <w:szCs w:val="22"/>
              </w:rPr>
              <w:t>90,0</w:t>
            </w:r>
          </w:p>
        </w:tc>
        <w:tc>
          <w:tcPr>
            <w:tcW w:w="1591" w:type="dxa"/>
            <w:vAlign w:val="center"/>
          </w:tcPr>
          <w:p w14:paraId="4DC67F3E">
            <w:pPr>
              <w:jc w:val="center"/>
              <w:rPr>
                <w:sz w:val="22"/>
                <w:szCs w:val="22"/>
              </w:rPr>
            </w:pPr>
            <w:r>
              <w:rPr>
                <w:sz w:val="22"/>
                <w:szCs w:val="22"/>
              </w:rPr>
              <w:t>855.000.000</w:t>
            </w:r>
          </w:p>
        </w:tc>
        <w:tc>
          <w:tcPr>
            <w:tcW w:w="1700" w:type="dxa"/>
            <w:vAlign w:val="center"/>
          </w:tcPr>
          <w:p w14:paraId="530C42A4">
            <w:pPr>
              <w:jc w:val="center"/>
              <w:rPr>
                <w:sz w:val="22"/>
                <w:szCs w:val="22"/>
              </w:rPr>
            </w:pPr>
            <w:r>
              <w:rPr>
                <w:sz w:val="22"/>
                <w:szCs w:val="22"/>
              </w:rPr>
              <w:t>1.104.500.000</w:t>
            </w:r>
          </w:p>
        </w:tc>
        <w:tc>
          <w:tcPr>
            <w:tcW w:w="1140" w:type="dxa"/>
            <w:noWrap/>
            <w:vAlign w:val="center"/>
          </w:tcPr>
          <w:p w14:paraId="1865749B">
            <w:pPr>
              <w:jc w:val="center"/>
              <w:rPr>
                <w:sz w:val="22"/>
                <w:szCs w:val="22"/>
              </w:rPr>
            </w:pPr>
            <w:r>
              <w:rPr>
                <w:sz w:val="22"/>
                <w:szCs w:val="22"/>
              </w:rPr>
              <w:t>1,29%</w:t>
            </w:r>
          </w:p>
        </w:tc>
      </w:tr>
      <w:tr w14:paraId="773A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B0A8BA4">
            <w:pPr>
              <w:jc w:val="center"/>
              <w:rPr>
                <w:sz w:val="22"/>
                <w:szCs w:val="22"/>
              </w:rPr>
            </w:pPr>
            <w:r>
              <w:rPr>
                <w:sz w:val="22"/>
                <w:szCs w:val="22"/>
              </w:rPr>
              <w:t>4</w:t>
            </w:r>
          </w:p>
        </w:tc>
        <w:tc>
          <w:tcPr>
            <w:tcW w:w="1752" w:type="dxa"/>
            <w:vMerge w:val="continue"/>
            <w:vAlign w:val="center"/>
          </w:tcPr>
          <w:p w14:paraId="0E9BFC61">
            <w:pPr>
              <w:jc w:val="center"/>
              <w:rPr>
                <w:sz w:val="22"/>
                <w:szCs w:val="22"/>
              </w:rPr>
            </w:pPr>
          </w:p>
        </w:tc>
        <w:tc>
          <w:tcPr>
            <w:tcW w:w="944" w:type="dxa"/>
            <w:vAlign w:val="center"/>
          </w:tcPr>
          <w:p w14:paraId="112DDB00">
            <w:pPr>
              <w:jc w:val="center"/>
              <w:rPr>
                <w:sz w:val="22"/>
                <w:szCs w:val="22"/>
              </w:rPr>
            </w:pPr>
          </w:p>
        </w:tc>
        <w:tc>
          <w:tcPr>
            <w:tcW w:w="1116" w:type="dxa"/>
            <w:vAlign w:val="center"/>
          </w:tcPr>
          <w:p w14:paraId="27374699">
            <w:pPr>
              <w:jc w:val="center"/>
              <w:rPr>
                <w:sz w:val="22"/>
                <w:szCs w:val="22"/>
              </w:rPr>
            </w:pPr>
            <w:r>
              <w:rPr>
                <w:sz w:val="22"/>
                <w:szCs w:val="22"/>
              </w:rPr>
              <w:t>LK08.17</w:t>
            </w:r>
          </w:p>
        </w:tc>
        <w:tc>
          <w:tcPr>
            <w:tcW w:w="1010" w:type="dxa"/>
            <w:vAlign w:val="center"/>
          </w:tcPr>
          <w:p w14:paraId="0E9C2CE2">
            <w:pPr>
              <w:jc w:val="center"/>
              <w:rPr>
                <w:sz w:val="22"/>
                <w:szCs w:val="22"/>
              </w:rPr>
            </w:pPr>
            <w:r>
              <w:rPr>
                <w:sz w:val="22"/>
                <w:szCs w:val="22"/>
              </w:rPr>
              <w:t>90,0</w:t>
            </w:r>
          </w:p>
        </w:tc>
        <w:tc>
          <w:tcPr>
            <w:tcW w:w="1591" w:type="dxa"/>
            <w:vAlign w:val="center"/>
          </w:tcPr>
          <w:p w14:paraId="187290A7">
            <w:pPr>
              <w:jc w:val="center"/>
              <w:rPr>
                <w:sz w:val="22"/>
                <w:szCs w:val="22"/>
              </w:rPr>
            </w:pPr>
            <w:r>
              <w:rPr>
                <w:sz w:val="22"/>
                <w:szCs w:val="22"/>
              </w:rPr>
              <w:t>855.000.000</w:t>
            </w:r>
          </w:p>
        </w:tc>
        <w:tc>
          <w:tcPr>
            <w:tcW w:w="1700" w:type="dxa"/>
            <w:vAlign w:val="center"/>
          </w:tcPr>
          <w:p w14:paraId="7E241322">
            <w:pPr>
              <w:jc w:val="center"/>
              <w:rPr>
                <w:sz w:val="22"/>
                <w:szCs w:val="22"/>
              </w:rPr>
            </w:pPr>
            <w:r>
              <w:rPr>
                <w:sz w:val="22"/>
                <w:szCs w:val="22"/>
              </w:rPr>
              <w:t>1.155.300.000</w:t>
            </w:r>
          </w:p>
        </w:tc>
        <w:tc>
          <w:tcPr>
            <w:tcW w:w="1140" w:type="dxa"/>
            <w:noWrap/>
            <w:vAlign w:val="center"/>
          </w:tcPr>
          <w:p w14:paraId="48FEEF98">
            <w:pPr>
              <w:jc w:val="center"/>
              <w:rPr>
                <w:sz w:val="22"/>
                <w:szCs w:val="22"/>
              </w:rPr>
            </w:pPr>
            <w:r>
              <w:rPr>
                <w:sz w:val="22"/>
                <w:szCs w:val="22"/>
              </w:rPr>
              <w:t>1,35%</w:t>
            </w:r>
          </w:p>
        </w:tc>
      </w:tr>
      <w:tr w14:paraId="583B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918AE66">
            <w:pPr>
              <w:jc w:val="center"/>
              <w:rPr>
                <w:sz w:val="22"/>
                <w:szCs w:val="22"/>
              </w:rPr>
            </w:pPr>
            <w:r>
              <w:rPr>
                <w:sz w:val="22"/>
                <w:szCs w:val="22"/>
              </w:rPr>
              <w:t>5</w:t>
            </w:r>
          </w:p>
        </w:tc>
        <w:tc>
          <w:tcPr>
            <w:tcW w:w="1752" w:type="dxa"/>
            <w:vMerge w:val="continue"/>
            <w:vAlign w:val="center"/>
          </w:tcPr>
          <w:p w14:paraId="62E7421D">
            <w:pPr>
              <w:jc w:val="center"/>
              <w:rPr>
                <w:sz w:val="22"/>
                <w:szCs w:val="22"/>
              </w:rPr>
            </w:pPr>
          </w:p>
        </w:tc>
        <w:tc>
          <w:tcPr>
            <w:tcW w:w="944" w:type="dxa"/>
            <w:vAlign w:val="center"/>
          </w:tcPr>
          <w:p w14:paraId="5CE0422D">
            <w:pPr>
              <w:jc w:val="center"/>
              <w:rPr>
                <w:sz w:val="22"/>
                <w:szCs w:val="22"/>
              </w:rPr>
            </w:pPr>
          </w:p>
        </w:tc>
        <w:tc>
          <w:tcPr>
            <w:tcW w:w="1116" w:type="dxa"/>
            <w:vAlign w:val="center"/>
          </w:tcPr>
          <w:p w14:paraId="2257AAEA">
            <w:pPr>
              <w:jc w:val="center"/>
              <w:rPr>
                <w:sz w:val="22"/>
                <w:szCs w:val="22"/>
              </w:rPr>
            </w:pPr>
            <w:r>
              <w:rPr>
                <w:sz w:val="22"/>
                <w:szCs w:val="22"/>
              </w:rPr>
              <w:t>LK08.18</w:t>
            </w:r>
          </w:p>
        </w:tc>
        <w:tc>
          <w:tcPr>
            <w:tcW w:w="1010" w:type="dxa"/>
            <w:vAlign w:val="center"/>
          </w:tcPr>
          <w:p w14:paraId="1844A26F">
            <w:pPr>
              <w:jc w:val="center"/>
              <w:rPr>
                <w:sz w:val="22"/>
                <w:szCs w:val="22"/>
              </w:rPr>
            </w:pPr>
            <w:r>
              <w:rPr>
                <w:sz w:val="22"/>
                <w:szCs w:val="22"/>
              </w:rPr>
              <w:t>90,0</w:t>
            </w:r>
          </w:p>
        </w:tc>
        <w:tc>
          <w:tcPr>
            <w:tcW w:w="1591" w:type="dxa"/>
            <w:vAlign w:val="center"/>
          </w:tcPr>
          <w:p w14:paraId="1C18447C">
            <w:pPr>
              <w:jc w:val="center"/>
              <w:rPr>
                <w:sz w:val="22"/>
                <w:szCs w:val="22"/>
              </w:rPr>
            </w:pPr>
            <w:r>
              <w:rPr>
                <w:sz w:val="22"/>
                <w:szCs w:val="22"/>
              </w:rPr>
              <w:t>855.000.000</w:t>
            </w:r>
          </w:p>
        </w:tc>
        <w:tc>
          <w:tcPr>
            <w:tcW w:w="1700" w:type="dxa"/>
            <w:vAlign w:val="center"/>
          </w:tcPr>
          <w:p w14:paraId="6A07F973">
            <w:pPr>
              <w:jc w:val="center"/>
              <w:rPr>
                <w:sz w:val="22"/>
                <w:szCs w:val="22"/>
              </w:rPr>
            </w:pPr>
            <w:r>
              <w:rPr>
                <w:sz w:val="22"/>
                <w:szCs w:val="22"/>
              </w:rPr>
              <w:t>1.226.000.000</w:t>
            </w:r>
          </w:p>
        </w:tc>
        <w:tc>
          <w:tcPr>
            <w:tcW w:w="1140" w:type="dxa"/>
            <w:noWrap/>
            <w:vAlign w:val="center"/>
          </w:tcPr>
          <w:p w14:paraId="4EF997A7">
            <w:pPr>
              <w:jc w:val="center"/>
              <w:rPr>
                <w:sz w:val="22"/>
                <w:szCs w:val="22"/>
              </w:rPr>
            </w:pPr>
            <w:r>
              <w:rPr>
                <w:sz w:val="22"/>
                <w:szCs w:val="22"/>
              </w:rPr>
              <w:t>1,43%</w:t>
            </w:r>
          </w:p>
        </w:tc>
      </w:tr>
      <w:tr w14:paraId="044A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8D701E8">
            <w:pPr>
              <w:jc w:val="center"/>
              <w:rPr>
                <w:sz w:val="22"/>
                <w:szCs w:val="22"/>
              </w:rPr>
            </w:pPr>
            <w:r>
              <w:rPr>
                <w:sz w:val="22"/>
                <w:szCs w:val="22"/>
              </w:rPr>
              <w:t>6</w:t>
            </w:r>
          </w:p>
        </w:tc>
        <w:tc>
          <w:tcPr>
            <w:tcW w:w="1752" w:type="dxa"/>
            <w:vMerge w:val="continue"/>
            <w:vAlign w:val="center"/>
          </w:tcPr>
          <w:p w14:paraId="3B70E3F8">
            <w:pPr>
              <w:jc w:val="center"/>
              <w:rPr>
                <w:sz w:val="22"/>
                <w:szCs w:val="22"/>
              </w:rPr>
            </w:pPr>
          </w:p>
        </w:tc>
        <w:tc>
          <w:tcPr>
            <w:tcW w:w="944" w:type="dxa"/>
            <w:vAlign w:val="center"/>
          </w:tcPr>
          <w:p w14:paraId="74E66DE4">
            <w:pPr>
              <w:jc w:val="center"/>
              <w:rPr>
                <w:sz w:val="22"/>
                <w:szCs w:val="22"/>
              </w:rPr>
            </w:pPr>
          </w:p>
        </w:tc>
        <w:tc>
          <w:tcPr>
            <w:tcW w:w="1116" w:type="dxa"/>
            <w:vAlign w:val="center"/>
          </w:tcPr>
          <w:p w14:paraId="4712CB00">
            <w:pPr>
              <w:jc w:val="center"/>
              <w:rPr>
                <w:sz w:val="22"/>
                <w:szCs w:val="22"/>
              </w:rPr>
            </w:pPr>
            <w:r>
              <w:rPr>
                <w:sz w:val="22"/>
                <w:szCs w:val="22"/>
              </w:rPr>
              <w:t>LK08.19</w:t>
            </w:r>
          </w:p>
        </w:tc>
        <w:tc>
          <w:tcPr>
            <w:tcW w:w="1010" w:type="dxa"/>
            <w:vAlign w:val="center"/>
          </w:tcPr>
          <w:p w14:paraId="37028C8D">
            <w:pPr>
              <w:jc w:val="center"/>
              <w:rPr>
                <w:sz w:val="22"/>
                <w:szCs w:val="22"/>
              </w:rPr>
            </w:pPr>
            <w:r>
              <w:rPr>
                <w:sz w:val="22"/>
                <w:szCs w:val="22"/>
              </w:rPr>
              <w:t>90,0</w:t>
            </w:r>
          </w:p>
        </w:tc>
        <w:tc>
          <w:tcPr>
            <w:tcW w:w="1591" w:type="dxa"/>
            <w:vAlign w:val="center"/>
          </w:tcPr>
          <w:p w14:paraId="77D6D6FC">
            <w:pPr>
              <w:jc w:val="center"/>
              <w:rPr>
                <w:sz w:val="22"/>
                <w:szCs w:val="22"/>
              </w:rPr>
            </w:pPr>
            <w:r>
              <w:rPr>
                <w:sz w:val="22"/>
                <w:szCs w:val="22"/>
              </w:rPr>
              <w:t>855.000.000</w:t>
            </w:r>
          </w:p>
        </w:tc>
        <w:tc>
          <w:tcPr>
            <w:tcW w:w="1700" w:type="dxa"/>
            <w:vAlign w:val="center"/>
          </w:tcPr>
          <w:p w14:paraId="0802729E">
            <w:pPr>
              <w:jc w:val="center"/>
              <w:rPr>
                <w:sz w:val="22"/>
                <w:szCs w:val="22"/>
              </w:rPr>
            </w:pPr>
            <w:r>
              <w:rPr>
                <w:sz w:val="22"/>
                <w:szCs w:val="22"/>
              </w:rPr>
              <w:t>1.190.000.000</w:t>
            </w:r>
          </w:p>
        </w:tc>
        <w:tc>
          <w:tcPr>
            <w:tcW w:w="1140" w:type="dxa"/>
            <w:noWrap/>
            <w:vAlign w:val="center"/>
          </w:tcPr>
          <w:p w14:paraId="60F3CE9E">
            <w:pPr>
              <w:jc w:val="center"/>
              <w:rPr>
                <w:sz w:val="22"/>
                <w:szCs w:val="22"/>
              </w:rPr>
            </w:pPr>
            <w:r>
              <w:rPr>
                <w:sz w:val="22"/>
                <w:szCs w:val="22"/>
              </w:rPr>
              <w:t>1,39%</w:t>
            </w:r>
          </w:p>
        </w:tc>
      </w:tr>
      <w:tr w14:paraId="473B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8E6E548">
            <w:pPr>
              <w:jc w:val="center"/>
              <w:rPr>
                <w:sz w:val="22"/>
                <w:szCs w:val="22"/>
              </w:rPr>
            </w:pPr>
            <w:r>
              <w:rPr>
                <w:sz w:val="22"/>
                <w:szCs w:val="22"/>
              </w:rPr>
              <w:t>7</w:t>
            </w:r>
          </w:p>
        </w:tc>
        <w:tc>
          <w:tcPr>
            <w:tcW w:w="1752" w:type="dxa"/>
            <w:vMerge w:val="continue"/>
            <w:vAlign w:val="center"/>
          </w:tcPr>
          <w:p w14:paraId="0CF6DC1E">
            <w:pPr>
              <w:jc w:val="center"/>
              <w:rPr>
                <w:sz w:val="22"/>
                <w:szCs w:val="22"/>
              </w:rPr>
            </w:pPr>
          </w:p>
        </w:tc>
        <w:tc>
          <w:tcPr>
            <w:tcW w:w="944" w:type="dxa"/>
            <w:vAlign w:val="center"/>
          </w:tcPr>
          <w:p w14:paraId="75672005">
            <w:pPr>
              <w:jc w:val="center"/>
              <w:rPr>
                <w:sz w:val="22"/>
                <w:szCs w:val="22"/>
              </w:rPr>
            </w:pPr>
          </w:p>
        </w:tc>
        <w:tc>
          <w:tcPr>
            <w:tcW w:w="1116" w:type="dxa"/>
            <w:vAlign w:val="center"/>
          </w:tcPr>
          <w:p w14:paraId="104457B4">
            <w:pPr>
              <w:jc w:val="center"/>
              <w:rPr>
                <w:sz w:val="22"/>
                <w:szCs w:val="22"/>
              </w:rPr>
            </w:pPr>
            <w:r>
              <w:rPr>
                <w:sz w:val="22"/>
                <w:szCs w:val="22"/>
              </w:rPr>
              <w:t>LK08.20</w:t>
            </w:r>
          </w:p>
        </w:tc>
        <w:tc>
          <w:tcPr>
            <w:tcW w:w="1010" w:type="dxa"/>
            <w:vAlign w:val="center"/>
          </w:tcPr>
          <w:p w14:paraId="28E55FD8">
            <w:pPr>
              <w:jc w:val="center"/>
              <w:rPr>
                <w:sz w:val="22"/>
                <w:szCs w:val="22"/>
              </w:rPr>
            </w:pPr>
            <w:r>
              <w:rPr>
                <w:sz w:val="22"/>
                <w:szCs w:val="22"/>
              </w:rPr>
              <w:t>90,0</w:t>
            </w:r>
          </w:p>
        </w:tc>
        <w:tc>
          <w:tcPr>
            <w:tcW w:w="1591" w:type="dxa"/>
            <w:vAlign w:val="center"/>
          </w:tcPr>
          <w:p w14:paraId="029AB7F1">
            <w:pPr>
              <w:jc w:val="center"/>
              <w:rPr>
                <w:sz w:val="22"/>
                <w:szCs w:val="22"/>
              </w:rPr>
            </w:pPr>
            <w:r>
              <w:rPr>
                <w:sz w:val="22"/>
                <w:szCs w:val="22"/>
              </w:rPr>
              <w:t>855.000.000</w:t>
            </w:r>
          </w:p>
        </w:tc>
        <w:tc>
          <w:tcPr>
            <w:tcW w:w="1700" w:type="dxa"/>
            <w:vAlign w:val="center"/>
          </w:tcPr>
          <w:p w14:paraId="048F3D32">
            <w:pPr>
              <w:jc w:val="center"/>
              <w:rPr>
                <w:sz w:val="22"/>
                <w:szCs w:val="22"/>
              </w:rPr>
            </w:pPr>
            <w:r>
              <w:rPr>
                <w:sz w:val="22"/>
                <w:szCs w:val="22"/>
              </w:rPr>
              <w:t>1.355.000.000</w:t>
            </w:r>
          </w:p>
        </w:tc>
        <w:tc>
          <w:tcPr>
            <w:tcW w:w="1140" w:type="dxa"/>
            <w:noWrap/>
            <w:vAlign w:val="center"/>
          </w:tcPr>
          <w:p w14:paraId="062B53D4">
            <w:pPr>
              <w:jc w:val="center"/>
              <w:rPr>
                <w:sz w:val="22"/>
                <w:szCs w:val="22"/>
              </w:rPr>
            </w:pPr>
            <w:r>
              <w:rPr>
                <w:sz w:val="22"/>
                <w:szCs w:val="22"/>
              </w:rPr>
              <w:t>1,58%</w:t>
            </w:r>
          </w:p>
        </w:tc>
      </w:tr>
      <w:tr w14:paraId="30C8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49043E7">
            <w:pPr>
              <w:jc w:val="center"/>
              <w:rPr>
                <w:sz w:val="22"/>
                <w:szCs w:val="22"/>
              </w:rPr>
            </w:pPr>
            <w:r>
              <w:rPr>
                <w:sz w:val="22"/>
                <w:szCs w:val="22"/>
              </w:rPr>
              <w:t>8</w:t>
            </w:r>
          </w:p>
        </w:tc>
        <w:tc>
          <w:tcPr>
            <w:tcW w:w="1752" w:type="dxa"/>
            <w:vMerge w:val="continue"/>
            <w:vAlign w:val="center"/>
          </w:tcPr>
          <w:p w14:paraId="3D89CD8F">
            <w:pPr>
              <w:jc w:val="center"/>
              <w:rPr>
                <w:sz w:val="22"/>
                <w:szCs w:val="22"/>
              </w:rPr>
            </w:pPr>
          </w:p>
        </w:tc>
        <w:tc>
          <w:tcPr>
            <w:tcW w:w="944" w:type="dxa"/>
            <w:vAlign w:val="center"/>
          </w:tcPr>
          <w:p w14:paraId="6A9FBC37">
            <w:pPr>
              <w:jc w:val="center"/>
              <w:rPr>
                <w:sz w:val="22"/>
                <w:szCs w:val="22"/>
              </w:rPr>
            </w:pPr>
          </w:p>
        </w:tc>
        <w:tc>
          <w:tcPr>
            <w:tcW w:w="1116" w:type="dxa"/>
            <w:vAlign w:val="center"/>
          </w:tcPr>
          <w:p w14:paraId="0D047EF2">
            <w:pPr>
              <w:jc w:val="center"/>
              <w:rPr>
                <w:sz w:val="22"/>
                <w:szCs w:val="22"/>
              </w:rPr>
            </w:pPr>
            <w:r>
              <w:rPr>
                <w:sz w:val="22"/>
                <w:szCs w:val="22"/>
              </w:rPr>
              <w:t>LK08.21</w:t>
            </w:r>
          </w:p>
        </w:tc>
        <w:tc>
          <w:tcPr>
            <w:tcW w:w="1010" w:type="dxa"/>
            <w:vAlign w:val="center"/>
          </w:tcPr>
          <w:p w14:paraId="0086D226">
            <w:pPr>
              <w:jc w:val="center"/>
              <w:rPr>
                <w:sz w:val="22"/>
                <w:szCs w:val="22"/>
              </w:rPr>
            </w:pPr>
            <w:r>
              <w:rPr>
                <w:sz w:val="22"/>
                <w:szCs w:val="22"/>
              </w:rPr>
              <w:t>90,0</w:t>
            </w:r>
          </w:p>
        </w:tc>
        <w:tc>
          <w:tcPr>
            <w:tcW w:w="1591" w:type="dxa"/>
            <w:vAlign w:val="center"/>
          </w:tcPr>
          <w:p w14:paraId="4F38B32D">
            <w:pPr>
              <w:jc w:val="center"/>
              <w:rPr>
                <w:sz w:val="22"/>
                <w:szCs w:val="22"/>
              </w:rPr>
            </w:pPr>
            <w:r>
              <w:rPr>
                <w:sz w:val="22"/>
                <w:szCs w:val="22"/>
              </w:rPr>
              <w:t>855.000.000</w:t>
            </w:r>
          </w:p>
        </w:tc>
        <w:tc>
          <w:tcPr>
            <w:tcW w:w="1700" w:type="dxa"/>
            <w:vAlign w:val="center"/>
          </w:tcPr>
          <w:p w14:paraId="4D3EA81B">
            <w:pPr>
              <w:jc w:val="center"/>
              <w:rPr>
                <w:sz w:val="22"/>
                <w:szCs w:val="22"/>
              </w:rPr>
            </w:pPr>
            <w:r>
              <w:rPr>
                <w:sz w:val="22"/>
                <w:szCs w:val="22"/>
              </w:rPr>
              <w:t>1.417.000.000</w:t>
            </w:r>
          </w:p>
        </w:tc>
        <w:tc>
          <w:tcPr>
            <w:tcW w:w="1140" w:type="dxa"/>
            <w:noWrap/>
            <w:vAlign w:val="center"/>
          </w:tcPr>
          <w:p w14:paraId="77C3E22E">
            <w:pPr>
              <w:jc w:val="center"/>
              <w:rPr>
                <w:sz w:val="22"/>
                <w:szCs w:val="22"/>
              </w:rPr>
            </w:pPr>
            <w:r>
              <w:rPr>
                <w:sz w:val="22"/>
                <w:szCs w:val="22"/>
              </w:rPr>
              <w:t>1,66%</w:t>
            </w:r>
          </w:p>
        </w:tc>
      </w:tr>
      <w:tr w14:paraId="2E37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vAlign w:val="center"/>
          </w:tcPr>
          <w:p w14:paraId="29E26904">
            <w:pPr>
              <w:jc w:val="center"/>
              <w:rPr>
                <w:sz w:val="22"/>
                <w:szCs w:val="22"/>
              </w:rPr>
            </w:pPr>
            <w:r>
              <w:rPr>
                <w:sz w:val="22"/>
                <w:szCs w:val="22"/>
              </w:rPr>
              <w:t>B</w:t>
            </w:r>
          </w:p>
        </w:tc>
        <w:tc>
          <w:tcPr>
            <w:tcW w:w="1752" w:type="dxa"/>
            <w:vAlign w:val="center"/>
          </w:tcPr>
          <w:p w14:paraId="6DE380B0">
            <w:pPr>
              <w:jc w:val="center"/>
              <w:rPr>
                <w:sz w:val="22"/>
                <w:szCs w:val="22"/>
              </w:rPr>
            </w:pPr>
            <w:r>
              <w:rPr>
                <w:sz w:val="22"/>
                <w:szCs w:val="22"/>
              </w:rPr>
              <w:t>KHU DÂN CƯ THÔN CẦU TRONG, XÃ MỸ THÁI</w:t>
            </w:r>
          </w:p>
        </w:tc>
        <w:tc>
          <w:tcPr>
            <w:tcW w:w="944" w:type="dxa"/>
            <w:vAlign w:val="center"/>
          </w:tcPr>
          <w:p w14:paraId="4BCCCFA8">
            <w:pPr>
              <w:jc w:val="center"/>
              <w:rPr>
                <w:sz w:val="22"/>
                <w:szCs w:val="22"/>
              </w:rPr>
            </w:pPr>
          </w:p>
        </w:tc>
        <w:tc>
          <w:tcPr>
            <w:tcW w:w="1116" w:type="dxa"/>
            <w:noWrap/>
            <w:vAlign w:val="center"/>
          </w:tcPr>
          <w:p w14:paraId="0B473348">
            <w:pPr>
              <w:jc w:val="center"/>
              <w:rPr>
                <w:sz w:val="22"/>
                <w:szCs w:val="22"/>
              </w:rPr>
            </w:pPr>
          </w:p>
        </w:tc>
        <w:tc>
          <w:tcPr>
            <w:tcW w:w="1010" w:type="dxa"/>
            <w:noWrap/>
            <w:vAlign w:val="center"/>
          </w:tcPr>
          <w:p w14:paraId="4586FD10">
            <w:pPr>
              <w:jc w:val="center"/>
              <w:rPr>
                <w:sz w:val="22"/>
                <w:szCs w:val="22"/>
              </w:rPr>
            </w:pPr>
          </w:p>
        </w:tc>
        <w:tc>
          <w:tcPr>
            <w:tcW w:w="1591" w:type="dxa"/>
            <w:noWrap/>
            <w:vAlign w:val="center"/>
          </w:tcPr>
          <w:p w14:paraId="66A73995">
            <w:pPr>
              <w:jc w:val="center"/>
              <w:rPr>
                <w:sz w:val="22"/>
                <w:szCs w:val="22"/>
              </w:rPr>
            </w:pPr>
          </w:p>
        </w:tc>
        <w:tc>
          <w:tcPr>
            <w:tcW w:w="1700" w:type="dxa"/>
            <w:noWrap/>
            <w:vAlign w:val="center"/>
          </w:tcPr>
          <w:p w14:paraId="3859031D">
            <w:pPr>
              <w:jc w:val="center"/>
              <w:rPr>
                <w:sz w:val="22"/>
                <w:szCs w:val="22"/>
              </w:rPr>
            </w:pPr>
          </w:p>
        </w:tc>
        <w:tc>
          <w:tcPr>
            <w:tcW w:w="1140" w:type="dxa"/>
            <w:noWrap/>
            <w:vAlign w:val="center"/>
          </w:tcPr>
          <w:p w14:paraId="49D93E49">
            <w:pPr>
              <w:jc w:val="center"/>
              <w:rPr>
                <w:sz w:val="22"/>
                <w:szCs w:val="22"/>
              </w:rPr>
            </w:pPr>
          </w:p>
        </w:tc>
      </w:tr>
      <w:tr w14:paraId="6EB9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A85D16F">
            <w:pPr>
              <w:jc w:val="center"/>
              <w:rPr>
                <w:sz w:val="22"/>
                <w:szCs w:val="22"/>
              </w:rPr>
            </w:pPr>
            <w:r>
              <w:rPr>
                <w:sz w:val="22"/>
                <w:szCs w:val="22"/>
              </w:rPr>
              <w:t>1</w:t>
            </w:r>
          </w:p>
        </w:tc>
        <w:tc>
          <w:tcPr>
            <w:tcW w:w="1752" w:type="dxa"/>
            <w:vAlign w:val="center"/>
          </w:tcPr>
          <w:p w14:paraId="1AC04C78">
            <w:pPr>
              <w:jc w:val="center"/>
              <w:rPr>
                <w:sz w:val="22"/>
                <w:szCs w:val="22"/>
              </w:rPr>
            </w:pPr>
          </w:p>
        </w:tc>
        <w:tc>
          <w:tcPr>
            <w:tcW w:w="944" w:type="dxa"/>
            <w:vAlign w:val="center"/>
          </w:tcPr>
          <w:p w14:paraId="5E425376">
            <w:pPr>
              <w:jc w:val="center"/>
              <w:rPr>
                <w:sz w:val="22"/>
                <w:szCs w:val="22"/>
              </w:rPr>
            </w:pPr>
          </w:p>
        </w:tc>
        <w:tc>
          <w:tcPr>
            <w:tcW w:w="1116" w:type="dxa"/>
            <w:vAlign w:val="center"/>
          </w:tcPr>
          <w:p w14:paraId="3188B4BA">
            <w:pPr>
              <w:jc w:val="center"/>
              <w:rPr>
                <w:sz w:val="22"/>
                <w:szCs w:val="22"/>
              </w:rPr>
            </w:pPr>
            <w:r>
              <w:rPr>
                <w:sz w:val="22"/>
                <w:szCs w:val="22"/>
              </w:rPr>
              <w:t>4</w:t>
            </w:r>
          </w:p>
        </w:tc>
        <w:tc>
          <w:tcPr>
            <w:tcW w:w="1010" w:type="dxa"/>
            <w:vAlign w:val="center"/>
          </w:tcPr>
          <w:p w14:paraId="648A1BC2">
            <w:pPr>
              <w:jc w:val="center"/>
              <w:rPr>
                <w:sz w:val="22"/>
                <w:szCs w:val="22"/>
              </w:rPr>
            </w:pPr>
            <w:r>
              <w:rPr>
                <w:sz w:val="22"/>
                <w:szCs w:val="22"/>
              </w:rPr>
              <w:t>108,0</w:t>
            </w:r>
          </w:p>
        </w:tc>
        <w:tc>
          <w:tcPr>
            <w:tcW w:w="1591" w:type="dxa"/>
            <w:vAlign w:val="center"/>
          </w:tcPr>
          <w:p w14:paraId="2157D9AA">
            <w:pPr>
              <w:jc w:val="center"/>
              <w:rPr>
                <w:sz w:val="22"/>
                <w:szCs w:val="22"/>
              </w:rPr>
            </w:pPr>
            <w:r>
              <w:rPr>
                <w:sz w:val="22"/>
                <w:szCs w:val="22"/>
              </w:rPr>
              <w:t>745.200.000</w:t>
            </w:r>
          </w:p>
        </w:tc>
        <w:tc>
          <w:tcPr>
            <w:tcW w:w="1700" w:type="dxa"/>
            <w:vAlign w:val="center"/>
          </w:tcPr>
          <w:p w14:paraId="42460FB9">
            <w:pPr>
              <w:jc w:val="center"/>
              <w:rPr>
                <w:sz w:val="22"/>
                <w:szCs w:val="22"/>
              </w:rPr>
            </w:pPr>
            <w:r>
              <w:rPr>
                <w:sz w:val="22"/>
                <w:szCs w:val="22"/>
              </w:rPr>
              <w:t>830.000.000</w:t>
            </w:r>
          </w:p>
        </w:tc>
        <w:tc>
          <w:tcPr>
            <w:tcW w:w="1140" w:type="dxa"/>
            <w:noWrap/>
            <w:vAlign w:val="center"/>
          </w:tcPr>
          <w:p w14:paraId="14D5F231">
            <w:pPr>
              <w:jc w:val="center"/>
              <w:rPr>
                <w:sz w:val="22"/>
                <w:szCs w:val="22"/>
              </w:rPr>
            </w:pPr>
            <w:r>
              <w:rPr>
                <w:sz w:val="22"/>
                <w:szCs w:val="22"/>
              </w:rPr>
              <w:t>1,11%</w:t>
            </w:r>
          </w:p>
        </w:tc>
      </w:tr>
      <w:tr w14:paraId="2722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C668B45">
            <w:pPr>
              <w:jc w:val="center"/>
              <w:rPr>
                <w:sz w:val="22"/>
                <w:szCs w:val="22"/>
              </w:rPr>
            </w:pPr>
            <w:r>
              <w:rPr>
                <w:sz w:val="22"/>
                <w:szCs w:val="22"/>
              </w:rPr>
              <w:t>2</w:t>
            </w:r>
          </w:p>
        </w:tc>
        <w:tc>
          <w:tcPr>
            <w:tcW w:w="1752" w:type="dxa"/>
            <w:vAlign w:val="center"/>
          </w:tcPr>
          <w:p w14:paraId="14F9B41B">
            <w:pPr>
              <w:jc w:val="center"/>
              <w:rPr>
                <w:sz w:val="22"/>
                <w:szCs w:val="22"/>
              </w:rPr>
            </w:pPr>
          </w:p>
        </w:tc>
        <w:tc>
          <w:tcPr>
            <w:tcW w:w="944" w:type="dxa"/>
            <w:vAlign w:val="center"/>
          </w:tcPr>
          <w:p w14:paraId="4A7F21B6">
            <w:pPr>
              <w:jc w:val="center"/>
              <w:rPr>
                <w:sz w:val="22"/>
                <w:szCs w:val="22"/>
              </w:rPr>
            </w:pPr>
          </w:p>
        </w:tc>
        <w:tc>
          <w:tcPr>
            <w:tcW w:w="1116" w:type="dxa"/>
            <w:vAlign w:val="center"/>
          </w:tcPr>
          <w:p w14:paraId="0A3D1BE9">
            <w:pPr>
              <w:jc w:val="center"/>
              <w:rPr>
                <w:sz w:val="22"/>
                <w:szCs w:val="22"/>
              </w:rPr>
            </w:pPr>
            <w:r>
              <w:rPr>
                <w:sz w:val="22"/>
                <w:szCs w:val="22"/>
              </w:rPr>
              <w:t>5</w:t>
            </w:r>
          </w:p>
        </w:tc>
        <w:tc>
          <w:tcPr>
            <w:tcW w:w="1010" w:type="dxa"/>
            <w:vAlign w:val="center"/>
          </w:tcPr>
          <w:p w14:paraId="6564767C">
            <w:pPr>
              <w:jc w:val="center"/>
              <w:rPr>
                <w:sz w:val="22"/>
                <w:szCs w:val="22"/>
              </w:rPr>
            </w:pPr>
            <w:r>
              <w:rPr>
                <w:sz w:val="22"/>
                <w:szCs w:val="22"/>
              </w:rPr>
              <w:t>108,0</w:t>
            </w:r>
          </w:p>
        </w:tc>
        <w:tc>
          <w:tcPr>
            <w:tcW w:w="1591" w:type="dxa"/>
            <w:vAlign w:val="center"/>
          </w:tcPr>
          <w:p w14:paraId="5A225FC4">
            <w:pPr>
              <w:jc w:val="center"/>
              <w:rPr>
                <w:sz w:val="22"/>
                <w:szCs w:val="22"/>
              </w:rPr>
            </w:pPr>
            <w:r>
              <w:rPr>
                <w:sz w:val="22"/>
                <w:szCs w:val="22"/>
              </w:rPr>
              <w:t>745.200.000</w:t>
            </w:r>
          </w:p>
        </w:tc>
        <w:tc>
          <w:tcPr>
            <w:tcW w:w="1700" w:type="dxa"/>
            <w:vAlign w:val="center"/>
          </w:tcPr>
          <w:p w14:paraId="73C0D18B">
            <w:pPr>
              <w:jc w:val="center"/>
              <w:rPr>
                <w:sz w:val="22"/>
                <w:szCs w:val="22"/>
              </w:rPr>
            </w:pPr>
            <w:r>
              <w:rPr>
                <w:sz w:val="22"/>
                <w:szCs w:val="22"/>
              </w:rPr>
              <w:t>836.000.000</w:t>
            </w:r>
          </w:p>
        </w:tc>
        <w:tc>
          <w:tcPr>
            <w:tcW w:w="1140" w:type="dxa"/>
            <w:noWrap/>
            <w:vAlign w:val="center"/>
          </w:tcPr>
          <w:p w14:paraId="4733BE8D">
            <w:pPr>
              <w:jc w:val="center"/>
              <w:rPr>
                <w:sz w:val="22"/>
                <w:szCs w:val="22"/>
              </w:rPr>
            </w:pPr>
            <w:r>
              <w:rPr>
                <w:sz w:val="22"/>
                <w:szCs w:val="22"/>
              </w:rPr>
              <w:t>1,12%</w:t>
            </w:r>
          </w:p>
        </w:tc>
      </w:tr>
      <w:tr w14:paraId="5E71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F7B49E1">
            <w:pPr>
              <w:jc w:val="center"/>
              <w:rPr>
                <w:sz w:val="22"/>
                <w:szCs w:val="22"/>
              </w:rPr>
            </w:pPr>
            <w:r>
              <w:rPr>
                <w:sz w:val="22"/>
                <w:szCs w:val="22"/>
              </w:rPr>
              <w:t>3</w:t>
            </w:r>
          </w:p>
        </w:tc>
        <w:tc>
          <w:tcPr>
            <w:tcW w:w="1752" w:type="dxa"/>
            <w:vAlign w:val="center"/>
          </w:tcPr>
          <w:p w14:paraId="17CE1D79">
            <w:pPr>
              <w:jc w:val="center"/>
              <w:rPr>
                <w:sz w:val="22"/>
                <w:szCs w:val="22"/>
              </w:rPr>
            </w:pPr>
          </w:p>
        </w:tc>
        <w:tc>
          <w:tcPr>
            <w:tcW w:w="944" w:type="dxa"/>
            <w:vAlign w:val="center"/>
          </w:tcPr>
          <w:p w14:paraId="594D718A">
            <w:pPr>
              <w:jc w:val="center"/>
              <w:rPr>
                <w:sz w:val="22"/>
                <w:szCs w:val="22"/>
              </w:rPr>
            </w:pPr>
          </w:p>
        </w:tc>
        <w:tc>
          <w:tcPr>
            <w:tcW w:w="1116" w:type="dxa"/>
            <w:vAlign w:val="center"/>
          </w:tcPr>
          <w:p w14:paraId="0B099906">
            <w:pPr>
              <w:jc w:val="center"/>
              <w:rPr>
                <w:sz w:val="22"/>
                <w:szCs w:val="22"/>
              </w:rPr>
            </w:pPr>
            <w:r>
              <w:rPr>
                <w:sz w:val="22"/>
                <w:szCs w:val="22"/>
              </w:rPr>
              <w:t>8</w:t>
            </w:r>
          </w:p>
        </w:tc>
        <w:tc>
          <w:tcPr>
            <w:tcW w:w="1010" w:type="dxa"/>
            <w:vAlign w:val="center"/>
          </w:tcPr>
          <w:p w14:paraId="0A401F26">
            <w:pPr>
              <w:jc w:val="center"/>
              <w:rPr>
                <w:sz w:val="22"/>
                <w:szCs w:val="22"/>
              </w:rPr>
            </w:pPr>
            <w:r>
              <w:rPr>
                <w:sz w:val="22"/>
                <w:szCs w:val="22"/>
              </w:rPr>
              <w:t>104,0</w:t>
            </w:r>
          </w:p>
        </w:tc>
        <w:tc>
          <w:tcPr>
            <w:tcW w:w="1591" w:type="dxa"/>
            <w:vAlign w:val="center"/>
          </w:tcPr>
          <w:p w14:paraId="58F7AF79">
            <w:pPr>
              <w:jc w:val="center"/>
              <w:rPr>
                <w:sz w:val="22"/>
                <w:szCs w:val="22"/>
              </w:rPr>
            </w:pPr>
            <w:r>
              <w:rPr>
                <w:sz w:val="22"/>
                <w:szCs w:val="22"/>
              </w:rPr>
              <w:t>861.120.000</w:t>
            </w:r>
          </w:p>
        </w:tc>
        <w:tc>
          <w:tcPr>
            <w:tcW w:w="1700" w:type="dxa"/>
            <w:vAlign w:val="center"/>
          </w:tcPr>
          <w:p w14:paraId="3113976A">
            <w:pPr>
              <w:jc w:val="center"/>
              <w:rPr>
                <w:sz w:val="22"/>
                <w:szCs w:val="22"/>
              </w:rPr>
            </w:pPr>
            <w:r>
              <w:rPr>
                <w:sz w:val="22"/>
                <w:szCs w:val="22"/>
              </w:rPr>
              <w:t>926.500.000</w:t>
            </w:r>
          </w:p>
        </w:tc>
        <w:tc>
          <w:tcPr>
            <w:tcW w:w="1140" w:type="dxa"/>
            <w:noWrap/>
            <w:vAlign w:val="center"/>
          </w:tcPr>
          <w:p w14:paraId="57A48AE8">
            <w:pPr>
              <w:jc w:val="center"/>
              <w:rPr>
                <w:sz w:val="22"/>
                <w:szCs w:val="22"/>
              </w:rPr>
            </w:pPr>
            <w:r>
              <w:rPr>
                <w:sz w:val="22"/>
                <w:szCs w:val="22"/>
              </w:rPr>
              <w:t>1,08%</w:t>
            </w:r>
          </w:p>
        </w:tc>
      </w:tr>
      <w:tr w14:paraId="1B5B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08A6CE7">
            <w:pPr>
              <w:jc w:val="center"/>
              <w:rPr>
                <w:sz w:val="22"/>
                <w:szCs w:val="22"/>
              </w:rPr>
            </w:pPr>
            <w:r>
              <w:rPr>
                <w:sz w:val="22"/>
                <w:szCs w:val="22"/>
              </w:rPr>
              <w:t>4</w:t>
            </w:r>
          </w:p>
        </w:tc>
        <w:tc>
          <w:tcPr>
            <w:tcW w:w="1752" w:type="dxa"/>
            <w:noWrap/>
            <w:vAlign w:val="center"/>
          </w:tcPr>
          <w:p w14:paraId="6980B6AD">
            <w:pPr>
              <w:jc w:val="center"/>
              <w:rPr>
                <w:sz w:val="22"/>
                <w:szCs w:val="22"/>
              </w:rPr>
            </w:pPr>
          </w:p>
        </w:tc>
        <w:tc>
          <w:tcPr>
            <w:tcW w:w="944" w:type="dxa"/>
            <w:noWrap/>
            <w:vAlign w:val="center"/>
          </w:tcPr>
          <w:p w14:paraId="09ED061C">
            <w:pPr>
              <w:jc w:val="center"/>
              <w:rPr>
                <w:sz w:val="22"/>
                <w:szCs w:val="22"/>
              </w:rPr>
            </w:pPr>
          </w:p>
        </w:tc>
        <w:tc>
          <w:tcPr>
            <w:tcW w:w="1116" w:type="dxa"/>
            <w:vAlign w:val="center"/>
          </w:tcPr>
          <w:p w14:paraId="65100BEE">
            <w:pPr>
              <w:jc w:val="center"/>
              <w:rPr>
                <w:sz w:val="22"/>
                <w:szCs w:val="22"/>
              </w:rPr>
            </w:pPr>
            <w:r>
              <w:rPr>
                <w:sz w:val="22"/>
                <w:szCs w:val="22"/>
              </w:rPr>
              <w:t>27</w:t>
            </w:r>
          </w:p>
        </w:tc>
        <w:tc>
          <w:tcPr>
            <w:tcW w:w="1010" w:type="dxa"/>
            <w:vAlign w:val="center"/>
          </w:tcPr>
          <w:p w14:paraId="33A6864C">
            <w:pPr>
              <w:jc w:val="center"/>
              <w:rPr>
                <w:sz w:val="22"/>
                <w:szCs w:val="22"/>
              </w:rPr>
            </w:pPr>
            <w:r>
              <w:rPr>
                <w:sz w:val="22"/>
                <w:szCs w:val="22"/>
              </w:rPr>
              <w:t>104,6</w:t>
            </w:r>
          </w:p>
        </w:tc>
        <w:tc>
          <w:tcPr>
            <w:tcW w:w="1591" w:type="dxa"/>
            <w:vAlign w:val="center"/>
          </w:tcPr>
          <w:p w14:paraId="167AED79">
            <w:pPr>
              <w:jc w:val="center"/>
              <w:rPr>
                <w:sz w:val="22"/>
                <w:szCs w:val="22"/>
              </w:rPr>
            </w:pPr>
            <w:r>
              <w:rPr>
                <w:sz w:val="22"/>
                <w:szCs w:val="22"/>
              </w:rPr>
              <w:t>721.740.000</w:t>
            </w:r>
          </w:p>
        </w:tc>
        <w:tc>
          <w:tcPr>
            <w:tcW w:w="1700" w:type="dxa"/>
            <w:vAlign w:val="center"/>
          </w:tcPr>
          <w:p w14:paraId="04F508F6">
            <w:pPr>
              <w:jc w:val="center"/>
              <w:rPr>
                <w:sz w:val="22"/>
                <w:szCs w:val="22"/>
              </w:rPr>
            </w:pPr>
            <w:r>
              <w:rPr>
                <w:sz w:val="22"/>
                <w:szCs w:val="22"/>
              </w:rPr>
              <w:t>726.000.000</w:t>
            </w:r>
          </w:p>
        </w:tc>
        <w:tc>
          <w:tcPr>
            <w:tcW w:w="1140" w:type="dxa"/>
            <w:noWrap/>
            <w:vAlign w:val="center"/>
          </w:tcPr>
          <w:p w14:paraId="47657C37">
            <w:pPr>
              <w:jc w:val="center"/>
              <w:rPr>
                <w:sz w:val="22"/>
                <w:szCs w:val="22"/>
              </w:rPr>
            </w:pPr>
            <w:r>
              <w:rPr>
                <w:sz w:val="22"/>
                <w:szCs w:val="22"/>
              </w:rPr>
              <w:t>1,01%</w:t>
            </w:r>
          </w:p>
        </w:tc>
      </w:tr>
      <w:tr w14:paraId="033D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vAlign w:val="center"/>
          </w:tcPr>
          <w:p w14:paraId="1240838D">
            <w:pPr>
              <w:jc w:val="center"/>
              <w:rPr>
                <w:sz w:val="22"/>
                <w:szCs w:val="22"/>
              </w:rPr>
            </w:pPr>
            <w:r>
              <w:rPr>
                <w:sz w:val="22"/>
                <w:szCs w:val="22"/>
              </w:rPr>
              <w:t>C</w:t>
            </w:r>
          </w:p>
        </w:tc>
        <w:tc>
          <w:tcPr>
            <w:tcW w:w="1752" w:type="dxa"/>
            <w:vMerge w:val="restart"/>
            <w:vAlign w:val="center"/>
          </w:tcPr>
          <w:p w14:paraId="500370F1">
            <w:pPr>
              <w:jc w:val="center"/>
              <w:rPr>
                <w:sz w:val="22"/>
                <w:szCs w:val="22"/>
              </w:rPr>
            </w:pPr>
            <w:r>
              <w:rPr>
                <w:sz w:val="22"/>
                <w:szCs w:val="22"/>
              </w:rPr>
              <w:t>TỔ DÂN PHỐ TÂN LUẬN, THỊ TRẤN VÔI</w:t>
            </w:r>
          </w:p>
        </w:tc>
        <w:tc>
          <w:tcPr>
            <w:tcW w:w="944" w:type="dxa"/>
            <w:vAlign w:val="center"/>
          </w:tcPr>
          <w:p w14:paraId="2F10BAA6">
            <w:pPr>
              <w:jc w:val="center"/>
              <w:rPr>
                <w:sz w:val="22"/>
                <w:szCs w:val="22"/>
              </w:rPr>
            </w:pPr>
          </w:p>
        </w:tc>
        <w:tc>
          <w:tcPr>
            <w:tcW w:w="1116" w:type="dxa"/>
            <w:noWrap/>
            <w:vAlign w:val="center"/>
          </w:tcPr>
          <w:p w14:paraId="2FD537C4">
            <w:pPr>
              <w:jc w:val="center"/>
              <w:rPr>
                <w:sz w:val="22"/>
                <w:szCs w:val="22"/>
              </w:rPr>
            </w:pPr>
          </w:p>
        </w:tc>
        <w:tc>
          <w:tcPr>
            <w:tcW w:w="1010" w:type="dxa"/>
            <w:noWrap/>
            <w:vAlign w:val="center"/>
          </w:tcPr>
          <w:p w14:paraId="21C91C4B">
            <w:pPr>
              <w:jc w:val="center"/>
              <w:rPr>
                <w:sz w:val="22"/>
                <w:szCs w:val="22"/>
              </w:rPr>
            </w:pPr>
          </w:p>
        </w:tc>
        <w:tc>
          <w:tcPr>
            <w:tcW w:w="1591" w:type="dxa"/>
            <w:noWrap/>
            <w:vAlign w:val="center"/>
          </w:tcPr>
          <w:p w14:paraId="3B4F24AA">
            <w:pPr>
              <w:jc w:val="center"/>
              <w:rPr>
                <w:sz w:val="22"/>
                <w:szCs w:val="22"/>
              </w:rPr>
            </w:pPr>
          </w:p>
        </w:tc>
        <w:tc>
          <w:tcPr>
            <w:tcW w:w="1700" w:type="dxa"/>
            <w:noWrap/>
            <w:vAlign w:val="center"/>
          </w:tcPr>
          <w:p w14:paraId="663E692B">
            <w:pPr>
              <w:jc w:val="center"/>
              <w:rPr>
                <w:sz w:val="22"/>
                <w:szCs w:val="22"/>
              </w:rPr>
            </w:pPr>
          </w:p>
        </w:tc>
        <w:tc>
          <w:tcPr>
            <w:tcW w:w="1140" w:type="dxa"/>
            <w:noWrap/>
            <w:vAlign w:val="center"/>
          </w:tcPr>
          <w:p w14:paraId="0355878B">
            <w:pPr>
              <w:jc w:val="center"/>
              <w:rPr>
                <w:sz w:val="22"/>
                <w:szCs w:val="22"/>
              </w:rPr>
            </w:pPr>
          </w:p>
        </w:tc>
      </w:tr>
      <w:tr w14:paraId="3827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AB25DD8">
            <w:pPr>
              <w:jc w:val="center"/>
              <w:rPr>
                <w:sz w:val="22"/>
                <w:szCs w:val="22"/>
              </w:rPr>
            </w:pPr>
            <w:r>
              <w:rPr>
                <w:sz w:val="22"/>
                <w:szCs w:val="22"/>
              </w:rPr>
              <w:t>1</w:t>
            </w:r>
          </w:p>
        </w:tc>
        <w:tc>
          <w:tcPr>
            <w:tcW w:w="1752" w:type="dxa"/>
            <w:vMerge w:val="continue"/>
            <w:vAlign w:val="center"/>
          </w:tcPr>
          <w:p w14:paraId="57C71C5C">
            <w:pPr>
              <w:jc w:val="center"/>
              <w:rPr>
                <w:sz w:val="22"/>
                <w:szCs w:val="22"/>
              </w:rPr>
            </w:pPr>
          </w:p>
        </w:tc>
        <w:tc>
          <w:tcPr>
            <w:tcW w:w="944" w:type="dxa"/>
            <w:vAlign w:val="center"/>
          </w:tcPr>
          <w:p w14:paraId="0C97CDB1">
            <w:pPr>
              <w:jc w:val="center"/>
              <w:rPr>
                <w:sz w:val="22"/>
                <w:szCs w:val="22"/>
              </w:rPr>
            </w:pPr>
            <w:r>
              <w:rPr>
                <w:sz w:val="22"/>
                <w:szCs w:val="22"/>
              </w:rPr>
              <w:t>BT-01</w:t>
            </w:r>
          </w:p>
        </w:tc>
        <w:tc>
          <w:tcPr>
            <w:tcW w:w="1116" w:type="dxa"/>
            <w:vAlign w:val="center"/>
          </w:tcPr>
          <w:p w14:paraId="36BAB1BA">
            <w:pPr>
              <w:jc w:val="center"/>
              <w:rPr>
                <w:sz w:val="22"/>
                <w:szCs w:val="22"/>
              </w:rPr>
            </w:pPr>
            <w:r>
              <w:rPr>
                <w:sz w:val="22"/>
                <w:szCs w:val="22"/>
              </w:rPr>
              <w:t>3</w:t>
            </w:r>
          </w:p>
        </w:tc>
        <w:tc>
          <w:tcPr>
            <w:tcW w:w="1010" w:type="dxa"/>
            <w:vAlign w:val="center"/>
          </w:tcPr>
          <w:p w14:paraId="33410FC7">
            <w:pPr>
              <w:jc w:val="center"/>
              <w:rPr>
                <w:sz w:val="22"/>
                <w:szCs w:val="22"/>
              </w:rPr>
            </w:pPr>
            <w:r>
              <w:rPr>
                <w:sz w:val="22"/>
                <w:szCs w:val="22"/>
              </w:rPr>
              <w:t>324,0</w:t>
            </w:r>
          </w:p>
        </w:tc>
        <w:tc>
          <w:tcPr>
            <w:tcW w:w="1591" w:type="dxa"/>
            <w:vAlign w:val="center"/>
          </w:tcPr>
          <w:p w14:paraId="62070BA6">
            <w:pPr>
              <w:jc w:val="center"/>
              <w:rPr>
                <w:sz w:val="22"/>
                <w:szCs w:val="22"/>
              </w:rPr>
            </w:pPr>
            <w:r>
              <w:rPr>
                <w:sz w:val="22"/>
                <w:szCs w:val="22"/>
              </w:rPr>
              <w:t>2.656.800.000</w:t>
            </w:r>
          </w:p>
        </w:tc>
        <w:tc>
          <w:tcPr>
            <w:tcW w:w="1700" w:type="dxa"/>
            <w:vAlign w:val="center"/>
          </w:tcPr>
          <w:p w14:paraId="4356CEA6">
            <w:pPr>
              <w:jc w:val="center"/>
              <w:rPr>
                <w:sz w:val="22"/>
                <w:szCs w:val="22"/>
              </w:rPr>
            </w:pPr>
            <w:r>
              <w:rPr>
                <w:sz w:val="22"/>
                <w:szCs w:val="22"/>
              </w:rPr>
              <w:t>2.662.000.000</w:t>
            </w:r>
          </w:p>
        </w:tc>
        <w:tc>
          <w:tcPr>
            <w:tcW w:w="1140" w:type="dxa"/>
            <w:noWrap/>
            <w:vAlign w:val="center"/>
          </w:tcPr>
          <w:p w14:paraId="74428CFE">
            <w:pPr>
              <w:jc w:val="center"/>
              <w:rPr>
                <w:sz w:val="22"/>
                <w:szCs w:val="22"/>
              </w:rPr>
            </w:pPr>
            <w:r>
              <w:rPr>
                <w:sz w:val="22"/>
                <w:szCs w:val="22"/>
              </w:rPr>
              <w:t>1,00%</w:t>
            </w:r>
          </w:p>
        </w:tc>
      </w:tr>
      <w:tr w14:paraId="4B78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F90AB84">
            <w:pPr>
              <w:jc w:val="center"/>
              <w:rPr>
                <w:sz w:val="22"/>
                <w:szCs w:val="22"/>
              </w:rPr>
            </w:pPr>
            <w:r>
              <w:rPr>
                <w:sz w:val="22"/>
                <w:szCs w:val="22"/>
              </w:rPr>
              <w:t>2</w:t>
            </w:r>
          </w:p>
        </w:tc>
        <w:tc>
          <w:tcPr>
            <w:tcW w:w="1752" w:type="dxa"/>
            <w:vMerge w:val="continue"/>
            <w:vAlign w:val="center"/>
          </w:tcPr>
          <w:p w14:paraId="1C10CBCF">
            <w:pPr>
              <w:jc w:val="center"/>
              <w:rPr>
                <w:sz w:val="22"/>
                <w:szCs w:val="22"/>
              </w:rPr>
            </w:pPr>
          </w:p>
        </w:tc>
        <w:tc>
          <w:tcPr>
            <w:tcW w:w="944" w:type="dxa"/>
            <w:vMerge w:val="restart"/>
            <w:vAlign w:val="center"/>
          </w:tcPr>
          <w:p w14:paraId="4B678A8E">
            <w:pPr>
              <w:jc w:val="center"/>
              <w:rPr>
                <w:sz w:val="22"/>
                <w:szCs w:val="22"/>
              </w:rPr>
            </w:pPr>
            <w:r>
              <w:rPr>
                <w:sz w:val="22"/>
                <w:szCs w:val="22"/>
              </w:rPr>
              <w:t>LK-05</w:t>
            </w:r>
          </w:p>
        </w:tc>
        <w:tc>
          <w:tcPr>
            <w:tcW w:w="1116" w:type="dxa"/>
            <w:vAlign w:val="center"/>
          </w:tcPr>
          <w:p w14:paraId="5E3B58EE">
            <w:pPr>
              <w:jc w:val="center"/>
              <w:rPr>
                <w:sz w:val="22"/>
                <w:szCs w:val="22"/>
              </w:rPr>
            </w:pPr>
            <w:r>
              <w:rPr>
                <w:sz w:val="22"/>
                <w:szCs w:val="22"/>
              </w:rPr>
              <w:t>1</w:t>
            </w:r>
          </w:p>
        </w:tc>
        <w:tc>
          <w:tcPr>
            <w:tcW w:w="1010" w:type="dxa"/>
            <w:vAlign w:val="center"/>
          </w:tcPr>
          <w:p w14:paraId="25CF7928">
            <w:pPr>
              <w:jc w:val="center"/>
              <w:rPr>
                <w:sz w:val="22"/>
                <w:szCs w:val="22"/>
              </w:rPr>
            </w:pPr>
            <w:r>
              <w:rPr>
                <w:sz w:val="22"/>
                <w:szCs w:val="22"/>
              </w:rPr>
              <w:t>145,0</w:t>
            </w:r>
          </w:p>
        </w:tc>
        <w:tc>
          <w:tcPr>
            <w:tcW w:w="1591" w:type="dxa"/>
            <w:vAlign w:val="center"/>
          </w:tcPr>
          <w:p w14:paraId="2367AD14">
            <w:pPr>
              <w:jc w:val="center"/>
              <w:rPr>
                <w:sz w:val="22"/>
                <w:szCs w:val="22"/>
              </w:rPr>
            </w:pPr>
            <w:r>
              <w:rPr>
                <w:sz w:val="22"/>
                <w:szCs w:val="22"/>
              </w:rPr>
              <w:t>1.740.000.000</w:t>
            </w:r>
          </w:p>
        </w:tc>
        <w:tc>
          <w:tcPr>
            <w:tcW w:w="1700" w:type="dxa"/>
            <w:vAlign w:val="center"/>
          </w:tcPr>
          <w:p w14:paraId="5B679EEC">
            <w:pPr>
              <w:jc w:val="center"/>
              <w:rPr>
                <w:sz w:val="22"/>
                <w:szCs w:val="22"/>
              </w:rPr>
            </w:pPr>
            <w:r>
              <w:rPr>
                <w:sz w:val="22"/>
                <w:szCs w:val="22"/>
              </w:rPr>
              <w:t>1.952.500.000</w:t>
            </w:r>
          </w:p>
        </w:tc>
        <w:tc>
          <w:tcPr>
            <w:tcW w:w="1140" w:type="dxa"/>
            <w:noWrap/>
            <w:vAlign w:val="center"/>
          </w:tcPr>
          <w:p w14:paraId="3148A897">
            <w:pPr>
              <w:jc w:val="center"/>
              <w:rPr>
                <w:sz w:val="22"/>
                <w:szCs w:val="22"/>
              </w:rPr>
            </w:pPr>
            <w:r>
              <w:rPr>
                <w:sz w:val="22"/>
                <w:szCs w:val="22"/>
              </w:rPr>
              <w:t>1,12%</w:t>
            </w:r>
          </w:p>
        </w:tc>
      </w:tr>
      <w:tr w14:paraId="27C2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6499A38">
            <w:pPr>
              <w:jc w:val="center"/>
              <w:rPr>
                <w:sz w:val="22"/>
                <w:szCs w:val="22"/>
              </w:rPr>
            </w:pPr>
            <w:r>
              <w:rPr>
                <w:sz w:val="22"/>
                <w:szCs w:val="22"/>
              </w:rPr>
              <w:t>3</w:t>
            </w:r>
          </w:p>
        </w:tc>
        <w:tc>
          <w:tcPr>
            <w:tcW w:w="1752" w:type="dxa"/>
            <w:vMerge w:val="continue"/>
            <w:vAlign w:val="center"/>
          </w:tcPr>
          <w:p w14:paraId="30AE3547">
            <w:pPr>
              <w:jc w:val="center"/>
              <w:rPr>
                <w:sz w:val="22"/>
                <w:szCs w:val="22"/>
              </w:rPr>
            </w:pPr>
          </w:p>
        </w:tc>
        <w:tc>
          <w:tcPr>
            <w:tcW w:w="944" w:type="dxa"/>
            <w:vMerge w:val="continue"/>
            <w:vAlign w:val="center"/>
          </w:tcPr>
          <w:p w14:paraId="263EC3F4">
            <w:pPr>
              <w:jc w:val="center"/>
              <w:rPr>
                <w:sz w:val="22"/>
                <w:szCs w:val="22"/>
              </w:rPr>
            </w:pPr>
          </w:p>
        </w:tc>
        <w:tc>
          <w:tcPr>
            <w:tcW w:w="1116" w:type="dxa"/>
            <w:vAlign w:val="center"/>
          </w:tcPr>
          <w:p w14:paraId="50F03557">
            <w:pPr>
              <w:jc w:val="center"/>
              <w:rPr>
                <w:sz w:val="22"/>
                <w:szCs w:val="22"/>
              </w:rPr>
            </w:pPr>
            <w:r>
              <w:rPr>
                <w:sz w:val="22"/>
                <w:szCs w:val="22"/>
              </w:rPr>
              <w:t>5</w:t>
            </w:r>
          </w:p>
        </w:tc>
        <w:tc>
          <w:tcPr>
            <w:tcW w:w="1010" w:type="dxa"/>
            <w:vAlign w:val="center"/>
          </w:tcPr>
          <w:p w14:paraId="2A3B324F">
            <w:pPr>
              <w:jc w:val="center"/>
              <w:rPr>
                <w:sz w:val="22"/>
                <w:szCs w:val="22"/>
              </w:rPr>
            </w:pPr>
            <w:r>
              <w:rPr>
                <w:sz w:val="22"/>
                <w:szCs w:val="22"/>
              </w:rPr>
              <w:t>126,0</w:t>
            </w:r>
          </w:p>
        </w:tc>
        <w:tc>
          <w:tcPr>
            <w:tcW w:w="1591" w:type="dxa"/>
            <w:vAlign w:val="center"/>
          </w:tcPr>
          <w:p w14:paraId="3C05C329">
            <w:pPr>
              <w:jc w:val="center"/>
              <w:rPr>
                <w:sz w:val="22"/>
                <w:szCs w:val="22"/>
              </w:rPr>
            </w:pPr>
            <w:r>
              <w:rPr>
                <w:sz w:val="22"/>
                <w:szCs w:val="22"/>
              </w:rPr>
              <w:t>1.260.000.000</w:t>
            </w:r>
          </w:p>
        </w:tc>
        <w:tc>
          <w:tcPr>
            <w:tcW w:w="1700" w:type="dxa"/>
            <w:vAlign w:val="center"/>
          </w:tcPr>
          <w:p w14:paraId="441CDA28">
            <w:pPr>
              <w:jc w:val="center"/>
              <w:rPr>
                <w:sz w:val="22"/>
                <w:szCs w:val="22"/>
              </w:rPr>
            </w:pPr>
            <w:r>
              <w:rPr>
                <w:sz w:val="22"/>
                <w:szCs w:val="22"/>
              </w:rPr>
              <w:t>1.568.000.000</w:t>
            </w:r>
          </w:p>
        </w:tc>
        <w:tc>
          <w:tcPr>
            <w:tcW w:w="1140" w:type="dxa"/>
            <w:noWrap/>
            <w:vAlign w:val="center"/>
          </w:tcPr>
          <w:p w14:paraId="21E9F757">
            <w:pPr>
              <w:jc w:val="center"/>
              <w:rPr>
                <w:sz w:val="22"/>
                <w:szCs w:val="22"/>
              </w:rPr>
            </w:pPr>
            <w:r>
              <w:rPr>
                <w:sz w:val="22"/>
                <w:szCs w:val="22"/>
              </w:rPr>
              <w:t>1,24%</w:t>
            </w:r>
          </w:p>
        </w:tc>
      </w:tr>
      <w:tr w14:paraId="01AB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E42C43C">
            <w:pPr>
              <w:jc w:val="center"/>
              <w:rPr>
                <w:sz w:val="22"/>
                <w:szCs w:val="22"/>
              </w:rPr>
            </w:pPr>
            <w:r>
              <w:rPr>
                <w:sz w:val="22"/>
                <w:szCs w:val="22"/>
              </w:rPr>
              <w:t>4</w:t>
            </w:r>
          </w:p>
        </w:tc>
        <w:tc>
          <w:tcPr>
            <w:tcW w:w="1752" w:type="dxa"/>
            <w:vMerge w:val="continue"/>
            <w:vAlign w:val="center"/>
          </w:tcPr>
          <w:p w14:paraId="126F13F5">
            <w:pPr>
              <w:jc w:val="center"/>
              <w:rPr>
                <w:sz w:val="22"/>
                <w:szCs w:val="22"/>
              </w:rPr>
            </w:pPr>
          </w:p>
        </w:tc>
        <w:tc>
          <w:tcPr>
            <w:tcW w:w="944" w:type="dxa"/>
            <w:vMerge w:val="continue"/>
            <w:vAlign w:val="center"/>
          </w:tcPr>
          <w:p w14:paraId="4A5D4FAE">
            <w:pPr>
              <w:jc w:val="center"/>
              <w:rPr>
                <w:sz w:val="22"/>
                <w:szCs w:val="22"/>
              </w:rPr>
            </w:pPr>
          </w:p>
        </w:tc>
        <w:tc>
          <w:tcPr>
            <w:tcW w:w="1116" w:type="dxa"/>
            <w:vAlign w:val="center"/>
          </w:tcPr>
          <w:p w14:paraId="78C6B075">
            <w:pPr>
              <w:jc w:val="center"/>
              <w:rPr>
                <w:sz w:val="22"/>
                <w:szCs w:val="22"/>
              </w:rPr>
            </w:pPr>
            <w:r>
              <w:rPr>
                <w:sz w:val="22"/>
                <w:szCs w:val="22"/>
              </w:rPr>
              <w:t>6</w:t>
            </w:r>
          </w:p>
        </w:tc>
        <w:tc>
          <w:tcPr>
            <w:tcW w:w="1010" w:type="dxa"/>
            <w:vAlign w:val="center"/>
          </w:tcPr>
          <w:p w14:paraId="796C6812">
            <w:pPr>
              <w:jc w:val="center"/>
              <w:rPr>
                <w:sz w:val="22"/>
                <w:szCs w:val="22"/>
              </w:rPr>
            </w:pPr>
            <w:r>
              <w:rPr>
                <w:sz w:val="22"/>
                <w:szCs w:val="22"/>
              </w:rPr>
              <w:t>126,0</w:t>
            </w:r>
          </w:p>
        </w:tc>
        <w:tc>
          <w:tcPr>
            <w:tcW w:w="1591" w:type="dxa"/>
            <w:vAlign w:val="center"/>
          </w:tcPr>
          <w:p w14:paraId="4EE16636">
            <w:pPr>
              <w:jc w:val="center"/>
              <w:rPr>
                <w:sz w:val="22"/>
                <w:szCs w:val="22"/>
              </w:rPr>
            </w:pPr>
            <w:r>
              <w:rPr>
                <w:sz w:val="22"/>
                <w:szCs w:val="22"/>
              </w:rPr>
              <w:t>1.260.000.000</w:t>
            </w:r>
          </w:p>
        </w:tc>
        <w:tc>
          <w:tcPr>
            <w:tcW w:w="1700" w:type="dxa"/>
            <w:vAlign w:val="center"/>
          </w:tcPr>
          <w:p w14:paraId="381B0035">
            <w:pPr>
              <w:jc w:val="center"/>
              <w:rPr>
                <w:sz w:val="22"/>
                <w:szCs w:val="22"/>
              </w:rPr>
            </w:pPr>
            <w:r>
              <w:rPr>
                <w:sz w:val="22"/>
                <w:szCs w:val="22"/>
              </w:rPr>
              <w:t>1.468.000.000</w:t>
            </w:r>
          </w:p>
        </w:tc>
        <w:tc>
          <w:tcPr>
            <w:tcW w:w="1140" w:type="dxa"/>
            <w:noWrap/>
            <w:vAlign w:val="center"/>
          </w:tcPr>
          <w:p w14:paraId="7EE3BBE1">
            <w:pPr>
              <w:jc w:val="center"/>
              <w:rPr>
                <w:sz w:val="22"/>
                <w:szCs w:val="22"/>
              </w:rPr>
            </w:pPr>
            <w:r>
              <w:rPr>
                <w:sz w:val="22"/>
                <w:szCs w:val="22"/>
              </w:rPr>
              <w:t>1,17%</w:t>
            </w:r>
          </w:p>
        </w:tc>
      </w:tr>
      <w:tr w14:paraId="6AE7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0B1C2FD">
            <w:pPr>
              <w:jc w:val="center"/>
              <w:rPr>
                <w:sz w:val="22"/>
                <w:szCs w:val="22"/>
              </w:rPr>
            </w:pPr>
            <w:r>
              <w:rPr>
                <w:sz w:val="22"/>
                <w:szCs w:val="22"/>
              </w:rPr>
              <w:t>5</w:t>
            </w:r>
          </w:p>
        </w:tc>
        <w:tc>
          <w:tcPr>
            <w:tcW w:w="1752" w:type="dxa"/>
            <w:vMerge w:val="continue"/>
            <w:vAlign w:val="center"/>
          </w:tcPr>
          <w:p w14:paraId="2E9239C8">
            <w:pPr>
              <w:jc w:val="center"/>
              <w:rPr>
                <w:sz w:val="22"/>
                <w:szCs w:val="22"/>
              </w:rPr>
            </w:pPr>
          </w:p>
        </w:tc>
        <w:tc>
          <w:tcPr>
            <w:tcW w:w="944" w:type="dxa"/>
            <w:vMerge w:val="continue"/>
            <w:vAlign w:val="center"/>
          </w:tcPr>
          <w:p w14:paraId="3ABF7E48">
            <w:pPr>
              <w:jc w:val="center"/>
              <w:rPr>
                <w:sz w:val="22"/>
                <w:szCs w:val="22"/>
              </w:rPr>
            </w:pPr>
          </w:p>
        </w:tc>
        <w:tc>
          <w:tcPr>
            <w:tcW w:w="1116" w:type="dxa"/>
            <w:vAlign w:val="center"/>
          </w:tcPr>
          <w:p w14:paraId="5F5C54B7">
            <w:pPr>
              <w:jc w:val="center"/>
              <w:rPr>
                <w:sz w:val="22"/>
                <w:szCs w:val="22"/>
              </w:rPr>
            </w:pPr>
            <w:r>
              <w:rPr>
                <w:sz w:val="22"/>
                <w:szCs w:val="22"/>
              </w:rPr>
              <w:t>7</w:t>
            </w:r>
          </w:p>
        </w:tc>
        <w:tc>
          <w:tcPr>
            <w:tcW w:w="1010" w:type="dxa"/>
            <w:vAlign w:val="center"/>
          </w:tcPr>
          <w:p w14:paraId="742AD209">
            <w:pPr>
              <w:jc w:val="center"/>
              <w:rPr>
                <w:sz w:val="22"/>
                <w:szCs w:val="22"/>
              </w:rPr>
            </w:pPr>
            <w:r>
              <w:rPr>
                <w:sz w:val="22"/>
                <w:szCs w:val="22"/>
              </w:rPr>
              <w:t>126,0</w:t>
            </w:r>
          </w:p>
        </w:tc>
        <w:tc>
          <w:tcPr>
            <w:tcW w:w="1591" w:type="dxa"/>
            <w:vAlign w:val="center"/>
          </w:tcPr>
          <w:p w14:paraId="29C89024">
            <w:pPr>
              <w:jc w:val="center"/>
              <w:rPr>
                <w:sz w:val="22"/>
                <w:szCs w:val="22"/>
              </w:rPr>
            </w:pPr>
            <w:r>
              <w:rPr>
                <w:sz w:val="22"/>
                <w:szCs w:val="22"/>
              </w:rPr>
              <w:t>1.260.000.000</w:t>
            </w:r>
          </w:p>
        </w:tc>
        <w:tc>
          <w:tcPr>
            <w:tcW w:w="1700" w:type="dxa"/>
            <w:vAlign w:val="center"/>
          </w:tcPr>
          <w:p w14:paraId="0E4E8C13">
            <w:pPr>
              <w:jc w:val="center"/>
              <w:rPr>
                <w:sz w:val="22"/>
                <w:szCs w:val="22"/>
              </w:rPr>
            </w:pPr>
            <w:r>
              <w:rPr>
                <w:sz w:val="22"/>
                <w:szCs w:val="22"/>
              </w:rPr>
              <w:t>1.467.100.000</w:t>
            </w:r>
          </w:p>
        </w:tc>
        <w:tc>
          <w:tcPr>
            <w:tcW w:w="1140" w:type="dxa"/>
            <w:noWrap/>
            <w:vAlign w:val="center"/>
          </w:tcPr>
          <w:p w14:paraId="766063F4">
            <w:pPr>
              <w:jc w:val="center"/>
              <w:rPr>
                <w:sz w:val="22"/>
                <w:szCs w:val="22"/>
              </w:rPr>
            </w:pPr>
            <w:r>
              <w:rPr>
                <w:sz w:val="22"/>
                <w:szCs w:val="22"/>
              </w:rPr>
              <w:t>1,16%</w:t>
            </w:r>
          </w:p>
        </w:tc>
      </w:tr>
      <w:tr w14:paraId="1871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FBAB68F">
            <w:pPr>
              <w:jc w:val="center"/>
              <w:rPr>
                <w:sz w:val="22"/>
                <w:szCs w:val="22"/>
              </w:rPr>
            </w:pPr>
            <w:r>
              <w:rPr>
                <w:sz w:val="22"/>
                <w:szCs w:val="22"/>
              </w:rPr>
              <w:t>6</w:t>
            </w:r>
          </w:p>
        </w:tc>
        <w:tc>
          <w:tcPr>
            <w:tcW w:w="1752" w:type="dxa"/>
            <w:vMerge w:val="continue"/>
            <w:vAlign w:val="center"/>
          </w:tcPr>
          <w:p w14:paraId="48FA717A">
            <w:pPr>
              <w:jc w:val="center"/>
              <w:rPr>
                <w:sz w:val="22"/>
                <w:szCs w:val="22"/>
              </w:rPr>
            </w:pPr>
          </w:p>
        </w:tc>
        <w:tc>
          <w:tcPr>
            <w:tcW w:w="944" w:type="dxa"/>
            <w:vMerge w:val="continue"/>
            <w:vAlign w:val="center"/>
          </w:tcPr>
          <w:p w14:paraId="4AE033E1">
            <w:pPr>
              <w:jc w:val="center"/>
              <w:rPr>
                <w:sz w:val="22"/>
                <w:szCs w:val="22"/>
              </w:rPr>
            </w:pPr>
          </w:p>
        </w:tc>
        <w:tc>
          <w:tcPr>
            <w:tcW w:w="1116" w:type="dxa"/>
            <w:vAlign w:val="center"/>
          </w:tcPr>
          <w:p w14:paraId="1633216C">
            <w:pPr>
              <w:jc w:val="center"/>
              <w:rPr>
                <w:sz w:val="22"/>
                <w:szCs w:val="22"/>
              </w:rPr>
            </w:pPr>
            <w:r>
              <w:rPr>
                <w:sz w:val="22"/>
                <w:szCs w:val="22"/>
              </w:rPr>
              <w:t>8</w:t>
            </w:r>
          </w:p>
        </w:tc>
        <w:tc>
          <w:tcPr>
            <w:tcW w:w="1010" w:type="dxa"/>
            <w:vAlign w:val="center"/>
          </w:tcPr>
          <w:p w14:paraId="4295E82D">
            <w:pPr>
              <w:jc w:val="center"/>
              <w:rPr>
                <w:sz w:val="22"/>
                <w:szCs w:val="22"/>
              </w:rPr>
            </w:pPr>
            <w:r>
              <w:rPr>
                <w:sz w:val="22"/>
                <w:szCs w:val="22"/>
              </w:rPr>
              <w:t>126,0</w:t>
            </w:r>
          </w:p>
        </w:tc>
        <w:tc>
          <w:tcPr>
            <w:tcW w:w="1591" w:type="dxa"/>
            <w:vAlign w:val="center"/>
          </w:tcPr>
          <w:p w14:paraId="0BF8EC2E">
            <w:pPr>
              <w:jc w:val="center"/>
              <w:rPr>
                <w:sz w:val="22"/>
                <w:szCs w:val="22"/>
              </w:rPr>
            </w:pPr>
            <w:r>
              <w:rPr>
                <w:sz w:val="22"/>
                <w:szCs w:val="22"/>
              </w:rPr>
              <w:t>1.260.000.000</w:t>
            </w:r>
          </w:p>
        </w:tc>
        <w:tc>
          <w:tcPr>
            <w:tcW w:w="1700" w:type="dxa"/>
            <w:vAlign w:val="center"/>
          </w:tcPr>
          <w:p w14:paraId="67894E6A">
            <w:pPr>
              <w:jc w:val="center"/>
              <w:rPr>
                <w:sz w:val="22"/>
                <w:szCs w:val="22"/>
              </w:rPr>
            </w:pPr>
            <w:r>
              <w:rPr>
                <w:sz w:val="22"/>
                <w:szCs w:val="22"/>
              </w:rPr>
              <w:t>1.451.500.000</w:t>
            </w:r>
          </w:p>
        </w:tc>
        <w:tc>
          <w:tcPr>
            <w:tcW w:w="1140" w:type="dxa"/>
            <w:noWrap/>
            <w:vAlign w:val="center"/>
          </w:tcPr>
          <w:p w14:paraId="19923112">
            <w:pPr>
              <w:jc w:val="center"/>
              <w:rPr>
                <w:sz w:val="22"/>
                <w:szCs w:val="22"/>
              </w:rPr>
            </w:pPr>
            <w:r>
              <w:rPr>
                <w:sz w:val="22"/>
                <w:szCs w:val="22"/>
              </w:rPr>
              <w:t>1,15%</w:t>
            </w:r>
          </w:p>
        </w:tc>
      </w:tr>
      <w:tr w14:paraId="299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B3D40ED">
            <w:pPr>
              <w:jc w:val="center"/>
              <w:rPr>
                <w:sz w:val="22"/>
                <w:szCs w:val="22"/>
              </w:rPr>
            </w:pPr>
            <w:r>
              <w:rPr>
                <w:sz w:val="22"/>
                <w:szCs w:val="22"/>
              </w:rPr>
              <w:t>7</w:t>
            </w:r>
          </w:p>
        </w:tc>
        <w:tc>
          <w:tcPr>
            <w:tcW w:w="1752" w:type="dxa"/>
            <w:vMerge w:val="continue"/>
            <w:vAlign w:val="center"/>
          </w:tcPr>
          <w:p w14:paraId="07F0927A">
            <w:pPr>
              <w:jc w:val="center"/>
              <w:rPr>
                <w:sz w:val="22"/>
                <w:szCs w:val="22"/>
              </w:rPr>
            </w:pPr>
          </w:p>
        </w:tc>
        <w:tc>
          <w:tcPr>
            <w:tcW w:w="944" w:type="dxa"/>
            <w:vMerge w:val="continue"/>
            <w:vAlign w:val="center"/>
          </w:tcPr>
          <w:p w14:paraId="333005A6">
            <w:pPr>
              <w:jc w:val="center"/>
              <w:rPr>
                <w:sz w:val="22"/>
                <w:szCs w:val="22"/>
              </w:rPr>
            </w:pPr>
          </w:p>
        </w:tc>
        <w:tc>
          <w:tcPr>
            <w:tcW w:w="1116" w:type="dxa"/>
            <w:vAlign w:val="center"/>
          </w:tcPr>
          <w:p w14:paraId="5455750A">
            <w:pPr>
              <w:jc w:val="center"/>
              <w:rPr>
                <w:sz w:val="22"/>
                <w:szCs w:val="22"/>
              </w:rPr>
            </w:pPr>
            <w:r>
              <w:rPr>
                <w:sz w:val="22"/>
                <w:szCs w:val="22"/>
              </w:rPr>
              <w:t>9</w:t>
            </w:r>
          </w:p>
        </w:tc>
        <w:tc>
          <w:tcPr>
            <w:tcW w:w="1010" w:type="dxa"/>
            <w:vAlign w:val="center"/>
          </w:tcPr>
          <w:p w14:paraId="6D77E243">
            <w:pPr>
              <w:jc w:val="center"/>
              <w:rPr>
                <w:sz w:val="22"/>
                <w:szCs w:val="22"/>
              </w:rPr>
            </w:pPr>
            <w:r>
              <w:rPr>
                <w:sz w:val="22"/>
                <w:szCs w:val="22"/>
              </w:rPr>
              <w:t>126,0</w:t>
            </w:r>
          </w:p>
        </w:tc>
        <w:tc>
          <w:tcPr>
            <w:tcW w:w="1591" w:type="dxa"/>
            <w:vAlign w:val="center"/>
          </w:tcPr>
          <w:p w14:paraId="2B30182E">
            <w:pPr>
              <w:jc w:val="center"/>
              <w:rPr>
                <w:sz w:val="22"/>
                <w:szCs w:val="22"/>
              </w:rPr>
            </w:pPr>
            <w:r>
              <w:rPr>
                <w:sz w:val="22"/>
                <w:szCs w:val="22"/>
              </w:rPr>
              <w:t>1.260.000.000</w:t>
            </w:r>
          </w:p>
        </w:tc>
        <w:tc>
          <w:tcPr>
            <w:tcW w:w="1700" w:type="dxa"/>
            <w:vAlign w:val="center"/>
          </w:tcPr>
          <w:p w14:paraId="6F1C6FA7">
            <w:pPr>
              <w:jc w:val="center"/>
              <w:rPr>
                <w:sz w:val="22"/>
                <w:szCs w:val="22"/>
              </w:rPr>
            </w:pPr>
            <w:r>
              <w:rPr>
                <w:sz w:val="22"/>
                <w:szCs w:val="22"/>
              </w:rPr>
              <w:t>1.463.000.000</w:t>
            </w:r>
          </w:p>
        </w:tc>
        <w:tc>
          <w:tcPr>
            <w:tcW w:w="1140" w:type="dxa"/>
            <w:noWrap/>
            <w:vAlign w:val="center"/>
          </w:tcPr>
          <w:p w14:paraId="30F45CCB">
            <w:pPr>
              <w:jc w:val="center"/>
              <w:rPr>
                <w:sz w:val="22"/>
                <w:szCs w:val="22"/>
              </w:rPr>
            </w:pPr>
            <w:r>
              <w:rPr>
                <w:sz w:val="22"/>
                <w:szCs w:val="22"/>
              </w:rPr>
              <w:t>1,16%</w:t>
            </w:r>
          </w:p>
        </w:tc>
      </w:tr>
      <w:tr w14:paraId="6EB5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129A170">
            <w:pPr>
              <w:jc w:val="center"/>
              <w:rPr>
                <w:sz w:val="22"/>
                <w:szCs w:val="22"/>
              </w:rPr>
            </w:pPr>
            <w:r>
              <w:rPr>
                <w:sz w:val="22"/>
                <w:szCs w:val="22"/>
              </w:rPr>
              <w:t>8</w:t>
            </w:r>
          </w:p>
        </w:tc>
        <w:tc>
          <w:tcPr>
            <w:tcW w:w="1752" w:type="dxa"/>
            <w:vMerge w:val="continue"/>
            <w:vAlign w:val="center"/>
          </w:tcPr>
          <w:p w14:paraId="152340A6">
            <w:pPr>
              <w:jc w:val="center"/>
              <w:rPr>
                <w:sz w:val="22"/>
                <w:szCs w:val="22"/>
              </w:rPr>
            </w:pPr>
          </w:p>
        </w:tc>
        <w:tc>
          <w:tcPr>
            <w:tcW w:w="944" w:type="dxa"/>
            <w:vMerge w:val="continue"/>
            <w:vAlign w:val="center"/>
          </w:tcPr>
          <w:p w14:paraId="0473D68F">
            <w:pPr>
              <w:jc w:val="center"/>
              <w:rPr>
                <w:sz w:val="22"/>
                <w:szCs w:val="22"/>
              </w:rPr>
            </w:pPr>
          </w:p>
        </w:tc>
        <w:tc>
          <w:tcPr>
            <w:tcW w:w="1116" w:type="dxa"/>
            <w:vAlign w:val="center"/>
          </w:tcPr>
          <w:p w14:paraId="6AFACC8A">
            <w:pPr>
              <w:jc w:val="center"/>
              <w:rPr>
                <w:sz w:val="22"/>
                <w:szCs w:val="22"/>
              </w:rPr>
            </w:pPr>
            <w:r>
              <w:rPr>
                <w:sz w:val="22"/>
                <w:szCs w:val="22"/>
              </w:rPr>
              <w:t>10</w:t>
            </w:r>
          </w:p>
        </w:tc>
        <w:tc>
          <w:tcPr>
            <w:tcW w:w="1010" w:type="dxa"/>
            <w:vAlign w:val="center"/>
          </w:tcPr>
          <w:p w14:paraId="3285CADC">
            <w:pPr>
              <w:jc w:val="center"/>
              <w:rPr>
                <w:sz w:val="22"/>
                <w:szCs w:val="22"/>
              </w:rPr>
            </w:pPr>
            <w:r>
              <w:rPr>
                <w:sz w:val="22"/>
                <w:szCs w:val="22"/>
              </w:rPr>
              <w:t>126,0</w:t>
            </w:r>
          </w:p>
        </w:tc>
        <w:tc>
          <w:tcPr>
            <w:tcW w:w="1591" w:type="dxa"/>
            <w:vAlign w:val="center"/>
          </w:tcPr>
          <w:p w14:paraId="51C43628">
            <w:pPr>
              <w:jc w:val="center"/>
              <w:rPr>
                <w:sz w:val="22"/>
                <w:szCs w:val="22"/>
              </w:rPr>
            </w:pPr>
            <w:r>
              <w:rPr>
                <w:sz w:val="22"/>
                <w:szCs w:val="22"/>
              </w:rPr>
              <w:t>1.260.000.000</w:t>
            </w:r>
          </w:p>
        </w:tc>
        <w:tc>
          <w:tcPr>
            <w:tcW w:w="1700" w:type="dxa"/>
            <w:vAlign w:val="center"/>
          </w:tcPr>
          <w:p w14:paraId="6F5E8D5F">
            <w:pPr>
              <w:jc w:val="center"/>
              <w:rPr>
                <w:sz w:val="22"/>
                <w:szCs w:val="22"/>
              </w:rPr>
            </w:pPr>
            <w:r>
              <w:rPr>
                <w:sz w:val="22"/>
                <w:szCs w:val="22"/>
              </w:rPr>
              <w:t>1.422.300.000</w:t>
            </w:r>
          </w:p>
        </w:tc>
        <w:tc>
          <w:tcPr>
            <w:tcW w:w="1140" w:type="dxa"/>
            <w:noWrap/>
            <w:vAlign w:val="center"/>
          </w:tcPr>
          <w:p w14:paraId="1962647C">
            <w:pPr>
              <w:jc w:val="center"/>
              <w:rPr>
                <w:sz w:val="22"/>
                <w:szCs w:val="22"/>
              </w:rPr>
            </w:pPr>
            <w:r>
              <w:rPr>
                <w:sz w:val="22"/>
                <w:szCs w:val="22"/>
              </w:rPr>
              <w:t>1,13%</w:t>
            </w:r>
          </w:p>
        </w:tc>
      </w:tr>
      <w:tr w14:paraId="5D24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853D193">
            <w:pPr>
              <w:jc w:val="center"/>
              <w:rPr>
                <w:sz w:val="22"/>
                <w:szCs w:val="22"/>
              </w:rPr>
            </w:pPr>
            <w:r>
              <w:rPr>
                <w:sz w:val="22"/>
                <w:szCs w:val="22"/>
              </w:rPr>
              <w:t>9</w:t>
            </w:r>
          </w:p>
        </w:tc>
        <w:tc>
          <w:tcPr>
            <w:tcW w:w="1752" w:type="dxa"/>
            <w:vMerge w:val="continue"/>
            <w:vAlign w:val="center"/>
          </w:tcPr>
          <w:p w14:paraId="529BDB6E">
            <w:pPr>
              <w:jc w:val="center"/>
              <w:rPr>
                <w:sz w:val="22"/>
                <w:szCs w:val="22"/>
              </w:rPr>
            </w:pPr>
          </w:p>
        </w:tc>
        <w:tc>
          <w:tcPr>
            <w:tcW w:w="944" w:type="dxa"/>
            <w:vMerge w:val="continue"/>
            <w:vAlign w:val="center"/>
          </w:tcPr>
          <w:p w14:paraId="403DDB6F">
            <w:pPr>
              <w:jc w:val="center"/>
              <w:rPr>
                <w:sz w:val="22"/>
                <w:szCs w:val="22"/>
              </w:rPr>
            </w:pPr>
          </w:p>
        </w:tc>
        <w:tc>
          <w:tcPr>
            <w:tcW w:w="1116" w:type="dxa"/>
            <w:vAlign w:val="center"/>
          </w:tcPr>
          <w:p w14:paraId="20180E50">
            <w:pPr>
              <w:jc w:val="center"/>
              <w:rPr>
                <w:sz w:val="22"/>
                <w:szCs w:val="22"/>
              </w:rPr>
            </w:pPr>
            <w:r>
              <w:rPr>
                <w:sz w:val="22"/>
                <w:szCs w:val="22"/>
              </w:rPr>
              <w:t>11</w:t>
            </w:r>
          </w:p>
        </w:tc>
        <w:tc>
          <w:tcPr>
            <w:tcW w:w="1010" w:type="dxa"/>
            <w:vAlign w:val="center"/>
          </w:tcPr>
          <w:p w14:paraId="55E9D67F">
            <w:pPr>
              <w:jc w:val="center"/>
              <w:rPr>
                <w:sz w:val="22"/>
                <w:szCs w:val="22"/>
              </w:rPr>
            </w:pPr>
            <w:r>
              <w:rPr>
                <w:sz w:val="22"/>
                <w:szCs w:val="22"/>
              </w:rPr>
              <w:t>126,0</w:t>
            </w:r>
          </w:p>
        </w:tc>
        <w:tc>
          <w:tcPr>
            <w:tcW w:w="1591" w:type="dxa"/>
            <w:vAlign w:val="center"/>
          </w:tcPr>
          <w:p w14:paraId="06D6B243">
            <w:pPr>
              <w:jc w:val="center"/>
              <w:rPr>
                <w:sz w:val="22"/>
                <w:szCs w:val="22"/>
              </w:rPr>
            </w:pPr>
            <w:r>
              <w:rPr>
                <w:sz w:val="22"/>
                <w:szCs w:val="22"/>
              </w:rPr>
              <w:t>1.260.000.000</w:t>
            </w:r>
          </w:p>
        </w:tc>
        <w:tc>
          <w:tcPr>
            <w:tcW w:w="1700" w:type="dxa"/>
            <w:vAlign w:val="center"/>
          </w:tcPr>
          <w:p w14:paraId="75816BEF">
            <w:pPr>
              <w:jc w:val="center"/>
              <w:rPr>
                <w:sz w:val="22"/>
                <w:szCs w:val="22"/>
              </w:rPr>
            </w:pPr>
            <w:r>
              <w:rPr>
                <w:sz w:val="22"/>
                <w:szCs w:val="22"/>
              </w:rPr>
              <w:t>1.451.000.000</w:t>
            </w:r>
          </w:p>
        </w:tc>
        <w:tc>
          <w:tcPr>
            <w:tcW w:w="1140" w:type="dxa"/>
            <w:noWrap/>
            <w:vAlign w:val="center"/>
          </w:tcPr>
          <w:p w14:paraId="0116A77D">
            <w:pPr>
              <w:jc w:val="center"/>
              <w:rPr>
                <w:sz w:val="22"/>
                <w:szCs w:val="22"/>
              </w:rPr>
            </w:pPr>
            <w:r>
              <w:rPr>
                <w:sz w:val="22"/>
                <w:szCs w:val="22"/>
              </w:rPr>
              <w:t>1,15%</w:t>
            </w:r>
          </w:p>
        </w:tc>
      </w:tr>
      <w:tr w14:paraId="30F2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D7AA5B5">
            <w:pPr>
              <w:jc w:val="center"/>
              <w:rPr>
                <w:sz w:val="22"/>
                <w:szCs w:val="22"/>
              </w:rPr>
            </w:pPr>
            <w:r>
              <w:rPr>
                <w:sz w:val="22"/>
                <w:szCs w:val="22"/>
              </w:rPr>
              <w:t>10</w:t>
            </w:r>
          </w:p>
        </w:tc>
        <w:tc>
          <w:tcPr>
            <w:tcW w:w="1752" w:type="dxa"/>
            <w:vMerge w:val="continue"/>
            <w:vAlign w:val="center"/>
          </w:tcPr>
          <w:p w14:paraId="7533E1F9">
            <w:pPr>
              <w:jc w:val="center"/>
              <w:rPr>
                <w:sz w:val="22"/>
                <w:szCs w:val="22"/>
              </w:rPr>
            </w:pPr>
          </w:p>
        </w:tc>
        <w:tc>
          <w:tcPr>
            <w:tcW w:w="944" w:type="dxa"/>
            <w:vMerge w:val="continue"/>
            <w:vAlign w:val="center"/>
          </w:tcPr>
          <w:p w14:paraId="627109C3">
            <w:pPr>
              <w:jc w:val="center"/>
              <w:rPr>
                <w:sz w:val="22"/>
                <w:szCs w:val="22"/>
              </w:rPr>
            </w:pPr>
          </w:p>
        </w:tc>
        <w:tc>
          <w:tcPr>
            <w:tcW w:w="1116" w:type="dxa"/>
            <w:vAlign w:val="center"/>
          </w:tcPr>
          <w:p w14:paraId="259064DE">
            <w:pPr>
              <w:jc w:val="center"/>
              <w:rPr>
                <w:sz w:val="22"/>
                <w:szCs w:val="22"/>
              </w:rPr>
            </w:pPr>
            <w:r>
              <w:rPr>
                <w:sz w:val="22"/>
                <w:szCs w:val="22"/>
              </w:rPr>
              <w:t>12</w:t>
            </w:r>
          </w:p>
        </w:tc>
        <w:tc>
          <w:tcPr>
            <w:tcW w:w="1010" w:type="dxa"/>
            <w:vAlign w:val="center"/>
          </w:tcPr>
          <w:p w14:paraId="2F7A691F">
            <w:pPr>
              <w:jc w:val="center"/>
              <w:rPr>
                <w:sz w:val="22"/>
                <w:szCs w:val="22"/>
              </w:rPr>
            </w:pPr>
            <w:r>
              <w:rPr>
                <w:sz w:val="22"/>
                <w:szCs w:val="22"/>
              </w:rPr>
              <w:t>126,0</w:t>
            </w:r>
          </w:p>
        </w:tc>
        <w:tc>
          <w:tcPr>
            <w:tcW w:w="1591" w:type="dxa"/>
            <w:vAlign w:val="center"/>
          </w:tcPr>
          <w:p w14:paraId="061FA740">
            <w:pPr>
              <w:jc w:val="center"/>
              <w:rPr>
                <w:sz w:val="22"/>
                <w:szCs w:val="22"/>
              </w:rPr>
            </w:pPr>
            <w:r>
              <w:rPr>
                <w:sz w:val="22"/>
                <w:szCs w:val="22"/>
              </w:rPr>
              <w:t>1.260.000.000</w:t>
            </w:r>
          </w:p>
        </w:tc>
        <w:tc>
          <w:tcPr>
            <w:tcW w:w="1700" w:type="dxa"/>
            <w:vAlign w:val="center"/>
          </w:tcPr>
          <w:p w14:paraId="076005B0">
            <w:pPr>
              <w:jc w:val="center"/>
              <w:rPr>
                <w:sz w:val="22"/>
                <w:szCs w:val="22"/>
              </w:rPr>
            </w:pPr>
            <w:r>
              <w:rPr>
                <w:sz w:val="22"/>
                <w:szCs w:val="22"/>
              </w:rPr>
              <w:t>1.488.000.000</w:t>
            </w:r>
          </w:p>
        </w:tc>
        <w:tc>
          <w:tcPr>
            <w:tcW w:w="1140" w:type="dxa"/>
            <w:noWrap/>
            <w:vAlign w:val="center"/>
          </w:tcPr>
          <w:p w14:paraId="09C6F6B3">
            <w:pPr>
              <w:jc w:val="center"/>
              <w:rPr>
                <w:sz w:val="22"/>
                <w:szCs w:val="22"/>
              </w:rPr>
            </w:pPr>
            <w:r>
              <w:rPr>
                <w:sz w:val="22"/>
                <w:szCs w:val="22"/>
              </w:rPr>
              <w:t>1,18%</w:t>
            </w:r>
          </w:p>
        </w:tc>
      </w:tr>
      <w:tr w14:paraId="6BE8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1D3136B">
            <w:pPr>
              <w:jc w:val="center"/>
              <w:rPr>
                <w:sz w:val="22"/>
                <w:szCs w:val="22"/>
              </w:rPr>
            </w:pPr>
            <w:r>
              <w:rPr>
                <w:sz w:val="22"/>
                <w:szCs w:val="22"/>
              </w:rPr>
              <w:t>11</w:t>
            </w:r>
          </w:p>
        </w:tc>
        <w:tc>
          <w:tcPr>
            <w:tcW w:w="1752" w:type="dxa"/>
            <w:vMerge w:val="continue"/>
            <w:vAlign w:val="center"/>
          </w:tcPr>
          <w:p w14:paraId="499CF325">
            <w:pPr>
              <w:jc w:val="center"/>
              <w:rPr>
                <w:sz w:val="22"/>
                <w:szCs w:val="22"/>
              </w:rPr>
            </w:pPr>
          </w:p>
        </w:tc>
        <w:tc>
          <w:tcPr>
            <w:tcW w:w="944" w:type="dxa"/>
            <w:vMerge w:val="continue"/>
            <w:vAlign w:val="center"/>
          </w:tcPr>
          <w:p w14:paraId="2528B546">
            <w:pPr>
              <w:jc w:val="center"/>
              <w:rPr>
                <w:sz w:val="22"/>
                <w:szCs w:val="22"/>
              </w:rPr>
            </w:pPr>
          </w:p>
        </w:tc>
        <w:tc>
          <w:tcPr>
            <w:tcW w:w="1116" w:type="dxa"/>
            <w:vAlign w:val="center"/>
          </w:tcPr>
          <w:p w14:paraId="25BF0850">
            <w:pPr>
              <w:jc w:val="center"/>
              <w:rPr>
                <w:sz w:val="22"/>
                <w:szCs w:val="22"/>
              </w:rPr>
            </w:pPr>
            <w:r>
              <w:rPr>
                <w:sz w:val="22"/>
                <w:szCs w:val="22"/>
              </w:rPr>
              <w:t>13</w:t>
            </w:r>
          </w:p>
        </w:tc>
        <w:tc>
          <w:tcPr>
            <w:tcW w:w="1010" w:type="dxa"/>
            <w:vAlign w:val="center"/>
          </w:tcPr>
          <w:p w14:paraId="2CAE9C49">
            <w:pPr>
              <w:jc w:val="center"/>
              <w:rPr>
                <w:sz w:val="22"/>
                <w:szCs w:val="22"/>
              </w:rPr>
            </w:pPr>
            <w:r>
              <w:rPr>
                <w:sz w:val="22"/>
                <w:szCs w:val="22"/>
              </w:rPr>
              <w:t>145,23</w:t>
            </w:r>
          </w:p>
        </w:tc>
        <w:tc>
          <w:tcPr>
            <w:tcW w:w="1591" w:type="dxa"/>
            <w:vAlign w:val="center"/>
          </w:tcPr>
          <w:p w14:paraId="41AE7157">
            <w:pPr>
              <w:jc w:val="center"/>
              <w:rPr>
                <w:sz w:val="22"/>
                <w:szCs w:val="22"/>
              </w:rPr>
            </w:pPr>
            <w:r>
              <w:rPr>
                <w:sz w:val="22"/>
                <w:szCs w:val="22"/>
              </w:rPr>
              <w:t>1.452.300.000</w:t>
            </w:r>
          </w:p>
        </w:tc>
        <w:tc>
          <w:tcPr>
            <w:tcW w:w="1700" w:type="dxa"/>
            <w:vAlign w:val="center"/>
          </w:tcPr>
          <w:p w14:paraId="5C3EE1C2">
            <w:pPr>
              <w:jc w:val="center"/>
              <w:rPr>
                <w:sz w:val="22"/>
                <w:szCs w:val="22"/>
              </w:rPr>
            </w:pPr>
            <w:r>
              <w:rPr>
                <w:sz w:val="22"/>
                <w:szCs w:val="22"/>
              </w:rPr>
              <w:t>1.573.500.000</w:t>
            </w:r>
          </w:p>
        </w:tc>
        <w:tc>
          <w:tcPr>
            <w:tcW w:w="1140" w:type="dxa"/>
            <w:noWrap/>
            <w:vAlign w:val="center"/>
          </w:tcPr>
          <w:p w14:paraId="7367B06E">
            <w:pPr>
              <w:jc w:val="center"/>
              <w:rPr>
                <w:sz w:val="22"/>
                <w:szCs w:val="22"/>
              </w:rPr>
            </w:pPr>
            <w:r>
              <w:rPr>
                <w:sz w:val="22"/>
                <w:szCs w:val="22"/>
              </w:rPr>
              <w:t>1,08%</w:t>
            </w:r>
          </w:p>
        </w:tc>
      </w:tr>
      <w:tr w14:paraId="7672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EC99629">
            <w:pPr>
              <w:jc w:val="center"/>
              <w:rPr>
                <w:sz w:val="22"/>
                <w:szCs w:val="22"/>
              </w:rPr>
            </w:pPr>
            <w:r>
              <w:rPr>
                <w:sz w:val="22"/>
                <w:szCs w:val="22"/>
              </w:rPr>
              <w:t>12</w:t>
            </w:r>
          </w:p>
        </w:tc>
        <w:tc>
          <w:tcPr>
            <w:tcW w:w="1752" w:type="dxa"/>
            <w:vMerge w:val="continue"/>
            <w:vAlign w:val="center"/>
          </w:tcPr>
          <w:p w14:paraId="26927564">
            <w:pPr>
              <w:jc w:val="center"/>
              <w:rPr>
                <w:sz w:val="22"/>
                <w:szCs w:val="22"/>
              </w:rPr>
            </w:pPr>
          </w:p>
        </w:tc>
        <w:tc>
          <w:tcPr>
            <w:tcW w:w="944" w:type="dxa"/>
            <w:vMerge w:val="continue"/>
            <w:vAlign w:val="center"/>
          </w:tcPr>
          <w:p w14:paraId="5BAE56A4">
            <w:pPr>
              <w:jc w:val="center"/>
              <w:rPr>
                <w:sz w:val="22"/>
                <w:szCs w:val="22"/>
              </w:rPr>
            </w:pPr>
          </w:p>
        </w:tc>
        <w:tc>
          <w:tcPr>
            <w:tcW w:w="1116" w:type="dxa"/>
            <w:vAlign w:val="center"/>
          </w:tcPr>
          <w:p w14:paraId="4A3EBF33">
            <w:pPr>
              <w:jc w:val="center"/>
              <w:rPr>
                <w:sz w:val="22"/>
                <w:szCs w:val="22"/>
              </w:rPr>
            </w:pPr>
            <w:r>
              <w:rPr>
                <w:sz w:val="22"/>
                <w:szCs w:val="22"/>
              </w:rPr>
              <w:t>14</w:t>
            </w:r>
          </w:p>
        </w:tc>
        <w:tc>
          <w:tcPr>
            <w:tcW w:w="1010" w:type="dxa"/>
            <w:vAlign w:val="center"/>
          </w:tcPr>
          <w:p w14:paraId="6439D766">
            <w:pPr>
              <w:jc w:val="center"/>
              <w:rPr>
                <w:sz w:val="22"/>
                <w:szCs w:val="22"/>
              </w:rPr>
            </w:pPr>
            <w:r>
              <w:rPr>
                <w:sz w:val="22"/>
                <w:szCs w:val="22"/>
              </w:rPr>
              <w:t>145,0</w:t>
            </w:r>
          </w:p>
        </w:tc>
        <w:tc>
          <w:tcPr>
            <w:tcW w:w="1591" w:type="dxa"/>
            <w:vAlign w:val="center"/>
          </w:tcPr>
          <w:p w14:paraId="1A095606">
            <w:pPr>
              <w:jc w:val="center"/>
              <w:rPr>
                <w:sz w:val="22"/>
                <w:szCs w:val="22"/>
              </w:rPr>
            </w:pPr>
            <w:r>
              <w:rPr>
                <w:sz w:val="22"/>
                <w:szCs w:val="22"/>
              </w:rPr>
              <w:t>1.740.000.000</w:t>
            </w:r>
          </w:p>
        </w:tc>
        <w:tc>
          <w:tcPr>
            <w:tcW w:w="1700" w:type="dxa"/>
            <w:vAlign w:val="center"/>
          </w:tcPr>
          <w:p w14:paraId="7335E238">
            <w:pPr>
              <w:jc w:val="center"/>
              <w:rPr>
                <w:sz w:val="22"/>
                <w:szCs w:val="22"/>
              </w:rPr>
            </w:pPr>
            <w:r>
              <w:rPr>
                <w:sz w:val="22"/>
                <w:szCs w:val="22"/>
              </w:rPr>
              <w:t>1.875.500.000</w:t>
            </w:r>
          </w:p>
        </w:tc>
        <w:tc>
          <w:tcPr>
            <w:tcW w:w="1140" w:type="dxa"/>
            <w:noWrap/>
            <w:vAlign w:val="center"/>
          </w:tcPr>
          <w:p w14:paraId="75346777">
            <w:pPr>
              <w:jc w:val="center"/>
              <w:rPr>
                <w:sz w:val="22"/>
                <w:szCs w:val="22"/>
              </w:rPr>
            </w:pPr>
            <w:r>
              <w:rPr>
                <w:sz w:val="22"/>
                <w:szCs w:val="22"/>
              </w:rPr>
              <w:t>1,08%</w:t>
            </w:r>
          </w:p>
        </w:tc>
      </w:tr>
      <w:tr w14:paraId="68B7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738BE6B">
            <w:pPr>
              <w:jc w:val="center"/>
              <w:rPr>
                <w:sz w:val="22"/>
                <w:szCs w:val="22"/>
              </w:rPr>
            </w:pPr>
            <w:r>
              <w:rPr>
                <w:sz w:val="22"/>
                <w:szCs w:val="22"/>
              </w:rPr>
              <w:t>13</w:t>
            </w:r>
          </w:p>
        </w:tc>
        <w:tc>
          <w:tcPr>
            <w:tcW w:w="1752" w:type="dxa"/>
            <w:vMerge w:val="continue"/>
            <w:vAlign w:val="center"/>
          </w:tcPr>
          <w:p w14:paraId="76EDDFB7">
            <w:pPr>
              <w:jc w:val="center"/>
              <w:rPr>
                <w:sz w:val="22"/>
                <w:szCs w:val="22"/>
              </w:rPr>
            </w:pPr>
          </w:p>
        </w:tc>
        <w:tc>
          <w:tcPr>
            <w:tcW w:w="944" w:type="dxa"/>
            <w:vMerge w:val="continue"/>
            <w:vAlign w:val="center"/>
          </w:tcPr>
          <w:p w14:paraId="1EAC6F4F">
            <w:pPr>
              <w:jc w:val="center"/>
              <w:rPr>
                <w:sz w:val="22"/>
                <w:szCs w:val="22"/>
              </w:rPr>
            </w:pPr>
          </w:p>
        </w:tc>
        <w:tc>
          <w:tcPr>
            <w:tcW w:w="1116" w:type="dxa"/>
            <w:vAlign w:val="center"/>
          </w:tcPr>
          <w:p w14:paraId="5836FF0B">
            <w:pPr>
              <w:jc w:val="center"/>
              <w:rPr>
                <w:sz w:val="22"/>
                <w:szCs w:val="22"/>
              </w:rPr>
            </w:pPr>
            <w:r>
              <w:rPr>
                <w:sz w:val="22"/>
                <w:szCs w:val="22"/>
              </w:rPr>
              <w:t>15</w:t>
            </w:r>
          </w:p>
        </w:tc>
        <w:tc>
          <w:tcPr>
            <w:tcW w:w="1010" w:type="dxa"/>
            <w:vAlign w:val="center"/>
          </w:tcPr>
          <w:p w14:paraId="50E31E90">
            <w:pPr>
              <w:jc w:val="center"/>
              <w:rPr>
                <w:sz w:val="22"/>
                <w:szCs w:val="22"/>
              </w:rPr>
            </w:pPr>
            <w:r>
              <w:rPr>
                <w:sz w:val="22"/>
                <w:szCs w:val="22"/>
              </w:rPr>
              <w:t>126,0</w:t>
            </w:r>
          </w:p>
        </w:tc>
        <w:tc>
          <w:tcPr>
            <w:tcW w:w="1591" w:type="dxa"/>
            <w:vAlign w:val="center"/>
          </w:tcPr>
          <w:p w14:paraId="341864C9">
            <w:pPr>
              <w:jc w:val="center"/>
              <w:rPr>
                <w:sz w:val="22"/>
                <w:szCs w:val="22"/>
              </w:rPr>
            </w:pPr>
            <w:r>
              <w:rPr>
                <w:sz w:val="22"/>
                <w:szCs w:val="22"/>
              </w:rPr>
              <w:t>1.260.000.000</w:t>
            </w:r>
          </w:p>
        </w:tc>
        <w:tc>
          <w:tcPr>
            <w:tcW w:w="1700" w:type="dxa"/>
            <w:vAlign w:val="center"/>
          </w:tcPr>
          <w:p w14:paraId="26DF5122">
            <w:pPr>
              <w:jc w:val="center"/>
              <w:rPr>
                <w:sz w:val="22"/>
                <w:szCs w:val="22"/>
              </w:rPr>
            </w:pPr>
            <w:r>
              <w:rPr>
                <w:sz w:val="22"/>
                <w:szCs w:val="22"/>
              </w:rPr>
              <w:t>1.352.500.000</w:t>
            </w:r>
          </w:p>
        </w:tc>
        <w:tc>
          <w:tcPr>
            <w:tcW w:w="1140" w:type="dxa"/>
            <w:noWrap/>
            <w:vAlign w:val="center"/>
          </w:tcPr>
          <w:p w14:paraId="60383E38">
            <w:pPr>
              <w:jc w:val="center"/>
              <w:rPr>
                <w:sz w:val="22"/>
                <w:szCs w:val="22"/>
              </w:rPr>
            </w:pPr>
            <w:r>
              <w:rPr>
                <w:sz w:val="22"/>
                <w:szCs w:val="22"/>
              </w:rPr>
              <w:t>1,07%</w:t>
            </w:r>
          </w:p>
        </w:tc>
      </w:tr>
      <w:tr w14:paraId="01F4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1E77774">
            <w:pPr>
              <w:jc w:val="center"/>
              <w:rPr>
                <w:sz w:val="22"/>
                <w:szCs w:val="22"/>
              </w:rPr>
            </w:pPr>
            <w:r>
              <w:rPr>
                <w:sz w:val="22"/>
                <w:szCs w:val="22"/>
              </w:rPr>
              <w:t>14</w:t>
            </w:r>
          </w:p>
        </w:tc>
        <w:tc>
          <w:tcPr>
            <w:tcW w:w="1752" w:type="dxa"/>
            <w:vMerge w:val="continue"/>
            <w:vAlign w:val="center"/>
          </w:tcPr>
          <w:p w14:paraId="57DE8657">
            <w:pPr>
              <w:jc w:val="center"/>
              <w:rPr>
                <w:sz w:val="22"/>
                <w:szCs w:val="22"/>
              </w:rPr>
            </w:pPr>
          </w:p>
        </w:tc>
        <w:tc>
          <w:tcPr>
            <w:tcW w:w="944" w:type="dxa"/>
            <w:vMerge w:val="continue"/>
            <w:vAlign w:val="center"/>
          </w:tcPr>
          <w:p w14:paraId="0ED49259">
            <w:pPr>
              <w:jc w:val="center"/>
              <w:rPr>
                <w:sz w:val="22"/>
                <w:szCs w:val="22"/>
              </w:rPr>
            </w:pPr>
          </w:p>
        </w:tc>
        <w:tc>
          <w:tcPr>
            <w:tcW w:w="1116" w:type="dxa"/>
            <w:vAlign w:val="center"/>
          </w:tcPr>
          <w:p w14:paraId="0BFF128A">
            <w:pPr>
              <w:jc w:val="center"/>
              <w:rPr>
                <w:sz w:val="22"/>
                <w:szCs w:val="22"/>
              </w:rPr>
            </w:pPr>
            <w:r>
              <w:rPr>
                <w:sz w:val="22"/>
                <w:szCs w:val="22"/>
              </w:rPr>
              <w:t>16</w:t>
            </w:r>
          </w:p>
        </w:tc>
        <w:tc>
          <w:tcPr>
            <w:tcW w:w="1010" w:type="dxa"/>
            <w:vAlign w:val="center"/>
          </w:tcPr>
          <w:p w14:paraId="5376E012">
            <w:pPr>
              <w:jc w:val="center"/>
              <w:rPr>
                <w:sz w:val="22"/>
                <w:szCs w:val="22"/>
              </w:rPr>
            </w:pPr>
            <w:r>
              <w:rPr>
                <w:sz w:val="22"/>
                <w:szCs w:val="22"/>
              </w:rPr>
              <w:t>126,0</w:t>
            </w:r>
          </w:p>
        </w:tc>
        <w:tc>
          <w:tcPr>
            <w:tcW w:w="1591" w:type="dxa"/>
            <w:vAlign w:val="center"/>
          </w:tcPr>
          <w:p w14:paraId="127EE543">
            <w:pPr>
              <w:jc w:val="center"/>
              <w:rPr>
                <w:sz w:val="22"/>
                <w:szCs w:val="22"/>
              </w:rPr>
            </w:pPr>
            <w:r>
              <w:rPr>
                <w:sz w:val="22"/>
                <w:szCs w:val="22"/>
              </w:rPr>
              <w:t>1.260.000.000</w:t>
            </w:r>
          </w:p>
        </w:tc>
        <w:tc>
          <w:tcPr>
            <w:tcW w:w="1700" w:type="dxa"/>
            <w:vAlign w:val="center"/>
          </w:tcPr>
          <w:p w14:paraId="292E0333">
            <w:pPr>
              <w:jc w:val="center"/>
              <w:rPr>
                <w:sz w:val="22"/>
                <w:szCs w:val="22"/>
              </w:rPr>
            </w:pPr>
            <w:r>
              <w:rPr>
                <w:sz w:val="22"/>
                <w:szCs w:val="22"/>
              </w:rPr>
              <w:t>1.302.000.000</w:t>
            </w:r>
          </w:p>
        </w:tc>
        <w:tc>
          <w:tcPr>
            <w:tcW w:w="1140" w:type="dxa"/>
            <w:noWrap/>
            <w:vAlign w:val="center"/>
          </w:tcPr>
          <w:p w14:paraId="653D766B">
            <w:pPr>
              <w:jc w:val="center"/>
              <w:rPr>
                <w:sz w:val="22"/>
                <w:szCs w:val="22"/>
              </w:rPr>
            </w:pPr>
            <w:r>
              <w:rPr>
                <w:sz w:val="22"/>
                <w:szCs w:val="22"/>
              </w:rPr>
              <w:t>1,03%</w:t>
            </w:r>
          </w:p>
        </w:tc>
      </w:tr>
      <w:tr w14:paraId="18D5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9FE64D6">
            <w:pPr>
              <w:jc w:val="center"/>
              <w:rPr>
                <w:sz w:val="22"/>
                <w:szCs w:val="22"/>
              </w:rPr>
            </w:pPr>
            <w:r>
              <w:rPr>
                <w:sz w:val="22"/>
                <w:szCs w:val="22"/>
              </w:rPr>
              <w:t>15</w:t>
            </w:r>
          </w:p>
        </w:tc>
        <w:tc>
          <w:tcPr>
            <w:tcW w:w="1752" w:type="dxa"/>
            <w:vMerge w:val="continue"/>
            <w:vAlign w:val="center"/>
          </w:tcPr>
          <w:p w14:paraId="1F6F32B3">
            <w:pPr>
              <w:jc w:val="center"/>
              <w:rPr>
                <w:sz w:val="22"/>
                <w:szCs w:val="22"/>
              </w:rPr>
            </w:pPr>
          </w:p>
        </w:tc>
        <w:tc>
          <w:tcPr>
            <w:tcW w:w="944" w:type="dxa"/>
            <w:vMerge w:val="continue"/>
            <w:vAlign w:val="center"/>
          </w:tcPr>
          <w:p w14:paraId="07F8B60D">
            <w:pPr>
              <w:jc w:val="center"/>
              <w:rPr>
                <w:sz w:val="22"/>
                <w:szCs w:val="22"/>
              </w:rPr>
            </w:pPr>
          </w:p>
        </w:tc>
        <w:tc>
          <w:tcPr>
            <w:tcW w:w="1116" w:type="dxa"/>
            <w:vAlign w:val="center"/>
          </w:tcPr>
          <w:p w14:paraId="6B6CCCF6">
            <w:pPr>
              <w:jc w:val="center"/>
              <w:rPr>
                <w:sz w:val="22"/>
                <w:szCs w:val="22"/>
              </w:rPr>
            </w:pPr>
            <w:r>
              <w:rPr>
                <w:sz w:val="22"/>
                <w:szCs w:val="22"/>
              </w:rPr>
              <w:t>17</w:t>
            </w:r>
          </w:p>
        </w:tc>
        <w:tc>
          <w:tcPr>
            <w:tcW w:w="1010" w:type="dxa"/>
            <w:vAlign w:val="center"/>
          </w:tcPr>
          <w:p w14:paraId="47FFFB11">
            <w:pPr>
              <w:jc w:val="center"/>
              <w:rPr>
                <w:sz w:val="22"/>
                <w:szCs w:val="22"/>
              </w:rPr>
            </w:pPr>
            <w:r>
              <w:rPr>
                <w:sz w:val="22"/>
                <w:szCs w:val="22"/>
              </w:rPr>
              <w:t>126,0</w:t>
            </w:r>
          </w:p>
        </w:tc>
        <w:tc>
          <w:tcPr>
            <w:tcW w:w="1591" w:type="dxa"/>
            <w:vAlign w:val="center"/>
          </w:tcPr>
          <w:p w14:paraId="424FA533">
            <w:pPr>
              <w:jc w:val="center"/>
              <w:rPr>
                <w:sz w:val="22"/>
                <w:szCs w:val="22"/>
              </w:rPr>
            </w:pPr>
            <w:r>
              <w:rPr>
                <w:sz w:val="22"/>
                <w:szCs w:val="22"/>
              </w:rPr>
              <w:t>1.260.000.000</w:t>
            </w:r>
          </w:p>
        </w:tc>
        <w:tc>
          <w:tcPr>
            <w:tcW w:w="1700" w:type="dxa"/>
            <w:vAlign w:val="center"/>
          </w:tcPr>
          <w:p w14:paraId="04817032">
            <w:pPr>
              <w:jc w:val="center"/>
              <w:rPr>
                <w:sz w:val="22"/>
                <w:szCs w:val="22"/>
              </w:rPr>
            </w:pPr>
            <w:r>
              <w:rPr>
                <w:sz w:val="22"/>
                <w:szCs w:val="22"/>
              </w:rPr>
              <w:t>1.337.800.000</w:t>
            </w:r>
          </w:p>
        </w:tc>
        <w:tc>
          <w:tcPr>
            <w:tcW w:w="1140" w:type="dxa"/>
            <w:noWrap/>
            <w:vAlign w:val="center"/>
          </w:tcPr>
          <w:p w14:paraId="74B9D965">
            <w:pPr>
              <w:jc w:val="center"/>
              <w:rPr>
                <w:sz w:val="22"/>
                <w:szCs w:val="22"/>
              </w:rPr>
            </w:pPr>
            <w:r>
              <w:rPr>
                <w:sz w:val="22"/>
                <w:szCs w:val="22"/>
              </w:rPr>
              <w:t>1,06%</w:t>
            </w:r>
          </w:p>
        </w:tc>
      </w:tr>
      <w:tr w14:paraId="0B5F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2774AAA">
            <w:pPr>
              <w:jc w:val="center"/>
              <w:rPr>
                <w:sz w:val="22"/>
                <w:szCs w:val="22"/>
              </w:rPr>
            </w:pPr>
            <w:r>
              <w:rPr>
                <w:sz w:val="22"/>
                <w:szCs w:val="22"/>
              </w:rPr>
              <w:t>16</w:t>
            </w:r>
          </w:p>
        </w:tc>
        <w:tc>
          <w:tcPr>
            <w:tcW w:w="1752" w:type="dxa"/>
            <w:vMerge w:val="continue"/>
            <w:vAlign w:val="center"/>
          </w:tcPr>
          <w:p w14:paraId="15784D80">
            <w:pPr>
              <w:jc w:val="center"/>
              <w:rPr>
                <w:sz w:val="22"/>
                <w:szCs w:val="22"/>
              </w:rPr>
            </w:pPr>
          </w:p>
        </w:tc>
        <w:tc>
          <w:tcPr>
            <w:tcW w:w="944" w:type="dxa"/>
            <w:vMerge w:val="continue"/>
            <w:vAlign w:val="center"/>
          </w:tcPr>
          <w:p w14:paraId="4341F700">
            <w:pPr>
              <w:jc w:val="center"/>
              <w:rPr>
                <w:sz w:val="22"/>
                <w:szCs w:val="22"/>
              </w:rPr>
            </w:pPr>
          </w:p>
        </w:tc>
        <w:tc>
          <w:tcPr>
            <w:tcW w:w="1116" w:type="dxa"/>
            <w:vAlign w:val="center"/>
          </w:tcPr>
          <w:p w14:paraId="54AD8A20">
            <w:pPr>
              <w:jc w:val="center"/>
              <w:rPr>
                <w:sz w:val="22"/>
                <w:szCs w:val="22"/>
              </w:rPr>
            </w:pPr>
            <w:r>
              <w:rPr>
                <w:sz w:val="22"/>
                <w:szCs w:val="22"/>
              </w:rPr>
              <w:t>25</w:t>
            </w:r>
          </w:p>
        </w:tc>
        <w:tc>
          <w:tcPr>
            <w:tcW w:w="1010" w:type="dxa"/>
            <w:vAlign w:val="center"/>
          </w:tcPr>
          <w:p w14:paraId="2098C046">
            <w:pPr>
              <w:jc w:val="center"/>
              <w:rPr>
                <w:sz w:val="22"/>
                <w:szCs w:val="22"/>
              </w:rPr>
            </w:pPr>
            <w:r>
              <w:rPr>
                <w:sz w:val="22"/>
                <w:szCs w:val="22"/>
              </w:rPr>
              <w:t>90,0</w:t>
            </w:r>
          </w:p>
        </w:tc>
        <w:tc>
          <w:tcPr>
            <w:tcW w:w="1591" w:type="dxa"/>
            <w:vAlign w:val="center"/>
          </w:tcPr>
          <w:p w14:paraId="1F14FE52">
            <w:pPr>
              <w:jc w:val="center"/>
              <w:rPr>
                <w:sz w:val="22"/>
                <w:szCs w:val="22"/>
              </w:rPr>
            </w:pPr>
            <w:r>
              <w:rPr>
                <w:sz w:val="22"/>
                <w:szCs w:val="22"/>
              </w:rPr>
              <w:t>900.000.000</w:t>
            </w:r>
          </w:p>
        </w:tc>
        <w:tc>
          <w:tcPr>
            <w:tcW w:w="1700" w:type="dxa"/>
            <w:vAlign w:val="center"/>
          </w:tcPr>
          <w:p w14:paraId="036D4ECF">
            <w:pPr>
              <w:jc w:val="center"/>
              <w:rPr>
                <w:sz w:val="22"/>
                <w:szCs w:val="22"/>
              </w:rPr>
            </w:pPr>
            <w:r>
              <w:rPr>
                <w:sz w:val="22"/>
                <w:szCs w:val="22"/>
              </w:rPr>
              <w:t>1.106.300.000</w:t>
            </w:r>
          </w:p>
        </w:tc>
        <w:tc>
          <w:tcPr>
            <w:tcW w:w="1140" w:type="dxa"/>
            <w:noWrap/>
            <w:vAlign w:val="center"/>
          </w:tcPr>
          <w:p w14:paraId="13750576">
            <w:pPr>
              <w:jc w:val="center"/>
              <w:rPr>
                <w:sz w:val="22"/>
                <w:szCs w:val="22"/>
              </w:rPr>
            </w:pPr>
            <w:r>
              <w:rPr>
                <w:sz w:val="22"/>
                <w:szCs w:val="22"/>
              </w:rPr>
              <w:t>1,23%</w:t>
            </w:r>
          </w:p>
        </w:tc>
      </w:tr>
      <w:tr w14:paraId="0739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0D0EB27">
            <w:pPr>
              <w:jc w:val="center"/>
              <w:rPr>
                <w:sz w:val="22"/>
                <w:szCs w:val="22"/>
              </w:rPr>
            </w:pPr>
            <w:r>
              <w:rPr>
                <w:sz w:val="22"/>
                <w:szCs w:val="22"/>
              </w:rPr>
              <w:t>17</w:t>
            </w:r>
          </w:p>
        </w:tc>
        <w:tc>
          <w:tcPr>
            <w:tcW w:w="1752" w:type="dxa"/>
            <w:vMerge w:val="continue"/>
            <w:vAlign w:val="center"/>
          </w:tcPr>
          <w:p w14:paraId="49DA240A">
            <w:pPr>
              <w:jc w:val="center"/>
              <w:rPr>
                <w:sz w:val="22"/>
                <w:szCs w:val="22"/>
              </w:rPr>
            </w:pPr>
          </w:p>
        </w:tc>
        <w:tc>
          <w:tcPr>
            <w:tcW w:w="944" w:type="dxa"/>
            <w:vMerge w:val="continue"/>
            <w:vAlign w:val="center"/>
          </w:tcPr>
          <w:p w14:paraId="50A56A8D">
            <w:pPr>
              <w:jc w:val="center"/>
              <w:rPr>
                <w:sz w:val="22"/>
                <w:szCs w:val="22"/>
              </w:rPr>
            </w:pPr>
          </w:p>
        </w:tc>
        <w:tc>
          <w:tcPr>
            <w:tcW w:w="1116" w:type="dxa"/>
            <w:vAlign w:val="center"/>
          </w:tcPr>
          <w:p w14:paraId="74F571AB">
            <w:pPr>
              <w:jc w:val="center"/>
              <w:rPr>
                <w:sz w:val="22"/>
                <w:szCs w:val="22"/>
              </w:rPr>
            </w:pPr>
            <w:r>
              <w:rPr>
                <w:sz w:val="22"/>
                <w:szCs w:val="22"/>
              </w:rPr>
              <w:t>26</w:t>
            </w:r>
          </w:p>
        </w:tc>
        <w:tc>
          <w:tcPr>
            <w:tcW w:w="1010" w:type="dxa"/>
            <w:vAlign w:val="center"/>
          </w:tcPr>
          <w:p w14:paraId="0716B425">
            <w:pPr>
              <w:jc w:val="center"/>
              <w:rPr>
                <w:sz w:val="22"/>
                <w:szCs w:val="22"/>
              </w:rPr>
            </w:pPr>
            <w:r>
              <w:rPr>
                <w:sz w:val="22"/>
                <w:szCs w:val="22"/>
              </w:rPr>
              <w:t>90,0</w:t>
            </w:r>
          </w:p>
        </w:tc>
        <w:tc>
          <w:tcPr>
            <w:tcW w:w="1591" w:type="dxa"/>
            <w:vAlign w:val="center"/>
          </w:tcPr>
          <w:p w14:paraId="0D09AF35">
            <w:pPr>
              <w:jc w:val="center"/>
              <w:rPr>
                <w:sz w:val="22"/>
                <w:szCs w:val="22"/>
              </w:rPr>
            </w:pPr>
            <w:r>
              <w:rPr>
                <w:sz w:val="22"/>
                <w:szCs w:val="22"/>
              </w:rPr>
              <w:t>900.000.000</w:t>
            </w:r>
          </w:p>
        </w:tc>
        <w:tc>
          <w:tcPr>
            <w:tcW w:w="1700" w:type="dxa"/>
            <w:vAlign w:val="center"/>
          </w:tcPr>
          <w:p w14:paraId="47934DD5">
            <w:pPr>
              <w:jc w:val="center"/>
              <w:rPr>
                <w:sz w:val="22"/>
                <w:szCs w:val="22"/>
              </w:rPr>
            </w:pPr>
            <w:r>
              <w:rPr>
                <w:sz w:val="22"/>
                <w:szCs w:val="22"/>
              </w:rPr>
              <w:t>1.226.900.000</w:t>
            </w:r>
          </w:p>
        </w:tc>
        <w:tc>
          <w:tcPr>
            <w:tcW w:w="1140" w:type="dxa"/>
            <w:noWrap/>
            <w:vAlign w:val="center"/>
          </w:tcPr>
          <w:p w14:paraId="791DCC73">
            <w:pPr>
              <w:jc w:val="center"/>
              <w:rPr>
                <w:sz w:val="22"/>
                <w:szCs w:val="22"/>
              </w:rPr>
            </w:pPr>
            <w:r>
              <w:rPr>
                <w:sz w:val="22"/>
                <w:szCs w:val="22"/>
              </w:rPr>
              <w:t>1,36%</w:t>
            </w:r>
          </w:p>
        </w:tc>
      </w:tr>
      <w:tr w14:paraId="334E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FA8D612">
            <w:pPr>
              <w:jc w:val="center"/>
              <w:rPr>
                <w:sz w:val="22"/>
                <w:szCs w:val="22"/>
              </w:rPr>
            </w:pPr>
            <w:r>
              <w:rPr>
                <w:sz w:val="22"/>
                <w:szCs w:val="22"/>
              </w:rPr>
              <w:t>18</w:t>
            </w:r>
          </w:p>
        </w:tc>
        <w:tc>
          <w:tcPr>
            <w:tcW w:w="1752" w:type="dxa"/>
            <w:vMerge w:val="continue"/>
            <w:vAlign w:val="center"/>
          </w:tcPr>
          <w:p w14:paraId="4B293938">
            <w:pPr>
              <w:jc w:val="center"/>
              <w:rPr>
                <w:sz w:val="22"/>
                <w:szCs w:val="22"/>
              </w:rPr>
            </w:pPr>
          </w:p>
        </w:tc>
        <w:tc>
          <w:tcPr>
            <w:tcW w:w="944" w:type="dxa"/>
            <w:vMerge w:val="continue"/>
            <w:vAlign w:val="center"/>
          </w:tcPr>
          <w:p w14:paraId="0784FA88">
            <w:pPr>
              <w:jc w:val="center"/>
              <w:rPr>
                <w:sz w:val="22"/>
                <w:szCs w:val="22"/>
              </w:rPr>
            </w:pPr>
          </w:p>
        </w:tc>
        <w:tc>
          <w:tcPr>
            <w:tcW w:w="1116" w:type="dxa"/>
            <w:vAlign w:val="center"/>
          </w:tcPr>
          <w:p w14:paraId="138BD713">
            <w:pPr>
              <w:jc w:val="center"/>
              <w:rPr>
                <w:sz w:val="22"/>
                <w:szCs w:val="22"/>
              </w:rPr>
            </w:pPr>
            <w:r>
              <w:rPr>
                <w:sz w:val="22"/>
                <w:szCs w:val="22"/>
              </w:rPr>
              <w:t>27</w:t>
            </w:r>
          </w:p>
        </w:tc>
        <w:tc>
          <w:tcPr>
            <w:tcW w:w="1010" w:type="dxa"/>
            <w:vAlign w:val="center"/>
          </w:tcPr>
          <w:p w14:paraId="76C6B90F">
            <w:pPr>
              <w:jc w:val="center"/>
              <w:rPr>
                <w:sz w:val="22"/>
                <w:szCs w:val="22"/>
              </w:rPr>
            </w:pPr>
            <w:r>
              <w:rPr>
                <w:sz w:val="22"/>
                <w:szCs w:val="22"/>
              </w:rPr>
              <w:t>90,0</w:t>
            </w:r>
          </w:p>
        </w:tc>
        <w:tc>
          <w:tcPr>
            <w:tcW w:w="1591" w:type="dxa"/>
            <w:vAlign w:val="center"/>
          </w:tcPr>
          <w:p w14:paraId="40B66764">
            <w:pPr>
              <w:jc w:val="center"/>
              <w:rPr>
                <w:sz w:val="22"/>
                <w:szCs w:val="22"/>
              </w:rPr>
            </w:pPr>
            <w:r>
              <w:rPr>
                <w:sz w:val="22"/>
                <w:szCs w:val="22"/>
              </w:rPr>
              <w:t>900.000.000</w:t>
            </w:r>
          </w:p>
        </w:tc>
        <w:tc>
          <w:tcPr>
            <w:tcW w:w="1700" w:type="dxa"/>
            <w:vAlign w:val="center"/>
          </w:tcPr>
          <w:p w14:paraId="30A93362">
            <w:pPr>
              <w:jc w:val="center"/>
              <w:rPr>
                <w:sz w:val="22"/>
                <w:szCs w:val="22"/>
              </w:rPr>
            </w:pPr>
            <w:r>
              <w:rPr>
                <w:sz w:val="22"/>
                <w:szCs w:val="22"/>
              </w:rPr>
              <w:t>1.268.800.000</w:t>
            </w:r>
          </w:p>
        </w:tc>
        <w:tc>
          <w:tcPr>
            <w:tcW w:w="1140" w:type="dxa"/>
            <w:noWrap/>
            <w:vAlign w:val="center"/>
          </w:tcPr>
          <w:p w14:paraId="6624F816">
            <w:pPr>
              <w:jc w:val="center"/>
              <w:rPr>
                <w:sz w:val="22"/>
                <w:szCs w:val="22"/>
              </w:rPr>
            </w:pPr>
            <w:r>
              <w:rPr>
                <w:sz w:val="22"/>
                <w:szCs w:val="22"/>
              </w:rPr>
              <w:t>1,41%</w:t>
            </w:r>
          </w:p>
        </w:tc>
      </w:tr>
      <w:tr w14:paraId="4726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FFC7421">
            <w:pPr>
              <w:jc w:val="center"/>
              <w:rPr>
                <w:sz w:val="22"/>
                <w:szCs w:val="22"/>
              </w:rPr>
            </w:pPr>
            <w:r>
              <w:rPr>
                <w:sz w:val="22"/>
                <w:szCs w:val="22"/>
              </w:rPr>
              <w:t>19</w:t>
            </w:r>
          </w:p>
        </w:tc>
        <w:tc>
          <w:tcPr>
            <w:tcW w:w="1752" w:type="dxa"/>
            <w:vMerge w:val="continue"/>
            <w:vAlign w:val="center"/>
          </w:tcPr>
          <w:p w14:paraId="730003E8">
            <w:pPr>
              <w:jc w:val="center"/>
              <w:rPr>
                <w:sz w:val="22"/>
                <w:szCs w:val="22"/>
              </w:rPr>
            </w:pPr>
          </w:p>
        </w:tc>
        <w:tc>
          <w:tcPr>
            <w:tcW w:w="944" w:type="dxa"/>
            <w:vMerge w:val="continue"/>
            <w:vAlign w:val="center"/>
          </w:tcPr>
          <w:p w14:paraId="62A2C707">
            <w:pPr>
              <w:jc w:val="center"/>
              <w:rPr>
                <w:sz w:val="22"/>
                <w:szCs w:val="22"/>
              </w:rPr>
            </w:pPr>
          </w:p>
        </w:tc>
        <w:tc>
          <w:tcPr>
            <w:tcW w:w="1116" w:type="dxa"/>
            <w:vAlign w:val="center"/>
          </w:tcPr>
          <w:p w14:paraId="19BA392D">
            <w:pPr>
              <w:jc w:val="center"/>
              <w:rPr>
                <w:sz w:val="22"/>
                <w:szCs w:val="22"/>
              </w:rPr>
            </w:pPr>
            <w:r>
              <w:rPr>
                <w:sz w:val="22"/>
                <w:szCs w:val="22"/>
              </w:rPr>
              <w:t>28</w:t>
            </w:r>
          </w:p>
        </w:tc>
        <w:tc>
          <w:tcPr>
            <w:tcW w:w="1010" w:type="dxa"/>
            <w:vAlign w:val="center"/>
          </w:tcPr>
          <w:p w14:paraId="183040D4">
            <w:pPr>
              <w:jc w:val="center"/>
              <w:rPr>
                <w:sz w:val="22"/>
                <w:szCs w:val="22"/>
              </w:rPr>
            </w:pPr>
            <w:r>
              <w:rPr>
                <w:sz w:val="22"/>
                <w:szCs w:val="22"/>
              </w:rPr>
              <w:t>90,0</w:t>
            </w:r>
          </w:p>
        </w:tc>
        <w:tc>
          <w:tcPr>
            <w:tcW w:w="1591" w:type="dxa"/>
            <w:vAlign w:val="center"/>
          </w:tcPr>
          <w:p w14:paraId="0E33B174">
            <w:pPr>
              <w:jc w:val="center"/>
              <w:rPr>
                <w:sz w:val="22"/>
                <w:szCs w:val="22"/>
              </w:rPr>
            </w:pPr>
            <w:r>
              <w:rPr>
                <w:sz w:val="22"/>
                <w:szCs w:val="22"/>
              </w:rPr>
              <w:t>900.000.000</w:t>
            </w:r>
          </w:p>
        </w:tc>
        <w:tc>
          <w:tcPr>
            <w:tcW w:w="1700" w:type="dxa"/>
            <w:vAlign w:val="center"/>
          </w:tcPr>
          <w:p w14:paraId="702B5799">
            <w:pPr>
              <w:jc w:val="center"/>
              <w:rPr>
                <w:sz w:val="22"/>
                <w:szCs w:val="22"/>
              </w:rPr>
            </w:pPr>
            <w:r>
              <w:rPr>
                <w:sz w:val="22"/>
                <w:szCs w:val="22"/>
              </w:rPr>
              <w:t>1.216.900.000</w:t>
            </w:r>
          </w:p>
        </w:tc>
        <w:tc>
          <w:tcPr>
            <w:tcW w:w="1140" w:type="dxa"/>
            <w:noWrap/>
            <w:vAlign w:val="center"/>
          </w:tcPr>
          <w:p w14:paraId="49CC8C15">
            <w:pPr>
              <w:jc w:val="center"/>
              <w:rPr>
                <w:sz w:val="22"/>
                <w:szCs w:val="22"/>
              </w:rPr>
            </w:pPr>
            <w:r>
              <w:rPr>
                <w:sz w:val="22"/>
                <w:szCs w:val="22"/>
              </w:rPr>
              <w:t>1,35%</w:t>
            </w:r>
          </w:p>
        </w:tc>
      </w:tr>
      <w:tr w14:paraId="0E65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77C6AC0">
            <w:pPr>
              <w:jc w:val="center"/>
              <w:rPr>
                <w:sz w:val="22"/>
                <w:szCs w:val="22"/>
              </w:rPr>
            </w:pPr>
            <w:r>
              <w:rPr>
                <w:sz w:val="22"/>
                <w:szCs w:val="22"/>
              </w:rPr>
              <w:t>20</w:t>
            </w:r>
          </w:p>
        </w:tc>
        <w:tc>
          <w:tcPr>
            <w:tcW w:w="1752" w:type="dxa"/>
            <w:vMerge w:val="continue"/>
            <w:vAlign w:val="center"/>
          </w:tcPr>
          <w:p w14:paraId="3B182257">
            <w:pPr>
              <w:jc w:val="center"/>
              <w:rPr>
                <w:sz w:val="22"/>
                <w:szCs w:val="22"/>
              </w:rPr>
            </w:pPr>
          </w:p>
        </w:tc>
        <w:tc>
          <w:tcPr>
            <w:tcW w:w="944" w:type="dxa"/>
            <w:vMerge w:val="continue"/>
            <w:vAlign w:val="center"/>
          </w:tcPr>
          <w:p w14:paraId="27EA2E3C">
            <w:pPr>
              <w:jc w:val="center"/>
              <w:rPr>
                <w:sz w:val="22"/>
                <w:szCs w:val="22"/>
              </w:rPr>
            </w:pPr>
          </w:p>
        </w:tc>
        <w:tc>
          <w:tcPr>
            <w:tcW w:w="1116" w:type="dxa"/>
            <w:vAlign w:val="center"/>
          </w:tcPr>
          <w:p w14:paraId="5DFC8A56">
            <w:pPr>
              <w:jc w:val="center"/>
              <w:rPr>
                <w:sz w:val="22"/>
                <w:szCs w:val="22"/>
              </w:rPr>
            </w:pPr>
            <w:r>
              <w:rPr>
                <w:sz w:val="22"/>
                <w:szCs w:val="22"/>
              </w:rPr>
              <w:t>29</w:t>
            </w:r>
          </w:p>
        </w:tc>
        <w:tc>
          <w:tcPr>
            <w:tcW w:w="1010" w:type="dxa"/>
            <w:vAlign w:val="center"/>
          </w:tcPr>
          <w:p w14:paraId="3C53FD94">
            <w:pPr>
              <w:jc w:val="center"/>
              <w:rPr>
                <w:sz w:val="22"/>
                <w:szCs w:val="22"/>
              </w:rPr>
            </w:pPr>
            <w:r>
              <w:rPr>
                <w:sz w:val="22"/>
                <w:szCs w:val="22"/>
              </w:rPr>
              <w:t>90,0</w:t>
            </w:r>
          </w:p>
        </w:tc>
        <w:tc>
          <w:tcPr>
            <w:tcW w:w="1591" w:type="dxa"/>
            <w:vAlign w:val="center"/>
          </w:tcPr>
          <w:p w14:paraId="7D33E5A9">
            <w:pPr>
              <w:jc w:val="center"/>
              <w:rPr>
                <w:sz w:val="22"/>
                <w:szCs w:val="22"/>
              </w:rPr>
            </w:pPr>
            <w:r>
              <w:rPr>
                <w:sz w:val="22"/>
                <w:szCs w:val="22"/>
              </w:rPr>
              <w:t>900.000.000</w:t>
            </w:r>
          </w:p>
        </w:tc>
        <w:tc>
          <w:tcPr>
            <w:tcW w:w="1700" w:type="dxa"/>
            <w:vAlign w:val="center"/>
          </w:tcPr>
          <w:p w14:paraId="4AFE8EDD">
            <w:pPr>
              <w:jc w:val="center"/>
              <w:rPr>
                <w:sz w:val="22"/>
                <w:szCs w:val="22"/>
              </w:rPr>
            </w:pPr>
            <w:r>
              <w:rPr>
                <w:sz w:val="22"/>
                <w:szCs w:val="22"/>
              </w:rPr>
              <w:t>1.237.000.000</w:t>
            </w:r>
          </w:p>
        </w:tc>
        <w:tc>
          <w:tcPr>
            <w:tcW w:w="1140" w:type="dxa"/>
            <w:noWrap/>
            <w:vAlign w:val="center"/>
          </w:tcPr>
          <w:p w14:paraId="22BB818A">
            <w:pPr>
              <w:jc w:val="center"/>
              <w:rPr>
                <w:sz w:val="22"/>
                <w:szCs w:val="22"/>
              </w:rPr>
            </w:pPr>
            <w:r>
              <w:rPr>
                <w:sz w:val="22"/>
                <w:szCs w:val="22"/>
              </w:rPr>
              <w:t>1,37%</w:t>
            </w:r>
          </w:p>
        </w:tc>
      </w:tr>
      <w:tr w14:paraId="3D54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EAF465E">
            <w:pPr>
              <w:jc w:val="center"/>
              <w:rPr>
                <w:sz w:val="22"/>
                <w:szCs w:val="22"/>
              </w:rPr>
            </w:pPr>
            <w:r>
              <w:rPr>
                <w:sz w:val="22"/>
                <w:szCs w:val="22"/>
              </w:rPr>
              <w:t>21</w:t>
            </w:r>
          </w:p>
        </w:tc>
        <w:tc>
          <w:tcPr>
            <w:tcW w:w="1752" w:type="dxa"/>
            <w:vMerge w:val="continue"/>
            <w:vAlign w:val="center"/>
          </w:tcPr>
          <w:p w14:paraId="052B602A">
            <w:pPr>
              <w:jc w:val="center"/>
              <w:rPr>
                <w:sz w:val="22"/>
                <w:szCs w:val="22"/>
              </w:rPr>
            </w:pPr>
          </w:p>
        </w:tc>
        <w:tc>
          <w:tcPr>
            <w:tcW w:w="944" w:type="dxa"/>
            <w:vMerge w:val="continue"/>
            <w:vAlign w:val="center"/>
          </w:tcPr>
          <w:p w14:paraId="6C14E0D4">
            <w:pPr>
              <w:jc w:val="center"/>
              <w:rPr>
                <w:sz w:val="22"/>
                <w:szCs w:val="22"/>
              </w:rPr>
            </w:pPr>
          </w:p>
        </w:tc>
        <w:tc>
          <w:tcPr>
            <w:tcW w:w="1116" w:type="dxa"/>
            <w:vAlign w:val="center"/>
          </w:tcPr>
          <w:p w14:paraId="78022058">
            <w:pPr>
              <w:jc w:val="center"/>
              <w:rPr>
                <w:sz w:val="22"/>
                <w:szCs w:val="22"/>
              </w:rPr>
            </w:pPr>
            <w:r>
              <w:rPr>
                <w:sz w:val="22"/>
                <w:szCs w:val="22"/>
              </w:rPr>
              <w:t>30</w:t>
            </w:r>
          </w:p>
        </w:tc>
        <w:tc>
          <w:tcPr>
            <w:tcW w:w="1010" w:type="dxa"/>
            <w:vAlign w:val="center"/>
          </w:tcPr>
          <w:p w14:paraId="049FCF93">
            <w:pPr>
              <w:jc w:val="center"/>
              <w:rPr>
                <w:sz w:val="22"/>
                <w:szCs w:val="22"/>
              </w:rPr>
            </w:pPr>
            <w:r>
              <w:rPr>
                <w:sz w:val="22"/>
                <w:szCs w:val="22"/>
              </w:rPr>
              <w:t>126,61</w:t>
            </w:r>
          </w:p>
        </w:tc>
        <w:tc>
          <w:tcPr>
            <w:tcW w:w="1591" w:type="dxa"/>
            <w:vAlign w:val="center"/>
          </w:tcPr>
          <w:p w14:paraId="01EAFAC5">
            <w:pPr>
              <w:jc w:val="center"/>
              <w:rPr>
                <w:sz w:val="22"/>
                <w:szCs w:val="22"/>
              </w:rPr>
            </w:pPr>
            <w:r>
              <w:rPr>
                <w:sz w:val="22"/>
                <w:szCs w:val="22"/>
              </w:rPr>
              <w:t>1.266.100.000</w:t>
            </w:r>
          </w:p>
        </w:tc>
        <w:tc>
          <w:tcPr>
            <w:tcW w:w="1700" w:type="dxa"/>
            <w:vAlign w:val="center"/>
          </w:tcPr>
          <w:p w14:paraId="2EA30C2B">
            <w:pPr>
              <w:jc w:val="center"/>
              <w:rPr>
                <w:sz w:val="22"/>
                <w:szCs w:val="22"/>
              </w:rPr>
            </w:pPr>
            <w:r>
              <w:rPr>
                <w:sz w:val="22"/>
                <w:szCs w:val="22"/>
              </w:rPr>
              <w:t>1.403.500.000</w:t>
            </w:r>
          </w:p>
        </w:tc>
        <w:tc>
          <w:tcPr>
            <w:tcW w:w="1140" w:type="dxa"/>
            <w:noWrap/>
            <w:vAlign w:val="center"/>
          </w:tcPr>
          <w:p w14:paraId="401694BB">
            <w:pPr>
              <w:jc w:val="center"/>
              <w:rPr>
                <w:sz w:val="22"/>
                <w:szCs w:val="22"/>
              </w:rPr>
            </w:pPr>
            <w:r>
              <w:rPr>
                <w:sz w:val="22"/>
                <w:szCs w:val="22"/>
              </w:rPr>
              <w:t>1,11%</w:t>
            </w:r>
          </w:p>
        </w:tc>
      </w:tr>
      <w:tr w14:paraId="7F05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2F93627">
            <w:pPr>
              <w:jc w:val="center"/>
              <w:rPr>
                <w:sz w:val="22"/>
                <w:szCs w:val="22"/>
              </w:rPr>
            </w:pPr>
            <w:r>
              <w:rPr>
                <w:sz w:val="22"/>
                <w:szCs w:val="22"/>
              </w:rPr>
              <w:t>22</w:t>
            </w:r>
          </w:p>
        </w:tc>
        <w:tc>
          <w:tcPr>
            <w:tcW w:w="1752" w:type="dxa"/>
            <w:vMerge w:val="continue"/>
            <w:vAlign w:val="center"/>
          </w:tcPr>
          <w:p w14:paraId="5D9F5AA5">
            <w:pPr>
              <w:jc w:val="center"/>
              <w:rPr>
                <w:sz w:val="22"/>
                <w:szCs w:val="22"/>
              </w:rPr>
            </w:pPr>
          </w:p>
        </w:tc>
        <w:tc>
          <w:tcPr>
            <w:tcW w:w="944" w:type="dxa"/>
            <w:vMerge w:val="restart"/>
            <w:vAlign w:val="center"/>
          </w:tcPr>
          <w:p w14:paraId="45655C1C">
            <w:pPr>
              <w:jc w:val="center"/>
              <w:rPr>
                <w:sz w:val="22"/>
                <w:szCs w:val="22"/>
              </w:rPr>
            </w:pPr>
            <w:r>
              <w:rPr>
                <w:sz w:val="22"/>
                <w:szCs w:val="22"/>
              </w:rPr>
              <w:t>LK-06</w:t>
            </w:r>
          </w:p>
        </w:tc>
        <w:tc>
          <w:tcPr>
            <w:tcW w:w="1116" w:type="dxa"/>
            <w:vAlign w:val="center"/>
          </w:tcPr>
          <w:p w14:paraId="5C8B74CA">
            <w:pPr>
              <w:jc w:val="center"/>
              <w:rPr>
                <w:sz w:val="22"/>
                <w:szCs w:val="22"/>
              </w:rPr>
            </w:pPr>
            <w:r>
              <w:rPr>
                <w:sz w:val="22"/>
                <w:szCs w:val="22"/>
              </w:rPr>
              <w:t>4</w:t>
            </w:r>
          </w:p>
        </w:tc>
        <w:tc>
          <w:tcPr>
            <w:tcW w:w="1010" w:type="dxa"/>
            <w:vAlign w:val="center"/>
          </w:tcPr>
          <w:p w14:paraId="6D0C4252">
            <w:pPr>
              <w:jc w:val="center"/>
              <w:rPr>
                <w:sz w:val="22"/>
                <w:szCs w:val="22"/>
              </w:rPr>
            </w:pPr>
            <w:r>
              <w:rPr>
                <w:sz w:val="22"/>
                <w:szCs w:val="22"/>
              </w:rPr>
              <w:t>90,0</w:t>
            </w:r>
          </w:p>
        </w:tc>
        <w:tc>
          <w:tcPr>
            <w:tcW w:w="1591" w:type="dxa"/>
            <w:vAlign w:val="center"/>
          </w:tcPr>
          <w:p w14:paraId="0A5934EF">
            <w:pPr>
              <w:jc w:val="center"/>
              <w:rPr>
                <w:sz w:val="22"/>
                <w:szCs w:val="22"/>
              </w:rPr>
            </w:pPr>
            <w:r>
              <w:rPr>
                <w:sz w:val="22"/>
                <w:szCs w:val="22"/>
              </w:rPr>
              <w:t>900.000.000</w:t>
            </w:r>
          </w:p>
        </w:tc>
        <w:tc>
          <w:tcPr>
            <w:tcW w:w="1700" w:type="dxa"/>
            <w:vAlign w:val="center"/>
          </w:tcPr>
          <w:p w14:paraId="1B507318">
            <w:pPr>
              <w:jc w:val="center"/>
              <w:rPr>
                <w:sz w:val="22"/>
                <w:szCs w:val="22"/>
              </w:rPr>
            </w:pPr>
            <w:r>
              <w:rPr>
                <w:sz w:val="22"/>
                <w:szCs w:val="22"/>
              </w:rPr>
              <w:t>1.289.900.000</w:t>
            </w:r>
          </w:p>
        </w:tc>
        <w:tc>
          <w:tcPr>
            <w:tcW w:w="1140" w:type="dxa"/>
            <w:noWrap/>
            <w:vAlign w:val="center"/>
          </w:tcPr>
          <w:p w14:paraId="785C1105">
            <w:pPr>
              <w:jc w:val="center"/>
              <w:rPr>
                <w:sz w:val="22"/>
                <w:szCs w:val="22"/>
              </w:rPr>
            </w:pPr>
            <w:r>
              <w:rPr>
                <w:sz w:val="22"/>
                <w:szCs w:val="22"/>
              </w:rPr>
              <w:t>1,43%</w:t>
            </w:r>
          </w:p>
        </w:tc>
      </w:tr>
      <w:tr w14:paraId="36EB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E9F8A61">
            <w:pPr>
              <w:jc w:val="center"/>
              <w:rPr>
                <w:sz w:val="22"/>
                <w:szCs w:val="22"/>
              </w:rPr>
            </w:pPr>
            <w:r>
              <w:rPr>
                <w:sz w:val="22"/>
                <w:szCs w:val="22"/>
              </w:rPr>
              <w:t>23</w:t>
            </w:r>
          </w:p>
        </w:tc>
        <w:tc>
          <w:tcPr>
            <w:tcW w:w="1752" w:type="dxa"/>
            <w:vMerge w:val="continue"/>
            <w:vAlign w:val="center"/>
          </w:tcPr>
          <w:p w14:paraId="698C75A4">
            <w:pPr>
              <w:jc w:val="center"/>
              <w:rPr>
                <w:sz w:val="22"/>
                <w:szCs w:val="22"/>
              </w:rPr>
            </w:pPr>
          </w:p>
        </w:tc>
        <w:tc>
          <w:tcPr>
            <w:tcW w:w="944" w:type="dxa"/>
            <w:vMerge w:val="continue"/>
            <w:vAlign w:val="center"/>
          </w:tcPr>
          <w:p w14:paraId="4C89FC94">
            <w:pPr>
              <w:jc w:val="center"/>
              <w:rPr>
                <w:sz w:val="22"/>
                <w:szCs w:val="22"/>
              </w:rPr>
            </w:pPr>
          </w:p>
        </w:tc>
        <w:tc>
          <w:tcPr>
            <w:tcW w:w="1116" w:type="dxa"/>
            <w:vAlign w:val="center"/>
          </w:tcPr>
          <w:p w14:paraId="64AB9819">
            <w:pPr>
              <w:jc w:val="center"/>
              <w:rPr>
                <w:sz w:val="22"/>
                <w:szCs w:val="22"/>
              </w:rPr>
            </w:pPr>
            <w:r>
              <w:rPr>
                <w:sz w:val="22"/>
                <w:szCs w:val="22"/>
              </w:rPr>
              <w:t>5</w:t>
            </w:r>
          </w:p>
        </w:tc>
        <w:tc>
          <w:tcPr>
            <w:tcW w:w="1010" w:type="dxa"/>
            <w:vAlign w:val="center"/>
          </w:tcPr>
          <w:p w14:paraId="25F6EB39">
            <w:pPr>
              <w:jc w:val="center"/>
              <w:rPr>
                <w:sz w:val="22"/>
                <w:szCs w:val="22"/>
              </w:rPr>
            </w:pPr>
            <w:r>
              <w:rPr>
                <w:sz w:val="22"/>
                <w:szCs w:val="22"/>
              </w:rPr>
              <w:t>90,0</w:t>
            </w:r>
          </w:p>
        </w:tc>
        <w:tc>
          <w:tcPr>
            <w:tcW w:w="1591" w:type="dxa"/>
            <w:vAlign w:val="center"/>
          </w:tcPr>
          <w:p w14:paraId="0CAAB204">
            <w:pPr>
              <w:jc w:val="center"/>
              <w:rPr>
                <w:sz w:val="22"/>
                <w:szCs w:val="22"/>
              </w:rPr>
            </w:pPr>
            <w:r>
              <w:rPr>
                <w:sz w:val="22"/>
                <w:szCs w:val="22"/>
              </w:rPr>
              <w:t>900.000.000</w:t>
            </w:r>
          </w:p>
        </w:tc>
        <w:tc>
          <w:tcPr>
            <w:tcW w:w="1700" w:type="dxa"/>
            <w:vAlign w:val="center"/>
          </w:tcPr>
          <w:p w14:paraId="0B7C01CC">
            <w:pPr>
              <w:jc w:val="center"/>
              <w:rPr>
                <w:sz w:val="22"/>
                <w:szCs w:val="22"/>
              </w:rPr>
            </w:pPr>
            <w:r>
              <w:rPr>
                <w:sz w:val="22"/>
                <w:szCs w:val="22"/>
              </w:rPr>
              <w:t>1.121.300.000</w:t>
            </w:r>
          </w:p>
        </w:tc>
        <w:tc>
          <w:tcPr>
            <w:tcW w:w="1140" w:type="dxa"/>
            <w:noWrap/>
            <w:vAlign w:val="center"/>
          </w:tcPr>
          <w:p w14:paraId="2F5DA762">
            <w:pPr>
              <w:jc w:val="center"/>
              <w:rPr>
                <w:sz w:val="22"/>
                <w:szCs w:val="22"/>
              </w:rPr>
            </w:pPr>
            <w:r>
              <w:rPr>
                <w:sz w:val="22"/>
                <w:szCs w:val="22"/>
              </w:rPr>
              <w:t>1,25%</w:t>
            </w:r>
          </w:p>
        </w:tc>
      </w:tr>
      <w:tr w14:paraId="3B45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4E66BA6">
            <w:pPr>
              <w:jc w:val="center"/>
              <w:rPr>
                <w:sz w:val="22"/>
                <w:szCs w:val="22"/>
              </w:rPr>
            </w:pPr>
            <w:r>
              <w:rPr>
                <w:sz w:val="22"/>
                <w:szCs w:val="22"/>
              </w:rPr>
              <w:t>24</w:t>
            </w:r>
          </w:p>
        </w:tc>
        <w:tc>
          <w:tcPr>
            <w:tcW w:w="1752" w:type="dxa"/>
            <w:vMerge w:val="continue"/>
            <w:vAlign w:val="center"/>
          </w:tcPr>
          <w:p w14:paraId="46BCA582">
            <w:pPr>
              <w:jc w:val="center"/>
              <w:rPr>
                <w:sz w:val="22"/>
                <w:szCs w:val="22"/>
              </w:rPr>
            </w:pPr>
          </w:p>
        </w:tc>
        <w:tc>
          <w:tcPr>
            <w:tcW w:w="944" w:type="dxa"/>
            <w:vMerge w:val="continue"/>
            <w:vAlign w:val="center"/>
          </w:tcPr>
          <w:p w14:paraId="4E263CC6">
            <w:pPr>
              <w:jc w:val="center"/>
              <w:rPr>
                <w:sz w:val="22"/>
                <w:szCs w:val="22"/>
              </w:rPr>
            </w:pPr>
          </w:p>
        </w:tc>
        <w:tc>
          <w:tcPr>
            <w:tcW w:w="1116" w:type="dxa"/>
            <w:vAlign w:val="center"/>
          </w:tcPr>
          <w:p w14:paraId="2BF65BE3">
            <w:pPr>
              <w:jc w:val="center"/>
              <w:rPr>
                <w:sz w:val="22"/>
                <w:szCs w:val="22"/>
              </w:rPr>
            </w:pPr>
            <w:r>
              <w:rPr>
                <w:sz w:val="22"/>
                <w:szCs w:val="22"/>
              </w:rPr>
              <w:t>11</w:t>
            </w:r>
          </w:p>
        </w:tc>
        <w:tc>
          <w:tcPr>
            <w:tcW w:w="1010" w:type="dxa"/>
            <w:vAlign w:val="center"/>
          </w:tcPr>
          <w:p w14:paraId="252FD2C8">
            <w:pPr>
              <w:jc w:val="center"/>
              <w:rPr>
                <w:sz w:val="22"/>
                <w:szCs w:val="22"/>
              </w:rPr>
            </w:pPr>
            <w:r>
              <w:rPr>
                <w:sz w:val="22"/>
                <w:szCs w:val="22"/>
              </w:rPr>
              <w:t>90,0</w:t>
            </w:r>
          </w:p>
        </w:tc>
        <w:tc>
          <w:tcPr>
            <w:tcW w:w="1591" w:type="dxa"/>
            <w:vAlign w:val="center"/>
          </w:tcPr>
          <w:p w14:paraId="36B608CA">
            <w:pPr>
              <w:jc w:val="center"/>
              <w:rPr>
                <w:sz w:val="22"/>
                <w:szCs w:val="22"/>
              </w:rPr>
            </w:pPr>
            <w:r>
              <w:rPr>
                <w:sz w:val="22"/>
                <w:szCs w:val="22"/>
              </w:rPr>
              <w:t>900.000.000</w:t>
            </w:r>
          </w:p>
        </w:tc>
        <w:tc>
          <w:tcPr>
            <w:tcW w:w="1700" w:type="dxa"/>
            <w:vAlign w:val="center"/>
          </w:tcPr>
          <w:p w14:paraId="007C07D3">
            <w:pPr>
              <w:jc w:val="center"/>
              <w:rPr>
                <w:sz w:val="22"/>
                <w:szCs w:val="22"/>
              </w:rPr>
            </w:pPr>
            <w:r>
              <w:rPr>
                <w:sz w:val="22"/>
                <w:szCs w:val="22"/>
              </w:rPr>
              <w:t>1.150.000.000</w:t>
            </w:r>
          </w:p>
        </w:tc>
        <w:tc>
          <w:tcPr>
            <w:tcW w:w="1140" w:type="dxa"/>
            <w:noWrap/>
            <w:vAlign w:val="center"/>
          </w:tcPr>
          <w:p w14:paraId="3144E658">
            <w:pPr>
              <w:jc w:val="center"/>
              <w:rPr>
                <w:sz w:val="22"/>
                <w:szCs w:val="22"/>
              </w:rPr>
            </w:pPr>
            <w:r>
              <w:rPr>
                <w:sz w:val="22"/>
                <w:szCs w:val="22"/>
              </w:rPr>
              <w:t>1,28%</w:t>
            </w:r>
          </w:p>
        </w:tc>
      </w:tr>
      <w:tr w14:paraId="1CC7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89B74D5">
            <w:pPr>
              <w:jc w:val="center"/>
              <w:rPr>
                <w:sz w:val="22"/>
                <w:szCs w:val="22"/>
              </w:rPr>
            </w:pPr>
            <w:r>
              <w:rPr>
                <w:sz w:val="22"/>
                <w:szCs w:val="22"/>
              </w:rPr>
              <w:t>25</w:t>
            </w:r>
          </w:p>
        </w:tc>
        <w:tc>
          <w:tcPr>
            <w:tcW w:w="1752" w:type="dxa"/>
            <w:vMerge w:val="continue"/>
            <w:vAlign w:val="center"/>
          </w:tcPr>
          <w:p w14:paraId="7EDE1A4B">
            <w:pPr>
              <w:jc w:val="center"/>
              <w:rPr>
                <w:sz w:val="22"/>
                <w:szCs w:val="22"/>
              </w:rPr>
            </w:pPr>
          </w:p>
        </w:tc>
        <w:tc>
          <w:tcPr>
            <w:tcW w:w="944" w:type="dxa"/>
            <w:vMerge w:val="continue"/>
            <w:vAlign w:val="center"/>
          </w:tcPr>
          <w:p w14:paraId="29A3A675">
            <w:pPr>
              <w:jc w:val="center"/>
              <w:rPr>
                <w:sz w:val="22"/>
                <w:szCs w:val="22"/>
              </w:rPr>
            </w:pPr>
          </w:p>
        </w:tc>
        <w:tc>
          <w:tcPr>
            <w:tcW w:w="1116" w:type="dxa"/>
            <w:vAlign w:val="center"/>
          </w:tcPr>
          <w:p w14:paraId="0635B00C">
            <w:pPr>
              <w:jc w:val="center"/>
              <w:rPr>
                <w:sz w:val="22"/>
                <w:szCs w:val="22"/>
              </w:rPr>
            </w:pPr>
            <w:r>
              <w:rPr>
                <w:sz w:val="22"/>
                <w:szCs w:val="22"/>
              </w:rPr>
              <w:t>12</w:t>
            </w:r>
          </w:p>
        </w:tc>
        <w:tc>
          <w:tcPr>
            <w:tcW w:w="1010" w:type="dxa"/>
            <w:vAlign w:val="center"/>
          </w:tcPr>
          <w:p w14:paraId="54AF7228">
            <w:pPr>
              <w:jc w:val="center"/>
              <w:rPr>
                <w:sz w:val="22"/>
                <w:szCs w:val="22"/>
              </w:rPr>
            </w:pPr>
            <w:r>
              <w:rPr>
                <w:sz w:val="22"/>
                <w:szCs w:val="22"/>
              </w:rPr>
              <w:t>90,0</w:t>
            </w:r>
          </w:p>
        </w:tc>
        <w:tc>
          <w:tcPr>
            <w:tcW w:w="1591" w:type="dxa"/>
            <w:vAlign w:val="center"/>
          </w:tcPr>
          <w:p w14:paraId="69BB5267">
            <w:pPr>
              <w:jc w:val="center"/>
              <w:rPr>
                <w:sz w:val="22"/>
                <w:szCs w:val="22"/>
              </w:rPr>
            </w:pPr>
            <w:r>
              <w:rPr>
                <w:sz w:val="22"/>
                <w:szCs w:val="22"/>
              </w:rPr>
              <w:t>900.000.000</w:t>
            </w:r>
          </w:p>
        </w:tc>
        <w:tc>
          <w:tcPr>
            <w:tcW w:w="1700" w:type="dxa"/>
            <w:vAlign w:val="center"/>
          </w:tcPr>
          <w:p w14:paraId="52552C82">
            <w:pPr>
              <w:jc w:val="center"/>
              <w:rPr>
                <w:sz w:val="22"/>
                <w:szCs w:val="22"/>
              </w:rPr>
            </w:pPr>
            <w:r>
              <w:rPr>
                <w:sz w:val="22"/>
                <w:szCs w:val="22"/>
              </w:rPr>
              <w:t>1.080.000.000</w:t>
            </w:r>
          </w:p>
        </w:tc>
        <w:tc>
          <w:tcPr>
            <w:tcW w:w="1140" w:type="dxa"/>
            <w:noWrap/>
            <w:vAlign w:val="center"/>
          </w:tcPr>
          <w:p w14:paraId="28995111">
            <w:pPr>
              <w:jc w:val="center"/>
              <w:rPr>
                <w:sz w:val="22"/>
                <w:szCs w:val="22"/>
              </w:rPr>
            </w:pPr>
            <w:r>
              <w:rPr>
                <w:sz w:val="22"/>
                <w:szCs w:val="22"/>
              </w:rPr>
              <w:t>1,20%</w:t>
            </w:r>
          </w:p>
        </w:tc>
      </w:tr>
      <w:tr w14:paraId="57DC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7BDC039">
            <w:pPr>
              <w:jc w:val="center"/>
              <w:rPr>
                <w:sz w:val="22"/>
                <w:szCs w:val="22"/>
              </w:rPr>
            </w:pPr>
            <w:r>
              <w:rPr>
                <w:sz w:val="22"/>
                <w:szCs w:val="22"/>
              </w:rPr>
              <w:t>26</w:t>
            </w:r>
          </w:p>
        </w:tc>
        <w:tc>
          <w:tcPr>
            <w:tcW w:w="1752" w:type="dxa"/>
            <w:vMerge w:val="continue"/>
            <w:vAlign w:val="center"/>
          </w:tcPr>
          <w:p w14:paraId="058418F0">
            <w:pPr>
              <w:jc w:val="center"/>
              <w:rPr>
                <w:sz w:val="22"/>
                <w:szCs w:val="22"/>
              </w:rPr>
            </w:pPr>
          </w:p>
        </w:tc>
        <w:tc>
          <w:tcPr>
            <w:tcW w:w="944" w:type="dxa"/>
            <w:vMerge w:val="continue"/>
            <w:vAlign w:val="center"/>
          </w:tcPr>
          <w:p w14:paraId="37BD5494">
            <w:pPr>
              <w:jc w:val="center"/>
              <w:rPr>
                <w:sz w:val="22"/>
                <w:szCs w:val="22"/>
              </w:rPr>
            </w:pPr>
          </w:p>
        </w:tc>
        <w:tc>
          <w:tcPr>
            <w:tcW w:w="1116" w:type="dxa"/>
            <w:vAlign w:val="center"/>
          </w:tcPr>
          <w:p w14:paraId="75627DBD">
            <w:pPr>
              <w:jc w:val="center"/>
              <w:rPr>
                <w:sz w:val="22"/>
                <w:szCs w:val="22"/>
              </w:rPr>
            </w:pPr>
            <w:r>
              <w:rPr>
                <w:sz w:val="22"/>
                <w:szCs w:val="22"/>
              </w:rPr>
              <w:t>14</w:t>
            </w:r>
          </w:p>
        </w:tc>
        <w:tc>
          <w:tcPr>
            <w:tcW w:w="1010" w:type="dxa"/>
            <w:vAlign w:val="center"/>
          </w:tcPr>
          <w:p w14:paraId="5E7EC2E7">
            <w:pPr>
              <w:jc w:val="center"/>
              <w:rPr>
                <w:sz w:val="22"/>
                <w:szCs w:val="22"/>
              </w:rPr>
            </w:pPr>
            <w:r>
              <w:rPr>
                <w:sz w:val="22"/>
                <w:szCs w:val="22"/>
              </w:rPr>
              <w:t>155,96</w:t>
            </w:r>
          </w:p>
        </w:tc>
        <w:tc>
          <w:tcPr>
            <w:tcW w:w="1591" w:type="dxa"/>
            <w:vAlign w:val="center"/>
          </w:tcPr>
          <w:p w14:paraId="400812E0">
            <w:pPr>
              <w:jc w:val="center"/>
              <w:rPr>
                <w:sz w:val="22"/>
                <w:szCs w:val="22"/>
              </w:rPr>
            </w:pPr>
            <w:r>
              <w:rPr>
                <w:sz w:val="22"/>
                <w:szCs w:val="22"/>
              </w:rPr>
              <w:t>1.871.520.000</w:t>
            </w:r>
          </w:p>
        </w:tc>
        <w:tc>
          <w:tcPr>
            <w:tcW w:w="1700" w:type="dxa"/>
            <w:vAlign w:val="center"/>
          </w:tcPr>
          <w:p w14:paraId="10C8F7FD">
            <w:pPr>
              <w:jc w:val="center"/>
              <w:rPr>
                <w:sz w:val="22"/>
                <w:szCs w:val="22"/>
              </w:rPr>
            </w:pPr>
            <w:r>
              <w:rPr>
                <w:sz w:val="22"/>
                <w:szCs w:val="22"/>
              </w:rPr>
              <w:t>1.873.000.000</w:t>
            </w:r>
          </w:p>
        </w:tc>
        <w:tc>
          <w:tcPr>
            <w:tcW w:w="1140" w:type="dxa"/>
            <w:noWrap/>
            <w:vAlign w:val="center"/>
          </w:tcPr>
          <w:p w14:paraId="08DE6BDF">
            <w:pPr>
              <w:jc w:val="center"/>
              <w:rPr>
                <w:sz w:val="22"/>
                <w:szCs w:val="22"/>
              </w:rPr>
            </w:pPr>
            <w:r>
              <w:rPr>
                <w:sz w:val="22"/>
                <w:szCs w:val="22"/>
              </w:rPr>
              <w:t>1,00%</w:t>
            </w:r>
          </w:p>
        </w:tc>
      </w:tr>
      <w:tr w14:paraId="211C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409952D">
            <w:pPr>
              <w:jc w:val="center"/>
              <w:rPr>
                <w:sz w:val="22"/>
                <w:szCs w:val="22"/>
              </w:rPr>
            </w:pPr>
            <w:r>
              <w:rPr>
                <w:sz w:val="22"/>
                <w:szCs w:val="22"/>
              </w:rPr>
              <w:t>27</w:t>
            </w:r>
          </w:p>
        </w:tc>
        <w:tc>
          <w:tcPr>
            <w:tcW w:w="1752" w:type="dxa"/>
            <w:vMerge w:val="continue"/>
            <w:vAlign w:val="center"/>
          </w:tcPr>
          <w:p w14:paraId="0EACC242">
            <w:pPr>
              <w:jc w:val="center"/>
              <w:rPr>
                <w:sz w:val="22"/>
                <w:szCs w:val="22"/>
              </w:rPr>
            </w:pPr>
          </w:p>
        </w:tc>
        <w:tc>
          <w:tcPr>
            <w:tcW w:w="944" w:type="dxa"/>
            <w:vMerge w:val="continue"/>
            <w:vAlign w:val="center"/>
          </w:tcPr>
          <w:p w14:paraId="14A50877">
            <w:pPr>
              <w:jc w:val="center"/>
              <w:rPr>
                <w:sz w:val="22"/>
                <w:szCs w:val="22"/>
              </w:rPr>
            </w:pPr>
          </w:p>
        </w:tc>
        <w:tc>
          <w:tcPr>
            <w:tcW w:w="1116" w:type="dxa"/>
            <w:vAlign w:val="center"/>
          </w:tcPr>
          <w:p w14:paraId="1A427056">
            <w:pPr>
              <w:jc w:val="center"/>
              <w:rPr>
                <w:sz w:val="22"/>
                <w:szCs w:val="22"/>
              </w:rPr>
            </w:pPr>
            <w:r>
              <w:rPr>
                <w:sz w:val="22"/>
                <w:szCs w:val="22"/>
              </w:rPr>
              <w:t>17</w:t>
            </w:r>
          </w:p>
        </w:tc>
        <w:tc>
          <w:tcPr>
            <w:tcW w:w="1010" w:type="dxa"/>
            <w:vAlign w:val="center"/>
          </w:tcPr>
          <w:p w14:paraId="01DC4214">
            <w:pPr>
              <w:jc w:val="center"/>
              <w:rPr>
                <w:sz w:val="22"/>
                <w:szCs w:val="22"/>
              </w:rPr>
            </w:pPr>
            <w:r>
              <w:rPr>
                <w:sz w:val="22"/>
                <w:szCs w:val="22"/>
              </w:rPr>
              <w:t>126,0</w:t>
            </w:r>
          </w:p>
        </w:tc>
        <w:tc>
          <w:tcPr>
            <w:tcW w:w="1591" w:type="dxa"/>
            <w:vAlign w:val="center"/>
          </w:tcPr>
          <w:p w14:paraId="79DF9A88">
            <w:pPr>
              <w:jc w:val="center"/>
              <w:rPr>
                <w:sz w:val="22"/>
                <w:szCs w:val="22"/>
              </w:rPr>
            </w:pPr>
            <w:r>
              <w:rPr>
                <w:sz w:val="22"/>
                <w:szCs w:val="22"/>
              </w:rPr>
              <w:t>1.260.000.000</w:t>
            </w:r>
          </w:p>
        </w:tc>
        <w:tc>
          <w:tcPr>
            <w:tcW w:w="1700" w:type="dxa"/>
            <w:vAlign w:val="center"/>
          </w:tcPr>
          <w:p w14:paraId="12384620">
            <w:pPr>
              <w:jc w:val="center"/>
              <w:rPr>
                <w:sz w:val="22"/>
                <w:szCs w:val="22"/>
              </w:rPr>
            </w:pPr>
            <w:r>
              <w:rPr>
                <w:sz w:val="22"/>
                <w:szCs w:val="22"/>
              </w:rPr>
              <w:t>1.291.000.000</w:t>
            </w:r>
          </w:p>
        </w:tc>
        <w:tc>
          <w:tcPr>
            <w:tcW w:w="1140" w:type="dxa"/>
            <w:noWrap/>
            <w:vAlign w:val="center"/>
          </w:tcPr>
          <w:p w14:paraId="13E707A1">
            <w:pPr>
              <w:jc w:val="center"/>
              <w:rPr>
                <w:sz w:val="22"/>
                <w:szCs w:val="22"/>
              </w:rPr>
            </w:pPr>
            <w:r>
              <w:rPr>
                <w:sz w:val="22"/>
                <w:szCs w:val="22"/>
              </w:rPr>
              <w:t>1,02%</w:t>
            </w:r>
          </w:p>
        </w:tc>
      </w:tr>
      <w:tr w14:paraId="4BDB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8F55595">
            <w:pPr>
              <w:jc w:val="center"/>
              <w:rPr>
                <w:sz w:val="22"/>
                <w:szCs w:val="22"/>
              </w:rPr>
            </w:pPr>
            <w:r>
              <w:rPr>
                <w:sz w:val="22"/>
                <w:szCs w:val="22"/>
              </w:rPr>
              <w:t>28</w:t>
            </w:r>
          </w:p>
        </w:tc>
        <w:tc>
          <w:tcPr>
            <w:tcW w:w="1752" w:type="dxa"/>
            <w:vMerge w:val="continue"/>
            <w:vAlign w:val="center"/>
          </w:tcPr>
          <w:p w14:paraId="56E114E3">
            <w:pPr>
              <w:jc w:val="center"/>
              <w:rPr>
                <w:sz w:val="22"/>
                <w:szCs w:val="22"/>
              </w:rPr>
            </w:pPr>
          </w:p>
        </w:tc>
        <w:tc>
          <w:tcPr>
            <w:tcW w:w="944" w:type="dxa"/>
            <w:vMerge w:val="continue"/>
            <w:vAlign w:val="center"/>
          </w:tcPr>
          <w:p w14:paraId="13EB278D">
            <w:pPr>
              <w:jc w:val="center"/>
              <w:rPr>
                <w:sz w:val="22"/>
                <w:szCs w:val="22"/>
              </w:rPr>
            </w:pPr>
          </w:p>
        </w:tc>
        <w:tc>
          <w:tcPr>
            <w:tcW w:w="1116" w:type="dxa"/>
            <w:vAlign w:val="center"/>
          </w:tcPr>
          <w:p w14:paraId="3F5912F5">
            <w:pPr>
              <w:jc w:val="center"/>
              <w:rPr>
                <w:sz w:val="22"/>
                <w:szCs w:val="22"/>
              </w:rPr>
            </w:pPr>
            <w:r>
              <w:rPr>
                <w:sz w:val="22"/>
                <w:szCs w:val="22"/>
              </w:rPr>
              <w:t>18</w:t>
            </w:r>
          </w:p>
        </w:tc>
        <w:tc>
          <w:tcPr>
            <w:tcW w:w="1010" w:type="dxa"/>
            <w:vAlign w:val="center"/>
          </w:tcPr>
          <w:p w14:paraId="57390676">
            <w:pPr>
              <w:jc w:val="center"/>
              <w:rPr>
                <w:sz w:val="22"/>
                <w:szCs w:val="22"/>
              </w:rPr>
            </w:pPr>
            <w:r>
              <w:rPr>
                <w:sz w:val="22"/>
                <w:szCs w:val="22"/>
              </w:rPr>
              <w:t>126,0</w:t>
            </w:r>
          </w:p>
        </w:tc>
        <w:tc>
          <w:tcPr>
            <w:tcW w:w="1591" w:type="dxa"/>
            <w:vAlign w:val="center"/>
          </w:tcPr>
          <w:p w14:paraId="41B9C551">
            <w:pPr>
              <w:jc w:val="center"/>
              <w:rPr>
                <w:sz w:val="22"/>
                <w:szCs w:val="22"/>
              </w:rPr>
            </w:pPr>
            <w:r>
              <w:rPr>
                <w:sz w:val="22"/>
                <w:szCs w:val="22"/>
              </w:rPr>
              <w:t>1.260.000.000</w:t>
            </w:r>
          </w:p>
        </w:tc>
        <w:tc>
          <w:tcPr>
            <w:tcW w:w="1700" w:type="dxa"/>
            <w:vAlign w:val="center"/>
          </w:tcPr>
          <w:p w14:paraId="0ED39636">
            <w:pPr>
              <w:jc w:val="center"/>
              <w:rPr>
                <w:sz w:val="22"/>
                <w:szCs w:val="22"/>
              </w:rPr>
            </w:pPr>
            <w:r>
              <w:rPr>
                <w:sz w:val="22"/>
                <w:szCs w:val="22"/>
              </w:rPr>
              <w:t>1.380.000.000</w:t>
            </w:r>
          </w:p>
        </w:tc>
        <w:tc>
          <w:tcPr>
            <w:tcW w:w="1140" w:type="dxa"/>
            <w:noWrap/>
            <w:vAlign w:val="center"/>
          </w:tcPr>
          <w:p w14:paraId="66364AAA">
            <w:pPr>
              <w:jc w:val="center"/>
              <w:rPr>
                <w:sz w:val="22"/>
                <w:szCs w:val="22"/>
              </w:rPr>
            </w:pPr>
            <w:r>
              <w:rPr>
                <w:sz w:val="22"/>
                <w:szCs w:val="22"/>
              </w:rPr>
              <w:t>1,10%</w:t>
            </w:r>
          </w:p>
        </w:tc>
      </w:tr>
      <w:tr w14:paraId="0405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719586C">
            <w:pPr>
              <w:jc w:val="center"/>
              <w:rPr>
                <w:sz w:val="22"/>
                <w:szCs w:val="22"/>
              </w:rPr>
            </w:pPr>
            <w:r>
              <w:rPr>
                <w:sz w:val="22"/>
                <w:szCs w:val="22"/>
              </w:rPr>
              <w:t>29</w:t>
            </w:r>
          </w:p>
        </w:tc>
        <w:tc>
          <w:tcPr>
            <w:tcW w:w="1752" w:type="dxa"/>
            <w:vMerge w:val="continue"/>
            <w:vAlign w:val="center"/>
          </w:tcPr>
          <w:p w14:paraId="6261FD53">
            <w:pPr>
              <w:jc w:val="center"/>
              <w:rPr>
                <w:sz w:val="22"/>
                <w:szCs w:val="22"/>
              </w:rPr>
            </w:pPr>
          </w:p>
        </w:tc>
        <w:tc>
          <w:tcPr>
            <w:tcW w:w="944" w:type="dxa"/>
            <w:vMerge w:val="continue"/>
            <w:vAlign w:val="center"/>
          </w:tcPr>
          <w:p w14:paraId="64404E0A">
            <w:pPr>
              <w:jc w:val="center"/>
              <w:rPr>
                <w:sz w:val="22"/>
                <w:szCs w:val="22"/>
              </w:rPr>
            </w:pPr>
          </w:p>
        </w:tc>
        <w:tc>
          <w:tcPr>
            <w:tcW w:w="1116" w:type="dxa"/>
            <w:vAlign w:val="center"/>
          </w:tcPr>
          <w:p w14:paraId="11FEBD43">
            <w:pPr>
              <w:jc w:val="center"/>
              <w:rPr>
                <w:sz w:val="22"/>
                <w:szCs w:val="22"/>
              </w:rPr>
            </w:pPr>
            <w:r>
              <w:rPr>
                <w:sz w:val="22"/>
                <w:szCs w:val="22"/>
              </w:rPr>
              <w:t>19</w:t>
            </w:r>
          </w:p>
        </w:tc>
        <w:tc>
          <w:tcPr>
            <w:tcW w:w="1010" w:type="dxa"/>
            <w:vAlign w:val="center"/>
          </w:tcPr>
          <w:p w14:paraId="74AF6ED4">
            <w:pPr>
              <w:jc w:val="center"/>
              <w:rPr>
                <w:sz w:val="22"/>
                <w:szCs w:val="22"/>
              </w:rPr>
            </w:pPr>
            <w:r>
              <w:rPr>
                <w:sz w:val="22"/>
                <w:szCs w:val="22"/>
              </w:rPr>
              <w:t>126,0</w:t>
            </w:r>
          </w:p>
        </w:tc>
        <w:tc>
          <w:tcPr>
            <w:tcW w:w="1591" w:type="dxa"/>
            <w:vAlign w:val="center"/>
          </w:tcPr>
          <w:p w14:paraId="093BC3C3">
            <w:pPr>
              <w:jc w:val="center"/>
              <w:rPr>
                <w:sz w:val="22"/>
                <w:szCs w:val="22"/>
              </w:rPr>
            </w:pPr>
            <w:r>
              <w:rPr>
                <w:sz w:val="22"/>
                <w:szCs w:val="22"/>
              </w:rPr>
              <w:t>1.260.000.000</w:t>
            </w:r>
          </w:p>
        </w:tc>
        <w:tc>
          <w:tcPr>
            <w:tcW w:w="1700" w:type="dxa"/>
            <w:vAlign w:val="center"/>
          </w:tcPr>
          <w:p w14:paraId="54D1D659">
            <w:pPr>
              <w:jc w:val="center"/>
              <w:rPr>
                <w:sz w:val="22"/>
                <w:szCs w:val="22"/>
              </w:rPr>
            </w:pPr>
            <w:r>
              <w:rPr>
                <w:sz w:val="22"/>
                <w:szCs w:val="22"/>
              </w:rPr>
              <w:t>1.306.000.000</w:t>
            </w:r>
          </w:p>
        </w:tc>
        <w:tc>
          <w:tcPr>
            <w:tcW w:w="1140" w:type="dxa"/>
            <w:noWrap/>
            <w:vAlign w:val="center"/>
          </w:tcPr>
          <w:p w14:paraId="1118EB41">
            <w:pPr>
              <w:jc w:val="center"/>
              <w:rPr>
                <w:sz w:val="22"/>
                <w:szCs w:val="22"/>
              </w:rPr>
            </w:pPr>
            <w:r>
              <w:rPr>
                <w:sz w:val="22"/>
                <w:szCs w:val="22"/>
              </w:rPr>
              <w:t>1,04%</w:t>
            </w:r>
          </w:p>
        </w:tc>
      </w:tr>
      <w:tr w14:paraId="6A52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C57E7AF">
            <w:pPr>
              <w:jc w:val="center"/>
              <w:rPr>
                <w:sz w:val="22"/>
                <w:szCs w:val="22"/>
              </w:rPr>
            </w:pPr>
            <w:r>
              <w:rPr>
                <w:sz w:val="22"/>
                <w:szCs w:val="22"/>
              </w:rPr>
              <w:t>30</w:t>
            </w:r>
          </w:p>
        </w:tc>
        <w:tc>
          <w:tcPr>
            <w:tcW w:w="1752" w:type="dxa"/>
            <w:vMerge w:val="continue"/>
            <w:vAlign w:val="center"/>
          </w:tcPr>
          <w:p w14:paraId="03600A8E">
            <w:pPr>
              <w:jc w:val="center"/>
              <w:rPr>
                <w:sz w:val="22"/>
                <w:szCs w:val="22"/>
              </w:rPr>
            </w:pPr>
          </w:p>
        </w:tc>
        <w:tc>
          <w:tcPr>
            <w:tcW w:w="944" w:type="dxa"/>
            <w:vMerge w:val="continue"/>
            <w:vAlign w:val="center"/>
          </w:tcPr>
          <w:p w14:paraId="1681A54F">
            <w:pPr>
              <w:jc w:val="center"/>
              <w:rPr>
                <w:sz w:val="22"/>
                <w:szCs w:val="22"/>
              </w:rPr>
            </w:pPr>
          </w:p>
        </w:tc>
        <w:tc>
          <w:tcPr>
            <w:tcW w:w="1116" w:type="dxa"/>
            <w:vAlign w:val="center"/>
          </w:tcPr>
          <w:p w14:paraId="06AF7243">
            <w:pPr>
              <w:jc w:val="center"/>
              <w:rPr>
                <w:sz w:val="22"/>
                <w:szCs w:val="22"/>
              </w:rPr>
            </w:pPr>
            <w:r>
              <w:rPr>
                <w:sz w:val="22"/>
                <w:szCs w:val="22"/>
              </w:rPr>
              <w:t>20</w:t>
            </w:r>
          </w:p>
        </w:tc>
        <w:tc>
          <w:tcPr>
            <w:tcW w:w="1010" w:type="dxa"/>
            <w:vAlign w:val="center"/>
          </w:tcPr>
          <w:p w14:paraId="13BF2E6A">
            <w:pPr>
              <w:jc w:val="center"/>
              <w:rPr>
                <w:sz w:val="22"/>
                <w:szCs w:val="22"/>
              </w:rPr>
            </w:pPr>
            <w:r>
              <w:rPr>
                <w:sz w:val="22"/>
                <w:szCs w:val="22"/>
              </w:rPr>
              <w:t>126,0</w:t>
            </w:r>
          </w:p>
        </w:tc>
        <w:tc>
          <w:tcPr>
            <w:tcW w:w="1591" w:type="dxa"/>
            <w:vAlign w:val="center"/>
          </w:tcPr>
          <w:p w14:paraId="28644338">
            <w:pPr>
              <w:jc w:val="center"/>
              <w:rPr>
                <w:sz w:val="22"/>
                <w:szCs w:val="22"/>
              </w:rPr>
            </w:pPr>
            <w:r>
              <w:rPr>
                <w:sz w:val="22"/>
                <w:szCs w:val="22"/>
              </w:rPr>
              <w:t>1.260.000.000</w:t>
            </w:r>
          </w:p>
        </w:tc>
        <w:tc>
          <w:tcPr>
            <w:tcW w:w="1700" w:type="dxa"/>
            <w:vAlign w:val="center"/>
          </w:tcPr>
          <w:p w14:paraId="2973835A">
            <w:pPr>
              <w:jc w:val="center"/>
              <w:rPr>
                <w:sz w:val="22"/>
                <w:szCs w:val="22"/>
              </w:rPr>
            </w:pPr>
            <w:r>
              <w:rPr>
                <w:sz w:val="22"/>
                <w:szCs w:val="22"/>
              </w:rPr>
              <w:t>1.383.000.000</w:t>
            </w:r>
          </w:p>
        </w:tc>
        <w:tc>
          <w:tcPr>
            <w:tcW w:w="1140" w:type="dxa"/>
            <w:noWrap/>
            <w:vAlign w:val="center"/>
          </w:tcPr>
          <w:p w14:paraId="4F82DC86">
            <w:pPr>
              <w:jc w:val="center"/>
              <w:rPr>
                <w:sz w:val="22"/>
                <w:szCs w:val="22"/>
              </w:rPr>
            </w:pPr>
            <w:r>
              <w:rPr>
                <w:sz w:val="22"/>
                <w:szCs w:val="22"/>
              </w:rPr>
              <w:t>1,10%</w:t>
            </w:r>
          </w:p>
        </w:tc>
      </w:tr>
      <w:tr w14:paraId="769F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AC64D43">
            <w:pPr>
              <w:jc w:val="center"/>
              <w:rPr>
                <w:sz w:val="22"/>
                <w:szCs w:val="22"/>
              </w:rPr>
            </w:pPr>
            <w:r>
              <w:rPr>
                <w:sz w:val="22"/>
                <w:szCs w:val="22"/>
              </w:rPr>
              <w:t>31</w:t>
            </w:r>
          </w:p>
        </w:tc>
        <w:tc>
          <w:tcPr>
            <w:tcW w:w="1752" w:type="dxa"/>
            <w:vMerge w:val="continue"/>
            <w:vAlign w:val="center"/>
          </w:tcPr>
          <w:p w14:paraId="748EC93F">
            <w:pPr>
              <w:jc w:val="center"/>
              <w:rPr>
                <w:sz w:val="22"/>
                <w:szCs w:val="22"/>
              </w:rPr>
            </w:pPr>
          </w:p>
        </w:tc>
        <w:tc>
          <w:tcPr>
            <w:tcW w:w="944" w:type="dxa"/>
            <w:vMerge w:val="continue"/>
            <w:vAlign w:val="center"/>
          </w:tcPr>
          <w:p w14:paraId="24CB61C9">
            <w:pPr>
              <w:jc w:val="center"/>
              <w:rPr>
                <w:sz w:val="22"/>
                <w:szCs w:val="22"/>
              </w:rPr>
            </w:pPr>
          </w:p>
        </w:tc>
        <w:tc>
          <w:tcPr>
            <w:tcW w:w="1116" w:type="dxa"/>
            <w:vAlign w:val="center"/>
          </w:tcPr>
          <w:p w14:paraId="29732514">
            <w:pPr>
              <w:jc w:val="center"/>
              <w:rPr>
                <w:sz w:val="22"/>
                <w:szCs w:val="22"/>
              </w:rPr>
            </w:pPr>
            <w:r>
              <w:rPr>
                <w:sz w:val="22"/>
                <w:szCs w:val="22"/>
              </w:rPr>
              <w:t>21</w:t>
            </w:r>
          </w:p>
        </w:tc>
        <w:tc>
          <w:tcPr>
            <w:tcW w:w="1010" w:type="dxa"/>
            <w:vAlign w:val="center"/>
          </w:tcPr>
          <w:p w14:paraId="41622790">
            <w:pPr>
              <w:jc w:val="center"/>
              <w:rPr>
                <w:sz w:val="22"/>
                <w:szCs w:val="22"/>
              </w:rPr>
            </w:pPr>
            <w:r>
              <w:rPr>
                <w:sz w:val="22"/>
                <w:szCs w:val="22"/>
              </w:rPr>
              <w:t>126,0</w:t>
            </w:r>
          </w:p>
        </w:tc>
        <w:tc>
          <w:tcPr>
            <w:tcW w:w="1591" w:type="dxa"/>
            <w:vAlign w:val="center"/>
          </w:tcPr>
          <w:p w14:paraId="6D949B19">
            <w:pPr>
              <w:jc w:val="center"/>
              <w:rPr>
                <w:sz w:val="22"/>
                <w:szCs w:val="22"/>
              </w:rPr>
            </w:pPr>
            <w:r>
              <w:rPr>
                <w:sz w:val="22"/>
                <w:szCs w:val="22"/>
              </w:rPr>
              <w:t>1.260.000.000</w:t>
            </w:r>
          </w:p>
        </w:tc>
        <w:tc>
          <w:tcPr>
            <w:tcW w:w="1700" w:type="dxa"/>
            <w:vAlign w:val="center"/>
          </w:tcPr>
          <w:p w14:paraId="790EFB79">
            <w:pPr>
              <w:jc w:val="center"/>
              <w:rPr>
                <w:sz w:val="22"/>
                <w:szCs w:val="22"/>
              </w:rPr>
            </w:pPr>
            <w:r>
              <w:rPr>
                <w:sz w:val="22"/>
                <w:szCs w:val="22"/>
              </w:rPr>
              <w:t>1.306.000.000</w:t>
            </w:r>
          </w:p>
        </w:tc>
        <w:tc>
          <w:tcPr>
            <w:tcW w:w="1140" w:type="dxa"/>
            <w:noWrap/>
            <w:vAlign w:val="center"/>
          </w:tcPr>
          <w:p w14:paraId="4ED258A7">
            <w:pPr>
              <w:jc w:val="center"/>
              <w:rPr>
                <w:sz w:val="22"/>
                <w:szCs w:val="22"/>
              </w:rPr>
            </w:pPr>
            <w:r>
              <w:rPr>
                <w:sz w:val="22"/>
                <w:szCs w:val="22"/>
              </w:rPr>
              <w:t>1,04%</w:t>
            </w:r>
          </w:p>
        </w:tc>
      </w:tr>
      <w:tr w14:paraId="586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CFCC800">
            <w:pPr>
              <w:jc w:val="center"/>
              <w:rPr>
                <w:sz w:val="22"/>
                <w:szCs w:val="22"/>
              </w:rPr>
            </w:pPr>
            <w:r>
              <w:rPr>
                <w:sz w:val="22"/>
                <w:szCs w:val="22"/>
              </w:rPr>
              <w:t>32</w:t>
            </w:r>
          </w:p>
        </w:tc>
        <w:tc>
          <w:tcPr>
            <w:tcW w:w="1752" w:type="dxa"/>
            <w:vMerge w:val="continue"/>
            <w:vAlign w:val="center"/>
          </w:tcPr>
          <w:p w14:paraId="389197B8">
            <w:pPr>
              <w:jc w:val="center"/>
              <w:rPr>
                <w:sz w:val="22"/>
                <w:szCs w:val="22"/>
              </w:rPr>
            </w:pPr>
          </w:p>
        </w:tc>
        <w:tc>
          <w:tcPr>
            <w:tcW w:w="944" w:type="dxa"/>
            <w:vMerge w:val="continue"/>
            <w:vAlign w:val="center"/>
          </w:tcPr>
          <w:p w14:paraId="44764117">
            <w:pPr>
              <w:jc w:val="center"/>
              <w:rPr>
                <w:sz w:val="22"/>
                <w:szCs w:val="22"/>
              </w:rPr>
            </w:pPr>
          </w:p>
        </w:tc>
        <w:tc>
          <w:tcPr>
            <w:tcW w:w="1116" w:type="dxa"/>
            <w:vAlign w:val="center"/>
          </w:tcPr>
          <w:p w14:paraId="07ABE1A1">
            <w:pPr>
              <w:jc w:val="center"/>
              <w:rPr>
                <w:sz w:val="22"/>
                <w:szCs w:val="22"/>
              </w:rPr>
            </w:pPr>
            <w:r>
              <w:rPr>
                <w:sz w:val="22"/>
                <w:szCs w:val="22"/>
              </w:rPr>
              <w:t>22</w:t>
            </w:r>
          </w:p>
        </w:tc>
        <w:tc>
          <w:tcPr>
            <w:tcW w:w="1010" w:type="dxa"/>
            <w:vAlign w:val="center"/>
          </w:tcPr>
          <w:p w14:paraId="67FBA1E5">
            <w:pPr>
              <w:jc w:val="center"/>
              <w:rPr>
                <w:sz w:val="22"/>
                <w:szCs w:val="22"/>
              </w:rPr>
            </w:pPr>
            <w:r>
              <w:rPr>
                <w:sz w:val="22"/>
                <w:szCs w:val="22"/>
              </w:rPr>
              <w:t>126,0</w:t>
            </w:r>
          </w:p>
        </w:tc>
        <w:tc>
          <w:tcPr>
            <w:tcW w:w="1591" w:type="dxa"/>
            <w:vAlign w:val="center"/>
          </w:tcPr>
          <w:p w14:paraId="3B7EC82D">
            <w:pPr>
              <w:jc w:val="center"/>
              <w:rPr>
                <w:sz w:val="22"/>
                <w:szCs w:val="22"/>
              </w:rPr>
            </w:pPr>
            <w:r>
              <w:rPr>
                <w:sz w:val="22"/>
                <w:szCs w:val="22"/>
              </w:rPr>
              <w:t>1.260.000.000</w:t>
            </w:r>
          </w:p>
        </w:tc>
        <w:tc>
          <w:tcPr>
            <w:tcW w:w="1700" w:type="dxa"/>
            <w:vAlign w:val="center"/>
          </w:tcPr>
          <w:p w14:paraId="09D2351A">
            <w:pPr>
              <w:jc w:val="center"/>
              <w:rPr>
                <w:sz w:val="22"/>
                <w:szCs w:val="22"/>
              </w:rPr>
            </w:pPr>
            <w:r>
              <w:rPr>
                <w:sz w:val="22"/>
                <w:szCs w:val="22"/>
              </w:rPr>
              <w:t>1.283.000.000</w:t>
            </w:r>
          </w:p>
        </w:tc>
        <w:tc>
          <w:tcPr>
            <w:tcW w:w="1140" w:type="dxa"/>
            <w:noWrap/>
            <w:vAlign w:val="center"/>
          </w:tcPr>
          <w:p w14:paraId="604BD63F">
            <w:pPr>
              <w:jc w:val="center"/>
              <w:rPr>
                <w:sz w:val="22"/>
                <w:szCs w:val="22"/>
              </w:rPr>
            </w:pPr>
            <w:r>
              <w:rPr>
                <w:sz w:val="22"/>
                <w:szCs w:val="22"/>
              </w:rPr>
              <w:t>1,02%</w:t>
            </w:r>
          </w:p>
        </w:tc>
      </w:tr>
      <w:tr w14:paraId="612D1139">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08DF9E88">
            <w:pPr>
              <w:jc w:val="center"/>
              <w:rPr>
                <w:sz w:val="22"/>
                <w:szCs w:val="22"/>
              </w:rPr>
            </w:pPr>
            <w:r>
              <w:rPr>
                <w:sz w:val="22"/>
                <w:szCs w:val="22"/>
              </w:rPr>
              <w:t>33</w:t>
            </w:r>
          </w:p>
        </w:tc>
        <w:tc>
          <w:tcPr>
            <w:tcW w:w="1752" w:type="dxa"/>
            <w:vMerge w:val="continue"/>
            <w:vAlign w:val="center"/>
          </w:tcPr>
          <w:p w14:paraId="05D18347">
            <w:pPr>
              <w:jc w:val="center"/>
              <w:rPr>
                <w:sz w:val="22"/>
                <w:szCs w:val="22"/>
              </w:rPr>
            </w:pPr>
          </w:p>
        </w:tc>
        <w:tc>
          <w:tcPr>
            <w:tcW w:w="944" w:type="dxa"/>
            <w:vMerge w:val="restart"/>
            <w:vAlign w:val="center"/>
          </w:tcPr>
          <w:p w14:paraId="51A5F34A">
            <w:pPr>
              <w:jc w:val="center"/>
              <w:rPr>
                <w:sz w:val="22"/>
                <w:szCs w:val="22"/>
              </w:rPr>
            </w:pPr>
            <w:r>
              <w:rPr>
                <w:sz w:val="22"/>
                <w:szCs w:val="22"/>
              </w:rPr>
              <w:t>LK-07</w:t>
            </w:r>
          </w:p>
        </w:tc>
        <w:tc>
          <w:tcPr>
            <w:tcW w:w="1116" w:type="dxa"/>
            <w:vAlign w:val="center"/>
          </w:tcPr>
          <w:p w14:paraId="66733612">
            <w:pPr>
              <w:jc w:val="center"/>
              <w:rPr>
                <w:sz w:val="22"/>
                <w:szCs w:val="22"/>
              </w:rPr>
            </w:pPr>
            <w:r>
              <w:rPr>
                <w:sz w:val="22"/>
                <w:szCs w:val="22"/>
              </w:rPr>
              <w:t>5</w:t>
            </w:r>
          </w:p>
        </w:tc>
        <w:tc>
          <w:tcPr>
            <w:tcW w:w="1010" w:type="dxa"/>
            <w:vAlign w:val="center"/>
          </w:tcPr>
          <w:p w14:paraId="6CEE48B9">
            <w:pPr>
              <w:jc w:val="center"/>
              <w:rPr>
                <w:sz w:val="22"/>
                <w:szCs w:val="22"/>
              </w:rPr>
            </w:pPr>
            <w:r>
              <w:rPr>
                <w:sz w:val="22"/>
                <w:szCs w:val="22"/>
              </w:rPr>
              <w:t>140,0</w:t>
            </w:r>
          </w:p>
        </w:tc>
        <w:tc>
          <w:tcPr>
            <w:tcW w:w="1591" w:type="dxa"/>
            <w:vAlign w:val="center"/>
          </w:tcPr>
          <w:p w14:paraId="0C68C889">
            <w:pPr>
              <w:jc w:val="center"/>
              <w:rPr>
                <w:sz w:val="22"/>
                <w:szCs w:val="22"/>
              </w:rPr>
            </w:pPr>
            <w:r>
              <w:rPr>
                <w:sz w:val="22"/>
                <w:szCs w:val="22"/>
              </w:rPr>
              <w:t>1.400.000.000</w:t>
            </w:r>
          </w:p>
        </w:tc>
        <w:tc>
          <w:tcPr>
            <w:tcW w:w="1700" w:type="dxa"/>
            <w:vAlign w:val="center"/>
          </w:tcPr>
          <w:p w14:paraId="2AE1F5D4">
            <w:pPr>
              <w:jc w:val="center"/>
              <w:rPr>
                <w:sz w:val="22"/>
                <w:szCs w:val="22"/>
              </w:rPr>
            </w:pPr>
            <w:r>
              <w:rPr>
                <w:sz w:val="22"/>
                <w:szCs w:val="22"/>
              </w:rPr>
              <w:t>1.590.000.000</w:t>
            </w:r>
          </w:p>
        </w:tc>
        <w:tc>
          <w:tcPr>
            <w:tcW w:w="1140" w:type="dxa"/>
            <w:noWrap/>
            <w:vAlign w:val="center"/>
          </w:tcPr>
          <w:p w14:paraId="39A0997D">
            <w:pPr>
              <w:jc w:val="center"/>
              <w:rPr>
                <w:sz w:val="22"/>
                <w:szCs w:val="22"/>
              </w:rPr>
            </w:pPr>
            <w:r>
              <w:rPr>
                <w:sz w:val="22"/>
                <w:szCs w:val="22"/>
              </w:rPr>
              <w:t>1,14%</w:t>
            </w:r>
          </w:p>
        </w:tc>
      </w:tr>
      <w:tr w14:paraId="6BF4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8FA961F">
            <w:pPr>
              <w:jc w:val="center"/>
              <w:rPr>
                <w:sz w:val="22"/>
                <w:szCs w:val="22"/>
              </w:rPr>
            </w:pPr>
            <w:r>
              <w:rPr>
                <w:sz w:val="22"/>
                <w:szCs w:val="22"/>
              </w:rPr>
              <w:t>34</w:t>
            </w:r>
          </w:p>
        </w:tc>
        <w:tc>
          <w:tcPr>
            <w:tcW w:w="1752" w:type="dxa"/>
            <w:vMerge w:val="continue"/>
            <w:vAlign w:val="center"/>
          </w:tcPr>
          <w:p w14:paraId="605DD1A4">
            <w:pPr>
              <w:jc w:val="center"/>
              <w:rPr>
                <w:sz w:val="22"/>
                <w:szCs w:val="22"/>
              </w:rPr>
            </w:pPr>
          </w:p>
        </w:tc>
        <w:tc>
          <w:tcPr>
            <w:tcW w:w="944" w:type="dxa"/>
            <w:vMerge w:val="continue"/>
            <w:vAlign w:val="center"/>
          </w:tcPr>
          <w:p w14:paraId="0A406B21">
            <w:pPr>
              <w:jc w:val="center"/>
              <w:rPr>
                <w:sz w:val="22"/>
                <w:szCs w:val="22"/>
              </w:rPr>
            </w:pPr>
          </w:p>
        </w:tc>
        <w:tc>
          <w:tcPr>
            <w:tcW w:w="1116" w:type="dxa"/>
            <w:vAlign w:val="center"/>
          </w:tcPr>
          <w:p w14:paraId="645A8FB4">
            <w:pPr>
              <w:jc w:val="center"/>
              <w:rPr>
                <w:sz w:val="22"/>
                <w:szCs w:val="22"/>
              </w:rPr>
            </w:pPr>
            <w:r>
              <w:rPr>
                <w:sz w:val="22"/>
                <w:szCs w:val="22"/>
              </w:rPr>
              <w:t>6</w:t>
            </w:r>
          </w:p>
        </w:tc>
        <w:tc>
          <w:tcPr>
            <w:tcW w:w="1010" w:type="dxa"/>
            <w:vAlign w:val="center"/>
          </w:tcPr>
          <w:p w14:paraId="0147C782">
            <w:pPr>
              <w:jc w:val="center"/>
              <w:rPr>
                <w:sz w:val="22"/>
                <w:szCs w:val="22"/>
              </w:rPr>
            </w:pPr>
            <w:r>
              <w:rPr>
                <w:sz w:val="22"/>
                <w:szCs w:val="22"/>
              </w:rPr>
              <w:t>140,0</w:t>
            </w:r>
          </w:p>
        </w:tc>
        <w:tc>
          <w:tcPr>
            <w:tcW w:w="1591" w:type="dxa"/>
            <w:vAlign w:val="center"/>
          </w:tcPr>
          <w:p w14:paraId="39BD74E8">
            <w:pPr>
              <w:jc w:val="center"/>
              <w:rPr>
                <w:sz w:val="22"/>
                <w:szCs w:val="22"/>
              </w:rPr>
            </w:pPr>
            <w:r>
              <w:rPr>
                <w:sz w:val="22"/>
                <w:szCs w:val="22"/>
              </w:rPr>
              <w:t>1.400.000.000</w:t>
            </w:r>
          </w:p>
        </w:tc>
        <w:tc>
          <w:tcPr>
            <w:tcW w:w="1700" w:type="dxa"/>
            <w:vAlign w:val="center"/>
          </w:tcPr>
          <w:p w14:paraId="343AC857">
            <w:pPr>
              <w:jc w:val="center"/>
              <w:rPr>
                <w:sz w:val="22"/>
                <w:szCs w:val="22"/>
              </w:rPr>
            </w:pPr>
            <w:r>
              <w:rPr>
                <w:sz w:val="22"/>
                <w:szCs w:val="22"/>
              </w:rPr>
              <w:t>1.556.000.000</w:t>
            </w:r>
          </w:p>
        </w:tc>
        <w:tc>
          <w:tcPr>
            <w:tcW w:w="1140" w:type="dxa"/>
            <w:noWrap/>
            <w:vAlign w:val="center"/>
          </w:tcPr>
          <w:p w14:paraId="4E2491AA">
            <w:pPr>
              <w:jc w:val="center"/>
              <w:rPr>
                <w:sz w:val="22"/>
                <w:szCs w:val="22"/>
              </w:rPr>
            </w:pPr>
            <w:r>
              <w:rPr>
                <w:sz w:val="22"/>
                <w:szCs w:val="22"/>
              </w:rPr>
              <w:t>1,11%</w:t>
            </w:r>
          </w:p>
        </w:tc>
      </w:tr>
      <w:tr w14:paraId="1953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05B884F">
            <w:pPr>
              <w:jc w:val="center"/>
              <w:rPr>
                <w:sz w:val="22"/>
                <w:szCs w:val="22"/>
              </w:rPr>
            </w:pPr>
            <w:r>
              <w:rPr>
                <w:sz w:val="22"/>
                <w:szCs w:val="22"/>
              </w:rPr>
              <w:t>35</w:t>
            </w:r>
          </w:p>
        </w:tc>
        <w:tc>
          <w:tcPr>
            <w:tcW w:w="1752" w:type="dxa"/>
            <w:vMerge w:val="continue"/>
            <w:vAlign w:val="center"/>
          </w:tcPr>
          <w:p w14:paraId="428905A8">
            <w:pPr>
              <w:jc w:val="center"/>
              <w:rPr>
                <w:sz w:val="22"/>
                <w:szCs w:val="22"/>
              </w:rPr>
            </w:pPr>
          </w:p>
        </w:tc>
        <w:tc>
          <w:tcPr>
            <w:tcW w:w="944" w:type="dxa"/>
            <w:vMerge w:val="continue"/>
            <w:vAlign w:val="center"/>
          </w:tcPr>
          <w:p w14:paraId="1DAAD866">
            <w:pPr>
              <w:jc w:val="center"/>
              <w:rPr>
                <w:sz w:val="22"/>
                <w:szCs w:val="22"/>
              </w:rPr>
            </w:pPr>
          </w:p>
        </w:tc>
        <w:tc>
          <w:tcPr>
            <w:tcW w:w="1116" w:type="dxa"/>
            <w:vAlign w:val="center"/>
          </w:tcPr>
          <w:p w14:paraId="3E3C76C7">
            <w:pPr>
              <w:jc w:val="center"/>
              <w:rPr>
                <w:sz w:val="22"/>
                <w:szCs w:val="22"/>
              </w:rPr>
            </w:pPr>
            <w:r>
              <w:rPr>
                <w:sz w:val="22"/>
                <w:szCs w:val="22"/>
              </w:rPr>
              <w:t>12</w:t>
            </w:r>
          </w:p>
        </w:tc>
        <w:tc>
          <w:tcPr>
            <w:tcW w:w="1010" w:type="dxa"/>
            <w:vAlign w:val="center"/>
          </w:tcPr>
          <w:p w14:paraId="30A59333">
            <w:pPr>
              <w:jc w:val="center"/>
              <w:rPr>
                <w:sz w:val="22"/>
                <w:szCs w:val="22"/>
              </w:rPr>
            </w:pPr>
            <w:r>
              <w:rPr>
                <w:sz w:val="22"/>
                <w:szCs w:val="22"/>
              </w:rPr>
              <w:t>140,0</w:t>
            </w:r>
          </w:p>
        </w:tc>
        <w:tc>
          <w:tcPr>
            <w:tcW w:w="1591" w:type="dxa"/>
            <w:vAlign w:val="center"/>
          </w:tcPr>
          <w:p w14:paraId="5B0CDC60">
            <w:pPr>
              <w:jc w:val="center"/>
              <w:rPr>
                <w:sz w:val="22"/>
                <w:szCs w:val="22"/>
              </w:rPr>
            </w:pPr>
            <w:r>
              <w:rPr>
                <w:sz w:val="22"/>
                <w:szCs w:val="22"/>
              </w:rPr>
              <w:t>1.400.000.000</w:t>
            </w:r>
          </w:p>
        </w:tc>
        <w:tc>
          <w:tcPr>
            <w:tcW w:w="1700" w:type="dxa"/>
            <w:vAlign w:val="center"/>
          </w:tcPr>
          <w:p w14:paraId="176F2858">
            <w:pPr>
              <w:jc w:val="center"/>
              <w:rPr>
                <w:sz w:val="22"/>
                <w:szCs w:val="22"/>
              </w:rPr>
            </w:pPr>
            <w:r>
              <w:rPr>
                <w:sz w:val="22"/>
                <w:szCs w:val="22"/>
              </w:rPr>
              <w:t>1.538.800.000</w:t>
            </w:r>
          </w:p>
        </w:tc>
        <w:tc>
          <w:tcPr>
            <w:tcW w:w="1140" w:type="dxa"/>
            <w:noWrap/>
            <w:vAlign w:val="center"/>
          </w:tcPr>
          <w:p w14:paraId="1E6B66CD">
            <w:pPr>
              <w:jc w:val="center"/>
              <w:rPr>
                <w:sz w:val="22"/>
                <w:szCs w:val="22"/>
              </w:rPr>
            </w:pPr>
            <w:r>
              <w:rPr>
                <w:sz w:val="22"/>
                <w:szCs w:val="22"/>
              </w:rPr>
              <w:t>1,10%</w:t>
            </w:r>
          </w:p>
        </w:tc>
      </w:tr>
      <w:tr w14:paraId="6156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57F6E29">
            <w:pPr>
              <w:jc w:val="center"/>
              <w:rPr>
                <w:sz w:val="22"/>
                <w:szCs w:val="22"/>
              </w:rPr>
            </w:pPr>
            <w:r>
              <w:rPr>
                <w:sz w:val="22"/>
                <w:szCs w:val="22"/>
              </w:rPr>
              <w:t>36</w:t>
            </w:r>
          </w:p>
        </w:tc>
        <w:tc>
          <w:tcPr>
            <w:tcW w:w="1752" w:type="dxa"/>
            <w:vMerge w:val="continue"/>
            <w:vAlign w:val="center"/>
          </w:tcPr>
          <w:p w14:paraId="74B1F841">
            <w:pPr>
              <w:jc w:val="center"/>
              <w:rPr>
                <w:sz w:val="22"/>
                <w:szCs w:val="22"/>
              </w:rPr>
            </w:pPr>
          </w:p>
        </w:tc>
        <w:tc>
          <w:tcPr>
            <w:tcW w:w="944" w:type="dxa"/>
            <w:vAlign w:val="center"/>
          </w:tcPr>
          <w:p w14:paraId="6A8DBBE3">
            <w:pPr>
              <w:jc w:val="center"/>
              <w:rPr>
                <w:sz w:val="22"/>
                <w:szCs w:val="22"/>
              </w:rPr>
            </w:pPr>
            <w:r>
              <w:rPr>
                <w:sz w:val="22"/>
                <w:szCs w:val="22"/>
              </w:rPr>
              <w:t>LK-09</w:t>
            </w:r>
          </w:p>
        </w:tc>
        <w:tc>
          <w:tcPr>
            <w:tcW w:w="1116" w:type="dxa"/>
            <w:vAlign w:val="center"/>
          </w:tcPr>
          <w:p w14:paraId="5A6DF16B">
            <w:pPr>
              <w:jc w:val="center"/>
              <w:rPr>
                <w:sz w:val="22"/>
                <w:szCs w:val="22"/>
              </w:rPr>
            </w:pPr>
            <w:r>
              <w:rPr>
                <w:sz w:val="22"/>
                <w:szCs w:val="22"/>
              </w:rPr>
              <w:t>1</w:t>
            </w:r>
          </w:p>
        </w:tc>
        <w:tc>
          <w:tcPr>
            <w:tcW w:w="1010" w:type="dxa"/>
            <w:vAlign w:val="center"/>
          </w:tcPr>
          <w:p w14:paraId="46D37CAC">
            <w:pPr>
              <w:jc w:val="center"/>
              <w:rPr>
                <w:sz w:val="22"/>
                <w:szCs w:val="22"/>
              </w:rPr>
            </w:pPr>
            <w:r>
              <w:rPr>
                <w:sz w:val="22"/>
                <w:szCs w:val="22"/>
              </w:rPr>
              <w:t>204,4</w:t>
            </w:r>
          </w:p>
        </w:tc>
        <w:tc>
          <w:tcPr>
            <w:tcW w:w="1591" w:type="dxa"/>
            <w:vAlign w:val="center"/>
          </w:tcPr>
          <w:p w14:paraId="3A62B46B">
            <w:pPr>
              <w:jc w:val="center"/>
              <w:rPr>
                <w:sz w:val="22"/>
                <w:szCs w:val="22"/>
              </w:rPr>
            </w:pPr>
            <w:r>
              <w:rPr>
                <w:sz w:val="22"/>
                <w:szCs w:val="22"/>
              </w:rPr>
              <w:t>2.452.800.000</w:t>
            </w:r>
          </w:p>
        </w:tc>
        <w:tc>
          <w:tcPr>
            <w:tcW w:w="1700" w:type="dxa"/>
            <w:vAlign w:val="center"/>
          </w:tcPr>
          <w:p w14:paraId="77B02FDB">
            <w:pPr>
              <w:jc w:val="center"/>
              <w:rPr>
                <w:sz w:val="22"/>
                <w:szCs w:val="22"/>
              </w:rPr>
            </w:pPr>
            <w:r>
              <w:rPr>
                <w:sz w:val="22"/>
                <w:szCs w:val="22"/>
              </w:rPr>
              <w:t>2.462.000.000</w:t>
            </w:r>
          </w:p>
        </w:tc>
        <w:tc>
          <w:tcPr>
            <w:tcW w:w="1140" w:type="dxa"/>
            <w:noWrap/>
            <w:vAlign w:val="center"/>
          </w:tcPr>
          <w:p w14:paraId="3D28CD3C">
            <w:pPr>
              <w:jc w:val="center"/>
              <w:rPr>
                <w:sz w:val="22"/>
                <w:szCs w:val="22"/>
              </w:rPr>
            </w:pPr>
            <w:r>
              <w:rPr>
                <w:sz w:val="22"/>
                <w:szCs w:val="22"/>
              </w:rPr>
              <w:t>1,00%</w:t>
            </w:r>
          </w:p>
        </w:tc>
      </w:tr>
      <w:tr w14:paraId="033D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4469" w:type="dxa"/>
            <w:gridSpan w:val="4"/>
            <w:vAlign w:val="center"/>
          </w:tcPr>
          <w:p w14:paraId="45F61F2F">
            <w:pPr>
              <w:jc w:val="center"/>
              <w:rPr>
                <w:b/>
                <w:bCs/>
                <w:sz w:val="22"/>
                <w:szCs w:val="22"/>
              </w:rPr>
            </w:pPr>
            <w:r>
              <w:rPr>
                <w:b/>
                <w:bCs/>
                <w:sz w:val="22"/>
                <w:szCs w:val="22"/>
              </w:rPr>
              <w:t>CUỘC ĐẤU GIÁ 55 LÔ ĐẤT Ở TẠI THỊ TRẤN KÉP, HUYỆN LẠNG GIANG ĐẤU NGÀY 5/3/2024</w:t>
            </w:r>
          </w:p>
        </w:tc>
        <w:tc>
          <w:tcPr>
            <w:tcW w:w="1010" w:type="dxa"/>
            <w:noWrap/>
            <w:vAlign w:val="center"/>
          </w:tcPr>
          <w:p w14:paraId="0E1715A2">
            <w:pPr>
              <w:jc w:val="center"/>
              <w:rPr>
                <w:b/>
                <w:bCs/>
                <w:sz w:val="22"/>
                <w:szCs w:val="22"/>
              </w:rPr>
            </w:pPr>
            <w:r>
              <w:rPr>
                <w:b/>
                <w:bCs/>
                <w:sz w:val="22"/>
                <w:szCs w:val="22"/>
              </w:rPr>
              <w:t>5412,2</w:t>
            </w:r>
          </w:p>
        </w:tc>
        <w:tc>
          <w:tcPr>
            <w:tcW w:w="1591" w:type="dxa"/>
            <w:noWrap/>
            <w:vAlign w:val="center"/>
          </w:tcPr>
          <w:p w14:paraId="26A5AD3D">
            <w:pPr>
              <w:jc w:val="center"/>
              <w:rPr>
                <w:b/>
                <w:bCs/>
                <w:sz w:val="22"/>
                <w:szCs w:val="22"/>
              </w:rPr>
            </w:pPr>
            <w:r>
              <w:rPr>
                <w:b/>
                <w:bCs/>
                <w:sz w:val="22"/>
                <w:szCs w:val="22"/>
              </w:rPr>
              <w:t>48.407.403.400</w:t>
            </w:r>
          </w:p>
        </w:tc>
        <w:tc>
          <w:tcPr>
            <w:tcW w:w="1700" w:type="dxa"/>
            <w:noWrap/>
            <w:vAlign w:val="center"/>
          </w:tcPr>
          <w:p w14:paraId="3CF3B847">
            <w:pPr>
              <w:jc w:val="center"/>
              <w:rPr>
                <w:b/>
                <w:bCs/>
                <w:sz w:val="22"/>
                <w:szCs w:val="22"/>
              </w:rPr>
            </w:pPr>
            <w:r>
              <w:rPr>
                <w:b/>
                <w:bCs/>
                <w:sz w:val="22"/>
                <w:szCs w:val="22"/>
              </w:rPr>
              <w:t>56.789.438.000</w:t>
            </w:r>
          </w:p>
        </w:tc>
        <w:tc>
          <w:tcPr>
            <w:tcW w:w="1140" w:type="dxa"/>
            <w:noWrap/>
            <w:vAlign w:val="center"/>
          </w:tcPr>
          <w:p w14:paraId="6CF161B1">
            <w:pPr>
              <w:jc w:val="center"/>
              <w:rPr>
                <w:b/>
                <w:bCs/>
                <w:sz w:val="22"/>
                <w:szCs w:val="22"/>
              </w:rPr>
            </w:pPr>
          </w:p>
        </w:tc>
      </w:tr>
      <w:tr w14:paraId="1ABA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3AFFB8A">
            <w:pPr>
              <w:jc w:val="center"/>
              <w:rPr>
                <w:sz w:val="22"/>
                <w:szCs w:val="22"/>
              </w:rPr>
            </w:pPr>
            <w:r>
              <w:rPr>
                <w:sz w:val="22"/>
                <w:szCs w:val="22"/>
              </w:rPr>
              <w:t>A</w:t>
            </w:r>
          </w:p>
        </w:tc>
        <w:tc>
          <w:tcPr>
            <w:tcW w:w="1752" w:type="dxa"/>
            <w:vAlign w:val="center"/>
          </w:tcPr>
          <w:p w14:paraId="4151C848">
            <w:pPr>
              <w:jc w:val="center"/>
              <w:rPr>
                <w:sz w:val="22"/>
                <w:szCs w:val="22"/>
              </w:rPr>
            </w:pPr>
            <w:r>
              <w:rPr>
                <w:sz w:val="22"/>
                <w:szCs w:val="22"/>
              </w:rPr>
              <w:t>Khu dân cư phía Tây Nam, thị trấn Kép</w:t>
            </w:r>
          </w:p>
        </w:tc>
        <w:tc>
          <w:tcPr>
            <w:tcW w:w="944" w:type="dxa"/>
            <w:vAlign w:val="center"/>
          </w:tcPr>
          <w:p w14:paraId="797D5954">
            <w:pPr>
              <w:jc w:val="center"/>
              <w:rPr>
                <w:sz w:val="22"/>
                <w:szCs w:val="22"/>
              </w:rPr>
            </w:pPr>
          </w:p>
        </w:tc>
        <w:tc>
          <w:tcPr>
            <w:tcW w:w="1116" w:type="dxa"/>
            <w:noWrap/>
            <w:vAlign w:val="center"/>
          </w:tcPr>
          <w:p w14:paraId="58D8F04A">
            <w:pPr>
              <w:jc w:val="center"/>
              <w:rPr>
                <w:sz w:val="22"/>
                <w:szCs w:val="22"/>
              </w:rPr>
            </w:pPr>
          </w:p>
        </w:tc>
        <w:tc>
          <w:tcPr>
            <w:tcW w:w="1010" w:type="dxa"/>
            <w:noWrap/>
            <w:vAlign w:val="center"/>
          </w:tcPr>
          <w:p w14:paraId="15871BA1">
            <w:pPr>
              <w:jc w:val="center"/>
              <w:rPr>
                <w:sz w:val="22"/>
                <w:szCs w:val="22"/>
              </w:rPr>
            </w:pPr>
            <w:r>
              <w:rPr>
                <w:sz w:val="22"/>
                <w:szCs w:val="22"/>
              </w:rPr>
              <w:t>225,50</w:t>
            </w:r>
          </w:p>
        </w:tc>
        <w:tc>
          <w:tcPr>
            <w:tcW w:w="1591" w:type="dxa"/>
            <w:noWrap/>
            <w:vAlign w:val="center"/>
          </w:tcPr>
          <w:p w14:paraId="7B3BB3AB">
            <w:pPr>
              <w:jc w:val="center"/>
              <w:rPr>
                <w:sz w:val="22"/>
                <w:szCs w:val="22"/>
              </w:rPr>
            </w:pPr>
            <w:r>
              <w:rPr>
                <w:sz w:val="22"/>
                <w:szCs w:val="22"/>
              </w:rPr>
              <w:t>6.723.998.000</w:t>
            </w:r>
          </w:p>
        </w:tc>
        <w:tc>
          <w:tcPr>
            <w:tcW w:w="1700" w:type="dxa"/>
            <w:noWrap/>
            <w:vAlign w:val="center"/>
          </w:tcPr>
          <w:p w14:paraId="3C68B290">
            <w:pPr>
              <w:jc w:val="center"/>
              <w:rPr>
                <w:sz w:val="22"/>
                <w:szCs w:val="22"/>
              </w:rPr>
            </w:pPr>
            <w:r>
              <w:rPr>
                <w:sz w:val="22"/>
                <w:szCs w:val="22"/>
              </w:rPr>
              <w:t>532.898.000</w:t>
            </w:r>
          </w:p>
        </w:tc>
        <w:tc>
          <w:tcPr>
            <w:tcW w:w="1140" w:type="dxa"/>
            <w:noWrap/>
            <w:vAlign w:val="center"/>
          </w:tcPr>
          <w:p w14:paraId="17971981">
            <w:pPr>
              <w:jc w:val="center"/>
              <w:rPr>
                <w:sz w:val="22"/>
                <w:szCs w:val="22"/>
              </w:rPr>
            </w:pPr>
          </w:p>
        </w:tc>
      </w:tr>
      <w:tr w14:paraId="6576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157C086">
            <w:pPr>
              <w:jc w:val="center"/>
              <w:rPr>
                <w:sz w:val="22"/>
                <w:szCs w:val="22"/>
              </w:rPr>
            </w:pPr>
            <w:r>
              <w:rPr>
                <w:sz w:val="22"/>
                <w:szCs w:val="22"/>
              </w:rPr>
              <w:t>1</w:t>
            </w:r>
          </w:p>
        </w:tc>
        <w:tc>
          <w:tcPr>
            <w:tcW w:w="1752" w:type="dxa"/>
            <w:noWrap/>
            <w:vAlign w:val="center"/>
          </w:tcPr>
          <w:p w14:paraId="4E81D003">
            <w:pPr>
              <w:jc w:val="center"/>
              <w:rPr>
                <w:sz w:val="22"/>
                <w:szCs w:val="22"/>
              </w:rPr>
            </w:pPr>
          </w:p>
        </w:tc>
        <w:tc>
          <w:tcPr>
            <w:tcW w:w="944" w:type="dxa"/>
            <w:noWrap/>
            <w:vAlign w:val="center"/>
          </w:tcPr>
          <w:p w14:paraId="6515DC54">
            <w:pPr>
              <w:jc w:val="center"/>
              <w:rPr>
                <w:sz w:val="22"/>
                <w:szCs w:val="22"/>
              </w:rPr>
            </w:pPr>
            <w:r>
              <w:rPr>
                <w:sz w:val="22"/>
                <w:szCs w:val="22"/>
              </w:rPr>
              <w:t>LK-37</w:t>
            </w:r>
          </w:p>
        </w:tc>
        <w:tc>
          <w:tcPr>
            <w:tcW w:w="1116" w:type="dxa"/>
            <w:noWrap/>
            <w:vAlign w:val="center"/>
          </w:tcPr>
          <w:p w14:paraId="12B2692C">
            <w:pPr>
              <w:jc w:val="center"/>
              <w:rPr>
                <w:sz w:val="22"/>
                <w:szCs w:val="22"/>
              </w:rPr>
            </w:pPr>
            <w:r>
              <w:rPr>
                <w:sz w:val="22"/>
                <w:szCs w:val="22"/>
              </w:rPr>
              <w:t>22</w:t>
            </w:r>
          </w:p>
        </w:tc>
        <w:tc>
          <w:tcPr>
            <w:tcW w:w="1010" w:type="dxa"/>
            <w:noWrap/>
            <w:vAlign w:val="center"/>
          </w:tcPr>
          <w:p w14:paraId="61796A9D">
            <w:pPr>
              <w:jc w:val="center"/>
              <w:rPr>
                <w:sz w:val="22"/>
                <w:szCs w:val="22"/>
              </w:rPr>
            </w:pPr>
            <w:r>
              <w:rPr>
                <w:sz w:val="22"/>
                <w:szCs w:val="22"/>
              </w:rPr>
              <w:t>99</w:t>
            </w:r>
          </w:p>
        </w:tc>
        <w:tc>
          <w:tcPr>
            <w:tcW w:w="1591" w:type="dxa"/>
            <w:vAlign w:val="center"/>
          </w:tcPr>
          <w:p w14:paraId="09FBFAA1">
            <w:pPr>
              <w:jc w:val="center"/>
              <w:rPr>
                <w:sz w:val="22"/>
                <w:szCs w:val="22"/>
              </w:rPr>
            </w:pPr>
            <w:r>
              <w:rPr>
                <w:sz w:val="22"/>
                <w:szCs w:val="22"/>
              </w:rPr>
              <w:t>871.200.000</w:t>
            </w:r>
          </w:p>
        </w:tc>
        <w:tc>
          <w:tcPr>
            <w:tcW w:w="1700" w:type="dxa"/>
            <w:vAlign w:val="center"/>
          </w:tcPr>
          <w:p w14:paraId="22CAB40D">
            <w:pPr>
              <w:jc w:val="center"/>
              <w:rPr>
                <w:sz w:val="22"/>
                <w:szCs w:val="22"/>
              </w:rPr>
            </w:pPr>
            <w:r>
              <w:rPr>
                <w:sz w:val="22"/>
                <w:szCs w:val="22"/>
              </w:rPr>
              <w:t>1.100.000.000</w:t>
            </w:r>
          </w:p>
        </w:tc>
        <w:tc>
          <w:tcPr>
            <w:tcW w:w="1140" w:type="dxa"/>
            <w:noWrap/>
            <w:vAlign w:val="center"/>
          </w:tcPr>
          <w:p w14:paraId="556A2E17">
            <w:pPr>
              <w:jc w:val="center"/>
              <w:rPr>
                <w:sz w:val="22"/>
                <w:szCs w:val="22"/>
              </w:rPr>
            </w:pPr>
            <w:r>
              <w:rPr>
                <w:sz w:val="22"/>
                <w:szCs w:val="22"/>
              </w:rPr>
              <w:t>1,26%</w:t>
            </w:r>
          </w:p>
        </w:tc>
      </w:tr>
      <w:tr w14:paraId="692B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06B578C">
            <w:pPr>
              <w:jc w:val="center"/>
              <w:rPr>
                <w:sz w:val="22"/>
                <w:szCs w:val="22"/>
              </w:rPr>
            </w:pPr>
            <w:r>
              <w:rPr>
                <w:sz w:val="22"/>
                <w:szCs w:val="22"/>
              </w:rPr>
              <w:t>2</w:t>
            </w:r>
          </w:p>
        </w:tc>
        <w:tc>
          <w:tcPr>
            <w:tcW w:w="1752" w:type="dxa"/>
            <w:noWrap/>
            <w:vAlign w:val="center"/>
          </w:tcPr>
          <w:p w14:paraId="510A57B8">
            <w:pPr>
              <w:jc w:val="center"/>
              <w:rPr>
                <w:sz w:val="22"/>
                <w:szCs w:val="22"/>
              </w:rPr>
            </w:pPr>
          </w:p>
        </w:tc>
        <w:tc>
          <w:tcPr>
            <w:tcW w:w="944" w:type="dxa"/>
            <w:vMerge w:val="restart"/>
            <w:noWrap/>
            <w:vAlign w:val="center"/>
          </w:tcPr>
          <w:p w14:paraId="14D42116">
            <w:pPr>
              <w:jc w:val="center"/>
              <w:rPr>
                <w:sz w:val="22"/>
                <w:szCs w:val="22"/>
              </w:rPr>
            </w:pPr>
            <w:r>
              <w:rPr>
                <w:sz w:val="22"/>
                <w:szCs w:val="22"/>
              </w:rPr>
              <w:t>LK-38</w:t>
            </w:r>
          </w:p>
        </w:tc>
        <w:tc>
          <w:tcPr>
            <w:tcW w:w="1116" w:type="dxa"/>
            <w:noWrap/>
            <w:vAlign w:val="center"/>
          </w:tcPr>
          <w:p w14:paraId="29060A68">
            <w:pPr>
              <w:jc w:val="center"/>
              <w:rPr>
                <w:sz w:val="22"/>
                <w:szCs w:val="22"/>
              </w:rPr>
            </w:pPr>
            <w:r>
              <w:rPr>
                <w:sz w:val="22"/>
                <w:szCs w:val="22"/>
              </w:rPr>
              <w:t>12</w:t>
            </w:r>
          </w:p>
        </w:tc>
        <w:tc>
          <w:tcPr>
            <w:tcW w:w="1010" w:type="dxa"/>
            <w:noWrap/>
            <w:vAlign w:val="center"/>
          </w:tcPr>
          <w:p w14:paraId="67CA0135">
            <w:pPr>
              <w:jc w:val="center"/>
              <w:rPr>
                <w:sz w:val="22"/>
                <w:szCs w:val="22"/>
              </w:rPr>
            </w:pPr>
            <w:r>
              <w:rPr>
                <w:sz w:val="22"/>
                <w:szCs w:val="22"/>
              </w:rPr>
              <w:t>161,00</w:t>
            </w:r>
          </w:p>
        </w:tc>
        <w:tc>
          <w:tcPr>
            <w:tcW w:w="1591" w:type="dxa"/>
            <w:vAlign w:val="center"/>
          </w:tcPr>
          <w:p w14:paraId="4B9D4EC1">
            <w:pPr>
              <w:jc w:val="center"/>
              <w:rPr>
                <w:sz w:val="22"/>
                <w:szCs w:val="22"/>
              </w:rPr>
            </w:pPr>
            <w:r>
              <w:rPr>
                <w:sz w:val="22"/>
                <w:szCs w:val="22"/>
              </w:rPr>
              <w:t>1.980.300.000</w:t>
            </w:r>
          </w:p>
        </w:tc>
        <w:tc>
          <w:tcPr>
            <w:tcW w:w="1700" w:type="dxa"/>
            <w:vAlign w:val="center"/>
          </w:tcPr>
          <w:p w14:paraId="6CE32FA8">
            <w:pPr>
              <w:jc w:val="center"/>
              <w:rPr>
                <w:sz w:val="22"/>
                <w:szCs w:val="22"/>
              </w:rPr>
            </w:pPr>
            <w:r>
              <w:rPr>
                <w:sz w:val="22"/>
                <w:szCs w:val="22"/>
              </w:rPr>
              <w:t>2.110.000.000</w:t>
            </w:r>
          </w:p>
        </w:tc>
        <w:tc>
          <w:tcPr>
            <w:tcW w:w="1140" w:type="dxa"/>
            <w:noWrap/>
            <w:vAlign w:val="center"/>
          </w:tcPr>
          <w:p w14:paraId="62A82F4C">
            <w:pPr>
              <w:jc w:val="center"/>
              <w:rPr>
                <w:sz w:val="22"/>
                <w:szCs w:val="22"/>
              </w:rPr>
            </w:pPr>
            <w:r>
              <w:rPr>
                <w:sz w:val="22"/>
                <w:szCs w:val="22"/>
              </w:rPr>
              <w:t>1,07%</w:t>
            </w:r>
          </w:p>
        </w:tc>
      </w:tr>
      <w:tr w14:paraId="2992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1F8AC90">
            <w:pPr>
              <w:jc w:val="center"/>
              <w:rPr>
                <w:sz w:val="22"/>
                <w:szCs w:val="22"/>
              </w:rPr>
            </w:pPr>
            <w:r>
              <w:rPr>
                <w:sz w:val="22"/>
                <w:szCs w:val="22"/>
              </w:rPr>
              <w:t>3</w:t>
            </w:r>
          </w:p>
        </w:tc>
        <w:tc>
          <w:tcPr>
            <w:tcW w:w="1752" w:type="dxa"/>
            <w:noWrap/>
            <w:vAlign w:val="center"/>
          </w:tcPr>
          <w:p w14:paraId="7C00F8D6">
            <w:pPr>
              <w:jc w:val="center"/>
              <w:rPr>
                <w:sz w:val="22"/>
                <w:szCs w:val="22"/>
              </w:rPr>
            </w:pPr>
          </w:p>
        </w:tc>
        <w:tc>
          <w:tcPr>
            <w:tcW w:w="944" w:type="dxa"/>
            <w:vMerge w:val="continue"/>
            <w:vAlign w:val="center"/>
          </w:tcPr>
          <w:p w14:paraId="4C57127E">
            <w:pPr>
              <w:jc w:val="center"/>
              <w:rPr>
                <w:sz w:val="22"/>
                <w:szCs w:val="22"/>
              </w:rPr>
            </w:pPr>
          </w:p>
        </w:tc>
        <w:tc>
          <w:tcPr>
            <w:tcW w:w="1116" w:type="dxa"/>
            <w:noWrap/>
            <w:vAlign w:val="center"/>
          </w:tcPr>
          <w:p w14:paraId="436D4337">
            <w:pPr>
              <w:jc w:val="center"/>
              <w:rPr>
                <w:sz w:val="22"/>
                <w:szCs w:val="22"/>
              </w:rPr>
            </w:pPr>
            <w:r>
              <w:rPr>
                <w:sz w:val="22"/>
                <w:szCs w:val="22"/>
              </w:rPr>
              <w:t>20</w:t>
            </w:r>
          </w:p>
        </w:tc>
        <w:tc>
          <w:tcPr>
            <w:tcW w:w="1010" w:type="dxa"/>
            <w:noWrap/>
            <w:vAlign w:val="center"/>
          </w:tcPr>
          <w:p w14:paraId="51B86DD8">
            <w:pPr>
              <w:jc w:val="center"/>
              <w:rPr>
                <w:sz w:val="22"/>
                <w:szCs w:val="22"/>
              </w:rPr>
            </w:pPr>
            <w:r>
              <w:rPr>
                <w:sz w:val="22"/>
                <w:szCs w:val="22"/>
              </w:rPr>
              <w:t>126,50</w:t>
            </w:r>
          </w:p>
        </w:tc>
        <w:tc>
          <w:tcPr>
            <w:tcW w:w="1591" w:type="dxa"/>
            <w:vAlign w:val="center"/>
          </w:tcPr>
          <w:p w14:paraId="2B5AE1A5">
            <w:pPr>
              <w:jc w:val="center"/>
              <w:rPr>
                <w:sz w:val="22"/>
                <w:szCs w:val="22"/>
              </w:rPr>
            </w:pPr>
            <w:r>
              <w:rPr>
                <w:sz w:val="22"/>
                <w:szCs w:val="22"/>
              </w:rPr>
              <w:t>1.113.200.000</w:t>
            </w:r>
          </w:p>
        </w:tc>
        <w:tc>
          <w:tcPr>
            <w:tcW w:w="1700" w:type="dxa"/>
            <w:vAlign w:val="center"/>
          </w:tcPr>
          <w:p w14:paraId="588F392D">
            <w:pPr>
              <w:jc w:val="center"/>
              <w:rPr>
                <w:sz w:val="22"/>
                <w:szCs w:val="22"/>
              </w:rPr>
            </w:pPr>
            <w:r>
              <w:rPr>
                <w:sz w:val="22"/>
                <w:szCs w:val="22"/>
              </w:rPr>
              <w:t>1.179.000.000</w:t>
            </w:r>
          </w:p>
        </w:tc>
        <w:tc>
          <w:tcPr>
            <w:tcW w:w="1140" w:type="dxa"/>
            <w:noWrap/>
            <w:vAlign w:val="center"/>
          </w:tcPr>
          <w:p w14:paraId="09916312">
            <w:pPr>
              <w:jc w:val="center"/>
              <w:rPr>
                <w:sz w:val="22"/>
                <w:szCs w:val="22"/>
              </w:rPr>
            </w:pPr>
            <w:r>
              <w:rPr>
                <w:sz w:val="22"/>
                <w:szCs w:val="22"/>
              </w:rPr>
              <w:t>1,06%</w:t>
            </w:r>
          </w:p>
        </w:tc>
      </w:tr>
      <w:tr w14:paraId="1092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E075FA2">
            <w:pPr>
              <w:jc w:val="center"/>
              <w:rPr>
                <w:sz w:val="22"/>
                <w:szCs w:val="22"/>
              </w:rPr>
            </w:pPr>
            <w:r>
              <w:rPr>
                <w:sz w:val="22"/>
                <w:szCs w:val="22"/>
              </w:rPr>
              <w:t>4</w:t>
            </w:r>
          </w:p>
        </w:tc>
        <w:tc>
          <w:tcPr>
            <w:tcW w:w="1752" w:type="dxa"/>
            <w:noWrap/>
            <w:vAlign w:val="center"/>
          </w:tcPr>
          <w:p w14:paraId="2BECB8BF">
            <w:pPr>
              <w:jc w:val="center"/>
              <w:rPr>
                <w:sz w:val="22"/>
                <w:szCs w:val="22"/>
              </w:rPr>
            </w:pPr>
          </w:p>
        </w:tc>
        <w:tc>
          <w:tcPr>
            <w:tcW w:w="944" w:type="dxa"/>
            <w:vMerge w:val="continue"/>
            <w:vAlign w:val="center"/>
          </w:tcPr>
          <w:p w14:paraId="33784AA2">
            <w:pPr>
              <w:jc w:val="center"/>
              <w:rPr>
                <w:sz w:val="22"/>
                <w:szCs w:val="22"/>
              </w:rPr>
            </w:pPr>
          </w:p>
        </w:tc>
        <w:tc>
          <w:tcPr>
            <w:tcW w:w="1116" w:type="dxa"/>
            <w:noWrap/>
            <w:vAlign w:val="center"/>
          </w:tcPr>
          <w:p w14:paraId="28D3FB20">
            <w:pPr>
              <w:jc w:val="center"/>
              <w:rPr>
                <w:sz w:val="22"/>
                <w:szCs w:val="22"/>
              </w:rPr>
            </w:pPr>
            <w:r>
              <w:rPr>
                <w:sz w:val="22"/>
                <w:szCs w:val="22"/>
              </w:rPr>
              <w:t>23</w:t>
            </w:r>
          </w:p>
        </w:tc>
        <w:tc>
          <w:tcPr>
            <w:tcW w:w="1010" w:type="dxa"/>
            <w:noWrap/>
            <w:vAlign w:val="center"/>
          </w:tcPr>
          <w:p w14:paraId="6755BF08">
            <w:pPr>
              <w:jc w:val="center"/>
              <w:rPr>
                <w:sz w:val="22"/>
                <w:szCs w:val="22"/>
              </w:rPr>
            </w:pPr>
            <w:r>
              <w:rPr>
                <w:sz w:val="22"/>
                <w:szCs w:val="22"/>
              </w:rPr>
              <w:t>126,50</w:t>
            </w:r>
          </w:p>
        </w:tc>
        <w:tc>
          <w:tcPr>
            <w:tcW w:w="1591" w:type="dxa"/>
            <w:vAlign w:val="center"/>
          </w:tcPr>
          <w:p w14:paraId="5F8E8FE3">
            <w:pPr>
              <w:jc w:val="center"/>
              <w:rPr>
                <w:sz w:val="22"/>
                <w:szCs w:val="22"/>
              </w:rPr>
            </w:pPr>
            <w:r>
              <w:rPr>
                <w:sz w:val="22"/>
                <w:szCs w:val="22"/>
              </w:rPr>
              <w:t>1.113.200.000</w:t>
            </w:r>
          </w:p>
        </w:tc>
        <w:tc>
          <w:tcPr>
            <w:tcW w:w="1700" w:type="dxa"/>
            <w:vAlign w:val="center"/>
          </w:tcPr>
          <w:p w14:paraId="7B32EC93">
            <w:pPr>
              <w:jc w:val="center"/>
              <w:rPr>
                <w:sz w:val="22"/>
                <w:szCs w:val="22"/>
              </w:rPr>
            </w:pPr>
            <w:r>
              <w:rPr>
                <w:sz w:val="22"/>
                <w:szCs w:val="22"/>
              </w:rPr>
              <w:t>1.158.800.000</w:t>
            </w:r>
          </w:p>
        </w:tc>
        <w:tc>
          <w:tcPr>
            <w:tcW w:w="1140" w:type="dxa"/>
            <w:noWrap/>
            <w:vAlign w:val="center"/>
          </w:tcPr>
          <w:p w14:paraId="6BAABFEE">
            <w:pPr>
              <w:jc w:val="center"/>
              <w:rPr>
                <w:sz w:val="22"/>
                <w:szCs w:val="22"/>
              </w:rPr>
            </w:pPr>
            <w:r>
              <w:rPr>
                <w:sz w:val="22"/>
                <w:szCs w:val="22"/>
              </w:rPr>
              <w:t>1,04%</w:t>
            </w:r>
          </w:p>
        </w:tc>
      </w:tr>
      <w:tr w14:paraId="70EE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D820BBF">
            <w:pPr>
              <w:jc w:val="center"/>
              <w:rPr>
                <w:sz w:val="22"/>
                <w:szCs w:val="22"/>
              </w:rPr>
            </w:pPr>
            <w:r>
              <w:rPr>
                <w:sz w:val="22"/>
                <w:szCs w:val="22"/>
              </w:rPr>
              <w:t>5</w:t>
            </w:r>
          </w:p>
        </w:tc>
        <w:tc>
          <w:tcPr>
            <w:tcW w:w="1752" w:type="dxa"/>
            <w:noWrap/>
            <w:vAlign w:val="center"/>
          </w:tcPr>
          <w:p w14:paraId="11097F59">
            <w:pPr>
              <w:jc w:val="center"/>
              <w:rPr>
                <w:sz w:val="22"/>
                <w:szCs w:val="22"/>
              </w:rPr>
            </w:pPr>
          </w:p>
        </w:tc>
        <w:tc>
          <w:tcPr>
            <w:tcW w:w="944" w:type="dxa"/>
            <w:vMerge w:val="continue"/>
            <w:vAlign w:val="center"/>
          </w:tcPr>
          <w:p w14:paraId="34672E75">
            <w:pPr>
              <w:jc w:val="center"/>
              <w:rPr>
                <w:sz w:val="22"/>
                <w:szCs w:val="22"/>
              </w:rPr>
            </w:pPr>
          </w:p>
        </w:tc>
        <w:tc>
          <w:tcPr>
            <w:tcW w:w="1116" w:type="dxa"/>
            <w:noWrap/>
            <w:vAlign w:val="center"/>
          </w:tcPr>
          <w:p w14:paraId="756E1006">
            <w:pPr>
              <w:jc w:val="center"/>
              <w:rPr>
                <w:sz w:val="22"/>
                <w:szCs w:val="22"/>
              </w:rPr>
            </w:pPr>
            <w:r>
              <w:rPr>
                <w:sz w:val="22"/>
                <w:szCs w:val="22"/>
              </w:rPr>
              <w:t>25</w:t>
            </w:r>
          </w:p>
        </w:tc>
        <w:tc>
          <w:tcPr>
            <w:tcW w:w="1010" w:type="dxa"/>
            <w:noWrap/>
            <w:vAlign w:val="center"/>
          </w:tcPr>
          <w:p w14:paraId="1A69A800">
            <w:pPr>
              <w:jc w:val="center"/>
              <w:rPr>
                <w:sz w:val="22"/>
                <w:szCs w:val="22"/>
              </w:rPr>
            </w:pPr>
            <w:r>
              <w:rPr>
                <w:sz w:val="22"/>
                <w:szCs w:val="22"/>
              </w:rPr>
              <w:t>126,50</w:t>
            </w:r>
          </w:p>
        </w:tc>
        <w:tc>
          <w:tcPr>
            <w:tcW w:w="1591" w:type="dxa"/>
            <w:vAlign w:val="center"/>
          </w:tcPr>
          <w:p w14:paraId="625EB82D">
            <w:pPr>
              <w:jc w:val="center"/>
              <w:rPr>
                <w:sz w:val="22"/>
                <w:szCs w:val="22"/>
              </w:rPr>
            </w:pPr>
            <w:r>
              <w:rPr>
                <w:sz w:val="22"/>
                <w:szCs w:val="22"/>
              </w:rPr>
              <w:t>1.113.200.000</w:t>
            </w:r>
          </w:p>
        </w:tc>
        <w:tc>
          <w:tcPr>
            <w:tcW w:w="1700" w:type="dxa"/>
            <w:vAlign w:val="center"/>
          </w:tcPr>
          <w:p w14:paraId="66CC8EAE">
            <w:pPr>
              <w:jc w:val="center"/>
              <w:rPr>
                <w:sz w:val="22"/>
                <w:szCs w:val="22"/>
              </w:rPr>
            </w:pPr>
            <w:r>
              <w:rPr>
                <w:sz w:val="22"/>
                <w:szCs w:val="22"/>
              </w:rPr>
              <w:t>1.176.198.000</w:t>
            </w:r>
          </w:p>
        </w:tc>
        <w:tc>
          <w:tcPr>
            <w:tcW w:w="1140" w:type="dxa"/>
            <w:noWrap/>
            <w:vAlign w:val="center"/>
          </w:tcPr>
          <w:p w14:paraId="508A9E79">
            <w:pPr>
              <w:jc w:val="center"/>
              <w:rPr>
                <w:sz w:val="22"/>
                <w:szCs w:val="22"/>
              </w:rPr>
            </w:pPr>
            <w:r>
              <w:rPr>
                <w:sz w:val="22"/>
                <w:szCs w:val="22"/>
              </w:rPr>
              <w:t>1,06%</w:t>
            </w:r>
          </w:p>
        </w:tc>
      </w:tr>
      <w:tr w14:paraId="6A27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vAlign w:val="center"/>
          </w:tcPr>
          <w:p w14:paraId="05B46F11">
            <w:pPr>
              <w:jc w:val="center"/>
              <w:rPr>
                <w:sz w:val="22"/>
                <w:szCs w:val="22"/>
              </w:rPr>
            </w:pPr>
            <w:r>
              <w:rPr>
                <w:sz w:val="22"/>
                <w:szCs w:val="22"/>
              </w:rPr>
              <w:t>B</w:t>
            </w:r>
          </w:p>
        </w:tc>
        <w:tc>
          <w:tcPr>
            <w:tcW w:w="1752" w:type="dxa"/>
            <w:vAlign w:val="center"/>
          </w:tcPr>
          <w:p w14:paraId="76159D23">
            <w:pPr>
              <w:jc w:val="center"/>
              <w:rPr>
                <w:sz w:val="22"/>
                <w:szCs w:val="22"/>
              </w:rPr>
            </w:pPr>
            <w:r>
              <w:rPr>
                <w:sz w:val="22"/>
                <w:szCs w:val="22"/>
              </w:rPr>
              <w:t>Khu dân cư phía Tây Bắc, thị trấn Kép</w:t>
            </w:r>
          </w:p>
        </w:tc>
        <w:tc>
          <w:tcPr>
            <w:tcW w:w="944" w:type="dxa"/>
            <w:noWrap/>
            <w:vAlign w:val="center"/>
          </w:tcPr>
          <w:p w14:paraId="363A503C">
            <w:pPr>
              <w:jc w:val="center"/>
              <w:rPr>
                <w:sz w:val="22"/>
                <w:szCs w:val="22"/>
              </w:rPr>
            </w:pPr>
          </w:p>
        </w:tc>
        <w:tc>
          <w:tcPr>
            <w:tcW w:w="1116" w:type="dxa"/>
            <w:noWrap/>
            <w:vAlign w:val="center"/>
          </w:tcPr>
          <w:p w14:paraId="7624E5D6">
            <w:pPr>
              <w:jc w:val="center"/>
              <w:rPr>
                <w:sz w:val="22"/>
                <w:szCs w:val="22"/>
              </w:rPr>
            </w:pPr>
          </w:p>
        </w:tc>
        <w:tc>
          <w:tcPr>
            <w:tcW w:w="1010" w:type="dxa"/>
            <w:noWrap/>
            <w:vAlign w:val="center"/>
          </w:tcPr>
          <w:p w14:paraId="00922CFF">
            <w:pPr>
              <w:jc w:val="center"/>
              <w:rPr>
                <w:sz w:val="22"/>
                <w:szCs w:val="22"/>
              </w:rPr>
            </w:pPr>
            <w:r>
              <w:rPr>
                <w:sz w:val="22"/>
                <w:szCs w:val="22"/>
              </w:rPr>
              <w:t>4772,7</w:t>
            </w:r>
          </w:p>
        </w:tc>
        <w:tc>
          <w:tcPr>
            <w:tcW w:w="1591" w:type="dxa"/>
            <w:noWrap/>
            <w:vAlign w:val="center"/>
          </w:tcPr>
          <w:p w14:paraId="02D4D5A2">
            <w:pPr>
              <w:jc w:val="center"/>
              <w:rPr>
                <w:sz w:val="22"/>
                <w:szCs w:val="22"/>
              </w:rPr>
            </w:pPr>
            <w:r>
              <w:rPr>
                <w:sz w:val="22"/>
                <w:szCs w:val="22"/>
              </w:rPr>
              <w:t>42.216.303.400</w:t>
            </w:r>
          </w:p>
        </w:tc>
        <w:tc>
          <w:tcPr>
            <w:tcW w:w="1700" w:type="dxa"/>
            <w:noWrap/>
            <w:vAlign w:val="center"/>
          </w:tcPr>
          <w:p w14:paraId="3A1454A9">
            <w:pPr>
              <w:jc w:val="center"/>
              <w:rPr>
                <w:sz w:val="22"/>
                <w:szCs w:val="22"/>
              </w:rPr>
            </w:pPr>
            <w:r>
              <w:rPr>
                <w:sz w:val="22"/>
                <w:szCs w:val="22"/>
              </w:rPr>
              <w:t>50.065.440.000</w:t>
            </w:r>
          </w:p>
        </w:tc>
        <w:tc>
          <w:tcPr>
            <w:tcW w:w="1140" w:type="dxa"/>
            <w:noWrap/>
            <w:vAlign w:val="center"/>
          </w:tcPr>
          <w:p w14:paraId="3900AE33">
            <w:pPr>
              <w:jc w:val="center"/>
              <w:rPr>
                <w:sz w:val="22"/>
                <w:szCs w:val="22"/>
              </w:rPr>
            </w:pPr>
          </w:p>
        </w:tc>
      </w:tr>
      <w:tr w14:paraId="2385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vAlign w:val="center"/>
          </w:tcPr>
          <w:p w14:paraId="0C68380E">
            <w:pPr>
              <w:jc w:val="center"/>
              <w:rPr>
                <w:sz w:val="22"/>
                <w:szCs w:val="22"/>
              </w:rPr>
            </w:pPr>
          </w:p>
        </w:tc>
        <w:tc>
          <w:tcPr>
            <w:tcW w:w="1752" w:type="dxa"/>
            <w:vAlign w:val="center"/>
          </w:tcPr>
          <w:p w14:paraId="153B1A13">
            <w:pPr>
              <w:jc w:val="center"/>
              <w:rPr>
                <w:sz w:val="22"/>
                <w:szCs w:val="22"/>
              </w:rPr>
            </w:pPr>
          </w:p>
        </w:tc>
        <w:tc>
          <w:tcPr>
            <w:tcW w:w="944" w:type="dxa"/>
            <w:noWrap/>
            <w:vAlign w:val="center"/>
          </w:tcPr>
          <w:p w14:paraId="17640C18">
            <w:pPr>
              <w:jc w:val="center"/>
              <w:rPr>
                <w:sz w:val="22"/>
                <w:szCs w:val="22"/>
              </w:rPr>
            </w:pPr>
          </w:p>
        </w:tc>
        <w:tc>
          <w:tcPr>
            <w:tcW w:w="1116" w:type="dxa"/>
            <w:noWrap/>
            <w:vAlign w:val="center"/>
          </w:tcPr>
          <w:p w14:paraId="7430A93E">
            <w:pPr>
              <w:jc w:val="center"/>
              <w:rPr>
                <w:sz w:val="22"/>
                <w:szCs w:val="22"/>
              </w:rPr>
            </w:pPr>
          </w:p>
        </w:tc>
        <w:tc>
          <w:tcPr>
            <w:tcW w:w="1010" w:type="dxa"/>
            <w:noWrap/>
            <w:vAlign w:val="center"/>
          </w:tcPr>
          <w:p w14:paraId="09D99607">
            <w:pPr>
              <w:jc w:val="center"/>
              <w:rPr>
                <w:sz w:val="22"/>
                <w:szCs w:val="22"/>
              </w:rPr>
            </w:pPr>
            <w:r>
              <w:rPr>
                <w:sz w:val="22"/>
                <w:szCs w:val="22"/>
              </w:rPr>
              <w:t>2102,82</w:t>
            </w:r>
          </w:p>
        </w:tc>
        <w:tc>
          <w:tcPr>
            <w:tcW w:w="1591" w:type="dxa"/>
            <w:noWrap/>
            <w:vAlign w:val="center"/>
          </w:tcPr>
          <w:p w14:paraId="7B5D5099">
            <w:pPr>
              <w:jc w:val="center"/>
              <w:rPr>
                <w:sz w:val="22"/>
                <w:szCs w:val="22"/>
              </w:rPr>
            </w:pPr>
            <w:r>
              <w:rPr>
                <w:sz w:val="22"/>
                <w:szCs w:val="22"/>
              </w:rPr>
              <w:t>19.820.081.400</w:t>
            </w:r>
          </w:p>
        </w:tc>
        <w:tc>
          <w:tcPr>
            <w:tcW w:w="1700" w:type="dxa"/>
            <w:noWrap/>
            <w:vAlign w:val="center"/>
          </w:tcPr>
          <w:p w14:paraId="45E9F76A">
            <w:pPr>
              <w:jc w:val="center"/>
              <w:rPr>
                <w:sz w:val="22"/>
                <w:szCs w:val="22"/>
              </w:rPr>
            </w:pPr>
            <w:r>
              <w:rPr>
                <w:sz w:val="22"/>
                <w:szCs w:val="22"/>
              </w:rPr>
              <w:t>24.065.364.000</w:t>
            </w:r>
          </w:p>
        </w:tc>
        <w:tc>
          <w:tcPr>
            <w:tcW w:w="1140" w:type="dxa"/>
            <w:noWrap/>
            <w:vAlign w:val="center"/>
          </w:tcPr>
          <w:p w14:paraId="3BC584D6">
            <w:pPr>
              <w:jc w:val="center"/>
              <w:rPr>
                <w:sz w:val="22"/>
                <w:szCs w:val="22"/>
              </w:rPr>
            </w:pPr>
          </w:p>
        </w:tc>
      </w:tr>
      <w:tr w14:paraId="46AB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EE56B12">
            <w:pPr>
              <w:jc w:val="center"/>
              <w:rPr>
                <w:sz w:val="22"/>
                <w:szCs w:val="22"/>
              </w:rPr>
            </w:pPr>
            <w:r>
              <w:rPr>
                <w:sz w:val="22"/>
                <w:szCs w:val="22"/>
              </w:rPr>
              <w:t>1</w:t>
            </w:r>
          </w:p>
        </w:tc>
        <w:tc>
          <w:tcPr>
            <w:tcW w:w="1752" w:type="dxa"/>
            <w:noWrap/>
            <w:vAlign w:val="center"/>
          </w:tcPr>
          <w:p w14:paraId="22497CD7">
            <w:pPr>
              <w:jc w:val="center"/>
              <w:rPr>
                <w:sz w:val="22"/>
                <w:szCs w:val="22"/>
              </w:rPr>
            </w:pPr>
          </w:p>
        </w:tc>
        <w:tc>
          <w:tcPr>
            <w:tcW w:w="944" w:type="dxa"/>
            <w:vMerge w:val="restart"/>
            <w:noWrap/>
            <w:vAlign w:val="center"/>
          </w:tcPr>
          <w:p w14:paraId="7846FBC6">
            <w:pPr>
              <w:jc w:val="center"/>
              <w:rPr>
                <w:sz w:val="22"/>
                <w:szCs w:val="22"/>
              </w:rPr>
            </w:pPr>
            <w:r>
              <w:rPr>
                <w:sz w:val="22"/>
                <w:szCs w:val="22"/>
              </w:rPr>
              <w:t>LK-19</w:t>
            </w:r>
          </w:p>
        </w:tc>
        <w:tc>
          <w:tcPr>
            <w:tcW w:w="1116" w:type="dxa"/>
            <w:noWrap/>
            <w:vAlign w:val="center"/>
          </w:tcPr>
          <w:p w14:paraId="5635D98F">
            <w:pPr>
              <w:jc w:val="center"/>
              <w:rPr>
                <w:sz w:val="22"/>
                <w:szCs w:val="22"/>
              </w:rPr>
            </w:pPr>
            <w:r>
              <w:rPr>
                <w:sz w:val="22"/>
                <w:szCs w:val="22"/>
              </w:rPr>
              <w:t>10</w:t>
            </w:r>
          </w:p>
        </w:tc>
        <w:tc>
          <w:tcPr>
            <w:tcW w:w="1010" w:type="dxa"/>
            <w:noWrap/>
            <w:vAlign w:val="center"/>
          </w:tcPr>
          <w:p w14:paraId="6AE81BE3">
            <w:pPr>
              <w:jc w:val="center"/>
              <w:rPr>
                <w:sz w:val="22"/>
                <w:szCs w:val="22"/>
              </w:rPr>
            </w:pPr>
            <w:r>
              <w:rPr>
                <w:sz w:val="22"/>
                <w:szCs w:val="22"/>
              </w:rPr>
              <w:t>89,75</w:t>
            </w:r>
          </w:p>
        </w:tc>
        <w:tc>
          <w:tcPr>
            <w:tcW w:w="1591" w:type="dxa"/>
            <w:vAlign w:val="center"/>
          </w:tcPr>
          <w:p w14:paraId="6582C49B">
            <w:pPr>
              <w:jc w:val="center"/>
              <w:rPr>
                <w:sz w:val="22"/>
                <w:szCs w:val="22"/>
              </w:rPr>
            </w:pPr>
            <w:r>
              <w:rPr>
                <w:sz w:val="22"/>
                <w:szCs w:val="22"/>
              </w:rPr>
              <w:t>987.250.000</w:t>
            </w:r>
          </w:p>
        </w:tc>
        <w:tc>
          <w:tcPr>
            <w:tcW w:w="1700" w:type="dxa"/>
            <w:vAlign w:val="center"/>
          </w:tcPr>
          <w:p w14:paraId="64BD52EF">
            <w:pPr>
              <w:jc w:val="center"/>
              <w:rPr>
                <w:sz w:val="22"/>
                <w:szCs w:val="22"/>
              </w:rPr>
            </w:pPr>
            <w:r>
              <w:rPr>
                <w:sz w:val="22"/>
                <w:szCs w:val="22"/>
              </w:rPr>
              <w:t>1.368.880.000</w:t>
            </w:r>
          </w:p>
        </w:tc>
        <w:tc>
          <w:tcPr>
            <w:tcW w:w="1140" w:type="dxa"/>
            <w:noWrap/>
            <w:vAlign w:val="center"/>
          </w:tcPr>
          <w:p w14:paraId="4E2398DA">
            <w:pPr>
              <w:jc w:val="center"/>
              <w:rPr>
                <w:sz w:val="22"/>
                <w:szCs w:val="22"/>
              </w:rPr>
            </w:pPr>
            <w:r>
              <w:rPr>
                <w:sz w:val="22"/>
                <w:szCs w:val="22"/>
              </w:rPr>
              <w:t>1,39%</w:t>
            </w:r>
          </w:p>
        </w:tc>
      </w:tr>
      <w:tr w14:paraId="51BC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87C718A">
            <w:pPr>
              <w:jc w:val="center"/>
              <w:rPr>
                <w:sz w:val="22"/>
                <w:szCs w:val="22"/>
              </w:rPr>
            </w:pPr>
            <w:r>
              <w:rPr>
                <w:sz w:val="22"/>
                <w:szCs w:val="22"/>
              </w:rPr>
              <w:t>2</w:t>
            </w:r>
          </w:p>
        </w:tc>
        <w:tc>
          <w:tcPr>
            <w:tcW w:w="1752" w:type="dxa"/>
            <w:noWrap/>
            <w:vAlign w:val="center"/>
          </w:tcPr>
          <w:p w14:paraId="691CA4DB">
            <w:pPr>
              <w:jc w:val="center"/>
              <w:rPr>
                <w:sz w:val="22"/>
                <w:szCs w:val="22"/>
              </w:rPr>
            </w:pPr>
          </w:p>
        </w:tc>
        <w:tc>
          <w:tcPr>
            <w:tcW w:w="944" w:type="dxa"/>
            <w:vMerge w:val="continue"/>
            <w:vAlign w:val="center"/>
          </w:tcPr>
          <w:p w14:paraId="0AED4AB7">
            <w:pPr>
              <w:jc w:val="center"/>
              <w:rPr>
                <w:sz w:val="22"/>
                <w:szCs w:val="22"/>
              </w:rPr>
            </w:pPr>
          </w:p>
        </w:tc>
        <w:tc>
          <w:tcPr>
            <w:tcW w:w="1116" w:type="dxa"/>
            <w:noWrap/>
            <w:vAlign w:val="center"/>
          </w:tcPr>
          <w:p w14:paraId="4C580A33">
            <w:pPr>
              <w:jc w:val="center"/>
              <w:rPr>
                <w:sz w:val="22"/>
                <w:szCs w:val="22"/>
              </w:rPr>
            </w:pPr>
            <w:r>
              <w:rPr>
                <w:sz w:val="22"/>
                <w:szCs w:val="22"/>
              </w:rPr>
              <w:t>15</w:t>
            </w:r>
          </w:p>
        </w:tc>
        <w:tc>
          <w:tcPr>
            <w:tcW w:w="1010" w:type="dxa"/>
            <w:noWrap/>
            <w:vAlign w:val="center"/>
          </w:tcPr>
          <w:p w14:paraId="688C1773">
            <w:pPr>
              <w:jc w:val="center"/>
              <w:rPr>
                <w:sz w:val="22"/>
                <w:szCs w:val="22"/>
              </w:rPr>
            </w:pPr>
            <w:r>
              <w:rPr>
                <w:sz w:val="22"/>
                <w:szCs w:val="22"/>
              </w:rPr>
              <w:t>102,30</w:t>
            </w:r>
          </w:p>
        </w:tc>
        <w:tc>
          <w:tcPr>
            <w:tcW w:w="1591" w:type="dxa"/>
            <w:vAlign w:val="center"/>
          </w:tcPr>
          <w:p w14:paraId="616C7735">
            <w:pPr>
              <w:jc w:val="center"/>
              <w:rPr>
                <w:sz w:val="22"/>
                <w:szCs w:val="22"/>
              </w:rPr>
            </w:pPr>
            <w:r>
              <w:rPr>
                <w:sz w:val="22"/>
                <w:szCs w:val="22"/>
              </w:rPr>
              <w:t>1.125.300.000</w:t>
            </w:r>
          </w:p>
        </w:tc>
        <w:tc>
          <w:tcPr>
            <w:tcW w:w="1700" w:type="dxa"/>
            <w:vAlign w:val="center"/>
          </w:tcPr>
          <w:p w14:paraId="192623B1">
            <w:pPr>
              <w:jc w:val="center"/>
              <w:rPr>
                <w:sz w:val="22"/>
                <w:szCs w:val="22"/>
              </w:rPr>
            </w:pPr>
            <w:r>
              <w:rPr>
                <w:sz w:val="22"/>
                <w:szCs w:val="22"/>
              </w:rPr>
              <w:t>1.402.880.000</w:t>
            </w:r>
          </w:p>
        </w:tc>
        <w:tc>
          <w:tcPr>
            <w:tcW w:w="1140" w:type="dxa"/>
            <w:noWrap/>
            <w:vAlign w:val="center"/>
          </w:tcPr>
          <w:p w14:paraId="6734054E">
            <w:pPr>
              <w:jc w:val="center"/>
              <w:rPr>
                <w:sz w:val="22"/>
                <w:szCs w:val="22"/>
              </w:rPr>
            </w:pPr>
            <w:r>
              <w:rPr>
                <w:sz w:val="22"/>
                <w:szCs w:val="22"/>
              </w:rPr>
              <w:t>1,25%</w:t>
            </w:r>
          </w:p>
        </w:tc>
      </w:tr>
      <w:tr w14:paraId="2A9E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535DA29">
            <w:pPr>
              <w:jc w:val="center"/>
              <w:rPr>
                <w:sz w:val="22"/>
                <w:szCs w:val="22"/>
              </w:rPr>
            </w:pPr>
            <w:r>
              <w:rPr>
                <w:sz w:val="22"/>
                <w:szCs w:val="22"/>
              </w:rPr>
              <w:t>3</w:t>
            </w:r>
          </w:p>
        </w:tc>
        <w:tc>
          <w:tcPr>
            <w:tcW w:w="1752" w:type="dxa"/>
            <w:noWrap/>
            <w:vAlign w:val="center"/>
          </w:tcPr>
          <w:p w14:paraId="3DFF3F0C">
            <w:pPr>
              <w:jc w:val="center"/>
              <w:rPr>
                <w:sz w:val="22"/>
                <w:szCs w:val="22"/>
              </w:rPr>
            </w:pPr>
          </w:p>
        </w:tc>
        <w:tc>
          <w:tcPr>
            <w:tcW w:w="944" w:type="dxa"/>
            <w:vMerge w:val="continue"/>
            <w:vAlign w:val="center"/>
          </w:tcPr>
          <w:p w14:paraId="04227545">
            <w:pPr>
              <w:jc w:val="center"/>
              <w:rPr>
                <w:sz w:val="22"/>
                <w:szCs w:val="22"/>
              </w:rPr>
            </w:pPr>
          </w:p>
        </w:tc>
        <w:tc>
          <w:tcPr>
            <w:tcW w:w="1116" w:type="dxa"/>
            <w:noWrap/>
            <w:vAlign w:val="center"/>
          </w:tcPr>
          <w:p w14:paraId="38F99D9A">
            <w:pPr>
              <w:jc w:val="center"/>
              <w:rPr>
                <w:sz w:val="22"/>
                <w:szCs w:val="22"/>
              </w:rPr>
            </w:pPr>
            <w:r>
              <w:rPr>
                <w:sz w:val="22"/>
                <w:szCs w:val="22"/>
              </w:rPr>
              <w:t>16</w:t>
            </w:r>
          </w:p>
        </w:tc>
        <w:tc>
          <w:tcPr>
            <w:tcW w:w="1010" w:type="dxa"/>
            <w:noWrap/>
            <w:vAlign w:val="center"/>
          </w:tcPr>
          <w:p w14:paraId="5B1FE600">
            <w:pPr>
              <w:jc w:val="center"/>
              <w:rPr>
                <w:sz w:val="22"/>
                <w:szCs w:val="22"/>
              </w:rPr>
            </w:pPr>
            <w:r>
              <w:rPr>
                <w:sz w:val="22"/>
                <w:szCs w:val="22"/>
              </w:rPr>
              <w:t>104,74</w:t>
            </w:r>
          </w:p>
        </w:tc>
        <w:tc>
          <w:tcPr>
            <w:tcW w:w="1591" w:type="dxa"/>
            <w:vAlign w:val="center"/>
          </w:tcPr>
          <w:p w14:paraId="71C76BA8">
            <w:pPr>
              <w:jc w:val="center"/>
              <w:rPr>
                <w:sz w:val="22"/>
                <w:szCs w:val="22"/>
              </w:rPr>
            </w:pPr>
            <w:r>
              <w:rPr>
                <w:sz w:val="22"/>
                <w:szCs w:val="22"/>
              </w:rPr>
              <w:t>1.152.140.000</w:t>
            </w:r>
          </w:p>
        </w:tc>
        <w:tc>
          <w:tcPr>
            <w:tcW w:w="1700" w:type="dxa"/>
            <w:vAlign w:val="center"/>
          </w:tcPr>
          <w:p w14:paraId="0A7A0E2F">
            <w:pPr>
              <w:jc w:val="center"/>
              <w:rPr>
                <w:sz w:val="22"/>
                <w:szCs w:val="22"/>
              </w:rPr>
            </w:pPr>
            <w:r>
              <w:rPr>
                <w:sz w:val="22"/>
                <w:szCs w:val="22"/>
              </w:rPr>
              <w:t>1.426.980.000</w:t>
            </w:r>
          </w:p>
        </w:tc>
        <w:tc>
          <w:tcPr>
            <w:tcW w:w="1140" w:type="dxa"/>
            <w:noWrap/>
            <w:vAlign w:val="center"/>
          </w:tcPr>
          <w:p w14:paraId="077EE82F">
            <w:pPr>
              <w:jc w:val="center"/>
              <w:rPr>
                <w:sz w:val="22"/>
                <w:szCs w:val="22"/>
              </w:rPr>
            </w:pPr>
            <w:r>
              <w:rPr>
                <w:sz w:val="22"/>
                <w:szCs w:val="22"/>
              </w:rPr>
              <w:t>1,24%</w:t>
            </w:r>
          </w:p>
        </w:tc>
      </w:tr>
      <w:tr w14:paraId="70AF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D98E7F0">
            <w:pPr>
              <w:jc w:val="center"/>
              <w:rPr>
                <w:sz w:val="22"/>
                <w:szCs w:val="22"/>
              </w:rPr>
            </w:pPr>
            <w:r>
              <w:rPr>
                <w:sz w:val="22"/>
                <w:szCs w:val="22"/>
              </w:rPr>
              <w:t>4</w:t>
            </w:r>
          </w:p>
        </w:tc>
        <w:tc>
          <w:tcPr>
            <w:tcW w:w="1752" w:type="dxa"/>
            <w:noWrap/>
            <w:vAlign w:val="center"/>
          </w:tcPr>
          <w:p w14:paraId="3E069F7B">
            <w:pPr>
              <w:jc w:val="center"/>
              <w:rPr>
                <w:sz w:val="22"/>
                <w:szCs w:val="22"/>
              </w:rPr>
            </w:pPr>
          </w:p>
        </w:tc>
        <w:tc>
          <w:tcPr>
            <w:tcW w:w="944" w:type="dxa"/>
            <w:vMerge w:val="continue"/>
            <w:vAlign w:val="center"/>
          </w:tcPr>
          <w:p w14:paraId="1F20FB7E">
            <w:pPr>
              <w:jc w:val="center"/>
              <w:rPr>
                <w:sz w:val="22"/>
                <w:szCs w:val="22"/>
              </w:rPr>
            </w:pPr>
          </w:p>
        </w:tc>
        <w:tc>
          <w:tcPr>
            <w:tcW w:w="1116" w:type="dxa"/>
            <w:noWrap/>
            <w:vAlign w:val="center"/>
          </w:tcPr>
          <w:p w14:paraId="4F5CC107">
            <w:pPr>
              <w:jc w:val="center"/>
              <w:rPr>
                <w:sz w:val="22"/>
                <w:szCs w:val="22"/>
              </w:rPr>
            </w:pPr>
            <w:r>
              <w:rPr>
                <w:sz w:val="22"/>
                <w:szCs w:val="22"/>
              </w:rPr>
              <w:t>17</w:t>
            </w:r>
          </w:p>
        </w:tc>
        <w:tc>
          <w:tcPr>
            <w:tcW w:w="1010" w:type="dxa"/>
            <w:noWrap/>
            <w:vAlign w:val="center"/>
          </w:tcPr>
          <w:p w14:paraId="3466027C">
            <w:pPr>
              <w:jc w:val="center"/>
              <w:rPr>
                <w:sz w:val="22"/>
                <w:szCs w:val="22"/>
              </w:rPr>
            </w:pPr>
            <w:r>
              <w:rPr>
                <w:sz w:val="22"/>
                <w:szCs w:val="22"/>
              </w:rPr>
              <w:t>107,16</w:t>
            </w:r>
          </w:p>
        </w:tc>
        <w:tc>
          <w:tcPr>
            <w:tcW w:w="1591" w:type="dxa"/>
            <w:vAlign w:val="center"/>
          </w:tcPr>
          <w:p w14:paraId="487A19D3">
            <w:pPr>
              <w:jc w:val="center"/>
              <w:rPr>
                <w:sz w:val="22"/>
                <w:szCs w:val="22"/>
              </w:rPr>
            </w:pPr>
            <w:r>
              <w:rPr>
                <w:sz w:val="22"/>
                <w:szCs w:val="22"/>
              </w:rPr>
              <w:t>1.178.760.000</w:t>
            </w:r>
          </w:p>
        </w:tc>
        <w:tc>
          <w:tcPr>
            <w:tcW w:w="1700" w:type="dxa"/>
            <w:vAlign w:val="center"/>
          </w:tcPr>
          <w:p w14:paraId="0F3D9822">
            <w:pPr>
              <w:jc w:val="center"/>
              <w:rPr>
                <w:sz w:val="22"/>
                <w:szCs w:val="22"/>
              </w:rPr>
            </w:pPr>
            <w:r>
              <w:rPr>
                <w:sz w:val="22"/>
                <w:szCs w:val="22"/>
              </w:rPr>
              <w:t>1.428.980.000</w:t>
            </w:r>
          </w:p>
        </w:tc>
        <w:tc>
          <w:tcPr>
            <w:tcW w:w="1140" w:type="dxa"/>
            <w:noWrap/>
            <w:vAlign w:val="center"/>
          </w:tcPr>
          <w:p w14:paraId="49021A15">
            <w:pPr>
              <w:jc w:val="center"/>
              <w:rPr>
                <w:sz w:val="22"/>
                <w:szCs w:val="22"/>
              </w:rPr>
            </w:pPr>
            <w:r>
              <w:rPr>
                <w:sz w:val="22"/>
                <w:szCs w:val="22"/>
              </w:rPr>
              <w:t>1,21%</w:t>
            </w:r>
          </w:p>
        </w:tc>
      </w:tr>
      <w:tr w14:paraId="214E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419EBDB">
            <w:pPr>
              <w:jc w:val="center"/>
              <w:rPr>
                <w:sz w:val="22"/>
                <w:szCs w:val="22"/>
              </w:rPr>
            </w:pPr>
            <w:r>
              <w:rPr>
                <w:sz w:val="22"/>
                <w:szCs w:val="22"/>
              </w:rPr>
              <w:t>5</w:t>
            </w:r>
          </w:p>
        </w:tc>
        <w:tc>
          <w:tcPr>
            <w:tcW w:w="1752" w:type="dxa"/>
            <w:noWrap/>
            <w:vAlign w:val="center"/>
          </w:tcPr>
          <w:p w14:paraId="4179FB1D">
            <w:pPr>
              <w:jc w:val="center"/>
              <w:rPr>
                <w:sz w:val="22"/>
                <w:szCs w:val="22"/>
              </w:rPr>
            </w:pPr>
          </w:p>
        </w:tc>
        <w:tc>
          <w:tcPr>
            <w:tcW w:w="944" w:type="dxa"/>
            <w:vMerge w:val="continue"/>
            <w:vAlign w:val="center"/>
          </w:tcPr>
          <w:p w14:paraId="7FA3571B">
            <w:pPr>
              <w:jc w:val="center"/>
              <w:rPr>
                <w:sz w:val="22"/>
                <w:szCs w:val="22"/>
              </w:rPr>
            </w:pPr>
          </w:p>
        </w:tc>
        <w:tc>
          <w:tcPr>
            <w:tcW w:w="1116" w:type="dxa"/>
            <w:noWrap/>
            <w:vAlign w:val="center"/>
          </w:tcPr>
          <w:p w14:paraId="3851A344">
            <w:pPr>
              <w:jc w:val="center"/>
              <w:rPr>
                <w:sz w:val="22"/>
                <w:szCs w:val="22"/>
              </w:rPr>
            </w:pPr>
            <w:r>
              <w:rPr>
                <w:sz w:val="22"/>
                <w:szCs w:val="22"/>
              </w:rPr>
              <w:t>18</w:t>
            </w:r>
          </w:p>
        </w:tc>
        <w:tc>
          <w:tcPr>
            <w:tcW w:w="1010" w:type="dxa"/>
            <w:noWrap/>
            <w:vAlign w:val="center"/>
          </w:tcPr>
          <w:p w14:paraId="2EF1364E">
            <w:pPr>
              <w:jc w:val="center"/>
              <w:rPr>
                <w:sz w:val="22"/>
                <w:szCs w:val="22"/>
              </w:rPr>
            </w:pPr>
            <w:r>
              <w:rPr>
                <w:sz w:val="22"/>
                <w:szCs w:val="22"/>
              </w:rPr>
              <w:t>124,96</w:t>
            </w:r>
          </w:p>
        </w:tc>
        <w:tc>
          <w:tcPr>
            <w:tcW w:w="1591" w:type="dxa"/>
            <w:vAlign w:val="center"/>
          </w:tcPr>
          <w:p w14:paraId="76BD1690">
            <w:pPr>
              <w:jc w:val="center"/>
              <w:rPr>
                <w:sz w:val="22"/>
                <w:szCs w:val="22"/>
              </w:rPr>
            </w:pPr>
            <w:r>
              <w:rPr>
                <w:sz w:val="22"/>
                <w:szCs w:val="22"/>
              </w:rPr>
              <w:t>1.374.560.000</w:t>
            </w:r>
          </w:p>
        </w:tc>
        <w:tc>
          <w:tcPr>
            <w:tcW w:w="1700" w:type="dxa"/>
            <w:vAlign w:val="center"/>
          </w:tcPr>
          <w:p w14:paraId="4F179669">
            <w:pPr>
              <w:jc w:val="center"/>
              <w:rPr>
                <w:sz w:val="22"/>
                <w:szCs w:val="22"/>
              </w:rPr>
            </w:pPr>
            <w:r>
              <w:rPr>
                <w:sz w:val="22"/>
                <w:szCs w:val="22"/>
              </w:rPr>
              <w:t>1.559.600.000</w:t>
            </w:r>
          </w:p>
        </w:tc>
        <w:tc>
          <w:tcPr>
            <w:tcW w:w="1140" w:type="dxa"/>
            <w:noWrap/>
            <w:vAlign w:val="center"/>
          </w:tcPr>
          <w:p w14:paraId="56F21CF9">
            <w:pPr>
              <w:jc w:val="center"/>
              <w:rPr>
                <w:sz w:val="22"/>
                <w:szCs w:val="22"/>
              </w:rPr>
            </w:pPr>
            <w:r>
              <w:rPr>
                <w:sz w:val="22"/>
                <w:szCs w:val="22"/>
              </w:rPr>
              <w:t>1,13%</w:t>
            </w:r>
          </w:p>
        </w:tc>
      </w:tr>
      <w:tr w14:paraId="78FD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8ACEC9D">
            <w:pPr>
              <w:jc w:val="center"/>
              <w:rPr>
                <w:sz w:val="22"/>
                <w:szCs w:val="22"/>
              </w:rPr>
            </w:pPr>
            <w:r>
              <w:rPr>
                <w:sz w:val="22"/>
                <w:szCs w:val="22"/>
              </w:rPr>
              <w:t>6</w:t>
            </w:r>
          </w:p>
        </w:tc>
        <w:tc>
          <w:tcPr>
            <w:tcW w:w="1752" w:type="dxa"/>
            <w:noWrap/>
            <w:vAlign w:val="center"/>
          </w:tcPr>
          <w:p w14:paraId="7CFE17DA">
            <w:pPr>
              <w:jc w:val="center"/>
              <w:rPr>
                <w:sz w:val="22"/>
                <w:szCs w:val="22"/>
              </w:rPr>
            </w:pPr>
          </w:p>
        </w:tc>
        <w:tc>
          <w:tcPr>
            <w:tcW w:w="944" w:type="dxa"/>
            <w:vMerge w:val="continue"/>
            <w:vAlign w:val="center"/>
          </w:tcPr>
          <w:p w14:paraId="3AE5F7B6">
            <w:pPr>
              <w:jc w:val="center"/>
              <w:rPr>
                <w:sz w:val="22"/>
                <w:szCs w:val="22"/>
              </w:rPr>
            </w:pPr>
          </w:p>
        </w:tc>
        <w:tc>
          <w:tcPr>
            <w:tcW w:w="1116" w:type="dxa"/>
            <w:noWrap/>
            <w:vAlign w:val="center"/>
          </w:tcPr>
          <w:p w14:paraId="235CE227">
            <w:pPr>
              <w:jc w:val="center"/>
              <w:rPr>
                <w:sz w:val="22"/>
                <w:szCs w:val="22"/>
              </w:rPr>
            </w:pPr>
            <w:r>
              <w:rPr>
                <w:sz w:val="22"/>
                <w:szCs w:val="22"/>
              </w:rPr>
              <w:t>19</w:t>
            </w:r>
          </w:p>
        </w:tc>
        <w:tc>
          <w:tcPr>
            <w:tcW w:w="1010" w:type="dxa"/>
            <w:noWrap/>
            <w:vAlign w:val="center"/>
          </w:tcPr>
          <w:p w14:paraId="3D5CAE43">
            <w:pPr>
              <w:jc w:val="center"/>
              <w:rPr>
                <w:sz w:val="22"/>
                <w:szCs w:val="22"/>
              </w:rPr>
            </w:pPr>
            <w:r>
              <w:rPr>
                <w:sz w:val="22"/>
                <w:szCs w:val="22"/>
              </w:rPr>
              <w:t>143,74</w:t>
            </w:r>
          </w:p>
        </w:tc>
        <w:tc>
          <w:tcPr>
            <w:tcW w:w="1591" w:type="dxa"/>
            <w:vAlign w:val="center"/>
          </w:tcPr>
          <w:p w14:paraId="27960DBE">
            <w:pPr>
              <w:jc w:val="center"/>
              <w:rPr>
                <w:sz w:val="22"/>
                <w:szCs w:val="22"/>
              </w:rPr>
            </w:pPr>
            <w:r>
              <w:rPr>
                <w:sz w:val="22"/>
                <w:szCs w:val="22"/>
              </w:rPr>
              <w:t>1.897.368.000</w:t>
            </w:r>
          </w:p>
        </w:tc>
        <w:tc>
          <w:tcPr>
            <w:tcW w:w="1700" w:type="dxa"/>
            <w:vAlign w:val="center"/>
          </w:tcPr>
          <w:p w14:paraId="4299FDDA">
            <w:pPr>
              <w:jc w:val="center"/>
              <w:rPr>
                <w:sz w:val="22"/>
                <w:szCs w:val="22"/>
              </w:rPr>
            </w:pPr>
            <w:r>
              <w:rPr>
                <w:sz w:val="22"/>
                <w:szCs w:val="22"/>
              </w:rPr>
              <w:t>1.980.500.000</w:t>
            </w:r>
          </w:p>
        </w:tc>
        <w:tc>
          <w:tcPr>
            <w:tcW w:w="1140" w:type="dxa"/>
            <w:noWrap/>
            <w:vAlign w:val="center"/>
          </w:tcPr>
          <w:p w14:paraId="28AC6725">
            <w:pPr>
              <w:jc w:val="center"/>
              <w:rPr>
                <w:sz w:val="22"/>
                <w:szCs w:val="22"/>
              </w:rPr>
            </w:pPr>
            <w:r>
              <w:rPr>
                <w:sz w:val="22"/>
                <w:szCs w:val="22"/>
              </w:rPr>
              <w:t>1,04%</w:t>
            </w:r>
          </w:p>
        </w:tc>
      </w:tr>
      <w:tr w14:paraId="3763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6DC8900">
            <w:pPr>
              <w:jc w:val="center"/>
              <w:rPr>
                <w:sz w:val="22"/>
                <w:szCs w:val="22"/>
              </w:rPr>
            </w:pPr>
            <w:r>
              <w:rPr>
                <w:sz w:val="22"/>
                <w:szCs w:val="22"/>
              </w:rPr>
              <w:t>7</w:t>
            </w:r>
          </w:p>
        </w:tc>
        <w:tc>
          <w:tcPr>
            <w:tcW w:w="1752" w:type="dxa"/>
            <w:noWrap/>
            <w:vAlign w:val="center"/>
          </w:tcPr>
          <w:p w14:paraId="45809732">
            <w:pPr>
              <w:jc w:val="center"/>
              <w:rPr>
                <w:sz w:val="22"/>
                <w:szCs w:val="22"/>
              </w:rPr>
            </w:pPr>
          </w:p>
        </w:tc>
        <w:tc>
          <w:tcPr>
            <w:tcW w:w="944" w:type="dxa"/>
            <w:vMerge w:val="continue"/>
            <w:vAlign w:val="center"/>
          </w:tcPr>
          <w:p w14:paraId="71353CF7">
            <w:pPr>
              <w:jc w:val="center"/>
              <w:rPr>
                <w:sz w:val="22"/>
                <w:szCs w:val="22"/>
              </w:rPr>
            </w:pPr>
          </w:p>
        </w:tc>
        <w:tc>
          <w:tcPr>
            <w:tcW w:w="1116" w:type="dxa"/>
            <w:noWrap/>
            <w:vAlign w:val="center"/>
          </w:tcPr>
          <w:p w14:paraId="2270CDD6">
            <w:pPr>
              <w:jc w:val="center"/>
              <w:rPr>
                <w:sz w:val="22"/>
                <w:szCs w:val="22"/>
              </w:rPr>
            </w:pPr>
            <w:r>
              <w:rPr>
                <w:sz w:val="22"/>
                <w:szCs w:val="22"/>
              </w:rPr>
              <w:t>21</w:t>
            </w:r>
          </w:p>
        </w:tc>
        <w:tc>
          <w:tcPr>
            <w:tcW w:w="1010" w:type="dxa"/>
            <w:noWrap/>
            <w:vAlign w:val="center"/>
          </w:tcPr>
          <w:p w14:paraId="5C955931">
            <w:pPr>
              <w:jc w:val="center"/>
              <w:rPr>
                <w:sz w:val="22"/>
                <w:szCs w:val="22"/>
              </w:rPr>
            </w:pPr>
            <w:r>
              <w:rPr>
                <w:sz w:val="22"/>
                <w:szCs w:val="22"/>
              </w:rPr>
              <w:t>63,98</w:t>
            </w:r>
          </w:p>
        </w:tc>
        <w:tc>
          <w:tcPr>
            <w:tcW w:w="1591" w:type="dxa"/>
            <w:vAlign w:val="center"/>
          </w:tcPr>
          <w:p w14:paraId="688B8D75">
            <w:pPr>
              <w:jc w:val="center"/>
              <w:rPr>
                <w:sz w:val="22"/>
                <w:szCs w:val="22"/>
              </w:rPr>
            </w:pPr>
            <w:r>
              <w:rPr>
                <w:sz w:val="22"/>
                <w:szCs w:val="22"/>
              </w:rPr>
              <w:t>531.034.000</w:t>
            </w:r>
          </w:p>
        </w:tc>
        <w:tc>
          <w:tcPr>
            <w:tcW w:w="1700" w:type="dxa"/>
            <w:vAlign w:val="center"/>
          </w:tcPr>
          <w:p w14:paraId="4CBEA77B">
            <w:pPr>
              <w:jc w:val="center"/>
              <w:rPr>
                <w:sz w:val="22"/>
                <w:szCs w:val="22"/>
              </w:rPr>
            </w:pPr>
            <w:r>
              <w:rPr>
                <w:sz w:val="22"/>
                <w:szCs w:val="22"/>
              </w:rPr>
              <w:t>769.000.000</w:t>
            </w:r>
          </w:p>
        </w:tc>
        <w:tc>
          <w:tcPr>
            <w:tcW w:w="1140" w:type="dxa"/>
            <w:noWrap/>
            <w:vAlign w:val="center"/>
          </w:tcPr>
          <w:p w14:paraId="492BFBB1">
            <w:pPr>
              <w:jc w:val="center"/>
              <w:rPr>
                <w:sz w:val="22"/>
                <w:szCs w:val="22"/>
              </w:rPr>
            </w:pPr>
            <w:r>
              <w:rPr>
                <w:sz w:val="22"/>
                <w:szCs w:val="22"/>
              </w:rPr>
              <w:t>1,45%</w:t>
            </w:r>
          </w:p>
        </w:tc>
      </w:tr>
      <w:tr w14:paraId="606B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F15C52A">
            <w:pPr>
              <w:jc w:val="center"/>
              <w:rPr>
                <w:sz w:val="22"/>
                <w:szCs w:val="22"/>
              </w:rPr>
            </w:pPr>
            <w:r>
              <w:rPr>
                <w:sz w:val="22"/>
                <w:szCs w:val="22"/>
              </w:rPr>
              <w:t>8</w:t>
            </w:r>
          </w:p>
        </w:tc>
        <w:tc>
          <w:tcPr>
            <w:tcW w:w="1752" w:type="dxa"/>
            <w:noWrap/>
            <w:vAlign w:val="center"/>
          </w:tcPr>
          <w:p w14:paraId="0139D353">
            <w:pPr>
              <w:jc w:val="center"/>
              <w:rPr>
                <w:sz w:val="22"/>
                <w:szCs w:val="22"/>
              </w:rPr>
            </w:pPr>
          </w:p>
        </w:tc>
        <w:tc>
          <w:tcPr>
            <w:tcW w:w="944" w:type="dxa"/>
            <w:vMerge w:val="continue"/>
            <w:vAlign w:val="center"/>
          </w:tcPr>
          <w:p w14:paraId="226CBC65">
            <w:pPr>
              <w:jc w:val="center"/>
              <w:rPr>
                <w:sz w:val="22"/>
                <w:szCs w:val="22"/>
              </w:rPr>
            </w:pPr>
          </w:p>
        </w:tc>
        <w:tc>
          <w:tcPr>
            <w:tcW w:w="1116" w:type="dxa"/>
            <w:noWrap/>
            <w:vAlign w:val="center"/>
          </w:tcPr>
          <w:p w14:paraId="40842CBC">
            <w:pPr>
              <w:jc w:val="center"/>
              <w:rPr>
                <w:sz w:val="22"/>
                <w:szCs w:val="22"/>
              </w:rPr>
            </w:pPr>
            <w:r>
              <w:rPr>
                <w:sz w:val="22"/>
                <w:szCs w:val="22"/>
              </w:rPr>
              <w:t>22</w:t>
            </w:r>
          </w:p>
        </w:tc>
        <w:tc>
          <w:tcPr>
            <w:tcW w:w="1010" w:type="dxa"/>
            <w:noWrap/>
            <w:vAlign w:val="center"/>
          </w:tcPr>
          <w:p w14:paraId="29B4F690">
            <w:pPr>
              <w:jc w:val="center"/>
              <w:rPr>
                <w:sz w:val="22"/>
                <w:szCs w:val="22"/>
              </w:rPr>
            </w:pPr>
            <w:r>
              <w:rPr>
                <w:sz w:val="22"/>
                <w:szCs w:val="22"/>
              </w:rPr>
              <w:t>64,64</w:t>
            </w:r>
          </w:p>
        </w:tc>
        <w:tc>
          <w:tcPr>
            <w:tcW w:w="1591" w:type="dxa"/>
            <w:vAlign w:val="center"/>
          </w:tcPr>
          <w:p w14:paraId="1E63AE68">
            <w:pPr>
              <w:jc w:val="center"/>
              <w:rPr>
                <w:sz w:val="22"/>
                <w:szCs w:val="22"/>
              </w:rPr>
            </w:pPr>
            <w:r>
              <w:rPr>
                <w:sz w:val="22"/>
                <w:szCs w:val="22"/>
              </w:rPr>
              <w:t>536.512.000</w:t>
            </w:r>
          </w:p>
        </w:tc>
        <w:tc>
          <w:tcPr>
            <w:tcW w:w="1700" w:type="dxa"/>
            <w:vAlign w:val="center"/>
          </w:tcPr>
          <w:p w14:paraId="7126992E">
            <w:pPr>
              <w:jc w:val="center"/>
              <w:rPr>
                <w:sz w:val="22"/>
                <w:szCs w:val="22"/>
              </w:rPr>
            </w:pPr>
            <w:r>
              <w:rPr>
                <w:sz w:val="22"/>
                <w:szCs w:val="22"/>
              </w:rPr>
              <w:t>756.000.000</w:t>
            </w:r>
          </w:p>
        </w:tc>
        <w:tc>
          <w:tcPr>
            <w:tcW w:w="1140" w:type="dxa"/>
            <w:noWrap/>
            <w:vAlign w:val="center"/>
          </w:tcPr>
          <w:p w14:paraId="70CF6BE6">
            <w:pPr>
              <w:jc w:val="center"/>
              <w:rPr>
                <w:sz w:val="22"/>
                <w:szCs w:val="22"/>
              </w:rPr>
            </w:pPr>
            <w:r>
              <w:rPr>
                <w:sz w:val="22"/>
                <w:szCs w:val="22"/>
              </w:rPr>
              <w:t>1,41%</w:t>
            </w:r>
          </w:p>
        </w:tc>
      </w:tr>
      <w:tr w14:paraId="3140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FE3AE20">
            <w:pPr>
              <w:jc w:val="center"/>
              <w:rPr>
                <w:sz w:val="22"/>
                <w:szCs w:val="22"/>
              </w:rPr>
            </w:pPr>
            <w:r>
              <w:rPr>
                <w:sz w:val="22"/>
                <w:szCs w:val="22"/>
              </w:rPr>
              <w:t>9</w:t>
            </w:r>
          </w:p>
        </w:tc>
        <w:tc>
          <w:tcPr>
            <w:tcW w:w="1752" w:type="dxa"/>
            <w:noWrap/>
            <w:vAlign w:val="center"/>
          </w:tcPr>
          <w:p w14:paraId="2C9BB720">
            <w:pPr>
              <w:jc w:val="center"/>
              <w:rPr>
                <w:sz w:val="22"/>
                <w:szCs w:val="22"/>
              </w:rPr>
            </w:pPr>
          </w:p>
        </w:tc>
        <w:tc>
          <w:tcPr>
            <w:tcW w:w="944" w:type="dxa"/>
            <w:vMerge w:val="continue"/>
            <w:vAlign w:val="center"/>
          </w:tcPr>
          <w:p w14:paraId="6CCD149F">
            <w:pPr>
              <w:jc w:val="center"/>
              <w:rPr>
                <w:sz w:val="22"/>
                <w:szCs w:val="22"/>
              </w:rPr>
            </w:pPr>
          </w:p>
        </w:tc>
        <w:tc>
          <w:tcPr>
            <w:tcW w:w="1116" w:type="dxa"/>
            <w:noWrap/>
            <w:vAlign w:val="center"/>
          </w:tcPr>
          <w:p w14:paraId="129D1B57">
            <w:pPr>
              <w:jc w:val="center"/>
              <w:rPr>
                <w:sz w:val="22"/>
                <w:szCs w:val="22"/>
              </w:rPr>
            </w:pPr>
            <w:r>
              <w:rPr>
                <w:sz w:val="22"/>
                <w:szCs w:val="22"/>
              </w:rPr>
              <w:t>23</w:t>
            </w:r>
          </w:p>
        </w:tc>
        <w:tc>
          <w:tcPr>
            <w:tcW w:w="1010" w:type="dxa"/>
            <w:noWrap/>
            <w:vAlign w:val="center"/>
          </w:tcPr>
          <w:p w14:paraId="302E8A95">
            <w:pPr>
              <w:jc w:val="center"/>
              <w:rPr>
                <w:sz w:val="22"/>
                <w:szCs w:val="22"/>
              </w:rPr>
            </w:pPr>
            <w:r>
              <w:rPr>
                <w:sz w:val="22"/>
                <w:szCs w:val="22"/>
              </w:rPr>
              <w:t>65,31</w:t>
            </w:r>
          </w:p>
        </w:tc>
        <w:tc>
          <w:tcPr>
            <w:tcW w:w="1591" w:type="dxa"/>
            <w:vAlign w:val="center"/>
          </w:tcPr>
          <w:p w14:paraId="048755E4">
            <w:pPr>
              <w:jc w:val="center"/>
              <w:rPr>
                <w:sz w:val="22"/>
                <w:szCs w:val="22"/>
              </w:rPr>
            </w:pPr>
            <w:r>
              <w:rPr>
                <w:sz w:val="22"/>
                <w:szCs w:val="22"/>
              </w:rPr>
              <w:t>542.073.000</w:t>
            </w:r>
          </w:p>
        </w:tc>
        <w:tc>
          <w:tcPr>
            <w:tcW w:w="1700" w:type="dxa"/>
            <w:vAlign w:val="center"/>
          </w:tcPr>
          <w:p w14:paraId="56F6C48C">
            <w:pPr>
              <w:jc w:val="center"/>
              <w:rPr>
                <w:sz w:val="22"/>
                <w:szCs w:val="22"/>
              </w:rPr>
            </w:pPr>
            <w:r>
              <w:rPr>
                <w:sz w:val="22"/>
                <w:szCs w:val="22"/>
              </w:rPr>
              <w:t>726.600.000</w:t>
            </w:r>
          </w:p>
        </w:tc>
        <w:tc>
          <w:tcPr>
            <w:tcW w:w="1140" w:type="dxa"/>
            <w:noWrap/>
            <w:vAlign w:val="center"/>
          </w:tcPr>
          <w:p w14:paraId="53DF1BF4">
            <w:pPr>
              <w:jc w:val="center"/>
              <w:rPr>
                <w:sz w:val="22"/>
                <w:szCs w:val="22"/>
              </w:rPr>
            </w:pPr>
            <w:r>
              <w:rPr>
                <w:sz w:val="22"/>
                <w:szCs w:val="22"/>
              </w:rPr>
              <w:t>1,34%</w:t>
            </w:r>
          </w:p>
        </w:tc>
      </w:tr>
      <w:tr w14:paraId="7234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A9BD652">
            <w:pPr>
              <w:jc w:val="center"/>
              <w:rPr>
                <w:sz w:val="22"/>
                <w:szCs w:val="22"/>
              </w:rPr>
            </w:pPr>
            <w:r>
              <w:rPr>
                <w:sz w:val="22"/>
                <w:szCs w:val="22"/>
              </w:rPr>
              <w:t>10</w:t>
            </w:r>
          </w:p>
        </w:tc>
        <w:tc>
          <w:tcPr>
            <w:tcW w:w="1752" w:type="dxa"/>
            <w:noWrap/>
            <w:vAlign w:val="center"/>
          </w:tcPr>
          <w:p w14:paraId="1779C336">
            <w:pPr>
              <w:jc w:val="center"/>
              <w:rPr>
                <w:sz w:val="22"/>
                <w:szCs w:val="22"/>
              </w:rPr>
            </w:pPr>
          </w:p>
        </w:tc>
        <w:tc>
          <w:tcPr>
            <w:tcW w:w="944" w:type="dxa"/>
            <w:vMerge w:val="continue"/>
            <w:vAlign w:val="center"/>
          </w:tcPr>
          <w:p w14:paraId="3542A3AB">
            <w:pPr>
              <w:jc w:val="center"/>
              <w:rPr>
                <w:sz w:val="22"/>
                <w:szCs w:val="22"/>
              </w:rPr>
            </w:pPr>
          </w:p>
        </w:tc>
        <w:tc>
          <w:tcPr>
            <w:tcW w:w="1116" w:type="dxa"/>
            <w:noWrap/>
            <w:vAlign w:val="center"/>
          </w:tcPr>
          <w:p w14:paraId="588DA1AC">
            <w:pPr>
              <w:jc w:val="center"/>
              <w:rPr>
                <w:sz w:val="22"/>
                <w:szCs w:val="22"/>
              </w:rPr>
            </w:pPr>
            <w:r>
              <w:rPr>
                <w:sz w:val="22"/>
                <w:szCs w:val="22"/>
              </w:rPr>
              <w:t>24</w:t>
            </w:r>
          </w:p>
        </w:tc>
        <w:tc>
          <w:tcPr>
            <w:tcW w:w="1010" w:type="dxa"/>
            <w:noWrap/>
            <w:vAlign w:val="center"/>
          </w:tcPr>
          <w:p w14:paraId="4C80396C">
            <w:pPr>
              <w:jc w:val="center"/>
              <w:rPr>
                <w:sz w:val="22"/>
                <w:szCs w:val="22"/>
              </w:rPr>
            </w:pPr>
            <w:r>
              <w:rPr>
                <w:sz w:val="22"/>
                <w:szCs w:val="22"/>
              </w:rPr>
              <w:t>66,00</w:t>
            </w:r>
          </w:p>
        </w:tc>
        <w:tc>
          <w:tcPr>
            <w:tcW w:w="1591" w:type="dxa"/>
            <w:vAlign w:val="center"/>
          </w:tcPr>
          <w:p w14:paraId="6E27BA53">
            <w:pPr>
              <w:jc w:val="center"/>
              <w:rPr>
                <w:sz w:val="22"/>
                <w:szCs w:val="22"/>
              </w:rPr>
            </w:pPr>
            <w:r>
              <w:rPr>
                <w:sz w:val="22"/>
                <w:szCs w:val="22"/>
              </w:rPr>
              <w:t>547.800.000</w:t>
            </w:r>
          </w:p>
        </w:tc>
        <w:tc>
          <w:tcPr>
            <w:tcW w:w="1700" w:type="dxa"/>
            <w:vAlign w:val="center"/>
          </w:tcPr>
          <w:p w14:paraId="0523F70B">
            <w:pPr>
              <w:jc w:val="center"/>
              <w:rPr>
                <w:sz w:val="22"/>
                <w:szCs w:val="22"/>
              </w:rPr>
            </w:pPr>
            <w:r>
              <w:rPr>
                <w:sz w:val="22"/>
                <w:szCs w:val="22"/>
              </w:rPr>
              <w:t>719.000.000</w:t>
            </w:r>
          </w:p>
        </w:tc>
        <w:tc>
          <w:tcPr>
            <w:tcW w:w="1140" w:type="dxa"/>
            <w:noWrap/>
            <w:vAlign w:val="center"/>
          </w:tcPr>
          <w:p w14:paraId="4FC92242">
            <w:pPr>
              <w:jc w:val="center"/>
              <w:rPr>
                <w:sz w:val="22"/>
                <w:szCs w:val="22"/>
              </w:rPr>
            </w:pPr>
            <w:r>
              <w:rPr>
                <w:sz w:val="22"/>
                <w:szCs w:val="22"/>
              </w:rPr>
              <w:t>1,31%</w:t>
            </w:r>
          </w:p>
        </w:tc>
      </w:tr>
      <w:tr w14:paraId="7B70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4B610C2">
            <w:pPr>
              <w:jc w:val="center"/>
              <w:rPr>
                <w:sz w:val="22"/>
                <w:szCs w:val="22"/>
              </w:rPr>
            </w:pPr>
            <w:r>
              <w:rPr>
                <w:sz w:val="22"/>
                <w:szCs w:val="22"/>
              </w:rPr>
              <w:t>11</w:t>
            </w:r>
          </w:p>
        </w:tc>
        <w:tc>
          <w:tcPr>
            <w:tcW w:w="1752" w:type="dxa"/>
            <w:noWrap/>
            <w:vAlign w:val="center"/>
          </w:tcPr>
          <w:p w14:paraId="67ADCF58">
            <w:pPr>
              <w:jc w:val="center"/>
              <w:rPr>
                <w:sz w:val="22"/>
                <w:szCs w:val="22"/>
              </w:rPr>
            </w:pPr>
          </w:p>
        </w:tc>
        <w:tc>
          <w:tcPr>
            <w:tcW w:w="944" w:type="dxa"/>
            <w:vMerge w:val="continue"/>
            <w:vAlign w:val="center"/>
          </w:tcPr>
          <w:p w14:paraId="11F86041">
            <w:pPr>
              <w:jc w:val="center"/>
              <w:rPr>
                <w:sz w:val="22"/>
                <w:szCs w:val="22"/>
              </w:rPr>
            </w:pPr>
          </w:p>
        </w:tc>
        <w:tc>
          <w:tcPr>
            <w:tcW w:w="1116" w:type="dxa"/>
            <w:noWrap/>
            <w:vAlign w:val="center"/>
          </w:tcPr>
          <w:p w14:paraId="009145B4">
            <w:pPr>
              <w:jc w:val="center"/>
              <w:rPr>
                <w:sz w:val="22"/>
                <w:szCs w:val="22"/>
              </w:rPr>
            </w:pPr>
            <w:r>
              <w:rPr>
                <w:sz w:val="22"/>
                <w:szCs w:val="22"/>
              </w:rPr>
              <w:t>31</w:t>
            </w:r>
          </w:p>
        </w:tc>
        <w:tc>
          <w:tcPr>
            <w:tcW w:w="1010" w:type="dxa"/>
            <w:noWrap/>
            <w:vAlign w:val="center"/>
          </w:tcPr>
          <w:p w14:paraId="602BC4AF">
            <w:pPr>
              <w:jc w:val="center"/>
              <w:rPr>
                <w:sz w:val="22"/>
                <w:szCs w:val="22"/>
              </w:rPr>
            </w:pPr>
            <w:r>
              <w:rPr>
                <w:sz w:val="22"/>
                <w:szCs w:val="22"/>
              </w:rPr>
              <w:t>68,93</w:t>
            </w:r>
          </w:p>
        </w:tc>
        <w:tc>
          <w:tcPr>
            <w:tcW w:w="1591" w:type="dxa"/>
            <w:vAlign w:val="center"/>
          </w:tcPr>
          <w:p w14:paraId="0A25538E">
            <w:pPr>
              <w:jc w:val="center"/>
              <w:rPr>
                <w:sz w:val="22"/>
                <w:szCs w:val="22"/>
              </w:rPr>
            </w:pPr>
            <w:r>
              <w:rPr>
                <w:sz w:val="22"/>
                <w:szCs w:val="22"/>
              </w:rPr>
              <w:t>572.119.000</w:t>
            </w:r>
          </w:p>
        </w:tc>
        <w:tc>
          <w:tcPr>
            <w:tcW w:w="1700" w:type="dxa"/>
            <w:vAlign w:val="center"/>
          </w:tcPr>
          <w:p w14:paraId="550335B1">
            <w:pPr>
              <w:jc w:val="center"/>
              <w:rPr>
                <w:sz w:val="22"/>
                <w:szCs w:val="22"/>
              </w:rPr>
            </w:pPr>
            <w:r>
              <w:rPr>
                <w:sz w:val="22"/>
                <w:szCs w:val="22"/>
              </w:rPr>
              <w:t>691.000.000</w:t>
            </w:r>
          </w:p>
        </w:tc>
        <w:tc>
          <w:tcPr>
            <w:tcW w:w="1140" w:type="dxa"/>
            <w:noWrap/>
            <w:vAlign w:val="center"/>
          </w:tcPr>
          <w:p w14:paraId="772FAF99">
            <w:pPr>
              <w:jc w:val="center"/>
              <w:rPr>
                <w:sz w:val="22"/>
                <w:szCs w:val="22"/>
              </w:rPr>
            </w:pPr>
            <w:r>
              <w:rPr>
                <w:sz w:val="22"/>
                <w:szCs w:val="22"/>
              </w:rPr>
              <w:t>1,21%</w:t>
            </w:r>
          </w:p>
        </w:tc>
      </w:tr>
      <w:tr w14:paraId="4FA4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5237B1D">
            <w:pPr>
              <w:jc w:val="center"/>
              <w:rPr>
                <w:sz w:val="22"/>
                <w:szCs w:val="22"/>
              </w:rPr>
            </w:pPr>
            <w:r>
              <w:rPr>
                <w:sz w:val="22"/>
                <w:szCs w:val="22"/>
              </w:rPr>
              <w:t>12</w:t>
            </w:r>
          </w:p>
        </w:tc>
        <w:tc>
          <w:tcPr>
            <w:tcW w:w="1752" w:type="dxa"/>
            <w:noWrap/>
            <w:vAlign w:val="center"/>
          </w:tcPr>
          <w:p w14:paraId="5D36D862">
            <w:pPr>
              <w:jc w:val="center"/>
              <w:rPr>
                <w:sz w:val="22"/>
                <w:szCs w:val="22"/>
              </w:rPr>
            </w:pPr>
          </w:p>
        </w:tc>
        <w:tc>
          <w:tcPr>
            <w:tcW w:w="944" w:type="dxa"/>
            <w:vMerge w:val="continue"/>
            <w:vAlign w:val="center"/>
          </w:tcPr>
          <w:p w14:paraId="1C180112">
            <w:pPr>
              <w:jc w:val="center"/>
              <w:rPr>
                <w:sz w:val="22"/>
                <w:szCs w:val="22"/>
              </w:rPr>
            </w:pPr>
          </w:p>
        </w:tc>
        <w:tc>
          <w:tcPr>
            <w:tcW w:w="1116" w:type="dxa"/>
            <w:noWrap/>
            <w:vAlign w:val="center"/>
          </w:tcPr>
          <w:p w14:paraId="5FEDBE5E">
            <w:pPr>
              <w:jc w:val="center"/>
              <w:rPr>
                <w:sz w:val="22"/>
                <w:szCs w:val="22"/>
              </w:rPr>
            </w:pPr>
            <w:r>
              <w:rPr>
                <w:sz w:val="22"/>
                <w:szCs w:val="22"/>
              </w:rPr>
              <w:t>32</w:t>
            </w:r>
          </w:p>
        </w:tc>
        <w:tc>
          <w:tcPr>
            <w:tcW w:w="1010" w:type="dxa"/>
            <w:noWrap/>
            <w:vAlign w:val="center"/>
          </w:tcPr>
          <w:p w14:paraId="3EAD0A25">
            <w:pPr>
              <w:jc w:val="center"/>
              <w:rPr>
                <w:sz w:val="22"/>
                <w:szCs w:val="22"/>
              </w:rPr>
            </w:pPr>
            <w:r>
              <w:rPr>
                <w:sz w:val="22"/>
                <w:szCs w:val="22"/>
              </w:rPr>
              <w:t>70,27</w:t>
            </w:r>
          </w:p>
        </w:tc>
        <w:tc>
          <w:tcPr>
            <w:tcW w:w="1591" w:type="dxa"/>
            <w:vAlign w:val="center"/>
          </w:tcPr>
          <w:p w14:paraId="0F6AF9CC">
            <w:pPr>
              <w:jc w:val="center"/>
              <w:rPr>
                <w:sz w:val="22"/>
                <w:szCs w:val="22"/>
              </w:rPr>
            </w:pPr>
            <w:r>
              <w:rPr>
                <w:sz w:val="22"/>
                <w:szCs w:val="22"/>
              </w:rPr>
              <w:t>583.241.000</w:t>
            </w:r>
          </w:p>
        </w:tc>
        <w:tc>
          <w:tcPr>
            <w:tcW w:w="1700" w:type="dxa"/>
            <w:vAlign w:val="center"/>
          </w:tcPr>
          <w:p w14:paraId="15FDBE1C">
            <w:pPr>
              <w:jc w:val="center"/>
              <w:rPr>
                <w:sz w:val="22"/>
                <w:szCs w:val="22"/>
              </w:rPr>
            </w:pPr>
            <w:r>
              <w:rPr>
                <w:sz w:val="22"/>
                <w:szCs w:val="22"/>
              </w:rPr>
              <w:t>698.000.000</w:t>
            </w:r>
          </w:p>
        </w:tc>
        <w:tc>
          <w:tcPr>
            <w:tcW w:w="1140" w:type="dxa"/>
            <w:noWrap/>
            <w:vAlign w:val="center"/>
          </w:tcPr>
          <w:p w14:paraId="4272F816">
            <w:pPr>
              <w:jc w:val="center"/>
              <w:rPr>
                <w:sz w:val="22"/>
                <w:szCs w:val="22"/>
              </w:rPr>
            </w:pPr>
            <w:r>
              <w:rPr>
                <w:sz w:val="22"/>
                <w:szCs w:val="22"/>
              </w:rPr>
              <w:t>1,20%</w:t>
            </w:r>
          </w:p>
        </w:tc>
      </w:tr>
      <w:tr w14:paraId="3350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A8BCA0F">
            <w:pPr>
              <w:jc w:val="center"/>
              <w:rPr>
                <w:sz w:val="22"/>
                <w:szCs w:val="22"/>
              </w:rPr>
            </w:pPr>
            <w:r>
              <w:rPr>
                <w:sz w:val="22"/>
                <w:szCs w:val="22"/>
              </w:rPr>
              <w:t>13</w:t>
            </w:r>
          </w:p>
        </w:tc>
        <w:tc>
          <w:tcPr>
            <w:tcW w:w="1752" w:type="dxa"/>
            <w:noWrap/>
            <w:vAlign w:val="center"/>
          </w:tcPr>
          <w:p w14:paraId="0FD38781">
            <w:pPr>
              <w:jc w:val="center"/>
              <w:rPr>
                <w:sz w:val="22"/>
                <w:szCs w:val="22"/>
              </w:rPr>
            </w:pPr>
          </w:p>
        </w:tc>
        <w:tc>
          <w:tcPr>
            <w:tcW w:w="944" w:type="dxa"/>
            <w:vMerge w:val="continue"/>
            <w:vAlign w:val="center"/>
          </w:tcPr>
          <w:p w14:paraId="4102227A">
            <w:pPr>
              <w:jc w:val="center"/>
              <w:rPr>
                <w:sz w:val="22"/>
                <w:szCs w:val="22"/>
              </w:rPr>
            </w:pPr>
          </w:p>
        </w:tc>
        <w:tc>
          <w:tcPr>
            <w:tcW w:w="1116" w:type="dxa"/>
            <w:noWrap/>
            <w:vAlign w:val="center"/>
          </w:tcPr>
          <w:p w14:paraId="09F16828">
            <w:pPr>
              <w:jc w:val="center"/>
              <w:rPr>
                <w:sz w:val="22"/>
                <w:szCs w:val="22"/>
              </w:rPr>
            </w:pPr>
            <w:r>
              <w:rPr>
                <w:sz w:val="22"/>
                <w:szCs w:val="22"/>
              </w:rPr>
              <w:t>33</w:t>
            </w:r>
          </w:p>
        </w:tc>
        <w:tc>
          <w:tcPr>
            <w:tcW w:w="1010" w:type="dxa"/>
            <w:noWrap/>
            <w:vAlign w:val="center"/>
          </w:tcPr>
          <w:p w14:paraId="0D35851A">
            <w:pPr>
              <w:jc w:val="center"/>
              <w:rPr>
                <w:sz w:val="22"/>
                <w:szCs w:val="22"/>
              </w:rPr>
            </w:pPr>
            <w:r>
              <w:rPr>
                <w:sz w:val="22"/>
                <w:szCs w:val="22"/>
              </w:rPr>
              <w:t>71,64</w:t>
            </w:r>
          </w:p>
        </w:tc>
        <w:tc>
          <w:tcPr>
            <w:tcW w:w="1591" w:type="dxa"/>
            <w:vAlign w:val="center"/>
          </w:tcPr>
          <w:p w14:paraId="593FDD42">
            <w:pPr>
              <w:jc w:val="center"/>
              <w:rPr>
                <w:sz w:val="22"/>
                <w:szCs w:val="22"/>
              </w:rPr>
            </w:pPr>
            <w:r>
              <w:rPr>
                <w:sz w:val="22"/>
                <w:szCs w:val="22"/>
              </w:rPr>
              <w:t>594.612.000</w:t>
            </w:r>
          </w:p>
        </w:tc>
        <w:tc>
          <w:tcPr>
            <w:tcW w:w="1700" w:type="dxa"/>
            <w:vAlign w:val="center"/>
          </w:tcPr>
          <w:p w14:paraId="02180A44">
            <w:pPr>
              <w:jc w:val="center"/>
              <w:rPr>
                <w:sz w:val="22"/>
                <w:szCs w:val="22"/>
              </w:rPr>
            </w:pPr>
            <w:r>
              <w:rPr>
                <w:sz w:val="22"/>
                <w:szCs w:val="22"/>
              </w:rPr>
              <w:t>686.000.000</w:t>
            </w:r>
          </w:p>
        </w:tc>
        <w:tc>
          <w:tcPr>
            <w:tcW w:w="1140" w:type="dxa"/>
            <w:noWrap/>
            <w:vAlign w:val="center"/>
          </w:tcPr>
          <w:p w14:paraId="6F4E8BA5">
            <w:pPr>
              <w:jc w:val="center"/>
              <w:rPr>
                <w:sz w:val="22"/>
                <w:szCs w:val="22"/>
              </w:rPr>
            </w:pPr>
            <w:r>
              <w:rPr>
                <w:sz w:val="22"/>
                <w:szCs w:val="22"/>
              </w:rPr>
              <w:t>1,15%</w:t>
            </w:r>
          </w:p>
        </w:tc>
      </w:tr>
      <w:tr w14:paraId="7F91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7F22604">
            <w:pPr>
              <w:jc w:val="center"/>
              <w:rPr>
                <w:sz w:val="22"/>
                <w:szCs w:val="22"/>
              </w:rPr>
            </w:pPr>
            <w:r>
              <w:rPr>
                <w:sz w:val="22"/>
                <w:szCs w:val="22"/>
              </w:rPr>
              <w:t>14</w:t>
            </w:r>
          </w:p>
        </w:tc>
        <w:tc>
          <w:tcPr>
            <w:tcW w:w="1752" w:type="dxa"/>
            <w:noWrap/>
            <w:vAlign w:val="center"/>
          </w:tcPr>
          <w:p w14:paraId="0FA9219A">
            <w:pPr>
              <w:jc w:val="center"/>
              <w:rPr>
                <w:sz w:val="22"/>
                <w:szCs w:val="22"/>
              </w:rPr>
            </w:pPr>
          </w:p>
        </w:tc>
        <w:tc>
          <w:tcPr>
            <w:tcW w:w="944" w:type="dxa"/>
            <w:vMerge w:val="continue"/>
            <w:vAlign w:val="center"/>
          </w:tcPr>
          <w:p w14:paraId="667AC29F">
            <w:pPr>
              <w:jc w:val="center"/>
              <w:rPr>
                <w:sz w:val="22"/>
                <w:szCs w:val="22"/>
              </w:rPr>
            </w:pPr>
          </w:p>
        </w:tc>
        <w:tc>
          <w:tcPr>
            <w:tcW w:w="1116" w:type="dxa"/>
            <w:noWrap/>
            <w:vAlign w:val="center"/>
          </w:tcPr>
          <w:p w14:paraId="0E893803">
            <w:pPr>
              <w:jc w:val="center"/>
              <w:rPr>
                <w:sz w:val="22"/>
                <w:szCs w:val="22"/>
              </w:rPr>
            </w:pPr>
            <w:r>
              <w:rPr>
                <w:sz w:val="22"/>
                <w:szCs w:val="22"/>
              </w:rPr>
              <w:t>34</w:t>
            </w:r>
          </w:p>
        </w:tc>
        <w:tc>
          <w:tcPr>
            <w:tcW w:w="1010" w:type="dxa"/>
            <w:noWrap/>
            <w:vAlign w:val="center"/>
          </w:tcPr>
          <w:p w14:paraId="4136944C">
            <w:pPr>
              <w:jc w:val="center"/>
              <w:rPr>
                <w:sz w:val="22"/>
                <w:szCs w:val="22"/>
              </w:rPr>
            </w:pPr>
            <w:r>
              <w:rPr>
                <w:sz w:val="22"/>
                <w:szCs w:val="22"/>
              </w:rPr>
              <w:t>73,02</w:t>
            </w:r>
          </w:p>
        </w:tc>
        <w:tc>
          <w:tcPr>
            <w:tcW w:w="1591" w:type="dxa"/>
            <w:vAlign w:val="center"/>
          </w:tcPr>
          <w:p w14:paraId="65E3ECD7">
            <w:pPr>
              <w:jc w:val="center"/>
              <w:rPr>
                <w:sz w:val="22"/>
                <w:szCs w:val="22"/>
              </w:rPr>
            </w:pPr>
            <w:r>
              <w:rPr>
                <w:sz w:val="22"/>
                <w:szCs w:val="22"/>
              </w:rPr>
              <w:t>606.066.000</w:t>
            </w:r>
          </w:p>
        </w:tc>
        <w:tc>
          <w:tcPr>
            <w:tcW w:w="1700" w:type="dxa"/>
            <w:vAlign w:val="center"/>
          </w:tcPr>
          <w:p w14:paraId="7401EE03">
            <w:pPr>
              <w:jc w:val="center"/>
              <w:rPr>
                <w:sz w:val="22"/>
                <w:szCs w:val="22"/>
              </w:rPr>
            </w:pPr>
            <w:r>
              <w:rPr>
                <w:sz w:val="22"/>
                <w:szCs w:val="22"/>
              </w:rPr>
              <w:t>732.000.000</w:t>
            </w:r>
          </w:p>
        </w:tc>
        <w:tc>
          <w:tcPr>
            <w:tcW w:w="1140" w:type="dxa"/>
            <w:noWrap/>
            <w:vAlign w:val="center"/>
          </w:tcPr>
          <w:p w14:paraId="0914D73D">
            <w:pPr>
              <w:jc w:val="center"/>
              <w:rPr>
                <w:sz w:val="22"/>
                <w:szCs w:val="22"/>
              </w:rPr>
            </w:pPr>
            <w:r>
              <w:rPr>
                <w:sz w:val="22"/>
                <w:szCs w:val="22"/>
              </w:rPr>
              <w:t>1,21%</w:t>
            </w:r>
          </w:p>
        </w:tc>
      </w:tr>
      <w:tr w14:paraId="07B1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D2D27DB">
            <w:pPr>
              <w:jc w:val="center"/>
              <w:rPr>
                <w:sz w:val="22"/>
                <w:szCs w:val="22"/>
              </w:rPr>
            </w:pPr>
            <w:r>
              <w:rPr>
                <w:sz w:val="22"/>
                <w:szCs w:val="22"/>
              </w:rPr>
              <w:t>15</w:t>
            </w:r>
          </w:p>
        </w:tc>
        <w:tc>
          <w:tcPr>
            <w:tcW w:w="1752" w:type="dxa"/>
            <w:noWrap/>
            <w:vAlign w:val="center"/>
          </w:tcPr>
          <w:p w14:paraId="685EB521">
            <w:pPr>
              <w:jc w:val="center"/>
              <w:rPr>
                <w:sz w:val="22"/>
                <w:szCs w:val="22"/>
              </w:rPr>
            </w:pPr>
          </w:p>
        </w:tc>
        <w:tc>
          <w:tcPr>
            <w:tcW w:w="944" w:type="dxa"/>
            <w:vMerge w:val="continue"/>
            <w:vAlign w:val="center"/>
          </w:tcPr>
          <w:p w14:paraId="14579226">
            <w:pPr>
              <w:jc w:val="center"/>
              <w:rPr>
                <w:sz w:val="22"/>
                <w:szCs w:val="22"/>
              </w:rPr>
            </w:pPr>
          </w:p>
        </w:tc>
        <w:tc>
          <w:tcPr>
            <w:tcW w:w="1116" w:type="dxa"/>
            <w:noWrap/>
            <w:vAlign w:val="center"/>
          </w:tcPr>
          <w:p w14:paraId="7E8E8980">
            <w:pPr>
              <w:jc w:val="center"/>
              <w:rPr>
                <w:sz w:val="22"/>
                <w:szCs w:val="22"/>
              </w:rPr>
            </w:pPr>
            <w:r>
              <w:rPr>
                <w:sz w:val="22"/>
                <w:szCs w:val="22"/>
              </w:rPr>
              <w:t>35</w:t>
            </w:r>
          </w:p>
        </w:tc>
        <w:tc>
          <w:tcPr>
            <w:tcW w:w="1010" w:type="dxa"/>
            <w:noWrap/>
            <w:vAlign w:val="center"/>
          </w:tcPr>
          <w:p w14:paraId="3D3E0191">
            <w:pPr>
              <w:jc w:val="center"/>
              <w:rPr>
                <w:sz w:val="22"/>
                <w:szCs w:val="22"/>
              </w:rPr>
            </w:pPr>
            <w:r>
              <w:rPr>
                <w:sz w:val="22"/>
                <w:szCs w:val="22"/>
              </w:rPr>
              <w:t>74,41</w:t>
            </w:r>
          </w:p>
        </w:tc>
        <w:tc>
          <w:tcPr>
            <w:tcW w:w="1591" w:type="dxa"/>
            <w:vAlign w:val="center"/>
          </w:tcPr>
          <w:p w14:paraId="0ECEDA24">
            <w:pPr>
              <w:jc w:val="center"/>
              <w:rPr>
                <w:sz w:val="22"/>
                <w:szCs w:val="22"/>
              </w:rPr>
            </w:pPr>
            <w:r>
              <w:rPr>
                <w:sz w:val="22"/>
                <w:szCs w:val="22"/>
              </w:rPr>
              <w:t>617.603.000</w:t>
            </w:r>
          </w:p>
        </w:tc>
        <w:tc>
          <w:tcPr>
            <w:tcW w:w="1700" w:type="dxa"/>
            <w:vAlign w:val="center"/>
          </w:tcPr>
          <w:p w14:paraId="30934EFA">
            <w:pPr>
              <w:jc w:val="center"/>
              <w:rPr>
                <w:sz w:val="22"/>
                <w:szCs w:val="22"/>
              </w:rPr>
            </w:pPr>
            <w:r>
              <w:rPr>
                <w:sz w:val="22"/>
                <w:szCs w:val="22"/>
              </w:rPr>
              <w:t>765.956.000</w:t>
            </w:r>
          </w:p>
        </w:tc>
        <w:tc>
          <w:tcPr>
            <w:tcW w:w="1140" w:type="dxa"/>
            <w:noWrap/>
            <w:vAlign w:val="center"/>
          </w:tcPr>
          <w:p w14:paraId="1E4993A1">
            <w:pPr>
              <w:jc w:val="center"/>
              <w:rPr>
                <w:sz w:val="22"/>
                <w:szCs w:val="22"/>
              </w:rPr>
            </w:pPr>
            <w:r>
              <w:rPr>
                <w:sz w:val="22"/>
                <w:szCs w:val="22"/>
              </w:rPr>
              <w:t>1,24%</w:t>
            </w:r>
          </w:p>
        </w:tc>
      </w:tr>
      <w:tr w14:paraId="58D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8ED1C56">
            <w:pPr>
              <w:jc w:val="center"/>
              <w:rPr>
                <w:sz w:val="22"/>
                <w:szCs w:val="22"/>
              </w:rPr>
            </w:pPr>
            <w:r>
              <w:rPr>
                <w:sz w:val="22"/>
                <w:szCs w:val="22"/>
              </w:rPr>
              <w:t>16</w:t>
            </w:r>
          </w:p>
        </w:tc>
        <w:tc>
          <w:tcPr>
            <w:tcW w:w="1752" w:type="dxa"/>
            <w:noWrap/>
            <w:vAlign w:val="center"/>
          </w:tcPr>
          <w:p w14:paraId="7B64F165">
            <w:pPr>
              <w:jc w:val="center"/>
              <w:rPr>
                <w:sz w:val="22"/>
                <w:szCs w:val="22"/>
              </w:rPr>
            </w:pPr>
          </w:p>
        </w:tc>
        <w:tc>
          <w:tcPr>
            <w:tcW w:w="944" w:type="dxa"/>
            <w:vMerge w:val="continue"/>
            <w:vAlign w:val="center"/>
          </w:tcPr>
          <w:p w14:paraId="6A8DADF1">
            <w:pPr>
              <w:jc w:val="center"/>
              <w:rPr>
                <w:sz w:val="22"/>
                <w:szCs w:val="22"/>
              </w:rPr>
            </w:pPr>
          </w:p>
        </w:tc>
        <w:tc>
          <w:tcPr>
            <w:tcW w:w="1116" w:type="dxa"/>
            <w:noWrap/>
            <w:vAlign w:val="center"/>
          </w:tcPr>
          <w:p w14:paraId="5856F94D">
            <w:pPr>
              <w:jc w:val="center"/>
              <w:rPr>
                <w:sz w:val="22"/>
                <w:szCs w:val="22"/>
              </w:rPr>
            </w:pPr>
            <w:r>
              <w:rPr>
                <w:sz w:val="22"/>
                <w:szCs w:val="22"/>
              </w:rPr>
              <w:t>36</w:t>
            </w:r>
          </w:p>
        </w:tc>
        <w:tc>
          <w:tcPr>
            <w:tcW w:w="1010" w:type="dxa"/>
            <w:noWrap/>
            <w:vAlign w:val="center"/>
          </w:tcPr>
          <w:p w14:paraId="1BA6D764">
            <w:pPr>
              <w:jc w:val="center"/>
              <w:rPr>
                <w:sz w:val="22"/>
                <w:szCs w:val="22"/>
              </w:rPr>
            </w:pPr>
            <w:r>
              <w:rPr>
                <w:sz w:val="22"/>
                <w:szCs w:val="22"/>
              </w:rPr>
              <w:t>76,55</w:t>
            </w:r>
          </w:p>
        </w:tc>
        <w:tc>
          <w:tcPr>
            <w:tcW w:w="1591" w:type="dxa"/>
            <w:vAlign w:val="center"/>
          </w:tcPr>
          <w:p w14:paraId="6AA1D7B0">
            <w:pPr>
              <w:jc w:val="center"/>
              <w:rPr>
                <w:sz w:val="22"/>
                <w:szCs w:val="22"/>
              </w:rPr>
            </w:pPr>
            <w:r>
              <w:rPr>
                <w:sz w:val="22"/>
                <w:szCs w:val="22"/>
              </w:rPr>
              <w:t>635.365.000</w:t>
            </w:r>
          </w:p>
        </w:tc>
        <w:tc>
          <w:tcPr>
            <w:tcW w:w="1700" w:type="dxa"/>
            <w:vAlign w:val="center"/>
          </w:tcPr>
          <w:p w14:paraId="5DDC7C43">
            <w:pPr>
              <w:jc w:val="center"/>
              <w:rPr>
                <w:sz w:val="22"/>
                <w:szCs w:val="22"/>
              </w:rPr>
            </w:pPr>
            <w:r>
              <w:rPr>
                <w:sz w:val="22"/>
                <w:szCs w:val="22"/>
              </w:rPr>
              <w:t>818.000.000</w:t>
            </w:r>
          </w:p>
        </w:tc>
        <w:tc>
          <w:tcPr>
            <w:tcW w:w="1140" w:type="dxa"/>
            <w:noWrap/>
            <w:vAlign w:val="center"/>
          </w:tcPr>
          <w:p w14:paraId="6E9803CF">
            <w:pPr>
              <w:jc w:val="center"/>
              <w:rPr>
                <w:sz w:val="22"/>
                <w:szCs w:val="22"/>
              </w:rPr>
            </w:pPr>
            <w:r>
              <w:rPr>
                <w:sz w:val="22"/>
                <w:szCs w:val="22"/>
              </w:rPr>
              <w:t>1,29%</w:t>
            </w:r>
          </w:p>
        </w:tc>
      </w:tr>
      <w:tr w14:paraId="0DCD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BD47658">
            <w:pPr>
              <w:jc w:val="center"/>
              <w:rPr>
                <w:sz w:val="22"/>
                <w:szCs w:val="22"/>
              </w:rPr>
            </w:pPr>
            <w:r>
              <w:rPr>
                <w:sz w:val="22"/>
                <w:szCs w:val="22"/>
              </w:rPr>
              <w:t>17</w:t>
            </w:r>
          </w:p>
        </w:tc>
        <w:tc>
          <w:tcPr>
            <w:tcW w:w="1752" w:type="dxa"/>
            <w:noWrap/>
            <w:vAlign w:val="center"/>
          </w:tcPr>
          <w:p w14:paraId="30CCF1A0">
            <w:pPr>
              <w:jc w:val="center"/>
              <w:rPr>
                <w:sz w:val="22"/>
                <w:szCs w:val="22"/>
              </w:rPr>
            </w:pPr>
          </w:p>
        </w:tc>
        <w:tc>
          <w:tcPr>
            <w:tcW w:w="944" w:type="dxa"/>
            <w:vMerge w:val="continue"/>
            <w:vAlign w:val="center"/>
          </w:tcPr>
          <w:p w14:paraId="415E50EE">
            <w:pPr>
              <w:jc w:val="center"/>
              <w:rPr>
                <w:sz w:val="22"/>
                <w:szCs w:val="22"/>
              </w:rPr>
            </w:pPr>
          </w:p>
        </w:tc>
        <w:tc>
          <w:tcPr>
            <w:tcW w:w="1116" w:type="dxa"/>
            <w:noWrap/>
            <w:vAlign w:val="center"/>
          </w:tcPr>
          <w:p w14:paraId="5A539114">
            <w:pPr>
              <w:jc w:val="center"/>
              <w:rPr>
                <w:sz w:val="22"/>
                <w:szCs w:val="22"/>
              </w:rPr>
            </w:pPr>
            <w:r>
              <w:rPr>
                <w:sz w:val="22"/>
                <w:szCs w:val="22"/>
              </w:rPr>
              <w:t>37</w:t>
            </w:r>
          </w:p>
        </w:tc>
        <w:tc>
          <w:tcPr>
            <w:tcW w:w="1010" w:type="dxa"/>
            <w:noWrap/>
            <w:vAlign w:val="center"/>
          </w:tcPr>
          <w:p w14:paraId="52F18534">
            <w:pPr>
              <w:jc w:val="center"/>
              <w:rPr>
                <w:sz w:val="22"/>
                <w:szCs w:val="22"/>
              </w:rPr>
            </w:pPr>
            <w:r>
              <w:rPr>
                <w:sz w:val="22"/>
                <w:szCs w:val="22"/>
              </w:rPr>
              <w:t>76,99</w:t>
            </w:r>
          </w:p>
        </w:tc>
        <w:tc>
          <w:tcPr>
            <w:tcW w:w="1591" w:type="dxa"/>
            <w:vAlign w:val="center"/>
          </w:tcPr>
          <w:p w14:paraId="16900D09">
            <w:pPr>
              <w:jc w:val="center"/>
              <w:rPr>
                <w:sz w:val="22"/>
                <w:szCs w:val="22"/>
              </w:rPr>
            </w:pPr>
            <w:r>
              <w:rPr>
                <w:sz w:val="22"/>
                <w:szCs w:val="22"/>
              </w:rPr>
              <w:t>639.017.000</w:t>
            </w:r>
          </w:p>
        </w:tc>
        <w:tc>
          <w:tcPr>
            <w:tcW w:w="1700" w:type="dxa"/>
            <w:vAlign w:val="center"/>
          </w:tcPr>
          <w:p w14:paraId="2F50D063">
            <w:pPr>
              <w:jc w:val="center"/>
              <w:rPr>
                <w:sz w:val="22"/>
                <w:szCs w:val="22"/>
              </w:rPr>
            </w:pPr>
            <w:r>
              <w:rPr>
                <w:sz w:val="22"/>
                <w:szCs w:val="22"/>
              </w:rPr>
              <w:t>829.000.000</w:t>
            </w:r>
          </w:p>
        </w:tc>
        <w:tc>
          <w:tcPr>
            <w:tcW w:w="1140" w:type="dxa"/>
            <w:noWrap/>
            <w:vAlign w:val="center"/>
          </w:tcPr>
          <w:p w14:paraId="4A572FB2">
            <w:pPr>
              <w:jc w:val="center"/>
              <w:rPr>
                <w:sz w:val="22"/>
                <w:szCs w:val="22"/>
              </w:rPr>
            </w:pPr>
            <w:r>
              <w:rPr>
                <w:sz w:val="22"/>
                <w:szCs w:val="22"/>
              </w:rPr>
              <w:t>1,30%</w:t>
            </w:r>
          </w:p>
        </w:tc>
      </w:tr>
      <w:tr w14:paraId="642D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1FFCD20">
            <w:pPr>
              <w:jc w:val="center"/>
              <w:rPr>
                <w:sz w:val="22"/>
                <w:szCs w:val="22"/>
              </w:rPr>
            </w:pPr>
            <w:r>
              <w:rPr>
                <w:sz w:val="22"/>
                <w:szCs w:val="22"/>
              </w:rPr>
              <w:t>18</w:t>
            </w:r>
          </w:p>
        </w:tc>
        <w:tc>
          <w:tcPr>
            <w:tcW w:w="1752" w:type="dxa"/>
            <w:noWrap/>
            <w:vAlign w:val="center"/>
          </w:tcPr>
          <w:p w14:paraId="6D6D0F07">
            <w:pPr>
              <w:jc w:val="center"/>
              <w:rPr>
                <w:sz w:val="22"/>
                <w:szCs w:val="22"/>
              </w:rPr>
            </w:pPr>
          </w:p>
        </w:tc>
        <w:tc>
          <w:tcPr>
            <w:tcW w:w="944" w:type="dxa"/>
            <w:vMerge w:val="continue"/>
            <w:vAlign w:val="center"/>
          </w:tcPr>
          <w:p w14:paraId="0BE6678C">
            <w:pPr>
              <w:jc w:val="center"/>
              <w:rPr>
                <w:sz w:val="22"/>
                <w:szCs w:val="22"/>
              </w:rPr>
            </w:pPr>
          </w:p>
        </w:tc>
        <w:tc>
          <w:tcPr>
            <w:tcW w:w="1116" w:type="dxa"/>
            <w:noWrap/>
            <w:vAlign w:val="center"/>
          </w:tcPr>
          <w:p w14:paraId="211F1DD5">
            <w:pPr>
              <w:jc w:val="center"/>
              <w:rPr>
                <w:sz w:val="22"/>
                <w:szCs w:val="22"/>
              </w:rPr>
            </w:pPr>
            <w:r>
              <w:rPr>
                <w:sz w:val="22"/>
                <w:szCs w:val="22"/>
              </w:rPr>
              <w:t>38</w:t>
            </w:r>
          </w:p>
        </w:tc>
        <w:tc>
          <w:tcPr>
            <w:tcW w:w="1010" w:type="dxa"/>
            <w:noWrap/>
            <w:vAlign w:val="center"/>
          </w:tcPr>
          <w:p w14:paraId="41C84228">
            <w:pPr>
              <w:jc w:val="center"/>
              <w:rPr>
                <w:sz w:val="22"/>
                <w:szCs w:val="22"/>
              </w:rPr>
            </w:pPr>
            <w:r>
              <w:rPr>
                <w:sz w:val="22"/>
                <w:szCs w:val="22"/>
              </w:rPr>
              <w:t>79,78</w:t>
            </w:r>
          </w:p>
        </w:tc>
        <w:tc>
          <w:tcPr>
            <w:tcW w:w="1591" w:type="dxa"/>
            <w:vAlign w:val="center"/>
          </w:tcPr>
          <w:p w14:paraId="3A9EC0D6">
            <w:pPr>
              <w:jc w:val="center"/>
              <w:rPr>
                <w:sz w:val="22"/>
                <w:szCs w:val="22"/>
              </w:rPr>
            </w:pPr>
            <w:r>
              <w:rPr>
                <w:sz w:val="22"/>
                <w:szCs w:val="22"/>
              </w:rPr>
              <w:t>662.174.000</w:t>
            </w:r>
          </w:p>
        </w:tc>
        <w:tc>
          <w:tcPr>
            <w:tcW w:w="1700" w:type="dxa"/>
            <w:vAlign w:val="center"/>
          </w:tcPr>
          <w:p w14:paraId="7758B671">
            <w:pPr>
              <w:jc w:val="center"/>
              <w:rPr>
                <w:sz w:val="22"/>
                <w:szCs w:val="22"/>
              </w:rPr>
            </w:pPr>
            <w:r>
              <w:rPr>
                <w:sz w:val="22"/>
                <w:szCs w:val="22"/>
              </w:rPr>
              <w:t>873.000.000</w:t>
            </w:r>
          </w:p>
        </w:tc>
        <w:tc>
          <w:tcPr>
            <w:tcW w:w="1140" w:type="dxa"/>
            <w:noWrap/>
            <w:vAlign w:val="center"/>
          </w:tcPr>
          <w:p w14:paraId="215C120D">
            <w:pPr>
              <w:jc w:val="center"/>
              <w:rPr>
                <w:sz w:val="22"/>
                <w:szCs w:val="22"/>
              </w:rPr>
            </w:pPr>
            <w:r>
              <w:rPr>
                <w:sz w:val="22"/>
                <w:szCs w:val="22"/>
              </w:rPr>
              <w:t>1,32%</w:t>
            </w:r>
          </w:p>
        </w:tc>
      </w:tr>
      <w:tr w14:paraId="2A77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7004AC8">
            <w:pPr>
              <w:jc w:val="center"/>
              <w:rPr>
                <w:sz w:val="22"/>
                <w:szCs w:val="22"/>
              </w:rPr>
            </w:pPr>
            <w:r>
              <w:rPr>
                <w:sz w:val="22"/>
                <w:szCs w:val="22"/>
              </w:rPr>
              <w:t>19</w:t>
            </w:r>
          </w:p>
        </w:tc>
        <w:tc>
          <w:tcPr>
            <w:tcW w:w="1752" w:type="dxa"/>
            <w:noWrap/>
            <w:vAlign w:val="center"/>
          </w:tcPr>
          <w:p w14:paraId="2141BCBD">
            <w:pPr>
              <w:jc w:val="center"/>
              <w:rPr>
                <w:sz w:val="22"/>
                <w:szCs w:val="22"/>
              </w:rPr>
            </w:pPr>
          </w:p>
        </w:tc>
        <w:tc>
          <w:tcPr>
            <w:tcW w:w="944" w:type="dxa"/>
            <w:vMerge w:val="continue"/>
            <w:vAlign w:val="center"/>
          </w:tcPr>
          <w:p w14:paraId="71F26F94">
            <w:pPr>
              <w:jc w:val="center"/>
              <w:rPr>
                <w:sz w:val="22"/>
                <w:szCs w:val="22"/>
              </w:rPr>
            </w:pPr>
          </w:p>
        </w:tc>
        <w:tc>
          <w:tcPr>
            <w:tcW w:w="1116" w:type="dxa"/>
            <w:noWrap/>
            <w:vAlign w:val="center"/>
          </w:tcPr>
          <w:p w14:paraId="7CAF878F">
            <w:pPr>
              <w:jc w:val="center"/>
              <w:rPr>
                <w:sz w:val="22"/>
                <w:szCs w:val="22"/>
              </w:rPr>
            </w:pPr>
            <w:r>
              <w:rPr>
                <w:sz w:val="22"/>
                <w:szCs w:val="22"/>
              </w:rPr>
              <w:t>39</w:t>
            </w:r>
          </w:p>
        </w:tc>
        <w:tc>
          <w:tcPr>
            <w:tcW w:w="1010" w:type="dxa"/>
            <w:noWrap/>
            <w:vAlign w:val="center"/>
          </w:tcPr>
          <w:p w14:paraId="74F07075">
            <w:pPr>
              <w:jc w:val="center"/>
              <w:rPr>
                <w:sz w:val="22"/>
                <w:szCs w:val="22"/>
              </w:rPr>
            </w:pPr>
            <w:r>
              <w:rPr>
                <w:sz w:val="22"/>
                <w:szCs w:val="22"/>
              </w:rPr>
              <w:t>81,26</w:t>
            </w:r>
          </w:p>
        </w:tc>
        <w:tc>
          <w:tcPr>
            <w:tcW w:w="1591" w:type="dxa"/>
            <w:vAlign w:val="center"/>
          </w:tcPr>
          <w:p w14:paraId="47172DEB">
            <w:pPr>
              <w:jc w:val="center"/>
              <w:rPr>
                <w:sz w:val="22"/>
                <w:szCs w:val="22"/>
              </w:rPr>
            </w:pPr>
            <w:r>
              <w:rPr>
                <w:sz w:val="22"/>
                <w:szCs w:val="22"/>
              </w:rPr>
              <w:t>674.458.000</w:t>
            </w:r>
          </w:p>
        </w:tc>
        <w:tc>
          <w:tcPr>
            <w:tcW w:w="1700" w:type="dxa"/>
            <w:vAlign w:val="center"/>
          </w:tcPr>
          <w:p w14:paraId="5F495C1F">
            <w:pPr>
              <w:jc w:val="center"/>
              <w:rPr>
                <w:sz w:val="22"/>
                <w:szCs w:val="22"/>
              </w:rPr>
            </w:pPr>
            <w:r>
              <w:rPr>
                <w:sz w:val="22"/>
                <w:szCs w:val="22"/>
              </w:rPr>
              <w:t>801.988.000</w:t>
            </w:r>
          </w:p>
        </w:tc>
        <w:tc>
          <w:tcPr>
            <w:tcW w:w="1140" w:type="dxa"/>
            <w:noWrap/>
            <w:vAlign w:val="center"/>
          </w:tcPr>
          <w:p w14:paraId="1C60039B">
            <w:pPr>
              <w:jc w:val="center"/>
              <w:rPr>
                <w:sz w:val="22"/>
                <w:szCs w:val="22"/>
              </w:rPr>
            </w:pPr>
            <w:r>
              <w:rPr>
                <w:sz w:val="22"/>
                <w:szCs w:val="22"/>
              </w:rPr>
              <w:t>1,19%</w:t>
            </w:r>
          </w:p>
        </w:tc>
      </w:tr>
      <w:tr w14:paraId="3A71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40D9889">
            <w:pPr>
              <w:jc w:val="center"/>
              <w:rPr>
                <w:sz w:val="22"/>
                <w:szCs w:val="22"/>
              </w:rPr>
            </w:pPr>
            <w:r>
              <w:rPr>
                <w:sz w:val="22"/>
                <w:szCs w:val="22"/>
              </w:rPr>
              <w:t>20</w:t>
            </w:r>
          </w:p>
        </w:tc>
        <w:tc>
          <w:tcPr>
            <w:tcW w:w="1752" w:type="dxa"/>
            <w:noWrap/>
            <w:vAlign w:val="center"/>
          </w:tcPr>
          <w:p w14:paraId="08A1956B">
            <w:pPr>
              <w:jc w:val="center"/>
              <w:rPr>
                <w:sz w:val="22"/>
                <w:szCs w:val="22"/>
              </w:rPr>
            </w:pPr>
          </w:p>
        </w:tc>
        <w:tc>
          <w:tcPr>
            <w:tcW w:w="944" w:type="dxa"/>
            <w:vMerge w:val="continue"/>
            <w:vAlign w:val="center"/>
          </w:tcPr>
          <w:p w14:paraId="39EDCE96">
            <w:pPr>
              <w:jc w:val="center"/>
              <w:rPr>
                <w:sz w:val="22"/>
                <w:szCs w:val="22"/>
              </w:rPr>
            </w:pPr>
          </w:p>
        </w:tc>
        <w:tc>
          <w:tcPr>
            <w:tcW w:w="1116" w:type="dxa"/>
            <w:noWrap/>
            <w:vAlign w:val="center"/>
          </w:tcPr>
          <w:p w14:paraId="731B2A7A">
            <w:pPr>
              <w:jc w:val="center"/>
              <w:rPr>
                <w:sz w:val="22"/>
                <w:szCs w:val="22"/>
              </w:rPr>
            </w:pPr>
            <w:r>
              <w:rPr>
                <w:sz w:val="22"/>
                <w:szCs w:val="22"/>
              </w:rPr>
              <w:t>40</w:t>
            </w:r>
          </w:p>
        </w:tc>
        <w:tc>
          <w:tcPr>
            <w:tcW w:w="1010" w:type="dxa"/>
            <w:noWrap/>
            <w:vAlign w:val="center"/>
          </w:tcPr>
          <w:p w14:paraId="7439904A">
            <w:pPr>
              <w:jc w:val="center"/>
              <w:rPr>
                <w:sz w:val="22"/>
                <w:szCs w:val="22"/>
              </w:rPr>
            </w:pPr>
            <w:r>
              <w:rPr>
                <w:sz w:val="22"/>
                <w:szCs w:val="22"/>
              </w:rPr>
              <w:t>82,76</w:t>
            </w:r>
          </w:p>
        </w:tc>
        <w:tc>
          <w:tcPr>
            <w:tcW w:w="1591" w:type="dxa"/>
            <w:vAlign w:val="center"/>
          </w:tcPr>
          <w:p w14:paraId="5F615E64">
            <w:pPr>
              <w:jc w:val="center"/>
              <w:rPr>
                <w:sz w:val="22"/>
                <w:szCs w:val="22"/>
              </w:rPr>
            </w:pPr>
            <w:r>
              <w:rPr>
                <w:sz w:val="22"/>
                <w:szCs w:val="22"/>
              </w:rPr>
              <w:t>686.908.000</w:t>
            </w:r>
          </w:p>
        </w:tc>
        <w:tc>
          <w:tcPr>
            <w:tcW w:w="1700" w:type="dxa"/>
            <w:vAlign w:val="center"/>
          </w:tcPr>
          <w:p w14:paraId="356F17BE">
            <w:pPr>
              <w:jc w:val="center"/>
              <w:rPr>
                <w:sz w:val="22"/>
                <w:szCs w:val="22"/>
              </w:rPr>
            </w:pPr>
            <w:r>
              <w:rPr>
                <w:sz w:val="22"/>
                <w:szCs w:val="22"/>
              </w:rPr>
              <w:t>818.000.000</w:t>
            </w:r>
          </w:p>
        </w:tc>
        <w:tc>
          <w:tcPr>
            <w:tcW w:w="1140" w:type="dxa"/>
            <w:noWrap/>
            <w:vAlign w:val="center"/>
          </w:tcPr>
          <w:p w14:paraId="01EE9FB5">
            <w:pPr>
              <w:jc w:val="center"/>
              <w:rPr>
                <w:sz w:val="22"/>
                <w:szCs w:val="22"/>
              </w:rPr>
            </w:pPr>
            <w:r>
              <w:rPr>
                <w:sz w:val="22"/>
                <w:szCs w:val="22"/>
              </w:rPr>
              <w:t>1,19%</w:t>
            </w:r>
          </w:p>
        </w:tc>
      </w:tr>
      <w:tr w14:paraId="3E1E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F7E0B10">
            <w:pPr>
              <w:jc w:val="center"/>
              <w:rPr>
                <w:sz w:val="22"/>
                <w:szCs w:val="22"/>
              </w:rPr>
            </w:pPr>
            <w:r>
              <w:rPr>
                <w:sz w:val="22"/>
                <w:szCs w:val="22"/>
              </w:rPr>
              <w:t>21</w:t>
            </w:r>
          </w:p>
        </w:tc>
        <w:tc>
          <w:tcPr>
            <w:tcW w:w="1752" w:type="dxa"/>
            <w:noWrap/>
            <w:vAlign w:val="center"/>
          </w:tcPr>
          <w:p w14:paraId="117B299A">
            <w:pPr>
              <w:jc w:val="center"/>
              <w:rPr>
                <w:sz w:val="22"/>
                <w:szCs w:val="22"/>
              </w:rPr>
            </w:pPr>
          </w:p>
        </w:tc>
        <w:tc>
          <w:tcPr>
            <w:tcW w:w="944" w:type="dxa"/>
            <w:vMerge w:val="continue"/>
            <w:vAlign w:val="center"/>
          </w:tcPr>
          <w:p w14:paraId="3CF7A2AE">
            <w:pPr>
              <w:jc w:val="center"/>
              <w:rPr>
                <w:sz w:val="22"/>
                <w:szCs w:val="22"/>
              </w:rPr>
            </w:pPr>
          </w:p>
        </w:tc>
        <w:tc>
          <w:tcPr>
            <w:tcW w:w="1116" w:type="dxa"/>
            <w:noWrap/>
            <w:vAlign w:val="center"/>
          </w:tcPr>
          <w:p w14:paraId="0328CDB9">
            <w:pPr>
              <w:jc w:val="center"/>
              <w:rPr>
                <w:sz w:val="22"/>
                <w:szCs w:val="22"/>
              </w:rPr>
            </w:pPr>
            <w:r>
              <w:rPr>
                <w:sz w:val="22"/>
                <w:szCs w:val="22"/>
              </w:rPr>
              <w:t>41</w:t>
            </w:r>
          </w:p>
        </w:tc>
        <w:tc>
          <w:tcPr>
            <w:tcW w:w="1010" w:type="dxa"/>
            <w:noWrap/>
            <w:vAlign w:val="center"/>
          </w:tcPr>
          <w:p w14:paraId="4F68E3E2">
            <w:pPr>
              <w:jc w:val="center"/>
              <w:rPr>
                <w:sz w:val="22"/>
                <w:szCs w:val="22"/>
              </w:rPr>
            </w:pPr>
            <w:r>
              <w:rPr>
                <w:sz w:val="22"/>
                <w:szCs w:val="22"/>
              </w:rPr>
              <w:t>84,27</w:t>
            </w:r>
          </w:p>
        </w:tc>
        <w:tc>
          <w:tcPr>
            <w:tcW w:w="1591" w:type="dxa"/>
            <w:vAlign w:val="center"/>
          </w:tcPr>
          <w:p w14:paraId="05FB3F5B">
            <w:pPr>
              <w:jc w:val="center"/>
              <w:rPr>
                <w:sz w:val="22"/>
                <w:szCs w:val="22"/>
              </w:rPr>
            </w:pPr>
            <w:r>
              <w:rPr>
                <w:sz w:val="22"/>
                <w:szCs w:val="22"/>
              </w:rPr>
              <w:t>699.441.000</w:t>
            </w:r>
          </w:p>
        </w:tc>
        <w:tc>
          <w:tcPr>
            <w:tcW w:w="1700" w:type="dxa"/>
            <w:vAlign w:val="center"/>
          </w:tcPr>
          <w:p w14:paraId="12BA3FE8">
            <w:pPr>
              <w:jc w:val="center"/>
              <w:rPr>
                <w:sz w:val="22"/>
                <w:szCs w:val="22"/>
              </w:rPr>
            </w:pPr>
            <w:r>
              <w:rPr>
                <w:sz w:val="22"/>
                <w:szCs w:val="22"/>
              </w:rPr>
              <w:t>801.000.000</w:t>
            </w:r>
          </w:p>
        </w:tc>
        <w:tc>
          <w:tcPr>
            <w:tcW w:w="1140" w:type="dxa"/>
            <w:noWrap/>
            <w:vAlign w:val="center"/>
          </w:tcPr>
          <w:p w14:paraId="0E326374">
            <w:pPr>
              <w:jc w:val="center"/>
              <w:rPr>
                <w:sz w:val="22"/>
                <w:szCs w:val="22"/>
              </w:rPr>
            </w:pPr>
            <w:r>
              <w:rPr>
                <w:sz w:val="22"/>
                <w:szCs w:val="22"/>
              </w:rPr>
              <w:t>1,15%</w:t>
            </w:r>
          </w:p>
        </w:tc>
      </w:tr>
      <w:tr w14:paraId="4FE4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1050483">
            <w:pPr>
              <w:jc w:val="center"/>
              <w:rPr>
                <w:sz w:val="22"/>
                <w:szCs w:val="22"/>
              </w:rPr>
            </w:pPr>
            <w:r>
              <w:rPr>
                <w:sz w:val="22"/>
                <w:szCs w:val="22"/>
              </w:rPr>
              <w:t>22</w:t>
            </w:r>
          </w:p>
        </w:tc>
        <w:tc>
          <w:tcPr>
            <w:tcW w:w="1752" w:type="dxa"/>
            <w:noWrap/>
            <w:vAlign w:val="center"/>
          </w:tcPr>
          <w:p w14:paraId="588AE8E9">
            <w:pPr>
              <w:jc w:val="center"/>
              <w:rPr>
                <w:sz w:val="22"/>
                <w:szCs w:val="22"/>
              </w:rPr>
            </w:pPr>
          </w:p>
        </w:tc>
        <w:tc>
          <w:tcPr>
            <w:tcW w:w="944" w:type="dxa"/>
            <w:vMerge w:val="continue"/>
            <w:vAlign w:val="center"/>
          </w:tcPr>
          <w:p w14:paraId="64160BE2">
            <w:pPr>
              <w:jc w:val="center"/>
              <w:rPr>
                <w:sz w:val="22"/>
                <w:szCs w:val="22"/>
              </w:rPr>
            </w:pPr>
          </w:p>
        </w:tc>
        <w:tc>
          <w:tcPr>
            <w:tcW w:w="1116" w:type="dxa"/>
            <w:noWrap/>
            <w:vAlign w:val="center"/>
          </w:tcPr>
          <w:p w14:paraId="3CD2C3C1">
            <w:pPr>
              <w:jc w:val="center"/>
              <w:rPr>
                <w:sz w:val="22"/>
                <w:szCs w:val="22"/>
              </w:rPr>
            </w:pPr>
            <w:r>
              <w:rPr>
                <w:sz w:val="22"/>
                <w:szCs w:val="22"/>
              </w:rPr>
              <w:t>42</w:t>
            </w:r>
          </w:p>
        </w:tc>
        <w:tc>
          <w:tcPr>
            <w:tcW w:w="1010" w:type="dxa"/>
            <w:noWrap/>
            <w:vAlign w:val="center"/>
          </w:tcPr>
          <w:p w14:paraId="7CAC971B">
            <w:pPr>
              <w:jc w:val="center"/>
              <w:rPr>
                <w:sz w:val="22"/>
                <w:szCs w:val="22"/>
              </w:rPr>
            </w:pPr>
            <w:r>
              <w:rPr>
                <w:sz w:val="22"/>
                <w:szCs w:val="22"/>
              </w:rPr>
              <w:t>85,80</w:t>
            </w:r>
          </w:p>
        </w:tc>
        <w:tc>
          <w:tcPr>
            <w:tcW w:w="1591" w:type="dxa"/>
            <w:vAlign w:val="center"/>
          </w:tcPr>
          <w:p w14:paraId="042DD867">
            <w:pPr>
              <w:jc w:val="center"/>
              <w:rPr>
                <w:sz w:val="22"/>
                <w:szCs w:val="22"/>
              </w:rPr>
            </w:pPr>
            <w:r>
              <w:rPr>
                <w:sz w:val="22"/>
                <w:szCs w:val="22"/>
              </w:rPr>
              <w:t>712.140.000</w:t>
            </w:r>
          </w:p>
        </w:tc>
        <w:tc>
          <w:tcPr>
            <w:tcW w:w="1700" w:type="dxa"/>
            <w:vAlign w:val="center"/>
          </w:tcPr>
          <w:p w14:paraId="6DD3A8FA">
            <w:pPr>
              <w:jc w:val="center"/>
              <w:rPr>
                <w:sz w:val="22"/>
                <w:szCs w:val="22"/>
              </w:rPr>
            </w:pPr>
            <w:r>
              <w:rPr>
                <w:sz w:val="22"/>
                <w:szCs w:val="22"/>
              </w:rPr>
              <w:t>893.000.000</w:t>
            </w:r>
          </w:p>
        </w:tc>
        <w:tc>
          <w:tcPr>
            <w:tcW w:w="1140" w:type="dxa"/>
            <w:noWrap/>
            <w:vAlign w:val="center"/>
          </w:tcPr>
          <w:p w14:paraId="6C067C8C">
            <w:pPr>
              <w:jc w:val="center"/>
              <w:rPr>
                <w:sz w:val="22"/>
                <w:szCs w:val="22"/>
              </w:rPr>
            </w:pPr>
            <w:r>
              <w:rPr>
                <w:sz w:val="22"/>
                <w:szCs w:val="22"/>
              </w:rPr>
              <w:t>1,25%</w:t>
            </w:r>
          </w:p>
        </w:tc>
      </w:tr>
      <w:tr w14:paraId="2CED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F21D003">
            <w:pPr>
              <w:jc w:val="center"/>
              <w:rPr>
                <w:sz w:val="22"/>
                <w:szCs w:val="22"/>
              </w:rPr>
            </w:pPr>
            <w:r>
              <w:rPr>
                <w:sz w:val="22"/>
                <w:szCs w:val="22"/>
              </w:rPr>
              <w:t>23</w:t>
            </w:r>
          </w:p>
        </w:tc>
        <w:tc>
          <w:tcPr>
            <w:tcW w:w="1752" w:type="dxa"/>
            <w:noWrap/>
            <w:vAlign w:val="center"/>
          </w:tcPr>
          <w:p w14:paraId="6F35C3AD">
            <w:pPr>
              <w:jc w:val="center"/>
              <w:rPr>
                <w:sz w:val="22"/>
                <w:szCs w:val="22"/>
              </w:rPr>
            </w:pPr>
          </w:p>
        </w:tc>
        <w:tc>
          <w:tcPr>
            <w:tcW w:w="944" w:type="dxa"/>
            <w:vMerge w:val="continue"/>
            <w:vAlign w:val="center"/>
          </w:tcPr>
          <w:p w14:paraId="7CA0B3B6">
            <w:pPr>
              <w:jc w:val="center"/>
              <w:rPr>
                <w:sz w:val="22"/>
                <w:szCs w:val="22"/>
              </w:rPr>
            </w:pPr>
          </w:p>
        </w:tc>
        <w:tc>
          <w:tcPr>
            <w:tcW w:w="1116" w:type="dxa"/>
            <w:noWrap/>
            <w:vAlign w:val="center"/>
          </w:tcPr>
          <w:p w14:paraId="3C1B54AA">
            <w:pPr>
              <w:jc w:val="center"/>
              <w:rPr>
                <w:sz w:val="22"/>
                <w:szCs w:val="22"/>
              </w:rPr>
            </w:pPr>
            <w:r>
              <w:rPr>
                <w:sz w:val="22"/>
                <w:szCs w:val="22"/>
              </w:rPr>
              <w:t>43</w:t>
            </w:r>
          </w:p>
        </w:tc>
        <w:tc>
          <w:tcPr>
            <w:tcW w:w="1010" w:type="dxa"/>
            <w:noWrap/>
            <w:vAlign w:val="center"/>
          </w:tcPr>
          <w:p w14:paraId="7F8BC7DC">
            <w:pPr>
              <w:jc w:val="center"/>
              <w:rPr>
                <w:sz w:val="22"/>
                <w:szCs w:val="22"/>
              </w:rPr>
            </w:pPr>
            <w:r>
              <w:rPr>
                <w:sz w:val="22"/>
                <w:szCs w:val="22"/>
              </w:rPr>
              <w:t>103,42</w:t>
            </w:r>
          </w:p>
        </w:tc>
        <w:tc>
          <w:tcPr>
            <w:tcW w:w="1591" w:type="dxa"/>
            <w:vAlign w:val="center"/>
          </w:tcPr>
          <w:p w14:paraId="307F356A">
            <w:pPr>
              <w:jc w:val="center"/>
              <w:rPr>
                <w:sz w:val="22"/>
                <w:szCs w:val="22"/>
              </w:rPr>
            </w:pPr>
            <w:r>
              <w:rPr>
                <w:sz w:val="22"/>
                <w:szCs w:val="22"/>
              </w:rPr>
              <w:t>858.386.000</w:t>
            </w:r>
          </w:p>
        </w:tc>
        <w:tc>
          <w:tcPr>
            <w:tcW w:w="1700" w:type="dxa"/>
            <w:vAlign w:val="center"/>
          </w:tcPr>
          <w:p w14:paraId="1B30EBF7">
            <w:pPr>
              <w:jc w:val="center"/>
              <w:rPr>
                <w:sz w:val="22"/>
                <w:szCs w:val="22"/>
              </w:rPr>
            </w:pPr>
            <w:r>
              <w:rPr>
                <w:sz w:val="22"/>
                <w:szCs w:val="22"/>
              </w:rPr>
              <w:t>938.000.000</w:t>
            </w:r>
          </w:p>
        </w:tc>
        <w:tc>
          <w:tcPr>
            <w:tcW w:w="1140" w:type="dxa"/>
            <w:noWrap/>
            <w:vAlign w:val="center"/>
          </w:tcPr>
          <w:p w14:paraId="3ED92F02">
            <w:pPr>
              <w:jc w:val="center"/>
              <w:rPr>
                <w:sz w:val="22"/>
                <w:szCs w:val="22"/>
              </w:rPr>
            </w:pPr>
            <w:r>
              <w:rPr>
                <w:sz w:val="22"/>
                <w:szCs w:val="22"/>
              </w:rPr>
              <w:t>1,09%</w:t>
            </w:r>
          </w:p>
        </w:tc>
      </w:tr>
      <w:tr w14:paraId="759D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342074C">
            <w:pPr>
              <w:jc w:val="center"/>
              <w:rPr>
                <w:sz w:val="22"/>
                <w:szCs w:val="22"/>
              </w:rPr>
            </w:pPr>
            <w:r>
              <w:rPr>
                <w:sz w:val="22"/>
                <w:szCs w:val="22"/>
              </w:rPr>
              <w:t>24</w:t>
            </w:r>
          </w:p>
        </w:tc>
        <w:tc>
          <w:tcPr>
            <w:tcW w:w="1752" w:type="dxa"/>
            <w:noWrap/>
            <w:vAlign w:val="center"/>
          </w:tcPr>
          <w:p w14:paraId="371EC5C0">
            <w:pPr>
              <w:jc w:val="center"/>
              <w:rPr>
                <w:sz w:val="22"/>
                <w:szCs w:val="22"/>
              </w:rPr>
            </w:pPr>
          </w:p>
        </w:tc>
        <w:tc>
          <w:tcPr>
            <w:tcW w:w="944" w:type="dxa"/>
            <w:vMerge w:val="continue"/>
            <w:vAlign w:val="center"/>
          </w:tcPr>
          <w:p w14:paraId="32953A1B">
            <w:pPr>
              <w:jc w:val="center"/>
              <w:rPr>
                <w:sz w:val="22"/>
                <w:szCs w:val="22"/>
              </w:rPr>
            </w:pPr>
          </w:p>
        </w:tc>
        <w:tc>
          <w:tcPr>
            <w:tcW w:w="1116" w:type="dxa"/>
            <w:noWrap/>
            <w:vAlign w:val="center"/>
          </w:tcPr>
          <w:p w14:paraId="21E2F21B">
            <w:pPr>
              <w:jc w:val="center"/>
              <w:rPr>
                <w:sz w:val="22"/>
                <w:szCs w:val="22"/>
              </w:rPr>
            </w:pPr>
            <w:r>
              <w:rPr>
                <w:sz w:val="22"/>
                <w:szCs w:val="22"/>
              </w:rPr>
              <w:t>44</w:t>
            </w:r>
          </w:p>
        </w:tc>
        <w:tc>
          <w:tcPr>
            <w:tcW w:w="1010" w:type="dxa"/>
            <w:noWrap/>
            <w:vAlign w:val="center"/>
          </w:tcPr>
          <w:p w14:paraId="1A6EB68D">
            <w:pPr>
              <w:jc w:val="center"/>
              <w:rPr>
                <w:sz w:val="22"/>
                <w:szCs w:val="22"/>
              </w:rPr>
            </w:pPr>
            <w:r>
              <w:rPr>
                <w:sz w:val="22"/>
                <w:szCs w:val="22"/>
              </w:rPr>
              <w:t>141,14</w:t>
            </w:r>
          </w:p>
        </w:tc>
        <w:tc>
          <w:tcPr>
            <w:tcW w:w="1591" w:type="dxa"/>
            <w:vAlign w:val="center"/>
          </w:tcPr>
          <w:p w14:paraId="245DF04D">
            <w:pPr>
              <w:jc w:val="center"/>
              <w:rPr>
                <w:sz w:val="22"/>
                <w:szCs w:val="22"/>
              </w:rPr>
            </w:pPr>
            <w:r>
              <w:rPr>
                <w:sz w:val="22"/>
                <w:szCs w:val="22"/>
              </w:rPr>
              <w:t>1.405.754.400</w:t>
            </w:r>
          </w:p>
        </w:tc>
        <w:tc>
          <w:tcPr>
            <w:tcW w:w="1700" w:type="dxa"/>
            <w:vAlign w:val="center"/>
          </w:tcPr>
          <w:p w14:paraId="42D892D6">
            <w:pPr>
              <w:jc w:val="center"/>
              <w:rPr>
                <w:sz w:val="22"/>
                <w:szCs w:val="22"/>
              </w:rPr>
            </w:pPr>
            <w:r>
              <w:rPr>
                <w:sz w:val="22"/>
                <w:szCs w:val="22"/>
              </w:rPr>
              <w:t>1.582.000.000</w:t>
            </w:r>
          </w:p>
        </w:tc>
        <w:tc>
          <w:tcPr>
            <w:tcW w:w="1140" w:type="dxa"/>
            <w:noWrap/>
            <w:vAlign w:val="center"/>
          </w:tcPr>
          <w:p w14:paraId="098605EB">
            <w:pPr>
              <w:jc w:val="center"/>
              <w:rPr>
                <w:sz w:val="22"/>
                <w:szCs w:val="22"/>
              </w:rPr>
            </w:pPr>
            <w:r>
              <w:rPr>
                <w:sz w:val="22"/>
                <w:szCs w:val="22"/>
              </w:rPr>
              <w:t>1,13%</w:t>
            </w:r>
          </w:p>
        </w:tc>
      </w:tr>
      <w:tr w14:paraId="6CF2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1728C07">
            <w:pPr>
              <w:jc w:val="center"/>
              <w:rPr>
                <w:sz w:val="22"/>
                <w:szCs w:val="22"/>
              </w:rPr>
            </w:pPr>
          </w:p>
        </w:tc>
        <w:tc>
          <w:tcPr>
            <w:tcW w:w="1752" w:type="dxa"/>
            <w:noWrap/>
            <w:vAlign w:val="center"/>
          </w:tcPr>
          <w:p w14:paraId="6272BBC9">
            <w:pPr>
              <w:jc w:val="center"/>
              <w:rPr>
                <w:sz w:val="22"/>
                <w:szCs w:val="22"/>
              </w:rPr>
            </w:pPr>
          </w:p>
        </w:tc>
        <w:tc>
          <w:tcPr>
            <w:tcW w:w="944" w:type="dxa"/>
            <w:vMerge w:val="restart"/>
            <w:noWrap/>
            <w:vAlign w:val="center"/>
          </w:tcPr>
          <w:p w14:paraId="669B06A7">
            <w:pPr>
              <w:jc w:val="center"/>
              <w:rPr>
                <w:sz w:val="22"/>
                <w:szCs w:val="22"/>
              </w:rPr>
            </w:pPr>
            <w:r>
              <w:rPr>
                <w:sz w:val="22"/>
                <w:szCs w:val="22"/>
              </w:rPr>
              <w:t>LK-20</w:t>
            </w:r>
          </w:p>
        </w:tc>
        <w:tc>
          <w:tcPr>
            <w:tcW w:w="1116" w:type="dxa"/>
            <w:noWrap/>
            <w:vAlign w:val="center"/>
          </w:tcPr>
          <w:p w14:paraId="645B1F70">
            <w:pPr>
              <w:jc w:val="center"/>
              <w:rPr>
                <w:sz w:val="22"/>
                <w:szCs w:val="22"/>
              </w:rPr>
            </w:pPr>
          </w:p>
        </w:tc>
        <w:tc>
          <w:tcPr>
            <w:tcW w:w="1010" w:type="dxa"/>
            <w:noWrap/>
            <w:vAlign w:val="center"/>
          </w:tcPr>
          <w:p w14:paraId="16D205AC">
            <w:pPr>
              <w:jc w:val="center"/>
              <w:rPr>
                <w:sz w:val="22"/>
                <w:szCs w:val="22"/>
              </w:rPr>
            </w:pPr>
            <w:r>
              <w:rPr>
                <w:sz w:val="22"/>
                <w:szCs w:val="22"/>
              </w:rPr>
              <w:t>5412,2</w:t>
            </w:r>
          </w:p>
        </w:tc>
        <w:tc>
          <w:tcPr>
            <w:tcW w:w="1591" w:type="dxa"/>
            <w:noWrap/>
            <w:vAlign w:val="center"/>
          </w:tcPr>
          <w:p w14:paraId="1230663D">
            <w:pPr>
              <w:jc w:val="center"/>
              <w:rPr>
                <w:sz w:val="22"/>
                <w:szCs w:val="22"/>
              </w:rPr>
            </w:pPr>
            <w:r>
              <w:rPr>
                <w:sz w:val="22"/>
                <w:szCs w:val="22"/>
              </w:rPr>
              <w:t>48.407.403.400</w:t>
            </w:r>
          </w:p>
        </w:tc>
        <w:tc>
          <w:tcPr>
            <w:tcW w:w="1700" w:type="dxa"/>
            <w:noWrap/>
            <w:vAlign w:val="center"/>
          </w:tcPr>
          <w:p w14:paraId="65CEE1F6">
            <w:pPr>
              <w:jc w:val="center"/>
              <w:rPr>
                <w:sz w:val="22"/>
                <w:szCs w:val="22"/>
              </w:rPr>
            </w:pPr>
            <w:r>
              <w:rPr>
                <w:sz w:val="22"/>
                <w:szCs w:val="22"/>
              </w:rPr>
              <w:t>56.789.438.000</w:t>
            </w:r>
          </w:p>
        </w:tc>
        <w:tc>
          <w:tcPr>
            <w:tcW w:w="1140" w:type="dxa"/>
            <w:noWrap/>
            <w:vAlign w:val="center"/>
          </w:tcPr>
          <w:p w14:paraId="4CBF9639">
            <w:pPr>
              <w:jc w:val="center"/>
              <w:rPr>
                <w:sz w:val="22"/>
                <w:szCs w:val="22"/>
              </w:rPr>
            </w:pPr>
          </w:p>
        </w:tc>
      </w:tr>
      <w:tr w14:paraId="4515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E5CB5D9">
            <w:pPr>
              <w:jc w:val="center"/>
              <w:rPr>
                <w:sz w:val="22"/>
                <w:szCs w:val="22"/>
              </w:rPr>
            </w:pPr>
            <w:r>
              <w:rPr>
                <w:sz w:val="22"/>
                <w:szCs w:val="22"/>
              </w:rPr>
              <w:t>25</w:t>
            </w:r>
          </w:p>
        </w:tc>
        <w:tc>
          <w:tcPr>
            <w:tcW w:w="1752" w:type="dxa"/>
            <w:noWrap/>
            <w:vAlign w:val="center"/>
          </w:tcPr>
          <w:p w14:paraId="05B924C5">
            <w:pPr>
              <w:jc w:val="center"/>
              <w:rPr>
                <w:sz w:val="22"/>
                <w:szCs w:val="22"/>
              </w:rPr>
            </w:pPr>
          </w:p>
        </w:tc>
        <w:tc>
          <w:tcPr>
            <w:tcW w:w="944" w:type="dxa"/>
            <w:vMerge w:val="continue"/>
            <w:vAlign w:val="center"/>
          </w:tcPr>
          <w:p w14:paraId="2AC4525D">
            <w:pPr>
              <w:jc w:val="center"/>
              <w:rPr>
                <w:sz w:val="22"/>
                <w:szCs w:val="22"/>
              </w:rPr>
            </w:pPr>
          </w:p>
        </w:tc>
        <w:tc>
          <w:tcPr>
            <w:tcW w:w="1116" w:type="dxa"/>
            <w:noWrap/>
            <w:vAlign w:val="center"/>
          </w:tcPr>
          <w:p w14:paraId="4898877C">
            <w:pPr>
              <w:jc w:val="center"/>
              <w:rPr>
                <w:sz w:val="22"/>
                <w:szCs w:val="22"/>
              </w:rPr>
            </w:pPr>
            <w:r>
              <w:rPr>
                <w:sz w:val="22"/>
                <w:szCs w:val="22"/>
              </w:rPr>
              <w:t>02</w:t>
            </w:r>
          </w:p>
        </w:tc>
        <w:tc>
          <w:tcPr>
            <w:tcW w:w="1010" w:type="dxa"/>
            <w:noWrap/>
            <w:vAlign w:val="center"/>
          </w:tcPr>
          <w:p w14:paraId="1E9287C0">
            <w:pPr>
              <w:jc w:val="center"/>
              <w:rPr>
                <w:sz w:val="22"/>
                <w:szCs w:val="22"/>
              </w:rPr>
            </w:pPr>
            <w:r>
              <w:rPr>
                <w:sz w:val="22"/>
                <w:szCs w:val="22"/>
              </w:rPr>
              <w:t>100,16</w:t>
            </w:r>
          </w:p>
        </w:tc>
        <w:tc>
          <w:tcPr>
            <w:tcW w:w="1591" w:type="dxa"/>
            <w:vAlign w:val="center"/>
          </w:tcPr>
          <w:p w14:paraId="766E9335">
            <w:pPr>
              <w:jc w:val="center"/>
              <w:rPr>
                <w:sz w:val="22"/>
                <w:szCs w:val="22"/>
              </w:rPr>
            </w:pPr>
            <w:r>
              <w:rPr>
                <w:sz w:val="22"/>
                <w:szCs w:val="22"/>
              </w:rPr>
              <w:t>831.328.000</w:t>
            </w:r>
          </w:p>
        </w:tc>
        <w:tc>
          <w:tcPr>
            <w:tcW w:w="1700" w:type="dxa"/>
            <w:vAlign w:val="center"/>
          </w:tcPr>
          <w:p w14:paraId="0B125CE1">
            <w:pPr>
              <w:jc w:val="center"/>
              <w:rPr>
                <w:sz w:val="22"/>
                <w:szCs w:val="22"/>
              </w:rPr>
            </w:pPr>
            <w:r>
              <w:rPr>
                <w:sz w:val="22"/>
                <w:szCs w:val="22"/>
              </w:rPr>
              <w:t>1.068.980.000</w:t>
            </w:r>
          </w:p>
        </w:tc>
        <w:tc>
          <w:tcPr>
            <w:tcW w:w="1140" w:type="dxa"/>
            <w:noWrap/>
            <w:vAlign w:val="center"/>
          </w:tcPr>
          <w:p w14:paraId="5A81EAB2">
            <w:pPr>
              <w:jc w:val="center"/>
              <w:rPr>
                <w:sz w:val="22"/>
                <w:szCs w:val="22"/>
              </w:rPr>
            </w:pPr>
            <w:r>
              <w:rPr>
                <w:sz w:val="22"/>
                <w:szCs w:val="22"/>
              </w:rPr>
              <w:t>1,29%</w:t>
            </w:r>
          </w:p>
        </w:tc>
      </w:tr>
      <w:tr w14:paraId="24FF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636ADA1">
            <w:pPr>
              <w:jc w:val="center"/>
              <w:rPr>
                <w:sz w:val="22"/>
                <w:szCs w:val="22"/>
              </w:rPr>
            </w:pPr>
            <w:r>
              <w:rPr>
                <w:sz w:val="22"/>
                <w:szCs w:val="22"/>
              </w:rPr>
              <w:t>26</w:t>
            </w:r>
          </w:p>
        </w:tc>
        <w:tc>
          <w:tcPr>
            <w:tcW w:w="1752" w:type="dxa"/>
            <w:noWrap/>
            <w:vAlign w:val="center"/>
          </w:tcPr>
          <w:p w14:paraId="5AAFDC64">
            <w:pPr>
              <w:jc w:val="center"/>
              <w:rPr>
                <w:sz w:val="22"/>
                <w:szCs w:val="22"/>
              </w:rPr>
            </w:pPr>
          </w:p>
        </w:tc>
        <w:tc>
          <w:tcPr>
            <w:tcW w:w="944" w:type="dxa"/>
            <w:vMerge w:val="continue"/>
            <w:vAlign w:val="center"/>
          </w:tcPr>
          <w:p w14:paraId="27A6DF8A">
            <w:pPr>
              <w:jc w:val="center"/>
              <w:rPr>
                <w:sz w:val="22"/>
                <w:szCs w:val="22"/>
              </w:rPr>
            </w:pPr>
          </w:p>
        </w:tc>
        <w:tc>
          <w:tcPr>
            <w:tcW w:w="1116" w:type="dxa"/>
            <w:noWrap/>
            <w:vAlign w:val="center"/>
          </w:tcPr>
          <w:p w14:paraId="47DA8A99">
            <w:pPr>
              <w:jc w:val="center"/>
              <w:rPr>
                <w:sz w:val="22"/>
                <w:szCs w:val="22"/>
              </w:rPr>
            </w:pPr>
            <w:r>
              <w:rPr>
                <w:sz w:val="22"/>
                <w:szCs w:val="22"/>
              </w:rPr>
              <w:t>03</w:t>
            </w:r>
          </w:p>
        </w:tc>
        <w:tc>
          <w:tcPr>
            <w:tcW w:w="1010" w:type="dxa"/>
            <w:noWrap/>
            <w:vAlign w:val="center"/>
          </w:tcPr>
          <w:p w14:paraId="2603E4C7">
            <w:pPr>
              <w:jc w:val="center"/>
              <w:rPr>
                <w:sz w:val="22"/>
                <w:szCs w:val="22"/>
              </w:rPr>
            </w:pPr>
            <w:r>
              <w:rPr>
                <w:sz w:val="22"/>
                <w:szCs w:val="22"/>
              </w:rPr>
              <w:t>100,16</w:t>
            </w:r>
          </w:p>
        </w:tc>
        <w:tc>
          <w:tcPr>
            <w:tcW w:w="1591" w:type="dxa"/>
            <w:vAlign w:val="center"/>
          </w:tcPr>
          <w:p w14:paraId="7E6C6DEC">
            <w:pPr>
              <w:jc w:val="center"/>
              <w:rPr>
                <w:sz w:val="22"/>
                <w:szCs w:val="22"/>
              </w:rPr>
            </w:pPr>
            <w:r>
              <w:rPr>
                <w:sz w:val="22"/>
                <w:szCs w:val="22"/>
              </w:rPr>
              <w:t>831.328.000</w:t>
            </w:r>
          </w:p>
        </w:tc>
        <w:tc>
          <w:tcPr>
            <w:tcW w:w="1700" w:type="dxa"/>
            <w:vAlign w:val="center"/>
          </w:tcPr>
          <w:p w14:paraId="20C1E974">
            <w:pPr>
              <w:jc w:val="center"/>
              <w:rPr>
                <w:sz w:val="22"/>
                <w:szCs w:val="22"/>
              </w:rPr>
            </w:pPr>
            <w:r>
              <w:rPr>
                <w:sz w:val="22"/>
                <w:szCs w:val="22"/>
              </w:rPr>
              <w:t>1.031.880.000</w:t>
            </w:r>
          </w:p>
        </w:tc>
        <w:tc>
          <w:tcPr>
            <w:tcW w:w="1140" w:type="dxa"/>
            <w:noWrap/>
            <w:vAlign w:val="center"/>
          </w:tcPr>
          <w:p w14:paraId="4A25BE36">
            <w:pPr>
              <w:jc w:val="center"/>
              <w:rPr>
                <w:sz w:val="22"/>
                <w:szCs w:val="22"/>
              </w:rPr>
            </w:pPr>
            <w:r>
              <w:rPr>
                <w:sz w:val="22"/>
                <w:szCs w:val="22"/>
              </w:rPr>
              <w:t>1,24%</w:t>
            </w:r>
          </w:p>
        </w:tc>
      </w:tr>
      <w:tr w14:paraId="3169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75093AE">
            <w:pPr>
              <w:jc w:val="center"/>
              <w:rPr>
                <w:sz w:val="22"/>
                <w:szCs w:val="22"/>
              </w:rPr>
            </w:pPr>
            <w:r>
              <w:rPr>
                <w:sz w:val="22"/>
                <w:szCs w:val="22"/>
              </w:rPr>
              <w:t>27</w:t>
            </w:r>
          </w:p>
        </w:tc>
        <w:tc>
          <w:tcPr>
            <w:tcW w:w="1752" w:type="dxa"/>
            <w:noWrap/>
            <w:vAlign w:val="center"/>
          </w:tcPr>
          <w:p w14:paraId="193E5A6C">
            <w:pPr>
              <w:jc w:val="center"/>
              <w:rPr>
                <w:sz w:val="22"/>
                <w:szCs w:val="22"/>
              </w:rPr>
            </w:pPr>
          </w:p>
        </w:tc>
        <w:tc>
          <w:tcPr>
            <w:tcW w:w="944" w:type="dxa"/>
            <w:vMerge w:val="continue"/>
            <w:vAlign w:val="center"/>
          </w:tcPr>
          <w:p w14:paraId="081F9D68">
            <w:pPr>
              <w:jc w:val="center"/>
              <w:rPr>
                <w:sz w:val="22"/>
                <w:szCs w:val="22"/>
              </w:rPr>
            </w:pPr>
          </w:p>
        </w:tc>
        <w:tc>
          <w:tcPr>
            <w:tcW w:w="1116" w:type="dxa"/>
            <w:noWrap/>
            <w:vAlign w:val="center"/>
          </w:tcPr>
          <w:p w14:paraId="3FE64CCA">
            <w:pPr>
              <w:jc w:val="center"/>
              <w:rPr>
                <w:sz w:val="22"/>
                <w:szCs w:val="22"/>
              </w:rPr>
            </w:pPr>
            <w:r>
              <w:rPr>
                <w:sz w:val="22"/>
                <w:szCs w:val="22"/>
              </w:rPr>
              <w:t>04</w:t>
            </w:r>
          </w:p>
        </w:tc>
        <w:tc>
          <w:tcPr>
            <w:tcW w:w="1010" w:type="dxa"/>
            <w:noWrap/>
            <w:vAlign w:val="center"/>
          </w:tcPr>
          <w:p w14:paraId="011CA918">
            <w:pPr>
              <w:jc w:val="center"/>
              <w:rPr>
                <w:sz w:val="22"/>
                <w:szCs w:val="22"/>
              </w:rPr>
            </w:pPr>
            <w:r>
              <w:rPr>
                <w:sz w:val="22"/>
                <w:szCs w:val="22"/>
              </w:rPr>
              <w:t>100,16</w:t>
            </w:r>
          </w:p>
        </w:tc>
        <w:tc>
          <w:tcPr>
            <w:tcW w:w="1591" w:type="dxa"/>
            <w:vAlign w:val="center"/>
          </w:tcPr>
          <w:p w14:paraId="438FAAAD">
            <w:pPr>
              <w:jc w:val="center"/>
              <w:rPr>
                <w:sz w:val="22"/>
                <w:szCs w:val="22"/>
              </w:rPr>
            </w:pPr>
            <w:r>
              <w:rPr>
                <w:sz w:val="22"/>
                <w:szCs w:val="22"/>
              </w:rPr>
              <w:t>831.328.000</w:t>
            </w:r>
          </w:p>
        </w:tc>
        <w:tc>
          <w:tcPr>
            <w:tcW w:w="1700" w:type="dxa"/>
            <w:vAlign w:val="center"/>
          </w:tcPr>
          <w:p w14:paraId="79938816">
            <w:pPr>
              <w:jc w:val="center"/>
              <w:rPr>
                <w:sz w:val="22"/>
                <w:szCs w:val="22"/>
              </w:rPr>
            </w:pPr>
            <w:r>
              <w:rPr>
                <w:sz w:val="22"/>
                <w:szCs w:val="22"/>
              </w:rPr>
              <w:t>1.012.980.000</w:t>
            </w:r>
          </w:p>
        </w:tc>
        <w:tc>
          <w:tcPr>
            <w:tcW w:w="1140" w:type="dxa"/>
            <w:noWrap/>
            <w:vAlign w:val="center"/>
          </w:tcPr>
          <w:p w14:paraId="2BD8A61C">
            <w:pPr>
              <w:jc w:val="center"/>
              <w:rPr>
                <w:sz w:val="22"/>
                <w:szCs w:val="22"/>
              </w:rPr>
            </w:pPr>
            <w:r>
              <w:rPr>
                <w:sz w:val="22"/>
                <w:szCs w:val="22"/>
              </w:rPr>
              <w:t>1,22%</w:t>
            </w:r>
          </w:p>
        </w:tc>
      </w:tr>
      <w:tr w14:paraId="216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F9E0E8F">
            <w:pPr>
              <w:jc w:val="center"/>
              <w:rPr>
                <w:sz w:val="22"/>
                <w:szCs w:val="22"/>
              </w:rPr>
            </w:pPr>
            <w:r>
              <w:rPr>
                <w:sz w:val="22"/>
                <w:szCs w:val="22"/>
              </w:rPr>
              <w:t>28</w:t>
            </w:r>
          </w:p>
        </w:tc>
        <w:tc>
          <w:tcPr>
            <w:tcW w:w="1752" w:type="dxa"/>
            <w:noWrap/>
            <w:vAlign w:val="center"/>
          </w:tcPr>
          <w:p w14:paraId="5DA15459">
            <w:pPr>
              <w:jc w:val="center"/>
              <w:rPr>
                <w:sz w:val="22"/>
                <w:szCs w:val="22"/>
              </w:rPr>
            </w:pPr>
          </w:p>
        </w:tc>
        <w:tc>
          <w:tcPr>
            <w:tcW w:w="944" w:type="dxa"/>
            <w:vMerge w:val="continue"/>
            <w:vAlign w:val="center"/>
          </w:tcPr>
          <w:p w14:paraId="112DB05A">
            <w:pPr>
              <w:jc w:val="center"/>
              <w:rPr>
                <w:sz w:val="22"/>
                <w:szCs w:val="22"/>
              </w:rPr>
            </w:pPr>
          </w:p>
        </w:tc>
        <w:tc>
          <w:tcPr>
            <w:tcW w:w="1116" w:type="dxa"/>
            <w:noWrap/>
            <w:vAlign w:val="center"/>
          </w:tcPr>
          <w:p w14:paraId="20D33441">
            <w:pPr>
              <w:jc w:val="center"/>
              <w:rPr>
                <w:sz w:val="22"/>
                <w:szCs w:val="22"/>
              </w:rPr>
            </w:pPr>
            <w:r>
              <w:rPr>
                <w:sz w:val="22"/>
                <w:szCs w:val="22"/>
              </w:rPr>
              <w:t>05</w:t>
            </w:r>
          </w:p>
        </w:tc>
        <w:tc>
          <w:tcPr>
            <w:tcW w:w="1010" w:type="dxa"/>
            <w:noWrap/>
            <w:vAlign w:val="center"/>
          </w:tcPr>
          <w:p w14:paraId="618866FF">
            <w:pPr>
              <w:jc w:val="center"/>
              <w:rPr>
                <w:sz w:val="22"/>
                <w:szCs w:val="22"/>
              </w:rPr>
            </w:pPr>
            <w:r>
              <w:rPr>
                <w:sz w:val="22"/>
                <w:szCs w:val="22"/>
              </w:rPr>
              <w:t>100,16</w:t>
            </w:r>
          </w:p>
        </w:tc>
        <w:tc>
          <w:tcPr>
            <w:tcW w:w="1591" w:type="dxa"/>
            <w:vAlign w:val="center"/>
          </w:tcPr>
          <w:p w14:paraId="48E4261E">
            <w:pPr>
              <w:jc w:val="center"/>
              <w:rPr>
                <w:sz w:val="22"/>
                <w:szCs w:val="22"/>
              </w:rPr>
            </w:pPr>
            <w:r>
              <w:rPr>
                <w:sz w:val="22"/>
                <w:szCs w:val="22"/>
              </w:rPr>
              <w:t>831.328.000</w:t>
            </w:r>
          </w:p>
        </w:tc>
        <w:tc>
          <w:tcPr>
            <w:tcW w:w="1700" w:type="dxa"/>
            <w:vAlign w:val="center"/>
          </w:tcPr>
          <w:p w14:paraId="739732CC">
            <w:pPr>
              <w:jc w:val="center"/>
              <w:rPr>
                <w:sz w:val="22"/>
                <w:szCs w:val="22"/>
              </w:rPr>
            </w:pPr>
            <w:r>
              <w:rPr>
                <w:sz w:val="22"/>
                <w:szCs w:val="22"/>
              </w:rPr>
              <w:t>1.006.980.000</w:t>
            </w:r>
          </w:p>
        </w:tc>
        <w:tc>
          <w:tcPr>
            <w:tcW w:w="1140" w:type="dxa"/>
            <w:noWrap/>
            <w:vAlign w:val="center"/>
          </w:tcPr>
          <w:p w14:paraId="0A84BD84">
            <w:pPr>
              <w:jc w:val="center"/>
              <w:rPr>
                <w:sz w:val="22"/>
                <w:szCs w:val="22"/>
              </w:rPr>
            </w:pPr>
            <w:r>
              <w:rPr>
                <w:sz w:val="22"/>
                <w:szCs w:val="22"/>
              </w:rPr>
              <w:t>1,21%</w:t>
            </w:r>
          </w:p>
        </w:tc>
      </w:tr>
      <w:tr w14:paraId="48FE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B2CF5D0">
            <w:pPr>
              <w:jc w:val="center"/>
              <w:rPr>
                <w:sz w:val="22"/>
                <w:szCs w:val="22"/>
              </w:rPr>
            </w:pPr>
            <w:r>
              <w:rPr>
                <w:sz w:val="22"/>
                <w:szCs w:val="22"/>
              </w:rPr>
              <w:t>29</w:t>
            </w:r>
          </w:p>
        </w:tc>
        <w:tc>
          <w:tcPr>
            <w:tcW w:w="1752" w:type="dxa"/>
            <w:noWrap/>
            <w:vAlign w:val="center"/>
          </w:tcPr>
          <w:p w14:paraId="56DED64C">
            <w:pPr>
              <w:jc w:val="center"/>
              <w:rPr>
                <w:sz w:val="22"/>
                <w:szCs w:val="22"/>
              </w:rPr>
            </w:pPr>
          </w:p>
        </w:tc>
        <w:tc>
          <w:tcPr>
            <w:tcW w:w="944" w:type="dxa"/>
            <w:vMerge w:val="continue"/>
            <w:vAlign w:val="center"/>
          </w:tcPr>
          <w:p w14:paraId="3DD0021E">
            <w:pPr>
              <w:jc w:val="center"/>
              <w:rPr>
                <w:sz w:val="22"/>
                <w:szCs w:val="22"/>
              </w:rPr>
            </w:pPr>
          </w:p>
        </w:tc>
        <w:tc>
          <w:tcPr>
            <w:tcW w:w="1116" w:type="dxa"/>
            <w:noWrap/>
            <w:vAlign w:val="center"/>
          </w:tcPr>
          <w:p w14:paraId="6FEE10F0">
            <w:pPr>
              <w:jc w:val="center"/>
              <w:rPr>
                <w:sz w:val="22"/>
                <w:szCs w:val="22"/>
              </w:rPr>
            </w:pPr>
            <w:r>
              <w:rPr>
                <w:sz w:val="22"/>
                <w:szCs w:val="22"/>
              </w:rPr>
              <w:t>06</w:t>
            </w:r>
          </w:p>
        </w:tc>
        <w:tc>
          <w:tcPr>
            <w:tcW w:w="1010" w:type="dxa"/>
            <w:noWrap/>
            <w:vAlign w:val="center"/>
          </w:tcPr>
          <w:p w14:paraId="1B0CB170">
            <w:pPr>
              <w:jc w:val="center"/>
              <w:rPr>
                <w:sz w:val="22"/>
                <w:szCs w:val="22"/>
              </w:rPr>
            </w:pPr>
            <w:r>
              <w:rPr>
                <w:sz w:val="22"/>
                <w:szCs w:val="22"/>
              </w:rPr>
              <w:t>100,16</w:t>
            </w:r>
          </w:p>
        </w:tc>
        <w:tc>
          <w:tcPr>
            <w:tcW w:w="1591" w:type="dxa"/>
            <w:vAlign w:val="center"/>
          </w:tcPr>
          <w:p w14:paraId="50FFDF0B">
            <w:pPr>
              <w:jc w:val="center"/>
              <w:rPr>
                <w:sz w:val="22"/>
                <w:szCs w:val="22"/>
              </w:rPr>
            </w:pPr>
            <w:r>
              <w:rPr>
                <w:sz w:val="22"/>
                <w:szCs w:val="22"/>
              </w:rPr>
              <w:t>831.328.000</w:t>
            </w:r>
          </w:p>
        </w:tc>
        <w:tc>
          <w:tcPr>
            <w:tcW w:w="1700" w:type="dxa"/>
            <w:vAlign w:val="center"/>
          </w:tcPr>
          <w:p w14:paraId="031C7C2C">
            <w:pPr>
              <w:jc w:val="center"/>
              <w:rPr>
                <w:sz w:val="22"/>
                <w:szCs w:val="22"/>
              </w:rPr>
            </w:pPr>
            <w:r>
              <w:rPr>
                <w:sz w:val="22"/>
                <w:szCs w:val="22"/>
              </w:rPr>
              <w:t>999.980.000</w:t>
            </w:r>
          </w:p>
        </w:tc>
        <w:tc>
          <w:tcPr>
            <w:tcW w:w="1140" w:type="dxa"/>
            <w:noWrap/>
            <w:vAlign w:val="center"/>
          </w:tcPr>
          <w:p w14:paraId="76D448EC">
            <w:pPr>
              <w:jc w:val="center"/>
              <w:rPr>
                <w:sz w:val="22"/>
                <w:szCs w:val="22"/>
              </w:rPr>
            </w:pPr>
            <w:r>
              <w:rPr>
                <w:sz w:val="22"/>
                <w:szCs w:val="22"/>
              </w:rPr>
              <w:t>1,20%</w:t>
            </w:r>
          </w:p>
        </w:tc>
      </w:tr>
      <w:tr w14:paraId="683A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4CD2ECF">
            <w:pPr>
              <w:jc w:val="center"/>
              <w:rPr>
                <w:sz w:val="22"/>
                <w:szCs w:val="22"/>
              </w:rPr>
            </w:pPr>
            <w:r>
              <w:rPr>
                <w:sz w:val="22"/>
                <w:szCs w:val="22"/>
              </w:rPr>
              <w:t>30</w:t>
            </w:r>
          </w:p>
        </w:tc>
        <w:tc>
          <w:tcPr>
            <w:tcW w:w="1752" w:type="dxa"/>
            <w:noWrap/>
            <w:vAlign w:val="center"/>
          </w:tcPr>
          <w:p w14:paraId="2E89B1BD">
            <w:pPr>
              <w:jc w:val="center"/>
              <w:rPr>
                <w:sz w:val="22"/>
                <w:szCs w:val="22"/>
              </w:rPr>
            </w:pPr>
          </w:p>
        </w:tc>
        <w:tc>
          <w:tcPr>
            <w:tcW w:w="944" w:type="dxa"/>
            <w:vMerge w:val="continue"/>
            <w:vAlign w:val="center"/>
          </w:tcPr>
          <w:p w14:paraId="737460C5">
            <w:pPr>
              <w:jc w:val="center"/>
              <w:rPr>
                <w:sz w:val="22"/>
                <w:szCs w:val="22"/>
              </w:rPr>
            </w:pPr>
          </w:p>
        </w:tc>
        <w:tc>
          <w:tcPr>
            <w:tcW w:w="1116" w:type="dxa"/>
            <w:noWrap/>
            <w:vAlign w:val="center"/>
          </w:tcPr>
          <w:p w14:paraId="52B15FD9">
            <w:pPr>
              <w:jc w:val="center"/>
              <w:rPr>
                <w:sz w:val="22"/>
                <w:szCs w:val="22"/>
              </w:rPr>
            </w:pPr>
            <w:r>
              <w:rPr>
                <w:sz w:val="22"/>
                <w:szCs w:val="22"/>
              </w:rPr>
              <w:t>07</w:t>
            </w:r>
          </w:p>
        </w:tc>
        <w:tc>
          <w:tcPr>
            <w:tcW w:w="1010" w:type="dxa"/>
            <w:noWrap/>
            <w:vAlign w:val="center"/>
          </w:tcPr>
          <w:p w14:paraId="79B6F274">
            <w:pPr>
              <w:jc w:val="center"/>
              <w:rPr>
                <w:sz w:val="22"/>
                <w:szCs w:val="22"/>
              </w:rPr>
            </w:pPr>
            <w:r>
              <w:rPr>
                <w:sz w:val="22"/>
                <w:szCs w:val="22"/>
              </w:rPr>
              <w:t>100,16</w:t>
            </w:r>
          </w:p>
        </w:tc>
        <w:tc>
          <w:tcPr>
            <w:tcW w:w="1591" w:type="dxa"/>
            <w:vAlign w:val="center"/>
          </w:tcPr>
          <w:p w14:paraId="7A80382F">
            <w:pPr>
              <w:jc w:val="center"/>
              <w:rPr>
                <w:sz w:val="22"/>
                <w:szCs w:val="22"/>
              </w:rPr>
            </w:pPr>
            <w:r>
              <w:rPr>
                <w:sz w:val="22"/>
                <w:szCs w:val="22"/>
              </w:rPr>
              <w:t>831.328.000</w:t>
            </w:r>
          </w:p>
        </w:tc>
        <w:tc>
          <w:tcPr>
            <w:tcW w:w="1700" w:type="dxa"/>
            <w:vAlign w:val="center"/>
          </w:tcPr>
          <w:p w14:paraId="23F86095">
            <w:pPr>
              <w:jc w:val="center"/>
              <w:rPr>
                <w:sz w:val="22"/>
                <w:szCs w:val="22"/>
              </w:rPr>
            </w:pPr>
            <w:r>
              <w:rPr>
                <w:sz w:val="22"/>
                <w:szCs w:val="22"/>
              </w:rPr>
              <w:t>982.980.000</w:t>
            </w:r>
          </w:p>
        </w:tc>
        <w:tc>
          <w:tcPr>
            <w:tcW w:w="1140" w:type="dxa"/>
            <w:noWrap/>
            <w:vAlign w:val="center"/>
          </w:tcPr>
          <w:p w14:paraId="0A9DF133">
            <w:pPr>
              <w:jc w:val="center"/>
              <w:rPr>
                <w:sz w:val="22"/>
                <w:szCs w:val="22"/>
              </w:rPr>
            </w:pPr>
            <w:r>
              <w:rPr>
                <w:sz w:val="22"/>
                <w:szCs w:val="22"/>
              </w:rPr>
              <w:t>1,18%</w:t>
            </w:r>
          </w:p>
        </w:tc>
      </w:tr>
      <w:tr w14:paraId="1235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6A6C694">
            <w:pPr>
              <w:jc w:val="center"/>
              <w:rPr>
                <w:sz w:val="22"/>
                <w:szCs w:val="22"/>
              </w:rPr>
            </w:pPr>
            <w:r>
              <w:rPr>
                <w:sz w:val="22"/>
                <w:szCs w:val="22"/>
              </w:rPr>
              <w:t>31</w:t>
            </w:r>
          </w:p>
        </w:tc>
        <w:tc>
          <w:tcPr>
            <w:tcW w:w="1752" w:type="dxa"/>
            <w:noWrap/>
            <w:vAlign w:val="center"/>
          </w:tcPr>
          <w:p w14:paraId="371CF395">
            <w:pPr>
              <w:jc w:val="center"/>
              <w:rPr>
                <w:sz w:val="22"/>
                <w:szCs w:val="22"/>
              </w:rPr>
            </w:pPr>
          </w:p>
        </w:tc>
        <w:tc>
          <w:tcPr>
            <w:tcW w:w="944" w:type="dxa"/>
            <w:vMerge w:val="continue"/>
            <w:vAlign w:val="center"/>
          </w:tcPr>
          <w:p w14:paraId="6CB97078">
            <w:pPr>
              <w:jc w:val="center"/>
              <w:rPr>
                <w:sz w:val="22"/>
                <w:szCs w:val="22"/>
              </w:rPr>
            </w:pPr>
          </w:p>
        </w:tc>
        <w:tc>
          <w:tcPr>
            <w:tcW w:w="1116" w:type="dxa"/>
            <w:noWrap/>
            <w:vAlign w:val="center"/>
          </w:tcPr>
          <w:p w14:paraId="211CA787">
            <w:pPr>
              <w:jc w:val="center"/>
              <w:rPr>
                <w:sz w:val="22"/>
                <w:szCs w:val="22"/>
              </w:rPr>
            </w:pPr>
            <w:r>
              <w:rPr>
                <w:sz w:val="22"/>
                <w:szCs w:val="22"/>
              </w:rPr>
              <w:t>09</w:t>
            </w:r>
          </w:p>
        </w:tc>
        <w:tc>
          <w:tcPr>
            <w:tcW w:w="1010" w:type="dxa"/>
            <w:noWrap/>
            <w:vAlign w:val="center"/>
          </w:tcPr>
          <w:p w14:paraId="6353AA4D">
            <w:pPr>
              <w:jc w:val="center"/>
              <w:rPr>
                <w:sz w:val="22"/>
                <w:szCs w:val="22"/>
              </w:rPr>
            </w:pPr>
            <w:r>
              <w:rPr>
                <w:sz w:val="22"/>
                <w:szCs w:val="22"/>
              </w:rPr>
              <w:t>111,94</w:t>
            </w:r>
          </w:p>
        </w:tc>
        <w:tc>
          <w:tcPr>
            <w:tcW w:w="1591" w:type="dxa"/>
            <w:vAlign w:val="center"/>
          </w:tcPr>
          <w:p w14:paraId="1BB93806">
            <w:pPr>
              <w:jc w:val="center"/>
              <w:rPr>
                <w:sz w:val="22"/>
                <w:szCs w:val="22"/>
              </w:rPr>
            </w:pPr>
            <w:r>
              <w:rPr>
                <w:sz w:val="22"/>
                <w:szCs w:val="22"/>
              </w:rPr>
              <w:t>929.102.000</w:t>
            </w:r>
          </w:p>
        </w:tc>
        <w:tc>
          <w:tcPr>
            <w:tcW w:w="1700" w:type="dxa"/>
            <w:vAlign w:val="center"/>
          </w:tcPr>
          <w:p w14:paraId="2BA6EECF">
            <w:pPr>
              <w:jc w:val="center"/>
              <w:rPr>
                <w:sz w:val="22"/>
                <w:szCs w:val="22"/>
              </w:rPr>
            </w:pPr>
            <w:r>
              <w:rPr>
                <w:sz w:val="22"/>
                <w:szCs w:val="22"/>
              </w:rPr>
              <w:t>1.111.988.000</w:t>
            </w:r>
          </w:p>
        </w:tc>
        <w:tc>
          <w:tcPr>
            <w:tcW w:w="1140" w:type="dxa"/>
            <w:noWrap/>
            <w:vAlign w:val="center"/>
          </w:tcPr>
          <w:p w14:paraId="3E24509E">
            <w:pPr>
              <w:jc w:val="center"/>
              <w:rPr>
                <w:sz w:val="22"/>
                <w:szCs w:val="22"/>
              </w:rPr>
            </w:pPr>
            <w:r>
              <w:rPr>
                <w:sz w:val="22"/>
                <w:szCs w:val="22"/>
              </w:rPr>
              <w:t>1,20%</w:t>
            </w:r>
          </w:p>
        </w:tc>
      </w:tr>
      <w:tr w14:paraId="715D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D5F4C2D">
            <w:pPr>
              <w:jc w:val="center"/>
              <w:rPr>
                <w:sz w:val="22"/>
                <w:szCs w:val="22"/>
              </w:rPr>
            </w:pPr>
            <w:r>
              <w:rPr>
                <w:sz w:val="22"/>
                <w:szCs w:val="22"/>
              </w:rPr>
              <w:t>32</w:t>
            </w:r>
          </w:p>
        </w:tc>
        <w:tc>
          <w:tcPr>
            <w:tcW w:w="1752" w:type="dxa"/>
            <w:noWrap/>
            <w:vAlign w:val="center"/>
          </w:tcPr>
          <w:p w14:paraId="3BFA38D5">
            <w:pPr>
              <w:jc w:val="center"/>
              <w:rPr>
                <w:sz w:val="22"/>
                <w:szCs w:val="22"/>
              </w:rPr>
            </w:pPr>
          </w:p>
        </w:tc>
        <w:tc>
          <w:tcPr>
            <w:tcW w:w="944" w:type="dxa"/>
            <w:vMerge w:val="continue"/>
            <w:vAlign w:val="center"/>
          </w:tcPr>
          <w:p w14:paraId="09631F18">
            <w:pPr>
              <w:jc w:val="center"/>
              <w:rPr>
                <w:sz w:val="22"/>
                <w:szCs w:val="22"/>
              </w:rPr>
            </w:pPr>
          </w:p>
        </w:tc>
        <w:tc>
          <w:tcPr>
            <w:tcW w:w="1116" w:type="dxa"/>
            <w:noWrap/>
            <w:vAlign w:val="center"/>
          </w:tcPr>
          <w:p w14:paraId="3AAC9BC8">
            <w:pPr>
              <w:jc w:val="center"/>
              <w:rPr>
                <w:sz w:val="22"/>
                <w:szCs w:val="22"/>
              </w:rPr>
            </w:pPr>
            <w:r>
              <w:rPr>
                <w:sz w:val="22"/>
                <w:szCs w:val="22"/>
              </w:rPr>
              <w:t>10</w:t>
            </w:r>
          </w:p>
        </w:tc>
        <w:tc>
          <w:tcPr>
            <w:tcW w:w="1010" w:type="dxa"/>
            <w:noWrap/>
            <w:vAlign w:val="center"/>
          </w:tcPr>
          <w:p w14:paraId="0AE12D1D">
            <w:pPr>
              <w:jc w:val="center"/>
              <w:rPr>
                <w:sz w:val="22"/>
                <w:szCs w:val="22"/>
              </w:rPr>
            </w:pPr>
            <w:r>
              <w:rPr>
                <w:sz w:val="22"/>
                <w:szCs w:val="22"/>
              </w:rPr>
              <w:t>100,16</w:t>
            </w:r>
          </w:p>
        </w:tc>
        <w:tc>
          <w:tcPr>
            <w:tcW w:w="1591" w:type="dxa"/>
            <w:vAlign w:val="center"/>
          </w:tcPr>
          <w:p w14:paraId="7B8C62C2">
            <w:pPr>
              <w:jc w:val="center"/>
              <w:rPr>
                <w:sz w:val="22"/>
                <w:szCs w:val="22"/>
              </w:rPr>
            </w:pPr>
            <w:r>
              <w:rPr>
                <w:sz w:val="22"/>
                <w:szCs w:val="22"/>
              </w:rPr>
              <w:t>831.328.000</w:t>
            </w:r>
          </w:p>
        </w:tc>
        <w:tc>
          <w:tcPr>
            <w:tcW w:w="1700" w:type="dxa"/>
            <w:vAlign w:val="center"/>
          </w:tcPr>
          <w:p w14:paraId="53B5B9A4">
            <w:pPr>
              <w:jc w:val="center"/>
              <w:rPr>
                <w:sz w:val="22"/>
                <w:szCs w:val="22"/>
              </w:rPr>
            </w:pPr>
            <w:r>
              <w:rPr>
                <w:sz w:val="22"/>
                <w:szCs w:val="22"/>
              </w:rPr>
              <w:t>981.988.000</w:t>
            </w:r>
          </w:p>
        </w:tc>
        <w:tc>
          <w:tcPr>
            <w:tcW w:w="1140" w:type="dxa"/>
            <w:noWrap/>
            <w:vAlign w:val="center"/>
          </w:tcPr>
          <w:p w14:paraId="7D9FAA82">
            <w:pPr>
              <w:jc w:val="center"/>
              <w:rPr>
                <w:sz w:val="22"/>
                <w:szCs w:val="22"/>
              </w:rPr>
            </w:pPr>
            <w:r>
              <w:rPr>
                <w:sz w:val="22"/>
                <w:szCs w:val="22"/>
              </w:rPr>
              <w:t>1,18%</w:t>
            </w:r>
          </w:p>
        </w:tc>
      </w:tr>
      <w:tr w14:paraId="5C43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D9DBE3B">
            <w:pPr>
              <w:jc w:val="center"/>
              <w:rPr>
                <w:sz w:val="22"/>
                <w:szCs w:val="22"/>
              </w:rPr>
            </w:pPr>
            <w:r>
              <w:rPr>
                <w:sz w:val="22"/>
                <w:szCs w:val="22"/>
              </w:rPr>
              <w:t>33</w:t>
            </w:r>
          </w:p>
        </w:tc>
        <w:tc>
          <w:tcPr>
            <w:tcW w:w="1752" w:type="dxa"/>
            <w:noWrap/>
            <w:vAlign w:val="center"/>
          </w:tcPr>
          <w:p w14:paraId="47979568">
            <w:pPr>
              <w:jc w:val="center"/>
              <w:rPr>
                <w:sz w:val="22"/>
                <w:szCs w:val="22"/>
              </w:rPr>
            </w:pPr>
          </w:p>
        </w:tc>
        <w:tc>
          <w:tcPr>
            <w:tcW w:w="944" w:type="dxa"/>
            <w:vMerge w:val="continue"/>
            <w:vAlign w:val="center"/>
          </w:tcPr>
          <w:p w14:paraId="1D4B848F">
            <w:pPr>
              <w:jc w:val="center"/>
              <w:rPr>
                <w:sz w:val="22"/>
                <w:szCs w:val="22"/>
              </w:rPr>
            </w:pPr>
          </w:p>
        </w:tc>
        <w:tc>
          <w:tcPr>
            <w:tcW w:w="1116" w:type="dxa"/>
            <w:noWrap/>
            <w:vAlign w:val="center"/>
          </w:tcPr>
          <w:p w14:paraId="75292A41">
            <w:pPr>
              <w:jc w:val="center"/>
              <w:rPr>
                <w:sz w:val="22"/>
                <w:szCs w:val="22"/>
              </w:rPr>
            </w:pPr>
            <w:r>
              <w:rPr>
                <w:sz w:val="22"/>
                <w:szCs w:val="22"/>
              </w:rPr>
              <w:t>11</w:t>
            </w:r>
          </w:p>
        </w:tc>
        <w:tc>
          <w:tcPr>
            <w:tcW w:w="1010" w:type="dxa"/>
            <w:noWrap/>
            <w:vAlign w:val="center"/>
          </w:tcPr>
          <w:p w14:paraId="4746E451">
            <w:pPr>
              <w:jc w:val="center"/>
              <w:rPr>
                <w:sz w:val="22"/>
                <w:szCs w:val="22"/>
              </w:rPr>
            </w:pPr>
            <w:r>
              <w:rPr>
                <w:sz w:val="22"/>
                <w:szCs w:val="22"/>
              </w:rPr>
              <w:t>100,16</w:t>
            </w:r>
          </w:p>
        </w:tc>
        <w:tc>
          <w:tcPr>
            <w:tcW w:w="1591" w:type="dxa"/>
            <w:vAlign w:val="center"/>
          </w:tcPr>
          <w:p w14:paraId="05B1D610">
            <w:pPr>
              <w:jc w:val="center"/>
              <w:rPr>
                <w:sz w:val="22"/>
                <w:szCs w:val="22"/>
              </w:rPr>
            </w:pPr>
            <w:r>
              <w:rPr>
                <w:sz w:val="22"/>
                <w:szCs w:val="22"/>
              </w:rPr>
              <w:t>831.328.000</w:t>
            </w:r>
          </w:p>
        </w:tc>
        <w:tc>
          <w:tcPr>
            <w:tcW w:w="1700" w:type="dxa"/>
            <w:vAlign w:val="center"/>
          </w:tcPr>
          <w:p w14:paraId="126DE71A">
            <w:pPr>
              <w:jc w:val="center"/>
              <w:rPr>
                <w:sz w:val="22"/>
                <w:szCs w:val="22"/>
              </w:rPr>
            </w:pPr>
            <w:r>
              <w:rPr>
                <w:sz w:val="22"/>
                <w:szCs w:val="22"/>
              </w:rPr>
              <w:t>981.980.000</w:t>
            </w:r>
          </w:p>
        </w:tc>
        <w:tc>
          <w:tcPr>
            <w:tcW w:w="1140" w:type="dxa"/>
            <w:noWrap/>
            <w:vAlign w:val="center"/>
          </w:tcPr>
          <w:p w14:paraId="1D478845">
            <w:pPr>
              <w:jc w:val="center"/>
              <w:rPr>
                <w:sz w:val="22"/>
                <w:szCs w:val="22"/>
              </w:rPr>
            </w:pPr>
            <w:r>
              <w:rPr>
                <w:sz w:val="22"/>
                <w:szCs w:val="22"/>
              </w:rPr>
              <w:t>1,18%</w:t>
            </w:r>
          </w:p>
        </w:tc>
      </w:tr>
      <w:tr w14:paraId="2E3F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4685AD5">
            <w:pPr>
              <w:jc w:val="center"/>
              <w:rPr>
                <w:sz w:val="22"/>
                <w:szCs w:val="22"/>
              </w:rPr>
            </w:pPr>
            <w:r>
              <w:rPr>
                <w:sz w:val="22"/>
                <w:szCs w:val="22"/>
              </w:rPr>
              <w:t>34</w:t>
            </w:r>
          </w:p>
        </w:tc>
        <w:tc>
          <w:tcPr>
            <w:tcW w:w="1752" w:type="dxa"/>
            <w:noWrap/>
            <w:vAlign w:val="center"/>
          </w:tcPr>
          <w:p w14:paraId="52715AF8">
            <w:pPr>
              <w:jc w:val="center"/>
              <w:rPr>
                <w:sz w:val="22"/>
                <w:szCs w:val="22"/>
              </w:rPr>
            </w:pPr>
          </w:p>
        </w:tc>
        <w:tc>
          <w:tcPr>
            <w:tcW w:w="944" w:type="dxa"/>
            <w:vMerge w:val="continue"/>
            <w:vAlign w:val="center"/>
          </w:tcPr>
          <w:p w14:paraId="61BBC1C5">
            <w:pPr>
              <w:jc w:val="center"/>
              <w:rPr>
                <w:sz w:val="22"/>
                <w:szCs w:val="22"/>
              </w:rPr>
            </w:pPr>
          </w:p>
        </w:tc>
        <w:tc>
          <w:tcPr>
            <w:tcW w:w="1116" w:type="dxa"/>
            <w:noWrap/>
            <w:vAlign w:val="center"/>
          </w:tcPr>
          <w:p w14:paraId="7B058F0F">
            <w:pPr>
              <w:jc w:val="center"/>
              <w:rPr>
                <w:sz w:val="22"/>
                <w:szCs w:val="22"/>
              </w:rPr>
            </w:pPr>
            <w:r>
              <w:rPr>
                <w:sz w:val="22"/>
                <w:szCs w:val="22"/>
              </w:rPr>
              <w:t>12</w:t>
            </w:r>
          </w:p>
        </w:tc>
        <w:tc>
          <w:tcPr>
            <w:tcW w:w="1010" w:type="dxa"/>
            <w:noWrap/>
            <w:vAlign w:val="center"/>
          </w:tcPr>
          <w:p w14:paraId="1F4E3341">
            <w:pPr>
              <w:jc w:val="center"/>
              <w:rPr>
                <w:sz w:val="22"/>
                <w:szCs w:val="22"/>
              </w:rPr>
            </w:pPr>
            <w:r>
              <w:rPr>
                <w:sz w:val="22"/>
                <w:szCs w:val="22"/>
              </w:rPr>
              <w:t>100,16</w:t>
            </w:r>
          </w:p>
        </w:tc>
        <w:tc>
          <w:tcPr>
            <w:tcW w:w="1591" w:type="dxa"/>
            <w:vAlign w:val="center"/>
          </w:tcPr>
          <w:p w14:paraId="16110162">
            <w:pPr>
              <w:jc w:val="center"/>
              <w:rPr>
                <w:sz w:val="22"/>
                <w:szCs w:val="22"/>
              </w:rPr>
            </w:pPr>
            <w:r>
              <w:rPr>
                <w:sz w:val="22"/>
                <w:szCs w:val="22"/>
              </w:rPr>
              <w:t>831.328.000</w:t>
            </w:r>
          </w:p>
        </w:tc>
        <w:tc>
          <w:tcPr>
            <w:tcW w:w="1700" w:type="dxa"/>
            <w:vAlign w:val="center"/>
          </w:tcPr>
          <w:p w14:paraId="256ECBFE">
            <w:pPr>
              <w:jc w:val="center"/>
              <w:rPr>
                <w:sz w:val="22"/>
                <w:szCs w:val="22"/>
              </w:rPr>
            </w:pPr>
            <w:r>
              <w:rPr>
                <w:sz w:val="22"/>
                <w:szCs w:val="22"/>
              </w:rPr>
              <w:t>976.500.000</w:t>
            </w:r>
          </w:p>
        </w:tc>
        <w:tc>
          <w:tcPr>
            <w:tcW w:w="1140" w:type="dxa"/>
            <w:noWrap/>
            <w:vAlign w:val="center"/>
          </w:tcPr>
          <w:p w14:paraId="26949C60">
            <w:pPr>
              <w:jc w:val="center"/>
              <w:rPr>
                <w:sz w:val="22"/>
                <w:szCs w:val="22"/>
              </w:rPr>
            </w:pPr>
            <w:r>
              <w:rPr>
                <w:sz w:val="22"/>
                <w:szCs w:val="22"/>
              </w:rPr>
              <w:t>1,17%</w:t>
            </w:r>
          </w:p>
        </w:tc>
      </w:tr>
      <w:tr w14:paraId="59D4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4486C3B">
            <w:pPr>
              <w:jc w:val="center"/>
              <w:rPr>
                <w:sz w:val="22"/>
                <w:szCs w:val="22"/>
              </w:rPr>
            </w:pPr>
            <w:r>
              <w:rPr>
                <w:sz w:val="22"/>
                <w:szCs w:val="22"/>
              </w:rPr>
              <w:t>35</w:t>
            </w:r>
          </w:p>
        </w:tc>
        <w:tc>
          <w:tcPr>
            <w:tcW w:w="1752" w:type="dxa"/>
            <w:noWrap/>
            <w:vAlign w:val="center"/>
          </w:tcPr>
          <w:p w14:paraId="496CEEB2">
            <w:pPr>
              <w:jc w:val="center"/>
              <w:rPr>
                <w:sz w:val="22"/>
                <w:szCs w:val="22"/>
              </w:rPr>
            </w:pPr>
          </w:p>
        </w:tc>
        <w:tc>
          <w:tcPr>
            <w:tcW w:w="944" w:type="dxa"/>
            <w:vMerge w:val="continue"/>
            <w:vAlign w:val="center"/>
          </w:tcPr>
          <w:p w14:paraId="730E05A4">
            <w:pPr>
              <w:jc w:val="center"/>
              <w:rPr>
                <w:sz w:val="22"/>
                <w:szCs w:val="22"/>
              </w:rPr>
            </w:pPr>
          </w:p>
        </w:tc>
        <w:tc>
          <w:tcPr>
            <w:tcW w:w="1116" w:type="dxa"/>
            <w:noWrap/>
            <w:vAlign w:val="center"/>
          </w:tcPr>
          <w:p w14:paraId="7BFB62C1">
            <w:pPr>
              <w:jc w:val="center"/>
              <w:rPr>
                <w:sz w:val="22"/>
                <w:szCs w:val="22"/>
              </w:rPr>
            </w:pPr>
            <w:r>
              <w:rPr>
                <w:sz w:val="22"/>
                <w:szCs w:val="22"/>
              </w:rPr>
              <w:t>13</w:t>
            </w:r>
          </w:p>
        </w:tc>
        <w:tc>
          <w:tcPr>
            <w:tcW w:w="1010" w:type="dxa"/>
            <w:noWrap/>
            <w:vAlign w:val="center"/>
          </w:tcPr>
          <w:p w14:paraId="760881D1">
            <w:pPr>
              <w:jc w:val="center"/>
              <w:rPr>
                <w:sz w:val="22"/>
                <w:szCs w:val="22"/>
              </w:rPr>
            </w:pPr>
            <w:r>
              <w:rPr>
                <w:sz w:val="22"/>
                <w:szCs w:val="22"/>
              </w:rPr>
              <w:t>100,16</w:t>
            </w:r>
          </w:p>
        </w:tc>
        <w:tc>
          <w:tcPr>
            <w:tcW w:w="1591" w:type="dxa"/>
            <w:vAlign w:val="center"/>
          </w:tcPr>
          <w:p w14:paraId="3F692AEF">
            <w:pPr>
              <w:jc w:val="center"/>
              <w:rPr>
                <w:sz w:val="22"/>
                <w:szCs w:val="22"/>
              </w:rPr>
            </w:pPr>
            <w:r>
              <w:rPr>
                <w:sz w:val="22"/>
                <w:szCs w:val="22"/>
              </w:rPr>
              <w:t>831.328.000</w:t>
            </w:r>
          </w:p>
        </w:tc>
        <w:tc>
          <w:tcPr>
            <w:tcW w:w="1700" w:type="dxa"/>
            <w:vAlign w:val="center"/>
          </w:tcPr>
          <w:p w14:paraId="40A0DDFA">
            <w:pPr>
              <w:jc w:val="center"/>
              <w:rPr>
                <w:sz w:val="22"/>
                <w:szCs w:val="22"/>
              </w:rPr>
            </w:pPr>
            <w:r>
              <w:rPr>
                <w:sz w:val="22"/>
                <w:szCs w:val="22"/>
              </w:rPr>
              <w:t>971.500.000</w:t>
            </w:r>
          </w:p>
        </w:tc>
        <w:tc>
          <w:tcPr>
            <w:tcW w:w="1140" w:type="dxa"/>
            <w:noWrap/>
            <w:vAlign w:val="center"/>
          </w:tcPr>
          <w:p w14:paraId="7670A0C6">
            <w:pPr>
              <w:jc w:val="center"/>
              <w:rPr>
                <w:sz w:val="22"/>
                <w:szCs w:val="22"/>
              </w:rPr>
            </w:pPr>
            <w:r>
              <w:rPr>
                <w:sz w:val="22"/>
                <w:szCs w:val="22"/>
              </w:rPr>
              <w:t>1,17%</w:t>
            </w:r>
          </w:p>
        </w:tc>
      </w:tr>
      <w:tr w14:paraId="7403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3E74341">
            <w:pPr>
              <w:jc w:val="center"/>
              <w:rPr>
                <w:sz w:val="22"/>
                <w:szCs w:val="22"/>
              </w:rPr>
            </w:pPr>
            <w:r>
              <w:rPr>
                <w:sz w:val="22"/>
                <w:szCs w:val="22"/>
              </w:rPr>
              <w:t>36</w:t>
            </w:r>
          </w:p>
        </w:tc>
        <w:tc>
          <w:tcPr>
            <w:tcW w:w="1752" w:type="dxa"/>
            <w:noWrap/>
            <w:vAlign w:val="center"/>
          </w:tcPr>
          <w:p w14:paraId="6A0BE708">
            <w:pPr>
              <w:jc w:val="center"/>
              <w:rPr>
                <w:sz w:val="22"/>
                <w:szCs w:val="22"/>
              </w:rPr>
            </w:pPr>
          </w:p>
        </w:tc>
        <w:tc>
          <w:tcPr>
            <w:tcW w:w="944" w:type="dxa"/>
            <w:vMerge w:val="continue"/>
            <w:vAlign w:val="center"/>
          </w:tcPr>
          <w:p w14:paraId="65AB169D">
            <w:pPr>
              <w:jc w:val="center"/>
              <w:rPr>
                <w:sz w:val="22"/>
                <w:szCs w:val="22"/>
              </w:rPr>
            </w:pPr>
          </w:p>
        </w:tc>
        <w:tc>
          <w:tcPr>
            <w:tcW w:w="1116" w:type="dxa"/>
            <w:noWrap/>
            <w:vAlign w:val="center"/>
          </w:tcPr>
          <w:p w14:paraId="6F8F76C6">
            <w:pPr>
              <w:jc w:val="center"/>
              <w:rPr>
                <w:sz w:val="22"/>
                <w:szCs w:val="22"/>
              </w:rPr>
            </w:pPr>
            <w:r>
              <w:rPr>
                <w:sz w:val="22"/>
                <w:szCs w:val="22"/>
              </w:rPr>
              <w:t>14</w:t>
            </w:r>
          </w:p>
        </w:tc>
        <w:tc>
          <w:tcPr>
            <w:tcW w:w="1010" w:type="dxa"/>
            <w:noWrap/>
            <w:vAlign w:val="center"/>
          </w:tcPr>
          <w:p w14:paraId="6DCC7FCA">
            <w:pPr>
              <w:jc w:val="center"/>
              <w:rPr>
                <w:sz w:val="22"/>
                <w:szCs w:val="22"/>
              </w:rPr>
            </w:pPr>
            <w:r>
              <w:rPr>
                <w:sz w:val="22"/>
                <w:szCs w:val="22"/>
              </w:rPr>
              <w:t>100,16</w:t>
            </w:r>
          </w:p>
        </w:tc>
        <w:tc>
          <w:tcPr>
            <w:tcW w:w="1591" w:type="dxa"/>
            <w:vAlign w:val="center"/>
          </w:tcPr>
          <w:p w14:paraId="594F5DF2">
            <w:pPr>
              <w:jc w:val="center"/>
              <w:rPr>
                <w:sz w:val="22"/>
                <w:szCs w:val="22"/>
              </w:rPr>
            </w:pPr>
            <w:r>
              <w:rPr>
                <w:sz w:val="22"/>
                <w:szCs w:val="22"/>
              </w:rPr>
              <w:t>831.328.000</w:t>
            </w:r>
          </w:p>
        </w:tc>
        <w:tc>
          <w:tcPr>
            <w:tcW w:w="1700" w:type="dxa"/>
            <w:vAlign w:val="center"/>
          </w:tcPr>
          <w:p w14:paraId="54D3E69A">
            <w:pPr>
              <w:jc w:val="center"/>
              <w:rPr>
                <w:sz w:val="22"/>
                <w:szCs w:val="22"/>
              </w:rPr>
            </w:pPr>
            <w:r>
              <w:rPr>
                <w:sz w:val="22"/>
                <w:szCs w:val="22"/>
              </w:rPr>
              <w:t>966.980.000</w:t>
            </w:r>
          </w:p>
        </w:tc>
        <w:tc>
          <w:tcPr>
            <w:tcW w:w="1140" w:type="dxa"/>
            <w:noWrap/>
            <w:vAlign w:val="center"/>
          </w:tcPr>
          <w:p w14:paraId="60428C0B">
            <w:pPr>
              <w:jc w:val="center"/>
              <w:rPr>
                <w:sz w:val="22"/>
                <w:szCs w:val="22"/>
              </w:rPr>
            </w:pPr>
            <w:r>
              <w:rPr>
                <w:sz w:val="22"/>
                <w:szCs w:val="22"/>
              </w:rPr>
              <w:t>1,16%</w:t>
            </w:r>
          </w:p>
        </w:tc>
      </w:tr>
      <w:tr w14:paraId="60AC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111E4F7">
            <w:pPr>
              <w:jc w:val="center"/>
              <w:rPr>
                <w:sz w:val="22"/>
                <w:szCs w:val="22"/>
              </w:rPr>
            </w:pPr>
            <w:r>
              <w:rPr>
                <w:sz w:val="22"/>
                <w:szCs w:val="22"/>
              </w:rPr>
              <w:t>37</w:t>
            </w:r>
          </w:p>
        </w:tc>
        <w:tc>
          <w:tcPr>
            <w:tcW w:w="1752" w:type="dxa"/>
            <w:noWrap/>
            <w:vAlign w:val="center"/>
          </w:tcPr>
          <w:p w14:paraId="6689AAAD">
            <w:pPr>
              <w:jc w:val="center"/>
              <w:rPr>
                <w:sz w:val="22"/>
                <w:szCs w:val="22"/>
              </w:rPr>
            </w:pPr>
          </w:p>
        </w:tc>
        <w:tc>
          <w:tcPr>
            <w:tcW w:w="944" w:type="dxa"/>
            <w:vMerge w:val="continue"/>
            <w:vAlign w:val="center"/>
          </w:tcPr>
          <w:p w14:paraId="4A658B9C">
            <w:pPr>
              <w:jc w:val="center"/>
              <w:rPr>
                <w:sz w:val="22"/>
                <w:szCs w:val="22"/>
              </w:rPr>
            </w:pPr>
          </w:p>
        </w:tc>
        <w:tc>
          <w:tcPr>
            <w:tcW w:w="1116" w:type="dxa"/>
            <w:noWrap/>
            <w:vAlign w:val="center"/>
          </w:tcPr>
          <w:p w14:paraId="34A9B491">
            <w:pPr>
              <w:jc w:val="center"/>
              <w:rPr>
                <w:sz w:val="22"/>
                <w:szCs w:val="22"/>
              </w:rPr>
            </w:pPr>
            <w:r>
              <w:rPr>
                <w:sz w:val="22"/>
                <w:szCs w:val="22"/>
              </w:rPr>
              <w:t>15</w:t>
            </w:r>
          </w:p>
        </w:tc>
        <w:tc>
          <w:tcPr>
            <w:tcW w:w="1010" w:type="dxa"/>
            <w:noWrap/>
            <w:vAlign w:val="center"/>
          </w:tcPr>
          <w:p w14:paraId="6D80F0CB">
            <w:pPr>
              <w:jc w:val="center"/>
              <w:rPr>
                <w:sz w:val="22"/>
                <w:szCs w:val="22"/>
              </w:rPr>
            </w:pPr>
            <w:r>
              <w:rPr>
                <w:sz w:val="22"/>
                <w:szCs w:val="22"/>
              </w:rPr>
              <w:t>100,16</w:t>
            </w:r>
          </w:p>
        </w:tc>
        <w:tc>
          <w:tcPr>
            <w:tcW w:w="1591" w:type="dxa"/>
            <w:vAlign w:val="center"/>
          </w:tcPr>
          <w:p w14:paraId="06A29EF3">
            <w:pPr>
              <w:jc w:val="center"/>
              <w:rPr>
                <w:sz w:val="22"/>
                <w:szCs w:val="22"/>
              </w:rPr>
            </w:pPr>
            <w:r>
              <w:rPr>
                <w:sz w:val="22"/>
                <w:szCs w:val="22"/>
              </w:rPr>
              <w:t>831.328.000</w:t>
            </w:r>
          </w:p>
        </w:tc>
        <w:tc>
          <w:tcPr>
            <w:tcW w:w="1700" w:type="dxa"/>
            <w:vAlign w:val="center"/>
          </w:tcPr>
          <w:p w14:paraId="27B885DA">
            <w:pPr>
              <w:jc w:val="center"/>
              <w:rPr>
                <w:sz w:val="22"/>
                <w:szCs w:val="22"/>
              </w:rPr>
            </w:pPr>
            <w:r>
              <w:rPr>
                <w:sz w:val="22"/>
                <w:szCs w:val="22"/>
              </w:rPr>
              <w:t>955.000.000</w:t>
            </w:r>
          </w:p>
        </w:tc>
        <w:tc>
          <w:tcPr>
            <w:tcW w:w="1140" w:type="dxa"/>
            <w:noWrap/>
            <w:vAlign w:val="center"/>
          </w:tcPr>
          <w:p w14:paraId="6CF3D129">
            <w:pPr>
              <w:jc w:val="center"/>
              <w:rPr>
                <w:sz w:val="22"/>
                <w:szCs w:val="22"/>
              </w:rPr>
            </w:pPr>
            <w:r>
              <w:rPr>
                <w:sz w:val="22"/>
                <w:szCs w:val="22"/>
              </w:rPr>
              <w:t>1,15%</w:t>
            </w:r>
          </w:p>
        </w:tc>
      </w:tr>
      <w:tr w14:paraId="71E2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4225C1F">
            <w:pPr>
              <w:jc w:val="center"/>
              <w:rPr>
                <w:sz w:val="22"/>
                <w:szCs w:val="22"/>
              </w:rPr>
            </w:pPr>
            <w:r>
              <w:rPr>
                <w:sz w:val="22"/>
                <w:szCs w:val="22"/>
              </w:rPr>
              <w:t>38</w:t>
            </w:r>
          </w:p>
        </w:tc>
        <w:tc>
          <w:tcPr>
            <w:tcW w:w="1752" w:type="dxa"/>
            <w:noWrap/>
            <w:vAlign w:val="center"/>
          </w:tcPr>
          <w:p w14:paraId="7534F477">
            <w:pPr>
              <w:jc w:val="center"/>
              <w:rPr>
                <w:sz w:val="22"/>
                <w:szCs w:val="22"/>
              </w:rPr>
            </w:pPr>
          </w:p>
        </w:tc>
        <w:tc>
          <w:tcPr>
            <w:tcW w:w="944" w:type="dxa"/>
            <w:vMerge w:val="continue"/>
            <w:vAlign w:val="center"/>
          </w:tcPr>
          <w:p w14:paraId="0B9365F4">
            <w:pPr>
              <w:jc w:val="center"/>
              <w:rPr>
                <w:sz w:val="22"/>
                <w:szCs w:val="22"/>
              </w:rPr>
            </w:pPr>
          </w:p>
        </w:tc>
        <w:tc>
          <w:tcPr>
            <w:tcW w:w="1116" w:type="dxa"/>
            <w:noWrap/>
            <w:vAlign w:val="center"/>
          </w:tcPr>
          <w:p w14:paraId="30BB0AB2">
            <w:pPr>
              <w:jc w:val="center"/>
              <w:rPr>
                <w:sz w:val="22"/>
                <w:szCs w:val="22"/>
              </w:rPr>
            </w:pPr>
            <w:r>
              <w:rPr>
                <w:sz w:val="22"/>
                <w:szCs w:val="22"/>
              </w:rPr>
              <w:t>16</w:t>
            </w:r>
          </w:p>
        </w:tc>
        <w:tc>
          <w:tcPr>
            <w:tcW w:w="1010" w:type="dxa"/>
            <w:noWrap/>
            <w:vAlign w:val="center"/>
          </w:tcPr>
          <w:p w14:paraId="12962C54">
            <w:pPr>
              <w:jc w:val="center"/>
              <w:rPr>
                <w:sz w:val="22"/>
                <w:szCs w:val="22"/>
              </w:rPr>
            </w:pPr>
            <w:r>
              <w:rPr>
                <w:sz w:val="22"/>
                <w:szCs w:val="22"/>
              </w:rPr>
              <w:t>100,16</w:t>
            </w:r>
          </w:p>
        </w:tc>
        <w:tc>
          <w:tcPr>
            <w:tcW w:w="1591" w:type="dxa"/>
            <w:vAlign w:val="center"/>
          </w:tcPr>
          <w:p w14:paraId="262F47F1">
            <w:pPr>
              <w:jc w:val="center"/>
              <w:rPr>
                <w:sz w:val="22"/>
                <w:szCs w:val="22"/>
              </w:rPr>
            </w:pPr>
            <w:r>
              <w:rPr>
                <w:sz w:val="22"/>
                <w:szCs w:val="22"/>
              </w:rPr>
              <w:t>831.328.000</w:t>
            </w:r>
          </w:p>
        </w:tc>
        <w:tc>
          <w:tcPr>
            <w:tcW w:w="1700" w:type="dxa"/>
            <w:vAlign w:val="center"/>
          </w:tcPr>
          <w:p w14:paraId="7EE7AF94">
            <w:pPr>
              <w:jc w:val="center"/>
              <w:rPr>
                <w:sz w:val="22"/>
                <w:szCs w:val="22"/>
              </w:rPr>
            </w:pPr>
            <w:r>
              <w:rPr>
                <w:sz w:val="22"/>
                <w:szCs w:val="22"/>
              </w:rPr>
              <w:t>935.500.000</w:t>
            </w:r>
          </w:p>
        </w:tc>
        <w:tc>
          <w:tcPr>
            <w:tcW w:w="1140" w:type="dxa"/>
            <w:noWrap/>
            <w:vAlign w:val="center"/>
          </w:tcPr>
          <w:p w14:paraId="1947C877">
            <w:pPr>
              <w:jc w:val="center"/>
              <w:rPr>
                <w:sz w:val="22"/>
                <w:szCs w:val="22"/>
              </w:rPr>
            </w:pPr>
            <w:r>
              <w:rPr>
                <w:sz w:val="22"/>
                <w:szCs w:val="22"/>
              </w:rPr>
              <w:t>1,13%</w:t>
            </w:r>
          </w:p>
        </w:tc>
      </w:tr>
      <w:tr w14:paraId="3C86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D2E6488">
            <w:pPr>
              <w:jc w:val="center"/>
              <w:rPr>
                <w:sz w:val="22"/>
                <w:szCs w:val="22"/>
              </w:rPr>
            </w:pPr>
            <w:r>
              <w:rPr>
                <w:sz w:val="22"/>
                <w:szCs w:val="22"/>
              </w:rPr>
              <w:t>39</w:t>
            </w:r>
          </w:p>
        </w:tc>
        <w:tc>
          <w:tcPr>
            <w:tcW w:w="1752" w:type="dxa"/>
            <w:noWrap/>
            <w:vAlign w:val="center"/>
          </w:tcPr>
          <w:p w14:paraId="47D37EC3">
            <w:pPr>
              <w:jc w:val="center"/>
              <w:rPr>
                <w:sz w:val="22"/>
                <w:szCs w:val="22"/>
              </w:rPr>
            </w:pPr>
          </w:p>
        </w:tc>
        <w:tc>
          <w:tcPr>
            <w:tcW w:w="944" w:type="dxa"/>
            <w:vMerge w:val="continue"/>
            <w:vAlign w:val="center"/>
          </w:tcPr>
          <w:p w14:paraId="17B2D203">
            <w:pPr>
              <w:jc w:val="center"/>
              <w:rPr>
                <w:sz w:val="22"/>
                <w:szCs w:val="22"/>
              </w:rPr>
            </w:pPr>
          </w:p>
        </w:tc>
        <w:tc>
          <w:tcPr>
            <w:tcW w:w="1116" w:type="dxa"/>
            <w:noWrap/>
            <w:vAlign w:val="center"/>
          </w:tcPr>
          <w:p w14:paraId="422F8865">
            <w:pPr>
              <w:jc w:val="center"/>
              <w:rPr>
                <w:sz w:val="22"/>
                <w:szCs w:val="22"/>
              </w:rPr>
            </w:pPr>
            <w:r>
              <w:rPr>
                <w:sz w:val="22"/>
                <w:szCs w:val="22"/>
              </w:rPr>
              <w:t>17</w:t>
            </w:r>
          </w:p>
        </w:tc>
        <w:tc>
          <w:tcPr>
            <w:tcW w:w="1010" w:type="dxa"/>
            <w:noWrap/>
            <w:vAlign w:val="center"/>
          </w:tcPr>
          <w:p w14:paraId="34905339">
            <w:pPr>
              <w:jc w:val="center"/>
              <w:rPr>
                <w:sz w:val="22"/>
                <w:szCs w:val="22"/>
              </w:rPr>
            </w:pPr>
            <w:r>
              <w:rPr>
                <w:sz w:val="22"/>
                <w:szCs w:val="22"/>
              </w:rPr>
              <w:t>100,16</w:t>
            </w:r>
          </w:p>
        </w:tc>
        <w:tc>
          <w:tcPr>
            <w:tcW w:w="1591" w:type="dxa"/>
            <w:vAlign w:val="center"/>
          </w:tcPr>
          <w:p w14:paraId="1FD584F4">
            <w:pPr>
              <w:jc w:val="center"/>
              <w:rPr>
                <w:sz w:val="22"/>
                <w:szCs w:val="22"/>
              </w:rPr>
            </w:pPr>
            <w:r>
              <w:rPr>
                <w:sz w:val="22"/>
                <w:szCs w:val="22"/>
              </w:rPr>
              <w:t>831.328.000</w:t>
            </w:r>
          </w:p>
        </w:tc>
        <w:tc>
          <w:tcPr>
            <w:tcW w:w="1700" w:type="dxa"/>
            <w:vAlign w:val="center"/>
          </w:tcPr>
          <w:p w14:paraId="5D5A56E9">
            <w:pPr>
              <w:jc w:val="center"/>
              <w:rPr>
                <w:sz w:val="22"/>
                <w:szCs w:val="22"/>
              </w:rPr>
            </w:pPr>
            <w:r>
              <w:rPr>
                <w:sz w:val="22"/>
                <w:szCs w:val="22"/>
              </w:rPr>
              <w:t>939.000.000</w:t>
            </w:r>
          </w:p>
        </w:tc>
        <w:tc>
          <w:tcPr>
            <w:tcW w:w="1140" w:type="dxa"/>
            <w:noWrap/>
            <w:vAlign w:val="center"/>
          </w:tcPr>
          <w:p w14:paraId="6DC5136A">
            <w:pPr>
              <w:jc w:val="center"/>
              <w:rPr>
                <w:sz w:val="22"/>
                <w:szCs w:val="22"/>
              </w:rPr>
            </w:pPr>
            <w:r>
              <w:rPr>
                <w:sz w:val="22"/>
                <w:szCs w:val="22"/>
              </w:rPr>
              <w:t>1,13%</w:t>
            </w:r>
          </w:p>
        </w:tc>
      </w:tr>
      <w:tr w14:paraId="1CC1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9068787">
            <w:pPr>
              <w:jc w:val="center"/>
              <w:rPr>
                <w:sz w:val="22"/>
                <w:szCs w:val="22"/>
              </w:rPr>
            </w:pPr>
            <w:r>
              <w:rPr>
                <w:sz w:val="22"/>
                <w:szCs w:val="22"/>
              </w:rPr>
              <w:t>40</w:t>
            </w:r>
          </w:p>
        </w:tc>
        <w:tc>
          <w:tcPr>
            <w:tcW w:w="1752" w:type="dxa"/>
            <w:noWrap/>
            <w:vAlign w:val="center"/>
          </w:tcPr>
          <w:p w14:paraId="2A89F5D9">
            <w:pPr>
              <w:jc w:val="center"/>
              <w:rPr>
                <w:sz w:val="22"/>
                <w:szCs w:val="22"/>
              </w:rPr>
            </w:pPr>
          </w:p>
        </w:tc>
        <w:tc>
          <w:tcPr>
            <w:tcW w:w="944" w:type="dxa"/>
            <w:vMerge w:val="continue"/>
            <w:vAlign w:val="center"/>
          </w:tcPr>
          <w:p w14:paraId="09A95B54">
            <w:pPr>
              <w:jc w:val="center"/>
              <w:rPr>
                <w:sz w:val="22"/>
                <w:szCs w:val="22"/>
              </w:rPr>
            </w:pPr>
          </w:p>
        </w:tc>
        <w:tc>
          <w:tcPr>
            <w:tcW w:w="1116" w:type="dxa"/>
            <w:noWrap/>
            <w:vAlign w:val="center"/>
          </w:tcPr>
          <w:p w14:paraId="412162A8">
            <w:pPr>
              <w:jc w:val="center"/>
              <w:rPr>
                <w:sz w:val="22"/>
                <w:szCs w:val="22"/>
              </w:rPr>
            </w:pPr>
            <w:r>
              <w:rPr>
                <w:sz w:val="22"/>
                <w:szCs w:val="22"/>
              </w:rPr>
              <w:t>18</w:t>
            </w:r>
          </w:p>
        </w:tc>
        <w:tc>
          <w:tcPr>
            <w:tcW w:w="1010" w:type="dxa"/>
            <w:noWrap/>
            <w:vAlign w:val="center"/>
          </w:tcPr>
          <w:p w14:paraId="38D2A943">
            <w:pPr>
              <w:jc w:val="center"/>
              <w:rPr>
                <w:sz w:val="22"/>
                <w:szCs w:val="22"/>
              </w:rPr>
            </w:pPr>
            <w:r>
              <w:rPr>
                <w:sz w:val="22"/>
                <w:szCs w:val="22"/>
              </w:rPr>
              <w:t>100,16</w:t>
            </w:r>
          </w:p>
        </w:tc>
        <w:tc>
          <w:tcPr>
            <w:tcW w:w="1591" w:type="dxa"/>
            <w:vAlign w:val="center"/>
          </w:tcPr>
          <w:p w14:paraId="04B44E34">
            <w:pPr>
              <w:jc w:val="center"/>
              <w:rPr>
                <w:sz w:val="22"/>
                <w:szCs w:val="22"/>
              </w:rPr>
            </w:pPr>
            <w:r>
              <w:rPr>
                <w:sz w:val="22"/>
                <w:szCs w:val="22"/>
              </w:rPr>
              <w:t>831.328.000</w:t>
            </w:r>
          </w:p>
        </w:tc>
        <w:tc>
          <w:tcPr>
            <w:tcW w:w="1700" w:type="dxa"/>
            <w:vAlign w:val="center"/>
          </w:tcPr>
          <w:p w14:paraId="1428D2B9">
            <w:pPr>
              <w:jc w:val="center"/>
              <w:rPr>
                <w:sz w:val="22"/>
                <w:szCs w:val="22"/>
              </w:rPr>
            </w:pPr>
            <w:r>
              <w:rPr>
                <w:sz w:val="22"/>
                <w:szCs w:val="22"/>
              </w:rPr>
              <w:t>934.000.000</w:t>
            </w:r>
          </w:p>
        </w:tc>
        <w:tc>
          <w:tcPr>
            <w:tcW w:w="1140" w:type="dxa"/>
            <w:noWrap/>
            <w:vAlign w:val="center"/>
          </w:tcPr>
          <w:p w14:paraId="7D28AEA9">
            <w:pPr>
              <w:jc w:val="center"/>
              <w:rPr>
                <w:sz w:val="22"/>
                <w:szCs w:val="22"/>
              </w:rPr>
            </w:pPr>
            <w:r>
              <w:rPr>
                <w:sz w:val="22"/>
                <w:szCs w:val="22"/>
              </w:rPr>
              <w:t>1,12%</w:t>
            </w:r>
          </w:p>
        </w:tc>
      </w:tr>
      <w:tr w14:paraId="5F26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9CDED0D">
            <w:pPr>
              <w:jc w:val="center"/>
              <w:rPr>
                <w:sz w:val="22"/>
                <w:szCs w:val="22"/>
              </w:rPr>
            </w:pPr>
            <w:r>
              <w:rPr>
                <w:sz w:val="22"/>
                <w:szCs w:val="22"/>
              </w:rPr>
              <w:t>41</w:t>
            </w:r>
          </w:p>
        </w:tc>
        <w:tc>
          <w:tcPr>
            <w:tcW w:w="1752" w:type="dxa"/>
            <w:noWrap/>
            <w:vAlign w:val="center"/>
          </w:tcPr>
          <w:p w14:paraId="7C0BDF30">
            <w:pPr>
              <w:jc w:val="center"/>
              <w:rPr>
                <w:sz w:val="22"/>
                <w:szCs w:val="22"/>
              </w:rPr>
            </w:pPr>
          </w:p>
        </w:tc>
        <w:tc>
          <w:tcPr>
            <w:tcW w:w="944" w:type="dxa"/>
            <w:vMerge w:val="continue"/>
            <w:vAlign w:val="center"/>
          </w:tcPr>
          <w:p w14:paraId="6E7E41F9">
            <w:pPr>
              <w:jc w:val="center"/>
              <w:rPr>
                <w:sz w:val="22"/>
                <w:szCs w:val="22"/>
              </w:rPr>
            </w:pPr>
          </w:p>
        </w:tc>
        <w:tc>
          <w:tcPr>
            <w:tcW w:w="1116" w:type="dxa"/>
            <w:noWrap/>
            <w:vAlign w:val="center"/>
          </w:tcPr>
          <w:p w14:paraId="7CB5F24D">
            <w:pPr>
              <w:jc w:val="center"/>
              <w:rPr>
                <w:sz w:val="22"/>
                <w:szCs w:val="22"/>
              </w:rPr>
            </w:pPr>
            <w:r>
              <w:rPr>
                <w:sz w:val="22"/>
                <w:szCs w:val="22"/>
              </w:rPr>
              <w:t>19</w:t>
            </w:r>
          </w:p>
        </w:tc>
        <w:tc>
          <w:tcPr>
            <w:tcW w:w="1010" w:type="dxa"/>
            <w:noWrap/>
            <w:vAlign w:val="center"/>
          </w:tcPr>
          <w:p w14:paraId="6B1D761F">
            <w:pPr>
              <w:jc w:val="center"/>
              <w:rPr>
                <w:sz w:val="22"/>
                <w:szCs w:val="22"/>
              </w:rPr>
            </w:pPr>
            <w:r>
              <w:rPr>
                <w:sz w:val="22"/>
                <w:szCs w:val="22"/>
              </w:rPr>
              <w:t>111,96</w:t>
            </w:r>
          </w:p>
        </w:tc>
        <w:tc>
          <w:tcPr>
            <w:tcW w:w="1591" w:type="dxa"/>
            <w:vAlign w:val="center"/>
          </w:tcPr>
          <w:p w14:paraId="644970BB">
            <w:pPr>
              <w:jc w:val="center"/>
              <w:rPr>
                <w:sz w:val="22"/>
                <w:szCs w:val="22"/>
              </w:rPr>
            </w:pPr>
            <w:r>
              <w:rPr>
                <w:sz w:val="22"/>
                <w:szCs w:val="22"/>
              </w:rPr>
              <w:t>929.268.000</w:t>
            </w:r>
          </w:p>
        </w:tc>
        <w:tc>
          <w:tcPr>
            <w:tcW w:w="1700" w:type="dxa"/>
            <w:vAlign w:val="center"/>
          </w:tcPr>
          <w:p w14:paraId="70769E4E">
            <w:pPr>
              <w:jc w:val="center"/>
              <w:rPr>
                <w:sz w:val="22"/>
                <w:szCs w:val="22"/>
              </w:rPr>
            </w:pPr>
            <w:r>
              <w:rPr>
                <w:sz w:val="22"/>
                <w:szCs w:val="22"/>
              </w:rPr>
              <w:t>1.063.980.000</w:t>
            </w:r>
          </w:p>
        </w:tc>
        <w:tc>
          <w:tcPr>
            <w:tcW w:w="1140" w:type="dxa"/>
            <w:noWrap/>
            <w:vAlign w:val="center"/>
          </w:tcPr>
          <w:p w14:paraId="11A41784">
            <w:pPr>
              <w:jc w:val="center"/>
              <w:rPr>
                <w:sz w:val="22"/>
                <w:szCs w:val="22"/>
              </w:rPr>
            </w:pPr>
            <w:r>
              <w:rPr>
                <w:sz w:val="22"/>
                <w:szCs w:val="22"/>
              </w:rPr>
              <w:t>1,14%</w:t>
            </w:r>
          </w:p>
        </w:tc>
      </w:tr>
      <w:tr w14:paraId="5AF5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0D781CD">
            <w:pPr>
              <w:jc w:val="center"/>
              <w:rPr>
                <w:sz w:val="22"/>
                <w:szCs w:val="22"/>
              </w:rPr>
            </w:pPr>
            <w:r>
              <w:rPr>
                <w:sz w:val="22"/>
                <w:szCs w:val="22"/>
              </w:rPr>
              <w:t>42</w:t>
            </w:r>
          </w:p>
        </w:tc>
        <w:tc>
          <w:tcPr>
            <w:tcW w:w="1752" w:type="dxa"/>
            <w:noWrap/>
            <w:vAlign w:val="center"/>
          </w:tcPr>
          <w:p w14:paraId="169B8EEF">
            <w:pPr>
              <w:jc w:val="center"/>
              <w:rPr>
                <w:sz w:val="22"/>
                <w:szCs w:val="22"/>
              </w:rPr>
            </w:pPr>
          </w:p>
        </w:tc>
        <w:tc>
          <w:tcPr>
            <w:tcW w:w="944" w:type="dxa"/>
            <w:vMerge w:val="continue"/>
            <w:vAlign w:val="center"/>
          </w:tcPr>
          <w:p w14:paraId="68C72B3B">
            <w:pPr>
              <w:jc w:val="center"/>
              <w:rPr>
                <w:sz w:val="22"/>
                <w:szCs w:val="22"/>
              </w:rPr>
            </w:pPr>
          </w:p>
        </w:tc>
        <w:tc>
          <w:tcPr>
            <w:tcW w:w="1116" w:type="dxa"/>
            <w:noWrap/>
            <w:vAlign w:val="center"/>
          </w:tcPr>
          <w:p w14:paraId="3BD2706B">
            <w:pPr>
              <w:jc w:val="center"/>
              <w:rPr>
                <w:sz w:val="22"/>
                <w:szCs w:val="22"/>
              </w:rPr>
            </w:pPr>
            <w:r>
              <w:rPr>
                <w:sz w:val="22"/>
                <w:szCs w:val="22"/>
              </w:rPr>
              <w:t>20</w:t>
            </w:r>
          </w:p>
        </w:tc>
        <w:tc>
          <w:tcPr>
            <w:tcW w:w="1010" w:type="dxa"/>
            <w:noWrap/>
            <w:vAlign w:val="center"/>
          </w:tcPr>
          <w:p w14:paraId="132F87A0">
            <w:pPr>
              <w:jc w:val="center"/>
              <w:rPr>
                <w:sz w:val="22"/>
                <w:szCs w:val="22"/>
              </w:rPr>
            </w:pPr>
            <w:r>
              <w:rPr>
                <w:sz w:val="22"/>
                <w:szCs w:val="22"/>
              </w:rPr>
              <w:t>100,16</w:t>
            </w:r>
          </w:p>
        </w:tc>
        <w:tc>
          <w:tcPr>
            <w:tcW w:w="1591" w:type="dxa"/>
            <w:vAlign w:val="center"/>
          </w:tcPr>
          <w:p w14:paraId="2172B4EE">
            <w:pPr>
              <w:jc w:val="center"/>
              <w:rPr>
                <w:sz w:val="22"/>
                <w:szCs w:val="22"/>
              </w:rPr>
            </w:pPr>
            <w:r>
              <w:rPr>
                <w:sz w:val="22"/>
                <w:szCs w:val="22"/>
              </w:rPr>
              <w:t>831.328.000</w:t>
            </w:r>
          </w:p>
        </w:tc>
        <w:tc>
          <w:tcPr>
            <w:tcW w:w="1700" w:type="dxa"/>
            <w:vAlign w:val="center"/>
          </w:tcPr>
          <w:p w14:paraId="4893E3F4">
            <w:pPr>
              <w:jc w:val="center"/>
              <w:rPr>
                <w:sz w:val="22"/>
                <w:szCs w:val="22"/>
              </w:rPr>
            </w:pPr>
            <w:r>
              <w:rPr>
                <w:sz w:val="22"/>
                <w:szCs w:val="22"/>
              </w:rPr>
              <w:t>1.006.980.000</w:t>
            </w:r>
          </w:p>
        </w:tc>
        <w:tc>
          <w:tcPr>
            <w:tcW w:w="1140" w:type="dxa"/>
            <w:noWrap/>
            <w:vAlign w:val="center"/>
          </w:tcPr>
          <w:p w14:paraId="6C9CEB25">
            <w:pPr>
              <w:jc w:val="center"/>
              <w:rPr>
                <w:sz w:val="22"/>
                <w:szCs w:val="22"/>
              </w:rPr>
            </w:pPr>
            <w:r>
              <w:rPr>
                <w:sz w:val="22"/>
                <w:szCs w:val="22"/>
              </w:rPr>
              <w:t>1,21%</w:t>
            </w:r>
          </w:p>
        </w:tc>
      </w:tr>
      <w:tr w14:paraId="56D5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2B9C16C">
            <w:pPr>
              <w:jc w:val="center"/>
              <w:rPr>
                <w:sz w:val="22"/>
                <w:szCs w:val="22"/>
              </w:rPr>
            </w:pPr>
            <w:r>
              <w:rPr>
                <w:sz w:val="22"/>
                <w:szCs w:val="22"/>
              </w:rPr>
              <w:t>43</w:t>
            </w:r>
          </w:p>
        </w:tc>
        <w:tc>
          <w:tcPr>
            <w:tcW w:w="1752" w:type="dxa"/>
            <w:noWrap/>
            <w:vAlign w:val="center"/>
          </w:tcPr>
          <w:p w14:paraId="4B3E0508">
            <w:pPr>
              <w:jc w:val="center"/>
              <w:rPr>
                <w:sz w:val="22"/>
                <w:szCs w:val="22"/>
              </w:rPr>
            </w:pPr>
          </w:p>
        </w:tc>
        <w:tc>
          <w:tcPr>
            <w:tcW w:w="944" w:type="dxa"/>
            <w:vMerge w:val="continue"/>
            <w:vAlign w:val="center"/>
          </w:tcPr>
          <w:p w14:paraId="2553D19C">
            <w:pPr>
              <w:jc w:val="center"/>
              <w:rPr>
                <w:sz w:val="22"/>
                <w:szCs w:val="22"/>
              </w:rPr>
            </w:pPr>
          </w:p>
        </w:tc>
        <w:tc>
          <w:tcPr>
            <w:tcW w:w="1116" w:type="dxa"/>
            <w:noWrap/>
            <w:vAlign w:val="center"/>
          </w:tcPr>
          <w:p w14:paraId="1B9D0F03">
            <w:pPr>
              <w:jc w:val="center"/>
              <w:rPr>
                <w:sz w:val="22"/>
                <w:szCs w:val="22"/>
              </w:rPr>
            </w:pPr>
            <w:r>
              <w:rPr>
                <w:sz w:val="22"/>
                <w:szCs w:val="22"/>
              </w:rPr>
              <w:t>21</w:t>
            </w:r>
          </w:p>
        </w:tc>
        <w:tc>
          <w:tcPr>
            <w:tcW w:w="1010" w:type="dxa"/>
            <w:noWrap/>
            <w:vAlign w:val="center"/>
          </w:tcPr>
          <w:p w14:paraId="7355A88C">
            <w:pPr>
              <w:jc w:val="center"/>
              <w:rPr>
                <w:sz w:val="22"/>
                <w:szCs w:val="22"/>
              </w:rPr>
            </w:pPr>
            <w:r>
              <w:rPr>
                <w:sz w:val="22"/>
                <w:szCs w:val="22"/>
              </w:rPr>
              <w:t>100,16</w:t>
            </w:r>
          </w:p>
        </w:tc>
        <w:tc>
          <w:tcPr>
            <w:tcW w:w="1591" w:type="dxa"/>
            <w:vAlign w:val="center"/>
          </w:tcPr>
          <w:p w14:paraId="3830077C">
            <w:pPr>
              <w:jc w:val="center"/>
              <w:rPr>
                <w:sz w:val="22"/>
                <w:szCs w:val="22"/>
              </w:rPr>
            </w:pPr>
            <w:r>
              <w:rPr>
                <w:sz w:val="22"/>
                <w:szCs w:val="22"/>
              </w:rPr>
              <w:t>831.328.000</w:t>
            </w:r>
          </w:p>
        </w:tc>
        <w:tc>
          <w:tcPr>
            <w:tcW w:w="1700" w:type="dxa"/>
            <w:vAlign w:val="center"/>
          </w:tcPr>
          <w:p w14:paraId="259BE702">
            <w:pPr>
              <w:jc w:val="center"/>
              <w:rPr>
                <w:sz w:val="22"/>
                <w:szCs w:val="22"/>
              </w:rPr>
            </w:pPr>
            <w:r>
              <w:rPr>
                <w:sz w:val="22"/>
                <w:szCs w:val="22"/>
              </w:rPr>
              <w:t>928.000.000</w:t>
            </w:r>
          </w:p>
        </w:tc>
        <w:tc>
          <w:tcPr>
            <w:tcW w:w="1140" w:type="dxa"/>
            <w:noWrap/>
            <w:vAlign w:val="center"/>
          </w:tcPr>
          <w:p w14:paraId="68F9EBBA">
            <w:pPr>
              <w:jc w:val="center"/>
              <w:rPr>
                <w:sz w:val="22"/>
                <w:szCs w:val="22"/>
              </w:rPr>
            </w:pPr>
            <w:r>
              <w:rPr>
                <w:sz w:val="22"/>
                <w:szCs w:val="22"/>
              </w:rPr>
              <w:t>1,12%</w:t>
            </w:r>
          </w:p>
        </w:tc>
      </w:tr>
      <w:tr w14:paraId="114F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86C81F0">
            <w:pPr>
              <w:jc w:val="center"/>
              <w:rPr>
                <w:sz w:val="22"/>
                <w:szCs w:val="22"/>
              </w:rPr>
            </w:pPr>
            <w:r>
              <w:rPr>
                <w:sz w:val="22"/>
                <w:szCs w:val="22"/>
              </w:rPr>
              <w:t>44</w:t>
            </w:r>
          </w:p>
        </w:tc>
        <w:tc>
          <w:tcPr>
            <w:tcW w:w="1752" w:type="dxa"/>
            <w:noWrap/>
            <w:vAlign w:val="center"/>
          </w:tcPr>
          <w:p w14:paraId="05C1A50A">
            <w:pPr>
              <w:jc w:val="center"/>
              <w:rPr>
                <w:sz w:val="22"/>
                <w:szCs w:val="22"/>
              </w:rPr>
            </w:pPr>
          </w:p>
        </w:tc>
        <w:tc>
          <w:tcPr>
            <w:tcW w:w="944" w:type="dxa"/>
            <w:vMerge w:val="continue"/>
            <w:vAlign w:val="center"/>
          </w:tcPr>
          <w:p w14:paraId="70E523BB">
            <w:pPr>
              <w:jc w:val="center"/>
              <w:rPr>
                <w:sz w:val="22"/>
                <w:szCs w:val="22"/>
              </w:rPr>
            </w:pPr>
          </w:p>
        </w:tc>
        <w:tc>
          <w:tcPr>
            <w:tcW w:w="1116" w:type="dxa"/>
            <w:noWrap/>
            <w:vAlign w:val="center"/>
          </w:tcPr>
          <w:p w14:paraId="2198B87E">
            <w:pPr>
              <w:jc w:val="center"/>
              <w:rPr>
                <w:sz w:val="22"/>
                <w:szCs w:val="22"/>
              </w:rPr>
            </w:pPr>
            <w:r>
              <w:rPr>
                <w:sz w:val="22"/>
                <w:szCs w:val="22"/>
              </w:rPr>
              <w:t>22</w:t>
            </w:r>
          </w:p>
        </w:tc>
        <w:tc>
          <w:tcPr>
            <w:tcW w:w="1010" w:type="dxa"/>
            <w:noWrap/>
            <w:vAlign w:val="center"/>
          </w:tcPr>
          <w:p w14:paraId="7AEA817A">
            <w:pPr>
              <w:jc w:val="center"/>
              <w:rPr>
                <w:sz w:val="22"/>
                <w:szCs w:val="22"/>
              </w:rPr>
            </w:pPr>
            <w:r>
              <w:rPr>
                <w:sz w:val="22"/>
                <w:szCs w:val="22"/>
              </w:rPr>
              <w:t>100,16</w:t>
            </w:r>
          </w:p>
        </w:tc>
        <w:tc>
          <w:tcPr>
            <w:tcW w:w="1591" w:type="dxa"/>
            <w:vAlign w:val="center"/>
          </w:tcPr>
          <w:p w14:paraId="11761F02">
            <w:pPr>
              <w:jc w:val="center"/>
              <w:rPr>
                <w:sz w:val="22"/>
                <w:szCs w:val="22"/>
              </w:rPr>
            </w:pPr>
            <w:r>
              <w:rPr>
                <w:sz w:val="22"/>
                <w:szCs w:val="22"/>
              </w:rPr>
              <w:t>831.328.000</w:t>
            </w:r>
          </w:p>
        </w:tc>
        <w:tc>
          <w:tcPr>
            <w:tcW w:w="1700" w:type="dxa"/>
            <w:vAlign w:val="center"/>
          </w:tcPr>
          <w:p w14:paraId="7B904299">
            <w:pPr>
              <w:jc w:val="center"/>
              <w:rPr>
                <w:sz w:val="22"/>
                <w:szCs w:val="22"/>
              </w:rPr>
            </w:pPr>
            <w:r>
              <w:rPr>
                <w:sz w:val="22"/>
                <w:szCs w:val="22"/>
              </w:rPr>
              <w:t>930.000.000</w:t>
            </w:r>
          </w:p>
        </w:tc>
        <w:tc>
          <w:tcPr>
            <w:tcW w:w="1140" w:type="dxa"/>
            <w:noWrap/>
            <w:vAlign w:val="center"/>
          </w:tcPr>
          <w:p w14:paraId="6857F498">
            <w:pPr>
              <w:jc w:val="center"/>
              <w:rPr>
                <w:sz w:val="22"/>
                <w:szCs w:val="22"/>
              </w:rPr>
            </w:pPr>
            <w:r>
              <w:rPr>
                <w:sz w:val="22"/>
                <w:szCs w:val="22"/>
              </w:rPr>
              <w:t>1,12%</w:t>
            </w:r>
          </w:p>
        </w:tc>
      </w:tr>
      <w:tr w14:paraId="1D82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DFE69BD">
            <w:pPr>
              <w:jc w:val="center"/>
              <w:rPr>
                <w:sz w:val="22"/>
                <w:szCs w:val="22"/>
              </w:rPr>
            </w:pPr>
            <w:r>
              <w:rPr>
                <w:sz w:val="22"/>
                <w:szCs w:val="22"/>
              </w:rPr>
              <w:t>45</w:t>
            </w:r>
          </w:p>
        </w:tc>
        <w:tc>
          <w:tcPr>
            <w:tcW w:w="1752" w:type="dxa"/>
            <w:noWrap/>
            <w:vAlign w:val="center"/>
          </w:tcPr>
          <w:p w14:paraId="142B30FC">
            <w:pPr>
              <w:jc w:val="center"/>
              <w:rPr>
                <w:sz w:val="22"/>
                <w:szCs w:val="22"/>
              </w:rPr>
            </w:pPr>
          </w:p>
        </w:tc>
        <w:tc>
          <w:tcPr>
            <w:tcW w:w="944" w:type="dxa"/>
            <w:vMerge w:val="continue"/>
            <w:vAlign w:val="center"/>
          </w:tcPr>
          <w:p w14:paraId="5802E54C">
            <w:pPr>
              <w:jc w:val="center"/>
              <w:rPr>
                <w:sz w:val="22"/>
                <w:szCs w:val="22"/>
              </w:rPr>
            </w:pPr>
          </w:p>
        </w:tc>
        <w:tc>
          <w:tcPr>
            <w:tcW w:w="1116" w:type="dxa"/>
            <w:noWrap/>
            <w:vAlign w:val="center"/>
          </w:tcPr>
          <w:p w14:paraId="022385D5">
            <w:pPr>
              <w:jc w:val="center"/>
              <w:rPr>
                <w:sz w:val="22"/>
                <w:szCs w:val="22"/>
              </w:rPr>
            </w:pPr>
            <w:r>
              <w:rPr>
                <w:sz w:val="22"/>
                <w:szCs w:val="22"/>
              </w:rPr>
              <w:t>23</w:t>
            </w:r>
          </w:p>
        </w:tc>
        <w:tc>
          <w:tcPr>
            <w:tcW w:w="1010" w:type="dxa"/>
            <w:noWrap/>
            <w:vAlign w:val="center"/>
          </w:tcPr>
          <w:p w14:paraId="27D1DB1A">
            <w:pPr>
              <w:jc w:val="center"/>
              <w:rPr>
                <w:sz w:val="22"/>
                <w:szCs w:val="22"/>
              </w:rPr>
            </w:pPr>
            <w:r>
              <w:rPr>
                <w:sz w:val="22"/>
                <w:szCs w:val="22"/>
              </w:rPr>
              <w:t>100,16</w:t>
            </w:r>
          </w:p>
        </w:tc>
        <w:tc>
          <w:tcPr>
            <w:tcW w:w="1591" w:type="dxa"/>
            <w:vAlign w:val="center"/>
          </w:tcPr>
          <w:p w14:paraId="38CF3A0F">
            <w:pPr>
              <w:jc w:val="center"/>
              <w:rPr>
                <w:sz w:val="22"/>
                <w:szCs w:val="22"/>
              </w:rPr>
            </w:pPr>
            <w:r>
              <w:rPr>
                <w:sz w:val="22"/>
                <w:szCs w:val="22"/>
              </w:rPr>
              <w:t>831.328.000</w:t>
            </w:r>
          </w:p>
        </w:tc>
        <w:tc>
          <w:tcPr>
            <w:tcW w:w="1700" w:type="dxa"/>
            <w:vAlign w:val="center"/>
          </w:tcPr>
          <w:p w14:paraId="00F3121E">
            <w:pPr>
              <w:jc w:val="center"/>
              <w:rPr>
                <w:sz w:val="22"/>
                <w:szCs w:val="22"/>
              </w:rPr>
            </w:pPr>
            <w:r>
              <w:rPr>
                <w:sz w:val="22"/>
                <w:szCs w:val="22"/>
              </w:rPr>
              <w:t>940.000.000</w:t>
            </w:r>
          </w:p>
        </w:tc>
        <w:tc>
          <w:tcPr>
            <w:tcW w:w="1140" w:type="dxa"/>
            <w:noWrap/>
            <w:vAlign w:val="center"/>
          </w:tcPr>
          <w:p w14:paraId="080AB303">
            <w:pPr>
              <w:jc w:val="center"/>
              <w:rPr>
                <w:sz w:val="22"/>
                <w:szCs w:val="22"/>
              </w:rPr>
            </w:pPr>
            <w:r>
              <w:rPr>
                <w:sz w:val="22"/>
                <w:szCs w:val="22"/>
              </w:rPr>
              <w:t>1,13%</w:t>
            </w:r>
          </w:p>
        </w:tc>
      </w:tr>
      <w:tr w14:paraId="7A67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93AB6B">
            <w:pPr>
              <w:jc w:val="center"/>
              <w:rPr>
                <w:sz w:val="22"/>
                <w:szCs w:val="22"/>
              </w:rPr>
            </w:pPr>
            <w:r>
              <w:rPr>
                <w:sz w:val="22"/>
                <w:szCs w:val="22"/>
              </w:rPr>
              <w:t>46</w:t>
            </w:r>
          </w:p>
        </w:tc>
        <w:tc>
          <w:tcPr>
            <w:tcW w:w="1752" w:type="dxa"/>
            <w:noWrap/>
            <w:vAlign w:val="center"/>
          </w:tcPr>
          <w:p w14:paraId="0A23FC48">
            <w:pPr>
              <w:jc w:val="center"/>
              <w:rPr>
                <w:sz w:val="22"/>
                <w:szCs w:val="22"/>
              </w:rPr>
            </w:pPr>
          </w:p>
        </w:tc>
        <w:tc>
          <w:tcPr>
            <w:tcW w:w="944" w:type="dxa"/>
            <w:vMerge w:val="continue"/>
            <w:vAlign w:val="center"/>
          </w:tcPr>
          <w:p w14:paraId="21920E2B">
            <w:pPr>
              <w:jc w:val="center"/>
              <w:rPr>
                <w:sz w:val="22"/>
                <w:szCs w:val="22"/>
              </w:rPr>
            </w:pPr>
          </w:p>
        </w:tc>
        <w:tc>
          <w:tcPr>
            <w:tcW w:w="1116" w:type="dxa"/>
            <w:noWrap/>
            <w:vAlign w:val="center"/>
          </w:tcPr>
          <w:p w14:paraId="7B3645B2">
            <w:pPr>
              <w:jc w:val="center"/>
              <w:rPr>
                <w:sz w:val="22"/>
                <w:szCs w:val="22"/>
              </w:rPr>
            </w:pPr>
            <w:r>
              <w:rPr>
                <w:sz w:val="22"/>
                <w:szCs w:val="22"/>
              </w:rPr>
              <w:t>24</w:t>
            </w:r>
          </w:p>
        </w:tc>
        <w:tc>
          <w:tcPr>
            <w:tcW w:w="1010" w:type="dxa"/>
            <w:noWrap/>
            <w:vAlign w:val="center"/>
          </w:tcPr>
          <w:p w14:paraId="6C1CBD74">
            <w:pPr>
              <w:jc w:val="center"/>
              <w:rPr>
                <w:sz w:val="22"/>
                <w:szCs w:val="22"/>
              </w:rPr>
            </w:pPr>
            <w:r>
              <w:rPr>
                <w:sz w:val="22"/>
                <w:szCs w:val="22"/>
              </w:rPr>
              <w:t>100,16</w:t>
            </w:r>
          </w:p>
        </w:tc>
        <w:tc>
          <w:tcPr>
            <w:tcW w:w="1591" w:type="dxa"/>
            <w:vAlign w:val="center"/>
          </w:tcPr>
          <w:p w14:paraId="259CF012">
            <w:pPr>
              <w:jc w:val="center"/>
              <w:rPr>
                <w:sz w:val="22"/>
                <w:szCs w:val="22"/>
              </w:rPr>
            </w:pPr>
            <w:r>
              <w:rPr>
                <w:sz w:val="22"/>
                <w:szCs w:val="22"/>
              </w:rPr>
              <w:t>831.328.000</w:t>
            </w:r>
          </w:p>
        </w:tc>
        <w:tc>
          <w:tcPr>
            <w:tcW w:w="1700" w:type="dxa"/>
            <w:vAlign w:val="center"/>
          </w:tcPr>
          <w:p w14:paraId="10B2AFCB">
            <w:pPr>
              <w:jc w:val="center"/>
              <w:rPr>
                <w:sz w:val="22"/>
                <w:szCs w:val="22"/>
              </w:rPr>
            </w:pPr>
            <w:r>
              <w:rPr>
                <w:sz w:val="22"/>
                <w:szCs w:val="22"/>
              </w:rPr>
              <w:t>928.000.000</w:t>
            </w:r>
          </w:p>
        </w:tc>
        <w:tc>
          <w:tcPr>
            <w:tcW w:w="1140" w:type="dxa"/>
            <w:noWrap/>
            <w:vAlign w:val="center"/>
          </w:tcPr>
          <w:p w14:paraId="320EBCA3">
            <w:pPr>
              <w:jc w:val="center"/>
              <w:rPr>
                <w:sz w:val="22"/>
                <w:szCs w:val="22"/>
              </w:rPr>
            </w:pPr>
            <w:r>
              <w:rPr>
                <w:sz w:val="22"/>
                <w:szCs w:val="22"/>
              </w:rPr>
              <w:t>1,12%</w:t>
            </w:r>
          </w:p>
        </w:tc>
      </w:tr>
      <w:tr w14:paraId="2FF0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2B50F6D">
            <w:pPr>
              <w:jc w:val="center"/>
              <w:rPr>
                <w:sz w:val="22"/>
                <w:szCs w:val="22"/>
              </w:rPr>
            </w:pPr>
            <w:r>
              <w:rPr>
                <w:sz w:val="22"/>
                <w:szCs w:val="22"/>
              </w:rPr>
              <w:t>47</w:t>
            </w:r>
          </w:p>
        </w:tc>
        <w:tc>
          <w:tcPr>
            <w:tcW w:w="1752" w:type="dxa"/>
            <w:noWrap/>
            <w:vAlign w:val="center"/>
          </w:tcPr>
          <w:p w14:paraId="271DCAE6">
            <w:pPr>
              <w:jc w:val="center"/>
              <w:rPr>
                <w:sz w:val="22"/>
                <w:szCs w:val="22"/>
              </w:rPr>
            </w:pPr>
          </w:p>
        </w:tc>
        <w:tc>
          <w:tcPr>
            <w:tcW w:w="944" w:type="dxa"/>
            <w:vMerge w:val="continue"/>
            <w:vAlign w:val="center"/>
          </w:tcPr>
          <w:p w14:paraId="3CFDAE99">
            <w:pPr>
              <w:jc w:val="center"/>
              <w:rPr>
                <w:sz w:val="22"/>
                <w:szCs w:val="22"/>
              </w:rPr>
            </w:pPr>
          </w:p>
        </w:tc>
        <w:tc>
          <w:tcPr>
            <w:tcW w:w="1116" w:type="dxa"/>
            <w:noWrap/>
            <w:vAlign w:val="center"/>
          </w:tcPr>
          <w:p w14:paraId="6B2003A3">
            <w:pPr>
              <w:jc w:val="center"/>
              <w:rPr>
                <w:sz w:val="22"/>
                <w:szCs w:val="22"/>
              </w:rPr>
            </w:pPr>
            <w:r>
              <w:rPr>
                <w:sz w:val="22"/>
                <w:szCs w:val="22"/>
              </w:rPr>
              <w:t>25</w:t>
            </w:r>
          </w:p>
        </w:tc>
        <w:tc>
          <w:tcPr>
            <w:tcW w:w="1010" w:type="dxa"/>
            <w:noWrap/>
            <w:vAlign w:val="center"/>
          </w:tcPr>
          <w:p w14:paraId="46387F2C">
            <w:pPr>
              <w:jc w:val="center"/>
              <w:rPr>
                <w:sz w:val="22"/>
                <w:szCs w:val="22"/>
              </w:rPr>
            </w:pPr>
            <w:r>
              <w:rPr>
                <w:sz w:val="22"/>
                <w:szCs w:val="22"/>
              </w:rPr>
              <w:t>100,16</w:t>
            </w:r>
          </w:p>
        </w:tc>
        <w:tc>
          <w:tcPr>
            <w:tcW w:w="1591" w:type="dxa"/>
            <w:vAlign w:val="center"/>
          </w:tcPr>
          <w:p w14:paraId="007397AD">
            <w:pPr>
              <w:jc w:val="center"/>
              <w:rPr>
                <w:sz w:val="22"/>
                <w:szCs w:val="22"/>
              </w:rPr>
            </w:pPr>
            <w:r>
              <w:rPr>
                <w:sz w:val="22"/>
                <w:szCs w:val="22"/>
              </w:rPr>
              <w:t>831.328.000</w:t>
            </w:r>
          </w:p>
        </w:tc>
        <w:tc>
          <w:tcPr>
            <w:tcW w:w="1700" w:type="dxa"/>
            <w:vAlign w:val="center"/>
          </w:tcPr>
          <w:p w14:paraId="6D8E6F68">
            <w:pPr>
              <w:jc w:val="center"/>
              <w:rPr>
                <w:sz w:val="22"/>
                <w:szCs w:val="22"/>
              </w:rPr>
            </w:pPr>
            <w:r>
              <w:rPr>
                <w:sz w:val="22"/>
                <w:szCs w:val="22"/>
              </w:rPr>
              <w:t>927.000.000</w:t>
            </w:r>
          </w:p>
        </w:tc>
        <w:tc>
          <w:tcPr>
            <w:tcW w:w="1140" w:type="dxa"/>
            <w:noWrap/>
            <w:vAlign w:val="center"/>
          </w:tcPr>
          <w:p w14:paraId="0C54E564">
            <w:pPr>
              <w:jc w:val="center"/>
              <w:rPr>
                <w:sz w:val="22"/>
                <w:szCs w:val="22"/>
              </w:rPr>
            </w:pPr>
            <w:r>
              <w:rPr>
                <w:sz w:val="22"/>
                <w:szCs w:val="22"/>
              </w:rPr>
              <w:t>1,12%</w:t>
            </w:r>
          </w:p>
        </w:tc>
      </w:tr>
      <w:tr w14:paraId="48F8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90F37F0">
            <w:pPr>
              <w:jc w:val="center"/>
              <w:rPr>
                <w:sz w:val="22"/>
                <w:szCs w:val="22"/>
              </w:rPr>
            </w:pPr>
            <w:r>
              <w:rPr>
                <w:sz w:val="22"/>
                <w:szCs w:val="22"/>
              </w:rPr>
              <w:t>48</w:t>
            </w:r>
          </w:p>
        </w:tc>
        <w:tc>
          <w:tcPr>
            <w:tcW w:w="1752" w:type="dxa"/>
            <w:noWrap/>
            <w:vAlign w:val="center"/>
          </w:tcPr>
          <w:p w14:paraId="67E1BBD7">
            <w:pPr>
              <w:jc w:val="center"/>
              <w:rPr>
                <w:sz w:val="22"/>
                <w:szCs w:val="22"/>
              </w:rPr>
            </w:pPr>
          </w:p>
        </w:tc>
        <w:tc>
          <w:tcPr>
            <w:tcW w:w="944" w:type="dxa"/>
            <w:vMerge w:val="continue"/>
            <w:vAlign w:val="center"/>
          </w:tcPr>
          <w:p w14:paraId="59F01626">
            <w:pPr>
              <w:jc w:val="center"/>
              <w:rPr>
                <w:sz w:val="22"/>
                <w:szCs w:val="22"/>
              </w:rPr>
            </w:pPr>
          </w:p>
        </w:tc>
        <w:tc>
          <w:tcPr>
            <w:tcW w:w="1116" w:type="dxa"/>
            <w:noWrap/>
            <w:vAlign w:val="center"/>
          </w:tcPr>
          <w:p w14:paraId="6A8E90FC">
            <w:pPr>
              <w:jc w:val="center"/>
              <w:rPr>
                <w:sz w:val="22"/>
                <w:szCs w:val="22"/>
              </w:rPr>
            </w:pPr>
            <w:r>
              <w:rPr>
                <w:sz w:val="22"/>
                <w:szCs w:val="22"/>
              </w:rPr>
              <w:t>26</w:t>
            </w:r>
          </w:p>
        </w:tc>
        <w:tc>
          <w:tcPr>
            <w:tcW w:w="1010" w:type="dxa"/>
            <w:noWrap/>
            <w:vAlign w:val="center"/>
          </w:tcPr>
          <w:p w14:paraId="7A5D03F0">
            <w:pPr>
              <w:jc w:val="center"/>
              <w:rPr>
                <w:sz w:val="22"/>
                <w:szCs w:val="22"/>
              </w:rPr>
            </w:pPr>
            <w:r>
              <w:rPr>
                <w:sz w:val="22"/>
                <w:szCs w:val="22"/>
              </w:rPr>
              <w:t>100,16</w:t>
            </w:r>
          </w:p>
        </w:tc>
        <w:tc>
          <w:tcPr>
            <w:tcW w:w="1591" w:type="dxa"/>
            <w:vAlign w:val="center"/>
          </w:tcPr>
          <w:p w14:paraId="5D6CF9B5">
            <w:pPr>
              <w:jc w:val="center"/>
              <w:rPr>
                <w:sz w:val="22"/>
                <w:szCs w:val="22"/>
              </w:rPr>
            </w:pPr>
            <w:r>
              <w:rPr>
                <w:sz w:val="22"/>
                <w:szCs w:val="22"/>
              </w:rPr>
              <w:t>831.328.000</w:t>
            </w:r>
          </w:p>
        </w:tc>
        <w:tc>
          <w:tcPr>
            <w:tcW w:w="1700" w:type="dxa"/>
            <w:vAlign w:val="center"/>
          </w:tcPr>
          <w:p w14:paraId="38B487C5">
            <w:pPr>
              <w:jc w:val="center"/>
              <w:rPr>
                <w:sz w:val="22"/>
                <w:szCs w:val="22"/>
              </w:rPr>
            </w:pPr>
            <w:r>
              <w:rPr>
                <w:sz w:val="22"/>
                <w:szCs w:val="22"/>
              </w:rPr>
              <w:t>938.000.000</w:t>
            </w:r>
          </w:p>
        </w:tc>
        <w:tc>
          <w:tcPr>
            <w:tcW w:w="1140" w:type="dxa"/>
            <w:noWrap/>
            <w:vAlign w:val="center"/>
          </w:tcPr>
          <w:p w14:paraId="00C96371">
            <w:pPr>
              <w:jc w:val="center"/>
              <w:rPr>
                <w:sz w:val="22"/>
                <w:szCs w:val="22"/>
              </w:rPr>
            </w:pPr>
            <w:r>
              <w:rPr>
                <w:sz w:val="22"/>
                <w:szCs w:val="22"/>
              </w:rPr>
              <w:t>1,13%</w:t>
            </w:r>
          </w:p>
        </w:tc>
      </w:tr>
      <w:tr w14:paraId="03B7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38B68B4">
            <w:pPr>
              <w:jc w:val="center"/>
              <w:rPr>
                <w:sz w:val="22"/>
                <w:szCs w:val="22"/>
              </w:rPr>
            </w:pPr>
            <w:r>
              <w:rPr>
                <w:sz w:val="22"/>
                <w:szCs w:val="22"/>
              </w:rPr>
              <w:t>49</w:t>
            </w:r>
          </w:p>
        </w:tc>
        <w:tc>
          <w:tcPr>
            <w:tcW w:w="1752" w:type="dxa"/>
            <w:noWrap/>
            <w:vAlign w:val="center"/>
          </w:tcPr>
          <w:p w14:paraId="163C783E">
            <w:pPr>
              <w:jc w:val="center"/>
              <w:rPr>
                <w:sz w:val="22"/>
                <w:szCs w:val="22"/>
              </w:rPr>
            </w:pPr>
          </w:p>
        </w:tc>
        <w:tc>
          <w:tcPr>
            <w:tcW w:w="944" w:type="dxa"/>
            <w:vMerge w:val="continue"/>
            <w:vAlign w:val="center"/>
          </w:tcPr>
          <w:p w14:paraId="28DD9481">
            <w:pPr>
              <w:jc w:val="center"/>
              <w:rPr>
                <w:sz w:val="22"/>
                <w:szCs w:val="22"/>
              </w:rPr>
            </w:pPr>
          </w:p>
        </w:tc>
        <w:tc>
          <w:tcPr>
            <w:tcW w:w="1116" w:type="dxa"/>
            <w:noWrap/>
            <w:vAlign w:val="center"/>
          </w:tcPr>
          <w:p w14:paraId="5796D242">
            <w:pPr>
              <w:jc w:val="center"/>
              <w:rPr>
                <w:sz w:val="22"/>
                <w:szCs w:val="22"/>
              </w:rPr>
            </w:pPr>
            <w:r>
              <w:rPr>
                <w:sz w:val="22"/>
                <w:szCs w:val="22"/>
              </w:rPr>
              <w:t>27</w:t>
            </w:r>
          </w:p>
        </w:tc>
        <w:tc>
          <w:tcPr>
            <w:tcW w:w="1010" w:type="dxa"/>
            <w:noWrap/>
            <w:vAlign w:val="center"/>
          </w:tcPr>
          <w:p w14:paraId="500D0D0F">
            <w:pPr>
              <w:jc w:val="center"/>
              <w:rPr>
                <w:sz w:val="22"/>
                <w:szCs w:val="22"/>
              </w:rPr>
            </w:pPr>
            <w:r>
              <w:rPr>
                <w:sz w:val="22"/>
                <w:szCs w:val="22"/>
              </w:rPr>
              <w:t>100,16</w:t>
            </w:r>
          </w:p>
        </w:tc>
        <w:tc>
          <w:tcPr>
            <w:tcW w:w="1591" w:type="dxa"/>
            <w:vAlign w:val="center"/>
          </w:tcPr>
          <w:p w14:paraId="1FBAE58C">
            <w:pPr>
              <w:jc w:val="center"/>
              <w:rPr>
                <w:sz w:val="22"/>
                <w:szCs w:val="22"/>
              </w:rPr>
            </w:pPr>
            <w:r>
              <w:rPr>
                <w:sz w:val="22"/>
                <w:szCs w:val="22"/>
              </w:rPr>
              <w:t>831.328.000</w:t>
            </w:r>
          </w:p>
        </w:tc>
        <w:tc>
          <w:tcPr>
            <w:tcW w:w="1700" w:type="dxa"/>
            <w:vAlign w:val="center"/>
          </w:tcPr>
          <w:p w14:paraId="6004F151">
            <w:pPr>
              <w:jc w:val="center"/>
              <w:rPr>
                <w:sz w:val="22"/>
                <w:szCs w:val="22"/>
              </w:rPr>
            </w:pPr>
            <w:r>
              <w:rPr>
                <w:sz w:val="22"/>
                <w:szCs w:val="22"/>
              </w:rPr>
              <w:t>950.000.000</w:t>
            </w:r>
          </w:p>
        </w:tc>
        <w:tc>
          <w:tcPr>
            <w:tcW w:w="1140" w:type="dxa"/>
            <w:noWrap/>
            <w:vAlign w:val="center"/>
          </w:tcPr>
          <w:p w14:paraId="38AA98E0">
            <w:pPr>
              <w:jc w:val="center"/>
              <w:rPr>
                <w:sz w:val="22"/>
                <w:szCs w:val="22"/>
              </w:rPr>
            </w:pPr>
            <w:r>
              <w:rPr>
                <w:sz w:val="22"/>
                <w:szCs w:val="22"/>
              </w:rPr>
              <w:t>1,14%</w:t>
            </w:r>
          </w:p>
        </w:tc>
      </w:tr>
      <w:tr w14:paraId="0C51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82DF8F2">
            <w:pPr>
              <w:jc w:val="center"/>
              <w:rPr>
                <w:sz w:val="22"/>
                <w:szCs w:val="22"/>
              </w:rPr>
            </w:pPr>
            <w:r>
              <w:rPr>
                <w:sz w:val="22"/>
                <w:szCs w:val="22"/>
              </w:rPr>
              <w:t>50</w:t>
            </w:r>
          </w:p>
        </w:tc>
        <w:tc>
          <w:tcPr>
            <w:tcW w:w="1752" w:type="dxa"/>
            <w:noWrap/>
            <w:vAlign w:val="center"/>
          </w:tcPr>
          <w:p w14:paraId="56B42677">
            <w:pPr>
              <w:jc w:val="center"/>
              <w:rPr>
                <w:sz w:val="22"/>
                <w:szCs w:val="22"/>
              </w:rPr>
            </w:pPr>
          </w:p>
        </w:tc>
        <w:tc>
          <w:tcPr>
            <w:tcW w:w="944" w:type="dxa"/>
            <w:vMerge w:val="continue"/>
            <w:vAlign w:val="center"/>
          </w:tcPr>
          <w:p w14:paraId="5834992B">
            <w:pPr>
              <w:jc w:val="center"/>
              <w:rPr>
                <w:sz w:val="22"/>
                <w:szCs w:val="22"/>
              </w:rPr>
            </w:pPr>
          </w:p>
        </w:tc>
        <w:tc>
          <w:tcPr>
            <w:tcW w:w="1116" w:type="dxa"/>
            <w:noWrap/>
            <w:vAlign w:val="center"/>
          </w:tcPr>
          <w:p w14:paraId="74E4DCB6">
            <w:pPr>
              <w:jc w:val="center"/>
              <w:rPr>
                <w:sz w:val="22"/>
                <w:szCs w:val="22"/>
              </w:rPr>
            </w:pPr>
            <w:r>
              <w:rPr>
                <w:sz w:val="22"/>
                <w:szCs w:val="22"/>
              </w:rPr>
              <w:t>28</w:t>
            </w:r>
          </w:p>
        </w:tc>
        <w:tc>
          <w:tcPr>
            <w:tcW w:w="1010" w:type="dxa"/>
            <w:noWrap/>
            <w:vAlign w:val="center"/>
          </w:tcPr>
          <w:p w14:paraId="0AF42702">
            <w:pPr>
              <w:jc w:val="center"/>
              <w:rPr>
                <w:sz w:val="22"/>
                <w:szCs w:val="22"/>
              </w:rPr>
            </w:pPr>
            <w:r>
              <w:rPr>
                <w:sz w:val="22"/>
                <w:szCs w:val="22"/>
              </w:rPr>
              <w:t>142,30</w:t>
            </w:r>
          </w:p>
        </w:tc>
        <w:tc>
          <w:tcPr>
            <w:tcW w:w="1591" w:type="dxa"/>
            <w:vAlign w:val="center"/>
          </w:tcPr>
          <w:p w14:paraId="538938FD">
            <w:pPr>
              <w:jc w:val="center"/>
              <w:rPr>
                <w:sz w:val="22"/>
                <w:szCs w:val="22"/>
              </w:rPr>
            </w:pPr>
            <w:r>
              <w:rPr>
                <w:sz w:val="22"/>
                <w:szCs w:val="22"/>
              </w:rPr>
              <w:t>1.417.308.000</w:t>
            </w:r>
          </w:p>
        </w:tc>
        <w:tc>
          <w:tcPr>
            <w:tcW w:w="1700" w:type="dxa"/>
            <w:vAlign w:val="center"/>
          </w:tcPr>
          <w:p w14:paraId="525C23C4">
            <w:pPr>
              <w:jc w:val="center"/>
              <w:rPr>
                <w:sz w:val="22"/>
                <w:szCs w:val="22"/>
              </w:rPr>
            </w:pPr>
            <w:r>
              <w:rPr>
                <w:sz w:val="22"/>
                <w:szCs w:val="22"/>
              </w:rPr>
              <w:t>1.529.900.000</w:t>
            </w:r>
          </w:p>
        </w:tc>
        <w:tc>
          <w:tcPr>
            <w:tcW w:w="1140" w:type="dxa"/>
            <w:noWrap/>
            <w:vAlign w:val="center"/>
          </w:tcPr>
          <w:p w14:paraId="33D4F896">
            <w:pPr>
              <w:jc w:val="center"/>
              <w:rPr>
                <w:sz w:val="22"/>
                <w:szCs w:val="22"/>
              </w:rPr>
            </w:pPr>
            <w:r>
              <w:rPr>
                <w:sz w:val="22"/>
                <w:szCs w:val="22"/>
              </w:rPr>
              <w:t>1,08%</w:t>
            </w:r>
          </w:p>
        </w:tc>
      </w:tr>
      <w:tr w14:paraId="53B0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vAlign w:val="center"/>
          </w:tcPr>
          <w:p w14:paraId="27CD4C0C">
            <w:pPr>
              <w:jc w:val="center"/>
              <w:rPr>
                <w:b/>
                <w:bCs/>
                <w:sz w:val="22"/>
                <w:szCs w:val="22"/>
              </w:rPr>
            </w:pPr>
          </w:p>
        </w:tc>
        <w:tc>
          <w:tcPr>
            <w:tcW w:w="3812" w:type="dxa"/>
            <w:gridSpan w:val="3"/>
            <w:vAlign w:val="center"/>
          </w:tcPr>
          <w:p w14:paraId="09EB3AEF">
            <w:pPr>
              <w:jc w:val="center"/>
              <w:rPr>
                <w:b/>
                <w:bCs/>
                <w:sz w:val="22"/>
                <w:szCs w:val="22"/>
              </w:rPr>
            </w:pPr>
            <w:r>
              <w:rPr>
                <w:b/>
                <w:bCs/>
                <w:sz w:val="22"/>
                <w:szCs w:val="22"/>
              </w:rPr>
              <w:t>CUỘC ĐẤU GIÁ 70 LÔ ĐẤT Ở TẠI KHU DÂN CƯ THÔN RUỒNG CÁI, XÃ ĐÀO MỸ, HUYỆN LẠNG GIANG ĐẤU NGÀY 24/4/2024</w:t>
            </w:r>
          </w:p>
        </w:tc>
        <w:tc>
          <w:tcPr>
            <w:tcW w:w="1010" w:type="dxa"/>
            <w:noWrap/>
            <w:vAlign w:val="center"/>
          </w:tcPr>
          <w:p w14:paraId="20409CBF">
            <w:pPr>
              <w:jc w:val="center"/>
              <w:rPr>
                <w:b/>
                <w:bCs/>
                <w:sz w:val="22"/>
                <w:szCs w:val="22"/>
              </w:rPr>
            </w:pPr>
            <w:r>
              <w:rPr>
                <w:b/>
                <w:bCs/>
                <w:sz w:val="22"/>
                <w:szCs w:val="22"/>
              </w:rPr>
              <w:t>5.913,77</w:t>
            </w:r>
          </w:p>
        </w:tc>
        <w:tc>
          <w:tcPr>
            <w:tcW w:w="1591" w:type="dxa"/>
            <w:noWrap/>
            <w:vAlign w:val="center"/>
          </w:tcPr>
          <w:p w14:paraId="69CA0E85">
            <w:pPr>
              <w:jc w:val="center"/>
              <w:rPr>
                <w:b/>
                <w:bCs/>
                <w:sz w:val="22"/>
                <w:szCs w:val="22"/>
              </w:rPr>
            </w:pPr>
            <w:r>
              <w:rPr>
                <w:b/>
                <w:bCs/>
                <w:sz w:val="22"/>
                <w:szCs w:val="22"/>
              </w:rPr>
              <w:t>48.236.544.000</w:t>
            </w:r>
          </w:p>
        </w:tc>
        <w:tc>
          <w:tcPr>
            <w:tcW w:w="1700" w:type="dxa"/>
            <w:noWrap/>
            <w:vAlign w:val="center"/>
          </w:tcPr>
          <w:p w14:paraId="079BFAEF">
            <w:pPr>
              <w:jc w:val="center"/>
              <w:rPr>
                <w:b/>
                <w:bCs/>
                <w:sz w:val="22"/>
                <w:szCs w:val="22"/>
              </w:rPr>
            </w:pPr>
            <w:r>
              <w:rPr>
                <w:b/>
                <w:bCs/>
                <w:sz w:val="22"/>
                <w:szCs w:val="22"/>
              </w:rPr>
              <w:t>71.025.394.000</w:t>
            </w:r>
          </w:p>
        </w:tc>
        <w:tc>
          <w:tcPr>
            <w:tcW w:w="1140" w:type="dxa"/>
            <w:noWrap/>
            <w:vAlign w:val="center"/>
          </w:tcPr>
          <w:p w14:paraId="05F6448C">
            <w:pPr>
              <w:jc w:val="center"/>
              <w:rPr>
                <w:b/>
                <w:bCs/>
                <w:sz w:val="22"/>
                <w:szCs w:val="22"/>
              </w:rPr>
            </w:pPr>
          </w:p>
        </w:tc>
      </w:tr>
      <w:tr w14:paraId="20C6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F38203F">
            <w:pPr>
              <w:jc w:val="center"/>
              <w:rPr>
                <w:sz w:val="22"/>
                <w:szCs w:val="22"/>
              </w:rPr>
            </w:pPr>
            <w:r>
              <w:rPr>
                <w:sz w:val="22"/>
                <w:szCs w:val="22"/>
              </w:rPr>
              <w:t>2</w:t>
            </w:r>
          </w:p>
        </w:tc>
        <w:tc>
          <w:tcPr>
            <w:tcW w:w="1752" w:type="dxa"/>
            <w:noWrap/>
            <w:vAlign w:val="center"/>
          </w:tcPr>
          <w:p w14:paraId="1739D30D">
            <w:pPr>
              <w:jc w:val="center"/>
              <w:rPr>
                <w:sz w:val="22"/>
                <w:szCs w:val="22"/>
              </w:rPr>
            </w:pPr>
          </w:p>
        </w:tc>
        <w:tc>
          <w:tcPr>
            <w:tcW w:w="944" w:type="dxa"/>
            <w:vMerge w:val="restart"/>
            <w:vAlign w:val="center"/>
          </w:tcPr>
          <w:p w14:paraId="20625C1D">
            <w:pPr>
              <w:jc w:val="center"/>
              <w:rPr>
                <w:sz w:val="22"/>
                <w:szCs w:val="22"/>
              </w:rPr>
            </w:pPr>
            <w:r>
              <w:rPr>
                <w:sz w:val="22"/>
                <w:szCs w:val="22"/>
              </w:rPr>
              <w:t>LK-08</w:t>
            </w:r>
          </w:p>
        </w:tc>
        <w:tc>
          <w:tcPr>
            <w:tcW w:w="1116" w:type="dxa"/>
            <w:noWrap/>
            <w:vAlign w:val="center"/>
          </w:tcPr>
          <w:p w14:paraId="78747576">
            <w:pPr>
              <w:jc w:val="center"/>
              <w:rPr>
                <w:sz w:val="22"/>
                <w:szCs w:val="22"/>
              </w:rPr>
            </w:pPr>
            <w:r>
              <w:rPr>
                <w:sz w:val="22"/>
                <w:szCs w:val="22"/>
              </w:rPr>
              <w:t>1</w:t>
            </w:r>
          </w:p>
        </w:tc>
        <w:tc>
          <w:tcPr>
            <w:tcW w:w="1010" w:type="dxa"/>
            <w:noWrap/>
            <w:vAlign w:val="center"/>
          </w:tcPr>
          <w:p w14:paraId="26CB2129">
            <w:pPr>
              <w:jc w:val="center"/>
              <w:rPr>
                <w:sz w:val="22"/>
                <w:szCs w:val="22"/>
              </w:rPr>
            </w:pPr>
            <w:r>
              <w:rPr>
                <w:sz w:val="22"/>
                <w:szCs w:val="22"/>
              </w:rPr>
              <w:t>126,71</w:t>
            </w:r>
          </w:p>
        </w:tc>
        <w:tc>
          <w:tcPr>
            <w:tcW w:w="1591" w:type="dxa"/>
            <w:noWrap/>
            <w:vAlign w:val="center"/>
          </w:tcPr>
          <w:p w14:paraId="59C3EDF2">
            <w:pPr>
              <w:jc w:val="center"/>
              <w:rPr>
                <w:sz w:val="22"/>
                <w:szCs w:val="22"/>
              </w:rPr>
            </w:pPr>
            <w:r>
              <w:rPr>
                <w:sz w:val="22"/>
                <w:szCs w:val="22"/>
              </w:rPr>
              <w:t>1.013.680.000</w:t>
            </w:r>
          </w:p>
        </w:tc>
        <w:tc>
          <w:tcPr>
            <w:tcW w:w="1700" w:type="dxa"/>
            <w:noWrap/>
            <w:vAlign w:val="center"/>
          </w:tcPr>
          <w:p w14:paraId="4C8C44C4">
            <w:pPr>
              <w:jc w:val="center"/>
              <w:rPr>
                <w:sz w:val="22"/>
                <w:szCs w:val="22"/>
              </w:rPr>
            </w:pPr>
            <w:r>
              <w:rPr>
                <w:sz w:val="22"/>
                <w:szCs w:val="22"/>
              </w:rPr>
              <w:t>1.320.000.000</w:t>
            </w:r>
          </w:p>
        </w:tc>
        <w:tc>
          <w:tcPr>
            <w:tcW w:w="1140" w:type="dxa"/>
            <w:noWrap/>
            <w:vAlign w:val="center"/>
          </w:tcPr>
          <w:p w14:paraId="3C36E39A">
            <w:pPr>
              <w:jc w:val="center"/>
              <w:rPr>
                <w:sz w:val="22"/>
                <w:szCs w:val="22"/>
              </w:rPr>
            </w:pPr>
            <w:r>
              <w:rPr>
                <w:sz w:val="22"/>
                <w:szCs w:val="22"/>
              </w:rPr>
              <w:t>1,30%</w:t>
            </w:r>
          </w:p>
        </w:tc>
      </w:tr>
      <w:tr w14:paraId="7897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582AB49">
            <w:pPr>
              <w:jc w:val="center"/>
              <w:rPr>
                <w:sz w:val="22"/>
                <w:szCs w:val="22"/>
              </w:rPr>
            </w:pPr>
            <w:r>
              <w:rPr>
                <w:sz w:val="22"/>
                <w:szCs w:val="22"/>
              </w:rPr>
              <w:t>3</w:t>
            </w:r>
          </w:p>
        </w:tc>
        <w:tc>
          <w:tcPr>
            <w:tcW w:w="1752" w:type="dxa"/>
            <w:noWrap/>
            <w:vAlign w:val="center"/>
          </w:tcPr>
          <w:p w14:paraId="30F1FB45">
            <w:pPr>
              <w:jc w:val="center"/>
              <w:rPr>
                <w:sz w:val="22"/>
                <w:szCs w:val="22"/>
              </w:rPr>
            </w:pPr>
          </w:p>
        </w:tc>
        <w:tc>
          <w:tcPr>
            <w:tcW w:w="944" w:type="dxa"/>
            <w:vMerge w:val="continue"/>
            <w:vAlign w:val="center"/>
          </w:tcPr>
          <w:p w14:paraId="4E414156">
            <w:pPr>
              <w:jc w:val="center"/>
              <w:rPr>
                <w:sz w:val="22"/>
                <w:szCs w:val="22"/>
              </w:rPr>
            </w:pPr>
          </w:p>
        </w:tc>
        <w:tc>
          <w:tcPr>
            <w:tcW w:w="1116" w:type="dxa"/>
            <w:noWrap/>
            <w:vAlign w:val="center"/>
          </w:tcPr>
          <w:p w14:paraId="38744DB8">
            <w:pPr>
              <w:jc w:val="center"/>
              <w:rPr>
                <w:sz w:val="22"/>
                <w:szCs w:val="22"/>
              </w:rPr>
            </w:pPr>
            <w:r>
              <w:rPr>
                <w:sz w:val="22"/>
                <w:szCs w:val="22"/>
              </w:rPr>
              <w:t>2</w:t>
            </w:r>
          </w:p>
        </w:tc>
        <w:tc>
          <w:tcPr>
            <w:tcW w:w="1010" w:type="dxa"/>
            <w:noWrap/>
            <w:vAlign w:val="center"/>
          </w:tcPr>
          <w:p w14:paraId="60D65EA3">
            <w:pPr>
              <w:jc w:val="center"/>
              <w:rPr>
                <w:sz w:val="22"/>
                <w:szCs w:val="22"/>
              </w:rPr>
            </w:pPr>
            <w:r>
              <w:rPr>
                <w:sz w:val="22"/>
                <w:szCs w:val="22"/>
              </w:rPr>
              <w:t>88,21</w:t>
            </w:r>
          </w:p>
        </w:tc>
        <w:tc>
          <w:tcPr>
            <w:tcW w:w="1591" w:type="dxa"/>
            <w:noWrap/>
            <w:vAlign w:val="center"/>
          </w:tcPr>
          <w:p w14:paraId="1AF98868">
            <w:pPr>
              <w:jc w:val="center"/>
              <w:rPr>
                <w:sz w:val="22"/>
                <w:szCs w:val="22"/>
              </w:rPr>
            </w:pPr>
            <w:r>
              <w:rPr>
                <w:sz w:val="22"/>
                <w:szCs w:val="22"/>
              </w:rPr>
              <w:t>705.680.000</w:t>
            </w:r>
          </w:p>
        </w:tc>
        <w:tc>
          <w:tcPr>
            <w:tcW w:w="1700" w:type="dxa"/>
            <w:noWrap/>
            <w:vAlign w:val="center"/>
          </w:tcPr>
          <w:p w14:paraId="71F2B48D">
            <w:pPr>
              <w:jc w:val="center"/>
              <w:rPr>
                <w:sz w:val="22"/>
                <w:szCs w:val="22"/>
              </w:rPr>
            </w:pPr>
            <w:r>
              <w:rPr>
                <w:sz w:val="22"/>
                <w:szCs w:val="22"/>
              </w:rPr>
              <w:t>990.000.000</w:t>
            </w:r>
          </w:p>
        </w:tc>
        <w:tc>
          <w:tcPr>
            <w:tcW w:w="1140" w:type="dxa"/>
            <w:noWrap/>
            <w:vAlign w:val="center"/>
          </w:tcPr>
          <w:p w14:paraId="07057CF6">
            <w:pPr>
              <w:jc w:val="center"/>
              <w:rPr>
                <w:sz w:val="22"/>
                <w:szCs w:val="22"/>
              </w:rPr>
            </w:pPr>
            <w:r>
              <w:rPr>
                <w:sz w:val="22"/>
                <w:szCs w:val="22"/>
              </w:rPr>
              <w:t>1,40%</w:t>
            </w:r>
          </w:p>
        </w:tc>
      </w:tr>
      <w:tr w14:paraId="2A86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CEFCA8D">
            <w:pPr>
              <w:jc w:val="center"/>
              <w:rPr>
                <w:sz w:val="22"/>
                <w:szCs w:val="22"/>
              </w:rPr>
            </w:pPr>
            <w:r>
              <w:rPr>
                <w:sz w:val="22"/>
                <w:szCs w:val="22"/>
              </w:rPr>
              <w:t>4</w:t>
            </w:r>
          </w:p>
        </w:tc>
        <w:tc>
          <w:tcPr>
            <w:tcW w:w="1752" w:type="dxa"/>
            <w:noWrap/>
            <w:vAlign w:val="center"/>
          </w:tcPr>
          <w:p w14:paraId="463A6BBF">
            <w:pPr>
              <w:jc w:val="center"/>
              <w:rPr>
                <w:sz w:val="22"/>
                <w:szCs w:val="22"/>
              </w:rPr>
            </w:pPr>
          </w:p>
        </w:tc>
        <w:tc>
          <w:tcPr>
            <w:tcW w:w="944" w:type="dxa"/>
            <w:vMerge w:val="continue"/>
            <w:vAlign w:val="center"/>
          </w:tcPr>
          <w:p w14:paraId="4A446736">
            <w:pPr>
              <w:jc w:val="center"/>
              <w:rPr>
                <w:sz w:val="22"/>
                <w:szCs w:val="22"/>
              </w:rPr>
            </w:pPr>
          </w:p>
        </w:tc>
        <w:tc>
          <w:tcPr>
            <w:tcW w:w="1116" w:type="dxa"/>
            <w:noWrap/>
            <w:vAlign w:val="center"/>
          </w:tcPr>
          <w:p w14:paraId="3D3860E1">
            <w:pPr>
              <w:jc w:val="center"/>
              <w:rPr>
                <w:sz w:val="22"/>
                <w:szCs w:val="22"/>
              </w:rPr>
            </w:pPr>
            <w:r>
              <w:rPr>
                <w:sz w:val="22"/>
                <w:szCs w:val="22"/>
              </w:rPr>
              <w:t>3</w:t>
            </w:r>
          </w:p>
        </w:tc>
        <w:tc>
          <w:tcPr>
            <w:tcW w:w="1010" w:type="dxa"/>
            <w:noWrap/>
            <w:vAlign w:val="center"/>
          </w:tcPr>
          <w:p w14:paraId="36E95E8C">
            <w:pPr>
              <w:jc w:val="center"/>
              <w:rPr>
                <w:sz w:val="22"/>
                <w:szCs w:val="22"/>
              </w:rPr>
            </w:pPr>
            <w:r>
              <w:rPr>
                <w:sz w:val="22"/>
                <w:szCs w:val="22"/>
              </w:rPr>
              <w:t>90,00</w:t>
            </w:r>
          </w:p>
        </w:tc>
        <w:tc>
          <w:tcPr>
            <w:tcW w:w="1591" w:type="dxa"/>
            <w:noWrap/>
            <w:vAlign w:val="center"/>
          </w:tcPr>
          <w:p w14:paraId="31DCED4A">
            <w:pPr>
              <w:jc w:val="center"/>
              <w:rPr>
                <w:sz w:val="22"/>
                <w:szCs w:val="22"/>
              </w:rPr>
            </w:pPr>
            <w:r>
              <w:rPr>
                <w:sz w:val="22"/>
                <w:szCs w:val="22"/>
              </w:rPr>
              <w:t>720.000.000</w:t>
            </w:r>
          </w:p>
        </w:tc>
        <w:tc>
          <w:tcPr>
            <w:tcW w:w="1700" w:type="dxa"/>
            <w:noWrap/>
            <w:vAlign w:val="center"/>
          </w:tcPr>
          <w:p w14:paraId="0387EDDA">
            <w:pPr>
              <w:jc w:val="center"/>
              <w:rPr>
                <w:sz w:val="22"/>
                <w:szCs w:val="22"/>
              </w:rPr>
            </w:pPr>
            <w:r>
              <w:rPr>
                <w:sz w:val="22"/>
                <w:szCs w:val="22"/>
              </w:rPr>
              <w:t>1.066.000.000</w:t>
            </w:r>
          </w:p>
        </w:tc>
        <w:tc>
          <w:tcPr>
            <w:tcW w:w="1140" w:type="dxa"/>
            <w:noWrap/>
            <w:vAlign w:val="center"/>
          </w:tcPr>
          <w:p w14:paraId="10BC7FFE">
            <w:pPr>
              <w:jc w:val="center"/>
              <w:rPr>
                <w:sz w:val="22"/>
                <w:szCs w:val="22"/>
              </w:rPr>
            </w:pPr>
            <w:r>
              <w:rPr>
                <w:sz w:val="22"/>
                <w:szCs w:val="22"/>
              </w:rPr>
              <w:t>1,48%</w:t>
            </w:r>
          </w:p>
        </w:tc>
      </w:tr>
      <w:tr w14:paraId="20EC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40468CA">
            <w:pPr>
              <w:jc w:val="center"/>
              <w:rPr>
                <w:sz w:val="22"/>
                <w:szCs w:val="22"/>
              </w:rPr>
            </w:pPr>
            <w:r>
              <w:rPr>
                <w:sz w:val="22"/>
                <w:szCs w:val="22"/>
              </w:rPr>
              <w:t>5</w:t>
            </w:r>
          </w:p>
        </w:tc>
        <w:tc>
          <w:tcPr>
            <w:tcW w:w="1752" w:type="dxa"/>
            <w:noWrap/>
            <w:vAlign w:val="center"/>
          </w:tcPr>
          <w:p w14:paraId="0834B878">
            <w:pPr>
              <w:jc w:val="center"/>
              <w:rPr>
                <w:sz w:val="22"/>
                <w:szCs w:val="22"/>
              </w:rPr>
            </w:pPr>
          </w:p>
        </w:tc>
        <w:tc>
          <w:tcPr>
            <w:tcW w:w="944" w:type="dxa"/>
            <w:vMerge w:val="continue"/>
            <w:vAlign w:val="center"/>
          </w:tcPr>
          <w:p w14:paraId="69959813">
            <w:pPr>
              <w:jc w:val="center"/>
              <w:rPr>
                <w:sz w:val="22"/>
                <w:szCs w:val="22"/>
              </w:rPr>
            </w:pPr>
          </w:p>
        </w:tc>
        <w:tc>
          <w:tcPr>
            <w:tcW w:w="1116" w:type="dxa"/>
            <w:noWrap/>
            <w:vAlign w:val="center"/>
          </w:tcPr>
          <w:p w14:paraId="2AF811DB">
            <w:pPr>
              <w:jc w:val="center"/>
              <w:rPr>
                <w:sz w:val="22"/>
                <w:szCs w:val="22"/>
              </w:rPr>
            </w:pPr>
            <w:r>
              <w:rPr>
                <w:sz w:val="22"/>
                <w:szCs w:val="22"/>
              </w:rPr>
              <w:t>4</w:t>
            </w:r>
          </w:p>
        </w:tc>
        <w:tc>
          <w:tcPr>
            <w:tcW w:w="1010" w:type="dxa"/>
            <w:noWrap/>
            <w:vAlign w:val="center"/>
          </w:tcPr>
          <w:p w14:paraId="09D1C931">
            <w:pPr>
              <w:jc w:val="center"/>
              <w:rPr>
                <w:sz w:val="22"/>
                <w:szCs w:val="22"/>
              </w:rPr>
            </w:pPr>
            <w:r>
              <w:rPr>
                <w:sz w:val="22"/>
                <w:szCs w:val="22"/>
              </w:rPr>
              <w:t>90,00</w:t>
            </w:r>
          </w:p>
        </w:tc>
        <w:tc>
          <w:tcPr>
            <w:tcW w:w="1591" w:type="dxa"/>
            <w:noWrap/>
            <w:vAlign w:val="center"/>
          </w:tcPr>
          <w:p w14:paraId="50200CFB">
            <w:pPr>
              <w:jc w:val="center"/>
              <w:rPr>
                <w:sz w:val="22"/>
                <w:szCs w:val="22"/>
              </w:rPr>
            </w:pPr>
            <w:r>
              <w:rPr>
                <w:sz w:val="22"/>
                <w:szCs w:val="22"/>
              </w:rPr>
              <w:t>720.000.000</w:t>
            </w:r>
          </w:p>
        </w:tc>
        <w:tc>
          <w:tcPr>
            <w:tcW w:w="1700" w:type="dxa"/>
            <w:noWrap/>
            <w:vAlign w:val="center"/>
          </w:tcPr>
          <w:p w14:paraId="789ECB27">
            <w:pPr>
              <w:jc w:val="center"/>
              <w:rPr>
                <w:sz w:val="22"/>
                <w:szCs w:val="22"/>
              </w:rPr>
            </w:pPr>
            <w:r>
              <w:rPr>
                <w:sz w:val="22"/>
                <w:szCs w:val="22"/>
              </w:rPr>
              <w:t>1.015.000.000</w:t>
            </w:r>
          </w:p>
        </w:tc>
        <w:tc>
          <w:tcPr>
            <w:tcW w:w="1140" w:type="dxa"/>
            <w:noWrap/>
            <w:vAlign w:val="center"/>
          </w:tcPr>
          <w:p w14:paraId="7EE48C6D">
            <w:pPr>
              <w:jc w:val="center"/>
              <w:rPr>
                <w:sz w:val="22"/>
                <w:szCs w:val="22"/>
              </w:rPr>
            </w:pPr>
            <w:r>
              <w:rPr>
                <w:sz w:val="22"/>
                <w:szCs w:val="22"/>
              </w:rPr>
              <w:t>1,41%</w:t>
            </w:r>
          </w:p>
        </w:tc>
      </w:tr>
      <w:tr w14:paraId="11B8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1CC0560">
            <w:pPr>
              <w:jc w:val="center"/>
              <w:rPr>
                <w:sz w:val="22"/>
                <w:szCs w:val="22"/>
              </w:rPr>
            </w:pPr>
            <w:r>
              <w:rPr>
                <w:sz w:val="22"/>
                <w:szCs w:val="22"/>
              </w:rPr>
              <w:t>6</w:t>
            </w:r>
          </w:p>
        </w:tc>
        <w:tc>
          <w:tcPr>
            <w:tcW w:w="1752" w:type="dxa"/>
            <w:noWrap/>
            <w:vAlign w:val="center"/>
          </w:tcPr>
          <w:p w14:paraId="2AF6F49D">
            <w:pPr>
              <w:jc w:val="center"/>
              <w:rPr>
                <w:sz w:val="22"/>
                <w:szCs w:val="22"/>
              </w:rPr>
            </w:pPr>
          </w:p>
        </w:tc>
        <w:tc>
          <w:tcPr>
            <w:tcW w:w="944" w:type="dxa"/>
            <w:vMerge w:val="continue"/>
            <w:vAlign w:val="center"/>
          </w:tcPr>
          <w:p w14:paraId="5F13027A">
            <w:pPr>
              <w:jc w:val="center"/>
              <w:rPr>
                <w:sz w:val="22"/>
                <w:szCs w:val="22"/>
              </w:rPr>
            </w:pPr>
          </w:p>
        </w:tc>
        <w:tc>
          <w:tcPr>
            <w:tcW w:w="1116" w:type="dxa"/>
            <w:noWrap/>
            <w:vAlign w:val="center"/>
          </w:tcPr>
          <w:p w14:paraId="7752DB2F">
            <w:pPr>
              <w:jc w:val="center"/>
              <w:rPr>
                <w:sz w:val="22"/>
                <w:szCs w:val="22"/>
              </w:rPr>
            </w:pPr>
            <w:r>
              <w:rPr>
                <w:sz w:val="22"/>
                <w:szCs w:val="22"/>
              </w:rPr>
              <w:t>5</w:t>
            </w:r>
          </w:p>
        </w:tc>
        <w:tc>
          <w:tcPr>
            <w:tcW w:w="1010" w:type="dxa"/>
            <w:noWrap/>
            <w:vAlign w:val="center"/>
          </w:tcPr>
          <w:p w14:paraId="40AF843F">
            <w:pPr>
              <w:jc w:val="center"/>
              <w:rPr>
                <w:sz w:val="22"/>
                <w:szCs w:val="22"/>
              </w:rPr>
            </w:pPr>
            <w:r>
              <w:rPr>
                <w:sz w:val="22"/>
                <w:szCs w:val="22"/>
              </w:rPr>
              <w:t>90,00</w:t>
            </w:r>
          </w:p>
        </w:tc>
        <w:tc>
          <w:tcPr>
            <w:tcW w:w="1591" w:type="dxa"/>
            <w:noWrap/>
            <w:vAlign w:val="center"/>
          </w:tcPr>
          <w:p w14:paraId="28714D90">
            <w:pPr>
              <w:jc w:val="center"/>
              <w:rPr>
                <w:sz w:val="22"/>
                <w:szCs w:val="22"/>
              </w:rPr>
            </w:pPr>
            <w:r>
              <w:rPr>
                <w:sz w:val="22"/>
                <w:szCs w:val="22"/>
              </w:rPr>
              <w:t>720.000.000</w:t>
            </w:r>
          </w:p>
        </w:tc>
        <w:tc>
          <w:tcPr>
            <w:tcW w:w="1700" w:type="dxa"/>
            <w:noWrap/>
            <w:vAlign w:val="center"/>
          </w:tcPr>
          <w:p w14:paraId="1DB95DA3">
            <w:pPr>
              <w:jc w:val="center"/>
              <w:rPr>
                <w:sz w:val="22"/>
                <w:szCs w:val="22"/>
              </w:rPr>
            </w:pPr>
            <w:r>
              <w:rPr>
                <w:sz w:val="22"/>
                <w:szCs w:val="22"/>
              </w:rPr>
              <w:t>1.030.000.000</w:t>
            </w:r>
          </w:p>
        </w:tc>
        <w:tc>
          <w:tcPr>
            <w:tcW w:w="1140" w:type="dxa"/>
            <w:noWrap/>
            <w:vAlign w:val="center"/>
          </w:tcPr>
          <w:p w14:paraId="6B4A0543">
            <w:pPr>
              <w:jc w:val="center"/>
              <w:rPr>
                <w:sz w:val="22"/>
                <w:szCs w:val="22"/>
              </w:rPr>
            </w:pPr>
            <w:r>
              <w:rPr>
                <w:sz w:val="22"/>
                <w:szCs w:val="22"/>
              </w:rPr>
              <w:t>1,43%</w:t>
            </w:r>
          </w:p>
        </w:tc>
      </w:tr>
      <w:tr w14:paraId="5E8D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9ABEDC2">
            <w:pPr>
              <w:jc w:val="center"/>
              <w:rPr>
                <w:sz w:val="22"/>
                <w:szCs w:val="22"/>
              </w:rPr>
            </w:pPr>
            <w:r>
              <w:rPr>
                <w:sz w:val="22"/>
                <w:szCs w:val="22"/>
              </w:rPr>
              <w:t>7</w:t>
            </w:r>
          </w:p>
        </w:tc>
        <w:tc>
          <w:tcPr>
            <w:tcW w:w="1752" w:type="dxa"/>
            <w:noWrap/>
            <w:vAlign w:val="center"/>
          </w:tcPr>
          <w:p w14:paraId="53CD1E6A">
            <w:pPr>
              <w:jc w:val="center"/>
              <w:rPr>
                <w:sz w:val="22"/>
                <w:szCs w:val="22"/>
              </w:rPr>
            </w:pPr>
          </w:p>
        </w:tc>
        <w:tc>
          <w:tcPr>
            <w:tcW w:w="944" w:type="dxa"/>
            <w:vMerge w:val="continue"/>
            <w:vAlign w:val="center"/>
          </w:tcPr>
          <w:p w14:paraId="7F14BAEB">
            <w:pPr>
              <w:jc w:val="center"/>
              <w:rPr>
                <w:sz w:val="22"/>
                <w:szCs w:val="22"/>
              </w:rPr>
            </w:pPr>
          </w:p>
        </w:tc>
        <w:tc>
          <w:tcPr>
            <w:tcW w:w="1116" w:type="dxa"/>
            <w:noWrap/>
            <w:vAlign w:val="center"/>
          </w:tcPr>
          <w:p w14:paraId="5953D795">
            <w:pPr>
              <w:jc w:val="center"/>
              <w:rPr>
                <w:sz w:val="22"/>
                <w:szCs w:val="22"/>
              </w:rPr>
            </w:pPr>
            <w:r>
              <w:rPr>
                <w:sz w:val="22"/>
                <w:szCs w:val="22"/>
              </w:rPr>
              <w:t>6</w:t>
            </w:r>
          </w:p>
        </w:tc>
        <w:tc>
          <w:tcPr>
            <w:tcW w:w="1010" w:type="dxa"/>
            <w:noWrap/>
            <w:vAlign w:val="center"/>
          </w:tcPr>
          <w:p w14:paraId="0082660B">
            <w:pPr>
              <w:jc w:val="center"/>
              <w:rPr>
                <w:sz w:val="22"/>
                <w:szCs w:val="22"/>
              </w:rPr>
            </w:pPr>
            <w:r>
              <w:rPr>
                <w:sz w:val="22"/>
                <w:szCs w:val="22"/>
              </w:rPr>
              <w:t>90,00</w:t>
            </w:r>
          </w:p>
        </w:tc>
        <w:tc>
          <w:tcPr>
            <w:tcW w:w="1591" w:type="dxa"/>
            <w:noWrap/>
            <w:vAlign w:val="center"/>
          </w:tcPr>
          <w:p w14:paraId="25917197">
            <w:pPr>
              <w:jc w:val="center"/>
              <w:rPr>
                <w:sz w:val="22"/>
                <w:szCs w:val="22"/>
              </w:rPr>
            </w:pPr>
            <w:r>
              <w:rPr>
                <w:sz w:val="22"/>
                <w:szCs w:val="22"/>
              </w:rPr>
              <w:t>720.000.000</w:t>
            </w:r>
          </w:p>
        </w:tc>
        <w:tc>
          <w:tcPr>
            <w:tcW w:w="1700" w:type="dxa"/>
            <w:noWrap/>
            <w:vAlign w:val="center"/>
          </w:tcPr>
          <w:p w14:paraId="57BF6D2C">
            <w:pPr>
              <w:jc w:val="center"/>
              <w:rPr>
                <w:sz w:val="22"/>
                <w:szCs w:val="22"/>
              </w:rPr>
            </w:pPr>
            <w:r>
              <w:rPr>
                <w:sz w:val="22"/>
                <w:szCs w:val="22"/>
              </w:rPr>
              <w:t>1.050.000.000</w:t>
            </w:r>
          </w:p>
        </w:tc>
        <w:tc>
          <w:tcPr>
            <w:tcW w:w="1140" w:type="dxa"/>
            <w:noWrap/>
            <w:vAlign w:val="center"/>
          </w:tcPr>
          <w:p w14:paraId="65CC029E">
            <w:pPr>
              <w:jc w:val="center"/>
              <w:rPr>
                <w:sz w:val="22"/>
                <w:szCs w:val="22"/>
              </w:rPr>
            </w:pPr>
            <w:r>
              <w:rPr>
                <w:sz w:val="22"/>
                <w:szCs w:val="22"/>
              </w:rPr>
              <w:t>1,46%</w:t>
            </w:r>
          </w:p>
        </w:tc>
      </w:tr>
      <w:tr w14:paraId="777D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E541894">
            <w:pPr>
              <w:jc w:val="center"/>
              <w:rPr>
                <w:sz w:val="22"/>
                <w:szCs w:val="22"/>
              </w:rPr>
            </w:pPr>
            <w:r>
              <w:rPr>
                <w:sz w:val="22"/>
                <w:szCs w:val="22"/>
              </w:rPr>
              <w:t>8</w:t>
            </w:r>
          </w:p>
        </w:tc>
        <w:tc>
          <w:tcPr>
            <w:tcW w:w="1752" w:type="dxa"/>
            <w:noWrap/>
            <w:vAlign w:val="center"/>
          </w:tcPr>
          <w:p w14:paraId="2B3FC693">
            <w:pPr>
              <w:jc w:val="center"/>
              <w:rPr>
                <w:sz w:val="22"/>
                <w:szCs w:val="22"/>
              </w:rPr>
            </w:pPr>
          </w:p>
        </w:tc>
        <w:tc>
          <w:tcPr>
            <w:tcW w:w="944" w:type="dxa"/>
            <w:vMerge w:val="continue"/>
            <w:vAlign w:val="center"/>
          </w:tcPr>
          <w:p w14:paraId="48B1C2F4">
            <w:pPr>
              <w:jc w:val="center"/>
              <w:rPr>
                <w:sz w:val="22"/>
                <w:szCs w:val="22"/>
              </w:rPr>
            </w:pPr>
          </w:p>
        </w:tc>
        <w:tc>
          <w:tcPr>
            <w:tcW w:w="1116" w:type="dxa"/>
            <w:noWrap/>
            <w:vAlign w:val="center"/>
          </w:tcPr>
          <w:p w14:paraId="6690E467">
            <w:pPr>
              <w:jc w:val="center"/>
              <w:rPr>
                <w:sz w:val="22"/>
                <w:szCs w:val="22"/>
              </w:rPr>
            </w:pPr>
            <w:r>
              <w:rPr>
                <w:sz w:val="22"/>
                <w:szCs w:val="22"/>
              </w:rPr>
              <w:t>7</w:t>
            </w:r>
          </w:p>
        </w:tc>
        <w:tc>
          <w:tcPr>
            <w:tcW w:w="1010" w:type="dxa"/>
            <w:noWrap/>
            <w:vAlign w:val="center"/>
          </w:tcPr>
          <w:p w14:paraId="5F97347C">
            <w:pPr>
              <w:jc w:val="center"/>
              <w:rPr>
                <w:sz w:val="22"/>
                <w:szCs w:val="22"/>
              </w:rPr>
            </w:pPr>
            <w:r>
              <w:rPr>
                <w:sz w:val="22"/>
                <w:szCs w:val="22"/>
              </w:rPr>
              <w:t>122,45</w:t>
            </w:r>
          </w:p>
        </w:tc>
        <w:tc>
          <w:tcPr>
            <w:tcW w:w="1591" w:type="dxa"/>
            <w:noWrap/>
            <w:vAlign w:val="center"/>
          </w:tcPr>
          <w:p w14:paraId="46C5568F">
            <w:pPr>
              <w:jc w:val="center"/>
              <w:rPr>
                <w:sz w:val="22"/>
                <w:szCs w:val="22"/>
              </w:rPr>
            </w:pPr>
            <w:r>
              <w:rPr>
                <w:sz w:val="22"/>
                <w:szCs w:val="22"/>
              </w:rPr>
              <w:t>1.175.520.000</w:t>
            </w:r>
          </w:p>
        </w:tc>
        <w:tc>
          <w:tcPr>
            <w:tcW w:w="1700" w:type="dxa"/>
            <w:noWrap/>
            <w:vAlign w:val="center"/>
          </w:tcPr>
          <w:p w14:paraId="1B9679CD">
            <w:pPr>
              <w:jc w:val="center"/>
              <w:rPr>
                <w:sz w:val="22"/>
                <w:szCs w:val="22"/>
              </w:rPr>
            </w:pPr>
            <w:r>
              <w:rPr>
                <w:sz w:val="22"/>
                <w:szCs w:val="22"/>
              </w:rPr>
              <w:t>1.578.900.000</w:t>
            </w:r>
          </w:p>
        </w:tc>
        <w:tc>
          <w:tcPr>
            <w:tcW w:w="1140" w:type="dxa"/>
            <w:noWrap/>
            <w:vAlign w:val="center"/>
          </w:tcPr>
          <w:p w14:paraId="76CB7CBE">
            <w:pPr>
              <w:jc w:val="center"/>
              <w:rPr>
                <w:sz w:val="22"/>
                <w:szCs w:val="22"/>
              </w:rPr>
            </w:pPr>
            <w:r>
              <w:rPr>
                <w:sz w:val="22"/>
                <w:szCs w:val="22"/>
              </w:rPr>
              <w:t>1,34%</w:t>
            </w:r>
          </w:p>
        </w:tc>
      </w:tr>
      <w:tr w14:paraId="0979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6F882E">
            <w:pPr>
              <w:jc w:val="center"/>
              <w:rPr>
                <w:sz w:val="22"/>
                <w:szCs w:val="22"/>
              </w:rPr>
            </w:pPr>
            <w:r>
              <w:rPr>
                <w:sz w:val="22"/>
                <w:szCs w:val="22"/>
              </w:rPr>
              <w:t>9</w:t>
            </w:r>
          </w:p>
        </w:tc>
        <w:tc>
          <w:tcPr>
            <w:tcW w:w="1752" w:type="dxa"/>
            <w:noWrap/>
            <w:vAlign w:val="center"/>
          </w:tcPr>
          <w:p w14:paraId="1FC81385">
            <w:pPr>
              <w:jc w:val="center"/>
              <w:rPr>
                <w:sz w:val="22"/>
                <w:szCs w:val="22"/>
              </w:rPr>
            </w:pPr>
          </w:p>
        </w:tc>
        <w:tc>
          <w:tcPr>
            <w:tcW w:w="944" w:type="dxa"/>
            <w:vMerge w:val="restart"/>
            <w:vAlign w:val="center"/>
          </w:tcPr>
          <w:p w14:paraId="59A1A1BE">
            <w:pPr>
              <w:jc w:val="center"/>
              <w:rPr>
                <w:sz w:val="22"/>
                <w:szCs w:val="22"/>
              </w:rPr>
            </w:pPr>
            <w:r>
              <w:rPr>
                <w:sz w:val="22"/>
                <w:szCs w:val="22"/>
              </w:rPr>
              <w:t>LK-09</w:t>
            </w:r>
          </w:p>
        </w:tc>
        <w:tc>
          <w:tcPr>
            <w:tcW w:w="1116" w:type="dxa"/>
            <w:noWrap/>
            <w:vAlign w:val="center"/>
          </w:tcPr>
          <w:p w14:paraId="28C6DA5B">
            <w:pPr>
              <w:jc w:val="center"/>
              <w:rPr>
                <w:sz w:val="22"/>
                <w:szCs w:val="22"/>
              </w:rPr>
            </w:pPr>
            <w:r>
              <w:rPr>
                <w:sz w:val="22"/>
                <w:szCs w:val="22"/>
              </w:rPr>
              <w:t>1</w:t>
            </w:r>
          </w:p>
        </w:tc>
        <w:tc>
          <w:tcPr>
            <w:tcW w:w="1010" w:type="dxa"/>
            <w:noWrap/>
            <w:vAlign w:val="center"/>
          </w:tcPr>
          <w:p w14:paraId="6FB390D9">
            <w:pPr>
              <w:jc w:val="center"/>
              <w:rPr>
                <w:sz w:val="22"/>
                <w:szCs w:val="22"/>
              </w:rPr>
            </w:pPr>
            <w:r>
              <w:rPr>
                <w:sz w:val="22"/>
                <w:szCs w:val="22"/>
              </w:rPr>
              <w:t>132,37</w:t>
            </w:r>
          </w:p>
        </w:tc>
        <w:tc>
          <w:tcPr>
            <w:tcW w:w="1591" w:type="dxa"/>
            <w:noWrap/>
            <w:vAlign w:val="center"/>
          </w:tcPr>
          <w:p w14:paraId="56C8D316">
            <w:pPr>
              <w:jc w:val="center"/>
              <w:rPr>
                <w:sz w:val="22"/>
                <w:szCs w:val="22"/>
              </w:rPr>
            </w:pPr>
            <w:r>
              <w:rPr>
                <w:sz w:val="22"/>
                <w:szCs w:val="22"/>
              </w:rPr>
              <w:t>1.270.752.000</w:t>
            </w:r>
          </w:p>
        </w:tc>
        <w:tc>
          <w:tcPr>
            <w:tcW w:w="1700" w:type="dxa"/>
            <w:noWrap/>
            <w:vAlign w:val="center"/>
          </w:tcPr>
          <w:p w14:paraId="7156CF60">
            <w:pPr>
              <w:jc w:val="center"/>
              <w:rPr>
                <w:sz w:val="22"/>
                <w:szCs w:val="22"/>
              </w:rPr>
            </w:pPr>
            <w:r>
              <w:rPr>
                <w:sz w:val="22"/>
                <w:szCs w:val="22"/>
              </w:rPr>
              <w:t>1.789.000.000</w:t>
            </w:r>
          </w:p>
        </w:tc>
        <w:tc>
          <w:tcPr>
            <w:tcW w:w="1140" w:type="dxa"/>
            <w:noWrap/>
            <w:vAlign w:val="center"/>
          </w:tcPr>
          <w:p w14:paraId="2A5E94A8">
            <w:pPr>
              <w:jc w:val="center"/>
              <w:rPr>
                <w:sz w:val="22"/>
                <w:szCs w:val="22"/>
              </w:rPr>
            </w:pPr>
            <w:r>
              <w:rPr>
                <w:sz w:val="22"/>
                <w:szCs w:val="22"/>
              </w:rPr>
              <w:t>1,41%</w:t>
            </w:r>
          </w:p>
        </w:tc>
      </w:tr>
      <w:tr w14:paraId="6821E512">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1C974AA8">
            <w:pPr>
              <w:jc w:val="center"/>
              <w:rPr>
                <w:sz w:val="22"/>
                <w:szCs w:val="22"/>
              </w:rPr>
            </w:pPr>
            <w:r>
              <w:rPr>
                <w:sz w:val="22"/>
                <w:szCs w:val="22"/>
              </w:rPr>
              <w:t>10</w:t>
            </w:r>
          </w:p>
        </w:tc>
        <w:tc>
          <w:tcPr>
            <w:tcW w:w="1752" w:type="dxa"/>
            <w:noWrap/>
            <w:vAlign w:val="center"/>
          </w:tcPr>
          <w:p w14:paraId="7317D623">
            <w:pPr>
              <w:jc w:val="center"/>
              <w:rPr>
                <w:sz w:val="22"/>
                <w:szCs w:val="22"/>
              </w:rPr>
            </w:pPr>
          </w:p>
        </w:tc>
        <w:tc>
          <w:tcPr>
            <w:tcW w:w="944" w:type="dxa"/>
            <w:vMerge w:val="continue"/>
            <w:vAlign w:val="center"/>
          </w:tcPr>
          <w:p w14:paraId="747EE503">
            <w:pPr>
              <w:jc w:val="center"/>
              <w:rPr>
                <w:sz w:val="22"/>
                <w:szCs w:val="22"/>
              </w:rPr>
            </w:pPr>
          </w:p>
        </w:tc>
        <w:tc>
          <w:tcPr>
            <w:tcW w:w="1116" w:type="dxa"/>
            <w:noWrap/>
            <w:vAlign w:val="center"/>
          </w:tcPr>
          <w:p w14:paraId="43249E4C">
            <w:pPr>
              <w:jc w:val="center"/>
              <w:rPr>
                <w:sz w:val="22"/>
                <w:szCs w:val="22"/>
              </w:rPr>
            </w:pPr>
            <w:r>
              <w:rPr>
                <w:sz w:val="22"/>
                <w:szCs w:val="22"/>
              </w:rPr>
              <w:t>2</w:t>
            </w:r>
          </w:p>
        </w:tc>
        <w:tc>
          <w:tcPr>
            <w:tcW w:w="1010" w:type="dxa"/>
            <w:noWrap/>
            <w:vAlign w:val="center"/>
          </w:tcPr>
          <w:p w14:paraId="6ED9AD56">
            <w:pPr>
              <w:jc w:val="center"/>
              <w:rPr>
                <w:sz w:val="22"/>
                <w:szCs w:val="22"/>
              </w:rPr>
            </w:pPr>
            <w:r>
              <w:rPr>
                <w:sz w:val="22"/>
                <w:szCs w:val="22"/>
              </w:rPr>
              <w:t>80,00</w:t>
            </w:r>
          </w:p>
        </w:tc>
        <w:tc>
          <w:tcPr>
            <w:tcW w:w="1591" w:type="dxa"/>
            <w:noWrap/>
            <w:vAlign w:val="center"/>
          </w:tcPr>
          <w:p w14:paraId="2FDBB361">
            <w:pPr>
              <w:jc w:val="center"/>
              <w:rPr>
                <w:sz w:val="22"/>
                <w:szCs w:val="22"/>
              </w:rPr>
            </w:pPr>
            <w:r>
              <w:rPr>
                <w:sz w:val="22"/>
                <w:szCs w:val="22"/>
              </w:rPr>
              <w:t>640.000.000</w:t>
            </w:r>
          </w:p>
        </w:tc>
        <w:tc>
          <w:tcPr>
            <w:tcW w:w="1700" w:type="dxa"/>
            <w:noWrap/>
            <w:vAlign w:val="center"/>
          </w:tcPr>
          <w:p w14:paraId="1A7D62E3">
            <w:pPr>
              <w:jc w:val="center"/>
              <w:rPr>
                <w:sz w:val="22"/>
                <w:szCs w:val="22"/>
              </w:rPr>
            </w:pPr>
            <w:r>
              <w:rPr>
                <w:sz w:val="22"/>
                <w:szCs w:val="22"/>
              </w:rPr>
              <w:t>1.089.199.000</w:t>
            </w:r>
          </w:p>
        </w:tc>
        <w:tc>
          <w:tcPr>
            <w:tcW w:w="1140" w:type="dxa"/>
            <w:noWrap/>
            <w:vAlign w:val="center"/>
          </w:tcPr>
          <w:p w14:paraId="57475F5A">
            <w:pPr>
              <w:jc w:val="center"/>
              <w:rPr>
                <w:sz w:val="22"/>
                <w:szCs w:val="22"/>
              </w:rPr>
            </w:pPr>
            <w:r>
              <w:rPr>
                <w:sz w:val="22"/>
                <w:szCs w:val="22"/>
              </w:rPr>
              <w:t>1,70%</w:t>
            </w:r>
          </w:p>
        </w:tc>
      </w:tr>
      <w:tr w14:paraId="2DBF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75DDA86">
            <w:pPr>
              <w:jc w:val="center"/>
              <w:rPr>
                <w:sz w:val="22"/>
                <w:szCs w:val="22"/>
              </w:rPr>
            </w:pPr>
            <w:r>
              <w:rPr>
                <w:sz w:val="22"/>
                <w:szCs w:val="22"/>
              </w:rPr>
              <w:t>11</w:t>
            </w:r>
          </w:p>
        </w:tc>
        <w:tc>
          <w:tcPr>
            <w:tcW w:w="1752" w:type="dxa"/>
            <w:noWrap/>
            <w:vAlign w:val="center"/>
          </w:tcPr>
          <w:p w14:paraId="6695319A">
            <w:pPr>
              <w:jc w:val="center"/>
              <w:rPr>
                <w:sz w:val="22"/>
                <w:szCs w:val="22"/>
              </w:rPr>
            </w:pPr>
          </w:p>
        </w:tc>
        <w:tc>
          <w:tcPr>
            <w:tcW w:w="944" w:type="dxa"/>
            <w:vMerge w:val="continue"/>
            <w:vAlign w:val="center"/>
          </w:tcPr>
          <w:p w14:paraId="049CC295">
            <w:pPr>
              <w:jc w:val="center"/>
              <w:rPr>
                <w:sz w:val="22"/>
                <w:szCs w:val="22"/>
              </w:rPr>
            </w:pPr>
          </w:p>
        </w:tc>
        <w:tc>
          <w:tcPr>
            <w:tcW w:w="1116" w:type="dxa"/>
            <w:noWrap/>
            <w:vAlign w:val="center"/>
          </w:tcPr>
          <w:p w14:paraId="0CE1753F">
            <w:pPr>
              <w:jc w:val="center"/>
              <w:rPr>
                <w:sz w:val="22"/>
                <w:szCs w:val="22"/>
              </w:rPr>
            </w:pPr>
            <w:r>
              <w:rPr>
                <w:sz w:val="22"/>
                <w:szCs w:val="22"/>
              </w:rPr>
              <w:t>3</w:t>
            </w:r>
          </w:p>
        </w:tc>
        <w:tc>
          <w:tcPr>
            <w:tcW w:w="1010" w:type="dxa"/>
            <w:noWrap/>
            <w:vAlign w:val="center"/>
          </w:tcPr>
          <w:p w14:paraId="405B9E52">
            <w:pPr>
              <w:jc w:val="center"/>
              <w:rPr>
                <w:sz w:val="22"/>
                <w:szCs w:val="22"/>
              </w:rPr>
            </w:pPr>
            <w:r>
              <w:rPr>
                <w:sz w:val="22"/>
                <w:szCs w:val="22"/>
              </w:rPr>
              <w:t>80,00</w:t>
            </w:r>
          </w:p>
        </w:tc>
        <w:tc>
          <w:tcPr>
            <w:tcW w:w="1591" w:type="dxa"/>
            <w:noWrap/>
            <w:vAlign w:val="center"/>
          </w:tcPr>
          <w:p w14:paraId="15D57E9E">
            <w:pPr>
              <w:jc w:val="center"/>
              <w:rPr>
                <w:sz w:val="22"/>
                <w:szCs w:val="22"/>
              </w:rPr>
            </w:pPr>
            <w:r>
              <w:rPr>
                <w:sz w:val="22"/>
                <w:szCs w:val="22"/>
              </w:rPr>
              <w:t>640.000.000</w:t>
            </w:r>
          </w:p>
        </w:tc>
        <w:tc>
          <w:tcPr>
            <w:tcW w:w="1700" w:type="dxa"/>
            <w:noWrap/>
            <w:vAlign w:val="center"/>
          </w:tcPr>
          <w:p w14:paraId="3A672A2C">
            <w:pPr>
              <w:jc w:val="center"/>
              <w:rPr>
                <w:sz w:val="22"/>
                <w:szCs w:val="22"/>
              </w:rPr>
            </w:pPr>
            <w:r>
              <w:rPr>
                <w:sz w:val="22"/>
                <w:szCs w:val="22"/>
              </w:rPr>
              <w:t>986.600.000</w:t>
            </w:r>
          </w:p>
        </w:tc>
        <w:tc>
          <w:tcPr>
            <w:tcW w:w="1140" w:type="dxa"/>
            <w:noWrap/>
            <w:vAlign w:val="center"/>
          </w:tcPr>
          <w:p w14:paraId="22C9AB5C">
            <w:pPr>
              <w:jc w:val="center"/>
              <w:rPr>
                <w:sz w:val="22"/>
                <w:szCs w:val="22"/>
              </w:rPr>
            </w:pPr>
            <w:r>
              <w:rPr>
                <w:sz w:val="22"/>
                <w:szCs w:val="22"/>
              </w:rPr>
              <w:t>1,54%</w:t>
            </w:r>
          </w:p>
        </w:tc>
      </w:tr>
      <w:tr w14:paraId="6A4D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C4DC6E6">
            <w:pPr>
              <w:jc w:val="center"/>
              <w:rPr>
                <w:sz w:val="22"/>
                <w:szCs w:val="22"/>
              </w:rPr>
            </w:pPr>
            <w:r>
              <w:rPr>
                <w:sz w:val="22"/>
                <w:szCs w:val="22"/>
              </w:rPr>
              <w:t>12</w:t>
            </w:r>
          </w:p>
        </w:tc>
        <w:tc>
          <w:tcPr>
            <w:tcW w:w="1752" w:type="dxa"/>
            <w:noWrap/>
            <w:vAlign w:val="center"/>
          </w:tcPr>
          <w:p w14:paraId="3ED42FCF">
            <w:pPr>
              <w:jc w:val="center"/>
              <w:rPr>
                <w:sz w:val="22"/>
                <w:szCs w:val="22"/>
              </w:rPr>
            </w:pPr>
          </w:p>
        </w:tc>
        <w:tc>
          <w:tcPr>
            <w:tcW w:w="944" w:type="dxa"/>
            <w:vMerge w:val="continue"/>
            <w:vAlign w:val="center"/>
          </w:tcPr>
          <w:p w14:paraId="6D3AF243">
            <w:pPr>
              <w:jc w:val="center"/>
              <w:rPr>
                <w:sz w:val="22"/>
                <w:szCs w:val="22"/>
              </w:rPr>
            </w:pPr>
          </w:p>
        </w:tc>
        <w:tc>
          <w:tcPr>
            <w:tcW w:w="1116" w:type="dxa"/>
            <w:noWrap/>
            <w:vAlign w:val="center"/>
          </w:tcPr>
          <w:p w14:paraId="096CDAEC">
            <w:pPr>
              <w:jc w:val="center"/>
              <w:rPr>
                <w:sz w:val="22"/>
                <w:szCs w:val="22"/>
              </w:rPr>
            </w:pPr>
            <w:r>
              <w:rPr>
                <w:sz w:val="22"/>
                <w:szCs w:val="22"/>
              </w:rPr>
              <w:t>4</w:t>
            </w:r>
          </w:p>
        </w:tc>
        <w:tc>
          <w:tcPr>
            <w:tcW w:w="1010" w:type="dxa"/>
            <w:noWrap/>
            <w:vAlign w:val="center"/>
          </w:tcPr>
          <w:p w14:paraId="30173679">
            <w:pPr>
              <w:jc w:val="center"/>
              <w:rPr>
                <w:sz w:val="22"/>
                <w:szCs w:val="22"/>
              </w:rPr>
            </w:pPr>
            <w:r>
              <w:rPr>
                <w:sz w:val="22"/>
                <w:szCs w:val="22"/>
              </w:rPr>
              <w:t>80,00</w:t>
            </w:r>
          </w:p>
        </w:tc>
        <w:tc>
          <w:tcPr>
            <w:tcW w:w="1591" w:type="dxa"/>
            <w:noWrap/>
            <w:vAlign w:val="center"/>
          </w:tcPr>
          <w:p w14:paraId="05919647">
            <w:pPr>
              <w:jc w:val="center"/>
              <w:rPr>
                <w:sz w:val="22"/>
                <w:szCs w:val="22"/>
              </w:rPr>
            </w:pPr>
            <w:r>
              <w:rPr>
                <w:sz w:val="22"/>
                <w:szCs w:val="22"/>
              </w:rPr>
              <w:t>640.000.000</w:t>
            </w:r>
          </w:p>
        </w:tc>
        <w:tc>
          <w:tcPr>
            <w:tcW w:w="1700" w:type="dxa"/>
            <w:noWrap/>
            <w:vAlign w:val="center"/>
          </w:tcPr>
          <w:p w14:paraId="3D3EDEDC">
            <w:pPr>
              <w:jc w:val="center"/>
              <w:rPr>
                <w:sz w:val="22"/>
                <w:szCs w:val="22"/>
              </w:rPr>
            </w:pPr>
            <w:r>
              <w:rPr>
                <w:sz w:val="22"/>
                <w:szCs w:val="22"/>
              </w:rPr>
              <w:t>973.300.000</w:t>
            </w:r>
          </w:p>
        </w:tc>
        <w:tc>
          <w:tcPr>
            <w:tcW w:w="1140" w:type="dxa"/>
            <w:noWrap/>
            <w:vAlign w:val="center"/>
          </w:tcPr>
          <w:p w14:paraId="2FF87930">
            <w:pPr>
              <w:jc w:val="center"/>
              <w:rPr>
                <w:sz w:val="22"/>
                <w:szCs w:val="22"/>
              </w:rPr>
            </w:pPr>
            <w:r>
              <w:rPr>
                <w:sz w:val="22"/>
                <w:szCs w:val="22"/>
              </w:rPr>
              <w:t>1,52%</w:t>
            </w:r>
          </w:p>
        </w:tc>
      </w:tr>
      <w:tr w14:paraId="4BE5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90C67E7">
            <w:pPr>
              <w:jc w:val="center"/>
              <w:rPr>
                <w:sz w:val="22"/>
                <w:szCs w:val="22"/>
              </w:rPr>
            </w:pPr>
            <w:r>
              <w:rPr>
                <w:sz w:val="22"/>
                <w:szCs w:val="22"/>
              </w:rPr>
              <w:t>13</w:t>
            </w:r>
          </w:p>
        </w:tc>
        <w:tc>
          <w:tcPr>
            <w:tcW w:w="1752" w:type="dxa"/>
            <w:noWrap/>
            <w:vAlign w:val="center"/>
          </w:tcPr>
          <w:p w14:paraId="7BFADE42">
            <w:pPr>
              <w:jc w:val="center"/>
              <w:rPr>
                <w:sz w:val="22"/>
                <w:szCs w:val="22"/>
              </w:rPr>
            </w:pPr>
          </w:p>
        </w:tc>
        <w:tc>
          <w:tcPr>
            <w:tcW w:w="944" w:type="dxa"/>
            <w:vMerge w:val="continue"/>
            <w:vAlign w:val="center"/>
          </w:tcPr>
          <w:p w14:paraId="622D85E8">
            <w:pPr>
              <w:jc w:val="center"/>
              <w:rPr>
                <w:sz w:val="22"/>
                <w:szCs w:val="22"/>
              </w:rPr>
            </w:pPr>
          </w:p>
        </w:tc>
        <w:tc>
          <w:tcPr>
            <w:tcW w:w="1116" w:type="dxa"/>
            <w:noWrap/>
            <w:vAlign w:val="center"/>
          </w:tcPr>
          <w:p w14:paraId="0776FFE8">
            <w:pPr>
              <w:jc w:val="center"/>
              <w:rPr>
                <w:sz w:val="22"/>
                <w:szCs w:val="22"/>
              </w:rPr>
            </w:pPr>
            <w:r>
              <w:rPr>
                <w:sz w:val="22"/>
                <w:szCs w:val="22"/>
              </w:rPr>
              <w:t>5</w:t>
            </w:r>
          </w:p>
        </w:tc>
        <w:tc>
          <w:tcPr>
            <w:tcW w:w="1010" w:type="dxa"/>
            <w:noWrap/>
            <w:vAlign w:val="center"/>
          </w:tcPr>
          <w:p w14:paraId="7B442CF6">
            <w:pPr>
              <w:jc w:val="center"/>
              <w:rPr>
                <w:sz w:val="22"/>
                <w:szCs w:val="22"/>
              </w:rPr>
            </w:pPr>
            <w:r>
              <w:rPr>
                <w:sz w:val="22"/>
                <w:szCs w:val="22"/>
              </w:rPr>
              <w:t>80,00</w:t>
            </w:r>
          </w:p>
        </w:tc>
        <w:tc>
          <w:tcPr>
            <w:tcW w:w="1591" w:type="dxa"/>
            <w:noWrap/>
            <w:vAlign w:val="center"/>
          </w:tcPr>
          <w:p w14:paraId="017DD6BA">
            <w:pPr>
              <w:jc w:val="center"/>
              <w:rPr>
                <w:sz w:val="22"/>
                <w:szCs w:val="22"/>
              </w:rPr>
            </w:pPr>
            <w:r>
              <w:rPr>
                <w:sz w:val="22"/>
                <w:szCs w:val="22"/>
              </w:rPr>
              <w:t>640.000.000</w:t>
            </w:r>
          </w:p>
        </w:tc>
        <w:tc>
          <w:tcPr>
            <w:tcW w:w="1700" w:type="dxa"/>
            <w:noWrap/>
            <w:vAlign w:val="center"/>
          </w:tcPr>
          <w:p w14:paraId="53A34CB3">
            <w:pPr>
              <w:jc w:val="center"/>
              <w:rPr>
                <w:sz w:val="22"/>
                <w:szCs w:val="22"/>
              </w:rPr>
            </w:pPr>
            <w:r>
              <w:rPr>
                <w:sz w:val="22"/>
                <w:szCs w:val="22"/>
              </w:rPr>
              <w:t>973.600.000</w:t>
            </w:r>
          </w:p>
        </w:tc>
        <w:tc>
          <w:tcPr>
            <w:tcW w:w="1140" w:type="dxa"/>
            <w:noWrap/>
            <w:vAlign w:val="center"/>
          </w:tcPr>
          <w:p w14:paraId="3AC25289">
            <w:pPr>
              <w:jc w:val="center"/>
              <w:rPr>
                <w:sz w:val="22"/>
                <w:szCs w:val="22"/>
              </w:rPr>
            </w:pPr>
            <w:r>
              <w:rPr>
                <w:sz w:val="22"/>
                <w:szCs w:val="22"/>
              </w:rPr>
              <w:t>1,52%</w:t>
            </w:r>
          </w:p>
        </w:tc>
      </w:tr>
      <w:tr w14:paraId="068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F00D14A">
            <w:pPr>
              <w:jc w:val="center"/>
              <w:rPr>
                <w:sz w:val="22"/>
                <w:szCs w:val="22"/>
              </w:rPr>
            </w:pPr>
            <w:r>
              <w:rPr>
                <w:sz w:val="22"/>
                <w:szCs w:val="22"/>
              </w:rPr>
              <w:t>14</w:t>
            </w:r>
          </w:p>
        </w:tc>
        <w:tc>
          <w:tcPr>
            <w:tcW w:w="1752" w:type="dxa"/>
            <w:noWrap/>
            <w:vAlign w:val="center"/>
          </w:tcPr>
          <w:p w14:paraId="4D69CB5D">
            <w:pPr>
              <w:jc w:val="center"/>
              <w:rPr>
                <w:sz w:val="22"/>
                <w:szCs w:val="22"/>
              </w:rPr>
            </w:pPr>
          </w:p>
        </w:tc>
        <w:tc>
          <w:tcPr>
            <w:tcW w:w="944" w:type="dxa"/>
            <w:vMerge w:val="continue"/>
            <w:vAlign w:val="center"/>
          </w:tcPr>
          <w:p w14:paraId="6EAB9390">
            <w:pPr>
              <w:jc w:val="center"/>
              <w:rPr>
                <w:sz w:val="22"/>
                <w:szCs w:val="22"/>
              </w:rPr>
            </w:pPr>
          </w:p>
        </w:tc>
        <w:tc>
          <w:tcPr>
            <w:tcW w:w="1116" w:type="dxa"/>
            <w:noWrap/>
            <w:vAlign w:val="center"/>
          </w:tcPr>
          <w:p w14:paraId="4748E0EA">
            <w:pPr>
              <w:jc w:val="center"/>
              <w:rPr>
                <w:sz w:val="22"/>
                <w:szCs w:val="22"/>
              </w:rPr>
            </w:pPr>
            <w:r>
              <w:rPr>
                <w:sz w:val="22"/>
                <w:szCs w:val="22"/>
              </w:rPr>
              <w:t>6</w:t>
            </w:r>
          </w:p>
        </w:tc>
        <w:tc>
          <w:tcPr>
            <w:tcW w:w="1010" w:type="dxa"/>
            <w:noWrap/>
            <w:vAlign w:val="center"/>
          </w:tcPr>
          <w:p w14:paraId="51E95689">
            <w:pPr>
              <w:jc w:val="center"/>
              <w:rPr>
                <w:sz w:val="22"/>
                <w:szCs w:val="22"/>
              </w:rPr>
            </w:pPr>
            <w:r>
              <w:rPr>
                <w:sz w:val="22"/>
                <w:szCs w:val="22"/>
              </w:rPr>
              <w:t>80,00</w:t>
            </w:r>
          </w:p>
        </w:tc>
        <w:tc>
          <w:tcPr>
            <w:tcW w:w="1591" w:type="dxa"/>
            <w:noWrap/>
            <w:vAlign w:val="center"/>
          </w:tcPr>
          <w:p w14:paraId="7FA9A453">
            <w:pPr>
              <w:jc w:val="center"/>
              <w:rPr>
                <w:sz w:val="22"/>
                <w:szCs w:val="22"/>
              </w:rPr>
            </w:pPr>
            <w:r>
              <w:rPr>
                <w:sz w:val="22"/>
                <w:szCs w:val="22"/>
              </w:rPr>
              <w:t>640.000.000</w:t>
            </w:r>
          </w:p>
        </w:tc>
        <w:tc>
          <w:tcPr>
            <w:tcW w:w="1700" w:type="dxa"/>
            <w:noWrap/>
            <w:vAlign w:val="center"/>
          </w:tcPr>
          <w:p w14:paraId="2A120D33">
            <w:pPr>
              <w:jc w:val="center"/>
              <w:rPr>
                <w:sz w:val="22"/>
                <w:szCs w:val="22"/>
              </w:rPr>
            </w:pPr>
            <w:r>
              <w:rPr>
                <w:sz w:val="22"/>
                <w:szCs w:val="22"/>
              </w:rPr>
              <w:t>989.889.000</w:t>
            </w:r>
          </w:p>
        </w:tc>
        <w:tc>
          <w:tcPr>
            <w:tcW w:w="1140" w:type="dxa"/>
            <w:noWrap/>
            <w:vAlign w:val="center"/>
          </w:tcPr>
          <w:p w14:paraId="1191198C">
            <w:pPr>
              <w:jc w:val="center"/>
              <w:rPr>
                <w:sz w:val="22"/>
                <w:szCs w:val="22"/>
              </w:rPr>
            </w:pPr>
            <w:r>
              <w:rPr>
                <w:sz w:val="22"/>
                <w:szCs w:val="22"/>
              </w:rPr>
              <w:t>1,55%</w:t>
            </w:r>
          </w:p>
        </w:tc>
      </w:tr>
      <w:tr w14:paraId="7D41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A62CB33">
            <w:pPr>
              <w:jc w:val="center"/>
              <w:rPr>
                <w:sz w:val="22"/>
                <w:szCs w:val="22"/>
              </w:rPr>
            </w:pPr>
            <w:r>
              <w:rPr>
                <w:sz w:val="22"/>
                <w:szCs w:val="22"/>
              </w:rPr>
              <w:t>15</w:t>
            </w:r>
          </w:p>
        </w:tc>
        <w:tc>
          <w:tcPr>
            <w:tcW w:w="1752" w:type="dxa"/>
            <w:noWrap/>
            <w:vAlign w:val="center"/>
          </w:tcPr>
          <w:p w14:paraId="0B1A0FBD">
            <w:pPr>
              <w:jc w:val="center"/>
              <w:rPr>
                <w:sz w:val="22"/>
                <w:szCs w:val="22"/>
              </w:rPr>
            </w:pPr>
          </w:p>
        </w:tc>
        <w:tc>
          <w:tcPr>
            <w:tcW w:w="944" w:type="dxa"/>
            <w:vMerge w:val="continue"/>
            <w:vAlign w:val="center"/>
          </w:tcPr>
          <w:p w14:paraId="01DA7F95">
            <w:pPr>
              <w:jc w:val="center"/>
              <w:rPr>
                <w:sz w:val="22"/>
                <w:szCs w:val="22"/>
              </w:rPr>
            </w:pPr>
          </w:p>
        </w:tc>
        <w:tc>
          <w:tcPr>
            <w:tcW w:w="1116" w:type="dxa"/>
            <w:noWrap/>
            <w:vAlign w:val="center"/>
          </w:tcPr>
          <w:p w14:paraId="365D3A44">
            <w:pPr>
              <w:jc w:val="center"/>
              <w:rPr>
                <w:sz w:val="22"/>
                <w:szCs w:val="22"/>
              </w:rPr>
            </w:pPr>
            <w:r>
              <w:rPr>
                <w:sz w:val="22"/>
                <w:szCs w:val="22"/>
              </w:rPr>
              <w:t>7</w:t>
            </w:r>
          </w:p>
        </w:tc>
        <w:tc>
          <w:tcPr>
            <w:tcW w:w="1010" w:type="dxa"/>
            <w:noWrap/>
            <w:vAlign w:val="center"/>
          </w:tcPr>
          <w:p w14:paraId="319112F4">
            <w:pPr>
              <w:jc w:val="center"/>
              <w:rPr>
                <w:sz w:val="22"/>
                <w:szCs w:val="22"/>
              </w:rPr>
            </w:pPr>
            <w:r>
              <w:rPr>
                <w:sz w:val="22"/>
                <w:szCs w:val="22"/>
              </w:rPr>
              <w:t>80,00</w:t>
            </w:r>
          </w:p>
        </w:tc>
        <w:tc>
          <w:tcPr>
            <w:tcW w:w="1591" w:type="dxa"/>
            <w:noWrap/>
            <w:vAlign w:val="center"/>
          </w:tcPr>
          <w:p w14:paraId="2590F9BA">
            <w:pPr>
              <w:jc w:val="center"/>
              <w:rPr>
                <w:sz w:val="22"/>
                <w:szCs w:val="22"/>
              </w:rPr>
            </w:pPr>
            <w:r>
              <w:rPr>
                <w:sz w:val="22"/>
                <w:szCs w:val="22"/>
              </w:rPr>
              <w:t>640.000.000</w:t>
            </w:r>
          </w:p>
        </w:tc>
        <w:tc>
          <w:tcPr>
            <w:tcW w:w="1700" w:type="dxa"/>
            <w:noWrap/>
            <w:vAlign w:val="center"/>
          </w:tcPr>
          <w:p w14:paraId="45C91B4D">
            <w:pPr>
              <w:jc w:val="center"/>
              <w:rPr>
                <w:sz w:val="22"/>
                <w:szCs w:val="22"/>
              </w:rPr>
            </w:pPr>
            <w:r>
              <w:rPr>
                <w:sz w:val="22"/>
                <w:szCs w:val="22"/>
              </w:rPr>
              <w:t>969.889.000</w:t>
            </w:r>
          </w:p>
        </w:tc>
        <w:tc>
          <w:tcPr>
            <w:tcW w:w="1140" w:type="dxa"/>
            <w:noWrap/>
            <w:vAlign w:val="center"/>
          </w:tcPr>
          <w:p w14:paraId="4F2944CB">
            <w:pPr>
              <w:jc w:val="center"/>
              <w:rPr>
                <w:sz w:val="22"/>
                <w:szCs w:val="22"/>
              </w:rPr>
            </w:pPr>
            <w:r>
              <w:rPr>
                <w:sz w:val="22"/>
                <w:szCs w:val="22"/>
              </w:rPr>
              <w:t>1,52%</w:t>
            </w:r>
          </w:p>
        </w:tc>
      </w:tr>
      <w:tr w14:paraId="44BE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2E447F2">
            <w:pPr>
              <w:jc w:val="center"/>
              <w:rPr>
                <w:sz w:val="22"/>
                <w:szCs w:val="22"/>
              </w:rPr>
            </w:pPr>
            <w:r>
              <w:rPr>
                <w:sz w:val="22"/>
                <w:szCs w:val="22"/>
              </w:rPr>
              <w:t>16</w:t>
            </w:r>
          </w:p>
        </w:tc>
        <w:tc>
          <w:tcPr>
            <w:tcW w:w="1752" w:type="dxa"/>
            <w:noWrap/>
            <w:vAlign w:val="center"/>
          </w:tcPr>
          <w:p w14:paraId="4AA8EA67">
            <w:pPr>
              <w:jc w:val="center"/>
              <w:rPr>
                <w:sz w:val="22"/>
                <w:szCs w:val="22"/>
              </w:rPr>
            </w:pPr>
          </w:p>
        </w:tc>
        <w:tc>
          <w:tcPr>
            <w:tcW w:w="944" w:type="dxa"/>
            <w:vMerge w:val="continue"/>
            <w:vAlign w:val="center"/>
          </w:tcPr>
          <w:p w14:paraId="4D3542F1">
            <w:pPr>
              <w:jc w:val="center"/>
              <w:rPr>
                <w:sz w:val="22"/>
                <w:szCs w:val="22"/>
              </w:rPr>
            </w:pPr>
          </w:p>
        </w:tc>
        <w:tc>
          <w:tcPr>
            <w:tcW w:w="1116" w:type="dxa"/>
            <w:noWrap/>
            <w:vAlign w:val="center"/>
          </w:tcPr>
          <w:p w14:paraId="0F55E302">
            <w:pPr>
              <w:jc w:val="center"/>
              <w:rPr>
                <w:sz w:val="22"/>
                <w:szCs w:val="22"/>
              </w:rPr>
            </w:pPr>
            <w:r>
              <w:rPr>
                <w:sz w:val="22"/>
                <w:szCs w:val="22"/>
              </w:rPr>
              <w:t>8</w:t>
            </w:r>
          </w:p>
        </w:tc>
        <w:tc>
          <w:tcPr>
            <w:tcW w:w="1010" w:type="dxa"/>
            <w:noWrap/>
            <w:vAlign w:val="center"/>
          </w:tcPr>
          <w:p w14:paraId="6CF273D4">
            <w:pPr>
              <w:jc w:val="center"/>
              <w:rPr>
                <w:sz w:val="22"/>
                <w:szCs w:val="22"/>
              </w:rPr>
            </w:pPr>
            <w:r>
              <w:rPr>
                <w:sz w:val="22"/>
                <w:szCs w:val="22"/>
              </w:rPr>
              <w:t>80,00</w:t>
            </w:r>
          </w:p>
        </w:tc>
        <w:tc>
          <w:tcPr>
            <w:tcW w:w="1591" w:type="dxa"/>
            <w:noWrap/>
            <w:vAlign w:val="center"/>
          </w:tcPr>
          <w:p w14:paraId="2C527D62">
            <w:pPr>
              <w:jc w:val="center"/>
              <w:rPr>
                <w:sz w:val="22"/>
                <w:szCs w:val="22"/>
              </w:rPr>
            </w:pPr>
            <w:r>
              <w:rPr>
                <w:sz w:val="22"/>
                <w:szCs w:val="22"/>
              </w:rPr>
              <w:t>640.000.000</w:t>
            </w:r>
          </w:p>
        </w:tc>
        <w:tc>
          <w:tcPr>
            <w:tcW w:w="1700" w:type="dxa"/>
            <w:noWrap/>
            <w:vAlign w:val="center"/>
          </w:tcPr>
          <w:p w14:paraId="73A0EBB2">
            <w:pPr>
              <w:jc w:val="center"/>
              <w:rPr>
                <w:sz w:val="22"/>
                <w:szCs w:val="22"/>
              </w:rPr>
            </w:pPr>
            <w:r>
              <w:rPr>
                <w:sz w:val="22"/>
                <w:szCs w:val="22"/>
              </w:rPr>
              <w:t>939.983.000</w:t>
            </w:r>
          </w:p>
        </w:tc>
        <w:tc>
          <w:tcPr>
            <w:tcW w:w="1140" w:type="dxa"/>
            <w:noWrap/>
            <w:vAlign w:val="center"/>
          </w:tcPr>
          <w:p w14:paraId="7F7EF65C">
            <w:pPr>
              <w:jc w:val="center"/>
              <w:rPr>
                <w:sz w:val="22"/>
                <w:szCs w:val="22"/>
              </w:rPr>
            </w:pPr>
            <w:r>
              <w:rPr>
                <w:sz w:val="22"/>
                <w:szCs w:val="22"/>
              </w:rPr>
              <w:t>1,47%</w:t>
            </w:r>
          </w:p>
        </w:tc>
      </w:tr>
      <w:tr w14:paraId="1531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C090DA2">
            <w:pPr>
              <w:jc w:val="center"/>
              <w:rPr>
                <w:sz w:val="22"/>
                <w:szCs w:val="22"/>
              </w:rPr>
            </w:pPr>
            <w:r>
              <w:rPr>
                <w:sz w:val="22"/>
                <w:szCs w:val="22"/>
              </w:rPr>
              <w:t>17</w:t>
            </w:r>
          </w:p>
        </w:tc>
        <w:tc>
          <w:tcPr>
            <w:tcW w:w="1752" w:type="dxa"/>
            <w:noWrap/>
            <w:vAlign w:val="center"/>
          </w:tcPr>
          <w:p w14:paraId="125CDC9E">
            <w:pPr>
              <w:jc w:val="center"/>
              <w:rPr>
                <w:sz w:val="22"/>
                <w:szCs w:val="22"/>
              </w:rPr>
            </w:pPr>
          </w:p>
        </w:tc>
        <w:tc>
          <w:tcPr>
            <w:tcW w:w="944" w:type="dxa"/>
            <w:vMerge w:val="continue"/>
            <w:vAlign w:val="center"/>
          </w:tcPr>
          <w:p w14:paraId="0F8847EF">
            <w:pPr>
              <w:jc w:val="center"/>
              <w:rPr>
                <w:sz w:val="22"/>
                <w:szCs w:val="22"/>
              </w:rPr>
            </w:pPr>
          </w:p>
        </w:tc>
        <w:tc>
          <w:tcPr>
            <w:tcW w:w="1116" w:type="dxa"/>
            <w:noWrap/>
            <w:vAlign w:val="center"/>
          </w:tcPr>
          <w:p w14:paraId="7A3C4794">
            <w:pPr>
              <w:jc w:val="center"/>
              <w:rPr>
                <w:sz w:val="22"/>
                <w:szCs w:val="22"/>
              </w:rPr>
            </w:pPr>
            <w:r>
              <w:rPr>
                <w:sz w:val="22"/>
                <w:szCs w:val="22"/>
              </w:rPr>
              <w:t>9</w:t>
            </w:r>
          </w:p>
        </w:tc>
        <w:tc>
          <w:tcPr>
            <w:tcW w:w="1010" w:type="dxa"/>
            <w:noWrap/>
            <w:vAlign w:val="center"/>
          </w:tcPr>
          <w:p w14:paraId="7592FBF6">
            <w:pPr>
              <w:jc w:val="center"/>
              <w:rPr>
                <w:sz w:val="22"/>
                <w:szCs w:val="22"/>
              </w:rPr>
            </w:pPr>
            <w:r>
              <w:rPr>
                <w:sz w:val="22"/>
                <w:szCs w:val="22"/>
              </w:rPr>
              <w:t>80,00</w:t>
            </w:r>
          </w:p>
        </w:tc>
        <w:tc>
          <w:tcPr>
            <w:tcW w:w="1591" w:type="dxa"/>
            <w:noWrap/>
            <w:vAlign w:val="center"/>
          </w:tcPr>
          <w:p w14:paraId="22D90EAB">
            <w:pPr>
              <w:jc w:val="center"/>
              <w:rPr>
                <w:sz w:val="22"/>
                <w:szCs w:val="22"/>
              </w:rPr>
            </w:pPr>
            <w:r>
              <w:rPr>
                <w:sz w:val="22"/>
                <w:szCs w:val="22"/>
              </w:rPr>
              <w:t>640.000.000</w:t>
            </w:r>
          </w:p>
        </w:tc>
        <w:tc>
          <w:tcPr>
            <w:tcW w:w="1700" w:type="dxa"/>
            <w:noWrap/>
            <w:vAlign w:val="center"/>
          </w:tcPr>
          <w:p w14:paraId="7C148B29">
            <w:pPr>
              <w:jc w:val="center"/>
              <w:rPr>
                <w:sz w:val="22"/>
                <w:szCs w:val="22"/>
              </w:rPr>
            </w:pPr>
            <w:r>
              <w:rPr>
                <w:sz w:val="22"/>
                <w:szCs w:val="22"/>
              </w:rPr>
              <w:t>1.010.000.000</w:t>
            </w:r>
          </w:p>
        </w:tc>
        <w:tc>
          <w:tcPr>
            <w:tcW w:w="1140" w:type="dxa"/>
            <w:noWrap/>
            <w:vAlign w:val="center"/>
          </w:tcPr>
          <w:p w14:paraId="3B2BAA51">
            <w:pPr>
              <w:jc w:val="center"/>
              <w:rPr>
                <w:sz w:val="22"/>
                <w:szCs w:val="22"/>
              </w:rPr>
            </w:pPr>
            <w:r>
              <w:rPr>
                <w:sz w:val="22"/>
                <w:szCs w:val="22"/>
              </w:rPr>
              <w:t>1,58%</w:t>
            </w:r>
          </w:p>
        </w:tc>
      </w:tr>
      <w:tr w14:paraId="5982C88D">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2FBFEE2C">
            <w:pPr>
              <w:jc w:val="center"/>
              <w:rPr>
                <w:sz w:val="22"/>
                <w:szCs w:val="22"/>
              </w:rPr>
            </w:pPr>
            <w:r>
              <w:rPr>
                <w:sz w:val="22"/>
                <w:szCs w:val="22"/>
              </w:rPr>
              <w:t>18</w:t>
            </w:r>
          </w:p>
        </w:tc>
        <w:tc>
          <w:tcPr>
            <w:tcW w:w="1752" w:type="dxa"/>
            <w:noWrap/>
            <w:vAlign w:val="center"/>
          </w:tcPr>
          <w:p w14:paraId="7120CCB2">
            <w:pPr>
              <w:jc w:val="center"/>
              <w:rPr>
                <w:sz w:val="22"/>
                <w:szCs w:val="22"/>
              </w:rPr>
            </w:pPr>
          </w:p>
        </w:tc>
        <w:tc>
          <w:tcPr>
            <w:tcW w:w="944" w:type="dxa"/>
            <w:vMerge w:val="continue"/>
            <w:vAlign w:val="center"/>
          </w:tcPr>
          <w:p w14:paraId="1259CA25">
            <w:pPr>
              <w:jc w:val="center"/>
              <w:rPr>
                <w:sz w:val="22"/>
                <w:szCs w:val="22"/>
              </w:rPr>
            </w:pPr>
          </w:p>
        </w:tc>
        <w:tc>
          <w:tcPr>
            <w:tcW w:w="1116" w:type="dxa"/>
            <w:noWrap/>
            <w:vAlign w:val="center"/>
          </w:tcPr>
          <w:p w14:paraId="19AC9C20">
            <w:pPr>
              <w:jc w:val="center"/>
              <w:rPr>
                <w:sz w:val="22"/>
                <w:szCs w:val="22"/>
              </w:rPr>
            </w:pPr>
            <w:r>
              <w:rPr>
                <w:sz w:val="22"/>
                <w:szCs w:val="22"/>
              </w:rPr>
              <w:t>10</w:t>
            </w:r>
          </w:p>
        </w:tc>
        <w:tc>
          <w:tcPr>
            <w:tcW w:w="1010" w:type="dxa"/>
            <w:noWrap/>
            <w:vAlign w:val="center"/>
          </w:tcPr>
          <w:p w14:paraId="0DEE3153">
            <w:pPr>
              <w:jc w:val="center"/>
              <w:rPr>
                <w:sz w:val="22"/>
                <w:szCs w:val="22"/>
              </w:rPr>
            </w:pPr>
            <w:r>
              <w:rPr>
                <w:sz w:val="22"/>
                <w:szCs w:val="22"/>
              </w:rPr>
              <w:t>80,00</w:t>
            </w:r>
          </w:p>
        </w:tc>
        <w:tc>
          <w:tcPr>
            <w:tcW w:w="1591" w:type="dxa"/>
            <w:noWrap/>
            <w:vAlign w:val="center"/>
          </w:tcPr>
          <w:p w14:paraId="05E6EB63">
            <w:pPr>
              <w:jc w:val="center"/>
              <w:rPr>
                <w:sz w:val="22"/>
                <w:szCs w:val="22"/>
              </w:rPr>
            </w:pPr>
            <w:r>
              <w:rPr>
                <w:sz w:val="22"/>
                <w:szCs w:val="22"/>
              </w:rPr>
              <w:t>640.000.000</w:t>
            </w:r>
          </w:p>
        </w:tc>
        <w:tc>
          <w:tcPr>
            <w:tcW w:w="1700" w:type="dxa"/>
            <w:noWrap/>
            <w:vAlign w:val="center"/>
          </w:tcPr>
          <w:p w14:paraId="06E0EB37">
            <w:pPr>
              <w:jc w:val="center"/>
              <w:rPr>
                <w:sz w:val="22"/>
                <w:szCs w:val="22"/>
              </w:rPr>
            </w:pPr>
            <w:r>
              <w:rPr>
                <w:sz w:val="22"/>
                <w:szCs w:val="22"/>
              </w:rPr>
              <w:t>973.000.000</w:t>
            </w:r>
          </w:p>
        </w:tc>
        <w:tc>
          <w:tcPr>
            <w:tcW w:w="1140" w:type="dxa"/>
            <w:noWrap/>
            <w:vAlign w:val="center"/>
          </w:tcPr>
          <w:p w14:paraId="7DAC63EF">
            <w:pPr>
              <w:jc w:val="center"/>
              <w:rPr>
                <w:sz w:val="22"/>
                <w:szCs w:val="22"/>
              </w:rPr>
            </w:pPr>
            <w:r>
              <w:rPr>
                <w:sz w:val="22"/>
                <w:szCs w:val="22"/>
              </w:rPr>
              <w:t>1,52%</w:t>
            </w:r>
          </w:p>
        </w:tc>
      </w:tr>
      <w:tr w14:paraId="6207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954A577">
            <w:pPr>
              <w:jc w:val="center"/>
              <w:rPr>
                <w:sz w:val="22"/>
                <w:szCs w:val="22"/>
              </w:rPr>
            </w:pPr>
            <w:r>
              <w:rPr>
                <w:sz w:val="22"/>
                <w:szCs w:val="22"/>
              </w:rPr>
              <w:t>19</w:t>
            </w:r>
          </w:p>
        </w:tc>
        <w:tc>
          <w:tcPr>
            <w:tcW w:w="1752" w:type="dxa"/>
            <w:noWrap/>
            <w:vAlign w:val="center"/>
          </w:tcPr>
          <w:p w14:paraId="0F5C6A59">
            <w:pPr>
              <w:jc w:val="center"/>
              <w:rPr>
                <w:sz w:val="22"/>
                <w:szCs w:val="22"/>
              </w:rPr>
            </w:pPr>
          </w:p>
        </w:tc>
        <w:tc>
          <w:tcPr>
            <w:tcW w:w="944" w:type="dxa"/>
            <w:vMerge w:val="continue"/>
            <w:vAlign w:val="center"/>
          </w:tcPr>
          <w:p w14:paraId="6768A0EF">
            <w:pPr>
              <w:jc w:val="center"/>
              <w:rPr>
                <w:sz w:val="22"/>
                <w:szCs w:val="22"/>
              </w:rPr>
            </w:pPr>
          </w:p>
        </w:tc>
        <w:tc>
          <w:tcPr>
            <w:tcW w:w="1116" w:type="dxa"/>
            <w:noWrap/>
            <w:vAlign w:val="center"/>
          </w:tcPr>
          <w:p w14:paraId="33F2F167">
            <w:pPr>
              <w:jc w:val="center"/>
              <w:rPr>
                <w:sz w:val="22"/>
                <w:szCs w:val="22"/>
              </w:rPr>
            </w:pPr>
            <w:r>
              <w:rPr>
                <w:sz w:val="22"/>
                <w:szCs w:val="22"/>
              </w:rPr>
              <w:t>11</w:t>
            </w:r>
          </w:p>
        </w:tc>
        <w:tc>
          <w:tcPr>
            <w:tcW w:w="1010" w:type="dxa"/>
            <w:noWrap/>
            <w:vAlign w:val="center"/>
          </w:tcPr>
          <w:p w14:paraId="0A23CA92">
            <w:pPr>
              <w:jc w:val="center"/>
              <w:rPr>
                <w:sz w:val="22"/>
                <w:szCs w:val="22"/>
              </w:rPr>
            </w:pPr>
            <w:r>
              <w:rPr>
                <w:sz w:val="22"/>
                <w:szCs w:val="22"/>
              </w:rPr>
              <w:t>80,00</w:t>
            </w:r>
          </w:p>
        </w:tc>
        <w:tc>
          <w:tcPr>
            <w:tcW w:w="1591" w:type="dxa"/>
            <w:noWrap/>
            <w:vAlign w:val="center"/>
          </w:tcPr>
          <w:p w14:paraId="1A1F07D3">
            <w:pPr>
              <w:jc w:val="center"/>
              <w:rPr>
                <w:sz w:val="22"/>
                <w:szCs w:val="22"/>
              </w:rPr>
            </w:pPr>
            <w:r>
              <w:rPr>
                <w:sz w:val="22"/>
                <w:szCs w:val="22"/>
              </w:rPr>
              <w:t>640.000.000</w:t>
            </w:r>
          </w:p>
        </w:tc>
        <w:tc>
          <w:tcPr>
            <w:tcW w:w="1700" w:type="dxa"/>
            <w:noWrap/>
            <w:vAlign w:val="center"/>
          </w:tcPr>
          <w:p w14:paraId="337BF9C0">
            <w:pPr>
              <w:jc w:val="center"/>
              <w:rPr>
                <w:sz w:val="22"/>
                <w:szCs w:val="22"/>
              </w:rPr>
            </w:pPr>
            <w:r>
              <w:rPr>
                <w:sz w:val="22"/>
                <w:szCs w:val="22"/>
              </w:rPr>
              <w:t>929.000.000</w:t>
            </w:r>
          </w:p>
        </w:tc>
        <w:tc>
          <w:tcPr>
            <w:tcW w:w="1140" w:type="dxa"/>
            <w:noWrap/>
            <w:vAlign w:val="center"/>
          </w:tcPr>
          <w:p w14:paraId="36291B42">
            <w:pPr>
              <w:jc w:val="center"/>
              <w:rPr>
                <w:sz w:val="22"/>
                <w:szCs w:val="22"/>
              </w:rPr>
            </w:pPr>
            <w:r>
              <w:rPr>
                <w:sz w:val="22"/>
                <w:szCs w:val="22"/>
              </w:rPr>
              <w:t>1,45%</w:t>
            </w:r>
          </w:p>
        </w:tc>
      </w:tr>
      <w:tr w14:paraId="5D8A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66D02B3">
            <w:pPr>
              <w:jc w:val="center"/>
              <w:rPr>
                <w:sz w:val="22"/>
                <w:szCs w:val="22"/>
              </w:rPr>
            </w:pPr>
            <w:r>
              <w:rPr>
                <w:sz w:val="22"/>
                <w:szCs w:val="22"/>
              </w:rPr>
              <w:t>20</w:t>
            </w:r>
          </w:p>
        </w:tc>
        <w:tc>
          <w:tcPr>
            <w:tcW w:w="1752" w:type="dxa"/>
            <w:noWrap/>
            <w:vAlign w:val="center"/>
          </w:tcPr>
          <w:p w14:paraId="2F0D7C99">
            <w:pPr>
              <w:jc w:val="center"/>
              <w:rPr>
                <w:sz w:val="22"/>
                <w:szCs w:val="22"/>
              </w:rPr>
            </w:pPr>
          </w:p>
        </w:tc>
        <w:tc>
          <w:tcPr>
            <w:tcW w:w="944" w:type="dxa"/>
            <w:vMerge w:val="continue"/>
            <w:vAlign w:val="center"/>
          </w:tcPr>
          <w:p w14:paraId="3371BED1">
            <w:pPr>
              <w:jc w:val="center"/>
              <w:rPr>
                <w:sz w:val="22"/>
                <w:szCs w:val="22"/>
              </w:rPr>
            </w:pPr>
          </w:p>
        </w:tc>
        <w:tc>
          <w:tcPr>
            <w:tcW w:w="1116" w:type="dxa"/>
            <w:noWrap/>
            <w:vAlign w:val="center"/>
          </w:tcPr>
          <w:p w14:paraId="2DB22B79">
            <w:pPr>
              <w:jc w:val="center"/>
              <w:rPr>
                <w:sz w:val="22"/>
                <w:szCs w:val="22"/>
              </w:rPr>
            </w:pPr>
            <w:r>
              <w:rPr>
                <w:sz w:val="22"/>
                <w:szCs w:val="22"/>
              </w:rPr>
              <w:t>12</w:t>
            </w:r>
          </w:p>
        </w:tc>
        <w:tc>
          <w:tcPr>
            <w:tcW w:w="1010" w:type="dxa"/>
            <w:noWrap/>
            <w:vAlign w:val="center"/>
          </w:tcPr>
          <w:p w14:paraId="273A88BD">
            <w:pPr>
              <w:jc w:val="center"/>
              <w:rPr>
                <w:sz w:val="22"/>
                <w:szCs w:val="22"/>
              </w:rPr>
            </w:pPr>
            <w:r>
              <w:rPr>
                <w:sz w:val="22"/>
                <w:szCs w:val="22"/>
              </w:rPr>
              <w:t>80,00</w:t>
            </w:r>
          </w:p>
        </w:tc>
        <w:tc>
          <w:tcPr>
            <w:tcW w:w="1591" w:type="dxa"/>
            <w:noWrap/>
            <w:vAlign w:val="center"/>
          </w:tcPr>
          <w:p w14:paraId="0B9C94F4">
            <w:pPr>
              <w:jc w:val="center"/>
              <w:rPr>
                <w:sz w:val="22"/>
                <w:szCs w:val="22"/>
              </w:rPr>
            </w:pPr>
            <w:r>
              <w:rPr>
                <w:sz w:val="22"/>
                <w:szCs w:val="22"/>
              </w:rPr>
              <w:t>640.000.000</w:t>
            </w:r>
          </w:p>
        </w:tc>
        <w:tc>
          <w:tcPr>
            <w:tcW w:w="1700" w:type="dxa"/>
            <w:noWrap/>
            <w:vAlign w:val="center"/>
          </w:tcPr>
          <w:p w14:paraId="110B0366">
            <w:pPr>
              <w:jc w:val="center"/>
              <w:rPr>
                <w:sz w:val="22"/>
                <w:szCs w:val="22"/>
              </w:rPr>
            </w:pPr>
            <w:r>
              <w:rPr>
                <w:sz w:val="22"/>
                <w:szCs w:val="22"/>
              </w:rPr>
              <w:t>929.000.000</w:t>
            </w:r>
          </w:p>
        </w:tc>
        <w:tc>
          <w:tcPr>
            <w:tcW w:w="1140" w:type="dxa"/>
            <w:noWrap/>
            <w:vAlign w:val="center"/>
          </w:tcPr>
          <w:p w14:paraId="6E8E20B7">
            <w:pPr>
              <w:jc w:val="center"/>
              <w:rPr>
                <w:sz w:val="22"/>
                <w:szCs w:val="22"/>
              </w:rPr>
            </w:pPr>
            <w:r>
              <w:rPr>
                <w:sz w:val="22"/>
                <w:szCs w:val="22"/>
              </w:rPr>
              <w:t>1,45%</w:t>
            </w:r>
          </w:p>
        </w:tc>
      </w:tr>
      <w:tr w14:paraId="063D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2AE1791">
            <w:pPr>
              <w:jc w:val="center"/>
              <w:rPr>
                <w:sz w:val="22"/>
                <w:szCs w:val="22"/>
              </w:rPr>
            </w:pPr>
            <w:r>
              <w:rPr>
                <w:sz w:val="22"/>
                <w:szCs w:val="22"/>
              </w:rPr>
              <w:t>21</w:t>
            </w:r>
          </w:p>
        </w:tc>
        <w:tc>
          <w:tcPr>
            <w:tcW w:w="1752" w:type="dxa"/>
            <w:noWrap/>
            <w:vAlign w:val="center"/>
          </w:tcPr>
          <w:p w14:paraId="3BCAC0AF">
            <w:pPr>
              <w:jc w:val="center"/>
              <w:rPr>
                <w:sz w:val="22"/>
                <w:szCs w:val="22"/>
              </w:rPr>
            </w:pPr>
          </w:p>
        </w:tc>
        <w:tc>
          <w:tcPr>
            <w:tcW w:w="944" w:type="dxa"/>
            <w:vMerge w:val="continue"/>
            <w:vAlign w:val="center"/>
          </w:tcPr>
          <w:p w14:paraId="6C4EDD74">
            <w:pPr>
              <w:jc w:val="center"/>
              <w:rPr>
                <w:sz w:val="22"/>
                <w:szCs w:val="22"/>
              </w:rPr>
            </w:pPr>
          </w:p>
        </w:tc>
        <w:tc>
          <w:tcPr>
            <w:tcW w:w="1116" w:type="dxa"/>
            <w:noWrap/>
            <w:vAlign w:val="center"/>
          </w:tcPr>
          <w:p w14:paraId="289289DA">
            <w:pPr>
              <w:jc w:val="center"/>
              <w:rPr>
                <w:sz w:val="22"/>
                <w:szCs w:val="22"/>
              </w:rPr>
            </w:pPr>
            <w:r>
              <w:rPr>
                <w:sz w:val="22"/>
                <w:szCs w:val="22"/>
              </w:rPr>
              <w:t>13</w:t>
            </w:r>
          </w:p>
        </w:tc>
        <w:tc>
          <w:tcPr>
            <w:tcW w:w="1010" w:type="dxa"/>
            <w:noWrap/>
            <w:vAlign w:val="center"/>
          </w:tcPr>
          <w:p w14:paraId="18BF3A74">
            <w:pPr>
              <w:jc w:val="center"/>
              <w:rPr>
                <w:sz w:val="22"/>
                <w:szCs w:val="22"/>
              </w:rPr>
            </w:pPr>
            <w:r>
              <w:rPr>
                <w:sz w:val="22"/>
                <w:szCs w:val="22"/>
              </w:rPr>
              <w:t>80,00</w:t>
            </w:r>
          </w:p>
        </w:tc>
        <w:tc>
          <w:tcPr>
            <w:tcW w:w="1591" w:type="dxa"/>
            <w:noWrap/>
            <w:vAlign w:val="center"/>
          </w:tcPr>
          <w:p w14:paraId="7B3227D6">
            <w:pPr>
              <w:jc w:val="center"/>
              <w:rPr>
                <w:sz w:val="22"/>
                <w:szCs w:val="22"/>
              </w:rPr>
            </w:pPr>
            <w:r>
              <w:rPr>
                <w:sz w:val="22"/>
                <w:szCs w:val="22"/>
              </w:rPr>
              <w:t>640.000.000</w:t>
            </w:r>
          </w:p>
        </w:tc>
        <w:tc>
          <w:tcPr>
            <w:tcW w:w="1700" w:type="dxa"/>
            <w:noWrap/>
            <w:vAlign w:val="center"/>
          </w:tcPr>
          <w:p w14:paraId="4E2F49AF">
            <w:pPr>
              <w:jc w:val="center"/>
              <w:rPr>
                <w:sz w:val="22"/>
                <w:szCs w:val="22"/>
              </w:rPr>
            </w:pPr>
            <w:r>
              <w:rPr>
                <w:sz w:val="22"/>
                <w:szCs w:val="22"/>
              </w:rPr>
              <w:t>929.000.000</w:t>
            </w:r>
          </w:p>
        </w:tc>
        <w:tc>
          <w:tcPr>
            <w:tcW w:w="1140" w:type="dxa"/>
            <w:noWrap/>
            <w:vAlign w:val="center"/>
          </w:tcPr>
          <w:p w14:paraId="072A8BAE">
            <w:pPr>
              <w:jc w:val="center"/>
              <w:rPr>
                <w:sz w:val="22"/>
                <w:szCs w:val="22"/>
              </w:rPr>
            </w:pPr>
            <w:r>
              <w:rPr>
                <w:sz w:val="22"/>
                <w:szCs w:val="22"/>
              </w:rPr>
              <w:t>1,45%</w:t>
            </w:r>
          </w:p>
        </w:tc>
      </w:tr>
      <w:tr w14:paraId="6ECB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72028AF">
            <w:pPr>
              <w:jc w:val="center"/>
              <w:rPr>
                <w:sz w:val="22"/>
                <w:szCs w:val="22"/>
              </w:rPr>
            </w:pPr>
            <w:r>
              <w:rPr>
                <w:sz w:val="22"/>
                <w:szCs w:val="22"/>
              </w:rPr>
              <w:t>22</w:t>
            </w:r>
          </w:p>
        </w:tc>
        <w:tc>
          <w:tcPr>
            <w:tcW w:w="1752" w:type="dxa"/>
            <w:noWrap/>
            <w:vAlign w:val="center"/>
          </w:tcPr>
          <w:p w14:paraId="27C5C334">
            <w:pPr>
              <w:jc w:val="center"/>
              <w:rPr>
                <w:sz w:val="22"/>
                <w:szCs w:val="22"/>
              </w:rPr>
            </w:pPr>
          </w:p>
        </w:tc>
        <w:tc>
          <w:tcPr>
            <w:tcW w:w="944" w:type="dxa"/>
            <w:vMerge w:val="continue"/>
            <w:vAlign w:val="center"/>
          </w:tcPr>
          <w:p w14:paraId="68DE5EA8">
            <w:pPr>
              <w:jc w:val="center"/>
              <w:rPr>
                <w:sz w:val="22"/>
                <w:szCs w:val="22"/>
              </w:rPr>
            </w:pPr>
          </w:p>
        </w:tc>
        <w:tc>
          <w:tcPr>
            <w:tcW w:w="1116" w:type="dxa"/>
            <w:noWrap/>
            <w:vAlign w:val="center"/>
          </w:tcPr>
          <w:p w14:paraId="35E238C9">
            <w:pPr>
              <w:jc w:val="center"/>
              <w:rPr>
                <w:sz w:val="22"/>
                <w:szCs w:val="22"/>
              </w:rPr>
            </w:pPr>
            <w:r>
              <w:rPr>
                <w:sz w:val="22"/>
                <w:szCs w:val="22"/>
              </w:rPr>
              <w:t>14</w:t>
            </w:r>
          </w:p>
        </w:tc>
        <w:tc>
          <w:tcPr>
            <w:tcW w:w="1010" w:type="dxa"/>
            <w:noWrap/>
            <w:vAlign w:val="center"/>
          </w:tcPr>
          <w:p w14:paraId="42A9441F">
            <w:pPr>
              <w:jc w:val="center"/>
              <w:rPr>
                <w:sz w:val="22"/>
                <w:szCs w:val="22"/>
              </w:rPr>
            </w:pPr>
            <w:r>
              <w:rPr>
                <w:sz w:val="22"/>
                <w:szCs w:val="22"/>
              </w:rPr>
              <w:t>80,00</w:t>
            </w:r>
          </w:p>
        </w:tc>
        <w:tc>
          <w:tcPr>
            <w:tcW w:w="1591" w:type="dxa"/>
            <w:noWrap/>
            <w:vAlign w:val="center"/>
          </w:tcPr>
          <w:p w14:paraId="72A72F94">
            <w:pPr>
              <w:jc w:val="center"/>
              <w:rPr>
                <w:sz w:val="22"/>
                <w:szCs w:val="22"/>
              </w:rPr>
            </w:pPr>
            <w:r>
              <w:rPr>
                <w:sz w:val="22"/>
                <w:szCs w:val="22"/>
              </w:rPr>
              <w:t>640.000.000</w:t>
            </w:r>
          </w:p>
        </w:tc>
        <w:tc>
          <w:tcPr>
            <w:tcW w:w="1700" w:type="dxa"/>
            <w:noWrap/>
            <w:vAlign w:val="center"/>
          </w:tcPr>
          <w:p w14:paraId="12D92433">
            <w:pPr>
              <w:jc w:val="center"/>
              <w:rPr>
                <w:sz w:val="22"/>
                <w:szCs w:val="22"/>
              </w:rPr>
            </w:pPr>
            <w:r>
              <w:rPr>
                <w:sz w:val="22"/>
                <w:szCs w:val="22"/>
              </w:rPr>
              <w:t>943.000.000</w:t>
            </w:r>
          </w:p>
        </w:tc>
        <w:tc>
          <w:tcPr>
            <w:tcW w:w="1140" w:type="dxa"/>
            <w:noWrap/>
            <w:vAlign w:val="center"/>
          </w:tcPr>
          <w:p w14:paraId="2F4E6D81">
            <w:pPr>
              <w:jc w:val="center"/>
              <w:rPr>
                <w:sz w:val="22"/>
                <w:szCs w:val="22"/>
              </w:rPr>
            </w:pPr>
            <w:r>
              <w:rPr>
                <w:sz w:val="22"/>
                <w:szCs w:val="22"/>
              </w:rPr>
              <w:t>1,47%</w:t>
            </w:r>
          </w:p>
        </w:tc>
      </w:tr>
      <w:tr w14:paraId="0E0874DB">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17635C7A">
            <w:pPr>
              <w:jc w:val="center"/>
              <w:rPr>
                <w:sz w:val="22"/>
                <w:szCs w:val="22"/>
              </w:rPr>
            </w:pPr>
            <w:r>
              <w:rPr>
                <w:sz w:val="22"/>
                <w:szCs w:val="22"/>
              </w:rPr>
              <w:t>23</w:t>
            </w:r>
          </w:p>
        </w:tc>
        <w:tc>
          <w:tcPr>
            <w:tcW w:w="1752" w:type="dxa"/>
            <w:noWrap/>
            <w:vAlign w:val="center"/>
          </w:tcPr>
          <w:p w14:paraId="59DF63C0">
            <w:pPr>
              <w:jc w:val="center"/>
              <w:rPr>
                <w:sz w:val="22"/>
                <w:szCs w:val="22"/>
              </w:rPr>
            </w:pPr>
          </w:p>
        </w:tc>
        <w:tc>
          <w:tcPr>
            <w:tcW w:w="944" w:type="dxa"/>
            <w:vMerge w:val="continue"/>
            <w:vAlign w:val="center"/>
          </w:tcPr>
          <w:p w14:paraId="6A0295C3">
            <w:pPr>
              <w:jc w:val="center"/>
              <w:rPr>
                <w:sz w:val="22"/>
                <w:szCs w:val="22"/>
              </w:rPr>
            </w:pPr>
          </w:p>
        </w:tc>
        <w:tc>
          <w:tcPr>
            <w:tcW w:w="1116" w:type="dxa"/>
            <w:noWrap/>
            <w:vAlign w:val="center"/>
          </w:tcPr>
          <w:p w14:paraId="003851F4">
            <w:pPr>
              <w:jc w:val="center"/>
              <w:rPr>
                <w:sz w:val="22"/>
                <w:szCs w:val="22"/>
              </w:rPr>
            </w:pPr>
            <w:r>
              <w:rPr>
                <w:sz w:val="22"/>
                <w:szCs w:val="22"/>
              </w:rPr>
              <w:t>15</w:t>
            </w:r>
          </w:p>
        </w:tc>
        <w:tc>
          <w:tcPr>
            <w:tcW w:w="1010" w:type="dxa"/>
            <w:noWrap/>
            <w:vAlign w:val="center"/>
          </w:tcPr>
          <w:p w14:paraId="0BACB7A3">
            <w:pPr>
              <w:jc w:val="center"/>
              <w:rPr>
                <w:sz w:val="22"/>
                <w:szCs w:val="22"/>
              </w:rPr>
            </w:pPr>
            <w:r>
              <w:rPr>
                <w:sz w:val="22"/>
                <w:szCs w:val="22"/>
              </w:rPr>
              <w:t>80,00</w:t>
            </w:r>
          </w:p>
        </w:tc>
        <w:tc>
          <w:tcPr>
            <w:tcW w:w="1591" w:type="dxa"/>
            <w:noWrap/>
            <w:vAlign w:val="center"/>
          </w:tcPr>
          <w:p w14:paraId="7C0DB251">
            <w:pPr>
              <w:jc w:val="center"/>
              <w:rPr>
                <w:sz w:val="22"/>
                <w:szCs w:val="22"/>
              </w:rPr>
            </w:pPr>
            <w:r>
              <w:rPr>
                <w:sz w:val="22"/>
                <w:szCs w:val="22"/>
              </w:rPr>
              <w:t>640.000.000</w:t>
            </w:r>
          </w:p>
        </w:tc>
        <w:tc>
          <w:tcPr>
            <w:tcW w:w="1700" w:type="dxa"/>
            <w:noWrap/>
            <w:vAlign w:val="center"/>
          </w:tcPr>
          <w:p w14:paraId="347ECE4B">
            <w:pPr>
              <w:jc w:val="center"/>
              <w:rPr>
                <w:sz w:val="22"/>
                <w:szCs w:val="22"/>
              </w:rPr>
            </w:pPr>
            <w:r>
              <w:rPr>
                <w:sz w:val="22"/>
                <w:szCs w:val="22"/>
              </w:rPr>
              <w:t>952.200.000</w:t>
            </w:r>
          </w:p>
        </w:tc>
        <w:tc>
          <w:tcPr>
            <w:tcW w:w="1140" w:type="dxa"/>
            <w:noWrap/>
            <w:vAlign w:val="center"/>
          </w:tcPr>
          <w:p w14:paraId="7FBCEE21">
            <w:pPr>
              <w:jc w:val="center"/>
              <w:rPr>
                <w:sz w:val="22"/>
                <w:szCs w:val="22"/>
              </w:rPr>
            </w:pPr>
            <w:r>
              <w:rPr>
                <w:sz w:val="22"/>
                <w:szCs w:val="22"/>
              </w:rPr>
              <w:t>1,49%</w:t>
            </w:r>
          </w:p>
        </w:tc>
      </w:tr>
      <w:tr w14:paraId="3034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577BB9D">
            <w:pPr>
              <w:jc w:val="center"/>
              <w:rPr>
                <w:sz w:val="22"/>
                <w:szCs w:val="22"/>
              </w:rPr>
            </w:pPr>
            <w:r>
              <w:rPr>
                <w:sz w:val="22"/>
                <w:szCs w:val="22"/>
              </w:rPr>
              <w:t>24</w:t>
            </w:r>
          </w:p>
        </w:tc>
        <w:tc>
          <w:tcPr>
            <w:tcW w:w="1752" w:type="dxa"/>
            <w:noWrap/>
            <w:vAlign w:val="center"/>
          </w:tcPr>
          <w:p w14:paraId="0D656FDF">
            <w:pPr>
              <w:jc w:val="center"/>
              <w:rPr>
                <w:sz w:val="22"/>
                <w:szCs w:val="22"/>
              </w:rPr>
            </w:pPr>
          </w:p>
        </w:tc>
        <w:tc>
          <w:tcPr>
            <w:tcW w:w="944" w:type="dxa"/>
            <w:vMerge w:val="continue"/>
            <w:vAlign w:val="center"/>
          </w:tcPr>
          <w:p w14:paraId="07817EFA">
            <w:pPr>
              <w:jc w:val="center"/>
              <w:rPr>
                <w:sz w:val="22"/>
                <w:szCs w:val="22"/>
              </w:rPr>
            </w:pPr>
          </w:p>
        </w:tc>
        <w:tc>
          <w:tcPr>
            <w:tcW w:w="1116" w:type="dxa"/>
            <w:noWrap/>
            <w:vAlign w:val="center"/>
          </w:tcPr>
          <w:p w14:paraId="0DF102CF">
            <w:pPr>
              <w:jc w:val="center"/>
              <w:rPr>
                <w:sz w:val="22"/>
                <w:szCs w:val="22"/>
              </w:rPr>
            </w:pPr>
            <w:r>
              <w:rPr>
                <w:sz w:val="22"/>
                <w:szCs w:val="22"/>
              </w:rPr>
              <w:t>16</w:t>
            </w:r>
          </w:p>
        </w:tc>
        <w:tc>
          <w:tcPr>
            <w:tcW w:w="1010" w:type="dxa"/>
            <w:noWrap/>
            <w:vAlign w:val="center"/>
          </w:tcPr>
          <w:p w14:paraId="72056556">
            <w:pPr>
              <w:jc w:val="center"/>
              <w:rPr>
                <w:sz w:val="22"/>
                <w:szCs w:val="22"/>
              </w:rPr>
            </w:pPr>
            <w:r>
              <w:rPr>
                <w:sz w:val="22"/>
                <w:szCs w:val="22"/>
              </w:rPr>
              <w:t>80,00</w:t>
            </w:r>
          </w:p>
        </w:tc>
        <w:tc>
          <w:tcPr>
            <w:tcW w:w="1591" w:type="dxa"/>
            <w:noWrap/>
            <w:vAlign w:val="center"/>
          </w:tcPr>
          <w:p w14:paraId="540D7F8A">
            <w:pPr>
              <w:jc w:val="center"/>
              <w:rPr>
                <w:sz w:val="22"/>
                <w:szCs w:val="22"/>
              </w:rPr>
            </w:pPr>
            <w:r>
              <w:rPr>
                <w:sz w:val="22"/>
                <w:szCs w:val="22"/>
              </w:rPr>
              <w:t>640.000.000</w:t>
            </w:r>
          </w:p>
        </w:tc>
        <w:tc>
          <w:tcPr>
            <w:tcW w:w="1700" w:type="dxa"/>
            <w:noWrap/>
            <w:vAlign w:val="center"/>
          </w:tcPr>
          <w:p w14:paraId="24E2AF2B">
            <w:pPr>
              <w:jc w:val="center"/>
              <w:rPr>
                <w:sz w:val="22"/>
                <w:szCs w:val="22"/>
              </w:rPr>
            </w:pPr>
            <w:r>
              <w:rPr>
                <w:sz w:val="22"/>
                <w:szCs w:val="22"/>
              </w:rPr>
              <w:t>939.000.000</w:t>
            </w:r>
          </w:p>
        </w:tc>
        <w:tc>
          <w:tcPr>
            <w:tcW w:w="1140" w:type="dxa"/>
            <w:noWrap/>
            <w:vAlign w:val="center"/>
          </w:tcPr>
          <w:p w14:paraId="2766DCE3">
            <w:pPr>
              <w:jc w:val="center"/>
              <w:rPr>
                <w:sz w:val="22"/>
                <w:szCs w:val="22"/>
              </w:rPr>
            </w:pPr>
            <w:r>
              <w:rPr>
                <w:sz w:val="22"/>
                <w:szCs w:val="22"/>
              </w:rPr>
              <w:t>1,47%</w:t>
            </w:r>
          </w:p>
        </w:tc>
      </w:tr>
      <w:tr w14:paraId="5EEC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419A5D1">
            <w:pPr>
              <w:jc w:val="center"/>
              <w:rPr>
                <w:sz w:val="22"/>
                <w:szCs w:val="22"/>
              </w:rPr>
            </w:pPr>
            <w:r>
              <w:rPr>
                <w:sz w:val="22"/>
                <w:szCs w:val="22"/>
              </w:rPr>
              <w:t>25</w:t>
            </w:r>
          </w:p>
        </w:tc>
        <w:tc>
          <w:tcPr>
            <w:tcW w:w="1752" w:type="dxa"/>
            <w:noWrap/>
            <w:vAlign w:val="center"/>
          </w:tcPr>
          <w:p w14:paraId="16FB2FA6">
            <w:pPr>
              <w:jc w:val="center"/>
              <w:rPr>
                <w:sz w:val="22"/>
                <w:szCs w:val="22"/>
              </w:rPr>
            </w:pPr>
          </w:p>
        </w:tc>
        <w:tc>
          <w:tcPr>
            <w:tcW w:w="944" w:type="dxa"/>
            <w:vMerge w:val="continue"/>
            <w:vAlign w:val="center"/>
          </w:tcPr>
          <w:p w14:paraId="3D5FBC5C">
            <w:pPr>
              <w:jc w:val="center"/>
              <w:rPr>
                <w:sz w:val="22"/>
                <w:szCs w:val="22"/>
              </w:rPr>
            </w:pPr>
          </w:p>
        </w:tc>
        <w:tc>
          <w:tcPr>
            <w:tcW w:w="1116" w:type="dxa"/>
            <w:noWrap/>
            <w:vAlign w:val="center"/>
          </w:tcPr>
          <w:p w14:paraId="1CC9F316">
            <w:pPr>
              <w:jc w:val="center"/>
              <w:rPr>
                <w:sz w:val="22"/>
                <w:szCs w:val="22"/>
              </w:rPr>
            </w:pPr>
            <w:r>
              <w:rPr>
                <w:sz w:val="22"/>
                <w:szCs w:val="22"/>
              </w:rPr>
              <w:t>17</w:t>
            </w:r>
          </w:p>
        </w:tc>
        <w:tc>
          <w:tcPr>
            <w:tcW w:w="1010" w:type="dxa"/>
            <w:noWrap/>
            <w:vAlign w:val="center"/>
          </w:tcPr>
          <w:p w14:paraId="0A7F486B">
            <w:pPr>
              <w:jc w:val="center"/>
              <w:rPr>
                <w:sz w:val="22"/>
                <w:szCs w:val="22"/>
              </w:rPr>
            </w:pPr>
            <w:r>
              <w:rPr>
                <w:sz w:val="22"/>
                <w:szCs w:val="22"/>
              </w:rPr>
              <w:t>80,00</w:t>
            </w:r>
          </w:p>
        </w:tc>
        <w:tc>
          <w:tcPr>
            <w:tcW w:w="1591" w:type="dxa"/>
            <w:noWrap/>
            <w:vAlign w:val="center"/>
          </w:tcPr>
          <w:p w14:paraId="5009F7E7">
            <w:pPr>
              <w:jc w:val="center"/>
              <w:rPr>
                <w:sz w:val="22"/>
                <w:szCs w:val="22"/>
              </w:rPr>
            </w:pPr>
            <w:r>
              <w:rPr>
                <w:sz w:val="22"/>
                <w:szCs w:val="22"/>
              </w:rPr>
              <w:t>640.000.000</w:t>
            </w:r>
          </w:p>
        </w:tc>
        <w:tc>
          <w:tcPr>
            <w:tcW w:w="1700" w:type="dxa"/>
            <w:noWrap/>
            <w:vAlign w:val="center"/>
          </w:tcPr>
          <w:p w14:paraId="29783A40">
            <w:pPr>
              <w:jc w:val="center"/>
              <w:rPr>
                <w:sz w:val="22"/>
                <w:szCs w:val="22"/>
              </w:rPr>
            </w:pPr>
            <w:r>
              <w:rPr>
                <w:sz w:val="22"/>
                <w:szCs w:val="22"/>
              </w:rPr>
              <w:t>974.500.000</w:t>
            </w:r>
          </w:p>
        </w:tc>
        <w:tc>
          <w:tcPr>
            <w:tcW w:w="1140" w:type="dxa"/>
            <w:noWrap/>
            <w:vAlign w:val="center"/>
          </w:tcPr>
          <w:p w14:paraId="045F8138">
            <w:pPr>
              <w:jc w:val="center"/>
              <w:rPr>
                <w:sz w:val="22"/>
                <w:szCs w:val="22"/>
              </w:rPr>
            </w:pPr>
            <w:r>
              <w:rPr>
                <w:sz w:val="22"/>
                <w:szCs w:val="22"/>
              </w:rPr>
              <w:t>1,52%</w:t>
            </w:r>
          </w:p>
        </w:tc>
      </w:tr>
      <w:tr w14:paraId="43E3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4E31DAA">
            <w:pPr>
              <w:jc w:val="center"/>
              <w:rPr>
                <w:sz w:val="22"/>
                <w:szCs w:val="22"/>
              </w:rPr>
            </w:pPr>
            <w:r>
              <w:rPr>
                <w:sz w:val="22"/>
                <w:szCs w:val="22"/>
              </w:rPr>
              <w:t>26</w:t>
            </w:r>
          </w:p>
        </w:tc>
        <w:tc>
          <w:tcPr>
            <w:tcW w:w="1752" w:type="dxa"/>
            <w:noWrap/>
            <w:vAlign w:val="center"/>
          </w:tcPr>
          <w:p w14:paraId="57F5EDFB">
            <w:pPr>
              <w:jc w:val="center"/>
              <w:rPr>
                <w:sz w:val="22"/>
                <w:szCs w:val="22"/>
              </w:rPr>
            </w:pPr>
          </w:p>
        </w:tc>
        <w:tc>
          <w:tcPr>
            <w:tcW w:w="944" w:type="dxa"/>
            <w:vMerge w:val="continue"/>
            <w:vAlign w:val="center"/>
          </w:tcPr>
          <w:p w14:paraId="10B78D41">
            <w:pPr>
              <w:jc w:val="center"/>
              <w:rPr>
                <w:sz w:val="22"/>
                <w:szCs w:val="22"/>
              </w:rPr>
            </w:pPr>
          </w:p>
        </w:tc>
        <w:tc>
          <w:tcPr>
            <w:tcW w:w="1116" w:type="dxa"/>
            <w:noWrap/>
            <w:vAlign w:val="center"/>
          </w:tcPr>
          <w:p w14:paraId="6CB2ACA2">
            <w:pPr>
              <w:jc w:val="center"/>
              <w:rPr>
                <w:sz w:val="22"/>
                <w:szCs w:val="22"/>
              </w:rPr>
            </w:pPr>
            <w:r>
              <w:rPr>
                <w:sz w:val="22"/>
                <w:szCs w:val="22"/>
              </w:rPr>
              <w:t>18</w:t>
            </w:r>
          </w:p>
        </w:tc>
        <w:tc>
          <w:tcPr>
            <w:tcW w:w="1010" w:type="dxa"/>
            <w:noWrap/>
            <w:vAlign w:val="center"/>
          </w:tcPr>
          <w:p w14:paraId="1D95C1A2">
            <w:pPr>
              <w:jc w:val="center"/>
              <w:rPr>
                <w:sz w:val="22"/>
                <w:szCs w:val="22"/>
              </w:rPr>
            </w:pPr>
            <w:r>
              <w:rPr>
                <w:sz w:val="22"/>
                <w:szCs w:val="22"/>
              </w:rPr>
              <w:t>80,00</w:t>
            </w:r>
          </w:p>
        </w:tc>
        <w:tc>
          <w:tcPr>
            <w:tcW w:w="1591" w:type="dxa"/>
            <w:noWrap/>
            <w:vAlign w:val="center"/>
          </w:tcPr>
          <w:p w14:paraId="15322438">
            <w:pPr>
              <w:jc w:val="center"/>
              <w:rPr>
                <w:sz w:val="22"/>
                <w:szCs w:val="22"/>
              </w:rPr>
            </w:pPr>
            <w:r>
              <w:rPr>
                <w:sz w:val="22"/>
                <w:szCs w:val="22"/>
              </w:rPr>
              <w:t>640.000.000</w:t>
            </w:r>
          </w:p>
        </w:tc>
        <w:tc>
          <w:tcPr>
            <w:tcW w:w="1700" w:type="dxa"/>
            <w:noWrap/>
            <w:vAlign w:val="center"/>
          </w:tcPr>
          <w:p w14:paraId="3FA42CF2">
            <w:pPr>
              <w:jc w:val="center"/>
              <w:rPr>
                <w:sz w:val="22"/>
                <w:szCs w:val="22"/>
              </w:rPr>
            </w:pPr>
            <w:r>
              <w:rPr>
                <w:sz w:val="22"/>
                <w:szCs w:val="22"/>
              </w:rPr>
              <w:t>930.000.000</w:t>
            </w:r>
          </w:p>
        </w:tc>
        <w:tc>
          <w:tcPr>
            <w:tcW w:w="1140" w:type="dxa"/>
            <w:noWrap/>
            <w:vAlign w:val="center"/>
          </w:tcPr>
          <w:p w14:paraId="185D0706">
            <w:pPr>
              <w:jc w:val="center"/>
              <w:rPr>
                <w:sz w:val="22"/>
                <w:szCs w:val="22"/>
              </w:rPr>
            </w:pPr>
            <w:r>
              <w:rPr>
                <w:sz w:val="22"/>
                <w:szCs w:val="22"/>
              </w:rPr>
              <w:t>1,45%</w:t>
            </w:r>
          </w:p>
        </w:tc>
      </w:tr>
      <w:tr w14:paraId="29E1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E2CD9BD">
            <w:pPr>
              <w:jc w:val="center"/>
              <w:rPr>
                <w:sz w:val="22"/>
                <w:szCs w:val="22"/>
              </w:rPr>
            </w:pPr>
            <w:r>
              <w:rPr>
                <w:sz w:val="22"/>
                <w:szCs w:val="22"/>
              </w:rPr>
              <w:t>27</w:t>
            </w:r>
          </w:p>
        </w:tc>
        <w:tc>
          <w:tcPr>
            <w:tcW w:w="1752" w:type="dxa"/>
            <w:noWrap/>
            <w:vAlign w:val="center"/>
          </w:tcPr>
          <w:p w14:paraId="19AA31AE">
            <w:pPr>
              <w:jc w:val="center"/>
              <w:rPr>
                <w:sz w:val="22"/>
                <w:szCs w:val="22"/>
              </w:rPr>
            </w:pPr>
          </w:p>
        </w:tc>
        <w:tc>
          <w:tcPr>
            <w:tcW w:w="944" w:type="dxa"/>
            <w:vMerge w:val="continue"/>
            <w:vAlign w:val="center"/>
          </w:tcPr>
          <w:p w14:paraId="3140AA2B">
            <w:pPr>
              <w:jc w:val="center"/>
              <w:rPr>
                <w:sz w:val="22"/>
                <w:szCs w:val="22"/>
              </w:rPr>
            </w:pPr>
          </w:p>
        </w:tc>
        <w:tc>
          <w:tcPr>
            <w:tcW w:w="1116" w:type="dxa"/>
            <w:noWrap/>
            <w:vAlign w:val="center"/>
          </w:tcPr>
          <w:p w14:paraId="18CCF1D0">
            <w:pPr>
              <w:jc w:val="center"/>
              <w:rPr>
                <w:sz w:val="22"/>
                <w:szCs w:val="22"/>
              </w:rPr>
            </w:pPr>
            <w:r>
              <w:rPr>
                <w:sz w:val="22"/>
                <w:szCs w:val="22"/>
              </w:rPr>
              <w:t>19</w:t>
            </w:r>
          </w:p>
        </w:tc>
        <w:tc>
          <w:tcPr>
            <w:tcW w:w="1010" w:type="dxa"/>
            <w:noWrap/>
            <w:vAlign w:val="center"/>
          </w:tcPr>
          <w:p w14:paraId="09658944">
            <w:pPr>
              <w:jc w:val="center"/>
              <w:rPr>
                <w:sz w:val="22"/>
                <w:szCs w:val="22"/>
              </w:rPr>
            </w:pPr>
            <w:r>
              <w:rPr>
                <w:sz w:val="22"/>
                <w:szCs w:val="22"/>
              </w:rPr>
              <w:t>96,00</w:t>
            </w:r>
          </w:p>
        </w:tc>
        <w:tc>
          <w:tcPr>
            <w:tcW w:w="1591" w:type="dxa"/>
            <w:noWrap/>
            <w:vAlign w:val="center"/>
          </w:tcPr>
          <w:p w14:paraId="174F9ADF">
            <w:pPr>
              <w:jc w:val="center"/>
              <w:rPr>
                <w:sz w:val="22"/>
                <w:szCs w:val="22"/>
              </w:rPr>
            </w:pPr>
            <w:r>
              <w:rPr>
                <w:sz w:val="22"/>
                <w:szCs w:val="22"/>
              </w:rPr>
              <w:t>768.000.000</w:t>
            </w:r>
          </w:p>
        </w:tc>
        <w:tc>
          <w:tcPr>
            <w:tcW w:w="1700" w:type="dxa"/>
            <w:noWrap/>
            <w:vAlign w:val="center"/>
          </w:tcPr>
          <w:p w14:paraId="63F51415">
            <w:pPr>
              <w:jc w:val="center"/>
              <w:rPr>
                <w:sz w:val="22"/>
                <w:szCs w:val="22"/>
              </w:rPr>
            </w:pPr>
            <w:r>
              <w:rPr>
                <w:sz w:val="22"/>
                <w:szCs w:val="22"/>
              </w:rPr>
              <w:t>1.101.000.000</w:t>
            </w:r>
          </w:p>
        </w:tc>
        <w:tc>
          <w:tcPr>
            <w:tcW w:w="1140" w:type="dxa"/>
            <w:noWrap/>
            <w:vAlign w:val="center"/>
          </w:tcPr>
          <w:p w14:paraId="4C1056E0">
            <w:pPr>
              <w:jc w:val="center"/>
              <w:rPr>
                <w:sz w:val="22"/>
                <w:szCs w:val="22"/>
              </w:rPr>
            </w:pPr>
            <w:r>
              <w:rPr>
                <w:sz w:val="22"/>
                <w:szCs w:val="22"/>
              </w:rPr>
              <w:t>1,43%</w:t>
            </w:r>
          </w:p>
        </w:tc>
      </w:tr>
      <w:tr w14:paraId="7F8C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02E3FC6">
            <w:pPr>
              <w:jc w:val="center"/>
              <w:rPr>
                <w:sz w:val="22"/>
                <w:szCs w:val="22"/>
              </w:rPr>
            </w:pPr>
            <w:r>
              <w:rPr>
                <w:sz w:val="22"/>
                <w:szCs w:val="22"/>
              </w:rPr>
              <w:t>28</w:t>
            </w:r>
          </w:p>
        </w:tc>
        <w:tc>
          <w:tcPr>
            <w:tcW w:w="1752" w:type="dxa"/>
            <w:noWrap/>
            <w:vAlign w:val="center"/>
          </w:tcPr>
          <w:p w14:paraId="19517177">
            <w:pPr>
              <w:jc w:val="center"/>
              <w:rPr>
                <w:sz w:val="22"/>
                <w:szCs w:val="22"/>
              </w:rPr>
            </w:pPr>
          </w:p>
        </w:tc>
        <w:tc>
          <w:tcPr>
            <w:tcW w:w="944" w:type="dxa"/>
            <w:vMerge w:val="continue"/>
            <w:vAlign w:val="center"/>
          </w:tcPr>
          <w:p w14:paraId="647A903C">
            <w:pPr>
              <w:jc w:val="center"/>
              <w:rPr>
                <w:sz w:val="22"/>
                <w:szCs w:val="22"/>
              </w:rPr>
            </w:pPr>
          </w:p>
        </w:tc>
        <w:tc>
          <w:tcPr>
            <w:tcW w:w="1116" w:type="dxa"/>
            <w:noWrap/>
            <w:vAlign w:val="center"/>
          </w:tcPr>
          <w:p w14:paraId="4CFC3BDE">
            <w:pPr>
              <w:jc w:val="center"/>
              <w:rPr>
                <w:sz w:val="22"/>
                <w:szCs w:val="22"/>
              </w:rPr>
            </w:pPr>
            <w:r>
              <w:rPr>
                <w:sz w:val="22"/>
                <w:szCs w:val="22"/>
              </w:rPr>
              <w:t>20</w:t>
            </w:r>
          </w:p>
        </w:tc>
        <w:tc>
          <w:tcPr>
            <w:tcW w:w="1010" w:type="dxa"/>
            <w:noWrap/>
            <w:vAlign w:val="center"/>
          </w:tcPr>
          <w:p w14:paraId="039186F9">
            <w:pPr>
              <w:jc w:val="center"/>
              <w:rPr>
                <w:sz w:val="22"/>
                <w:szCs w:val="22"/>
              </w:rPr>
            </w:pPr>
            <w:r>
              <w:rPr>
                <w:sz w:val="22"/>
                <w:szCs w:val="22"/>
              </w:rPr>
              <w:t>80,00</w:t>
            </w:r>
          </w:p>
        </w:tc>
        <w:tc>
          <w:tcPr>
            <w:tcW w:w="1591" w:type="dxa"/>
            <w:noWrap/>
            <w:vAlign w:val="center"/>
          </w:tcPr>
          <w:p w14:paraId="00F3B156">
            <w:pPr>
              <w:jc w:val="center"/>
              <w:rPr>
                <w:sz w:val="22"/>
                <w:szCs w:val="22"/>
              </w:rPr>
            </w:pPr>
            <w:r>
              <w:rPr>
                <w:sz w:val="22"/>
                <w:szCs w:val="22"/>
              </w:rPr>
              <w:t>640.000.000</w:t>
            </w:r>
          </w:p>
        </w:tc>
        <w:tc>
          <w:tcPr>
            <w:tcW w:w="1700" w:type="dxa"/>
            <w:noWrap/>
            <w:vAlign w:val="center"/>
          </w:tcPr>
          <w:p w14:paraId="1FE6F088">
            <w:pPr>
              <w:jc w:val="center"/>
              <w:rPr>
                <w:sz w:val="22"/>
                <w:szCs w:val="22"/>
              </w:rPr>
            </w:pPr>
            <w:r>
              <w:rPr>
                <w:sz w:val="22"/>
                <w:szCs w:val="22"/>
              </w:rPr>
              <w:t>1.046.000.000</w:t>
            </w:r>
          </w:p>
        </w:tc>
        <w:tc>
          <w:tcPr>
            <w:tcW w:w="1140" w:type="dxa"/>
            <w:noWrap/>
            <w:vAlign w:val="center"/>
          </w:tcPr>
          <w:p w14:paraId="79A66566">
            <w:pPr>
              <w:jc w:val="center"/>
              <w:rPr>
                <w:sz w:val="22"/>
                <w:szCs w:val="22"/>
              </w:rPr>
            </w:pPr>
            <w:r>
              <w:rPr>
                <w:sz w:val="22"/>
                <w:szCs w:val="22"/>
              </w:rPr>
              <w:t>1,63%</w:t>
            </w:r>
          </w:p>
        </w:tc>
      </w:tr>
      <w:tr w14:paraId="1603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DF23D0D">
            <w:pPr>
              <w:jc w:val="center"/>
              <w:rPr>
                <w:sz w:val="22"/>
                <w:szCs w:val="22"/>
              </w:rPr>
            </w:pPr>
            <w:r>
              <w:rPr>
                <w:sz w:val="22"/>
                <w:szCs w:val="22"/>
              </w:rPr>
              <w:t>29</w:t>
            </w:r>
          </w:p>
        </w:tc>
        <w:tc>
          <w:tcPr>
            <w:tcW w:w="1752" w:type="dxa"/>
            <w:noWrap/>
            <w:vAlign w:val="center"/>
          </w:tcPr>
          <w:p w14:paraId="311D0A3E">
            <w:pPr>
              <w:jc w:val="center"/>
              <w:rPr>
                <w:sz w:val="22"/>
                <w:szCs w:val="22"/>
              </w:rPr>
            </w:pPr>
          </w:p>
        </w:tc>
        <w:tc>
          <w:tcPr>
            <w:tcW w:w="944" w:type="dxa"/>
            <w:vMerge w:val="continue"/>
            <w:vAlign w:val="center"/>
          </w:tcPr>
          <w:p w14:paraId="421EC34A">
            <w:pPr>
              <w:jc w:val="center"/>
              <w:rPr>
                <w:sz w:val="22"/>
                <w:szCs w:val="22"/>
              </w:rPr>
            </w:pPr>
          </w:p>
        </w:tc>
        <w:tc>
          <w:tcPr>
            <w:tcW w:w="1116" w:type="dxa"/>
            <w:noWrap/>
            <w:vAlign w:val="center"/>
          </w:tcPr>
          <w:p w14:paraId="3136D4C3">
            <w:pPr>
              <w:jc w:val="center"/>
              <w:rPr>
                <w:sz w:val="22"/>
                <w:szCs w:val="22"/>
              </w:rPr>
            </w:pPr>
            <w:r>
              <w:rPr>
                <w:sz w:val="22"/>
                <w:szCs w:val="22"/>
              </w:rPr>
              <w:t>21</w:t>
            </w:r>
          </w:p>
        </w:tc>
        <w:tc>
          <w:tcPr>
            <w:tcW w:w="1010" w:type="dxa"/>
            <w:noWrap/>
            <w:vAlign w:val="center"/>
          </w:tcPr>
          <w:p w14:paraId="1F8CFF61">
            <w:pPr>
              <w:jc w:val="center"/>
              <w:rPr>
                <w:sz w:val="22"/>
                <w:szCs w:val="22"/>
              </w:rPr>
            </w:pPr>
            <w:r>
              <w:rPr>
                <w:sz w:val="22"/>
                <w:szCs w:val="22"/>
              </w:rPr>
              <w:t>80,00</w:t>
            </w:r>
          </w:p>
        </w:tc>
        <w:tc>
          <w:tcPr>
            <w:tcW w:w="1591" w:type="dxa"/>
            <w:noWrap/>
            <w:vAlign w:val="center"/>
          </w:tcPr>
          <w:p w14:paraId="7F2DEB19">
            <w:pPr>
              <w:jc w:val="center"/>
              <w:rPr>
                <w:sz w:val="22"/>
                <w:szCs w:val="22"/>
              </w:rPr>
            </w:pPr>
            <w:r>
              <w:rPr>
                <w:sz w:val="22"/>
                <w:szCs w:val="22"/>
              </w:rPr>
              <w:t>640.000.000</w:t>
            </w:r>
          </w:p>
        </w:tc>
        <w:tc>
          <w:tcPr>
            <w:tcW w:w="1700" w:type="dxa"/>
            <w:noWrap/>
            <w:vAlign w:val="center"/>
          </w:tcPr>
          <w:p w14:paraId="1FA12D7F">
            <w:pPr>
              <w:jc w:val="center"/>
              <w:rPr>
                <w:sz w:val="22"/>
                <w:szCs w:val="22"/>
              </w:rPr>
            </w:pPr>
            <w:r>
              <w:rPr>
                <w:sz w:val="22"/>
                <w:szCs w:val="22"/>
              </w:rPr>
              <w:t>931.000.000</w:t>
            </w:r>
          </w:p>
        </w:tc>
        <w:tc>
          <w:tcPr>
            <w:tcW w:w="1140" w:type="dxa"/>
            <w:noWrap/>
            <w:vAlign w:val="center"/>
          </w:tcPr>
          <w:p w14:paraId="055B2E18">
            <w:pPr>
              <w:jc w:val="center"/>
              <w:rPr>
                <w:sz w:val="22"/>
                <w:szCs w:val="22"/>
              </w:rPr>
            </w:pPr>
            <w:r>
              <w:rPr>
                <w:sz w:val="22"/>
                <w:szCs w:val="22"/>
              </w:rPr>
              <w:t>1,45%</w:t>
            </w:r>
          </w:p>
        </w:tc>
      </w:tr>
      <w:tr w14:paraId="0BF9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03747F8">
            <w:pPr>
              <w:jc w:val="center"/>
              <w:rPr>
                <w:sz w:val="22"/>
                <w:szCs w:val="22"/>
              </w:rPr>
            </w:pPr>
            <w:r>
              <w:rPr>
                <w:sz w:val="22"/>
                <w:szCs w:val="22"/>
              </w:rPr>
              <w:t>30</w:t>
            </w:r>
          </w:p>
        </w:tc>
        <w:tc>
          <w:tcPr>
            <w:tcW w:w="1752" w:type="dxa"/>
            <w:noWrap/>
            <w:vAlign w:val="center"/>
          </w:tcPr>
          <w:p w14:paraId="53D0CF9B">
            <w:pPr>
              <w:jc w:val="center"/>
              <w:rPr>
                <w:sz w:val="22"/>
                <w:szCs w:val="22"/>
              </w:rPr>
            </w:pPr>
          </w:p>
        </w:tc>
        <w:tc>
          <w:tcPr>
            <w:tcW w:w="944" w:type="dxa"/>
            <w:vMerge w:val="continue"/>
            <w:vAlign w:val="center"/>
          </w:tcPr>
          <w:p w14:paraId="0CB95756">
            <w:pPr>
              <w:jc w:val="center"/>
              <w:rPr>
                <w:sz w:val="22"/>
                <w:szCs w:val="22"/>
              </w:rPr>
            </w:pPr>
          </w:p>
        </w:tc>
        <w:tc>
          <w:tcPr>
            <w:tcW w:w="1116" w:type="dxa"/>
            <w:noWrap/>
            <w:vAlign w:val="center"/>
          </w:tcPr>
          <w:p w14:paraId="3D58328B">
            <w:pPr>
              <w:jc w:val="center"/>
              <w:rPr>
                <w:sz w:val="22"/>
                <w:szCs w:val="22"/>
              </w:rPr>
            </w:pPr>
            <w:r>
              <w:rPr>
                <w:sz w:val="22"/>
                <w:szCs w:val="22"/>
              </w:rPr>
              <w:t>22</w:t>
            </w:r>
          </w:p>
        </w:tc>
        <w:tc>
          <w:tcPr>
            <w:tcW w:w="1010" w:type="dxa"/>
            <w:noWrap/>
            <w:vAlign w:val="center"/>
          </w:tcPr>
          <w:p w14:paraId="7B97D017">
            <w:pPr>
              <w:jc w:val="center"/>
              <w:rPr>
                <w:sz w:val="22"/>
                <w:szCs w:val="22"/>
              </w:rPr>
            </w:pPr>
            <w:r>
              <w:rPr>
                <w:sz w:val="22"/>
                <w:szCs w:val="22"/>
              </w:rPr>
              <w:t>80,00</w:t>
            </w:r>
          </w:p>
        </w:tc>
        <w:tc>
          <w:tcPr>
            <w:tcW w:w="1591" w:type="dxa"/>
            <w:noWrap/>
            <w:vAlign w:val="center"/>
          </w:tcPr>
          <w:p w14:paraId="0A16FB25">
            <w:pPr>
              <w:jc w:val="center"/>
              <w:rPr>
                <w:sz w:val="22"/>
                <w:szCs w:val="22"/>
              </w:rPr>
            </w:pPr>
            <w:r>
              <w:rPr>
                <w:sz w:val="22"/>
                <w:szCs w:val="22"/>
              </w:rPr>
              <w:t>640.000.000</w:t>
            </w:r>
          </w:p>
        </w:tc>
        <w:tc>
          <w:tcPr>
            <w:tcW w:w="1700" w:type="dxa"/>
            <w:noWrap/>
            <w:vAlign w:val="center"/>
          </w:tcPr>
          <w:p w14:paraId="2EAD666D">
            <w:pPr>
              <w:jc w:val="center"/>
              <w:rPr>
                <w:sz w:val="22"/>
                <w:szCs w:val="22"/>
              </w:rPr>
            </w:pPr>
            <w:r>
              <w:rPr>
                <w:sz w:val="22"/>
                <w:szCs w:val="22"/>
              </w:rPr>
              <w:t>926.000.000</w:t>
            </w:r>
          </w:p>
        </w:tc>
        <w:tc>
          <w:tcPr>
            <w:tcW w:w="1140" w:type="dxa"/>
            <w:noWrap/>
            <w:vAlign w:val="center"/>
          </w:tcPr>
          <w:p w14:paraId="4D3F2EFA">
            <w:pPr>
              <w:jc w:val="center"/>
              <w:rPr>
                <w:sz w:val="22"/>
                <w:szCs w:val="22"/>
              </w:rPr>
            </w:pPr>
            <w:r>
              <w:rPr>
                <w:sz w:val="22"/>
                <w:szCs w:val="22"/>
              </w:rPr>
              <w:t>1,45%</w:t>
            </w:r>
          </w:p>
        </w:tc>
      </w:tr>
      <w:tr w14:paraId="7DF51DA0">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1051A4EB">
            <w:pPr>
              <w:jc w:val="center"/>
              <w:rPr>
                <w:sz w:val="22"/>
                <w:szCs w:val="22"/>
              </w:rPr>
            </w:pPr>
            <w:r>
              <w:rPr>
                <w:sz w:val="22"/>
                <w:szCs w:val="22"/>
              </w:rPr>
              <w:t>31</w:t>
            </w:r>
          </w:p>
        </w:tc>
        <w:tc>
          <w:tcPr>
            <w:tcW w:w="1752" w:type="dxa"/>
            <w:noWrap/>
            <w:vAlign w:val="center"/>
          </w:tcPr>
          <w:p w14:paraId="273077A8">
            <w:pPr>
              <w:jc w:val="center"/>
              <w:rPr>
                <w:sz w:val="22"/>
                <w:szCs w:val="22"/>
              </w:rPr>
            </w:pPr>
          </w:p>
        </w:tc>
        <w:tc>
          <w:tcPr>
            <w:tcW w:w="944" w:type="dxa"/>
            <w:vMerge w:val="continue"/>
            <w:vAlign w:val="center"/>
          </w:tcPr>
          <w:p w14:paraId="096B28EC">
            <w:pPr>
              <w:jc w:val="center"/>
              <w:rPr>
                <w:sz w:val="22"/>
                <w:szCs w:val="22"/>
              </w:rPr>
            </w:pPr>
          </w:p>
        </w:tc>
        <w:tc>
          <w:tcPr>
            <w:tcW w:w="1116" w:type="dxa"/>
            <w:noWrap/>
            <w:vAlign w:val="center"/>
          </w:tcPr>
          <w:p w14:paraId="6F0DA4BF">
            <w:pPr>
              <w:jc w:val="center"/>
              <w:rPr>
                <w:sz w:val="22"/>
                <w:szCs w:val="22"/>
              </w:rPr>
            </w:pPr>
            <w:r>
              <w:rPr>
                <w:sz w:val="22"/>
                <w:szCs w:val="22"/>
              </w:rPr>
              <w:t>23</w:t>
            </w:r>
          </w:p>
        </w:tc>
        <w:tc>
          <w:tcPr>
            <w:tcW w:w="1010" w:type="dxa"/>
            <w:noWrap/>
            <w:vAlign w:val="center"/>
          </w:tcPr>
          <w:p w14:paraId="79762A5F">
            <w:pPr>
              <w:jc w:val="center"/>
              <w:rPr>
                <w:sz w:val="22"/>
                <w:szCs w:val="22"/>
              </w:rPr>
            </w:pPr>
            <w:r>
              <w:rPr>
                <w:sz w:val="22"/>
                <w:szCs w:val="22"/>
              </w:rPr>
              <w:t>80,00</w:t>
            </w:r>
          </w:p>
        </w:tc>
        <w:tc>
          <w:tcPr>
            <w:tcW w:w="1591" w:type="dxa"/>
            <w:noWrap/>
            <w:vAlign w:val="center"/>
          </w:tcPr>
          <w:p w14:paraId="4544696F">
            <w:pPr>
              <w:jc w:val="center"/>
              <w:rPr>
                <w:sz w:val="22"/>
                <w:szCs w:val="22"/>
              </w:rPr>
            </w:pPr>
            <w:r>
              <w:rPr>
                <w:sz w:val="22"/>
                <w:szCs w:val="22"/>
              </w:rPr>
              <w:t>640.000.000</w:t>
            </w:r>
          </w:p>
        </w:tc>
        <w:tc>
          <w:tcPr>
            <w:tcW w:w="1700" w:type="dxa"/>
            <w:noWrap/>
            <w:vAlign w:val="center"/>
          </w:tcPr>
          <w:p w14:paraId="6C8DA8F4">
            <w:pPr>
              <w:jc w:val="center"/>
              <w:rPr>
                <w:sz w:val="22"/>
                <w:szCs w:val="22"/>
              </w:rPr>
            </w:pPr>
            <w:r>
              <w:rPr>
                <w:sz w:val="22"/>
                <w:szCs w:val="22"/>
              </w:rPr>
              <w:t>930.000.000</w:t>
            </w:r>
          </w:p>
        </w:tc>
        <w:tc>
          <w:tcPr>
            <w:tcW w:w="1140" w:type="dxa"/>
            <w:noWrap/>
            <w:vAlign w:val="center"/>
          </w:tcPr>
          <w:p w14:paraId="11978C7C">
            <w:pPr>
              <w:jc w:val="center"/>
              <w:rPr>
                <w:sz w:val="22"/>
                <w:szCs w:val="22"/>
              </w:rPr>
            </w:pPr>
            <w:r>
              <w:rPr>
                <w:sz w:val="22"/>
                <w:szCs w:val="22"/>
              </w:rPr>
              <w:t>1,45%</w:t>
            </w:r>
          </w:p>
        </w:tc>
      </w:tr>
      <w:tr w14:paraId="5349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F7E8640">
            <w:pPr>
              <w:jc w:val="center"/>
              <w:rPr>
                <w:sz w:val="22"/>
                <w:szCs w:val="22"/>
              </w:rPr>
            </w:pPr>
            <w:r>
              <w:rPr>
                <w:sz w:val="22"/>
                <w:szCs w:val="22"/>
              </w:rPr>
              <w:t>32</w:t>
            </w:r>
          </w:p>
        </w:tc>
        <w:tc>
          <w:tcPr>
            <w:tcW w:w="1752" w:type="dxa"/>
            <w:noWrap/>
            <w:vAlign w:val="center"/>
          </w:tcPr>
          <w:p w14:paraId="73F11A4A">
            <w:pPr>
              <w:jc w:val="center"/>
              <w:rPr>
                <w:sz w:val="22"/>
                <w:szCs w:val="22"/>
              </w:rPr>
            </w:pPr>
          </w:p>
        </w:tc>
        <w:tc>
          <w:tcPr>
            <w:tcW w:w="944" w:type="dxa"/>
            <w:vMerge w:val="continue"/>
            <w:vAlign w:val="center"/>
          </w:tcPr>
          <w:p w14:paraId="038A8F4F">
            <w:pPr>
              <w:jc w:val="center"/>
              <w:rPr>
                <w:sz w:val="22"/>
                <w:szCs w:val="22"/>
              </w:rPr>
            </w:pPr>
          </w:p>
        </w:tc>
        <w:tc>
          <w:tcPr>
            <w:tcW w:w="1116" w:type="dxa"/>
            <w:noWrap/>
            <w:vAlign w:val="center"/>
          </w:tcPr>
          <w:p w14:paraId="75A87814">
            <w:pPr>
              <w:jc w:val="center"/>
              <w:rPr>
                <w:sz w:val="22"/>
                <w:szCs w:val="22"/>
              </w:rPr>
            </w:pPr>
            <w:r>
              <w:rPr>
                <w:sz w:val="22"/>
                <w:szCs w:val="22"/>
              </w:rPr>
              <w:t>24</w:t>
            </w:r>
          </w:p>
        </w:tc>
        <w:tc>
          <w:tcPr>
            <w:tcW w:w="1010" w:type="dxa"/>
            <w:noWrap/>
            <w:vAlign w:val="center"/>
          </w:tcPr>
          <w:p w14:paraId="5B1381D0">
            <w:pPr>
              <w:jc w:val="center"/>
              <w:rPr>
                <w:sz w:val="22"/>
                <w:szCs w:val="22"/>
              </w:rPr>
            </w:pPr>
            <w:r>
              <w:rPr>
                <w:sz w:val="22"/>
                <w:szCs w:val="22"/>
              </w:rPr>
              <w:t>80,00</w:t>
            </w:r>
          </w:p>
        </w:tc>
        <w:tc>
          <w:tcPr>
            <w:tcW w:w="1591" w:type="dxa"/>
            <w:noWrap/>
            <w:vAlign w:val="center"/>
          </w:tcPr>
          <w:p w14:paraId="1667EDCB">
            <w:pPr>
              <w:jc w:val="center"/>
              <w:rPr>
                <w:sz w:val="22"/>
                <w:szCs w:val="22"/>
              </w:rPr>
            </w:pPr>
            <w:r>
              <w:rPr>
                <w:sz w:val="22"/>
                <w:szCs w:val="22"/>
              </w:rPr>
              <w:t>640.000.000</w:t>
            </w:r>
          </w:p>
        </w:tc>
        <w:tc>
          <w:tcPr>
            <w:tcW w:w="1700" w:type="dxa"/>
            <w:noWrap/>
            <w:vAlign w:val="center"/>
          </w:tcPr>
          <w:p w14:paraId="2C1A476F">
            <w:pPr>
              <w:jc w:val="center"/>
              <w:rPr>
                <w:sz w:val="22"/>
                <w:szCs w:val="22"/>
              </w:rPr>
            </w:pPr>
            <w:r>
              <w:rPr>
                <w:sz w:val="22"/>
                <w:szCs w:val="22"/>
              </w:rPr>
              <w:t>920.000.000</w:t>
            </w:r>
          </w:p>
        </w:tc>
        <w:tc>
          <w:tcPr>
            <w:tcW w:w="1140" w:type="dxa"/>
            <w:noWrap/>
            <w:vAlign w:val="center"/>
          </w:tcPr>
          <w:p w14:paraId="07333A21">
            <w:pPr>
              <w:jc w:val="center"/>
              <w:rPr>
                <w:sz w:val="22"/>
                <w:szCs w:val="22"/>
              </w:rPr>
            </w:pPr>
            <w:r>
              <w:rPr>
                <w:sz w:val="22"/>
                <w:szCs w:val="22"/>
              </w:rPr>
              <w:t>1,44%</w:t>
            </w:r>
          </w:p>
        </w:tc>
      </w:tr>
      <w:tr w14:paraId="261B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F1B75E0">
            <w:pPr>
              <w:jc w:val="center"/>
              <w:rPr>
                <w:sz w:val="22"/>
                <w:szCs w:val="22"/>
              </w:rPr>
            </w:pPr>
            <w:r>
              <w:rPr>
                <w:sz w:val="22"/>
                <w:szCs w:val="22"/>
              </w:rPr>
              <w:t>33</w:t>
            </w:r>
          </w:p>
        </w:tc>
        <w:tc>
          <w:tcPr>
            <w:tcW w:w="1752" w:type="dxa"/>
            <w:noWrap/>
            <w:vAlign w:val="center"/>
          </w:tcPr>
          <w:p w14:paraId="6B85EC23">
            <w:pPr>
              <w:jc w:val="center"/>
              <w:rPr>
                <w:sz w:val="22"/>
                <w:szCs w:val="22"/>
              </w:rPr>
            </w:pPr>
          </w:p>
        </w:tc>
        <w:tc>
          <w:tcPr>
            <w:tcW w:w="944" w:type="dxa"/>
            <w:vMerge w:val="continue"/>
            <w:vAlign w:val="center"/>
          </w:tcPr>
          <w:p w14:paraId="0BC0EBC9">
            <w:pPr>
              <w:jc w:val="center"/>
              <w:rPr>
                <w:sz w:val="22"/>
                <w:szCs w:val="22"/>
              </w:rPr>
            </w:pPr>
          </w:p>
        </w:tc>
        <w:tc>
          <w:tcPr>
            <w:tcW w:w="1116" w:type="dxa"/>
            <w:noWrap/>
            <w:vAlign w:val="center"/>
          </w:tcPr>
          <w:p w14:paraId="0322353F">
            <w:pPr>
              <w:jc w:val="center"/>
              <w:rPr>
                <w:sz w:val="22"/>
                <w:szCs w:val="22"/>
              </w:rPr>
            </w:pPr>
            <w:r>
              <w:rPr>
                <w:sz w:val="22"/>
                <w:szCs w:val="22"/>
              </w:rPr>
              <w:t>25</w:t>
            </w:r>
          </w:p>
        </w:tc>
        <w:tc>
          <w:tcPr>
            <w:tcW w:w="1010" w:type="dxa"/>
            <w:noWrap/>
            <w:vAlign w:val="center"/>
          </w:tcPr>
          <w:p w14:paraId="52616057">
            <w:pPr>
              <w:jc w:val="center"/>
              <w:rPr>
                <w:sz w:val="22"/>
                <w:szCs w:val="22"/>
              </w:rPr>
            </w:pPr>
            <w:r>
              <w:rPr>
                <w:sz w:val="22"/>
                <w:szCs w:val="22"/>
              </w:rPr>
              <w:t>80,00</w:t>
            </w:r>
          </w:p>
        </w:tc>
        <w:tc>
          <w:tcPr>
            <w:tcW w:w="1591" w:type="dxa"/>
            <w:noWrap/>
            <w:vAlign w:val="center"/>
          </w:tcPr>
          <w:p w14:paraId="7CB9DB1F">
            <w:pPr>
              <w:jc w:val="center"/>
              <w:rPr>
                <w:sz w:val="22"/>
                <w:szCs w:val="22"/>
              </w:rPr>
            </w:pPr>
            <w:r>
              <w:rPr>
                <w:sz w:val="22"/>
                <w:szCs w:val="22"/>
              </w:rPr>
              <w:t>640.000.000</w:t>
            </w:r>
          </w:p>
        </w:tc>
        <w:tc>
          <w:tcPr>
            <w:tcW w:w="1700" w:type="dxa"/>
            <w:noWrap/>
            <w:vAlign w:val="center"/>
          </w:tcPr>
          <w:p w14:paraId="01182C3A">
            <w:pPr>
              <w:jc w:val="center"/>
              <w:rPr>
                <w:sz w:val="22"/>
                <w:szCs w:val="22"/>
              </w:rPr>
            </w:pPr>
            <w:r>
              <w:rPr>
                <w:sz w:val="22"/>
                <w:szCs w:val="22"/>
              </w:rPr>
              <w:t>915.000.000</w:t>
            </w:r>
          </w:p>
        </w:tc>
        <w:tc>
          <w:tcPr>
            <w:tcW w:w="1140" w:type="dxa"/>
            <w:noWrap/>
            <w:vAlign w:val="center"/>
          </w:tcPr>
          <w:p w14:paraId="17655935">
            <w:pPr>
              <w:jc w:val="center"/>
              <w:rPr>
                <w:sz w:val="22"/>
                <w:szCs w:val="22"/>
              </w:rPr>
            </w:pPr>
            <w:r>
              <w:rPr>
                <w:sz w:val="22"/>
                <w:szCs w:val="22"/>
              </w:rPr>
              <w:t>1,43%</w:t>
            </w:r>
          </w:p>
        </w:tc>
      </w:tr>
      <w:tr w14:paraId="553B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A343904">
            <w:pPr>
              <w:jc w:val="center"/>
              <w:rPr>
                <w:sz w:val="22"/>
                <w:szCs w:val="22"/>
              </w:rPr>
            </w:pPr>
            <w:r>
              <w:rPr>
                <w:sz w:val="22"/>
                <w:szCs w:val="22"/>
              </w:rPr>
              <w:t>34</w:t>
            </w:r>
          </w:p>
        </w:tc>
        <w:tc>
          <w:tcPr>
            <w:tcW w:w="1752" w:type="dxa"/>
            <w:noWrap/>
            <w:vAlign w:val="center"/>
          </w:tcPr>
          <w:p w14:paraId="607C069C">
            <w:pPr>
              <w:jc w:val="center"/>
              <w:rPr>
                <w:sz w:val="22"/>
                <w:szCs w:val="22"/>
              </w:rPr>
            </w:pPr>
          </w:p>
        </w:tc>
        <w:tc>
          <w:tcPr>
            <w:tcW w:w="944" w:type="dxa"/>
            <w:vMerge w:val="continue"/>
            <w:vAlign w:val="center"/>
          </w:tcPr>
          <w:p w14:paraId="1116810E">
            <w:pPr>
              <w:jc w:val="center"/>
              <w:rPr>
                <w:sz w:val="22"/>
                <w:szCs w:val="22"/>
              </w:rPr>
            </w:pPr>
          </w:p>
        </w:tc>
        <w:tc>
          <w:tcPr>
            <w:tcW w:w="1116" w:type="dxa"/>
            <w:noWrap/>
            <w:vAlign w:val="center"/>
          </w:tcPr>
          <w:p w14:paraId="2761A0F2">
            <w:pPr>
              <w:jc w:val="center"/>
              <w:rPr>
                <w:sz w:val="22"/>
                <w:szCs w:val="22"/>
              </w:rPr>
            </w:pPr>
            <w:r>
              <w:rPr>
                <w:sz w:val="22"/>
                <w:szCs w:val="22"/>
              </w:rPr>
              <w:t>26</w:t>
            </w:r>
          </w:p>
        </w:tc>
        <w:tc>
          <w:tcPr>
            <w:tcW w:w="1010" w:type="dxa"/>
            <w:noWrap/>
            <w:vAlign w:val="center"/>
          </w:tcPr>
          <w:p w14:paraId="676839DB">
            <w:pPr>
              <w:jc w:val="center"/>
              <w:rPr>
                <w:sz w:val="22"/>
                <w:szCs w:val="22"/>
              </w:rPr>
            </w:pPr>
            <w:r>
              <w:rPr>
                <w:sz w:val="22"/>
                <w:szCs w:val="22"/>
              </w:rPr>
              <w:t>80,00</w:t>
            </w:r>
          </w:p>
        </w:tc>
        <w:tc>
          <w:tcPr>
            <w:tcW w:w="1591" w:type="dxa"/>
            <w:noWrap/>
            <w:vAlign w:val="center"/>
          </w:tcPr>
          <w:p w14:paraId="24806D83">
            <w:pPr>
              <w:jc w:val="center"/>
              <w:rPr>
                <w:sz w:val="22"/>
                <w:szCs w:val="22"/>
              </w:rPr>
            </w:pPr>
            <w:r>
              <w:rPr>
                <w:sz w:val="22"/>
                <w:szCs w:val="22"/>
              </w:rPr>
              <w:t>640.000.000</w:t>
            </w:r>
          </w:p>
        </w:tc>
        <w:tc>
          <w:tcPr>
            <w:tcW w:w="1700" w:type="dxa"/>
            <w:noWrap/>
            <w:vAlign w:val="center"/>
          </w:tcPr>
          <w:p w14:paraId="6DF60418">
            <w:pPr>
              <w:jc w:val="center"/>
              <w:rPr>
                <w:sz w:val="22"/>
                <w:szCs w:val="22"/>
              </w:rPr>
            </w:pPr>
            <w:r>
              <w:rPr>
                <w:sz w:val="22"/>
                <w:szCs w:val="22"/>
              </w:rPr>
              <w:t>870.300.000</w:t>
            </w:r>
          </w:p>
        </w:tc>
        <w:tc>
          <w:tcPr>
            <w:tcW w:w="1140" w:type="dxa"/>
            <w:noWrap/>
            <w:vAlign w:val="center"/>
          </w:tcPr>
          <w:p w14:paraId="1207EDD4">
            <w:pPr>
              <w:jc w:val="center"/>
              <w:rPr>
                <w:sz w:val="22"/>
                <w:szCs w:val="22"/>
              </w:rPr>
            </w:pPr>
            <w:r>
              <w:rPr>
                <w:sz w:val="22"/>
                <w:szCs w:val="22"/>
              </w:rPr>
              <w:t>1,36%</w:t>
            </w:r>
          </w:p>
        </w:tc>
      </w:tr>
      <w:tr w14:paraId="352C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B9F458B">
            <w:pPr>
              <w:jc w:val="center"/>
              <w:rPr>
                <w:sz w:val="22"/>
                <w:szCs w:val="22"/>
              </w:rPr>
            </w:pPr>
            <w:r>
              <w:rPr>
                <w:sz w:val="22"/>
                <w:szCs w:val="22"/>
              </w:rPr>
              <w:t>35</w:t>
            </w:r>
          </w:p>
        </w:tc>
        <w:tc>
          <w:tcPr>
            <w:tcW w:w="1752" w:type="dxa"/>
            <w:noWrap/>
            <w:vAlign w:val="center"/>
          </w:tcPr>
          <w:p w14:paraId="583BD80F">
            <w:pPr>
              <w:jc w:val="center"/>
              <w:rPr>
                <w:sz w:val="22"/>
                <w:szCs w:val="22"/>
              </w:rPr>
            </w:pPr>
          </w:p>
        </w:tc>
        <w:tc>
          <w:tcPr>
            <w:tcW w:w="944" w:type="dxa"/>
            <w:vMerge w:val="continue"/>
            <w:vAlign w:val="center"/>
          </w:tcPr>
          <w:p w14:paraId="0ADCAD51">
            <w:pPr>
              <w:jc w:val="center"/>
              <w:rPr>
                <w:sz w:val="22"/>
                <w:szCs w:val="22"/>
              </w:rPr>
            </w:pPr>
          </w:p>
        </w:tc>
        <w:tc>
          <w:tcPr>
            <w:tcW w:w="1116" w:type="dxa"/>
            <w:noWrap/>
            <w:vAlign w:val="center"/>
          </w:tcPr>
          <w:p w14:paraId="4EF1A530">
            <w:pPr>
              <w:jc w:val="center"/>
              <w:rPr>
                <w:sz w:val="22"/>
                <w:szCs w:val="22"/>
              </w:rPr>
            </w:pPr>
            <w:r>
              <w:rPr>
                <w:sz w:val="22"/>
                <w:szCs w:val="22"/>
              </w:rPr>
              <w:t>27</w:t>
            </w:r>
          </w:p>
        </w:tc>
        <w:tc>
          <w:tcPr>
            <w:tcW w:w="1010" w:type="dxa"/>
            <w:noWrap/>
            <w:vAlign w:val="center"/>
          </w:tcPr>
          <w:p w14:paraId="275AF516">
            <w:pPr>
              <w:jc w:val="center"/>
              <w:rPr>
                <w:sz w:val="22"/>
                <w:szCs w:val="22"/>
              </w:rPr>
            </w:pPr>
            <w:r>
              <w:rPr>
                <w:sz w:val="22"/>
                <w:szCs w:val="22"/>
              </w:rPr>
              <w:t>80,00</w:t>
            </w:r>
          </w:p>
        </w:tc>
        <w:tc>
          <w:tcPr>
            <w:tcW w:w="1591" w:type="dxa"/>
            <w:noWrap/>
            <w:vAlign w:val="center"/>
          </w:tcPr>
          <w:p w14:paraId="67790DE1">
            <w:pPr>
              <w:jc w:val="center"/>
              <w:rPr>
                <w:sz w:val="22"/>
                <w:szCs w:val="22"/>
              </w:rPr>
            </w:pPr>
            <w:r>
              <w:rPr>
                <w:sz w:val="22"/>
                <w:szCs w:val="22"/>
              </w:rPr>
              <w:t>640.000.000</w:t>
            </w:r>
          </w:p>
        </w:tc>
        <w:tc>
          <w:tcPr>
            <w:tcW w:w="1700" w:type="dxa"/>
            <w:noWrap/>
            <w:vAlign w:val="center"/>
          </w:tcPr>
          <w:p w14:paraId="2A16561E">
            <w:pPr>
              <w:jc w:val="center"/>
              <w:rPr>
                <w:sz w:val="22"/>
                <w:szCs w:val="22"/>
              </w:rPr>
            </w:pPr>
            <w:r>
              <w:rPr>
                <w:sz w:val="22"/>
                <w:szCs w:val="22"/>
              </w:rPr>
              <w:t>805.000.000</w:t>
            </w:r>
          </w:p>
        </w:tc>
        <w:tc>
          <w:tcPr>
            <w:tcW w:w="1140" w:type="dxa"/>
            <w:noWrap/>
            <w:vAlign w:val="center"/>
          </w:tcPr>
          <w:p w14:paraId="35F28D86">
            <w:pPr>
              <w:jc w:val="center"/>
              <w:rPr>
                <w:sz w:val="22"/>
                <w:szCs w:val="22"/>
              </w:rPr>
            </w:pPr>
            <w:r>
              <w:rPr>
                <w:sz w:val="22"/>
                <w:szCs w:val="22"/>
              </w:rPr>
              <w:t>1,26%</w:t>
            </w:r>
          </w:p>
        </w:tc>
      </w:tr>
      <w:tr w14:paraId="4B3F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6C48FB7">
            <w:pPr>
              <w:jc w:val="center"/>
              <w:rPr>
                <w:sz w:val="22"/>
                <w:szCs w:val="22"/>
              </w:rPr>
            </w:pPr>
            <w:r>
              <w:rPr>
                <w:sz w:val="22"/>
                <w:szCs w:val="22"/>
              </w:rPr>
              <w:t>36</w:t>
            </w:r>
          </w:p>
        </w:tc>
        <w:tc>
          <w:tcPr>
            <w:tcW w:w="1752" w:type="dxa"/>
            <w:noWrap/>
            <w:vAlign w:val="center"/>
          </w:tcPr>
          <w:p w14:paraId="6DCA4C59">
            <w:pPr>
              <w:jc w:val="center"/>
              <w:rPr>
                <w:sz w:val="22"/>
                <w:szCs w:val="22"/>
              </w:rPr>
            </w:pPr>
          </w:p>
        </w:tc>
        <w:tc>
          <w:tcPr>
            <w:tcW w:w="944" w:type="dxa"/>
            <w:vMerge w:val="continue"/>
            <w:vAlign w:val="center"/>
          </w:tcPr>
          <w:p w14:paraId="04DFEFB1">
            <w:pPr>
              <w:jc w:val="center"/>
              <w:rPr>
                <w:sz w:val="22"/>
                <w:szCs w:val="22"/>
              </w:rPr>
            </w:pPr>
          </w:p>
        </w:tc>
        <w:tc>
          <w:tcPr>
            <w:tcW w:w="1116" w:type="dxa"/>
            <w:noWrap/>
            <w:vAlign w:val="center"/>
          </w:tcPr>
          <w:p w14:paraId="1DFB086F">
            <w:pPr>
              <w:jc w:val="center"/>
              <w:rPr>
                <w:sz w:val="22"/>
                <w:szCs w:val="22"/>
              </w:rPr>
            </w:pPr>
            <w:r>
              <w:rPr>
                <w:sz w:val="22"/>
                <w:szCs w:val="22"/>
              </w:rPr>
              <w:t>28</w:t>
            </w:r>
          </w:p>
        </w:tc>
        <w:tc>
          <w:tcPr>
            <w:tcW w:w="1010" w:type="dxa"/>
            <w:noWrap/>
            <w:vAlign w:val="center"/>
          </w:tcPr>
          <w:p w14:paraId="427F4777">
            <w:pPr>
              <w:jc w:val="center"/>
              <w:rPr>
                <w:sz w:val="22"/>
                <w:szCs w:val="22"/>
              </w:rPr>
            </w:pPr>
            <w:r>
              <w:rPr>
                <w:sz w:val="22"/>
                <w:szCs w:val="22"/>
              </w:rPr>
              <w:t>80,00</w:t>
            </w:r>
          </w:p>
        </w:tc>
        <w:tc>
          <w:tcPr>
            <w:tcW w:w="1591" w:type="dxa"/>
            <w:noWrap/>
            <w:vAlign w:val="center"/>
          </w:tcPr>
          <w:p w14:paraId="27E58277">
            <w:pPr>
              <w:jc w:val="center"/>
              <w:rPr>
                <w:sz w:val="22"/>
                <w:szCs w:val="22"/>
              </w:rPr>
            </w:pPr>
            <w:r>
              <w:rPr>
                <w:sz w:val="22"/>
                <w:szCs w:val="22"/>
              </w:rPr>
              <w:t>640.000.000</w:t>
            </w:r>
          </w:p>
        </w:tc>
        <w:tc>
          <w:tcPr>
            <w:tcW w:w="1700" w:type="dxa"/>
            <w:noWrap/>
            <w:vAlign w:val="center"/>
          </w:tcPr>
          <w:p w14:paraId="2ACAC7BA">
            <w:pPr>
              <w:jc w:val="center"/>
              <w:rPr>
                <w:sz w:val="22"/>
                <w:szCs w:val="22"/>
              </w:rPr>
            </w:pPr>
            <w:r>
              <w:rPr>
                <w:sz w:val="22"/>
                <w:szCs w:val="22"/>
              </w:rPr>
              <w:t>880.000.000</w:t>
            </w:r>
          </w:p>
        </w:tc>
        <w:tc>
          <w:tcPr>
            <w:tcW w:w="1140" w:type="dxa"/>
            <w:noWrap/>
            <w:vAlign w:val="center"/>
          </w:tcPr>
          <w:p w14:paraId="405D02C3">
            <w:pPr>
              <w:jc w:val="center"/>
              <w:rPr>
                <w:sz w:val="22"/>
                <w:szCs w:val="22"/>
              </w:rPr>
            </w:pPr>
            <w:r>
              <w:rPr>
                <w:sz w:val="22"/>
                <w:szCs w:val="22"/>
              </w:rPr>
              <w:t>1,38%</w:t>
            </w:r>
          </w:p>
        </w:tc>
      </w:tr>
      <w:tr w14:paraId="3974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8686EB8">
            <w:pPr>
              <w:jc w:val="center"/>
              <w:rPr>
                <w:sz w:val="22"/>
                <w:szCs w:val="22"/>
              </w:rPr>
            </w:pPr>
            <w:r>
              <w:rPr>
                <w:sz w:val="22"/>
                <w:szCs w:val="22"/>
              </w:rPr>
              <w:t>37</w:t>
            </w:r>
          </w:p>
        </w:tc>
        <w:tc>
          <w:tcPr>
            <w:tcW w:w="1752" w:type="dxa"/>
            <w:noWrap/>
            <w:vAlign w:val="center"/>
          </w:tcPr>
          <w:p w14:paraId="096C7532">
            <w:pPr>
              <w:jc w:val="center"/>
              <w:rPr>
                <w:sz w:val="22"/>
                <w:szCs w:val="22"/>
              </w:rPr>
            </w:pPr>
          </w:p>
        </w:tc>
        <w:tc>
          <w:tcPr>
            <w:tcW w:w="944" w:type="dxa"/>
            <w:vMerge w:val="continue"/>
            <w:vAlign w:val="center"/>
          </w:tcPr>
          <w:p w14:paraId="20D8A54E">
            <w:pPr>
              <w:jc w:val="center"/>
              <w:rPr>
                <w:sz w:val="22"/>
                <w:szCs w:val="22"/>
              </w:rPr>
            </w:pPr>
          </w:p>
        </w:tc>
        <w:tc>
          <w:tcPr>
            <w:tcW w:w="1116" w:type="dxa"/>
            <w:noWrap/>
            <w:vAlign w:val="center"/>
          </w:tcPr>
          <w:p w14:paraId="324A6645">
            <w:pPr>
              <w:jc w:val="center"/>
              <w:rPr>
                <w:sz w:val="22"/>
                <w:szCs w:val="22"/>
              </w:rPr>
            </w:pPr>
            <w:r>
              <w:rPr>
                <w:sz w:val="22"/>
                <w:szCs w:val="22"/>
              </w:rPr>
              <w:t>29</w:t>
            </w:r>
          </w:p>
        </w:tc>
        <w:tc>
          <w:tcPr>
            <w:tcW w:w="1010" w:type="dxa"/>
            <w:noWrap/>
            <w:vAlign w:val="center"/>
          </w:tcPr>
          <w:p w14:paraId="6B424319">
            <w:pPr>
              <w:jc w:val="center"/>
              <w:rPr>
                <w:sz w:val="22"/>
                <w:szCs w:val="22"/>
              </w:rPr>
            </w:pPr>
            <w:r>
              <w:rPr>
                <w:sz w:val="22"/>
                <w:szCs w:val="22"/>
              </w:rPr>
              <w:t>80,00</w:t>
            </w:r>
          </w:p>
        </w:tc>
        <w:tc>
          <w:tcPr>
            <w:tcW w:w="1591" w:type="dxa"/>
            <w:noWrap/>
            <w:vAlign w:val="center"/>
          </w:tcPr>
          <w:p w14:paraId="681514B5">
            <w:pPr>
              <w:jc w:val="center"/>
              <w:rPr>
                <w:sz w:val="22"/>
                <w:szCs w:val="22"/>
              </w:rPr>
            </w:pPr>
            <w:r>
              <w:rPr>
                <w:sz w:val="22"/>
                <w:szCs w:val="22"/>
              </w:rPr>
              <w:t>640.000.000</w:t>
            </w:r>
          </w:p>
        </w:tc>
        <w:tc>
          <w:tcPr>
            <w:tcW w:w="1700" w:type="dxa"/>
            <w:noWrap/>
            <w:vAlign w:val="center"/>
          </w:tcPr>
          <w:p w14:paraId="0BC86310">
            <w:pPr>
              <w:jc w:val="center"/>
              <w:rPr>
                <w:sz w:val="22"/>
                <w:szCs w:val="22"/>
              </w:rPr>
            </w:pPr>
            <w:r>
              <w:rPr>
                <w:sz w:val="22"/>
                <w:szCs w:val="22"/>
              </w:rPr>
              <w:t>907.200.000</w:t>
            </w:r>
          </w:p>
        </w:tc>
        <w:tc>
          <w:tcPr>
            <w:tcW w:w="1140" w:type="dxa"/>
            <w:noWrap/>
            <w:vAlign w:val="center"/>
          </w:tcPr>
          <w:p w14:paraId="218D013B">
            <w:pPr>
              <w:jc w:val="center"/>
              <w:rPr>
                <w:sz w:val="22"/>
                <w:szCs w:val="22"/>
              </w:rPr>
            </w:pPr>
            <w:r>
              <w:rPr>
                <w:sz w:val="22"/>
                <w:szCs w:val="22"/>
              </w:rPr>
              <w:t>1,42%</w:t>
            </w:r>
          </w:p>
        </w:tc>
      </w:tr>
      <w:tr w14:paraId="0128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689D4F3">
            <w:pPr>
              <w:jc w:val="center"/>
              <w:rPr>
                <w:sz w:val="22"/>
                <w:szCs w:val="22"/>
              </w:rPr>
            </w:pPr>
            <w:r>
              <w:rPr>
                <w:sz w:val="22"/>
                <w:szCs w:val="22"/>
              </w:rPr>
              <w:t>38</w:t>
            </w:r>
          </w:p>
        </w:tc>
        <w:tc>
          <w:tcPr>
            <w:tcW w:w="1752" w:type="dxa"/>
            <w:noWrap/>
            <w:vAlign w:val="center"/>
          </w:tcPr>
          <w:p w14:paraId="00BB644B">
            <w:pPr>
              <w:jc w:val="center"/>
              <w:rPr>
                <w:sz w:val="22"/>
                <w:szCs w:val="22"/>
              </w:rPr>
            </w:pPr>
          </w:p>
        </w:tc>
        <w:tc>
          <w:tcPr>
            <w:tcW w:w="944" w:type="dxa"/>
            <w:vMerge w:val="continue"/>
            <w:vAlign w:val="center"/>
          </w:tcPr>
          <w:p w14:paraId="300347F2">
            <w:pPr>
              <w:jc w:val="center"/>
              <w:rPr>
                <w:sz w:val="22"/>
                <w:szCs w:val="22"/>
              </w:rPr>
            </w:pPr>
          </w:p>
        </w:tc>
        <w:tc>
          <w:tcPr>
            <w:tcW w:w="1116" w:type="dxa"/>
            <w:noWrap/>
            <w:vAlign w:val="center"/>
          </w:tcPr>
          <w:p w14:paraId="08EBD953">
            <w:pPr>
              <w:jc w:val="center"/>
              <w:rPr>
                <w:sz w:val="22"/>
                <w:szCs w:val="22"/>
              </w:rPr>
            </w:pPr>
            <w:r>
              <w:rPr>
                <w:sz w:val="22"/>
                <w:szCs w:val="22"/>
              </w:rPr>
              <w:t>30</w:t>
            </w:r>
          </w:p>
        </w:tc>
        <w:tc>
          <w:tcPr>
            <w:tcW w:w="1010" w:type="dxa"/>
            <w:noWrap/>
            <w:vAlign w:val="center"/>
          </w:tcPr>
          <w:p w14:paraId="5AFCEBED">
            <w:pPr>
              <w:jc w:val="center"/>
              <w:rPr>
                <w:sz w:val="22"/>
                <w:szCs w:val="22"/>
              </w:rPr>
            </w:pPr>
            <w:r>
              <w:rPr>
                <w:sz w:val="22"/>
                <w:szCs w:val="22"/>
              </w:rPr>
              <w:t>80,00</w:t>
            </w:r>
          </w:p>
        </w:tc>
        <w:tc>
          <w:tcPr>
            <w:tcW w:w="1591" w:type="dxa"/>
            <w:noWrap/>
            <w:vAlign w:val="center"/>
          </w:tcPr>
          <w:p w14:paraId="33F3D015">
            <w:pPr>
              <w:jc w:val="center"/>
              <w:rPr>
                <w:sz w:val="22"/>
                <w:szCs w:val="22"/>
              </w:rPr>
            </w:pPr>
            <w:r>
              <w:rPr>
                <w:sz w:val="22"/>
                <w:szCs w:val="22"/>
              </w:rPr>
              <w:t>640.000.000</w:t>
            </w:r>
          </w:p>
        </w:tc>
        <w:tc>
          <w:tcPr>
            <w:tcW w:w="1700" w:type="dxa"/>
            <w:noWrap/>
            <w:vAlign w:val="center"/>
          </w:tcPr>
          <w:p w14:paraId="2B8283DB">
            <w:pPr>
              <w:jc w:val="center"/>
              <w:rPr>
                <w:sz w:val="22"/>
                <w:szCs w:val="22"/>
              </w:rPr>
            </w:pPr>
            <w:r>
              <w:rPr>
                <w:sz w:val="22"/>
                <w:szCs w:val="22"/>
              </w:rPr>
              <w:t>929.968.000</w:t>
            </w:r>
          </w:p>
        </w:tc>
        <w:tc>
          <w:tcPr>
            <w:tcW w:w="1140" w:type="dxa"/>
            <w:noWrap/>
            <w:vAlign w:val="center"/>
          </w:tcPr>
          <w:p w14:paraId="49093450">
            <w:pPr>
              <w:jc w:val="center"/>
              <w:rPr>
                <w:sz w:val="22"/>
                <w:szCs w:val="22"/>
              </w:rPr>
            </w:pPr>
            <w:r>
              <w:rPr>
                <w:sz w:val="22"/>
                <w:szCs w:val="22"/>
              </w:rPr>
              <w:t>1,45%</w:t>
            </w:r>
          </w:p>
        </w:tc>
      </w:tr>
      <w:tr w14:paraId="3E1E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0833985">
            <w:pPr>
              <w:jc w:val="center"/>
              <w:rPr>
                <w:sz w:val="22"/>
                <w:szCs w:val="22"/>
              </w:rPr>
            </w:pPr>
            <w:r>
              <w:rPr>
                <w:sz w:val="22"/>
                <w:szCs w:val="22"/>
              </w:rPr>
              <w:t>39</w:t>
            </w:r>
          </w:p>
        </w:tc>
        <w:tc>
          <w:tcPr>
            <w:tcW w:w="1752" w:type="dxa"/>
            <w:noWrap/>
            <w:vAlign w:val="center"/>
          </w:tcPr>
          <w:p w14:paraId="1542517A">
            <w:pPr>
              <w:jc w:val="center"/>
              <w:rPr>
                <w:sz w:val="22"/>
                <w:szCs w:val="22"/>
              </w:rPr>
            </w:pPr>
          </w:p>
        </w:tc>
        <w:tc>
          <w:tcPr>
            <w:tcW w:w="944" w:type="dxa"/>
            <w:vMerge w:val="continue"/>
            <w:vAlign w:val="center"/>
          </w:tcPr>
          <w:p w14:paraId="2C3C701A">
            <w:pPr>
              <w:jc w:val="center"/>
              <w:rPr>
                <w:sz w:val="22"/>
                <w:szCs w:val="22"/>
              </w:rPr>
            </w:pPr>
          </w:p>
        </w:tc>
        <w:tc>
          <w:tcPr>
            <w:tcW w:w="1116" w:type="dxa"/>
            <w:noWrap/>
            <w:vAlign w:val="center"/>
          </w:tcPr>
          <w:p w14:paraId="25A56F2D">
            <w:pPr>
              <w:jc w:val="center"/>
              <w:rPr>
                <w:sz w:val="22"/>
                <w:szCs w:val="22"/>
              </w:rPr>
            </w:pPr>
            <w:r>
              <w:rPr>
                <w:sz w:val="22"/>
                <w:szCs w:val="22"/>
              </w:rPr>
              <w:t>31</w:t>
            </w:r>
          </w:p>
        </w:tc>
        <w:tc>
          <w:tcPr>
            <w:tcW w:w="1010" w:type="dxa"/>
            <w:noWrap/>
            <w:vAlign w:val="center"/>
          </w:tcPr>
          <w:p w14:paraId="56A6C562">
            <w:pPr>
              <w:jc w:val="center"/>
              <w:rPr>
                <w:sz w:val="22"/>
                <w:szCs w:val="22"/>
              </w:rPr>
            </w:pPr>
            <w:r>
              <w:rPr>
                <w:sz w:val="22"/>
                <w:szCs w:val="22"/>
              </w:rPr>
              <w:t>80,00</w:t>
            </w:r>
          </w:p>
        </w:tc>
        <w:tc>
          <w:tcPr>
            <w:tcW w:w="1591" w:type="dxa"/>
            <w:noWrap/>
            <w:vAlign w:val="center"/>
          </w:tcPr>
          <w:p w14:paraId="56EF335A">
            <w:pPr>
              <w:jc w:val="center"/>
              <w:rPr>
                <w:sz w:val="22"/>
                <w:szCs w:val="22"/>
              </w:rPr>
            </w:pPr>
            <w:r>
              <w:rPr>
                <w:sz w:val="22"/>
                <w:szCs w:val="22"/>
              </w:rPr>
              <w:t>640.000.000</w:t>
            </w:r>
          </w:p>
        </w:tc>
        <w:tc>
          <w:tcPr>
            <w:tcW w:w="1700" w:type="dxa"/>
            <w:noWrap/>
            <w:vAlign w:val="center"/>
          </w:tcPr>
          <w:p w14:paraId="3191F7AF">
            <w:pPr>
              <w:jc w:val="center"/>
              <w:rPr>
                <w:sz w:val="22"/>
                <w:szCs w:val="22"/>
              </w:rPr>
            </w:pPr>
            <w:r>
              <w:rPr>
                <w:sz w:val="22"/>
                <w:szCs w:val="22"/>
              </w:rPr>
              <w:t>939.968.000</w:t>
            </w:r>
          </w:p>
        </w:tc>
        <w:tc>
          <w:tcPr>
            <w:tcW w:w="1140" w:type="dxa"/>
            <w:noWrap/>
            <w:vAlign w:val="center"/>
          </w:tcPr>
          <w:p w14:paraId="47D7D54E">
            <w:pPr>
              <w:jc w:val="center"/>
              <w:rPr>
                <w:sz w:val="22"/>
                <w:szCs w:val="22"/>
              </w:rPr>
            </w:pPr>
            <w:r>
              <w:rPr>
                <w:sz w:val="22"/>
                <w:szCs w:val="22"/>
              </w:rPr>
              <w:t>1,47%</w:t>
            </w:r>
          </w:p>
        </w:tc>
      </w:tr>
      <w:tr w14:paraId="024A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60DEE0B">
            <w:pPr>
              <w:jc w:val="center"/>
              <w:rPr>
                <w:sz w:val="22"/>
                <w:szCs w:val="22"/>
              </w:rPr>
            </w:pPr>
            <w:r>
              <w:rPr>
                <w:sz w:val="22"/>
                <w:szCs w:val="22"/>
              </w:rPr>
              <w:t>40</w:t>
            </w:r>
          </w:p>
        </w:tc>
        <w:tc>
          <w:tcPr>
            <w:tcW w:w="1752" w:type="dxa"/>
            <w:noWrap/>
            <w:vAlign w:val="center"/>
          </w:tcPr>
          <w:p w14:paraId="1F71E654">
            <w:pPr>
              <w:jc w:val="center"/>
              <w:rPr>
                <w:sz w:val="22"/>
                <w:szCs w:val="22"/>
              </w:rPr>
            </w:pPr>
          </w:p>
        </w:tc>
        <w:tc>
          <w:tcPr>
            <w:tcW w:w="944" w:type="dxa"/>
            <w:vMerge w:val="continue"/>
            <w:vAlign w:val="center"/>
          </w:tcPr>
          <w:p w14:paraId="6F9DDF2F">
            <w:pPr>
              <w:jc w:val="center"/>
              <w:rPr>
                <w:sz w:val="22"/>
                <w:szCs w:val="22"/>
              </w:rPr>
            </w:pPr>
          </w:p>
        </w:tc>
        <w:tc>
          <w:tcPr>
            <w:tcW w:w="1116" w:type="dxa"/>
            <w:noWrap/>
            <w:vAlign w:val="center"/>
          </w:tcPr>
          <w:p w14:paraId="1687F088">
            <w:pPr>
              <w:jc w:val="center"/>
              <w:rPr>
                <w:sz w:val="22"/>
                <w:szCs w:val="22"/>
              </w:rPr>
            </w:pPr>
            <w:r>
              <w:rPr>
                <w:sz w:val="22"/>
                <w:szCs w:val="22"/>
              </w:rPr>
              <w:t>32</w:t>
            </w:r>
          </w:p>
        </w:tc>
        <w:tc>
          <w:tcPr>
            <w:tcW w:w="1010" w:type="dxa"/>
            <w:noWrap/>
            <w:vAlign w:val="center"/>
          </w:tcPr>
          <w:p w14:paraId="78235EF4">
            <w:pPr>
              <w:jc w:val="center"/>
              <w:rPr>
                <w:sz w:val="22"/>
                <w:szCs w:val="22"/>
              </w:rPr>
            </w:pPr>
            <w:r>
              <w:rPr>
                <w:sz w:val="22"/>
                <w:szCs w:val="22"/>
              </w:rPr>
              <w:t>110,67</w:t>
            </w:r>
          </w:p>
        </w:tc>
        <w:tc>
          <w:tcPr>
            <w:tcW w:w="1591" w:type="dxa"/>
            <w:noWrap/>
            <w:vAlign w:val="center"/>
          </w:tcPr>
          <w:p w14:paraId="7FFEB6C4">
            <w:pPr>
              <w:jc w:val="center"/>
              <w:rPr>
                <w:sz w:val="22"/>
                <w:szCs w:val="22"/>
              </w:rPr>
            </w:pPr>
            <w:r>
              <w:rPr>
                <w:sz w:val="22"/>
                <w:szCs w:val="22"/>
              </w:rPr>
              <w:t>1.062.432.000</w:t>
            </w:r>
          </w:p>
        </w:tc>
        <w:tc>
          <w:tcPr>
            <w:tcW w:w="1700" w:type="dxa"/>
            <w:noWrap/>
            <w:vAlign w:val="center"/>
          </w:tcPr>
          <w:p w14:paraId="69B66E6B">
            <w:pPr>
              <w:jc w:val="center"/>
              <w:rPr>
                <w:sz w:val="22"/>
                <w:szCs w:val="22"/>
              </w:rPr>
            </w:pPr>
            <w:r>
              <w:rPr>
                <w:sz w:val="22"/>
                <w:szCs w:val="22"/>
              </w:rPr>
              <w:t>1.375.500.000</w:t>
            </w:r>
          </w:p>
        </w:tc>
        <w:tc>
          <w:tcPr>
            <w:tcW w:w="1140" w:type="dxa"/>
            <w:noWrap/>
            <w:vAlign w:val="center"/>
          </w:tcPr>
          <w:p w14:paraId="16B6EA65">
            <w:pPr>
              <w:jc w:val="center"/>
              <w:rPr>
                <w:sz w:val="22"/>
                <w:szCs w:val="22"/>
              </w:rPr>
            </w:pPr>
            <w:r>
              <w:rPr>
                <w:sz w:val="22"/>
                <w:szCs w:val="22"/>
              </w:rPr>
              <w:t>1,29%</w:t>
            </w:r>
          </w:p>
        </w:tc>
      </w:tr>
      <w:tr w14:paraId="409F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016AFF9">
            <w:pPr>
              <w:jc w:val="center"/>
              <w:rPr>
                <w:sz w:val="22"/>
                <w:szCs w:val="22"/>
              </w:rPr>
            </w:pPr>
            <w:r>
              <w:rPr>
                <w:sz w:val="22"/>
                <w:szCs w:val="22"/>
              </w:rPr>
              <w:t>41</w:t>
            </w:r>
          </w:p>
        </w:tc>
        <w:tc>
          <w:tcPr>
            <w:tcW w:w="1752" w:type="dxa"/>
            <w:noWrap/>
            <w:vAlign w:val="center"/>
          </w:tcPr>
          <w:p w14:paraId="51699702">
            <w:pPr>
              <w:jc w:val="center"/>
              <w:rPr>
                <w:sz w:val="22"/>
                <w:szCs w:val="22"/>
              </w:rPr>
            </w:pPr>
          </w:p>
        </w:tc>
        <w:tc>
          <w:tcPr>
            <w:tcW w:w="944" w:type="dxa"/>
            <w:vMerge w:val="continue"/>
            <w:vAlign w:val="center"/>
          </w:tcPr>
          <w:p w14:paraId="5AD3175E">
            <w:pPr>
              <w:jc w:val="center"/>
              <w:rPr>
                <w:sz w:val="22"/>
                <w:szCs w:val="22"/>
              </w:rPr>
            </w:pPr>
          </w:p>
        </w:tc>
        <w:tc>
          <w:tcPr>
            <w:tcW w:w="1116" w:type="dxa"/>
            <w:noWrap/>
            <w:vAlign w:val="center"/>
          </w:tcPr>
          <w:p w14:paraId="6F3463B6">
            <w:pPr>
              <w:jc w:val="center"/>
              <w:rPr>
                <w:sz w:val="22"/>
                <w:szCs w:val="22"/>
              </w:rPr>
            </w:pPr>
            <w:r>
              <w:rPr>
                <w:sz w:val="22"/>
                <w:szCs w:val="22"/>
              </w:rPr>
              <w:t>33</w:t>
            </w:r>
          </w:p>
        </w:tc>
        <w:tc>
          <w:tcPr>
            <w:tcW w:w="1010" w:type="dxa"/>
            <w:noWrap/>
            <w:vAlign w:val="center"/>
          </w:tcPr>
          <w:p w14:paraId="47E232E8">
            <w:pPr>
              <w:jc w:val="center"/>
              <w:rPr>
                <w:sz w:val="22"/>
                <w:szCs w:val="22"/>
              </w:rPr>
            </w:pPr>
            <w:r>
              <w:rPr>
                <w:sz w:val="22"/>
                <w:szCs w:val="22"/>
              </w:rPr>
              <w:t>95,25</w:t>
            </w:r>
          </w:p>
        </w:tc>
        <w:tc>
          <w:tcPr>
            <w:tcW w:w="1591" w:type="dxa"/>
            <w:noWrap/>
            <w:vAlign w:val="center"/>
          </w:tcPr>
          <w:p w14:paraId="4BC7B670">
            <w:pPr>
              <w:jc w:val="center"/>
              <w:rPr>
                <w:sz w:val="22"/>
                <w:szCs w:val="22"/>
              </w:rPr>
            </w:pPr>
            <w:r>
              <w:rPr>
                <w:sz w:val="22"/>
                <w:szCs w:val="22"/>
              </w:rPr>
              <w:t>914.400.000</w:t>
            </w:r>
          </w:p>
        </w:tc>
        <w:tc>
          <w:tcPr>
            <w:tcW w:w="1700" w:type="dxa"/>
            <w:noWrap/>
            <w:vAlign w:val="center"/>
          </w:tcPr>
          <w:p w14:paraId="47AEBD74">
            <w:pPr>
              <w:jc w:val="center"/>
              <w:rPr>
                <w:sz w:val="22"/>
                <w:szCs w:val="22"/>
              </w:rPr>
            </w:pPr>
            <w:r>
              <w:rPr>
                <w:sz w:val="22"/>
                <w:szCs w:val="22"/>
              </w:rPr>
              <w:t>1.225.000.000</w:t>
            </w:r>
          </w:p>
        </w:tc>
        <w:tc>
          <w:tcPr>
            <w:tcW w:w="1140" w:type="dxa"/>
            <w:noWrap/>
            <w:vAlign w:val="center"/>
          </w:tcPr>
          <w:p w14:paraId="15A6F205">
            <w:pPr>
              <w:jc w:val="center"/>
              <w:rPr>
                <w:sz w:val="22"/>
                <w:szCs w:val="22"/>
              </w:rPr>
            </w:pPr>
            <w:r>
              <w:rPr>
                <w:sz w:val="22"/>
                <w:szCs w:val="22"/>
              </w:rPr>
              <w:t>1,34%</w:t>
            </w:r>
          </w:p>
        </w:tc>
      </w:tr>
      <w:tr w14:paraId="305F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F0C9DEC">
            <w:pPr>
              <w:jc w:val="center"/>
              <w:rPr>
                <w:sz w:val="22"/>
                <w:szCs w:val="22"/>
              </w:rPr>
            </w:pPr>
            <w:r>
              <w:rPr>
                <w:sz w:val="22"/>
                <w:szCs w:val="22"/>
              </w:rPr>
              <w:t>42</w:t>
            </w:r>
          </w:p>
        </w:tc>
        <w:tc>
          <w:tcPr>
            <w:tcW w:w="1752" w:type="dxa"/>
            <w:noWrap/>
            <w:vAlign w:val="center"/>
          </w:tcPr>
          <w:p w14:paraId="62134FC8">
            <w:pPr>
              <w:jc w:val="center"/>
              <w:rPr>
                <w:sz w:val="22"/>
                <w:szCs w:val="22"/>
              </w:rPr>
            </w:pPr>
          </w:p>
        </w:tc>
        <w:tc>
          <w:tcPr>
            <w:tcW w:w="944" w:type="dxa"/>
            <w:vMerge w:val="continue"/>
            <w:vAlign w:val="center"/>
          </w:tcPr>
          <w:p w14:paraId="19E89ED3">
            <w:pPr>
              <w:jc w:val="center"/>
              <w:rPr>
                <w:sz w:val="22"/>
                <w:szCs w:val="22"/>
              </w:rPr>
            </w:pPr>
          </w:p>
        </w:tc>
        <w:tc>
          <w:tcPr>
            <w:tcW w:w="1116" w:type="dxa"/>
            <w:noWrap/>
            <w:vAlign w:val="center"/>
          </w:tcPr>
          <w:p w14:paraId="0C21BF1A">
            <w:pPr>
              <w:jc w:val="center"/>
              <w:rPr>
                <w:sz w:val="22"/>
                <w:szCs w:val="22"/>
              </w:rPr>
            </w:pPr>
            <w:r>
              <w:rPr>
                <w:sz w:val="22"/>
                <w:szCs w:val="22"/>
              </w:rPr>
              <w:t>34</w:t>
            </w:r>
          </w:p>
        </w:tc>
        <w:tc>
          <w:tcPr>
            <w:tcW w:w="1010" w:type="dxa"/>
            <w:noWrap/>
            <w:vAlign w:val="center"/>
          </w:tcPr>
          <w:p w14:paraId="05ACEFA3">
            <w:pPr>
              <w:jc w:val="center"/>
              <w:rPr>
                <w:sz w:val="22"/>
                <w:szCs w:val="22"/>
              </w:rPr>
            </w:pPr>
            <w:r>
              <w:rPr>
                <w:sz w:val="22"/>
                <w:szCs w:val="22"/>
              </w:rPr>
              <w:t>87,86</w:t>
            </w:r>
          </w:p>
        </w:tc>
        <w:tc>
          <w:tcPr>
            <w:tcW w:w="1591" w:type="dxa"/>
            <w:noWrap/>
            <w:vAlign w:val="center"/>
          </w:tcPr>
          <w:p w14:paraId="5671F39D">
            <w:pPr>
              <w:jc w:val="center"/>
              <w:rPr>
                <w:sz w:val="22"/>
                <w:szCs w:val="22"/>
              </w:rPr>
            </w:pPr>
            <w:r>
              <w:rPr>
                <w:sz w:val="22"/>
                <w:szCs w:val="22"/>
              </w:rPr>
              <w:t>702.880.000</w:t>
            </w:r>
          </w:p>
        </w:tc>
        <w:tc>
          <w:tcPr>
            <w:tcW w:w="1700" w:type="dxa"/>
            <w:noWrap/>
            <w:vAlign w:val="center"/>
          </w:tcPr>
          <w:p w14:paraId="6C9BBF19">
            <w:pPr>
              <w:jc w:val="center"/>
              <w:rPr>
                <w:sz w:val="22"/>
                <w:szCs w:val="22"/>
              </w:rPr>
            </w:pPr>
            <w:r>
              <w:rPr>
                <w:sz w:val="22"/>
                <w:szCs w:val="22"/>
              </w:rPr>
              <w:t>927.300.000</w:t>
            </w:r>
          </w:p>
        </w:tc>
        <w:tc>
          <w:tcPr>
            <w:tcW w:w="1140" w:type="dxa"/>
            <w:noWrap/>
            <w:vAlign w:val="center"/>
          </w:tcPr>
          <w:p w14:paraId="2DFF25F5">
            <w:pPr>
              <w:jc w:val="center"/>
              <w:rPr>
                <w:sz w:val="22"/>
                <w:szCs w:val="22"/>
              </w:rPr>
            </w:pPr>
            <w:r>
              <w:rPr>
                <w:sz w:val="22"/>
                <w:szCs w:val="22"/>
              </w:rPr>
              <w:t>1,32%</w:t>
            </w:r>
          </w:p>
        </w:tc>
      </w:tr>
      <w:tr w14:paraId="1ACB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C67A1D5">
            <w:pPr>
              <w:jc w:val="center"/>
              <w:rPr>
                <w:sz w:val="22"/>
                <w:szCs w:val="22"/>
              </w:rPr>
            </w:pPr>
            <w:r>
              <w:rPr>
                <w:sz w:val="22"/>
                <w:szCs w:val="22"/>
              </w:rPr>
              <w:t>43</w:t>
            </w:r>
          </w:p>
        </w:tc>
        <w:tc>
          <w:tcPr>
            <w:tcW w:w="1752" w:type="dxa"/>
            <w:noWrap/>
            <w:vAlign w:val="center"/>
          </w:tcPr>
          <w:p w14:paraId="5EB848F6">
            <w:pPr>
              <w:jc w:val="center"/>
              <w:rPr>
                <w:sz w:val="22"/>
                <w:szCs w:val="22"/>
              </w:rPr>
            </w:pPr>
          </w:p>
        </w:tc>
        <w:tc>
          <w:tcPr>
            <w:tcW w:w="944" w:type="dxa"/>
            <w:vMerge w:val="continue"/>
            <w:vAlign w:val="center"/>
          </w:tcPr>
          <w:p w14:paraId="5ED3E473">
            <w:pPr>
              <w:jc w:val="center"/>
              <w:rPr>
                <w:sz w:val="22"/>
                <w:szCs w:val="22"/>
              </w:rPr>
            </w:pPr>
          </w:p>
        </w:tc>
        <w:tc>
          <w:tcPr>
            <w:tcW w:w="1116" w:type="dxa"/>
            <w:noWrap/>
            <w:vAlign w:val="center"/>
          </w:tcPr>
          <w:p w14:paraId="01EFFCE1">
            <w:pPr>
              <w:jc w:val="center"/>
              <w:rPr>
                <w:sz w:val="22"/>
                <w:szCs w:val="22"/>
              </w:rPr>
            </w:pPr>
            <w:r>
              <w:rPr>
                <w:sz w:val="22"/>
                <w:szCs w:val="22"/>
              </w:rPr>
              <w:t>35</w:t>
            </w:r>
          </w:p>
        </w:tc>
        <w:tc>
          <w:tcPr>
            <w:tcW w:w="1010" w:type="dxa"/>
            <w:noWrap/>
            <w:vAlign w:val="center"/>
          </w:tcPr>
          <w:p w14:paraId="6EC4E2D5">
            <w:pPr>
              <w:jc w:val="center"/>
              <w:rPr>
                <w:sz w:val="22"/>
                <w:szCs w:val="22"/>
              </w:rPr>
            </w:pPr>
            <w:r>
              <w:rPr>
                <w:sz w:val="22"/>
                <w:szCs w:val="22"/>
              </w:rPr>
              <w:t>80,00</w:t>
            </w:r>
          </w:p>
        </w:tc>
        <w:tc>
          <w:tcPr>
            <w:tcW w:w="1591" w:type="dxa"/>
            <w:noWrap/>
            <w:vAlign w:val="center"/>
          </w:tcPr>
          <w:p w14:paraId="123EEDD6">
            <w:pPr>
              <w:jc w:val="center"/>
              <w:rPr>
                <w:sz w:val="22"/>
                <w:szCs w:val="22"/>
              </w:rPr>
            </w:pPr>
            <w:r>
              <w:rPr>
                <w:sz w:val="22"/>
                <w:szCs w:val="22"/>
              </w:rPr>
              <w:t>640.000.000</w:t>
            </w:r>
          </w:p>
        </w:tc>
        <w:tc>
          <w:tcPr>
            <w:tcW w:w="1700" w:type="dxa"/>
            <w:noWrap/>
            <w:vAlign w:val="center"/>
          </w:tcPr>
          <w:p w14:paraId="1336D6E1">
            <w:pPr>
              <w:jc w:val="center"/>
              <w:rPr>
                <w:sz w:val="22"/>
                <w:szCs w:val="22"/>
              </w:rPr>
            </w:pPr>
            <w:r>
              <w:rPr>
                <w:sz w:val="22"/>
                <w:szCs w:val="22"/>
              </w:rPr>
              <w:t>926.800.000</w:t>
            </w:r>
          </w:p>
        </w:tc>
        <w:tc>
          <w:tcPr>
            <w:tcW w:w="1140" w:type="dxa"/>
            <w:noWrap/>
            <w:vAlign w:val="center"/>
          </w:tcPr>
          <w:p w14:paraId="39DE28B1">
            <w:pPr>
              <w:jc w:val="center"/>
              <w:rPr>
                <w:sz w:val="22"/>
                <w:szCs w:val="22"/>
              </w:rPr>
            </w:pPr>
            <w:r>
              <w:rPr>
                <w:sz w:val="22"/>
                <w:szCs w:val="22"/>
              </w:rPr>
              <w:t>1,45%</w:t>
            </w:r>
          </w:p>
        </w:tc>
      </w:tr>
      <w:tr w14:paraId="37C2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8CC9ED3">
            <w:pPr>
              <w:jc w:val="center"/>
              <w:rPr>
                <w:sz w:val="22"/>
                <w:szCs w:val="22"/>
              </w:rPr>
            </w:pPr>
            <w:r>
              <w:rPr>
                <w:sz w:val="22"/>
                <w:szCs w:val="22"/>
              </w:rPr>
              <w:t>44</w:t>
            </w:r>
          </w:p>
        </w:tc>
        <w:tc>
          <w:tcPr>
            <w:tcW w:w="1752" w:type="dxa"/>
            <w:noWrap/>
            <w:vAlign w:val="center"/>
          </w:tcPr>
          <w:p w14:paraId="7CF5D040">
            <w:pPr>
              <w:jc w:val="center"/>
              <w:rPr>
                <w:sz w:val="22"/>
                <w:szCs w:val="22"/>
              </w:rPr>
            </w:pPr>
          </w:p>
        </w:tc>
        <w:tc>
          <w:tcPr>
            <w:tcW w:w="944" w:type="dxa"/>
            <w:vMerge w:val="continue"/>
            <w:vAlign w:val="center"/>
          </w:tcPr>
          <w:p w14:paraId="7D433204">
            <w:pPr>
              <w:jc w:val="center"/>
              <w:rPr>
                <w:sz w:val="22"/>
                <w:szCs w:val="22"/>
              </w:rPr>
            </w:pPr>
          </w:p>
        </w:tc>
        <w:tc>
          <w:tcPr>
            <w:tcW w:w="1116" w:type="dxa"/>
            <w:noWrap/>
            <w:vAlign w:val="center"/>
          </w:tcPr>
          <w:p w14:paraId="15E2AC95">
            <w:pPr>
              <w:jc w:val="center"/>
              <w:rPr>
                <w:sz w:val="22"/>
                <w:szCs w:val="22"/>
              </w:rPr>
            </w:pPr>
            <w:r>
              <w:rPr>
                <w:sz w:val="22"/>
                <w:szCs w:val="22"/>
              </w:rPr>
              <w:t>36</w:t>
            </w:r>
          </w:p>
        </w:tc>
        <w:tc>
          <w:tcPr>
            <w:tcW w:w="1010" w:type="dxa"/>
            <w:noWrap/>
            <w:vAlign w:val="center"/>
          </w:tcPr>
          <w:p w14:paraId="34037D9D">
            <w:pPr>
              <w:jc w:val="center"/>
              <w:rPr>
                <w:sz w:val="22"/>
                <w:szCs w:val="22"/>
              </w:rPr>
            </w:pPr>
            <w:r>
              <w:rPr>
                <w:sz w:val="22"/>
                <w:szCs w:val="22"/>
              </w:rPr>
              <w:t>80,00</w:t>
            </w:r>
          </w:p>
        </w:tc>
        <w:tc>
          <w:tcPr>
            <w:tcW w:w="1591" w:type="dxa"/>
            <w:noWrap/>
            <w:vAlign w:val="center"/>
          </w:tcPr>
          <w:p w14:paraId="04F6AD55">
            <w:pPr>
              <w:jc w:val="center"/>
              <w:rPr>
                <w:sz w:val="22"/>
                <w:szCs w:val="22"/>
              </w:rPr>
            </w:pPr>
            <w:r>
              <w:rPr>
                <w:sz w:val="22"/>
                <w:szCs w:val="22"/>
              </w:rPr>
              <w:t>640.000.000</w:t>
            </w:r>
          </w:p>
        </w:tc>
        <w:tc>
          <w:tcPr>
            <w:tcW w:w="1700" w:type="dxa"/>
            <w:noWrap/>
            <w:vAlign w:val="center"/>
          </w:tcPr>
          <w:p w14:paraId="06643953">
            <w:pPr>
              <w:jc w:val="center"/>
              <w:rPr>
                <w:sz w:val="22"/>
                <w:szCs w:val="22"/>
              </w:rPr>
            </w:pPr>
            <w:r>
              <w:rPr>
                <w:sz w:val="22"/>
                <w:szCs w:val="22"/>
              </w:rPr>
              <w:t>925.900.000</w:t>
            </w:r>
          </w:p>
        </w:tc>
        <w:tc>
          <w:tcPr>
            <w:tcW w:w="1140" w:type="dxa"/>
            <w:noWrap/>
            <w:vAlign w:val="center"/>
          </w:tcPr>
          <w:p w14:paraId="4DF7D568">
            <w:pPr>
              <w:jc w:val="center"/>
              <w:rPr>
                <w:sz w:val="22"/>
                <w:szCs w:val="22"/>
              </w:rPr>
            </w:pPr>
            <w:r>
              <w:rPr>
                <w:sz w:val="22"/>
                <w:szCs w:val="22"/>
              </w:rPr>
              <w:t>1,45%</w:t>
            </w:r>
          </w:p>
        </w:tc>
      </w:tr>
      <w:tr w14:paraId="3AE4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7A7B6FC">
            <w:pPr>
              <w:jc w:val="center"/>
              <w:rPr>
                <w:sz w:val="22"/>
                <w:szCs w:val="22"/>
              </w:rPr>
            </w:pPr>
            <w:r>
              <w:rPr>
                <w:sz w:val="22"/>
                <w:szCs w:val="22"/>
              </w:rPr>
              <w:t>45</w:t>
            </w:r>
          </w:p>
        </w:tc>
        <w:tc>
          <w:tcPr>
            <w:tcW w:w="1752" w:type="dxa"/>
            <w:noWrap/>
            <w:vAlign w:val="center"/>
          </w:tcPr>
          <w:p w14:paraId="0823C608">
            <w:pPr>
              <w:jc w:val="center"/>
              <w:rPr>
                <w:sz w:val="22"/>
                <w:szCs w:val="22"/>
              </w:rPr>
            </w:pPr>
          </w:p>
        </w:tc>
        <w:tc>
          <w:tcPr>
            <w:tcW w:w="944" w:type="dxa"/>
            <w:vMerge w:val="continue"/>
            <w:vAlign w:val="center"/>
          </w:tcPr>
          <w:p w14:paraId="5F70C445">
            <w:pPr>
              <w:jc w:val="center"/>
              <w:rPr>
                <w:sz w:val="22"/>
                <w:szCs w:val="22"/>
              </w:rPr>
            </w:pPr>
          </w:p>
        </w:tc>
        <w:tc>
          <w:tcPr>
            <w:tcW w:w="1116" w:type="dxa"/>
            <w:noWrap/>
            <w:vAlign w:val="center"/>
          </w:tcPr>
          <w:p w14:paraId="04268115">
            <w:pPr>
              <w:jc w:val="center"/>
              <w:rPr>
                <w:sz w:val="22"/>
                <w:szCs w:val="22"/>
              </w:rPr>
            </w:pPr>
            <w:r>
              <w:rPr>
                <w:sz w:val="22"/>
                <w:szCs w:val="22"/>
              </w:rPr>
              <w:t>37</w:t>
            </w:r>
          </w:p>
        </w:tc>
        <w:tc>
          <w:tcPr>
            <w:tcW w:w="1010" w:type="dxa"/>
            <w:noWrap/>
            <w:vAlign w:val="center"/>
          </w:tcPr>
          <w:p w14:paraId="5432B953">
            <w:pPr>
              <w:jc w:val="center"/>
              <w:rPr>
                <w:sz w:val="22"/>
                <w:szCs w:val="22"/>
              </w:rPr>
            </w:pPr>
            <w:r>
              <w:rPr>
                <w:sz w:val="22"/>
                <w:szCs w:val="22"/>
              </w:rPr>
              <w:t>80,00</w:t>
            </w:r>
          </w:p>
        </w:tc>
        <w:tc>
          <w:tcPr>
            <w:tcW w:w="1591" w:type="dxa"/>
            <w:noWrap/>
            <w:vAlign w:val="center"/>
          </w:tcPr>
          <w:p w14:paraId="38FC95EC">
            <w:pPr>
              <w:jc w:val="center"/>
              <w:rPr>
                <w:sz w:val="22"/>
                <w:szCs w:val="22"/>
              </w:rPr>
            </w:pPr>
            <w:r>
              <w:rPr>
                <w:sz w:val="22"/>
                <w:szCs w:val="22"/>
              </w:rPr>
              <w:t>640.000.000</w:t>
            </w:r>
          </w:p>
        </w:tc>
        <w:tc>
          <w:tcPr>
            <w:tcW w:w="1700" w:type="dxa"/>
            <w:noWrap/>
            <w:vAlign w:val="center"/>
          </w:tcPr>
          <w:p w14:paraId="4D10405F">
            <w:pPr>
              <w:jc w:val="center"/>
              <w:rPr>
                <w:sz w:val="22"/>
                <w:szCs w:val="22"/>
              </w:rPr>
            </w:pPr>
            <w:r>
              <w:rPr>
                <w:sz w:val="22"/>
                <w:szCs w:val="22"/>
              </w:rPr>
              <w:t>917.500.000</w:t>
            </w:r>
          </w:p>
        </w:tc>
        <w:tc>
          <w:tcPr>
            <w:tcW w:w="1140" w:type="dxa"/>
            <w:noWrap/>
            <w:vAlign w:val="center"/>
          </w:tcPr>
          <w:p w14:paraId="03825ADA">
            <w:pPr>
              <w:jc w:val="center"/>
              <w:rPr>
                <w:sz w:val="22"/>
                <w:szCs w:val="22"/>
              </w:rPr>
            </w:pPr>
            <w:r>
              <w:rPr>
                <w:sz w:val="22"/>
                <w:szCs w:val="22"/>
              </w:rPr>
              <w:t>1,43%</w:t>
            </w:r>
          </w:p>
        </w:tc>
      </w:tr>
      <w:tr w14:paraId="5089001E">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58919CFA">
            <w:pPr>
              <w:jc w:val="center"/>
              <w:rPr>
                <w:sz w:val="22"/>
                <w:szCs w:val="22"/>
              </w:rPr>
            </w:pPr>
            <w:r>
              <w:rPr>
                <w:sz w:val="22"/>
                <w:szCs w:val="22"/>
              </w:rPr>
              <w:t>46</w:t>
            </w:r>
          </w:p>
        </w:tc>
        <w:tc>
          <w:tcPr>
            <w:tcW w:w="1752" w:type="dxa"/>
            <w:noWrap/>
            <w:vAlign w:val="center"/>
          </w:tcPr>
          <w:p w14:paraId="65400786">
            <w:pPr>
              <w:jc w:val="center"/>
              <w:rPr>
                <w:sz w:val="22"/>
                <w:szCs w:val="22"/>
              </w:rPr>
            </w:pPr>
          </w:p>
        </w:tc>
        <w:tc>
          <w:tcPr>
            <w:tcW w:w="944" w:type="dxa"/>
            <w:vMerge w:val="continue"/>
            <w:vAlign w:val="center"/>
          </w:tcPr>
          <w:p w14:paraId="646D7E50">
            <w:pPr>
              <w:jc w:val="center"/>
              <w:rPr>
                <w:sz w:val="22"/>
                <w:szCs w:val="22"/>
              </w:rPr>
            </w:pPr>
          </w:p>
        </w:tc>
        <w:tc>
          <w:tcPr>
            <w:tcW w:w="1116" w:type="dxa"/>
            <w:noWrap/>
            <w:vAlign w:val="center"/>
          </w:tcPr>
          <w:p w14:paraId="5793ACB6">
            <w:pPr>
              <w:jc w:val="center"/>
              <w:rPr>
                <w:sz w:val="22"/>
                <w:szCs w:val="22"/>
              </w:rPr>
            </w:pPr>
            <w:r>
              <w:rPr>
                <w:sz w:val="22"/>
                <w:szCs w:val="22"/>
              </w:rPr>
              <w:t>38</w:t>
            </w:r>
          </w:p>
        </w:tc>
        <w:tc>
          <w:tcPr>
            <w:tcW w:w="1010" w:type="dxa"/>
            <w:noWrap/>
            <w:vAlign w:val="center"/>
          </w:tcPr>
          <w:p w14:paraId="5755A04D">
            <w:pPr>
              <w:jc w:val="center"/>
              <w:rPr>
                <w:sz w:val="22"/>
                <w:szCs w:val="22"/>
              </w:rPr>
            </w:pPr>
            <w:r>
              <w:rPr>
                <w:sz w:val="22"/>
                <w:szCs w:val="22"/>
              </w:rPr>
              <w:t>80,00</w:t>
            </w:r>
          </w:p>
        </w:tc>
        <w:tc>
          <w:tcPr>
            <w:tcW w:w="1591" w:type="dxa"/>
            <w:noWrap/>
            <w:vAlign w:val="center"/>
          </w:tcPr>
          <w:p w14:paraId="0AF3902E">
            <w:pPr>
              <w:jc w:val="center"/>
              <w:rPr>
                <w:sz w:val="22"/>
                <w:szCs w:val="22"/>
              </w:rPr>
            </w:pPr>
            <w:r>
              <w:rPr>
                <w:sz w:val="22"/>
                <w:szCs w:val="22"/>
              </w:rPr>
              <w:t>640.000.000</w:t>
            </w:r>
          </w:p>
        </w:tc>
        <w:tc>
          <w:tcPr>
            <w:tcW w:w="1700" w:type="dxa"/>
            <w:noWrap/>
            <w:vAlign w:val="center"/>
          </w:tcPr>
          <w:p w14:paraId="3CEEDEE5">
            <w:pPr>
              <w:jc w:val="center"/>
              <w:rPr>
                <w:sz w:val="22"/>
                <w:szCs w:val="22"/>
              </w:rPr>
            </w:pPr>
            <w:r>
              <w:rPr>
                <w:sz w:val="22"/>
                <w:szCs w:val="22"/>
              </w:rPr>
              <w:t>928.500.000</w:t>
            </w:r>
          </w:p>
        </w:tc>
        <w:tc>
          <w:tcPr>
            <w:tcW w:w="1140" w:type="dxa"/>
            <w:noWrap/>
            <w:vAlign w:val="center"/>
          </w:tcPr>
          <w:p w14:paraId="32E9DB26">
            <w:pPr>
              <w:jc w:val="center"/>
              <w:rPr>
                <w:sz w:val="22"/>
                <w:szCs w:val="22"/>
              </w:rPr>
            </w:pPr>
            <w:r>
              <w:rPr>
                <w:sz w:val="22"/>
                <w:szCs w:val="22"/>
              </w:rPr>
              <w:t>1,45%</w:t>
            </w:r>
          </w:p>
        </w:tc>
      </w:tr>
      <w:tr w14:paraId="1F0E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2D66B65">
            <w:pPr>
              <w:jc w:val="center"/>
              <w:rPr>
                <w:sz w:val="22"/>
                <w:szCs w:val="22"/>
              </w:rPr>
            </w:pPr>
            <w:r>
              <w:rPr>
                <w:sz w:val="22"/>
                <w:szCs w:val="22"/>
              </w:rPr>
              <w:t>47</w:t>
            </w:r>
          </w:p>
        </w:tc>
        <w:tc>
          <w:tcPr>
            <w:tcW w:w="1752" w:type="dxa"/>
            <w:noWrap/>
            <w:vAlign w:val="center"/>
          </w:tcPr>
          <w:p w14:paraId="66E2DC21">
            <w:pPr>
              <w:jc w:val="center"/>
              <w:rPr>
                <w:sz w:val="22"/>
                <w:szCs w:val="22"/>
              </w:rPr>
            </w:pPr>
          </w:p>
        </w:tc>
        <w:tc>
          <w:tcPr>
            <w:tcW w:w="944" w:type="dxa"/>
            <w:vMerge w:val="continue"/>
            <w:vAlign w:val="center"/>
          </w:tcPr>
          <w:p w14:paraId="2823C10C">
            <w:pPr>
              <w:jc w:val="center"/>
              <w:rPr>
                <w:sz w:val="22"/>
                <w:szCs w:val="22"/>
              </w:rPr>
            </w:pPr>
          </w:p>
        </w:tc>
        <w:tc>
          <w:tcPr>
            <w:tcW w:w="1116" w:type="dxa"/>
            <w:noWrap/>
            <w:vAlign w:val="center"/>
          </w:tcPr>
          <w:p w14:paraId="7EB1A1C7">
            <w:pPr>
              <w:jc w:val="center"/>
              <w:rPr>
                <w:sz w:val="22"/>
                <w:szCs w:val="22"/>
              </w:rPr>
            </w:pPr>
            <w:r>
              <w:rPr>
                <w:sz w:val="22"/>
                <w:szCs w:val="22"/>
              </w:rPr>
              <w:t>39</w:t>
            </w:r>
          </w:p>
        </w:tc>
        <w:tc>
          <w:tcPr>
            <w:tcW w:w="1010" w:type="dxa"/>
            <w:noWrap/>
            <w:vAlign w:val="center"/>
          </w:tcPr>
          <w:p w14:paraId="7F9846E0">
            <w:pPr>
              <w:jc w:val="center"/>
              <w:rPr>
                <w:sz w:val="22"/>
                <w:szCs w:val="22"/>
              </w:rPr>
            </w:pPr>
            <w:r>
              <w:rPr>
                <w:sz w:val="22"/>
                <w:szCs w:val="22"/>
              </w:rPr>
              <w:t>80,00</w:t>
            </w:r>
          </w:p>
        </w:tc>
        <w:tc>
          <w:tcPr>
            <w:tcW w:w="1591" w:type="dxa"/>
            <w:noWrap/>
            <w:vAlign w:val="center"/>
          </w:tcPr>
          <w:p w14:paraId="0FE3FBAF">
            <w:pPr>
              <w:jc w:val="center"/>
              <w:rPr>
                <w:sz w:val="22"/>
                <w:szCs w:val="22"/>
              </w:rPr>
            </w:pPr>
            <w:r>
              <w:rPr>
                <w:sz w:val="22"/>
                <w:szCs w:val="22"/>
              </w:rPr>
              <w:t>640.000.000</w:t>
            </w:r>
          </w:p>
        </w:tc>
        <w:tc>
          <w:tcPr>
            <w:tcW w:w="1700" w:type="dxa"/>
            <w:noWrap/>
            <w:vAlign w:val="center"/>
          </w:tcPr>
          <w:p w14:paraId="383B293D">
            <w:pPr>
              <w:jc w:val="center"/>
              <w:rPr>
                <w:sz w:val="22"/>
                <w:szCs w:val="22"/>
              </w:rPr>
            </w:pPr>
            <w:r>
              <w:rPr>
                <w:sz w:val="22"/>
                <w:szCs w:val="22"/>
              </w:rPr>
              <w:t>924.000.000</w:t>
            </w:r>
          </w:p>
        </w:tc>
        <w:tc>
          <w:tcPr>
            <w:tcW w:w="1140" w:type="dxa"/>
            <w:noWrap/>
            <w:vAlign w:val="center"/>
          </w:tcPr>
          <w:p w14:paraId="50A9D9A2">
            <w:pPr>
              <w:jc w:val="center"/>
              <w:rPr>
                <w:sz w:val="22"/>
                <w:szCs w:val="22"/>
              </w:rPr>
            </w:pPr>
            <w:r>
              <w:rPr>
                <w:sz w:val="22"/>
                <w:szCs w:val="22"/>
              </w:rPr>
              <w:t>1,44%</w:t>
            </w:r>
          </w:p>
        </w:tc>
      </w:tr>
      <w:tr w14:paraId="5F58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C6D138B">
            <w:pPr>
              <w:jc w:val="center"/>
              <w:rPr>
                <w:sz w:val="22"/>
                <w:szCs w:val="22"/>
              </w:rPr>
            </w:pPr>
            <w:r>
              <w:rPr>
                <w:sz w:val="22"/>
                <w:szCs w:val="22"/>
              </w:rPr>
              <w:t>48</w:t>
            </w:r>
          </w:p>
        </w:tc>
        <w:tc>
          <w:tcPr>
            <w:tcW w:w="1752" w:type="dxa"/>
            <w:noWrap/>
            <w:vAlign w:val="center"/>
          </w:tcPr>
          <w:p w14:paraId="1F938142">
            <w:pPr>
              <w:jc w:val="center"/>
              <w:rPr>
                <w:sz w:val="22"/>
                <w:szCs w:val="22"/>
              </w:rPr>
            </w:pPr>
          </w:p>
        </w:tc>
        <w:tc>
          <w:tcPr>
            <w:tcW w:w="944" w:type="dxa"/>
            <w:vMerge w:val="continue"/>
            <w:vAlign w:val="center"/>
          </w:tcPr>
          <w:p w14:paraId="78D27892">
            <w:pPr>
              <w:jc w:val="center"/>
              <w:rPr>
                <w:sz w:val="22"/>
                <w:szCs w:val="22"/>
              </w:rPr>
            </w:pPr>
          </w:p>
        </w:tc>
        <w:tc>
          <w:tcPr>
            <w:tcW w:w="1116" w:type="dxa"/>
            <w:noWrap/>
            <w:vAlign w:val="center"/>
          </w:tcPr>
          <w:p w14:paraId="3D6870B3">
            <w:pPr>
              <w:jc w:val="center"/>
              <w:rPr>
                <w:sz w:val="22"/>
                <w:szCs w:val="22"/>
              </w:rPr>
            </w:pPr>
            <w:r>
              <w:rPr>
                <w:sz w:val="22"/>
                <w:szCs w:val="22"/>
              </w:rPr>
              <w:t>40</w:t>
            </w:r>
          </w:p>
        </w:tc>
        <w:tc>
          <w:tcPr>
            <w:tcW w:w="1010" w:type="dxa"/>
            <w:noWrap/>
            <w:vAlign w:val="center"/>
          </w:tcPr>
          <w:p w14:paraId="6AB86003">
            <w:pPr>
              <w:jc w:val="center"/>
              <w:rPr>
                <w:sz w:val="22"/>
                <w:szCs w:val="22"/>
              </w:rPr>
            </w:pPr>
            <w:r>
              <w:rPr>
                <w:sz w:val="22"/>
                <w:szCs w:val="22"/>
              </w:rPr>
              <w:t>80,00</w:t>
            </w:r>
          </w:p>
        </w:tc>
        <w:tc>
          <w:tcPr>
            <w:tcW w:w="1591" w:type="dxa"/>
            <w:noWrap/>
            <w:vAlign w:val="center"/>
          </w:tcPr>
          <w:p w14:paraId="3E483CE4">
            <w:pPr>
              <w:jc w:val="center"/>
              <w:rPr>
                <w:sz w:val="22"/>
                <w:szCs w:val="22"/>
              </w:rPr>
            </w:pPr>
            <w:r>
              <w:rPr>
                <w:sz w:val="22"/>
                <w:szCs w:val="22"/>
              </w:rPr>
              <w:t>640.000.000</w:t>
            </w:r>
          </w:p>
        </w:tc>
        <w:tc>
          <w:tcPr>
            <w:tcW w:w="1700" w:type="dxa"/>
            <w:noWrap/>
            <w:vAlign w:val="center"/>
          </w:tcPr>
          <w:p w14:paraId="7454BC95">
            <w:pPr>
              <w:jc w:val="center"/>
              <w:rPr>
                <w:sz w:val="22"/>
                <w:szCs w:val="22"/>
              </w:rPr>
            </w:pPr>
            <w:r>
              <w:rPr>
                <w:sz w:val="22"/>
                <w:szCs w:val="22"/>
              </w:rPr>
              <w:t>940.800.000</w:t>
            </w:r>
          </w:p>
        </w:tc>
        <w:tc>
          <w:tcPr>
            <w:tcW w:w="1140" w:type="dxa"/>
            <w:noWrap/>
            <w:vAlign w:val="center"/>
          </w:tcPr>
          <w:p w14:paraId="71D3A473">
            <w:pPr>
              <w:jc w:val="center"/>
              <w:rPr>
                <w:sz w:val="22"/>
                <w:szCs w:val="22"/>
              </w:rPr>
            </w:pPr>
            <w:r>
              <w:rPr>
                <w:sz w:val="22"/>
                <w:szCs w:val="22"/>
              </w:rPr>
              <w:t>1,47%</w:t>
            </w:r>
          </w:p>
        </w:tc>
      </w:tr>
      <w:tr w14:paraId="255E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BEDB06A">
            <w:pPr>
              <w:jc w:val="center"/>
              <w:rPr>
                <w:sz w:val="22"/>
                <w:szCs w:val="22"/>
              </w:rPr>
            </w:pPr>
            <w:r>
              <w:rPr>
                <w:sz w:val="22"/>
                <w:szCs w:val="22"/>
              </w:rPr>
              <w:t>49</w:t>
            </w:r>
          </w:p>
        </w:tc>
        <w:tc>
          <w:tcPr>
            <w:tcW w:w="1752" w:type="dxa"/>
            <w:noWrap/>
            <w:vAlign w:val="center"/>
          </w:tcPr>
          <w:p w14:paraId="1895B411">
            <w:pPr>
              <w:jc w:val="center"/>
              <w:rPr>
                <w:sz w:val="22"/>
                <w:szCs w:val="22"/>
              </w:rPr>
            </w:pPr>
          </w:p>
        </w:tc>
        <w:tc>
          <w:tcPr>
            <w:tcW w:w="944" w:type="dxa"/>
            <w:vMerge w:val="continue"/>
            <w:vAlign w:val="center"/>
          </w:tcPr>
          <w:p w14:paraId="4229B6D5">
            <w:pPr>
              <w:jc w:val="center"/>
              <w:rPr>
                <w:sz w:val="22"/>
                <w:szCs w:val="22"/>
              </w:rPr>
            </w:pPr>
          </w:p>
        </w:tc>
        <w:tc>
          <w:tcPr>
            <w:tcW w:w="1116" w:type="dxa"/>
            <w:noWrap/>
            <w:vAlign w:val="center"/>
          </w:tcPr>
          <w:p w14:paraId="5557EE3B">
            <w:pPr>
              <w:jc w:val="center"/>
              <w:rPr>
                <w:sz w:val="22"/>
                <w:szCs w:val="22"/>
              </w:rPr>
            </w:pPr>
            <w:r>
              <w:rPr>
                <w:sz w:val="22"/>
                <w:szCs w:val="22"/>
              </w:rPr>
              <w:t>41</w:t>
            </w:r>
          </w:p>
        </w:tc>
        <w:tc>
          <w:tcPr>
            <w:tcW w:w="1010" w:type="dxa"/>
            <w:noWrap/>
            <w:vAlign w:val="center"/>
          </w:tcPr>
          <w:p w14:paraId="295B3A02">
            <w:pPr>
              <w:jc w:val="center"/>
              <w:rPr>
                <w:sz w:val="22"/>
                <w:szCs w:val="22"/>
              </w:rPr>
            </w:pPr>
            <w:r>
              <w:rPr>
                <w:sz w:val="22"/>
                <w:szCs w:val="22"/>
              </w:rPr>
              <w:t>80,00</w:t>
            </w:r>
          </w:p>
        </w:tc>
        <w:tc>
          <w:tcPr>
            <w:tcW w:w="1591" w:type="dxa"/>
            <w:noWrap/>
            <w:vAlign w:val="center"/>
          </w:tcPr>
          <w:p w14:paraId="2BCD19C6">
            <w:pPr>
              <w:jc w:val="center"/>
              <w:rPr>
                <w:sz w:val="22"/>
                <w:szCs w:val="22"/>
              </w:rPr>
            </w:pPr>
            <w:r>
              <w:rPr>
                <w:sz w:val="22"/>
                <w:szCs w:val="22"/>
              </w:rPr>
              <w:t>640.000.000</w:t>
            </w:r>
          </w:p>
        </w:tc>
        <w:tc>
          <w:tcPr>
            <w:tcW w:w="1700" w:type="dxa"/>
            <w:noWrap/>
            <w:vAlign w:val="center"/>
          </w:tcPr>
          <w:p w14:paraId="7662797F">
            <w:pPr>
              <w:jc w:val="center"/>
              <w:rPr>
                <w:sz w:val="22"/>
                <w:szCs w:val="22"/>
              </w:rPr>
            </w:pPr>
            <w:r>
              <w:rPr>
                <w:sz w:val="22"/>
                <w:szCs w:val="22"/>
              </w:rPr>
              <w:t>930.800.000</w:t>
            </w:r>
          </w:p>
        </w:tc>
        <w:tc>
          <w:tcPr>
            <w:tcW w:w="1140" w:type="dxa"/>
            <w:noWrap/>
            <w:vAlign w:val="center"/>
          </w:tcPr>
          <w:p w14:paraId="3ADC02A9">
            <w:pPr>
              <w:jc w:val="center"/>
              <w:rPr>
                <w:sz w:val="22"/>
                <w:szCs w:val="22"/>
              </w:rPr>
            </w:pPr>
            <w:r>
              <w:rPr>
                <w:sz w:val="22"/>
                <w:szCs w:val="22"/>
              </w:rPr>
              <w:t>1,45%</w:t>
            </w:r>
          </w:p>
        </w:tc>
      </w:tr>
      <w:tr w14:paraId="15F5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30DCF29">
            <w:pPr>
              <w:jc w:val="center"/>
              <w:rPr>
                <w:sz w:val="22"/>
                <w:szCs w:val="22"/>
              </w:rPr>
            </w:pPr>
            <w:r>
              <w:rPr>
                <w:sz w:val="22"/>
                <w:szCs w:val="22"/>
              </w:rPr>
              <w:t>50</w:t>
            </w:r>
          </w:p>
        </w:tc>
        <w:tc>
          <w:tcPr>
            <w:tcW w:w="1752" w:type="dxa"/>
            <w:noWrap/>
            <w:vAlign w:val="center"/>
          </w:tcPr>
          <w:p w14:paraId="03D1387B">
            <w:pPr>
              <w:jc w:val="center"/>
              <w:rPr>
                <w:sz w:val="22"/>
                <w:szCs w:val="22"/>
              </w:rPr>
            </w:pPr>
          </w:p>
        </w:tc>
        <w:tc>
          <w:tcPr>
            <w:tcW w:w="944" w:type="dxa"/>
            <w:vMerge w:val="continue"/>
            <w:vAlign w:val="center"/>
          </w:tcPr>
          <w:p w14:paraId="0C707F55">
            <w:pPr>
              <w:jc w:val="center"/>
              <w:rPr>
                <w:sz w:val="22"/>
                <w:szCs w:val="22"/>
              </w:rPr>
            </w:pPr>
          </w:p>
        </w:tc>
        <w:tc>
          <w:tcPr>
            <w:tcW w:w="1116" w:type="dxa"/>
            <w:noWrap/>
            <w:vAlign w:val="center"/>
          </w:tcPr>
          <w:p w14:paraId="52D19FA4">
            <w:pPr>
              <w:jc w:val="center"/>
              <w:rPr>
                <w:sz w:val="22"/>
                <w:szCs w:val="22"/>
              </w:rPr>
            </w:pPr>
            <w:r>
              <w:rPr>
                <w:sz w:val="22"/>
                <w:szCs w:val="22"/>
              </w:rPr>
              <w:t>42</w:t>
            </w:r>
          </w:p>
        </w:tc>
        <w:tc>
          <w:tcPr>
            <w:tcW w:w="1010" w:type="dxa"/>
            <w:noWrap/>
            <w:vAlign w:val="center"/>
          </w:tcPr>
          <w:p w14:paraId="4EE64685">
            <w:pPr>
              <w:jc w:val="center"/>
              <w:rPr>
                <w:sz w:val="22"/>
                <w:szCs w:val="22"/>
              </w:rPr>
            </w:pPr>
            <w:r>
              <w:rPr>
                <w:sz w:val="22"/>
                <w:szCs w:val="22"/>
              </w:rPr>
              <w:t>80,00</w:t>
            </w:r>
          </w:p>
        </w:tc>
        <w:tc>
          <w:tcPr>
            <w:tcW w:w="1591" w:type="dxa"/>
            <w:noWrap/>
            <w:vAlign w:val="center"/>
          </w:tcPr>
          <w:p w14:paraId="732C4464">
            <w:pPr>
              <w:jc w:val="center"/>
              <w:rPr>
                <w:sz w:val="22"/>
                <w:szCs w:val="22"/>
              </w:rPr>
            </w:pPr>
            <w:r>
              <w:rPr>
                <w:sz w:val="22"/>
                <w:szCs w:val="22"/>
              </w:rPr>
              <w:t>640.000.000</w:t>
            </w:r>
          </w:p>
        </w:tc>
        <w:tc>
          <w:tcPr>
            <w:tcW w:w="1700" w:type="dxa"/>
            <w:noWrap/>
            <w:vAlign w:val="center"/>
          </w:tcPr>
          <w:p w14:paraId="044895A3">
            <w:pPr>
              <w:jc w:val="center"/>
              <w:rPr>
                <w:sz w:val="22"/>
                <w:szCs w:val="22"/>
              </w:rPr>
            </w:pPr>
            <w:r>
              <w:rPr>
                <w:sz w:val="22"/>
                <w:szCs w:val="22"/>
              </w:rPr>
              <w:t>926.300.000</w:t>
            </w:r>
          </w:p>
        </w:tc>
        <w:tc>
          <w:tcPr>
            <w:tcW w:w="1140" w:type="dxa"/>
            <w:noWrap/>
            <w:vAlign w:val="center"/>
          </w:tcPr>
          <w:p w14:paraId="6FA13181">
            <w:pPr>
              <w:jc w:val="center"/>
              <w:rPr>
                <w:sz w:val="22"/>
                <w:szCs w:val="22"/>
              </w:rPr>
            </w:pPr>
            <w:r>
              <w:rPr>
                <w:sz w:val="22"/>
                <w:szCs w:val="22"/>
              </w:rPr>
              <w:t>1,45%</w:t>
            </w:r>
          </w:p>
        </w:tc>
      </w:tr>
      <w:tr w14:paraId="52CA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596759C">
            <w:pPr>
              <w:jc w:val="center"/>
              <w:rPr>
                <w:sz w:val="22"/>
                <w:szCs w:val="22"/>
              </w:rPr>
            </w:pPr>
            <w:r>
              <w:rPr>
                <w:sz w:val="22"/>
                <w:szCs w:val="22"/>
              </w:rPr>
              <w:t>51</w:t>
            </w:r>
          </w:p>
        </w:tc>
        <w:tc>
          <w:tcPr>
            <w:tcW w:w="1752" w:type="dxa"/>
            <w:noWrap/>
            <w:vAlign w:val="center"/>
          </w:tcPr>
          <w:p w14:paraId="282AE001">
            <w:pPr>
              <w:jc w:val="center"/>
              <w:rPr>
                <w:sz w:val="22"/>
                <w:szCs w:val="22"/>
              </w:rPr>
            </w:pPr>
          </w:p>
        </w:tc>
        <w:tc>
          <w:tcPr>
            <w:tcW w:w="944" w:type="dxa"/>
            <w:vMerge w:val="continue"/>
            <w:vAlign w:val="center"/>
          </w:tcPr>
          <w:p w14:paraId="0FE0436F">
            <w:pPr>
              <w:jc w:val="center"/>
              <w:rPr>
                <w:sz w:val="22"/>
                <w:szCs w:val="22"/>
              </w:rPr>
            </w:pPr>
          </w:p>
        </w:tc>
        <w:tc>
          <w:tcPr>
            <w:tcW w:w="1116" w:type="dxa"/>
            <w:noWrap/>
            <w:vAlign w:val="center"/>
          </w:tcPr>
          <w:p w14:paraId="2987AE3A">
            <w:pPr>
              <w:jc w:val="center"/>
              <w:rPr>
                <w:sz w:val="22"/>
                <w:szCs w:val="22"/>
              </w:rPr>
            </w:pPr>
            <w:r>
              <w:rPr>
                <w:sz w:val="22"/>
                <w:szCs w:val="22"/>
              </w:rPr>
              <w:t>43</w:t>
            </w:r>
          </w:p>
        </w:tc>
        <w:tc>
          <w:tcPr>
            <w:tcW w:w="1010" w:type="dxa"/>
            <w:noWrap/>
            <w:vAlign w:val="center"/>
          </w:tcPr>
          <w:p w14:paraId="5533A3B0">
            <w:pPr>
              <w:jc w:val="center"/>
              <w:rPr>
                <w:sz w:val="22"/>
                <w:szCs w:val="22"/>
              </w:rPr>
            </w:pPr>
            <w:r>
              <w:rPr>
                <w:sz w:val="22"/>
                <w:szCs w:val="22"/>
              </w:rPr>
              <w:t>80,00</w:t>
            </w:r>
          </w:p>
        </w:tc>
        <w:tc>
          <w:tcPr>
            <w:tcW w:w="1591" w:type="dxa"/>
            <w:noWrap/>
            <w:vAlign w:val="center"/>
          </w:tcPr>
          <w:p w14:paraId="391B6EC1">
            <w:pPr>
              <w:jc w:val="center"/>
              <w:rPr>
                <w:sz w:val="22"/>
                <w:szCs w:val="22"/>
              </w:rPr>
            </w:pPr>
            <w:r>
              <w:rPr>
                <w:sz w:val="22"/>
                <w:szCs w:val="22"/>
              </w:rPr>
              <w:t>640.000.000</w:t>
            </w:r>
          </w:p>
        </w:tc>
        <w:tc>
          <w:tcPr>
            <w:tcW w:w="1700" w:type="dxa"/>
            <w:noWrap/>
            <w:vAlign w:val="center"/>
          </w:tcPr>
          <w:p w14:paraId="6C74B774">
            <w:pPr>
              <w:jc w:val="center"/>
              <w:rPr>
                <w:sz w:val="22"/>
                <w:szCs w:val="22"/>
              </w:rPr>
            </w:pPr>
            <w:r>
              <w:rPr>
                <w:sz w:val="22"/>
                <w:szCs w:val="22"/>
              </w:rPr>
              <w:t>939.000.000</w:t>
            </w:r>
          </w:p>
        </w:tc>
        <w:tc>
          <w:tcPr>
            <w:tcW w:w="1140" w:type="dxa"/>
            <w:noWrap/>
            <w:vAlign w:val="center"/>
          </w:tcPr>
          <w:p w14:paraId="54AED912">
            <w:pPr>
              <w:jc w:val="center"/>
              <w:rPr>
                <w:sz w:val="22"/>
                <w:szCs w:val="22"/>
              </w:rPr>
            </w:pPr>
            <w:r>
              <w:rPr>
                <w:sz w:val="22"/>
                <w:szCs w:val="22"/>
              </w:rPr>
              <w:t>1,47%</w:t>
            </w:r>
          </w:p>
        </w:tc>
      </w:tr>
      <w:tr w14:paraId="75FF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B8A7AF1">
            <w:pPr>
              <w:jc w:val="center"/>
              <w:rPr>
                <w:sz w:val="22"/>
                <w:szCs w:val="22"/>
              </w:rPr>
            </w:pPr>
            <w:r>
              <w:rPr>
                <w:sz w:val="22"/>
                <w:szCs w:val="22"/>
              </w:rPr>
              <w:t>52</w:t>
            </w:r>
          </w:p>
        </w:tc>
        <w:tc>
          <w:tcPr>
            <w:tcW w:w="1752" w:type="dxa"/>
            <w:noWrap/>
            <w:vAlign w:val="center"/>
          </w:tcPr>
          <w:p w14:paraId="4A9B468B">
            <w:pPr>
              <w:jc w:val="center"/>
              <w:rPr>
                <w:sz w:val="22"/>
                <w:szCs w:val="22"/>
              </w:rPr>
            </w:pPr>
          </w:p>
        </w:tc>
        <w:tc>
          <w:tcPr>
            <w:tcW w:w="944" w:type="dxa"/>
            <w:vMerge w:val="continue"/>
            <w:vAlign w:val="center"/>
          </w:tcPr>
          <w:p w14:paraId="41EE17EA">
            <w:pPr>
              <w:jc w:val="center"/>
              <w:rPr>
                <w:sz w:val="22"/>
                <w:szCs w:val="22"/>
              </w:rPr>
            </w:pPr>
          </w:p>
        </w:tc>
        <w:tc>
          <w:tcPr>
            <w:tcW w:w="1116" w:type="dxa"/>
            <w:noWrap/>
            <w:vAlign w:val="center"/>
          </w:tcPr>
          <w:p w14:paraId="6618488B">
            <w:pPr>
              <w:jc w:val="center"/>
              <w:rPr>
                <w:sz w:val="22"/>
                <w:szCs w:val="22"/>
              </w:rPr>
            </w:pPr>
            <w:r>
              <w:rPr>
                <w:sz w:val="22"/>
                <w:szCs w:val="22"/>
              </w:rPr>
              <w:t>44</w:t>
            </w:r>
          </w:p>
        </w:tc>
        <w:tc>
          <w:tcPr>
            <w:tcW w:w="1010" w:type="dxa"/>
            <w:noWrap/>
            <w:vAlign w:val="center"/>
          </w:tcPr>
          <w:p w14:paraId="4CA3E2D9">
            <w:pPr>
              <w:jc w:val="center"/>
              <w:rPr>
                <w:sz w:val="22"/>
                <w:szCs w:val="22"/>
              </w:rPr>
            </w:pPr>
            <w:r>
              <w:rPr>
                <w:sz w:val="22"/>
                <w:szCs w:val="22"/>
              </w:rPr>
              <w:t>80,00</w:t>
            </w:r>
          </w:p>
        </w:tc>
        <w:tc>
          <w:tcPr>
            <w:tcW w:w="1591" w:type="dxa"/>
            <w:noWrap/>
            <w:vAlign w:val="center"/>
          </w:tcPr>
          <w:p w14:paraId="46427D51">
            <w:pPr>
              <w:jc w:val="center"/>
              <w:rPr>
                <w:sz w:val="22"/>
                <w:szCs w:val="22"/>
              </w:rPr>
            </w:pPr>
            <w:r>
              <w:rPr>
                <w:sz w:val="22"/>
                <w:szCs w:val="22"/>
              </w:rPr>
              <w:t>640.000.000</w:t>
            </w:r>
          </w:p>
        </w:tc>
        <w:tc>
          <w:tcPr>
            <w:tcW w:w="1700" w:type="dxa"/>
            <w:noWrap/>
            <w:vAlign w:val="center"/>
          </w:tcPr>
          <w:p w14:paraId="7FCE6822">
            <w:pPr>
              <w:jc w:val="center"/>
              <w:rPr>
                <w:sz w:val="22"/>
                <w:szCs w:val="22"/>
              </w:rPr>
            </w:pPr>
            <w:r>
              <w:rPr>
                <w:sz w:val="22"/>
                <w:szCs w:val="22"/>
              </w:rPr>
              <w:t>1.040.000.000</w:t>
            </w:r>
          </w:p>
        </w:tc>
        <w:tc>
          <w:tcPr>
            <w:tcW w:w="1140" w:type="dxa"/>
            <w:noWrap/>
            <w:vAlign w:val="center"/>
          </w:tcPr>
          <w:p w14:paraId="2C7DED25">
            <w:pPr>
              <w:jc w:val="center"/>
              <w:rPr>
                <w:sz w:val="22"/>
                <w:szCs w:val="22"/>
              </w:rPr>
            </w:pPr>
            <w:r>
              <w:rPr>
                <w:sz w:val="22"/>
                <w:szCs w:val="22"/>
              </w:rPr>
              <w:t>1,63%</w:t>
            </w:r>
          </w:p>
        </w:tc>
      </w:tr>
      <w:tr w14:paraId="6268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19D0FDE">
            <w:pPr>
              <w:jc w:val="center"/>
              <w:rPr>
                <w:sz w:val="22"/>
                <w:szCs w:val="22"/>
              </w:rPr>
            </w:pPr>
            <w:r>
              <w:rPr>
                <w:sz w:val="22"/>
                <w:szCs w:val="22"/>
              </w:rPr>
              <w:t>53</w:t>
            </w:r>
          </w:p>
        </w:tc>
        <w:tc>
          <w:tcPr>
            <w:tcW w:w="1752" w:type="dxa"/>
            <w:noWrap/>
            <w:vAlign w:val="center"/>
          </w:tcPr>
          <w:p w14:paraId="61769A7A">
            <w:pPr>
              <w:jc w:val="center"/>
              <w:rPr>
                <w:sz w:val="22"/>
                <w:szCs w:val="22"/>
              </w:rPr>
            </w:pPr>
          </w:p>
        </w:tc>
        <w:tc>
          <w:tcPr>
            <w:tcW w:w="944" w:type="dxa"/>
            <w:vMerge w:val="continue"/>
            <w:vAlign w:val="center"/>
          </w:tcPr>
          <w:p w14:paraId="1E112A91">
            <w:pPr>
              <w:jc w:val="center"/>
              <w:rPr>
                <w:sz w:val="22"/>
                <w:szCs w:val="22"/>
              </w:rPr>
            </w:pPr>
          </w:p>
        </w:tc>
        <w:tc>
          <w:tcPr>
            <w:tcW w:w="1116" w:type="dxa"/>
            <w:noWrap/>
            <w:vAlign w:val="center"/>
          </w:tcPr>
          <w:p w14:paraId="139AB3E7">
            <w:pPr>
              <w:jc w:val="center"/>
              <w:rPr>
                <w:sz w:val="22"/>
                <w:szCs w:val="22"/>
              </w:rPr>
            </w:pPr>
            <w:r>
              <w:rPr>
                <w:sz w:val="22"/>
                <w:szCs w:val="22"/>
              </w:rPr>
              <w:t>45</w:t>
            </w:r>
          </w:p>
        </w:tc>
        <w:tc>
          <w:tcPr>
            <w:tcW w:w="1010" w:type="dxa"/>
            <w:noWrap/>
            <w:vAlign w:val="center"/>
          </w:tcPr>
          <w:p w14:paraId="30F45360">
            <w:pPr>
              <w:jc w:val="center"/>
              <w:rPr>
                <w:sz w:val="22"/>
                <w:szCs w:val="22"/>
              </w:rPr>
            </w:pPr>
            <w:r>
              <w:rPr>
                <w:sz w:val="22"/>
                <w:szCs w:val="22"/>
              </w:rPr>
              <w:t>96,00</w:t>
            </w:r>
          </w:p>
        </w:tc>
        <w:tc>
          <w:tcPr>
            <w:tcW w:w="1591" w:type="dxa"/>
            <w:noWrap/>
            <w:vAlign w:val="center"/>
          </w:tcPr>
          <w:p w14:paraId="282F5508">
            <w:pPr>
              <w:jc w:val="center"/>
              <w:rPr>
                <w:sz w:val="22"/>
                <w:szCs w:val="22"/>
              </w:rPr>
            </w:pPr>
            <w:r>
              <w:rPr>
                <w:sz w:val="22"/>
                <w:szCs w:val="22"/>
              </w:rPr>
              <w:t>768.000.000</w:t>
            </w:r>
          </w:p>
        </w:tc>
        <w:tc>
          <w:tcPr>
            <w:tcW w:w="1700" w:type="dxa"/>
            <w:noWrap/>
            <w:vAlign w:val="center"/>
          </w:tcPr>
          <w:p w14:paraId="3ADDCE80">
            <w:pPr>
              <w:jc w:val="center"/>
              <w:rPr>
                <w:sz w:val="22"/>
                <w:szCs w:val="22"/>
              </w:rPr>
            </w:pPr>
            <w:r>
              <w:rPr>
                <w:sz w:val="22"/>
                <w:szCs w:val="22"/>
              </w:rPr>
              <w:t>1.100.000.000</w:t>
            </w:r>
          </w:p>
        </w:tc>
        <w:tc>
          <w:tcPr>
            <w:tcW w:w="1140" w:type="dxa"/>
            <w:noWrap/>
            <w:vAlign w:val="center"/>
          </w:tcPr>
          <w:p w14:paraId="6A47DFFC">
            <w:pPr>
              <w:jc w:val="center"/>
              <w:rPr>
                <w:sz w:val="22"/>
                <w:szCs w:val="22"/>
              </w:rPr>
            </w:pPr>
            <w:r>
              <w:rPr>
                <w:sz w:val="22"/>
                <w:szCs w:val="22"/>
              </w:rPr>
              <w:t>1,43%</w:t>
            </w:r>
          </w:p>
        </w:tc>
      </w:tr>
      <w:tr w14:paraId="428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75E73C6">
            <w:pPr>
              <w:jc w:val="center"/>
              <w:rPr>
                <w:sz w:val="22"/>
                <w:szCs w:val="22"/>
              </w:rPr>
            </w:pPr>
            <w:r>
              <w:rPr>
                <w:sz w:val="22"/>
                <w:szCs w:val="22"/>
              </w:rPr>
              <w:t>54</w:t>
            </w:r>
          </w:p>
        </w:tc>
        <w:tc>
          <w:tcPr>
            <w:tcW w:w="1752" w:type="dxa"/>
            <w:noWrap/>
            <w:vAlign w:val="center"/>
          </w:tcPr>
          <w:p w14:paraId="2D8C6FC3">
            <w:pPr>
              <w:jc w:val="center"/>
              <w:rPr>
                <w:sz w:val="22"/>
                <w:szCs w:val="22"/>
              </w:rPr>
            </w:pPr>
          </w:p>
        </w:tc>
        <w:tc>
          <w:tcPr>
            <w:tcW w:w="944" w:type="dxa"/>
            <w:vMerge w:val="continue"/>
            <w:vAlign w:val="center"/>
          </w:tcPr>
          <w:p w14:paraId="7FA856D7">
            <w:pPr>
              <w:jc w:val="center"/>
              <w:rPr>
                <w:sz w:val="22"/>
                <w:szCs w:val="22"/>
              </w:rPr>
            </w:pPr>
          </w:p>
        </w:tc>
        <w:tc>
          <w:tcPr>
            <w:tcW w:w="1116" w:type="dxa"/>
            <w:noWrap/>
            <w:vAlign w:val="center"/>
          </w:tcPr>
          <w:p w14:paraId="78186F7C">
            <w:pPr>
              <w:jc w:val="center"/>
              <w:rPr>
                <w:sz w:val="22"/>
                <w:szCs w:val="22"/>
              </w:rPr>
            </w:pPr>
            <w:r>
              <w:rPr>
                <w:sz w:val="22"/>
                <w:szCs w:val="22"/>
              </w:rPr>
              <w:t>46</w:t>
            </w:r>
          </w:p>
        </w:tc>
        <w:tc>
          <w:tcPr>
            <w:tcW w:w="1010" w:type="dxa"/>
            <w:noWrap/>
            <w:vAlign w:val="center"/>
          </w:tcPr>
          <w:p w14:paraId="5C79F223">
            <w:pPr>
              <w:jc w:val="center"/>
              <w:rPr>
                <w:sz w:val="22"/>
                <w:szCs w:val="22"/>
              </w:rPr>
            </w:pPr>
            <w:r>
              <w:rPr>
                <w:sz w:val="22"/>
                <w:szCs w:val="22"/>
              </w:rPr>
              <w:t>80,00</w:t>
            </w:r>
          </w:p>
        </w:tc>
        <w:tc>
          <w:tcPr>
            <w:tcW w:w="1591" w:type="dxa"/>
            <w:noWrap/>
            <w:vAlign w:val="center"/>
          </w:tcPr>
          <w:p w14:paraId="4D4B1FED">
            <w:pPr>
              <w:jc w:val="center"/>
              <w:rPr>
                <w:sz w:val="22"/>
                <w:szCs w:val="22"/>
              </w:rPr>
            </w:pPr>
            <w:r>
              <w:rPr>
                <w:sz w:val="22"/>
                <w:szCs w:val="22"/>
              </w:rPr>
              <w:t>640.000.000</w:t>
            </w:r>
          </w:p>
        </w:tc>
        <w:tc>
          <w:tcPr>
            <w:tcW w:w="1700" w:type="dxa"/>
            <w:noWrap/>
            <w:vAlign w:val="center"/>
          </w:tcPr>
          <w:p w14:paraId="5614A090">
            <w:pPr>
              <w:jc w:val="center"/>
              <w:rPr>
                <w:sz w:val="22"/>
                <w:szCs w:val="22"/>
              </w:rPr>
            </w:pPr>
            <w:r>
              <w:rPr>
                <w:sz w:val="22"/>
                <w:szCs w:val="22"/>
              </w:rPr>
              <w:t>945.800.000</w:t>
            </w:r>
          </w:p>
        </w:tc>
        <w:tc>
          <w:tcPr>
            <w:tcW w:w="1140" w:type="dxa"/>
            <w:noWrap/>
            <w:vAlign w:val="center"/>
          </w:tcPr>
          <w:p w14:paraId="70608981">
            <w:pPr>
              <w:jc w:val="center"/>
              <w:rPr>
                <w:sz w:val="22"/>
                <w:szCs w:val="22"/>
              </w:rPr>
            </w:pPr>
            <w:r>
              <w:rPr>
                <w:sz w:val="22"/>
                <w:szCs w:val="22"/>
              </w:rPr>
              <w:t>1,48%</w:t>
            </w:r>
          </w:p>
        </w:tc>
      </w:tr>
      <w:tr w14:paraId="5B0E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7A24F45">
            <w:pPr>
              <w:jc w:val="center"/>
              <w:rPr>
                <w:sz w:val="22"/>
                <w:szCs w:val="22"/>
              </w:rPr>
            </w:pPr>
            <w:r>
              <w:rPr>
                <w:sz w:val="22"/>
                <w:szCs w:val="22"/>
              </w:rPr>
              <w:t>55</w:t>
            </w:r>
          </w:p>
        </w:tc>
        <w:tc>
          <w:tcPr>
            <w:tcW w:w="1752" w:type="dxa"/>
            <w:noWrap/>
            <w:vAlign w:val="center"/>
          </w:tcPr>
          <w:p w14:paraId="28C80DCB">
            <w:pPr>
              <w:jc w:val="center"/>
              <w:rPr>
                <w:sz w:val="22"/>
                <w:szCs w:val="22"/>
              </w:rPr>
            </w:pPr>
          </w:p>
        </w:tc>
        <w:tc>
          <w:tcPr>
            <w:tcW w:w="944" w:type="dxa"/>
            <w:vMerge w:val="continue"/>
            <w:vAlign w:val="center"/>
          </w:tcPr>
          <w:p w14:paraId="1DC5E4D0">
            <w:pPr>
              <w:jc w:val="center"/>
              <w:rPr>
                <w:sz w:val="22"/>
                <w:szCs w:val="22"/>
              </w:rPr>
            </w:pPr>
          </w:p>
        </w:tc>
        <w:tc>
          <w:tcPr>
            <w:tcW w:w="1116" w:type="dxa"/>
            <w:noWrap/>
            <w:vAlign w:val="center"/>
          </w:tcPr>
          <w:p w14:paraId="4BE7BEA7">
            <w:pPr>
              <w:jc w:val="center"/>
              <w:rPr>
                <w:sz w:val="22"/>
                <w:szCs w:val="22"/>
              </w:rPr>
            </w:pPr>
            <w:r>
              <w:rPr>
                <w:sz w:val="22"/>
                <w:szCs w:val="22"/>
              </w:rPr>
              <w:t>47</w:t>
            </w:r>
          </w:p>
        </w:tc>
        <w:tc>
          <w:tcPr>
            <w:tcW w:w="1010" w:type="dxa"/>
            <w:noWrap/>
            <w:vAlign w:val="center"/>
          </w:tcPr>
          <w:p w14:paraId="1489E443">
            <w:pPr>
              <w:jc w:val="center"/>
              <w:rPr>
                <w:sz w:val="22"/>
                <w:szCs w:val="22"/>
              </w:rPr>
            </w:pPr>
            <w:r>
              <w:rPr>
                <w:sz w:val="22"/>
                <w:szCs w:val="22"/>
              </w:rPr>
              <w:t>80,00</w:t>
            </w:r>
          </w:p>
        </w:tc>
        <w:tc>
          <w:tcPr>
            <w:tcW w:w="1591" w:type="dxa"/>
            <w:noWrap/>
            <w:vAlign w:val="center"/>
          </w:tcPr>
          <w:p w14:paraId="09069EC8">
            <w:pPr>
              <w:jc w:val="center"/>
              <w:rPr>
                <w:sz w:val="22"/>
                <w:szCs w:val="22"/>
              </w:rPr>
            </w:pPr>
            <w:r>
              <w:rPr>
                <w:sz w:val="22"/>
                <w:szCs w:val="22"/>
              </w:rPr>
              <w:t>640.000.000</w:t>
            </w:r>
          </w:p>
        </w:tc>
        <w:tc>
          <w:tcPr>
            <w:tcW w:w="1700" w:type="dxa"/>
            <w:noWrap/>
            <w:vAlign w:val="center"/>
          </w:tcPr>
          <w:p w14:paraId="5E061A39">
            <w:pPr>
              <w:jc w:val="center"/>
              <w:rPr>
                <w:sz w:val="22"/>
                <w:szCs w:val="22"/>
              </w:rPr>
            </w:pPr>
            <w:r>
              <w:rPr>
                <w:sz w:val="22"/>
                <w:szCs w:val="22"/>
              </w:rPr>
              <w:t>936.300.000</w:t>
            </w:r>
          </w:p>
        </w:tc>
        <w:tc>
          <w:tcPr>
            <w:tcW w:w="1140" w:type="dxa"/>
            <w:noWrap/>
            <w:vAlign w:val="center"/>
          </w:tcPr>
          <w:p w14:paraId="2B28E60F">
            <w:pPr>
              <w:jc w:val="center"/>
              <w:rPr>
                <w:sz w:val="22"/>
                <w:szCs w:val="22"/>
              </w:rPr>
            </w:pPr>
            <w:r>
              <w:rPr>
                <w:sz w:val="22"/>
                <w:szCs w:val="22"/>
              </w:rPr>
              <w:t>1,46%</w:t>
            </w:r>
          </w:p>
        </w:tc>
      </w:tr>
      <w:tr w14:paraId="7DAF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8ADFC29">
            <w:pPr>
              <w:jc w:val="center"/>
              <w:rPr>
                <w:sz w:val="22"/>
                <w:szCs w:val="22"/>
              </w:rPr>
            </w:pPr>
            <w:r>
              <w:rPr>
                <w:sz w:val="22"/>
                <w:szCs w:val="22"/>
              </w:rPr>
              <w:t>56</w:t>
            </w:r>
          </w:p>
        </w:tc>
        <w:tc>
          <w:tcPr>
            <w:tcW w:w="1752" w:type="dxa"/>
            <w:noWrap/>
            <w:vAlign w:val="center"/>
          </w:tcPr>
          <w:p w14:paraId="25AFA64F">
            <w:pPr>
              <w:jc w:val="center"/>
              <w:rPr>
                <w:sz w:val="22"/>
                <w:szCs w:val="22"/>
              </w:rPr>
            </w:pPr>
          </w:p>
        </w:tc>
        <w:tc>
          <w:tcPr>
            <w:tcW w:w="944" w:type="dxa"/>
            <w:vMerge w:val="continue"/>
            <w:vAlign w:val="center"/>
          </w:tcPr>
          <w:p w14:paraId="5E8BF060">
            <w:pPr>
              <w:jc w:val="center"/>
              <w:rPr>
                <w:sz w:val="22"/>
                <w:szCs w:val="22"/>
              </w:rPr>
            </w:pPr>
          </w:p>
        </w:tc>
        <w:tc>
          <w:tcPr>
            <w:tcW w:w="1116" w:type="dxa"/>
            <w:noWrap/>
            <w:vAlign w:val="center"/>
          </w:tcPr>
          <w:p w14:paraId="39917E3F">
            <w:pPr>
              <w:jc w:val="center"/>
              <w:rPr>
                <w:sz w:val="22"/>
                <w:szCs w:val="22"/>
              </w:rPr>
            </w:pPr>
            <w:r>
              <w:rPr>
                <w:sz w:val="22"/>
                <w:szCs w:val="22"/>
              </w:rPr>
              <w:t>48</w:t>
            </w:r>
          </w:p>
        </w:tc>
        <w:tc>
          <w:tcPr>
            <w:tcW w:w="1010" w:type="dxa"/>
            <w:noWrap/>
            <w:vAlign w:val="center"/>
          </w:tcPr>
          <w:p w14:paraId="1DA51BE4">
            <w:pPr>
              <w:jc w:val="center"/>
              <w:rPr>
                <w:sz w:val="22"/>
                <w:szCs w:val="22"/>
              </w:rPr>
            </w:pPr>
            <w:r>
              <w:rPr>
                <w:sz w:val="22"/>
                <w:szCs w:val="22"/>
              </w:rPr>
              <w:t>80,00</w:t>
            </w:r>
          </w:p>
        </w:tc>
        <w:tc>
          <w:tcPr>
            <w:tcW w:w="1591" w:type="dxa"/>
            <w:noWrap/>
            <w:vAlign w:val="center"/>
          </w:tcPr>
          <w:p w14:paraId="622BCDF9">
            <w:pPr>
              <w:jc w:val="center"/>
              <w:rPr>
                <w:sz w:val="22"/>
                <w:szCs w:val="22"/>
              </w:rPr>
            </w:pPr>
            <w:r>
              <w:rPr>
                <w:sz w:val="22"/>
                <w:szCs w:val="22"/>
              </w:rPr>
              <w:t>640.000.000</w:t>
            </w:r>
          </w:p>
        </w:tc>
        <w:tc>
          <w:tcPr>
            <w:tcW w:w="1700" w:type="dxa"/>
            <w:noWrap/>
            <w:vAlign w:val="center"/>
          </w:tcPr>
          <w:p w14:paraId="4589A29F">
            <w:pPr>
              <w:jc w:val="center"/>
              <w:rPr>
                <w:sz w:val="22"/>
                <w:szCs w:val="22"/>
              </w:rPr>
            </w:pPr>
            <w:r>
              <w:rPr>
                <w:sz w:val="22"/>
                <w:szCs w:val="22"/>
              </w:rPr>
              <w:t>965.000.000</w:t>
            </w:r>
          </w:p>
        </w:tc>
        <w:tc>
          <w:tcPr>
            <w:tcW w:w="1140" w:type="dxa"/>
            <w:noWrap/>
            <w:vAlign w:val="center"/>
          </w:tcPr>
          <w:p w14:paraId="4C308D72">
            <w:pPr>
              <w:jc w:val="center"/>
              <w:rPr>
                <w:sz w:val="22"/>
                <w:szCs w:val="22"/>
              </w:rPr>
            </w:pPr>
            <w:r>
              <w:rPr>
                <w:sz w:val="22"/>
                <w:szCs w:val="22"/>
              </w:rPr>
              <w:t>1,51%</w:t>
            </w:r>
          </w:p>
        </w:tc>
      </w:tr>
      <w:tr w14:paraId="036C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365FA42">
            <w:pPr>
              <w:jc w:val="center"/>
              <w:rPr>
                <w:sz w:val="22"/>
                <w:szCs w:val="22"/>
              </w:rPr>
            </w:pPr>
            <w:r>
              <w:rPr>
                <w:sz w:val="22"/>
                <w:szCs w:val="22"/>
              </w:rPr>
              <w:t>57</w:t>
            </w:r>
          </w:p>
        </w:tc>
        <w:tc>
          <w:tcPr>
            <w:tcW w:w="1752" w:type="dxa"/>
            <w:noWrap/>
            <w:vAlign w:val="center"/>
          </w:tcPr>
          <w:p w14:paraId="3A3EA180">
            <w:pPr>
              <w:jc w:val="center"/>
              <w:rPr>
                <w:sz w:val="22"/>
                <w:szCs w:val="22"/>
              </w:rPr>
            </w:pPr>
          </w:p>
        </w:tc>
        <w:tc>
          <w:tcPr>
            <w:tcW w:w="944" w:type="dxa"/>
            <w:vMerge w:val="continue"/>
            <w:vAlign w:val="center"/>
          </w:tcPr>
          <w:p w14:paraId="0FC67814">
            <w:pPr>
              <w:jc w:val="center"/>
              <w:rPr>
                <w:sz w:val="22"/>
                <w:szCs w:val="22"/>
              </w:rPr>
            </w:pPr>
          </w:p>
        </w:tc>
        <w:tc>
          <w:tcPr>
            <w:tcW w:w="1116" w:type="dxa"/>
            <w:noWrap/>
            <w:vAlign w:val="center"/>
          </w:tcPr>
          <w:p w14:paraId="4BF9632B">
            <w:pPr>
              <w:jc w:val="center"/>
              <w:rPr>
                <w:sz w:val="22"/>
                <w:szCs w:val="22"/>
              </w:rPr>
            </w:pPr>
            <w:r>
              <w:rPr>
                <w:sz w:val="22"/>
                <w:szCs w:val="22"/>
              </w:rPr>
              <w:t>49</w:t>
            </w:r>
          </w:p>
        </w:tc>
        <w:tc>
          <w:tcPr>
            <w:tcW w:w="1010" w:type="dxa"/>
            <w:noWrap/>
            <w:vAlign w:val="center"/>
          </w:tcPr>
          <w:p w14:paraId="395E4289">
            <w:pPr>
              <w:jc w:val="center"/>
              <w:rPr>
                <w:sz w:val="22"/>
                <w:szCs w:val="22"/>
              </w:rPr>
            </w:pPr>
            <w:r>
              <w:rPr>
                <w:sz w:val="22"/>
                <w:szCs w:val="22"/>
              </w:rPr>
              <w:t>80,00</w:t>
            </w:r>
          </w:p>
        </w:tc>
        <w:tc>
          <w:tcPr>
            <w:tcW w:w="1591" w:type="dxa"/>
            <w:noWrap/>
            <w:vAlign w:val="center"/>
          </w:tcPr>
          <w:p w14:paraId="702B5A68">
            <w:pPr>
              <w:jc w:val="center"/>
              <w:rPr>
                <w:sz w:val="22"/>
                <w:szCs w:val="22"/>
              </w:rPr>
            </w:pPr>
            <w:r>
              <w:rPr>
                <w:sz w:val="22"/>
                <w:szCs w:val="22"/>
              </w:rPr>
              <w:t>640.000.000</w:t>
            </w:r>
          </w:p>
        </w:tc>
        <w:tc>
          <w:tcPr>
            <w:tcW w:w="1700" w:type="dxa"/>
            <w:noWrap/>
            <w:vAlign w:val="center"/>
          </w:tcPr>
          <w:p w14:paraId="4A38436A">
            <w:pPr>
              <w:jc w:val="center"/>
              <w:rPr>
                <w:sz w:val="22"/>
                <w:szCs w:val="22"/>
              </w:rPr>
            </w:pPr>
            <w:r>
              <w:rPr>
                <w:sz w:val="22"/>
                <w:szCs w:val="22"/>
              </w:rPr>
              <w:t>955.000.000</w:t>
            </w:r>
          </w:p>
        </w:tc>
        <w:tc>
          <w:tcPr>
            <w:tcW w:w="1140" w:type="dxa"/>
            <w:noWrap/>
            <w:vAlign w:val="center"/>
          </w:tcPr>
          <w:p w14:paraId="6B7F0841">
            <w:pPr>
              <w:jc w:val="center"/>
              <w:rPr>
                <w:sz w:val="22"/>
                <w:szCs w:val="22"/>
              </w:rPr>
            </w:pPr>
            <w:r>
              <w:rPr>
                <w:sz w:val="22"/>
                <w:szCs w:val="22"/>
              </w:rPr>
              <w:t>1,49%</w:t>
            </w:r>
          </w:p>
        </w:tc>
      </w:tr>
      <w:tr w14:paraId="7B35867B">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79953B15">
            <w:pPr>
              <w:jc w:val="center"/>
              <w:rPr>
                <w:sz w:val="22"/>
                <w:szCs w:val="22"/>
              </w:rPr>
            </w:pPr>
            <w:r>
              <w:rPr>
                <w:sz w:val="22"/>
                <w:szCs w:val="22"/>
              </w:rPr>
              <w:t>58</w:t>
            </w:r>
          </w:p>
        </w:tc>
        <w:tc>
          <w:tcPr>
            <w:tcW w:w="1752" w:type="dxa"/>
            <w:noWrap/>
            <w:vAlign w:val="center"/>
          </w:tcPr>
          <w:p w14:paraId="6D088611">
            <w:pPr>
              <w:jc w:val="center"/>
              <w:rPr>
                <w:sz w:val="22"/>
                <w:szCs w:val="22"/>
              </w:rPr>
            </w:pPr>
          </w:p>
        </w:tc>
        <w:tc>
          <w:tcPr>
            <w:tcW w:w="944" w:type="dxa"/>
            <w:vMerge w:val="continue"/>
            <w:vAlign w:val="center"/>
          </w:tcPr>
          <w:p w14:paraId="7B0C3AAD">
            <w:pPr>
              <w:jc w:val="center"/>
              <w:rPr>
                <w:sz w:val="22"/>
                <w:szCs w:val="22"/>
              </w:rPr>
            </w:pPr>
          </w:p>
        </w:tc>
        <w:tc>
          <w:tcPr>
            <w:tcW w:w="1116" w:type="dxa"/>
            <w:noWrap/>
            <w:vAlign w:val="center"/>
          </w:tcPr>
          <w:p w14:paraId="1F33EC78">
            <w:pPr>
              <w:jc w:val="center"/>
              <w:rPr>
                <w:sz w:val="22"/>
                <w:szCs w:val="22"/>
              </w:rPr>
            </w:pPr>
            <w:r>
              <w:rPr>
                <w:sz w:val="22"/>
                <w:szCs w:val="22"/>
              </w:rPr>
              <w:t>50</w:t>
            </w:r>
          </w:p>
        </w:tc>
        <w:tc>
          <w:tcPr>
            <w:tcW w:w="1010" w:type="dxa"/>
            <w:noWrap/>
            <w:vAlign w:val="center"/>
          </w:tcPr>
          <w:p w14:paraId="2603878B">
            <w:pPr>
              <w:jc w:val="center"/>
              <w:rPr>
                <w:sz w:val="22"/>
                <w:szCs w:val="22"/>
              </w:rPr>
            </w:pPr>
            <w:r>
              <w:rPr>
                <w:sz w:val="22"/>
                <w:szCs w:val="22"/>
              </w:rPr>
              <w:t>80,00</w:t>
            </w:r>
          </w:p>
        </w:tc>
        <w:tc>
          <w:tcPr>
            <w:tcW w:w="1591" w:type="dxa"/>
            <w:noWrap/>
            <w:vAlign w:val="center"/>
          </w:tcPr>
          <w:p w14:paraId="7073B210">
            <w:pPr>
              <w:jc w:val="center"/>
              <w:rPr>
                <w:sz w:val="22"/>
                <w:szCs w:val="22"/>
              </w:rPr>
            </w:pPr>
            <w:r>
              <w:rPr>
                <w:sz w:val="22"/>
                <w:szCs w:val="22"/>
              </w:rPr>
              <w:t>640.000.000</w:t>
            </w:r>
          </w:p>
        </w:tc>
        <w:tc>
          <w:tcPr>
            <w:tcW w:w="1700" w:type="dxa"/>
            <w:noWrap/>
            <w:vAlign w:val="center"/>
          </w:tcPr>
          <w:p w14:paraId="21831676">
            <w:pPr>
              <w:jc w:val="center"/>
              <w:rPr>
                <w:sz w:val="22"/>
                <w:szCs w:val="22"/>
              </w:rPr>
            </w:pPr>
            <w:r>
              <w:rPr>
                <w:sz w:val="22"/>
                <w:szCs w:val="22"/>
              </w:rPr>
              <w:t>973.000.000</w:t>
            </w:r>
          </w:p>
        </w:tc>
        <w:tc>
          <w:tcPr>
            <w:tcW w:w="1140" w:type="dxa"/>
            <w:noWrap/>
            <w:vAlign w:val="center"/>
          </w:tcPr>
          <w:p w14:paraId="3D017014">
            <w:pPr>
              <w:jc w:val="center"/>
              <w:rPr>
                <w:sz w:val="22"/>
                <w:szCs w:val="22"/>
              </w:rPr>
            </w:pPr>
            <w:r>
              <w:rPr>
                <w:sz w:val="22"/>
                <w:szCs w:val="22"/>
              </w:rPr>
              <w:t>1,52%</w:t>
            </w:r>
          </w:p>
        </w:tc>
      </w:tr>
      <w:tr w14:paraId="74E5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F750702">
            <w:pPr>
              <w:jc w:val="center"/>
              <w:rPr>
                <w:sz w:val="22"/>
                <w:szCs w:val="22"/>
              </w:rPr>
            </w:pPr>
            <w:r>
              <w:rPr>
                <w:sz w:val="22"/>
                <w:szCs w:val="22"/>
              </w:rPr>
              <w:t>59</w:t>
            </w:r>
          </w:p>
        </w:tc>
        <w:tc>
          <w:tcPr>
            <w:tcW w:w="1752" w:type="dxa"/>
            <w:noWrap/>
            <w:vAlign w:val="center"/>
          </w:tcPr>
          <w:p w14:paraId="579AA7F9">
            <w:pPr>
              <w:jc w:val="center"/>
              <w:rPr>
                <w:sz w:val="22"/>
                <w:szCs w:val="22"/>
              </w:rPr>
            </w:pPr>
          </w:p>
        </w:tc>
        <w:tc>
          <w:tcPr>
            <w:tcW w:w="944" w:type="dxa"/>
            <w:vMerge w:val="continue"/>
            <w:vAlign w:val="center"/>
          </w:tcPr>
          <w:p w14:paraId="632AE9E6">
            <w:pPr>
              <w:jc w:val="center"/>
              <w:rPr>
                <w:sz w:val="22"/>
                <w:szCs w:val="22"/>
              </w:rPr>
            </w:pPr>
          </w:p>
        </w:tc>
        <w:tc>
          <w:tcPr>
            <w:tcW w:w="1116" w:type="dxa"/>
            <w:noWrap/>
            <w:vAlign w:val="center"/>
          </w:tcPr>
          <w:p w14:paraId="005C12B9">
            <w:pPr>
              <w:jc w:val="center"/>
              <w:rPr>
                <w:sz w:val="22"/>
                <w:szCs w:val="22"/>
              </w:rPr>
            </w:pPr>
            <w:r>
              <w:rPr>
                <w:sz w:val="22"/>
                <w:szCs w:val="22"/>
              </w:rPr>
              <w:t>51</w:t>
            </w:r>
          </w:p>
        </w:tc>
        <w:tc>
          <w:tcPr>
            <w:tcW w:w="1010" w:type="dxa"/>
            <w:noWrap/>
            <w:vAlign w:val="center"/>
          </w:tcPr>
          <w:p w14:paraId="6746E17A">
            <w:pPr>
              <w:jc w:val="center"/>
              <w:rPr>
                <w:sz w:val="22"/>
                <w:szCs w:val="22"/>
              </w:rPr>
            </w:pPr>
            <w:r>
              <w:rPr>
                <w:sz w:val="22"/>
                <w:szCs w:val="22"/>
              </w:rPr>
              <w:t>80,00</w:t>
            </w:r>
          </w:p>
        </w:tc>
        <w:tc>
          <w:tcPr>
            <w:tcW w:w="1591" w:type="dxa"/>
            <w:noWrap/>
            <w:vAlign w:val="center"/>
          </w:tcPr>
          <w:p w14:paraId="2544EDD9">
            <w:pPr>
              <w:jc w:val="center"/>
              <w:rPr>
                <w:sz w:val="22"/>
                <w:szCs w:val="22"/>
              </w:rPr>
            </w:pPr>
            <w:r>
              <w:rPr>
                <w:sz w:val="22"/>
                <w:szCs w:val="22"/>
              </w:rPr>
              <w:t>640.000.000</w:t>
            </w:r>
          </w:p>
        </w:tc>
        <w:tc>
          <w:tcPr>
            <w:tcW w:w="1700" w:type="dxa"/>
            <w:noWrap/>
            <w:vAlign w:val="center"/>
          </w:tcPr>
          <w:p w14:paraId="60656E9A">
            <w:pPr>
              <w:jc w:val="center"/>
              <w:rPr>
                <w:sz w:val="22"/>
                <w:szCs w:val="22"/>
              </w:rPr>
            </w:pPr>
            <w:r>
              <w:rPr>
                <w:sz w:val="22"/>
                <w:szCs w:val="22"/>
              </w:rPr>
              <w:t>959.000.000</w:t>
            </w:r>
          </w:p>
        </w:tc>
        <w:tc>
          <w:tcPr>
            <w:tcW w:w="1140" w:type="dxa"/>
            <w:noWrap/>
            <w:vAlign w:val="center"/>
          </w:tcPr>
          <w:p w14:paraId="2E5102CE">
            <w:pPr>
              <w:jc w:val="center"/>
              <w:rPr>
                <w:sz w:val="22"/>
                <w:szCs w:val="22"/>
              </w:rPr>
            </w:pPr>
            <w:r>
              <w:rPr>
                <w:sz w:val="22"/>
                <w:szCs w:val="22"/>
              </w:rPr>
              <w:t>1,50%</w:t>
            </w:r>
          </w:p>
        </w:tc>
      </w:tr>
      <w:tr w14:paraId="418F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159096D">
            <w:pPr>
              <w:jc w:val="center"/>
              <w:rPr>
                <w:sz w:val="22"/>
                <w:szCs w:val="22"/>
              </w:rPr>
            </w:pPr>
            <w:r>
              <w:rPr>
                <w:sz w:val="22"/>
                <w:szCs w:val="22"/>
              </w:rPr>
              <w:t>60</w:t>
            </w:r>
          </w:p>
        </w:tc>
        <w:tc>
          <w:tcPr>
            <w:tcW w:w="1752" w:type="dxa"/>
            <w:noWrap/>
            <w:vAlign w:val="center"/>
          </w:tcPr>
          <w:p w14:paraId="6FCB6A8B">
            <w:pPr>
              <w:jc w:val="center"/>
              <w:rPr>
                <w:sz w:val="22"/>
                <w:szCs w:val="22"/>
              </w:rPr>
            </w:pPr>
          </w:p>
        </w:tc>
        <w:tc>
          <w:tcPr>
            <w:tcW w:w="944" w:type="dxa"/>
            <w:vMerge w:val="continue"/>
            <w:vAlign w:val="center"/>
          </w:tcPr>
          <w:p w14:paraId="69C34F6E">
            <w:pPr>
              <w:jc w:val="center"/>
              <w:rPr>
                <w:sz w:val="22"/>
                <w:szCs w:val="22"/>
              </w:rPr>
            </w:pPr>
          </w:p>
        </w:tc>
        <w:tc>
          <w:tcPr>
            <w:tcW w:w="1116" w:type="dxa"/>
            <w:noWrap/>
            <w:vAlign w:val="center"/>
          </w:tcPr>
          <w:p w14:paraId="04CB0F66">
            <w:pPr>
              <w:jc w:val="center"/>
              <w:rPr>
                <w:sz w:val="22"/>
                <w:szCs w:val="22"/>
              </w:rPr>
            </w:pPr>
            <w:r>
              <w:rPr>
                <w:sz w:val="22"/>
                <w:szCs w:val="22"/>
              </w:rPr>
              <w:t>52</w:t>
            </w:r>
          </w:p>
        </w:tc>
        <w:tc>
          <w:tcPr>
            <w:tcW w:w="1010" w:type="dxa"/>
            <w:noWrap/>
            <w:vAlign w:val="center"/>
          </w:tcPr>
          <w:p w14:paraId="7D1A66C3">
            <w:pPr>
              <w:jc w:val="center"/>
              <w:rPr>
                <w:sz w:val="22"/>
                <w:szCs w:val="22"/>
              </w:rPr>
            </w:pPr>
            <w:r>
              <w:rPr>
                <w:sz w:val="22"/>
                <w:szCs w:val="22"/>
              </w:rPr>
              <w:t>80,00</w:t>
            </w:r>
          </w:p>
        </w:tc>
        <w:tc>
          <w:tcPr>
            <w:tcW w:w="1591" w:type="dxa"/>
            <w:noWrap/>
            <w:vAlign w:val="center"/>
          </w:tcPr>
          <w:p w14:paraId="78E53535">
            <w:pPr>
              <w:jc w:val="center"/>
              <w:rPr>
                <w:sz w:val="22"/>
                <w:szCs w:val="22"/>
              </w:rPr>
            </w:pPr>
            <w:r>
              <w:rPr>
                <w:sz w:val="22"/>
                <w:szCs w:val="22"/>
              </w:rPr>
              <w:t>640.000.000</w:t>
            </w:r>
          </w:p>
        </w:tc>
        <w:tc>
          <w:tcPr>
            <w:tcW w:w="1700" w:type="dxa"/>
            <w:noWrap/>
            <w:vAlign w:val="center"/>
          </w:tcPr>
          <w:p w14:paraId="0C372187">
            <w:pPr>
              <w:jc w:val="center"/>
              <w:rPr>
                <w:sz w:val="22"/>
                <w:szCs w:val="22"/>
              </w:rPr>
            </w:pPr>
            <w:r>
              <w:rPr>
                <w:sz w:val="22"/>
                <w:szCs w:val="22"/>
              </w:rPr>
              <w:t>940.000.000</w:t>
            </w:r>
          </w:p>
        </w:tc>
        <w:tc>
          <w:tcPr>
            <w:tcW w:w="1140" w:type="dxa"/>
            <w:noWrap/>
            <w:vAlign w:val="center"/>
          </w:tcPr>
          <w:p w14:paraId="3A0DE17B">
            <w:pPr>
              <w:jc w:val="center"/>
              <w:rPr>
                <w:sz w:val="22"/>
                <w:szCs w:val="22"/>
              </w:rPr>
            </w:pPr>
            <w:r>
              <w:rPr>
                <w:sz w:val="22"/>
                <w:szCs w:val="22"/>
              </w:rPr>
              <w:t>1,47%</w:t>
            </w:r>
          </w:p>
        </w:tc>
      </w:tr>
      <w:tr w14:paraId="1065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A033BF3">
            <w:pPr>
              <w:jc w:val="center"/>
              <w:rPr>
                <w:sz w:val="22"/>
                <w:szCs w:val="22"/>
              </w:rPr>
            </w:pPr>
            <w:r>
              <w:rPr>
                <w:sz w:val="22"/>
                <w:szCs w:val="22"/>
              </w:rPr>
              <w:t>61</w:t>
            </w:r>
          </w:p>
        </w:tc>
        <w:tc>
          <w:tcPr>
            <w:tcW w:w="1752" w:type="dxa"/>
            <w:noWrap/>
            <w:vAlign w:val="center"/>
          </w:tcPr>
          <w:p w14:paraId="791FC206">
            <w:pPr>
              <w:jc w:val="center"/>
              <w:rPr>
                <w:sz w:val="22"/>
                <w:szCs w:val="22"/>
              </w:rPr>
            </w:pPr>
          </w:p>
        </w:tc>
        <w:tc>
          <w:tcPr>
            <w:tcW w:w="944" w:type="dxa"/>
            <w:vMerge w:val="continue"/>
            <w:vAlign w:val="center"/>
          </w:tcPr>
          <w:p w14:paraId="52635DD5">
            <w:pPr>
              <w:jc w:val="center"/>
              <w:rPr>
                <w:sz w:val="22"/>
                <w:szCs w:val="22"/>
              </w:rPr>
            </w:pPr>
          </w:p>
        </w:tc>
        <w:tc>
          <w:tcPr>
            <w:tcW w:w="1116" w:type="dxa"/>
            <w:noWrap/>
            <w:vAlign w:val="center"/>
          </w:tcPr>
          <w:p w14:paraId="4913A5BF">
            <w:pPr>
              <w:jc w:val="center"/>
              <w:rPr>
                <w:sz w:val="22"/>
                <w:szCs w:val="22"/>
              </w:rPr>
            </w:pPr>
            <w:r>
              <w:rPr>
                <w:sz w:val="22"/>
                <w:szCs w:val="22"/>
              </w:rPr>
              <w:t>53</w:t>
            </w:r>
          </w:p>
        </w:tc>
        <w:tc>
          <w:tcPr>
            <w:tcW w:w="1010" w:type="dxa"/>
            <w:noWrap/>
            <w:vAlign w:val="center"/>
          </w:tcPr>
          <w:p w14:paraId="11CA6369">
            <w:pPr>
              <w:jc w:val="center"/>
              <w:rPr>
                <w:sz w:val="22"/>
                <w:szCs w:val="22"/>
              </w:rPr>
            </w:pPr>
            <w:r>
              <w:rPr>
                <w:sz w:val="22"/>
                <w:szCs w:val="22"/>
              </w:rPr>
              <w:t>80,00</w:t>
            </w:r>
          </w:p>
        </w:tc>
        <w:tc>
          <w:tcPr>
            <w:tcW w:w="1591" w:type="dxa"/>
            <w:noWrap/>
            <w:vAlign w:val="center"/>
          </w:tcPr>
          <w:p w14:paraId="1C547083">
            <w:pPr>
              <w:jc w:val="center"/>
              <w:rPr>
                <w:sz w:val="22"/>
                <w:szCs w:val="22"/>
              </w:rPr>
            </w:pPr>
            <w:r>
              <w:rPr>
                <w:sz w:val="22"/>
                <w:szCs w:val="22"/>
              </w:rPr>
              <w:t>640.000.000</w:t>
            </w:r>
          </w:p>
        </w:tc>
        <w:tc>
          <w:tcPr>
            <w:tcW w:w="1700" w:type="dxa"/>
            <w:noWrap/>
            <w:vAlign w:val="center"/>
          </w:tcPr>
          <w:p w14:paraId="6E6D225C">
            <w:pPr>
              <w:jc w:val="center"/>
              <w:rPr>
                <w:sz w:val="22"/>
                <w:szCs w:val="22"/>
              </w:rPr>
            </w:pPr>
            <w:r>
              <w:rPr>
                <w:sz w:val="22"/>
                <w:szCs w:val="22"/>
              </w:rPr>
              <w:t>940.000.000</w:t>
            </w:r>
          </w:p>
        </w:tc>
        <w:tc>
          <w:tcPr>
            <w:tcW w:w="1140" w:type="dxa"/>
            <w:noWrap/>
            <w:vAlign w:val="center"/>
          </w:tcPr>
          <w:p w14:paraId="6BCC1C47">
            <w:pPr>
              <w:jc w:val="center"/>
              <w:rPr>
                <w:sz w:val="22"/>
                <w:szCs w:val="22"/>
              </w:rPr>
            </w:pPr>
            <w:r>
              <w:rPr>
                <w:sz w:val="22"/>
                <w:szCs w:val="22"/>
              </w:rPr>
              <w:t>1,47%</w:t>
            </w:r>
          </w:p>
        </w:tc>
      </w:tr>
      <w:tr w14:paraId="69C6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CD7FC29">
            <w:pPr>
              <w:jc w:val="center"/>
              <w:rPr>
                <w:sz w:val="22"/>
                <w:szCs w:val="22"/>
              </w:rPr>
            </w:pPr>
            <w:r>
              <w:rPr>
                <w:sz w:val="22"/>
                <w:szCs w:val="22"/>
              </w:rPr>
              <w:t>62</w:t>
            </w:r>
          </w:p>
        </w:tc>
        <w:tc>
          <w:tcPr>
            <w:tcW w:w="1752" w:type="dxa"/>
            <w:noWrap/>
            <w:vAlign w:val="center"/>
          </w:tcPr>
          <w:p w14:paraId="74F1839D">
            <w:pPr>
              <w:jc w:val="center"/>
              <w:rPr>
                <w:sz w:val="22"/>
                <w:szCs w:val="22"/>
              </w:rPr>
            </w:pPr>
          </w:p>
        </w:tc>
        <w:tc>
          <w:tcPr>
            <w:tcW w:w="944" w:type="dxa"/>
            <w:vMerge w:val="continue"/>
            <w:vAlign w:val="center"/>
          </w:tcPr>
          <w:p w14:paraId="70530C41">
            <w:pPr>
              <w:jc w:val="center"/>
              <w:rPr>
                <w:sz w:val="22"/>
                <w:szCs w:val="22"/>
              </w:rPr>
            </w:pPr>
          </w:p>
        </w:tc>
        <w:tc>
          <w:tcPr>
            <w:tcW w:w="1116" w:type="dxa"/>
            <w:noWrap/>
            <w:vAlign w:val="center"/>
          </w:tcPr>
          <w:p w14:paraId="3D09FAF2">
            <w:pPr>
              <w:jc w:val="center"/>
              <w:rPr>
                <w:sz w:val="22"/>
                <w:szCs w:val="22"/>
              </w:rPr>
            </w:pPr>
            <w:r>
              <w:rPr>
                <w:sz w:val="22"/>
                <w:szCs w:val="22"/>
              </w:rPr>
              <w:t>54</w:t>
            </w:r>
          </w:p>
        </w:tc>
        <w:tc>
          <w:tcPr>
            <w:tcW w:w="1010" w:type="dxa"/>
            <w:noWrap/>
            <w:vAlign w:val="center"/>
          </w:tcPr>
          <w:p w14:paraId="42ECEDF4">
            <w:pPr>
              <w:jc w:val="center"/>
              <w:rPr>
                <w:sz w:val="22"/>
                <w:szCs w:val="22"/>
              </w:rPr>
            </w:pPr>
            <w:r>
              <w:rPr>
                <w:sz w:val="22"/>
                <w:szCs w:val="22"/>
              </w:rPr>
              <w:t>80,00</w:t>
            </w:r>
          </w:p>
        </w:tc>
        <w:tc>
          <w:tcPr>
            <w:tcW w:w="1591" w:type="dxa"/>
            <w:noWrap/>
            <w:vAlign w:val="center"/>
          </w:tcPr>
          <w:p w14:paraId="167193E4">
            <w:pPr>
              <w:jc w:val="center"/>
              <w:rPr>
                <w:sz w:val="22"/>
                <w:szCs w:val="22"/>
              </w:rPr>
            </w:pPr>
            <w:r>
              <w:rPr>
                <w:sz w:val="22"/>
                <w:szCs w:val="22"/>
              </w:rPr>
              <w:t>640.000.000</w:t>
            </w:r>
          </w:p>
        </w:tc>
        <w:tc>
          <w:tcPr>
            <w:tcW w:w="1700" w:type="dxa"/>
            <w:noWrap/>
            <w:vAlign w:val="center"/>
          </w:tcPr>
          <w:p w14:paraId="1E435B09">
            <w:pPr>
              <w:jc w:val="center"/>
              <w:rPr>
                <w:sz w:val="22"/>
                <w:szCs w:val="22"/>
              </w:rPr>
            </w:pPr>
            <w:r>
              <w:rPr>
                <w:sz w:val="22"/>
                <w:szCs w:val="22"/>
              </w:rPr>
              <w:t>1.033.000.000</w:t>
            </w:r>
          </w:p>
        </w:tc>
        <w:tc>
          <w:tcPr>
            <w:tcW w:w="1140" w:type="dxa"/>
            <w:noWrap/>
            <w:vAlign w:val="center"/>
          </w:tcPr>
          <w:p w14:paraId="19082D82">
            <w:pPr>
              <w:jc w:val="center"/>
              <w:rPr>
                <w:sz w:val="22"/>
                <w:szCs w:val="22"/>
              </w:rPr>
            </w:pPr>
            <w:r>
              <w:rPr>
                <w:sz w:val="22"/>
                <w:szCs w:val="22"/>
              </w:rPr>
              <w:t>1,61%</w:t>
            </w:r>
          </w:p>
        </w:tc>
      </w:tr>
      <w:tr w14:paraId="1B53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F5F60EC">
            <w:pPr>
              <w:jc w:val="center"/>
              <w:rPr>
                <w:sz w:val="22"/>
                <w:szCs w:val="22"/>
              </w:rPr>
            </w:pPr>
            <w:r>
              <w:rPr>
                <w:sz w:val="22"/>
                <w:szCs w:val="22"/>
              </w:rPr>
              <w:t>63</w:t>
            </w:r>
          </w:p>
        </w:tc>
        <w:tc>
          <w:tcPr>
            <w:tcW w:w="1752" w:type="dxa"/>
            <w:noWrap/>
            <w:vAlign w:val="center"/>
          </w:tcPr>
          <w:p w14:paraId="09163E64">
            <w:pPr>
              <w:jc w:val="center"/>
              <w:rPr>
                <w:sz w:val="22"/>
                <w:szCs w:val="22"/>
              </w:rPr>
            </w:pPr>
          </w:p>
        </w:tc>
        <w:tc>
          <w:tcPr>
            <w:tcW w:w="944" w:type="dxa"/>
            <w:vMerge w:val="continue"/>
            <w:vAlign w:val="center"/>
          </w:tcPr>
          <w:p w14:paraId="35643129">
            <w:pPr>
              <w:jc w:val="center"/>
              <w:rPr>
                <w:sz w:val="22"/>
                <w:szCs w:val="22"/>
              </w:rPr>
            </w:pPr>
          </w:p>
        </w:tc>
        <w:tc>
          <w:tcPr>
            <w:tcW w:w="1116" w:type="dxa"/>
            <w:noWrap/>
            <w:vAlign w:val="center"/>
          </w:tcPr>
          <w:p w14:paraId="5FBEB986">
            <w:pPr>
              <w:jc w:val="center"/>
              <w:rPr>
                <w:sz w:val="22"/>
                <w:szCs w:val="22"/>
              </w:rPr>
            </w:pPr>
            <w:r>
              <w:rPr>
                <w:sz w:val="22"/>
                <w:szCs w:val="22"/>
              </w:rPr>
              <w:t>55</w:t>
            </w:r>
          </w:p>
        </w:tc>
        <w:tc>
          <w:tcPr>
            <w:tcW w:w="1010" w:type="dxa"/>
            <w:noWrap/>
            <w:vAlign w:val="center"/>
          </w:tcPr>
          <w:p w14:paraId="32E03C65">
            <w:pPr>
              <w:jc w:val="center"/>
              <w:rPr>
                <w:sz w:val="22"/>
                <w:szCs w:val="22"/>
              </w:rPr>
            </w:pPr>
            <w:r>
              <w:rPr>
                <w:sz w:val="22"/>
                <w:szCs w:val="22"/>
              </w:rPr>
              <w:t>80,00</w:t>
            </w:r>
          </w:p>
        </w:tc>
        <w:tc>
          <w:tcPr>
            <w:tcW w:w="1591" w:type="dxa"/>
            <w:noWrap/>
            <w:vAlign w:val="center"/>
          </w:tcPr>
          <w:p w14:paraId="5F79CC0D">
            <w:pPr>
              <w:jc w:val="center"/>
              <w:rPr>
                <w:sz w:val="22"/>
                <w:szCs w:val="22"/>
              </w:rPr>
            </w:pPr>
            <w:r>
              <w:rPr>
                <w:sz w:val="22"/>
                <w:szCs w:val="22"/>
              </w:rPr>
              <w:t>640.000.000</w:t>
            </w:r>
          </w:p>
        </w:tc>
        <w:tc>
          <w:tcPr>
            <w:tcW w:w="1700" w:type="dxa"/>
            <w:noWrap/>
            <w:vAlign w:val="center"/>
          </w:tcPr>
          <w:p w14:paraId="5E95F500">
            <w:pPr>
              <w:jc w:val="center"/>
              <w:rPr>
                <w:sz w:val="22"/>
                <w:szCs w:val="22"/>
              </w:rPr>
            </w:pPr>
            <w:r>
              <w:rPr>
                <w:sz w:val="22"/>
                <w:szCs w:val="22"/>
              </w:rPr>
              <w:t>1.083.199.000</w:t>
            </w:r>
          </w:p>
        </w:tc>
        <w:tc>
          <w:tcPr>
            <w:tcW w:w="1140" w:type="dxa"/>
            <w:noWrap/>
            <w:vAlign w:val="center"/>
          </w:tcPr>
          <w:p w14:paraId="39E4D884">
            <w:pPr>
              <w:jc w:val="center"/>
              <w:rPr>
                <w:sz w:val="22"/>
                <w:szCs w:val="22"/>
              </w:rPr>
            </w:pPr>
            <w:r>
              <w:rPr>
                <w:sz w:val="22"/>
                <w:szCs w:val="22"/>
              </w:rPr>
              <w:t>1,69%</w:t>
            </w:r>
          </w:p>
        </w:tc>
      </w:tr>
      <w:tr w14:paraId="38AB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EF74812">
            <w:pPr>
              <w:jc w:val="center"/>
              <w:rPr>
                <w:sz w:val="22"/>
                <w:szCs w:val="22"/>
              </w:rPr>
            </w:pPr>
            <w:r>
              <w:rPr>
                <w:sz w:val="22"/>
                <w:szCs w:val="22"/>
              </w:rPr>
              <w:t>64</w:t>
            </w:r>
          </w:p>
        </w:tc>
        <w:tc>
          <w:tcPr>
            <w:tcW w:w="1752" w:type="dxa"/>
            <w:noWrap/>
            <w:vAlign w:val="center"/>
          </w:tcPr>
          <w:p w14:paraId="4F94C383">
            <w:pPr>
              <w:jc w:val="center"/>
              <w:rPr>
                <w:sz w:val="22"/>
                <w:szCs w:val="22"/>
              </w:rPr>
            </w:pPr>
          </w:p>
        </w:tc>
        <w:tc>
          <w:tcPr>
            <w:tcW w:w="944" w:type="dxa"/>
            <w:vMerge w:val="continue"/>
            <w:vAlign w:val="center"/>
          </w:tcPr>
          <w:p w14:paraId="191D64CA">
            <w:pPr>
              <w:jc w:val="center"/>
              <w:rPr>
                <w:sz w:val="22"/>
                <w:szCs w:val="22"/>
              </w:rPr>
            </w:pPr>
          </w:p>
        </w:tc>
        <w:tc>
          <w:tcPr>
            <w:tcW w:w="1116" w:type="dxa"/>
            <w:noWrap/>
            <w:vAlign w:val="center"/>
          </w:tcPr>
          <w:p w14:paraId="17B057F3">
            <w:pPr>
              <w:jc w:val="center"/>
              <w:rPr>
                <w:sz w:val="22"/>
                <w:szCs w:val="22"/>
              </w:rPr>
            </w:pPr>
            <w:r>
              <w:rPr>
                <w:sz w:val="22"/>
                <w:szCs w:val="22"/>
              </w:rPr>
              <w:t>56</w:t>
            </w:r>
          </w:p>
        </w:tc>
        <w:tc>
          <w:tcPr>
            <w:tcW w:w="1010" w:type="dxa"/>
            <w:noWrap/>
            <w:vAlign w:val="center"/>
          </w:tcPr>
          <w:p w14:paraId="632AD274">
            <w:pPr>
              <w:jc w:val="center"/>
              <w:rPr>
                <w:sz w:val="22"/>
                <w:szCs w:val="22"/>
              </w:rPr>
            </w:pPr>
            <w:r>
              <w:rPr>
                <w:sz w:val="22"/>
                <w:szCs w:val="22"/>
              </w:rPr>
              <w:t>80,00</w:t>
            </w:r>
          </w:p>
        </w:tc>
        <w:tc>
          <w:tcPr>
            <w:tcW w:w="1591" w:type="dxa"/>
            <w:noWrap/>
            <w:vAlign w:val="center"/>
          </w:tcPr>
          <w:p w14:paraId="7CD8896C">
            <w:pPr>
              <w:jc w:val="center"/>
              <w:rPr>
                <w:sz w:val="22"/>
                <w:szCs w:val="22"/>
              </w:rPr>
            </w:pPr>
            <w:r>
              <w:rPr>
                <w:sz w:val="22"/>
                <w:szCs w:val="22"/>
              </w:rPr>
              <w:t>640.000.000</w:t>
            </w:r>
          </w:p>
        </w:tc>
        <w:tc>
          <w:tcPr>
            <w:tcW w:w="1700" w:type="dxa"/>
            <w:noWrap/>
            <w:vAlign w:val="center"/>
          </w:tcPr>
          <w:p w14:paraId="1A1CF9E9">
            <w:pPr>
              <w:jc w:val="center"/>
              <w:rPr>
                <w:sz w:val="22"/>
                <w:szCs w:val="22"/>
              </w:rPr>
            </w:pPr>
            <w:r>
              <w:rPr>
                <w:sz w:val="22"/>
                <w:szCs w:val="22"/>
              </w:rPr>
              <w:t>1.062.199.000</w:t>
            </w:r>
          </w:p>
        </w:tc>
        <w:tc>
          <w:tcPr>
            <w:tcW w:w="1140" w:type="dxa"/>
            <w:noWrap/>
            <w:vAlign w:val="center"/>
          </w:tcPr>
          <w:p w14:paraId="64AC14EB">
            <w:pPr>
              <w:jc w:val="center"/>
              <w:rPr>
                <w:sz w:val="22"/>
                <w:szCs w:val="22"/>
              </w:rPr>
            </w:pPr>
            <w:r>
              <w:rPr>
                <w:sz w:val="22"/>
                <w:szCs w:val="22"/>
              </w:rPr>
              <w:t>1,66%</w:t>
            </w:r>
          </w:p>
        </w:tc>
      </w:tr>
      <w:tr w14:paraId="2D95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0C86098">
            <w:pPr>
              <w:jc w:val="center"/>
              <w:rPr>
                <w:sz w:val="22"/>
                <w:szCs w:val="22"/>
              </w:rPr>
            </w:pPr>
            <w:r>
              <w:rPr>
                <w:sz w:val="22"/>
                <w:szCs w:val="22"/>
              </w:rPr>
              <w:t>65</w:t>
            </w:r>
          </w:p>
        </w:tc>
        <w:tc>
          <w:tcPr>
            <w:tcW w:w="1752" w:type="dxa"/>
            <w:noWrap/>
            <w:vAlign w:val="center"/>
          </w:tcPr>
          <w:p w14:paraId="422E5812">
            <w:pPr>
              <w:jc w:val="center"/>
              <w:rPr>
                <w:sz w:val="22"/>
                <w:szCs w:val="22"/>
              </w:rPr>
            </w:pPr>
          </w:p>
        </w:tc>
        <w:tc>
          <w:tcPr>
            <w:tcW w:w="944" w:type="dxa"/>
            <w:vMerge w:val="continue"/>
            <w:vAlign w:val="center"/>
          </w:tcPr>
          <w:p w14:paraId="06F594DE">
            <w:pPr>
              <w:jc w:val="center"/>
              <w:rPr>
                <w:sz w:val="22"/>
                <w:szCs w:val="22"/>
              </w:rPr>
            </w:pPr>
          </w:p>
        </w:tc>
        <w:tc>
          <w:tcPr>
            <w:tcW w:w="1116" w:type="dxa"/>
            <w:noWrap/>
            <w:vAlign w:val="center"/>
          </w:tcPr>
          <w:p w14:paraId="165CB276">
            <w:pPr>
              <w:jc w:val="center"/>
              <w:rPr>
                <w:sz w:val="22"/>
                <w:szCs w:val="22"/>
              </w:rPr>
            </w:pPr>
            <w:r>
              <w:rPr>
                <w:sz w:val="22"/>
                <w:szCs w:val="22"/>
              </w:rPr>
              <w:t>57</w:t>
            </w:r>
          </w:p>
        </w:tc>
        <w:tc>
          <w:tcPr>
            <w:tcW w:w="1010" w:type="dxa"/>
            <w:noWrap/>
            <w:vAlign w:val="center"/>
          </w:tcPr>
          <w:p w14:paraId="7D3719FA">
            <w:pPr>
              <w:jc w:val="center"/>
              <w:rPr>
                <w:sz w:val="22"/>
                <w:szCs w:val="22"/>
              </w:rPr>
            </w:pPr>
            <w:r>
              <w:rPr>
                <w:sz w:val="22"/>
                <w:szCs w:val="22"/>
              </w:rPr>
              <w:t>80,00</w:t>
            </w:r>
          </w:p>
        </w:tc>
        <w:tc>
          <w:tcPr>
            <w:tcW w:w="1591" w:type="dxa"/>
            <w:noWrap/>
            <w:vAlign w:val="center"/>
          </w:tcPr>
          <w:p w14:paraId="45EC861A">
            <w:pPr>
              <w:jc w:val="center"/>
              <w:rPr>
                <w:sz w:val="22"/>
                <w:szCs w:val="22"/>
              </w:rPr>
            </w:pPr>
            <w:r>
              <w:rPr>
                <w:sz w:val="22"/>
                <w:szCs w:val="22"/>
              </w:rPr>
              <w:t>640.000.000</w:t>
            </w:r>
          </w:p>
        </w:tc>
        <w:tc>
          <w:tcPr>
            <w:tcW w:w="1700" w:type="dxa"/>
            <w:noWrap/>
            <w:vAlign w:val="center"/>
          </w:tcPr>
          <w:p w14:paraId="1DE17E12">
            <w:pPr>
              <w:jc w:val="center"/>
              <w:rPr>
                <w:sz w:val="22"/>
                <w:szCs w:val="22"/>
              </w:rPr>
            </w:pPr>
            <w:r>
              <w:rPr>
                <w:sz w:val="22"/>
                <w:szCs w:val="22"/>
              </w:rPr>
              <w:t>996.000.000</w:t>
            </w:r>
          </w:p>
        </w:tc>
        <w:tc>
          <w:tcPr>
            <w:tcW w:w="1140" w:type="dxa"/>
            <w:noWrap/>
            <w:vAlign w:val="center"/>
          </w:tcPr>
          <w:p w14:paraId="6EAE3E38">
            <w:pPr>
              <w:jc w:val="center"/>
              <w:rPr>
                <w:sz w:val="22"/>
                <w:szCs w:val="22"/>
              </w:rPr>
            </w:pPr>
            <w:r>
              <w:rPr>
                <w:sz w:val="22"/>
                <w:szCs w:val="22"/>
              </w:rPr>
              <w:t>1,56%</w:t>
            </w:r>
          </w:p>
        </w:tc>
      </w:tr>
      <w:tr w14:paraId="6255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AE69385">
            <w:pPr>
              <w:jc w:val="center"/>
              <w:rPr>
                <w:sz w:val="22"/>
                <w:szCs w:val="22"/>
              </w:rPr>
            </w:pPr>
            <w:r>
              <w:rPr>
                <w:sz w:val="22"/>
                <w:szCs w:val="22"/>
              </w:rPr>
              <w:t>66</w:t>
            </w:r>
          </w:p>
        </w:tc>
        <w:tc>
          <w:tcPr>
            <w:tcW w:w="1752" w:type="dxa"/>
            <w:noWrap/>
            <w:vAlign w:val="center"/>
          </w:tcPr>
          <w:p w14:paraId="2AB638D3">
            <w:pPr>
              <w:jc w:val="center"/>
              <w:rPr>
                <w:sz w:val="22"/>
                <w:szCs w:val="22"/>
              </w:rPr>
            </w:pPr>
          </w:p>
        </w:tc>
        <w:tc>
          <w:tcPr>
            <w:tcW w:w="944" w:type="dxa"/>
            <w:vMerge w:val="continue"/>
            <w:vAlign w:val="center"/>
          </w:tcPr>
          <w:p w14:paraId="2BAEB286">
            <w:pPr>
              <w:jc w:val="center"/>
              <w:rPr>
                <w:sz w:val="22"/>
                <w:szCs w:val="22"/>
              </w:rPr>
            </w:pPr>
          </w:p>
        </w:tc>
        <w:tc>
          <w:tcPr>
            <w:tcW w:w="1116" w:type="dxa"/>
            <w:noWrap/>
            <w:vAlign w:val="center"/>
          </w:tcPr>
          <w:p w14:paraId="6803772C">
            <w:pPr>
              <w:jc w:val="center"/>
              <w:rPr>
                <w:sz w:val="22"/>
                <w:szCs w:val="22"/>
              </w:rPr>
            </w:pPr>
            <w:r>
              <w:rPr>
                <w:sz w:val="22"/>
                <w:szCs w:val="22"/>
              </w:rPr>
              <w:t>58</w:t>
            </w:r>
          </w:p>
        </w:tc>
        <w:tc>
          <w:tcPr>
            <w:tcW w:w="1010" w:type="dxa"/>
            <w:noWrap/>
            <w:vAlign w:val="center"/>
          </w:tcPr>
          <w:p w14:paraId="67FFD189">
            <w:pPr>
              <w:jc w:val="center"/>
              <w:rPr>
                <w:sz w:val="22"/>
                <w:szCs w:val="22"/>
              </w:rPr>
            </w:pPr>
            <w:r>
              <w:rPr>
                <w:sz w:val="22"/>
                <w:szCs w:val="22"/>
              </w:rPr>
              <w:t>80,00</w:t>
            </w:r>
          </w:p>
        </w:tc>
        <w:tc>
          <w:tcPr>
            <w:tcW w:w="1591" w:type="dxa"/>
            <w:noWrap/>
            <w:vAlign w:val="center"/>
          </w:tcPr>
          <w:p w14:paraId="5C166CF4">
            <w:pPr>
              <w:jc w:val="center"/>
              <w:rPr>
                <w:sz w:val="22"/>
                <w:szCs w:val="22"/>
              </w:rPr>
            </w:pPr>
            <w:r>
              <w:rPr>
                <w:sz w:val="22"/>
                <w:szCs w:val="22"/>
              </w:rPr>
              <w:t>640.000.000</w:t>
            </w:r>
          </w:p>
        </w:tc>
        <w:tc>
          <w:tcPr>
            <w:tcW w:w="1700" w:type="dxa"/>
            <w:noWrap/>
            <w:vAlign w:val="center"/>
          </w:tcPr>
          <w:p w14:paraId="635EB3F7">
            <w:pPr>
              <w:jc w:val="center"/>
              <w:rPr>
                <w:sz w:val="22"/>
                <w:szCs w:val="22"/>
              </w:rPr>
            </w:pPr>
            <w:r>
              <w:rPr>
                <w:sz w:val="22"/>
                <w:szCs w:val="22"/>
              </w:rPr>
              <w:t>998.000.000</w:t>
            </w:r>
          </w:p>
        </w:tc>
        <w:tc>
          <w:tcPr>
            <w:tcW w:w="1140" w:type="dxa"/>
            <w:noWrap/>
            <w:vAlign w:val="center"/>
          </w:tcPr>
          <w:p w14:paraId="432AF714">
            <w:pPr>
              <w:jc w:val="center"/>
              <w:rPr>
                <w:sz w:val="22"/>
                <w:szCs w:val="22"/>
              </w:rPr>
            </w:pPr>
            <w:r>
              <w:rPr>
                <w:sz w:val="22"/>
                <w:szCs w:val="22"/>
              </w:rPr>
              <w:t>1,56%</w:t>
            </w:r>
          </w:p>
        </w:tc>
      </w:tr>
      <w:tr w14:paraId="75B2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61FF881">
            <w:pPr>
              <w:jc w:val="center"/>
              <w:rPr>
                <w:sz w:val="22"/>
                <w:szCs w:val="22"/>
              </w:rPr>
            </w:pPr>
            <w:r>
              <w:rPr>
                <w:sz w:val="22"/>
                <w:szCs w:val="22"/>
              </w:rPr>
              <w:t>67</w:t>
            </w:r>
          </w:p>
        </w:tc>
        <w:tc>
          <w:tcPr>
            <w:tcW w:w="1752" w:type="dxa"/>
            <w:noWrap/>
            <w:vAlign w:val="center"/>
          </w:tcPr>
          <w:p w14:paraId="138D248A">
            <w:pPr>
              <w:jc w:val="center"/>
              <w:rPr>
                <w:sz w:val="22"/>
                <w:szCs w:val="22"/>
              </w:rPr>
            </w:pPr>
          </w:p>
        </w:tc>
        <w:tc>
          <w:tcPr>
            <w:tcW w:w="944" w:type="dxa"/>
            <w:vMerge w:val="continue"/>
            <w:vAlign w:val="center"/>
          </w:tcPr>
          <w:p w14:paraId="28BF7409">
            <w:pPr>
              <w:jc w:val="center"/>
              <w:rPr>
                <w:sz w:val="22"/>
                <w:szCs w:val="22"/>
              </w:rPr>
            </w:pPr>
          </w:p>
        </w:tc>
        <w:tc>
          <w:tcPr>
            <w:tcW w:w="1116" w:type="dxa"/>
            <w:noWrap/>
            <w:vAlign w:val="center"/>
          </w:tcPr>
          <w:p w14:paraId="53D3560F">
            <w:pPr>
              <w:jc w:val="center"/>
              <w:rPr>
                <w:sz w:val="22"/>
                <w:szCs w:val="22"/>
              </w:rPr>
            </w:pPr>
            <w:r>
              <w:rPr>
                <w:sz w:val="22"/>
                <w:szCs w:val="22"/>
              </w:rPr>
              <w:t>59</w:t>
            </w:r>
          </w:p>
        </w:tc>
        <w:tc>
          <w:tcPr>
            <w:tcW w:w="1010" w:type="dxa"/>
            <w:noWrap/>
            <w:vAlign w:val="center"/>
          </w:tcPr>
          <w:p w14:paraId="6D9960A7">
            <w:pPr>
              <w:jc w:val="center"/>
              <w:rPr>
                <w:sz w:val="22"/>
                <w:szCs w:val="22"/>
              </w:rPr>
            </w:pPr>
            <w:r>
              <w:rPr>
                <w:sz w:val="22"/>
                <w:szCs w:val="22"/>
              </w:rPr>
              <w:t>80,00</w:t>
            </w:r>
          </w:p>
        </w:tc>
        <w:tc>
          <w:tcPr>
            <w:tcW w:w="1591" w:type="dxa"/>
            <w:noWrap/>
            <w:vAlign w:val="center"/>
          </w:tcPr>
          <w:p w14:paraId="301DD364">
            <w:pPr>
              <w:jc w:val="center"/>
              <w:rPr>
                <w:sz w:val="22"/>
                <w:szCs w:val="22"/>
              </w:rPr>
            </w:pPr>
            <w:r>
              <w:rPr>
                <w:sz w:val="22"/>
                <w:szCs w:val="22"/>
              </w:rPr>
              <w:t>640.000.000</w:t>
            </w:r>
          </w:p>
        </w:tc>
        <w:tc>
          <w:tcPr>
            <w:tcW w:w="1700" w:type="dxa"/>
            <w:noWrap/>
            <w:vAlign w:val="center"/>
          </w:tcPr>
          <w:p w14:paraId="03436C63">
            <w:pPr>
              <w:jc w:val="center"/>
              <w:rPr>
                <w:sz w:val="22"/>
                <w:szCs w:val="22"/>
              </w:rPr>
            </w:pPr>
            <w:r>
              <w:rPr>
                <w:sz w:val="22"/>
                <w:szCs w:val="22"/>
              </w:rPr>
              <w:t>1.009.000.000</w:t>
            </w:r>
          </w:p>
        </w:tc>
        <w:tc>
          <w:tcPr>
            <w:tcW w:w="1140" w:type="dxa"/>
            <w:noWrap/>
            <w:vAlign w:val="center"/>
          </w:tcPr>
          <w:p w14:paraId="4CA1C943">
            <w:pPr>
              <w:jc w:val="center"/>
              <w:rPr>
                <w:sz w:val="22"/>
                <w:szCs w:val="22"/>
              </w:rPr>
            </w:pPr>
            <w:r>
              <w:rPr>
                <w:sz w:val="22"/>
                <w:szCs w:val="22"/>
              </w:rPr>
              <w:t>1,58%</w:t>
            </w:r>
          </w:p>
        </w:tc>
      </w:tr>
      <w:tr w14:paraId="70AC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BF32F05">
            <w:pPr>
              <w:jc w:val="center"/>
              <w:rPr>
                <w:sz w:val="22"/>
                <w:szCs w:val="22"/>
              </w:rPr>
            </w:pPr>
            <w:r>
              <w:rPr>
                <w:sz w:val="22"/>
                <w:szCs w:val="22"/>
              </w:rPr>
              <w:t>68</w:t>
            </w:r>
          </w:p>
        </w:tc>
        <w:tc>
          <w:tcPr>
            <w:tcW w:w="1752" w:type="dxa"/>
            <w:noWrap/>
            <w:vAlign w:val="center"/>
          </w:tcPr>
          <w:p w14:paraId="6B5FD185">
            <w:pPr>
              <w:jc w:val="center"/>
              <w:rPr>
                <w:sz w:val="22"/>
                <w:szCs w:val="22"/>
              </w:rPr>
            </w:pPr>
          </w:p>
        </w:tc>
        <w:tc>
          <w:tcPr>
            <w:tcW w:w="944" w:type="dxa"/>
            <w:vMerge w:val="continue"/>
            <w:vAlign w:val="center"/>
          </w:tcPr>
          <w:p w14:paraId="55F5BB26">
            <w:pPr>
              <w:jc w:val="center"/>
              <w:rPr>
                <w:sz w:val="22"/>
                <w:szCs w:val="22"/>
              </w:rPr>
            </w:pPr>
          </w:p>
        </w:tc>
        <w:tc>
          <w:tcPr>
            <w:tcW w:w="1116" w:type="dxa"/>
            <w:noWrap/>
            <w:vAlign w:val="center"/>
          </w:tcPr>
          <w:p w14:paraId="4F1986EE">
            <w:pPr>
              <w:jc w:val="center"/>
              <w:rPr>
                <w:sz w:val="22"/>
                <w:szCs w:val="22"/>
              </w:rPr>
            </w:pPr>
            <w:r>
              <w:rPr>
                <w:sz w:val="22"/>
                <w:szCs w:val="22"/>
              </w:rPr>
              <w:t>60</w:t>
            </w:r>
          </w:p>
        </w:tc>
        <w:tc>
          <w:tcPr>
            <w:tcW w:w="1010" w:type="dxa"/>
            <w:noWrap/>
            <w:vAlign w:val="center"/>
          </w:tcPr>
          <w:p w14:paraId="215A4868">
            <w:pPr>
              <w:jc w:val="center"/>
              <w:rPr>
                <w:sz w:val="22"/>
                <w:szCs w:val="22"/>
              </w:rPr>
            </w:pPr>
            <w:r>
              <w:rPr>
                <w:sz w:val="22"/>
                <w:szCs w:val="22"/>
              </w:rPr>
              <w:t>80,00</w:t>
            </w:r>
          </w:p>
        </w:tc>
        <w:tc>
          <w:tcPr>
            <w:tcW w:w="1591" w:type="dxa"/>
            <w:noWrap/>
            <w:vAlign w:val="center"/>
          </w:tcPr>
          <w:p w14:paraId="1F987F7F">
            <w:pPr>
              <w:jc w:val="center"/>
              <w:rPr>
                <w:sz w:val="22"/>
                <w:szCs w:val="22"/>
              </w:rPr>
            </w:pPr>
            <w:r>
              <w:rPr>
                <w:sz w:val="22"/>
                <w:szCs w:val="22"/>
              </w:rPr>
              <w:t>640.000.000</w:t>
            </w:r>
          </w:p>
        </w:tc>
        <w:tc>
          <w:tcPr>
            <w:tcW w:w="1700" w:type="dxa"/>
            <w:noWrap/>
            <w:vAlign w:val="center"/>
          </w:tcPr>
          <w:p w14:paraId="385FEA14">
            <w:pPr>
              <w:jc w:val="center"/>
              <w:rPr>
                <w:sz w:val="22"/>
                <w:szCs w:val="22"/>
              </w:rPr>
            </w:pPr>
            <w:r>
              <w:rPr>
                <w:sz w:val="22"/>
                <w:szCs w:val="22"/>
              </w:rPr>
              <w:t>1.012.000.000</w:t>
            </w:r>
          </w:p>
        </w:tc>
        <w:tc>
          <w:tcPr>
            <w:tcW w:w="1140" w:type="dxa"/>
            <w:noWrap/>
            <w:vAlign w:val="center"/>
          </w:tcPr>
          <w:p w14:paraId="52A3CAEB">
            <w:pPr>
              <w:jc w:val="center"/>
              <w:rPr>
                <w:sz w:val="22"/>
                <w:szCs w:val="22"/>
              </w:rPr>
            </w:pPr>
            <w:r>
              <w:rPr>
                <w:sz w:val="22"/>
                <w:szCs w:val="22"/>
              </w:rPr>
              <w:t>1,58%</w:t>
            </w:r>
          </w:p>
        </w:tc>
      </w:tr>
      <w:tr w14:paraId="6797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5FA2BB1">
            <w:pPr>
              <w:jc w:val="center"/>
              <w:rPr>
                <w:sz w:val="22"/>
                <w:szCs w:val="22"/>
              </w:rPr>
            </w:pPr>
            <w:r>
              <w:rPr>
                <w:sz w:val="22"/>
                <w:szCs w:val="22"/>
              </w:rPr>
              <w:t>69</w:t>
            </w:r>
          </w:p>
        </w:tc>
        <w:tc>
          <w:tcPr>
            <w:tcW w:w="1752" w:type="dxa"/>
            <w:noWrap/>
            <w:vAlign w:val="center"/>
          </w:tcPr>
          <w:p w14:paraId="096AEF69">
            <w:pPr>
              <w:jc w:val="center"/>
              <w:rPr>
                <w:sz w:val="22"/>
                <w:szCs w:val="22"/>
              </w:rPr>
            </w:pPr>
          </w:p>
        </w:tc>
        <w:tc>
          <w:tcPr>
            <w:tcW w:w="944" w:type="dxa"/>
            <w:vMerge w:val="continue"/>
            <w:vAlign w:val="center"/>
          </w:tcPr>
          <w:p w14:paraId="666F34E8">
            <w:pPr>
              <w:jc w:val="center"/>
              <w:rPr>
                <w:sz w:val="22"/>
                <w:szCs w:val="22"/>
              </w:rPr>
            </w:pPr>
          </w:p>
        </w:tc>
        <w:tc>
          <w:tcPr>
            <w:tcW w:w="1116" w:type="dxa"/>
            <w:noWrap/>
            <w:vAlign w:val="center"/>
          </w:tcPr>
          <w:p w14:paraId="534D9719">
            <w:pPr>
              <w:jc w:val="center"/>
              <w:rPr>
                <w:sz w:val="22"/>
                <w:szCs w:val="22"/>
              </w:rPr>
            </w:pPr>
            <w:r>
              <w:rPr>
                <w:sz w:val="22"/>
                <w:szCs w:val="22"/>
              </w:rPr>
              <w:t>61</w:t>
            </w:r>
          </w:p>
        </w:tc>
        <w:tc>
          <w:tcPr>
            <w:tcW w:w="1010" w:type="dxa"/>
            <w:noWrap/>
            <w:vAlign w:val="center"/>
          </w:tcPr>
          <w:p w14:paraId="62AA8CB8">
            <w:pPr>
              <w:jc w:val="center"/>
              <w:rPr>
                <w:sz w:val="22"/>
                <w:szCs w:val="22"/>
              </w:rPr>
            </w:pPr>
            <w:r>
              <w:rPr>
                <w:sz w:val="22"/>
                <w:szCs w:val="22"/>
              </w:rPr>
              <w:t>80,00</w:t>
            </w:r>
          </w:p>
        </w:tc>
        <w:tc>
          <w:tcPr>
            <w:tcW w:w="1591" w:type="dxa"/>
            <w:noWrap/>
            <w:vAlign w:val="center"/>
          </w:tcPr>
          <w:p w14:paraId="43E56B99">
            <w:pPr>
              <w:jc w:val="center"/>
              <w:rPr>
                <w:sz w:val="22"/>
                <w:szCs w:val="22"/>
              </w:rPr>
            </w:pPr>
            <w:r>
              <w:rPr>
                <w:sz w:val="22"/>
                <w:szCs w:val="22"/>
              </w:rPr>
              <w:t>640.000.000</w:t>
            </w:r>
          </w:p>
        </w:tc>
        <w:tc>
          <w:tcPr>
            <w:tcW w:w="1700" w:type="dxa"/>
            <w:noWrap/>
            <w:vAlign w:val="center"/>
          </w:tcPr>
          <w:p w14:paraId="535DB6FB">
            <w:pPr>
              <w:jc w:val="center"/>
              <w:rPr>
                <w:sz w:val="22"/>
                <w:szCs w:val="22"/>
              </w:rPr>
            </w:pPr>
            <w:r>
              <w:rPr>
                <w:sz w:val="22"/>
                <w:szCs w:val="22"/>
              </w:rPr>
              <w:t>1.053.000.000</w:t>
            </w:r>
          </w:p>
        </w:tc>
        <w:tc>
          <w:tcPr>
            <w:tcW w:w="1140" w:type="dxa"/>
            <w:noWrap/>
            <w:vAlign w:val="center"/>
          </w:tcPr>
          <w:p w14:paraId="4D419253">
            <w:pPr>
              <w:jc w:val="center"/>
              <w:rPr>
                <w:sz w:val="22"/>
                <w:szCs w:val="22"/>
              </w:rPr>
            </w:pPr>
            <w:r>
              <w:rPr>
                <w:sz w:val="22"/>
                <w:szCs w:val="22"/>
              </w:rPr>
              <w:t>1,65%</w:t>
            </w:r>
          </w:p>
        </w:tc>
      </w:tr>
      <w:tr w14:paraId="0F55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4EB1886">
            <w:pPr>
              <w:jc w:val="center"/>
              <w:rPr>
                <w:sz w:val="22"/>
                <w:szCs w:val="22"/>
              </w:rPr>
            </w:pPr>
            <w:r>
              <w:rPr>
                <w:sz w:val="22"/>
                <w:szCs w:val="22"/>
              </w:rPr>
              <w:t>70</w:t>
            </w:r>
          </w:p>
        </w:tc>
        <w:tc>
          <w:tcPr>
            <w:tcW w:w="1752" w:type="dxa"/>
            <w:noWrap/>
            <w:vAlign w:val="center"/>
          </w:tcPr>
          <w:p w14:paraId="3A188D6B">
            <w:pPr>
              <w:jc w:val="center"/>
              <w:rPr>
                <w:sz w:val="22"/>
                <w:szCs w:val="22"/>
              </w:rPr>
            </w:pPr>
          </w:p>
        </w:tc>
        <w:tc>
          <w:tcPr>
            <w:tcW w:w="944" w:type="dxa"/>
            <w:vMerge w:val="continue"/>
            <w:vAlign w:val="center"/>
          </w:tcPr>
          <w:p w14:paraId="5AF61950">
            <w:pPr>
              <w:jc w:val="center"/>
              <w:rPr>
                <w:sz w:val="22"/>
                <w:szCs w:val="22"/>
              </w:rPr>
            </w:pPr>
          </w:p>
        </w:tc>
        <w:tc>
          <w:tcPr>
            <w:tcW w:w="1116" w:type="dxa"/>
            <w:noWrap/>
            <w:vAlign w:val="center"/>
          </w:tcPr>
          <w:p w14:paraId="2E35EAEE">
            <w:pPr>
              <w:jc w:val="center"/>
              <w:rPr>
                <w:sz w:val="22"/>
                <w:szCs w:val="22"/>
              </w:rPr>
            </w:pPr>
            <w:r>
              <w:rPr>
                <w:sz w:val="22"/>
                <w:szCs w:val="22"/>
              </w:rPr>
              <w:t>62</w:t>
            </w:r>
          </w:p>
        </w:tc>
        <w:tc>
          <w:tcPr>
            <w:tcW w:w="1010" w:type="dxa"/>
            <w:noWrap/>
            <w:vAlign w:val="center"/>
          </w:tcPr>
          <w:p w14:paraId="65827045">
            <w:pPr>
              <w:jc w:val="center"/>
              <w:rPr>
                <w:sz w:val="22"/>
                <w:szCs w:val="22"/>
              </w:rPr>
            </w:pPr>
            <w:r>
              <w:rPr>
                <w:sz w:val="22"/>
                <w:szCs w:val="22"/>
              </w:rPr>
              <w:t>80,00</w:t>
            </w:r>
          </w:p>
        </w:tc>
        <w:tc>
          <w:tcPr>
            <w:tcW w:w="1591" w:type="dxa"/>
            <w:noWrap/>
            <w:vAlign w:val="center"/>
          </w:tcPr>
          <w:p w14:paraId="5819EFAA">
            <w:pPr>
              <w:jc w:val="center"/>
              <w:rPr>
                <w:sz w:val="22"/>
                <w:szCs w:val="22"/>
              </w:rPr>
            </w:pPr>
            <w:r>
              <w:rPr>
                <w:sz w:val="22"/>
                <w:szCs w:val="22"/>
              </w:rPr>
              <w:t>640.000.000</w:t>
            </w:r>
          </w:p>
        </w:tc>
        <w:tc>
          <w:tcPr>
            <w:tcW w:w="1700" w:type="dxa"/>
            <w:noWrap/>
            <w:vAlign w:val="center"/>
          </w:tcPr>
          <w:p w14:paraId="760C3C79">
            <w:pPr>
              <w:jc w:val="center"/>
              <w:rPr>
                <w:sz w:val="22"/>
                <w:szCs w:val="22"/>
              </w:rPr>
            </w:pPr>
            <w:r>
              <w:rPr>
                <w:sz w:val="22"/>
                <w:szCs w:val="22"/>
              </w:rPr>
              <w:t>1.093.000.000</w:t>
            </w:r>
          </w:p>
        </w:tc>
        <w:tc>
          <w:tcPr>
            <w:tcW w:w="1140" w:type="dxa"/>
            <w:noWrap/>
            <w:vAlign w:val="center"/>
          </w:tcPr>
          <w:p w14:paraId="4E78E77D">
            <w:pPr>
              <w:jc w:val="center"/>
              <w:rPr>
                <w:sz w:val="22"/>
                <w:szCs w:val="22"/>
              </w:rPr>
            </w:pPr>
            <w:r>
              <w:rPr>
                <w:sz w:val="22"/>
                <w:szCs w:val="22"/>
              </w:rPr>
              <w:t>1,71%</w:t>
            </w:r>
          </w:p>
        </w:tc>
      </w:tr>
      <w:tr w14:paraId="3B1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1BDBF89">
            <w:pPr>
              <w:jc w:val="center"/>
              <w:rPr>
                <w:sz w:val="22"/>
                <w:szCs w:val="22"/>
              </w:rPr>
            </w:pPr>
            <w:r>
              <w:rPr>
                <w:sz w:val="22"/>
                <w:szCs w:val="22"/>
              </w:rPr>
              <w:t>71</w:t>
            </w:r>
          </w:p>
        </w:tc>
        <w:tc>
          <w:tcPr>
            <w:tcW w:w="1752" w:type="dxa"/>
            <w:noWrap/>
            <w:vAlign w:val="center"/>
          </w:tcPr>
          <w:p w14:paraId="4769DC23">
            <w:pPr>
              <w:jc w:val="center"/>
              <w:rPr>
                <w:sz w:val="22"/>
                <w:szCs w:val="22"/>
              </w:rPr>
            </w:pPr>
          </w:p>
        </w:tc>
        <w:tc>
          <w:tcPr>
            <w:tcW w:w="944" w:type="dxa"/>
            <w:vMerge w:val="continue"/>
            <w:vAlign w:val="center"/>
          </w:tcPr>
          <w:p w14:paraId="432EFDBC">
            <w:pPr>
              <w:jc w:val="center"/>
              <w:rPr>
                <w:sz w:val="22"/>
                <w:szCs w:val="22"/>
              </w:rPr>
            </w:pPr>
          </w:p>
        </w:tc>
        <w:tc>
          <w:tcPr>
            <w:tcW w:w="1116" w:type="dxa"/>
            <w:noWrap/>
            <w:vAlign w:val="center"/>
          </w:tcPr>
          <w:p w14:paraId="7CC8F906">
            <w:pPr>
              <w:jc w:val="center"/>
              <w:rPr>
                <w:sz w:val="22"/>
                <w:szCs w:val="22"/>
              </w:rPr>
            </w:pPr>
            <w:r>
              <w:rPr>
                <w:sz w:val="22"/>
                <w:szCs w:val="22"/>
              </w:rPr>
              <w:t>63</w:t>
            </w:r>
          </w:p>
        </w:tc>
        <w:tc>
          <w:tcPr>
            <w:tcW w:w="1010" w:type="dxa"/>
            <w:noWrap/>
            <w:vAlign w:val="center"/>
          </w:tcPr>
          <w:p w14:paraId="45065251">
            <w:pPr>
              <w:jc w:val="center"/>
              <w:rPr>
                <w:sz w:val="22"/>
                <w:szCs w:val="22"/>
              </w:rPr>
            </w:pPr>
            <w:r>
              <w:rPr>
                <w:sz w:val="22"/>
                <w:szCs w:val="22"/>
              </w:rPr>
              <w:t>118,25</w:t>
            </w:r>
          </w:p>
        </w:tc>
        <w:tc>
          <w:tcPr>
            <w:tcW w:w="1591" w:type="dxa"/>
            <w:noWrap/>
            <w:vAlign w:val="center"/>
          </w:tcPr>
          <w:p w14:paraId="1E90C013">
            <w:pPr>
              <w:jc w:val="center"/>
              <w:rPr>
                <w:sz w:val="22"/>
                <w:szCs w:val="22"/>
              </w:rPr>
            </w:pPr>
            <w:r>
              <w:rPr>
                <w:sz w:val="22"/>
                <w:szCs w:val="22"/>
              </w:rPr>
              <w:t>1.135.200.000</w:t>
            </w:r>
          </w:p>
        </w:tc>
        <w:tc>
          <w:tcPr>
            <w:tcW w:w="1700" w:type="dxa"/>
            <w:noWrap/>
            <w:vAlign w:val="center"/>
          </w:tcPr>
          <w:p w14:paraId="322559CB">
            <w:pPr>
              <w:jc w:val="center"/>
              <w:rPr>
                <w:sz w:val="22"/>
                <w:szCs w:val="22"/>
              </w:rPr>
            </w:pPr>
            <w:r>
              <w:rPr>
                <w:sz w:val="22"/>
                <w:szCs w:val="22"/>
              </w:rPr>
              <w:t>1.673.000.000</w:t>
            </w:r>
          </w:p>
        </w:tc>
        <w:tc>
          <w:tcPr>
            <w:tcW w:w="1140" w:type="dxa"/>
            <w:noWrap/>
            <w:vAlign w:val="center"/>
          </w:tcPr>
          <w:p w14:paraId="5DF27FC2">
            <w:pPr>
              <w:jc w:val="center"/>
              <w:rPr>
                <w:sz w:val="22"/>
                <w:szCs w:val="22"/>
              </w:rPr>
            </w:pPr>
            <w:r>
              <w:rPr>
                <w:sz w:val="22"/>
                <w:szCs w:val="22"/>
              </w:rPr>
              <w:t>1,47%</w:t>
            </w:r>
          </w:p>
        </w:tc>
      </w:tr>
      <w:tr w14:paraId="5F22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2E295CA">
            <w:pPr>
              <w:jc w:val="center"/>
              <w:rPr>
                <w:b/>
                <w:bCs/>
                <w:sz w:val="22"/>
                <w:szCs w:val="22"/>
              </w:rPr>
            </w:pPr>
          </w:p>
        </w:tc>
        <w:tc>
          <w:tcPr>
            <w:tcW w:w="1752" w:type="dxa"/>
            <w:vAlign w:val="center"/>
          </w:tcPr>
          <w:p w14:paraId="099947F1">
            <w:pPr>
              <w:jc w:val="center"/>
              <w:rPr>
                <w:b/>
                <w:bCs/>
                <w:sz w:val="22"/>
                <w:szCs w:val="22"/>
              </w:rPr>
            </w:pPr>
            <w:r>
              <w:rPr>
                <w:b/>
                <w:bCs/>
                <w:sz w:val="22"/>
                <w:szCs w:val="22"/>
              </w:rPr>
              <w:t>CUỘC ĐẤU GIÁ 72 LÔ ĐẤT Ở TẠI KHU DÂN CƯ TRUNG TÂM XÃ HƯƠNG LẠC, HUYỆN LẠNG GIANG ĐẤU NGÀY 26/3/2024</w:t>
            </w:r>
          </w:p>
        </w:tc>
        <w:tc>
          <w:tcPr>
            <w:tcW w:w="944" w:type="dxa"/>
            <w:noWrap/>
            <w:vAlign w:val="center"/>
          </w:tcPr>
          <w:p w14:paraId="5869AF0F">
            <w:pPr>
              <w:jc w:val="center"/>
              <w:rPr>
                <w:b/>
                <w:bCs/>
                <w:sz w:val="22"/>
                <w:szCs w:val="22"/>
              </w:rPr>
            </w:pPr>
          </w:p>
        </w:tc>
        <w:tc>
          <w:tcPr>
            <w:tcW w:w="1116" w:type="dxa"/>
            <w:noWrap/>
            <w:vAlign w:val="center"/>
          </w:tcPr>
          <w:p w14:paraId="696DA95D">
            <w:pPr>
              <w:jc w:val="center"/>
              <w:rPr>
                <w:b/>
                <w:bCs/>
                <w:sz w:val="22"/>
                <w:szCs w:val="22"/>
              </w:rPr>
            </w:pPr>
          </w:p>
        </w:tc>
        <w:tc>
          <w:tcPr>
            <w:tcW w:w="1010" w:type="dxa"/>
            <w:noWrap/>
            <w:vAlign w:val="center"/>
          </w:tcPr>
          <w:p w14:paraId="2F07499A">
            <w:pPr>
              <w:jc w:val="center"/>
              <w:rPr>
                <w:b/>
                <w:bCs/>
                <w:sz w:val="22"/>
                <w:szCs w:val="22"/>
              </w:rPr>
            </w:pPr>
            <w:r>
              <w:rPr>
                <w:b/>
                <w:bCs/>
                <w:sz w:val="22"/>
                <w:szCs w:val="22"/>
              </w:rPr>
              <w:t>9.147,80</w:t>
            </w:r>
          </w:p>
        </w:tc>
        <w:tc>
          <w:tcPr>
            <w:tcW w:w="1591" w:type="dxa"/>
            <w:noWrap/>
            <w:vAlign w:val="center"/>
          </w:tcPr>
          <w:p w14:paraId="459F533D">
            <w:pPr>
              <w:jc w:val="center"/>
              <w:rPr>
                <w:b/>
                <w:bCs/>
                <w:sz w:val="22"/>
                <w:szCs w:val="22"/>
              </w:rPr>
            </w:pPr>
            <w:r>
              <w:rPr>
                <w:b/>
                <w:bCs/>
                <w:sz w:val="22"/>
                <w:szCs w:val="22"/>
              </w:rPr>
              <w:t>79.824.000.000</w:t>
            </w:r>
          </w:p>
        </w:tc>
        <w:tc>
          <w:tcPr>
            <w:tcW w:w="1700" w:type="dxa"/>
            <w:noWrap/>
            <w:vAlign w:val="center"/>
          </w:tcPr>
          <w:p w14:paraId="0C493124">
            <w:pPr>
              <w:jc w:val="center"/>
              <w:rPr>
                <w:b/>
                <w:bCs/>
                <w:sz w:val="22"/>
                <w:szCs w:val="22"/>
              </w:rPr>
            </w:pPr>
            <w:r>
              <w:rPr>
                <w:b/>
                <w:bCs/>
                <w:sz w:val="22"/>
                <w:szCs w:val="22"/>
              </w:rPr>
              <w:t>90.079.298.000</w:t>
            </w:r>
          </w:p>
        </w:tc>
        <w:tc>
          <w:tcPr>
            <w:tcW w:w="1140" w:type="dxa"/>
            <w:noWrap/>
            <w:vAlign w:val="center"/>
          </w:tcPr>
          <w:p w14:paraId="6EEEEDB8">
            <w:pPr>
              <w:jc w:val="center"/>
              <w:rPr>
                <w:b/>
                <w:bCs/>
                <w:sz w:val="22"/>
                <w:szCs w:val="22"/>
              </w:rPr>
            </w:pPr>
          </w:p>
        </w:tc>
      </w:tr>
      <w:tr w14:paraId="29A4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DCDB586">
            <w:pPr>
              <w:jc w:val="center"/>
              <w:rPr>
                <w:sz w:val="22"/>
                <w:szCs w:val="22"/>
              </w:rPr>
            </w:pPr>
            <w:r>
              <w:rPr>
                <w:sz w:val="22"/>
                <w:szCs w:val="22"/>
              </w:rPr>
              <w:t>2</w:t>
            </w:r>
          </w:p>
        </w:tc>
        <w:tc>
          <w:tcPr>
            <w:tcW w:w="1752" w:type="dxa"/>
            <w:noWrap/>
            <w:vAlign w:val="center"/>
          </w:tcPr>
          <w:p w14:paraId="67B9AD58">
            <w:pPr>
              <w:jc w:val="center"/>
              <w:rPr>
                <w:sz w:val="22"/>
                <w:szCs w:val="22"/>
              </w:rPr>
            </w:pPr>
          </w:p>
        </w:tc>
        <w:tc>
          <w:tcPr>
            <w:tcW w:w="944" w:type="dxa"/>
            <w:vMerge w:val="restart"/>
            <w:noWrap/>
            <w:vAlign w:val="center"/>
          </w:tcPr>
          <w:p w14:paraId="593BF6BD">
            <w:pPr>
              <w:jc w:val="center"/>
              <w:rPr>
                <w:sz w:val="22"/>
                <w:szCs w:val="22"/>
              </w:rPr>
            </w:pPr>
            <w:r>
              <w:rPr>
                <w:sz w:val="22"/>
                <w:szCs w:val="22"/>
              </w:rPr>
              <w:t>LK-07</w:t>
            </w:r>
          </w:p>
        </w:tc>
        <w:tc>
          <w:tcPr>
            <w:tcW w:w="1116" w:type="dxa"/>
            <w:vAlign w:val="center"/>
          </w:tcPr>
          <w:p w14:paraId="6C758E78">
            <w:pPr>
              <w:jc w:val="center"/>
              <w:rPr>
                <w:sz w:val="22"/>
                <w:szCs w:val="22"/>
              </w:rPr>
            </w:pPr>
            <w:r>
              <w:rPr>
                <w:sz w:val="22"/>
                <w:szCs w:val="22"/>
              </w:rPr>
              <w:t>1</w:t>
            </w:r>
          </w:p>
        </w:tc>
        <w:tc>
          <w:tcPr>
            <w:tcW w:w="1010" w:type="dxa"/>
            <w:noWrap/>
            <w:vAlign w:val="center"/>
          </w:tcPr>
          <w:p w14:paraId="74E77B51">
            <w:pPr>
              <w:jc w:val="center"/>
              <w:rPr>
                <w:sz w:val="22"/>
                <w:szCs w:val="22"/>
              </w:rPr>
            </w:pPr>
            <w:r>
              <w:rPr>
                <w:sz w:val="22"/>
                <w:szCs w:val="22"/>
              </w:rPr>
              <w:t>162,00</w:t>
            </w:r>
          </w:p>
        </w:tc>
        <w:tc>
          <w:tcPr>
            <w:tcW w:w="1591" w:type="dxa"/>
            <w:noWrap/>
            <w:vAlign w:val="center"/>
          </w:tcPr>
          <w:p w14:paraId="6F72B7A7">
            <w:pPr>
              <w:jc w:val="center"/>
              <w:rPr>
                <w:sz w:val="22"/>
                <w:szCs w:val="22"/>
              </w:rPr>
            </w:pPr>
            <w:r>
              <w:rPr>
                <w:sz w:val="22"/>
                <w:szCs w:val="22"/>
              </w:rPr>
              <w:t>1.749.600.000</w:t>
            </w:r>
          </w:p>
        </w:tc>
        <w:tc>
          <w:tcPr>
            <w:tcW w:w="1700" w:type="dxa"/>
            <w:noWrap/>
            <w:vAlign w:val="center"/>
          </w:tcPr>
          <w:p w14:paraId="1EFC6ACB">
            <w:pPr>
              <w:jc w:val="center"/>
              <w:rPr>
                <w:sz w:val="22"/>
                <w:szCs w:val="22"/>
              </w:rPr>
            </w:pPr>
            <w:r>
              <w:rPr>
                <w:sz w:val="22"/>
                <w:szCs w:val="22"/>
              </w:rPr>
              <w:t>1.873.500.000</w:t>
            </w:r>
          </w:p>
        </w:tc>
        <w:tc>
          <w:tcPr>
            <w:tcW w:w="1140" w:type="dxa"/>
            <w:noWrap/>
            <w:vAlign w:val="center"/>
          </w:tcPr>
          <w:p w14:paraId="5499C197">
            <w:pPr>
              <w:jc w:val="center"/>
              <w:rPr>
                <w:sz w:val="22"/>
                <w:szCs w:val="22"/>
              </w:rPr>
            </w:pPr>
            <w:r>
              <w:rPr>
                <w:sz w:val="22"/>
                <w:szCs w:val="22"/>
              </w:rPr>
              <w:t>1,07%</w:t>
            </w:r>
          </w:p>
        </w:tc>
      </w:tr>
      <w:tr w14:paraId="032D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BD4E865">
            <w:pPr>
              <w:jc w:val="center"/>
              <w:rPr>
                <w:sz w:val="22"/>
                <w:szCs w:val="22"/>
              </w:rPr>
            </w:pPr>
            <w:r>
              <w:rPr>
                <w:sz w:val="22"/>
                <w:szCs w:val="22"/>
              </w:rPr>
              <w:t>3</w:t>
            </w:r>
          </w:p>
        </w:tc>
        <w:tc>
          <w:tcPr>
            <w:tcW w:w="1752" w:type="dxa"/>
            <w:noWrap/>
            <w:vAlign w:val="center"/>
          </w:tcPr>
          <w:p w14:paraId="21E44150">
            <w:pPr>
              <w:jc w:val="center"/>
              <w:rPr>
                <w:sz w:val="22"/>
                <w:szCs w:val="22"/>
              </w:rPr>
            </w:pPr>
          </w:p>
        </w:tc>
        <w:tc>
          <w:tcPr>
            <w:tcW w:w="944" w:type="dxa"/>
            <w:vMerge w:val="continue"/>
            <w:vAlign w:val="center"/>
          </w:tcPr>
          <w:p w14:paraId="4CAA4CA3">
            <w:pPr>
              <w:jc w:val="center"/>
              <w:rPr>
                <w:sz w:val="22"/>
                <w:szCs w:val="22"/>
              </w:rPr>
            </w:pPr>
          </w:p>
        </w:tc>
        <w:tc>
          <w:tcPr>
            <w:tcW w:w="1116" w:type="dxa"/>
            <w:vAlign w:val="center"/>
          </w:tcPr>
          <w:p w14:paraId="3C4AFA5B">
            <w:pPr>
              <w:jc w:val="center"/>
              <w:rPr>
                <w:sz w:val="22"/>
                <w:szCs w:val="22"/>
              </w:rPr>
            </w:pPr>
            <w:r>
              <w:rPr>
                <w:sz w:val="22"/>
                <w:szCs w:val="22"/>
              </w:rPr>
              <w:t>2</w:t>
            </w:r>
          </w:p>
        </w:tc>
        <w:tc>
          <w:tcPr>
            <w:tcW w:w="1010" w:type="dxa"/>
            <w:noWrap/>
            <w:vAlign w:val="center"/>
          </w:tcPr>
          <w:p w14:paraId="2373598A">
            <w:pPr>
              <w:jc w:val="center"/>
              <w:rPr>
                <w:sz w:val="22"/>
                <w:szCs w:val="22"/>
              </w:rPr>
            </w:pPr>
            <w:r>
              <w:rPr>
                <w:sz w:val="22"/>
                <w:szCs w:val="22"/>
              </w:rPr>
              <w:t>102,00</w:t>
            </w:r>
          </w:p>
        </w:tc>
        <w:tc>
          <w:tcPr>
            <w:tcW w:w="1591" w:type="dxa"/>
            <w:noWrap/>
            <w:vAlign w:val="center"/>
          </w:tcPr>
          <w:p w14:paraId="1B3ECCDD">
            <w:pPr>
              <w:jc w:val="center"/>
              <w:rPr>
                <w:sz w:val="22"/>
                <w:szCs w:val="22"/>
              </w:rPr>
            </w:pPr>
            <w:r>
              <w:rPr>
                <w:sz w:val="22"/>
                <w:szCs w:val="22"/>
              </w:rPr>
              <w:t>918.000.000</w:t>
            </w:r>
          </w:p>
        </w:tc>
        <w:tc>
          <w:tcPr>
            <w:tcW w:w="1700" w:type="dxa"/>
            <w:noWrap/>
            <w:vAlign w:val="center"/>
          </w:tcPr>
          <w:p w14:paraId="534609EF">
            <w:pPr>
              <w:jc w:val="center"/>
              <w:rPr>
                <w:sz w:val="22"/>
                <w:szCs w:val="22"/>
              </w:rPr>
            </w:pPr>
            <w:r>
              <w:rPr>
                <w:sz w:val="22"/>
                <w:szCs w:val="22"/>
              </w:rPr>
              <w:t>1.138.198.000</w:t>
            </w:r>
          </w:p>
        </w:tc>
        <w:tc>
          <w:tcPr>
            <w:tcW w:w="1140" w:type="dxa"/>
            <w:noWrap/>
            <w:vAlign w:val="center"/>
          </w:tcPr>
          <w:p w14:paraId="40F7F2E3">
            <w:pPr>
              <w:jc w:val="center"/>
              <w:rPr>
                <w:sz w:val="22"/>
                <w:szCs w:val="22"/>
              </w:rPr>
            </w:pPr>
            <w:r>
              <w:rPr>
                <w:sz w:val="22"/>
                <w:szCs w:val="22"/>
              </w:rPr>
              <w:t>1,24%</w:t>
            </w:r>
          </w:p>
        </w:tc>
      </w:tr>
      <w:tr w14:paraId="12BC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C1A04A7">
            <w:pPr>
              <w:jc w:val="center"/>
              <w:rPr>
                <w:sz w:val="22"/>
                <w:szCs w:val="22"/>
              </w:rPr>
            </w:pPr>
            <w:r>
              <w:rPr>
                <w:sz w:val="22"/>
                <w:szCs w:val="22"/>
              </w:rPr>
              <w:t>4</w:t>
            </w:r>
          </w:p>
        </w:tc>
        <w:tc>
          <w:tcPr>
            <w:tcW w:w="1752" w:type="dxa"/>
            <w:noWrap/>
            <w:vAlign w:val="center"/>
          </w:tcPr>
          <w:p w14:paraId="5D3132A4">
            <w:pPr>
              <w:jc w:val="center"/>
              <w:rPr>
                <w:sz w:val="22"/>
                <w:szCs w:val="22"/>
              </w:rPr>
            </w:pPr>
          </w:p>
        </w:tc>
        <w:tc>
          <w:tcPr>
            <w:tcW w:w="944" w:type="dxa"/>
            <w:vMerge w:val="continue"/>
            <w:vAlign w:val="center"/>
          </w:tcPr>
          <w:p w14:paraId="4370A259">
            <w:pPr>
              <w:jc w:val="center"/>
              <w:rPr>
                <w:sz w:val="22"/>
                <w:szCs w:val="22"/>
              </w:rPr>
            </w:pPr>
          </w:p>
        </w:tc>
        <w:tc>
          <w:tcPr>
            <w:tcW w:w="1116" w:type="dxa"/>
            <w:vAlign w:val="center"/>
          </w:tcPr>
          <w:p w14:paraId="531106A6">
            <w:pPr>
              <w:jc w:val="center"/>
              <w:rPr>
                <w:sz w:val="22"/>
                <w:szCs w:val="22"/>
              </w:rPr>
            </w:pPr>
            <w:r>
              <w:rPr>
                <w:sz w:val="22"/>
                <w:szCs w:val="22"/>
              </w:rPr>
              <w:t>3</w:t>
            </w:r>
          </w:p>
        </w:tc>
        <w:tc>
          <w:tcPr>
            <w:tcW w:w="1010" w:type="dxa"/>
            <w:noWrap/>
            <w:vAlign w:val="center"/>
          </w:tcPr>
          <w:p w14:paraId="4F38F1BC">
            <w:pPr>
              <w:jc w:val="center"/>
              <w:rPr>
                <w:sz w:val="22"/>
                <w:szCs w:val="22"/>
              </w:rPr>
            </w:pPr>
            <w:r>
              <w:rPr>
                <w:sz w:val="22"/>
                <w:szCs w:val="22"/>
              </w:rPr>
              <w:t>102,00</w:t>
            </w:r>
          </w:p>
        </w:tc>
        <w:tc>
          <w:tcPr>
            <w:tcW w:w="1591" w:type="dxa"/>
            <w:noWrap/>
            <w:vAlign w:val="center"/>
          </w:tcPr>
          <w:p w14:paraId="569E948F">
            <w:pPr>
              <w:jc w:val="center"/>
              <w:rPr>
                <w:sz w:val="22"/>
                <w:szCs w:val="22"/>
              </w:rPr>
            </w:pPr>
            <w:r>
              <w:rPr>
                <w:sz w:val="22"/>
                <w:szCs w:val="22"/>
              </w:rPr>
              <w:t>918.000.000</w:t>
            </w:r>
          </w:p>
        </w:tc>
        <w:tc>
          <w:tcPr>
            <w:tcW w:w="1700" w:type="dxa"/>
            <w:noWrap/>
            <w:vAlign w:val="center"/>
          </w:tcPr>
          <w:p w14:paraId="1CB614EF">
            <w:pPr>
              <w:jc w:val="center"/>
              <w:rPr>
                <w:sz w:val="22"/>
                <w:szCs w:val="22"/>
              </w:rPr>
            </w:pPr>
            <w:r>
              <w:rPr>
                <w:sz w:val="22"/>
                <w:szCs w:val="22"/>
              </w:rPr>
              <w:t>1.143.500.000</w:t>
            </w:r>
          </w:p>
        </w:tc>
        <w:tc>
          <w:tcPr>
            <w:tcW w:w="1140" w:type="dxa"/>
            <w:noWrap/>
            <w:vAlign w:val="center"/>
          </w:tcPr>
          <w:p w14:paraId="104DC648">
            <w:pPr>
              <w:jc w:val="center"/>
              <w:rPr>
                <w:sz w:val="22"/>
                <w:szCs w:val="22"/>
              </w:rPr>
            </w:pPr>
            <w:r>
              <w:rPr>
                <w:sz w:val="22"/>
                <w:szCs w:val="22"/>
              </w:rPr>
              <w:t>1,25%</w:t>
            </w:r>
          </w:p>
        </w:tc>
      </w:tr>
      <w:tr w14:paraId="3E99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0CD7F48">
            <w:pPr>
              <w:jc w:val="center"/>
              <w:rPr>
                <w:sz w:val="22"/>
                <w:szCs w:val="22"/>
              </w:rPr>
            </w:pPr>
            <w:r>
              <w:rPr>
                <w:sz w:val="22"/>
                <w:szCs w:val="22"/>
              </w:rPr>
              <w:t>5</w:t>
            </w:r>
          </w:p>
        </w:tc>
        <w:tc>
          <w:tcPr>
            <w:tcW w:w="1752" w:type="dxa"/>
            <w:noWrap/>
            <w:vAlign w:val="center"/>
          </w:tcPr>
          <w:p w14:paraId="4698D7A1">
            <w:pPr>
              <w:jc w:val="center"/>
              <w:rPr>
                <w:sz w:val="22"/>
                <w:szCs w:val="22"/>
              </w:rPr>
            </w:pPr>
          </w:p>
        </w:tc>
        <w:tc>
          <w:tcPr>
            <w:tcW w:w="944" w:type="dxa"/>
            <w:vMerge w:val="continue"/>
            <w:vAlign w:val="center"/>
          </w:tcPr>
          <w:p w14:paraId="70951998">
            <w:pPr>
              <w:jc w:val="center"/>
              <w:rPr>
                <w:sz w:val="22"/>
                <w:szCs w:val="22"/>
              </w:rPr>
            </w:pPr>
          </w:p>
        </w:tc>
        <w:tc>
          <w:tcPr>
            <w:tcW w:w="1116" w:type="dxa"/>
            <w:vAlign w:val="center"/>
          </w:tcPr>
          <w:p w14:paraId="2303E1D1">
            <w:pPr>
              <w:jc w:val="center"/>
              <w:rPr>
                <w:sz w:val="22"/>
                <w:szCs w:val="22"/>
              </w:rPr>
            </w:pPr>
            <w:r>
              <w:rPr>
                <w:sz w:val="22"/>
                <w:szCs w:val="22"/>
              </w:rPr>
              <w:t>4</w:t>
            </w:r>
          </w:p>
        </w:tc>
        <w:tc>
          <w:tcPr>
            <w:tcW w:w="1010" w:type="dxa"/>
            <w:noWrap/>
            <w:vAlign w:val="center"/>
          </w:tcPr>
          <w:p w14:paraId="66FAE3AB">
            <w:pPr>
              <w:jc w:val="center"/>
              <w:rPr>
                <w:sz w:val="22"/>
                <w:szCs w:val="22"/>
              </w:rPr>
            </w:pPr>
            <w:r>
              <w:rPr>
                <w:sz w:val="22"/>
                <w:szCs w:val="22"/>
              </w:rPr>
              <w:t>102,00</w:t>
            </w:r>
          </w:p>
        </w:tc>
        <w:tc>
          <w:tcPr>
            <w:tcW w:w="1591" w:type="dxa"/>
            <w:noWrap/>
            <w:vAlign w:val="center"/>
          </w:tcPr>
          <w:p w14:paraId="41FD01AB">
            <w:pPr>
              <w:jc w:val="center"/>
              <w:rPr>
                <w:sz w:val="22"/>
                <w:szCs w:val="22"/>
              </w:rPr>
            </w:pPr>
            <w:r>
              <w:rPr>
                <w:sz w:val="22"/>
                <w:szCs w:val="22"/>
              </w:rPr>
              <w:t>918.000.000</w:t>
            </w:r>
          </w:p>
        </w:tc>
        <w:tc>
          <w:tcPr>
            <w:tcW w:w="1700" w:type="dxa"/>
            <w:noWrap/>
            <w:vAlign w:val="center"/>
          </w:tcPr>
          <w:p w14:paraId="2235E234">
            <w:pPr>
              <w:jc w:val="center"/>
              <w:rPr>
                <w:sz w:val="22"/>
                <w:szCs w:val="22"/>
              </w:rPr>
            </w:pPr>
            <w:r>
              <w:rPr>
                <w:sz w:val="22"/>
                <w:szCs w:val="22"/>
              </w:rPr>
              <w:t>1.137.500.000</w:t>
            </w:r>
          </w:p>
        </w:tc>
        <w:tc>
          <w:tcPr>
            <w:tcW w:w="1140" w:type="dxa"/>
            <w:noWrap/>
            <w:vAlign w:val="center"/>
          </w:tcPr>
          <w:p w14:paraId="083399A5">
            <w:pPr>
              <w:jc w:val="center"/>
              <w:rPr>
                <w:sz w:val="22"/>
                <w:szCs w:val="22"/>
              </w:rPr>
            </w:pPr>
            <w:r>
              <w:rPr>
                <w:sz w:val="22"/>
                <w:szCs w:val="22"/>
              </w:rPr>
              <w:t>1,24%</w:t>
            </w:r>
          </w:p>
        </w:tc>
      </w:tr>
      <w:tr w14:paraId="77A6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4A39CD2">
            <w:pPr>
              <w:jc w:val="center"/>
              <w:rPr>
                <w:sz w:val="22"/>
                <w:szCs w:val="22"/>
              </w:rPr>
            </w:pPr>
            <w:r>
              <w:rPr>
                <w:sz w:val="22"/>
                <w:szCs w:val="22"/>
              </w:rPr>
              <w:t>6</w:t>
            </w:r>
          </w:p>
        </w:tc>
        <w:tc>
          <w:tcPr>
            <w:tcW w:w="1752" w:type="dxa"/>
            <w:noWrap/>
            <w:vAlign w:val="center"/>
          </w:tcPr>
          <w:p w14:paraId="03C3F8E3">
            <w:pPr>
              <w:jc w:val="center"/>
              <w:rPr>
                <w:sz w:val="22"/>
                <w:szCs w:val="22"/>
              </w:rPr>
            </w:pPr>
          </w:p>
        </w:tc>
        <w:tc>
          <w:tcPr>
            <w:tcW w:w="944" w:type="dxa"/>
            <w:vMerge w:val="continue"/>
            <w:vAlign w:val="center"/>
          </w:tcPr>
          <w:p w14:paraId="102FD2B7">
            <w:pPr>
              <w:jc w:val="center"/>
              <w:rPr>
                <w:sz w:val="22"/>
                <w:szCs w:val="22"/>
              </w:rPr>
            </w:pPr>
          </w:p>
        </w:tc>
        <w:tc>
          <w:tcPr>
            <w:tcW w:w="1116" w:type="dxa"/>
            <w:vAlign w:val="center"/>
          </w:tcPr>
          <w:p w14:paraId="15B37D71">
            <w:pPr>
              <w:jc w:val="center"/>
              <w:rPr>
                <w:sz w:val="22"/>
                <w:szCs w:val="22"/>
              </w:rPr>
            </w:pPr>
            <w:r>
              <w:rPr>
                <w:sz w:val="22"/>
                <w:szCs w:val="22"/>
              </w:rPr>
              <w:t>5</w:t>
            </w:r>
          </w:p>
        </w:tc>
        <w:tc>
          <w:tcPr>
            <w:tcW w:w="1010" w:type="dxa"/>
            <w:noWrap/>
            <w:vAlign w:val="center"/>
          </w:tcPr>
          <w:p w14:paraId="21E00C0E">
            <w:pPr>
              <w:jc w:val="center"/>
              <w:rPr>
                <w:sz w:val="22"/>
                <w:szCs w:val="22"/>
              </w:rPr>
            </w:pPr>
            <w:r>
              <w:rPr>
                <w:sz w:val="22"/>
                <w:szCs w:val="22"/>
              </w:rPr>
              <w:t>102,00</w:t>
            </w:r>
          </w:p>
        </w:tc>
        <w:tc>
          <w:tcPr>
            <w:tcW w:w="1591" w:type="dxa"/>
            <w:noWrap/>
            <w:vAlign w:val="center"/>
          </w:tcPr>
          <w:p w14:paraId="2B3B2AD0">
            <w:pPr>
              <w:jc w:val="center"/>
              <w:rPr>
                <w:sz w:val="22"/>
                <w:szCs w:val="22"/>
              </w:rPr>
            </w:pPr>
            <w:r>
              <w:rPr>
                <w:sz w:val="22"/>
                <w:szCs w:val="22"/>
              </w:rPr>
              <w:t>918.000.000</w:t>
            </w:r>
          </w:p>
        </w:tc>
        <w:tc>
          <w:tcPr>
            <w:tcW w:w="1700" w:type="dxa"/>
            <w:noWrap/>
            <w:vAlign w:val="center"/>
          </w:tcPr>
          <w:p w14:paraId="17E62A1B">
            <w:pPr>
              <w:jc w:val="center"/>
              <w:rPr>
                <w:sz w:val="22"/>
                <w:szCs w:val="22"/>
              </w:rPr>
            </w:pPr>
            <w:r>
              <w:rPr>
                <w:sz w:val="22"/>
                <w:szCs w:val="22"/>
              </w:rPr>
              <w:t>1.189.000.000</w:t>
            </w:r>
          </w:p>
        </w:tc>
        <w:tc>
          <w:tcPr>
            <w:tcW w:w="1140" w:type="dxa"/>
            <w:noWrap/>
            <w:vAlign w:val="center"/>
          </w:tcPr>
          <w:p w14:paraId="73EA1EA7">
            <w:pPr>
              <w:jc w:val="center"/>
              <w:rPr>
                <w:sz w:val="22"/>
                <w:szCs w:val="22"/>
              </w:rPr>
            </w:pPr>
            <w:r>
              <w:rPr>
                <w:sz w:val="22"/>
                <w:szCs w:val="22"/>
              </w:rPr>
              <w:t>1,30%</w:t>
            </w:r>
          </w:p>
        </w:tc>
      </w:tr>
      <w:tr w14:paraId="7AAACF68">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59CB997B">
            <w:pPr>
              <w:jc w:val="center"/>
              <w:rPr>
                <w:sz w:val="22"/>
                <w:szCs w:val="22"/>
              </w:rPr>
            </w:pPr>
            <w:r>
              <w:rPr>
                <w:sz w:val="22"/>
                <w:szCs w:val="22"/>
              </w:rPr>
              <w:t>7</w:t>
            </w:r>
          </w:p>
        </w:tc>
        <w:tc>
          <w:tcPr>
            <w:tcW w:w="1752" w:type="dxa"/>
            <w:noWrap/>
            <w:vAlign w:val="center"/>
          </w:tcPr>
          <w:p w14:paraId="72CBD953">
            <w:pPr>
              <w:jc w:val="center"/>
              <w:rPr>
                <w:sz w:val="22"/>
                <w:szCs w:val="22"/>
              </w:rPr>
            </w:pPr>
          </w:p>
        </w:tc>
        <w:tc>
          <w:tcPr>
            <w:tcW w:w="944" w:type="dxa"/>
            <w:vMerge w:val="continue"/>
            <w:vAlign w:val="center"/>
          </w:tcPr>
          <w:p w14:paraId="115D3699">
            <w:pPr>
              <w:jc w:val="center"/>
              <w:rPr>
                <w:sz w:val="22"/>
                <w:szCs w:val="22"/>
              </w:rPr>
            </w:pPr>
          </w:p>
        </w:tc>
        <w:tc>
          <w:tcPr>
            <w:tcW w:w="1116" w:type="dxa"/>
            <w:vAlign w:val="center"/>
          </w:tcPr>
          <w:p w14:paraId="40043F5C">
            <w:pPr>
              <w:jc w:val="center"/>
              <w:rPr>
                <w:sz w:val="22"/>
                <w:szCs w:val="22"/>
              </w:rPr>
            </w:pPr>
            <w:r>
              <w:rPr>
                <w:sz w:val="22"/>
                <w:szCs w:val="22"/>
              </w:rPr>
              <w:t>6</w:t>
            </w:r>
          </w:p>
        </w:tc>
        <w:tc>
          <w:tcPr>
            <w:tcW w:w="1010" w:type="dxa"/>
            <w:noWrap/>
            <w:vAlign w:val="center"/>
          </w:tcPr>
          <w:p w14:paraId="7DFF739A">
            <w:pPr>
              <w:jc w:val="center"/>
              <w:rPr>
                <w:sz w:val="22"/>
                <w:szCs w:val="22"/>
              </w:rPr>
            </w:pPr>
            <w:r>
              <w:rPr>
                <w:sz w:val="22"/>
                <w:szCs w:val="22"/>
              </w:rPr>
              <w:t>162,00</w:t>
            </w:r>
          </w:p>
        </w:tc>
        <w:tc>
          <w:tcPr>
            <w:tcW w:w="1591" w:type="dxa"/>
            <w:noWrap/>
            <w:vAlign w:val="center"/>
          </w:tcPr>
          <w:p w14:paraId="4C02CA37">
            <w:pPr>
              <w:jc w:val="center"/>
              <w:rPr>
                <w:sz w:val="22"/>
                <w:szCs w:val="22"/>
              </w:rPr>
            </w:pPr>
            <w:r>
              <w:rPr>
                <w:sz w:val="22"/>
                <w:szCs w:val="22"/>
              </w:rPr>
              <w:t>1.749.600.000</w:t>
            </w:r>
          </w:p>
        </w:tc>
        <w:tc>
          <w:tcPr>
            <w:tcW w:w="1700" w:type="dxa"/>
            <w:noWrap/>
            <w:vAlign w:val="center"/>
          </w:tcPr>
          <w:p w14:paraId="22146FC8">
            <w:pPr>
              <w:jc w:val="center"/>
              <w:rPr>
                <w:sz w:val="22"/>
                <w:szCs w:val="22"/>
              </w:rPr>
            </w:pPr>
            <w:r>
              <w:rPr>
                <w:sz w:val="22"/>
                <w:szCs w:val="22"/>
              </w:rPr>
              <w:t>1.926.500.000</w:t>
            </w:r>
          </w:p>
        </w:tc>
        <w:tc>
          <w:tcPr>
            <w:tcW w:w="1140" w:type="dxa"/>
            <w:noWrap/>
            <w:vAlign w:val="center"/>
          </w:tcPr>
          <w:p w14:paraId="0511104B">
            <w:pPr>
              <w:jc w:val="center"/>
              <w:rPr>
                <w:sz w:val="22"/>
                <w:szCs w:val="22"/>
              </w:rPr>
            </w:pPr>
            <w:r>
              <w:rPr>
                <w:sz w:val="22"/>
                <w:szCs w:val="22"/>
              </w:rPr>
              <w:t>1,10%</w:t>
            </w:r>
          </w:p>
        </w:tc>
      </w:tr>
      <w:tr w14:paraId="0407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5E3B189">
            <w:pPr>
              <w:jc w:val="center"/>
              <w:rPr>
                <w:sz w:val="22"/>
                <w:szCs w:val="22"/>
              </w:rPr>
            </w:pPr>
            <w:r>
              <w:rPr>
                <w:sz w:val="22"/>
                <w:szCs w:val="22"/>
              </w:rPr>
              <w:t>8</w:t>
            </w:r>
          </w:p>
        </w:tc>
        <w:tc>
          <w:tcPr>
            <w:tcW w:w="1752" w:type="dxa"/>
            <w:noWrap/>
            <w:vAlign w:val="center"/>
          </w:tcPr>
          <w:p w14:paraId="0B1E85DA">
            <w:pPr>
              <w:jc w:val="center"/>
              <w:rPr>
                <w:sz w:val="22"/>
                <w:szCs w:val="22"/>
              </w:rPr>
            </w:pPr>
          </w:p>
        </w:tc>
        <w:tc>
          <w:tcPr>
            <w:tcW w:w="944" w:type="dxa"/>
            <w:vMerge w:val="continue"/>
            <w:vAlign w:val="center"/>
          </w:tcPr>
          <w:p w14:paraId="2D01AEB3">
            <w:pPr>
              <w:jc w:val="center"/>
              <w:rPr>
                <w:sz w:val="22"/>
                <w:szCs w:val="22"/>
              </w:rPr>
            </w:pPr>
          </w:p>
        </w:tc>
        <w:tc>
          <w:tcPr>
            <w:tcW w:w="1116" w:type="dxa"/>
            <w:vAlign w:val="center"/>
          </w:tcPr>
          <w:p w14:paraId="3497CCD7">
            <w:pPr>
              <w:jc w:val="center"/>
              <w:rPr>
                <w:sz w:val="22"/>
                <w:szCs w:val="22"/>
              </w:rPr>
            </w:pPr>
            <w:r>
              <w:rPr>
                <w:sz w:val="22"/>
                <w:szCs w:val="22"/>
              </w:rPr>
              <w:t>7</w:t>
            </w:r>
          </w:p>
        </w:tc>
        <w:tc>
          <w:tcPr>
            <w:tcW w:w="1010" w:type="dxa"/>
            <w:noWrap/>
            <w:vAlign w:val="center"/>
          </w:tcPr>
          <w:p w14:paraId="3E9A1658">
            <w:pPr>
              <w:jc w:val="center"/>
              <w:rPr>
                <w:sz w:val="22"/>
                <w:szCs w:val="22"/>
              </w:rPr>
            </w:pPr>
            <w:r>
              <w:rPr>
                <w:sz w:val="22"/>
                <w:szCs w:val="22"/>
              </w:rPr>
              <w:t>120,00</w:t>
            </w:r>
          </w:p>
        </w:tc>
        <w:tc>
          <w:tcPr>
            <w:tcW w:w="1591" w:type="dxa"/>
            <w:noWrap/>
            <w:vAlign w:val="center"/>
          </w:tcPr>
          <w:p w14:paraId="3857F753">
            <w:pPr>
              <w:jc w:val="center"/>
              <w:rPr>
                <w:sz w:val="22"/>
                <w:szCs w:val="22"/>
              </w:rPr>
            </w:pPr>
            <w:r>
              <w:rPr>
                <w:sz w:val="22"/>
                <w:szCs w:val="22"/>
              </w:rPr>
              <w:t>960.000.000</w:t>
            </w:r>
          </w:p>
        </w:tc>
        <w:tc>
          <w:tcPr>
            <w:tcW w:w="1700" w:type="dxa"/>
            <w:noWrap/>
            <w:vAlign w:val="center"/>
          </w:tcPr>
          <w:p w14:paraId="21B7FE53">
            <w:pPr>
              <w:jc w:val="center"/>
              <w:rPr>
                <w:sz w:val="22"/>
                <w:szCs w:val="22"/>
              </w:rPr>
            </w:pPr>
            <w:r>
              <w:rPr>
                <w:sz w:val="22"/>
                <w:szCs w:val="22"/>
              </w:rPr>
              <w:t>1.157.500.000</w:t>
            </w:r>
          </w:p>
        </w:tc>
        <w:tc>
          <w:tcPr>
            <w:tcW w:w="1140" w:type="dxa"/>
            <w:noWrap/>
            <w:vAlign w:val="center"/>
          </w:tcPr>
          <w:p w14:paraId="2AA48175">
            <w:pPr>
              <w:jc w:val="center"/>
              <w:rPr>
                <w:sz w:val="22"/>
                <w:szCs w:val="22"/>
              </w:rPr>
            </w:pPr>
            <w:r>
              <w:rPr>
                <w:sz w:val="22"/>
                <w:szCs w:val="22"/>
              </w:rPr>
              <w:t>1,21%</w:t>
            </w:r>
          </w:p>
        </w:tc>
      </w:tr>
      <w:tr w14:paraId="4746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27DE284">
            <w:pPr>
              <w:jc w:val="center"/>
              <w:rPr>
                <w:sz w:val="22"/>
                <w:szCs w:val="22"/>
              </w:rPr>
            </w:pPr>
            <w:r>
              <w:rPr>
                <w:sz w:val="22"/>
                <w:szCs w:val="22"/>
              </w:rPr>
              <w:t>9</w:t>
            </w:r>
          </w:p>
        </w:tc>
        <w:tc>
          <w:tcPr>
            <w:tcW w:w="1752" w:type="dxa"/>
            <w:noWrap/>
            <w:vAlign w:val="center"/>
          </w:tcPr>
          <w:p w14:paraId="5267B439">
            <w:pPr>
              <w:jc w:val="center"/>
              <w:rPr>
                <w:sz w:val="22"/>
                <w:szCs w:val="22"/>
              </w:rPr>
            </w:pPr>
          </w:p>
        </w:tc>
        <w:tc>
          <w:tcPr>
            <w:tcW w:w="944" w:type="dxa"/>
            <w:vMerge w:val="continue"/>
            <w:vAlign w:val="center"/>
          </w:tcPr>
          <w:p w14:paraId="6F79D97A">
            <w:pPr>
              <w:jc w:val="center"/>
              <w:rPr>
                <w:sz w:val="22"/>
                <w:szCs w:val="22"/>
              </w:rPr>
            </w:pPr>
          </w:p>
        </w:tc>
        <w:tc>
          <w:tcPr>
            <w:tcW w:w="1116" w:type="dxa"/>
            <w:vAlign w:val="center"/>
          </w:tcPr>
          <w:p w14:paraId="3099174E">
            <w:pPr>
              <w:jc w:val="center"/>
              <w:rPr>
                <w:sz w:val="22"/>
                <w:szCs w:val="22"/>
              </w:rPr>
            </w:pPr>
            <w:r>
              <w:rPr>
                <w:sz w:val="22"/>
                <w:szCs w:val="22"/>
              </w:rPr>
              <w:t>8</w:t>
            </w:r>
          </w:p>
        </w:tc>
        <w:tc>
          <w:tcPr>
            <w:tcW w:w="1010" w:type="dxa"/>
            <w:noWrap/>
            <w:vAlign w:val="center"/>
          </w:tcPr>
          <w:p w14:paraId="7C1FDA15">
            <w:pPr>
              <w:jc w:val="center"/>
              <w:rPr>
                <w:sz w:val="22"/>
                <w:szCs w:val="22"/>
              </w:rPr>
            </w:pPr>
            <w:r>
              <w:rPr>
                <w:sz w:val="22"/>
                <w:szCs w:val="22"/>
              </w:rPr>
              <w:t>120,00</w:t>
            </w:r>
          </w:p>
        </w:tc>
        <w:tc>
          <w:tcPr>
            <w:tcW w:w="1591" w:type="dxa"/>
            <w:noWrap/>
            <w:vAlign w:val="center"/>
          </w:tcPr>
          <w:p w14:paraId="6CFE5428">
            <w:pPr>
              <w:jc w:val="center"/>
              <w:rPr>
                <w:sz w:val="22"/>
                <w:szCs w:val="22"/>
              </w:rPr>
            </w:pPr>
            <w:r>
              <w:rPr>
                <w:sz w:val="22"/>
                <w:szCs w:val="22"/>
              </w:rPr>
              <w:t>960.000.000</w:t>
            </w:r>
          </w:p>
        </w:tc>
        <w:tc>
          <w:tcPr>
            <w:tcW w:w="1700" w:type="dxa"/>
            <w:noWrap/>
            <w:vAlign w:val="center"/>
          </w:tcPr>
          <w:p w14:paraId="73EF7E89">
            <w:pPr>
              <w:jc w:val="center"/>
              <w:rPr>
                <w:sz w:val="22"/>
                <w:szCs w:val="22"/>
              </w:rPr>
            </w:pPr>
            <w:r>
              <w:rPr>
                <w:sz w:val="22"/>
                <w:szCs w:val="22"/>
              </w:rPr>
              <w:t>1.119.100.000</w:t>
            </w:r>
          </w:p>
        </w:tc>
        <w:tc>
          <w:tcPr>
            <w:tcW w:w="1140" w:type="dxa"/>
            <w:noWrap/>
            <w:vAlign w:val="center"/>
          </w:tcPr>
          <w:p w14:paraId="45D63F49">
            <w:pPr>
              <w:jc w:val="center"/>
              <w:rPr>
                <w:sz w:val="22"/>
                <w:szCs w:val="22"/>
              </w:rPr>
            </w:pPr>
            <w:r>
              <w:rPr>
                <w:sz w:val="22"/>
                <w:szCs w:val="22"/>
              </w:rPr>
              <w:t>1,17%</w:t>
            </w:r>
          </w:p>
        </w:tc>
      </w:tr>
      <w:tr w14:paraId="1C6B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E8967AD">
            <w:pPr>
              <w:jc w:val="center"/>
              <w:rPr>
                <w:sz w:val="22"/>
                <w:szCs w:val="22"/>
              </w:rPr>
            </w:pPr>
            <w:r>
              <w:rPr>
                <w:sz w:val="22"/>
                <w:szCs w:val="22"/>
              </w:rPr>
              <w:t>10</w:t>
            </w:r>
          </w:p>
        </w:tc>
        <w:tc>
          <w:tcPr>
            <w:tcW w:w="1752" w:type="dxa"/>
            <w:noWrap/>
            <w:vAlign w:val="center"/>
          </w:tcPr>
          <w:p w14:paraId="785B4B9C">
            <w:pPr>
              <w:jc w:val="center"/>
              <w:rPr>
                <w:sz w:val="22"/>
                <w:szCs w:val="22"/>
              </w:rPr>
            </w:pPr>
          </w:p>
        </w:tc>
        <w:tc>
          <w:tcPr>
            <w:tcW w:w="944" w:type="dxa"/>
            <w:vMerge w:val="continue"/>
            <w:vAlign w:val="center"/>
          </w:tcPr>
          <w:p w14:paraId="617091F0">
            <w:pPr>
              <w:jc w:val="center"/>
              <w:rPr>
                <w:sz w:val="22"/>
                <w:szCs w:val="22"/>
              </w:rPr>
            </w:pPr>
          </w:p>
        </w:tc>
        <w:tc>
          <w:tcPr>
            <w:tcW w:w="1116" w:type="dxa"/>
            <w:vAlign w:val="center"/>
          </w:tcPr>
          <w:p w14:paraId="369B7E2D">
            <w:pPr>
              <w:jc w:val="center"/>
              <w:rPr>
                <w:sz w:val="22"/>
                <w:szCs w:val="22"/>
              </w:rPr>
            </w:pPr>
            <w:r>
              <w:rPr>
                <w:sz w:val="22"/>
                <w:szCs w:val="22"/>
              </w:rPr>
              <w:t>9</w:t>
            </w:r>
          </w:p>
        </w:tc>
        <w:tc>
          <w:tcPr>
            <w:tcW w:w="1010" w:type="dxa"/>
            <w:noWrap/>
            <w:vAlign w:val="center"/>
          </w:tcPr>
          <w:p w14:paraId="064463F6">
            <w:pPr>
              <w:jc w:val="center"/>
              <w:rPr>
                <w:sz w:val="22"/>
                <w:szCs w:val="22"/>
              </w:rPr>
            </w:pPr>
            <w:r>
              <w:rPr>
                <w:sz w:val="22"/>
                <w:szCs w:val="22"/>
              </w:rPr>
              <w:t>120,00</w:t>
            </w:r>
          </w:p>
        </w:tc>
        <w:tc>
          <w:tcPr>
            <w:tcW w:w="1591" w:type="dxa"/>
            <w:noWrap/>
            <w:vAlign w:val="center"/>
          </w:tcPr>
          <w:p w14:paraId="08BB7F28">
            <w:pPr>
              <w:jc w:val="center"/>
              <w:rPr>
                <w:sz w:val="22"/>
                <w:szCs w:val="22"/>
              </w:rPr>
            </w:pPr>
            <w:r>
              <w:rPr>
                <w:sz w:val="22"/>
                <w:szCs w:val="22"/>
              </w:rPr>
              <w:t>960.000.000</w:t>
            </w:r>
          </w:p>
        </w:tc>
        <w:tc>
          <w:tcPr>
            <w:tcW w:w="1700" w:type="dxa"/>
            <w:noWrap/>
            <w:vAlign w:val="center"/>
          </w:tcPr>
          <w:p w14:paraId="1C09CA25">
            <w:pPr>
              <w:jc w:val="center"/>
              <w:rPr>
                <w:sz w:val="22"/>
                <w:szCs w:val="22"/>
              </w:rPr>
            </w:pPr>
            <w:r>
              <w:rPr>
                <w:sz w:val="22"/>
                <w:szCs w:val="22"/>
              </w:rPr>
              <w:t>1.087.200.000</w:t>
            </w:r>
          </w:p>
        </w:tc>
        <w:tc>
          <w:tcPr>
            <w:tcW w:w="1140" w:type="dxa"/>
            <w:noWrap/>
            <w:vAlign w:val="center"/>
          </w:tcPr>
          <w:p w14:paraId="3E9CB227">
            <w:pPr>
              <w:jc w:val="center"/>
              <w:rPr>
                <w:sz w:val="22"/>
                <w:szCs w:val="22"/>
              </w:rPr>
            </w:pPr>
            <w:r>
              <w:rPr>
                <w:sz w:val="22"/>
                <w:szCs w:val="22"/>
              </w:rPr>
              <w:t>1,13%</w:t>
            </w:r>
          </w:p>
        </w:tc>
      </w:tr>
      <w:tr w14:paraId="69DD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B34873D">
            <w:pPr>
              <w:jc w:val="center"/>
              <w:rPr>
                <w:sz w:val="22"/>
                <w:szCs w:val="22"/>
              </w:rPr>
            </w:pPr>
            <w:r>
              <w:rPr>
                <w:sz w:val="22"/>
                <w:szCs w:val="22"/>
              </w:rPr>
              <w:t>11</w:t>
            </w:r>
          </w:p>
        </w:tc>
        <w:tc>
          <w:tcPr>
            <w:tcW w:w="1752" w:type="dxa"/>
            <w:noWrap/>
            <w:vAlign w:val="center"/>
          </w:tcPr>
          <w:p w14:paraId="093506D4">
            <w:pPr>
              <w:jc w:val="center"/>
              <w:rPr>
                <w:sz w:val="22"/>
                <w:szCs w:val="22"/>
              </w:rPr>
            </w:pPr>
          </w:p>
        </w:tc>
        <w:tc>
          <w:tcPr>
            <w:tcW w:w="944" w:type="dxa"/>
            <w:vMerge w:val="continue"/>
            <w:vAlign w:val="center"/>
          </w:tcPr>
          <w:p w14:paraId="5253BA6C">
            <w:pPr>
              <w:jc w:val="center"/>
              <w:rPr>
                <w:sz w:val="22"/>
                <w:szCs w:val="22"/>
              </w:rPr>
            </w:pPr>
          </w:p>
        </w:tc>
        <w:tc>
          <w:tcPr>
            <w:tcW w:w="1116" w:type="dxa"/>
            <w:vAlign w:val="center"/>
          </w:tcPr>
          <w:p w14:paraId="71239F0B">
            <w:pPr>
              <w:jc w:val="center"/>
              <w:rPr>
                <w:sz w:val="22"/>
                <w:szCs w:val="22"/>
              </w:rPr>
            </w:pPr>
            <w:r>
              <w:rPr>
                <w:sz w:val="22"/>
                <w:szCs w:val="22"/>
              </w:rPr>
              <w:t>10</w:t>
            </w:r>
          </w:p>
        </w:tc>
        <w:tc>
          <w:tcPr>
            <w:tcW w:w="1010" w:type="dxa"/>
            <w:noWrap/>
            <w:vAlign w:val="center"/>
          </w:tcPr>
          <w:p w14:paraId="7E9952B7">
            <w:pPr>
              <w:jc w:val="center"/>
              <w:rPr>
                <w:sz w:val="22"/>
                <w:szCs w:val="22"/>
              </w:rPr>
            </w:pPr>
            <w:r>
              <w:rPr>
                <w:sz w:val="22"/>
                <w:szCs w:val="22"/>
              </w:rPr>
              <w:t>120,00</w:t>
            </w:r>
          </w:p>
        </w:tc>
        <w:tc>
          <w:tcPr>
            <w:tcW w:w="1591" w:type="dxa"/>
            <w:noWrap/>
            <w:vAlign w:val="center"/>
          </w:tcPr>
          <w:p w14:paraId="5B074212">
            <w:pPr>
              <w:jc w:val="center"/>
              <w:rPr>
                <w:sz w:val="22"/>
                <w:szCs w:val="22"/>
              </w:rPr>
            </w:pPr>
            <w:r>
              <w:rPr>
                <w:sz w:val="22"/>
                <w:szCs w:val="22"/>
              </w:rPr>
              <w:t>960.000.000</w:t>
            </w:r>
          </w:p>
        </w:tc>
        <w:tc>
          <w:tcPr>
            <w:tcW w:w="1700" w:type="dxa"/>
            <w:noWrap/>
            <w:vAlign w:val="center"/>
          </w:tcPr>
          <w:p w14:paraId="407E95AA">
            <w:pPr>
              <w:jc w:val="center"/>
              <w:rPr>
                <w:sz w:val="22"/>
                <w:szCs w:val="22"/>
              </w:rPr>
            </w:pPr>
            <w:r>
              <w:rPr>
                <w:sz w:val="22"/>
                <w:szCs w:val="22"/>
              </w:rPr>
              <w:t>1.117.500.000</w:t>
            </w:r>
          </w:p>
        </w:tc>
        <w:tc>
          <w:tcPr>
            <w:tcW w:w="1140" w:type="dxa"/>
            <w:noWrap/>
            <w:vAlign w:val="center"/>
          </w:tcPr>
          <w:p w14:paraId="53406E87">
            <w:pPr>
              <w:jc w:val="center"/>
              <w:rPr>
                <w:sz w:val="22"/>
                <w:szCs w:val="22"/>
              </w:rPr>
            </w:pPr>
            <w:r>
              <w:rPr>
                <w:sz w:val="22"/>
                <w:szCs w:val="22"/>
              </w:rPr>
              <w:t>1,16%</w:t>
            </w:r>
          </w:p>
        </w:tc>
      </w:tr>
      <w:tr w14:paraId="6359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0648CDB">
            <w:pPr>
              <w:jc w:val="center"/>
              <w:rPr>
                <w:sz w:val="22"/>
                <w:szCs w:val="22"/>
              </w:rPr>
            </w:pPr>
            <w:r>
              <w:rPr>
                <w:sz w:val="22"/>
                <w:szCs w:val="22"/>
              </w:rPr>
              <w:t>12</w:t>
            </w:r>
          </w:p>
        </w:tc>
        <w:tc>
          <w:tcPr>
            <w:tcW w:w="1752" w:type="dxa"/>
            <w:noWrap/>
            <w:vAlign w:val="center"/>
          </w:tcPr>
          <w:p w14:paraId="0C7CAA2B">
            <w:pPr>
              <w:jc w:val="center"/>
              <w:rPr>
                <w:sz w:val="22"/>
                <w:szCs w:val="22"/>
              </w:rPr>
            </w:pPr>
          </w:p>
        </w:tc>
        <w:tc>
          <w:tcPr>
            <w:tcW w:w="944" w:type="dxa"/>
            <w:vMerge w:val="continue"/>
            <w:vAlign w:val="center"/>
          </w:tcPr>
          <w:p w14:paraId="2598E9B9">
            <w:pPr>
              <w:jc w:val="center"/>
              <w:rPr>
                <w:sz w:val="22"/>
                <w:szCs w:val="22"/>
              </w:rPr>
            </w:pPr>
          </w:p>
        </w:tc>
        <w:tc>
          <w:tcPr>
            <w:tcW w:w="1116" w:type="dxa"/>
            <w:vAlign w:val="center"/>
          </w:tcPr>
          <w:p w14:paraId="764B1739">
            <w:pPr>
              <w:jc w:val="center"/>
              <w:rPr>
                <w:sz w:val="22"/>
                <w:szCs w:val="22"/>
              </w:rPr>
            </w:pPr>
            <w:r>
              <w:rPr>
                <w:sz w:val="22"/>
                <w:szCs w:val="22"/>
              </w:rPr>
              <w:t>11</w:t>
            </w:r>
          </w:p>
        </w:tc>
        <w:tc>
          <w:tcPr>
            <w:tcW w:w="1010" w:type="dxa"/>
            <w:noWrap/>
            <w:vAlign w:val="center"/>
          </w:tcPr>
          <w:p w14:paraId="39C6EEAD">
            <w:pPr>
              <w:jc w:val="center"/>
              <w:rPr>
                <w:sz w:val="22"/>
                <w:szCs w:val="22"/>
              </w:rPr>
            </w:pPr>
            <w:r>
              <w:rPr>
                <w:sz w:val="22"/>
                <w:szCs w:val="22"/>
              </w:rPr>
              <w:t>120,00</w:t>
            </w:r>
          </w:p>
        </w:tc>
        <w:tc>
          <w:tcPr>
            <w:tcW w:w="1591" w:type="dxa"/>
            <w:noWrap/>
            <w:vAlign w:val="center"/>
          </w:tcPr>
          <w:p w14:paraId="1FBF3E30">
            <w:pPr>
              <w:jc w:val="center"/>
              <w:rPr>
                <w:sz w:val="22"/>
                <w:szCs w:val="22"/>
              </w:rPr>
            </w:pPr>
            <w:r>
              <w:rPr>
                <w:sz w:val="22"/>
                <w:szCs w:val="22"/>
              </w:rPr>
              <w:t>960.000.000</w:t>
            </w:r>
          </w:p>
        </w:tc>
        <w:tc>
          <w:tcPr>
            <w:tcW w:w="1700" w:type="dxa"/>
            <w:noWrap/>
            <w:vAlign w:val="center"/>
          </w:tcPr>
          <w:p w14:paraId="06C17B07">
            <w:pPr>
              <w:jc w:val="center"/>
              <w:rPr>
                <w:sz w:val="22"/>
                <w:szCs w:val="22"/>
              </w:rPr>
            </w:pPr>
            <w:r>
              <w:rPr>
                <w:sz w:val="22"/>
                <w:szCs w:val="22"/>
              </w:rPr>
              <w:t>1.117.500.000</w:t>
            </w:r>
          </w:p>
        </w:tc>
        <w:tc>
          <w:tcPr>
            <w:tcW w:w="1140" w:type="dxa"/>
            <w:noWrap/>
            <w:vAlign w:val="center"/>
          </w:tcPr>
          <w:p w14:paraId="479968E0">
            <w:pPr>
              <w:jc w:val="center"/>
              <w:rPr>
                <w:sz w:val="22"/>
                <w:szCs w:val="22"/>
              </w:rPr>
            </w:pPr>
            <w:r>
              <w:rPr>
                <w:sz w:val="22"/>
                <w:szCs w:val="22"/>
              </w:rPr>
              <w:t>1,16%</w:t>
            </w:r>
          </w:p>
        </w:tc>
      </w:tr>
      <w:tr w14:paraId="44A2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F707DC3">
            <w:pPr>
              <w:jc w:val="center"/>
              <w:rPr>
                <w:sz w:val="22"/>
                <w:szCs w:val="22"/>
              </w:rPr>
            </w:pPr>
            <w:r>
              <w:rPr>
                <w:sz w:val="22"/>
                <w:szCs w:val="22"/>
              </w:rPr>
              <w:t>13</w:t>
            </w:r>
          </w:p>
        </w:tc>
        <w:tc>
          <w:tcPr>
            <w:tcW w:w="1752" w:type="dxa"/>
            <w:noWrap/>
            <w:vAlign w:val="center"/>
          </w:tcPr>
          <w:p w14:paraId="49959E12">
            <w:pPr>
              <w:jc w:val="center"/>
              <w:rPr>
                <w:sz w:val="22"/>
                <w:szCs w:val="22"/>
              </w:rPr>
            </w:pPr>
          </w:p>
        </w:tc>
        <w:tc>
          <w:tcPr>
            <w:tcW w:w="944" w:type="dxa"/>
            <w:vMerge w:val="continue"/>
            <w:vAlign w:val="center"/>
          </w:tcPr>
          <w:p w14:paraId="0BDDF8AD">
            <w:pPr>
              <w:jc w:val="center"/>
              <w:rPr>
                <w:sz w:val="22"/>
                <w:szCs w:val="22"/>
              </w:rPr>
            </w:pPr>
          </w:p>
        </w:tc>
        <w:tc>
          <w:tcPr>
            <w:tcW w:w="1116" w:type="dxa"/>
            <w:vAlign w:val="center"/>
          </w:tcPr>
          <w:p w14:paraId="5D99BA0C">
            <w:pPr>
              <w:jc w:val="center"/>
              <w:rPr>
                <w:sz w:val="22"/>
                <w:szCs w:val="22"/>
              </w:rPr>
            </w:pPr>
            <w:r>
              <w:rPr>
                <w:sz w:val="22"/>
                <w:szCs w:val="22"/>
              </w:rPr>
              <w:t>12</w:t>
            </w:r>
          </w:p>
        </w:tc>
        <w:tc>
          <w:tcPr>
            <w:tcW w:w="1010" w:type="dxa"/>
            <w:noWrap/>
            <w:vAlign w:val="center"/>
          </w:tcPr>
          <w:p w14:paraId="6D8336D9">
            <w:pPr>
              <w:jc w:val="center"/>
              <w:rPr>
                <w:sz w:val="22"/>
                <w:szCs w:val="22"/>
              </w:rPr>
            </w:pPr>
            <w:r>
              <w:rPr>
                <w:sz w:val="22"/>
                <w:szCs w:val="22"/>
              </w:rPr>
              <w:t>120,00</w:t>
            </w:r>
          </w:p>
        </w:tc>
        <w:tc>
          <w:tcPr>
            <w:tcW w:w="1591" w:type="dxa"/>
            <w:noWrap/>
            <w:vAlign w:val="center"/>
          </w:tcPr>
          <w:p w14:paraId="5DDC1087">
            <w:pPr>
              <w:jc w:val="center"/>
              <w:rPr>
                <w:sz w:val="22"/>
                <w:szCs w:val="22"/>
              </w:rPr>
            </w:pPr>
            <w:r>
              <w:rPr>
                <w:sz w:val="22"/>
                <w:szCs w:val="22"/>
              </w:rPr>
              <w:t>960.000.000</w:t>
            </w:r>
          </w:p>
        </w:tc>
        <w:tc>
          <w:tcPr>
            <w:tcW w:w="1700" w:type="dxa"/>
            <w:noWrap/>
            <w:vAlign w:val="center"/>
          </w:tcPr>
          <w:p w14:paraId="5E72E1E2">
            <w:pPr>
              <w:jc w:val="center"/>
              <w:rPr>
                <w:sz w:val="22"/>
                <w:szCs w:val="22"/>
              </w:rPr>
            </w:pPr>
            <w:r>
              <w:rPr>
                <w:sz w:val="22"/>
                <w:szCs w:val="22"/>
              </w:rPr>
              <w:t>1.108.500.000</w:t>
            </w:r>
          </w:p>
        </w:tc>
        <w:tc>
          <w:tcPr>
            <w:tcW w:w="1140" w:type="dxa"/>
            <w:noWrap/>
            <w:vAlign w:val="center"/>
          </w:tcPr>
          <w:p w14:paraId="785088F1">
            <w:pPr>
              <w:jc w:val="center"/>
              <w:rPr>
                <w:sz w:val="22"/>
                <w:szCs w:val="22"/>
              </w:rPr>
            </w:pPr>
            <w:r>
              <w:rPr>
                <w:sz w:val="22"/>
                <w:szCs w:val="22"/>
              </w:rPr>
              <w:t>1,15%</w:t>
            </w:r>
          </w:p>
        </w:tc>
      </w:tr>
      <w:tr w14:paraId="45A6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B95BBFB">
            <w:pPr>
              <w:jc w:val="center"/>
              <w:rPr>
                <w:sz w:val="22"/>
                <w:szCs w:val="22"/>
              </w:rPr>
            </w:pPr>
            <w:r>
              <w:rPr>
                <w:sz w:val="22"/>
                <w:szCs w:val="22"/>
              </w:rPr>
              <w:t>14</w:t>
            </w:r>
          </w:p>
        </w:tc>
        <w:tc>
          <w:tcPr>
            <w:tcW w:w="1752" w:type="dxa"/>
            <w:noWrap/>
            <w:vAlign w:val="center"/>
          </w:tcPr>
          <w:p w14:paraId="2A595251">
            <w:pPr>
              <w:jc w:val="center"/>
              <w:rPr>
                <w:sz w:val="22"/>
                <w:szCs w:val="22"/>
              </w:rPr>
            </w:pPr>
          </w:p>
        </w:tc>
        <w:tc>
          <w:tcPr>
            <w:tcW w:w="944" w:type="dxa"/>
            <w:vMerge w:val="continue"/>
            <w:vAlign w:val="center"/>
          </w:tcPr>
          <w:p w14:paraId="3FB7C7DD">
            <w:pPr>
              <w:jc w:val="center"/>
              <w:rPr>
                <w:sz w:val="22"/>
                <w:szCs w:val="22"/>
              </w:rPr>
            </w:pPr>
          </w:p>
        </w:tc>
        <w:tc>
          <w:tcPr>
            <w:tcW w:w="1116" w:type="dxa"/>
            <w:vAlign w:val="center"/>
          </w:tcPr>
          <w:p w14:paraId="087B4C58">
            <w:pPr>
              <w:jc w:val="center"/>
              <w:rPr>
                <w:sz w:val="22"/>
                <w:szCs w:val="22"/>
              </w:rPr>
            </w:pPr>
            <w:r>
              <w:rPr>
                <w:sz w:val="22"/>
                <w:szCs w:val="22"/>
              </w:rPr>
              <w:t>13</w:t>
            </w:r>
          </w:p>
        </w:tc>
        <w:tc>
          <w:tcPr>
            <w:tcW w:w="1010" w:type="dxa"/>
            <w:noWrap/>
            <w:vAlign w:val="center"/>
          </w:tcPr>
          <w:p w14:paraId="7D2C8463">
            <w:pPr>
              <w:jc w:val="center"/>
              <w:rPr>
                <w:sz w:val="22"/>
                <w:szCs w:val="22"/>
              </w:rPr>
            </w:pPr>
            <w:r>
              <w:rPr>
                <w:sz w:val="22"/>
                <w:szCs w:val="22"/>
              </w:rPr>
              <w:t>120,00</w:t>
            </w:r>
          </w:p>
        </w:tc>
        <w:tc>
          <w:tcPr>
            <w:tcW w:w="1591" w:type="dxa"/>
            <w:noWrap/>
            <w:vAlign w:val="center"/>
          </w:tcPr>
          <w:p w14:paraId="2FDFC18D">
            <w:pPr>
              <w:jc w:val="center"/>
              <w:rPr>
                <w:sz w:val="22"/>
                <w:szCs w:val="22"/>
              </w:rPr>
            </w:pPr>
            <w:r>
              <w:rPr>
                <w:sz w:val="22"/>
                <w:szCs w:val="22"/>
              </w:rPr>
              <w:t>960.000.000</w:t>
            </w:r>
          </w:p>
        </w:tc>
        <w:tc>
          <w:tcPr>
            <w:tcW w:w="1700" w:type="dxa"/>
            <w:noWrap/>
            <w:vAlign w:val="center"/>
          </w:tcPr>
          <w:p w14:paraId="3611142B">
            <w:pPr>
              <w:jc w:val="center"/>
              <w:rPr>
                <w:sz w:val="22"/>
                <w:szCs w:val="22"/>
              </w:rPr>
            </w:pPr>
            <w:r>
              <w:rPr>
                <w:sz w:val="22"/>
                <w:szCs w:val="22"/>
              </w:rPr>
              <w:t>1.105.500.000</w:t>
            </w:r>
          </w:p>
        </w:tc>
        <w:tc>
          <w:tcPr>
            <w:tcW w:w="1140" w:type="dxa"/>
            <w:noWrap/>
            <w:vAlign w:val="center"/>
          </w:tcPr>
          <w:p w14:paraId="483F7636">
            <w:pPr>
              <w:jc w:val="center"/>
              <w:rPr>
                <w:sz w:val="22"/>
                <w:szCs w:val="22"/>
              </w:rPr>
            </w:pPr>
            <w:r>
              <w:rPr>
                <w:sz w:val="22"/>
                <w:szCs w:val="22"/>
              </w:rPr>
              <w:t>1,15%</w:t>
            </w:r>
          </w:p>
        </w:tc>
      </w:tr>
      <w:tr w14:paraId="4159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8FEE95F">
            <w:pPr>
              <w:jc w:val="center"/>
              <w:rPr>
                <w:sz w:val="22"/>
                <w:szCs w:val="22"/>
              </w:rPr>
            </w:pPr>
            <w:r>
              <w:rPr>
                <w:sz w:val="22"/>
                <w:szCs w:val="22"/>
              </w:rPr>
              <w:t>15</w:t>
            </w:r>
          </w:p>
        </w:tc>
        <w:tc>
          <w:tcPr>
            <w:tcW w:w="1752" w:type="dxa"/>
            <w:noWrap/>
            <w:vAlign w:val="center"/>
          </w:tcPr>
          <w:p w14:paraId="564BA492">
            <w:pPr>
              <w:jc w:val="center"/>
              <w:rPr>
                <w:sz w:val="22"/>
                <w:szCs w:val="22"/>
              </w:rPr>
            </w:pPr>
          </w:p>
        </w:tc>
        <w:tc>
          <w:tcPr>
            <w:tcW w:w="944" w:type="dxa"/>
            <w:vMerge w:val="continue"/>
            <w:vAlign w:val="center"/>
          </w:tcPr>
          <w:p w14:paraId="2EF564AF">
            <w:pPr>
              <w:jc w:val="center"/>
              <w:rPr>
                <w:sz w:val="22"/>
                <w:szCs w:val="22"/>
              </w:rPr>
            </w:pPr>
          </w:p>
        </w:tc>
        <w:tc>
          <w:tcPr>
            <w:tcW w:w="1116" w:type="dxa"/>
            <w:vAlign w:val="center"/>
          </w:tcPr>
          <w:p w14:paraId="172459C7">
            <w:pPr>
              <w:jc w:val="center"/>
              <w:rPr>
                <w:sz w:val="22"/>
                <w:szCs w:val="22"/>
              </w:rPr>
            </w:pPr>
            <w:r>
              <w:rPr>
                <w:sz w:val="22"/>
                <w:szCs w:val="22"/>
              </w:rPr>
              <w:t>14</w:t>
            </w:r>
          </w:p>
        </w:tc>
        <w:tc>
          <w:tcPr>
            <w:tcW w:w="1010" w:type="dxa"/>
            <w:noWrap/>
            <w:vAlign w:val="center"/>
          </w:tcPr>
          <w:p w14:paraId="6894F6B7">
            <w:pPr>
              <w:jc w:val="center"/>
              <w:rPr>
                <w:sz w:val="22"/>
                <w:szCs w:val="22"/>
              </w:rPr>
            </w:pPr>
            <w:r>
              <w:rPr>
                <w:sz w:val="22"/>
                <w:szCs w:val="22"/>
              </w:rPr>
              <w:t>120,00</w:t>
            </w:r>
          </w:p>
        </w:tc>
        <w:tc>
          <w:tcPr>
            <w:tcW w:w="1591" w:type="dxa"/>
            <w:noWrap/>
            <w:vAlign w:val="center"/>
          </w:tcPr>
          <w:p w14:paraId="35C9B900">
            <w:pPr>
              <w:jc w:val="center"/>
              <w:rPr>
                <w:sz w:val="22"/>
                <w:szCs w:val="22"/>
              </w:rPr>
            </w:pPr>
            <w:r>
              <w:rPr>
                <w:sz w:val="22"/>
                <w:szCs w:val="22"/>
              </w:rPr>
              <w:t>960.000.000</w:t>
            </w:r>
          </w:p>
        </w:tc>
        <w:tc>
          <w:tcPr>
            <w:tcW w:w="1700" w:type="dxa"/>
            <w:noWrap/>
            <w:vAlign w:val="center"/>
          </w:tcPr>
          <w:p w14:paraId="16CB0BC5">
            <w:pPr>
              <w:jc w:val="center"/>
              <w:rPr>
                <w:sz w:val="22"/>
                <w:szCs w:val="22"/>
              </w:rPr>
            </w:pPr>
            <w:r>
              <w:rPr>
                <w:sz w:val="22"/>
                <w:szCs w:val="22"/>
              </w:rPr>
              <w:t>1.105.500.000</w:t>
            </w:r>
          </w:p>
        </w:tc>
        <w:tc>
          <w:tcPr>
            <w:tcW w:w="1140" w:type="dxa"/>
            <w:noWrap/>
            <w:vAlign w:val="center"/>
          </w:tcPr>
          <w:p w14:paraId="068F4515">
            <w:pPr>
              <w:jc w:val="center"/>
              <w:rPr>
                <w:sz w:val="22"/>
                <w:szCs w:val="22"/>
              </w:rPr>
            </w:pPr>
            <w:r>
              <w:rPr>
                <w:sz w:val="22"/>
                <w:szCs w:val="22"/>
              </w:rPr>
              <w:t>1,15%</w:t>
            </w:r>
          </w:p>
        </w:tc>
      </w:tr>
      <w:tr w14:paraId="4802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3B8A57D">
            <w:pPr>
              <w:jc w:val="center"/>
              <w:rPr>
                <w:sz w:val="22"/>
                <w:szCs w:val="22"/>
              </w:rPr>
            </w:pPr>
            <w:r>
              <w:rPr>
                <w:sz w:val="22"/>
                <w:szCs w:val="22"/>
              </w:rPr>
              <w:t>16</w:t>
            </w:r>
          </w:p>
        </w:tc>
        <w:tc>
          <w:tcPr>
            <w:tcW w:w="1752" w:type="dxa"/>
            <w:noWrap/>
            <w:vAlign w:val="center"/>
          </w:tcPr>
          <w:p w14:paraId="4DB16F19">
            <w:pPr>
              <w:jc w:val="center"/>
              <w:rPr>
                <w:sz w:val="22"/>
                <w:szCs w:val="22"/>
              </w:rPr>
            </w:pPr>
          </w:p>
        </w:tc>
        <w:tc>
          <w:tcPr>
            <w:tcW w:w="944" w:type="dxa"/>
            <w:vMerge w:val="continue"/>
            <w:vAlign w:val="center"/>
          </w:tcPr>
          <w:p w14:paraId="2AFFDEE3">
            <w:pPr>
              <w:jc w:val="center"/>
              <w:rPr>
                <w:sz w:val="22"/>
                <w:szCs w:val="22"/>
              </w:rPr>
            </w:pPr>
          </w:p>
        </w:tc>
        <w:tc>
          <w:tcPr>
            <w:tcW w:w="1116" w:type="dxa"/>
            <w:vAlign w:val="center"/>
          </w:tcPr>
          <w:p w14:paraId="351664E9">
            <w:pPr>
              <w:jc w:val="center"/>
              <w:rPr>
                <w:sz w:val="22"/>
                <w:szCs w:val="22"/>
              </w:rPr>
            </w:pPr>
            <w:r>
              <w:rPr>
                <w:sz w:val="22"/>
                <w:szCs w:val="22"/>
              </w:rPr>
              <w:t>15</w:t>
            </w:r>
          </w:p>
        </w:tc>
        <w:tc>
          <w:tcPr>
            <w:tcW w:w="1010" w:type="dxa"/>
            <w:noWrap/>
            <w:vAlign w:val="center"/>
          </w:tcPr>
          <w:p w14:paraId="372A0C32">
            <w:pPr>
              <w:jc w:val="center"/>
              <w:rPr>
                <w:sz w:val="22"/>
                <w:szCs w:val="22"/>
              </w:rPr>
            </w:pPr>
            <w:r>
              <w:rPr>
                <w:sz w:val="22"/>
                <w:szCs w:val="22"/>
              </w:rPr>
              <w:t>120,00</w:t>
            </w:r>
          </w:p>
        </w:tc>
        <w:tc>
          <w:tcPr>
            <w:tcW w:w="1591" w:type="dxa"/>
            <w:noWrap/>
            <w:vAlign w:val="center"/>
          </w:tcPr>
          <w:p w14:paraId="6322B3ED">
            <w:pPr>
              <w:jc w:val="center"/>
              <w:rPr>
                <w:sz w:val="22"/>
                <w:szCs w:val="22"/>
              </w:rPr>
            </w:pPr>
            <w:r>
              <w:rPr>
                <w:sz w:val="22"/>
                <w:szCs w:val="22"/>
              </w:rPr>
              <w:t>960.000.000</w:t>
            </w:r>
          </w:p>
        </w:tc>
        <w:tc>
          <w:tcPr>
            <w:tcW w:w="1700" w:type="dxa"/>
            <w:noWrap/>
            <w:vAlign w:val="center"/>
          </w:tcPr>
          <w:p w14:paraId="455D7C2A">
            <w:pPr>
              <w:jc w:val="center"/>
              <w:rPr>
                <w:sz w:val="22"/>
                <w:szCs w:val="22"/>
              </w:rPr>
            </w:pPr>
            <w:r>
              <w:rPr>
                <w:sz w:val="22"/>
                <w:szCs w:val="22"/>
              </w:rPr>
              <w:t>1.111.300.000</w:t>
            </w:r>
          </w:p>
        </w:tc>
        <w:tc>
          <w:tcPr>
            <w:tcW w:w="1140" w:type="dxa"/>
            <w:noWrap/>
            <w:vAlign w:val="center"/>
          </w:tcPr>
          <w:p w14:paraId="2E7134C5">
            <w:pPr>
              <w:jc w:val="center"/>
              <w:rPr>
                <w:sz w:val="22"/>
                <w:szCs w:val="22"/>
              </w:rPr>
            </w:pPr>
            <w:r>
              <w:rPr>
                <w:sz w:val="22"/>
                <w:szCs w:val="22"/>
              </w:rPr>
              <w:t>1,16%</w:t>
            </w:r>
          </w:p>
        </w:tc>
      </w:tr>
      <w:tr w14:paraId="6157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814D326">
            <w:pPr>
              <w:jc w:val="center"/>
              <w:rPr>
                <w:sz w:val="22"/>
                <w:szCs w:val="22"/>
              </w:rPr>
            </w:pPr>
            <w:r>
              <w:rPr>
                <w:sz w:val="22"/>
                <w:szCs w:val="22"/>
              </w:rPr>
              <w:t>17</w:t>
            </w:r>
          </w:p>
        </w:tc>
        <w:tc>
          <w:tcPr>
            <w:tcW w:w="1752" w:type="dxa"/>
            <w:noWrap/>
            <w:vAlign w:val="center"/>
          </w:tcPr>
          <w:p w14:paraId="71F51305">
            <w:pPr>
              <w:jc w:val="center"/>
              <w:rPr>
                <w:sz w:val="22"/>
                <w:szCs w:val="22"/>
              </w:rPr>
            </w:pPr>
          </w:p>
        </w:tc>
        <w:tc>
          <w:tcPr>
            <w:tcW w:w="944" w:type="dxa"/>
            <w:vMerge w:val="continue"/>
            <w:vAlign w:val="center"/>
          </w:tcPr>
          <w:p w14:paraId="61E7AC30">
            <w:pPr>
              <w:jc w:val="center"/>
              <w:rPr>
                <w:sz w:val="22"/>
                <w:szCs w:val="22"/>
              </w:rPr>
            </w:pPr>
          </w:p>
        </w:tc>
        <w:tc>
          <w:tcPr>
            <w:tcW w:w="1116" w:type="dxa"/>
            <w:vAlign w:val="center"/>
          </w:tcPr>
          <w:p w14:paraId="0FC59391">
            <w:pPr>
              <w:jc w:val="center"/>
              <w:rPr>
                <w:sz w:val="22"/>
                <w:szCs w:val="22"/>
              </w:rPr>
            </w:pPr>
            <w:r>
              <w:rPr>
                <w:sz w:val="22"/>
                <w:szCs w:val="22"/>
              </w:rPr>
              <w:t>16</w:t>
            </w:r>
          </w:p>
        </w:tc>
        <w:tc>
          <w:tcPr>
            <w:tcW w:w="1010" w:type="dxa"/>
            <w:noWrap/>
            <w:vAlign w:val="center"/>
          </w:tcPr>
          <w:p w14:paraId="29BAEB42">
            <w:pPr>
              <w:jc w:val="center"/>
              <w:rPr>
                <w:sz w:val="22"/>
                <w:szCs w:val="22"/>
              </w:rPr>
            </w:pPr>
            <w:r>
              <w:rPr>
                <w:sz w:val="22"/>
                <w:szCs w:val="22"/>
              </w:rPr>
              <w:t>120,00</w:t>
            </w:r>
          </w:p>
        </w:tc>
        <w:tc>
          <w:tcPr>
            <w:tcW w:w="1591" w:type="dxa"/>
            <w:noWrap/>
            <w:vAlign w:val="center"/>
          </w:tcPr>
          <w:p w14:paraId="02E004B1">
            <w:pPr>
              <w:jc w:val="center"/>
              <w:rPr>
                <w:sz w:val="22"/>
                <w:szCs w:val="22"/>
              </w:rPr>
            </w:pPr>
            <w:r>
              <w:rPr>
                <w:sz w:val="22"/>
                <w:szCs w:val="22"/>
              </w:rPr>
              <w:t>960.000.000</w:t>
            </w:r>
          </w:p>
        </w:tc>
        <w:tc>
          <w:tcPr>
            <w:tcW w:w="1700" w:type="dxa"/>
            <w:noWrap/>
            <w:vAlign w:val="center"/>
          </w:tcPr>
          <w:p w14:paraId="6720B93D">
            <w:pPr>
              <w:jc w:val="center"/>
              <w:rPr>
                <w:sz w:val="22"/>
                <w:szCs w:val="22"/>
              </w:rPr>
            </w:pPr>
            <w:r>
              <w:rPr>
                <w:sz w:val="22"/>
                <w:szCs w:val="22"/>
              </w:rPr>
              <w:t>1.166.000.000</w:t>
            </w:r>
          </w:p>
        </w:tc>
        <w:tc>
          <w:tcPr>
            <w:tcW w:w="1140" w:type="dxa"/>
            <w:noWrap/>
            <w:vAlign w:val="center"/>
          </w:tcPr>
          <w:p w14:paraId="6D6F492E">
            <w:pPr>
              <w:jc w:val="center"/>
              <w:rPr>
                <w:sz w:val="22"/>
                <w:szCs w:val="22"/>
              </w:rPr>
            </w:pPr>
            <w:r>
              <w:rPr>
                <w:sz w:val="22"/>
                <w:szCs w:val="22"/>
              </w:rPr>
              <w:t>1,21%</w:t>
            </w:r>
          </w:p>
        </w:tc>
      </w:tr>
      <w:tr w14:paraId="4960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CA77FE1">
            <w:pPr>
              <w:jc w:val="center"/>
              <w:rPr>
                <w:sz w:val="22"/>
                <w:szCs w:val="22"/>
              </w:rPr>
            </w:pPr>
            <w:r>
              <w:rPr>
                <w:sz w:val="22"/>
                <w:szCs w:val="22"/>
              </w:rPr>
              <w:t>18</w:t>
            </w:r>
          </w:p>
        </w:tc>
        <w:tc>
          <w:tcPr>
            <w:tcW w:w="1752" w:type="dxa"/>
            <w:noWrap/>
            <w:vAlign w:val="center"/>
          </w:tcPr>
          <w:p w14:paraId="70E1D2EC">
            <w:pPr>
              <w:jc w:val="center"/>
              <w:rPr>
                <w:sz w:val="22"/>
                <w:szCs w:val="22"/>
              </w:rPr>
            </w:pPr>
          </w:p>
        </w:tc>
        <w:tc>
          <w:tcPr>
            <w:tcW w:w="944" w:type="dxa"/>
            <w:vMerge w:val="continue"/>
            <w:vAlign w:val="center"/>
          </w:tcPr>
          <w:p w14:paraId="22658F10">
            <w:pPr>
              <w:jc w:val="center"/>
              <w:rPr>
                <w:sz w:val="22"/>
                <w:szCs w:val="22"/>
              </w:rPr>
            </w:pPr>
          </w:p>
        </w:tc>
        <w:tc>
          <w:tcPr>
            <w:tcW w:w="1116" w:type="dxa"/>
            <w:vAlign w:val="center"/>
          </w:tcPr>
          <w:p w14:paraId="2D2E1EDF">
            <w:pPr>
              <w:jc w:val="center"/>
              <w:rPr>
                <w:sz w:val="22"/>
                <w:szCs w:val="22"/>
              </w:rPr>
            </w:pPr>
            <w:r>
              <w:rPr>
                <w:sz w:val="22"/>
                <w:szCs w:val="22"/>
              </w:rPr>
              <w:t>17</w:t>
            </w:r>
          </w:p>
        </w:tc>
        <w:tc>
          <w:tcPr>
            <w:tcW w:w="1010" w:type="dxa"/>
            <w:noWrap/>
            <w:vAlign w:val="center"/>
          </w:tcPr>
          <w:p w14:paraId="5D63247B">
            <w:pPr>
              <w:jc w:val="center"/>
              <w:rPr>
                <w:sz w:val="22"/>
                <w:szCs w:val="22"/>
              </w:rPr>
            </w:pPr>
            <w:r>
              <w:rPr>
                <w:sz w:val="22"/>
                <w:szCs w:val="22"/>
              </w:rPr>
              <w:t>120,00</w:t>
            </w:r>
          </w:p>
        </w:tc>
        <w:tc>
          <w:tcPr>
            <w:tcW w:w="1591" w:type="dxa"/>
            <w:noWrap/>
            <w:vAlign w:val="center"/>
          </w:tcPr>
          <w:p w14:paraId="3F7B69DC">
            <w:pPr>
              <w:jc w:val="center"/>
              <w:rPr>
                <w:sz w:val="22"/>
                <w:szCs w:val="22"/>
              </w:rPr>
            </w:pPr>
            <w:r>
              <w:rPr>
                <w:sz w:val="22"/>
                <w:szCs w:val="22"/>
              </w:rPr>
              <w:t>960.000.000</w:t>
            </w:r>
          </w:p>
        </w:tc>
        <w:tc>
          <w:tcPr>
            <w:tcW w:w="1700" w:type="dxa"/>
            <w:noWrap/>
            <w:vAlign w:val="center"/>
          </w:tcPr>
          <w:p w14:paraId="7C98FB54">
            <w:pPr>
              <w:jc w:val="center"/>
              <w:rPr>
                <w:sz w:val="22"/>
                <w:szCs w:val="22"/>
              </w:rPr>
            </w:pPr>
            <w:r>
              <w:rPr>
                <w:sz w:val="22"/>
                <w:szCs w:val="22"/>
              </w:rPr>
              <w:t>1.117.200.000</w:t>
            </w:r>
          </w:p>
        </w:tc>
        <w:tc>
          <w:tcPr>
            <w:tcW w:w="1140" w:type="dxa"/>
            <w:noWrap/>
            <w:vAlign w:val="center"/>
          </w:tcPr>
          <w:p w14:paraId="13EEC0A0">
            <w:pPr>
              <w:jc w:val="center"/>
              <w:rPr>
                <w:sz w:val="22"/>
                <w:szCs w:val="22"/>
              </w:rPr>
            </w:pPr>
            <w:r>
              <w:rPr>
                <w:sz w:val="22"/>
                <w:szCs w:val="22"/>
              </w:rPr>
              <w:t>1,16%</w:t>
            </w:r>
          </w:p>
        </w:tc>
      </w:tr>
      <w:tr w14:paraId="56B8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5DD61A7">
            <w:pPr>
              <w:jc w:val="center"/>
              <w:rPr>
                <w:sz w:val="22"/>
                <w:szCs w:val="22"/>
              </w:rPr>
            </w:pPr>
            <w:r>
              <w:rPr>
                <w:sz w:val="22"/>
                <w:szCs w:val="22"/>
              </w:rPr>
              <w:t>19</w:t>
            </w:r>
          </w:p>
        </w:tc>
        <w:tc>
          <w:tcPr>
            <w:tcW w:w="1752" w:type="dxa"/>
            <w:noWrap/>
            <w:vAlign w:val="center"/>
          </w:tcPr>
          <w:p w14:paraId="68F7F44B">
            <w:pPr>
              <w:jc w:val="center"/>
              <w:rPr>
                <w:sz w:val="22"/>
                <w:szCs w:val="22"/>
              </w:rPr>
            </w:pPr>
          </w:p>
        </w:tc>
        <w:tc>
          <w:tcPr>
            <w:tcW w:w="944" w:type="dxa"/>
            <w:vMerge w:val="continue"/>
            <w:vAlign w:val="center"/>
          </w:tcPr>
          <w:p w14:paraId="0B63DD08">
            <w:pPr>
              <w:jc w:val="center"/>
              <w:rPr>
                <w:sz w:val="22"/>
                <w:szCs w:val="22"/>
              </w:rPr>
            </w:pPr>
          </w:p>
        </w:tc>
        <w:tc>
          <w:tcPr>
            <w:tcW w:w="1116" w:type="dxa"/>
            <w:vAlign w:val="center"/>
          </w:tcPr>
          <w:p w14:paraId="11233215">
            <w:pPr>
              <w:jc w:val="center"/>
              <w:rPr>
                <w:sz w:val="22"/>
                <w:szCs w:val="22"/>
              </w:rPr>
            </w:pPr>
            <w:r>
              <w:rPr>
                <w:sz w:val="22"/>
                <w:szCs w:val="22"/>
              </w:rPr>
              <w:t>18</w:t>
            </w:r>
          </w:p>
        </w:tc>
        <w:tc>
          <w:tcPr>
            <w:tcW w:w="1010" w:type="dxa"/>
            <w:noWrap/>
            <w:vAlign w:val="center"/>
          </w:tcPr>
          <w:p w14:paraId="0E450F9F">
            <w:pPr>
              <w:jc w:val="center"/>
              <w:rPr>
                <w:sz w:val="22"/>
                <w:szCs w:val="22"/>
              </w:rPr>
            </w:pPr>
            <w:r>
              <w:rPr>
                <w:sz w:val="22"/>
                <w:szCs w:val="22"/>
              </w:rPr>
              <w:t>120,00</w:t>
            </w:r>
          </w:p>
        </w:tc>
        <w:tc>
          <w:tcPr>
            <w:tcW w:w="1591" w:type="dxa"/>
            <w:noWrap/>
            <w:vAlign w:val="center"/>
          </w:tcPr>
          <w:p w14:paraId="0A74FEE3">
            <w:pPr>
              <w:jc w:val="center"/>
              <w:rPr>
                <w:sz w:val="22"/>
                <w:szCs w:val="22"/>
              </w:rPr>
            </w:pPr>
            <w:r>
              <w:rPr>
                <w:sz w:val="22"/>
                <w:szCs w:val="22"/>
              </w:rPr>
              <w:t>960.000.000</w:t>
            </w:r>
          </w:p>
        </w:tc>
        <w:tc>
          <w:tcPr>
            <w:tcW w:w="1700" w:type="dxa"/>
            <w:noWrap/>
            <w:vAlign w:val="center"/>
          </w:tcPr>
          <w:p w14:paraId="4562FFD0">
            <w:pPr>
              <w:jc w:val="center"/>
              <w:rPr>
                <w:sz w:val="22"/>
                <w:szCs w:val="22"/>
              </w:rPr>
            </w:pPr>
            <w:r>
              <w:rPr>
                <w:sz w:val="22"/>
                <w:szCs w:val="22"/>
              </w:rPr>
              <w:t>1.079.000.000</w:t>
            </w:r>
          </w:p>
        </w:tc>
        <w:tc>
          <w:tcPr>
            <w:tcW w:w="1140" w:type="dxa"/>
            <w:noWrap/>
            <w:vAlign w:val="center"/>
          </w:tcPr>
          <w:p w14:paraId="01FCB4FE">
            <w:pPr>
              <w:jc w:val="center"/>
              <w:rPr>
                <w:sz w:val="22"/>
                <w:szCs w:val="22"/>
              </w:rPr>
            </w:pPr>
            <w:r>
              <w:rPr>
                <w:sz w:val="22"/>
                <w:szCs w:val="22"/>
              </w:rPr>
              <w:t>1,12%</w:t>
            </w:r>
          </w:p>
        </w:tc>
      </w:tr>
      <w:tr w14:paraId="57D9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3974E60">
            <w:pPr>
              <w:jc w:val="center"/>
              <w:rPr>
                <w:sz w:val="22"/>
                <w:szCs w:val="22"/>
              </w:rPr>
            </w:pPr>
            <w:r>
              <w:rPr>
                <w:sz w:val="22"/>
                <w:szCs w:val="22"/>
              </w:rPr>
              <w:t>20</w:t>
            </w:r>
          </w:p>
        </w:tc>
        <w:tc>
          <w:tcPr>
            <w:tcW w:w="1752" w:type="dxa"/>
            <w:noWrap/>
            <w:vAlign w:val="center"/>
          </w:tcPr>
          <w:p w14:paraId="0EA6B6AF">
            <w:pPr>
              <w:jc w:val="center"/>
              <w:rPr>
                <w:sz w:val="22"/>
                <w:szCs w:val="22"/>
              </w:rPr>
            </w:pPr>
          </w:p>
        </w:tc>
        <w:tc>
          <w:tcPr>
            <w:tcW w:w="944" w:type="dxa"/>
            <w:vMerge w:val="continue"/>
            <w:vAlign w:val="center"/>
          </w:tcPr>
          <w:p w14:paraId="2CBB0A27">
            <w:pPr>
              <w:jc w:val="center"/>
              <w:rPr>
                <w:sz w:val="22"/>
                <w:szCs w:val="22"/>
              </w:rPr>
            </w:pPr>
          </w:p>
        </w:tc>
        <w:tc>
          <w:tcPr>
            <w:tcW w:w="1116" w:type="dxa"/>
            <w:vAlign w:val="center"/>
          </w:tcPr>
          <w:p w14:paraId="1E8144F3">
            <w:pPr>
              <w:jc w:val="center"/>
              <w:rPr>
                <w:sz w:val="22"/>
                <w:szCs w:val="22"/>
              </w:rPr>
            </w:pPr>
            <w:r>
              <w:rPr>
                <w:sz w:val="22"/>
                <w:szCs w:val="22"/>
              </w:rPr>
              <w:t>19</w:t>
            </w:r>
          </w:p>
        </w:tc>
        <w:tc>
          <w:tcPr>
            <w:tcW w:w="1010" w:type="dxa"/>
            <w:noWrap/>
            <w:vAlign w:val="center"/>
          </w:tcPr>
          <w:p w14:paraId="603EDC64">
            <w:pPr>
              <w:jc w:val="center"/>
              <w:rPr>
                <w:sz w:val="22"/>
                <w:szCs w:val="22"/>
              </w:rPr>
            </w:pPr>
            <w:r>
              <w:rPr>
                <w:sz w:val="22"/>
                <w:szCs w:val="22"/>
              </w:rPr>
              <w:t>120,00</w:t>
            </w:r>
          </w:p>
        </w:tc>
        <w:tc>
          <w:tcPr>
            <w:tcW w:w="1591" w:type="dxa"/>
            <w:noWrap/>
            <w:vAlign w:val="center"/>
          </w:tcPr>
          <w:p w14:paraId="6699D86B">
            <w:pPr>
              <w:jc w:val="center"/>
              <w:rPr>
                <w:sz w:val="22"/>
                <w:szCs w:val="22"/>
              </w:rPr>
            </w:pPr>
            <w:r>
              <w:rPr>
                <w:sz w:val="22"/>
                <w:szCs w:val="22"/>
              </w:rPr>
              <w:t>960.000.000</w:t>
            </w:r>
          </w:p>
        </w:tc>
        <w:tc>
          <w:tcPr>
            <w:tcW w:w="1700" w:type="dxa"/>
            <w:noWrap/>
            <w:vAlign w:val="center"/>
          </w:tcPr>
          <w:p w14:paraId="371076E2">
            <w:pPr>
              <w:jc w:val="center"/>
              <w:rPr>
                <w:sz w:val="22"/>
                <w:szCs w:val="22"/>
              </w:rPr>
            </w:pPr>
            <w:r>
              <w:rPr>
                <w:sz w:val="22"/>
                <w:szCs w:val="22"/>
              </w:rPr>
              <w:t>1.095.500.000</w:t>
            </w:r>
          </w:p>
        </w:tc>
        <w:tc>
          <w:tcPr>
            <w:tcW w:w="1140" w:type="dxa"/>
            <w:noWrap/>
            <w:vAlign w:val="center"/>
          </w:tcPr>
          <w:p w14:paraId="0DAD992A">
            <w:pPr>
              <w:jc w:val="center"/>
              <w:rPr>
                <w:sz w:val="22"/>
                <w:szCs w:val="22"/>
              </w:rPr>
            </w:pPr>
            <w:r>
              <w:rPr>
                <w:sz w:val="22"/>
                <w:szCs w:val="22"/>
              </w:rPr>
              <w:t>1,14%</w:t>
            </w:r>
          </w:p>
        </w:tc>
      </w:tr>
      <w:tr w14:paraId="21E1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474FD65">
            <w:pPr>
              <w:jc w:val="center"/>
              <w:rPr>
                <w:sz w:val="22"/>
                <w:szCs w:val="22"/>
              </w:rPr>
            </w:pPr>
            <w:r>
              <w:rPr>
                <w:sz w:val="22"/>
                <w:szCs w:val="22"/>
              </w:rPr>
              <w:t>21</w:t>
            </w:r>
          </w:p>
        </w:tc>
        <w:tc>
          <w:tcPr>
            <w:tcW w:w="1752" w:type="dxa"/>
            <w:noWrap/>
            <w:vAlign w:val="center"/>
          </w:tcPr>
          <w:p w14:paraId="2729EA07">
            <w:pPr>
              <w:jc w:val="center"/>
              <w:rPr>
                <w:sz w:val="22"/>
                <w:szCs w:val="22"/>
              </w:rPr>
            </w:pPr>
          </w:p>
        </w:tc>
        <w:tc>
          <w:tcPr>
            <w:tcW w:w="944" w:type="dxa"/>
            <w:vMerge w:val="continue"/>
            <w:vAlign w:val="center"/>
          </w:tcPr>
          <w:p w14:paraId="0E03DC52">
            <w:pPr>
              <w:jc w:val="center"/>
              <w:rPr>
                <w:sz w:val="22"/>
                <w:szCs w:val="22"/>
              </w:rPr>
            </w:pPr>
          </w:p>
        </w:tc>
        <w:tc>
          <w:tcPr>
            <w:tcW w:w="1116" w:type="dxa"/>
            <w:vAlign w:val="center"/>
          </w:tcPr>
          <w:p w14:paraId="4527FE18">
            <w:pPr>
              <w:jc w:val="center"/>
              <w:rPr>
                <w:sz w:val="22"/>
                <w:szCs w:val="22"/>
              </w:rPr>
            </w:pPr>
            <w:r>
              <w:rPr>
                <w:sz w:val="22"/>
                <w:szCs w:val="22"/>
              </w:rPr>
              <w:t>20</w:t>
            </w:r>
          </w:p>
        </w:tc>
        <w:tc>
          <w:tcPr>
            <w:tcW w:w="1010" w:type="dxa"/>
            <w:noWrap/>
            <w:vAlign w:val="center"/>
          </w:tcPr>
          <w:p w14:paraId="2A4BC36D">
            <w:pPr>
              <w:jc w:val="center"/>
              <w:rPr>
                <w:sz w:val="22"/>
                <w:szCs w:val="22"/>
              </w:rPr>
            </w:pPr>
            <w:r>
              <w:rPr>
                <w:sz w:val="22"/>
                <w:szCs w:val="22"/>
              </w:rPr>
              <w:t>120,00</w:t>
            </w:r>
          </w:p>
        </w:tc>
        <w:tc>
          <w:tcPr>
            <w:tcW w:w="1591" w:type="dxa"/>
            <w:noWrap/>
            <w:vAlign w:val="center"/>
          </w:tcPr>
          <w:p w14:paraId="3794E4DF">
            <w:pPr>
              <w:jc w:val="center"/>
              <w:rPr>
                <w:sz w:val="22"/>
                <w:szCs w:val="22"/>
              </w:rPr>
            </w:pPr>
            <w:r>
              <w:rPr>
                <w:sz w:val="22"/>
                <w:szCs w:val="22"/>
              </w:rPr>
              <w:t>960.000.000</w:t>
            </w:r>
          </w:p>
        </w:tc>
        <w:tc>
          <w:tcPr>
            <w:tcW w:w="1700" w:type="dxa"/>
            <w:noWrap/>
            <w:vAlign w:val="center"/>
          </w:tcPr>
          <w:p w14:paraId="661D024C">
            <w:pPr>
              <w:jc w:val="center"/>
              <w:rPr>
                <w:sz w:val="22"/>
                <w:szCs w:val="22"/>
              </w:rPr>
            </w:pPr>
            <w:r>
              <w:rPr>
                <w:sz w:val="22"/>
                <w:szCs w:val="22"/>
              </w:rPr>
              <w:t>1.096.500.000</w:t>
            </w:r>
          </w:p>
        </w:tc>
        <w:tc>
          <w:tcPr>
            <w:tcW w:w="1140" w:type="dxa"/>
            <w:noWrap/>
            <w:vAlign w:val="center"/>
          </w:tcPr>
          <w:p w14:paraId="01EDFBCC">
            <w:pPr>
              <w:jc w:val="center"/>
              <w:rPr>
                <w:sz w:val="22"/>
                <w:szCs w:val="22"/>
              </w:rPr>
            </w:pPr>
            <w:r>
              <w:rPr>
                <w:sz w:val="22"/>
                <w:szCs w:val="22"/>
              </w:rPr>
              <w:t>1,14%</w:t>
            </w:r>
          </w:p>
        </w:tc>
      </w:tr>
      <w:tr w14:paraId="166F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31CBAD3">
            <w:pPr>
              <w:jc w:val="center"/>
              <w:rPr>
                <w:sz w:val="22"/>
                <w:szCs w:val="22"/>
              </w:rPr>
            </w:pPr>
            <w:r>
              <w:rPr>
                <w:sz w:val="22"/>
                <w:szCs w:val="22"/>
              </w:rPr>
              <w:t>22</w:t>
            </w:r>
          </w:p>
        </w:tc>
        <w:tc>
          <w:tcPr>
            <w:tcW w:w="1752" w:type="dxa"/>
            <w:noWrap/>
            <w:vAlign w:val="center"/>
          </w:tcPr>
          <w:p w14:paraId="60382B9C">
            <w:pPr>
              <w:jc w:val="center"/>
              <w:rPr>
                <w:sz w:val="22"/>
                <w:szCs w:val="22"/>
              </w:rPr>
            </w:pPr>
          </w:p>
        </w:tc>
        <w:tc>
          <w:tcPr>
            <w:tcW w:w="944" w:type="dxa"/>
            <w:vMerge w:val="continue"/>
            <w:vAlign w:val="center"/>
          </w:tcPr>
          <w:p w14:paraId="65EDDC48">
            <w:pPr>
              <w:jc w:val="center"/>
              <w:rPr>
                <w:sz w:val="22"/>
                <w:szCs w:val="22"/>
              </w:rPr>
            </w:pPr>
          </w:p>
        </w:tc>
        <w:tc>
          <w:tcPr>
            <w:tcW w:w="1116" w:type="dxa"/>
            <w:vAlign w:val="center"/>
          </w:tcPr>
          <w:p w14:paraId="7128A379">
            <w:pPr>
              <w:jc w:val="center"/>
              <w:rPr>
                <w:sz w:val="22"/>
                <w:szCs w:val="22"/>
              </w:rPr>
            </w:pPr>
            <w:r>
              <w:rPr>
                <w:sz w:val="22"/>
                <w:szCs w:val="22"/>
              </w:rPr>
              <w:t>21</w:t>
            </w:r>
          </w:p>
        </w:tc>
        <w:tc>
          <w:tcPr>
            <w:tcW w:w="1010" w:type="dxa"/>
            <w:noWrap/>
            <w:vAlign w:val="center"/>
          </w:tcPr>
          <w:p w14:paraId="3F1459AF">
            <w:pPr>
              <w:jc w:val="center"/>
              <w:rPr>
                <w:sz w:val="22"/>
                <w:szCs w:val="22"/>
              </w:rPr>
            </w:pPr>
            <w:r>
              <w:rPr>
                <w:sz w:val="22"/>
                <w:szCs w:val="22"/>
              </w:rPr>
              <w:t>120,00</w:t>
            </w:r>
          </w:p>
        </w:tc>
        <w:tc>
          <w:tcPr>
            <w:tcW w:w="1591" w:type="dxa"/>
            <w:noWrap/>
            <w:vAlign w:val="center"/>
          </w:tcPr>
          <w:p w14:paraId="0AC16AD1">
            <w:pPr>
              <w:jc w:val="center"/>
              <w:rPr>
                <w:sz w:val="22"/>
                <w:szCs w:val="22"/>
              </w:rPr>
            </w:pPr>
            <w:r>
              <w:rPr>
                <w:sz w:val="22"/>
                <w:szCs w:val="22"/>
              </w:rPr>
              <w:t>960.000.000</w:t>
            </w:r>
          </w:p>
        </w:tc>
        <w:tc>
          <w:tcPr>
            <w:tcW w:w="1700" w:type="dxa"/>
            <w:noWrap/>
            <w:vAlign w:val="center"/>
          </w:tcPr>
          <w:p w14:paraId="392B780B">
            <w:pPr>
              <w:jc w:val="center"/>
              <w:rPr>
                <w:sz w:val="22"/>
                <w:szCs w:val="22"/>
              </w:rPr>
            </w:pPr>
            <w:r>
              <w:rPr>
                <w:sz w:val="22"/>
                <w:szCs w:val="22"/>
              </w:rPr>
              <w:t>1.088.500.000</w:t>
            </w:r>
          </w:p>
        </w:tc>
        <w:tc>
          <w:tcPr>
            <w:tcW w:w="1140" w:type="dxa"/>
            <w:noWrap/>
            <w:vAlign w:val="center"/>
          </w:tcPr>
          <w:p w14:paraId="53A9069A">
            <w:pPr>
              <w:jc w:val="center"/>
              <w:rPr>
                <w:sz w:val="22"/>
                <w:szCs w:val="22"/>
              </w:rPr>
            </w:pPr>
            <w:r>
              <w:rPr>
                <w:sz w:val="22"/>
                <w:szCs w:val="22"/>
              </w:rPr>
              <w:t>1,13%</w:t>
            </w:r>
          </w:p>
        </w:tc>
      </w:tr>
      <w:tr w14:paraId="1AD8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F981F0C">
            <w:pPr>
              <w:jc w:val="center"/>
              <w:rPr>
                <w:sz w:val="22"/>
                <w:szCs w:val="22"/>
              </w:rPr>
            </w:pPr>
            <w:r>
              <w:rPr>
                <w:sz w:val="22"/>
                <w:szCs w:val="22"/>
              </w:rPr>
              <w:t>23</w:t>
            </w:r>
          </w:p>
        </w:tc>
        <w:tc>
          <w:tcPr>
            <w:tcW w:w="1752" w:type="dxa"/>
            <w:noWrap/>
            <w:vAlign w:val="center"/>
          </w:tcPr>
          <w:p w14:paraId="49EBD425">
            <w:pPr>
              <w:jc w:val="center"/>
              <w:rPr>
                <w:sz w:val="22"/>
                <w:szCs w:val="22"/>
              </w:rPr>
            </w:pPr>
          </w:p>
        </w:tc>
        <w:tc>
          <w:tcPr>
            <w:tcW w:w="944" w:type="dxa"/>
            <w:vMerge w:val="continue"/>
            <w:vAlign w:val="center"/>
          </w:tcPr>
          <w:p w14:paraId="77365F89">
            <w:pPr>
              <w:jc w:val="center"/>
              <w:rPr>
                <w:sz w:val="22"/>
                <w:szCs w:val="22"/>
              </w:rPr>
            </w:pPr>
          </w:p>
        </w:tc>
        <w:tc>
          <w:tcPr>
            <w:tcW w:w="1116" w:type="dxa"/>
            <w:vAlign w:val="center"/>
          </w:tcPr>
          <w:p w14:paraId="7BFC11A3">
            <w:pPr>
              <w:jc w:val="center"/>
              <w:rPr>
                <w:sz w:val="22"/>
                <w:szCs w:val="22"/>
              </w:rPr>
            </w:pPr>
            <w:r>
              <w:rPr>
                <w:sz w:val="22"/>
                <w:szCs w:val="22"/>
              </w:rPr>
              <w:t>22</w:t>
            </w:r>
          </w:p>
        </w:tc>
        <w:tc>
          <w:tcPr>
            <w:tcW w:w="1010" w:type="dxa"/>
            <w:noWrap/>
            <w:vAlign w:val="center"/>
          </w:tcPr>
          <w:p w14:paraId="103D989F">
            <w:pPr>
              <w:jc w:val="center"/>
              <w:rPr>
                <w:sz w:val="22"/>
                <w:szCs w:val="22"/>
              </w:rPr>
            </w:pPr>
            <w:r>
              <w:rPr>
                <w:sz w:val="22"/>
                <w:szCs w:val="22"/>
              </w:rPr>
              <w:t>120,00</w:t>
            </w:r>
          </w:p>
        </w:tc>
        <w:tc>
          <w:tcPr>
            <w:tcW w:w="1591" w:type="dxa"/>
            <w:noWrap/>
            <w:vAlign w:val="center"/>
          </w:tcPr>
          <w:p w14:paraId="2614CFB9">
            <w:pPr>
              <w:jc w:val="center"/>
              <w:rPr>
                <w:sz w:val="22"/>
                <w:szCs w:val="22"/>
              </w:rPr>
            </w:pPr>
            <w:r>
              <w:rPr>
                <w:sz w:val="22"/>
                <w:szCs w:val="22"/>
              </w:rPr>
              <w:t>960.000.000</w:t>
            </w:r>
          </w:p>
        </w:tc>
        <w:tc>
          <w:tcPr>
            <w:tcW w:w="1700" w:type="dxa"/>
            <w:noWrap/>
            <w:vAlign w:val="center"/>
          </w:tcPr>
          <w:p w14:paraId="0771BC62">
            <w:pPr>
              <w:jc w:val="center"/>
              <w:rPr>
                <w:sz w:val="22"/>
                <w:szCs w:val="22"/>
              </w:rPr>
            </w:pPr>
            <w:r>
              <w:rPr>
                <w:sz w:val="22"/>
                <w:szCs w:val="22"/>
              </w:rPr>
              <w:t>1.086.000.000</w:t>
            </w:r>
          </w:p>
        </w:tc>
        <w:tc>
          <w:tcPr>
            <w:tcW w:w="1140" w:type="dxa"/>
            <w:noWrap/>
            <w:vAlign w:val="center"/>
          </w:tcPr>
          <w:p w14:paraId="3154BCB7">
            <w:pPr>
              <w:jc w:val="center"/>
              <w:rPr>
                <w:sz w:val="22"/>
                <w:szCs w:val="22"/>
              </w:rPr>
            </w:pPr>
            <w:r>
              <w:rPr>
                <w:sz w:val="22"/>
                <w:szCs w:val="22"/>
              </w:rPr>
              <w:t>1,13%</w:t>
            </w:r>
          </w:p>
        </w:tc>
      </w:tr>
      <w:tr w14:paraId="0591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08F0FAF">
            <w:pPr>
              <w:jc w:val="center"/>
              <w:rPr>
                <w:sz w:val="22"/>
                <w:szCs w:val="22"/>
              </w:rPr>
            </w:pPr>
            <w:r>
              <w:rPr>
                <w:sz w:val="22"/>
                <w:szCs w:val="22"/>
              </w:rPr>
              <w:t>24</w:t>
            </w:r>
          </w:p>
        </w:tc>
        <w:tc>
          <w:tcPr>
            <w:tcW w:w="1752" w:type="dxa"/>
            <w:noWrap/>
            <w:vAlign w:val="center"/>
          </w:tcPr>
          <w:p w14:paraId="0B594BE6">
            <w:pPr>
              <w:jc w:val="center"/>
              <w:rPr>
                <w:sz w:val="22"/>
                <w:szCs w:val="22"/>
              </w:rPr>
            </w:pPr>
          </w:p>
        </w:tc>
        <w:tc>
          <w:tcPr>
            <w:tcW w:w="944" w:type="dxa"/>
            <w:vMerge w:val="continue"/>
            <w:vAlign w:val="center"/>
          </w:tcPr>
          <w:p w14:paraId="7BC1672E">
            <w:pPr>
              <w:jc w:val="center"/>
              <w:rPr>
                <w:sz w:val="22"/>
                <w:szCs w:val="22"/>
              </w:rPr>
            </w:pPr>
          </w:p>
        </w:tc>
        <w:tc>
          <w:tcPr>
            <w:tcW w:w="1116" w:type="dxa"/>
            <w:vAlign w:val="center"/>
          </w:tcPr>
          <w:p w14:paraId="45A056FE">
            <w:pPr>
              <w:jc w:val="center"/>
              <w:rPr>
                <w:sz w:val="22"/>
                <w:szCs w:val="22"/>
              </w:rPr>
            </w:pPr>
            <w:r>
              <w:rPr>
                <w:sz w:val="22"/>
                <w:szCs w:val="22"/>
              </w:rPr>
              <w:t>23</w:t>
            </w:r>
          </w:p>
        </w:tc>
        <w:tc>
          <w:tcPr>
            <w:tcW w:w="1010" w:type="dxa"/>
            <w:noWrap/>
            <w:vAlign w:val="center"/>
          </w:tcPr>
          <w:p w14:paraId="3336397F">
            <w:pPr>
              <w:jc w:val="center"/>
              <w:rPr>
                <w:sz w:val="22"/>
                <w:szCs w:val="22"/>
              </w:rPr>
            </w:pPr>
            <w:r>
              <w:rPr>
                <w:sz w:val="22"/>
                <w:szCs w:val="22"/>
              </w:rPr>
              <w:t>120,00</w:t>
            </w:r>
          </w:p>
        </w:tc>
        <w:tc>
          <w:tcPr>
            <w:tcW w:w="1591" w:type="dxa"/>
            <w:noWrap/>
            <w:vAlign w:val="center"/>
          </w:tcPr>
          <w:p w14:paraId="42489434">
            <w:pPr>
              <w:jc w:val="center"/>
              <w:rPr>
                <w:sz w:val="22"/>
                <w:szCs w:val="22"/>
              </w:rPr>
            </w:pPr>
            <w:r>
              <w:rPr>
                <w:sz w:val="22"/>
                <w:szCs w:val="22"/>
              </w:rPr>
              <w:t>960.000.000</w:t>
            </w:r>
          </w:p>
        </w:tc>
        <w:tc>
          <w:tcPr>
            <w:tcW w:w="1700" w:type="dxa"/>
            <w:noWrap/>
            <w:vAlign w:val="center"/>
          </w:tcPr>
          <w:p w14:paraId="756A6B46">
            <w:pPr>
              <w:jc w:val="center"/>
              <w:rPr>
                <w:sz w:val="22"/>
                <w:szCs w:val="22"/>
              </w:rPr>
            </w:pPr>
            <w:r>
              <w:rPr>
                <w:sz w:val="22"/>
                <w:szCs w:val="22"/>
              </w:rPr>
              <w:t>1.090.000.000</w:t>
            </w:r>
          </w:p>
        </w:tc>
        <w:tc>
          <w:tcPr>
            <w:tcW w:w="1140" w:type="dxa"/>
            <w:noWrap/>
            <w:vAlign w:val="center"/>
          </w:tcPr>
          <w:p w14:paraId="0EA25B36">
            <w:pPr>
              <w:jc w:val="center"/>
              <w:rPr>
                <w:sz w:val="22"/>
                <w:szCs w:val="22"/>
              </w:rPr>
            </w:pPr>
            <w:r>
              <w:rPr>
                <w:sz w:val="22"/>
                <w:szCs w:val="22"/>
              </w:rPr>
              <w:t>1,14%</w:t>
            </w:r>
          </w:p>
        </w:tc>
      </w:tr>
      <w:tr w14:paraId="672A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9570625">
            <w:pPr>
              <w:jc w:val="center"/>
              <w:rPr>
                <w:sz w:val="22"/>
                <w:szCs w:val="22"/>
              </w:rPr>
            </w:pPr>
            <w:r>
              <w:rPr>
                <w:sz w:val="22"/>
                <w:szCs w:val="22"/>
              </w:rPr>
              <w:t>25</w:t>
            </w:r>
          </w:p>
        </w:tc>
        <w:tc>
          <w:tcPr>
            <w:tcW w:w="1752" w:type="dxa"/>
            <w:noWrap/>
            <w:vAlign w:val="center"/>
          </w:tcPr>
          <w:p w14:paraId="2A93A6EA">
            <w:pPr>
              <w:jc w:val="center"/>
              <w:rPr>
                <w:sz w:val="22"/>
                <w:szCs w:val="22"/>
              </w:rPr>
            </w:pPr>
          </w:p>
        </w:tc>
        <w:tc>
          <w:tcPr>
            <w:tcW w:w="944" w:type="dxa"/>
            <w:vMerge w:val="continue"/>
            <w:vAlign w:val="center"/>
          </w:tcPr>
          <w:p w14:paraId="7D7720F1">
            <w:pPr>
              <w:jc w:val="center"/>
              <w:rPr>
                <w:sz w:val="22"/>
                <w:szCs w:val="22"/>
              </w:rPr>
            </w:pPr>
          </w:p>
        </w:tc>
        <w:tc>
          <w:tcPr>
            <w:tcW w:w="1116" w:type="dxa"/>
            <w:vAlign w:val="center"/>
          </w:tcPr>
          <w:p w14:paraId="5E37B7C2">
            <w:pPr>
              <w:jc w:val="center"/>
              <w:rPr>
                <w:sz w:val="22"/>
                <w:szCs w:val="22"/>
              </w:rPr>
            </w:pPr>
            <w:r>
              <w:rPr>
                <w:sz w:val="22"/>
                <w:szCs w:val="22"/>
              </w:rPr>
              <w:t>26</w:t>
            </w:r>
          </w:p>
        </w:tc>
        <w:tc>
          <w:tcPr>
            <w:tcW w:w="1010" w:type="dxa"/>
            <w:noWrap/>
            <w:vAlign w:val="center"/>
          </w:tcPr>
          <w:p w14:paraId="1A917135">
            <w:pPr>
              <w:jc w:val="center"/>
              <w:rPr>
                <w:sz w:val="22"/>
                <w:szCs w:val="22"/>
              </w:rPr>
            </w:pPr>
            <w:r>
              <w:rPr>
                <w:sz w:val="22"/>
                <w:szCs w:val="22"/>
              </w:rPr>
              <w:t>120,00</w:t>
            </w:r>
          </w:p>
        </w:tc>
        <w:tc>
          <w:tcPr>
            <w:tcW w:w="1591" w:type="dxa"/>
            <w:noWrap/>
            <w:vAlign w:val="center"/>
          </w:tcPr>
          <w:p w14:paraId="58B0CF07">
            <w:pPr>
              <w:jc w:val="center"/>
              <w:rPr>
                <w:sz w:val="22"/>
                <w:szCs w:val="22"/>
              </w:rPr>
            </w:pPr>
            <w:r>
              <w:rPr>
                <w:sz w:val="22"/>
                <w:szCs w:val="22"/>
              </w:rPr>
              <w:t>960.000.000</w:t>
            </w:r>
          </w:p>
        </w:tc>
        <w:tc>
          <w:tcPr>
            <w:tcW w:w="1700" w:type="dxa"/>
            <w:noWrap/>
            <w:vAlign w:val="center"/>
          </w:tcPr>
          <w:p w14:paraId="1203120B">
            <w:pPr>
              <w:jc w:val="center"/>
              <w:rPr>
                <w:sz w:val="22"/>
                <w:szCs w:val="22"/>
              </w:rPr>
            </w:pPr>
            <w:r>
              <w:rPr>
                <w:sz w:val="22"/>
                <w:szCs w:val="22"/>
              </w:rPr>
              <w:t>1.068.000.000</w:t>
            </w:r>
          </w:p>
        </w:tc>
        <w:tc>
          <w:tcPr>
            <w:tcW w:w="1140" w:type="dxa"/>
            <w:noWrap/>
            <w:vAlign w:val="center"/>
          </w:tcPr>
          <w:p w14:paraId="1AD7E2F3">
            <w:pPr>
              <w:jc w:val="center"/>
              <w:rPr>
                <w:sz w:val="22"/>
                <w:szCs w:val="22"/>
              </w:rPr>
            </w:pPr>
            <w:r>
              <w:rPr>
                <w:sz w:val="22"/>
                <w:szCs w:val="22"/>
              </w:rPr>
              <w:t>1,11%</w:t>
            </w:r>
          </w:p>
        </w:tc>
      </w:tr>
      <w:tr w14:paraId="36D2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CA096A4">
            <w:pPr>
              <w:jc w:val="center"/>
              <w:rPr>
                <w:sz w:val="22"/>
                <w:szCs w:val="22"/>
              </w:rPr>
            </w:pPr>
            <w:r>
              <w:rPr>
                <w:sz w:val="22"/>
                <w:szCs w:val="22"/>
              </w:rPr>
              <w:t>26</w:t>
            </w:r>
          </w:p>
        </w:tc>
        <w:tc>
          <w:tcPr>
            <w:tcW w:w="1752" w:type="dxa"/>
            <w:noWrap/>
            <w:vAlign w:val="center"/>
          </w:tcPr>
          <w:p w14:paraId="17C0038C">
            <w:pPr>
              <w:jc w:val="center"/>
              <w:rPr>
                <w:sz w:val="22"/>
                <w:szCs w:val="22"/>
              </w:rPr>
            </w:pPr>
          </w:p>
        </w:tc>
        <w:tc>
          <w:tcPr>
            <w:tcW w:w="944" w:type="dxa"/>
            <w:vMerge w:val="continue"/>
            <w:vAlign w:val="center"/>
          </w:tcPr>
          <w:p w14:paraId="3C54CFE7">
            <w:pPr>
              <w:jc w:val="center"/>
              <w:rPr>
                <w:sz w:val="22"/>
                <w:szCs w:val="22"/>
              </w:rPr>
            </w:pPr>
          </w:p>
        </w:tc>
        <w:tc>
          <w:tcPr>
            <w:tcW w:w="1116" w:type="dxa"/>
            <w:vAlign w:val="center"/>
          </w:tcPr>
          <w:p w14:paraId="1CB893AE">
            <w:pPr>
              <w:jc w:val="center"/>
              <w:rPr>
                <w:sz w:val="22"/>
                <w:szCs w:val="22"/>
              </w:rPr>
            </w:pPr>
            <w:r>
              <w:rPr>
                <w:sz w:val="22"/>
                <w:szCs w:val="22"/>
              </w:rPr>
              <w:t>27</w:t>
            </w:r>
          </w:p>
        </w:tc>
        <w:tc>
          <w:tcPr>
            <w:tcW w:w="1010" w:type="dxa"/>
            <w:noWrap/>
            <w:vAlign w:val="center"/>
          </w:tcPr>
          <w:p w14:paraId="70064DFA">
            <w:pPr>
              <w:jc w:val="center"/>
              <w:rPr>
                <w:sz w:val="22"/>
                <w:szCs w:val="22"/>
              </w:rPr>
            </w:pPr>
            <w:r>
              <w:rPr>
                <w:sz w:val="22"/>
                <w:szCs w:val="22"/>
              </w:rPr>
              <w:t>120,00</w:t>
            </w:r>
          </w:p>
        </w:tc>
        <w:tc>
          <w:tcPr>
            <w:tcW w:w="1591" w:type="dxa"/>
            <w:noWrap/>
            <w:vAlign w:val="center"/>
          </w:tcPr>
          <w:p w14:paraId="3CEA72DF">
            <w:pPr>
              <w:jc w:val="center"/>
              <w:rPr>
                <w:sz w:val="22"/>
                <w:szCs w:val="22"/>
              </w:rPr>
            </w:pPr>
            <w:r>
              <w:rPr>
                <w:sz w:val="22"/>
                <w:szCs w:val="22"/>
              </w:rPr>
              <w:t>960.000.000</w:t>
            </w:r>
          </w:p>
        </w:tc>
        <w:tc>
          <w:tcPr>
            <w:tcW w:w="1700" w:type="dxa"/>
            <w:noWrap/>
            <w:vAlign w:val="center"/>
          </w:tcPr>
          <w:p w14:paraId="0945A304">
            <w:pPr>
              <w:jc w:val="center"/>
              <w:rPr>
                <w:sz w:val="22"/>
                <w:szCs w:val="22"/>
              </w:rPr>
            </w:pPr>
            <w:r>
              <w:rPr>
                <w:sz w:val="22"/>
                <w:szCs w:val="22"/>
              </w:rPr>
              <w:t>1.062.000.000</w:t>
            </w:r>
          </w:p>
        </w:tc>
        <w:tc>
          <w:tcPr>
            <w:tcW w:w="1140" w:type="dxa"/>
            <w:noWrap/>
            <w:vAlign w:val="center"/>
          </w:tcPr>
          <w:p w14:paraId="4F8B874D">
            <w:pPr>
              <w:jc w:val="center"/>
              <w:rPr>
                <w:sz w:val="22"/>
                <w:szCs w:val="22"/>
              </w:rPr>
            </w:pPr>
            <w:r>
              <w:rPr>
                <w:sz w:val="22"/>
                <w:szCs w:val="22"/>
              </w:rPr>
              <w:t>1,11%</w:t>
            </w:r>
          </w:p>
        </w:tc>
      </w:tr>
      <w:tr w14:paraId="466D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1B875D2">
            <w:pPr>
              <w:jc w:val="center"/>
              <w:rPr>
                <w:sz w:val="22"/>
                <w:szCs w:val="22"/>
              </w:rPr>
            </w:pPr>
            <w:r>
              <w:rPr>
                <w:sz w:val="22"/>
                <w:szCs w:val="22"/>
              </w:rPr>
              <w:t>27</w:t>
            </w:r>
          </w:p>
        </w:tc>
        <w:tc>
          <w:tcPr>
            <w:tcW w:w="1752" w:type="dxa"/>
            <w:noWrap/>
            <w:vAlign w:val="center"/>
          </w:tcPr>
          <w:p w14:paraId="5C8CD85F">
            <w:pPr>
              <w:jc w:val="center"/>
              <w:rPr>
                <w:sz w:val="22"/>
                <w:szCs w:val="22"/>
              </w:rPr>
            </w:pPr>
          </w:p>
        </w:tc>
        <w:tc>
          <w:tcPr>
            <w:tcW w:w="944" w:type="dxa"/>
            <w:vMerge w:val="continue"/>
            <w:vAlign w:val="center"/>
          </w:tcPr>
          <w:p w14:paraId="2255A19C">
            <w:pPr>
              <w:jc w:val="center"/>
              <w:rPr>
                <w:sz w:val="22"/>
                <w:szCs w:val="22"/>
              </w:rPr>
            </w:pPr>
          </w:p>
        </w:tc>
        <w:tc>
          <w:tcPr>
            <w:tcW w:w="1116" w:type="dxa"/>
            <w:vAlign w:val="center"/>
          </w:tcPr>
          <w:p w14:paraId="4A25A321">
            <w:pPr>
              <w:jc w:val="center"/>
              <w:rPr>
                <w:sz w:val="22"/>
                <w:szCs w:val="22"/>
              </w:rPr>
            </w:pPr>
            <w:r>
              <w:rPr>
                <w:sz w:val="22"/>
                <w:szCs w:val="22"/>
              </w:rPr>
              <w:t>28</w:t>
            </w:r>
          </w:p>
        </w:tc>
        <w:tc>
          <w:tcPr>
            <w:tcW w:w="1010" w:type="dxa"/>
            <w:noWrap/>
            <w:vAlign w:val="center"/>
          </w:tcPr>
          <w:p w14:paraId="20F01171">
            <w:pPr>
              <w:jc w:val="center"/>
              <w:rPr>
                <w:sz w:val="22"/>
                <w:szCs w:val="22"/>
              </w:rPr>
            </w:pPr>
            <w:r>
              <w:rPr>
                <w:sz w:val="22"/>
                <w:szCs w:val="22"/>
              </w:rPr>
              <w:t>120,00</w:t>
            </w:r>
          </w:p>
        </w:tc>
        <w:tc>
          <w:tcPr>
            <w:tcW w:w="1591" w:type="dxa"/>
            <w:noWrap/>
            <w:vAlign w:val="center"/>
          </w:tcPr>
          <w:p w14:paraId="34D9D778">
            <w:pPr>
              <w:jc w:val="center"/>
              <w:rPr>
                <w:sz w:val="22"/>
                <w:szCs w:val="22"/>
              </w:rPr>
            </w:pPr>
            <w:r>
              <w:rPr>
                <w:sz w:val="22"/>
                <w:szCs w:val="22"/>
              </w:rPr>
              <w:t>960.000.000</w:t>
            </w:r>
          </w:p>
        </w:tc>
        <w:tc>
          <w:tcPr>
            <w:tcW w:w="1700" w:type="dxa"/>
            <w:noWrap/>
            <w:vAlign w:val="center"/>
          </w:tcPr>
          <w:p w14:paraId="242BF202">
            <w:pPr>
              <w:jc w:val="center"/>
              <w:rPr>
                <w:sz w:val="22"/>
                <w:szCs w:val="22"/>
              </w:rPr>
            </w:pPr>
            <w:r>
              <w:rPr>
                <w:sz w:val="22"/>
                <w:szCs w:val="22"/>
              </w:rPr>
              <w:t>1.059.000.000</w:t>
            </w:r>
          </w:p>
        </w:tc>
        <w:tc>
          <w:tcPr>
            <w:tcW w:w="1140" w:type="dxa"/>
            <w:noWrap/>
            <w:vAlign w:val="center"/>
          </w:tcPr>
          <w:p w14:paraId="44F00148">
            <w:pPr>
              <w:jc w:val="center"/>
              <w:rPr>
                <w:sz w:val="22"/>
                <w:szCs w:val="22"/>
              </w:rPr>
            </w:pPr>
            <w:r>
              <w:rPr>
                <w:sz w:val="22"/>
                <w:szCs w:val="22"/>
              </w:rPr>
              <w:t>1,10%</w:t>
            </w:r>
          </w:p>
        </w:tc>
      </w:tr>
      <w:tr w14:paraId="4300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39F3A08">
            <w:pPr>
              <w:jc w:val="center"/>
              <w:rPr>
                <w:sz w:val="22"/>
                <w:szCs w:val="22"/>
              </w:rPr>
            </w:pPr>
            <w:r>
              <w:rPr>
                <w:sz w:val="22"/>
                <w:szCs w:val="22"/>
              </w:rPr>
              <w:t>28</w:t>
            </w:r>
          </w:p>
        </w:tc>
        <w:tc>
          <w:tcPr>
            <w:tcW w:w="1752" w:type="dxa"/>
            <w:noWrap/>
            <w:vAlign w:val="center"/>
          </w:tcPr>
          <w:p w14:paraId="0E81ED12">
            <w:pPr>
              <w:jc w:val="center"/>
              <w:rPr>
                <w:sz w:val="22"/>
                <w:szCs w:val="22"/>
              </w:rPr>
            </w:pPr>
          </w:p>
        </w:tc>
        <w:tc>
          <w:tcPr>
            <w:tcW w:w="944" w:type="dxa"/>
            <w:vMerge w:val="continue"/>
            <w:vAlign w:val="center"/>
          </w:tcPr>
          <w:p w14:paraId="29708CCE">
            <w:pPr>
              <w:jc w:val="center"/>
              <w:rPr>
                <w:sz w:val="22"/>
                <w:szCs w:val="22"/>
              </w:rPr>
            </w:pPr>
          </w:p>
        </w:tc>
        <w:tc>
          <w:tcPr>
            <w:tcW w:w="1116" w:type="dxa"/>
            <w:vAlign w:val="center"/>
          </w:tcPr>
          <w:p w14:paraId="5DD67654">
            <w:pPr>
              <w:jc w:val="center"/>
              <w:rPr>
                <w:sz w:val="22"/>
                <w:szCs w:val="22"/>
              </w:rPr>
            </w:pPr>
            <w:r>
              <w:rPr>
                <w:sz w:val="22"/>
                <w:szCs w:val="22"/>
              </w:rPr>
              <w:t>29</w:t>
            </w:r>
          </w:p>
        </w:tc>
        <w:tc>
          <w:tcPr>
            <w:tcW w:w="1010" w:type="dxa"/>
            <w:noWrap/>
            <w:vAlign w:val="center"/>
          </w:tcPr>
          <w:p w14:paraId="078656E6">
            <w:pPr>
              <w:jc w:val="center"/>
              <w:rPr>
                <w:sz w:val="22"/>
                <w:szCs w:val="22"/>
              </w:rPr>
            </w:pPr>
            <w:r>
              <w:rPr>
                <w:sz w:val="22"/>
                <w:szCs w:val="22"/>
              </w:rPr>
              <w:t>120,00</w:t>
            </w:r>
          </w:p>
        </w:tc>
        <w:tc>
          <w:tcPr>
            <w:tcW w:w="1591" w:type="dxa"/>
            <w:noWrap/>
            <w:vAlign w:val="center"/>
          </w:tcPr>
          <w:p w14:paraId="47C07BFD">
            <w:pPr>
              <w:jc w:val="center"/>
              <w:rPr>
                <w:sz w:val="22"/>
                <w:szCs w:val="22"/>
              </w:rPr>
            </w:pPr>
            <w:r>
              <w:rPr>
                <w:sz w:val="22"/>
                <w:szCs w:val="22"/>
              </w:rPr>
              <w:t>960.000.000</w:t>
            </w:r>
          </w:p>
        </w:tc>
        <w:tc>
          <w:tcPr>
            <w:tcW w:w="1700" w:type="dxa"/>
            <w:noWrap/>
            <w:vAlign w:val="center"/>
          </w:tcPr>
          <w:p w14:paraId="3E6168DC">
            <w:pPr>
              <w:jc w:val="center"/>
              <w:rPr>
                <w:sz w:val="22"/>
                <w:szCs w:val="22"/>
              </w:rPr>
            </w:pPr>
            <w:r>
              <w:rPr>
                <w:sz w:val="22"/>
                <w:szCs w:val="22"/>
              </w:rPr>
              <w:t>1.163.000.000</w:t>
            </w:r>
          </w:p>
        </w:tc>
        <w:tc>
          <w:tcPr>
            <w:tcW w:w="1140" w:type="dxa"/>
            <w:noWrap/>
            <w:vAlign w:val="center"/>
          </w:tcPr>
          <w:p w14:paraId="3A00927E">
            <w:pPr>
              <w:jc w:val="center"/>
              <w:rPr>
                <w:sz w:val="22"/>
                <w:szCs w:val="22"/>
              </w:rPr>
            </w:pPr>
            <w:r>
              <w:rPr>
                <w:sz w:val="22"/>
                <w:szCs w:val="22"/>
              </w:rPr>
              <w:t>1,21%</w:t>
            </w:r>
          </w:p>
        </w:tc>
      </w:tr>
      <w:tr w14:paraId="7D73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0A11E97">
            <w:pPr>
              <w:jc w:val="center"/>
              <w:rPr>
                <w:sz w:val="22"/>
                <w:szCs w:val="22"/>
              </w:rPr>
            </w:pPr>
            <w:r>
              <w:rPr>
                <w:sz w:val="22"/>
                <w:szCs w:val="22"/>
              </w:rPr>
              <w:t>29</w:t>
            </w:r>
          </w:p>
        </w:tc>
        <w:tc>
          <w:tcPr>
            <w:tcW w:w="1752" w:type="dxa"/>
            <w:noWrap/>
            <w:vAlign w:val="center"/>
          </w:tcPr>
          <w:p w14:paraId="101F30BE">
            <w:pPr>
              <w:jc w:val="center"/>
              <w:rPr>
                <w:sz w:val="22"/>
                <w:szCs w:val="22"/>
              </w:rPr>
            </w:pPr>
          </w:p>
        </w:tc>
        <w:tc>
          <w:tcPr>
            <w:tcW w:w="944" w:type="dxa"/>
            <w:vMerge w:val="continue"/>
            <w:vAlign w:val="center"/>
          </w:tcPr>
          <w:p w14:paraId="179DB11B">
            <w:pPr>
              <w:jc w:val="center"/>
              <w:rPr>
                <w:sz w:val="22"/>
                <w:szCs w:val="22"/>
              </w:rPr>
            </w:pPr>
          </w:p>
        </w:tc>
        <w:tc>
          <w:tcPr>
            <w:tcW w:w="1116" w:type="dxa"/>
            <w:vAlign w:val="center"/>
          </w:tcPr>
          <w:p w14:paraId="17A0289C">
            <w:pPr>
              <w:jc w:val="center"/>
              <w:rPr>
                <w:sz w:val="22"/>
                <w:szCs w:val="22"/>
              </w:rPr>
            </w:pPr>
            <w:r>
              <w:rPr>
                <w:sz w:val="22"/>
                <w:szCs w:val="22"/>
              </w:rPr>
              <w:t>30</w:t>
            </w:r>
          </w:p>
        </w:tc>
        <w:tc>
          <w:tcPr>
            <w:tcW w:w="1010" w:type="dxa"/>
            <w:noWrap/>
            <w:vAlign w:val="center"/>
          </w:tcPr>
          <w:p w14:paraId="7642AD4E">
            <w:pPr>
              <w:jc w:val="center"/>
              <w:rPr>
                <w:sz w:val="22"/>
                <w:szCs w:val="22"/>
              </w:rPr>
            </w:pPr>
            <w:r>
              <w:rPr>
                <w:sz w:val="22"/>
                <w:szCs w:val="22"/>
              </w:rPr>
              <w:t>120,00</w:t>
            </w:r>
          </w:p>
        </w:tc>
        <w:tc>
          <w:tcPr>
            <w:tcW w:w="1591" w:type="dxa"/>
            <w:noWrap/>
            <w:vAlign w:val="center"/>
          </w:tcPr>
          <w:p w14:paraId="76FF71DC">
            <w:pPr>
              <w:jc w:val="center"/>
              <w:rPr>
                <w:sz w:val="22"/>
                <w:szCs w:val="22"/>
              </w:rPr>
            </w:pPr>
            <w:r>
              <w:rPr>
                <w:sz w:val="22"/>
                <w:szCs w:val="22"/>
              </w:rPr>
              <w:t>960.000.000</w:t>
            </w:r>
          </w:p>
        </w:tc>
        <w:tc>
          <w:tcPr>
            <w:tcW w:w="1700" w:type="dxa"/>
            <w:noWrap/>
            <w:vAlign w:val="center"/>
          </w:tcPr>
          <w:p w14:paraId="40BFEDBF">
            <w:pPr>
              <w:jc w:val="center"/>
              <w:rPr>
                <w:sz w:val="22"/>
                <w:szCs w:val="22"/>
              </w:rPr>
            </w:pPr>
            <w:r>
              <w:rPr>
                <w:sz w:val="22"/>
                <w:szCs w:val="22"/>
              </w:rPr>
              <w:t>1.165.000.000</w:t>
            </w:r>
          </w:p>
        </w:tc>
        <w:tc>
          <w:tcPr>
            <w:tcW w:w="1140" w:type="dxa"/>
            <w:noWrap/>
            <w:vAlign w:val="center"/>
          </w:tcPr>
          <w:p w14:paraId="1E1096B9">
            <w:pPr>
              <w:jc w:val="center"/>
              <w:rPr>
                <w:sz w:val="22"/>
                <w:szCs w:val="22"/>
              </w:rPr>
            </w:pPr>
            <w:r>
              <w:rPr>
                <w:sz w:val="22"/>
                <w:szCs w:val="22"/>
              </w:rPr>
              <w:t>1,21%</w:t>
            </w:r>
          </w:p>
        </w:tc>
      </w:tr>
      <w:tr w14:paraId="2FC4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092FFDA">
            <w:pPr>
              <w:jc w:val="center"/>
              <w:rPr>
                <w:sz w:val="22"/>
                <w:szCs w:val="22"/>
              </w:rPr>
            </w:pPr>
            <w:r>
              <w:rPr>
                <w:sz w:val="22"/>
                <w:szCs w:val="22"/>
              </w:rPr>
              <w:t>30</w:t>
            </w:r>
          </w:p>
        </w:tc>
        <w:tc>
          <w:tcPr>
            <w:tcW w:w="1752" w:type="dxa"/>
            <w:noWrap/>
            <w:vAlign w:val="center"/>
          </w:tcPr>
          <w:p w14:paraId="626E32F9">
            <w:pPr>
              <w:jc w:val="center"/>
              <w:rPr>
                <w:sz w:val="22"/>
                <w:szCs w:val="22"/>
              </w:rPr>
            </w:pPr>
          </w:p>
        </w:tc>
        <w:tc>
          <w:tcPr>
            <w:tcW w:w="944" w:type="dxa"/>
            <w:vMerge w:val="continue"/>
            <w:vAlign w:val="center"/>
          </w:tcPr>
          <w:p w14:paraId="38A66010">
            <w:pPr>
              <w:jc w:val="center"/>
              <w:rPr>
                <w:sz w:val="22"/>
                <w:szCs w:val="22"/>
              </w:rPr>
            </w:pPr>
          </w:p>
        </w:tc>
        <w:tc>
          <w:tcPr>
            <w:tcW w:w="1116" w:type="dxa"/>
            <w:vAlign w:val="center"/>
          </w:tcPr>
          <w:p w14:paraId="61C004FA">
            <w:pPr>
              <w:jc w:val="center"/>
              <w:rPr>
                <w:sz w:val="22"/>
                <w:szCs w:val="22"/>
              </w:rPr>
            </w:pPr>
            <w:r>
              <w:rPr>
                <w:sz w:val="22"/>
                <w:szCs w:val="22"/>
              </w:rPr>
              <w:t>31</w:t>
            </w:r>
          </w:p>
        </w:tc>
        <w:tc>
          <w:tcPr>
            <w:tcW w:w="1010" w:type="dxa"/>
            <w:noWrap/>
            <w:vAlign w:val="center"/>
          </w:tcPr>
          <w:p w14:paraId="1E8BC962">
            <w:pPr>
              <w:jc w:val="center"/>
              <w:rPr>
                <w:sz w:val="22"/>
                <w:szCs w:val="22"/>
              </w:rPr>
            </w:pPr>
            <w:r>
              <w:rPr>
                <w:sz w:val="22"/>
                <w:szCs w:val="22"/>
              </w:rPr>
              <w:t>120,00</w:t>
            </w:r>
          </w:p>
        </w:tc>
        <w:tc>
          <w:tcPr>
            <w:tcW w:w="1591" w:type="dxa"/>
            <w:noWrap/>
            <w:vAlign w:val="center"/>
          </w:tcPr>
          <w:p w14:paraId="73B970EA">
            <w:pPr>
              <w:jc w:val="center"/>
              <w:rPr>
                <w:sz w:val="22"/>
                <w:szCs w:val="22"/>
              </w:rPr>
            </w:pPr>
            <w:r>
              <w:rPr>
                <w:sz w:val="22"/>
                <w:szCs w:val="22"/>
              </w:rPr>
              <w:t>960.000.000</w:t>
            </w:r>
          </w:p>
        </w:tc>
        <w:tc>
          <w:tcPr>
            <w:tcW w:w="1700" w:type="dxa"/>
            <w:noWrap/>
            <w:vAlign w:val="center"/>
          </w:tcPr>
          <w:p w14:paraId="2C2DC9AE">
            <w:pPr>
              <w:jc w:val="center"/>
              <w:rPr>
                <w:sz w:val="22"/>
                <w:szCs w:val="22"/>
              </w:rPr>
            </w:pPr>
            <w:r>
              <w:rPr>
                <w:sz w:val="22"/>
                <w:szCs w:val="22"/>
              </w:rPr>
              <w:t>1.129.900.000</w:t>
            </w:r>
          </w:p>
        </w:tc>
        <w:tc>
          <w:tcPr>
            <w:tcW w:w="1140" w:type="dxa"/>
            <w:noWrap/>
            <w:vAlign w:val="center"/>
          </w:tcPr>
          <w:p w14:paraId="739ED7AC">
            <w:pPr>
              <w:jc w:val="center"/>
              <w:rPr>
                <w:sz w:val="22"/>
                <w:szCs w:val="22"/>
              </w:rPr>
            </w:pPr>
            <w:r>
              <w:rPr>
                <w:sz w:val="22"/>
                <w:szCs w:val="22"/>
              </w:rPr>
              <w:t>1,18%</w:t>
            </w:r>
          </w:p>
        </w:tc>
      </w:tr>
      <w:tr w14:paraId="78BA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E3598B8">
            <w:pPr>
              <w:jc w:val="center"/>
              <w:rPr>
                <w:sz w:val="22"/>
                <w:szCs w:val="22"/>
              </w:rPr>
            </w:pPr>
            <w:r>
              <w:rPr>
                <w:sz w:val="22"/>
                <w:szCs w:val="22"/>
              </w:rPr>
              <w:t>31</w:t>
            </w:r>
          </w:p>
        </w:tc>
        <w:tc>
          <w:tcPr>
            <w:tcW w:w="1752" w:type="dxa"/>
            <w:noWrap/>
            <w:vAlign w:val="center"/>
          </w:tcPr>
          <w:p w14:paraId="59309638">
            <w:pPr>
              <w:jc w:val="center"/>
              <w:rPr>
                <w:sz w:val="22"/>
                <w:szCs w:val="22"/>
              </w:rPr>
            </w:pPr>
          </w:p>
        </w:tc>
        <w:tc>
          <w:tcPr>
            <w:tcW w:w="944" w:type="dxa"/>
            <w:vMerge w:val="continue"/>
            <w:vAlign w:val="center"/>
          </w:tcPr>
          <w:p w14:paraId="37FFD835">
            <w:pPr>
              <w:jc w:val="center"/>
              <w:rPr>
                <w:sz w:val="22"/>
                <w:szCs w:val="22"/>
              </w:rPr>
            </w:pPr>
          </w:p>
        </w:tc>
        <w:tc>
          <w:tcPr>
            <w:tcW w:w="1116" w:type="dxa"/>
            <w:vAlign w:val="center"/>
          </w:tcPr>
          <w:p w14:paraId="6D163860">
            <w:pPr>
              <w:jc w:val="center"/>
              <w:rPr>
                <w:sz w:val="22"/>
                <w:szCs w:val="22"/>
              </w:rPr>
            </w:pPr>
            <w:r>
              <w:rPr>
                <w:sz w:val="22"/>
                <w:szCs w:val="22"/>
              </w:rPr>
              <w:t>32</w:t>
            </w:r>
          </w:p>
        </w:tc>
        <w:tc>
          <w:tcPr>
            <w:tcW w:w="1010" w:type="dxa"/>
            <w:noWrap/>
            <w:vAlign w:val="center"/>
          </w:tcPr>
          <w:p w14:paraId="087DB3E3">
            <w:pPr>
              <w:jc w:val="center"/>
              <w:rPr>
                <w:sz w:val="22"/>
                <w:szCs w:val="22"/>
              </w:rPr>
            </w:pPr>
            <w:r>
              <w:rPr>
                <w:sz w:val="22"/>
                <w:szCs w:val="22"/>
              </w:rPr>
              <w:t>120,00</w:t>
            </w:r>
          </w:p>
        </w:tc>
        <w:tc>
          <w:tcPr>
            <w:tcW w:w="1591" w:type="dxa"/>
            <w:noWrap/>
            <w:vAlign w:val="center"/>
          </w:tcPr>
          <w:p w14:paraId="596ACC6D">
            <w:pPr>
              <w:jc w:val="center"/>
              <w:rPr>
                <w:sz w:val="22"/>
                <w:szCs w:val="22"/>
              </w:rPr>
            </w:pPr>
            <w:r>
              <w:rPr>
                <w:sz w:val="22"/>
                <w:szCs w:val="22"/>
              </w:rPr>
              <w:t>960.000.000</w:t>
            </w:r>
          </w:p>
        </w:tc>
        <w:tc>
          <w:tcPr>
            <w:tcW w:w="1700" w:type="dxa"/>
            <w:noWrap/>
            <w:vAlign w:val="center"/>
          </w:tcPr>
          <w:p w14:paraId="71315DF1">
            <w:pPr>
              <w:jc w:val="center"/>
              <w:rPr>
                <w:sz w:val="22"/>
                <w:szCs w:val="22"/>
              </w:rPr>
            </w:pPr>
            <w:r>
              <w:rPr>
                <w:sz w:val="22"/>
                <w:szCs w:val="22"/>
              </w:rPr>
              <w:t>1.149.900.000</w:t>
            </w:r>
          </w:p>
        </w:tc>
        <w:tc>
          <w:tcPr>
            <w:tcW w:w="1140" w:type="dxa"/>
            <w:noWrap/>
            <w:vAlign w:val="center"/>
          </w:tcPr>
          <w:p w14:paraId="0DEDD96B">
            <w:pPr>
              <w:jc w:val="center"/>
              <w:rPr>
                <w:sz w:val="22"/>
                <w:szCs w:val="22"/>
              </w:rPr>
            </w:pPr>
            <w:r>
              <w:rPr>
                <w:sz w:val="22"/>
                <w:szCs w:val="22"/>
              </w:rPr>
              <w:t>1,20%</w:t>
            </w:r>
          </w:p>
        </w:tc>
      </w:tr>
      <w:tr w14:paraId="4AED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B0776BE">
            <w:pPr>
              <w:jc w:val="center"/>
              <w:rPr>
                <w:sz w:val="22"/>
                <w:szCs w:val="22"/>
              </w:rPr>
            </w:pPr>
            <w:r>
              <w:rPr>
                <w:sz w:val="22"/>
                <w:szCs w:val="22"/>
              </w:rPr>
              <w:t>32</w:t>
            </w:r>
          </w:p>
        </w:tc>
        <w:tc>
          <w:tcPr>
            <w:tcW w:w="1752" w:type="dxa"/>
            <w:noWrap/>
            <w:vAlign w:val="center"/>
          </w:tcPr>
          <w:p w14:paraId="58632B2B">
            <w:pPr>
              <w:jc w:val="center"/>
              <w:rPr>
                <w:sz w:val="22"/>
                <w:szCs w:val="22"/>
              </w:rPr>
            </w:pPr>
          </w:p>
        </w:tc>
        <w:tc>
          <w:tcPr>
            <w:tcW w:w="944" w:type="dxa"/>
            <w:vMerge w:val="continue"/>
            <w:vAlign w:val="center"/>
          </w:tcPr>
          <w:p w14:paraId="6F7BE9C8">
            <w:pPr>
              <w:jc w:val="center"/>
              <w:rPr>
                <w:sz w:val="22"/>
                <w:szCs w:val="22"/>
              </w:rPr>
            </w:pPr>
          </w:p>
        </w:tc>
        <w:tc>
          <w:tcPr>
            <w:tcW w:w="1116" w:type="dxa"/>
            <w:vAlign w:val="center"/>
          </w:tcPr>
          <w:p w14:paraId="7FC4A3B3">
            <w:pPr>
              <w:jc w:val="center"/>
              <w:rPr>
                <w:sz w:val="22"/>
                <w:szCs w:val="22"/>
              </w:rPr>
            </w:pPr>
            <w:r>
              <w:rPr>
                <w:sz w:val="22"/>
                <w:szCs w:val="22"/>
              </w:rPr>
              <w:t>33</w:t>
            </w:r>
          </w:p>
        </w:tc>
        <w:tc>
          <w:tcPr>
            <w:tcW w:w="1010" w:type="dxa"/>
            <w:noWrap/>
            <w:vAlign w:val="center"/>
          </w:tcPr>
          <w:p w14:paraId="35C90895">
            <w:pPr>
              <w:jc w:val="center"/>
              <w:rPr>
                <w:sz w:val="22"/>
                <w:szCs w:val="22"/>
              </w:rPr>
            </w:pPr>
            <w:r>
              <w:rPr>
                <w:sz w:val="22"/>
                <w:szCs w:val="22"/>
              </w:rPr>
              <w:t>120,00</w:t>
            </w:r>
          </w:p>
        </w:tc>
        <w:tc>
          <w:tcPr>
            <w:tcW w:w="1591" w:type="dxa"/>
            <w:noWrap/>
            <w:vAlign w:val="center"/>
          </w:tcPr>
          <w:p w14:paraId="7C5B0E06">
            <w:pPr>
              <w:jc w:val="center"/>
              <w:rPr>
                <w:sz w:val="22"/>
                <w:szCs w:val="22"/>
              </w:rPr>
            </w:pPr>
            <w:r>
              <w:rPr>
                <w:sz w:val="22"/>
                <w:szCs w:val="22"/>
              </w:rPr>
              <w:t>960.000.000</w:t>
            </w:r>
          </w:p>
        </w:tc>
        <w:tc>
          <w:tcPr>
            <w:tcW w:w="1700" w:type="dxa"/>
            <w:noWrap/>
            <w:vAlign w:val="center"/>
          </w:tcPr>
          <w:p w14:paraId="4C35EA79">
            <w:pPr>
              <w:jc w:val="center"/>
              <w:rPr>
                <w:sz w:val="22"/>
                <w:szCs w:val="22"/>
              </w:rPr>
            </w:pPr>
            <w:r>
              <w:rPr>
                <w:sz w:val="22"/>
                <w:szCs w:val="22"/>
              </w:rPr>
              <w:t>1.078.500.000</w:t>
            </w:r>
          </w:p>
        </w:tc>
        <w:tc>
          <w:tcPr>
            <w:tcW w:w="1140" w:type="dxa"/>
            <w:noWrap/>
            <w:vAlign w:val="center"/>
          </w:tcPr>
          <w:p w14:paraId="4B710C2F">
            <w:pPr>
              <w:jc w:val="center"/>
              <w:rPr>
                <w:sz w:val="22"/>
                <w:szCs w:val="22"/>
              </w:rPr>
            </w:pPr>
            <w:r>
              <w:rPr>
                <w:sz w:val="22"/>
                <w:szCs w:val="22"/>
              </w:rPr>
              <w:t>1,12%</w:t>
            </w:r>
          </w:p>
        </w:tc>
      </w:tr>
      <w:tr w14:paraId="7A86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8EED90F">
            <w:pPr>
              <w:jc w:val="center"/>
              <w:rPr>
                <w:sz w:val="22"/>
                <w:szCs w:val="22"/>
              </w:rPr>
            </w:pPr>
            <w:r>
              <w:rPr>
                <w:sz w:val="22"/>
                <w:szCs w:val="22"/>
              </w:rPr>
              <w:t>33</w:t>
            </w:r>
          </w:p>
        </w:tc>
        <w:tc>
          <w:tcPr>
            <w:tcW w:w="1752" w:type="dxa"/>
            <w:noWrap/>
            <w:vAlign w:val="center"/>
          </w:tcPr>
          <w:p w14:paraId="4E09B784">
            <w:pPr>
              <w:jc w:val="center"/>
              <w:rPr>
                <w:sz w:val="22"/>
                <w:szCs w:val="22"/>
              </w:rPr>
            </w:pPr>
          </w:p>
        </w:tc>
        <w:tc>
          <w:tcPr>
            <w:tcW w:w="944" w:type="dxa"/>
            <w:vMerge w:val="continue"/>
            <w:vAlign w:val="center"/>
          </w:tcPr>
          <w:p w14:paraId="65D21D17">
            <w:pPr>
              <w:jc w:val="center"/>
              <w:rPr>
                <w:sz w:val="22"/>
                <w:szCs w:val="22"/>
              </w:rPr>
            </w:pPr>
          </w:p>
        </w:tc>
        <w:tc>
          <w:tcPr>
            <w:tcW w:w="1116" w:type="dxa"/>
            <w:vAlign w:val="center"/>
          </w:tcPr>
          <w:p w14:paraId="48B2E8E7">
            <w:pPr>
              <w:jc w:val="center"/>
              <w:rPr>
                <w:sz w:val="22"/>
                <w:szCs w:val="22"/>
              </w:rPr>
            </w:pPr>
            <w:r>
              <w:rPr>
                <w:sz w:val="22"/>
                <w:szCs w:val="22"/>
              </w:rPr>
              <w:t>34</w:t>
            </w:r>
          </w:p>
        </w:tc>
        <w:tc>
          <w:tcPr>
            <w:tcW w:w="1010" w:type="dxa"/>
            <w:noWrap/>
            <w:vAlign w:val="center"/>
          </w:tcPr>
          <w:p w14:paraId="129DAED4">
            <w:pPr>
              <w:jc w:val="center"/>
              <w:rPr>
                <w:sz w:val="22"/>
                <w:szCs w:val="22"/>
              </w:rPr>
            </w:pPr>
            <w:r>
              <w:rPr>
                <w:sz w:val="22"/>
                <w:szCs w:val="22"/>
              </w:rPr>
              <w:t>120,00</w:t>
            </w:r>
          </w:p>
        </w:tc>
        <w:tc>
          <w:tcPr>
            <w:tcW w:w="1591" w:type="dxa"/>
            <w:noWrap/>
            <w:vAlign w:val="center"/>
          </w:tcPr>
          <w:p w14:paraId="4648A460">
            <w:pPr>
              <w:jc w:val="center"/>
              <w:rPr>
                <w:sz w:val="22"/>
                <w:szCs w:val="22"/>
              </w:rPr>
            </w:pPr>
            <w:r>
              <w:rPr>
                <w:sz w:val="22"/>
                <w:szCs w:val="22"/>
              </w:rPr>
              <w:t>960.000.000</w:t>
            </w:r>
          </w:p>
        </w:tc>
        <w:tc>
          <w:tcPr>
            <w:tcW w:w="1700" w:type="dxa"/>
            <w:noWrap/>
            <w:vAlign w:val="center"/>
          </w:tcPr>
          <w:p w14:paraId="6BD6DAE7">
            <w:pPr>
              <w:jc w:val="center"/>
              <w:rPr>
                <w:sz w:val="22"/>
                <w:szCs w:val="22"/>
              </w:rPr>
            </w:pPr>
            <w:r>
              <w:rPr>
                <w:sz w:val="22"/>
                <w:szCs w:val="22"/>
              </w:rPr>
              <w:t>1.082.500.000</w:t>
            </w:r>
          </w:p>
        </w:tc>
        <w:tc>
          <w:tcPr>
            <w:tcW w:w="1140" w:type="dxa"/>
            <w:noWrap/>
            <w:vAlign w:val="center"/>
          </w:tcPr>
          <w:p w14:paraId="2C98BC91">
            <w:pPr>
              <w:jc w:val="center"/>
              <w:rPr>
                <w:sz w:val="22"/>
                <w:szCs w:val="22"/>
              </w:rPr>
            </w:pPr>
            <w:r>
              <w:rPr>
                <w:sz w:val="22"/>
                <w:szCs w:val="22"/>
              </w:rPr>
              <w:t>1,13%</w:t>
            </w:r>
          </w:p>
        </w:tc>
      </w:tr>
      <w:tr w14:paraId="56C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FD3A27F">
            <w:pPr>
              <w:jc w:val="center"/>
              <w:rPr>
                <w:sz w:val="22"/>
                <w:szCs w:val="22"/>
              </w:rPr>
            </w:pPr>
            <w:r>
              <w:rPr>
                <w:sz w:val="22"/>
                <w:szCs w:val="22"/>
              </w:rPr>
              <w:t>34</w:t>
            </w:r>
          </w:p>
        </w:tc>
        <w:tc>
          <w:tcPr>
            <w:tcW w:w="1752" w:type="dxa"/>
            <w:noWrap/>
            <w:vAlign w:val="center"/>
          </w:tcPr>
          <w:p w14:paraId="150D9338">
            <w:pPr>
              <w:jc w:val="center"/>
              <w:rPr>
                <w:sz w:val="22"/>
                <w:szCs w:val="22"/>
              </w:rPr>
            </w:pPr>
          </w:p>
        </w:tc>
        <w:tc>
          <w:tcPr>
            <w:tcW w:w="944" w:type="dxa"/>
            <w:vMerge w:val="continue"/>
            <w:vAlign w:val="center"/>
          </w:tcPr>
          <w:p w14:paraId="44D57DD8">
            <w:pPr>
              <w:jc w:val="center"/>
              <w:rPr>
                <w:sz w:val="22"/>
                <w:szCs w:val="22"/>
              </w:rPr>
            </w:pPr>
          </w:p>
        </w:tc>
        <w:tc>
          <w:tcPr>
            <w:tcW w:w="1116" w:type="dxa"/>
            <w:vAlign w:val="center"/>
          </w:tcPr>
          <w:p w14:paraId="4D49B1A4">
            <w:pPr>
              <w:jc w:val="center"/>
              <w:rPr>
                <w:sz w:val="22"/>
                <w:szCs w:val="22"/>
              </w:rPr>
            </w:pPr>
            <w:r>
              <w:rPr>
                <w:sz w:val="22"/>
                <w:szCs w:val="22"/>
              </w:rPr>
              <w:t>35</w:t>
            </w:r>
          </w:p>
        </w:tc>
        <w:tc>
          <w:tcPr>
            <w:tcW w:w="1010" w:type="dxa"/>
            <w:noWrap/>
            <w:vAlign w:val="center"/>
          </w:tcPr>
          <w:p w14:paraId="1F30C92E">
            <w:pPr>
              <w:jc w:val="center"/>
              <w:rPr>
                <w:sz w:val="22"/>
                <w:szCs w:val="22"/>
              </w:rPr>
            </w:pPr>
            <w:r>
              <w:rPr>
                <w:sz w:val="22"/>
                <w:szCs w:val="22"/>
              </w:rPr>
              <w:t>120,00</w:t>
            </w:r>
          </w:p>
        </w:tc>
        <w:tc>
          <w:tcPr>
            <w:tcW w:w="1591" w:type="dxa"/>
            <w:noWrap/>
            <w:vAlign w:val="center"/>
          </w:tcPr>
          <w:p w14:paraId="2DA2B311">
            <w:pPr>
              <w:jc w:val="center"/>
              <w:rPr>
                <w:sz w:val="22"/>
                <w:szCs w:val="22"/>
              </w:rPr>
            </w:pPr>
            <w:r>
              <w:rPr>
                <w:sz w:val="22"/>
                <w:szCs w:val="22"/>
              </w:rPr>
              <w:t>960.000.000</w:t>
            </w:r>
          </w:p>
        </w:tc>
        <w:tc>
          <w:tcPr>
            <w:tcW w:w="1700" w:type="dxa"/>
            <w:noWrap/>
            <w:vAlign w:val="center"/>
          </w:tcPr>
          <w:p w14:paraId="55BC6658">
            <w:pPr>
              <w:jc w:val="center"/>
              <w:rPr>
                <w:sz w:val="22"/>
                <w:szCs w:val="22"/>
              </w:rPr>
            </w:pPr>
            <w:r>
              <w:rPr>
                <w:sz w:val="22"/>
                <w:szCs w:val="22"/>
              </w:rPr>
              <w:t>1.057.300.000</w:t>
            </w:r>
          </w:p>
        </w:tc>
        <w:tc>
          <w:tcPr>
            <w:tcW w:w="1140" w:type="dxa"/>
            <w:noWrap/>
            <w:vAlign w:val="center"/>
          </w:tcPr>
          <w:p w14:paraId="37AF2FA3">
            <w:pPr>
              <w:jc w:val="center"/>
              <w:rPr>
                <w:sz w:val="22"/>
                <w:szCs w:val="22"/>
              </w:rPr>
            </w:pPr>
            <w:r>
              <w:rPr>
                <w:sz w:val="22"/>
                <w:szCs w:val="22"/>
              </w:rPr>
              <w:t>1,10%</w:t>
            </w:r>
          </w:p>
        </w:tc>
      </w:tr>
      <w:tr w14:paraId="34BE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CCA9AA2">
            <w:pPr>
              <w:jc w:val="center"/>
              <w:rPr>
                <w:sz w:val="22"/>
                <w:szCs w:val="22"/>
              </w:rPr>
            </w:pPr>
            <w:r>
              <w:rPr>
                <w:sz w:val="22"/>
                <w:szCs w:val="22"/>
              </w:rPr>
              <w:t>35</w:t>
            </w:r>
          </w:p>
        </w:tc>
        <w:tc>
          <w:tcPr>
            <w:tcW w:w="1752" w:type="dxa"/>
            <w:noWrap/>
            <w:vAlign w:val="center"/>
          </w:tcPr>
          <w:p w14:paraId="239B0B20">
            <w:pPr>
              <w:jc w:val="center"/>
              <w:rPr>
                <w:sz w:val="22"/>
                <w:szCs w:val="22"/>
              </w:rPr>
            </w:pPr>
          </w:p>
        </w:tc>
        <w:tc>
          <w:tcPr>
            <w:tcW w:w="944" w:type="dxa"/>
            <w:vMerge w:val="continue"/>
            <w:vAlign w:val="center"/>
          </w:tcPr>
          <w:p w14:paraId="0E068F0A">
            <w:pPr>
              <w:jc w:val="center"/>
              <w:rPr>
                <w:sz w:val="22"/>
                <w:szCs w:val="22"/>
              </w:rPr>
            </w:pPr>
          </w:p>
        </w:tc>
        <w:tc>
          <w:tcPr>
            <w:tcW w:w="1116" w:type="dxa"/>
            <w:vAlign w:val="center"/>
          </w:tcPr>
          <w:p w14:paraId="2CAA1FE4">
            <w:pPr>
              <w:jc w:val="center"/>
              <w:rPr>
                <w:sz w:val="22"/>
                <w:szCs w:val="22"/>
              </w:rPr>
            </w:pPr>
            <w:r>
              <w:rPr>
                <w:sz w:val="22"/>
                <w:szCs w:val="22"/>
              </w:rPr>
              <w:t>36</w:t>
            </w:r>
          </w:p>
        </w:tc>
        <w:tc>
          <w:tcPr>
            <w:tcW w:w="1010" w:type="dxa"/>
            <w:noWrap/>
            <w:vAlign w:val="center"/>
          </w:tcPr>
          <w:p w14:paraId="15963C95">
            <w:pPr>
              <w:jc w:val="center"/>
              <w:rPr>
                <w:sz w:val="22"/>
                <w:szCs w:val="22"/>
              </w:rPr>
            </w:pPr>
            <w:r>
              <w:rPr>
                <w:sz w:val="22"/>
                <w:szCs w:val="22"/>
              </w:rPr>
              <w:t>120,00</w:t>
            </w:r>
          </w:p>
        </w:tc>
        <w:tc>
          <w:tcPr>
            <w:tcW w:w="1591" w:type="dxa"/>
            <w:noWrap/>
            <w:vAlign w:val="center"/>
          </w:tcPr>
          <w:p w14:paraId="3F9ECFEF">
            <w:pPr>
              <w:jc w:val="center"/>
              <w:rPr>
                <w:sz w:val="22"/>
                <w:szCs w:val="22"/>
              </w:rPr>
            </w:pPr>
            <w:r>
              <w:rPr>
                <w:sz w:val="22"/>
                <w:szCs w:val="22"/>
              </w:rPr>
              <w:t>960.000.000</w:t>
            </w:r>
          </w:p>
        </w:tc>
        <w:tc>
          <w:tcPr>
            <w:tcW w:w="1700" w:type="dxa"/>
            <w:noWrap/>
            <w:vAlign w:val="center"/>
          </w:tcPr>
          <w:p w14:paraId="4A9BD951">
            <w:pPr>
              <w:jc w:val="center"/>
              <w:rPr>
                <w:sz w:val="22"/>
                <w:szCs w:val="22"/>
              </w:rPr>
            </w:pPr>
            <w:r>
              <w:rPr>
                <w:sz w:val="22"/>
                <w:szCs w:val="22"/>
              </w:rPr>
              <w:t>1.057.000.000</w:t>
            </w:r>
          </w:p>
        </w:tc>
        <w:tc>
          <w:tcPr>
            <w:tcW w:w="1140" w:type="dxa"/>
            <w:noWrap/>
            <w:vAlign w:val="center"/>
          </w:tcPr>
          <w:p w14:paraId="57ECDBEE">
            <w:pPr>
              <w:jc w:val="center"/>
              <w:rPr>
                <w:sz w:val="22"/>
                <w:szCs w:val="22"/>
              </w:rPr>
            </w:pPr>
            <w:r>
              <w:rPr>
                <w:sz w:val="22"/>
                <w:szCs w:val="22"/>
              </w:rPr>
              <w:t>1,10%</w:t>
            </w:r>
          </w:p>
        </w:tc>
      </w:tr>
      <w:tr w14:paraId="68B0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C393428">
            <w:pPr>
              <w:jc w:val="center"/>
              <w:rPr>
                <w:sz w:val="22"/>
                <w:szCs w:val="22"/>
              </w:rPr>
            </w:pPr>
            <w:r>
              <w:rPr>
                <w:sz w:val="22"/>
                <w:szCs w:val="22"/>
              </w:rPr>
              <w:t>36</w:t>
            </w:r>
          </w:p>
        </w:tc>
        <w:tc>
          <w:tcPr>
            <w:tcW w:w="1752" w:type="dxa"/>
            <w:noWrap/>
            <w:vAlign w:val="center"/>
          </w:tcPr>
          <w:p w14:paraId="3992E116">
            <w:pPr>
              <w:jc w:val="center"/>
              <w:rPr>
                <w:sz w:val="22"/>
                <w:szCs w:val="22"/>
              </w:rPr>
            </w:pPr>
          </w:p>
        </w:tc>
        <w:tc>
          <w:tcPr>
            <w:tcW w:w="944" w:type="dxa"/>
            <w:vMerge w:val="continue"/>
            <w:vAlign w:val="center"/>
          </w:tcPr>
          <w:p w14:paraId="52D1DAE3">
            <w:pPr>
              <w:jc w:val="center"/>
              <w:rPr>
                <w:sz w:val="22"/>
                <w:szCs w:val="22"/>
              </w:rPr>
            </w:pPr>
          </w:p>
        </w:tc>
        <w:tc>
          <w:tcPr>
            <w:tcW w:w="1116" w:type="dxa"/>
            <w:vAlign w:val="center"/>
          </w:tcPr>
          <w:p w14:paraId="57C724C2">
            <w:pPr>
              <w:jc w:val="center"/>
              <w:rPr>
                <w:sz w:val="22"/>
                <w:szCs w:val="22"/>
              </w:rPr>
            </w:pPr>
            <w:r>
              <w:rPr>
                <w:sz w:val="22"/>
                <w:szCs w:val="22"/>
              </w:rPr>
              <w:t>37</w:t>
            </w:r>
          </w:p>
        </w:tc>
        <w:tc>
          <w:tcPr>
            <w:tcW w:w="1010" w:type="dxa"/>
            <w:noWrap/>
            <w:vAlign w:val="center"/>
          </w:tcPr>
          <w:p w14:paraId="0DDA0EB5">
            <w:pPr>
              <w:jc w:val="center"/>
              <w:rPr>
                <w:sz w:val="22"/>
                <w:szCs w:val="22"/>
              </w:rPr>
            </w:pPr>
            <w:r>
              <w:rPr>
                <w:sz w:val="22"/>
                <w:szCs w:val="22"/>
              </w:rPr>
              <w:t>120,00</w:t>
            </w:r>
          </w:p>
        </w:tc>
        <w:tc>
          <w:tcPr>
            <w:tcW w:w="1591" w:type="dxa"/>
            <w:noWrap/>
            <w:vAlign w:val="center"/>
          </w:tcPr>
          <w:p w14:paraId="0172DC45">
            <w:pPr>
              <w:jc w:val="center"/>
              <w:rPr>
                <w:sz w:val="22"/>
                <w:szCs w:val="22"/>
              </w:rPr>
            </w:pPr>
            <w:r>
              <w:rPr>
                <w:sz w:val="22"/>
                <w:szCs w:val="22"/>
              </w:rPr>
              <w:t>960.000.000</w:t>
            </w:r>
          </w:p>
        </w:tc>
        <w:tc>
          <w:tcPr>
            <w:tcW w:w="1700" w:type="dxa"/>
            <w:noWrap/>
            <w:vAlign w:val="center"/>
          </w:tcPr>
          <w:p w14:paraId="2E79047B">
            <w:pPr>
              <w:jc w:val="center"/>
              <w:rPr>
                <w:sz w:val="22"/>
                <w:szCs w:val="22"/>
              </w:rPr>
            </w:pPr>
            <w:r>
              <w:rPr>
                <w:sz w:val="22"/>
                <w:szCs w:val="22"/>
              </w:rPr>
              <w:t>1.091.500.000</w:t>
            </w:r>
          </w:p>
        </w:tc>
        <w:tc>
          <w:tcPr>
            <w:tcW w:w="1140" w:type="dxa"/>
            <w:noWrap/>
            <w:vAlign w:val="center"/>
          </w:tcPr>
          <w:p w14:paraId="73ADAC1D">
            <w:pPr>
              <w:jc w:val="center"/>
              <w:rPr>
                <w:sz w:val="22"/>
                <w:szCs w:val="22"/>
              </w:rPr>
            </w:pPr>
            <w:r>
              <w:rPr>
                <w:sz w:val="22"/>
                <w:szCs w:val="22"/>
              </w:rPr>
              <w:t>1,14%</w:t>
            </w:r>
          </w:p>
        </w:tc>
      </w:tr>
      <w:tr w14:paraId="51C4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EE3264A">
            <w:pPr>
              <w:jc w:val="center"/>
              <w:rPr>
                <w:sz w:val="22"/>
                <w:szCs w:val="22"/>
              </w:rPr>
            </w:pPr>
            <w:r>
              <w:rPr>
                <w:sz w:val="22"/>
                <w:szCs w:val="22"/>
              </w:rPr>
              <w:t>37</w:t>
            </w:r>
          </w:p>
        </w:tc>
        <w:tc>
          <w:tcPr>
            <w:tcW w:w="1752" w:type="dxa"/>
            <w:noWrap/>
            <w:vAlign w:val="center"/>
          </w:tcPr>
          <w:p w14:paraId="4B40CBD5">
            <w:pPr>
              <w:jc w:val="center"/>
              <w:rPr>
                <w:sz w:val="22"/>
                <w:szCs w:val="22"/>
              </w:rPr>
            </w:pPr>
          </w:p>
        </w:tc>
        <w:tc>
          <w:tcPr>
            <w:tcW w:w="944" w:type="dxa"/>
            <w:vMerge w:val="continue"/>
            <w:vAlign w:val="center"/>
          </w:tcPr>
          <w:p w14:paraId="0FD89A40">
            <w:pPr>
              <w:jc w:val="center"/>
              <w:rPr>
                <w:sz w:val="22"/>
                <w:szCs w:val="22"/>
              </w:rPr>
            </w:pPr>
          </w:p>
        </w:tc>
        <w:tc>
          <w:tcPr>
            <w:tcW w:w="1116" w:type="dxa"/>
            <w:vAlign w:val="center"/>
          </w:tcPr>
          <w:p w14:paraId="03A243FF">
            <w:pPr>
              <w:jc w:val="center"/>
              <w:rPr>
                <w:sz w:val="22"/>
                <w:szCs w:val="22"/>
              </w:rPr>
            </w:pPr>
            <w:r>
              <w:rPr>
                <w:sz w:val="22"/>
                <w:szCs w:val="22"/>
              </w:rPr>
              <w:t>38</w:t>
            </w:r>
          </w:p>
        </w:tc>
        <w:tc>
          <w:tcPr>
            <w:tcW w:w="1010" w:type="dxa"/>
            <w:noWrap/>
            <w:vAlign w:val="center"/>
          </w:tcPr>
          <w:p w14:paraId="031750B4">
            <w:pPr>
              <w:jc w:val="center"/>
              <w:rPr>
                <w:sz w:val="22"/>
                <w:szCs w:val="22"/>
              </w:rPr>
            </w:pPr>
            <w:r>
              <w:rPr>
                <w:sz w:val="22"/>
                <w:szCs w:val="22"/>
              </w:rPr>
              <w:t>120,00</w:t>
            </w:r>
          </w:p>
        </w:tc>
        <w:tc>
          <w:tcPr>
            <w:tcW w:w="1591" w:type="dxa"/>
            <w:noWrap/>
            <w:vAlign w:val="center"/>
          </w:tcPr>
          <w:p w14:paraId="307FAC4F">
            <w:pPr>
              <w:jc w:val="center"/>
              <w:rPr>
                <w:sz w:val="22"/>
                <w:szCs w:val="22"/>
              </w:rPr>
            </w:pPr>
            <w:r>
              <w:rPr>
                <w:sz w:val="22"/>
                <w:szCs w:val="22"/>
              </w:rPr>
              <w:t>960.000.000</w:t>
            </w:r>
          </w:p>
        </w:tc>
        <w:tc>
          <w:tcPr>
            <w:tcW w:w="1700" w:type="dxa"/>
            <w:noWrap/>
            <w:vAlign w:val="center"/>
          </w:tcPr>
          <w:p w14:paraId="2D021EE8">
            <w:pPr>
              <w:jc w:val="center"/>
              <w:rPr>
                <w:sz w:val="22"/>
                <w:szCs w:val="22"/>
              </w:rPr>
            </w:pPr>
            <w:r>
              <w:rPr>
                <w:sz w:val="22"/>
                <w:szCs w:val="22"/>
              </w:rPr>
              <w:t>1.095.500.000</w:t>
            </w:r>
          </w:p>
        </w:tc>
        <w:tc>
          <w:tcPr>
            <w:tcW w:w="1140" w:type="dxa"/>
            <w:noWrap/>
            <w:vAlign w:val="center"/>
          </w:tcPr>
          <w:p w14:paraId="45686A58">
            <w:pPr>
              <w:jc w:val="center"/>
              <w:rPr>
                <w:sz w:val="22"/>
                <w:szCs w:val="22"/>
              </w:rPr>
            </w:pPr>
            <w:r>
              <w:rPr>
                <w:sz w:val="22"/>
                <w:szCs w:val="22"/>
              </w:rPr>
              <w:t>1,14%</w:t>
            </w:r>
          </w:p>
        </w:tc>
      </w:tr>
      <w:tr w14:paraId="0597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DF1E1D2">
            <w:pPr>
              <w:jc w:val="center"/>
              <w:rPr>
                <w:sz w:val="22"/>
                <w:szCs w:val="22"/>
              </w:rPr>
            </w:pPr>
            <w:r>
              <w:rPr>
                <w:sz w:val="22"/>
                <w:szCs w:val="22"/>
              </w:rPr>
              <w:t>38</w:t>
            </w:r>
          </w:p>
        </w:tc>
        <w:tc>
          <w:tcPr>
            <w:tcW w:w="1752" w:type="dxa"/>
            <w:noWrap/>
            <w:vAlign w:val="center"/>
          </w:tcPr>
          <w:p w14:paraId="43714274">
            <w:pPr>
              <w:jc w:val="center"/>
              <w:rPr>
                <w:sz w:val="22"/>
                <w:szCs w:val="22"/>
              </w:rPr>
            </w:pPr>
          </w:p>
        </w:tc>
        <w:tc>
          <w:tcPr>
            <w:tcW w:w="944" w:type="dxa"/>
            <w:vMerge w:val="continue"/>
            <w:vAlign w:val="center"/>
          </w:tcPr>
          <w:p w14:paraId="6B0F3E12">
            <w:pPr>
              <w:jc w:val="center"/>
              <w:rPr>
                <w:sz w:val="22"/>
                <w:szCs w:val="22"/>
              </w:rPr>
            </w:pPr>
          </w:p>
        </w:tc>
        <w:tc>
          <w:tcPr>
            <w:tcW w:w="1116" w:type="dxa"/>
            <w:vAlign w:val="center"/>
          </w:tcPr>
          <w:p w14:paraId="42CD21E3">
            <w:pPr>
              <w:jc w:val="center"/>
              <w:rPr>
                <w:sz w:val="22"/>
                <w:szCs w:val="22"/>
              </w:rPr>
            </w:pPr>
            <w:r>
              <w:rPr>
                <w:sz w:val="22"/>
                <w:szCs w:val="22"/>
              </w:rPr>
              <w:t>39</w:t>
            </w:r>
          </w:p>
        </w:tc>
        <w:tc>
          <w:tcPr>
            <w:tcW w:w="1010" w:type="dxa"/>
            <w:noWrap/>
            <w:vAlign w:val="center"/>
          </w:tcPr>
          <w:p w14:paraId="5299EA4A">
            <w:pPr>
              <w:jc w:val="center"/>
              <w:rPr>
                <w:sz w:val="22"/>
                <w:szCs w:val="22"/>
              </w:rPr>
            </w:pPr>
            <w:r>
              <w:rPr>
                <w:sz w:val="22"/>
                <w:szCs w:val="22"/>
              </w:rPr>
              <w:t>120,00</w:t>
            </w:r>
          </w:p>
        </w:tc>
        <w:tc>
          <w:tcPr>
            <w:tcW w:w="1591" w:type="dxa"/>
            <w:noWrap/>
            <w:vAlign w:val="center"/>
          </w:tcPr>
          <w:p w14:paraId="75BDF724">
            <w:pPr>
              <w:jc w:val="center"/>
              <w:rPr>
                <w:sz w:val="22"/>
                <w:szCs w:val="22"/>
              </w:rPr>
            </w:pPr>
            <w:r>
              <w:rPr>
                <w:sz w:val="22"/>
                <w:szCs w:val="22"/>
              </w:rPr>
              <w:t>960.000.000</w:t>
            </w:r>
          </w:p>
        </w:tc>
        <w:tc>
          <w:tcPr>
            <w:tcW w:w="1700" w:type="dxa"/>
            <w:noWrap/>
            <w:vAlign w:val="center"/>
          </w:tcPr>
          <w:p w14:paraId="13BF0D40">
            <w:pPr>
              <w:jc w:val="center"/>
              <w:rPr>
                <w:sz w:val="22"/>
                <w:szCs w:val="22"/>
              </w:rPr>
            </w:pPr>
            <w:r>
              <w:rPr>
                <w:sz w:val="22"/>
                <w:szCs w:val="22"/>
              </w:rPr>
              <w:t>1.159.000.000</w:t>
            </w:r>
          </w:p>
        </w:tc>
        <w:tc>
          <w:tcPr>
            <w:tcW w:w="1140" w:type="dxa"/>
            <w:noWrap/>
            <w:vAlign w:val="center"/>
          </w:tcPr>
          <w:p w14:paraId="236C1CC1">
            <w:pPr>
              <w:jc w:val="center"/>
              <w:rPr>
                <w:sz w:val="22"/>
                <w:szCs w:val="22"/>
              </w:rPr>
            </w:pPr>
            <w:r>
              <w:rPr>
                <w:sz w:val="22"/>
                <w:szCs w:val="22"/>
              </w:rPr>
              <w:t>1,21%</w:t>
            </w:r>
          </w:p>
        </w:tc>
      </w:tr>
      <w:tr w14:paraId="366B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E07F365">
            <w:pPr>
              <w:jc w:val="center"/>
              <w:rPr>
                <w:sz w:val="22"/>
                <w:szCs w:val="22"/>
              </w:rPr>
            </w:pPr>
            <w:r>
              <w:rPr>
                <w:sz w:val="22"/>
                <w:szCs w:val="22"/>
              </w:rPr>
              <w:t>39</w:t>
            </w:r>
          </w:p>
        </w:tc>
        <w:tc>
          <w:tcPr>
            <w:tcW w:w="1752" w:type="dxa"/>
            <w:noWrap/>
            <w:vAlign w:val="center"/>
          </w:tcPr>
          <w:p w14:paraId="021141F6">
            <w:pPr>
              <w:jc w:val="center"/>
              <w:rPr>
                <w:sz w:val="22"/>
                <w:szCs w:val="22"/>
              </w:rPr>
            </w:pPr>
          </w:p>
        </w:tc>
        <w:tc>
          <w:tcPr>
            <w:tcW w:w="944" w:type="dxa"/>
            <w:vMerge w:val="continue"/>
            <w:vAlign w:val="center"/>
          </w:tcPr>
          <w:p w14:paraId="6B1C2CCB">
            <w:pPr>
              <w:jc w:val="center"/>
              <w:rPr>
                <w:sz w:val="22"/>
                <w:szCs w:val="22"/>
              </w:rPr>
            </w:pPr>
          </w:p>
        </w:tc>
        <w:tc>
          <w:tcPr>
            <w:tcW w:w="1116" w:type="dxa"/>
            <w:vAlign w:val="center"/>
          </w:tcPr>
          <w:p w14:paraId="32EF4AF4">
            <w:pPr>
              <w:jc w:val="center"/>
              <w:rPr>
                <w:sz w:val="22"/>
                <w:szCs w:val="22"/>
              </w:rPr>
            </w:pPr>
            <w:r>
              <w:rPr>
                <w:sz w:val="22"/>
                <w:szCs w:val="22"/>
              </w:rPr>
              <w:t>40</w:t>
            </w:r>
          </w:p>
        </w:tc>
        <w:tc>
          <w:tcPr>
            <w:tcW w:w="1010" w:type="dxa"/>
            <w:noWrap/>
            <w:vAlign w:val="center"/>
          </w:tcPr>
          <w:p w14:paraId="211B5014">
            <w:pPr>
              <w:jc w:val="center"/>
              <w:rPr>
                <w:sz w:val="22"/>
                <w:szCs w:val="22"/>
              </w:rPr>
            </w:pPr>
            <w:r>
              <w:rPr>
                <w:sz w:val="22"/>
                <w:szCs w:val="22"/>
              </w:rPr>
              <w:t>120,00</w:t>
            </w:r>
          </w:p>
        </w:tc>
        <w:tc>
          <w:tcPr>
            <w:tcW w:w="1591" w:type="dxa"/>
            <w:noWrap/>
            <w:vAlign w:val="center"/>
          </w:tcPr>
          <w:p w14:paraId="2FDBD626">
            <w:pPr>
              <w:jc w:val="center"/>
              <w:rPr>
                <w:sz w:val="22"/>
                <w:szCs w:val="22"/>
              </w:rPr>
            </w:pPr>
            <w:r>
              <w:rPr>
                <w:sz w:val="22"/>
                <w:szCs w:val="22"/>
              </w:rPr>
              <w:t>960.000.000</w:t>
            </w:r>
          </w:p>
        </w:tc>
        <w:tc>
          <w:tcPr>
            <w:tcW w:w="1700" w:type="dxa"/>
            <w:noWrap/>
            <w:vAlign w:val="center"/>
          </w:tcPr>
          <w:p w14:paraId="1FB34334">
            <w:pPr>
              <w:jc w:val="center"/>
              <w:rPr>
                <w:sz w:val="22"/>
                <w:szCs w:val="22"/>
              </w:rPr>
            </w:pPr>
            <w:r>
              <w:rPr>
                <w:sz w:val="22"/>
                <w:szCs w:val="22"/>
              </w:rPr>
              <w:t>1.089.000.000</w:t>
            </w:r>
          </w:p>
        </w:tc>
        <w:tc>
          <w:tcPr>
            <w:tcW w:w="1140" w:type="dxa"/>
            <w:noWrap/>
            <w:vAlign w:val="center"/>
          </w:tcPr>
          <w:p w14:paraId="3B25DBBC">
            <w:pPr>
              <w:jc w:val="center"/>
              <w:rPr>
                <w:sz w:val="22"/>
                <w:szCs w:val="22"/>
              </w:rPr>
            </w:pPr>
            <w:r>
              <w:rPr>
                <w:sz w:val="22"/>
                <w:szCs w:val="22"/>
              </w:rPr>
              <w:t>1,13%</w:t>
            </w:r>
          </w:p>
        </w:tc>
      </w:tr>
      <w:tr w14:paraId="6728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992A262">
            <w:pPr>
              <w:jc w:val="center"/>
              <w:rPr>
                <w:sz w:val="22"/>
                <w:szCs w:val="22"/>
              </w:rPr>
            </w:pPr>
            <w:r>
              <w:rPr>
                <w:sz w:val="22"/>
                <w:szCs w:val="22"/>
              </w:rPr>
              <w:t>40</w:t>
            </w:r>
          </w:p>
        </w:tc>
        <w:tc>
          <w:tcPr>
            <w:tcW w:w="1752" w:type="dxa"/>
            <w:noWrap/>
            <w:vAlign w:val="center"/>
          </w:tcPr>
          <w:p w14:paraId="696C77AB">
            <w:pPr>
              <w:jc w:val="center"/>
              <w:rPr>
                <w:sz w:val="22"/>
                <w:szCs w:val="22"/>
              </w:rPr>
            </w:pPr>
          </w:p>
        </w:tc>
        <w:tc>
          <w:tcPr>
            <w:tcW w:w="944" w:type="dxa"/>
            <w:vMerge w:val="continue"/>
            <w:vAlign w:val="center"/>
          </w:tcPr>
          <w:p w14:paraId="0137D4CF">
            <w:pPr>
              <w:jc w:val="center"/>
              <w:rPr>
                <w:sz w:val="22"/>
                <w:szCs w:val="22"/>
              </w:rPr>
            </w:pPr>
          </w:p>
        </w:tc>
        <w:tc>
          <w:tcPr>
            <w:tcW w:w="1116" w:type="dxa"/>
            <w:vAlign w:val="center"/>
          </w:tcPr>
          <w:p w14:paraId="55EBBC13">
            <w:pPr>
              <w:jc w:val="center"/>
              <w:rPr>
                <w:sz w:val="22"/>
                <w:szCs w:val="22"/>
              </w:rPr>
            </w:pPr>
            <w:r>
              <w:rPr>
                <w:sz w:val="22"/>
                <w:szCs w:val="22"/>
              </w:rPr>
              <w:t>41</w:t>
            </w:r>
          </w:p>
        </w:tc>
        <w:tc>
          <w:tcPr>
            <w:tcW w:w="1010" w:type="dxa"/>
            <w:noWrap/>
            <w:vAlign w:val="center"/>
          </w:tcPr>
          <w:p w14:paraId="4F9B0B8E">
            <w:pPr>
              <w:jc w:val="center"/>
              <w:rPr>
                <w:sz w:val="22"/>
                <w:szCs w:val="22"/>
              </w:rPr>
            </w:pPr>
            <w:r>
              <w:rPr>
                <w:sz w:val="22"/>
                <w:szCs w:val="22"/>
              </w:rPr>
              <w:t>120,00</w:t>
            </w:r>
          </w:p>
        </w:tc>
        <w:tc>
          <w:tcPr>
            <w:tcW w:w="1591" w:type="dxa"/>
            <w:noWrap/>
            <w:vAlign w:val="center"/>
          </w:tcPr>
          <w:p w14:paraId="0A17260C">
            <w:pPr>
              <w:jc w:val="center"/>
              <w:rPr>
                <w:sz w:val="22"/>
                <w:szCs w:val="22"/>
              </w:rPr>
            </w:pPr>
            <w:r>
              <w:rPr>
                <w:sz w:val="22"/>
                <w:szCs w:val="22"/>
              </w:rPr>
              <w:t>960.000.000</w:t>
            </w:r>
          </w:p>
        </w:tc>
        <w:tc>
          <w:tcPr>
            <w:tcW w:w="1700" w:type="dxa"/>
            <w:noWrap/>
            <w:vAlign w:val="center"/>
          </w:tcPr>
          <w:p w14:paraId="351B5D92">
            <w:pPr>
              <w:jc w:val="center"/>
              <w:rPr>
                <w:sz w:val="22"/>
                <w:szCs w:val="22"/>
              </w:rPr>
            </w:pPr>
            <w:r>
              <w:rPr>
                <w:sz w:val="22"/>
                <w:szCs w:val="22"/>
              </w:rPr>
              <w:t>1.080.000.000</w:t>
            </w:r>
          </w:p>
        </w:tc>
        <w:tc>
          <w:tcPr>
            <w:tcW w:w="1140" w:type="dxa"/>
            <w:noWrap/>
            <w:vAlign w:val="center"/>
          </w:tcPr>
          <w:p w14:paraId="75E18141">
            <w:pPr>
              <w:jc w:val="center"/>
              <w:rPr>
                <w:sz w:val="22"/>
                <w:szCs w:val="22"/>
              </w:rPr>
            </w:pPr>
            <w:r>
              <w:rPr>
                <w:sz w:val="22"/>
                <w:szCs w:val="22"/>
              </w:rPr>
              <w:t>1,13%</w:t>
            </w:r>
          </w:p>
        </w:tc>
      </w:tr>
      <w:tr w14:paraId="18D3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880BB70">
            <w:pPr>
              <w:jc w:val="center"/>
              <w:rPr>
                <w:sz w:val="22"/>
                <w:szCs w:val="22"/>
              </w:rPr>
            </w:pPr>
            <w:r>
              <w:rPr>
                <w:sz w:val="22"/>
                <w:szCs w:val="22"/>
              </w:rPr>
              <w:t>41</w:t>
            </w:r>
          </w:p>
        </w:tc>
        <w:tc>
          <w:tcPr>
            <w:tcW w:w="1752" w:type="dxa"/>
            <w:noWrap/>
            <w:vAlign w:val="center"/>
          </w:tcPr>
          <w:p w14:paraId="1DA37FC5">
            <w:pPr>
              <w:jc w:val="center"/>
              <w:rPr>
                <w:sz w:val="22"/>
                <w:szCs w:val="22"/>
              </w:rPr>
            </w:pPr>
          </w:p>
        </w:tc>
        <w:tc>
          <w:tcPr>
            <w:tcW w:w="944" w:type="dxa"/>
            <w:vMerge w:val="continue"/>
            <w:vAlign w:val="center"/>
          </w:tcPr>
          <w:p w14:paraId="2469785E">
            <w:pPr>
              <w:jc w:val="center"/>
              <w:rPr>
                <w:sz w:val="22"/>
                <w:szCs w:val="22"/>
              </w:rPr>
            </w:pPr>
          </w:p>
        </w:tc>
        <w:tc>
          <w:tcPr>
            <w:tcW w:w="1116" w:type="dxa"/>
            <w:vAlign w:val="center"/>
          </w:tcPr>
          <w:p w14:paraId="7D3B72C8">
            <w:pPr>
              <w:jc w:val="center"/>
              <w:rPr>
                <w:sz w:val="22"/>
                <w:szCs w:val="22"/>
              </w:rPr>
            </w:pPr>
            <w:r>
              <w:rPr>
                <w:sz w:val="22"/>
                <w:szCs w:val="22"/>
              </w:rPr>
              <w:t>42</w:t>
            </w:r>
          </w:p>
        </w:tc>
        <w:tc>
          <w:tcPr>
            <w:tcW w:w="1010" w:type="dxa"/>
            <w:noWrap/>
            <w:vAlign w:val="center"/>
          </w:tcPr>
          <w:p w14:paraId="6CAF4B2E">
            <w:pPr>
              <w:jc w:val="center"/>
              <w:rPr>
                <w:sz w:val="22"/>
                <w:szCs w:val="22"/>
              </w:rPr>
            </w:pPr>
            <w:r>
              <w:rPr>
                <w:sz w:val="22"/>
                <w:szCs w:val="22"/>
              </w:rPr>
              <w:t>120,00</w:t>
            </w:r>
          </w:p>
        </w:tc>
        <w:tc>
          <w:tcPr>
            <w:tcW w:w="1591" w:type="dxa"/>
            <w:noWrap/>
            <w:vAlign w:val="center"/>
          </w:tcPr>
          <w:p w14:paraId="1BE40C8A">
            <w:pPr>
              <w:jc w:val="center"/>
              <w:rPr>
                <w:sz w:val="22"/>
                <w:szCs w:val="22"/>
              </w:rPr>
            </w:pPr>
            <w:r>
              <w:rPr>
                <w:sz w:val="22"/>
                <w:szCs w:val="22"/>
              </w:rPr>
              <w:t>960.000.000</w:t>
            </w:r>
          </w:p>
        </w:tc>
        <w:tc>
          <w:tcPr>
            <w:tcW w:w="1700" w:type="dxa"/>
            <w:noWrap/>
            <w:vAlign w:val="center"/>
          </w:tcPr>
          <w:p w14:paraId="16C1C21B">
            <w:pPr>
              <w:jc w:val="center"/>
              <w:rPr>
                <w:sz w:val="22"/>
                <w:szCs w:val="22"/>
              </w:rPr>
            </w:pPr>
            <w:r>
              <w:rPr>
                <w:sz w:val="22"/>
                <w:szCs w:val="22"/>
              </w:rPr>
              <w:t>1.142.500.000</w:t>
            </w:r>
          </w:p>
        </w:tc>
        <w:tc>
          <w:tcPr>
            <w:tcW w:w="1140" w:type="dxa"/>
            <w:noWrap/>
            <w:vAlign w:val="center"/>
          </w:tcPr>
          <w:p w14:paraId="22405396">
            <w:pPr>
              <w:jc w:val="center"/>
              <w:rPr>
                <w:sz w:val="22"/>
                <w:szCs w:val="22"/>
              </w:rPr>
            </w:pPr>
            <w:r>
              <w:rPr>
                <w:sz w:val="22"/>
                <w:szCs w:val="22"/>
              </w:rPr>
              <w:t>1,19%</w:t>
            </w:r>
          </w:p>
        </w:tc>
      </w:tr>
      <w:tr w14:paraId="1984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18E9BD1">
            <w:pPr>
              <w:jc w:val="center"/>
              <w:rPr>
                <w:sz w:val="22"/>
                <w:szCs w:val="22"/>
              </w:rPr>
            </w:pPr>
            <w:r>
              <w:rPr>
                <w:sz w:val="22"/>
                <w:szCs w:val="22"/>
              </w:rPr>
              <w:t>42</w:t>
            </w:r>
          </w:p>
        </w:tc>
        <w:tc>
          <w:tcPr>
            <w:tcW w:w="1752" w:type="dxa"/>
            <w:noWrap/>
            <w:vAlign w:val="center"/>
          </w:tcPr>
          <w:p w14:paraId="56FC5932">
            <w:pPr>
              <w:jc w:val="center"/>
              <w:rPr>
                <w:sz w:val="22"/>
                <w:szCs w:val="22"/>
              </w:rPr>
            </w:pPr>
          </w:p>
        </w:tc>
        <w:tc>
          <w:tcPr>
            <w:tcW w:w="944" w:type="dxa"/>
            <w:vMerge w:val="restart"/>
            <w:noWrap/>
            <w:vAlign w:val="center"/>
          </w:tcPr>
          <w:p w14:paraId="29F6BCD1">
            <w:pPr>
              <w:jc w:val="center"/>
              <w:rPr>
                <w:sz w:val="22"/>
                <w:szCs w:val="22"/>
              </w:rPr>
            </w:pPr>
            <w:r>
              <w:rPr>
                <w:sz w:val="22"/>
                <w:szCs w:val="22"/>
              </w:rPr>
              <w:t>LK-08</w:t>
            </w:r>
          </w:p>
        </w:tc>
        <w:tc>
          <w:tcPr>
            <w:tcW w:w="1116" w:type="dxa"/>
            <w:vAlign w:val="center"/>
          </w:tcPr>
          <w:p w14:paraId="79B66135">
            <w:pPr>
              <w:jc w:val="center"/>
              <w:rPr>
                <w:sz w:val="22"/>
                <w:szCs w:val="22"/>
              </w:rPr>
            </w:pPr>
            <w:r>
              <w:rPr>
                <w:sz w:val="22"/>
                <w:szCs w:val="22"/>
              </w:rPr>
              <w:t>1</w:t>
            </w:r>
          </w:p>
        </w:tc>
        <w:tc>
          <w:tcPr>
            <w:tcW w:w="1010" w:type="dxa"/>
            <w:noWrap/>
            <w:vAlign w:val="center"/>
          </w:tcPr>
          <w:p w14:paraId="64BC32CD">
            <w:pPr>
              <w:jc w:val="center"/>
              <w:rPr>
                <w:sz w:val="22"/>
                <w:szCs w:val="22"/>
              </w:rPr>
            </w:pPr>
            <w:r>
              <w:rPr>
                <w:sz w:val="22"/>
                <w:szCs w:val="22"/>
              </w:rPr>
              <w:t>205,00</w:t>
            </w:r>
          </w:p>
        </w:tc>
        <w:tc>
          <w:tcPr>
            <w:tcW w:w="1591" w:type="dxa"/>
            <w:noWrap/>
            <w:vAlign w:val="center"/>
          </w:tcPr>
          <w:p w14:paraId="22F5C8C0">
            <w:pPr>
              <w:jc w:val="center"/>
              <w:rPr>
                <w:sz w:val="22"/>
                <w:szCs w:val="22"/>
              </w:rPr>
            </w:pPr>
            <w:r>
              <w:rPr>
                <w:sz w:val="22"/>
                <w:szCs w:val="22"/>
              </w:rPr>
              <w:t>2.460.000.000</w:t>
            </w:r>
          </w:p>
        </w:tc>
        <w:tc>
          <w:tcPr>
            <w:tcW w:w="1700" w:type="dxa"/>
            <w:noWrap/>
            <w:vAlign w:val="center"/>
          </w:tcPr>
          <w:p w14:paraId="4A234544">
            <w:pPr>
              <w:jc w:val="center"/>
              <w:rPr>
                <w:sz w:val="22"/>
                <w:szCs w:val="22"/>
              </w:rPr>
            </w:pPr>
            <w:r>
              <w:rPr>
                <w:sz w:val="22"/>
                <w:szCs w:val="22"/>
              </w:rPr>
              <w:t>2.672.500.000</w:t>
            </w:r>
          </w:p>
        </w:tc>
        <w:tc>
          <w:tcPr>
            <w:tcW w:w="1140" w:type="dxa"/>
            <w:noWrap/>
            <w:vAlign w:val="center"/>
          </w:tcPr>
          <w:p w14:paraId="46252189">
            <w:pPr>
              <w:jc w:val="center"/>
              <w:rPr>
                <w:sz w:val="22"/>
                <w:szCs w:val="22"/>
              </w:rPr>
            </w:pPr>
            <w:r>
              <w:rPr>
                <w:sz w:val="22"/>
                <w:szCs w:val="22"/>
              </w:rPr>
              <w:t>1,09%</w:t>
            </w:r>
          </w:p>
        </w:tc>
      </w:tr>
      <w:tr w14:paraId="1AFA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802E344">
            <w:pPr>
              <w:jc w:val="center"/>
              <w:rPr>
                <w:sz w:val="22"/>
                <w:szCs w:val="22"/>
              </w:rPr>
            </w:pPr>
            <w:r>
              <w:rPr>
                <w:sz w:val="22"/>
                <w:szCs w:val="22"/>
              </w:rPr>
              <w:t>43</w:t>
            </w:r>
          </w:p>
        </w:tc>
        <w:tc>
          <w:tcPr>
            <w:tcW w:w="1752" w:type="dxa"/>
            <w:noWrap/>
            <w:vAlign w:val="center"/>
          </w:tcPr>
          <w:p w14:paraId="71D56D89">
            <w:pPr>
              <w:jc w:val="center"/>
              <w:rPr>
                <w:sz w:val="22"/>
                <w:szCs w:val="22"/>
              </w:rPr>
            </w:pPr>
          </w:p>
        </w:tc>
        <w:tc>
          <w:tcPr>
            <w:tcW w:w="944" w:type="dxa"/>
            <w:vMerge w:val="continue"/>
            <w:vAlign w:val="center"/>
          </w:tcPr>
          <w:p w14:paraId="23D805B3">
            <w:pPr>
              <w:jc w:val="center"/>
              <w:rPr>
                <w:sz w:val="22"/>
                <w:szCs w:val="22"/>
              </w:rPr>
            </w:pPr>
          </w:p>
        </w:tc>
        <w:tc>
          <w:tcPr>
            <w:tcW w:w="1116" w:type="dxa"/>
            <w:vAlign w:val="center"/>
          </w:tcPr>
          <w:p w14:paraId="315F7148">
            <w:pPr>
              <w:jc w:val="center"/>
              <w:rPr>
                <w:sz w:val="22"/>
                <w:szCs w:val="22"/>
              </w:rPr>
            </w:pPr>
            <w:r>
              <w:rPr>
                <w:sz w:val="22"/>
                <w:szCs w:val="22"/>
              </w:rPr>
              <w:t>4</w:t>
            </w:r>
          </w:p>
        </w:tc>
        <w:tc>
          <w:tcPr>
            <w:tcW w:w="1010" w:type="dxa"/>
            <w:noWrap/>
            <w:vAlign w:val="center"/>
          </w:tcPr>
          <w:p w14:paraId="3589950C">
            <w:pPr>
              <w:jc w:val="center"/>
              <w:rPr>
                <w:sz w:val="22"/>
                <w:szCs w:val="22"/>
              </w:rPr>
            </w:pPr>
            <w:r>
              <w:rPr>
                <w:sz w:val="22"/>
                <w:szCs w:val="22"/>
              </w:rPr>
              <w:t>136,00</w:t>
            </w:r>
          </w:p>
        </w:tc>
        <w:tc>
          <w:tcPr>
            <w:tcW w:w="1591" w:type="dxa"/>
            <w:noWrap/>
            <w:vAlign w:val="center"/>
          </w:tcPr>
          <w:p w14:paraId="7A27C88B">
            <w:pPr>
              <w:jc w:val="center"/>
              <w:rPr>
                <w:sz w:val="22"/>
                <w:szCs w:val="22"/>
              </w:rPr>
            </w:pPr>
            <w:r>
              <w:rPr>
                <w:sz w:val="22"/>
                <w:szCs w:val="22"/>
              </w:rPr>
              <w:t>1.360.000.000</w:t>
            </w:r>
          </w:p>
        </w:tc>
        <w:tc>
          <w:tcPr>
            <w:tcW w:w="1700" w:type="dxa"/>
            <w:noWrap/>
            <w:vAlign w:val="center"/>
          </w:tcPr>
          <w:p w14:paraId="63457EDF">
            <w:pPr>
              <w:jc w:val="center"/>
              <w:rPr>
                <w:sz w:val="22"/>
                <w:szCs w:val="22"/>
              </w:rPr>
            </w:pPr>
            <w:r>
              <w:rPr>
                <w:sz w:val="22"/>
                <w:szCs w:val="22"/>
              </w:rPr>
              <w:t>1.453.000.000</w:t>
            </w:r>
          </w:p>
        </w:tc>
        <w:tc>
          <w:tcPr>
            <w:tcW w:w="1140" w:type="dxa"/>
            <w:noWrap/>
            <w:vAlign w:val="center"/>
          </w:tcPr>
          <w:p w14:paraId="7C210CF2">
            <w:pPr>
              <w:jc w:val="center"/>
              <w:rPr>
                <w:sz w:val="22"/>
                <w:szCs w:val="22"/>
              </w:rPr>
            </w:pPr>
            <w:r>
              <w:rPr>
                <w:sz w:val="22"/>
                <w:szCs w:val="22"/>
              </w:rPr>
              <w:t>1,07%</w:t>
            </w:r>
          </w:p>
        </w:tc>
      </w:tr>
      <w:tr w14:paraId="68B7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B229921">
            <w:pPr>
              <w:jc w:val="center"/>
              <w:rPr>
                <w:sz w:val="22"/>
                <w:szCs w:val="22"/>
              </w:rPr>
            </w:pPr>
            <w:r>
              <w:rPr>
                <w:sz w:val="22"/>
                <w:szCs w:val="22"/>
              </w:rPr>
              <w:t>44</w:t>
            </w:r>
          </w:p>
        </w:tc>
        <w:tc>
          <w:tcPr>
            <w:tcW w:w="1752" w:type="dxa"/>
            <w:noWrap/>
            <w:vAlign w:val="center"/>
          </w:tcPr>
          <w:p w14:paraId="19594748">
            <w:pPr>
              <w:jc w:val="center"/>
              <w:rPr>
                <w:sz w:val="22"/>
                <w:szCs w:val="22"/>
              </w:rPr>
            </w:pPr>
          </w:p>
        </w:tc>
        <w:tc>
          <w:tcPr>
            <w:tcW w:w="944" w:type="dxa"/>
            <w:vMerge w:val="continue"/>
            <w:vAlign w:val="center"/>
          </w:tcPr>
          <w:p w14:paraId="111042CA">
            <w:pPr>
              <w:jc w:val="center"/>
              <w:rPr>
                <w:sz w:val="22"/>
                <w:szCs w:val="22"/>
              </w:rPr>
            </w:pPr>
          </w:p>
        </w:tc>
        <w:tc>
          <w:tcPr>
            <w:tcW w:w="1116" w:type="dxa"/>
            <w:vAlign w:val="center"/>
          </w:tcPr>
          <w:p w14:paraId="37DF0A9D">
            <w:pPr>
              <w:jc w:val="center"/>
              <w:rPr>
                <w:sz w:val="22"/>
                <w:szCs w:val="22"/>
              </w:rPr>
            </w:pPr>
            <w:r>
              <w:rPr>
                <w:sz w:val="22"/>
                <w:szCs w:val="22"/>
              </w:rPr>
              <w:t>6</w:t>
            </w:r>
          </w:p>
        </w:tc>
        <w:tc>
          <w:tcPr>
            <w:tcW w:w="1010" w:type="dxa"/>
            <w:noWrap/>
            <w:vAlign w:val="center"/>
          </w:tcPr>
          <w:p w14:paraId="02A6EA9A">
            <w:pPr>
              <w:jc w:val="center"/>
              <w:rPr>
                <w:sz w:val="22"/>
                <w:szCs w:val="22"/>
              </w:rPr>
            </w:pPr>
            <w:r>
              <w:rPr>
                <w:sz w:val="22"/>
                <w:szCs w:val="22"/>
              </w:rPr>
              <w:t>136,00</w:t>
            </w:r>
          </w:p>
        </w:tc>
        <w:tc>
          <w:tcPr>
            <w:tcW w:w="1591" w:type="dxa"/>
            <w:noWrap/>
            <w:vAlign w:val="center"/>
          </w:tcPr>
          <w:p w14:paraId="5882C6F2">
            <w:pPr>
              <w:jc w:val="center"/>
              <w:rPr>
                <w:sz w:val="22"/>
                <w:szCs w:val="22"/>
              </w:rPr>
            </w:pPr>
            <w:r>
              <w:rPr>
                <w:sz w:val="22"/>
                <w:szCs w:val="22"/>
              </w:rPr>
              <w:t>1.360.000.000</w:t>
            </w:r>
          </w:p>
        </w:tc>
        <w:tc>
          <w:tcPr>
            <w:tcW w:w="1700" w:type="dxa"/>
            <w:noWrap/>
            <w:vAlign w:val="center"/>
          </w:tcPr>
          <w:p w14:paraId="2C172A2E">
            <w:pPr>
              <w:jc w:val="center"/>
              <w:rPr>
                <w:sz w:val="22"/>
                <w:szCs w:val="22"/>
              </w:rPr>
            </w:pPr>
            <w:r>
              <w:rPr>
                <w:sz w:val="22"/>
                <w:szCs w:val="22"/>
              </w:rPr>
              <w:t>1.537.200.000</w:t>
            </w:r>
          </w:p>
        </w:tc>
        <w:tc>
          <w:tcPr>
            <w:tcW w:w="1140" w:type="dxa"/>
            <w:noWrap/>
            <w:vAlign w:val="center"/>
          </w:tcPr>
          <w:p w14:paraId="0FB9DF49">
            <w:pPr>
              <w:jc w:val="center"/>
              <w:rPr>
                <w:sz w:val="22"/>
                <w:szCs w:val="22"/>
              </w:rPr>
            </w:pPr>
            <w:r>
              <w:rPr>
                <w:sz w:val="22"/>
                <w:szCs w:val="22"/>
              </w:rPr>
              <w:t>1,13%</w:t>
            </w:r>
          </w:p>
        </w:tc>
      </w:tr>
      <w:tr w14:paraId="038F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95A6D20">
            <w:pPr>
              <w:jc w:val="center"/>
              <w:rPr>
                <w:sz w:val="22"/>
                <w:szCs w:val="22"/>
              </w:rPr>
            </w:pPr>
            <w:r>
              <w:rPr>
                <w:sz w:val="22"/>
                <w:szCs w:val="22"/>
              </w:rPr>
              <w:t>45</w:t>
            </w:r>
          </w:p>
        </w:tc>
        <w:tc>
          <w:tcPr>
            <w:tcW w:w="1752" w:type="dxa"/>
            <w:noWrap/>
            <w:vAlign w:val="center"/>
          </w:tcPr>
          <w:p w14:paraId="4D194C53">
            <w:pPr>
              <w:jc w:val="center"/>
              <w:rPr>
                <w:sz w:val="22"/>
                <w:szCs w:val="22"/>
              </w:rPr>
            </w:pPr>
          </w:p>
        </w:tc>
        <w:tc>
          <w:tcPr>
            <w:tcW w:w="944" w:type="dxa"/>
            <w:vMerge w:val="continue"/>
            <w:vAlign w:val="center"/>
          </w:tcPr>
          <w:p w14:paraId="5E91F4FA">
            <w:pPr>
              <w:jc w:val="center"/>
              <w:rPr>
                <w:sz w:val="22"/>
                <w:szCs w:val="22"/>
              </w:rPr>
            </w:pPr>
          </w:p>
        </w:tc>
        <w:tc>
          <w:tcPr>
            <w:tcW w:w="1116" w:type="dxa"/>
            <w:vAlign w:val="center"/>
          </w:tcPr>
          <w:p w14:paraId="206FF915">
            <w:pPr>
              <w:jc w:val="center"/>
              <w:rPr>
                <w:sz w:val="22"/>
                <w:szCs w:val="22"/>
              </w:rPr>
            </w:pPr>
            <w:r>
              <w:rPr>
                <w:sz w:val="22"/>
                <w:szCs w:val="22"/>
              </w:rPr>
              <w:t>7</w:t>
            </w:r>
          </w:p>
        </w:tc>
        <w:tc>
          <w:tcPr>
            <w:tcW w:w="1010" w:type="dxa"/>
            <w:noWrap/>
            <w:vAlign w:val="center"/>
          </w:tcPr>
          <w:p w14:paraId="02B36171">
            <w:pPr>
              <w:jc w:val="center"/>
              <w:rPr>
                <w:sz w:val="22"/>
                <w:szCs w:val="22"/>
              </w:rPr>
            </w:pPr>
            <w:r>
              <w:rPr>
                <w:sz w:val="22"/>
                <w:szCs w:val="22"/>
              </w:rPr>
              <w:t>136,00</w:t>
            </w:r>
          </w:p>
        </w:tc>
        <w:tc>
          <w:tcPr>
            <w:tcW w:w="1591" w:type="dxa"/>
            <w:noWrap/>
            <w:vAlign w:val="center"/>
          </w:tcPr>
          <w:p w14:paraId="36ADD21E">
            <w:pPr>
              <w:jc w:val="center"/>
              <w:rPr>
                <w:sz w:val="22"/>
                <w:szCs w:val="22"/>
              </w:rPr>
            </w:pPr>
            <w:r>
              <w:rPr>
                <w:sz w:val="22"/>
                <w:szCs w:val="22"/>
              </w:rPr>
              <w:t>1.360.000.000</w:t>
            </w:r>
          </w:p>
        </w:tc>
        <w:tc>
          <w:tcPr>
            <w:tcW w:w="1700" w:type="dxa"/>
            <w:noWrap/>
            <w:vAlign w:val="center"/>
          </w:tcPr>
          <w:p w14:paraId="456286DE">
            <w:pPr>
              <w:jc w:val="center"/>
              <w:rPr>
                <w:sz w:val="22"/>
                <w:szCs w:val="22"/>
              </w:rPr>
            </w:pPr>
            <w:r>
              <w:rPr>
                <w:sz w:val="22"/>
                <w:szCs w:val="22"/>
              </w:rPr>
              <w:t>1.461.000.000</w:t>
            </w:r>
          </w:p>
        </w:tc>
        <w:tc>
          <w:tcPr>
            <w:tcW w:w="1140" w:type="dxa"/>
            <w:noWrap/>
            <w:vAlign w:val="center"/>
          </w:tcPr>
          <w:p w14:paraId="6FDCC571">
            <w:pPr>
              <w:jc w:val="center"/>
              <w:rPr>
                <w:sz w:val="22"/>
                <w:szCs w:val="22"/>
              </w:rPr>
            </w:pPr>
            <w:r>
              <w:rPr>
                <w:sz w:val="22"/>
                <w:szCs w:val="22"/>
              </w:rPr>
              <w:t>1,07%</w:t>
            </w:r>
          </w:p>
        </w:tc>
      </w:tr>
      <w:tr w14:paraId="34AB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191824C">
            <w:pPr>
              <w:jc w:val="center"/>
              <w:rPr>
                <w:sz w:val="22"/>
                <w:szCs w:val="22"/>
              </w:rPr>
            </w:pPr>
            <w:r>
              <w:rPr>
                <w:sz w:val="22"/>
                <w:szCs w:val="22"/>
              </w:rPr>
              <w:t>46</w:t>
            </w:r>
          </w:p>
        </w:tc>
        <w:tc>
          <w:tcPr>
            <w:tcW w:w="1752" w:type="dxa"/>
            <w:noWrap/>
            <w:vAlign w:val="center"/>
          </w:tcPr>
          <w:p w14:paraId="36406EFB">
            <w:pPr>
              <w:jc w:val="center"/>
              <w:rPr>
                <w:sz w:val="22"/>
                <w:szCs w:val="22"/>
              </w:rPr>
            </w:pPr>
          </w:p>
        </w:tc>
        <w:tc>
          <w:tcPr>
            <w:tcW w:w="944" w:type="dxa"/>
            <w:vMerge w:val="continue"/>
            <w:vAlign w:val="center"/>
          </w:tcPr>
          <w:p w14:paraId="60EE7710">
            <w:pPr>
              <w:jc w:val="center"/>
              <w:rPr>
                <w:sz w:val="22"/>
                <w:szCs w:val="22"/>
              </w:rPr>
            </w:pPr>
          </w:p>
        </w:tc>
        <w:tc>
          <w:tcPr>
            <w:tcW w:w="1116" w:type="dxa"/>
            <w:vAlign w:val="center"/>
          </w:tcPr>
          <w:p w14:paraId="375A7F86">
            <w:pPr>
              <w:jc w:val="center"/>
              <w:rPr>
                <w:sz w:val="22"/>
                <w:szCs w:val="22"/>
              </w:rPr>
            </w:pPr>
            <w:r>
              <w:rPr>
                <w:sz w:val="22"/>
                <w:szCs w:val="22"/>
              </w:rPr>
              <w:t>10</w:t>
            </w:r>
          </w:p>
        </w:tc>
        <w:tc>
          <w:tcPr>
            <w:tcW w:w="1010" w:type="dxa"/>
            <w:noWrap/>
            <w:vAlign w:val="center"/>
          </w:tcPr>
          <w:p w14:paraId="25DB01F0">
            <w:pPr>
              <w:jc w:val="center"/>
              <w:rPr>
                <w:sz w:val="22"/>
                <w:szCs w:val="22"/>
              </w:rPr>
            </w:pPr>
            <w:r>
              <w:rPr>
                <w:sz w:val="22"/>
                <w:szCs w:val="22"/>
              </w:rPr>
              <w:t>136,00</w:t>
            </w:r>
          </w:p>
        </w:tc>
        <w:tc>
          <w:tcPr>
            <w:tcW w:w="1591" w:type="dxa"/>
            <w:noWrap/>
            <w:vAlign w:val="center"/>
          </w:tcPr>
          <w:p w14:paraId="5DE607E3">
            <w:pPr>
              <w:jc w:val="center"/>
              <w:rPr>
                <w:sz w:val="22"/>
                <w:szCs w:val="22"/>
              </w:rPr>
            </w:pPr>
            <w:r>
              <w:rPr>
                <w:sz w:val="22"/>
                <w:szCs w:val="22"/>
              </w:rPr>
              <w:t>1.360.000.000</w:t>
            </w:r>
          </w:p>
        </w:tc>
        <w:tc>
          <w:tcPr>
            <w:tcW w:w="1700" w:type="dxa"/>
            <w:noWrap/>
            <w:vAlign w:val="center"/>
          </w:tcPr>
          <w:p w14:paraId="5CC9760A">
            <w:pPr>
              <w:jc w:val="center"/>
              <w:rPr>
                <w:sz w:val="22"/>
                <w:szCs w:val="22"/>
              </w:rPr>
            </w:pPr>
            <w:r>
              <w:rPr>
                <w:sz w:val="22"/>
                <w:szCs w:val="22"/>
              </w:rPr>
              <w:t>1.497.000.000</w:t>
            </w:r>
          </w:p>
        </w:tc>
        <w:tc>
          <w:tcPr>
            <w:tcW w:w="1140" w:type="dxa"/>
            <w:noWrap/>
            <w:vAlign w:val="center"/>
          </w:tcPr>
          <w:p w14:paraId="37C25106">
            <w:pPr>
              <w:jc w:val="center"/>
              <w:rPr>
                <w:sz w:val="22"/>
                <w:szCs w:val="22"/>
              </w:rPr>
            </w:pPr>
            <w:r>
              <w:rPr>
                <w:sz w:val="22"/>
                <w:szCs w:val="22"/>
              </w:rPr>
              <w:t>1,10%</w:t>
            </w:r>
          </w:p>
        </w:tc>
      </w:tr>
      <w:tr w14:paraId="42CF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4587C99">
            <w:pPr>
              <w:jc w:val="center"/>
              <w:rPr>
                <w:sz w:val="22"/>
                <w:szCs w:val="22"/>
              </w:rPr>
            </w:pPr>
            <w:r>
              <w:rPr>
                <w:sz w:val="22"/>
                <w:szCs w:val="22"/>
              </w:rPr>
              <w:t>47</w:t>
            </w:r>
          </w:p>
        </w:tc>
        <w:tc>
          <w:tcPr>
            <w:tcW w:w="1752" w:type="dxa"/>
            <w:noWrap/>
            <w:vAlign w:val="center"/>
          </w:tcPr>
          <w:p w14:paraId="71B0AE1B">
            <w:pPr>
              <w:jc w:val="center"/>
              <w:rPr>
                <w:sz w:val="22"/>
                <w:szCs w:val="22"/>
              </w:rPr>
            </w:pPr>
          </w:p>
        </w:tc>
        <w:tc>
          <w:tcPr>
            <w:tcW w:w="944" w:type="dxa"/>
            <w:vMerge w:val="continue"/>
            <w:vAlign w:val="center"/>
          </w:tcPr>
          <w:p w14:paraId="22142850">
            <w:pPr>
              <w:jc w:val="center"/>
              <w:rPr>
                <w:sz w:val="22"/>
                <w:szCs w:val="22"/>
              </w:rPr>
            </w:pPr>
          </w:p>
        </w:tc>
        <w:tc>
          <w:tcPr>
            <w:tcW w:w="1116" w:type="dxa"/>
            <w:vAlign w:val="center"/>
          </w:tcPr>
          <w:p w14:paraId="7A5B4B1E">
            <w:pPr>
              <w:jc w:val="center"/>
              <w:rPr>
                <w:sz w:val="22"/>
                <w:szCs w:val="22"/>
              </w:rPr>
            </w:pPr>
            <w:r>
              <w:rPr>
                <w:sz w:val="22"/>
                <w:szCs w:val="22"/>
              </w:rPr>
              <w:t>13</w:t>
            </w:r>
          </w:p>
        </w:tc>
        <w:tc>
          <w:tcPr>
            <w:tcW w:w="1010" w:type="dxa"/>
            <w:noWrap/>
            <w:vAlign w:val="center"/>
          </w:tcPr>
          <w:p w14:paraId="1B5DB7BC">
            <w:pPr>
              <w:jc w:val="center"/>
              <w:rPr>
                <w:sz w:val="22"/>
                <w:szCs w:val="22"/>
              </w:rPr>
            </w:pPr>
            <w:r>
              <w:rPr>
                <w:sz w:val="22"/>
                <w:szCs w:val="22"/>
              </w:rPr>
              <w:t>136,00</w:t>
            </w:r>
          </w:p>
        </w:tc>
        <w:tc>
          <w:tcPr>
            <w:tcW w:w="1591" w:type="dxa"/>
            <w:noWrap/>
            <w:vAlign w:val="center"/>
          </w:tcPr>
          <w:p w14:paraId="755E6842">
            <w:pPr>
              <w:jc w:val="center"/>
              <w:rPr>
                <w:sz w:val="22"/>
                <w:szCs w:val="22"/>
              </w:rPr>
            </w:pPr>
            <w:r>
              <w:rPr>
                <w:sz w:val="22"/>
                <w:szCs w:val="22"/>
              </w:rPr>
              <w:t>1.360.000.000</w:t>
            </w:r>
          </w:p>
        </w:tc>
        <w:tc>
          <w:tcPr>
            <w:tcW w:w="1700" w:type="dxa"/>
            <w:noWrap/>
            <w:vAlign w:val="center"/>
          </w:tcPr>
          <w:p w14:paraId="41D29853">
            <w:pPr>
              <w:jc w:val="center"/>
              <w:rPr>
                <w:sz w:val="22"/>
                <w:szCs w:val="22"/>
              </w:rPr>
            </w:pPr>
            <w:r>
              <w:rPr>
                <w:sz w:val="22"/>
                <w:szCs w:val="22"/>
              </w:rPr>
              <w:t>1.546.500.000</w:t>
            </w:r>
          </w:p>
        </w:tc>
        <w:tc>
          <w:tcPr>
            <w:tcW w:w="1140" w:type="dxa"/>
            <w:noWrap/>
            <w:vAlign w:val="center"/>
          </w:tcPr>
          <w:p w14:paraId="472A74CE">
            <w:pPr>
              <w:jc w:val="center"/>
              <w:rPr>
                <w:sz w:val="22"/>
                <w:szCs w:val="22"/>
              </w:rPr>
            </w:pPr>
            <w:r>
              <w:rPr>
                <w:sz w:val="22"/>
                <w:szCs w:val="22"/>
              </w:rPr>
              <w:t>1,14%</w:t>
            </w:r>
          </w:p>
        </w:tc>
      </w:tr>
      <w:tr w14:paraId="33F9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A46568C">
            <w:pPr>
              <w:jc w:val="center"/>
              <w:rPr>
                <w:sz w:val="22"/>
                <w:szCs w:val="22"/>
              </w:rPr>
            </w:pPr>
            <w:r>
              <w:rPr>
                <w:sz w:val="22"/>
                <w:szCs w:val="22"/>
              </w:rPr>
              <w:t>48</w:t>
            </w:r>
          </w:p>
        </w:tc>
        <w:tc>
          <w:tcPr>
            <w:tcW w:w="1752" w:type="dxa"/>
            <w:noWrap/>
            <w:vAlign w:val="center"/>
          </w:tcPr>
          <w:p w14:paraId="377311E0">
            <w:pPr>
              <w:jc w:val="center"/>
              <w:rPr>
                <w:sz w:val="22"/>
                <w:szCs w:val="22"/>
              </w:rPr>
            </w:pPr>
          </w:p>
        </w:tc>
        <w:tc>
          <w:tcPr>
            <w:tcW w:w="944" w:type="dxa"/>
            <w:vMerge w:val="continue"/>
            <w:vAlign w:val="center"/>
          </w:tcPr>
          <w:p w14:paraId="5481901F">
            <w:pPr>
              <w:jc w:val="center"/>
              <w:rPr>
                <w:sz w:val="22"/>
                <w:szCs w:val="22"/>
              </w:rPr>
            </w:pPr>
          </w:p>
        </w:tc>
        <w:tc>
          <w:tcPr>
            <w:tcW w:w="1116" w:type="dxa"/>
            <w:vAlign w:val="center"/>
          </w:tcPr>
          <w:p w14:paraId="0982D5A0">
            <w:pPr>
              <w:jc w:val="center"/>
              <w:rPr>
                <w:sz w:val="22"/>
                <w:szCs w:val="22"/>
              </w:rPr>
            </w:pPr>
            <w:r>
              <w:rPr>
                <w:sz w:val="22"/>
                <w:szCs w:val="22"/>
              </w:rPr>
              <w:t>14</w:t>
            </w:r>
          </w:p>
        </w:tc>
        <w:tc>
          <w:tcPr>
            <w:tcW w:w="1010" w:type="dxa"/>
            <w:noWrap/>
            <w:vAlign w:val="center"/>
          </w:tcPr>
          <w:p w14:paraId="7B49FEDD">
            <w:pPr>
              <w:jc w:val="center"/>
              <w:rPr>
                <w:sz w:val="22"/>
                <w:szCs w:val="22"/>
              </w:rPr>
            </w:pPr>
            <w:r>
              <w:rPr>
                <w:sz w:val="22"/>
                <w:szCs w:val="22"/>
              </w:rPr>
              <w:t>136,00</w:t>
            </w:r>
          </w:p>
        </w:tc>
        <w:tc>
          <w:tcPr>
            <w:tcW w:w="1591" w:type="dxa"/>
            <w:noWrap/>
            <w:vAlign w:val="center"/>
          </w:tcPr>
          <w:p w14:paraId="60C356C6">
            <w:pPr>
              <w:jc w:val="center"/>
              <w:rPr>
                <w:sz w:val="22"/>
                <w:szCs w:val="22"/>
              </w:rPr>
            </w:pPr>
            <w:r>
              <w:rPr>
                <w:sz w:val="22"/>
                <w:szCs w:val="22"/>
              </w:rPr>
              <w:t>1.360.000.000</w:t>
            </w:r>
          </w:p>
        </w:tc>
        <w:tc>
          <w:tcPr>
            <w:tcW w:w="1700" w:type="dxa"/>
            <w:noWrap/>
            <w:vAlign w:val="center"/>
          </w:tcPr>
          <w:p w14:paraId="40E4D8C0">
            <w:pPr>
              <w:jc w:val="center"/>
              <w:rPr>
                <w:sz w:val="22"/>
                <w:szCs w:val="22"/>
              </w:rPr>
            </w:pPr>
            <w:r>
              <w:rPr>
                <w:sz w:val="22"/>
                <w:szCs w:val="22"/>
              </w:rPr>
              <w:t>1.547.500.000</w:t>
            </w:r>
          </w:p>
        </w:tc>
        <w:tc>
          <w:tcPr>
            <w:tcW w:w="1140" w:type="dxa"/>
            <w:noWrap/>
            <w:vAlign w:val="center"/>
          </w:tcPr>
          <w:p w14:paraId="265C0A07">
            <w:pPr>
              <w:jc w:val="center"/>
              <w:rPr>
                <w:sz w:val="22"/>
                <w:szCs w:val="22"/>
              </w:rPr>
            </w:pPr>
            <w:r>
              <w:rPr>
                <w:sz w:val="22"/>
                <w:szCs w:val="22"/>
              </w:rPr>
              <w:t>1,14%</w:t>
            </w:r>
          </w:p>
        </w:tc>
      </w:tr>
      <w:tr w14:paraId="3E27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66DAF3A">
            <w:pPr>
              <w:jc w:val="center"/>
              <w:rPr>
                <w:sz w:val="22"/>
                <w:szCs w:val="22"/>
              </w:rPr>
            </w:pPr>
            <w:r>
              <w:rPr>
                <w:sz w:val="22"/>
                <w:szCs w:val="22"/>
              </w:rPr>
              <w:t>49</w:t>
            </w:r>
          </w:p>
        </w:tc>
        <w:tc>
          <w:tcPr>
            <w:tcW w:w="1752" w:type="dxa"/>
            <w:noWrap/>
            <w:vAlign w:val="center"/>
          </w:tcPr>
          <w:p w14:paraId="38E7F4D9">
            <w:pPr>
              <w:jc w:val="center"/>
              <w:rPr>
                <w:sz w:val="22"/>
                <w:szCs w:val="22"/>
              </w:rPr>
            </w:pPr>
          </w:p>
        </w:tc>
        <w:tc>
          <w:tcPr>
            <w:tcW w:w="944" w:type="dxa"/>
            <w:vMerge w:val="continue"/>
            <w:vAlign w:val="center"/>
          </w:tcPr>
          <w:p w14:paraId="35A90C30">
            <w:pPr>
              <w:jc w:val="center"/>
              <w:rPr>
                <w:sz w:val="22"/>
                <w:szCs w:val="22"/>
              </w:rPr>
            </w:pPr>
          </w:p>
        </w:tc>
        <w:tc>
          <w:tcPr>
            <w:tcW w:w="1116" w:type="dxa"/>
            <w:vAlign w:val="center"/>
          </w:tcPr>
          <w:p w14:paraId="314561BC">
            <w:pPr>
              <w:jc w:val="center"/>
              <w:rPr>
                <w:sz w:val="22"/>
                <w:szCs w:val="22"/>
              </w:rPr>
            </w:pPr>
            <w:r>
              <w:rPr>
                <w:sz w:val="22"/>
                <w:szCs w:val="22"/>
              </w:rPr>
              <w:t>15</w:t>
            </w:r>
          </w:p>
        </w:tc>
        <w:tc>
          <w:tcPr>
            <w:tcW w:w="1010" w:type="dxa"/>
            <w:noWrap/>
            <w:vAlign w:val="center"/>
          </w:tcPr>
          <w:p w14:paraId="4DC32A09">
            <w:pPr>
              <w:jc w:val="center"/>
              <w:rPr>
                <w:sz w:val="22"/>
                <w:szCs w:val="22"/>
              </w:rPr>
            </w:pPr>
            <w:r>
              <w:rPr>
                <w:sz w:val="22"/>
                <w:szCs w:val="22"/>
              </w:rPr>
              <w:t>136,00</w:t>
            </w:r>
          </w:p>
        </w:tc>
        <w:tc>
          <w:tcPr>
            <w:tcW w:w="1591" w:type="dxa"/>
            <w:noWrap/>
            <w:vAlign w:val="center"/>
          </w:tcPr>
          <w:p w14:paraId="533072B6">
            <w:pPr>
              <w:jc w:val="center"/>
              <w:rPr>
                <w:sz w:val="22"/>
                <w:szCs w:val="22"/>
              </w:rPr>
            </w:pPr>
            <w:r>
              <w:rPr>
                <w:sz w:val="22"/>
                <w:szCs w:val="22"/>
              </w:rPr>
              <w:t>1.360.000.000</w:t>
            </w:r>
          </w:p>
        </w:tc>
        <w:tc>
          <w:tcPr>
            <w:tcW w:w="1700" w:type="dxa"/>
            <w:noWrap/>
            <w:vAlign w:val="center"/>
          </w:tcPr>
          <w:p w14:paraId="04AD88FC">
            <w:pPr>
              <w:jc w:val="center"/>
              <w:rPr>
                <w:sz w:val="22"/>
                <w:szCs w:val="22"/>
              </w:rPr>
            </w:pPr>
            <w:r>
              <w:rPr>
                <w:sz w:val="22"/>
                <w:szCs w:val="22"/>
              </w:rPr>
              <w:t>1.548.300.000</w:t>
            </w:r>
          </w:p>
        </w:tc>
        <w:tc>
          <w:tcPr>
            <w:tcW w:w="1140" w:type="dxa"/>
            <w:noWrap/>
            <w:vAlign w:val="center"/>
          </w:tcPr>
          <w:p w14:paraId="106CEF5C">
            <w:pPr>
              <w:jc w:val="center"/>
              <w:rPr>
                <w:sz w:val="22"/>
                <w:szCs w:val="22"/>
              </w:rPr>
            </w:pPr>
            <w:r>
              <w:rPr>
                <w:sz w:val="22"/>
                <w:szCs w:val="22"/>
              </w:rPr>
              <w:t>1,14%</w:t>
            </w:r>
          </w:p>
        </w:tc>
      </w:tr>
      <w:tr w14:paraId="0847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76742C1">
            <w:pPr>
              <w:jc w:val="center"/>
              <w:rPr>
                <w:sz w:val="22"/>
                <w:szCs w:val="22"/>
              </w:rPr>
            </w:pPr>
            <w:r>
              <w:rPr>
                <w:sz w:val="22"/>
                <w:szCs w:val="22"/>
              </w:rPr>
              <w:t>50</w:t>
            </w:r>
          </w:p>
        </w:tc>
        <w:tc>
          <w:tcPr>
            <w:tcW w:w="1752" w:type="dxa"/>
            <w:noWrap/>
            <w:vAlign w:val="center"/>
          </w:tcPr>
          <w:p w14:paraId="1F7892EC">
            <w:pPr>
              <w:jc w:val="center"/>
              <w:rPr>
                <w:sz w:val="22"/>
                <w:szCs w:val="22"/>
              </w:rPr>
            </w:pPr>
          </w:p>
        </w:tc>
        <w:tc>
          <w:tcPr>
            <w:tcW w:w="944" w:type="dxa"/>
            <w:vMerge w:val="continue"/>
            <w:vAlign w:val="center"/>
          </w:tcPr>
          <w:p w14:paraId="6FA93309">
            <w:pPr>
              <w:jc w:val="center"/>
              <w:rPr>
                <w:sz w:val="22"/>
                <w:szCs w:val="22"/>
              </w:rPr>
            </w:pPr>
          </w:p>
        </w:tc>
        <w:tc>
          <w:tcPr>
            <w:tcW w:w="1116" w:type="dxa"/>
            <w:vAlign w:val="center"/>
          </w:tcPr>
          <w:p w14:paraId="4917CF2A">
            <w:pPr>
              <w:jc w:val="center"/>
              <w:rPr>
                <w:sz w:val="22"/>
                <w:szCs w:val="22"/>
              </w:rPr>
            </w:pPr>
            <w:r>
              <w:rPr>
                <w:sz w:val="22"/>
                <w:szCs w:val="22"/>
              </w:rPr>
              <w:t>16</w:t>
            </w:r>
          </w:p>
        </w:tc>
        <w:tc>
          <w:tcPr>
            <w:tcW w:w="1010" w:type="dxa"/>
            <w:noWrap/>
            <w:vAlign w:val="center"/>
          </w:tcPr>
          <w:p w14:paraId="31735181">
            <w:pPr>
              <w:jc w:val="center"/>
              <w:rPr>
                <w:sz w:val="22"/>
                <w:szCs w:val="22"/>
              </w:rPr>
            </w:pPr>
            <w:r>
              <w:rPr>
                <w:sz w:val="22"/>
                <w:szCs w:val="22"/>
              </w:rPr>
              <w:t>136,00</w:t>
            </w:r>
          </w:p>
        </w:tc>
        <w:tc>
          <w:tcPr>
            <w:tcW w:w="1591" w:type="dxa"/>
            <w:noWrap/>
            <w:vAlign w:val="center"/>
          </w:tcPr>
          <w:p w14:paraId="300A9423">
            <w:pPr>
              <w:jc w:val="center"/>
              <w:rPr>
                <w:sz w:val="22"/>
                <w:szCs w:val="22"/>
              </w:rPr>
            </w:pPr>
            <w:r>
              <w:rPr>
                <w:sz w:val="22"/>
                <w:szCs w:val="22"/>
              </w:rPr>
              <w:t>1.360.000.000</w:t>
            </w:r>
          </w:p>
        </w:tc>
        <w:tc>
          <w:tcPr>
            <w:tcW w:w="1700" w:type="dxa"/>
            <w:noWrap/>
            <w:vAlign w:val="center"/>
          </w:tcPr>
          <w:p w14:paraId="20E1C720">
            <w:pPr>
              <w:jc w:val="center"/>
              <w:rPr>
                <w:sz w:val="22"/>
                <w:szCs w:val="22"/>
              </w:rPr>
            </w:pPr>
            <w:r>
              <w:rPr>
                <w:sz w:val="22"/>
                <w:szCs w:val="22"/>
              </w:rPr>
              <w:t>1.591.000.000</w:t>
            </w:r>
          </w:p>
        </w:tc>
        <w:tc>
          <w:tcPr>
            <w:tcW w:w="1140" w:type="dxa"/>
            <w:noWrap/>
            <w:vAlign w:val="center"/>
          </w:tcPr>
          <w:p w14:paraId="10A0EA40">
            <w:pPr>
              <w:jc w:val="center"/>
              <w:rPr>
                <w:sz w:val="22"/>
                <w:szCs w:val="22"/>
              </w:rPr>
            </w:pPr>
            <w:r>
              <w:rPr>
                <w:sz w:val="22"/>
                <w:szCs w:val="22"/>
              </w:rPr>
              <w:t>1,17%</w:t>
            </w:r>
          </w:p>
        </w:tc>
      </w:tr>
      <w:tr w14:paraId="14E9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0ADE062">
            <w:pPr>
              <w:jc w:val="center"/>
              <w:rPr>
                <w:sz w:val="22"/>
                <w:szCs w:val="22"/>
              </w:rPr>
            </w:pPr>
            <w:r>
              <w:rPr>
                <w:sz w:val="22"/>
                <w:szCs w:val="22"/>
              </w:rPr>
              <w:t>51</w:t>
            </w:r>
          </w:p>
        </w:tc>
        <w:tc>
          <w:tcPr>
            <w:tcW w:w="1752" w:type="dxa"/>
            <w:noWrap/>
            <w:vAlign w:val="center"/>
          </w:tcPr>
          <w:p w14:paraId="1985E519">
            <w:pPr>
              <w:jc w:val="center"/>
              <w:rPr>
                <w:sz w:val="22"/>
                <w:szCs w:val="22"/>
              </w:rPr>
            </w:pPr>
          </w:p>
        </w:tc>
        <w:tc>
          <w:tcPr>
            <w:tcW w:w="944" w:type="dxa"/>
            <w:vMerge w:val="continue"/>
            <w:vAlign w:val="center"/>
          </w:tcPr>
          <w:p w14:paraId="40B2AD39">
            <w:pPr>
              <w:jc w:val="center"/>
              <w:rPr>
                <w:sz w:val="22"/>
                <w:szCs w:val="22"/>
              </w:rPr>
            </w:pPr>
          </w:p>
        </w:tc>
        <w:tc>
          <w:tcPr>
            <w:tcW w:w="1116" w:type="dxa"/>
            <w:vAlign w:val="center"/>
          </w:tcPr>
          <w:p w14:paraId="21AC45F1">
            <w:pPr>
              <w:jc w:val="center"/>
              <w:rPr>
                <w:sz w:val="22"/>
                <w:szCs w:val="22"/>
              </w:rPr>
            </w:pPr>
            <w:r>
              <w:rPr>
                <w:sz w:val="22"/>
                <w:szCs w:val="22"/>
              </w:rPr>
              <w:t>17</w:t>
            </w:r>
          </w:p>
        </w:tc>
        <w:tc>
          <w:tcPr>
            <w:tcW w:w="1010" w:type="dxa"/>
            <w:noWrap/>
            <w:vAlign w:val="center"/>
          </w:tcPr>
          <w:p w14:paraId="6903E70B">
            <w:pPr>
              <w:jc w:val="center"/>
              <w:rPr>
                <w:sz w:val="22"/>
                <w:szCs w:val="22"/>
              </w:rPr>
            </w:pPr>
            <w:r>
              <w:rPr>
                <w:sz w:val="22"/>
                <w:szCs w:val="22"/>
              </w:rPr>
              <w:t>136,00</w:t>
            </w:r>
          </w:p>
        </w:tc>
        <w:tc>
          <w:tcPr>
            <w:tcW w:w="1591" w:type="dxa"/>
            <w:noWrap/>
            <w:vAlign w:val="center"/>
          </w:tcPr>
          <w:p w14:paraId="55C38F8D">
            <w:pPr>
              <w:jc w:val="center"/>
              <w:rPr>
                <w:sz w:val="22"/>
                <w:szCs w:val="22"/>
              </w:rPr>
            </w:pPr>
            <w:r>
              <w:rPr>
                <w:sz w:val="22"/>
                <w:szCs w:val="22"/>
              </w:rPr>
              <w:t>1.360.000.000</w:t>
            </w:r>
          </w:p>
        </w:tc>
        <w:tc>
          <w:tcPr>
            <w:tcW w:w="1700" w:type="dxa"/>
            <w:noWrap/>
            <w:vAlign w:val="center"/>
          </w:tcPr>
          <w:p w14:paraId="4A66E60B">
            <w:pPr>
              <w:jc w:val="center"/>
              <w:rPr>
                <w:sz w:val="22"/>
                <w:szCs w:val="22"/>
              </w:rPr>
            </w:pPr>
            <w:r>
              <w:rPr>
                <w:sz w:val="22"/>
                <w:szCs w:val="22"/>
              </w:rPr>
              <w:t>1.567.000.000</w:t>
            </w:r>
          </w:p>
        </w:tc>
        <w:tc>
          <w:tcPr>
            <w:tcW w:w="1140" w:type="dxa"/>
            <w:noWrap/>
            <w:vAlign w:val="center"/>
          </w:tcPr>
          <w:p w14:paraId="68941B52">
            <w:pPr>
              <w:jc w:val="center"/>
              <w:rPr>
                <w:sz w:val="22"/>
                <w:szCs w:val="22"/>
              </w:rPr>
            </w:pPr>
            <w:r>
              <w:rPr>
                <w:sz w:val="22"/>
                <w:szCs w:val="22"/>
              </w:rPr>
              <w:t>1,15%</w:t>
            </w:r>
          </w:p>
        </w:tc>
      </w:tr>
      <w:tr w14:paraId="7578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A76DC37">
            <w:pPr>
              <w:jc w:val="center"/>
              <w:rPr>
                <w:sz w:val="22"/>
                <w:szCs w:val="22"/>
              </w:rPr>
            </w:pPr>
            <w:r>
              <w:rPr>
                <w:sz w:val="22"/>
                <w:szCs w:val="22"/>
              </w:rPr>
              <w:t>52</w:t>
            </w:r>
          </w:p>
        </w:tc>
        <w:tc>
          <w:tcPr>
            <w:tcW w:w="1752" w:type="dxa"/>
            <w:noWrap/>
            <w:vAlign w:val="center"/>
          </w:tcPr>
          <w:p w14:paraId="4CEB1547">
            <w:pPr>
              <w:jc w:val="center"/>
              <w:rPr>
                <w:sz w:val="22"/>
                <w:szCs w:val="22"/>
              </w:rPr>
            </w:pPr>
          </w:p>
        </w:tc>
        <w:tc>
          <w:tcPr>
            <w:tcW w:w="944" w:type="dxa"/>
            <w:vMerge w:val="continue"/>
            <w:vAlign w:val="center"/>
          </w:tcPr>
          <w:p w14:paraId="719C22D3">
            <w:pPr>
              <w:jc w:val="center"/>
              <w:rPr>
                <w:sz w:val="22"/>
                <w:szCs w:val="22"/>
              </w:rPr>
            </w:pPr>
          </w:p>
        </w:tc>
        <w:tc>
          <w:tcPr>
            <w:tcW w:w="1116" w:type="dxa"/>
            <w:vAlign w:val="center"/>
          </w:tcPr>
          <w:p w14:paraId="0DF0F749">
            <w:pPr>
              <w:jc w:val="center"/>
              <w:rPr>
                <w:sz w:val="22"/>
                <w:szCs w:val="22"/>
              </w:rPr>
            </w:pPr>
            <w:r>
              <w:rPr>
                <w:sz w:val="22"/>
                <w:szCs w:val="22"/>
              </w:rPr>
              <w:t>18</w:t>
            </w:r>
          </w:p>
        </w:tc>
        <w:tc>
          <w:tcPr>
            <w:tcW w:w="1010" w:type="dxa"/>
            <w:noWrap/>
            <w:vAlign w:val="center"/>
          </w:tcPr>
          <w:p w14:paraId="704B5E18">
            <w:pPr>
              <w:jc w:val="center"/>
              <w:rPr>
                <w:sz w:val="22"/>
                <w:szCs w:val="22"/>
              </w:rPr>
            </w:pPr>
            <w:r>
              <w:rPr>
                <w:sz w:val="22"/>
                <w:szCs w:val="22"/>
              </w:rPr>
              <w:t>205,00</w:t>
            </w:r>
          </w:p>
        </w:tc>
        <w:tc>
          <w:tcPr>
            <w:tcW w:w="1591" w:type="dxa"/>
            <w:noWrap/>
            <w:vAlign w:val="center"/>
          </w:tcPr>
          <w:p w14:paraId="1665AFDD">
            <w:pPr>
              <w:jc w:val="center"/>
              <w:rPr>
                <w:sz w:val="22"/>
                <w:szCs w:val="22"/>
              </w:rPr>
            </w:pPr>
            <w:r>
              <w:rPr>
                <w:sz w:val="22"/>
                <w:szCs w:val="22"/>
              </w:rPr>
              <w:t>2.460.000.000</w:t>
            </w:r>
          </w:p>
        </w:tc>
        <w:tc>
          <w:tcPr>
            <w:tcW w:w="1700" w:type="dxa"/>
            <w:noWrap/>
            <w:vAlign w:val="center"/>
          </w:tcPr>
          <w:p w14:paraId="56186F8D">
            <w:pPr>
              <w:jc w:val="center"/>
              <w:rPr>
                <w:sz w:val="22"/>
                <w:szCs w:val="22"/>
              </w:rPr>
            </w:pPr>
            <w:r>
              <w:rPr>
                <w:sz w:val="22"/>
                <w:szCs w:val="22"/>
              </w:rPr>
              <w:t>2.492.300.000</w:t>
            </w:r>
          </w:p>
        </w:tc>
        <w:tc>
          <w:tcPr>
            <w:tcW w:w="1140" w:type="dxa"/>
            <w:noWrap/>
            <w:vAlign w:val="center"/>
          </w:tcPr>
          <w:p w14:paraId="027C4BE5">
            <w:pPr>
              <w:jc w:val="center"/>
              <w:rPr>
                <w:sz w:val="22"/>
                <w:szCs w:val="22"/>
              </w:rPr>
            </w:pPr>
            <w:r>
              <w:rPr>
                <w:sz w:val="22"/>
                <w:szCs w:val="22"/>
              </w:rPr>
              <w:t>1,01%</w:t>
            </w:r>
          </w:p>
        </w:tc>
      </w:tr>
      <w:tr w14:paraId="0749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F05A89D">
            <w:pPr>
              <w:jc w:val="center"/>
              <w:rPr>
                <w:sz w:val="22"/>
                <w:szCs w:val="22"/>
              </w:rPr>
            </w:pPr>
            <w:r>
              <w:rPr>
                <w:sz w:val="22"/>
                <w:szCs w:val="22"/>
              </w:rPr>
              <w:t>53</w:t>
            </w:r>
          </w:p>
        </w:tc>
        <w:tc>
          <w:tcPr>
            <w:tcW w:w="1752" w:type="dxa"/>
            <w:noWrap/>
            <w:vAlign w:val="center"/>
          </w:tcPr>
          <w:p w14:paraId="3722431C">
            <w:pPr>
              <w:jc w:val="center"/>
              <w:rPr>
                <w:sz w:val="22"/>
                <w:szCs w:val="22"/>
              </w:rPr>
            </w:pPr>
          </w:p>
        </w:tc>
        <w:tc>
          <w:tcPr>
            <w:tcW w:w="944" w:type="dxa"/>
            <w:vMerge w:val="continue"/>
            <w:vAlign w:val="center"/>
          </w:tcPr>
          <w:p w14:paraId="38756C3A">
            <w:pPr>
              <w:jc w:val="center"/>
              <w:rPr>
                <w:sz w:val="22"/>
                <w:szCs w:val="22"/>
              </w:rPr>
            </w:pPr>
          </w:p>
        </w:tc>
        <w:tc>
          <w:tcPr>
            <w:tcW w:w="1116" w:type="dxa"/>
            <w:vAlign w:val="center"/>
          </w:tcPr>
          <w:p w14:paraId="0BC5CBDC">
            <w:pPr>
              <w:jc w:val="center"/>
              <w:rPr>
                <w:sz w:val="22"/>
                <w:szCs w:val="22"/>
              </w:rPr>
            </w:pPr>
            <w:r>
              <w:rPr>
                <w:sz w:val="22"/>
                <w:szCs w:val="22"/>
              </w:rPr>
              <w:t>20</w:t>
            </w:r>
          </w:p>
        </w:tc>
        <w:tc>
          <w:tcPr>
            <w:tcW w:w="1010" w:type="dxa"/>
            <w:noWrap/>
            <w:vAlign w:val="center"/>
          </w:tcPr>
          <w:p w14:paraId="3E2A61C8">
            <w:pPr>
              <w:jc w:val="center"/>
              <w:rPr>
                <w:sz w:val="22"/>
                <w:szCs w:val="22"/>
              </w:rPr>
            </w:pPr>
            <w:r>
              <w:rPr>
                <w:sz w:val="22"/>
                <w:szCs w:val="22"/>
              </w:rPr>
              <w:t>120,00</w:t>
            </w:r>
          </w:p>
        </w:tc>
        <w:tc>
          <w:tcPr>
            <w:tcW w:w="1591" w:type="dxa"/>
            <w:noWrap/>
            <w:vAlign w:val="center"/>
          </w:tcPr>
          <w:p w14:paraId="7AF60B99">
            <w:pPr>
              <w:jc w:val="center"/>
              <w:rPr>
                <w:sz w:val="22"/>
                <w:szCs w:val="22"/>
              </w:rPr>
            </w:pPr>
            <w:r>
              <w:rPr>
                <w:sz w:val="22"/>
                <w:szCs w:val="22"/>
              </w:rPr>
              <w:t>960.000.000</w:t>
            </w:r>
          </w:p>
        </w:tc>
        <w:tc>
          <w:tcPr>
            <w:tcW w:w="1700" w:type="dxa"/>
            <w:noWrap/>
            <w:vAlign w:val="center"/>
          </w:tcPr>
          <w:p w14:paraId="4C27D388">
            <w:pPr>
              <w:jc w:val="center"/>
              <w:rPr>
                <w:sz w:val="22"/>
                <w:szCs w:val="22"/>
              </w:rPr>
            </w:pPr>
            <w:r>
              <w:rPr>
                <w:sz w:val="22"/>
                <w:szCs w:val="22"/>
              </w:rPr>
              <w:t>1.059.100.000</w:t>
            </w:r>
          </w:p>
        </w:tc>
        <w:tc>
          <w:tcPr>
            <w:tcW w:w="1140" w:type="dxa"/>
            <w:noWrap/>
            <w:vAlign w:val="center"/>
          </w:tcPr>
          <w:p w14:paraId="2EEAF86D">
            <w:pPr>
              <w:jc w:val="center"/>
              <w:rPr>
                <w:sz w:val="22"/>
                <w:szCs w:val="22"/>
              </w:rPr>
            </w:pPr>
            <w:r>
              <w:rPr>
                <w:sz w:val="22"/>
                <w:szCs w:val="22"/>
              </w:rPr>
              <w:t>1,10%</w:t>
            </w:r>
          </w:p>
        </w:tc>
      </w:tr>
      <w:tr w14:paraId="09E9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EB422FA">
            <w:pPr>
              <w:jc w:val="center"/>
              <w:rPr>
                <w:sz w:val="22"/>
                <w:szCs w:val="22"/>
              </w:rPr>
            </w:pPr>
            <w:r>
              <w:rPr>
                <w:sz w:val="22"/>
                <w:szCs w:val="22"/>
              </w:rPr>
              <w:t>54</w:t>
            </w:r>
          </w:p>
        </w:tc>
        <w:tc>
          <w:tcPr>
            <w:tcW w:w="1752" w:type="dxa"/>
            <w:noWrap/>
            <w:vAlign w:val="center"/>
          </w:tcPr>
          <w:p w14:paraId="7FAE9AD9">
            <w:pPr>
              <w:jc w:val="center"/>
              <w:rPr>
                <w:sz w:val="22"/>
                <w:szCs w:val="22"/>
              </w:rPr>
            </w:pPr>
          </w:p>
        </w:tc>
        <w:tc>
          <w:tcPr>
            <w:tcW w:w="944" w:type="dxa"/>
            <w:vMerge w:val="continue"/>
            <w:vAlign w:val="center"/>
          </w:tcPr>
          <w:p w14:paraId="6877625A">
            <w:pPr>
              <w:jc w:val="center"/>
              <w:rPr>
                <w:sz w:val="22"/>
                <w:szCs w:val="22"/>
              </w:rPr>
            </w:pPr>
          </w:p>
        </w:tc>
        <w:tc>
          <w:tcPr>
            <w:tcW w:w="1116" w:type="dxa"/>
            <w:vAlign w:val="center"/>
          </w:tcPr>
          <w:p w14:paraId="470509B6">
            <w:pPr>
              <w:jc w:val="center"/>
              <w:rPr>
                <w:sz w:val="22"/>
                <w:szCs w:val="22"/>
              </w:rPr>
            </w:pPr>
            <w:r>
              <w:rPr>
                <w:sz w:val="22"/>
                <w:szCs w:val="22"/>
              </w:rPr>
              <w:t>21</w:t>
            </w:r>
          </w:p>
        </w:tc>
        <w:tc>
          <w:tcPr>
            <w:tcW w:w="1010" w:type="dxa"/>
            <w:noWrap/>
            <w:vAlign w:val="center"/>
          </w:tcPr>
          <w:p w14:paraId="27525DFD">
            <w:pPr>
              <w:jc w:val="center"/>
              <w:rPr>
                <w:sz w:val="22"/>
                <w:szCs w:val="22"/>
              </w:rPr>
            </w:pPr>
            <w:r>
              <w:rPr>
                <w:sz w:val="22"/>
                <w:szCs w:val="22"/>
              </w:rPr>
              <w:t>120,00</w:t>
            </w:r>
          </w:p>
        </w:tc>
        <w:tc>
          <w:tcPr>
            <w:tcW w:w="1591" w:type="dxa"/>
            <w:noWrap/>
            <w:vAlign w:val="center"/>
          </w:tcPr>
          <w:p w14:paraId="1DEC88B5">
            <w:pPr>
              <w:jc w:val="center"/>
              <w:rPr>
                <w:sz w:val="22"/>
                <w:szCs w:val="22"/>
              </w:rPr>
            </w:pPr>
            <w:r>
              <w:rPr>
                <w:sz w:val="22"/>
                <w:szCs w:val="22"/>
              </w:rPr>
              <w:t>960.000.000</w:t>
            </w:r>
          </w:p>
        </w:tc>
        <w:tc>
          <w:tcPr>
            <w:tcW w:w="1700" w:type="dxa"/>
            <w:noWrap/>
            <w:vAlign w:val="center"/>
          </w:tcPr>
          <w:p w14:paraId="16453A69">
            <w:pPr>
              <w:jc w:val="center"/>
              <w:rPr>
                <w:sz w:val="22"/>
                <w:szCs w:val="22"/>
              </w:rPr>
            </w:pPr>
            <w:r>
              <w:rPr>
                <w:sz w:val="22"/>
                <w:szCs w:val="22"/>
              </w:rPr>
              <w:t>1.055.800.000</w:t>
            </w:r>
          </w:p>
        </w:tc>
        <w:tc>
          <w:tcPr>
            <w:tcW w:w="1140" w:type="dxa"/>
            <w:noWrap/>
            <w:vAlign w:val="center"/>
          </w:tcPr>
          <w:p w14:paraId="78DE7986">
            <w:pPr>
              <w:jc w:val="center"/>
              <w:rPr>
                <w:sz w:val="22"/>
                <w:szCs w:val="22"/>
              </w:rPr>
            </w:pPr>
            <w:r>
              <w:rPr>
                <w:sz w:val="22"/>
                <w:szCs w:val="22"/>
              </w:rPr>
              <w:t>1,10%</w:t>
            </w:r>
          </w:p>
        </w:tc>
      </w:tr>
      <w:tr w14:paraId="2215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D2709AC">
            <w:pPr>
              <w:jc w:val="center"/>
              <w:rPr>
                <w:sz w:val="22"/>
                <w:szCs w:val="22"/>
              </w:rPr>
            </w:pPr>
            <w:r>
              <w:rPr>
                <w:sz w:val="22"/>
                <w:szCs w:val="22"/>
              </w:rPr>
              <w:t>55</w:t>
            </w:r>
          </w:p>
        </w:tc>
        <w:tc>
          <w:tcPr>
            <w:tcW w:w="1752" w:type="dxa"/>
            <w:noWrap/>
            <w:vAlign w:val="center"/>
          </w:tcPr>
          <w:p w14:paraId="6DAAE58C">
            <w:pPr>
              <w:jc w:val="center"/>
              <w:rPr>
                <w:sz w:val="22"/>
                <w:szCs w:val="22"/>
              </w:rPr>
            </w:pPr>
          </w:p>
        </w:tc>
        <w:tc>
          <w:tcPr>
            <w:tcW w:w="944" w:type="dxa"/>
            <w:vMerge w:val="continue"/>
            <w:vAlign w:val="center"/>
          </w:tcPr>
          <w:p w14:paraId="50351270">
            <w:pPr>
              <w:jc w:val="center"/>
              <w:rPr>
                <w:sz w:val="22"/>
                <w:szCs w:val="22"/>
              </w:rPr>
            </w:pPr>
          </w:p>
        </w:tc>
        <w:tc>
          <w:tcPr>
            <w:tcW w:w="1116" w:type="dxa"/>
            <w:vAlign w:val="center"/>
          </w:tcPr>
          <w:p w14:paraId="1F111FCB">
            <w:pPr>
              <w:jc w:val="center"/>
              <w:rPr>
                <w:sz w:val="22"/>
                <w:szCs w:val="22"/>
              </w:rPr>
            </w:pPr>
            <w:r>
              <w:rPr>
                <w:sz w:val="22"/>
                <w:szCs w:val="22"/>
              </w:rPr>
              <w:t>22</w:t>
            </w:r>
          </w:p>
        </w:tc>
        <w:tc>
          <w:tcPr>
            <w:tcW w:w="1010" w:type="dxa"/>
            <w:noWrap/>
            <w:vAlign w:val="center"/>
          </w:tcPr>
          <w:p w14:paraId="6EFD5EB3">
            <w:pPr>
              <w:jc w:val="center"/>
              <w:rPr>
                <w:sz w:val="22"/>
                <w:szCs w:val="22"/>
              </w:rPr>
            </w:pPr>
            <w:r>
              <w:rPr>
                <w:sz w:val="22"/>
                <w:szCs w:val="22"/>
              </w:rPr>
              <w:t>120,00</w:t>
            </w:r>
          </w:p>
        </w:tc>
        <w:tc>
          <w:tcPr>
            <w:tcW w:w="1591" w:type="dxa"/>
            <w:noWrap/>
            <w:vAlign w:val="center"/>
          </w:tcPr>
          <w:p w14:paraId="0926DC76">
            <w:pPr>
              <w:jc w:val="center"/>
              <w:rPr>
                <w:sz w:val="22"/>
                <w:szCs w:val="22"/>
              </w:rPr>
            </w:pPr>
            <w:r>
              <w:rPr>
                <w:sz w:val="22"/>
                <w:szCs w:val="22"/>
              </w:rPr>
              <w:t>960.000.000</w:t>
            </w:r>
          </w:p>
        </w:tc>
        <w:tc>
          <w:tcPr>
            <w:tcW w:w="1700" w:type="dxa"/>
            <w:noWrap/>
            <w:vAlign w:val="center"/>
          </w:tcPr>
          <w:p w14:paraId="32E44FD8">
            <w:pPr>
              <w:jc w:val="center"/>
              <w:rPr>
                <w:sz w:val="22"/>
                <w:szCs w:val="22"/>
              </w:rPr>
            </w:pPr>
            <w:r>
              <w:rPr>
                <w:sz w:val="22"/>
                <w:szCs w:val="22"/>
              </w:rPr>
              <w:t>1.055.300.000</w:t>
            </w:r>
          </w:p>
        </w:tc>
        <w:tc>
          <w:tcPr>
            <w:tcW w:w="1140" w:type="dxa"/>
            <w:noWrap/>
            <w:vAlign w:val="center"/>
          </w:tcPr>
          <w:p w14:paraId="7BD7D50D">
            <w:pPr>
              <w:jc w:val="center"/>
              <w:rPr>
                <w:sz w:val="22"/>
                <w:szCs w:val="22"/>
              </w:rPr>
            </w:pPr>
            <w:r>
              <w:rPr>
                <w:sz w:val="22"/>
                <w:szCs w:val="22"/>
              </w:rPr>
              <w:t>1,10%</w:t>
            </w:r>
          </w:p>
        </w:tc>
      </w:tr>
      <w:tr w14:paraId="6A41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55C773">
            <w:pPr>
              <w:jc w:val="center"/>
              <w:rPr>
                <w:sz w:val="22"/>
                <w:szCs w:val="22"/>
              </w:rPr>
            </w:pPr>
            <w:r>
              <w:rPr>
                <w:sz w:val="22"/>
                <w:szCs w:val="22"/>
              </w:rPr>
              <w:t>56</w:t>
            </w:r>
          </w:p>
        </w:tc>
        <w:tc>
          <w:tcPr>
            <w:tcW w:w="1752" w:type="dxa"/>
            <w:noWrap/>
            <w:vAlign w:val="center"/>
          </w:tcPr>
          <w:p w14:paraId="43D15FCB">
            <w:pPr>
              <w:jc w:val="center"/>
              <w:rPr>
                <w:sz w:val="22"/>
                <w:szCs w:val="22"/>
              </w:rPr>
            </w:pPr>
          </w:p>
        </w:tc>
        <w:tc>
          <w:tcPr>
            <w:tcW w:w="944" w:type="dxa"/>
            <w:vMerge w:val="continue"/>
            <w:vAlign w:val="center"/>
          </w:tcPr>
          <w:p w14:paraId="5254C07E">
            <w:pPr>
              <w:jc w:val="center"/>
              <w:rPr>
                <w:sz w:val="22"/>
                <w:szCs w:val="22"/>
              </w:rPr>
            </w:pPr>
          </w:p>
        </w:tc>
        <w:tc>
          <w:tcPr>
            <w:tcW w:w="1116" w:type="dxa"/>
            <w:vAlign w:val="center"/>
          </w:tcPr>
          <w:p w14:paraId="18698222">
            <w:pPr>
              <w:jc w:val="center"/>
              <w:rPr>
                <w:sz w:val="22"/>
                <w:szCs w:val="22"/>
              </w:rPr>
            </w:pPr>
            <w:r>
              <w:rPr>
                <w:sz w:val="22"/>
                <w:szCs w:val="22"/>
              </w:rPr>
              <w:t>23</w:t>
            </w:r>
          </w:p>
        </w:tc>
        <w:tc>
          <w:tcPr>
            <w:tcW w:w="1010" w:type="dxa"/>
            <w:noWrap/>
            <w:vAlign w:val="center"/>
          </w:tcPr>
          <w:p w14:paraId="22B21C75">
            <w:pPr>
              <w:jc w:val="center"/>
              <w:rPr>
                <w:sz w:val="22"/>
                <w:szCs w:val="22"/>
              </w:rPr>
            </w:pPr>
            <w:r>
              <w:rPr>
                <w:sz w:val="22"/>
                <w:szCs w:val="22"/>
              </w:rPr>
              <w:t>120,00</w:t>
            </w:r>
          </w:p>
        </w:tc>
        <w:tc>
          <w:tcPr>
            <w:tcW w:w="1591" w:type="dxa"/>
            <w:noWrap/>
            <w:vAlign w:val="center"/>
          </w:tcPr>
          <w:p w14:paraId="25FA80A2">
            <w:pPr>
              <w:jc w:val="center"/>
              <w:rPr>
                <w:sz w:val="22"/>
                <w:szCs w:val="22"/>
              </w:rPr>
            </w:pPr>
            <w:r>
              <w:rPr>
                <w:sz w:val="22"/>
                <w:szCs w:val="22"/>
              </w:rPr>
              <w:t>960.000.000</w:t>
            </w:r>
          </w:p>
        </w:tc>
        <w:tc>
          <w:tcPr>
            <w:tcW w:w="1700" w:type="dxa"/>
            <w:noWrap/>
            <w:vAlign w:val="center"/>
          </w:tcPr>
          <w:p w14:paraId="16258F4F">
            <w:pPr>
              <w:jc w:val="center"/>
              <w:rPr>
                <w:sz w:val="22"/>
                <w:szCs w:val="22"/>
              </w:rPr>
            </w:pPr>
            <w:r>
              <w:rPr>
                <w:sz w:val="22"/>
                <w:szCs w:val="22"/>
              </w:rPr>
              <w:t>1.055.300.000</w:t>
            </w:r>
          </w:p>
        </w:tc>
        <w:tc>
          <w:tcPr>
            <w:tcW w:w="1140" w:type="dxa"/>
            <w:noWrap/>
            <w:vAlign w:val="center"/>
          </w:tcPr>
          <w:p w14:paraId="39F795FA">
            <w:pPr>
              <w:jc w:val="center"/>
              <w:rPr>
                <w:sz w:val="22"/>
                <w:szCs w:val="22"/>
              </w:rPr>
            </w:pPr>
            <w:r>
              <w:rPr>
                <w:sz w:val="22"/>
                <w:szCs w:val="22"/>
              </w:rPr>
              <w:t>1,10%</w:t>
            </w:r>
          </w:p>
        </w:tc>
      </w:tr>
      <w:tr w14:paraId="3728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B2DF803">
            <w:pPr>
              <w:jc w:val="center"/>
              <w:rPr>
                <w:sz w:val="22"/>
                <w:szCs w:val="22"/>
              </w:rPr>
            </w:pPr>
            <w:r>
              <w:rPr>
                <w:sz w:val="22"/>
                <w:szCs w:val="22"/>
              </w:rPr>
              <w:t>57</w:t>
            </w:r>
          </w:p>
        </w:tc>
        <w:tc>
          <w:tcPr>
            <w:tcW w:w="1752" w:type="dxa"/>
            <w:noWrap/>
            <w:vAlign w:val="center"/>
          </w:tcPr>
          <w:p w14:paraId="5D908898">
            <w:pPr>
              <w:jc w:val="center"/>
              <w:rPr>
                <w:sz w:val="22"/>
                <w:szCs w:val="22"/>
              </w:rPr>
            </w:pPr>
          </w:p>
        </w:tc>
        <w:tc>
          <w:tcPr>
            <w:tcW w:w="944" w:type="dxa"/>
            <w:vMerge w:val="continue"/>
            <w:vAlign w:val="center"/>
          </w:tcPr>
          <w:p w14:paraId="0CD512A7">
            <w:pPr>
              <w:jc w:val="center"/>
              <w:rPr>
                <w:sz w:val="22"/>
                <w:szCs w:val="22"/>
              </w:rPr>
            </w:pPr>
          </w:p>
        </w:tc>
        <w:tc>
          <w:tcPr>
            <w:tcW w:w="1116" w:type="dxa"/>
            <w:vAlign w:val="center"/>
          </w:tcPr>
          <w:p w14:paraId="65394591">
            <w:pPr>
              <w:jc w:val="center"/>
              <w:rPr>
                <w:sz w:val="22"/>
                <w:szCs w:val="22"/>
              </w:rPr>
            </w:pPr>
            <w:r>
              <w:rPr>
                <w:sz w:val="22"/>
                <w:szCs w:val="22"/>
              </w:rPr>
              <w:t>24</w:t>
            </w:r>
          </w:p>
        </w:tc>
        <w:tc>
          <w:tcPr>
            <w:tcW w:w="1010" w:type="dxa"/>
            <w:noWrap/>
            <w:vAlign w:val="center"/>
          </w:tcPr>
          <w:p w14:paraId="612EAEA8">
            <w:pPr>
              <w:jc w:val="center"/>
              <w:rPr>
                <w:sz w:val="22"/>
                <w:szCs w:val="22"/>
              </w:rPr>
            </w:pPr>
            <w:r>
              <w:rPr>
                <w:sz w:val="22"/>
                <w:szCs w:val="22"/>
              </w:rPr>
              <w:t>120,00</w:t>
            </w:r>
          </w:p>
        </w:tc>
        <w:tc>
          <w:tcPr>
            <w:tcW w:w="1591" w:type="dxa"/>
            <w:noWrap/>
            <w:vAlign w:val="center"/>
          </w:tcPr>
          <w:p w14:paraId="56EF3AD9">
            <w:pPr>
              <w:jc w:val="center"/>
              <w:rPr>
                <w:sz w:val="22"/>
                <w:szCs w:val="22"/>
              </w:rPr>
            </w:pPr>
            <w:r>
              <w:rPr>
                <w:sz w:val="22"/>
                <w:szCs w:val="22"/>
              </w:rPr>
              <w:t>960.000.000</w:t>
            </w:r>
          </w:p>
        </w:tc>
        <w:tc>
          <w:tcPr>
            <w:tcW w:w="1700" w:type="dxa"/>
            <w:noWrap/>
            <w:vAlign w:val="center"/>
          </w:tcPr>
          <w:p w14:paraId="32B16C2D">
            <w:pPr>
              <w:jc w:val="center"/>
              <w:rPr>
                <w:sz w:val="22"/>
                <w:szCs w:val="22"/>
              </w:rPr>
            </w:pPr>
            <w:r>
              <w:rPr>
                <w:sz w:val="22"/>
                <w:szCs w:val="22"/>
              </w:rPr>
              <w:t>1.065.300.000</w:t>
            </w:r>
          </w:p>
        </w:tc>
        <w:tc>
          <w:tcPr>
            <w:tcW w:w="1140" w:type="dxa"/>
            <w:noWrap/>
            <w:vAlign w:val="center"/>
          </w:tcPr>
          <w:p w14:paraId="5B8FCFEA">
            <w:pPr>
              <w:jc w:val="center"/>
              <w:rPr>
                <w:sz w:val="22"/>
                <w:szCs w:val="22"/>
              </w:rPr>
            </w:pPr>
            <w:r>
              <w:rPr>
                <w:sz w:val="22"/>
                <w:szCs w:val="22"/>
              </w:rPr>
              <w:t>1,11%</w:t>
            </w:r>
          </w:p>
        </w:tc>
      </w:tr>
      <w:tr w14:paraId="031C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B8C02CC">
            <w:pPr>
              <w:jc w:val="center"/>
              <w:rPr>
                <w:sz w:val="22"/>
                <w:szCs w:val="22"/>
              </w:rPr>
            </w:pPr>
            <w:r>
              <w:rPr>
                <w:sz w:val="22"/>
                <w:szCs w:val="22"/>
              </w:rPr>
              <w:t>58</w:t>
            </w:r>
          </w:p>
        </w:tc>
        <w:tc>
          <w:tcPr>
            <w:tcW w:w="1752" w:type="dxa"/>
            <w:noWrap/>
            <w:vAlign w:val="center"/>
          </w:tcPr>
          <w:p w14:paraId="655404FA">
            <w:pPr>
              <w:jc w:val="center"/>
              <w:rPr>
                <w:sz w:val="22"/>
                <w:szCs w:val="22"/>
              </w:rPr>
            </w:pPr>
          </w:p>
        </w:tc>
        <w:tc>
          <w:tcPr>
            <w:tcW w:w="944" w:type="dxa"/>
            <w:vMerge w:val="continue"/>
            <w:vAlign w:val="center"/>
          </w:tcPr>
          <w:p w14:paraId="634FE5DA">
            <w:pPr>
              <w:jc w:val="center"/>
              <w:rPr>
                <w:sz w:val="22"/>
                <w:szCs w:val="22"/>
              </w:rPr>
            </w:pPr>
          </w:p>
        </w:tc>
        <w:tc>
          <w:tcPr>
            <w:tcW w:w="1116" w:type="dxa"/>
            <w:vAlign w:val="center"/>
          </w:tcPr>
          <w:p w14:paraId="0B31BFC7">
            <w:pPr>
              <w:jc w:val="center"/>
              <w:rPr>
                <w:sz w:val="22"/>
                <w:szCs w:val="22"/>
              </w:rPr>
            </w:pPr>
            <w:r>
              <w:rPr>
                <w:sz w:val="22"/>
                <w:szCs w:val="22"/>
              </w:rPr>
              <w:t>25</w:t>
            </w:r>
          </w:p>
        </w:tc>
        <w:tc>
          <w:tcPr>
            <w:tcW w:w="1010" w:type="dxa"/>
            <w:noWrap/>
            <w:vAlign w:val="center"/>
          </w:tcPr>
          <w:p w14:paraId="0E96F822">
            <w:pPr>
              <w:jc w:val="center"/>
              <w:rPr>
                <w:sz w:val="22"/>
                <w:szCs w:val="22"/>
              </w:rPr>
            </w:pPr>
            <w:r>
              <w:rPr>
                <w:sz w:val="22"/>
                <w:szCs w:val="22"/>
              </w:rPr>
              <w:t>120,00</w:t>
            </w:r>
          </w:p>
        </w:tc>
        <w:tc>
          <w:tcPr>
            <w:tcW w:w="1591" w:type="dxa"/>
            <w:noWrap/>
            <w:vAlign w:val="center"/>
          </w:tcPr>
          <w:p w14:paraId="50B9E4BA">
            <w:pPr>
              <w:jc w:val="center"/>
              <w:rPr>
                <w:sz w:val="22"/>
                <w:szCs w:val="22"/>
              </w:rPr>
            </w:pPr>
            <w:r>
              <w:rPr>
                <w:sz w:val="22"/>
                <w:szCs w:val="22"/>
              </w:rPr>
              <w:t>960.000.000</w:t>
            </w:r>
          </w:p>
        </w:tc>
        <w:tc>
          <w:tcPr>
            <w:tcW w:w="1700" w:type="dxa"/>
            <w:noWrap/>
            <w:vAlign w:val="center"/>
          </w:tcPr>
          <w:p w14:paraId="06888C24">
            <w:pPr>
              <w:jc w:val="center"/>
              <w:rPr>
                <w:sz w:val="22"/>
                <w:szCs w:val="22"/>
              </w:rPr>
            </w:pPr>
            <w:r>
              <w:rPr>
                <w:sz w:val="22"/>
                <w:szCs w:val="22"/>
              </w:rPr>
              <w:t>1.065.300.000</w:t>
            </w:r>
          </w:p>
        </w:tc>
        <w:tc>
          <w:tcPr>
            <w:tcW w:w="1140" w:type="dxa"/>
            <w:noWrap/>
            <w:vAlign w:val="center"/>
          </w:tcPr>
          <w:p w14:paraId="3F74E904">
            <w:pPr>
              <w:jc w:val="center"/>
              <w:rPr>
                <w:sz w:val="22"/>
                <w:szCs w:val="22"/>
              </w:rPr>
            </w:pPr>
            <w:r>
              <w:rPr>
                <w:sz w:val="22"/>
                <w:szCs w:val="22"/>
              </w:rPr>
              <w:t>1,11%</w:t>
            </w:r>
          </w:p>
        </w:tc>
      </w:tr>
      <w:tr w14:paraId="230D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6CBB334">
            <w:pPr>
              <w:jc w:val="center"/>
              <w:rPr>
                <w:sz w:val="22"/>
                <w:szCs w:val="22"/>
              </w:rPr>
            </w:pPr>
            <w:r>
              <w:rPr>
                <w:sz w:val="22"/>
                <w:szCs w:val="22"/>
              </w:rPr>
              <w:t>59</w:t>
            </w:r>
          </w:p>
        </w:tc>
        <w:tc>
          <w:tcPr>
            <w:tcW w:w="1752" w:type="dxa"/>
            <w:noWrap/>
            <w:vAlign w:val="center"/>
          </w:tcPr>
          <w:p w14:paraId="2FA6B327">
            <w:pPr>
              <w:jc w:val="center"/>
              <w:rPr>
                <w:sz w:val="22"/>
                <w:szCs w:val="22"/>
              </w:rPr>
            </w:pPr>
          </w:p>
        </w:tc>
        <w:tc>
          <w:tcPr>
            <w:tcW w:w="944" w:type="dxa"/>
            <w:vMerge w:val="continue"/>
            <w:vAlign w:val="center"/>
          </w:tcPr>
          <w:p w14:paraId="2933A0CF">
            <w:pPr>
              <w:jc w:val="center"/>
              <w:rPr>
                <w:sz w:val="22"/>
                <w:szCs w:val="22"/>
              </w:rPr>
            </w:pPr>
          </w:p>
        </w:tc>
        <w:tc>
          <w:tcPr>
            <w:tcW w:w="1116" w:type="dxa"/>
            <w:vAlign w:val="center"/>
          </w:tcPr>
          <w:p w14:paraId="3CACDD2C">
            <w:pPr>
              <w:jc w:val="center"/>
              <w:rPr>
                <w:sz w:val="22"/>
                <w:szCs w:val="22"/>
              </w:rPr>
            </w:pPr>
            <w:r>
              <w:rPr>
                <w:sz w:val="22"/>
                <w:szCs w:val="22"/>
              </w:rPr>
              <w:t>26</w:t>
            </w:r>
          </w:p>
        </w:tc>
        <w:tc>
          <w:tcPr>
            <w:tcW w:w="1010" w:type="dxa"/>
            <w:noWrap/>
            <w:vAlign w:val="center"/>
          </w:tcPr>
          <w:p w14:paraId="4EADAEC2">
            <w:pPr>
              <w:jc w:val="center"/>
              <w:rPr>
                <w:sz w:val="22"/>
                <w:szCs w:val="22"/>
              </w:rPr>
            </w:pPr>
            <w:r>
              <w:rPr>
                <w:sz w:val="22"/>
                <w:szCs w:val="22"/>
              </w:rPr>
              <w:t>120,00</w:t>
            </w:r>
          </w:p>
        </w:tc>
        <w:tc>
          <w:tcPr>
            <w:tcW w:w="1591" w:type="dxa"/>
            <w:noWrap/>
            <w:vAlign w:val="center"/>
          </w:tcPr>
          <w:p w14:paraId="78163724">
            <w:pPr>
              <w:jc w:val="center"/>
              <w:rPr>
                <w:sz w:val="22"/>
                <w:szCs w:val="22"/>
              </w:rPr>
            </w:pPr>
            <w:r>
              <w:rPr>
                <w:sz w:val="22"/>
                <w:szCs w:val="22"/>
              </w:rPr>
              <w:t>960.000.000</w:t>
            </w:r>
          </w:p>
        </w:tc>
        <w:tc>
          <w:tcPr>
            <w:tcW w:w="1700" w:type="dxa"/>
            <w:noWrap/>
            <w:vAlign w:val="center"/>
          </w:tcPr>
          <w:p w14:paraId="074E6B26">
            <w:pPr>
              <w:jc w:val="center"/>
              <w:rPr>
                <w:sz w:val="22"/>
                <w:szCs w:val="22"/>
              </w:rPr>
            </w:pPr>
            <w:r>
              <w:rPr>
                <w:sz w:val="22"/>
                <w:szCs w:val="22"/>
              </w:rPr>
              <w:t>1.067.200.000</w:t>
            </w:r>
          </w:p>
        </w:tc>
        <w:tc>
          <w:tcPr>
            <w:tcW w:w="1140" w:type="dxa"/>
            <w:noWrap/>
            <w:vAlign w:val="center"/>
          </w:tcPr>
          <w:p w14:paraId="66714913">
            <w:pPr>
              <w:jc w:val="center"/>
              <w:rPr>
                <w:sz w:val="22"/>
                <w:szCs w:val="22"/>
              </w:rPr>
            </w:pPr>
            <w:r>
              <w:rPr>
                <w:sz w:val="22"/>
                <w:szCs w:val="22"/>
              </w:rPr>
              <w:t>1,11%</w:t>
            </w:r>
          </w:p>
        </w:tc>
      </w:tr>
      <w:tr w14:paraId="347E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F7ECA68">
            <w:pPr>
              <w:jc w:val="center"/>
              <w:rPr>
                <w:sz w:val="22"/>
                <w:szCs w:val="22"/>
              </w:rPr>
            </w:pPr>
            <w:r>
              <w:rPr>
                <w:sz w:val="22"/>
                <w:szCs w:val="22"/>
              </w:rPr>
              <w:t>60</w:t>
            </w:r>
          </w:p>
        </w:tc>
        <w:tc>
          <w:tcPr>
            <w:tcW w:w="1752" w:type="dxa"/>
            <w:noWrap/>
            <w:vAlign w:val="center"/>
          </w:tcPr>
          <w:p w14:paraId="4E27DDFC">
            <w:pPr>
              <w:jc w:val="center"/>
              <w:rPr>
                <w:sz w:val="22"/>
                <w:szCs w:val="22"/>
              </w:rPr>
            </w:pPr>
          </w:p>
        </w:tc>
        <w:tc>
          <w:tcPr>
            <w:tcW w:w="944" w:type="dxa"/>
            <w:vMerge w:val="continue"/>
            <w:vAlign w:val="center"/>
          </w:tcPr>
          <w:p w14:paraId="6A7BDD18">
            <w:pPr>
              <w:jc w:val="center"/>
              <w:rPr>
                <w:sz w:val="22"/>
                <w:szCs w:val="22"/>
              </w:rPr>
            </w:pPr>
          </w:p>
        </w:tc>
        <w:tc>
          <w:tcPr>
            <w:tcW w:w="1116" w:type="dxa"/>
            <w:vAlign w:val="center"/>
          </w:tcPr>
          <w:p w14:paraId="2CDDC5AD">
            <w:pPr>
              <w:jc w:val="center"/>
              <w:rPr>
                <w:sz w:val="22"/>
                <w:szCs w:val="22"/>
              </w:rPr>
            </w:pPr>
            <w:r>
              <w:rPr>
                <w:sz w:val="22"/>
                <w:szCs w:val="22"/>
              </w:rPr>
              <w:t>27</w:t>
            </w:r>
          </w:p>
        </w:tc>
        <w:tc>
          <w:tcPr>
            <w:tcW w:w="1010" w:type="dxa"/>
            <w:noWrap/>
            <w:vAlign w:val="center"/>
          </w:tcPr>
          <w:p w14:paraId="52F53D29">
            <w:pPr>
              <w:jc w:val="center"/>
              <w:rPr>
                <w:sz w:val="22"/>
                <w:szCs w:val="22"/>
              </w:rPr>
            </w:pPr>
            <w:r>
              <w:rPr>
                <w:sz w:val="22"/>
                <w:szCs w:val="22"/>
              </w:rPr>
              <w:t>120,00</w:t>
            </w:r>
          </w:p>
        </w:tc>
        <w:tc>
          <w:tcPr>
            <w:tcW w:w="1591" w:type="dxa"/>
            <w:noWrap/>
            <w:vAlign w:val="center"/>
          </w:tcPr>
          <w:p w14:paraId="25383A65">
            <w:pPr>
              <w:jc w:val="center"/>
              <w:rPr>
                <w:sz w:val="22"/>
                <w:szCs w:val="22"/>
              </w:rPr>
            </w:pPr>
            <w:r>
              <w:rPr>
                <w:sz w:val="22"/>
                <w:szCs w:val="22"/>
              </w:rPr>
              <w:t>960.000.000</w:t>
            </w:r>
          </w:p>
        </w:tc>
        <w:tc>
          <w:tcPr>
            <w:tcW w:w="1700" w:type="dxa"/>
            <w:noWrap/>
            <w:vAlign w:val="center"/>
          </w:tcPr>
          <w:p w14:paraId="7924E8C3">
            <w:pPr>
              <w:jc w:val="center"/>
              <w:rPr>
                <w:sz w:val="22"/>
                <w:szCs w:val="22"/>
              </w:rPr>
            </w:pPr>
            <w:r>
              <w:rPr>
                <w:sz w:val="22"/>
                <w:szCs w:val="22"/>
              </w:rPr>
              <w:t>1.048.800.000</w:t>
            </w:r>
          </w:p>
        </w:tc>
        <w:tc>
          <w:tcPr>
            <w:tcW w:w="1140" w:type="dxa"/>
            <w:noWrap/>
            <w:vAlign w:val="center"/>
          </w:tcPr>
          <w:p w14:paraId="18028A43">
            <w:pPr>
              <w:jc w:val="center"/>
              <w:rPr>
                <w:sz w:val="22"/>
                <w:szCs w:val="22"/>
              </w:rPr>
            </w:pPr>
            <w:r>
              <w:rPr>
                <w:sz w:val="22"/>
                <w:szCs w:val="22"/>
              </w:rPr>
              <w:t>1,09%</w:t>
            </w:r>
          </w:p>
        </w:tc>
      </w:tr>
      <w:tr w14:paraId="01B5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3209DCF">
            <w:pPr>
              <w:jc w:val="center"/>
              <w:rPr>
                <w:sz w:val="22"/>
                <w:szCs w:val="22"/>
              </w:rPr>
            </w:pPr>
            <w:r>
              <w:rPr>
                <w:sz w:val="22"/>
                <w:szCs w:val="22"/>
              </w:rPr>
              <w:t>61</w:t>
            </w:r>
          </w:p>
        </w:tc>
        <w:tc>
          <w:tcPr>
            <w:tcW w:w="1752" w:type="dxa"/>
            <w:noWrap/>
            <w:vAlign w:val="center"/>
          </w:tcPr>
          <w:p w14:paraId="1552B58A">
            <w:pPr>
              <w:jc w:val="center"/>
              <w:rPr>
                <w:sz w:val="22"/>
                <w:szCs w:val="22"/>
              </w:rPr>
            </w:pPr>
          </w:p>
        </w:tc>
        <w:tc>
          <w:tcPr>
            <w:tcW w:w="944" w:type="dxa"/>
            <w:vMerge w:val="continue"/>
            <w:vAlign w:val="center"/>
          </w:tcPr>
          <w:p w14:paraId="210B307A">
            <w:pPr>
              <w:jc w:val="center"/>
              <w:rPr>
                <w:sz w:val="22"/>
                <w:szCs w:val="22"/>
              </w:rPr>
            </w:pPr>
          </w:p>
        </w:tc>
        <w:tc>
          <w:tcPr>
            <w:tcW w:w="1116" w:type="dxa"/>
            <w:vAlign w:val="center"/>
          </w:tcPr>
          <w:p w14:paraId="454F6B6C">
            <w:pPr>
              <w:jc w:val="center"/>
              <w:rPr>
                <w:sz w:val="22"/>
                <w:szCs w:val="22"/>
              </w:rPr>
            </w:pPr>
            <w:r>
              <w:rPr>
                <w:sz w:val="22"/>
                <w:szCs w:val="22"/>
              </w:rPr>
              <w:t>28</w:t>
            </w:r>
          </w:p>
        </w:tc>
        <w:tc>
          <w:tcPr>
            <w:tcW w:w="1010" w:type="dxa"/>
            <w:noWrap/>
            <w:vAlign w:val="center"/>
          </w:tcPr>
          <w:p w14:paraId="12D8E36E">
            <w:pPr>
              <w:jc w:val="center"/>
              <w:rPr>
                <w:sz w:val="22"/>
                <w:szCs w:val="22"/>
              </w:rPr>
            </w:pPr>
            <w:r>
              <w:rPr>
                <w:sz w:val="22"/>
                <w:szCs w:val="22"/>
              </w:rPr>
              <w:t>120,00</w:t>
            </w:r>
          </w:p>
        </w:tc>
        <w:tc>
          <w:tcPr>
            <w:tcW w:w="1591" w:type="dxa"/>
            <w:noWrap/>
            <w:vAlign w:val="center"/>
          </w:tcPr>
          <w:p w14:paraId="2599BA98">
            <w:pPr>
              <w:jc w:val="center"/>
              <w:rPr>
                <w:sz w:val="22"/>
                <w:szCs w:val="22"/>
              </w:rPr>
            </w:pPr>
            <w:r>
              <w:rPr>
                <w:sz w:val="22"/>
                <w:szCs w:val="22"/>
              </w:rPr>
              <w:t>960.000.000</w:t>
            </w:r>
          </w:p>
        </w:tc>
        <w:tc>
          <w:tcPr>
            <w:tcW w:w="1700" w:type="dxa"/>
            <w:noWrap/>
            <w:vAlign w:val="center"/>
          </w:tcPr>
          <w:p w14:paraId="15982593">
            <w:pPr>
              <w:jc w:val="center"/>
              <w:rPr>
                <w:sz w:val="22"/>
                <w:szCs w:val="22"/>
              </w:rPr>
            </w:pPr>
            <w:r>
              <w:rPr>
                <w:sz w:val="22"/>
                <w:szCs w:val="22"/>
              </w:rPr>
              <w:t>1.108.800.000</w:t>
            </w:r>
          </w:p>
        </w:tc>
        <w:tc>
          <w:tcPr>
            <w:tcW w:w="1140" w:type="dxa"/>
            <w:noWrap/>
            <w:vAlign w:val="center"/>
          </w:tcPr>
          <w:p w14:paraId="08E62F67">
            <w:pPr>
              <w:jc w:val="center"/>
              <w:rPr>
                <w:sz w:val="22"/>
                <w:szCs w:val="22"/>
              </w:rPr>
            </w:pPr>
            <w:r>
              <w:rPr>
                <w:sz w:val="22"/>
                <w:szCs w:val="22"/>
              </w:rPr>
              <w:t>1,16%</w:t>
            </w:r>
          </w:p>
        </w:tc>
      </w:tr>
      <w:tr w14:paraId="0C26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1BE8E66">
            <w:pPr>
              <w:jc w:val="center"/>
              <w:rPr>
                <w:sz w:val="22"/>
                <w:szCs w:val="22"/>
              </w:rPr>
            </w:pPr>
            <w:r>
              <w:rPr>
                <w:sz w:val="22"/>
                <w:szCs w:val="22"/>
              </w:rPr>
              <w:t>62</w:t>
            </w:r>
          </w:p>
        </w:tc>
        <w:tc>
          <w:tcPr>
            <w:tcW w:w="1752" w:type="dxa"/>
            <w:noWrap/>
            <w:vAlign w:val="center"/>
          </w:tcPr>
          <w:p w14:paraId="26699887">
            <w:pPr>
              <w:jc w:val="center"/>
              <w:rPr>
                <w:sz w:val="22"/>
                <w:szCs w:val="22"/>
              </w:rPr>
            </w:pPr>
          </w:p>
        </w:tc>
        <w:tc>
          <w:tcPr>
            <w:tcW w:w="944" w:type="dxa"/>
            <w:vMerge w:val="continue"/>
            <w:vAlign w:val="center"/>
          </w:tcPr>
          <w:p w14:paraId="3C0D49BC">
            <w:pPr>
              <w:jc w:val="center"/>
              <w:rPr>
                <w:sz w:val="22"/>
                <w:szCs w:val="22"/>
              </w:rPr>
            </w:pPr>
          </w:p>
        </w:tc>
        <w:tc>
          <w:tcPr>
            <w:tcW w:w="1116" w:type="dxa"/>
            <w:vAlign w:val="center"/>
          </w:tcPr>
          <w:p w14:paraId="64D29134">
            <w:pPr>
              <w:jc w:val="center"/>
              <w:rPr>
                <w:sz w:val="22"/>
                <w:szCs w:val="22"/>
              </w:rPr>
            </w:pPr>
            <w:r>
              <w:rPr>
                <w:sz w:val="22"/>
                <w:szCs w:val="22"/>
              </w:rPr>
              <w:t>29</w:t>
            </w:r>
          </w:p>
        </w:tc>
        <w:tc>
          <w:tcPr>
            <w:tcW w:w="1010" w:type="dxa"/>
            <w:noWrap/>
            <w:vAlign w:val="center"/>
          </w:tcPr>
          <w:p w14:paraId="7D1964E8">
            <w:pPr>
              <w:jc w:val="center"/>
              <w:rPr>
                <w:sz w:val="22"/>
                <w:szCs w:val="22"/>
              </w:rPr>
            </w:pPr>
            <w:r>
              <w:rPr>
                <w:sz w:val="22"/>
                <w:szCs w:val="22"/>
              </w:rPr>
              <w:t>120,00</w:t>
            </w:r>
          </w:p>
        </w:tc>
        <w:tc>
          <w:tcPr>
            <w:tcW w:w="1591" w:type="dxa"/>
            <w:noWrap/>
            <w:vAlign w:val="center"/>
          </w:tcPr>
          <w:p w14:paraId="5241237F">
            <w:pPr>
              <w:jc w:val="center"/>
              <w:rPr>
                <w:sz w:val="22"/>
                <w:szCs w:val="22"/>
              </w:rPr>
            </w:pPr>
            <w:r>
              <w:rPr>
                <w:sz w:val="22"/>
                <w:szCs w:val="22"/>
              </w:rPr>
              <w:t>960.000.000</w:t>
            </w:r>
          </w:p>
        </w:tc>
        <w:tc>
          <w:tcPr>
            <w:tcW w:w="1700" w:type="dxa"/>
            <w:noWrap/>
            <w:vAlign w:val="center"/>
          </w:tcPr>
          <w:p w14:paraId="27FBABDC">
            <w:pPr>
              <w:jc w:val="center"/>
              <w:rPr>
                <w:sz w:val="22"/>
                <w:szCs w:val="22"/>
              </w:rPr>
            </w:pPr>
            <w:r>
              <w:rPr>
                <w:sz w:val="22"/>
                <w:szCs w:val="22"/>
              </w:rPr>
              <w:t>1.124.000.000</w:t>
            </w:r>
          </w:p>
        </w:tc>
        <w:tc>
          <w:tcPr>
            <w:tcW w:w="1140" w:type="dxa"/>
            <w:noWrap/>
            <w:vAlign w:val="center"/>
          </w:tcPr>
          <w:p w14:paraId="7CFCDFE6">
            <w:pPr>
              <w:jc w:val="center"/>
              <w:rPr>
                <w:sz w:val="22"/>
                <w:szCs w:val="22"/>
              </w:rPr>
            </w:pPr>
            <w:r>
              <w:rPr>
                <w:sz w:val="22"/>
                <w:szCs w:val="22"/>
              </w:rPr>
              <w:t>1,17%</w:t>
            </w:r>
          </w:p>
        </w:tc>
      </w:tr>
      <w:tr w14:paraId="35EE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AC77BA8">
            <w:pPr>
              <w:jc w:val="center"/>
              <w:rPr>
                <w:sz w:val="22"/>
                <w:szCs w:val="22"/>
              </w:rPr>
            </w:pPr>
            <w:r>
              <w:rPr>
                <w:sz w:val="22"/>
                <w:szCs w:val="22"/>
              </w:rPr>
              <w:t>63</w:t>
            </w:r>
          </w:p>
        </w:tc>
        <w:tc>
          <w:tcPr>
            <w:tcW w:w="1752" w:type="dxa"/>
            <w:noWrap/>
            <w:vAlign w:val="center"/>
          </w:tcPr>
          <w:p w14:paraId="11DFA9A9">
            <w:pPr>
              <w:jc w:val="center"/>
              <w:rPr>
                <w:sz w:val="22"/>
                <w:szCs w:val="22"/>
              </w:rPr>
            </w:pPr>
          </w:p>
        </w:tc>
        <w:tc>
          <w:tcPr>
            <w:tcW w:w="944" w:type="dxa"/>
            <w:vMerge w:val="continue"/>
            <w:vAlign w:val="center"/>
          </w:tcPr>
          <w:p w14:paraId="4C7C72C3">
            <w:pPr>
              <w:jc w:val="center"/>
              <w:rPr>
                <w:sz w:val="22"/>
                <w:szCs w:val="22"/>
              </w:rPr>
            </w:pPr>
          </w:p>
        </w:tc>
        <w:tc>
          <w:tcPr>
            <w:tcW w:w="1116" w:type="dxa"/>
            <w:vAlign w:val="center"/>
          </w:tcPr>
          <w:p w14:paraId="5D4B8FC9">
            <w:pPr>
              <w:jc w:val="center"/>
              <w:rPr>
                <w:sz w:val="22"/>
                <w:szCs w:val="22"/>
              </w:rPr>
            </w:pPr>
            <w:r>
              <w:rPr>
                <w:sz w:val="22"/>
                <w:szCs w:val="22"/>
              </w:rPr>
              <w:t>30</w:t>
            </w:r>
          </w:p>
        </w:tc>
        <w:tc>
          <w:tcPr>
            <w:tcW w:w="1010" w:type="dxa"/>
            <w:noWrap/>
            <w:vAlign w:val="center"/>
          </w:tcPr>
          <w:p w14:paraId="36D7EFE8">
            <w:pPr>
              <w:jc w:val="center"/>
              <w:rPr>
                <w:sz w:val="22"/>
                <w:szCs w:val="22"/>
              </w:rPr>
            </w:pPr>
            <w:r>
              <w:rPr>
                <w:sz w:val="22"/>
                <w:szCs w:val="22"/>
              </w:rPr>
              <w:t>120,00</w:t>
            </w:r>
          </w:p>
        </w:tc>
        <w:tc>
          <w:tcPr>
            <w:tcW w:w="1591" w:type="dxa"/>
            <w:noWrap/>
            <w:vAlign w:val="center"/>
          </w:tcPr>
          <w:p w14:paraId="151B619D">
            <w:pPr>
              <w:jc w:val="center"/>
              <w:rPr>
                <w:sz w:val="22"/>
                <w:szCs w:val="22"/>
              </w:rPr>
            </w:pPr>
            <w:r>
              <w:rPr>
                <w:sz w:val="22"/>
                <w:szCs w:val="22"/>
              </w:rPr>
              <w:t>960.000.000</w:t>
            </w:r>
          </w:p>
        </w:tc>
        <w:tc>
          <w:tcPr>
            <w:tcW w:w="1700" w:type="dxa"/>
            <w:noWrap/>
            <w:vAlign w:val="center"/>
          </w:tcPr>
          <w:p w14:paraId="567C7EB4">
            <w:pPr>
              <w:jc w:val="center"/>
              <w:rPr>
                <w:sz w:val="22"/>
                <w:szCs w:val="22"/>
              </w:rPr>
            </w:pPr>
            <w:r>
              <w:rPr>
                <w:sz w:val="22"/>
                <w:szCs w:val="22"/>
              </w:rPr>
              <w:t>1.109.000.000</w:t>
            </w:r>
          </w:p>
        </w:tc>
        <w:tc>
          <w:tcPr>
            <w:tcW w:w="1140" w:type="dxa"/>
            <w:noWrap/>
            <w:vAlign w:val="center"/>
          </w:tcPr>
          <w:p w14:paraId="0115A1DA">
            <w:pPr>
              <w:jc w:val="center"/>
              <w:rPr>
                <w:sz w:val="22"/>
                <w:szCs w:val="22"/>
              </w:rPr>
            </w:pPr>
            <w:r>
              <w:rPr>
                <w:sz w:val="22"/>
                <w:szCs w:val="22"/>
              </w:rPr>
              <w:t>1,16%</w:t>
            </w:r>
          </w:p>
        </w:tc>
      </w:tr>
      <w:tr w14:paraId="7CAB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590FCA1">
            <w:pPr>
              <w:jc w:val="center"/>
              <w:rPr>
                <w:sz w:val="22"/>
                <w:szCs w:val="22"/>
              </w:rPr>
            </w:pPr>
            <w:r>
              <w:rPr>
                <w:sz w:val="22"/>
                <w:szCs w:val="22"/>
              </w:rPr>
              <w:t>64</w:t>
            </w:r>
          </w:p>
        </w:tc>
        <w:tc>
          <w:tcPr>
            <w:tcW w:w="1752" w:type="dxa"/>
            <w:noWrap/>
            <w:vAlign w:val="center"/>
          </w:tcPr>
          <w:p w14:paraId="46386489">
            <w:pPr>
              <w:jc w:val="center"/>
              <w:rPr>
                <w:sz w:val="22"/>
                <w:szCs w:val="22"/>
              </w:rPr>
            </w:pPr>
          </w:p>
        </w:tc>
        <w:tc>
          <w:tcPr>
            <w:tcW w:w="944" w:type="dxa"/>
            <w:vMerge w:val="continue"/>
            <w:vAlign w:val="center"/>
          </w:tcPr>
          <w:p w14:paraId="7C75B083">
            <w:pPr>
              <w:jc w:val="center"/>
              <w:rPr>
                <w:sz w:val="22"/>
                <w:szCs w:val="22"/>
              </w:rPr>
            </w:pPr>
          </w:p>
        </w:tc>
        <w:tc>
          <w:tcPr>
            <w:tcW w:w="1116" w:type="dxa"/>
            <w:vAlign w:val="center"/>
          </w:tcPr>
          <w:p w14:paraId="4A017C23">
            <w:pPr>
              <w:jc w:val="center"/>
              <w:rPr>
                <w:sz w:val="22"/>
                <w:szCs w:val="22"/>
              </w:rPr>
            </w:pPr>
            <w:r>
              <w:rPr>
                <w:sz w:val="22"/>
                <w:szCs w:val="22"/>
              </w:rPr>
              <w:t>31</w:t>
            </w:r>
          </w:p>
        </w:tc>
        <w:tc>
          <w:tcPr>
            <w:tcW w:w="1010" w:type="dxa"/>
            <w:noWrap/>
            <w:vAlign w:val="center"/>
          </w:tcPr>
          <w:p w14:paraId="36042FF2">
            <w:pPr>
              <w:jc w:val="center"/>
              <w:rPr>
                <w:sz w:val="22"/>
                <w:szCs w:val="22"/>
              </w:rPr>
            </w:pPr>
            <w:r>
              <w:rPr>
                <w:sz w:val="22"/>
                <w:szCs w:val="22"/>
              </w:rPr>
              <w:t>120,00</w:t>
            </w:r>
          </w:p>
        </w:tc>
        <w:tc>
          <w:tcPr>
            <w:tcW w:w="1591" w:type="dxa"/>
            <w:noWrap/>
            <w:vAlign w:val="center"/>
          </w:tcPr>
          <w:p w14:paraId="59B01999">
            <w:pPr>
              <w:jc w:val="center"/>
              <w:rPr>
                <w:sz w:val="22"/>
                <w:szCs w:val="22"/>
              </w:rPr>
            </w:pPr>
            <w:r>
              <w:rPr>
                <w:sz w:val="22"/>
                <w:szCs w:val="22"/>
              </w:rPr>
              <w:t>960.000.000</w:t>
            </w:r>
          </w:p>
        </w:tc>
        <w:tc>
          <w:tcPr>
            <w:tcW w:w="1700" w:type="dxa"/>
            <w:noWrap/>
            <w:vAlign w:val="center"/>
          </w:tcPr>
          <w:p w14:paraId="53D2F5BF">
            <w:pPr>
              <w:jc w:val="center"/>
              <w:rPr>
                <w:sz w:val="22"/>
                <w:szCs w:val="22"/>
              </w:rPr>
            </w:pPr>
            <w:r>
              <w:rPr>
                <w:sz w:val="22"/>
                <w:szCs w:val="22"/>
              </w:rPr>
              <w:t>1.079.300.000</w:t>
            </w:r>
          </w:p>
        </w:tc>
        <w:tc>
          <w:tcPr>
            <w:tcW w:w="1140" w:type="dxa"/>
            <w:noWrap/>
            <w:vAlign w:val="center"/>
          </w:tcPr>
          <w:p w14:paraId="5F2A8131">
            <w:pPr>
              <w:jc w:val="center"/>
              <w:rPr>
                <w:sz w:val="22"/>
                <w:szCs w:val="22"/>
              </w:rPr>
            </w:pPr>
            <w:r>
              <w:rPr>
                <w:sz w:val="22"/>
                <w:szCs w:val="22"/>
              </w:rPr>
              <w:t>1,12%</w:t>
            </w:r>
          </w:p>
        </w:tc>
      </w:tr>
      <w:tr w14:paraId="0194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D45CE3E">
            <w:pPr>
              <w:jc w:val="center"/>
              <w:rPr>
                <w:sz w:val="22"/>
                <w:szCs w:val="22"/>
              </w:rPr>
            </w:pPr>
            <w:r>
              <w:rPr>
                <w:sz w:val="22"/>
                <w:szCs w:val="22"/>
              </w:rPr>
              <w:t>65</w:t>
            </w:r>
          </w:p>
        </w:tc>
        <w:tc>
          <w:tcPr>
            <w:tcW w:w="1752" w:type="dxa"/>
            <w:noWrap/>
            <w:vAlign w:val="center"/>
          </w:tcPr>
          <w:p w14:paraId="0A0611BE">
            <w:pPr>
              <w:jc w:val="center"/>
              <w:rPr>
                <w:sz w:val="22"/>
                <w:szCs w:val="22"/>
              </w:rPr>
            </w:pPr>
          </w:p>
        </w:tc>
        <w:tc>
          <w:tcPr>
            <w:tcW w:w="944" w:type="dxa"/>
            <w:vMerge w:val="continue"/>
            <w:vAlign w:val="center"/>
          </w:tcPr>
          <w:p w14:paraId="25E36B1C">
            <w:pPr>
              <w:jc w:val="center"/>
              <w:rPr>
                <w:sz w:val="22"/>
                <w:szCs w:val="22"/>
              </w:rPr>
            </w:pPr>
          </w:p>
        </w:tc>
        <w:tc>
          <w:tcPr>
            <w:tcW w:w="1116" w:type="dxa"/>
            <w:vAlign w:val="center"/>
          </w:tcPr>
          <w:p w14:paraId="2090D6C8">
            <w:pPr>
              <w:jc w:val="center"/>
              <w:rPr>
                <w:sz w:val="22"/>
                <w:szCs w:val="22"/>
              </w:rPr>
            </w:pPr>
            <w:r>
              <w:rPr>
                <w:sz w:val="22"/>
                <w:szCs w:val="22"/>
              </w:rPr>
              <w:t>32</w:t>
            </w:r>
          </w:p>
        </w:tc>
        <w:tc>
          <w:tcPr>
            <w:tcW w:w="1010" w:type="dxa"/>
            <w:noWrap/>
            <w:vAlign w:val="center"/>
          </w:tcPr>
          <w:p w14:paraId="6F8C86AD">
            <w:pPr>
              <w:jc w:val="center"/>
              <w:rPr>
                <w:sz w:val="22"/>
                <w:szCs w:val="22"/>
              </w:rPr>
            </w:pPr>
            <w:r>
              <w:rPr>
                <w:sz w:val="22"/>
                <w:szCs w:val="22"/>
              </w:rPr>
              <w:t>120,00</w:t>
            </w:r>
          </w:p>
        </w:tc>
        <w:tc>
          <w:tcPr>
            <w:tcW w:w="1591" w:type="dxa"/>
            <w:noWrap/>
            <w:vAlign w:val="center"/>
          </w:tcPr>
          <w:p w14:paraId="7D179ABF">
            <w:pPr>
              <w:jc w:val="center"/>
              <w:rPr>
                <w:sz w:val="22"/>
                <w:szCs w:val="22"/>
              </w:rPr>
            </w:pPr>
            <w:r>
              <w:rPr>
                <w:sz w:val="22"/>
                <w:szCs w:val="22"/>
              </w:rPr>
              <w:t>960.000.000</w:t>
            </w:r>
          </w:p>
        </w:tc>
        <w:tc>
          <w:tcPr>
            <w:tcW w:w="1700" w:type="dxa"/>
            <w:noWrap/>
            <w:vAlign w:val="center"/>
          </w:tcPr>
          <w:p w14:paraId="0D9893FD">
            <w:pPr>
              <w:jc w:val="center"/>
              <w:rPr>
                <w:sz w:val="22"/>
                <w:szCs w:val="22"/>
              </w:rPr>
            </w:pPr>
            <w:r>
              <w:rPr>
                <w:sz w:val="22"/>
                <w:szCs w:val="22"/>
              </w:rPr>
              <w:t>1.081.300.000</w:t>
            </w:r>
          </w:p>
        </w:tc>
        <w:tc>
          <w:tcPr>
            <w:tcW w:w="1140" w:type="dxa"/>
            <w:noWrap/>
            <w:vAlign w:val="center"/>
          </w:tcPr>
          <w:p w14:paraId="31721B77">
            <w:pPr>
              <w:jc w:val="center"/>
              <w:rPr>
                <w:sz w:val="22"/>
                <w:szCs w:val="22"/>
              </w:rPr>
            </w:pPr>
            <w:r>
              <w:rPr>
                <w:sz w:val="22"/>
                <w:szCs w:val="22"/>
              </w:rPr>
              <w:t>1,13%</w:t>
            </w:r>
          </w:p>
        </w:tc>
      </w:tr>
      <w:tr w14:paraId="7786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72B7BEE">
            <w:pPr>
              <w:jc w:val="center"/>
              <w:rPr>
                <w:sz w:val="22"/>
                <w:szCs w:val="22"/>
              </w:rPr>
            </w:pPr>
            <w:r>
              <w:rPr>
                <w:sz w:val="22"/>
                <w:szCs w:val="22"/>
              </w:rPr>
              <w:t>66</w:t>
            </w:r>
          </w:p>
        </w:tc>
        <w:tc>
          <w:tcPr>
            <w:tcW w:w="1752" w:type="dxa"/>
            <w:noWrap/>
            <w:vAlign w:val="center"/>
          </w:tcPr>
          <w:p w14:paraId="1A3E27FD">
            <w:pPr>
              <w:jc w:val="center"/>
              <w:rPr>
                <w:sz w:val="22"/>
                <w:szCs w:val="22"/>
              </w:rPr>
            </w:pPr>
          </w:p>
        </w:tc>
        <w:tc>
          <w:tcPr>
            <w:tcW w:w="944" w:type="dxa"/>
            <w:vMerge w:val="continue"/>
            <w:vAlign w:val="center"/>
          </w:tcPr>
          <w:p w14:paraId="5D90E1A3">
            <w:pPr>
              <w:jc w:val="center"/>
              <w:rPr>
                <w:sz w:val="22"/>
                <w:szCs w:val="22"/>
              </w:rPr>
            </w:pPr>
          </w:p>
        </w:tc>
        <w:tc>
          <w:tcPr>
            <w:tcW w:w="1116" w:type="dxa"/>
            <w:vAlign w:val="center"/>
          </w:tcPr>
          <w:p w14:paraId="1A2D040E">
            <w:pPr>
              <w:jc w:val="center"/>
              <w:rPr>
                <w:sz w:val="22"/>
                <w:szCs w:val="22"/>
              </w:rPr>
            </w:pPr>
            <w:r>
              <w:rPr>
                <w:sz w:val="22"/>
                <w:szCs w:val="22"/>
              </w:rPr>
              <w:t>33</w:t>
            </w:r>
          </w:p>
        </w:tc>
        <w:tc>
          <w:tcPr>
            <w:tcW w:w="1010" w:type="dxa"/>
            <w:noWrap/>
            <w:vAlign w:val="center"/>
          </w:tcPr>
          <w:p w14:paraId="4C015EC2">
            <w:pPr>
              <w:jc w:val="center"/>
              <w:rPr>
                <w:sz w:val="22"/>
                <w:szCs w:val="22"/>
              </w:rPr>
            </w:pPr>
            <w:r>
              <w:rPr>
                <w:sz w:val="22"/>
                <w:szCs w:val="22"/>
              </w:rPr>
              <w:t>120,00</w:t>
            </w:r>
          </w:p>
        </w:tc>
        <w:tc>
          <w:tcPr>
            <w:tcW w:w="1591" w:type="dxa"/>
            <w:noWrap/>
            <w:vAlign w:val="center"/>
          </w:tcPr>
          <w:p w14:paraId="6B9D11DD">
            <w:pPr>
              <w:jc w:val="center"/>
              <w:rPr>
                <w:sz w:val="22"/>
                <w:szCs w:val="22"/>
              </w:rPr>
            </w:pPr>
            <w:r>
              <w:rPr>
                <w:sz w:val="22"/>
                <w:szCs w:val="22"/>
              </w:rPr>
              <w:t>960.000.000</w:t>
            </w:r>
          </w:p>
        </w:tc>
        <w:tc>
          <w:tcPr>
            <w:tcW w:w="1700" w:type="dxa"/>
            <w:noWrap/>
            <w:vAlign w:val="center"/>
          </w:tcPr>
          <w:p w14:paraId="03C33FE1">
            <w:pPr>
              <w:jc w:val="center"/>
              <w:rPr>
                <w:sz w:val="22"/>
                <w:szCs w:val="22"/>
              </w:rPr>
            </w:pPr>
            <w:r>
              <w:rPr>
                <w:sz w:val="22"/>
                <w:szCs w:val="22"/>
              </w:rPr>
              <w:t>1.081.300.000</w:t>
            </w:r>
          </w:p>
        </w:tc>
        <w:tc>
          <w:tcPr>
            <w:tcW w:w="1140" w:type="dxa"/>
            <w:noWrap/>
            <w:vAlign w:val="center"/>
          </w:tcPr>
          <w:p w14:paraId="74764020">
            <w:pPr>
              <w:jc w:val="center"/>
              <w:rPr>
                <w:sz w:val="22"/>
                <w:szCs w:val="22"/>
              </w:rPr>
            </w:pPr>
            <w:r>
              <w:rPr>
                <w:sz w:val="22"/>
                <w:szCs w:val="22"/>
              </w:rPr>
              <w:t>1,13%</w:t>
            </w:r>
          </w:p>
        </w:tc>
      </w:tr>
      <w:tr w14:paraId="6123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0C9CDC4">
            <w:pPr>
              <w:jc w:val="center"/>
              <w:rPr>
                <w:sz w:val="22"/>
                <w:szCs w:val="22"/>
              </w:rPr>
            </w:pPr>
            <w:r>
              <w:rPr>
                <w:sz w:val="22"/>
                <w:szCs w:val="22"/>
              </w:rPr>
              <w:t>67</w:t>
            </w:r>
          </w:p>
        </w:tc>
        <w:tc>
          <w:tcPr>
            <w:tcW w:w="1752" w:type="dxa"/>
            <w:noWrap/>
            <w:vAlign w:val="center"/>
          </w:tcPr>
          <w:p w14:paraId="28E7945F">
            <w:pPr>
              <w:jc w:val="center"/>
              <w:rPr>
                <w:sz w:val="22"/>
                <w:szCs w:val="22"/>
              </w:rPr>
            </w:pPr>
          </w:p>
        </w:tc>
        <w:tc>
          <w:tcPr>
            <w:tcW w:w="944" w:type="dxa"/>
            <w:vMerge w:val="continue"/>
            <w:vAlign w:val="center"/>
          </w:tcPr>
          <w:p w14:paraId="5733D4E1">
            <w:pPr>
              <w:jc w:val="center"/>
              <w:rPr>
                <w:sz w:val="22"/>
                <w:szCs w:val="22"/>
              </w:rPr>
            </w:pPr>
          </w:p>
        </w:tc>
        <w:tc>
          <w:tcPr>
            <w:tcW w:w="1116" w:type="dxa"/>
            <w:vAlign w:val="center"/>
          </w:tcPr>
          <w:p w14:paraId="7A7AA9CE">
            <w:pPr>
              <w:jc w:val="center"/>
              <w:rPr>
                <w:sz w:val="22"/>
                <w:szCs w:val="22"/>
              </w:rPr>
            </w:pPr>
            <w:r>
              <w:rPr>
                <w:sz w:val="22"/>
                <w:szCs w:val="22"/>
              </w:rPr>
              <w:t>34</w:t>
            </w:r>
          </w:p>
        </w:tc>
        <w:tc>
          <w:tcPr>
            <w:tcW w:w="1010" w:type="dxa"/>
            <w:noWrap/>
            <w:vAlign w:val="center"/>
          </w:tcPr>
          <w:p w14:paraId="4ED13D85">
            <w:pPr>
              <w:jc w:val="center"/>
              <w:rPr>
                <w:sz w:val="22"/>
                <w:szCs w:val="22"/>
              </w:rPr>
            </w:pPr>
            <w:r>
              <w:rPr>
                <w:sz w:val="22"/>
                <w:szCs w:val="22"/>
              </w:rPr>
              <w:t>120,00</w:t>
            </w:r>
          </w:p>
        </w:tc>
        <w:tc>
          <w:tcPr>
            <w:tcW w:w="1591" w:type="dxa"/>
            <w:noWrap/>
            <w:vAlign w:val="center"/>
          </w:tcPr>
          <w:p w14:paraId="4C31F08E">
            <w:pPr>
              <w:jc w:val="center"/>
              <w:rPr>
                <w:sz w:val="22"/>
                <w:szCs w:val="22"/>
              </w:rPr>
            </w:pPr>
            <w:r>
              <w:rPr>
                <w:sz w:val="22"/>
                <w:szCs w:val="22"/>
              </w:rPr>
              <w:t>960.000.000</w:t>
            </w:r>
          </w:p>
        </w:tc>
        <w:tc>
          <w:tcPr>
            <w:tcW w:w="1700" w:type="dxa"/>
            <w:noWrap/>
            <w:vAlign w:val="center"/>
          </w:tcPr>
          <w:p w14:paraId="32E65E3D">
            <w:pPr>
              <w:jc w:val="center"/>
              <w:rPr>
                <w:sz w:val="22"/>
                <w:szCs w:val="22"/>
              </w:rPr>
            </w:pPr>
            <w:r>
              <w:rPr>
                <w:sz w:val="22"/>
                <w:szCs w:val="22"/>
              </w:rPr>
              <w:t>1.076.300.000</w:t>
            </w:r>
          </w:p>
        </w:tc>
        <w:tc>
          <w:tcPr>
            <w:tcW w:w="1140" w:type="dxa"/>
            <w:noWrap/>
            <w:vAlign w:val="center"/>
          </w:tcPr>
          <w:p w14:paraId="4ABA1E28">
            <w:pPr>
              <w:jc w:val="center"/>
              <w:rPr>
                <w:sz w:val="22"/>
                <w:szCs w:val="22"/>
              </w:rPr>
            </w:pPr>
            <w:r>
              <w:rPr>
                <w:sz w:val="22"/>
                <w:szCs w:val="22"/>
              </w:rPr>
              <w:t>1,12%</w:t>
            </w:r>
          </w:p>
        </w:tc>
      </w:tr>
      <w:tr w14:paraId="1607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11A8D67">
            <w:pPr>
              <w:jc w:val="center"/>
              <w:rPr>
                <w:sz w:val="22"/>
                <w:szCs w:val="22"/>
              </w:rPr>
            </w:pPr>
            <w:r>
              <w:rPr>
                <w:sz w:val="22"/>
                <w:szCs w:val="22"/>
              </w:rPr>
              <w:t>68</w:t>
            </w:r>
          </w:p>
        </w:tc>
        <w:tc>
          <w:tcPr>
            <w:tcW w:w="1752" w:type="dxa"/>
            <w:noWrap/>
            <w:vAlign w:val="center"/>
          </w:tcPr>
          <w:p w14:paraId="62AF7FC8">
            <w:pPr>
              <w:jc w:val="center"/>
              <w:rPr>
                <w:sz w:val="22"/>
                <w:szCs w:val="22"/>
              </w:rPr>
            </w:pPr>
          </w:p>
        </w:tc>
        <w:tc>
          <w:tcPr>
            <w:tcW w:w="944" w:type="dxa"/>
            <w:vMerge w:val="continue"/>
            <w:vAlign w:val="center"/>
          </w:tcPr>
          <w:p w14:paraId="01C613EC">
            <w:pPr>
              <w:jc w:val="center"/>
              <w:rPr>
                <w:sz w:val="22"/>
                <w:szCs w:val="22"/>
              </w:rPr>
            </w:pPr>
          </w:p>
        </w:tc>
        <w:tc>
          <w:tcPr>
            <w:tcW w:w="1116" w:type="dxa"/>
            <w:vAlign w:val="center"/>
          </w:tcPr>
          <w:p w14:paraId="26F6E64E">
            <w:pPr>
              <w:jc w:val="center"/>
              <w:rPr>
                <w:sz w:val="22"/>
                <w:szCs w:val="22"/>
              </w:rPr>
            </w:pPr>
            <w:r>
              <w:rPr>
                <w:sz w:val="22"/>
                <w:szCs w:val="22"/>
              </w:rPr>
              <w:t>35</w:t>
            </w:r>
          </w:p>
        </w:tc>
        <w:tc>
          <w:tcPr>
            <w:tcW w:w="1010" w:type="dxa"/>
            <w:noWrap/>
            <w:vAlign w:val="center"/>
          </w:tcPr>
          <w:p w14:paraId="68EE0033">
            <w:pPr>
              <w:jc w:val="center"/>
              <w:rPr>
                <w:sz w:val="22"/>
                <w:szCs w:val="22"/>
              </w:rPr>
            </w:pPr>
            <w:r>
              <w:rPr>
                <w:sz w:val="22"/>
                <w:szCs w:val="22"/>
              </w:rPr>
              <w:t>120,00</w:t>
            </w:r>
          </w:p>
        </w:tc>
        <w:tc>
          <w:tcPr>
            <w:tcW w:w="1591" w:type="dxa"/>
            <w:noWrap/>
            <w:vAlign w:val="center"/>
          </w:tcPr>
          <w:p w14:paraId="0D8A8869">
            <w:pPr>
              <w:jc w:val="center"/>
              <w:rPr>
                <w:sz w:val="22"/>
                <w:szCs w:val="22"/>
              </w:rPr>
            </w:pPr>
            <w:r>
              <w:rPr>
                <w:sz w:val="22"/>
                <w:szCs w:val="22"/>
              </w:rPr>
              <w:t>960.000.000</w:t>
            </w:r>
          </w:p>
        </w:tc>
        <w:tc>
          <w:tcPr>
            <w:tcW w:w="1700" w:type="dxa"/>
            <w:noWrap/>
            <w:vAlign w:val="center"/>
          </w:tcPr>
          <w:p w14:paraId="169FDC7E">
            <w:pPr>
              <w:jc w:val="center"/>
              <w:rPr>
                <w:sz w:val="22"/>
                <w:szCs w:val="22"/>
              </w:rPr>
            </w:pPr>
            <w:r>
              <w:rPr>
                <w:sz w:val="22"/>
                <w:szCs w:val="22"/>
              </w:rPr>
              <w:t>1.115.000.000</w:t>
            </w:r>
          </w:p>
        </w:tc>
        <w:tc>
          <w:tcPr>
            <w:tcW w:w="1140" w:type="dxa"/>
            <w:noWrap/>
            <w:vAlign w:val="center"/>
          </w:tcPr>
          <w:p w14:paraId="0DDA9808">
            <w:pPr>
              <w:jc w:val="center"/>
              <w:rPr>
                <w:sz w:val="22"/>
                <w:szCs w:val="22"/>
              </w:rPr>
            </w:pPr>
            <w:r>
              <w:rPr>
                <w:sz w:val="22"/>
                <w:szCs w:val="22"/>
              </w:rPr>
              <w:t>1,16%</w:t>
            </w:r>
          </w:p>
        </w:tc>
      </w:tr>
      <w:tr w14:paraId="7787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A2E06E3">
            <w:pPr>
              <w:jc w:val="center"/>
              <w:rPr>
                <w:sz w:val="22"/>
                <w:szCs w:val="22"/>
              </w:rPr>
            </w:pPr>
            <w:r>
              <w:rPr>
                <w:sz w:val="22"/>
                <w:szCs w:val="22"/>
              </w:rPr>
              <w:t>69</w:t>
            </w:r>
          </w:p>
        </w:tc>
        <w:tc>
          <w:tcPr>
            <w:tcW w:w="1752" w:type="dxa"/>
            <w:noWrap/>
            <w:vAlign w:val="center"/>
          </w:tcPr>
          <w:p w14:paraId="42CAFF7E">
            <w:pPr>
              <w:jc w:val="center"/>
              <w:rPr>
                <w:sz w:val="22"/>
                <w:szCs w:val="22"/>
              </w:rPr>
            </w:pPr>
          </w:p>
        </w:tc>
        <w:tc>
          <w:tcPr>
            <w:tcW w:w="944" w:type="dxa"/>
            <w:vMerge w:val="continue"/>
            <w:vAlign w:val="center"/>
          </w:tcPr>
          <w:p w14:paraId="00B85420">
            <w:pPr>
              <w:jc w:val="center"/>
              <w:rPr>
                <w:sz w:val="22"/>
                <w:szCs w:val="22"/>
              </w:rPr>
            </w:pPr>
          </w:p>
        </w:tc>
        <w:tc>
          <w:tcPr>
            <w:tcW w:w="1116" w:type="dxa"/>
            <w:vAlign w:val="center"/>
          </w:tcPr>
          <w:p w14:paraId="3A8010D0">
            <w:pPr>
              <w:jc w:val="center"/>
              <w:rPr>
                <w:sz w:val="22"/>
                <w:szCs w:val="22"/>
              </w:rPr>
            </w:pPr>
            <w:r>
              <w:rPr>
                <w:sz w:val="22"/>
                <w:szCs w:val="22"/>
              </w:rPr>
              <w:t>36</w:t>
            </w:r>
          </w:p>
        </w:tc>
        <w:tc>
          <w:tcPr>
            <w:tcW w:w="1010" w:type="dxa"/>
            <w:noWrap/>
            <w:vAlign w:val="center"/>
          </w:tcPr>
          <w:p w14:paraId="5E11D673">
            <w:pPr>
              <w:jc w:val="center"/>
              <w:rPr>
                <w:sz w:val="22"/>
                <w:szCs w:val="22"/>
              </w:rPr>
            </w:pPr>
            <w:r>
              <w:rPr>
                <w:sz w:val="22"/>
                <w:szCs w:val="22"/>
              </w:rPr>
              <w:t>120,00</w:t>
            </w:r>
          </w:p>
        </w:tc>
        <w:tc>
          <w:tcPr>
            <w:tcW w:w="1591" w:type="dxa"/>
            <w:noWrap/>
            <w:vAlign w:val="center"/>
          </w:tcPr>
          <w:p w14:paraId="6D5CEBBE">
            <w:pPr>
              <w:jc w:val="center"/>
              <w:rPr>
                <w:sz w:val="22"/>
                <w:szCs w:val="22"/>
              </w:rPr>
            </w:pPr>
            <w:r>
              <w:rPr>
                <w:sz w:val="22"/>
                <w:szCs w:val="22"/>
              </w:rPr>
              <w:t>960.000.000</w:t>
            </w:r>
          </w:p>
        </w:tc>
        <w:tc>
          <w:tcPr>
            <w:tcW w:w="1700" w:type="dxa"/>
            <w:noWrap/>
            <w:vAlign w:val="center"/>
          </w:tcPr>
          <w:p w14:paraId="20CCBC6E">
            <w:pPr>
              <w:jc w:val="center"/>
              <w:rPr>
                <w:sz w:val="22"/>
                <w:szCs w:val="22"/>
              </w:rPr>
            </w:pPr>
            <w:r>
              <w:rPr>
                <w:sz w:val="22"/>
                <w:szCs w:val="22"/>
              </w:rPr>
              <w:t>1.087.300.000</w:t>
            </w:r>
          </w:p>
        </w:tc>
        <w:tc>
          <w:tcPr>
            <w:tcW w:w="1140" w:type="dxa"/>
            <w:noWrap/>
            <w:vAlign w:val="center"/>
          </w:tcPr>
          <w:p w14:paraId="69658AB8">
            <w:pPr>
              <w:jc w:val="center"/>
              <w:rPr>
                <w:sz w:val="22"/>
                <w:szCs w:val="22"/>
              </w:rPr>
            </w:pPr>
            <w:r>
              <w:rPr>
                <w:sz w:val="22"/>
                <w:szCs w:val="22"/>
              </w:rPr>
              <w:t>1,13%</w:t>
            </w:r>
          </w:p>
        </w:tc>
      </w:tr>
      <w:tr w14:paraId="57D5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B508982">
            <w:pPr>
              <w:jc w:val="center"/>
              <w:rPr>
                <w:sz w:val="22"/>
                <w:szCs w:val="22"/>
              </w:rPr>
            </w:pPr>
            <w:r>
              <w:rPr>
                <w:sz w:val="22"/>
                <w:szCs w:val="22"/>
              </w:rPr>
              <w:t>70</w:t>
            </w:r>
          </w:p>
        </w:tc>
        <w:tc>
          <w:tcPr>
            <w:tcW w:w="1752" w:type="dxa"/>
            <w:noWrap/>
            <w:vAlign w:val="center"/>
          </w:tcPr>
          <w:p w14:paraId="4BB80E3A">
            <w:pPr>
              <w:jc w:val="center"/>
              <w:rPr>
                <w:sz w:val="22"/>
                <w:szCs w:val="22"/>
              </w:rPr>
            </w:pPr>
          </w:p>
        </w:tc>
        <w:tc>
          <w:tcPr>
            <w:tcW w:w="944" w:type="dxa"/>
            <w:vMerge w:val="continue"/>
            <w:vAlign w:val="center"/>
          </w:tcPr>
          <w:p w14:paraId="6F06A447">
            <w:pPr>
              <w:jc w:val="center"/>
              <w:rPr>
                <w:sz w:val="22"/>
                <w:szCs w:val="22"/>
              </w:rPr>
            </w:pPr>
          </w:p>
        </w:tc>
        <w:tc>
          <w:tcPr>
            <w:tcW w:w="1116" w:type="dxa"/>
            <w:vAlign w:val="center"/>
          </w:tcPr>
          <w:p w14:paraId="6CD9367F">
            <w:pPr>
              <w:jc w:val="center"/>
              <w:rPr>
                <w:sz w:val="22"/>
                <w:szCs w:val="22"/>
              </w:rPr>
            </w:pPr>
            <w:r>
              <w:rPr>
                <w:sz w:val="22"/>
                <w:szCs w:val="22"/>
              </w:rPr>
              <w:t>38</w:t>
            </w:r>
          </w:p>
        </w:tc>
        <w:tc>
          <w:tcPr>
            <w:tcW w:w="1010" w:type="dxa"/>
            <w:noWrap/>
            <w:vAlign w:val="center"/>
          </w:tcPr>
          <w:p w14:paraId="640C85F8">
            <w:pPr>
              <w:jc w:val="center"/>
              <w:rPr>
                <w:sz w:val="22"/>
                <w:szCs w:val="22"/>
              </w:rPr>
            </w:pPr>
            <w:r>
              <w:rPr>
                <w:sz w:val="22"/>
                <w:szCs w:val="22"/>
              </w:rPr>
              <w:t>213,00</w:t>
            </w:r>
          </w:p>
        </w:tc>
        <w:tc>
          <w:tcPr>
            <w:tcW w:w="1591" w:type="dxa"/>
            <w:noWrap/>
            <w:vAlign w:val="center"/>
          </w:tcPr>
          <w:p w14:paraId="4F7C6138">
            <w:pPr>
              <w:jc w:val="center"/>
              <w:rPr>
                <w:sz w:val="22"/>
                <w:szCs w:val="22"/>
              </w:rPr>
            </w:pPr>
            <w:r>
              <w:rPr>
                <w:sz w:val="22"/>
                <w:szCs w:val="22"/>
              </w:rPr>
              <w:t>2.044.800.000</w:t>
            </w:r>
          </w:p>
        </w:tc>
        <w:tc>
          <w:tcPr>
            <w:tcW w:w="1700" w:type="dxa"/>
            <w:noWrap/>
            <w:vAlign w:val="center"/>
          </w:tcPr>
          <w:p w14:paraId="71AA9149">
            <w:pPr>
              <w:jc w:val="center"/>
              <w:rPr>
                <w:sz w:val="22"/>
                <w:szCs w:val="22"/>
              </w:rPr>
            </w:pPr>
            <w:r>
              <w:rPr>
                <w:sz w:val="22"/>
                <w:szCs w:val="22"/>
              </w:rPr>
              <w:t>2.115.500.000</w:t>
            </w:r>
          </w:p>
        </w:tc>
        <w:tc>
          <w:tcPr>
            <w:tcW w:w="1140" w:type="dxa"/>
            <w:noWrap/>
            <w:vAlign w:val="center"/>
          </w:tcPr>
          <w:p w14:paraId="37948599">
            <w:pPr>
              <w:jc w:val="center"/>
              <w:rPr>
                <w:sz w:val="22"/>
                <w:szCs w:val="22"/>
              </w:rPr>
            </w:pPr>
            <w:r>
              <w:rPr>
                <w:sz w:val="22"/>
                <w:szCs w:val="22"/>
              </w:rPr>
              <w:t>1,03%</w:t>
            </w:r>
          </w:p>
        </w:tc>
      </w:tr>
      <w:tr w14:paraId="0538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76EA734">
            <w:pPr>
              <w:jc w:val="center"/>
              <w:rPr>
                <w:sz w:val="22"/>
                <w:szCs w:val="22"/>
              </w:rPr>
            </w:pPr>
            <w:r>
              <w:rPr>
                <w:sz w:val="22"/>
                <w:szCs w:val="22"/>
              </w:rPr>
              <w:t>71</w:t>
            </w:r>
          </w:p>
        </w:tc>
        <w:tc>
          <w:tcPr>
            <w:tcW w:w="1752" w:type="dxa"/>
            <w:noWrap/>
            <w:vAlign w:val="center"/>
          </w:tcPr>
          <w:p w14:paraId="7B1160CF">
            <w:pPr>
              <w:jc w:val="center"/>
              <w:rPr>
                <w:sz w:val="22"/>
                <w:szCs w:val="22"/>
              </w:rPr>
            </w:pPr>
          </w:p>
        </w:tc>
        <w:tc>
          <w:tcPr>
            <w:tcW w:w="944" w:type="dxa"/>
            <w:vMerge w:val="restart"/>
            <w:noWrap/>
            <w:vAlign w:val="center"/>
          </w:tcPr>
          <w:p w14:paraId="64BBED1E">
            <w:pPr>
              <w:jc w:val="center"/>
              <w:rPr>
                <w:sz w:val="22"/>
                <w:szCs w:val="22"/>
              </w:rPr>
            </w:pPr>
            <w:r>
              <w:rPr>
                <w:sz w:val="22"/>
                <w:szCs w:val="22"/>
              </w:rPr>
              <w:t>LK-09</w:t>
            </w:r>
          </w:p>
        </w:tc>
        <w:tc>
          <w:tcPr>
            <w:tcW w:w="1116" w:type="dxa"/>
            <w:vAlign w:val="center"/>
          </w:tcPr>
          <w:p w14:paraId="188484EC">
            <w:pPr>
              <w:jc w:val="center"/>
              <w:rPr>
                <w:sz w:val="22"/>
                <w:szCs w:val="22"/>
              </w:rPr>
            </w:pPr>
            <w:r>
              <w:rPr>
                <w:sz w:val="22"/>
                <w:szCs w:val="22"/>
              </w:rPr>
              <w:t>21</w:t>
            </w:r>
          </w:p>
        </w:tc>
        <w:tc>
          <w:tcPr>
            <w:tcW w:w="1010" w:type="dxa"/>
            <w:noWrap/>
            <w:vAlign w:val="center"/>
          </w:tcPr>
          <w:p w14:paraId="2EEC103A">
            <w:pPr>
              <w:jc w:val="center"/>
              <w:rPr>
                <w:sz w:val="22"/>
                <w:szCs w:val="22"/>
              </w:rPr>
            </w:pPr>
            <w:r>
              <w:rPr>
                <w:sz w:val="22"/>
                <w:szCs w:val="22"/>
              </w:rPr>
              <w:t>149,60</w:t>
            </w:r>
          </w:p>
        </w:tc>
        <w:tc>
          <w:tcPr>
            <w:tcW w:w="1591" w:type="dxa"/>
            <w:noWrap/>
            <w:vAlign w:val="center"/>
          </w:tcPr>
          <w:p w14:paraId="31374748">
            <w:pPr>
              <w:jc w:val="center"/>
              <w:rPr>
                <w:sz w:val="22"/>
                <w:szCs w:val="22"/>
              </w:rPr>
            </w:pPr>
            <w:r>
              <w:rPr>
                <w:sz w:val="22"/>
                <w:szCs w:val="22"/>
              </w:rPr>
              <w:t>1.496.000.000</w:t>
            </w:r>
          </w:p>
        </w:tc>
        <w:tc>
          <w:tcPr>
            <w:tcW w:w="1700" w:type="dxa"/>
            <w:noWrap/>
            <w:vAlign w:val="center"/>
          </w:tcPr>
          <w:p w14:paraId="30B65033">
            <w:pPr>
              <w:jc w:val="center"/>
              <w:rPr>
                <w:sz w:val="22"/>
                <w:szCs w:val="22"/>
              </w:rPr>
            </w:pPr>
            <w:r>
              <w:rPr>
                <w:sz w:val="22"/>
                <w:szCs w:val="22"/>
              </w:rPr>
              <w:t>1.609.000.000</w:t>
            </w:r>
          </w:p>
        </w:tc>
        <w:tc>
          <w:tcPr>
            <w:tcW w:w="1140" w:type="dxa"/>
            <w:noWrap/>
            <w:vAlign w:val="center"/>
          </w:tcPr>
          <w:p w14:paraId="5D2F9376">
            <w:pPr>
              <w:jc w:val="center"/>
              <w:rPr>
                <w:sz w:val="22"/>
                <w:szCs w:val="22"/>
              </w:rPr>
            </w:pPr>
            <w:r>
              <w:rPr>
                <w:sz w:val="22"/>
                <w:szCs w:val="22"/>
              </w:rPr>
              <w:t>1,08%</w:t>
            </w:r>
          </w:p>
        </w:tc>
      </w:tr>
      <w:tr w14:paraId="1A00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51CDB3E">
            <w:pPr>
              <w:jc w:val="center"/>
              <w:rPr>
                <w:sz w:val="22"/>
                <w:szCs w:val="22"/>
              </w:rPr>
            </w:pPr>
            <w:r>
              <w:rPr>
                <w:sz w:val="22"/>
                <w:szCs w:val="22"/>
              </w:rPr>
              <w:t>72</w:t>
            </w:r>
          </w:p>
        </w:tc>
        <w:tc>
          <w:tcPr>
            <w:tcW w:w="1752" w:type="dxa"/>
            <w:noWrap/>
            <w:vAlign w:val="center"/>
          </w:tcPr>
          <w:p w14:paraId="6F13C139">
            <w:pPr>
              <w:jc w:val="center"/>
              <w:rPr>
                <w:sz w:val="22"/>
                <w:szCs w:val="22"/>
              </w:rPr>
            </w:pPr>
          </w:p>
        </w:tc>
        <w:tc>
          <w:tcPr>
            <w:tcW w:w="944" w:type="dxa"/>
            <w:vMerge w:val="continue"/>
            <w:vAlign w:val="center"/>
          </w:tcPr>
          <w:p w14:paraId="63E89088">
            <w:pPr>
              <w:jc w:val="center"/>
              <w:rPr>
                <w:sz w:val="22"/>
                <w:szCs w:val="22"/>
              </w:rPr>
            </w:pPr>
          </w:p>
        </w:tc>
        <w:tc>
          <w:tcPr>
            <w:tcW w:w="1116" w:type="dxa"/>
            <w:vAlign w:val="center"/>
          </w:tcPr>
          <w:p w14:paraId="6BFD8FBD">
            <w:pPr>
              <w:jc w:val="center"/>
              <w:rPr>
                <w:sz w:val="22"/>
                <w:szCs w:val="22"/>
              </w:rPr>
            </w:pPr>
            <w:r>
              <w:rPr>
                <w:sz w:val="22"/>
                <w:szCs w:val="22"/>
              </w:rPr>
              <w:t>22</w:t>
            </w:r>
          </w:p>
        </w:tc>
        <w:tc>
          <w:tcPr>
            <w:tcW w:w="1010" w:type="dxa"/>
            <w:noWrap/>
            <w:vAlign w:val="center"/>
          </w:tcPr>
          <w:p w14:paraId="798039CC">
            <w:pPr>
              <w:jc w:val="center"/>
              <w:rPr>
                <w:sz w:val="22"/>
                <w:szCs w:val="22"/>
              </w:rPr>
            </w:pPr>
            <w:r>
              <w:rPr>
                <w:sz w:val="22"/>
                <w:szCs w:val="22"/>
              </w:rPr>
              <w:t>149,60</w:t>
            </w:r>
          </w:p>
        </w:tc>
        <w:tc>
          <w:tcPr>
            <w:tcW w:w="1591" w:type="dxa"/>
            <w:noWrap/>
            <w:vAlign w:val="center"/>
          </w:tcPr>
          <w:p w14:paraId="473635EE">
            <w:pPr>
              <w:jc w:val="center"/>
              <w:rPr>
                <w:sz w:val="22"/>
                <w:szCs w:val="22"/>
              </w:rPr>
            </w:pPr>
            <w:r>
              <w:rPr>
                <w:sz w:val="22"/>
                <w:szCs w:val="22"/>
              </w:rPr>
              <w:t>1.496.000.000</w:t>
            </w:r>
          </w:p>
        </w:tc>
        <w:tc>
          <w:tcPr>
            <w:tcW w:w="1700" w:type="dxa"/>
            <w:noWrap/>
            <w:vAlign w:val="center"/>
          </w:tcPr>
          <w:p w14:paraId="05BFB7D1">
            <w:pPr>
              <w:jc w:val="center"/>
              <w:rPr>
                <w:sz w:val="22"/>
                <w:szCs w:val="22"/>
              </w:rPr>
            </w:pPr>
            <w:r>
              <w:rPr>
                <w:sz w:val="22"/>
                <w:szCs w:val="22"/>
              </w:rPr>
              <w:t>1.555.500.000</w:t>
            </w:r>
          </w:p>
        </w:tc>
        <w:tc>
          <w:tcPr>
            <w:tcW w:w="1140" w:type="dxa"/>
            <w:noWrap/>
            <w:vAlign w:val="center"/>
          </w:tcPr>
          <w:p w14:paraId="26FB83ED">
            <w:pPr>
              <w:jc w:val="center"/>
              <w:rPr>
                <w:sz w:val="22"/>
                <w:szCs w:val="22"/>
              </w:rPr>
            </w:pPr>
            <w:r>
              <w:rPr>
                <w:sz w:val="22"/>
                <w:szCs w:val="22"/>
              </w:rPr>
              <w:t>1,04%</w:t>
            </w:r>
          </w:p>
        </w:tc>
      </w:tr>
      <w:tr w14:paraId="2542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DDED99C">
            <w:pPr>
              <w:jc w:val="center"/>
              <w:rPr>
                <w:sz w:val="22"/>
                <w:szCs w:val="22"/>
              </w:rPr>
            </w:pPr>
            <w:r>
              <w:rPr>
                <w:sz w:val="22"/>
                <w:szCs w:val="22"/>
              </w:rPr>
              <w:t>73</w:t>
            </w:r>
          </w:p>
        </w:tc>
        <w:tc>
          <w:tcPr>
            <w:tcW w:w="1752" w:type="dxa"/>
            <w:noWrap/>
            <w:vAlign w:val="center"/>
          </w:tcPr>
          <w:p w14:paraId="594EEF24">
            <w:pPr>
              <w:jc w:val="center"/>
              <w:rPr>
                <w:sz w:val="22"/>
                <w:szCs w:val="22"/>
              </w:rPr>
            </w:pPr>
          </w:p>
        </w:tc>
        <w:tc>
          <w:tcPr>
            <w:tcW w:w="944" w:type="dxa"/>
            <w:vMerge w:val="continue"/>
            <w:vAlign w:val="center"/>
          </w:tcPr>
          <w:p w14:paraId="44391E21">
            <w:pPr>
              <w:jc w:val="center"/>
              <w:rPr>
                <w:sz w:val="22"/>
                <w:szCs w:val="22"/>
              </w:rPr>
            </w:pPr>
          </w:p>
        </w:tc>
        <w:tc>
          <w:tcPr>
            <w:tcW w:w="1116" w:type="dxa"/>
            <w:vAlign w:val="center"/>
          </w:tcPr>
          <w:p w14:paraId="5E45C0F6">
            <w:pPr>
              <w:jc w:val="center"/>
              <w:rPr>
                <w:sz w:val="22"/>
                <w:szCs w:val="22"/>
              </w:rPr>
            </w:pPr>
            <w:r>
              <w:rPr>
                <w:sz w:val="22"/>
                <w:szCs w:val="22"/>
              </w:rPr>
              <w:t>23</w:t>
            </w:r>
          </w:p>
        </w:tc>
        <w:tc>
          <w:tcPr>
            <w:tcW w:w="1010" w:type="dxa"/>
            <w:noWrap/>
            <w:vAlign w:val="center"/>
          </w:tcPr>
          <w:p w14:paraId="35088991">
            <w:pPr>
              <w:jc w:val="center"/>
              <w:rPr>
                <w:sz w:val="22"/>
                <w:szCs w:val="22"/>
              </w:rPr>
            </w:pPr>
            <w:r>
              <w:rPr>
                <w:sz w:val="22"/>
                <w:szCs w:val="22"/>
              </w:rPr>
              <w:t>149,60</w:t>
            </w:r>
          </w:p>
        </w:tc>
        <w:tc>
          <w:tcPr>
            <w:tcW w:w="1591" w:type="dxa"/>
            <w:noWrap/>
            <w:vAlign w:val="center"/>
          </w:tcPr>
          <w:p w14:paraId="23923E3E">
            <w:pPr>
              <w:jc w:val="center"/>
              <w:rPr>
                <w:sz w:val="22"/>
                <w:szCs w:val="22"/>
              </w:rPr>
            </w:pPr>
            <w:r>
              <w:rPr>
                <w:sz w:val="22"/>
                <w:szCs w:val="22"/>
              </w:rPr>
              <w:t>1.496.000.000</w:t>
            </w:r>
          </w:p>
        </w:tc>
        <w:tc>
          <w:tcPr>
            <w:tcW w:w="1700" w:type="dxa"/>
            <w:noWrap/>
            <w:vAlign w:val="center"/>
          </w:tcPr>
          <w:p w14:paraId="3C6A9DB3">
            <w:pPr>
              <w:jc w:val="center"/>
              <w:rPr>
                <w:sz w:val="22"/>
                <w:szCs w:val="22"/>
              </w:rPr>
            </w:pPr>
            <w:r>
              <w:rPr>
                <w:sz w:val="22"/>
                <w:szCs w:val="22"/>
              </w:rPr>
              <w:t>1.565.500.000</w:t>
            </w:r>
          </w:p>
        </w:tc>
        <w:tc>
          <w:tcPr>
            <w:tcW w:w="1140" w:type="dxa"/>
            <w:noWrap/>
            <w:vAlign w:val="center"/>
          </w:tcPr>
          <w:p w14:paraId="6130B950">
            <w:pPr>
              <w:jc w:val="center"/>
              <w:rPr>
                <w:sz w:val="22"/>
                <w:szCs w:val="22"/>
              </w:rPr>
            </w:pPr>
            <w:r>
              <w:rPr>
                <w:sz w:val="22"/>
                <w:szCs w:val="22"/>
              </w:rPr>
              <w:t>1,05%</w:t>
            </w:r>
          </w:p>
        </w:tc>
      </w:tr>
      <w:tr w14:paraId="2573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2A14525">
            <w:pPr>
              <w:jc w:val="center"/>
              <w:rPr>
                <w:b/>
                <w:bCs/>
                <w:sz w:val="22"/>
                <w:szCs w:val="22"/>
              </w:rPr>
            </w:pPr>
          </w:p>
        </w:tc>
        <w:tc>
          <w:tcPr>
            <w:tcW w:w="1752" w:type="dxa"/>
            <w:vAlign w:val="center"/>
          </w:tcPr>
          <w:p w14:paraId="2FE6A244">
            <w:pPr>
              <w:jc w:val="center"/>
              <w:rPr>
                <w:b/>
                <w:bCs/>
                <w:sz w:val="22"/>
                <w:szCs w:val="22"/>
              </w:rPr>
            </w:pPr>
            <w:r>
              <w:rPr>
                <w:b/>
                <w:bCs/>
                <w:sz w:val="22"/>
                <w:szCs w:val="22"/>
              </w:rPr>
              <w:t>CUỘC ĐẤU GIÁ 123 LÔ ĐẤT Ở TẠI KHU ĐÔ THỊ SỐ 5, XÃ THÁI ĐÀO, HUYỆN LẠNG GIANG ĐẤU NGÀY 29/2/2024</w:t>
            </w:r>
          </w:p>
        </w:tc>
        <w:tc>
          <w:tcPr>
            <w:tcW w:w="944" w:type="dxa"/>
            <w:noWrap/>
            <w:vAlign w:val="center"/>
          </w:tcPr>
          <w:p w14:paraId="3DEBCE10">
            <w:pPr>
              <w:jc w:val="center"/>
              <w:rPr>
                <w:b/>
                <w:bCs/>
                <w:sz w:val="22"/>
                <w:szCs w:val="22"/>
              </w:rPr>
            </w:pPr>
          </w:p>
        </w:tc>
        <w:tc>
          <w:tcPr>
            <w:tcW w:w="1116" w:type="dxa"/>
            <w:noWrap/>
            <w:vAlign w:val="center"/>
          </w:tcPr>
          <w:p w14:paraId="1A4D20F8">
            <w:pPr>
              <w:jc w:val="center"/>
              <w:rPr>
                <w:b/>
                <w:bCs/>
                <w:sz w:val="20"/>
                <w:szCs w:val="20"/>
              </w:rPr>
            </w:pPr>
          </w:p>
        </w:tc>
        <w:tc>
          <w:tcPr>
            <w:tcW w:w="1010" w:type="dxa"/>
            <w:vAlign w:val="center"/>
          </w:tcPr>
          <w:p w14:paraId="1BF685D0">
            <w:pPr>
              <w:jc w:val="center"/>
              <w:rPr>
                <w:b/>
                <w:bCs/>
                <w:sz w:val="20"/>
                <w:szCs w:val="20"/>
              </w:rPr>
            </w:pPr>
            <w:r>
              <w:rPr>
                <w:b/>
                <w:bCs/>
                <w:sz w:val="20"/>
                <w:szCs w:val="20"/>
              </w:rPr>
              <w:t>11.852,0</w:t>
            </w:r>
          </w:p>
        </w:tc>
        <w:tc>
          <w:tcPr>
            <w:tcW w:w="1591" w:type="dxa"/>
            <w:noWrap/>
            <w:vAlign w:val="center"/>
          </w:tcPr>
          <w:p w14:paraId="5B784D7C">
            <w:pPr>
              <w:jc w:val="center"/>
              <w:rPr>
                <w:b/>
                <w:bCs/>
                <w:sz w:val="20"/>
                <w:szCs w:val="20"/>
              </w:rPr>
            </w:pPr>
            <w:r>
              <w:rPr>
                <w:b/>
                <w:bCs/>
                <w:sz w:val="20"/>
                <w:szCs w:val="20"/>
              </w:rPr>
              <w:t>117.606.510.000</w:t>
            </w:r>
          </w:p>
        </w:tc>
        <w:tc>
          <w:tcPr>
            <w:tcW w:w="1700" w:type="dxa"/>
            <w:noWrap/>
            <w:vAlign w:val="center"/>
          </w:tcPr>
          <w:p w14:paraId="31416E7B">
            <w:pPr>
              <w:jc w:val="center"/>
              <w:rPr>
                <w:b/>
                <w:bCs/>
                <w:sz w:val="20"/>
                <w:szCs w:val="20"/>
              </w:rPr>
            </w:pPr>
            <w:r>
              <w:rPr>
                <w:b/>
                <w:bCs/>
                <w:sz w:val="20"/>
                <w:szCs w:val="20"/>
              </w:rPr>
              <w:t>182.094.550.000</w:t>
            </w:r>
          </w:p>
        </w:tc>
        <w:tc>
          <w:tcPr>
            <w:tcW w:w="1140" w:type="dxa"/>
            <w:noWrap/>
            <w:vAlign w:val="center"/>
          </w:tcPr>
          <w:p w14:paraId="363835C2">
            <w:pPr>
              <w:jc w:val="center"/>
              <w:rPr>
                <w:b/>
                <w:bCs/>
                <w:sz w:val="20"/>
                <w:szCs w:val="20"/>
              </w:rPr>
            </w:pPr>
          </w:p>
        </w:tc>
      </w:tr>
      <w:tr w14:paraId="7C26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BF22CE0">
            <w:pPr>
              <w:jc w:val="center"/>
              <w:rPr>
                <w:sz w:val="22"/>
                <w:szCs w:val="22"/>
              </w:rPr>
            </w:pPr>
            <w:r>
              <w:rPr>
                <w:sz w:val="22"/>
                <w:szCs w:val="22"/>
              </w:rPr>
              <w:t>2</w:t>
            </w:r>
          </w:p>
        </w:tc>
        <w:tc>
          <w:tcPr>
            <w:tcW w:w="1752" w:type="dxa"/>
            <w:noWrap/>
            <w:vAlign w:val="center"/>
          </w:tcPr>
          <w:p w14:paraId="24B07C7F">
            <w:pPr>
              <w:jc w:val="center"/>
              <w:rPr>
                <w:sz w:val="22"/>
                <w:szCs w:val="22"/>
              </w:rPr>
            </w:pPr>
          </w:p>
        </w:tc>
        <w:tc>
          <w:tcPr>
            <w:tcW w:w="944" w:type="dxa"/>
            <w:vMerge w:val="restart"/>
            <w:vAlign w:val="center"/>
          </w:tcPr>
          <w:p w14:paraId="21A4D5ED">
            <w:pPr>
              <w:jc w:val="center"/>
              <w:rPr>
                <w:sz w:val="22"/>
                <w:szCs w:val="22"/>
              </w:rPr>
            </w:pPr>
            <w:r>
              <w:rPr>
                <w:sz w:val="22"/>
                <w:szCs w:val="22"/>
              </w:rPr>
              <w:t>LK01</w:t>
            </w:r>
          </w:p>
        </w:tc>
        <w:tc>
          <w:tcPr>
            <w:tcW w:w="1116" w:type="dxa"/>
            <w:vAlign w:val="center"/>
          </w:tcPr>
          <w:p w14:paraId="4BAFAB01">
            <w:pPr>
              <w:jc w:val="center"/>
              <w:rPr>
                <w:sz w:val="22"/>
                <w:szCs w:val="22"/>
              </w:rPr>
            </w:pPr>
            <w:r>
              <w:rPr>
                <w:sz w:val="22"/>
                <w:szCs w:val="22"/>
              </w:rPr>
              <w:t>1</w:t>
            </w:r>
          </w:p>
        </w:tc>
        <w:tc>
          <w:tcPr>
            <w:tcW w:w="1010" w:type="dxa"/>
            <w:vAlign w:val="center"/>
          </w:tcPr>
          <w:p w14:paraId="2D403143">
            <w:pPr>
              <w:jc w:val="center"/>
              <w:rPr>
                <w:sz w:val="22"/>
                <w:szCs w:val="22"/>
              </w:rPr>
            </w:pPr>
            <w:r>
              <w:rPr>
                <w:sz w:val="22"/>
                <w:szCs w:val="22"/>
              </w:rPr>
              <w:t>111,50</w:t>
            </w:r>
          </w:p>
        </w:tc>
        <w:tc>
          <w:tcPr>
            <w:tcW w:w="1591" w:type="dxa"/>
            <w:vAlign w:val="center"/>
          </w:tcPr>
          <w:p w14:paraId="12AEA066">
            <w:pPr>
              <w:jc w:val="center"/>
              <w:rPr>
                <w:sz w:val="22"/>
                <w:szCs w:val="22"/>
              </w:rPr>
            </w:pPr>
            <w:r>
              <w:rPr>
                <w:sz w:val="22"/>
                <w:szCs w:val="22"/>
              </w:rPr>
              <w:t>1.271.100.000</w:t>
            </w:r>
          </w:p>
        </w:tc>
        <w:tc>
          <w:tcPr>
            <w:tcW w:w="1700" w:type="dxa"/>
            <w:vAlign w:val="center"/>
          </w:tcPr>
          <w:p w14:paraId="504C205A">
            <w:pPr>
              <w:jc w:val="center"/>
              <w:rPr>
                <w:sz w:val="22"/>
                <w:szCs w:val="22"/>
              </w:rPr>
            </w:pPr>
            <w:r>
              <w:rPr>
                <w:sz w:val="22"/>
                <w:szCs w:val="22"/>
              </w:rPr>
              <w:t>2.071.500.000</w:t>
            </w:r>
          </w:p>
        </w:tc>
        <w:tc>
          <w:tcPr>
            <w:tcW w:w="1140" w:type="dxa"/>
            <w:noWrap/>
            <w:vAlign w:val="center"/>
          </w:tcPr>
          <w:p w14:paraId="1381F87C">
            <w:pPr>
              <w:jc w:val="center"/>
              <w:rPr>
                <w:sz w:val="22"/>
                <w:szCs w:val="22"/>
              </w:rPr>
            </w:pPr>
            <w:r>
              <w:rPr>
                <w:sz w:val="22"/>
                <w:szCs w:val="22"/>
              </w:rPr>
              <w:t>1,63%</w:t>
            </w:r>
          </w:p>
        </w:tc>
      </w:tr>
      <w:tr w14:paraId="2D90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A400498">
            <w:pPr>
              <w:jc w:val="center"/>
              <w:rPr>
                <w:sz w:val="22"/>
                <w:szCs w:val="22"/>
              </w:rPr>
            </w:pPr>
            <w:r>
              <w:rPr>
                <w:sz w:val="22"/>
                <w:szCs w:val="22"/>
              </w:rPr>
              <w:t>3</w:t>
            </w:r>
          </w:p>
        </w:tc>
        <w:tc>
          <w:tcPr>
            <w:tcW w:w="1752" w:type="dxa"/>
            <w:noWrap/>
            <w:vAlign w:val="center"/>
          </w:tcPr>
          <w:p w14:paraId="34FD39A0">
            <w:pPr>
              <w:jc w:val="center"/>
              <w:rPr>
                <w:sz w:val="22"/>
                <w:szCs w:val="22"/>
              </w:rPr>
            </w:pPr>
          </w:p>
        </w:tc>
        <w:tc>
          <w:tcPr>
            <w:tcW w:w="944" w:type="dxa"/>
            <w:vMerge w:val="continue"/>
            <w:vAlign w:val="center"/>
          </w:tcPr>
          <w:p w14:paraId="71987302">
            <w:pPr>
              <w:jc w:val="center"/>
              <w:rPr>
                <w:sz w:val="22"/>
                <w:szCs w:val="22"/>
              </w:rPr>
            </w:pPr>
          </w:p>
        </w:tc>
        <w:tc>
          <w:tcPr>
            <w:tcW w:w="1116" w:type="dxa"/>
            <w:vAlign w:val="center"/>
          </w:tcPr>
          <w:p w14:paraId="0081034D">
            <w:pPr>
              <w:jc w:val="center"/>
              <w:rPr>
                <w:sz w:val="22"/>
                <w:szCs w:val="22"/>
              </w:rPr>
            </w:pPr>
            <w:r>
              <w:rPr>
                <w:sz w:val="22"/>
                <w:szCs w:val="22"/>
              </w:rPr>
              <w:t>2</w:t>
            </w:r>
          </w:p>
        </w:tc>
        <w:tc>
          <w:tcPr>
            <w:tcW w:w="1010" w:type="dxa"/>
            <w:vAlign w:val="center"/>
          </w:tcPr>
          <w:p w14:paraId="70683FEA">
            <w:pPr>
              <w:jc w:val="center"/>
              <w:rPr>
                <w:sz w:val="22"/>
                <w:szCs w:val="22"/>
              </w:rPr>
            </w:pPr>
            <w:r>
              <w:rPr>
                <w:sz w:val="22"/>
                <w:szCs w:val="22"/>
              </w:rPr>
              <w:t>90,00</w:t>
            </w:r>
          </w:p>
        </w:tc>
        <w:tc>
          <w:tcPr>
            <w:tcW w:w="1591" w:type="dxa"/>
            <w:vAlign w:val="center"/>
          </w:tcPr>
          <w:p w14:paraId="6A68F4E2">
            <w:pPr>
              <w:jc w:val="center"/>
              <w:rPr>
                <w:sz w:val="22"/>
                <w:szCs w:val="22"/>
              </w:rPr>
            </w:pPr>
            <w:r>
              <w:rPr>
                <w:sz w:val="22"/>
                <w:szCs w:val="22"/>
              </w:rPr>
              <w:t>855.000.000</w:t>
            </w:r>
          </w:p>
        </w:tc>
        <w:tc>
          <w:tcPr>
            <w:tcW w:w="1700" w:type="dxa"/>
            <w:vAlign w:val="center"/>
          </w:tcPr>
          <w:p w14:paraId="578777AA">
            <w:pPr>
              <w:jc w:val="center"/>
              <w:rPr>
                <w:sz w:val="22"/>
                <w:szCs w:val="22"/>
              </w:rPr>
            </w:pPr>
            <w:r>
              <w:rPr>
                <w:sz w:val="22"/>
                <w:szCs w:val="22"/>
              </w:rPr>
              <w:t>1.352.000.000</w:t>
            </w:r>
          </w:p>
        </w:tc>
        <w:tc>
          <w:tcPr>
            <w:tcW w:w="1140" w:type="dxa"/>
            <w:noWrap/>
            <w:vAlign w:val="center"/>
          </w:tcPr>
          <w:p w14:paraId="03068E60">
            <w:pPr>
              <w:jc w:val="center"/>
              <w:rPr>
                <w:sz w:val="22"/>
                <w:szCs w:val="22"/>
              </w:rPr>
            </w:pPr>
            <w:r>
              <w:rPr>
                <w:sz w:val="22"/>
                <w:szCs w:val="22"/>
              </w:rPr>
              <w:t>1,58%</w:t>
            </w:r>
          </w:p>
        </w:tc>
      </w:tr>
      <w:tr w14:paraId="6BBC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3953A56">
            <w:pPr>
              <w:jc w:val="center"/>
              <w:rPr>
                <w:sz w:val="22"/>
                <w:szCs w:val="22"/>
              </w:rPr>
            </w:pPr>
            <w:r>
              <w:rPr>
                <w:sz w:val="22"/>
                <w:szCs w:val="22"/>
              </w:rPr>
              <w:t>4</w:t>
            </w:r>
          </w:p>
        </w:tc>
        <w:tc>
          <w:tcPr>
            <w:tcW w:w="1752" w:type="dxa"/>
            <w:noWrap/>
            <w:vAlign w:val="center"/>
          </w:tcPr>
          <w:p w14:paraId="2EEBB2FC">
            <w:pPr>
              <w:jc w:val="center"/>
              <w:rPr>
                <w:sz w:val="22"/>
                <w:szCs w:val="22"/>
              </w:rPr>
            </w:pPr>
          </w:p>
        </w:tc>
        <w:tc>
          <w:tcPr>
            <w:tcW w:w="944" w:type="dxa"/>
            <w:vMerge w:val="continue"/>
            <w:vAlign w:val="center"/>
          </w:tcPr>
          <w:p w14:paraId="233E3ACD">
            <w:pPr>
              <w:jc w:val="center"/>
              <w:rPr>
                <w:sz w:val="22"/>
                <w:szCs w:val="22"/>
              </w:rPr>
            </w:pPr>
          </w:p>
        </w:tc>
        <w:tc>
          <w:tcPr>
            <w:tcW w:w="1116" w:type="dxa"/>
            <w:vAlign w:val="center"/>
          </w:tcPr>
          <w:p w14:paraId="2562885E">
            <w:pPr>
              <w:jc w:val="center"/>
              <w:rPr>
                <w:sz w:val="22"/>
                <w:szCs w:val="22"/>
              </w:rPr>
            </w:pPr>
            <w:r>
              <w:rPr>
                <w:sz w:val="22"/>
                <w:szCs w:val="22"/>
              </w:rPr>
              <w:t>3</w:t>
            </w:r>
          </w:p>
        </w:tc>
        <w:tc>
          <w:tcPr>
            <w:tcW w:w="1010" w:type="dxa"/>
            <w:vAlign w:val="center"/>
          </w:tcPr>
          <w:p w14:paraId="501632F9">
            <w:pPr>
              <w:jc w:val="center"/>
              <w:rPr>
                <w:sz w:val="22"/>
                <w:szCs w:val="22"/>
              </w:rPr>
            </w:pPr>
            <w:r>
              <w:rPr>
                <w:sz w:val="22"/>
                <w:szCs w:val="22"/>
              </w:rPr>
              <w:t>90,00</w:t>
            </w:r>
          </w:p>
        </w:tc>
        <w:tc>
          <w:tcPr>
            <w:tcW w:w="1591" w:type="dxa"/>
            <w:vAlign w:val="center"/>
          </w:tcPr>
          <w:p w14:paraId="7EAE5677">
            <w:pPr>
              <w:jc w:val="center"/>
              <w:rPr>
                <w:sz w:val="22"/>
                <w:szCs w:val="22"/>
              </w:rPr>
            </w:pPr>
            <w:r>
              <w:rPr>
                <w:sz w:val="22"/>
                <w:szCs w:val="22"/>
              </w:rPr>
              <w:t>855.000.000</w:t>
            </w:r>
          </w:p>
        </w:tc>
        <w:tc>
          <w:tcPr>
            <w:tcW w:w="1700" w:type="dxa"/>
            <w:vAlign w:val="center"/>
          </w:tcPr>
          <w:p w14:paraId="01381589">
            <w:pPr>
              <w:jc w:val="center"/>
              <w:rPr>
                <w:sz w:val="22"/>
                <w:szCs w:val="22"/>
              </w:rPr>
            </w:pPr>
            <w:r>
              <w:rPr>
                <w:sz w:val="22"/>
                <w:szCs w:val="22"/>
              </w:rPr>
              <w:t>1.332.000.000</w:t>
            </w:r>
          </w:p>
        </w:tc>
        <w:tc>
          <w:tcPr>
            <w:tcW w:w="1140" w:type="dxa"/>
            <w:noWrap/>
            <w:vAlign w:val="center"/>
          </w:tcPr>
          <w:p w14:paraId="5F9ED773">
            <w:pPr>
              <w:jc w:val="center"/>
              <w:rPr>
                <w:sz w:val="22"/>
                <w:szCs w:val="22"/>
              </w:rPr>
            </w:pPr>
            <w:r>
              <w:rPr>
                <w:sz w:val="22"/>
                <w:szCs w:val="22"/>
              </w:rPr>
              <w:t>1,56%</w:t>
            </w:r>
          </w:p>
        </w:tc>
      </w:tr>
      <w:tr w14:paraId="1011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E908FCD">
            <w:pPr>
              <w:jc w:val="center"/>
              <w:rPr>
                <w:sz w:val="22"/>
                <w:szCs w:val="22"/>
              </w:rPr>
            </w:pPr>
            <w:r>
              <w:rPr>
                <w:sz w:val="22"/>
                <w:szCs w:val="22"/>
              </w:rPr>
              <w:t>5</w:t>
            </w:r>
          </w:p>
        </w:tc>
        <w:tc>
          <w:tcPr>
            <w:tcW w:w="1752" w:type="dxa"/>
            <w:noWrap/>
            <w:vAlign w:val="center"/>
          </w:tcPr>
          <w:p w14:paraId="7AE98037">
            <w:pPr>
              <w:jc w:val="center"/>
              <w:rPr>
                <w:sz w:val="22"/>
                <w:szCs w:val="22"/>
              </w:rPr>
            </w:pPr>
          </w:p>
        </w:tc>
        <w:tc>
          <w:tcPr>
            <w:tcW w:w="944" w:type="dxa"/>
            <w:vMerge w:val="continue"/>
            <w:vAlign w:val="center"/>
          </w:tcPr>
          <w:p w14:paraId="6AE8A887">
            <w:pPr>
              <w:jc w:val="center"/>
              <w:rPr>
                <w:sz w:val="22"/>
                <w:szCs w:val="22"/>
              </w:rPr>
            </w:pPr>
          </w:p>
        </w:tc>
        <w:tc>
          <w:tcPr>
            <w:tcW w:w="1116" w:type="dxa"/>
            <w:vAlign w:val="center"/>
          </w:tcPr>
          <w:p w14:paraId="7A962845">
            <w:pPr>
              <w:jc w:val="center"/>
              <w:rPr>
                <w:sz w:val="22"/>
                <w:szCs w:val="22"/>
              </w:rPr>
            </w:pPr>
            <w:r>
              <w:rPr>
                <w:sz w:val="22"/>
                <w:szCs w:val="22"/>
              </w:rPr>
              <w:t>4</w:t>
            </w:r>
          </w:p>
        </w:tc>
        <w:tc>
          <w:tcPr>
            <w:tcW w:w="1010" w:type="dxa"/>
            <w:vAlign w:val="center"/>
          </w:tcPr>
          <w:p w14:paraId="6D93C830">
            <w:pPr>
              <w:jc w:val="center"/>
              <w:rPr>
                <w:sz w:val="22"/>
                <w:szCs w:val="22"/>
              </w:rPr>
            </w:pPr>
            <w:r>
              <w:rPr>
                <w:sz w:val="22"/>
                <w:szCs w:val="22"/>
              </w:rPr>
              <w:t>90,00</w:t>
            </w:r>
          </w:p>
        </w:tc>
        <w:tc>
          <w:tcPr>
            <w:tcW w:w="1591" w:type="dxa"/>
            <w:vAlign w:val="center"/>
          </w:tcPr>
          <w:p w14:paraId="5973D3A5">
            <w:pPr>
              <w:jc w:val="center"/>
              <w:rPr>
                <w:sz w:val="22"/>
                <w:szCs w:val="22"/>
              </w:rPr>
            </w:pPr>
            <w:r>
              <w:rPr>
                <w:sz w:val="22"/>
                <w:szCs w:val="22"/>
              </w:rPr>
              <w:t>855.000.000</w:t>
            </w:r>
          </w:p>
        </w:tc>
        <w:tc>
          <w:tcPr>
            <w:tcW w:w="1700" w:type="dxa"/>
            <w:vAlign w:val="center"/>
          </w:tcPr>
          <w:p w14:paraId="4B8B44AC">
            <w:pPr>
              <w:jc w:val="center"/>
              <w:rPr>
                <w:sz w:val="22"/>
                <w:szCs w:val="22"/>
              </w:rPr>
            </w:pPr>
            <w:r>
              <w:rPr>
                <w:sz w:val="22"/>
                <w:szCs w:val="22"/>
              </w:rPr>
              <w:t>1.212.300.000</w:t>
            </w:r>
          </w:p>
        </w:tc>
        <w:tc>
          <w:tcPr>
            <w:tcW w:w="1140" w:type="dxa"/>
            <w:noWrap/>
            <w:vAlign w:val="center"/>
          </w:tcPr>
          <w:p w14:paraId="38D64B42">
            <w:pPr>
              <w:jc w:val="center"/>
              <w:rPr>
                <w:sz w:val="22"/>
                <w:szCs w:val="22"/>
              </w:rPr>
            </w:pPr>
            <w:r>
              <w:rPr>
                <w:sz w:val="22"/>
                <w:szCs w:val="22"/>
              </w:rPr>
              <w:t>1,42%</w:t>
            </w:r>
          </w:p>
        </w:tc>
      </w:tr>
      <w:tr w14:paraId="7D99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C02FC46">
            <w:pPr>
              <w:jc w:val="center"/>
              <w:rPr>
                <w:sz w:val="22"/>
                <w:szCs w:val="22"/>
              </w:rPr>
            </w:pPr>
            <w:r>
              <w:rPr>
                <w:sz w:val="22"/>
                <w:szCs w:val="22"/>
              </w:rPr>
              <w:t>6</w:t>
            </w:r>
          </w:p>
        </w:tc>
        <w:tc>
          <w:tcPr>
            <w:tcW w:w="1752" w:type="dxa"/>
            <w:noWrap/>
            <w:vAlign w:val="center"/>
          </w:tcPr>
          <w:p w14:paraId="3994D0B0">
            <w:pPr>
              <w:jc w:val="center"/>
              <w:rPr>
                <w:sz w:val="22"/>
                <w:szCs w:val="22"/>
              </w:rPr>
            </w:pPr>
          </w:p>
        </w:tc>
        <w:tc>
          <w:tcPr>
            <w:tcW w:w="944" w:type="dxa"/>
            <w:vMerge w:val="continue"/>
            <w:vAlign w:val="center"/>
          </w:tcPr>
          <w:p w14:paraId="1D16BFD0">
            <w:pPr>
              <w:jc w:val="center"/>
              <w:rPr>
                <w:sz w:val="22"/>
                <w:szCs w:val="22"/>
              </w:rPr>
            </w:pPr>
          </w:p>
        </w:tc>
        <w:tc>
          <w:tcPr>
            <w:tcW w:w="1116" w:type="dxa"/>
            <w:vAlign w:val="center"/>
          </w:tcPr>
          <w:p w14:paraId="0CC95A2B">
            <w:pPr>
              <w:jc w:val="center"/>
              <w:rPr>
                <w:sz w:val="22"/>
                <w:szCs w:val="22"/>
              </w:rPr>
            </w:pPr>
            <w:r>
              <w:rPr>
                <w:sz w:val="22"/>
                <w:szCs w:val="22"/>
              </w:rPr>
              <w:t>5</w:t>
            </w:r>
          </w:p>
        </w:tc>
        <w:tc>
          <w:tcPr>
            <w:tcW w:w="1010" w:type="dxa"/>
            <w:vAlign w:val="center"/>
          </w:tcPr>
          <w:p w14:paraId="2394E1AA">
            <w:pPr>
              <w:jc w:val="center"/>
              <w:rPr>
                <w:sz w:val="22"/>
                <w:szCs w:val="22"/>
              </w:rPr>
            </w:pPr>
            <w:r>
              <w:rPr>
                <w:sz w:val="22"/>
                <w:szCs w:val="22"/>
              </w:rPr>
              <w:t>90,00</w:t>
            </w:r>
          </w:p>
        </w:tc>
        <w:tc>
          <w:tcPr>
            <w:tcW w:w="1591" w:type="dxa"/>
            <w:vAlign w:val="center"/>
          </w:tcPr>
          <w:p w14:paraId="21A1F985">
            <w:pPr>
              <w:jc w:val="center"/>
              <w:rPr>
                <w:sz w:val="22"/>
                <w:szCs w:val="22"/>
              </w:rPr>
            </w:pPr>
            <w:r>
              <w:rPr>
                <w:sz w:val="22"/>
                <w:szCs w:val="22"/>
              </w:rPr>
              <w:t>855.000.000</w:t>
            </w:r>
          </w:p>
        </w:tc>
        <w:tc>
          <w:tcPr>
            <w:tcW w:w="1700" w:type="dxa"/>
            <w:vAlign w:val="center"/>
          </w:tcPr>
          <w:p w14:paraId="5DEE3716">
            <w:pPr>
              <w:jc w:val="center"/>
              <w:rPr>
                <w:sz w:val="22"/>
                <w:szCs w:val="22"/>
              </w:rPr>
            </w:pPr>
            <w:r>
              <w:rPr>
                <w:sz w:val="22"/>
                <w:szCs w:val="22"/>
              </w:rPr>
              <w:t>1.321.000.000</w:t>
            </w:r>
          </w:p>
        </w:tc>
        <w:tc>
          <w:tcPr>
            <w:tcW w:w="1140" w:type="dxa"/>
            <w:noWrap/>
            <w:vAlign w:val="center"/>
          </w:tcPr>
          <w:p w14:paraId="16C423AE">
            <w:pPr>
              <w:jc w:val="center"/>
              <w:rPr>
                <w:sz w:val="22"/>
                <w:szCs w:val="22"/>
              </w:rPr>
            </w:pPr>
            <w:r>
              <w:rPr>
                <w:sz w:val="22"/>
                <w:szCs w:val="22"/>
              </w:rPr>
              <w:t>1,55%</w:t>
            </w:r>
          </w:p>
        </w:tc>
      </w:tr>
      <w:tr w14:paraId="3C6B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86E4CF6">
            <w:pPr>
              <w:jc w:val="center"/>
              <w:rPr>
                <w:sz w:val="22"/>
                <w:szCs w:val="22"/>
              </w:rPr>
            </w:pPr>
            <w:r>
              <w:rPr>
                <w:sz w:val="22"/>
                <w:szCs w:val="22"/>
              </w:rPr>
              <w:t>7</w:t>
            </w:r>
          </w:p>
        </w:tc>
        <w:tc>
          <w:tcPr>
            <w:tcW w:w="1752" w:type="dxa"/>
            <w:noWrap/>
            <w:vAlign w:val="center"/>
          </w:tcPr>
          <w:p w14:paraId="0A8B2F8B">
            <w:pPr>
              <w:jc w:val="center"/>
              <w:rPr>
                <w:sz w:val="22"/>
                <w:szCs w:val="22"/>
              </w:rPr>
            </w:pPr>
          </w:p>
        </w:tc>
        <w:tc>
          <w:tcPr>
            <w:tcW w:w="944" w:type="dxa"/>
            <w:vMerge w:val="continue"/>
            <w:vAlign w:val="center"/>
          </w:tcPr>
          <w:p w14:paraId="18ABA77D">
            <w:pPr>
              <w:jc w:val="center"/>
              <w:rPr>
                <w:sz w:val="22"/>
                <w:szCs w:val="22"/>
              </w:rPr>
            </w:pPr>
          </w:p>
        </w:tc>
        <w:tc>
          <w:tcPr>
            <w:tcW w:w="1116" w:type="dxa"/>
            <w:vAlign w:val="center"/>
          </w:tcPr>
          <w:p w14:paraId="0C451E89">
            <w:pPr>
              <w:jc w:val="center"/>
              <w:rPr>
                <w:sz w:val="22"/>
                <w:szCs w:val="22"/>
              </w:rPr>
            </w:pPr>
            <w:r>
              <w:rPr>
                <w:sz w:val="22"/>
                <w:szCs w:val="22"/>
              </w:rPr>
              <w:t>6</w:t>
            </w:r>
          </w:p>
        </w:tc>
        <w:tc>
          <w:tcPr>
            <w:tcW w:w="1010" w:type="dxa"/>
            <w:vAlign w:val="center"/>
          </w:tcPr>
          <w:p w14:paraId="52B1231E">
            <w:pPr>
              <w:jc w:val="center"/>
              <w:rPr>
                <w:sz w:val="22"/>
                <w:szCs w:val="22"/>
              </w:rPr>
            </w:pPr>
            <w:r>
              <w:rPr>
                <w:sz w:val="22"/>
                <w:szCs w:val="22"/>
              </w:rPr>
              <w:t>90,00</w:t>
            </w:r>
          </w:p>
        </w:tc>
        <w:tc>
          <w:tcPr>
            <w:tcW w:w="1591" w:type="dxa"/>
            <w:vAlign w:val="center"/>
          </w:tcPr>
          <w:p w14:paraId="709D1C53">
            <w:pPr>
              <w:jc w:val="center"/>
              <w:rPr>
                <w:sz w:val="22"/>
                <w:szCs w:val="22"/>
              </w:rPr>
            </w:pPr>
            <w:r>
              <w:rPr>
                <w:sz w:val="22"/>
                <w:szCs w:val="22"/>
              </w:rPr>
              <w:t>855.000.000</w:t>
            </w:r>
          </w:p>
        </w:tc>
        <w:tc>
          <w:tcPr>
            <w:tcW w:w="1700" w:type="dxa"/>
            <w:vAlign w:val="center"/>
          </w:tcPr>
          <w:p w14:paraId="5654819B">
            <w:pPr>
              <w:jc w:val="center"/>
              <w:rPr>
                <w:sz w:val="22"/>
                <w:szCs w:val="22"/>
              </w:rPr>
            </w:pPr>
            <w:r>
              <w:rPr>
                <w:sz w:val="22"/>
                <w:szCs w:val="22"/>
              </w:rPr>
              <w:t>1.305.000.000</w:t>
            </w:r>
          </w:p>
        </w:tc>
        <w:tc>
          <w:tcPr>
            <w:tcW w:w="1140" w:type="dxa"/>
            <w:noWrap/>
            <w:vAlign w:val="center"/>
          </w:tcPr>
          <w:p w14:paraId="02FCEF0E">
            <w:pPr>
              <w:jc w:val="center"/>
              <w:rPr>
                <w:sz w:val="22"/>
                <w:szCs w:val="22"/>
              </w:rPr>
            </w:pPr>
            <w:r>
              <w:rPr>
                <w:sz w:val="22"/>
                <w:szCs w:val="22"/>
              </w:rPr>
              <w:t>1,53%</w:t>
            </w:r>
          </w:p>
        </w:tc>
      </w:tr>
      <w:tr w14:paraId="4207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61D5CC7">
            <w:pPr>
              <w:jc w:val="center"/>
              <w:rPr>
                <w:sz w:val="22"/>
                <w:szCs w:val="22"/>
              </w:rPr>
            </w:pPr>
            <w:r>
              <w:rPr>
                <w:sz w:val="22"/>
                <w:szCs w:val="22"/>
              </w:rPr>
              <w:t>8</w:t>
            </w:r>
          </w:p>
        </w:tc>
        <w:tc>
          <w:tcPr>
            <w:tcW w:w="1752" w:type="dxa"/>
            <w:noWrap/>
            <w:vAlign w:val="center"/>
          </w:tcPr>
          <w:p w14:paraId="2F7CF2AB">
            <w:pPr>
              <w:jc w:val="center"/>
              <w:rPr>
                <w:sz w:val="22"/>
                <w:szCs w:val="22"/>
              </w:rPr>
            </w:pPr>
          </w:p>
        </w:tc>
        <w:tc>
          <w:tcPr>
            <w:tcW w:w="944" w:type="dxa"/>
            <w:vMerge w:val="continue"/>
            <w:vAlign w:val="center"/>
          </w:tcPr>
          <w:p w14:paraId="677662AF">
            <w:pPr>
              <w:jc w:val="center"/>
              <w:rPr>
                <w:sz w:val="22"/>
                <w:szCs w:val="22"/>
              </w:rPr>
            </w:pPr>
          </w:p>
        </w:tc>
        <w:tc>
          <w:tcPr>
            <w:tcW w:w="1116" w:type="dxa"/>
            <w:vAlign w:val="center"/>
          </w:tcPr>
          <w:p w14:paraId="43B4C83D">
            <w:pPr>
              <w:jc w:val="center"/>
              <w:rPr>
                <w:sz w:val="22"/>
                <w:szCs w:val="22"/>
              </w:rPr>
            </w:pPr>
            <w:r>
              <w:rPr>
                <w:sz w:val="22"/>
                <w:szCs w:val="22"/>
              </w:rPr>
              <w:t>7</w:t>
            </w:r>
          </w:p>
        </w:tc>
        <w:tc>
          <w:tcPr>
            <w:tcW w:w="1010" w:type="dxa"/>
            <w:vAlign w:val="center"/>
          </w:tcPr>
          <w:p w14:paraId="09729EE2">
            <w:pPr>
              <w:jc w:val="center"/>
              <w:rPr>
                <w:sz w:val="22"/>
                <w:szCs w:val="22"/>
              </w:rPr>
            </w:pPr>
            <w:r>
              <w:rPr>
                <w:sz w:val="22"/>
                <w:szCs w:val="22"/>
              </w:rPr>
              <w:t>90,00</w:t>
            </w:r>
          </w:p>
        </w:tc>
        <w:tc>
          <w:tcPr>
            <w:tcW w:w="1591" w:type="dxa"/>
            <w:vAlign w:val="center"/>
          </w:tcPr>
          <w:p w14:paraId="0D460BF6">
            <w:pPr>
              <w:jc w:val="center"/>
              <w:rPr>
                <w:sz w:val="22"/>
                <w:szCs w:val="22"/>
              </w:rPr>
            </w:pPr>
            <w:r>
              <w:rPr>
                <w:sz w:val="22"/>
                <w:szCs w:val="22"/>
              </w:rPr>
              <w:t>855.000.000</w:t>
            </w:r>
          </w:p>
        </w:tc>
        <w:tc>
          <w:tcPr>
            <w:tcW w:w="1700" w:type="dxa"/>
            <w:vAlign w:val="center"/>
          </w:tcPr>
          <w:p w14:paraId="53459743">
            <w:pPr>
              <w:jc w:val="center"/>
              <w:rPr>
                <w:sz w:val="22"/>
                <w:szCs w:val="22"/>
              </w:rPr>
            </w:pPr>
            <w:r>
              <w:rPr>
                <w:sz w:val="22"/>
                <w:szCs w:val="22"/>
              </w:rPr>
              <w:t>1.371.000.000</w:t>
            </w:r>
          </w:p>
        </w:tc>
        <w:tc>
          <w:tcPr>
            <w:tcW w:w="1140" w:type="dxa"/>
            <w:noWrap/>
            <w:vAlign w:val="center"/>
          </w:tcPr>
          <w:p w14:paraId="2FC8B657">
            <w:pPr>
              <w:jc w:val="center"/>
              <w:rPr>
                <w:sz w:val="22"/>
                <w:szCs w:val="22"/>
              </w:rPr>
            </w:pPr>
            <w:r>
              <w:rPr>
                <w:sz w:val="22"/>
                <w:szCs w:val="22"/>
              </w:rPr>
              <w:t>1,60%</w:t>
            </w:r>
          </w:p>
        </w:tc>
      </w:tr>
      <w:tr w14:paraId="5717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474CEE5">
            <w:pPr>
              <w:jc w:val="center"/>
              <w:rPr>
                <w:sz w:val="22"/>
                <w:szCs w:val="22"/>
              </w:rPr>
            </w:pPr>
            <w:r>
              <w:rPr>
                <w:sz w:val="22"/>
                <w:szCs w:val="22"/>
              </w:rPr>
              <w:t>9</w:t>
            </w:r>
          </w:p>
        </w:tc>
        <w:tc>
          <w:tcPr>
            <w:tcW w:w="1752" w:type="dxa"/>
            <w:noWrap/>
            <w:vAlign w:val="center"/>
          </w:tcPr>
          <w:p w14:paraId="5031EF92">
            <w:pPr>
              <w:jc w:val="center"/>
              <w:rPr>
                <w:sz w:val="22"/>
                <w:szCs w:val="22"/>
              </w:rPr>
            </w:pPr>
          </w:p>
        </w:tc>
        <w:tc>
          <w:tcPr>
            <w:tcW w:w="944" w:type="dxa"/>
            <w:vMerge w:val="continue"/>
            <w:vAlign w:val="center"/>
          </w:tcPr>
          <w:p w14:paraId="26C09FB6">
            <w:pPr>
              <w:jc w:val="center"/>
              <w:rPr>
                <w:sz w:val="22"/>
                <w:szCs w:val="22"/>
              </w:rPr>
            </w:pPr>
          </w:p>
        </w:tc>
        <w:tc>
          <w:tcPr>
            <w:tcW w:w="1116" w:type="dxa"/>
            <w:vAlign w:val="center"/>
          </w:tcPr>
          <w:p w14:paraId="46BBE3A1">
            <w:pPr>
              <w:jc w:val="center"/>
              <w:rPr>
                <w:sz w:val="22"/>
                <w:szCs w:val="22"/>
              </w:rPr>
            </w:pPr>
            <w:r>
              <w:rPr>
                <w:sz w:val="22"/>
                <w:szCs w:val="22"/>
              </w:rPr>
              <w:t>8</w:t>
            </w:r>
          </w:p>
        </w:tc>
        <w:tc>
          <w:tcPr>
            <w:tcW w:w="1010" w:type="dxa"/>
            <w:vAlign w:val="center"/>
          </w:tcPr>
          <w:p w14:paraId="31188183">
            <w:pPr>
              <w:jc w:val="center"/>
              <w:rPr>
                <w:sz w:val="22"/>
                <w:szCs w:val="22"/>
              </w:rPr>
            </w:pPr>
            <w:r>
              <w:rPr>
                <w:sz w:val="22"/>
                <w:szCs w:val="22"/>
              </w:rPr>
              <w:t>90,00</w:t>
            </w:r>
          </w:p>
        </w:tc>
        <w:tc>
          <w:tcPr>
            <w:tcW w:w="1591" w:type="dxa"/>
            <w:vAlign w:val="center"/>
          </w:tcPr>
          <w:p w14:paraId="142D5942">
            <w:pPr>
              <w:jc w:val="center"/>
              <w:rPr>
                <w:sz w:val="22"/>
                <w:szCs w:val="22"/>
              </w:rPr>
            </w:pPr>
            <w:r>
              <w:rPr>
                <w:sz w:val="22"/>
                <w:szCs w:val="22"/>
              </w:rPr>
              <w:t>855.000.000</w:t>
            </w:r>
          </w:p>
        </w:tc>
        <w:tc>
          <w:tcPr>
            <w:tcW w:w="1700" w:type="dxa"/>
            <w:vAlign w:val="center"/>
          </w:tcPr>
          <w:p w14:paraId="2AC5E436">
            <w:pPr>
              <w:jc w:val="center"/>
              <w:rPr>
                <w:sz w:val="22"/>
                <w:szCs w:val="22"/>
              </w:rPr>
            </w:pPr>
            <w:r>
              <w:rPr>
                <w:sz w:val="22"/>
                <w:szCs w:val="22"/>
              </w:rPr>
              <w:t>1.369.000.000</w:t>
            </w:r>
          </w:p>
        </w:tc>
        <w:tc>
          <w:tcPr>
            <w:tcW w:w="1140" w:type="dxa"/>
            <w:noWrap/>
            <w:vAlign w:val="center"/>
          </w:tcPr>
          <w:p w14:paraId="04D0BE0B">
            <w:pPr>
              <w:jc w:val="center"/>
              <w:rPr>
                <w:sz w:val="22"/>
                <w:szCs w:val="22"/>
              </w:rPr>
            </w:pPr>
            <w:r>
              <w:rPr>
                <w:sz w:val="22"/>
                <w:szCs w:val="22"/>
              </w:rPr>
              <w:t>1,60%</w:t>
            </w:r>
          </w:p>
        </w:tc>
      </w:tr>
      <w:tr w14:paraId="2795551C">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35970390">
            <w:pPr>
              <w:jc w:val="center"/>
              <w:rPr>
                <w:sz w:val="22"/>
                <w:szCs w:val="22"/>
              </w:rPr>
            </w:pPr>
            <w:r>
              <w:rPr>
                <w:sz w:val="22"/>
                <w:szCs w:val="22"/>
              </w:rPr>
              <w:t>10</w:t>
            </w:r>
          </w:p>
        </w:tc>
        <w:tc>
          <w:tcPr>
            <w:tcW w:w="1752" w:type="dxa"/>
            <w:noWrap/>
            <w:vAlign w:val="center"/>
          </w:tcPr>
          <w:p w14:paraId="7D707ACF">
            <w:pPr>
              <w:jc w:val="center"/>
              <w:rPr>
                <w:sz w:val="22"/>
                <w:szCs w:val="22"/>
              </w:rPr>
            </w:pPr>
          </w:p>
        </w:tc>
        <w:tc>
          <w:tcPr>
            <w:tcW w:w="944" w:type="dxa"/>
            <w:vMerge w:val="continue"/>
            <w:vAlign w:val="center"/>
          </w:tcPr>
          <w:p w14:paraId="5F244CAF">
            <w:pPr>
              <w:jc w:val="center"/>
              <w:rPr>
                <w:sz w:val="22"/>
                <w:szCs w:val="22"/>
              </w:rPr>
            </w:pPr>
          </w:p>
        </w:tc>
        <w:tc>
          <w:tcPr>
            <w:tcW w:w="1116" w:type="dxa"/>
            <w:vAlign w:val="center"/>
          </w:tcPr>
          <w:p w14:paraId="0E9ECE96">
            <w:pPr>
              <w:jc w:val="center"/>
              <w:rPr>
                <w:sz w:val="22"/>
                <w:szCs w:val="22"/>
              </w:rPr>
            </w:pPr>
            <w:r>
              <w:rPr>
                <w:sz w:val="22"/>
                <w:szCs w:val="22"/>
              </w:rPr>
              <w:t>9</w:t>
            </w:r>
          </w:p>
        </w:tc>
        <w:tc>
          <w:tcPr>
            <w:tcW w:w="1010" w:type="dxa"/>
            <w:vAlign w:val="center"/>
          </w:tcPr>
          <w:p w14:paraId="7D681160">
            <w:pPr>
              <w:jc w:val="center"/>
              <w:rPr>
                <w:sz w:val="22"/>
                <w:szCs w:val="22"/>
              </w:rPr>
            </w:pPr>
            <w:r>
              <w:rPr>
                <w:sz w:val="22"/>
                <w:szCs w:val="22"/>
              </w:rPr>
              <w:t>90,00</w:t>
            </w:r>
          </w:p>
        </w:tc>
        <w:tc>
          <w:tcPr>
            <w:tcW w:w="1591" w:type="dxa"/>
            <w:vAlign w:val="center"/>
          </w:tcPr>
          <w:p w14:paraId="1C6F9B9E">
            <w:pPr>
              <w:jc w:val="center"/>
              <w:rPr>
                <w:sz w:val="22"/>
                <w:szCs w:val="22"/>
              </w:rPr>
            </w:pPr>
            <w:r>
              <w:rPr>
                <w:sz w:val="22"/>
                <w:szCs w:val="22"/>
              </w:rPr>
              <w:t>855.000.000</w:t>
            </w:r>
          </w:p>
        </w:tc>
        <w:tc>
          <w:tcPr>
            <w:tcW w:w="1700" w:type="dxa"/>
            <w:vAlign w:val="center"/>
          </w:tcPr>
          <w:p w14:paraId="00B1CD1A">
            <w:pPr>
              <w:jc w:val="center"/>
              <w:rPr>
                <w:sz w:val="22"/>
                <w:szCs w:val="22"/>
              </w:rPr>
            </w:pPr>
            <w:r>
              <w:rPr>
                <w:sz w:val="22"/>
                <w:szCs w:val="22"/>
              </w:rPr>
              <w:t>1.319.000.000</w:t>
            </w:r>
          </w:p>
        </w:tc>
        <w:tc>
          <w:tcPr>
            <w:tcW w:w="1140" w:type="dxa"/>
            <w:noWrap/>
            <w:vAlign w:val="center"/>
          </w:tcPr>
          <w:p w14:paraId="4016039C">
            <w:pPr>
              <w:jc w:val="center"/>
              <w:rPr>
                <w:sz w:val="22"/>
                <w:szCs w:val="22"/>
              </w:rPr>
            </w:pPr>
            <w:r>
              <w:rPr>
                <w:sz w:val="22"/>
                <w:szCs w:val="22"/>
              </w:rPr>
              <w:t>1,54%</w:t>
            </w:r>
          </w:p>
        </w:tc>
      </w:tr>
      <w:tr w14:paraId="445B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EEE585">
            <w:pPr>
              <w:jc w:val="center"/>
              <w:rPr>
                <w:sz w:val="22"/>
                <w:szCs w:val="22"/>
              </w:rPr>
            </w:pPr>
            <w:r>
              <w:rPr>
                <w:sz w:val="22"/>
                <w:szCs w:val="22"/>
              </w:rPr>
              <w:t>11</w:t>
            </w:r>
          </w:p>
        </w:tc>
        <w:tc>
          <w:tcPr>
            <w:tcW w:w="1752" w:type="dxa"/>
            <w:noWrap/>
            <w:vAlign w:val="center"/>
          </w:tcPr>
          <w:p w14:paraId="35E7EAB2">
            <w:pPr>
              <w:jc w:val="center"/>
              <w:rPr>
                <w:sz w:val="22"/>
                <w:szCs w:val="22"/>
              </w:rPr>
            </w:pPr>
          </w:p>
        </w:tc>
        <w:tc>
          <w:tcPr>
            <w:tcW w:w="944" w:type="dxa"/>
            <w:vMerge w:val="continue"/>
            <w:vAlign w:val="center"/>
          </w:tcPr>
          <w:p w14:paraId="1D237E2A">
            <w:pPr>
              <w:jc w:val="center"/>
              <w:rPr>
                <w:sz w:val="22"/>
                <w:szCs w:val="22"/>
              </w:rPr>
            </w:pPr>
          </w:p>
        </w:tc>
        <w:tc>
          <w:tcPr>
            <w:tcW w:w="1116" w:type="dxa"/>
            <w:vAlign w:val="center"/>
          </w:tcPr>
          <w:p w14:paraId="75ABE061">
            <w:pPr>
              <w:jc w:val="center"/>
              <w:rPr>
                <w:sz w:val="22"/>
                <w:szCs w:val="22"/>
              </w:rPr>
            </w:pPr>
            <w:r>
              <w:rPr>
                <w:sz w:val="22"/>
                <w:szCs w:val="22"/>
              </w:rPr>
              <w:t>10</w:t>
            </w:r>
          </w:p>
        </w:tc>
        <w:tc>
          <w:tcPr>
            <w:tcW w:w="1010" w:type="dxa"/>
            <w:vAlign w:val="center"/>
          </w:tcPr>
          <w:p w14:paraId="5DCBE23F">
            <w:pPr>
              <w:jc w:val="center"/>
              <w:rPr>
                <w:sz w:val="22"/>
                <w:szCs w:val="22"/>
              </w:rPr>
            </w:pPr>
            <w:r>
              <w:rPr>
                <w:sz w:val="22"/>
                <w:szCs w:val="22"/>
              </w:rPr>
              <w:t>90,00</w:t>
            </w:r>
          </w:p>
        </w:tc>
        <w:tc>
          <w:tcPr>
            <w:tcW w:w="1591" w:type="dxa"/>
            <w:vAlign w:val="center"/>
          </w:tcPr>
          <w:p w14:paraId="71B37236">
            <w:pPr>
              <w:jc w:val="center"/>
              <w:rPr>
                <w:sz w:val="22"/>
                <w:szCs w:val="22"/>
              </w:rPr>
            </w:pPr>
            <w:r>
              <w:rPr>
                <w:sz w:val="22"/>
                <w:szCs w:val="22"/>
              </w:rPr>
              <w:t>855.000.000</w:t>
            </w:r>
          </w:p>
        </w:tc>
        <w:tc>
          <w:tcPr>
            <w:tcW w:w="1700" w:type="dxa"/>
            <w:vAlign w:val="center"/>
          </w:tcPr>
          <w:p w14:paraId="0C316DF8">
            <w:pPr>
              <w:jc w:val="center"/>
              <w:rPr>
                <w:sz w:val="22"/>
                <w:szCs w:val="22"/>
              </w:rPr>
            </w:pPr>
            <w:r>
              <w:rPr>
                <w:sz w:val="22"/>
                <w:szCs w:val="22"/>
              </w:rPr>
              <w:t>1.296.000.000</w:t>
            </w:r>
          </w:p>
        </w:tc>
        <w:tc>
          <w:tcPr>
            <w:tcW w:w="1140" w:type="dxa"/>
            <w:noWrap/>
            <w:vAlign w:val="center"/>
          </w:tcPr>
          <w:p w14:paraId="5F546961">
            <w:pPr>
              <w:jc w:val="center"/>
              <w:rPr>
                <w:sz w:val="22"/>
                <w:szCs w:val="22"/>
              </w:rPr>
            </w:pPr>
            <w:r>
              <w:rPr>
                <w:sz w:val="22"/>
                <w:szCs w:val="22"/>
              </w:rPr>
              <w:t>1,52%</w:t>
            </w:r>
          </w:p>
        </w:tc>
      </w:tr>
      <w:tr w14:paraId="2AE3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B34A2C1">
            <w:pPr>
              <w:jc w:val="center"/>
              <w:rPr>
                <w:sz w:val="22"/>
                <w:szCs w:val="22"/>
              </w:rPr>
            </w:pPr>
            <w:r>
              <w:rPr>
                <w:sz w:val="22"/>
                <w:szCs w:val="22"/>
              </w:rPr>
              <w:t>12</w:t>
            </w:r>
          </w:p>
        </w:tc>
        <w:tc>
          <w:tcPr>
            <w:tcW w:w="1752" w:type="dxa"/>
            <w:noWrap/>
            <w:vAlign w:val="center"/>
          </w:tcPr>
          <w:p w14:paraId="7D5478C3">
            <w:pPr>
              <w:jc w:val="center"/>
              <w:rPr>
                <w:sz w:val="22"/>
                <w:szCs w:val="22"/>
              </w:rPr>
            </w:pPr>
          </w:p>
        </w:tc>
        <w:tc>
          <w:tcPr>
            <w:tcW w:w="944" w:type="dxa"/>
            <w:vMerge w:val="continue"/>
            <w:vAlign w:val="center"/>
          </w:tcPr>
          <w:p w14:paraId="2CA9C8F4">
            <w:pPr>
              <w:jc w:val="center"/>
              <w:rPr>
                <w:sz w:val="22"/>
                <w:szCs w:val="22"/>
              </w:rPr>
            </w:pPr>
          </w:p>
        </w:tc>
        <w:tc>
          <w:tcPr>
            <w:tcW w:w="1116" w:type="dxa"/>
            <w:vAlign w:val="center"/>
          </w:tcPr>
          <w:p w14:paraId="088EF2B7">
            <w:pPr>
              <w:jc w:val="center"/>
              <w:rPr>
                <w:sz w:val="22"/>
                <w:szCs w:val="22"/>
              </w:rPr>
            </w:pPr>
            <w:r>
              <w:rPr>
                <w:sz w:val="22"/>
                <w:szCs w:val="22"/>
              </w:rPr>
              <w:t>11</w:t>
            </w:r>
          </w:p>
        </w:tc>
        <w:tc>
          <w:tcPr>
            <w:tcW w:w="1010" w:type="dxa"/>
            <w:vAlign w:val="center"/>
          </w:tcPr>
          <w:p w14:paraId="6F020130">
            <w:pPr>
              <w:jc w:val="center"/>
              <w:rPr>
                <w:sz w:val="22"/>
                <w:szCs w:val="22"/>
              </w:rPr>
            </w:pPr>
            <w:r>
              <w:rPr>
                <w:sz w:val="22"/>
                <w:szCs w:val="22"/>
              </w:rPr>
              <w:t>90,00</w:t>
            </w:r>
          </w:p>
        </w:tc>
        <w:tc>
          <w:tcPr>
            <w:tcW w:w="1591" w:type="dxa"/>
            <w:vAlign w:val="center"/>
          </w:tcPr>
          <w:p w14:paraId="3AF47CCF">
            <w:pPr>
              <w:jc w:val="center"/>
              <w:rPr>
                <w:sz w:val="22"/>
                <w:szCs w:val="22"/>
              </w:rPr>
            </w:pPr>
            <w:r>
              <w:rPr>
                <w:sz w:val="22"/>
                <w:szCs w:val="22"/>
              </w:rPr>
              <w:t>855.000.000</w:t>
            </w:r>
          </w:p>
        </w:tc>
        <w:tc>
          <w:tcPr>
            <w:tcW w:w="1700" w:type="dxa"/>
            <w:vAlign w:val="center"/>
          </w:tcPr>
          <w:p w14:paraId="5064DA1B">
            <w:pPr>
              <w:jc w:val="center"/>
              <w:rPr>
                <w:sz w:val="22"/>
                <w:szCs w:val="22"/>
              </w:rPr>
            </w:pPr>
            <w:r>
              <w:rPr>
                <w:sz w:val="22"/>
                <w:szCs w:val="22"/>
              </w:rPr>
              <w:t>1.313.000.000</w:t>
            </w:r>
          </w:p>
        </w:tc>
        <w:tc>
          <w:tcPr>
            <w:tcW w:w="1140" w:type="dxa"/>
            <w:noWrap/>
            <w:vAlign w:val="center"/>
          </w:tcPr>
          <w:p w14:paraId="48100D88">
            <w:pPr>
              <w:jc w:val="center"/>
              <w:rPr>
                <w:sz w:val="22"/>
                <w:szCs w:val="22"/>
              </w:rPr>
            </w:pPr>
            <w:r>
              <w:rPr>
                <w:sz w:val="22"/>
                <w:szCs w:val="22"/>
              </w:rPr>
              <w:t>1,54%</w:t>
            </w:r>
          </w:p>
        </w:tc>
      </w:tr>
      <w:tr w14:paraId="2F0A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7A4D4F9">
            <w:pPr>
              <w:jc w:val="center"/>
              <w:rPr>
                <w:sz w:val="22"/>
                <w:szCs w:val="22"/>
              </w:rPr>
            </w:pPr>
            <w:r>
              <w:rPr>
                <w:sz w:val="22"/>
                <w:szCs w:val="22"/>
              </w:rPr>
              <w:t>13</w:t>
            </w:r>
          </w:p>
        </w:tc>
        <w:tc>
          <w:tcPr>
            <w:tcW w:w="1752" w:type="dxa"/>
            <w:noWrap/>
            <w:vAlign w:val="center"/>
          </w:tcPr>
          <w:p w14:paraId="598B1678">
            <w:pPr>
              <w:jc w:val="center"/>
              <w:rPr>
                <w:sz w:val="22"/>
                <w:szCs w:val="22"/>
              </w:rPr>
            </w:pPr>
          </w:p>
        </w:tc>
        <w:tc>
          <w:tcPr>
            <w:tcW w:w="944" w:type="dxa"/>
            <w:vMerge w:val="continue"/>
            <w:vAlign w:val="center"/>
          </w:tcPr>
          <w:p w14:paraId="47E9D468">
            <w:pPr>
              <w:jc w:val="center"/>
              <w:rPr>
                <w:sz w:val="22"/>
                <w:szCs w:val="22"/>
              </w:rPr>
            </w:pPr>
          </w:p>
        </w:tc>
        <w:tc>
          <w:tcPr>
            <w:tcW w:w="1116" w:type="dxa"/>
            <w:vAlign w:val="center"/>
          </w:tcPr>
          <w:p w14:paraId="70867950">
            <w:pPr>
              <w:jc w:val="center"/>
              <w:rPr>
                <w:sz w:val="22"/>
                <w:szCs w:val="22"/>
              </w:rPr>
            </w:pPr>
            <w:r>
              <w:rPr>
                <w:sz w:val="22"/>
                <w:szCs w:val="22"/>
              </w:rPr>
              <w:t>12</w:t>
            </w:r>
          </w:p>
        </w:tc>
        <w:tc>
          <w:tcPr>
            <w:tcW w:w="1010" w:type="dxa"/>
            <w:vAlign w:val="center"/>
          </w:tcPr>
          <w:p w14:paraId="71E8E29A">
            <w:pPr>
              <w:jc w:val="center"/>
              <w:rPr>
                <w:sz w:val="22"/>
                <w:szCs w:val="22"/>
              </w:rPr>
            </w:pPr>
            <w:r>
              <w:rPr>
                <w:sz w:val="22"/>
                <w:szCs w:val="22"/>
              </w:rPr>
              <w:t>90,00</w:t>
            </w:r>
          </w:p>
        </w:tc>
        <w:tc>
          <w:tcPr>
            <w:tcW w:w="1591" w:type="dxa"/>
            <w:vAlign w:val="center"/>
          </w:tcPr>
          <w:p w14:paraId="0E4A278F">
            <w:pPr>
              <w:jc w:val="center"/>
              <w:rPr>
                <w:sz w:val="22"/>
                <w:szCs w:val="22"/>
              </w:rPr>
            </w:pPr>
            <w:r>
              <w:rPr>
                <w:sz w:val="22"/>
                <w:szCs w:val="22"/>
              </w:rPr>
              <w:t>855.000.000</w:t>
            </w:r>
          </w:p>
        </w:tc>
        <w:tc>
          <w:tcPr>
            <w:tcW w:w="1700" w:type="dxa"/>
            <w:vAlign w:val="center"/>
          </w:tcPr>
          <w:p w14:paraId="4DDC44EE">
            <w:pPr>
              <w:jc w:val="center"/>
              <w:rPr>
                <w:sz w:val="22"/>
                <w:szCs w:val="22"/>
              </w:rPr>
            </w:pPr>
            <w:r>
              <w:rPr>
                <w:sz w:val="22"/>
                <w:szCs w:val="22"/>
              </w:rPr>
              <w:t>1.316.000.000</w:t>
            </w:r>
          </w:p>
        </w:tc>
        <w:tc>
          <w:tcPr>
            <w:tcW w:w="1140" w:type="dxa"/>
            <w:noWrap/>
            <w:vAlign w:val="center"/>
          </w:tcPr>
          <w:p w14:paraId="164D5034">
            <w:pPr>
              <w:jc w:val="center"/>
              <w:rPr>
                <w:sz w:val="22"/>
                <w:szCs w:val="22"/>
              </w:rPr>
            </w:pPr>
            <w:r>
              <w:rPr>
                <w:sz w:val="22"/>
                <w:szCs w:val="22"/>
              </w:rPr>
              <w:t>1,54%</w:t>
            </w:r>
          </w:p>
        </w:tc>
      </w:tr>
      <w:tr w14:paraId="2074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7378D74">
            <w:pPr>
              <w:jc w:val="center"/>
              <w:rPr>
                <w:sz w:val="22"/>
                <w:szCs w:val="22"/>
              </w:rPr>
            </w:pPr>
            <w:r>
              <w:rPr>
                <w:sz w:val="22"/>
                <w:szCs w:val="22"/>
              </w:rPr>
              <w:t>14</w:t>
            </w:r>
          </w:p>
        </w:tc>
        <w:tc>
          <w:tcPr>
            <w:tcW w:w="1752" w:type="dxa"/>
            <w:noWrap/>
            <w:vAlign w:val="center"/>
          </w:tcPr>
          <w:p w14:paraId="393A6DCA">
            <w:pPr>
              <w:jc w:val="center"/>
              <w:rPr>
                <w:sz w:val="22"/>
                <w:szCs w:val="22"/>
              </w:rPr>
            </w:pPr>
          </w:p>
        </w:tc>
        <w:tc>
          <w:tcPr>
            <w:tcW w:w="944" w:type="dxa"/>
            <w:vMerge w:val="continue"/>
            <w:vAlign w:val="center"/>
          </w:tcPr>
          <w:p w14:paraId="11929F46">
            <w:pPr>
              <w:jc w:val="center"/>
              <w:rPr>
                <w:sz w:val="22"/>
                <w:szCs w:val="22"/>
              </w:rPr>
            </w:pPr>
          </w:p>
        </w:tc>
        <w:tc>
          <w:tcPr>
            <w:tcW w:w="1116" w:type="dxa"/>
            <w:vAlign w:val="center"/>
          </w:tcPr>
          <w:p w14:paraId="40F4FF72">
            <w:pPr>
              <w:jc w:val="center"/>
              <w:rPr>
                <w:sz w:val="22"/>
                <w:szCs w:val="22"/>
              </w:rPr>
            </w:pPr>
            <w:r>
              <w:rPr>
                <w:sz w:val="22"/>
                <w:szCs w:val="22"/>
              </w:rPr>
              <w:t>13</w:t>
            </w:r>
          </w:p>
        </w:tc>
        <w:tc>
          <w:tcPr>
            <w:tcW w:w="1010" w:type="dxa"/>
            <w:vAlign w:val="center"/>
          </w:tcPr>
          <w:p w14:paraId="11F8890A">
            <w:pPr>
              <w:jc w:val="center"/>
              <w:rPr>
                <w:sz w:val="22"/>
                <w:szCs w:val="22"/>
              </w:rPr>
            </w:pPr>
            <w:r>
              <w:rPr>
                <w:sz w:val="22"/>
                <w:szCs w:val="22"/>
              </w:rPr>
              <w:t>90,00</w:t>
            </w:r>
          </w:p>
        </w:tc>
        <w:tc>
          <w:tcPr>
            <w:tcW w:w="1591" w:type="dxa"/>
            <w:vAlign w:val="center"/>
          </w:tcPr>
          <w:p w14:paraId="06AE0932">
            <w:pPr>
              <w:jc w:val="center"/>
              <w:rPr>
                <w:sz w:val="22"/>
                <w:szCs w:val="22"/>
              </w:rPr>
            </w:pPr>
            <w:r>
              <w:rPr>
                <w:sz w:val="22"/>
                <w:szCs w:val="22"/>
              </w:rPr>
              <w:t>855.000.000</w:t>
            </w:r>
          </w:p>
        </w:tc>
        <w:tc>
          <w:tcPr>
            <w:tcW w:w="1700" w:type="dxa"/>
            <w:vAlign w:val="center"/>
          </w:tcPr>
          <w:p w14:paraId="5DA37E5B">
            <w:pPr>
              <w:jc w:val="center"/>
              <w:rPr>
                <w:sz w:val="22"/>
                <w:szCs w:val="22"/>
              </w:rPr>
            </w:pPr>
            <w:r>
              <w:rPr>
                <w:sz w:val="22"/>
                <w:szCs w:val="22"/>
              </w:rPr>
              <w:t>1.296.000.000</w:t>
            </w:r>
          </w:p>
        </w:tc>
        <w:tc>
          <w:tcPr>
            <w:tcW w:w="1140" w:type="dxa"/>
            <w:noWrap/>
            <w:vAlign w:val="center"/>
          </w:tcPr>
          <w:p w14:paraId="643355ED">
            <w:pPr>
              <w:jc w:val="center"/>
              <w:rPr>
                <w:sz w:val="22"/>
                <w:szCs w:val="22"/>
              </w:rPr>
            </w:pPr>
            <w:r>
              <w:rPr>
                <w:sz w:val="22"/>
                <w:szCs w:val="22"/>
              </w:rPr>
              <w:t>1,52%</w:t>
            </w:r>
          </w:p>
        </w:tc>
      </w:tr>
      <w:tr w14:paraId="24E0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BEEF1B1">
            <w:pPr>
              <w:jc w:val="center"/>
              <w:rPr>
                <w:sz w:val="22"/>
                <w:szCs w:val="22"/>
              </w:rPr>
            </w:pPr>
            <w:r>
              <w:rPr>
                <w:sz w:val="22"/>
                <w:szCs w:val="22"/>
              </w:rPr>
              <w:t>15</w:t>
            </w:r>
          </w:p>
        </w:tc>
        <w:tc>
          <w:tcPr>
            <w:tcW w:w="1752" w:type="dxa"/>
            <w:noWrap/>
            <w:vAlign w:val="center"/>
          </w:tcPr>
          <w:p w14:paraId="08BACD99">
            <w:pPr>
              <w:jc w:val="center"/>
              <w:rPr>
                <w:sz w:val="22"/>
                <w:szCs w:val="22"/>
              </w:rPr>
            </w:pPr>
          </w:p>
        </w:tc>
        <w:tc>
          <w:tcPr>
            <w:tcW w:w="944" w:type="dxa"/>
            <w:vMerge w:val="continue"/>
            <w:vAlign w:val="center"/>
          </w:tcPr>
          <w:p w14:paraId="016E2633">
            <w:pPr>
              <w:jc w:val="center"/>
              <w:rPr>
                <w:sz w:val="22"/>
                <w:szCs w:val="22"/>
              </w:rPr>
            </w:pPr>
          </w:p>
        </w:tc>
        <w:tc>
          <w:tcPr>
            <w:tcW w:w="1116" w:type="dxa"/>
            <w:vAlign w:val="center"/>
          </w:tcPr>
          <w:p w14:paraId="79BC2E2B">
            <w:pPr>
              <w:jc w:val="center"/>
              <w:rPr>
                <w:sz w:val="22"/>
                <w:szCs w:val="22"/>
              </w:rPr>
            </w:pPr>
            <w:r>
              <w:rPr>
                <w:sz w:val="22"/>
                <w:szCs w:val="22"/>
              </w:rPr>
              <w:t>14</w:t>
            </w:r>
          </w:p>
        </w:tc>
        <w:tc>
          <w:tcPr>
            <w:tcW w:w="1010" w:type="dxa"/>
            <w:vAlign w:val="center"/>
          </w:tcPr>
          <w:p w14:paraId="434417F1">
            <w:pPr>
              <w:jc w:val="center"/>
              <w:rPr>
                <w:sz w:val="22"/>
                <w:szCs w:val="22"/>
              </w:rPr>
            </w:pPr>
            <w:r>
              <w:rPr>
                <w:sz w:val="22"/>
                <w:szCs w:val="22"/>
              </w:rPr>
              <w:t>90,00</w:t>
            </w:r>
          </w:p>
        </w:tc>
        <w:tc>
          <w:tcPr>
            <w:tcW w:w="1591" w:type="dxa"/>
            <w:vAlign w:val="center"/>
          </w:tcPr>
          <w:p w14:paraId="2657425B">
            <w:pPr>
              <w:jc w:val="center"/>
              <w:rPr>
                <w:sz w:val="22"/>
                <w:szCs w:val="22"/>
              </w:rPr>
            </w:pPr>
            <w:r>
              <w:rPr>
                <w:sz w:val="22"/>
                <w:szCs w:val="22"/>
              </w:rPr>
              <w:t>855.000.000</w:t>
            </w:r>
          </w:p>
        </w:tc>
        <w:tc>
          <w:tcPr>
            <w:tcW w:w="1700" w:type="dxa"/>
            <w:vAlign w:val="center"/>
          </w:tcPr>
          <w:p w14:paraId="7C9973AC">
            <w:pPr>
              <w:jc w:val="center"/>
              <w:rPr>
                <w:sz w:val="22"/>
                <w:szCs w:val="22"/>
              </w:rPr>
            </w:pPr>
            <w:r>
              <w:rPr>
                <w:sz w:val="22"/>
                <w:szCs w:val="22"/>
              </w:rPr>
              <w:t>1.302.000.000</w:t>
            </w:r>
          </w:p>
        </w:tc>
        <w:tc>
          <w:tcPr>
            <w:tcW w:w="1140" w:type="dxa"/>
            <w:noWrap/>
            <w:vAlign w:val="center"/>
          </w:tcPr>
          <w:p w14:paraId="25F78CCA">
            <w:pPr>
              <w:jc w:val="center"/>
              <w:rPr>
                <w:sz w:val="22"/>
                <w:szCs w:val="22"/>
              </w:rPr>
            </w:pPr>
            <w:r>
              <w:rPr>
                <w:sz w:val="22"/>
                <w:szCs w:val="22"/>
              </w:rPr>
              <w:t>1,52%</w:t>
            </w:r>
          </w:p>
        </w:tc>
      </w:tr>
      <w:tr w14:paraId="328B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3D3A53E">
            <w:pPr>
              <w:jc w:val="center"/>
              <w:rPr>
                <w:sz w:val="22"/>
                <w:szCs w:val="22"/>
              </w:rPr>
            </w:pPr>
            <w:r>
              <w:rPr>
                <w:sz w:val="22"/>
                <w:szCs w:val="22"/>
              </w:rPr>
              <w:t>16</w:t>
            </w:r>
          </w:p>
        </w:tc>
        <w:tc>
          <w:tcPr>
            <w:tcW w:w="1752" w:type="dxa"/>
            <w:noWrap/>
            <w:vAlign w:val="center"/>
          </w:tcPr>
          <w:p w14:paraId="4977277F">
            <w:pPr>
              <w:jc w:val="center"/>
              <w:rPr>
                <w:sz w:val="22"/>
                <w:szCs w:val="22"/>
              </w:rPr>
            </w:pPr>
          </w:p>
        </w:tc>
        <w:tc>
          <w:tcPr>
            <w:tcW w:w="944" w:type="dxa"/>
            <w:vMerge w:val="continue"/>
            <w:vAlign w:val="center"/>
          </w:tcPr>
          <w:p w14:paraId="7B330328">
            <w:pPr>
              <w:jc w:val="center"/>
              <w:rPr>
                <w:sz w:val="22"/>
                <w:szCs w:val="22"/>
              </w:rPr>
            </w:pPr>
          </w:p>
        </w:tc>
        <w:tc>
          <w:tcPr>
            <w:tcW w:w="1116" w:type="dxa"/>
            <w:vAlign w:val="center"/>
          </w:tcPr>
          <w:p w14:paraId="6F0D156E">
            <w:pPr>
              <w:jc w:val="center"/>
              <w:rPr>
                <w:sz w:val="22"/>
                <w:szCs w:val="22"/>
              </w:rPr>
            </w:pPr>
            <w:r>
              <w:rPr>
                <w:sz w:val="22"/>
                <w:szCs w:val="22"/>
              </w:rPr>
              <w:t>15</w:t>
            </w:r>
          </w:p>
        </w:tc>
        <w:tc>
          <w:tcPr>
            <w:tcW w:w="1010" w:type="dxa"/>
            <w:vAlign w:val="center"/>
          </w:tcPr>
          <w:p w14:paraId="63FC1F8F">
            <w:pPr>
              <w:jc w:val="center"/>
              <w:rPr>
                <w:sz w:val="22"/>
                <w:szCs w:val="22"/>
              </w:rPr>
            </w:pPr>
            <w:r>
              <w:rPr>
                <w:sz w:val="22"/>
                <w:szCs w:val="22"/>
              </w:rPr>
              <w:t>90,00</w:t>
            </w:r>
          </w:p>
        </w:tc>
        <w:tc>
          <w:tcPr>
            <w:tcW w:w="1591" w:type="dxa"/>
            <w:vAlign w:val="center"/>
          </w:tcPr>
          <w:p w14:paraId="5A53A1DD">
            <w:pPr>
              <w:jc w:val="center"/>
              <w:rPr>
                <w:sz w:val="22"/>
                <w:szCs w:val="22"/>
              </w:rPr>
            </w:pPr>
            <w:r>
              <w:rPr>
                <w:sz w:val="22"/>
                <w:szCs w:val="22"/>
              </w:rPr>
              <w:t>855.000.000</w:t>
            </w:r>
          </w:p>
        </w:tc>
        <w:tc>
          <w:tcPr>
            <w:tcW w:w="1700" w:type="dxa"/>
            <w:vAlign w:val="center"/>
          </w:tcPr>
          <w:p w14:paraId="55759139">
            <w:pPr>
              <w:jc w:val="center"/>
              <w:rPr>
                <w:sz w:val="22"/>
                <w:szCs w:val="22"/>
              </w:rPr>
            </w:pPr>
            <w:r>
              <w:rPr>
                <w:sz w:val="22"/>
                <w:szCs w:val="22"/>
              </w:rPr>
              <w:t>1.310.000.000</w:t>
            </w:r>
          </w:p>
        </w:tc>
        <w:tc>
          <w:tcPr>
            <w:tcW w:w="1140" w:type="dxa"/>
            <w:noWrap/>
            <w:vAlign w:val="center"/>
          </w:tcPr>
          <w:p w14:paraId="1A510DCD">
            <w:pPr>
              <w:jc w:val="center"/>
              <w:rPr>
                <w:sz w:val="22"/>
                <w:szCs w:val="22"/>
              </w:rPr>
            </w:pPr>
            <w:r>
              <w:rPr>
                <w:sz w:val="22"/>
                <w:szCs w:val="22"/>
              </w:rPr>
              <w:t>1,53%</w:t>
            </w:r>
          </w:p>
        </w:tc>
      </w:tr>
      <w:tr w14:paraId="72A3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3230144">
            <w:pPr>
              <w:jc w:val="center"/>
              <w:rPr>
                <w:sz w:val="22"/>
                <w:szCs w:val="22"/>
              </w:rPr>
            </w:pPr>
            <w:r>
              <w:rPr>
                <w:sz w:val="22"/>
                <w:szCs w:val="22"/>
              </w:rPr>
              <w:t>17</w:t>
            </w:r>
          </w:p>
        </w:tc>
        <w:tc>
          <w:tcPr>
            <w:tcW w:w="1752" w:type="dxa"/>
            <w:noWrap/>
            <w:vAlign w:val="center"/>
          </w:tcPr>
          <w:p w14:paraId="10F44933">
            <w:pPr>
              <w:jc w:val="center"/>
              <w:rPr>
                <w:sz w:val="22"/>
                <w:szCs w:val="22"/>
              </w:rPr>
            </w:pPr>
          </w:p>
        </w:tc>
        <w:tc>
          <w:tcPr>
            <w:tcW w:w="944" w:type="dxa"/>
            <w:vMerge w:val="continue"/>
            <w:vAlign w:val="center"/>
          </w:tcPr>
          <w:p w14:paraId="06A8E58C">
            <w:pPr>
              <w:jc w:val="center"/>
              <w:rPr>
                <w:sz w:val="22"/>
                <w:szCs w:val="22"/>
              </w:rPr>
            </w:pPr>
          </w:p>
        </w:tc>
        <w:tc>
          <w:tcPr>
            <w:tcW w:w="1116" w:type="dxa"/>
            <w:vAlign w:val="center"/>
          </w:tcPr>
          <w:p w14:paraId="187AF24B">
            <w:pPr>
              <w:jc w:val="center"/>
              <w:rPr>
                <w:sz w:val="22"/>
                <w:szCs w:val="22"/>
              </w:rPr>
            </w:pPr>
            <w:r>
              <w:rPr>
                <w:sz w:val="22"/>
                <w:szCs w:val="22"/>
              </w:rPr>
              <w:t>16</w:t>
            </w:r>
          </w:p>
        </w:tc>
        <w:tc>
          <w:tcPr>
            <w:tcW w:w="1010" w:type="dxa"/>
            <w:vAlign w:val="center"/>
          </w:tcPr>
          <w:p w14:paraId="3FADF732">
            <w:pPr>
              <w:jc w:val="center"/>
              <w:rPr>
                <w:sz w:val="22"/>
                <w:szCs w:val="22"/>
              </w:rPr>
            </w:pPr>
            <w:r>
              <w:rPr>
                <w:sz w:val="22"/>
                <w:szCs w:val="22"/>
              </w:rPr>
              <w:t>90,00</w:t>
            </w:r>
          </w:p>
        </w:tc>
        <w:tc>
          <w:tcPr>
            <w:tcW w:w="1591" w:type="dxa"/>
            <w:vAlign w:val="center"/>
          </w:tcPr>
          <w:p w14:paraId="0FF10BBD">
            <w:pPr>
              <w:jc w:val="center"/>
              <w:rPr>
                <w:sz w:val="22"/>
                <w:szCs w:val="22"/>
              </w:rPr>
            </w:pPr>
            <w:r>
              <w:rPr>
                <w:sz w:val="22"/>
                <w:szCs w:val="22"/>
              </w:rPr>
              <w:t>855.000.000</w:t>
            </w:r>
          </w:p>
        </w:tc>
        <w:tc>
          <w:tcPr>
            <w:tcW w:w="1700" w:type="dxa"/>
            <w:vAlign w:val="center"/>
          </w:tcPr>
          <w:p w14:paraId="2D5C0B95">
            <w:pPr>
              <w:jc w:val="center"/>
              <w:rPr>
                <w:sz w:val="22"/>
                <w:szCs w:val="22"/>
              </w:rPr>
            </w:pPr>
            <w:r>
              <w:rPr>
                <w:sz w:val="22"/>
                <w:szCs w:val="22"/>
              </w:rPr>
              <w:t>1.321.000.000</w:t>
            </w:r>
          </w:p>
        </w:tc>
        <w:tc>
          <w:tcPr>
            <w:tcW w:w="1140" w:type="dxa"/>
            <w:noWrap/>
            <w:vAlign w:val="center"/>
          </w:tcPr>
          <w:p w14:paraId="3F351644">
            <w:pPr>
              <w:jc w:val="center"/>
              <w:rPr>
                <w:sz w:val="22"/>
                <w:szCs w:val="22"/>
              </w:rPr>
            </w:pPr>
            <w:r>
              <w:rPr>
                <w:sz w:val="22"/>
                <w:szCs w:val="22"/>
              </w:rPr>
              <w:t>1,55%</w:t>
            </w:r>
          </w:p>
        </w:tc>
      </w:tr>
      <w:tr w14:paraId="6EBB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8789EB9">
            <w:pPr>
              <w:jc w:val="center"/>
              <w:rPr>
                <w:sz w:val="22"/>
                <w:szCs w:val="22"/>
              </w:rPr>
            </w:pPr>
            <w:r>
              <w:rPr>
                <w:sz w:val="22"/>
                <w:szCs w:val="22"/>
              </w:rPr>
              <w:t>18</w:t>
            </w:r>
          </w:p>
        </w:tc>
        <w:tc>
          <w:tcPr>
            <w:tcW w:w="1752" w:type="dxa"/>
            <w:noWrap/>
            <w:vAlign w:val="center"/>
          </w:tcPr>
          <w:p w14:paraId="666DEF27">
            <w:pPr>
              <w:jc w:val="center"/>
              <w:rPr>
                <w:sz w:val="22"/>
                <w:szCs w:val="22"/>
              </w:rPr>
            </w:pPr>
          </w:p>
        </w:tc>
        <w:tc>
          <w:tcPr>
            <w:tcW w:w="944" w:type="dxa"/>
            <w:vMerge w:val="continue"/>
            <w:vAlign w:val="center"/>
          </w:tcPr>
          <w:p w14:paraId="227CA41B">
            <w:pPr>
              <w:jc w:val="center"/>
              <w:rPr>
                <w:sz w:val="22"/>
                <w:szCs w:val="22"/>
              </w:rPr>
            </w:pPr>
          </w:p>
        </w:tc>
        <w:tc>
          <w:tcPr>
            <w:tcW w:w="1116" w:type="dxa"/>
            <w:vAlign w:val="center"/>
          </w:tcPr>
          <w:p w14:paraId="22B059BB">
            <w:pPr>
              <w:jc w:val="center"/>
              <w:rPr>
                <w:sz w:val="22"/>
                <w:szCs w:val="22"/>
              </w:rPr>
            </w:pPr>
            <w:r>
              <w:rPr>
                <w:sz w:val="22"/>
                <w:szCs w:val="22"/>
              </w:rPr>
              <w:t>17</w:t>
            </w:r>
          </w:p>
        </w:tc>
        <w:tc>
          <w:tcPr>
            <w:tcW w:w="1010" w:type="dxa"/>
            <w:vAlign w:val="center"/>
          </w:tcPr>
          <w:p w14:paraId="626F1E11">
            <w:pPr>
              <w:jc w:val="center"/>
              <w:rPr>
                <w:sz w:val="22"/>
                <w:szCs w:val="22"/>
              </w:rPr>
            </w:pPr>
            <w:r>
              <w:rPr>
                <w:sz w:val="22"/>
                <w:szCs w:val="22"/>
              </w:rPr>
              <w:t>90,00</w:t>
            </w:r>
          </w:p>
        </w:tc>
        <w:tc>
          <w:tcPr>
            <w:tcW w:w="1591" w:type="dxa"/>
            <w:vAlign w:val="center"/>
          </w:tcPr>
          <w:p w14:paraId="5BE168C9">
            <w:pPr>
              <w:jc w:val="center"/>
              <w:rPr>
                <w:sz w:val="22"/>
                <w:szCs w:val="22"/>
              </w:rPr>
            </w:pPr>
            <w:r>
              <w:rPr>
                <w:sz w:val="22"/>
                <w:szCs w:val="22"/>
              </w:rPr>
              <w:t>855.000.000</w:t>
            </w:r>
          </w:p>
        </w:tc>
        <w:tc>
          <w:tcPr>
            <w:tcW w:w="1700" w:type="dxa"/>
            <w:vAlign w:val="center"/>
          </w:tcPr>
          <w:p w14:paraId="717DD576">
            <w:pPr>
              <w:jc w:val="center"/>
              <w:rPr>
                <w:sz w:val="22"/>
                <w:szCs w:val="22"/>
              </w:rPr>
            </w:pPr>
            <w:r>
              <w:rPr>
                <w:sz w:val="22"/>
                <w:szCs w:val="22"/>
              </w:rPr>
              <w:t>1.320.000.000</w:t>
            </w:r>
          </w:p>
        </w:tc>
        <w:tc>
          <w:tcPr>
            <w:tcW w:w="1140" w:type="dxa"/>
            <w:noWrap/>
            <w:vAlign w:val="center"/>
          </w:tcPr>
          <w:p w14:paraId="03730608">
            <w:pPr>
              <w:jc w:val="center"/>
              <w:rPr>
                <w:sz w:val="22"/>
                <w:szCs w:val="22"/>
              </w:rPr>
            </w:pPr>
            <w:r>
              <w:rPr>
                <w:sz w:val="22"/>
                <w:szCs w:val="22"/>
              </w:rPr>
              <w:t>1,54%</w:t>
            </w:r>
          </w:p>
        </w:tc>
      </w:tr>
      <w:tr w14:paraId="7B45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C9EE788">
            <w:pPr>
              <w:jc w:val="center"/>
              <w:rPr>
                <w:sz w:val="22"/>
                <w:szCs w:val="22"/>
              </w:rPr>
            </w:pPr>
            <w:r>
              <w:rPr>
                <w:sz w:val="22"/>
                <w:szCs w:val="22"/>
              </w:rPr>
              <w:t>19</w:t>
            </w:r>
          </w:p>
        </w:tc>
        <w:tc>
          <w:tcPr>
            <w:tcW w:w="1752" w:type="dxa"/>
            <w:noWrap/>
            <w:vAlign w:val="center"/>
          </w:tcPr>
          <w:p w14:paraId="17250AAD">
            <w:pPr>
              <w:jc w:val="center"/>
              <w:rPr>
                <w:sz w:val="22"/>
                <w:szCs w:val="22"/>
              </w:rPr>
            </w:pPr>
          </w:p>
        </w:tc>
        <w:tc>
          <w:tcPr>
            <w:tcW w:w="944" w:type="dxa"/>
            <w:vMerge w:val="continue"/>
            <w:vAlign w:val="center"/>
          </w:tcPr>
          <w:p w14:paraId="03174028">
            <w:pPr>
              <w:jc w:val="center"/>
              <w:rPr>
                <w:sz w:val="22"/>
                <w:szCs w:val="22"/>
              </w:rPr>
            </w:pPr>
          </w:p>
        </w:tc>
        <w:tc>
          <w:tcPr>
            <w:tcW w:w="1116" w:type="dxa"/>
            <w:vAlign w:val="center"/>
          </w:tcPr>
          <w:p w14:paraId="2E04DF93">
            <w:pPr>
              <w:jc w:val="center"/>
              <w:rPr>
                <w:sz w:val="22"/>
                <w:szCs w:val="22"/>
              </w:rPr>
            </w:pPr>
            <w:r>
              <w:rPr>
                <w:sz w:val="22"/>
                <w:szCs w:val="22"/>
              </w:rPr>
              <w:t>18</w:t>
            </w:r>
          </w:p>
        </w:tc>
        <w:tc>
          <w:tcPr>
            <w:tcW w:w="1010" w:type="dxa"/>
            <w:vAlign w:val="center"/>
          </w:tcPr>
          <w:p w14:paraId="0C01E838">
            <w:pPr>
              <w:jc w:val="center"/>
              <w:rPr>
                <w:sz w:val="22"/>
                <w:szCs w:val="22"/>
              </w:rPr>
            </w:pPr>
            <w:r>
              <w:rPr>
                <w:sz w:val="22"/>
                <w:szCs w:val="22"/>
              </w:rPr>
              <w:t>90,00</w:t>
            </w:r>
          </w:p>
        </w:tc>
        <w:tc>
          <w:tcPr>
            <w:tcW w:w="1591" w:type="dxa"/>
            <w:vAlign w:val="center"/>
          </w:tcPr>
          <w:p w14:paraId="40366058">
            <w:pPr>
              <w:jc w:val="center"/>
              <w:rPr>
                <w:sz w:val="22"/>
                <w:szCs w:val="22"/>
              </w:rPr>
            </w:pPr>
            <w:r>
              <w:rPr>
                <w:sz w:val="22"/>
                <w:szCs w:val="22"/>
              </w:rPr>
              <w:t>855.000.000</w:t>
            </w:r>
          </w:p>
        </w:tc>
        <w:tc>
          <w:tcPr>
            <w:tcW w:w="1700" w:type="dxa"/>
            <w:vAlign w:val="center"/>
          </w:tcPr>
          <w:p w14:paraId="011AEC0F">
            <w:pPr>
              <w:jc w:val="center"/>
              <w:rPr>
                <w:sz w:val="22"/>
                <w:szCs w:val="22"/>
              </w:rPr>
            </w:pPr>
            <w:r>
              <w:rPr>
                <w:sz w:val="22"/>
                <w:szCs w:val="22"/>
              </w:rPr>
              <w:t>1.320.000.000</w:t>
            </w:r>
          </w:p>
        </w:tc>
        <w:tc>
          <w:tcPr>
            <w:tcW w:w="1140" w:type="dxa"/>
            <w:noWrap/>
            <w:vAlign w:val="center"/>
          </w:tcPr>
          <w:p w14:paraId="00DEB7FF">
            <w:pPr>
              <w:jc w:val="center"/>
              <w:rPr>
                <w:sz w:val="22"/>
                <w:szCs w:val="22"/>
              </w:rPr>
            </w:pPr>
            <w:r>
              <w:rPr>
                <w:sz w:val="22"/>
                <w:szCs w:val="22"/>
              </w:rPr>
              <w:t>1,54%</w:t>
            </w:r>
          </w:p>
        </w:tc>
      </w:tr>
      <w:tr w14:paraId="2F80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EEBF63A">
            <w:pPr>
              <w:jc w:val="center"/>
              <w:rPr>
                <w:sz w:val="22"/>
                <w:szCs w:val="22"/>
              </w:rPr>
            </w:pPr>
            <w:r>
              <w:rPr>
                <w:sz w:val="22"/>
                <w:szCs w:val="22"/>
              </w:rPr>
              <w:t>20</w:t>
            </w:r>
          </w:p>
        </w:tc>
        <w:tc>
          <w:tcPr>
            <w:tcW w:w="1752" w:type="dxa"/>
            <w:noWrap/>
            <w:vAlign w:val="center"/>
          </w:tcPr>
          <w:p w14:paraId="2D51DC06">
            <w:pPr>
              <w:jc w:val="center"/>
              <w:rPr>
                <w:sz w:val="22"/>
                <w:szCs w:val="22"/>
              </w:rPr>
            </w:pPr>
          </w:p>
        </w:tc>
        <w:tc>
          <w:tcPr>
            <w:tcW w:w="944" w:type="dxa"/>
            <w:vMerge w:val="continue"/>
            <w:vAlign w:val="center"/>
          </w:tcPr>
          <w:p w14:paraId="38729A90">
            <w:pPr>
              <w:jc w:val="center"/>
              <w:rPr>
                <w:sz w:val="22"/>
                <w:szCs w:val="22"/>
              </w:rPr>
            </w:pPr>
          </w:p>
        </w:tc>
        <w:tc>
          <w:tcPr>
            <w:tcW w:w="1116" w:type="dxa"/>
            <w:vAlign w:val="center"/>
          </w:tcPr>
          <w:p w14:paraId="1FA04BA0">
            <w:pPr>
              <w:jc w:val="center"/>
              <w:rPr>
                <w:sz w:val="22"/>
                <w:szCs w:val="22"/>
              </w:rPr>
            </w:pPr>
            <w:r>
              <w:rPr>
                <w:sz w:val="22"/>
                <w:szCs w:val="22"/>
              </w:rPr>
              <w:t>19</w:t>
            </w:r>
          </w:p>
        </w:tc>
        <w:tc>
          <w:tcPr>
            <w:tcW w:w="1010" w:type="dxa"/>
            <w:vAlign w:val="center"/>
          </w:tcPr>
          <w:p w14:paraId="6381ED46">
            <w:pPr>
              <w:jc w:val="center"/>
              <w:rPr>
                <w:sz w:val="22"/>
                <w:szCs w:val="22"/>
              </w:rPr>
            </w:pPr>
            <w:r>
              <w:rPr>
                <w:sz w:val="22"/>
                <w:szCs w:val="22"/>
              </w:rPr>
              <w:t>90,00</w:t>
            </w:r>
          </w:p>
        </w:tc>
        <w:tc>
          <w:tcPr>
            <w:tcW w:w="1591" w:type="dxa"/>
            <w:vAlign w:val="center"/>
          </w:tcPr>
          <w:p w14:paraId="0A788075">
            <w:pPr>
              <w:jc w:val="center"/>
              <w:rPr>
                <w:sz w:val="22"/>
                <w:szCs w:val="22"/>
              </w:rPr>
            </w:pPr>
            <w:r>
              <w:rPr>
                <w:sz w:val="22"/>
                <w:szCs w:val="22"/>
              </w:rPr>
              <w:t>855.000.000</w:t>
            </w:r>
          </w:p>
        </w:tc>
        <w:tc>
          <w:tcPr>
            <w:tcW w:w="1700" w:type="dxa"/>
            <w:vAlign w:val="center"/>
          </w:tcPr>
          <w:p w14:paraId="4BE4BCCE">
            <w:pPr>
              <w:jc w:val="center"/>
              <w:rPr>
                <w:sz w:val="22"/>
                <w:szCs w:val="22"/>
              </w:rPr>
            </w:pPr>
            <w:r>
              <w:rPr>
                <w:sz w:val="22"/>
                <w:szCs w:val="22"/>
              </w:rPr>
              <w:t>1.306.000.000</w:t>
            </w:r>
          </w:p>
        </w:tc>
        <w:tc>
          <w:tcPr>
            <w:tcW w:w="1140" w:type="dxa"/>
            <w:noWrap/>
            <w:vAlign w:val="center"/>
          </w:tcPr>
          <w:p w14:paraId="212BFC6F">
            <w:pPr>
              <w:jc w:val="center"/>
              <w:rPr>
                <w:sz w:val="22"/>
                <w:szCs w:val="22"/>
              </w:rPr>
            </w:pPr>
            <w:r>
              <w:rPr>
                <w:sz w:val="22"/>
                <w:szCs w:val="22"/>
              </w:rPr>
              <w:t>1,53%</w:t>
            </w:r>
          </w:p>
        </w:tc>
      </w:tr>
      <w:tr w14:paraId="222F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CA971BB">
            <w:pPr>
              <w:jc w:val="center"/>
              <w:rPr>
                <w:sz w:val="22"/>
                <w:szCs w:val="22"/>
              </w:rPr>
            </w:pPr>
            <w:r>
              <w:rPr>
                <w:sz w:val="22"/>
                <w:szCs w:val="22"/>
              </w:rPr>
              <w:t>21</w:t>
            </w:r>
          </w:p>
        </w:tc>
        <w:tc>
          <w:tcPr>
            <w:tcW w:w="1752" w:type="dxa"/>
            <w:noWrap/>
            <w:vAlign w:val="center"/>
          </w:tcPr>
          <w:p w14:paraId="6B7D04AC">
            <w:pPr>
              <w:jc w:val="center"/>
              <w:rPr>
                <w:sz w:val="22"/>
                <w:szCs w:val="22"/>
              </w:rPr>
            </w:pPr>
          </w:p>
        </w:tc>
        <w:tc>
          <w:tcPr>
            <w:tcW w:w="944" w:type="dxa"/>
            <w:vMerge w:val="continue"/>
            <w:vAlign w:val="center"/>
          </w:tcPr>
          <w:p w14:paraId="36293059">
            <w:pPr>
              <w:jc w:val="center"/>
              <w:rPr>
                <w:sz w:val="22"/>
                <w:szCs w:val="22"/>
              </w:rPr>
            </w:pPr>
          </w:p>
        </w:tc>
        <w:tc>
          <w:tcPr>
            <w:tcW w:w="1116" w:type="dxa"/>
            <w:vAlign w:val="center"/>
          </w:tcPr>
          <w:p w14:paraId="65309587">
            <w:pPr>
              <w:jc w:val="center"/>
              <w:rPr>
                <w:sz w:val="22"/>
                <w:szCs w:val="22"/>
              </w:rPr>
            </w:pPr>
            <w:r>
              <w:rPr>
                <w:sz w:val="22"/>
                <w:szCs w:val="22"/>
              </w:rPr>
              <w:t>20</w:t>
            </w:r>
          </w:p>
        </w:tc>
        <w:tc>
          <w:tcPr>
            <w:tcW w:w="1010" w:type="dxa"/>
            <w:vAlign w:val="center"/>
          </w:tcPr>
          <w:p w14:paraId="13E55C06">
            <w:pPr>
              <w:jc w:val="center"/>
              <w:rPr>
                <w:sz w:val="22"/>
                <w:szCs w:val="22"/>
              </w:rPr>
            </w:pPr>
            <w:r>
              <w:rPr>
                <w:sz w:val="22"/>
                <w:szCs w:val="22"/>
              </w:rPr>
              <w:t>90,00</w:t>
            </w:r>
          </w:p>
        </w:tc>
        <w:tc>
          <w:tcPr>
            <w:tcW w:w="1591" w:type="dxa"/>
            <w:vAlign w:val="center"/>
          </w:tcPr>
          <w:p w14:paraId="61080EF2">
            <w:pPr>
              <w:jc w:val="center"/>
              <w:rPr>
                <w:sz w:val="22"/>
                <w:szCs w:val="22"/>
              </w:rPr>
            </w:pPr>
            <w:r>
              <w:rPr>
                <w:sz w:val="22"/>
                <w:szCs w:val="22"/>
              </w:rPr>
              <w:t>855.000.000</w:t>
            </w:r>
          </w:p>
        </w:tc>
        <w:tc>
          <w:tcPr>
            <w:tcW w:w="1700" w:type="dxa"/>
            <w:vAlign w:val="center"/>
          </w:tcPr>
          <w:p w14:paraId="0D323FAC">
            <w:pPr>
              <w:jc w:val="center"/>
              <w:rPr>
                <w:sz w:val="22"/>
                <w:szCs w:val="22"/>
              </w:rPr>
            </w:pPr>
            <w:r>
              <w:rPr>
                <w:sz w:val="22"/>
                <w:szCs w:val="22"/>
              </w:rPr>
              <w:t>1.370.000.000</w:t>
            </w:r>
          </w:p>
        </w:tc>
        <w:tc>
          <w:tcPr>
            <w:tcW w:w="1140" w:type="dxa"/>
            <w:noWrap/>
            <w:vAlign w:val="center"/>
          </w:tcPr>
          <w:p w14:paraId="5BC15039">
            <w:pPr>
              <w:jc w:val="center"/>
              <w:rPr>
                <w:sz w:val="22"/>
                <w:szCs w:val="22"/>
              </w:rPr>
            </w:pPr>
            <w:r>
              <w:rPr>
                <w:sz w:val="22"/>
                <w:szCs w:val="22"/>
              </w:rPr>
              <w:t>1,60%</w:t>
            </w:r>
          </w:p>
        </w:tc>
      </w:tr>
      <w:tr w14:paraId="0E26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10FD69D">
            <w:pPr>
              <w:jc w:val="center"/>
              <w:rPr>
                <w:sz w:val="22"/>
                <w:szCs w:val="22"/>
              </w:rPr>
            </w:pPr>
            <w:r>
              <w:rPr>
                <w:sz w:val="22"/>
                <w:szCs w:val="22"/>
              </w:rPr>
              <w:t>22</w:t>
            </w:r>
          </w:p>
        </w:tc>
        <w:tc>
          <w:tcPr>
            <w:tcW w:w="1752" w:type="dxa"/>
            <w:noWrap/>
            <w:vAlign w:val="center"/>
          </w:tcPr>
          <w:p w14:paraId="27A8F9F0">
            <w:pPr>
              <w:jc w:val="center"/>
              <w:rPr>
                <w:sz w:val="22"/>
                <w:szCs w:val="22"/>
              </w:rPr>
            </w:pPr>
          </w:p>
        </w:tc>
        <w:tc>
          <w:tcPr>
            <w:tcW w:w="944" w:type="dxa"/>
            <w:vMerge w:val="continue"/>
            <w:vAlign w:val="center"/>
          </w:tcPr>
          <w:p w14:paraId="188928CF">
            <w:pPr>
              <w:jc w:val="center"/>
              <w:rPr>
                <w:sz w:val="22"/>
                <w:szCs w:val="22"/>
              </w:rPr>
            </w:pPr>
          </w:p>
        </w:tc>
        <w:tc>
          <w:tcPr>
            <w:tcW w:w="1116" w:type="dxa"/>
            <w:vAlign w:val="center"/>
          </w:tcPr>
          <w:p w14:paraId="60EF3EA6">
            <w:pPr>
              <w:jc w:val="center"/>
              <w:rPr>
                <w:sz w:val="22"/>
                <w:szCs w:val="22"/>
              </w:rPr>
            </w:pPr>
            <w:r>
              <w:rPr>
                <w:sz w:val="22"/>
                <w:szCs w:val="22"/>
              </w:rPr>
              <w:t>21</w:t>
            </w:r>
          </w:p>
        </w:tc>
        <w:tc>
          <w:tcPr>
            <w:tcW w:w="1010" w:type="dxa"/>
            <w:vAlign w:val="center"/>
          </w:tcPr>
          <w:p w14:paraId="55436203">
            <w:pPr>
              <w:jc w:val="center"/>
              <w:rPr>
                <w:sz w:val="22"/>
                <w:szCs w:val="22"/>
              </w:rPr>
            </w:pPr>
            <w:r>
              <w:rPr>
                <w:sz w:val="22"/>
                <w:szCs w:val="22"/>
              </w:rPr>
              <w:t>90,00</w:t>
            </w:r>
          </w:p>
        </w:tc>
        <w:tc>
          <w:tcPr>
            <w:tcW w:w="1591" w:type="dxa"/>
            <w:vAlign w:val="center"/>
          </w:tcPr>
          <w:p w14:paraId="1513E2A9">
            <w:pPr>
              <w:jc w:val="center"/>
              <w:rPr>
                <w:sz w:val="22"/>
                <w:szCs w:val="22"/>
              </w:rPr>
            </w:pPr>
            <w:r>
              <w:rPr>
                <w:sz w:val="22"/>
                <w:szCs w:val="22"/>
              </w:rPr>
              <w:t>855.000.000</w:t>
            </w:r>
          </w:p>
        </w:tc>
        <w:tc>
          <w:tcPr>
            <w:tcW w:w="1700" w:type="dxa"/>
            <w:vAlign w:val="center"/>
          </w:tcPr>
          <w:p w14:paraId="36EB3181">
            <w:pPr>
              <w:jc w:val="center"/>
              <w:rPr>
                <w:sz w:val="22"/>
                <w:szCs w:val="22"/>
              </w:rPr>
            </w:pPr>
            <w:r>
              <w:rPr>
                <w:sz w:val="22"/>
                <w:szCs w:val="22"/>
              </w:rPr>
              <w:t>1.368.000.000</w:t>
            </w:r>
          </w:p>
        </w:tc>
        <w:tc>
          <w:tcPr>
            <w:tcW w:w="1140" w:type="dxa"/>
            <w:noWrap/>
            <w:vAlign w:val="center"/>
          </w:tcPr>
          <w:p w14:paraId="77D6FFF8">
            <w:pPr>
              <w:jc w:val="center"/>
              <w:rPr>
                <w:sz w:val="22"/>
                <w:szCs w:val="22"/>
              </w:rPr>
            </w:pPr>
            <w:r>
              <w:rPr>
                <w:sz w:val="22"/>
                <w:szCs w:val="22"/>
              </w:rPr>
              <w:t>1,60%</w:t>
            </w:r>
          </w:p>
        </w:tc>
      </w:tr>
      <w:tr w14:paraId="590A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26DA50C">
            <w:pPr>
              <w:jc w:val="center"/>
              <w:rPr>
                <w:sz w:val="22"/>
                <w:szCs w:val="22"/>
              </w:rPr>
            </w:pPr>
            <w:r>
              <w:rPr>
                <w:sz w:val="22"/>
                <w:szCs w:val="22"/>
              </w:rPr>
              <w:t>23</w:t>
            </w:r>
          </w:p>
        </w:tc>
        <w:tc>
          <w:tcPr>
            <w:tcW w:w="1752" w:type="dxa"/>
            <w:noWrap/>
            <w:vAlign w:val="center"/>
          </w:tcPr>
          <w:p w14:paraId="4361818B">
            <w:pPr>
              <w:jc w:val="center"/>
              <w:rPr>
                <w:sz w:val="22"/>
                <w:szCs w:val="22"/>
              </w:rPr>
            </w:pPr>
          </w:p>
        </w:tc>
        <w:tc>
          <w:tcPr>
            <w:tcW w:w="944" w:type="dxa"/>
            <w:vMerge w:val="continue"/>
            <w:vAlign w:val="center"/>
          </w:tcPr>
          <w:p w14:paraId="0EB39694">
            <w:pPr>
              <w:jc w:val="center"/>
              <w:rPr>
                <w:sz w:val="22"/>
                <w:szCs w:val="22"/>
              </w:rPr>
            </w:pPr>
          </w:p>
        </w:tc>
        <w:tc>
          <w:tcPr>
            <w:tcW w:w="1116" w:type="dxa"/>
            <w:vAlign w:val="center"/>
          </w:tcPr>
          <w:p w14:paraId="1AA47785">
            <w:pPr>
              <w:jc w:val="center"/>
              <w:rPr>
                <w:sz w:val="22"/>
                <w:szCs w:val="22"/>
              </w:rPr>
            </w:pPr>
            <w:r>
              <w:rPr>
                <w:sz w:val="22"/>
                <w:szCs w:val="22"/>
              </w:rPr>
              <w:t>22</w:t>
            </w:r>
          </w:p>
        </w:tc>
        <w:tc>
          <w:tcPr>
            <w:tcW w:w="1010" w:type="dxa"/>
            <w:vAlign w:val="center"/>
          </w:tcPr>
          <w:p w14:paraId="3289F54B">
            <w:pPr>
              <w:jc w:val="center"/>
              <w:rPr>
                <w:sz w:val="22"/>
                <w:szCs w:val="22"/>
              </w:rPr>
            </w:pPr>
            <w:r>
              <w:rPr>
                <w:sz w:val="22"/>
                <w:szCs w:val="22"/>
              </w:rPr>
              <w:t>90,00</w:t>
            </w:r>
          </w:p>
        </w:tc>
        <w:tc>
          <w:tcPr>
            <w:tcW w:w="1591" w:type="dxa"/>
            <w:vAlign w:val="center"/>
          </w:tcPr>
          <w:p w14:paraId="71941F20">
            <w:pPr>
              <w:jc w:val="center"/>
              <w:rPr>
                <w:sz w:val="22"/>
                <w:szCs w:val="22"/>
              </w:rPr>
            </w:pPr>
            <w:r>
              <w:rPr>
                <w:sz w:val="22"/>
                <w:szCs w:val="22"/>
              </w:rPr>
              <w:t>855.000.000</w:t>
            </w:r>
          </w:p>
        </w:tc>
        <w:tc>
          <w:tcPr>
            <w:tcW w:w="1700" w:type="dxa"/>
            <w:vAlign w:val="center"/>
          </w:tcPr>
          <w:p w14:paraId="5A7B0982">
            <w:pPr>
              <w:jc w:val="center"/>
              <w:rPr>
                <w:sz w:val="22"/>
                <w:szCs w:val="22"/>
              </w:rPr>
            </w:pPr>
            <w:r>
              <w:rPr>
                <w:sz w:val="22"/>
                <w:szCs w:val="22"/>
              </w:rPr>
              <w:t>1.320.000.000</w:t>
            </w:r>
          </w:p>
        </w:tc>
        <w:tc>
          <w:tcPr>
            <w:tcW w:w="1140" w:type="dxa"/>
            <w:noWrap/>
            <w:vAlign w:val="center"/>
          </w:tcPr>
          <w:p w14:paraId="3D2895DF">
            <w:pPr>
              <w:jc w:val="center"/>
              <w:rPr>
                <w:sz w:val="22"/>
                <w:szCs w:val="22"/>
              </w:rPr>
            </w:pPr>
            <w:r>
              <w:rPr>
                <w:sz w:val="22"/>
                <w:szCs w:val="22"/>
              </w:rPr>
              <w:t>1,54%</w:t>
            </w:r>
          </w:p>
        </w:tc>
      </w:tr>
      <w:tr w14:paraId="0DB1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CBBE757">
            <w:pPr>
              <w:jc w:val="center"/>
              <w:rPr>
                <w:sz w:val="22"/>
                <w:szCs w:val="22"/>
              </w:rPr>
            </w:pPr>
            <w:r>
              <w:rPr>
                <w:sz w:val="22"/>
                <w:szCs w:val="22"/>
              </w:rPr>
              <w:t>24</w:t>
            </w:r>
          </w:p>
        </w:tc>
        <w:tc>
          <w:tcPr>
            <w:tcW w:w="1752" w:type="dxa"/>
            <w:noWrap/>
            <w:vAlign w:val="center"/>
          </w:tcPr>
          <w:p w14:paraId="4FA6FA94">
            <w:pPr>
              <w:jc w:val="center"/>
              <w:rPr>
                <w:sz w:val="22"/>
                <w:szCs w:val="22"/>
              </w:rPr>
            </w:pPr>
          </w:p>
        </w:tc>
        <w:tc>
          <w:tcPr>
            <w:tcW w:w="944" w:type="dxa"/>
            <w:vMerge w:val="continue"/>
            <w:vAlign w:val="center"/>
          </w:tcPr>
          <w:p w14:paraId="53E7D0E9">
            <w:pPr>
              <w:jc w:val="center"/>
              <w:rPr>
                <w:sz w:val="22"/>
                <w:szCs w:val="22"/>
              </w:rPr>
            </w:pPr>
          </w:p>
        </w:tc>
        <w:tc>
          <w:tcPr>
            <w:tcW w:w="1116" w:type="dxa"/>
            <w:vAlign w:val="center"/>
          </w:tcPr>
          <w:p w14:paraId="7F466FFB">
            <w:pPr>
              <w:jc w:val="center"/>
              <w:rPr>
                <w:sz w:val="22"/>
                <w:szCs w:val="22"/>
              </w:rPr>
            </w:pPr>
            <w:r>
              <w:rPr>
                <w:sz w:val="22"/>
                <w:szCs w:val="22"/>
              </w:rPr>
              <w:t>23</w:t>
            </w:r>
          </w:p>
        </w:tc>
        <w:tc>
          <w:tcPr>
            <w:tcW w:w="1010" w:type="dxa"/>
            <w:vAlign w:val="center"/>
          </w:tcPr>
          <w:p w14:paraId="4C42DB41">
            <w:pPr>
              <w:jc w:val="center"/>
              <w:rPr>
                <w:sz w:val="22"/>
                <w:szCs w:val="22"/>
              </w:rPr>
            </w:pPr>
            <w:r>
              <w:rPr>
                <w:sz w:val="22"/>
                <w:szCs w:val="22"/>
              </w:rPr>
              <w:t>90,00</w:t>
            </w:r>
          </w:p>
        </w:tc>
        <w:tc>
          <w:tcPr>
            <w:tcW w:w="1591" w:type="dxa"/>
            <w:vAlign w:val="center"/>
          </w:tcPr>
          <w:p w14:paraId="3BE23C2F">
            <w:pPr>
              <w:jc w:val="center"/>
              <w:rPr>
                <w:sz w:val="22"/>
                <w:szCs w:val="22"/>
              </w:rPr>
            </w:pPr>
            <w:r>
              <w:rPr>
                <w:sz w:val="22"/>
                <w:szCs w:val="22"/>
              </w:rPr>
              <w:t>855.000.000</w:t>
            </w:r>
          </w:p>
        </w:tc>
        <w:tc>
          <w:tcPr>
            <w:tcW w:w="1700" w:type="dxa"/>
            <w:vAlign w:val="center"/>
          </w:tcPr>
          <w:p w14:paraId="712B9C4E">
            <w:pPr>
              <w:jc w:val="center"/>
              <w:rPr>
                <w:sz w:val="22"/>
                <w:szCs w:val="22"/>
              </w:rPr>
            </w:pPr>
            <w:r>
              <w:rPr>
                <w:sz w:val="22"/>
                <w:szCs w:val="22"/>
              </w:rPr>
              <w:t>1.310.000.000</w:t>
            </w:r>
          </w:p>
        </w:tc>
        <w:tc>
          <w:tcPr>
            <w:tcW w:w="1140" w:type="dxa"/>
            <w:noWrap/>
            <w:vAlign w:val="center"/>
          </w:tcPr>
          <w:p w14:paraId="3118563F">
            <w:pPr>
              <w:jc w:val="center"/>
              <w:rPr>
                <w:sz w:val="22"/>
                <w:szCs w:val="22"/>
              </w:rPr>
            </w:pPr>
            <w:r>
              <w:rPr>
                <w:sz w:val="22"/>
                <w:szCs w:val="22"/>
              </w:rPr>
              <w:t>1,53%</w:t>
            </w:r>
          </w:p>
        </w:tc>
      </w:tr>
      <w:tr w14:paraId="41E5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C253847">
            <w:pPr>
              <w:jc w:val="center"/>
              <w:rPr>
                <w:sz w:val="22"/>
                <w:szCs w:val="22"/>
              </w:rPr>
            </w:pPr>
            <w:r>
              <w:rPr>
                <w:sz w:val="22"/>
                <w:szCs w:val="22"/>
              </w:rPr>
              <w:t>25</w:t>
            </w:r>
          </w:p>
        </w:tc>
        <w:tc>
          <w:tcPr>
            <w:tcW w:w="1752" w:type="dxa"/>
            <w:noWrap/>
            <w:vAlign w:val="center"/>
          </w:tcPr>
          <w:p w14:paraId="6AECF327">
            <w:pPr>
              <w:jc w:val="center"/>
              <w:rPr>
                <w:sz w:val="22"/>
                <w:szCs w:val="22"/>
              </w:rPr>
            </w:pPr>
          </w:p>
        </w:tc>
        <w:tc>
          <w:tcPr>
            <w:tcW w:w="944" w:type="dxa"/>
            <w:vMerge w:val="continue"/>
            <w:vAlign w:val="center"/>
          </w:tcPr>
          <w:p w14:paraId="1F3906A5">
            <w:pPr>
              <w:jc w:val="center"/>
              <w:rPr>
                <w:sz w:val="22"/>
                <w:szCs w:val="22"/>
              </w:rPr>
            </w:pPr>
          </w:p>
        </w:tc>
        <w:tc>
          <w:tcPr>
            <w:tcW w:w="1116" w:type="dxa"/>
            <w:vAlign w:val="center"/>
          </w:tcPr>
          <w:p w14:paraId="69C0BBEF">
            <w:pPr>
              <w:jc w:val="center"/>
              <w:rPr>
                <w:sz w:val="22"/>
                <w:szCs w:val="22"/>
              </w:rPr>
            </w:pPr>
            <w:r>
              <w:rPr>
                <w:sz w:val="22"/>
                <w:szCs w:val="22"/>
              </w:rPr>
              <w:t>24</w:t>
            </w:r>
          </w:p>
        </w:tc>
        <w:tc>
          <w:tcPr>
            <w:tcW w:w="1010" w:type="dxa"/>
            <w:vAlign w:val="center"/>
          </w:tcPr>
          <w:p w14:paraId="21F6B16B">
            <w:pPr>
              <w:jc w:val="center"/>
              <w:rPr>
                <w:sz w:val="22"/>
                <w:szCs w:val="22"/>
              </w:rPr>
            </w:pPr>
            <w:r>
              <w:rPr>
                <w:sz w:val="22"/>
                <w:szCs w:val="22"/>
              </w:rPr>
              <w:t>90,00</w:t>
            </w:r>
          </w:p>
        </w:tc>
        <w:tc>
          <w:tcPr>
            <w:tcW w:w="1591" w:type="dxa"/>
            <w:vAlign w:val="center"/>
          </w:tcPr>
          <w:p w14:paraId="10011770">
            <w:pPr>
              <w:jc w:val="center"/>
              <w:rPr>
                <w:sz w:val="22"/>
                <w:szCs w:val="22"/>
              </w:rPr>
            </w:pPr>
            <w:r>
              <w:rPr>
                <w:sz w:val="22"/>
                <w:szCs w:val="22"/>
              </w:rPr>
              <w:t>855.000.000</w:t>
            </w:r>
          </w:p>
        </w:tc>
        <w:tc>
          <w:tcPr>
            <w:tcW w:w="1700" w:type="dxa"/>
            <w:vAlign w:val="center"/>
          </w:tcPr>
          <w:p w14:paraId="14ECD4B2">
            <w:pPr>
              <w:jc w:val="center"/>
              <w:rPr>
                <w:sz w:val="22"/>
                <w:szCs w:val="22"/>
              </w:rPr>
            </w:pPr>
            <w:r>
              <w:rPr>
                <w:sz w:val="22"/>
                <w:szCs w:val="22"/>
              </w:rPr>
              <w:t>1.310.000.000</w:t>
            </w:r>
          </w:p>
        </w:tc>
        <w:tc>
          <w:tcPr>
            <w:tcW w:w="1140" w:type="dxa"/>
            <w:noWrap/>
            <w:vAlign w:val="center"/>
          </w:tcPr>
          <w:p w14:paraId="5CA85C32">
            <w:pPr>
              <w:jc w:val="center"/>
              <w:rPr>
                <w:sz w:val="22"/>
                <w:szCs w:val="22"/>
              </w:rPr>
            </w:pPr>
            <w:r>
              <w:rPr>
                <w:sz w:val="22"/>
                <w:szCs w:val="22"/>
              </w:rPr>
              <w:t>1,53%</w:t>
            </w:r>
          </w:p>
        </w:tc>
      </w:tr>
      <w:tr w14:paraId="2ADF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9ADE8BB">
            <w:pPr>
              <w:jc w:val="center"/>
              <w:rPr>
                <w:sz w:val="22"/>
                <w:szCs w:val="22"/>
              </w:rPr>
            </w:pPr>
            <w:r>
              <w:rPr>
                <w:sz w:val="22"/>
                <w:szCs w:val="22"/>
              </w:rPr>
              <w:t>26</w:t>
            </w:r>
          </w:p>
        </w:tc>
        <w:tc>
          <w:tcPr>
            <w:tcW w:w="1752" w:type="dxa"/>
            <w:noWrap/>
            <w:vAlign w:val="center"/>
          </w:tcPr>
          <w:p w14:paraId="0FC61AD0">
            <w:pPr>
              <w:jc w:val="center"/>
              <w:rPr>
                <w:sz w:val="22"/>
                <w:szCs w:val="22"/>
              </w:rPr>
            </w:pPr>
          </w:p>
        </w:tc>
        <w:tc>
          <w:tcPr>
            <w:tcW w:w="944" w:type="dxa"/>
            <w:vMerge w:val="continue"/>
            <w:vAlign w:val="center"/>
          </w:tcPr>
          <w:p w14:paraId="3DFF5EFA">
            <w:pPr>
              <w:jc w:val="center"/>
              <w:rPr>
                <w:sz w:val="22"/>
                <w:szCs w:val="22"/>
              </w:rPr>
            </w:pPr>
          </w:p>
        </w:tc>
        <w:tc>
          <w:tcPr>
            <w:tcW w:w="1116" w:type="dxa"/>
            <w:vAlign w:val="center"/>
          </w:tcPr>
          <w:p w14:paraId="08EB6641">
            <w:pPr>
              <w:jc w:val="center"/>
              <w:rPr>
                <w:sz w:val="22"/>
                <w:szCs w:val="22"/>
              </w:rPr>
            </w:pPr>
            <w:r>
              <w:rPr>
                <w:sz w:val="22"/>
                <w:szCs w:val="22"/>
              </w:rPr>
              <w:t>25</w:t>
            </w:r>
          </w:p>
        </w:tc>
        <w:tc>
          <w:tcPr>
            <w:tcW w:w="1010" w:type="dxa"/>
            <w:vAlign w:val="center"/>
          </w:tcPr>
          <w:p w14:paraId="49BE7F63">
            <w:pPr>
              <w:jc w:val="center"/>
              <w:rPr>
                <w:sz w:val="22"/>
                <w:szCs w:val="22"/>
              </w:rPr>
            </w:pPr>
            <w:r>
              <w:rPr>
                <w:sz w:val="22"/>
                <w:szCs w:val="22"/>
              </w:rPr>
              <w:t>90,00</w:t>
            </w:r>
          </w:p>
        </w:tc>
        <w:tc>
          <w:tcPr>
            <w:tcW w:w="1591" w:type="dxa"/>
            <w:vAlign w:val="center"/>
          </w:tcPr>
          <w:p w14:paraId="2C29E683">
            <w:pPr>
              <w:jc w:val="center"/>
              <w:rPr>
                <w:sz w:val="22"/>
                <w:szCs w:val="22"/>
              </w:rPr>
            </w:pPr>
            <w:r>
              <w:rPr>
                <w:sz w:val="22"/>
                <w:szCs w:val="22"/>
              </w:rPr>
              <w:t>855.000.000</w:t>
            </w:r>
          </w:p>
        </w:tc>
        <w:tc>
          <w:tcPr>
            <w:tcW w:w="1700" w:type="dxa"/>
            <w:vAlign w:val="center"/>
          </w:tcPr>
          <w:p w14:paraId="5E7CF87E">
            <w:pPr>
              <w:jc w:val="center"/>
              <w:rPr>
                <w:sz w:val="22"/>
                <w:szCs w:val="22"/>
              </w:rPr>
            </w:pPr>
            <w:r>
              <w:rPr>
                <w:sz w:val="22"/>
                <w:szCs w:val="22"/>
              </w:rPr>
              <w:t>1.320.000.000</w:t>
            </w:r>
          </w:p>
        </w:tc>
        <w:tc>
          <w:tcPr>
            <w:tcW w:w="1140" w:type="dxa"/>
            <w:noWrap/>
            <w:vAlign w:val="center"/>
          </w:tcPr>
          <w:p w14:paraId="7B55EFDB">
            <w:pPr>
              <w:jc w:val="center"/>
              <w:rPr>
                <w:sz w:val="22"/>
                <w:szCs w:val="22"/>
              </w:rPr>
            </w:pPr>
            <w:r>
              <w:rPr>
                <w:sz w:val="22"/>
                <w:szCs w:val="22"/>
              </w:rPr>
              <w:t>1,54%</w:t>
            </w:r>
          </w:p>
        </w:tc>
      </w:tr>
      <w:tr w14:paraId="664E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2478CFF">
            <w:pPr>
              <w:jc w:val="center"/>
              <w:rPr>
                <w:sz w:val="22"/>
                <w:szCs w:val="22"/>
              </w:rPr>
            </w:pPr>
            <w:r>
              <w:rPr>
                <w:sz w:val="22"/>
                <w:szCs w:val="22"/>
              </w:rPr>
              <w:t>27</w:t>
            </w:r>
          </w:p>
        </w:tc>
        <w:tc>
          <w:tcPr>
            <w:tcW w:w="1752" w:type="dxa"/>
            <w:noWrap/>
            <w:vAlign w:val="center"/>
          </w:tcPr>
          <w:p w14:paraId="6DF901FA">
            <w:pPr>
              <w:jc w:val="center"/>
              <w:rPr>
                <w:sz w:val="22"/>
                <w:szCs w:val="22"/>
              </w:rPr>
            </w:pPr>
          </w:p>
        </w:tc>
        <w:tc>
          <w:tcPr>
            <w:tcW w:w="944" w:type="dxa"/>
            <w:vMerge w:val="continue"/>
            <w:vAlign w:val="center"/>
          </w:tcPr>
          <w:p w14:paraId="04CDD0E1">
            <w:pPr>
              <w:jc w:val="center"/>
              <w:rPr>
                <w:sz w:val="22"/>
                <w:szCs w:val="22"/>
              </w:rPr>
            </w:pPr>
          </w:p>
        </w:tc>
        <w:tc>
          <w:tcPr>
            <w:tcW w:w="1116" w:type="dxa"/>
            <w:vAlign w:val="center"/>
          </w:tcPr>
          <w:p w14:paraId="66D3015B">
            <w:pPr>
              <w:jc w:val="center"/>
              <w:rPr>
                <w:sz w:val="22"/>
                <w:szCs w:val="22"/>
              </w:rPr>
            </w:pPr>
            <w:r>
              <w:rPr>
                <w:sz w:val="22"/>
                <w:szCs w:val="22"/>
              </w:rPr>
              <w:t>26</w:t>
            </w:r>
          </w:p>
        </w:tc>
        <w:tc>
          <w:tcPr>
            <w:tcW w:w="1010" w:type="dxa"/>
            <w:vAlign w:val="center"/>
          </w:tcPr>
          <w:p w14:paraId="47E7F40C">
            <w:pPr>
              <w:jc w:val="center"/>
              <w:rPr>
                <w:sz w:val="22"/>
                <w:szCs w:val="22"/>
              </w:rPr>
            </w:pPr>
            <w:r>
              <w:rPr>
                <w:sz w:val="22"/>
                <w:szCs w:val="22"/>
              </w:rPr>
              <w:t>90,00</w:t>
            </w:r>
          </w:p>
        </w:tc>
        <w:tc>
          <w:tcPr>
            <w:tcW w:w="1591" w:type="dxa"/>
            <w:vAlign w:val="center"/>
          </w:tcPr>
          <w:p w14:paraId="288A5118">
            <w:pPr>
              <w:jc w:val="center"/>
              <w:rPr>
                <w:sz w:val="22"/>
                <w:szCs w:val="22"/>
              </w:rPr>
            </w:pPr>
            <w:r>
              <w:rPr>
                <w:sz w:val="22"/>
                <w:szCs w:val="22"/>
              </w:rPr>
              <w:t>855.000.000</w:t>
            </w:r>
          </w:p>
        </w:tc>
        <w:tc>
          <w:tcPr>
            <w:tcW w:w="1700" w:type="dxa"/>
            <w:vAlign w:val="center"/>
          </w:tcPr>
          <w:p w14:paraId="5D55CC4D">
            <w:pPr>
              <w:jc w:val="center"/>
              <w:rPr>
                <w:sz w:val="22"/>
                <w:szCs w:val="22"/>
              </w:rPr>
            </w:pPr>
            <w:r>
              <w:rPr>
                <w:sz w:val="22"/>
                <w:szCs w:val="22"/>
              </w:rPr>
              <w:t>1.323.000.000</w:t>
            </w:r>
          </w:p>
        </w:tc>
        <w:tc>
          <w:tcPr>
            <w:tcW w:w="1140" w:type="dxa"/>
            <w:noWrap/>
            <w:vAlign w:val="center"/>
          </w:tcPr>
          <w:p w14:paraId="3F8B83DC">
            <w:pPr>
              <w:jc w:val="center"/>
              <w:rPr>
                <w:sz w:val="22"/>
                <w:szCs w:val="22"/>
              </w:rPr>
            </w:pPr>
            <w:r>
              <w:rPr>
                <w:sz w:val="22"/>
                <w:szCs w:val="22"/>
              </w:rPr>
              <w:t>1,55%</w:t>
            </w:r>
          </w:p>
        </w:tc>
      </w:tr>
      <w:tr w14:paraId="2F81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6C2CD48">
            <w:pPr>
              <w:jc w:val="center"/>
              <w:rPr>
                <w:sz w:val="22"/>
                <w:szCs w:val="22"/>
              </w:rPr>
            </w:pPr>
            <w:r>
              <w:rPr>
                <w:sz w:val="22"/>
                <w:szCs w:val="22"/>
              </w:rPr>
              <w:t>28</w:t>
            </w:r>
          </w:p>
        </w:tc>
        <w:tc>
          <w:tcPr>
            <w:tcW w:w="1752" w:type="dxa"/>
            <w:noWrap/>
            <w:vAlign w:val="center"/>
          </w:tcPr>
          <w:p w14:paraId="5A4A259C">
            <w:pPr>
              <w:jc w:val="center"/>
              <w:rPr>
                <w:sz w:val="22"/>
                <w:szCs w:val="22"/>
              </w:rPr>
            </w:pPr>
          </w:p>
        </w:tc>
        <w:tc>
          <w:tcPr>
            <w:tcW w:w="944" w:type="dxa"/>
            <w:vMerge w:val="continue"/>
            <w:vAlign w:val="center"/>
          </w:tcPr>
          <w:p w14:paraId="6991C56F">
            <w:pPr>
              <w:jc w:val="center"/>
              <w:rPr>
                <w:sz w:val="22"/>
                <w:szCs w:val="22"/>
              </w:rPr>
            </w:pPr>
          </w:p>
        </w:tc>
        <w:tc>
          <w:tcPr>
            <w:tcW w:w="1116" w:type="dxa"/>
            <w:vAlign w:val="center"/>
          </w:tcPr>
          <w:p w14:paraId="18502585">
            <w:pPr>
              <w:jc w:val="center"/>
              <w:rPr>
                <w:sz w:val="22"/>
                <w:szCs w:val="22"/>
              </w:rPr>
            </w:pPr>
            <w:r>
              <w:rPr>
                <w:sz w:val="22"/>
                <w:szCs w:val="22"/>
              </w:rPr>
              <w:t>27</w:t>
            </w:r>
          </w:p>
        </w:tc>
        <w:tc>
          <w:tcPr>
            <w:tcW w:w="1010" w:type="dxa"/>
            <w:vAlign w:val="center"/>
          </w:tcPr>
          <w:p w14:paraId="55BC0BE6">
            <w:pPr>
              <w:jc w:val="center"/>
              <w:rPr>
                <w:sz w:val="22"/>
                <w:szCs w:val="22"/>
              </w:rPr>
            </w:pPr>
            <w:r>
              <w:rPr>
                <w:sz w:val="22"/>
                <w:szCs w:val="22"/>
              </w:rPr>
              <w:t>90,00</w:t>
            </w:r>
          </w:p>
        </w:tc>
        <w:tc>
          <w:tcPr>
            <w:tcW w:w="1591" w:type="dxa"/>
            <w:vAlign w:val="center"/>
          </w:tcPr>
          <w:p w14:paraId="2A215351">
            <w:pPr>
              <w:jc w:val="center"/>
              <w:rPr>
                <w:sz w:val="22"/>
                <w:szCs w:val="22"/>
              </w:rPr>
            </w:pPr>
            <w:r>
              <w:rPr>
                <w:sz w:val="22"/>
                <w:szCs w:val="22"/>
              </w:rPr>
              <w:t>855.000.000</w:t>
            </w:r>
          </w:p>
        </w:tc>
        <w:tc>
          <w:tcPr>
            <w:tcW w:w="1700" w:type="dxa"/>
            <w:vAlign w:val="center"/>
          </w:tcPr>
          <w:p w14:paraId="5B861F51">
            <w:pPr>
              <w:jc w:val="center"/>
              <w:rPr>
                <w:sz w:val="22"/>
                <w:szCs w:val="22"/>
              </w:rPr>
            </w:pPr>
            <w:r>
              <w:rPr>
                <w:sz w:val="22"/>
                <w:szCs w:val="22"/>
              </w:rPr>
              <w:t>1.309.000.000</w:t>
            </w:r>
          </w:p>
        </w:tc>
        <w:tc>
          <w:tcPr>
            <w:tcW w:w="1140" w:type="dxa"/>
            <w:noWrap/>
            <w:vAlign w:val="center"/>
          </w:tcPr>
          <w:p w14:paraId="436C5EE9">
            <w:pPr>
              <w:jc w:val="center"/>
              <w:rPr>
                <w:sz w:val="22"/>
                <w:szCs w:val="22"/>
              </w:rPr>
            </w:pPr>
            <w:r>
              <w:rPr>
                <w:sz w:val="22"/>
                <w:szCs w:val="22"/>
              </w:rPr>
              <w:t>1,53%</w:t>
            </w:r>
          </w:p>
        </w:tc>
      </w:tr>
      <w:tr w14:paraId="18B9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80638C">
            <w:pPr>
              <w:jc w:val="center"/>
              <w:rPr>
                <w:sz w:val="22"/>
                <w:szCs w:val="22"/>
              </w:rPr>
            </w:pPr>
            <w:r>
              <w:rPr>
                <w:sz w:val="22"/>
                <w:szCs w:val="22"/>
              </w:rPr>
              <w:t>29</w:t>
            </w:r>
          </w:p>
        </w:tc>
        <w:tc>
          <w:tcPr>
            <w:tcW w:w="1752" w:type="dxa"/>
            <w:noWrap/>
            <w:vAlign w:val="center"/>
          </w:tcPr>
          <w:p w14:paraId="2677BFDD">
            <w:pPr>
              <w:jc w:val="center"/>
              <w:rPr>
                <w:sz w:val="22"/>
                <w:szCs w:val="22"/>
              </w:rPr>
            </w:pPr>
          </w:p>
        </w:tc>
        <w:tc>
          <w:tcPr>
            <w:tcW w:w="944" w:type="dxa"/>
            <w:vMerge w:val="continue"/>
            <w:vAlign w:val="center"/>
          </w:tcPr>
          <w:p w14:paraId="5B083822">
            <w:pPr>
              <w:jc w:val="center"/>
              <w:rPr>
                <w:sz w:val="22"/>
                <w:szCs w:val="22"/>
              </w:rPr>
            </w:pPr>
          </w:p>
        </w:tc>
        <w:tc>
          <w:tcPr>
            <w:tcW w:w="1116" w:type="dxa"/>
            <w:vAlign w:val="center"/>
          </w:tcPr>
          <w:p w14:paraId="655E48B1">
            <w:pPr>
              <w:jc w:val="center"/>
              <w:rPr>
                <w:sz w:val="22"/>
                <w:szCs w:val="22"/>
              </w:rPr>
            </w:pPr>
            <w:r>
              <w:rPr>
                <w:sz w:val="22"/>
                <w:szCs w:val="22"/>
              </w:rPr>
              <w:t>28</w:t>
            </w:r>
          </w:p>
        </w:tc>
        <w:tc>
          <w:tcPr>
            <w:tcW w:w="1010" w:type="dxa"/>
            <w:vAlign w:val="center"/>
          </w:tcPr>
          <w:p w14:paraId="6D178E0F">
            <w:pPr>
              <w:jc w:val="center"/>
              <w:rPr>
                <w:sz w:val="22"/>
                <w:szCs w:val="22"/>
              </w:rPr>
            </w:pPr>
            <w:r>
              <w:rPr>
                <w:sz w:val="22"/>
                <w:szCs w:val="22"/>
              </w:rPr>
              <w:t>90,00</w:t>
            </w:r>
          </w:p>
        </w:tc>
        <w:tc>
          <w:tcPr>
            <w:tcW w:w="1591" w:type="dxa"/>
            <w:vAlign w:val="center"/>
          </w:tcPr>
          <w:p w14:paraId="3BB1B489">
            <w:pPr>
              <w:jc w:val="center"/>
              <w:rPr>
                <w:sz w:val="22"/>
                <w:szCs w:val="22"/>
              </w:rPr>
            </w:pPr>
            <w:r>
              <w:rPr>
                <w:sz w:val="22"/>
                <w:szCs w:val="22"/>
              </w:rPr>
              <w:t>855.000.000</w:t>
            </w:r>
          </w:p>
        </w:tc>
        <w:tc>
          <w:tcPr>
            <w:tcW w:w="1700" w:type="dxa"/>
            <w:vAlign w:val="center"/>
          </w:tcPr>
          <w:p w14:paraId="2B67B294">
            <w:pPr>
              <w:jc w:val="center"/>
              <w:rPr>
                <w:sz w:val="22"/>
                <w:szCs w:val="22"/>
              </w:rPr>
            </w:pPr>
            <w:r>
              <w:rPr>
                <w:sz w:val="22"/>
                <w:szCs w:val="22"/>
              </w:rPr>
              <w:t>1.311.000.000</w:t>
            </w:r>
          </w:p>
        </w:tc>
        <w:tc>
          <w:tcPr>
            <w:tcW w:w="1140" w:type="dxa"/>
            <w:noWrap/>
            <w:vAlign w:val="center"/>
          </w:tcPr>
          <w:p w14:paraId="443AA431">
            <w:pPr>
              <w:jc w:val="center"/>
              <w:rPr>
                <w:sz w:val="22"/>
                <w:szCs w:val="22"/>
              </w:rPr>
            </w:pPr>
            <w:r>
              <w:rPr>
                <w:sz w:val="22"/>
                <w:szCs w:val="22"/>
              </w:rPr>
              <w:t>1,53%</w:t>
            </w:r>
          </w:p>
        </w:tc>
      </w:tr>
      <w:tr w14:paraId="676D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B726425">
            <w:pPr>
              <w:jc w:val="center"/>
              <w:rPr>
                <w:sz w:val="22"/>
                <w:szCs w:val="22"/>
              </w:rPr>
            </w:pPr>
            <w:r>
              <w:rPr>
                <w:sz w:val="22"/>
                <w:szCs w:val="22"/>
              </w:rPr>
              <w:t>30</w:t>
            </w:r>
          </w:p>
        </w:tc>
        <w:tc>
          <w:tcPr>
            <w:tcW w:w="1752" w:type="dxa"/>
            <w:noWrap/>
            <w:vAlign w:val="center"/>
          </w:tcPr>
          <w:p w14:paraId="5E78B755">
            <w:pPr>
              <w:jc w:val="center"/>
              <w:rPr>
                <w:sz w:val="22"/>
                <w:szCs w:val="22"/>
              </w:rPr>
            </w:pPr>
          </w:p>
        </w:tc>
        <w:tc>
          <w:tcPr>
            <w:tcW w:w="944" w:type="dxa"/>
            <w:vMerge w:val="continue"/>
            <w:vAlign w:val="center"/>
          </w:tcPr>
          <w:p w14:paraId="581E1430">
            <w:pPr>
              <w:jc w:val="center"/>
              <w:rPr>
                <w:sz w:val="22"/>
                <w:szCs w:val="22"/>
              </w:rPr>
            </w:pPr>
          </w:p>
        </w:tc>
        <w:tc>
          <w:tcPr>
            <w:tcW w:w="1116" w:type="dxa"/>
            <w:vAlign w:val="center"/>
          </w:tcPr>
          <w:p w14:paraId="14F96D40">
            <w:pPr>
              <w:jc w:val="center"/>
              <w:rPr>
                <w:sz w:val="22"/>
                <w:szCs w:val="22"/>
              </w:rPr>
            </w:pPr>
            <w:r>
              <w:rPr>
                <w:sz w:val="22"/>
                <w:szCs w:val="22"/>
              </w:rPr>
              <w:t>29</w:t>
            </w:r>
          </w:p>
        </w:tc>
        <w:tc>
          <w:tcPr>
            <w:tcW w:w="1010" w:type="dxa"/>
            <w:vAlign w:val="center"/>
          </w:tcPr>
          <w:p w14:paraId="3FE0F4BC">
            <w:pPr>
              <w:jc w:val="center"/>
              <w:rPr>
                <w:sz w:val="22"/>
                <w:szCs w:val="22"/>
              </w:rPr>
            </w:pPr>
            <w:r>
              <w:rPr>
                <w:sz w:val="22"/>
                <w:szCs w:val="22"/>
              </w:rPr>
              <w:t>90,00</w:t>
            </w:r>
          </w:p>
        </w:tc>
        <w:tc>
          <w:tcPr>
            <w:tcW w:w="1591" w:type="dxa"/>
            <w:vAlign w:val="center"/>
          </w:tcPr>
          <w:p w14:paraId="3419AAE3">
            <w:pPr>
              <w:jc w:val="center"/>
              <w:rPr>
                <w:sz w:val="22"/>
                <w:szCs w:val="22"/>
              </w:rPr>
            </w:pPr>
            <w:r>
              <w:rPr>
                <w:sz w:val="22"/>
                <w:szCs w:val="22"/>
              </w:rPr>
              <w:t>855.000.000</w:t>
            </w:r>
          </w:p>
        </w:tc>
        <w:tc>
          <w:tcPr>
            <w:tcW w:w="1700" w:type="dxa"/>
            <w:vAlign w:val="center"/>
          </w:tcPr>
          <w:p w14:paraId="57BD9118">
            <w:pPr>
              <w:jc w:val="center"/>
              <w:rPr>
                <w:sz w:val="22"/>
                <w:szCs w:val="22"/>
              </w:rPr>
            </w:pPr>
            <w:r>
              <w:rPr>
                <w:sz w:val="22"/>
                <w:szCs w:val="22"/>
              </w:rPr>
              <w:t>1.320.000.000</w:t>
            </w:r>
          </w:p>
        </w:tc>
        <w:tc>
          <w:tcPr>
            <w:tcW w:w="1140" w:type="dxa"/>
            <w:noWrap/>
            <w:vAlign w:val="center"/>
          </w:tcPr>
          <w:p w14:paraId="1E741C43">
            <w:pPr>
              <w:jc w:val="center"/>
              <w:rPr>
                <w:sz w:val="22"/>
                <w:szCs w:val="22"/>
              </w:rPr>
            </w:pPr>
            <w:r>
              <w:rPr>
                <w:sz w:val="22"/>
                <w:szCs w:val="22"/>
              </w:rPr>
              <w:t>1,54%</w:t>
            </w:r>
          </w:p>
        </w:tc>
      </w:tr>
      <w:tr w14:paraId="4D50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CE4B3F6">
            <w:pPr>
              <w:jc w:val="center"/>
              <w:rPr>
                <w:sz w:val="22"/>
                <w:szCs w:val="22"/>
              </w:rPr>
            </w:pPr>
            <w:r>
              <w:rPr>
                <w:sz w:val="22"/>
                <w:szCs w:val="22"/>
              </w:rPr>
              <w:t>31</w:t>
            </w:r>
          </w:p>
        </w:tc>
        <w:tc>
          <w:tcPr>
            <w:tcW w:w="1752" w:type="dxa"/>
            <w:noWrap/>
            <w:vAlign w:val="center"/>
          </w:tcPr>
          <w:p w14:paraId="4CD8C879">
            <w:pPr>
              <w:jc w:val="center"/>
              <w:rPr>
                <w:sz w:val="22"/>
                <w:szCs w:val="22"/>
              </w:rPr>
            </w:pPr>
          </w:p>
        </w:tc>
        <w:tc>
          <w:tcPr>
            <w:tcW w:w="944" w:type="dxa"/>
            <w:vMerge w:val="continue"/>
            <w:vAlign w:val="center"/>
          </w:tcPr>
          <w:p w14:paraId="338F9736">
            <w:pPr>
              <w:jc w:val="center"/>
              <w:rPr>
                <w:sz w:val="22"/>
                <w:szCs w:val="22"/>
              </w:rPr>
            </w:pPr>
          </w:p>
        </w:tc>
        <w:tc>
          <w:tcPr>
            <w:tcW w:w="1116" w:type="dxa"/>
            <w:vAlign w:val="center"/>
          </w:tcPr>
          <w:p w14:paraId="26A8B083">
            <w:pPr>
              <w:jc w:val="center"/>
              <w:rPr>
                <w:sz w:val="22"/>
                <w:szCs w:val="22"/>
              </w:rPr>
            </w:pPr>
            <w:r>
              <w:rPr>
                <w:sz w:val="22"/>
                <w:szCs w:val="22"/>
              </w:rPr>
              <w:t>30</w:t>
            </w:r>
          </w:p>
        </w:tc>
        <w:tc>
          <w:tcPr>
            <w:tcW w:w="1010" w:type="dxa"/>
            <w:vAlign w:val="center"/>
          </w:tcPr>
          <w:p w14:paraId="3088466A">
            <w:pPr>
              <w:jc w:val="center"/>
              <w:rPr>
                <w:sz w:val="22"/>
                <w:szCs w:val="22"/>
              </w:rPr>
            </w:pPr>
            <w:r>
              <w:rPr>
                <w:sz w:val="22"/>
                <w:szCs w:val="22"/>
              </w:rPr>
              <w:t>90,00</w:t>
            </w:r>
          </w:p>
        </w:tc>
        <w:tc>
          <w:tcPr>
            <w:tcW w:w="1591" w:type="dxa"/>
            <w:vAlign w:val="center"/>
          </w:tcPr>
          <w:p w14:paraId="77022C84">
            <w:pPr>
              <w:jc w:val="center"/>
              <w:rPr>
                <w:sz w:val="22"/>
                <w:szCs w:val="22"/>
              </w:rPr>
            </w:pPr>
            <w:r>
              <w:rPr>
                <w:sz w:val="22"/>
                <w:szCs w:val="22"/>
              </w:rPr>
              <w:t>855.000.000</w:t>
            </w:r>
          </w:p>
        </w:tc>
        <w:tc>
          <w:tcPr>
            <w:tcW w:w="1700" w:type="dxa"/>
            <w:vAlign w:val="center"/>
          </w:tcPr>
          <w:p w14:paraId="2972C641">
            <w:pPr>
              <w:jc w:val="center"/>
              <w:rPr>
                <w:sz w:val="22"/>
                <w:szCs w:val="22"/>
              </w:rPr>
            </w:pPr>
            <w:r>
              <w:rPr>
                <w:sz w:val="22"/>
                <w:szCs w:val="22"/>
              </w:rPr>
              <w:t>1.321.000.000</w:t>
            </w:r>
          </w:p>
        </w:tc>
        <w:tc>
          <w:tcPr>
            <w:tcW w:w="1140" w:type="dxa"/>
            <w:noWrap/>
            <w:vAlign w:val="center"/>
          </w:tcPr>
          <w:p w14:paraId="332C80A8">
            <w:pPr>
              <w:jc w:val="center"/>
              <w:rPr>
                <w:sz w:val="22"/>
                <w:szCs w:val="22"/>
              </w:rPr>
            </w:pPr>
            <w:r>
              <w:rPr>
                <w:sz w:val="22"/>
                <w:szCs w:val="22"/>
              </w:rPr>
              <w:t>1,55%</w:t>
            </w:r>
          </w:p>
        </w:tc>
      </w:tr>
      <w:tr w14:paraId="092A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417FF4">
            <w:pPr>
              <w:jc w:val="center"/>
              <w:rPr>
                <w:sz w:val="22"/>
                <w:szCs w:val="22"/>
              </w:rPr>
            </w:pPr>
            <w:r>
              <w:rPr>
                <w:sz w:val="22"/>
                <w:szCs w:val="22"/>
              </w:rPr>
              <w:t>32</w:t>
            </w:r>
          </w:p>
        </w:tc>
        <w:tc>
          <w:tcPr>
            <w:tcW w:w="1752" w:type="dxa"/>
            <w:noWrap/>
            <w:vAlign w:val="center"/>
          </w:tcPr>
          <w:p w14:paraId="39D669E4">
            <w:pPr>
              <w:jc w:val="center"/>
              <w:rPr>
                <w:sz w:val="22"/>
                <w:szCs w:val="22"/>
              </w:rPr>
            </w:pPr>
          </w:p>
        </w:tc>
        <w:tc>
          <w:tcPr>
            <w:tcW w:w="944" w:type="dxa"/>
            <w:vMerge w:val="continue"/>
            <w:vAlign w:val="center"/>
          </w:tcPr>
          <w:p w14:paraId="71A916C8">
            <w:pPr>
              <w:jc w:val="center"/>
              <w:rPr>
                <w:sz w:val="22"/>
                <w:szCs w:val="22"/>
              </w:rPr>
            </w:pPr>
          </w:p>
        </w:tc>
        <w:tc>
          <w:tcPr>
            <w:tcW w:w="1116" w:type="dxa"/>
            <w:vAlign w:val="center"/>
          </w:tcPr>
          <w:p w14:paraId="7EDBF761">
            <w:pPr>
              <w:jc w:val="center"/>
              <w:rPr>
                <w:sz w:val="22"/>
                <w:szCs w:val="22"/>
              </w:rPr>
            </w:pPr>
            <w:r>
              <w:rPr>
                <w:sz w:val="22"/>
                <w:szCs w:val="22"/>
              </w:rPr>
              <w:t>31</w:t>
            </w:r>
          </w:p>
        </w:tc>
        <w:tc>
          <w:tcPr>
            <w:tcW w:w="1010" w:type="dxa"/>
            <w:vAlign w:val="center"/>
          </w:tcPr>
          <w:p w14:paraId="57AE46D6">
            <w:pPr>
              <w:jc w:val="center"/>
              <w:rPr>
                <w:sz w:val="22"/>
                <w:szCs w:val="22"/>
              </w:rPr>
            </w:pPr>
            <w:r>
              <w:rPr>
                <w:sz w:val="22"/>
                <w:szCs w:val="22"/>
              </w:rPr>
              <w:t>90,00</w:t>
            </w:r>
          </w:p>
        </w:tc>
        <w:tc>
          <w:tcPr>
            <w:tcW w:w="1591" w:type="dxa"/>
            <w:vAlign w:val="center"/>
          </w:tcPr>
          <w:p w14:paraId="53E070A9">
            <w:pPr>
              <w:jc w:val="center"/>
              <w:rPr>
                <w:sz w:val="22"/>
                <w:szCs w:val="22"/>
              </w:rPr>
            </w:pPr>
            <w:r>
              <w:rPr>
                <w:sz w:val="22"/>
                <w:szCs w:val="22"/>
              </w:rPr>
              <w:t>855.000.000</w:t>
            </w:r>
          </w:p>
        </w:tc>
        <w:tc>
          <w:tcPr>
            <w:tcW w:w="1700" w:type="dxa"/>
            <w:vAlign w:val="center"/>
          </w:tcPr>
          <w:p w14:paraId="644ED2F7">
            <w:pPr>
              <w:jc w:val="center"/>
              <w:rPr>
                <w:sz w:val="22"/>
                <w:szCs w:val="22"/>
              </w:rPr>
            </w:pPr>
            <w:r>
              <w:rPr>
                <w:sz w:val="22"/>
                <w:szCs w:val="22"/>
              </w:rPr>
              <w:t>1.340.000.000</w:t>
            </w:r>
          </w:p>
        </w:tc>
        <w:tc>
          <w:tcPr>
            <w:tcW w:w="1140" w:type="dxa"/>
            <w:noWrap/>
            <w:vAlign w:val="center"/>
          </w:tcPr>
          <w:p w14:paraId="3F004A30">
            <w:pPr>
              <w:jc w:val="center"/>
              <w:rPr>
                <w:sz w:val="22"/>
                <w:szCs w:val="22"/>
              </w:rPr>
            </w:pPr>
            <w:r>
              <w:rPr>
                <w:sz w:val="22"/>
                <w:szCs w:val="22"/>
              </w:rPr>
              <w:t>1,57%</w:t>
            </w:r>
          </w:p>
        </w:tc>
      </w:tr>
      <w:tr w14:paraId="6218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D2B81FE">
            <w:pPr>
              <w:jc w:val="center"/>
              <w:rPr>
                <w:sz w:val="22"/>
                <w:szCs w:val="22"/>
              </w:rPr>
            </w:pPr>
            <w:r>
              <w:rPr>
                <w:sz w:val="22"/>
                <w:szCs w:val="22"/>
              </w:rPr>
              <w:t>33</w:t>
            </w:r>
          </w:p>
        </w:tc>
        <w:tc>
          <w:tcPr>
            <w:tcW w:w="1752" w:type="dxa"/>
            <w:noWrap/>
            <w:vAlign w:val="center"/>
          </w:tcPr>
          <w:p w14:paraId="1926CF22">
            <w:pPr>
              <w:jc w:val="center"/>
              <w:rPr>
                <w:sz w:val="22"/>
                <w:szCs w:val="22"/>
              </w:rPr>
            </w:pPr>
          </w:p>
        </w:tc>
        <w:tc>
          <w:tcPr>
            <w:tcW w:w="944" w:type="dxa"/>
            <w:vMerge w:val="continue"/>
            <w:vAlign w:val="center"/>
          </w:tcPr>
          <w:p w14:paraId="00E50760">
            <w:pPr>
              <w:jc w:val="center"/>
              <w:rPr>
                <w:sz w:val="22"/>
                <w:szCs w:val="22"/>
              </w:rPr>
            </w:pPr>
          </w:p>
        </w:tc>
        <w:tc>
          <w:tcPr>
            <w:tcW w:w="1116" w:type="dxa"/>
            <w:vAlign w:val="center"/>
          </w:tcPr>
          <w:p w14:paraId="6D588DF1">
            <w:pPr>
              <w:jc w:val="center"/>
              <w:rPr>
                <w:sz w:val="22"/>
                <w:szCs w:val="22"/>
              </w:rPr>
            </w:pPr>
            <w:r>
              <w:rPr>
                <w:sz w:val="22"/>
                <w:szCs w:val="22"/>
              </w:rPr>
              <w:t>32</w:t>
            </w:r>
          </w:p>
        </w:tc>
        <w:tc>
          <w:tcPr>
            <w:tcW w:w="1010" w:type="dxa"/>
            <w:vAlign w:val="center"/>
          </w:tcPr>
          <w:p w14:paraId="794A4CDC">
            <w:pPr>
              <w:jc w:val="center"/>
              <w:rPr>
                <w:sz w:val="22"/>
                <w:szCs w:val="22"/>
              </w:rPr>
            </w:pPr>
            <w:r>
              <w:rPr>
                <w:sz w:val="22"/>
                <w:szCs w:val="22"/>
              </w:rPr>
              <w:t>127,00</w:t>
            </w:r>
          </w:p>
        </w:tc>
        <w:tc>
          <w:tcPr>
            <w:tcW w:w="1591" w:type="dxa"/>
            <w:vAlign w:val="center"/>
          </w:tcPr>
          <w:p w14:paraId="32739879">
            <w:pPr>
              <w:jc w:val="center"/>
              <w:rPr>
                <w:sz w:val="22"/>
                <w:szCs w:val="22"/>
              </w:rPr>
            </w:pPr>
            <w:r>
              <w:rPr>
                <w:sz w:val="22"/>
                <w:szCs w:val="22"/>
              </w:rPr>
              <w:t>1.447.800.000</w:t>
            </w:r>
          </w:p>
        </w:tc>
        <w:tc>
          <w:tcPr>
            <w:tcW w:w="1700" w:type="dxa"/>
            <w:vAlign w:val="center"/>
          </w:tcPr>
          <w:p w14:paraId="17AD19E0">
            <w:pPr>
              <w:jc w:val="center"/>
              <w:rPr>
                <w:sz w:val="22"/>
                <w:szCs w:val="22"/>
              </w:rPr>
            </w:pPr>
            <w:r>
              <w:rPr>
                <w:sz w:val="22"/>
                <w:szCs w:val="22"/>
              </w:rPr>
              <w:t>1.927.000.000</w:t>
            </w:r>
          </w:p>
        </w:tc>
        <w:tc>
          <w:tcPr>
            <w:tcW w:w="1140" w:type="dxa"/>
            <w:noWrap/>
            <w:vAlign w:val="center"/>
          </w:tcPr>
          <w:p w14:paraId="66C65787">
            <w:pPr>
              <w:jc w:val="center"/>
              <w:rPr>
                <w:sz w:val="22"/>
                <w:szCs w:val="22"/>
              </w:rPr>
            </w:pPr>
            <w:r>
              <w:rPr>
                <w:sz w:val="22"/>
                <w:szCs w:val="22"/>
              </w:rPr>
              <w:t>1,33%</w:t>
            </w:r>
          </w:p>
        </w:tc>
      </w:tr>
      <w:tr w14:paraId="3B80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906386D">
            <w:pPr>
              <w:jc w:val="center"/>
              <w:rPr>
                <w:sz w:val="22"/>
                <w:szCs w:val="22"/>
              </w:rPr>
            </w:pPr>
            <w:r>
              <w:rPr>
                <w:sz w:val="22"/>
                <w:szCs w:val="22"/>
              </w:rPr>
              <w:t>34</w:t>
            </w:r>
          </w:p>
        </w:tc>
        <w:tc>
          <w:tcPr>
            <w:tcW w:w="1752" w:type="dxa"/>
            <w:noWrap/>
            <w:vAlign w:val="center"/>
          </w:tcPr>
          <w:p w14:paraId="2EAF9693">
            <w:pPr>
              <w:jc w:val="center"/>
              <w:rPr>
                <w:sz w:val="22"/>
                <w:szCs w:val="22"/>
              </w:rPr>
            </w:pPr>
          </w:p>
        </w:tc>
        <w:tc>
          <w:tcPr>
            <w:tcW w:w="944" w:type="dxa"/>
            <w:vMerge w:val="continue"/>
            <w:vAlign w:val="center"/>
          </w:tcPr>
          <w:p w14:paraId="21304B3D">
            <w:pPr>
              <w:jc w:val="center"/>
              <w:rPr>
                <w:sz w:val="22"/>
                <w:szCs w:val="22"/>
              </w:rPr>
            </w:pPr>
          </w:p>
        </w:tc>
        <w:tc>
          <w:tcPr>
            <w:tcW w:w="1116" w:type="dxa"/>
            <w:vAlign w:val="center"/>
          </w:tcPr>
          <w:p w14:paraId="54C321B9">
            <w:pPr>
              <w:jc w:val="center"/>
              <w:rPr>
                <w:sz w:val="22"/>
                <w:szCs w:val="22"/>
              </w:rPr>
            </w:pPr>
            <w:r>
              <w:rPr>
                <w:sz w:val="22"/>
                <w:szCs w:val="22"/>
              </w:rPr>
              <w:t>33</w:t>
            </w:r>
          </w:p>
        </w:tc>
        <w:tc>
          <w:tcPr>
            <w:tcW w:w="1010" w:type="dxa"/>
            <w:vAlign w:val="center"/>
          </w:tcPr>
          <w:p w14:paraId="5CF1A9BF">
            <w:pPr>
              <w:jc w:val="center"/>
              <w:rPr>
                <w:sz w:val="22"/>
                <w:szCs w:val="22"/>
              </w:rPr>
            </w:pPr>
            <w:r>
              <w:rPr>
                <w:sz w:val="22"/>
                <w:szCs w:val="22"/>
              </w:rPr>
              <w:t>131,70</w:t>
            </w:r>
          </w:p>
        </w:tc>
        <w:tc>
          <w:tcPr>
            <w:tcW w:w="1591" w:type="dxa"/>
            <w:vAlign w:val="center"/>
          </w:tcPr>
          <w:p w14:paraId="3E09E1AC">
            <w:pPr>
              <w:jc w:val="center"/>
              <w:rPr>
                <w:sz w:val="22"/>
                <w:szCs w:val="22"/>
              </w:rPr>
            </w:pPr>
            <w:r>
              <w:rPr>
                <w:sz w:val="22"/>
                <w:szCs w:val="22"/>
              </w:rPr>
              <w:t>1.501.380.000</w:t>
            </w:r>
          </w:p>
        </w:tc>
        <w:tc>
          <w:tcPr>
            <w:tcW w:w="1700" w:type="dxa"/>
            <w:vAlign w:val="center"/>
          </w:tcPr>
          <w:p w14:paraId="1C2362CC">
            <w:pPr>
              <w:jc w:val="center"/>
              <w:rPr>
                <w:sz w:val="22"/>
                <w:szCs w:val="22"/>
              </w:rPr>
            </w:pPr>
            <w:r>
              <w:rPr>
                <w:sz w:val="22"/>
                <w:szCs w:val="22"/>
              </w:rPr>
              <w:t>2.210.000.000</w:t>
            </w:r>
          </w:p>
        </w:tc>
        <w:tc>
          <w:tcPr>
            <w:tcW w:w="1140" w:type="dxa"/>
            <w:noWrap/>
            <w:vAlign w:val="center"/>
          </w:tcPr>
          <w:p w14:paraId="1491E163">
            <w:pPr>
              <w:jc w:val="center"/>
              <w:rPr>
                <w:sz w:val="22"/>
                <w:szCs w:val="22"/>
              </w:rPr>
            </w:pPr>
            <w:r>
              <w:rPr>
                <w:sz w:val="22"/>
                <w:szCs w:val="22"/>
              </w:rPr>
              <w:t>1,47%</w:t>
            </w:r>
          </w:p>
        </w:tc>
      </w:tr>
      <w:tr w14:paraId="6B93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3F2C506">
            <w:pPr>
              <w:jc w:val="center"/>
              <w:rPr>
                <w:sz w:val="22"/>
                <w:szCs w:val="22"/>
              </w:rPr>
            </w:pPr>
            <w:r>
              <w:rPr>
                <w:sz w:val="22"/>
                <w:szCs w:val="22"/>
              </w:rPr>
              <w:t>35</w:t>
            </w:r>
          </w:p>
        </w:tc>
        <w:tc>
          <w:tcPr>
            <w:tcW w:w="1752" w:type="dxa"/>
            <w:noWrap/>
            <w:vAlign w:val="center"/>
          </w:tcPr>
          <w:p w14:paraId="537D4E65">
            <w:pPr>
              <w:jc w:val="center"/>
              <w:rPr>
                <w:sz w:val="22"/>
                <w:szCs w:val="22"/>
              </w:rPr>
            </w:pPr>
          </w:p>
        </w:tc>
        <w:tc>
          <w:tcPr>
            <w:tcW w:w="944" w:type="dxa"/>
            <w:vMerge w:val="continue"/>
            <w:vAlign w:val="center"/>
          </w:tcPr>
          <w:p w14:paraId="09356305">
            <w:pPr>
              <w:jc w:val="center"/>
              <w:rPr>
                <w:sz w:val="22"/>
                <w:szCs w:val="22"/>
              </w:rPr>
            </w:pPr>
          </w:p>
        </w:tc>
        <w:tc>
          <w:tcPr>
            <w:tcW w:w="1116" w:type="dxa"/>
            <w:vAlign w:val="center"/>
          </w:tcPr>
          <w:p w14:paraId="602460A0">
            <w:pPr>
              <w:jc w:val="center"/>
              <w:rPr>
                <w:sz w:val="22"/>
                <w:szCs w:val="22"/>
              </w:rPr>
            </w:pPr>
            <w:r>
              <w:rPr>
                <w:sz w:val="22"/>
                <w:szCs w:val="22"/>
              </w:rPr>
              <w:t>34</w:t>
            </w:r>
          </w:p>
        </w:tc>
        <w:tc>
          <w:tcPr>
            <w:tcW w:w="1010" w:type="dxa"/>
            <w:vAlign w:val="center"/>
          </w:tcPr>
          <w:p w14:paraId="6E9BC199">
            <w:pPr>
              <w:jc w:val="center"/>
              <w:rPr>
                <w:sz w:val="22"/>
                <w:szCs w:val="22"/>
              </w:rPr>
            </w:pPr>
            <w:r>
              <w:rPr>
                <w:sz w:val="22"/>
                <w:szCs w:val="22"/>
              </w:rPr>
              <w:t>90,00</w:t>
            </w:r>
          </w:p>
        </w:tc>
        <w:tc>
          <w:tcPr>
            <w:tcW w:w="1591" w:type="dxa"/>
            <w:vAlign w:val="center"/>
          </w:tcPr>
          <w:p w14:paraId="685F04DD">
            <w:pPr>
              <w:jc w:val="center"/>
              <w:rPr>
                <w:sz w:val="22"/>
                <w:szCs w:val="22"/>
              </w:rPr>
            </w:pPr>
            <w:r>
              <w:rPr>
                <w:sz w:val="22"/>
                <w:szCs w:val="22"/>
              </w:rPr>
              <w:t>855.000.000</w:t>
            </w:r>
          </w:p>
        </w:tc>
        <w:tc>
          <w:tcPr>
            <w:tcW w:w="1700" w:type="dxa"/>
            <w:vAlign w:val="center"/>
          </w:tcPr>
          <w:p w14:paraId="204A7CE9">
            <w:pPr>
              <w:jc w:val="center"/>
              <w:rPr>
                <w:sz w:val="22"/>
                <w:szCs w:val="22"/>
              </w:rPr>
            </w:pPr>
            <w:r>
              <w:rPr>
                <w:sz w:val="22"/>
                <w:szCs w:val="22"/>
              </w:rPr>
              <w:t>1.405.000.000</w:t>
            </w:r>
          </w:p>
        </w:tc>
        <w:tc>
          <w:tcPr>
            <w:tcW w:w="1140" w:type="dxa"/>
            <w:noWrap/>
            <w:vAlign w:val="center"/>
          </w:tcPr>
          <w:p w14:paraId="64A6BC53">
            <w:pPr>
              <w:jc w:val="center"/>
              <w:rPr>
                <w:sz w:val="22"/>
                <w:szCs w:val="22"/>
              </w:rPr>
            </w:pPr>
            <w:r>
              <w:rPr>
                <w:sz w:val="22"/>
                <w:szCs w:val="22"/>
              </w:rPr>
              <w:t>1,64%</w:t>
            </w:r>
          </w:p>
        </w:tc>
      </w:tr>
      <w:tr w14:paraId="399FFB0B">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1D4085A6">
            <w:pPr>
              <w:jc w:val="center"/>
              <w:rPr>
                <w:sz w:val="22"/>
                <w:szCs w:val="22"/>
              </w:rPr>
            </w:pPr>
            <w:r>
              <w:rPr>
                <w:sz w:val="22"/>
                <w:szCs w:val="22"/>
              </w:rPr>
              <w:t>36</w:t>
            </w:r>
          </w:p>
        </w:tc>
        <w:tc>
          <w:tcPr>
            <w:tcW w:w="1752" w:type="dxa"/>
            <w:noWrap/>
            <w:vAlign w:val="center"/>
          </w:tcPr>
          <w:p w14:paraId="4F53E77A">
            <w:pPr>
              <w:jc w:val="center"/>
              <w:rPr>
                <w:sz w:val="22"/>
                <w:szCs w:val="22"/>
              </w:rPr>
            </w:pPr>
          </w:p>
        </w:tc>
        <w:tc>
          <w:tcPr>
            <w:tcW w:w="944" w:type="dxa"/>
            <w:vMerge w:val="continue"/>
            <w:vAlign w:val="center"/>
          </w:tcPr>
          <w:p w14:paraId="60E419AC">
            <w:pPr>
              <w:jc w:val="center"/>
              <w:rPr>
                <w:sz w:val="22"/>
                <w:szCs w:val="22"/>
              </w:rPr>
            </w:pPr>
          </w:p>
        </w:tc>
        <w:tc>
          <w:tcPr>
            <w:tcW w:w="1116" w:type="dxa"/>
            <w:vAlign w:val="center"/>
          </w:tcPr>
          <w:p w14:paraId="29B9B9F8">
            <w:pPr>
              <w:jc w:val="center"/>
              <w:rPr>
                <w:sz w:val="22"/>
                <w:szCs w:val="22"/>
              </w:rPr>
            </w:pPr>
            <w:r>
              <w:rPr>
                <w:sz w:val="22"/>
                <w:szCs w:val="22"/>
              </w:rPr>
              <w:t>35</w:t>
            </w:r>
          </w:p>
        </w:tc>
        <w:tc>
          <w:tcPr>
            <w:tcW w:w="1010" w:type="dxa"/>
            <w:vAlign w:val="center"/>
          </w:tcPr>
          <w:p w14:paraId="55203ACE">
            <w:pPr>
              <w:jc w:val="center"/>
              <w:rPr>
                <w:sz w:val="22"/>
                <w:szCs w:val="22"/>
              </w:rPr>
            </w:pPr>
            <w:r>
              <w:rPr>
                <w:sz w:val="22"/>
                <w:szCs w:val="22"/>
              </w:rPr>
              <w:t>90,00</w:t>
            </w:r>
          </w:p>
        </w:tc>
        <w:tc>
          <w:tcPr>
            <w:tcW w:w="1591" w:type="dxa"/>
            <w:vAlign w:val="center"/>
          </w:tcPr>
          <w:p w14:paraId="507CD743">
            <w:pPr>
              <w:jc w:val="center"/>
              <w:rPr>
                <w:sz w:val="22"/>
                <w:szCs w:val="22"/>
              </w:rPr>
            </w:pPr>
            <w:r>
              <w:rPr>
                <w:sz w:val="22"/>
                <w:szCs w:val="22"/>
              </w:rPr>
              <w:t>855.000.000</w:t>
            </w:r>
          </w:p>
        </w:tc>
        <w:tc>
          <w:tcPr>
            <w:tcW w:w="1700" w:type="dxa"/>
            <w:vAlign w:val="center"/>
          </w:tcPr>
          <w:p w14:paraId="605B0ACB">
            <w:pPr>
              <w:jc w:val="center"/>
              <w:rPr>
                <w:sz w:val="22"/>
                <w:szCs w:val="22"/>
              </w:rPr>
            </w:pPr>
            <w:r>
              <w:rPr>
                <w:sz w:val="22"/>
                <w:szCs w:val="22"/>
              </w:rPr>
              <w:t>1.419.000.000</w:t>
            </w:r>
          </w:p>
        </w:tc>
        <w:tc>
          <w:tcPr>
            <w:tcW w:w="1140" w:type="dxa"/>
            <w:noWrap/>
            <w:vAlign w:val="center"/>
          </w:tcPr>
          <w:p w14:paraId="1FB9E557">
            <w:pPr>
              <w:jc w:val="center"/>
              <w:rPr>
                <w:sz w:val="22"/>
                <w:szCs w:val="22"/>
              </w:rPr>
            </w:pPr>
            <w:r>
              <w:rPr>
                <w:sz w:val="22"/>
                <w:szCs w:val="22"/>
              </w:rPr>
              <w:t>1,66%</w:t>
            </w:r>
          </w:p>
        </w:tc>
      </w:tr>
      <w:tr w14:paraId="79C2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96EB6ED">
            <w:pPr>
              <w:jc w:val="center"/>
              <w:rPr>
                <w:sz w:val="22"/>
                <w:szCs w:val="22"/>
              </w:rPr>
            </w:pPr>
            <w:r>
              <w:rPr>
                <w:sz w:val="22"/>
                <w:szCs w:val="22"/>
              </w:rPr>
              <w:t>37</w:t>
            </w:r>
          </w:p>
        </w:tc>
        <w:tc>
          <w:tcPr>
            <w:tcW w:w="1752" w:type="dxa"/>
            <w:noWrap/>
            <w:vAlign w:val="center"/>
          </w:tcPr>
          <w:p w14:paraId="376C8B73">
            <w:pPr>
              <w:jc w:val="center"/>
              <w:rPr>
                <w:sz w:val="22"/>
                <w:szCs w:val="22"/>
              </w:rPr>
            </w:pPr>
          </w:p>
        </w:tc>
        <w:tc>
          <w:tcPr>
            <w:tcW w:w="944" w:type="dxa"/>
            <w:vMerge w:val="continue"/>
            <w:vAlign w:val="center"/>
          </w:tcPr>
          <w:p w14:paraId="5A2E7D16">
            <w:pPr>
              <w:jc w:val="center"/>
              <w:rPr>
                <w:sz w:val="22"/>
                <w:szCs w:val="22"/>
              </w:rPr>
            </w:pPr>
          </w:p>
        </w:tc>
        <w:tc>
          <w:tcPr>
            <w:tcW w:w="1116" w:type="dxa"/>
            <w:vAlign w:val="center"/>
          </w:tcPr>
          <w:p w14:paraId="4481ABAE">
            <w:pPr>
              <w:jc w:val="center"/>
              <w:rPr>
                <w:sz w:val="22"/>
                <w:szCs w:val="22"/>
              </w:rPr>
            </w:pPr>
            <w:r>
              <w:rPr>
                <w:sz w:val="22"/>
                <w:szCs w:val="22"/>
              </w:rPr>
              <w:t>36</w:t>
            </w:r>
          </w:p>
        </w:tc>
        <w:tc>
          <w:tcPr>
            <w:tcW w:w="1010" w:type="dxa"/>
            <w:vAlign w:val="center"/>
          </w:tcPr>
          <w:p w14:paraId="3DA40143">
            <w:pPr>
              <w:jc w:val="center"/>
              <w:rPr>
                <w:sz w:val="22"/>
                <w:szCs w:val="22"/>
              </w:rPr>
            </w:pPr>
            <w:r>
              <w:rPr>
                <w:sz w:val="22"/>
                <w:szCs w:val="22"/>
              </w:rPr>
              <w:t>90,00</w:t>
            </w:r>
          </w:p>
        </w:tc>
        <w:tc>
          <w:tcPr>
            <w:tcW w:w="1591" w:type="dxa"/>
            <w:vAlign w:val="center"/>
          </w:tcPr>
          <w:p w14:paraId="57D13304">
            <w:pPr>
              <w:jc w:val="center"/>
              <w:rPr>
                <w:sz w:val="22"/>
                <w:szCs w:val="22"/>
              </w:rPr>
            </w:pPr>
            <w:r>
              <w:rPr>
                <w:sz w:val="22"/>
                <w:szCs w:val="22"/>
              </w:rPr>
              <w:t>855.000.000</w:t>
            </w:r>
          </w:p>
        </w:tc>
        <w:tc>
          <w:tcPr>
            <w:tcW w:w="1700" w:type="dxa"/>
            <w:vAlign w:val="center"/>
          </w:tcPr>
          <w:p w14:paraId="0F9F0BD4">
            <w:pPr>
              <w:jc w:val="center"/>
              <w:rPr>
                <w:sz w:val="22"/>
                <w:szCs w:val="22"/>
              </w:rPr>
            </w:pPr>
            <w:r>
              <w:rPr>
                <w:sz w:val="22"/>
                <w:szCs w:val="22"/>
              </w:rPr>
              <w:t>1.419.000.000</w:t>
            </w:r>
          </w:p>
        </w:tc>
        <w:tc>
          <w:tcPr>
            <w:tcW w:w="1140" w:type="dxa"/>
            <w:noWrap/>
            <w:vAlign w:val="center"/>
          </w:tcPr>
          <w:p w14:paraId="639582A7">
            <w:pPr>
              <w:jc w:val="center"/>
              <w:rPr>
                <w:sz w:val="22"/>
                <w:szCs w:val="22"/>
              </w:rPr>
            </w:pPr>
            <w:r>
              <w:rPr>
                <w:sz w:val="22"/>
                <w:szCs w:val="22"/>
              </w:rPr>
              <w:t>1,66%</w:t>
            </w:r>
          </w:p>
        </w:tc>
      </w:tr>
      <w:tr w14:paraId="07D0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B650684">
            <w:pPr>
              <w:jc w:val="center"/>
              <w:rPr>
                <w:sz w:val="22"/>
                <w:szCs w:val="22"/>
              </w:rPr>
            </w:pPr>
            <w:r>
              <w:rPr>
                <w:sz w:val="22"/>
                <w:szCs w:val="22"/>
              </w:rPr>
              <w:t>38</w:t>
            </w:r>
          </w:p>
        </w:tc>
        <w:tc>
          <w:tcPr>
            <w:tcW w:w="1752" w:type="dxa"/>
            <w:noWrap/>
            <w:vAlign w:val="center"/>
          </w:tcPr>
          <w:p w14:paraId="5DB7AF6C">
            <w:pPr>
              <w:jc w:val="center"/>
              <w:rPr>
                <w:sz w:val="22"/>
                <w:szCs w:val="22"/>
              </w:rPr>
            </w:pPr>
          </w:p>
        </w:tc>
        <w:tc>
          <w:tcPr>
            <w:tcW w:w="944" w:type="dxa"/>
            <w:vMerge w:val="continue"/>
            <w:vAlign w:val="center"/>
          </w:tcPr>
          <w:p w14:paraId="6AD1A849">
            <w:pPr>
              <w:jc w:val="center"/>
              <w:rPr>
                <w:sz w:val="22"/>
                <w:szCs w:val="22"/>
              </w:rPr>
            </w:pPr>
          </w:p>
        </w:tc>
        <w:tc>
          <w:tcPr>
            <w:tcW w:w="1116" w:type="dxa"/>
            <w:vAlign w:val="center"/>
          </w:tcPr>
          <w:p w14:paraId="0831E17F">
            <w:pPr>
              <w:jc w:val="center"/>
              <w:rPr>
                <w:sz w:val="22"/>
                <w:szCs w:val="22"/>
              </w:rPr>
            </w:pPr>
            <w:r>
              <w:rPr>
                <w:sz w:val="22"/>
                <w:szCs w:val="22"/>
              </w:rPr>
              <w:t>37</w:t>
            </w:r>
          </w:p>
        </w:tc>
        <w:tc>
          <w:tcPr>
            <w:tcW w:w="1010" w:type="dxa"/>
            <w:vAlign w:val="center"/>
          </w:tcPr>
          <w:p w14:paraId="7CA48B0B">
            <w:pPr>
              <w:jc w:val="center"/>
              <w:rPr>
                <w:sz w:val="22"/>
                <w:szCs w:val="22"/>
              </w:rPr>
            </w:pPr>
            <w:r>
              <w:rPr>
                <w:sz w:val="22"/>
                <w:szCs w:val="22"/>
              </w:rPr>
              <w:t>90,00</w:t>
            </w:r>
          </w:p>
        </w:tc>
        <w:tc>
          <w:tcPr>
            <w:tcW w:w="1591" w:type="dxa"/>
            <w:vAlign w:val="center"/>
          </w:tcPr>
          <w:p w14:paraId="4F7710E4">
            <w:pPr>
              <w:jc w:val="center"/>
              <w:rPr>
                <w:sz w:val="22"/>
                <w:szCs w:val="22"/>
              </w:rPr>
            </w:pPr>
            <w:r>
              <w:rPr>
                <w:sz w:val="22"/>
                <w:szCs w:val="22"/>
              </w:rPr>
              <w:t>855.000.000</w:t>
            </w:r>
          </w:p>
        </w:tc>
        <w:tc>
          <w:tcPr>
            <w:tcW w:w="1700" w:type="dxa"/>
            <w:vAlign w:val="center"/>
          </w:tcPr>
          <w:p w14:paraId="25CFEA40">
            <w:pPr>
              <w:jc w:val="center"/>
              <w:rPr>
                <w:sz w:val="22"/>
                <w:szCs w:val="22"/>
              </w:rPr>
            </w:pPr>
            <w:r>
              <w:rPr>
                <w:sz w:val="22"/>
                <w:szCs w:val="22"/>
              </w:rPr>
              <w:t>1.380.000.000</w:t>
            </w:r>
          </w:p>
        </w:tc>
        <w:tc>
          <w:tcPr>
            <w:tcW w:w="1140" w:type="dxa"/>
            <w:noWrap/>
            <w:vAlign w:val="center"/>
          </w:tcPr>
          <w:p w14:paraId="345A508C">
            <w:pPr>
              <w:jc w:val="center"/>
              <w:rPr>
                <w:sz w:val="22"/>
                <w:szCs w:val="22"/>
              </w:rPr>
            </w:pPr>
            <w:r>
              <w:rPr>
                <w:sz w:val="22"/>
                <w:szCs w:val="22"/>
              </w:rPr>
              <w:t>1,61%</w:t>
            </w:r>
          </w:p>
        </w:tc>
      </w:tr>
      <w:tr w14:paraId="5E8D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42D3555">
            <w:pPr>
              <w:jc w:val="center"/>
              <w:rPr>
                <w:sz w:val="22"/>
                <w:szCs w:val="22"/>
              </w:rPr>
            </w:pPr>
            <w:r>
              <w:rPr>
                <w:sz w:val="22"/>
                <w:szCs w:val="22"/>
              </w:rPr>
              <w:t>39</w:t>
            </w:r>
          </w:p>
        </w:tc>
        <w:tc>
          <w:tcPr>
            <w:tcW w:w="1752" w:type="dxa"/>
            <w:noWrap/>
            <w:vAlign w:val="center"/>
          </w:tcPr>
          <w:p w14:paraId="05640594">
            <w:pPr>
              <w:jc w:val="center"/>
              <w:rPr>
                <w:sz w:val="22"/>
                <w:szCs w:val="22"/>
              </w:rPr>
            </w:pPr>
          </w:p>
        </w:tc>
        <w:tc>
          <w:tcPr>
            <w:tcW w:w="944" w:type="dxa"/>
            <w:vMerge w:val="continue"/>
            <w:vAlign w:val="center"/>
          </w:tcPr>
          <w:p w14:paraId="6936B071">
            <w:pPr>
              <w:jc w:val="center"/>
              <w:rPr>
                <w:sz w:val="22"/>
                <w:szCs w:val="22"/>
              </w:rPr>
            </w:pPr>
          </w:p>
        </w:tc>
        <w:tc>
          <w:tcPr>
            <w:tcW w:w="1116" w:type="dxa"/>
            <w:vAlign w:val="center"/>
          </w:tcPr>
          <w:p w14:paraId="721BC94C">
            <w:pPr>
              <w:jc w:val="center"/>
              <w:rPr>
                <w:sz w:val="22"/>
                <w:szCs w:val="22"/>
              </w:rPr>
            </w:pPr>
            <w:r>
              <w:rPr>
                <w:sz w:val="22"/>
                <w:szCs w:val="22"/>
              </w:rPr>
              <w:t>38</w:t>
            </w:r>
          </w:p>
        </w:tc>
        <w:tc>
          <w:tcPr>
            <w:tcW w:w="1010" w:type="dxa"/>
            <w:vAlign w:val="center"/>
          </w:tcPr>
          <w:p w14:paraId="2F06582E">
            <w:pPr>
              <w:jc w:val="center"/>
              <w:rPr>
                <w:sz w:val="22"/>
                <w:szCs w:val="22"/>
              </w:rPr>
            </w:pPr>
            <w:r>
              <w:rPr>
                <w:sz w:val="22"/>
                <w:szCs w:val="22"/>
              </w:rPr>
              <w:t>90,00</w:t>
            </w:r>
          </w:p>
        </w:tc>
        <w:tc>
          <w:tcPr>
            <w:tcW w:w="1591" w:type="dxa"/>
            <w:vAlign w:val="center"/>
          </w:tcPr>
          <w:p w14:paraId="2171A206">
            <w:pPr>
              <w:jc w:val="center"/>
              <w:rPr>
                <w:sz w:val="22"/>
                <w:szCs w:val="22"/>
              </w:rPr>
            </w:pPr>
            <w:r>
              <w:rPr>
                <w:sz w:val="22"/>
                <w:szCs w:val="22"/>
              </w:rPr>
              <w:t>855.000.000</w:t>
            </w:r>
          </w:p>
        </w:tc>
        <w:tc>
          <w:tcPr>
            <w:tcW w:w="1700" w:type="dxa"/>
            <w:vAlign w:val="center"/>
          </w:tcPr>
          <w:p w14:paraId="1F617455">
            <w:pPr>
              <w:jc w:val="center"/>
              <w:rPr>
                <w:sz w:val="22"/>
                <w:szCs w:val="22"/>
              </w:rPr>
            </w:pPr>
            <w:r>
              <w:rPr>
                <w:sz w:val="22"/>
                <w:szCs w:val="22"/>
              </w:rPr>
              <w:t>1.380.000.000</w:t>
            </w:r>
          </w:p>
        </w:tc>
        <w:tc>
          <w:tcPr>
            <w:tcW w:w="1140" w:type="dxa"/>
            <w:noWrap/>
            <w:vAlign w:val="center"/>
          </w:tcPr>
          <w:p w14:paraId="78B8A489">
            <w:pPr>
              <w:jc w:val="center"/>
              <w:rPr>
                <w:sz w:val="22"/>
                <w:szCs w:val="22"/>
              </w:rPr>
            </w:pPr>
            <w:r>
              <w:rPr>
                <w:sz w:val="22"/>
                <w:szCs w:val="22"/>
              </w:rPr>
              <w:t>1,61%</w:t>
            </w:r>
          </w:p>
        </w:tc>
      </w:tr>
      <w:tr w14:paraId="58CC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6968FDB">
            <w:pPr>
              <w:jc w:val="center"/>
              <w:rPr>
                <w:sz w:val="22"/>
                <w:szCs w:val="22"/>
              </w:rPr>
            </w:pPr>
            <w:r>
              <w:rPr>
                <w:sz w:val="22"/>
                <w:szCs w:val="22"/>
              </w:rPr>
              <w:t>40</w:t>
            </w:r>
          </w:p>
        </w:tc>
        <w:tc>
          <w:tcPr>
            <w:tcW w:w="1752" w:type="dxa"/>
            <w:noWrap/>
            <w:vAlign w:val="center"/>
          </w:tcPr>
          <w:p w14:paraId="3919A4EB">
            <w:pPr>
              <w:jc w:val="center"/>
              <w:rPr>
                <w:sz w:val="22"/>
                <w:szCs w:val="22"/>
              </w:rPr>
            </w:pPr>
          </w:p>
        </w:tc>
        <w:tc>
          <w:tcPr>
            <w:tcW w:w="944" w:type="dxa"/>
            <w:vMerge w:val="continue"/>
            <w:vAlign w:val="center"/>
          </w:tcPr>
          <w:p w14:paraId="27D8957A">
            <w:pPr>
              <w:jc w:val="center"/>
              <w:rPr>
                <w:sz w:val="22"/>
                <w:szCs w:val="22"/>
              </w:rPr>
            </w:pPr>
          </w:p>
        </w:tc>
        <w:tc>
          <w:tcPr>
            <w:tcW w:w="1116" w:type="dxa"/>
            <w:vAlign w:val="center"/>
          </w:tcPr>
          <w:p w14:paraId="3AEB3573">
            <w:pPr>
              <w:jc w:val="center"/>
              <w:rPr>
                <w:sz w:val="22"/>
                <w:szCs w:val="22"/>
              </w:rPr>
            </w:pPr>
            <w:r>
              <w:rPr>
                <w:sz w:val="22"/>
                <w:szCs w:val="22"/>
              </w:rPr>
              <w:t>39</w:t>
            </w:r>
          </w:p>
        </w:tc>
        <w:tc>
          <w:tcPr>
            <w:tcW w:w="1010" w:type="dxa"/>
            <w:vAlign w:val="center"/>
          </w:tcPr>
          <w:p w14:paraId="6C6E453B">
            <w:pPr>
              <w:jc w:val="center"/>
              <w:rPr>
                <w:sz w:val="22"/>
                <w:szCs w:val="22"/>
              </w:rPr>
            </w:pPr>
            <w:r>
              <w:rPr>
                <w:sz w:val="22"/>
                <w:szCs w:val="22"/>
              </w:rPr>
              <w:t>90,00</w:t>
            </w:r>
          </w:p>
        </w:tc>
        <w:tc>
          <w:tcPr>
            <w:tcW w:w="1591" w:type="dxa"/>
            <w:vAlign w:val="center"/>
          </w:tcPr>
          <w:p w14:paraId="5D62DB13">
            <w:pPr>
              <w:jc w:val="center"/>
              <w:rPr>
                <w:sz w:val="22"/>
                <w:szCs w:val="22"/>
              </w:rPr>
            </w:pPr>
            <w:r>
              <w:rPr>
                <w:sz w:val="22"/>
                <w:szCs w:val="22"/>
              </w:rPr>
              <w:t>855.000.000</w:t>
            </w:r>
          </w:p>
        </w:tc>
        <w:tc>
          <w:tcPr>
            <w:tcW w:w="1700" w:type="dxa"/>
            <w:vAlign w:val="center"/>
          </w:tcPr>
          <w:p w14:paraId="347B3E72">
            <w:pPr>
              <w:jc w:val="center"/>
              <w:rPr>
                <w:sz w:val="22"/>
                <w:szCs w:val="22"/>
              </w:rPr>
            </w:pPr>
            <w:r>
              <w:rPr>
                <w:sz w:val="22"/>
                <w:szCs w:val="22"/>
              </w:rPr>
              <w:t>1.389.600.000</w:t>
            </w:r>
          </w:p>
        </w:tc>
        <w:tc>
          <w:tcPr>
            <w:tcW w:w="1140" w:type="dxa"/>
            <w:noWrap/>
            <w:vAlign w:val="center"/>
          </w:tcPr>
          <w:p w14:paraId="77176D62">
            <w:pPr>
              <w:jc w:val="center"/>
              <w:rPr>
                <w:sz w:val="22"/>
                <w:szCs w:val="22"/>
              </w:rPr>
            </w:pPr>
            <w:r>
              <w:rPr>
                <w:sz w:val="22"/>
                <w:szCs w:val="22"/>
              </w:rPr>
              <w:t>1,63%</w:t>
            </w:r>
          </w:p>
        </w:tc>
      </w:tr>
      <w:tr w14:paraId="1374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E6E2B77">
            <w:pPr>
              <w:jc w:val="center"/>
              <w:rPr>
                <w:sz w:val="22"/>
                <w:szCs w:val="22"/>
              </w:rPr>
            </w:pPr>
            <w:r>
              <w:rPr>
                <w:sz w:val="22"/>
                <w:szCs w:val="22"/>
              </w:rPr>
              <w:t>41</w:t>
            </w:r>
          </w:p>
        </w:tc>
        <w:tc>
          <w:tcPr>
            <w:tcW w:w="1752" w:type="dxa"/>
            <w:noWrap/>
            <w:vAlign w:val="center"/>
          </w:tcPr>
          <w:p w14:paraId="53864873">
            <w:pPr>
              <w:jc w:val="center"/>
              <w:rPr>
                <w:sz w:val="22"/>
                <w:szCs w:val="22"/>
              </w:rPr>
            </w:pPr>
          </w:p>
        </w:tc>
        <w:tc>
          <w:tcPr>
            <w:tcW w:w="944" w:type="dxa"/>
            <w:vMerge w:val="continue"/>
            <w:vAlign w:val="center"/>
          </w:tcPr>
          <w:p w14:paraId="619643E9">
            <w:pPr>
              <w:jc w:val="center"/>
              <w:rPr>
                <w:sz w:val="22"/>
                <w:szCs w:val="22"/>
              </w:rPr>
            </w:pPr>
          </w:p>
        </w:tc>
        <w:tc>
          <w:tcPr>
            <w:tcW w:w="1116" w:type="dxa"/>
            <w:vAlign w:val="center"/>
          </w:tcPr>
          <w:p w14:paraId="5CB81D35">
            <w:pPr>
              <w:jc w:val="center"/>
              <w:rPr>
                <w:sz w:val="22"/>
                <w:szCs w:val="22"/>
              </w:rPr>
            </w:pPr>
            <w:r>
              <w:rPr>
                <w:sz w:val="22"/>
                <w:szCs w:val="22"/>
              </w:rPr>
              <w:t>40</w:t>
            </w:r>
          </w:p>
        </w:tc>
        <w:tc>
          <w:tcPr>
            <w:tcW w:w="1010" w:type="dxa"/>
            <w:vAlign w:val="center"/>
          </w:tcPr>
          <w:p w14:paraId="1E4552BF">
            <w:pPr>
              <w:jc w:val="center"/>
              <w:rPr>
                <w:sz w:val="22"/>
                <w:szCs w:val="22"/>
              </w:rPr>
            </w:pPr>
            <w:r>
              <w:rPr>
                <w:sz w:val="22"/>
                <w:szCs w:val="22"/>
              </w:rPr>
              <w:t>90,00</w:t>
            </w:r>
          </w:p>
        </w:tc>
        <w:tc>
          <w:tcPr>
            <w:tcW w:w="1591" w:type="dxa"/>
            <w:vAlign w:val="center"/>
          </w:tcPr>
          <w:p w14:paraId="648430B7">
            <w:pPr>
              <w:jc w:val="center"/>
              <w:rPr>
                <w:sz w:val="22"/>
                <w:szCs w:val="22"/>
              </w:rPr>
            </w:pPr>
            <w:r>
              <w:rPr>
                <w:sz w:val="22"/>
                <w:szCs w:val="22"/>
              </w:rPr>
              <w:t>855.000.000</w:t>
            </w:r>
          </w:p>
        </w:tc>
        <w:tc>
          <w:tcPr>
            <w:tcW w:w="1700" w:type="dxa"/>
            <w:vAlign w:val="center"/>
          </w:tcPr>
          <w:p w14:paraId="3E4DD9B0">
            <w:pPr>
              <w:jc w:val="center"/>
              <w:rPr>
                <w:sz w:val="22"/>
                <w:szCs w:val="22"/>
              </w:rPr>
            </w:pPr>
            <w:r>
              <w:rPr>
                <w:sz w:val="22"/>
                <w:szCs w:val="22"/>
              </w:rPr>
              <w:t>1.389.600.000</w:t>
            </w:r>
          </w:p>
        </w:tc>
        <w:tc>
          <w:tcPr>
            <w:tcW w:w="1140" w:type="dxa"/>
            <w:noWrap/>
            <w:vAlign w:val="center"/>
          </w:tcPr>
          <w:p w14:paraId="4BA4FC6B">
            <w:pPr>
              <w:jc w:val="center"/>
              <w:rPr>
                <w:sz w:val="22"/>
                <w:szCs w:val="22"/>
              </w:rPr>
            </w:pPr>
            <w:r>
              <w:rPr>
                <w:sz w:val="22"/>
                <w:szCs w:val="22"/>
              </w:rPr>
              <w:t>1,63%</w:t>
            </w:r>
          </w:p>
        </w:tc>
      </w:tr>
      <w:tr w14:paraId="0E78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66BBAE8">
            <w:pPr>
              <w:jc w:val="center"/>
              <w:rPr>
                <w:sz w:val="22"/>
                <w:szCs w:val="22"/>
              </w:rPr>
            </w:pPr>
            <w:r>
              <w:rPr>
                <w:sz w:val="22"/>
                <w:szCs w:val="22"/>
              </w:rPr>
              <w:t>42</w:t>
            </w:r>
          </w:p>
        </w:tc>
        <w:tc>
          <w:tcPr>
            <w:tcW w:w="1752" w:type="dxa"/>
            <w:noWrap/>
            <w:vAlign w:val="center"/>
          </w:tcPr>
          <w:p w14:paraId="1DEE3BD0">
            <w:pPr>
              <w:jc w:val="center"/>
              <w:rPr>
                <w:sz w:val="22"/>
                <w:szCs w:val="22"/>
              </w:rPr>
            </w:pPr>
          </w:p>
        </w:tc>
        <w:tc>
          <w:tcPr>
            <w:tcW w:w="944" w:type="dxa"/>
            <w:vMerge w:val="continue"/>
            <w:vAlign w:val="center"/>
          </w:tcPr>
          <w:p w14:paraId="577952D5">
            <w:pPr>
              <w:jc w:val="center"/>
              <w:rPr>
                <w:sz w:val="22"/>
                <w:szCs w:val="22"/>
              </w:rPr>
            </w:pPr>
          </w:p>
        </w:tc>
        <w:tc>
          <w:tcPr>
            <w:tcW w:w="1116" w:type="dxa"/>
            <w:vAlign w:val="center"/>
          </w:tcPr>
          <w:p w14:paraId="646B9F07">
            <w:pPr>
              <w:jc w:val="center"/>
              <w:rPr>
                <w:sz w:val="22"/>
                <w:szCs w:val="22"/>
              </w:rPr>
            </w:pPr>
            <w:r>
              <w:rPr>
                <w:sz w:val="22"/>
                <w:szCs w:val="22"/>
              </w:rPr>
              <w:t>41</w:t>
            </w:r>
          </w:p>
        </w:tc>
        <w:tc>
          <w:tcPr>
            <w:tcW w:w="1010" w:type="dxa"/>
            <w:vAlign w:val="center"/>
          </w:tcPr>
          <w:p w14:paraId="0FC0ADBB">
            <w:pPr>
              <w:jc w:val="center"/>
              <w:rPr>
                <w:sz w:val="22"/>
                <w:szCs w:val="22"/>
              </w:rPr>
            </w:pPr>
            <w:r>
              <w:rPr>
                <w:sz w:val="22"/>
                <w:szCs w:val="22"/>
              </w:rPr>
              <w:t>90,00</w:t>
            </w:r>
          </w:p>
        </w:tc>
        <w:tc>
          <w:tcPr>
            <w:tcW w:w="1591" w:type="dxa"/>
            <w:vAlign w:val="center"/>
          </w:tcPr>
          <w:p w14:paraId="6DD59EC5">
            <w:pPr>
              <w:jc w:val="center"/>
              <w:rPr>
                <w:sz w:val="22"/>
                <w:szCs w:val="22"/>
              </w:rPr>
            </w:pPr>
            <w:r>
              <w:rPr>
                <w:sz w:val="22"/>
                <w:szCs w:val="22"/>
              </w:rPr>
              <w:t>855.000.000</w:t>
            </w:r>
          </w:p>
        </w:tc>
        <w:tc>
          <w:tcPr>
            <w:tcW w:w="1700" w:type="dxa"/>
            <w:vAlign w:val="center"/>
          </w:tcPr>
          <w:p w14:paraId="3738E27A">
            <w:pPr>
              <w:jc w:val="center"/>
              <w:rPr>
                <w:sz w:val="22"/>
                <w:szCs w:val="22"/>
              </w:rPr>
            </w:pPr>
            <w:r>
              <w:rPr>
                <w:sz w:val="22"/>
                <w:szCs w:val="22"/>
              </w:rPr>
              <w:t>1.389.600.000</w:t>
            </w:r>
          </w:p>
        </w:tc>
        <w:tc>
          <w:tcPr>
            <w:tcW w:w="1140" w:type="dxa"/>
            <w:noWrap/>
            <w:vAlign w:val="center"/>
          </w:tcPr>
          <w:p w14:paraId="1C55465A">
            <w:pPr>
              <w:jc w:val="center"/>
              <w:rPr>
                <w:sz w:val="22"/>
                <w:szCs w:val="22"/>
              </w:rPr>
            </w:pPr>
            <w:r>
              <w:rPr>
                <w:sz w:val="22"/>
                <w:szCs w:val="22"/>
              </w:rPr>
              <w:t>1,63%</w:t>
            </w:r>
          </w:p>
        </w:tc>
      </w:tr>
      <w:tr w14:paraId="4358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72A4F32">
            <w:pPr>
              <w:jc w:val="center"/>
              <w:rPr>
                <w:sz w:val="22"/>
                <w:szCs w:val="22"/>
              </w:rPr>
            </w:pPr>
            <w:r>
              <w:rPr>
                <w:sz w:val="22"/>
                <w:szCs w:val="22"/>
              </w:rPr>
              <w:t>43</w:t>
            </w:r>
          </w:p>
        </w:tc>
        <w:tc>
          <w:tcPr>
            <w:tcW w:w="1752" w:type="dxa"/>
            <w:noWrap/>
            <w:vAlign w:val="center"/>
          </w:tcPr>
          <w:p w14:paraId="3D2D0BFA">
            <w:pPr>
              <w:jc w:val="center"/>
              <w:rPr>
                <w:sz w:val="22"/>
                <w:szCs w:val="22"/>
              </w:rPr>
            </w:pPr>
          </w:p>
        </w:tc>
        <w:tc>
          <w:tcPr>
            <w:tcW w:w="944" w:type="dxa"/>
            <w:vMerge w:val="continue"/>
            <w:vAlign w:val="center"/>
          </w:tcPr>
          <w:p w14:paraId="0431555C">
            <w:pPr>
              <w:jc w:val="center"/>
              <w:rPr>
                <w:sz w:val="22"/>
                <w:szCs w:val="22"/>
              </w:rPr>
            </w:pPr>
          </w:p>
        </w:tc>
        <w:tc>
          <w:tcPr>
            <w:tcW w:w="1116" w:type="dxa"/>
            <w:vAlign w:val="center"/>
          </w:tcPr>
          <w:p w14:paraId="73A44E3C">
            <w:pPr>
              <w:jc w:val="center"/>
              <w:rPr>
                <w:sz w:val="22"/>
                <w:szCs w:val="22"/>
              </w:rPr>
            </w:pPr>
            <w:r>
              <w:rPr>
                <w:sz w:val="22"/>
                <w:szCs w:val="22"/>
              </w:rPr>
              <w:t>42</w:t>
            </w:r>
          </w:p>
        </w:tc>
        <w:tc>
          <w:tcPr>
            <w:tcW w:w="1010" w:type="dxa"/>
            <w:vAlign w:val="center"/>
          </w:tcPr>
          <w:p w14:paraId="015A4D43">
            <w:pPr>
              <w:jc w:val="center"/>
              <w:rPr>
                <w:sz w:val="22"/>
                <w:szCs w:val="22"/>
              </w:rPr>
            </w:pPr>
            <w:r>
              <w:rPr>
                <w:sz w:val="22"/>
                <w:szCs w:val="22"/>
              </w:rPr>
              <w:t>90,00</w:t>
            </w:r>
          </w:p>
        </w:tc>
        <w:tc>
          <w:tcPr>
            <w:tcW w:w="1591" w:type="dxa"/>
            <w:vAlign w:val="center"/>
          </w:tcPr>
          <w:p w14:paraId="0052A164">
            <w:pPr>
              <w:jc w:val="center"/>
              <w:rPr>
                <w:sz w:val="22"/>
                <w:szCs w:val="22"/>
              </w:rPr>
            </w:pPr>
            <w:r>
              <w:rPr>
                <w:sz w:val="22"/>
                <w:szCs w:val="22"/>
              </w:rPr>
              <w:t>855.000.000</w:t>
            </w:r>
          </w:p>
        </w:tc>
        <w:tc>
          <w:tcPr>
            <w:tcW w:w="1700" w:type="dxa"/>
            <w:vAlign w:val="center"/>
          </w:tcPr>
          <w:p w14:paraId="7D062695">
            <w:pPr>
              <w:jc w:val="center"/>
              <w:rPr>
                <w:sz w:val="22"/>
                <w:szCs w:val="22"/>
              </w:rPr>
            </w:pPr>
            <w:r>
              <w:rPr>
                <w:sz w:val="22"/>
                <w:szCs w:val="22"/>
              </w:rPr>
              <w:t>1.355.000.000</w:t>
            </w:r>
          </w:p>
        </w:tc>
        <w:tc>
          <w:tcPr>
            <w:tcW w:w="1140" w:type="dxa"/>
            <w:noWrap/>
            <w:vAlign w:val="center"/>
          </w:tcPr>
          <w:p w14:paraId="700322BD">
            <w:pPr>
              <w:jc w:val="center"/>
              <w:rPr>
                <w:sz w:val="22"/>
                <w:szCs w:val="22"/>
              </w:rPr>
            </w:pPr>
            <w:r>
              <w:rPr>
                <w:sz w:val="22"/>
                <w:szCs w:val="22"/>
              </w:rPr>
              <w:t>1,58%</w:t>
            </w:r>
          </w:p>
        </w:tc>
      </w:tr>
      <w:tr w14:paraId="00EA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A8DBBCF">
            <w:pPr>
              <w:jc w:val="center"/>
              <w:rPr>
                <w:sz w:val="22"/>
                <w:szCs w:val="22"/>
              </w:rPr>
            </w:pPr>
            <w:r>
              <w:rPr>
                <w:sz w:val="22"/>
                <w:szCs w:val="22"/>
              </w:rPr>
              <w:t>44</w:t>
            </w:r>
          </w:p>
        </w:tc>
        <w:tc>
          <w:tcPr>
            <w:tcW w:w="1752" w:type="dxa"/>
            <w:noWrap/>
            <w:vAlign w:val="center"/>
          </w:tcPr>
          <w:p w14:paraId="6A6AD89A">
            <w:pPr>
              <w:jc w:val="center"/>
              <w:rPr>
                <w:sz w:val="22"/>
                <w:szCs w:val="22"/>
              </w:rPr>
            </w:pPr>
          </w:p>
        </w:tc>
        <w:tc>
          <w:tcPr>
            <w:tcW w:w="944" w:type="dxa"/>
            <w:vMerge w:val="continue"/>
            <w:vAlign w:val="center"/>
          </w:tcPr>
          <w:p w14:paraId="20047512">
            <w:pPr>
              <w:jc w:val="center"/>
              <w:rPr>
                <w:sz w:val="22"/>
                <w:szCs w:val="22"/>
              </w:rPr>
            </w:pPr>
          </w:p>
        </w:tc>
        <w:tc>
          <w:tcPr>
            <w:tcW w:w="1116" w:type="dxa"/>
            <w:vAlign w:val="center"/>
          </w:tcPr>
          <w:p w14:paraId="660C074F">
            <w:pPr>
              <w:jc w:val="center"/>
              <w:rPr>
                <w:sz w:val="22"/>
                <w:szCs w:val="22"/>
              </w:rPr>
            </w:pPr>
            <w:r>
              <w:rPr>
                <w:sz w:val="22"/>
                <w:szCs w:val="22"/>
              </w:rPr>
              <w:t>43</w:t>
            </w:r>
          </w:p>
        </w:tc>
        <w:tc>
          <w:tcPr>
            <w:tcW w:w="1010" w:type="dxa"/>
            <w:vAlign w:val="center"/>
          </w:tcPr>
          <w:p w14:paraId="76813E62">
            <w:pPr>
              <w:jc w:val="center"/>
              <w:rPr>
                <w:sz w:val="22"/>
                <w:szCs w:val="22"/>
              </w:rPr>
            </w:pPr>
            <w:r>
              <w:rPr>
                <w:sz w:val="22"/>
                <w:szCs w:val="22"/>
              </w:rPr>
              <w:t>90,00</w:t>
            </w:r>
          </w:p>
        </w:tc>
        <w:tc>
          <w:tcPr>
            <w:tcW w:w="1591" w:type="dxa"/>
            <w:vAlign w:val="center"/>
          </w:tcPr>
          <w:p w14:paraId="574329E4">
            <w:pPr>
              <w:jc w:val="center"/>
              <w:rPr>
                <w:sz w:val="22"/>
                <w:szCs w:val="22"/>
              </w:rPr>
            </w:pPr>
            <w:r>
              <w:rPr>
                <w:sz w:val="22"/>
                <w:szCs w:val="22"/>
              </w:rPr>
              <w:t>855.000.000</w:t>
            </w:r>
          </w:p>
        </w:tc>
        <w:tc>
          <w:tcPr>
            <w:tcW w:w="1700" w:type="dxa"/>
            <w:vAlign w:val="center"/>
          </w:tcPr>
          <w:p w14:paraId="46AAE612">
            <w:pPr>
              <w:jc w:val="center"/>
              <w:rPr>
                <w:sz w:val="22"/>
                <w:szCs w:val="22"/>
              </w:rPr>
            </w:pPr>
            <w:r>
              <w:rPr>
                <w:sz w:val="22"/>
                <w:szCs w:val="22"/>
              </w:rPr>
              <w:t>1.356.000.000</w:t>
            </w:r>
          </w:p>
        </w:tc>
        <w:tc>
          <w:tcPr>
            <w:tcW w:w="1140" w:type="dxa"/>
            <w:noWrap/>
            <w:vAlign w:val="center"/>
          </w:tcPr>
          <w:p w14:paraId="25491D01">
            <w:pPr>
              <w:jc w:val="center"/>
              <w:rPr>
                <w:sz w:val="22"/>
                <w:szCs w:val="22"/>
              </w:rPr>
            </w:pPr>
            <w:r>
              <w:rPr>
                <w:sz w:val="22"/>
                <w:szCs w:val="22"/>
              </w:rPr>
              <w:t>1,59%</w:t>
            </w:r>
          </w:p>
        </w:tc>
      </w:tr>
      <w:tr w14:paraId="617E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BB35A35">
            <w:pPr>
              <w:jc w:val="center"/>
              <w:rPr>
                <w:sz w:val="22"/>
                <w:szCs w:val="22"/>
              </w:rPr>
            </w:pPr>
            <w:r>
              <w:rPr>
                <w:sz w:val="22"/>
                <w:szCs w:val="22"/>
              </w:rPr>
              <w:t>45</w:t>
            </w:r>
          </w:p>
        </w:tc>
        <w:tc>
          <w:tcPr>
            <w:tcW w:w="1752" w:type="dxa"/>
            <w:noWrap/>
            <w:vAlign w:val="center"/>
          </w:tcPr>
          <w:p w14:paraId="6A987E97">
            <w:pPr>
              <w:jc w:val="center"/>
              <w:rPr>
                <w:sz w:val="22"/>
                <w:szCs w:val="22"/>
              </w:rPr>
            </w:pPr>
          </w:p>
        </w:tc>
        <w:tc>
          <w:tcPr>
            <w:tcW w:w="944" w:type="dxa"/>
            <w:vMerge w:val="continue"/>
            <w:vAlign w:val="center"/>
          </w:tcPr>
          <w:p w14:paraId="773D5C44">
            <w:pPr>
              <w:jc w:val="center"/>
              <w:rPr>
                <w:sz w:val="22"/>
                <w:szCs w:val="22"/>
              </w:rPr>
            </w:pPr>
          </w:p>
        </w:tc>
        <w:tc>
          <w:tcPr>
            <w:tcW w:w="1116" w:type="dxa"/>
            <w:vAlign w:val="center"/>
          </w:tcPr>
          <w:p w14:paraId="08098EBF">
            <w:pPr>
              <w:jc w:val="center"/>
              <w:rPr>
                <w:sz w:val="22"/>
                <w:szCs w:val="22"/>
              </w:rPr>
            </w:pPr>
            <w:r>
              <w:rPr>
                <w:sz w:val="22"/>
                <w:szCs w:val="22"/>
              </w:rPr>
              <w:t>44</w:t>
            </w:r>
          </w:p>
        </w:tc>
        <w:tc>
          <w:tcPr>
            <w:tcW w:w="1010" w:type="dxa"/>
            <w:vAlign w:val="center"/>
          </w:tcPr>
          <w:p w14:paraId="71B5FA8B">
            <w:pPr>
              <w:jc w:val="center"/>
              <w:rPr>
                <w:sz w:val="22"/>
                <w:szCs w:val="22"/>
              </w:rPr>
            </w:pPr>
            <w:r>
              <w:rPr>
                <w:sz w:val="22"/>
                <w:szCs w:val="22"/>
              </w:rPr>
              <w:t>90,00</w:t>
            </w:r>
          </w:p>
        </w:tc>
        <w:tc>
          <w:tcPr>
            <w:tcW w:w="1591" w:type="dxa"/>
            <w:vAlign w:val="center"/>
          </w:tcPr>
          <w:p w14:paraId="6D59996F">
            <w:pPr>
              <w:jc w:val="center"/>
              <w:rPr>
                <w:sz w:val="22"/>
                <w:szCs w:val="22"/>
              </w:rPr>
            </w:pPr>
            <w:r>
              <w:rPr>
                <w:sz w:val="22"/>
                <w:szCs w:val="22"/>
              </w:rPr>
              <w:t>855.000.000</w:t>
            </w:r>
          </w:p>
        </w:tc>
        <w:tc>
          <w:tcPr>
            <w:tcW w:w="1700" w:type="dxa"/>
            <w:vAlign w:val="center"/>
          </w:tcPr>
          <w:p w14:paraId="216029BE">
            <w:pPr>
              <w:jc w:val="center"/>
              <w:rPr>
                <w:sz w:val="22"/>
                <w:szCs w:val="22"/>
              </w:rPr>
            </w:pPr>
            <w:r>
              <w:rPr>
                <w:sz w:val="22"/>
                <w:szCs w:val="22"/>
              </w:rPr>
              <w:t>1.440.000.000</w:t>
            </w:r>
          </w:p>
        </w:tc>
        <w:tc>
          <w:tcPr>
            <w:tcW w:w="1140" w:type="dxa"/>
            <w:noWrap/>
            <w:vAlign w:val="center"/>
          </w:tcPr>
          <w:p w14:paraId="012E1F97">
            <w:pPr>
              <w:jc w:val="center"/>
              <w:rPr>
                <w:sz w:val="22"/>
                <w:szCs w:val="22"/>
              </w:rPr>
            </w:pPr>
            <w:r>
              <w:rPr>
                <w:sz w:val="22"/>
                <w:szCs w:val="22"/>
              </w:rPr>
              <w:t>1,68%</w:t>
            </w:r>
          </w:p>
        </w:tc>
      </w:tr>
      <w:tr w14:paraId="23DC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0218DD2">
            <w:pPr>
              <w:jc w:val="center"/>
              <w:rPr>
                <w:sz w:val="22"/>
                <w:szCs w:val="22"/>
              </w:rPr>
            </w:pPr>
            <w:r>
              <w:rPr>
                <w:sz w:val="22"/>
                <w:szCs w:val="22"/>
              </w:rPr>
              <w:t>46</w:t>
            </w:r>
          </w:p>
        </w:tc>
        <w:tc>
          <w:tcPr>
            <w:tcW w:w="1752" w:type="dxa"/>
            <w:noWrap/>
            <w:vAlign w:val="center"/>
          </w:tcPr>
          <w:p w14:paraId="324A84AF">
            <w:pPr>
              <w:jc w:val="center"/>
              <w:rPr>
                <w:sz w:val="22"/>
                <w:szCs w:val="22"/>
              </w:rPr>
            </w:pPr>
          </w:p>
        </w:tc>
        <w:tc>
          <w:tcPr>
            <w:tcW w:w="944" w:type="dxa"/>
            <w:vMerge w:val="continue"/>
            <w:vAlign w:val="center"/>
          </w:tcPr>
          <w:p w14:paraId="6FD10DC8">
            <w:pPr>
              <w:jc w:val="center"/>
              <w:rPr>
                <w:sz w:val="22"/>
                <w:szCs w:val="22"/>
              </w:rPr>
            </w:pPr>
          </w:p>
        </w:tc>
        <w:tc>
          <w:tcPr>
            <w:tcW w:w="1116" w:type="dxa"/>
            <w:vAlign w:val="center"/>
          </w:tcPr>
          <w:p w14:paraId="420A9430">
            <w:pPr>
              <w:jc w:val="center"/>
              <w:rPr>
                <w:sz w:val="22"/>
                <w:szCs w:val="22"/>
              </w:rPr>
            </w:pPr>
            <w:r>
              <w:rPr>
                <w:sz w:val="22"/>
                <w:szCs w:val="22"/>
              </w:rPr>
              <w:t>45</w:t>
            </w:r>
          </w:p>
        </w:tc>
        <w:tc>
          <w:tcPr>
            <w:tcW w:w="1010" w:type="dxa"/>
            <w:vAlign w:val="center"/>
          </w:tcPr>
          <w:p w14:paraId="2AE3C9E2">
            <w:pPr>
              <w:jc w:val="center"/>
              <w:rPr>
                <w:sz w:val="22"/>
                <w:szCs w:val="22"/>
              </w:rPr>
            </w:pPr>
            <w:r>
              <w:rPr>
                <w:sz w:val="22"/>
                <w:szCs w:val="22"/>
              </w:rPr>
              <w:t>90,00</w:t>
            </w:r>
          </w:p>
        </w:tc>
        <w:tc>
          <w:tcPr>
            <w:tcW w:w="1591" w:type="dxa"/>
            <w:vAlign w:val="center"/>
          </w:tcPr>
          <w:p w14:paraId="7FC4B1C6">
            <w:pPr>
              <w:jc w:val="center"/>
              <w:rPr>
                <w:sz w:val="22"/>
                <w:szCs w:val="22"/>
              </w:rPr>
            </w:pPr>
            <w:r>
              <w:rPr>
                <w:sz w:val="22"/>
                <w:szCs w:val="22"/>
              </w:rPr>
              <w:t>855.000.000</w:t>
            </w:r>
          </w:p>
        </w:tc>
        <w:tc>
          <w:tcPr>
            <w:tcW w:w="1700" w:type="dxa"/>
            <w:vAlign w:val="center"/>
          </w:tcPr>
          <w:p w14:paraId="37E4EE7E">
            <w:pPr>
              <w:jc w:val="center"/>
              <w:rPr>
                <w:sz w:val="22"/>
                <w:szCs w:val="22"/>
              </w:rPr>
            </w:pPr>
            <w:r>
              <w:rPr>
                <w:sz w:val="22"/>
                <w:szCs w:val="22"/>
              </w:rPr>
              <w:t>1.458.000.000</w:t>
            </w:r>
          </w:p>
        </w:tc>
        <w:tc>
          <w:tcPr>
            <w:tcW w:w="1140" w:type="dxa"/>
            <w:noWrap/>
            <w:vAlign w:val="center"/>
          </w:tcPr>
          <w:p w14:paraId="649E3176">
            <w:pPr>
              <w:jc w:val="center"/>
              <w:rPr>
                <w:sz w:val="22"/>
                <w:szCs w:val="22"/>
              </w:rPr>
            </w:pPr>
            <w:r>
              <w:rPr>
                <w:sz w:val="22"/>
                <w:szCs w:val="22"/>
              </w:rPr>
              <w:t>1,71%</w:t>
            </w:r>
          </w:p>
        </w:tc>
      </w:tr>
      <w:tr w14:paraId="08FB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940965C">
            <w:pPr>
              <w:jc w:val="center"/>
              <w:rPr>
                <w:sz w:val="22"/>
                <w:szCs w:val="22"/>
              </w:rPr>
            </w:pPr>
            <w:r>
              <w:rPr>
                <w:sz w:val="22"/>
                <w:szCs w:val="22"/>
              </w:rPr>
              <w:t>47</w:t>
            </w:r>
          </w:p>
        </w:tc>
        <w:tc>
          <w:tcPr>
            <w:tcW w:w="1752" w:type="dxa"/>
            <w:noWrap/>
            <w:vAlign w:val="center"/>
          </w:tcPr>
          <w:p w14:paraId="1DD53B43">
            <w:pPr>
              <w:jc w:val="center"/>
              <w:rPr>
                <w:sz w:val="22"/>
                <w:szCs w:val="22"/>
              </w:rPr>
            </w:pPr>
          </w:p>
        </w:tc>
        <w:tc>
          <w:tcPr>
            <w:tcW w:w="944" w:type="dxa"/>
            <w:vMerge w:val="continue"/>
            <w:vAlign w:val="center"/>
          </w:tcPr>
          <w:p w14:paraId="184F4C23">
            <w:pPr>
              <w:jc w:val="center"/>
              <w:rPr>
                <w:sz w:val="22"/>
                <w:szCs w:val="22"/>
              </w:rPr>
            </w:pPr>
          </w:p>
        </w:tc>
        <w:tc>
          <w:tcPr>
            <w:tcW w:w="1116" w:type="dxa"/>
            <w:vAlign w:val="center"/>
          </w:tcPr>
          <w:p w14:paraId="3528A98A">
            <w:pPr>
              <w:jc w:val="center"/>
              <w:rPr>
                <w:sz w:val="22"/>
                <w:szCs w:val="22"/>
              </w:rPr>
            </w:pPr>
            <w:r>
              <w:rPr>
                <w:sz w:val="22"/>
                <w:szCs w:val="22"/>
              </w:rPr>
              <w:t>46</w:t>
            </w:r>
          </w:p>
        </w:tc>
        <w:tc>
          <w:tcPr>
            <w:tcW w:w="1010" w:type="dxa"/>
            <w:vAlign w:val="center"/>
          </w:tcPr>
          <w:p w14:paraId="73FCF044">
            <w:pPr>
              <w:jc w:val="center"/>
              <w:rPr>
                <w:sz w:val="22"/>
                <w:szCs w:val="22"/>
              </w:rPr>
            </w:pPr>
            <w:r>
              <w:rPr>
                <w:sz w:val="22"/>
                <w:szCs w:val="22"/>
              </w:rPr>
              <w:t>90,00</w:t>
            </w:r>
          </w:p>
        </w:tc>
        <w:tc>
          <w:tcPr>
            <w:tcW w:w="1591" w:type="dxa"/>
            <w:vAlign w:val="center"/>
          </w:tcPr>
          <w:p w14:paraId="499A5870">
            <w:pPr>
              <w:jc w:val="center"/>
              <w:rPr>
                <w:sz w:val="22"/>
                <w:szCs w:val="22"/>
              </w:rPr>
            </w:pPr>
            <w:r>
              <w:rPr>
                <w:sz w:val="22"/>
                <w:szCs w:val="22"/>
              </w:rPr>
              <w:t>855.000.000</w:t>
            </w:r>
          </w:p>
        </w:tc>
        <w:tc>
          <w:tcPr>
            <w:tcW w:w="1700" w:type="dxa"/>
            <w:vAlign w:val="center"/>
          </w:tcPr>
          <w:p w14:paraId="413FA4B8">
            <w:pPr>
              <w:jc w:val="center"/>
              <w:rPr>
                <w:sz w:val="22"/>
                <w:szCs w:val="22"/>
              </w:rPr>
            </w:pPr>
            <w:r>
              <w:rPr>
                <w:sz w:val="22"/>
                <w:szCs w:val="22"/>
              </w:rPr>
              <w:t>1.407.000.000</w:t>
            </w:r>
          </w:p>
        </w:tc>
        <w:tc>
          <w:tcPr>
            <w:tcW w:w="1140" w:type="dxa"/>
            <w:noWrap/>
            <w:vAlign w:val="center"/>
          </w:tcPr>
          <w:p w14:paraId="419EED20">
            <w:pPr>
              <w:jc w:val="center"/>
              <w:rPr>
                <w:sz w:val="22"/>
                <w:szCs w:val="22"/>
              </w:rPr>
            </w:pPr>
            <w:r>
              <w:rPr>
                <w:sz w:val="22"/>
                <w:szCs w:val="22"/>
              </w:rPr>
              <w:t>1,65%</w:t>
            </w:r>
          </w:p>
        </w:tc>
      </w:tr>
      <w:tr w14:paraId="3E0E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EF453D0">
            <w:pPr>
              <w:jc w:val="center"/>
              <w:rPr>
                <w:sz w:val="22"/>
                <w:szCs w:val="22"/>
              </w:rPr>
            </w:pPr>
            <w:r>
              <w:rPr>
                <w:sz w:val="22"/>
                <w:szCs w:val="22"/>
              </w:rPr>
              <w:t>48</w:t>
            </w:r>
          </w:p>
        </w:tc>
        <w:tc>
          <w:tcPr>
            <w:tcW w:w="1752" w:type="dxa"/>
            <w:noWrap/>
            <w:vAlign w:val="center"/>
          </w:tcPr>
          <w:p w14:paraId="3E403219">
            <w:pPr>
              <w:jc w:val="center"/>
              <w:rPr>
                <w:sz w:val="22"/>
                <w:szCs w:val="22"/>
              </w:rPr>
            </w:pPr>
          </w:p>
        </w:tc>
        <w:tc>
          <w:tcPr>
            <w:tcW w:w="944" w:type="dxa"/>
            <w:vMerge w:val="continue"/>
            <w:vAlign w:val="center"/>
          </w:tcPr>
          <w:p w14:paraId="3FCEB343">
            <w:pPr>
              <w:jc w:val="center"/>
              <w:rPr>
                <w:sz w:val="22"/>
                <w:szCs w:val="22"/>
              </w:rPr>
            </w:pPr>
          </w:p>
        </w:tc>
        <w:tc>
          <w:tcPr>
            <w:tcW w:w="1116" w:type="dxa"/>
            <w:vAlign w:val="center"/>
          </w:tcPr>
          <w:p w14:paraId="77BFE46F">
            <w:pPr>
              <w:jc w:val="center"/>
              <w:rPr>
                <w:sz w:val="22"/>
                <w:szCs w:val="22"/>
              </w:rPr>
            </w:pPr>
            <w:r>
              <w:rPr>
                <w:sz w:val="22"/>
                <w:szCs w:val="22"/>
              </w:rPr>
              <w:t>47</w:t>
            </w:r>
          </w:p>
        </w:tc>
        <w:tc>
          <w:tcPr>
            <w:tcW w:w="1010" w:type="dxa"/>
            <w:vAlign w:val="center"/>
          </w:tcPr>
          <w:p w14:paraId="17AB6106">
            <w:pPr>
              <w:jc w:val="center"/>
              <w:rPr>
                <w:sz w:val="22"/>
                <w:szCs w:val="22"/>
              </w:rPr>
            </w:pPr>
            <w:r>
              <w:rPr>
                <w:sz w:val="22"/>
                <w:szCs w:val="22"/>
              </w:rPr>
              <w:t>90,00</w:t>
            </w:r>
          </w:p>
        </w:tc>
        <w:tc>
          <w:tcPr>
            <w:tcW w:w="1591" w:type="dxa"/>
            <w:vAlign w:val="center"/>
          </w:tcPr>
          <w:p w14:paraId="24B5EFD5">
            <w:pPr>
              <w:jc w:val="center"/>
              <w:rPr>
                <w:sz w:val="22"/>
                <w:szCs w:val="22"/>
              </w:rPr>
            </w:pPr>
            <w:r>
              <w:rPr>
                <w:sz w:val="22"/>
                <w:szCs w:val="22"/>
              </w:rPr>
              <w:t>855.000.000</w:t>
            </w:r>
          </w:p>
        </w:tc>
        <w:tc>
          <w:tcPr>
            <w:tcW w:w="1700" w:type="dxa"/>
            <w:vAlign w:val="center"/>
          </w:tcPr>
          <w:p w14:paraId="72BE913F">
            <w:pPr>
              <w:jc w:val="center"/>
              <w:rPr>
                <w:sz w:val="22"/>
                <w:szCs w:val="22"/>
              </w:rPr>
            </w:pPr>
            <w:r>
              <w:rPr>
                <w:sz w:val="22"/>
                <w:szCs w:val="22"/>
              </w:rPr>
              <w:t>1.365.000.000</w:t>
            </w:r>
          </w:p>
        </w:tc>
        <w:tc>
          <w:tcPr>
            <w:tcW w:w="1140" w:type="dxa"/>
            <w:noWrap/>
            <w:vAlign w:val="center"/>
          </w:tcPr>
          <w:p w14:paraId="13D71A0C">
            <w:pPr>
              <w:jc w:val="center"/>
              <w:rPr>
                <w:sz w:val="22"/>
                <w:szCs w:val="22"/>
              </w:rPr>
            </w:pPr>
            <w:r>
              <w:rPr>
                <w:sz w:val="22"/>
                <w:szCs w:val="22"/>
              </w:rPr>
              <w:t>1,60%</w:t>
            </w:r>
          </w:p>
        </w:tc>
      </w:tr>
      <w:tr w14:paraId="65BE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E43B1B5">
            <w:pPr>
              <w:jc w:val="center"/>
              <w:rPr>
                <w:sz w:val="22"/>
                <w:szCs w:val="22"/>
              </w:rPr>
            </w:pPr>
            <w:r>
              <w:rPr>
                <w:sz w:val="22"/>
                <w:szCs w:val="22"/>
              </w:rPr>
              <w:t>49</w:t>
            </w:r>
          </w:p>
        </w:tc>
        <w:tc>
          <w:tcPr>
            <w:tcW w:w="1752" w:type="dxa"/>
            <w:noWrap/>
            <w:vAlign w:val="center"/>
          </w:tcPr>
          <w:p w14:paraId="660548FD">
            <w:pPr>
              <w:jc w:val="center"/>
              <w:rPr>
                <w:sz w:val="22"/>
                <w:szCs w:val="22"/>
              </w:rPr>
            </w:pPr>
          </w:p>
        </w:tc>
        <w:tc>
          <w:tcPr>
            <w:tcW w:w="944" w:type="dxa"/>
            <w:vMerge w:val="continue"/>
            <w:vAlign w:val="center"/>
          </w:tcPr>
          <w:p w14:paraId="73CE02C0">
            <w:pPr>
              <w:jc w:val="center"/>
              <w:rPr>
                <w:sz w:val="22"/>
                <w:szCs w:val="22"/>
              </w:rPr>
            </w:pPr>
          </w:p>
        </w:tc>
        <w:tc>
          <w:tcPr>
            <w:tcW w:w="1116" w:type="dxa"/>
            <w:vAlign w:val="center"/>
          </w:tcPr>
          <w:p w14:paraId="414C6EB8">
            <w:pPr>
              <w:jc w:val="center"/>
              <w:rPr>
                <w:sz w:val="22"/>
                <w:szCs w:val="22"/>
              </w:rPr>
            </w:pPr>
            <w:r>
              <w:rPr>
                <w:sz w:val="22"/>
                <w:szCs w:val="22"/>
              </w:rPr>
              <w:t>48</w:t>
            </w:r>
          </w:p>
        </w:tc>
        <w:tc>
          <w:tcPr>
            <w:tcW w:w="1010" w:type="dxa"/>
            <w:vAlign w:val="center"/>
          </w:tcPr>
          <w:p w14:paraId="2C406322">
            <w:pPr>
              <w:jc w:val="center"/>
              <w:rPr>
                <w:sz w:val="22"/>
                <w:szCs w:val="22"/>
              </w:rPr>
            </w:pPr>
            <w:r>
              <w:rPr>
                <w:sz w:val="22"/>
                <w:szCs w:val="22"/>
              </w:rPr>
              <w:t>90,00</w:t>
            </w:r>
          </w:p>
        </w:tc>
        <w:tc>
          <w:tcPr>
            <w:tcW w:w="1591" w:type="dxa"/>
            <w:vAlign w:val="center"/>
          </w:tcPr>
          <w:p w14:paraId="3D27E478">
            <w:pPr>
              <w:jc w:val="center"/>
              <w:rPr>
                <w:sz w:val="22"/>
                <w:szCs w:val="22"/>
              </w:rPr>
            </w:pPr>
            <w:r>
              <w:rPr>
                <w:sz w:val="22"/>
                <w:szCs w:val="22"/>
              </w:rPr>
              <w:t>855.000.000</w:t>
            </w:r>
          </w:p>
        </w:tc>
        <w:tc>
          <w:tcPr>
            <w:tcW w:w="1700" w:type="dxa"/>
            <w:vAlign w:val="center"/>
          </w:tcPr>
          <w:p w14:paraId="3E74B69F">
            <w:pPr>
              <w:jc w:val="center"/>
              <w:rPr>
                <w:sz w:val="22"/>
                <w:szCs w:val="22"/>
              </w:rPr>
            </w:pPr>
            <w:r>
              <w:rPr>
                <w:sz w:val="22"/>
                <w:szCs w:val="22"/>
              </w:rPr>
              <w:t>1.419.000.000</w:t>
            </w:r>
          </w:p>
        </w:tc>
        <w:tc>
          <w:tcPr>
            <w:tcW w:w="1140" w:type="dxa"/>
            <w:noWrap/>
            <w:vAlign w:val="center"/>
          </w:tcPr>
          <w:p w14:paraId="1E8EC23D">
            <w:pPr>
              <w:jc w:val="center"/>
              <w:rPr>
                <w:sz w:val="22"/>
                <w:szCs w:val="22"/>
              </w:rPr>
            </w:pPr>
            <w:r>
              <w:rPr>
                <w:sz w:val="22"/>
                <w:szCs w:val="22"/>
              </w:rPr>
              <w:t>1,66%</w:t>
            </w:r>
          </w:p>
        </w:tc>
      </w:tr>
      <w:tr w14:paraId="4C76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1C76674">
            <w:pPr>
              <w:jc w:val="center"/>
              <w:rPr>
                <w:sz w:val="22"/>
                <w:szCs w:val="22"/>
              </w:rPr>
            </w:pPr>
            <w:r>
              <w:rPr>
                <w:sz w:val="22"/>
                <w:szCs w:val="22"/>
              </w:rPr>
              <w:t>50</w:t>
            </w:r>
          </w:p>
        </w:tc>
        <w:tc>
          <w:tcPr>
            <w:tcW w:w="1752" w:type="dxa"/>
            <w:noWrap/>
            <w:vAlign w:val="center"/>
          </w:tcPr>
          <w:p w14:paraId="69B25C43">
            <w:pPr>
              <w:jc w:val="center"/>
              <w:rPr>
                <w:sz w:val="22"/>
                <w:szCs w:val="22"/>
              </w:rPr>
            </w:pPr>
          </w:p>
        </w:tc>
        <w:tc>
          <w:tcPr>
            <w:tcW w:w="944" w:type="dxa"/>
            <w:vMerge w:val="continue"/>
            <w:vAlign w:val="center"/>
          </w:tcPr>
          <w:p w14:paraId="7A8A544C">
            <w:pPr>
              <w:jc w:val="center"/>
              <w:rPr>
                <w:sz w:val="22"/>
                <w:szCs w:val="22"/>
              </w:rPr>
            </w:pPr>
          </w:p>
        </w:tc>
        <w:tc>
          <w:tcPr>
            <w:tcW w:w="1116" w:type="dxa"/>
            <w:vAlign w:val="center"/>
          </w:tcPr>
          <w:p w14:paraId="27D0DF46">
            <w:pPr>
              <w:jc w:val="center"/>
              <w:rPr>
                <w:sz w:val="22"/>
                <w:szCs w:val="22"/>
              </w:rPr>
            </w:pPr>
            <w:r>
              <w:rPr>
                <w:sz w:val="22"/>
                <w:szCs w:val="22"/>
              </w:rPr>
              <w:t>49</w:t>
            </w:r>
          </w:p>
        </w:tc>
        <w:tc>
          <w:tcPr>
            <w:tcW w:w="1010" w:type="dxa"/>
            <w:vAlign w:val="center"/>
          </w:tcPr>
          <w:p w14:paraId="1312370E">
            <w:pPr>
              <w:jc w:val="center"/>
              <w:rPr>
                <w:sz w:val="22"/>
                <w:szCs w:val="22"/>
              </w:rPr>
            </w:pPr>
            <w:r>
              <w:rPr>
                <w:sz w:val="22"/>
                <w:szCs w:val="22"/>
              </w:rPr>
              <w:t>90,00</w:t>
            </w:r>
          </w:p>
        </w:tc>
        <w:tc>
          <w:tcPr>
            <w:tcW w:w="1591" w:type="dxa"/>
            <w:vAlign w:val="center"/>
          </w:tcPr>
          <w:p w14:paraId="3CD6D786">
            <w:pPr>
              <w:jc w:val="center"/>
              <w:rPr>
                <w:sz w:val="22"/>
                <w:szCs w:val="22"/>
              </w:rPr>
            </w:pPr>
            <w:r>
              <w:rPr>
                <w:sz w:val="22"/>
                <w:szCs w:val="22"/>
              </w:rPr>
              <w:t>855.000.000</w:t>
            </w:r>
          </w:p>
        </w:tc>
        <w:tc>
          <w:tcPr>
            <w:tcW w:w="1700" w:type="dxa"/>
            <w:vAlign w:val="center"/>
          </w:tcPr>
          <w:p w14:paraId="1916F571">
            <w:pPr>
              <w:jc w:val="center"/>
              <w:rPr>
                <w:sz w:val="22"/>
                <w:szCs w:val="22"/>
              </w:rPr>
            </w:pPr>
            <w:r>
              <w:rPr>
                <w:sz w:val="22"/>
                <w:szCs w:val="22"/>
              </w:rPr>
              <w:t>1.366.000.000</w:t>
            </w:r>
          </w:p>
        </w:tc>
        <w:tc>
          <w:tcPr>
            <w:tcW w:w="1140" w:type="dxa"/>
            <w:noWrap/>
            <w:vAlign w:val="center"/>
          </w:tcPr>
          <w:p w14:paraId="20D2A7A6">
            <w:pPr>
              <w:jc w:val="center"/>
              <w:rPr>
                <w:sz w:val="22"/>
                <w:szCs w:val="22"/>
              </w:rPr>
            </w:pPr>
            <w:r>
              <w:rPr>
                <w:sz w:val="22"/>
                <w:szCs w:val="22"/>
              </w:rPr>
              <w:t>1,60%</w:t>
            </w:r>
          </w:p>
        </w:tc>
      </w:tr>
      <w:tr w14:paraId="435A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3CB5CDB">
            <w:pPr>
              <w:jc w:val="center"/>
              <w:rPr>
                <w:sz w:val="22"/>
                <w:szCs w:val="22"/>
              </w:rPr>
            </w:pPr>
            <w:r>
              <w:rPr>
                <w:sz w:val="22"/>
                <w:szCs w:val="22"/>
              </w:rPr>
              <w:t>51</w:t>
            </w:r>
          </w:p>
        </w:tc>
        <w:tc>
          <w:tcPr>
            <w:tcW w:w="1752" w:type="dxa"/>
            <w:noWrap/>
            <w:vAlign w:val="center"/>
          </w:tcPr>
          <w:p w14:paraId="5BB62063">
            <w:pPr>
              <w:jc w:val="center"/>
              <w:rPr>
                <w:sz w:val="22"/>
                <w:szCs w:val="22"/>
              </w:rPr>
            </w:pPr>
          </w:p>
        </w:tc>
        <w:tc>
          <w:tcPr>
            <w:tcW w:w="944" w:type="dxa"/>
            <w:vMerge w:val="continue"/>
            <w:vAlign w:val="center"/>
          </w:tcPr>
          <w:p w14:paraId="75056648">
            <w:pPr>
              <w:jc w:val="center"/>
              <w:rPr>
                <w:sz w:val="22"/>
                <w:szCs w:val="22"/>
              </w:rPr>
            </w:pPr>
          </w:p>
        </w:tc>
        <w:tc>
          <w:tcPr>
            <w:tcW w:w="1116" w:type="dxa"/>
            <w:vAlign w:val="center"/>
          </w:tcPr>
          <w:p w14:paraId="6B31BCB5">
            <w:pPr>
              <w:jc w:val="center"/>
              <w:rPr>
                <w:sz w:val="22"/>
                <w:szCs w:val="22"/>
              </w:rPr>
            </w:pPr>
            <w:r>
              <w:rPr>
                <w:sz w:val="22"/>
                <w:szCs w:val="22"/>
              </w:rPr>
              <w:t>50</w:t>
            </w:r>
          </w:p>
        </w:tc>
        <w:tc>
          <w:tcPr>
            <w:tcW w:w="1010" w:type="dxa"/>
            <w:vAlign w:val="center"/>
          </w:tcPr>
          <w:p w14:paraId="6E2162F6">
            <w:pPr>
              <w:jc w:val="center"/>
              <w:rPr>
                <w:sz w:val="22"/>
                <w:szCs w:val="22"/>
              </w:rPr>
            </w:pPr>
            <w:r>
              <w:rPr>
                <w:sz w:val="22"/>
                <w:szCs w:val="22"/>
              </w:rPr>
              <w:t>90,00</w:t>
            </w:r>
          </w:p>
        </w:tc>
        <w:tc>
          <w:tcPr>
            <w:tcW w:w="1591" w:type="dxa"/>
            <w:vAlign w:val="center"/>
          </w:tcPr>
          <w:p w14:paraId="11DE7746">
            <w:pPr>
              <w:jc w:val="center"/>
              <w:rPr>
                <w:sz w:val="22"/>
                <w:szCs w:val="22"/>
              </w:rPr>
            </w:pPr>
            <w:r>
              <w:rPr>
                <w:sz w:val="22"/>
                <w:szCs w:val="22"/>
              </w:rPr>
              <w:t>855.000.000</w:t>
            </w:r>
          </w:p>
        </w:tc>
        <w:tc>
          <w:tcPr>
            <w:tcW w:w="1700" w:type="dxa"/>
            <w:vAlign w:val="center"/>
          </w:tcPr>
          <w:p w14:paraId="1E926E4E">
            <w:pPr>
              <w:jc w:val="center"/>
              <w:rPr>
                <w:sz w:val="22"/>
                <w:szCs w:val="22"/>
              </w:rPr>
            </w:pPr>
            <w:r>
              <w:rPr>
                <w:sz w:val="22"/>
                <w:szCs w:val="22"/>
              </w:rPr>
              <w:t>1.429.000.000</w:t>
            </w:r>
          </w:p>
        </w:tc>
        <w:tc>
          <w:tcPr>
            <w:tcW w:w="1140" w:type="dxa"/>
            <w:noWrap/>
            <w:vAlign w:val="center"/>
          </w:tcPr>
          <w:p w14:paraId="729E70D0">
            <w:pPr>
              <w:jc w:val="center"/>
              <w:rPr>
                <w:sz w:val="22"/>
                <w:szCs w:val="22"/>
              </w:rPr>
            </w:pPr>
            <w:r>
              <w:rPr>
                <w:sz w:val="22"/>
                <w:szCs w:val="22"/>
              </w:rPr>
              <w:t>1,67%</w:t>
            </w:r>
          </w:p>
        </w:tc>
      </w:tr>
      <w:tr w14:paraId="5DD5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D189DB3">
            <w:pPr>
              <w:jc w:val="center"/>
              <w:rPr>
                <w:sz w:val="22"/>
                <w:szCs w:val="22"/>
              </w:rPr>
            </w:pPr>
            <w:r>
              <w:rPr>
                <w:sz w:val="22"/>
                <w:szCs w:val="22"/>
              </w:rPr>
              <w:t>52</w:t>
            </w:r>
          </w:p>
        </w:tc>
        <w:tc>
          <w:tcPr>
            <w:tcW w:w="1752" w:type="dxa"/>
            <w:noWrap/>
            <w:vAlign w:val="center"/>
          </w:tcPr>
          <w:p w14:paraId="04668AC9">
            <w:pPr>
              <w:jc w:val="center"/>
              <w:rPr>
                <w:sz w:val="22"/>
                <w:szCs w:val="22"/>
              </w:rPr>
            </w:pPr>
          </w:p>
        </w:tc>
        <w:tc>
          <w:tcPr>
            <w:tcW w:w="944" w:type="dxa"/>
            <w:vMerge w:val="continue"/>
            <w:vAlign w:val="center"/>
          </w:tcPr>
          <w:p w14:paraId="6CE701AE">
            <w:pPr>
              <w:jc w:val="center"/>
              <w:rPr>
                <w:sz w:val="22"/>
                <w:szCs w:val="22"/>
              </w:rPr>
            </w:pPr>
          </w:p>
        </w:tc>
        <w:tc>
          <w:tcPr>
            <w:tcW w:w="1116" w:type="dxa"/>
            <w:vAlign w:val="center"/>
          </w:tcPr>
          <w:p w14:paraId="7538670B">
            <w:pPr>
              <w:jc w:val="center"/>
              <w:rPr>
                <w:sz w:val="22"/>
                <w:szCs w:val="22"/>
              </w:rPr>
            </w:pPr>
            <w:r>
              <w:rPr>
                <w:sz w:val="22"/>
                <w:szCs w:val="22"/>
              </w:rPr>
              <w:t>51</w:t>
            </w:r>
          </w:p>
        </w:tc>
        <w:tc>
          <w:tcPr>
            <w:tcW w:w="1010" w:type="dxa"/>
            <w:vAlign w:val="center"/>
          </w:tcPr>
          <w:p w14:paraId="0FD61480">
            <w:pPr>
              <w:jc w:val="center"/>
              <w:rPr>
                <w:sz w:val="22"/>
                <w:szCs w:val="22"/>
              </w:rPr>
            </w:pPr>
            <w:r>
              <w:rPr>
                <w:sz w:val="22"/>
                <w:szCs w:val="22"/>
              </w:rPr>
              <w:t>90,00</w:t>
            </w:r>
          </w:p>
        </w:tc>
        <w:tc>
          <w:tcPr>
            <w:tcW w:w="1591" w:type="dxa"/>
            <w:vAlign w:val="center"/>
          </w:tcPr>
          <w:p w14:paraId="22DD1D96">
            <w:pPr>
              <w:jc w:val="center"/>
              <w:rPr>
                <w:sz w:val="22"/>
                <w:szCs w:val="22"/>
              </w:rPr>
            </w:pPr>
            <w:r>
              <w:rPr>
                <w:sz w:val="22"/>
                <w:szCs w:val="22"/>
              </w:rPr>
              <w:t>855.000.000</w:t>
            </w:r>
          </w:p>
        </w:tc>
        <w:tc>
          <w:tcPr>
            <w:tcW w:w="1700" w:type="dxa"/>
            <w:vAlign w:val="center"/>
          </w:tcPr>
          <w:p w14:paraId="17C4C7FB">
            <w:pPr>
              <w:jc w:val="center"/>
              <w:rPr>
                <w:sz w:val="22"/>
                <w:szCs w:val="22"/>
              </w:rPr>
            </w:pPr>
            <w:r>
              <w:rPr>
                <w:sz w:val="22"/>
                <w:szCs w:val="22"/>
              </w:rPr>
              <w:t>1.419.000.000</w:t>
            </w:r>
          </w:p>
        </w:tc>
        <w:tc>
          <w:tcPr>
            <w:tcW w:w="1140" w:type="dxa"/>
            <w:noWrap/>
            <w:vAlign w:val="center"/>
          </w:tcPr>
          <w:p w14:paraId="73389C68">
            <w:pPr>
              <w:jc w:val="center"/>
              <w:rPr>
                <w:sz w:val="22"/>
                <w:szCs w:val="22"/>
              </w:rPr>
            </w:pPr>
            <w:r>
              <w:rPr>
                <w:sz w:val="22"/>
                <w:szCs w:val="22"/>
              </w:rPr>
              <w:t>1,66%</w:t>
            </w:r>
          </w:p>
        </w:tc>
      </w:tr>
      <w:tr w14:paraId="1DF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709AC79">
            <w:pPr>
              <w:jc w:val="center"/>
              <w:rPr>
                <w:sz w:val="22"/>
                <w:szCs w:val="22"/>
              </w:rPr>
            </w:pPr>
            <w:r>
              <w:rPr>
                <w:sz w:val="22"/>
                <w:szCs w:val="22"/>
              </w:rPr>
              <w:t>53</w:t>
            </w:r>
          </w:p>
        </w:tc>
        <w:tc>
          <w:tcPr>
            <w:tcW w:w="1752" w:type="dxa"/>
            <w:noWrap/>
            <w:vAlign w:val="center"/>
          </w:tcPr>
          <w:p w14:paraId="292A6FEE">
            <w:pPr>
              <w:jc w:val="center"/>
              <w:rPr>
                <w:sz w:val="22"/>
                <w:szCs w:val="22"/>
              </w:rPr>
            </w:pPr>
          </w:p>
        </w:tc>
        <w:tc>
          <w:tcPr>
            <w:tcW w:w="944" w:type="dxa"/>
            <w:vMerge w:val="continue"/>
            <w:vAlign w:val="center"/>
          </w:tcPr>
          <w:p w14:paraId="5C14CC5C">
            <w:pPr>
              <w:jc w:val="center"/>
              <w:rPr>
                <w:sz w:val="22"/>
                <w:szCs w:val="22"/>
              </w:rPr>
            </w:pPr>
          </w:p>
        </w:tc>
        <w:tc>
          <w:tcPr>
            <w:tcW w:w="1116" w:type="dxa"/>
            <w:vAlign w:val="center"/>
          </w:tcPr>
          <w:p w14:paraId="24F0C987">
            <w:pPr>
              <w:jc w:val="center"/>
              <w:rPr>
                <w:sz w:val="22"/>
                <w:szCs w:val="22"/>
              </w:rPr>
            </w:pPr>
            <w:r>
              <w:rPr>
                <w:sz w:val="22"/>
                <w:szCs w:val="22"/>
              </w:rPr>
              <w:t>52</w:t>
            </w:r>
          </w:p>
        </w:tc>
        <w:tc>
          <w:tcPr>
            <w:tcW w:w="1010" w:type="dxa"/>
            <w:vAlign w:val="center"/>
          </w:tcPr>
          <w:p w14:paraId="44700D4B">
            <w:pPr>
              <w:jc w:val="center"/>
              <w:rPr>
                <w:sz w:val="22"/>
                <w:szCs w:val="22"/>
              </w:rPr>
            </w:pPr>
            <w:r>
              <w:rPr>
                <w:sz w:val="22"/>
                <w:szCs w:val="22"/>
              </w:rPr>
              <w:t>90,00</w:t>
            </w:r>
          </w:p>
        </w:tc>
        <w:tc>
          <w:tcPr>
            <w:tcW w:w="1591" w:type="dxa"/>
            <w:vAlign w:val="center"/>
          </w:tcPr>
          <w:p w14:paraId="19BADA81">
            <w:pPr>
              <w:jc w:val="center"/>
              <w:rPr>
                <w:sz w:val="22"/>
                <w:szCs w:val="22"/>
              </w:rPr>
            </w:pPr>
            <w:r>
              <w:rPr>
                <w:sz w:val="22"/>
                <w:szCs w:val="22"/>
              </w:rPr>
              <w:t>855.000.000</w:t>
            </w:r>
          </w:p>
        </w:tc>
        <w:tc>
          <w:tcPr>
            <w:tcW w:w="1700" w:type="dxa"/>
            <w:vAlign w:val="center"/>
          </w:tcPr>
          <w:p w14:paraId="305D3BB0">
            <w:pPr>
              <w:jc w:val="center"/>
              <w:rPr>
                <w:sz w:val="22"/>
                <w:szCs w:val="22"/>
              </w:rPr>
            </w:pPr>
            <w:r>
              <w:rPr>
                <w:sz w:val="22"/>
                <w:szCs w:val="22"/>
              </w:rPr>
              <w:t>1.369.000.000</w:t>
            </w:r>
          </w:p>
        </w:tc>
        <w:tc>
          <w:tcPr>
            <w:tcW w:w="1140" w:type="dxa"/>
            <w:noWrap/>
            <w:vAlign w:val="center"/>
          </w:tcPr>
          <w:p w14:paraId="03C7AAF4">
            <w:pPr>
              <w:jc w:val="center"/>
              <w:rPr>
                <w:sz w:val="22"/>
                <w:szCs w:val="22"/>
              </w:rPr>
            </w:pPr>
            <w:r>
              <w:rPr>
                <w:sz w:val="22"/>
                <w:szCs w:val="22"/>
              </w:rPr>
              <w:t>1,60%</w:t>
            </w:r>
          </w:p>
        </w:tc>
      </w:tr>
      <w:tr w14:paraId="282C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2A5FAF4">
            <w:pPr>
              <w:jc w:val="center"/>
              <w:rPr>
                <w:sz w:val="22"/>
                <w:szCs w:val="22"/>
              </w:rPr>
            </w:pPr>
            <w:r>
              <w:rPr>
                <w:sz w:val="22"/>
                <w:szCs w:val="22"/>
              </w:rPr>
              <w:t>54</w:t>
            </w:r>
          </w:p>
        </w:tc>
        <w:tc>
          <w:tcPr>
            <w:tcW w:w="1752" w:type="dxa"/>
            <w:noWrap/>
            <w:vAlign w:val="center"/>
          </w:tcPr>
          <w:p w14:paraId="3499155E">
            <w:pPr>
              <w:jc w:val="center"/>
              <w:rPr>
                <w:sz w:val="22"/>
                <w:szCs w:val="22"/>
              </w:rPr>
            </w:pPr>
          </w:p>
        </w:tc>
        <w:tc>
          <w:tcPr>
            <w:tcW w:w="944" w:type="dxa"/>
            <w:vMerge w:val="continue"/>
            <w:vAlign w:val="center"/>
          </w:tcPr>
          <w:p w14:paraId="6FD58FDD">
            <w:pPr>
              <w:jc w:val="center"/>
              <w:rPr>
                <w:sz w:val="22"/>
                <w:szCs w:val="22"/>
              </w:rPr>
            </w:pPr>
          </w:p>
        </w:tc>
        <w:tc>
          <w:tcPr>
            <w:tcW w:w="1116" w:type="dxa"/>
            <w:vAlign w:val="center"/>
          </w:tcPr>
          <w:p w14:paraId="6EFD0486">
            <w:pPr>
              <w:jc w:val="center"/>
              <w:rPr>
                <w:sz w:val="22"/>
                <w:szCs w:val="22"/>
              </w:rPr>
            </w:pPr>
            <w:r>
              <w:rPr>
                <w:sz w:val="22"/>
                <w:szCs w:val="22"/>
              </w:rPr>
              <w:t>53</w:t>
            </w:r>
          </w:p>
        </w:tc>
        <w:tc>
          <w:tcPr>
            <w:tcW w:w="1010" w:type="dxa"/>
            <w:vAlign w:val="center"/>
          </w:tcPr>
          <w:p w14:paraId="7BA3709A">
            <w:pPr>
              <w:jc w:val="center"/>
              <w:rPr>
                <w:sz w:val="22"/>
                <w:szCs w:val="22"/>
              </w:rPr>
            </w:pPr>
            <w:r>
              <w:rPr>
                <w:sz w:val="22"/>
                <w:szCs w:val="22"/>
              </w:rPr>
              <w:t>90,00</w:t>
            </w:r>
          </w:p>
        </w:tc>
        <w:tc>
          <w:tcPr>
            <w:tcW w:w="1591" w:type="dxa"/>
            <w:vAlign w:val="center"/>
          </w:tcPr>
          <w:p w14:paraId="4823C1C0">
            <w:pPr>
              <w:jc w:val="center"/>
              <w:rPr>
                <w:sz w:val="22"/>
                <w:szCs w:val="22"/>
              </w:rPr>
            </w:pPr>
            <w:r>
              <w:rPr>
                <w:sz w:val="22"/>
                <w:szCs w:val="22"/>
              </w:rPr>
              <w:t>855.000.000</w:t>
            </w:r>
          </w:p>
        </w:tc>
        <w:tc>
          <w:tcPr>
            <w:tcW w:w="1700" w:type="dxa"/>
            <w:vAlign w:val="center"/>
          </w:tcPr>
          <w:p w14:paraId="1ECCBBB1">
            <w:pPr>
              <w:jc w:val="center"/>
              <w:rPr>
                <w:sz w:val="22"/>
                <w:szCs w:val="22"/>
              </w:rPr>
            </w:pPr>
            <w:r>
              <w:rPr>
                <w:sz w:val="22"/>
                <w:szCs w:val="22"/>
              </w:rPr>
              <w:t>1.356.000.000</w:t>
            </w:r>
          </w:p>
        </w:tc>
        <w:tc>
          <w:tcPr>
            <w:tcW w:w="1140" w:type="dxa"/>
            <w:noWrap/>
            <w:vAlign w:val="center"/>
          </w:tcPr>
          <w:p w14:paraId="2F494015">
            <w:pPr>
              <w:jc w:val="center"/>
              <w:rPr>
                <w:sz w:val="22"/>
                <w:szCs w:val="22"/>
              </w:rPr>
            </w:pPr>
            <w:r>
              <w:rPr>
                <w:sz w:val="22"/>
                <w:szCs w:val="22"/>
              </w:rPr>
              <w:t>1,59%</w:t>
            </w:r>
          </w:p>
        </w:tc>
      </w:tr>
      <w:tr w14:paraId="49E3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064201E">
            <w:pPr>
              <w:jc w:val="center"/>
              <w:rPr>
                <w:sz w:val="22"/>
                <w:szCs w:val="22"/>
              </w:rPr>
            </w:pPr>
            <w:r>
              <w:rPr>
                <w:sz w:val="22"/>
                <w:szCs w:val="22"/>
              </w:rPr>
              <w:t>55</w:t>
            </w:r>
          </w:p>
        </w:tc>
        <w:tc>
          <w:tcPr>
            <w:tcW w:w="1752" w:type="dxa"/>
            <w:noWrap/>
            <w:vAlign w:val="center"/>
          </w:tcPr>
          <w:p w14:paraId="5C30EE8C">
            <w:pPr>
              <w:jc w:val="center"/>
              <w:rPr>
                <w:sz w:val="22"/>
                <w:szCs w:val="22"/>
              </w:rPr>
            </w:pPr>
          </w:p>
        </w:tc>
        <w:tc>
          <w:tcPr>
            <w:tcW w:w="944" w:type="dxa"/>
            <w:vMerge w:val="continue"/>
            <w:vAlign w:val="center"/>
          </w:tcPr>
          <w:p w14:paraId="5C3C4DEB">
            <w:pPr>
              <w:jc w:val="center"/>
              <w:rPr>
                <w:sz w:val="22"/>
                <w:szCs w:val="22"/>
              </w:rPr>
            </w:pPr>
          </w:p>
        </w:tc>
        <w:tc>
          <w:tcPr>
            <w:tcW w:w="1116" w:type="dxa"/>
            <w:vAlign w:val="center"/>
          </w:tcPr>
          <w:p w14:paraId="10862124">
            <w:pPr>
              <w:jc w:val="center"/>
              <w:rPr>
                <w:sz w:val="22"/>
                <w:szCs w:val="22"/>
              </w:rPr>
            </w:pPr>
            <w:r>
              <w:rPr>
                <w:sz w:val="22"/>
                <w:szCs w:val="22"/>
              </w:rPr>
              <w:t>54</w:t>
            </w:r>
          </w:p>
        </w:tc>
        <w:tc>
          <w:tcPr>
            <w:tcW w:w="1010" w:type="dxa"/>
            <w:vAlign w:val="center"/>
          </w:tcPr>
          <w:p w14:paraId="04B223B8">
            <w:pPr>
              <w:jc w:val="center"/>
              <w:rPr>
                <w:sz w:val="22"/>
                <w:szCs w:val="22"/>
              </w:rPr>
            </w:pPr>
            <w:r>
              <w:rPr>
                <w:sz w:val="22"/>
                <w:szCs w:val="22"/>
              </w:rPr>
              <w:t>90,00</w:t>
            </w:r>
          </w:p>
        </w:tc>
        <w:tc>
          <w:tcPr>
            <w:tcW w:w="1591" w:type="dxa"/>
            <w:vAlign w:val="center"/>
          </w:tcPr>
          <w:p w14:paraId="411101D1">
            <w:pPr>
              <w:jc w:val="center"/>
              <w:rPr>
                <w:sz w:val="22"/>
                <w:szCs w:val="22"/>
              </w:rPr>
            </w:pPr>
            <w:r>
              <w:rPr>
                <w:sz w:val="22"/>
                <w:szCs w:val="22"/>
              </w:rPr>
              <w:t>855.000.000</w:t>
            </w:r>
          </w:p>
        </w:tc>
        <w:tc>
          <w:tcPr>
            <w:tcW w:w="1700" w:type="dxa"/>
            <w:vAlign w:val="center"/>
          </w:tcPr>
          <w:p w14:paraId="447F7CB4">
            <w:pPr>
              <w:jc w:val="center"/>
              <w:rPr>
                <w:sz w:val="22"/>
                <w:szCs w:val="22"/>
              </w:rPr>
            </w:pPr>
            <w:r>
              <w:rPr>
                <w:sz w:val="22"/>
                <w:szCs w:val="22"/>
              </w:rPr>
              <w:t>1.362.000.000</w:t>
            </w:r>
          </w:p>
        </w:tc>
        <w:tc>
          <w:tcPr>
            <w:tcW w:w="1140" w:type="dxa"/>
            <w:noWrap/>
            <w:vAlign w:val="center"/>
          </w:tcPr>
          <w:p w14:paraId="69DFCDB2">
            <w:pPr>
              <w:jc w:val="center"/>
              <w:rPr>
                <w:sz w:val="22"/>
                <w:szCs w:val="22"/>
              </w:rPr>
            </w:pPr>
            <w:r>
              <w:rPr>
                <w:sz w:val="22"/>
                <w:szCs w:val="22"/>
              </w:rPr>
              <w:t>1,59%</w:t>
            </w:r>
          </w:p>
        </w:tc>
      </w:tr>
      <w:tr w14:paraId="2D73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1196C9">
            <w:pPr>
              <w:jc w:val="center"/>
              <w:rPr>
                <w:sz w:val="22"/>
                <w:szCs w:val="22"/>
              </w:rPr>
            </w:pPr>
            <w:r>
              <w:rPr>
                <w:sz w:val="22"/>
                <w:szCs w:val="22"/>
              </w:rPr>
              <w:t>56</w:t>
            </w:r>
          </w:p>
        </w:tc>
        <w:tc>
          <w:tcPr>
            <w:tcW w:w="1752" w:type="dxa"/>
            <w:noWrap/>
            <w:vAlign w:val="center"/>
          </w:tcPr>
          <w:p w14:paraId="0BD2604F">
            <w:pPr>
              <w:jc w:val="center"/>
              <w:rPr>
                <w:sz w:val="22"/>
                <w:szCs w:val="22"/>
              </w:rPr>
            </w:pPr>
          </w:p>
        </w:tc>
        <w:tc>
          <w:tcPr>
            <w:tcW w:w="944" w:type="dxa"/>
            <w:vMerge w:val="continue"/>
            <w:vAlign w:val="center"/>
          </w:tcPr>
          <w:p w14:paraId="20C56E86">
            <w:pPr>
              <w:jc w:val="center"/>
              <w:rPr>
                <w:sz w:val="22"/>
                <w:szCs w:val="22"/>
              </w:rPr>
            </w:pPr>
          </w:p>
        </w:tc>
        <w:tc>
          <w:tcPr>
            <w:tcW w:w="1116" w:type="dxa"/>
            <w:vAlign w:val="center"/>
          </w:tcPr>
          <w:p w14:paraId="512DCA85">
            <w:pPr>
              <w:jc w:val="center"/>
              <w:rPr>
                <w:sz w:val="22"/>
                <w:szCs w:val="22"/>
              </w:rPr>
            </w:pPr>
            <w:r>
              <w:rPr>
                <w:sz w:val="22"/>
                <w:szCs w:val="22"/>
              </w:rPr>
              <w:t>55</w:t>
            </w:r>
          </w:p>
        </w:tc>
        <w:tc>
          <w:tcPr>
            <w:tcW w:w="1010" w:type="dxa"/>
            <w:vAlign w:val="center"/>
          </w:tcPr>
          <w:p w14:paraId="64BF20DD">
            <w:pPr>
              <w:jc w:val="center"/>
              <w:rPr>
                <w:sz w:val="22"/>
                <w:szCs w:val="22"/>
              </w:rPr>
            </w:pPr>
            <w:r>
              <w:rPr>
                <w:sz w:val="22"/>
                <w:szCs w:val="22"/>
              </w:rPr>
              <w:t>90,00</w:t>
            </w:r>
          </w:p>
        </w:tc>
        <w:tc>
          <w:tcPr>
            <w:tcW w:w="1591" w:type="dxa"/>
            <w:vAlign w:val="center"/>
          </w:tcPr>
          <w:p w14:paraId="135CA23E">
            <w:pPr>
              <w:jc w:val="center"/>
              <w:rPr>
                <w:sz w:val="22"/>
                <w:szCs w:val="22"/>
              </w:rPr>
            </w:pPr>
            <w:r>
              <w:rPr>
                <w:sz w:val="22"/>
                <w:szCs w:val="22"/>
              </w:rPr>
              <w:t>855.000.000</w:t>
            </w:r>
          </w:p>
        </w:tc>
        <w:tc>
          <w:tcPr>
            <w:tcW w:w="1700" w:type="dxa"/>
            <w:vAlign w:val="center"/>
          </w:tcPr>
          <w:p w14:paraId="63C8E3D6">
            <w:pPr>
              <w:jc w:val="center"/>
              <w:rPr>
                <w:sz w:val="22"/>
                <w:szCs w:val="22"/>
              </w:rPr>
            </w:pPr>
            <w:r>
              <w:rPr>
                <w:sz w:val="22"/>
                <w:szCs w:val="22"/>
              </w:rPr>
              <w:t>1.315.500.000</w:t>
            </w:r>
          </w:p>
        </w:tc>
        <w:tc>
          <w:tcPr>
            <w:tcW w:w="1140" w:type="dxa"/>
            <w:noWrap/>
            <w:vAlign w:val="center"/>
          </w:tcPr>
          <w:p w14:paraId="2CD9753D">
            <w:pPr>
              <w:jc w:val="center"/>
              <w:rPr>
                <w:sz w:val="22"/>
                <w:szCs w:val="22"/>
              </w:rPr>
            </w:pPr>
            <w:r>
              <w:rPr>
                <w:sz w:val="22"/>
                <w:szCs w:val="22"/>
              </w:rPr>
              <w:t>1,54%</w:t>
            </w:r>
          </w:p>
        </w:tc>
      </w:tr>
      <w:tr w14:paraId="46C9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2F2F3A3">
            <w:pPr>
              <w:jc w:val="center"/>
              <w:rPr>
                <w:sz w:val="22"/>
                <w:szCs w:val="22"/>
              </w:rPr>
            </w:pPr>
            <w:r>
              <w:rPr>
                <w:sz w:val="22"/>
                <w:szCs w:val="22"/>
              </w:rPr>
              <w:t>57</w:t>
            </w:r>
          </w:p>
        </w:tc>
        <w:tc>
          <w:tcPr>
            <w:tcW w:w="1752" w:type="dxa"/>
            <w:noWrap/>
            <w:vAlign w:val="center"/>
          </w:tcPr>
          <w:p w14:paraId="7D7992FF">
            <w:pPr>
              <w:jc w:val="center"/>
              <w:rPr>
                <w:sz w:val="22"/>
                <w:szCs w:val="22"/>
              </w:rPr>
            </w:pPr>
          </w:p>
        </w:tc>
        <w:tc>
          <w:tcPr>
            <w:tcW w:w="944" w:type="dxa"/>
            <w:vMerge w:val="continue"/>
            <w:vAlign w:val="center"/>
          </w:tcPr>
          <w:p w14:paraId="3C093839">
            <w:pPr>
              <w:jc w:val="center"/>
              <w:rPr>
                <w:sz w:val="22"/>
                <w:szCs w:val="22"/>
              </w:rPr>
            </w:pPr>
          </w:p>
        </w:tc>
        <w:tc>
          <w:tcPr>
            <w:tcW w:w="1116" w:type="dxa"/>
            <w:vAlign w:val="center"/>
          </w:tcPr>
          <w:p w14:paraId="48BEB8A6">
            <w:pPr>
              <w:jc w:val="center"/>
              <w:rPr>
                <w:sz w:val="22"/>
                <w:szCs w:val="22"/>
              </w:rPr>
            </w:pPr>
            <w:r>
              <w:rPr>
                <w:sz w:val="22"/>
                <w:szCs w:val="22"/>
              </w:rPr>
              <w:t>56</w:t>
            </w:r>
          </w:p>
        </w:tc>
        <w:tc>
          <w:tcPr>
            <w:tcW w:w="1010" w:type="dxa"/>
            <w:vAlign w:val="center"/>
          </w:tcPr>
          <w:p w14:paraId="57BE9F41">
            <w:pPr>
              <w:jc w:val="center"/>
              <w:rPr>
                <w:sz w:val="22"/>
                <w:szCs w:val="22"/>
              </w:rPr>
            </w:pPr>
            <w:r>
              <w:rPr>
                <w:sz w:val="22"/>
                <w:szCs w:val="22"/>
              </w:rPr>
              <w:t>90,00</w:t>
            </w:r>
          </w:p>
        </w:tc>
        <w:tc>
          <w:tcPr>
            <w:tcW w:w="1591" w:type="dxa"/>
            <w:vAlign w:val="center"/>
          </w:tcPr>
          <w:p w14:paraId="46F0707B">
            <w:pPr>
              <w:jc w:val="center"/>
              <w:rPr>
                <w:sz w:val="22"/>
                <w:szCs w:val="22"/>
              </w:rPr>
            </w:pPr>
            <w:r>
              <w:rPr>
                <w:sz w:val="22"/>
                <w:szCs w:val="22"/>
              </w:rPr>
              <w:t>855.000.000</w:t>
            </w:r>
          </w:p>
        </w:tc>
        <w:tc>
          <w:tcPr>
            <w:tcW w:w="1700" w:type="dxa"/>
            <w:vAlign w:val="center"/>
          </w:tcPr>
          <w:p w14:paraId="1117FFCB">
            <w:pPr>
              <w:jc w:val="center"/>
              <w:rPr>
                <w:sz w:val="22"/>
                <w:szCs w:val="22"/>
              </w:rPr>
            </w:pPr>
            <w:r>
              <w:rPr>
                <w:sz w:val="22"/>
                <w:szCs w:val="22"/>
              </w:rPr>
              <w:t>1.380.000.000</w:t>
            </w:r>
          </w:p>
        </w:tc>
        <w:tc>
          <w:tcPr>
            <w:tcW w:w="1140" w:type="dxa"/>
            <w:noWrap/>
            <w:vAlign w:val="center"/>
          </w:tcPr>
          <w:p w14:paraId="60BCD1CE">
            <w:pPr>
              <w:jc w:val="center"/>
              <w:rPr>
                <w:sz w:val="22"/>
                <w:szCs w:val="22"/>
              </w:rPr>
            </w:pPr>
            <w:r>
              <w:rPr>
                <w:sz w:val="22"/>
                <w:szCs w:val="22"/>
              </w:rPr>
              <w:t>1,61%</w:t>
            </w:r>
          </w:p>
        </w:tc>
      </w:tr>
      <w:tr w14:paraId="20FB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42A29E3">
            <w:pPr>
              <w:jc w:val="center"/>
              <w:rPr>
                <w:sz w:val="22"/>
                <w:szCs w:val="22"/>
              </w:rPr>
            </w:pPr>
            <w:r>
              <w:rPr>
                <w:sz w:val="22"/>
                <w:szCs w:val="22"/>
              </w:rPr>
              <w:t>58</w:t>
            </w:r>
          </w:p>
        </w:tc>
        <w:tc>
          <w:tcPr>
            <w:tcW w:w="1752" w:type="dxa"/>
            <w:noWrap/>
            <w:vAlign w:val="center"/>
          </w:tcPr>
          <w:p w14:paraId="2095B8E4">
            <w:pPr>
              <w:jc w:val="center"/>
              <w:rPr>
                <w:sz w:val="22"/>
                <w:szCs w:val="22"/>
              </w:rPr>
            </w:pPr>
          </w:p>
        </w:tc>
        <w:tc>
          <w:tcPr>
            <w:tcW w:w="944" w:type="dxa"/>
            <w:vMerge w:val="continue"/>
            <w:vAlign w:val="center"/>
          </w:tcPr>
          <w:p w14:paraId="2AE2CAFC">
            <w:pPr>
              <w:jc w:val="center"/>
              <w:rPr>
                <w:sz w:val="22"/>
                <w:szCs w:val="22"/>
              </w:rPr>
            </w:pPr>
          </w:p>
        </w:tc>
        <w:tc>
          <w:tcPr>
            <w:tcW w:w="1116" w:type="dxa"/>
            <w:vAlign w:val="center"/>
          </w:tcPr>
          <w:p w14:paraId="5991FC50">
            <w:pPr>
              <w:jc w:val="center"/>
              <w:rPr>
                <w:sz w:val="22"/>
                <w:szCs w:val="22"/>
              </w:rPr>
            </w:pPr>
            <w:r>
              <w:rPr>
                <w:sz w:val="22"/>
                <w:szCs w:val="22"/>
              </w:rPr>
              <w:t>57</w:t>
            </w:r>
          </w:p>
        </w:tc>
        <w:tc>
          <w:tcPr>
            <w:tcW w:w="1010" w:type="dxa"/>
            <w:vAlign w:val="center"/>
          </w:tcPr>
          <w:p w14:paraId="50896FF0">
            <w:pPr>
              <w:jc w:val="center"/>
              <w:rPr>
                <w:sz w:val="22"/>
                <w:szCs w:val="22"/>
              </w:rPr>
            </w:pPr>
            <w:r>
              <w:rPr>
                <w:sz w:val="22"/>
                <w:szCs w:val="22"/>
              </w:rPr>
              <w:t>90,00</w:t>
            </w:r>
          </w:p>
        </w:tc>
        <w:tc>
          <w:tcPr>
            <w:tcW w:w="1591" w:type="dxa"/>
            <w:vAlign w:val="center"/>
          </w:tcPr>
          <w:p w14:paraId="43983316">
            <w:pPr>
              <w:jc w:val="center"/>
              <w:rPr>
                <w:sz w:val="22"/>
                <w:szCs w:val="22"/>
              </w:rPr>
            </w:pPr>
            <w:r>
              <w:rPr>
                <w:sz w:val="22"/>
                <w:szCs w:val="22"/>
              </w:rPr>
              <w:t>855.000.000</w:t>
            </w:r>
          </w:p>
        </w:tc>
        <w:tc>
          <w:tcPr>
            <w:tcW w:w="1700" w:type="dxa"/>
            <w:vAlign w:val="center"/>
          </w:tcPr>
          <w:p w14:paraId="40ECB838">
            <w:pPr>
              <w:jc w:val="center"/>
              <w:rPr>
                <w:sz w:val="22"/>
                <w:szCs w:val="22"/>
              </w:rPr>
            </w:pPr>
            <w:r>
              <w:rPr>
                <w:sz w:val="22"/>
                <w:szCs w:val="22"/>
              </w:rPr>
              <w:t>1.451.000.000</w:t>
            </w:r>
          </w:p>
        </w:tc>
        <w:tc>
          <w:tcPr>
            <w:tcW w:w="1140" w:type="dxa"/>
            <w:noWrap/>
            <w:vAlign w:val="center"/>
          </w:tcPr>
          <w:p w14:paraId="54642564">
            <w:pPr>
              <w:jc w:val="center"/>
              <w:rPr>
                <w:sz w:val="22"/>
                <w:szCs w:val="22"/>
              </w:rPr>
            </w:pPr>
            <w:r>
              <w:rPr>
                <w:sz w:val="22"/>
                <w:szCs w:val="22"/>
              </w:rPr>
              <w:t>1,70%</w:t>
            </w:r>
          </w:p>
        </w:tc>
      </w:tr>
      <w:tr w14:paraId="555E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6B1A294">
            <w:pPr>
              <w:jc w:val="center"/>
              <w:rPr>
                <w:sz w:val="22"/>
                <w:szCs w:val="22"/>
              </w:rPr>
            </w:pPr>
            <w:r>
              <w:rPr>
                <w:sz w:val="22"/>
                <w:szCs w:val="22"/>
              </w:rPr>
              <w:t>59</w:t>
            </w:r>
          </w:p>
        </w:tc>
        <w:tc>
          <w:tcPr>
            <w:tcW w:w="1752" w:type="dxa"/>
            <w:noWrap/>
            <w:vAlign w:val="center"/>
          </w:tcPr>
          <w:p w14:paraId="47B6FBAE">
            <w:pPr>
              <w:jc w:val="center"/>
              <w:rPr>
                <w:sz w:val="22"/>
                <w:szCs w:val="22"/>
              </w:rPr>
            </w:pPr>
          </w:p>
        </w:tc>
        <w:tc>
          <w:tcPr>
            <w:tcW w:w="944" w:type="dxa"/>
            <w:vMerge w:val="continue"/>
            <w:vAlign w:val="center"/>
          </w:tcPr>
          <w:p w14:paraId="51E21BF9">
            <w:pPr>
              <w:jc w:val="center"/>
              <w:rPr>
                <w:sz w:val="22"/>
                <w:szCs w:val="22"/>
              </w:rPr>
            </w:pPr>
          </w:p>
        </w:tc>
        <w:tc>
          <w:tcPr>
            <w:tcW w:w="1116" w:type="dxa"/>
            <w:vAlign w:val="center"/>
          </w:tcPr>
          <w:p w14:paraId="6A581086">
            <w:pPr>
              <w:jc w:val="center"/>
              <w:rPr>
                <w:sz w:val="22"/>
                <w:szCs w:val="22"/>
              </w:rPr>
            </w:pPr>
            <w:r>
              <w:rPr>
                <w:sz w:val="22"/>
                <w:szCs w:val="22"/>
              </w:rPr>
              <w:t>58</w:t>
            </w:r>
          </w:p>
        </w:tc>
        <w:tc>
          <w:tcPr>
            <w:tcW w:w="1010" w:type="dxa"/>
            <w:vAlign w:val="center"/>
          </w:tcPr>
          <w:p w14:paraId="4F7EC231">
            <w:pPr>
              <w:jc w:val="center"/>
              <w:rPr>
                <w:sz w:val="22"/>
                <w:szCs w:val="22"/>
              </w:rPr>
            </w:pPr>
            <w:r>
              <w:rPr>
                <w:sz w:val="22"/>
                <w:szCs w:val="22"/>
              </w:rPr>
              <w:t>90,00</w:t>
            </w:r>
          </w:p>
        </w:tc>
        <w:tc>
          <w:tcPr>
            <w:tcW w:w="1591" w:type="dxa"/>
            <w:vAlign w:val="center"/>
          </w:tcPr>
          <w:p w14:paraId="4CEC9FA7">
            <w:pPr>
              <w:jc w:val="center"/>
              <w:rPr>
                <w:sz w:val="22"/>
                <w:szCs w:val="22"/>
              </w:rPr>
            </w:pPr>
            <w:r>
              <w:rPr>
                <w:sz w:val="22"/>
                <w:szCs w:val="22"/>
              </w:rPr>
              <w:t>855.000.000</w:t>
            </w:r>
          </w:p>
        </w:tc>
        <w:tc>
          <w:tcPr>
            <w:tcW w:w="1700" w:type="dxa"/>
            <w:vAlign w:val="center"/>
          </w:tcPr>
          <w:p w14:paraId="2CB598F2">
            <w:pPr>
              <w:jc w:val="center"/>
              <w:rPr>
                <w:sz w:val="22"/>
                <w:szCs w:val="22"/>
              </w:rPr>
            </w:pPr>
            <w:r>
              <w:rPr>
                <w:sz w:val="22"/>
                <w:szCs w:val="22"/>
              </w:rPr>
              <w:t>1.480.000.000</w:t>
            </w:r>
          </w:p>
        </w:tc>
        <w:tc>
          <w:tcPr>
            <w:tcW w:w="1140" w:type="dxa"/>
            <w:noWrap/>
            <w:vAlign w:val="center"/>
          </w:tcPr>
          <w:p w14:paraId="4DB93622">
            <w:pPr>
              <w:jc w:val="center"/>
              <w:rPr>
                <w:sz w:val="22"/>
                <w:szCs w:val="22"/>
              </w:rPr>
            </w:pPr>
            <w:r>
              <w:rPr>
                <w:sz w:val="22"/>
                <w:szCs w:val="22"/>
              </w:rPr>
              <w:t>1,73%</w:t>
            </w:r>
          </w:p>
        </w:tc>
      </w:tr>
      <w:tr w14:paraId="3567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894D08D">
            <w:pPr>
              <w:jc w:val="center"/>
              <w:rPr>
                <w:sz w:val="22"/>
                <w:szCs w:val="22"/>
              </w:rPr>
            </w:pPr>
            <w:r>
              <w:rPr>
                <w:sz w:val="22"/>
                <w:szCs w:val="22"/>
              </w:rPr>
              <w:t>60</w:t>
            </w:r>
          </w:p>
        </w:tc>
        <w:tc>
          <w:tcPr>
            <w:tcW w:w="1752" w:type="dxa"/>
            <w:noWrap/>
            <w:vAlign w:val="center"/>
          </w:tcPr>
          <w:p w14:paraId="70117ACD">
            <w:pPr>
              <w:jc w:val="center"/>
              <w:rPr>
                <w:sz w:val="22"/>
                <w:szCs w:val="22"/>
              </w:rPr>
            </w:pPr>
          </w:p>
        </w:tc>
        <w:tc>
          <w:tcPr>
            <w:tcW w:w="944" w:type="dxa"/>
            <w:vMerge w:val="continue"/>
            <w:vAlign w:val="center"/>
          </w:tcPr>
          <w:p w14:paraId="69A0F28C">
            <w:pPr>
              <w:jc w:val="center"/>
              <w:rPr>
                <w:sz w:val="22"/>
                <w:szCs w:val="22"/>
              </w:rPr>
            </w:pPr>
          </w:p>
        </w:tc>
        <w:tc>
          <w:tcPr>
            <w:tcW w:w="1116" w:type="dxa"/>
            <w:vAlign w:val="center"/>
          </w:tcPr>
          <w:p w14:paraId="5E85CA3C">
            <w:pPr>
              <w:jc w:val="center"/>
              <w:rPr>
                <w:sz w:val="22"/>
                <w:szCs w:val="22"/>
              </w:rPr>
            </w:pPr>
            <w:r>
              <w:rPr>
                <w:sz w:val="22"/>
                <w:szCs w:val="22"/>
              </w:rPr>
              <w:t>59</w:t>
            </w:r>
          </w:p>
        </w:tc>
        <w:tc>
          <w:tcPr>
            <w:tcW w:w="1010" w:type="dxa"/>
            <w:vAlign w:val="center"/>
          </w:tcPr>
          <w:p w14:paraId="4DAC56C8">
            <w:pPr>
              <w:jc w:val="center"/>
              <w:rPr>
                <w:sz w:val="22"/>
                <w:szCs w:val="22"/>
              </w:rPr>
            </w:pPr>
            <w:r>
              <w:rPr>
                <w:sz w:val="22"/>
                <w:szCs w:val="22"/>
              </w:rPr>
              <w:t>90,00</w:t>
            </w:r>
          </w:p>
        </w:tc>
        <w:tc>
          <w:tcPr>
            <w:tcW w:w="1591" w:type="dxa"/>
            <w:vAlign w:val="center"/>
          </w:tcPr>
          <w:p w14:paraId="678A2194">
            <w:pPr>
              <w:jc w:val="center"/>
              <w:rPr>
                <w:sz w:val="22"/>
                <w:szCs w:val="22"/>
              </w:rPr>
            </w:pPr>
            <w:r>
              <w:rPr>
                <w:sz w:val="22"/>
                <w:szCs w:val="22"/>
              </w:rPr>
              <w:t>855.000.000</w:t>
            </w:r>
          </w:p>
        </w:tc>
        <w:tc>
          <w:tcPr>
            <w:tcW w:w="1700" w:type="dxa"/>
            <w:vAlign w:val="center"/>
          </w:tcPr>
          <w:p w14:paraId="39370C53">
            <w:pPr>
              <w:jc w:val="center"/>
              <w:rPr>
                <w:sz w:val="22"/>
                <w:szCs w:val="22"/>
              </w:rPr>
            </w:pPr>
            <w:r>
              <w:rPr>
                <w:sz w:val="22"/>
                <w:szCs w:val="22"/>
              </w:rPr>
              <w:t>1.382.000.000</w:t>
            </w:r>
          </w:p>
        </w:tc>
        <w:tc>
          <w:tcPr>
            <w:tcW w:w="1140" w:type="dxa"/>
            <w:noWrap/>
            <w:vAlign w:val="center"/>
          </w:tcPr>
          <w:p w14:paraId="0FE092AA">
            <w:pPr>
              <w:jc w:val="center"/>
              <w:rPr>
                <w:sz w:val="22"/>
                <w:szCs w:val="22"/>
              </w:rPr>
            </w:pPr>
            <w:r>
              <w:rPr>
                <w:sz w:val="22"/>
                <w:szCs w:val="22"/>
              </w:rPr>
              <w:t>1,62%</w:t>
            </w:r>
          </w:p>
        </w:tc>
      </w:tr>
      <w:tr w14:paraId="3C67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34EAF83">
            <w:pPr>
              <w:jc w:val="center"/>
              <w:rPr>
                <w:sz w:val="22"/>
                <w:szCs w:val="22"/>
              </w:rPr>
            </w:pPr>
            <w:r>
              <w:rPr>
                <w:sz w:val="22"/>
                <w:szCs w:val="22"/>
              </w:rPr>
              <w:t>61</w:t>
            </w:r>
          </w:p>
        </w:tc>
        <w:tc>
          <w:tcPr>
            <w:tcW w:w="1752" w:type="dxa"/>
            <w:noWrap/>
            <w:vAlign w:val="center"/>
          </w:tcPr>
          <w:p w14:paraId="0CB01540">
            <w:pPr>
              <w:jc w:val="center"/>
              <w:rPr>
                <w:sz w:val="22"/>
                <w:szCs w:val="22"/>
              </w:rPr>
            </w:pPr>
          </w:p>
        </w:tc>
        <w:tc>
          <w:tcPr>
            <w:tcW w:w="944" w:type="dxa"/>
            <w:vMerge w:val="continue"/>
            <w:vAlign w:val="center"/>
          </w:tcPr>
          <w:p w14:paraId="5A2BF7DD">
            <w:pPr>
              <w:jc w:val="center"/>
              <w:rPr>
                <w:sz w:val="22"/>
                <w:szCs w:val="22"/>
              </w:rPr>
            </w:pPr>
          </w:p>
        </w:tc>
        <w:tc>
          <w:tcPr>
            <w:tcW w:w="1116" w:type="dxa"/>
            <w:vAlign w:val="center"/>
          </w:tcPr>
          <w:p w14:paraId="63D0BB4A">
            <w:pPr>
              <w:jc w:val="center"/>
              <w:rPr>
                <w:sz w:val="22"/>
                <w:szCs w:val="22"/>
              </w:rPr>
            </w:pPr>
            <w:r>
              <w:rPr>
                <w:sz w:val="22"/>
                <w:szCs w:val="22"/>
              </w:rPr>
              <w:t>60</w:t>
            </w:r>
          </w:p>
        </w:tc>
        <w:tc>
          <w:tcPr>
            <w:tcW w:w="1010" w:type="dxa"/>
            <w:vAlign w:val="center"/>
          </w:tcPr>
          <w:p w14:paraId="59ADF633">
            <w:pPr>
              <w:jc w:val="center"/>
              <w:rPr>
                <w:sz w:val="22"/>
                <w:szCs w:val="22"/>
              </w:rPr>
            </w:pPr>
            <w:r>
              <w:rPr>
                <w:sz w:val="22"/>
                <w:szCs w:val="22"/>
              </w:rPr>
              <w:t>90,00</w:t>
            </w:r>
          </w:p>
        </w:tc>
        <w:tc>
          <w:tcPr>
            <w:tcW w:w="1591" w:type="dxa"/>
            <w:vAlign w:val="center"/>
          </w:tcPr>
          <w:p w14:paraId="01CAE716">
            <w:pPr>
              <w:jc w:val="center"/>
              <w:rPr>
                <w:sz w:val="22"/>
                <w:szCs w:val="22"/>
              </w:rPr>
            </w:pPr>
            <w:r>
              <w:rPr>
                <w:sz w:val="22"/>
                <w:szCs w:val="22"/>
              </w:rPr>
              <w:t>855.000.000</w:t>
            </w:r>
          </w:p>
        </w:tc>
        <w:tc>
          <w:tcPr>
            <w:tcW w:w="1700" w:type="dxa"/>
            <w:vAlign w:val="center"/>
          </w:tcPr>
          <w:p w14:paraId="600FE153">
            <w:pPr>
              <w:jc w:val="center"/>
              <w:rPr>
                <w:sz w:val="22"/>
                <w:szCs w:val="22"/>
              </w:rPr>
            </w:pPr>
            <w:r>
              <w:rPr>
                <w:sz w:val="22"/>
                <w:szCs w:val="22"/>
              </w:rPr>
              <w:t>1.400.000.000</w:t>
            </w:r>
          </w:p>
        </w:tc>
        <w:tc>
          <w:tcPr>
            <w:tcW w:w="1140" w:type="dxa"/>
            <w:noWrap/>
            <w:vAlign w:val="center"/>
          </w:tcPr>
          <w:p w14:paraId="5C441F0B">
            <w:pPr>
              <w:jc w:val="center"/>
              <w:rPr>
                <w:sz w:val="22"/>
                <w:szCs w:val="22"/>
              </w:rPr>
            </w:pPr>
            <w:r>
              <w:rPr>
                <w:sz w:val="22"/>
                <w:szCs w:val="22"/>
              </w:rPr>
              <w:t>1,64%</w:t>
            </w:r>
          </w:p>
        </w:tc>
      </w:tr>
      <w:tr w14:paraId="27F6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7A6CF80">
            <w:pPr>
              <w:jc w:val="center"/>
              <w:rPr>
                <w:sz w:val="22"/>
                <w:szCs w:val="22"/>
              </w:rPr>
            </w:pPr>
            <w:r>
              <w:rPr>
                <w:sz w:val="22"/>
                <w:szCs w:val="22"/>
              </w:rPr>
              <w:t>62</w:t>
            </w:r>
          </w:p>
        </w:tc>
        <w:tc>
          <w:tcPr>
            <w:tcW w:w="1752" w:type="dxa"/>
            <w:noWrap/>
            <w:vAlign w:val="center"/>
          </w:tcPr>
          <w:p w14:paraId="55735C15">
            <w:pPr>
              <w:jc w:val="center"/>
              <w:rPr>
                <w:sz w:val="22"/>
                <w:szCs w:val="22"/>
              </w:rPr>
            </w:pPr>
          </w:p>
        </w:tc>
        <w:tc>
          <w:tcPr>
            <w:tcW w:w="944" w:type="dxa"/>
            <w:vMerge w:val="continue"/>
            <w:vAlign w:val="center"/>
          </w:tcPr>
          <w:p w14:paraId="45A071C3">
            <w:pPr>
              <w:jc w:val="center"/>
              <w:rPr>
                <w:sz w:val="22"/>
                <w:szCs w:val="22"/>
              </w:rPr>
            </w:pPr>
          </w:p>
        </w:tc>
        <w:tc>
          <w:tcPr>
            <w:tcW w:w="1116" w:type="dxa"/>
            <w:vAlign w:val="center"/>
          </w:tcPr>
          <w:p w14:paraId="37392167">
            <w:pPr>
              <w:jc w:val="center"/>
              <w:rPr>
                <w:sz w:val="22"/>
                <w:szCs w:val="22"/>
              </w:rPr>
            </w:pPr>
            <w:r>
              <w:rPr>
                <w:sz w:val="22"/>
                <w:szCs w:val="22"/>
              </w:rPr>
              <w:t>61</w:t>
            </w:r>
          </w:p>
        </w:tc>
        <w:tc>
          <w:tcPr>
            <w:tcW w:w="1010" w:type="dxa"/>
            <w:vAlign w:val="center"/>
          </w:tcPr>
          <w:p w14:paraId="25C344E9">
            <w:pPr>
              <w:jc w:val="center"/>
              <w:rPr>
                <w:sz w:val="22"/>
                <w:szCs w:val="22"/>
              </w:rPr>
            </w:pPr>
            <w:r>
              <w:rPr>
                <w:sz w:val="22"/>
                <w:szCs w:val="22"/>
              </w:rPr>
              <w:t>90,00</w:t>
            </w:r>
          </w:p>
        </w:tc>
        <w:tc>
          <w:tcPr>
            <w:tcW w:w="1591" w:type="dxa"/>
            <w:vAlign w:val="center"/>
          </w:tcPr>
          <w:p w14:paraId="4F3765FA">
            <w:pPr>
              <w:jc w:val="center"/>
              <w:rPr>
                <w:sz w:val="22"/>
                <w:szCs w:val="22"/>
              </w:rPr>
            </w:pPr>
            <w:r>
              <w:rPr>
                <w:sz w:val="22"/>
                <w:szCs w:val="22"/>
              </w:rPr>
              <w:t>855.000.000</w:t>
            </w:r>
          </w:p>
        </w:tc>
        <w:tc>
          <w:tcPr>
            <w:tcW w:w="1700" w:type="dxa"/>
            <w:vAlign w:val="center"/>
          </w:tcPr>
          <w:p w14:paraId="1B4FFEAA">
            <w:pPr>
              <w:jc w:val="center"/>
              <w:rPr>
                <w:sz w:val="22"/>
                <w:szCs w:val="22"/>
              </w:rPr>
            </w:pPr>
            <w:r>
              <w:rPr>
                <w:sz w:val="22"/>
                <w:szCs w:val="22"/>
              </w:rPr>
              <w:t>1.400.000.000</w:t>
            </w:r>
          </w:p>
        </w:tc>
        <w:tc>
          <w:tcPr>
            <w:tcW w:w="1140" w:type="dxa"/>
            <w:noWrap/>
            <w:vAlign w:val="center"/>
          </w:tcPr>
          <w:p w14:paraId="66E9873D">
            <w:pPr>
              <w:jc w:val="center"/>
              <w:rPr>
                <w:sz w:val="22"/>
                <w:szCs w:val="22"/>
              </w:rPr>
            </w:pPr>
            <w:r>
              <w:rPr>
                <w:sz w:val="22"/>
                <w:szCs w:val="22"/>
              </w:rPr>
              <w:t>1,64%</w:t>
            </w:r>
          </w:p>
        </w:tc>
      </w:tr>
      <w:tr w14:paraId="5C06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667C3CB">
            <w:pPr>
              <w:jc w:val="center"/>
              <w:rPr>
                <w:sz w:val="22"/>
                <w:szCs w:val="22"/>
              </w:rPr>
            </w:pPr>
            <w:r>
              <w:rPr>
                <w:sz w:val="22"/>
                <w:szCs w:val="22"/>
              </w:rPr>
              <w:t>63</w:t>
            </w:r>
          </w:p>
        </w:tc>
        <w:tc>
          <w:tcPr>
            <w:tcW w:w="1752" w:type="dxa"/>
            <w:noWrap/>
            <w:vAlign w:val="center"/>
          </w:tcPr>
          <w:p w14:paraId="75CF01E8">
            <w:pPr>
              <w:jc w:val="center"/>
              <w:rPr>
                <w:sz w:val="22"/>
                <w:szCs w:val="22"/>
              </w:rPr>
            </w:pPr>
          </w:p>
        </w:tc>
        <w:tc>
          <w:tcPr>
            <w:tcW w:w="944" w:type="dxa"/>
            <w:vMerge w:val="continue"/>
            <w:vAlign w:val="center"/>
          </w:tcPr>
          <w:p w14:paraId="21892635">
            <w:pPr>
              <w:jc w:val="center"/>
              <w:rPr>
                <w:sz w:val="22"/>
                <w:szCs w:val="22"/>
              </w:rPr>
            </w:pPr>
          </w:p>
        </w:tc>
        <w:tc>
          <w:tcPr>
            <w:tcW w:w="1116" w:type="dxa"/>
            <w:vAlign w:val="center"/>
          </w:tcPr>
          <w:p w14:paraId="258B7BB9">
            <w:pPr>
              <w:jc w:val="center"/>
              <w:rPr>
                <w:sz w:val="22"/>
                <w:szCs w:val="22"/>
              </w:rPr>
            </w:pPr>
            <w:r>
              <w:rPr>
                <w:sz w:val="22"/>
                <w:szCs w:val="22"/>
              </w:rPr>
              <w:t>62</w:t>
            </w:r>
          </w:p>
        </w:tc>
        <w:tc>
          <w:tcPr>
            <w:tcW w:w="1010" w:type="dxa"/>
            <w:vAlign w:val="center"/>
          </w:tcPr>
          <w:p w14:paraId="73163215">
            <w:pPr>
              <w:jc w:val="center"/>
              <w:rPr>
                <w:sz w:val="22"/>
                <w:szCs w:val="22"/>
              </w:rPr>
            </w:pPr>
            <w:r>
              <w:rPr>
                <w:sz w:val="22"/>
                <w:szCs w:val="22"/>
              </w:rPr>
              <w:t>90,00</w:t>
            </w:r>
          </w:p>
        </w:tc>
        <w:tc>
          <w:tcPr>
            <w:tcW w:w="1591" w:type="dxa"/>
            <w:vAlign w:val="center"/>
          </w:tcPr>
          <w:p w14:paraId="358C5394">
            <w:pPr>
              <w:jc w:val="center"/>
              <w:rPr>
                <w:sz w:val="22"/>
                <w:szCs w:val="22"/>
              </w:rPr>
            </w:pPr>
            <w:r>
              <w:rPr>
                <w:sz w:val="22"/>
                <w:szCs w:val="22"/>
              </w:rPr>
              <w:t>855.000.000</w:t>
            </w:r>
          </w:p>
        </w:tc>
        <w:tc>
          <w:tcPr>
            <w:tcW w:w="1700" w:type="dxa"/>
            <w:vAlign w:val="center"/>
          </w:tcPr>
          <w:p w14:paraId="636F29A8">
            <w:pPr>
              <w:jc w:val="center"/>
              <w:rPr>
                <w:sz w:val="22"/>
                <w:szCs w:val="22"/>
              </w:rPr>
            </w:pPr>
            <w:r>
              <w:rPr>
                <w:sz w:val="22"/>
                <w:szCs w:val="22"/>
              </w:rPr>
              <w:t>1.390.000.000</w:t>
            </w:r>
          </w:p>
        </w:tc>
        <w:tc>
          <w:tcPr>
            <w:tcW w:w="1140" w:type="dxa"/>
            <w:noWrap/>
            <w:vAlign w:val="center"/>
          </w:tcPr>
          <w:p w14:paraId="3A9E0A84">
            <w:pPr>
              <w:jc w:val="center"/>
              <w:rPr>
                <w:sz w:val="22"/>
                <w:szCs w:val="22"/>
              </w:rPr>
            </w:pPr>
            <w:r>
              <w:rPr>
                <w:sz w:val="22"/>
                <w:szCs w:val="22"/>
              </w:rPr>
              <w:t>1,63%</w:t>
            </w:r>
          </w:p>
        </w:tc>
      </w:tr>
      <w:tr w14:paraId="2ED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7D68F3E">
            <w:pPr>
              <w:jc w:val="center"/>
              <w:rPr>
                <w:sz w:val="22"/>
                <w:szCs w:val="22"/>
              </w:rPr>
            </w:pPr>
            <w:r>
              <w:rPr>
                <w:sz w:val="22"/>
                <w:szCs w:val="22"/>
              </w:rPr>
              <w:t>64</w:t>
            </w:r>
          </w:p>
        </w:tc>
        <w:tc>
          <w:tcPr>
            <w:tcW w:w="1752" w:type="dxa"/>
            <w:noWrap/>
            <w:vAlign w:val="center"/>
          </w:tcPr>
          <w:p w14:paraId="7D4231E2">
            <w:pPr>
              <w:jc w:val="center"/>
              <w:rPr>
                <w:sz w:val="22"/>
                <w:szCs w:val="22"/>
              </w:rPr>
            </w:pPr>
          </w:p>
        </w:tc>
        <w:tc>
          <w:tcPr>
            <w:tcW w:w="944" w:type="dxa"/>
            <w:vMerge w:val="continue"/>
            <w:vAlign w:val="center"/>
          </w:tcPr>
          <w:p w14:paraId="6F80AEBF">
            <w:pPr>
              <w:jc w:val="center"/>
              <w:rPr>
                <w:sz w:val="22"/>
                <w:szCs w:val="22"/>
              </w:rPr>
            </w:pPr>
          </w:p>
        </w:tc>
        <w:tc>
          <w:tcPr>
            <w:tcW w:w="1116" w:type="dxa"/>
            <w:vAlign w:val="center"/>
          </w:tcPr>
          <w:p w14:paraId="36BCDB22">
            <w:pPr>
              <w:jc w:val="center"/>
              <w:rPr>
                <w:sz w:val="22"/>
                <w:szCs w:val="22"/>
              </w:rPr>
            </w:pPr>
            <w:r>
              <w:rPr>
                <w:sz w:val="22"/>
                <w:szCs w:val="22"/>
              </w:rPr>
              <w:t>63</w:t>
            </w:r>
          </w:p>
        </w:tc>
        <w:tc>
          <w:tcPr>
            <w:tcW w:w="1010" w:type="dxa"/>
            <w:vAlign w:val="center"/>
          </w:tcPr>
          <w:p w14:paraId="062F8A09">
            <w:pPr>
              <w:jc w:val="center"/>
              <w:rPr>
                <w:sz w:val="22"/>
                <w:szCs w:val="22"/>
              </w:rPr>
            </w:pPr>
            <w:r>
              <w:rPr>
                <w:sz w:val="22"/>
                <w:szCs w:val="22"/>
              </w:rPr>
              <w:t>90,00</w:t>
            </w:r>
          </w:p>
        </w:tc>
        <w:tc>
          <w:tcPr>
            <w:tcW w:w="1591" w:type="dxa"/>
            <w:vAlign w:val="center"/>
          </w:tcPr>
          <w:p w14:paraId="68CF3736">
            <w:pPr>
              <w:jc w:val="center"/>
              <w:rPr>
                <w:sz w:val="22"/>
                <w:szCs w:val="22"/>
              </w:rPr>
            </w:pPr>
            <w:r>
              <w:rPr>
                <w:sz w:val="22"/>
                <w:szCs w:val="22"/>
              </w:rPr>
              <w:t>855.000.000</w:t>
            </w:r>
          </w:p>
        </w:tc>
        <w:tc>
          <w:tcPr>
            <w:tcW w:w="1700" w:type="dxa"/>
            <w:vAlign w:val="center"/>
          </w:tcPr>
          <w:p w14:paraId="7085F871">
            <w:pPr>
              <w:jc w:val="center"/>
              <w:rPr>
                <w:sz w:val="22"/>
                <w:szCs w:val="22"/>
              </w:rPr>
            </w:pPr>
            <w:r>
              <w:rPr>
                <w:sz w:val="22"/>
                <w:szCs w:val="22"/>
              </w:rPr>
              <w:t>1.468.000.000</w:t>
            </w:r>
          </w:p>
        </w:tc>
        <w:tc>
          <w:tcPr>
            <w:tcW w:w="1140" w:type="dxa"/>
            <w:noWrap/>
            <w:vAlign w:val="center"/>
          </w:tcPr>
          <w:p w14:paraId="5E99017B">
            <w:pPr>
              <w:jc w:val="center"/>
              <w:rPr>
                <w:sz w:val="22"/>
                <w:szCs w:val="22"/>
              </w:rPr>
            </w:pPr>
            <w:r>
              <w:rPr>
                <w:sz w:val="22"/>
                <w:szCs w:val="22"/>
              </w:rPr>
              <w:t>1,72%</w:t>
            </w:r>
          </w:p>
        </w:tc>
      </w:tr>
      <w:tr w14:paraId="2E27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9AD2212">
            <w:pPr>
              <w:jc w:val="center"/>
              <w:rPr>
                <w:sz w:val="22"/>
                <w:szCs w:val="22"/>
              </w:rPr>
            </w:pPr>
            <w:r>
              <w:rPr>
                <w:sz w:val="22"/>
                <w:szCs w:val="22"/>
              </w:rPr>
              <w:t>65</w:t>
            </w:r>
          </w:p>
        </w:tc>
        <w:tc>
          <w:tcPr>
            <w:tcW w:w="1752" w:type="dxa"/>
            <w:noWrap/>
            <w:vAlign w:val="center"/>
          </w:tcPr>
          <w:p w14:paraId="2200DC0A">
            <w:pPr>
              <w:jc w:val="center"/>
              <w:rPr>
                <w:sz w:val="22"/>
                <w:szCs w:val="22"/>
              </w:rPr>
            </w:pPr>
          </w:p>
        </w:tc>
        <w:tc>
          <w:tcPr>
            <w:tcW w:w="944" w:type="dxa"/>
            <w:vMerge w:val="continue"/>
            <w:vAlign w:val="center"/>
          </w:tcPr>
          <w:p w14:paraId="16063AC3">
            <w:pPr>
              <w:jc w:val="center"/>
              <w:rPr>
                <w:sz w:val="22"/>
                <w:szCs w:val="22"/>
              </w:rPr>
            </w:pPr>
          </w:p>
        </w:tc>
        <w:tc>
          <w:tcPr>
            <w:tcW w:w="1116" w:type="dxa"/>
            <w:vAlign w:val="center"/>
          </w:tcPr>
          <w:p w14:paraId="0808F720">
            <w:pPr>
              <w:jc w:val="center"/>
              <w:rPr>
                <w:sz w:val="22"/>
                <w:szCs w:val="22"/>
              </w:rPr>
            </w:pPr>
            <w:r>
              <w:rPr>
                <w:sz w:val="22"/>
                <w:szCs w:val="22"/>
              </w:rPr>
              <w:t>64</w:t>
            </w:r>
          </w:p>
        </w:tc>
        <w:tc>
          <w:tcPr>
            <w:tcW w:w="1010" w:type="dxa"/>
            <w:vAlign w:val="center"/>
          </w:tcPr>
          <w:p w14:paraId="5AFD4783">
            <w:pPr>
              <w:jc w:val="center"/>
              <w:rPr>
                <w:sz w:val="22"/>
                <w:szCs w:val="22"/>
              </w:rPr>
            </w:pPr>
            <w:r>
              <w:rPr>
                <w:sz w:val="22"/>
                <w:szCs w:val="22"/>
              </w:rPr>
              <w:t>106,80</w:t>
            </w:r>
          </w:p>
        </w:tc>
        <w:tc>
          <w:tcPr>
            <w:tcW w:w="1591" w:type="dxa"/>
            <w:vAlign w:val="center"/>
          </w:tcPr>
          <w:p w14:paraId="41AD51F8">
            <w:pPr>
              <w:jc w:val="center"/>
              <w:rPr>
                <w:sz w:val="22"/>
                <w:szCs w:val="22"/>
              </w:rPr>
            </w:pPr>
            <w:r>
              <w:rPr>
                <w:sz w:val="22"/>
                <w:szCs w:val="22"/>
              </w:rPr>
              <w:t>1.217.520.000</w:t>
            </w:r>
          </w:p>
        </w:tc>
        <w:tc>
          <w:tcPr>
            <w:tcW w:w="1700" w:type="dxa"/>
            <w:vAlign w:val="center"/>
          </w:tcPr>
          <w:p w14:paraId="312E67B8">
            <w:pPr>
              <w:jc w:val="center"/>
              <w:rPr>
                <w:sz w:val="22"/>
                <w:szCs w:val="22"/>
              </w:rPr>
            </w:pPr>
            <w:r>
              <w:rPr>
                <w:sz w:val="22"/>
                <w:szCs w:val="22"/>
              </w:rPr>
              <w:t>2.288.800.000</w:t>
            </w:r>
          </w:p>
        </w:tc>
        <w:tc>
          <w:tcPr>
            <w:tcW w:w="1140" w:type="dxa"/>
            <w:noWrap/>
            <w:vAlign w:val="center"/>
          </w:tcPr>
          <w:p w14:paraId="5C4DC267">
            <w:pPr>
              <w:jc w:val="center"/>
              <w:rPr>
                <w:sz w:val="22"/>
                <w:szCs w:val="22"/>
              </w:rPr>
            </w:pPr>
            <w:r>
              <w:rPr>
                <w:sz w:val="22"/>
                <w:szCs w:val="22"/>
              </w:rPr>
              <w:t>1,88%</w:t>
            </w:r>
          </w:p>
        </w:tc>
      </w:tr>
      <w:tr w14:paraId="483D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7A29F54">
            <w:pPr>
              <w:jc w:val="center"/>
              <w:rPr>
                <w:sz w:val="22"/>
                <w:szCs w:val="22"/>
              </w:rPr>
            </w:pPr>
            <w:r>
              <w:rPr>
                <w:sz w:val="22"/>
                <w:szCs w:val="22"/>
              </w:rPr>
              <w:t>66</w:t>
            </w:r>
          </w:p>
        </w:tc>
        <w:tc>
          <w:tcPr>
            <w:tcW w:w="1752" w:type="dxa"/>
            <w:noWrap/>
            <w:vAlign w:val="center"/>
          </w:tcPr>
          <w:p w14:paraId="44C7306F">
            <w:pPr>
              <w:jc w:val="center"/>
              <w:rPr>
                <w:sz w:val="22"/>
                <w:szCs w:val="22"/>
              </w:rPr>
            </w:pPr>
          </w:p>
        </w:tc>
        <w:tc>
          <w:tcPr>
            <w:tcW w:w="944" w:type="dxa"/>
            <w:vMerge w:val="restart"/>
            <w:vAlign w:val="center"/>
          </w:tcPr>
          <w:p w14:paraId="2899E0C7">
            <w:pPr>
              <w:jc w:val="center"/>
              <w:rPr>
                <w:sz w:val="22"/>
                <w:szCs w:val="22"/>
              </w:rPr>
            </w:pPr>
            <w:r>
              <w:rPr>
                <w:sz w:val="22"/>
                <w:szCs w:val="22"/>
              </w:rPr>
              <w:t>LK02</w:t>
            </w:r>
          </w:p>
        </w:tc>
        <w:tc>
          <w:tcPr>
            <w:tcW w:w="1116" w:type="dxa"/>
            <w:vAlign w:val="center"/>
          </w:tcPr>
          <w:p w14:paraId="3250EC97">
            <w:pPr>
              <w:jc w:val="center"/>
              <w:rPr>
                <w:sz w:val="22"/>
                <w:szCs w:val="22"/>
              </w:rPr>
            </w:pPr>
            <w:r>
              <w:rPr>
                <w:sz w:val="22"/>
                <w:szCs w:val="22"/>
              </w:rPr>
              <w:t>1</w:t>
            </w:r>
          </w:p>
        </w:tc>
        <w:tc>
          <w:tcPr>
            <w:tcW w:w="1010" w:type="dxa"/>
            <w:vAlign w:val="center"/>
          </w:tcPr>
          <w:p w14:paraId="65911C78">
            <w:pPr>
              <w:jc w:val="center"/>
              <w:rPr>
                <w:sz w:val="22"/>
                <w:szCs w:val="22"/>
              </w:rPr>
            </w:pPr>
            <w:r>
              <w:rPr>
                <w:sz w:val="22"/>
                <w:szCs w:val="22"/>
              </w:rPr>
              <w:t>137,60</w:t>
            </w:r>
          </w:p>
        </w:tc>
        <w:tc>
          <w:tcPr>
            <w:tcW w:w="1591" w:type="dxa"/>
            <w:vAlign w:val="center"/>
          </w:tcPr>
          <w:p w14:paraId="0AFE099B">
            <w:pPr>
              <w:jc w:val="center"/>
              <w:rPr>
                <w:sz w:val="22"/>
                <w:szCs w:val="22"/>
              </w:rPr>
            </w:pPr>
            <w:r>
              <w:rPr>
                <w:sz w:val="22"/>
                <w:szCs w:val="22"/>
              </w:rPr>
              <w:t>1.733.760.000</w:t>
            </w:r>
          </w:p>
        </w:tc>
        <w:tc>
          <w:tcPr>
            <w:tcW w:w="1700" w:type="dxa"/>
            <w:vAlign w:val="center"/>
          </w:tcPr>
          <w:p w14:paraId="4EC322E6">
            <w:pPr>
              <w:jc w:val="center"/>
              <w:rPr>
                <w:sz w:val="22"/>
                <w:szCs w:val="22"/>
              </w:rPr>
            </w:pPr>
            <w:r>
              <w:rPr>
                <w:sz w:val="22"/>
                <w:szCs w:val="22"/>
              </w:rPr>
              <w:t>2.555.000.000</w:t>
            </w:r>
          </w:p>
        </w:tc>
        <w:tc>
          <w:tcPr>
            <w:tcW w:w="1140" w:type="dxa"/>
            <w:noWrap/>
            <w:vAlign w:val="center"/>
          </w:tcPr>
          <w:p w14:paraId="2F1EB61C">
            <w:pPr>
              <w:jc w:val="center"/>
              <w:rPr>
                <w:sz w:val="22"/>
                <w:szCs w:val="22"/>
              </w:rPr>
            </w:pPr>
            <w:r>
              <w:rPr>
                <w:sz w:val="22"/>
                <w:szCs w:val="22"/>
              </w:rPr>
              <w:t>1,47%</w:t>
            </w:r>
          </w:p>
        </w:tc>
      </w:tr>
      <w:tr w14:paraId="24A6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C22D689">
            <w:pPr>
              <w:jc w:val="center"/>
              <w:rPr>
                <w:sz w:val="22"/>
                <w:szCs w:val="22"/>
              </w:rPr>
            </w:pPr>
            <w:r>
              <w:rPr>
                <w:sz w:val="22"/>
                <w:szCs w:val="22"/>
              </w:rPr>
              <w:t>67</w:t>
            </w:r>
          </w:p>
        </w:tc>
        <w:tc>
          <w:tcPr>
            <w:tcW w:w="1752" w:type="dxa"/>
            <w:noWrap/>
            <w:vAlign w:val="center"/>
          </w:tcPr>
          <w:p w14:paraId="0F8D4992">
            <w:pPr>
              <w:jc w:val="center"/>
              <w:rPr>
                <w:sz w:val="22"/>
                <w:szCs w:val="22"/>
              </w:rPr>
            </w:pPr>
          </w:p>
        </w:tc>
        <w:tc>
          <w:tcPr>
            <w:tcW w:w="944" w:type="dxa"/>
            <w:vMerge w:val="continue"/>
            <w:vAlign w:val="center"/>
          </w:tcPr>
          <w:p w14:paraId="3A4C2CFF">
            <w:pPr>
              <w:jc w:val="center"/>
              <w:rPr>
                <w:sz w:val="22"/>
                <w:szCs w:val="22"/>
              </w:rPr>
            </w:pPr>
          </w:p>
        </w:tc>
        <w:tc>
          <w:tcPr>
            <w:tcW w:w="1116" w:type="dxa"/>
            <w:vAlign w:val="center"/>
          </w:tcPr>
          <w:p w14:paraId="17670D01">
            <w:pPr>
              <w:jc w:val="center"/>
              <w:rPr>
                <w:sz w:val="22"/>
                <w:szCs w:val="22"/>
              </w:rPr>
            </w:pPr>
            <w:r>
              <w:rPr>
                <w:sz w:val="22"/>
                <w:szCs w:val="22"/>
              </w:rPr>
              <w:t>2</w:t>
            </w:r>
          </w:p>
        </w:tc>
        <w:tc>
          <w:tcPr>
            <w:tcW w:w="1010" w:type="dxa"/>
            <w:vAlign w:val="center"/>
          </w:tcPr>
          <w:p w14:paraId="676A9516">
            <w:pPr>
              <w:jc w:val="center"/>
              <w:rPr>
                <w:sz w:val="22"/>
                <w:szCs w:val="22"/>
              </w:rPr>
            </w:pPr>
            <w:r>
              <w:rPr>
                <w:sz w:val="22"/>
                <w:szCs w:val="22"/>
              </w:rPr>
              <w:t>108,50</w:t>
            </w:r>
          </w:p>
        </w:tc>
        <w:tc>
          <w:tcPr>
            <w:tcW w:w="1591" w:type="dxa"/>
            <w:vAlign w:val="center"/>
          </w:tcPr>
          <w:p w14:paraId="7EE64FE5">
            <w:pPr>
              <w:jc w:val="center"/>
              <w:rPr>
                <w:sz w:val="22"/>
                <w:szCs w:val="22"/>
              </w:rPr>
            </w:pPr>
            <w:r>
              <w:rPr>
                <w:sz w:val="22"/>
                <w:szCs w:val="22"/>
              </w:rPr>
              <w:t>1.139.250.000</w:t>
            </w:r>
          </w:p>
        </w:tc>
        <w:tc>
          <w:tcPr>
            <w:tcW w:w="1700" w:type="dxa"/>
            <w:vAlign w:val="center"/>
          </w:tcPr>
          <w:p w14:paraId="6493FB67">
            <w:pPr>
              <w:jc w:val="center"/>
              <w:rPr>
                <w:sz w:val="22"/>
                <w:szCs w:val="22"/>
              </w:rPr>
            </w:pPr>
            <w:r>
              <w:rPr>
                <w:sz w:val="22"/>
                <w:szCs w:val="22"/>
              </w:rPr>
              <w:t>1.662.000.000</w:t>
            </w:r>
          </w:p>
        </w:tc>
        <w:tc>
          <w:tcPr>
            <w:tcW w:w="1140" w:type="dxa"/>
            <w:noWrap/>
            <w:vAlign w:val="center"/>
          </w:tcPr>
          <w:p w14:paraId="1C2077F6">
            <w:pPr>
              <w:jc w:val="center"/>
              <w:rPr>
                <w:sz w:val="22"/>
                <w:szCs w:val="22"/>
              </w:rPr>
            </w:pPr>
            <w:r>
              <w:rPr>
                <w:sz w:val="22"/>
                <w:szCs w:val="22"/>
              </w:rPr>
              <w:t>1,46%</w:t>
            </w:r>
          </w:p>
        </w:tc>
      </w:tr>
      <w:tr w14:paraId="307D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E400B22">
            <w:pPr>
              <w:jc w:val="center"/>
              <w:rPr>
                <w:sz w:val="22"/>
                <w:szCs w:val="22"/>
              </w:rPr>
            </w:pPr>
            <w:r>
              <w:rPr>
                <w:sz w:val="22"/>
                <w:szCs w:val="22"/>
              </w:rPr>
              <w:t>68</w:t>
            </w:r>
          </w:p>
        </w:tc>
        <w:tc>
          <w:tcPr>
            <w:tcW w:w="1752" w:type="dxa"/>
            <w:noWrap/>
            <w:vAlign w:val="center"/>
          </w:tcPr>
          <w:p w14:paraId="69F7E413">
            <w:pPr>
              <w:jc w:val="center"/>
              <w:rPr>
                <w:sz w:val="22"/>
                <w:szCs w:val="22"/>
              </w:rPr>
            </w:pPr>
          </w:p>
        </w:tc>
        <w:tc>
          <w:tcPr>
            <w:tcW w:w="944" w:type="dxa"/>
            <w:vMerge w:val="continue"/>
            <w:vAlign w:val="center"/>
          </w:tcPr>
          <w:p w14:paraId="65F5AD1A">
            <w:pPr>
              <w:jc w:val="center"/>
              <w:rPr>
                <w:sz w:val="22"/>
                <w:szCs w:val="22"/>
              </w:rPr>
            </w:pPr>
          </w:p>
        </w:tc>
        <w:tc>
          <w:tcPr>
            <w:tcW w:w="1116" w:type="dxa"/>
            <w:vAlign w:val="center"/>
          </w:tcPr>
          <w:p w14:paraId="1CFEB67C">
            <w:pPr>
              <w:jc w:val="center"/>
              <w:rPr>
                <w:sz w:val="22"/>
                <w:szCs w:val="22"/>
              </w:rPr>
            </w:pPr>
            <w:r>
              <w:rPr>
                <w:sz w:val="22"/>
                <w:szCs w:val="22"/>
              </w:rPr>
              <w:t>3</w:t>
            </w:r>
          </w:p>
        </w:tc>
        <w:tc>
          <w:tcPr>
            <w:tcW w:w="1010" w:type="dxa"/>
            <w:vAlign w:val="center"/>
          </w:tcPr>
          <w:p w14:paraId="72AB6612">
            <w:pPr>
              <w:jc w:val="center"/>
              <w:rPr>
                <w:sz w:val="22"/>
                <w:szCs w:val="22"/>
              </w:rPr>
            </w:pPr>
            <w:r>
              <w:rPr>
                <w:sz w:val="22"/>
                <w:szCs w:val="22"/>
              </w:rPr>
              <w:t>108,50</w:t>
            </w:r>
          </w:p>
        </w:tc>
        <w:tc>
          <w:tcPr>
            <w:tcW w:w="1591" w:type="dxa"/>
            <w:vAlign w:val="center"/>
          </w:tcPr>
          <w:p w14:paraId="3477B521">
            <w:pPr>
              <w:jc w:val="center"/>
              <w:rPr>
                <w:sz w:val="22"/>
                <w:szCs w:val="22"/>
              </w:rPr>
            </w:pPr>
            <w:r>
              <w:rPr>
                <w:sz w:val="22"/>
                <w:szCs w:val="22"/>
              </w:rPr>
              <w:t>1.139.250.000</w:t>
            </w:r>
          </w:p>
        </w:tc>
        <w:tc>
          <w:tcPr>
            <w:tcW w:w="1700" w:type="dxa"/>
            <w:vAlign w:val="center"/>
          </w:tcPr>
          <w:p w14:paraId="6F6C7EBD">
            <w:pPr>
              <w:jc w:val="center"/>
              <w:rPr>
                <w:sz w:val="22"/>
                <w:szCs w:val="22"/>
              </w:rPr>
            </w:pPr>
            <w:r>
              <w:rPr>
                <w:sz w:val="22"/>
                <w:szCs w:val="22"/>
              </w:rPr>
              <w:t>1.668.000.000</w:t>
            </w:r>
          </w:p>
        </w:tc>
        <w:tc>
          <w:tcPr>
            <w:tcW w:w="1140" w:type="dxa"/>
            <w:noWrap/>
            <w:vAlign w:val="center"/>
          </w:tcPr>
          <w:p w14:paraId="30470B01">
            <w:pPr>
              <w:jc w:val="center"/>
              <w:rPr>
                <w:sz w:val="22"/>
                <w:szCs w:val="22"/>
              </w:rPr>
            </w:pPr>
            <w:r>
              <w:rPr>
                <w:sz w:val="22"/>
                <w:szCs w:val="22"/>
              </w:rPr>
              <w:t>1,46%</w:t>
            </w:r>
          </w:p>
        </w:tc>
      </w:tr>
      <w:tr w14:paraId="583A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808755C">
            <w:pPr>
              <w:jc w:val="center"/>
              <w:rPr>
                <w:sz w:val="22"/>
                <w:szCs w:val="22"/>
              </w:rPr>
            </w:pPr>
            <w:r>
              <w:rPr>
                <w:sz w:val="22"/>
                <w:szCs w:val="22"/>
              </w:rPr>
              <w:t>69</w:t>
            </w:r>
          </w:p>
        </w:tc>
        <w:tc>
          <w:tcPr>
            <w:tcW w:w="1752" w:type="dxa"/>
            <w:noWrap/>
            <w:vAlign w:val="center"/>
          </w:tcPr>
          <w:p w14:paraId="278B3E30">
            <w:pPr>
              <w:jc w:val="center"/>
              <w:rPr>
                <w:sz w:val="22"/>
                <w:szCs w:val="22"/>
              </w:rPr>
            </w:pPr>
          </w:p>
        </w:tc>
        <w:tc>
          <w:tcPr>
            <w:tcW w:w="944" w:type="dxa"/>
            <w:vMerge w:val="continue"/>
            <w:vAlign w:val="center"/>
          </w:tcPr>
          <w:p w14:paraId="23DD8344">
            <w:pPr>
              <w:jc w:val="center"/>
              <w:rPr>
                <w:sz w:val="22"/>
                <w:szCs w:val="22"/>
              </w:rPr>
            </w:pPr>
          </w:p>
        </w:tc>
        <w:tc>
          <w:tcPr>
            <w:tcW w:w="1116" w:type="dxa"/>
            <w:vAlign w:val="center"/>
          </w:tcPr>
          <w:p w14:paraId="04019AA7">
            <w:pPr>
              <w:jc w:val="center"/>
              <w:rPr>
                <w:sz w:val="22"/>
                <w:szCs w:val="22"/>
              </w:rPr>
            </w:pPr>
            <w:r>
              <w:rPr>
                <w:sz w:val="22"/>
                <w:szCs w:val="22"/>
              </w:rPr>
              <w:t>4</w:t>
            </w:r>
          </w:p>
        </w:tc>
        <w:tc>
          <w:tcPr>
            <w:tcW w:w="1010" w:type="dxa"/>
            <w:vAlign w:val="center"/>
          </w:tcPr>
          <w:p w14:paraId="4C96AF11">
            <w:pPr>
              <w:jc w:val="center"/>
              <w:rPr>
                <w:sz w:val="22"/>
                <w:szCs w:val="22"/>
              </w:rPr>
            </w:pPr>
            <w:r>
              <w:rPr>
                <w:sz w:val="22"/>
                <w:szCs w:val="22"/>
              </w:rPr>
              <w:t>108,50</w:t>
            </w:r>
          </w:p>
        </w:tc>
        <w:tc>
          <w:tcPr>
            <w:tcW w:w="1591" w:type="dxa"/>
            <w:vAlign w:val="center"/>
          </w:tcPr>
          <w:p w14:paraId="4BC6F412">
            <w:pPr>
              <w:jc w:val="center"/>
              <w:rPr>
                <w:sz w:val="22"/>
                <w:szCs w:val="22"/>
              </w:rPr>
            </w:pPr>
            <w:r>
              <w:rPr>
                <w:sz w:val="22"/>
                <w:szCs w:val="22"/>
              </w:rPr>
              <w:t>1.139.250.000</w:t>
            </w:r>
          </w:p>
        </w:tc>
        <w:tc>
          <w:tcPr>
            <w:tcW w:w="1700" w:type="dxa"/>
            <w:vAlign w:val="center"/>
          </w:tcPr>
          <w:p w14:paraId="2A8E28A9">
            <w:pPr>
              <w:jc w:val="center"/>
              <w:rPr>
                <w:sz w:val="22"/>
                <w:szCs w:val="22"/>
              </w:rPr>
            </w:pPr>
            <w:r>
              <w:rPr>
                <w:sz w:val="22"/>
                <w:szCs w:val="22"/>
              </w:rPr>
              <w:t>1.632.000.000</w:t>
            </w:r>
          </w:p>
        </w:tc>
        <w:tc>
          <w:tcPr>
            <w:tcW w:w="1140" w:type="dxa"/>
            <w:noWrap/>
            <w:vAlign w:val="center"/>
          </w:tcPr>
          <w:p w14:paraId="2ABAB83B">
            <w:pPr>
              <w:jc w:val="center"/>
              <w:rPr>
                <w:sz w:val="22"/>
                <w:szCs w:val="22"/>
              </w:rPr>
            </w:pPr>
            <w:r>
              <w:rPr>
                <w:sz w:val="22"/>
                <w:szCs w:val="22"/>
              </w:rPr>
              <w:t>1,43%</w:t>
            </w:r>
          </w:p>
        </w:tc>
      </w:tr>
      <w:tr w14:paraId="3CE8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8FEB09C">
            <w:pPr>
              <w:jc w:val="center"/>
              <w:rPr>
                <w:sz w:val="22"/>
                <w:szCs w:val="22"/>
              </w:rPr>
            </w:pPr>
            <w:r>
              <w:rPr>
                <w:sz w:val="22"/>
                <w:szCs w:val="22"/>
              </w:rPr>
              <w:t>70</w:t>
            </w:r>
          </w:p>
        </w:tc>
        <w:tc>
          <w:tcPr>
            <w:tcW w:w="1752" w:type="dxa"/>
            <w:noWrap/>
            <w:vAlign w:val="center"/>
          </w:tcPr>
          <w:p w14:paraId="3DCA2DE2">
            <w:pPr>
              <w:jc w:val="center"/>
              <w:rPr>
                <w:sz w:val="22"/>
                <w:szCs w:val="22"/>
              </w:rPr>
            </w:pPr>
          </w:p>
        </w:tc>
        <w:tc>
          <w:tcPr>
            <w:tcW w:w="944" w:type="dxa"/>
            <w:vMerge w:val="continue"/>
            <w:vAlign w:val="center"/>
          </w:tcPr>
          <w:p w14:paraId="104F0F72">
            <w:pPr>
              <w:jc w:val="center"/>
              <w:rPr>
                <w:sz w:val="22"/>
                <w:szCs w:val="22"/>
              </w:rPr>
            </w:pPr>
          </w:p>
        </w:tc>
        <w:tc>
          <w:tcPr>
            <w:tcW w:w="1116" w:type="dxa"/>
            <w:vAlign w:val="center"/>
          </w:tcPr>
          <w:p w14:paraId="441041CF">
            <w:pPr>
              <w:jc w:val="center"/>
              <w:rPr>
                <w:sz w:val="22"/>
                <w:szCs w:val="22"/>
              </w:rPr>
            </w:pPr>
            <w:r>
              <w:rPr>
                <w:sz w:val="22"/>
                <w:szCs w:val="22"/>
              </w:rPr>
              <w:t>5</w:t>
            </w:r>
          </w:p>
        </w:tc>
        <w:tc>
          <w:tcPr>
            <w:tcW w:w="1010" w:type="dxa"/>
            <w:vAlign w:val="center"/>
          </w:tcPr>
          <w:p w14:paraId="3EB98149">
            <w:pPr>
              <w:jc w:val="center"/>
              <w:rPr>
                <w:sz w:val="22"/>
                <w:szCs w:val="22"/>
              </w:rPr>
            </w:pPr>
            <w:r>
              <w:rPr>
                <w:sz w:val="22"/>
                <w:szCs w:val="22"/>
              </w:rPr>
              <w:t>108,50</w:t>
            </w:r>
          </w:p>
        </w:tc>
        <w:tc>
          <w:tcPr>
            <w:tcW w:w="1591" w:type="dxa"/>
            <w:vAlign w:val="center"/>
          </w:tcPr>
          <w:p w14:paraId="6DA19440">
            <w:pPr>
              <w:jc w:val="center"/>
              <w:rPr>
                <w:sz w:val="22"/>
                <w:szCs w:val="22"/>
              </w:rPr>
            </w:pPr>
            <w:r>
              <w:rPr>
                <w:sz w:val="22"/>
                <w:szCs w:val="22"/>
              </w:rPr>
              <w:t>1.139.250.000</w:t>
            </w:r>
          </w:p>
        </w:tc>
        <w:tc>
          <w:tcPr>
            <w:tcW w:w="1700" w:type="dxa"/>
            <w:vAlign w:val="center"/>
          </w:tcPr>
          <w:p w14:paraId="6AC14712">
            <w:pPr>
              <w:jc w:val="center"/>
              <w:rPr>
                <w:sz w:val="22"/>
                <w:szCs w:val="22"/>
              </w:rPr>
            </w:pPr>
            <w:r>
              <w:rPr>
                <w:sz w:val="22"/>
                <w:szCs w:val="22"/>
              </w:rPr>
              <w:t>1.690.000.000</w:t>
            </w:r>
          </w:p>
        </w:tc>
        <w:tc>
          <w:tcPr>
            <w:tcW w:w="1140" w:type="dxa"/>
            <w:noWrap/>
            <w:vAlign w:val="center"/>
          </w:tcPr>
          <w:p w14:paraId="13D06611">
            <w:pPr>
              <w:jc w:val="center"/>
              <w:rPr>
                <w:sz w:val="22"/>
                <w:szCs w:val="22"/>
              </w:rPr>
            </w:pPr>
            <w:r>
              <w:rPr>
                <w:sz w:val="22"/>
                <w:szCs w:val="22"/>
              </w:rPr>
              <w:t>1,48%</w:t>
            </w:r>
          </w:p>
        </w:tc>
      </w:tr>
      <w:tr w14:paraId="7BF3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933D79B">
            <w:pPr>
              <w:jc w:val="center"/>
              <w:rPr>
                <w:sz w:val="22"/>
                <w:szCs w:val="22"/>
              </w:rPr>
            </w:pPr>
            <w:r>
              <w:rPr>
                <w:sz w:val="22"/>
                <w:szCs w:val="22"/>
              </w:rPr>
              <w:t>71</w:t>
            </w:r>
          </w:p>
        </w:tc>
        <w:tc>
          <w:tcPr>
            <w:tcW w:w="1752" w:type="dxa"/>
            <w:noWrap/>
            <w:vAlign w:val="center"/>
          </w:tcPr>
          <w:p w14:paraId="14E3203D">
            <w:pPr>
              <w:jc w:val="center"/>
              <w:rPr>
                <w:sz w:val="22"/>
                <w:szCs w:val="22"/>
              </w:rPr>
            </w:pPr>
          </w:p>
        </w:tc>
        <w:tc>
          <w:tcPr>
            <w:tcW w:w="944" w:type="dxa"/>
            <w:vMerge w:val="continue"/>
            <w:vAlign w:val="center"/>
          </w:tcPr>
          <w:p w14:paraId="68589036">
            <w:pPr>
              <w:jc w:val="center"/>
              <w:rPr>
                <w:sz w:val="22"/>
                <w:szCs w:val="22"/>
              </w:rPr>
            </w:pPr>
          </w:p>
        </w:tc>
        <w:tc>
          <w:tcPr>
            <w:tcW w:w="1116" w:type="dxa"/>
            <w:vAlign w:val="center"/>
          </w:tcPr>
          <w:p w14:paraId="28A14F78">
            <w:pPr>
              <w:jc w:val="center"/>
              <w:rPr>
                <w:sz w:val="22"/>
                <w:szCs w:val="22"/>
              </w:rPr>
            </w:pPr>
            <w:r>
              <w:rPr>
                <w:sz w:val="22"/>
                <w:szCs w:val="22"/>
              </w:rPr>
              <w:t>6</w:t>
            </w:r>
          </w:p>
        </w:tc>
        <w:tc>
          <w:tcPr>
            <w:tcW w:w="1010" w:type="dxa"/>
            <w:vAlign w:val="center"/>
          </w:tcPr>
          <w:p w14:paraId="4F727EFE">
            <w:pPr>
              <w:jc w:val="center"/>
              <w:rPr>
                <w:sz w:val="22"/>
                <w:szCs w:val="22"/>
              </w:rPr>
            </w:pPr>
            <w:r>
              <w:rPr>
                <w:sz w:val="22"/>
                <w:szCs w:val="22"/>
              </w:rPr>
              <w:t>116,10</w:t>
            </w:r>
          </w:p>
        </w:tc>
        <w:tc>
          <w:tcPr>
            <w:tcW w:w="1591" w:type="dxa"/>
            <w:vAlign w:val="center"/>
          </w:tcPr>
          <w:p w14:paraId="767EAC4A">
            <w:pPr>
              <w:jc w:val="center"/>
              <w:rPr>
                <w:sz w:val="22"/>
                <w:szCs w:val="22"/>
              </w:rPr>
            </w:pPr>
            <w:r>
              <w:rPr>
                <w:sz w:val="22"/>
                <w:szCs w:val="22"/>
              </w:rPr>
              <w:t>1.219.050.000</w:t>
            </w:r>
          </w:p>
        </w:tc>
        <w:tc>
          <w:tcPr>
            <w:tcW w:w="1700" w:type="dxa"/>
            <w:vAlign w:val="center"/>
          </w:tcPr>
          <w:p w14:paraId="74A480CD">
            <w:pPr>
              <w:jc w:val="center"/>
              <w:rPr>
                <w:sz w:val="22"/>
                <w:szCs w:val="22"/>
              </w:rPr>
            </w:pPr>
            <w:r>
              <w:rPr>
                <w:sz w:val="22"/>
                <w:szCs w:val="22"/>
              </w:rPr>
              <w:t>1.926.000.000</w:t>
            </w:r>
          </w:p>
        </w:tc>
        <w:tc>
          <w:tcPr>
            <w:tcW w:w="1140" w:type="dxa"/>
            <w:noWrap/>
            <w:vAlign w:val="center"/>
          </w:tcPr>
          <w:p w14:paraId="65EE244B">
            <w:pPr>
              <w:jc w:val="center"/>
              <w:rPr>
                <w:sz w:val="22"/>
                <w:szCs w:val="22"/>
              </w:rPr>
            </w:pPr>
            <w:r>
              <w:rPr>
                <w:sz w:val="22"/>
                <w:szCs w:val="22"/>
              </w:rPr>
              <w:t>1,58%</w:t>
            </w:r>
          </w:p>
        </w:tc>
      </w:tr>
      <w:tr w14:paraId="3049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CFC2351">
            <w:pPr>
              <w:jc w:val="center"/>
              <w:rPr>
                <w:sz w:val="22"/>
                <w:szCs w:val="22"/>
              </w:rPr>
            </w:pPr>
            <w:r>
              <w:rPr>
                <w:sz w:val="22"/>
                <w:szCs w:val="22"/>
              </w:rPr>
              <w:t>72</w:t>
            </w:r>
          </w:p>
        </w:tc>
        <w:tc>
          <w:tcPr>
            <w:tcW w:w="1752" w:type="dxa"/>
            <w:noWrap/>
            <w:vAlign w:val="center"/>
          </w:tcPr>
          <w:p w14:paraId="2FE3B1DE">
            <w:pPr>
              <w:jc w:val="center"/>
              <w:rPr>
                <w:sz w:val="22"/>
                <w:szCs w:val="22"/>
              </w:rPr>
            </w:pPr>
          </w:p>
        </w:tc>
        <w:tc>
          <w:tcPr>
            <w:tcW w:w="944" w:type="dxa"/>
            <w:vMerge w:val="continue"/>
            <w:vAlign w:val="center"/>
          </w:tcPr>
          <w:p w14:paraId="4D2B6A83">
            <w:pPr>
              <w:jc w:val="center"/>
              <w:rPr>
                <w:sz w:val="22"/>
                <w:szCs w:val="22"/>
              </w:rPr>
            </w:pPr>
          </w:p>
        </w:tc>
        <w:tc>
          <w:tcPr>
            <w:tcW w:w="1116" w:type="dxa"/>
            <w:vAlign w:val="center"/>
          </w:tcPr>
          <w:p w14:paraId="15A20DC4">
            <w:pPr>
              <w:jc w:val="center"/>
              <w:rPr>
                <w:sz w:val="22"/>
                <w:szCs w:val="22"/>
              </w:rPr>
            </w:pPr>
            <w:r>
              <w:rPr>
                <w:sz w:val="22"/>
                <w:szCs w:val="22"/>
              </w:rPr>
              <w:t>7</w:t>
            </w:r>
          </w:p>
        </w:tc>
        <w:tc>
          <w:tcPr>
            <w:tcW w:w="1010" w:type="dxa"/>
            <w:vAlign w:val="center"/>
          </w:tcPr>
          <w:p w14:paraId="04F6DA72">
            <w:pPr>
              <w:jc w:val="center"/>
              <w:rPr>
                <w:sz w:val="22"/>
                <w:szCs w:val="22"/>
              </w:rPr>
            </w:pPr>
            <w:r>
              <w:rPr>
                <w:sz w:val="22"/>
                <w:szCs w:val="22"/>
              </w:rPr>
              <w:t>116,10</w:t>
            </w:r>
          </w:p>
        </w:tc>
        <w:tc>
          <w:tcPr>
            <w:tcW w:w="1591" w:type="dxa"/>
            <w:vAlign w:val="center"/>
          </w:tcPr>
          <w:p w14:paraId="0D26EA69">
            <w:pPr>
              <w:jc w:val="center"/>
              <w:rPr>
                <w:sz w:val="22"/>
                <w:szCs w:val="22"/>
              </w:rPr>
            </w:pPr>
            <w:r>
              <w:rPr>
                <w:sz w:val="22"/>
                <w:szCs w:val="22"/>
              </w:rPr>
              <w:t>1.219.050.000</w:t>
            </w:r>
          </w:p>
        </w:tc>
        <w:tc>
          <w:tcPr>
            <w:tcW w:w="1700" w:type="dxa"/>
            <w:vAlign w:val="center"/>
          </w:tcPr>
          <w:p w14:paraId="28FB6AF4">
            <w:pPr>
              <w:jc w:val="center"/>
              <w:rPr>
                <w:sz w:val="22"/>
                <w:szCs w:val="22"/>
              </w:rPr>
            </w:pPr>
            <w:r>
              <w:rPr>
                <w:sz w:val="22"/>
                <w:szCs w:val="22"/>
              </w:rPr>
              <w:t>1.890.000.000</w:t>
            </w:r>
          </w:p>
        </w:tc>
        <w:tc>
          <w:tcPr>
            <w:tcW w:w="1140" w:type="dxa"/>
            <w:noWrap/>
            <w:vAlign w:val="center"/>
          </w:tcPr>
          <w:p w14:paraId="5042DDF1">
            <w:pPr>
              <w:jc w:val="center"/>
              <w:rPr>
                <w:sz w:val="22"/>
                <w:szCs w:val="22"/>
              </w:rPr>
            </w:pPr>
            <w:r>
              <w:rPr>
                <w:sz w:val="22"/>
                <w:szCs w:val="22"/>
              </w:rPr>
              <w:t>1,55%</w:t>
            </w:r>
          </w:p>
        </w:tc>
      </w:tr>
      <w:tr w14:paraId="4C3A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85FC9AA">
            <w:pPr>
              <w:jc w:val="center"/>
              <w:rPr>
                <w:sz w:val="22"/>
                <w:szCs w:val="22"/>
              </w:rPr>
            </w:pPr>
            <w:r>
              <w:rPr>
                <w:sz w:val="22"/>
                <w:szCs w:val="22"/>
              </w:rPr>
              <w:t>73</w:t>
            </w:r>
          </w:p>
        </w:tc>
        <w:tc>
          <w:tcPr>
            <w:tcW w:w="1752" w:type="dxa"/>
            <w:noWrap/>
            <w:vAlign w:val="center"/>
          </w:tcPr>
          <w:p w14:paraId="5DC82AAA">
            <w:pPr>
              <w:jc w:val="center"/>
              <w:rPr>
                <w:sz w:val="22"/>
                <w:szCs w:val="22"/>
              </w:rPr>
            </w:pPr>
          </w:p>
        </w:tc>
        <w:tc>
          <w:tcPr>
            <w:tcW w:w="944" w:type="dxa"/>
            <w:vMerge w:val="continue"/>
            <w:vAlign w:val="center"/>
          </w:tcPr>
          <w:p w14:paraId="6319A687">
            <w:pPr>
              <w:jc w:val="center"/>
              <w:rPr>
                <w:sz w:val="22"/>
                <w:szCs w:val="22"/>
              </w:rPr>
            </w:pPr>
          </w:p>
        </w:tc>
        <w:tc>
          <w:tcPr>
            <w:tcW w:w="1116" w:type="dxa"/>
            <w:vAlign w:val="center"/>
          </w:tcPr>
          <w:p w14:paraId="6A168306">
            <w:pPr>
              <w:jc w:val="center"/>
              <w:rPr>
                <w:sz w:val="22"/>
                <w:szCs w:val="22"/>
              </w:rPr>
            </w:pPr>
            <w:r>
              <w:rPr>
                <w:sz w:val="22"/>
                <w:szCs w:val="22"/>
              </w:rPr>
              <w:t>8</w:t>
            </w:r>
          </w:p>
        </w:tc>
        <w:tc>
          <w:tcPr>
            <w:tcW w:w="1010" w:type="dxa"/>
            <w:vAlign w:val="center"/>
          </w:tcPr>
          <w:p w14:paraId="7CAD724A">
            <w:pPr>
              <w:jc w:val="center"/>
              <w:rPr>
                <w:sz w:val="22"/>
                <w:szCs w:val="22"/>
              </w:rPr>
            </w:pPr>
            <w:r>
              <w:rPr>
                <w:sz w:val="22"/>
                <w:szCs w:val="22"/>
              </w:rPr>
              <w:t>108,50</w:t>
            </w:r>
          </w:p>
        </w:tc>
        <w:tc>
          <w:tcPr>
            <w:tcW w:w="1591" w:type="dxa"/>
            <w:vAlign w:val="center"/>
          </w:tcPr>
          <w:p w14:paraId="25067D6A">
            <w:pPr>
              <w:jc w:val="center"/>
              <w:rPr>
                <w:sz w:val="22"/>
                <w:szCs w:val="22"/>
              </w:rPr>
            </w:pPr>
            <w:r>
              <w:rPr>
                <w:sz w:val="22"/>
                <w:szCs w:val="22"/>
              </w:rPr>
              <w:t>1.139.250.000</w:t>
            </w:r>
          </w:p>
        </w:tc>
        <w:tc>
          <w:tcPr>
            <w:tcW w:w="1700" w:type="dxa"/>
            <w:vAlign w:val="center"/>
          </w:tcPr>
          <w:p w14:paraId="05062128">
            <w:pPr>
              <w:jc w:val="center"/>
              <w:rPr>
                <w:sz w:val="22"/>
                <w:szCs w:val="22"/>
              </w:rPr>
            </w:pPr>
            <w:r>
              <w:rPr>
                <w:sz w:val="22"/>
                <w:szCs w:val="22"/>
              </w:rPr>
              <w:t>1.651.000.000</w:t>
            </w:r>
          </w:p>
        </w:tc>
        <w:tc>
          <w:tcPr>
            <w:tcW w:w="1140" w:type="dxa"/>
            <w:noWrap/>
            <w:vAlign w:val="center"/>
          </w:tcPr>
          <w:p w14:paraId="5732A03F">
            <w:pPr>
              <w:jc w:val="center"/>
              <w:rPr>
                <w:sz w:val="22"/>
                <w:szCs w:val="22"/>
              </w:rPr>
            </w:pPr>
            <w:r>
              <w:rPr>
                <w:sz w:val="22"/>
                <w:szCs w:val="22"/>
              </w:rPr>
              <w:t>1,45%</w:t>
            </w:r>
          </w:p>
        </w:tc>
      </w:tr>
      <w:tr w14:paraId="2CB3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822F2FB">
            <w:pPr>
              <w:jc w:val="center"/>
              <w:rPr>
                <w:sz w:val="22"/>
                <w:szCs w:val="22"/>
              </w:rPr>
            </w:pPr>
            <w:r>
              <w:rPr>
                <w:sz w:val="22"/>
                <w:szCs w:val="22"/>
              </w:rPr>
              <w:t>74</w:t>
            </w:r>
          </w:p>
        </w:tc>
        <w:tc>
          <w:tcPr>
            <w:tcW w:w="1752" w:type="dxa"/>
            <w:noWrap/>
            <w:vAlign w:val="center"/>
          </w:tcPr>
          <w:p w14:paraId="6FD07EB1">
            <w:pPr>
              <w:jc w:val="center"/>
              <w:rPr>
                <w:sz w:val="22"/>
                <w:szCs w:val="22"/>
              </w:rPr>
            </w:pPr>
          </w:p>
        </w:tc>
        <w:tc>
          <w:tcPr>
            <w:tcW w:w="944" w:type="dxa"/>
            <w:vMerge w:val="continue"/>
            <w:vAlign w:val="center"/>
          </w:tcPr>
          <w:p w14:paraId="2C9941B7">
            <w:pPr>
              <w:jc w:val="center"/>
              <w:rPr>
                <w:sz w:val="22"/>
                <w:szCs w:val="22"/>
              </w:rPr>
            </w:pPr>
          </w:p>
        </w:tc>
        <w:tc>
          <w:tcPr>
            <w:tcW w:w="1116" w:type="dxa"/>
            <w:vAlign w:val="center"/>
          </w:tcPr>
          <w:p w14:paraId="0E7AD53C">
            <w:pPr>
              <w:jc w:val="center"/>
              <w:rPr>
                <w:sz w:val="22"/>
                <w:szCs w:val="22"/>
              </w:rPr>
            </w:pPr>
            <w:r>
              <w:rPr>
                <w:sz w:val="22"/>
                <w:szCs w:val="22"/>
              </w:rPr>
              <w:t>9</w:t>
            </w:r>
          </w:p>
        </w:tc>
        <w:tc>
          <w:tcPr>
            <w:tcW w:w="1010" w:type="dxa"/>
            <w:vAlign w:val="center"/>
          </w:tcPr>
          <w:p w14:paraId="19532AC7">
            <w:pPr>
              <w:jc w:val="center"/>
              <w:rPr>
                <w:sz w:val="22"/>
                <w:szCs w:val="22"/>
              </w:rPr>
            </w:pPr>
            <w:r>
              <w:rPr>
                <w:sz w:val="22"/>
                <w:szCs w:val="22"/>
              </w:rPr>
              <w:t>108,50</w:t>
            </w:r>
          </w:p>
        </w:tc>
        <w:tc>
          <w:tcPr>
            <w:tcW w:w="1591" w:type="dxa"/>
            <w:vAlign w:val="center"/>
          </w:tcPr>
          <w:p w14:paraId="269CCED0">
            <w:pPr>
              <w:jc w:val="center"/>
              <w:rPr>
                <w:sz w:val="22"/>
                <w:szCs w:val="22"/>
              </w:rPr>
            </w:pPr>
            <w:r>
              <w:rPr>
                <w:sz w:val="22"/>
                <w:szCs w:val="22"/>
              </w:rPr>
              <w:t>1.139.250.000</w:t>
            </w:r>
          </w:p>
        </w:tc>
        <w:tc>
          <w:tcPr>
            <w:tcW w:w="1700" w:type="dxa"/>
            <w:vAlign w:val="center"/>
          </w:tcPr>
          <w:p w14:paraId="68B6D614">
            <w:pPr>
              <w:jc w:val="center"/>
              <w:rPr>
                <w:sz w:val="22"/>
                <w:szCs w:val="22"/>
              </w:rPr>
            </w:pPr>
            <w:r>
              <w:rPr>
                <w:sz w:val="22"/>
                <w:szCs w:val="22"/>
              </w:rPr>
              <w:t>1.700.000.000</w:t>
            </w:r>
          </w:p>
        </w:tc>
        <w:tc>
          <w:tcPr>
            <w:tcW w:w="1140" w:type="dxa"/>
            <w:noWrap/>
            <w:vAlign w:val="center"/>
          </w:tcPr>
          <w:p w14:paraId="493FB946">
            <w:pPr>
              <w:jc w:val="center"/>
              <w:rPr>
                <w:sz w:val="22"/>
                <w:szCs w:val="22"/>
              </w:rPr>
            </w:pPr>
            <w:r>
              <w:rPr>
                <w:sz w:val="22"/>
                <w:szCs w:val="22"/>
              </w:rPr>
              <w:t>1,49%</w:t>
            </w:r>
          </w:p>
        </w:tc>
      </w:tr>
      <w:tr w14:paraId="1CA5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CE2BE36">
            <w:pPr>
              <w:jc w:val="center"/>
              <w:rPr>
                <w:sz w:val="22"/>
                <w:szCs w:val="22"/>
              </w:rPr>
            </w:pPr>
            <w:r>
              <w:rPr>
                <w:sz w:val="22"/>
                <w:szCs w:val="22"/>
              </w:rPr>
              <w:t>75</w:t>
            </w:r>
          </w:p>
        </w:tc>
        <w:tc>
          <w:tcPr>
            <w:tcW w:w="1752" w:type="dxa"/>
            <w:noWrap/>
            <w:vAlign w:val="center"/>
          </w:tcPr>
          <w:p w14:paraId="21A82397">
            <w:pPr>
              <w:jc w:val="center"/>
              <w:rPr>
                <w:sz w:val="22"/>
                <w:szCs w:val="22"/>
              </w:rPr>
            </w:pPr>
          </w:p>
        </w:tc>
        <w:tc>
          <w:tcPr>
            <w:tcW w:w="944" w:type="dxa"/>
            <w:vMerge w:val="continue"/>
            <w:vAlign w:val="center"/>
          </w:tcPr>
          <w:p w14:paraId="4A6A2901">
            <w:pPr>
              <w:jc w:val="center"/>
              <w:rPr>
                <w:sz w:val="22"/>
                <w:szCs w:val="22"/>
              </w:rPr>
            </w:pPr>
          </w:p>
        </w:tc>
        <w:tc>
          <w:tcPr>
            <w:tcW w:w="1116" w:type="dxa"/>
            <w:vAlign w:val="center"/>
          </w:tcPr>
          <w:p w14:paraId="65B3DA56">
            <w:pPr>
              <w:jc w:val="center"/>
              <w:rPr>
                <w:sz w:val="22"/>
                <w:szCs w:val="22"/>
              </w:rPr>
            </w:pPr>
            <w:r>
              <w:rPr>
                <w:sz w:val="22"/>
                <w:szCs w:val="22"/>
              </w:rPr>
              <w:t>10</w:t>
            </w:r>
          </w:p>
        </w:tc>
        <w:tc>
          <w:tcPr>
            <w:tcW w:w="1010" w:type="dxa"/>
            <w:vAlign w:val="center"/>
          </w:tcPr>
          <w:p w14:paraId="3FCC0051">
            <w:pPr>
              <w:jc w:val="center"/>
              <w:rPr>
                <w:sz w:val="22"/>
                <w:szCs w:val="22"/>
              </w:rPr>
            </w:pPr>
            <w:r>
              <w:rPr>
                <w:sz w:val="22"/>
                <w:szCs w:val="22"/>
              </w:rPr>
              <w:t>108,50</w:t>
            </w:r>
          </w:p>
        </w:tc>
        <w:tc>
          <w:tcPr>
            <w:tcW w:w="1591" w:type="dxa"/>
            <w:vAlign w:val="center"/>
          </w:tcPr>
          <w:p w14:paraId="1034EC8F">
            <w:pPr>
              <w:jc w:val="center"/>
              <w:rPr>
                <w:sz w:val="22"/>
                <w:szCs w:val="22"/>
              </w:rPr>
            </w:pPr>
            <w:r>
              <w:rPr>
                <w:sz w:val="22"/>
                <w:szCs w:val="22"/>
              </w:rPr>
              <w:t>1.139.250.000</w:t>
            </w:r>
          </w:p>
        </w:tc>
        <w:tc>
          <w:tcPr>
            <w:tcW w:w="1700" w:type="dxa"/>
            <w:vAlign w:val="center"/>
          </w:tcPr>
          <w:p w14:paraId="5963E837">
            <w:pPr>
              <w:jc w:val="center"/>
              <w:rPr>
                <w:sz w:val="22"/>
                <w:szCs w:val="22"/>
              </w:rPr>
            </w:pPr>
            <w:r>
              <w:rPr>
                <w:sz w:val="22"/>
                <w:szCs w:val="22"/>
              </w:rPr>
              <w:t>1.700.000.000</w:t>
            </w:r>
          </w:p>
        </w:tc>
        <w:tc>
          <w:tcPr>
            <w:tcW w:w="1140" w:type="dxa"/>
            <w:noWrap/>
            <w:vAlign w:val="center"/>
          </w:tcPr>
          <w:p w14:paraId="68D05DA5">
            <w:pPr>
              <w:jc w:val="center"/>
              <w:rPr>
                <w:sz w:val="22"/>
                <w:szCs w:val="22"/>
              </w:rPr>
            </w:pPr>
            <w:r>
              <w:rPr>
                <w:sz w:val="22"/>
                <w:szCs w:val="22"/>
              </w:rPr>
              <w:t>1,49%</w:t>
            </w:r>
          </w:p>
        </w:tc>
      </w:tr>
      <w:tr w14:paraId="36ED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1E1D3EE">
            <w:pPr>
              <w:jc w:val="center"/>
              <w:rPr>
                <w:sz w:val="22"/>
                <w:szCs w:val="22"/>
              </w:rPr>
            </w:pPr>
            <w:r>
              <w:rPr>
                <w:sz w:val="22"/>
                <w:szCs w:val="22"/>
              </w:rPr>
              <w:t>76</w:t>
            </w:r>
          </w:p>
        </w:tc>
        <w:tc>
          <w:tcPr>
            <w:tcW w:w="1752" w:type="dxa"/>
            <w:noWrap/>
            <w:vAlign w:val="center"/>
          </w:tcPr>
          <w:p w14:paraId="1F8C14D3">
            <w:pPr>
              <w:jc w:val="center"/>
              <w:rPr>
                <w:sz w:val="22"/>
                <w:szCs w:val="22"/>
              </w:rPr>
            </w:pPr>
          </w:p>
        </w:tc>
        <w:tc>
          <w:tcPr>
            <w:tcW w:w="944" w:type="dxa"/>
            <w:vMerge w:val="continue"/>
            <w:vAlign w:val="center"/>
          </w:tcPr>
          <w:p w14:paraId="5C07A171">
            <w:pPr>
              <w:jc w:val="center"/>
              <w:rPr>
                <w:sz w:val="22"/>
                <w:szCs w:val="22"/>
              </w:rPr>
            </w:pPr>
          </w:p>
        </w:tc>
        <w:tc>
          <w:tcPr>
            <w:tcW w:w="1116" w:type="dxa"/>
            <w:vAlign w:val="center"/>
          </w:tcPr>
          <w:p w14:paraId="2BC94E22">
            <w:pPr>
              <w:jc w:val="center"/>
              <w:rPr>
                <w:sz w:val="22"/>
                <w:szCs w:val="22"/>
              </w:rPr>
            </w:pPr>
            <w:r>
              <w:rPr>
                <w:sz w:val="22"/>
                <w:szCs w:val="22"/>
              </w:rPr>
              <w:t>11</w:t>
            </w:r>
          </w:p>
        </w:tc>
        <w:tc>
          <w:tcPr>
            <w:tcW w:w="1010" w:type="dxa"/>
            <w:vAlign w:val="center"/>
          </w:tcPr>
          <w:p w14:paraId="64C73F46">
            <w:pPr>
              <w:jc w:val="center"/>
              <w:rPr>
                <w:sz w:val="22"/>
                <w:szCs w:val="22"/>
              </w:rPr>
            </w:pPr>
            <w:r>
              <w:rPr>
                <w:sz w:val="22"/>
                <w:szCs w:val="22"/>
              </w:rPr>
              <w:t>108,50</w:t>
            </w:r>
          </w:p>
        </w:tc>
        <w:tc>
          <w:tcPr>
            <w:tcW w:w="1591" w:type="dxa"/>
            <w:vAlign w:val="center"/>
          </w:tcPr>
          <w:p w14:paraId="4AD340DD">
            <w:pPr>
              <w:jc w:val="center"/>
              <w:rPr>
                <w:sz w:val="22"/>
                <w:szCs w:val="22"/>
              </w:rPr>
            </w:pPr>
            <w:r>
              <w:rPr>
                <w:sz w:val="22"/>
                <w:szCs w:val="22"/>
              </w:rPr>
              <w:t>1.139.250.000</w:t>
            </w:r>
          </w:p>
        </w:tc>
        <w:tc>
          <w:tcPr>
            <w:tcW w:w="1700" w:type="dxa"/>
            <w:vAlign w:val="center"/>
          </w:tcPr>
          <w:p w14:paraId="256C2F5C">
            <w:pPr>
              <w:jc w:val="center"/>
              <w:rPr>
                <w:sz w:val="22"/>
                <w:szCs w:val="22"/>
              </w:rPr>
            </w:pPr>
            <w:r>
              <w:rPr>
                <w:sz w:val="22"/>
                <w:szCs w:val="22"/>
              </w:rPr>
              <w:t>1.605.000.000</w:t>
            </w:r>
          </w:p>
        </w:tc>
        <w:tc>
          <w:tcPr>
            <w:tcW w:w="1140" w:type="dxa"/>
            <w:noWrap/>
            <w:vAlign w:val="center"/>
          </w:tcPr>
          <w:p w14:paraId="4261A46E">
            <w:pPr>
              <w:jc w:val="center"/>
              <w:rPr>
                <w:sz w:val="22"/>
                <w:szCs w:val="22"/>
              </w:rPr>
            </w:pPr>
            <w:r>
              <w:rPr>
                <w:sz w:val="22"/>
                <w:szCs w:val="22"/>
              </w:rPr>
              <w:t>1,41%</w:t>
            </w:r>
          </w:p>
        </w:tc>
      </w:tr>
      <w:tr w14:paraId="01C3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DA2AC80">
            <w:pPr>
              <w:jc w:val="center"/>
              <w:rPr>
                <w:sz w:val="22"/>
                <w:szCs w:val="22"/>
              </w:rPr>
            </w:pPr>
            <w:r>
              <w:rPr>
                <w:sz w:val="22"/>
                <w:szCs w:val="22"/>
              </w:rPr>
              <w:t>77</w:t>
            </w:r>
          </w:p>
        </w:tc>
        <w:tc>
          <w:tcPr>
            <w:tcW w:w="1752" w:type="dxa"/>
            <w:noWrap/>
            <w:vAlign w:val="center"/>
          </w:tcPr>
          <w:p w14:paraId="44C092A6">
            <w:pPr>
              <w:jc w:val="center"/>
              <w:rPr>
                <w:sz w:val="22"/>
                <w:szCs w:val="22"/>
              </w:rPr>
            </w:pPr>
          </w:p>
        </w:tc>
        <w:tc>
          <w:tcPr>
            <w:tcW w:w="944" w:type="dxa"/>
            <w:vMerge w:val="continue"/>
            <w:vAlign w:val="center"/>
          </w:tcPr>
          <w:p w14:paraId="2AC6D694">
            <w:pPr>
              <w:jc w:val="center"/>
              <w:rPr>
                <w:sz w:val="22"/>
                <w:szCs w:val="22"/>
              </w:rPr>
            </w:pPr>
          </w:p>
        </w:tc>
        <w:tc>
          <w:tcPr>
            <w:tcW w:w="1116" w:type="dxa"/>
            <w:vAlign w:val="center"/>
          </w:tcPr>
          <w:p w14:paraId="2922B14D">
            <w:pPr>
              <w:jc w:val="center"/>
              <w:rPr>
                <w:sz w:val="22"/>
                <w:szCs w:val="22"/>
              </w:rPr>
            </w:pPr>
            <w:r>
              <w:rPr>
                <w:sz w:val="22"/>
                <w:szCs w:val="22"/>
              </w:rPr>
              <w:t>12</w:t>
            </w:r>
          </w:p>
        </w:tc>
        <w:tc>
          <w:tcPr>
            <w:tcW w:w="1010" w:type="dxa"/>
            <w:vAlign w:val="center"/>
          </w:tcPr>
          <w:p w14:paraId="32F8A007">
            <w:pPr>
              <w:jc w:val="center"/>
              <w:rPr>
                <w:sz w:val="22"/>
                <w:szCs w:val="22"/>
              </w:rPr>
            </w:pPr>
            <w:r>
              <w:rPr>
                <w:sz w:val="22"/>
                <w:szCs w:val="22"/>
              </w:rPr>
              <w:t>108,50</w:t>
            </w:r>
          </w:p>
        </w:tc>
        <w:tc>
          <w:tcPr>
            <w:tcW w:w="1591" w:type="dxa"/>
            <w:vAlign w:val="center"/>
          </w:tcPr>
          <w:p w14:paraId="07200A35">
            <w:pPr>
              <w:jc w:val="center"/>
              <w:rPr>
                <w:sz w:val="22"/>
                <w:szCs w:val="22"/>
              </w:rPr>
            </w:pPr>
            <w:r>
              <w:rPr>
                <w:sz w:val="22"/>
                <w:szCs w:val="22"/>
              </w:rPr>
              <w:t>1.139.250.000</w:t>
            </w:r>
          </w:p>
        </w:tc>
        <w:tc>
          <w:tcPr>
            <w:tcW w:w="1700" w:type="dxa"/>
            <w:vAlign w:val="center"/>
          </w:tcPr>
          <w:p w14:paraId="733448AD">
            <w:pPr>
              <w:jc w:val="center"/>
              <w:rPr>
                <w:sz w:val="22"/>
                <w:szCs w:val="22"/>
              </w:rPr>
            </w:pPr>
            <w:r>
              <w:rPr>
                <w:sz w:val="22"/>
                <w:szCs w:val="22"/>
              </w:rPr>
              <w:t>1.700.000.000</w:t>
            </w:r>
          </w:p>
        </w:tc>
        <w:tc>
          <w:tcPr>
            <w:tcW w:w="1140" w:type="dxa"/>
            <w:noWrap/>
            <w:vAlign w:val="center"/>
          </w:tcPr>
          <w:p w14:paraId="37D5023E">
            <w:pPr>
              <w:jc w:val="center"/>
              <w:rPr>
                <w:sz w:val="22"/>
                <w:szCs w:val="22"/>
              </w:rPr>
            </w:pPr>
            <w:r>
              <w:rPr>
                <w:sz w:val="22"/>
                <w:szCs w:val="22"/>
              </w:rPr>
              <w:t>1,49%</w:t>
            </w:r>
          </w:p>
        </w:tc>
      </w:tr>
      <w:tr w14:paraId="7B46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355DA86">
            <w:pPr>
              <w:jc w:val="center"/>
              <w:rPr>
                <w:sz w:val="22"/>
                <w:szCs w:val="22"/>
              </w:rPr>
            </w:pPr>
            <w:r>
              <w:rPr>
                <w:sz w:val="22"/>
                <w:szCs w:val="22"/>
              </w:rPr>
              <w:t>78</w:t>
            </w:r>
          </w:p>
        </w:tc>
        <w:tc>
          <w:tcPr>
            <w:tcW w:w="1752" w:type="dxa"/>
            <w:noWrap/>
            <w:vAlign w:val="center"/>
          </w:tcPr>
          <w:p w14:paraId="1FAD29F7">
            <w:pPr>
              <w:jc w:val="center"/>
              <w:rPr>
                <w:sz w:val="22"/>
                <w:szCs w:val="22"/>
              </w:rPr>
            </w:pPr>
          </w:p>
        </w:tc>
        <w:tc>
          <w:tcPr>
            <w:tcW w:w="944" w:type="dxa"/>
            <w:vMerge w:val="continue"/>
            <w:vAlign w:val="center"/>
          </w:tcPr>
          <w:p w14:paraId="512FA6B2">
            <w:pPr>
              <w:jc w:val="center"/>
              <w:rPr>
                <w:sz w:val="22"/>
                <w:szCs w:val="22"/>
              </w:rPr>
            </w:pPr>
          </w:p>
        </w:tc>
        <w:tc>
          <w:tcPr>
            <w:tcW w:w="1116" w:type="dxa"/>
            <w:vAlign w:val="center"/>
          </w:tcPr>
          <w:p w14:paraId="2C1ADCD2">
            <w:pPr>
              <w:jc w:val="center"/>
              <w:rPr>
                <w:sz w:val="22"/>
                <w:szCs w:val="22"/>
              </w:rPr>
            </w:pPr>
            <w:r>
              <w:rPr>
                <w:sz w:val="22"/>
                <w:szCs w:val="22"/>
              </w:rPr>
              <w:t>13</w:t>
            </w:r>
          </w:p>
        </w:tc>
        <w:tc>
          <w:tcPr>
            <w:tcW w:w="1010" w:type="dxa"/>
            <w:vAlign w:val="center"/>
          </w:tcPr>
          <w:p w14:paraId="1D963C2F">
            <w:pPr>
              <w:jc w:val="center"/>
              <w:rPr>
                <w:sz w:val="22"/>
                <w:szCs w:val="22"/>
              </w:rPr>
            </w:pPr>
            <w:r>
              <w:rPr>
                <w:sz w:val="22"/>
                <w:szCs w:val="22"/>
              </w:rPr>
              <w:t>108,50</w:t>
            </w:r>
          </w:p>
        </w:tc>
        <w:tc>
          <w:tcPr>
            <w:tcW w:w="1591" w:type="dxa"/>
            <w:vAlign w:val="center"/>
          </w:tcPr>
          <w:p w14:paraId="278F8D06">
            <w:pPr>
              <w:jc w:val="center"/>
              <w:rPr>
                <w:sz w:val="22"/>
                <w:szCs w:val="22"/>
              </w:rPr>
            </w:pPr>
            <w:r>
              <w:rPr>
                <w:sz w:val="22"/>
                <w:szCs w:val="22"/>
              </w:rPr>
              <w:t>1.139.250.000</w:t>
            </w:r>
          </w:p>
        </w:tc>
        <w:tc>
          <w:tcPr>
            <w:tcW w:w="1700" w:type="dxa"/>
            <w:vAlign w:val="center"/>
          </w:tcPr>
          <w:p w14:paraId="4921F0A0">
            <w:pPr>
              <w:jc w:val="center"/>
              <w:rPr>
                <w:sz w:val="22"/>
                <w:szCs w:val="22"/>
              </w:rPr>
            </w:pPr>
            <w:r>
              <w:rPr>
                <w:sz w:val="22"/>
                <w:szCs w:val="22"/>
              </w:rPr>
              <w:t>1.700.000.000</w:t>
            </w:r>
          </w:p>
        </w:tc>
        <w:tc>
          <w:tcPr>
            <w:tcW w:w="1140" w:type="dxa"/>
            <w:noWrap/>
            <w:vAlign w:val="center"/>
          </w:tcPr>
          <w:p w14:paraId="361914F9">
            <w:pPr>
              <w:jc w:val="center"/>
              <w:rPr>
                <w:sz w:val="22"/>
                <w:szCs w:val="22"/>
              </w:rPr>
            </w:pPr>
            <w:r>
              <w:rPr>
                <w:sz w:val="22"/>
                <w:szCs w:val="22"/>
              </w:rPr>
              <w:t>1,49%</w:t>
            </w:r>
          </w:p>
        </w:tc>
      </w:tr>
      <w:tr w14:paraId="79D9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81EE9FD">
            <w:pPr>
              <w:jc w:val="center"/>
              <w:rPr>
                <w:sz w:val="22"/>
                <w:szCs w:val="22"/>
              </w:rPr>
            </w:pPr>
            <w:r>
              <w:rPr>
                <w:sz w:val="22"/>
                <w:szCs w:val="22"/>
              </w:rPr>
              <w:t>79</w:t>
            </w:r>
          </w:p>
        </w:tc>
        <w:tc>
          <w:tcPr>
            <w:tcW w:w="1752" w:type="dxa"/>
            <w:noWrap/>
            <w:vAlign w:val="center"/>
          </w:tcPr>
          <w:p w14:paraId="35036574">
            <w:pPr>
              <w:jc w:val="center"/>
              <w:rPr>
                <w:sz w:val="22"/>
                <w:szCs w:val="22"/>
              </w:rPr>
            </w:pPr>
          </w:p>
        </w:tc>
        <w:tc>
          <w:tcPr>
            <w:tcW w:w="944" w:type="dxa"/>
            <w:vMerge w:val="continue"/>
            <w:vAlign w:val="center"/>
          </w:tcPr>
          <w:p w14:paraId="5E57E51C">
            <w:pPr>
              <w:jc w:val="center"/>
              <w:rPr>
                <w:sz w:val="22"/>
                <w:szCs w:val="22"/>
              </w:rPr>
            </w:pPr>
          </w:p>
        </w:tc>
        <w:tc>
          <w:tcPr>
            <w:tcW w:w="1116" w:type="dxa"/>
            <w:vAlign w:val="center"/>
          </w:tcPr>
          <w:p w14:paraId="6CFD586F">
            <w:pPr>
              <w:jc w:val="center"/>
              <w:rPr>
                <w:sz w:val="22"/>
                <w:szCs w:val="22"/>
              </w:rPr>
            </w:pPr>
            <w:r>
              <w:rPr>
                <w:sz w:val="22"/>
                <w:szCs w:val="22"/>
              </w:rPr>
              <w:t>14</w:t>
            </w:r>
          </w:p>
        </w:tc>
        <w:tc>
          <w:tcPr>
            <w:tcW w:w="1010" w:type="dxa"/>
            <w:vAlign w:val="center"/>
          </w:tcPr>
          <w:p w14:paraId="4E367E6E">
            <w:pPr>
              <w:jc w:val="center"/>
              <w:rPr>
                <w:sz w:val="22"/>
                <w:szCs w:val="22"/>
              </w:rPr>
            </w:pPr>
            <w:r>
              <w:rPr>
                <w:sz w:val="22"/>
                <w:szCs w:val="22"/>
              </w:rPr>
              <w:t>108,50</w:t>
            </w:r>
          </w:p>
        </w:tc>
        <w:tc>
          <w:tcPr>
            <w:tcW w:w="1591" w:type="dxa"/>
            <w:vAlign w:val="center"/>
          </w:tcPr>
          <w:p w14:paraId="1B9D0F37">
            <w:pPr>
              <w:jc w:val="center"/>
              <w:rPr>
                <w:sz w:val="22"/>
                <w:szCs w:val="22"/>
              </w:rPr>
            </w:pPr>
            <w:r>
              <w:rPr>
                <w:sz w:val="22"/>
                <w:szCs w:val="22"/>
              </w:rPr>
              <w:t>1.139.250.000</w:t>
            </w:r>
          </w:p>
        </w:tc>
        <w:tc>
          <w:tcPr>
            <w:tcW w:w="1700" w:type="dxa"/>
            <w:vAlign w:val="center"/>
          </w:tcPr>
          <w:p w14:paraId="735D6EDE">
            <w:pPr>
              <w:jc w:val="center"/>
              <w:rPr>
                <w:sz w:val="22"/>
                <w:szCs w:val="22"/>
              </w:rPr>
            </w:pPr>
            <w:r>
              <w:rPr>
                <w:sz w:val="22"/>
                <w:szCs w:val="22"/>
              </w:rPr>
              <w:t>1.700.000.000</w:t>
            </w:r>
          </w:p>
        </w:tc>
        <w:tc>
          <w:tcPr>
            <w:tcW w:w="1140" w:type="dxa"/>
            <w:noWrap/>
            <w:vAlign w:val="center"/>
          </w:tcPr>
          <w:p w14:paraId="62733C33">
            <w:pPr>
              <w:jc w:val="center"/>
              <w:rPr>
                <w:sz w:val="22"/>
                <w:szCs w:val="22"/>
              </w:rPr>
            </w:pPr>
            <w:r>
              <w:rPr>
                <w:sz w:val="22"/>
                <w:szCs w:val="22"/>
              </w:rPr>
              <w:t>1,49%</w:t>
            </w:r>
          </w:p>
        </w:tc>
      </w:tr>
      <w:tr w14:paraId="4BAB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05D05F1">
            <w:pPr>
              <w:jc w:val="center"/>
              <w:rPr>
                <w:sz w:val="22"/>
                <w:szCs w:val="22"/>
              </w:rPr>
            </w:pPr>
            <w:r>
              <w:rPr>
                <w:sz w:val="22"/>
                <w:szCs w:val="22"/>
              </w:rPr>
              <w:t>80</w:t>
            </w:r>
          </w:p>
        </w:tc>
        <w:tc>
          <w:tcPr>
            <w:tcW w:w="1752" w:type="dxa"/>
            <w:noWrap/>
            <w:vAlign w:val="center"/>
          </w:tcPr>
          <w:p w14:paraId="2BB9BF66">
            <w:pPr>
              <w:jc w:val="center"/>
              <w:rPr>
                <w:sz w:val="22"/>
                <w:szCs w:val="22"/>
              </w:rPr>
            </w:pPr>
          </w:p>
        </w:tc>
        <w:tc>
          <w:tcPr>
            <w:tcW w:w="944" w:type="dxa"/>
            <w:vMerge w:val="continue"/>
            <w:vAlign w:val="center"/>
          </w:tcPr>
          <w:p w14:paraId="0FF08586">
            <w:pPr>
              <w:jc w:val="center"/>
              <w:rPr>
                <w:sz w:val="22"/>
                <w:szCs w:val="22"/>
              </w:rPr>
            </w:pPr>
          </w:p>
        </w:tc>
        <w:tc>
          <w:tcPr>
            <w:tcW w:w="1116" w:type="dxa"/>
            <w:vAlign w:val="center"/>
          </w:tcPr>
          <w:p w14:paraId="193F1483">
            <w:pPr>
              <w:jc w:val="center"/>
              <w:rPr>
                <w:sz w:val="22"/>
                <w:szCs w:val="22"/>
              </w:rPr>
            </w:pPr>
            <w:r>
              <w:rPr>
                <w:sz w:val="22"/>
                <w:szCs w:val="22"/>
              </w:rPr>
              <w:t>15</w:t>
            </w:r>
          </w:p>
        </w:tc>
        <w:tc>
          <w:tcPr>
            <w:tcW w:w="1010" w:type="dxa"/>
            <w:vAlign w:val="center"/>
          </w:tcPr>
          <w:p w14:paraId="2402AD39">
            <w:pPr>
              <w:jc w:val="center"/>
              <w:rPr>
                <w:sz w:val="22"/>
                <w:szCs w:val="22"/>
              </w:rPr>
            </w:pPr>
            <w:r>
              <w:rPr>
                <w:sz w:val="22"/>
                <w:szCs w:val="22"/>
              </w:rPr>
              <w:t>108,50</w:t>
            </w:r>
          </w:p>
        </w:tc>
        <w:tc>
          <w:tcPr>
            <w:tcW w:w="1591" w:type="dxa"/>
            <w:vAlign w:val="center"/>
          </w:tcPr>
          <w:p w14:paraId="15BC3010">
            <w:pPr>
              <w:jc w:val="center"/>
              <w:rPr>
                <w:sz w:val="22"/>
                <w:szCs w:val="22"/>
              </w:rPr>
            </w:pPr>
            <w:r>
              <w:rPr>
                <w:sz w:val="22"/>
                <w:szCs w:val="22"/>
              </w:rPr>
              <w:t>1.139.250.000</w:t>
            </w:r>
          </w:p>
        </w:tc>
        <w:tc>
          <w:tcPr>
            <w:tcW w:w="1700" w:type="dxa"/>
            <w:vAlign w:val="center"/>
          </w:tcPr>
          <w:p w14:paraId="6F8C8CCF">
            <w:pPr>
              <w:jc w:val="center"/>
              <w:rPr>
                <w:sz w:val="22"/>
                <w:szCs w:val="22"/>
              </w:rPr>
            </w:pPr>
            <w:r>
              <w:rPr>
                <w:sz w:val="22"/>
                <w:szCs w:val="22"/>
              </w:rPr>
              <w:t>1.660.000.000</w:t>
            </w:r>
          </w:p>
        </w:tc>
        <w:tc>
          <w:tcPr>
            <w:tcW w:w="1140" w:type="dxa"/>
            <w:noWrap/>
            <w:vAlign w:val="center"/>
          </w:tcPr>
          <w:p w14:paraId="7E02C779">
            <w:pPr>
              <w:jc w:val="center"/>
              <w:rPr>
                <w:sz w:val="22"/>
                <w:szCs w:val="22"/>
              </w:rPr>
            </w:pPr>
            <w:r>
              <w:rPr>
                <w:sz w:val="22"/>
                <w:szCs w:val="22"/>
              </w:rPr>
              <w:t>1,46%</w:t>
            </w:r>
          </w:p>
        </w:tc>
      </w:tr>
      <w:tr w14:paraId="7EC0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A315386">
            <w:pPr>
              <w:jc w:val="center"/>
              <w:rPr>
                <w:sz w:val="22"/>
                <w:szCs w:val="22"/>
              </w:rPr>
            </w:pPr>
            <w:r>
              <w:rPr>
                <w:sz w:val="22"/>
                <w:szCs w:val="22"/>
              </w:rPr>
              <w:t>81</w:t>
            </w:r>
          </w:p>
        </w:tc>
        <w:tc>
          <w:tcPr>
            <w:tcW w:w="1752" w:type="dxa"/>
            <w:noWrap/>
            <w:vAlign w:val="center"/>
          </w:tcPr>
          <w:p w14:paraId="215DFE38">
            <w:pPr>
              <w:jc w:val="center"/>
              <w:rPr>
                <w:sz w:val="22"/>
                <w:szCs w:val="22"/>
              </w:rPr>
            </w:pPr>
          </w:p>
        </w:tc>
        <w:tc>
          <w:tcPr>
            <w:tcW w:w="944" w:type="dxa"/>
            <w:vMerge w:val="continue"/>
            <w:vAlign w:val="center"/>
          </w:tcPr>
          <w:p w14:paraId="2DEE6936">
            <w:pPr>
              <w:jc w:val="center"/>
              <w:rPr>
                <w:sz w:val="22"/>
                <w:szCs w:val="22"/>
              </w:rPr>
            </w:pPr>
          </w:p>
        </w:tc>
        <w:tc>
          <w:tcPr>
            <w:tcW w:w="1116" w:type="dxa"/>
            <w:vAlign w:val="center"/>
          </w:tcPr>
          <w:p w14:paraId="2E46FF4E">
            <w:pPr>
              <w:jc w:val="center"/>
              <w:rPr>
                <w:sz w:val="22"/>
                <w:szCs w:val="22"/>
              </w:rPr>
            </w:pPr>
            <w:r>
              <w:rPr>
                <w:sz w:val="22"/>
                <w:szCs w:val="22"/>
              </w:rPr>
              <w:t>16</w:t>
            </w:r>
          </w:p>
        </w:tc>
        <w:tc>
          <w:tcPr>
            <w:tcW w:w="1010" w:type="dxa"/>
            <w:vAlign w:val="center"/>
          </w:tcPr>
          <w:p w14:paraId="74BD2022">
            <w:pPr>
              <w:jc w:val="center"/>
              <w:rPr>
                <w:sz w:val="22"/>
                <w:szCs w:val="22"/>
              </w:rPr>
            </w:pPr>
            <w:r>
              <w:rPr>
                <w:sz w:val="22"/>
                <w:szCs w:val="22"/>
              </w:rPr>
              <w:t>108,50</w:t>
            </w:r>
          </w:p>
        </w:tc>
        <w:tc>
          <w:tcPr>
            <w:tcW w:w="1591" w:type="dxa"/>
            <w:vAlign w:val="center"/>
          </w:tcPr>
          <w:p w14:paraId="1686BF86">
            <w:pPr>
              <w:jc w:val="center"/>
              <w:rPr>
                <w:sz w:val="22"/>
                <w:szCs w:val="22"/>
              </w:rPr>
            </w:pPr>
            <w:r>
              <w:rPr>
                <w:sz w:val="22"/>
                <w:szCs w:val="22"/>
              </w:rPr>
              <w:t>1.139.250.000</w:t>
            </w:r>
          </w:p>
        </w:tc>
        <w:tc>
          <w:tcPr>
            <w:tcW w:w="1700" w:type="dxa"/>
            <w:vAlign w:val="center"/>
          </w:tcPr>
          <w:p w14:paraId="4A6E453B">
            <w:pPr>
              <w:jc w:val="center"/>
              <w:rPr>
                <w:sz w:val="22"/>
                <w:szCs w:val="22"/>
              </w:rPr>
            </w:pPr>
            <w:r>
              <w:rPr>
                <w:sz w:val="22"/>
                <w:szCs w:val="22"/>
              </w:rPr>
              <w:t>1.660.000.000</w:t>
            </w:r>
          </w:p>
        </w:tc>
        <w:tc>
          <w:tcPr>
            <w:tcW w:w="1140" w:type="dxa"/>
            <w:noWrap/>
            <w:vAlign w:val="center"/>
          </w:tcPr>
          <w:p w14:paraId="0362C234">
            <w:pPr>
              <w:jc w:val="center"/>
              <w:rPr>
                <w:sz w:val="22"/>
                <w:szCs w:val="22"/>
              </w:rPr>
            </w:pPr>
            <w:r>
              <w:rPr>
                <w:sz w:val="22"/>
                <w:szCs w:val="22"/>
              </w:rPr>
              <w:t>1,46%</w:t>
            </w:r>
          </w:p>
        </w:tc>
      </w:tr>
      <w:tr w14:paraId="39FD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9C059F2">
            <w:pPr>
              <w:jc w:val="center"/>
              <w:rPr>
                <w:sz w:val="22"/>
                <w:szCs w:val="22"/>
              </w:rPr>
            </w:pPr>
            <w:r>
              <w:rPr>
                <w:sz w:val="22"/>
                <w:szCs w:val="22"/>
              </w:rPr>
              <w:t>82</w:t>
            </w:r>
          </w:p>
        </w:tc>
        <w:tc>
          <w:tcPr>
            <w:tcW w:w="1752" w:type="dxa"/>
            <w:noWrap/>
            <w:vAlign w:val="center"/>
          </w:tcPr>
          <w:p w14:paraId="734766C3">
            <w:pPr>
              <w:jc w:val="center"/>
              <w:rPr>
                <w:sz w:val="22"/>
                <w:szCs w:val="22"/>
              </w:rPr>
            </w:pPr>
          </w:p>
        </w:tc>
        <w:tc>
          <w:tcPr>
            <w:tcW w:w="944" w:type="dxa"/>
            <w:vMerge w:val="continue"/>
            <w:vAlign w:val="center"/>
          </w:tcPr>
          <w:p w14:paraId="153E3C7B">
            <w:pPr>
              <w:jc w:val="center"/>
              <w:rPr>
                <w:sz w:val="22"/>
                <w:szCs w:val="22"/>
              </w:rPr>
            </w:pPr>
          </w:p>
        </w:tc>
        <w:tc>
          <w:tcPr>
            <w:tcW w:w="1116" w:type="dxa"/>
            <w:vAlign w:val="center"/>
          </w:tcPr>
          <w:p w14:paraId="0FA2F50E">
            <w:pPr>
              <w:jc w:val="center"/>
              <w:rPr>
                <w:sz w:val="22"/>
                <w:szCs w:val="22"/>
              </w:rPr>
            </w:pPr>
            <w:r>
              <w:rPr>
                <w:sz w:val="22"/>
                <w:szCs w:val="22"/>
              </w:rPr>
              <w:t>17</w:t>
            </w:r>
          </w:p>
        </w:tc>
        <w:tc>
          <w:tcPr>
            <w:tcW w:w="1010" w:type="dxa"/>
            <w:vAlign w:val="center"/>
          </w:tcPr>
          <w:p w14:paraId="799FE0AA">
            <w:pPr>
              <w:jc w:val="center"/>
              <w:rPr>
                <w:sz w:val="22"/>
                <w:szCs w:val="22"/>
              </w:rPr>
            </w:pPr>
            <w:r>
              <w:rPr>
                <w:sz w:val="22"/>
                <w:szCs w:val="22"/>
              </w:rPr>
              <w:t>116,10</w:t>
            </w:r>
          </w:p>
        </w:tc>
        <w:tc>
          <w:tcPr>
            <w:tcW w:w="1591" w:type="dxa"/>
            <w:vAlign w:val="center"/>
          </w:tcPr>
          <w:p w14:paraId="057ADE03">
            <w:pPr>
              <w:jc w:val="center"/>
              <w:rPr>
                <w:sz w:val="22"/>
                <w:szCs w:val="22"/>
              </w:rPr>
            </w:pPr>
            <w:r>
              <w:rPr>
                <w:sz w:val="22"/>
                <w:szCs w:val="22"/>
              </w:rPr>
              <w:t>1.219.050.000</w:t>
            </w:r>
          </w:p>
        </w:tc>
        <w:tc>
          <w:tcPr>
            <w:tcW w:w="1700" w:type="dxa"/>
            <w:vAlign w:val="center"/>
          </w:tcPr>
          <w:p w14:paraId="55A3BD21">
            <w:pPr>
              <w:jc w:val="center"/>
              <w:rPr>
                <w:sz w:val="22"/>
                <w:szCs w:val="22"/>
              </w:rPr>
            </w:pPr>
            <w:r>
              <w:rPr>
                <w:sz w:val="22"/>
                <w:szCs w:val="22"/>
              </w:rPr>
              <w:t>1.731.000.000</w:t>
            </w:r>
          </w:p>
        </w:tc>
        <w:tc>
          <w:tcPr>
            <w:tcW w:w="1140" w:type="dxa"/>
            <w:noWrap/>
            <w:vAlign w:val="center"/>
          </w:tcPr>
          <w:p w14:paraId="059B82FE">
            <w:pPr>
              <w:jc w:val="center"/>
              <w:rPr>
                <w:sz w:val="22"/>
                <w:szCs w:val="22"/>
              </w:rPr>
            </w:pPr>
            <w:r>
              <w:rPr>
                <w:sz w:val="22"/>
                <w:szCs w:val="22"/>
              </w:rPr>
              <w:t>1,42%</w:t>
            </w:r>
          </w:p>
        </w:tc>
      </w:tr>
      <w:tr w14:paraId="1414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A4BF8AA">
            <w:pPr>
              <w:jc w:val="center"/>
              <w:rPr>
                <w:sz w:val="22"/>
                <w:szCs w:val="22"/>
              </w:rPr>
            </w:pPr>
            <w:r>
              <w:rPr>
                <w:sz w:val="22"/>
                <w:szCs w:val="22"/>
              </w:rPr>
              <w:t>83</w:t>
            </w:r>
          </w:p>
        </w:tc>
        <w:tc>
          <w:tcPr>
            <w:tcW w:w="1752" w:type="dxa"/>
            <w:noWrap/>
            <w:vAlign w:val="center"/>
          </w:tcPr>
          <w:p w14:paraId="0F8F5A11">
            <w:pPr>
              <w:jc w:val="center"/>
              <w:rPr>
                <w:sz w:val="22"/>
                <w:szCs w:val="22"/>
              </w:rPr>
            </w:pPr>
          </w:p>
        </w:tc>
        <w:tc>
          <w:tcPr>
            <w:tcW w:w="944" w:type="dxa"/>
            <w:vMerge w:val="continue"/>
            <w:vAlign w:val="center"/>
          </w:tcPr>
          <w:p w14:paraId="097EFC85">
            <w:pPr>
              <w:jc w:val="center"/>
              <w:rPr>
                <w:sz w:val="22"/>
                <w:szCs w:val="22"/>
              </w:rPr>
            </w:pPr>
          </w:p>
        </w:tc>
        <w:tc>
          <w:tcPr>
            <w:tcW w:w="1116" w:type="dxa"/>
            <w:vAlign w:val="center"/>
          </w:tcPr>
          <w:p w14:paraId="67AA3296">
            <w:pPr>
              <w:jc w:val="center"/>
              <w:rPr>
                <w:sz w:val="22"/>
                <w:szCs w:val="22"/>
              </w:rPr>
            </w:pPr>
            <w:r>
              <w:rPr>
                <w:sz w:val="22"/>
                <w:szCs w:val="22"/>
              </w:rPr>
              <w:t>18</w:t>
            </w:r>
          </w:p>
        </w:tc>
        <w:tc>
          <w:tcPr>
            <w:tcW w:w="1010" w:type="dxa"/>
            <w:vAlign w:val="center"/>
          </w:tcPr>
          <w:p w14:paraId="07638E25">
            <w:pPr>
              <w:jc w:val="center"/>
              <w:rPr>
                <w:sz w:val="22"/>
                <w:szCs w:val="22"/>
              </w:rPr>
            </w:pPr>
            <w:r>
              <w:rPr>
                <w:sz w:val="22"/>
                <w:szCs w:val="22"/>
              </w:rPr>
              <w:t>116,10</w:t>
            </w:r>
          </w:p>
        </w:tc>
        <w:tc>
          <w:tcPr>
            <w:tcW w:w="1591" w:type="dxa"/>
            <w:vAlign w:val="center"/>
          </w:tcPr>
          <w:p w14:paraId="1150D944">
            <w:pPr>
              <w:jc w:val="center"/>
              <w:rPr>
                <w:sz w:val="22"/>
                <w:szCs w:val="22"/>
              </w:rPr>
            </w:pPr>
            <w:r>
              <w:rPr>
                <w:sz w:val="22"/>
                <w:szCs w:val="22"/>
              </w:rPr>
              <w:t>1.219.050.000</w:t>
            </w:r>
          </w:p>
        </w:tc>
        <w:tc>
          <w:tcPr>
            <w:tcW w:w="1700" w:type="dxa"/>
            <w:vAlign w:val="center"/>
          </w:tcPr>
          <w:p w14:paraId="65ABC58A">
            <w:pPr>
              <w:jc w:val="center"/>
              <w:rPr>
                <w:sz w:val="22"/>
                <w:szCs w:val="22"/>
              </w:rPr>
            </w:pPr>
            <w:r>
              <w:rPr>
                <w:sz w:val="22"/>
                <w:szCs w:val="22"/>
              </w:rPr>
              <w:t>1.744.000.000</w:t>
            </w:r>
          </w:p>
        </w:tc>
        <w:tc>
          <w:tcPr>
            <w:tcW w:w="1140" w:type="dxa"/>
            <w:noWrap/>
            <w:vAlign w:val="center"/>
          </w:tcPr>
          <w:p w14:paraId="09C6360C">
            <w:pPr>
              <w:jc w:val="center"/>
              <w:rPr>
                <w:sz w:val="22"/>
                <w:szCs w:val="22"/>
              </w:rPr>
            </w:pPr>
            <w:r>
              <w:rPr>
                <w:sz w:val="22"/>
                <w:szCs w:val="22"/>
              </w:rPr>
              <w:t>1,43%</w:t>
            </w:r>
          </w:p>
        </w:tc>
      </w:tr>
      <w:tr w14:paraId="2542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44D7AF4">
            <w:pPr>
              <w:jc w:val="center"/>
              <w:rPr>
                <w:sz w:val="22"/>
                <w:szCs w:val="22"/>
              </w:rPr>
            </w:pPr>
            <w:r>
              <w:rPr>
                <w:sz w:val="22"/>
                <w:szCs w:val="22"/>
              </w:rPr>
              <w:t>84</w:t>
            </w:r>
          </w:p>
        </w:tc>
        <w:tc>
          <w:tcPr>
            <w:tcW w:w="1752" w:type="dxa"/>
            <w:noWrap/>
            <w:vAlign w:val="center"/>
          </w:tcPr>
          <w:p w14:paraId="0B72CF24">
            <w:pPr>
              <w:jc w:val="center"/>
              <w:rPr>
                <w:sz w:val="22"/>
                <w:szCs w:val="22"/>
              </w:rPr>
            </w:pPr>
          </w:p>
        </w:tc>
        <w:tc>
          <w:tcPr>
            <w:tcW w:w="944" w:type="dxa"/>
            <w:vMerge w:val="continue"/>
            <w:vAlign w:val="center"/>
          </w:tcPr>
          <w:p w14:paraId="4E814C27">
            <w:pPr>
              <w:jc w:val="center"/>
              <w:rPr>
                <w:sz w:val="22"/>
                <w:szCs w:val="22"/>
              </w:rPr>
            </w:pPr>
          </w:p>
        </w:tc>
        <w:tc>
          <w:tcPr>
            <w:tcW w:w="1116" w:type="dxa"/>
            <w:vAlign w:val="center"/>
          </w:tcPr>
          <w:p w14:paraId="51535739">
            <w:pPr>
              <w:jc w:val="center"/>
              <w:rPr>
                <w:sz w:val="22"/>
                <w:szCs w:val="22"/>
              </w:rPr>
            </w:pPr>
            <w:r>
              <w:rPr>
                <w:sz w:val="22"/>
                <w:szCs w:val="22"/>
              </w:rPr>
              <w:t>19</w:t>
            </w:r>
          </w:p>
        </w:tc>
        <w:tc>
          <w:tcPr>
            <w:tcW w:w="1010" w:type="dxa"/>
            <w:vAlign w:val="center"/>
          </w:tcPr>
          <w:p w14:paraId="0546047F">
            <w:pPr>
              <w:jc w:val="center"/>
              <w:rPr>
                <w:sz w:val="22"/>
                <w:szCs w:val="22"/>
              </w:rPr>
            </w:pPr>
            <w:r>
              <w:rPr>
                <w:sz w:val="22"/>
                <w:szCs w:val="22"/>
              </w:rPr>
              <w:t>108,50</w:t>
            </w:r>
          </w:p>
        </w:tc>
        <w:tc>
          <w:tcPr>
            <w:tcW w:w="1591" w:type="dxa"/>
            <w:vAlign w:val="center"/>
          </w:tcPr>
          <w:p w14:paraId="6A2726FE">
            <w:pPr>
              <w:jc w:val="center"/>
              <w:rPr>
                <w:sz w:val="22"/>
                <w:szCs w:val="22"/>
              </w:rPr>
            </w:pPr>
            <w:r>
              <w:rPr>
                <w:sz w:val="22"/>
                <w:szCs w:val="22"/>
              </w:rPr>
              <w:t>1.139.250.000</w:t>
            </w:r>
          </w:p>
        </w:tc>
        <w:tc>
          <w:tcPr>
            <w:tcW w:w="1700" w:type="dxa"/>
            <w:vAlign w:val="center"/>
          </w:tcPr>
          <w:p w14:paraId="7B0FDA94">
            <w:pPr>
              <w:jc w:val="center"/>
              <w:rPr>
                <w:sz w:val="22"/>
                <w:szCs w:val="22"/>
              </w:rPr>
            </w:pPr>
            <w:r>
              <w:rPr>
                <w:sz w:val="22"/>
                <w:szCs w:val="22"/>
              </w:rPr>
              <w:t>1.719.000.000</w:t>
            </w:r>
          </w:p>
        </w:tc>
        <w:tc>
          <w:tcPr>
            <w:tcW w:w="1140" w:type="dxa"/>
            <w:noWrap/>
            <w:vAlign w:val="center"/>
          </w:tcPr>
          <w:p w14:paraId="2A4146B8">
            <w:pPr>
              <w:jc w:val="center"/>
              <w:rPr>
                <w:sz w:val="22"/>
                <w:szCs w:val="22"/>
              </w:rPr>
            </w:pPr>
            <w:r>
              <w:rPr>
                <w:sz w:val="22"/>
                <w:szCs w:val="22"/>
              </w:rPr>
              <w:t>1,51%</w:t>
            </w:r>
          </w:p>
        </w:tc>
      </w:tr>
      <w:tr w14:paraId="281F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E5F592F">
            <w:pPr>
              <w:jc w:val="center"/>
              <w:rPr>
                <w:sz w:val="22"/>
                <w:szCs w:val="22"/>
              </w:rPr>
            </w:pPr>
            <w:r>
              <w:rPr>
                <w:sz w:val="22"/>
                <w:szCs w:val="22"/>
              </w:rPr>
              <w:t>85</w:t>
            </w:r>
          </w:p>
        </w:tc>
        <w:tc>
          <w:tcPr>
            <w:tcW w:w="1752" w:type="dxa"/>
            <w:noWrap/>
            <w:vAlign w:val="center"/>
          </w:tcPr>
          <w:p w14:paraId="7AED1AE4">
            <w:pPr>
              <w:jc w:val="center"/>
              <w:rPr>
                <w:sz w:val="22"/>
                <w:szCs w:val="22"/>
              </w:rPr>
            </w:pPr>
          </w:p>
        </w:tc>
        <w:tc>
          <w:tcPr>
            <w:tcW w:w="944" w:type="dxa"/>
            <w:vMerge w:val="continue"/>
            <w:vAlign w:val="center"/>
          </w:tcPr>
          <w:p w14:paraId="752D8D38">
            <w:pPr>
              <w:jc w:val="center"/>
              <w:rPr>
                <w:sz w:val="22"/>
                <w:szCs w:val="22"/>
              </w:rPr>
            </w:pPr>
          </w:p>
        </w:tc>
        <w:tc>
          <w:tcPr>
            <w:tcW w:w="1116" w:type="dxa"/>
            <w:vAlign w:val="center"/>
          </w:tcPr>
          <w:p w14:paraId="6F8F88DD">
            <w:pPr>
              <w:jc w:val="center"/>
              <w:rPr>
                <w:sz w:val="22"/>
                <w:szCs w:val="22"/>
              </w:rPr>
            </w:pPr>
            <w:r>
              <w:rPr>
                <w:sz w:val="22"/>
                <w:szCs w:val="22"/>
              </w:rPr>
              <w:t>20</w:t>
            </w:r>
          </w:p>
        </w:tc>
        <w:tc>
          <w:tcPr>
            <w:tcW w:w="1010" w:type="dxa"/>
            <w:vAlign w:val="center"/>
          </w:tcPr>
          <w:p w14:paraId="7082794C">
            <w:pPr>
              <w:jc w:val="center"/>
              <w:rPr>
                <w:sz w:val="22"/>
                <w:szCs w:val="22"/>
              </w:rPr>
            </w:pPr>
            <w:r>
              <w:rPr>
                <w:sz w:val="22"/>
                <w:szCs w:val="22"/>
              </w:rPr>
              <w:t>108,50</w:t>
            </w:r>
          </w:p>
        </w:tc>
        <w:tc>
          <w:tcPr>
            <w:tcW w:w="1591" w:type="dxa"/>
            <w:vAlign w:val="center"/>
          </w:tcPr>
          <w:p w14:paraId="587451EB">
            <w:pPr>
              <w:jc w:val="center"/>
              <w:rPr>
                <w:sz w:val="22"/>
                <w:szCs w:val="22"/>
              </w:rPr>
            </w:pPr>
            <w:r>
              <w:rPr>
                <w:sz w:val="22"/>
                <w:szCs w:val="22"/>
              </w:rPr>
              <w:t>1.139.250.000</w:t>
            </w:r>
          </w:p>
        </w:tc>
        <w:tc>
          <w:tcPr>
            <w:tcW w:w="1700" w:type="dxa"/>
            <w:vAlign w:val="center"/>
          </w:tcPr>
          <w:p w14:paraId="01778136">
            <w:pPr>
              <w:jc w:val="center"/>
              <w:rPr>
                <w:sz w:val="22"/>
                <w:szCs w:val="22"/>
              </w:rPr>
            </w:pPr>
            <w:r>
              <w:rPr>
                <w:sz w:val="22"/>
                <w:szCs w:val="22"/>
              </w:rPr>
              <w:t>1.680.000.000</w:t>
            </w:r>
          </w:p>
        </w:tc>
        <w:tc>
          <w:tcPr>
            <w:tcW w:w="1140" w:type="dxa"/>
            <w:noWrap/>
            <w:vAlign w:val="center"/>
          </w:tcPr>
          <w:p w14:paraId="60A4AA1D">
            <w:pPr>
              <w:jc w:val="center"/>
              <w:rPr>
                <w:sz w:val="22"/>
                <w:szCs w:val="22"/>
              </w:rPr>
            </w:pPr>
            <w:r>
              <w:rPr>
                <w:sz w:val="22"/>
                <w:szCs w:val="22"/>
              </w:rPr>
              <w:t>1,47%</w:t>
            </w:r>
          </w:p>
        </w:tc>
      </w:tr>
      <w:tr w14:paraId="73EA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A8B763B">
            <w:pPr>
              <w:jc w:val="center"/>
              <w:rPr>
                <w:sz w:val="22"/>
                <w:szCs w:val="22"/>
              </w:rPr>
            </w:pPr>
            <w:r>
              <w:rPr>
                <w:sz w:val="22"/>
                <w:szCs w:val="22"/>
              </w:rPr>
              <w:t>86</w:t>
            </w:r>
          </w:p>
        </w:tc>
        <w:tc>
          <w:tcPr>
            <w:tcW w:w="1752" w:type="dxa"/>
            <w:noWrap/>
            <w:vAlign w:val="center"/>
          </w:tcPr>
          <w:p w14:paraId="634385C1">
            <w:pPr>
              <w:jc w:val="center"/>
              <w:rPr>
                <w:sz w:val="22"/>
                <w:szCs w:val="22"/>
              </w:rPr>
            </w:pPr>
          </w:p>
        </w:tc>
        <w:tc>
          <w:tcPr>
            <w:tcW w:w="944" w:type="dxa"/>
            <w:vMerge w:val="continue"/>
            <w:vAlign w:val="center"/>
          </w:tcPr>
          <w:p w14:paraId="306F3287">
            <w:pPr>
              <w:jc w:val="center"/>
              <w:rPr>
                <w:sz w:val="22"/>
                <w:szCs w:val="22"/>
              </w:rPr>
            </w:pPr>
          </w:p>
        </w:tc>
        <w:tc>
          <w:tcPr>
            <w:tcW w:w="1116" w:type="dxa"/>
            <w:vAlign w:val="center"/>
          </w:tcPr>
          <w:p w14:paraId="34F230B9">
            <w:pPr>
              <w:jc w:val="center"/>
              <w:rPr>
                <w:sz w:val="22"/>
                <w:szCs w:val="22"/>
              </w:rPr>
            </w:pPr>
            <w:r>
              <w:rPr>
                <w:sz w:val="22"/>
                <w:szCs w:val="22"/>
              </w:rPr>
              <w:t>21</w:t>
            </w:r>
          </w:p>
        </w:tc>
        <w:tc>
          <w:tcPr>
            <w:tcW w:w="1010" w:type="dxa"/>
            <w:vAlign w:val="center"/>
          </w:tcPr>
          <w:p w14:paraId="4A43EE37">
            <w:pPr>
              <w:jc w:val="center"/>
              <w:rPr>
                <w:sz w:val="22"/>
                <w:szCs w:val="22"/>
              </w:rPr>
            </w:pPr>
            <w:r>
              <w:rPr>
                <w:sz w:val="22"/>
                <w:szCs w:val="22"/>
              </w:rPr>
              <w:t>108,50</w:t>
            </w:r>
          </w:p>
        </w:tc>
        <w:tc>
          <w:tcPr>
            <w:tcW w:w="1591" w:type="dxa"/>
            <w:vAlign w:val="center"/>
          </w:tcPr>
          <w:p w14:paraId="2B1698FC">
            <w:pPr>
              <w:jc w:val="center"/>
              <w:rPr>
                <w:sz w:val="22"/>
                <w:szCs w:val="22"/>
              </w:rPr>
            </w:pPr>
            <w:r>
              <w:rPr>
                <w:sz w:val="22"/>
                <w:szCs w:val="22"/>
              </w:rPr>
              <w:t>1.139.250.000</w:t>
            </w:r>
          </w:p>
        </w:tc>
        <w:tc>
          <w:tcPr>
            <w:tcW w:w="1700" w:type="dxa"/>
            <w:vAlign w:val="center"/>
          </w:tcPr>
          <w:p w14:paraId="1CF7CFB2">
            <w:pPr>
              <w:jc w:val="center"/>
              <w:rPr>
                <w:sz w:val="22"/>
                <w:szCs w:val="22"/>
              </w:rPr>
            </w:pPr>
            <w:r>
              <w:rPr>
                <w:sz w:val="22"/>
                <w:szCs w:val="22"/>
              </w:rPr>
              <w:t>1.680.000.000</w:t>
            </w:r>
          </w:p>
        </w:tc>
        <w:tc>
          <w:tcPr>
            <w:tcW w:w="1140" w:type="dxa"/>
            <w:noWrap/>
            <w:vAlign w:val="center"/>
          </w:tcPr>
          <w:p w14:paraId="69E79277">
            <w:pPr>
              <w:jc w:val="center"/>
              <w:rPr>
                <w:sz w:val="22"/>
                <w:szCs w:val="22"/>
              </w:rPr>
            </w:pPr>
            <w:r>
              <w:rPr>
                <w:sz w:val="22"/>
                <w:szCs w:val="22"/>
              </w:rPr>
              <w:t>1,47%</w:t>
            </w:r>
          </w:p>
        </w:tc>
      </w:tr>
      <w:tr w14:paraId="4422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FAAEF20">
            <w:pPr>
              <w:jc w:val="center"/>
              <w:rPr>
                <w:sz w:val="22"/>
                <w:szCs w:val="22"/>
              </w:rPr>
            </w:pPr>
            <w:r>
              <w:rPr>
                <w:sz w:val="22"/>
                <w:szCs w:val="22"/>
              </w:rPr>
              <w:t>87</w:t>
            </w:r>
          </w:p>
        </w:tc>
        <w:tc>
          <w:tcPr>
            <w:tcW w:w="1752" w:type="dxa"/>
            <w:noWrap/>
            <w:vAlign w:val="center"/>
          </w:tcPr>
          <w:p w14:paraId="2BA4697B">
            <w:pPr>
              <w:jc w:val="center"/>
              <w:rPr>
                <w:sz w:val="22"/>
                <w:szCs w:val="22"/>
              </w:rPr>
            </w:pPr>
          </w:p>
        </w:tc>
        <w:tc>
          <w:tcPr>
            <w:tcW w:w="944" w:type="dxa"/>
            <w:vMerge w:val="continue"/>
            <w:vAlign w:val="center"/>
          </w:tcPr>
          <w:p w14:paraId="5D6F58C4">
            <w:pPr>
              <w:jc w:val="center"/>
              <w:rPr>
                <w:sz w:val="22"/>
                <w:szCs w:val="22"/>
              </w:rPr>
            </w:pPr>
          </w:p>
        </w:tc>
        <w:tc>
          <w:tcPr>
            <w:tcW w:w="1116" w:type="dxa"/>
            <w:vAlign w:val="center"/>
          </w:tcPr>
          <w:p w14:paraId="13AD432E">
            <w:pPr>
              <w:jc w:val="center"/>
              <w:rPr>
                <w:sz w:val="22"/>
                <w:szCs w:val="22"/>
              </w:rPr>
            </w:pPr>
            <w:r>
              <w:rPr>
                <w:sz w:val="22"/>
                <w:szCs w:val="22"/>
              </w:rPr>
              <w:t>22</w:t>
            </w:r>
          </w:p>
        </w:tc>
        <w:tc>
          <w:tcPr>
            <w:tcW w:w="1010" w:type="dxa"/>
            <w:vAlign w:val="center"/>
          </w:tcPr>
          <w:p w14:paraId="78F6E55E">
            <w:pPr>
              <w:jc w:val="center"/>
              <w:rPr>
                <w:sz w:val="22"/>
                <w:szCs w:val="22"/>
              </w:rPr>
            </w:pPr>
            <w:r>
              <w:rPr>
                <w:sz w:val="22"/>
                <w:szCs w:val="22"/>
              </w:rPr>
              <w:t>108,50</w:t>
            </w:r>
          </w:p>
        </w:tc>
        <w:tc>
          <w:tcPr>
            <w:tcW w:w="1591" w:type="dxa"/>
            <w:vAlign w:val="center"/>
          </w:tcPr>
          <w:p w14:paraId="32CA470D">
            <w:pPr>
              <w:jc w:val="center"/>
              <w:rPr>
                <w:sz w:val="22"/>
                <w:szCs w:val="22"/>
              </w:rPr>
            </w:pPr>
            <w:r>
              <w:rPr>
                <w:sz w:val="22"/>
                <w:szCs w:val="22"/>
              </w:rPr>
              <w:t>1.139.250.000</w:t>
            </w:r>
          </w:p>
        </w:tc>
        <w:tc>
          <w:tcPr>
            <w:tcW w:w="1700" w:type="dxa"/>
            <w:vAlign w:val="center"/>
          </w:tcPr>
          <w:p w14:paraId="151499F6">
            <w:pPr>
              <w:jc w:val="center"/>
              <w:rPr>
                <w:sz w:val="22"/>
                <w:szCs w:val="22"/>
              </w:rPr>
            </w:pPr>
            <w:r>
              <w:rPr>
                <w:sz w:val="22"/>
                <w:szCs w:val="22"/>
              </w:rPr>
              <w:t>1.698.000.000</w:t>
            </w:r>
          </w:p>
        </w:tc>
        <w:tc>
          <w:tcPr>
            <w:tcW w:w="1140" w:type="dxa"/>
            <w:noWrap/>
            <w:vAlign w:val="center"/>
          </w:tcPr>
          <w:p w14:paraId="52633CD8">
            <w:pPr>
              <w:jc w:val="center"/>
              <w:rPr>
                <w:sz w:val="22"/>
                <w:szCs w:val="22"/>
              </w:rPr>
            </w:pPr>
            <w:r>
              <w:rPr>
                <w:sz w:val="22"/>
                <w:szCs w:val="22"/>
              </w:rPr>
              <w:t>1,49%</w:t>
            </w:r>
          </w:p>
        </w:tc>
      </w:tr>
      <w:tr w14:paraId="2222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B36B7E6">
            <w:pPr>
              <w:jc w:val="center"/>
              <w:rPr>
                <w:sz w:val="22"/>
                <w:szCs w:val="22"/>
              </w:rPr>
            </w:pPr>
            <w:r>
              <w:rPr>
                <w:sz w:val="22"/>
                <w:szCs w:val="22"/>
              </w:rPr>
              <w:t>88</w:t>
            </w:r>
          </w:p>
        </w:tc>
        <w:tc>
          <w:tcPr>
            <w:tcW w:w="1752" w:type="dxa"/>
            <w:noWrap/>
            <w:vAlign w:val="center"/>
          </w:tcPr>
          <w:p w14:paraId="2D39E712">
            <w:pPr>
              <w:jc w:val="center"/>
              <w:rPr>
                <w:sz w:val="22"/>
                <w:szCs w:val="22"/>
              </w:rPr>
            </w:pPr>
          </w:p>
        </w:tc>
        <w:tc>
          <w:tcPr>
            <w:tcW w:w="944" w:type="dxa"/>
            <w:vMerge w:val="continue"/>
            <w:vAlign w:val="center"/>
          </w:tcPr>
          <w:p w14:paraId="21626266">
            <w:pPr>
              <w:jc w:val="center"/>
              <w:rPr>
                <w:sz w:val="22"/>
                <w:szCs w:val="22"/>
              </w:rPr>
            </w:pPr>
          </w:p>
        </w:tc>
        <w:tc>
          <w:tcPr>
            <w:tcW w:w="1116" w:type="dxa"/>
            <w:vAlign w:val="center"/>
          </w:tcPr>
          <w:p w14:paraId="5665BA1F">
            <w:pPr>
              <w:jc w:val="center"/>
              <w:rPr>
                <w:sz w:val="22"/>
                <w:szCs w:val="22"/>
              </w:rPr>
            </w:pPr>
            <w:r>
              <w:rPr>
                <w:sz w:val="22"/>
                <w:szCs w:val="22"/>
              </w:rPr>
              <w:t>23</w:t>
            </w:r>
          </w:p>
        </w:tc>
        <w:tc>
          <w:tcPr>
            <w:tcW w:w="1010" w:type="dxa"/>
            <w:vAlign w:val="center"/>
          </w:tcPr>
          <w:p w14:paraId="17A213A7">
            <w:pPr>
              <w:jc w:val="center"/>
              <w:rPr>
                <w:sz w:val="22"/>
                <w:szCs w:val="22"/>
              </w:rPr>
            </w:pPr>
            <w:r>
              <w:rPr>
                <w:sz w:val="22"/>
                <w:szCs w:val="22"/>
              </w:rPr>
              <w:t>108,50</w:t>
            </w:r>
          </w:p>
        </w:tc>
        <w:tc>
          <w:tcPr>
            <w:tcW w:w="1591" w:type="dxa"/>
            <w:vAlign w:val="center"/>
          </w:tcPr>
          <w:p w14:paraId="3FD89FB8">
            <w:pPr>
              <w:jc w:val="center"/>
              <w:rPr>
                <w:sz w:val="22"/>
                <w:szCs w:val="22"/>
              </w:rPr>
            </w:pPr>
            <w:r>
              <w:rPr>
                <w:sz w:val="22"/>
                <w:szCs w:val="22"/>
              </w:rPr>
              <w:t>1.139.250.000</w:t>
            </w:r>
          </w:p>
        </w:tc>
        <w:tc>
          <w:tcPr>
            <w:tcW w:w="1700" w:type="dxa"/>
            <w:vAlign w:val="center"/>
          </w:tcPr>
          <w:p w14:paraId="74743C91">
            <w:pPr>
              <w:jc w:val="center"/>
              <w:rPr>
                <w:sz w:val="22"/>
                <w:szCs w:val="22"/>
              </w:rPr>
            </w:pPr>
            <w:r>
              <w:rPr>
                <w:sz w:val="22"/>
                <w:szCs w:val="22"/>
              </w:rPr>
              <w:t>1.682.000.000</w:t>
            </w:r>
          </w:p>
        </w:tc>
        <w:tc>
          <w:tcPr>
            <w:tcW w:w="1140" w:type="dxa"/>
            <w:noWrap/>
            <w:vAlign w:val="center"/>
          </w:tcPr>
          <w:p w14:paraId="2A448801">
            <w:pPr>
              <w:jc w:val="center"/>
              <w:rPr>
                <w:sz w:val="22"/>
                <w:szCs w:val="22"/>
              </w:rPr>
            </w:pPr>
            <w:r>
              <w:rPr>
                <w:sz w:val="22"/>
                <w:szCs w:val="22"/>
              </w:rPr>
              <w:t>1,48%</w:t>
            </w:r>
          </w:p>
        </w:tc>
      </w:tr>
      <w:tr w14:paraId="36E8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A3B84A3">
            <w:pPr>
              <w:jc w:val="center"/>
              <w:rPr>
                <w:sz w:val="22"/>
                <w:szCs w:val="22"/>
              </w:rPr>
            </w:pPr>
            <w:r>
              <w:rPr>
                <w:sz w:val="22"/>
                <w:szCs w:val="22"/>
              </w:rPr>
              <w:t>89</w:t>
            </w:r>
          </w:p>
        </w:tc>
        <w:tc>
          <w:tcPr>
            <w:tcW w:w="1752" w:type="dxa"/>
            <w:noWrap/>
            <w:vAlign w:val="center"/>
          </w:tcPr>
          <w:p w14:paraId="785C2CD0">
            <w:pPr>
              <w:jc w:val="center"/>
              <w:rPr>
                <w:sz w:val="22"/>
                <w:szCs w:val="22"/>
              </w:rPr>
            </w:pPr>
          </w:p>
        </w:tc>
        <w:tc>
          <w:tcPr>
            <w:tcW w:w="944" w:type="dxa"/>
            <w:vMerge w:val="continue"/>
            <w:vAlign w:val="center"/>
          </w:tcPr>
          <w:p w14:paraId="03303255">
            <w:pPr>
              <w:jc w:val="center"/>
              <w:rPr>
                <w:sz w:val="22"/>
                <w:szCs w:val="22"/>
              </w:rPr>
            </w:pPr>
          </w:p>
        </w:tc>
        <w:tc>
          <w:tcPr>
            <w:tcW w:w="1116" w:type="dxa"/>
            <w:vAlign w:val="center"/>
          </w:tcPr>
          <w:p w14:paraId="6B07A9A3">
            <w:pPr>
              <w:jc w:val="center"/>
              <w:rPr>
                <w:sz w:val="22"/>
                <w:szCs w:val="22"/>
              </w:rPr>
            </w:pPr>
            <w:r>
              <w:rPr>
                <w:sz w:val="22"/>
                <w:szCs w:val="22"/>
              </w:rPr>
              <w:t>24</w:t>
            </w:r>
          </w:p>
        </w:tc>
        <w:tc>
          <w:tcPr>
            <w:tcW w:w="1010" w:type="dxa"/>
            <w:vAlign w:val="center"/>
          </w:tcPr>
          <w:p w14:paraId="2003CC5A">
            <w:pPr>
              <w:jc w:val="center"/>
              <w:rPr>
                <w:sz w:val="22"/>
                <w:szCs w:val="22"/>
              </w:rPr>
            </w:pPr>
            <w:r>
              <w:rPr>
                <w:sz w:val="22"/>
                <w:szCs w:val="22"/>
              </w:rPr>
              <w:t>108,50</w:t>
            </w:r>
          </w:p>
        </w:tc>
        <w:tc>
          <w:tcPr>
            <w:tcW w:w="1591" w:type="dxa"/>
            <w:vAlign w:val="center"/>
          </w:tcPr>
          <w:p w14:paraId="4CC36619">
            <w:pPr>
              <w:jc w:val="center"/>
              <w:rPr>
                <w:sz w:val="22"/>
                <w:szCs w:val="22"/>
              </w:rPr>
            </w:pPr>
            <w:r>
              <w:rPr>
                <w:sz w:val="22"/>
                <w:szCs w:val="22"/>
              </w:rPr>
              <w:t>1.139.250.000</w:t>
            </w:r>
          </w:p>
        </w:tc>
        <w:tc>
          <w:tcPr>
            <w:tcW w:w="1700" w:type="dxa"/>
            <w:vAlign w:val="center"/>
          </w:tcPr>
          <w:p w14:paraId="7F3098E8">
            <w:pPr>
              <w:jc w:val="center"/>
              <w:rPr>
                <w:sz w:val="22"/>
                <w:szCs w:val="22"/>
              </w:rPr>
            </w:pPr>
            <w:r>
              <w:rPr>
                <w:sz w:val="22"/>
                <w:szCs w:val="22"/>
              </w:rPr>
              <w:t>1.680.000.000</w:t>
            </w:r>
          </w:p>
        </w:tc>
        <w:tc>
          <w:tcPr>
            <w:tcW w:w="1140" w:type="dxa"/>
            <w:noWrap/>
            <w:vAlign w:val="center"/>
          </w:tcPr>
          <w:p w14:paraId="0666F598">
            <w:pPr>
              <w:jc w:val="center"/>
              <w:rPr>
                <w:sz w:val="22"/>
                <w:szCs w:val="22"/>
              </w:rPr>
            </w:pPr>
            <w:r>
              <w:rPr>
                <w:sz w:val="22"/>
                <w:szCs w:val="22"/>
              </w:rPr>
              <w:t>1,47%</w:t>
            </w:r>
          </w:p>
        </w:tc>
      </w:tr>
      <w:tr w14:paraId="5D04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051282B">
            <w:pPr>
              <w:jc w:val="center"/>
              <w:rPr>
                <w:sz w:val="22"/>
                <w:szCs w:val="22"/>
              </w:rPr>
            </w:pPr>
            <w:r>
              <w:rPr>
                <w:sz w:val="22"/>
                <w:szCs w:val="22"/>
              </w:rPr>
              <w:t>90</w:t>
            </w:r>
          </w:p>
        </w:tc>
        <w:tc>
          <w:tcPr>
            <w:tcW w:w="1752" w:type="dxa"/>
            <w:noWrap/>
            <w:vAlign w:val="center"/>
          </w:tcPr>
          <w:p w14:paraId="147EA143">
            <w:pPr>
              <w:jc w:val="center"/>
              <w:rPr>
                <w:sz w:val="22"/>
                <w:szCs w:val="22"/>
              </w:rPr>
            </w:pPr>
          </w:p>
        </w:tc>
        <w:tc>
          <w:tcPr>
            <w:tcW w:w="944" w:type="dxa"/>
            <w:vMerge w:val="continue"/>
            <w:vAlign w:val="center"/>
          </w:tcPr>
          <w:p w14:paraId="58FD3E30">
            <w:pPr>
              <w:jc w:val="center"/>
              <w:rPr>
                <w:sz w:val="22"/>
                <w:szCs w:val="22"/>
              </w:rPr>
            </w:pPr>
          </w:p>
        </w:tc>
        <w:tc>
          <w:tcPr>
            <w:tcW w:w="1116" w:type="dxa"/>
            <w:vAlign w:val="center"/>
          </w:tcPr>
          <w:p w14:paraId="06478FC8">
            <w:pPr>
              <w:jc w:val="center"/>
              <w:rPr>
                <w:sz w:val="22"/>
                <w:szCs w:val="22"/>
              </w:rPr>
            </w:pPr>
            <w:r>
              <w:rPr>
                <w:sz w:val="22"/>
                <w:szCs w:val="22"/>
              </w:rPr>
              <w:t>25</w:t>
            </w:r>
          </w:p>
        </w:tc>
        <w:tc>
          <w:tcPr>
            <w:tcW w:w="1010" w:type="dxa"/>
            <w:vAlign w:val="center"/>
          </w:tcPr>
          <w:p w14:paraId="0263A50E">
            <w:pPr>
              <w:jc w:val="center"/>
              <w:rPr>
                <w:sz w:val="22"/>
                <w:szCs w:val="22"/>
              </w:rPr>
            </w:pPr>
            <w:r>
              <w:rPr>
                <w:sz w:val="22"/>
                <w:szCs w:val="22"/>
              </w:rPr>
              <w:t>108,50</w:t>
            </w:r>
          </w:p>
        </w:tc>
        <w:tc>
          <w:tcPr>
            <w:tcW w:w="1591" w:type="dxa"/>
            <w:vAlign w:val="center"/>
          </w:tcPr>
          <w:p w14:paraId="43BFC2CF">
            <w:pPr>
              <w:jc w:val="center"/>
              <w:rPr>
                <w:sz w:val="22"/>
                <w:szCs w:val="22"/>
              </w:rPr>
            </w:pPr>
            <w:r>
              <w:rPr>
                <w:sz w:val="22"/>
                <w:szCs w:val="22"/>
              </w:rPr>
              <w:t>1.139.250.000</w:t>
            </w:r>
          </w:p>
        </w:tc>
        <w:tc>
          <w:tcPr>
            <w:tcW w:w="1700" w:type="dxa"/>
            <w:vAlign w:val="center"/>
          </w:tcPr>
          <w:p w14:paraId="2EA145EF">
            <w:pPr>
              <w:jc w:val="center"/>
              <w:rPr>
                <w:sz w:val="22"/>
                <w:szCs w:val="22"/>
              </w:rPr>
            </w:pPr>
            <w:r>
              <w:rPr>
                <w:sz w:val="22"/>
                <w:szCs w:val="22"/>
              </w:rPr>
              <w:t>1.680.000.000</w:t>
            </w:r>
          </w:p>
        </w:tc>
        <w:tc>
          <w:tcPr>
            <w:tcW w:w="1140" w:type="dxa"/>
            <w:noWrap/>
            <w:vAlign w:val="center"/>
          </w:tcPr>
          <w:p w14:paraId="7C04BE48">
            <w:pPr>
              <w:jc w:val="center"/>
              <w:rPr>
                <w:sz w:val="22"/>
                <w:szCs w:val="22"/>
              </w:rPr>
            </w:pPr>
            <w:r>
              <w:rPr>
                <w:sz w:val="22"/>
                <w:szCs w:val="22"/>
              </w:rPr>
              <w:t>1,47%</w:t>
            </w:r>
          </w:p>
        </w:tc>
      </w:tr>
      <w:tr w14:paraId="200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D8EE19A">
            <w:pPr>
              <w:jc w:val="center"/>
              <w:rPr>
                <w:sz w:val="22"/>
                <w:szCs w:val="22"/>
              </w:rPr>
            </w:pPr>
            <w:r>
              <w:rPr>
                <w:sz w:val="22"/>
                <w:szCs w:val="22"/>
              </w:rPr>
              <w:t>91</w:t>
            </w:r>
          </w:p>
        </w:tc>
        <w:tc>
          <w:tcPr>
            <w:tcW w:w="1752" w:type="dxa"/>
            <w:noWrap/>
            <w:vAlign w:val="center"/>
          </w:tcPr>
          <w:p w14:paraId="0D718CE4">
            <w:pPr>
              <w:jc w:val="center"/>
              <w:rPr>
                <w:sz w:val="22"/>
                <w:szCs w:val="22"/>
              </w:rPr>
            </w:pPr>
          </w:p>
        </w:tc>
        <w:tc>
          <w:tcPr>
            <w:tcW w:w="944" w:type="dxa"/>
            <w:vMerge w:val="continue"/>
            <w:vAlign w:val="center"/>
          </w:tcPr>
          <w:p w14:paraId="5836C64B">
            <w:pPr>
              <w:jc w:val="center"/>
              <w:rPr>
                <w:sz w:val="22"/>
                <w:szCs w:val="22"/>
              </w:rPr>
            </w:pPr>
          </w:p>
        </w:tc>
        <w:tc>
          <w:tcPr>
            <w:tcW w:w="1116" w:type="dxa"/>
            <w:vAlign w:val="center"/>
          </w:tcPr>
          <w:p w14:paraId="4861FF51">
            <w:pPr>
              <w:jc w:val="center"/>
              <w:rPr>
                <w:sz w:val="22"/>
                <w:szCs w:val="22"/>
              </w:rPr>
            </w:pPr>
            <w:r>
              <w:rPr>
                <w:sz w:val="22"/>
                <w:szCs w:val="22"/>
              </w:rPr>
              <w:t>26</w:t>
            </w:r>
          </w:p>
        </w:tc>
        <w:tc>
          <w:tcPr>
            <w:tcW w:w="1010" w:type="dxa"/>
            <w:vAlign w:val="center"/>
          </w:tcPr>
          <w:p w14:paraId="728C989F">
            <w:pPr>
              <w:jc w:val="center"/>
              <w:rPr>
                <w:sz w:val="22"/>
                <w:szCs w:val="22"/>
              </w:rPr>
            </w:pPr>
            <w:r>
              <w:rPr>
                <w:sz w:val="22"/>
                <w:szCs w:val="22"/>
              </w:rPr>
              <w:t>108,50</w:t>
            </w:r>
          </w:p>
        </w:tc>
        <w:tc>
          <w:tcPr>
            <w:tcW w:w="1591" w:type="dxa"/>
            <w:vAlign w:val="center"/>
          </w:tcPr>
          <w:p w14:paraId="16C7EF92">
            <w:pPr>
              <w:jc w:val="center"/>
              <w:rPr>
                <w:sz w:val="22"/>
                <w:szCs w:val="22"/>
              </w:rPr>
            </w:pPr>
            <w:r>
              <w:rPr>
                <w:sz w:val="22"/>
                <w:szCs w:val="22"/>
              </w:rPr>
              <w:t>1.139.250.000</w:t>
            </w:r>
          </w:p>
        </w:tc>
        <w:tc>
          <w:tcPr>
            <w:tcW w:w="1700" w:type="dxa"/>
            <w:vAlign w:val="center"/>
          </w:tcPr>
          <w:p w14:paraId="0F3E656C">
            <w:pPr>
              <w:jc w:val="center"/>
              <w:rPr>
                <w:sz w:val="22"/>
                <w:szCs w:val="22"/>
              </w:rPr>
            </w:pPr>
            <w:r>
              <w:rPr>
                <w:sz w:val="22"/>
                <w:szCs w:val="22"/>
              </w:rPr>
              <w:t>1.698.000.000</w:t>
            </w:r>
          </w:p>
        </w:tc>
        <w:tc>
          <w:tcPr>
            <w:tcW w:w="1140" w:type="dxa"/>
            <w:noWrap/>
            <w:vAlign w:val="center"/>
          </w:tcPr>
          <w:p w14:paraId="67C5883E">
            <w:pPr>
              <w:jc w:val="center"/>
              <w:rPr>
                <w:sz w:val="22"/>
                <w:szCs w:val="22"/>
              </w:rPr>
            </w:pPr>
            <w:r>
              <w:rPr>
                <w:sz w:val="22"/>
                <w:szCs w:val="22"/>
              </w:rPr>
              <w:t>1,49%</w:t>
            </w:r>
          </w:p>
        </w:tc>
      </w:tr>
      <w:tr w14:paraId="5848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8B79B81">
            <w:pPr>
              <w:jc w:val="center"/>
              <w:rPr>
                <w:sz w:val="22"/>
                <w:szCs w:val="22"/>
              </w:rPr>
            </w:pPr>
            <w:r>
              <w:rPr>
                <w:sz w:val="22"/>
                <w:szCs w:val="22"/>
              </w:rPr>
              <w:t>92</w:t>
            </w:r>
          </w:p>
        </w:tc>
        <w:tc>
          <w:tcPr>
            <w:tcW w:w="1752" w:type="dxa"/>
            <w:noWrap/>
            <w:vAlign w:val="center"/>
          </w:tcPr>
          <w:p w14:paraId="06D55F23">
            <w:pPr>
              <w:jc w:val="center"/>
              <w:rPr>
                <w:sz w:val="22"/>
                <w:szCs w:val="22"/>
              </w:rPr>
            </w:pPr>
          </w:p>
        </w:tc>
        <w:tc>
          <w:tcPr>
            <w:tcW w:w="944" w:type="dxa"/>
            <w:vMerge w:val="continue"/>
            <w:vAlign w:val="center"/>
          </w:tcPr>
          <w:p w14:paraId="42AF68D4">
            <w:pPr>
              <w:jc w:val="center"/>
              <w:rPr>
                <w:sz w:val="22"/>
                <w:szCs w:val="22"/>
              </w:rPr>
            </w:pPr>
          </w:p>
        </w:tc>
        <w:tc>
          <w:tcPr>
            <w:tcW w:w="1116" w:type="dxa"/>
            <w:vAlign w:val="center"/>
          </w:tcPr>
          <w:p w14:paraId="5E555FCF">
            <w:pPr>
              <w:jc w:val="center"/>
              <w:rPr>
                <w:sz w:val="22"/>
                <w:szCs w:val="22"/>
              </w:rPr>
            </w:pPr>
            <w:r>
              <w:rPr>
                <w:sz w:val="22"/>
                <w:szCs w:val="22"/>
              </w:rPr>
              <w:t>27</w:t>
            </w:r>
          </w:p>
        </w:tc>
        <w:tc>
          <w:tcPr>
            <w:tcW w:w="1010" w:type="dxa"/>
            <w:vAlign w:val="center"/>
          </w:tcPr>
          <w:p w14:paraId="0C497D64">
            <w:pPr>
              <w:jc w:val="center"/>
              <w:rPr>
                <w:sz w:val="22"/>
                <w:szCs w:val="22"/>
              </w:rPr>
            </w:pPr>
            <w:r>
              <w:rPr>
                <w:sz w:val="22"/>
                <w:szCs w:val="22"/>
              </w:rPr>
              <w:t>156,00</w:t>
            </w:r>
          </w:p>
        </w:tc>
        <w:tc>
          <w:tcPr>
            <w:tcW w:w="1591" w:type="dxa"/>
            <w:vAlign w:val="center"/>
          </w:tcPr>
          <w:p w14:paraId="7A5C1C19">
            <w:pPr>
              <w:jc w:val="center"/>
              <w:rPr>
                <w:sz w:val="22"/>
                <w:szCs w:val="22"/>
              </w:rPr>
            </w:pPr>
            <w:r>
              <w:rPr>
                <w:sz w:val="22"/>
                <w:szCs w:val="22"/>
              </w:rPr>
              <w:t>1.965.600.000</w:t>
            </w:r>
          </w:p>
        </w:tc>
        <w:tc>
          <w:tcPr>
            <w:tcW w:w="1700" w:type="dxa"/>
            <w:vAlign w:val="center"/>
          </w:tcPr>
          <w:p w14:paraId="3AAEE2D1">
            <w:pPr>
              <w:jc w:val="center"/>
              <w:rPr>
                <w:sz w:val="22"/>
                <w:szCs w:val="22"/>
              </w:rPr>
            </w:pPr>
            <w:r>
              <w:rPr>
                <w:sz w:val="22"/>
                <w:szCs w:val="22"/>
              </w:rPr>
              <w:t>2.579.850.000</w:t>
            </w:r>
          </w:p>
        </w:tc>
        <w:tc>
          <w:tcPr>
            <w:tcW w:w="1140" w:type="dxa"/>
            <w:noWrap/>
            <w:vAlign w:val="center"/>
          </w:tcPr>
          <w:p w14:paraId="62404FF4">
            <w:pPr>
              <w:jc w:val="center"/>
              <w:rPr>
                <w:sz w:val="22"/>
                <w:szCs w:val="22"/>
              </w:rPr>
            </w:pPr>
            <w:r>
              <w:rPr>
                <w:sz w:val="22"/>
                <w:szCs w:val="22"/>
              </w:rPr>
              <w:t>1,31%</w:t>
            </w:r>
          </w:p>
        </w:tc>
      </w:tr>
      <w:tr w14:paraId="06E0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47148E5">
            <w:pPr>
              <w:jc w:val="center"/>
              <w:rPr>
                <w:sz w:val="22"/>
                <w:szCs w:val="22"/>
              </w:rPr>
            </w:pPr>
            <w:r>
              <w:rPr>
                <w:sz w:val="22"/>
                <w:szCs w:val="22"/>
              </w:rPr>
              <w:t>93</w:t>
            </w:r>
          </w:p>
        </w:tc>
        <w:tc>
          <w:tcPr>
            <w:tcW w:w="1752" w:type="dxa"/>
            <w:noWrap/>
            <w:vAlign w:val="center"/>
          </w:tcPr>
          <w:p w14:paraId="69065401">
            <w:pPr>
              <w:jc w:val="center"/>
              <w:rPr>
                <w:sz w:val="22"/>
                <w:szCs w:val="22"/>
              </w:rPr>
            </w:pPr>
          </w:p>
        </w:tc>
        <w:tc>
          <w:tcPr>
            <w:tcW w:w="944" w:type="dxa"/>
            <w:vMerge w:val="continue"/>
            <w:vAlign w:val="center"/>
          </w:tcPr>
          <w:p w14:paraId="32D189E6">
            <w:pPr>
              <w:jc w:val="center"/>
              <w:rPr>
                <w:sz w:val="22"/>
                <w:szCs w:val="22"/>
              </w:rPr>
            </w:pPr>
          </w:p>
        </w:tc>
        <w:tc>
          <w:tcPr>
            <w:tcW w:w="1116" w:type="dxa"/>
            <w:vAlign w:val="center"/>
          </w:tcPr>
          <w:p w14:paraId="2BA406BC">
            <w:pPr>
              <w:jc w:val="center"/>
              <w:rPr>
                <w:sz w:val="22"/>
                <w:szCs w:val="22"/>
              </w:rPr>
            </w:pPr>
            <w:r>
              <w:rPr>
                <w:sz w:val="22"/>
                <w:szCs w:val="22"/>
              </w:rPr>
              <w:t>28</w:t>
            </w:r>
          </w:p>
        </w:tc>
        <w:tc>
          <w:tcPr>
            <w:tcW w:w="1010" w:type="dxa"/>
            <w:vAlign w:val="center"/>
          </w:tcPr>
          <w:p w14:paraId="4EA32D64">
            <w:pPr>
              <w:jc w:val="center"/>
              <w:rPr>
                <w:sz w:val="22"/>
                <w:szCs w:val="22"/>
              </w:rPr>
            </w:pPr>
            <w:r>
              <w:rPr>
                <w:sz w:val="22"/>
                <w:szCs w:val="22"/>
              </w:rPr>
              <w:t>118,00</w:t>
            </w:r>
          </w:p>
        </w:tc>
        <w:tc>
          <w:tcPr>
            <w:tcW w:w="1591" w:type="dxa"/>
            <w:vAlign w:val="center"/>
          </w:tcPr>
          <w:p w14:paraId="65114006">
            <w:pPr>
              <w:jc w:val="center"/>
              <w:rPr>
                <w:sz w:val="22"/>
                <w:szCs w:val="22"/>
              </w:rPr>
            </w:pPr>
            <w:r>
              <w:rPr>
                <w:sz w:val="22"/>
                <w:szCs w:val="22"/>
              </w:rPr>
              <w:t>1.345.200.000</w:t>
            </w:r>
          </w:p>
        </w:tc>
        <w:tc>
          <w:tcPr>
            <w:tcW w:w="1700" w:type="dxa"/>
            <w:vAlign w:val="center"/>
          </w:tcPr>
          <w:p w14:paraId="61D21931">
            <w:pPr>
              <w:jc w:val="center"/>
              <w:rPr>
                <w:sz w:val="22"/>
                <w:szCs w:val="22"/>
              </w:rPr>
            </w:pPr>
            <w:r>
              <w:rPr>
                <w:sz w:val="22"/>
                <w:szCs w:val="22"/>
              </w:rPr>
              <w:t>1.900.000.000</w:t>
            </w:r>
          </w:p>
        </w:tc>
        <w:tc>
          <w:tcPr>
            <w:tcW w:w="1140" w:type="dxa"/>
            <w:noWrap/>
            <w:vAlign w:val="center"/>
          </w:tcPr>
          <w:p w14:paraId="541D6609">
            <w:pPr>
              <w:jc w:val="center"/>
              <w:rPr>
                <w:sz w:val="22"/>
                <w:szCs w:val="22"/>
              </w:rPr>
            </w:pPr>
            <w:r>
              <w:rPr>
                <w:sz w:val="22"/>
                <w:szCs w:val="22"/>
              </w:rPr>
              <w:t>1,41%</w:t>
            </w:r>
          </w:p>
        </w:tc>
      </w:tr>
      <w:tr w14:paraId="0730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39367D3">
            <w:pPr>
              <w:jc w:val="center"/>
              <w:rPr>
                <w:sz w:val="22"/>
                <w:szCs w:val="22"/>
              </w:rPr>
            </w:pPr>
            <w:r>
              <w:rPr>
                <w:sz w:val="22"/>
                <w:szCs w:val="22"/>
              </w:rPr>
              <w:t>94</w:t>
            </w:r>
          </w:p>
        </w:tc>
        <w:tc>
          <w:tcPr>
            <w:tcW w:w="1752" w:type="dxa"/>
            <w:noWrap/>
            <w:vAlign w:val="center"/>
          </w:tcPr>
          <w:p w14:paraId="290301C4">
            <w:pPr>
              <w:jc w:val="center"/>
              <w:rPr>
                <w:sz w:val="22"/>
                <w:szCs w:val="22"/>
              </w:rPr>
            </w:pPr>
          </w:p>
        </w:tc>
        <w:tc>
          <w:tcPr>
            <w:tcW w:w="944" w:type="dxa"/>
            <w:vMerge w:val="continue"/>
            <w:vAlign w:val="center"/>
          </w:tcPr>
          <w:p w14:paraId="73677632">
            <w:pPr>
              <w:jc w:val="center"/>
              <w:rPr>
                <w:sz w:val="22"/>
                <w:szCs w:val="22"/>
              </w:rPr>
            </w:pPr>
          </w:p>
        </w:tc>
        <w:tc>
          <w:tcPr>
            <w:tcW w:w="1116" w:type="dxa"/>
            <w:vAlign w:val="center"/>
          </w:tcPr>
          <w:p w14:paraId="632E4CA1">
            <w:pPr>
              <w:jc w:val="center"/>
              <w:rPr>
                <w:sz w:val="22"/>
                <w:szCs w:val="22"/>
              </w:rPr>
            </w:pPr>
            <w:r>
              <w:rPr>
                <w:sz w:val="22"/>
                <w:szCs w:val="22"/>
              </w:rPr>
              <w:t>29</w:t>
            </w:r>
          </w:p>
        </w:tc>
        <w:tc>
          <w:tcPr>
            <w:tcW w:w="1010" w:type="dxa"/>
            <w:vAlign w:val="center"/>
          </w:tcPr>
          <w:p w14:paraId="023EAF0F">
            <w:pPr>
              <w:jc w:val="center"/>
              <w:rPr>
                <w:sz w:val="22"/>
                <w:szCs w:val="22"/>
              </w:rPr>
            </w:pPr>
            <w:r>
              <w:rPr>
                <w:sz w:val="22"/>
                <w:szCs w:val="22"/>
              </w:rPr>
              <w:t>90,00</w:t>
            </w:r>
          </w:p>
        </w:tc>
        <w:tc>
          <w:tcPr>
            <w:tcW w:w="1591" w:type="dxa"/>
            <w:vAlign w:val="center"/>
          </w:tcPr>
          <w:p w14:paraId="39CE7B83">
            <w:pPr>
              <w:jc w:val="center"/>
              <w:rPr>
                <w:sz w:val="22"/>
                <w:szCs w:val="22"/>
              </w:rPr>
            </w:pPr>
            <w:r>
              <w:rPr>
                <w:sz w:val="22"/>
                <w:szCs w:val="22"/>
              </w:rPr>
              <w:t>855.000.000</w:t>
            </w:r>
          </w:p>
        </w:tc>
        <w:tc>
          <w:tcPr>
            <w:tcW w:w="1700" w:type="dxa"/>
            <w:vAlign w:val="center"/>
          </w:tcPr>
          <w:p w14:paraId="416518C0">
            <w:pPr>
              <w:jc w:val="center"/>
              <w:rPr>
                <w:sz w:val="22"/>
                <w:szCs w:val="22"/>
              </w:rPr>
            </w:pPr>
            <w:r>
              <w:rPr>
                <w:sz w:val="22"/>
                <w:szCs w:val="22"/>
              </w:rPr>
              <w:t>1.350.000.000</w:t>
            </w:r>
          </w:p>
        </w:tc>
        <w:tc>
          <w:tcPr>
            <w:tcW w:w="1140" w:type="dxa"/>
            <w:noWrap/>
            <w:vAlign w:val="center"/>
          </w:tcPr>
          <w:p w14:paraId="5E734528">
            <w:pPr>
              <w:jc w:val="center"/>
              <w:rPr>
                <w:sz w:val="22"/>
                <w:szCs w:val="22"/>
              </w:rPr>
            </w:pPr>
            <w:r>
              <w:rPr>
                <w:sz w:val="22"/>
                <w:szCs w:val="22"/>
              </w:rPr>
              <w:t>1,58%</w:t>
            </w:r>
          </w:p>
        </w:tc>
      </w:tr>
      <w:tr w14:paraId="5390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B0E0C53">
            <w:pPr>
              <w:jc w:val="center"/>
              <w:rPr>
                <w:sz w:val="22"/>
                <w:szCs w:val="22"/>
              </w:rPr>
            </w:pPr>
            <w:r>
              <w:rPr>
                <w:sz w:val="22"/>
                <w:szCs w:val="22"/>
              </w:rPr>
              <w:t>95</w:t>
            </w:r>
          </w:p>
        </w:tc>
        <w:tc>
          <w:tcPr>
            <w:tcW w:w="1752" w:type="dxa"/>
            <w:noWrap/>
            <w:vAlign w:val="center"/>
          </w:tcPr>
          <w:p w14:paraId="64FBD7AB">
            <w:pPr>
              <w:jc w:val="center"/>
              <w:rPr>
                <w:sz w:val="22"/>
                <w:szCs w:val="22"/>
              </w:rPr>
            </w:pPr>
          </w:p>
        </w:tc>
        <w:tc>
          <w:tcPr>
            <w:tcW w:w="944" w:type="dxa"/>
            <w:vMerge w:val="continue"/>
            <w:vAlign w:val="center"/>
          </w:tcPr>
          <w:p w14:paraId="2C8D9D5B">
            <w:pPr>
              <w:jc w:val="center"/>
              <w:rPr>
                <w:sz w:val="22"/>
                <w:szCs w:val="22"/>
              </w:rPr>
            </w:pPr>
          </w:p>
        </w:tc>
        <w:tc>
          <w:tcPr>
            <w:tcW w:w="1116" w:type="dxa"/>
            <w:vAlign w:val="center"/>
          </w:tcPr>
          <w:p w14:paraId="4FDA648E">
            <w:pPr>
              <w:jc w:val="center"/>
              <w:rPr>
                <w:sz w:val="22"/>
                <w:szCs w:val="22"/>
              </w:rPr>
            </w:pPr>
            <w:r>
              <w:rPr>
                <w:sz w:val="22"/>
                <w:szCs w:val="22"/>
              </w:rPr>
              <w:t>30</w:t>
            </w:r>
          </w:p>
        </w:tc>
        <w:tc>
          <w:tcPr>
            <w:tcW w:w="1010" w:type="dxa"/>
            <w:vAlign w:val="center"/>
          </w:tcPr>
          <w:p w14:paraId="085073C8">
            <w:pPr>
              <w:jc w:val="center"/>
              <w:rPr>
                <w:sz w:val="22"/>
                <w:szCs w:val="22"/>
              </w:rPr>
            </w:pPr>
            <w:r>
              <w:rPr>
                <w:sz w:val="22"/>
                <w:szCs w:val="22"/>
              </w:rPr>
              <w:t>90,00</w:t>
            </w:r>
          </w:p>
        </w:tc>
        <w:tc>
          <w:tcPr>
            <w:tcW w:w="1591" w:type="dxa"/>
            <w:vAlign w:val="center"/>
          </w:tcPr>
          <w:p w14:paraId="11766B1E">
            <w:pPr>
              <w:jc w:val="center"/>
              <w:rPr>
                <w:sz w:val="22"/>
                <w:szCs w:val="22"/>
              </w:rPr>
            </w:pPr>
            <w:r>
              <w:rPr>
                <w:sz w:val="22"/>
                <w:szCs w:val="22"/>
              </w:rPr>
              <w:t>855.000.000</w:t>
            </w:r>
          </w:p>
        </w:tc>
        <w:tc>
          <w:tcPr>
            <w:tcW w:w="1700" w:type="dxa"/>
            <w:vAlign w:val="center"/>
          </w:tcPr>
          <w:p w14:paraId="06F81EDD">
            <w:pPr>
              <w:jc w:val="center"/>
              <w:rPr>
                <w:sz w:val="22"/>
                <w:szCs w:val="22"/>
              </w:rPr>
            </w:pPr>
            <w:r>
              <w:rPr>
                <w:sz w:val="22"/>
                <w:szCs w:val="22"/>
              </w:rPr>
              <w:t>1.251.000.000</w:t>
            </w:r>
          </w:p>
        </w:tc>
        <w:tc>
          <w:tcPr>
            <w:tcW w:w="1140" w:type="dxa"/>
            <w:noWrap/>
            <w:vAlign w:val="center"/>
          </w:tcPr>
          <w:p w14:paraId="77C4CA44">
            <w:pPr>
              <w:jc w:val="center"/>
              <w:rPr>
                <w:sz w:val="22"/>
                <w:szCs w:val="22"/>
              </w:rPr>
            </w:pPr>
            <w:r>
              <w:rPr>
                <w:sz w:val="22"/>
                <w:szCs w:val="22"/>
              </w:rPr>
              <w:t>1,46%</w:t>
            </w:r>
          </w:p>
        </w:tc>
      </w:tr>
      <w:tr w14:paraId="16F4B762">
        <w:tblPrEx>
          <w:tblCellMar>
            <w:top w:w="0" w:type="dxa"/>
            <w:left w:w="108" w:type="dxa"/>
            <w:bottom w:w="0" w:type="dxa"/>
            <w:right w:w="108" w:type="dxa"/>
          </w:tblCellMar>
        </w:tblPrEx>
        <w:trPr>
          <w:gridAfter w:val="1"/>
          <w:wAfter w:w="16" w:type="dxa"/>
          <w:trHeight w:val="20" w:hRule="atLeast"/>
        </w:trPr>
        <w:tc>
          <w:tcPr>
            <w:tcW w:w="657" w:type="dxa"/>
            <w:noWrap/>
            <w:vAlign w:val="center"/>
          </w:tcPr>
          <w:p w14:paraId="6A60F70C">
            <w:pPr>
              <w:jc w:val="center"/>
              <w:rPr>
                <w:sz w:val="22"/>
                <w:szCs w:val="22"/>
              </w:rPr>
            </w:pPr>
            <w:r>
              <w:rPr>
                <w:sz w:val="22"/>
                <w:szCs w:val="22"/>
              </w:rPr>
              <w:t>96</w:t>
            </w:r>
          </w:p>
        </w:tc>
        <w:tc>
          <w:tcPr>
            <w:tcW w:w="1752" w:type="dxa"/>
            <w:noWrap/>
            <w:vAlign w:val="center"/>
          </w:tcPr>
          <w:p w14:paraId="24F26C5D">
            <w:pPr>
              <w:jc w:val="center"/>
              <w:rPr>
                <w:sz w:val="22"/>
                <w:szCs w:val="22"/>
              </w:rPr>
            </w:pPr>
          </w:p>
        </w:tc>
        <w:tc>
          <w:tcPr>
            <w:tcW w:w="944" w:type="dxa"/>
            <w:vMerge w:val="continue"/>
            <w:vAlign w:val="center"/>
          </w:tcPr>
          <w:p w14:paraId="0333FFEF">
            <w:pPr>
              <w:jc w:val="center"/>
              <w:rPr>
                <w:sz w:val="22"/>
                <w:szCs w:val="22"/>
              </w:rPr>
            </w:pPr>
          </w:p>
        </w:tc>
        <w:tc>
          <w:tcPr>
            <w:tcW w:w="1116" w:type="dxa"/>
            <w:vAlign w:val="center"/>
          </w:tcPr>
          <w:p w14:paraId="7CEE269F">
            <w:pPr>
              <w:jc w:val="center"/>
              <w:rPr>
                <w:sz w:val="22"/>
                <w:szCs w:val="22"/>
              </w:rPr>
            </w:pPr>
            <w:r>
              <w:rPr>
                <w:sz w:val="22"/>
                <w:szCs w:val="22"/>
              </w:rPr>
              <w:t>31</w:t>
            </w:r>
          </w:p>
        </w:tc>
        <w:tc>
          <w:tcPr>
            <w:tcW w:w="1010" w:type="dxa"/>
            <w:vAlign w:val="center"/>
          </w:tcPr>
          <w:p w14:paraId="574CA7CF">
            <w:pPr>
              <w:jc w:val="center"/>
              <w:rPr>
                <w:sz w:val="22"/>
                <w:szCs w:val="22"/>
              </w:rPr>
            </w:pPr>
            <w:r>
              <w:rPr>
                <w:sz w:val="22"/>
                <w:szCs w:val="22"/>
              </w:rPr>
              <w:t>90,00</w:t>
            </w:r>
          </w:p>
        </w:tc>
        <w:tc>
          <w:tcPr>
            <w:tcW w:w="1591" w:type="dxa"/>
            <w:vAlign w:val="center"/>
          </w:tcPr>
          <w:p w14:paraId="32CE9F52">
            <w:pPr>
              <w:jc w:val="center"/>
              <w:rPr>
                <w:sz w:val="22"/>
                <w:szCs w:val="22"/>
              </w:rPr>
            </w:pPr>
            <w:r>
              <w:rPr>
                <w:sz w:val="22"/>
                <w:szCs w:val="22"/>
              </w:rPr>
              <w:t>855.000.000</w:t>
            </w:r>
          </w:p>
        </w:tc>
        <w:tc>
          <w:tcPr>
            <w:tcW w:w="1700" w:type="dxa"/>
            <w:vAlign w:val="center"/>
          </w:tcPr>
          <w:p w14:paraId="3BC2CE94">
            <w:pPr>
              <w:jc w:val="center"/>
              <w:rPr>
                <w:sz w:val="22"/>
                <w:szCs w:val="22"/>
              </w:rPr>
            </w:pPr>
            <w:r>
              <w:rPr>
                <w:sz w:val="22"/>
                <w:szCs w:val="22"/>
              </w:rPr>
              <w:t>1.241.000.000</w:t>
            </w:r>
          </w:p>
        </w:tc>
        <w:tc>
          <w:tcPr>
            <w:tcW w:w="1140" w:type="dxa"/>
            <w:noWrap/>
            <w:vAlign w:val="center"/>
          </w:tcPr>
          <w:p w14:paraId="3B7BC9AD">
            <w:pPr>
              <w:jc w:val="center"/>
              <w:rPr>
                <w:sz w:val="22"/>
                <w:szCs w:val="22"/>
              </w:rPr>
            </w:pPr>
            <w:r>
              <w:rPr>
                <w:sz w:val="22"/>
                <w:szCs w:val="22"/>
              </w:rPr>
              <w:t>1,45%</w:t>
            </w:r>
          </w:p>
        </w:tc>
      </w:tr>
      <w:tr w14:paraId="7B78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52BF3A8">
            <w:pPr>
              <w:jc w:val="center"/>
              <w:rPr>
                <w:sz w:val="22"/>
                <w:szCs w:val="22"/>
              </w:rPr>
            </w:pPr>
            <w:r>
              <w:rPr>
                <w:sz w:val="22"/>
                <w:szCs w:val="22"/>
              </w:rPr>
              <w:t>97</w:t>
            </w:r>
          </w:p>
        </w:tc>
        <w:tc>
          <w:tcPr>
            <w:tcW w:w="1752" w:type="dxa"/>
            <w:noWrap/>
            <w:vAlign w:val="center"/>
          </w:tcPr>
          <w:p w14:paraId="422F51B1">
            <w:pPr>
              <w:jc w:val="center"/>
              <w:rPr>
                <w:sz w:val="22"/>
                <w:szCs w:val="22"/>
              </w:rPr>
            </w:pPr>
          </w:p>
        </w:tc>
        <w:tc>
          <w:tcPr>
            <w:tcW w:w="944" w:type="dxa"/>
            <w:vMerge w:val="continue"/>
            <w:vAlign w:val="center"/>
          </w:tcPr>
          <w:p w14:paraId="2C5DCF17">
            <w:pPr>
              <w:jc w:val="center"/>
              <w:rPr>
                <w:sz w:val="22"/>
                <w:szCs w:val="22"/>
              </w:rPr>
            </w:pPr>
          </w:p>
        </w:tc>
        <w:tc>
          <w:tcPr>
            <w:tcW w:w="1116" w:type="dxa"/>
            <w:vAlign w:val="center"/>
          </w:tcPr>
          <w:p w14:paraId="25DE6C64">
            <w:pPr>
              <w:jc w:val="center"/>
              <w:rPr>
                <w:sz w:val="22"/>
                <w:szCs w:val="22"/>
              </w:rPr>
            </w:pPr>
            <w:r>
              <w:rPr>
                <w:sz w:val="22"/>
                <w:szCs w:val="22"/>
              </w:rPr>
              <w:t>32</w:t>
            </w:r>
          </w:p>
        </w:tc>
        <w:tc>
          <w:tcPr>
            <w:tcW w:w="1010" w:type="dxa"/>
            <w:vAlign w:val="center"/>
          </w:tcPr>
          <w:p w14:paraId="60F0F34C">
            <w:pPr>
              <w:jc w:val="center"/>
              <w:rPr>
                <w:sz w:val="22"/>
                <w:szCs w:val="22"/>
              </w:rPr>
            </w:pPr>
            <w:r>
              <w:rPr>
                <w:sz w:val="22"/>
                <w:szCs w:val="22"/>
              </w:rPr>
              <w:t>90,00</w:t>
            </w:r>
          </w:p>
        </w:tc>
        <w:tc>
          <w:tcPr>
            <w:tcW w:w="1591" w:type="dxa"/>
            <w:vAlign w:val="center"/>
          </w:tcPr>
          <w:p w14:paraId="16B28294">
            <w:pPr>
              <w:jc w:val="center"/>
              <w:rPr>
                <w:sz w:val="22"/>
                <w:szCs w:val="22"/>
              </w:rPr>
            </w:pPr>
            <w:r>
              <w:rPr>
                <w:sz w:val="22"/>
                <w:szCs w:val="22"/>
              </w:rPr>
              <w:t>855.000.000</w:t>
            </w:r>
          </w:p>
        </w:tc>
        <w:tc>
          <w:tcPr>
            <w:tcW w:w="1700" w:type="dxa"/>
            <w:vAlign w:val="center"/>
          </w:tcPr>
          <w:p w14:paraId="594824AE">
            <w:pPr>
              <w:jc w:val="center"/>
              <w:rPr>
                <w:sz w:val="22"/>
                <w:szCs w:val="22"/>
              </w:rPr>
            </w:pPr>
            <w:r>
              <w:rPr>
                <w:sz w:val="22"/>
                <w:szCs w:val="22"/>
              </w:rPr>
              <w:t>1.340.000.000</w:t>
            </w:r>
          </w:p>
        </w:tc>
        <w:tc>
          <w:tcPr>
            <w:tcW w:w="1140" w:type="dxa"/>
            <w:noWrap/>
            <w:vAlign w:val="center"/>
          </w:tcPr>
          <w:p w14:paraId="3FB41AE7">
            <w:pPr>
              <w:jc w:val="center"/>
              <w:rPr>
                <w:sz w:val="22"/>
                <w:szCs w:val="22"/>
              </w:rPr>
            </w:pPr>
            <w:r>
              <w:rPr>
                <w:sz w:val="22"/>
                <w:szCs w:val="22"/>
              </w:rPr>
              <w:t>1,57%</w:t>
            </w:r>
          </w:p>
        </w:tc>
      </w:tr>
      <w:tr w14:paraId="1DCA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587AD5C">
            <w:pPr>
              <w:jc w:val="center"/>
              <w:rPr>
                <w:sz w:val="22"/>
                <w:szCs w:val="22"/>
              </w:rPr>
            </w:pPr>
            <w:r>
              <w:rPr>
                <w:sz w:val="22"/>
                <w:szCs w:val="22"/>
              </w:rPr>
              <w:t>98</w:t>
            </w:r>
          </w:p>
        </w:tc>
        <w:tc>
          <w:tcPr>
            <w:tcW w:w="1752" w:type="dxa"/>
            <w:noWrap/>
            <w:vAlign w:val="center"/>
          </w:tcPr>
          <w:p w14:paraId="21127EF6">
            <w:pPr>
              <w:jc w:val="center"/>
              <w:rPr>
                <w:sz w:val="22"/>
                <w:szCs w:val="22"/>
              </w:rPr>
            </w:pPr>
          </w:p>
        </w:tc>
        <w:tc>
          <w:tcPr>
            <w:tcW w:w="944" w:type="dxa"/>
            <w:vMerge w:val="continue"/>
            <w:vAlign w:val="center"/>
          </w:tcPr>
          <w:p w14:paraId="5D9D635B">
            <w:pPr>
              <w:jc w:val="center"/>
              <w:rPr>
                <w:sz w:val="22"/>
                <w:szCs w:val="22"/>
              </w:rPr>
            </w:pPr>
          </w:p>
        </w:tc>
        <w:tc>
          <w:tcPr>
            <w:tcW w:w="1116" w:type="dxa"/>
            <w:vAlign w:val="center"/>
          </w:tcPr>
          <w:p w14:paraId="79F9788A">
            <w:pPr>
              <w:jc w:val="center"/>
              <w:rPr>
                <w:sz w:val="22"/>
                <w:szCs w:val="22"/>
              </w:rPr>
            </w:pPr>
            <w:r>
              <w:rPr>
                <w:sz w:val="22"/>
                <w:szCs w:val="22"/>
              </w:rPr>
              <w:t>33</w:t>
            </w:r>
          </w:p>
        </w:tc>
        <w:tc>
          <w:tcPr>
            <w:tcW w:w="1010" w:type="dxa"/>
            <w:vAlign w:val="center"/>
          </w:tcPr>
          <w:p w14:paraId="72924835">
            <w:pPr>
              <w:jc w:val="center"/>
              <w:rPr>
                <w:sz w:val="22"/>
                <w:szCs w:val="22"/>
              </w:rPr>
            </w:pPr>
            <w:r>
              <w:rPr>
                <w:sz w:val="22"/>
                <w:szCs w:val="22"/>
              </w:rPr>
              <w:t>90,00</w:t>
            </w:r>
          </w:p>
        </w:tc>
        <w:tc>
          <w:tcPr>
            <w:tcW w:w="1591" w:type="dxa"/>
            <w:vAlign w:val="center"/>
          </w:tcPr>
          <w:p w14:paraId="70E8FFAE">
            <w:pPr>
              <w:jc w:val="center"/>
              <w:rPr>
                <w:sz w:val="22"/>
                <w:szCs w:val="22"/>
              </w:rPr>
            </w:pPr>
            <w:r>
              <w:rPr>
                <w:sz w:val="22"/>
                <w:szCs w:val="22"/>
              </w:rPr>
              <w:t>855.000.000</w:t>
            </w:r>
          </w:p>
        </w:tc>
        <w:tc>
          <w:tcPr>
            <w:tcW w:w="1700" w:type="dxa"/>
            <w:vAlign w:val="center"/>
          </w:tcPr>
          <w:p w14:paraId="35A59BBD">
            <w:pPr>
              <w:jc w:val="center"/>
              <w:rPr>
                <w:sz w:val="22"/>
                <w:szCs w:val="22"/>
              </w:rPr>
            </w:pPr>
            <w:r>
              <w:rPr>
                <w:sz w:val="22"/>
                <w:szCs w:val="22"/>
              </w:rPr>
              <w:t>1.340.000.000</w:t>
            </w:r>
          </w:p>
        </w:tc>
        <w:tc>
          <w:tcPr>
            <w:tcW w:w="1140" w:type="dxa"/>
            <w:noWrap/>
            <w:vAlign w:val="center"/>
          </w:tcPr>
          <w:p w14:paraId="2D54804C">
            <w:pPr>
              <w:jc w:val="center"/>
              <w:rPr>
                <w:sz w:val="22"/>
                <w:szCs w:val="22"/>
              </w:rPr>
            </w:pPr>
            <w:r>
              <w:rPr>
                <w:sz w:val="22"/>
                <w:szCs w:val="22"/>
              </w:rPr>
              <w:t>1,57%</w:t>
            </w:r>
          </w:p>
        </w:tc>
      </w:tr>
      <w:tr w14:paraId="1F9D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2717D61">
            <w:pPr>
              <w:jc w:val="center"/>
              <w:rPr>
                <w:sz w:val="22"/>
                <w:szCs w:val="22"/>
              </w:rPr>
            </w:pPr>
            <w:r>
              <w:rPr>
                <w:sz w:val="22"/>
                <w:szCs w:val="22"/>
              </w:rPr>
              <w:t>99</w:t>
            </w:r>
          </w:p>
        </w:tc>
        <w:tc>
          <w:tcPr>
            <w:tcW w:w="1752" w:type="dxa"/>
            <w:noWrap/>
            <w:vAlign w:val="center"/>
          </w:tcPr>
          <w:p w14:paraId="56E3B213">
            <w:pPr>
              <w:jc w:val="center"/>
              <w:rPr>
                <w:sz w:val="22"/>
                <w:szCs w:val="22"/>
              </w:rPr>
            </w:pPr>
          </w:p>
        </w:tc>
        <w:tc>
          <w:tcPr>
            <w:tcW w:w="944" w:type="dxa"/>
            <w:vMerge w:val="continue"/>
            <w:vAlign w:val="center"/>
          </w:tcPr>
          <w:p w14:paraId="783379D0">
            <w:pPr>
              <w:jc w:val="center"/>
              <w:rPr>
                <w:sz w:val="22"/>
                <w:szCs w:val="22"/>
              </w:rPr>
            </w:pPr>
          </w:p>
        </w:tc>
        <w:tc>
          <w:tcPr>
            <w:tcW w:w="1116" w:type="dxa"/>
            <w:vAlign w:val="center"/>
          </w:tcPr>
          <w:p w14:paraId="69D51B85">
            <w:pPr>
              <w:jc w:val="center"/>
              <w:rPr>
                <w:sz w:val="22"/>
                <w:szCs w:val="22"/>
              </w:rPr>
            </w:pPr>
            <w:r>
              <w:rPr>
                <w:sz w:val="22"/>
                <w:szCs w:val="22"/>
              </w:rPr>
              <w:t>34</w:t>
            </w:r>
          </w:p>
        </w:tc>
        <w:tc>
          <w:tcPr>
            <w:tcW w:w="1010" w:type="dxa"/>
            <w:vAlign w:val="center"/>
          </w:tcPr>
          <w:p w14:paraId="2F8D9A01">
            <w:pPr>
              <w:jc w:val="center"/>
              <w:rPr>
                <w:sz w:val="22"/>
                <w:szCs w:val="22"/>
              </w:rPr>
            </w:pPr>
            <w:r>
              <w:rPr>
                <w:sz w:val="22"/>
                <w:szCs w:val="22"/>
              </w:rPr>
              <w:t>90,00</w:t>
            </w:r>
          </w:p>
        </w:tc>
        <w:tc>
          <w:tcPr>
            <w:tcW w:w="1591" w:type="dxa"/>
            <w:vAlign w:val="center"/>
          </w:tcPr>
          <w:p w14:paraId="6659E649">
            <w:pPr>
              <w:jc w:val="center"/>
              <w:rPr>
                <w:sz w:val="22"/>
                <w:szCs w:val="22"/>
              </w:rPr>
            </w:pPr>
            <w:r>
              <w:rPr>
                <w:sz w:val="22"/>
                <w:szCs w:val="22"/>
              </w:rPr>
              <w:t>855.000.000</w:t>
            </w:r>
          </w:p>
        </w:tc>
        <w:tc>
          <w:tcPr>
            <w:tcW w:w="1700" w:type="dxa"/>
            <w:vAlign w:val="center"/>
          </w:tcPr>
          <w:p w14:paraId="21E47B21">
            <w:pPr>
              <w:jc w:val="center"/>
              <w:rPr>
                <w:sz w:val="22"/>
                <w:szCs w:val="22"/>
              </w:rPr>
            </w:pPr>
            <w:r>
              <w:rPr>
                <w:sz w:val="22"/>
                <w:szCs w:val="22"/>
              </w:rPr>
              <w:t>1.248.000.000</w:t>
            </w:r>
          </w:p>
        </w:tc>
        <w:tc>
          <w:tcPr>
            <w:tcW w:w="1140" w:type="dxa"/>
            <w:noWrap/>
            <w:vAlign w:val="center"/>
          </w:tcPr>
          <w:p w14:paraId="55545716">
            <w:pPr>
              <w:jc w:val="center"/>
              <w:rPr>
                <w:sz w:val="22"/>
                <w:szCs w:val="22"/>
              </w:rPr>
            </w:pPr>
            <w:r>
              <w:rPr>
                <w:sz w:val="22"/>
                <w:szCs w:val="22"/>
              </w:rPr>
              <w:t>1,46%</w:t>
            </w:r>
          </w:p>
        </w:tc>
      </w:tr>
      <w:tr w14:paraId="44D7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2D0337C">
            <w:pPr>
              <w:jc w:val="center"/>
              <w:rPr>
                <w:sz w:val="22"/>
                <w:szCs w:val="22"/>
              </w:rPr>
            </w:pPr>
            <w:r>
              <w:rPr>
                <w:sz w:val="22"/>
                <w:szCs w:val="22"/>
              </w:rPr>
              <w:t>100</w:t>
            </w:r>
          </w:p>
        </w:tc>
        <w:tc>
          <w:tcPr>
            <w:tcW w:w="1752" w:type="dxa"/>
            <w:noWrap/>
            <w:vAlign w:val="center"/>
          </w:tcPr>
          <w:p w14:paraId="0853D106">
            <w:pPr>
              <w:jc w:val="center"/>
              <w:rPr>
                <w:sz w:val="22"/>
                <w:szCs w:val="22"/>
              </w:rPr>
            </w:pPr>
          </w:p>
        </w:tc>
        <w:tc>
          <w:tcPr>
            <w:tcW w:w="944" w:type="dxa"/>
            <w:vMerge w:val="continue"/>
            <w:vAlign w:val="center"/>
          </w:tcPr>
          <w:p w14:paraId="128696C5">
            <w:pPr>
              <w:jc w:val="center"/>
              <w:rPr>
                <w:sz w:val="22"/>
                <w:szCs w:val="22"/>
              </w:rPr>
            </w:pPr>
          </w:p>
        </w:tc>
        <w:tc>
          <w:tcPr>
            <w:tcW w:w="1116" w:type="dxa"/>
            <w:vAlign w:val="center"/>
          </w:tcPr>
          <w:p w14:paraId="5052C7E4">
            <w:pPr>
              <w:jc w:val="center"/>
              <w:rPr>
                <w:sz w:val="22"/>
                <w:szCs w:val="22"/>
              </w:rPr>
            </w:pPr>
            <w:r>
              <w:rPr>
                <w:sz w:val="22"/>
                <w:szCs w:val="22"/>
              </w:rPr>
              <w:t>35</w:t>
            </w:r>
          </w:p>
        </w:tc>
        <w:tc>
          <w:tcPr>
            <w:tcW w:w="1010" w:type="dxa"/>
            <w:vAlign w:val="center"/>
          </w:tcPr>
          <w:p w14:paraId="12CB5999">
            <w:pPr>
              <w:jc w:val="center"/>
              <w:rPr>
                <w:sz w:val="22"/>
                <w:szCs w:val="22"/>
              </w:rPr>
            </w:pPr>
            <w:r>
              <w:rPr>
                <w:sz w:val="22"/>
                <w:szCs w:val="22"/>
              </w:rPr>
              <w:t>90,00</w:t>
            </w:r>
          </w:p>
        </w:tc>
        <w:tc>
          <w:tcPr>
            <w:tcW w:w="1591" w:type="dxa"/>
            <w:vAlign w:val="center"/>
          </w:tcPr>
          <w:p w14:paraId="1E39039F">
            <w:pPr>
              <w:jc w:val="center"/>
              <w:rPr>
                <w:sz w:val="22"/>
                <w:szCs w:val="22"/>
              </w:rPr>
            </w:pPr>
            <w:r>
              <w:rPr>
                <w:sz w:val="22"/>
                <w:szCs w:val="22"/>
              </w:rPr>
              <w:t>855.000.000</w:t>
            </w:r>
          </w:p>
        </w:tc>
        <w:tc>
          <w:tcPr>
            <w:tcW w:w="1700" w:type="dxa"/>
            <w:vAlign w:val="center"/>
          </w:tcPr>
          <w:p w14:paraId="0C4CB7B7">
            <w:pPr>
              <w:jc w:val="center"/>
              <w:rPr>
                <w:sz w:val="22"/>
                <w:szCs w:val="22"/>
              </w:rPr>
            </w:pPr>
            <w:r>
              <w:rPr>
                <w:sz w:val="22"/>
                <w:szCs w:val="22"/>
              </w:rPr>
              <w:t>1.318.000.000</w:t>
            </w:r>
          </w:p>
        </w:tc>
        <w:tc>
          <w:tcPr>
            <w:tcW w:w="1140" w:type="dxa"/>
            <w:noWrap/>
            <w:vAlign w:val="center"/>
          </w:tcPr>
          <w:p w14:paraId="7630AFDC">
            <w:pPr>
              <w:jc w:val="center"/>
              <w:rPr>
                <w:sz w:val="22"/>
                <w:szCs w:val="22"/>
              </w:rPr>
            </w:pPr>
            <w:r>
              <w:rPr>
                <w:sz w:val="22"/>
                <w:szCs w:val="22"/>
              </w:rPr>
              <w:t>1,54%</w:t>
            </w:r>
          </w:p>
        </w:tc>
      </w:tr>
      <w:tr w14:paraId="72C0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8ED7FCF">
            <w:pPr>
              <w:jc w:val="center"/>
              <w:rPr>
                <w:sz w:val="22"/>
                <w:szCs w:val="22"/>
              </w:rPr>
            </w:pPr>
            <w:r>
              <w:rPr>
                <w:sz w:val="22"/>
                <w:szCs w:val="22"/>
              </w:rPr>
              <w:t>101</w:t>
            </w:r>
          </w:p>
        </w:tc>
        <w:tc>
          <w:tcPr>
            <w:tcW w:w="1752" w:type="dxa"/>
            <w:noWrap/>
            <w:vAlign w:val="center"/>
          </w:tcPr>
          <w:p w14:paraId="6A4CF2D3">
            <w:pPr>
              <w:jc w:val="center"/>
              <w:rPr>
                <w:sz w:val="22"/>
                <w:szCs w:val="22"/>
              </w:rPr>
            </w:pPr>
          </w:p>
        </w:tc>
        <w:tc>
          <w:tcPr>
            <w:tcW w:w="944" w:type="dxa"/>
            <w:vMerge w:val="continue"/>
            <w:vAlign w:val="center"/>
          </w:tcPr>
          <w:p w14:paraId="250C858F">
            <w:pPr>
              <w:jc w:val="center"/>
              <w:rPr>
                <w:sz w:val="22"/>
                <w:szCs w:val="22"/>
              </w:rPr>
            </w:pPr>
          </w:p>
        </w:tc>
        <w:tc>
          <w:tcPr>
            <w:tcW w:w="1116" w:type="dxa"/>
            <w:vAlign w:val="center"/>
          </w:tcPr>
          <w:p w14:paraId="6C6C90EB">
            <w:pPr>
              <w:jc w:val="center"/>
              <w:rPr>
                <w:sz w:val="22"/>
                <w:szCs w:val="22"/>
              </w:rPr>
            </w:pPr>
            <w:r>
              <w:rPr>
                <w:sz w:val="22"/>
                <w:szCs w:val="22"/>
              </w:rPr>
              <w:t>36</w:t>
            </w:r>
          </w:p>
        </w:tc>
        <w:tc>
          <w:tcPr>
            <w:tcW w:w="1010" w:type="dxa"/>
            <w:vAlign w:val="center"/>
          </w:tcPr>
          <w:p w14:paraId="1C007CA3">
            <w:pPr>
              <w:jc w:val="center"/>
              <w:rPr>
                <w:sz w:val="22"/>
                <w:szCs w:val="22"/>
              </w:rPr>
            </w:pPr>
            <w:r>
              <w:rPr>
                <w:sz w:val="22"/>
                <w:szCs w:val="22"/>
              </w:rPr>
              <w:t>90,00</w:t>
            </w:r>
          </w:p>
        </w:tc>
        <w:tc>
          <w:tcPr>
            <w:tcW w:w="1591" w:type="dxa"/>
            <w:vAlign w:val="center"/>
          </w:tcPr>
          <w:p w14:paraId="59BA3708">
            <w:pPr>
              <w:jc w:val="center"/>
              <w:rPr>
                <w:sz w:val="22"/>
                <w:szCs w:val="22"/>
              </w:rPr>
            </w:pPr>
            <w:r>
              <w:rPr>
                <w:sz w:val="22"/>
                <w:szCs w:val="22"/>
              </w:rPr>
              <w:t>855.000.000</w:t>
            </w:r>
          </w:p>
        </w:tc>
        <w:tc>
          <w:tcPr>
            <w:tcW w:w="1700" w:type="dxa"/>
            <w:vAlign w:val="center"/>
          </w:tcPr>
          <w:p w14:paraId="57DE0220">
            <w:pPr>
              <w:jc w:val="center"/>
              <w:rPr>
                <w:sz w:val="22"/>
                <w:szCs w:val="22"/>
              </w:rPr>
            </w:pPr>
            <w:r>
              <w:rPr>
                <w:sz w:val="22"/>
                <w:szCs w:val="22"/>
              </w:rPr>
              <w:t>1.250.000.000</w:t>
            </w:r>
          </w:p>
        </w:tc>
        <w:tc>
          <w:tcPr>
            <w:tcW w:w="1140" w:type="dxa"/>
            <w:noWrap/>
            <w:vAlign w:val="center"/>
          </w:tcPr>
          <w:p w14:paraId="7B0465C1">
            <w:pPr>
              <w:jc w:val="center"/>
              <w:rPr>
                <w:sz w:val="22"/>
                <w:szCs w:val="22"/>
              </w:rPr>
            </w:pPr>
            <w:r>
              <w:rPr>
                <w:sz w:val="22"/>
                <w:szCs w:val="22"/>
              </w:rPr>
              <w:t>1,46%</w:t>
            </w:r>
          </w:p>
        </w:tc>
      </w:tr>
      <w:tr w14:paraId="2123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2A21B45">
            <w:pPr>
              <w:jc w:val="center"/>
              <w:rPr>
                <w:sz w:val="22"/>
                <w:szCs w:val="22"/>
              </w:rPr>
            </w:pPr>
            <w:r>
              <w:rPr>
                <w:sz w:val="22"/>
                <w:szCs w:val="22"/>
              </w:rPr>
              <w:t>102</w:t>
            </w:r>
          </w:p>
        </w:tc>
        <w:tc>
          <w:tcPr>
            <w:tcW w:w="1752" w:type="dxa"/>
            <w:noWrap/>
            <w:vAlign w:val="center"/>
          </w:tcPr>
          <w:p w14:paraId="7FFD21C5">
            <w:pPr>
              <w:jc w:val="center"/>
              <w:rPr>
                <w:sz w:val="22"/>
                <w:szCs w:val="22"/>
              </w:rPr>
            </w:pPr>
          </w:p>
        </w:tc>
        <w:tc>
          <w:tcPr>
            <w:tcW w:w="944" w:type="dxa"/>
            <w:vMerge w:val="continue"/>
            <w:vAlign w:val="center"/>
          </w:tcPr>
          <w:p w14:paraId="2D057E80">
            <w:pPr>
              <w:jc w:val="center"/>
              <w:rPr>
                <w:sz w:val="22"/>
                <w:szCs w:val="22"/>
              </w:rPr>
            </w:pPr>
          </w:p>
        </w:tc>
        <w:tc>
          <w:tcPr>
            <w:tcW w:w="1116" w:type="dxa"/>
            <w:vAlign w:val="center"/>
          </w:tcPr>
          <w:p w14:paraId="46D2B8C2">
            <w:pPr>
              <w:jc w:val="center"/>
              <w:rPr>
                <w:sz w:val="22"/>
                <w:szCs w:val="22"/>
              </w:rPr>
            </w:pPr>
            <w:r>
              <w:rPr>
                <w:sz w:val="22"/>
                <w:szCs w:val="22"/>
              </w:rPr>
              <w:t>37</w:t>
            </w:r>
          </w:p>
        </w:tc>
        <w:tc>
          <w:tcPr>
            <w:tcW w:w="1010" w:type="dxa"/>
            <w:vAlign w:val="center"/>
          </w:tcPr>
          <w:p w14:paraId="1D06D687">
            <w:pPr>
              <w:jc w:val="center"/>
              <w:rPr>
                <w:sz w:val="22"/>
                <w:szCs w:val="22"/>
              </w:rPr>
            </w:pPr>
            <w:r>
              <w:rPr>
                <w:sz w:val="22"/>
                <w:szCs w:val="22"/>
              </w:rPr>
              <w:t>90,00</w:t>
            </w:r>
          </w:p>
        </w:tc>
        <w:tc>
          <w:tcPr>
            <w:tcW w:w="1591" w:type="dxa"/>
            <w:vAlign w:val="center"/>
          </w:tcPr>
          <w:p w14:paraId="2A60A9AC">
            <w:pPr>
              <w:jc w:val="center"/>
              <w:rPr>
                <w:sz w:val="22"/>
                <w:szCs w:val="22"/>
              </w:rPr>
            </w:pPr>
            <w:r>
              <w:rPr>
                <w:sz w:val="22"/>
                <w:szCs w:val="22"/>
              </w:rPr>
              <w:t>855.000.000</w:t>
            </w:r>
          </w:p>
        </w:tc>
        <w:tc>
          <w:tcPr>
            <w:tcW w:w="1700" w:type="dxa"/>
            <w:vAlign w:val="center"/>
          </w:tcPr>
          <w:p w14:paraId="595A00E7">
            <w:pPr>
              <w:jc w:val="center"/>
              <w:rPr>
                <w:sz w:val="22"/>
                <w:szCs w:val="22"/>
              </w:rPr>
            </w:pPr>
            <w:r>
              <w:rPr>
                <w:sz w:val="22"/>
                <w:szCs w:val="22"/>
              </w:rPr>
              <w:t>1.339.000.000</w:t>
            </w:r>
          </w:p>
        </w:tc>
        <w:tc>
          <w:tcPr>
            <w:tcW w:w="1140" w:type="dxa"/>
            <w:noWrap/>
            <w:vAlign w:val="center"/>
          </w:tcPr>
          <w:p w14:paraId="6CE17A74">
            <w:pPr>
              <w:jc w:val="center"/>
              <w:rPr>
                <w:sz w:val="22"/>
                <w:szCs w:val="22"/>
              </w:rPr>
            </w:pPr>
            <w:r>
              <w:rPr>
                <w:sz w:val="22"/>
                <w:szCs w:val="22"/>
              </w:rPr>
              <w:t>1,57%</w:t>
            </w:r>
          </w:p>
        </w:tc>
      </w:tr>
      <w:tr w14:paraId="7D19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DEAB268">
            <w:pPr>
              <w:jc w:val="center"/>
              <w:rPr>
                <w:sz w:val="22"/>
                <w:szCs w:val="22"/>
              </w:rPr>
            </w:pPr>
            <w:r>
              <w:rPr>
                <w:sz w:val="22"/>
                <w:szCs w:val="22"/>
              </w:rPr>
              <w:t>103</w:t>
            </w:r>
          </w:p>
        </w:tc>
        <w:tc>
          <w:tcPr>
            <w:tcW w:w="1752" w:type="dxa"/>
            <w:noWrap/>
            <w:vAlign w:val="center"/>
          </w:tcPr>
          <w:p w14:paraId="5FCB296E">
            <w:pPr>
              <w:jc w:val="center"/>
              <w:rPr>
                <w:sz w:val="22"/>
                <w:szCs w:val="22"/>
              </w:rPr>
            </w:pPr>
          </w:p>
        </w:tc>
        <w:tc>
          <w:tcPr>
            <w:tcW w:w="944" w:type="dxa"/>
            <w:vMerge w:val="continue"/>
            <w:vAlign w:val="center"/>
          </w:tcPr>
          <w:p w14:paraId="10013F4D">
            <w:pPr>
              <w:jc w:val="center"/>
              <w:rPr>
                <w:sz w:val="22"/>
                <w:szCs w:val="22"/>
              </w:rPr>
            </w:pPr>
          </w:p>
        </w:tc>
        <w:tc>
          <w:tcPr>
            <w:tcW w:w="1116" w:type="dxa"/>
            <w:vAlign w:val="center"/>
          </w:tcPr>
          <w:p w14:paraId="1AE61463">
            <w:pPr>
              <w:jc w:val="center"/>
              <w:rPr>
                <w:sz w:val="22"/>
                <w:szCs w:val="22"/>
              </w:rPr>
            </w:pPr>
            <w:r>
              <w:rPr>
                <w:sz w:val="22"/>
                <w:szCs w:val="22"/>
              </w:rPr>
              <w:t>38</w:t>
            </w:r>
          </w:p>
        </w:tc>
        <w:tc>
          <w:tcPr>
            <w:tcW w:w="1010" w:type="dxa"/>
            <w:vAlign w:val="center"/>
          </w:tcPr>
          <w:p w14:paraId="07A8E246">
            <w:pPr>
              <w:jc w:val="center"/>
              <w:rPr>
                <w:sz w:val="22"/>
                <w:szCs w:val="22"/>
              </w:rPr>
            </w:pPr>
            <w:r>
              <w:rPr>
                <w:sz w:val="22"/>
                <w:szCs w:val="22"/>
              </w:rPr>
              <w:t>90,00</w:t>
            </w:r>
          </w:p>
        </w:tc>
        <w:tc>
          <w:tcPr>
            <w:tcW w:w="1591" w:type="dxa"/>
            <w:vAlign w:val="center"/>
          </w:tcPr>
          <w:p w14:paraId="74FD55C4">
            <w:pPr>
              <w:jc w:val="center"/>
              <w:rPr>
                <w:sz w:val="22"/>
                <w:szCs w:val="22"/>
              </w:rPr>
            </w:pPr>
            <w:r>
              <w:rPr>
                <w:sz w:val="22"/>
                <w:szCs w:val="22"/>
              </w:rPr>
              <w:t>855.000.000</w:t>
            </w:r>
          </w:p>
        </w:tc>
        <w:tc>
          <w:tcPr>
            <w:tcW w:w="1700" w:type="dxa"/>
            <w:vAlign w:val="center"/>
          </w:tcPr>
          <w:p w14:paraId="35D04534">
            <w:pPr>
              <w:jc w:val="center"/>
              <w:rPr>
                <w:sz w:val="22"/>
                <w:szCs w:val="22"/>
              </w:rPr>
            </w:pPr>
            <w:r>
              <w:rPr>
                <w:sz w:val="22"/>
                <w:szCs w:val="22"/>
              </w:rPr>
              <w:t>1.370.000.000</w:t>
            </w:r>
          </w:p>
        </w:tc>
        <w:tc>
          <w:tcPr>
            <w:tcW w:w="1140" w:type="dxa"/>
            <w:noWrap/>
            <w:vAlign w:val="center"/>
          </w:tcPr>
          <w:p w14:paraId="11FB9F41">
            <w:pPr>
              <w:jc w:val="center"/>
              <w:rPr>
                <w:sz w:val="22"/>
                <w:szCs w:val="22"/>
              </w:rPr>
            </w:pPr>
            <w:r>
              <w:rPr>
                <w:sz w:val="22"/>
                <w:szCs w:val="22"/>
              </w:rPr>
              <w:t>1,60%</w:t>
            </w:r>
          </w:p>
        </w:tc>
      </w:tr>
      <w:tr w14:paraId="2339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CA23480">
            <w:pPr>
              <w:jc w:val="center"/>
              <w:rPr>
                <w:sz w:val="22"/>
                <w:szCs w:val="22"/>
              </w:rPr>
            </w:pPr>
            <w:r>
              <w:rPr>
                <w:sz w:val="22"/>
                <w:szCs w:val="22"/>
              </w:rPr>
              <w:t>104</w:t>
            </w:r>
          </w:p>
        </w:tc>
        <w:tc>
          <w:tcPr>
            <w:tcW w:w="1752" w:type="dxa"/>
            <w:noWrap/>
            <w:vAlign w:val="center"/>
          </w:tcPr>
          <w:p w14:paraId="05C4E380">
            <w:pPr>
              <w:jc w:val="center"/>
              <w:rPr>
                <w:sz w:val="22"/>
                <w:szCs w:val="22"/>
              </w:rPr>
            </w:pPr>
          </w:p>
        </w:tc>
        <w:tc>
          <w:tcPr>
            <w:tcW w:w="944" w:type="dxa"/>
            <w:vMerge w:val="continue"/>
            <w:vAlign w:val="center"/>
          </w:tcPr>
          <w:p w14:paraId="6D586689">
            <w:pPr>
              <w:jc w:val="center"/>
              <w:rPr>
                <w:sz w:val="22"/>
                <w:szCs w:val="22"/>
              </w:rPr>
            </w:pPr>
          </w:p>
        </w:tc>
        <w:tc>
          <w:tcPr>
            <w:tcW w:w="1116" w:type="dxa"/>
            <w:vAlign w:val="center"/>
          </w:tcPr>
          <w:p w14:paraId="73628915">
            <w:pPr>
              <w:jc w:val="center"/>
              <w:rPr>
                <w:sz w:val="22"/>
                <w:szCs w:val="22"/>
              </w:rPr>
            </w:pPr>
            <w:r>
              <w:rPr>
                <w:sz w:val="22"/>
                <w:szCs w:val="22"/>
              </w:rPr>
              <w:t>39</w:t>
            </w:r>
          </w:p>
        </w:tc>
        <w:tc>
          <w:tcPr>
            <w:tcW w:w="1010" w:type="dxa"/>
            <w:vAlign w:val="center"/>
          </w:tcPr>
          <w:p w14:paraId="2631D973">
            <w:pPr>
              <w:jc w:val="center"/>
              <w:rPr>
                <w:sz w:val="22"/>
                <w:szCs w:val="22"/>
              </w:rPr>
            </w:pPr>
            <w:r>
              <w:rPr>
                <w:sz w:val="22"/>
                <w:szCs w:val="22"/>
              </w:rPr>
              <w:t>90,00</w:t>
            </w:r>
          </w:p>
        </w:tc>
        <w:tc>
          <w:tcPr>
            <w:tcW w:w="1591" w:type="dxa"/>
            <w:vAlign w:val="center"/>
          </w:tcPr>
          <w:p w14:paraId="616FDD21">
            <w:pPr>
              <w:jc w:val="center"/>
              <w:rPr>
                <w:sz w:val="22"/>
                <w:szCs w:val="22"/>
              </w:rPr>
            </w:pPr>
            <w:r>
              <w:rPr>
                <w:sz w:val="22"/>
                <w:szCs w:val="22"/>
              </w:rPr>
              <w:t>855.000.000</w:t>
            </w:r>
          </w:p>
        </w:tc>
        <w:tc>
          <w:tcPr>
            <w:tcW w:w="1700" w:type="dxa"/>
            <w:vAlign w:val="center"/>
          </w:tcPr>
          <w:p w14:paraId="1B83185A">
            <w:pPr>
              <w:jc w:val="center"/>
              <w:rPr>
                <w:sz w:val="22"/>
                <w:szCs w:val="22"/>
              </w:rPr>
            </w:pPr>
            <w:r>
              <w:rPr>
                <w:sz w:val="22"/>
                <w:szCs w:val="22"/>
              </w:rPr>
              <w:t>1.365.000.000</w:t>
            </w:r>
          </w:p>
        </w:tc>
        <w:tc>
          <w:tcPr>
            <w:tcW w:w="1140" w:type="dxa"/>
            <w:noWrap/>
            <w:vAlign w:val="center"/>
          </w:tcPr>
          <w:p w14:paraId="0F49F49D">
            <w:pPr>
              <w:jc w:val="center"/>
              <w:rPr>
                <w:sz w:val="22"/>
                <w:szCs w:val="22"/>
              </w:rPr>
            </w:pPr>
            <w:r>
              <w:rPr>
                <w:sz w:val="22"/>
                <w:szCs w:val="22"/>
              </w:rPr>
              <w:t>1,60%</w:t>
            </w:r>
          </w:p>
        </w:tc>
      </w:tr>
      <w:tr w14:paraId="4150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DC0FD44">
            <w:pPr>
              <w:jc w:val="center"/>
              <w:rPr>
                <w:sz w:val="22"/>
                <w:szCs w:val="22"/>
              </w:rPr>
            </w:pPr>
            <w:r>
              <w:rPr>
                <w:sz w:val="22"/>
                <w:szCs w:val="22"/>
              </w:rPr>
              <w:t>105</w:t>
            </w:r>
          </w:p>
        </w:tc>
        <w:tc>
          <w:tcPr>
            <w:tcW w:w="1752" w:type="dxa"/>
            <w:noWrap/>
            <w:vAlign w:val="center"/>
          </w:tcPr>
          <w:p w14:paraId="6FC1261E">
            <w:pPr>
              <w:jc w:val="center"/>
              <w:rPr>
                <w:sz w:val="22"/>
                <w:szCs w:val="22"/>
              </w:rPr>
            </w:pPr>
          </w:p>
        </w:tc>
        <w:tc>
          <w:tcPr>
            <w:tcW w:w="944" w:type="dxa"/>
            <w:vMerge w:val="continue"/>
            <w:vAlign w:val="center"/>
          </w:tcPr>
          <w:p w14:paraId="5FE03605">
            <w:pPr>
              <w:jc w:val="center"/>
              <w:rPr>
                <w:sz w:val="22"/>
                <w:szCs w:val="22"/>
              </w:rPr>
            </w:pPr>
          </w:p>
        </w:tc>
        <w:tc>
          <w:tcPr>
            <w:tcW w:w="1116" w:type="dxa"/>
            <w:vAlign w:val="center"/>
          </w:tcPr>
          <w:p w14:paraId="37855806">
            <w:pPr>
              <w:jc w:val="center"/>
              <w:rPr>
                <w:sz w:val="22"/>
                <w:szCs w:val="22"/>
              </w:rPr>
            </w:pPr>
            <w:r>
              <w:rPr>
                <w:sz w:val="22"/>
                <w:szCs w:val="22"/>
              </w:rPr>
              <w:t>40</w:t>
            </w:r>
          </w:p>
        </w:tc>
        <w:tc>
          <w:tcPr>
            <w:tcW w:w="1010" w:type="dxa"/>
            <w:vAlign w:val="center"/>
          </w:tcPr>
          <w:p w14:paraId="118EC1D6">
            <w:pPr>
              <w:jc w:val="center"/>
              <w:rPr>
                <w:sz w:val="22"/>
                <w:szCs w:val="22"/>
              </w:rPr>
            </w:pPr>
            <w:r>
              <w:rPr>
                <w:sz w:val="22"/>
                <w:szCs w:val="22"/>
              </w:rPr>
              <w:t>90,00</w:t>
            </w:r>
          </w:p>
        </w:tc>
        <w:tc>
          <w:tcPr>
            <w:tcW w:w="1591" w:type="dxa"/>
            <w:vAlign w:val="center"/>
          </w:tcPr>
          <w:p w14:paraId="2CAEF88C">
            <w:pPr>
              <w:jc w:val="center"/>
              <w:rPr>
                <w:sz w:val="22"/>
                <w:szCs w:val="22"/>
              </w:rPr>
            </w:pPr>
            <w:r>
              <w:rPr>
                <w:sz w:val="22"/>
                <w:szCs w:val="22"/>
              </w:rPr>
              <w:t>855.000.000</w:t>
            </w:r>
          </w:p>
        </w:tc>
        <w:tc>
          <w:tcPr>
            <w:tcW w:w="1700" w:type="dxa"/>
            <w:vAlign w:val="center"/>
          </w:tcPr>
          <w:p w14:paraId="4F81E97A">
            <w:pPr>
              <w:jc w:val="center"/>
              <w:rPr>
                <w:sz w:val="22"/>
                <w:szCs w:val="22"/>
              </w:rPr>
            </w:pPr>
            <w:r>
              <w:rPr>
                <w:sz w:val="22"/>
                <w:szCs w:val="22"/>
              </w:rPr>
              <w:t>1.419.000.000</w:t>
            </w:r>
          </w:p>
        </w:tc>
        <w:tc>
          <w:tcPr>
            <w:tcW w:w="1140" w:type="dxa"/>
            <w:noWrap/>
            <w:vAlign w:val="center"/>
          </w:tcPr>
          <w:p w14:paraId="45E6C643">
            <w:pPr>
              <w:jc w:val="center"/>
              <w:rPr>
                <w:sz w:val="22"/>
                <w:szCs w:val="22"/>
              </w:rPr>
            </w:pPr>
            <w:r>
              <w:rPr>
                <w:sz w:val="22"/>
                <w:szCs w:val="22"/>
              </w:rPr>
              <w:t>1,66%</w:t>
            </w:r>
          </w:p>
        </w:tc>
      </w:tr>
      <w:tr w14:paraId="5393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25A3A60">
            <w:pPr>
              <w:jc w:val="center"/>
              <w:rPr>
                <w:sz w:val="22"/>
                <w:szCs w:val="22"/>
              </w:rPr>
            </w:pPr>
            <w:r>
              <w:rPr>
                <w:sz w:val="22"/>
                <w:szCs w:val="22"/>
              </w:rPr>
              <w:t>106</w:t>
            </w:r>
          </w:p>
        </w:tc>
        <w:tc>
          <w:tcPr>
            <w:tcW w:w="1752" w:type="dxa"/>
            <w:noWrap/>
            <w:vAlign w:val="center"/>
          </w:tcPr>
          <w:p w14:paraId="6A7E64F7">
            <w:pPr>
              <w:jc w:val="center"/>
              <w:rPr>
                <w:sz w:val="22"/>
                <w:szCs w:val="22"/>
              </w:rPr>
            </w:pPr>
          </w:p>
        </w:tc>
        <w:tc>
          <w:tcPr>
            <w:tcW w:w="944" w:type="dxa"/>
            <w:vMerge w:val="continue"/>
            <w:vAlign w:val="center"/>
          </w:tcPr>
          <w:p w14:paraId="0DF44DBF">
            <w:pPr>
              <w:jc w:val="center"/>
              <w:rPr>
                <w:sz w:val="22"/>
                <w:szCs w:val="22"/>
              </w:rPr>
            </w:pPr>
          </w:p>
        </w:tc>
        <w:tc>
          <w:tcPr>
            <w:tcW w:w="1116" w:type="dxa"/>
            <w:vAlign w:val="center"/>
          </w:tcPr>
          <w:p w14:paraId="70574F15">
            <w:pPr>
              <w:jc w:val="center"/>
              <w:rPr>
                <w:sz w:val="22"/>
                <w:szCs w:val="22"/>
              </w:rPr>
            </w:pPr>
            <w:r>
              <w:rPr>
                <w:sz w:val="22"/>
                <w:szCs w:val="22"/>
              </w:rPr>
              <w:t>41</w:t>
            </w:r>
          </w:p>
        </w:tc>
        <w:tc>
          <w:tcPr>
            <w:tcW w:w="1010" w:type="dxa"/>
            <w:vAlign w:val="center"/>
          </w:tcPr>
          <w:p w14:paraId="6081C965">
            <w:pPr>
              <w:jc w:val="center"/>
              <w:rPr>
                <w:sz w:val="22"/>
                <w:szCs w:val="22"/>
              </w:rPr>
            </w:pPr>
            <w:r>
              <w:rPr>
                <w:sz w:val="22"/>
                <w:szCs w:val="22"/>
              </w:rPr>
              <w:t>90,00</w:t>
            </w:r>
          </w:p>
        </w:tc>
        <w:tc>
          <w:tcPr>
            <w:tcW w:w="1591" w:type="dxa"/>
            <w:vAlign w:val="center"/>
          </w:tcPr>
          <w:p w14:paraId="6E180FC4">
            <w:pPr>
              <w:jc w:val="center"/>
              <w:rPr>
                <w:sz w:val="22"/>
                <w:szCs w:val="22"/>
              </w:rPr>
            </w:pPr>
            <w:r>
              <w:rPr>
                <w:sz w:val="22"/>
                <w:szCs w:val="22"/>
              </w:rPr>
              <w:t>855.000.000</w:t>
            </w:r>
          </w:p>
        </w:tc>
        <w:tc>
          <w:tcPr>
            <w:tcW w:w="1700" w:type="dxa"/>
            <w:vAlign w:val="center"/>
          </w:tcPr>
          <w:p w14:paraId="2C21B782">
            <w:pPr>
              <w:jc w:val="center"/>
              <w:rPr>
                <w:sz w:val="22"/>
                <w:szCs w:val="22"/>
              </w:rPr>
            </w:pPr>
            <w:r>
              <w:rPr>
                <w:sz w:val="22"/>
                <w:szCs w:val="22"/>
              </w:rPr>
              <w:t>1.323.000.000</w:t>
            </w:r>
          </w:p>
        </w:tc>
        <w:tc>
          <w:tcPr>
            <w:tcW w:w="1140" w:type="dxa"/>
            <w:noWrap/>
            <w:vAlign w:val="center"/>
          </w:tcPr>
          <w:p w14:paraId="2489BFE2">
            <w:pPr>
              <w:jc w:val="center"/>
              <w:rPr>
                <w:sz w:val="22"/>
                <w:szCs w:val="22"/>
              </w:rPr>
            </w:pPr>
            <w:r>
              <w:rPr>
                <w:sz w:val="22"/>
                <w:szCs w:val="22"/>
              </w:rPr>
              <w:t>1,55%</w:t>
            </w:r>
          </w:p>
        </w:tc>
      </w:tr>
      <w:tr w14:paraId="5668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4AEB1ED7">
            <w:pPr>
              <w:jc w:val="center"/>
              <w:rPr>
                <w:sz w:val="22"/>
                <w:szCs w:val="22"/>
              </w:rPr>
            </w:pPr>
            <w:r>
              <w:rPr>
                <w:sz w:val="22"/>
                <w:szCs w:val="22"/>
              </w:rPr>
              <w:t>107</w:t>
            </w:r>
          </w:p>
        </w:tc>
        <w:tc>
          <w:tcPr>
            <w:tcW w:w="1752" w:type="dxa"/>
            <w:noWrap/>
            <w:vAlign w:val="center"/>
          </w:tcPr>
          <w:p w14:paraId="390AE823">
            <w:pPr>
              <w:jc w:val="center"/>
              <w:rPr>
                <w:sz w:val="22"/>
                <w:szCs w:val="22"/>
              </w:rPr>
            </w:pPr>
          </w:p>
        </w:tc>
        <w:tc>
          <w:tcPr>
            <w:tcW w:w="944" w:type="dxa"/>
            <w:vMerge w:val="continue"/>
            <w:vAlign w:val="center"/>
          </w:tcPr>
          <w:p w14:paraId="72784BDF">
            <w:pPr>
              <w:jc w:val="center"/>
              <w:rPr>
                <w:sz w:val="22"/>
                <w:szCs w:val="22"/>
              </w:rPr>
            </w:pPr>
          </w:p>
        </w:tc>
        <w:tc>
          <w:tcPr>
            <w:tcW w:w="1116" w:type="dxa"/>
            <w:vAlign w:val="center"/>
          </w:tcPr>
          <w:p w14:paraId="0C039CF5">
            <w:pPr>
              <w:jc w:val="center"/>
              <w:rPr>
                <w:sz w:val="22"/>
                <w:szCs w:val="22"/>
              </w:rPr>
            </w:pPr>
            <w:r>
              <w:rPr>
                <w:sz w:val="22"/>
                <w:szCs w:val="22"/>
              </w:rPr>
              <w:t>42</w:t>
            </w:r>
          </w:p>
        </w:tc>
        <w:tc>
          <w:tcPr>
            <w:tcW w:w="1010" w:type="dxa"/>
            <w:vAlign w:val="center"/>
          </w:tcPr>
          <w:p w14:paraId="01A908B2">
            <w:pPr>
              <w:jc w:val="center"/>
              <w:rPr>
                <w:sz w:val="22"/>
                <w:szCs w:val="22"/>
              </w:rPr>
            </w:pPr>
            <w:r>
              <w:rPr>
                <w:sz w:val="22"/>
                <w:szCs w:val="22"/>
              </w:rPr>
              <w:t>90,00</w:t>
            </w:r>
          </w:p>
        </w:tc>
        <w:tc>
          <w:tcPr>
            <w:tcW w:w="1591" w:type="dxa"/>
            <w:vAlign w:val="center"/>
          </w:tcPr>
          <w:p w14:paraId="4CBF5627">
            <w:pPr>
              <w:jc w:val="center"/>
              <w:rPr>
                <w:sz w:val="22"/>
                <w:szCs w:val="22"/>
              </w:rPr>
            </w:pPr>
            <w:r>
              <w:rPr>
                <w:sz w:val="22"/>
                <w:szCs w:val="22"/>
              </w:rPr>
              <w:t>855.000.000</w:t>
            </w:r>
          </w:p>
        </w:tc>
        <w:tc>
          <w:tcPr>
            <w:tcW w:w="1700" w:type="dxa"/>
            <w:vAlign w:val="center"/>
          </w:tcPr>
          <w:p w14:paraId="6358E691">
            <w:pPr>
              <w:jc w:val="center"/>
              <w:rPr>
                <w:sz w:val="22"/>
                <w:szCs w:val="22"/>
              </w:rPr>
            </w:pPr>
            <w:r>
              <w:rPr>
                <w:sz w:val="22"/>
                <w:szCs w:val="22"/>
              </w:rPr>
              <w:t>1.349.000.000</w:t>
            </w:r>
          </w:p>
        </w:tc>
        <w:tc>
          <w:tcPr>
            <w:tcW w:w="1140" w:type="dxa"/>
            <w:noWrap/>
            <w:vAlign w:val="center"/>
          </w:tcPr>
          <w:p w14:paraId="64922A28">
            <w:pPr>
              <w:jc w:val="center"/>
              <w:rPr>
                <w:sz w:val="22"/>
                <w:szCs w:val="22"/>
              </w:rPr>
            </w:pPr>
            <w:r>
              <w:rPr>
                <w:sz w:val="22"/>
                <w:szCs w:val="22"/>
              </w:rPr>
              <w:t>1,58%</w:t>
            </w:r>
          </w:p>
        </w:tc>
      </w:tr>
      <w:tr w14:paraId="0ABB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4974B5C">
            <w:pPr>
              <w:jc w:val="center"/>
              <w:rPr>
                <w:sz w:val="22"/>
                <w:szCs w:val="22"/>
              </w:rPr>
            </w:pPr>
            <w:r>
              <w:rPr>
                <w:sz w:val="22"/>
                <w:szCs w:val="22"/>
              </w:rPr>
              <w:t>108</w:t>
            </w:r>
          </w:p>
        </w:tc>
        <w:tc>
          <w:tcPr>
            <w:tcW w:w="1752" w:type="dxa"/>
            <w:noWrap/>
            <w:vAlign w:val="center"/>
          </w:tcPr>
          <w:p w14:paraId="6B32FCDC">
            <w:pPr>
              <w:jc w:val="center"/>
              <w:rPr>
                <w:sz w:val="22"/>
                <w:szCs w:val="22"/>
              </w:rPr>
            </w:pPr>
          </w:p>
        </w:tc>
        <w:tc>
          <w:tcPr>
            <w:tcW w:w="944" w:type="dxa"/>
            <w:vMerge w:val="continue"/>
            <w:vAlign w:val="center"/>
          </w:tcPr>
          <w:p w14:paraId="1E1B6841">
            <w:pPr>
              <w:jc w:val="center"/>
              <w:rPr>
                <w:sz w:val="22"/>
                <w:szCs w:val="22"/>
              </w:rPr>
            </w:pPr>
          </w:p>
        </w:tc>
        <w:tc>
          <w:tcPr>
            <w:tcW w:w="1116" w:type="dxa"/>
            <w:vAlign w:val="center"/>
          </w:tcPr>
          <w:p w14:paraId="1C7B417C">
            <w:pPr>
              <w:jc w:val="center"/>
              <w:rPr>
                <w:sz w:val="22"/>
                <w:szCs w:val="22"/>
              </w:rPr>
            </w:pPr>
            <w:r>
              <w:rPr>
                <w:sz w:val="22"/>
                <w:szCs w:val="22"/>
              </w:rPr>
              <w:t>43</w:t>
            </w:r>
          </w:p>
        </w:tc>
        <w:tc>
          <w:tcPr>
            <w:tcW w:w="1010" w:type="dxa"/>
            <w:vAlign w:val="center"/>
          </w:tcPr>
          <w:p w14:paraId="3F8BEA8B">
            <w:pPr>
              <w:jc w:val="center"/>
              <w:rPr>
                <w:sz w:val="22"/>
                <w:szCs w:val="22"/>
              </w:rPr>
            </w:pPr>
            <w:r>
              <w:rPr>
                <w:sz w:val="22"/>
                <w:szCs w:val="22"/>
              </w:rPr>
              <w:t>90,00</w:t>
            </w:r>
          </w:p>
        </w:tc>
        <w:tc>
          <w:tcPr>
            <w:tcW w:w="1591" w:type="dxa"/>
            <w:vAlign w:val="center"/>
          </w:tcPr>
          <w:p w14:paraId="75B1AEAF">
            <w:pPr>
              <w:jc w:val="center"/>
              <w:rPr>
                <w:sz w:val="22"/>
                <w:szCs w:val="22"/>
              </w:rPr>
            </w:pPr>
            <w:r>
              <w:rPr>
                <w:sz w:val="22"/>
                <w:szCs w:val="22"/>
              </w:rPr>
              <w:t>855.000.000</w:t>
            </w:r>
          </w:p>
        </w:tc>
        <w:tc>
          <w:tcPr>
            <w:tcW w:w="1700" w:type="dxa"/>
            <w:vAlign w:val="center"/>
          </w:tcPr>
          <w:p w14:paraId="3C8767C2">
            <w:pPr>
              <w:jc w:val="center"/>
              <w:rPr>
                <w:sz w:val="22"/>
                <w:szCs w:val="22"/>
              </w:rPr>
            </w:pPr>
            <w:r>
              <w:rPr>
                <w:sz w:val="22"/>
                <w:szCs w:val="22"/>
              </w:rPr>
              <w:t>1.344.000.000</w:t>
            </w:r>
          </w:p>
        </w:tc>
        <w:tc>
          <w:tcPr>
            <w:tcW w:w="1140" w:type="dxa"/>
            <w:noWrap/>
            <w:vAlign w:val="center"/>
          </w:tcPr>
          <w:p w14:paraId="31A464CE">
            <w:pPr>
              <w:jc w:val="center"/>
              <w:rPr>
                <w:sz w:val="22"/>
                <w:szCs w:val="22"/>
              </w:rPr>
            </w:pPr>
            <w:r>
              <w:rPr>
                <w:sz w:val="22"/>
                <w:szCs w:val="22"/>
              </w:rPr>
              <w:t>1,57%</w:t>
            </w:r>
          </w:p>
        </w:tc>
      </w:tr>
      <w:tr w14:paraId="071F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8455CCA">
            <w:pPr>
              <w:jc w:val="center"/>
              <w:rPr>
                <w:sz w:val="22"/>
                <w:szCs w:val="22"/>
              </w:rPr>
            </w:pPr>
            <w:r>
              <w:rPr>
                <w:sz w:val="22"/>
                <w:szCs w:val="22"/>
              </w:rPr>
              <w:t>109</w:t>
            </w:r>
          </w:p>
        </w:tc>
        <w:tc>
          <w:tcPr>
            <w:tcW w:w="1752" w:type="dxa"/>
            <w:noWrap/>
            <w:vAlign w:val="center"/>
          </w:tcPr>
          <w:p w14:paraId="48059CAE">
            <w:pPr>
              <w:jc w:val="center"/>
              <w:rPr>
                <w:sz w:val="22"/>
                <w:szCs w:val="22"/>
              </w:rPr>
            </w:pPr>
          </w:p>
        </w:tc>
        <w:tc>
          <w:tcPr>
            <w:tcW w:w="944" w:type="dxa"/>
            <w:vMerge w:val="continue"/>
            <w:vAlign w:val="center"/>
          </w:tcPr>
          <w:p w14:paraId="1A589D40">
            <w:pPr>
              <w:jc w:val="center"/>
              <w:rPr>
                <w:sz w:val="22"/>
                <w:szCs w:val="22"/>
              </w:rPr>
            </w:pPr>
          </w:p>
        </w:tc>
        <w:tc>
          <w:tcPr>
            <w:tcW w:w="1116" w:type="dxa"/>
            <w:vAlign w:val="center"/>
          </w:tcPr>
          <w:p w14:paraId="54955227">
            <w:pPr>
              <w:jc w:val="center"/>
              <w:rPr>
                <w:sz w:val="22"/>
                <w:szCs w:val="22"/>
              </w:rPr>
            </w:pPr>
            <w:r>
              <w:rPr>
                <w:sz w:val="22"/>
                <w:szCs w:val="22"/>
              </w:rPr>
              <w:t>44</w:t>
            </w:r>
          </w:p>
        </w:tc>
        <w:tc>
          <w:tcPr>
            <w:tcW w:w="1010" w:type="dxa"/>
            <w:vAlign w:val="center"/>
          </w:tcPr>
          <w:p w14:paraId="7F7D7AF4">
            <w:pPr>
              <w:jc w:val="center"/>
              <w:rPr>
                <w:sz w:val="22"/>
                <w:szCs w:val="22"/>
              </w:rPr>
            </w:pPr>
            <w:r>
              <w:rPr>
                <w:sz w:val="22"/>
                <w:szCs w:val="22"/>
              </w:rPr>
              <w:t>90,00</w:t>
            </w:r>
          </w:p>
        </w:tc>
        <w:tc>
          <w:tcPr>
            <w:tcW w:w="1591" w:type="dxa"/>
            <w:vAlign w:val="center"/>
          </w:tcPr>
          <w:p w14:paraId="0BE2EC36">
            <w:pPr>
              <w:jc w:val="center"/>
              <w:rPr>
                <w:sz w:val="22"/>
                <w:szCs w:val="22"/>
              </w:rPr>
            </w:pPr>
            <w:r>
              <w:rPr>
                <w:sz w:val="22"/>
                <w:szCs w:val="22"/>
              </w:rPr>
              <w:t>855.000.000</w:t>
            </w:r>
          </w:p>
        </w:tc>
        <w:tc>
          <w:tcPr>
            <w:tcW w:w="1700" w:type="dxa"/>
            <w:vAlign w:val="center"/>
          </w:tcPr>
          <w:p w14:paraId="1B8C99FA">
            <w:pPr>
              <w:jc w:val="center"/>
              <w:rPr>
                <w:sz w:val="22"/>
                <w:szCs w:val="22"/>
              </w:rPr>
            </w:pPr>
            <w:r>
              <w:rPr>
                <w:sz w:val="22"/>
                <w:szCs w:val="22"/>
              </w:rPr>
              <w:t>1.352.000.000</w:t>
            </w:r>
          </w:p>
        </w:tc>
        <w:tc>
          <w:tcPr>
            <w:tcW w:w="1140" w:type="dxa"/>
            <w:noWrap/>
            <w:vAlign w:val="center"/>
          </w:tcPr>
          <w:p w14:paraId="7BFBD4CC">
            <w:pPr>
              <w:jc w:val="center"/>
              <w:rPr>
                <w:sz w:val="22"/>
                <w:szCs w:val="22"/>
              </w:rPr>
            </w:pPr>
            <w:r>
              <w:rPr>
                <w:sz w:val="22"/>
                <w:szCs w:val="22"/>
              </w:rPr>
              <w:t>1,58%</w:t>
            </w:r>
          </w:p>
        </w:tc>
      </w:tr>
      <w:tr w14:paraId="218A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615D923D">
            <w:pPr>
              <w:jc w:val="center"/>
              <w:rPr>
                <w:sz w:val="22"/>
                <w:szCs w:val="22"/>
              </w:rPr>
            </w:pPr>
            <w:r>
              <w:rPr>
                <w:sz w:val="22"/>
                <w:szCs w:val="22"/>
              </w:rPr>
              <w:t>110</w:t>
            </w:r>
          </w:p>
        </w:tc>
        <w:tc>
          <w:tcPr>
            <w:tcW w:w="1752" w:type="dxa"/>
            <w:noWrap/>
            <w:vAlign w:val="center"/>
          </w:tcPr>
          <w:p w14:paraId="5DC02226">
            <w:pPr>
              <w:jc w:val="center"/>
              <w:rPr>
                <w:sz w:val="22"/>
                <w:szCs w:val="22"/>
              </w:rPr>
            </w:pPr>
          </w:p>
        </w:tc>
        <w:tc>
          <w:tcPr>
            <w:tcW w:w="944" w:type="dxa"/>
            <w:vMerge w:val="continue"/>
            <w:vAlign w:val="center"/>
          </w:tcPr>
          <w:p w14:paraId="2EEAEC8A">
            <w:pPr>
              <w:jc w:val="center"/>
              <w:rPr>
                <w:sz w:val="22"/>
                <w:szCs w:val="22"/>
              </w:rPr>
            </w:pPr>
          </w:p>
        </w:tc>
        <w:tc>
          <w:tcPr>
            <w:tcW w:w="1116" w:type="dxa"/>
            <w:vAlign w:val="center"/>
          </w:tcPr>
          <w:p w14:paraId="058130B8">
            <w:pPr>
              <w:jc w:val="center"/>
              <w:rPr>
                <w:sz w:val="22"/>
                <w:szCs w:val="22"/>
              </w:rPr>
            </w:pPr>
            <w:r>
              <w:rPr>
                <w:sz w:val="22"/>
                <w:szCs w:val="22"/>
              </w:rPr>
              <w:t>45</w:t>
            </w:r>
          </w:p>
        </w:tc>
        <w:tc>
          <w:tcPr>
            <w:tcW w:w="1010" w:type="dxa"/>
            <w:vAlign w:val="center"/>
          </w:tcPr>
          <w:p w14:paraId="4836BA5E">
            <w:pPr>
              <w:jc w:val="center"/>
              <w:rPr>
                <w:sz w:val="22"/>
                <w:szCs w:val="22"/>
              </w:rPr>
            </w:pPr>
            <w:r>
              <w:rPr>
                <w:sz w:val="22"/>
                <w:szCs w:val="22"/>
              </w:rPr>
              <w:t>90,00</w:t>
            </w:r>
          </w:p>
        </w:tc>
        <w:tc>
          <w:tcPr>
            <w:tcW w:w="1591" w:type="dxa"/>
            <w:vAlign w:val="center"/>
          </w:tcPr>
          <w:p w14:paraId="76987279">
            <w:pPr>
              <w:jc w:val="center"/>
              <w:rPr>
                <w:sz w:val="22"/>
                <w:szCs w:val="22"/>
              </w:rPr>
            </w:pPr>
            <w:r>
              <w:rPr>
                <w:sz w:val="22"/>
                <w:szCs w:val="22"/>
              </w:rPr>
              <w:t>855.000.000</w:t>
            </w:r>
          </w:p>
        </w:tc>
        <w:tc>
          <w:tcPr>
            <w:tcW w:w="1700" w:type="dxa"/>
            <w:vAlign w:val="center"/>
          </w:tcPr>
          <w:p w14:paraId="516C935A">
            <w:pPr>
              <w:jc w:val="center"/>
              <w:rPr>
                <w:sz w:val="22"/>
                <w:szCs w:val="22"/>
              </w:rPr>
            </w:pPr>
            <w:r>
              <w:rPr>
                <w:sz w:val="22"/>
                <w:szCs w:val="22"/>
              </w:rPr>
              <w:t>1.338.000.000</w:t>
            </w:r>
          </w:p>
        </w:tc>
        <w:tc>
          <w:tcPr>
            <w:tcW w:w="1140" w:type="dxa"/>
            <w:noWrap/>
            <w:vAlign w:val="center"/>
          </w:tcPr>
          <w:p w14:paraId="4D5DC63A">
            <w:pPr>
              <w:jc w:val="center"/>
              <w:rPr>
                <w:sz w:val="22"/>
                <w:szCs w:val="22"/>
              </w:rPr>
            </w:pPr>
            <w:r>
              <w:rPr>
                <w:sz w:val="22"/>
                <w:szCs w:val="22"/>
              </w:rPr>
              <w:t>1,56%</w:t>
            </w:r>
          </w:p>
        </w:tc>
      </w:tr>
      <w:tr w14:paraId="4E9B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77B7DC2">
            <w:pPr>
              <w:jc w:val="center"/>
              <w:rPr>
                <w:sz w:val="22"/>
                <w:szCs w:val="22"/>
              </w:rPr>
            </w:pPr>
            <w:r>
              <w:rPr>
                <w:sz w:val="22"/>
                <w:szCs w:val="22"/>
              </w:rPr>
              <w:t>111</w:t>
            </w:r>
          </w:p>
        </w:tc>
        <w:tc>
          <w:tcPr>
            <w:tcW w:w="1752" w:type="dxa"/>
            <w:noWrap/>
            <w:vAlign w:val="center"/>
          </w:tcPr>
          <w:p w14:paraId="37944ECC">
            <w:pPr>
              <w:jc w:val="center"/>
              <w:rPr>
                <w:sz w:val="22"/>
                <w:szCs w:val="22"/>
              </w:rPr>
            </w:pPr>
          </w:p>
        </w:tc>
        <w:tc>
          <w:tcPr>
            <w:tcW w:w="944" w:type="dxa"/>
            <w:vMerge w:val="continue"/>
            <w:vAlign w:val="center"/>
          </w:tcPr>
          <w:p w14:paraId="4F9FC159">
            <w:pPr>
              <w:jc w:val="center"/>
              <w:rPr>
                <w:sz w:val="22"/>
                <w:szCs w:val="22"/>
              </w:rPr>
            </w:pPr>
          </w:p>
        </w:tc>
        <w:tc>
          <w:tcPr>
            <w:tcW w:w="1116" w:type="dxa"/>
            <w:vAlign w:val="center"/>
          </w:tcPr>
          <w:p w14:paraId="3EC959FC">
            <w:pPr>
              <w:jc w:val="center"/>
              <w:rPr>
                <w:sz w:val="22"/>
                <w:szCs w:val="22"/>
              </w:rPr>
            </w:pPr>
            <w:r>
              <w:rPr>
                <w:sz w:val="22"/>
                <w:szCs w:val="22"/>
              </w:rPr>
              <w:t>46</w:t>
            </w:r>
          </w:p>
        </w:tc>
        <w:tc>
          <w:tcPr>
            <w:tcW w:w="1010" w:type="dxa"/>
            <w:vAlign w:val="center"/>
          </w:tcPr>
          <w:p w14:paraId="4D8DEC8A">
            <w:pPr>
              <w:jc w:val="center"/>
              <w:rPr>
                <w:sz w:val="22"/>
                <w:szCs w:val="22"/>
              </w:rPr>
            </w:pPr>
            <w:r>
              <w:rPr>
                <w:sz w:val="22"/>
                <w:szCs w:val="22"/>
              </w:rPr>
              <w:t>90,00</w:t>
            </w:r>
          </w:p>
        </w:tc>
        <w:tc>
          <w:tcPr>
            <w:tcW w:w="1591" w:type="dxa"/>
            <w:vAlign w:val="center"/>
          </w:tcPr>
          <w:p w14:paraId="58B85BB9">
            <w:pPr>
              <w:jc w:val="center"/>
              <w:rPr>
                <w:sz w:val="22"/>
                <w:szCs w:val="22"/>
              </w:rPr>
            </w:pPr>
            <w:r>
              <w:rPr>
                <w:sz w:val="22"/>
                <w:szCs w:val="22"/>
              </w:rPr>
              <w:t>855.000.000</w:t>
            </w:r>
          </w:p>
        </w:tc>
        <w:tc>
          <w:tcPr>
            <w:tcW w:w="1700" w:type="dxa"/>
            <w:vAlign w:val="center"/>
          </w:tcPr>
          <w:p w14:paraId="33A3B022">
            <w:pPr>
              <w:jc w:val="center"/>
              <w:rPr>
                <w:sz w:val="22"/>
                <w:szCs w:val="22"/>
              </w:rPr>
            </w:pPr>
            <w:r>
              <w:rPr>
                <w:sz w:val="22"/>
                <w:szCs w:val="22"/>
              </w:rPr>
              <w:t>1.322.000.000</w:t>
            </w:r>
          </w:p>
        </w:tc>
        <w:tc>
          <w:tcPr>
            <w:tcW w:w="1140" w:type="dxa"/>
            <w:noWrap/>
            <w:vAlign w:val="center"/>
          </w:tcPr>
          <w:p w14:paraId="29A8DFB8">
            <w:pPr>
              <w:jc w:val="center"/>
              <w:rPr>
                <w:sz w:val="22"/>
                <w:szCs w:val="22"/>
              </w:rPr>
            </w:pPr>
            <w:r>
              <w:rPr>
                <w:sz w:val="22"/>
                <w:szCs w:val="22"/>
              </w:rPr>
              <w:t>1,55%</w:t>
            </w:r>
          </w:p>
        </w:tc>
      </w:tr>
      <w:tr w14:paraId="0816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AE7ABF5">
            <w:pPr>
              <w:jc w:val="center"/>
              <w:rPr>
                <w:sz w:val="22"/>
                <w:szCs w:val="22"/>
              </w:rPr>
            </w:pPr>
            <w:r>
              <w:rPr>
                <w:sz w:val="22"/>
                <w:szCs w:val="22"/>
              </w:rPr>
              <w:t>112</w:t>
            </w:r>
          </w:p>
        </w:tc>
        <w:tc>
          <w:tcPr>
            <w:tcW w:w="1752" w:type="dxa"/>
            <w:noWrap/>
            <w:vAlign w:val="center"/>
          </w:tcPr>
          <w:p w14:paraId="64BC97DD">
            <w:pPr>
              <w:jc w:val="center"/>
              <w:rPr>
                <w:sz w:val="22"/>
                <w:szCs w:val="22"/>
              </w:rPr>
            </w:pPr>
          </w:p>
        </w:tc>
        <w:tc>
          <w:tcPr>
            <w:tcW w:w="944" w:type="dxa"/>
            <w:vMerge w:val="continue"/>
            <w:vAlign w:val="center"/>
          </w:tcPr>
          <w:p w14:paraId="321AEC87">
            <w:pPr>
              <w:jc w:val="center"/>
              <w:rPr>
                <w:sz w:val="22"/>
                <w:szCs w:val="22"/>
              </w:rPr>
            </w:pPr>
          </w:p>
        </w:tc>
        <w:tc>
          <w:tcPr>
            <w:tcW w:w="1116" w:type="dxa"/>
            <w:vAlign w:val="center"/>
          </w:tcPr>
          <w:p w14:paraId="4DF0B874">
            <w:pPr>
              <w:jc w:val="center"/>
              <w:rPr>
                <w:sz w:val="22"/>
                <w:szCs w:val="22"/>
              </w:rPr>
            </w:pPr>
            <w:r>
              <w:rPr>
                <w:sz w:val="22"/>
                <w:szCs w:val="22"/>
              </w:rPr>
              <w:t>47</w:t>
            </w:r>
          </w:p>
        </w:tc>
        <w:tc>
          <w:tcPr>
            <w:tcW w:w="1010" w:type="dxa"/>
            <w:vAlign w:val="center"/>
          </w:tcPr>
          <w:p w14:paraId="26E129EF">
            <w:pPr>
              <w:jc w:val="center"/>
              <w:rPr>
                <w:sz w:val="22"/>
                <w:szCs w:val="22"/>
              </w:rPr>
            </w:pPr>
            <w:r>
              <w:rPr>
                <w:sz w:val="22"/>
                <w:szCs w:val="22"/>
              </w:rPr>
              <w:t>90,00</w:t>
            </w:r>
          </w:p>
        </w:tc>
        <w:tc>
          <w:tcPr>
            <w:tcW w:w="1591" w:type="dxa"/>
            <w:vAlign w:val="center"/>
          </w:tcPr>
          <w:p w14:paraId="27128FF7">
            <w:pPr>
              <w:jc w:val="center"/>
              <w:rPr>
                <w:sz w:val="22"/>
                <w:szCs w:val="22"/>
              </w:rPr>
            </w:pPr>
            <w:r>
              <w:rPr>
                <w:sz w:val="22"/>
                <w:szCs w:val="22"/>
              </w:rPr>
              <w:t>855.000.000</w:t>
            </w:r>
          </w:p>
        </w:tc>
        <w:tc>
          <w:tcPr>
            <w:tcW w:w="1700" w:type="dxa"/>
            <w:vAlign w:val="center"/>
          </w:tcPr>
          <w:p w14:paraId="0E29BDEA">
            <w:pPr>
              <w:jc w:val="center"/>
              <w:rPr>
                <w:sz w:val="22"/>
                <w:szCs w:val="22"/>
              </w:rPr>
            </w:pPr>
            <w:r>
              <w:rPr>
                <w:sz w:val="22"/>
                <w:szCs w:val="22"/>
              </w:rPr>
              <w:t>1.339.000.000</w:t>
            </w:r>
          </w:p>
        </w:tc>
        <w:tc>
          <w:tcPr>
            <w:tcW w:w="1140" w:type="dxa"/>
            <w:noWrap/>
            <w:vAlign w:val="center"/>
          </w:tcPr>
          <w:p w14:paraId="726782E9">
            <w:pPr>
              <w:jc w:val="center"/>
              <w:rPr>
                <w:sz w:val="22"/>
                <w:szCs w:val="22"/>
              </w:rPr>
            </w:pPr>
            <w:r>
              <w:rPr>
                <w:sz w:val="22"/>
                <w:szCs w:val="22"/>
              </w:rPr>
              <w:t>1,57%</w:t>
            </w:r>
          </w:p>
        </w:tc>
      </w:tr>
      <w:tr w14:paraId="66F9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30C5BF6">
            <w:pPr>
              <w:jc w:val="center"/>
              <w:rPr>
                <w:sz w:val="22"/>
                <w:szCs w:val="22"/>
              </w:rPr>
            </w:pPr>
            <w:r>
              <w:rPr>
                <w:sz w:val="22"/>
                <w:szCs w:val="22"/>
              </w:rPr>
              <w:t>113</w:t>
            </w:r>
          </w:p>
        </w:tc>
        <w:tc>
          <w:tcPr>
            <w:tcW w:w="1752" w:type="dxa"/>
            <w:noWrap/>
            <w:vAlign w:val="center"/>
          </w:tcPr>
          <w:p w14:paraId="1C30D904">
            <w:pPr>
              <w:jc w:val="center"/>
              <w:rPr>
                <w:sz w:val="22"/>
                <w:szCs w:val="22"/>
              </w:rPr>
            </w:pPr>
          </w:p>
        </w:tc>
        <w:tc>
          <w:tcPr>
            <w:tcW w:w="944" w:type="dxa"/>
            <w:vMerge w:val="continue"/>
            <w:vAlign w:val="center"/>
          </w:tcPr>
          <w:p w14:paraId="19023078">
            <w:pPr>
              <w:jc w:val="center"/>
              <w:rPr>
                <w:sz w:val="22"/>
                <w:szCs w:val="22"/>
              </w:rPr>
            </w:pPr>
          </w:p>
        </w:tc>
        <w:tc>
          <w:tcPr>
            <w:tcW w:w="1116" w:type="dxa"/>
            <w:vAlign w:val="center"/>
          </w:tcPr>
          <w:p w14:paraId="040A200C">
            <w:pPr>
              <w:jc w:val="center"/>
              <w:rPr>
                <w:sz w:val="22"/>
                <w:szCs w:val="22"/>
              </w:rPr>
            </w:pPr>
            <w:r>
              <w:rPr>
                <w:sz w:val="22"/>
                <w:szCs w:val="22"/>
              </w:rPr>
              <w:t>48</w:t>
            </w:r>
          </w:p>
        </w:tc>
        <w:tc>
          <w:tcPr>
            <w:tcW w:w="1010" w:type="dxa"/>
            <w:vAlign w:val="center"/>
          </w:tcPr>
          <w:p w14:paraId="137C2588">
            <w:pPr>
              <w:jc w:val="center"/>
              <w:rPr>
                <w:sz w:val="22"/>
                <w:szCs w:val="22"/>
              </w:rPr>
            </w:pPr>
            <w:r>
              <w:rPr>
                <w:sz w:val="22"/>
                <w:szCs w:val="22"/>
              </w:rPr>
              <w:t>90,00</w:t>
            </w:r>
          </w:p>
        </w:tc>
        <w:tc>
          <w:tcPr>
            <w:tcW w:w="1591" w:type="dxa"/>
            <w:vAlign w:val="center"/>
          </w:tcPr>
          <w:p w14:paraId="1CB89C96">
            <w:pPr>
              <w:jc w:val="center"/>
              <w:rPr>
                <w:sz w:val="22"/>
                <w:szCs w:val="22"/>
              </w:rPr>
            </w:pPr>
            <w:r>
              <w:rPr>
                <w:sz w:val="22"/>
                <w:szCs w:val="22"/>
              </w:rPr>
              <w:t>855.000.000</w:t>
            </w:r>
          </w:p>
        </w:tc>
        <w:tc>
          <w:tcPr>
            <w:tcW w:w="1700" w:type="dxa"/>
            <w:vAlign w:val="center"/>
          </w:tcPr>
          <w:p w14:paraId="715BF996">
            <w:pPr>
              <w:jc w:val="center"/>
              <w:rPr>
                <w:sz w:val="22"/>
                <w:szCs w:val="22"/>
              </w:rPr>
            </w:pPr>
            <w:r>
              <w:rPr>
                <w:sz w:val="22"/>
                <w:szCs w:val="22"/>
              </w:rPr>
              <w:t>1.353.000.000</w:t>
            </w:r>
          </w:p>
        </w:tc>
        <w:tc>
          <w:tcPr>
            <w:tcW w:w="1140" w:type="dxa"/>
            <w:noWrap/>
            <w:vAlign w:val="center"/>
          </w:tcPr>
          <w:p w14:paraId="7082DA30">
            <w:pPr>
              <w:jc w:val="center"/>
              <w:rPr>
                <w:sz w:val="22"/>
                <w:szCs w:val="22"/>
              </w:rPr>
            </w:pPr>
            <w:r>
              <w:rPr>
                <w:sz w:val="22"/>
                <w:szCs w:val="22"/>
              </w:rPr>
              <w:t>1,58%</w:t>
            </w:r>
          </w:p>
        </w:tc>
      </w:tr>
      <w:tr w14:paraId="5DE9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06767317">
            <w:pPr>
              <w:jc w:val="center"/>
              <w:rPr>
                <w:sz w:val="22"/>
                <w:szCs w:val="22"/>
              </w:rPr>
            </w:pPr>
            <w:r>
              <w:rPr>
                <w:sz w:val="22"/>
                <w:szCs w:val="22"/>
              </w:rPr>
              <w:t>114</w:t>
            </w:r>
          </w:p>
        </w:tc>
        <w:tc>
          <w:tcPr>
            <w:tcW w:w="1752" w:type="dxa"/>
            <w:noWrap/>
            <w:vAlign w:val="center"/>
          </w:tcPr>
          <w:p w14:paraId="0929EFC2">
            <w:pPr>
              <w:jc w:val="center"/>
              <w:rPr>
                <w:sz w:val="22"/>
                <w:szCs w:val="22"/>
              </w:rPr>
            </w:pPr>
          </w:p>
        </w:tc>
        <w:tc>
          <w:tcPr>
            <w:tcW w:w="944" w:type="dxa"/>
            <w:vMerge w:val="continue"/>
            <w:vAlign w:val="center"/>
          </w:tcPr>
          <w:p w14:paraId="28DF9402">
            <w:pPr>
              <w:jc w:val="center"/>
              <w:rPr>
                <w:sz w:val="22"/>
                <w:szCs w:val="22"/>
              </w:rPr>
            </w:pPr>
          </w:p>
        </w:tc>
        <w:tc>
          <w:tcPr>
            <w:tcW w:w="1116" w:type="dxa"/>
            <w:vAlign w:val="center"/>
          </w:tcPr>
          <w:p w14:paraId="243DE2DA">
            <w:pPr>
              <w:jc w:val="center"/>
              <w:rPr>
                <w:sz w:val="22"/>
                <w:szCs w:val="22"/>
              </w:rPr>
            </w:pPr>
            <w:r>
              <w:rPr>
                <w:sz w:val="22"/>
                <w:szCs w:val="22"/>
              </w:rPr>
              <w:t>49</w:t>
            </w:r>
          </w:p>
        </w:tc>
        <w:tc>
          <w:tcPr>
            <w:tcW w:w="1010" w:type="dxa"/>
            <w:vAlign w:val="center"/>
          </w:tcPr>
          <w:p w14:paraId="75347BAA">
            <w:pPr>
              <w:jc w:val="center"/>
              <w:rPr>
                <w:sz w:val="22"/>
                <w:szCs w:val="22"/>
              </w:rPr>
            </w:pPr>
            <w:r>
              <w:rPr>
                <w:sz w:val="22"/>
                <w:szCs w:val="22"/>
              </w:rPr>
              <w:t>90,00</w:t>
            </w:r>
          </w:p>
        </w:tc>
        <w:tc>
          <w:tcPr>
            <w:tcW w:w="1591" w:type="dxa"/>
            <w:vAlign w:val="center"/>
          </w:tcPr>
          <w:p w14:paraId="79792AFB">
            <w:pPr>
              <w:jc w:val="center"/>
              <w:rPr>
                <w:sz w:val="22"/>
                <w:szCs w:val="22"/>
              </w:rPr>
            </w:pPr>
            <w:r>
              <w:rPr>
                <w:sz w:val="22"/>
                <w:szCs w:val="22"/>
              </w:rPr>
              <w:t>855.000.000</w:t>
            </w:r>
          </w:p>
        </w:tc>
        <w:tc>
          <w:tcPr>
            <w:tcW w:w="1700" w:type="dxa"/>
            <w:vAlign w:val="center"/>
          </w:tcPr>
          <w:p w14:paraId="3872D3B3">
            <w:pPr>
              <w:jc w:val="center"/>
              <w:rPr>
                <w:sz w:val="22"/>
                <w:szCs w:val="22"/>
              </w:rPr>
            </w:pPr>
            <w:r>
              <w:rPr>
                <w:sz w:val="22"/>
                <w:szCs w:val="22"/>
              </w:rPr>
              <w:t>1.354.000.000</w:t>
            </w:r>
          </w:p>
        </w:tc>
        <w:tc>
          <w:tcPr>
            <w:tcW w:w="1140" w:type="dxa"/>
            <w:noWrap/>
            <w:vAlign w:val="center"/>
          </w:tcPr>
          <w:p w14:paraId="28303EE3">
            <w:pPr>
              <w:jc w:val="center"/>
              <w:rPr>
                <w:sz w:val="22"/>
                <w:szCs w:val="22"/>
              </w:rPr>
            </w:pPr>
            <w:r>
              <w:rPr>
                <w:sz w:val="22"/>
                <w:szCs w:val="22"/>
              </w:rPr>
              <w:t>1,58%</w:t>
            </w:r>
          </w:p>
        </w:tc>
      </w:tr>
      <w:tr w14:paraId="55BA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D4F7ACB">
            <w:pPr>
              <w:jc w:val="center"/>
              <w:rPr>
                <w:sz w:val="22"/>
                <w:szCs w:val="22"/>
              </w:rPr>
            </w:pPr>
            <w:r>
              <w:rPr>
                <w:sz w:val="22"/>
                <w:szCs w:val="22"/>
              </w:rPr>
              <w:t>115</w:t>
            </w:r>
          </w:p>
        </w:tc>
        <w:tc>
          <w:tcPr>
            <w:tcW w:w="1752" w:type="dxa"/>
            <w:noWrap/>
            <w:vAlign w:val="center"/>
          </w:tcPr>
          <w:p w14:paraId="4D269629">
            <w:pPr>
              <w:jc w:val="center"/>
              <w:rPr>
                <w:sz w:val="22"/>
                <w:szCs w:val="22"/>
              </w:rPr>
            </w:pPr>
          </w:p>
        </w:tc>
        <w:tc>
          <w:tcPr>
            <w:tcW w:w="944" w:type="dxa"/>
            <w:vMerge w:val="continue"/>
            <w:vAlign w:val="center"/>
          </w:tcPr>
          <w:p w14:paraId="5C5B899F">
            <w:pPr>
              <w:jc w:val="center"/>
              <w:rPr>
                <w:sz w:val="22"/>
                <w:szCs w:val="22"/>
              </w:rPr>
            </w:pPr>
          </w:p>
        </w:tc>
        <w:tc>
          <w:tcPr>
            <w:tcW w:w="1116" w:type="dxa"/>
            <w:vAlign w:val="center"/>
          </w:tcPr>
          <w:p w14:paraId="3EBB73BA">
            <w:pPr>
              <w:jc w:val="center"/>
              <w:rPr>
                <w:sz w:val="22"/>
                <w:szCs w:val="22"/>
              </w:rPr>
            </w:pPr>
            <w:r>
              <w:rPr>
                <w:sz w:val="22"/>
                <w:szCs w:val="22"/>
              </w:rPr>
              <w:t>50</w:t>
            </w:r>
          </w:p>
        </w:tc>
        <w:tc>
          <w:tcPr>
            <w:tcW w:w="1010" w:type="dxa"/>
            <w:vAlign w:val="center"/>
          </w:tcPr>
          <w:p w14:paraId="38536DAE">
            <w:pPr>
              <w:jc w:val="center"/>
              <w:rPr>
                <w:sz w:val="22"/>
                <w:szCs w:val="22"/>
              </w:rPr>
            </w:pPr>
            <w:r>
              <w:rPr>
                <w:sz w:val="22"/>
                <w:szCs w:val="22"/>
              </w:rPr>
              <w:t>90,00</w:t>
            </w:r>
          </w:p>
        </w:tc>
        <w:tc>
          <w:tcPr>
            <w:tcW w:w="1591" w:type="dxa"/>
            <w:vAlign w:val="center"/>
          </w:tcPr>
          <w:p w14:paraId="73A36E25">
            <w:pPr>
              <w:jc w:val="center"/>
              <w:rPr>
                <w:sz w:val="22"/>
                <w:szCs w:val="22"/>
              </w:rPr>
            </w:pPr>
            <w:r>
              <w:rPr>
                <w:sz w:val="22"/>
                <w:szCs w:val="22"/>
              </w:rPr>
              <w:t>855.000.000</w:t>
            </w:r>
          </w:p>
        </w:tc>
        <w:tc>
          <w:tcPr>
            <w:tcW w:w="1700" w:type="dxa"/>
            <w:vAlign w:val="center"/>
          </w:tcPr>
          <w:p w14:paraId="5FC57BA6">
            <w:pPr>
              <w:jc w:val="center"/>
              <w:rPr>
                <w:sz w:val="22"/>
                <w:szCs w:val="22"/>
              </w:rPr>
            </w:pPr>
            <w:r>
              <w:rPr>
                <w:sz w:val="22"/>
                <w:szCs w:val="22"/>
              </w:rPr>
              <w:t>1.264.900.000</w:t>
            </w:r>
          </w:p>
        </w:tc>
        <w:tc>
          <w:tcPr>
            <w:tcW w:w="1140" w:type="dxa"/>
            <w:noWrap/>
            <w:vAlign w:val="center"/>
          </w:tcPr>
          <w:p w14:paraId="36257309">
            <w:pPr>
              <w:jc w:val="center"/>
              <w:rPr>
                <w:sz w:val="22"/>
                <w:szCs w:val="22"/>
              </w:rPr>
            </w:pPr>
            <w:r>
              <w:rPr>
                <w:sz w:val="22"/>
                <w:szCs w:val="22"/>
              </w:rPr>
              <w:t>1,48%</w:t>
            </w:r>
          </w:p>
        </w:tc>
      </w:tr>
      <w:tr w14:paraId="160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FBE057D">
            <w:pPr>
              <w:jc w:val="center"/>
              <w:rPr>
                <w:sz w:val="22"/>
                <w:szCs w:val="22"/>
              </w:rPr>
            </w:pPr>
            <w:r>
              <w:rPr>
                <w:sz w:val="22"/>
                <w:szCs w:val="22"/>
              </w:rPr>
              <w:t>116</w:t>
            </w:r>
          </w:p>
        </w:tc>
        <w:tc>
          <w:tcPr>
            <w:tcW w:w="1752" w:type="dxa"/>
            <w:noWrap/>
            <w:vAlign w:val="center"/>
          </w:tcPr>
          <w:p w14:paraId="37E58C17">
            <w:pPr>
              <w:jc w:val="center"/>
              <w:rPr>
                <w:sz w:val="22"/>
                <w:szCs w:val="22"/>
              </w:rPr>
            </w:pPr>
          </w:p>
        </w:tc>
        <w:tc>
          <w:tcPr>
            <w:tcW w:w="944" w:type="dxa"/>
            <w:vMerge w:val="continue"/>
            <w:vAlign w:val="center"/>
          </w:tcPr>
          <w:p w14:paraId="7C3C159C">
            <w:pPr>
              <w:jc w:val="center"/>
              <w:rPr>
                <w:sz w:val="22"/>
                <w:szCs w:val="22"/>
              </w:rPr>
            </w:pPr>
          </w:p>
        </w:tc>
        <w:tc>
          <w:tcPr>
            <w:tcW w:w="1116" w:type="dxa"/>
            <w:vAlign w:val="center"/>
          </w:tcPr>
          <w:p w14:paraId="2815F7E9">
            <w:pPr>
              <w:jc w:val="center"/>
              <w:rPr>
                <w:sz w:val="22"/>
                <w:szCs w:val="22"/>
              </w:rPr>
            </w:pPr>
            <w:r>
              <w:rPr>
                <w:sz w:val="22"/>
                <w:szCs w:val="22"/>
              </w:rPr>
              <w:t>51</w:t>
            </w:r>
          </w:p>
        </w:tc>
        <w:tc>
          <w:tcPr>
            <w:tcW w:w="1010" w:type="dxa"/>
            <w:vAlign w:val="center"/>
          </w:tcPr>
          <w:p w14:paraId="6DD47165">
            <w:pPr>
              <w:jc w:val="center"/>
              <w:rPr>
                <w:sz w:val="22"/>
                <w:szCs w:val="22"/>
              </w:rPr>
            </w:pPr>
            <w:r>
              <w:rPr>
                <w:sz w:val="22"/>
                <w:szCs w:val="22"/>
              </w:rPr>
              <w:t>90,00</w:t>
            </w:r>
          </w:p>
        </w:tc>
        <w:tc>
          <w:tcPr>
            <w:tcW w:w="1591" w:type="dxa"/>
            <w:vAlign w:val="center"/>
          </w:tcPr>
          <w:p w14:paraId="0A0F2209">
            <w:pPr>
              <w:jc w:val="center"/>
              <w:rPr>
                <w:sz w:val="22"/>
                <w:szCs w:val="22"/>
              </w:rPr>
            </w:pPr>
            <w:r>
              <w:rPr>
                <w:sz w:val="22"/>
                <w:szCs w:val="22"/>
              </w:rPr>
              <w:t>855.000.000</w:t>
            </w:r>
          </w:p>
        </w:tc>
        <w:tc>
          <w:tcPr>
            <w:tcW w:w="1700" w:type="dxa"/>
            <w:vAlign w:val="center"/>
          </w:tcPr>
          <w:p w14:paraId="01996DF1">
            <w:pPr>
              <w:jc w:val="center"/>
              <w:rPr>
                <w:sz w:val="22"/>
                <w:szCs w:val="22"/>
              </w:rPr>
            </w:pPr>
            <w:r>
              <w:rPr>
                <w:sz w:val="22"/>
                <w:szCs w:val="22"/>
              </w:rPr>
              <w:t>1.276.000.000</w:t>
            </w:r>
          </w:p>
        </w:tc>
        <w:tc>
          <w:tcPr>
            <w:tcW w:w="1140" w:type="dxa"/>
            <w:noWrap/>
            <w:vAlign w:val="center"/>
          </w:tcPr>
          <w:p w14:paraId="761B72A4">
            <w:pPr>
              <w:jc w:val="center"/>
              <w:rPr>
                <w:sz w:val="22"/>
                <w:szCs w:val="22"/>
              </w:rPr>
            </w:pPr>
            <w:r>
              <w:rPr>
                <w:sz w:val="22"/>
                <w:szCs w:val="22"/>
              </w:rPr>
              <w:t>1,49%</w:t>
            </w:r>
          </w:p>
        </w:tc>
      </w:tr>
      <w:tr w14:paraId="018B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67C946A">
            <w:pPr>
              <w:jc w:val="center"/>
              <w:rPr>
                <w:sz w:val="22"/>
                <w:szCs w:val="22"/>
              </w:rPr>
            </w:pPr>
            <w:r>
              <w:rPr>
                <w:sz w:val="22"/>
                <w:szCs w:val="22"/>
              </w:rPr>
              <w:t>117</w:t>
            </w:r>
          </w:p>
        </w:tc>
        <w:tc>
          <w:tcPr>
            <w:tcW w:w="1752" w:type="dxa"/>
            <w:noWrap/>
            <w:vAlign w:val="center"/>
          </w:tcPr>
          <w:p w14:paraId="44565902">
            <w:pPr>
              <w:jc w:val="center"/>
              <w:rPr>
                <w:sz w:val="22"/>
                <w:szCs w:val="22"/>
              </w:rPr>
            </w:pPr>
          </w:p>
        </w:tc>
        <w:tc>
          <w:tcPr>
            <w:tcW w:w="944" w:type="dxa"/>
            <w:vMerge w:val="continue"/>
            <w:vAlign w:val="center"/>
          </w:tcPr>
          <w:p w14:paraId="3FA18BE6">
            <w:pPr>
              <w:jc w:val="center"/>
              <w:rPr>
                <w:sz w:val="22"/>
                <w:szCs w:val="22"/>
              </w:rPr>
            </w:pPr>
          </w:p>
        </w:tc>
        <w:tc>
          <w:tcPr>
            <w:tcW w:w="1116" w:type="dxa"/>
            <w:vAlign w:val="center"/>
          </w:tcPr>
          <w:p w14:paraId="3380DF28">
            <w:pPr>
              <w:jc w:val="center"/>
              <w:rPr>
                <w:sz w:val="22"/>
                <w:szCs w:val="22"/>
              </w:rPr>
            </w:pPr>
            <w:r>
              <w:rPr>
                <w:sz w:val="22"/>
                <w:szCs w:val="22"/>
              </w:rPr>
              <w:t>52</w:t>
            </w:r>
          </w:p>
        </w:tc>
        <w:tc>
          <w:tcPr>
            <w:tcW w:w="1010" w:type="dxa"/>
            <w:vAlign w:val="center"/>
          </w:tcPr>
          <w:p w14:paraId="71FDCAE2">
            <w:pPr>
              <w:jc w:val="center"/>
              <w:rPr>
                <w:sz w:val="22"/>
                <w:szCs w:val="22"/>
              </w:rPr>
            </w:pPr>
            <w:r>
              <w:rPr>
                <w:sz w:val="22"/>
                <w:szCs w:val="22"/>
              </w:rPr>
              <w:t>90,00</w:t>
            </w:r>
          </w:p>
        </w:tc>
        <w:tc>
          <w:tcPr>
            <w:tcW w:w="1591" w:type="dxa"/>
            <w:vAlign w:val="center"/>
          </w:tcPr>
          <w:p w14:paraId="305D39A3">
            <w:pPr>
              <w:jc w:val="center"/>
              <w:rPr>
                <w:sz w:val="22"/>
                <w:szCs w:val="22"/>
              </w:rPr>
            </w:pPr>
            <w:r>
              <w:rPr>
                <w:sz w:val="22"/>
                <w:szCs w:val="22"/>
              </w:rPr>
              <w:t>855.000.000</w:t>
            </w:r>
          </w:p>
        </w:tc>
        <w:tc>
          <w:tcPr>
            <w:tcW w:w="1700" w:type="dxa"/>
            <w:vAlign w:val="center"/>
          </w:tcPr>
          <w:p w14:paraId="0378EDAC">
            <w:pPr>
              <w:jc w:val="center"/>
              <w:rPr>
                <w:sz w:val="22"/>
                <w:szCs w:val="22"/>
              </w:rPr>
            </w:pPr>
            <w:r>
              <w:rPr>
                <w:sz w:val="22"/>
                <w:szCs w:val="22"/>
              </w:rPr>
              <w:t>1.401.900.000</w:t>
            </w:r>
          </w:p>
        </w:tc>
        <w:tc>
          <w:tcPr>
            <w:tcW w:w="1140" w:type="dxa"/>
            <w:noWrap/>
            <w:vAlign w:val="center"/>
          </w:tcPr>
          <w:p w14:paraId="51428F96">
            <w:pPr>
              <w:jc w:val="center"/>
              <w:rPr>
                <w:sz w:val="22"/>
                <w:szCs w:val="22"/>
              </w:rPr>
            </w:pPr>
            <w:r>
              <w:rPr>
                <w:sz w:val="22"/>
                <w:szCs w:val="22"/>
              </w:rPr>
              <w:t>1,64%</w:t>
            </w:r>
          </w:p>
        </w:tc>
      </w:tr>
      <w:tr w14:paraId="231D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AC2F0F1">
            <w:pPr>
              <w:jc w:val="center"/>
              <w:rPr>
                <w:sz w:val="22"/>
                <w:szCs w:val="22"/>
              </w:rPr>
            </w:pPr>
            <w:r>
              <w:rPr>
                <w:sz w:val="22"/>
                <w:szCs w:val="22"/>
              </w:rPr>
              <w:t>118</w:t>
            </w:r>
          </w:p>
        </w:tc>
        <w:tc>
          <w:tcPr>
            <w:tcW w:w="1752" w:type="dxa"/>
            <w:noWrap/>
            <w:vAlign w:val="center"/>
          </w:tcPr>
          <w:p w14:paraId="03A23149">
            <w:pPr>
              <w:jc w:val="center"/>
              <w:rPr>
                <w:sz w:val="22"/>
                <w:szCs w:val="22"/>
              </w:rPr>
            </w:pPr>
          </w:p>
        </w:tc>
        <w:tc>
          <w:tcPr>
            <w:tcW w:w="944" w:type="dxa"/>
            <w:vMerge w:val="continue"/>
            <w:vAlign w:val="center"/>
          </w:tcPr>
          <w:p w14:paraId="00497366">
            <w:pPr>
              <w:jc w:val="center"/>
              <w:rPr>
                <w:sz w:val="22"/>
                <w:szCs w:val="22"/>
              </w:rPr>
            </w:pPr>
          </w:p>
        </w:tc>
        <w:tc>
          <w:tcPr>
            <w:tcW w:w="1116" w:type="dxa"/>
            <w:vAlign w:val="center"/>
          </w:tcPr>
          <w:p w14:paraId="1CDCB42C">
            <w:pPr>
              <w:jc w:val="center"/>
              <w:rPr>
                <w:sz w:val="22"/>
                <w:szCs w:val="22"/>
              </w:rPr>
            </w:pPr>
            <w:r>
              <w:rPr>
                <w:sz w:val="22"/>
                <w:szCs w:val="22"/>
              </w:rPr>
              <w:t>53</w:t>
            </w:r>
          </w:p>
        </w:tc>
        <w:tc>
          <w:tcPr>
            <w:tcW w:w="1010" w:type="dxa"/>
            <w:vAlign w:val="center"/>
          </w:tcPr>
          <w:p w14:paraId="59F8C497">
            <w:pPr>
              <w:jc w:val="center"/>
              <w:rPr>
                <w:sz w:val="22"/>
                <w:szCs w:val="22"/>
              </w:rPr>
            </w:pPr>
            <w:r>
              <w:rPr>
                <w:sz w:val="22"/>
                <w:szCs w:val="22"/>
              </w:rPr>
              <w:t>90,00</w:t>
            </w:r>
          </w:p>
        </w:tc>
        <w:tc>
          <w:tcPr>
            <w:tcW w:w="1591" w:type="dxa"/>
            <w:vAlign w:val="center"/>
          </w:tcPr>
          <w:p w14:paraId="379ABD75">
            <w:pPr>
              <w:jc w:val="center"/>
              <w:rPr>
                <w:sz w:val="22"/>
                <w:szCs w:val="22"/>
              </w:rPr>
            </w:pPr>
            <w:r>
              <w:rPr>
                <w:sz w:val="22"/>
                <w:szCs w:val="22"/>
              </w:rPr>
              <w:t>855.000.000</w:t>
            </w:r>
          </w:p>
        </w:tc>
        <w:tc>
          <w:tcPr>
            <w:tcW w:w="1700" w:type="dxa"/>
            <w:vAlign w:val="center"/>
          </w:tcPr>
          <w:p w14:paraId="4662FADC">
            <w:pPr>
              <w:jc w:val="center"/>
              <w:rPr>
                <w:sz w:val="22"/>
                <w:szCs w:val="22"/>
              </w:rPr>
            </w:pPr>
            <w:r>
              <w:rPr>
                <w:sz w:val="22"/>
                <w:szCs w:val="22"/>
              </w:rPr>
              <w:t>1.429.000.000</w:t>
            </w:r>
          </w:p>
        </w:tc>
        <w:tc>
          <w:tcPr>
            <w:tcW w:w="1140" w:type="dxa"/>
            <w:noWrap/>
            <w:vAlign w:val="center"/>
          </w:tcPr>
          <w:p w14:paraId="5E3E9D17">
            <w:pPr>
              <w:jc w:val="center"/>
              <w:rPr>
                <w:sz w:val="22"/>
                <w:szCs w:val="22"/>
              </w:rPr>
            </w:pPr>
            <w:r>
              <w:rPr>
                <w:sz w:val="22"/>
                <w:szCs w:val="22"/>
              </w:rPr>
              <w:t>1,67%</w:t>
            </w:r>
          </w:p>
        </w:tc>
      </w:tr>
      <w:tr w14:paraId="67FD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3AEC47B6">
            <w:pPr>
              <w:jc w:val="center"/>
              <w:rPr>
                <w:sz w:val="22"/>
                <w:szCs w:val="22"/>
              </w:rPr>
            </w:pPr>
            <w:r>
              <w:rPr>
                <w:sz w:val="22"/>
                <w:szCs w:val="22"/>
              </w:rPr>
              <w:t>119</w:t>
            </w:r>
          </w:p>
        </w:tc>
        <w:tc>
          <w:tcPr>
            <w:tcW w:w="1752" w:type="dxa"/>
            <w:noWrap/>
            <w:vAlign w:val="center"/>
          </w:tcPr>
          <w:p w14:paraId="1587E45E">
            <w:pPr>
              <w:jc w:val="center"/>
              <w:rPr>
                <w:sz w:val="22"/>
                <w:szCs w:val="22"/>
              </w:rPr>
            </w:pPr>
          </w:p>
        </w:tc>
        <w:tc>
          <w:tcPr>
            <w:tcW w:w="944" w:type="dxa"/>
            <w:vMerge w:val="continue"/>
            <w:vAlign w:val="center"/>
          </w:tcPr>
          <w:p w14:paraId="1950960F">
            <w:pPr>
              <w:jc w:val="center"/>
              <w:rPr>
                <w:sz w:val="22"/>
                <w:szCs w:val="22"/>
              </w:rPr>
            </w:pPr>
          </w:p>
        </w:tc>
        <w:tc>
          <w:tcPr>
            <w:tcW w:w="1116" w:type="dxa"/>
            <w:vAlign w:val="center"/>
          </w:tcPr>
          <w:p w14:paraId="439981DC">
            <w:pPr>
              <w:jc w:val="center"/>
              <w:rPr>
                <w:sz w:val="22"/>
                <w:szCs w:val="22"/>
              </w:rPr>
            </w:pPr>
            <w:r>
              <w:rPr>
                <w:sz w:val="22"/>
                <w:szCs w:val="22"/>
              </w:rPr>
              <w:t>54</w:t>
            </w:r>
          </w:p>
        </w:tc>
        <w:tc>
          <w:tcPr>
            <w:tcW w:w="1010" w:type="dxa"/>
            <w:vAlign w:val="center"/>
          </w:tcPr>
          <w:p w14:paraId="7317A88A">
            <w:pPr>
              <w:jc w:val="center"/>
              <w:rPr>
                <w:sz w:val="22"/>
                <w:szCs w:val="22"/>
              </w:rPr>
            </w:pPr>
            <w:r>
              <w:rPr>
                <w:sz w:val="22"/>
                <w:szCs w:val="22"/>
              </w:rPr>
              <w:t>90,00</w:t>
            </w:r>
          </w:p>
        </w:tc>
        <w:tc>
          <w:tcPr>
            <w:tcW w:w="1591" w:type="dxa"/>
            <w:vAlign w:val="center"/>
          </w:tcPr>
          <w:p w14:paraId="6DA9AB3E">
            <w:pPr>
              <w:jc w:val="center"/>
              <w:rPr>
                <w:sz w:val="22"/>
                <w:szCs w:val="22"/>
              </w:rPr>
            </w:pPr>
            <w:r>
              <w:rPr>
                <w:sz w:val="22"/>
                <w:szCs w:val="22"/>
              </w:rPr>
              <w:t>855.000.000</w:t>
            </w:r>
          </w:p>
        </w:tc>
        <w:tc>
          <w:tcPr>
            <w:tcW w:w="1700" w:type="dxa"/>
            <w:vAlign w:val="center"/>
          </w:tcPr>
          <w:p w14:paraId="211B6622">
            <w:pPr>
              <w:jc w:val="center"/>
              <w:rPr>
                <w:sz w:val="22"/>
                <w:szCs w:val="22"/>
              </w:rPr>
            </w:pPr>
            <w:r>
              <w:rPr>
                <w:sz w:val="22"/>
                <w:szCs w:val="22"/>
              </w:rPr>
              <w:t>1.340.000.000</w:t>
            </w:r>
          </w:p>
        </w:tc>
        <w:tc>
          <w:tcPr>
            <w:tcW w:w="1140" w:type="dxa"/>
            <w:noWrap/>
            <w:vAlign w:val="center"/>
          </w:tcPr>
          <w:p w14:paraId="3329DC87">
            <w:pPr>
              <w:jc w:val="center"/>
              <w:rPr>
                <w:sz w:val="22"/>
                <w:szCs w:val="22"/>
              </w:rPr>
            </w:pPr>
            <w:r>
              <w:rPr>
                <w:sz w:val="22"/>
                <w:szCs w:val="22"/>
              </w:rPr>
              <w:t>1,57%</w:t>
            </w:r>
          </w:p>
        </w:tc>
      </w:tr>
      <w:tr w14:paraId="4010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1294FC65">
            <w:pPr>
              <w:jc w:val="center"/>
              <w:rPr>
                <w:sz w:val="22"/>
                <w:szCs w:val="22"/>
              </w:rPr>
            </w:pPr>
            <w:r>
              <w:rPr>
                <w:sz w:val="22"/>
                <w:szCs w:val="22"/>
              </w:rPr>
              <w:t>120</w:t>
            </w:r>
          </w:p>
        </w:tc>
        <w:tc>
          <w:tcPr>
            <w:tcW w:w="1752" w:type="dxa"/>
            <w:noWrap/>
            <w:vAlign w:val="center"/>
          </w:tcPr>
          <w:p w14:paraId="78A3640A">
            <w:pPr>
              <w:jc w:val="center"/>
              <w:rPr>
                <w:sz w:val="22"/>
                <w:szCs w:val="22"/>
              </w:rPr>
            </w:pPr>
          </w:p>
        </w:tc>
        <w:tc>
          <w:tcPr>
            <w:tcW w:w="944" w:type="dxa"/>
            <w:vMerge w:val="continue"/>
            <w:vAlign w:val="center"/>
          </w:tcPr>
          <w:p w14:paraId="2F41BA10">
            <w:pPr>
              <w:jc w:val="center"/>
              <w:rPr>
                <w:sz w:val="22"/>
                <w:szCs w:val="22"/>
              </w:rPr>
            </w:pPr>
          </w:p>
        </w:tc>
        <w:tc>
          <w:tcPr>
            <w:tcW w:w="1116" w:type="dxa"/>
            <w:vAlign w:val="center"/>
          </w:tcPr>
          <w:p w14:paraId="078BB6FB">
            <w:pPr>
              <w:jc w:val="center"/>
              <w:rPr>
                <w:sz w:val="22"/>
                <w:szCs w:val="22"/>
              </w:rPr>
            </w:pPr>
            <w:r>
              <w:rPr>
                <w:sz w:val="22"/>
                <w:szCs w:val="22"/>
              </w:rPr>
              <w:t>55</w:t>
            </w:r>
          </w:p>
        </w:tc>
        <w:tc>
          <w:tcPr>
            <w:tcW w:w="1010" w:type="dxa"/>
            <w:vAlign w:val="center"/>
          </w:tcPr>
          <w:p w14:paraId="15F77362">
            <w:pPr>
              <w:jc w:val="center"/>
              <w:rPr>
                <w:sz w:val="22"/>
                <w:szCs w:val="22"/>
              </w:rPr>
            </w:pPr>
            <w:r>
              <w:rPr>
                <w:sz w:val="22"/>
                <w:szCs w:val="22"/>
              </w:rPr>
              <w:t>90,00</w:t>
            </w:r>
          </w:p>
        </w:tc>
        <w:tc>
          <w:tcPr>
            <w:tcW w:w="1591" w:type="dxa"/>
            <w:vAlign w:val="center"/>
          </w:tcPr>
          <w:p w14:paraId="511232EB">
            <w:pPr>
              <w:jc w:val="center"/>
              <w:rPr>
                <w:sz w:val="22"/>
                <w:szCs w:val="22"/>
              </w:rPr>
            </w:pPr>
            <w:r>
              <w:rPr>
                <w:sz w:val="22"/>
                <w:szCs w:val="22"/>
              </w:rPr>
              <w:t>855.000.000</w:t>
            </w:r>
          </w:p>
        </w:tc>
        <w:tc>
          <w:tcPr>
            <w:tcW w:w="1700" w:type="dxa"/>
            <w:vAlign w:val="center"/>
          </w:tcPr>
          <w:p w14:paraId="423843AD">
            <w:pPr>
              <w:jc w:val="center"/>
              <w:rPr>
                <w:sz w:val="22"/>
                <w:szCs w:val="22"/>
              </w:rPr>
            </w:pPr>
            <w:r>
              <w:rPr>
                <w:sz w:val="22"/>
                <w:szCs w:val="22"/>
              </w:rPr>
              <w:t>1.359.000.000</w:t>
            </w:r>
          </w:p>
        </w:tc>
        <w:tc>
          <w:tcPr>
            <w:tcW w:w="1140" w:type="dxa"/>
            <w:noWrap/>
            <w:vAlign w:val="center"/>
          </w:tcPr>
          <w:p w14:paraId="038929AE">
            <w:pPr>
              <w:jc w:val="center"/>
              <w:rPr>
                <w:sz w:val="22"/>
                <w:szCs w:val="22"/>
              </w:rPr>
            </w:pPr>
            <w:r>
              <w:rPr>
                <w:sz w:val="22"/>
                <w:szCs w:val="22"/>
              </w:rPr>
              <w:t>1,59%</w:t>
            </w:r>
          </w:p>
        </w:tc>
      </w:tr>
      <w:tr w14:paraId="6AF2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59B9FA91">
            <w:pPr>
              <w:jc w:val="center"/>
              <w:rPr>
                <w:sz w:val="22"/>
                <w:szCs w:val="22"/>
              </w:rPr>
            </w:pPr>
            <w:r>
              <w:rPr>
                <w:sz w:val="22"/>
                <w:szCs w:val="22"/>
              </w:rPr>
              <w:t>121</w:t>
            </w:r>
          </w:p>
        </w:tc>
        <w:tc>
          <w:tcPr>
            <w:tcW w:w="1752" w:type="dxa"/>
            <w:noWrap/>
            <w:vAlign w:val="center"/>
          </w:tcPr>
          <w:p w14:paraId="4ECE707B">
            <w:pPr>
              <w:jc w:val="center"/>
              <w:rPr>
                <w:sz w:val="22"/>
                <w:szCs w:val="22"/>
              </w:rPr>
            </w:pPr>
          </w:p>
        </w:tc>
        <w:tc>
          <w:tcPr>
            <w:tcW w:w="944" w:type="dxa"/>
            <w:vMerge w:val="continue"/>
            <w:vAlign w:val="center"/>
          </w:tcPr>
          <w:p w14:paraId="60BDF66C">
            <w:pPr>
              <w:jc w:val="center"/>
              <w:rPr>
                <w:sz w:val="22"/>
                <w:szCs w:val="22"/>
              </w:rPr>
            </w:pPr>
          </w:p>
        </w:tc>
        <w:tc>
          <w:tcPr>
            <w:tcW w:w="1116" w:type="dxa"/>
            <w:vAlign w:val="center"/>
          </w:tcPr>
          <w:p w14:paraId="72A381F8">
            <w:pPr>
              <w:jc w:val="center"/>
              <w:rPr>
                <w:sz w:val="22"/>
                <w:szCs w:val="22"/>
              </w:rPr>
            </w:pPr>
            <w:r>
              <w:rPr>
                <w:sz w:val="22"/>
                <w:szCs w:val="22"/>
              </w:rPr>
              <w:t>56</w:t>
            </w:r>
          </w:p>
        </w:tc>
        <w:tc>
          <w:tcPr>
            <w:tcW w:w="1010" w:type="dxa"/>
            <w:vAlign w:val="center"/>
          </w:tcPr>
          <w:p w14:paraId="05BE0726">
            <w:pPr>
              <w:jc w:val="center"/>
              <w:rPr>
                <w:sz w:val="22"/>
                <w:szCs w:val="22"/>
              </w:rPr>
            </w:pPr>
            <w:r>
              <w:rPr>
                <w:sz w:val="22"/>
                <w:szCs w:val="22"/>
              </w:rPr>
              <w:t>90,00</w:t>
            </w:r>
          </w:p>
        </w:tc>
        <w:tc>
          <w:tcPr>
            <w:tcW w:w="1591" w:type="dxa"/>
            <w:vAlign w:val="center"/>
          </w:tcPr>
          <w:p w14:paraId="6625009D">
            <w:pPr>
              <w:jc w:val="center"/>
              <w:rPr>
                <w:sz w:val="22"/>
                <w:szCs w:val="22"/>
              </w:rPr>
            </w:pPr>
            <w:r>
              <w:rPr>
                <w:sz w:val="22"/>
                <w:szCs w:val="22"/>
              </w:rPr>
              <w:t>855.000.000</w:t>
            </w:r>
          </w:p>
        </w:tc>
        <w:tc>
          <w:tcPr>
            <w:tcW w:w="1700" w:type="dxa"/>
            <w:vAlign w:val="center"/>
          </w:tcPr>
          <w:p w14:paraId="34956FA3">
            <w:pPr>
              <w:jc w:val="center"/>
              <w:rPr>
                <w:sz w:val="22"/>
                <w:szCs w:val="22"/>
              </w:rPr>
            </w:pPr>
            <w:r>
              <w:rPr>
                <w:sz w:val="22"/>
                <w:szCs w:val="22"/>
              </w:rPr>
              <w:t>1.351.000.000</w:t>
            </w:r>
          </w:p>
        </w:tc>
        <w:tc>
          <w:tcPr>
            <w:tcW w:w="1140" w:type="dxa"/>
            <w:noWrap/>
            <w:vAlign w:val="center"/>
          </w:tcPr>
          <w:p w14:paraId="63E88991">
            <w:pPr>
              <w:jc w:val="center"/>
              <w:rPr>
                <w:sz w:val="22"/>
                <w:szCs w:val="22"/>
              </w:rPr>
            </w:pPr>
            <w:r>
              <w:rPr>
                <w:sz w:val="22"/>
                <w:szCs w:val="22"/>
              </w:rPr>
              <w:t>1,58%</w:t>
            </w:r>
          </w:p>
        </w:tc>
      </w:tr>
      <w:tr w14:paraId="3199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320D7EB">
            <w:pPr>
              <w:jc w:val="center"/>
              <w:rPr>
                <w:sz w:val="22"/>
                <w:szCs w:val="22"/>
              </w:rPr>
            </w:pPr>
            <w:r>
              <w:rPr>
                <w:sz w:val="22"/>
                <w:szCs w:val="22"/>
              </w:rPr>
              <w:t>122</w:t>
            </w:r>
          </w:p>
        </w:tc>
        <w:tc>
          <w:tcPr>
            <w:tcW w:w="1752" w:type="dxa"/>
            <w:noWrap/>
            <w:vAlign w:val="center"/>
          </w:tcPr>
          <w:p w14:paraId="4E084157">
            <w:pPr>
              <w:jc w:val="center"/>
              <w:rPr>
                <w:sz w:val="22"/>
                <w:szCs w:val="22"/>
              </w:rPr>
            </w:pPr>
          </w:p>
        </w:tc>
        <w:tc>
          <w:tcPr>
            <w:tcW w:w="944" w:type="dxa"/>
            <w:vMerge w:val="continue"/>
            <w:vAlign w:val="center"/>
          </w:tcPr>
          <w:p w14:paraId="2DBF80E5">
            <w:pPr>
              <w:jc w:val="center"/>
              <w:rPr>
                <w:sz w:val="22"/>
                <w:szCs w:val="22"/>
              </w:rPr>
            </w:pPr>
          </w:p>
        </w:tc>
        <w:tc>
          <w:tcPr>
            <w:tcW w:w="1116" w:type="dxa"/>
            <w:vAlign w:val="center"/>
          </w:tcPr>
          <w:p w14:paraId="26C0A650">
            <w:pPr>
              <w:jc w:val="center"/>
              <w:rPr>
                <w:sz w:val="22"/>
                <w:szCs w:val="22"/>
              </w:rPr>
            </w:pPr>
            <w:r>
              <w:rPr>
                <w:sz w:val="22"/>
                <w:szCs w:val="22"/>
              </w:rPr>
              <w:t>57</w:t>
            </w:r>
          </w:p>
        </w:tc>
        <w:tc>
          <w:tcPr>
            <w:tcW w:w="1010" w:type="dxa"/>
            <w:vAlign w:val="center"/>
          </w:tcPr>
          <w:p w14:paraId="47B90BBA">
            <w:pPr>
              <w:jc w:val="center"/>
              <w:rPr>
                <w:sz w:val="22"/>
                <w:szCs w:val="22"/>
              </w:rPr>
            </w:pPr>
            <w:r>
              <w:rPr>
                <w:sz w:val="22"/>
                <w:szCs w:val="22"/>
              </w:rPr>
              <w:t>90,00</w:t>
            </w:r>
          </w:p>
        </w:tc>
        <w:tc>
          <w:tcPr>
            <w:tcW w:w="1591" w:type="dxa"/>
            <w:vAlign w:val="center"/>
          </w:tcPr>
          <w:p w14:paraId="2103AF0C">
            <w:pPr>
              <w:jc w:val="center"/>
              <w:rPr>
                <w:sz w:val="22"/>
                <w:szCs w:val="22"/>
              </w:rPr>
            </w:pPr>
            <w:r>
              <w:rPr>
                <w:sz w:val="22"/>
                <w:szCs w:val="22"/>
              </w:rPr>
              <w:t>855.000.000</w:t>
            </w:r>
          </w:p>
        </w:tc>
        <w:tc>
          <w:tcPr>
            <w:tcW w:w="1700" w:type="dxa"/>
            <w:vAlign w:val="center"/>
          </w:tcPr>
          <w:p w14:paraId="255F15FC">
            <w:pPr>
              <w:jc w:val="center"/>
              <w:rPr>
                <w:sz w:val="22"/>
                <w:szCs w:val="22"/>
              </w:rPr>
            </w:pPr>
            <w:r>
              <w:rPr>
                <w:sz w:val="22"/>
                <w:szCs w:val="22"/>
              </w:rPr>
              <w:t>1.341.000.000</w:t>
            </w:r>
          </w:p>
        </w:tc>
        <w:tc>
          <w:tcPr>
            <w:tcW w:w="1140" w:type="dxa"/>
            <w:noWrap/>
            <w:vAlign w:val="center"/>
          </w:tcPr>
          <w:p w14:paraId="4BDB27FB">
            <w:pPr>
              <w:jc w:val="center"/>
              <w:rPr>
                <w:sz w:val="22"/>
                <w:szCs w:val="22"/>
              </w:rPr>
            </w:pPr>
            <w:r>
              <w:rPr>
                <w:sz w:val="22"/>
                <w:szCs w:val="22"/>
              </w:rPr>
              <w:t>1,57%</w:t>
            </w:r>
          </w:p>
        </w:tc>
      </w:tr>
      <w:tr w14:paraId="17AB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70A6F24B">
            <w:pPr>
              <w:jc w:val="center"/>
              <w:rPr>
                <w:sz w:val="22"/>
                <w:szCs w:val="22"/>
              </w:rPr>
            </w:pPr>
            <w:r>
              <w:rPr>
                <w:sz w:val="22"/>
                <w:szCs w:val="22"/>
              </w:rPr>
              <w:t>123</w:t>
            </w:r>
          </w:p>
        </w:tc>
        <w:tc>
          <w:tcPr>
            <w:tcW w:w="1752" w:type="dxa"/>
            <w:noWrap/>
            <w:vAlign w:val="center"/>
          </w:tcPr>
          <w:p w14:paraId="4FAA1EE8">
            <w:pPr>
              <w:jc w:val="center"/>
              <w:rPr>
                <w:sz w:val="22"/>
                <w:szCs w:val="22"/>
              </w:rPr>
            </w:pPr>
          </w:p>
        </w:tc>
        <w:tc>
          <w:tcPr>
            <w:tcW w:w="944" w:type="dxa"/>
            <w:vMerge w:val="continue"/>
            <w:vAlign w:val="center"/>
          </w:tcPr>
          <w:p w14:paraId="4C708744">
            <w:pPr>
              <w:jc w:val="center"/>
              <w:rPr>
                <w:sz w:val="22"/>
                <w:szCs w:val="22"/>
              </w:rPr>
            </w:pPr>
          </w:p>
        </w:tc>
        <w:tc>
          <w:tcPr>
            <w:tcW w:w="1116" w:type="dxa"/>
            <w:vAlign w:val="center"/>
          </w:tcPr>
          <w:p w14:paraId="14022581">
            <w:pPr>
              <w:jc w:val="center"/>
              <w:rPr>
                <w:sz w:val="22"/>
                <w:szCs w:val="22"/>
              </w:rPr>
            </w:pPr>
            <w:r>
              <w:rPr>
                <w:sz w:val="22"/>
                <w:szCs w:val="22"/>
              </w:rPr>
              <w:t>58</w:t>
            </w:r>
          </w:p>
        </w:tc>
        <w:tc>
          <w:tcPr>
            <w:tcW w:w="1010" w:type="dxa"/>
            <w:vAlign w:val="center"/>
          </w:tcPr>
          <w:p w14:paraId="31658B9F">
            <w:pPr>
              <w:jc w:val="center"/>
              <w:rPr>
                <w:sz w:val="22"/>
                <w:szCs w:val="22"/>
              </w:rPr>
            </w:pPr>
            <w:r>
              <w:rPr>
                <w:sz w:val="22"/>
                <w:szCs w:val="22"/>
              </w:rPr>
              <w:t>90,00</w:t>
            </w:r>
          </w:p>
        </w:tc>
        <w:tc>
          <w:tcPr>
            <w:tcW w:w="1591" w:type="dxa"/>
            <w:vAlign w:val="center"/>
          </w:tcPr>
          <w:p w14:paraId="1FAA30B9">
            <w:pPr>
              <w:jc w:val="center"/>
              <w:rPr>
                <w:sz w:val="22"/>
                <w:szCs w:val="22"/>
              </w:rPr>
            </w:pPr>
            <w:r>
              <w:rPr>
                <w:sz w:val="22"/>
                <w:szCs w:val="22"/>
              </w:rPr>
              <w:t>855.000.000</w:t>
            </w:r>
          </w:p>
        </w:tc>
        <w:tc>
          <w:tcPr>
            <w:tcW w:w="1700" w:type="dxa"/>
            <w:vAlign w:val="center"/>
          </w:tcPr>
          <w:p w14:paraId="5F1BFA81">
            <w:pPr>
              <w:jc w:val="center"/>
              <w:rPr>
                <w:sz w:val="22"/>
                <w:szCs w:val="22"/>
              </w:rPr>
            </w:pPr>
            <w:r>
              <w:rPr>
                <w:sz w:val="22"/>
                <w:szCs w:val="22"/>
              </w:rPr>
              <w:t>1.418.000.000</w:t>
            </w:r>
          </w:p>
        </w:tc>
        <w:tc>
          <w:tcPr>
            <w:tcW w:w="1140" w:type="dxa"/>
            <w:noWrap/>
            <w:vAlign w:val="center"/>
          </w:tcPr>
          <w:p w14:paraId="4F6603C6">
            <w:pPr>
              <w:jc w:val="center"/>
              <w:rPr>
                <w:sz w:val="22"/>
                <w:szCs w:val="22"/>
              </w:rPr>
            </w:pPr>
            <w:r>
              <w:rPr>
                <w:sz w:val="22"/>
                <w:szCs w:val="22"/>
              </w:rPr>
              <w:t>1,66%</w:t>
            </w:r>
          </w:p>
        </w:tc>
      </w:tr>
      <w:tr w14:paraId="1E3D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trPr>
        <w:tc>
          <w:tcPr>
            <w:tcW w:w="657" w:type="dxa"/>
            <w:noWrap/>
            <w:vAlign w:val="center"/>
          </w:tcPr>
          <w:p w14:paraId="2F02F3B8">
            <w:pPr>
              <w:jc w:val="center"/>
              <w:rPr>
                <w:sz w:val="22"/>
                <w:szCs w:val="22"/>
              </w:rPr>
            </w:pPr>
            <w:r>
              <w:rPr>
                <w:sz w:val="22"/>
                <w:szCs w:val="22"/>
              </w:rPr>
              <w:t>124</w:t>
            </w:r>
          </w:p>
        </w:tc>
        <w:tc>
          <w:tcPr>
            <w:tcW w:w="1752" w:type="dxa"/>
            <w:noWrap/>
            <w:vAlign w:val="center"/>
          </w:tcPr>
          <w:p w14:paraId="1F4CB76E">
            <w:pPr>
              <w:jc w:val="center"/>
              <w:rPr>
                <w:sz w:val="22"/>
                <w:szCs w:val="22"/>
              </w:rPr>
            </w:pPr>
          </w:p>
        </w:tc>
        <w:tc>
          <w:tcPr>
            <w:tcW w:w="944" w:type="dxa"/>
            <w:vMerge w:val="continue"/>
            <w:vAlign w:val="center"/>
          </w:tcPr>
          <w:p w14:paraId="5D25CBC7">
            <w:pPr>
              <w:jc w:val="center"/>
              <w:rPr>
                <w:sz w:val="22"/>
                <w:szCs w:val="22"/>
              </w:rPr>
            </w:pPr>
          </w:p>
        </w:tc>
        <w:tc>
          <w:tcPr>
            <w:tcW w:w="1116" w:type="dxa"/>
            <w:vAlign w:val="center"/>
          </w:tcPr>
          <w:p w14:paraId="0E0782D0">
            <w:pPr>
              <w:jc w:val="center"/>
              <w:rPr>
                <w:sz w:val="22"/>
                <w:szCs w:val="22"/>
              </w:rPr>
            </w:pPr>
            <w:r>
              <w:rPr>
                <w:sz w:val="22"/>
                <w:szCs w:val="22"/>
              </w:rPr>
              <w:t>59</w:t>
            </w:r>
          </w:p>
        </w:tc>
        <w:tc>
          <w:tcPr>
            <w:tcW w:w="1010" w:type="dxa"/>
            <w:vAlign w:val="center"/>
          </w:tcPr>
          <w:p w14:paraId="51322028">
            <w:pPr>
              <w:jc w:val="center"/>
              <w:rPr>
                <w:sz w:val="22"/>
                <w:szCs w:val="22"/>
              </w:rPr>
            </w:pPr>
            <w:r>
              <w:rPr>
                <w:sz w:val="22"/>
                <w:szCs w:val="22"/>
              </w:rPr>
              <w:t>120,50</w:t>
            </w:r>
          </w:p>
        </w:tc>
        <w:tc>
          <w:tcPr>
            <w:tcW w:w="1591" w:type="dxa"/>
            <w:vAlign w:val="center"/>
          </w:tcPr>
          <w:p w14:paraId="0B087A06">
            <w:pPr>
              <w:jc w:val="center"/>
              <w:rPr>
                <w:sz w:val="22"/>
                <w:szCs w:val="22"/>
              </w:rPr>
            </w:pPr>
            <w:r>
              <w:rPr>
                <w:sz w:val="22"/>
                <w:szCs w:val="22"/>
              </w:rPr>
              <w:t>1.373.700.000</w:t>
            </w:r>
          </w:p>
        </w:tc>
        <w:tc>
          <w:tcPr>
            <w:tcW w:w="1700" w:type="dxa"/>
            <w:vAlign w:val="center"/>
          </w:tcPr>
          <w:p w14:paraId="5F3DE356">
            <w:pPr>
              <w:jc w:val="center"/>
              <w:rPr>
                <w:sz w:val="22"/>
                <w:szCs w:val="22"/>
              </w:rPr>
            </w:pPr>
            <w:r>
              <w:rPr>
                <w:sz w:val="22"/>
                <w:szCs w:val="22"/>
              </w:rPr>
              <w:t>2.398.000.000</w:t>
            </w:r>
          </w:p>
        </w:tc>
        <w:tc>
          <w:tcPr>
            <w:tcW w:w="1140" w:type="dxa"/>
            <w:noWrap/>
            <w:vAlign w:val="center"/>
          </w:tcPr>
          <w:p w14:paraId="64474C0E">
            <w:pPr>
              <w:jc w:val="center"/>
              <w:rPr>
                <w:sz w:val="22"/>
                <w:szCs w:val="22"/>
              </w:rPr>
            </w:pPr>
            <w:r>
              <w:rPr>
                <w:sz w:val="22"/>
                <w:szCs w:val="22"/>
              </w:rPr>
              <w:t>1,75%</w:t>
            </w:r>
          </w:p>
        </w:tc>
      </w:tr>
    </w:tbl>
    <w:p w14:paraId="5E536499">
      <w:pPr>
        <w:spacing w:before="60" w:line="22" w:lineRule="atLeast"/>
        <w:ind w:firstLine="567"/>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BIỂU TỔNG HỢP KẾT QUẢ TRÚNG ĐẤU GIÁ THÀNH CÔNG TRÊN ĐỊA BÀN HUYỆN LẠNG GIANG NĂM 2025 (TÍNH ĐẾN THÁNG 6/2025</w:t>
      </w:r>
    </w:p>
    <w:p w14:paraId="3FDDD945">
      <w:pPr>
        <w:spacing w:before="60" w:line="22" w:lineRule="atLeast"/>
        <w:ind w:firstLine="567"/>
        <w:jc w:val="both"/>
        <w:rPr>
          <w:b/>
          <w:bCs/>
          <w:color w:val="000000" w:themeColor="text1"/>
          <w:sz w:val="26"/>
          <w:szCs w:val="26"/>
          <w14:textFill>
            <w14:solidFill>
              <w14:schemeClr w14:val="tx1"/>
            </w14:solidFill>
          </w14:textFill>
        </w:rPr>
      </w:pPr>
    </w:p>
    <w:tbl>
      <w:tblPr>
        <w:tblStyle w:val="9"/>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89"/>
        <w:gridCol w:w="742"/>
        <w:gridCol w:w="675"/>
        <w:gridCol w:w="1097"/>
        <w:gridCol w:w="1815"/>
        <w:gridCol w:w="1796"/>
        <w:gridCol w:w="1390"/>
      </w:tblGrid>
      <w:tr w14:paraId="5FE1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636" w:type="dxa"/>
            <w:vMerge w:val="restart"/>
            <w:vAlign w:val="center"/>
          </w:tcPr>
          <w:p w14:paraId="1105BCF9">
            <w:pPr>
              <w:jc w:val="center"/>
              <w:rPr>
                <w:b/>
                <w:bCs/>
                <w:sz w:val="22"/>
                <w:szCs w:val="22"/>
              </w:rPr>
            </w:pPr>
            <w:r>
              <w:rPr>
                <w:b/>
                <w:bCs/>
                <w:sz w:val="22"/>
                <w:szCs w:val="22"/>
              </w:rPr>
              <w:t>STT</w:t>
            </w:r>
          </w:p>
        </w:tc>
        <w:tc>
          <w:tcPr>
            <w:tcW w:w="1491" w:type="dxa"/>
            <w:vMerge w:val="restart"/>
            <w:vAlign w:val="center"/>
          </w:tcPr>
          <w:p w14:paraId="242F4692">
            <w:pPr>
              <w:jc w:val="center"/>
              <w:rPr>
                <w:b/>
                <w:bCs/>
                <w:sz w:val="22"/>
                <w:szCs w:val="22"/>
              </w:rPr>
            </w:pPr>
            <w:r>
              <w:rPr>
                <w:b/>
                <w:bCs/>
                <w:sz w:val="22"/>
                <w:szCs w:val="22"/>
              </w:rPr>
              <w:t>Địa chỉ lô đất đấu giá</w:t>
            </w:r>
          </w:p>
        </w:tc>
        <w:tc>
          <w:tcPr>
            <w:tcW w:w="742" w:type="dxa"/>
            <w:vMerge w:val="restart"/>
            <w:vAlign w:val="center"/>
          </w:tcPr>
          <w:p w14:paraId="44B305A9">
            <w:pPr>
              <w:jc w:val="center"/>
              <w:rPr>
                <w:b/>
                <w:bCs/>
                <w:sz w:val="22"/>
                <w:szCs w:val="22"/>
              </w:rPr>
            </w:pPr>
            <w:r>
              <w:rPr>
                <w:b/>
                <w:bCs/>
                <w:sz w:val="22"/>
                <w:szCs w:val="22"/>
              </w:rPr>
              <w:t>Phân lô</w:t>
            </w:r>
          </w:p>
        </w:tc>
        <w:tc>
          <w:tcPr>
            <w:tcW w:w="676" w:type="dxa"/>
            <w:vMerge w:val="restart"/>
            <w:vAlign w:val="center"/>
          </w:tcPr>
          <w:p w14:paraId="22ED0E32">
            <w:pPr>
              <w:jc w:val="center"/>
              <w:rPr>
                <w:b/>
                <w:bCs/>
                <w:sz w:val="22"/>
                <w:szCs w:val="22"/>
              </w:rPr>
            </w:pPr>
            <w:r>
              <w:rPr>
                <w:b/>
                <w:bCs/>
                <w:sz w:val="22"/>
                <w:szCs w:val="22"/>
              </w:rPr>
              <w:t>Lô đất số</w:t>
            </w:r>
          </w:p>
        </w:tc>
        <w:tc>
          <w:tcPr>
            <w:tcW w:w="1098" w:type="dxa"/>
            <w:vMerge w:val="restart"/>
            <w:vAlign w:val="center"/>
          </w:tcPr>
          <w:p w14:paraId="7B4659EB">
            <w:pPr>
              <w:jc w:val="center"/>
              <w:rPr>
                <w:b/>
                <w:bCs/>
                <w:sz w:val="22"/>
                <w:szCs w:val="22"/>
              </w:rPr>
            </w:pPr>
            <w:r>
              <w:rPr>
                <w:b/>
                <w:bCs/>
                <w:sz w:val="22"/>
                <w:szCs w:val="22"/>
              </w:rPr>
              <w:t>Diện tích (m2)</w:t>
            </w:r>
          </w:p>
        </w:tc>
        <w:tc>
          <w:tcPr>
            <w:tcW w:w="1817" w:type="dxa"/>
            <w:vMerge w:val="restart"/>
            <w:vAlign w:val="center"/>
          </w:tcPr>
          <w:p w14:paraId="54F490B2">
            <w:pPr>
              <w:jc w:val="center"/>
              <w:rPr>
                <w:b/>
                <w:bCs/>
                <w:sz w:val="22"/>
                <w:szCs w:val="22"/>
              </w:rPr>
            </w:pPr>
            <w:r>
              <w:rPr>
                <w:b/>
                <w:bCs/>
                <w:sz w:val="22"/>
                <w:szCs w:val="22"/>
              </w:rPr>
              <w:t>Giá khởi điểm (đồng)</w:t>
            </w:r>
          </w:p>
        </w:tc>
        <w:tc>
          <w:tcPr>
            <w:tcW w:w="1798" w:type="dxa"/>
            <w:vMerge w:val="restart"/>
            <w:vAlign w:val="center"/>
          </w:tcPr>
          <w:p w14:paraId="455FCE1C">
            <w:pPr>
              <w:jc w:val="center"/>
              <w:rPr>
                <w:b/>
                <w:bCs/>
                <w:sz w:val="22"/>
                <w:szCs w:val="22"/>
              </w:rPr>
            </w:pPr>
            <w:r>
              <w:rPr>
                <w:b/>
                <w:bCs/>
                <w:sz w:val="22"/>
                <w:szCs w:val="22"/>
              </w:rPr>
              <w:t>Số tiền (đồng)</w:t>
            </w:r>
          </w:p>
        </w:tc>
        <w:tc>
          <w:tcPr>
            <w:tcW w:w="1382" w:type="dxa"/>
            <w:vMerge w:val="restart"/>
            <w:vAlign w:val="center"/>
          </w:tcPr>
          <w:p w14:paraId="0772F306">
            <w:pPr>
              <w:jc w:val="center"/>
              <w:rPr>
                <w:b/>
                <w:bCs/>
                <w:sz w:val="22"/>
                <w:szCs w:val="22"/>
              </w:rPr>
            </w:pPr>
            <w:r>
              <w:rPr>
                <w:b/>
                <w:bCs/>
                <w:sz w:val="22"/>
                <w:szCs w:val="22"/>
              </w:rPr>
              <w:t>Chênh lệch giữa giá trúng đấu thầu/ giá khởi điểm</w:t>
            </w:r>
          </w:p>
        </w:tc>
      </w:tr>
      <w:tr w14:paraId="0BB2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6" w:type="dxa"/>
            <w:vMerge w:val="continue"/>
            <w:vAlign w:val="center"/>
          </w:tcPr>
          <w:p w14:paraId="77911D68">
            <w:pPr>
              <w:jc w:val="center"/>
              <w:rPr>
                <w:b/>
                <w:bCs/>
                <w:sz w:val="22"/>
                <w:szCs w:val="22"/>
              </w:rPr>
            </w:pPr>
          </w:p>
        </w:tc>
        <w:tc>
          <w:tcPr>
            <w:tcW w:w="1491" w:type="dxa"/>
            <w:vMerge w:val="continue"/>
            <w:vAlign w:val="center"/>
          </w:tcPr>
          <w:p w14:paraId="15221BB1">
            <w:pPr>
              <w:jc w:val="center"/>
              <w:rPr>
                <w:b/>
                <w:bCs/>
                <w:sz w:val="22"/>
                <w:szCs w:val="22"/>
              </w:rPr>
            </w:pPr>
          </w:p>
        </w:tc>
        <w:tc>
          <w:tcPr>
            <w:tcW w:w="742" w:type="dxa"/>
            <w:vMerge w:val="continue"/>
            <w:vAlign w:val="center"/>
          </w:tcPr>
          <w:p w14:paraId="588D00FC">
            <w:pPr>
              <w:jc w:val="center"/>
              <w:rPr>
                <w:b/>
                <w:bCs/>
                <w:sz w:val="22"/>
                <w:szCs w:val="22"/>
              </w:rPr>
            </w:pPr>
          </w:p>
        </w:tc>
        <w:tc>
          <w:tcPr>
            <w:tcW w:w="676" w:type="dxa"/>
            <w:vMerge w:val="continue"/>
            <w:vAlign w:val="center"/>
          </w:tcPr>
          <w:p w14:paraId="346B996A">
            <w:pPr>
              <w:jc w:val="center"/>
              <w:rPr>
                <w:b/>
                <w:bCs/>
                <w:sz w:val="22"/>
                <w:szCs w:val="22"/>
              </w:rPr>
            </w:pPr>
          </w:p>
        </w:tc>
        <w:tc>
          <w:tcPr>
            <w:tcW w:w="1098" w:type="dxa"/>
            <w:vMerge w:val="continue"/>
            <w:vAlign w:val="center"/>
          </w:tcPr>
          <w:p w14:paraId="1EE9577E">
            <w:pPr>
              <w:jc w:val="center"/>
              <w:rPr>
                <w:b/>
                <w:bCs/>
                <w:sz w:val="22"/>
                <w:szCs w:val="22"/>
              </w:rPr>
            </w:pPr>
          </w:p>
        </w:tc>
        <w:tc>
          <w:tcPr>
            <w:tcW w:w="1817" w:type="dxa"/>
            <w:vMerge w:val="continue"/>
            <w:vAlign w:val="center"/>
          </w:tcPr>
          <w:p w14:paraId="78CE4A65">
            <w:pPr>
              <w:jc w:val="center"/>
              <w:rPr>
                <w:b/>
                <w:bCs/>
                <w:sz w:val="22"/>
                <w:szCs w:val="22"/>
              </w:rPr>
            </w:pPr>
          </w:p>
        </w:tc>
        <w:tc>
          <w:tcPr>
            <w:tcW w:w="1798" w:type="dxa"/>
            <w:vMerge w:val="continue"/>
            <w:vAlign w:val="center"/>
          </w:tcPr>
          <w:p w14:paraId="1D090BCA">
            <w:pPr>
              <w:jc w:val="center"/>
              <w:rPr>
                <w:b/>
                <w:bCs/>
                <w:sz w:val="22"/>
                <w:szCs w:val="22"/>
              </w:rPr>
            </w:pPr>
          </w:p>
        </w:tc>
        <w:tc>
          <w:tcPr>
            <w:tcW w:w="1382" w:type="dxa"/>
            <w:vMerge w:val="continue"/>
            <w:vAlign w:val="center"/>
          </w:tcPr>
          <w:p w14:paraId="7F160B09">
            <w:pPr>
              <w:jc w:val="center"/>
              <w:rPr>
                <w:b/>
                <w:bCs/>
                <w:sz w:val="22"/>
                <w:szCs w:val="22"/>
              </w:rPr>
            </w:pPr>
          </w:p>
        </w:tc>
      </w:tr>
      <w:tr w14:paraId="58B3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2" w:type="dxa"/>
          <w:trHeight w:val="20" w:hRule="atLeast"/>
        </w:trPr>
        <w:tc>
          <w:tcPr>
            <w:tcW w:w="636" w:type="dxa"/>
            <w:noWrap/>
            <w:vAlign w:val="center"/>
          </w:tcPr>
          <w:p w14:paraId="559F78C4">
            <w:pPr>
              <w:jc w:val="center"/>
              <w:rPr>
                <w:b/>
                <w:bCs/>
                <w:sz w:val="22"/>
                <w:szCs w:val="22"/>
              </w:rPr>
            </w:pPr>
            <w:r>
              <w:rPr>
                <w:b/>
                <w:bCs/>
                <w:sz w:val="22"/>
                <w:szCs w:val="22"/>
              </w:rPr>
              <w:t>I</w:t>
            </w:r>
          </w:p>
        </w:tc>
        <w:tc>
          <w:tcPr>
            <w:tcW w:w="2909" w:type="dxa"/>
            <w:gridSpan w:val="3"/>
            <w:vAlign w:val="center"/>
          </w:tcPr>
          <w:p w14:paraId="61E8E68B">
            <w:pPr>
              <w:jc w:val="center"/>
              <w:rPr>
                <w:b/>
                <w:bCs/>
                <w:sz w:val="22"/>
                <w:szCs w:val="22"/>
              </w:rPr>
            </w:pPr>
            <w:r>
              <w:rPr>
                <w:b/>
                <w:bCs/>
                <w:sz w:val="22"/>
                <w:szCs w:val="22"/>
              </w:rPr>
              <w:t>CUỘC ĐẤU GIÁ 42 LÔ ĐẤT KHU CỔNG UBND XÃ QUANG THỊNH, HUYỆN LẠNG GIANG, ĐẤU 29/5/2025</w:t>
            </w:r>
          </w:p>
        </w:tc>
        <w:tc>
          <w:tcPr>
            <w:tcW w:w="1098" w:type="dxa"/>
            <w:noWrap/>
            <w:vAlign w:val="center"/>
          </w:tcPr>
          <w:p w14:paraId="3EE15F8D">
            <w:pPr>
              <w:jc w:val="center"/>
              <w:rPr>
                <w:b/>
                <w:bCs/>
                <w:sz w:val="22"/>
                <w:szCs w:val="22"/>
              </w:rPr>
            </w:pPr>
            <w:r>
              <w:rPr>
                <w:b/>
                <w:bCs/>
                <w:sz w:val="22"/>
                <w:szCs w:val="22"/>
              </w:rPr>
              <w:t>11614,7</w:t>
            </w:r>
          </w:p>
        </w:tc>
        <w:tc>
          <w:tcPr>
            <w:tcW w:w="1812" w:type="dxa"/>
            <w:noWrap/>
            <w:vAlign w:val="center"/>
          </w:tcPr>
          <w:p w14:paraId="671B8421">
            <w:pPr>
              <w:jc w:val="center"/>
              <w:rPr>
                <w:b/>
                <w:bCs/>
                <w:sz w:val="22"/>
                <w:szCs w:val="22"/>
              </w:rPr>
            </w:pPr>
            <w:r>
              <w:rPr>
                <w:b/>
                <w:bCs/>
                <w:sz w:val="22"/>
                <w:szCs w:val="22"/>
              </w:rPr>
              <w:t>85.430.520.000</w:t>
            </w:r>
          </w:p>
        </w:tc>
        <w:tc>
          <w:tcPr>
            <w:tcW w:w="1793" w:type="dxa"/>
            <w:noWrap/>
            <w:vAlign w:val="center"/>
          </w:tcPr>
          <w:p w14:paraId="25A8D303">
            <w:pPr>
              <w:jc w:val="center"/>
              <w:rPr>
                <w:b/>
                <w:bCs/>
                <w:sz w:val="22"/>
                <w:szCs w:val="22"/>
              </w:rPr>
            </w:pPr>
            <w:r>
              <w:rPr>
                <w:b/>
                <w:bCs/>
                <w:sz w:val="22"/>
                <w:szCs w:val="22"/>
              </w:rPr>
              <w:t>126.522.326.000</w:t>
            </w:r>
          </w:p>
        </w:tc>
      </w:tr>
      <w:tr w14:paraId="222C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6889257">
            <w:pPr>
              <w:jc w:val="center"/>
              <w:rPr>
                <w:sz w:val="22"/>
                <w:szCs w:val="22"/>
              </w:rPr>
            </w:pPr>
          </w:p>
        </w:tc>
        <w:tc>
          <w:tcPr>
            <w:tcW w:w="1491" w:type="dxa"/>
            <w:noWrap/>
            <w:vAlign w:val="center"/>
          </w:tcPr>
          <w:p w14:paraId="4062CEA6">
            <w:pPr>
              <w:jc w:val="center"/>
              <w:rPr>
                <w:sz w:val="22"/>
                <w:szCs w:val="22"/>
              </w:rPr>
            </w:pPr>
          </w:p>
        </w:tc>
        <w:tc>
          <w:tcPr>
            <w:tcW w:w="742" w:type="dxa"/>
            <w:vMerge w:val="restart"/>
            <w:vAlign w:val="center"/>
          </w:tcPr>
          <w:p w14:paraId="299E953E">
            <w:pPr>
              <w:jc w:val="center"/>
              <w:rPr>
                <w:sz w:val="22"/>
                <w:szCs w:val="22"/>
              </w:rPr>
            </w:pPr>
            <w:r>
              <w:rPr>
                <w:sz w:val="22"/>
                <w:szCs w:val="22"/>
              </w:rPr>
              <w:t>LK01</w:t>
            </w:r>
          </w:p>
        </w:tc>
        <w:tc>
          <w:tcPr>
            <w:tcW w:w="676" w:type="dxa"/>
            <w:noWrap/>
            <w:vAlign w:val="center"/>
          </w:tcPr>
          <w:p w14:paraId="43D02452">
            <w:pPr>
              <w:jc w:val="center"/>
              <w:rPr>
                <w:sz w:val="22"/>
                <w:szCs w:val="22"/>
              </w:rPr>
            </w:pPr>
            <w:r>
              <w:rPr>
                <w:sz w:val="22"/>
                <w:szCs w:val="22"/>
              </w:rPr>
              <w:t>1</w:t>
            </w:r>
          </w:p>
        </w:tc>
        <w:tc>
          <w:tcPr>
            <w:tcW w:w="1098" w:type="dxa"/>
            <w:noWrap/>
            <w:vAlign w:val="center"/>
          </w:tcPr>
          <w:p w14:paraId="230E2B7E">
            <w:pPr>
              <w:jc w:val="center"/>
              <w:rPr>
                <w:sz w:val="22"/>
                <w:szCs w:val="22"/>
              </w:rPr>
            </w:pPr>
            <w:r>
              <w:rPr>
                <w:sz w:val="22"/>
                <w:szCs w:val="22"/>
              </w:rPr>
              <w:t>151,4</w:t>
            </w:r>
          </w:p>
        </w:tc>
        <w:tc>
          <w:tcPr>
            <w:tcW w:w="1817" w:type="dxa"/>
            <w:vAlign w:val="center"/>
          </w:tcPr>
          <w:p w14:paraId="71A7421C">
            <w:pPr>
              <w:jc w:val="center"/>
              <w:rPr>
                <w:sz w:val="22"/>
                <w:szCs w:val="22"/>
              </w:rPr>
            </w:pPr>
            <w:r>
              <w:rPr>
                <w:sz w:val="22"/>
                <w:szCs w:val="22"/>
              </w:rPr>
              <w:t>1.380.768.000</w:t>
            </w:r>
          </w:p>
        </w:tc>
        <w:tc>
          <w:tcPr>
            <w:tcW w:w="1798" w:type="dxa"/>
            <w:vAlign w:val="center"/>
          </w:tcPr>
          <w:p w14:paraId="38A014FF">
            <w:pPr>
              <w:jc w:val="center"/>
              <w:rPr>
                <w:sz w:val="22"/>
                <w:szCs w:val="22"/>
              </w:rPr>
            </w:pPr>
            <w:r>
              <w:rPr>
                <w:sz w:val="22"/>
                <w:szCs w:val="22"/>
              </w:rPr>
              <w:t>1.952.000.000</w:t>
            </w:r>
          </w:p>
        </w:tc>
        <w:tc>
          <w:tcPr>
            <w:tcW w:w="1382" w:type="dxa"/>
            <w:noWrap/>
            <w:vAlign w:val="center"/>
          </w:tcPr>
          <w:p w14:paraId="705258F8">
            <w:pPr>
              <w:jc w:val="center"/>
              <w:rPr>
                <w:sz w:val="22"/>
                <w:szCs w:val="22"/>
              </w:rPr>
            </w:pPr>
            <w:r>
              <w:rPr>
                <w:sz w:val="22"/>
                <w:szCs w:val="22"/>
              </w:rPr>
              <w:t>1,41%</w:t>
            </w:r>
          </w:p>
        </w:tc>
      </w:tr>
      <w:tr w14:paraId="1C30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05DC441">
            <w:pPr>
              <w:jc w:val="center"/>
              <w:rPr>
                <w:sz w:val="22"/>
                <w:szCs w:val="22"/>
              </w:rPr>
            </w:pPr>
          </w:p>
        </w:tc>
        <w:tc>
          <w:tcPr>
            <w:tcW w:w="1491" w:type="dxa"/>
            <w:noWrap/>
            <w:vAlign w:val="center"/>
          </w:tcPr>
          <w:p w14:paraId="783EBDE3">
            <w:pPr>
              <w:jc w:val="center"/>
              <w:rPr>
                <w:sz w:val="22"/>
                <w:szCs w:val="22"/>
              </w:rPr>
            </w:pPr>
          </w:p>
        </w:tc>
        <w:tc>
          <w:tcPr>
            <w:tcW w:w="742" w:type="dxa"/>
            <w:vMerge w:val="continue"/>
            <w:vAlign w:val="center"/>
          </w:tcPr>
          <w:p w14:paraId="1A07AA39">
            <w:pPr>
              <w:jc w:val="center"/>
              <w:rPr>
                <w:sz w:val="22"/>
                <w:szCs w:val="22"/>
              </w:rPr>
            </w:pPr>
          </w:p>
        </w:tc>
        <w:tc>
          <w:tcPr>
            <w:tcW w:w="676" w:type="dxa"/>
            <w:noWrap/>
            <w:vAlign w:val="center"/>
          </w:tcPr>
          <w:p w14:paraId="331A10D1">
            <w:pPr>
              <w:jc w:val="center"/>
              <w:rPr>
                <w:sz w:val="22"/>
                <w:szCs w:val="22"/>
              </w:rPr>
            </w:pPr>
            <w:r>
              <w:rPr>
                <w:sz w:val="22"/>
                <w:szCs w:val="22"/>
              </w:rPr>
              <w:t>2</w:t>
            </w:r>
          </w:p>
        </w:tc>
        <w:tc>
          <w:tcPr>
            <w:tcW w:w="1098" w:type="dxa"/>
            <w:noWrap/>
            <w:vAlign w:val="center"/>
          </w:tcPr>
          <w:p w14:paraId="0A04000A">
            <w:pPr>
              <w:jc w:val="center"/>
              <w:rPr>
                <w:sz w:val="22"/>
                <w:szCs w:val="22"/>
              </w:rPr>
            </w:pPr>
            <w:r>
              <w:rPr>
                <w:sz w:val="22"/>
                <w:szCs w:val="22"/>
              </w:rPr>
              <w:t>102,0</w:t>
            </w:r>
          </w:p>
        </w:tc>
        <w:tc>
          <w:tcPr>
            <w:tcW w:w="1817" w:type="dxa"/>
            <w:vAlign w:val="center"/>
          </w:tcPr>
          <w:p w14:paraId="56823881">
            <w:pPr>
              <w:jc w:val="center"/>
              <w:rPr>
                <w:sz w:val="22"/>
                <w:szCs w:val="22"/>
              </w:rPr>
            </w:pPr>
            <w:r>
              <w:rPr>
                <w:sz w:val="22"/>
                <w:szCs w:val="22"/>
              </w:rPr>
              <w:t>775.200.000</w:t>
            </w:r>
          </w:p>
        </w:tc>
        <w:tc>
          <w:tcPr>
            <w:tcW w:w="1798" w:type="dxa"/>
            <w:vAlign w:val="center"/>
          </w:tcPr>
          <w:p w14:paraId="5CBE8188">
            <w:pPr>
              <w:jc w:val="center"/>
              <w:rPr>
                <w:sz w:val="22"/>
                <w:szCs w:val="22"/>
              </w:rPr>
            </w:pPr>
            <w:r>
              <w:rPr>
                <w:sz w:val="22"/>
                <w:szCs w:val="22"/>
              </w:rPr>
              <w:t>1.251.000.000</w:t>
            </w:r>
          </w:p>
        </w:tc>
        <w:tc>
          <w:tcPr>
            <w:tcW w:w="1382" w:type="dxa"/>
            <w:noWrap/>
            <w:vAlign w:val="center"/>
          </w:tcPr>
          <w:p w14:paraId="137C21FD">
            <w:pPr>
              <w:jc w:val="center"/>
              <w:rPr>
                <w:sz w:val="22"/>
                <w:szCs w:val="22"/>
              </w:rPr>
            </w:pPr>
            <w:r>
              <w:rPr>
                <w:sz w:val="22"/>
                <w:szCs w:val="22"/>
              </w:rPr>
              <w:t>1,61%</w:t>
            </w:r>
          </w:p>
        </w:tc>
      </w:tr>
      <w:tr w14:paraId="7C08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1ECDF21">
            <w:pPr>
              <w:jc w:val="center"/>
              <w:rPr>
                <w:sz w:val="22"/>
                <w:szCs w:val="22"/>
              </w:rPr>
            </w:pPr>
          </w:p>
        </w:tc>
        <w:tc>
          <w:tcPr>
            <w:tcW w:w="1491" w:type="dxa"/>
            <w:noWrap/>
            <w:vAlign w:val="center"/>
          </w:tcPr>
          <w:p w14:paraId="4738A731">
            <w:pPr>
              <w:jc w:val="center"/>
              <w:rPr>
                <w:sz w:val="22"/>
                <w:szCs w:val="22"/>
              </w:rPr>
            </w:pPr>
          </w:p>
        </w:tc>
        <w:tc>
          <w:tcPr>
            <w:tcW w:w="742" w:type="dxa"/>
            <w:vMerge w:val="continue"/>
            <w:vAlign w:val="center"/>
          </w:tcPr>
          <w:p w14:paraId="6372D119">
            <w:pPr>
              <w:jc w:val="center"/>
              <w:rPr>
                <w:sz w:val="22"/>
                <w:szCs w:val="22"/>
              </w:rPr>
            </w:pPr>
          </w:p>
        </w:tc>
        <w:tc>
          <w:tcPr>
            <w:tcW w:w="676" w:type="dxa"/>
            <w:noWrap/>
            <w:vAlign w:val="center"/>
          </w:tcPr>
          <w:p w14:paraId="46CCA52B">
            <w:pPr>
              <w:jc w:val="center"/>
              <w:rPr>
                <w:sz w:val="22"/>
                <w:szCs w:val="22"/>
              </w:rPr>
            </w:pPr>
            <w:r>
              <w:rPr>
                <w:sz w:val="22"/>
                <w:szCs w:val="22"/>
              </w:rPr>
              <w:t>3</w:t>
            </w:r>
          </w:p>
        </w:tc>
        <w:tc>
          <w:tcPr>
            <w:tcW w:w="1098" w:type="dxa"/>
            <w:noWrap/>
            <w:vAlign w:val="center"/>
          </w:tcPr>
          <w:p w14:paraId="33E92A7A">
            <w:pPr>
              <w:jc w:val="center"/>
              <w:rPr>
                <w:sz w:val="22"/>
                <w:szCs w:val="22"/>
              </w:rPr>
            </w:pPr>
            <w:r>
              <w:rPr>
                <w:sz w:val="22"/>
                <w:szCs w:val="22"/>
              </w:rPr>
              <w:t>102,0</w:t>
            </w:r>
          </w:p>
        </w:tc>
        <w:tc>
          <w:tcPr>
            <w:tcW w:w="1817" w:type="dxa"/>
            <w:vAlign w:val="center"/>
          </w:tcPr>
          <w:p w14:paraId="130F6B95">
            <w:pPr>
              <w:jc w:val="center"/>
              <w:rPr>
                <w:sz w:val="22"/>
                <w:szCs w:val="22"/>
              </w:rPr>
            </w:pPr>
            <w:r>
              <w:rPr>
                <w:sz w:val="22"/>
                <w:szCs w:val="22"/>
              </w:rPr>
              <w:t>775.200.000</w:t>
            </w:r>
          </w:p>
        </w:tc>
        <w:tc>
          <w:tcPr>
            <w:tcW w:w="1798" w:type="dxa"/>
            <w:vAlign w:val="center"/>
          </w:tcPr>
          <w:p w14:paraId="519EDDC3">
            <w:pPr>
              <w:jc w:val="center"/>
              <w:rPr>
                <w:sz w:val="22"/>
                <w:szCs w:val="22"/>
              </w:rPr>
            </w:pPr>
            <w:r>
              <w:rPr>
                <w:sz w:val="22"/>
                <w:szCs w:val="22"/>
              </w:rPr>
              <w:t>1.241.000.000</w:t>
            </w:r>
          </w:p>
        </w:tc>
        <w:tc>
          <w:tcPr>
            <w:tcW w:w="1382" w:type="dxa"/>
            <w:noWrap/>
            <w:vAlign w:val="center"/>
          </w:tcPr>
          <w:p w14:paraId="56AE693D">
            <w:pPr>
              <w:jc w:val="center"/>
              <w:rPr>
                <w:sz w:val="22"/>
                <w:szCs w:val="22"/>
              </w:rPr>
            </w:pPr>
            <w:r>
              <w:rPr>
                <w:sz w:val="22"/>
                <w:szCs w:val="22"/>
              </w:rPr>
              <w:t>1,60%</w:t>
            </w:r>
          </w:p>
        </w:tc>
      </w:tr>
      <w:tr w14:paraId="09EA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304DCB3">
            <w:pPr>
              <w:jc w:val="center"/>
              <w:rPr>
                <w:sz w:val="22"/>
                <w:szCs w:val="22"/>
              </w:rPr>
            </w:pPr>
          </w:p>
        </w:tc>
        <w:tc>
          <w:tcPr>
            <w:tcW w:w="1491" w:type="dxa"/>
            <w:noWrap/>
            <w:vAlign w:val="center"/>
          </w:tcPr>
          <w:p w14:paraId="4C93AAD9">
            <w:pPr>
              <w:jc w:val="center"/>
              <w:rPr>
                <w:sz w:val="22"/>
                <w:szCs w:val="22"/>
              </w:rPr>
            </w:pPr>
          </w:p>
        </w:tc>
        <w:tc>
          <w:tcPr>
            <w:tcW w:w="742" w:type="dxa"/>
            <w:vMerge w:val="continue"/>
            <w:vAlign w:val="center"/>
          </w:tcPr>
          <w:p w14:paraId="580E2F48">
            <w:pPr>
              <w:jc w:val="center"/>
              <w:rPr>
                <w:sz w:val="22"/>
                <w:szCs w:val="22"/>
              </w:rPr>
            </w:pPr>
          </w:p>
        </w:tc>
        <w:tc>
          <w:tcPr>
            <w:tcW w:w="676" w:type="dxa"/>
            <w:noWrap/>
            <w:vAlign w:val="center"/>
          </w:tcPr>
          <w:p w14:paraId="3338BEF0">
            <w:pPr>
              <w:jc w:val="center"/>
              <w:rPr>
                <w:sz w:val="22"/>
                <w:szCs w:val="22"/>
              </w:rPr>
            </w:pPr>
            <w:r>
              <w:rPr>
                <w:sz w:val="22"/>
                <w:szCs w:val="22"/>
              </w:rPr>
              <w:t>4</w:t>
            </w:r>
          </w:p>
        </w:tc>
        <w:tc>
          <w:tcPr>
            <w:tcW w:w="1098" w:type="dxa"/>
            <w:noWrap/>
            <w:vAlign w:val="center"/>
          </w:tcPr>
          <w:p w14:paraId="2301D89A">
            <w:pPr>
              <w:jc w:val="center"/>
              <w:rPr>
                <w:sz w:val="22"/>
                <w:szCs w:val="22"/>
              </w:rPr>
            </w:pPr>
            <w:r>
              <w:rPr>
                <w:sz w:val="22"/>
                <w:szCs w:val="22"/>
              </w:rPr>
              <w:t>102,0</w:t>
            </w:r>
          </w:p>
        </w:tc>
        <w:tc>
          <w:tcPr>
            <w:tcW w:w="1817" w:type="dxa"/>
            <w:vAlign w:val="center"/>
          </w:tcPr>
          <w:p w14:paraId="18DF5680">
            <w:pPr>
              <w:jc w:val="center"/>
              <w:rPr>
                <w:sz w:val="22"/>
                <w:szCs w:val="22"/>
              </w:rPr>
            </w:pPr>
            <w:r>
              <w:rPr>
                <w:sz w:val="22"/>
                <w:szCs w:val="22"/>
              </w:rPr>
              <w:t>775.200.000</w:t>
            </w:r>
          </w:p>
        </w:tc>
        <w:tc>
          <w:tcPr>
            <w:tcW w:w="1798" w:type="dxa"/>
            <w:vAlign w:val="center"/>
          </w:tcPr>
          <w:p w14:paraId="4B063C13">
            <w:pPr>
              <w:jc w:val="center"/>
              <w:rPr>
                <w:sz w:val="22"/>
                <w:szCs w:val="22"/>
              </w:rPr>
            </w:pPr>
            <w:r>
              <w:rPr>
                <w:sz w:val="22"/>
                <w:szCs w:val="22"/>
              </w:rPr>
              <w:t>1.246.000.000</w:t>
            </w:r>
          </w:p>
        </w:tc>
        <w:tc>
          <w:tcPr>
            <w:tcW w:w="1382" w:type="dxa"/>
            <w:noWrap/>
            <w:vAlign w:val="center"/>
          </w:tcPr>
          <w:p w14:paraId="493B7AFF">
            <w:pPr>
              <w:jc w:val="center"/>
              <w:rPr>
                <w:sz w:val="22"/>
                <w:szCs w:val="22"/>
              </w:rPr>
            </w:pPr>
            <w:r>
              <w:rPr>
                <w:sz w:val="22"/>
                <w:szCs w:val="22"/>
              </w:rPr>
              <w:t>1,61%</w:t>
            </w:r>
          </w:p>
        </w:tc>
      </w:tr>
      <w:tr w14:paraId="08B1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E1EA784">
            <w:pPr>
              <w:jc w:val="center"/>
              <w:rPr>
                <w:sz w:val="22"/>
                <w:szCs w:val="22"/>
              </w:rPr>
            </w:pPr>
          </w:p>
        </w:tc>
        <w:tc>
          <w:tcPr>
            <w:tcW w:w="1491" w:type="dxa"/>
            <w:noWrap/>
            <w:vAlign w:val="center"/>
          </w:tcPr>
          <w:p w14:paraId="790D7B2B">
            <w:pPr>
              <w:jc w:val="center"/>
              <w:rPr>
                <w:sz w:val="22"/>
                <w:szCs w:val="22"/>
              </w:rPr>
            </w:pPr>
          </w:p>
        </w:tc>
        <w:tc>
          <w:tcPr>
            <w:tcW w:w="742" w:type="dxa"/>
            <w:vMerge w:val="continue"/>
            <w:vAlign w:val="center"/>
          </w:tcPr>
          <w:p w14:paraId="153B2985">
            <w:pPr>
              <w:jc w:val="center"/>
              <w:rPr>
                <w:sz w:val="22"/>
                <w:szCs w:val="22"/>
              </w:rPr>
            </w:pPr>
          </w:p>
        </w:tc>
        <w:tc>
          <w:tcPr>
            <w:tcW w:w="676" w:type="dxa"/>
            <w:noWrap/>
            <w:vAlign w:val="center"/>
          </w:tcPr>
          <w:p w14:paraId="19B48166">
            <w:pPr>
              <w:jc w:val="center"/>
              <w:rPr>
                <w:sz w:val="22"/>
                <w:szCs w:val="22"/>
              </w:rPr>
            </w:pPr>
            <w:r>
              <w:rPr>
                <w:sz w:val="22"/>
                <w:szCs w:val="22"/>
              </w:rPr>
              <w:t>5</w:t>
            </w:r>
          </w:p>
        </w:tc>
        <w:tc>
          <w:tcPr>
            <w:tcW w:w="1098" w:type="dxa"/>
            <w:noWrap/>
            <w:vAlign w:val="center"/>
          </w:tcPr>
          <w:p w14:paraId="3CD4F4BB">
            <w:pPr>
              <w:jc w:val="center"/>
              <w:rPr>
                <w:sz w:val="22"/>
                <w:szCs w:val="22"/>
              </w:rPr>
            </w:pPr>
            <w:r>
              <w:rPr>
                <w:sz w:val="22"/>
                <w:szCs w:val="22"/>
              </w:rPr>
              <w:t>102,0</w:t>
            </w:r>
          </w:p>
        </w:tc>
        <w:tc>
          <w:tcPr>
            <w:tcW w:w="1817" w:type="dxa"/>
            <w:vAlign w:val="center"/>
          </w:tcPr>
          <w:p w14:paraId="50BD7922">
            <w:pPr>
              <w:jc w:val="center"/>
              <w:rPr>
                <w:sz w:val="22"/>
                <w:szCs w:val="22"/>
              </w:rPr>
            </w:pPr>
            <w:r>
              <w:rPr>
                <w:sz w:val="22"/>
                <w:szCs w:val="22"/>
              </w:rPr>
              <w:t>775.200.000</w:t>
            </w:r>
          </w:p>
        </w:tc>
        <w:tc>
          <w:tcPr>
            <w:tcW w:w="1798" w:type="dxa"/>
            <w:vAlign w:val="center"/>
          </w:tcPr>
          <w:p w14:paraId="0FDCE6F8">
            <w:pPr>
              <w:jc w:val="center"/>
              <w:rPr>
                <w:sz w:val="22"/>
                <w:szCs w:val="22"/>
              </w:rPr>
            </w:pPr>
            <w:r>
              <w:rPr>
                <w:sz w:val="22"/>
                <w:szCs w:val="22"/>
              </w:rPr>
              <w:t>1.065.000.000</w:t>
            </w:r>
          </w:p>
        </w:tc>
        <w:tc>
          <w:tcPr>
            <w:tcW w:w="1382" w:type="dxa"/>
            <w:noWrap/>
            <w:vAlign w:val="center"/>
          </w:tcPr>
          <w:p w14:paraId="289574DD">
            <w:pPr>
              <w:jc w:val="center"/>
              <w:rPr>
                <w:sz w:val="22"/>
                <w:szCs w:val="22"/>
              </w:rPr>
            </w:pPr>
            <w:r>
              <w:rPr>
                <w:sz w:val="22"/>
                <w:szCs w:val="22"/>
              </w:rPr>
              <w:t>1,37%</w:t>
            </w:r>
          </w:p>
        </w:tc>
      </w:tr>
      <w:tr w14:paraId="50CD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99A16F4">
            <w:pPr>
              <w:jc w:val="center"/>
              <w:rPr>
                <w:sz w:val="22"/>
                <w:szCs w:val="22"/>
              </w:rPr>
            </w:pPr>
          </w:p>
        </w:tc>
        <w:tc>
          <w:tcPr>
            <w:tcW w:w="1491" w:type="dxa"/>
            <w:noWrap/>
            <w:vAlign w:val="center"/>
          </w:tcPr>
          <w:p w14:paraId="776F3E97">
            <w:pPr>
              <w:jc w:val="center"/>
              <w:rPr>
                <w:sz w:val="22"/>
                <w:szCs w:val="22"/>
              </w:rPr>
            </w:pPr>
          </w:p>
        </w:tc>
        <w:tc>
          <w:tcPr>
            <w:tcW w:w="742" w:type="dxa"/>
            <w:vMerge w:val="continue"/>
            <w:vAlign w:val="center"/>
          </w:tcPr>
          <w:p w14:paraId="01C130A7">
            <w:pPr>
              <w:jc w:val="center"/>
              <w:rPr>
                <w:sz w:val="22"/>
                <w:szCs w:val="22"/>
              </w:rPr>
            </w:pPr>
          </w:p>
        </w:tc>
        <w:tc>
          <w:tcPr>
            <w:tcW w:w="676" w:type="dxa"/>
            <w:noWrap/>
            <w:vAlign w:val="center"/>
          </w:tcPr>
          <w:p w14:paraId="6B742BA4">
            <w:pPr>
              <w:jc w:val="center"/>
              <w:rPr>
                <w:sz w:val="22"/>
                <w:szCs w:val="22"/>
              </w:rPr>
            </w:pPr>
            <w:r>
              <w:rPr>
                <w:sz w:val="22"/>
                <w:szCs w:val="22"/>
              </w:rPr>
              <w:t>6</w:t>
            </w:r>
          </w:p>
        </w:tc>
        <w:tc>
          <w:tcPr>
            <w:tcW w:w="1098" w:type="dxa"/>
            <w:noWrap/>
            <w:vAlign w:val="center"/>
          </w:tcPr>
          <w:p w14:paraId="62BB1C87">
            <w:pPr>
              <w:jc w:val="center"/>
              <w:rPr>
                <w:sz w:val="22"/>
                <w:szCs w:val="22"/>
              </w:rPr>
            </w:pPr>
            <w:r>
              <w:rPr>
                <w:sz w:val="22"/>
                <w:szCs w:val="22"/>
              </w:rPr>
              <w:t>102,0</w:t>
            </w:r>
          </w:p>
        </w:tc>
        <w:tc>
          <w:tcPr>
            <w:tcW w:w="1817" w:type="dxa"/>
            <w:vAlign w:val="center"/>
          </w:tcPr>
          <w:p w14:paraId="3F4251D1">
            <w:pPr>
              <w:jc w:val="center"/>
              <w:rPr>
                <w:sz w:val="22"/>
                <w:szCs w:val="22"/>
              </w:rPr>
            </w:pPr>
            <w:r>
              <w:rPr>
                <w:sz w:val="22"/>
                <w:szCs w:val="22"/>
              </w:rPr>
              <w:t>775.200.000</w:t>
            </w:r>
          </w:p>
        </w:tc>
        <w:tc>
          <w:tcPr>
            <w:tcW w:w="1798" w:type="dxa"/>
            <w:vAlign w:val="center"/>
          </w:tcPr>
          <w:p w14:paraId="6E49928B">
            <w:pPr>
              <w:jc w:val="center"/>
              <w:rPr>
                <w:sz w:val="22"/>
                <w:szCs w:val="22"/>
              </w:rPr>
            </w:pPr>
            <w:r>
              <w:rPr>
                <w:sz w:val="22"/>
                <w:szCs w:val="22"/>
              </w:rPr>
              <w:t>950.000.000</w:t>
            </w:r>
          </w:p>
        </w:tc>
        <w:tc>
          <w:tcPr>
            <w:tcW w:w="1382" w:type="dxa"/>
            <w:noWrap/>
            <w:vAlign w:val="center"/>
          </w:tcPr>
          <w:p w14:paraId="1787D39D">
            <w:pPr>
              <w:jc w:val="center"/>
              <w:rPr>
                <w:sz w:val="22"/>
                <w:szCs w:val="22"/>
              </w:rPr>
            </w:pPr>
            <w:r>
              <w:rPr>
                <w:sz w:val="22"/>
                <w:szCs w:val="22"/>
              </w:rPr>
              <w:t>1,23%</w:t>
            </w:r>
          </w:p>
        </w:tc>
      </w:tr>
      <w:tr w14:paraId="2535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4C73679">
            <w:pPr>
              <w:jc w:val="center"/>
              <w:rPr>
                <w:sz w:val="22"/>
                <w:szCs w:val="22"/>
              </w:rPr>
            </w:pPr>
          </w:p>
        </w:tc>
        <w:tc>
          <w:tcPr>
            <w:tcW w:w="1491" w:type="dxa"/>
            <w:noWrap/>
            <w:vAlign w:val="center"/>
          </w:tcPr>
          <w:p w14:paraId="698178FA">
            <w:pPr>
              <w:jc w:val="center"/>
              <w:rPr>
                <w:sz w:val="22"/>
                <w:szCs w:val="22"/>
              </w:rPr>
            </w:pPr>
          </w:p>
        </w:tc>
        <w:tc>
          <w:tcPr>
            <w:tcW w:w="742" w:type="dxa"/>
            <w:vMerge w:val="continue"/>
            <w:vAlign w:val="center"/>
          </w:tcPr>
          <w:p w14:paraId="270AF16E">
            <w:pPr>
              <w:jc w:val="center"/>
              <w:rPr>
                <w:sz w:val="22"/>
                <w:szCs w:val="22"/>
              </w:rPr>
            </w:pPr>
          </w:p>
        </w:tc>
        <w:tc>
          <w:tcPr>
            <w:tcW w:w="676" w:type="dxa"/>
            <w:noWrap/>
            <w:vAlign w:val="center"/>
          </w:tcPr>
          <w:p w14:paraId="69DCBDEF">
            <w:pPr>
              <w:jc w:val="center"/>
              <w:rPr>
                <w:sz w:val="22"/>
                <w:szCs w:val="22"/>
              </w:rPr>
            </w:pPr>
            <w:r>
              <w:rPr>
                <w:sz w:val="22"/>
                <w:szCs w:val="22"/>
              </w:rPr>
              <w:t>7</w:t>
            </w:r>
          </w:p>
        </w:tc>
        <w:tc>
          <w:tcPr>
            <w:tcW w:w="1098" w:type="dxa"/>
            <w:noWrap/>
            <w:vAlign w:val="center"/>
          </w:tcPr>
          <w:p w14:paraId="546F63C6">
            <w:pPr>
              <w:jc w:val="center"/>
              <w:rPr>
                <w:sz w:val="22"/>
                <w:szCs w:val="22"/>
              </w:rPr>
            </w:pPr>
            <w:r>
              <w:rPr>
                <w:sz w:val="22"/>
                <w:szCs w:val="22"/>
              </w:rPr>
              <w:t>102,0</w:t>
            </w:r>
          </w:p>
        </w:tc>
        <w:tc>
          <w:tcPr>
            <w:tcW w:w="1817" w:type="dxa"/>
            <w:vAlign w:val="center"/>
          </w:tcPr>
          <w:p w14:paraId="505376A0">
            <w:pPr>
              <w:jc w:val="center"/>
              <w:rPr>
                <w:sz w:val="22"/>
                <w:szCs w:val="22"/>
              </w:rPr>
            </w:pPr>
            <w:r>
              <w:rPr>
                <w:sz w:val="22"/>
                <w:szCs w:val="22"/>
              </w:rPr>
              <w:t>775.200.000</w:t>
            </w:r>
          </w:p>
        </w:tc>
        <w:tc>
          <w:tcPr>
            <w:tcW w:w="1798" w:type="dxa"/>
            <w:vAlign w:val="center"/>
          </w:tcPr>
          <w:p w14:paraId="2CFAADD8">
            <w:pPr>
              <w:jc w:val="center"/>
              <w:rPr>
                <w:sz w:val="22"/>
                <w:szCs w:val="22"/>
              </w:rPr>
            </w:pPr>
            <w:r>
              <w:rPr>
                <w:sz w:val="22"/>
                <w:szCs w:val="22"/>
              </w:rPr>
              <w:t>963.300.000</w:t>
            </w:r>
          </w:p>
        </w:tc>
        <w:tc>
          <w:tcPr>
            <w:tcW w:w="1382" w:type="dxa"/>
            <w:noWrap/>
            <w:vAlign w:val="center"/>
          </w:tcPr>
          <w:p w14:paraId="27EC0984">
            <w:pPr>
              <w:jc w:val="center"/>
              <w:rPr>
                <w:sz w:val="22"/>
                <w:szCs w:val="22"/>
              </w:rPr>
            </w:pPr>
            <w:r>
              <w:rPr>
                <w:sz w:val="22"/>
                <w:szCs w:val="22"/>
              </w:rPr>
              <w:t>1,24%</w:t>
            </w:r>
          </w:p>
        </w:tc>
      </w:tr>
      <w:tr w14:paraId="23F0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F4B7246">
            <w:pPr>
              <w:jc w:val="center"/>
              <w:rPr>
                <w:sz w:val="22"/>
                <w:szCs w:val="22"/>
              </w:rPr>
            </w:pPr>
          </w:p>
        </w:tc>
        <w:tc>
          <w:tcPr>
            <w:tcW w:w="1491" w:type="dxa"/>
            <w:noWrap/>
            <w:vAlign w:val="center"/>
          </w:tcPr>
          <w:p w14:paraId="2C6BB50F">
            <w:pPr>
              <w:jc w:val="center"/>
              <w:rPr>
                <w:sz w:val="22"/>
                <w:szCs w:val="22"/>
              </w:rPr>
            </w:pPr>
          </w:p>
        </w:tc>
        <w:tc>
          <w:tcPr>
            <w:tcW w:w="742" w:type="dxa"/>
            <w:vMerge w:val="continue"/>
            <w:vAlign w:val="center"/>
          </w:tcPr>
          <w:p w14:paraId="3B0DBAD2">
            <w:pPr>
              <w:jc w:val="center"/>
              <w:rPr>
                <w:sz w:val="22"/>
                <w:szCs w:val="22"/>
              </w:rPr>
            </w:pPr>
          </w:p>
        </w:tc>
        <w:tc>
          <w:tcPr>
            <w:tcW w:w="676" w:type="dxa"/>
            <w:noWrap/>
            <w:vAlign w:val="center"/>
          </w:tcPr>
          <w:p w14:paraId="18C4D0E0">
            <w:pPr>
              <w:jc w:val="center"/>
              <w:rPr>
                <w:sz w:val="22"/>
                <w:szCs w:val="22"/>
              </w:rPr>
            </w:pPr>
            <w:r>
              <w:rPr>
                <w:sz w:val="22"/>
                <w:szCs w:val="22"/>
              </w:rPr>
              <w:t>8</w:t>
            </w:r>
          </w:p>
        </w:tc>
        <w:tc>
          <w:tcPr>
            <w:tcW w:w="1098" w:type="dxa"/>
            <w:noWrap/>
            <w:vAlign w:val="center"/>
          </w:tcPr>
          <w:p w14:paraId="518DD8E5">
            <w:pPr>
              <w:jc w:val="center"/>
              <w:rPr>
                <w:sz w:val="22"/>
                <w:szCs w:val="22"/>
              </w:rPr>
            </w:pPr>
            <w:r>
              <w:rPr>
                <w:sz w:val="22"/>
                <w:szCs w:val="22"/>
              </w:rPr>
              <w:t>102,0</w:t>
            </w:r>
          </w:p>
        </w:tc>
        <w:tc>
          <w:tcPr>
            <w:tcW w:w="1817" w:type="dxa"/>
            <w:vAlign w:val="center"/>
          </w:tcPr>
          <w:p w14:paraId="49C6B9E2">
            <w:pPr>
              <w:jc w:val="center"/>
              <w:rPr>
                <w:sz w:val="22"/>
                <w:szCs w:val="22"/>
              </w:rPr>
            </w:pPr>
            <w:r>
              <w:rPr>
                <w:sz w:val="22"/>
                <w:szCs w:val="22"/>
              </w:rPr>
              <w:t>775.200.000</w:t>
            </w:r>
          </w:p>
        </w:tc>
        <w:tc>
          <w:tcPr>
            <w:tcW w:w="1798" w:type="dxa"/>
            <w:vAlign w:val="center"/>
          </w:tcPr>
          <w:p w14:paraId="67D5F422">
            <w:pPr>
              <w:jc w:val="center"/>
              <w:rPr>
                <w:sz w:val="22"/>
                <w:szCs w:val="22"/>
              </w:rPr>
            </w:pPr>
            <w:r>
              <w:rPr>
                <w:sz w:val="22"/>
                <w:szCs w:val="22"/>
              </w:rPr>
              <w:t>1.272.000.000</w:t>
            </w:r>
          </w:p>
        </w:tc>
        <w:tc>
          <w:tcPr>
            <w:tcW w:w="1382" w:type="dxa"/>
            <w:noWrap/>
            <w:vAlign w:val="center"/>
          </w:tcPr>
          <w:p w14:paraId="16039ECF">
            <w:pPr>
              <w:jc w:val="center"/>
              <w:rPr>
                <w:sz w:val="22"/>
                <w:szCs w:val="22"/>
              </w:rPr>
            </w:pPr>
            <w:r>
              <w:rPr>
                <w:sz w:val="22"/>
                <w:szCs w:val="22"/>
              </w:rPr>
              <w:t>1,64%</w:t>
            </w:r>
          </w:p>
        </w:tc>
      </w:tr>
      <w:tr w14:paraId="25C2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1B837C6">
            <w:pPr>
              <w:jc w:val="center"/>
              <w:rPr>
                <w:sz w:val="22"/>
                <w:szCs w:val="22"/>
              </w:rPr>
            </w:pPr>
          </w:p>
        </w:tc>
        <w:tc>
          <w:tcPr>
            <w:tcW w:w="1491" w:type="dxa"/>
            <w:noWrap/>
            <w:vAlign w:val="center"/>
          </w:tcPr>
          <w:p w14:paraId="234079E1">
            <w:pPr>
              <w:jc w:val="center"/>
              <w:rPr>
                <w:sz w:val="22"/>
                <w:szCs w:val="22"/>
              </w:rPr>
            </w:pPr>
          </w:p>
        </w:tc>
        <w:tc>
          <w:tcPr>
            <w:tcW w:w="742" w:type="dxa"/>
            <w:vMerge w:val="continue"/>
            <w:vAlign w:val="center"/>
          </w:tcPr>
          <w:p w14:paraId="7B906322">
            <w:pPr>
              <w:jc w:val="center"/>
              <w:rPr>
                <w:sz w:val="22"/>
                <w:szCs w:val="22"/>
              </w:rPr>
            </w:pPr>
          </w:p>
        </w:tc>
        <w:tc>
          <w:tcPr>
            <w:tcW w:w="676" w:type="dxa"/>
            <w:noWrap/>
            <w:vAlign w:val="center"/>
          </w:tcPr>
          <w:p w14:paraId="6D380A9B">
            <w:pPr>
              <w:jc w:val="center"/>
              <w:rPr>
                <w:sz w:val="22"/>
                <w:szCs w:val="22"/>
              </w:rPr>
            </w:pPr>
            <w:r>
              <w:rPr>
                <w:sz w:val="22"/>
                <w:szCs w:val="22"/>
              </w:rPr>
              <w:t>20</w:t>
            </w:r>
          </w:p>
        </w:tc>
        <w:tc>
          <w:tcPr>
            <w:tcW w:w="1098" w:type="dxa"/>
            <w:noWrap/>
            <w:vAlign w:val="center"/>
          </w:tcPr>
          <w:p w14:paraId="19FBD4DF">
            <w:pPr>
              <w:jc w:val="center"/>
              <w:rPr>
                <w:sz w:val="22"/>
                <w:szCs w:val="22"/>
              </w:rPr>
            </w:pPr>
            <w:r>
              <w:rPr>
                <w:sz w:val="22"/>
                <w:szCs w:val="22"/>
              </w:rPr>
              <w:t>96,0</w:t>
            </w:r>
          </w:p>
        </w:tc>
        <w:tc>
          <w:tcPr>
            <w:tcW w:w="1817" w:type="dxa"/>
            <w:vAlign w:val="center"/>
          </w:tcPr>
          <w:p w14:paraId="6D222C87">
            <w:pPr>
              <w:jc w:val="center"/>
              <w:rPr>
                <w:sz w:val="22"/>
                <w:szCs w:val="22"/>
              </w:rPr>
            </w:pPr>
            <w:r>
              <w:rPr>
                <w:sz w:val="22"/>
                <w:szCs w:val="22"/>
              </w:rPr>
              <w:t>652.800.000</w:t>
            </w:r>
          </w:p>
        </w:tc>
        <w:tc>
          <w:tcPr>
            <w:tcW w:w="1798" w:type="dxa"/>
            <w:vAlign w:val="center"/>
          </w:tcPr>
          <w:p w14:paraId="531315C0">
            <w:pPr>
              <w:jc w:val="center"/>
              <w:rPr>
                <w:sz w:val="22"/>
                <w:szCs w:val="22"/>
              </w:rPr>
            </w:pPr>
            <w:r>
              <w:rPr>
                <w:sz w:val="22"/>
                <w:szCs w:val="22"/>
              </w:rPr>
              <w:t>1.090.000.000</w:t>
            </w:r>
          </w:p>
        </w:tc>
        <w:tc>
          <w:tcPr>
            <w:tcW w:w="1382" w:type="dxa"/>
            <w:noWrap/>
            <w:vAlign w:val="center"/>
          </w:tcPr>
          <w:p w14:paraId="1E36575F">
            <w:pPr>
              <w:jc w:val="center"/>
              <w:rPr>
                <w:sz w:val="22"/>
                <w:szCs w:val="22"/>
              </w:rPr>
            </w:pPr>
            <w:r>
              <w:rPr>
                <w:sz w:val="22"/>
                <w:szCs w:val="22"/>
              </w:rPr>
              <w:t>1,67%</w:t>
            </w:r>
          </w:p>
        </w:tc>
      </w:tr>
      <w:tr w14:paraId="17D4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3637D32">
            <w:pPr>
              <w:jc w:val="center"/>
              <w:rPr>
                <w:sz w:val="22"/>
                <w:szCs w:val="22"/>
              </w:rPr>
            </w:pPr>
          </w:p>
        </w:tc>
        <w:tc>
          <w:tcPr>
            <w:tcW w:w="1491" w:type="dxa"/>
            <w:noWrap/>
            <w:vAlign w:val="center"/>
          </w:tcPr>
          <w:p w14:paraId="0AC6B432">
            <w:pPr>
              <w:jc w:val="center"/>
              <w:rPr>
                <w:sz w:val="22"/>
                <w:szCs w:val="22"/>
              </w:rPr>
            </w:pPr>
          </w:p>
        </w:tc>
        <w:tc>
          <w:tcPr>
            <w:tcW w:w="742" w:type="dxa"/>
            <w:vMerge w:val="continue"/>
            <w:vAlign w:val="center"/>
          </w:tcPr>
          <w:p w14:paraId="03FB8B27">
            <w:pPr>
              <w:jc w:val="center"/>
              <w:rPr>
                <w:sz w:val="22"/>
                <w:szCs w:val="22"/>
              </w:rPr>
            </w:pPr>
          </w:p>
        </w:tc>
        <w:tc>
          <w:tcPr>
            <w:tcW w:w="676" w:type="dxa"/>
            <w:noWrap/>
            <w:vAlign w:val="center"/>
          </w:tcPr>
          <w:p w14:paraId="6416185B">
            <w:pPr>
              <w:jc w:val="center"/>
              <w:rPr>
                <w:sz w:val="22"/>
                <w:szCs w:val="22"/>
              </w:rPr>
            </w:pPr>
            <w:r>
              <w:rPr>
                <w:sz w:val="22"/>
                <w:szCs w:val="22"/>
              </w:rPr>
              <w:t>21</w:t>
            </w:r>
          </w:p>
        </w:tc>
        <w:tc>
          <w:tcPr>
            <w:tcW w:w="1098" w:type="dxa"/>
            <w:noWrap/>
            <w:vAlign w:val="center"/>
          </w:tcPr>
          <w:p w14:paraId="3EB135F2">
            <w:pPr>
              <w:jc w:val="center"/>
              <w:rPr>
                <w:sz w:val="22"/>
                <w:szCs w:val="22"/>
              </w:rPr>
            </w:pPr>
            <w:r>
              <w:rPr>
                <w:sz w:val="22"/>
                <w:szCs w:val="22"/>
              </w:rPr>
              <w:t>96,0</w:t>
            </w:r>
          </w:p>
        </w:tc>
        <w:tc>
          <w:tcPr>
            <w:tcW w:w="1817" w:type="dxa"/>
            <w:vAlign w:val="center"/>
          </w:tcPr>
          <w:p w14:paraId="2F6F6B6B">
            <w:pPr>
              <w:jc w:val="center"/>
              <w:rPr>
                <w:sz w:val="22"/>
                <w:szCs w:val="22"/>
              </w:rPr>
            </w:pPr>
            <w:r>
              <w:rPr>
                <w:sz w:val="22"/>
                <w:szCs w:val="22"/>
              </w:rPr>
              <w:t>652.800.000</w:t>
            </w:r>
          </w:p>
        </w:tc>
        <w:tc>
          <w:tcPr>
            <w:tcW w:w="1798" w:type="dxa"/>
            <w:vAlign w:val="center"/>
          </w:tcPr>
          <w:p w14:paraId="6078ADED">
            <w:pPr>
              <w:jc w:val="center"/>
              <w:rPr>
                <w:sz w:val="22"/>
                <w:szCs w:val="22"/>
              </w:rPr>
            </w:pPr>
            <w:r>
              <w:rPr>
                <w:sz w:val="22"/>
                <w:szCs w:val="22"/>
              </w:rPr>
              <w:t>1.098.000.000</w:t>
            </w:r>
          </w:p>
        </w:tc>
        <w:tc>
          <w:tcPr>
            <w:tcW w:w="1382" w:type="dxa"/>
            <w:noWrap/>
            <w:vAlign w:val="center"/>
          </w:tcPr>
          <w:p w14:paraId="10B556EF">
            <w:pPr>
              <w:jc w:val="center"/>
              <w:rPr>
                <w:sz w:val="22"/>
                <w:szCs w:val="22"/>
              </w:rPr>
            </w:pPr>
            <w:r>
              <w:rPr>
                <w:sz w:val="22"/>
                <w:szCs w:val="22"/>
              </w:rPr>
              <w:t>1,68%</w:t>
            </w:r>
          </w:p>
        </w:tc>
      </w:tr>
      <w:tr w14:paraId="4B42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A2E7EA0">
            <w:pPr>
              <w:jc w:val="center"/>
              <w:rPr>
                <w:sz w:val="22"/>
                <w:szCs w:val="22"/>
              </w:rPr>
            </w:pPr>
          </w:p>
        </w:tc>
        <w:tc>
          <w:tcPr>
            <w:tcW w:w="1491" w:type="dxa"/>
            <w:noWrap/>
            <w:vAlign w:val="center"/>
          </w:tcPr>
          <w:p w14:paraId="44BC94DE">
            <w:pPr>
              <w:jc w:val="center"/>
              <w:rPr>
                <w:sz w:val="22"/>
                <w:szCs w:val="22"/>
              </w:rPr>
            </w:pPr>
          </w:p>
        </w:tc>
        <w:tc>
          <w:tcPr>
            <w:tcW w:w="742" w:type="dxa"/>
            <w:vMerge w:val="restart"/>
            <w:vAlign w:val="center"/>
          </w:tcPr>
          <w:p w14:paraId="11A7F333">
            <w:pPr>
              <w:jc w:val="center"/>
              <w:rPr>
                <w:sz w:val="22"/>
                <w:szCs w:val="22"/>
              </w:rPr>
            </w:pPr>
            <w:r>
              <w:rPr>
                <w:sz w:val="22"/>
                <w:szCs w:val="22"/>
              </w:rPr>
              <w:t>LK02</w:t>
            </w:r>
          </w:p>
        </w:tc>
        <w:tc>
          <w:tcPr>
            <w:tcW w:w="676" w:type="dxa"/>
            <w:noWrap/>
            <w:vAlign w:val="center"/>
          </w:tcPr>
          <w:p w14:paraId="7329AA3D">
            <w:pPr>
              <w:jc w:val="center"/>
              <w:rPr>
                <w:sz w:val="22"/>
                <w:szCs w:val="22"/>
              </w:rPr>
            </w:pPr>
            <w:r>
              <w:rPr>
                <w:sz w:val="22"/>
                <w:szCs w:val="22"/>
              </w:rPr>
              <w:t>1</w:t>
            </w:r>
          </w:p>
        </w:tc>
        <w:tc>
          <w:tcPr>
            <w:tcW w:w="1098" w:type="dxa"/>
            <w:noWrap/>
            <w:vAlign w:val="center"/>
          </w:tcPr>
          <w:p w14:paraId="2074E7A3">
            <w:pPr>
              <w:jc w:val="center"/>
              <w:rPr>
                <w:sz w:val="22"/>
                <w:szCs w:val="22"/>
              </w:rPr>
            </w:pPr>
            <w:r>
              <w:rPr>
                <w:sz w:val="22"/>
                <w:szCs w:val="22"/>
              </w:rPr>
              <w:t>178,8</w:t>
            </w:r>
          </w:p>
        </w:tc>
        <w:tc>
          <w:tcPr>
            <w:tcW w:w="1817" w:type="dxa"/>
            <w:vAlign w:val="center"/>
          </w:tcPr>
          <w:p w14:paraId="3FE72D42">
            <w:pPr>
              <w:jc w:val="center"/>
              <w:rPr>
                <w:sz w:val="22"/>
                <w:szCs w:val="22"/>
              </w:rPr>
            </w:pPr>
            <w:r>
              <w:rPr>
                <w:sz w:val="22"/>
                <w:szCs w:val="22"/>
              </w:rPr>
              <w:t>1.630.656.000</w:t>
            </w:r>
          </w:p>
        </w:tc>
        <w:tc>
          <w:tcPr>
            <w:tcW w:w="1798" w:type="dxa"/>
            <w:vAlign w:val="center"/>
          </w:tcPr>
          <w:p w14:paraId="22C01D09">
            <w:pPr>
              <w:jc w:val="center"/>
              <w:rPr>
                <w:sz w:val="22"/>
                <w:szCs w:val="22"/>
              </w:rPr>
            </w:pPr>
            <w:r>
              <w:rPr>
                <w:sz w:val="22"/>
                <w:szCs w:val="22"/>
              </w:rPr>
              <w:t>1.642.300.000</w:t>
            </w:r>
          </w:p>
        </w:tc>
        <w:tc>
          <w:tcPr>
            <w:tcW w:w="1382" w:type="dxa"/>
            <w:noWrap/>
            <w:vAlign w:val="center"/>
          </w:tcPr>
          <w:p w14:paraId="3F26B6DD">
            <w:pPr>
              <w:jc w:val="center"/>
              <w:rPr>
                <w:sz w:val="22"/>
                <w:szCs w:val="22"/>
              </w:rPr>
            </w:pPr>
            <w:r>
              <w:rPr>
                <w:sz w:val="22"/>
                <w:szCs w:val="22"/>
              </w:rPr>
              <w:t>1,01%</w:t>
            </w:r>
          </w:p>
        </w:tc>
      </w:tr>
      <w:tr w14:paraId="07FC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1C1F683">
            <w:pPr>
              <w:jc w:val="center"/>
              <w:rPr>
                <w:sz w:val="22"/>
                <w:szCs w:val="22"/>
              </w:rPr>
            </w:pPr>
          </w:p>
        </w:tc>
        <w:tc>
          <w:tcPr>
            <w:tcW w:w="1491" w:type="dxa"/>
            <w:noWrap/>
            <w:vAlign w:val="center"/>
          </w:tcPr>
          <w:p w14:paraId="491AD9F4">
            <w:pPr>
              <w:jc w:val="center"/>
              <w:rPr>
                <w:sz w:val="22"/>
                <w:szCs w:val="22"/>
              </w:rPr>
            </w:pPr>
          </w:p>
        </w:tc>
        <w:tc>
          <w:tcPr>
            <w:tcW w:w="742" w:type="dxa"/>
            <w:vMerge w:val="continue"/>
            <w:vAlign w:val="center"/>
          </w:tcPr>
          <w:p w14:paraId="262841BB">
            <w:pPr>
              <w:jc w:val="center"/>
              <w:rPr>
                <w:sz w:val="22"/>
                <w:szCs w:val="22"/>
              </w:rPr>
            </w:pPr>
          </w:p>
        </w:tc>
        <w:tc>
          <w:tcPr>
            <w:tcW w:w="676" w:type="dxa"/>
            <w:noWrap/>
            <w:vAlign w:val="center"/>
          </w:tcPr>
          <w:p w14:paraId="716E5F79">
            <w:pPr>
              <w:jc w:val="center"/>
              <w:rPr>
                <w:sz w:val="22"/>
                <w:szCs w:val="22"/>
              </w:rPr>
            </w:pPr>
            <w:r>
              <w:rPr>
                <w:sz w:val="22"/>
                <w:szCs w:val="22"/>
              </w:rPr>
              <w:t>2</w:t>
            </w:r>
          </w:p>
        </w:tc>
        <w:tc>
          <w:tcPr>
            <w:tcW w:w="1098" w:type="dxa"/>
            <w:noWrap/>
            <w:vAlign w:val="center"/>
          </w:tcPr>
          <w:p w14:paraId="32519C2B">
            <w:pPr>
              <w:jc w:val="center"/>
              <w:rPr>
                <w:sz w:val="22"/>
                <w:szCs w:val="22"/>
              </w:rPr>
            </w:pPr>
            <w:r>
              <w:rPr>
                <w:sz w:val="22"/>
                <w:szCs w:val="22"/>
              </w:rPr>
              <w:t>102,0</w:t>
            </w:r>
          </w:p>
        </w:tc>
        <w:tc>
          <w:tcPr>
            <w:tcW w:w="1817" w:type="dxa"/>
            <w:vAlign w:val="center"/>
          </w:tcPr>
          <w:p w14:paraId="7FE0F728">
            <w:pPr>
              <w:jc w:val="center"/>
              <w:rPr>
                <w:sz w:val="22"/>
                <w:szCs w:val="22"/>
              </w:rPr>
            </w:pPr>
            <w:r>
              <w:rPr>
                <w:sz w:val="22"/>
                <w:szCs w:val="22"/>
              </w:rPr>
              <w:t>775.200.000</w:t>
            </w:r>
          </w:p>
        </w:tc>
        <w:tc>
          <w:tcPr>
            <w:tcW w:w="1798" w:type="dxa"/>
            <w:vAlign w:val="center"/>
          </w:tcPr>
          <w:p w14:paraId="7476BC0E">
            <w:pPr>
              <w:jc w:val="center"/>
              <w:rPr>
                <w:sz w:val="22"/>
                <w:szCs w:val="22"/>
              </w:rPr>
            </w:pPr>
            <w:r>
              <w:rPr>
                <w:sz w:val="22"/>
                <w:szCs w:val="22"/>
              </w:rPr>
              <w:t>1.139.000.000</w:t>
            </w:r>
          </w:p>
        </w:tc>
        <w:tc>
          <w:tcPr>
            <w:tcW w:w="1382" w:type="dxa"/>
            <w:noWrap/>
            <w:vAlign w:val="center"/>
          </w:tcPr>
          <w:p w14:paraId="0A194F1D">
            <w:pPr>
              <w:jc w:val="center"/>
              <w:rPr>
                <w:sz w:val="22"/>
                <w:szCs w:val="22"/>
              </w:rPr>
            </w:pPr>
            <w:r>
              <w:rPr>
                <w:sz w:val="22"/>
                <w:szCs w:val="22"/>
              </w:rPr>
              <w:t>1,47%</w:t>
            </w:r>
          </w:p>
        </w:tc>
      </w:tr>
      <w:tr w14:paraId="769F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65B2637">
            <w:pPr>
              <w:jc w:val="center"/>
              <w:rPr>
                <w:sz w:val="22"/>
                <w:szCs w:val="22"/>
              </w:rPr>
            </w:pPr>
          </w:p>
        </w:tc>
        <w:tc>
          <w:tcPr>
            <w:tcW w:w="1491" w:type="dxa"/>
            <w:noWrap/>
            <w:vAlign w:val="center"/>
          </w:tcPr>
          <w:p w14:paraId="71D5B3EA">
            <w:pPr>
              <w:jc w:val="center"/>
              <w:rPr>
                <w:sz w:val="22"/>
                <w:szCs w:val="22"/>
              </w:rPr>
            </w:pPr>
          </w:p>
        </w:tc>
        <w:tc>
          <w:tcPr>
            <w:tcW w:w="742" w:type="dxa"/>
            <w:vMerge w:val="continue"/>
            <w:vAlign w:val="center"/>
          </w:tcPr>
          <w:p w14:paraId="2E641118">
            <w:pPr>
              <w:jc w:val="center"/>
              <w:rPr>
                <w:sz w:val="22"/>
                <w:szCs w:val="22"/>
              </w:rPr>
            </w:pPr>
          </w:p>
        </w:tc>
        <w:tc>
          <w:tcPr>
            <w:tcW w:w="676" w:type="dxa"/>
            <w:noWrap/>
            <w:vAlign w:val="center"/>
          </w:tcPr>
          <w:p w14:paraId="4FF08D93">
            <w:pPr>
              <w:jc w:val="center"/>
              <w:rPr>
                <w:sz w:val="22"/>
                <w:szCs w:val="22"/>
              </w:rPr>
            </w:pPr>
            <w:r>
              <w:rPr>
                <w:sz w:val="22"/>
                <w:szCs w:val="22"/>
              </w:rPr>
              <w:t>3</w:t>
            </w:r>
          </w:p>
        </w:tc>
        <w:tc>
          <w:tcPr>
            <w:tcW w:w="1098" w:type="dxa"/>
            <w:noWrap/>
            <w:vAlign w:val="center"/>
          </w:tcPr>
          <w:p w14:paraId="5A7421A8">
            <w:pPr>
              <w:jc w:val="center"/>
              <w:rPr>
                <w:sz w:val="22"/>
                <w:szCs w:val="22"/>
              </w:rPr>
            </w:pPr>
            <w:r>
              <w:rPr>
                <w:sz w:val="22"/>
                <w:szCs w:val="22"/>
              </w:rPr>
              <w:t>102,0</w:t>
            </w:r>
          </w:p>
        </w:tc>
        <w:tc>
          <w:tcPr>
            <w:tcW w:w="1817" w:type="dxa"/>
            <w:vAlign w:val="center"/>
          </w:tcPr>
          <w:p w14:paraId="343C2165">
            <w:pPr>
              <w:jc w:val="center"/>
              <w:rPr>
                <w:sz w:val="22"/>
                <w:szCs w:val="22"/>
              </w:rPr>
            </w:pPr>
            <w:r>
              <w:rPr>
                <w:sz w:val="22"/>
                <w:szCs w:val="22"/>
              </w:rPr>
              <w:t>775.200.000</w:t>
            </w:r>
          </w:p>
        </w:tc>
        <w:tc>
          <w:tcPr>
            <w:tcW w:w="1798" w:type="dxa"/>
            <w:vAlign w:val="center"/>
          </w:tcPr>
          <w:p w14:paraId="01D9E0BC">
            <w:pPr>
              <w:jc w:val="center"/>
              <w:rPr>
                <w:sz w:val="22"/>
                <w:szCs w:val="22"/>
              </w:rPr>
            </w:pPr>
            <w:r>
              <w:rPr>
                <w:sz w:val="22"/>
                <w:szCs w:val="22"/>
              </w:rPr>
              <w:t>1.168.989.000</w:t>
            </w:r>
          </w:p>
        </w:tc>
        <w:tc>
          <w:tcPr>
            <w:tcW w:w="1382" w:type="dxa"/>
            <w:noWrap/>
            <w:vAlign w:val="center"/>
          </w:tcPr>
          <w:p w14:paraId="1E8F32E3">
            <w:pPr>
              <w:jc w:val="center"/>
              <w:rPr>
                <w:sz w:val="22"/>
                <w:szCs w:val="22"/>
              </w:rPr>
            </w:pPr>
            <w:r>
              <w:rPr>
                <w:sz w:val="22"/>
                <w:szCs w:val="22"/>
              </w:rPr>
              <w:t>1,51%</w:t>
            </w:r>
          </w:p>
        </w:tc>
      </w:tr>
      <w:tr w14:paraId="7183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1CDBF24">
            <w:pPr>
              <w:jc w:val="center"/>
              <w:rPr>
                <w:sz w:val="22"/>
                <w:szCs w:val="22"/>
              </w:rPr>
            </w:pPr>
          </w:p>
        </w:tc>
        <w:tc>
          <w:tcPr>
            <w:tcW w:w="1491" w:type="dxa"/>
            <w:noWrap/>
            <w:vAlign w:val="center"/>
          </w:tcPr>
          <w:p w14:paraId="7D2ABFE3">
            <w:pPr>
              <w:jc w:val="center"/>
              <w:rPr>
                <w:sz w:val="22"/>
                <w:szCs w:val="22"/>
              </w:rPr>
            </w:pPr>
          </w:p>
        </w:tc>
        <w:tc>
          <w:tcPr>
            <w:tcW w:w="742" w:type="dxa"/>
            <w:vMerge w:val="continue"/>
            <w:vAlign w:val="center"/>
          </w:tcPr>
          <w:p w14:paraId="6C105263">
            <w:pPr>
              <w:jc w:val="center"/>
              <w:rPr>
                <w:sz w:val="22"/>
                <w:szCs w:val="22"/>
              </w:rPr>
            </w:pPr>
          </w:p>
        </w:tc>
        <w:tc>
          <w:tcPr>
            <w:tcW w:w="676" w:type="dxa"/>
            <w:noWrap/>
            <w:vAlign w:val="center"/>
          </w:tcPr>
          <w:p w14:paraId="49358199">
            <w:pPr>
              <w:jc w:val="center"/>
              <w:rPr>
                <w:sz w:val="22"/>
                <w:szCs w:val="22"/>
              </w:rPr>
            </w:pPr>
            <w:r>
              <w:rPr>
                <w:sz w:val="22"/>
                <w:szCs w:val="22"/>
              </w:rPr>
              <w:t>4</w:t>
            </w:r>
          </w:p>
        </w:tc>
        <w:tc>
          <w:tcPr>
            <w:tcW w:w="1098" w:type="dxa"/>
            <w:noWrap/>
            <w:vAlign w:val="center"/>
          </w:tcPr>
          <w:p w14:paraId="24B99823">
            <w:pPr>
              <w:jc w:val="center"/>
              <w:rPr>
                <w:sz w:val="22"/>
                <w:szCs w:val="22"/>
              </w:rPr>
            </w:pPr>
            <w:r>
              <w:rPr>
                <w:sz w:val="22"/>
                <w:szCs w:val="22"/>
              </w:rPr>
              <w:t>102,0</w:t>
            </w:r>
          </w:p>
        </w:tc>
        <w:tc>
          <w:tcPr>
            <w:tcW w:w="1817" w:type="dxa"/>
            <w:vAlign w:val="center"/>
          </w:tcPr>
          <w:p w14:paraId="7F0E2A1D">
            <w:pPr>
              <w:jc w:val="center"/>
              <w:rPr>
                <w:sz w:val="22"/>
                <w:szCs w:val="22"/>
              </w:rPr>
            </w:pPr>
            <w:r>
              <w:rPr>
                <w:sz w:val="22"/>
                <w:szCs w:val="22"/>
              </w:rPr>
              <w:t>775.200.000</w:t>
            </w:r>
          </w:p>
        </w:tc>
        <w:tc>
          <w:tcPr>
            <w:tcW w:w="1798" w:type="dxa"/>
            <w:vAlign w:val="center"/>
          </w:tcPr>
          <w:p w14:paraId="5D728B9A">
            <w:pPr>
              <w:jc w:val="center"/>
              <w:rPr>
                <w:sz w:val="22"/>
                <w:szCs w:val="22"/>
              </w:rPr>
            </w:pPr>
            <w:r>
              <w:rPr>
                <w:sz w:val="22"/>
                <w:szCs w:val="22"/>
              </w:rPr>
              <w:t>1.181.000.000</w:t>
            </w:r>
          </w:p>
        </w:tc>
        <w:tc>
          <w:tcPr>
            <w:tcW w:w="1382" w:type="dxa"/>
            <w:noWrap/>
            <w:vAlign w:val="center"/>
          </w:tcPr>
          <w:p w14:paraId="0E627089">
            <w:pPr>
              <w:jc w:val="center"/>
              <w:rPr>
                <w:sz w:val="22"/>
                <w:szCs w:val="22"/>
              </w:rPr>
            </w:pPr>
            <w:r>
              <w:rPr>
                <w:sz w:val="22"/>
                <w:szCs w:val="22"/>
              </w:rPr>
              <w:t>1,52%</w:t>
            </w:r>
          </w:p>
        </w:tc>
      </w:tr>
      <w:tr w14:paraId="2339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C240A39">
            <w:pPr>
              <w:jc w:val="center"/>
              <w:rPr>
                <w:sz w:val="22"/>
                <w:szCs w:val="22"/>
              </w:rPr>
            </w:pPr>
          </w:p>
        </w:tc>
        <w:tc>
          <w:tcPr>
            <w:tcW w:w="1491" w:type="dxa"/>
            <w:noWrap/>
            <w:vAlign w:val="center"/>
          </w:tcPr>
          <w:p w14:paraId="3DA90DBD">
            <w:pPr>
              <w:jc w:val="center"/>
              <w:rPr>
                <w:sz w:val="22"/>
                <w:szCs w:val="22"/>
              </w:rPr>
            </w:pPr>
          </w:p>
        </w:tc>
        <w:tc>
          <w:tcPr>
            <w:tcW w:w="742" w:type="dxa"/>
            <w:vMerge w:val="continue"/>
            <w:vAlign w:val="center"/>
          </w:tcPr>
          <w:p w14:paraId="1980EE32">
            <w:pPr>
              <w:jc w:val="center"/>
              <w:rPr>
                <w:sz w:val="22"/>
                <w:szCs w:val="22"/>
              </w:rPr>
            </w:pPr>
          </w:p>
        </w:tc>
        <w:tc>
          <w:tcPr>
            <w:tcW w:w="676" w:type="dxa"/>
            <w:noWrap/>
            <w:vAlign w:val="center"/>
          </w:tcPr>
          <w:p w14:paraId="023EA22D">
            <w:pPr>
              <w:jc w:val="center"/>
              <w:rPr>
                <w:sz w:val="22"/>
                <w:szCs w:val="22"/>
              </w:rPr>
            </w:pPr>
            <w:r>
              <w:rPr>
                <w:sz w:val="22"/>
                <w:szCs w:val="22"/>
              </w:rPr>
              <w:t>5</w:t>
            </w:r>
          </w:p>
        </w:tc>
        <w:tc>
          <w:tcPr>
            <w:tcW w:w="1098" w:type="dxa"/>
            <w:noWrap/>
            <w:vAlign w:val="center"/>
          </w:tcPr>
          <w:p w14:paraId="37E039B1">
            <w:pPr>
              <w:jc w:val="center"/>
              <w:rPr>
                <w:sz w:val="22"/>
                <w:szCs w:val="22"/>
              </w:rPr>
            </w:pPr>
            <w:r>
              <w:rPr>
                <w:sz w:val="22"/>
                <w:szCs w:val="22"/>
              </w:rPr>
              <w:t>102,0</w:t>
            </w:r>
          </w:p>
        </w:tc>
        <w:tc>
          <w:tcPr>
            <w:tcW w:w="1817" w:type="dxa"/>
            <w:vAlign w:val="center"/>
          </w:tcPr>
          <w:p w14:paraId="30120EA0">
            <w:pPr>
              <w:jc w:val="center"/>
              <w:rPr>
                <w:sz w:val="22"/>
                <w:szCs w:val="22"/>
              </w:rPr>
            </w:pPr>
            <w:r>
              <w:rPr>
                <w:sz w:val="22"/>
                <w:szCs w:val="22"/>
              </w:rPr>
              <w:t>775.200.000</w:t>
            </w:r>
          </w:p>
        </w:tc>
        <w:tc>
          <w:tcPr>
            <w:tcW w:w="1798" w:type="dxa"/>
            <w:vAlign w:val="center"/>
          </w:tcPr>
          <w:p w14:paraId="3FC7DA01">
            <w:pPr>
              <w:jc w:val="center"/>
              <w:rPr>
                <w:sz w:val="22"/>
                <w:szCs w:val="22"/>
              </w:rPr>
            </w:pPr>
            <w:r>
              <w:rPr>
                <w:sz w:val="22"/>
                <w:szCs w:val="22"/>
              </w:rPr>
              <w:t>1.186.980.000</w:t>
            </w:r>
          </w:p>
        </w:tc>
        <w:tc>
          <w:tcPr>
            <w:tcW w:w="1382" w:type="dxa"/>
            <w:noWrap/>
            <w:vAlign w:val="center"/>
          </w:tcPr>
          <w:p w14:paraId="710335F2">
            <w:pPr>
              <w:jc w:val="center"/>
              <w:rPr>
                <w:sz w:val="22"/>
                <w:szCs w:val="22"/>
              </w:rPr>
            </w:pPr>
            <w:r>
              <w:rPr>
                <w:sz w:val="22"/>
                <w:szCs w:val="22"/>
              </w:rPr>
              <w:t>1,53%</w:t>
            </w:r>
          </w:p>
        </w:tc>
      </w:tr>
      <w:tr w14:paraId="514C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FF40A3C">
            <w:pPr>
              <w:jc w:val="center"/>
              <w:rPr>
                <w:sz w:val="22"/>
                <w:szCs w:val="22"/>
              </w:rPr>
            </w:pPr>
          </w:p>
        </w:tc>
        <w:tc>
          <w:tcPr>
            <w:tcW w:w="1491" w:type="dxa"/>
            <w:noWrap/>
            <w:vAlign w:val="center"/>
          </w:tcPr>
          <w:p w14:paraId="003980C2">
            <w:pPr>
              <w:jc w:val="center"/>
              <w:rPr>
                <w:sz w:val="22"/>
                <w:szCs w:val="22"/>
              </w:rPr>
            </w:pPr>
          </w:p>
        </w:tc>
        <w:tc>
          <w:tcPr>
            <w:tcW w:w="742" w:type="dxa"/>
            <w:vMerge w:val="continue"/>
            <w:vAlign w:val="center"/>
          </w:tcPr>
          <w:p w14:paraId="390D47C0">
            <w:pPr>
              <w:jc w:val="center"/>
              <w:rPr>
                <w:sz w:val="22"/>
                <w:szCs w:val="22"/>
              </w:rPr>
            </w:pPr>
          </w:p>
        </w:tc>
        <w:tc>
          <w:tcPr>
            <w:tcW w:w="676" w:type="dxa"/>
            <w:noWrap/>
            <w:vAlign w:val="center"/>
          </w:tcPr>
          <w:p w14:paraId="4D867036">
            <w:pPr>
              <w:jc w:val="center"/>
              <w:rPr>
                <w:sz w:val="22"/>
                <w:szCs w:val="22"/>
              </w:rPr>
            </w:pPr>
            <w:r>
              <w:rPr>
                <w:sz w:val="22"/>
                <w:szCs w:val="22"/>
              </w:rPr>
              <w:t>6</w:t>
            </w:r>
          </w:p>
        </w:tc>
        <w:tc>
          <w:tcPr>
            <w:tcW w:w="1098" w:type="dxa"/>
            <w:noWrap/>
            <w:vAlign w:val="center"/>
          </w:tcPr>
          <w:p w14:paraId="398B9937">
            <w:pPr>
              <w:jc w:val="center"/>
              <w:rPr>
                <w:sz w:val="22"/>
                <w:szCs w:val="22"/>
              </w:rPr>
            </w:pPr>
            <w:r>
              <w:rPr>
                <w:sz w:val="22"/>
                <w:szCs w:val="22"/>
              </w:rPr>
              <w:t>102,0</w:t>
            </w:r>
          </w:p>
        </w:tc>
        <w:tc>
          <w:tcPr>
            <w:tcW w:w="1817" w:type="dxa"/>
            <w:vAlign w:val="center"/>
          </w:tcPr>
          <w:p w14:paraId="3B81A567">
            <w:pPr>
              <w:jc w:val="center"/>
              <w:rPr>
                <w:sz w:val="22"/>
                <w:szCs w:val="22"/>
              </w:rPr>
            </w:pPr>
            <w:r>
              <w:rPr>
                <w:sz w:val="22"/>
                <w:szCs w:val="22"/>
              </w:rPr>
              <w:t>775.200.000</w:t>
            </w:r>
          </w:p>
        </w:tc>
        <w:tc>
          <w:tcPr>
            <w:tcW w:w="1798" w:type="dxa"/>
            <w:vAlign w:val="center"/>
          </w:tcPr>
          <w:p w14:paraId="77B332C3">
            <w:pPr>
              <w:jc w:val="center"/>
              <w:rPr>
                <w:sz w:val="22"/>
                <w:szCs w:val="22"/>
              </w:rPr>
            </w:pPr>
            <w:r>
              <w:rPr>
                <w:sz w:val="22"/>
                <w:szCs w:val="22"/>
              </w:rPr>
              <w:t>1.187.980.000</w:t>
            </w:r>
          </w:p>
        </w:tc>
        <w:tc>
          <w:tcPr>
            <w:tcW w:w="1382" w:type="dxa"/>
            <w:noWrap/>
            <w:vAlign w:val="center"/>
          </w:tcPr>
          <w:p w14:paraId="30AF5495">
            <w:pPr>
              <w:jc w:val="center"/>
              <w:rPr>
                <w:sz w:val="22"/>
                <w:szCs w:val="22"/>
              </w:rPr>
            </w:pPr>
            <w:r>
              <w:rPr>
                <w:sz w:val="22"/>
                <w:szCs w:val="22"/>
              </w:rPr>
              <w:t>1,53%</w:t>
            </w:r>
          </w:p>
        </w:tc>
      </w:tr>
      <w:tr w14:paraId="2366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4CD5A5C">
            <w:pPr>
              <w:jc w:val="center"/>
              <w:rPr>
                <w:sz w:val="22"/>
                <w:szCs w:val="22"/>
              </w:rPr>
            </w:pPr>
          </w:p>
        </w:tc>
        <w:tc>
          <w:tcPr>
            <w:tcW w:w="1491" w:type="dxa"/>
            <w:noWrap/>
            <w:vAlign w:val="center"/>
          </w:tcPr>
          <w:p w14:paraId="55101F76">
            <w:pPr>
              <w:jc w:val="center"/>
              <w:rPr>
                <w:sz w:val="22"/>
                <w:szCs w:val="22"/>
              </w:rPr>
            </w:pPr>
          </w:p>
        </w:tc>
        <w:tc>
          <w:tcPr>
            <w:tcW w:w="742" w:type="dxa"/>
            <w:vMerge w:val="continue"/>
            <w:vAlign w:val="center"/>
          </w:tcPr>
          <w:p w14:paraId="6693D9DE">
            <w:pPr>
              <w:jc w:val="center"/>
              <w:rPr>
                <w:sz w:val="22"/>
                <w:szCs w:val="22"/>
              </w:rPr>
            </w:pPr>
          </w:p>
        </w:tc>
        <w:tc>
          <w:tcPr>
            <w:tcW w:w="676" w:type="dxa"/>
            <w:noWrap/>
            <w:vAlign w:val="center"/>
          </w:tcPr>
          <w:p w14:paraId="5119F7FC">
            <w:pPr>
              <w:jc w:val="center"/>
              <w:rPr>
                <w:sz w:val="22"/>
                <w:szCs w:val="22"/>
              </w:rPr>
            </w:pPr>
            <w:r>
              <w:rPr>
                <w:sz w:val="22"/>
                <w:szCs w:val="22"/>
              </w:rPr>
              <w:t>7</w:t>
            </w:r>
          </w:p>
        </w:tc>
        <w:tc>
          <w:tcPr>
            <w:tcW w:w="1098" w:type="dxa"/>
            <w:noWrap/>
            <w:vAlign w:val="center"/>
          </w:tcPr>
          <w:p w14:paraId="6C4B4C52">
            <w:pPr>
              <w:jc w:val="center"/>
              <w:rPr>
                <w:sz w:val="22"/>
                <w:szCs w:val="22"/>
              </w:rPr>
            </w:pPr>
            <w:r>
              <w:rPr>
                <w:sz w:val="22"/>
                <w:szCs w:val="22"/>
              </w:rPr>
              <w:t>102,0</w:t>
            </w:r>
          </w:p>
        </w:tc>
        <w:tc>
          <w:tcPr>
            <w:tcW w:w="1817" w:type="dxa"/>
            <w:vAlign w:val="center"/>
          </w:tcPr>
          <w:p w14:paraId="1FBBD476">
            <w:pPr>
              <w:jc w:val="center"/>
              <w:rPr>
                <w:sz w:val="22"/>
                <w:szCs w:val="22"/>
              </w:rPr>
            </w:pPr>
            <w:r>
              <w:rPr>
                <w:sz w:val="22"/>
                <w:szCs w:val="22"/>
              </w:rPr>
              <w:t>775.200.000</w:t>
            </w:r>
          </w:p>
        </w:tc>
        <w:tc>
          <w:tcPr>
            <w:tcW w:w="1798" w:type="dxa"/>
            <w:vAlign w:val="center"/>
          </w:tcPr>
          <w:p w14:paraId="03D27149">
            <w:pPr>
              <w:jc w:val="center"/>
              <w:rPr>
                <w:sz w:val="22"/>
                <w:szCs w:val="22"/>
              </w:rPr>
            </w:pPr>
            <w:r>
              <w:rPr>
                <w:sz w:val="22"/>
                <w:szCs w:val="22"/>
              </w:rPr>
              <w:t>1.188.980.000</w:t>
            </w:r>
          </w:p>
        </w:tc>
        <w:tc>
          <w:tcPr>
            <w:tcW w:w="1382" w:type="dxa"/>
            <w:noWrap/>
            <w:vAlign w:val="center"/>
          </w:tcPr>
          <w:p w14:paraId="3B50BCC2">
            <w:pPr>
              <w:jc w:val="center"/>
              <w:rPr>
                <w:sz w:val="22"/>
                <w:szCs w:val="22"/>
              </w:rPr>
            </w:pPr>
            <w:r>
              <w:rPr>
                <w:sz w:val="22"/>
                <w:szCs w:val="22"/>
              </w:rPr>
              <w:t>1,53%</w:t>
            </w:r>
          </w:p>
        </w:tc>
      </w:tr>
      <w:tr w14:paraId="3A41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54BB8ED">
            <w:pPr>
              <w:jc w:val="center"/>
              <w:rPr>
                <w:sz w:val="22"/>
                <w:szCs w:val="22"/>
              </w:rPr>
            </w:pPr>
          </w:p>
        </w:tc>
        <w:tc>
          <w:tcPr>
            <w:tcW w:w="1491" w:type="dxa"/>
            <w:noWrap/>
            <w:vAlign w:val="center"/>
          </w:tcPr>
          <w:p w14:paraId="6502186A">
            <w:pPr>
              <w:jc w:val="center"/>
              <w:rPr>
                <w:sz w:val="22"/>
                <w:szCs w:val="22"/>
              </w:rPr>
            </w:pPr>
          </w:p>
        </w:tc>
        <w:tc>
          <w:tcPr>
            <w:tcW w:w="742" w:type="dxa"/>
            <w:vMerge w:val="continue"/>
            <w:vAlign w:val="center"/>
          </w:tcPr>
          <w:p w14:paraId="1C6F7CD1">
            <w:pPr>
              <w:jc w:val="center"/>
              <w:rPr>
                <w:sz w:val="22"/>
                <w:szCs w:val="22"/>
              </w:rPr>
            </w:pPr>
          </w:p>
        </w:tc>
        <w:tc>
          <w:tcPr>
            <w:tcW w:w="676" w:type="dxa"/>
            <w:noWrap/>
            <w:vAlign w:val="center"/>
          </w:tcPr>
          <w:p w14:paraId="7C141D63">
            <w:pPr>
              <w:jc w:val="center"/>
              <w:rPr>
                <w:sz w:val="22"/>
                <w:szCs w:val="22"/>
              </w:rPr>
            </w:pPr>
            <w:r>
              <w:rPr>
                <w:sz w:val="22"/>
                <w:szCs w:val="22"/>
              </w:rPr>
              <w:t>8</w:t>
            </w:r>
          </w:p>
        </w:tc>
        <w:tc>
          <w:tcPr>
            <w:tcW w:w="1098" w:type="dxa"/>
            <w:noWrap/>
            <w:vAlign w:val="center"/>
          </w:tcPr>
          <w:p w14:paraId="2AB85966">
            <w:pPr>
              <w:jc w:val="center"/>
              <w:rPr>
                <w:sz w:val="22"/>
                <w:szCs w:val="22"/>
              </w:rPr>
            </w:pPr>
            <w:r>
              <w:rPr>
                <w:sz w:val="22"/>
                <w:szCs w:val="22"/>
              </w:rPr>
              <w:t>119,0</w:t>
            </w:r>
          </w:p>
        </w:tc>
        <w:tc>
          <w:tcPr>
            <w:tcW w:w="1817" w:type="dxa"/>
            <w:vAlign w:val="center"/>
          </w:tcPr>
          <w:p w14:paraId="7D4A7066">
            <w:pPr>
              <w:jc w:val="center"/>
              <w:rPr>
                <w:sz w:val="22"/>
                <w:szCs w:val="22"/>
              </w:rPr>
            </w:pPr>
            <w:r>
              <w:rPr>
                <w:sz w:val="22"/>
                <w:szCs w:val="22"/>
              </w:rPr>
              <w:t>904.400.000</w:t>
            </w:r>
          </w:p>
        </w:tc>
        <w:tc>
          <w:tcPr>
            <w:tcW w:w="1798" w:type="dxa"/>
            <w:vAlign w:val="center"/>
          </w:tcPr>
          <w:p w14:paraId="2BC6EACC">
            <w:pPr>
              <w:jc w:val="center"/>
              <w:rPr>
                <w:sz w:val="22"/>
                <w:szCs w:val="22"/>
              </w:rPr>
            </w:pPr>
            <w:r>
              <w:rPr>
                <w:sz w:val="22"/>
                <w:szCs w:val="22"/>
              </w:rPr>
              <w:t>1.333.000.000</w:t>
            </w:r>
          </w:p>
        </w:tc>
        <w:tc>
          <w:tcPr>
            <w:tcW w:w="1382" w:type="dxa"/>
            <w:noWrap/>
            <w:vAlign w:val="center"/>
          </w:tcPr>
          <w:p w14:paraId="092A63C3">
            <w:pPr>
              <w:jc w:val="center"/>
              <w:rPr>
                <w:sz w:val="22"/>
                <w:szCs w:val="22"/>
              </w:rPr>
            </w:pPr>
            <w:r>
              <w:rPr>
                <w:sz w:val="22"/>
                <w:szCs w:val="22"/>
              </w:rPr>
              <w:t>1,47%</w:t>
            </w:r>
          </w:p>
        </w:tc>
      </w:tr>
      <w:tr w14:paraId="5E67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D36068A">
            <w:pPr>
              <w:jc w:val="center"/>
              <w:rPr>
                <w:sz w:val="22"/>
                <w:szCs w:val="22"/>
              </w:rPr>
            </w:pPr>
          </w:p>
        </w:tc>
        <w:tc>
          <w:tcPr>
            <w:tcW w:w="1491" w:type="dxa"/>
            <w:noWrap/>
            <w:vAlign w:val="center"/>
          </w:tcPr>
          <w:p w14:paraId="6CA59DC5">
            <w:pPr>
              <w:jc w:val="center"/>
              <w:rPr>
                <w:sz w:val="22"/>
                <w:szCs w:val="22"/>
              </w:rPr>
            </w:pPr>
          </w:p>
        </w:tc>
        <w:tc>
          <w:tcPr>
            <w:tcW w:w="742" w:type="dxa"/>
            <w:vMerge w:val="continue"/>
            <w:vAlign w:val="center"/>
          </w:tcPr>
          <w:p w14:paraId="28A26CE7">
            <w:pPr>
              <w:jc w:val="center"/>
              <w:rPr>
                <w:sz w:val="22"/>
                <w:szCs w:val="22"/>
              </w:rPr>
            </w:pPr>
          </w:p>
        </w:tc>
        <w:tc>
          <w:tcPr>
            <w:tcW w:w="676" w:type="dxa"/>
            <w:noWrap/>
            <w:vAlign w:val="center"/>
          </w:tcPr>
          <w:p w14:paraId="7A38A7C4">
            <w:pPr>
              <w:jc w:val="center"/>
              <w:rPr>
                <w:sz w:val="22"/>
                <w:szCs w:val="22"/>
              </w:rPr>
            </w:pPr>
            <w:r>
              <w:rPr>
                <w:sz w:val="22"/>
                <w:szCs w:val="22"/>
              </w:rPr>
              <w:t>9</w:t>
            </w:r>
          </w:p>
        </w:tc>
        <w:tc>
          <w:tcPr>
            <w:tcW w:w="1098" w:type="dxa"/>
            <w:noWrap/>
            <w:vAlign w:val="center"/>
          </w:tcPr>
          <w:p w14:paraId="6A88FFD7">
            <w:pPr>
              <w:jc w:val="center"/>
              <w:rPr>
                <w:sz w:val="22"/>
                <w:szCs w:val="22"/>
              </w:rPr>
            </w:pPr>
            <w:r>
              <w:rPr>
                <w:sz w:val="22"/>
                <w:szCs w:val="22"/>
              </w:rPr>
              <w:t>119,0</w:t>
            </w:r>
          </w:p>
        </w:tc>
        <w:tc>
          <w:tcPr>
            <w:tcW w:w="1817" w:type="dxa"/>
            <w:vAlign w:val="center"/>
          </w:tcPr>
          <w:p w14:paraId="24CBBBD7">
            <w:pPr>
              <w:jc w:val="center"/>
              <w:rPr>
                <w:sz w:val="22"/>
                <w:szCs w:val="22"/>
              </w:rPr>
            </w:pPr>
            <w:r>
              <w:rPr>
                <w:sz w:val="22"/>
                <w:szCs w:val="22"/>
              </w:rPr>
              <w:t>904.400.000</w:t>
            </w:r>
          </w:p>
        </w:tc>
        <w:tc>
          <w:tcPr>
            <w:tcW w:w="1798" w:type="dxa"/>
            <w:vAlign w:val="center"/>
          </w:tcPr>
          <w:p w14:paraId="36F1EDB0">
            <w:pPr>
              <w:jc w:val="center"/>
              <w:rPr>
                <w:sz w:val="22"/>
                <w:szCs w:val="22"/>
              </w:rPr>
            </w:pPr>
            <w:r>
              <w:rPr>
                <w:sz w:val="22"/>
                <w:szCs w:val="22"/>
              </w:rPr>
              <w:t>1.330.000.000</w:t>
            </w:r>
          </w:p>
        </w:tc>
        <w:tc>
          <w:tcPr>
            <w:tcW w:w="1382" w:type="dxa"/>
            <w:noWrap/>
            <w:vAlign w:val="center"/>
          </w:tcPr>
          <w:p w14:paraId="7A3856D2">
            <w:pPr>
              <w:jc w:val="center"/>
              <w:rPr>
                <w:sz w:val="22"/>
                <w:szCs w:val="22"/>
              </w:rPr>
            </w:pPr>
            <w:r>
              <w:rPr>
                <w:sz w:val="22"/>
                <w:szCs w:val="22"/>
              </w:rPr>
              <w:t>1,47%</w:t>
            </w:r>
          </w:p>
        </w:tc>
      </w:tr>
      <w:tr w14:paraId="68B3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97DCC37">
            <w:pPr>
              <w:jc w:val="center"/>
              <w:rPr>
                <w:sz w:val="22"/>
                <w:szCs w:val="22"/>
              </w:rPr>
            </w:pPr>
          </w:p>
        </w:tc>
        <w:tc>
          <w:tcPr>
            <w:tcW w:w="1491" w:type="dxa"/>
            <w:noWrap/>
            <w:vAlign w:val="center"/>
          </w:tcPr>
          <w:p w14:paraId="7A103C6F">
            <w:pPr>
              <w:jc w:val="center"/>
              <w:rPr>
                <w:sz w:val="22"/>
                <w:szCs w:val="22"/>
              </w:rPr>
            </w:pPr>
          </w:p>
        </w:tc>
        <w:tc>
          <w:tcPr>
            <w:tcW w:w="742" w:type="dxa"/>
            <w:vMerge w:val="continue"/>
            <w:vAlign w:val="center"/>
          </w:tcPr>
          <w:p w14:paraId="5BEB6216">
            <w:pPr>
              <w:jc w:val="center"/>
              <w:rPr>
                <w:sz w:val="22"/>
                <w:szCs w:val="22"/>
              </w:rPr>
            </w:pPr>
          </w:p>
        </w:tc>
        <w:tc>
          <w:tcPr>
            <w:tcW w:w="676" w:type="dxa"/>
            <w:noWrap/>
            <w:vAlign w:val="center"/>
          </w:tcPr>
          <w:p w14:paraId="701ED841">
            <w:pPr>
              <w:jc w:val="center"/>
              <w:rPr>
                <w:sz w:val="22"/>
                <w:szCs w:val="22"/>
              </w:rPr>
            </w:pPr>
            <w:r>
              <w:rPr>
                <w:sz w:val="22"/>
                <w:szCs w:val="22"/>
              </w:rPr>
              <w:t>10</w:t>
            </w:r>
          </w:p>
        </w:tc>
        <w:tc>
          <w:tcPr>
            <w:tcW w:w="1098" w:type="dxa"/>
            <w:noWrap/>
            <w:vAlign w:val="center"/>
          </w:tcPr>
          <w:p w14:paraId="6A5B35E3">
            <w:pPr>
              <w:jc w:val="center"/>
              <w:rPr>
                <w:sz w:val="22"/>
                <w:szCs w:val="22"/>
              </w:rPr>
            </w:pPr>
            <w:r>
              <w:rPr>
                <w:sz w:val="22"/>
                <w:szCs w:val="22"/>
              </w:rPr>
              <w:t>102,0</w:t>
            </w:r>
          </w:p>
        </w:tc>
        <w:tc>
          <w:tcPr>
            <w:tcW w:w="1817" w:type="dxa"/>
            <w:vAlign w:val="center"/>
          </w:tcPr>
          <w:p w14:paraId="482F4478">
            <w:pPr>
              <w:jc w:val="center"/>
              <w:rPr>
                <w:sz w:val="22"/>
                <w:szCs w:val="22"/>
              </w:rPr>
            </w:pPr>
            <w:r>
              <w:rPr>
                <w:sz w:val="22"/>
                <w:szCs w:val="22"/>
              </w:rPr>
              <w:t>775.200.000</w:t>
            </w:r>
          </w:p>
        </w:tc>
        <w:tc>
          <w:tcPr>
            <w:tcW w:w="1798" w:type="dxa"/>
            <w:vAlign w:val="center"/>
          </w:tcPr>
          <w:p w14:paraId="586284DC">
            <w:pPr>
              <w:jc w:val="center"/>
              <w:rPr>
                <w:sz w:val="22"/>
                <w:szCs w:val="22"/>
              </w:rPr>
            </w:pPr>
            <w:r>
              <w:rPr>
                <w:sz w:val="22"/>
                <w:szCs w:val="22"/>
              </w:rPr>
              <w:t>1.216.980.000</w:t>
            </w:r>
          </w:p>
        </w:tc>
        <w:tc>
          <w:tcPr>
            <w:tcW w:w="1382" w:type="dxa"/>
            <w:noWrap/>
            <w:vAlign w:val="center"/>
          </w:tcPr>
          <w:p w14:paraId="568FE0E2">
            <w:pPr>
              <w:jc w:val="center"/>
              <w:rPr>
                <w:sz w:val="22"/>
                <w:szCs w:val="22"/>
              </w:rPr>
            </w:pPr>
            <w:r>
              <w:rPr>
                <w:sz w:val="22"/>
                <w:szCs w:val="22"/>
              </w:rPr>
              <w:t>1,57%</w:t>
            </w:r>
          </w:p>
        </w:tc>
      </w:tr>
      <w:tr w14:paraId="15B75D0B">
        <w:tblPrEx>
          <w:tblCellMar>
            <w:top w:w="0" w:type="dxa"/>
            <w:left w:w="108" w:type="dxa"/>
            <w:bottom w:w="0" w:type="dxa"/>
            <w:right w:w="108" w:type="dxa"/>
          </w:tblCellMar>
        </w:tblPrEx>
        <w:trPr>
          <w:trHeight w:val="20" w:hRule="atLeast"/>
        </w:trPr>
        <w:tc>
          <w:tcPr>
            <w:tcW w:w="636" w:type="dxa"/>
            <w:noWrap/>
            <w:vAlign w:val="center"/>
          </w:tcPr>
          <w:p w14:paraId="3CC68666">
            <w:pPr>
              <w:jc w:val="center"/>
              <w:rPr>
                <w:sz w:val="22"/>
                <w:szCs w:val="22"/>
              </w:rPr>
            </w:pPr>
          </w:p>
        </w:tc>
        <w:tc>
          <w:tcPr>
            <w:tcW w:w="1491" w:type="dxa"/>
            <w:noWrap/>
            <w:vAlign w:val="center"/>
          </w:tcPr>
          <w:p w14:paraId="271ED9D0">
            <w:pPr>
              <w:jc w:val="center"/>
              <w:rPr>
                <w:sz w:val="22"/>
                <w:szCs w:val="22"/>
              </w:rPr>
            </w:pPr>
          </w:p>
        </w:tc>
        <w:tc>
          <w:tcPr>
            <w:tcW w:w="742" w:type="dxa"/>
            <w:vMerge w:val="continue"/>
            <w:vAlign w:val="center"/>
          </w:tcPr>
          <w:p w14:paraId="6596C379">
            <w:pPr>
              <w:jc w:val="center"/>
              <w:rPr>
                <w:sz w:val="22"/>
                <w:szCs w:val="22"/>
              </w:rPr>
            </w:pPr>
          </w:p>
        </w:tc>
        <w:tc>
          <w:tcPr>
            <w:tcW w:w="676" w:type="dxa"/>
            <w:noWrap/>
            <w:vAlign w:val="center"/>
          </w:tcPr>
          <w:p w14:paraId="63D5DAA9">
            <w:pPr>
              <w:jc w:val="center"/>
              <w:rPr>
                <w:sz w:val="22"/>
                <w:szCs w:val="22"/>
              </w:rPr>
            </w:pPr>
            <w:r>
              <w:rPr>
                <w:sz w:val="22"/>
                <w:szCs w:val="22"/>
              </w:rPr>
              <w:t>11</w:t>
            </w:r>
          </w:p>
        </w:tc>
        <w:tc>
          <w:tcPr>
            <w:tcW w:w="1098" w:type="dxa"/>
            <w:noWrap/>
            <w:vAlign w:val="center"/>
          </w:tcPr>
          <w:p w14:paraId="1E328034">
            <w:pPr>
              <w:jc w:val="center"/>
              <w:rPr>
                <w:sz w:val="22"/>
                <w:szCs w:val="22"/>
              </w:rPr>
            </w:pPr>
            <w:r>
              <w:rPr>
                <w:sz w:val="22"/>
                <w:szCs w:val="22"/>
              </w:rPr>
              <w:t>102,0</w:t>
            </w:r>
          </w:p>
        </w:tc>
        <w:tc>
          <w:tcPr>
            <w:tcW w:w="1817" w:type="dxa"/>
            <w:vAlign w:val="center"/>
          </w:tcPr>
          <w:p w14:paraId="126D1992">
            <w:pPr>
              <w:jc w:val="center"/>
              <w:rPr>
                <w:sz w:val="22"/>
                <w:szCs w:val="22"/>
              </w:rPr>
            </w:pPr>
            <w:r>
              <w:rPr>
                <w:sz w:val="22"/>
                <w:szCs w:val="22"/>
              </w:rPr>
              <w:t>775.200.000</w:t>
            </w:r>
          </w:p>
        </w:tc>
        <w:tc>
          <w:tcPr>
            <w:tcW w:w="1798" w:type="dxa"/>
            <w:vAlign w:val="center"/>
          </w:tcPr>
          <w:p w14:paraId="7E7A9EDF">
            <w:pPr>
              <w:jc w:val="center"/>
              <w:rPr>
                <w:sz w:val="22"/>
                <w:szCs w:val="22"/>
              </w:rPr>
            </w:pPr>
            <w:r>
              <w:rPr>
                <w:sz w:val="22"/>
                <w:szCs w:val="22"/>
              </w:rPr>
              <w:t>1.216.980.000</w:t>
            </w:r>
          </w:p>
        </w:tc>
        <w:tc>
          <w:tcPr>
            <w:tcW w:w="1382" w:type="dxa"/>
            <w:noWrap/>
            <w:vAlign w:val="center"/>
          </w:tcPr>
          <w:p w14:paraId="412DD0FD">
            <w:pPr>
              <w:jc w:val="center"/>
              <w:rPr>
                <w:sz w:val="22"/>
                <w:szCs w:val="22"/>
              </w:rPr>
            </w:pPr>
            <w:r>
              <w:rPr>
                <w:sz w:val="22"/>
                <w:szCs w:val="22"/>
              </w:rPr>
              <w:t>1,57%</w:t>
            </w:r>
          </w:p>
        </w:tc>
      </w:tr>
      <w:tr w14:paraId="2A13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6792E63">
            <w:pPr>
              <w:jc w:val="center"/>
              <w:rPr>
                <w:sz w:val="22"/>
                <w:szCs w:val="22"/>
              </w:rPr>
            </w:pPr>
          </w:p>
        </w:tc>
        <w:tc>
          <w:tcPr>
            <w:tcW w:w="1491" w:type="dxa"/>
            <w:noWrap/>
            <w:vAlign w:val="center"/>
          </w:tcPr>
          <w:p w14:paraId="61F55910">
            <w:pPr>
              <w:jc w:val="center"/>
              <w:rPr>
                <w:sz w:val="22"/>
                <w:szCs w:val="22"/>
              </w:rPr>
            </w:pPr>
          </w:p>
        </w:tc>
        <w:tc>
          <w:tcPr>
            <w:tcW w:w="742" w:type="dxa"/>
            <w:vMerge w:val="continue"/>
            <w:vAlign w:val="center"/>
          </w:tcPr>
          <w:p w14:paraId="1C66B77F">
            <w:pPr>
              <w:jc w:val="center"/>
              <w:rPr>
                <w:sz w:val="22"/>
                <w:szCs w:val="22"/>
              </w:rPr>
            </w:pPr>
          </w:p>
        </w:tc>
        <w:tc>
          <w:tcPr>
            <w:tcW w:w="676" w:type="dxa"/>
            <w:noWrap/>
            <w:vAlign w:val="center"/>
          </w:tcPr>
          <w:p w14:paraId="2B9A4034">
            <w:pPr>
              <w:jc w:val="center"/>
              <w:rPr>
                <w:sz w:val="22"/>
                <w:szCs w:val="22"/>
              </w:rPr>
            </w:pPr>
            <w:r>
              <w:rPr>
                <w:sz w:val="22"/>
                <w:szCs w:val="22"/>
              </w:rPr>
              <w:t>14</w:t>
            </w:r>
          </w:p>
        </w:tc>
        <w:tc>
          <w:tcPr>
            <w:tcW w:w="1098" w:type="dxa"/>
            <w:noWrap/>
            <w:vAlign w:val="center"/>
          </w:tcPr>
          <w:p w14:paraId="579DE627">
            <w:pPr>
              <w:jc w:val="center"/>
              <w:rPr>
                <w:sz w:val="22"/>
                <w:szCs w:val="22"/>
              </w:rPr>
            </w:pPr>
            <w:r>
              <w:rPr>
                <w:sz w:val="22"/>
                <w:szCs w:val="22"/>
              </w:rPr>
              <w:t>102,0</w:t>
            </w:r>
          </w:p>
        </w:tc>
        <w:tc>
          <w:tcPr>
            <w:tcW w:w="1817" w:type="dxa"/>
            <w:vAlign w:val="center"/>
          </w:tcPr>
          <w:p w14:paraId="5F934926">
            <w:pPr>
              <w:jc w:val="center"/>
              <w:rPr>
                <w:sz w:val="22"/>
                <w:szCs w:val="22"/>
              </w:rPr>
            </w:pPr>
            <w:r>
              <w:rPr>
                <w:sz w:val="22"/>
                <w:szCs w:val="22"/>
              </w:rPr>
              <w:t>775.200.000</w:t>
            </w:r>
          </w:p>
        </w:tc>
        <w:tc>
          <w:tcPr>
            <w:tcW w:w="1798" w:type="dxa"/>
            <w:vAlign w:val="center"/>
          </w:tcPr>
          <w:p w14:paraId="306A0E9F">
            <w:pPr>
              <w:jc w:val="center"/>
              <w:rPr>
                <w:sz w:val="22"/>
                <w:szCs w:val="22"/>
              </w:rPr>
            </w:pPr>
            <w:r>
              <w:rPr>
                <w:sz w:val="22"/>
                <w:szCs w:val="22"/>
              </w:rPr>
              <w:t>1.189.600.000</w:t>
            </w:r>
          </w:p>
        </w:tc>
        <w:tc>
          <w:tcPr>
            <w:tcW w:w="1382" w:type="dxa"/>
            <w:noWrap/>
            <w:vAlign w:val="center"/>
          </w:tcPr>
          <w:p w14:paraId="6FBFBF1A">
            <w:pPr>
              <w:jc w:val="center"/>
              <w:rPr>
                <w:sz w:val="22"/>
                <w:szCs w:val="22"/>
              </w:rPr>
            </w:pPr>
            <w:r>
              <w:rPr>
                <w:sz w:val="22"/>
                <w:szCs w:val="22"/>
              </w:rPr>
              <w:t>1,53%</w:t>
            </w:r>
          </w:p>
        </w:tc>
      </w:tr>
      <w:tr w14:paraId="0C8D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0330180">
            <w:pPr>
              <w:jc w:val="center"/>
              <w:rPr>
                <w:sz w:val="22"/>
                <w:szCs w:val="22"/>
              </w:rPr>
            </w:pPr>
          </w:p>
        </w:tc>
        <w:tc>
          <w:tcPr>
            <w:tcW w:w="1491" w:type="dxa"/>
            <w:noWrap/>
            <w:vAlign w:val="center"/>
          </w:tcPr>
          <w:p w14:paraId="7FCD512E">
            <w:pPr>
              <w:jc w:val="center"/>
              <w:rPr>
                <w:sz w:val="22"/>
                <w:szCs w:val="22"/>
              </w:rPr>
            </w:pPr>
          </w:p>
        </w:tc>
        <w:tc>
          <w:tcPr>
            <w:tcW w:w="742" w:type="dxa"/>
            <w:vMerge w:val="continue"/>
            <w:vAlign w:val="center"/>
          </w:tcPr>
          <w:p w14:paraId="02B04F12">
            <w:pPr>
              <w:jc w:val="center"/>
              <w:rPr>
                <w:sz w:val="22"/>
                <w:szCs w:val="22"/>
              </w:rPr>
            </w:pPr>
          </w:p>
        </w:tc>
        <w:tc>
          <w:tcPr>
            <w:tcW w:w="676" w:type="dxa"/>
            <w:noWrap/>
            <w:vAlign w:val="center"/>
          </w:tcPr>
          <w:p w14:paraId="40D614AB">
            <w:pPr>
              <w:jc w:val="center"/>
              <w:rPr>
                <w:sz w:val="22"/>
                <w:szCs w:val="22"/>
              </w:rPr>
            </w:pPr>
            <w:r>
              <w:rPr>
                <w:sz w:val="22"/>
                <w:szCs w:val="22"/>
              </w:rPr>
              <w:t>15</w:t>
            </w:r>
          </w:p>
        </w:tc>
        <w:tc>
          <w:tcPr>
            <w:tcW w:w="1098" w:type="dxa"/>
            <w:noWrap/>
            <w:vAlign w:val="center"/>
          </w:tcPr>
          <w:p w14:paraId="6FE3C7A0">
            <w:pPr>
              <w:jc w:val="center"/>
              <w:rPr>
                <w:sz w:val="22"/>
                <w:szCs w:val="22"/>
              </w:rPr>
            </w:pPr>
            <w:r>
              <w:rPr>
                <w:sz w:val="22"/>
                <w:szCs w:val="22"/>
              </w:rPr>
              <w:t>136,5</w:t>
            </w:r>
          </w:p>
        </w:tc>
        <w:tc>
          <w:tcPr>
            <w:tcW w:w="1817" w:type="dxa"/>
            <w:vAlign w:val="center"/>
          </w:tcPr>
          <w:p w14:paraId="106E3E5D">
            <w:pPr>
              <w:jc w:val="center"/>
              <w:rPr>
                <w:sz w:val="22"/>
                <w:szCs w:val="22"/>
              </w:rPr>
            </w:pPr>
            <w:r>
              <w:rPr>
                <w:sz w:val="22"/>
                <w:szCs w:val="22"/>
              </w:rPr>
              <w:t>1.244.880.000</w:t>
            </w:r>
          </w:p>
        </w:tc>
        <w:tc>
          <w:tcPr>
            <w:tcW w:w="1798" w:type="dxa"/>
            <w:vAlign w:val="center"/>
          </w:tcPr>
          <w:p w14:paraId="705B255D">
            <w:pPr>
              <w:jc w:val="center"/>
              <w:rPr>
                <w:sz w:val="22"/>
                <w:szCs w:val="22"/>
              </w:rPr>
            </w:pPr>
            <w:r>
              <w:rPr>
                <w:sz w:val="22"/>
                <w:szCs w:val="22"/>
              </w:rPr>
              <w:t>1.600.000.000</w:t>
            </w:r>
          </w:p>
        </w:tc>
        <w:tc>
          <w:tcPr>
            <w:tcW w:w="1382" w:type="dxa"/>
            <w:noWrap/>
            <w:vAlign w:val="center"/>
          </w:tcPr>
          <w:p w14:paraId="73B547BC">
            <w:pPr>
              <w:jc w:val="center"/>
              <w:rPr>
                <w:sz w:val="22"/>
                <w:szCs w:val="22"/>
              </w:rPr>
            </w:pPr>
            <w:r>
              <w:rPr>
                <w:sz w:val="22"/>
                <w:szCs w:val="22"/>
              </w:rPr>
              <w:t>1,29%</w:t>
            </w:r>
          </w:p>
        </w:tc>
      </w:tr>
      <w:tr w14:paraId="33CC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AEFD72F">
            <w:pPr>
              <w:jc w:val="center"/>
              <w:rPr>
                <w:sz w:val="22"/>
                <w:szCs w:val="22"/>
              </w:rPr>
            </w:pPr>
          </w:p>
        </w:tc>
        <w:tc>
          <w:tcPr>
            <w:tcW w:w="1491" w:type="dxa"/>
            <w:noWrap/>
            <w:vAlign w:val="center"/>
          </w:tcPr>
          <w:p w14:paraId="1E1EE7DD">
            <w:pPr>
              <w:jc w:val="center"/>
              <w:rPr>
                <w:sz w:val="22"/>
                <w:szCs w:val="22"/>
              </w:rPr>
            </w:pPr>
          </w:p>
        </w:tc>
        <w:tc>
          <w:tcPr>
            <w:tcW w:w="742" w:type="dxa"/>
            <w:vMerge w:val="continue"/>
            <w:vAlign w:val="center"/>
          </w:tcPr>
          <w:p w14:paraId="22B1CF32">
            <w:pPr>
              <w:jc w:val="center"/>
              <w:rPr>
                <w:sz w:val="22"/>
                <w:szCs w:val="22"/>
              </w:rPr>
            </w:pPr>
          </w:p>
        </w:tc>
        <w:tc>
          <w:tcPr>
            <w:tcW w:w="676" w:type="dxa"/>
            <w:noWrap/>
            <w:vAlign w:val="center"/>
          </w:tcPr>
          <w:p w14:paraId="1A6676B3">
            <w:pPr>
              <w:jc w:val="center"/>
              <w:rPr>
                <w:sz w:val="22"/>
                <w:szCs w:val="22"/>
              </w:rPr>
            </w:pPr>
            <w:r>
              <w:rPr>
                <w:sz w:val="22"/>
                <w:szCs w:val="22"/>
              </w:rPr>
              <w:t>18</w:t>
            </w:r>
          </w:p>
        </w:tc>
        <w:tc>
          <w:tcPr>
            <w:tcW w:w="1098" w:type="dxa"/>
            <w:noWrap/>
            <w:vAlign w:val="center"/>
          </w:tcPr>
          <w:p w14:paraId="67E47A15">
            <w:pPr>
              <w:jc w:val="center"/>
              <w:rPr>
                <w:sz w:val="22"/>
                <w:szCs w:val="22"/>
              </w:rPr>
            </w:pPr>
            <w:r>
              <w:rPr>
                <w:sz w:val="22"/>
                <w:szCs w:val="22"/>
              </w:rPr>
              <w:t>96,0</w:t>
            </w:r>
          </w:p>
        </w:tc>
        <w:tc>
          <w:tcPr>
            <w:tcW w:w="1817" w:type="dxa"/>
            <w:vAlign w:val="center"/>
          </w:tcPr>
          <w:p w14:paraId="432C554A">
            <w:pPr>
              <w:jc w:val="center"/>
              <w:rPr>
                <w:sz w:val="22"/>
                <w:szCs w:val="22"/>
              </w:rPr>
            </w:pPr>
            <w:r>
              <w:rPr>
                <w:sz w:val="22"/>
                <w:szCs w:val="22"/>
              </w:rPr>
              <w:t>652.800.000</w:t>
            </w:r>
          </w:p>
        </w:tc>
        <w:tc>
          <w:tcPr>
            <w:tcW w:w="1798" w:type="dxa"/>
            <w:vAlign w:val="center"/>
          </w:tcPr>
          <w:p w14:paraId="16D0D3AC">
            <w:pPr>
              <w:jc w:val="center"/>
              <w:rPr>
                <w:sz w:val="22"/>
                <w:szCs w:val="22"/>
              </w:rPr>
            </w:pPr>
            <w:r>
              <w:rPr>
                <w:sz w:val="22"/>
                <w:szCs w:val="22"/>
              </w:rPr>
              <w:t>1.072.000.000</w:t>
            </w:r>
          </w:p>
        </w:tc>
        <w:tc>
          <w:tcPr>
            <w:tcW w:w="1382" w:type="dxa"/>
            <w:noWrap/>
            <w:vAlign w:val="center"/>
          </w:tcPr>
          <w:p w14:paraId="64553484">
            <w:pPr>
              <w:jc w:val="center"/>
              <w:rPr>
                <w:sz w:val="22"/>
                <w:szCs w:val="22"/>
              </w:rPr>
            </w:pPr>
            <w:r>
              <w:rPr>
                <w:sz w:val="22"/>
                <w:szCs w:val="22"/>
              </w:rPr>
              <w:t>1,64%</w:t>
            </w:r>
          </w:p>
        </w:tc>
      </w:tr>
      <w:tr w14:paraId="3BD9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955017C">
            <w:pPr>
              <w:jc w:val="center"/>
              <w:rPr>
                <w:sz w:val="22"/>
                <w:szCs w:val="22"/>
              </w:rPr>
            </w:pPr>
          </w:p>
        </w:tc>
        <w:tc>
          <w:tcPr>
            <w:tcW w:w="1491" w:type="dxa"/>
            <w:noWrap/>
            <w:vAlign w:val="center"/>
          </w:tcPr>
          <w:p w14:paraId="5D26D553">
            <w:pPr>
              <w:jc w:val="center"/>
              <w:rPr>
                <w:sz w:val="22"/>
                <w:szCs w:val="22"/>
              </w:rPr>
            </w:pPr>
          </w:p>
        </w:tc>
        <w:tc>
          <w:tcPr>
            <w:tcW w:w="742" w:type="dxa"/>
            <w:vMerge w:val="continue"/>
            <w:vAlign w:val="center"/>
          </w:tcPr>
          <w:p w14:paraId="35D2C4D8">
            <w:pPr>
              <w:jc w:val="center"/>
              <w:rPr>
                <w:sz w:val="22"/>
                <w:szCs w:val="22"/>
              </w:rPr>
            </w:pPr>
          </w:p>
        </w:tc>
        <w:tc>
          <w:tcPr>
            <w:tcW w:w="676" w:type="dxa"/>
            <w:noWrap/>
            <w:vAlign w:val="center"/>
          </w:tcPr>
          <w:p w14:paraId="71D65753">
            <w:pPr>
              <w:jc w:val="center"/>
              <w:rPr>
                <w:sz w:val="22"/>
                <w:szCs w:val="22"/>
              </w:rPr>
            </w:pPr>
            <w:r>
              <w:rPr>
                <w:sz w:val="22"/>
                <w:szCs w:val="22"/>
              </w:rPr>
              <w:t>19</w:t>
            </w:r>
          </w:p>
        </w:tc>
        <w:tc>
          <w:tcPr>
            <w:tcW w:w="1098" w:type="dxa"/>
            <w:noWrap/>
            <w:vAlign w:val="center"/>
          </w:tcPr>
          <w:p w14:paraId="46E10895">
            <w:pPr>
              <w:jc w:val="center"/>
              <w:rPr>
                <w:sz w:val="22"/>
                <w:szCs w:val="22"/>
              </w:rPr>
            </w:pPr>
            <w:r>
              <w:rPr>
                <w:sz w:val="22"/>
                <w:szCs w:val="22"/>
              </w:rPr>
              <w:t>96,0</w:t>
            </w:r>
          </w:p>
        </w:tc>
        <w:tc>
          <w:tcPr>
            <w:tcW w:w="1817" w:type="dxa"/>
            <w:vAlign w:val="center"/>
          </w:tcPr>
          <w:p w14:paraId="421318AA">
            <w:pPr>
              <w:jc w:val="center"/>
              <w:rPr>
                <w:sz w:val="22"/>
                <w:szCs w:val="22"/>
              </w:rPr>
            </w:pPr>
            <w:r>
              <w:rPr>
                <w:sz w:val="22"/>
                <w:szCs w:val="22"/>
              </w:rPr>
              <w:t>652.800.000</w:t>
            </w:r>
          </w:p>
        </w:tc>
        <w:tc>
          <w:tcPr>
            <w:tcW w:w="1798" w:type="dxa"/>
            <w:vAlign w:val="center"/>
          </w:tcPr>
          <w:p w14:paraId="71A6181B">
            <w:pPr>
              <w:jc w:val="center"/>
              <w:rPr>
                <w:sz w:val="22"/>
                <w:szCs w:val="22"/>
              </w:rPr>
            </w:pPr>
            <w:r>
              <w:rPr>
                <w:sz w:val="22"/>
                <w:szCs w:val="22"/>
              </w:rPr>
              <w:t>1.069.000.000</w:t>
            </w:r>
          </w:p>
        </w:tc>
        <w:tc>
          <w:tcPr>
            <w:tcW w:w="1382" w:type="dxa"/>
            <w:noWrap/>
            <w:vAlign w:val="center"/>
          </w:tcPr>
          <w:p w14:paraId="0BF7C8A9">
            <w:pPr>
              <w:jc w:val="center"/>
              <w:rPr>
                <w:sz w:val="22"/>
                <w:szCs w:val="22"/>
              </w:rPr>
            </w:pPr>
            <w:r>
              <w:rPr>
                <w:sz w:val="22"/>
                <w:szCs w:val="22"/>
              </w:rPr>
              <w:t>1,64%</w:t>
            </w:r>
          </w:p>
        </w:tc>
      </w:tr>
      <w:tr w14:paraId="159B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9612F53">
            <w:pPr>
              <w:jc w:val="center"/>
              <w:rPr>
                <w:sz w:val="22"/>
                <w:szCs w:val="22"/>
              </w:rPr>
            </w:pPr>
          </w:p>
        </w:tc>
        <w:tc>
          <w:tcPr>
            <w:tcW w:w="1491" w:type="dxa"/>
            <w:noWrap/>
            <w:vAlign w:val="center"/>
          </w:tcPr>
          <w:p w14:paraId="10613E20">
            <w:pPr>
              <w:jc w:val="center"/>
              <w:rPr>
                <w:sz w:val="22"/>
                <w:szCs w:val="22"/>
              </w:rPr>
            </w:pPr>
          </w:p>
        </w:tc>
        <w:tc>
          <w:tcPr>
            <w:tcW w:w="742" w:type="dxa"/>
            <w:vMerge w:val="continue"/>
            <w:vAlign w:val="center"/>
          </w:tcPr>
          <w:p w14:paraId="7D990339">
            <w:pPr>
              <w:jc w:val="center"/>
              <w:rPr>
                <w:sz w:val="22"/>
                <w:szCs w:val="22"/>
              </w:rPr>
            </w:pPr>
          </w:p>
        </w:tc>
        <w:tc>
          <w:tcPr>
            <w:tcW w:w="676" w:type="dxa"/>
            <w:noWrap/>
            <w:vAlign w:val="center"/>
          </w:tcPr>
          <w:p w14:paraId="721DAB59">
            <w:pPr>
              <w:jc w:val="center"/>
              <w:rPr>
                <w:sz w:val="22"/>
                <w:szCs w:val="22"/>
              </w:rPr>
            </w:pPr>
            <w:r>
              <w:rPr>
                <w:sz w:val="22"/>
                <w:szCs w:val="22"/>
              </w:rPr>
              <w:t>20</w:t>
            </w:r>
          </w:p>
        </w:tc>
        <w:tc>
          <w:tcPr>
            <w:tcW w:w="1098" w:type="dxa"/>
            <w:noWrap/>
            <w:vAlign w:val="center"/>
          </w:tcPr>
          <w:p w14:paraId="77436918">
            <w:pPr>
              <w:jc w:val="center"/>
              <w:rPr>
                <w:sz w:val="22"/>
                <w:szCs w:val="22"/>
              </w:rPr>
            </w:pPr>
            <w:r>
              <w:rPr>
                <w:sz w:val="22"/>
                <w:szCs w:val="22"/>
              </w:rPr>
              <w:t>96,0</w:t>
            </w:r>
          </w:p>
        </w:tc>
        <w:tc>
          <w:tcPr>
            <w:tcW w:w="1817" w:type="dxa"/>
            <w:vAlign w:val="center"/>
          </w:tcPr>
          <w:p w14:paraId="7023AFFB">
            <w:pPr>
              <w:jc w:val="center"/>
              <w:rPr>
                <w:sz w:val="22"/>
                <w:szCs w:val="22"/>
              </w:rPr>
            </w:pPr>
            <w:r>
              <w:rPr>
                <w:sz w:val="22"/>
                <w:szCs w:val="22"/>
              </w:rPr>
              <w:t>652.800.000</w:t>
            </w:r>
          </w:p>
        </w:tc>
        <w:tc>
          <w:tcPr>
            <w:tcW w:w="1798" w:type="dxa"/>
            <w:vAlign w:val="center"/>
          </w:tcPr>
          <w:p w14:paraId="2423308A">
            <w:pPr>
              <w:jc w:val="center"/>
              <w:rPr>
                <w:sz w:val="22"/>
                <w:szCs w:val="22"/>
              </w:rPr>
            </w:pPr>
            <w:r>
              <w:rPr>
                <w:sz w:val="22"/>
                <w:szCs w:val="22"/>
              </w:rPr>
              <w:t>1.098.000.000</w:t>
            </w:r>
          </w:p>
        </w:tc>
        <w:tc>
          <w:tcPr>
            <w:tcW w:w="1382" w:type="dxa"/>
            <w:noWrap/>
            <w:vAlign w:val="center"/>
          </w:tcPr>
          <w:p w14:paraId="7509D773">
            <w:pPr>
              <w:jc w:val="center"/>
              <w:rPr>
                <w:sz w:val="22"/>
                <w:szCs w:val="22"/>
              </w:rPr>
            </w:pPr>
            <w:r>
              <w:rPr>
                <w:sz w:val="22"/>
                <w:szCs w:val="22"/>
              </w:rPr>
              <w:t>1,68%</w:t>
            </w:r>
          </w:p>
        </w:tc>
      </w:tr>
      <w:tr w14:paraId="6C88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3228FD5">
            <w:pPr>
              <w:jc w:val="center"/>
              <w:rPr>
                <w:sz w:val="22"/>
                <w:szCs w:val="22"/>
              </w:rPr>
            </w:pPr>
          </w:p>
        </w:tc>
        <w:tc>
          <w:tcPr>
            <w:tcW w:w="1491" w:type="dxa"/>
            <w:noWrap/>
            <w:vAlign w:val="center"/>
          </w:tcPr>
          <w:p w14:paraId="5FF4A376">
            <w:pPr>
              <w:jc w:val="center"/>
              <w:rPr>
                <w:sz w:val="22"/>
                <w:szCs w:val="22"/>
              </w:rPr>
            </w:pPr>
          </w:p>
        </w:tc>
        <w:tc>
          <w:tcPr>
            <w:tcW w:w="742" w:type="dxa"/>
            <w:vMerge w:val="continue"/>
            <w:vAlign w:val="center"/>
          </w:tcPr>
          <w:p w14:paraId="472FD1D7">
            <w:pPr>
              <w:jc w:val="center"/>
              <w:rPr>
                <w:sz w:val="22"/>
                <w:szCs w:val="22"/>
              </w:rPr>
            </w:pPr>
          </w:p>
        </w:tc>
        <w:tc>
          <w:tcPr>
            <w:tcW w:w="676" w:type="dxa"/>
            <w:noWrap/>
            <w:vAlign w:val="center"/>
          </w:tcPr>
          <w:p w14:paraId="10920C23">
            <w:pPr>
              <w:jc w:val="center"/>
              <w:rPr>
                <w:sz w:val="22"/>
                <w:szCs w:val="22"/>
              </w:rPr>
            </w:pPr>
            <w:r>
              <w:rPr>
                <w:sz w:val="22"/>
                <w:szCs w:val="22"/>
              </w:rPr>
              <w:t>21</w:t>
            </w:r>
          </w:p>
        </w:tc>
        <w:tc>
          <w:tcPr>
            <w:tcW w:w="1098" w:type="dxa"/>
            <w:noWrap/>
            <w:vAlign w:val="center"/>
          </w:tcPr>
          <w:p w14:paraId="4DE844D3">
            <w:pPr>
              <w:jc w:val="center"/>
              <w:rPr>
                <w:sz w:val="22"/>
                <w:szCs w:val="22"/>
              </w:rPr>
            </w:pPr>
            <w:r>
              <w:rPr>
                <w:sz w:val="22"/>
                <w:szCs w:val="22"/>
              </w:rPr>
              <w:t>96,0</w:t>
            </w:r>
          </w:p>
        </w:tc>
        <w:tc>
          <w:tcPr>
            <w:tcW w:w="1817" w:type="dxa"/>
            <w:vAlign w:val="center"/>
          </w:tcPr>
          <w:p w14:paraId="62A52FA3">
            <w:pPr>
              <w:jc w:val="center"/>
              <w:rPr>
                <w:sz w:val="22"/>
                <w:szCs w:val="22"/>
              </w:rPr>
            </w:pPr>
            <w:r>
              <w:rPr>
                <w:sz w:val="22"/>
                <w:szCs w:val="22"/>
              </w:rPr>
              <w:t>652.800.000</w:t>
            </w:r>
          </w:p>
        </w:tc>
        <w:tc>
          <w:tcPr>
            <w:tcW w:w="1798" w:type="dxa"/>
            <w:vAlign w:val="center"/>
          </w:tcPr>
          <w:p w14:paraId="76216A03">
            <w:pPr>
              <w:jc w:val="center"/>
              <w:rPr>
                <w:sz w:val="22"/>
                <w:szCs w:val="22"/>
              </w:rPr>
            </w:pPr>
            <w:r>
              <w:rPr>
                <w:sz w:val="22"/>
                <w:szCs w:val="22"/>
              </w:rPr>
              <w:t>1.079.400.000</w:t>
            </w:r>
          </w:p>
        </w:tc>
        <w:tc>
          <w:tcPr>
            <w:tcW w:w="1382" w:type="dxa"/>
            <w:noWrap/>
            <w:vAlign w:val="center"/>
          </w:tcPr>
          <w:p w14:paraId="7AECE135">
            <w:pPr>
              <w:jc w:val="center"/>
              <w:rPr>
                <w:sz w:val="22"/>
                <w:szCs w:val="22"/>
              </w:rPr>
            </w:pPr>
            <w:r>
              <w:rPr>
                <w:sz w:val="22"/>
                <w:szCs w:val="22"/>
              </w:rPr>
              <w:t>1,65%</w:t>
            </w:r>
          </w:p>
        </w:tc>
      </w:tr>
      <w:tr w14:paraId="73BF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33A8902">
            <w:pPr>
              <w:jc w:val="center"/>
              <w:rPr>
                <w:sz w:val="22"/>
                <w:szCs w:val="22"/>
              </w:rPr>
            </w:pPr>
          </w:p>
        </w:tc>
        <w:tc>
          <w:tcPr>
            <w:tcW w:w="1491" w:type="dxa"/>
            <w:noWrap/>
            <w:vAlign w:val="center"/>
          </w:tcPr>
          <w:p w14:paraId="07A6F190">
            <w:pPr>
              <w:jc w:val="center"/>
              <w:rPr>
                <w:sz w:val="22"/>
                <w:szCs w:val="22"/>
              </w:rPr>
            </w:pPr>
          </w:p>
        </w:tc>
        <w:tc>
          <w:tcPr>
            <w:tcW w:w="742" w:type="dxa"/>
            <w:vMerge w:val="continue"/>
            <w:vAlign w:val="center"/>
          </w:tcPr>
          <w:p w14:paraId="2A8DE101">
            <w:pPr>
              <w:jc w:val="center"/>
              <w:rPr>
                <w:sz w:val="22"/>
                <w:szCs w:val="22"/>
              </w:rPr>
            </w:pPr>
          </w:p>
        </w:tc>
        <w:tc>
          <w:tcPr>
            <w:tcW w:w="676" w:type="dxa"/>
            <w:noWrap/>
            <w:vAlign w:val="center"/>
          </w:tcPr>
          <w:p w14:paraId="1FFDA5FA">
            <w:pPr>
              <w:jc w:val="center"/>
              <w:rPr>
                <w:sz w:val="22"/>
                <w:szCs w:val="22"/>
              </w:rPr>
            </w:pPr>
            <w:r>
              <w:rPr>
                <w:sz w:val="22"/>
                <w:szCs w:val="22"/>
              </w:rPr>
              <w:t>22</w:t>
            </w:r>
          </w:p>
        </w:tc>
        <w:tc>
          <w:tcPr>
            <w:tcW w:w="1098" w:type="dxa"/>
            <w:noWrap/>
            <w:vAlign w:val="center"/>
          </w:tcPr>
          <w:p w14:paraId="60D52DA7">
            <w:pPr>
              <w:jc w:val="center"/>
              <w:rPr>
                <w:sz w:val="22"/>
                <w:szCs w:val="22"/>
              </w:rPr>
            </w:pPr>
            <w:r>
              <w:rPr>
                <w:sz w:val="22"/>
                <w:szCs w:val="22"/>
              </w:rPr>
              <w:t>112,0</w:t>
            </w:r>
          </w:p>
        </w:tc>
        <w:tc>
          <w:tcPr>
            <w:tcW w:w="1817" w:type="dxa"/>
            <w:vAlign w:val="center"/>
          </w:tcPr>
          <w:p w14:paraId="6D454498">
            <w:pPr>
              <w:jc w:val="center"/>
              <w:rPr>
                <w:sz w:val="22"/>
                <w:szCs w:val="22"/>
              </w:rPr>
            </w:pPr>
            <w:r>
              <w:rPr>
                <w:sz w:val="22"/>
                <w:szCs w:val="22"/>
              </w:rPr>
              <w:t>761.600.000</w:t>
            </w:r>
          </w:p>
        </w:tc>
        <w:tc>
          <w:tcPr>
            <w:tcW w:w="1798" w:type="dxa"/>
            <w:vAlign w:val="center"/>
          </w:tcPr>
          <w:p w14:paraId="15656EC3">
            <w:pPr>
              <w:jc w:val="center"/>
              <w:rPr>
                <w:sz w:val="22"/>
                <w:szCs w:val="22"/>
              </w:rPr>
            </w:pPr>
            <w:r>
              <w:rPr>
                <w:sz w:val="22"/>
                <w:szCs w:val="22"/>
              </w:rPr>
              <w:t>1.268.000.000</w:t>
            </w:r>
          </w:p>
        </w:tc>
        <w:tc>
          <w:tcPr>
            <w:tcW w:w="1382" w:type="dxa"/>
            <w:noWrap/>
            <w:vAlign w:val="center"/>
          </w:tcPr>
          <w:p w14:paraId="6F56E5E9">
            <w:pPr>
              <w:jc w:val="center"/>
              <w:rPr>
                <w:sz w:val="22"/>
                <w:szCs w:val="22"/>
              </w:rPr>
            </w:pPr>
            <w:r>
              <w:rPr>
                <w:sz w:val="22"/>
                <w:szCs w:val="22"/>
              </w:rPr>
              <w:t>1,66%</w:t>
            </w:r>
          </w:p>
        </w:tc>
      </w:tr>
      <w:tr w14:paraId="4BCA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2C4E661">
            <w:pPr>
              <w:jc w:val="center"/>
              <w:rPr>
                <w:sz w:val="22"/>
                <w:szCs w:val="22"/>
              </w:rPr>
            </w:pPr>
          </w:p>
        </w:tc>
        <w:tc>
          <w:tcPr>
            <w:tcW w:w="1491" w:type="dxa"/>
            <w:noWrap/>
            <w:vAlign w:val="center"/>
          </w:tcPr>
          <w:p w14:paraId="56C6B8BB">
            <w:pPr>
              <w:jc w:val="center"/>
              <w:rPr>
                <w:sz w:val="22"/>
                <w:szCs w:val="22"/>
              </w:rPr>
            </w:pPr>
          </w:p>
        </w:tc>
        <w:tc>
          <w:tcPr>
            <w:tcW w:w="742" w:type="dxa"/>
            <w:vMerge w:val="continue"/>
            <w:vAlign w:val="center"/>
          </w:tcPr>
          <w:p w14:paraId="20A9BF32">
            <w:pPr>
              <w:jc w:val="center"/>
              <w:rPr>
                <w:sz w:val="22"/>
                <w:szCs w:val="22"/>
              </w:rPr>
            </w:pPr>
          </w:p>
        </w:tc>
        <w:tc>
          <w:tcPr>
            <w:tcW w:w="676" w:type="dxa"/>
            <w:noWrap/>
            <w:vAlign w:val="center"/>
          </w:tcPr>
          <w:p w14:paraId="2B18A2CE">
            <w:pPr>
              <w:jc w:val="center"/>
              <w:rPr>
                <w:sz w:val="22"/>
                <w:szCs w:val="22"/>
              </w:rPr>
            </w:pPr>
            <w:r>
              <w:rPr>
                <w:sz w:val="22"/>
                <w:szCs w:val="22"/>
              </w:rPr>
              <w:t>23</w:t>
            </w:r>
          </w:p>
        </w:tc>
        <w:tc>
          <w:tcPr>
            <w:tcW w:w="1098" w:type="dxa"/>
            <w:noWrap/>
            <w:vAlign w:val="center"/>
          </w:tcPr>
          <w:p w14:paraId="6B2A70CE">
            <w:pPr>
              <w:jc w:val="center"/>
              <w:rPr>
                <w:sz w:val="22"/>
                <w:szCs w:val="22"/>
              </w:rPr>
            </w:pPr>
            <w:r>
              <w:rPr>
                <w:sz w:val="22"/>
                <w:szCs w:val="22"/>
              </w:rPr>
              <w:t>112,0</w:t>
            </w:r>
          </w:p>
        </w:tc>
        <w:tc>
          <w:tcPr>
            <w:tcW w:w="1817" w:type="dxa"/>
            <w:vAlign w:val="center"/>
          </w:tcPr>
          <w:p w14:paraId="563682F9">
            <w:pPr>
              <w:jc w:val="center"/>
              <w:rPr>
                <w:sz w:val="22"/>
                <w:szCs w:val="22"/>
              </w:rPr>
            </w:pPr>
            <w:r>
              <w:rPr>
                <w:sz w:val="22"/>
                <w:szCs w:val="22"/>
              </w:rPr>
              <w:t>761.600.000</w:t>
            </w:r>
          </w:p>
        </w:tc>
        <w:tc>
          <w:tcPr>
            <w:tcW w:w="1798" w:type="dxa"/>
            <w:vAlign w:val="center"/>
          </w:tcPr>
          <w:p w14:paraId="044B7948">
            <w:pPr>
              <w:jc w:val="center"/>
              <w:rPr>
                <w:sz w:val="22"/>
                <w:szCs w:val="22"/>
              </w:rPr>
            </w:pPr>
            <w:r>
              <w:rPr>
                <w:sz w:val="22"/>
                <w:szCs w:val="22"/>
              </w:rPr>
              <w:t>1.250.000.000</w:t>
            </w:r>
          </w:p>
        </w:tc>
        <w:tc>
          <w:tcPr>
            <w:tcW w:w="1382" w:type="dxa"/>
            <w:noWrap/>
            <w:vAlign w:val="center"/>
          </w:tcPr>
          <w:p w14:paraId="5E786512">
            <w:pPr>
              <w:jc w:val="center"/>
              <w:rPr>
                <w:sz w:val="22"/>
                <w:szCs w:val="22"/>
              </w:rPr>
            </w:pPr>
            <w:r>
              <w:rPr>
                <w:sz w:val="22"/>
                <w:szCs w:val="22"/>
              </w:rPr>
              <w:t>1,64%</w:t>
            </w:r>
          </w:p>
        </w:tc>
      </w:tr>
      <w:tr w14:paraId="17C1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81D49DC">
            <w:pPr>
              <w:jc w:val="center"/>
              <w:rPr>
                <w:sz w:val="22"/>
                <w:szCs w:val="22"/>
              </w:rPr>
            </w:pPr>
          </w:p>
        </w:tc>
        <w:tc>
          <w:tcPr>
            <w:tcW w:w="1491" w:type="dxa"/>
            <w:noWrap/>
            <w:vAlign w:val="center"/>
          </w:tcPr>
          <w:p w14:paraId="06A75411">
            <w:pPr>
              <w:jc w:val="center"/>
              <w:rPr>
                <w:sz w:val="22"/>
                <w:szCs w:val="22"/>
              </w:rPr>
            </w:pPr>
          </w:p>
        </w:tc>
        <w:tc>
          <w:tcPr>
            <w:tcW w:w="742" w:type="dxa"/>
            <w:vMerge w:val="continue"/>
            <w:vAlign w:val="center"/>
          </w:tcPr>
          <w:p w14:paraId="5C50CD2A">
            <w:pPr>
              <w:jc w:val="center"/>
              <w:rPr>
                <w:sz w:val="22"/>
                <w:szCs w:val="22"/>
              </w:rPr>
            </w:pPr>
          </w:p>
        </w:tc>
        <w:tc>
          <w:tcPr>
            <w:tcW w:w="676" w:type="dxa"/>
            <w:noWrap/>
            <w:vAlign w:val="center"/>
          </w:tcPr>
          <w:p w14:paraId="22DBBEEB">
            <w:pPr>
              <w:jc w:val="center"/>
              <w:rPr>
                <w:sz w:val="22"/>
                <w:szCs w:val="22"/>
              </w:rPr>
            </w:pPr>
            <w:r>
              <w:rPr>
                <w:sz w:val="22"/>
                <w:szCs w:val="22"/>
              </w:rPr>
              <w:t>24</w:t>
            </w:r>
          </w:p>
        </w:tc>
        <w:tc>
          <w:tcPr>
            <w:tcW w:w="1098" w:type="dxa"/>
            <w:noWrap/>
            <w:vAlign w:val="center"/>
          </w:tcPr>
          <w:p w14:paraId="6337FE1B">
            <w:pPr>
              <w:jc w:val="center"/>
              <w:rPr>
                <w:sz w:val="22"/>
                <w:szCs w:val="22"/>
              </w:rPr>
            </w:pPr>
            <w:r>
              <w:rPr>
                <w:sz w:val="22"/>
                <w:szCs w:val="22"/>
              </w:rPr>
              <w:t>96,0</w:t>
            </w:r>
          </w:p>
        </w:tc>
        <w:tc>
          <w:tcPr>
            <w:tcW w:w="1817" w:type="dxa"/>
            <w:vAlign w:val="center"/>
          </w:tcPr>
          <w:p w14:paraId="761C4F9C">
            <w:pPr>
              <w:jc w:val="center"/>
              <w:rPr>
                <w:sz w:val="22"/>
                <w:szCs w:val="22"/>
              </w:rPr>
            </w:pPr>
            <w:r>
              <w:rPr>
                <w:sz w:val="22"/>
                <w:szCs w:val="22"/>
              </w:rPr>
              <w:t>652.800.000</w:t>
            </w:r>
          </w:p>
        </w:tc>
        <w:tc>
          <w:tcPr>
            <w:tcW w:w="1798" w:type="dxa"/>
            <w:vAlign w:val="center"/>
          </w:tcPr>
          <w:p w14:paraId="372712E7">
            <w:pPr>
              <w:jc w:val="center"/>
              <w:rPr>
                <w:sz w:val="22"/>
                <w:szCs w:val="22"/>
              </w:rPr>
            </w:pPr>
            <w:r>
              <w:rPr>
                <w:sz w:val="22"/>
                <w:szCs w:val="22"/>
              </w:rPr>
              <w:t>1.058.000.000</w:t>
            </w:r>
          </w:p>
        </w:tc>
        <w:tc>
          <w:tcPr>
            <w:tcW w:w="1382" w:type="dxa"/>
            <w:noWrap/>
            <w:vAlign w:val="center"/>
          </w:tcPr>
          <w:p w14:paraId="710CEBE0">
            <w:pPr>
              <w:jc w:val="center"/>
              <w:rPr>
                <w:sz w:val="22"/>
                <w:szCs w:val="22"/>
              </w:rPr>
            </w:pPr>
            <w:r>
              <w:rPr>
                <w:sz w:val="22"/>
                <w:szCs w:val="22"/>
              </w:rPr>
              <w:t>1,62%</w:t>
            </w:r>
          </w:p>
        </w:tc>
      </w:tr>
      <w:tr w14:paraId="7DAB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4C46046">
            <w:pPr>
              <w:jc w:val="center"/>
              <w:rPr>
                <w:sz w:val="22"/>
                <w:szCs w:val="22"/>
              </w:rPr>
            </w:pPr>
          </w:p>
        </w:tc>
        <w:tc>
          <w:tcPr>
            <w:tcW w:w="1491" w:type="dxa"/>
            <w:noWrap/>
            <w:vAlign w:val="center"/>
          </w:tcPr>
          <w:p w14:paraId="7CAE18EB">
            <w:pPr>
              <w:jc w:val="center"/>
              <w:rPr>
                <w:sz w:val="22"/>
                <w:szCs w:val="22"/>
              </w:rPr>
            </w:pPr>
          </w:p>
        </w:tc>
        <w:tc>
          <w:tcPr>
            <w:tcW w:w="742" w:type="dxa"/>
            <w:vMerge w:val="continue"/>
            <w:vAlign w:val="center"/>
          </w:tcPr>
          <w:p w14:paraId="3DFEF81E">
            <w:pPr>
              <w:jc w:val="center"/>
              <w:rPr>
                <w:sz w:val="22"/>
                <w:szCs w:val="22"/>
              </w:rPr>
            </w:pPr>
          </w:p>
        </w:tc>
        <w:tc>
          <w:tcPr>
            <w:tcW w:w="676" w:type="dxa"/>
            <w:noWrap/>
            <w:vAlign w:val="center"/>
          </w:tcPr>
          <w:p w14:paraId="79815D67">
            <w:pPr>
              <w:jc w:val="center"/>
              <w:rPr>
                <w:sz w:val="22"/>
                <w:szCs w:val="22"/>
              </w:rPr>
            </w:pPr>
            <w:r>
              <w:rPr>
                <w:sz w:val="22"/>
                <w:szCs w:val="22"/>
              </w:rPr>
              <w:t>25</w:t>
            </w:r>
          </w:p>
        </w:tc>
        <w:tc>
          <w:tcPr>
            <w:tcW w:w="1098" w:type="dxa"/>
            <w:noWrap/>
            <w:vAlign w:val="center"/>
          </w:tcPr>
          <w:p w14:paraId="72E935B2">
            <w:pPr>
              <w:jc w:val="center"/>
              <w:rPr>
                <w:sz w:val="22"/>
                <w:szCs w:val="22"/>
              </w:rPr>
            </w:pPr>
            <w:r>
              <w:rPr>
                <w:sz w:val="22"/>
                <w:szCs w:val="22"/>
              </w:rPr>
              <w:t>96,0</w:t>
            </w:r>
          </w:p>
        </w:tc>
        <w:tc>
          <w:tcPr>
            <w:tcW w:w="1817" w:type="dxa"/>
            <w:vAlign w:val="center"/>
          </w:tcPr>
          <w:p w14:paraId="77BDE279">
            <w:pPr>
              <w:jc w:val="center"/>
              <w:rPr>
                <w:sz w:val="22"/>
                <w:szCs w:val="22"/>
              </w:rPr>
            </w:pPr>
            <w:r>
              <w:rPr>
                <w:sz w:val="22"/>
                <w:szCs w:val="22"/>
              </w:rPr>
              <w:t>652.800.000</w:t>
            </w:r>
          </w:p>
        </w:tc>
        <w:tc>
          <w:tcPr>
            <w:tcW w:w="1798" w:type="dxa"/>
            <w:vAlign w:val="center"/>
          </w:tcPr>
          <w:p w14:paraId="4AA6430D">
            <w:pPr>
              <w:jc w:val="center"/>
              <w:rPr>
                <w:sz w:val="22"/>
                <w:szCs w:val="22"/>
              </w:rPr>
            </w:pPr>
            <w:r>
              <w:rPr>
                <w:sz w:val="22"/>
                <w:szCs w:val="22"/>
              </w:rPr>
              <w:t>1.062.000.000</w:t>
            </w:r>
          </w:p>
        </w:tc>
        <w:tc>
          <w:tcPr>
            <w:tcW w:w="1382" w:type="dxa"/>
            <w:noWrap/>
            <w:vAlign w:val="center"/>
          </w:tcPr>
          <w:p w14:paraId="676736BE">
            <w:pPr>
              <w:jc w:val="center"/>
              <w:rPr>
                <w:sz w:val="22"/>
                <w:szCs w:val="22"/>
              </w:rPr>
            </w:pPr>
            <w:r>
              <w:rPr>
                <w:sz w:val="22"/>
                <w:szCs w:val="22"/>
              </w:rPr>
              <w:t>1,63%</w:t>
            </w:r>
          </w:p>
        </w:tc>
      </w:tr>
      <w:tr w14:paraId="389B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9EAACF2">
            <w:pPr>
              <w:jc w:val="center"/>
              <w:rPr>
                <w:sz w:val="22"/>
                <w:szCs w:val="22"/>
              </w:rPr>
            </w:pPr>
          </w:p>
        </w:tc>
        <w:tc>
          <w:tcPr>
            <w:tcW w:w="1491" w:type="dxa"/>
            <w:noWrap/>
            <w:vAlign w:val="center"/>
          </w:tcPr>
          <w:p w14:paraId="4AF9A165">
            <w:pPr>
              <w:jc w:val="center"/>
              <w:rPr>
                <w:sz w:val="22"/>
                <w:szCs w:val="22"/>
              </w:rPr>
            </w:pPr>
          </w:p>
        </w:tc>
        <w:tc>
          <w:tcPr>
            <w:tcW w:w="742" w:type="dxa"/>
            <w:vMerge w:val="continue"/>
            <w:vAlign w:val="center"/>
          </w:tcPr>
          <w:p w14:paraId="65B18598">
            <w:pPr>
              <w:jc w:val="center"/>
              <w:rPr>
                <w:sz w:val="22"/>
                <w:szCs w:val="22"/>
              </w:rPr>
            </w:pPr>
          </w:p>
        </w:tc>
        <w:tc>
          <w:tcPr>
            <w:tcW w:w="676" w:type="dxa"/>
            <w:noWrap/>
            <w:vAlign w:val="center"/>
          </w:tcPr>
          <w:p w14:paraId="665EF341">
            <w:pPr>
              <w:jc w:val="center"/>
              <w:rPr>
                <w:sz w:val="22"/>
                <w:szCs w:val="22"/>
              </w:rPr>
            </w:pPr>
            <w:r>
              <w:rPr>
                <w:sz w:val="22"/>
                <w:szCs w:val="22"/>
              </w:rPr>
              <w:t>26</w:t>
            </w:r>
          </w:p>
        </w:tc>
        <w:tc>
          <w:tcPr>
            <w:tcW w:w="1098" w:type="dxa"/>
            <w:noWrap/>
            <w:vAlign w:val="center"/>
          </w:tcPr>
          <w:p w14:paraId="63A6F90D">
            <w:pPr>
              <w:jc w:val="center"/>
              <w:rPr>
                <w:sz w:val="22"/>
                <w:szCs w:val="22"/>
              </w:rPr>
            </w:pPr>
            <w:r>
              <w:rPr>
                <w:sz w:val="22"/>
                <w:szCs w:val="22"/>
              </w:rPr>
              <w:t>96,0</w:t>
            </w:r>
          </w:p>
        </w:tc>
        <w:tc>
          <w:tcPr>
            <w:tcW w:w="1817" w:type="dxa"/>
            <w:vAlign w:val="center"/>
          </w:tcPr>
          <w:p w14:paraId="17AD4BE8">
            <w:pPr>
              <w:jc w:val="center"/>
              <w:rPr>
                <w:sz w:val="22"/>
                <w:szCs w:val="22"/>
              </w:rPr>
            </w:pPr>
            <w:r>
              <w:rPr>
                <w:sz w:val="22"/>
                <w:szCs w:val="22"/>
              </w:rPr>
              <w:t>652.800.000</w:t>
            </w:r>
          </w:p>
        </w:tc>
        <w:tc>
          <w:tcPr>
            <w:tcW w:w="1798" w:type="dxa"/>
            <w:vAlign w:val="center"/>
          </w:tcPr>
          <w:p w14:paraId="6E45B123">
            <w:pPr>
              <w:jc w:val="center"/>
              <w:rPr>
                <w:sz w:val="22"/>
                <w:szCs w:val="22"/>
              </w:rPr>
            </w:pPr>
            <w:r>
              <w:rPr>
                <w:sz w:val="22"/>
                <w:szCs w:val="22"/>
              </w:rPr>
              <w:t>1.066.000.000</w:t>
            </w:r>
          </w:p>
        </w:tc>
        <w:tc>
          <w:tcPr>
            <w:tcW w:w="1382" w:type="dxa"/>
            <w:noWrap/>
            <w:vAlign w:val="center"/>
          </w:tcPr>
          <w:p w14:paraId="02A96BDA">
            <w:pPr>
              <w:jc w:val="center"/>
              <w:rPr>
                <w:sz w:val="22"/>
                <w:szCs w:val="22"/>
              </w:rPr>
            </w:pPr>
            <w:r>
              <w:rPr>
                <w:sz w:val="22"/>
                <w:szCs w:val="22"/>
              </w:rPr>
              <w:t>1,63%</w:t>
            </w:r>
          </w:p>
        </w:tc>
      </w:tr>
      <w:tr w14:paraId="1F99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6DEBE0E">
            <w:pPr>
              <w:jc w:val="center"/>
              <w:rPr>
                <w:sz w:val="22"/>
                <w:szCs w:val="22"/>
              </w:rPr>
            </w:pPr>
          </w:p>
        </w:tc>
        <w:tc>
          <w:tcPr>
            <w:tcW w:w="1491" w:type="dxa"/>
            <w:noWrap/>
            <w:vAlign w:val="center"/>
          </w:tcPr>
          <w:p w14:paraId="1A2DF94D">
            <w:pPr>
              <w:jc w:val="center"/>
              <w:rPr>
                <w:sz w:val="22"/>
                <w:szCs w:val="22"/>
              </w:rPr>
            </w:pPr>
          </w:p>
        </w:tc>
        <w:tc>
          <w:tcPr>
            <w:tcW w:w="742" w:type="dxa"/>
            <w:vMerge w:val="continue"/>
            <w:vAlign w:val="center"/>
          </w:tcPr>
          <w:p w14:paraId="70C1CD1F">
            <w:pPr>
              <w:jc w:val="center"/>
              <w:rPr>
                <w:sz w:val="22"/>
                <w:szCs w:val="22"/>
              </w:rPr>
            </w:pPr>
          </w:p>
        </w:tc>
        <w:tc>
          <w:tcPr>
            <w:tcW w:w="676" w:type="dxa"/>
            <w:noWrap/>
            <w:vAlign w:val="center"/>
          </w:tcPr>
          <w:p w14:paraId="55E70968">
            <w:pPr>
              <w:jc w:val="center"/>
              <w:rPr>
                <w:sz w:val="22"/>
                <w:szCs w:val="22"/>
              </w:rPr>
            </w:pPr>
            <w:r>
              <w:rPr>
                <w:sz w:val="22"/>
                <w:szCs w:val="22"/>
              </w:rPr>
              <w:t>27</w:t>
            </w:r>
          </w:p>
        </w:tc>
        <w:tc>
          <w:tcPr>
            <w:tcW w:w="1098" w:type="dxa"/>
            <w:noWrap/>
            <w:vAlign w:val="center"/>
          </w:tcPr>
          <w:p w14:paraId="1B60D165">
            <w:pPr>
              <w:jc w:val="center"/>
              <w:rPr>
                <w:sz w:val="22"/>
                <w:szCs w:val="22"/>
              </w:rPr>
            </w:pPr>
            <w:r>
              <w:rPr>
                <w:sz w:val="22"/>
                <w:szCs w:val="22"/>
              </w:rPr>
              <w:t>96,0</w:t>
            </w:r>
          </w:p>
        </w:tc>
        <w:tc>
          <w:tcPr>
            <w:tcW w:w="1817" w:type="dxa"/>
            <w:vAlign w:val="center"/>
          </w:tcPr>
          <w:p w14:paraId="6C4DD7C5">
            <w:pPr>
              <w:jc w:val="center"/>
              <w:rPr>
                <w:sz w:val="22"/>
                <w:szCs w:val="22"/>
              </w:rPr>
            </w:pPr>
            <w:r>
              <w:rPr>
                <w:sz w:val="22"/>
                <w:szCs w:val="22"/>
              </w:rPr>
              <w:t>652.800.000</w:t>
            </w:r>
          </w:p>
        </w:tc>
        <w:tc>
          <w:tcPr>
            <w:tcW w:w="1798" w:type="dxa"/>
            <w:vAlign w:val="center"/>
          </w:tcPr>
          <w:p w14:paraId="015B96BC">
            <w:pPr>
              <w:jc w:val="center"/>
              <w:rPr>
                <w:sz w:val="22"/>
                <w:szCs w:val="22"/>
              </w:rPr>
            </w:pPr>
            <w:r>
              <w:rPr>
                <w:sz w:val="22"/>
                <w:szCs w:val="22"/>
              </w:rPr>
              <w:t>1.083.000.000</w:t>
            </w:r>
          </w:p>
        </w:tc>
        <w:tc>
          <w:tcPr>
            <w:tcW w:w="1382" w:type="dxa"/>
            <w:noWrap/>
            <w:vAlign w:val="center"/>
          </w:tcPr>
          <w:p w14:paraId="31B248A5">
            <w:pPr>
              <w:jc w:val="center"/>
              <w:rPr>
                <w:sz w:val="22"/>
                <w:szCs w:val="22"/>
              </w:rPr>
            </w:pPr>
            <w:r>
              <w:rPr>
                <w:sz w:val="22"/>
                <w:szCs w:val="22"/>
              </w:rPr>
              <w:t>1,66%</w:t>
            </w:r>
          </w:p>
        </w:tc>
      </w:tr>
      <w:tr w14:paraId="7B98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544C1AB">
            <w:pPr>
              <w:jc w:val="center"/>
              <w:rPr>
                <w:sz w:val="22"/>
                <w:szCs w:val="22"/>
              </w:rPr>
            </w:pPr>
          </w:p>
        </w:tc>
        <w:tc>
          <w:tcPr>
            <w:tcW w:w="1491" w:type="dxa"/>
            <w:noWrap/>
            <w:vAlign w:val="center"/>
          </w:tcPr>
          <w:p w14:paraId="19C6A370">
            <w:pPr>
              <w:jc w:val="center"/>
              <w:rPr>
                <w:sz w:val="22"/>
                <w:szCs w:val="22"/>
              </w:rPr>
            </w:pPr>
          </w:p>
        </w:tc>
        <w:tc>
          <w:tcPr>
            <w:tcW w:w="742" w:type="dxa"/>
            <w:vMerge w:val="continue"/>
            <w:vAlign w:val="center"/>
          </w:tcPr>
          <w:p w14:paraId="7478C777">
            <w:pPr>
              <w:jc w:val="center"/>
              <w:rPr>
                <w:sz w:val="22"/>
                <w:szCs w:val="22"/>
              </w:rPr>
            </w:pPr>
          </w:p>
        </w:tc>
        <w:tc>
          <w:tcPr>
            <w:tcW w:w="676" w:type="dxa"/>
            <w:noWrap/>
            <w:vAlign w:val="center"/>
          </w:tcPr>
          <w:p w14:paraId="588920E2">
            <w:pPr>
              <w:jc w:val="center"/>
              <w:rPr>
                <w:sz w:val="22"/>
                <w:szCs w:val="22"/>
              </w:rPr>
            </w:pPr>
            <w:r>
              <w:rPr>
                <w:sz w:val="22"/>
                <w:szCs w:val="22"/>
              </w:rPr>
              <w:t>28</w:t>
            </w:r>
          </w:p>
        </w:tc>
        <w:tc>
          <w:tcPr>
            <w:tcW w:w="1098" w:type="dxa"/>
            <w:noWrap/>
            <w:vAlign w:val="center"/>
          </w:tcPr>
          <w:p w14:paraId="1FBF534C">
            <w:pPr>
              <w:jc w:val="center"/>
              <w:rPr>
                <w:sz w:val="22"/>
                <w:szCs w:val="22"/>
              </w:rPr>
            </w:pPr>
            <w:r>
              <w:rPr>
                <w:sz w:val="22"/>
                <w:szCs w:val="22"/>
              </w:rPr>
              <w:t>96,0</w:t>
            </w:r>
          </w:p>
        </w:tc>
        <w:tc>
          <w:tcPr>
            <w:tcW w:w="1817" w:type="dxa"/>
            <w:vAlign w:val="center"/>
          </w:tcPr>
          <w:p w14:paraId="09EB523F">
            <w:pPr>
              <w:jc w:val="center"/>
              <w:rPr>
                <w:sz w:val="22"/>
                <w:szCs w:val="22"/>
              </w:rPr>
            </w:pPr>
            <w:r>
              <w:rPr>
                <w:sz w:val="22"/>
                <w:szCs w:val="22"/>
              </w:rPr>
              <w:t>652.800.000</w:t>
            </w:r>
          </w:p>
        </w:tc>
        <w:tc>
          <w:tcPr>
            <w:tcW w:w="1798" w:type="dxa"/>
            <w:vAlign w:val="center"/>
          </w:tcPr>
          <w:p w14:paraId="23BEE0E1">
            <w:pPr>
              <w:jc w:val="center"/>
              <w:rPr>
                <w:sz w:val="22"/>
                <w:szCs w:val="22"/>
              </w:rPr>
            </w:pPr>
            <w:r>
              <w:rPr>
                <w:sz w:val="22"/>
                <w:szCs w:val="22"/>
              </w:rPr>
              <w:t>1.082.000.000</w:t>
            </w:r>
          </w:p>
        </w:tc>
        <w:tc>
          <w:tcPr>
            <w:tcW w:w="1382" w:type="dxa"/>
            <w:noWrap/>
            <w:vAlign w:val="center"/>
          </w:tcPr>
          <w:p w14:paraId="6CC5CEBC">
            <w:pPr>
              <w:jc w:val="center"/>
              <w:rPr>
                <w:sz w:val="22"/>
                <w:szCs w:val="22"/>
              </w:rPr>
            </w:pPr>
            <w:r>
              <w:rPr>
                <w:sz w:val="22"/>
                <w:szCs w:val="22"/>
              </w:rPr>
              <w:t>1,66%</w:t>
            </w:r>
          </w:p>
        </w:tc>
      </w:tr>
      <w:tr w14:paraId="492A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41F26FF">
            <w:pPr>
              <w:jc w:val="center"/>
              <w:rPr>
                <w:sz w:val="22"/>
                <w:szCs w:val="22"/>
              </w:rPr>
            </w:pPr>
          </w:p>
        </w:tc>
        <w:tc>
          <w:tcPr>
            <w:tcW w:w="1491" w:type="dxa"/>
            <w:noWrap/>
            <w:vAlign w:val="center"/>
          </w:tcPr>
          <w:p w14:paraId="2A27C527">
            <w:pPr>
              <w:jc w:val="center"/>
              <w:rPr>
                <w:sz w:val="22"/>
                <w:szCs w:val="22"/>
              </w:rPr>
            </w:pPr>
          </w:p>
        </w:tc>
        <w:tc>
          <w:tcPr>
            <w:tcW w:w="742" w:type="dxa"/>
            <w:vMerge w:val="continue"/>
            <w:vAlign w:val="center"/>
          </w:tcPr>
          <w:p w14:paraId="52C32BB4">
            <w:pPr>
              <w:jc w:val="center"/>
              <w:rPr>
                <w:sz w:val="22"/>
                <w:szCs w:val="22"/>
              </w:rPr>
            </w:pPr>
          </w:p>
        </w:tc>
        <w:tc>
          <w:tcPr>
            <w:tcW w:w="676" w:type="dxa"/>
            <w:noWrap/>
            <w:vAlign w:val="center"/>
          </w:tcPr>
          <w:p w14:paraId="24707D9F">
            <w:pPr>
              <w:jc w:val="center"/>
              <w:rPr>
                <w:sz w:val="22"/>
                <w:szCs w:val="22"/>
              </w:rPr>
            </w:pPr>
            <w:r>
              <w:rPr>
                <w:sz w:val="22"/>
                <w:szCs w:val="22"/>
              </w:rPr>
              <w:t>29</w:t>
            </w:r>
          </w:p>
        </w:tc>
        <w:tc>
          <w:tcPr>
            <w:tcW w:w="1098" w:type="dxa"/>
            <w:noWrap/>
            <w:vAlign w:val="center"/>
          </w:tcPr>
          <w:p w14:paraId="0A8FFF74">
            <w:pPr>
              <w:jc w:val="center"/>
              <w:rPr>
                <w:sz w:val="22"/>
                <w:szCs w:val="22"/>
              </w:rPr>
            </w:pPr>
            <w:r>
              <w:rPr>
                <w:sz w:val="22"/>
                <w:szCs w:val="22"/>
              </w:rPr>
              <w:t>96,0</w:t>
            </w:r>
          </w:p>
        </w:tc>
        <w:tc>
          <w:tcPr>
            <w:tcW w:w="1817" w:type="dxa"/>
            <w:vAlign w:val="center"/>
          </w:tcPr>
          <w:p w14:paraId="5147AB94">
            <w:pPr>
              <w:jc w:val="center"/>
              <w:rPr>
                <w:sz w:val="22"/>
                <w:szCs w:val="22"/>
              </w:rPr>
            </w:pPr>
            <w:r>
              <w:rPr>
                <w:sz w:val="22"/>
                <w:szCs w:val="22"/>
              </w:rPr>
              <w:t>652.800.000</w:t>
            </w:r>
          </w:p>
        </w:tc>
        <w:tc>
          <w:tcPr>
            <w:tcW w:w="1798" w:type="dxa"/>
            <w:vAlign w:val="center"/>
          </w:tcPr>
          <w:p w14:paraId="458E2D93">
            <w:pPr>
              <w:jc w:val="center"/>
              <w:rPr>
                <w:sz w:val="22"/>
                <w:szCs w:val="22"/>
              </w:rPr>
            </w:pPr>
            <w:r>
              <w:rPr>
                <w:sz w:val="22"/>
                <w:szCs w:val="22"/>
              </w:rPr>
              <w:t>1.081.000.000</w:t>
            </w:r>
          </w:p>
        </w:tc>
        <w:tc>
          <w:tcPr>
            <w:tcW w:w="1382" w:type="dxa"/>
            <w:noWrap/>
            <w:vAlign w:val="center"/>
          </w:tcPr>
          <w:p w14:paraId="7A772DF3">
            <w:pPr>
              <w:jc w:val="center"/>
              <w:rPr>
                <w:sz w:val="22"/>
                <w:szCs w:val="22"/>
              </w:rPr>
            </w:pPr>
            <w:r>
              <w:rPr>
                <w:sz w:val="22"/>
                <w:szCs w:val="22"/>
              </w:rPr>
              <w:t>1,66%</w:t>
            </w:r>
          </w:p>
        </w:tc>
      </w:tr>
      <w:tr w14:paraId="3E77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89737A3">
            <w:pPr>
              <w:jc w:val="center"/>
              <w:rPr>
                <w:sz w:val="22"/>
                <w:szCs w:val="22"/>
              </w:rPr>
            </w:pPr>
          </w:p>
        </w:tc>
        <w:tc>
          <w:tcPr>
            <w:tcW w:w="1491" w:type="dxa"/>
            <w:noWrap/>
            <w:vAlign w:val="center"/>
          </w:tcPr>
          <w:p w14:paraId="2C3E2D4D">
            <w:pPr>
              <w:jc w:val="center"/>
              <w:rPr>
                <w:sz w:val="22"/>
                <w:szCs w:val="22"/>
              </w:rPr>
            </w:pPr>
          </w:p>
        </w:tc>
        <w:tc>
          <w:tcPr>
            <w:tcW w:w="742" w:type="dxa"/>
            <w:vMerge w:val="continue"/>
            <w:vAlign w:val="center"/>
          </w:tcPr>
          <w:p w14:paraId="685CA894">
            <w:pPr>
              <w:jc w:val="center"/>
              <w:rPr>
                <w:sz w:val="22"/>
                <w:szCs w:val="22"/>
              </w:rPr>
            </w:pPr>
          </w:p>
        </w:tc>
        <w:tc>
          <w:tcPr>
            <w:tcW w:w="676" w:type="dxa"/>
            <w:noWrap/>
            <w:vAlign w:val="center"/>
          </w:tcPr>
          <w:p w14:paraId="45BC2C27">
            <w:pPr>
              <w:jc w:val="center"/>
              <w:rPr>
                <w:sz w:val="22"/>
                <w:szCs w:val="22"/>
              </w:rPr>
            </w:pPr>
            <w:r>
              <w:rPr>
                <w:sz w:val="22"/>
                <w:szCs w:val="22"/>
              </w:rPr>
              <w:t>30</w:t>
            </w:r>
          </w:p>
        </w:tc>
        <w:tc>
          <w:tcPr>
            <w:tcW w:w="1098" w:type="dxa"/>
            <w:noWrap/>
            <w:vAlign w:val="center"/>
          </w:tcPr>
          <w:p w14:paraId="5EF6ADB5">
            <w:pPr>
              <w:jc w:val="center"/>
              <w:rPr>
                <w:sz w:val="22"/>
                <w:szCs w:val="22"/>
              </w:rPr>
            </w:pPr>
            <w:r>
              <w:rPr>
                <w:sz w:val="22"/>
                <w:szCs w:val="22"/>
              </w:rPr>
              <w:t>96,0</w:t>
            </w:r>
          </w:p>
        </w:tc>
        <w:tc>
          <w:tcPr>
            <w:tcW w:w="1817" w:type="dxa"/>
            <w:vAlign w:val="center"/>
          </w:tcPr>
          <w:p w14:paraId="3872D4EB">
            <w:pPr>
              <w:jc w:val="center"/>
              <w:rPr>
                <w:sz w:val="22"/>
                <w:szCs w:val="22"/>
              </w:rPr>
            </w:pPr>
            <w:r>
              <w:rPr>
                <w:sz w:val="22"/>
                <w:szCs w:val="22"/>
              </w:rPr>
              <w:t>652.800.000</w:t>
            </w:r>
          </w:p>
        </w:tc>
        <w:tc>
          <w:tcPr>
            <w:tcW w:w="1798" w:type="dxa"/>
            <w:vAlign w:val="center"/>
          </w:tcPr>
          <w:p w14:paraId="285EFEE2">
            <w:pPr>
              <w:jc w:val="center"/>
              <w:rPr>
                <w:sz w:val="22"/>
                <w:szCs w:val="22"/>
              </w:rPr>
            </w:pPr>
            <w:r>
              <w:rPr>
                <w:sz w:val="22"/>
                <w:szCs w:val="22"/>
              </w:rPr>
              <w:t>1.099.000.000</w:t>
            </w:r>
          </w:p>
        </w:tc>
        <w:tc>
          <w:tcPr>
            <w:tcW w:w="1382" w:type="dxa"/>
            <w:noWrap/>
            <w:vAlign w:val="center"/>
          </w:tcPr>
          <w:p w14:paraId="5F64F0D4">
            <w:pPr>
              <w:jc w:val="center"/>
              <w:rPr>
                <w:sz w:val="22"/>
                <w:szCs w:val="22"/>
              </w:rPr>
            </w:pPr>
            <w:r>
              <w:rPr>
                <w:sz w:val="22"/>
                <w:szCs w:val="22"/>
              </w:rPr>
              <w:t>1,68%</w:t>
            </w:r>
          </w:p>
        </w:tc>
      </w:tr>
      <w:tr w14:paraId="1C19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547793C">
            <w:pPr>
              <w:jc w:val="center"/>
              <w:rPr>
                <w:sz w:val="22"/>
                <w:szCs w:val="22"/>
              </w:rPr>
            </w:pPr>
          </w:p>
        </w:tc>
        <w:tc>
          <w:tcPr>
            <w:tcW w:w="1491" w:type="dxa"/>
            <w:noWrap/>
            <w:vAlign w:val="center"/>
          </w:tcPr>
          <w:p w14:paraId="7202A5D2">
            <w:pPr>
              <w:jc w:val="center"/>
              <w:rPr>
                <w:sz w:val="22"/>
                <w:szCs w:val="22"/>
              </w:rPr>
            </w:pPr>
          </w:p>
        </w:tc>
        <w:tc>
          <w:tcPr>
            <w:tcW w:w="742" w:type="dxa"/>
            <w:vMerge w:val="continue"/>
            <w:vAlign w:val="center"/>
          </w:tcPr>
          <w:p w14:paraId="6AA05DE0">
            <w:pPr>
              <w:jc w:val="center"/>
              <w:rPr>
                <w:sz w:val="22"/>
                <w:szCs w:val="22"/>
              </w:rPr>
            </w:pPr>
          </w:p>
        </w:tc>
        <w:tc>
          <w:tcPr>
            <w:tcW w:w="676" w:type="dxa"/>
            <w:noWrap/>
            <w:vAlign w:val="center"/>
          </w:tcPr>
          <w:p w14:paraId="253E4C7E">
            <w:pPr>
              <w:jc w:val="center"/>
              <w:rPr>
                <w:sz w:val="22"/>
                <w:szCs w:val="22"/>
              </w:rPr>
            </w:pPr>
            <w:r>
              <w:rPr>
                <w:sz w:val="22"/>
                <w:szCs w:val="22"/>
              </w:rPr>
              <w:t>31</w:t>
            </w:r>
          </w:p>
        </w:tc>
        <w:tc>
          <w:tcPr>
            <w:tcW w:w="1098" w:type="dxa"/>
            <w:noWrap/>
            <w:vAlign w:val="center"/>
          </w:tcPr>
          <w:p w14:paraId="620949C0">
            <w:pPr>
              <w:jc w:val="center"/>
              <w:rPr>
                <w:sz w:val="22"/>
                <w:szCs w:val="22"/>
              </w:rPr>
            </w:pPr>
            <w:r>
              <w:rPr>
                <w:sz w:val="22"/>
                <w:szCs w:val="22"/>
              </w:rPr>
              <w:t>130,1</w:t>
            </w:r>
          </w:p>
        </w:tc>
        <w:tc>
          <w:tcPr>
            <w:tcW w:w="1817" w:type="dxa"/>
            <w:vAlign w:val="center"/>
          </w:tcPr>
          <w:p w14:paraId="195F2BA3">
            <w:pPr>
              <w:jc w:val="center"/>
              <w:rPr>
                <w:sz w:val="22"/>
                <w:szCs w:val="22"/>
              </w:rPr>
            </w:pPr>
            <w:r>
              <w:rPr>
                <w:sz w:val="22"/>
                <w:szCs w:val="22"/>
              </w:rPr>
              <w:t>1.061.616.000</w:t>
            </w:r>
          </w:p>
        </w:tc>
        <w:tc>
          <w:tcPr>
            <w:tcW w:w="1798" w:type="dxa"/>
            <w:vAlign w:val="center"/>
          </w:tcPr>
          <w:p w14:paraId="7319BA5E">
            <w:pPr>
              <w:jc w:val="center"/>
              <w:rPr>
                <w:sz w:val="22"/>
                <w:szCs w:val="22"/>
              </w:rPr>
            </w:pPr>
            <w:r>
              <w:rPr>
                <w:sz w:val="22"/>
                <w:szCs w:val="22"/>
              </w:rPr>
              <w:t>1.133.000.000</w:t>
            </w:r>
          </w:p>
        </w:tc>
        <w:tc>
          <w:tcPr>
            <w:tcW w:w="1382" w:type="dxa"/>
            <w:noWrap/>
            <w:vAlign w:val="center"/>
          </w:tcPr>
          <w:p w14:paraId="3D0FA428">
            <w:pPr>
              <w:jc w:val="center"/>
              <w:rPr>
                <w:sz w:val="22"/>
                <w:szCs w:val="22"/>
              </w:rPr>
            </w:pPr>
            <w:r>
              <w:rPr>
                <w:sz w:val="22"/>
                <w:szCs w:val="22"/>
              </w:rPr>
              <w:t>1,07%</w:t>
            </w:r>
          </w:p>
        </w:tc>
      </w:tr>
      <w:tr w14:paraId="278D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42BE389">
            <w:pPr>
              <w:jc w:val="center"/>
              <w:rPr>
                <w:sz w:val="22"/>
                <w:szCs w:val="22"/>
              </w:rPr>
            </w:pPr>
          </w:p>
        </w:tc>
        <w:tc>
          <w:tcPr>
            <w:tcW w:w="1491" w:type="dxa"/>
            <w:noWrap/>
            <w:vAlign w:val="center"/>
          </w:tcPr>
          <w:p w14:paraId="72C4B3E4">
            <w:pPr>
              <w:jc w:val="center"/>
              <w:rPr>
                <w:sz w:val="22"/>
                <w:szCs w:val="22"/>
              </w:rPr>
            </w:pPr>
          </w:p>
        </w:tc>
        <w:tc>
          <w:tcPr>
            <w:tcW w:w="742" w:type="dxa"/>
            <w:vMerge w:val="restart"/>
            <w:vAlign w:val="center"/>
          </w:tcPr>
          <w:p w14:paraId="7F3629B6">
            <w:pPr>
              <w:jc w:val="center"/>
              <w:rPr>
                <w:sz w:val="22"/>
                <w:szCs w:val="22"/>
              </w:rPr>
            </w:pPr>
            <w:r>
              <w:rPr>
                <w:sz w:val="22"/>
                <w:szCs w:val="22"/>
              </w:rPr>
              <w:t>LK03</w:t>
            </w:r>
          </w:p>
        </w:tc>
        <w:tc>
          <w:tcPr>
            <w:tcW w:w="676" w:type="dxa"/>
            <w:noWrap/>
            <w:vAlign w:val="center"/>
          </w:tcPr>
          <w:p w14:paraId="5BEB1CEF">
            <w:pPr>
              <w:jc w:val="center"/>
              <w:rPr>
                <w:sz w:val="22"/>
                <w:szCs w:val="22"/>
              </w:rPr>
            </w:pPr>
            <w:r>
              <w:rPr>
                <w:sz w:val="22"/>
                <w:szCs w:val="22"/>
              </w:rPr>
              <w:t>5</w:t>
            </w:r>
          </w:p>
        </w:tc>
        <w:tc>
          <w:tcPr>
            <w:tcW w:w="1098" w:type="dxa"/>
            <w:noWrap/>
            <w:vAlign w:val="center"/>
          </w:tcPr>
          <w:p w14:paraId="65C1D35D">
            <w:pPr>
              <w:jc w:val="center"/>
              <w:rPr>
                <w:sz w:val="22"/>
                <w:szCs w:val="22"/>
              </w:rPr>
            </w:pPr>
            <w:r>
              <w:rPr>
                <w:sz w:val="22"/>
                <w:szCs w:val="22"/>
              </w:rPr>
              <w:t>102,0</w:t>
            </w:r>
          </w:p>
        </w:tc>
        <w:tc>
          <w:tcPr>
            <w:tcW w:w="1817" w:type="dxa"/>
            <w:vAlign w:val="center"/>
          </w:tcPr>
          <w:p w14:paraId="57D68F1E">
            <w:pPr>
              <w:jc w:val="center"/>
              <w:rPr>
                <w:sz w:val="22"/>
                <w:szCs w:val="22"/>
              </w:rPr>
            </w:pPr>
            <w:r>
              <w:rPr>
                <w:sz w:val="22"/>
                <w:szCs w:val="22"/>
              </w:rPr>
              <w:t>775.200.000</w:t>
            </w:r>
          </w:p>
        </w:tc>
        <w:tc>
          <w:tcPr>
            <w:tcW w:w="1798" w:type="dxa"/>
            <w:vAlign w:val="center"/>
          </w:tcPr>
          <w:p w14:paraId="5D3D6729">
            <w:pPr>
              <w:jc w:val="center"/>
              <w:rPr>
                <w:sz w:val="22"/>
                <w:szCs w:val="22"/>
              </w:rPr>
            </w:pPr>
            <w:r>
              <w:rPr>
                <w:sz w:val="22"/>
                <w:szCs w:val="22"/>
              </w:rPr>
              <w:t>1.105.000.000</w:t>
            </w:r>
          </w:p>
        </w:tc>
        <w:tc>
          <w:tcPr>
            <w:tcW w:w="1382" w:type="dxa"/>
            <w:noWrap/>
            <w:vAlign w:val="center"/>
          </w:tcPr>
          <w:p w14:paraId="17AB7400">
            <w:pPr>
              <w:jc w:val="center"/>
              <w:rPr>
                <w:sz w:val="22"/>
                <w:szCs w:val="22"/>
              </w:rPr>
            </w:pPr>
            <w:r>
              <w:rPr>
                <w:sz w:val="22"/>
                <w:szCs w:val="22"/>
              </w:rPr>
              <w:t>1,43%</w:t>
            </w:r>
          </w:p>
        </w:tc>
      </w:tr>
      <w:tr w14:paraId="557F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B6D0882">
            <w:pPr>
              <w:jc w:val="center"/>
              <w:rPr>
                <w:sz w:val="22"/>
                <w:szCs w:val="22"/>
              </w:rPr>
            </w:pPr>
          </w:p>
        </w:tc>
        <w:tc>
          <w:tcPr>
            <w:tcW w:w="1491" w:type="dxa"/>
            <w:noWrap/>
            <w:vAlign w:val="center"/>
          </w:tcPr>
          <w:p w14:paraId="70EC180C">
            <w:pPr>
              <w:jc w:val="center"/>
              <w:rPr>
                <w:sz w:val="22"/>
                <w:szCs w:val="22"/>
              </w:rPr>
            </w:pPr>
          </w:p>
        </w:tc>
        <w:tc>
          <w:tcPr>
            <w:tcW w:w="742" w:type="dxa"/>
            <w:vMerge w:val="continue"/>
            <w:vAlign w:val="center"/>
          </w:tcPr>
          <w:p w14:paraId="2C6386BC">
            <w:pPr>
              <w:jc w:val="center"/>
              <w:rPr>
                <w:sz w:val="22"/>
                <w:szCs w:val="22"/>
              </w:rPr>
            </w:pPr>
          </w:p>
        </w:tc>
        <w:tc>
          <w:tcPr>
            <w:tcW w:w="676" w:type="dxa"/>
            <w:noWrap/>
            <w:vAlign w:val="center"/>
          </w:tcPr>
          <w:p w14:paraId="0134B63D">
            <w:pPr>
              <w:jc w:val="center"/>
              <w:rPr>
                <w:sz w:val="22"/>
                <w:szCs w:val="22"/>
              </w:rPr>
            </w:pPr>
            <w:r>
              <w:rPr>
                <w:sz w:val="22"/>
                <w:szCs w:val="22"/>
              </w:rPr>
              <w:t>6</w:t>
            </w:r>
          </w:p>
        </w:tc>
        <w:tc>
          <w:tcPr>
            <w:tcW w:w="1098" w:type="dxa"/>
            <w:noWrap/>
            <w:vAlign w:val="center"/>
          </w:tcPr>
          <w:p w14:paraId="5E3FF0C4">
            <w:pPr>
              <w:jc w:val="center"/>
              <w:rPr>
                <w:sz w:val="22"/>
                <w:szCs w:val="22"/>
              </w:rPr>
            </w:pPr>
            <w:r>
              <w:rPr>
                <w:sz w:val="22"/>
                <w:szCs w:val="22"/>
              </w:rPr>
              <w:t>102,0</w:t>
            </w:r>
          </w:p>
        </w:tc>
        <w:tc>
          <w:tcPr>
            <w:tcW w:w="1817" w:type="dxa"/>
            <w:vAlign w:val="center"/>
          </w:tcPr>
          <w:p w14:paraId="5604684B">
            <w:pPr>
              <w:jc w:val="center"/>
              <w:rPr>
                <w:sz w:val="22"/>
                <w:szCs w:val="22"/>
              </w:rPr>
            </w:pPr>
            <w:r>
              <w:rPr>
                <w:sz w:val="22"/>
                <w:szCs w:val="22"/>
              </w:rPr>
              <w:t>775.200.000</w:t>
            </w:r>
          </w:p>
        </w:tc>
        <w:tc>
          <w:tcPr>
            <w:tcW w:w="1798" w:type="dxa"/>
            <w:vAlign w:val="center"/>
          </w:tcPr>
          <w:p w14:paraId="0221E96E">
            <w:pPr>
              <w:jc w:val="center"/>
              <w:rPr>
                <w:sz w:val="22"/>
                <w:szCs w:val="22"/>
              </w:rPr>
            </w:pPr>
            <w:r>
              <w:rPr>
                <w:sz w:val="22"/>
                <w:szCs w:val="22"/>
              </w:rPr>
              <w:t>1.015.000.000</w:t>
            </w:r>
          </w:p>
        </w:tc>
        <w:tc>
          <w:tcPr>
            <w:tcW w:w="1382" w:type="dxa"/>
            <w:noWrap/>
            <w:vAlign w:val="center"/>
          </w:tcPr>
          <w:p w14:paraId="6A04CED1">
            <w:pPr>
              <w:jc w:val="center"/>
              <w:rPr>
                <w:sz w:val="22"/>
                <w:szCs w:val="22"/>
              </w:rPr>
            </w:pPr>
            <w:r>
              <w:rPr>
                <w:sz w:val="22"/>
                <w:szCs w:val="22"/>
              </w:rPr>
              <w:t>1,31%</w:t>
            </w:r>
          </w:p>
        </w:tc>
      </w:tr>
      <w:tr w14:paraId="5C213D3F">
        <w:tblPrEx>
          <w:tblCellMar>
            <w:top w:w="0" w:type="dxa"/>
            <w:left w:w="108" w:type="dxa"/>
            <w:bottom w:w="0" w:type="dxa"/>
            <w:right w:w="108" w:type="dxa"/>
          </w:tblCellMar>
        </w:tblPrEx>
        <w:trPr>
          <w:trHeight w:val="20" w:hRule="atLeast"/>
        </w:trPr>
        <w:tc>
          <w:tcPr>
            <w:tcW w:w="636" w:type="dxa"/>
            <w:noWrap/>
            <w:vAlign w:val="center"/>
          </w:tcPr>
          <w:p w14:paraId="05651A05">
            <w:pPr>
              <w:jc w:val="center"/>
              <w:rPr>
                <w:sz w:val="22"/>
                <w:szCs w:val="22"/>
              </w:rPr>
            </w:pPr>
          </w:p>
        </w:tc>
        <w:tc>
          <w:tcPr>
            <w:tcW w:w="1491" w:type="dxa"/>
            <w:noWrap/>
            <w:vAlign w:val="center"/>
          </w:tcPr>
          <w:p w14:paraId="12A3DAE1">
            <w:pPr>
              <w:jc w:val="center"/>
              <w:rPr>
                <w:sz w:val="22"/>
                <w:szCs w:val="22"/>
              </w:rPr>
            </w:pPr>
          </w:p>
        </w:tc>
        <w:tc>
          <w:tcPr>
            <w:tcW w:w="742" w:type="dxa"/>
            <w:vMerge w:val="continue"/>
            <w:vAlign w:val="center"/>
          </w:tcPr>
          <w:p w14:paraId="3310B1E5">
            <w:pPr>
              <w:jc w:val="center"/>
              <w:rPr>
                <w:sz w:val="22"/>
                <w:szCs w:val="22"/>
              </w:rPr>
            </w:pPr>
          </w:p>
        </w:tc>
        <w:tc>
          <w:tcPr>
            <w:tcW w:w="676" w:type="dxa"/>
            <w:noWrap/>
            <w:vAlign w:val="center"/>
          </w:tcPr>
          <w:p w14:paraId="228574F6">
            <w:pPr>
              <w:jc w:val="center"/>
              <w:rPr>
                <w:sz w:val="22"/>
                <w:szCs w:val="22"/>
              </w:rPr>
            </w:pPr>
            <w:r>
              <w:rPr>
                <w:sz w:val="22"/>
                <w:szCs w:val="22"/>
              </w:rPr>
              <w:t>7</w:t>
            </w:r>
          </w:p>
        </w:tc>
        <w:tc>
          <w:tcPr>
            <w:tcW w:w="1098" w:type="dxa"/>
            <w:noWrap/>
            <w:vAlign w:val="center"/>
          </w:tcPr>
          <w:p w14:paraId="74E4C1E1">
            <w:pPr>
              <w:jc w:val="center"/>
              <w:rPr>
                <w:sz w:val="22"/>
                <w:szCs w:val="22"/>
              </w:rPr>
            </w:pPr>
            <w:r>
              <w:rPr>
                <w:sz w:val="22"/>
                <w:szCs w:val="22"/>
              </w:rPr>
              <w:t>102,0</w:t>
            </w:r>
          </w:p>
        </w:tc>
        <w:tc>
          <w:tcPr>
            <w:tcW w:w="1817" w:type="dxa"/>
            <w:vAlign w:val="center"/>
          </w:tcPr>
          <w:p w14:paraId="06EEBDA4">
            <w:pPr>
              <w:jc w:val="center"/>
              <w:rPr>
                <w:sz w:val="22"/>
                <w:szCs w:val="22"/>
              </w:rPr>
            </w:pPr>
            <w:r>
              <w:rPr>
                <w:sz w:val="22"/>
                <w:szCs w:val="22"/>
              </w:rPr>
              <w:t>775.200.000</w:t>
            </w:r>
          </w:p>
        </w:tc>
        <w:tc>
          <w:tcPr>
            <w:tcW w:w="1798" w:type="dxa"/>
            <w:vAlign w:val="center"/>
          </w:tcPr>
          <w:p w14:paraId="0FEDFB72">
            <w:pPr>
              <w:jc w:val="center"/>
              <w:rPr>
                <w:sz w:val="22"/>
                <w:szCs w:val="22"/>
              </w:rPr>
            </w:pPr>
            <w:r>
              <w:rPr>
                <w:sz w:val="22"/>
                <w:szCs w:val="22"/>
              </w:rPr>
              <w:t>1.179.400.000</w:t>
            </w:r>
          </w:p>
        </w:tc>
        <w:tc>
          <w:tcPr>
            <w:tcW w:w="1382" w:type="dxa"/>
            <w:noWrap/>
            <w:vAlign w:val="center"/>
          </w:tcPr>
          <w:p w14:paraId="37D4071A">
            <w:pPr>
              <w:jc w:val="center"/>
              <w:rPr>
                <w:sz w:val="22"/>
                <w:szCs w:val="22"/>
              </w:rPr>
            </w:pPr>
            <w:r>
              <w:rPr>
                <w:sz w:val="22"/>
                <w:szCs w:val="22"/>
              </w:rPr>
              <w:t>1,52%</w:t>
            </w:r>
          </w:p>
        </w:tc>
      </w:tr>
      <w:tr w14:paraId="60F6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2377AB3">
            <w:pPr>
              <w:jc w:val="center"/>
              <w:rPr>
                <w:sz w:val="22"/>
                <w:szCs w:val="22"/>
              </w:rPr>
            </w:pPr>
          </w:p>
        </w:tc>
        <w:tc>
          <w:tcPr>
            <w:tcW w:w="1491" w:type="dxa"/>
            <w:noWrap/>
            <w:vAlign w:val="center"/>
          </w:tcPr>
          <w:p w14:paraId="256ACC37">
            <w:pPr>
              <w:jc w:val="center"/>
              <w:rPr>
                <w:sz w:val="22"/>
                <w:szCs w:val="22"/>
              </w:rPr>
            </w:pPr>
          </w:p>
        </w:tc>
        <w:tc>
          <w:tcPr>
            <w:tcW w:w="742" w:type="dxa"/>
            <w:vMerge w:val="continue"/>
            <w:vAlign w:val="center"/>
          </w:tcPr>
          <w:p w14:paraId="0D2933C0">
            <w:pPr>
              <w:jc w:val="center"/>
              <w:rPr>
                <w:sz w:val="22"/>
                <w:szCs w:val="22"/>
              </w:rPr>
            </w:pPr>
          </w:p>
        </w:tc>
        <w:tc>
          <w:tcPr>
            <w:tcW w:w="676" w:type="dxa"/>
            <w:noWrap/>
            <w:vAlign w:val="center"/>
          </w:tcPr>
          <w:p w14:paraId="00B30819">
            <w:pPr>
              <w:jc w:val="center"/>
              <w:rPr>
                <w:sz w:val="22"/>
                <w:szCs w:val="22"/>
              </w:rPr>
            </w:pPr>
            <w:r>
              <w:rPr>
                <w:sz w:val="22"/>
                <w:szCs w:val="22"/>
              </w:rPr>
              <w:t>9</w:t>
            </w:r>
          </w:p>
        </w:tc>
        <w:tc>
          <w:tcPr>
            <w:tcW w:w="1098" w:type="dxa"/>
            <w:noWrap/>
            <w:vAlign w:val="center"/>
          </w:tcPr>
          <w:p w14:paraId="6F4A5529">
            <w:pPr>
              <w:jc w:val="center"/>
              <w:rPr>
                <w:sz w:val="22"/>
                <w:szCs w:val="22"/>
              </w:rPr>
            </w:pPr>
            <w:r>
              <w:rPr>
                <w:sz w:val="22"/>
                <w:szCs w:val="22"/>
              </w:rPr>
              <w:t>102,0</w:t>
            </w:r>
          </w:p>
        </w:tc>
        <w:tc>
          <w:tcPr>
            <w:tcW w:w="1817" w:type="dxa"/>
            <w:vAlign w:val="center"/>
          </w:tcPr>
          <w:p w14:paraId="11B1FAF0">
            <w:pPr>
              <w:jc w:val="center"/>
              <w:rPr>
                <w:sz w:val="22"/>
                <w:szCs w:val="22"/>
              </w:rPr>
            </w:pPr>
            <w:r>
              <w:rPr>
                <w:sz w:val="22"/>
                <w:szCs w:val="22"/>
              </w:rPr>
              <w:t>775.200.000</w:t>
            </w:r>
          </w:p>
        </w:tc>
        <w:tc>
          <w:tcPr>
            <w:tcW w:w="1798" w:type="dxa"/>
            <w:vAlign w:val="center"/>
          </w:tcPr>
          <w:p w14:paraId="73F47D8F">
            <w:pPr>
              <w:jc w:val="center"/>
              <w:rPr>
                <w:sz w:val="22"/>
                <w:szCs w:val="22"/>
              </w:rPr>
            </w:pPr>
            <w:r>
              <w:rPr>
                <w:sz w:val="22"/>
                <w:szCs w:val="22"/>
              </w:rPr>
              <w:t>1.289.000.000</w:t>
            </w:r>
          </w:p>
        </w:tc>
        <w:tc>
          <w:tcPr>
            <w:tcW w:w="1382" w:type="dxa"/>
            <w:noWrap/>
            <w:vAlign w:val="center"/>
          </w:tcPr>
          <w:p w14:paraId="0581D5E2">
            <w:pPr>
              <w:jc w:val="center"/>
              <w:rPr>
                <w:sz w:val="22"/>
                <w:szCs w:val="22"/>
              </w:rPr>
            </w:pPr>
            <w:r>
              <w:rPr>
                <w:sz w:val="22"/>
                <w:szCs w:val="22"/>
              </w:rPr>
              <w:t>1,66%</w:t>
            </w:r>
          </w:p>
        </w:tc>
      </w:tr>
      <w:tr w14:paraId="26A9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B0FFD17">
            <w:pPr>
              <w:jc w:val="center"/>
              <w:rPr>
                <w:sz w:val="22"/>
                <w:szCs w:val="22"/>
              </w:rPr>
            </w:pPr>
          </w:p>
        </w:tc>
        <w:tc>
          <w:tcPr>
            <w:tcW w:w="1491" w:type="dxa"/>
            <w:noWrap/>
            <w:vAlign w:val="center"/>
          </w:tcPr>
          <w:p w14:paraId="2F6D67B3">
            <w:pPr>
              <w:jc w:val="center"/>
              <w:rPr>
                <w:sz w:val="22"/>
                <w:szCs w:val="22"/>
              </w:rPr>
            </w:pPr>
          </w:p>
        </w:tc>
        <w:tc>
          <w:tcPr>
            <w:tcW w:w="742" w:type="dxa"/>
            <w:vMerge w:val="continue"/>
            <w:vAlign w:val="center"/>
          </w:tcPr>
          <w:p w14:paraId="132FF9C0">
            <w:pPr>
              <w:jc w:val="center"/>
              <w:rPr>
                <w:sz w:val="22"/>
                <w:szCs w:val="22"/>
              </w:rPr>
            </w:pPr>
          </w:p>
        </w:tc>
        <w:tc>
          <w:tcPr>
            <w:tcW w:w="676" w:type="dxa"/>
            <w:noWrap/>
            <w:vAlign w:val="center"/>
          </w:tcPr>
          <w:p w14:paraId="328CE54F">
            <w:pPr>
              <w:jc w:val="center"/>
              <w:rPr>
                <w:sz w:val="22"/>
                <w:szCs w:val="22"/>
              </w:rPr>
            </w:pPr>
            <w:r>
              <w:rPr>
                <w:sz w:val="22"/>
                <w:szCs w:val="22"/>
              </w:rPr>
              <w:t>10</w:t>
            </w:r>
          </w:p>
        </w:tc>
        <w:tc>
          <w:tcPr>
            <w:tcW w:w="1098" w:type="dxa"/>
            <w:noWrap/>
            <w:vAlign w:val="center"/>
          </w:tcPr>
          <w:p w14:paraId="6245E821">
            <w:pPr>
              <w:jc w:val="center"/>
              <w:rPr>
                <w:sz w:val="22"/>
                <w:szCs w:val="22"/>
              </w:rPr>
            </w:pPr>
            <w:r>
              <w:rPr>
                <w:sz w:val="22"/>
                <w:szCs w:val="22"/>
              </w:rPr>
              <w:t>102,0</w:t>
            </w:r>
          </w:p>
        </w:tc>
        <w:tc>
          <w:tcPr>
            <w:tcW w:w="1817" w:type="dxa"/>
            <w:vAlign w:val="center"/>
          </w:tcPr>
          <w:p w14:paraId="2EE7316D">
            <w:pPr>
              <w:jc w:val="center"/>
              <w:rPr>
                <w:sz w:val="22"/>
                <w:szCs w:val="22"/>
              </w:rPr>
            </w:pPr>
            <w:r>
              <w:rPr>
                <w:sz w:val="22"/>
                <w:szCs w:val="22"/>
              </w:rPr>
              <w:t>775.200.000</w:t>
            </w:r>
          </w:p>
        </w:tc>
        <w:tc>
          <w:tcPr>
            <w:tcW w:w="1798" w:type="dxa"/>
            <w:vAlign w:val="center"/>
          </w:tcPr>
          <w:p w14:paraId="765FEA9A">
            <w:pPr>
              <w:jc w:val="center"/>
              <w:rPr>
                <w:sz w:val="22"/>
                <w:szCs w:val="22"/>
              </w:rPr>
            </w:pPr>
            <w:r>
              <w:rPr>
                <w:sz w:val="22"/>
                <w:szCs w:val="22"/>
              </w:rPr>
              <w:t>1.291.999.000</w:t>
            </w:r>
          </w:p>
        </w:tc>
        <w:tc>
          <w:tcPr>
            <w:tcW w:w="1382" w:type="dxa"/>
            <w:noWrap/>
            <w:vAlign w:val="center"/>
          </w:tcPr>
          <w:p w14:paraId="58B80523">
            <w:pPr>
              <w:jc w:val="center"/>
              <w:rPr>
                <w:sz w:val="22"/>
                <w:szCs w:val="22"/>
              </w:rPr>
            </w:pPr>
            <w:r>
              <w:rPr>
                <w:sz w:val="22"/>
                <w:szCs w:val="22"/>
              </w:rPr>
              <w:t>1,67%</w:t>
            </w:r>
          </w:p>
        </w:tc>
      </w:tr>
      <w:tr w14:paraId="0B32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2A21987">
            <w:pPr>
              <w:jc w:val="center"/>
              <w:rPr>
                <w:sz w:val="22"/>
                <w:szCs w:val="22"/>
              </w:rPr>
            </w:pPr>
          </w:p>
        </w:tc>
        <w:tc>
          <w:tcPr>
            <w:tcW w:w="1491" w:type="dxa"/>
            <w:noWrap/>
            <w:vAlign w:val="center"/>
          </w:tcPr>
          <w:p w14:paraId="7FBA3C50">
            <w:pPr>
              <w:jc w:val="center"/>
              <w:rPr>
                <w:sz w:val="22"/>
                <w:szCs w:val="22"/>
              </w:rPr>
            </w:pPr>
          </w:p>
        </w:tc>
        <w:tc>
          <w:tcPr>
            <w:tcW w:w="742" w:type="dxa"/>
            <w:vMerge w:val="continue"/>
            <w:vAlign w:val="center"/>
          </w:tcPr>
          <w:p w14:paraId="26A8B4F6">
            <w:pPr>
              <w:jc w:val="center"/>
              <w:rPr>
                <w:sz w:val="22"/>
                <w:szCs w:val="22"/>
              </w:rPr>
            </w:pPr>
          </w:p>
        </w:tc>
        <w:tc>
          <w:tcPr>
            <w:tcW w:w="676" w:type="dxa"/>
            <w:noWrap/>
            <w:vAlign w:val="center"/>
          </w:tcPr>
          <w:p w14:paraId="31330A6C">
            <w:pPr>
              <w:jc w:val="center"/>
              <w:rPr>
                <w:sz w:val="22"/>
                <w:szCs w:val="22"/>
              </w:rPr>
            </w:pPr>
            <w:r>
              <w:rPr>
                <w:sz w:val="22"/>
                <w:szCs w:val="22"/>
              </w:rPr>
              <w:t>12</w:t>
            </w:r>
          </w:p>
        </w:tc>
        <w:tc>
          <w:tcPr>
            <w:tcW w:w="1098" w:type="dxa"/>
            <w:noWrap/>
            <w:vAlign w:val="center"/>
          </w:tcPr>
          <w:p w14:paraId="0E23AEE6">
            <w:pPr>
              <w:jc w:val="center"/>
              <w:rPr>
                <w:sz w:val="22"/>
                <w:szCs w:val="22"/>
              </w:rPr>
            </w:pPr>
            <w:r>
              <w:rPr>
                <w:sz w:val="22"/>
                <w:szCs w:val="22"/>
              </w:rPr>
              <w:t>102,0</w:t>
            </w:r>
          </w:p>
        </w:tc>
        <w:tc>
          <w:tcPr>
            <w:tcW w:w="1817" w:type="dxa"/>
            <w:vAlign w:val="center"/>
          </w:tcPr>
          <w:p w14:paraId="09F962FB">
            <w:pPr>
              <w:jc w:val="center"/>
              <w:rPr>
                <w:sz w:val="22"/>
                <w:szCs w:val="22"/>
              </w:rPr>
            </w:pPr>
            <w:r>
              <w:rPr>
                <w:sz w:val="22"/>
                <w:szCs w:val="22"/>
              </w:rPr>
              <w:t>775.200.000</w:t>
            </w:r>
          </w:p>
        </w:tc>
        <w:tc>
          <w:tcPr>
            <w:tcW w:w="1798" w:type="dxa"/>
            <w:vAlign w:val="center"/>
          </w:tcPr>
          <w:p w14:paraId="3F56FE37">
            <w:pPr>
              <w:jc w:val="center"/>
              <w:rPr>
                <w:sz w:val="22"/>
                <w:szCs w:val="22"/>
              </w:rPr>
            </w:pPr>
            <w:r>
              <w:rPr>
                <w:sz w:val="22"/>
                <w:szCs w:val="22"/>
              </w:rPr>
              <w:t>1.151.000.000</w:t>
            </w:r>
          </w:p>
        </w:tc>
        <w:tc>
          <w:tcPr>
            <w:tcW w:w="1382" w:type="dxa"/>
            <w:noWrap/>
            <w:vAlign w:val="center"/>
          </w:tcPr>
          <w:p w14:paraId="07636551">
            <w:pPr>
              <w:jc w:val="center"/>
              <w:rPr>
                <w:sz w:val="22"/>
                <w:szCs w:val="22"/>
              </w:rPr>
            </w:pPr>
            <w:r>
              <w:rPr>
                <w:sz w:val="22"/>
                <w:szCs w:val="22"/>
              </w:rPr>
              <w:t>1,48%</w:t>
            </w:r>
          </w:p>
        </w:tc>
      </w:tr>
      <w:tr w14:paraId="5934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C4C9DD3">
            <w:pPr>
              <w:jc w:val="center"/>
              <w:rPr>
                <w:sz w:val="22"/>
                <w:szCs w:val="22"/>
              </w:rPr>
            </w:pPr>
          </w:p>
        </w:tc>
        <w:tc>
          <w:tcPr>
            <w:tcW w:w="1491" w:type="dxa"/>
            <w:noWrap/>
            <w:vAlign w:val="center"/>
          </w:tcPr>
          <w:p w14:paraId="124F74FB">
            <w:pPr>
              <w:jc w:val="center"/>
              <w:rPr>
                <w:sz w:val="22"/>
                <w:szCs w:val="22"/>
              </w:rPr>
            </w:pPr>
          </w:p>
        </w:tc>
        <w:tc>
          <w:tcPr>
            <w:tcW w:w="742" w:type="dxa"/>
            <w:vMerge w:val="continue"/>
            <w:vAlign w:val="center"/>
          </w:tcPr>
          <w:p w14:paraId="0D47860C">
            <w:pPr>
              <w:jc w:val="center"/>
              <w:rPr>
                <w:sz w:val="22"/>
                <w:szCs w:val="22"/>
              </w:rPr>
            </w:pPr>
          </w:p>
        </w:tc>
        <w:tc>
          <w:tcPr>
            <w:tcW w:w="676" w:type="dxa"/>
            <w:noWrap/>
            <w:vAlign w:val="center"/>
          </w:tcPr>
          <w:p w14:paraId="0BEE2B11">
            <w:pPr>
              <w:jc w:val="center"/>
              <w:rPr>
                <w:sz w:val="22"/>
                <w:szCs w:val="22"/>
              </w:rPr>
            </w:pPr>
            <w:r>
              <w:rPr>
                <w:sz w:val="22"/>
                <w:szCs w:val="22"/>
              </w:rPr>
              <w:t>13</w:t>
            </w:r>
          </w:p>
        </w:tc>
        <w:tc>
          <w:tcPr>
            <w:tcW w:w="1098" w:type="dxa"/>
            <w:noWrap/>
            <w:vAlign w:val="center"/>
          </w:tcPr>
          <w:p w14:paraId="4AF6E133">
            <w:pPr>
              <w:jc w:val="center"/>
              <w:rPr>
                <w:sz w:val="22"/>
                <w:szCs w:val="22"/>
              </w:rPr>
            </w:pPr>
            <w:r>
              <w:rPr>
                <w:sz w:val="22"/>
                <w:szCs w:val="22"/>
              </w:rPr>
              <w:t>102,0</w:t>
            </w:r>
          </w:p>
        </w:tc>
        <w:tc>
          <w:tcPr>
            <w:tcW w:w="1817" w:type="dxa"/>
            <w:vAlign w:val="center"/>
          </w:tcPr>
          <w:p w14:paraId="7C2A39F0">
            <w:pPr>
              <w:jc w:val="center"/>
              <w:rPr>
                <w:sz w:val="22"/>
                <w:szCs w:val="22"/>
              </w:rPr>
            </w:pPr>
            <w:r>
              <w:rPr>
                <w:sz w:val="22"/>
                <w:szCs w:val="22"/>
              </w:rPr>
              <w:t>775.200.000</w:t>
            </w:r>
          </w:p>
        </w:tc>
        <w:tc>
          <w:tcPr>
            <w:tcW w:w="1798" w:type="dxa"/>
            <w:vAlign w:val="center"/>
          </w:tcPr>
          <w:p w14:paraId="7AFDB946">
            <w:pPr>
              <w:jc w:val="center"/>
              <w:rPr>
                <w:sz w:val="22"/>
                <w:szCs w:val="22"/>
              </w:rPr>
            </w:pPr>
            <w:r>
              <w:rPr>
                <w:sz w:val="22"/>
                <w:szCs w:val="22"/>
              </w:rPr>
              <w:t>1.142.000.000</w:t>
            </w:r>
          </w:p>
        </w:tc>
        <w:tc>
          <w:tcPr>
            <w:tcW w:w="1382" w:type="dxa"/>
            <w:noWrap/>
            <w:vAlign w:val="center"/>
          </w:tcPr>
          <w:p w14:paraId="72B9B3D4">
            <w:pPr>
              <w:jc w:val="center"/>
              <w:rPr>
                <w:sz w:val="22"/>
                <w:szCs w:val="22"/>
              </w:rPr>
            </w:pPr>
            <w:r>
              <w:rPr>
                <w:sz w:val="22"/>
                <w:szCs w:val="22"/>
              </w:rPr>
              <w:t>1,47%</w:t>
            </w:r>
          </w:p>
        </w:tc>
      </w:tr>
      <w:tr w14:paraId="3CFB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7CAE644">
            <w:pPr>
              <w:jc w:val="center"/>
              <w:rPr>
                <w:sz w:val="22"/>
                <w:szCs w:val="22"/>
              </w:rPr>
            </w:pPr>
          </w:p>
        </w:tc>
        <w:tc>
          <w:tcPr>
            <w:tcW w:w="1491" w:type="dxa"/>
            <w:noWrap/>
            <w:vAlign w:val="center"/>
          </w:tcPr>
          <w:p w14:paraId="1DF095C6">
            <w:pPr>
              <w:jc w:val="center"/>
              <w:rPr>
                <w:sz w:val="22"/>
                <w:szCs w:val="22"/>
              </w:rPr>
            </w:pPr>
          </w:p>
        </w:tc>
        <w:tc>
          <w:tcPr>
            <w:tcW w:w="742" w:type="dxa"/>
            <w:vMerge w:val="continue"/>
            <w:vAlign w:val="center"/>
          </w:tcPr>
          <w:p w14:paraId="31AE82F4">
            <w:pPr>
              <w:jc w:val="center"/>
              <w:rPr>
                <w:sz w:val="22"/>
                <w:szCs w:val="22"/>
              </w:rPr>
            </w:pPr>
          </w:p>
        </w:tc>
        <w:tc>
          <w:tcPr>
            <w:tcW w:w="676" w:type="dxa"/>
            <w:noWrap/>
            <w:vAlign w:val="center"/>
          </w:tcPr>
          <w:p w14:paraId="0EE2A30F">
            <w:pPr>
              <w:jc w:val="center"/>
              <w:rPr>
                <w:sz w:val="22"/>
                <w:szCs w:val="22"/>
              </w:rPr>
            </w:pPr>
            <w:r>
              <w:rPr>
                <w:sz w:val="22"/>
                <w:szCs w:val="22"/>
              </w:rPr>
              <w:t>14</w:t>
            </w:r>
          </w:p>
        </w:tc>
        <w:tc>
          <w:tcPr>
            <w:tcW w:w="1098" w:type="dxa"/>
            <w:noWrap/>
            <w:vAlign w:val="center"/>
          </w:tcPr>
          <w:p w14:paraId="279636D0">
            <w:pPr>
              <w:jc w:val="center"/>
              <w:rPr>
                <w:sz w:val="22"/>
                <w:szCs w:val="22"/>
              </w:rPr>
            </w:pPr>
            <w:r>
              <w:rPr>
                <w:sz w:val="22"/>
                <w:szCs w:val="22"/>
              </w:rPr>
              <w:t>119,0</w:t>
            </w:r>
          </w:p>
        </w:tc>
        <w:tc>
          <w:tcPr>
            <w:tcW w:w="1817" w:type="dxa"/>
            <w:vAlign w:val="center"/>
          </w:tcPr>
          <w:p w14:paraId="48C1A486">
            <w:pPr>
              <w:jc w:val="center"/>
              <w:rPr>
                <w:sz w:val="22"/>
                <w:szCs w:val="22"/>
              </w:rPr>
            </w:pPr>
            <w:r>
              <w:rPr>
                <w:sz w:val="22"/>
                <w:szCs w:val="22"/>
              </w:rPr>
              <w:t>904.400.000</w:t>
            </w:r>
          </w:p>
        </w:tc>
        <w:tc>
          <w:tcPr>
            <w:tcW w:w="1798" w:type="dxa"/>
            <w:vAlign w:val="center"/>
          </w:tcPr>
          <w:p w14:paraId="47D19626">
            <w:pPr>
              <w:jc w:val="center"/>
              <w:rPr>
                <w:sz w:val="22"/>
                <w:szCs w:val="22"/>
              </w:rPr>
            </w:pPr>
            <w:r>
              <w:rPr>
                <w:sz w:val="22"/>
                <w:szCs w:val="22"/>
              </w:rPr>
              <w:t>1.625.000.000</w:t>
            </w:r>
          </w:p>
        </w:tc>
        <w:tc>
          <w:tcPr>
            <w:tcW w:w="1382" w:type="dxa"/>
            <w:noWrap/>
            <w:vAlign w:val="center"/>
          </w:tcPr>
          <w:p w14:paraId="4E7A181B">
            <w:pPr>
              <w:jc w:val="center"/>
              <w:rPr>
                <w:sz w:val="22"/>
                <w:szCs w:val="22"/>
              </w:rPr>
            </w:pPr>
            <w:r>
              <w:rPr>
                <w:sz w:val="22"/>
                <w:szCs w:val="22"/>
              </w:rPr>
              <w:t>1,80%</w:t>
            </w:r>
          </w:p>
        </w:tc>
      </w:tr>
      <w:tr w14:paraId="1E86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AF5C553">
            <w:pPr>
              <w:jc w:val="center"/>
              <w:rPr>
                <w:sz w:val="22"/>
                <w:szCs w:val="22"/>
              </w:rPr>
            </w:pPr>
          </w:p>
        </w:tc>
        <w:tc>
          <w:tcPr>
            <w:tcW w:w="1491" w:type="dxa"/>
            <w:noWrap/>
            <w:vAlign w:val="center"/>
          </w:tcPr>
          <w:p w14:paraId="619FCAF4">
            <w:pPr>
              <w:jc w:val="center"/>
              <w:rPr>
                <w:sz w:val="22"/>
                <w:szCs w:val="22"/>
              </w:rPr>
            </w:pPr>
          </w:p>
        </w:tc>
        <w:tc>
          <w:tcPr>
            <w:tcW w:w="742" w:type="dxa"/>
            <w:vMerge w:val="continue"/>
            <w:vAlign w:val="center"/>
          </w:tcPr>
          <w:p w14:paraId="4A39EF9F">
            <w:pPr>
              <w:jc w:val="center"/>
              <w:rPr>
                <w:sz w:val="22"/>
                <w:szCs w:val="22"/>
              </w:rPr>
            </w:pPr>
          </w:p>
        </w:tc>
        <w:tc>
          <w:tcPr>
            <w:tcW w:w="676" w:type="dxa"/>
            <w:noWrap/>
            <w:vAlign w:val="center"/>
          </w:tcPr>
          <w:p w14:paraId="2BAA7FB4">
            <w:pPr>
              <w:jc w:val="center"/>
              <w:rPr>
                <w:sz w:val="22"/>
                <w:szCs w:val="22"/>
              </w:rPr>
            </w:pPr>
            <w:r>
              <w:rPr>
                <w:sz w:val="22"/>
                <w:szCs w:val="22"/>
              </w:rPr>
              <w:t>15</w:t>
            </w:r>
          </w:p>
        </w:tc>
        <w:tc>
          <w:tcPr>
            <w:tcW w:w="1098" w:type="dxa"/>
            <w:noWrap/>
            <w:vAlign w:val="center"/>
          </w:tcPr>
          <w:p w14:paraId="46F1E72B">
            <w:pPr>
              <w:jc w:val="center"/>
              <w:rPr>
                <w:sz w:val="22"/>
                <w:szCs w:val="22"/>
              </w:rPr>
            </w:pPr>
            <w:r>
              <w:rPr>
                <w:sz w:val="22"/>
                <w:szCs w:val="22"/>
              </w:rPr>
              <w:t>102,0</w:t>
            </w:r>
          </w:p>
        </w:tc>
        <w:tc>
          <w:tcPr>
            <w:tcW w:w="1817" w:type="dxa"/>
            <w:vAlign w:val="center"/>
          </w:tcPr>
          <w:p w14:paraId="493E411A">
            <w:pPr>
              <w:jc w:val="center"/>
              <w:rPr>
                <w:sz w:val="22"/>
                <w:szCs w:val="22"/>
              </w:rPr>
            </w:pPr>
            <w:r>
              <w:rPr>
                <w:sz w:val="22"/>
                <w:szCs w:val="22"/>
              </w:rPr>
              <w:t>775.200.000</w:t>
            </w:r>
          </w:p>
        </w:tc>
        <w:tc>
          <w:tcPr>
            <w:tcW w:w="1798" w:type="dxa"/>
            <w:vAlign w:val="center"/>
          </w:tcPr>
          <w:p w14:paraId="74544C2C">
            <w:pPr>
              <w:jc w:val="center"/>
              <w:rPr>
                <w:sz w:val="22"/>
                <w:szCs w:val="22"/>
              </w:rPr>
            </w:pPr>
            <w:r>
              <w:rPr>
                <w:sz w:val="22"/>
                <w:szCs w:val="22"/>
              </w:rPr>
              <w:t>1.289.000.000</w:t>
            </w:r>
          </w:p>
        </w:tc>
        <w:tc>
          <w:tcPr>
            <w:tcW w:w="1382" w:type="dxa"/>
            <w:noWrap/>
            <w:vAlign w:val="center"/>
          </w:tcPr>
          <w:p w14:paraId="60FB29FF">
            <w:pPr>
              <w:jc w:val="center"/>
              <w:rPr>
                <w:sz w:val="22"/>
                <w:szCs w:val="22"/>
              </w:rPr>
            </w:pPr>
            <w:r>
              <w:rPr>
                <w:sz w:val="22"/>
                <w:szCs w:val="22"/>
              </w:rPr>
              <w:t>1,66%</w:t>
            </w:r>
          </w:p>
        </w:tc>
      </w:tr>
      <w:tr w14:paraId="3BA2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B02954D">
            <w:pPr>
              <w:jc w:val="center"/>
              <w:rPr>
                <w:sz w:val="22"/>
                <w:szCs w:val="22"/>
              </w:rPr>
            </w:pPr>
          </w:p>
        </w:tc>
        <w:tc>
          <w:tcPr>
            <w:tcW w:w="1491" w:type="dxa"/>
            <w:noWrap/>
            <w:vAlign w:val="center"/>
          </w:tcPr>
          <w:p w14:paraId="6D268EDA">
            <w:pPr>
              <w:jc w:val="center"/>
              <w:rPr>
                <w:sz w:val="22"/>
                <w:szCs w:val="22"/>
              </w:rPr>
            </w:pPr>
          </w:p>
        </w:tc>
        <w:tc>
          <w:tcPr>
            <w:tcW w:w="742" w:type="dxa"/>
            <w:vMerge w:val="continue"/>
            <w:vAlign w:val="center"/>
          </w:tcPr>
          <w:p w14:paraId="7B431FE7">
            <w:pPr>
              <w:jc w:val="center"/>
              <w:rPr>
                <w:sz w:val="22"/>
                <w:szCs w:val="22"/>
              </w:rPr>
            </w:pPr>
          </w:p>
        </w:tc>
        <w:tc>
          <w:tcPr>
            <w:tcW w:w="676" w:type="dxa"/>
            <w:noWrap/>
            <w:vAlign w:val="center"/>
          </w:tcPr>
          <w:p w14:paraId="592BD189">
            <w:pPr>
              <w:jc w:val="center"/>
              <w:rPr>
                <w:sz w:val="22"/>
                <w:szCs w:val="22"/>
              </w:rPr>
            </w:pPr>
            <w:r>
              <w:rPr>
                <w:sz w:val="22"/>
                <w:szCs w:val="22"/>
              </w:rPr>
              <w:t>16</w:t>
            </w:r>
          </w:p>
        </w:tc>
        <w:tc>
          <w:tcPr>
            <w:tcW w:w="1098" w:type="dxa"/>
            <w:noWrap/>
            <w:vAlign w:val="center"/>
          </w:tcPr>
          <w:p w14:paraId="01124EEA">
            <w:pPr>
              <w:jc w:val="center"/>
              <w:rPr>
                <w:sz w:val="22"/>
                <w:szCs w:val="22"/>
              </w:rPr>
            </w:pPr>
            <w:r>
              <w:rPr>
                <w:sz w:val="22"/>
                <w:szCs w:val="22"/>
              </w:rPr>
              <w:t>102,0</w:t>
            </w:r>
          </w:p>
        </w:tc>
        <w:tc>
          <w:tcPr>
            <w:tcW w:w="1817" w:type="dxa"/>
            <w:vAlign w:val="center"/>
          </w:tcPr>
          <w:p w14:paraId="366A07D4">
            <w:pPr>
              <w:jc w:val="center"/>
              <w:rPr>
                <w:sz w:val="22"/>
                <w:szCs w:val="22"/>
              </w:rPr>
            </w:pPr>
            <w:r>
              <w:rPr>
                <w:sz w:val="22"/>
                <w:szCs w:val="22"/>
              </w:rPr>
              <w:t>775.200.000</w:t>
            </w:r>
          </w:p>
        </w:tc>
        <w:tc>
          <w:tcPr>
            <w:tcW w:w="1798" w:type="dxa"/>
            <w:vAlign w:val="center"/>
          </w:tcPr>
          <w:p w14:paraId="1CBB18ED">
            <w:pPr>
              <w:jc w:val="center"/>
              <w:rPr>
                <w:sz w:val="22"/>
                <w:szCs w:val="22"/>
              </w:rPr>
            </w:pPr>
            <w:r>
              <w:rPr>
                <w:sz w:val="22"/>
                <w:szCs w:val="22"/>
              </w:rPr>
              <w:t>1.177.990.000</w:t>
            </w:r>
          </w:p>
        </w:tc>
        <w:tc>
          <w:tcPr>
            <w:tcW w:w="1382" w:type="dxa"/>
            <w:noWrap/>
            <w:vAlign w:val="center"/>
          </w:tcPr>
          <w:p w14:paraId="50B7F0EC">
            <w:pPr>
              <w:jc w:val="center"/>
              <w:rPr>
                <w:sz w:val="22"/>
                <w:szCs w:val="22"/>
              </w:rPr>
            </w:pPr>
            <w:r>
              <w:rPr>
                <w:sz w:val="22"/>
                <w:szCs w:val="22"/>
              </w:rPr>
              <w:t>1,52%</w:t>
            </w:r>
          </w:p>
        </w:tc>
      </w:tr>
      <w:tr w14:paraId="1AE5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0BFA052">
            <w:pPr>
              <w:jc w:val="center"/>
              <w:rPr>
                <w:sz w:val="22"/>
                <w:szCs w:val="22"/>
              </w:rPr>
            </w:pPr>
          </w:p>
        </w:tc>
        <w:tc>
          <w:tcPr>
            <w:tcW w:w="1491" w:type="dxa"/>
            <w:noWrap/>
            <w:vAlign w:val="center"/>
          </w:tcPr>
          <w:p w14:paraId="3276651F">
            <w:pPr>
              <w:jc w:val="center"/>
              <w:rPr>
                <w:sz w:val="22"/>
                <w:szCs w:val="22"/>
              </w:rPr>
            </w:pPr>
          </w:p>
        </w:tc>
        <w:tc>
          <w:tcPr>
            <w:tcW w:w="742" w:type="dxa"/>
            <w:vMerge w:val="continue"/>
            <w:vAlign w:val="center"/>
          </w:tcPr>
          <w:p w14:paraId="03122F5B">
            <w:pPr>
              <w:jc w:val="center"/>
              <w:rPr>
                <w:sz w:val="22"/>
                <w:szCs w:val="22"/>
              </w:rPr>
            </w:pPr>
          </w:p>
        </w:tc>
        <w:tc>
          <w:tcPr>
            <w:tcW w:w="676" w:type="dxa"/>
            <w:noWrap/>
            <w:vAlign w:val="center"/>
          </w:tcPr>
          <w:p w14:paraId="6BAF6868">
            <w:pPr>
              <w:jc w:val="center"/>
              <w:rPr>
                <w:sz w:val="22"/>
                <w:szCs w:val="22"/>
              </w:rPr>
            </w:pPr>
            <w:r>
              <w:rPr>
                <w:sz w:val="22"/>
                <w:szCs w:val="22"/>
              </w:rPr>
              <w:t>17</w:t>
            </w:r>
          </w:p>
        </w:tc>
        <w:tc>
          <w:tcPr>
            <w:tcW w:w="1098" w:type="dxa"/>
            <w:noWrap/>
            <w:vAlign w:val="center"/>
          </w:tcPr>
          <w:p w14:paraId="43456062">
            <w:pPr>
              <w:jc w:val="center"/>
              <w:rPr>
                <w:sz w:val="22"/>
                <w:szCs w:val="22"/>
              </w:rPr>
            </w:pPr>
            <w:r>
              <w:rPr>
                <w:sz w:val="22"/>
                <w:szCs w:val="22"/>
              </w:rPr>
              <w:t>102,0</w:t>
            </w:r>
          </w:p>
        </w:tc>
        <w:tc>
          <w:tcPr>
            <w:tcW w:w="1817" w:type="dxa"/>
            <w:vAlign w:val="center"/>
          </w:tcPr>
          <w:p w14:paraId="578F7115">
            <w:pPr>
              <w:jc w:val="center"/>
              <w:rPr>
                <w:sz w:val="22"/>
                <w:szCs w:val="22"/>
              </w:rPr>
            </w:pPr>
            <w:r>
              <w:rPr>
                <w:sz w:val="22"/>
                <w:szCs w:val="22"/>
              </w:rPr>
              <w:t>775.200.000</w:t>
            </w:r>
          </w:p>
        </w:tc>
        <w:tc>
          <w:tcPr>
            <w:tcW w:w="1798" w:type="dxa"/>
            <w:vAlign w:val="center"/>
          </w:tcPr>
          <w:p w14:paraId="34F21888">
            <w:pPr>
              <w:jc w:val="center"/>
              <w:rPr>
                <w:sz w:val="22"/>
                <w:szCs w:val="22"/>
              </w:rPr>
            </w:pPr>
            <w:r>
              <w:rPr>
                <w:sz w:val="22"/>
                <w:szCs w:val="22"/>
              </w:rPr>
              <w:t>1.126.000.000</w:t>
            </w:r>
          </w:p>
        </w:tc>
        <w:tc>
          <w:tcPr>
            <w:tcW w:w="1382" w:type="dxa"/>
            <w:noWrap/>
            <w:vAlign w:val="center"/>
          </w:tcPr>
          <w:p w14:paraId="46A3F472">
            <w:pPr>
              <w:jc w:val="center"/>
              <w:rPr>
                <w:sz w:val="22"/>
                <w:szCs w:val="22"/>
              </w:rPr>
            </w:pPr>
            <w:r>
              <w:rPr>
                <w:sz w:val="22"/>
                <w:szCs w:val="22"/>
              </w:rPr>
              <w:t>1,45%</w:t>
            </w:r>
          </w:p>
        </w:tc>
      </w:tr>
      <w:tr w14:paraId="27CA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28BAA96">
            <w:pPr>
              <w:jc w:val="center"/>
              <w:rPr>
                <w:sz w:val="22"/>
                <w:szCs w:val="22"/>
              </w:rPr>
            </w:pPr>
          </w:p>
        </w:tc>
        <w:tc>
          <w:tcPr>
            <w:tcW w:w="1491" w:type="dxa"/>
            <w:noWrap/>
            <w:vAlign w:val="center"/>
          </w:tcPr>
          <w:p w14:paraId="731C3712">
            <w:pPr>
              <w:jc w:val="center"/>
              <w:rPr>
                <w:sz w:val="22"/>
                <w:szCs w:val="22"/>
              </w:rPr>
            </w:pPr>
          </w:p>
        </w:tc>
        <w:tc>
          <w:tcPr>
            <w:tcW w:w="742" w:type="dxa"/>
            <w:vMerge w:val="continue"/>
            <w:vAlign w:val="center"/>
          </w:tcPr>
          <w:p w14:paraId="1C79B40A">
            <w:pPr>
              <w:jc w:val="center"/>
              <w:rPr>
                <w:sz w:val="22"/>
                <w:szCs w:val="22"/>
              </w:rPr>
            </w:pPr>
          </w:p>
        </w:tc>
        <w:tc>
          <w:tcPr>
            <w:tcW w:w="676" w:type="dxa"/>
            <w:noWrap/>
            <w:vAlign w:val="center"/>
          </w:tcPr>
          <w:p w14:paraId="03FC98E9">
            <w:pPr>
              <w:jc w:val="center"/>
              <w:rPr>
                <w:sz w:val="22"/>
                <w:szCs w:val="22"/>
              </w:rPr>
            </w:pPr>
            <w:r>
              <w:rPr>
                <w:sz w:val="22"/>
                <w:szCs w:val="22"/>
              </w:rPr>
              <w:t>18</w:t>
            </w:r>
          </w:p>
        </w:tc>
        <w:tc>
          <w:tcPr>
            <w:tcW w:w="1098" w:type="dxa"/>
            <w:noWrap/>
            <w:vAlign w:val="center"/>
          </w:tcPr>
          <w:p w14:paraId="0C82DBBE">
            <w:pPr>
              <w:jc w:val="center"/>
              <w:rPr>
                <w:sz w:val="22"/>
                <w:szCs w:val="22"/>
              </w:rPr>
            </w:pPr>
            <w:r>
              <w:rPr>
                <w:sz w:val="22"/>
                <w:szCs w:val="22"/>
              </w:rPr>
              <w:t>102,0</w:t>
            </w:r>
          </w:p>
        </w:tc>
        <w:tc>
          <w:tcPr>
            <w:tcW w:w="1817" w:type="dxa"/>
            <w:vAlign w:val="center"/>
          </w:tcPr>
          <w:p w14:paraId="1334CB3D">
            <w:pPr>
              <w:jc w:val="center"/>
              <w:rPr>
                <w:sz w:val="22"/>
                <w:szCs w:val="22"/>
              </w:rPr>
            </w:pPr>
            <w:r>
              <w:rPr>
                <w:sz w:val="22"/>
                <w:szCs w:val="22"/>
              </w:rPr>
              <w:t>775.200.000</w:t>
            </w:r>
          </w:p>
        </w:tc>
        <w:tc>
          <w:tcPr>
            <w:tcW w:w="1798" w:type="dxa"/>
            <w:vAlign w:val="center"/>
          </w:tcPr>
          <w:p w14:paraId="6B659403">
            <w:pPr>
              <w:jc w:val="center"/>
              <w:rPr>
                <w:sz w:val="22"/>
                <w:szCs w:val="22"/>
              </w:rPr>
            </w:pPr>
            <w:r>
              <w:rPr>
                <w:sz w:val="22"/>
                <w:szCs w:val="22"/>
              </w:rPr>
              <w:t>1.186.988.000</w:t>
            </w:r>
          </w:p>
        </w:tc>
        <w:tc>
          <w:tcPr>
            <w:tcW w:w="1382" w:type="dxa"/>
            <w:noWrap/>
            <w:vAlign w:val="center"/>
          </w:tcPr>
          <w:p w14:paraId="32EC216A">
            <w:pPr>
              <w:jc w:val="center"/>
              <w:rPr>
                <w:sz w:val="22"/>
                <w:szCs w:val="22"/>
              </w:rPr>
            </w:pPr>
            <w:r>
              <w:rPr>
                <w:sz w:val="22"/>
                <w:szCs w:val="22"/>
              </w:rPr>
              <w:t>1,53%</w:t>
            </w:r>
          </w:p>
        </w:tc>
      </w:tr>
      <w:tr w14:paraId="451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5C56D8F">
            <w:pPr>
              <w:jc w:val="center"/>
              <w:rPr>
                <w:sz w:val="22"/>
                <w:szCs w:val="22"/>
              </w:rPr>
            </w:pPr>
          </w:p>
        </w:tc>
        <w:tc>
          <w:tcPr>
            <w:tcW w:w="1491" w:type="dxa"/>
            <w:noWrap/>
            <w:vAlign w:val="center"/>
          </w:tcPr>
          <w:p w14:paraId="2208D6C0">
            <w:pPr>
              <w:jc w:val="center"/>
              <w:rPr>
                <w:sz w:val="22"/>
                <w:szCs w:val="22"/>
              </w:rPr>
            </w:pPr>
          </w:p>
        </w:tc>
        <w:tc>
          <w:tcPr>
            <w:tcW w:w="742" w:type="dxa"/>
            <w:vMerge w:val="continue"/>
            <w:vAlign w:val="center"/>
          </w:tcPr>
          <w:p w14:paraId="48234862">
            <w:pPr>
              <w:jc w:val="center"/>
              <w:rPr>
                <w:sz w:val="22"/>
                <w:szCs w:val="22"/>
              </w:rPr>
            </w:pPr>
          </w:p>
        </w:tc>
        <w:tc>
          <w:tcPr>
            <w:tcW w:w="676" w:type="dxa"/>
            <w:noWrap/>
            <w:vAlign w:val="center"/>
          </w:tcPr>
          <w:p w14:paraId="0C9CC021">
            <w:pPr>
              <w:jc w:val="center"/>
              <w:rPr>
                <w:sz w:val="22"/>
                <w:szCs w:val="22"/>
              </w:rPr>
            </w:pPr>
            <w:r>
              <w:rPr>
                <w:sz w:val="22"/>
                <w:szCs w:val="22"/>
              </w:rPr>
              <w:t>19</w:t>
            </w:r>
          </w:p>
        </w:tc>
        <w:tc>
          <w:tcPr>
            <w:tcW w:w="1098" w:type="dxa"/>
            <w:noWrap/>
            <w:vAlign w:val="center"/>
          </w:tcPr>
          <w:p w14:paraId="7483745F">
            <w:pPr>
              <w:jc w:val="center"/>
              <w:rPr>
                <w:sz w:val="22"/>
                <w:szCs w:val="22"/>
              </w:rPr>
            </w:pPr>
            <w:r>
              <w:rPr>
                <w:sz w:val="22"/>
                <w:szCs w:val="22"/>
              </w:rPr>
              <w:t>102,0</w:t>
            </w:r>
          </w:p>
        </w:tc>
        <w:tc>
          <w:tcPr>
            <w:tcW w:w="1817" w:type="dxa"/>
            <w:vAlign w:val="center"/>
          </w:tcPr>
          <w:p w14:paraId="72145E2A">
            <w:pPr>
              <w:jc w:val="center"/>
              <w:rPr>
                <w:sz w:val="22"/>
                <w:szCs w:val="22"/>
              </w:rPr>
            </w:pPr>
            <w:r>
              <w:rPr>
                <w:sz w:val="22"/>
                <w:szCs w:val="22"/>
              </w:rPr>
              <w:t>775.200.000</w:t>
            </w:r>
          </w:p>
        </w:tc>
        <w:tc>
          <w:tcPr>
            <w:tcW w:w="1798" w:type="dxa"/>
            <w:vAlign w:val="center"/>
          </w:tcPr>
          <w:p w14:paraId="126D62A1">
            <w:pPr>
              <w:jc w:val="center"/>
              <w:rPr>
                <w:sz w:val="22"/>
                <w:szCs w:val="22"/>
              </w:rPr>
            </w:pPr>
            <w:r>
              <w:rPr>
                <w:sz w:val="22"/>
                <w:szCs w:val="22"/>
              </w:rPr>
              <w:t>1.187.989.000</w:t>
            </w:r>
          </w:p>
        </w:tc>
        <w:tc>
          <w:tcPr>
            <w:tcW w:w="1382" w:type="dxa"/>
            <w:noWrap/>
            <w:vAlign w:val="center"/>
          </w:tcPr>
          <w:p w14:paraId="096D6739">
            <w:pPr>
              <w:jc w:val="center"/>
              <w:rPr>
                <w:sz w:val="22"/>
                <w:szCs w:val="22"/>
              </w:rPr>
            </w:pPr>
            <w:r>
              <w:rPr>
                <w:sz w:val="22"/>
                <w:szCs w:val="22"/>
              </w:rPr>
              <w:t>1,53%</w:t>
            </w:r>
          </w:p>
        </w:tc>
      </w:tr>
      <w:tr w14:paraId="30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07704A6">
            <w:pPr>
              <w:jc w:val="center"/>
              <w:rPr>
                <w:sz w:val="22"/>
                <w:szCs w:val="22"/>
              </w:rPr>
            </w:pPr>
          </w:p>
        </w:tc>
        <w:tc>
          <w:tcPr>
            <w:tcW w:w="1491" w:type="dxa"/>
            <w:noWrap/>
            <w:vAlign w:val="center"/>
          </w:tcPr>
          <w:p w14:paraId="10FA272E">
            <w:pPr>
              <w:jc w:val="center"/>
              <w:rPr>
                <w:sz w:val="22"/>
                <w:szCs w:val="22"/>
              </w:rPr>
            </w:pPr>
          </w:p>
        </w:tc>
        <w:tc>
          <w:tcPr>
            <w:tcW w:w="742" w:type="dxa"/>
            <w:vMerge w:val="continue"/>
            <w:vAlign w:val="center"/>
          </w:tcPr>
          <w:p w14:paraId="67BDBF23">
            <w:pPr>
              <w:jc w:val="center"/>
              <w:rPr>
                <w:sz w:val="22"/>
                <w:szCs w:val="22"/>
              </w:rPr>
            </w:pPr>
          </w:p>
        </w:tc>
        <w:tc>
          <w:tcPr>
            <w:tcW w:w="676" w:type="dxa"/>
            <w:noWrap/>
            <w:vAlign w:val="center"/>
          </w:tcPr>
          <w:p w14:paraId="755AA117">
            <w:pPr>
              <w:jc w:val="center"/>
              <w:rPr>
                <w:sz w:val="22"/>
                <w:szCs w:val="22"/>
              </w:rPr>
            </w:pPr>
            <w:r>
              <w:rPr>
                <w:sz w:val="22"/>
                <w:szCs w:val="22"/>
              </w:rPr>
              <w:t>20</w:t>
            </w:r>
          </w:p>
        </w:tc>
        <w:tc>
          <w:tcPr>
            <w:tcW w:w="1098" w:type="dxa"/>
            <w:noWrap/>
            <w:vAlign w:val="center"/>
          </w:tcPr>
          <w:p w14:paraId="30E2E777">
            <w:pPr>
              <w:jc w:val="center"/>
              <w:rPr>
                <w:sz w:val="22"/>
                <w:szCs w:val="22"/>
              </w:rPr>
            </w:pPr>
            <w:r>
              <w:rPr>
                <w:sz w:val="22"/>
                <w:szCs w:val="22"/>
              </w:rPr>
              <w:t>102,0</w:t>
            </w:r>
          </w:p>
        </w:tc>
        <w:tc>
          <w:tcPr>
            <w:tcW w:w="1817" w:type="dxa"/>
            <w:vAlign w:val="center"/>
          </w:tcPr>
          <w:p w14:paraId="0BD6A0AB">
            <w:pPr>
              <w:jc w:val="center"/>
              <w:rPr>
                <w:sz w:val="22"/>
                <w:szCs w:val="22"/>
              </w:rPr>
            </w:pPr>
            <w:r>
              <w:rPr>
                <w:sz w:val="22"/>
                <w:szCs w:val="22"/>
              </w:rPr>
              <w:t>775.200.000</w:t>
            </w:r>
          </w:p>
        </w:tc>
        <w:tc>
          <w:tcPr>
            <w:tcW w:w="1798" w:type="dxa"/>
            <w:vAlign w:val="center"/>
          </w:tcPr>
          <w:p w14:paraId="43DE6AD5">
            <w:pPr>
              <w:jc w:val="center"/>
              <w:rPr>
                <w:sz w:val="22"/>
                <w:szCs w:val="22"/>
              </w:rPr>
            </w:pPr>
            <w:r>
              <w:rPr>
                <w:sz w:val="22"/>
                <w:szCs w:val="22"/>
              </w:rPr>
              <w:t>1.165.000.000</w:t>
            </w:r>
          </w:p>
        </w:tc>
        <w:tc>
          <w:tcPr>
            <w:tcW w:w="1382" w:type="dxa"/>
            <w:noWrap/>
            <w:vAlign w:val="center"/>
          </w:tcPr>
          <w:p w14:paraId="46B53563">
            <w:pPr>
              <w:jc w:val="center"/>
              <w:rPr>
                <w:sz w:val="22"/>
                <w:szCs w:val="22"/>
              </w:rPr>
            </w:pPr>
            <w:r>
              <w:rPr>
                <w:sz w:val="22"/>
                <w:szCs w:val="22"/>
              </w:rPr>
              <w:t>1,50%</w:t>
            </w:r>
          </w:p>
        </w:tc>
      </w:tr>
      <w:tr w14:paraId="4F1A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50F5DDD">
            <w:pPr>
              <w:jc w:val="center"/>
              <w:rPr>
                <w:sz w:val="22"/>
                <w:szCs w:val="22"/>
              </w:rPr>
            </w:pPr>
          </w:p>
        </w:tc>
        <w:tc>
          <w:tcPr>
            <w:tcW w:w="1491" w:type="dxa"/>
            <w:noWrap/>
            <w:vAlign w:val="center"/>
          </w:tcPr>
          <w:p w14:paraId="1990CF70">
            <w:pPr>
              <w:jc w:val="center"/>
              <w:rPr>
                <w:sz w:val="22"/>
                <w:szCs w:val="22"/>
              </w:rPr>
            </w:pPr>
          </w:p>
        </w:tc>
        <w:tc>
          <w:tcPr>
            <w:tcW w:w="742" w:type="dxa"/>
            <w:vMerge w:val="continue"/>
            <w:vAlign w:val="center"/>
          </w:tcPr>
          <w:p w14:paraId="6372C198">
            <w:pPr>
              <w:jc w:val="center"/>
              <w:rPr>
                <w:sz w:val="22"/>
                <w:szCs w:val="22"/>
              </w:rPr>
            </w:pPr>
          </w:p>
        </w:tc>
        <w:tc>
          <w:tcPr>
            <w:tcW w:w="676" w:type="dxa"/>
            <w:noWrap/>
            <w:vAlign w:val="center"/>
          </w:tcPr>
          <w:p w14:paraId="4479D01E">
            <w:pPr>
              <w:jc w:val="center"/>
              <w:rPr>
                <w:sz w:val="22"/>
                <w:szCs w:val="22"/>
              </w:rPr>
            </w:pPr>
            <w:r>
              <w:rPr>
                <w:sz w:val="22"/>
                <w:szCs w:val="22"/>
              </w:rPr>
              <w:t>21</w:t>
            </w:r>
          </w:p>
        </w:tc>
        <w:tc>
          <w:tcPr>
            <w:tcW w:w="1098" w:type="dxa"/>
            <w:noWrap/>
            <w:vAlign w:val="center"/>
          </w:tcPr>
          <w:p w14:paraId="1031D7F5">
            <w:pPr>
              <w:jc w:val="center"/>
              <w:rPr>
                <w:sz w:val="22"/>
                <w:szCs w:val="22"/>
              </w:rPr>
            </w:pPr>
            <w:r>
              <w:rPr>
                <w:sz w:val="22"/>
                <w:szCs w:val="22"/>
              </w:rPr>
              <w:t>102,0</w:t>
            </w:r>
          </w:p>
        </w:tc>
        <w:tc>
          <w:tcPr>
            <w:tcW w:w="1817" w:type="dxa"/>
            <w:vAlign w:val="center"/>
          </w:tcPr>
          <w:p w14:paraId="6336894D">
            <w:pPr>
              <w:jc w:val="center"/>
              <w:rPr>
                <w:sz w:val="22"/>
                <w:szCs w:val="22"/>
              </w:rPr>
            </w:pPr>
            <w:r>
              <w:rPr>
                <w:sz w:val="22"/>
                <w:szCs w:val="22"/>
              </w:rPr>
              <w:t>775.200.000</w:t>
            </w:r>
          </w:p>
        </w:tc>
        <w:tc>
          <w:tcPr>
            <w:tcW w:w="1798" w:type="dxa"/>
            <w:vAlign w:val="center"/>
          </w:tcPr>
          <w:p w14:paraId="3E3E2AC3">
            <w:pPr>
              <w:jc w:val="center"/>
              <w:rPr>
                <w:sz w:val="22"/>
                <w:szCs w:val="22"/>
              </w:rPr>
            </w:pPr>
            <w:r>
              <w:rPr>
                <w:sz w:val="22"/>
                <w:szCs w:val="22"/>
              </w:rPr>
              <w:t>1.208.000.000</w:t>
            </w:r>
          </w:p>
        </w:tc>
        <w:tc>
          <w:tcPr>
            <w:tcW w:w="1382" w:type="dxa"/>
            <w:noWrap/>
            <w:vAlign w:val="center"/>
          </w:tcPr>
          <w:p w14:paraId="71FB41DF">
            <w:pPr>
              <w:jc w:val="center"/>
              <w:rPr>
                <w:sz w:val="22"/>
                <w:szCs w:val="22"/>
              </w:rPr>
            </w:pPr>
            <w:r>
              <w:rPr>
                <w:sz w:val="22"/>
                <w:szCs w:val="22"/>
              </w:rPr>
              <w:t>1,56%</w:t>
            </w:r>
          </w:p>
        </w:tc>
      </w:tr>
      <w:tr w14:paraId="03E1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676AD02">
            <w:pPr>
              <w:jc w:val="center"/>
              <w:rPr>
                <w:sz w:val="22"/>
                <w:szCs w:val="22"/>
              </w:rPr>
            </w:pPr>
          </w:p>
        </w:tc>
        <w:tc>
          <w:tcPr>
            <w:tcW w:w="1491" w:type="dxa"/>
            <w:noWrap/>
            <w:vAlign w:val="center"/>
          </w:tcPr>
          <w:p w14:paraId="21D80FFA">
            <w:pPr>
              <w:jc w:val="center"/>
              <w:rPr>
                <w:sz w:val="22"/>
                <w:szCs w:val="22"/>
              </w:rPr>
            </w:pPr>
          </w:p>
        </w:tc>
        <w:tc>
          <w:tcPr>
            <w:tcW w:w="742" w:type="dxa"/>
            <w:vMerge w:val="continue"/>
            <w:vAlign w:val="center"/>
          </w:tcPr>
          <w:p w14:paraId="78E9B306">
            <w:pPr>
              <w:jc w:val="center"/>
              <w:rPr>
                <w:sz w:val="22"/>
                <w:szCs w:val="22"/>
              </w:rPr>
            </w:pPr>
          </w:p>
        </w:tc>
        <w:tc>
          <w:tcPr>
            <w:tcW w:w="676" w:type="dxa"/>
            <w:noWrap/>
            <w:vAlign w:val="center"/>
          </w:tcPr>
          <w:p w14:paraId="3885D8C7">
            <w:pPr>
              <w:jc w:val="center"/>
              <w:rPr>
                <w:sz w:val="22"/>
                <w:szCs w:val="22"/>
              </w:rPr>
            </w:pPr>
            <w:r>
              <w:rPr>
                <w:sz w:val="22"/>
                <w:szCs w:val="22"/>
              </w:rPr>
              <w:t>22</w:t>
            </w:r>
          </w:p>
        </w:tc>
        <w:tc>
          <w:tcPr>
            <w:tcW w:w="1098" w:type="dxa"/>
            <w:noWrap/>
            <w:vAlign w:val="center"/>
          </w:tcPr>
          <w:p w14:paraId="01DA1DD8">
            <w:pPr>
              <w:jc w:val="center"/>
              <w:rPr>
                <w:sz w:val="22"/>
                <w:szCs w:val="22"/>
              </w:rPr>
            </w:pPr>
            <w:r>
              <w:rPr>
                <w:sz w:val="22"/>
                <w:szCs w:val="22"/>
              </w:rPr>
              <w:t>119,1</w:t>
            </w:r>
          </w:p>
        </w:tc>
        <w:tc>
          <w:tcPr>
            <w:tcW w:w="1817" w:type="dxa"/>
            <w:vAlign w:val="center"/>
          </w:tcPr>
          <w:p w14:paraId="27B788E3">
            <w:pPr>
              <w:jc w:val="center"/>
              <w:rPr>
                <w:sz w:val="22"/>
                <w:szCs w:val="22"/>
              </w:rPr>
            </w:pPr>
            <w:r>
              <w:rPr>
                <w:sz w:val="22"/>
                <w:szCs w:val="22"/>
              </w:rPr>
              <w:t>1.086.192.000</w:t>
            </w:r>
          </w:p>
        </w:tc>
        <w:tc>
          <w:tcPr>
            <w:tcW w:w="1798" w:type="dxa"/>
            <w:vAlign w:val="center"/>
          </w:tcPr>
          <w:p w14:paraId="470B46C1">
            <w:pPr>
              <w:jc w:val="center"/>
              <w:rPr>
                <w:sz w:val="22"/>
                <w:szCs w:val="22"/>
              </w:rPr>
            </w:pPr>
            <w:r>
              <w:rPr>
                <w:sz w:val="22"/>
                <w:szCs w:val="22"/>
              </w:rPr>
              <w:t>1.170.000.000</w:t>
            </w:r>
          </w:p>
        </w:tc>
        <w:tc>
          <w:tcPr>
            <w:tcW w:w="1382" w:type="dxa"/>
            <w:noWrap/>
            <w:vAlign w:val="center"/>
          </w:tcPr>
          <w:p w14:paraId="16A6463D">
            <w:pPr>
              <w:jc w:val="center"/>
              <w:rPr>
                <w:sz w:val="22"/>
                <w:szCs w:val="22"/>
              </w:rPr>
            </w:pPr>
            <w:r>
              <w:rPr>
                <w:sz w:val="22"/>
                <w:szCs w:val="22"/>
              </w:rPr>
              <w:t>1,08%</w:t>
            </w:r>
          </w:p>
        </w:tc>
      </w:tr>
      <w:tr w14:paraId="0BF0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4D768C5">
            <w:pPr>
              <w:jc w:val="center"/>
              <w:rPr>
                <w:sz w:val="22"/>
                <w:szCs w:val="22"/>
              </w:rPr>
            </w:pPr>
          </w:p>
        </w:tc>
        <w:tc>
          <w:tcPr>
            <w:tcW w:w="1491" w:type="dxa"/>
            <w:noWrap/>
            <w:vAlign w:val="center"/>
          </w:tcPr>
          <w:p w14:paraId="06DB50D8">
            <w:pPr>
              <w:jc w:val="center"/>
              <w:rPr>
                <w:sz w:val="22"/>
                <w:szCs w:val="22"/>
              </w:rPr>
            </w:pPr>
          </w:p>
        </w:tc>
        <w:tc>
          <w:tcPr>
            <w:tcW w:w="742" w:type="dxa"/>
            <w:vMerge w:val="continue"/>
            <w:vAlign w:val="center"/>
          </w:tcPr>
          <w:p w14:paraId="26B92AF0">
            <w:pPr>
              <w:jc w:val="center"/>
              <w:rPr>
                <w:sz w:val="22"/>
                <w:szCs w:val="22"/>
              </w:rPr>
            </w:pPr>
          </w:p>
        </w:tc>
        <w:tc>
          <w:tcPr>
            <w:tcW w:w="676" w:type="dxa"/>
            <w:noWrap/>
            <w:vAlign w:val="center"/>
          </w:tcPr>
          <w:p w14:paraId="28B10312">
            <w:pPr>
              <w:jc w:val="center"/>
              <w:rPr>
                <w:sz w:val="22"/>
                <w:szCs w:val="22"/>
              </w:rPr>
            </w:pPr>
            <w:r>
              <w:rPr>
                <w:sz w:val="22"/>
                <w:szCs w:val="22"/>
              </w:rPr>
              <w:t>23</w:t>
            </w:r>
          </w:p>
        </w:tc>
        <w:tc>
          <w:tcPr>
            <w:tcW w:w="1098" w:type="dxa"/>
            <w:noWrap/>
            <w:vAlign w:val="center"/>
          </w:tcPr>
          <w:p w14:paraId="29CF80C3">
            <w:pPr>
              <w:jc w:val="center"/>
              <w:rPr>
                <w:sz w:val="22"/>
                <w:szCs w:val="22"/>
              </w:rPr>
            </w:pPr>
            <w:r>
              <w:rPr>
                <w:sz w:val="22"/>
                <w:szCs w:val="22"/>
              </w:rPr>
              <w:t>157,8</w:t>
            </w:r>
          </w:p>
        </w:tc>
        <w:tc>
          <w:tcPr>
            <w:tcW w:w="1817" w:type="dxa"/>
            <w:vAlign w:val="center"/>
          </w:tcPr>
          <w:p w14:paraId="188B8DA9">
            <w:pPr>
              <w:jc w:val="center"/>
              <w:rPr>
                <w:sz w:val="22"/>
                <w:szCs w:val="22"/>
              </w:rPr>
            </w:pPr>
            <w:r>
              <w:rPr>
                <w:sz w:val="22"/>
                <w:szCs w:val="22"/>
              </w:rPr>
              <w:t>1.287.648.000</w:t>
            </w:r>
          </w:p>
        </w:tc>
        <w:tc>
          <w:tcPr>
            <w:tcW w:w="1798" w:type="dxa"/>
            <w:vAlign w:val="center"/>
          </w:tcPr>
          <w:p w14:paraId="3CC6578C">
            <w:pPr>
              <w:jc w:val="center"/>
              <w:rPr>
                <w:sz w:val="22"/>
                <w:szCs w:val="22"/>
              </w:rPr>
            </w:pPr>
            <w:r>
              <w:rPr>
                <w:sz w:val="22"/>
                <w:szCs w:val="22"/>
              </w:rPr>
              <w:t>1.590.000.000</w:t>
            </w:r>
          </w:p>
        </w:tc>
        <w:tc>
          <w:tcPr>
            <w:tcW w:w="1382" w:type="dxa"/>
            <w:noWrap/>
            <w:vAlign w:val="center"/>
          </w:tcPr>
          <w:p w14:paraId="201976D2">
            <w:pPr>
              <w:jc w:val="center"/>
              <w:rPr>
                <w:sz w:val="22"/>
                <w:szCs w:val="22"/>
              </w:rPr>
            </w:pPr>
            <w:r>
              <w:rPr>
                <w:sz w:val="22"/>
                <w:szCs w:val="22"/>
              </w:rPr>
              <w:t>1,23%</w:t>
            </w:r>
          </w:p>
        </w:tc>
      </w:tr>
      <w:tr w14:paraId="7F6F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2F2B308">
            <w:pPr>
              <w:jc w:val="center"/>
              <w:rPr>
                <w:sz w:val="22"/>
                <w:szCs w:val="22"/>
              </w:rPr>
            </w:pPr>
          </w:p>
        </w:tc>
        <w:tc>
          <w:tcPr>
            <w:tcW w:w="1491" w:type="dxa"/>
            <w:noWrap/>
            <w:vAlign w:val="center"/>
          </w:tcPr>
          <w:p w14:paraId="03CB055D">
            <w:pPr>
              <w:jc w:val="center"/>
              <w:rPr>
                <w:sz w:val="22"/>
                <w:szCs w:val="22"/>
              </w:rPr>
            </w:pPr>
          </w:p>
        </w:tc>
        <w:tc>
          <w:tcPr>
            <w:tcW w:w="742" w:type="dxa"/>
            <w:vMerge w:val="continue"/>
            <w:vAlign w:val="center"/>
          </w:tcPr>
          <w:p w14:paraId="1E9970E4">
            <w:pPr>
              <w:jc w:val="center"/>
              <w:rPr>
                <w:sz w:val="22"/>
                <w:szCs w:val="22"/>
              </w:rPr>
            </w:pPr>
          </w:p>
        </w:tc>
        <w:tc>
          <w:tcPr>
            <w:tcW w:w="676" w:type="dxa"/>
            <w:noWrap/>
            <w:vAlign w:val="center"/>
          </w:tcPr>
          <w:p w14:paraId="7F8CA5D4">
            <w:pPr>
              <w:jc w:val="center"/>
              <w:rPr>
                <w:sz w:val="22"/>
                <w:szCs w:val="22"/>
              </w:rPr>
            </w:pPr>
            <w:r>
              <w:rPr>
                <w:sz w:val="22"/>
                <w:szCs w:val="22"/>
              </w:rPr>
              <w:t>24</w:t>
            </w:r>
          </w:p>
        </w:tc>
        <w:tc>
          <w:tcPr>
            <w:tcW w:w="1098" w:type="dxa"/>
            <w:noWrap/>
            <w:vAlign w:val="center"/>
          </w:tcPr>
          <w:p w14:paraId="51C2AF66">
            <w:pPr>
              <w:jc w:val="center"/>
              <w:rPr>
                <w:sz w:val="22"/>
                <w:szCs w:val="22"/>
              </w:rPr>
            </w:pPr>
            <w:r>
              <w:rPr>
                <w:sz w:val="22"/>
                <w:szCs w:val="22"/>
              </w:rPr>
              <w:t>102,0</w:t>
            </w:r>
          </w:p>
        </w:tc>
        <w:tc>
          <w:tcPr>
            <w:tcW w:w="1817" w:type="dxa"/>
            <w:vAlign w:val="center"/>
          </w:tcPr>
          <w:p w14:paraId="34CFBFC9">
            <w:pPr>
              <w:jc w:val="center"/>
              <w:rPr>
                <w:sz w:val="22"/>
                <w:szCs w:val="22"/>
              </w:rPr>
            </w:pPr>
            <w:r>
              <w:rPr>
                <w:sz w:val="22"/>
                <w:szCs w:val="22"/>
              </w:rPr>
              <w:t>693.600.000</w:t>
            </w:r>
          </w:p>
        </w:tc>
        <w:tc>
          <w:tcPr>
            <w:tcW w:w="1798" w:type="dxa"/>
            <w:vAlign w:val="center"/>
          </w:tcPr>
          <w:p w14:paraId="20FD52CB">
            <w:pPr>
              <w:jc w:val="center"/>
              <w:rPr>
                <w:sz w:val="22"/>
                <w:szCs w:val="22"/>
              </w:rPr>
            </w:pPr>
            <w:r>
              <w:rPr>
                <w:sz w:val="22"/>
                <w:szCs w:val="22"/>
              </w:rPr>
              <w:t>1.089.980.000</w:t>
            </w:r>
          </w:p>
        </w:tc>
        <w:tc>
          <w:tcPr>
            <w:tcW w:w="1382" w:type="dxa"/>
            <w:noWrap/>
            <w:vAlign w:val="center"/>
          </w:tcPr>
          <w:p w14:paraId="315E083E">
            <w:pPr>
              <w:jc w:val="center"/>
              <w:rPr>
                <w:sz w:val="22"/>
                <w:szCs w:val="22"/>
              </w:rPr>
            </w:pPr>
            <w:r>
              <w:rPr>
                <w:sz w:val="22"/>
                <w:szCs w:val="22"/>
              </w:rPr>
              <w:t>1,57%</w:t>
            </w:r>
          </w:p>
        </w:tc>
      </w:tr>
      <w:tr w14:paraId="17C1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225FE5C">
            <w:pPr>
              <w:jc w:val="center"/>
              <w:rPr>
                <w:sz w:val="22"/>
                <w:szCs w:val="22"/>
              </w:rPr>
            </w:pPr>
          </w:p>
        </w:tc>
        <w:tc>
          <w:tcPr>
            <w:tcW w:w="1491" w:type="dxa"/>
            <w:noWrap/>
            <w:vAlign w:val="center"/>
          </w:tcPr>
          <w:p w14:paraId="669C05BB">
            <w:pPr>
              <w:jc w:val="center"/>
              <w:rPr>
                <w:sz w:val="22"/>
                <w:szCs w:val="22"/>
              </w:rPr>
            </w:pPr>
          </w:p>
        </w:tc>
        <w:tc>
          <w:tcPr>
            <w:tcW w:w="742" w:type="dxa"/>
            <w:vMerge w:val="continue"/>
            <w:vAlign w:val="center"/>
          </w:tcPr>
          <w:p w14:paraId="0A94CFDF">
            <w:pPr>
              <w:jc w:val="center"/>
              <w:rPr>
                <w:sz w:val="22"/>
                <w:szCs w:val="22"/>
              </w:rPr>
            </w:pPr>
          </w:p>
        </w:tc>
        <w:tc>
          <w:tcPr>
            <w:tcW w:w="676" w:type="dxa"/>
            <w:noWrap/>
            <w:vAlign w:val="center"/>
          </w:tcPr>
          <w:p w14:paraId="09F757EF">
            <w:pPr>
              <w:jc w:val="center"/>
              <w:rPr>
                <w:sz w:val="22"/>
                <w:szCs w:val="22"/>
              </w:rPr>
            </w:pPr>
            <w:r>
              <w:rPr>
                <w:sz w:val="22"/>
                <w:szCs w:val="22"/>
              </w:rPr>
              <w:t>25</w:t>
            </w:r>
          </w:p>
        </w:tc>
        <w:tc>
          <w:tcPr>
            <w:tcW w:w="1098" w:type="dxa"/>
            <w:noWrap/>
            <w:vAlign w:val="center"/>
          </w:tcPr>
          <w:p w14:paraId="70F52EF5">
            <w:pPr>
              <w:jc w:val="center"/>
              <w:rPr>
                <w:sz w:val="22"/>
                <w:szCs w:val="22"/>
              </w:rPr>
            </w:pPr>
            <w:r>
              <w:rPr>
                <w:sz w:val="22"/>
                <w:szCs w:val="22"/>
              </w:rPr>
              <w:t>102,0</w:t>
            </w:r>
          </w:p>
        </w:tc>
        <w:tc>
          <w:tcPr>
            <w:tcW w:w="1817" w:type="dxa"/>
            <w:vAlign w:val="center"/>
          </w:tcPr>
          <w:p w14:paraId="0917639E">
            <w:pPr>
              <w:jc w:val="center"/>
              <w:rPr>
                <w:sz w:val="22"/>
                <w:szCs w:val="22"/>
              </w:rPr>
            </w:pPr>
            <w:r>
              <w:rPr>
                <w:sz w:val="22"/>
                <w:szCs w:val="22"/>
              </w:rPr>
              <w:t>693.600.000</w:t>
            </w:r>
          </w:p>
        </w:tc>
        <w:tc>
          <w:tcPr>
            <w:tcW w:w="1798" w:type="dxa"/>
            <w:vAlign w:val="center"/>
          </w:tcPr>
          <w:p w14:paraId="61556C8D">
            <w:pPr>
              <w:jc w:val="center"/>
              <w:rPr>
                <w:sz w:val="22"/>
                <w:szCs w:val="22"/>
              </w:rPr>
            </w:pPr>
            <w:r>
              <w:rPr>
                <w:sz w:val="22"/>
                <w:szCs w:val="22"/>
              </w:rPr>
              <w:t>888.980.000</w:t>
            </w:r>
          </w:p>
        </w:tc>
        <w:tc>
          <w:tcPr>
            <w:tcW w:w="1382" w:type="dxa"/>
            <w:noWrap/>
            <w:vAlign w:val="center"/>
          </w:tcPr>
          <w:p w14:paraId="25325A5B">
            <w:pPr>
              <w:jc w:val="center"/>
              <w:rPr>
                <w:sz w:val="22"/>
                <w:szCs w:val="22"/>
              </w:rPr>
            </w:pPr>
            <w:r>
              <w:rPr>
                <w:sz w:val="22"/>
                <w:szCs w:val="22"/>
              </w:rPr>
              <w:t>1,28%</w:t>
            </w:r>
          </w:p>
        </w:tc>
      </w:tr>
      <w:tr w14:paraId="1A45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5656AF0">
            <w:pPr>
              <w:jc w:val="center"/>
              <w:rPr>
                <w:sz w:val="22"/>
                <w:szCs w:val="22"/>
              </w:rPr>
            </w:pPr>
          </w:p>
        </w:tc>
        <w:tc>
          <w:tcPr>
            <w:tcW w:w="1491" w:type="dxa"/>
            <w:noWrap/>
            <w:vAlign w:val="center"/>
          </w:tcPr>
          <w:p w14:paraId="7EC45E6A">
            <w:pPr>
              <w:jc w:val="center"/>
              <w:rPr>
                <w:sz w:val="22"/>
                <w:szCs w:val="22"/>
              </w:rPr>
            </w:pPr>
          </w:p>
        </w:tc>
        <w:tc>
          <w:tcPr>
            <w:tcW w:w="742" w:type="dxa"/>
            <w:vMerge w:val="continue"/>
            <w:vAlign w:val="center"/>
          </w:tcPr>
          <w:p w14:paraId="4E66F18F">
            <w:pPr>
              <w:jc w:val="center"/>
              <w:rPr>
                <w:sz w:val="22"/>
                <w:szCs w:val="22"/>
              </w:rPr>
            </w:pPr>
          </w:p>
        </w:tc>
        <w:tc>
          <w:tcPr>
            <w:tcW w:w="676" w:type="dxa"/>
            <w:noWrap/>
            <w:vAlign w:val="center"/>
          </w:tcPr>
          <w:p w14:paraId="5E4DC7E6">
            <w:pPr>
              <w:jc w:val="center"/>
              <w:rPr>
                <w:sz w:val="22"/>
                <w:szCs w:val="22"/>
              </w:rPr>
            </w:pPr>
            <w:r>
              <w:rPr>
                <w:sz w:val="22"/>
                <w:szCs w:val="22"/>
              </w:rPr>
              <w:t>26</w:t>
            </w:r>
          </w:p>
        </w:tc>
        <w:tc>
          <w:tcPr>
            <w:tcW w:w="1098" w:type="dxa"/>
            <w:noWrap/>
            <w:vAlign w:val="center"/>
          </w:tcPr>
          <w:p w14:paraId="68FAB14C">
            <w:pPr>
              <w:jc w:val="center"/>
              <w:rPr>
                <w:sz w:val="22"/>
                <w:szCs w:val="22"/>
              </w:rPr>
            </w:pPr>
            <w:r>
              <w:rPr>
                <w:sz w:val="22"/>
                <w:szCs w:val="22"/>
              </w:rPr>
              <w:t>102,0</w:t>
            </w:r>
          </w:p>
        </w:tc>
        <w:tc>
          <w:tcPr>
            <w:tcW w:w="1817" w:type="dxa"/>
            <w:vAlign w:val="center"/>
          </w:tcPr>
          <w:p w14:paraId="74709C47">
            <w:pPr>
              <w:jc w:val="center"/>
              <w:rPr>
                <w:sz w:val="22"/>
                <w:szCs w:val="22"/>
              </w:rPr>
            </w:pPr>
            <w:r>
              <w:rPr>
                <w:sz w:val="22"/>
                <w:szCs w:val="22"/>
              </w:rPr>
              <w:t>693.600.000</w:t>
            </w:r>
          </w:p>
        </w:tc>
        <w:tc>
          <w:tcPr>
            <w:tcW w:w="1798" w:type="dxa"/>
            <w:vAlign w:val="center"/>
          </w:tcPr>
          <w:p w14:paraId="1F2850AC">
            <w:pPr>
              <w:jc w:val="center"/>
              <w:rPr>
                <w:sz w:val="22"/>
                <w:szCs w:val="22"/>
              </w:rPr>
            </w:pPr>
            <w:r>
              <w:rPr>
                <w:sz w:val="22"/>
                <w:szCs w:val="22"/>
              </w:rPr>
              <w:t>1.079.980.000</w:t>
            </w:r>
          </w:p>
        </w:tc>
        <w:tc>
          <w:tcPr>
            <w:tcW w:w="1382" w:type="dxa"/>
            <w:noWrap/>
            <w:vAlign w:val="center"/>
          </w:tcPr>
          <w:p w14:paraId="68AB9A24">
            <w:pPr>
              <w:jc w:val="center"/>
              <w:rPr>
                <w:sz w:val="22"/>
                <w:szCs w:val="22"/>
              </w:rPr>
            </w:pPr>
            <w:r>
              <w:rPr>
                <w:sz w:val="22"/>
                <w:szCs w:val="22"/>
              </w:rPr>
              <w:t>1,56%</w:t>
            </w:r>
          </w:p>
        </w:tc>
      </w:tr>
      <w:tr w14:paraId="455D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151D567">
            <w:pPr>
              <w:jc w:val="center"/>
              <w:rPr>
                <w:sz w:val="22"/>
                <w:szCs w:val="22"/>
              </w:rPr>
            </w:pPr>
          </w:p>
        </w:tc>
        <w:tc>
          <w:tcPr>
            <w:tcW w:w="1491" w:type="dxa"/>
            <w:noWrap/>
            <w:vAlign w:val="center"/>
          </w:tcPr>
          <w:p w14:paraId="6B74C933">
            <w:pPr>
              <w:jc w:val="center"/>
              <w:rPr>
                <w:sz w:val="22"/>
                <w:szCs w:val="22"/>
              </w:rPr>
            </w:pPr>
          </w:p>
        </w:tc>
        <w:tc>
          <w:tcPr>
            <w:tcW w:w="742" w:type="dxa"/>
            <w:vMerge w:val="continue"/>
            <w:vAlign w:val="center"/>
          </w:tcPr>
          <w:p w14:paraId="7A57A23C">
            <w:pPr>
              <w:jc w:val="center"/>
              <w:rPr>
                <w:sz w:val="22"/>
                <w:szCs w:val="22"/>
              </w:rPr>
            </w:pPr>
          </w:p>
        </w:tc>
        <w:tc>
          <w:tcPr>
            <w:tcW w:w="676" w:type="dxa"/>
            <w:noWrap/>
            <w:vAlign w:val="center"/>
          </w:tcPr>
          <w:p w14:paraId="0EF7C99E">
            <w:pPr>
              <w:jc w:val="center"/>
              <w:rPr>
                <w:sz w:val="22"/>
                <w:szCs w:val="22"/>
              </w:rPr>
            </w:pPr>
            <w:r>
              <w:rPr>
                <w:sz w:val="22"/>
                <w:szCs w:val="22"/>
              </w:rPr>
              <w:t>27</w:t>
            </w:r>
          </w:p>
        </w:tc>
        <w:tc>
          <w:tcPr>
            <w:tcW w:w="1098" w:type="dxa"/>
            <w:noWrap/>
            <w:vAlign w:val="center"/>
          </w:tcPr>
          <w:p w14:paraId="52FE6294">
            <w:pPr>
              <w:jc w:val="center"/>
              <w:rPr>
                <w:sz w:val="22"/>
                <w:szCs w:val="22"/>
              </w:rPr>
            </w:pPr>
            <w:r>
              <w:rPr>
                <w:sz w:val="22"/>
                <w:szCs w:val="22"/>
              </w:rPr>
              <w:t>102,0</w:t>
            </w:r>
          </w:p>
        </w:tc>
        <w:tc>
          <w:tcPr>
            <w:tcW w:w="1817" w:type="dxa"/>
            <w:vAlign w:val="center"/>
          </w:tcPr>
          <w:p w14:paraId="041899BE">
            <w:pPr>
              <w:jc w:val="center"/>
              <w:rPr>
                <w:sz w:val="22"/>
                <w:szCs w:val="22"/>
              </w:rPr>
            </w:pPr>
            <w:r>
              <w:rPr>
                <w:sz w:val="22"/>
                <w:szCs w:val="22"/>
              </w:rPr>
              <w:t>693.600.000</w:t>
            </w:r>
          </w:p>
        </w:tc>
        <w:tc>
          <w:tcPr>
            <w:tcW w:w="1798" w:type="dxa"/>
            <w:vAlign w:val="center"/>
          </w:tcPr>
          <w:p w14:paraId="3ECEB68F">
            <w:pPr>
              <w:jc w:val="center"/>
              <w:rPr>
                <w:sz w:val="22"/>
                <w:szCs w:val="22"/>
              </w:rPr>
            </w:pPr>
            <w:r>
              <w:rPr>
                <w:sz w:val="22"/>
                <w:szCs w:val="22"/>
              </w:rPr>
              <w:t>1.176.000.000</w:t>
            </w:r>
          </w:p>
        </w:tc>
        <w:tc>
          <w:tcPr>
            <w:tcW w:w="1382" w:type="dxa"/>
            <w:noWrap/>
            <w:vAlign w:val="center"/>
          </w:tcPr>
          <w:p w14:paraId="1B3E700E">
            <w:pPr>
              <w:jc w:val="center"/>
              <w:rPr>
                <w:sz w:val="22"/>
                <w:szCs w:val="22"/>
              </w:rPr>
            </w:pPr>
            <w:r>
              <w:rPr>
                <w:sz w:val="22"/>
                <w:szCs w:val="22"/>
              </w:rPr>
              <w:t>1,70%</w:t>
            </w:r>
          </w:p>
        </w:tc>
      </w:tr>
      <w:tr w14:paraId="1444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25D457F">
            <w:pPr>
              <w:jc w:val="center"/>
              <w:rPr>
                <w:sz w:val="22"/>
                <w:szCs w:val="22"/>
              </w:rPr>
            </w:pPr>
          </w:p>
        </w:tc>
        <w:tc>
          <w:tcPr>
            <w:tcW w:w="1491" w:type="dxa"/>
            <w:noWrap/>
            <w:vAlign w:val="center"/>
          </w:tcPr>
          <w:p w14:paraId="3F3FF453">
            <w:pPr>
              <w:jc w:val="center"/>
              <w:rPr>
                <w:sz w:val="22"/>
                <w:szCs w:val="22"/>
              </w:rPr>
            </w:pPr>
          </w:p>
        </w:tc>
        <w:tc>
          <w:tcPr>
            <w:tcW w:w="742" w:type="dxa"/>
            <w:vMerge w:val="continue"/>
            <w:vAlign w:val="center"/>
          </w:tcPr>
          <w:p w14:paraId="138CF02B">
            <w:pPr>
              <w:jc w:val="center"/>
              <w:rPr>
                <w:sz w:val="22"/>
                <w:szCs w:val="22"/>
              </w:rPr>
            </w:pPr>
          </w:p>
        </w:tc>
        <w:tc>
          <w:tcPr>
            <w:tcW w:w="676" w:type="dxa"/>
            <w:noWrap/>
            <w:vAlign w:val="center"/>
          </w:tcPr>
          <w:p w14:paraId="20E65732">
            <w:pPr>
              <w:jc w:val="center"/>
              <w:rPr>
                <w:sz w:val="22"/>
                <w:szCs w:val="22"/>
              </w:rPr>
            </w:pPr>
            <w:r>
              <w:rPr>
                <w:sz w:val="22"/>
                <w:szCs w:val="22"/>
              </w:rPr>
              <w:t>28</w:t>
            </w:r>
          </w:p>
        </w:tc>
        <w:tc>
          <w:tcPr>
            <w:tcW w:w="1098" w:type="dxa"/>
            <w:noWrap/>
            <w:vAlign w:val="center"/>
          </w:tcPr>
          <w:p w14:paraId="3FABEE22">
            <w:pPr>
              <w:jc w:val="center"/>
              <w:rPr>
                <w:sz w:val="22"/>
                <w:szCs w:val="22"/>
              </w:rPr>
            </w:pPr>
            <w:r>
              <w:rPr>
                <w:sz w:val="22"/>
                <w:szCs w:val="22"/>
              </w:rPr>
              <w:t>102,0</w:t>
            </w:r>
          </w:p>
        </w:tc>
        <w:tc>
          <w:tcPr>
            <w:tcW w:w="1817" w:type="dxa"/>
            <w:vAlign w:val="center"/>
          </w:tcPr>
          <w:p w14:paraId="41DB6771">
            <w:pPr>
              <w:jc w:val="center"/>
              <w:rPr>
                <w:sz w:val="22"/>
                <w:szCs w:val="22"/>
              </w:rPr>
            </w:pPr>
            <w:r>
              <w:rPr>
                <w:sz w:val="22"/>
                <w:szCs w:val="22"/>
              </w:rPr>
              <w:t>693.600.000</w:t>
            </w:r>
          </w:p>
        </w:tc>
        <w:tc>
          <w:tcPr>
            <w:tcW w:w="1798" w:type="dxa"/>
            <w:vAlign w:val="center"/>
          </w:tcPr>
          <w:p w14:paraId="191C32C5">
            <w:pPr>
              <w:jc w:val="center"/>
              <w:rPr>
                <w:sz w:val="22"/>
                <w:szCs w:val="22"/>
              </w:rPr>
            </w:pPr>
            <w:r>
              <w:rPr>
                <w:sz w:val="22"/>
                <w:szCs w:val="22"/>
              </w:rPr>
              <w:t>1.033.000.000</w:t>
            </w:r>
          </w:p>
        </w:tc>
        <w:tc>
          <w:tcPr>
            <w:tcW w:w="1382" w:type="dxa"/>
            <w:noWrap/>
            <w:vAlign w:val="center"/>
          </w:tcPr>
          <w:p w14:paraId="69D46570">
            <w:pPr>
              <w:jc w:val="center"/>
              <w:rPr>
                <w:sz w:val="22"/>
                <w:szCs w:val="22"/>
              </w:rPr>
            </w:pPr>
            <w:r>
              <w:rPr>
                <w:sz w:val="22"/>
                <w:szCs w:val="22"/>
              </w:rPr>
              <w:t>1,49%</w:t>
            </w:r>
          </w:p>
        </w:tc>
      </w:tr>
      <w:tr w14:paraId="7402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FB7AC04">
            <w:pPr>
              <w:jc w:val="center"/>
              <w:rPr>
                <w:sz w:val="22"/>
                <w:szCs w:val="22"/>
              </w:rPr>
            </w:pPr>
          </w:p>
        </w:tc>
        <w:tc>
          <w:tcPr>
            <w:tcW w:w="1491" w:type="dxa"/>
            <w:noWrap/>
            <w:vAlign w:val="center"/>
          </w:tcPr>
          <w:p w14:paraId="644EC94D">
            <w:pPr>
              <w:jc w:val="center"/>
              <w:rPr>
                <w:sz w:val="22"/>
                <w:szCs w:val="22"/>
              </w:rPr>
            </w:pPr>
          </w:p>
        </w:tc>
        <w:tc>
          <w:tcPr>
            <w:tcW w:w="742" w:type="dxa"/>
            <w:vMerge w:val="continue"/>
            <w:vAlign w:val="center"/>
          </w:tcPr>
          <w:p w14:paraId="3D8D837D">
            <w:pPr>
              <w:jc w:val="center"/>
              <w:rPr>
                <w:sz w:val="22"/>
                <w:szCs w:val="22"/>
              </w:rPr>
            </w:pPr>
          </w:p>
        </w:tc>
        <w:tc>
          <w:tcPr>
            <w:tcW w:w="676" w:type="dxa"/>
            <w:noWrap/>
            <w:vAlign w:val="center"/>
          </w:tcPr>
          <w:p w14:paraId="78FA1731">
            <w:pPr>
              <w:jc w:val="center"/>
              <w:rPr>
                <w:sz w:val="22"/>
                <w:szCs w:val="22"/>
              </w:rPr>
            </w:pPr>
            <w:r>
              <w:rPr>
                <w:sz w:val="22"/>
                <w:szCs w:val="22"/>
              </w:rPr>
              <w:t>29</w:t>
            </w:r>
          </w:p>
        </w:tc>
        <w:tc>
          <w:tcPr>
            <w:tcW w:w="1098" w:type="dxa"/>
            <w:noWrap/>
            <w:vAlign w:val="center"/>
          </w:tcPr>
          <w:p w14:paraId="2D58A944">
            <w:pPr>
              <w:jc w:val="center"/>
              <w:rPr>
                <w:sz w:val="22"/>
                <w:szCs w:val="22"/>
              </w:rPr>
            </w:pPr>
            <w:r>
              <w:rPr>
                <w:sz w:val="22"/>
                <w:szCs w:val="22"/>
              </w:rPr>
              <w:t>102,0</w:t>
            </w:r>
          </w:p>
        </w:tc>
        <w:tc>
          <w:tcPr>
            <w:tcW w:w="1817" w:type="dxa"/>
            <w:vAlign w:val="center"/>
          </w:tcPr>
          <w:p w14:paraId="3D624FEC">
            <w:pPr>
              <w:jc w:val="center"/>
              <w:rPr>
                <w:sz w:val="22"/>
                <w:szCs w:val="22"/>
              </w:rPr>
            </w:pPr>
            <w:r>
              <w:rPr>
                <w:sz w:val="22"/>
                <w:szCs w:val="22"/>
              </w:rPr>
              <w:t>693.600.000</w:t>
            </w:r>
          </w:p>
        </w:tc>
        <w:tc>
          <w:tcPr>
            <w:tcW w:w="1798" w:type="dxa"/>
            <w:vAlign w:val="center"/>
          </w:tcPr>
          <w:p w14:paraId="7FA0EFBD">
            <w:pPr>
              <w:jc w:val="center"/>
              <w:rPr>
                <w:sz w:val="22"/>
                <w:szCs w:val="22"/>
              </w:rPr>
            </w:pPr>
            <w:r>
              <w:rPr>
                <w:sz w:val="22"/>
                <w:szCs w:val="22"/>
              </w:rPr>
              <w:t>920.000.000</w:t>
            </w:r>
          </w:p>
        </w:tc>
        <w:tc>
          <w:tcPr>
            <w:tcW w:w="1382" w:type="dxa"/>
            <w:noWrap/>
            <w:vAlign w:val="center"/>
          </w:tcPr>
          <w:p w14:paraId="5C1A3226">
            <w:pPr>
              <w:jc w:val="center"/>
              <w:rPr>
                <w:sz w:val="22"/>
                <w:szCs w:val="22"/>
              </w:rPr>
            </w:pPr>
            <w:r>
              <w:rPr>
                <w:sz w:val="22"/>
                <w:szCs w:val="22"/>
              </w:rPr>
              <w:t>1,33%</w:t>
            </w:r>
          </w:p>
        </w:tc>
      </w:tr>
      <w:tr w14:paraId="4C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A522656">
            <w:pPr>
              <w:jc w:val="center"/>
              <w:rPr>
                <w:sz w:val="22"/>
                <w:szCs w:val="22"/>
              </w:rPr>
            </w:pPr>
          </w:p>
        </w:tc>
        <w:tc>
          <w:tcPr>
            <w:tcW w:w="1491" w:type="dxa"/>
            <w:noWrap/>
            <w:vAlign w:val="center"/>
          </w:tcPr>
          <w:p w14:paraId="2C956C36">
            <w:pPr>
              <w:jc w:val="center"/>
              <w:rPr>
                <w:sz w:val="22"/>
                <w:szCs w:val="22"/>
              </w:rPr>
            </w:pPr>
          </w:p>
        </w:tc>
        <w:tc>
          <w:tcPr>
            <w:tcW w:w="742" w:type="dxa"/>
            <w:vMerge w:val="continue"/>
            <w:vAlign w:val="center"/>
          </w:tcPr>
          <w:p w14:paraId="7B652B94">
            <w:pPr>
              <w:jc w:val="center"/>
              <w:rPr>
                <w:sz w:val="22"/>
                <w:szCs w:val="22"/>
              </w:rPr>
            </w:pPr>
          </w:p>
        </w:tc>
        <w:tc>
          <w:tcPr>
            <w:tcW w:w="676" w:type="dxa"/>
            <w:noWrap/>
            <w:vAlign w:val="center"/>
          </w:tcPr>
          <w:p w14:paraId="7345D668">
            <w:pPr>
              <w:jc w:val="center"/>
              <w:rPr>
                <w:sz w:val="22"/>
                <w:szCs w:val="22"/>
              </w:rPr>
            </w:pPr>
            <w:r>
              <w:rPr>
                <w:sz w:val="22"/>
                <w:szCs w:val="22"/>
              </w:rPr>
              <w:t>30</w:t>
            </w:r>
          </w:p>
        </w:tc>
        <w:tc>
          <w:tcPr>
            <w:tcW w:w="1098" w:type="dxa"/>
            <w:noWrap/>
            <w:vAlign w:val="center"/>
          </w:tcPr>
          <w:p w14:paraId="593F478B">
            <w:pPr>
              <w:jc w:val="center"/>
              <w:rPr>
                <w:sz w:val="22"/>
                <w:szCs w:val="22"/>
              </w:rPr>
            </w:pPr>
            <w:r>
              <w:rPr>
                <w:sz w:val="22"/>
                <w:szCs w:val="22"/>
              </w:rPr>
              <w:t>119,0</w:t>
            </w:r>
          </w:p>
        </w:tc>
        <w:tc>
          <w:tcPr>
            <w:tcW w:w="1817" w:type="dxa"/>
            <w:vAlign w:val="center"/>
          </w:tcPr>
          <w:p w14:paraId="6BA891C2">
            <w:pPr>
              <w:jc w:val="center"/>
              <w:rPr>
                <w:sz w:val="22"/>
                <w:szCs w:val="22"/>
              </w:rPr>
            </w:pPr>
            <w:r>
              <w:rPr>
                <w:sz w:val="22"/>
                <w:szCs w:val="22"/>
              </w:rPr>
              <w:t>809.200.000</w:t>
            </w:r>
          </w:p>
        </w:tc>
        <w:tc>
          <w:tcPr>
            <w:tcW w:w="1798" w:type="dxa"/>
            <w:vAlign w:val="center"/>
          </w:tcPr>
          <w:p w14:paraId="3CECBFC1">
            <w:pPr>
              <w:jc w:val="center"/>
              <w:rPr>
                <w:sz w:val="22"/>
                <w:szCs w:val="22"/>
              </w:rPr>
            </w:pPr>
            <w:r>
              <w:rPr>
                <w:sz w:val="22"/>
                <w:szCs w:val="22"/>
              </w:rPr>
              <w:t>1.045.900.000</w:t>
            </w:r>
          </w:p>
        </w:tc>
        <w:tc>
          <w:tcPr>
            <w:tcW w:w="1382" w:type="dxa"/>
            <w:noWrap/>
            <w:vAlign w:val="center"/>
          </w:tcPr>
          <w:p w14:paraId="618527C0">
            <w:pPr>
              <w:jc w:val="center"/>
              <w:rPr>
                <w:sz w:val="22"/>
                <w:szCs w:val="22"/>
              </w:rPr>
            </w:pPr>
            <w:r>
              <w:rPr>
                <w:sz w:val="22"/>
                <w:szCs w:val="22"/>
              </w:rPr>
              <w:t>1,29%</w:t>
            </w:r>
          </w:p>
        </w:tc>
      </w:tr>
      <w:tr w14:paraId="0BCB22D2">
        <w:tblPrEx>
          <w:tblCellMar>
            <w:top w:w="0" w:type="dxa"/>
            <w:left w:w="108" w:type="dxa"/>
            <w:bottom w:w="0" w:type="dxa"/>
            <w:right w:w="108" w:type="dxa"/>
          </w:tblCellMar>
        </w:tblPrEx>
        <w:trPr>
          <w:trHeight w:val="20" w:hRule="atLeast"/>
        </w:trPr>
        <w:tc>
          <w:tcPr>
            <w:tcW w:w="636" w:type="dxa"/>
            <w:noWrap/>
            <w:vAlign w:val="center"/>
          </w:tcPr>
          <w:p w14:paraId="24433A34">
            <w:pPr>
              <w:jc w:val="center"/>
              <w:rPr>
                <w:sz w:val="22"/>
                <w:szCs w:val="22"/>
              </w:rPr>
            </w:pPr>
          </w:p>
        </w:tc>
        <w:tc>
          <w:tcPr>
            <w:tcW w:w="1491" w:type="dxa"/>
            <w:noWrap/>
            <w:vAlign w:val="center"/>
          </w:tcPr>
          <w:p w14:paraId="421CA51F">
            <w:pPr>
              <w:jc w:val="center"/>
              <w:rPr>
                <w:sz w:val="22"/>
                <w:szCs w:val="22"/>
              </w:rPr>
            </w:pPr>
          </w:p>
        </w:tc>
        <w:tc>
          <w:tcPr>
            <w:tcW w:w="742" w:type="dxa"/>
            <w:vMerge w:val="continue"/>
            <w:vAlign w:val="center"/>
          </w:tcPr>
          <w:p w14:paraId="5FF773FF">
            <w:pPr>
              <w:jc w:val="center"/>
              <w:rPr>
                <w:sz w:val="22"/>
                <w:szCs w:val="22"/>
              </w:rPr>
            </w:pPr>
          </w:p>
        </w:tc>
        <w:tc>
          <w:tcPr>
            <w:tcW w:w="676" w:type="dxa"/>
            <w:noWrap/>
            <w:vAlign w:val="center"/>
          </w:tcPr>
          <w:p w14:paraId="3329E065">
            <w:pPr>
              <w:jc w:val="center"/>
              <w:rPr>
                <w:sz w:val="22"/>
                <w:szCs w:val="22"/>
              </w:rPr>
            </w:pPr>
            <w:r>
              <w:rPr>
                <w:sz w:val="22"/>
                <w:szCs w:val="22"/>
              </w:rPr>
              <w:t>31</w:t>
            </w:r>
          </w:p>
        </w:tc>
        <w:tc>
          <w:tcPr>
            <w:tcW w:w="1098" w:type="dxa"/>
            <w:noWrap/>
            <w:vAlign w:val="center"/>
          </w:tcPr>
          <w:p w14:paraId="6892459A">
            <w:pPr>
              <w:jc w:val="center"/>
              <w:rPr>
                <w:sz w:val="22"/>
                <w:szCs w:val="22"/>
              </w:rPr>
            </w:pPr>
            <w:r>
              <w:rPr>
                <w:sz w:val="22"/>
                <w:szCs w:val="22"/>
              </w:rPr>
              <w:t>102,0</w:t>
            </w:r>
          </w:p>
        </w:tc>
        <w:tc>
          <w:tcPr>
            <w:tcW w:w="1817" w:type="dxa"/>
            <w:vAlign w:val="center"/>
          </w:tcPr>
          <w:p w14:paraId="4E8506A7">
            <w:pPr>
              <w:jc w:val="center"/>
              <w:rPr>
                <w:sz w:val="22"/>
                <w:szCs w:val="22"/>
              </w:rPr>
            </w:pPr>
            <w:r>
              <w:rPr>
                <w:sz w:val="22"/>
                <w:szCs w:val="22"/>
              </w:rPr>
              <w:t>693.600.000</w:t>
            </w:r>
          </w:p>
        </w:tc>
        <w:tc>
          <w:tcPr>
            <w:tcW w:w="1798" w:type="dxa"/>
            <w:vAlign w:val="center"/>
          </w:tcPr>
          <w:p w14:paraId="605D091C">
            <w:pPr>
              <w:jc w:val="center"/>
              <w:rPr>
                <w:sz w:val="22"/>
                <w:szCs w:val="22"/>
              </w:rPr>
            </w:pPr>
            <w:r>
              <w:rPr>
                <w:sz w:val="22"/>
                <w:szCs w:val="22"/>
              </w:rPr>
              <w:t>1.069.000.000</w:t>
            </w:r>
          </w:p>
        </w:tc>
        <w:tc>
          <w:tcPr>
            <w:tcW w:w="1382" w:type="dxa"/>
            <w:noWrap/>
            <w:vAlign w:val="center"/>
          </w:tcPr>
          <w:p w14:paraId="6C336C35">
            <w:pPr>
              <w:jc w:val="center"/>
              <w:rPr>
                <w:sz w:val="22"/>
                <w:szCs w:val="22"/>
              </w:rPr>
            </w:pPr>
            <w:r>
              <w:rPr>
                <w:sz w:val="22"/>
                <w:szCs w:val="22"/>
              </w:rPr>
              <w:t>1,54%</w:t>
            </w:r>
          </w:p>
        </w:tc>
      </w:tr>
      <w:tr w14:paraId="6089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B03859E">
            <w:pPr>
              <w:jc w:val="center"/>
              <w:rPr>
                <w:sz w:val="22"/>
                <w:szCs w:val="22"/>
              </w:rPr>
            </w:pPr>
          </w:p>
        </w:tc>
        <w:tc>
          <w:tcPr>
            <w:tcW w:w="1491" w:type="dxa"/>
            <w:noWrap/>
            <w:vAlign w:val="center"/>
          </w:tcPr>
          <w:p w14:paraId="2129C223">
            <w:pPr>
              <w:jc w:val="center"/>
              <w:rPr>
                <w:sz w:val="22"/>
                <w:szCs w:val="22"/>
              </w:rPr>
            </w:pPr>
          </w:p>
        </w:tc>
        <w:tc>
          <w:tcPr>
            <w:tcW w:w="742" w:type="dxa"/>
            <w:vMerge w:val="continue"/>
            <w:vAlign w:val="center"/>
          </w:tcPr>
          <w:p w14:paraId="5A0973FB">
            <w:pPr>
              <w:jc w:val="center"/>
              <w:rPr>
                <w:sz w:val="22"/>
                <w:szCs w:val="22"/>
              </w:rPr>
            </w:pPr>
          </w:p>
        </w:tc>
        <w:tc>
          <w:tcPr>
            <w:tcW w:w="676" w:type="dxa"/>
            <w:noWrap/>
            <w:vAlign w:val="center"/>
          </w:tcPr>
          <w:p w14:paraId="37B35806">
            <w:pPr>
              <w:jc w:val="center"/>
              <w:rPr>
                <w:sz w:val="22"/>
                <w:szCs w:val="22"/>
              </w:rPr>
            </w:pPr>
            <w:r>
              <w:rPr>
                <w:sz w:val="22"/>
                <w:szCs w:val="22"/>
              </w:rPr>
              <w:t>34</w:t>
            </w:r>
          </w:p>
        </w:tc>
        <w:tc>
          <w:tcPr>
            <w:tcW w:w="1098" w:type="dxa"/>
            <w:noWrap/>
            <w:vAlign w:val="center"/>
          </w:tcPr>
          <w:p w14:paraId="7644B0F9">
            <w:pPr>
              <w:jc w:val="center"/>
              <w:rPr>
                <w:sz w:val="22"/>
                <w:szCs w:val="22"/>
              </w:rPr>
            </w:pPr>
            <w:r>
              <w:rPr>
                <w:sz w:val="22"/>
                <w:szCs w:val="22"/>
              </w:rPr>
              <w:t>102,0</w:t>
            </w:r>
          </w:p>
        </w:tc>
        <w:tc>
          <w:tcPr>
            <w:tcW w:w="1817" w:type="dxa"/>
            <w:vAlign w:val="center"/>
          </w:tcPr>
          <w:p w14:paraId="444635A5">
            <w:pPr>
              <w:jc w:val="center"/>
              <w:rPr>
                <w:sz w:val="22"/>
                <w:szCs w:val="22"/>
              </w:rPr>
            </w:pPr>
            <w:r>
              <w:rPr>
                <w:sz w:val="22"/>
                <w:szCs w:val="22"/>
              </w:rPr>
              <w:t>693.600.000</w:t>
            </w:r>
          </w:p>
        </w:tc>
        <w:tc>
          <w:tcPr>
            <w:tcW w:w="1798" w:type="dxa"/>
            <w:vAlign w:val="center"/>
          </w:tcPr>
          <w:p w14:paraId="5484D814">
            <w:pPr>
              <w:jc w:val="center"/>
              <w:rPr>
                <w:sz w:val="22"/>
                <w:szCs w:val="22"/>
              </w:rPr>
            </w:pPr>
            <w:r>
              <w:rPr>
                <w:sz w:val="22"/>
                <w:szCs w:val="22"/>
              </w:rPr>
              <w:t>1.168.980.000</w:t>
            </w:r>
          </w:p>
        </w:tc>
        <w:tc>
          <w:tcPr>
            <w:tcW w:w="1382" w:type="dxa"/>
            <w:noWrap/>
            <w:vAlign w:val="center"/>
          </w:tcPr>
          <w:p w14:paraId="076248A4">
            <w:pPr>
              <w:jc w:val="center"/>
              <w:rPr>
                <w:sz w:val="22"/>
                <w:szCs w:val="22"/>
              </w:rPr>
            </w:pPr>
            <w:r>
              <w:rPr>
                <w:sz w:val="22"/>
                <w:szCs w:val="22"/>
              </w:rPr>
              <w:t>1,69%</w:t>
            </w:r>
          </w:p>
        </w:tc>
      </w:tr>
      <w:tr w14:paraId="66ED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4F76C6E">
            <w:pPr>
              <w:jc w:val="center"/>
              <w:rPr>
                <w:sz w:val="22"/>
                <w:szCs w:val="22"/>
              </w:rPr>
            </w:pPr>
          </w:p>
        </w:tc>
        <w:tc>
          <w:tcPr>
            <w:tcW w:w="1491" w:type="dxa"/>
            <w:noWrap/>
            <w:vAlign w:val="center"/>
          </w:tcPr>
          <w:p w14:paraId="73078236">
            <w:pPr>
              <w:jc w:val="center"/>
              <w:rPr>
                <w:sz w:val="22"/>
                <w:szCs w:val="22"/>
              </w:rPr>
            </w:pPr>
          </w:p>
        </w:tc>
        <w:tc>
          <w:tcPr>
            <w:tcW w:w="742" w:type="dxa"/>
            <w:vMerge w:val="continue"/>
            <w:vAlign w:val="center"/>
          </w:tcPr>
          <w:p w14:paraId="021B520C">
            <w:pPr>
              <w:jc w:val="center"/>
              <w:rPr>
                <w:sz w:val="22"/>
                <w:szCs w:val="22"/>
              </w:rPr>
            </w:pPr>
          </w:p>
        </w:tc>
        <w:tc>
          <w:tcPr>
            <w:tcW w:w="676" w:type="dxa"/>
            <w:noWrap/>
            <w:vAlign w:val="center"/>
          </w:tcPr>
          <w:p w14:paraId="6D2756B8">
            <w:pPr>
              <w:jc w:val="center"/>
              <w:rPr>
                <w:sz w:val="22"/>
                <w:szCs w:val="22"/>
              </w:rPr>
            </w:pPr>
            <w:r>
              <w:rPr>
                <w:sz w:val="22"/>
                <w:szCs w:val="22"/>
              </w:rPr>
              <w:t>35</w:t>
            </w:r>
          </w:p>
        </w:tc>
        <w:tc>
          <w:tcPr>
            <w:tcW w:w="1098" w:type="dxa"/>
            <w:noWrap/>
            <w:vAlign w:val="center"/>
          </w:tcPr>
          <w:p w14:paraId="1936D22D">
            <w:pPr>
              <w:jc w:val="center"/>
              <w:rPr>
                <w:sz w:val="22"/>
                <w:szCs w:val="22"/>
              </w:rPr>
            </w:pPr>
            <w:r>
              <w:rPr>
                <w:sz w:val="22"/>
                <w:szCs w:val="22"/>
              </w:rPr>
              <w:t>102,0</w:t>
            </w:r>
          </w:p>
        </w:tc>
        <w:tc>
          <w:tcPr>
            <w:tcW w:w="1817" w:type="dxa"/>
            <w:vAlign w:val="center"/>
          </w:tcPr>
          <w:p w14:paraId="6729C02B">
            <w:pPr>
              <w:jc w:val="center"/>
              <w:rPr>
                <w:sz w:val="22"/>
                <w:szCs w:val="22"/>
              </w:rPr>
            </w:pPr>
            <w:r>
              <w:rPr>
                <w:sz w:val="22"/>
                <w:szCs w:val="22"/>
              </w:rPr>
              <w:t>693.600.000</w:t>
            </w:r>
          </w:p>
        </w:tc>
        <w:tc>
          <w:tcPr>
            <w:tcW w:w="1798" w:type="dxa"/>
            <w:vAlign w:val="center"/>
          </w:tcPr>
          <w:p w14:paraId="47BE17D3">
            <w:pPr>
              <w:jc w:val="center"/>
              <w:rPr>
                <w:sz w:val="22"/>
                <w:szCs w:val="22"/>
              </w:rPr>
            </w:pPr>
            <w:r>
              <w:rPr>
                <w:sz w:val="22"/>
                <w:szCs w:val="22"/>
              </w:rPr>
              <w:t>1.168.980.000</w:t>
            </w:r>
          </w:p>
        </w:tc>
        <w:tc>
          <w:tcPr>
            <w:tcW w:w="1382" w:type="dxa"/>
            <w:noWrap/>
            <w:vAlign w:val="center"/>
          </w:tcPr>
          <w:p w14:paraId="62A4CA33">
            <w:pPr>
              <w:jc w:val="center"/>
              <w:rPr>
                <w:sz w:val="22"/>
                <w:szCs w:val="22"/>
              </w:rPr>
            </w:pPr>
            <w:r>
              <w:rPr>
                <w:sz w:val="22"/>
                <w:szCs w:val="22"/>
              </w:rPr>
              <w:t>1,69%</w:t>
            </w:r>
          </w:p>
        </w:tc>
      </w:tr>
      <w:tr w14:paraId="6EEF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049565C">
            <w:pPr>
              <w:jc w:val="center"/>
              <w:rPr>
                <w:sz w:val="22"/>
                <w:szCs w:val="22"/>
              </w:rPr>
            </w:pPr>
          </w:p>
        </w:tc>
        <w:tc>
          <w:tcPr>
            <w:tcW w:w="1491" w:type="dxa"/>
            <w:noWrap/>
            <w:vAlign w:val="center"/>
          </w:tcPr>
          <w:p w14:paraId="2882F3EB">
            <w:pPr>
              <w:jc w:val="center"/>
              <w:rPr>
                <w:sz w:val="22"/>
                <w:szCs w:val="22"/>
              </w:rPr>
            </w:pPr>
          </w:p>
        </w:tc>
        <w:tc>
          <w:tcPr>
            <w:tcW w:w="742" w:type="dxa"/>
            <w:vMerge w:val="continue"/>
            <w:vAlign w:val="center"/>
          </w:tcPr>
          <w:p w14:paraId="42D458CF">
            <w:pPr>
              <w:jc w:val="center"/>
              <w:rPr>
                <w:sz w:val="22"/>
                <w:szCs w:val="22"/>
              </w:rPr>
            </w:pPr>
          </w:p>
        </w:tc>
        <w:tc>
          <w:tcPr>
            <w:tcW w:w="676" w:type="dxa"/>
            <w:noWrap/>
            <w:vAlign w:val="center"/>
          </w:tcPr>
          <w:p w14:paraId="675FE041">
            <w:pPr>
              <w:jc w:val="center"/>
              <w:rPr>
                <w:sz w:val="22"/>
                <w:szCs w:val="22"/>
              </w:rPr>
            </w:pPr>
            <w:r>
              <w:rPr>
                <w:sz w:val="22"/>
                <w:szCs w:val="22"/>
              </w:rPr>
              <w:t>36</w:t>
            </w:r>
          </w:p>
        </w:tc>
        <w:tc>
          <w:tcPr>
            <w:tcW w:w="1098" w:type="dxa"/>
            <w:noWrap/>
            <w:vAlign w:val="center"/>
          </w:tcPr>
          <w:p w14:paraId="642AFC65">
            <w:pPr>
              <w:jc w:val="center"/>
              <w:rPr>
                <w:sz w:val="22"/>
                <w:szCs w:val="22"/>
              </w:rPr>
            </w:pPr>
            <w:r>
              <w:rPr>
                <w:sz w:val="22"/>
                <w:szCs w:val="22"/>
              </w:rPr>
              <w:t>102,0</w:t>
            </w:r>
          </w:p>
        </w:tc>
        <w:tc>
          <w:tcPr>
            <w:tcW w:w="1817" w:type="dxa"/>
            <w:vAlign w:val="center"/>
          </w:tcPr>
          <w:p w14:paraId="6021A646">
            <w:pPr>
              <w:jc w:val="center"/>
              <w:rPr>
                <w:sz w:val="22"/>
                <w:szCs w:val="22"/>
              </w:rPr>
            </w:pPr>
            <w:r>
              <w:rPr>
                <w:sz w:val="22"/>
                <w:szCs w:val="22"/>
              </w:rPr>
              <w:t>693.600.000</w:t>
            </w:r>
          </w:p>
        </w:tc>
        <w:tc>
          <w:tcPr>
            <w:tcW w:w="1798" w:type="dxa"/>
            <w:vAlign w:val="center"/>
          </w:tcPr>
          <w:p w14:paraId="05F4C7BD">
            <w:pPr>
              <w:jc w:val="center"/>
              <w:rPr>
                <w:sz w:val="22"/>
                <w:szCs w:val="22"/>
              </w:rPr>
            </w:pPr>
            <w:r>
              <w:rPr>
                <w:sz w:val="22"/>
                <w:szCs w:val="22"/>
              </w:rPr>
              <w:t>1.188.980.000</w:t>
            </w:r>
          </w:p>
        </w:tc>
        <w:tc>
          <w:tcPr>
            <w:tcW w:w="1382" w:type="dxa"/>
            <w:noWrap/>
            <w:vAlign w:val="center"/>
          </w:tcPr>
          <w:p w14:paraId="1A9F5E40">
            <w:pPr>
              <w:jc w:val="center"/>
              <w:rPr>
                <w:sz w:val="22"/>
                <w:szCs w:val="22"/>
              </w:rPr>
            </w:pPr>
            <w:r>
              <w:rPr>
                <w:sz w:val="22"/>
                <w:szCs w:val="22"/>
              </w:rPr>
              <w:t>1,71%</w:t>
            </w:r>
          </w:p>
        </w:tc>
      </w:tr>
      <w:tr w14:paraId="0838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6117B38">
            <w:pPr>
              <w:jc w:val="center"/>
              <w:rPr>
                <w:sz w:val="22"/>
                <w:szCs w:val="22"/>
              </w:rPr>
            </w:pPr>
          </w:p>
        </w:tc>
        <w:tc>
          <w:tcPr>
            <w:tcW w:w="1491" w:type="dxa"/>
            <w:noWrap/>
            <w:vAlign w:val="center"/>
          </w:tcPr>
          <w:p w14:paraId="17B0FCC5">
            <w:pPr>
              <w:jc w:val="center"/>
              <w:rPr>
                <w:sz w:val="22"/>
                <w:szCs w:val="22"/>
              </w:rPr>
            </w:pPr>
          </w:p>
        </w:tc>
        <w:tc>
          <w:tcPr>
            <w:tcW w:w="742" w:type="dxa"/>
            <w:vMerge w:val="continue"/>
            <w:vAlign w:val="center"/>
          </w:tcPr>
          <w:p w14:paraId="7BDDDAEB">
            <w:pPr>
              <w:jc w:val="center"/>
              <w:rPr>
                <w:sz w:val="22"/>
                <w:szCs w:val="22"/>
              </w:rPr>
            </w:pPr>
          </w:p>
        </w:tc>
        <w:tc>
          <w:tcPr>
            <w:tcW w:w="676" w:type="dxa"/>
            <w:noWrap/>
            <w:vAlign w:val="center"/>
          </w:tcPr>
          <w:p w14:paraId="092462E9">
            <w:pPr>
              <w:jc w:val="center"/>
              <w:rPr>
                <w:sz w:val="22"/>
                <w:szCs w:val="22"/>
              </w:rPr>
            </w:pPr>
            <w:r>
              <w:rPr>
                <w:sz w:val="22"/>
                <w:szCs w:val="22"/>
              </w:rPr>
              <w:t>39</w:t>
            </w:r>
          </w:p>
        </w:tc>
        <w:tc>
          <w:tcPr>
            <w:tcW w:w="1098" w:type="dxa"/>
            <w:noWrap/>
            <w:vAlign w:val="center"/>
          </w:tcPr>
          <w:p w14:paraId="53F329BC">
            <w:pPr>
              <w:jc w:val="center"/>
              <w:rPr>
                <w:sz w:val="22"/>
                <w:szCs w:val="22"/>
              </w:rPr>
            </w:pPr>
            <w:r>
              <w:rPr>
                <w:sz w:val="22"/>
                <w:szCs w:val="22"/>
              </w:rPr>
              <w:t>102,0</w:t>
            </w:r>
          </w:p>
        </w:tc>
        <w:tc>
          <w:tcPr>
            <w:tcW w:w="1817" w:type="dxa"/>
            <w:vAlign w:val="center"/>
          </w:tcPr>
          <w:p w14:paraId="3294E7C4">
            <w:pPr>
              <w:jc w:val="center"/>
              <w:rPr>
                <w:sz w:val="22"/>
                <w:szCs w:val="22"/>
              </w:rPr>
            </w:pPr>
            <w:r>
              <w:rPr>
                <w:sz w:val="22"/>
                <w:szCs w:val="22"/>
              </w:rPr>
              <w:t>693.600.000</w:t>
            </w:r>
          </w:p>
        </w:tc>
        <w:tc>
          <w:tcPr>
            <w:tcW w:w="1798" w:type="dxa"/>
            <w:vAlign w:val="center"/>
          </w:tcPr>
          <w:p w14:paraId="158C1536">
            <w:pPr>
              <w:jc w:val="center"/>
              <w:rPr>
                <w:sz w:val="22"/>
                <w:szCs w:val="22"/>
              </w:rPr>
            </w:pPr>
            <w:r>
              <w:rPr>
                <w:sz w:val="22"/>
                <w:szCs w:val="22"/>
              </w:rPr>
              <w:t>1.136.000.000</w:t>
            </w:r>
          </w:p>
        </w:tc>
        <w:tc>
          <w:tcPr>
            <w:tcW w:w="1382" w:type="dxa"/>
            <w:noWrap/>
            <w:vAlign w:val="center"/>
          </w:tcPr>
          <w:p w14:paraId="3A166546">
            <w:pPr>
              <w:jc w:val="center"/>
              <w:rPr>
                <w:sz w:val="22"/>
                <w:szCs w:val="22"/>
              </w:rPr>
            </w:pPr>
            <w:r>
              <w:rPr>
                <w:sz w:val="22"/>
                <w:szCs w:val="22"/>
              </w:rPr>
              <w:t>1,64%</w:t>
            </w:r>
          </w:p>
        </w:tc>
      </w:tr>
      <w:tr w14:paraId="6608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A1D7FAA">
            <w:pPr>
              <w:jc w:val="center"/>
              <w:rPr>
                <w:sz w:val="22"/>
                <w:szCs w:val="22"/>
              </w:rPr>
            </w:pPr>
          </w:p>
        </w:tc>
        <w:tc>
          <w:tcPr>
            <w:tcW w:w="1491" w:type="dxa"/>
            <w:noWrap/>
            <w:vAlign w:val="center"/>
          </w:tcPr>
          <w:p w14:paraId="08B7959F">
            <w:pPr>
              <w:jc w:val="center"/>
              <w:rPr>
                <w:sz w:val="22"/>
                <w:szCs w:val="22"/>
              </w:rPr>
            </w:pPr>
          </w:p>
        </w:tc>
        <w:tc>
          <w:tcPr>
            <w:tcW w:w="742" w:type="dxa"/>
            <w:vMerge w:val="continue"/>
            <w:vAlign w:val="center"/>
          </w:tcPr>
          <w:p w14:paraId="05F3A7B8">
            <w:pPr>
              <w:jc w:val="center"/>
              <w:rPr>
                <w:sz w:val="22"/>
                <w:szCs w:val="22"/>
              </w:rPr>
            </w:pPr>
          </w:p>
        </w:tc>
        <w:tc>
          <w:tcPr>
            <w:tcW w:w="676" w:type="dxa"/>
            <w:noWrap/>
            <w:vAlign w:val="center"/>
          </w:tcPr>
          <w:p w14:paraId="6F75DEBC">
            <w:pPr>
              <w:jc w:val="center"/>
              <w:rPr>
                <w:sz w:val="22"/>
                <w:szCs w:val="22"/>
              </w:rPr>
            </w:pPr>
            <w:r>
              <w:rPr>
                <w:sz w:val="22"/>
                <w:szCs w:val="22"/>
              </w:rPr>
              <w:t>40</w:t>
            </w:r>
          </w:p>
        </w:tc>
        <w:tc>
          <w:tcPr>
            <w:tcW w:w="1098" w:type="dxa"/>
            <w:noWrap/>
            <w:vAlign w:val="center"/>
          </w:tcPr>
          <w:p w14:paraId="17EEC889">
            <w:pPr>
              <w:jc w:val="center"/>
              <w:rPr>
                <w:sz w:val="22"/>
                <w:szCs w:val="22"/>
              </w:rPr>
            </w:pPr>
            <w:r>
              <w:rPr>
                <w:sz w:val="22"/>
                <w:szCs w:val="22"/>
              </w:rPr>
              <w:t>102,0</w:t>
            </w:r>
          </w:p>
        </w:tc>
        <w:tc>
          <w:tcPr>
            <w:tcW w:w="1817" w:type="dxa"/>
            <w:vAlign w:val="center"/>
          </w:tcPr>
          <w:p w14:paraId="3E8FFB86">
            <w:pPr>
              <w:jc w:val="center"/>
              <w:rPr>
                <w:sz w:val="22"/>
                <w:szCs w:val="22"/>
              </w:rPr>
            </w:pPr>
            <w:r>
              <w:rPr>
                <w:sz w:val="22"/>
                <w:szCs w:val="22"/>
              </w:rPr>
              <w:t>693.600.000</w:t>
            </w:r>
          </w:p>
        </w:tc>
        <w:tc>
          <w:tcPr>
            <w:tcW w:w="1798" w:type="dxa"/>
            <w:vAlign w:val="center"/>
          </w:tcPr>
          <w:p w14:paraId="34B10FA8">
            <w:pPr>
              <w:jc w:val="center"/>
              <w:rPr>
                <w:sz w:val="22"/>
                <w:szCs w:val="22"/>
              </w:rPr>
            </w:pPr>
            <w:r>
              <w:rPr>
                <w:sz w:val="22"/>
                <w:szCs w:val="22"/>
              </w:rPr>
              <w:t>1.152.000.000</w:t>
            </w:r>
          </w:p>
        </w:tc>
        <w:tc>
          <w:tcPr>
            <w:tcW w:w="1382" w:type="dxa"/>
            <w:noWrap/>
            <w:vAlign w:val="center"/>
          </w:tcPr>
          <w:p w14:paraId="07B280EB">
            <w:pPr>
              <w:jc w:val="center"/>
              <w:rPr>
                <w:sz w:val="22"/>
                <w:szCs w:val="22"/>
              </w:rPr>
            </w:pPr>
            <w:r>
              <w:rPr>
                <w:sz w:val="22"/>
                <w:szCs w:val="22"/>
              </w:rPr>
              <w:t>1,66%</w:t>
            </w:r>
          </w:p>
        </w:tc>
      </w:tr>
      <w:tr w14:paraId="1264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B2BC1AF">
            <w:pPr>
              <w:jc w:val="center"/>
              <w:rPr>
                <w:sz w:val="22"/>
                <w:szCs w:val="22"/>
              </w:rPr>
            </w:pPr>
          </w:p>
        </w:tc>
        <w:tc>
          <w:tcPr>
            <w:tcW w:w="1491" w:type="dxa"/>
            <w:noWrap/>
            <w:vAlign w:val="center"/>
          </w:tcPr>
          <w:p w14:paraId="08B24805">
            <w:pPr>
              <w:jc w:val="center"/>
              <w:rPr>
                <w:sz w:val="22"/>
                <w:szCs w:val="22"/>
              </w:rPr>
            </w:pPr>
          </w:p>
        </w:tc>
        <w:tc>
          <w:tcPr>
            <w:tcW w:w="742" w:type="dxa"/>
            <w:vMerge w:val="continue"/>
            <w:vAlign w:val="center"/>
          </w:tcPr>
          <w:p w14:paraId="3A819B98">
            <w:pPr>
              <w:jc w:val="center"/>
              <w:rPr>
                <w:sz w:val="22"/>
                <w:szCs w:val="22"/>
              </w:rPr>
            </w:pPr>
          </w:p>
        </w:tc>
        <w:tc>
          <w:tcPr>
            <w:tcW w:w="676" w:type="dxa"/>
            <w:noWrap/>
            <w:vAlign w:val="center"/>
          </w:tcPr>
          <w:p w14:paraId="193ADD67">
            <w:pPr>
              <w:jc w:val="center"/>
              <w:rPr>
                <w:sz w:val="22"/>
                <w:szCs w:val="22"/>
              </w:rPr>
            </w:pPr>
            <w:r>
              <w:rPr>
                <w:sz w:val="22"/>
                <w:szCs w:val="22"/>
              </w:rPr>
              <w:t>41</w:t>
            </w:r>
          </w:p>
        </w:tc>
        <w:tc>
          <w:tcPr>
            <w:tcW w:w="1098" w:type="dxa"/>
            <w:noWrap/>
            <w:vAlign w:val="center"/>
          </w:tcPr>
          <w:p w14:paraId="024C8154">
            <w:pPr>
              <w:jc w:val="center"/>
              <w:rPr>
                <w:sz w:val="22"/>
                <w:szCs w:val="22"/>
              </w:rPr>
            </w:pPr>
            <w:r>
              <w:rPr>
                <w:sz w:val="22"/>
                <w:szCs w:val="22"/>
              </w:rPr>
              <w:t>102,0</w:t>
            </w:r>
          </w:p>
        </w:tc>
        <w:tc>
          <w:tcPr>
            <w:tcW w:w="1817" w:type="dxa"/>
            <w:vAlign w:val="center"/>
          </w:tcPr>
          <w:p w14:paraId="4C0A1CE0">
            <w:pPr>
              <w:jc w:val="center"/>
              <w:rPr>
                <w:sz w:val="22"/>
                <w:szCs w:val="22"/>
              </w:rPr>
            </w:pPr>
            <w:r>
              <w:rPr>
                <w:sz w:val="22"/>
                <w:szCs w:val="22"/>
              </w:rPr>
              <w:t>693.600.000</w:t>
            </w:r>
          </w:p>
        </w:tc>
        <w:tc>
          <w:tcPr>
            <w:tcW w:w="1798" w:type="dxa"/>
            <w:vAlign w:val="center"/>
          </w:tcPr>
          <w:p w14:paraId="3B02A168">
            <w:pPr>
              <w:jc w:val="center"/>
              <w:rPr>
                <w:sz w:val="22"/>
                <w:szCs w:val="22"/>
              </w:rPr>
            </w:pPr>
            <w:r>
              <w:rPr>
                <w:sz w:val="22"/>
                <w:szCs w:val="22"/>
              </w:rPr>
              <w:t>1.162.000.000</w:t>
            </w:r>
          </w:p>
        </w:tc>
        <w:tc>
          <w:tcPr>
            <w:tcW w:w="1382" w:type="dxa"/>
            <w:noWrap/>
            <w:vAlign w:val="center"/>
          </w:tcPr>
          <w:p w14:paraId="6EF6F010">
            <w:pPr>
              <w:jc w:val="center"/>
              <w:rPr>
                <w:sz w:val="22"/>
                <w:szCs w:val="22"/>
              </w:rPr>
            </w:pPr>
            <w:r>
              <w:rPr>
                <w:sz w:val="22"/>
                <w:szCs w:val="22"/>
              </w:rPr>
              <w:t>1,68%</w:t>
            </w:r>
          </w:p>
        </w:tc>
      </w:tr>
      <w:tr w14:paraId="3D8D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8ADBFAF">
            <w:pPr>
              <w:jc w:val="center"/>
              <w:rPr>
                <w:sz w:val="22"/>
                <w:szCs w:val="22"/>
              </w:rPr>
            </w:pPr>
          </w:p>
        </w:tc>
        <w:tc>
          <w:tcPr>
            <w:tcW w:w="1491" w:type="dxa"/>
            <w:noWrap/>
            <w:vAlign w:val="center"/>
          </w:tcPr>
          <w:p w14:paraId="7C9F7C08">
            <w:pPr>
              <w:jc w:val="center"/>
              <w:rPr>
                <w:sz w:val="22"/>
                <w:szCs w:val="22"/>
              </w:rPr>
            </w:pPr>
          </w:p>
        </w:tc>
        <w:tc>
          <w:tcPr>
            <w:tcW w:w="742" w:type="dxa"/>
            <w:vMerge w:val="continue"/>
            <w:vAlign w:val="center"/>
          </w:tcPr>
          <w:p w14:paraId="0D66287C">
            <w:pPr>
              <w:jc w:val="center"/>
              <w:rPr>
                <w:sz w:val="22"/>
                <w:szCs w:val="22"/>
              </w:rPr>
            </w:pPr>
          </w:p>
        </w:tc>
        <w:tc>
          <w:tcPr>
            <w:tcW w:w="676" w:type="dxa"/>
            <w:noWrap/>
            <w:vAlign w:val="center"/>
          </w:tcPr>
          <w:p w14:paraId="232BCDFA">
            <w:pPr>
              <w:jc w:val="center"/>
              <w:rPr>
                <w:sz w:val="22"/>
                <w:szCs w:val="22"/>
              </w:rPr>
            </w:pPr>
            <w:r>
              <w:rPr>
                <w:sz w:val="22"/>
                <w:szCs w:val="22"/>
              </w:rPr>
              <w:t>42</w:t>
            </w:r>
          </w:p>
        </w:tc>
        <w:tc>
          <w:tcPr>
            <w:tcW w:w="1098" w:type="dxa"/>
            <w:noWrap/>
            <w:vAlign w:val="center"/>
          </w:tcPr>
          <w:p w14:paraId="6289BABF">
            <w:pPr>
              <w:jc w:val="center"/>
              <w:rPr>
                <w:sz w:val="22"/>
                <w:szCs w:val="22"/>
              </w:rPr>
            </w:pPr>
            <w:r>
              <w:rPr>
                <w:sz w:val="22"/>
                <w:szCs w:val="22"/>
              </w:rPr>
              <w:t>102,0</w:t>
            </w:r>
          </w:p>
        </w:tc>
        <w:tc>
          <w:tcPr>
            <w:tcW w:w="1817" w:type="dxa"/>
            <w:vAlign w:val="center"/>
          </w:tcPr>
          <w:p w14:paraId="58CE23CD">
            <w:pPr>
              <w:jc w:val="center"/>
              <w:rPr>
                <w:sz w:val="22"/>
                <w:szCs w:val="22"/>
              </w:rPr>
            </w:pPr>
            <w:r>
              <w:rPr>
                <w:sz w:val="22"/>
                <w:szCs w:val="22"/>
              </w:rPr>
              <w:t>693.600.000</w:t>
            </w:r>
          </w:p>
        </w:tc>
        <w:tc>
          <w:tcPr>
            <w:tcW w:w="1798" w:type="dxa"/>
            <w:vAlign w:val="center"/>
          </w:tcPr>
          <w:p w14:paraId="77405752">
            <w:pPr>
              <w:jc w:val="center"/>
              <w:rPr>
                <w:sz w:val="22"/>
                <w:szCs w:val="22"/>
              </w:rPr>
            </w:pPr>
            <w:r>
              <w:rPr>
                <w:sz w:val="22"/>
                <w:szCs w:val="22"/>
              </w:rPr>
              <w:t>1.165.539.000</w:t>
            </w:r>
          </w:p>
        </w:tc>
        <w:tc>
          <w:tcPr>
            <w:tcW w:w="1382" w:type="dxa"/>
            <w:noWrap/>
            <w:vAlign w:val="center"/>
          </w:tcPr>
          <w:p w14:paraId="7A62DB8C">
            <w:pPr>
              <w:jc w:val="center"/>
              <w:rPr>
                <w:sz w:val="22"/>
                <w:szCs w:val="22"/>
              </w:rPr>
            </w:pPr>
            <w:r>
              <w:rPr>
                <w:sz w:val="22"/>
                <w:szCs w:val="22"/>
              </w:rPr>
              <w:t>1,68%</w:t>
            </w:r>
          </w:p>
        </w:tc>
      </w:tr>
      <w:tr w14:paraId="375A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966A006">
            <w:pPr>
              <w:jc w:val="center"/>
              <w:rPr>
                <w:sz w:val="22"/>
                <w:szCs w:val="22"/>
              </w:rPr>
            </w:pPr>
          </w:p>
        </w:tc>
        <w:tc>
          <w:tcPr>
            <w:tcW w:w="1491" w:type="dxa"/>
            <w:noWrap/>
            <w:vAlign w:val="center"/>
          </w:tcPr>
          <w:p w14:paraId="7115F4C5">
            <w:pPr>
              <w:jc w:val="center"/>
              <w:rPr>
                <w:sz w:val="22"/>
                <w:szCs w:val="22"/>
              </w:rPr>
            </w:pPr>
          </w:p>
        </w:tc>
        <w:tc>
          <w:tcPr>
            <w:tcW w:w="742" w:type="dxa"/>
            <w:vMerge w:val="continue"/>
            <w:vAlign w:val="center"/>
          </w:tcPr>
          <w:p w14:paraId="725C2DAA">
            <w:pPr>
              <w:jc w:val="center"/>
              <w:rPr>
                <w:sz w:val="22"/>
                <w:szCs w:val="22"/>
              </w:rPr>
            </w:pPr>
          </w:p>
        </w:tc>
        <w:tc>
          <w:tcPr>
            <w:tcW w:w="676" w:type="dxa"/>
            <w:noWrap/>
            <w:vAlign w:val="center"/>
          </w:tcPr>
          <w:p w14:paraId="5550B596">
            <w:pPr>
              <w:jc w:val="center"/>
              <w:rPr>
                <w:sz w:val="22"/>
                <w:szCs w:val="22"/>
              </w:rPr>
            </w:pPr>
            <w:r>
              <w:rPr>
                <w:sz w:val="22"/>
                <w:szCs w:val="22"/>
              </w:rPr>
              <w:t>43</w:t>
            </w:r>
          </w:p>
        </w:tc>
        <w:tc>
          <w:tcPr>
            <w:tcW w:w="1098" w:type="dxa"/>
            <w:noWrap/>
            <w:vAlign w:val="center"/>
          </w:tcPr>
          <w:p w14:paraId="14532BD0">
            <w:pPr>
              <w:jc w:val="center"/>
              <w:rPr>
                <w:sz w:val="22"/>
                <w:szCs w:val="22"/>
              </w:rPr>
            </w:pPr>
            <w:r>
              <w:rPr>
                <w:sz w:val="22"/>
                <w:szCs w:val="22"/>
              </w:rPr>
              <w:t>111,0</w:t>
            </w:r>
          </w:p>
        </w:tc>
        <w:tc>
          <w:tcPr>
            <w:tcW w:w="1817" w:type="dxa"/>
            <w:vAlign w:val="center"/>
          </w:tcPr>
          <w:p w14:paraId="55C488C1">
            <w:pPr>
              <w:jc w:val="center"/>
              <w:rPr>
                <w:sz w:val="22"/>
                <w:szCs w:val="22"/>
              </w:rPr>
            </w:pPr>
            <w:r>
              <w:rPr>
                <w:sz w:val="22"/>
                <w:szCs w:val="22"/>
              </w:rPr>
              <w:t>905.760.000</w:t>
            </w:r>
          </w:p>
        </w:tc>
        <w:tc>
          <w:tcPr>
            <w:tcW w:w="1798" w:type="dxa"/>
            <w:vAlign w:val="center"/>
          </w:tcPr>
          <w:p w14:paraId="6FBF24CF">
            <w:pPr>
              <w:jc w:val="center"/>
              <w:rPr>
                <w:sz w:val="22"/>
                <w:szCs w:val="22"/>
              </w:rPr>
            </w:pPr>
            <w:r>
              <w:rPr>
                <w:sz w:val="22"/>
                <w:szCs w:val="22"/>
              </w:rPr>
              <w:t>1.461.000.000</w:t>
            </w:r>
          </w:p>
        </w:tc>
        <w:tc>
          <w:tcPr>
            <w:tcW w:w="1382" w:type="dxa"/>
            <w:noWrap/>
            <w:vAlign w:val="center"/>
          </w:tcPr>
          <w:p w14:paraId="12F40B18">
            <w:pPr>
              <w:jc w:val="center"/>
              <w:rPr>
                <w:sz w:val="22"/>
                <w:szCs w:val="22"/>
              </w:rPr>
            </w:pPr>
            <w:r>
              <w:rPr>
                <w:sz w:val="22"/>
                <w:szCs w:val="22"/>
              </w:rPr>
              <w:t>1,61%</w:t>
            </w:r>
          </w:p>
        </w:tc>
      </w:tr>
      <w:tr w14:paraId="4DB7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E8D88A1">
            <w:pPr>
              <w:jc w:val="center"/>
              <w:rPr>
                <w:sz w:val="22"/>
                <w:szCs w:val="22"/>
              </w:rPr>
            </w:pPr>
          </w:p>
        </w:tc>
        <w:tc>
          <w:tcPr>
            <w:tcW w:w="1491" w:type="dxa"/>
            <w:noWrap/>
            <w:vAlign w:val="center"/>
          </w:tcPr>
          <w:p w14:paraId="36BF5BE2">
            <w:pPr>
              <w:jc w:val="center"/>
              <w:rPr>
                <w:sz w:val="22"/>
                <w:szCs w:val="22"/>
              </w:rPr>
            </w:pPr>
          </w:p>
        </w:tc>
        <w:tc>
          <w:tcPr>
            <w:tcW w:w="742" w:type="dxa"/>
            <w:vMerge w:val="restart"/>
            <w:vAlign w:val="center"/>
          </w:tcPr>
          <w:p w14:paraId="6634CD4F">
            <w:pPr>
              <w:jc w:val="center"/>
              <w:rPr>
                <w:sz w:val="22"/>
                <w:szCs w:val="22"/>
              </w:rPr>
            </w:pPr>
            <w:r>
              <w:rPr>
                <w:sz w:val="22"/>
                <w:szCs w:val="22"/>
              </w:rPr>
              <w:t>LK10</w:t>
            </w:r>
          </w:p>
        </w:tc>
        <w:tc>
          <w:tcPr>
            <w:tcW w:w="676" w:type="dxa"/>
            <w:noWrap/>
            <w:vAlign w:val="center"/>
          </w:tcPr>
          <w:p w14:paraId="12B5323C">
            <w:pPr>
              <w:jc w:val="center"/>
              <w:rPr>
                <w:sz w:val="22"/>
                <w:szCs w:val="22"/>
              </w:rPr>
            </w:pPr>
            <w:r>
              <w:rPr>
                <w:sz w:val="22"/>
                <w:szCs w:val="22"/>
              </w:rPr>
              <w:t>3</w:t>
            </w:r>
          </w:p>
        </w:tc>
        <w:tc>
          <w:tcPr>
            <w:tcW w:w="1098" w:type="dxa"/>
            <w:noWrap/>
            <w:vAlign w:val="center"/>
          </w:tcPr>
          <w:p w14:paraId="4C54D5CD">
            <w:pPr>
              <w:jc w:val="center"/>
              <w:rPr>
                <w:sz w:val="22"/>
                <w:szCs w:val="22"/>
              </w:rPr>
            </w:pPr>
            <w:r>
              <w:rPr>
                <w:sz w:val="22"/>
                <w:szCs w:val="22"/>
              </w:rPr>
              <w:t>90,0</w:t>
            </w:r>
          </w:p>
        </w:tc>
        <w:tc>
          <w:tcPr>
            <w:tcW w:w="1817" w:type="dxa"/>
            <w:vAlign w:val="center"/>
          </w:tcPr>
          <w:p w14:paraId="6D9B078A">
            <w:pPr>
              <w:jc w:val="center"/>
              <w:rPr>
                <w:sz w:val="22"/>
                <w:szCs w:val="22"/>
              </w:rPr>
            </w:pPr>
            <w:r>
              <w:rPr>
                <w:sz w:val="22"/>
                <w:szCs w:val="22"/>
              </w:rPr>
              <w:t>612.000.000</w:t>
            </w:r>
          </w:p>
        </w:tc>
        <w:tc>
          <w:tcPr>
            <w:tcW w:w="1798" w:type="dxa"/>
            <w:vAlign w:val="center"/>
          </w:tcPr>
          <w:p w14:paraId="6F7D32D0">
            <w:pPr>
              <w:jc w:val="center"/>
              <w:rPr>
                <w:sz w:val="22"/>
                <w:szCs w:val="22"/>
              </w:rPr>
            </w:pPr>
            <w:r>
              <w:rPr>
                <w:sz w:val="22"/>
                <w:szCs w:val="22"/>
              </w:rPr>
              <w:t>1.025.000.000</w:t>
            </w:r>
          </w:p>
        </w:tc>
        <w:tc>
          <w:tcPr>
            <w:tcW w:w="1382" w:type="dxa"/>
            <w:noWrap/>
            <w:vAlign w:val="center"/>
          </w:tcPr>
          <w:p w14:paraId="3113552B">
            <w:pPr>
              <w:jc w:val="center"/>
              <w:rPr>
                <w:sz w:val="22"/>
                <w:szCs w:val="22"/>
              </w:rPr>
            </w:pPr>
            <w:r>
              <w:rPr>
                <w:sz w:val="22"/>
                <w:szCs w:val="22"/>
              </w:rPr>
              <w:t>1,67%</w:t>
            </w:r>
          </w:p>
        </w:tc>
      </w:tr>
      <w:tr w14:paraId="4A9B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3602884">
            <w:pPr>
              <w:jc w:val="center"/>
              <w:rPr>
                <w:sz w:val="22"/>
                <w:szCs w:val="22"/>
              </w:rPr>
            </w:pPr>
          </w:p>
        </w:tc>
        <w:tc>
          <w:tcPr>
            <w:tcW w:w="1491" w:type="dxa"/>
            <w:noWrap/>
            <w:vAlign w:val="center"/>
          </w:tcPr>
          <w:p w14:paraId="1AFEF0B3">
            <w:pPr>
              <w:jc w:val="center"/>
              <w:rPr>
                <w:sz w:val="22"/>
                <w:szCs w:val="22"/>
              </w:rPr>
            </w:pPr>
          </w:p>
        </w:tc>
        <w:tc>
          <w:tcPr>
            <w:tcW w:w="742" w:type="dxa"/>
            <w:vMerge w:val="continue"/>
            <w:vAlign w:val="center"/>
          </w:tcPr>
          <w:p w14:paraId="4164C4F7">
            <w:pPr>
              <w:jc w:val="center"/>
              <w:rPr>
                <w:sz w:val="22"/>
                <w:szCs w:val="22"/>
              </w:rPr>
            </w:pPr>
          </w:p>
        </w:tc>
        <w:tc>
          <w:tcPr>
            <w:tcW w:w="676" w:type="dxa"/>
            <w:noWrap/>
            <w:vAlign w:val="center"/>
          </w:tcPr>
          <w:p w14:paraId="51E50B93">
            <w:pPr>
              <w:jc w:val="center"/>
              <w:rPr>
                <w:sz w:val="22"/>
                <w:szCs w:val="22"/>
              </w:rPr>
            </w:pPr>
            <w:r>
              <w:rPr>
                <w:sz w:val="22"/>
                <w:szCs w:val="22"/>
              </w:rPr>
              <w:t>4</w:t>
            </w:r>
          </w:p>
        </w:tc>
        <w:tc>
          <w:tcPr>
            <w:tcW w:w="1098" w:type="dxa"/>
            <w:noWrap/>
            <w:vAlign w:val="center"/>
          </w:tcPr>
          <w:p w14:paraId="5AF9EA0E">
            <w:pPr>
              <w:jc w:val="center"/>
              <w:rPr>
                <w:sz w:val="22"/>
                <w:szCs w:val="22"/>
              </w:rPr>
            </w:pPr>
            <w:r>
              <w:rPr>
                <w:sz w:val="22"/>
                <w:szCs w:val="22"/>
              </w:rPr>
              <w:t>90,0</w:t>
            </w:r>
          </w:p>
        </w:tc>
        <w:tc>
          <w:tcPr>
            <w:tcW w:w="1817" w:type="dxa"/>
            <w:vAlign w:val="center"/>
          </w:tcPr>
          <w:p w14:paraId="40950B41">
            <w:pPr>
              <w:jc w:val="center"/>
              <w:rPr>
                <w:sz w:val="22"/>
                <w:szCs w:val="22"/>
              </w:rPr>
            </w:pPr>
            <w:r>
              <w:rPr>
                <w:sz w:val="22"/>
                <w:szCs w:val="22"/>
              </w:rPr>
              <w:t>612.000.000</w:t>
            </w:r>
          </w:p>
        </w:tc>
        <w:tc>
          <w:tcPr>
            <w:tcW w:w="1798" w:type="dxa"/>
            <w:vAlign w:val="center"/>
          </w:tcPr>
          <w:p w14:paraId="30DD933B">
            <w:pPr>
              <w:jc w:val="center"/>
              <w:rPr>
                <w:sz w:val="22"/>
                <w:szCs w:val="22"/>
              </w:rPr>
            </w:pPr>
            <w:r>
              <w:rPr>
                <w:sz w:val="22"/>
                <w:szCs w:val="22"/>
              </w:rPr>
              <w:t>1.030.000.000</w:t>
            </w:r>
          </w:p>
        </w:tc>
        <w:tc>
          <w:tcPr>
            <w:tcW w:w="1382" w:type="dxa"/>
            <w:noWrap/>
            <w:vAlign w:val="center"/>
          </w:tcPr>
          <w:p w14:paraId="3F661760">
            <w:pPr>
              <w:jc w:val="center"/>
              <w:rPr>
                <w:sz w:val="22"/>
                <w:szCs w:val="22"/>
              </w:rPr>
            </w:pPr>
            <w:r>
              <w:rPr>
                <w:sz w:val="22"/>
                <w:szCs w:val="22"/>
              </w:rPr>
              <w:t>1,68%</w:t>
            </w:r>
          </w:p>
        </w:tc>
      </w:tr>
      <w:tr w14:paraId="1A62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BD65325">
            <w:pPr>
              <w:jc w:val="center"/>
              <w:rPr>
                <w:sz w:val="22"/>
                <w:szCs w:val="22"/>
              </w:rPr>
            </w:pPr>
          </w:p>
        </w:tc>
        <w:tc>
          <w:tcPr>
            <w:tcW w:w="1491" w:type="dxa"/>
            <w:noWrap/>
            <w:vAlign w:val="center"/>
          </w:tcPr>
          <w:p w14:paraId="7840A288">
            <w:pPr>
              <w:jc w:val="center"/>
              <w:rPr>
                <w:sz w:val="22"/>
                <w:szCs w:val="22"/>
              </w:rPr>
            </w:pPr>
          </w:p>
        </w:tc>
        <w:tc>
          <w:tcPr>
            <w:tcW w:w="742" w:type="dxa"/>
            <w:vMerge w:val="continue"/>
            <w:vAlign w:val="center"/>
          </w:tcPr>
          <w:p w14:paraId="62A8316B">
            <w:pPr>
              <w:jc w:val="center"/>
              <w:rPr>
                <w:sz w:val="22"/>
                <w:szCs w:val="22"/>
              </w:rPr>
            </w:pPr>
          </w:p>
        </w:tc>
        <w:tc>
          <w:tcPr>
            <w:tcW w:w="676" w:type="dxa"/>
            <w:noWrap/>
            <w:vAlign w:val="center"/>
          </w:tcPr>
          <w:p w14:paraId="697CB301">
            <w:pPr>
              <w:jc w:val="center"/>
              <w:rPr>
                <w:sz w:val="22"/>
                <w:szCs w:val="22"/>
              </w:rPr>
            </w:pPr>
            <w:r>
              <w:rPr>
                <w:sz w:val="22"/>
                <w:szCs w:val="22"/>
              </w:rPr>
              <w:t>5</w:t>
            </w:r>
          </w:p>
        </w:tc>
        <w:tc>
          <w:tcPr>
            <w:tcW w:w="1098" w:type="dxa"/>
            <w:noWrap/>
            <w:vAlign w:val="center"/>
          </w:tcPr>
          <w:p w14:paraId="6FEC2519">
            <w:pPr>
              <w:jc w:val="center"/>
              <w:rPr>
                <w:sz w:val="22"/>
                <w:szCs w:val="22"/>
              </w:rPr>
            </w:pPr>
            <w:r>
              <w:rPr>
                <w:sz w:val="22"/>
                <w:szCs w:val="22"/>
              </w:rPr>
              <w:t>90,0</w:t>
            </w:r>
          </w:p>
        </w:tc>
        <w:tc>
          <w:tcPr>
            <w:tcW w:w="1817" w:type="dxa"/>
            <w:vAlign w:val="center"/>
          </w:tcPr>
          <w:p w14:paraId="515813F6">
            <w:pPr>
              <w:jc w:val="center"/>
              <w:rPr>
                <w:sz w:val="22"/>
                <w:szCs w:val="22"/>
              </w:rPr>
            </w:pPr>
            <w:r>
              <w:rPr>
                <w:sz w:val="22"/>
                <w:szCs w:val="22"/>
              </w:rPr>
              <w:t>612.000.000</w:t>
            </w:r>
          </w:p>
        </w:tc>
        <w:tc>
          <w:tcPr>
            <w:tcW w:w="1798" w:type="dxa"/>
            <w:vAlign w:val="center"/>
          </w:tcPr>
          <w:p w14:paraId="3B02A327">
            <w:pPr>
              <w:jc w:val="center"/>
              <w:rPr>
                <w:sz w:val="22"/>
                <w:szCs w:val="22"/>
              </w:rPr>
            </w:pPr>
            <w:r>
              <w:rPr>
                <w:sz w:val="22"/>
                <w:szCs w:val="22"/>
              </w:rPr>
              <w:t>1.035.000.000</w:t>
            </w:r>
          </w:p>
        </w:tc>
        <w:tc>
          <w:tcPr>
            <w:tcW w:w="1382" w:type="dxa"/>
            <w:noWrap/>
            <w:vAlign w:val="center"/>
          </w:tcPr>
          <w:p w14:paraId="6F39E063">
            <w:pPr>
              <w:jc w:val="center"/>
              <w:rPr>
                <w:sz w:val="22"/>
                <w:szCs w:val="22"/>
              </w:rPr>
            </w:pPr>
            <w:r>
              <w:rPr>
                <w:sz w:val="22"/>
                <w:szCs w:val="22"/>
              </w:rPr>
              <w:t>1,69%</w:t>
            </w:r>
          </w:p>
        </w:tc>
      </w:tr>
      <w:tr w14:paraId="1DEF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42F6818">
            <w:pPr>
              <w:jc w:val="center"/>
              <w:rPr>
                <w:sz w:val="22"/>
                <w:szCs w:val="22"/>
              </w:rPr>
            </w:pPr>
          </w:p>
        </w:tc>
        <w:tc>
          <w:tcPr>
            <w:tcW w:w="1491" w:type="dxa"/>
            <w:noWrap/>
            <w:vAlign w:val="center"/>
          </w:tcPr>
          <w:p w14:paraId="69B93131">
            <w:pPr>
              <w:jc w:val="center"/>
              <w:rPr>
                <w:sz w:val="22"/>
                <w:szCs w:val="22"/>
              </w:rPr>
            </w:pPr>
          </w:p>
        </w:tc>
        <w:tc>
          <w:tcPr>
            <w:tcW w:w="742" w:type="dxa"/>
            <w:vMerge w:val="continue"/>
            <w:vAlign w:val="center"/>
          </w:tcPr>
          <w:p w14:paraId="00A101CA">
            <w:pPr>
              <w:jc w:val="center"/>
              <w:rPr>
                <w:sz w:val="22"/>
                <w:szCs w:val="22"/>
              </w:rPr>
            </w:pPr>
          </w:p>
        </w:tc>
        <w:tc>
          <w:tcPr>
            <w:tcW w:w="676" w:type="dxa"/>
            <w:noWrap/>
            <w:vAlign w:val="center"/>
          </w:tcPr>
          <w:p w14:paraId="3BCE65D2">
            <w:pPr>
              <w:jc w:val="center"/>
              <w:rPr>
                <w:sz w:val="22"/>
                <w:szCs w:val="22"/>
              </w:rPr>
            </w:pPr>
            <w:r>
              <w:rPr>
                <w:sz w:val="22"/>
                <w:szCs w:val="22"/>
              </w:rPr>
              <w:t>6</w:t>
            </w:r>
          </w:p>
        </w:tc>
        <w:tc>
          <w:tcPr>
            <w:tcW w:w="1098" w:type="dxa"/>
            <w:noWrap/>
            <w:vAlign w:val="center"/>
          </w:tcPr>
          <w:p w14:paraId="7824EF0C">
            <w:pPr>
              <w:jc w:val="center"/>
              <w:rPr>
                <w:sz w:val="22"/>
                <w:szCs w:val="22"/>
              </w:rPr>
            </w:pPr>
            <w:r>
              <w:rPr>
                <w:sz w:val="22"/>
                <w:szCs w:val="22"/>
              </w:rPr>
              <w:t>90,0</w:t>
            </w:r>
          </w:p>
        </w:tc>
        <w:tc>
          <w:tcPr>
            <w:tcW w:w="1817" w:type="dxa"/>
            <w:vAlign w:val="center"/>
          </w:tcPr>
          <w:p w14:paraId="3BF388C9">
            <w:pPr>
              <w:jc w:val="center"/>
              <w:rPr>
                <w:sz w:val="22"/>
                <w:szCs w:val="22"/>
              </w:rPr>
            </w:pPr>
            <w:r>
              <w:rPr>
                <w:sz w:val="22"/>
                <w:szCs w:val="22"/>
              </w:rPr>
              <w:t>612.000.000</w:t>
            </w:r>
          </w:p>
        </w:tc>
        <w:tc>
          <w:tcPr>
            <w:tcW w:w="1798" w:type="dxa"/>
            <w:vAlign w:val="center"/>
          </w:tcPr>
          <w:p w14:paraId="08D35061">
            <w:pPr>
              <w:jc w:val="center"/>
              <w:rPr>
                <w:sz w:val="22"/>
                <w:szCs w:val="22"/>
              </w:rPr>
            </w:pPr>
            <w:r>
              <w:rPr>
                <w:sz w:val="22"/>
                <w:szCs w:val="22"/>
              </w:rPr>
              <w:t>1.059.000.000</w:t>
            </w:r>
          </w:p>
        </w:tc>
        <w:tc>
          <w:tcPr>
            <w:tcW w:w="1382" w:type="dxa"/>
            <w:noWrap/>
            <w:vAlign w:val="center"/>
          </w:tcPr>
          <w:p w14:paraId="2DBF460C">
            <w:pPr>
              <w:jc w:val="center"/>
              <w:rPr>
                <w:sz w:val="22"/>
                <w:szCs w:val="22"/>
              </w:rPr>
            </w:pPr>
            <w:r>
              <w:rPr>
                <w:sz w:val="22"/>
                <w:szCs w:val="22"/>
              </w:rPr>
              <w:t>1,73%</w:t>
            </w:r>
          </w:p>
        </w:tc>
      </w:tr>
      <w:tr w14:paraId="6DCE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5B91349">
            <w:pPr>
              <w:jc w:val="center"/>
              <w:rPr>
                <w:sz w:val="22"/>
                <w:szCs w:val="22"/>
              </w:rPr>
            </w:pPr>
          </w:p>
        </w:tc>
        <w:tc>
          <w:tcPr>
            <w:tcW w:w="1491" w:type="dxa"/>
            <w:noWrap/>
            <w:vAlign w:val="center"/>
          </w:tcPr>
          <w:p w14:paraId="5825D121">
            <w:pPr>
              <w:jc w:val="center"/>
              <w:rPr>
                <w:sz w:val="22"/>
                <w:szCs w:val="22"/>
              </w:rPr>
            </w:pPr>
          </w:p>
        </w:tc>
        <w:tc>
          <w:tcPr>
            <w:tcW w:w="742" w:type="dxa"/>
            <w:vMerge w:val="continue"/>
            <w:vAlign w:val="center"/>
          </w:tcPr>
          <w:p w14:paraId="3DD4B156">
            <w:pPr>
              <w:jc w:val="center"/>
              <w:rPr>
                <w:sz w:val="22"/>
                <w:szCs w:val="22"/>
              </w:rPr>
            </w:pPr>
          </w:p>
        </w:tc>
        <w:tc>
          <w:tcPr>
            <w:tcW w:w="676" w:type="dxa"/>
            <w:noWrap/>
            <w:vAlign w:val="center"/>
          </w:tcPr>
          <w:p w14:paraId="23A3FB9F">
            <w:pPr>
              <w:jc w:val="center"/>
              <w:rPr>
                <w:sz w:val="22"/>
                <w:szCs w:val="22"/>
              </w:rPr>
            </w:pPr>
            <w:r>
              <w:rPr>
                <w:sz w:val="22"/>
                <w:szCs w:val="22"/>
              </w:rPr>
              <w:t>7</w:t>
            </w:r>
          </w:p>
        </w:tc>
        <w:tc>
          <w:tcPr>
            <w:tcW w:w="1098" w:type="dxa"/>
            <w:noWrap/>
            <w:vAlign w:val="center"/>
          </w:tcPr>
          <w:p w14:paraId="64F8D242">
            <w:pPr>
              <w:jc w:val="center"/>
              <w:rPr>
                <w:sz w:val="22"/>
                <w:szCs w:val="22"/>
              </w:rPr>
            </w:pPr>
            <w:r>
              <w:rPr>
                <w:sz w:val="22"/>
                <w:szCs w:val="22"/>
              </w:rPr>
              <w:t>90,0</w:t>
            </w:r>
          </w:p>
        </w:tc>
        <w:tc>
          <w:tcPr>
            <w:tcW w:w="1817" w:type="dxa"/>
            <w:vAlign w:val="center"/>
          </w:tcPr>
          <w:p w14:paraId="38A72377">
            <w:pPr>
              <w:jc w:val="center"/>
              <w:rPr>
                <w:sz w:val="22"/>
                <w:szCs w:val="22"/>
              </w:rPr>
            </w:pPr>
            <w:r>
              <w:rPr>
                <w:sz w:val="22"/>
                <w:szCs w:val="22"/>
              </w:rPr>
              <w:t>612.000.000</w:t>
            </w:r>
          </w:p>
        </w:tc>
        <w:tc>
          <w:tcPr>
            <w:tcW w:w="1798" w:type="dxa"/>
            <w:vAlign w:val="center"/>
          </w:tcPr>
          <w:p w14:paraId="7F085EDF">
            <w:pPr>
              <w:jc w:val="center"/>
              <w:rPr>
                <w:sz w:val="22"/>
                <w:szCs w:val="22"/>
              </w:rPr>
            </w:pPr>
            <w:r>
              <w:rPr>
                <w:sz w:val="22"/>
                <w:szCs w:val="22"/>
              </w:rPr>
              <w:t>1.040.000.000</w:t>
            </w:r>
          </w:p>
        </w:tc>
        <w:tc>
          <w:tcPr>
            <w:tcW w:w="1382" w:type="dxa"/>
            <w:noWrap/>
            <w:vAlign w:val="center"/>
          </w:tcPr>
          <w:p w14:paraId="7F2C9E9F">
            <w:pPr>
              <w:jc w:val="center"/>
              <w:rPr>
                <w:sz w:val="22"/>
                <w:szCs w:val="22"/>
              </w:rPr>
            </w:pPr>
            <w:r>
              <w:rPr>
                <w:sz w:val="22"/>
                <w:szCs w:val="22"/>
              </w:rPr>
              <w:t>1,70%</w:t>
            </w:r>
          </w:p>
        </w:tc>
      </w:tr>
      <w:tr w14:paraId="7175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D52F64E">
            <w:pPr>
              <w:jc w:val="center"/>
              <w:rPr>
                <w:sz w:val="22"/>
                <w:szCs w:val="22"/>
              </w:rPr>
            </w:pPr>
          </w:p>
        </w:tc>
        <w:tc>
          <w:tcPr>
            <w:tcW w:w="1491" w:type="dxa"/>
            <w:noWrap/>
            <w:vAlign w:val="center"/>
          </w:tcPr>
          <w:p w14:paraId="12BFD1B3">
            <w:pPr>
              <w:jc w:val="center"/>
              <w:rPr>
                <w:sz w:val="22"/>
                <w:szCs w:val="22"/>
              </w:rPr>
            </w:pPr>
          </w:p>
        </w:tc>
        <w:tc>
          <w:tcPr>
            <w:tcW w:w="742" w:type="dxa"/>
            <w:vMerge w:val="continue"/>
            <w:vAlign w:val="center"/>
          </w:tcPr>
          <w:p w14:paraId="63DC7ED1">
            <w:pPr>
              <w:jc w:val="center"/>
              <w:rPr>
                <w:sz w:val="22"/>
                <w:szCs w:val="22"/>
              </w:rPr>
            </w:pPr>
          </w:p>
        </w:tc>
        <w:tc>
          <w:tcPr>
            <w:tcW w:w="676" w:type="dxa"/>
            <w:noWrap/>
            <w:vAlign w:val="center"/>
          </w:tcPr>
          <w:p w14:paraId="1CF9FA02">
            <w:pPr>
              <w:jc w:val="center"/>
              <w:rPr>
                <w:sz w:val="22"/>
                <w:szCs w:val="22"/>
              </w:rPr>
            </w:pPr>
            <w:r>
              <w:rPr>
                <w:sz w:val="22"/>
                <w:szCs w:val="22"/>
              </w:rPr>
              <w:t>8</w:t>
            </w:r>
          </w:p>
        </w:tc>
        <w:tc>
          <w:tcPr>
            <w:tcW w:w="1098" w:type="dxa"/>
            <w:noWrap/>
            <w:vAlign w:val="center"/>
          </w:tcPr>
          <w:p w14:paraId="3CF8EFA6">
            <w:pPr>
              <w:jc w:val="center"/>
              <w:rPr>
                <w:sz w:val="22"/>
                <w:szCs w:val="22"/>
              </w:rPr>
            </w:pPr>
            <w:r>
              <w:rPr>
                <w:sz w:val="22"/>
                <w:szCs w:val="22"/>
              </w:rPr>
              <w:t>90,0</w:t>
            </w:r>
          </w:p>
        </w:tc>
        <w:tc>
          <w:tcPr>
            <w:tcW w:w="1817" w:type="dxa"/>
            <w:vAlign w:val="center"/>
          </w:tcPr>
          <w:p w14:paraId="350E93BD">
            <w:pPr>
              <w:jc w:val="center"/>
              <w:rPr>
                <w:sz w:val="22"/>
                <w:szCs w:val="22"/>
              </w:rPr>
            </w:pPr>
            <w:r>
              <w:rPr>
                <w:sz w:val="22"/>
                <w:szCs w:val="22"/>
              </w:rPr>
              <w:t>612.000.000</w:t>
            </w:r>
          </w:p>
        </w:tc>
        <w:tc>
          <w:tcPr>
            <w:tcW w:w="1798" w:type="dxa"/>
            <w:vAlign w:val="center"/>
          </w:tcPr>
          <w:p w14:paraId="0B468ABC">
            <w:pPr>
              <w:jc w:val="center"/>
              <w:rPr>
                <w:sz w:val="22"/>
                <w:szCs w:val="22"/>
              </w:rPr>
            </w:pPr>
            <w:r>
              <w:rPr>
                <w:sz w:val="22"/>
                <w:szCs w:val="22"/>
              </w:rPr>
              <w:t>1.035.000.000</w:t>
            </w:r>
          </w:p>
        </w:tc>
        <w:tc>
          <w:tcPr>
            <w:tcW w:w="1382" w:type="dxa"/>
            <w:noWrap/>
            <w:vAlign w:val="center"/>
          </w:tcPr>
          <w:p w14:paraId="2C45164E">
            <w:pPr>
              <w:jc w:val="center"/>
              <w:rPr>
                <w:sz w:val="22"/>
                <w:szCs w:val="22"/>
              </w:rPr>
            </w:pPr>
            <w:r>
              <w:rPr>
                <w:sz w:val="22"/>
                <w:szCs w:val="22"/>
              </w:rPr>
              <w:t>1,69%</w:t>
            </w:r>
          </w:p>
        </w:tc>
      </w:tr>
      <w:tr w14:paraId="5D34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2697560">
            <w:pPr>
              <w:jc w:val="center"/>
              <w:rPr>
                <w:sz w:val="22"/>
                <w:szCs w:val="22"/>
              </w:rPr>
            </w:pPr>
          </w:p>
        </w:tc>
        <w:tc>
          <w:tcPr>
            <w:tcW w:w="1491" w:type="dxa"/>
            <w:noWrap/>
            <w:vAlign w:val="center"/>
          </w:tcPr>
          <w:p w14:paraId="62C8CC19">
            <w:pPr>
              <w:jc w:val="center"/>
              <w:rPr>
                <w:sz w:val="22"/>
                <w:szCs w:val="22"/>
              </w:rPr>
            </w:pPr>
          </w:p>
        </w:tc>
        <w:tc>
          <w:tcPr>
            <w:tcW w:w="742" w:type="dxa"/>
            <w:vMerge w:val="continue"/>
            <w:vAlign w:val="center"/>
          </w:tcPr>
          <w:p w14:paraId="4C4ACE52">
            <w:pPr>
              <w:jc w:val="center"/>
              <w:rPr>
                <w:sz w:val="22"/>
                <w:szCs w:val="22"/>
              </w:rPr>
            </w:pPr>
          </w:p>
        </w:tc>
        <w:tc>
          <w:tcPr>
            <w:tcW w:w="676" w:type="dxa"/>
            <w:noWrap/>
            <w:vAlign w:val="center"/>
          </w:tcPr>
          <w:p w14:paraId="6CDA0790">
            <w:pPr>
              <w:jc w:val="center"/>
              <w:rPr>
                <w:sz w:val="22"/>
                <w:szCs w:val="22"/>
              </w:rPr>
            </w:pPr>
            <w:r>
              <w:rPr>
                <w:sz w:val="22"/>
                <w:szCs w:val="22"/>
              </w:rPr>
              <w:t>9</w:t>
            </w:r>
          </w:p>
        </w:tc>
        <w:tc>
          <w:tcPr>
            <w:tcW w:w="1098" w:type="dxa"/>
            <w:noWrap/>
            <w:vAlign w:val="center"/>
          </w:tcPr>
          <w:p w14:paraId="03610F1C">
            <w:pPr>
              <w:jc w:val="center"/>
              <w:rPr>
                <w:sz w:val="22"/>
                <w:szCs w:val="22"/>
              </w:rPr>
            </w:pPr>
            <w:r>
              <w:rPr>
                <w:sz w:val="22"/>
                <w:szCs w:val="22"/>
              </w:rPr>
              <w:t>90,0</w:t>
            </w:r>
          </w:p>
        </w:tc>
        <w:tc>
          <w:tcPr>
            <w:tcW w:w="1817" w:type="dxa"/>
            <w:vAlign w:val="center"/>
          </w:tcPr>
          <w:p w14:paraId="3D8D58F3">
            <w:pPr>
              <w:jc w:val="center"/>
              <w:rPr>
                <w:sz w:val="22"/>
                <w:szCs w:val="22"/>
              </w:rPr>
            </w:pPr>
            <w:r>
              <w:rPr>
                <w:sz w:val="22"/>
                <w:szCs w:val="22"/>
              </w:rPr>
              <w:t>612.000.000</w:t>
            </w:r>
          </w:p>
        </w:tc>
        <w:tc>
          <w:tcPr>
            <w:tcW w:w="1798" w:type="dxa"/>
            <w:vAlign w:val="center"/>
          </w:tcPr>
          <w:p w14:paraId="729A2975">
            <w:pPr>
              <w:jc w:val="center"/>
              <w:rPr>
                <w:sz w:val="22"/>
                <w:szCs w:val="22"/>
              </w:rPr>
            </w:pPr>
            <w:r>
              <w:rPr>
                <w:sz w:val="22"/>
                <w:szCs w:val="22"/>
              </w:rPr>
              <w:t>1.000.000.000</w:t>
            </w:r>
          </w:p>
        </w:tc>
        <w:tc>
          <w:tcPr>
            <w:tcW w:w="1382" w:type="dxa"/>
            <w:noWrap/>
            <w:vAlign w:val="center"/>
          </w:tcPr>
          <w:p w14:paraId="1F355CC6">
            <w:pPr>
              <w:jc w:val="center"/>
              <w:rPr>
                <w:sz w:val="22"/>
                <w:szCs w:val="22"/>
              </w:rPr>
            </w:pPr>
            <w:r>
              <w:rPr>
                <w:sz w:val="22"/>
                <w:szCs w:val="22"/>
              </w:rPr>
              <w:t>1,63%</w:t>
            </w:r>
          </w:p>
        </w:tc>
      </w:tr>
      <w:tr w14:paraId="5DF8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1AAB591">
            <w:pPr>
              <w:jc w:val="center"/>
              <w:rPr>
                <w:sz w:val="22"/>
                <w:szCs w:val="22"/>
              </w:rPr>
            </w:pPr>
          </w:p>
        </w:tc>
        <w:tc>
          <w:tcPr>
            <w:tcW w:w="1491" w:type="dxa"/>
            <w:noWrap/>
            <w:vAlign w:val="center"/>
          </w:tcPr>
          <w:p w14:paraId="1D046434">
            <w:pPr>
              <w:jc w:val="center"/>
              <w:rPr>
                <w:sz w:val="22"/>
                <w:szCs w:val="22"/>
              </w:rPr>
            </w:pPr>
          </w:p>
        </w:tc>
        <w:tc>
          <w:tcPr>
            <w:tcW w:w="742" w:type="dxa"/>
            <w:vMerge w:val="continue"/>
            <w:vAlign w:val="center"/>
          </w:tcPr>
          <w:p w14:paraId="4C84E147">
            <w:pPr>
              <w:jc w:val="center"/>
              <w:rPr>
                <w:sz w:val="22"/>
                <w:szCs w:val="22"/>
              </w:rPr>
            </w:pPr>
          </w:p>
        </w:tc>
        <w:tc>
          <w:tcPr>
            <w:tcW w:w="676" w:type="dxa"/>
            <w:noWrap/>
            <w:vAlign w:val="center"/>
          </w:tcPr>
          <w:p w14:paraId="20C33816">
            <w:pPr>
              <w:jc w:val="center"/>
              <w:rPr>
                <w:sz w:val="22"/>
                <w:szCs w:val="22"/>
              </w:rPr>
            </w:pPr>
            <w:r>
              <w:rPr>
                <w:sz w:val="22"/>
                <w:szCs w:val="22"/>
              </w:rPr>
              <w:t>10</w:t>
            </w:r>
          </w:p>
        </w:tc>
        <w:tc>
          <w:tcPr>
            <w:tcW w:w="1098" w:type="dxa"/>
            <w:noWrap/>
            <w:vAlign w:val="center"/>
          </w:tcPr>
          <w:p w14:paraId="7C4B6EEB">
            <w:pPr>
              <w:jc w:val="center"/>
              <w:rPr>
                <w:sz w:val="22"/>
                <w:szCs w:val="22"/>
              </w:rPr>
            </w:pPr>
            <w:r>
              <w:rPr>
                <w:sz w:val="22"/>
                <w:szCs w:val="22"/>
              </w:rPr>
              <w:t>90,0</w:t>
            </w:r>
          </w:p>
        </w:tc>
        <w:tc>
          <w:tcPr>
            <w:tcW w:w="1817" w:type="dxa"/>
            <w:vAlign w:val="center"/>
          </w:tcPr>
          <w:p w14:paraId="74EB1FC9">
            <w:pPr>
              <w:jc w:val="center"/>
              <w:rPr>
                <w:sz w:val="22"/>
                <w:szCs w:val="22"/>
              </w:rPr>
            </w:pPr>
            <w:r>
              <w:rPr>
                <w:sz w:val="22"/>
                <w:szCs w:val="22"/>
              </w:rPr>
              <w:t>612.000.000</w:t>
            </w:r>
          </w:p>
        </w:tc>
        <w:tc>
          <w:tcPr>
            <w:tcW w:w="1798" w:type="dxa"/>
            <w:vAlign w:val="center"/>
          </w:tcPr>
          <w:p w14:paraId="7B2F49F1">
            <w:pPr>
              <w:jc w:val="center"/>
              <w:rPr>
                <w:sz w:val="22"/>
                <w:szCs w:val="22"/>
              </w:rPr>
            </w:pPr>
            <w:r>
              <w:rPr>
                <w:sz w:val="22"/>
                <w:szCs w:val="22"/>
              </w:rPr>
              <w:t>899.000.000</w:t>
            </w:r>
          </w:p>
        </w:tc>
        <w:tc>
          <w:tcPr>
            <w:tcW w:w="1382" w:type="dxa"/>
            <w:noWrap/>
            <w:vAlign w:val="center"/>
          </w:tcPr>
          <w:p w14:paraId="6034A05B">
            <w:pPr>
              <w:jc w:val="center"/>
              <w:rPr>
                <w:sz w:val="22"/>
                <w:szCs w:val="22"/>
              </w:rPr>
            </w:pPr>
            <w:r>
              <w:rPr>
                <w:sz w:val="22"/>
                <w:szCs w:val="22"/>
              </w:rPr>
              <w:t>1,47%</w:t>
            </w:r>
          </w:p>
        </w:tc>
      </w:tr>
      <w:tr w14:paraId="1FBFEB47">
        <w:tblPrEx>
          <w:tblCellMar>
            <w:top w:w="0" w:type="dxa"/>
            <w:left w:w="108" w:type="dxa"/>
            <w:bottom w:w="0" w:type="dxa"/>
            <w:right w:w="108" w:type="dxa"/>
          </w:tblCellMar>
        </w:tblPrEx>
        <w:trPr>
          <w:trHeight w:val="20" w:hRule="atLeast"/>
        </w:trPr>
        <w:tc>
          <w:tcPr>
            <w:tcW w:w="636" w:type="dxa"/>
            <w:noWrap/>
            <w:vAlign w:val="center"/>
          </w:tcPr>
          <w:p w14:paraId="258576C8">
            <w:pPr>
              <w:jc w:val="center"/>
              <w:rPr>
                <w:sz w:val="22"/>
                <w:szCs w:val="22"/>
              </w:rPr>
            </w:pPr>
          </w:p>
        </w:tc>
        <w:tc>
          <w:tcPr>
            <w:tcW w:w="1491" w:type="dxa"/>
            <w:noWrap/>
            <w:vAlign w:val="center"/>
          </w:tcPr>
          <w:p w14:paraId="0C2A94C6">
            <w:pPr>
              <w:jc w:val="center"/>
              <w:rPr>
                <w:sz w:val="22"/>
                <w:szCs w:val="22"/>
              </w:rPr>
            </w:pPr>
          </w:p>
        </w:tc>
        <w:tc>
          <w:tcPr>
            <w:tcW w:w="742" w:type="dxa"/>
            <w:vMerge w:val="continue"/>
            <w:vAlign w:val="center"/>
          </w:tcPr>
          <w:p w14:paraId="589A39A8">
            <w:pPr>
              <w:jc w:val="center"/>
              <w:rPr>
                <w:sz w:val="22"/>
                <w:szCs w:val="22"/>
              </w:rPr>
            </w:pPr>
          </w:p>
        </w:tc>
        <w:tc>
          <w:tcPr>
            <w:tcW w:w="676" w:type="dxa"/>
            <w:noWrap/>
            <w:vAlign w:val="center"/>
          </w:tcPr>
          <w:p w14:paraId="2FA2D80B">
            <w:pPr>
              <w:jc w:val="center"/>
              <w:rPr>
                <w:sz w:val="22"/>
                <w:szCs w:val="22"/>
              </w:rPr>
            </w:pPr>
            <w:r>
              <w:rPr>
                <w:sz w:val="22"/>
                <w:szCs w:val="22"/>
              </w:rPr>
              <w:t>11</w:t>
            </w:r>
          </w:p>
        </w:tc>
        <w:tc>
          <w:tcPr>
            <w:tcW w:w="1098" w:type="dxa"/>
            <w:noWrap/>
            <w:vAlign w:val="center"/>
          </w:tcPr>
          <w:p w14:paraId="1546FB0F">
            <w:pPr>
              <w:jc w:val="center"/>
              <w:rPr>
                <w:sz w:val="22"/>
                <w:szCs w:val="22"/>
              </w:rPr>
            </w:pPr>
            <w:r>
              <w:rPr>
                <w:sz w:val="22"/>
                <w:szCs w:val="22"/>
              </w:rPr>
              <w:t>90,0</w:t>
            </w:r>
          </w:p>
        </w:tc>
        <w:tc>
          <w:tcPr>
            <w:tcW w:w="1817" w:type="dxa"/>
            <w:vAlign w:val="center"/>
          </w:tcPr>
          <w:p w14:paraId="5F1A38DA">
            <w:pPr>
              <w:jc w:val="center"/>
              <w:rPr>
                <w:sz w:val="22"/>
                <w:szCs w:val="22"/>
              </w:rPr>
            </w:pPr>
            <w:r>
              <w:rPr>
                <w:sz w:val="22"/>
                <w:szCs w:val="22"/>
              </w:rPr>
              <w:t>612.000.000</w:t>
            </w:r>
          </w:p>
        </w:tc>
        <w:tc>
          <w:tcPr>
            <w:tcW w:w="1798" w:type="dxa"/>
            <w:vAlign w:val="center"/>
          </w:tcPr>
          <w:p w14:paraId="0C03EB33">
            <w:pPr>
              <w:jc w:val="center"/>
              <w:rPr>
                <w:sz w:val="22"/>
                <w:szCs w:val="22"/>
              </w:rPr>
            </w:pPr>
            <w:r>
              <w:rPr>
                <w:sz w:val="22"/>
                <w:szCs w:val="22"/>
              </w:rPr>
              <w:t>786.000.000</w:t>
            </w:r>
          </w:p>
        </w:tc>
        <w:tc>
          <w:tcPr>
            <w:tcW w:w="1382" w:type="dxa"/>
            <w:noWrap/>
            <w:vAlign w:val="center"/>
          </w:tcPr>
          <w:p w14:paraId="0D62BB81">
            <w:pPr>
              <w:jc w:val="center"/>
              <w:rPr>
                <w:sz w:val="22"/>
                <w:szCs w:val="22"/>
              </w:rPr>
            </w:pPr>
            <w:r>
              <w:rPr>
                <w:sz w:val="22"/>
                <w:szCs w:val="22"/>
              </w:rPr>
              <w:t>1,28%</w:t>
            </w:r>
          </w:p>
        </w:tc>
      </w:tr>
      <w:tr w14:paraId="1D77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0B1CB1A">
            <w:pPr>
              <w:jc w:val="center"/>
              <w:rPr>
                <w:sz w:val="22"/>
                <w:szCs w:val="22"/>
              </w:rPr>
            </w:pPr>
          </w:p>
        </w:tc>
        <w:tc>
          <w:tcPr>
            <w:tcW w:w="1491" w:type="dxa"/>
            <w:noWrap/>
            <w:vAlign w:val="center"/>
          </w:tcPr>
          <w:p w14:paraId="5FC962C9">
            <w:pPr>
              <w:jc w:val="center"/>
              <w:rPr>
                <w:sz w:val="22"/>
                <w:szCs w:val="22"/>
              </w:rPr>
            </w:pPr>
          </w:p>
        </w:tc>
        <w:tc>
          <w:tcPr>
            <w:tcW w:w="742" w:type="dxa"/>
            <w:vMerge w:val="continue"/>
            <w:vAlign w:val="center"/>
          </w:tcPr>
          <w:p w14:paraId="4BDF97A7">
            <w:pPr>
              <w:jc w:val="center"/>
              <w:rPr>
                <w:sz w:val="22"/>
                <w:szCs w:val="22"/>
              </w:rPr>
            </w:pPr>
          </w:p>
        </w:tc>
        <w:tc>
          <w:tcPr>
            <w:tcW w:w="676" w:type="dxa"/>
            <w:noWrap/>
            <w:vAlign w:val="center"/>
          </w:tcPr>
          <w:p w14:paraId="5BC9CB51">
            <w:pPr>
              <w:jc w:val="center"/>
              <w:rPr>
                <w:sz w:val="22"/>
                <w:szCs w:val="22"/>
              </w:rPr>
            </w:pPr>
            <w:r>
              <w:rPr>
                <w:sz w:val="22"/>
                <w:szCs w:val="22"/>
              </w:rPr>
              <w:t>12</w:t>
            </w:r>
          </w:p>
        </w:tc>
        <w:tc>
          <w:tcPr>
            <w:tcW w:w="1098" w:type="dxa"/>
            <w:noWrap/>
            <w:vAlign w:val="center"/>
          </w:tcPr>
          <w:p w14:paraId="6789C09C">
            <w:pPr>
              <w:jc w:val="center"/>
              <w:rPr>
                <w:sz w:val="22"/>
                <w:szCs w:val="22"/>
              </w:rPr>
            </w:pPr>
            <w:r>
              <w:rPr>
                <w:sz w:val="22"/>
                <w:szCs w:val="22"/>
              </w:rPr>
              <w:t>90,0</w:t>
            </w:r>
          </w:p>
        </w:tc>
        <w:tc>
          <w:tcPr>
            <w:tcW w:w="1817" w:type="dxa"/>
            <w:vAlign w:val="center"/>
          </w:tcPr>
          <w:p w14:paraId="2AAF06E0">
            <w:pPr>
              <w:jc w:val="center"/>
              <w:rPr>
                <w:sz w:val="22"/>
                <w:szCs w:val="22"/>
              </w:rPr>
            </w:pPr>
            <w:r>
              <w:rPr>
                <w:sz w:val="22"/>
                <w:szCs w:val="22"/>
              </w:rPr>
              <w:t>612.000.000</w:t>
            </w:r>
          </w:p>
        </w:tc>
        <w:tc>
          <w:tcPr>
            <w:tcW w:w="1798" w:type="dxa"/>
            <w:vAlign w:val="center"/>
          </w:tcPr>
          <w:p w14:paraId="17A78FED">
            <w:pPr>
              <w:jc w:val="center"/>
              <w:rPr>
                <w:sz w:val="22"/>
                <w:szCs w:val="22"/>
              </w:rPr>
            </w:pPr>
            <w:r>
              <w:rPr>
                <w:sz w:val="22"/>
                <w:szCs w:val="22"/>
              </w:rPr>
              <w:t>962.980.000</w:t>
            </w:r>
          </w:p>
        </w:tc>
        <w:tc>
          <w:tcPr>
            <w:tcW w:w="1382" w:type="dxa"/>
            <w:noWrap/>
            <w:vAlign w:val="center"/>
          </w:tcPr>
          <w:p w14:paraId="124934B1">
            <w:pPr>
              <w:jc w:val="center"/>
              <w:rPr>
                <w:sz w:val="22"/>
                <w:szCs w:val="22"/>
              </w:rPr>
            </w:pPr>
            <w:r>
              <w:rPr>
                <w:sz w:val="22"/>
                <w:szCs w:val="22"/>
              </w:rPr>
              <w:t>1,57%</w:t>
            </w:r>
          </w:p>
        </w:tc>
      </w:tr>
      <w:tr w14:paraId="58F4317C">
        <w:tblPrEx>
          <w:tblCellMar>
            <w:top w:w="0" w:type="dxa"/>
            <w:left w:w="108" w:type="dxa"/>
            <w:bottom w:w="0" w:type="dxa"/>
            <w:right w:w="108" w:type="dxa"/>
          </w:tblCellMar>
        </w:tblPrEx>
        <w:trPr>
          <w:trHeight w:val="20" w:hRule="atLeast"/>
        </w:trPr>
        <w:tc>
          <w:tcPr>
            <w:tcW w:w="636" w:type="dxa"/>
            <w:noWrap/>
            <w:vAlign w:val="center"/>
          </w:tcPr>
          <w:p w14:paraId="7F845887">
            <w:pPr>
              <w:jc w:val="center"/>
              <w:rPr>
                <w:sz w:val="22"/>
                <w:szCs w:val="22"/>
              </w:rPr>
            </w:pPr>
          </w:p>
        </w:tc>
        <w:tc>
          <w:tcPr>
            <w:tcW w:w="1491" w:type="dxa"/>
            <w:noWrap/>
            <w:vAlign w:val="center"/>
          </w:tcPr>
          <w:p w14:paraId="134533D9">
            <w:pPr>
              <w:jc w:val="center"/>
              <w:rPr>
                <w:sz w:val="22"/>
                <w:szCs w:val="22"/>
              </w:rPr>
            </w:pPr>
          </w:p>
        </w:tc>
        <w:tc>
          <w:tcPr>
            <w:tcW w:w="742" w:type="dxa"/>
            <w:vMerge w:val="continue"/>
            <w:vAlign w:val="center"/>
          </w:tcPr>
          <w:p w14:paraId="60E2C899">
            <w:pPr>
              <w:jc w:val="center"/>
              <w:rPr>
                <w:sz w:val="22"/>
                <w:szCs w:val="22"/>
              </w:rPr>
            </w:pPr>
          </w:p>
        </w:tc>
        <w:tc>
          <w:tcPr>
            <w:tcW w:w="676" w:type="dxa"/>
            <w:noWrap/>
            <w:vAlign w:val="center"/>
          </w:tcPr>
          <w:p w14:paraId="77367B55">
            <w:pPr>
              <w:jc w:val="center"/>
              <w:rPr>
                <w:sz w:val="22"/>
                <w:szCs w:val="22"/>
              </w:rPr>
            </w:pPr>
            <w:r>
              <w:rPr>
                <w:sz w:val="22"/>
                <w:szCs w:val="22"/>
              </w:rPr>
              <w:t>13</w:t>
            </w:r>
          </w:p>
        </w:tc>
        <w:tc>
          <w:tcPr>
            <w:tcW w:w="1098" w:type="dxa"/>
            <w:noWrap/>
            <w:vAlign w:val="center"/>
          </w:tcPr>
          <w:p w14:paraId="00265F59">
            <w:pPr>
              <w:jc w:val="center"/>
              <w:rPr>
                <w:sz w:val="22"/>
                <w:szCs w:val="22"/>
              </w:rPr>
            </w:pPr>
            <w:r>
              <w:rPr>
                <w:sz w:val="22"/>
                <w:szCs w:val="22"/>
              </w:rPr>
              <w:t>90,0</w:t>
            </w:r>
          </w:p>
        </w:tc>
        <w:tc>
          <w:tcPr>
            <w:tcW w:w="1817" w:type="dxa"/>
            <w:vAlign w:val="center"/>
          </w:tcPr>
          <w:p w14:paraId="5B24895C">
            <w:pPr>
              <w:jc w:val="center"/>
              <w:rPr>
                <w:sz w:val="22"/>
                <w:szCs w:val="22"/>
              </w:rPr>
            </w:pPr>
            <w:r>
              <w:rPr>
                <w:sz w:val="22"/>
                <w:szCs w:val="22"/>
              </w:rPr>
              <w:t>612.000.000</w:t>
            </w:r>
          </w:p>
        </w:tc>
        <w:tc>
          <w:tcPr>
            <w:tcW w:w="1798" w:type="dxa"/>
            <w:vAlign w:val="center"/>
          </w:tcPr>
          <w:p w14:paraId="23B678D3">
            <w:pPr>
              <w:jc w:val="center"/>
              <w:rPr>
                <w:sz w:val="22"/>
                <w:szCs w:val="22"/>
              </w:rPr>
            </w:pPr>
            <w:r>
              <w:rPr>
                <w:sz w:val="22"/>
                <w:szCs w:val="22"/>
              </w:rPr>
              <w:t>926.980.000</w:t>
            </w:r>
          </w:p>
        </w:tc>
        <w:tc>
          <w:tcPr>
            <w:tcW w:w="1382" w:type="dxa"/>
            <w:noWrap/>
            <w:vAlign w:val="center"/>
          </w:tcPr>
          <w:p w14:paraId="2A45F5D2">
            <w:pPr>
              <w:jc w:val="center"/>
              <w:rPr>
                <w:sz w:val="22"/>
                <w:szCs w:val="22"/>
              </w:rPr>
            </w:pPr>
            <w:r>
              <w:rPr>
                <w:sz w:val="22"/>
                <w:szCs w:val="22"/>
              </w:rPr>
              <w:t>1,51%</w:t>
            </w:r>
          </w:p>
        </w:tc>
      </w:tr>
      <w:tr w14:paraId="11BC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B1B44BB">
            <w:pPr>
              <w:jc w:val="center"/>
              <w:rPr>
                <w:sz w:val="22"/>
                <w:szCs w:val="22"/>
              </w:rPr>
            </w:pPr>
          </w:p>
        </w:tc>
        <w:tc>
          <w:tcPr>
            <w:tcW w:w="1491" w:type="dxa"/>
            <w:noWrap/>
            <w:vAlign w:val="center"/>
          </w:tcPr>
          <w:p w14:paraId="502875E0">
            <w:pPr>
              <w:jc w:val="center"/>
              <w:rPr>
                <w:sz w:val="22"/>
                <w:szCs w:val="22"/>
              </w:rPr>
            </w:pPr>
          </w:p>
        </w:tc>
        <w:tc>
          <w:tcPr>
            <w:tcW w:w="742" w:type="dxa"/>
            <w:vMerge w:val="continue"/>
            <w:vAlign w:val="center"/>
          </w:tcPr>
          <w:p w14:paraId="3B3EF834">
            <w:pPr>
              <w:jc w:val="center"/>
              <w:rPr>
                <w:sz w:val="22"/>
                <w:szCs w:val="22"/>
              </w:rPr>
            </w:pPr>
          </w:p>
        </w:tc>
        <w:tc>
          <w:tcPr>
            <w:tcW w:w="676" w:type="dxa"/>
            <w:noWrap/>
            <w:vAlign w:val="center"/>
          </w:tcPr>
          <w:p w14:paraId="79C4B6F5">
            <w:pPr>
              <w:jc w:val="center"/>
              <w:rPr>
                <w:sz w:val="22"/>
                <w:szCs w:val="22"/>
              </w:rPr>
            </w:pPr>
            <w:r>
              <w:rPr>
                <w:sz w:val="22"/>
                <w:szCs w:val="22"/>
              </w:rPr>
              <w:t>14</w:t>
            </w:r>
          </w:p>
        </w:tc>
        <w:tc>
          <w:tcPr>
            <w:tcW w:w="1098" w:type="dxa"/>
            <w:noWrap/>
            <w:vAlign w:val="center"/>
          </w:tcPr>
          <w:p w14:paraId="0AABCD91">
            <w:pPr>
              <w:jc w:val="center"/>
              <w:rPr>
                <w:sz w:val="22"/>
                <w:szCs w:val="22"/>
              </w:rPr>
            </w:pPr>
            <w:r>
              <w:rPr>
                <w:sz w:val="22"/>
                <w:szCs w:val="22"/>
              </w:rPr>
              <w:t>90,0</w:t>
            </w:r>
          </w:p>
        </w:tc>
        <w:tc>
          <w:tcPr>
            <w:tcW w:w="1817" w:type="dxa"/>
            <w:vAlign w:val="center"/>
          </w:tcPr>
          <w:p w14:paraId="7BF9F130">
            <w:pPr>
              <w:jc w:val="center"/>
              <w:rPr>
                <w:sz w:val="22"/>
                <w:szCs w:val="22"/>
              </w:rPr>
            </w:pPr>
            <w:r>
              <w:rPr>
                <w:sz w:val="22"/>
                <w:szCs w:val="22"/>
              </w:rPr>
              <w:t>612.000.000</w:t>
            </w:r>
          </w:p>
        </w:tc>
        <w:tc>
          <w:tcPr>
            <w:tcW w:w="1798" w:type="dxa"/>
            <w:vAlign w:val="center"/>
          </w:tcPr>
          <w:p w14:paraId="3EA6C383">
            <w:pPr>
              <w:jc w:val="center"/>
              <w:rPr>
                <w:sz w:val="22"/>
                <w:szCs w:val="22"/>
              </w:rPr>
            </w:pPr>
            <w:r>
              <w:rPr>
                <w:sz w:val="22"/>
                <w:szCs w:val="22"/>
              </w:rPr>
              <w:t>838.989.000</w:t>
            </w:r>
          </w:p>
        </w:tc>
        <w:tc>
          <w:tcPr>
            <w:tcW w:w="1382" w:type="dxa"/>
            <w:noWrap/>
            <w:vAlign w:val="center"/>
          </w:tcPr>
          <w:p w14:paraId="1EA742D9">
            <w:pPr>
              <w:jc w:val="center"/>
              <w:rPr>
                <w:sz w:val="22"/>
                <w:szCs w:val="22"/>
              </w:rPr>
            </w:pPr>
            <w:r>
              <w:rPr>
                <w:sz w:val="22"/>
                <w:szCs w:val="22"/>
              </w:rPr>
              <w:t>1,37%</w:t>
            </w:r>
          </w:p>
        </w:tc>
      </w:tr>
      <w:tr w14:paraId="095B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BEB71FB">
            <w:pPr>
              <w:jc w:val="center"/>
              <w:rPr>
                <w:sz w:val="22"/>
                <w:szCs w:val="22"/>
              </w:rPr>
            </w:pPr>
          </w:p>
        </w:tc>
        <w:tc>
          <w:tcPr>
            <w:tcW w:w="1491" w:type="dxa"/>
            <w:noWrap/>
            <w:vAlign w:val="center"/>
          </w:tcPr>
          <w:p w14:paraId="12809D94">
            <w:pPr>
              <w:jc w:val="center"/>
              <w:rPr>
                <w:sz w:val="22"/>
                <w:szCs w:val="22"/>
              </w:rPr>
            </w:pPr>
          </w:p>
        </w:tc>
        <w:tc>
          <w:tcPr>
            <w:tcW w:w="742" w:type="dxa"/>
            <w:vMerge w:val="continue"/>
            <w:vAlign w:val="center"/>
          </w:tcPr>
          <w:p w14:paraId="6B29DFC0">
            <w:pPr>
              <w:jc w:val="center"/>
              <w:rPr>
                <w:sz w:val="22"/>
                <w:szCs w:val="22"/>
              </w:rPr>
            </w:pPr>
          </w:p>
        </w:tc>
        <w:tc>
          <w:tcPr>
            <w:tcW w:w="676" w:type="dxa"/>
            <w:noWrap/>
            <w:vAlign w:val="center"/>
          </w:tcPr>
          <w:p w14:paraId="4079B04D">
            <w:pPr>
              <w:jc w:val="center"/>
              <w:rPr>
                <w:sz w:val="22"/>
                <w:szCs w:val="22"/>
              </w:rPr>
            </w:pPr>
            <w:r>
              <w:rPr>
                <w:sz w:val="22"/>
                <w:szCs w:val="22"/>
              </w:rPr>
              <w:t>15</w:t>
            </w:r>
          </w:p>
        </w:tc>
        <w:tc>
          <w:tcPr>
            <w:tcW w:w="1098" w:type="dxa"/>
            <w:noWrap/>
            <w:vAlign w:val="center"/>
          </w:tcPr>
          <w:p w14:paraId="176D5503">
            <w:pPr>
              <w:jc w:val="center"/>
              <w:rPr>
                <w:sz w:val="22"/>
                <w:szCs w:val="22"/>
              </w:rPr>
            </w:pPr>
            <w:r>
              <w:rPr>
                <w:sz w:val="22"/>
                <w:szCs w:val="22"/>
              </w:rPr>
              <w:t>90,0</w:t>
            </w:r>
          </w:p>
        </w:tc>
        <w:tc>
          <w:tcPr>
            <w:tcW w:w="1817" w:type="dxa"/>
            <w:vAlign w:val="center"/>
          </w:tcPr>
          <w:p w14:paraId="5863222A">
            <w:pPr>
              <w:jc w:val="center"/>
              <w:rPr>
                <w:sz w:val="22"/>
                <w:szCs w:val="22"/>
              </w:rPr>
            </w:pPr>
            <w:r>
              <w:rPr>
                <w:sz w:val="22"/>
                <w:szCs w:val="22"/>
              </w:rPr>
              <w:t>612.000.000</w:t>
            </w:r>
          </w:p>
        </w:tc>
        <w:tc>
          <w:tcPr>
            <w:tcW w:w="1798" w:type="dxa"/>
            <w:vAlign w:val="center"/>
          </w:tcPr>
          <w:p w14:paraId="6E22896F">
            <w:pPr>
              <w:jc w:val="center"/>
              <w:rPr>
                <w:sz w:val="22"/>
                <w:szCs w:val="22"/>
              </w:rPr>
            </w:pPr>
            <w:r>
              <w:rPr>
                <w:sz w:val="22"/>
                <w:szCs w:val="22"/>
              </w:rPr>
              <w:t>895.000.000</w:t>
            </w:r>
          </w:p>
        </w:tc>
        <w:tc>
          <w:tcPr>
            <w:tcW w:w="1382" w:type="dxa"/>
            <w:noWrap/>
            <w:vAlign w:val="center"/>
          </w:tcPr>
          <w:p w14:paraId="3DFF61E8">
            <w:pPr>
              <w:jc w:val="center"/>
              <w:rPr>
                <w:sz w:val="22"/>
                <w:szCs w:val="22"/>
              </w:rPr>
            </w:pPr>
            <w:r>
              <w:rPr>
                <w:sz w:val="22"/>
                <w:szCs w:val="22"/>
              </w:rPr>
              <w:t>1,46%</w:t>
            </w:r>
          </w:p>
        </w:tc>
      </w:tr>
      <w:tr w14:paraId="3D67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4E37B12">
            <w:pPr>
              <w:jc w:val="center"/>
              <w:rPr>
                <w:sz w:val="22"/>
                <w:szCs w:val="22"/>
              </w:rPr>
            </w:pPr>
          </w:p>
        </w:tc>
        <w:tc>
          <w:tcPr>
            <w:tcW w:w="1491" w:type="dxa"/>
            <w:noWrap/>
            <w:vAlign w:val="center"/>
          </w:tcPr>
          <w:p w14:paraId="45F53A08">
            <w:pPr>
              <w:jc w:val="center"/>
              <w:rPr>
                <w:sz w:val="22"/>
                <w:szCs w:val="22"/>
              </w:rPr>
            </w:pPr>
          </w:p>
        </w:tc>
        <w:tc>
          <w:tcPr>
            <w:tcW w:w="742" w:type="dxa"/>
            <w:vMerge w:val="continue"/>
            <w:vAlign w:val="center"/>
          </w:tcPr>
          <w:p w14:paraId="6BC00C3C">
            <w:pPr>
              <w:jc w:val="center"/>
              <w:rPr>
                <w:sz w:val="22"/>
                <w:szCs w:val="22"/>
              </w:rPr>
            </w:pPr>
          </w:p>
        </w:tc>
        <w:tc>
          <w:tcPr>
            <w:tcW w:w="676" w:type="dxa"/>
            <w:noWrap/>
            <w:vAlign w:val="center"/>
          </w:tcPr>
          <w:p w14:paraId="41A25701">
            <w:pPr>
              <w:jc w:val="center"/>
              <w:rPr>
                <w:sz w:val="22"/>
                <w:szCs w:val="22"/>
              </w:rPr>
            </w:pPr>
            <w:r>
              <w:rPr>
                <w:sz w:val="22"/>
                <w:szCs w:val="22"/>
              </w:rPr>
              <w:t>16</w:t>
            </w:r>
          </w:p>
        </w:tc>
        <w:tc>
          <w:tcPr>
            <w:tcW w:w="1098" w:type="dxa"/>
            <w:noWrap/>
            <w:vAlign w:val="center"/>
          </w:tcPr>
          <w:p w14:paraId="0BF088EC">
            <w:pPr>
              <w:jc w:val="center"/>
              <w:rPr>
                <w:sz w:val="22"/>
                <w:szCs w:val="22"/>
              </w:rPr>
            </w:pPr>
            <w:r>
              <w:rPr>
                <w:sz w:val="22"/>
                <w:szCs w:val="22"/>
              </w:rPr>
              <w:t>90,0</w:t>
            </w:r>
          </w:p>
        </w:tc>
        <w:tc>
          <w:tcPr>
            <w:tcW w:w="1817" w:type="dxa"/>
            <w:vAlign w:val="center"/>
          </w:tcPr>
          <w:p w14:paraId="25C18B1F">
            <w:pPr>
              <w:jc w:val="center"/>
              <w:rPr>
                <w:sz w:val="22"/>
                <w:szCs w:val="22"/>
              </w:rPr>
            </w:pPr>
            <w:r>
              <w:rPr>
                <w:sz w:val="22"/>
                <w:szCs w:val="22"/>
              </w:rPr>
              <w:t>612.000.000</w:t>
            </w:r>
          </w:p>
        </w:tc>
        <w:tc>
          <w:tcPr>
            <w:tcW w:w="1798" w:type="dxa"/>
            <w:vAlign w:val="center"/>
          </w:tcPr>
          <w:p w14:paraId="0D02DF62">
            <w:pPr>
              <w:jc w:val="center"/>
              <w:rPr>
                <w:sz w:val="22"/>
                <w:szCs w:val="22"/>
              </w:rPr>
            </w:pPr>
            <w:r>
              <w:rPr>
                <w:sz w:val="22"/>
                <w:szCs w:val="22"/>
              </w:rPr>
              <w:t>935.000.000</w:t>
            </w:r>
          </w:p>
        </w:tc>
        <w:tc>
          <w:tcPr>
            <w:tcW w:w="1382" w:type="dxa"/>
            <w:noWrap/>
            <w:vAlign w:val="center"/>
          </w:tcPr>
          <w:p w14:paraId="42407224">
            <w:pPr>
              <w:jc w:val="center"/>
              <w:rPr>
                <w:sz w:val="22"/>
                <w:szCs w:val="22"/>
              </w:rPr>
            </w:pPr>
            <w:r>
              <w:rPr>
                <w:sz w:val="22"/>
                <w:szCs w:val="22"/>
              </w:rPr>
              <w:t>1,53%</w:t>
            </w:r>
          </w:p>
        </w:tc>
      </w:tr>
      <w:tr w14:paraId="430A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CF60EF9">
            <w:pPr>
              <w:jc w:val="center"/>
              <w:rPr>
                <w:sz w:val="22"/>
                <w:szCs w:val="22"/>
              </w:rPr>
            </w:pPr>
          </w:p>
        </w:tc>
        <w:tc>
          <w:tcPr>
            <w:tcW w:w="1491" w:type="dxa"/>
            <w:noWrap/>
            <w:vAlign w:val="center"/>
          </w:tcPr>
          <w:p w14:paraId="16A94AA4">
            <w:pPr>
              <w:jc w:val="center"/>
              <w:rPr>
                <w:sz w:val="22"/>
                <w:szCs w:val="22"/>
              </w:rPr>
            </w:pPr>
          </w:p>
        </w:tc>
        <w:tc>
          <w:tcPr>
            <w:tcW w:w="742" w:type="dxa"/>
            <w:vMerge w:val="continue"/>
            <w:vAlign w:val="center"/>
          </w:tcPr>
          <w:p w14:paraId="77A1236E">
            <w:pPr>
              <w:jc w:val="center"/>
              <w:rPr>
                <w:sz w:val="22"/>
                <w:szCs w:val="22"/>
              </w:rPr>
            </w:pPr>
          </w:p>
        </w:tc>
        <w:tc>
          <w:tcPr>
            <w:tcW w:w="676" w:type="dxa"/>
            <w:noWrap/>
            <w:vAlign w:val="center"/>
          </w:tcPr>
          <w:p w14:paraId="7BD93974">
            <w:pPr>
              <w:jc w:val="center"/>
              <w:rPr>
                <w:sz w:val="22"/>
                <w:szCs w:val="22"/>
              </w:rPr>
            </w:pPr>
            <w:r>
              <w:rPr>
                <w:sz w:val="22"/>
                <w:szCs w:val="22"/>
              </w:rPr>
              <w:t>17</w:t>
            </w:r>
          </w:p>
        </w:tc>
        <w:tc>
          <w:tcPr>
            <w:tcW w:w="1098" w:type="dxa"/>
            <w:noWrap/>
            <w:vAlign w:val="center"/>
          </w:tcPr>
          <w:p w14:paraId="577E1924">
            <w:pPr>
              <w:jc w:val="center"/>
              <w:rPr>
                <w:sz w:val="22"/>
                <w:szCs w:val="22"/>
              </w:rPr>
            </w:pPr>
            <w:r>
              <w:rPr>
                <w:sz w:val="22"/>
                <w:szCs w:val="22"/>
              </w:rPr>
              <w:t>138,5</w:t>
            </w:r>
          </w:p>
        </w:tc>
        <w:tc>
          <w:tcPr>
            <w:tcW w:w="1817" w:type="dxa"/>
            <w:vAlign w:val="center"/>
          </w:tcPr>
          <w:p w14:paraId="1B97599D">
            <w:pPr>
              <w:jc w:val="center"/>
              <w:rPr>
                <w:sz w:val="22"/>
                <w:szCs w:val="22"/>
              </w:rPr>
            </w:pPr>
            <w:r>
              <w:rPr>
                <w:sz w:val="22"/>
                <w:szCs w:val="22"/>
              </w:rPr>
              <w:t>1.130.160.000</w:t>
            </w:r>
          </w:p>
        </w:tc>
        <w:tc>
          <w:tcPr>
            <w:tcW w:w="1798" w:type="dxa"/>
            <w:vAlign w:val="center"/>
          </w:tcPr>
          <w:p w14:paraId="1855A638">
            <w:pPr>
              <w:jc w:val="center"/>
              <w:rPr>
                <w:sz w:val="22"/>
                <w:szCs w:val="22"/>
              </w:rPr>
            </w:pPr>
            <w:r>
              <w:rPr>
                <w:sz w:val="22"/>
                <w:szCs w:val="22"/>
              </w:rPr>
              <w:t>1.143.500.000</w:t>
            </w:r>
          </w:p>
        </w:tc>
        <w:tc>
          <w:tcPr>
            <w:tcW w:w="1382" w:type="dxa"/>
            <w:noWrap/>
            <w:vAlign w:val="center"/>
          </w:tcPr>
          <w:p w14:paraId="28D65F14">
            <w:pPr>
              <w:jc w:val="center"/>
              <w:rPr>
                <w:sz w:val="22"/>
                <w:szCs w:val="22"/>
              </w:rPr>
            </w:pPr>
            <w:r>
              <w:rPr>
                <w:sz w:val="22"/>
                <w:szCs w:val="22"/>
              </w:rPr>
              <w:t>1,01%</w:t>
            </w:r>
          </w:p>
        </w:tc>
      </w:tr>
      <w:tr w14:paraId="6005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C434E98">
            <w:pPr>
              <w:jc w:val="center"/>
              <w:rPr>
                <w:sz w:val="22"/>
                <w:szCs w:val="22"/>
              </w:rPr>
            </w:pPr>
          </w:p>
        </w:tc>
        <w:tc>
          <w:tcPr>
            <w:tcW w:w="1491" w:type="dxa"/>
            <w:noWrap/>
            <w:vAlign w:val="center"/>
          </w:tcPr>
          <w:p w14:paraId="3D2B1674">
            <w:pPr>
              <w:jc w:val="center"/>
              <w:rPr>
                <w:sz w:val="22"/>
                <w:szCs w:val="22"/>
              </w:rPr>
            </w:pPr>
          </w:p>
        </w:tc>
        <w:tc>
          <w:tcPr>
            <w:tcW w:w="742" w:type="dxa"/>
            <w:vMerge w:val="continue"/>
            <w:vAlign w:val="center"/>
          </w:tcPr>
          <w:p w14:paraId="39093616">
            <w:pPr>
              <w:jc w:val="center"/>
              <w:rPr>
                <w:sz w:val="22"/>
                <w:szCs w:val="22"/>
              </w:rPr>
            </w:pPr>
          </w:p>
        </w:tc>
        <w:tc>
          <w:tcPr>
            <w:tcW w:w="676" w:type="dxa"/>
            <w:noWrap/>
            <w:vAlign w:val="center"/>
          </w:tcPr>
          <w:p w14:paraId="316CAA95">
            <w:pPr>
              <w:jc w:val="center"/>
              <w:rPr>
                <w:sz w:val="22"/>
                <w:szCs w:val="22"/>
              </w:rPr>
            </w:pPr>
            <w:r>
              <w:rPr>
                <w:sz w:val="22"/>
                <w:szCs w:val="22"/>
              </w:rPr>
              <w:t>19</w:t>
            </w:r>
          </w:p>
        </w:tc>
        <w:tc>
          <w:tcPr>
            <w:tcW w:w="1098" w:type="dxa"/>
            <w:noWrap/>
            <w:vAlign w:val="center"/>
          </w:tcPr>
          <w:p w14:paraId="30D8DFA3">
            <w:pPr>
              <w:jc w:val="center"/>
              <w:rPr>
                <w:sz w:val="22"/>
                <w:szCs w:val="22"/>
              </w:rPr>
            </w:pPr>
            <w:r>
              <w:rPr>
                <w:sz w:val="22"/>
                <w:szCs w:val="22"/>
              </w:rPr>
              <w:t>90,0</w:t>
            </w:r>
          </w:p>
        </w:tc>
        <w:tc>
          <w:tcPr>
            <w:tcW w:w="1817" w:type="dxa"/>
            <w:vAlign w:val="center"/>
          </w:tcPr>
          <w:p w14:paraId="0B082AF6">
            <w:pPr>
              <w:jc w:val="center"/>
              <w:rPr>
                <w:sz w:val="22"/>
                <w:szCs w:val="22"/>
              </w:rPr>
            </w:pPr>
            <w:r>
              <w:rPr>
                <w:sz w:val="22"/>
                <w:szCs w:val="22"/>
              </w:rPr>
              <w:t>684.000.000</w:t>
            </w:r>
          </w:p>
        </w:tc>
        <w:tc>
          <w:tcPr>
            <w:tcW w:w="1798" w:type="dxa"/>
            <w:vAlign w:val="center"/>
          </w:tcPr>
          <w:p w14:paraId="5364E26D">
            <w:pPr>
              <w:jc w:val="center"/>
              <w:rPr>
                <w:sz w:val="22"/>
                <w:szCs w:val="22"/>
              </w:rPr>
            </w:pPr>
            <w:r>
              <w:rPr>
                <w:sz w:val="22"/>
                <w:szCs w:val="22"/>
              </w:rPr>
              <w:t>946.000.000</w:t>
            </w:r>
          </w:p>
        </w:tc>
        <w:tc>
          <w:tcPr>
            <w:tcW w:w="1382" w:type="dxa"/>
            <w:noWrap/>
            <w:vAlign w:val="center"/>
          </w:tcPr>
          <w:p w14:paraId="604F5F3D">
            <w:pPr>
              <w:jc w:val="center"/>
              <w:rPr>
                <w:sz w:val="22"/>
                <w:szCs w:val="22"/>
              </w:rPr>
            </w:pPr>
            <w:r>
              <w:rPr>
                <w:sz w:val="22"/>
                <w:szCs w:val="22"/>
              </w:rPr>
              <w:t>1,38%</w:t>
            </w:r>
          </w:p>
        </w:tc>
      </w:tr>
      <w:tr w14:paraId="59BB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1E743FE">
            <w:pPr>
              <w:jc w:val="center"/>
              <w:rPr>
                <w:sz w:val="22"/>
                <w:szCs w:val="22"/>
              </w:rPr>
            </w:pPr>
          </w:p>
        </w:tc>
        <w:tc>
          <w:tcPr>
            <w:tcW w:w="1491" w:type="dxa"/>
            <w:noWrap/>
            <w:vAlign w:val="center"/>
          </w:tcPr>
          <w:p w14:paraId="302855CB">
            <w:pPr>
              <w:jc w:val="center"/>
              <w:rPr>
                <w:sz w:val="22"/>
                <w:szCs w:val="22"/>
              </w:rPr>
            </w:pPr>
          </w:p>
        </w:tc>
        <w:tc>
          <w:tcPr>
            <w:tcW w:w="742" w:type="dxa"/>
            <w:vMerge w:val="continue"/>
            <w:vAlign w:val="center"/>
          </w:tcPr>
          <w:p w14:paraId="16702384">
            <w:pPr>
              <w:jc w:val="center"/>
              <w:rPr>
                <w:sz w:val="22"/>
                <w:szCs w:val="22"/>
              </w:rPr>
            </w:pPr>
          </w:p>
        </w:tc>
        <w:tc>
          <w:tcPr>
            <w:tcW w:w="676" w:type="dxa"/>
            <w:noWrap/>
            <w:vAlign w:val="center"/>
          </w:tcPr>
          <w:p w14:paraId="670F3F77">
            <w:pPr>
              <w:jc w:val="center"/>
              <w:rPr>
                <w:sz w:val="22"/>
                <w:szCs w:val="22"/>
              </w:rPr>
            </w:pPr>
            <w:r>
              <w:rPr>
                <w:sz w:val="22"/>
                <w:szCs w:val="22"/>
              </w:rPr>
              <w:t>20</w:t>
            </w:r>
          </w:p>
        </w:tc>
        <w:tc>
          <w:tcPr>
            <w:tcW w:w="1098" w:type="dxa"/>
            <w:noWrap/>
            <w:vAlign w:val="center"/>
          </w:tcPr>
          <w:p w14:paraId="4F02A121">
            <w:pPr>
              <w:jc w:val="center"/>
              <w:rPr>
                <w:sz w:val="22"/>
                <w:szCs w:val="22"/>
              </w:rPr>
            </w:pPr>
            <w:r>
              <w:rPr>
                <w:sz w:val="22"/>
                <w:szCs w:val="22"/>
              </w:rPr>
              <w:t>90,0</w:t>
            </w:r>
          </w:p>
        </w:tc>
        <w:tc>
          <w:tcPr>
            <w:tcW w:w="1817" w:type="dxa"/>
            <w:vAlign w:val="center"/>
          </w:tcPr>
          <w:p w14:paraId="32EC5438">
            <w:pPr>
              <w:jc w:val="center"/>
              <w:rPr>
                <w:sz w:val="22"/>
                <w:szCs w:val="22"/>
              </w:rPr>
            </w:pPr>
            <w:r>
              <w:rPr>
                <w:sz w:val="22"/>
                <w:szCs w:val="22"/>
              </w:rPr>
              <w:t>684.000.000</w:t>
            </w:r>
          </w:p>
        </w:tc>
        <w:tc>
          <w:tcPr>
            <w:tcW w:w="1798" w:type="dxa"/>
            <w:vAlign w:val="center"/>
          </w:tcPr>
          <w:p w14:paraId="2F67AB08">
            <w:pPr>
              <w:jc w:val="center"/>
              <w:rPr>
                <w:sz w:val="22"/>
                <w:szCs w:val="22"/>
              </w:rPr>
            </w:pPr>
            <w:r>
              <w:rPr>
                <w:sz w:val="22"/>
                <w:szCs w:val="22"/>
              </w:rPr>
              <w:t>919.000.000</w:t>
            </w:r>
          </w:p>
        </w:tc>
        <w:tc>
          <w:tcPr>
            <w:tcW w:w="1382" w:type="dxa"/>
            <w:noWrap/>
            <w:vAlign w:val="center"/>
          </w:tcPr>
          <w:p w14:paraId="37191EB5">
            <w:pPr>
              <w:jc w:val="center"/>
              <w:rPr>
                <w:sz w:val="22"/>
                <w:szCs w:val="22"/>
              </w:rPr>
            </w:pPr>
            <w:r>
              <w:rPr>
                <w:sz w:val="22"/>
                <w:szCs w:val="22"/>
              </w:rPr>
              <w:t>1,34%</w:t>
            </w:r>
          </w:p>
        </w:tc>
      </w:tr>
      <w:tr w14:paraId="37FE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888EFDE">
            <w:pPr>
              <w:jc w:val="center"/>
              <w:rPr>
                <w:sz w:val="22"/>
                <w:szCs w:val="22"/>
              </w:rPr>
            </w:pPr>
          </w:p>
        </w:tc>
        <w:tc>
          <w:tcPr>
            <w:tcW w:w="1491" w:type="dxa"/>
            <w:noWrap/>
            <w:vAlign w:val="center"/>
          </w:tcPr>
          <w:p w14:paraId="5866CB0C">
            <w:pPr>
              <w:jc w:val="center"/>
              <w:rPr>
                <w:sz w:val="22"/>
                <w:szCs w:val="22"/>
              </w:rPr>
            </w:pPr>
          </w:p>
        </w:tc>
        <w:tc>
          <w:tcPr>
            <w:tcW w:w="742" w:type="dxa"/>
            <w:vMerge w:val="continue"/>
            <w:vAlign w:val="center"/>
          </w:tcPr>
          <w:p w14:paraId="7A887C6C">
            <w:pPr>
              <w:jc w:val="center"/>
              <w:rPr>
                <w:sz w:val="22"/>
                <w:szCs w:val="22"/>
              </w:rPr>
            </w:pPr>
          </w:p>
        </w:tc>
        <w:tc>
          <w:tcPr>
            <w:tcW w:w="676" w:type="dxa"/>
            <w:noWrap/>
            <w:vAlign w:val="center"/>
          </w:tcPr>
          <w:p w14:paraId="611A3F1B">
            <w:pPr>
              <w:jc w:val="center"/>
              <w:rPr>
                <w:sz w:val="22"/>
                <w:szCs w:val="22"/>
              </w:rPr>
            </w:pPr>
            <w:r>
              <w:rPr>
                <w:sz w:val="22"/>
                <w:szCs w:val="22"/>
              </w:rPr>
              <w:t>21</w:t>
            </w:r>
          </w:p>
        </w:tc>
        <w:tc>
          <w:tcPr>
            <w:tcW w:w="1098" w:type="dxa"/>
            <w:noWrap/>
            <w:vAlign w:val="center"/>
          </w:tcPr>
          <w:p w14:paraId="46F3E306">
            <w:pPr>
              <w:jc w:val="center"/>
              <w:rPr>
                <w:sz w:val="22"/>
                <w:szCs w:val="22"/>
              </w:rPr>
            </w:pPr>
            <w:r>
              <w:rPr>
                <w:sz w:val="22"/>
                <w:szCs w:val="22"/>
              </w:rPr>
              <w:t>90,0</w:t>
            </w:r>
          </w:p>
        </w:tc>
        <w:tc>
          <w:tcPr>
            <w:tcW w:w="1817" w:type="dxa"/>
            <w:vAlign w:val="center"/>
          </w:tcPr>
          <w:p w14:paraId="15592C75">
            <w:pPr>
              <w:jc w:val="center"/>
              <w:rPr>
                <w:sz w:val="22"/>
                <w:szCs w:val="22"/>
              </w:rPr>
            </w:pPr>
            <w:r>
              <w:rPr>
                <w:sz w:val="22"/>
                <w:szCs w:val="22"/>
              </w:rPr>
              <w:t>684.000.000</w:t>
            </w:r>
          </w:p>
        </w:tc>
        <w:tc>
          <w:tcPr>
            <w:tcW w:w="1798" w:type="dxa"/>
            <w:vAlign w:val="center"/>
          </w:tcPr>
          <w:p w14:paraId="190B3EBA">
            <w:pPr>
              <w:jc w:val="center"/>
              <w:rPr>
                <w:sz w:val="22"/>
                <w:szCs w:val="22"/>
              </w:rPr>
            </w:pPr>
            <w:r>
              <w:rPr>
                <w:sz w:val="22"/>
                <w:szCs w:val="22"/>
              </w:rPr>
              <w:t>988.980.000</w:t>
            </w:r>
          </w:p>
        </w:tc>
        <w:tc>
          <w:tcPr>
            <w:tcW w:w="1382" w:type="dxa"/>
            <w:noWrap/>
            <w:vAlign w:val="center"/>
          </w:tcPr>
          <w:p w14:paraId="5F721E37">
            <w:pPr>
              <w:jc w:val="center"/>
              <w:rPr>
                <w:sz w:val="22"/>
                <w:szCs w:val="22"/>
              </w:rPr>
            </w:pPr>
            <w:r>
              <w:rPr>
                <w:sz w:val="22"/>
                <w:szCs w:val="22"/>
              </w:rPr>
              <w:t>1,45%</w:t>
            </w:r>
          </w:p>
        </w:tc>
      </w:tr>
      <w:tr w14:paraId="427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7D69DC1">
            <w:pPr>
              <w:jc w:val="center"/>
              <w:rPr>
                <w:sz w:val="22"/>
                <w:szCs w:val="22"/>
              </w:rPr>
            </w:pPr>
          </w:p>
        </w:tc>
        <w:tc>
          <w:tcPr>
            <w:tcW w:w="1491" w:type="dxa"/>
            <w:noWrap/>
            <w:vAlign w:val="center"/>
          </w:tcPr>
          <w:p w14:paraId="6F6EB6D3">
            <w:pPr>
              <w:jc w:val="center"/>
              <w:rPr>
                <w:sz w:val="22"/>
                <w:szCs w:val="22"/>
              </w:rPr>
            </w:pPr>
          </w:p>
        </w:tc>
        <w:tc>
          <w:tcPr>
            <w:tcW w:w="742" w:type="dxa"/>
            <w:vMerge w:val="continue"/>
            <w:vAlign w:val="center"/>
          </w:tcPr>
          <w:p w14:paraId="0568A1F6">
            <w:pPr>
              <w:jc w:val="center"/>
              <w:rPr>
                <w:sz w:val="22"/>
                <w:szCs w:val="22"/>
              </w:rPr>
            </w:pPr>
          </w:p>
        </w:tc>
        <w:tc>
          <w:tcPr>
            <w:tcW w:w="676" w:type="dxa"/>
            <w:noWrap/>
            <w:vAlign w:val="center"/>
          </w:tcPr>
          <w:p w14:paraId="1A19FDA9">
            <w:pPr>
              <w:jc w:val="center"/>
              <w:rPr>
                <w:sz w:val="22"/>
                <w:szCs w:val="22"/>
              </w:rPr>
            </w:pPr>
            <w:r>
              <w:rPr>
                <w:sz w:val="22"/>
                <w:szCs w:val="22"/>
              </w:rPr>
              <w:t>22</w:t>
            </w:r>
          </w:p>
        </w:tc>
        <w:tc>
          <w:tcPr>
            <w:tcW w:w="1098" w:type="dxa"/>
            <w:noWrap/>
            <w:vAlign w:val="center"/>
          </w:tcPr>
          <w:p w14:paraId="72250512">
            <w:pPr>
              <w:jc w:val="center"/>
              <w:rPr>
                <w:sz w:val="22"/>
                <w:szCs w:val="22"/>
              </w:rPr>
            </w:pPr>
            <w:r>
              <w:rPr>
                <w:sz w:val="22"/>
                <w:szCs w:val="22"/>
              </w:rPr>
              <w:t>90,0</w:t>
            </w:r>
          </w:p>
        </w:tc>
        <w:tc>
          <w:tcPr>
            <w:tcW w:w="1817" w:type="dxa"/>
            <w:vAlign w:val="center"/>
          </w:tcPr>
          <w:p w14:paraId="11408B16">
            <w:pPr>
              <w:jc w:val="center"/>
              <w:rPr>
                <w:sz w:val="22"/>
                <w:szCs w:val="22"/>
              </w:rPr>
            </w:pPr>
            <w:r>
              <w:rPr>
                <w:sz w:val="22"/>
                <w:szCs w:val="22"/>
              </w:rPr>
              <w:t>684.000.000</w:t>
            </w:r>
          </w:p>
        </w:tc>
        <w:tc>
          <w:tcPr>
            <w:tcW w:w="1798" w:type="dxa"/>
            <w:vAlign w:val="center"/>
          </w:tcPr>
          <w:p w14:paraId="74249518">
            <w:pPr>
              <w:jc w:val="center"/>
              <w:rPr>
                <w:sz w:val="22"/>
                <w:szCs w:val="22"/>
              </w:rPr>
            </w:pPr>
            <w:r>
              <w:rPr>
                <w:sz w:val="22"/>
                <w:szCs w:val="22"/>
              </w:rPr>
              <w:t>966.989.000</w:t>
            </w:r>
          </w:p>
        </w:tc>
        <w:tc>
          <w:tcPr>
            <w:tcW w:w="1382" w:type="dxa"/>
            <w:noWrap/>
            <w:vAlign w:val="center"/>
          </w:tcPr>
          <w:p w14:paraId="3A78AC36">
            <w:pPr>
              <w:jc w:val="center"/>
              <w:rPr>
                <w:sz w:val="22"/>
                <w:szCs w:val="22"/>
              </w:rPr>
            </w:pPr>
            <w:r>
              <w:rPr>
                <w:sz w:val="22"/>
                <w:szCs w:val="22"/>
              </w:rPr>
              <w:t>1,41%</w:t>
            </w:r>
          </w:p>
        </w:tc>
      </w:tr>
      <w:tr w14:paraId="030D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EA0112E">
            <w:pPr>
              <w:jc w:val="center"/>
              <w:rPr>
                <w:sz w:val="22"/>
                <w:szCs w:val="22"/>
              </w:rPr>
            </w:pPr>
          </w:p>
        </w:tc>
        <w:tc>
          <w:tcPr>
            <w:tcW w:w="1491" w:type="dxa"/>
            <w:noWrap/>
            <w:vAlign w:val="center"/>
          </w:tcPr>
          <w:p w14:paraId="3DBFE81B">
            <w:pPr>
              <w:jc w:val="center"/>
              <w:rPr>
                <w:sz w:val="22"/>
                <w:szCs w:val="22"/>
              </w:rPr>
            </w:pPr>
          </w:p>
        </w:tc>
        <w:tc>
          <w:tcPr>
            <w:tcW w:w="742" w:type="dxa"/>
            <w:vMerge w:val="continue"/>
            <w:vAlign w:val="center"/>
          </w:tcPr>
          <w:p w14:paraId="063817D9">
            <w:pPr>
              <w:jc w:val="center"/>
              <w:rPr>
                <w:sz w:val="22"/>
                <w:szCs w:val="22"/>
              </w:rPr>
            </w:pPr>
          </w:p>
        </w:tc>
        <w:tc>
          <w:tcPr>
            <w:tcW w:w="676" w:type="dxa"/>
            <w:noWrap/>
            <w:vAlign w:val="center"/>
          </w:tcPr>
          <w:p w14:paraId="30F7909D">
            <w:pPr>
              <w:jc w:val="center"/>
              <w:rPr>
                <w:sz w:val="22"/>
                <w:szCs w:val="22"/>
              </w:rPr>
            </w:pPr>
            <w:r>
              <w:rPr>
                <w:sz w:val="22"/>
                <w:szCs w:val="22"/>
              </w:rPr>
              <w:t>23</w:t>
            </w:r>
          </w:p>
        </w:tc>
        <w:tc>
          <w:tcPr>
            <w:tcW w:w="1098" w:type="dxa"/>
            <w:noWrap/>
            <w:vAlign w:val="center"/>
          </w:tcPr>
          <w:p w14:paraId="24739407">
            <w:pPr>
              <w:jc w:val="center"/>
              <w:rPr>
                <w:sz w:val="22"/>
                <w:szCs w:val="22"/>
              </w:rPr>
            </w:pPr>
            <w:r>
              <w:rPr>
                <w:sz w:val="22"/>
                <w:szCs w:val="22"/>
              </w:rPr>
              <w:t>90,0</w:t>
            </w:r>
          </w:p>
        </w:tc>
        <w:tc>
          <w:tcPr>
            <w:tcW w:w="1817" w:type="dxa"/>
            <w:vAlign w:val="center"/>
          </w:tcPr>
          <w:p w14:paraId="0102A4D7">
            <w:pPr>
              <w:jc w:val="center"/>
              <w:rPr>
                <w:sz w:val="22"/>
                <w:szCs w:val="22"/>
              </w:rPr>
            </w:pPr>
            <w:r>
              <w:rPr>
                <w:sz w:val="22"/>
                <w:szCs w:val="22"/>
              </w:rPr>
              <w:t>684.000.000</w:t>
            </w:r>
          </w:p>
        </w:tc>
        <w:tc>
          <w:tcPr>
            <w:tcW w:w="1798" w:type="dxa"/>
            <w:vAlign w:val="center"/>
          </w:tcPr>
          <w:p w14:paraId="5D7A8CD8">
            <w:pPr>
              <w:jc w:val="center"/>
              <w:rPr>
                <w:sz w:val="22"/>
                <w:szCs w:val="22"/>
              </w:rPr>
            </w:pPr>
            <w:r>
              <w:rPr>
                <w:sz w:val="22"/>
                <w:szCs w:val="22"/>
              </w:rPr>
              <w:t>988.980.000</w:t>
            </w:r>
          </w:p>
        </w:tc>
        <w:tc>
          <w:tcPr>
            <w:tcW w:w="1382" w:type="dxa"/>
            <w:noWrap/>
            <w:vAlign w:val="center"/>
          </w:tcPr>
          <w:p w14:paraId="417A11E9">
            <w:pPr>
              <w:jc w:val="center"/>
              <w:rPr>
                <w:sz w:val="22"/>
                <w:szCs w:val="22"/>
              </w:rPr>
            </w:pPr>
            <w:r>
              <w:rPr>
                <w:sz w:val="22"/>
                <w:szCs w:val="22"/>
              </w:rPr>
              <w:t>1,45%</w:t>
            </w:r>
          </w:p>
        </w:tc>
      </w:tr>
      <w:tr w14:paraId="150C8AC1">
        <w:tblPrEx>
          <w:tblCellMar>
            <w:top w:w="0" w:type="dxa"/>
            <w:left w:w="108" w:type="dxa"/>
            <w:bottom w:w="0" w:type="dxa"/>
            <w:right w:w="108" w:type="dxa"/>
          </w:tblCellMar>
        </w:tblPrEx>
        <w:trPr>
          <w:trHeight w:val="20" w:hRule="atLeast"/>
        </w:trPr>
        <w:tc>
          <w:tcPr>
            <w:tcW w:w="636" w:type="dxa"/>
            <w:noWrap/>
            <w:vAlign w:val="center"/>
          </w:tcPr>
          <w:p w14:paraId="4A88619D">
            <w:pPr>
              <w:jc w:val="center"/>
              <w:rPr>
                <w:sz w:val="22"/>
                <w:szCs w:val="22"/>
              </w:rPr>
            </w:pPr>
          </w:p>
        </w:tc>
        <w:tc>
          <w:tcPr>
            <w:tcW w:w="1491" w:type="dxa"/>
            <w:noWrap/>
            <w:vAlign w:val="center"/>
          </w:tcPr>
          <w:p w14:paraId="6D159BED">
            <w:pPr>
              <w:jc w:val="center"/>
              <w:rPr>
                <w:sz w:val="22"/>
                <w:szCs w:val="22"/>
              </w:rPr>
            </w:pPr>
          </w:p>
        </w:tc>
        <w:tc>
          <w:tcPr>
            <w:tcW w:w="742" w:type="dxa"/>
            <w:vMerge w:val="continue"/>
            <w:vAlign w:val="center"/>
          </w:tcPr>
          <w:p w14:paraId="710BC669">
            <w:pPr>
              <w:jc w:val="center"/>
              <w:rPr>
                <w:sz w:val="22"/>
                <w:szCs w:val="22"/>
              </w:rPr>
            </w:pPr>
          </w:p>
        </w:tc>
        <w:tc>
          <w:tcPr>
            <w:tcW w:w="676" w:type="dxa"/>
            <w:noWrap/>
            <w:vAlign w:val="center"/>
          </w:tcPr>
          <w:p w14:paraId="6BC798F6">
            <w:pPr>
              <w:jc w:val="center"/>
              <w:rPr>
                <w:sz w:val="22"/>
                <w:szCs w:val="22"/>
              </w:rPr>
            </w:pPr>
            <w:r>
              <w:rPr>
                <w:sz w:val="22"/>
                <w:szCs w:val="22"/>
              </w:rPr>
              <w:t>24</w:t>
            </w:r>
          </w:p>
        </w:tc>
        <w:tc>
          <w:tcPr>
            <w:tcW w:w="1098" w:type="dxa"/>
            <w:noWrap/>
            <w:vAlign w:val="center"/>
          </w:tcPr>
          <w:p w14:paraId="63440815">
            <w:pPr>
              <w:jc w:val="center"/>
              <w:rPr>
                <w:sz w:val="22"/>
                <w:szCs w:val="22"/>
              </w:rPr>
            </w:pPr>
            <w:r>
              <w:rPr>
                <w:sz w:val="22"/>
                <w:szCs w:val="22"/>
              </w:rPr>
              <w:t>90,0</w:t>
            </w:r>
          </w:p>
        </w:tc>
        <w:tc>
          <w:tcPr>
            <w:tcW w:w="1817" w:type="dxa"/>
            <w:vAlign w:val="center"/>
          </w:tcPr>
          <w:p w14:paraId="43F6EB11">
            <w:pPr>
              <w:jc w:val="center"/>
              <w:rPr>
                <w:sz w:val="22"/>
                <w:szCs w:val="22"/>
              </w:rPr>
            </w:pPr>
            <w:r>
              <w:rPr>
                <w:sz w:val="22"/>
                <w:szCs w:val="22"/>
              </w:rPr>
              <w:t>684.000.000</w:t>
            </w:r>
          </w:p>
        </w:tc>
        <w:tc>
          <w:tcPr>
            <w:tcW w:w="1798" w:type="dxa"/>
            <w:vAlign w:val="center"/>
          </w:tcPr>
          <w:p w14:paraId="72A4B20E">
            <w:pPr>
              <w:jc w:val="center"/>
              <w:rPr>
                <w:sz w:val="22"/>
                <w:szCs w:val="22"/>
              </w:rPr>
            </w:pPr>
            <w:r>
              <w:rPr>
                <w:sz w:val="22"/>
                <w:szCs w:val="22"/>
              </w:rPr>
              <w:t>1.118.980.000</w:t>
            </w:r>
          </w:p>
        </w:tc>
        <w:tc>
          <w:tcPr>
            <w:tcW w:w="1382" w:type="dxa"/>
            <w:noWrap/>
            <w:vAlign w:val="center"/>
          </w:tcPr>
          <w:p w14:paraId="334FBCD8">
            <w:pPr>
              <w:jc w:val="center"/>
              <w:rPr>
                <w:sz w:val="22"/>
                <w:szCs w:val="22"/>
              </w:rPr>
            </w:pPr>
            <w:r>
              <w:rPr>
                <w:sz w:val="22"/>
                <w:szCs w:val="22"/>
              </w:rPr>
              <w:t>1,64%</w:t>
            </w:r>
          </w:p>
        </w:tc>
      </w:tr>
      <w:tr w14:paraId="714B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D33D140">
            <w:pPr>
              <w:jc w:val="center"/>
              <w:rPr>
                <w:sz w:val="22"/>
                <w:szCs w:val="22"/>
              </w:rPr>
            </w:pPr>
          </w:p>
        </w:tc>
        <w:tc>
          <w:tcPr>
            <w:tcW w:w="1491" w:type="dxa"/>
            <w:noWrap/>
            <w:vAlign w:val="center"/>
          </w:tcPr>
          <w:p w14:paraId="67EF547F">
            <w:pPr>
              <w:jc w:val="center"/>
              <w:rPr>
                <w:sz w:val="22"/>
                <w:szCs w:val="22"/>
              </w:rPr>
            </w:pPr>
          </w:p>
        </w:tc>
        <w:tc>
          <w:tcPr>
            <w:tcW w:w="742" w:type="dxa"/>
            <w:vMerge w:val="continue"/>
            <w:vAlign w:val="center"/>
          </w:tcPr>
          <w:p w14:paraId="63897A94">
            <w:pPr>
              <w:jc w:val="center"/>
              <w:rPr>
                <w:sz w:val="22"/>
                <w:szCs w:val="22"/>
              </w:rPr>
            </w:pPr>
          </w:p>
        </w:tc>
        <w:tc>
          <w:tcPr>
            <w:tcW w:w="676" w:type="dxa"/>
            <w:noWrap/>
            <w:vAlign w:val="center"/>
          </w:tcPr>
          <w:p w14:paraId="2C3075EE">
            <w:pPr>
              <w:jc w:val="center"/>
              <w:rPr>
                <w:sz w:val="22"/>
                <w:szCs w:val="22"/>
              </w:rPr>
            </w:pPr>
            <w:r>
              <w:rPr>
                <w:sz w:val="22"/>
                <w:szCs w:val="22"/>
              </w:rPr>
              <w:t>25</w:t>
            </w:r>
          </w:p>
        </w:tc>
        <w:tc>
          <w:tcPr>
            <w:tcW w:w="1098" w:type="dxa"/>
            <w:noWrap/>
            <w:vAlign w:val="center"/>
          </w:tcPr>
          <w:p w14:paraId="5A28F018">
            <w:pPr>
              <w:jc w:val="center"/>
              <w:rPr>
                <w:sz w:val="22"/>
                <w:szCs w:val="22"/>
              </w:rPr>
            </w:pPr>
            <w:r>
              <w:rPr>
                <w:sz w:val="22"/>
                <w:szCs w:val="22"/>
              </w:rPr>
              <w:t>90,0</w:t>
            </w:r>
          </w:p>
        </w:tc>
        <w:tc>
          <w:tcPr>
            <w:tcW w:w="1817" w:type="dxa"/>
            <w:vAlign w:val="center"/>
          </w:tcPr>
          <w:p w14:paraId="6F8FB13E">
            <w:pPr>
              <w:jc w:val="center"/>
              <w:rPr>
                <w:sz w:val="22"/>
                <w:szCs w:val="22"/>
              </w:rPr>
            </w:pPr>
            <w:r>
              <w:rPr>
                <w:sz w:val="22"/>
                <w:szCs w:val="22"/>
              </w:rPr>
              <w:t>684.000.000</w:t>
            </w:r>
          </w:p>
        </w:tc>
        <w:tc>
          <w:tcPr>
            <w:tcW w:w="1798" w:type="dxa"/>
            <w:vAlign w:val="center"/>
          </w:tcPr>
          <w:p w14:paraId="768F8045">
            <w:pPr>
              <w:jc w:val="center"/>
              <w:rPr>
                <w:sz w:val="22"/>
                <w:szCs w:val="22"/>
              </w:rPr>
            </w:pPr>
            <w:r>
              <w:rPr>
                <w:sz w:val="22"/>
                <w:szCs w:val="22"/>
              </w:rPr>
              <w:t>968.000.000</w:t>
            </w:r>
          </w:p>
        </w:tc>
        <w:tc>
          <w:tcPr>
            <w:tcW w:w="1382" w:type="dxa"/>
            <w:noWrap/>
            <w:vAlign w:val="center"/>
          </w:tcPr>
          <w:p w14:paraId="7A38D4DE">
            <w:pPr>
              <w:jc w:val="center"/>
              <w:rPr>
                <w:sz w:val="22"/>
                <w:szCs w:val="22"/>
              </w:rPr>
            </w:pPr>
            <w:r>
              <w:rPr>
                <w:sz w:val="22"/>
                <w:szCs w:val="22"/>
              </w:rPr>
              <w:t>1,42%</w:t>
            </w:r>
          </w:p>
        </w:tc>
      </w:tr>
      <w:tr w14:paraId="3234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014267E">
            <w:pPr>
              <w:jc w:val="center"/>
              <w:rPr>
                <w:sz w:val="22"/>
                <w:szCs w:val="22"/>
              </w:rPr>
            </w:pPr>
          </w:p>
        </w:tc>
        <w:tc>
          <w:tcPr>
            <w:tcW w:w="1491" w:type="dxa"/>
            <w:noWrap/>
            <w:vAlign w:val="center"/>
          </w:tcPr>
          <w:p w14:paraId="50159B4B">
            <w:pPr>
              <w:jc w:val="center"/>
              <w:rPr>
                <w:sz w:val="22"/>
                <w:szCs w:val="22"/>
              </w:rPr>
            </w:pPr>
          </w:p>
        </w:tc>
        <w:tc>
          <w:tcPr>
            <w:tcW w:w="742" w:type="dxa"/>
            <w:vMerge w:val="continue"/>
            <w:vAlign w:val="center"/>
          </w:tcPr>
          <w:p w14:paraId="67F37F42">
            <w:pPr>
              <w:jc w:val="center"/>
              <w:rPr>
                <w:sz w:val="22"/>
                <w:szCs w:val="22"/>
              </w:rPr>
            </w:pPr>
          </w:p>
        </w:tc>
        <w:tc>
          <w:tcPr>
            <w:tcW w:w="676" w:type="dxa"/>
            <w:noWrap/>
            <w:vAlign w:val="center"/>
          </w:tcPr>
          <w:p w14:paraId="03660037">
            <w:pPr>
              <w:jc w:val="center"/>
              <w:rPr>
                <w:sz w:val="22"/>
                <w:szCs w:val="22"/>
              </w:rPr>
            </w:pPr>
            <w:r>
              <w:rPr>
                <w:sz w:val="22"/>
                <w:szCs w:val="22"/>
              </w:rPr>
              <w:t>26</w:t>
            </w:r>
          </w:p>
        </w:tc>
        <w:tc>
          <w:tcPr>
            <w:tcW w:w="1098" w:type="dxa"/>
            <w:noWrap/>
            <w:vAlign w:val="center"/>
          </w:tcPr>
          <w:p w14:paraId="7B22ED68">
            <w:pPr>
              <w:jc w:val="center"/>
              <w:rPr>
                <w:sz w:val="22"/>
                <w:szCs w:val="22"/>
              </w:rPr>
            </w:pPr>
            <w:r>
              <w:rPr>
                <w:sz w:val="22"/>
                <w:szCs w:val="22"/>
              </w:rPr>
              <w:t>90,0</w:t>
            </w:r>
          </w:p>
        </w:tc>
        <w:tc>
          <w:tcPr>
            <w:tcW w:w="1817" w:type="dxa"/>
            <w:vAlign w:val="center"/>
          </w:tcPr>
          <w:p w14:paraId="05FAAE2A">
            <w:pPr>
              <w:jc w:val="center"/>
              <w:rPr>
                <w:sz w:val="22"/>
                <w:szCs w:val="22"/>
              </w:rPr>
            </w:pPr>
            <w:r>
              <w:rPr>
                <w:sz w:val="22"/>
                <w:szCs w:val="22"/>
              </w:rPr>
              <w:t>684.000.000</w:t>
            </w:r>
          </w:p>
        </w:tc>
        <w:tc>
          <w:tcPr>
            <w:tcW w:w="1798" w:type="dxa"/>
            <w:vAlign w:val="center"/>
          </w:tcPr>
          <w:p w14:paraId="7CF82CA3">
            <w:pPr>
              <w:jc w:val="center"/>
              <w:rPr>
                <w:sz w:val="22"/>
                <w:szCs w:val="22"/>
              </w:rPr>
            </w:pPr>
            <w:r>
              <w:rPr>
                <w:sz w:val="22"/>
                <w:szCs w:val="22"/>
              </w:rPr>
              <w:t>908.000.000</w:t>
            </w:r>
          </w:p>
        </w:tc>
        <w:tc>
          <w:tcPr>
            <w:tcW w:w="1382" w:type="dxa"/>
            <w:noWrap/>
            <w:vAlign w:val="center"/>
          </w:tcPr>
          <w:p w14:paraId="57D56FEF">
            <w:pPr>
              <w:jc w:val="center"/>
              <w:rPr>
                <w:sz w:val="22"/>
                <w:szCs w:val="22"/>
              </w:rPr>
            </w:pPr>
            <w:r>
              <w:rPr>
                <w:sz w:val="22"/>
                <w:szCs w:val="22"/>
              </w:rPr>
              <w:t>1,33%</w:t>
            </w:r>
          </w:p>
        </w:tc>
      </w:tr>
      <w:tr w14:paraId="24EE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3010D1E">
            <w:pPr>
              <w:jc w:val="center"/>
              <w:rPr>
                <w:sz w:val="22"/>
                <w:szCs w:val="22"/>
              </w:rPr>
            </w:pPr>
          </w:p>
        </w:tc>
        <w:tc>
          <w:tcPr>
            <w:tcW w:w="1491" w:type="dxa"/>
            <w:noWrap/>
            <w:vAlign w:val="center"/>
          </w:tcPr>
          <w:p w14:paraId="2A60F81D">
            <w:pPr>
              <w:jc w:val="center"/>
              <w:rPr>
                <w:sz w:val="22"/>
                <w:szCs w:val="22"/>
              </w:rPr>
            </w:pPr>
          </w:p>
        </w:tc>
        <w:tc>
          <w:tcPr>
            <w:tcW w:w="742" w:type="dxa"/>
            <w:vMerge w:val="continue"/>
            <w:vAlign w:val="center"/>
          </w:tcPr>
          <w:p w14:paraId="651B3D8F">
            <w:pPr>
              <w:jc w:val="center"/>
              <w:rPr>
                <w:sz w:val="22"/>
                <w:szCs w:val="22"/>
              </w:rPr>
            </w:pPr>
          </w:p>
        </w:tc>
        <w:tc>
          <w:tcPr>
            <w:tcW w:w="676" w:type="dxa"/>
            <w:noWrap/>
            <w:vAlign w:val="center"/>
          </w:tcPr>
          <w:p w14:paraId="61158CA9">
            <w:pPr>
              <w:jc w:val="center"/>
              <w:rPr>
                <w:sz w:val="22"/>
                <w:szCs w:val="22"/>
              </w:rPr>
            </w:pPr>
            <w:r>
              <w:rPr>
                <w:sz w:val="22"/>
                <w:szCs w:val="22"/>
              </w:rPr>
              <w:t>27</w:t>
            </w:r>
          </w:p>
        </w:tc>
        <w:tc>
          <w:tcPr>
            <w:tcW w:w="1098" w:type="dxa"/>
            <w:noWrap/>
            <w:vAlign w:val="center"/>
          </w:tcPr>
          <w:p w14:paraId="12C216F3">
            <w:pPr>
              <w:jc w:val="center"/>
              <w:rPr>
                <w:sz w:val="22"/>
                <w:szCs w:val="22"/>
              </w:rPr>
            </w:pPr>
            <w:r>
              <w:rPr>
                <w:sz w:val="22"/>
                <w:szCs w:val="22"/>
              </w:rPr>
              <w:t>90,0</w:t>
            </w:r>
          </w:p>
        </w:tc>
        <w:tc>
          <w:tcPr>
            <w:tcW w:w="1817" w:type="dxa"/>
            <w:vAlign w:val="center"/>
          </w:tcPr>
          <w:p w14:paraId="3AF71CCD">
            <w:pPr>
              <w:jc w:val="center"/>
              <w:rPr>
                <w:sz w:val="22"/>
                <w:szCs w:val="22"/>
              </w:rPr>
            </w:pPr>
            <w:r>
              <w:rPr>
                <w:sz w:val="22"/>
                <w:szCs w:val="22"/>
              </w:rPr>
              <w:t>684.000.000</w:t>
            </w:r>
          </w:p>
        </w:tc>
        <w:tc>
          <w:tcPr>
            <w:tcW w:w="1798" w:type="dxa"/>
            <w:vAlign w:val="center"/>
          </w:tcPr>
          <w:p w14:paraId="3518CAFA">
            <w:pPr>
              <w:jc w:val="center"/>
              <w:rPr>
                <w:sz w:val="22"/>
                <w:szCs w:val="22"/>
              </w:rPr>
            </w:pPr>
            <w:r>
              <w:rPr>
                <w:sz w:val="22"/>
                <w:szCs w:val="22"/>
              </w:rPr>
              <w:t>888.000.000</w:t>
            </w:r>
          </w:p>
        </w:tc>
        <w:tc>
          <w:tcPr>
            <w:tcW w:w="1382" w:type="dxa"/>
            <w:noWrap/>
            <w:vAlign w:val="center"/>
          </w:tcPr>
          <w:p w14:paraId="132F9EE2">
            <w:pPr>
              <w:jc w:val="center"/>
              <w:rPr>
                <w:sz w:val="22"/>
                <w:szCs w:val="22"/>
              </w:rPr>
            </w:pPr>
            <w:r>
              <w:rPr>
                <w:sz w:val="22"/>
                <w:szCs w:val="22"/>
              </w:rPr>
              <w:t>1,30%</w:t>
            </w:r>
          </w:p>
        </w:tc>
      </w:tr>
      <w:tr w14:paraId="782E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DA8656D">
            <w:pPr>
              <w:jc w:val="center"/>
              <w:rPr>
                <w:sz w:val="22"/>
                <w:szCs w:val="22"/>
              </w:rPr>
            </w:pPr>
          </w:p>
        </w:tc>
        <w:tc>
          <w:tcPr>
            <w:tcW w:w="1491" w:type="dxa"/>
            <w:noWrap/>
            <w:vAlign w:val="center"/>
          </w:tcPr>
          <w:p w14:paraId="40480B5F">
            <w:pPr>
              <w:jc w:val="center"/>
              <w:rPr>
                <w:sz w:val="22"/>
                <w:szCs w:val="22"/>
              </w:rPr>
            </w:pPr>
          </w:p>
        </w:tc>
        <w:tc>
          <w:tcPr>
            <w:tcW w:w="742" w:type="dxa"/>
            <w:vMerge w:val="continue"/>
            <w:vAlign w:val="center"/>
          </w:tcPr>
          <w:p w14:paraId="26E91042">
            <w:pPr>
              <w:jc w:val="center"/>
              <w:rPr>
                <w:sz w:val="22"/>
                <w:szCs w:val="22"/>
              </w:rPr>
            </w:pPr>
          </w:p>
        </w:tc>
        <w:tc>
          <w:tcPr>
            <w:tcW w:w="676" w:type="dxa"/>
            <w:noWrap/>
            <w:vAlign w:val="center"/>
          </w:tcPr>
          <w:p w14:paraId="56217829">
            <w:pPr>
              <w:jc w:val="center"/>
              <w:rPr>
                <w:sz w:val="22"/>
                <w:szCs w:val="22"/>
              </w:rPr>
            </w:pPr>
            <w:r>
              <w:rPr>
                <w:sz w:val="22"/>
                <w:szCs w:val="22"/>
              </w:rPr>
              <w:t>28</w:t>
            </w:r>
          </w:p>
        </w:tc>
        <w:tc>
          <w:tcPr>
            <w:tcW w:w="1098" w:type="dxa"/>
            <w:noWrap/>
            <w:vAlign w:val="center"/>
          </w:tcPr>
          <w:p w14:paraId="5D0BA1F9">
            <w:pPr>
              <w:jc w:val="center"/>
              <w:rPr>
                <w:sz w:val="22"/>
                <w:szCs w:val="22"/>
              </w:rPr>
            </w:pPr>
            <w:r>
              <w:rPr>
                <w:sz w:val="22"/>
                <w:szCs w:val="22"/>
              </w:rPr>
              <w:t>90,0</w:t>
            </w:r>
          </w:p>
        </w:tc>
        <w:tc>
          <w:tcPr>
            <w:tcW w:w="1817" w:type="dxa"/>
            <w:vAlign w:val="center"/>
          </w:tcPr>
          <w:p w14:paraId="2251A892">
            <w:pPr>
              <w:jc w:val="center"/>
              <w:rPr>
                <w:sz w:val="22"/>
                <w:szCs w:val="22"/>
              </w:rPr>
            </w:pPr>
            <w:r>
              <w:rPr>
                <w:sz w:val="22"/>
                <w:szCs w:val="22"/>
              </w:rPr>
              <w:t>684.000.000</w:t>
            </w:r>
          </w:p>
        </w:tc>
        <w:tc>
          <w:tcPr>
            <w:tcW w:w="1798" w:type="dxa"/>
            <w:vAlign w:val="center"/>
          </w:tcPr>
          <w:p w14:paraId="31BCBE15">
            <w:pPr>
              <w:jc w:val="center"/>
              <w:rPr>
                <w:sz w:val="22"/>
                <w:szCs w:val="22"/>
              </w:rPr>
            </w:pPr>
            <w:r>
              <w:rPr>
                <w:sz w:val="22"/>
                <w:szCs w:val="22"/>
              </w:rPr>
              <w:t>926.000.000</w:t>
            </w:r>
          </w:p>
        </w:tc>
        <w:tc>
          <w:tcPr>
            <w:tcW w:w="1382" w:type="dxa"/>
            <w:noWrap/>
            <w:vAlign w:val="center"/>
          </w:tcPr>
          <w:p w14:paraId="30D50BB0">
            <w:pPr>
              <w:jc w:val="center"/>
              <w:rPr>
                <w:sz w:val="22"/>
                <w:szCs w:val="22"/>
              </w:rPr>
            </w:pPr>
            <w:r>
              <w:rPr>
                <w:sz w:val="22"/>
                <w:szCs w:val="22"/>
              </w:rPr>
              <w:t>1,35%</w:t>
            </w:r>
          </w:p>
        </w:tc>
      </w:tr>
      <w:tr w14:paraId="5519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F7BC505">
            <w:pPr>
              <w:jc w:val="center"/>
              <w:rPr>
                <w:sz w:val="22"/>
                <w:szCs w:val="22"/>
              </w:rPr>
            </w:pPr>
          </w:p>
        </w:tc>
        <w:tc>
          <w:tcPr>
            <w:tcW w:w="1491" w:type="dxa"/>
            <w:noWrap/>
            <w:vAlign w:val="center"/>
          </w:tcPr>
          <w:p w14:paraId="6A4217C5">
            <w:pPr>
              <w:jc w:val="center"/>
              <w:rPr>
                <w:sz w:val="22"/>
                <w:szCs w:val="22"/>
              </w:rPr>
            </w:pPr>
          </w:p>
        </w:tc>
        <w:tc>
          <w:tcPr>
            <w:tcW w:w="742" w:type="dxa"/>
            <w:vMerge w:val="continue"/>
            <w:vAlign w:val="center"/>
          </w:tcPr>
          <w:p w14:paraId="0496E14C">
            <w:pPr>
              <w:jc w:val="center"/>
              <w:rPr>
                <w:sz w:val="22"/>
                <w:szCs w:val="22"/>
              </w:rPr>
            </w:pPr>
          </w:p>
        </w:tc>
        <w:tc>
          <w:tcPr>
            <w:tcW w:w="676" w:type="dxa"/>
            <w:noWrap/>
            <w:vAlign w:val="center"/>
          </w:tcPr>
          <w:p w14:paraId="2B4DD656">
            <w:pPr>
              <w:jc w:val="center"/>
              <w:rPr>
                <w:sz w:val="22"/>
                <w:szCs w:val="22"/>
              </w:rPr>
            </w:pPr>
            <w:r>
              <w:rPr>
                <w:sz w:val="22"/>
                <w:szCs w:val="22"/>
              </w:rPr>
              <w:t>29</w:t>
            </w:r>
          </w:p>
        </w:tc>
        <w:tc>
          <w:tcPr>
            <w:tcW w:w="1098" w:type="dxa"/>
            <w:noWrap/>
            <w:vAlign w:val="center"/>
          </w:tcPr>
          <w:p w14:paraId="64245DC8">
            <w:pPr>
              <w:jc w:val="center"/>
              <w:rPr>
                <w:sz w:val="22"/>
                <w:szCs w:val="22"/>
              </w:rPr>
            </w:pPr>
            <w:r>
              <w:rPr>
                <w:sz w:val="22"/>
                <w:szCs w:val="22"/>
              </w:rPr>
              <w:t>90,0</w:t>
            </w:r>
          </w:p>
        </w:tc>
        <w:tc>
          <w:tcPr>
            <w:tcW w:w="1817" w:type="dxa"/>
            <w:vAlign w:val="center"/>
          </w:tcPr>
          <w:p w14:paraId="622EB8DE">
            <w:pPr>
              <w:jc w:val="center"/>
              <w:rPr>
                <w:sz w:val="22"/>
                <w:szCs w:val="22"/>
              </w:rPr>
            </w:pPr>
            <w:r>
              <w:rPr>
                <w:sz w:val="22"/>
                <w:szCs w:val="22"/>
              </w:rPr>
              <w:t>684.000.000</w:t>
            </w:r>
          </w:p>
        </w:tc>
        <w:tc>
          <w:tcPr>
            <w:tcW w:w="1798" w:type="dxa"/>
            <w:vAlign w:val="center"/>
          </w:tcPr>
          <w:p w14:paraId="3576F61D">
            <w:pPr>
              <w:jc w:val="center"/>
              <w:rPr>
                <w:sz w:val="22"/>
                <w:szCs w:val="22"/>
              </w:rPr>
            </w:pPr>
            <w:r>
              <w:rPr>
                <w:sz w:val="22"/>
                <w:szCs w:val="22"/>
              </w:rPr>
              <w:t>930.000.000</w:t>
            </w:r>
          </w:p>
        </w:tc>
        <w:tc>
          <w:tcPr>
            <w:tcW w:w="1382" w:type="dxa"/>
            <w:noWrap/>
            <w:vAlign w:val="center"/>
          </w:tcPr>
          <w:p w14:paraId="2FCC8BBB">
            <w:pPr>
              <w:jc w:val="center"/>
              <w:rPr>
                <w:sz w:val="22"/>
                <w:szCs w:val="22"/>
              </w:rPr>
            </w:pPr>
            <w:r>
              <w:rPr>
                <w:sz w:val="22"/>
                <w:szCs w:val="22"/>
              </w:rPr>
              <w:t>1,36%</w:t>
            </w:r>
          </w:p>
        </w:tc>
      </w:tr>
      <w:tr w14:paraId="7F26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69B2307">
            <w:pPr>
              <w:jc w:val="center"/>
              <w:rPr>
                <w:sz w:val="22"/>
                <w:szCs w:val="22"/>
              </w:rPr>
            </w:pPr>
          </w:p>
        </w:tc>
        <w:tc>
          <w:tcPr>
            <w:tcW w:w="1491" w:type="dxa"/>
            <w:noWrap/>
            <w:vAlign w:val="center"/>
          </w:tcPr>
          <w:p w14:paraId="489BA0E7">
            <w:pPr>
              <w:jc w:val="center"/>
              <w:rPr>
                <w:sz w:val="22"/>
                <w:szCs w:val="22"/>
              </w:rPr>
            </w:pPr>
          </w:p>
        </w:tc>
        <w:tc>
          <w:tcPr>
            <w:tcW w:w="742" w:type="dxa"/>
            <w:vMerge w:val="continue"/>
            <w:vAlign w:val="center"/>
          </w:tcPr>
          <w:p w14:paraId="1578A433">
            <w:pPr>
              <w:jc w:val="center"/>
              <w:rPr>
                <w:sz w:val="22"/>
                <w:szCs w:val="22"/>
              </w:rPr>
            </w:pPr>
          </w:p>
        </w:tc>
        <w:tc>
          <w:tcPr>
            <w:tcW w:w="676" w:type="dxa"/>
            <w:noWrap/>
            <w:vAlign w:val="center"/>
          </w:tcPr>
          <w:p w14:paraId="503FE9AE">
            <w:pPr>
              <w:jc w:val="center"/>
              <w:rPr>
                <w:sz w:val="22"/>
                <w:szCs w:val="22"/>
              </w:rPr>
            </w:pPr>
            <w:r>
              <w:rPr>
                <w:sz w:val="22"/>
                <w:szCs w:val="22"/>
              </w:rPr>
              <w:t>30</w:t>
            </w:r>
          </w:p>
        </w:tc>
        <w:tc>
          <w:tcPr>
            <w:tcW w:w="1098" w:type="dxa"/>
            <w:noWrap/>
            <w:vAlign w:val="center"/>
          </w:tcPr>
          <w:p w14:paraId="3EF4980B">
            <w:pPr>
              <w:jc w:val="center"/>
              <w:rPr>
                <w:sz w:val="22"/>
                <w:szCs w:val="22"/>
              </w:rPr>
            </w:pPr>
            <w:r>
              <w:rPr>
                <w:sz w:val="22"/>
                <w:szCs w:val="22"/>
              </w:rPr>
              <w:t>90,0</w:t>
            </w:r>
          </w:p>
        </w:tc>
        <w:tc>
          <w:tcPr>
            <w:tcW w:w="1817" w:type="dxa"/>
            <w:vAlign w:val="center"/>
          </w:tcPr>
          <w:p w14:paraId="4879C40C">
            <w:pPr>
              <w:jc w:val="center"/>
              <w:rPr>
                <w:sz w:val="22"/>
                <w:szCs w:val="22"/>
              </w:rPr>
            </w:pPr>
            <w:r>
              <w:rPr>
                <w:sz w:val="22"/>
                <w:szCs w:val="22"/>
              </w:rPr>
              <w:t>684.000.000</w:t>
            </w:r>
          </w:p>
        </w:tc>
        <w:tc>
          <w:tcPr>
            <w:tcW w:w="1798" w:type="dxa"/>
            <w:vAlign w:val="center"/>
          </w:tcPr>
          <w:p w14:paraId="0262E957">
            <w:pPr>
              <w:jc w:val="center"/>
              <w:rPr>
                <w:sz w:val="22"/>
                <w:szCs w:val="22"/>
              </w:rPr>
            </w:pPr>
            <w:r>
              <w:rPr>
                <w:sz w:val="22"/>
                <w:szCs w:val="22"/>
              </w:rPr>
              <w:t>930.000.000</w:t>
            </w:r>
          </w:p>
        </w:tc>
        <w:tc>
          <w:tcPr>
            <w:tcW w:w="1382" w:type="dxa"/>
            <w:noWrap/>
            <w:vAlign w:val="center"/>
          </w:tcPr>
          <w:p w14:paraId="279E4E14">
            <w:pPr>
              <w:jc w:val="center"/>
              <w:rPr>
                <w:sz w:val="22"/>
                <w:szCs w:val="22"/>
              </w:rPr>
            </w:pPr>
            <w:r>
              <w:rPr>
                <w:sz w:val="22"/>
                <w:szCs w:val="22"/>
              </w:rPr>
              <w:t>1,36%</w:t>
            </w:r>
          </w:p>
        </w:tc>
      </w:tr>
      <w:tr w14:paraId="2AB9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2D3B68E">
            <w:pPr>
              <w:jc w:val="center"/>
              <w:rPr>
                <w:sz w:val="22"/>
                <w:szCs w:val="22"/>
              </w:rPr>
            </w:pPr>
          </w:p>
        </w:tc>
        <w:tc>
          <w:tcPr>
            <w:tcW w:w="1491" w:type="dxa"/>
            <w:noWrap/>
            <w:vAlign w:val="center"/>
          </w:tcPr>
          <w:p w14:paraId="3F0F603E">
            <w:pPr>
              <w:jc w:val="center"/>
              <w:rPr>
                <w:sz w:val="22"/>
                <w:szCs w:val="22"/>
              </w:rPr>
            </w:pPr>
          </w:p>
        </w:tc>
        <w:tc>
          <w:tcPr>
            <w:tcW w:w="742" w:type="dxa"/>
            <w:vMerge w:val="continue"/>
            <w:vAlign w:val="center"/>
          </w:tcPr>
          <w:p w14:paraId="4BEC11B3">
            <w:pPr>
              <w:jc w:val="center"/>
              <w:rPr>
                <w:sz w:val="22"/>
                <w:szCs w:val="22"/>
              </w:rPr>
            </w:pPr>
          </w:p>
        </w:tc>
        <w:tc>
          <w:tcPr>
            <w:tcW w:w="676" w:type="dxa"/>
            <w:noWrap/>
            <w:vAlign w:val="center"/>
          </w:tcPr>
          <w:p w14:paraId="3A6FDE70">
            <w:pPr>
              <w:jc w:val="center"/>
              <w:rPr>
                <w:sz w:val="22"/>
                <w:szCs w:val="22"/>
              </w:rPr>
            </w:pPr>
            <w:r>
              <w:rPr>
                <w:sz w:val="22"/>
                <w:szCs w:val="22"/>
              </w:rPr>
              <w:t>31</w:t>
            </w:r>
          </w:p>
        </w:tc>
        <w:tc>
          <w:tcPr>
            <w:tcW w:w="1098" w:type="dxa"/>
            <w:noWrap/>
            <w:vAlign w:val="center"/>
          </w:tcPr>
          <w:p w14:paraId="70B5436E">
            <w:pPr>
              <w:jc w:val="center"/>
              <w:rPr>
                <w:sz w:val="22"/>
                <w:szCs w:val="22"/>
              </w:rPr>
            </w:pPr>
            <w:r>
              <w:rPr>
                <w:sz w:val="22"/>
                <w:szCs w:val="22"/>
              </w:rPr>
              <w:t>90,0</w:t>
            </w:r>
          </w:p>
        </w:tc>
        <w:tc>
          <w:tcPr>
            <w:tcW w:w="1817" w:type="dxa"/>
            <w:vAlign w:val="center"/>
          </w:tcPr>
          <w:p w14:paraId="74E8BD82">
            <w:pPr>
              <w:jc w:val="center"/>
              <w:rPr>
                <w:sz w:val="22"/>
                <w:szCs w:val="22"/>
              </w:rPr>
            </w:pPr>
            <w:r>
              <w:rPr>
                <w:sz w:val="22"/>
                <w:szCs w:val="22"/>
              </w:rPr>
              <w:t>684.000.000</w:t>
            </w:r>
          </w:p>
        </w:tc>
        <w:tc>
          <w:tcPr>
            <w:tcW w:w="1798" w:type="dxa"/>
            <w:vAlign w:val="center"/>
          </w:tcPr>
          <w:p w14:paraId="1FBB0975">
            <w:pPr>
              <w:jc w:val="center"/>
              <w:rPr>
                <w:sz w:val="22"/>
                <w:szCs w:val="22"/>
              </w:rPr>
            </w:pPr>
            <w:r>
              <w:rPr>
                <w:sz w:val="22"/>
                <w:szCs w:val="22"/>
              </w:rPr>
              <w:t>1.006.000.000</w:t>
            </w:r>
          </w:p>
        </w:tc>
        <w:tc>
          <w:tcPr>
            <w:tcW w:w="1382" w:type="dxa"/>
            <w:noWrap/>
            <w:vAlign w:val="center"/>
          </w:tcPr>
          <w:p w14:paraId="65669043">
            <w:pPr>
              <w:jc w:val="center"/>
              <w:rPr>
                <w:sz w:val="22"/>
                <w:szCs w:val="22"/>
              </w:rPr>
            </w:pPr>
            <w:r>
              <w:rPr>
                <w:sz w:val="22"/>
                <w:szCs w:val="22"/>
              </w:rPr>
              <w:t>1,47%</w:t>
            </w:r>
          </w:p>
        </w:tc>
      </w:tr>
      <w:tr w14:paraId="7F0F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2EA82A5">
            <w:pPr>
              <w:jc w:val="center"/>
              <w:rPr>
                <w:sz w:val="22"/>
                <w:szCs w:val="22"/>
              </w:rPr>
            </w:pPr>
          </w:p>
        </w:tc>
        <w:tc>
          <w:tcPr>
            <w:tcW w:w="1491" w:type="dxa"/>
            <w:noWrap/>
            <w:vAlign w:val="center"/>
          </w:tcPr>
          <w:p w14:paraId="19A2C1DF">
            <w:pPr>
              <w:jc w:val="center"/>
              <w:rPr>
                <w:sz w:val="22"/>
                <w:szCs w:val="22"/>
              </w:rPr>
            </w:pPr>
          </w:p>
        </w:tc>
        <w:tc>
          <w:tcPr>
            <w:tcW w:w="742" w:type="dxa"/>
            <w:vMerge w:val="continue"/>
            <w:vAlign w:val="center"/>
          </w:tcPr>
          <w:p w14:paraId="13F437E5">
            <w:pPr>
              <w:jc w:val="center"/>
              <w:rPr>
                <w:sz w:val="22"/>
                <w:szCs w:val="22"/>
              </w:rPr>
            </w:pPr>
          </w:p>
        </w:tc>
        <w:tc>
          <w:tcPr>
            <w:tcW w:w="676" w:type="dxa"/>
            <w:noWrap/>
            <w:vAlign w:val="center"/>
          </w:tcPr>
          <w:p w14:paraId="1B11024B">
            <w:pPr>
              <w:jc w:val="center"/>
              <w:rPr>
                <w:sz w:val="22"/>
                <w:szCs w:val="22"/>
              </w:rPr>
            </w:pPr>
            <w:r>
              <w:rPr>
                <w:sz w:val="22"/>
                <w:szCs w:val="22"/>
              </w:rPr>
              <w:t>32</w:t>
            </w:r>
          </w:p>
        </w:tc>
        <w:tc>
          <w:tcPr>
            <w:tcW w:w="1098" w:type="dxa"/>
            <w:noWrap/>
            <w:vAlign w:val="center"/>
          </w:tcPr>
          <w:p w14:paraId="7691B043">
            <w:pPr>
              <w:jc w:val="center"/>
              <w:rPr>
                <w:sz w:val="22"/>
                <w:szCs w:val="22"/>
              </w:rPr>
            </w:pPr>
            <w:r>
              <w:rPr>
                <w:sz w:val="22"/>
                <w:szCs w:val="22"/>
              </w:rPr>
              <w:t>90,0</w:t>
            </w:r>
          </w:p>
        </w:tc>
        <w:tc>
          <w:tcPr>
            <w:tcW w:w="1817" w:type="dxa"/>
            <w:vAlign w:val="center"/>
          </w:tcPr>
          <w:p w14:paraId="4E24034F">
            <w:pPr>
              <w:jc w:val="center"/>
              <w:rPr>
                <w:sz w:val="22"/>
                <w:szCs w:val="22"/>
              </w:rPr>
            </w:pPr>
            <w:r>
              <w:rPr>
                <w:sz w:val="22"/>
                <w:szCs w:val="22"/>
              </w:rPr>
              <w:t>684.000.000</w:t>
            </w:r>
          </w:p>
        </w:tc>
        <w:tc>
          <w:tcPr>
            <w:tcW w:w="1798" w:type="dxa"/>
            <w:vAlign w:val="center"/>
          </w:tcPr>
          <w:p w14:paraId="569FC909">
            <w:pPr>
              <w:jc w:val="center"/>
              <w:rPr>
                <w:sz w:val="22"/>
                <w:szCs w:val="22"/>
              </w:rPr>
            </w:pPr>
            <w:r>
              <w:rPr>
                <w:sz w:val="22"/>
                <w:szCs w:val="22"/>
              </w:rPr>
              <w:t>920.000.000</w:t>
            </w:r>
          </w:p>
        </w:tc>
        <w:tc>
          <w:tcPr>
            <w:tcW w:w="1382" w:type="dxa"/>
            <w:noWrap/>
            <w:vAlign w:val="center"/>
          </w:tcPr>
          <w:p w14:paraId="4AF04838">
            <w:pPr>
              <w:jc w:val="center"/>
              <w:rPr>
                <w:sz w:val="22"/>
                <w:szCs w:val="22"/>
              </w:rPr>
            </w:pPr>
            <w:r>
              <w:rPr>
                <w:sz w:val="22"/>
                <w:szCs w:val="22"/>
              </w:rPr>
              <w:t>1,35%</w:t>
            </w:r>
          </w:p>
        </w:tc>
      </w:tr>
      <w:tr w14:paraId="4D73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BE4355B">
            <w:pPr>
              <w:jc w:val="center"/>
              <w:rPr>
                <w:sz w:val="22"/>
                <w:szCs w:val="22"/>
              </w:rPr>
            </w:pPr>
          </w:p>
        </w:tc>
        <w:tc>
          <w:tcPr>
            <w:tcW w:w="1491" w:type="dxa"/>
            <w:noWrap/>
            <w:vAlign w:val="center"/>
          </w:tcPr>
          <w:p w14:paraId="4CDF8FBE">
            <w:pPr>
              <w:jc w:val="center"/>
              <w:rPr>
                <w:sz w:val="22"/>
                <w:szCs w:val="22"/>
              </w:rPr>
            </w:pPr>
          </w:p>
        </w:tc>
        <w:tc>
          <w:tcPr>
            <w:tcW w:w="742" w:type="dxa"/>
            <w:vMerge w:val="restart"/>
            <w:vAlign w:val="center"/>
          </w:tcPr>
          <w:p w14:paraId="379A41E4">
            <w:pPr>
              <w:jc w:val="center"/>
              <w:rPr>
                <w:sz w:val="22"/>
                <w:szCs w:val="22"/>
              </w:rPr>
            </w:pPr>
            <w:r>
              <w:rPr>
                <w:sz w:val="22"/>
                <w:szCs w:val="22"/>
              </w:rPr>
              <w:t>LK11</w:t>
            </w:r>
          </w:p>
        </w:tc>
        <w:tc>
          <w:tcPr>
            <w:tcW w:w="676" w:type="dxa"/>
            <w:noWrap/>
            <w:vAlign w:val="center"/>
          </w:tcPr>
          <w:p w14:paraId="33DEA7D0">
            <w:pPr>
              <w:jc w:val="center"/>
              <w:rPr>
                <w:sz w:val="22"/>
                <w:szCs w:val="22"/>
              </w:rPr>
            </w:pPr>
            <w:r>
              <w:rPr>
                <w:sz w:val="22"/>
                <w:szCs w:val="22"/>
              </w:rPr>
              <w:t>1</w:t>
            </w:r>
          </w:p>
        </w:tc>
        <w:tc>
          <w:tcPr>
            <w:tcW w:w="1098" w:type="dxa"/>
            <w:noWrap/>
            <w:vAlign w:val="center"/>
          </w:tcPr>
          <w:p w14:paraId="7FD8A42F">
            <w:pPr>
              <w:jc w:val="center"/>
              <w:rPr>
                <w:sz w:val="22"/>
                <w:szCs w:val="22"/>
              </w:rPr>
            </w:pPr>
            <w:r>
              <w:rPr>
                <w:sz w:val="22"/>
                <w:szCs w:val="22"/>
              </w:rPr>
              <w:t>112,5</w:t>
            </w:r>
          </w:p>
        </w:tc>
        <w:tc>
          <w:tcPr>
            <w:tcW w:w="1817" w:type="dxa"/>
            <w:vAlign w:val="center"/>
          </w:tcPr>
          <w:p w14:paraId="351FA62C">
            <w:pPr>
              <w:jc w:val="center"/>
              <w:rPr>
                <w:sz w:val="22"/>
                <w:szCs w:val="22"/>
              </w:rPr>
            </w:pPr>
            <w:r>
              <w:rPr>
                <w:sz w:val="22"/>
                <w:szCs w:val="22"/>
              </w:rPr>
              <w:t>918.000.000</w:t>
            </w:r>
          </w:p>
        </w:tc>
        <w:tc>
          <w:tcPr>
            <w:tcW w:w="1798" w:type="dxa"/>
            <w:vAlign w:val="center"/>
          </w:tcPr>
          <w:p w14:paraId="1A36ACA5">
            <w:pPr>
              <w:jc w:val="center"/>
              <w:rPr>
                <w:sz w:val="22"/>
                <w:szCs w:val="22"/>
              </w:rPr>
            </w:pPr>
            <w:r>
              <w:rPr>
                <w:sz w:val="22"/>
                <w:szCs w:val="22"/>
              </w:rPr>
              <w:t>1.321.500.000</w:t>
            </w:r>
          </w:p>
        </w:tc>
        <w:tc>
          <w:tcPr>
            <w:tcW w:w="1382" w:type="dxa"/>
            <w:noWrap/>
            <w:vAlign w:val="center"/>
          </w:tcPr>
          <w:p w14:paraId="3E89F46F">
            <w:pPr>
              <w:jc w:val="center"/>
              <w:rPr>
                <w:sz w:val="22"/>
                <w:szCs w:val="22"/>
              </w:rPr>
            </w:pPr>
            <w:r>
              <w:rPr>
                <w:sz w:val="22"/>
                <w:szCs w:val="22"/>
              </w:rPr>
              <w:t>1,44%</w:t>
            </w:r>
          </w:p>
        </w:tc>
      </w:tr>
      <w:tr w14:paraId="02CE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1B49ED0">
            <w:pPr>
              <w:jc w:val="center"/>
              <w:rPr>
                <w:sz w:val="22"/>
                <w:szCs w:val="22"/>
              </w:rPr>
            </w:pPr>
          </w:p>
        </w:tc>
        <w:tc>
          <w:tcPr>
            <w:tcW w:w="1491" w:type="dxa"/>
            <w:noWrap/>
            <w:vAlign w:val="center"/>
          </w:tcPr>
          <w:p w14:paraId="193D7080">
            <w:pPr>
              <w:jc w:val="center"/>
              <w:rPr>
                <w:sz w:val="22"/>
                <w:szCs w:val="22"/>
              </w:rPr>
            </w:pPr>
          </w:p>
        </w:tc>
        <w:tc>
          <w:tcPr>
            <w:tcW w:w="742" w:type="dxa"/>
            <w:vMerge w:val="continue"/>
            <w:vAlign w:val="center"/>
          </w:tcPr>
          <w:p w14:paraId="6511974B">
            <w:pPr>
              <w:jc w:val="center"/>
              <w:rPr>
                <w:sz w:val="22"/>
                <w:szCs w:val="22"/>
              </w:rPr>
            </w:pPr>
          </w:p>
        </w:tc>
        <w:tc>
          <w:tcPr>
            <w:tcW w:w="676" w:type="dxa"/>
            <w:noWrap/>
            <w:vAlign w:val="center"/>
          </w:tcPr>
          <w:p w14:paraId="6EE60C4F">
            <w:pPr>
              <w:jc w:val="center"/>
              <w:rPr>
                <w:sz w:val="22"/>
                <w:szCs w:val="22"/>
              </w:rPr>
            </w:pPr>
            <w:r>
              <w:rPr>
                <w:sz w:val="22"/>
                <w:szCs w:val="22"/>
              </w:rPr>
              <w:t>11</w:t>
            </w:r>
          </w:p>
        </w:tc>
        <w:tc>
          <w:tcPr>
            <w:tcW w:w="1098" w:type="dxa"/>
            <w:noWrap/>
            <w:vAlign w:val="center"/>
          </w:tcPr>
          <w:p w14:paraId="0A731A67">
            <w:pPr>
              <w:jc w:val="center"/>
              <w:rPr>
                <w:sz w:val="22"/>
                <w:szCs w:val="22"/>
              </w:rPr>
            </w:pPr>
            <w:r>
              <w:rPr>
                <w:sz w:val="22"/>
                <w:szCs w:val="22"/>
              </w:rPr>
              <w:t>112,0</w:t>
            </w:r>
          </w:p>
        </w:tc>
        <w:tc>
          <w:tcPr>
            <w:tcW w:w="1817" w:type="dxa"/>
            <w:vAlign w:val="center"/>
          </w:tcPr>
          <w:p w14:paraId="7CC8A3E0">
            <w:pPr>
              <w:jc w:val="center"/>
              <w:rPr>
                <w:sz w:val="22"/>
                <w:szCs w:val="22"/>
              </w:rPr>
            </w:pPr>
            <w:r>
              <w:rPr>
                <w:sz w:val="22"/>
                <w:szCs w:val="22"/>
              </w:rPr>
              <w:t>913.920.000</w:t>
            </w:r>
          </w:p>
        </w:tc>
        <w:tc>
          <w:tcPr>
            <w:tcW w:w="1798" w:type="dxa"/>
            <w:vAlign w:val="center"/>
          </w:tcPr>
          <w:p w14:paraId="3843CD00">
            <w:pPr>
              <w:jc w:val="center"/>
              <w:rPr>
                <w:sz w:val="22"/>
                <w:szCs w:val="22"/>
              </w:rPr>
            </w:pPr>
            <w:r>
              <w:rPr>
                <w:sz w:val="22"/>
                <w:szCs w:val="22"/>
              </w:rPr>
              <w:t>1.419.000.000</w:t>
            </w:r>
          </w:p>
        </w:tc>
        <w:tc>
          <w:tcPr>
            <w:tcW w:w="1382" w:type="dxa"/>
            <w:noWrap/>
            <w:vAlign w:val="center"/>
          </w:tcPr>
          <w:p w14:paraId="1C1C3FF6">
            <w:pPr>
              <w:jc w:val="center"/>
              <w:rPr>
                <w:sz w:val="22"/>
                <w:szCs w:val="22"/>
              </w:rPr>
            </w:pPr>
            <w:r>
              <w:rPr>
                <w:sz w:val="22"/>
                <w:szCs w:val="22"/>
              </w:rPr>
              <w:t>1,55%</w:t>
            </w:r>
          </w:p>
        </w:tc>
      </w:tr>
      <w:tr w14:paraId="2AE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553163C">
            <w:pPr>
              <w:jc w:val="center"/>
              <w:rPr>
                <w:sz w:val="22"/>
                <w:szCs w:val="22"/>
              </w:rPr>
            </w:pPr>
          </w:p>
        </w:tc>
        <w:tc>
          <w:tcPr>
            <w:tcW w:w="1491" w:type="dxa"/>
            <w:noWrap/>
            <w:vAlign w:val="center"/>
          </w:tcPr>
          <w:p w14:paraId="1F88DEB5">
            <w:pPr>
              <w:jc w:val="center"/>
              <w:rPr>
                <w:sz w:val="22"/>
                <w:szCs w:val="22"/>
              </w:rPr>
            </w:pPr>
          </w:p>
        </w:tc>
        <w:tc>
          <w:tcPr>
            <w:tcW w:w="742" w:type="dxa"/>
            <w:vMerge w:val="continue"/>
            <w:vAlign w:val="center"/>
          </w:tcPr>
          <w:p w14:paraId="60D4873D">
            <w:pPr>
              <w:jc w:val="center"/>
              <w:rPr>
                <w:sz w:val="22"/>
                <w:szCs w:val="22"/>
              </w:rPr>
            </w:pPr>
          </w:p>
        </w:tc>
        <w:tc>
          <w:tcPr>
            <w:tcW w:w="676" w:type="dxa"/>
            <w:noWrap/>
            <w:vAlign w:val="center"/>
          </w:tcPr>
          <w:p w14:paraId="545525EC">
            <w:pPr>
              <w:jc w:val="center"/>
              <w:rPr>
                <w:sz w:val="22"/>
                <w:szCs w:val="22"/>
              </w:rPr>
            </w:pPr>
            <w:r>
              <w:rPr>
                <w:sz w:val="22"/>
                <w:szCs w:val="22"/>
              </w:rPr>
              <w:t>12</w:t>
            </w:r>
          </w:p>
        </w:tc>
        <w:tc>
          <w:tcPr>
            <w:tcW w:w="1098" w:type="dxa"/>
            <w:noWrap/>
            <w:vAlign w:val="center"/>
          </w:tcPr>
          <w:p w14:paraId="619CA4C0">
            <w:pPr>
              <w:jc w:val="center"/>
              <w:rPr>
                <w:sz w:val="22"/>
                <w:szCs w:val="22"/>
              </w:rPr>
            </w:pPr>
            <w:r>
              <w:rPr>
                <w:sz w:val="22"/>
                <w:szCs w:val="22"/>
              </w:rPr>
              <w:t>112,0</w:t>
            </w:r>
          </w:p>
        </w:tc>
        <w:tc>
          <w:tcPr>
            <w:tcW w:w="1817" w:type="dxa"/>
            <w:vAlign w:val="center"/>
          </w:tcPr>
          <w:p w14:paraId="516947AB">
            <w:pPr>
              <w:jc w:val="center"/>
              <w:rPr>
                <w:sz w:val="22"/>
                <w:szCs w:val="22"/>
              </w:rPr>
            </w:pPr>
            <w:r>
              <w:rPr>
                <w:sz w:val="22"/>
                <w:szCs w:val="22"/>
              </w:rPr>
              <w:t>913.920.000</w:t>
            </w:r>
          </w:p>
        </w:tc>
        <w:tc>
          <w:tcPr>
            <w:tcW w:w="1798" w:type="dxa"/>
            <w:vAlign w:val="center"/>
          </w:tcPr>
          <w:p w14:paraId="4EEF56DE">
            <w:pPr>
              <w:jc w:val="center"/>
              <w:rPr>
                <w:sz w:val="22"/>
                <w:szCs w:val="22"/>
              </w:rPr>
            </w:pPr>
            <w:r>
              <w:rPr>
                <w:sz w:val="22"/>
                <w:szCs w:val="22"/>
              </w:rPr>
              <w:t>1.539.000.000</w:t>
            </w:r>
          </w:p>
        </w:tc>
        <w:tc>
          <w:tcPr>
            <w:tcW w:w="1382" w:type="dxa"/>
            <w:noWrap/>
            <w:vAlign w:val="center"/>
          </w:tcPr>
          <w:p w14:paraId="4EE46421">
            <w:pPr>
              <w:jc w:val="center"/>
              <w:rPr>
                <w:sz w:val="22"/>
                <w:szCs w:val="22"/>
              </w:rPr>
            </w:pPr>
            <w:r>
              <w:rPr>
                <w:sz w:val="22"/>
                <w:szCs w:val="22"/>
              </w:rPr>
              <w:t>1,68%</w:t>
            </w:r>
          </w:p>
        </w:tc>
      </w:tr>
      <w:tr w14:paraId="5FC8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1BAA4DE">
            <w:pPr>
              <w:jc w:val="center"/>
              <w:rPr>
                <w:sz w:val="22"/>
                <w:szCs w:val="22"/>
              </w:rPr>
            </w:pPr>
          </w:p>
        </w:tc>
        <w:tc>
          <w:tcPr>
            <w:tcW w:w="1491" w:type="dxa"/>
            <w:noWrap/>
            <w:vAlign w:val="center"/>
          </w:tcPr>
          <w:p w14:paraId="3053A6BA">
            <w:pPr>
              <w:jc w:val="center"/>
              <w:rPr>
                <w:sz w:val="22"/>
                <w:szCs w:val="22"/>
              </w:rPr>
            </w:pPr>
          </w:p>
        </w:tc>
        <w:tc>
          <w:tcPr>
            <w:tcW w:w="742" w:type="dxa"/>
            <w:vMerge w:val="continue"/>
            <w:vAlign w:val="center"/>
          </w:tcPr>
          <w:p w14:paraId="142FEB64">
            <w:pPr>
              <w:jc w:val="center"/>
              <w:rPr>
                <w:sz w:val="22"/>
                <w:szCs w:val="22"/>
              </w:rPr>
            </w:pPr>
          </w:p>
        </w:tc>
        <w:tc>
          <w:tcPr>
            <w:tcW w:w="676" w:type="dxa"/>
            <w:noWrap/>
            <w:vAlign w:val="center"/>
          </w:tcPr>
          <w:p w14:paraId="0D660930">
            <w:pPr>
              <w:jc w:val="center"/>
              <w:rPr>
                <w:sz w:val="22"/>
                <w:szCs w:val="22"/>
              </w:rPr>
            </w:pPr>
            <w:r>
              <w:rPr>
                <w:sz w:val="22"/>
                <w:szCs w:val="22"/>
              </w:rPr>
              <w:t>14</w:t>
            </w:r>
          </w:p>
        </w:tc>
        <w:tc>
          <w:tcPr>
            <w:tcW w:w="1098" w:type="dxa"/>
            <w:noWrap/>
            <w:vAlign w:val="center"/>
          </w:tcPr>
          <w:p w14:paraId="1E7B3036">
            <w:pPr>
              <w:jc w:val="center"/>
              <w:rPr>
                <w:sz w:val="22"/>
                <w:szCs w:val="22"/>
              </w:rPr>
            </w:pPr>
            <w:r>
              <w:rPr>
                <w:sz w:val="22"/>
                <w:szCs w:val="22"/>
              </w:rPr>
              <w:t>90,0</w:t>
            </w:r>
          </w:p>
        </w:tc>
        <w:tc>
          <w:tcPr>
            <w:tcW w:w="1817" w:type="dxa"/>
            <w:vAlign w:val="center"/>
          </w:tcPr>
          <w:p w14:paraId="76F53CD0">
            <w:pPr>
              <w:jc w:val="center"/>
              <w:rPr>
                <w:sz w:val="22"/>
                <w:szCs w:val="22"/>
              </w:rPr>
            </w:pPr>
            <w:r>
              <w:rPr>
                <w:sz w:val="22"/>
                <w:szCs w:val="22"/>
              </w:rPr>
              <w:t>612.000.000</w:t>
            </w:r>
          </w:p>
        </w:tc>
        <w:tc>
          <w:tcPr>
            <w:tcW w:w="1798" w:type="dxa"/>
            <w:vAlign w:val="center"/>
          </w:tcPr>
          <w:p w14:paraId="392AF66B">
            <w:pPr>
              <w:jc w:val="center"/>
              <w:rPr>
                <w:sz w:val="22"/>
                <w:szCs w:val="22"/>
              </w:rPr>
            </w:pPr>
            <w:r>
              <w:rPr>
                <w:sz w:val="22"/>
                <w:szCs w:val="22"/>
              </w:rPr>
              <w:t>1.168.000.000</w:t>
            </w:r>
          </w:p>
        </w:tc>
        <w:tc>
          <w:tcPr>
            <w:tcW w:w="1382" w:type="dxa"/>
            <w:noWrap/>
            <w:vAlign w:val="center"/>
          </w:tcPr>
          <w:p w14:paraId="403C2E47">
            <w:pPr>
              <w:jc w:val="center"/>
              <w:rPr>
                <w:sz w:val="22"/>
                <w:szCs w:val="22"/>
              </w:rPr>
            </w:pPr>
            <w:r>
              <w:rPr>
                <w:sz w:val="22"/>
                <w:szCs w:val="22"/>
              </w:rPr>
              <w:t>1,91%</w:t>
            </w:r>
          </w:p>
        </w:tc>
      </w:tr>
      <w:tr w14:paraId="417F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F09F8AC">
            <w:pPr>
              <w:jc w:val="center"/>
              <w:rPr>
                <w:sz w:val="22"/>
                <w:szCs w:val="22"/>
              </w:rPr>
            </w:pPr>
          </w:p>
        </w:tc>
        <w:tc>
          <w:tcPr>
            <w:tcW w:w="1491" w:type="dxa"/>
            <w:noWrap/>
            <w:vAlign w:val="center"/>
          </w:tcPr>
          <w:p w14:paraId="5C959D46">
            <w:pPr>
              <w:jc w:val="center"/>
              <w:rPr>
                <w:sz w:val="22"/>
                <w:szCs w:val="22"/>
              </w:rPr>
            </w:pPr>
          </w:p>
        </w:tc>
        <w:tc>
          <w:tcPr>
            <w:tcW w:w="742" w:type="dxa"/>
            <w:vMerge w:val="continue"/>
            <w:vAlign w:val="center"/>
          </w:tcPr>
          <w:p w14:paraId="72BF6882">
            <w:pPr>
              <w:jc w:val="center"/>
              <w:rPr>
                <w:sz w:val="22"/>
                <w:szCs w:val="22"/>
              </w:rPr>
            </w:pPr>
          </w:p>
        </w:tc>
        <w:tc>
          <w:tcPr>
            <w:tcW w:w="676" w:type="dxa"/>
            <w:noWrap/>
            <w:vAlign w:val="center"/>
          </w:tcPr>
          <w:p w14:paraId="34193A83">
            <w:pPr>
              <w:jc w:val="center"/>
              <w:rPr>
                <w:sz w:val="22"/>
                <w:szCs w:val="22"/>
              </w:rPr>
            </w:pPr>
            <w:r>
              <w:rPr>
                <w:sz w:val="22"/>
                <w:szCs w:val="22"/>
              </w:rPr>
              <w:t>15</w:t>
            </w:r>
          </w:p>
        </w:tc>
        <w:tc>
          <w:tcPr>
            <w:tcW w:w="1098" w:type="dxa"/>
            <w:noWrap/>
            <w:vAlign w:val="center"/>
          </w:tcPr>
          <w:p w14:paraId="46E69406">
            <w:pPr>
              <w:jc w:val="center"/>
              <w:rPr>
                <w:sz w:val="22"/>
                <w:szCs w:val="22"/>
              </w:rPr>
            </w:pPr>
            <w:r>
              <w:rPr>
                <w:sz w:val="22"/>
                <w:szCs w:val="22"/>
              </w:rPr>
              <w:t>90,0</w:t>
            </w:r>
          </w:p>
        </w:tc>
        <w:tc>
          <w:tcPr>
            <w:tcW w:w="1817" w:type="dxa"/>
            <w:vAlign w:val="center"/>
          </w:tcPr>
          <w:p w14:paraId="16C97B41">
            <w:pPr>
              <w:jc w:val="center"/>
              <w:rPr>
                <w:sz w:val="22"/>
                <w:szCs w:val="22"/>
              </w:rPr>
            </w:pPr>
            <w:r>
              <w:rPr>
                <w:sz w:val="22"/>
                <w:szCs w:val="22"/>
              </w:rPr>
              <w:t>612.000.000</w:t>
            </w:r>
          </w:p>
        </w:tc>
        <w:tc>
          <w:tcPr>
            <w:tcW w:w="1798" w:type="dxa"/>
            <w:vAlign w:val="center"/>
          </w:tcPr>
          <w:p w14:paraId="4A8A349E">
            <w:pPr>
              <w:jc w:val="center"/>
              <w:rPr>
                <w:sz w:val="22"/>
                <w:szCs w:val="22"/>
              </w:rPr>
            </w:pPr>
            <w:r>
              <w:rPr>
                <w:sz w:val="22"/>
                <w:szCs w:val="22"/>
              </w:rPr>
              <w:t>779.000.000</w:t>
            </w:r>
          </w:p>
        </w:tc>
        <w:tc>
          <w:tcPr>
            <w:tcW w:w="1382" w:type="dxa"/>
            <w:noWrap/>
            <w:vAlign w:val="center"/>
          </w:tcPr>
          <w:p w14:paraId="33118098">
            <w:pPr>
              <w:jc w:val="center"/>
              <w:rPr>
                <w:sz w:val="22"/>
                <w:szCs w:val="22"/>
              </w:rPr>
            </w:pPr>
            <w:r>
              <w:rPr>
                <w:sz w:val="22"/>
                <w:szCs w:val="22"/>
              </w:rPr>
              <w:t>1,27%</w:t>
            </w:r>
          </w:p>
        </w:tc>
      </w:tr>
      <w:tr w14:paraId="4996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294AB9C">
            <w:pPr>
              <w:jc w:val="center"/>
              <w:rPr>
                <w:sz w:val="22"/>
                <w:szCs w:val="22"/>
              </w:rPr>
            </w:pPr>
          </w:p>
        </w:tc>
        <w:tc>
          <w:tcPr>
            <w:tcW w:w="1491" w:type="dxa"/>
            <w:noWrap/>
            <w:vAlign w:val="center"/>
          </w:tcPr>
          <w:p w14:paraId="5C884594">
            <w:pPr>
              <w:jc w:val="center"/>
              <w:rPr>
                <w:sz w:val="22"/>
                <w:szCs w:val="22"/>
              </w:rPr>
            </w:pPr>
          </w:p>
        </w:tc>
        <w:tc>
          <w:tcPr>
            <w:tcW w:w="742" w:type="dxa"/>
            <w:vMerge w:val="continue"/>
            <w:vAlign w:val="center"/>
          </w:tcPr>
          <w:p w14:paraId="72E22AA9">
            <w:pPr>
              <w:jc w:val="center"/>
              <w:rPr>
                <w:sz w:val="22"/>
                <w:szCs w:val="22"/>
              </w:rPr>
            </w:pPr>
          </w:p>
        </w:tc>
        <w:tc>
          <w:tcPr>
            <w:tcW w:w="676" w:type="dxa"/>
            <w:noWrap/>
            <w:vAlign w:val="center"/>
          </w:tcPr>
          <w:p w14:paraId="698B84D0">
            <w:pPr>
              <w:jc w:val="center"/>
              <w:rPr>
                <w:sz w:val="22"/>
                <w:szCs w:val="22"/>
              </w:rPr>
            </w:pPr>
            <w:r>
              <w:rPr>
                <w:sz w:val="22"/>
                <w:szCs w:val="22"/>
              </w:rPr>
              <w:t>16</w:t>
            </w:r>
          </w:p>
        </w:tc>
        <w:tc>
          <w:tcPr>
            <w:tcW w:w="1098" w:type="dxa"/>
            <w:noWrap/>
            <w:vAlign w:val="center"/>
          </w:tcPr>
          <w:p w14:paraId="2872FD4D">
            <w:pPr>
              <w:jc w:val="center"/>
              <w:rPr>
                <w:sz w:val="22"/>
                <w:szCs w:val="22"/>
              </w:rPr>
            </w:pPr>
            <w:r>
              <w:rPr>
                <w:sz w:val="22"/>
                <w:szCs w:val="22"/>
              </w:rPr>
              <w:t>90,0</w:t>
            </w:r>
          </w:p>
        </w:tc>
        <w:tc>
          <w:tcPr>
            <w:tcW w:w="1817" w:type="dxa"/>
            <w:vAlign w:val="center"/>
          </w:tcPr>
          <w:p w14:paraId="5E6C2F5D">
            <w:pPr>
              <w:jc w:val="center"/>
              <w:rPr>
                <w:sz w:val="22"/>
                <w:szCs w:val="22"/>
              </w:rPr>
            </w:pPr>
            <w:r>
              <w:rPr>
                <w:sz w:val="22"/>
                <w:szCs w:val="22"/>
              </w:rPr>
              <w:t>612.000.000</w:t>
            </w:r>
          </w:p>
        </w:tc>
        <w:tc>
          <w:tcPr>
            <w:tcW w:w="1798" w:type="dxa"/>
            <w:vAlign w:val="center"/>
          </w:tcPr>
          <w:p w14:paraId="7761EC0E">
            <w:pPr>
              <w:jc w:val="center"/>
              <w:rPr>
                <w:sz w:val="22"/>
                <w:szCs w:val="22"/>
              </w:rPr>
            </w:pPr>
            <w:r>
              <w:rPr>
                <w:sz w:val="22"/>
                <w:szCs w:val="22"/>
              </w:rPr>
              <w:t>745.000.000</w:t>
            </w:r>
          </w:p>
        </w:tc>
        <w:tc>
          <w:tcPr>
            <w:tcW w:w="1382" w:type="dxa"/>
            <w:noWrap/>
            <w:vAlign w:val="center"/>
          </w:tcPr>
          <w:p w14:paraId="02A9DD29">
            <w:pPr>
              <w:jc w:val="center"/>
              <w:rPr>
                <w:sz w:val="22"/>
                <w:szCs w:val="22"/>
              </w:rPr>
            </w:pPr>
            <w:r>
              <w:rPr>
                <w:sz w:val="22"/>
                <w:szCs w:val="22"/>
              </w:rPr>
              <w:t>1,22%</w:t>
            </w:r>
          </w:p>
        </w:tc>
      </w:tr>
      <w:tr w14:paraId="4B8C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EBC1480">
            <w:pPr>
              <w:jc w:val="center"/>
              <w:rPr>
                <w:sz w:val="22"/>
                <w:szCs w:val="22"/>
              </w:rPr>
            </w:pPr>
          </w:p>
        </w:tc>
        <w:tc>
          <w:tcPr>
            <w:tcW w:w="1491" w:type="dxa"/>
            <w:noWrap/>
            <w:vAlign w:val="center"/>
          </w:tcPr>
          <w:p w14:paraId="306B3257">
            <w:pPr>
              <w:jc w:val="center"/>
              <w:rPr>
                <w:sz w:val="22"/>
                <w:szCs w:val="22"/>
              </w:rPr>
            </w:pPr>
          </w:p>
        </w:tc>
        <w:tc>
          <w:tcPr>
            <w:tcW w:w="742" w:type="dxa"/>
            <w:vMerge w:val="continue"/>
            <w:vAlign w:val="center"/>
          </w:tcPr>
          <w:p w14:paraId="1B770428">
            <w:pPr>
              <w:jc w:val="center"/>
              <w:rPr>
                <w:sz w:val="22"/>
                <w:szCs w:val="22"/>
              </w:rPr>
            </w:pPr>
          </w:p>
        </w:tc>
        <w:tc>
          <w:tcPr>
            <w:tcW w:w="676" w:type="dxa"/>
            <w:noWrap/>
            <w:vAlign w:val="center"/>
          </w:tcPr>
          <w:p w14:paraId="3FE7301F">
            <w:pPr>
              <w:jc w:val="center"/>
              <w:rPr>
                <w:sz w:val="22"/>
                <w:szCs w:val="22"/>
              </w:rPr>
            </w:pPr>
            <w:r>
              <w:rPr>
                <w:sz w:val="22"/>
                <w:szCs w:val="22"/>
              </w:rPr>
              <w:t>17</w:t>
            </w:r>
          </w:p>
        </w:tc>
        <w:tc>
          <w:tcPr>
            <w:tcW w:w="1098" w:type="dxa"/>
            <w:noWrap/>
            <w:vAlign w:val="center"/>
          </w:tcPr>
          <w:p w14:paraId="232DFAF1">
            <w:pPr>
              <w:jc w:val="center"/>
              <w:rPr>
                <w:sz w:val="22"/>
                <w:szCs w:val="22"/>
              </w:rPr>
            </w:pPr>
            <w:r>
              <w:rPr>
                <w:sz w:val="22"/>
                <w:szCs w:val="22"/>
              </w:rPr>
              <w:t>90,0</w:t>
            </w:r>
          </w:p>
        </w:tc>
        <w:tc>
          <w:tcPr>
            <w:tcW w:w="1817" w:type="dxa"/>
            <w:vAlign w:val="center"/>
          </w:tcPr>
          <w:p w14:paraId="3600B5AF">
            <w:pPr>
              <w:jc w:val="center"/>
              <w:rPr>
                <w:sz w:val="22"/>
                <w:szCs w:val="22"/>
              </w:rPr>
            </w:pPr>
            <w:r>
              <w:rPr>
                <w:sz w:val="22"/>
                <w:szCs w:val="22"/>
              </w:rPr>
              <w:t>612.000.000</w:t>
            </w:r>
          </w:p>
        </w:tc>
        <w:tc>
          <w:tcPr>
            <w:tcW w:w="1798" w:type="dxa"/>
            <w:vAlign w:val="center"/>
          </w:tcPr>
          <w:p w14:paraId="5446D503">
            <w:pPr>
              <w:jc w:val="center"/>
              <w:rPr>
                <w:sz w:val="22"/>
                <w:szCs w:val="22"/>
              </w:rPr>
            </w:pPr>
            <w:r>
              <w:rPr>
                <w:sz w:val="22"/>
                <w:szCs w:val="22"/>
              </w:rPr>
              <w:t>977.000.000</w:t>
            </w:r>
          </w:p>
        </w:tc>
        <w:tc>
          <w:tcPr>
            <w:tcW w:w="1382" w:type="dxa"/>
            <w:noWrap/>
            <w:vAlign w:val="center"/>
          </w:tcPr>
          <w:p w14:paraId="3C66B725">
            <w:pPr>
              <w:jc w:val="center"/>
              <w:rPr>
                <w:sz w:val="22"/>
                <w:szCs w:val="22"/>
              </w:rPr>
            </w:pPr>
            <w:r>
              <w:rPr>
                <w:sz w:val="22"/>
                <w:szCs w:val="22"/>
              </w:rPr>
              <w:t>1,60%</w:t>
            </w:r>
          </w:p>
        </w:tc>
      </w:tr>
      <w:tr w14:paraId="5F2B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742B34A">
            <w:pPr>
              <w:jc w:val="center"/>
              <w:rPr>
                <w:sz w:val="22"/>
                <w:szCs w:val="22"/>
              </w:rPr>
            </w:pPr>
          </w:p>
        </w:tc>
        <w:tc>
          <w:tcPr>
            <w:tcW w:w="1491" w:type="dxa"/>
            <w:noWrap/>
            <w:vAlign w:val="center"/>
          </w:tcPr>
          <w:p w14:paraId="54E51A30">
            <w:pPr>
              <w:jc w:val="center"/>
              <w:rPr>
                <w:sz w:val="22"/>
                <w:szCs w:val="22"/>
              </w:rPr>
            </w:pPr>
          </w:p>
        </w:tc>
        <w:tc>
          <w:tcPr>
            <w:tcW w:w="742" w:type="dxa"/>
            <w:vMerge w:val="continue"/>
            <w:vAlign w:val="center"/>
          </w:tcPr>
          <w:p w14:paraId="742A8A76">
            <w:pPr>
              <w:jc w:val="center"/>
              <w:rPr>
                <w:sz w:val="22"/>
                <w:szCs w:val="22"/>
              </w:rPr>
            </w:pPr>
          </w:p>
        </w:tc>
        <w:tc>
          <w:tcPr>
            <w:tcW w:w="676" w:type="dxa"/>
            <w:noWrap/>
            <w:vAlign w:val="center"/>
          </w:tcPr>
          <w:p w14:paraId="1F0EC7B5">
            <w:pPr>
              <w:jc w:val="center"/>
              <w:rPr>
                <w:sz w:val="22"/>
                <w:szCs w:val="22"/>
              </w:rPr>
            </w:pPr>
            <w:r>
              <w:rPr>
                <w:sz w:val="22"/>
                <w:szCs w:val="22"/>
              </w:rPr>
              <w:t>18</w:t>
            </w:r>
          </w:p>
        </w:tc>
        <w:tc>
          <w:tcPr>
            <w:tcW w:w="1098" w:type="dxa"/>
            <w:noWrap/>
            <w:vAlign w:val="center"/>
          </w:tcPr>
          <w:p w14:paraId="15102188">
            <w:pPr>
              <w:jc w:val="center"/>
              <w:rPr>
                <w:sz w:val="22"/>
                <w:szCs w:val="22"/>
              </w:rPr>
            </w:pPr>
            <w:r>
              <w:rPr>
                <w:sz w:val="22"/>
                <w:szCs w:val="22"/>
              </w:rPr>
              <w:t>90,0</w:t>
            </w:r>
          </w:p>
        </w:tc>
        <w:tc>
          <w:tcPr>
            <w:tcW w:w="1817" w:type="dxa"/>
            <w:vAlign w:val="center"/>
          </w:tcPr>
          <w:p w14:paraId="26E3096B">
            <w:pPr>
              <w:jc w:val="center"/>
              <w:rPr>
                <w:sz w:val="22"/>
                <w:szCs w:val="22"/>
              </w:rPr>
            </w:pPr>
            <w:r>
              <w:rPr>
                <w:sz w:val="22"/>
                <w:szCs w:val="22"/>
              </w:rPr>
              <w:t>612.000.000</w:t>
            </w:r>
          </w:p>
        </w:tc>
        <w:tc>
          <w:tcPr>
            <w:tcW w:w="1798" w:type="dxa"/>
            <w:vAlign w:val="center"/>
          </w:tcPr>
          <w:p w14:paraId="6EED0B62">
            <w:pPr>
              <w:jc w:val="center"/>
              <w:rPr>
                <w:sz w:val="22"/>
                <w:szCs w:val="22"/>
              </w:rPr>
            </w:pPr>
            <w:r>
              <w:rPr>
                <w:sz w:val="22"/>
                <w:szCs w:val="22"/>
              </w:rPr>
              <w:t>951.000.000</w:t>
            </w:r>
          </w:p>
        </w:tc>
        <w:tc>
          <w:tcPr>
            <w:tcW w:w="1382" w:type="dxa"/>
            <w:noWrap/>
            <w:vAlign w:val="center"/>
          </w:tcPr>
          <w:p w14:paraId="16DAB3AD">
            <w:pPr>
              <w:jc w:val="center"/>
              <w:rPr>
                <w:sz w:val="22"/>
                <w:szCs w:val="22"/>
              </w:rPr>
            </w:pPr>
            <w:r>
              <w:rPr>
                <w:sz w:val="22"/>
                <w:szCs w:val="22"/>
              </w:rPr>
              <w:t>1,55%</w:t>
            </w:r>
          </w:p>
        </w:tc>
      </w:tr>
      <w:tr w14:paraId="509C20BA">
        <w:tblPrEx>
          <w:tblCellMar>
            <w:top w:w="0" w:type="dxa"/>
            <w:left w:w="108" w:type="dxa"/>
            <w:bottom w:w="0" w:type="dxa"/>
            <w:right w:w="108" w:type="dxa"/>
          </w:tblCellMar>
        </w:tblPrEx>
        <w:trPr>
          <w:trHeight w:val="20" w:hRule="atLeast"/>
        </w:trPr>
        <w:tc>
          <w:tcPr>
            <w:tcW w:w="636" w:type="dxa"/>
            <w:noWrap/>
            <w:vAlign w:val="center"/>
          </w:tcPr>
          <w:p w14:paraId="2C28C583">
            <w:pPr>
              <w:jc w:val="center"/>
              <w:rPr>
                <w:sz w:val="22"/>
                <w:szCs w:val="22"/>
              </w:rPr>
            </w:pPr>
          </w:p>
        </w:tc>
        <w:tc>
          <w:tcPr>
            <w:tcW w:w="1491" w:type="dxa"/>
            <w:noWrap/>
            <w:vAlign w:val="center"/>
          </w:tcPr>
          <w:p w14:paraId="332DF2CE">
            <w:pPr>
              <w:jc w:val="center"/>
              <w:rPr>
                <w:sz w:val="22"/>
                <w:szCs w:val="22"/>
              </w:rPr>
            </w:pPr>
          </w:p>
        </w:tc>
        <w:tc>
          <w:tcPr>
            <w:tcW w:w="742" w:type="dxa"/>
            <w:vMerge w:val="continue"/>
            <w:vAlign w:val="center"/>
          </w:tcPr>
          <w:p w14:paraId="04C895DE">
            <w:pPr>
              <w:jc w:val="center"/>
              <w:rPr>
                <w:sz w:val="22"/>
                <w:szCs w:val="22"/>
              </w:rPr>
            </w:pPr>
          </w:p>
        </w:tc>
        <w:tc>
          <w:tcPr>
            <w:tcW w:w="676" w:type="dxa"/>
            <w:noWrap/>
            <w:vAlign w:val="center"/>
          </w:tcPr>
          <w:p w14:paraId="1E2A0EA3">
            <w:pPr>
              <w:jc w:val="center"/>
              <w:rPr>
                <w:sz w:val="22"/>
                <w:szCs w:val="22"/>
              </w:rPr>
            </w:pPr>
            <w:r>
              <w:rPr>
                <w:sz w:val="22"/>
                <w:szCs w:val="22"/>
              </w:rPr>
              <w:t>19</w:t>
            </w:r>
          </w:p>
        </w:tc>
        <w:tc>
          <w:tcPr>
            <w:tcW w:w="1098" w:type="dxa"/>
            <w:noWrap/>
            <w:vAlign w:val="center"/>
          </w:tcPr>
          <w:p w14:paraId="4E804467">
            <w:pPr>
              <w:jc w:val="center"/>
              <w:rPr>
                <w:sz w:val="22"/>
                <w:szCs w:val="22"/>
              </w:rPr>
            </w:pPr>
            <w:r>
              <w:rPr>
                <w:sz w:val="22"/>
                <w:szCs w:val="22"/>
              </w:rPr>
              <w:t>90,0</w:t>
            </w:r>
          </w:p>
        </w:tc>
        <w:tc>
          <w:tcPr>
            <w:tcW w:w="1817" w:type="dxa"/>
            <w:vAlign w:val="center"/>
          </w:tcPr>
          <w:p w14:paraId="29CCFE4F">
            <w:pPr>
              <w:jc w:val="center"/>
              <w:rPr>
                <w:sz w:val="22"/>
                <w:szCs w:val="22"/>
              </w:rPr>
            </w:pPr>
            <w:r>
              <w:rPr>
                <w:sz w:val="22"/>
                <w:szCs w:val="22"/>
              </w:rPr>
              <w:t>612.000.000</w:t>
            </w:r>
          </w:p>
        </w:tc>
        <w:tc>
          <w:tcPr>
            <w:tcW w:w="1798" w:type="dxa"/>
            <w:vAlign w:val="center"/>
          </w:tcPr>
          <w:p w14:paraId="3844DCD7">
            <w:pPr>
              <w:jc w:val="center"/>
              <w:rPr>
                <w:sz w:val="22"/>
                <w:szCs w:val="22"/>
              </w:rPr>
            </w:pPr>
            <w:r>
              <w:rPr>
                <w:sz w:val="22"/>
                <w:szCs w:val="22"/>
              </w:rPr>
              <w:t>988.888.000</w:t>
            </w:r>
          </w:p>
        </w:tc>
        <w:tc>
          <w:tcPr>
            <w:tcW w:w="1382" w:type="dxa"/>
            <w:noWrap/>
            <w:vAlign w:val="center"/>
          </w:tcPr>
          <w:p w14:paraId="44D8EA2A">
            <w:pPr>
              <w:jc w:val="center"/>
              <w:rPr>
                <w:sz w:val="22"/>
                <w:szCs w:val="22"/>
              </w:rPr>
            </w:pPr>
            <w:r>
              <w:rPr>
                <w:sz w:val="22"/>
                <w:szCs w:val="22"/>
              </w:rPr>
              <w:t>1,62%</w:t>
            </w:r>
          </w:p>
        </w:tc>
      </w:tr>
      <w:tr w14:paraId="33D2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0A066C0">
            <w:pPr>
              <w:jc w:val="center"/>
              <w:rPr>
                <w:sz w:val="22"/>
                <w:szCs w:val="22"/>
              </w:rPr>
            </w:pPr>
          </w:p>
        </w:tc>
        <w:tc>
          <w:tcPr>
            <w:tcW w:w="1491" w:type="dxa"/>
            <w:noWrap/>
            <w:vAlign w:val="center"/>
          </w:tcPr>
          <w:p w14:paraId="74928BCB">
            <w:pPr>
              <w:jc w:val="center"/>
              <w:rPr>
                <w:sz w:val="22"/>
                <w:szCs w:val="22"/>
              </w:rPr>
            </w:pPr>
          </w:p>
        </w:tc>
        <w:tc>
          <w:tcPr>
            <w:tcW w:w="742" w:type="dxa"/>
            <w:vMerge w:val="continue"/>
            <w:vAlign w:val="center"/>
          </w:tcPr>
          <w:p w14:paraId="3509E5DB">
            <w:pPr>
              <w:jc w:val="center"/>
              <w:rPr>
                <w:sz w:val="22"/>
                <w:szCs w:val="22"/>
              </w:rPr>
            </w:pPr>
          </w:p>
        </w:tc>
        <w:tc>
          <w:tcPr>
            <w:tcW w:w="676" w:type="dxa"/>
            <w:noWrap/>
            <w:vAlign w:val="center"/>
          </w:tcPr>
          <w:p w14:paraId="57C3C6D1">
            <w:pPr>
              <w:jc w:val="center"/>
              <w:rPr>
                <w:sz w:val="22"/>
                <w:szCs w:val="22"/>
              </w:rPr>
            </w:pPr>
            <w:r>
              <w:rPr>
                <w:sz w:val="22"/>
                <w:szCs w:val="22"/>
              </w:rPr>
              <w:t>20</w:t>
            </w:r>
          </w:p>
        </w:tc>
        <w:tc>
          <w:tcPr>
            <w:tcW w:w="1098" w:type="dxa"/>
            <w:noWrap/>
            <w:vAlign w:val="center"/>
          </w:tcPr>
          <w:p w14:paraId="0CAF2BFA">
            <w:pPr>
              <w:jc w:val="center"/>
              <w:rPr>
                <w:sz w:val="22"/>
                <w:szCs w:val="22"/>
              </w:rPr>
            </w:pPr>
            <w:r>
              <w:rPr>
                <w:sz w:val="22"/>
                <w:szCs w:val="22"/>
              </w:rPr>
              <w:t>90,0</w:t>
            </w:r>
          </w:p>
        </w:tc>
        <w:tc>
          <w:tcPr>
            <w:tcW w:w="1817" w:type="dxa"/>
            <w:vAlign w:val="center"/>
          </w:tcPr>
          <w:p w14:paraId="3736C673">
            <w:pPr>
              <w:jc w:val="center"/>
              <w:rPr>
                <w:sz w:val="22"/>
                <w:szCs w:val="22"/>
              </w:rPr>
            </w:pPr>
            <w:r>
              <w:rPr>
                <w:sz w:val="22"/>
                <w:szCs w:val="22"/>
              </w:rPr>
              <w:t>612.000.000</w:t>
            </w:r>
          </w:p>
        </w:tc>
        <w:tc>
          <w:tcPr>
            <w:tcW w:w="1798" w:type="dxa"/>
            <w:vAlign w:val="center"/>
          </w:tcPr>
          <w:p w14:paraId="4B67FF32">
            <w:pPr>
              <w:jc w:val="center"/>
              <w:rPr>
                <w:sz w:val="22"/>
                <w:szCs w:val="22"/>
              </w:rPr>
            </w:pPr>
            <w:r>
              <w:rPr>
                <w:sz w:val="22"/>
                <w:szCs w:val="22"/>
              </w:rPr>
              <w:t>986.886.000</w:t>
            </w:r>
          </w:p>
        </w:tc>
        <w:tc>
          <w:tcPr>
            <w:tcW w:w="1382" w:type="dxa"/>
            <w:noWrap/>
            <w:vAlign w:val="center"/>
          </w:tcPr>
          <w:p w14:paraId="6FB5FDB3">
            <w:pPr>
              <w:jc w:val="center"/>
              <w:rPr>
                <w:sz w:val="22"/>
                <w:szCs w:val="22"/>
              </w:rPr>
            </w:pPr>
            <w:r>
              <w:rPr>
                <w:sz w:val="22"/>
                <w:szCs w:val="22"/>
              </w:rPr>
              <w:t>1,61%</w:t>
            </w:r>
          </w:p>
        </w:tc>
      </w:tr>
      <w:tr w14:paraId="6487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2AC41E0">
            <w:pPr>
              <w:jc w:val="center"/>
              <w:rPr>
                <w:sz w:val="22"/>
                <w:szCs w:val="22"/>
              </w:rPr>
            </w:pPr>
          </w:p>
        </w:tc>
        <w:tc>
          <w:tcPr>
            <w:tcW w:w="1491" w:type="dxa"/>
            <w:noWrap/>
            <w:vAlign w:val="center"/>
          </w:tcPr>
          <w:p w14:paraId="1567F1AA">
            <w:pPr>
              <w:jc w:val="center"/>
              <w:rPr>
                <w:sz w:val="22"/>
                <w:szCs w:val="22"/>
              </w:rPr>
            </w:pPr>
          </w:p>
        </w:tc>
        <w:tc>
          <w:tcPr>
            <w:tcW w:w="742" w:type="dxa"/>
            <w:vMerge w:val="continue"/>
            <w:vAlign w:val="center"/>
          </w:tcPr>
          <w:p w14:paraId="4FAEBE94">
            <w:pPr>
              <w:jc w:val="center"/>
              <w:rPr>
                <w:sz w:val="22"/>
                <w:szCs w:val="22"/>
              </w:rPr>
            </w:pPr>
          </w:p>
        </w:tc>
        <w:tc>
          <w:tcPr>
            <w:tcW w:w="676" w:type="dxa"/>
            <w:noWrap/>
            <w:vAlign w:val="center"/>
          </w:tcPr>
          <w:p w14:paraId="7DD219F7">
            <w:pPr>
              <w:jc w:val="center"/>
              <w:rPr>
                <w:sz w:val="22"/>
                <w:szCs w:val="22"/>
              </w:rPr>
            </w:pPr>
            <w:r>
              <w:rPr>
                <w:sz w:val="22"/>
                <w:szCs w:val="22"/>
              </w:rPr>
              <w:t>21</w:t>
            </w:r>
          </w:p>
        </w:tc>
        <w:tc>
          <w:tcPr>
            <w:tcW w:w="1098" w:type="dxa"/>
            <w:noWrap/>
            <w:vAlign w:val="center"/>
          </w:tcPr>
          <w:p w14:paraId="003B0FA5">
            <w:pPr>
              <w:jc w:val="center"/>
              <w:rPr>
                <w:sz w:val="22"/>
                <w:szCs w:val="22"/>
              </w:rPr>
            </w:pPr>
            <w:r>
              <w:rPr>
                <w:sz w:val="22"/>
                <w:szCs w:val="22"/>
              </w:rPr>
              <w:t>154,2</w:t>
            </w:r>
          </w:p>
        </w:tc>
        <w:tc>
          <w:tcPr>
            <w:tcW w:w="1817" w:type="dxa"/>
            <w:vAlign w:val="center"/>
          </w:tcPr>
          <w:p w14:paraId="74D3EA9B">
            <w:pPr>
              <w:jc w:val="center"/>
              <w:rPr>
                <w:sz w:val="22"/>
                <w:szCs w:val="22"/>
              </w:rPr>
            </w:pPr>
            <w:r>
              <w:rPr>
                <w:sz w:val="22"/>
                <w:szCs w:val="22"/>
              </w:rPr>
              <w:t>1.258.272.000</w:t>
            </w:r>
          </w:p>
        </w:tc>
        <w:tc>
          <w:tcPr>
            <w:tcW w:w="1798" w:type="dxa"/>
            <w:vAlign w:val="center"/>
          </w:tcPr>
          <w:p w14:paraId="00DC28F6">
            <w:pPr>
              <w:jc w:val="center"/>
              <w:rPr>
                <w:sz w:val="22"/>
                <w:szCs w:val="22"/>
              </w:rPr>
            </w:pPr>
            <w:r>
              <w:rPr>
                <w:sz w:val="22"/>
                <w:szCs w:val="22"/>
              </w:rPr>
              <w:t>1.281.900.000</w:t>
            </w:r>
          </w:p>
        </w:tc>
        <w:tc>
          <w:tcPr>
            <w:tcW w:w="1382" w:type="dxa"/>
            <w:noWrap/>
            <w:vAlign w:val="center"/>
          </w:tcPr>
          <w:p w14:paraId="191C0F68">
            <w:pPr>
              <w:jc w:val="center"/>
              <w:rPr>
                <w:sz w:val="22"/>
                <w:szCs w:val="22"/>
              </w:rPr>
            </w:pPr>
            <w:r>
              <w:rPr>
                <w:sz w:val="22"/>
                <w:szCs w:val="22"/>
              </w:rPr>
              <w:t>1,02%</w:t>
            </w:r>
          </w:p>
        </w:tc>
      </w:tr>
      <w:tr w14:paraId="32F4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5BB73BF">
            <w:pPr>
              <w:jc w:val="center"/>
              <w:rPr>
                <w:sz w:val="22"/>
                <w:szCs w:val="22"/>
              </w:rPr>
            </w:pPr>
          </w:p>
        </w:tc>
        <w:tc>
          <w:tcPr>
            <w:tcW w:w="1491" w:type="dxa"/>
            <w:noWrap/>
            <w:vAlign w:val="center"/>
          </w:tcPr>
          <w:p w14:paraId="43543A75">
            <w:pPr>
              <w:jc w:val="center"/>
              <w:rPr>
                <w:sz w:val="22"/>
                <w:szCs w:val="22"/>
              </w:rPr>
            </w:pPr>
          </w:p>
        </w:tc>
        <w:tc>
          <w:tcPr>
            <w:tcW w:w="742" w:type="dxa"/>
            <w:vMerge w:val="restart"/>
            <w:noWrap/>
            <w:vAlign w:val="center"/>
          </w:tcPr>
          <w:p w14:paraId="11536CB4">
            <w:pPr>
              <w:jc w:val="center"/>
              <w:rPr>
                <w:sz w:val="22"/>
                <w:szCs w:val="22"/>
              </w:rPr>
            </w:pPr>
            <w:r>
              <w:rPr>
                <w:sz w:val="22"/>
                <w:szCs w:val="22"/>
              </w:rPr>
              <w:t>LK09</w:t>
            </w:r>
          </w:p>
        </w:tc>
        <w:tc>
          <w:tcPr>
            <w:tcW w:w="676" w:type="dxa"/>
            <w:noWrap/>
            <w:vAlign w:val="center"/>
          </w:tcPr>
          <w:p w14:paraId="487DF2D5">
            <w:pPr>
              <w:jc w:val="center"/>
              <w:rPr>
                <w:sz w:val="22"/>
                <w:szCs w:val="22"/>
              </w:rPr>
            </w:pPr>
            <w:r>
              <w:rPr>
                <w:sz w:val="22"/>
                <w:szCs w:val="22"/>
              </w:rPr>
              <w:t>17</w:t>
            </w:r>
          </w:p>
        </w:tc>
        <w:tc>
          <w:tcPr>
            <w:tcW w:w="1098" w:type="dxa"/>
            <w:noWrap/>
            <w:vAlign w:val="center"/>
          </w:tcPr>
          <w:p w14:paraId="22D9AD1F">
            <w:pPr>
              <w:jc w:val="center"/>
              <w:rPr>
                <w:sz w:val="22"/>
                <w:szCs w:val="22"/>
              </w:rPr>
            </w:pPr>
            <w:r>
              <w:rPr>
                <w:sz w:val="22"/>
                <w:szCs w:val="22"/>
              </w:rPr>
              <w:t>198,4</w:t>
            </w:r>
          </w:p>
        </w:tc>
        <w:tc>
          <w:tcPr>
            <w:tcW w:w="1817" w:type="dxa"/>
            <w:vAlign w:val="center"/>
          </w:tcPr>
          <w:p w14:paraId="13D34CA4">
            <w:pPr>
              <w:jc w:val="center"/>
              <w:rPr>
                <w:sz w:val="22"/>
                <w:szCs w:val="22"/>
              </w:rPr>
            </w:pPr>
            <w:r>
              <w:rPr>
                <w:sz w:val="22"/>
                <w:szCs w:val="22"/>
              </w:rPr>
              <w:t>1.452.288.000</w:t>
            </w:r>
          </w:p>
        </w:tc>
        <w:tc>
          <w:tcPr>
            <w:tcW w:w="1798" w:type="dxa"/>
            <w:vAlign w:val="center"/>
          </w:tcPr>
          <w:p w14:paraId="2C2FE2E8">
            <w:pPr>
              <w:jc w:val="center"/>
              <w:rPr>
                <w:sz w:val="22"/>
                <w:szCs w:val="22"/>
              </w:rPr>
            </w:pPr>
            <w:r>
              <w:rPr>
                <w:sz w:val="22"/>
                <w:szCs w:val="22"/>
              </w:rPr>
              <w:t>1.739.800.000</w:t>
            </w:r>
          </w:p>
        </w:tc>
        <w:tc>
          <w:tcPr>
            <w:tcW w:w="1382" w:type="dxa"/>
            <w:noWrap/>
            <w:vAlign w:val="center"/>
          </w:tcPr>
          <w:p w14:paraId="4420A204">
            <w:pPr>
              <w:jc w:val="center"/>
              <w:rPr>
                <w:sz w:val="22"/>
                <w:szCs w:val="22"/>
              </w:rPr>
            </w:pPr>
            <w:r>
              <w:rPr>
                <w:sz w:val="22"/>
                <w:szCs w:val="22"/>
              </w:rPr>
              <w:t>1,20%</w:t>
            </w:r>
          </w:p>
        </w:tc>
      </w:tr>
      <w:tr w14:paraId="1A5715A2">
        <w:tblPrEx>
          <w:tblCellMar>
            <w:top w:w="0" w:type="dxa"/>
            <w:left w:w="108" w:type="dxa"/>
            <w:bottom w:w="0" w:type="dxa"/>
            <w:right w:w="108" w:type="dxa"/>
          </w:tblCellMar>
        </w:tblPrEx>
        <w:trPr>
          <w:trHeight w:val="20" w:hRule="atLeast"/>
        </w:trPr>
        <w:tc>
          <w:tcPr>
            <w:tcW w:w="636" w:type="dxa"/>
            <w:noWrap/>
            <w:vAlign w:val="center"/>
          </w:tcPr>
          <w:p w14:paraId="6270FA77">
            <w:pPr>
              <w:jc w:val="center"/>
              <w:rPr>
                <w:sz w:val="22"/>
                <w:szCs w:val="22"/>
              </w:rPr>
            </w:pPr>
          </w:p>
        </w:tc>
        <w:tc>
          <w:tcPr>
            <w:tcW w:w="1491" w:type="dxa"/>
            <w:noWrap/>
            <w:vAlign w:val="center"/>
          </w:tcPr>
          <w:p w14:paraId="2345A064">
            <w:pPr>
              <w:jc w:val="center"/>
              <w:rPr>
                <w:sz w:val="22"/>
                <w:szCs w:val="22"/>
              </w:rPr>
            </w:pPr>
          </w:p>
        </w:tc>
        <w:tc>
          <w:tcPr>
            <w:tcW w:w="742" w:type="dxa"/>
            <w:vMerge w:val="continue"/>
            <w:vAlign w:val="center"/>
          </w:tcPr>
          <w:p w14:paraId="4126EB27">
            <w:pPr>
              <w:jc w:val="center"/>
              <w:rPr>
                <w:sz w:val="22"/>
                <w:szCs w:val="22"/>
              </w:rPr>
            </w:pPr>
          </w:p>
        </w:tc>
        <w:tc>
          <w:tcPr>
            <w:tcW w:w="676" w:type="dxa"/>
            <w:noWrap/>
            <w:vAlign w:val="center"/>
          </w:tcPr>
          <w:p w14:paraId="0D18144F">
            <w:pPr>
              <w:jc w:val="center"/>
              <w:rPr>
                <w:sz w:val="22"/>
                <w:szCs w:val="22"/>
              </w:rPr>
            </w:pPr>
            <w:r>
              <w:rPr>
                <w:sz w:val="22"/>
                <w:szCs w:val="22"/>
              </w:rPr>
              <w:t>19</w:t>
            </w:r>
          </w:p>
        </w:tc>
        <w:tc>
          <w:tcPr>
            <w:tcW w:w="1098" w:type="dxa"/>
            <w:noWrap/>
            <w:vAlign w:val="center"/>
          </w:tcPr>
          <w:p w14:paraId="6FCFC5B5">
            <w:pPr>
              <w:jc w:val="center"/>
              <w:rPr>
                <w:sz w:val="22"/>
                <w:szCs w:val="22"/>
              </w:rPr>
            </w:pPr>
            <w:r>
              <w:rPr>
                <w:sz w:val="22"/>
                <w:szCs w:val="22"/>
              </w:rPr>
              <w:t>216,4</w:t>
            </w:r>
          </w:p>
        </w:tc>
        <w:tc>
          <w:tcPr>
            <w:tcW w:w="1817" w:type="dxa"/>
            <w:vAlign w:val="center"/>
          </w:tcPr>
          <w:p w14:paraId="10E094A3">
            <w:pPr>
              <w:jc w:val="center"/>
              <w:rPr>
                <w:sz w:val="22"/>
                <w:szCs w:val="22"/>
              </w:rPr>
            </w:pPr>
            <w:r>
              <w:rPr>
                <w:sz w:val="22"/>
                <w:szCs w:val="22"/>
              </w:rPr>
              <w:t>1.320.040.000</w:t>
            </w:r>
          </w:p>
        </w:tc>
        <w:tc>
          <w:tcPr>
            <w:tcW w:w="1798" w:type="dxa"/>
            <w:vAlign w:val="center"/>
          </w:tcPr>
          <w:p w14:paraId="12B2E9A4">
            <w:pPr>
              <w:jc w:val="center"/>
              <w:rPr>
                <w:sz w:val="22"/>
                <w:szCs w:val="22"/>
              </w:rPr>
            </w:pPr>
            <w:r>
              <w:rPr>
                <w:sz w:val="22"/>
                <w:szCs w:val="22"/>
              </w:rPr>
              <w:t>1.592.800.000</w:t>
            </w:r>
          </w:p>
        </w:tc>
        <w:tc>
          <w:tcPr>
            <w:tcW w:w="1382" w:type="dxa"/>
            <w:noWrap/>
            <w:vAlign w:val="center"/>
          </w:tcPr>
          <w:p w14:paraId="74B9E36F">
            <w:pPr>
              <w:jc w:val="center"/>
              <w:rPr>
                <w:sz w:val="22"/>
                <w:szCs w:val="22"/>
              </w:rPr>
            </w:pPr>
            <w:r>
              <w:rPr>
                <w:sz w:val="22"/>
                <w:szCs w:val="22"/>
              </w:rPr>
              <w:t>1,21%</w:t>
            </w:r>
          </w:p>
        </w:tc>
      </w:tr>
      <w:tr w14:paraId="61DE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9E5A884">
            <w:pPr>
              <w:jc w:val="center"/>
              <w:rPr>
                <w:sz w:val="22"/>
                <w:szCs w:val="22"/>
              </w:rPr>
            </w:pPr>
            <w:r>
              <w:rPr>
                <w:sz w:val="22"/>
                <w:szCs w:val="22"/>
              </w:rPr>
              <w:t>II</w:t>
            </w:r>
          </w:p>
        </w:tc>
        <w:tc>
          <w:tcPr>
            <w:tcW w:w="1491" w:type="dxa"/>
            <w:noWrap/>
            <w:vAlign w:val="center"/>
          </w:tcPr>
          <w:p w14:paraId="1A7EA06E">
            <w:pPr>
              <w:jc w:val="center"/>
              <w:rPr>
                <w:sz w:val="22"/>
                <w:szCs w:val="22"/>
              </w:rPr>
            </w:pPr>
            <w:r>
              <w:rPr>
                <w:sz w:val="22"/>
                <w:szCs w:val="22"/>
              </w:rPr>
              <w:t>Thôn Kép 12, xã Hương Sơn</w:t>
            </w:r>
          </w:p>
        </w:tc>
        <w:tc>
          <w:tcPr>
            <w:tcW w:w="742" w:type="dxa"/>
            <w:noWrap/>
            <w:vAlign w:val="center"/>
          </w:tcPr>
          <w:p w14:paraId="06DD5296">
            <w:pPr>
              <w:jc w:val="center"/>
              <w:rPr>
                <w:sz w:val="22"/>
                <w:szCs w:val="22"/>
              </w:rPr>
            </w:pPr>
          </w:p>
        </w:tc>
        <w:tc>
          <w:tcPr>
            <w:tcW w:w="676" w:type="dxa"/>
            <w:noWrap/>
            <w:vAlign w:val="center"/>
          </w:tcPr>
          <w:p w14:paraId="73B607ED">
            <w:pPr>
              <w:jc w:val="center"/>
              <w:rPr>
                <w:sz w:val="22"/>
                <w:szCs w:val="22"/>
              </w:rPr>
            </w:pPr>
          </w:p>
        </w:tc>
        <w:tc>
          <w:tcPr>
            <w:tcW w:w="1098" w:type="dxa"/>
            <w:noWrap/>
            <w:vAlign w:val="center"/>
          </w:tcPr>
          <w:p w14:paraId="295AFB39">
            <w:pPr>
              <w:jc w:val="center"/>
              <w:rPr>
                <w:sz w:val="22"/>
                <w:szCs w:val="22"/>
              </w:rPr>
            </w:pPr>
            <w:r>
              <w:rPr>
                <w:sz w:val="22"/>
                <w:szCs w:val="22"/>
              </w:rPr>
              <w:t>2.894,94</w:t>
            </w:r>
          </w:p>
        </w:tc>
        <w:tc>
          <w:tcPr>
            <w:tcW w:w="1817" w:type="dxa"/>
            <w:noWrap/>
            <w:vAlign w:val="center"/>
          </w:tcPr>
          <w:p w14:paraId="22647162">
            <w:pPr>
              <w:jc w:val="center"/>
              <w:rPr>
                <w:sz w:val="22"/>
                <w:szCs w:val="22"/>
              </w:rPr>
            </w:pPr>
            <w:r>
              <w:rPr>
                <w:sz w:val="22"/>
                <w:szCs w:val="22"/>
              </w:rPr>
              <w:t>18.848.320.000</w:t>
            </w:r>
          </w:p>
        </w:tc>
        <w:tc>
          <w:tcPr>
            <w:tcW w:w="1798" w:type="dxa"/>
            <w:noWrap/>
            <w:vAlign w:val="center"/>
          </w:tcPr>
          <w:p w14:paraId="025E6E82">
            <w:pPr>
              <w:jc w:val="center"/>
              <w:rPr>
                <w:sz w:val="22"/>
                <w:szCs w:val="22"/>
              </w:rPr>
            </w:pPr>
            <w:r>
              <w:rPr>
                <w:sz w:val="22"/>
                <w:szCs w:val="22"/>
              </w:rPr>
              <w:t>23.509.800.000</w:t>
            </w:r>
          </w:p>
        </w:tc>
        <w:tc>
          <w:tcPr>
            <w:tcW w:w="1382" w:type="dxa"/>
            <w:noWrap/>
            <w:vAlign w:val="center"/>
          </w:tcPr>
          <w:p w14:paraId="7BC223A6">
            <w:pPr>
              <w:jc w:val="center"/>
              <w:rPr>
                <w:sz w:val="22"/>
                <w:szCs w:val="22"/>
              </w:rPr>
            </w:pPr>
          </w:p>
        </w:tc>
      </w:tr>
      <w:tr w14:paraId="5257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4CE8ED0">
            <w:pPr>
              <w:jc w:val="center"/>
              <w:rPr>
                <w:sz w:val="22"/>
                <w:szCs w:val="22"/>
              </w:rPr>
            </w:pPr>
          </w:p>
        </w:tc>
        <w:tc>
          <w:tcPr>
            <w:tcW w:w="1491" w:type="dxa"/>
            <w:noWrap/>
            <w:vAlign w:val="center"/>
          </w:tcPr>
          <w:p w14:paraId="73498871">
            <w:pPr>
              <w:jc w:val="center"/>
              <w:rPr>
                <w:sz w:val="22"/>
                <w:szCs w:val="22"/>
              </w:rPr>
            </w:pPr>
          </w:p>
        </w:tc>
        <w:tc>
          <w:tcPr>
            <w:tcW w:w="742" w:type="dxa"/>
            <w:noWrap/>
            <w:vAlign w:val="center"/>
          </w:tcPr>
          <w:p w14:paraId="670450CF">
            <w:pPr>
              <w:jc w:val="center"/>
              <w:rPr>
                <w:sz w:val="22"/>
                <w:szCs w:val="22"/>
              </w:rPr>
            </w:pPr>
          </w:p>
        </w:tc>
        <w:tc>
          <w:tcPr>
            <w:tcW w:w="676" w:type="dxa"/>
            <w:noWrap/>
            <w:vAlign w:val="center"/>
          </w:tcPr>
          <w:p w14:paraId="2B9CF57C">
            <w:pPr>
              <w:jc w:val="center"/>
              <w:rPr>
                <w:sz w:val="22"/>
                <w:szCs w:val="22"/>
              </w:rPr>
            </w:pPr>
            <w:r>
              <w:rPr>
                <w:sz w:val="22"/>
                <w:szCs w:val="22"/>
              </w:rPr>
              <w:t>17</w:t>
            </w:r>
          </w:p>
        </w:tc>
        <w:tc>
          <w:tcPr>
            <w:tcW w:w="1098" w:type="dxa"/>
            <w:noWrap/>
            <w:vAlign w:val="center"/>
          </w:tcPr>
          <w:p w14:paraId="3F82592F">
            <w:pPr>
              <w:jc w:val="center"/>
              <w:rPr>
                <w:sz w:val="22"/>
                <w:szCs w:val="22"/>
              </w:rPr>
            </w:pPr>
            <w:r>
              <w:rPr>
                <w:sz w:val="22"/>
                <w:szCs w:val="22"/>
              </w:rPr>
              <w:t>105,00</w:t>
            </w:r>
          </w:p>
        </w:tc>
        <w:tc>
          <w:tcPr>
            <w:tcW w:w="1817" w:type="dxa"/>
            <w:vAlign w:val="center"/>
          </w:tcPr>
          <w:p w14:paraId="06A43054">
            <w:pPr>
              <w:jc w:val="center"/>
              <w:rPr>
                <w:sz w:val="22"/>
                <w:szCs w:val="22"/>
              </w:rPr>
            </w:pPr>
            <w:r>
              <w:rPr>
                <w:sz w:val="22"/>
                <w:szCs w:val="22"/>
              </w:rPr>
              <w:t>682.500.000</w:t>
            </w:r>
          </w:p>
        </w:tc>
        <w:tc>
          <w:tcPr>
            <w:tcW w:w="1798" w:type="dxa"/>
            <w:vAlign w:val="center"/>
          </w:tcPr>
          <w:p w14:paraId="63DEA83B">
            <w:pPr>
              <w:jc w:val="center"/>
              <w:rPr>
                <w:sz w:val="22"/>
                <w:szCs w:val="22"/>
              </w:rPr>
            </w:pPr>
            <w:r>
              <w:rPr>
                <w:sz w:val="22"/>
                <w:szCs w:val="22"/>
              </w:rPr>
              <w:t>959.300.000</w:t>
            </w:r>
          </w:p>
        </w:tc>
        <w:tc>
          <w:tcPr>
            <w:tcW w:w="1382" w:type="dxa"/>
            <w:noWrap/>
            <w:vAlign w:val="center"/>
          </w:tcPr>
          <w:p w14:paraId="6FE8D598">
            <w:pPr>
              <w:jc w:val="center"/>
              <w:rPr>
                <w:sz w:val="22"/>
                <w:szCs w:val="22"/>
              </w:rPr>
            </w:pPr>
            <w:r>
              <w:rPr>
                <w:sz w:val="22"/>
                <w:szCs w:val="22"/>
              </w:rPr>
              <w:t>1,41%</w:t>
            </w:r>
          </w:p>
        </w:tc>
      </w:tr>
      <w:tr w14:paraId="11CB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1890D81">
            <w:pPr>
              <w:jc w:val="center"/>
              <w:rPr>
                <w:sz w:val="22"/>
                <w:szCs w:val="22"/>
              </w:rPr>
            </w:pPr>
          </w:p>
        </w:tc>
        <w:tc>
          <w:tcPr>
            <w:tcW w:w="1491" w:type="dxa"/>
            <w:noWrap/>
            <w:vAlign w:val="center"/>
          </w:tcPr>
          <w:p w14:paraId="31D7F69D">
            <w:pPr>
              <w:jc w:val="center"/>
              <w:rPr>
                <w:sz w:val="22"/>
                <w:szCs w:val="22"/>
              </w:rPr>
            </w:pPr>
          </w:p>
        </w:tc>
        <w:tc>
          <w:tcPr>
            <w:tcW w:w="742" w:type="dxa"/>
            <w:noWrap/>
            <w:vAlign w:val="center"/>
          </w:tcPr>
          <w:p w14:paraId="451CBC7A">
            <w:pPr>
              <w:jc w:val="center"/>
              <w:rPr>
                <w:sz w:val="22"/>
                <w:szCs w:val="22"/>
              </w:rPr>
            </w:pPr>
          </w:p>
        </w:tc>
        <w:tc>
          <w:tcPr>
            <w:tcW w:w="676" w:type="dxa"/>
            <w:noWrap/>
            <w:vAlign w:val="center"/>
          </w:tcPr>
          <w:p w14:paraId="7A776D2F">
            <w:pPr>
              <w:jc w:val="center"/>
              <w:rPr>
                <w:sz w:val="22"/>
                <w:szCs w:val="22"/>
              </w:rPr>
            </w:pPr>
            <w:r>
              <w:rPr>
                <w:sz w:val="22"/>
                <w:szCs w:val="22"/>
              </w:rPr>
              <w:t>18</w:t>
            </w:r>
          </w:p>
        </w:tc>
        <w:tc>
          <w:tcPr>
            <w:tcW w:w="1098" w:type="dxa"/>
            <w:noWrap/>
            <w:vAlign w:val="center"/>
          </w:tcPr>
          <w:p w14:paraId="52A48E3F">
            <w:pPr>
              <w:jc w:val="center"/>
              <w:rPr>
                <w:sz w:val="22"/>
                <w:szCs w:val="22"/>
              </w:rPr>
            </w:pPr>
            <w:r>
              <w:rPr>
                <w:sz w:val="22"/>
                <w:szCs w:val="22"/>
              </w:rPr>
              <w:t>105,00</w:t>
            </w:r>
          </w:p>
        </w:tc>
        <w:tc>
          <w:tcPr>
            <w:tcW w:w="1817" w:type="dxa"/>
            <w:vAlign w:val="center"/>
          </w:tcPr>
          <w:p w14:paraId="0DF1EF91">
            <w:pPr>
              <w:jc w:val="center"/>
              <w:rPr>
                <w:sz w:val="22"/>
                <w:szCs w:val="22"/>
              </w:rPr>
            </w:pPr>
            <w:r>
              <w:rPr>
                <w:sz w:val="22"/>
                <w:szCs w:val="22"/>
              </w:rPr>
              <w:t>682.500.000</w:t>
            </w:r>
          </w:p>
        </w:tc>
        <w:tc>
          <w:tcPr>
            <w:tcW w:w="1798" w:type="dxa"/>
            <w:vAlign w:val="center"/>
          </w:tcPr>
          <w:p w14:paraId="158037A3">
            <w:pPr>
              <w:jc w:val="center"/>
              <w:rPr>
                <w:sz w:val="22"/>
                <w:szCs w:val="22"/>
              </w:rPr>
            </w:pPr>
            <w:r>
              <w:rPr>
                <w:sz w:val="22"/>
                <w:szCs w:val="22"/>
              </w:rPr>
              <w:t>1.019.900.000</w:t>
            </w:r>
          </w:p>
        </w:tc>
        <w:tc>
          <w:tcPr>
            <w:tcW w:w="1382" w:type="dxa"/>
            <w:noWrap/>
            <w:vAlign w:val="center"/>
          </w:tcPr>
          <w:p w14:paraId="72E33743">
            <w:pPr>
              <w:jc w:val="center"/>
              <w:rPr>
                <w:sz w:val="22"/>
                <w:szCs w:val="22"/>
              </w:rPr>
            </w:pPr>
            <w:r>
              <w:rPr>
                <w:sz w:val="22"/>
                <w:szCs w:val="22"/>
              </w:rPr>
              <w:t>1,49%</w:t>
            </w:r>
          </w:p>
        </w:tc>
      </w:tr>
      <w:tr w14:paraId="11B4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8DE2FC2">
            <w:pPr>
              <w:jc w:val="center"/>
              <w:rPr>
                <w:sz w:val="22"/>
                <w:szCs w:val="22"/>
              </w:rPr>
            </w:pPr>
          </w:p>
        </w:tc>
        <w:tc>
          <w:tcPr>
            <w:tcW w:w="1491" w:type="dxa"/>
            <w:noWrap/>
            <w:vAlign w:val="center"/>
          </w:tcPr>
          <w:p w14:paraId="5EDB186A">
            <w:pPr>
              <w:jc w:val="center"/>
              <w:rPr>
                <w:sz w:val="22"/>
                <w:szCs w:val="22"/>
              </w:rPr>
            </w:pPr>
          </w:p>
        </w:tc>
        <w:tc>
          <w:tcPr>
            <w:tcW w:w="742" w:type="dxa"/>
            <w:noWrap/>
            <w:vAlign w:val="center"/>
          </w:tcPr>
          <w:p w14:paraId="16448CC7">
            <w:pPr>
              <w:jc w:val="center"/>
              <w:rPr>
                <w:sz w:val="22"/>
                <w:szCs w:val="22"/>
              </w:rPr>
            </w:pPr>
          </w:p>
        </w:tc>
        <w:tc>
          <w:tcPr>
            <w:tcW w:w="676" w:type="dxa"/>
            <w:noWrap/>
            <w:vAlign w:val="center"/>
          </w:tcPr>
          <w:p w14:paraId="5ED961D8">
            <w:pPr>
              <w:jc w:val="center"/>
              <w:rPr>
                <w:sz w:val="22"/>
                <w:szCs w:val="22"/>
              </w:rPr>
            </w:pPr>
            <w:r>
              <w:rPr>
                <w:sz w:val="22"/>
                <w:szCs w:val="22"/>
              </w:rPr>
              <w:t>19</w:t>
            </w:r>
          </w:p>
        </w:tc>
        <w:tc>
          <w:tcPr>
            <w:tcW w:w="1098" w:type="dxa"/>
            <w:noWrap/>
            <w:vAlign w:val="center"/>
          </w:tcPr>
          <w:p w14:paraId="548B741C">
            <w:pPr>
              <w:jc w:val="center"/>
              <w:rPr>
                <w:sz w:val="22"/>
                <w:szCs w:val="22"/>
              </w:rPr>
            </w:pPr>
            <w:r>
              <w:rPr>
                <w:sz w:val="22"/>
                <w:szCs w:val="22"/>
              </w:rPr>
              <w:t>108,40</w:t>
            </w:r>
          </w:p>
        </w:tc>
        <w:tc>
          <w:tcPr>
            <w:tcW w:w="1817" w:type="dxa"/>
            <w:vAlign w:val="center"/>
          </w:tcPr>
          <w:p w14:paraId="04F22B72">
            <w:pPr>
              <w:jc w:val="center"/>
              <w:rPr>
                <w:sz w:val="22"/>
                <w:szCs w:val="22"/>
              </w:rPr>
            </w:pPr>
            <w:r>
              <w:rPr>
                <w:sz w:val="22"/>
                <w:szCs w:val="22"/>
              </w:rPr>
              <w:t>704.600.000</w:t>
            </w:r>
          </w:p>
        </w:tc>
        <w:tc>
          <w:tcPr>
            <w:tcW w:w="1798" w:type="dxa"/>
            <w:vAlign w:val="center"/>
          </w:tcPr>
          <w:p w14:paraId="59795CA6">
            <w:pPr>
              <w:jc w:val="center"/>
              <w:rPr>
                <w:sz w:val="22"/>
                <w:szCs w:val="22"/>
              </w:rPr>
            </w:pPr>
            <w:r>
              <w:rPr>
                <w:sz w:val="22"/>
                <w:szCs w:val="22"/>
              </w:rPr>
              <w:t>1.039.990.000</w:t>
            </w:r>
          </w:p>
        </w:tc>
        <w:tc>
          <w:tcPr>
            <w:tcW w:w="1382" w:type="dxa"/>
            <w:noWrap/>
            <w:vAlign w:val="center"/>
          </w:tcPr>
          <w:p w14:paraId="1FE43AE7">
            <w:pPr>
              <w:jc w:val="center"/>
              <w:rPr>
                <w:sz w:val="22"/>
                <w:szCs w:val="22"/>
              </w:rPr>
            </w:pPr>
            <w:r>
              <w:rPr>
                <w:sz w:val="22"/>
                <w:szCs w:val="22"/>
              </w:rPr>
              <w:t>1,48%</w:t>
            </w:r>
          </w:p>
        </w:tc>
      </w:tr>
      <w:tr w14:paraId="0B94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0EB64A3">
            <w:pPr>
              <w:jc w:val="center"/>
              <w:rPr>
                <w:sz w:val="22"/>
                <w:szCs w:val="22"/>
              </w:rPr>
            </w:pPr>
          </w:p>
        </w:tc>
        <w:tc>
          <w:tcPr>
            <w:tcW w:w="1491" w:type="dxa"/>
            <w:noWrap/>
            <w:vAlign w:val="center"/>
          </w:tcPr>
          <w:p w14:paraId="7180AA7D">
            <w:pPr>
              <w:jc w:val="center"/>
              <w:rPr>
                <w:sz w:val="22"/>
                <w:szCs w:val="22"/>
              </w:rPr>
            </w:pPr>
          </w:p>
        </w:tc>
        <w:tc>
          <w:tcPr>
            <w:tcW w:w="742" w:type="dxa"/>
            <w:noWrap/>
            <w:vAlign w:val="center"/>
          </w:tcPr>
          <w:p w14:paraId="70195F1D">
            <w:pPr>
              <w:jc w:val="center"/>
              <w:rPr>
                <w:sz w:val="22"/>
                <w:szCs w:val="22"/>
              </w:rPr>
            </w:pPr>
          </w:p>
        </w:tc>
        <w:tc>
          <w:tcPr>
            <w:tcW w:w="676" w:type="dxa"/>
            <w:noWrap/>
            <w:vAlign w:val="center"/>
          </w:tcPr>
          <w:p w14:paraId="1862D658">
            <w:pPr>
              <w:jc w:val="center"/>
              <w:rPr>
                <w:sz w:val="22"/>
                <w:szCs w:val="22"/>
              </w:rPr>
            </w:pPr>
            <w:r>
              <w:rPr>
                <w:sz w:val="22"/>
                <w:szCs w:val="22"/>
              </w:rPr>
              <w:t>20</w:t>
            </w:r>
          </w:p>
        </w:tc>
        <w:tc>
          <w:tcPr>
            <w:tcW w:w="1098" w:type="dxa"/>
            <w:noWrap/>
            <w:vAlign w:val="center"/>
          </w:tcPr>
          <w:p w14:paraId="22C5BCB8">
            <w:pPr>
              <w:jc w:val="center"/>
              <w:rPr>
                <w:sz w:val="22"/>
                <w:szCs w:val="22"/>
              </w:rPr>
            </w:pPr>
            <w:r>
              <w:rPr>
                <w:sz w:val="22"/>
                <w:szCs w:val="22"/>
              </w:rPr>
              <w:t>119,50</w:t>
            </w:r>
          </w:p>
        </w:tc>
        <w:tc>
          <w:tcPr>
            <w:tcW w:w="1817" w:type="dxa"/>
            <w:vAlign w:val="center"/>
          </w:tcPr>
          <w:p w14:paraId="16E5B504">
            <w:pPr>
              <w:jc w:val="center"/>
              <w:rPr>
                <w:sz w:val="22"/>
                <w:szCs w:val="22"/>
              </w:rPr>
            </w:pPr>
            <w:r>
              <w:rPr>
                <w:sz w:val="22"/>
                <w:szCs w:val="22"/>
              </w:rPr>
              <w:t>776.750.000</w:t>
            </w:r>
          </w:p>
        </w:tc>
        <w:tc>
          <w:tcPr>
            <w:tcW w:w="1798" w:type="dxa"/>
            <w:vAlign w:val="center"/>
          </w:tcPr>
          <w:p w14:paraId="055E0996">
            <w:pPr>
              <w:jc w:val="center"/>
              <w:rPr>
                <w:sz w:val="22"/>
                <w:szCs w:val="22"/>
              </w:rPr>
            </w:pPr>
            <w:r>
              <w:rPr>
                <w:sz w:val="22"/>
                <w:szCs w:val="22"/>
              </w:rPr>
              <w:t>1.043.700.000</w:t>
            </w:r>
          </w:p>
        </w:tc>
        <w:tc>
          <w:tcPr>
            <w:tcW w:w="1382" w:type="dxa"/>
            <w:noWrap/>
            <w:vAlign w:val="center"/>
          </w:tcPr>
          <w:p w14:paraId="03A27CA3">
            <w:pPr>
              <w:jc w:val="center"/>
              <w:rPr>
                <w:sz w:val="22"/>
                <w:szCs w:val="22"/>
              </w:rPr>
            </w:pPr>
            <w:r>
              <w:rPr>
                <w:sz w:val="22"/>
                <w:szCs w:val="22"/>
              </w:rPr>
              <w:t>1,34%</w:t>
            </w:r>
          </w:p>
        </w:tc>
      </w:tr>
      <w:tr w14:paraId="5985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FC5457D">
            <w:pPr>
              <w:jc w:val="center"/>
              <w:rPr>
                <w:sz w:val="22"/>
                <w:szCs w:val="22"/>
              </w:rPr>
            </w:pPr>
          </w:p>
        </w:tc>
        <w:tc>
          <w:tcPr>
            <w:tcW w:w="1491" w:type="dxa"/>
            <w:noWrap/>
            <w:vAlign w:val="center"/>
          </w:tcPr>
          <w:p w14:paraId="5E07A499">
            <w:pPr>
              <w:jc w:val="center"/>
              <w:rPr>
                <w:sz w:val="22"/>
                <w:szCs w:val="22"/>
              </w:rPr>
            </w:pPr>
          </w:p>
        </w:tc>
        <w:tc>
          <w:tcPr>
            <w:tcW w:w="742" w:type="dxa"/>
            <w:noWrap/>
            <w:vAlign w:val="center"/>
          </w:tcPr>
          <w:p w14:paraId="664279C4">
            <w:pPr>
              <w:jc w:val="center"/>
              <w:rPr>
                <w:sz w:val="22"/>
                <w:szCs w:val="22"/>
              </w:rPr>
            </w:pPr>
          </w:p>
        </w:tc>
        <w:tc>
          <w:tcPr>
            <w:tcW w:w="676" w:type="dxa"/>
            <w:noWrap/>
            <w:vAlign w:val="center"/>
          </w:tcPr>
          <w:p w14:paraId="1F463B88">
            <w:pPr>
              <w:jc w:val="center"/>
              <w:rPr>
                <w:sz w:val="22"/>
                <w:szCs w:val="22"/>
              </w:rPr>
            </w:pPr>
            <w:r>
              <w:rPr>
                <w:sz w:val="22"/>
                <w:szCs w:val="22"/>
              </w:rPr>
              <w:t>21</w:t>
            </w:r>
          </w:p>
        </w:tc>
        <w:tc>
          <w:tcPr>
            <w:tcW w:w="1098" w:type="dxa"/>
            <w:noWrap/>
            <w:vAlign w:val="center"/>
          </w:tcPr>
          <w:p w14:paraId="64669663">
            <w:pPr>
              <w:jc w:val="center"/>
              <w:rPr>
                <w:sz w:val="22"/>
                <w:szCs w:val="22"/>
              </w:rPr>
            </w:pPr>
            <w:r>
              <w:rPr>
                <w:sz w:val="22"/>
                <w:szCs w:val="22"/>
              </w:rPr>
              <w:t>93,20</w:t>
            </w:r>
          </w:p>
        </w:tc>
        <w:tc>
          <w:tcPr>
            <w:tcW w:w="1817" w:type="dxa"/>
            <w:vAlign w:val="center"/>
          </w:tcPr>
          <w:p w14:paraId="4EA446D4">
            <w:pPr>
              <w:jc w:val="center"/>
              <w:rPr>
                <w:sz w:val="22"/>
                <w:szCs w:val="22"/>
              </w:rPr>
            </w:pPr>
            <w:r>
              <w:rPr>
                <w:sz w:val="22"/>
                <w:szCs w:val="22"/>
              </w:rPr>
              <w:t>726.960.000</w:t>
            </w:r>
          </w:p>
        </w:tc>
        <w:tc>
          <w:tcPr>
            <w:tcW w:w="1798" w:type="dxa"/>
            <w:vAlign w:val="center"/>
          </w:tcPr>
          <w:p w14:paraId="0F3E1E51">
            <w:pPr>
              <w:jc w:val="center"/>
              <w:rPr>
                <w:sz w:val="22"/>
                <w:szCs w:val="22"/>
              </w:rPr>
            </w:pPr>
            <w:r>
              <w:rPr>
                <w:sz w:val="22"/>
                <w:szCs w:val="22"/>
              </w:rPr>
              <w:t>1.368.000.000</w:t>
            </w:r>
          </w:p>
        </w:tc>
        <w:tc>
          <w:tcPr>
            <w:tcW w:w="1382" w:type="dxa"/>
            <w:noWrap/>
            <w:vAlign w:val="center"/>
          </w:tcPr>
          <w:p w14:paraId="5D1DC119">
            <w:pPr>
              <w:jc w:val="center"/>
              <w:rPr>
                <w:sz w:val="22"/>
                <w:szCs w:val="22"/>
              </w:rPr>
            </w:pPr>
            <w:r>
              <w:rPr>
                <w:sz w:val="22"/>
                <w:szCs w:val="22"/>
              </w:rPr>
              <w:t>1,88%</w:t>
            </w:r>
          </w:p>
        </w:tc>
      </w:tr>
      <w:tr w14:paraId="2588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964931E">
            <w:pPr>
              <w:jc w:val="center"/>
              <w:rPr>
                <w:sz w:val="22"/>
                <w:szCs w:val="22"/>
              </w:rPr>
            </w:pPr>
          </w:p>
        </w:tc>
        <w:tc>
          <w:tcPr>
            <w:tcW w:w="1491" w:type="dxa"/>
            <w:noWrap/>
            <w:vAlign w:val="center"/>
          </w:tcPr>
          <w:p w14:paraId="226CEF78">
            <w:pPr>
              <w:jc w:val="center"/>
              <w:rPr>
                <w:sz w:val="22"/>
                <w:szCs w:val="22"/>
              </w:rPr>
            </w:pPr>
          </w:p>
        </w:tc>
        <w:tc>
          <w:tcPr>
            <w:tcW w:w="742" w:type="dxa"/>
            <w:noWrap/>
            <w:vAlign w:val="center"/>
          </w:tcPr>
          <w:p w14:paraId="482B94F4">
            <w:pPr>
              <w:jc w:val="center"/>
              <w:rPr>
                <w:sz w:val="22"/>
                <w:szCs w:val="22"/>
              </w:rPr>
            </w:pPr>
          </w:p>
        </w:tc>
        <w:tc>
          <w:tcPr>
            <w:tcW w:w="676" w:type="dxa"/>
            <w:noWrap/>
            <w:vAlign w:val="center"/>
          </w:tcPr>
          <w:p w14:paraId="4AFE1D9F">
            <w:pPr>
              <w:jc w:val="center"/>
              <w:rPr>
                <w:sz w:val="22"/>
                <w:szCs w:val="22"/>
              </w:rPr>
            </w:pPr>
            <w:r>
              <w:rPr>
                <w:sz w:val="22"/>
                <w:szCs w:val="22"/>
              </w:rPr>
              <w:t>22</w:t>
            </w:r>
          </w:p>
        </w:tc>
        <w:tc>
          <w:tcPr>
            <w:tcW w:w="1098" w:type="dxa"/>
            <w:noWrap/>
            <w:vAlign w:val="center"/>
          </w:tcPr>
          <w:p w14:paraId="11C33375">
            <w:pPr>
              <w:jc w:val="center"/>
              <w:rPr>
                <w:sz w:val="22"/>
                <w:szCs w:val="22"/>
              </w:rPr>
            </w:pPr>
            <w:r>
              <w:rPr>
                <w:sz w:val="22"/>
                <w:szCs w:val="22"/>
              </w:rPr>
              <w:t>98,90</w:t>
            </w:r>
          </w:p>
        </w:tc>
        <w:tc>
          <w:tcPr>
            <w:tcW w:w="1817" w:type="dxa"/>
            <w:vAlign w:val="center"/>
          </w:tcPr>
          <w:p w14:paraId="0899C90D">
            <w:pPr>
              <w:jc w:val="center"/>
              <w:rPr>
                <w:sz w:val="22"/>
                <w:szCs w:val="22"/>
              </w:rPr>
            </w:pPr>
            <w:r>
              <w:rPr>
                <w:sz w:val="22"/>
                <w:szCs w:val="22"/>
              </w:rPr>
              <w:t>642.850.000</w:t>
            </w:r>
          </w:p>
        </w:tc>
        <w:tc>
          <w:tcPr>
            <w:tcW w:w="1798" w:type="dxa"/>
            <w:vAlign w:val="center"/>
          </w:tcPr>
          <w:p w14:paraId="0EC2BE62">
            <w:pPr>
              <w:jc w:val="center"/>
              <w:rPr>
                <w:sz w:val="22"/>
                <w:szCs w:val="22"/>
              </w:rPr>
            </w:pPr>
            <w:r>
              <w:rPr>
                <w:sz w:val="22"/>
                <w:szCs w:val="22"/>
              </w:rPr>
              <w:t>1.120.980.000</w:t>
            </w:r>
          </w:p>
        </w:tc>
        <w:tc>
          <w:tcPr>
            <w:tcW w:w="1382" w:type="dxa"/>
            <w:noWrap/>
            <w:vAlign w:val="center"/>
          </w:tcPr>
          <w:p w14:paraId="600E7417">
            <w:pPr>
              <w:jc w:val="center"/>
              <w:rPr>
                <w:sz w:val="22"/>
                <w:szCs w:val="22"/>
              </w:rPr>
            </w:pPr>
            <w:r>
              <w:rPr>
                <w:sz w:val="22"/>
                <w:szCs w:val="22"/>
              </w:rPr>
              <w:t>1,74%</w:t>
            </w:r>
          </w:p>
        </w:tc>
      </w:tr>
      <w:tr w14:paraId="595A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1139F82">
            <w:pPr>
              <w:jc w:val="center"/>
              <w:rPr>
                <w:sz w:val="22"/>
                <w:szCs w:val="22"/>
              </w:rPr>
            </w:pPr>
          </w:p>
        </w:tc>
        <w:tc>
          <w:tcPr>
            <w:tcW w:w="1491" w:type="dxa"/>
            <w:noWrap/>
            <w:vAlign w:val="center"/>
          </w:tcPr>
          <w:p w14:paraId="68DAF6CC">
            <w:pPr>
              <w:jc w:val="center"/>
              <w:rPr>
                <w:sz w:val="22"/>
                <w:szCs w:val="22"/>
              </w:rPr>
            </w:pPr>
          </w:p>
        </w:tc>
        <w:tc>
          <w:tcPr>
            <w:tcW w:w="742" w:type="dxa"/>
            <w:noWrap/>
            <w:vAlign w:val="center"/>
          </w:tcPr>
          <w:p w14:paraId="333ACF45">
            <w:pPr>
              <w:jc w:val="center"/>
              <w:rPr>
                <w:sz w:val="22"/>
                <w:szCs w:val="22"/>
              </w:rPr>
            </w:pPr>
          </w:p>
        </w:tc>
        <w:tc>
          <w:tcPr>
            <w:tcW w:w="676" w:type="dxa"/>
            <w:noWrap/>
            <w:vAlign w:val="center"/>
          </w:tcPr>
          <w:p w14:paraId="722E633A">
            <w:pPr>
              <w:jc w:val="center"/>
              <w:rPr>
                <w:sz w:val="22"/>
                <w:szCs w:val="22"/>
              </w:rPr>
            </w:pPr>
            <w:r>
              <w:rPr>
                <w:sz w:val="22"/>
                <w:szCs w:val="22"/>
              </w:rPr>
              <w:t>23</w:t>
            </w:r>
          </w:p>
        </w:tc>
        <w:tc>
          <w:tcPr>
            <w:tcW w:w="1098" w:type="dxa"/>
            <w:noWrap/>
            <w:vAlign w:val="center"/>
          </w:tcPr>
          <w:p w14:paraId="78A1AE1D">
            <w:pPr>
              <w:jc w:val="center"/>
              <w:rPr>
                <w:sz w:val="22"/>
                <w:szCs w:val="22"/>
              </w:rPr>
            </w:pPr>
            <w:r>
              <w:rPr>
                <w:sz w:val="22"/>
                <w:szCs w:val="22"/>
              </w:rPr>
              <w:t>133,90</w:t>
            </w:r>
          </w:p>
        </w:tc>
        <w:tc>
          <w:tcPr>
            <w:tcW w:w="1817" w:type="dxa"/>
            <w:vAlign w:val="center"/>
          </w:tcPr>
          <w:p w14:paraId="6DA18D16">
            <w:pPr>
              <w:jc w:val="center"/>
              <w:rPr>
                <w:sz w:val="22"/>
                <w:szCs w:val="22"/>
              </w:rPr>
            </w:pPr>
            <w:r>
              <w:rPr>
                <w:sz w:val="22"/>
                <w:szCs w:val="22"/>
              </w:rPr>
              <w:t>870.350.000</w:t>
            </w:r>
          </w:p>
        </w:tc>
        <w:tc>
          <w:tcPr>
            <w:tcW w:w="1798" w:type="dxa"/>
            <w:vAlign w:val="center"/>
          </w:tcPr>
          <w:p w14:paraId="69AE7D40">
            <w:pPr>
              <w:jc w:val="center"/>
              <w:rPr>
                <w:sz w:val="22"/>
                <w:szCs w:val="22"/>
              </w:rPr>
            </w:pPr>
            <w:r>
              <w:rPr>
                <w:sz w:val="22"/>
                <w:szCs w:val="22"/>
              </w:rPr>
              <w:t>973.000.000</w:t>
            </w:r>
          </w:p>
        </w:tc>
        <w:tc>
          <w:tcPr>
            <w:tcW w:w="1382" w:type="dxa"/>
            <w:noWrap/>
            <w:vAlign w:val="center"/>
          </w:tcPr>
          <w:p w14:paraId="6607EE9E">
            <w:pPr>
              <w:jc w:val="center"/>
              <w:rPr>
                <w:sz w:val="22"/>
                <w:szCs w:val="22"/>
              </w:rPr>
            </w:pPr>
            <w:r>
              <w:rPr>
                <w:sz w:val="22"/>
                <w:szCs w:val="22"/>
              </w:rPr>
              <w:t>1,12%</w:t>
            </w:r>
          </w:p>
        </w:tc>
      </w:tr>
      <w:tr w14:paraId="03A6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F8819F9">
            <w:pPr>
              <w:jc w:val="center"/>
              <w:rPr>
                <w:sz w:val="22"/>
                <w:szCs w:val="22"/>
              </w:rPr>
            </w:pPr>
          </w:p>
        </w:tc>
        <w:tc>
          <w:tcPr>
            <w:tcW w:w="1491" w:type="dxa"/>
            <w:noWrap/>
            <w:vAlign w:val="center"/>
          </w:tcPr>
          <w:p w14:paraId="53594D9B">
            <w:pPr>
              <w:jc w:val="center"/>
              <w:rPr>
                <w:sz w:val="22"/>
                <w:szCs w:val="22"/>
              </w:rPr>
            </w:pPr>
          </w:p>
        </w:tc>
        <w:tc>
          <w:tcPr>
            <w:tcW w:w="742" w:type="dxa"/>
            <w:noWrap/>
            <w:vAlign w:val="center"/>
          </w:tcPr>
          <w:p w14:paraId="24031FBB">
            <w:pPr>
              <w:jc w:val="center"/>
              <w:rPr>
                <w:sz w:val="22"/>
                <w:szCs w:val="22"/>
              </w:rPr>
            </w:pPr>
          </w:p>
        </w:tc>
        <w:tc>
          <w:tcPr>
            <w:tcW w:w="676" w:type="dxa"/>
            <w:noWrap/>
            <w:vAlign w:val="center"/>
          </w:tcPr>
          <w:p w14:paraId="26E51C68">
            <w:pPr>
              <w:jc w:val="center"/>
              <w:rPr>
                <w:sz w:val="22"/>
                <w:szCs w:val="22"/>
              </w:rPr>
            </w:pPr>
            <w:r>
              <w:rPr>
                <w:sz w:val="22"/>
                <w:szCs w:val="22"/>
              </w:rPr>
              <w:t>24</w:t>
            </w:r>
          </w:p>
        </w:tc>
        <w:tc>
          <w:tcPr>
            <w:tcW w:w="1098" w:type="dxa"/>
            <w:noWrap/>
            <w:vAlign w:val="center"/>
          </w:tcPr>
          <w:p w14:paraId="3E7F8298">
            <w:pPr>
              <w:jc w:val="center"/>
              <w:rPr>
                <w:sz w:val="22"/>
                <w:szCs w:val="22"/>
              </w:rPr>
            </w:pPr>
            <w:r>
              <w:rPr>
                <w:sz w:val="22"/>
                <w:szCs w:val="22"/>
              </w:rPr>
              <w:t>132,70</w:t>
            </w:r>
          </w:p>
        </w:tc>
        <w:tc>
          <w:tcPr>
            <w:tcW w:w="1817" w:type="dxa"/>
            <w:vAlign w:val="center"/>
          </w:tcPr>
          <w:p w14:paraId="3CC1DFA1">
            <w:pPr>
              <w:jc w:val="center"/>
              <w:rPr>
                <w:sz w:val="22"/>
                <w:szCs w:val="22"/>
              </w:rPr>
            </w:pPr>
            <w:r>
              <w:rPr>
                <w:sz w:val="22"/>
                <w:szCs w:val="22"/>
              </w:rPr>
              <w:t>862.550.000</w:t>
            </w:r>
          </w:p>
        </w:tc>
        <w:tc>
          <w:tcPr>
            <w:tcW w:w="1798" w:type="dxa"/>
            <w:vAlign w:val="center"/>
          </w:tcPr>
          <w:p w14:paraId="74ACF83B">
            <w:pPr>
              <w:jc w:val="center"/>
              <w:rPr>
                <w:sz w:val="22"/>
                <w:szCs w:val="22"/>
              </w:rPr>
            </w:pPr>
            <w:r>
              <w:rPr>
                <w:sz w:val="22"/>
                <w:szCs w:val="22"/>
              </w:rPr>
              <w:t>989.300.000</w:t>
            </w:r>
          </w:p>
        </w:tc>
        <w:tc>
          <w:tcPr>
            <w:tcW w:w="1382" w:type="dxa"/>
            <w:noWrap/>
            <w:vAlign w:val="center"/>
          </w:tcPr>
          <w:p w14:paraId="2ABBD9FC">
            <w:pPr>
              <w:jc w:val="center"/>
              <w:rPr>
                <w:sz w:val="22"/>
                <w:szCs w:val="22"/>
              </w:rPr>
            </w:pPr>
            <w:r>
              <w:rPr>
                <w:sz w:val="22"/>
                <w:szCs w:val="22"/>
              </w:rPr>
              <w:t>1,15%</w:t>
            </w:r>
          </w:p>
        </w:tc>
      </w:tr>
      <w:tr w14:paraId="1CB8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F744032">
            <w:pPr>
              <w:jc w:val="center"/>
              <w:rPr>
                <w:sz w:val="22"/>
                <w:szCs w:val="22"/>
              </w:rPr>
            </w:pPr>
          </w:p>
        </w:tc>
        <w:tc>
          <w:tcPr>
            <w:tcW w:w="1491" w:type="dxa"/>
            <w:noWrap/>
            <w:vAlign w:val="center"/>
          </w:tcPr>
          <w:p w14:paraId="49CF8AF7">
            <w:pPr>
              <w:jc w:val="center"/>
              <w:rPr>
                <w:sz w:val="22"/>
                <w:szCs w:val="22"/>
              </w:rPr>
            </w:pPr>
          </w:p>
        </w:tc>
        <w:tc>
          <w:tcPr>
            <w:tcW w:w="742" w:type="dxa"/>
            <w:noWrap/>
            <w:vAlign w:val="center"/>
          </w:tcPr>
          <w:p w14:paraId="3A13068A">
            <w:pPr>
              <w:jc w:val="center"/>
              <w:rPr>
                <w:sz w:val="22"/>
                <w:szCs w:val="22"/>
              </w:rPr>
            </w:pPr>
          </w:p>
        </w:tc>
        <w:tc>
          <w:tcPr>
            <w:tcW w:w="676" w:type="dxa"/>
            <w:noWrap/>
            <w:vAlign w:val="center"/>
          </w:tcPr>
          <w:p w14:paraId="06EEA9B0">
            <w:pPr>
              <w:jc w:val="center"/>
              <w:rPr>
                <w:sz w:val="22"/>
                <w:szCs w:val="22"/>
              </w:rPr>
            </w:pPr>
            <w:r>
              <w:rPr>
                <w:sz w:val="22"/>
                <w:szCs w:val="22"/>
              </w:rPr>
              <w:t>25</w:t>
            </w:r>
          </w:p>
        </w:tc>
        <w:tc>
          <w:tcPr>
            <w:tcW w:w="1098" w:type="dxa"/>
            <w:noWrap/>
            <w:vAlign w:val="center"/>
          </w:tcPr>
          <w:p w14:paraId="0CF07857">
            <w:pPr>
              <w:jc w:val="center"/>
              <w:rPr>
                <w:sz w:val="22"/>
                <w:szCs w:val="22"/>
              </w:rPr>
            </w:pPr>
            <w:r>
              <w:rPr>
                <w:sz w:val="22"/>
                <w:szCs w:val="22"/>
              </w:rPr>
              <w:t>120,00</w:t>
            </w:r>
          </w:p>
        </w:tc>
        <w:tc>
          <w:tcPr>
            <w:tcW w:w="1817" w:type="dxa"/>
            <w:vAlign w:val="center"/>
          </w:tcPr>
          <w:p w14:paraId="00456C50">
            <w:pPr>
              <w:jc w:val="center"/>
              <w:rPr>
                <w:sz w:val="22"/>
                <w:szCs w:val="22"/>
              </w:rPr>
            </w:pPr>
            <w:r>
              <w:rPr>
                <w:sz w:val="22"/>
                <w:szCs w:val="22"/>
              </w:rPr>
              <w:t>780.000.000</w:t>
            </w:r>
          </w:p>
        </w:tc>
        <w:tc>
          <w:tcPr>
            <w:tcW w:w="1798" w:type="dxa"/>
            <w:vAlign w:val="center"/>
          </w:tcPr>
          <w:p w14:paraId="0258F037">
            <w:pPr>
              <w:jc w:val="center"/>
              <w:rPr>
                <w:sz w:val="22"/>
                <w:szCs w:val="22"/>
              </w:rPr>
            </w:pPr>
            <w:r>
              <w:rPr>
                <w:sz w:val="22"/>
                <w:szCs w:val="22"/>
              </w:rPr>
              <w:t>967.000.000</w:t>
            </w:r>
          </w:p>
        </w:tc>
        <w:tc>
          <w:tcPr>
            <w:tcW w:w="1382" w:type="dxa"/>
            <w:noWrap/>
            <w:vAlign w:val="center"/>
          </w:tcPr>
          <w:p w14:paraId="29041579">
            <w:pPr>
              <w:jc w:val="center"/>
              <w:rPr>
                <w:sz w:val="22"/>
                <w:szCs w:val="22"/>
              </w:rPr>
            </w:pPr>
            <w:r>
              <w:rPr>
                <w:sz w:val="22"/>
                <w:szCs w:val="22"/>
              </w:rPr>
              <w:t>1,24%</w:t>
            </w:r>
          </w:p>
        </w:tc>
      </w:tr>
      <w:tr w14:paraId="3537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C36786C">
            <w:pPr>
              <w:jc w:val="center"/>
              <w:rPr>
                <w:sz w:val="22"/>
                <w:szCs w:val="22"/>
              </w:rPr>
            </w:pPr>
          </w:p>
        </w:tc>
        <w:tc>
          <w:tcPr>
            <w:tcW w:w="1491" w:type="dxa"/>
            <w:noWrap/>
            <w:vAlign w:val="center"/>
          </w:tcPr>
          <w:p w14:paraId="00B6ABE8">
            <w:pPr>
              <w:jc w:val="center"/>
              <w:rPr>
                <w:sz w:val="22"/>
                <w:szCs w:val="22"/>
              </w:rPr>
            </w:pPr>
          </w:p>
        </w:tc>
        <w:tc>
          <w:tcPr>
            <w:tcW w:w="742" w:type="dxa"/>
            <w:noWrap/>
            <w:vAlign w:val="center"/>
          </w:tcPr>
          <w:p w14:paraId="7AED84EC">
            <w:pPr>
              <w:jc w:val="center"/>
              <w:rPr>
                <w:sz w:val="22"/>
                <w:szCs w:val="22"/>
              </w:rPr>
            </w:pPr>
          </w:p>
        </w:tc>
        <w:tc>
          <w:tcPr>
            <w:tcW w:w="676" w:type="dxa"/>
            <w:noWrap/>
            <w:vAlign w:val="center"/>
          </w:tcPr>
          <w:p w14:paraId="051140EF">
            <w:pPr>
              <w:jc w:val="center"/>
              <w:rPr>
                <w:sz w:val="22"/>
                <w:szCs w:val="22"/>
              </w:rPr>
            </w:pPr>
            <w:r>
              <w:rPr>
                <w:sz w:val="22"/>
                <w:szCs w:val="22"/>
              </w:rPr>
              <w:t>26</w:t>
            </w:r>
          </w:p>
        </w:tc>
        <w:tc>
          <w:tcPr>
            <w:tcW w:w="1098" w:type="dxa"/>
            <w:noWrap/>
            <w:vAlign w:val="center"/>
          </w:tcPr>
          <w:p w14:paraId="01F4BEC2">
            <w:pPr>
              <w:jc w:val="center"/>
              <w:rPr>
                <w:sz w:val="22"/>
                <w:szCs w:val="22"/>
              </w:rPr>
            </w:pPr>
            <w:r>
              <w:rPr>
                <w:sz w:val="22"/>
                <w:szCs w:val="22"/>
              </w:rPr>
              <w:t>120,00</w:t>
            </w:r>
          </w:p>
        </w:tc>
        <w:tc>
          <w:tcPr>
            <w:tcW w:w="1817" w:type="dxa"/>
            <w:vAlign w:val="center"/>
          </w:tcPr>
          <w:p w14:paraId="2546D937">
            <w:pPr>
              <w:jc w:val="center"/>
              <w:rPr>
                <w:sz w:val="22"/>
                <w:szCs w:val="22"/>
              </w:rPr>
            </w:pPr>
            <w:r>
              <w:rPr>
                <w:sz w:val="22"/>
                <w:szCs w:val="22"/>
              </w:rPr>
              <w:t>780.000.000</w:t>
            </w:r>
          </w:p>
        </w:tc>
        <w:tc>
          <w:tcPr>
            <w:tcW w:w="1798" w:type="dxa"/>
            <w:vAlign w:val="center"/>
          </w:tcPr>
          <w:p w14:paraId="2A07EA6D">
            <w:pPr>
              <w:jc w:val="center"/>
              <w:rPr>
                <w:sz w:val="22"/>
                <w:szCs w:val="22"/>
              </w:rPr>
            </w:pPr>
            <w:r>
              <w:rPr>
                <w:sz w:val="22"/>
                <w:szCs w:val="22"/>
              </w:rPr>
              <w:t>986.000.000</w:t>
            </w:r>
          </w:p>
        </w:tc>
        <w:tc>
          <w:tcPr>
            <w:tcW w:w="1382" w:type="dxa"/>
            <w:noWrap/>
            <w:vAlign w:val="center"/>
          </w:tcPr>
          <w:p w14:paraId="0CB9211B">
            <w:pPr>
              <w:jc w:val="center"/>
              <w:rPr>
                <w:sz w:val="22"/>
                <w:szCs w:val="22"/>
              </w:rPr>
            </w:pPr>
            <w:r>
              <w:rPr>
                <w:sz w:val="22"/>
                <w:szCs w:val="22"/>
              </w:rPr>
              <w:t>1,26%</w:t>
            </w:r>
          </w:p>
        </w:tc>
      </w:tr>
      <w:tr w14:paraId="316A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755E1A6">
            <w:pPr>
              <w:jc w:val="center"/>
              <w:rPr>
                <w:sz w:val="22"/>
                <w:szCs w:val="22"/>
              </w:rPr>
            </w:pPr>
          </w:p>
        </w:tc>
        <w:tc>
          <w:tcPr>
            <w:tcW w:w="1491" w:type="dxa"/>
            <w:noWrap/>
            <w:vAlign w:val="center"/>
          </w:tcPr>
          <w:p w14:paraId="74BE6695">
            <w:pPr>
              <w:jc w:val="center"/>
              <w:rPr>
                <w:sz w:val="22"/>
                <w:szCs w:val="22"/>
              </w:rPr>
            </w:pPr>
          </w:p>
        </w:tc>
        <w:tc>
          <w:tcPr>
            <w:tcW w:w="742" w:type="dxa"/>
            <w:noWrap/>
            <w:vAlign w:val="center"/>
          </w:tcPr>
          <w:p w14:paraId="477254B2">
            <w:pPr>
              <w:jc w:val="center"/>
              <w:rPr>
                <w:sz w:val="22"/>
                <w:szCs w:val="22"/>
              </w:rPr>
            </w:pPr>
          </w:p>
        </w:tc>
        <w:tc>
          <w:tcPr>
            <w:tcW w:w="676" w:type="dxa"/>
            <w:noWrap/>
            <w:vAlign w:val="center"/>
          </w:tcPr>
          <w:p w14:paraId="0828002B">
            <w:pPr>
              <w:jc w:val="center"/>
              <w:rPr>
                <w:sz w:val="22"/>
                <w:szCs w:val="22"/>
              </w:rPr>
            </w:pPr>
            <w:r>
              <w:rPr>
                <w:sz w:val="22"/>
                <w:szCs w:val="22"/>
              </w:rPr>
              <w:t>27</w:t>
            </w:r>
          </w:p>
        </w:tc>
        <w:tc>
          <w:tcPr>
            <w:tcW w:w="1098" w:type="dxa"/>
            <w:noWrap/>
            <w:vAlign w:val="center"/>
          </w:tcPr>
          <w:p w14:paraId="019B1A63">
            <w:pPr>
              <w:jc w:val="center"/>
              <w:rPr>
                <w:sz w:val="22"/>
                <w:szCs w:val="22"/>
              </w:rPr>
            </w:pPr>
            <w:r>
              <w:rPr>
                <w:sz w:val="22"/>
                <w:szCs w:val="22"/>
              </w:rPr>
              <w:t>120,00</w:t>
            </w:r>
          </w:p>
        </w:tc>
        <w:tc>
          <w:tcPr>
            <w:tcW w:w="1817" w:type="dxa"/>
            <w:vAlign w:val="center"/>
          </w:tcPr>
          <w:p w14:paraId="364FF440">
            <w:pPr>
              <w:jc w:val="center"/>
              <w:rPr>
                <w:sz w:val="22"/>
                <w:szCs w:val="22"/>
              </w:rPr>
            </w:pPr>
            <w:r>
              <w:rPr>
                <w:sz w:val="22"/>
                <w:szCs w:val="22"/>
              </w:rPr>
              <w:t>780.000.000</w:t>
            </w:r>
          </w:p>
        </w:tc>
        <w:tc>
          <w:tcPr>
            <w:tcW w:w="1798" w:type="dxa"/>
            <w:vAlign w:val="center"/>
          </w:tcPr>
          <w:p w14:paraId="3459FC24">
            <w:pPr>
              <w:jc w:val="center"/>
              <w:rPr>
                <w:sz w:val="22"/>
                <w:szCs w:val="22"/>
              </w:rPr>
            </w:pPr>
            <w:r>
              <w:rPr>
                <w:sz w:val="22"/>
                <w:szCs w:val="22"/>
              </w:rPr>
              <w:t>963.500.000</w:t>
            </w:r>
          </w:p>
        </w:tc>
        <w:tc>
          <w:tcPr>
            <w:tcW w:w="1382" w:type="dxa"/>
            <w:noWrap/>
            <w:vAlign w:val="center"/>
          </w:tcPr>
          <w:p w14:paraId="7B2ABB8E">
            <w:pPr>
              <w:jc w:val="center"/>
              <w:rPr>
                <w:sz w:val="22"/>
                <w:szCs w:val="22"/>
              </w:rPr>
            </w:pPr>
            <w:r>
              <w:rPr>
                <w:sz w:val="22"/>
                <w:szCs w:val="22"/>
              </w:rPr>
              <w:t>1,24%</w:t>
            </w:r>
          </w:p>
        </w:tc>
      </w:tr>
      <w:tr w14:paraId="2FE0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02F92E0">
            <w:pPr>
              <w:jc w:val="center"/>
              <w:rPr>
                <w:sz w:val="22"/>
                <w:szCs w:val="22"/>
              </w:rPr>
            </w:pPr>
          </w:p>
        </w:tc>
        <w:tc>
          <w:tcPr>
            <w:tcW w:w="1491" w:type="dxa"/>
            <w:noWrap/>
            <w:vAlign w:val="center"/>
          </w:tcPr>
          <w:p w14:paraId="4C22707E">
            <w:pPr>
              <w:jc w:val="center"/>
              <w:rPr>
                <w:sz w:val="22"/>
                <w:szCs w:val="22"/>
              </w:rPr>
            </w:pPr>
          </w:p>
        </w:tc>
        <w:tc>
          <w:tcPr>
            <w:tcW w:w="742" w:type="dxa"/>
            <w:noWrap/>
            <w:vAlign w:val="center"/>
          </w:tcPr>
          <w:p w14:paraId="604278CC">
            <w:pPr>
              <w:jc w:val="center"/>
              <w:rPr>
                <w:sz w:val="22"/>
                <w:szCs w:val="22"/>
              </w:rPr>
            </w:pPr>
          </w:p>
        </w:tc>
        <w:tc>
          <w:tcPr>
            <w:tcW w:w="676" w:type="dxa"/>
            <w:noWrap/>
            <w:vAlign w:val="center"/>
          </w:tcPr>
          <w:p w14:paraId="712120F1">
            <w:pPr>
              <w:jc w:val="center"/>
              <w:rPr>
                <w:sz w:val="22"/>
                <w:szCs w:val="22"/>
              </w:rPr>
            </w:pPr>
            <w:r>
              <w:rPr>
                <w:sz w:val="22"/>
                <w:szCs w:val="22"/>
              </w:rPr>
              <w:t>28</w:t>
            </w:r>
          </w:p>
        </w:tc>
        <w:tc>
          <w:tcPr>
            <w:tcW w:w="1098" w:type="dxa"/>
            <w:noWrap/>
            <w:vAlign w:val="center"/>
          </w:tcPr>
          <w:p w14:paraId="1EF9C0E7">
            <w:pPr>
              <w:jc w:val="center"/>
              <w:rPr>
                <w:sz w:val="22"/>
                <w:szCs w:val="22"/>
              </w:rPr>
            </w:pPr>
            <w:r>
              <w:rPr>
                <w:sz w:val="22"/>
                <w:szCs w:val="22"/>
              </w:rPr>
              <w:t>163,40</w:t>
            </w:r>
          </w:p>
        </w:tc>
        <w:tc>
          <w:tcPr>
            <w:tcW w:w="1817" w:type="dxa"/>
            <w:vAlign w:val="center"/>
          </w:tcPr>
          <w:p w14:paraId="6E6A216D">
            <w:pPr>
              <w:jc w:val="center"/>
              <w:rPr>
                <w:sz w:val="22"/>
                <w:szCs w:val="22"/>
              </w:rPr>
            </w:pPr>
            <w:r>
              <w:rPr>
                <w:sz w:val="22"/>
                <w:szCs w:val="22"/>
              </w:rPr>
              <w:t>1.274.520.000</w:t>
            </w:r>
          </w:p>
        </w:tc>
        <w:tc>
          <w:tcPr>
            <w:tcW w:w="1798" w:type="dxa"/>
            <w:vAlign w:val="center"/>
          </w:tcPr>
          <w:p w14:paraId="789145AF">
            <w:pPr>
              <w:jc w:val="center"/>
              <w:rPr>
                <w:sz w:val="22"/>
                <w:szCs w:val="22"/>
              </w:rPr>
            </w:pPr>
            <w:r>
              <w:rPr>
                <w:sz w:val="22"/>
                <w:szCs w:val="22"/>
              </w:rPr>
              <w:t>1.310.000.000</w:t>
            </w:r>
          </w:p>
        </w:tc>
        <w:tc>
          <w:tcPr>
            <w:tcW w:w="1382" w:type="dxa"/>
            <w:noWrap/>
            <w:vAlign w:val="center"/>
          </w:tcPr>
          <w:p w14:paraId="782B4AC6">
            <w:pPr>
              <w:jc w:val="center"/>
              <w:rPr>
                <w:sz w:val="22"/>
                <w:szCs w:val="22"/>
              </w:rPr>
            </w:pPr>
            <w:r>
              <w:rPr>
                <w:sz w:val="22"/>
                <w:szCs w:val="22"/>
              </w:rPr>
              <w:t>1,03%</w:t>
            </w:r>
          </w:p>
        </w:tc>
      </w:tr>
      <w:tr w14:paraId="21C0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3830E11">
            <w:pPr>
              <w:jc w:val="center"/>
              <w:rPr>
                <w:sz w:val="22"/>
                <w:szCs w:val="22"/>
              </w:rPr>
            </w:pPr>
          </w:p>
        </w:tc>
        <w:tc>
          <w:tcPr>
            <w:tcW w:w="1491" w:type="dxa"/>
            <w:noWrap/>
            <w:vAlign w:val="center"/>
          </w:tcPr>
          <w:p w14:paraId="65BF733F">
            <w:pPr>
              <w:jc w:val="center"/>
              <w:rPr>
                <w:sz w:val="22"/>
                <w:szCs w:val="22"/>
              </w:rPr>
            </w:pPr>
          </w:p>
        </w:tc>
        <w:tc>
          <w:tcPr>
            <w:tcW w:w="742" w:type="dxa"/>
            <w:noWrap/>
            <w:vAlign w:val="center"/>
          </w:tcPr>
          <w:p w14:paraId="7CB52641">
            <w:pPr>
              <w:jc w:val="center"/>
              <w:rPr>
                <w:sz w:val="22"/>
                <w:szCs w:val="22"/>
              </w:rPr>
            </w:pPr>
          </w:p>
        </w:tc>
        <w:tc>
          <w:tcPr>
            <w:tcW w:w="676" w:type="dxa"/>
            <w:noWrap/>
            <w:vAlign w:val="center"/>
          </w:tcPr>
          <w:p w14:paraId="4C897ACE">
            <w:pPr>
              <w:jc w:val="center"/>
              <w:rPr>
                <w:sz w:val="22"/>
                <w:szCs w:val="22"/>
              </w:rPr>
            </w:pPr>
            <w:r>
              <w:rPr>
                <w:sz w:val="22"/>
                <w:szCs w:val="22"/>
              </w:rPr>
              <w:t>29</w:t>
            </w:r>
          </w:p>
        </w:tc>
        <w:tc>
          <w:tcPr>
            <w:tcW w:w="1098" w:type="dxa"/>
            <w:noWrap/>
            <w:vAlign w:val="center"/>
          </w:tcPr>
          <w:p w14:paraId="51391FF4">
            <w:pPr>
              <w:jc w:val="center"/>
              <w:rPr>
                <w:sz w:val="22"/>
                <w:szCs w:val="22"/>
              </w:rPr>
            </w:pPr>
            <w:r>
              <w:rPr>
                <w:sz w:val="22"/>
                <w:szCs w:val="22"/>
              </w:rPr>
              <w:t>199,10</w:t>
            </w:r>
          </w:p>
        </w:tc>
        <w:tc>
          <w:tcPr>
            <w:tcW w:w="1817" w:type="dxa"/>
            <w:vAlign w:val="center"/>
          </w:tcPr>
          <w:p w14:paraId="178BBBCB">
            <w:pPr>
              <w:jc w:val="center"/>
              <w:rPr>
                <w:sz w:val="22"/>
                <w:szCs w:val="22"/>
              </w:rPr>
            </w:pPr>
            <w:r>
              <w:rPr>
                <w:sz w:val="22"/>
                <w:szCs w:val="22"/>
              </w:rPr>
              <w:t>1.194.600.000</w:t>
            </w:r>
          </w:p>
        </w:tc>
        <w:tc>
          <w:tcPr>
            <w:tcW w:w="1798" w:type="dxa"/>
            <w:vAlign w:val="center"/>
          </w:tcPr>
          <w:p w14:paraId="66B020A7">
            <w:pPr>
              <w:jc w:val="center"/>
              <w:rPr>
                <w:sz w:val="22"/>
                <w:szCs w:val="22"/>
              </w:rPr>
            </w:pPr>
            <w:r>
              <w:rPr>
                <w:sz w:val="22"/>
                <w:szCs w:val="22"/>
              </w:rPr>
              <w:t>1.206.000.000</w:t>
            </w:r>
          </w:p>
        </w:tc>
        <w:tc>
          <w:tcPr>
            <w:tcW w:w="1382" w:type="dxa"/>
            <w:noWrap/>
            <w:vAlign w:val="center"/>
          </w:tcPr>
          <w:p w14:paraId="0DE19291">
            <w:pPr>
              <w:jc w:val="center"/>
              <w:rPr>
                <w:sz w:val="22"/>
                <w:szCs w:val="22"/>
              </w:rPr>
            </w:pPr>
            <w:r>
              <w:rPr>
                <w:sz w:val="22"/>
                <w:szCs w:val="22"/>
              </w:rPr>
              <w:t>1,01%</w:t>
            </w:r>
          </w:p>
        </w:tc>
      </w:tr>
      <w:tr w14:paraId="38B7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30A1C97">
            <w:pPr>
              <w:jc w:val="center"/>
              <w:rPr>
                <w:sz w:val="22"/>
                <w:szCs w:val="22"/>
              </w:rPr>
            </w:pPr>
          </w:p>
        </w:tc>
        <w:tc>
          <w:tcPr>
            <w:tcW w:w="1491" w:type="dxa"/>
            <w:noWrap/>
            <w:vAlign w:val="center"/>
          </w:tcPr>
          <w:p w14:paraId="65F7CF01">
            <w:pPr>
              <w:jc w:val="center"/>
              <w:rPr>
                <w:sz w:val="22"/>
                <w:szCs w:val="22"/>
              </w:rPr>
            </w:pPr>
          </w:p>
        </w:tc>
        <w:tc>
          <w:tcPr>
            <w:tcW w:w="742" w:type="dxa"/>
            <w:noWrap/>
            <w:vAlign w:val="center"/>
          </w:tcPr>
          <w:p w14:paraId="6ECD46D5">
            <w:pPr>
              <w:jc w:val="center"/>
              <w:rPr>
                <w:sz w:val="22"/>
                <w:szCs w:val="22"/>
              </w:rPr>
            </w:pPr>
          </w:p>
        </w:tc>
        <w:tc>
          <w:tcPr>
            <w:tcW w:w="676" w:type="dxa"/>
            <w:noWrap/>
            <w:vAlign w:val="center"/>
          </w:tcPr>
          <w:p w14:paraId="542341AE">
            <w:pPr>
              <w:jc w:val="center"/>
              <w:rPr>
                <w:sz w:val="22"/>
                <w:szCs w:val="22"/>
              </w:rPr>
            </w:pPr>
            <w:r>
              <w:rPr>
                <w:sz w:val="22"/>
                <w:szCs w:val="22"/>
              </w:rPr>
              <w:t>30</w:t>
            </w:r>
          </w:p>
        </w:tc>
        <w:tc>
          <w:tcPr>
            <w:tcW w:w="1098" w:type="dxa"/>
            <w:noWrap/>
            <w:vAlign w:val="center"/>
          </w:tcPr>
          <w:p w14:paraId="679B840E">
            <w:pPr>
              <w:jc w:val="center"/>
              <w:rPr>
                <w:sz w:val="22"/>
                <w:szCs w:val="22"/>
              </w:rPr>
            </w:pPr>
            <w:r>
              <w:rPr>
                <w:sz w:val="22"/>
                <w:szCs w:val="22"/>
              </w:rPr>
              <w:t>159,20</w:t>
            </w:r>
          </w:p>
        </w:tc>
        <w:tc>
          <w:tcPr>
            <w:tcW w:w="1817" w:type="dxa"/>
            <w:vAlign w:val="center"/>
          </w:tcPr>
          <w:p w14:paraId="5425F0BD">
            <w:pPr>
              <w:jc w:val="center"/>
              <w:rPr>
                <w:sz w:val="22"/>
                <w:szCs w:val="22"/>
              </w:rPr>
            </w:pPr>
            <w:r>
              <w:rPr>
                <w:sz w:val="22"/>
                <w:szCs w:val="22"/>
              </w:rPr>
              <w:t>955.200.000</w:t>
            </w:r>
          </w:p>
        </w:tc>
        <w:tc>
          <w:tcPr>
            <w:tcW w:w="1798" w:type="dxa"/>
            <w:vAlign w:val="center"/>
          </w:tcPr>
          <w:p w14:paraId="4E9172D4">
            <w:pPr>
              <w:jc w:val="center"/>
              <w:rPr>
                <w:sz w:val="22"/>
                <w:szCs w:val="22"/>
              </w:rPr>
            </w:pPr>
            <w:r>
              <w:rPr>
                <w:sz w:val="22"/>
                <w:szCs w:val="22"/>
              </w:rPr>
              <w:t>965.310.000</w:t>
            </w:r>
          </w:p>
        </w:tc>
        <w:tc>
          <w:tcPr>
            <w:tcW w:w="1382" w:type="dxa"/>
            <w:noWrap/>
            <w:vAlign w:val="center"/>
          </w:tcPr>
          <w:p w14:paraId="3CEF05A2">
            <w:pPr>
              <w:jc w:val="center"/>
              <w:rPr>
                <w:sz w:val="22"/>
                <w:szCs w:val="22"/>
              </w:rPr>
            </w:pPr>
            <w:r>
              <w:rPr>
                <w:sz w:val="22"/>
                <w:szCs w:val="22"/>
              </w:rPr>
              <w:t>1,01%</w:t>
            </w:r>
          </w:p>
        </w:tc>
      </w:tr>
      <w:tr w14:paraId="001E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39D6687">
            <w:pPr>
              <w:jc w:val="center"/>
              <w:rPr>
                <w:sz w:val="22"/>
                <w:szCs w:val="22"/>
              </w:rPr>
            </w:pPr>
          </w:p>
        </w:tc>
        <w:tc>
          <w:tcPr>
            <w:tcW w:w="1491" w:type="dxa"/>
            <w:noWrap/>
            <w:vAlign w:val="center"/>
          </w:tcPr>
          <w:p w14:paraId="48730729">
            <w:pPr>
              <w:jc w:val="center"/>
              <w:rPr>
                <w:sz w:val="22"/>
                <w:szCs w:val="22"/>
              </w:rPr>
            </w:pPr>
          </w:p>
        </w:tc>
        <w:tc>
          <w:tcPr>
            <w:tcW w:w="742" w:type="dxa"/>
            <w:noWrap/>
            <w:vAlign w:val="center"/>
          </w:tcPr>
          <w:p w14:paraId="7FE6799F">
            <w:pPr>
              <w:jc w:val="center"/>
              <w:rPr>
                <w:sz w:val="22"/>
                <w:szCs w:val="22"/>
              </w:rPr>
            </w:pPr>
          </w:p>
        </w:tc>
        <w:tc>
          <w:tcPr>
            <w:tcW w:w="676" w:type="dxa"/>
            <w:noWrap/>
            <w:vAlign w:val="center"/>
          </w:tcPr>
          <w:p w14:paraId="47D4BEC6">
            <w:pPr>
              <w:jc w:val="center"/>
              <w:rPr>
                <w:sz w:val="22"/>
                <w:szCs w:val="22"/>
              </w:rPr>
            </w:pPr>
            <w:r>
              <w:rPr>
                <w:sz w:val="22"/>
                <w:szCs w:val="22"/>
              </w:rPr>
              <w:t>31</w:t>
            </w:r>
          </w:p>
        </w:tc>
        <w:tc>
          <w:tcPr>
            <w:tcW w:w="1098" w:type="dxa"/>
            <w:noWrap/>
            <w:vAlign w:val="center"/>
          </w:tcPr>
          <w:p w14:paraId="47A78F11">
            <w:pPr>
              <w:jc w:val="center"/>
              <w:rPr>
                <w:sz w:val="22"/>
                <w:szCs w:val="22"/>
              </w:rPr>
            </w:pPr>
            <w:r>
              <w:rPr>
                <w:sz w:val="22"/>
                <w:szCs w:val="22"/>
              </w:rPr>
              <w:t>131,50</w:t>
            </w:r>
          </w:p>
        </w:tc>
        <w:tc>
          <w:tcPr>
            <w:tcW w:w="1817" w:type="dxa"/>
            <w:vAlign w:val="center"/>
          </w:tcPr>
          <w:p w14:paraId="0228508D">
            <w:pPr>
              <w:jc w:val="center"/>
              <w:rPr>
                <w:sz w:val="22"/>
                <w:szCs w:val="22"/>
              </w:rPr>
            </w:pPr>
            <w:r>
              <w:rPr>
                <w:sz w:val="22"/>
                <w:szCs w:val="22"/>
              </w:rPr>
              <w:t>789.000.000</w:t>
            </w:r>
          </w:p>
        </w:tc>
        <w:tc>
          <w:tcPr>
            <w:tcW w:w="1798" w:type="dxa"/>
            <w:vAlign w:val="center"/>
          </w:tcPr>
          <w:p w14:paraId="5FA6EEBD">
            <w:pPr>
              <w:jc w:val="center"/>
              <w:rPr>
                <w:sz w:val="22"/>
                <w:szCs w:val="22"/>
              </w:rPr>
            </w:pPr>
            <w:r>
              <w:rPr>
                <w:sz w:val="22"/>
                <w:szCs w:val="22"/>
              </w:rPr>
              <w:t>871.000.000</w:t>
            </w:r>
          </w:p>
        </w:tc>
        <w:tc>
          <w:tcPr>
            <w:tcW w:w="1382" w:type="dxa"/>
            <w:noWrap/>
            <w:vAlign w:val="center"/>
          </w:tcPr>
          <w:p w14:paraId="2221A760">
            <w:pPr>
              <w:jc w:val="center"/>
              <w:rPr>
                <w:sz w:val="22"/>
                <w:szCs w:val="22"/>
              </w:rPr>
            </w:pPr>
            <w:r>
              <w:rPr>
                <w:sz w:val="22"/>
                <w:szCs w:val="22"/>
              </w:rPr>
              <w:t>1,10%</w:t>
            </w:r>
          </w:p>
        </w:tc>
      </w:tr>
      <w:tr w14:paraId="0D2AAEA0">
        <w:tblPrEx>
          <w:tblCellMar>
            <w:top w:w="0" w:type="dxa"/>
            <w:left w:w="108" w:type="dxa"/>
            <w:bottom w:w="0" w:type="dxa"/>
            <w:right w:w="108" w:type="dxa"/>
          </w:tblCellMar>
        </w:tblPrEx>
        <w:trPr>
          <w:trHeight w:val="20" w:hRule="atLeast"/>
        </w:trPr>
        <w:tc>
          <w:tcPr>
            <w:tcW w:w="636" w:type="dxa"/>
            <w:noWrap/>
            <w:vAlign w:val="center"/>
          </w:tcPr>
          <w:p w14:paraId="3808FE91">
            <w:pPr>
              <w:jc w:val="center"/>
              <w:rPr>
                <w:sz w:val="22"/>
                <w:szCs w:val="22"/>
              </w:rPr>
            </w:pPr>
          </w:p>
        </w:tc>
        <w:tc>
          <w:tcPr>
            <w:tcW w:w="1491" w:type="dxa"/>
            <w:noWrap/>
            <w:vAlign w:val="center"/>
          </w:tcPr>
          <w:p w14:paraId="4C1AC1B7">
            <w:pPr>
              <w:jc w:val="center"/>
              <w:rPr>
                <w:sz w:val="22"/>
                <w:szCs w:val="22"/>
              </w:rPr>
            </w:pPr>
          </w:p>
        </w:tc>
        <w:tc>
          <w:tcPr>
            <w:tcW w:w="742" w:type="dxa"/>
            <w:noWrap/>
            <w:vAlign w:val="center"/>
          </w:tcPr>
          <w:p w14:paraId="398664D2">
            <w:pPr>
              <w:jc w:val="center"/>
              <w:rPr>
                <w:sz w:val="22"/>
                <w:szCs w:val="22"/>
              </w:rPr>
            </w:pPr>
          </w:p>
        </w:tc>
        <w:tc>
          <w:tcPr>
            <w:tcW w:w="676" w:type="dxa"/>
            <w:noWrap/>
            <w:vAlign w:val="center"/>
          </w:tcPr>
          <w:p w14:paraId="73D68FDF">
            <w:pPr>
              <w:jc w:val="center"/>
              <w:rPr>
                <w:sz w:val="22"/>
                <w:szCs w:val="22"/>
              </w:rPr>
            </w:pPr>
            <w:r>
              <w:rPr>
                <w:sz w:val="22"/>
                <w:szCs w:val="22"/>
              </w:rPr>
              <w:t>32</w:t>
            </w:r>
          </w:p>
        </w:tc>
        <w:tc>
          <w:tcPr>
            <w:tcW w:w="1098" w:type="dxa"/>
            <w:noWrap/>
            <w:vAlign w:val="center"/>
          </w:tcPr>
          <w:p w14:paraId="095A5813">
            <w:pPr>
              <w:jc w:val="center"/>
              <w:rPr>
                <w:sz w:val="22"/>
                <w:szCs w:val="22"/>
              </w:rPr>
            </w:pPr>
            <w:r>
              <w:rPr>
                <w:sz w:val="22"/>
                <w:szCs w:val="22"/>
              </w:rPr>
              <w:t>110,60</w:t>
            </w:r>
          </w:p>
        </w:tc>
        <w:tc>
          <w:tcPr>
            <w:tcW w:w="1817" w:type="dxa"/>
            <w:vAlign w:val="center"/>
          </w:tcPr>
          <w:p w14:paraId="69F18054">
            <w:pPr>
              <w:jc w:val="center"/>
              <w:rPr>
                <w:sz w:val="22"/>
                <w:szCs w:val="22"/>
              </w:rPr>
            </w:pPr>
            <w:r>
              <w:rPr>
                <w:sz w:val="22"/>
                <w:szCs w:val="22"/>
              </w:rPr>
              <w:t>663.600.000</w:t>
            </w:r>
          </w:p>
        </w:tc>
        <w:tc>
          <w:tcPr>
            <w:tcW w:w="1798" w:type="dxa"/>
            <w:vAlign w:val="center"/>
          </w:tcPr>
          <w:p w14:paraId="70D515E4">
            <w:pPr>
              <w:jc w:val="center"/>
              <w:rPr>
                <w:sz w:val="22"/>
                <w:szCs w:val="22"/>
              </w:rPr>
            </w:pPr>
            <w:r>
              <w:rPr>
                <w:sz w:val="22"/>
                <w:szCs w:val="22"/>
              </w:rPr>
              <w:t>988.300.000</w:t>
            </w:r>
          </w:p>
        </w:tc>
        <w:tc>
          <w:tcPr>
            <w:tcW w:w="1382" w:type="dxa"/>
            <w:noWrap/>
            <w:vAlign w:val="center"/>
          </w:tcPr>
          <w:p w14:paraId="39B5C3F0">
            <w:pPr>
              <w:jc w:val="center"/>
              <w:rPr>
                <w:sz w:val="22"/>
                <w:szCs w:val="22"/>
              </w:rPr>
            </w:pPr>
            <w:r>
              <w:rPr>
                <w:sz w:val="22"/>
                <w:szCs w:val="22"/>
              </w:rPr>
              <w:t>1,49%</w:t>
            </w:r>
          </w:p>
        </w:tc>
      </w:tr>
      <w:tr w14:paraId="166A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979DAD6">
            <w:pPr>
              <w:jc w:val="center"/>
              <w:rPr>
                <w:sz w:val="22"/>
                <w:szCs w:val="22"/>
              </w:rPr>
            </w:pPr>
          </w:p>
        </w:tc>
        <w:tc>
          <w:tcPr>
            <w:tcW w:w="1491" w:type="dxa"/>
            <w:noWrap/>
            <w:vAlign w:val="center"/>
          </w:tcPr>
          <w:p w14:paraId="12CD0BC0">
            <w:pPr>
              <w:jc w:val="center"/>
              <w:rPr>
                <w:sz w:val="22"/>
                <w:szCs w:val="22"/>
              </w:rPr>
            </w:pPr>
          </w:p>
        </w:tc>
        <w:tc>
          <w:tcPr>
            <w:tcW w:w="742" w:type="dxa"/>
            <w:noWrap/>
            <w:vAlign w:val="center"/>
          </w:tcPr>
          <w:p w14:paraId="5F488D94">
            <w:pPr>
              <w:jc w:val="center"/>
              <w:rPr>
                <w:sz w:val="22"/>
                <w:szCs w:val="22"/>
              </w:rPr>
            </w:pPr>
          </w:p>
        </w:tc>
        <w:tc>
          <w:tcPr>
            <w:tcW w:w="676" w:type="dxa"/>
            <w:noWrap/>
            <w:vAlign w:val="center"/>
          </w:tcPr>
          <w:p w14:paraId="7D6C55E1">
            <w:pPr>
              <w:jc w:val="center"/>
              <w:rPr>
                <w:sz w:val="22"/>
                <w:szCs w:val="22"/>
              </w:rPr>
            </w:pPr>
            <w:r>
              <w:rPr>
                <w:sz w:val="22"/>
                <w:szCs w:val="22"/>
              </w:rPr>
              <w:t>33</w:t>
            </w:r>
          </w:p>
        </w:tc>
        <w:tc>
          <w:tcPr>
            <w:tcW w:w="1098" w:type="dxa"/>
            <w:noWrap/>
            <w:vAlign w:val="center"/>
          </w:tcPr>
          <w:p w14:paraId="4027A741">
            <w:pPr>
              <w:jc w:val="center"/>
              <w:rPr>
                <w:sz w:val="22"/>
                <w:szCs w:val="22"/>
              </w:rPr>
            </w:pPr>
            <w:r>
              <w:rPr>
                <w:sz w:val="22"/>
                <w:szCs w:val="22"/>
              </w:rPr>
              <w:t>114,60</w:t>
            </w:r>
          </w:p>
        </w:tc>
        <w:tc>
          <w:tcPr>
            <w:tcW w:w="1817" w:type="dxa"/>
            <w:vAlign w:val="center"/>
          </w:tcPr>
          <w:p w14:paraId="4C482EAC">
            <w:pPr>
              <w:jc w:val="center"/>
              <w:rPr>
                <w:sz w:val="22"/>
                <w:szCs w:val="22"/>
              </w:rPr>
            </w:pPr>
            <w:r>
              <w:rPr>
                <w:sz w:val="22"/>
                <w:szCs w:val="22"/>
              </w:rPr>
              <w:t>687.600.000</w:t>
            </w:r>
          </w:p>
        </w:tc>
        <w:tc>
          <w:tcPr>
            <w:tcW w:w="1798" w:type="dxa"/>
            <w:vAlign w:val="center"/>
          </w:tcPr>
          <w:p w14:paraId="08334FF5">
            <w:pPr>
              <w:jc w:val="center"/>
              <w:rPr>
                <w:sz w:val="22"/>
                <w:szCs w:val="22"/>
              </w:rPr>
            </w:pPr>
            <w:r>
              <w:rPr>
                <w:sz w:val="22"/>
                <w:szCs w:val="22"/>
              </w:rPr>
              <w:t>723.000.000</w:t>
            </w:r>
          </w:p>
        </w:tc>
        <w:tc>
          <w:tcPr>
            <w:tcW w:w="1382" w:type="dxa"/>
            <w:noWrap/>
            <w:vAlign w:val="center"/>
          </w:tcPr>
          <w:p w14:paraId="338F2AD1">
            <w:pPr>
              <w:jc w:val="center"/>
              <w:rPr>
                <w:sz w:val="22"/>
                <w:szCs w:val="22"/>
              </w:rPr>
            </w:pPr>
            <w:r>
              <w:rPr>
                <w:sz w:val="22"/>
                <w:szCs w:val="22"/>
              </w:rPr>
              <w:t>1,05%</w:t>
            </w:r>
          </w:p>
        </w:tc>
      </w:tr>
      <w:tr w14:paraId="7DF0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CB121FD">
            <w:pPr>
              <w:jc w:val="center"/>
              <w:rPr>
                <w:sz w:val="22"/>
                <w:szCs w:val="22"/>
              </w:rPr>
            </w:pPr>
          </w:p>
        </w:tc>
        <w:tc>
          <w:tcPr>
            <w:tcW w:w="1491" w:type="dxa"/>
            <w:noWrap/>
            <w:vAlign w:val="center"/>
          </w:tcPr>
          <w:p w14:paraId="0271AB19">
            <w:pPr>
              <w:jc w:val="center"/>
              <w:rPr>
                <w:sz w:val="22"/>
                <w:szCs w:val="22"/>
              </w:rPr>
            </w:pPr>
          </w:p>
        </w:tc>
        <w:tc>
          <w:tcPr>
            <w:tcW w:w="742" w:type="dxa"/>
            <w:noWrap/>
            <w:vAlign w:val="center"/>
          </w:tcPr>
          <w:p w14:paraId="5DBD9CCC">
            <w:pPr>
              <w:jc w:val="center"/>
              <w:rPr>
                <w:sz w:val="22"/>
                <w:szCs w:val="22"/>
              </w:rPr>
            </w:pPr>
          </w:p>
        </w:tc>
        <w:tc>
          <w:tcPr>
            <w:tcW w:w="676" w:type="dxa"/>
            <w:noWrap/>
            <w:vAlign w:val="center"/>
          </w:tcPr>
          <w:p w14:paraId="4E351939">
            <w:pPr>
              <w:jc w:val="center"/>
              <w:rPr>
                <w:sz w:val="22"/>
                <w:szCs w:val="22"/>
              </w:rPr>
            </w:pPr>
            <w:r>
              <w:rPr>
                <w:sz w:val="22"/>
                <w:szCs w:val="22"/>
              </w:rPr>
              <w:t>34</w:t>
            </w:r>
          </w:p>
        </w:tc>
        <w:tc>
          <w:tcPr>
            <w:tcW w:w="1098" w:type="dxa"/>
            <w:noWrap/>
            <w:vAlign w:val="center"/>
          </w:tcPr>
          <w:p w14:paraId="66158BC0">
            <w:pPr>
              <w:jc w:val="center"/>
              <w:rPr>
                <w:sz w:val="22"/>
                <w:szCs w:val="22"/>
              </w:rPr>
            </w:pPr>
            <w:r>
              <w:rPr>
                <w:sz w:val="22"/>
                <w:szCs w:val="22"/>
              </w:rPr>
              <w:t>168,80</w:t>
            </w:r>
          </w:p>
        </w:tc>
        <w:tc>
          <w:tcPr>
            <w:tcW w:w="1817" w:type="dxa"/>
            <w:vAlign w:val="center"/>
          </w:tcPr>
          <w:p w14:paraId="639F421A">
            <w:pPr>
              <w:jc w:val="center"/>
              <w:rPr>
                <w:sz w:val="22"/>
                <w:szCs w:val="22"/>
              </w:rPr>
            </w:pPr>
            <w:r>
              <w:rPr>
                <w:sz w:val="22"/>
                <w:szCs w:val="22"/>
              </w:rPr>
              <w:t>1.012.800.000</w:t>
            </w:r>
          </w:p>
        </w:tc>
        <w:tc>
          <w:tcPr>
            <w:tcW w:w="1798" w:type="dxa"/>
            <w:vAlign w:val="center"/>
          </w:tcPr>
          <w:p w14:paraId="6FB7DB39">
            <w:pPr>
              <w:jc w:val="center"/>
              <w:rPr>
                <w:sz w:val="22"/>
                <w:szCs w:val="22"/>
              </w:rPr>
            </w:pPr>
            <w:r>
              <w:rPr>
                <w:sz w:val="22"/>
                <w:szCs w:val="22"/>
              </w:rPr>
              <w:t>1.023.840.000</w:t>
            </w:r>
          </w:p>
        </w:tc>
        <w:tc>
          <w:tcPr>
            <w:tcW w:w="1382" w:type="dxa"/>
            <w:noWrap/>
            <w:vAlign w:val="center"/>
          </w:tcPr>
          <w:p w14:paraId="7B621C9A">
            <w:pPr>
              <w:jc w:val="center"/>
              <w:rPr>
                <w:sz w:val="22"/>
                <w:szCs w:val="22"/>
              </w:rPr>
            </w:pPr>
            <w:r>
              <w:rPr>
                <w:sz w:val="22"/>
                <w:szCs w:val="22"/>
              </w:rPr>
              <w:t>1,01%</w:t>
            </w:r>
          </w:p>
        </w:tc>
      </w:tr>
      <w:tr w14:paraId="1250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6BCADD4">
            <w:pPr>
              <w:jc w:val="center"/>
              <w:rPr>
                <w:sz w:val="22"/>
                <w:szCs w:val="22"/>
              </w:rPr>
            </w:pPr>
          </w:p>
        </w:tc>
        <w:tc>
          <w:tcPr>
            <w:tcW w:w="1491" w:type="dxa"/>
            <w:noWrap/>
            <w:vAlign w:val="center"/>
          </w:tcPr>
          <w:p w14:paraId="0F65564A">
            <w:pPr>
              <w:jc w:val="center"/>
              <w:rPr>
                <w:sz w:val="22"/>
                <w:szCs w:val="22"/>
              </w:rPr>
            </w:pPr>
          </w:p>
        </w:tc>
        <w:tc>
          <w:tcPr>
            <w:tcW w:w="742" w:type="dxa"/>
            <w:noWrap/>
            <w:vAlign w:val="center"/>
          </w:tcPr>
          <w:p w14:paraId="3DAC182B">
            <w:pPr>
              <w:jc w:val="center"/>
              <w:rPr>
                <w:sz w:val="22"/>
                <w:szCs w:val="22"/>
              </w:rPr>
            </w:pPr>
          </w:p>
        </w:tc>
        <w:tc>
          <w:tcPr>
            <w:tcW w:w="676" w:type="dxa"/>
            <w:noWrap/>
            <w:vAlign w:val="center"/>
          </w:tcPr>
          <w:p w14:paraId="0E2807CF">
            <w:pPr>
              <w:jc w:val="center"/>
              <w:rPr>
                <w:sz w:val="22"/>
                <w:szCs w:val="22"/>
              </w:rPr>
            </w:pPr>
            <w:r>
              <w:rPr>
                <w:sz w:val="22"/>
                <w:szCs w:val="22"/>
              </w:rPr>
              <w:t>35</w:t>
            </w:r>
          </w:p>
        </w:tc>
        <w:tc>
          <w:tcPr>
            <w:tcW w:w="1098" w:type="dxa"/>
            <w:noWrap/>
            <w:vAlign w:val="center"/>
          </w:tcPr>
          <w:p w14:paraId="30C0500A">
            <w:pPr>
              <w:jc w:val="center"/>
              <w:rPr>
                <w:sz w:val="22"/>
                <w:szCs w:val="22"/>
              </w:rPr>
            </w:pPr>
            <w:r>
              <w:rPr>
                <w:sz w:val="22"/>
                <w:szCs w:val="22"/>
              </w:rPr>
              <w:t>124,20</w:t>
            </w:r>
          </w:p>
        </w:tc>
        <w:tc>
          <w:tcPr>
            <w:tcW w:w="1817" w:type="dxa"/>
            <w:vAlign w:val="center"/>
          </w:tcPr>
          <w:p w14:paraId="5CCB602E">
            <w:pPr>
              <w:jc w:val="center"/>
              <w:rPr>
                <w:sz w:val="22"/>
                <w:szCs w:val="22"/>
              </w:rPr>
            </w:pPr>
            <w:r>
              <w:rPr>
                <w:sz w:val="22"/>
                <w:szCs w:val="22"/>
              </w:rPr>
              <w:t>745.200.000</w:t>
            </w:r>
          </w:p>
        </w:tc>
        <w:tc>
          <w:tcPr>
            <w:tcW w:w="1798" w:type="dxa"/>
            <w:vAlign w:val="center"/>
          </w:tcPr>
          <w:p w14:paraId="0135A8AB">
            <w:pPr>
              <w:jc w:val="center"/>
              <w:rPr>
                <w:sz w:val="22"/>
                <w:szCs w:val="22"/>
              </w:rPr>
            </w:pPr>
            <w:r>
              <w:rPr>
                <w:sz w:val="22"/>
                <w:szCs w:val="22"/>
              </w:rPr>
              <w:t>768.000.000</w:t>
            </w:r>
          </w:p>
        </w:tc>
        <w:tc>
          <w:tcPr>
            <w:tcW w:w="1382" w:type="dxa"/>
            <w:noWrap/>
            <w:vAlign w:val="center"/>
          </w:tcPr>
          <w:p w14:paraId="02946771">
            <w:pPr>
              <w:jc w:val="center"/>
              <w:rPr>
                <w:sz w:val="22"/>
                <w:szCs w:val="22"/>
              </w:rPr>
            </w:pPr>
            <w:r>
              <w:rPr>
                <w:sz w:val="22"/>
                <w:szCs w:val="22"/>
              </w:rPr>
              <w:t>1,03%</w:t>
            </w:r>
          </w:p>
        </w:tc>
      </w:tr>
      <w:tr w14:paraId="00D6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78CD33A">
            <w:pPr>
              <w:jc w:val="center"/>
              <w:rPr>
                <w:sz w:val="22"/>
                <w:szCs w:val="22"/>
              </w:rPr>
            </w:pPr>
          </w:p>
        </w:tc>
        <w:tc>
          <w:tcPr>
            <w:tcW w:w="1491" w:type="dxa"/>
            <w:noWrap/>
            <w:vAlign w:val="center"/>
          </w:tcPr>
          <w:p w14:paraId="009032C6">
            <w:pPr>
              <w:jc w:val="center"/>
              <w:rPr>
                <w:sz w:val="22"/>
                <w:szCs w:val="22"/>
              </w:rPr>
            </w:pPr>
          </w:p>
        </w:tc>
        <w:tc>
          <w:tcPr>
            <w:tcW w:w="742" w:type="dxa"/>
            <w:noWrap/>
            <w:vAlign w:val="center"/>
          </w:tcPr>
          <w:p w14:paraId="36F897DE">
            <w:pPr>
              <w:jc w:val="center"/>
              <w:rPr>
                <w:sz w:val="22"/>
                <w:szCs w:val="22"/>
              </w:rPr>
            </w:pPr>
          </w:p>
        </w:tc>
        <w:tc>
          <w:tcPr>
            <w:tcW w:w="676" w:type="dxa"/>
            <w:noWrap/>
            <w:vAlign w:val="center"/>
          </w:tcPr>
          <w:p w14:paraId="79E6F37E">
            <w:pPr>
              <w:jc w:val="center"/>
              <w:rPr>
                <w:sz w:val="22"/>
                <w:szCs w:val="22"/>
              </w:rPr>
            </w:pPr>
            <w:r>
              <w:rPr>
                <w:sz w:val="22"/>
                <w:szCs w:val="22"/>
              </w:rPr>
              <w:t>36</w:t>
            </w:r>
          </w:p>
        </w:tc>
        <w:tc>
          <w:tcPr>
            <w:tcW w:w="1098" w:type="dxa"/>
            <w:noWrap/>
            <w:vAlign w:val="center"/>
          </w:tcPr>
          <w:p w14:paraId="2C1817E5">
            <w:pPr>
              <w:jc w:val="center"/>
              <w:rPr>
                <w:sz w:val="22"/>
                <w:szCs w:val="22"/>
              </w:rPr>
            </w:pPr>
            <w:r>
              <w:rPr>
                <w:sz w:val="22"/>
                <w:szCs w:val="22"/>
              </w:rPr>
              <w:t>155,10</w:t>
            </w:r>
          </w:p>
        </w:tc>
        <w:tc>
          <w:tcPr>
            <w:tcW w:w="1817" w:type="dxa"/>
            <w:vAlign w:val="center"/>
          </w:tcPr>
          <w:p w14:paraId="33596E0E">
            <w:pPr>
              <w:jc w:val="center"/>
              <w:rPr>
                <w:sz w:val="22"/>
                <w:szCs w:val="22"/>
              </w:rPr>
            </w:pPr>
            <w:r>
              <w:rPr>
                <w:sz w:val="22"/>
                <w:szCs w:val="22"/>
              </w:rPr>
              <w:t>1.209.780.000</w:t>
            </w:r>
          </w:p>
        </w:tc>
        <w:tc>
          <w:tcPr>
            <w:tcW w:w="1798" w:type="dxa"/>
            <w:vAlign w:val="center"/>
          </w:tcPr>
          <w:p w14:paraId="08DFDBF7">
            <w:pPr>
              <w:jc w:val="center"/>
              <w:rPr>
                <w:sz w:val="22"/>
                <w:szCs w:val="22"/>
              </w:rPr>
            </w:pPr>
            <w:r>
              <w:rPr>
                <w:sz w:val="22"/>
                <w:szCs w:val="22"/>
              </w:rPr>
              <w:t>1.345.680.000</w:t>
            </w:r>
          </w:p>
        </w:tc>
        <w:tc>
          <w:tcPr>
            <w:tcW w:w="1382" w:type="dxa"/>
            <w:noWrap/>
            <w:vAlign w:val="center"/>
          </w:tcPr>
          <w:p w14:paraId="0F065425">
            <w:pPr>
              <w:jc w:val="center"/>
              <w:rPr>
                <w:sz w:val="22"/>
                <w:szCs w:val="22"/>
              </w:rPr>
            </w:pPr>
            <w:r>
              <w:rPr>
                <w:sz w:val="22"/>
                <w:szCs w:val="22"/>
              </w:rPr>
              <w:t>1,11%</w:t>
            </w:r>
          </w:p>
        </w:tc>
      </w:tr>
      <w:tr w14:paraId="1807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D4ABD26">
            <w:pPr>
              <w:jc w:val="center"/>
              <w:rPr>
                <w:sz w:val="22"/>
                <w:szCs w:val="22"/>
              </w:rPr>
            </w:pPr>
          </w:p>
        </w:tc>
        <w:tc>
          <w:tcPr>
            <w:tcW w:w="1491" w:type="dxa"/>
            <w:noWrap/>
            <w:vAlign w:val="center"/>
          </w:tcPr>
          <w:p w14:paraId="4747485A">
            <w:pPr>
              <w:jc w:val="center"/>
              <w:rPr>
                <w:sz w:val="22"/>
                <w:szCs w:val="22"/>
              </w:rPr>
            </w:pPr>
          </w:p>
        </w:tc>
        <w:tc>
          <w:tcPr>
            <w:tcW w:w="742" w:type="dxa"/>
            <w:noWrap/>
            <w:vAlign w:val="center"/>
          </w:tcPr>
          <w:p w14:paraId="14AF7911">
            <w:pPr>
              <w:jc w:val="center"/>
              <w:rPr>
                <w:sz w:val="22"/>
                <w:szCs w:val="22"/>
              </w:rPr>
            </w:pPr>
          </w:p>
        </w:tc>
        <w:tc>
          <w:tcPr>
            <w:tcW w:w="676" w:type="dxa"/>
            <w:noWrap/>
            <w:vAlign w:val="center"/>
          </w:tcPr>
          <w:p w14:paraId="2AC448E2">
            <w:pPr>
              <w:jc w:val="center"/>
              <w:rPr>
                <w:sz w:val="22"/>
                <w:szCs w:val="22"/>
              </w:rPr>
            </w:pPr>
            <w:r>
              <w:rPr>
                <w:sz w:val="22"/>
                <w:szCs w:val="22"/>
              </w:rPr>
              <w:t>37</w:t>
            </w:r>
          </w:p>
        </w:tc>
        <w:tc>
          <w:tcPr>
            <w:tcW w:w="1098" w:type="dxa"/>
            <w:noWrap/>
            <w:vAlign w:val="center"/>
          </w:tcPr>
          <w:p w14:paraId="472CD96C">
            <w:pPr>
              <w:jc w:val="center"/>
              <w:rPr>
                <w:sz w:val="22"/>
                <w:szCs w:val="22"/>
              </w:rPr>
            </w:pPr>
            <w:r>
              <w:rPr>
                <w:sz w:val="22"/>
                <w:szCs w:val="22"/>
              </w:rPr>
              <w:t>124,10</w:t>
            </w:r>
          </w:p>
        </w:tc>
        <w:tc>
          <w:tcPr>
            <w:tcW w:w="1817" w:type="dxa"/>
            <w:vAlign w:val="center"/>
          </w:tcPr>
          <w:p w14:paraId="1E9DDD7A">
            <w:pPr>
              <w:jc w:val="center"/>
              <w:rPr>
                <w:sz w:val="22"/>
                <w:szCs w:val="22"/>
              </w:rPr>
            </w:pPr>
            <w:r>
              <w:rPr>
                <w:sz w:val="22"/>
                <w:szCs w:val="22"/>
              </w:rPr>
              <w:t>806.650.000</w:t>
            </w:r>
          </w:p>
        </w:tc>
        <w:tc>
          <w:tcPr>
            <w:tcW w:w="1798" w:type="dxa"/>
            <w:vAlign w:val="center"/>
          </w:tcPr>
          <w:p w14:paraId="2946519C">
            <w:pPr>
              <w:jc w:val="center"/>
              <w:rPr>
                <w:sz w:val="22"/>
                <w:szCs w:val="22"/>
              </w:rPr>
            </w:pPr>
            <w:r>
              <w:rPr>
                <w:sz w:val="22"/>
                <w:szCs w:val="22"/>
              </w:rPr>
              <w:t>1.137.000.000</w:t>
            </w:r>
          </w:p>
        </w:tc>
        <w:tc>
          <w:tcPr>
            <w:tcW w:w="1382" w:type="dxa"/>
            <w:noWrap/>
            <w:vAlign w:val="center"/>
          </w:tcPr>
          <w:p w14:paraId="09B5A1AC">
            <w:pPr>
              <w:jc w:val="center"/>
              <w:rPr>
                <w:sz w:val="22"/>
                <w:szCs w:val="22"/>
              </w:rPr>
            </w:pPr>
            <w:r>
              <w:rPr>
                <w:sz w:val="22"/>
                <w:szCs w:val="22"/>
              </w:rPr>
              <w:t>1,41%</w:t>
            </w:r>
          </w:p>
        </w:tc>
      </w:tr>
      <w:tr w14:paraId="41EB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2698643">
            <w:pPr>
              <w:jc w:val="center"/>
              <w:rPr>
                <w:sz w:val="22"/>
                <w:szCs w:val="22"/>
              </w:rPr>
            </w:pPr>
          </w:p>
        </w:tc>
        <w:tc>
          <w:tcPr>
            <w:tcW w:w="1491" w:type="dxa"/>
            <w:noWrap/>
            <w:vAlign w:val="center"/>
          </w:tcPr>
          <w:p w14:paraId="25506958">
            <w:pPr>
              <w:jc w:val="center"/>
              <w:rPr>
                <w:sz w:val="22"/>
                <w:szCs w:val="22"/>
              </w:rPr>
            </w:pPr>
          </w:p>
        </w:tc>
        <w:tc>
          <w:tcPr>
            <w:tcW w:w="742" w:type="dxa"/>
            <w:noWrap/>
            <w:vAlign w:val="center"/>
          </w:tcPr>
          <w:p w14:paraId="18E626DF">
            <w:pPr>
              <w:jc w:val="center"/>
              <w:rPr>
                <w:sz w:val="22"/>
                <w:szCs w:val="22"/>
              </w:rPr>
            </w:pPr>
          </w:p>
        </w:tc>
        <w:tc>
          <w:tcPr>
            <w:tcW w:w="676" w:type="dxa"/>
            <w:noWrap/>
            <w:vAlign w:val="center"/>
          </w:tcPr>
          <w:p w14:paraId="506DF195">
            <w:pPr>
              <w:jc w:val="center"/>
              <w:rPr>
                <w:sz w:val="22"/>
                <w:szCs w:val="22"/>
              </w:rPr>
            </w:pPr>
            <w:r>
              <w:rPr>
                <w:sz w:val="22"/>
                <w:szCs w:val="22"/>
              </w:rPr>
              <w:t>38</w:t>
            </w:r>
          </w:p>
        </w:tc>
        <w:tc>
          <w:tcPr>
            <w:tcW w:w="1098" w:type="dxa"/>
            <w:noWrap/>
            <w:vAlign w:val="center"/>
          </w:tcPr>
          <w:p w14:paraId="24D9C04A">
            <w:pPr>
              <w:jc w:val="center"/>
              <w:rPr>
                <w:sz w:val="22"/>
                <w:szCs w:val="22"/>
              </w:rPr>
            </w:pPr>
            <w:r>
              <w:rPr>
                <w:sz w:val="22"/>
                <w:szCs w:val="22"/>
              </w:rPr>
              <w:t>96,14</w:t>
            </w:r>
          </w:p>
        </w:tc>
        <w:tc>
          <w:tcPr>
            <w:tcW w:w="1817" w:type="dxa"/>
            <w:vAlign w:val="center"/>
          </w:tcPr>
          <w:p w14:paraId="50B2A495">
            <w:pPr>
              <w:jc w:val="center"/>
              <w:rPr>
                <w:sz w:val="22"/>
                <w:szCs w:val="22"/>
              </w:rPr>
            </w:pPr>
            <w:r>
              <w:rPr>
                <w:sz w:val="22"/>
                <w:szCs w:val="22"/>
              </w:rPr>
              <w:t>624.910.000</w:t>
            </w:r>
          </w:p>
        </w:tc>
        <w:tc>
          <w:tcPr>
            <w:tcW w:w="1798" w:type="dxa"/>
            <w:vAlign w:val="center"/>
          </w:tcPr>
          <w:p w14:paraId="7060CFD4">
            <w:pPr>
              <w:jc w:val="center"/>
              <w:rPr>
                <w:sz w:val="22"/>
                <w:szCs w:val="22"/>
              </w:rPr>
            </w:pPr>
            <w:r>
              <w:rPr>
                <w:sz w:val="22"/>
                <w:szCs w:val="22"/>
              </w:rPr>
              <w:t>906.000.000</w:t>
            </w:r>
          </w:p>
        </w:tc>
        <w:tc>
          <w:tcPr>
            <w:tcW w:w="1382" w:type="dxa"/>
            <w:noWrap/>
            <w:vAlign w:val="center"/>
          </w:tcPr>
          <w:p w14:paraId="4D11E0D7">
            <w:pPr>
              <w:jc w:val="center"/>
              <w:rPr>
                <w:sz w:val="22"/>
                <w:szCs w:val="22"/>
              </w:rPr>
            </w:pPr>
            <w:r>
              <w:rPr>
                <w:sz w:val="22"/>
                <w:szCs w:val="22"/>
              </w:rPr>
              <w:t>1,45%</w:t>
            </w:r>
          </w:p>
        </w:tc>
      </w:tr>
      <w:tr w14:paraId="4496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12B9AD5">
            <w:pPr>
              <w:jc w:val="center"/>
              <w:rPr>
                <w:sz w:val="22"/>
                <w:szCs w:val="22"/>
              </w:rPr>
            </w:pPr>
          </w:p>
        </w:tc>
        <w:tc>
          <w:tcPr>
            <w:tcW w:w="1491" w:type="dxa"/>
            <w:noWrap/>
            <w:vAlign w:val="center"/>
          </w:tcPr>
          <w:p w14:paraId="00DF7F53">
            <w:pPr>
              <w:jc w:val="center"/>
              <w:rPr>
                <w:sz w:val="22"/>
                <w:szCs w:val="22"/>
              </w:rPr>
            </w:pPr>
          </w:p>
        </w:tc>
        <w:tc>
          <w:tcPr>
            <w:tcW w:w="742" w:type="dxa"/>
            <w:noWrap/>
            <w:vAlign w:val="center"/>
          </w:tcPr>
          <w:p w14:paraId="1924517F">
            <w:pPr>
              <w:jc w:val="center"/>
              <w:rPr>
                <w:sz w:val="22"/>
                <w:szCs w:val="22"/>
              </w:rPr>
            </w:pPr>
          </w:p>
        </w:tc>
        <w:tc>
          <w:tcPr>
            <w:tcW w:w="676" w:type="dxa"/>
            <w:noWrap/>
            <w:vAlign w:val="center"/>
          </w:tcPr>
          <w:p w14:paraId="215738E9">
            <w:pPr>
              <w:jc w:val="center"/>
              <w:rPr>
                <w:sz w:val="22"/>
                <w:szCs w:val="22"/>
              </w:rPr>
            </w:pPr>
            <w:r>
              <w:rPr>
                <w:sz w:val="22"/>
                <w:szCs w:val="22"/>
              </w:rPr>
              <w:t>39</w:t>
            </w:r>
          </w:p>
        </w:tc>
        <w:tc>
          <w:tcPr>
            <w:tcW w:w="1098" w:type="dxa"/>
            <w:noWrap/>
            <w:vAlign w:val="center"/>
          </w:tcPr>
          <w:p w14:paraId="2A2EFD94">
            <w:pPr>
              <w:jc w:val="center"/>
              <w:rPr>
                <w:sz w:val="22"/>
                <w:szCs w:val="22"/>
              </w:rPr>
            </w:pPr>
            <w:r>
              <w:rPr>
                <w:sz w:val="22"/>
                <w:szCs w:val="22"/>
              </w:rPr>
              <w:t>91,60</w:t>
            </w:r>
          </w:p>
        </w:tc>
        <w:tc>
          <w:tcPr>
            <w:tcW w:w="1817" w:type="dxa"/>
            <w:vAlign w:val="center"/>
          </w:tcPr>
          <w:p w14:paraId="67C2D810">
            <w:pPr>
              <w:jc w:val="center"/>
              <w:rPr>
                <w:sz w:val="22"/>
                <w:szCs w:val="22"/>
              </w:rPr>
            </w:pPr>
            <w:r>
              <w:rPr>
                <w:sz w:val="22"/>
                <w:szCs w:val="22"/>
              </w:rPr>
              <w:t>595.400.000</w:t>
            </w:r>
          </w:p>
        </w:tc>
        <w:tc>
          <w:tcPr>
            <w:tcW w:w="1798" w:type="dxa"/>
            <w:vAlign w:val="center"/>
          </w:tcPr>
          <w:p w14:paraId="38E7D656">
            <w:pPr>
              <w:jc w:val="center"/>
              <w:rPr>
                <w:sz w:val="22"/>
                <w:szCs w:val="22"/>
              </w:rPr>
            </w:pPr>
            <w:r>
              <w:rPr>
                <w:sz w:val="22"/>
                <w:szCs w:val="22"/>
              </w:rPr>
              <w:t>835.000.000</w:t>
            </w:r>
          </w:p>
        </w:tc>
        <w:tc>
          <w:tcPr>
            <w:tcW w:w="1382" w:type="dxa"/>
            <w:noWrap/>
            <w:vAlign w:val="center"/>
          </w:tcPr>
          <w:p w14:paraId="31166E6B">
            <w:pPr>
              <w:jc w:val="center"/>
              <w:rPr>
                <w:sz w:val="22"/>
                <w:szCs w:val="22"/>
              </w:rPr>
            </w:pPr>
            <w:r>
              <w:rPr>
                <w:sz w:val="22"/>
                <w:szCs w:val="22"/>
              </w:rPr>
              <w:t>1,40%</w:t>
            </w:r>
          </w:p>
        </w:tc>
      </w:tr>
      <w:tr w14:paraId="4AB3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A88C9D6">
            <w:pPr>
              <w:jc w:val="center"/>
              <w:rPr>
                <w:sz w:val="22"/>
                <w:szCs w:val="22"/>
              </w:rPr>
            </w:pPr>
            <w:r>
              <w:rPr>
                <w:sz w:val="22"/>
                <w:szCs w:val="22"/>
              </w:rPr>
              <w:t>IV</w:t>
            </w:r>
          </w:p>
        </w:tc>
        <w:tc>
          <w:tcPr>
            <w:tcW w:w="1491" w:type="dxa"/>
            <w:noWrap/>
            <w:vAlign w:val="center"/>
          </w:tcPr>
          <w:p w14:paraId="1CB418BF">
            <w:pPr>
              <w:jc w:val="center"/>
              <w:rPr>
                <w:sz w:val="22"/>
                <w:szCs w:val="22"/>
              </w:rPr>
            </w:pPr>
            <w:r>
              <w:rPr>
                <w:sz w:val="22"/>
                <w:szCs w:val="22"/>
              </w:rPr>
              <w:t>Thôn Ao Luông, xã Hương Lạc</w:t>
            </w:r>
          </w:p>
        </w:tc>
        <w:tc>
          <w:tcPr>
            <w:tcW w:w="742" w:type="dxa"/>
            <w:noWrap/>
            <w:vAlign w:val="center"/>
          </w:tcPr>
          <w:p w14:paraId="4426107B">
            <w:pPr>
              <w:jc w:val="center"/>
              <w:rPr>
                <w:sz w:val="22"/>
                <w:szCs w:val="22"/>
              </w:rPr>
            </w:pPr>
          </w:p>
        </w:tc>
        <w:tc>
          <w:tcPr>
            <w:tcW w:w="676" w:type="dxa"/>
            <w:noWrap/>
            <w:vAlign w:val="center"/>
          </w:tcPr>
          <w:p w14:paraId="03532843">
            <w:pPr>
              <w:jc w:val="center"/>
              <w:rPr>
                <w:sz w:val="22"/>
                <w:szCs w:val="22"/>
              </w:rPr>
            </w:pPr>
          </w:p>
        </w:tc>
        <w:tc>
          <w:tcPr>
            <w:tcW w:w="1098" w:type="dxa"/>
            <w:noWrap/>
            <w:vAlign w:val="center"/>
          </w:tcPr>
          <w:p w14:paraId="283C4332">
            <w:pPr>
              <w:jc w:val="center"/>
              <w:rPr>
                <w:sz w:val="22"/>
                <w:szCs w:val="22"/>
              </w:rPr>
            </w:pPr>
            <w:r>
              <w:rPr>
                <w:sz w:val="22"/>
                <w:szCs w:val="22"/>
              </w:rPr>
              <w:t>4.326,8</w:t>
            </w:r>
          </w:p>
        </w:tc>
        <w:tc>
          <w:tcPr>
            <w:tcW w:w="1817" w:type="dxa"/>
            <w:noWrap/>
            <w:vAlign w:val="center"/>
          </w:tcPr>
          <w:p w14:paraId="2AEA9921">
            <w:pPr>
              <w:jc w:val="center"/>
              <w:rPr>
                <w:sz w:val="22"/>
                <w:szCs w:val="22"/>
              </w:rPr>
            </w:pPr>
            <w:r>
              <w:rPr>
                <w:sz w:val="22"/>
                <w:szCs w:val="22"/>
              </w:rPr>
              <w:t>31.784.832.000</w:t>
            </w:r>
          </w:p>
        </w:tc>
        <w:tc>
          <w:tcPr>
            <w:tcW w:w="1798" w:type="dxa"/>
            <w:noWrap/>
            <w:vAlign w:val="center"/>
          </w:tcPr>
          <w:p w14:paraId="050147CE">
            <w:pPr>
              <w:jc w:val="center"/>
              <w:rPr>
                <w:sz w:val="22"/>
                <w:szCs w:val="22"/>
              </w:rPr>
            </w:pPr>
            <w:r>
              <w:rPr>
                <w:sz w:val="22"/>
                <w:szCs w:val="22"/>
              </w:rPr>
              <w:t>41.794.735.000</w:t>
            </w:r>
          </w:p>
        </w:tc>
        <w:tc>
          <w:tcPr>
            <w:tcW w:w="1382" w:type="dxa"/>
            <w:vAlign w:val="center"/>
          </w:tcPr>
          <w:p w14:paraId="1D2C61E2">
            <w:pPr>
              <w:jc w:val="center"/>
              <w:rPr>
                <w:sz w:val="22"/>
                <w:szCs w:val="22"/>
              </w:rPr>
            </w:pPr>
          </w:p>
        </w:tc>
      </w:tr>
      <w:tr w14:paraId="53B4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4051C04">
            <w:pPr>
              <w:jc w:val="center"/>
              <w:rPr>
                <w:sz w:val="22"/>
                <w:szCs w:val="22"/>
              </w:rPr>
            </w:pPr>
          </w:p>
        </w:tc>
        <w:tc>
          <w:tcPr>
            <w:tcW w:w="1491" w:type="dxa"/>
            <w:noWrap/>
            <w:vAlign w:val="center"/>
          </w:tcPr>
          <w:p w14:paraId="0310AA89">
            <w:pPr>
              <w:jc w:val="center"/>
              <w:rPr>
                <w:sz w:val="22"/>
                <w:szCs w:val="22"/>
              </w:rPr>
            </w:pPr>
          </w:p>
        </w:tc>
        <w:tc>
          <w:tcPr>
            <w:tcW w:w="742" w:type="dxa"/>
            <w:vMerge w:val="restart"/>
            <w:noWrap/>
            <w:vAlign w:val="center"/>
          </w:tcPr>
          <w:p w14:paraId="316AFE98">
            <w:pPr>
              <w:jc w:val="center"/>
              <w:rPr>
                <w:sz w:val="22"/>
                <w:szCs w:val="22"/>
              </w:rPr>
            </w:pPr>
            <w:r>
              <w:rPr>
                <w:sz w:val="22"/>
                <w:szCs w:val="22"/>
              </w:rPr>
              <w:t>LK13</w:t>
            </w:r>
          </w:p>
        </w:tc>
        <w:tc>
          <w:tcPr>
            <w:tcW w:w="676" w:type="dxa"/>
            <w:noWrap/>
            <w:vAlign w:val="center"/>
          </w:tcPr>
          <w:p w14:paraId="70B5E93B">
            <w:pPr>
              <w:jc w:val="center"/>
              <w:rPr>
                <w:sz w:val="22"/>
                <w:szCs w:val="22"/>
              </w:rPr>
            </w:pPr>
            <w:r>
              <w:rPr>
                <w:sz w:val="22"/>
                <w:szCs w:val="22"/>
              </w:rPr>
              <w:t>1</w:t>
            </w:r>
          </w:p>
        </w:tc>
        <w:tc>
          <w:tcPr>
            <w:tcW w:w="1098" w:type="dxa"/>
            <w:noWrap/>
            <w:vAlign w:val="center"/>
          </w:tcPr>
          <w:p w14:paraId="0DC16F61">
            <w:pPr>
              <w:jc w:val="center"/>
              <w:rPr>
                <w:sz w:val="22"/>
                <w:szCs w:val="22"/>
              </w:rPr>
            </w:pPr>
            <w:r>
              <w:rPr>
                <w:sz w:val="22"/>
                <w:szCs w:val="22"/>
              </w:rPr>
              <w:t>151,3</w:t>
            </w:r>
          </w:p>
        </w:tc>
        <w:tc>
          <w:tcPr>
            <w:tcW w:w="1817" w:type="dxa"/>
            <w:noWrap/>
            <w:vAlign w:val="center"/>
          </w:tcPr>
          <w:p w14:paraId="50DA81ED">
            <w:pPr>
              <w:jc w:val="center"/>
              <w:rPr>
                <w:sz w:val="22"/>
                <w:szCs w:val="22"/>
              </w:rPr>
            </w:pPr>
            <w:r>
              <w:rPr>
                <w:sz w:val="22"/>
                <w:szCs w:val="22"/>
              </w:rPr>
              <w:t>1.307.232.000</w:t>
            </w:r>
          </w:p>
        </w:tc>
        <w:tc>
          <w:tcPr>
            <w:tcW w:w="1798" w:type="dxa"/>
            <w:noWrap/>
            <w:vAlign w:val="center"/>
          </w:tcPr>
          <w:p w14:paraId="69B748F2">
            <w:pPr>
              <w:jc w:val="center"/>
              <w:rPr>
                <w:sz w:val="22"/>
                <w:szCs w:val="22"/>
              </w:rPr>
            </w:pPr>
            <w:r>
              <w:rPr>
                <w:sz w:val="22"/>
                <w:szCs w:val="22"/>
              </w:rPr>
              <w:t>1.313.000.000</w:t>
            </w:r>
          </w:p>
        </w:tc>
        <w:tc>
          <w:tcPr>
            <w:tcW w:w="1382" w:type="dxa"/>
            <w:noWrap/>
            <w:vAlign w:val="center"/>
          </w:tcPr>
          <w:p w14:paraId="377662AD">
            <w:pPr>
              <w:jc w:val="center"/>
              <w:rPr>
                <w:sz w:val="22"/>
                <w:szCs w:val="22"/>
              </w:rPr>
            </w:pPr>
            <w:r>
              <w:rPr>
                <w:sz w:val="22"/>
                <w:szCs w:val="22"/>
              </w:rPr>
              <w:t>1,00%</w:t>
            </w:r>
          </w:p>
        </w:tc>
      </w:tr>
      <w:tr w14:paraId="5D60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95B7834">
            <w:pPr>
              <w:jc w:val="center"/>
              <w:rPr>
                <w:sz w:val="22"/>
                <w:szCs w:val="22"/>
              </w:rPr>
            </w:pPr>
          </w:p>
        </w:tc>
        <w:tc>
          <w:tcPr>
            <w:tcW w:w="1491" w:type="dxa"/>
            <w:noWrap/>
            <w:vAlign w:val="center"/>
          </w:tcPr>
          <w:p w14:paraId="551F4EA3">
            <w:pPr>
              <w:jc w:val="center"/>
              <w:rPr>
                <w:sz w:val="22"/>
                <w:szCs w:val="22"/>
              </w:rPr>
            </w:pPr>
          </w:p>
        </w:tc>
        <w:tc>
          <w:tcPr>
            <w:tcW w:w="742" w:type="dxa"/>
            <w:vMerge w:val="continue"/>
            <w:vAlign w:val="center"/>
          </w:tcPr>
          <w:p w14:paraId="2D18A4B3">
            <w:pPr>
              <w:jc w:val="center"/>
              <w:rPr>
                <w:sz w:val="22"/>
                <w:szCs w:val="22"/>
              </w:rPr>
            </w:pPr>
          </w:p>
        </w:tc>
        <w:tc>
          <w:tcPr>
            <w:tcW w:w="676" w:type="dxa"/>
            <w:noWrap/>
            <w:vAlign w:val="center"/>
          </w:tcPr>
          <w:p w14:paraId="25732692">
            <w:pPr>
              <w:jc w:val="center"/>
              <w:rPr>
                <w:sz w:val="22"/>
                <w:szCs w:val="22"/>
              </w:rPr>
            </w:pPr>
            <w:r>
              <w:rPr>
                <w:sz w:val="22"/>
                <w:szCs w:val="22"/>
              </w:rPr>
              <w:t>2</w:t>
            </w:r>
          </w:p>
        </w:tc>
        <w:tc>
          <w:tcPr>
            <w:tcW w:w="1098" w:type="dxa"/>
            <w:noWrap/>
            <w:vAlign w:val="center"/>
          </w:tcPr>
          <w:p w14:paraId="4D9B63B7">
            <w:pPr>
              <w:jc w:val="center"/>
              <w:rPr>
                <w:sz w:val="22"/>
                <w:szCs w:val="22"/>
              </w:rPr>
            </w:pPr>
            <w:r>
              <w:rPr>
                <w:sz w:val="22"/>
                <w:szCs w:val="22"/>
              </w:rPr>
              <w:t>108,0</w:t>
            </w:r>
          </w:p>
        </w:tc>
        <w:tc>
          <w:tcPr>
            <w:tcW w:w="1817" w:type="dxa"/>
            <w:noWrap/>
            <w:vAlign w:val="center"/>
          </w:tcPr>
          <w:p w14:paraId="5D4D318E">
            <w:pPr>
              <w:jc w:val="center"/>
              <w:rPr>
                <w:sz w:val="22"/>
                <w:szCs w:val="22"/>
              </w:rPr>
            </w:pPr>
            <w:r>
              <w:rPr>
                <w:sz w:val="22"/>
                <w:szCs w:val="22"/>
              </w:rPr>
              <w:t>777.600.000</w:t>
            </w:r>
          </w:p>
        </w:tc>
        <w:tc>
          <w:tcPr>
            <w:tcW w:w="1798" w:type="dxa"/>
            <w:noWrap/>
            <w:vAlign w:val="center"/>
          </w:tcPr>
          <w:p w14:paraId="7572F8C3">
            <w:pPr>
              <w:jc w:val="center"/>
              <w:rPr>
                <w:sz w:val="22"/>
                <w:szCs w:val="22"/>
              </w:rPr>
            </w:pPr>
            <w:r>
              <w:rPr>
                <w:sz w:val="22"/>
                <w:szCs w:val="22"/>
              </w:rPr>
              <w:t>852.000.000</w:t>
            </w:r>
          </w:p>
        </w:tc>
        <w:tc>
          <w:tcPr>
            <w:tcW w:w="1382" w:type="dxa"/>
            <w:noWrap/>
            <w:vAlign w:val="center"/>
          </w:tcPr>
          <w:p w14:paraId="56BE4B6C">
            <w:pPr>
              <w:jc w:val="center"/>
              <w:rPr>
                <w:sz w:val="22"/>
                <w:szCs w:val="22"/>
              </w:rPr>
            </w:pPr>
            <w:r>
              <w:rPr>
                <w:sz w:val="22"/>
                <w:szCs w:val="22"/>
              </w:rPr>
              <w:t>1,10%</w:t>
            </w:r>
          </w:p>
        </w:tc>
      </w:tr>
      <w:tr w14:paraId="171C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2AB47B6">
            <w:pPr>
              <w:jc w:val="center"/>
              <w:rPr>
                <w:sz w:val="22"/>
                <w:szCs w:val="22"/>
              </w:rPr>
            </w:pPr>
          </w:p>
        </w:tc>
        <w:tc>
          <w:tcPr>
            <w:tcW w:w="1491" w:type="dxa"/>
            <w:noWrap/>
            <w:vAlign w:val="center"/>
          </w:tcPr>
          <w:p w14:paraId="0FEAE99C">
            <w:pPr>
              <w:jc w:val="center"/>
              <w:rPr>
                <w:sz w:val="22"/>
                <w:szCs w:val="22"/>
              </w:rPr>
            </w:pPr>
          </w:p>
        </w:tc>
        <w:tc>
          <w:tcPr>
            <w:tcW w:w="742" w:type="dxa"/>
            <w:vMerge w:val="continue"/>
            <w:vAlign w:val="center"/>
          </w:tcPr>
          <w:p w14:paraId="4210CD01">
            <w:pPr>
              <w:jc w:val="center"/>
              <w:rPr>
                <w:sz w:val="22"/>
                <w:szCs w:val="22"/>
              </w:rPr>
            </w:pPr>
          </w:p>
        </w:tc>
        <w:tc>
          <w:tcPr>
            <w:tcW w:w="676" w:type="dxa"/>
            <w:noWrap/>
            <w:vAlign w:val="center"/>
          </w:tcPr>
          <w:p w14:paraId="19957635">
            <w:pPr>
              <w:jc w:val="center"/>
              <w:rPr>
                <w:sz w:val="22"/>
                <w:szCs w:val="22"/>
              </w:rPr>
            </w:pPr>
            <w:r>
              <w:rPr>
                <w:sz w:val="22"/>
                <w:szCs w:val="22"/>
              </w:rPr>
              <w:t>3</w:t>
            </w:r>
          </w:p>
        </w:tc>
        <w:tc>
          <w:tcPr>
            <w:tcW w:w="1098" w:type="dxa"/>
            <w:noWrap/>
            <w:vAlign w:val="center"/>
          </w:tcPr>
          <w:p w14:paraId="15E496BD">
            <w:pPr>
              <w:jc w:val="center"/>
              <w:rPr>
                <w:sz w:val="22"/>
                <w:szCs w:val="22"/>
              </w:rPr>
            </w:pPr>
            <w:r>
              <w:rPr>
                <w:sz w:val="22"/>
                <w:szCs w:val="22"/>
              </w:rPr>
              <w:t>108,0</w:t>
            </w:r>
          </w:p>
        </w:tc>
        <w:tc>
          <w:tcPr>
            <w:tcW w:w="1817" w:type="dxa"/>
            <w:noWrap/>
            <w:vAlign w:val="center"/>
          </w:tcPr>
          <w:p w14:paraId="7D778F12">
            <w:pPr>
              <w:jc w:val="center"/>
              <w:rPr>
                <w:sz w:val="22"/>
                <w:szCs w:val="22"/>
              </w:rPr>
            </w:pPr>
            <w:r>
              <w:rPr>
                <w:sz w:val="22"/>
                <w:szCs w:val="22"/>
              </w:rPr>
              <w:t>777.600.000</w:t>
            </w:r>
          </w:p>
        </w:tc>
        <w:tc>
          <w:tcPr>
            <w:tcW w:w="1798" w:type="dxa"/>
            <w:noWrap/>
            <w:vAlign w:val="center"/>
          </w:tcPr>
          <w:p w14:paraId="6EB8B181">
            <w:pPr>
              <w:jc w:val="center"/>
              <w:rPr>
                <w:sz w:val="22"/>
                <w:szCs w:val="22"/>
              </w:rPr>
            </w:pPr>
            <w:r>
              <w:rPr>
                <w:sz w:val="22"/>
                <w:szCs w:val="22"/>
              </w:rPr>
              <w:t>820.000.000</w:t>
            </w:r>
          </w:p>
        </w:tc>
        <w:tc>
          <w:tcPr>
            <w:tcW w:w="1382" w:type="dxa"/>
            <w:noWrap/>
            <w:vAlign w:val="center"/>
          </w:tcPr>
          <w:p w14:paraId="3E7E8764">
            <w:pPr>
              <w:jc w:val="center"/>
              <w:rPr>
                <w:sz w:val="22"/>
                <w:szCs w:val="22"/>
              </w:rPr>
            </w:pPr>
            <w:r>
              <w:rPr>
                <w:sz w:val="22"/>
                <w:szCs w:val="22"/>
              </w:rPr>
              <w:t>1,05%</w:t>
            </w:r>
          </w:p>
        </w:tc>
      </w:tr>
      <w:tr w14:paraId="33F5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AAEF804">
            <w:pPr>
              <w:jc w:val="center"/>
              <w:rPr>
                <w:sz w:val="22"/>
                <w:szCs w:val="22"/>
              </w:rPr>
            </w:pPr>
          </w:p>
        </w:tc>
        <w:tc>
          <w:tcPr>
            <w:tcW w:w="1491" w:type="dxa"/>
            <w:noWrap/>
            <w:vAlign w:val="center"/>
          </w:tcPr>
          <w:p w14:paraId="356D8FA4">
            <w:pPr>
              <w:jc w:val="center"/>
              <w:rPr>
                <w:sz w:val="22"/>
                <w:szCs w:val="22"/>
              </w:rPr>
            </w:pPr>
          </w:p>
        </w:tc>
        <w:tc>
          <w:tcPr>
            <w:tcW w:w="742" w:type="dxa"/>
            <w:vMerge w:val="continue"/>
            <w:vAlign w:val="center"/>
          </w:tcPr>
          <w:p w14:paraId="472C466B">
            <w:pPr>
              <w:jc w:val="center"/>
              <w:rPr>
                <w:sz w:val="22"/>
                <w:szCs w:val="22"/>
              </w:rPr>
            </w:pPr>
          </w:p>
        </w:tc>
        <w:tc>
          <w:tcPr>
            <w:tcW w:w="676" w:type="dxa"/>
            <w:noWrap/>
            <w:vAlign w:val="center"/>
          </w:tcPr>
          <w:p w14:paraId="0896476C">
            <w:pPr>
              <w:jc w:val="center"/>
              <w:rPr>
                <w:sz w:val="22"/>
                <w:szCs w:val="22"/>
              </w:rPr>
            </w:pPr>
            <w:r>
              <w:rPr>
                <w:sz w:val="22"/>
                <w:szCs w:val="22"/>
              </w:rPr>
              <w:t>4</w:t>
            </w:r>
          </w:p>
        </w:tc>
        <w:tc>
          <w:tcPr>
            <w:tcW w:w="1098" w:type="dxa"/>
            <w:noWrap/>
            <w:vAlign w:val="center"/>
          </w:tcPr>
          <w:p w14:paraId="083EB7D4">
            <w:pPr>
              <w:jc w:val="center"/>
              <w:rPr>
                <w:sz w:val="22"/>
                <w:szCs w:val="22"/>
              </w:rPr>
            </w:pPr>
            <w:r>
              <w:rPr>
                <w:sz w:val="22"/>
                <w:szCs w:val="22"/>
              </w:rPr>
              <w:t>108,0</w:t>
            </w:r>
          </w:p>
        </w:tc>
        <w:tc>
          <w:tcPr>
            <w:tcW w:w="1817" w:type="dxa"/>
            <w:noWrap/>
            <w:vAlign w:val="center"/>
          </w:tcPr>
          <w:p w14:paraId="691EFF54">
            <w:pPr>
              <w:jc w:val="center"/>
              <w:rPr>
                <w:sz w:val="22"/>
                <w:szCs w:val="22"/>
              </w:rPr>
            </w:pPr>
            <w:r>
              <w:rPr>
                <w:sz w:val="22"/>
                <w:szCs w:val="22"/>
              </w:rPr>
              <w:t>777.600.000</w:t>
            </w:r>
          </w:p>
        </w:tc>
        <w:tc>
          <w:tcPr>
            <w:tcW w:w="1798" w:type="dxa"/>
            <w:noWrap/>
            <w:vAlign w:val="center"/>
          </w:tcPr>
          <w:p w14:paraId="65362603">
            <w:pPr>
              <w:jc w:val="center"/>
              <w:rPr>
                <w:sz w:val="22"/>
                <w:szCs w:val="22"/>
              </w:rPr>
            </w:pPr>
            <w:r>
              <w:rPr>
                <w:sz w:val="22"/>
                <w:szCs w:val="22"/>
              </w:rPr>
              <w:t>998.800.000</w:t>
            </w:r>
          </w:p>
        </w:tc>
        <w:tc>
          <w:tcPr>
            <w:tcW w:w="1382" w:type="dxa"/>
            <w:noWrap/>
            <w:vAlign w:val="center"/>
          </w:tcPr>
          <w:p w14:paraId="695D1B87">
            <w:pPr>
              <w:jc w:val="center"/>
              <w:rPr>
                <w:sz w:val="22"/>
                <w:szCs w:val="22"/>
              </w:rPr>
            </w:pPr>
            <w:r>
              <w:rPr>
                <w:sz w:val="22"/>
                <w:szCs w:val="22"/>
              </w:rPr>
              <w:t>1,28%</w:t>
            </w:r>
          </w:p>
        </w:tc>
      </w:tr>
      <w:tr w14:paraId="5A8F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C95B6DD">
            <w:pPr>
              <w:jc w:val="center"/>
              <w:rPr>
                <w:sz w:val="22"/>
                <w:szCs w:val="22"/>
              </w:rPr>
            </w:pPr>
          </w:p>
        </w:tc>
        <w:tc>
          <w:tcPr>
            <w:tcW w:w="1491" w:type="dxa"/>
            <w:noWrap/>
            <w:vAlign w:val="center"/>
          </w:tcPr>
          <w:p w14:paraId="169533E0">
            <w:pPr>
              <w:jc w:val="center"/>
              <w:rPr>
                <w:sz w:val="22"/>
                <w:szCs w:val="22"/>
              </w:rPr>
            </w:pPr>
          </w:p>
        </w:tc>
        <w:tc>
          <w:tcPr>
            <w:tcW w:w="742" w:type="dxa"/>
            <w:vMerge w:val="continue"/>
            <w:vAlign w:val="center"/>
          </w:tcPr>
          <w:p w14:paraId="74F3C7F4">
            <w:pPr>
              <w:jc w:val="center"/>
              <w:rPr>
                <w:sz w:val="22"/>
                <w:szCs w:val="22"/>
              </w:rPr>
            </w:pPr>
          </w:p>
        </w:tc>
        <w:tc>
          <w:tcPr>
            <w:tcW w:w="676" w:type="dxa"/>
            <w:noWrap/>
            <w:vAlign w:val="center"/>
          </w:tcPr>
          <w:p w14:paraId="474AC298">
            <w:pPr>
              <w:jc w:val="center"/>
              <w:rPr>
                <w:sz w:val="22"/>
                <w:szCs w:val="22"/>
              </w:rPr>
            </w:pPr>
            <w:r>
              <w:rPr>
                <w:sz w:val="22"/>
                <w:szCs w:val="22"/>
              </w:rPr>
              <w:t>5</w:t>
            </w:r>
          </w:p>
        </w:tc>
        <w:tc>
          <w:tcPr>
            <w:tcW w:w="1098" w:type="dxa"/>
            <w:noWrap/>
            <w:vAlign w:val="center"/>
          </w:tcPr>
          <w:p w14:paraId="1A180AE0">
            <w:pPr>
              <w:jc w:val="center"/>
              <w:rPr>
                <w:sz w:val="22"/>
                <w:szCs w:val="22"/>
              </w:rPr>
            </w:pPr>
            <w:r>
              <w:rPr>
                <w:sz w:val="22"/>
                <w:szCs w:val="22"/>
              </w:rPr>
              <w:t>108,0</w:t>
            </w:r>
          </w:p>
        </w:tc>
        <w:tc>
          <w:tcPr>
            <w:tcW w:w="1817" w:type="dxa"/>
            <w:noWrap/>
            <w:vAlign w:val="center"/>
          </w:tcPr>
          <w:p w14:paraId="2765FC0F">
            <w:pPr>
              <w:jc w:val="center"/>
              <w:rPr>
                <w:sz w:val="22"/>
                <w:szCs w:val="22"/>
              </w:rPr>
            </w:pPr>
            <w:r>
              <w:rPr>
                <w:sz w:val="22"/>
                <w:szCs w:val="22"/>
              </w:rPr>
              <w:t>777.600.000</w:t>
            </w:r>
          </w:p>
        </w:tc>
        <w:tc>
          <w:tcPr>
            <w:tcW w:w="1798" w:type="dxa"/>
            <w:noWrap/>
            <w:vAlign w:val="center"/>
          </w:tcPr>
          <w:p w14:paraId="0E838645">
            <w:pPr>
              <w:jc w:val="center"/>
              <w:rPr>
                <w:sz w:val="22"/>
                <w:szCs w:val="22"/>
              </w:rPr>
            </w:pPr>
            <w:r>
              <w:rPr>
                <w:sz w:val="22"/>
                <w:szCs w:val="22"/>
              </w:rPr>
              <w:t>998.800.000</w:t>
            </w:r>
          </w:p>
        </w:tc>
        <w:tc>
          <w:tcPr>
            <w:tcW w:w="1382" w:type="dxa"/>
            <w:noWrap/>
            <w:vAlign w:val="center"/>
          </w:tcPr>
          <w:p w14:paraId="66C2CF18">
            <w:pPr>
              <w:jc w:val="center"/>
              <w:rPr>
                <w:sz w:val="22"/>
                <w:szCs w:val="22"/>
              </w:rPr>
            </w:pPr>
            <w:r>
              <w:rPr>
                <w:sz w:val="22"/>
                <w:szCs w:val="22"/>
              </w:rPr>
              <w:t>1,28%</w:t>
            </w:r>
          </w:p>
        </w:tc>
      </w:tr>
      <w:tr w14:paraId="5E94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6759219">
            <w:pPr>
              <w:jc w:val="center"/>
              <w:rPr>
                <w:sz w:val="22"/>
                <w:szCs w:val="22"/>
              </w:rPr>
            </w:pPr>
          </w:p>
        </w:tc>
        <w:tc>
          <w:tcPr>
            <w:tcW w:w="1491" w:type="dxa"/>
            <w:noWrap/>
            <w:vAlign w:val="center"/>
          </w:tcPr>
          <w:p w14:paraId="7772BB58">
            <w:pPr>
              <w:jc w:val="center"/>
              <w:rPr>
                <w:sz w:val="22"/>
                <w:szCs w:val="22"/>
              </w:rPr>
            </w:pPr>
          </w:p>
        </w:tc>
        <w:tc>
          <w:tcPr>
            <w:tcW w:w="742" w:type="dxa"/>
            <w:vMerge w:val="continue"/>
            <w:vAlign w:val="center"/>
          </w:tcPr>
          <w:p w14:paraId="078A1F40">
            <w:pPr>
              <w:jc w:val="center"/>
              <w:rPr>
                <w:sz w:val="22"/>
                <w:szCs w:val="22"/>
              </w:rPr>
            </w:pPr>
          </w:p>
        </w:tc>
        <w:tc>
          <w:tcPr>
            <w:tcW w:w="676" w:type="dxa"/>
            <w:noWrap/>
            <w:vAlign w:val="center"/>
          </w:tcPr>
          <w:p w14:paraId="58DD8C87">
            <w:pPr>
              <w:jc w:val="center"/>
              <w:rPr>
                <w:sz w:val="22"/>
                <w:szCs w:val="22"/>
              </w:rPr>
            </w:pPr>
            <w:r>
              <w:rPr>
                <w:sz w:val="22"/>
                <w:szCs w:val="22"/>
              </w:rPr>
              <w:t>6</w:t>
            </w:r>
          </w:p>
        </w:tc>
        <w:tc>
          <w:tcPr>
            <w:tcW w:w="1098" w:type="dxa"/>
            <w:noWrap/>
            <w:vAlign w:val="center"/>
          </w:tcPr>
          <w:p w14:paraId="4664EC50">
            <w:pPr>
              <w:jc w:val="center"/>
              <w:rPr>
                <w:sz w:val="22"/>
                <w:szCs w:val="22"/>
              </w:rPr>
            </w:pPr>
            <w:r>
              <w:rPr>
                <w:sz w:val="22"/>
                <w:szCs w:val="22"/>
              </w:rPr>
              <w:t>108,0</w:t>
            </w:r>
          </w:p>
        </w:tc>
        <w:tc>
          <w:tcPr>
            <w:tcW w:w="1817" w:type="dxa"/>
            <w:noWrap/>
            <w:vAlign w:val="center"/>
          </w:tcPr>
          <w:p w14:paraId="28CA87AA">
            <w:pPr>
              <w:jc w:val="center"/>
              <w:rPr>
                <w:sz w:val="22"/>
                <w:szCs w:val="22"/>
              </w:rPr>
            </w:pPr>
            <w:r>
              <w:rPr>
                <w:sz w:val="22"/>
                <w:szCs w:val="22"/>
              </w:rPr>
              <w:t>777.600.000</w:t>
            </w:r>
          </w:p>
        </w:tc>
        <w:tc>
          <w:tcPr>
            <w:tcW w:w="1798" w:type="dxa"/>
            <w:noWrap/>
            <w:vAlign w:val="center"/>
          </w:tcPr>
          <w:p w14:paraId="7CC34CFC">
            <w:pPr>
              <w:jc w:val="center"/>
              <w:rPr>
                <w:sz w:val="22"/>
                <w:szCs w:val="22"/>
              </w:rPr>
            </w:pPr>
            <w:r>
              <w:rPr>
                <w:sz w:val="22"/>
                <w:szCs w:val="22"/>
              </w:rPr>
              <w:t>1.006.000.000</w:t>
            </w:r>
          </w:p>
        </w:tc>
        <w:tc>
          <w:tcPr>
            <w:tcW w:w="1382" w:type="dxa"/>
            <w:noWrap/>
            <w:vAlign w:val="center"/>
          </w:tcPr>
          <w:p w14:paraId="6B6D63A5">
            <w:pPr>
              <w:jc w:val="center"/>
              <w:rPr>
                <w:sz w:val="22"/>
                <w:szCs w:val="22"/>
              </w:rPr>
            </w:pPr>
            <w:r>
              <w:rPr>
                <w:sz w:val="22"/>
                <w:szCs w:val="22"/>
              </w:rPr>
              <w:t>1,29%</w:t>
            </w:r>
          </w:p>
        </w:tc>
      </w:tr>
      <w:tr w14:paraId="0B09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4F5DCE3">
            <w:pPr>
              <w:jc w:val="center"/>
              <w:rPr>
                <w:sz w:val="22"/>
                <w:szCs w:val="22"/>
              </w:rPr>
            </w:pPr>
          </w:p>
        </w:tc>
        <w:tc>
          <w:tcPr>
            <w:tcW w:w="1491" w:type="dxa"/>
            <w:noWrap/>
            <w:vAlign w:val="center"/>
          </w:tcPr>
          <w:p w14:paraId="6727AEA7">
            <w:pPr>
              <w:jc w:val="center"/>
              <w:rPr>
                <w:sz w:val="22"/>
                <w:szCs w:val="22"/>
              </w:rPr>
            </w:pPr>
          </w:p>
        </w:tc>
        <w:tc>
          <w:tcPr>
            <w:tcW w:w="742" w:type="dxa"/>
            <w:vMerge w:val="continue"/>
            <w:vAlign w:val="center"/>
          </w:tcPr>
          <w:p w14:paraId="786433BA">
            <w:pPr>
              <w:jc w:val="center"/>
              <w:rPr>
                <w:sz w:val="22"/>
                <w:szCs w:val="22"/>
              </w:rPr>
            </w:pPr>
          </w:p>
        </w:tc>
        <w:tc>
          <w:tcPr>
            <w:tcW w:w="676" w:type="dxa"/>
            <w:noWrap/>
            <w:vAlign w:val="center"/>
          </w:tcPr>
          <w:p w14:paraId="37215876">
            <w:pPr>
              <w:jc w:val="center"/>
              <w:rPr>
                <w:sz w:val="22"/>
                <w:szCs w:val="22"/>
              </w:rPr>
            </w:pPr>
            <w:r>
              <w:rPr>
                <w:sz w:val="22"/>
                <w:szCs w:val="22"/>
              </w:rPr>
              <w:t>7</w:t>
            </w:r>
          </w:p>
        </w:tc>
        <w:tc>
          <w:tcPr>
            <w:tcW w:w="1098" w:type="dxa"/>
            <w:noWrap/>
            <w:vAlign w:val="center"/>
          </w:tcPr>
          <w:p w14:paraId="154B844E">
            <w:pPr>
              <w:jc w:val="center"/>
              <w:rPr>
                <w:sz w:val="22"/>
                <w:szCs w:val="22"/>
              </w:rPr>
            </w:pPr>
            <w:r>
              <w:rPr>
                <w:sz w:val="22"/>
                <w:szCs w:val="22"/>
              </w:rPr>
              <w:t>108,0</w:t>
            </w:r>
          </w:p>
        </w:tc>
        <w:tc>
          <w:tcPr>
            <w:tcW w:w="1817" w:type="dxa"/>
            <w:noWrap/>
            <w:vAlign w:val="center"/>
          </w:tcPr>
          <w:p w14:paraId="0D1F6B39">
            <w:pPr>
              <w:jc w:val="center"/>
              <w:rPr>
                <w:sz w:val="22"/>
                <w:szCs w:val="22"/>
              </w:rPr>
            </w:pPr>
            <w:r>
              <w:rPr>
                <w:sz w:val="22"/>
                <w:szCs w:val="22"/>
              </w:rPr>
              <w:t>777.600.000</w:t>
            </w:r>
          </w:p>
        </w:tc>
        <w:tc>
          <w:tcPr>
            <w:tcW w:w="1798" w:type="dxa"/>
            <w:noWrap/>
            <w:vAlign w:val="center"/>
          </w:tcPr>
          <w:p w14:paraId="096116BE">
            <w:pPr>
              <w:jc w:val="center"/>
              <w:rPr>
                <w:sz w:val="22"/>
                <w:szCs w:val="22"/>
              </w:rPr>
            </w:pPr>
            <w:r>
              <w:rPr>
                <w:sz w:val="22"/>
                <w:szCs w:val="22"/>
              </w:rPr>
              <w:t>889.000.000</w:t>
            </w:r>
          </w:p>
        </w:tc>
        <w:tc>
          <w:tcPr>
            <w:tcW w:w="1382" w:type="dxa"/>
            <w:noWrap/>
            <w:vAlign w:val="center"/>
          </w:tcPr>
          <w:p w14:paraId="6CB230DE">
            <w:pPr>
              <w:jc w:val="center"/>
              <w:rPr>
                <w:sz w:val="22"/>
                <w:szCs w:val="22"/>
              </w:rPr>
            </w:pPr>
            <w:r>
              <w:rPr>
                <w:sz w:val="22"/>
                <w:szCs w:val="22"/>
              </w:rPr>
              <w:t>1,14%</w:t>
            </w:r>
          </w:p>
        </w:tc>
      </w:tr>
      <w:tr w14:paraId="6877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9F99429">
            <w:pPr>
              <w:jc w:val="center"/>
              <w:rPr>
                <w:sz w:val="22"/>
                <w:szCs w:val="22"/>
              </w:rPr>
            </w:pPr>
          </w:p>
        </w:tc>
        <w:tc>
          <w:tcPr>
            <w:tcW w:w="1491" w:type="dxa"/>
            <w:noWrap/>
            <w:vAlign w:val="center"/>
          </w:tcPr>
          <w:p w14:paraId="46B59135">
            <w:pPr>
              <w:jc w:val="center"/>
              <w:rPr>
                <w:sz w:val="22"/>
                <w:szCs w:val="22"/>
              </w:rPr>
            </w:pPr>
          </w:p>
        </w:tc>
        <w:tc>
          <w:tcPr>
            <w:tcW w:w="742" w:type="dxa"/>
            <w:vMerge w:val="continue"/>
            <w:vAlign w:val="center"/>
          </w:tcPr>
          <w:p w14:paraId="3E906D74">
            <w:pPr>
              <w:jc w:val="center"/>
              <w:rPr>
                <w:sz w:val="22"/>
                <w:szCs w:val="22"/>
              </w:rPr>
            </w:pPr>
          </w:p>
        </w:tc>
        <w:tc>
          <w:tcPr>
            <w:tcW w:w="676" w:type="dxa"/>
            <w:noWrap/>
            <w:vAlign w:val="center"/>
          </w:tcPr>
          <w:p w14:paraId="45C3D4C1">
            <w:pPr>
              <w:jc w:val="center"/>
              <w:rPr>
                <w:sz w:val="22"/>
                <w:szCs w:val="22"/>
              </w:rPr>
            </w:pPr>
            <w:r>
              <w:rPr>
                <w:sz w:val="22"/>
                <w:szCs w:val="22"/>
              </w:rPr>
              <w:t>8</w:t>
            </w:r>
          </w:p>
        </w:tc>
        <w:tc>
          <w:tcPr>
            <w:tcW w:w="1098" w:type="dxa"/>
            <w:noWrap/>
            <w:vAlign w:val="center"/>
          </w:tcPr>
          <w:p w14:paraId="04C5D33F">
            <w:pPr>
              <w:jc w:val="center"/>
              <w:rPr>
                <w:sz w:val="22"/>
                <w:szCs w:val="22"/>
              </w:rPr>
            </w:pPr>
            <w:r>
              <w:rPr>
                <w:sz w:val="22"/>
                <w:szCs w:val="22"/>
              </w:rPr>
              <w:t>108,0</w:t>
            </w:r>
          </w:p>
        </w:tc>
        <w:tc>
          <w:tcPr>
            <w:tcW w:w="1817" w:type="dxa"/>
            <w:noWrap/>
            <w:vAlign w:val="center"/>
          </w:tcPr>
          <w:p w14:paraId="3445D747">
            <w:pPr>
              <w:jc w:val="center"/>
              <w:rPr>
                <w:sz w:val="22"/>
                <w:szCs w:val="22"/>
              </w:rPr>
            </w:pPr>
            <w:r>
              <w:rPr>
                <w:sz w:val="22"/>
                <w:szCs w:val="22"/>
              </w:rPr>
              <w:t>777.600.000</w:t>
            </w:r>
          </w:p>
        </w:tc>
        <w:tc>
          <w:tcPr>
            <w:tcW w:w="1798" w:type="dxa"/>
            <w:noWrap/>
            <w:vAlign w:val="center"/>
          </w:tcPr>
          <w:p w14:paraId="76608BE4">
            <w:pPr>
              <w:jc w:val="center"/>
              <w:rPr>
                <w:sz w:val="22"/>
                <w:szCs w:val="22"/>
              </w:rPr>
            </w:pPr>
            <w:r>
              <w:rPr>
                <w:sz w:val="22"/>
                <w:szCs w:val="22"/>
              </w:rPr>
              <w:t>855.000.000</w:t>
            </w:r>
          </w:p>
        </w:tc>
        <w:tc>
          <w:tcPr>
            <w:tcW w:w="1382" w:type="dxa"/>
            <w:noWrap/>
            <w:vAlign w:val="center"/>
          </w:tcPr>
          <w:p w14:paraId="70E3A682">
            <w:pPr>
              <w:jc w:val="center"/>
              <w:rPr>
                <w:sz w:val="22"/>
                <w:szCs w:val="22"/>
              </w:rPr>
            </w:pPr>
            <w:r>
              <w:rPr>
                <w:sz w:val="22"/>
                <w:szCs w:val="22"/>
              </w:rPr>
              <w:t>1,10%</w:t>
            </w:r>
          </w:p>
        </w:tc>
      </w:tr>
      <w:tr w14:paraId="5719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227845E">
            <w:pPr>
              <w:jc w:val="center"/>
              <w:rPr>
                <w:sz w:val="22"/>
                <w:szCs w:val="22"/>
              </w:rPr>
            </w:pPr>
          </w:p>
        </w:tc>
        <w:tc>
          <w:tcPr>
            <w:tcW w:w="1491" w:type="dxa"/>
            <w:noWrap/>
            <w:vAlign w:val="center"/>
          </w:tcPr>
          <w:p w14:paraId="510DF419">
            <w:pPr>
              <w:jc w:val="center"/>
              <w:rPr>
                <w:sz w:val="22"/>
                <w:szCs w:val="22"/>
              </w:rPr>
            </w:pPr>
          </w:p>
        </w:tc>
        <w:tc>
          <w:tcPr>
            <w:tcW w:w="742" w:type="dxa"/>
            <w:vMerge w:val="continue"/>
            <w:vAlign w:val="center"/>
          </w:tcPr>
          <w:p w14:paraId="1F5A36C7">
            <w:pPr>
              <w:jc w:val="center"/>
              <w:rPr>
                <w:sz w:val="22"/>
                <w:szCs w:val="22"/>
              </w:rPr>
            </w:pPr>
          </w:p>
        </w:tc>
        <w:tc>
          <w:tcPr>
            <w:tcW w:w="676" w:type="dxa"/>
            <w:noWrap/>
            <w:vAlign w:val="center"/>
          </w:tcPr>
          <w:p w14:paraId="62F44602">
            <w:pPr>
              <w:jc w:val="center"/>
              <w:rPr>
                <w:sz w:val="22"/>
                <w:szCs w:val="22"/>
              </w:rPr>
            </w:pPr>
            <w:r>
              <w:rPr>
                <w:sz w:val="22"/>
                <w:szCs w:val="22"/>
              </w:rPr>
              <w:t>9</w:t>
            </w:r>
          </w:p>
        </w:tc>
        <w:tc>
          <w:tcPr>
            <w:tcW w:w="1098" w:type="dxa"/>
            <w:noWrap/>
            <w:vAlign w:val="center"/>
          </w:tcPr>
          <w:p w14:paraId="502EB323">
            <w:pPr>
              <w:jc w:val="center"/>
              <w:rPr>
                <w:sz w:val="22"/>
                <w:szCs w:val="22"/>
              </w:rPr>
            </w:pPr>
            <w:r>
              <w:rPr>
                <w:sz w:val="22"/>
                <w:szCs w:val="22"/>
              </w:rPr>
              <w:t>108,0</w:t>
            </w:r>
          </w:p>
        </w:tc>
        <w:tc>
          <w:tcPr>
            <w:tcW w:w="1817" w:type="dxa"/>
            <w:noWrap/>
            <w:vAlign w:val="center"/>
          </w:tcPr>
          <w:p w14:paraId="2A9B1B96">
            <w:pPr>
              <w:jc w:val="center"/>
              <w:rPr>
                <w:sz w:val="22"/>
                <w:szCs w:val="22"/>
              </w:rPr>
            </w:pPr>
            <w:r>
              <w:rPr>
                <w:sz w:val="22"/>
                <w:szCs w:val="22"/>
              </w:rPr>
              <w:t>777.600.000</w:t>
            </w:r>
          </w:p>
        </w:tc>
        <w:tc>
          <w:tcPr>
            <w:tcW w:w="1798" w:type="dxa"/>
            <w:noWrap/>
            <w:vAlign w:val="center"/>
          </w:tcPr>
          <w:p w14:paraId="1B7E031D">
            <w:pPr>
              <w:jc w:val="center"/>
              <w:rPr>
                <w:sz w:val="22"/>
                <w:szCs w:val="22"/>
              </w:rPr>
            </w:pPr>
            <w:r>
              <w:rPr>
                <w:sz w:val="22"/>
                <w:szCs w:val="22"/>
              </w:rPr>
              <w:t>850.000.000</w:t>
            </w:r>
          </w:p>
        </w:tc>
        <w:tc>
          <w:tcPr>
            <w:tcW w:w="1382" w:type="dxa"/>
            <w:noWrap/>
            <w:vAlign w:val="center"/>
          </w:tcPr>
          <w:p w14:paraId="4C4A3D29">
            <w:pPr>
              <w:jc w:val="center"/>
              <w:rPr>
                <w:sz w:val="22"/>
                <w:szCs w:val="22"/>
              </w:rPr>
            </w:pPr>
            <w:r>
              <w:rPr>
                <w:sz w:val="22"/>
                <w:szCs w:val="22"/>
              </w:rPr>
              <w:t>1,09%</w:t>
            </w:r>
          </w:p>
        </w:tc>
      </w:tr>
      <w:tr w14:paraId="6124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C1E9D11">
            <w:pPr>
              <w:jc w:val="center"/>
              <w:rPr>
                <w:sz w:val="22"/>
                <w:szCs w:val="22"/>
              </w:rPr>
            </w:pPr>
          </w:p>
        </w:tc>
        <w:tc>
          <w:tcPr>
            <w:tcW w:w="1491" w:type="dxa"/>
            <w:noWrap/>
            <w:vAlign w:val="center"/>
          </w:tcPr>
          <w:p w14:paraId="3D7C996D">
            <w:pPr>
              <w:jc w:val="center"/>
              <w:rPr>
                <w:sz w:val="22"/>
                <w:szCs w:val="22"/>
              </w:rPr>
            </w:pPr>
          </w:p>
        </w:tc>
        <w:tc>
          <w:tcPr>
            <w:tcW w:w="742" w:type="dxa"/>
            <w:vMerge w:val="continue"/>
            <w:vAlign w:val="center"/>
          </w:tcPr>
          <w:p w14:paraId="7016B500">
            <w:pPr>
              <w:jc w:val="center"/>
              <w:rPr>
                <w:sz w:val="22"/>
                <w:szCs w:val="22"/>
              </w:rPr>
            </w:pPr>
          </w:p>
        </w:tc>
        <w:tc>
          <w:tcPr>
            <w:tcW w:w="676" w:type="dxa"/>
            <w:noWrap/>
            <w:vAlign w:val="center"/>
          </w:tcPr>
          <w:p w14:paraId="322AA900">
            <w:pPr>
              <w:jc w:val="center"/>
              <w:rPr>
                <w:sz w:val="22"/>
                <w:szCs w:val="22"/>
              </w:rPr>
            </w:pPr>
            <w:r>
              <w:rPr>
                <w:sz w:val="22"/>
                <w:szCs w:val="22"/>
              </w:rPr>
              <w:t>10</w:t>
            </w:r>
          </w:p>
        </w:tc>
        <w:tc>
          <w:tcPr>
            <w:tcW w:w="1098" w:type="dxa"/>
            <w:noWrap/>
            <w:vAlign w:val="center"/>
          </w:tcPr>
          <w:p w14:paraId="29A24356">
            <w:pPr>
              <w:jc w:val="center"/>
              <w:rPr>
                <w:sz w:val="22"/>
                <w:szCs w:val="22"/>
              </w:rPr>
            </w:pPr>
            <w:r>
              <w:rPr>
                <w:sz w:val="22"/>
                <w:szCs w:val="22"/>
              </w:rPr>
              <w:t>108,0</w:t>
            </w:r>
          </w:p>
        </w:tc>
        <w:tc>
          <w:tcPr>
            <w:tcW w:w="1817" w:type="dxa"/>
            <w:noWrap/>
            <w:vAlign w:val="center"/>
          </w:tcPr>
          <w:p w14:paraId="50FE0804">
            <w:pPr>
              <w:jc w:val="center"/>
              <w:rPr>
                <w:sz w:val="22"/>
                <w:szCs w:val="22"/>
              </w:rPr>
            </w:pPr>
            <w:r>
              <w:rPr>
                <w:sz w:val="22"/>
                <w:szCs w:val="22"/>
              </w:rPr>
              <w:t>777.600.000</w:t>
            </w:r>
          </w:p>
        </w:tc>
        <w:tc>
          <w:tcPr>
            <w:tcW w:w="1798" w:type="dxa"/>
            <w:noWrap/>
            <w:vAlign w:val="center"/>
          </w:tcPr>
          <w:p w14:paraId="3C86701F">
            <w:pPr>
              <w:jc w:val="center"/>
              <w:rPr>
                <w:sz w:val="22"/>
                <w:szCs w:val="22"/>
              </w:rPr>
            </w:pPr>
            <w:r>
              <w:rPr>
                <w:sz w:val="22"/>
                <w:szCs w:val="22"/>
              </w:rPr>
              <w:t>900.000.000</w:t>
            </w:r>
          </w:p>
        </w:tc>
        <w:tc>
          <w:tcPr>
            <w:tcW w:w="1382" w:type="dxa"/>
            <w:noWrap/>
            <w:vAlign w:val="center"/>
          </w:tcPr>
          <w:p w14:paraId="0C8839F8">
            <w:pPr>
              <w:jc w:val="center"/>
              <w:rPr>
                <w:sz w:val="22"/>
                <w:szCs w:val="22"/>
              </w:rPr>
            </w:pPr>
            <w:r>
              <w:rPr>
                <w:sz w:val="22"/>
                <w:szCs w:val="22"/>
              </w:rPr>
              <w:t>1,16%</w:t>
            </w:r>
          </w:p>
        </w:tc>
      </w:tr>
      <w:tr w14:paraId="750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3CFB46F">
            <w:pPr>
              <w:jc w:val="center"/>
              <w:rPr>
                <w:sz w:val="22"/>
                <w:szCs w:val="22"/>
              </w:rPr>
            </w:pPr>
          </w:p>
        </w:tc>
        <w:tc>
          <w:tcPr>
            <w:tcW w:w="1491" w:type="dxa"/>
            <w:noWrap/>
            <w:vAlign w:val="center"/>
          </w:tcPr>
          <w:p w14:paraId="6249E482">
            <w:pPr>
              <w:jc w:val="center"/>
              <w:rPr>
                <w:sz w:val="22"/>
                <w:szCs w:val="22"/>
              </w:rPr>
            </w:pPr>
          </w:p>
        </w:tc>
        <w:tc>
          <w:tcPr>
            <w:tcW w:w="742" w:type="dxa"/>
            <w:vMerge w:val="continue"/>
            <w:vAlign w:val="center"/>
          </w:tcPr>
          <w:p w14:paraId="47D0356E">
            <w:pPr>
              <w:jc w:val="center"/>
              <w:rPr>
                <w:sz w:val="22"/>
                <w:szCs w:val="22"/>
              </w:rPr>
            </w:pPr>
          </w:p>
        </w:tc>
        <w:tc>
          <w:tcPr>
            <w:tcW w:w="676" w:type="dxa"/>
            <w:noWrap/>
            <w:vAlign w:val="center"/>
          </w:tcPr>
          <w:p w14:paraId="199E8D83">
            <w:pPr>
              <w:jc w:val="center"/>
              <w:rPr>
                <w:sz w:val="22"/>
                <w:szCs w:val="22"/>
              </w:rPr>
            </w:pPr>
            <w:r>
              <w:rPr>
                <w:sz w:val="22"/>
                <w:szCs w:val="22"/>
              </w:rPr>
              <w:t>11</w:t>
            </w:r>
          </w:p>
        </w:tc>
        <w:tc>
          <w:tcPr>
            <w:tcW w:w="1098" w:type="dxa"/>
            <w:noWrap/>
            <w:vAlign w:val="center"/>
          </w:tcPr>
          <w:p w14:paraId="72A7982E">
            <w:pPr>
              <w:jc w:val="center"/>
              <w:rPr>
                <w:sz w:val="22"/>
                <w:szCs w:val="22"/>
              </w:rPr>
            </w:pPr>
            <w:r>
              <w:rPr>
                <w:sz w:val="22"/>
                <w:szCs w:val="22"/>
              </w:rPr>
              <w:t>108,0</w:t>
            </w:r>
          </w:p>
        </w:tc>
        <w:tc>
          <w:tcPr>
            <w:tcW w:w="1817" w:type="dxa"/>
            <w:noWrap/>
            <w:vAlign w:val="center"/>
          </w:tcPr>
          <w:p w14:paraId="22860264">
            <w:pPr>
              <w:jc w:val="center"/>
              <w:rPr>
                <w:sz w:val="22"/>
                <w:szCs w:val="22"/>
              </w:rPr>
            </w:pPr>
            <w:r>
              <w:rPr>
                <w:sz w:val="22"/>
                <w:szCs w:val="22"/>
              </w:rPr>
              <w:t>777.600.000</w:t>
            </w:r>
          </w:p>
        </w:tc>
        <w:tc>
          <w:tcPr>
            <w:tcW w:w="1798" w:type="dxa"/>
            <w:noWrap/>
            <w:vAlign w:val="center"/>
          </w:tcPr>
          <w:p w14:paraId="0A167C8A">
            <w:pPr>
              <w:jc w:val="center"/>
              <w:rPr>
                <w:sz w:val="22"/>
                <w:szCs w:val="22"/>
              </w:rPr>
            </w:pPr>
            <w:r>
              <w:rPr>
                <w:sz w:val="22"/>
                <w:szCs w:val="22"/>
              </w:rPr>
              <w:t>900.000.000</w:t>
            </w:r>
          </w:p>
        </w:tc>
        <w:tc>
          <w:tcPr>
            <w:tcW w:w="1382" w:type="dxa"/>
            <w:noWrap/>
            <w:vAlign w:val="center"/>
          </w:tcPr>
          <w:p w14:paraId="1BB4752E">
            <w:pPr>
              <w:jc w:val="center"/>
              <w:rPr>
                <w:sz w:val="22"/>
                <w:szCs w:val="22"/>
              </w:rPr>
            </w:pPr>
            <w:r>
              <w:rPr>
                <w:sz w:val="22"/>
                <w:szCs w:val="22"/>
              </w:rPr>
              <w:t>1,16%</w:t>
            </w:r>
          </w:p>
        </w:tc>
      </w:tr>
      <w:tr w14:paraId="23B0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0968F51">
            <w:pPr>
              <w:jc w:val="center"/>
              <w:rPr>
                <w:sz w:val="22"/>
                <w:szCs w:val="22"/>
              </w:rPr>
            </w:pPr>
          </w:p>
        </w:tc>
        <w:tc>
          <w:tcPr>
            <w:tcW w:w="1491" w:type="dxa"/>
            <w:noWrap/>
            <w:vAlign w:val="center"/>
          </w:tcPr>
          <w:p w14:paraId="4B04E447">
            <w:pPr>
              <w:jc w:val="center"/>
              <w:rPr>
                <w:sz w:val="22"/>
                <w:szCs w:val="22"/>
              </w:rPr>
            </w:pPr>
          </w:p>
        </w:tc>
        <w:tc>
          <w:tcPr>
            <w:tcW w:w="742" w:type="dxa"/>
            <w:vMerge w:val="continue"/>
            <w:vAlign w:val="center"/>
          </w:tcPr>
          <w:p w14:paraId="15B64712">
            <w:pPr>
              <w:jc w:val="center"/>
              <w:rPr>
                <w:sz w:val="22"/>
                <w:szCs w:val="22"/>
              </w:rPr>
            </w:pPr>
          </w:p>
        </w:tc>
        <w:tc>
          <w:tcPr>
            <w:tcW w:w="676" w:type="dxa"/>
            <w:noWrap/>
            <w:vAlign w:val="center"/>
          </w:tcPr>
          <w:p w14:paraId="0CD137C3">
            <w:pPr>
              <w:jc w:val="center"/>
              <w:rPr>
                <w:sz w:val="22"/>
                <w:szCs w:val="22"/>
              </w:rPr>
            </w:pPr>
            <w:r>
              <w:rPr>
                <w:sz w:val="22"/>
                <w:szCs w:val="22"/>
              </w:rPr>
              <w:t>12</w:t>
            </w:r>
          </w:p>
        </w:tc>
        <w:tc>
          <w:tcPr>
            <w:tcW w:w="1098" w:type="dxa"/>
            <w:noWrap/>
            <w:vAlign w:val="center"/>
          </w:tcPr>
          <w:p w14:paraId="5154EC7C">
            <w:pPr>
              <w:jc w:val="center"/>
              <w:rPr>
                <w:sz w:val="22"/>
                <w:szCs w:val="22"/>
              </w:rPr>
            </w:pPr>
            <w:r>
              <w:rPr>
                <w:sz w:val="22"/>
                <w:szCs w:val="22"/>
              </w:rPr>
              <w:t>108,0</w:t>
            </w:r>
          </w:p>
        </w:tc>
        <w:tc>
          <w:tcPr>
            <w:tcW w:w="1817" w:type="dxa"/>
            <w:noWrap/>
            <w:vAlign w:val="center"/>
          </w:tcPr>
          <w:p w14:paraId="4201372D">
            <w:pPr>
              <w:jc w:val="center"/>
              <w:rPr>
                <w:sz w:val="22"/>
                <w:szCs w:val="22"/>
              </w:rPr>
            </w:pPr>
            <w:r>
              <w:rPr>
                <w:sz w:val="22"/>
                <w:szCs w:val="22"/>
              </w:rPr>
              <w:t>777.600.000</w:t>
            </w:r>
          </w:p>
        </w:tc>
        <w:tc>
          <w:tcPr>
            <w:tcW w:w="1798" w:type="dxa"/>
            <w:noWrap/>
            <w:vAlign w:val="center"/>
          </w:tcPr>
          <w:p w14:paraId="43AE82ED">
            <w:pPr>
              <w:jc w:val="center"/>
              <w:rPr>
                <w:sz w:val="22"/>
                <w:szCs w:val="22"/>
              </w:rPr>
            </w:pPr>
            <w:r>
              <w:rPr>
                <w:sz w:val="22"/>
                <w:szCs w:val="22"/>
              </w:rPr>
              <w:t>970.000.000</w:t>
            </w:r>
          </w:p>
        </w:tc>
        <w:tc>
          <w:tcPr>
            <w:tcW w:w="1382" w:type="dxa"/>
            <w:noWrap/>
            <w:vAlign w:val="center"/>
          </w:tcPr>
          <w:p w14:paraId="18E1A62D">
            <w:pPr>
              <w:jc w:val="center"/>
              <w:rPr>
                <w:sz w:val="22"/>
                <w:szCs w:val="22"/>
              </w:rPr>
            </w:pPr>
            <w:r>
              <w:rPr>
                <w:sz w:val="22"/>
                <w:szCs w:val="22"/>
              </w:rPr>
              <w:t>1,25%</w:t>
            </w:r>
          </w:p>
        </w:tc>
      </w:tr>
      <w:tr w14:paraId="19D6BAC9">
        <w:tblPrEx>
          <w:tblCellMar>
            <w:top w:w="0" w:type="dxa"/>
            <w:left w:w="108" w:type="dxa"/>
            <w:bottom w:w="0" w:type="dxa"/>
            <w:right w:w="108" w:type="dxa"/>
          </w:tblCellMar>
        </w:tblPrEx>
        <w:trPr>
          <w:trHeight w:val="20" w:hRule="atLeast"/>
        </w:trPr>
        <w:tc>
          <w:tcPr>
            <w:tcW w:w="636" w:type="dxa"/>
            <w:noWrap/>
            <w:vAlign w:val="center"/>
          </w:tcPr>
          <w:p w14:paraId="50739F89">
            <w:pPr>
              <w:jc w:val="center"/>
              <w:rPr>
                <w:sz w:val="22"/>
                <w:szCs w:val="22"/>
              </w:rPr>
            </w:pPr>
          </w:p>
        </w:tc>
        <w:tc>
          <w:tcPr>
            <w:tcW w:w="1491" w:type="dxa"/>
            <w:noWrap/>
            <w:vAlign w:val="center"/>
          </w:tcPr>
          <w:p w14:paraId="7EBC39CF">
            <w:pPr>
              <w:jc w:val="center"/>
              <w:rPr>
                <w:sz w:val="22"/>
                <w:szCs w:val="22"/>
              </w:rPr>
            </w:pPr>
          </w:p>
        </w:tc>
        <w:tc>
          <w:tcPr>
            <w:tcW w:w="742" w:type="dxa"/>
            <w:vMerge w:val="continue"/>
            <w:vAlign w:val="center"/>
          </w:tcPr>
          <w:p w14:paraId="1602C1BF">
            <w:pPr>
              <w:jc w:val="center"/>
              <w:rPr>
                <w:sz w:val="22"/>
                <w:szCs w:val="22"/>
              </w:rPr>
            </w:pPr>
          </w:p>
        </w:tc>
        <w:tc>
          <w:tcPr>
            <w:tcW w:w="676" w:type="dxa"/>
            <w:noWrap/>
            <w:vAlign w:val="center"/>
          </w:tcPr>
          <w:p w14:paraId="02CF867F">
            <w:pPr>
              <w:jc w:val="center"/>
              <w:rPr>
                <w:sz w:val="22"/>
                <w:szCs w:val="22"/>
              </w:rPr>
            </w:pPr>
            <w:r>
              <w:rPr>
                <w:sz w:val="22"/>
                <w:szCs w:val="22"/>
              </w:rPr>
              <w:t>13</w:t>
            </w:r>
          </w:p>
        </w:tc>
        <w:tc>
          <w:tcPr>
            <w:tcW w:w="1098" w:type="dxa"/>
            <w:noWrap/>
            <w:vAlign w:val="center"/>
          </w:tcPr>
          <w:p w14:paraId="6E675BE6">
            <w:pPr>
              <w:jc w:val="center"/>
              <w:rPr>
                <w:sz w:val="22"/>
                <w:szCs w:val="22"/>
              </w:rPr>
            </w:pPr>
            <w:r>
              <w:rPr>
                <w:sz w:val="22"/>
                <w:szCs w:val="22"/>
              </w:rPr>
              <w:t>108,0</w:t>
            </w:r>
          </w:p>
        </w:tc>
        <w:tc>
          <w:tcPr>
            <w:tcW w:w="1817" w:type="dxa"/>
            <w:noWrap/>
            <w:vAlign w:val="center"/>
          </w:tcPr>
          <w:p w14:paraId="0E3D7561">
            <w:pPr>
              <w:jc w:val="center"/>
              <w:rPr>
                <w:sz w:val="22"/>
                <w:szCs w:val="22"/>
              </w:rPr>
            </w:pPr>
            <w:r>
              <w:rPr>
                <w:sz w:val="22"/>
                <w:szCs w:val="22"/>
              </w:rPr>
              <w:t>777.600.000</w:t>
            </w:r>
          </w:p>
        </w:tc>
        <w:tc>
          <w:tcPr>
            <w:tcW w:w="1798" w:type="dxa"/>
            <w:noWrap/>
            <w:vAlign w:val="center"/>
          </w:tcPr>
          <w:p w14:paraId="66CCC727">
            <w:pPr>
              <w:jc w:val="center"/>
              <w:rPr>
                <w:sz w:val="22"/>
                <w:szCs w:val="22"/>
              </w:rPr>
            </w:pPr>
            <w:r>
              <w:rPr>
                <w:sz w:val="22"/>
                <w:szCs w:val="22"/>
              </w:rPr>
              <w:t>1.089.000.000</w:t>
            </w:r>
          </w:p>
        </w:tc>
        <w:tc>
          <w:tcPr>
            <w:tcW w:w="1382" w:type="dxa"/>
            <w:noWrap/>
            <w:vAlign w:val="center"/>
          </w:tcPr>
          <w:p w14:paraId="590116DB">
            <w:pPr>
              <w:jc w:val="center"/>
              <w:rPr>
                <w:sz w:val="22"/>
                <w:szCs w:val="22"/>
              </w:rPr>
            </w:pPr>
            <w:r>
              <w:rPr>
                <w:sz w:val="22"/>
                <w:szCs w:val="22"/>
              </w:rPr>
              <w:t>1,40%</w:t>
            </w:r>
          </w:p>
        </w:tc>
      </w:tr>
      <w:tr w14:paraId="503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DC861B9">
            <w:pPr>
              <w:jc w:val="center"/>
              <w:rPr>
                <w:sz w:val="22"/>
                <w:szCs w:val="22"/>
              </w:rPr>
            </w:pPr>
          </w:p>
        </w:tc>
        <w:tc>
          <w:tcPr>
            <w:tcW w:w="1491" w:type="dxa"/>
            <w:noWrap/>
            <w:vAlign w:val="center"/>
          </w:tcPr>
          <w:p w14:paraId="6B59D297">
            <w:pPr>
              <w:jc w:val="center"/>
              <w:rPr>
                <w:sz w:val="22"/>
                <w:szCs w:val="22"/>
              </w:rPr>
            </w:pPr>
          </w:p>
        </w:tc>
        <w:tc>
          <w:tcPr>
            <w:tcW w:w="742" w:type="dxa"/>
            <w:vMerge w:val="continue"/>
            <w:vAlign w:val="center"/>
          </w:tcPr>
          <w:p w14:paraId="6FF0E9A2">
            <w:pPr>
              <w:jc w:val="center"/>
              <w:rPr>
                <w:sz w:val="22"/>
                <w:szCs w:val="22"/>
              </w:rPr>
            </w:pPr>
          </w:p>
        </w:tc>
        <w:tc>
          <w:tcPr>
            <w:tcW w:w="676" w:type="dxa"/>
            <w:noWrap/>
            <w:vAlign w:val="center"/>
          </w:tcPr>
          <w:p w14:paraId="083FD295">
            <w:pPr>
              <w:jc w:val="center"/>
              <w:rPr>
                <w:sz w:val="22"/>
                <w:szCs w:val="22"/>
              </w:rPr>
            </w:pPr>
            <w:r>
              <w:rPr>
                <w:sz w:val="22"/>
                <w:szCs w:val="22"/>
              </w:rPr>
              <w:t>14</w:t>
            </w:r>
          </w:p>
        </w:tc>
        <w:tc>
          <w:tcPr>
            <w:tcW w:w="1098" w:type="dxa"/>
            <w:noWrap/>
            <w:vAlign w:val="center"/>
          </w:tcPr>
          <w:p w14:paraId="137E52CE">
            <w:pPr>
              <w:jc w:val="center"/>
              <w:rPr>
                <w:sz w:val="22"/>
                <w:szCs w:val="22"/>
              </w:rPr>
            </w:pPr>
            <w:r>
              <w:rPr>
                <w:sz w:val="22"/>
                <w:szCs w:val="22"/>
              </w:rPr>
              <w:t>108,0</w:t>
            </w:r>
          </w:p>
        </w:tc>
        <w:tc>
          <w:tcPr>
            <w:tcW w:w="1817" w:type="dxa"/>
            <w:noWrap/>
            <w:vAlign w:val="center"/>
          </w:tcPr>
          <w:p w14:paraId="703B76E9">
            <w:pPr>
              <w:jc w:val="center"/>
              <w:rPr>
                <w:sz w:val="22"/>
                <w:szCs w:val="22"/>
              </w:rPr>
            </w:pPr>
            <w:r>
              <w:rPr>
                <w:sz w:val="22"/>
                <w:szCs w:val="22"/>
              </w:rPr>
              <w:t>777.600.000</w:t>
            </w:r>
          </w:p>
        </w:tc>
        <w:tc>
          <w:tcPr>
            <w:tcW w:w="1798" w:type="dxa"/>
            <w:noWrap/>
            <w:vAlign w:val="center"/>
          </w:tcPr>
          <w:p w14:paraId="344DACD3">
            <w:pPr>
              <w:jc w:val="center"/>
              <w:rPr>
                <w:sz w:val="22"/>
                <w:szCs w:val="22"/>
              </w:rPr>
            </w:pPr>
            <w:r>
              <w:rPr>
                <w:sz w:val="22"/>
                <w:szCs w:val="22"/>
              </w:rPr>
              <w:t>923.000.000</w:t>
            </w:r>
          </w:p>
        </w:tc>
        <w:tc>
          <w:tcPr>
            <w:tcW w:w="1382" w:type="dxa"/>
            <w:noWrap/>
            <w:vAlign w:val="center"/>
          </w:tcPr>
          <w:p w14:paraId="22EBEEF3">
            <w:pPr>
              <w:jc w:val="center"/>
              <w:rPr>
                <w:sz w:val="22"/>
                <w:szCs w:val="22"/>
              </w:rPr>
            </w:pPr>
            <w:r>
              <w:rPr>
                <w:sz w:val="22"/>
                <w:szCs w:val="22"/>
              </w:rPr>
              <w:t>1,19%</w:t>
            </w:r>
          </w:p>
        </w:tc>
      </w:tr>
      <w:tr w14:paraId="0857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43FEDE4">
            <w:pPr>
              <w:jc w:val="center"/>
              <w:rPr>
                <w:sz w:val="22"/>
                <w:szCs w:val="22"/>
              </w:rPr>
            </w:pPr>
          </w:p>
        </w:tc>
        <w:tc>
          <w:tcPr>
            <w:tcW w:w="1491" w:type="dxa"/>
            <w:noWrap/>
            <w:vAlign w:val="center"/>
          </w:tcPr>
          <w:p w14:paraId="5396430E">
            <w:pPr>
              <w:jc w:val="center"/>
              <w:rPr>
                <w:sz w:val="22"/>
                <w:szCs w:val="22"/>
              </w:rPr>
            </w:pPr>
          </w:p>
        </w:tc>
        <w:tc>
          <w:tcPr>
            <w:tcW w:w="742" w:type="dxa"/>
            <w:vMerge w:val="continue"/>
            <w:vAlign w:val="center"/>
          </w:tcPr>
          <w:p w14:paraId="46975A69">
            <w:pPr>
              <w:jc w:val="center"/>
              <w:rPr>
                <w:sz w:val="22"/>
                <w:szCs w:val="22"/>
              </w:rPr>
            </w:pPr>
          </w:p>
        </w:tc>
        <w:tc>
          <w:tcPr>
            <w:tcW w:w="676" w:type="dxa"/>
            <w:noWrap/>
            <w:vAlign w:val="center"/>
          </w:tcPr>
          <w:p w14:paraId="37743E52">
            <w:pPr>
              <w:jc w:val="center"/>
              <w:rPr>
                <w:sz w:val="22"/>
                <w:szCs w:val="22"/>
              </w:rPr>
            </w:pPr>
            <w:r>
              <w:rPr>
                <w:sz w:val="22"/>
                <w:szCs w:val="22"/>
              </w:rPr>
              <w:t>15</w:t>
            </w:r>
          </w:p>
        </w:tc>
        <w:tc>
          <w:tcPr>
            <w:tcW w:w="1098" w:type="dxa"/>
            <w:noWrap/>
            <w:vAlign w:val="center"/>
          </w:tcPr>
          <w:p w14:paraId="018790E8">
            <w:pPr>
              <w:jc w:val="center"/>
              <w:rPr>
                <w:sz w:val="22"/>
                <w:szCs w:val="22"/>
              </w:rPr>
            </w:pPr>
            <w:r>
              <w:rPr>
                <w:sz w:val="22"/>
                <w:szCs w:val="22"/>
              </w:rPr>
              <w:t>108,0</w:t>
            </w:r>
          </w:p>
        </w:tc>
        <w:tc>
          <w:tcPr>
            <w:tcW w:w="1817" w:type="dxa"/>
            <w:noWrap/>
            <w:vAlign w:val="center"/>
          </w:tcPr>
          <w:p w14:paraId="48CEC1D6">
            <w:pPr>
              <w:jc w:val="center"/>
              <w:rPr>
                <w:sz w:val="22"/>
                <w:szCs w:val="22"/>
              </w:rPr>
            </w:pPr>
            <w:r>
              <w:rPr>
                <w:sz w:val="22"/>
                <w:szCs w:val="22"/>
              </w:rPr>
              <w:t>777.600.000</w:t>
            </w:r>
          </w:p>
        </w:tc>
        <w:tc>
          <w:tcPr>
            <w:tcW w:w="1798" w:type="dxa"/>
            <w:noWrap/>
            <w:vAlign w:val="center"/>
          </w:tcPr>
          <w:p w14:paraId="3EEF195E">
            <w:pPr>
              <w:jc w:val="center"/>
              <w:rPr>
                <w:sz w:val="22"/>
                <w:szCs w:val="22"/>
              </w:rPr>
            </w:pPr>
            <w:r>
              <w:rPr>
                <w:sz w:val="22"/>
                <w:szCs w:val="22"/>
              </w:rPr>
              <w:t>928.000.000</w:t>
            </w:r>
          </w:p>
        </w:tc>
        <w:tc>
          <w:tcPr>
            <w:tcW w:w="1382" w:type="dxa"/>
            <w:noWrap/>
            <w:vAlign w:val="center"/>
          </w:tcPr>
          <w:p w14:paraId="75ACFC4B">
            <w:pPr>
              <w:jc w:val="center"/>
              <w:rPr>
                <w:sz w:val="22"/>
                <w:szCs w:val="22"/>
              </w:rPr>
            </w:pPr>
            <w:r>
              <w:rPr>
                <w:sz w:val="22"/>
                <w:szCs w:val="22"/>
              </w:rPr>
              <w:t>1,19%</w:t>
            </w:r>
          </w:p>
        </w:tc>
      </w:tr>
      <w:tr w14:paraId="13A5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937455A">
            <w:pPr>
              <w:jc w:val="center"/>
              <w:rPr>
                <w:sz w:val="22"/>
                <w:szCs w:val="22"/>
              </w:rPr>
            </w:pPr>
          </w:p>
        </w:tc>
        <w:tc>
          <w:tcPr>
            <w:tcW w:w="1491" w:type="dxa"/>
            <w:noWrap/>
            <w:vAlign w:val="center"/>
          </w:tcPr>
          <w:p w14:paraId="486C64C3">
            <w:pPr>
              <w:jc w:val="center"/>
              <w:rPr>
                <w:sz w:val="22"/>
                <w:szCs w:val="22"/>
              </w:rPr>
            </w:pPr>
          </w:p>
        </w:tc>
        <w:tc>
          <w:tcPr>
            <w:tcW w:w="742" w:type="dxa"/>
            <w:vMerge w:val="continue"/>
            <w:vAlign w:val="center"/>
          </w:tcPr>
          <w:p w14:paraId="0162693B">
            <w:pPr>
              <w:jc w:val="center"/>
              <w:rPr>
                <w:sz w:val="22"/>
                <w:szCs w:val="22"/>
              </w:rPr>
            </w:pPr>
          </w:p>
        </w:tc>
        <w:tc>
          <w:tcPr>
            <w:tcW w:w="676" w:type="dxa"/>
            <w:noWrap/>
            <w:vAlign w:val="center"/>
          </w:tcPr>
          <w:p w14:paraId="376BAE7D">
            <w:pPr>
              <w:jc w:val="center"/>
              <w:rPr>
                <w:sz w:val="22"/>
                <w:szCs w:val="22"/>
              </w:rPr>
            </w:pPr>
            <w:r>
              <w:rPr>
                <w:sz w:val="22"/>
                <w:szCs w:val="22"/>
              </w:rPr>
              <w:t>16</w:t>
            </w:r>
          </w:p>
        </w:tc>
        <w:tc>
          <w:tcPr>
            <w:tcW w:w="1098" w:type="dxa"/>
            <w:noWrap/>
            <w:vAlign w:val="center"/>
          </w:tcPr>
          <w:p w14:paraId="3911B1C7">
            <w:pPr>
              <w:jc w:val="center"/>
              <w:rPr>
                <w:sz w:val="22"/>
                <w:szCs w:val="22"/>
              </w:rPr>
            </w:pPr>
            <w:r>
              <w:rPr>
                <w:sz w:val="22"/>
                <w:szCs w:val="22"/>
              </w:rPr>
              <w:t>108,0</w:t>
            </w:r>
          </w:p>
        </w:tc>
        <w:tc>
          <w:tcPr>
            <w:tcW w:w="1817" w:type="dxa"/>
            <w:noWrap/>
            <w:vAlign w:val="center"/>
          </w:tcPr>
          <w:p w14:paraId="76DDDF5B">
            <w:pPr>
              <w:jc w:val="center"/>
              <w:rPr>
                <w:sz w:val="22"/>
                <w:szCs w:val="22"/>
              </w:rPr>
            </w:pPr>
            <w:r>
              <w:rPr>
                <w:sz w:val="22"/>
                <w:szCs w:val="22"/>
              </w:rPr>
              <w:t>777.600.000</w:t>
            </w:r>
          </w:p>
        </w:tc>
        <w:tc>
          <w:tcPr>
            <w:tcW w:w="1798" w:type="dxa"/>
            <w:noWrap/>
            <w:vAlign w:val="center"/>
          </w:tcPr>
          <w:p w14:paraId="38CE8B83">
            <w:pPr>
              <w:jc w:val="center"/>
              <w:rPr>
                <w:sz w:val="22"/>
                <w:szCs w:val="22"/>
              </w:rPr>
            </w:pPr>
            <w:r>
              <w:rPr>
                <w:sz w:val="22"/>
                <w:szCs w:val="22"/>
              </w:rPr>
              <w:t>1.080.000.000</w:t>
            </w:r>
          </w:p>
        </w:tc>
        <w:tc>
          <w:tcPr>
            <w:tcW w:w="1382" w:type="dxa"/>
            <w:noWrap/>
            <w:vAlign w:val="center"/>
          </w:tcPr>
          <w:p w14:paraId="66CAF854">
            <w:pPr>
              <w:jc w:val="center"/>
              <w:rPr>
                <w:sz w:val="22"/>
                <w:szCs w:val="22"/>
              </w:rPr>
            </w:pPr>
            <w:r>
              <w:rPr>
                <w:sz w:val="22"/>
                <w:szCs w:val="22"/>
              </w:rPr>
              <w:t>1,39%</w:t>
            </w:r>
          </w:p>
        </w:tc>
      </w:tr>
      <w:tr w14:paraId="3B4C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474CE4D">
            <w:pPr>
              <w:jc w:val="center"/>
              <w:rPr>
                <w:sz w:val="22"/>
                <w:szCs w:val="22"/>
              </w:rPr>
            </w:pPr>
          </w:p>
        </w:tc>
        <w:tc>
          <w:tcPr>
            <w:tcW w:w="1491" w:type="dxa"/>
            <w:noWrap/>
            <w:vAlign w:val="center"/>
          </w:tcPr>
          <w:p w14:paraId="201B4A13">
            <w:pPr>
              <w:jc w:val="center"/>
              <w:rPr>
                <w:sz w:val="22"/>
                <w:szCs w:val="22"/>
              </w:rPr>
            </w:pPr>
          </w:p>
        </w:tc>
        <w:tc>
          <w:tcPr>
            <w:tcW w:w="742" w:type="dxa"/>
            <w:vMerge w:val="continue"/>
            <w:vAlign w:val="center"/>
          </w:tcPr>
          <w:p w14:paraId="51F5762B">
            <w:pPr>
              <w:jc w:val="center"/>
              <w:rPr>
                <w:sz w:val="22"/>
                <w:szCs w:val="22"/>
              </w:rPr>
            </w:pPr>
          </w:p>
        </w:tc>
        <w:tc>
          <w:tcPr>
            <w:tcW w:w="676" w:type="dxa"/>
            <w:noWrap/>
            <w:vAlign w:val="center"/>
          </w:tcPr>
          <w:p w14:paraId="50C34376">
            <w:pPr>
              <w:jc w:val="center"/>
              <w:rPr>
                <w:sz w:val="22"/>
                <w:szCs w:val="22"/>
              </w:rPr>
            </w:pPr>
            <w:r>
              <w:rPr>
                <w:sz w:val="22"/>
                <w:szCs w:val="22"/>
              </w:rPr>
              <w:t>17</w:t>
            </w:r>
          </w:p>
        </w:tc>
        <w:tc>
          <w:tcPr>
            <w:tcW w:w="1098" w:type="dxa"/>
            <w:noWrap/>
            <w:vAlign w:val="center"/>
          </w:tcPr>
          <w:p w14:paraId="6DFFD8A9">
            <w:pPr>
              <w:jc w:val="center"/>
              <w:rPr>
                <w:sz w:val="22"/>
                <w:szCs w:val="22"/>
              </w:rPr>
            </w:pPr>
            <w:r>
              <w:rPr>
                <w:sz w:val="22"/>
                <w:szCs w:val="22"/>
              </w:rPr>
              <w:t>108,0</w:t>
            </w:r>
          </w:p>
        </w:tc>
        <w:tc>
          <w:tcPr>
            <w:tcW w:w="1817" w:type="dxa"/>
            <w:noWrap/>
            <w:vAlign w:val="center"/>
          </w:tcPr>
          <w:p w14:paraId="0B27C096">
            <w:pPr>
              <w:jc w:val="center"/>
              <w:rPr>
                <w:sz w:val="22"/>
                <w:szCs w:val="22"/>
              </w:rPr>
            </w:pPr>
            <w:r>
              <w:rPr>
                <w:sz w:val="22"/>
                <w:szCs w:val="22"/>
              </w:rPr>
              <w:t>777.600.000</w:t>
            </w:r>
          </w:p>
        </w:tc>
        <w:tc>
          <w:tcPr>
            <w:tcW w:w="1798" w:type="dxa"/>
            <w:noWrap/>
            <w:vAlign w:val="center"/>
          </w:tcPr>
          <w:p w14:paraId="0F13F145">
            <w:pPr>
              <w:jc w:val="center"/>
              <w:rPr>
                <w:sz w:val="22"/>
                <w:szCs w:val="22"/>
              </w:rPr>
            </w:pPr>
            <w:r>
              <w:rPr>
                <w:sz w:val="22"/>
                <w:szCs w:val="22"/>
              </w:rPr>
              <w:t>1.088.000.000</w:t>
            </w:r>
          </w:p>
        </w:tc>
        <w:tc>
          <w:tcPr>
            <w:tcW w:w="1382" w:type="dxa"/>
            <w:noWrap/>
            <w:vAlign w:val="center"/>
          </w:tcPr>
          <w:p w14:paraId="0B1B8F14">
            <w:pPr>
              <w:jc w:val="center"/>
              <w:rPr>
                <w:sz w:val="22"/>
                <w:szCs w:val="22"/>
              </w:rPr>
            </w:pPr>
            <w:r>
              <w:rPr>
                <w:sz w:val="22"/>
                <w:szCs w:val="22"/>
              </w:rPr>
              <w:t>1,40%</w:t>
            </w:r>
          </w:p>
        </w:tc>
      </w:tr>
      <w:tr w14:paraId="25AB1A3B">
        <w:tblPrEx>
          <w:tblCellMar>
            <w:top w:w="0" w:type="dxa"/>
            <w:left w:w="108" w:type="dxa"/>
            <w:bottom w:w="0" w:type="dxa"/>
            <w:right w:w="108" w:type="dxa"/>
          </w:tblCellMar>
        </w:tblPrEx>
        <w:trPr>
          <w:trHeight w:val="20" w:hRule="atLeast"/>
        </w:trPr>
        <w:tc>
          <w:tcPr>
            <w:tcW w:w="636" w:type="dxa"/>
            <w:noWrap/>
            <w:vAlign w:val="center"/>
          </w:tcPr>
          <w:p w14:paraId="08006A5F">
            <w:pPr>
              <w:jc w:val="center"/>
              <w:rPr>
                <w:sz w:val="22"/>
                <w:szCs w:val="22"/>
              </w:rPr>
            </w:pPr>
          </w:p>
        </w:tc>
        <w:tc>
          <w:tcPr>
            <w:tcW w:w="1491" w:type="dxa"/>
            <w:noWrap/>
            <w:vAlign w:val="center"/>
          </w:tcPr>
          <w:p w14:paraId="12FD6268">
            <w:pPr>
              <w:jc w:val="center"/>
              <w:rPr>
                <w:sz w:val="22"/>
                <w:szCs w:val="22"/>
              </w:rPr>
            </w:pPr>
          </w:p>
        </w:tc>
        <w:tc>
          <w:tcPr>
            <w:tcW w:w="742" w:type="dxa"/>
            <w:vMerge w:val="continue"/>
            <w:vAlign w:val="center"/>
          </w:tcPr>
          <w:p w14:paraId="1DB4E37C">
            <w:pPr>
              <w:jc w:val="center"/>
              <w:rPr>
                <w:sz w:val="22"/>
                <w:szCs w:val="22"/>
              </w:rPr>
            </w:pPr>
          </w:p>
        </w:tc>
        <w:tc>
          <w:tcPr>
            <w:tcW w:w="676" w:type="dxa"/>
            <w:noWrap/>
            <w:vAlign w:val="center"/>
          </w:tcPr>
          <w:p w14:paraId="3F87CC43">
            <w:pPr>
              <w:jc w:val="center"/>
              <w:rPr>
                <w:sz w:val="22"/>
                <w:szCs w:val="22"/>
              </w:rPr>
            </w:pPr>
            <w:r>
              <w:rPr>
                <w:sz w:val="22"/>
                <w:szCs w:val="22"/>
              </w:rPr>
              <w:t>18</w:t>
            </w:r>
          </w:p>
        </w:tc>
        <w:tc>
          <w:tcPr>
            <w:tcW w:w="1098" w:type="dxa"/>
            <w:noWrap/>
            <w:vAlign w:val="center"/>
          </w:tcPr>
          <w:p w14:paraId="57B3F35D">
            <w:pPr>
              <w:jc w:val="center"/>
              <w:rPr>
                <w:sz w:val="22"/>
                <w:szCs w:val="22"/>
              </w:rPr>
            </w:pPr>
            <w:r>
              <w:rPr>
                <w:sz w:val="22"/>
                <w:szCs w:val="22"/>
              </w:rPr>
              <w:t>108,0</w:t>
            </w:r>
          </w:p>
        </w:tc>
        <w:tc>
          <w:tcPr>
            <w:tcW w:w="1817" w:type="dxa"/>
            <w:noWrap/>
            <w:vAlign w:val="center"/>
          </w:tcPr>
          <w:p w14:paraId="2D8C2C80">
            <w:pPr>
              <w:jc w:val="center"/>
              <w:rPr>
                <w:sz w:val="22"/>
                <w:szCs w:val="22"/>
              </w:rPr>
            </w:pPr>
            <w:r>
              <w:rPr>
                <w:sz w:val="22"/>
                <w:szCs w:val="22"/>
              </w:rPr>
              <w:t>777.600.000</w:t>
            </w:r>
          </w:p>
        </w:tc>
        <w:tc>
          <w:tcPr>
            <w:tcW w:w="1798" w:type="dxa"/>
            <w:noWrap/>
            <w:vAlign w:val="center"/>
          </w:tcPr>
          <w:p w14:paraId="7593EBAF">
            <w:pPr>
              <w:jc w:val="center"/>
              <w:rPr>
                <w:sz w:val="22"/>
                <w:szCs w:val="22"/>
              </w:rPr>
            </w:pPr>
            <w:r>
              <w:rPr>
                <w:sz w:val="22"/>
                <w:szCs w:val="22"/>
              </w:rPr>
              <w:t>857.000.000</w:t>
            </w:r>
          </w:p>
        </w:tc>
        <w:tc>
          <w:tcPr>
            <w:tcW w:w="1382" w:type="dxa"/>
            <w:noWrap/>
            <w:vAlign w:val="center"/>
          </w:tcPr>
          <w:p w14:paraId="46C599D3">
            <w:pPr>
              <w:jc w:val="center"/>
              <w:rPr>
                <w:sz w:val="22"/>
                <w:szCs w:val="22"/>
              </w:rPr>
            </w:pPr>
            <w:r>
              <w:rPr>
                <w:sz w:val="22"/>
                <w:szCs w:val="22"/>
              </w:rPr>
              <w:t>1,10%</w:t>
            </w:r>
          </w:p>
        </w:tc>
      </w:tr>
      <w:tr w14:paraId="4AF3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01A1676">
            <w:pPr>
              <w:jc w:val="center"/>
              <w:rPr>
                <w:sz w:val="22"/>
                <w:szCs w:val="22"/>
              </w:rPr>
            </w:pPr>
          </w:p>
        </w:tc>
        <w:tc>
          <w:tcPr>
            <w:tcW w:w="1491" w:type="dxa"/>
            <w:noWrap/>
            <w:vAlign w:val="center"/>
          </w:tcPr>
          <w:p w14:paraId="73DC7C37">
            <w:pPr>
              <w:jc w:val="center"/>
              <w:rPr>
                <w:sz w:val="22"/>
                <w:szCs w:val="22"/>
              </w:rPr>
            </w:pPr>
          </w:p>
        </w:tc>
        <w:tc>
          <w:tcPr>
            <w:tcW w:w="742" w:type="dxa"/>
            <w:vMerge w:val="continue"/>
            <w:vAlign w:val="center"/>
          </w:tcPr>
          <w:p w14:paraId="6C963187">
            <w:pPr>
              <w:jc w:val="center"/>
              <w:rPr>
                <w:sz w:val="22"/>
                <w:szCs w:val="22"/>
              </w:rPr>
            </w:pPr>
          </w:p>
        </w:tc>
        <w:tc>
          <w:tcPr>
            <w:tcW w:w="676" w:type="dxa"/>
            <w:noWrap/>
            <w:vAlign w:val="center"/>
          </w:tcPr>
          <w:p w14:paraId="58F70971">
            <w:pPr>
              <w:jc w:val="center"/>
              <w:rPr>
                <w:sz w:val="22"/>
                <w:szCs w:val="22"/>
              </w:rPr>
            </w:pPr>
            <w:r>
              <w:rPr>
                <w:sz w:val="22"/>
                <w:szCs w:val="22"/>
              </w:rPr>
              <w:t>19</w:t>
            </w:r>
          </w:p>
        </w:tc>
        <w:tc>
          <w:tcPr>
            <w:tcW w:w="1098" w:type="dxa"/>
            <w:noWrap/>
            <w:vAlign w:val="center"/>
          </w:tcPr>
          <w:p w14:paraId="18322891">
            <w:pPr>
              <w:jc w:val="center"/>
              <w:rPr>
                <w:sz w:val="22"/>
                <w:szCs w:val="22"/>
              </w:rPr>
            </w:pPr>
            <w:r>
              <w:rPr>
                <w:sz w:val="22"/>
                <w:szCs w:val="22"/>
              </w:rPr>
              <w:t>108,0</w:t>
            </w:r>
          </w:p>
        </w:tc>
        <w:tc>
          <w:tcPr>
            <w:tcW w:w="1817" w:type="dxa"/>
            <w:noWrap/>
            <w:vAlign w:val="center"/>
          </w:tcPr>
          <w:p w14:paraId="574B0775">
            <w:pPr>
              <w:jc w:val="center"/>
              <w:rPr>
                <w:sz w:val="22"/>
                <w:szCs w:val="22"/>
              </w:rPr>
            </w:pPr>
            <w:r>
              <w:rPr>
                <w:sz w:val="22"/>
                <w:szCs w:val="22"/>
              </w:rPr>
              <w:t>777.600.000</w:t>
            </w:r>
          </w:p>
        </w:tc>
        <w:tc>
          <w:tcPr>
            <w:tcW w:w="1798" w:type="dxa"/>
            <w:noWrap/>
            <w:vAlign w:val="center"/>
          </w:tcPr>
          <w:p w14:paraId="746A09F6">
            <w:pPr>
              <w:jc w:val="center"/>
              <w:rPr>
                <w:sz w:val="22"/>
                <w:szCs w:val="22"/>
              </w:rPr>
            </w:pPr>
            <w:r>
              <w:rPr>
                <w:sz w:val="22"/>
                <w:szCs w:val="22"/>
              </w:rPr>
              <w:t>881.198.000</w:t>
            </w:r>
          </w:p>
        </w:tc>
        <w:tc>
          <w:tcPr>
            <w:tcW w:w="1382" w:type="dxa"/>
            <w:noWrap/>
            <w:vAlign w:val="center"/>
          </w:tcPr>
          <w:p w14:paraId="230D293D">
            <w:pPr>
              <w:jc w:val="center"/>
              <w:rPr>
                <w:sz w:val="22"/>
                <w:szCs w:val="22"/>
              </w:rPr>
            </w:pPr>
            <w:r>
              <w:rPr>
                <w:sz w:val="22"/>
                <w:szCs w:val="22"/>
              </w:rPr>
              <w:t>1,13%</w:t>
            </w:r>
          </w:p>
        </w:tc>
      </w:tr>
      <w:tr w14:paraId="3A61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9134BC8">
            <w:pPr>
              <w:jc w:val="center"/>
              <w:rPr>
                <w:sz w:val="22"/>
                <w:szCs w:val="22"/>
              </w:rPr>
            </w:pPr>
          </w:p>
        </w:tc>
        <w:tc>
          <w:tcPr>
            <w:tcW w:w="1491" w:type="dxa"/>
            <w:noWrap/>
            <w:vAlign w:val="center"/>
          </w:tcPr>
          <w:p w14:paraId="444EDA7F">
            <w:pPr>
              <w:jc w:val="center"/>
              <w:rPr>
                <w:sz w:val="22"/>
                <w:szCs w:val="22"/>
              </w:rPr>
            </w:pPr>
          </w:p>
        </w:tc>
        <w:tc>
          <w:tcPr>
            <w:tcW w:w="742" w:type="dxa"/>
            <w:vMerge w:val="continue"/>
            <w:vAlign w:val="center"/>
          </w:tcPr>
          <w:p w14:paraId="202125BC">
            <w:pPr>
              <w:jc w:val="center"/>
              <w:rPr>
                <w:sz w:val="22"/>
                <w:szCs w:val="22"/>
              </w:rPr>
            </w:pPr>
          </w:p>
        </w:tc>
        <w:tc>
          <w:tcPr>
            <w:tcW w:w="676" w:type="dxa"/>
            <w:noWrap/>
            <w:vAlign w:val="center"/>
          </w:tcPr>
          <w:p w14:paraId="32B170D8">
            <w:pPr>
              <w:jc w:val="center"/>
              <w:rPr>
                <w:sz w:val="22"/>
                <w:szCs w:val="22"/>
              </w:rPr>
            </w:pPr>
            <w:r>
              <w:rPr>
                <w:sz w:val="22"/>
                <w:szCs w:val="22"/>
              </w:rPr>
              <w:t>20</w:t>
            </w:r>
          </w:p>
        </w:tc>
        <w:tc>
          <w:tcPr>
            <w:tcW w:w="1098" w:type="dxa"/>
            <w:noWrap/>
            <w:vAlign w:val="center"/>
          </w:tcPr>
          <w:p w14:paraId="5C42D640">
            <w:pPr>
              <w:jc w:val="center"/>
              <w:rPr>
                <w:sz w:val="22"/>
                <w:szCs w:val="22"/>
              </w:rPr>
            </w:pPr>
            <w:r>
              <w:rPr>
                <w:sz w:val="22"/>
                <w:szCs w:val="22"/>
              </w:rPr>
              <w:t>108,0</w:t>
            </w:r>
          </w:p>
        </w:tc>
        <w:tc>
          <w:tcPr>
            <w:tcW w:w="1817" w:type="dxa"/>
            <w:noWrap/>
            <w:vAlign w:val="center"/>
          </w:tcPr>
          <w:p w14:paraId="0B222F8B">
            <w:pPr>
              <w:jc w:val="center"/>
              <w:rPr>
                <w:sz w:val="22"/>
                <w:szCs w:val="22"/>
              </w:rPr>
            </w:pPr>
            <w:r>
              <w:rPr>
                <w:sz w:val="22"/>
                <w:szCs w:val="22"/>
              </w:rPr>
              <w:t>777.600.000</w:t>
            </w:r>
          </w:p>
        </w:tc>
        <w:tc>
          <w:tcPr>
            <w:tcW w:w="1798" w:type="dxa"/>
            <w:noWrap/>
            <w:vAlign w:val="center"/>
          </w:tcPr>
          <w:p w14:paraId="39869641">
            <w:pPr>
              <w:jc w:val="center"/>
              <w:rPr>
                <w:sz w:val="22"/>
                <w:szCs w:val="22"/>
              </w:rPr>
            </w:pPr>
            <w:r>
              <w:rPr>
                <w:sz w:val="22"/>
                <w:szCs w:val="22"/>
              </w:rPr>
              <w:t>932.000.000</w:t>
            </w:r>
          </w:p>
        </w:tc>
        <w:tc>
          <w:tcPr>
            <w:tcW w:w="1382" w:type="dxa"/>
            <w:noWrap/>
            <w:vAlign w:val="center"/>
          </w:tcPr>
          <w:p w14:paraId="7B3EFC46">
            <w:pPr>
              <w:jc w:val="center"/>
              <w:rPr>
                <w:sz w:val="22"/>
                <w:szCs w:val="22"/>
              </w:rPr>
            </w:pPr>
            <w:r>
              <w:rPr>
                <w:sz w:val="22"/>
                <w:szCs w:val="22"/>
              </w:rPr>
              <w:t>1,20%</w:t>
            </w:r>
          </w:p>
        </w:tc>
      </w:tr>
      <w:tr w14:paraId="3115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6540DD7">
            <w:pPr>
              <w:jc w:val="center"/>
              <w:rPr>
                <w:sz w:val="22"/>
                <w:szCs w:val="22"/>
              </w:rPr>
            </w:pPr>
          </w:p>
        </w:tc>
        <w:tc>
          <w:tcPr>
            <w:tcW w:w="1491" w:type="dxa"/>
            <w:noWrap/>
            <w:vAlign w:val="center"/>
          </w:tcPr>
          <w:p w14:paraId="51A3C27A">
            <w:pPr>
              <w:jc w:val="center"/>
              <w:rPr>
                <w:sz w:val="22"/>
                <w:szCs w:val="22"/>
              </w:rPr>
            </w:pPr>
          </w:p>
        </w:tc>
        <w:tc>
          <w:tcPr>
            <w:tcW w:w="742" w:type="dxa"/>
            <w:vMerge w:val="continue"/>
            <w:vAlign w:val="center"/>
          </w:tcPr>
          <w:p w14:paraId="1268A634">
            <w:pPr>
              <w:jc w:val="center"/>
              <w:rPr>
                <w:sz w:val="22"/>
                <w:szCs w:val="22"/>
              </w:rPr>
            </w:pPr>
          </w:p>
        </w:tc>
        <w:tc>
          <w:tcPr>
            <w:tcW w:w="676" w:type="dxa"/>
            <w:noWrap/>
            <w:vAlign w:val="center"/>
          </w:tcPr>
          <w:p w14:paraId="53BCD13C">
            <w:pPr>
              <w:jc w:val="center"/>
              <w:rPr>
                <w:sz w:val="22"/>
                <w:szCs w:val="22"/>
              </w:rPr>
            </w:pPr>
            <w:r>
              <w:rPr>
                <w:sz w:val="22"/>
                <w:szCs w:val="22"/>
              </w:rPr>
              <w:t>21</w:t>
            </w:r>
          </w:p>
        </w:tc>
        <w:tc>
          <w:tcPr>
            <w:tcW w:w="1098" w:type="dxa"/>
            <w:noWrap/>
            <w:vAlign w:val="center"/>
          </w:tcPr>
          <w:p w14:paraId="0DB3DB6B">
            <w:pPr>
              <w:jc w:val="center"/>
              <w:rPr>
                <w:sz w:val="22"/>
                <w:szCs w:val="22"/>
              </w:rPr>
            </w:pPr>
            <w:r>
              <w:rPr>
                <w:sz w:val="22"/>
                <w:szCs w:val="22"/>
              </w:rPr>
              <w:t>108,0</w:t>
            </w:r>
          </w:p>
        </w:tc>
        <w:tc>
          <w:tcPr>
            <w:tcW w:w="1817" w:type="dxa"/>
            <w:noWrap/>
            <w:vAlign w:val="center"/>
          </w:tcPr>
          <w:p w14:paraId="47F54B92">
            <w:pPr>
              <w:jc w:val="center"/>
              <w:rPr>
                <w:sz w:val="22"/>
                <w:szCs w:val="22"/>
              </w:rPr>
            </w:pPr>
            <w:r>
              <w:rPr>
                <w:sz w:val="22"/>
                <w:szCs w:val="22"/>
              </w:rPr>
              <w:t>777.600.000</w:t>
            </w:r>
          </w:p>
        </w:tc>
        <w:tc>
          <w:tcPr>
            <w:tcW w:w="1798" w:type="dxa"/>
            <w:noWrap/>
            <w:vAlign w:val="center"/>
          </w:tcPr>
          <w:p w14:paraId="2861069E">
            <w:pPr>
              <w:jc w:val="center"/>
              <w:rPr>
                <w:sz w:val="22"/>
                <w:szCs w:val="22"/>
              </w:rPr>
            </w:pPr>
            <w:r>
              <w:rPr>
                <w:sz w:val="22"/>
                <w:szCs w:val="22"/>
              </w:rPr>
              <w:t>1.073.000.000</w:t>
            </w:r>
          </w:p>
        </w:tc>
        <w:tc>
          <w:tcPr>
            <w:tcW w:w="1382" w:type="dxa"/>
            <w:noWrap/>
            <w:vAlign w:val="center"/>
          </w:tcPr>
          <w:p w14:paraId="2D47A86D">
            <w:pPr>
              <w:jc w:val="center"/>
              <w:rPr>
                <w:sz w:val="22"/>
                <w:szCs w:val="22"/>
              </w:rPr>
            </w:pPr>
            <w:r>
              <w:rPr>
                <w:sz w:val="22"/>
                <w:szCs w:val="22"/>
              </w:rPr>
              <w:t>1,38%</w:t>
            </w:r>
          </w:p>
        </w:tc>
      </w:tr>
      <w:tr w14:paraId="7C88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46A2778">
            <w:pPr>
              <w:jc w:val="center"/>
              <w:rPr>
                <w:sz w:val="22"/>
                <w:szCs w:val="22"/>
              </w:rPr>
            </w:pPr>
          </w:p>
        </w:tc>
        <w:tc>
          <w:tcPr>
            <w:tcW w:w="1491" w:type="dxa"/>
            <w:noWrap/>
            <w:vAlign w:val="center"/>
          </w:tcPr>
          <w:p w14:paraId="4778DB1E">
            <w:pPr>
              <w:jc w:val="center"/>
              <w:rPr>
                <w:sz w:val="22"/>
                <w:szCs w:val="22"/>
              </w:rPr>
            </w:pPr>
          </w:p>
        </w:tc>
        <w:tc>
          <w:tcPr>
            <w:tcW w:w="742" w:type="dxa"/>
            <w:vMerge w:val="continue"/>
            <w:vAlign w:val="center"/>
          </w:tcPr>
          <w:p w14:paraId="027AF468">
            <w:pPr>
              <w:jc w:val="center"/>
              <w:rPr>
                <w:sz w:val="22"/>
                <w:szCs w:val="22"/>
              </w:rPr>
            </w:pPr>
          </w:p>
        </w:tc>
        <w:tc>
          <w:tcPr>
            <w:tcW w:w="676" w:type="dxa"/>
            <w:noWrap/>
            <w:vAlign w:val="center"/>
          </w:tcPr>
          <w:p w14:paraId="41FED97A">
            <w:pPr>
              <w:jc w:val="center"/>
              <w:rPr>
                <w:sz w:val="22"/>
                <w:szCs w:val="22"/>
              </w:rPr>
            </w:pPr>
            <w:r>
              <w:rPr>
                <w:sz w:val="22"/>
                <w:szCs w:val="22"/>
              </w:rPr>
              <w:t>22</w:t>
            </w:r>
          </w:p>
        </w:tc>
        <w:tc>
          <w:tcPr>
            <w:tcW w:w="1098" w:type="dxa"/>
            <w:noWrap/>
            <w:vAlign w:val="center"/>
          </w:tcPr>
          <w:p w14:paraId="68E9F0CA">
            <w:pPr>
              <w:jc w:val="center"/>
              <w:rPr>
                <w:sz w:val="22"/>
                <w:szCs w:val="22"/>
              </w:rPr>
            </w:pPr>
            <w:r>
              <w:rPr>
                <w:sz w:val="22"/>
                <w:szCs w:val="22"/>
              </w:rPr>
              <w:t>108,0</w:t>
            </w:r>
          </w:p>
        </w:tc>
        <w:tc>
          <w:tcPr>
            <w:tcW w:w="1817" w:type="dxa"/>
            <w:noWrap/>
            <w:vAlign w:val="center"/>
          </w:tcPr>
          <w:p w14:paraId="71C7738F">
            <w:pPr>
              <w:jc w:val="center"/>
              <w:rPr>
                <w:sz w:val="22"/>
                <w:szCs w:val="22"/>
              </w:rPr>
            </w:pPr>
            <w:r>
              <w:rPr>
                <w:sz w:val="22"/>
                <w:szCs w:val="22"/>
              </w:rPr>
              <w:t>777.600.000</w:t>
            </w:r>
          </w:p>
        </w:tc>
        <w:tc>
          <w:tcPr>
            <w:tcW w:w="1798" w:type="dxa"/>
            <w:noWrap/>
            <w:vAlign w:val="center"/>
          </w:tcPr>
          <w:p w14:paraId="0BA930A9">
            <w:pPr>
              <w:jc w:val="center"/>
              <w:rPr>
                <w:sz w:val="22"/>
                <w:szCs w:val="22"/>
              </w:rPr>
            </w:pPr>
            <w:r>
              <w:rPr>
                <w:sz w:val="22"/>
                <w:szCs w:val="22"/>
              </w:rPr>
              <w:t>931.198.000</w:t>
            </w:r>
          </w:p>
        </w:tc>
        <w:tc>
          <w:tcPr>
            <w:tcW w:w="1382" w:type="dxa"/>
            <w:noWrap/>
            <w:vAlign w:val="center"/>
          </w:tcPr>
          <w:p w14:paraId="74BC72AC">
            <w:pPr>
              <w:jc w:val="center"/>
              <w:rPr>
                <w:sz w:val="22"/>
                <w:szCs w:val="22"/>
              </w:rPr>
            </w:pPr>
            <w:r>
              <w:rPr>
                <w:sz w:val="22"/>
                <w:szCs w:val="22"/>
              </w:rPr>
              <w:t>1,20%</w:t>
            </w:r>
          </w:p>
        </w:tc>
      </w:tr>
      <w:tr w14:paraId="08BB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D8A5B3D">
            <w:pPr>
              <w:jc w:val="center"/>
              <w:rPr>
                <w:sz w:val="22"/>
                <w:szCs w:val="22"/>
              </w:rPr>
            </w:pPr>
          </w:p>
        </w:tc>
        <w:tc>
          <w:tcPr>
            <w:tcW w:w="1491" w:type="dxa"/>
            <w:noWrap/>
            <w:vAlign w:val="center"/>
          </w:tcPr>
          <w:p w14:paraId="0FDAFA6C">
            <w:pPr>
              <w:jc w:val="center"/>
              <w:rPr>
                <w:sz w:val="22"/>
                <w:szCs w:val="22"/>
              </w:rPr>
            </w:pPr>
          </w:p>
        </w:tc>
        <w:tc>
          <w:tcPr>
            <w:tcW w:w="742" w:type="dxa"/>
            <w:vMerge w:val="continue"/>
            <w:vAlign w:val="center"/>
          </w:tcPr>
          <w:p w14:paraId="5EC5AABE">
            <w:pPr>
              <w:jc w:val="center"/>
              <w:rPr>
                <w:sz w:val="22"/>
                <w:szCs w:val="22"/>
              </w:rPr>
            </w:pPr>
          </w:p>
        </w:tc>
        <w:tc>
          <w:tcPr>
            <w:tcW w:w="676" w:type="dxa"/>
            <w:noWrap/>
            <w:vAlign w:val="center"/>
          </w:tcPr>
          <w:p w14:paraId="60342CFD">
            <w:pPr>
              <w:jc w:val="center"/>
              <w:rPr>
                <w:sz w:val="22"/>
                <w:szCs w:val="22"/>
              </w:rPr>
            </w:pPr>
            <w:r>
              <w:rPr>
                <w:sz w:val="22"/>
                <w:szCs w:val="22"/>
              </w:rPr>
              <w:t>23</w:t>
            </w:r>
          </w:p>
        </w:tc>
        <w:tc>
          <w:tcPr>
            <w:tcW w:w="1098" w:type="dxa"/>
            <w:noWrap/>
            <w:vAlign w:val="center"/>
          </w:tcPr>
          <w:p w14:paraId="4CAECA50">
            <w:pPr>
              <w:jc w:val="center"/>
              <w:rPr>
                <w:sz w:val="22"/>
                <w:szCs w:val="22"/>
              </w:rPr>
            </w:pPr>
            <w:r>
              <w:rPr>
                <w:sz w:val="22"/>
                <w:szCs w:val="22"/>
              </w:rPr>
              <w:t>108,0</w:t>
            </w:r>
          </w:p>
        </w:tc>
        <w:tc>
          <w:tcPr>
            <w:tcW w:w="1817" w:type="dxa"/>
            <w:noWrap/>
            <w:vAlign w:val="center"/>
          </w:tcPr>
          <w:p w14:paraId="6894482F">
            <w:pPr>
              <w:jc w:val="center"/>
              <w:rPr>
                <w:sz w:val="22"/>
                <w:szCs w:val="22"/>
              </w:rPr>
            </w:pPr>
            <w:r>
              <w:rPr>
                <w:sz w:val="22"/>
                <w:szCs w:val="22"/>
              </w:rPr>
              <w:t>777.600.000</w:t>
            </w:r>
          </w:p>
        </w:tc>
        <w:tc>
          <w:tcPr>
            <w:tcW w:w="1798" w:type="dxa"/>
            <w:noWrap/>
            <w:vAlign w:val="center"/>
          </w:tcPr>
          <w:p w14:paraId="1BA22D36">
            <w:pPr>
              <w:jc w:val="center"/>
              <w:rPr>
                <w:sz w:val="22"/>
                <w:szCs w:val="22"/>
              </w:rPr>
            </w:pPr>
            <w:r>
              <w:rPr>
                <w:sz w:val="22"/>
                <w:szCs w:val="22"/>
              </w:rPr>
              <w:t>1.139.980.000</w:t>
            </w:r>
          </w:p>
        </w:tc>
        <w:tc>
          <w:tcPr>
            <w:tcW w:w="1382" w:type="dxa"/>
            <w:noWrap/>
            <w:vAlign w:val="center"/>
          </w:tcPr>
          <w:p w14:paraId="37AD26F1">
            <w:pPr>
              <w:jc w:val="center"/>
              <w:rPr>
                <w:sz w:val="22"/>
                <w:szCs w:val="22"/>
              </w:rPr>
            </w:pPr>
            <w:r>
              <w:rPr>
                <w:sz w:val="22"/>
                <w:szCs w:val="22"/>
              </w:rPr>
              <w:t>1,47%</w:t>
            </w:r>
          </w:p>
        </w:tc>
      </w:tr>
      <w:tr w14:paraId="655B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4C75391">
            <w:pPr>
              <w:jc w:val="center"/>
              <w:rPr>
                <w:sz w:val="22"/>
                <w:szCs w:val="22"/>
              </w:rPr>
            </w:pPr>
          </w:p>
        </w:tc>
        <w:tc>
          <w:tcPr>
            <w:tcW w:w="1491" w:type="dxa"/>
            <w:noWrap/>
            <w:vAlign w:val="center"/>
          </w:tcPr>
          <w:p w14:paraId="0DDD97C7">
            <w:pPr>
              <w:jc w:val="center"/>
              <w:rPr>
                <w:sz w:val="22"/>
                <w:szCs w:val="22"/>
              </w:rPr>
            </w:pPr>
          </w:p>
        </w:tc>
        <w:tc>
          <w:tcPr>
            <w:tcW w:w="742" w:type="dxa"/>
            <w:vMerge w:val="continue"/>
            <w:vAlign w:val="center"/>
          </w:tcPr>
          <w:p w14:paraId="09146651">
            <w:pPr>
              <w:jc w:val="center"/>
              <w:rPr>
                <w:sz w:val="22"/>
                <w:szCs w:val="22"/>
              </w:rPr>
            </w:pPr>
          </w:p>
        </w:tc>
        <w:tc>
          <w:tcPr>
            <w:tcW w:w="676" w:type="dxa"/>
            <w:noWrap/>
            <w:vAlign w:val="center"/>
          </w:tcPr>
          <w:p w14:paraId="6EA5EDAA">
            <w:pPr>
              <w:jc w:val="center"/>
              <w:rPr>
                <w:sz w:val="22"/>
                <w:szCs w:val="22"/>
              </w:rPr>
            </w:pPr>
            <w:r>
              <w:rPr>
                <w:sz w:val="22"/>
                <w:szCs w:val="22"/>
              </w:rPr>
              <w:t>24</w:t>
            </w:r>
          </w:p>
        </w:tc>
        <w:tc>
          <w:tcPr>
            <w:tcW w:w="1098" w:type="dxa"/>
            <w:noWrap/>
            <w:vAlign w:val="center"/>
          </w:tcPr>
          <w:p w14:paraId="6E9B9475">
            <w:pPr>
              <w:jc w:val="center"/>
              <w:rPr>
                <w:sz w:val="22"/>
                <w:szCs w:val="22"/>
              </w:rPr>
            </w:pPr>
            <w:r>
              <w:rPr>
                <w:sz w:val="22"/>
                <w:szCs w:val="22"/>
              </w:rPr>
              <w:t>136,0</w:t>
            </w:r>
          </w:p>
        </w:tc>
        <w:tc>
          <w:tcPr>
            <w:tcW w:w="1817" w:type="dxa"/>
            <w:noWrap/>
            <w:vAlign w:val="center"/>
          </w:tcPr>
          <w:p w14:paraId="619B3687">
            <w:pPr>
              <w:jc w:val="center"/>
              <w:rPr>
                <w:sz w:val="22"/>
                <w:szCs w:val="22"/>
              </w:rPr>
            </w:pPr>
            <w:r>
              <w:rPr>
                <w:sz w:val="22"/>
                <w:szCs w:val="22"/>
              </w:rPr>
              <w:t>1.175.040.000</w:t>
            </w:r>
          </w:p>
        </w:tc>
        <w:tc>
          <w:tcPr>
            <w:tcW w:w="1798" w:type="dxa"/>
            <w:noWrap/>
            <w:vAlign w:val="center"/>
          </w:tcPr>
          <w:p w14:paraId="1A87B3C9">
            <w:pPr>
              <w:jc w:val="center"/>
              <w:rPr>
                <w:sz w:val="22"/>
                <w:szCs w:val="22"/>
              </w:rPr>
            </w:pPr>
            <w:r>
              <w:rPr>
                <w:sz w:val="22"/>
                <w:szCs w:val="22"/>
              </w:rPr>
              <w:t>1.663.000.000</w:t>
            </w:r>
          </w:p>
        </w:tc>
        <w:tc>
          <w:tcPr>
            <w:tcW w:w="1382" w:type="dxa"/>
            <w:noWrap/>
            <w:vAlign w:val="center"/>
          </w:tcPr>
          <w:p w14:paraId="6308D838">
            <w:pPr>
              <w:jc w:val="center"/>
              <w:rPr>
                <w:sz w:val="22"/>
                <w:szCs w:val="22"/>
              </w:rPr>
            </w:pPr>
            <w:r>
              <w:rPr>
                <w:sz w:val="22"/>
                <w:szCs w:val="22"/>
              </w:rPr>
              <w:t>1,42%</w:t>
            </w:r>
          </w:p>
        </w:tc>
      </w:tr>
      <w:tr w14:paraId="3A57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E6E0C73">
            <w:pPr>
              <w:jc w:val="center"/>
              <w:rPr>
                <w:sz w:val="22"/>
                <w:szCs w:val="22"/>
              </w:rPr>
            </w:pPr>
          </w:p>
        </w:tc>
        <w:tc>
          <w:tcPr>
            <w:tcW w:w="1491" w:type="dxa"/>
            <w:noWrap/>
            <w:vAlign w:val="center"/>
          </w:tcPr>
          <w:p w14:paraId="2EE05FA3">
            <w:pPr>
              <w:jc w:val="center"/>
              <w:rPr>
                <w:sz w:val="22"/>
                <w:szCs w:val="22"/>
              </w:rPr>
            </w:pPr>
          </w:p>
        </w:tc>
        <w:tc>
          <w:tcPr>
            <w:tcW w:w="742" w:type="dxa"/>
            <w:vMerge w:val="continue"/>
            <w:vAlign w:val="center"/>
          </w:tcPr>
          <w:p w14:paraId="70C1AB1B">
            <w:pPr>
              <w:jc w:val="center"/>
              <w:rPr>
                <w:sz w:val="22"/>
                <w:szCs w:val="22"/>
              </w:rPr>
            </w:pPr>
          </w:p>
        </w:tc>
        <w:tc>
          <w:tcPr>
            <w:tcW w:w="676" w:type="dxa"/>
            <w:noWrap/>
            <w:vAlign w:val="center"/>
          </w:tcPr>
          <w:p w14:paraId="50CE222B">
            <w:pPr>
              <w:jc w:val="center"/>
              <w:rPr>
                <w:sz w:val="22"/>
                <w:szCs w:val="22"/>
              </w:rPr>
            </w:pPr>
            <w:r>
              <w:rPr>
                <w:sz w:val="22"/>
                <w:szCs w:val="22"/>
              </w:rPr>
              <w:t>32</w:t>
            </w:r>
          </w:p>
        </w:tc>
        <w:tc>
          <w:tcPr>
            <w:tcW w:w="1098" w:type="dxa"/>
            <w:noWrap/>
            <w:vAlign w:val="center"/>
          </w:tcPr>
          <w:p w14:paraId="0F01B31A">
            <w:pPr>
              <w:jc w:val="center"/>
              <w:rPr>
                <w:sz w:val="22"/>
                <w:szCs w:val="22"/>
              </w:rPr>
            </w:pPr>
            <w:r>
              <w:rPr>
                <w:sz w:val="22"/>
                <w:szCs w:val="22"/>
              </w:rPr>
              <w:t>108,0</w:t>
            </w:r>
          </w:p>
        </w:tc>
        <w:tc>
          <w:tcPr>
            <w:tcW w:w="1817" w:type="dxa"/>
            <w:noWrap/>
            <w:vAlign w:val="center"/>
          </w:tcPr>
          <w:p w14:paraId="4F409A00">
            <w:pPr>
              <w:jc w:val="center"/>
              <w:rPr>
                <w:sz w:val="22"/>
                <w:szCs w:val="22"/>
              </w:rPr>
            </w:pPr>
            <w:r>
              <w:rPr>
                <w:sz w:val="22"/>
                <w:szCs w:val="22"/>
              </w:rPr>
              <w:t>777.600.000</w:t>
            </w:r>
          </w:p>
        </w:tc>
        <w:tc>
          <w:tcPr>
            <w:tcW w:w="1798" w:type="dxa"/>
            <w:noWrap/>
            <w:vAlign w:val="center"/>
          </w:tcPr>
          <w:p w14:paraId="7C60DC9F">
            <w:pPr>
              <w:jc w:val="center"/>
              <w:rPr>
                <w:sz w:val="22"/>
                <w:szCs w:val="22"/>
              </w:rPr>
            </w:pPr>
            <w:r>
              <w:rPr>
                <w:sz w:val="22"/>
                <w:szCs w:val="22"/>
              </w:rPr>
              <w:t>1.414.000.000</w:t>
            </w:r>
          </w:p>
        </w:tc>
        <w:tc>
          <w:tcPr>
            <w:tcW w:w="1382" w:type="dxa"/>
            <w:noWrap/>
            <w:vAlign w:val="center"/>
          </w:tcPr>
          <w:p w14:paraId="2AFCABCF">
            <w:pPr>
              <w:jc w:val="center"/>
              <w:rPr>
                <w:sz w:val="22"/>
                <w:szCs w:val="22"/>
              </w:rPr>
            </w:pPr>
            <w:r>
              <w:rPr>
                <w:sz w:val="22"/>
                <w:szCs w:val="22"/>
              </w:rPr>
              <w:t>1,82%</w:t>
            </w:r>
          </w:p>
        </w:tc>
      </w:tr>
      <w:tr w14:paraId="1189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C521BF5">
            <w:pPr>
              <w:jc w:val="center"/>
              <w:rPr>
                <w:sz w:val="22"/>
                <w:szCs w:val="22"/>
              </w:rPr>
            </w:pPr>
          </w:p>
        </w:tc>
        <w:tc>
          <w:tcPr>
            <w:tcW w:w="1491" w:type="dxa"/>
            <w:noWrap/>
            <w:vAlign w:val="center"/>
          </w:tcPr>
          <w:p w14:paraId="550780A9">
            <w:pPr>
              <w:jc w:val="center"/>
              <w:rPr>
                <w:sz w:val="22"/>
                <w:szCs w:val="22"/>
              </w:rPr>
            </w:pPr>
          </w:p>
        </w:tc>
        <w:tc>
          <w:tcPr>
            <w:tcW w:w="742" w:type="dxa"/>
            <w:vMerge w:val="continue"/>
            <w:vAlign w:val="center"/>
          </w:tcPr>
          <w:p w14:paraId="1BDFBA80">
            <w:pPr>
              <w:jc w:val="center"/>
              <w:rPr>
                <w:sz w:val="22"/>
                <w:szCs w:val="22"/>
              </w:rPr>
            </w:pPr>
          </w:p>
        </w:tc>
        <w:tc>
          <w:tcPr>
            <w:tcW w:w="676" w:type="dxa"/>
            <w:noWrap/>
            <w:vAlign w:val="center"/>
          </w:tcPr>
          <w:p w14:paraId="71027193">
            <w:pPr>
              <w:jc w:val="center"/>
              <w:rPr>
                <w:sz w:val="22"/>
                <w:szCs w:val="22"/>
              </w:rPr>
            </w:pPr>
            <w:r>
              <w:rPr>
                <w:sz w:val="22"/>
                <w:szCs w:val="22"/>
              </w:rPr>
              <w:t>33</w:t>
            </w:r>
          </w:p>
        </w:tc>
        <w:tc>
          <w:tcPr>
            <w:tcW w:w="1098" w:type="dxa"/>
            <w:noWrap/>
            <w:vAlign w:val="center"/>
          </w:tcPr>
          <w:p w14:paraId="05CC13A2">
            <w:pPr>
              <w:jc w:val="center"/>
              <w:rPr>
                <w:sz w:val="22"/>
                <w:szCs w:val="22"/>
              </w:rPr>
            </w:pPr>
            <w:r>
              <w:rPr>
                <w:sz w:val="22"/>
                <w:szCs w:val="22"/>
              </w:rPr>
              <w:t>108,0</w:t>
            </w:r>
          </w:p>
        </w:tc>
        <w:tc>
          <w:tcPr>
            <w:tcW w:w="1817" w:type="dxa"/>
            <w:noWrap/>
            <w:vAlign w:val="center"/>
          </w:tcPr>
          <w:p w14:paraId="0119F1D1">
            <w:pPr>
              <w:jc w:val="center"/>
              <w:rPr>
                <w:sz w:val="22"/>
                <w:szCs w:val="22"/>
              </w:rPr>
            </w:pPr>
            <w:r>
              <w:rPr>
                <w:sz w:val="22"/>
                <w:szCs w:val="22"/>
              </w:rPr>
              <w:t>777.600.000</w:t>
            </w:r>
          </w:p>
        </w:tc>
        <w:tc>
          <w:tcPr>
            <w:tcW w:w="1798" w:type="dxa"/>
            <w:noWrap/>
            <w:vAlign w:val="center"/>
          </w:tcPr>
          <w:p w14:paraId="5B5E88BC">
            <w:pPr>
              <w:jc w:val="center"/>
              <w:rPr>
                <w:sz w:val="22"/>
                <w:szCs w:val="22"/>
              </w:rPr>
            </w:pPr>
            <w:r>
              <w:rPr>
                <w:sz w:val="22"/>
                <w:szCs w:val="22"/>
              </w:rPr>
              <w:t>1.319.000.000</w:t>
            </w:r>
          </w:p>
        </w:tc>
        <w:tc>
          <w:tcPr>
            <w:tcW w:w="1382" w:type="dxa"/>
            <w:noWrap/>
            <w:vAlign w:val="center"/>
          </w:tcPr>
          <w:p w14:paraId="54B07BC6">
            <w:pPr>
              <w:jc w:val="center"/>
              <w:rPr>
                <w:sz w:val="22"/>
                <w:szCs w:val="22"/>
              </w:rPr>
            </w:pPr>
            <w:r>
              <w:rPr>
                <w:sz w:val="22"/>
                <w:szCs w:val="22"/>
              </w:rPr>
              <w:t>1,70%</w:t>
            </w:r>
          </w:p>
        </w:tc>
      </w:tr>
      <w:tr w14:paraId="176F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88EF1AB">
            <w:pPr>
              <w:jc w:val="center"/>
              <w:rPr>
                <w:sz w:val="22"/>
                <w:szCs w:val="22"/>
              </w:rPr>
            </w:pPr>
          </w:p>
        </w:tc>
        <w:tc>
          <w:tcPr>
            <w:tcW w:w="1491" w:type="dxa"/>
            <w:noWrap/>
            <w:vAlign w:val="center"/>
          </w:tcPr>
          <w:p w14:paraId="7EDA0875">
            <w:pPr>
              <w:jc w:val="center"/>
              <w:rPr>
                <w:sz w:val="22"/>
                <w:szCs w:val="22"/>
              </w:rPr>
            </w:pPr>
          </w:p>
        </w:tc>
        <w:tc>
          <w:tcPr>
            <w:tcW w:w="742" w:type="dxa"/>
            <w:vMerge w:val="continue"/>
            <w:vAlign w:val="center"/>
          </w:tcPr>
          <w:p w14:paraId="0D835A75">
            <w:pPr>
              <w:jc w:val="center"/>
              <w:rPr>
                <w:sz w:val="22"/>
                <w:szCs w:val="22"/>
              </w:rPr>
            </w:pPr>
          </w:p>
        </w:tc>
        <w:tc>
          <w:tcPr>
            <w:tcW w:w="676" w:type="dxa"/>
            <w:noWrap/>
            <w:vAlign w:val="center"/>
          </w:tcPr>
          <w:p w14:paraId="0331E7FD">
            <w:pPr>
              <w:jc w:val="center"/>
              <w:rPr>
                <w:sz w:val="22"/>
                <w:szCs w:val="22"/>
              </w:rPr>
            </w:pPr>
            <w:r>
              <w:rPr>
                <w:sz w:val="22"/>
                <w:szCs w:val="22"/>
              </w:rPr>
              <w:t>34</w:t>
            </w:r>
          </w:p>
        </w:tc>
        <w:tc>
          <w:tcPr>
            <w:tcW w:w="1098" w:type="dxa"/>
            <w:noWrap/>
            <w:vAlign w:val="center"/>
          </w:tcPr>
          <w:p w14:paraId="2C9D9234">
            <w:pPr>
              <w:jc w:val="center"/>
              <w:rPr>
                <w:sz w:val="22"/>
                <w:szCs w:val="22"/>
              </w:rPr>
            </w:pPr>
            <w:r>
              <w:rPr>
                <w:sz w:val="22"/>
                <w:szCs w:val="22"/>
              </w:rPr>
              <w:t>108,0</w:t>
            </w:r>
          </w:p>
        </w:tc>
        <w:tc>
          <w:tcPr>
            <w:tcW w:w="1817" w:type="dxa"/>
            <w:noWrap/>
            <w:vAlign w:val="center"/>
          </w:tcPr>
          <w:p w14:paraId="33FE9EB3">
            <w:pPr>
              <w:jc w:val="center"/>
              <w:rPr>
                <w:sz w:val="22"/>
                <w:szCs w:val="22"/>
              </w:rPr>
            </w:pPr>
            <w:r>
              <w:rPr>
                <w:sz w:val="22"/>
                <w:szCs w:val="22"/>
              </w:rPr>
              <w:t>777.600.000</w:t>
            </w:r>
          </w:p>
        </w:tc>
        <w:tc>
          <w:tcPr>
            <w:tcW w:w="1798" w:type="dxa"/>
            <w:noWrap/>
            <w:vAlign w:val="center"/>
          </w:tcPr>
          <w:p w14:paraId="4A1B0049">
            <w:pPr>
              <w:jc w:val="center"/>
              <w:rPr>
                <w:sz w:val="22"/>
                <w:szCs w:val="22"/>
              </w:rPr>
            </w:pPr>
            <w:r>
              <w:rPr>
                <w:sz w:val="22"/>
                <w:szCs w:val="22"/>
              </w:rPr>
              <w:t>1.046.000.000</w:t>
            </w:r>
          </w:p>
        </w:tc>
        <w:tc>
          <w:tcPr>
            <w:tcW w:w="1382" w:type="dxa"/>
            <w:noWrap/>
            <w:vAlign w:val="center"/>
          </w:tcPr>
          <w:p w14:paraId="08E6C066">
            <w:pPr>
              <w:jc w:val="center"/>
              <w:rPr>
                <w:sz w:val="22"/>
                <w:szCs w:val="22"/>
              </w:rPr>
            </w:pPr>
            <w:r>
              <w:rPr>
                <w:sz w:val="22"/>
                <w:szCs w:val="22"/>
              </w:rPr>
              <w:t>1,35%</w:t>
            </w:r>
          </w:p>
        </w:tc>
      </w:tr>
      <w:tr w14:paraId="2254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27E57A7">
            <w:pPr>
              <w:jc w:val="center"/>
              <w:rPr>
                <w:sz w:val="22"/>
                <w:szCs w:val="22"/>
              </w:rPr>
            </w:pPr>
          </w:p>
        </w:tc>
        <w:tc>
          <w:tcPr>
            <w:tcW w:w="1491" w:type="dxa"/>
            <w:noWrap/>
            <w:vAlign w:val="center"/>
          </w:tcPr>
          <w:p w14:paraId="33F5646E">
            <w:pPr>
              <w:jc w:val="center"/>
              <w:rPr>
                <w:sz w:val="22"/>
                <w:szCs w:val="22"/>
              </w:rPr>
            </w:pPr>
          </w:p>
        </w:tc>
        <w:tc>
          <w:tcPr>
            <w:tcW w:w="742" w:type="dxa"/>
            <w:vMerge w:val="continue"/>
            <w:vAlign w:val="center"/>
          </w:tcPr>
          <w:p w14:paraId="681AA3BB">
            <w:pPr>
              <w:jc w:val="center"/>
              <w:rPr>
                <w:sz w:val="22"/>
                <w:szCs w:val="22"/>
              </w:rPr>
            </w:pPr>
          </w:p>
        </w:tc>
        <w:tc>
          <w:tcPr>
            <w:tcW w:w="676" w:type="dxa"/>
            <w:noWrap/>
            <w:vAlign w:val="center"/>
          </w:tcPr>
          <w:p w14:paraId="6108199E">
            <w:pPr>
              <w:jc w:val="center"/>
              <w:rPr>
                <w:sz w:val="22"/>
                <w:szCs w:val="22"/>
              </w:rPr>
            </w:pPr>
            <w:r>
              <w:rPr>
                <w:sz w:val="22"/>
                <w:szCs w:val="22"/>
              </w:rPr>
              <w:t>35</w:t>
            </w:r>
          </w:p>
        </w:tc>
        <w:tc>
          <w:tcPr>
            <w:tcW w:w="1098" w:type="dxa"/>
            <w:noWrap/>
            <w:vAlign w:val="center"/>
          </w:tcPr>
          <w:p w14:paraId="0ECBB6B1">
            <w:pPr>
              <w:jc w:val="center"/>
              <w:rPr>
                <w:sz w:val="22"/>
                <w:szCs w:val="22"/>
              </w:rPr>
            </w:pPr>
            <w:r>
              <w:rPr>
                <w:sz w:val="22"/>
                <w:szCs w:val="22"/>
              </w:rPr>
              <w:t>108,0</w:t>
            </w:r>
          </w:p>
        </w:tc>
        <w:tc>
          <w:tcPr>
            <w:tcW w:w="1817" w:type="dxa"/>
            <w:noWrap/>
            <w:vAlign w:val="center"/>
          </w:tcPr>
          <w:p w14:paraId="382C542E">
            <w:pPr>
              <w:jc w:val="center"/>
              <w:rPr>
                <w:sz w:val="22"/>
                <w:szCs w:val="22"/>
              </w:rPr>
            </w:pPr>
            <w:r>
              <w:rPr>
                <w:sz w:val="22"/>
                <w:szCs w:val="22"/>
              </w:rPr>
              <w:t>777.600.000</w:t>
            </w:r>
          </w:p>
        </w:tc>
        <w:tc>
          <w:tcPr>
            <w:tcW w:w="1798" w:type="dxa"/>
            <w:noWrap/>
            <w:vAlign w:val="center"/>
          </w:tcPr>
          <w:p w14:paraId="17A6452D">
            <w:pPr>
              <w:jc w:val="center"/>
              <w:rPr>
                <w:sz w:val="22"/>
                <w:szCs w:val="22"/>
              </w:rPr>
            </w:pPr>
            <w:r>
              <w:rPr>
                <w:sz w:val="22"/>
                <w:szCs w:val="22"/>
              </w:rPr>
              <w:t>1.359.779.000</w:t>
            </w:r>
          </w:p>
        </w:tc>
        <w:tc>
          <w:tcPr>
            <w:tcW w:w="1382" w:type="dxa"/>
            <w:noWrap/>
            <w:vAlign w:val="center"/>
          </w:tcPr>
          <w:p w14:paraId="60B8885E">
            <w:pPr>
              <w:jc w:val="center"/>
              <w:rPr>
                <w:sz w:val="22"/>
                <w:szCs w:val="22"/>
              </w:rPr>
            </w:pPr>
            <w:r>
              <w:rPr>
                <w:sz w:val="22"/>
                <w:szCs w:val="22"/>
              </w:rPr>
              <w:t>1,75%</w:t>
            </w:r>
          </w:p>
        </w:tc>
      </w:tr>
      <w:tr w14:paraId="039E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A10A774">
            <w:pPr>
              <w:jc w:val="center"/>
              <w:rPr>
                <w:sz w:val="22"/>
                <w:szCs w:val="22"/>
              </w:rPr>
            </w:pPr>
          </w:p>
        </w:tc>
        <w:tc>
          <w:tcPr>
            <w:tcW w:w="1491" w:type="dxa"/>
            <w:noWrap/>
            <w:vAlign w:val="center"/>
          </w:tcPr>
          <w:p w14:paraId="0BF4D0BB">
            <w:pPr>
              <w:jc w:val="center"/>
              <w:rPr>
                <w:sz w:val="22"/>
                <w:szCs w:val="22"/>
              </w:rPr>
            </w:pPr>
          </w:p>
        </w:tc>
        <w:tc>
          <w:tcPr>
            <w:tcW w:w="742" w:type="dxa"/>
            <w:vMerge w:val="continue"/>
            <w:vAlign w:val="center"/>
          </w:tcPr>
          <w:p w14:paraId="49F84344">
            <w:pPr>
              <w:jc w:val="center"/>
              <w:rPr>
                <w:sz w:val="22"/>
                <w:szCs w:val="22"/>
              </w:rPr>
            </w:pPr>
          </w:p>
        </w:tc>
        <w:tc>
          <w:tcPr>
            <w:tcW w:w="676" w:type="dxa"/>
            <w:noWrap/>
            <w:vAlign w:val="center"/>
          </w:tcPr>
          <w:p w14:paraId="54395D6C">
            <w:pPr>
              <w:jc w:val="center"/>
              <w:rPr>
                <w:sz w:val="22"/>
                <w:szCs w:val="22"/>
              </w:rPr>
            </w:pPr>
            <w:r>
              <w:rPr>
                <w:sz w:val="22"/>
                <w:szCs w:val="22"/>
              </w:rPr>
              <w:t>38</w:t>
            </w:r>
          </w:p>
        </w:tc>
        <w:tc>
          <w:tcPr>
            <w:tcW w:w="1098" w:type="dxa"/>
            <w:noWrap/>
            <w:vAlign w:val="center"/>
          </w:tcPr>
          <w:p w14:paraId="37C1CA48">
            <w:pPr>
              <w:jc w:val="center"/>
              <w:rPr>
                <w:sz w:val="22"/>
                <w:szCs w:val="22"/>
              </w:rPr>
            </w:pPr>
            <w:r>
              <w:rPr>
                <w:sz w:val="22"/>
                <w:szCs w:val="22"/>
              </w:rPr>
              <w:t>108,0</w:t>
            </w:r>
          </w:p>
        </w:tc>
        <w:tc>
          <w:tcPr>
            <w:tcW w:w="1817" w:type="dxa"/>
            <w:noWrap/>
            <w:vAlign w:val="center"/>
          </w:tcPr>
          <w:p w14:paraId="207A0207">
            <w:pPr>
              <w:jc w:val="center"/>
              <w:rPr>
                <w:sz w:val="22"/>
                <w:szCs w:val="22"/>
              </w:rPr>
            </w:pPr>
            <w:r>
              <w:rPr>
                <w:sz w:val="22"/>
                <w:szCs w:val="22"/>
              </w:rPr>
              <w:t>777.600.000</w:t>
            </w:r>
          </w:p>
        </w:tc>
        <w:tc>
          <w:tcPr>
            <w:tcW w:w="1798" w:type="dxa"/>
            <w:noWrap/>
            <w:vAlign w:val="center"/>
          </w:tcPr>
          <w:p w14:paraId="03AC802B">
            <w:pPr>
              <w:jc w:val="center"/>
              <w:rPr>
                <w:sz w:val="22"/>
                <w:szCs w:val="22"/>
              </w:rPr>
            </w:pPr>
            <w:r>
              <w:rPr>
                <w:sz w:val="22"/>
                <w:szCs w:val="22"/>
              </w:rPr>
              <w:t>1.326.000.000</w:t>
            </w:r>
          </w:p>
        </w:tc>
        <w:tc>
          <w:tcPr>
            <w:tcW w:w="1382" w:type="dxa"/>
            <w:noWrap/>
            <w:vAlign w:val="center"/>
          </w:tcPr>
          <w:p w14:paraId="0BBD98E3">
            <w:pPr>
              <w:jc w:val="center"/>
              <w:rPr>
                <w:sz w:val="22"/>
                <w:szCs w:val="22"/>
              </w:rPr>
            </w:pPr>
            <w:r>
              <w:rPr>
                <w:sz w:val="22"/>
                <w:szCs w:val="22"/>
              </w:rPr>
              <w:t>1,71%</w:t>
            </w:r>
          </w:p>
        </w:tc>
      </w:tr>
      <w:tr w14:paraId="27E1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4703654">
            <w:pPr>
              <w:jc w:val="center"/>
              <w:rPr>
                <w:sz w:val="22"/>
                <w:szCs w:val="22"/>
              </w:rPr>
            </w:pPr>
          </w:p>
        </w:tc>
        <w:tc>
          <w:tcPr>
            <w:tcW w:w="1491" w:type="dxa"/>
            <w:noWrap/>
            <w:vAlign w:val="center"/>
          </w:tcPr>
          <w:p w14:paraId="5FE0EC09">
            <w:pPr>
              <w:jc w:val="center"/>
              <w:rPr>
                <w:sz w:val="22"/>
                <w:szCs w:val="22"/>
              </w:rPr>
            </w:pPr>
          </w:p>
        </w:tc>
        <w:tc>
          <w:tcPr>
            <w:tcW w:w="742" w:type="dxa"/>
            <w:vMerge w:val="continue"/>
            <w:vAlign w:val="center"/>
          </w:tcPr>
          <w:p w14:paraId="52CC05F6">
            <w:pPr>
              <w:jc w:val="center"/>
              <w:rPr>
                <w:sz w:val="22"/>
                <w:szCs w:val="22"/>
              </w:rPr>
            </w:pPr>
          </w:p>
        </w:tc>
        <w:tc>
          <w:tcPr>
            <w:tcW w:w="676" w:type="dxa"/>
            <w:noWrap/>
            <w:vAlign w:val="center"/>
          </w:tcPr>
          <w:p w14:paraId="780D8F65">
            <w:pPr>
              <w:jc w:val="center"/>
              <w:rPr>
                <w:sz w:val="22"/>
                <w:szCs w:val="22"/>
              </w:rPr>
            </w:pPr>
            <w:r>
              <w:rPr>
                <w:sz w:val="22"/>
                <w:szCs w:val="22"/>
              </w:rPr>
              <w:t>39</w:t>
            </w:r>
          </w:p>
        </w:tc>
        <w:tc>
          <w:tcPr>
            <w:tcW w:w="1098" w:type="dxa"/>
            <w:noWrap/>
            <w:vAlign w:val="center"/>
          </w:tcPr>
          <w:p w14:paraId="3B431E83">
            <w:pPr>
              <w:jc w:val="center"/>
              <w:rPr>
                <w:sz w:val="22"/>
                <w:szCs w:val="22"/>
              </w:rPr>
            </w:pPr>
            <w:r>
              <w:rPr>
                <w:sz w:val="22"/>
                <w:szCs w:val="22"/>
              </w:rPr>
              <w:t>108,0</w:t>
            </w:r>
          </w:p>
        </w:tc>
        <w:tc>
          <w:tcPr>
            <w:tcW w:w="1817" w:type="dxa"/>
            <w:noWrap/>
            <w:vAlign w:val="center"/>
          </w:tcPr>
          <w:p w14:paraId="18F65525">
            <w:pPr>
              <w:jc w:val="center"/>
              <w:rPr>
                <w:sz w:val="22"/>
                <w:szCs w:val="22"/>
              </w:rPr>
            </w:pPr>
            <w:r>
              <w:rPr>
                <w:sz w:val="22"/>
                <w:szCs w:val="22"/>
              </w:rPr>
              <w:t>777.600.000</w:t>
            </w:r>
          </w:p>
        </w:tc>
        <w:tc>
          <w:tcPr>
            <w:tcW w:w="1798" w:type="dxa"/>
            <w:noWrap/>
            <w:vAlign w:val="center"/>
          </w:tcPr>
          <w:p w14:paraId="3D2D1FD8">
            <w:pPr>
              <w:jc w:val="center"/>
              <w:rPr>
                <w:sz w:val="22"/>
                <w:szCs w:val="22"/>
              </w:rPr>
            </w:pPr>
            <w:r>
              <w:rPr>
                <w:sz w:val="22"/>
                <w:szCs w:val="22"/>
              </w:rPr>
              <w:t>1.286.000.000</w:t>
            </w:r>
          </w:p>
        </w:tc>
        <w:tc>
          <w:tcPr>
            <w:tcW w:w="1382" w:type="dxa"/>
            <w:noWrap/>
            <w:vAlign w:val="center"/>
          </w:tcPr>
          <w:p w14:paraId="072B6C2D">
            <w:pPr>
              <w:jc w:val="center"/>
              <w:rPr>
                <w:sz w:val="22"/>
                <w:szCs w:val="22"/>
              </w:rPr>
            </w:pPr>
            <w:r>
              <w:rPr>
                <w:sz w:val="22"/>
                <w:szCs w:val="22"/>
              </w:rPr>
              <w:t>1,65%</w:t>
            </w:r>
          </w:p>
        </w:tc>
      </w:tr>
      <w:tr w14:paraId="54EB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86322FD">
            <w:pPr>
              <w:jc w:val="center"/>
              <w:rPr>
                <w:sz w:val="22"/>
                <w:szCs w:val="22"/>
              </w:rPr>
            </w:pPr>
          </w:p>
        </w:tc>
        <w:tc>
          <w:tcPr>
            <w:tcW w:w="1491" w:type="dxa"/>
            <w:noWrap/>
            <w:vAlign w:val="center"/>
          </w:tcPr>
          <w:p w14:paraId="2E421330">
            <w:pPr>
              <w:jc w:val="center"/>
              <w:rPr>
                <w:sz w:val="22"/>
                <w:szCs w:val="22"/>
              </w:rPr>
            </w:pPr>
          </w:p>
        </w:tc>
        <w:tc>
          <w:tcPr>
            <w:tcW w:w="742" w:type="dxa"/>
            <w:vMerge w:val="continue"/>
            <w:vAlign w:val="center"/>
          </w:tcPr>
          <w:p w14:paraId="37E6D2A8">
            <w:pPr>
              <w:jc w:val="center"/>
              <w:rPr>
                <w:sz w:val="22"/>
                <w:szCs w:val="22"/>
              </w:rPr>
            </w:pPr>
          </w:p>
        </w:tc>
        <w:tc>
          <w:tcPr>
            <w:tcW w:w="676" w:type="dxa"/>
            <w:noWrap/>
            <w:vAlign w:val="center"/>
          </w:tcPr>
          <w:p w14:paraId="2D2C560B">
            <w:pPr>
              <w:jc w:val="center"/>
              <w:rPr>
                <w:sz w:val="22"/>
                <w:szCs w:val="22"/>
              </w:rPr>
            </w:pPr>
            <w:r>
              <w:rPr>
                <w:sz w:val="22"/>
                <w:szCs w:val="22"/>
              </w:rPr>
              <w:t>40</w:t>
            </w:r>
          </w:p>
        </w:tc>
        <w:tc>
          <w:tcPr>
            <w:tcW w:w="1098" w:type="dxa"/>
            <w:noWrap/>
            <w:vAlign w:val="center"/>
          </w:tcPr>
          <w:p w14:paraId="18EDA3C3">
            <w:pPr>
              <w:jc w:val="center"/>
              <w:rPr>
                <w:sz w:val="22"/>
                <w:szCs w:val="22"/>
              </w:rPr>
            </w:pPr>
            <w:r>
              <w:rPr>
                <w:sz w:val="22"/>
                <w:szCs w:val="22"/>
              </w:rPr>
              <w:t>108,0</w:t>
            </w:r>
          </w:p>
        </w:tc>
        <w:tc>
          <w:tcPr>
            <w:tcW w:w="1817" w:type="dxa"/>
            <w:noWrap/>
            <w:vAlign w:val="center"/>
          </w:tcPr>
          <w:p w14:paraId="6FB0396B">
            <w:pPr>
              <w:jc w:val="center"/>
              <w:rPr>
                <w:sz w:val="22"/>
                <w:szCs w:val="22"/>
              </w:rPr>
            </w:pPr>
            <w:r>
              <w:rPr>
                <w:sz w:val="22"/>
                <w:szCs w:val="22"/>
              </w:rPr>
              <w:t>777.600.000</w:t>
            </w:r>
          </w:p>
        </w:tc>
        <w:tc>
          <w:tcPr>
            <w:tcW w:w="1798" w:type="dxa"/>
            <w:noWrap/>
            <w:vAlign w:val="center"/>
          </w:tcPr>
          <w:p w14:paraId="5697A5F2">
            <w:pPr>
              <w:jc w:val="center"/>
              <w:rPr>
                <w:sz w:val="22"/>
                <w:szCs w:val="22"/>
              </w:rPr>
            </w:pPr>
            <w:r>
              <w:rPr>
                <w:sz w:val="22"/>
                <w:szCs w:val="22"/>
              </w:rPr>
              <w:t>1.290.980.000</w:t>
            </w:r>
          </w:p>
        </w:tc>
        <w:tc>
          <w:tcPr>
            <w:tcW w:w="1382" w:type="dxa"/>
            <w:noWrap/>
            <w:vAlign w:val="center"/>
          </w:tcPr>
          <w:p w14:paraId="12C61A4C">
            <w:pPr>
              <w:jc w:val="center"/>
              <w:rPr>
                <w:sz w:val="22"/>
                <w:szCs w:val="22"/>
              </w:rPr>
            </w:pPr>
            <w:r>
              <w:rPr>
                <w:sz w:val="22"/>
                <w:szCs w:val="22"/>
              </w:rPr>
              <w:t>1,66%</w:t>
            </w:r>
          </w:p>
        </w:tc>
      </w:tr>
      <w:tr w14:paraId="3AEB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9955292">
            <w:pPr>
              <w:jc w:val="center"/>
              <w:rPr>
                <w:sz w:val="22"/>
                <w:szCs w:val="22"/>
              </w:rPr>
            </w:pPr>
          </w:p>
        </w:tc>
        <w:tc>
          <w:tcPr>
            <w:tcW w:w="1491" w:type="dxa"/>
            <w:noWrap/>
            <w:vAlign w:val="center"/>
          </w:tcPr>
          <w:p w14:paraId="208D8C99">
            <w:pPr>
              <w:jc w:val="center"/>
              <w:rPr>
                <w:sz w:val="22"/>
                <w:szCs w:val="22"/>
              </w:rPr>
            </w:pPr>
          </w:p>
        </w:tc>
        <w:tc>
          <w:tcPr>
            <w:tcW w:w="742" w:type="dxa"/>
            <w:vMerge w:val="continue"/>
            <w:vAlign w:val="center"/>
          </w:tcPr>
          <w:p w14:paraId="71579016">
            <w:pPr>
              <w:jc w:val="center"/>
              <w:rPr>
                <w:sz w:val="22"/>
                <w:szCs w:val="22"/>
              </w:rPr>
            </w:pPr>
          </w:p>
        </w:tc>
        <w:tc>
          <w:tcPr>
            <w:tcW w:w="676" w:type="dxa"/>
            <w:noWrap/>
            <w:vAlign w:val="center"/>
          </w:tcPr>
          <w:p w14:paraId="473F9946">
            <w:pPr>
              <w:jc w:val="center"/>
              <w:rPr>
                <w:sz w:val="22"/>
                <w:szCs w:val="22"/>
              </w:rPr>
            </w:pPr>
            <w:r>
              <w:rPr>
                <w:sz w:val="22"/>
                <w:szCs w:val="22"/>
              </w:rPr>
              <w:t>41</w:t>
            </w:r>
          </w:p>
        </w:tc>
        <w:tc>
          <w:tcPr>
            <w:tcW w:w="1098" w:type="dxa"/>
            <w:noWrap/>
            <w:vAlign w:val="center"/>
          </w:tcPr>
          <w:p w14:paraId="6DE7E0E1">
            <w:pPr>
              <w:jc w:val="center"/>
              <w:rPr>
                <w:sz w:val="22"/>
                <w:szCs w:val="22"/>
              </w:rPr>
            </w:pPr>
            <w:r>
              <w:rPr>
                <w:sz w:val="22"/>
                <w:szCs w:val="22"/>
              </w:rPr>
              <w:t>108,0</w:t>
            </w:r>
          </w:p>
        </w:tc>
        <w:tc>
          <w:tcPr>
            <w:tcW w:w="1817" w:type="dxa"/>
            <w:noWrap/>
            <w:vAlign w:val="center"/>
          </w:tcPr>
          <w:p w14:paraId="73AAF865">
            <w:pPr>
              <w:jc w:val="center"/>
              <w:rPr>
                <w:sz w:val="22"/>
                <w:szCs w:val="22"/>
              </w:rPr>
            </w:pPr>
            <w:r>
              <w:rPr>
                <w:sz w:val="22"/>
                <w:szCs w:val="22"/>
              </w:rPr>
              <w:t>777.600.000</w:t>
            </w:r>
          </w:p>
        </w:tc>
        <w:tc>
          <w:tcPr>
            <w:tcW w:w="1798" w:type="dxa"/>
            <w:noWrap/>
            <w:vAlign w:val="center"/>
          </w:tcPr>
          <w:p w14:paraId="010820D3">
            <w:pPr>
              <w:jc w:val="center"/>
              <w:rPr>
                <w:sz w:val="22"/>
                <w:szCs w:val="22"/>
              </w:rPr>
            </w:pPr>
            <w:r>
              <w:rPr>
                <w:sz w:val="22"/>
                <w:szCs w:val="22"/>
              </w:rPr>
              <w:t>999.000.000</w:t>
            </w:r>
          </w:p>
        </w:tc>
        <w:tc>
          <w:tcPr>
            <w:tcW w:w="1382" w:type="dxa"/>
            <w:noWrap/>
            <w:vAlign w:val="center"/>
          </w:tcPr>
          <w:p w14:paraId="2FDFE1F2">
            <w:pPr>
              <w:jc w:val="center"/>
              <w:rPr>
                <w:sz w:val="22"/>
                <w:szCs w:val="22"/>
              </w:rPr>
            </w:pPr>
            <w:r>
              <w:rPr>
                <w:sz w:val="22"/>
                <w:szCs w:val="22"/>
              </w:rPr>
              <w:t>1,28%</w:t>
            </w:r>
          </w:p>
        </w:tc>
      </w:tr>
      <w:tr w14:paraId="2D75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2A1B8E8">
            <w:pPr>
              <w:jc w:val="center"/>
              <w:rPr>
                <w:sz w:val="22"/>
                <w:szCs w:val="22"/>
              </w:rPr>
            </w:pPr>
          </w:p>
        </w:tc>
        <w:tc>
          <w:tcPr>
            <w:tcW w:w="1491" w:type="dxa"/>
            <w:noWrap/>
            <w:vAlign w:val="center"/>
          </w:tcPr>
          <w:p w14:paraId="113F4EA3">
            <w:pPr>
              <w:jc w:val="center"/>
              <w:rPr>
                <w:sz w:val="22"/>
                <w:szCs w:val="22"/>
              </w:rPr>
            </w:pPr>
          </w:p>
        </w:tc>
        <w:tc>
          <w:tcPr>
            <w:tcW w:w="742" w:type="dxa"/>
            <w:vMerge w:val="continue"/>
            <w:vAlign w:val="center"/>
          </w:tcPr>
          <w:p w14:paraId="44B87917">
            <w:pPr>
              <w:jc w:val="center"/>
              <w:rPr>
                <w:sz w:val="22"/>
                <w:szCs w:val="22"/>
              </w:rPr>
            </w:pPr>
          </w:p>
        </w:tc>
        <w:tc>
          <w:tcPr>
            <w:tcW w:w="676" w:type="dxa"/>
            <w:noWrap/>
            <w:vAlign w:val="center"/>
          </w:tcPr>
          <w:p w14:paraId="740A48D6">
            <w:pPr>
              <w:jc w:val="center"/>
              <w:rPr>
                <w:sz w:val="22"/>
                <w:szCs w:val="22"/>
              </w:rPr>
            </w:pPr>
            <w:r>
              <w:rPr>
                <w:sz w:val="22"/>
                <w:szCs w:val="22"/>
              </w:rPr>
              <w:t>42</w:t>
            </w:r>
          </w:p>
        </w:tc>
        <w:tc>
          <w:tcPr>
            <w:tcW w:w="1098" w:type="dxa"/>
            <w:noWrap/>
            <w:vAlign w:val="center"/>
          </w:tcPr>
          <w:p w14:paraId="49991FA5">
            <w:pPr>
              <w:jc w:val="center"/>
              <w:rPr>
                <w:sz w:val="22"/>
                <w:szCs w:val="22"/>
              </w:rPr>
            </w:pPr>
            <w:r>
              <w:rPr>
                <w:sz w:val="22"/>
                <w:szCs w:val="22"/>
              </w:rPr>
              <w:t>108,0</w:t>
            </w:r>
          </w:p>
        </w:tc>
        <w:tc>
          <w:tcPr>
            <w:tcW w:w="1817" w:type="dxa"/>
            <w:noWrap/>
            <w:vAlign w:val="center"/>
          </w:tcPr>
          <w:p w14:paraId="125FD7FB">
            <w:pPr>
              <w:jc w:val="center"/>
              <w:rPr>
                <w:sz w:val="22"/>
                <w:szCs w:val="22"/>
              </w:rPr>
            </w:pPr>
            <w:r>
              <w:rPr>
                <w:sz w:val="22"/>
                <w:szCs w:val="22"/>
              </w:rPr>
              <w:t>777.600.000</w:t>
            </w:r>
          </w:p>
        </w:tc>
        <w:tc>
          <w:tcPr>
            <w:tcW w:w="1798" w:type="dxa"/>
            <w:noWrap/>
            <w:vAlign w:val="center"/>
          </w:tcPr>
          <w:p w14:paraId="01ED8643">
            <w:pPr>
              <w:jc w:val="center"/>
              <w:rPr>
                <w:sz w:val="22"/>
                <w:szCs w:val="22"/>
              </w:rPr>
            </w:pPr>
            <w:r>
              <w:rPr>
                <w:sz w:val="22"/>
                <w:szCs w:val="22"/>
              </w:rPr>
              <w:t>999.000.000</w:t>
            </w:r>
          </w:p>
        </w:tc>
        <w:tc>
          <w:tcPr>
            <w:tcW w:w="1382" w:type="dxa"/>
            <w:noWrap/>
            <w:vAlign w:val="center"/>
          </w:tcPr>
          <w:p w14:paraId="10447629">
            <w:pPr>
              <w:jc w:val="center"/>
              <w:rPr>
                <w:sz w:val="22"/>
                <w:szCs w:val="22"/>
              </w:rPr>
            </w:pPr>
            <w:r>
              <w:rPr>
                <w:sz w:val="22"/>
                <w:szCs w:val="22"/>
              </w:rPr>
              <w:t>1,28%</w:t>
            </w:r>
          </w:p>
        </w:tc>
      </w:tr>
      <w:tr w14:paraId="2750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70AACE4">
            <w:pPr>
              <w:jc w:val="center"/>
              <w:rPr>
                <w:sz w:val="22"/>
                <w:szCs w:val="22"/>
              </w:rPr>
            </w:pPr>
          </w:p>
        </w:tc>
        <w:tc>
          <w:tcPr>
            <w:tcW w:w="1491" w:type="dxa"/>
            <w:noWrap/>
            <w:vAlign w:val="center"/>
          </w:tcPr>
          <w:p w14:paraId="0F9752F7">
            <w:pPr>
              <w:jc w:val="center"/>
              <w:rPr>
                <w:sz w:val="22"/>
                <w:szCs w:val="22"/>
              </w:rPr>
            </w:pPr>
          </w:p>
        </w:tc>
        <w:tc>
          <w:tcPr>
            <w:tcW w:w="742" w:type="dxa"/>
            <w:vMerge w:val="continue"/>
            <w:vAlign w:val="center"/>
          </w:tcPr>
          <w:p w14:paraId="3B5680AF">
            <w:pPr>
              <w:jc w:val="center"/>
              <w:rPr>
                <w:sz w:val="22"/>
                <w:szCs w:val="22"/>
              </w:rPr>
            </w:pPr>
          </w:p>
        </w:tc>
        <w:tc>
          <w:tcPr>
            <w:tcW w:w="676" w:type="dxa"/>
            <w:noWrap/>
            <w:vAlign w:val="center"/>
          </w:tcPr>
          <w:p w14:paraId="009380D6">
            <w:pPr>
              <w:jc w:val="center"/>
              <w:rPr>
                <w:sz w:val="22"/>
                <w:szCs w:val="22"/>
              </w:rPr>
            </w:pPr>
            <w:r>
              <w:rPr>
                <w:sz w:val="22"/>
                <w:szCs w:val="22"/>
              </w:rPr>
              <w:t>43</w:t>
            </w:r>
          </w:p>
        </w:tc>
        <w:tc>
          <w:tcPr>
            <w:tcW w:w="1098" w:type="dxa"/>
            <w:noWrap/>
            <w:vAlign w:val="center"/>
          </w:tcPr>
          <w:p w14:paraId="35C23B41">
            <w:pPr>
              <w:jc w:val="center"/>
              <w:rPr>
                <w:sz w:val="22"/>
                <w:szCs w:val="22"/>
              </w:rPr>
            </w:pPr>
            <w:r>
              <w:rPr>
                <w:sz w:val="22"/>
                <w:szCs w:val="22"/>
              </w:rPr>
              <w:t>108,0</w:t>
            </w:r>
          </w:p>
        </w:tc>
        <w:tc>
          <w:tcPr>
            <w:tcW w:w="1817" w:type="dxa"/>
            <w:noWrap/>
            <w:vAlign w:val="center"/>
          </w:tcPr>
          <w:p w14:paraId="7767F837">
            <w:pPr>
              <w:jc w:val="center"/>
              <w:rPr>
                <w:sz w:val="22"/>
                <w:szCs w:val="22"/>
              </w:rPr>
            </w:pPr>
            <w:r>
              <w:rPr>
                <w:sz w:val="22"/>
                <w:szCs w:val="22"/>
              </w:rPr>
              <w:t>777.600.000</w:t>
            </w:r>
          </w:p>
        </w:tc>
        <w:tc>
          <w:tcPr>
            <w:tcW w:w="1798" w:type="dxa"/>
            <w:noWrap/>
            <w:vAlign w:val="center"/>
          </w:tcPr>
          <w:p w14:paraId="6AAA45D9">
            <w:pPr>
              <w:jc w:val="center"/>
              <w:rPr>
                <w:sz w:val="22"/>
                <w:szCs w:val="22"/>
              </w:rPr>
            </w:pPr>
            <w:r>
              <w:rPr>
                <w:sz w:val="22"/>
                <w:szCs w:val="22"/>
              </w:rPr>
              <w:t>997.000.000</w:t>
            </w:r>
          </w:p>
        </w:tc>
        <w:tc>
          <w:tcPr>
            <w:tcW w:w="1382" w:type="dxa"/>
            <w:noWrap/>
            <w:vAlign w:val="center"/>
          </w:tcPr>
          <w:p w14:paraId="21467704">
            <w:pPr>
              <w:jc w:val="center"/>
              <w:rPr>
                <w:sz w:val="22"/>
                <w:szCs w:val="22"/>
              </w:rPr>
            </w:pPr>
            <w:r>
              <w:rPr>
                <w:sz w:val="22"/>
                <w:szCs w:val="22"/>
              </w:rPr>
              <w:t>1,28%</w:t>
            </w:r>
          </w:p>
        </w:tc>
      </w:tr>
      <w:tr w14:paraId="2252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ADCC034">
            <w:pPr>
              <w:jc w:val="center"/>
              <w:rPr>
                <w:sz w:val="22"/>
                <w:szCs w:val="22"/>
              </w:rPr>
            </w:pPr>
          </w:p>
        </w:tc>
        <w:tc>
          <w:tcPr>
            <w:tcW w:w="1491" w:type="dxa"/>
            <w:noWrap/>
            <w:vAlign w:val="center"/>
          </w:tcPr>
          <w:p w14:paraId="61C67DD4">
            <w:pPr>
              <w:jc w:val="center"/>
              <w:rPr>
                <w:sz w:val="22"/>
                <w:szCs w:val="22"/>
              </w:rPr>
            </w:pPr>
          </w:p>
        </w:tc>
        <w:tc>
          <w:tcPr>
            <w:tcW w:w="742" w:type="dxa"/>
            <w:vMerge w:val="continue"/>
            <w:vAlign w:val="center"/>
          </w:tcPr>
          <w:p w14:paraId="16D62049">
            <w:pPr>
              <w:jc w:val="center"/>
              <w:rPr>
                <w:sz w:val="22"/>
                <w:szCs w:val="22"/>
              </w:rPr>
            </w:pPr>
          </w:p>
        </w:tc>
        <w:tc>
          <w:tcPr>
            <w:tcW w:w="676" w:type="dxa"/>
            <w:noWrap/>
            <w:vAlign w:val="center"/>
          </w:tcPr>
          <w:p w14:paraId="2FA14412">
            <w:pPr>
              <w:jc w:val="center"/>
              <w:rPr>
                <w:sz w:val="22"/>
                <w:szCs w:val="22"/>
              </w:rPr>
            </w:pPr>
            <w:r>
              <w:rPr>
                <w:sz w:val="22"/>
                <w:szCs w:val="22"/>
              </w:rPr>
              <w:t>44</w:t>
            </w:r>
          </w:p>
        </w:tc>
        <w:tc>
          <w:tcPr>
            <w:tcW w:w="1098" w:type="dxa"/>
            <w:noWrap/>
            <w:vAlign w:val="center"/>
          </w:tcPr>
          <w:p w14:paraId="58BD3F2E">
            <w:pPr>
              <w:jc w:val="center"/>
              <w:rPr>
                <w:sz w:val="22"/>
                <w:szCs w:val="22"/>
              </w:rPr>
            </w:pPr>
            <w:r>
              <w:rPr>
                <w:sz w:val="22"/>
                <w:szCs w:val="22"/>
              </w:rPr>
              <w:t>108,0</w:t>
            </w:r>
          </w:p>
        </w:tc>
        <w:tc>
          <w:tcPr>
            <w:tcW w:w="1817" w:type="dxa"/>
            <w:noWrap/>
            <w:vAlign w:val="center"/>
          </w:tcPr>
          <w:p w14:paraId="6F2D9CFA">
            <w:pPr>
              <w:jc w:val="center"/>
              <w:rPr>
                <w:sz w:val="22"/>
                <w:szCs w:val="22"/>
              </w:rPr>
            </w:pPr>
            <w:r>
              <w:rPr>
                <w:sz w:val="22"/>
                <w:szCs w:val="22"/>
              </w:rPr>
              <w:t>777.600.000</w:t>
            </w:r>
          </w:p>
        </w:tc>
        <w:tc>
          <w:tcPr>
            <w:tcW w:w="1798" w:type="dxa"/>
            <w:noWrap/>
            <w:vAlign w:val="center"/>
          </w:tcPr>
          <w:p w14:paraId="43EC17C9">
            <w:pPr>
              <w:jc w:val="center"/>
              <w:rPr>
                <w:sz w:val="22"/>
                <w:szCs w:val="22"/>
              </w:rPr>
            </w:pPr>
            <w:r>
              <w:rPr>
                <w:sz w:val="22"/>
                <w:szCs w:val="22"/>
              </w:rPr>
              <w:t>1.120.000.000</w:t>
            </w:r>
          </w:p>
        </w:tc>
        <w:tc>
          <w:tcPr>
            <w:tcW w:w="1382" w:type="dxa"/>
            <w:noWrap/>
            <w:vAlign w:val="center"/>
          </w:tcPr>
          <w:p w14:paraId="53594253">
            <w:pPr>
              <w:jc w:val="center"/>
              <w:rPr>
                <w:sz w:val="22"/>
                <w:szCs w:val="22"/>
              </w:rPr>
            </w:pPr>
            <w:r>
              <w:rPr>
                <w:sz w:val="22"/>
                <w:szCs w:val="22"/>
              </w:rPr>
              <w:t>1,44%</w:t>
            </w:r>
          </w:p>
        </w:tc>
      </w:tr>
      <w:tr w14:paraId="1091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AA80631">
            <w:pPr>
              <w:jc w:val="center"/>
              <w:rPr>
                <w:sz w:val="22"/>
                <w:szCs w:val="22"/>
              </w:rPr>
            </w:pPr>
          </w:p>
        </w:tc>
        <w:tc>
          <w:tcPr>
            <w:tcW w:w="1491" w:type="dxa"/>
            <w:noWrap/>
            <w:vAlign w:val="center"/>
          </w:tcPr>
          <w:p w14:paraId="2B026F74">
            <w:pPr>
              <w:jc w:val="center"/>
              <w:rPr>
                <w:sz w:val="22"/>
                <w:szCs w:val="22"/>
              </w:rPr>
            </w:pPr>
          </w:p>
        </w:tc>
        <w:tc>
          <w:tcPr>
            <w:tcW w:w="742" w:type="dxa"/>
            <w:vMerge w:val="continue"/>
            <w:vAlign w:val="center"/>
          </w:tcPr>
          <w:p w14:paraId="177A6CF7">
            <w:pPr>
              <w:jc w:val="center"/>
              <w:rPr>
                <w:sz w:val="22"/>
                <w:szCs w:val="22"/>
              </w:rPr>
            </w:pPr>
          </w:p>
        </w:tc>
        <w:tc>
          <w:tcPr>
            <w:tcW w:w="676" w:type="dxa"/>
            <w:noWrap/>
            <w:vAlign w:val="center"/>
          </w:tcPr>
          <w:p w14:paraId="4EB2FF92">
            <w:pPr>
              <w:jc w:val="center"/>
              <w:rPr>
                <w:sz w:val="22"/>
                <w:szCs w:val="22"/>
              </w:rPr>
            </w:pPr>
            <w:r>
              <w:rPr>
                <w:sz w:val="22"/>
                <w:szCs w:val="22"/>
              </w:rPr>
              <w:t>45</w:t>
            </w:r>
          </w:p>
        </w:tc>
        <w:tc>
          <w:tcPr>
            <w:tcW w:w="1098" w:type="dxa"/>
            <w:noWrap/>
            <w:vAlign w:val="center"/>
          </w:tcPr>
          <w:p w14:paraId="44035496">
            <w:pPr>
              <w:jc w:val="center"/>
              <w:rPr>
                <w:sz w:val="22"/>
                <w:szCs w:val="22"/>
              </w:rPr>
            </w:pPr>
            <w:r>
              <w:rPr>
                <w:sz w:val="22"/>
                <w:szCs w:val="22"/>
              </w:rPr>
              <w:t>108,0</w:t>
            </w:r>
          </w:p>
        </w:tc>
        <w:tc>
          <w:tcPr>
            <w:tcW w:w="1817" w:type="dxa"/>
            <w:noWrap/>
            <w:vAlign w:val="center"/>
          </w:tcPr>
          <w:p w14:paraId="4ED0E272">
            <w:pPr>
              <w:jc w:val="center"/>
              <w:rPr>
                <w:sz w:val="22"/>
                <w:szCs w:val="22"/>
              </w:rPr>
            </w:pPr>
            <w:r>
              <w:rPr>
                <w:sz w:val="22"/>
                <w:szCs w:val="22"/>
              </w:rPr>
              <w:t>777.600.000</w:t>
            </w:r>
          </w:p>
        </w:tc>
        <w:tc>
          <w:tcPr>
            <w:tcW w:w="1798" w:type="dxa"/>
            <w:noWrap/>
            <w:vAlign w:val="center"/>
          </w:tcPr>
          <w:p w14:paraId="3E8C1518">
            <w:pPr>
              <w:jc w:val="center"/>
              <w:rPr>
                <w:sz w:val="22"/>
                <w:szCs w:val="22"/>
              </w:rPr>
            </w:pPr>
            <w:r>
              <w:rPr>
                <w:sz w:val="22"/>
                <w:szCs w:val="22"/>
              </w:rPr>
              <w:t>1.140.000.000</w:t>
            </w:r>
          </w:p>
        </w:tc>
        <w:tc>
          <w:tcPr>
            <w:tcW w:w="1382" w:type="dxa"/>
            <w:noWrap/>
            <w:vAlign w:val="center"/>
          </w:tcPr>
          <w:p w14:paraId="1F11FFDB">
            <w:pPr>
              <w:jc w:val="center"/>
              <w:rPr>
                <w:sz w:val="22"/>
                <w:szCs w:val="22"/>
              </w:rPr>
            </w:pPr>
            <w:r>
              <w:rPr>
                <w:sz w:val="22"/>
                <w:szCs w:val="22"/>
              </w:rPr>
              <w:t>1,47%</w:t>
            </w:r>
          </w:p>
        </w:tc>
      </w:tr>
      <w:tr w14:paraId="2B92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2BD0B1E9">
            <w:pPr>
              <w:jc w:val="center"/>
              <w:rPr>
                <w:sz w:val="22"/>
                <w:szCs w:val="22"/>
              </w:rPr>
            </w:pPr>
          </w:p>
        </w:tc>
        <w:tc>
          <w:tcPr>
            <w:tcW w:w="1491" w:type="dxa"/>
            <w:noWrap/>
            <w:vAlign w:val="center"/>
          </w:tcPr>
          <w:p w14:paraId="0045F012">
            <w:pPr>
              <w:jc w:val="center"/>
              <w:rPr>
                <w:sz w:val="22"/>
                <w:szCs w:val="22"/>
              </w:rPr>
            </w:pPr>
          </w:p>
        </w:tc>
        <w:tc>
          <w:tcPr>
            <w:tcW w:w="742" w:type="dxa"/>
            <w:vMerge w:val="continue"/>
            <w:vAlign w:val="center"/>
          </w:tcPr>
          <w:p w14:paraId="16178D67">
            <w:pPr>
              <w:jc w:val="center"/>
              <w:rPr>
                <w:sz w:val="22"/>
                <w:szCs w:val="22"/>
              </w:rPr>
            </w:pPr>
          </w:p>
        </w:tc>
        <w:tc>
          <w:tcPr>
            <w:tcW w:w="676" w:type="dxa"/>
            <w:noWrap/>
            <w:vAlign w:val="center"/>
          </w:tcPr>
          <w:p w14:paraId="20985800">
            <w:pPr>
              <w:jc w:val="center"/>
              <w:rPr>
                <w:sz w:val="22"/>
                <w:szCs w:val="22"/>
              </w:rPr>
            </w:pPr>
            <w:r>
              <w:rPr>
                <w:sz w:val="22"/>
                <w:szCs w:val="22"/>
              </w:rPr>
              <w:t>46</w:t>
            </w:r>
          </w:p>
        </w:tc>
        <w:tc>
          <w:tcPr>
            <w:tcW w:w="1098" w:type="dxa"/>
            <w:noWrap/>
            <w:vAlign w:val="center"/>
          </w:tcPr>
          <w:p w14:paraId="0F74C6F5">
            <w:pPr>
              <w:jc w:val="center"/>
              <w:rPr>
                <w:sz w:val="22"/>
                <w:szCs w:val="22"/>
              </w:rPr>
            </w:pPr>
            <w:r>
              <w:rPr>
                <w:sz w:val="22"/>
                <w:szCs w:val="22"/>
              </w:rPr>
              <w:t>108,0</w:t>
            </w:r>
          </w:p>
        </w:tc>
        <w:tc>
          <w:tcPr>
            <w:tcW w:w="1817" w:type="dxa"/>
            <w:noWrap/>
            <w:vAlign w:val="center"/>
          </w:tcPr>
          <w:p w14:paraId="0E017196">
            <w:pPr>
              <w:jc w:val="center"/>
              <w:rPr>
                <w:sz w:val="22"/>
                <w:szCs w:val="22"/>
              </w:rPr>
            </w:pPr>
            <w:r>
              <w:rPr>
                <w:sz w:val="22"/>
                <w:szCs w:val="22"/>
              </w:rPr>
              <w:t>777.600.000</w:t>
            </w:r>
          </w:p>
        </w:tc>
        <w:tc>
          <w:tcPr>
            <w:tcW w:w="1798" w:type="dxa"/>
            <w:noWrap/>
            <w:vAlign w:val="center"/>
          </w:tcPr>
          <w:p w14:paraId="686F2D07">
            <w:pPr>
              <w:jc w:val="center"/>
              <w:rPr>
                <w:sz w:val="22"/>
                <w:szCs w:val="22"/>
              </w:rPr>
            </w:pPr>
            <w:r>
              <w:rPr>
                <w:sz w:val="22"/>
                <w:szCs w:val="22"/>
              </w:rPr>
              <w:t>1.160.000.000</w:t>
            </w:r>
          </w:p>
        </w:tc>
        <w:tc>
          <w:tcPr>
            <w:tcW w:w="1382" w:type="dxa"/>
            <w:noWrap/>
            <w:vAlign w:val="center"/>
          </w:tcPr>
          <w:p w14:paraId="0C1F65D3">
            <w:pPr>
              <w:jc w:val="center"/>
              <w:rPr>
                <w:sz w:val="22"/>
                <w:szCs w:val="22"/>
              </w:rPr>
            </w:pPr>
            <w:r>
              <w:rPr>
                <w:sz w:val="22"/>
                <w:szCs w:val="22"/>
              </w:rPr>
              <w:t>1,49%</w:t>
            </w:r>
          </w:p>
        </w:tc>
      </w:tr>
      <w:tr w14:paraId="3CB3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B60DCBB">
            <w:pPr>
              <w:jc w:val="center"/>
              <w:rPr>
                <w:sz w:val="22"/>
                <w:szCs w:val="22"/>
              </w:rPr>
            </w:pPr>
          </w:p>
        </w:tc>
        <w:tc>
          <w:tcPr>
            <w:tcW w:w="1491" w:type="dxa"/>
            <w:noWrap/>
            <w:vAlign w:val="center"/>
          </w:tcPr>
          <w:p w14:paraId="6E00C088">
            <w:pPr>
              <w:jc w:val="center"/>
              <w:rPr>
                <w:sz w:val="22"/>
                <w:szCs w:val="22"/>
              </w:rPr>
            </w:pPr>
          </w:p>
        </w:tc>
        <w:tc>
          <w:tcPr>
            <w:tcW w:w="742" w:type="dxa"/>
            <w:vMerge w:val="continue"/>
            <w:vAlign w:val="center"/>
          </w:tcPr>
          <w:p w14:paraId="2DE71000">
            <w:pPr>
              <w:jc w:val="center"/>
              <w:rPr>
                <w:sz w:val="22"/>
                <w:szCs w:val="22"/>
              </w:rPr>
            </w:pPr>
          </w:p>
        </w:tc>
        <w:tc>
          <w:tcPr>
            <w:tcW w:w="676" w:type="dxa"/>
            <w:noWrap/>
            <w:vAlign w:val="center"/>
          </w:tcPr>
          <w:p w14:paraId="145DADBD">
            <w:pPr>
              <w:jc w:val="center"/>
              <w:rPr>
                <w:sz w:val="22"/>
                <w:szCs w:val="22"/>
              </w:rPr>
            </w:pPr>
            <w:r>
              <w:rPr>
                <w:sz w:val="22"/>
                <w:szCs w:val="22"/>
              </w:rPr>
              <w:t>47</w:t>
            </w:r>
          </w:p>
        </w:tc>
        <w:tc>
          <w:tcPr>
            <w:tcW w:w="1098" w:type="dxa"/>
            <w:noWrap/>
            <w:vAlign w:val="center"/>
          </w:tcPr>
          <w:p w14:paraId="68DEE80D">
            <w:pPr>
              <w:jc w:val="center"/>
              <w:rPr>
                <w:sz w:val="22"/>
                <w:szCs w:val="22"/>
              </w:rPr>
            </w:pPr>
            <w:r>
              <w:rPr>
                <w:sz w:val="22"/>
                <w:szCs w:val="22"/>
              </w:rPr>
              <w:t>108,0</w:t>
            </w:r>
          </w:p>
        </w:tc>
        <w:tc>
          <w:tcPr>
            <w:tcW w:w="1817" w:type="dxa"/>
            <w:noWrap/>
            <w:vAlign w:val="center"/>
          </w:tcPr>
          <w:p w14:paraId="4A7923FF">
            <w:pPr>
              <w:jc w:val="center"/>
              <w:rPr>
                <w:sz w:val="22"/>
                <w:szCs w:val="22"/>
              </w:rPr>
            </w:pPr>
            <w:r>
              <w:rPr>
                <w:sz w:val="22"/>
                <w:szCs w:val="22"/>
              </w:rPr>
              <w:t>777.600.000</w:t>
            </w:r>
          </w:p>
        </w:tc>
        <w:tc>
          <w:tcPr>
            <w:tcW w:w="1798" w:type="dxa"/>
            <w:noWrap/>
            <w:vAlign w:val="center"/>
          </w:tcPr>
          <w:p w14:paraId="2466CF58">
            <w:pPr>
              <w:jc w:val="center"/>
              <w:rPr>
                <w:sz w:val="22"/>
                <w:szCs w:val="22"/>
              </w:rPr>
            </w:pPr>
            <w:r>
              <w:rPr>
                <w:sz w:val="22"/>
                <w:szCs w:val="22"/>
              </w:rPr>
              <w:t>1.079.000.000</w:t>
            </w:r>
          </w:p>
        </w:tc>
        <w:tc>
          <w:tcPr>
            <w:tcW w:w="1382" w:type="dxa"/>
            <w:noWrap/>
            <w:vAlign w:val="center"/>
          </w:tcPr>
          <w:p w14:paraId="172D376A">
            <w:pPr>
              <w:jc w:val="center"/>
              <w:rPr>
                <w:sz w:val="22"/>
                <w:szCs w:val="22"/>
              </w:rPr>
            </w:pPr>
            <w:r>
              <w:rPr>
                <w:sz w:val="22"/>
                <w:szCs w:val="22"/>
              </w:rPr>
              <w:t>1,39%</w:t>
            </w:r>
          </w:p>
        </w:tc>
      </w:tr>
      <w:tr w14:paraId="5C60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3E15646">
            <w:pPr>
              <w:jc w:val="center"/>
              <w:rPr>
                <w:sz w:val="22"/>
                <w:szCs w:val="22"/>
              </w:rPr>
            </w:pPr>
          </w:p>
        </w:tc>
        <w:tc>
          <w:tcPr>
            <w:tcW w:w="1491" w:type="dxa"/>
            <w:noWrap/>
            <w:vAlign w:val="center"/>
          </w:tcPr>
          <w:p w14:paraId="06B7950C">
            <w:pPr>
              <w:jc w:val="center"/>
              <w:rPr>
                <w:sz w:val="22"/>
                <w:szCs w:val="22"/>
              </w:rPr>
            </w:pPr>
          </w:p>
        </w:tc>
        <w:tc>
          <w:tcPr>
            <w:tcW w:w="742" w:type="dxa"/>
            <w:vMerge w:val="continue"/>
            <w:vAlign w:val="center"/>
          </w:tcPr>
          <w:p w14:paraId="4BDDAA20">
            <w:pPr>
              <w:jc w:val="center"/>
              <w:rPr>
                <w:sz w:val="22"/>
                <w:szCs w:val="22"/>
              </w:rPr>
            </w:pPr>
          </w:p>
        </w:tc>
        <w:tc>
          <w:tcPr>
            <w:tcW w:w="676" w:type="dxa"/>
            <w:noWrap/>
            <w:vAlign w:val="center"/>
          </w:tcPr>
          <w:p w14:paraId="11D47361">
            <w:pPr>
              <w:jc w:val="center"/>
              <w:rPr>
                <w:sz w:val="22"/>
                <w:szCs w:val="22"/>
              </w:rPr>
            </w:pPr>
            <w:r>
              <w:rPr>
                <w:sz w:val="22"/>
                <w:szCs w:val="22"/>
              </w:rPr>
              <w:t>48</w:t>
            </w:r>
          </w:p>
        </w:tc>
        <w:tc>
          <w:tcPr>
            <w:tcW w:w="1098" w:type="dxa"/>
            <w:noWrap/>
            <w:vAlign w:val="center"/>
          </w:tcPr>
          <w:p w14:paraId="1E5B1D58">
            <w:pPr>
              <w:jc w:val="center"/>
              <w:rPr>
                <w:sz w:val="22"/>
                <w:szCs w:val="22"/>
              </w:rPr>
            </w:pPr>
            <w:r>
              <w:rPr>
                <w:sz w:val="22"/>
                <w:szCs w:val="22"/>
              </w:rPr>
              <w:t>151,5</w:t>
            </w:r>
          </w:p>
        </w:tc>
        <w:tc>
          <w:tcPr>
            <w:tcW w:w="1817" w:type="dxa"/>
            <w:noWrap/>
            <w:vAlign w:val="center"/>
          </w:tcPr>
          <w:p w14:paraId="288168ED">
            <w:pPr>
              <w:jc w:val="center"/>
              <w:rPr>
                <w:sz w:val="22"/>
                <w:szCs w:val="22"/>
              </w:rPr>
            </w:pPr>
            <w:r>
              <w:rPr>
                <w:sz w:val="22"/>
                <w:szCs w:val="22"/>
              </w:rPr>
              <w:t>1.308.960.000</w:t>
            </w:r>
          </w:p>
        </w:tc>
        <w:tc>
          <w:tcPr>
            <w:tcW w:w="1798" w:type="dxa"/>
            <w:noWrap/>
            <w:vAlign w:val="center"/>
          </w:tcPr>
          <w:p w14:paraId="07A3092B">
            <w:pPr>
              <w:jc w:val="center"/>
              <w:rPr>
                <w:sz w:val="22"/>
                <w:szCs w:val="22"/>
              </w:rPr>
            </w:pPr>
            <w:r>
              <w:rPr>
                <w:sz w:val="22"/>
                <w:szCs w:val="22"/>
              </w:rPr>
              <w:t>1.321.000.000</w:t>
            </w:r>
          </w:p>
        </w:tc>
        <w:tc>
          <w:tcPr>
            <w:tcW w:w="1382" w:type="dxa"/>
            <w:noWrap/>
            <w:vAlign w:val="center"/>
          </w:tcPr>
          <w:p w14:paraId="14A36B86">
            <w:pPr>
              <w:jc w:val="center"/>
              <w:rPr>
                <w:sz w:val="22"/>
                <w:szCs w:val="22"/>
              </w:rPr>
            </w:pPr>
            <w:r>
              <w:rPr>
                <w:sz w:val="22"/>
                <w:szCs w:val="22"/>
              </w:rPr>
              <w:t>1,01%</w:t>
            </w:r>
          </w:p>
        </w:tc>
      </w:tr>
      <w:tr w14:paraId="3807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4582B6E">
            <w:pPr>
              <w:jc w:val="center"/>
              <w:rPr>
                <w:sz w:val="22"/>
                <w:szCs w:val="22"/>
              </w:rPr>
            </w:pPr>
            <w:r>
              <w:rPr>
                <w:sz w:val="22"/>
                <w:szCs w:val="22"/>
              </w:rPr>
              <w:t>V</w:t>
            </w:r>
          </w:p>
        </w:tc>
        <w:tc>
          <w:tcPr>
            <w:tcW w:w="1491" w:type="dxa"/>
            <w:noWrap/>
            <w:vAlign w:val="center"/>
          </w:tcPr>
          <w:p w14:paraId="4586C9F1">
            <w:pPr>
              <w:jc w:val="center"/>
              <w:rPr>
                <w:sz w:val="22"/>
                <w:szCs w:val="22"/>
              </w:rPr>
            </w:pPr>
            <w:r>
              <w:rPr>
                <w:sz w:val="22"/>
                <w:szCs w:val="22"/>
              </w:rPr>
              <w:t>Thôn Mải Hạ, xã Tân Thanh</w:t>
            </w:r>
          </w:p>
        </w:tc>
        <w:tc>
          <w:tcPr>
            <w:tcW w:w="742" w:type="dxa"/>
            <w:noWrap/>
            <w:vAlign w:val="center"/>
          </w:tcPr>
          <w:p w14:paraId="5EFDF81E">
            <w:pPr>
              <w:jc w:val="center"/>
              <w:rPr>
                <w:sz w:val="22"/>
                <w:szCs w:val="22"/>
              </w:rPr>
            </w:pPr>
          </w:p>
        </w:tc>
        <w:tc>
          <w:tcPr>
            <w:tcW w:w="676" w:type="dxa"/>
            <w:noWrap/>
            <w:vAlign w:val="center"/>
          </w:tcPr>
          <w:p w14:paraId="5024815F">
            <w:pPr>
              <w:jc w:val="center"/>
              <w:rPr>
                <w:sz w:val="22"/>
                <w:szCs w:val="22"/>
              </w:rPr>
            </w:pPr>
          </w:p>
        </w:tc>
        <w:tc>
          <w:tcPr>
            <w:tcW w:w="1098" w:type="dxa"/>
            <w:noWrap/>
            <w:vAlign w:val="center"/>
          </w:tcPr>
          <w:p w14:paraId="2383F7A0">
            <w:pPr>
              <w:jc w:val="center"/>
              <w:rPr>
                <w:sz w:val="22"/>
                <w:szCs w:val="22"/>
              </w:rPr>
            </w:pPr>
            <w:r>
              <w:rPr>
                <w:sz w:val="22"/>
                <w:szCs w:val="22"/>
              </w:rPr>
              <w:t>1.325,8</w:t>
            </w:r>
          </w:p>
        </w:tc>
        <w:tc>
          <w:tcPr>
            <w:tcW w:w="1817" w:type="dxa"/>
            <w:noWrap/>
            <w:vAlign w:val="center"/>
          </w:tcPr>
          <w:p w14:paraId="18BF6E00">
            <w:pPr>
              <w:jc w:val="center"/>
              <w:rPr>
                <w:sz w:val="22"/>
                <w:szCs w:val="22"/>
              </w:rPr>
            </w:pPr>
            <w:r>
              <w:rPr>
                <w:sz w:val="22"/>
                <w:szCs w:val="22"/>
              </w:rPr>
              <w:t>9.566.720.000</w:t>
            </w:r>
          </w:p>
        </w:tc>
        <w:tc>
          <w:tcPr>
            <w:tcW w:w="1798" w:type="dxa"/>
            <w:noWrap/>
            <w:vAlign w:val="center"/>
          </w:tcPr>
          <w:p w14:paraId="02EBA44F">
            <w:pPr>
              <w:jc w:val="center"/>
              <w:rPr>
                <w:sz w:val="22"/>
                <w:szCs w:val="22"/>
              </w:rPr>
            </w:pPr>
            <w:r>
              <w:rPr>
                <w:sz w:val="22"/>
                <w:szCs w:val="22"/>
              </w:rPr>
              <w:t>15.810.200.000</w:t>
            </w:r>
          </w:p>
        </w:tc>
        <w:tc>
          <w:tcPr>
            <w:tcW w:w="1382" w:type="dxa"/>
            <w:noWrap/>
            <w:vAlign w:val="center"/>
          </w:tcPr>
          <w:p w14:paraId="250B27EB">
            <w:pPr>
              <w:jc w:val="center"/>
              <w:rPr>
                <w:sz w:val="22"/>
                <w:szCs w:val="22"/>
              </w:rPr>
            </w:pPr>
          </w:p>
        </w:tc>
      </w:tr>
      <w:tr w14:paraId="57A2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52B5400">
            <w:pPr>
              <w:jc w:val="center"/>
              <w:rPr>
                <w:sz w:val="22"/>
                <w:szCs w:val="22"/>
              </w:rPr>
            </w:pPr>
          </w:p>
        </w:tc>
        <w:tc>
          <w:tcPr>
            <w:tcW w:w="1491" w:type="dxa"/>
            <w:noWrap/>
            <w:vAlign w:val="center"/>
          </w:tcPr>
          <w:p w14:paraId="6A422D22">
            <w:pPr>
              <w:jc w:val="center"/>
              <w:rPr>
                <w:sz w:val="22"/>
                <w:szCs w:val="22"/>
              </w:rPr>
            </w:pPr>
          </w:p>
        </w:tc>
        <w:tc>
          <w:tcPr>
            <w:tcW w:w="742" w:type="dxa"/>
            <w:vMerge w:val="restart"/>
            <w:noWrap/>
            <w:vAlign w:val="center"/>
          </w:tcPr>
          <w:p w14:paraId="07CA66D8">
            <w:pPr>
              <w:jc w:val="center"/>
              <w:rPr>
                <w:sz w:val="22"/>
                <w:szCs w:val="22"/>
              </w:rPr>
            </w:pPr>
            <w:r>
              <w:rPr>
                <w:sz w:val="22"/>
                <w:szCs w:val="22"/>
              </w:rPr>
              <w:t>LK04</w:t>
            </w:r>
          </w:p>
        </w:tc>
        <w:tc>
          <w:tcPr>
            <w:tcW w:w="676" w:type="dxa"/>
            <w:noWrap/>
            <w:vAlign w:val="center"/>
          </w:tcPr>
          <w:p w14:paraId="7AD818C0">
            <w:pPr>
              <w:jc w:val="center"/>
              <w:rPr>
                <w:sz w:val="22"/>
                <w:szCs w:val="22"/>
              </w:rPr>
            </w:pPr>
            <w:r>
              <w:rPr>
                <w:sz w:val="22"/>
                <w:szCs w:val="22"/>
              </w:rPr>
              <w:t>5</w:t>
            </w:r>
          </w:p>
        </w:tc>
        <w:tc>
          <w:tcPr>
            <w:tcW w:w="1098" w:type="dxa"/>
            <w:noWrap/>
            <w:vAlign w:val="center"/>
          </w:tcPr>
          <w:p w14:paraId="4F3A6500">
            <w:pPr>
              <w:jc w:val="center"/>
              <w:rPr>
                <w:sz w:val="22"/>
                <w:szCs w:val="22"/>
              </w:rPr>
            </w:pPr>
            <w:r>
              <w:rPr>
                <w:sz w:val="22"/>
                <w:szCs w:val="22"/>
              </w:rPr>
              <w:t>100,0</w:t>
            </w:r>
          </w:p>
        </w:tc>
        <w:tc>
          <w:tcPr>
            <w:tcW w:w="1817" w:type="dxa"/>
            <w:noWrap/>
            <w:vAlign w:val="center"/>
          </w:tcPr>
          <w:p w14:paraId="0E419688">
            <w:pPr>
              <w:jc w:val="center"/>
              <w:rPr>
                <w:sz w:val="22"/>
                <w:szCs w:val="22"/>
              </w:rPr>
            </w:pPr>
            <w:r>
              <w:rPr>
                <w:sz w:val="22"/>
                <w:szCs w:val="22"/>
              </w:rPr>
              <w:t>810.000.000</w:t>
            </w:r>
          </w:p>
        </w:tc>
        <w:tc>
          <w:tcPr>
            <w:tcW w:w="1798" w:type="dxa"/>
            <w:noWrap/>
            <w:vAlign w:val="center"/>
          </w:tcPr>
          <w:p w14:paraId="0538979B">
            <w:pPr>
              <w:jc w:val="center"/>
              <w:rPr>
                <w:sz w:val="22"/>
                <w:szCs w:val="22"/>
              </w:rPr>
            </w:pPr>
            <w:r>
              <w:rPr>
                <w:sz w:val="22"/>
                <w:szCs w:val="22"/>
              </w:rPr>
              <w:t>1.679.400.000</w:t>
            </w:r>
          </w:p>
        </w:tc>
        <w:tc>
          <w:tcPr>
            <w:tcW w:w="1382" w:type="dxa"/>
            <w:noWrap/>
            <w:vAlign w:val="center"/>
          </w:tcPr>
          <w:p w14:paraId="671CD1A0">
            <w:pPr>
              <w:jc w:val="center"/>
              <w:rPr>
                <w:sz w:val="22"/>
                <w:szCs w:val="22"/>
              </w:rPr>
            </w:pPr>
            <w:r>
              <w:rPr>
                <w:sz w:val="22"/>
                <w:szCs w:val="22"/>
              </w:rPr>
              <w:t>2,07%</w:t>
            </w:r>
          </w:p>
        </w:tc>
      </w:tr>
      <w:tr w14:paraId="720B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B1666CB">
            <w:pPr>
              <w:jc w:val="center"/>
              <w:rPr>
                <w:sz w:val="22"/>
                <w:szCs w:val="22"/>
              </w:rPr>
            </w:pPr>
          </w:p>
        </w:tc>
        <w:tc>
          <w:tcPr>
            <w:tcW w:w="1491" w:type="dxa"/>
            <w:noWrap/>
            <w:vAlign w:val="center"/>
          </w:tcPr>
          <w:p w14:paraId="45722774">
            <w:pPr>
              <w:jc w:val="center"/>
              <w:rPr>
                <w:sz w:val="22"/>
                <w:szCs w:val="22"/>
              </w:rPr>
            </w:pPr>
          </w:p>
        </w:tc>
        <w:tc>
          <w:tcPr>
            <w:tcW w:w="742" w:type="dxa"/>
            <w:vMerge w:val="continue"/>
            <w:vAlign w:val="center"/>
          </w:tcPr>
          <w:p w14:paraId="47605F56">
            <w:pPr>
              <w:jc w:val="center"/>
              <w:rPr>
                <w:sz w:val="22"/>
                <w:szCs w:val="22"/>
              </w:rPr>
            </w:pPr>
          </w:p>
        </w:tc>
        <w:tc>
          <w:tcPr>
            <w:tcW w:w="676" w:type="dxa"/>
            <w:noWrap/>
            <w:vAlign w:val="center"/>
          </w:tcPr>
          <w:p w14:paraId="57364A0C">
            <w:pPr>
              <w:jc w:val="center"/>
              <w:rPr>
                <w:sz w:val="22"/>
                <w:szCs w:val="22"/>
              </w:rPr>
            </w:pPr>
            <w:r>
              <w:rPr>
                <w:sz w:val="22"/>
                <w:szCs w:val="22"/>
              </w:rPr>
              <w:t>27</w:t>
            </w:r>
          </w:p>
        </w:tc>
        <w:tc>
          <w:tcPr>
            <w:tcW w:w="1098" w:type="dxa"/>
            <w:noWrap/>
            <w:vAlign w:val="center"/>
          </w:tcPr>
          <w:p w14:paraId="58C38619">
            <w:pPr>
              <w:jc w:val="center"/>
              <w:rPr>
                <w:sz w:val="22"/>
                <w:szCs w:val="22"/>
              </w:rPr>
            </w:pPr>
            <w:r>
              <w:rPr>
                <w:sz w:val="22"/>
                <w:szCs w:val="22"/>
              </w:rPr>
              <w:t>100,0</w:t>
            </w:r>
          </w:p>
        </w:tc>
        <w:tc>
          <w:tcPr>
            <w:tcW w:w="1817" w:type="dxa"/>
            <w:noWrap/>
            <w:vAlign w:val="center"/>
          </w:tcPr>
          <w:p w14:paraId="5FFC61D2">
            <w:pPr>
              <w:jc w:val="center"/>
              <w:rPr>
                <w:sz w:val="22"/>
                <w:szCs w:val="22"/>
              </w:rPr>
            </w:pPr>
            <w:r>
              <w:rPr>
                <w:sz w:val="22"/>
                <w:szCs w:val="22"/>
              </w:rPr>
              <w:t>700.000.000</w:t>
            </w:r>
          </w:p>
        </w:tc>
        <w:tc>
          <w:tcPr>
            <w:tcW w:w="1798" w:type="dxa"/>
            <w:noWrap/>
            <w:vAlign w:val="center"/>
          </w:tcPr>
          <w:p w14:paraId="70418EFA">
            <w:pPr>
              <w:jc w:val="center"/>
              <w:rPr>
                <w:sz w:val="22"/>
                <w:szCs w:val="22"/>
              </w:rPr>
            </w:pPr>
            <w:r>
              <w:rPr>
                <w:sz w:val="22"/>
                <w:szCs w:val="22"/>
              </w:rPr>
              <w:t>1.186.000.000</w:t>
            </w:r>
          </w:p>
        </w:tc>
        <w:tc>
          <w:tcPr>
            <w:tcW w:w="1382" w:type="dxa"/>
            <w:noWrap/>
            <w:vAlign w:val="center"/>
          </w:tcPr>
          <w:p w14:paraId="1E16F6EC">
            <w:pPr>
              <w:jc w:val="center"/>
              <w:rPr>
                <w:sz w:val="22"/>
                <w:szCs w:val="22"/>
              </w:rPr>
            </w:pPr>
            <w:r>
              <w:rPr>
                <w:sz w:val="22"/>
                <w:szCs w:val="22"/>
              </w:rPr>
              <w:t>1,69%</w:t>
            </w:r>
          </w:p>
        </w:tc>
      </w:tr>
      <w:tr w14:paraId="04FD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CE12ED7">
            <w:pPr>
              <w:jc w:val="center"/>
              <w:rPr>
                <w:sz w:val="22"/>
                <w:szCs w:val="22"/>
              </w:rPr>
            </w:pPr>
          </w:p>
        </w:tc>
        <w:tc>
          <w:tcPr>
            <w:tcW w:w="1491" w:type="dxa"/>
            <w:noWrap/>
            <w:vAlign w:val="center"/>
          </w:tcPr>
          <w:p w14:paraId="25CEC10E">
            <w:pPr>
              <w:jc w:val="center"/>
              <w:rPr>
                <w:sz w:val="22"/>
                <w:szCs w:val="22"/>
              </w:rPr>
            </w:pPr>
          </w:p>
        </w:tc>
        <w:tc>
          <w:tcPr>
            <w:tcW w:w="742" w:type="dxa"/>
            <w:vMerge w:val="continue"/>
            <w:vAlign w:val="center"/>
          </w:tcPr>
          <w:p w14:paraId="07D0EC7D">
            <w:pPr>
              <w:jc w:val="center"/>
              <w:rPr>
                <w:sz w:val="22"/>
                <w:szCs w:val="22"/>
              </w:rPr>
            </w:pPr>
          </w:p>
        </w:tc>
        <w:tc>
          <w:tcPr>
            <w:tcW w:w="676" w:type="dxa"/>
            <w:noWrap/>
            <w:vAlign w:val="center"/>
          </w:tcPr>
          <w:p w14:paraId="750D25F0">
            <w:pPr>
              <w:jc w:val="center"/>
              <w:rPr>
                <w:sz w:val="22"/>
                <w:szCs w:val="22"/>
              </w:rPr>
            </w:pPr>
            <w:r>
              <w:rPr>
                <w:sz w:val="22"/>
                <w:szCs w:val="22"/>
              </w:rPr>
              <w:t>28</w:t>
            </w:r>
          </w:p>
        </w:tc>
        <w:tc>
          <w:tcPr>
            <w:tcW w:w="1098" w:type="dxa"/>
            <w:noWrap/>
            <w:vAlign w:val="center"/>
          </w:tcPr>
          <w:p w14:paraId="147560AD">
            <w:pPr>
              <w:jc w:val="center"/>
              <w:rPr>
                <w:sz w:val="22"/>
                <w:szCs w:val="22"/>
              </w:rPr>
            </w:pPr>
            <w:r>
              <w:rPr>
                <w:sz w:val="22"/>
                <w:szCs w:val="22"/>
              </w:rPr>
              <w:t>100,0</w:t>
            </w:r>
          </w:p>
        </w:tc>
        <w:tc>
          <w:tcPr>
            <w:tcW w:w="1817" w:type="dxa"/>
            <w:noWrap/>
            <w:vAlign w:val="center"/>
          </w:tcPr>
          <w:p w14:paraId="760A8351">
            <w:pPr>
              <w:jc w:val="center"/>
              <w:rPr>
                <w:sz w:val="22"/>
                <w:szCs w:val="22"/>
              </w:rPr>
            </w:pPr>
            <w:r>
              <w:rPr>
                <w:sz w:val="22"/>
                <w:szCs w:val="22"/>
              </w:rPr>
              <w:t>700.000.000</w:t>
            </w:r>
          </w:p>
        </w:tc>
        <w:tc>
          <w:tcPr>
            <w:tcW w:w="1798" w:type="dxa"/>
            <w:noWrap/>
            <w:vAlign w:val="center"/>
          </w:tcPr>
          <w:p w14:paraId="0C5CBCA8">
            <w:pPr>
              <w:jc w:val="center"/>
              <w:rPr>
                <w:sz w:val="22"/>
                <w:szCs w:val="22"/>
              </w:rPr>
            </w:pPr>
            <w:r>
              <w:rPr>
                <w:sz w:val="22"/>
                <w:szCs w:val="22"/>
              </w:rPr>
              <w:t>1.063.000.000</w:t>
            </w:r>
          </w:p>
        </w:tc>
        <w:tc>
          <w:tcPr>
            <w:tcW w:w="1382" w:type="dxa"/>
            <w:noWrap/>
            <w:vAlign w:val="center"/>
          </w:tcPr>
          <w:p w14:paraId="5CBE20D1">
            <w:pPr>
              <w:jc w:val="center"/>
              <w:rPr>
                <w:sz w:val="22"/>
                <w:szCs w:val="22"/>
              </w:rPr>
            </w:pPr>
            <w:r>
              <w:rPr>
                <w:sz w:val="22"/>
                <w:szCs w:val="22"/>
              </w:rPr>
              <w:t>1,52%</w:t>
            </w:r>
          </w:p>
        </w:tc>
      </w:tr>
      <w:tr w14:paraId="1975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1A16F201">
            <w:pPr>
              <w:jc w:val="center"/>
              <w:rPr>
                <w:sz w:val="22"/>
                <w:szCs w:val="22"/>
              </w:rPr>
            </w:pPr>
          </w:p>
        </w:tc>
        <w:tc>
          <w:tcPr>
            <w:tcW w:w="1491" w:type="dxa"/>
            <w:noWrap/>
            <w:vAlign w:val="center"/>
          </w:tcPr>
          <w:p w14:paraId="7D4ECA81">
            <w:pPr>
              <w:jc w:val="center"/>
              <w:rPr>
                <w:sz w:val="22"/>
                <w:szCs w:val="22"/>
              </w:rPr>
            </w:pPr>
          </w:p>
        </w:tc>
        <w:tc>
          <w:tcPr>
            <w:tcW w:w="742" w:type="dxa"/>
            <w:vMerge w:val="continue"/>
            <w:vAlign w:val="center"/>
          </w:tcPr>
          <w:p w14:paraId="52BBB544">
            <w:pPr>
              <w:jc w:val="center"/>
              <w:rPr>
                <w:sz w:val="22"/>
                <w:szCs w:val="22"/>
              </w:rPr>
            </w:pPr>
          </w:p>
        </w:tc>
        <w:tc>
          <w:tcPr>
            <w:tcW w:w="676" w:type="dxa"/>
            <w:noWrap/>
            <w:vAlign w:val="center"/>
          </w:tcPr>
          <w:p w14:paraId="0625DC08">
            <w:pPr>
              <w:jc w:val="center"/>
              <w:rPr>
                <w:sz w:val="22"/>
                <w:szCs w:val="22"/>
              </w:rPr>
            </w:pPr>
            <w:r>
              <w:rPr>
                <w:sz w:val="22"/>
                <w:szCs w:val="22"/>
              </w:rPr>
              <w:t>29</w:t>
            </w:r>
          </w:p>
        </w:tc>
        <w:tc>
          <w:tcPr>
            <w:tcW w:w="1098" w:type="dxa"/>
            <w:noWrap/>
            <w:vAlign w:val="center"/>
          </w:tcPr>
          <w:p w14:paraId="7576C8B7">
            <w:pPr>
              <w:jc w:val="center"/>
              <w:rPr>
                <w:sz w:val="22"/>
                <w:szCs w:val="22"/>
              </w:rPr>
            </w:pPr>
            <w:r>
              <w:rPr>
                <w:sz w:val="22"/>
                <w:szCs w:val="22"/>
              </w:rPr>
              <w:t>100,0</w:t>
            </w:r>
          </w:p>
        </w:tc>
        <w:tc>
          <w:tcPr>
            <w:tcW w:w="1817" w:type="dxa"/>
            <w:noWrap/>
            <w:vAlign w:val="center"/>
          </w:tcPr>
          <w:p w14:paraId="68FEFBF4">
            <w:pPr>
              <w:jc w:val="center"/>
              <w:rPr>
                <w:sz w:val="22"/>
                <w:szCs w:val="22"/>
              </w:rPr>
            </w:pPr>
            <w:r>
              <w:rPr>
                <w:sz w:val="22"/>
                <w:szCs w:val="22"/>
              </w:rPr>
              <w:t>700.000.000</w:t>
            </w:r>
          </w:p>
        </w:tc>
        <w:tc>
          <w:tcPr>
            <w:tcW w:w="1798" w:type="dxa"/>
            <w:noWrap/>
            <w:vAlign w:val="center"/>
          </w:tcPr>
          <w:p w14:paraId="1914BA00">
            <w:pPr>
              <w:jc w:val="center"/>
              <w:rPr>
                <w:sz w:val="22"/>
                <w:szCs w:val="22"/>
              </w:rPr>
            </w:pPr>
            <w:r>
              <w:rPr>
                <w:sz w:val="22"/>
                <w:szCs w:val="22"/>
              </w:rPr>
              <w:t>1.189.000.000</w:t>
            </w:r>
          </w:p>
        </w:tc>
        <w:tc>
          <w:tcPr>
            <w:tcW w:w="1382" w:type="dxa"/>
            <w:noWrap/>
            <w:vAlign w:val="center"/>
          </w:tcPr>
          <w:p w14:paraId="4B305D3A">
            <w:pPr>
              <w:jc w:val="center"/>
              <w:rPr>
                <w:sz w:val="22"/>
                <w:szCs w:val="22"/>
              </w:rPr>
            </w:pPr>
            <w:r>
              <w:rPr>
                <w:sz w:val="22"/>
                <w:szCs w:val="22"/>
              </w:rPr>
              <w:t>1,70%</w:t>
            </w:r>
          </w:p>
        </w:tc>
      </w:tr>
      <w:tr w14:paraId="6DEA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473D4B01">
            <w:pPr>
              <w:jc w:val="center"/>
              <w:rPr>
                <w:sz w:val="22"/>
                <w:szCs w:val="22"/>
              </w:rPr>
            </w:pPr>
          </w:p>
        </w:tc>
        <w:tc>
          <w:tcPr>
            <w:tcW w:w="1491" w:type="dxa"/>
            <w:noWrap/>
            <w:vAlign w:val="center"/>
          </w:tcPr>
          <w:p w14:paraId="15733743">
            <w:pPr>
              <w:jc w:val="center"/>
              <w:rPr>
                <w:sz w:val="22"/>
                <w:szCs w:val="22"/>
              </w:rPr>
            </w:pPr>
          </w:p>
        </w:tc>
        <w:tc>
          <w:tcPr>
            <w:tcW w:w="742" w:type="dxa"/>
            <w:vMerge w:val="continue"/>
            <w:vAlign w:val="center"/>
          </w:tcPr>
          <w:p w14:paraId="001BCD46">
            <w:pPr>
              <w:jc w:val="center"/>
              <w:rPr>
                <w:sz w:val="22"/>
                <w:szCs w:val="22"/>
              </w:rPr>
            </w:pPr>
          </w:p>
        </w:tc>
        <w:tc>
          <w:tcPr>
            <w:tcW w:w="676" w:type="dxa"/>
            <w:noWrap/>
            <w:vAlign w:val="center"/>
          </w:tcPr>
          <w:p w14:paraId="459EB84B">
            <w:pPr>
              <w:jc w:val="center"/>
              <w:rPr>
                <w:sz w:val="22"/>
                <w:szCs w:val="22"/>
              </w:rPr>
            </w:pPr>
            <w:r>
              <w:rPr>
                <w:sz w:val="22"/>
                <w:szCs w:val="22"/>
              </w:rPr>
              <w:t>34</w:t>
            </w:r>
          </w:p>
        </w:tc>
        <w:tc>
          <w:tcPr>
            <w:tcW w:w="1098" w:type="dxa"/>
            <w:noWrap/>
            <w:vAlign w:val="center"/>
          </w:tcPr>
          <w:p w14:paraId="7510E21F">
            <w:pPr>
              <w:jc w:val="center"/>
              <w:rPr>
                <w:sz w:val="22"/>
                <w:szCs w:val="22"/>
              </w:rPr>
            </w:pPr>
            <w:r>
              <w:rPr>
                <w:sz w:val="22"/>
                <w:szCs w:val="22"/>
              </w:rPr>
              <w:t>100,0</w:t>
            </w:r>
          </w:p>
        </w:tc>
        <w:tc>
          <w:tcPr>
            <w:tcW w:w="1817" w:type="dxa"/>
            <w:noWrap/>
            <w:vAlign w:val="center"/>
          </w:tcPr>
          <w:p w14:paraId="23BFB56D">
            <w:pPr>
              <w:jc w:val="center"/>
              <w:rPr>
                <w:sz w:val="22"/>
                <w:szCs w:val="22"/>
              </w:rPr>
            </w:pPr>
            <w:r>
              <w:rPr>
                <w:sz w:val="22"/>
                <w:szCs w:val="22"/>
              </w:rPr>
              <w:t>700.000.000</w:t>
            </w:r>
          </w:p>
        </w:tc>
        <w:tc>
          <w:tcPr>
            <w:tcW w:w="1798" w:type="dxa"/>
            <w:noWrap/>
            <w:vAlign w:val="center"/>
          </w:tcPr>
          <w:p w14:paraId="0C9FDB4F">
            <w:pPr>
              <w:jc w:val="center"/>
              <w:rPr>
                <w:sz w:val="22"/>
                <w:szCs w:val="22"/>
              </w:rPr>
            </w:pPr>
            <w:r>
              <w:rPr>
                <w:sz w:val="22"/>
                <w:szCs w:val="22"/>
              </w:rPr>
              <w:t>1.060.000.000</w:t>
            </w:r>
          </w:p>
        </w:tc>
        <w:tc>
          <w:tcPr>
            <w:tcW w:w="1382" w:type="dxa"/>
            <w:noWrap/>
            <w:vAlign w:val="center"/>
          </w:tcPr>
          <w:p w14:paraId="6BAD2ED4">
            <w:pPr>
              <w:jc w:val="center"/>
              <w:rPr>
                <w:sz w:val="22"/>
                <w:szCs w:val="22"/>
              </w:rPr>
            </w:pPr>
            <w:r>
              <w:rPr>
                <w:sz w:val="22"/>
                <w:szCs w:val="22"/>
              </w:rPr>
              <w:t>1,51%</w:t>
            </w:r>
          </w:p>
        </w:tc>
      </w:tr>
      <w:tr w14:paraId="17AA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36414AE">
            <w:pPr>
              <w:jc w:val="center"/>
              <w:rPr>
                <w:sz w:val="22"/>
                <w:szCs w:val="22"/>
              </w:rPr>
            </w:pPr>
          </w:p>
        </w:tc>
        <w:tc>
          <w:tcPr>
            <w:tcW w:w="1491" w:type="dxa"/>
            <w:noWrap/>
            <w:vAlign w:val="center"/>
          </w:tcPr>
          <w:p w14:paraId="417A4C06">
            <w:pPr>
              <w:jc w:val="center"/>
              <w:rPr>
                <w:sz w:val="22"/>
                <w:szCs w:val="22"/>
              </w:rPr>
            </w:pPr>
          </w:p>
        </w:tc>
        <w:tc>
          <w:tcPr>
            <w:tcW w:w="742" w:type="dxa"/>
            <w:vMerge w:val="continue"/>
            <w:vAlign w:val="center"/>
          </w:tcPr>
          <w:p w14:paraId="0BC362D7">
            <w:pPr>
              <w:jc w:val="center"/>
              <w:rPr>
                <w:sz w:val="22"/>
                <w:szCs w:val="22"/>
              </w:rPr>
            </w:pPr>
          </w:p>
        </w:tc>
        <w:tc>
          <w:tcPr>
            <w:tcW w:w="676" w:type="dxa"/>
            <w:noWrap/>
            <w:vAlign w:val="center"/>
          </w:tcPr>
          <w:p w14:paraId="61B391B8">
            <w:pPr>
              <w:jc w:val="center"/>
              <w:rPr>
                <w:sz w:val="22"/>
                <w:szCs w:val="22"/>
              </w:rPr>
            </w:pPr>
            <w:r>
              <w:rPr>
                <w:sz w:val="22"/>
                <w:szCs w:val="22"/>
              </w:rPr>
              <w:t>35</w:t>
            </w:r>
          </w:p>
        </w:tc>
        <w:tc>
          <w:tcPr>
            <w:tcW w:w="1098" w:type="dxa"/>
            <w:noWrap/>
            <w:vAlign w:val="center"/>
          </w:tcPr>
          <w:p w14:paraId="40EA21DA">
            <w:pPr>
              <w:jc w:val="center"/>
              <w:rPr>
                <w:sz w:val="22"/>
                <w:szCs w:val="22"/>
              </w:rPr>
            </w:pPr>
            <w:r>
              <w:rPr>
                <w:sz w:val="22"/>
                <w:szCs w:val="22"/>
              </w:rPr>
              <w:t>100,0</w:t>
            </w:r>
          </w:p>
        </w:tc>
        <w:tc>
          <w:tcPr>
            <w:tcW w:w="1817" w:type="dxa"/>
            <w:noWrap/>
            <w:vAlign w:val="center"/>
          </w:tcPr>
          <w:p w14:paraId="71217226">
            <w:pPr>
              <w:jc w:val="center"/>
              <w:rPr>
                <w:sz w:val="22"/>
                <w:szCs w:val="22"/>
              </w:rPr>
            </w:pPr>
            <w:r>
              <w:rPr>
                <w:sz w:val="22"/>
                <w:szCs w:val="22"/>
              </w:rPr>
              <w:t>700.000.000</w:t>
            </w:r>
          </w:p>
        </w:tc>
        <w:tc>
          <w:tcPr>
            <w:tcW w:w="1798" w:type="dxa"/>
            <w:noWrap/>
            <w:vAlign w:val="center"/>
          </w:tcPr>
          <w:p w14:paraId="2B25005C">
            <w:pPr>
              <w:jc w:val="center"/>
              <w:rPr>
                <w:sz w:val="22"/>
                <w:szCs w:val="22"/>
              </w:rPr>
            </w:pPr>
            <w:r>
              <w:rPr>
                <w:sz w:val="22"/>
                <w:szCs w:val="22"/>
              </w:rPr>
              <w:t>1.186.000.000</w:t>
            </w:r>
          </w:p>
        </w:tc>
        <w:tc>
          <w:tcPr>
            <w:tcW w:w="1382" w:type="dxa"/>
            <w:noWrap/>
            <w:vAlign w:val="center"/>
          </w:tcPr>
          <w:p w14:paraId="458B9A45">
            <w:pPr>
              <w:jc w:val="center"/>
              <w:rPr>
                <w:sz w:val="22"/>
                <w:szCs w:val="22"/>
              </w:rPr>
            </w:pPr>
            <w:r>
              <w:rPr>
                <w:sz w:val="22"/>
                <w:szCs w:val="22"/>
              </w:rPr>
              <w:t>1,69%</w:t>
            </w:r>
          </w:p>
        </w:tc>
      </w:tr>
      <w:tr w14:paraId="1A44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74FB9099">
            <w:pPr>
              <w:jc w:val="center"/>
              <w:rPr>
                <w:sz w:val="22"/>
                <w:szCs w:val="22"/>
              </w:rPr>
            </w:pPr>
          </w:p>
        </w:tc>
        <w:tc>
          <w:tcPr>
            <w:tcW w:w="1491" w:type="dxa"/>
            <w:noWrap/>
            <w:vAlign w:val="center"/>
          </w:tcPr>
          <w:p w14:paraId="71E72B93">
            <w:pPr>
              <w:jc w:val="center"/>
              <w:rPr>
                <w:sz w:val="22"/>
                <w:szCs w:val="22"/>
              </w:rPr>
            </w:pPr>
          </w:p>
        </w:tc>
        <w:tc>
          <w:tcPr>
            <w:tcW w:w="742" w:type="dxa"/>
            <w:vMerge w:val="continue"/>
            <w:vAlign w:val="center"/>
          </w:tcPr>
          <w:p w14:paraId="4C7F991E">
            <w:pPr>
              <w:jc w:val="center"/>
              <w:rPr>
                <w:sz w:val="22"/>
                <w:szCs w:val="22"/>
              </w:rPr>
            </w:pPr>
          </w:p>
        </w:tc>
        <w:tc>
          <w:tcPr>
            <w:tcW w:w="676" w:type="dxa"/>
            <w:noWrap/>
            <w:vAlign w:val="center"/>
          </w:tcPr>
          <w:p w14:paraId="5621F155">
            <w:pPr>
              <w:jc w:val="center"/>
              <w:rPr>
                <w:sz w:val="22"/>
                <w:szCs w:val="22"/>
              </w:rPr>
            </w:pPr>
            <w:r>
              <w:rPr>
                <w:sz w:val="22"/>
                <w:szCs w:val="22"/>
              </w:rPr>
              <w:t>36</w:t>
            </w:r>
          </w:p>
        </w:tc>
        <w:tc>
          <w:tcPr>
            <w:tcW w:w="1098" w:type="dxa"/>
            <w:noWrap/>
            <w:vAlign w:val="center"/>
          </w:tcPr>
          <w:p w14:paraId="6F34371F">
            <w:pPr>
              <w:jc w:val="center"/>
              <w:rPr>
                <w:sz w:val="22"/>
                <w:szCs w:val="22"/>
              </w:rPr>
            </w:pPr>
            <w:r>
              <w:rPr>
                <w:sz w:val="22"/>
                <w:szCs w:val="22"/>
              </w:rPr>
              <w:t>100,0</w:t>
            </w:r>
          </w:p>
        </w:tc>
        <w:tc>
          <w:tcPr>
            <w:tcW w:w="1817" w:type="dxa"/>
            <w:noWrap/>
            <w:vAlign w:val="center"/>
          </w:tcPr>
          <w:p w14:paraId="41339A05">
            <w:pPr>
              <w:jc w:val="center"/>
              <w:rPr>
                <w:sz w:val="22"/>
                <w:szCs w:val="22"/>
              </w:rPr>
            </w:pPr>
            <w:r>
              <w:rPr>
                <w:sz w:val="22"/>
                <w:szCs w:val="22"/>
              </w:rPr>
              <w:t>700.000.000</w:t>
            </w:r>
          </w:p>
        </w:tc>
        <w:tc>
          <w:tcPr>
            <w:tcW w:w="1798" w:type="dxa"/>
            <w:noWrap/>
            <w:vAlign w:val="center"/>
          </w:tcPr>
          <w:p w14:paraId="73A89219">
            <w:pPr>
              <w:jc w:val="center"/>
              <w:rPr>
                <w:sz w:val="22"/>
                <w:szCs w:val="22"/>
              </w:rPr>
            </w:pPr>
            <w:r>
              <w:rPr>
                <w:sz w:val="22"/>
                <w:szCs w:val="22"/>
              </w:rPr>
              <w:t>1.256.000.000</w:t>
            </w:r>
          </w:p>
        </w:tc>
        <w:tc>
          <w:tcPr>
            <w:tcW w:w="1382" w:type="dxa"/>
            <w:noWrap/>
            <w:vAlign w:val="center"/>
          </w:tcPr>
          <w:p w14:paraId="24F9B295">
            <w:pPr>
              <w:jc w:val="center"/>
              <w:rPr>
                <w:sz w:val="22"/>
                <w:szCs w:val="22"/>
              </w:rPr>
            </w:pPr>
            <w:r>
              <w:rPr>
                <w:sz w:val="22"/>
                <w:szCs w:val="22"/>
              </w:rPr>
              <w:t>1,79%</w:t>
            </w:r>
          </w:p>
        </w:tc>
      </w:tr>
      <w:tr w14:paraId="6DB8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CAE2751">
            <w:pPr>
              <w:jc w:val="center"/>
              <w:rPr>
                <w:sz w:val="22"/>
                <w:szCs w:val="22"/>
              </w:rPr>
            </w:pPr>
          </w:p>
        </w:tc>
        <w:tc>
          <w:tcPr>
            <w:tcW w:w="1491" w:type="dxa"/>
            <w:noWrap/>
            <w:vAlign w:val="center"/>
          </w:tcPr>
          <w:p w14:paraId="20274497">
            <w:pPr>
              <w:jc w:val="center"/>
              <w:rPr>
                <w:sz w:val="22"/>
                <w:szCs w:val="22"/>
              </w:rPr>
            </w:pPr>
          </w:p>
        </w:tc>
        <w:tc>
          <w:tcPr>
            <w:tcW w:w="742" w:type="dxa"/>
            <w:vMerge w:val="continue"/>
            <w:vAlign w:val="center"/>
          </w:tcPr>
          <w:p w14:paraId="1D7F197E">
            <w:pPr>
              <w:jc w:val="center"/>
              <w:rPr>
                <w:sz w:val="22"/>
                <w:szCs w:val="22"/>
              </w:rPr>
            </w:pPr>
          </w:p>
        </w:tc>
        <w:tc>
          <w:tcPr>
            <w:tcW w:w="676" w:type="dxa"/>
            <w:noWrap/>
            <w:vAlign w:val="center"/>
          </w:tcPr>
          <w:p w14:paraId="3001B8F0">
            <w:pPr>
              <w:jc w:val="center"/>
              <w:rPr>
                <w:sz w:val="22"/>
                <w:szCs w:val="22"/>
              </w:rPr>
            </w:pPr>
            <w:r>
              <w:rPr>
                <w:sz w:val="22"/>
                <w:szCs w:val="22"/>
              </w:rPr>
              <w:t>39</w:t>
            </w:r>
          </w:p>
        </w:tc>
        <w:tc>
          <w:tcPr>
            <w:tcW w:w="1098" w:type="dxa"/>
            <w:noWrap/>
            <w:vAlign w:val="center"/>
          </w:tcPr>
          <w:p w14:paraId="4D209193">
            <w:pPr>
              <w:jc w:val="center"/>
              <w:rPr>
                <w:sz w:val="22"/>
                <w:szCs w:val="22"/>
              </w:rPr>
            </w:pPr>
            <w:r>
              <w:rPr>
                <w:sz w:val="22"/>
                <w:szCs w:val="22"/>
              </w:rPr>
              <w:t>100,0</w:t>
            </w:r>
          </w:p>
        </w:tc>
        <w:tc>
          <w:tcPr>
            <w:tcW w:w="1817" w:type="dxa"/>
            <w:noWrap/>
            <w:vAlign w:val="center"/>
          </w:tcPr>
          <w:p w14:paraId="757D8BB1">
            <w:pPr>
              <w:jc w:val="center"/>
              <w:rPr>
                <w:sz w:val="22"/>
                <w:szCs w:val="22"/>
              </w:rPr>
            </w:pPr>
            <w:r>
              <w:rPr>
                <w:sz w:val="22"/>
                <w:szCs w:val="22"/>
              </w:rPr>
              <w:t>700.000.000</w:t>
            </w:r>
          </w:p>
        </w:tc>
        <w:tc>
          <w:tcPr>
            <w:tcW w:w="1798" w:type="dxa"/>
            <w:noWrap/>
            <w:vAlign w:val="center"/>
          </w:tcPr>
          <w:p w14:paraId="6C64F697">
            <w:pPr>
              <w:jc w:val="center"/>
              <w:rPr>
                <w:sz w:val="22"/>
                <w:szCs w:val="22"/>
              </w:rPr>
            </w:pPr>
            <w:r>
              <w:rPr>
                <w:sz w:val="22"/>
                <w:szCs w:val="22"/>
              </w:rPr>
              <w:t>1.045.000.000</w:t>
            </w:r>
          </w:p>
        </w:tc>
        <w:tc>
          <w:tcPr>
            <w:tcW w:w="1382" w:type="dxa"/>
            <w:noWrap/>
            <w:vAlign w:val="center"/>
          </w:tcPr>
          <w:p w14:paraId="7854F145">
            <w:pPr>
              <w:jc w:val="center"/>
              <w:rPr>
                <w:sz w:val="22"/>
                <w:szCs w:val="22"/>
              </w:rPr>
            </w:pPr>
            <w:r>
              <w:rPr>
                <w:sz w:val="22"/>
                <w:szCs w:val="22"/>
              </w:rPr>
              <w:t>1,49%</w:t>
            </w:r>
          </w:p>
        </w:tc>
      </w:tr>
      <w:tr w14:paraId="69E3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6576A6B6">
            <w:pPr>
              <w:jc w:val="center"/>
              <w:rPr>
                <w:sz w:val="22"/>
                <w:szCs w:val="22"/>
              </w:rPr>
            </w:pPr>
          </w:p>
        </w:tc>
        <w:tc>
          <w:tcPr>
            <w:tcW w:w="1491" w:type="dxa"/>
            <w:noWrap/>
            <w:vAlign w:val="center"/>
          </w:tcPr>
          <w:p w14:paraId="13E6936C">
            <w:pPr>
              <w:jc w:val="center"/>
              <w:rPr>
                <w:sz w:val="22"/>
                <w:szCs w:val="22"/>
              </w:rPr>
            </w:pPr>
          </w:p>
        </w:tc>
        <w:tc>
          <w:tcPr>
            <w:tcW w:w="742" w:type="dxa"/>
            <w:vMerge w:val="continue"/>
            <w:vAlign w:val="center"/>
          </w:tcPr>
          <w:p w14:paraId="0FB26104">
            <w:pPr>
              <w:jc w:val="center"/>
              <w:rPr>
                <w:sz w:val="22"/>
                <w:szCs w:val="22"/>
              </w:rPr>
            </w:pPr>
          </w:p>
        </w:tc>
        <w:tc>
          <w:tcPr>
            <w:tcW w:w="676" w:type="dxa"/>
            <w:noWrap/>
            <w:vAlign w:val="center"/>
          </w:tcPr>
          <w:p w14:paraId="49409492">
            <w:pPr>
              <w:jc w:val="center"/>
              <w:rPr>
                <w:sz w:val="22"/>
                <w:szCs w:val="22"/>
              </w:rPr>
            </w:pPr>
            <w:r>
              <w:rPr>
                <w:sz w:val="22"/>
                <w:szCs w:val="22"/>
              </w:rPr>
              <w:t>40</w:t>
            </w:r>
          </w:p>
        </w:tc>
        <w:tc>
          <w:tcPr>
            <w:tcW w:w="1098" w:type="dxa"/>
            <w:noWrap/>
            <w:vAlign w:val="center"/>
          </w:tcPr>
          <w:p w14:paraId="4D906EC5">
            <w:pPr>
              <w:jc w:val="center"/>
              <w:rPr>
                <w:sz w:val="22"/>
                <w:szCs w:val="22"/>
              </w:rPr>
            </w:pPr>
            <w:r>
              <w:rPr>
                <w:sz w:val="22"/>
                <w:szCs w:val="22"/>
              </w:rPr>
              <w:t>100,0</w:t>
            </w:r>
          </w:p>
        </w:tc>
        <w:tc>
          <w:tcPr>
            <w:tcW w:w="1817" w:type="dxa"/>
            <w:noWrap/>
            <w:vAlign w:val="center"/>
          </w:tcPr>
          <w:p w14:paraId="38F64B37">
            <w:pPr>
              <w:jc w:val="center"/>
              <w:rPr>
                <w:sz w:val="22"/>
                <w:szCs w:val="22"/>
              </w:rPr>
            </w:pPr>
            <w:r>
              <w:rPr>
                <w:sz w:val="22"/>
                <w:szCs w:val="22"/>
              </w:rPr>
              <w:t>700.000.000</w:t>
            </w:r>
          </w:p>
        </w:tc>
        <w:tc>
          <w:tcPr>
            <w:tcW w:w="1798" w:type="dxa"/>
            <w:noWrap/>
            <w:vAlign w:val="center"/>
          </w:tcPr>
          <w:p w14:paraId="5BB05A0A">
            <w:pPr>
              <w:jc w:val="center"/>
              <w:rPr>
                <w:sz w:val="22"/>
                <w:szCs w:val="22"/>
              </w:rPr>
            </w:pPr>
            <w:r>
              <w:rPr>
                <w:sz w:val="22"/>
                <w:szCs w:val="22"/>
              </w:rPr>
              <w:t>1.163.900.000</w:t>
            </w:r>
          </w:p>
        </w:tc>
        <w:tc>
          <w:tcPr>
            <w:tcW w:w="1382" w:type="dxa"/>
            <w:noWrap/>
            <w:vAlign w:val="center"/>
          </w:tcPr>
          <w:p w14:paraId="177B2267">
            <w:pPr>
              <w:jc w:val="center"/>
              <w:rPr>
                <w:sz w:val="22"/>
                <w:szCs w:val="22"/>
              </w:rPr>
            </w:pPr>
            <w:r>
              <w:rPr>
                <w:sz w:val="22"/>
                <w:szCs w:val="22"/>
              </w:rPr>
              <w:t>1,66%</w:t>
            </w:r>
          </w:p>
        </w:tc>
      </w:tr>
      <w:tr w14:paraId="2AE3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595A766B">
            <w:pPr>
              <w:jc w:val="center"/>
              <w:rPr>
                <w:sz w:val="22"/>
                <w:szCs w:val="22"/>
              </w:rPr>
            </w:pPr>
          </w:p>
        </w:tc>
        <w:tc>
          <w:tcPr>
            <w:tcW w:w="1491" w:type="dxa"/>
            <w:noWrap/>
            <w:vAlign w:val="center"/>
          </w:tcPr>
          <w:p w14:paraId="7E7DDB02">
            <w:pPr>
              <w:jc w:val="center"/>
              <w:rPr>
                <w:sz w:val="22"/>
                <w:szCs w:val="22"/>
              </w:rPr>
            </w:pPr>
          </w:p>
        </w:tc>
        <w:tc>
          <w:tcPr>
            <w:tcW w:w="742" w:type="dxa"/>
            <w:vMerge w:val="continue"/>
            <w:vAlign w:val="center"/>
          </w:tcPr>
          <w:p w14:paraId="3D47CA65">
            <w:pPr>
              <w:jc w:val="center"/>
              <w:rPr>
                <w:sz w:val="22"/>
                <w:szCs w:val="22"/>
              </w:rPr>
            </w:pPr>
          </w:p>
        </w:tc>
        <w:tc>
          <w:tcPr>
            <w:tcW w:w="676" w:type="dxa"/>
            <w:noWrap/>
            <w:vAlign w:val="center"/>
          </w:tcPr>
          <w:p w14:paraId="062C6979">
            <w:pPr>
              <w:jc w:val="center"/>
              <w:rPr>
                <w:sz w:val="22"/>
                <w:szCs w:val="22"/>
              </w:rPr>
            </w:pPr>
            <w:r>
              <w:rPr>
                <w:sz w:val="22"/>
                <w:szCs w:val="22"/>
              </w:rPr>
              <w:t>41</w:t>
            </w:r>
          </w:p>
        </w:tc>
        <w:tc>
          <w:tcPr>
            <w:tcW w:w="1098" w:type="dxa"/>
            <w:noWrap/>
            <w:vAlign w:val="center"/>
          </w:tcPr>
          <w:p w14:paraId="70D70632">
            <w:pPr>
              <w:jc w:val="center"/>
              <w:rPr>
                <w:sz w:val="22"/>
                <w:szCs w:val="22"/>
              </w:rPr>
            </w:pPr>
            <w:r>
              <w:rPr>
                <w:sz w:val="22"/>
                <w:szCs w:val="22"/>
              </w:rPr>
              <w:t>100,0</w:t>
            </w:r>
          </w:p>
        </w:tc>
        <w:tc>
          <w:tcPr>
            <w:tcW w:w="1817" w:type="dxa"/>
            <w:noWrap/>
            <w:vAlign w:val="center"/>
          </w:tcPr>
          <w:p w14:paraId="041591B2">
            <w:pPr>
              <w:jc w:val="center"/>
              <w:rPr>
                <w:sz w:val="22"/>
                <w:szCs w:val="22"/>
              </w:rPr>
            </w:pPr>
            <w:r>
              <w:rPr>
                <w:sz w:val="22"/>
                <w:szCs w:val="22"/>
              </w:rPr>
              <w:t>700.000.000</w:t>
            </w:r>
          </w:p>
        </w:tc>
        <w:tc>
          <w:tcPr>
            <w:tcW w:w="1798" w:type="dxa"/>
            <w:noWrap/>
            <w:vAlign w:val="center"/>
          </w:tcPr>
          <w:p w14:paraId="4A8311EF">
            <w:pPr>
              <w:jc w:val="center"/>
              <w:rPr>
                <w:sz w:val="22"/>
                <w:szCs w:val="22"/>
              </w:rPr>
            </w:pPr>
            <w:r>
              <w:rPr>
                <w:sz w:val="22"/>
                <w:szCs w:val="22"/>
              </w:rPr>
              <w:t>1.133.900.000</w:t>
            </w:r>
          </w:p>
        </w:tc>
        <w:tc>
          <w:tcPr>
            <w:tcW w:w="1382" w:type="dxa"/>
            <w:noWrap/>
            <w:vAlign w:val="center"/>
          </w:tcPr>
          <w:p w14:paraId="2153E77A">
            <w:pPr>
              <w:jc w:val="center"/>
              <w:rPr>
                <w:sz w:val="22"/>
                <w:szCs w:val="22"/>
              </w:rPr>
            </w:pPr>
            <w:r>
              <w:rPr>
                <w:sz w:val="22"/>
                <w:szCs w:val="22"/>
              </w:rPr>
              <w:t>1,62%</w:t>
            </w:r>
          </w:p>
        </w:tc>
      </w:tr>
      <w:tr w14:paraId="143E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4C0AA49">
            <w:pPr>
              <w:jc w:val="center"/>
              <w:rPr>
                <w:sz w:val="22"/>
                <w:szCs w:val="22"/>
              </w:rPr>
            </w:pPr>
          </w:p>
        </w:tc>
        <w:tc>
          <w:tcPr>
            <w:tcW w:w="1491" w:type="dxa"/>
            <w:noWrap/>
            <w:vAlign w:val="center"/>
          </w:tcPr>
          <w:p w14:paraId="6E515CB4">
            <w:pPr>
              <w:jc w:val="center"/>
              <w:rPr>
                <w:sz w:val="22"/>
                <w:szCs w:val="22"/>
              </w:rPr>
            </w:pPr>
          </w:p>
        </w:tc>
        <w:tc>
          <w:tcPr>
            <w:tcW w:w="742" w:type="dxa"/>
            <w:vMerge w:val="continue"/>
            <w:vAlign w:val="center"/>
          </w:tcPr>
          <w:p w14:paraId="425E4958">
            <w:pPr>
              <w:jc w:val="center"/>
              <w:rPr>
                <w:sz w:val="22"/>
                <w:szCs w:val="22"/>
              </w:rPr>
            </w:pPr>
          </w:p>
        </w:tc>
        <w:tc>
          <w:tcPr>
            <w:tcW w:w="676" w:type="dxa"/>
            <w:noWrap/>
            <w:vAlign w:val="center"/>
          </w:tcPr>
          <w:p w14:paraId="36309ACC">
            <w:pPr>
              <w:jc w:val="center"/>
              <w:rPr>
                <w:sz w:val="22"/>
                <w:szCs w:val="22"/>
              </w:rPr>
            </w:pPr>
            <w:r>
              <w:rPr>
                <w:sz w:val="22"/>
                <w:szCs w:val="22"/>
              </w:rPr>
              <w:t>42</w:t>
            </w:r>
          </w:p>
        </w:tc>
        <w:tc>
          <w:tcPr>
            <w:tcW w:w="1098" w:type="dxa"/>
            <w:noWrap/>
            <w:vAlign w:val="center"/>
          </w:tcPr>
          <w:p w14:paraId="01AF582F">
            <w:pPr>
              <w:jc w:val="center"/>
              <w:rPr>
                <w:sz w:val="22"/>
                <w:szCs w:val="22"/>
              </w:rPr>
            </w:pPr>
            <w:r>
              <w:rPr>
                <w:sz w:val="22"/>
                <w:szCs w:val="22"/>
              </w:rPr>
              <w:t>100,0</w:t>
            </w:r>
          </w:p>
        </w:tc>
        <w:tc>
          <w:tcPr>
            <w:tcW w:w="1817" w:type="dxa"/>
            <w:noWrap/>
            <w:vAlign w:val="center"/>
          </w:tcPr>
          <w:p w14:paraId="3ED6AEE8">
            <w:pPr>
              <w:jc w:val="center"/>
              <w:rPr>
                <w:sz w:val="22"/>
                <w:szCs w:val="22"/>
              </w:rPr>
            </w:pPr>
            <w:r>
              <w:rPr>
                <w:sz w:val="22"/>
                <w:szCs w:val="22"/>
              </w:rPr>
              <w:t>700.000.000</w:t>
            </w:r>
          </w:p>
        </w:tc>
        <w:tc>
          <w:tcPr>
            <w:tcW w:w="1798" w:type="dxa"/>
            <w:noWrap/>
            <w:vAlign w:val="center"/>
          </w:tcPr>
          <w:p w14:paraId="4D00DE16">
            <w:pPr>
              <w:jc w:val="center"/>
              <w:rPr>
                <w:sz w:val="22"/>
                <w:szCs w:val="22"/>
              </w:rPr>
            </w:pPr>
            <w:r>
              <w:rPr>
                <w:sz w:val="22"/>
                <w:szCs w:val="22"/>
              </w:rPr>
              <w:t>1.138.000.000</w:t>
            </w:r>
          </w:p>
        </w:tc>
        <w:tc>
          <w:tcPr>
            <w:tcW w:w="1382" w:type="dxa"/>
            <w:noWrap/>
            <w:vAlign w:val="center"/>
          </w:tcPr>
          <w:p w14:paraId="3554E0BD">
            <w:pPr>
              <w:jc w:val="center"/>
              <w:rPr>
                <w:sz w:val="22"/>
                <w:szCs w:val="22"/>
              </w:rPr>
            </w:pPr>
            <w:r>
              <w:rPr>
                <w:sz w:val="22"/>
                <w:szCs w:val="22"/>
              </w:rPr>
              <w:t>1,63%</w:t>
            </w:r>
          </w:p>
        </w:tc>
      </w:tr>
      <w:tr w14:paraId="3C54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3B8D3F9C">
            <w:pPr>
              <w:jc w:val="center"/>
              <w:rPr>
                <w:sz w:val="22"/>
                <w:szCs w:val="22"/>
              </w:rPr>
            </w:pPr>
          </w:p>
        </w:tc>
        <w:tc>
          <w:tcPr>
            <w:tcW w:w="1491" w:type="dxa"/>
            <w:noWrap/>
            <w:vAlign w:val="center"/>
          </w:tcPr>
          <w:p w14:paraId="34CE0755">
            <w:pPr>
              <w:jc w:val="center"/>
              <w:rPr>
                <w:sz w:val="22"/>
                <w:szCs w:val="22"/>
              </w:rPr>
            </w:pPr>
          </w:p>
        </w:tc>
        <w:tc>
          <w:tcPr>
            <w:tcW w:w="742" w:type="dxa"/>
            <w:vMerge w:val="continue"/>
            <w:vAlign w:val="center"/>
          </w:tcPr>
          <w:p w14:paraId="5EFC228A">
            <w:pPr>
              <w:jc w:val="center"/>
              <w:rPr>
                <w:sz w:val="22"/>
                <w:szCs w:val="22"/>
              </w:rPr>
            </w:pPr>
          </w:p>
        </w:tc>
        <w:tc>
          <w:tcPr>
            <w:tcW w:w="676" w:type="dxa"/>
            <w:noWrap/>
            <w:vAlign w:val="center"/>
          </w:tcPr>
          <w:p w14:paraId="09C60019">
            <w:pPr>
              <w:jc w:val="center"/>
              <w:rPr>
                <w:sz w:val="22"/>
                <w:szCs w:val="22"/>
              </w:rPr>
            </w:pPr>
            <w:r>
              <w:rPr>
                <w:sz w:val="22"/>
                <w:szCs w:val="22"/>
              </w:rPr>
              <w:t>43</w:t>
            </w:r>
          </w:p>
        </w:tc>
        <w:tc>
          <w:tcPr>
            <w:tcW w:w="1098" w:type="dxa"/>
            <w:noWrap/>
            <w:vAlign w:val="center"/>
          </w:tcPr>
          <w:p w14:paraId="0BFE6B25">
            <w:pPr>
              <w:jc w:val="center"/>
              <w:rPr>
                <w:sz w:val="22"/>
                <w:szCs w:val="22"/>
              </w:rPr>
            </w:pPr>
            <w:r>
              <w:rPr>
                <w:sz w:val="22"/>
                <w:szCs w:val="22"/>
              </w:rPr>
              <w:t>100,0</w:t>
            </w:r>
          </w:p>
        </w:tc>
        <w:tc>
          <w:tcPr>
            <w:tcW w:w="1817" w:type="dxa"/>
            <w:noWrap/>
            <w:vAlign w:val="center"/>
          </w:tcPr>
          <w:p w14:paraId="3A61166D">
            <w:pPr>
              <w:jc w:val="center"/>
              <w:rPr>
                <w:sz w:val="22"/>
                <w:szCs w:val="22"/>
              </w:rPr>
            </w:pPr>
            <w:r>
              <w:rPr>
                <w:sz w:val="22"/>
                <w:szCs w:val="22"/>
              </w:rPr>
              <w:t>700.000.000</w:t>
            </w:r>
          </w:p>
        </w:tc>
        <w:tc>
          <w:tcPr>
            <w:tcW w:w="1798" w:type="dxa"/>
            <w:noWrap/>
            <w:vAlign w:val="center"/>
          </w:tcPr>
          <w:p w14:paraId="39A61EFA">
            <w:pPr>
              <w:jc w:val="center"/>
              <w:rPr>
                <w:sz w:val="22"/>
                <w:szCs w:val="22"/>
              </w:rPr>
            </w:pPr>
            <w:r>
              <w:rPr>
                <w:sz w:val="22"/>
                <w:szCs w:val="22"/>
              </w:rPr>
              <w:t>1.179.000.000</w:t>
            </w:r>
          </w:p>
        </w:tc>
        <w:tc>
          <w:tcPr>
            <w:tcW w:w="1382" w:type="dxa"/>
            <w:noWrap/>
            <w:vAlign w:val="center"/>
          </w:tcPr>
          <w:p w14:paraId="34FF2C52">
            <w:pPr>
              <w:jc w:val="center"/>
              <w:rPr>
                <w:sz w:val="22"/>
                <w:szCs w:val="22"/>
              </w:rPr>
            </w:pPr>
            <w:r>
              <w:rPr>
                <w:sz w:val="22"/>
                <w:szCs w:val="22"/>
              </w:rPr>
              <w:t>1,68%</w:t>
            </w:r>
          </w:p>
        </w:tc>
      </w:tr>
      <w:tr w14:paraId="464B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noWrap/>
            <w:vAlign w:val="center"/>
          </w:tcPr>
          <w:p w14:paraId="00B327A8">
            <w:pPr>
              <w:jc w:val="center"/>
              <w:rPr>
                <w:sz w:val="22"/>
                <w:szCs w:val="22"/>
              </w:rPr>
            </w:pPr>
          </w:p>
        </w:tc>
        <w:tc>
          <w:tcPr>
            <w:tcW w:w="1491" w:type="dxa"/>
            <w:noWrap/>
            <w:vAlign w:val="center"/>
          </w:tcPr>
          <w:p w14:paraId="740518EB">
            <w:pPr>
              <w:jc w:val="center"/>
              <w:rPr>
                <w:sz w:val="22"/>
                <w:szCs w:val="22"/>
              </w:rPr>
            </w:pPr>
          </w:p>
        </w:tc>
        <w:tc>
          <w:tcPr>
            <w:tcW w:w="742" w:type="dxa"/>
            <w:vMerge w:val="continue"/>
            <w:vAlign w:val="center"/>
          </w:tcPr>
          <w:p w14:paraId="0299D4C1">
            <w:pPr>
              <w:jc w:val="center"/>
              <w:rPr>
                <w:sz w:val="22"/>
                <w:szCs w:val="22"/>
              </w:rPr>
            </w:pPr>
          </w:p>
        </w:tc>
        <w:tc>
          <w:tcPr>
            <w:tcW w:w="676" w:type="dxa"/>
            <w:noWrap/>
            <w:vAlign w:val="center"/>
          </w:tcPr>
          <w:p w14:paraId="6283A5FC">
            <w:pPr>
              <w:jc w:val="center"/>
              <w:rPr>
                <w:sz w:val="22"/>
                <w:szCs w:val="22"/>
              </w:rPr>
            </w:pPr>
            <w:r>
              <w:rPr>
                <w:sz w:val="22"/>
                <w:szCs w:val="22"/>
              </w:rPr>
              <w:t>44</w:t>
            </w:r>
          </w:p>
        </w:tc>
        <w:tc>
          <w:tcPr>
            <w:tcW w:w="1098" w:type="dxa"/>
            <w:noWrap/>
            <w:vAlign w:val="center"/>
          </w:tcPr>
          <w:p w14:paraId="6F83A563">
            <w:pPr>
              <w:jc w:val="center"/>
              <w:rPr>
                <w:sz w:val="22"/>
                <w:szCs w:val="22"/>
              </w:rPr>
            </w:pPr>
            <w:r>
              <w:rPr>
                <w:sz w:val="22"/>
                <w:szCs w:val="22"/>
              </w:rPr>
              <w:t>125,8</w:t>
            </w:r>
          </w:p>
        </w:tc>
        <w:tc>
          <w:tcPr>
            <w:tcW w:w="1817" w:type="dxa"/>
            <w:noWrap/>
            <w:vAlign w:val="center"/>
          </w:tcPr>
          <w:p w14:paraId="286CCCF0">
            <w:pPr>
              <w:jc w:val="center"/>
              <w:rPr>
                <w:sz w:val="22"/>
                <w:szCs w:val="22"/>
              </w:rPr>
            </w:pPr>
            <w:r>
              <w:rPr>
                <w:sz w:val="22"/>
                <w:szCs w:val="22"/>
              </w:rPr>
              <w:t>1.056.720.000</w:t>
            </w:r>
          </w:p>
        </w:tc>
        <w:tc>
          <w:tcPr>
            <w:tcW w:w="1798" w:type="dxa"/>
            <w:noWrap/>
            <w:vAlign w:val="center"/>
          </w:tcPr>
          <w:p w14:paraId="70FEE455">
            <w:pPr>
              <w:jc w:val="center"/>
              <w:rPr>
                <w:sz w:val="22"/>
                <w:szCs w:val="22"/>
              </w:rPr>
            </w:pPr>
            <w:r>
              <w:rPr>
                <w:sz w:val="22"/>
                <w:szCs w:val="22"/>
              </w:rPr>
              <w:t>1.531.000.000</w:t>
            </w:r>
          </w:p>
        </w:tc>
        <w:tc>
          <w:tcPr>
            <w:tcW w:w="1382" w:type="dxa"/>
            <w:noWrap/>
            <w:vAlign w:val="center"/>
          </w:tcPr>
          <w:p w14:paraId="7D8A8637">
            <w:pPr>
              <w:jc w:val="center"/>
              <w:rPr>
                <w:sz w:val="22"/>
                <w:szCs w:val="22"/>
              </w:rPr>
            </w:pPr>
            <w:r>
              <w:rPr>
                <w:sz w:val="22"/>
                <w:szCs w:val="22"/>
              </w:rPr>
              <w:t>1,45%</w:t>
            </w:r>
          </w:p>
        </w:tc>
      </w:tr>
      <w:tr w14:paraId="0C7C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70" w:type="dxa"/>
            <w:gridSpan w:val="3"/>
            <w:noWrap/>
            <w:vAlign w:val="center"/>
          </w:tcPr>
          <w:p w14:paraId="668BBD08">
            <w:pPr>
              <w:jc w:val="center"/>
              <w:rPr>
                <w:sz w:val="22"/>
                <w:szCs w:val="22"/>
              </w:rPr>
            </w:pPr>
            <w:r>
              <w:rPr>
                <w:sz w:val="22"/>
                <w:szCs w:val="22"/>
              </w:rPr>
              <w:t>TỔNG</w:t>
            </w:r>
          </w:p>
        </w:tc>
        <w:tc>
          <w:tcPr>
            <w:tcW w:w="675" w:type="dxa"/>
            <w:noWrap/>
            <w:vAlign w:val="center"/>
          </w:tcPr>
          <w:p w14:paraId="19DFBF44">
            <w:pPr>
              <w:jc w:val="center"/>
              <w:rPr>
                <w:sz w:val="22"/>
                <w:szCs w:val="22"/>
              </w:rPr>
            </w:pPr>
          </w:p>
        </w:tc>
        <w:tc>
          <w:tcPr>
            <w:tcW w:w="1098" w:type="dxa"/>
            <w:noWrap/>
            <w:vAlign w:val="center"/>
          </w:tcPr>
          <w:p w14:paraId="37B941A3">
            <w:pPr>
              <w:jc w:val="center"/>
              <w:rPr>
                <w:sz w:val="22"/>
                <w:szCs w:val="22"/>
              </w:rPr>
            </w:pPr>
            <w:r>
              <w:rPr>
                <w:sz w:val="22"/>
                <w:szCs w:val="22"/>
              </w:rPr>
              <w:t>20.162,24</w:t>
            </w:r>
          </w:p>
        </w:tc>
        <w:tc>
          <w:tcPr>
            <w:tcW w:w="1817" w:type="dxa"/>
            <w:noWrap/>
            <w:vAlign w:val="center"/>
          </w:tcPr>
          <w:p w14:paraId="5917CAF4">
            <w:pPr>
              <w:jc w:val="center"/>
              <w:rPr>
                <w:sz w:val="22"/>
                <w:szCs w:val="22"/>
              </w:rPr>
            </w:pPr>
            <w:r>
              <w:rPr>
                <w:sz w:val="22"/>
                <w:szCs w:val="22"/>
              </w:rPr>
              <w:t>145.630.392.000</w:t>
            </w:r>
          </w:p>
        </w:tc>
        <w:tc>
          <w:tcPr>
            <w:tcW w:w="1798" w:type="dxa"/>
            <w:noWrap/>
            <w:vAlign w:val="center"/>
          </w:tcPr>
          <w:p w14:paraId="00D1CA16">
            <w:pPr>
              <w:jc w:val="center"/>
              <w:rPr>
                <w:sz w:val="22"/>
                <w:szCs w:val="22"/>
              </w:rPr>
            </w:pPr>
            <w:r>
              <w:rPr>
                <w:sz w:val="22"/>
                <w:szCs w:val="22"/>
              </w:rPr>
              <w:t>207.637.061.000</w:t>
            </w:r>
          </w:p>
        </w:tc>
        <w:tc>
          <w:tcPr>
            <w:tcW w:w="1382" w:type="dxa"/>
            <w:noWrap/>
            <w:vAlign w:val="center"/>
          </w:tcPr>
          <w:p w14:paraId="0B42607F">
            <w:pPr>
              <w:jc w:val="center"/>
              <w:rPr>
                <w:sz w:val="22"/>
                <w:szCs w:val="22"/>
              </w:rPr>
            </w:pPr>
          </w:p>
        </w:tc>
      </w:tr>
    </w:tbl>
    <w:p w14:paraId="221AC145">
      <w:pPr>
        <w:widowControl w:val="0"/>
        <w:spacing w:before="120" w:after="120"/>
        <w:jc w:val="both"/>
        <w:rPr>
          <w:b/>
          <w:bCs/>
          <w:color w:val="000000"/>
          <w:sz w:val="20"/>
          <w:szCs w:val="20"/>
        </w:rPr>
      </w:pPr>
    </w:p>
    <w:p w14:paraId="14E66BFE">
      <w:pPr>
        <w:tabs>
          <w:tab w:val="left" w:pos="0"/>
          <w:tab w:val="left" w:pos="600"/>
        </w:tabs>
        <w:spacing w:before="120" w:after="120"/>
        <w:jc w:val="both"/>
        <w:rPr>
          <w:b/>
          <w:bCs/>
          <w:spacing w:val="-4"/>
          <w:sz w:val="26"/>
          <w:szCs w:val="26"/>
          <w:lang w:val="vi-VN"/>
        </w:rPr>
      </w:pPr>
      <w:r>
        <w:rPr>
          <w:spacing w:val="-4"/>
          <w:sz w:val="26"/>
          <w:szCs w:val="26"/>
        </w:rPr>
        <w:tab/>
      </w:r>
      <w:r>
        <w:rPr>
          <w:spacing w:val="-4"/>
          <w:sz w:val="26"/>
          <w:szCs w:val="26"/>
        </w:rPr>
        <w:t>*</w:t>
      </w:r>
      <w:r>
        <w:rPr>
          <w:b/>
          <w:bCs/>
          <w:spacing w:val="-4"/>
          <w:sz w:val="26"/>
          <w:szCs w:val="26"/>
          <w:lang w:val="vi-VN"/>
        </w:rPr>
        <w:t>Do có sự tương đồng về vị trí, giao thông</w:t>
      </w:r>
      <w:r>
        <w:rPr>
          <w:b/>
          <w:bCs/>
          <w:spacing w:val="-4"/>
          <w:sz w:val="26"/>
          <w:szCs w:val="26"/>
        </w:rPr>
        <w:t xml:space="preserve"> (tiếp giáp đường huyện)</w:t>
      </w:r>
      <w:r>
        <w:rPr>
          <w:b/>
          <w:bCs/>
          <w:spacing w:val="-4"/>
          <w:sz w:val="26"/>
          <w:szCs w:val="26"/>
          <w:lang w:val="vi-VN"/>
        </w:rPr>
        <w:t xml:space="preserve"> cũng như khoảng cách địa lý</w:t>
      </w:r>
      <w:r>
        <w:rPr>
          <w:b/>
          <w:bCs/>
          <w:spacing w:val="-4"/>
          <w:sz w:val="26"/>
          <w:szCs w:val="26"/>
        </w:rPr>
        <w:t xml:space="preserve"> (cách dự án cần thẩm định khoảng 45km); nằm trên địa bàn cấp huyện; có sự tương đồng về hạ tầng kỹ thuật, tiện ích cây xanh, gần trường học, gần QL1A; thời điểm đấu giá gần thời điểm thẩm định (6 tháng)….</w:t>
      </w:r>
      <w:r>
        <w:rPr>
          <w:b/>
          <w:bCs/>
          <w:spacing w:val="-4"/>
          <w:sz w:val="26"/>
          <w:szCs w:val="26"/>
          <w:lang w:val="vi-VN"/>
        </w:rPr>
        <w:t xml:space="preserve"> Công ty Cổ phần Dịch vụ Tư vấn và Thẩm định giá Việt Nam lựa chọn các tài sản trúng đấu giá thành công thuộc khu đấu giá  Khu cổng UBND xã Quang Thịnh, huyện Lạng Giang, tỉnh Bắc Giang (nay là xã Kép, tỉnh Bắc Ninh). tại thời điểm tháng 0</w:t>
      </w:r>
      <w:r>
        <w:rPr>
          <w:b/>
          <w:bCs/>
          <w:spacing w:val="-4"/>
          <w:sz w:val="26"/>
          <w:szCs w:val="26"/>
        </w:rPr>
        <w:t>8</w:t>
      </w:r>
      <w:r>
        <w:rPr>
          <w:b/>
          <w:bCs/>
          <w:spacing w:val="-4"/>
          <w:sz w:val="26"/>
          <w:szCs w:val="26"/>
          <w:lang w:val="vi-VN"/>
        </w:rPr>
        <w:t>/202</w:t>
      </w:r>
      <w:r>
        <w:rPr>
          <w:b/>
          <w:bCs/>
          <w:spacing w:val="-4"/>
          <w:sz w:val="26"/>
          <w:szCs w:val="26"/>
        </w:rPr>
        <w:t>4</w:t>
      </w:r>
      <w:r>
        <w:rPr>
          <w:b/>
          <w:bCs/>
          <w:spacing w:val="-4"/>
          <w:sz w:val="26"/>
          <w:szCs w:val="26"/>
          <w:lang w:val="vi-VN"/>
        </w:rPr>
        <w:t>;</w:t>
      </w:r>
      <w:r>
        <w:rPr>
          <w:b/>
          <w:bCs/>
          <w:spacing w:val="-4"/>
          <w:sz w:val="26"/>
          <w:szCs w:val="26"/>
        </w:rPr>
        <w:t xml:space="preserve"> </w:t>
      </w:r>
      <w:r>
        <w:rPr>
          <w:b/>
          <w:bCs/>
          <w:spacing w:val="-4"/>
          <w:sz w:val="26"/>
          <w:szCs w:val="26"/>
          <w:lang w:val="vi-VN"/>
        </w:rPr>
        <w:t xml:space="preserve">và tiến hành điều chỉnh các yếu tố để xác định giá đất thương mại thấp tầng tại thời điểm định giá. </w:t>
      </w:r>
      <w:r>
        <w:rPr>
          <w:b/>
          <w:bCs/>
          <w:spacing w:val="-4"/>
          <w:sz w:val="26"/>
          <w:szCs w:val="26"/>
        </w:rPr>
        <w:t>K</w:t>
      </w:r>
      <w:r>
        <w:rPr>
          <w:b/>
          <w:bCs/>
          <w:spacing w:val="-4"/>
          <w:sz w:val="26"/>
          <w:szCs w:val="26"/>
          <w:lang w:val="vi-VN"/>
        </w:rPr>
        <w:t>hu đấu giá  Khu cổng UBND xã Quang Thịnh, huyện Lạng Giang, tỉnh Bắc Giang (nay là xã Kép, tỉnh Bắc Ninh)</w:t>
      </w:r>
      <w:r>
        <w:rPr>
          <w:b/>
          <w:bCs/>
          <w:spacing w:val="-4"/>
          <w:sz w:val="26"/>
          <w:szCs w:val="26"/>
        </w:rPr>
        <w:t xml:space="preserve"> có</w:t>
      </w:r>
      <w:r>
        <w:rPr>
          <w:b/>
          <w:bCs/>
          <w:spacing w:val="-4"/>
          <w:sz w:val="26"/>
          <w:szCs w:val="26"/>
          <w:lang w:val="vi-VN"/>
        </w:rPr>
        <w:t xml:space="preserve"> </w:t>
      </w:r>
      <w:r>
        <w:rPr>
          <w:b/>
          <w:bCs/>
          <w:spacing w:val="-4"/>
          <w:sz w:val="26"/>
          <w:szCs w:val="26"/>
        </w:rPr>
        <w:t>v</w:t>
      </w:r>
      <w:r>
        <w:rPr>
          <w:b/>
          <w:bCs/>
          <w:spacing w:val="-4"/>
          <w:sz w:val="26"/>
          <w:szCs w:val="26"/>
          <w:lang w:val="vi-VN"/>
        </w:rPr>
        <w:t>ị trí cách dự án cần thẩm định khoảng 45km</w:t>
      </w:r>
      <w:r>
        <w:rPr>
          <w:b/>
          <w:bCs/>
          <w:spacing w:val="-4"/>
          <w:sz w:val="26"/>
          <w:szCs w:val="26"/>
        </w:rPr>
        <w:t>, t</w:t>
      </w:r>
      <w:r>
        <w:rPr>
          <w:b/>
          <w:bCs/>
          <w:spacing w:val="-4"/>
          <w:sz w:val="26"/>
          <w:szCs w:val="26"/>
          <w:lang w:val="vi-VN"/>
        </w:rPr>
        <w:t>iếp giáp đường huyện, kết nối ra đường QL1A, cách QL1A khoảng 700m</w:t>
      </w:r>
      <w:r>
        <w:rPr>
          <w:b/>
          <w:bCs/>
          <w:spacing w:val="-4"/>
          <w:sz w:val="26"/>
          <w:szCs w:val="26"/>
        </w:rPr>
        <w:t>, c</w:t>
      </w:r>
      <w:r>
        <w:rPr>
          <w:b/>
          <w:bCs/>
          <w:spacing w:val="-4"/>
          <w:sz w:val="26"/>
          <w:szCs w:val="26"/>
          <w:lang w:val="vi-VN"/>
        </w:rPr>
        <w:t xml:space="preserve">ách trường tiểu học Quang Thịnh (khu A) khoảng 460m; </w:t>
      </w:r>
      <w:r>
        <w:rPr>
          <w:b/>
          <w:bCs/>
          <w:spacing w:val="-4"/>
          <w:sz w:val="26"/>
          <w:szCs w:val="26"/>
        </w:rPr>
        <w:t>g</w:t>
      </w:r>
      <w:r>
        <w:rPr>
          <w:b/>
          <w:bCs/>
          <w:spacing w:val="-4"/>
          <w:sz w:val="26"/>
          <w:szCs w:val="26"/>
          <w:lang w:val="vi-VN"/>
        </w:rPr>
        <w:t>ần UBND xã Quang Thịnh (cũ trước khi sáp nhập)</w:t>
      </w:r>
      <w:r>
        <w:rPr>
          <w:b/>
          <w:bCs/>
          <w:spacing w:val="-4"/>
          <w:sz w:val="26"/>
          <w:szCs w:val="26"/>
        </w:rPr>
        <w:t>; c</w:t>
      </w:r>
      <w:r>
        <w:rPr>
          <w:b/>
          <w:bCs/>
          <w:spacing w:val="-4"/>
          <w:sz w:val="26"/>
          <w:szCs w:val="26"/>
          <w:lang w:val="vi-VN"/>
        </w:rPr>
        <w:t>ách trường mầm non Quang Thịnh khoảng 450m;</w:t>
      </w:r>
      <w:r>
        <w:rPr>
          <w:b/>
          <w:bCs/>
          <w:spacing w:val="-4"/>
          <w:sz w:val="26"/>
          <w:szCs w:val="26"/>
        </w:rPr>
        <w:t xml:space="preserve"> c</w:t>
      </w:r>
      <w:r>
        <w:rPr>
          <w:b/>
          <w:bCs/>
          <w:spacing w:val="-4"/>
          <w:sz w:val="26"/>
          <w:szCs w:val="26"/>
          <w:lang w:val="vi-VN"/>
        </w:rPr>
        <w:t>ách trường THCS Quang Thịnh khoảng 400m;</w:t>
      </w:r>
      <w:r>
        <w:rPr>
          <w:b/>
          <w:bCs/>
          <w:spacing w:val="-4"/>
          <w:sz w:val="26"/>
          <w:szCs w:val="26"/>
        </w:rPr>
        <w:t xml:space="preserve"> c</w:t>
      </w:r>
      <w:r>
        <w:rPr>
          <w:b/>
          <w:bCs/>
          <w:spacing w:val="-4"/>
          <w:sz w:val="26"/>
          <w:szCs w:val="26"/>
          <w:lang w:val="vi-VN"/>
        </w:rPr>
        <w:t>ách ngã tư Kép khoảng 3,5km</w:t>
      </w:r>
      <w:r>
        <w:rPr>
          <w:b/>
          <w:bCs/>
          <w:spacing w:val="-4"/>
          <w:sz w:val="26"/>
          <w:szCs w:val="26"/>
        </w:rPr>
        <w:t>.</w:t>
      </w:r>
      <w:r>
        <w:rPr>
          <w:b/>
          <w:bCs/>
          <w:spacing w:val="-4"/>
          <w:sz w:val="26"/>
          <w:szCs w:val="26"/>
          <w:lang w:val="vi-VN"/>
        </w:rPr>
        <w:t xml:space="preserve"> Vị trí nằm tiếp giáp đường liên huyện, gần trường học, thuộc khu đấu giá được đầu tư hoàn chỉnh về hạ tầng, cảnh quan. Có lợi thế thương mại. Do đó Công ty VCVS nhận định các tài sản so sánh có yếu tố vị trí thuận lợi hơn so với tài sản cần thẩm định giá.</w:t>
      </w:r>
      <w:r>
        <w:rPr>
          <w:b/>
          <w:bCs/>
          <w:spacing w:val="-4"/>
          <w:sz w:val="26"/>
          <w:szCs w:val="26"/>
        </w:rPr>
        <w:t xml:space="preserve"> </w:t>
      </w:r>
    </w:p>
    <w:p w14:paraId="66C9B33B">
      <w:pPr>
        <w:tabs>
          <w:tab w:val="left" w:pos="0"/>
          <w:tab w:val="left" w:pos="600"/>
        </w:tabs>
        <w:spacing w:before="120" w:after="120"/>
        <w:ind w:firstLine="567"/>
        <w:jc w:val="both"/>
        <w:rPr>
          <w:b/>
          <w:bCs/>
          <w:sz w:val="26"/>
          <w:szCs w:val="26"/>
        </w:rPr>
      </w:pPr>
      <w:r>
        <w:rPr>
          <w:b/>
          <w:bCs/>
          <w:sz w:val="26"/>
          <w:szCs w:val="26"/>
        </w:rPr>
        <w:t xml:space="preserve">*Đơn vị tư vấn tiến hành khảo sát và lựa chọn các thửa đất đã đấu giá thành công và hoàn thành nghĩa vụ tài chính thuộc Khu dân cư trung tâm xã Hương Lạc, huyện Lạng Giang tại phiên đấu giá tháng 03/2024 làm cơ sở so sánh do có nhiều yếu tố tương đồng về vị trí (trục đường kết nối QL1A vào dự án; đầu tư HTKT hoàn chỉnh đầy đủ tiện ích). Cách dự án cần thẩm định khoảng 52km. Thuộc Vị trí 3 - QL1A đoạn qua xã Hương Sơn, nằm trên trục chính khu đấu giá, thuận lợi kết nối giao thông. Vị trí: Tiếp giáp đường quy hoạch rộng 27m, cách trục đường QL1A khoảng 300m, cách UBND xã Hương Lạc khoảng 1,3km; cách  chợ Hương Lạc khoảng 1,2km, cách trung tâm thị trấn Vôi khoảng 2,8km, cách trường THCS Hương Lạc khoảng 1,3k, cách trường tiểu học Hương Lạc khoảng 1,4km, cách trung tâm thị trấn Kép khoảng 3,5km, cách chợ Hương Lạc khoảng 1,3km, gần ban chỉ huy quân sự huyện Lạng Giang. </w:t>
      </w:r>
    </w:p>
    <w:p w14:paraId="4780E686">
      <w:pPr>
        <w:widowControl w:val="0"/>
        <w:spacing w:before="120" w:after="120"/>
        <w:ind w:firstLine="720"/>
        <w:jc w:val="both"/>
        <w:rPr>
          <w:rFonts w:eastAsia="SimSun"/>
          <w:sz w:val="26"/>
          <w:szCs w:val="26"/>
        </w:rPr>
      </w:pPr>
      <w:r>
        <w:rPr>
          <w:rFonts w:eastAsia="SimSun"/>
          <w:sz w:val="26"/>
          <w:szCs w:val="26"/>
          <w:lang w:val="vi-VN"/>
        </w:rPr>
        <w:t xml:space="preserve">*Đối với các </w:t>
      </w:r>
      <w:r>
        <w:rPr>
          <w:rFonts w:eastAsia="SimSun"/>
          <w:sz w:val="26"/>
          <w:szCs w:val="26"/>
        </w:rPr>
        <w:t>thửa đất so sánh</w:t>
      </w:r>
      <w:r>
        <w:rPr>
          <w:rFonts w:eastAsia="SimSun"/>
          <w:sz w:val="26"/>
          <w:szCs w:val="26"/>
          <w:lang w:val="vi-VN"/>
        </w:rPr>
        <w:t xml:space="preserve">, Công ty Cổ phần Dịch vụ Tư vấn và Thẩm định giá Việt Nam tiến hành khảo sát giá trúng đấu giá tại các khu đấu giá làm cơ sở so sánh, điều chỉnh về giá chuyển nhượng tại dự án để tính doanh thu dự án. </w:t>
      </w:r>
    </w:p>
    <w:p w14:paraId="77CF44CE">
      <w:pPr>
        <w:spacing w:before="120" w:after="120" w:line="320" w:lineRule="exact"/>
        <w:jc w:val="both"/>
        <w:rPr>
          <w:rFonts w:eastAsia="Tahoma"/>
          <w:sz w:val="26"/>
          <w:szCs w:val="26"/>
          <w:lang w:val="da-DK"/>
        </w:rPr>
      </w:pPr>
      <w:r>
        <w:rPr>
          <w:rFonts w:eastAsia="Tahoma"/>
          <w:sz w:val="26"/>
          <w:szCs w:val="26"/>
          <w:lang w:val="da-DK"/>
        </w:rPr>
        <w:t xml:space="preserve">- Đảm bảo nguyên tắc khi lựa chọn các tài sản so sánh: </w:t>
      </w:r>
    </w:p>
    <w:p w14:paraId="658F8C25">
      <w:pPr>
        <w:spacing w:before="120" w:after="120" w:line="320" w:lineRule="exact"/>
        <w:ind w:firstLine="720"/>
        <w:jc w:val="both"/>
        <w:rPr>
          <w:rFonts w:eastAsia="Tahoma"/>
          <w:sz w:val="26"/>
          <w:szCs w:val="26"/>
          <w:lang w:val="da-DK"/>
        </w:rPr>
      </w:pPr>
      <w:r>
        <w:rPr>
          <w:rFonts w:eastAsia="Tahoma"/>
          <w:sz w:val="26"/>
          <w:szCs w:val="26"/>
          <w:lang w:val="da-DK"/>
        </w:rPr>
        <w:t>+ Tài sản thẩm định nằm trên mặt cắt đường nào thì thường lựa chọn tài sản so sánh tại các khu đất đấu giá phải có mặt cắt tương đương với TSTĐ;</w:t>
      </w:r>
    </w:p>
    <w:p w14:paraId="4F004447">
      <w:pPr>
        <w:spacing w:before="120" w:after="120" w:line="320" w:lineRule="exact"/>
        <w:ind w:firstLine="720"/>
        <w:jc w:val="both"/>
        <w:rPr>
          <w:rFonts w:eastAsia="Tahoma"/>
          <w:spacing w:val="-2"/>
          <w:sz w:val="26"/>
          <w:szCs w:val="26"/>
          <w:lang w:val="da-DK"/>
        </w:rPr>
      </w:pPr>
      <w:r>
        <w:rPr>
          <w:rFonts w:eastAsia="Tahoma"/>
          <w:spacing w:val="-2"/>
          <w:sz w:val="26"/>
          <w:szCs w:val="26"/>
          <w:lang w:val="da-DK"/>
        </w:rPr>
        <w:t>+ Các giao dịch chuyển nhượng được khảo sát là những tuyến đường có lợi thế tương đồng nhất định về các yếu tố ảnh hưởng đến giá đất so với các lô đất trong dự án.</w:t>
      </w:r>
    </w:p>
    <w:p w14:paraId="584833A7">
      <w:pPr>
        <w:spacing w:before="120" w:after="120" w:line="320" w:lineRule="exact"/>
        <w:ind w:firstLine="720"/>
        <w:jc w:val="both"/>
        <w:rPr>
          <w:rFonts w:eastAsia="Tahoma"/>
          <w:sz w:val="26"/>
          <w:szCs w:val="26"/>
          <w:lang w:val="da-DK"/>
        </w:rPr>
      </w:pPr>
      <w:r>
        <w:rPr>
          <w:rFonts w:eastAsia="Tahoma"/>
          <w:sz w:val="26"/>
          <w:szCs w:val="26"/>
          <w:lang w:val="da-DK"/>
        </w:rPr>
        <w:t>+ Giá trúng đấu giá quyền sử dụng đất sau khi hoàn thành nghĩa vụ tài chính; thông tin giá đất thu thập qua điều tra, khảo sát trong thời gian 24 tháng tính từ thời điểm định giá đất trở về trước, và gần nhất với thời điểm định giá đất.</w:t>
      </w:r>
    </w:p>
    <w:p w14:paraId="64F28208">
      <w:pPr>
        <w:spacing w:before="120" w:after="120" w:line="320" w:lineRule="exact"/>
        <w:ind w:firstLine="567"/>
        <w:jc w:val="both"/>
        <w:rPr>
          <w:rFonts w:eastAsia="Tahoma"/>
          <w:sz w:val="26"/>
          <w:szCs w:val="26"/>
          <w:lang w:val="da-DK"/>
        </w:rPr>
      </w:pPr>
      <w:r>
        <w:rPr>
          <w:rFonts w:eastAsia="Tahoma"/>
          <w:sz w:val="26"/>
          <w:szCs w:val="26"/>
          <w:lang w:val="da-DK"/>
        </w:rPr>
        <w:t>+ Các tài sản so sánh có cùng mục đích sử dụng đất chính có khoảng cách gần nhất đến thửa đất, khu đất cần định giá.</w:t>
      </w:r>
    </w:p>
    <w:p w14:paraId="46734A1E">
      <w:pPr>
        <w:spacing w:before="120" w:after="120" w:line="320" w:lineRule="exact"/>
        <w:jc w:val="both"/>
        <w:rPr>
          <w:rFonts w:eastAsia="Tahoma"/>
          <w:b/>
          <w:bCs/>
          <w:i/>
          <w:iCs/>
          <w:spacing w:val="-2"/>
          <w:sz w:val="26"/>
          <w:szCs w:val="26"/>
          <w:lang w:val="da-DK"/>
        </w:rPr>
      </w:pPr>
      <w:r>
        <w:rPr>
          <w:rFonts w:eastAsia="Tahoma"/>
          <w:spacing w:val="-2"/>
          <w:sz w:val="26"/>
          <w:szCs w:val="26"/>
          <w:lang w:val="da-DK"/>
        </w:rPr>
        <w:tab/>
      </w:r>
      <w:r>
        <w:rPr>
          <w:rFonts w:eastAsia="Tahoma"/>
          <w:b/>
          <w:bCs/>
          <w:i/>
          <w:iCs/>
          <w:spacing w:val="-2"/>
          <w:sz w:val="26"/>
          <w:szCs w:val="26"/>
          <w:lang w:val="da-DK"/>
        </w:rPr>
        <w:t>=&gt; Công ty cổ phần Dịch vụ tư vấn và Thẩm định giá Việt Nam tiến hành khảo sát thực trạng, đánh giá, lựa chọn các tài sản so sánh thuộc Khu tái định cư Huyện đội, khu Lao Động, thị trấn Lộc Bình, huyện Lộc Bình tại phiên đấu tháng 8/2024;</w:t>
      </w:r>
      <w:r>
        <w:rPr>
          <w:b/>
          <w:bCs/>
          <w:i/>
          <w:iCs/>
          <w:spacing w:val="-2"/>
        </w:rPr>
        <w:t xml:space="preserve"> </w:t>
      </w:r>
      <w:r>
        <w:rPr>
          <w:rFonts w:eastAsia="Tahoma"/>
          <w:b/>
          <w:bCs/>
          <w:i/>
          <w:iCs/>
          <w:spacing w:val="-2"/>
          <w:sz w:val="26"/>
          <w:szCs w:val="26"/>
          <w:lang w:val="da-DK"/>
        </w:rPr>
        <w:t>khu đấu giá  Khu cổng UBND xã Quang Thịnh, huyện Lạng Giang, tỉnh Bắc Giang (nay là xã Kép, tỉnh Bắc Ninh). tại thời điểm tháng 08/2024; Khu dân cư trung tâm xã Hương Lạc, huyện Lạng Giang tại phiên đấu giá tháng 03/2024, sau đó tiến hành điều chỉnh các yếu tố ảnh hưởng đến giá đất và đưa ra mức giá bình quân các mặt cắt đường của dự án cần thẩm định. Qua khảo, mức giá trúng đấu giá thành công ổn định, có sự tăng nhẹ và phù hợp với diễn tiến thị trường. Do đó đơn vị tư vấn nhận thấy ba khu dân cư đấu giá trên có đầy đủ cơ sở phù hợp, tương đồng, phản ánh đúng thị trường, đảm bảo làm tài sản so sánh.</w:t>
      </w:r>
    </w:p>
    <w:p w14:paraId="37188596">
      <w:pPr>
        <w:widowControl w:val="0"/>
        <w:spacing w:before="120" w:after="120"/>
        <w:ind w:firstLine="720"/>
        <w:jc w:val="both"/>
        <w:rPr>
          <w:rFonts w:eastAsia="SimSun"/>
          <w:spacing w:val="-4"/>
          <w:sz w:val="26"/>
          <w:szCs w:val="26"/>
          <w:lang w:val="vi-VN"/>
        </w:rPr>
      </w:pPr>
      <w:r>
        <w:rPr>
          <w:rFonts w:eastAsia="SimSun"/>
          <w:spacing w:val="-4"/>
          <w:sz w:val="26"/>
          <w:szCs w:val="26"/>
          <w:lang w:val="vi-VN"/>
        </w:rPr>
        <w:t xml:space="preserve">Đối với giá trúng đấu giá: Là giá thị trường Nhà nước đưa sản phẩm là quyền sử dụng đất đối với đất đã đầu tư hạ tầng... đến người tiêu dùng. Tuy nhiên, giá này khi nhà nước tổ chức đấu giá thì không bao gồm VAT. Tuy nhiên, vẫn giá này khi doanh nghiệp kinh doanh bất động sản đưa sản phẩm tượng tự ra thị trường thì bao gồm cả VAT. Theo đó, xét trên góc độ thị trường, Giá bất động sản khi được giao dịch, chuyển nhượng trên thị trường là giá thị trường đã bao gồm thuế GTGT. </w:t>
      </w:r>
    </w:p>
    <w:p w14:paraId="4E6B56E7">
      <w:pPr>
        <w:spacing w:before="120" w:after="120" w:line="320" w:lineRule="exact"/>
        <w:ind w:firstLine="567"/>
        <w:jc w:val="both"/>
        <w:rPr>
          <w:b/>
          <w:bCs/>
          <w:color w:val="000000" w:themeColor="text1"/>
          <w:sz w:val="26"/>
          <w:szCs w:val="26"/>
          <w:lang w:val="da-DK"/>
          <w14:textFill>
            <w14:solidFill>
              <w14:schemeClr w14:val="tx1"/>
            </w14:solidFill>
          </w14:textFill>
        </w:rPr>
      </w:pPr>
      <w:r>
        <w:rPr>
          <w:b/>
          <w:bCs/>
          <w:color w:val="000000" w:themeColor="text1"/>
          <w:sz w:val="26"/>
          <w:szCs w:val="26"/>
          <w:lang w:val="vi-VN"/>
          <w14:textFill>
            <w14:solidFill>
              <w14:schemeClr w14:val="tx1"/>
            </w14:solidFill>
          </w14:textFill>
        </w:rPr>
        <w:t>3.</w:t>
      </w:r>
      <w:r>
        <w:rPr>
          <w:b/>
          <w:bCs/>
          <w:color w:val="000000" w:themeColor="text1"/>
          <w:sz w:val="26"/>
          <w:szCs w:val="26"/>
          <w:lang w:val="da-DK"/>
          <w14:textFill>
            <w14:solidFill>
              <w14:schemeClr w14:val="tx1"/>
            </w14:solidFill>
          </w14:textFill>
        </w:rPr>
        <w:t>6</w:t>
      </w:r>
      <w:r>
        <w:rPr>
          <w:b/>
          <w:bCs/>
          <w:color w:val="000000" w:themeColor="text1"/>
          <w:sz w:val="26"/>
          <w:szCs w:val="26"/>
          <w:lang w:val="vi-VN"/>
          <w14:textFill>
            <w14:solidFill>
              <w14:schemeClr w14:val="tx1"/>
            </w14:solidFill>
          </w14:textFill>
        </w:rPr>
        <w:t>. Lựa chọn phương pháp định giá:</w:t>
      </w:r>
    </w:p>
    <w:bookmarkEnd w:id="23"/>
    <w:bookmarkEnd w:id="24"/>
    <w:p w14:paraId="71B55796">
      <w:pPr>
        <w:spacing w:before="120" w:after="120"/>
        <w:ind w:firstLine="567"/>
        <w:jc w:val="both"/>
        <w:rPr>
          <w:rFonts w:eastAsia="Tahoma"/>
          <w:b/>
          <w:bCs/>
          <w:i/>
          <w:iCs/>
          <w:sz w:val="26"/>
          <w:szCs w:val="26"/>
          <w:lang w:val="da-DK"/>
        </w:rPr>
      </w:pPr>
      <w:r>
        <w:rPr>
          <w:rFonts w:eastAsia="Tahoma"/>
          <w:b/>
          <w:bCs/>
          <w:i/>
          <w:iCs/>
          <w:sz w:val="26"/>
          <w:szCs w:val="26"/>
          <w:lang w:val="da-DK"/>
        </w:rPr>
        <w:t>Căn cứ Khoản 5, Điều 158 Luật đất đai 2024:</w:t>
      </w:r>
    </w:p>
    <w:p w14:paraId="54EE104C">
      <w:pPr>
        <w:spacing w:before="120" w:after="120"/>
        <w:ind w:firstLine="567"/>
        <w:jc w:val="both"/>
        <w:rPr>
          <w:rFonts w:eastAsia="Tahoma"/>
          <w:i/>
          <w:iCs/>
          <w:sz w:val="26"/>
          <w:szCs w:val="26"/>
          <w:lang w:val="da-DK"/>
        </w:rPr>
      </w:pPr>
      <w:r>
        <w:rPr>
          <w:rFonts w:eastAsia="Tahoma"/>
          <w:i/>
          <w:iCs/>
          <w:sz w:val="26"/>
          <w:szCs w:val="26"/>
          <w:lang w:val="da-DK"/>
        </w:rPr>
        <w:t>5. Các phương pháp định giá đất bao gồm:</w:t>
      </w:r>
    </w:p>
    <w:p w14:paraId="4BF428B9">
      <w:pPr>
        <w:spacing w:before="120" w:after="120"/>
        <w:ind w:firstLine="567"/>
        <w:jc w:val="both"/>
        <w:rPr>
          <w:rFonts w:eastAsia="Tahoma"/>
          <w:sz w:val="26"/>
          <w:szCs w:val="26"/>
          <w:lang w:val="da-DK"/>
        </w:rPr>
      </w:pPr>
      <w:r>
        <w:rPr>
          <w:rFonts w:eastAsia="Tahoma"/>
          <w:sz w:val="26"/>
          <w:szCs w:val="26"/>
          <w:lang w:val="da-DK"/>
        </w:rPr>
        <w:t>a) Phương pháp so sánh được thực hiện bằng cách 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p>
    <w:p w14:paraId="70CB175F">
      <w:pPr>
        <w:spacing w:before="120" w:after="120"/>
        <w:ind w:firstLine="567"/>
        <w:jc w:val="both"/>
        <w:rPr>
          <w:rFonts w:eastAsia="Tahoma"/>
          <w:spacing w:val="-2"/>
          <w:sz w:val="26"/>
          <w:szCs w:val="26"/>
          <w:lang w:val="da-DK"/>
        </w:rPr>
      </w:pPr>
      <w:r>
        <w:rPr>
          <w:rFonts w:eastAsia="Tahoma"/>
          <w:spacing w:val="-2"/>
          <w:sz w:val="26"/>
          <w:szCs w:val="26"/>
          <w:lang w:val="da-DK"/>
        </w:rPr>
        <w:t>b) Phương pháp thu nhập được thực hiện bằng cách lấy thu nhập ròng bình quân năm trên một diện tích đất chia cho lãi suất tiền gửi tiết kiệm bình quân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đất;</w:t>
      </w:r>
    </w:p>
    <w:p w14:paraId="3A4C935E">
      <w:pPr>
        <w:spacing w:before="120" w:after="120"/>
        <w:ind w:firstLine="567"/>
        <w:jc w:val="both"/>
        <w:rPr>
          <w:rFonts w:eastAsia="Tahoma"/>
          <w:sz w:val="26"/>
          <w:szCs w:val="26"/>
          <w:lang w:val="da-DK"/>
        </w:rPr>
      </w:pPr>
      <w:r>
        <w:rPr>
          <w:rFonts w:eastAsia="Tahoma"/>
          <w:sz w:val="26"/>
          <w:szCs w:val="26"/>
          <w:lang w:val="da-DK"/>
        </w:rPr>
        <w:t>c) 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p>
    <w:p w14:paraId="26BE60BB">
      <w:pPr>
        <w:spacing w:before="120" w:after="120"/>
        <w:ind w:firstLine="567"/>
        <w:jc w:val="both"/>
        <w:rPr>
          <w:rFonts w:eastAsia="Tahoma"/>
          <w:sz w:val="26"/>
          <w:szCs w:val="26"/>
          <w:lang w:val="da-DK"/>
        </w:rPr>
      </w:pPr>
      <w:r>
        <w:rPr>
          <w:rFonts w:eastAsia="Tahoma"/>
          <w:sz w:val="26"/>
          <w:szCs w:val="26"/>
          <w:lang w:val="da-DK"/>
        </w:rPr>
        <w:t>d) 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p>
    <w:p w14:paraId="7091A8C4">
      <w:pPr>
        <w:spacing w:before="120" w:after="120"/>
        <w:ind w:firstLine="567"/>
        <w:jc w:val="both"/>
        <w:rPr>
          <w:rFonts w:eastAsia="Tahoma"/>
          <w:spacing w:val="-4"/>
          <w:sz w:val="26"/>
          <w:szCs w:val="26"/>
          <w:lang w:val="da-DK"/>
        </w:rPr>
      </w:pPr>
      <w:r>
        <w:rPr>
          <w:rFonts w:eastAsia="Tahoma"/>
          <w:spacing w:val="-4"/>
          <w:sz w:val="26"/>
          <w:szCs w:val="26"/>
          <w:lang w:val="da-DK"/>
        </w:rPr>
        <w:t>đ) Chính phủ quy định phương pháp định giá đất khác chưa được quy định tại các điểm a, b, c và d khoản này sau khi được sự đồng ý của Ủy ban Thường vụ Quốc hội.</w:t>
      </w:r>
    </w:p>
    <w:p w14:paraId="1F04684F">
      <w:pPr>
        <w:spacing w:before="120" w:after="120"/>
        <w:ind w:firstLine="567"/>
        <w:jc w:val="both"/>
        <w:rPr>
          <w:rFonts w:eastAsia="Tahoma"/>
          <w:b/>
          <w:bCs/>
          <w:i/>
          <w:iCs/>
          <w:sz w:val="26"/>
          <w:szCs w:val="26"/>
          <w:lang w:val="da-DK"/>
        </w:rPr>
      </w:pPr>
      <w:r>
        <w:rPr>
          <w:rFonts w:eastAsia="Tahoma"/>
          <w:b/>
          <w:bCs/>
          <w:i/>
          <w:iCs/>
          <w:sz w:val="26"/>
          <w:szCs w:val="26"/>
          <w:lang w:val="da-DK"/>
        </w:rPr>
        <w:t>Căn cứ Khoản 6, Điều 158 Luật đất đai 2024:</w:t>
      </w:r>
    </w:p>
    <w:p w14:paraId="072250FB">
      <w:pPr>
        <w:spacing w:before="120" w:after="120"/>
        <w:ind w:firstLine="567"/>
        <w:jc w:val="both"/>
        <w:rPr>
          <w:rFonts w:eastAsia="Tahoma"/>
          <w:i/>
          <w:iCs/>
          <w:spacing w:val="-8"/>
          <w:sz w:val="26"/>
          <w:szCs w:val="26"/>
          <w:lang w:val="da-DK"/>
        </w:rPr>
      </w:pPr>
      <w:r>
        <w:rPr>
          <w:rFonts w:eastAsia="Tahoma"/>
          <w:i/>
          <w:iCs/>
          <w:spacing w:val="-8"/>
          <w:sz w:val="26"/>
          <w:szCs w:val="26"/>
          <w:lang w:val="da-DK"/>
        </w:rPr>
        <w:t>6. Trường hợp và điều kiện áp dụng phương pháp định giá đất được quy định như sau:</w:t>
      </w:r>
    </w:p>
    <w:p w14:paraId="4A895C17">
      <w:pPr>
        <w:spacing w:before="120" w:after="120"/>
        <w:ind w:firstLine="567"/>
        <w:jc w:val="both"/>
        <w:rPr>
          <w:rFonts w:eastAsia="Tahoma"/>
          <w:spacing w:val="-4"/>
          <w:sz w:val="26"/>
          <w:szCs w:val="26"/>
          <w:lang w:val="da-DK"/>
        </w:rPr>
      </w:pPr>
      <w:r>
        <w:rPr>
          <w:rFonts w:eastAsia="Tahoma"/>
          <w:spacing w:val="-4"/>
          <w:sz w:val="26"/>
          <w:szCs w:val="26"/>
          <w:lang w:val="da-DK"/>
        </w:rPr>
        <w:t>a) Phương pháp so sánh 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p>
    <w:p w14:paraId="129EACF5">
      <w:pPr>
        <w:spacing w:before="120" w:after="120"/>
        <w:ind w:firstLine="567"/>
        <w:jc w:val="both"/>
        <w:rPr>
          <w:rFonts w:eastAsia="Tahoma"/>
          <w:spacing w:val="-4"/>
          <w:sz w:val="26"/>
          <w:szCs w:val="26"/>
          <w:lang w:val="da-DK"/>
        </w:rPr>
      </w:pPr>
      <w:r>
        <w:rPr>
          <w:rFonts w:eastAsia="Tahoma"/>
          <w:spacing w:val="-4"/>
          <w:sz w:val="26"/>
          <w:szCs w:val="26"/>
          <w:lang w:val="da-DK"/>
        </w:rPr>
        <w:t xml:space="preserve">Dự án </w:t>
      </w:r>
      <w:r>
        <w:rPr>
          <w:bCs/>
          <w:iCs/>
          <w:color w:val="000000" w:themeColor="text1"/>
          <w:sz w:val="26"/>
          <w:szCs w:val="26"/>
          <w14:textFill>
            <w14:solidFill>
              <w14:schemeClr w14:val="tx1"/>
            </w14:solidFill>
          </w14:textFill>
        </w:rPr>
        <w:t>Khu đô thị phía Đông Nam thị trấn Đồng Mỏ</w:t>
      </w:r>
      <w:r>
        <w:rPr>
          <w:rFonts w:eastAsia="Tahoma"/>
          <w:spacing w:val="-4"/>
          <w:sz w:val="26"/>
          <w:szCs w:val="26"/>
          <w:lang w:val="da-DK"/>
        </w:rPr>
        <w:t xml:space="preserve"> qua khảo sát các dự án trên địa bàn thị trấn Đồng Mỏ (nay là xã Chi Lăng), Thành phố Lạng Sơn và tỉnh Lạng Sơn, đơn vị tư vấn nhận thấy việc sử dụng phương pháp so sánh rất khó khăn do các dự án khu dân cư, khu đô thị trên địa bàn đã hoàn thành dự án không nhiều, và các dự án có đặc thù khác biệt nhau về quy mô sử dụng đất, cơ cấu sử dụng đất, cơ cấu các loại đất thương phẩm, chỉ tiêu quy hoạch... Do vậy không đủ điều kiện thực hiện định giá dự án </w:t>
      </w:r>
      <w:r>
        <w:rPr>
          <w:bCs/>
          <w:iCs/>
          <w:color w:val="000000" w:themeColor="text1"/>
          <w:sz w:val="26"/>
          <w:szCs w:val="26"/>
          <w14:textFill>
            <w14:solidFill>
              <w14:schemeClr w14:val="tx1"/>
            </w14:solidFill>
          </w14:textFill>
        </w:rPr>
        <w:t>Khu đô thị phía Đông Nam thị trấn Đồng Mỏ (nay là xã Chi Lăng, tỉnh Lạng Sơn)</w:t>
      </w:r>
      <w:r>
        <w:rPr>
          <w:rFonts w:eastAsia="Tahoma"/>
          <w:spacing w:val="-4"/>
          <w:sz w:val="26"/>
          <w:szCs w:val="26"/>
          <w:lang w:val="da-DK"/>
        </w:rPr>
        <w:t xml:space="preserve"> theo phương pháp so sánh.</w:t>
      </w:r>
    </w:p>
    <w:p w14:paraId="6B62FD9E">
      <w:pPr>
        <w:spacing w:before="120" w:after="120"/>
        <w:ind w:firstLine="567"/>
        <w:jc w:val="both"/>
        <w:rPr>
          <w:rFonts w:eastAsia="Tahoma"/>
          <w:spacing w:val="-6"/>
          <w:sz w:val="26"/>
          <w:szCs w:val="26"/>
          <w:lang w:val="da-DK"/>
        </w:rPr>
      </w:pPr>
      <w:r>
        <w:rPr>
          <w:rFonts w:eastAsia="Tahoma"/>
          <w:spacing w:val="-6"/>
          <w:sz w:val="26"/>
          <w:szCs w:val="26"/>
          <w:lang w:val="da-DK"/>
        </w:rPr>
        <w:t>b) Phương pháp thu nhập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bookmarkStart w:id="27" w:name="_Hlk172010234"/>
      <w:r>
        <w:rPr>
          <w:rFonts w:eastAsia="Tahoma"/>
          <w:spacing w:val="-6"/>
          <w:sz w:val="26"/>
          <w:szCs w:val="26"/>
          <w:lang w:val="da-DK"/>
        </w:rPr>
        <w:t xml:space="preserve"> </w:t>
      </w:r>
    </w:p>
    <w:p w14:paraId="7450EBFD">
      <w:pPr>
        <w:spacing w:before="120" w:after="120"/>
        <w:ind w:firstLine="720" w:firstLineChars="0"/>
        <w:jc w:val="both"/>
        <w:rPr>
          <w:rFonts w:hint="default" w:eastAsia="Tahoma"/>
          <w:color w:val="FF0000"/>
          <w:spacing w:val="-6"/>
          <w:sz w:val="26"/>
          <w:szCs w:val="26"/>
          <w:shd w:val="clear" w:color="FFFFFF" w:fill="D9D9D9"/>
          <w:lang w:val="en-US"/>
        </w:rPr>
      </w:pPr>
      <w:r>
        <w:rPr>
          <w:rFonts w:eastAsia="Tahoma"/>
          <w:spacing w:val="-6"/>
          <w:sz w:val="26"/>
          <w:szCs w:val="26"/>
          <w:lang w:val="da-DK"/>
        </w:rPr>
        <w:t xml:space="preserve">Dự án </w:t>
      </w:r>
      <w:bookmarkEnd w:id="27"/>
      <w:r>
        <w:rPr>
          <w:bCs/>
          <w:iCs/>
          <w:color w:val="000000" w:themeColor="text1"/>
          <w:sz w:val="26"/>
          <w:szCs w:val="26"/>
          <w14:textFill>
            <w14:solidFill>
              <w14:schemeClr w14:val="tx1"/>
            </w14:solidFill>
          </w14:textFill>
        </w:rPr>
        <w:t>Khu đô thị phía Đông Nam thị trấn Đồng Mỏ</w:t>
      </w:r>
      <w:r>
        <w:rPr>
          <w:rFonts w:eastAsia="Tahoma"/>
          <w:spacing w:val="-6"/>
          <w:sz w:val="26"/>
          <w:szCs w:val="26"/>
          <w:lang w:val="da-DK"/>
        </w:rPr>
        <w:t xml:space="preserve"> được phê quy hoạch chi tiết đầu tư</w:t>
      </w:r>
      <w:r>
        <w:rPr>
          <w:spacing w:val="-6"/>
          <w:sz w:val="27"/>
          <w:szCs w:val="27"/>
          <w:lang w:val="da-DK"/>
        </w:rPr>
        <w:t xml:space="preserve"> </w:t>
      </w:r>
      <w:r>
        <w:rPr>
          <w:rFonts w:eastAsia="Tahoma"/>
          <w:spacing w:val="-6"/>
          <w:sz w:val="26"/>
          <w:szCs w:val="26"/>
          <w:lang w:val="da-DK"/>
        </w:rPr>
        <w:t xml:space="preserve">xây dựng Khu đô thị </w:t>
      </w:r>
      <w:bookmarkStart w:id="44" w:name="_GoBack"/>
      <w:r>
        <w:rPr>
          <w:rFonts w:eastAsia="Tahoma"/>
          <w:spacing w:val="-6"/>
          <w:sz w:val="26"/>
          <w:szCs w:val="26"/>
          <w:lang w:val="da-DK"/>
        </w:rPr>
        <w:t>có hệ thống công trình hạ tầng kỹ thuật đồng bộ và hiện đại phù hợp theo quy hoạch chi tiết tại thị trấn Đồng Mỏ</w:t>
      </w:r>
      <w:bookmarkEnd w:id="44"/>
      <w:r>
        <w:rPr>
          <w:rFonts w:eastAsia="Tahoma"/>
          <w:spacing w:val="-6"/>
          <w:sz w:val="26"/>
          <w:szCs w:val="26"/>
          <w:lang w:val="da-DK"/>
        </w:rPr>
        <w:t>. Do đó không thuộc trường hợp áp dụng phương pháp thu nhập để định giá.</w:t>
      </w:r>
      <w:r>
        <w:rPr>
          <w:rFonts w:hint="default" w:eastAsia="Tahoma"/>
          <w:spacing w:val="-6"/>
          <w:sz w:val="26"/>
          <w:szCs w:val="26"/>
          <w:lang w:val="en-US"/>
        </w:rPr>
        <w:t xml:space="preserve"> </w:t>
      </w:r>
      <w:r>
        <w:rPr>
          <w:rFonts w:hint="default" w:eastAsia="Tahoma"/>
          <w:color w:val="FF0000"/>
          <w:spacing w:val="-6"/>
          <w:sz w:val="26"/>
          <w:szCs w:val="26"/>
          <w:shd w:val="clear" w:color="FFFFFF" w:fill="D9D9D9"/>
          <w:lang w:val="en-US"/>
        </w:rPr>
        <w:t>Giải thích thế này không rõ.</w:t>
      </w:r>
    </w:p>
    <w:p w14:paraId="6C7C0A88">
      <w:pPr>
        <w:spacing w:before="120" w:after="120"/>
        <w:ind w:firstLine="567"/>
        <w:jc w:val="both"/>
        <w:rPr>
          <w:rFonts w:eastAsia="Tahoma"/>
          <w:sz w:val="26"/>
          <w:szCs w:val="26"/>
          <w:lang w:val="da-DK"/>
        </w:rPr>
      </w:pPr>
      <w:r>
        <w:rPr>
          <w:rFonts w:eastAsia="Tahoma"/>
          <w:sz w:val="26"/>
          <w:szCs w:val="26"/>
          <w:lang w:val="da-DK"/>
        </w:rPr>
        <w:t>c) Phương pháp thặng dư 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p>
    <w:p w14:paraId="6DACE63C">
      <w:pPr>
        <w:spacing w:before="120" w:after="120"/>
        <w:ind w:firstLine="567"/>
        <w:jc w:val="both"/>
        <w:rPr>
          <w:spacing w:val="-2"/>
          <w:sz w:val="26"/>
          <w:szCs w:val="26"/>
          <w:lang w:val="da-DK"/>
        </w:rPr>
      </w:pPr>
      <w:r>
        <w:rPr>
          <w:spacing w:val="-2"/>
          <w:sz w:val="26"/>
          <w:szCs w:val="26"/>
          <w:lang w:val="vi-VN"/>
        </w:rPr>
        <w:t xml:space="preserve">Căn cứ mục đích đề nghị thẩm định của Sở </w:t>
      </w:r>
      <w:r>
        <w:rPr>
          <w:spacing w:val="-2"/>
          <w:sz w:val="26"/>
          <w:szCs w:val="26"/>
        </w:rPr>
        <w:t>Nông nghiệp</w:t>
      </w:r>
      <w:r>
        <w:rPr>
          <w:spacing w:val="-2"/>
          <w:sz w:val="26"/>
          <w:szCs w:val="26"/>
          <w:lang w:val="vi-VN"/>
        </w:rPr>
        <w:t xml:space="preserve"> và Môi trường tỉnh </w:t>
      </w:r>
      <w:r>
        <w:rPr>
          <w:spacing w:val="-2"/>
          <w:sz w:val="26"/>
          <w:szCs w:val="26"/>
        </w:rPr>
        <w:t>Lạng Sơn</w:t>
      </w:r>
      <w:r>
        <w:rPr>
          <w:spacing w:val="-2"/>
          <w:sz w:val="26"/>
          <w:szCs w:val="26"/>
          <w:lang w:val="da-DK"/>
        </w:rPr>
        <w:t xml:space="preserve"> là xác định giá đất cụ thể, tính thu tiền sử dụng đất khi Nhà nước giao đất cho </w:t>
      </w:r>
      <w:r>
        <w:rPr>
          <w:bCs/>
          <w:iCs/>
          <w:spacing w:val="-2"/>
          <w:sz w:val="26"/>
          <w:szCs w:val="26"/>
        </w:rPr>
        <w:t>Liên danh Công ty Cổ phần Đầu tư xây dựng hạ tầng Chi Lăng và Công ty Cổ phần Tập đoàn BGI</w:t>
      </w:r>
      <w:r>
        <w:rPr>
          <w:bCs/>
          <w:iCs/>
          <w:spacing w:val="-2"/>
          <w:sz w:val="26"/>
          <w:szCs w:val="26"/>
          <w:lang w:val="da-DK"/>
        </w:rPr>
        <w:t xml:space="preserve"> để thực hiện Dự án: </w:t>
      </w:r>
      <w:r>
        <w:rPr>
          <w:bCs/>
          <w:iCs/>
          <w:color w:val="000000" w:themeColor="text1"/>
          <w:sz w:val="26"/>
          <w:szCs w:val="26"/>
          <w14:textFill>
            <w14:solidFill>
              <w14:schemeClr w14:val="tx1"/>
            </w14:solidFill>
          </w14:textFill>
        </w:rPr>
        <w:t>Khu đô thị phía Đông Nam thị trấn Đồng Mỏ (nay là xã Chi Lăng, tỉnh Lạng Sơn)</w:t>
      </w:r>
      <w:r>
        <w:rPr>
          <w:spacing w:val="-2"/>
          <w:sz w:val="26"/>
          <w:szCs w:val="26"/>
          <w:lang w:val="da-DK"/>
        </w:rPr>
        <w:t>.</w:t>
      </w:r>
      <w:r>
        <w:rPr>
          <w:spacing w:val="-2"/>
          <w:sz w:val="26"/>
          <w:szCs w:val="26"/>
          <w:lang w:val="vi-VN"/>
        </w:rPr>
        <w:t xml:space="preserve"> Căn cứ vào tính chất, đặc điểm kinh tế, kỹ thuật, pháp lý của tài sản thẩm định giá; điều kiện thu thập thông tin, độ tin cậy, tính chất thông tin thị trường thu thập được và cơ sở giá trị, nguyên tắc thẩm định đã chọn ở trên, Công ty Cổ phần Dịch vụ Tư vấn và Thẩm định giá Việt Nam</w:t>
      </w:r>
      <w:r>
        <w:rPr>
          <w:spacing w:val="-2"/>
          <w:sz w:val="26"/>
          <w:szCs w:val="26"/>
        </w:rPr>
        <w:t xml:space="preserve"> có đủ cơ sở để ước tính doanh thu phát triển và chi phí phát triển của dự án, do đó</w:t>
      </w:r>
      <w:r>
        <w:rPr>
          <w:spacing w:val="-2"/>
          <w:sz w:val="26"/>
          <w:szCs w:val="26"/>
          <w:lang w:val="vi-VN"/>
        </w:rPr>
        <w:t xml:space="preserve"> </w:t>
      </w:r>
      <w:r>
        <w:rPr>
          <w:spacing w:val="-2"/>
          <w:sz w:val="26"/>
          <w:szCs w:val="26"/>
        </w:rPr>
        <w:t>đề xuất</w:t>
      </w:r>
      <w:r>
        <w:rPr>
          <w:spacing w:val="-2"/>
          <w:sz w:val="26"/>
          <w:szCs w:val="26"/>
          <w:lang w:val="vi-VN"/>
        </w:rPr>
        <w:t xml:space="preserve"> lựa chọn</w:t>
      </w:r>
      <w:r>
        <w:rPr>
          <w:spacing w:val="-2"/>
          <w:sz w:val="27"/>
          <w:szCs w:val="27"/>
          <w:lang w:val="vi-VN"/>
        </w:rPr>
        <w:t xml:space="preserve"> </w:t>
      </w:r>
      <w:r>
        <w:rPr>
          <w:b/>
          <w:bCs/>
          <w:spacing w:val="-2"/>
          <w:sz w:val="26"/>
          <w:szCs w:val="26"/>
          <w:lang w:val="vi-VN"/>
        </w:rPr>
        <w:t>Phương pháp thặng dư</w:t>
      </w:r>
      <w:r>
        <w:rPr>
          <w:spacing w:val="-2"/>
          <w:sz w:val="26"/>
          <w:szCs w:val="26"/>
          <w:lang w:val="vi-VN"/>
        </w:rPr>
        <w:t xml:space="preserve"> làm phương pháp định giá phù hợp nhất để làm căn cứ tính toán.</w:t>
      </w:r>
    </w:p>
    <w:p w14:paraId="1D097C1E">
      <w:pPr>
        <w:spacing w:before="120" w:after="120"/>
        <w:ind w:firstLine="567"/>
        <w:jc w:val="both"/>
        <w:rPr>
          <w:rFonts w:eastAsia="Tahoma"/>
          <w:sz w:val="26"/>
          <w:szCs w:val="26"/>
          <w:lang w:val="da-DK"/>
        </w:rPr>
      </w:pPr>
      <w:r>
        <w:rPr>
          <w:rFonts w:eastAsia="Tahoma"/>
          <w:sz w:val="26"/>
          <w:szCs w:val="26"/>
          <w:lang w:val="da-DK"/>
        </w:rPr>
        <w:t>d) Phương pháp hệ số điều chỉnh giá đất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không đủ điều kiện để áp dụng phương pháp so sánh.</w:t>
      </w:r>
    </w:p>
    <w:p w14:paraId="0FEB492B">
      <w:pPr>
        <w:spacing w:before="120" w:after="120"/>
        <w:ind w:firstLine="567"/>
        <w:jc w:val="both"/>
        <w:rPr>
          <w:rFonts w:eastAsia="Tahoma"/>
          <w:sz w:val="26"/>
          <w:szCs w:val="26"/>
          <w:lang w:val="da-DK"/>
        </w:rPr>
      </w:pPr>
      <w:r>
        <w:rPr>
          <w:rFonts w:eastAsia="Tahoma"/>
          <w:sz w:val="26"/>
          <w:szCs w:val="26"/>
          <w:lang w:val="da-DK"/>
        </w:rPr>
        <w:t xml:space="preserve">Dự án </w:t>
      </w:r>
      <w:r>
        <w:rPr>
          <w:bCs/>
          <w:iCs/>
          <w:color w:val="000000" w:themeColor="text1"/>
          <w:sz w:val="26"/>
          <w:szCs w:val="26"/>
          <w14:textFill>
            <w14:solidFill>
              <w14:schemeClr w14:val="tx1"/>
            </w14:solidFill>
          </w14:textFill>
        </w:rPr>
        <w:t>Khu đô thị phía Đông Nam thị trấn Đồng Mỏ (nay là xã Chi Lăng, tỉnh Lạng Sơn)</w:t>
      </w:r>
      <w:r>
        <w:rPr>
          <w:rFonts w:eastAsia="Tahoma"/>
          <w:sz w:val="26"/>
          <w:szCs w:val="26"/>
          <w:lang w:val="da-DK"/>
        </w:rPr>
        <w:t xml:space="preserve"> thuộc trường hợp khu dân cư không sử dụng vốn nhà nước thông qua hình thức đấu giá quyền sử dụng đất, đấu thầu lựa chọn nhà đầu tư, do đó không thuộc trường hợp áp dụng phương pháp hệ số điều chỉnh giá đất để định giá.</w:t>
      </w:r>
    </w:p>
    <w:p w14:paraId="5062A7EC">
      <w:pPr>
        <w:spacing w:before="120" w:after="120"/>
        <w:ind w:firstLine="567"/>
        <w:jc w:val="both"/>
        <w:rPr>
          <w:rFonts w:eastAsia="Tahoma"/>
          <w:sz w:val="26"/>
          <w:szCs w:val="26"/>
          <w:lang w:val="da-DK"/>
        </w:rPr>
      </w:pPr>
      <w:r>
        <w:rPr>
          <w:rFonts w:eastAsia="Tahoma"/>
          <w:b/>
          <w:bCs/>
          <w:i/>
          <w:iCs/>
          <w:sz w:val="26"/>
          <w:szCs w:val="26"/>
          <w:lang w:val="da-DK"/>
        </w:rPr>
        <w:t>=&gt; Do đó Công ty Cổ phần Dịch vụ Tư vấn và Thẩm định giá Việt Nam lựa chọn phương pháp thặng dư để xác định giá đất. Trong đó sử dụng phương pháp so sánh trực tiếp làm phương pháp bổ trợ cho phương pháp thặng dư trong việc xác định tổng doanh thu phát triển của dự án.</w:t>
      </w:r>
    </w:p>
    <w:p w14:paraId="73D0F680">
      <w:pPr>
        <w:spacing w:before="120" w:after="120"/>
        <w:ind w:firstLine="567"/>
        <w:jc w:val="both"/>
        <w:rPr>
          <w:rFonts w:eastAsia="Tahoma"/>
          <w:b/>
          <w:bCs/>
          <w:i/>
          <w:iCs/>
          <w:sz w:val="26"/>
          <w:szCs w:val="26"/>
          <w:lang w:val="da-DK"/>
        </w:rPr>
      </w:pPr>
      <w:r>
        <w:rPr>
          <w:rFonts w:eastAsia="Tahoma"/>
          <w:b/>
          <w:bCs/>
          <w:sz w:val="26"/>
          <w:szCs w:val="26"/>
          <w:lang w:val="da-DK"/>
        </w:rPr>
        <w:t>*Căn cứ Điều 6, Nghị định số 71/2024/NĐ-CP ngày 27/06/2024 của Chính Phủ:</w:t>
      </w:r>
      <w:r>
        <w:rPr>
          <w:rFonts w:eastAsia="Tahoma"/>
          <w:sz w:val="26"/>
          <w:szCs w:val="26"/>
          <w:lang w:val="da-DK"/>
        </w:rPr>
        <w:t xml:space="preserve"> </w:t>
      </w:r>
      <w:r>
        <w:rPr>
          <w:rFonts w:eastAsia="Tahoma"/>
          <w:b/>
          <w:bCs/>
          <w:i/>
          <w:iCs/>
          <w:sz w:val="26"/>
          <w:szCs w:val="26"/>
          <w:lang w:val="da-DK"/>
        </w:rPr>
        <w:t>Trình tự, nội dung xác định giá đất theo phương pháp thặng dư:</w:t>
      </w:r>
    </w:p>
    <w:p w14:paraId="328D90AD">
      <w:pPr>
        <w:spacing w:before="120" w:after="120"/>
        <w:ind w:firstLine="567"/>
        <w:jc w:val="both"/>
        <w:rPr>
          <w:sz w:val="26"/>
          <w:szCs w:val="26"/>
          <w:lang w:val="da-DK"/>
        </w:rPr>
      </w:pPr>
      <w:r>
        <w:rPr>
          <w:sz w:val="26"/>
          <w:szCs w:val="26"/>
          <w:lang w:val="vi-VN"/>
        </w:rPr>
        <w:t>1. Khảo sát, thu thập các thông tin về thửa đất, khu đất cần định giá; các thông tin về quy hoạch sử dụng đất, quy hoạch chi tiết xây dựng hoặc quy hoạch tổng mặt bằng, các hồ sơ, tài liệu theo quy định của pháp luật về xây dựng đã được cơ quan nhà nước có thẩm quyền thẩm định, phê duyệt để xác định hiệu quả sử dụng đất cao nhất và các thông tin </w:t>
      </w:r>
      <w:r>
        <w:rPr>
          <w:sz w:val="26"/>
          <w:szCs w:val="26"/>
          <w:lang w:val="da-DK"/>
        </w:rPr>
        <w:t>cần</w:t>
      </w:r>
      <w:r>
        <w:rPr>
          <w:sz w:val="26"/>
          <w:szCs w:val="26"/>
          <w:lang w:val="vi-VN"/>
        </w:rPr>
        <w:t> thiết khác phục vụ định giá đất.</w:t>
      </w:r>
    </w:p>
    <w:p w14:paraId="7BF40034">
      <w:pPr>
        <w:spacing w:before="120" w:after="120"/>
        <w:ind w:firstLine="567"/>
        <w:jc w:val="both"/>
        <w:rPr>
          <w:sz w:val="26"/>
          <w:szCs w:val="26"/>
          <w:lang w:val="da-DK"/>
        </w:rPr>
      </w:pPr>
      <w:r>
        <w:rPr>
          <w:sz w:val="26"/>
          <w:szCs w:val="26"/>
          <w:lang w:val="vi-VN"/>
        </w:rPr>
        <w:t>2. Ước tính tổng doanh thu phát triển của thửa đất, khu đất</w:t>
      </w:r>
    </w:p>
    <w:p w14:paraId="5AB8D668">
      <w:pPr>
        <w:spacing w:before="120" w:after="120"/>
        <w:ind w:firstLine="567"/>
        <w:jc w:val="both"/>
        <w:rPr>
          <w:sz w:val="26"/>
          <w:szCs w:val="26"/>
          <w:lang w:val="da-DK"/>
        </w:rPr>
      </w:pPr>
      <w:r>
        <w:rPr>
          <w:sz w:val="26"/>
          <w:szCs w:val="26"/>
          <w:lang w:val="vi-VN"/>
        </w:rPr>
        <w:t>a) Tổng doanh thu phát triển của thửa đất, khu đất được xác định trên cơ sở ước tính giá </w:t>
      </w:r>
      <w:r>
        <w:rPr>
          <w:sz w:val="26"/>
          <w:szCs w:val="26"/>
          <w:lang w:val="da-DK"/>
        </w:rPr>
        <w:t>chuyển</w:t>
      </w:r>
      <w:r>
        <w:rPr>
          <w:sz w:val="26"/>
          <w:szCs w:val="26"/>
          <w:lang w:val="vi-VN"/>
        </w:rPr>
        <w:t> nhượng, giá thuê đất, giá thuê mặt bằng, giá kinh doanh sản phẩm, dịch vụ, mức biến động của giá chuyển nhượng, giá thuê đất, giá thuê mặt bằng, giá kinh doanh sản phẩm, dịch vụ trong thời gian thực hiện dự án và các yếu tố khác hình thành doanh thu bao gồm: thời gian bán hàng; thời điểm bắt đầu bán hàng, kinh doanh sản phẩm, dịch vụ; tỷ lệ bán hàng; tỷ lệ lấp đầy.</w:t>
      </w:r>
    </w:p>
    <w:p w14:paraId="00063604">
      <w:pPr>
        <w:spacing w:before="120" w:after="120"/>
        <w:ind w:firstLine="567"/>
        <w:jc w:val="both"/>
        <w:rPr>
          <w:sz w:val="26"/>
          <w:szCs w:val="26"/>
          <w:lang w:val="da-DK"/>
        </w:rPr>
      </w:pPr>
      <w:r>
        <w:rPr>
          <w:sz w:val="26"/>
          <w:szCs w:val="26"/>
          <w:lang w:val="vi-VN"/>
        </w:rPr>
        <w:t>Giá kinh doanh sản phẩm, dịch vụ được áp dụng trong trường hợp không thu thập được giá chuyển nhượng, giá thuê đất, giá thuê mặt bằng;</w:t>
      </w:r>
    </w:p>
    <w:p w14:paraId="0952EFF4">
      <w:pPr>
        <w:spacing w:before="120" w:after="120"/>
        <w:ind w:firstLine="567"/>
        <w:jc w:val="both"/>
        <w:rPr>
          <w:sz w:val="26"/>
          <w:szCs w:val="26"/>
          <w:lang w:val="da-DK"/>
        </w:rPr>
      </w:pPr>
      <w:r>
        <w:rPr>
          <w:sz w:val="26"/>
          <w:szCs w:val="26"/>
          <w:lang w:val="vi-VN"/>
        </w:rPr>
        <w:t>b) Khảo sát, thu thập thông tin về giá chuyển nhượng, giá thuê đất, giá thuê mặt bằng; giá kinh doanh sản phẩm, dịch vụ.</w:t>
      </w:r>
    </w:p>
    <w:p w14:paraId="4DCC1578">
      <w:pPr>
        <w:spacing w:before="120" w:after="120"/>
        <w:ind w:firstLine="567"/>
        <w:jc w:val="both"/>
        <w:rPr>
          <w:sz w:val="26"/>
          <w:szCs w:val="26"/>
          <w:lang w:val="da-DK"/>
        </w:rPr>
      </w:pPr>
      <w:r>
        <w:rPr>
          <w:sz w:val="26"/>
          <w:szCs w:val="26"/>
          <w:lang w:val="vi-VN"/>
        </w:rPr>
        <w:t>Thông tin về giá bán nhà ở, căn hộ, công trình xây dựng, một phần công trình xây dựng, giá đất thu thập theo quy định tại khoản 2 và khoản 3 Điều 4 của Nghị định này; thông tin về giá thuê đất, giá thuê mặt bằng thu thập thông qua các hợp đồng cho thuê đất, thuê mặt bằng; thông tin về giá kinh doanh sản phẩm, dịch vụ thông qua việc điều tra, khảo sát các dự án có hình thức kinh doanh sản phẩm, dịch vụ tương tự có khoảng cách gần nhất đến thửa đất, khu đất cần định giá;</w:t>
      </w:r>
    </w:p>
    <w:p w14:paraId="29607C13">
      <w:pPr>
        <w:spacing w:before="120" w:after="120"/>
        <w:ind w:firstLine="567"/>
        <w:jc w:val="both"/>
        <w:rPr>
          <w:sz w:val="26"/>
          <w:szCs w:val="26"/>
          <w:lang w:val="da-DK"/>
        </w:rPr>
      </w:pPr>
      <w:r>
        <w:rPr>
          <w:sz w:val="26"/>
          <w:szCs w:val="26"/>
          <w:lang w:val="vi-VN"/>
        </w:rPr>
        <w:t>c) Việc ước tính giá chuyển nhượng, giá thuê đất, giá thuê mặt bằng, giá kinh doanh sản phẩm, dịch vụ để xác định tổng doanh thu phát triển của thửa đất, khu đất được thực hiện bằng phương pháp so sánh như đối với thửa đất, khu đất </w:t>
      </w:r>
      <w:r>
        <w:rPr>
          <w:sz w:val="26"/>
          <w:szCs w:val="26"/>
          <w:lang w:val="da-DK"/>
        </w:rPr>
        <w:t>cần</w:t>
      </w:r>
      <w:r>
        <w:rPr>
          <w:sz w:val="26"/>
          <w:szCs w:val="26"/>
          <w:lang w:val="vi-VN"/>
        </w:rPr>
        <w:t> định giá đã được đầu tư xây dựng theo quy hoạch chi tiết xây dựng hoặc quy hoạch tổng mặt bằng đã được phê duyệt;</w:t>
      </w:r>
    </w:p>
    <w:p w14:paraId="7584A03E">
      <w:pPr>
        <w:spacing w:before="120" w:after="120"/>
        <w:ind w:firstLine="567"/>
        <w:jc w:val="both"/>
        <w:rPr>
          <w:sz w:val="26"/>
          <w:szCs w:val="26"/>
          <w:lang w:val="vi-VN"/>
        </w:rPr>
      </w:pPr>
      <w:r>
        <w:rPr>
          <w:sz w:val="26"/>
          <w:szCs w:val="26"/>
          <w:lang w:val="vi-VN"/>
        </w:rPr>
        <w:t>d) Việc xác định mức biến động của giá chuyển nhượng, giá thuê đất, giá thuê mặt bằng, giá kinh doanh sản phẩm, dịch vụ căn cứ vào số liệu của cơ quan thống kê hoặc cơ quan quản lý thị trường bất động sản. Trường hợp không có số liệu của cơ quan thống kê hoặc cơ quan quản lý thị trường bất động sản thì thực hiện như sau:</w:t>
      </w:r>
    </w:p>
    <w:p w14:paraId="7C046554">
      <w:pPr>
        <w:spacing w:before="120" w:after="120"/>
        <w:ind w:firstLine="567"/>
        <w:jc w:val="both"/>
        <w:rPr>
          <w:sz w:val="26"/>
          <w:szCs w:val="26"/>
          <w:lang w:val="vi-VN"/>
        </w:rPr>
      </w:pPr>
      <w:r>
        <w:rPr>
          <w:sz w:val="26"/>
          <w:szCs w:val="26"/>
          <w:lang w:val="vi-VN"/>
        </w:rPr>
        <w:t>Đối với trường hợp xác định mức biến động của giá chuyển nhượng thì căn cứ theo chỉ số giá tiêu dùng nhóm nhà ở và vật liệu xây dựng bình quân 03 năm liền kề trước thời điểm định giá đất do cơ quan nhà nước có thẩm quyền công bố áp dụng trên địa bàn hành chính cấp tỉnh, trường hợp địa phương không công bố chỉ số giá tiêu dùng nhóm nhà ở và vật liệu xây dựng thì lấy theo chỉ số giá tiêu dùng nhóm nhà ở và vật liệu xây dựng của cả nước;</w:t>
      </w:r>
    </w:p>
    <w:p w14:paraId="4FB03CA1">
      <w:pPr>
        <w:spacing w:before="120" w:after="120"/>
        <w:ind w:firstLine="567"/>
        <w:jc w:val="both"/>
        <w:rPr>
          <w:sz w:val="26"/>
          <w:szCs w:val="26"/>
          <w:lang w:val="vi-VN"/>
        </w:rPr>
      </w:pPr>
      <w:r>
        <w:rPr>
          <w:sz w:val="26"/>
          <w:szCs w:val="26"/>
          <w:lang w:val="vi-VN"/>
        </w:rPr>
        <w:t>Đối với trường hợp xác định mức biến động của giá thuê đất, giá thuê mặt bằng thì căn cứ theo mức biến động thể hiện trong các hợp đồng cho thuê đất, cho thuê mặt bằng; đối với trường hợp xác định mức biến động của giá kinh doanh sản phẩm, dịch vụ thì căn cứ số liệu thực tế trên thị trường do tổ chức thực hiện định giá đất điều tra, khảo sát và đề xuất để Hội đồng thẩm định giá đất quyết định;</w:t>
      </w:r>
    </w:p>
    <w:p w14:paraId="3712C2BB">
      <w:pPr>
        <w:spacing w:before="120" w:after="120"/>
        <w:ind w:firstLine="567"/>
        <w:jc w:val="both"/>
        <w:rPr>
          <w:sz w:val="26"/>
          <w:szCs w:val="26"/>
          <w:lang w:val="vi-VN"/>
        </w:rPr>
      </w:pPr>
      <w:r>
        <w:rPr>
          <w:sz w:val="26"/>
          <w:szCs w:val="26"/>
          <w:lang w:val="vi-VN"/>
        </w:rPr>
        <w:t>đ) Căn cứ tình hình thực tế tại địa phương, Sở Tài nguyên và Môi trường chủ trì, phối hợp với các Sở, ngành có liên quan tham mưu, trình Ủy ban nhân dân cấp tỉnh quy định cụ thể tỷ lệ bán hàng, tỷ lệ lấp đầy để áp dụng chậm nhất từ ngày 01 tháng 01 năm 2025. Trong trường hợp cần thiết, Ủy ban nhân dân cấp tỉnh điều chỉnh để phù hợp với tình hình thực tế của địa phương.</w:t>
      </w:r>
    </w:p>
    <w:p w14:paraId="65C55C65">
      <w:pPr>
        <w:spacing w:before="120" w:after="120"/>
        <w:ind w:firstLine="567"/>
        <w:jc w:val="both"/>
        <w:rPr>
          <w:sz w:val="26"/>
          <w:szCs w:val="26"/>
          <w:lang w:val="vi-VN"/>
        </w:rPr>
      </w:pPr>
      <w:r>
        <w:rPr>
          <w:sz w:val="26"/>
          <w:szCs w:val="26"/>
          <w:lang w:val="vi-VN"/>
        </w:rPr>
        <w:t>Trong thời gian Ủy ban nhân dân cấp tỉnh chưa quy định tỷ lệ bán hàng, tỷ lệ lấp đầy thì tổ chức thực hiện định giá đất căn cứ số liệu thực tế của 03 dự án đầu tư cùng mục đích sử dụng đất chính có khoảng cách gần nhất đến thửa đất, khu đất cần định giá để đề xuất trong báo cáo thuyết minh xây dựng phương án giá đất đối với từng dự án để Hội đồng thẩm định giá đất xem xét, quyết định.</w:t>
      </w:r>
    </w:p>
    <w:p w14:paraId="5F766E13">
      <w:pPr>
        <w:spacing w:before="120" w:after="120"/>
        <w:ind w:firstLine="567"/>
        <w:jc w:val="both"/>
        <w:rPr>
          <w:sz w:val="26"/>
          <w:szCs w:val="26"/>
          <w:lang w:val="vi-VN"/>
        </w:rPr>
      </w:pPr>
      <w:r>
        <w:rPr>
          <w:sz w:val="26"/>
          <w:szCs w:val="26"/>
          <w:lang w:val="vi-VN"/>
        </w:rPr>
        <w:t>Đối với thời gian bán hàng, thời điểm bắt đầu bán hàng, kinh doanh sản phẩm, dịch vụ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thì 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p>
    <w:p w14:paraId="5D69B182">
      <w:pPr>
        <w:spacing w:before="120" w:after="120"/>
        <w:ind w:firstLine="567"/>
        <w:jc w:val="both"/>
        <w:rPr>
          <w:sz w:val="26"/>
          <w:szCs w:val="26"/>
          <w:lang w:val="vi-VN"/>
        </w:rPr>
      </w:pPr>
      <w:r>
        <w:rPr>
          <w:sz w:val="26"/>
          <w:szCs w:val="26"/>
          <w:lang w:val="vi-VN"/>
        </w:rPr>
        <w:t>3. Ước tính tổng chi phí phát triển của thửa đất, khu đất</w:t>
      </w:r>
    </w:p>
    <w:p w14:paraId="3ACBA391">
      <w:pPr>
        <w:spacing w:before="120" w:after="120"/>
        <w:ind w:firstLine="567"/>
        <w:jc w:val="both"/>
        <w:rPr>
          <w:sz w:val="26"/>
          <w:szCs w:val="26"/>
          <w:lang w:val="vi-VN"/>
        </w:rPr>
      </w:pPr>
      <w:r>
        <w:rPr>
          <w:sz w:val="26"/>
          <w:szCs w:val="26"/>
          <w:lang w:val="vi-VN"/>
        </w:rPr>
        <w:t>a) Các chi phí đầu tư xây dựng để xác định giá đất trong Nghị định này bao gồm:</w:t>
      </w:r>
    </w:p>
    <w:p w14:paraId="314EB543">
      <w:pPr>
        <w:spacing w:before="120" w:after="120"/>
        <w:ind w:firstLine="567"/>
        <w:jc w:val="both"/>
        <w:rPr>
          <w:sz w:val="26"/>
          <w:szCs w:val="26"/>
          <w:lang w:val="vi-VN"/>
        </w:rPr>
      </w:pPr>
      <w:r>
        <w:rPr>
          <w:sz w:val="26"/>
          <w:szCs w:val="26"/>
          <w:lang w:val="vi-VN"/>
        </w:rPr>
        <w:t>- Chi phí xây dựng các công trình, hạng mục công trình của dự án (có tính đến chi phí dự phòng cho yếu tố trượt giá);</w:t>
      </w:r>
    </w:p>
    <w:p w14:paraId="338C9F09">
      <w:pPr>
        <w:spacing w:before="120" w:after="120"/>
        <w:ind w:firstLine="567"/>
        <w:jc w:val="both"/>
        <w:rPr>
          <w:sz w:val="26"/>
          <w:szCs w:val="26"/>
          <w:lang w:val="vi-VN"/>
        </w:rPr>
      </w:pPr>
      <w:r>
        <w:rPr>
          <w:sz w:val="26"/>
          <w:szCs w:val="26"/>
          <w:lang w:val="vi-VN"/>
        </w:rPr>
        <w:t>- Chi phí xây dựng các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tái định cư;</w:t>
      </w:r>
    </w:p>
    <w:p w14:paraId="34BDF1FD">
      <w:pPr>
        <w:spacing w:before="120" w:after="120"/>
        <w:ind w:firstLine="567"/>
        <w:jc w:val="both"/>
        <w:rPr>
          <w:sz w:val="26"/>
          <w:szCs w:val="26"/>
          <w:lang w:val="vi-VN"/>
        </w:rPr>
      </w:pPr>
      <w:r>
        <w:rPr>
          <w:sz w:val="26"/>
          <w:szCs w:val="26"/>
          <w:lang w:val="vi-VN"/>
        </w:rPr>
        <w:t>- Chi phí thiết bị;</w:t>
      </w:r>
    </w:p>
    <w:p w14:paraId="75F948F4">
      <w:pPr>
        <w:spacing w:before="120" w:after="120"/>
        <w:ind w:firstLine="567"/>
        <w:jc w:val="both"/>
        <w:rPr>
          <w:sz w:val="26"/>
          <w:szCs w:val="26"/>
          <w:lang w:val="vi-VN"/>
        </w:rPr>
      </w:pPr>
      <w:r>
        <w:rPr>
          <w:sz w:val="26"/>
          <w:szCs w:val="26"/>
          <w:lang w:val="vi-VN"/>
        </w:rPr>
        <w:t>- Chi phí quản lý dự án;</w:t>
      </w:r>
    </w:p>
    <w:p w14:paraId="7770B4DE">
      <w:pPr>
        <w:spacing w:before="120" w:after="120"/>
        <w:ind w:firstLine="567"/>
        <w:jc w:val="both"/>
        <w:rPr>
          <w:sz w:val="26"/>
          <w:szCs w:val="26"/>
          <w:lang w:val="vi-VN"/>
        </w:rPr>
      </w:pPr>
      <w:r>
        <w:rPr>
          <w:sz w:val="26"/>
          <w:szCs w:val="26"/>
          <w:lang w:val="vi-VN"/>
        </w:rPr>
        <w:t>- Chi phí tư vấn đầu tư xây dựng;</w:t>
      </w:r>
    </w:p>
    <w:p w14:paraId="39D7AF25">
      <w:pPr>
        <w:spacing w:before="120" w:after="120"/>
        <w:ind w:firstLine="567"/>
        <w:jc w:val="both"/>
        <w:rPr>
          <w:sz w:val="26"/>
          <w:szCs w:val="26"/>
          <w:lang w:val="vi-VN"/>
        </w:rPr>
      </w:pPr>
      <w:r>
        <w:rPr>
          <w:sz w:val="26"/>
          <w:szCs w:val="26"/>
          <w:lang w:val="vi-VN"/>
        </w:rPr>
        <w:t>- Chi phí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quyết định.</w:t>
      </w:r>
    </w:p>
    <w:p w14:paraId="2266FA15">
      <w:pPr>
        <w:spacing w:before="120" w:after="120"/>
        <w:ind w:firstLine="567"/>
        <w:jc w:val="both"/>
        <w:rPr>
          <w:sz w:val="26"/>
          <w:szCs w:val="26"/>
          <w:lang w:val="vi-VN"/>
        </w:rPr>
      </w:pPr>
      <w:r>
        <w:rPr>
          <w:sz w:val="26"/>
          <w:szCs w:val="26"/>
          <w:lang w:val="vi-VN"/>
        </w:rPr>
        <w:t>Trường hợp áp dụng suất vốn đầu tư thì thực hiện theo quy định của pháp luật xây dựng về suất vốn đầu tư xây dựng công trình.</w:t>
      </w:r>
    </w:p>
    <w:p w14:paraId="6394B0B9">
      <w:pPr>
        <w:spacing w:before="120" w:after="120"/>
        <w:ind w:firstLine="567"/>
        <w:jc w:val="both"/>
        <w:rPr>
          <w:sz w:val="26"/>
          <w:szCs w:val="26"/>
          <w:lang w:val="vi-VN"/>
        </w:rPr>
      </w:pPr>
      <w:r>
        <w:rPr>
          <w:sz w:val="26"/>
          <w:szCs w:val="26"/>
          <w:lang w:val="vi-VN"/>
        </w:rPr>
        <w:t>Trường hợp xác định giá đất đối với dự án lấn biển hoặc hạng mục lấn biển trong dự án đầu tư thì ngoài chi phí lấn biển đã được cơ quan nhà nước có thẩm quyền phê duyệt còn bao gồm các chi phí đầu tư xây dựng tại điểm này mà chưa được xác định trong dự án lấn biển hoặc hạng mục lấn biển trong dự án đầu tư đã được phê duyệt.</w:t>
      </w:r>
    </w:p>
    <w:p w14:paraId="5A4C92C8">
      <w:pPr>
        <w:spacing w:before="120" w:after="120"/>
        <w:ind w:firstLine="567"/>
        <w:jc w:val="both"/>
        <w:rPr>
          <w:sz w:val="26"/>
          <w:szCs w:val="26"/>
          <w:lang w:val="vi-VN"/>
        </w:rPr>
      </w:pPr>
      <w:r>
        <w:rPr>
          <w:sz w:val="26"/>
          <w:szCs w:val="26"/>
          <w:lang w:val="vi-VN"/>
        </w:rPr>
        <w:t>Trường hợp thửa đất, khu đất cần định giá thực hiện dự án đầu tư xây dựng kinh doanh nhà ở để bán hoặc để bán kết hợp cho thuê được chuyển nhượng quyền sử dụng đất dưới hình thức phân lô, bán nền thì không tính chi phí xây dựng nhà ở trong chi phí đầu tư xây dựng;</w:t>
      </w:r>
    </w:p>
    <w:p w14:paraId="46A7D9DF">
      <w:pPr>
        <w:spacing w:before="120" w:after="120"/>
        <w:ind w:firstLine="567"/>
        <w:jc w:val="both"/>
        <w:rPr>
          <w:sz w:val="26"/>
          <w:szCs w:val="26"/>
          <w:lang w:val="vi-VN"/>
        </w:rPr>
      </w:pPr>
      <w:r>
        <w:rPr>
          <w:sz w:val="26"/>
          <w:szCs w:val="26"/>
          <w:lang w:val="vi-VN"/>
        </w:rPr>
        <w:t>b) Chi phí kinh doanh bao gồm: chi phí tiếp thị, quảng cáo, bán hàng, chi phí quản lý vận hành được tính bằng tỷ lệ % trên doanh thu phù hợp với tính chất, quy mô dự án và tình hình thực tế tại địa phương;</w:t>
      </w:r>
    </w:p>
    <w:p w14:paraId="305E2A56">
      <w:pPr>
        <w:spacing w:before="120" w:after="120"/>
        <w:ind w:firstLine="567"/>
        <w:jc w:val="both"/>
        <w:rPr>
          <w:sz w:val="26"/>
          <w:szCs w:val="26"/>
          <w:lang w:val="vi-VN"/>
        </w:rPr>
      </w:pPr>
      <w:r>
        <w:rPr>
          <w:sz w:val="26"/>
          <w:szCs w:val="26"/>
          <w:lang w:val="vi-VN"/>
        </w:rPr>
        <w:t>c) Chi phí lãi vay, lợi nhuận của nhà đầu tư có tính đến vốn chủ sở hữu, rủi ro trong kinh doanh được tính bằng tỷ lệ % nhân với tổng của chi phí quy định tại điểm a, điểm b khoản này và giá trị quyền sử dụng đất của thửa đất, khu đất cần định giá theo quy định tại khoản 6 Điều này;</w:t>
      </w:r>
    </w:p>
    <w:p w14:paraId="278AF56B">
      <w:pPr>
        <w:spacing w:before="120" w:after="120"/>
        <w:ind w:firstLine="567"/>
        <w:jc w:val="both"/>
        <w:rPr>
          <w:sz w:val="26"/>
          <w:szCs w:val="26"/>
          <w:lang w:val="vi-VN"/>
        </w:rPr>
      </w:pPr>
      <w:r>
        <w:rPr>
          <w:sz w:val="26"/>
          <w:szCs w:val="26"/>
          <w:lang w:val="vi-VN"/>
        </w:rPr>
        <w:t>d) Tổng chi phí phát triển của thửa đất, khu đất quy định tại khoản này không bao gồm kinh phí bồi thường, hỗ trợ, tái định cư theo phương án đã được cấp có thẩm quyền phê duyệt. Việc hoàn trả kinh phí bồi thường, hỗ trợ, tái định cư mà nhà đầu tư đã tự nguyện ứng trước thực hiện theo quy định tại </w:t>
      </w:r>
      <w:bookmarkStart w:id="28" w:name="dc_22"/>
      <w:r>
        <w:rPr>
          <w:sz w:val="26"/>
          <w:szCs w:val="26"/>
          <w:lang w:val="vi-VN"/>
        </w:rPr>
        <w:t>khoản 2 Điều 94 Luật Đất đai</w:t>
      </w:r>
      <w:bookmarkEnd w:id="28"/>
      <w:r>
        <w:rPr>
          <w:sz w:val="26"/>
          <w:szCs w:val="26"/>
          <w:lang w:val="vi-VN"/>
        </w:rPr>
        <w:t>;</w:t>
      </w:r>
    </w:p>
    <w:p w14:paraId="18F5CAFD">
      <w:pPr>
        <w:spacing w:before="120" w:after="120"/>
        <w:ind w:firstLine="567"/>
        <w:jc w:val="both"/>
        <w:rPr>
          <w:sz w:val="26"/>
          <w:szCs w:val="26"/>
          <w:lang w:val="vi-VN"/>
        </w:rPr>
      </w:pPr>
      <w:r>
        <w:rPr>
          <w:sz w:val="26"/>
          <w:szCs w:val="26"/>
          <w:lang w:val="vi-VN"/>
        </w:rPr>
        <w:t>đ) Căn cứ thông tin về các dự án tương tự trong khu vực định giá hoặc khu vực lân cận gần nhất, Sở Tài nguyên và Môi trường chủ trì, phối hợp với các sở, ngành có liên quan tham mưu, trình Ủy ban nhân dân cấp tỉnh quy định cụ thể các tỷ lệ % để xác định chi phí kinh doanh; chi phí lãi vay, lợi nhuận của nhà đầu tư có tính đến vốn chủ sở hữu, rủi ro trong kinh doanh cho các nhóm dự án cùng mục đích sử dụng đất chính hoặc từng dự án cụ thể để áp dụng chậm nhất từ ngày 01 tháng 01 năm 2025. Trong trường hợp cần thiết, Ủy ban nhân dân cấp tỉnh điều chỉnh để phù hợp với tình hình thực tế của địa phương.</w:t>
      </w:r>
    </w:p>
    <w:p w14:paraId="2878F978">
      <w:pPr>
        <w:spacing w:before="120" w:after="120"/>
        <w:ind w:firstLine="567"/>
        <w:jc w:val="both"/>
        <w:rPr>
          <w:sz w:val="26"/>
          <w:szCs w:val="26"/>
          <w:lang w:val="vi-VN"/>
        </w:rPr>
      </w:pPr>
      <w:r>
        <w:rPr>
          <w:sz w:val="26"/>
          <w:szCs w:val="26"/>
          <w:lang w:val="vi-VN"/>
        </w:rPr>
        <w:t>Trong thời gian Ủy ban nhân dân cấp tỉnh chưa quy định chi phí kinh doanh thì chi phí kinh doanh được xác định bằng mức bình quân của 03 dự án đầu tư cùng mục đích sử dụng đất chính có khoảng cách gần nhất đến thửa đất, khu đất cần định giá.</w:t>
      </w:r>
    </w:p>
    <w:p w14:paraId="440734DA">
      <w:pPr>
        <w:spacing w:before="120" w:after="120"/>
        <w:ind w:firstLine="567"/>
        <w:jc w:val="both"/>
        <w:rPr>
          <w:sz w:val="26"/>
          <w:szCs w:val="26"/>
          <w:lang w:val="vi-VN"/>
        </w:rPr>
      </w:pPr>
      <w:r>
        <w:rPr>
          <w:sz w:val="26"/>
          <w:szCs w:val="26"/>
          <w:lang w:val="vi-VN"/>
        </w:rPr>
        <w:t>Trong thời gian Ủy ban nhân dân cấp tỉnh chưa quy định tỷ lệ % để tính chi phí lãi vay, lợi nhuận của nhà đầu tư có tính đến vốn chủ sở hữu, rủi ro trong kinh doanh thì tổ chức thực hiện định giá đất đề xuất trong báo cáo thuyết minh xây dựng phương án giá đất đối với từng dự án để Hội đồng thẩm định giá đất xem xét, quyết định.</w:t>
      </w:r>
    </w:p>
    <w:p w14:paraId="63837B3D">
      <w:pPr>
        <w:spacing w:before="120" w:after="120"/>
        <w:ind w:firstLine="567"/>
        <w:jc w:val="both"/>
        <w:rPr>
          <w:spacing w:val="-2"/>
          <w:sz w:val="26"/>
          <w:szCs w:val="26"/>
          <w:lang w:val="vi-VN"/>
        </w:rPr>
      </w:pPr>
      <w:r>
        <w:rPr>
          <w:spacing w:val="-2"/>
          <w:sz w:val="26"/>
          <w:szCs w:val="26"/>
          <w:lang w:val="vi-VN"/>
        </w:rPr>
        <w:t>Đối với thời gian xây dựng, tiến độ xây dựng thì căn cứ vào tiến độ đã được xác định trong chủ trương đầu tư hoặc hồ sơ mời thầu thực hiện dự án đầu tư hoặc quyết định phê duyệt, chấp thuận dự án đầu tư để ước tính chi phí phát triển của dự án. Trường hợp trong các văn bản về chủ trương đầu tư hoặc hồ sơ mời thầu thực hiện dự án đầu tư hoặc quyết định phê duyệt, chấp thuận dự án đầu tư chưa xác định thời gian xây dựng, tiến độ xây dựng thì 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p>
    <w:p w14:paraId="461BD084">
      <w:pPr>
        <w:spacing w:before="120" w:after="120"/>
        <w:ind w:firstLine="567"/>
        <w:jc w:val="both"/>
        <w:rPr>
          <w:sz w:val="26"/>
          <w:szCs w:val="26"/>
          <w:lang w:val="vi-VN"/>
        </w:rPr>
      </w:pPr>
      <w:r>
        <w:rPr>
          <w:sz w:val="26"/>
          <w:szCs w:val="26"/>
          <w:lang w:val="vi-VN"/>
        </w:rPr>
        <w:t>4. Việc ước tính tổng chi phí đầu tư xây dựng được thực hiện như sau:</w:t>
      </w:r>
    </w:p>
    <w:p w14:paraId="341B2D5F">
      <w:pPr>
        <w:spacing w:before="120" w:after="120"/>
        <w:ind w:firstLine="567"/>
        <w:jc w:val="both"/>
        <w:rPr>
          <w:sz w:val="26"/>
          <w:szCs w:val="26"/>
          <w:lang w:val="vi-VN"/>
        </w:rPr>
      </w:pPr>
      <w:r>
        <w:rPr>
          <w:sz w:val="26"/>
          <w:szCs w:val="26"/>
          <w:lang w:val="vi-VN"/>
        </w:rPr>
        <w:t>a) Chi phí đầu tư xây dựng được ước tính theo quy hoạch chi tiết xây dựng hoặc quy hoạch tổng mặt bằng hoặc hồ sơ thiết kế cơ sở hoặc hồ sơ thiết kế thi công được cơ quan có thẩm quyền thẩm định, phê duyệt. Việc ước tính chi phí đầu tư xây dựng quy định tại điểm này thực hiện theo quy định của pháp luật về xây dựng;</w:t>
      </w:r>
    </w:p>
    <w:p w14:paraId="11A8720D">
      <w:pPr>
        <w:spacing w:before="120" w:after="120"/>
        <w:ind w:firstLine="567"/>
        <w:jc w:val="both"/>
        <w:rPr>
          <w:sz w:val="26"/>
          <w:szCs w:val="26"/>
          <w:lang w:val="vi-VN"/>
        </w:rPr>
      </w:pPr>
      <w:r>
        <w:rPr>
          <w:sz w:val="26"/>
          <w:szCs w:val="26"/>
          <w:lang w:val="vi-VN"/>
        </w:rPr>
        <w:t>b) Việc ước tính tổng chi phí đầu tư xây dựng căn cứ theo thứ tự ưu tiên như sau:</w:t>
      </w:r>
    </w:p>
    <w:p w14:paraId="062C1CB7">
      <w:pPr>
        <w:spacing w:before="120" w:after="120"/>
        <w:ind w:firstLine="567"/>
        <w:jc w:val="both"/>
        <w:rPr>
          <w:sz w:val="26"/>
          <w:szCs w:val="26"/>
          <w:lang w:val="vi-VN"/>
        </w:rPr>
      </w:pPr>
      <w:r>
        <w:rPr>
          <w:sz w:val="26"/>
          <w:szCs w:val="26"/>
          <w:lang w:val="vi-VN"/>
        </w:rPr>
        <w:t>- Dự toán xây dựng đã được cơ quan chuyên môn về xây dựng thẩm định theo quy định của pháp luật về xây dựng;</w:t>
      </w:r>
    </w:p>
    <w:p w14:paraId="6556509A">
      <w:pPr>
        <w:spacing w:before="120" w:after="120"/>
        <w:ind w:firstLine="567"/>
        <w:jc w:val="both"/>
        <w:rPr>
          <w:spacing w:val="-6"/>
          <w:sz w:val="26"/>
          <w:szCs w:val="26"/>
          <w:lang w:val="vi-VN"/>
        </w:rPr>
      </w:pPr>
      <w:r>
        <w:rPr>
          <w:spacing w:val="-6"/>
          <w:sz w:val="26"/>
          <w:szCs w:val="26"/>
          <w:lang w:val="vi-VN"/>
        </w:rPr>
        <w:t>- Dự toán xây dựng dựa trên định mức, đơn giá do cơ quan nhà nước có thẩm quyền ban hành, công bố và đã được cơ quan, tổ chức tư vấn thẩm định hoặc thẩm tra độc lập. Cơ quan, tổ chức tư vấn thẩm định hoặc thẩm tra độc lập chịu trách nhiệm trước pháp luật về kết quả thẩm định hoặc thẩm tra đối với dự toán xây dựng mà mình đã thực hiện;</w:t>
      </w:r>
    </w:p>
    <w:p w14:paraId="3B5EFFA8">
      <w:pPr>
        <w:spacing w:before="120" w:after="120"/>
        <w:ind w:firstLine="567"/>
        <w:jc w:val="both"/>
        <w:rPr>
          <w:sz w:val="26"/>
          <w:szCs w:val="26"/>
          <w:lang w:val="vi-VN"/>
        </w:rPr>
      </w:pPr>
      <w:r>
        <w:rPr>
          <w:sz w:val="26"/>
          <w:szCs w:val="26"/>
          <w:lang w:val="vi-VN"/>
        </w:rPr>
        <w:t>- Suất vốn đầu tư xây dựng do Bộ Xây dựng công bố;</w:t>
      </w:r>
    </w:p>
    <w:p w14:paraId="4682B675">
      <w:pPr>
        <w:spacing w:before="120" w:after="120"/>
        <w:ind w:firstLine="567"/>
        <w:jc w:val="both"/>
        <w:rPr>
          <w:sz w:val="26"/>
          <w:szCs w:val="26"/>
          <w:lang w:val="vi-VN"/>
        </w:rPr>
      </w:pPr>
      <w:r>
        <w:rPr>
          <w:sz w:val="26"/>
          <w:szCs w:val="26"/>
          <w:lang w:val="vi-VN"/>
        </w:rPr>
        <w:t>c) Trường hợp chưa có các căn cứ quy định tại điểm b khoản này thì tổ chức thực hiện định giá đất thu thập thông tin về chi phí thực tế phổ biến của 03 dự án đầu tư cùng mục đích sử dụng đất chính có khoảng cách gần nhất đến thửa đất, khu đất cần định giá để đề xuất trong Báo cáo thuyết minh xây dựng phương án giá đất làm cơ sở để Hội đồng thẩm định giá đất xem xét, quyết định.</w:t>
      </w:r>
    </w:p>
    <w:p w14:paraId="1F9E8BF6">
      <w:pPr>
        <w:spacing w:before="120" w:after="120"/>
        <w:ind w:firstLine="567"/>
        <w:jc w:val="both"/>
        <w:rPr>
          <w:sz w:val="26"/>
          <w:szCs w:val="26"/>
          <w:lang w:val="vi-VN"/>
        </w:rPr>
      </w:pPr>
      <w:r>
        <w:rPr>
          <w:sz w:val="26"/>
          <w:szCs w:val="26"/>
          <w:lang w:val="vi-VN"/>
        </w:rPr>
        <w:t>5. Việc ước tính các khoản doanh thu, chi phí thực hiện theo từng năm thực hiện dự án và phải chiết khấu về giá trị hiện tại tại thời điểm định giá đất. Việc ước tính tổng doanh thu phát triển, tổng chi phí phát triển của khu đất, thửa đất thực hiện theo công thức sau:</w:t>
      </w:r>
    </w:p>
    <w:p w14:paraId="206C0D99">
      <w:pPr>
        <w:spacing w:before="120" w:after="120"/>
        <w:ind w:firstLine="567"/>
        <w:jc w:val="both"/>
        <w:rPr>
          <w:sz w:val="26"/>
          <w:szCs w:val="26"/>
          <w:lang w:val="vi-VN"/>
        </w:rPr>
      </w:pPr>
      <w:r>
        <w:rPr>
          <w:sz w:val="26"/>
          <w:szCs w:val="26"/>
          <w:lang w:val="vi-VN"/>
        </w:rPr>
        <w:t>Tổng doanh thu phát triển = </w:t>
      </w:r>
      <w:r>
        <w:rPr>
          <w:sz w:val="26"/>
          <w:szCs w:val="26"/>
        </w:rPr>
        <w:drawing>
          <wp:inline distT="0" distB="0" distL="0" distR="0">
            <wp:extent cx="533400" cy="363855"/>
            <wp:effectExtent l="0" t="0" r="0" b="0"/>
            <wp:docPr id="1785124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2481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3400" cy="363855"/>
                    </a:xfrm>
                    <a:prstGeom prst="rect">
                      <a:avLst/>
                    </a:prstGeom>
                    <a:noFill/>
                    <a:ln>
                      <a:noFill/>
                    </a:ln>
                  </pic:spPr>
                </pic:pic>
              </a:graphicData>
            </a:graphic>
          </wp:inline>
        </w:drawing>
      </w:r>
    </w:p>
    <w:p w14:paraId="6C526705">
      <w:pPr>
        <w:spacing w:before="120" w:after="120"/>
        <w:ind w:firstLine="567"/>
        <w:jc w:val="both"/>
        <w:rPr>
          <w:sz w:val="26"/>
          <w:szCs w:val="26"/>
          <w:lang w:val="vi-VN"/>
        </w:rPr>
      </w:pPr>
      <w:r>
        <w:rPr>
          <w:sz w:val="26"/>
          <w:szCs w:val="26"/>
          <w:lang w:val="vi-VN"/>
        </w:rPr>
        <w:t>Tổng chi phí phát triển = </w:t>
      </w:r>
      <w:r>
        <w:rPr>
          <w:sz w:val="26"/>
          <w:szCs w:val="26"/>
        </w:rPr>
        <w:drawing>
          <wp:inline distT="0" distB="0" distL="0" distR="0">
            <wp:extent cx="497840" cy="349250"/>
            <wp:effectExtent l="0" t="0" r="0" b="0"/>
            <wp:docPr id="1190303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0313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7840" cy="349250"/>
                    </a:xfrm>
                    <a:prstGeom prst="rect">
                      <a:avLst/>
                    </a:prstGeom>
                    <a:noFill/>
                    <a:ln>
                      <a:noFill/>
                    </a:ln>
                  </pic:spPr>
                </pic:pic>
              </a:graphicData>
            </a:graphic>
          </wp:inline>
        </w:drawing>
      </w:r>
    </w:p>
    <w:p w14:paraId="30470CC0">
      <w:pPr>
        <w:spacing w:before="120" w:after="120"/>
        <w:ind w:firstLine="567"/>
        <w:jc w:val="both"/>
        <w:rPr>
          <w:sz w:val="26"/>
          <w:szCs w:val="26"/>
          <w:lang w:val="vi-VN"/>
        </w:rPr>
      </w:pPr>
      <w:r>
        <w:rPr>
          <w:sz w:val="26"/>
          <w:szCs w:val="26"/>
          <w:lang w:val="vi-VN"/>
        </w:rPr>
        <w:t>Trong đó:</w:t>
      </w:r>
    </w:p>
    <w:p w14:paraId="30C0E4D0">
      <w:pPr>
        <w:spacing w:before="120" w:after="120"/>
        <w:ind w:firstLine="567"/>
        <w:jc w:val="both"/>
        <w:rPr>
          <w:sz w:val="26"/>
          <w:szCs w:val="26"/>
          <w:lang w:val="vi-VN"/>
        </w:rPr>
      </w:pPr>
      <w:r>
        <w:rPr>
          <w:sz w:val="26"/>
          <w:szCs w:val="26"/>
          <w:lang w:val="vi-VN"/>
        </w:rPr>
        <w:t>- TR</w:t>
      </w:r>
      <w:r>
        <w:rPr>
          <w:sz w:val="26"/>
          <w:szCs w:val="26"/>
          <w:vertAlign w:val="subscript"/>
          <w:lang w:val="vi-VN"/>
        </w:rPr>
        <w:t>i</w:t>
      </w:r>
      <w:r>
        <w:rPr>
          <w:sz w:val="26"/>
          <w:szCs w:val="26"/>
          <w:lang w:val="vi-VN"/>
        </w:rPr>
        <w:t> là doanh thu năm thứ i của dự án;</w:t>
      </w:r>
    </w:p>
    <w:p w14:paraId="7316C8D7">
      <w:pPr>
        <w:spacing w:before="120" w:after="120"/>
        <w:ind w:firstLine="567"/>
        <w:jc w:val="both"/>
        <w:rPr>
          <w:sz w:val="26"/>
          <w:szCs w:val="26"/>
          <w:lang w:val="it-IT"/>
        </w:rPr>
      </w:pPr>
      <w:r>
        <w:rPr>
          <w:sz w:val="26"/>
          <w:szCs w:val="26"/>
          <w:lang w:val="vi-VN"/>
        </w:rPr>
        <w:t>- C</w:t>
      </w:r>
      <w:r>
        <w:rPr>
          <w:sz w:val="26"/>
          <w:szCs w:val="26"/>
          <w:vertAlign w:val="subscript"/>
          <w:lang w:val="it-IT"/>
        </w:rPr>
        <w:t>i</w:t>
      </w:r>
      <w:r>
        <w:rPr>
          <w:sz w:val="26"/>
          <w:szCs w:val="26"/>
          <w:lang w:val="vi-VN"/>
        </w:rPr>
        <w:t> là chi phí năm thứ i của dự án;</w:t>
      </w:r>
    </w:p>
    <w:p w14:paraId="4C23D2AC">
      <w:pPr>
        <w:spacing w:before="120" w:after="120"/>
        <w:ind w:firstLine="567"/>
        <w:jc w:val="both"/>
        <w:rPr>
          <w:sz w:val="26"/>
          <w:szCs w:val="26"/>
          <w:lang w:val="it-IT"/>
        </w:rPr>
      </w:pPr>
      <w:r>
        <w:rPr>
          <w:sz w:val="26"/>
          <w:szCs w:val="26"/>
          <w:lang w:val="vi-VN"/>
        </w:rPr>
        <w:t>- r là tỷ lệ chiết khấu tính theo lãi suất cho </w:t>
      </w:r>
      <w:r>
        <w:rPr>
          <w:sz w:val="26"/>
          <w:szCs w:val="26"/>
          <w:lang w:val="it-IT"/>
        </w:rPr>
        <w:t>vay</w:t>
      </w:r>
      <w:r>
        <w:rPr>
          <w:sz w:val="26"/>
          <w:szCs w:val="26"/>
          <w:lang w:val="vi-VN"/>
        </w:rPr>
        <w:t> trung hạn (từ 01 năm đến 03 năm) bình quân </w:t>
      </w:r>
      <w:r>
        <w:rPr>
          <w:sz w:val="26"/>
          <w:szCs w:val="26"/>
          <w:lang w:val="it-IT"/>
        </w:rPr>
        <w:t>bằng tiền</w:t>
      </w:r>
      <w:r>
        <w:rPr>
          <w:sz w:val="26"/>
          <w:szCs w:val="26"/>
          <w:lang w:val="vi-VN"/>
        </w:rPr>
        <w:t> Việt Nam đối với dự án đầu tư, kinh doanh bất động sản của các ngân hàng thương mại nhà nước của năm liền kề tính đến hết quý gần nhất có số liệu trước thời điểm định giá;</w:t>
      </w:r>
    </w:p>
    <w:p w14:paraId="1555DFFC">
      <w:pPr>
        <w:spacing w:before="120" w:after="120"/>
        <w:ind w:firstLine="567"/>
        <w:jc w:val="both"/>
        <w:rPr>
          <w:sz w:val="26"/>
          <w:szCs w:val="26"/>
          <w:lang w:val="it-IT"/>
        </w:rPr>
      </w:pPr>
      <w:r>
        <w:rPr>
          <w:sz w:val="26"/>
          <w:szCs w:val="26"/>
          <w:lang w:val="vi-VN"/>
        </w:rPr>
        <w:t>- n là số năm bán hàng của dự án (tính tròn năm);</w:t>
      </w:r>
    </w:p>
    <w:p w14:paraId="1A7E95AC">
      <w:pPr>
        <w:spacing w:before="120" w:after="120"/>
        <w:ind w:firstLine="567"/>
        <w:jc w:val="both"/>
        <w:rPr>
          <w:sz w:val="26"/>
          <w:szCs w:val="26"/>
          <w:lang w:val="it-IT"/>
        </w:rPr>
      </w:pPr>
      <w:r>
        <w:rPr>
          <w:sz w:val="26"/>
          <w:szCs w:val="26"/>
          <w:lang w:val="vi-VN"/>
        </w:rPr>
        <w:t>- m là số năm xây dựng và phát sinh chi phí của dự án (tính tròn năm).</w:t>
      </w:r>
    </w:p>
    <w:p w14:paraId="0540BA22">
      <w:pPr>
        <w:spacing w:before="120" w:after="120"/>
        <w:ind w:firstLine="567"/>
        <w:jc w:val="both"/>
        <w:rPr>
          <w:sz w:val="26"/>
          <w:szCs w:val="26"/>
          <w:lang w:val="it-IT"/>
        </w:rPr>
      </w:pPr>
      <w:r>
        <w:rPr>
          <w:sz w:val="26"/>
          <w:szCs w:val="26"/>
          <w:lang w:val="vi-VN"/>
        </w:rPr>
        <w:t>6. Xác định giá đất của thửa đất, khu đất cần định giá</w:t>
      </w:r>
    </w:p>
    <w:p w14:paraId="1F316B3E">
      <w:pPr>
        <w:spacing w:before="120" w:after="120"/>
        <w:ind w:firstLine="567"/>
        <w:jc w:val="both"/>
        <w:rPr>
          <w:sz w:val="26"/>
          <w:szCs w:val="26"/>
          <w:lang w:val="it-IT"/>
        </w:rPr>
      </w:pPr>
      <w:r>
        <w:rPr>
          <w:sz w:val="26"/>
          <w:szCs w:val="26"/>
          <w:lang w:val="vi-VN"/>
        </w:rPr>
        <w:t>Giá trị quyền sử dụng đất của thửa đất, khu đất cần định giá được xác định theo công thức sau:</w:t>
      </w:r>
    </w:p>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3424"/>
        <w:gridCol w:w="370"/>
        <w:gridCol w:w="2406"/>
        <w:gridCol w:w="463"/>
        <w:gridCol w:w="2407"/>
      </w:tblGrid>
      <w:tr w14:paraId="1287CD99">
        <w:tblPrEx>
          <w:shd w:val="clear" w:color="auto" w:fill="FFFFFF"/>
          <w:tblCellMar>
            <w:top w:w="0" w:type="dxa"/>
            <w:left w:w="0" w:type="dxa"/>
            <w:bottom w:w="0" w:type="dxa"/>
            <w:right w:w="0" w:type="dxa"/>
          </w:tblCellMar>
        </w:tblPrEx>
        <w:trPr>
          <w:tblCellSpacing w:w="0" w:type="dxa"/>
        </w:trPr>
        <w:tc>
          <w:tcPr>
            <w:tcW w:w="1850" w:type="pct"/>
            <w:shd w:val="clear" w:color="auto" w:fill="FFFFFF"/>
            <w:vAlign w:val="center"/>
          </w:tcPr>
          <w:p w14:paraId="45EBE88A">
            <w:pPr>
              <w:spacing w:before="120" w:after="120"/>
              <w:jc w:val="both"/>
              <w:rPr>
                <w:sz w:val="26"/>
                <w:szCs w:val="26"/>
                <w:lang w:val="it-IT"/>
              </w:rPr>
            </w:pPr>
            <w:r>
              <w:rPr>
                <w:sz w:val="26"/>
                <w:szCs w:val="26"/>
                <w:lang w:val="vi-VN"/>
              </w:rPr>
              <w:t>Giá trị quyền sử dụng đất của thửa đất, khu đất cần định giá</w:t>
            </w:r>
          </w:p>
        </w:tc>
        <w:tc>
          <w:tcPr>
            <w:tcW w:w="200" w:type="pct"/>
            <w:shd w:val="clear" w:color="auto" w:fill="FFFFFF"/>
            <w:vAlign w:val="center"/>
          </w:tcPr>
          <w:p w14:paraId="0644C6C2">
            <w:pPr>
              <w:spacing w:before="120" w:after="120"/>
              <w:rPr>
                <w:sz w:val="26"/>
                <w:szCs w:val="26"/>
              </w:rPr>
            </w:pPr>
            <w:r>
              <w:rPr>
                <w:sz w:val="26"/>
                <w:szCs w:val="26"/>
              </w:rPr>
              <w:t>==</w:t>
            </w:r>
          </w:p>
        </w:tc>
        <w:tc>
          <w:tcPr>
            <w:tcW w:w="1300" w:type="pct"/>
            <w:shd w:val="clear" w:color="auto" w:fill="FFFFFF"/>
            <w:vAlign w:val="center"/>
          </w:tcPr>
          <w:p w14:paraId="1789C50A">
            <w:pPr>
              <w:spacing w:before="120" w:after="120"/>
              <w:jc w:val="both"/>
              <w:rPr>
                <w:sz w:val="26"/>
                <w:szCs w:val="26"/>
              </w:rPr>
            </w:pPr>
            <w:r>
              <w:rPr>
                <w:sz w:val="26"/>
                <w:szCs w:val="26"/>
                <w:lang w:val="vi-VN"/>
              </w:rPr>
              <w:t>Tổng doanh thu phát triển</w:t>
            </w:r>
          </w:p>
        </w:tc>
        <w:tc>
          <w:tcPr>
            <w:tcW w:w="250" w:type="pct"/>
            <w:shd w:val="clear" w:color="auto" w:fill="FFFFFF"/>
            <w:vAlign w:val="center"/>
          </w:tcPr>
          <w:p w14:paraId="1B58CBD4">
            <w:pPr>
              <w:spacing w:before="120" w:after="120"/>
              <w:jc w:val="center"/>
              <w:rPr>
                <w:sz w:val="26"/>
                <w:szCs w:val="26"/>
              </w:rPr>
            </w:pPr>
            <w:r>
              <w:rPr>
                <w:sz w:val="26"/>
                <w:szCs w:val="26"/>
              </w:rPr>
              <w:t>-</w:t>
            </w:r>
          </w:p>
        </w:tc>
        <w:tc>
          <w:tcPr>
            <w:tcW w:w="1300" w:type="pct"/>
            <w:shd w:val="clear" w:color="auto" w:fill="FFFFFF"/>
            <w:vAlign w:val="center"/>
          </w:tcPr>
          <w:p w14:paraId="38904A86">
            <w:pPr>
              <w:spacing w:before="120" w:after="120"/>
              <w:jc w:val="both"/>
              <w:rPr>
                <w:sz w:val="26"/>
                <w:szCs w:val="26"/>
              </w:rPr>
            </w:pPr>
            <w:r>
              <w:rPr>
                <w:sz w:val="26"/>
                <w:szCs w:val="26"/>
                <w:lang w:val="vi-VN"/>
              </w:rPr>
              <w:t>Tổng chi phí phát triển</w:t>
            </w:r>
          </w:p>
        </w:tc>
      </w:tr>
    </w:tbl>
    <w:p w14:paraId="7EE73507">
      <w:pPr>
        <w:spacing w:before="120" w:after="120"/>
        <w:ind w:firstLine="567"/>
        <w:jc w:val="both"/>
        <w:rPr>
          <w:sz w:val="26"/>
          <w:szCs w:val="26"/>
        </w:rPr>
      </w:pPr>
      <w:r>
        <w:rPr>
          <w:sz w:val="26"/>
          <w:szCs w:val="26"/>
          <w:lang w:val="vi-VN"/>
        </w:rPr>
        <w:t>Giá đất của thửa đất, khu đất </w:t>
      </w:r>
      <w:r>
        <w:rPr>
          <w:sz w:val="26"/>
          <w:szCs w:val="26"/>
        </w:rPr>
        <w:t>cần</w:t>
      </w:r>
      <w:r>
        <w:rPr>
          <w:sz w:val="26"/>
          <w:szCs w:val="26"/>
          <w:lang w:val="vi-VN"/>
        </w:rPr>
        <w:t> định giá được xác định theo công thức sau:</w:t>
      </w:r>
    </w:p>
    <w:tbl>
      <w:tblPr>
        <w:tblStyle w:val="9"/>
        <w:tblW w:w="5001" w:type="pct"/>
        <w:tblCellSpacing w:w="0" w:type="dxa"/>
        <w:tblInd w:w="0" w:type="dxa"/>
        <w:shd w:val="clear" w:color="auto" w:fill="FFFFFF"/>
        <w:tblLayout w:type="autofit"/>
        <w:tblCellMar>
          <w:top w:w="0" w:type="dxa"/>
          <w:left w:w="0" w:type="dxa"/>
          <w:bottom w:w="0" w:type="dxa"/>
          <w:right w:w="0" w:type="dxa"/>
        </w:tblCellMar>
      </w:tblPr>
      <w:tblGrid>
        <w:gridCol w:w="3025"/>
        <w:gridCol w:w="943"/>
        <w:gridCol w:w="5104"/>
      </w:tblGrid>
      <w:tr w14:paraId="16984E91">
        <w:tblPrEx>
          <w:shd w:val="clear" w:color="auto" w:fill="FFFFFF"/>
          <w:tblCellMar>
            <w:top w:w="0" w:type="dxa"/>
            <w:left w:w="0" w:type="dxa"/>
            <w:bottom w:w="0" w:type="dxa"/>
            <w:right w:w="0" w:type="dxa"/>
          </w:tblCellMar>
        </w:tblPrEx>
        <w:trPr>
          <w:tblCellSpacing w:w="0" w:type="dxa"/>
        </w:trPr>
        <w:tc>
          <w:tcPr>
            <w:tcW w:w="1667" w:type="pct"/>
            <w:vMerge w:val="restart"/>
            <w:shd w:val="clear" w:color="auto" w:fill="FFFFFF"/>
            <w:vAlign w:val="center"/>
          </w:tcPr>
          <w:p w14:paraId="06EA5491">
            <w:pPr>
              <w:spacing w:before="120" w:after="120"/>
              <w:jc w:val="both"/>
              <w:rPr>
                <w:sz w:val="26"/>
                <w:szCs w:val="26"/>
              </w:rPr>
            </w:pPr>
            <w:r>
              <w:rPr>
                <w:sz w:val="26"/>
                <w:szCs w:val="26"/>
                <w:lang w:val="vi-VN"/>
              </w:rPr>
              <w:t>Giá đất của thửa đất, khu đất cần định giá</w:t>
            </w:r>
          </w:p>
        </w:tc>
        <w:tc>
          <w:tcPr>
            <w:tcW w:w="520" w:type="pct"/>
            <w:vMerge w:val="restart"/>
            <w:shd w:val="clear" w:color="auto" w:fill="FFFFFF"/>
            <w:vAlign w:val="center"/>
          </w:tcPr>
          <w:p w14:paraId="66BAFE70">
            <w:pPr>
              <w:spacing w:before="120" w:after="120"/>
              <w:jc w:val="center"/>
              <w:rPr>
                <w:sz w:val="26"/>
                <w:szCs w:val="26"/>
              </w:rPr>
            </w:pPr>
            <w:r>
              <w:rPr>
                <w:sz w:val="26"/>
                <w:szCs w:val="26"/>
              </w:rPr>
              <w:t>=</w:t>
            </w:r>
          </w:p>
        </w:tc>
        <w:tc>
          <w:tcPr>
            <w:tcW w:w="2813" w:type="pct"/>
            <w:tcBorders>
              <w:top w:val="nil"/>
              <w:left w:val="nil"/>
              <w:bottom w:val="single" w:color="auto" w:sz="8" w:space="0"/>
              <w:right w:val="nil"/>
            </w:tcBorders>
            <w:shd w:val="clear" w:color="auto" w:fill="FFFFFF"/>
            <w:vAlign w:val="center"/>
          </w:tcPr>
          <w:p w14:paraId="2EBFFEA2">
            <w:pPr>
              <w:spacing w:before="120" w:after="120"/>
              <w:jc w:val="both"/>
              <w:rPr>
                <w:sz w:val="26"/>
                <w:szCs w:val="26"/>
              </w:rPr>
            </w:pPr>
            <w:r>
              <w:rPr>
                <w:sz w:val="26"/>
                <w:szCs w:val="26"/>
                <w:lang w:val="vi-VN"/>
              </w:rPr>
              <w:t>Giá trị quyền sử dụng đất của thửa đất, khu đất cần định giá</w:t>
            </w:r>
          </w:p>
        </w:tc>
      </w:tr>
      <w:tr w14:paraId="54655754">
        <w:tblPrEx>
          <w:shd w:val="clear" w:color="auto" w:fill="FFFFFF"/>
          <w:tblCellMar>
            <w:top w:w="0" w:type="dxa"/>
            <w:left w:w="0" w:type="dxa"/>
            <w:bottom w:w="0" w:type="dxa"/>
            <w:right w:w="0" w:type="dxa"/>
          </w:tblCellMar>
        </w:tblPrEx>
        <w:trPr>
          <w:tblCellSpacing w:w="0" w:type="dxa"/>
        </w:trPr>
        <w:tc>
          <w:tcPr>
            <w:tcW w:w="0" w:type="auto"/>
            <w:vMerge w:val="continue"/>
            <w:shd w:val="clear" w:color="auto" w:fill="FFFFFF"/>
            <w:vAlign w:val="center"/>
          </w:tcPr>
          <w:p w14:paraId="6C0ACF9D">
            <w:pPr>
              <w:spacing w:before="120" w:after="120"/>
              <w:ind w:firstLine="567"/>
              <w:jc w:val="both"/>
              <w:rPr>
                <w:sz w:val="26"/>
                <w:szCs w:val="26"/>
              </w:rPr>
            </w:pPr>
          </w:p>
        </w:tc>
        <w:tc>
          <w:tcPr>
            <w:tcW w:w="520" w:type="pct"/>
            <w:vMerge w:val="continue"/>
            <w:shd w:val="clear" w:color="auto" w:fill="FFFFFF"/>
            <w:vAlign w:val="center"/>
          </w:tcPr>
          <w:p w14:paraId="75CBAA0D">
            <w:pPr>
              <w:spacing w:before="120" w:after="120"/>
              <w:ind w:firstLine="567"/>
              <w:jc w:val="both"/>
              <w:rPr>
                <w:sz w:val="26"/>
                <w:szCs w:val="26"/>
              </w:rPr>
            </w:pPr>
          </w:p>
        </w:tc>
        <w:tc>
          <w:tcPr>
            <w:tcW w:w="2813" w:type="pct"/>
            <w:tcBorders>
              <w:top w:val="nil"/>
              <w:left w:val="nil"/>
              <w:bottom w:val="nil"/>
              <w:right w:val="nil"/>
            </w:tcBorders>
            <w:shd w:val="clear" w:color="auto" w:fill="FFFFFF"/>
            <w:vAlign w:val="center"/>
          </w:tcPr>
          <w:p w14:paraId="2147A3D8">
            <w:pPr>
              <w:spacing w:before="120" w:after="120"/>
              <w:jc w:val="both"/>
              <w:rPr>
                <w:sz w:val="26"/>
                <w:szCs w:val="26"/>
              </w:rPr>
            </w:pPr>
            <w:r>
              <w:rPr>
                <w:sz w:val="26"/>
                <w:szCs w:val="26"/>
                <w:lang w:val="vi-VN"/>
              </w:rPr>
              <w:t>Diện tích thửa đất, khu đất cần định giá</w:t>
            </w:r>
          </w:p>
        </w:tc>
      </w:tr>
    </w:tbl>
    <w:p w14:paraId="4ED424C1">
      <w:pPr>
        <w:spacing w:before="120" w:after="120"/>
        <w:ind w:firstLine="567"/>
        <w:jc w:val="both"/>
        <w:rPr>
          <w:sz w:val="26"/>
          <w:szCs w:val="26"/>
        </w:rPr>
      </w:pPr>
      <w:r>
        <w:rPr>
          <w:sz w:val="26"/>
          <w:szCs w:val="26"/>
          <w:lang w:val="vi-VN"/>
        </w:rPr>
        <w:t>7. Trường hợp khu đất có diện tích giao đất có thu tiền sử dụng đất (sau đây gọi là giao đất), có diện tích cho thuê đất trả tiền thuê đất một lần cho cả thời gian thuê (sau đây gọi là cho thuê đất) thì giá đất của thửa đất cần định giá quy định tại khoản 6 Điều này được xác định theo tổng doanh thu phát triển và </w:t>
      </w:r>
      <w:r>
        <w:rPr>
          <w:sz w:val="26"/>
          <w:szCs w:val="26"/>
        </w:rPr>
        <w:t>tổng</w:t>
      </w:r>
      <w:r>
        <w:rPr>
          <w:sz w:val="26"/>
          <w:szCs w:val="26"/>
          <w:lang w:val="vi-VN"/>
        </w:rPr>
        <w:t> chi phí phát triển của từng phần diện tích giao đất, cho thuê đất.</w:t>
      </w:r>
    </w:p>
    <w:p w14:paraId="3B92E7E4">
      <w:pPr>
        <w:spacing w:before="120" w:after="120"/>
        <w:ind w:firstLine="567"/>
        <w:jc w:val="both"/>
        <w:rPr>
          <w:sz w:val="26"/>
          <w:szCs w:val="26"/>
        </w:rPr>
      </w:pPr>
      <w:r>
        <w:rPr>
          <w:sz w:val="26"/>
          <w:szCs w:val="26"/>
          <w:lang w:val="vi-VN"/>
        </w:rPr>
        <w:t>Việc phân bổ chi phí xây dựng kết cấu hạ tầng kỹ thuật theo </w:t>
      </w:r>
      <w:r>
        <w:rPr>
          <w:sz w:val="26"/>
          <w:szCs w:val="26"/>
        </w:rPr>
        <w:t>từng </w:t>
      </w:r>
      <w:r>
        <w:rPr>
          <w:sz w:val="26"/>
          <w:szCs w:val="26"/>
          <w:lang w:val="vi-VN"/>
        </w:rPr>
        <w:t>phần diện tích giao đất, cho thuê đất được thực hiện theo công thức sau:</w:t>
      </w:r>
    </w:p>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2419"/>
        <w:gridCol w:w="1137"/>
        <w:gridCol w:w="3447"/>
        <w:gridCol w:w="980"/>
        <w:gridCol w:w="1087"/>
      </w:tblGrid>
      <w:tr w14:paraId="67182DCD">
        <w:tblPrEx>
          <w:shd w:val="clear" w:color="auto" w:fill="FFFFFF"/>
          <w:tblCellMar>
            <w:top w:w="0" w:type="dxa"/>
            <w:left w:w="0" w:type="dxa"/>
            <w:bottom w:w="0" w:type="dxa"/>
            <w:right w:w="0" w:type="dxa"/>
          </w:tblCellMar>
        </w:tblPrEx>
        <w:trPr>
          <w:tblCellSpacing w:w="0" w:type="dxa"/>
        </w:trPr>
        <w:tc>
          <w:tcPr>
            <w:tcW w:w="1334" w:type="pct"/>
            <w:vMerge w:val="restart"/>
            <w:shd w:val="clear" w:color="auto" w:fill="FFFFFF"/>
            <w:vAlign w:val="center"/>
          </w:tcPr>
          <w:p w14:paraId="0DD6DF43">
            <w:pPr>
              <w:spacing w:before="120" w:after="120"/>
              <w:jc w:val="both"/>
              <w:rPr>
                <w:sz w:val="26"/>
                <w:szCs w:val="26"/>
              </w:rPr>
            </w:pPr>
            <w:r>
              <w:rPr>
                <w:sz w:val="26"/>
                <w:szCs w:val="26"/>
                <w:lang w:val="vi-VN"/>
              </w:rPr>
              <w:t>Chi phí xây dựng kết cấu hạ tầng kỹ thuật đối với phần diện tích giao đất</w:t>
            </w:r>
          </w:p>
        </w:tc>
        <w:tc>
          <w:tcPr>
            <w:tcW w:w="627" w:type="pct"/>
            <w:vMerge w:val="restart"/>
            <w:shd w:val="clear" w:color="auto" w:fill="FFFFFF"/>
            <w:vAlign w:val="center"/>
          </w:tcPr>
          <w:p w14:paraId="073FC11E">
            <w:pPr>
              <w:spacing w:before="120" w:after="120"/>
              <w:ind w:firstLine="567"/>
              <w:jc w:val="both"/>
              <w:rPr>
                <w:sz w:val="26"/>
                <w:szCs w:val="26"/>
              </w:rPr>
            </w:pPr>
            <w:r>
              <w:rPr>
                <w:sz w:val="26"/>
                <w:szCs w:val="26"/>
              </w:rPr>
              <w:t>=</w:t>
            </w:r>
          </w:p>
        </w:tc>
        <w:tc>
          <w:tcPr>
            <w:tcW w:w="1900" w:type="pct"/>
            <w:tcBorders>
              <w:top w:val="nil"/>
              <w:left w:val="nil"/>
              <w:bottom w:val="single" w:color="auto" w:sz="8" w:space="0"/>
              <w:right w:val="nil"/>
            </w:tcBorders>
            <w:shd w:val="clear" w:color="auto" w:fill="FFFFFF"/>
            <w:vAlign w:val="center"/>
          </w:tcPr>
          <w:p w14:paraId="33E06315">
            <w:pPr>
              <w:spacing w:before="120" w:after="120"/>
              <w:ind w:left="97" w:hanging="97"/>
              <w:jc w:val="both"/>
              <w:rPr>
                <w:sz w:val="26"/>
                <w:szCs w:val="26"/>
              </w:rPr>
            </w:pPr>
            <w:r>
              <w:rPr>
                <w:sz w:val="26"/>
                <w:szCs w:val="26"/>
              </w:rPr>
              <w:t>Tổng</w:t>
            </w:r>
            <w:r>
              <w:rPr>
                <w:sz w:val="26"/>
                <w:szCs w:val="26"/>
                <w:lang w:val="vi-VN"/>
              </w:rPr>
              <w:t> chi phí xây dựng kết cấu hạ tầng kỹ thuật của dự án</w:t>
            </w:r>
          </w:p>
        </w:tc>
        <w:tc>
          <w:tcPr>
            <w:tcW w:w="540" w:type="pct"/>
            <w:vMerge w:val="restart"/>
            <w:shd w:val="clear" w:color="auto" w:fill="FFFFFF"/>
            <w:vAlign w:val="center"/>
          </w:tcPr>
          <w:p w14:paraId="4245E589">
            <w:pPr>
              <w:spacing w:before="120" w:after="120"/>
              <w:ind w:firstLine="567"/>
              <w:jc w:val="both"/>
              <w:rPr>
                <w:sz w:val="26"/>
                <w:szCs w:val="26"/>
              </w:rPr>
            </w:pPr>
            <w:r>
              <w:rPr>
                <w:sz w:val="26"/>
                <w:szCs w:val="26"/>
              </w:rPr>
              <w:t>x</w:t>
            </w:r>
          </w:p>
        </w:tc>
        <w:tc>
          <w:tcPr>
            <w:tcW w:w="599" w:type="pct"/>
            <w:vMerge w:val="restart"/>
            <w:shd w:val="clear" w:color="auto" w:fill="FFFFFF"/>
            <w:vAlign w:val="center"/>
          </w:tcPr>
          <w:p w14:paraId="0E83887F">
            <w:pPr>
              <w:spacing w:before="120" w:after="120"/>
              <w:jc w:val="both"/>
              <w:rPr>
                <w:sz w:val="26"/>
                <w:szCs w:val="26"/>
              </w:rPr>
            </w:pPr>
            <w:r>
              <w:rPr>
                <w:sz w:val="26"/>
                <w:szCs w:val="26"/>
                <w:lang w:val="vi-VN"/>
              </w:rPr>
              <w:t>Diện tích giao đất</w:t>
            </w:r>
          </w:p>
        </w:tc>
      </w:tr>
      <w:tr w14:paraId="59B52795">
        <w:tblPrEx>
          <w:tblCellMar>
            <w:top w:w="0" w:type="dxa"/>
            <w:left w:w="0" w:type="dxa"/>
            <w:bottom w:w="0" w:type="dxa"/>
            <w:right w:w="0" w:type="dxa"/>
          </w:tblCellMar>
        </w:tblPrEx>
        <w:trPr>
          <w:tblCellSpacing w:w="0" w:type="dxa"/>
        </w:trPr>
        <w:tc>
          <w:tcPr>
            <w:tcW w:w="1334" w:type="pct"/>
            <w:vMerge w:val="continue"/>
            <w:shd w:val="clear" w:color="auto" w:fill="FFFFFF"/>
            <w:vAlign w:val="center"/>
          </w:tcPr>
          <w:p w14:paraId="25A1FE1F">
            <w:pPr>
              <w:spacing w:before="120" w:after="120"/>
              <w:ind w:firstLine="567"/>
              <w:jc w:val="both"/>
              <w:rPr>
                <w:sz w:val="26"/>
                <w:szCs w:val="26"/>
              </w:rPr>
            </w:pPr>
          </w:p>
        </w:tc>
        <w:tc>
          <w:tcPr>
            <w:tcW w:w="627" w:type="pct"/>
            <w:vMerge w:val="continue"/>
            <w:shd w:val="clear" w:color="auto" w:fill="FFFFFF"/>
            <w:vAlign w:val="center"/>
          </w:tcPr>
          <w:p w14:paraId="529EAD46">
            <w:pPr>
              <w:spacing w:before="120" w:after="120"/>
              <w:ind w:firstLine="567"/>
              <w:jc w:val="both"/>
              <w:rPr>
                <w:sz w:val="26"/>
                <w:szCs w:val="26"/>
              </w:rPr>
            </w:pPr>
          </w:p>
        </w:tc>
        <w:tc>
          <w:tcPr>
            <w:tcW w:w="1900" w:type="pct"/>
            <w:tcBorders>
              <w:top w:val="nil"/>
              <w:left w:val="nil"/>
              <w:bottom w:val="nil"/>
              <w:right w:val="nil"/>
            </w:tcBorders>
            <w:shd w:val="clear" w:color="auto" w:fill="FFFFFF"/>
            <w:vAlign w:val="center"/>
          </w:tcPr>
          <w:p w14:paraId="2C6A313F">
            <w:pPr>
              <w:spacing w:before="120" w:after="120"/>
              <w:jc w:val="both"/>
              <w:rPr>
                <w:sz w:val="26"/>
                <w:szCs w:val="26"/>
              </w:rPr>
            </w:pPr>
            <w:r>
              <w:rPr>
                <w:sz w:val="26"/>
                <w:szCs w:val="26"/>
                <w:lang w:val="vi-VN"/>
              </w:rPr>
              <w:t>Tổng diện tích giao đất và cho thuê đất</w:t>
            </w:r>
          </w:p>
        </w:tc>
        <w:tc>
          <w:tcPr>
            <w:tcW w:w="540" w:type="pct"/>
            <w:vMerge w:val="continue"/>
            <w:shd w:val="clear" w:color="auto" w:fill="FFFFFF"/>
            <w:vAlign w:val="center"/>
          </w:tcPr>
          <w:p w14:paraId="00EFF710">
            <w:pPr>
              <w:spacing w:before="120" w:after="120"/>
              <w:ind w:firstLine="567"/>
              <w:jc w:val="both"/>
              <w:rPr>
                <w:sz w:val="26"/>
                <w:szCs w:val="26"/>
              </w:rPr>
            </w:pPr>
          </w:p>
        </w:tc>
        <w:tc>
          <w:tcPr>
            <w:tcW w:w="599" w:type="pct"/>
            <w:vMerge w:val="continue"/>
            <w:shd w:val="clear" w:color="auto" w:fill="FFFFFF"/>
            <w:vAlign w:val="center"/>
          </w:tcPr>
          <w:p w14:paraId="10E5C4A2">
            <w:pPr>
              <w:spacing w:before="120" w:after="120"/>
              <w:ind w:firstLine="567"/>
              <w:jc w:val="both"/>
              <w:rPr>
                <w:sz w:val="26"/>
                <w:szCs w:val="26"/>
              </w:rPr>
            </w:pPr>
          </w:p>
        </w:tc>
      </w:tr>
    </w:tbl>
    <w:p w14:paraId="15BC7555">
      <w:pPr>
        <w:spacing w:before="120" w:after="120"/>
        <w:ind w:firstLine="567"/>
        <w:jc w:val="both"/>
        <w:rPr>
          <w:vanish/>
          <w:sz w:val="26"/>
          <w:szCs w:val="26"/>
        </w:rPr>
      </w:pPr>
    </w:p>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2656"/>
        <w:gridCol w:w="885"/>
        <w:gridCol w:w="3405"/>
        <w:gridCol w:w="1023"/>
        <w:gridCol w:w="1101"/>
      </w:tblGrid>
      <w:tr w14:paraId="05A081AE">
        <w:tblPrEx>
          <w:shd w:val="clear" w:color="auto" w:fill="FFFFFF"/>
          <w:tblCellMar>
            <w:top w:w="0" w:type="dxa"/>
            <w:left w:w="0" w:type="dxa"/>
            <w:bottom w:w="0" w:type="dxa"/>
            <w:right w:w="0" w:type="dxa"/>
          </w:tblCellMar>
        </w:tblPrEx>
        <w:trPr>
          <w:tblCellSpacing w:w="0" w:type="dxa"/>
        </w:trPr>
        <w:tc>
          <w:tcPr>
            <w:tcW w:w="1464" w:type="pct"/>
            <w:vMerge w:val="restart"/>
            <w:shd w:val="clear" w:color="auto" w:fill="FFFFFF"/>
            <w:vAlign w:val="center"/>
          </w:tcPr>
          <w:p w14:paraId="79EDF2C6">
            <w:pPr>
              <w:spacing w:before="120" w:after="120"/>
              <w:jc w:val="both"/>
              <w:rPr>
                <w:sz w:val="26"/>
                <w:szCs w:val="26"/>
              </w:rPr>
            </w:pPr>
            <w:r>
              <w:rPr>
                <w:sz w:val="26"/>
                <w:szCs w:val="26"/>
                <w:lang w:val="vi-VN"/>
              </w:rPr>
              <w:t>Chi phí xây dựng kết cấu hạ tầng kỹ thuật đối với phần diện tích </w:t>
            </w:r>
            <w:r>
              <w:rPr>
                <w:sz w:val="26"/>
                <w:szCs w:val="26"/>
              </w:rPr>
              <w:t>cho thuê đất</w:t>
            </w:r>
          </w:p>
        </w:tc>
        <w:tc>
          <w:tcPr>
            <w:tcW w:w="488" w:type="pct"/>
            <w:vMerge w:val="restart"/>
            <w:shd w:val="clear" w:color="auto" w:fill="FFFFFF"/>
            <w:vAlign w:val="center"/>
          </w:tcPr>
          <w:p w14:paraId="38879F46">
            <w:pPr>
              <w:spacing w:before="120" w:after="120"/>
              <w:ind w:firstLine="567"/>
              <w:jc w:val="both"/>
              <w:rPr>
                <w:sz w:val="26"/>
                <w:szCs w:val="26"/>
              </w:rPr>
            </w:pPr>
            <w:r>
              <w:rPr>
                <w:sz w:val="26"/>
                <w:szCs w:val="26"/>
              </w:rPr>
              <w:t>=</w:t>
            </w:r>
          </w:p>
        </w:tc>
        <w:tc>
          <w:tcPr>
            <w:tcW w:w="1877" w:type="pct"/>
            <w:tcBorders>
              <w:top w:val="nil"/>
              <w:left w:val="nil"/>
              <w:bottom w:val="single" w:color="auto" w:sz="8" w:space="0"/>
              <w:right w:val="nil"/>
            </w:tcBorders>
            <w:shd w:val="clear" w:color="auto" w:fill="FFFFFF"/>
            <w:vAlign w:val="center"/>
          </w:tcPr>
          <w:p w14:paraId="45F61852">
            <w:pPr>
              <w:spacing w:before="120" w:after="120"/>
              <w:jc w:val="both"/>
              <w:rPr>
                <w:sz w:val="26"/>
                <w:szCs w:val="26"/>
              </w:rPr>
            </w:pPr>
            <w:r>
              <w:rPr>
                <w:sz w:val="26"/>
                <w:szCs w:val="26"/>
                <w:lang w:val="vi-VN"/>
              </w:rPr>
              <w:t>Tổng chi phí xây dựng kết cấu hạ tầng kỹ thuật của dự án</w:t>
            </w:r>
          </w:p>
        </w:tc>
        <w:tc>
          <w:tcPr>
            <w:tcW w:w="564" w:type="pct"/>
            <w:vMerge w:val="restart"/>
            <w:shd w:val="clear" w:color="auto" w:fill="FFFFFF"/>
            <w:vAlign w:val="center"/>
          </w:tcPr>
          <w:p w14:paraId="0D0FDE1B">
            <w:pPr>
              <w:spacing w:before="120" w:after="120"/>
              <w:ind w:firstLine="567"/>
              <w:jc w:val="both"/>
              <w:rPr>
                <w:sz w:val="26"/>
                <w:szCs w:val="26"/>
              </w:rPr>
            </w:pPr>
            <w:r>
              <w:rPr>
                <w:sz w:val="26"/>
                <w:szCs w:val="26"/>
              </w:rPr>
              <w:t>x</w:t>
            </w:r>
          </w:p>
        </w:tc>
        <w:tc>
          <w:tcPr>
            <w:tcW w:w="607" w:type="pct"/>
            <w:vMerge w:val="restart"/>
            <w:shd w:val="clear" w:color="auto" w:fill="FFFFFF"/>
            <w:vAlign w:val="center"/>
          </w:tcPr>
          <w:p w14:paraId="34C85CE5">
            <w:pPr>
              <w:spacing w:before="120" w:after="120"/>
              <w:jc w:val="both"/>
              <w:rPr>
                <w:sz w:val="26"/>
                <w:szCs w:val="26"/>
              </w:rPr>
            </w:pPr>
            <w:r>
              <w:rPr>
                <w:sz w:val="26"/>
                <w:szCs w:val="26"/>
                <w:lang w:val="vi-VN"/>
              </w:rPr>
              <w:t>Diện tích </w:t>
            </w:r>
            <w:r>
              <w:rPr>
                <w:sz w:val="26"/>
                <w:szCs w:val="26"/>
              </w:rPr>
              <w:t>cho thuê đất</w:t>
            </w:r>
          </w:p>
        </w:tc>
      </w:tr>
      <w:tr w14:paraId="04465C03">
        <w:tblPrEx>
          <w:shd w:val="clear" w:color="auto" w:fill="FFFFFF"/>
          <w:tblCellMar>
            <w:top w:w="0" w:type="dxa"/>
            <w:left w:w="0" w:type="dxa"/>
            <w:bottom w:w="0" w:type="dxa"/>
            <w:right w:w="0" w:type="dxa"/>
          </w:tblCellMar>
        </w:tblPrEx>
        <w:trPr>
          <w:tblCellSpacing w:w="0" w:type="dxa"/>
        </w:trPr>
        <w:tc>
          <w:tcPr>
            <w:tcW w:w="1464" w:type="pct"/>
            <w:vMerge w:val="continue"/>
            <w:shd w:val="clear" w:color="auto" w:fill="FFFFFF"/>
            <w:vAlign w:val="center"/>
          </w:tcPr>
          <w:p w14:paraId="799BA46F">
            <w:pPr>
              <w:spacing w:before="120" w:after="120"/>
              <w:ind w:firstLine="567"/>
              <w:jc w:val="both"/>
              <w:rPr>
                <w:sz w:val="26"/>
                <w:szCs w:val="26"/>
              </w:rPr>
            </w:pPr>
          </w:p>
        </w:tc>
        <w:tc>
          <w:tcPr>
            <w:tcW w:w="488" w:type="pct"/>
            <w:vMerge w:val="continue"/>
            <w:shd w:val="clear" w:color="auto" w:fill="FFFFFF"/>
            <w:vAlign w:val="center"/>
          </w:tcPr>
          <w:p w14:paraId="63002750">
            <w:pPr>
              <w:spacing w:before="120" w:after="120"/>
              <w:ind w:firstLine="567"/>
              <w:jc w:val="both"/>
              <w:rPr>
                <w:sz w:val="26"/>
                <w:szCs w:val="26"/>
              </w:rPr>
            </w:pPr>
          </w:p>
        </w:tc>
        <w:tc>
          <w:tcPr>
            <w:tcW w:w="1877" w:type="pct"/>
            <w:tcBorders>
              <w:top w:val="nil"/>
              <w:left w:val="nil"/>
              <w:bottom w:val="nil"/>
              <w:right w:val="nil"/>
            </w:tcBorders>
            <w:shd w:val="clear" w:color="auto" w:fill="FFFFFF"/>
            <w:vAlign w:val="center"/>
          </w:tcPr>
          <w:p w14:paraId="17F124F9">
            <w:pPr>
              <w:spacing w:before="120" w:after="120"/>
              <w:jc w:val="both"/>
              <w:rPr>
                <w:sz w:val="26"/>
                <w:szCs w:val="26"/>
              </w:rPr>
            </w:pPr>
            <w:r>
              <w:rPr>
                <w:sz w:val="26"/>
                <w:szCs w:val="26"/>
                <w:lang w:val="vi-VN"/>
              </w:rPr>
              <w:t>Tổng diện tích giao đất và cho thuê đất</w:t>
            </w:r>
          </w:p>
        </w:tc>
        <w:tc>
          <w:tcPr>
            <w:tcW w:w="564" w:type="pct"/>
            <w:vMerge w:val="continue"/>
            <w:shd w:val="clear" w:color="auto" w:fill="FFFFFF"/>
            <w:vAlign w:val="center"/>
          </w:tcPr>
          <w:p w14:paraId="19241011">
            <w:pPr>
              <w:spacing w:before="120" w:after="120"/>
              <w:ind w:firstLine="567"/>
              <w:jc w:val="both"/>
              <w:rPr>
                <w:sz w:val="26"/>
                <w:szCs w:val="26"/>
              </w:rPr>
            </w:pPr>
          </w:p>
        </w:tc>
        <w:tc>
          <w:tcPr>
            <w:tcW w:w="607" w:type="pct"/>
            <w:vMerge w:val="continue"/>
            <w:shd w:val="clear" w:color="auto" w:fill="FFFFFF"/>
            <w:vAlign w:val="center"/>
          </w:tcPr>
          <w:p w14:paraId="17892B14">
            <w:pPr>
              <w:spacing w:before="120" w:after="120"/>
              <w:ind w:firstLine="567"/>
              <w:jc w:val="both"/>
              <w:rPr>
                <w:sz w:val="26"/>
                <w:szCs w:val="26"/>
              </w:rPr>
            </w:pPr>
          </w:p>
        </w:tc>
      </w:tr>
    </w:tbl>
    <w:p w14:paraId="1A4485FB">
      <w:pPr>
        <w:spacing w:before="120" w:after="120"/>
        <w:ind w:firstLine="567"/>
        <w:jc w:val="both"/>
        <w:rPr>
          <w:sz w:val="26"/>
          <w:szCs w:val="26"/>
        </w:rPr>
      </w:pPr>
      <w:r>
        <w:rPr>
          <w:sz w:val="26"/>
          <w:szCs w:val="26"/>
          <w:lang w:val="vi-VN"/>
        </w:rPr>
        <w:t>Trong đó: Tổng chi phí xây dựng kết cấu hạ tầng kỹ thuật của dự án được xác định trong chi phí đầu tư xây dựng quy định tại khoản 3 Điều này được thực hiện theo quy định của pháp luật về xây dựng.</w:t>
      </w:r>
    </w:p>
    <w:p w14:paraId="51D4AC13">
      <w:pPr>
        <w:spacing w:before="120" w:after="120"/>
        <w:ind w:firstLine="567"/>
        <w:jc w:val="both"/>
        <w:rPr>
          <w:sz w:val="26"/>
          <w:szCs w:val="26"/>
        </w:rPr>
      </w:pPr>
      <w:r>
        <w:rPr>
          <w:sz w:val="26"/>
          <w:szCs w:val="26"/>
          <w:lang w:val="vi-VN"/>
        </w:rPr>
        <w:t>8. </w:t>
      </w:r>
      <w:r>
        <w:rPr>
          <w:sz w:val="26"/>
          <w:szCs w:val="26"/>
        </w:rPr>
        <w:t>Trường hợp</w:t>
      </w:r>
      <w:r>
        <w:rPr>
          <w:sz w:val="26"/>
          <w:szCs w:val="26"/>
          <w:lang w:val="vi-VN"/>
        </w:rPr>
        <w:t> thửa đất, khu đất cần định giá được cơ quan nhà nước có thẩm quyền giao đất, cho thuê đất để thực hiện dự án đầu tư theo nhiều quyết định thì thực hiện như sau:</w:t>
      </w:r>
    </w:p>
    <w:p w14:paraId="66DA3017">
      <w:pPr>
        <w:spacing w:before="120" w:after="120"/>
        <w:ind w:firstLine="567"/>
        <w:jc w:val="both"/>
        <w:rPr>
          <w:sz w:val="26"/>
          <w:szCs w:val="26"/>
        </w:rPr>
      </w:pPr>
      <w:r>
        <w:rPr>
          <w:sz w:val="26"/>
          <w:szCs w:val="26"/>
          <w:lang w:val="vi-VN"/>
        </w:rPr>
        <w:t>a) Trường hợp có đầy đủ điều kiện để tính được doanh thu phát triển, chi phí phát triển của thửa đất, khu đất thì xác định doanh thu phát triển ước tính, chi phí phát triển ước tính được thực hiện theo diện tích giao đất, cho thuê đất của quyết định đó;</w:t>
      </w:r>
    </w:p>
    <w:p w14:paraId="5B73BE5E">
      <w:pPr>
        <w:spacing w:before="120" w:after="120"/>
        <w:ind w:firstLine="567"/>
        <w:jc w:val="both"/>
        <w:rPr>
          <w:sz w:val="26"/>
          <w:szCs w:val="26"/>
        </w:rPr>
      </w:pPr>
      <w:r>
        <w:rPr>
          <w:sz w:val="26"/>
          <w:szCs w:val="26"/>
          <w:lang w:val="vi-VN"/>
        </w:rPr>
        <w:t>b) Trường hợp không ước tính được đầy đủ doanh thu phát triển của thửa đất, khu đất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xây dựng hoặc quy hoạch tổng mặt bằng được cơ quan có thẩm quyền phê duyệt.</w:t>
      </w:r>
    </w:p>
    <w:p w14:paraId="025AF817">
      <w:pPr>
        <w:spacing w:before="120" w:after="120"/>
        <w:ind w:firstLine="567"/>
        <w:jc w:val="both"/>
        <w:rPr>
          <w:spacing w:val="-8"/>
          <w:sz w:val="26"/>
          <w:szCs w:val="26"/>
        </w:rPr>
      </w:pPr>
      <w:r>
        <w:rPr>
          <w:spacing w:val="-8"/>
          <w:sz w:val="26"/>
          <w:szCs w:val="26"/>
          <w:lang w:val="vi-VN"/>
        </w:rPr>
        <w:t>9. Trong thời hạn 05 ngày làm việc kể từ ngày nhận được văn bản yêu cầu của cơ quan có chức năng quản lý đất đai, các ngân hàng thương mại nhà nước có trách nhiệm cung cấp thông tin bằng văn bản về lãi suất cho vay trung hạn quy định tại khoản 5 Điều này.</w:t>
      </w:r>
    </w:p>
    <w:p w14:paraId="76EC38F5">
      <w:pPr>
        <w:spacing w:before="120" w:after="120"/>
        <w:ind w:firstLine="567"/>
        <w:jc w:val="both"/>
        <w:rPr>
          <w:b/>
          <w:bCs/>
          <w:i/>
          <w:iCs/>
          <w:sz w:val="26"/>
          <w:szCs w:val="26"/>
        </w:rPr>
      </w:pPr>
      <w:r>
        <w:rPr>
          <w:b/>
          <w:bCs/>
          <w:sz w:val="26"/>
          <w:szCs w:val="26"/>
          <w:lang w:val="es-ES"/>
        </w:rPr>
        <w:t xml:space="preserve">*Căn cứ Điều 4, Nghị định số 71/2024/NĐ-CP ngày 27/06/2024 của Chính Phủ: </w:t>
      </w:r>
      <w:bookmarkStart w:id="29" w:name="dieu_4"/>
      <w:r>
        <w:rPr>
          <w:b/>
          <w:bCs/>
          <w:i/>
          <w:iCs/>
          <w:sz w:val="26"/>
          <w:szCs w:val="26"/>
          <w:lang w:val="vi-VN"/>
        </w:rPr>
        <w:t>Trình tự, nội dung xác định giá đất theo phương pháp so sánh</w:t>
      </w:r>
      <w:bookmarkEnd w:id="29"/>
      <w:r>
        <w:rPr>
          <w:b/>
          <w:bCs/>
          <w:i/>
          <w:iCs/>
          <w:sz w:val="26"/>
          <w:szCs w:val="26"/>
        </w:rPr>
        <w:t>:</w:t>
      </w:r>
    </w:p>
    <w:p w14:paraId="5F520E75">
      <w:pPr>
        <w:spacing w:before="120" w:after="120"/>
        <w:ind w:firstLine="567"/>
        <w:jc w:val="both"/>
        <w:rPr>
          <w:sz w:val="26"/>
          <w:szCs w:val="26"/>
        </w:rPr>
      </w:pPr>
      <w:r>
        <w:rPr>
          <w:sz w:val="26"/>
          <w:szCs w:val="26"/>
          <w:lang w:val="vi-VN"/>
        </w:rPr>
        <w:t>1. Khảo sát, thu thập thông tin về thửa đất, khu đất cần định giá, gồm:</w:t>
      </w:r>
    </w:p>
    <w:p w14:paraId="6A018E38">
      <w:pPr>
        <w:spacing w:before="120" w:after="120"/>
        <w:ind w:firstLine="567"/>
        <w:jc w:val="both"/>
        <w:rPr>
          <w:sz w:val="26"/>
          <w:szCs w:val="26"/>
        </w:rPr>
      </w:pPr>
      <w:r>
        <w:rPr>
          <w:sz w:val="26"/>
          <w:szCs w:val="26"/>
          <w:lang w:val="vi-VN"/>
        </w:rPr>
        <w:t>a) Mục đích sử dụng đất;</w:t>
      </w:r>
    </w:p>
    <w:p w14:paraId="58B9F3E0">
      <w:pPr>
        <w:spacing w:before="120" w:after="120"/>
        <w:ind w:firstLine="567"/>
        <w:jc w:val="both"/>
        <w:rPr>
          <w:sz w:val="26"/>
          <w:szCs w:val="26"/>
        </w:rPr>
      </w:pPr>
      <w:r>
        <w:rPr>
          <w:sz w:val="26"/>
          <w:szCs w:val="26"/>
          <w:lang w:val="vi-VN"/>
        </w:rPr>
        <w:t>b) Các yếu tố ảnh hưởng đến giá đất theo quy định tại Điều 8 của Nghị định này.</w:t>
      </w:r>
    </w:p>
    <w:p w14:paraId="70CDCA0A">
      <w:pPr>
        <w:spacing w:before="120" w:after="120"/>
        <w:ind w:firstLine="567"/>
        <w:jc w:val="both"/>
        <w:rPr>
          <w:sz w:val="26"/>
          <w:szCs w:val="26"/>
        </w:rPr>
      </w:pPr>
      <w:r>
        <w:rPr>
          <w:sz w:val="26"/>
          <w:szCs w:val="26"/>
          <w:lang w:val="vi-VN"/>
        </w:rPr>
        <w:t>2. Khảo sát, thu thập thông tin đối với thửa đất so sánh, gồm:</w:t>
      </w:r>
    </w:p>
    <w:p w14:paraId="21CCD087">
      <w:pPr>
        <w:spacing w:before="120" w:after="120"/>
        <w:ind w:firstLine="567"/>
        <w:jc w:val="both"/>
        <w:rPr>
          <w:sz w:val="26"/>
          <w:szCs w:val="26"/>
        </w:rPr>
      </w:pPr>
      <w:r>
        <w:rPr>
          <w:sz w:val="26"/>
          <w:szCs w:val="26"/>
          <w:lang w:val="vi-VN"/>
        </w:rPr>
        <w:t>a) Thông tin đầu vào để định giá đất là giá đất đã chuyển nhượng trên thị trường, giá đất đã trúng đấu giá quyền sử dụng đất sau khi hoàn thành nghĩa vụ tài chính quy định tại các </w:t>
      </w:r>
      <w:bookmarkStart w:id="30" w:name="dc_6"/>
      <w:r>
        <w:rPr>
          <w:sz w:val="26"/>
          <w:szCs w:val="26"/>
          <w:lang w:val="vi-VN"/>
        </w:rPr>
        <w:t>điểm a, b và c khoản 3 Điều 158 Luật Đất đai</w:t>
      </w:r>
      <w:bookmarkEnd w:id="30"/>
      <w:r>
        <w:rPr>
          <w:sz w:val="26"/>
          <w:szCs w:val="26"/>
          <w:lang w:val="vi-VN"/>
        </w:rPr>
        <w:t>;</w:t>
      </w:r>
    </w:p>
    <w:p w14:paraId="49689E4A">
      <w:pPr>
        <w:spacing w:before="120" w:after="120"/>
        <w:ind w:firstLine="567"/>
        <w:jc w:val="both"/>
        <w:rPr>
          <w:sz w:val="26"/>
          <w:szCs w:val="26"/>
        </w:rPr>
      </w:pPr>
      <w:r>
        <w:rPr>
          <w:sz w:val="26"/>
          <w:szCs w:val="26"/>
          <w:lang w:val="vi-VN"/>
        </w:rPr>
        <w:t>b) Thông tin tại điểm a khoản này được lấy từ các nguồn: cơ sở dữ liệu quốc gia về đất đai, cơ sở dữ liệu quốc gia về giá; Văn phòng Đăng ký đất đai; đơn vị tổ chức thực hiện việc đấu giá quyền sử dụng đất, đơn vị, tổ chức đấu giá tài sản; sàn </w:t>
      </w:r>
      <w:r>
        <w:rPr>
          <w:sz w:val="26"/>
          <w:szCs w:val="26"/>
        </w:rPr>
        <w:t>giao</w:t>
      </w:r>
      <w:r>
        <w:rPr>
          <w:sz w:val="26"/>
          <w:szCs w:val="26"/>
          <w:lang w:val="vi-VN"/>
        </w:rPr>
        <w:t> dịch bất động sản, doanh nghiệp bất động sản; thông tin thu thập qua điều tra, khảo sát;</w:t>
      </w:r>
    </w:p>
    <w:p w14:paraId="4D8D4F27">
      <w:pPr>
        <w:spacing w:before="120" w:after="120"/>
        <w:ind w:firstLine="567"/>
        <w:jc w:val="both"/>
        <w:rPr>
          <w:sz w:val="26"/>
          <w:szCs w:val="26"/>
        </w:rPr>
      </w:pPr>
      <w:r>
        <w:rPr>
          <w:sz w:val="26"/>
          <w:szCs w:val="26"/>
          <w:lang w:val="vi-VN"/>
        </w:rPr>
        <w:t>c) Các yếu tố ảnh hưởng đến giá đất theo quy định tại Điều 8 của Nghị định này.</w:t>
      </w:r>
    </w:p>
    <w:p w14:paraId="412275F1">
      <w:pPr>
        <w:spacing w:before="120" w:after="120"/>
        <w:ind w:firstLine="567"/>
        <w:jc w:val="both"/>
        <w:rPr>
          <w:spacing w:val="-10"/>
          <w:sz w:val="26"/>
          <w:szCs w:val="26"/>
        </w:rPr>
      </w:pPr>
      <w:r>
        <w:rPr>
          <w:spacing w:val="-10"/>
          <w:sz w:val="26"/>
          <w:szCs w:val="26"/>
          <w:lang w:val="vi-VN"/>
        </w:rPr>
        <w:t>3. Việc lựa chọn thông tin của các thửa đất so sánh thực hiện theo thứ tự ưu tiên như sau:</w:t>
      </w:r>
    </w:p>
    <w:p w14:paraId="6213722B">
      <w:pPr>
        <w:spacing w:before="120" w:after="120"/>
        <w:ind w:firstLine="567"/>
        <w:jc w:val="both"/>
        <w:rPr>
          <w:sz w:val="26"/>
          <w:szCs w:val="26"/>
        </w:rPr>
      </w:pPr>
      <w:r>
        <w:rPr>
          <w:sz w:val="26"/>
          <w:szCs w:val="26"/>
          <w:lang w:val="vi-VN"/>
        </w:rPr>
        <w:t>a) Thông tin gần nhất với thời điểm định giá đất.</w:t>
      </w:r>
    </w:p>
    <w:p w14:paraId="1F0FD0BD">
      <w:pPr>
        <w:spacing w:before="120" w:after="120"/>
        <w:ind w:firstLine="567"/>
        <w:jc w:val="both"/>
        <w:rPr>
          <w:sz w:val="26"/>
          <w:szCs w:val="26"/>
        </w:rPr>
      </w:pPr>
      <w:r>
        <w:rPr>
          <w:sz w:val="26"/>
          <w:szCs w:val="26"/>
          <w:lang w:val="vi-VN"/>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3CC79277">
      <w:pPr>
        <w:spacing w:before="120" w:after="120"/>
        <w:ind w:firstLine="567"/>
        <w:jc w:val="both"/>
        <w:rPr>
          <w:sz w:val="26"/>
          <w:szCs w:val="26"/>
        </w:rPr>
      </w:pPr>
      <w:r>
        <w:rPr>
          <w:sz w:val="26"/>
          <w:szCs w:val="26"/>
          <w:lang w:val="vi-VN"/>
        </w:rPr>
        <w:t>b) Tương đồng nhất định về các yếu tố ảnh hưởng đến giá đất;</w:t>
      </w:r>
    </w:p>
    <w:p w14:paraId="4F4AB4B9">
      <w:pPr>
        <w:spacing w:before="120" w:after="120"/>
        <w:ind w:firstLine="567"/>
        <w:jc w:val="both"/>
        <w:rPr>
          <w:spacing w:val="-6"/>
          <w:sz w:val="26"/>
          <w:szCs w:val="26"/>
          <w:lang w:val="vi-VN"/>
        </w:rPr>
      </w:pPr>
      <w:r>
        <w:rPr>
          <w:spacing w:val="-6"/>
          <w:sz w:val="26"/>
          <w:szCs w:val="26"/>
          <w:lang w:val="vi-VN"/>
        </w:rPr>
        <w:t>c) Có khoảng cách gần nhất đến thửa đất, khu đất cần định giá và không bị giới hạn bởi địa giới hành chính của các đơn vị hành chính cấp xã, cấp huyện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p>
    <w:p w14:paraId="000400B7">
      <w:pPr>
        <w:spacing w:before="120" w:after="120"/>
        <w:ind w:firstLine="567"/>
        <w:jc w:val="both"/>
        <w:rPr>
          <w:sz w:val="26"/>
          <w:szCs w:val="26"/>
          <w:lang w:val="vi-VN"/>
        </w:rPr>
      </w:pPr>
      <w:r>
        <w:rPr>
          <w:sz w:val="26"/>
          <w:szCs w:val="26"/>
          <w:lang w:val="vi-VN"/>
        </w:rPr>
        <w:t>4. Trường hợp thửa đất so sánh có tài sản gắn liền với đất thì giá trị của tài sản gắn liền với đất (nếu có) của thửa đất so sánh được xác định như sau:</w:t>
      </w:r>
    </w:p>
    <w:p w14:paraId="349C2859">
      <w:pPr>
        <w:spacing w:before="120" w:after="120"/>
        <w:ind w:firstLine="567"/>
        <w:jc w:val="both"/>
        <w:rPr>
          <w:sz w:val="26"/>
          <w:szCs w:val="26"/>
          <w:lang w:val="vi-VN"/>
        </w:rPr>
      </w:pPr>
      <w:r>
        <w:rPr>
          <w:sz w:val="26"/>
          <w:szCs w:val="26"/>
          <w:lang w:val="vi-VN"/>
        </w:rPr>
        <w:t>a) Đối với trường hợp tài sản gắn liền với đất là công trình xây dựng</w:t>
      </w:r>
    </w:p>
    <w:p w14:paraId="65C4BD31">
      <w:pPr>
        <w:spacing w:before="120" w:after="120"/>
        <w:ind w:firstLine="567"/>
        <w:jc w:val="both"/>
        <w:rPr>
          <w:sz w:val="26"/>
          <w:szCs w:val="26"/>
          <w:lang w:val="vi-VN"/>
        </w:rPr>
      </w:pPr>
      <w:r>
        <w:rPr>
          <w:sz w:val="26"/>
          <w:szCs w:val="26"/>
          <w:lang w:val="vi-VN"/>
        </w:rPr>
        <w:t>Việc xác định giá trị của tài sản gắn liền với đất tại thời điểm chuyển nhượng, trúng đấu giá quyền sử dụng đất như sau:</w:t>
      </w:r>
    </w:p>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2912"/>
        <w:gridCol w:w="907"/>
        <w:gridCol w:w="2265"/>
        <w:gridCol w:w="808"/>
        <w:gridCol w:w="2178"/>
      </w:tblGrid>
      <w:tr w14:paraId="1159DB73">
        <w:tblPrEx>
          <w:shd w:val="clear" w:color="auto" w:fill="FFFFFF"/>
          <w:tblCellMar>
            <w:top w:w="0" w:type="dxa"/>
            <w:left w:w="0" w:type="dxa"/>
            <w:bottom w:w="0" w:type="dxa"/>
            <w:right w:w="0" w:type="dxa"/>
          </w:tblCellMar>
        </w:tblPrEx>
        <w:trPr>
          <w:trHeight w:val="227" w:hRule="atLeast"/>
          <w:tblCellSpacing w:w="0" w:type="dxa"/>
        </w:trPr>
        <w:tc>
          <w:tcPr>
            <w:tcW w:w="1641" w:type="pct"/>
            <w:shd w:val="clear" w:color="auto" w:fill="FFFFFF"/>
            <w:vAlign w:val="center"/>
          </w:tcPr>
          <w:p w14:paraId="479AE6D1">
            <w:pPr>
              <w:spacing w:before="120" w:after="120"/>
              <w:jc w:val="both"/>
              <w:rPr>
                <w:sz w:val="26"/>
                <w:szCs w:val="26"/>
                <w:lang w:val="vi-VN"/>
              </w:rPr>
            </w:pPr>
            <w:r>
              <w:rPr>
                <w:sz w:val="26"/>
                <w:szCs w:val="26"/>
                <w:lang w:val="vi-VN"/>
              </w:rPr>
              <w:t>Giá trị của tài sản gắn liền với đất tại thời điểm chuyển nhượng, trúng đấu giá quyền sử dụng đất</w:t>
            </w:r>
          </w:p>
        </w:tc>
        <w:tc>
          <w:tcPr>
            <w:tcW w:w="536" w:type="pct"/>
            <w:shd w:val="clear" w:color="auto" w:fill="FFFFFF"/>
            <w:vAlign w:val="center"/>
          </w:tcPr>
          <w:p w14:paraId="1C95B233">
            <w:pPr>
              <w:spacing w:before="120" w:after="120"/>
              <w:jc w:val="both"/>
              <w:rPr>
                <w:sz w:val="26"/>
                <w:szCs w:val="26"/>
              </w:rPr>
            </w:pPr>
            <w:r>
              <w:rPr>
                <w:sz w:val="26"/>
                <w:szCs w:val="26"/>
                <w:lang w:val="vi-VN"/>
              </w:rPr>
              <w:t xml:space="preserve">     </w:t>
            </w:r>
            <w:r>
              <w:rPr>
                <w:sz w:val="26"/>
                <w:szCs w:val="26"/>
              </w:rPr>
              <w:t>=</w:t>
            </w:r>
          </w:p>
        </w:tc>
        <w:tc>
          <w:tcPr>
            <w:tcW w:w="1106" w:type="pct"/>
            <w:shd w:val="clear" w:color="auto" w:fill="FFFFFF"/>
            <w:vAlign w:val="center"/>
          </w:tcPr>
          <w:p w14:paraId="35E212F0">
            <w:pPr>
              <w:spacing w:before="120" w:after="120"/>
              <w:rPr>
                <w:sz w:val="26"/>
                <w:szCs w:val="26"/>
              </w:rPr>
            </w:pPr>
            <w:r>
              <w:rPr>
                <w:sz w:val="26"/>
                <w:szCs w:val="26"/>
                <w:lang w:val="vi-VN"/>
              </w:rPr>
              <w:t>Giá trị xây dựng mới tại thời điểm </w:t>
            </w:r>
            <w:r>
              <w:rPr>
                <w:sz w:val="26"/>
                <w:szCs w:val="26"/>
              </w:rPr>
              <w:t>chuyển</w:t>
            </w:r>
            <w:r>
              <w:rPr>
                <w:sz w:val="26"/>
                <w:szCs w:val="26"/>
                <w:lang w:val="vi-VN"/>
              </w:rPr>
              <w:t> nhượng, trúng đấu giá quyền sử dụng đất</w:t>
            </w:r>
          </w:p>
        </w:tc>
        <w:tc>
          <w:tcPr>
            <w:tcW w:w="481" w:type="pct"/>
            <w:shd w:val="clear" w:color="auto" w:fill="FFFFFF"/>
            <w:vAlign w:val="center"/>
          </w:tcPr>
          <w:p w14:paraId="3CFD54CF">
            <w:pPr>
              <w:spacing w:before="120" w:after="120"/>
              <w:jc w:val="both"/>
              <w:rPr>
                <w:sz w:val="26"/>
                <w:szCs w:val="26"/>
              </w:rPr>
            </w:pPr>
            <w:r>
              <w:rPr>
                <w:sz w:val="26"/>
                <w:szCs w:val="26"/>
              </w:rPr>
              <w:t xml:space="preserve">     -</w:t>
            </w:r>
          </w:p>
        </w:tc>
        <w:tc>
          <w:tcPr>
            <w:tcW w:w="1236" w:type="pct"/>
            <w:shd w:val="clear" w:color="auto" w:fill="FFFFFF"/>
            <w:vAlign w:val="center"/>
          </w:tcPr>
          <w:p w14:paraId="5DAB57F3">
            <w:pPr>
              <w:spacing w:before="120" w:after="120"/>
              <w:jc w:val="both"/>
              <w:rPr>
                <w:sz w:val="26"/>
                <w:szCs w:val="26"/>
              </w:rPr>
            </w:pPr>
            <w:r>
              <w:rPr>
                <w:sz w:val="26"/>
                <w:szCs w:val="26"/>
                <w:lang w:val="vi-VN"/>
              </w:rPr>
              <w:t>Giá trị hao mòn đến thời điểm chuyển nhượng, trúng đấu giá quyền sử dụng đất</w:t>
            </w:r>
          </w:p>
        </w:tc>
      </w:tr>
    </w:tbl>
    <w:p w14:paraId="3F4479E8">
      <w:pPr>
        <w:spacing w:before="120" w:after="120"/>
        <w:ind w:firstLine="567"/>
        <w:jc w:val="both"/>
        <w:rPr>
          <w:sz w:val="26"/>
          <w:szCs w:val="26"/>
          <w:lang w:val="vi-VN"/>
        </w:rPr>
      </w:pPr>
      <w:r>
        <w:rPr>
          <w:sz w:val="26"/>
          <w:szCs w:val="26"/>
          <w:lang w:val="vi-VN"/>
        </w:rPr>
        <w:t>Phương pháp tính giá trị xây dựng mới và giá trị hao mòn của tài sản gắn liền với đất thực hiện theo quy định của pháp luật chuyên ngành. Trường hợp chưa có quy định hoặc hướng dẫn về phương pháp tính giá trị xây dựng mới và giá trị hao mòn thì việc tính toán thực hiện căn cứ vào thông tin, số liệu thực tế thu thập được trên thị trường;</w:t>
      </w:r>
    </w:p>
    <w:p w14:paraId="41059CC9">
      <w:pPr>
        <w:spacing w:before="120" w:after="120"/>
        <w:ind w:firstLine="567"/>
        <w:jc w:val="both"/>
        <w:rPr>
          <w:sz w:val="26"/>
          <w:szCs w:val="26"/>
          <w:lang w:val="vi-VN"/>
        </w:rPr>
      </w:pPr>
      <w:r>
        <w:rPr>
          <w:sz w:val="26"/>
          <w:szCs w:val="26"/>
          <w:lang w:val="vi-VN"/>
        </w:rPr>
        <w:t>b) Đối với trường hợp tài sản gắn liền với đất là cây lâu năm, rừng trồng</w:t>
      </w:r>
    </w:p>
    <w:p w14:paraId="0F5CAD41">
      <w:pPr>
        <w:spacing w:before="120" w:after="120"/>
        <w:ind w:firstLine="567"/>
        <w:jc w:val="both"/>
        <w:rPr>
          <w:spacing w:val="-4"/>
          <w:sz w:val="26"/>
          <w:szCs w:val="26"/>
          <w:lang w:val="vi-VN"/>
        </w:rPr>
      </w:pPr>
      <w:r>
        <w:rPr>
          <w:spacing w:val="-4"/>
          <w:sz w:val="26"/>
          <w:szCs w:val="26"/>
          <w:lang w:val="vi-VN"/>
        </w:rPr>
        <w:t>Đối với cây lâu năm, giá trị của tài sản gắn liền với đất tại thời điểm chuyển nhượng, trúng đấu giá quyền sử dụng đất là giá trị khai thác tính theo thu nhập từ việc thu hoạch sản phẩm tương ứng với số năm còn lại trong chu kỳ thu hoạch hoặc được xác định theo đơn giá bồi thường đối với cây lâu năm do Ủy ban nhân dân cấp tỉnh ban hành.</w:t>
      </w:r>
    </w:p>
    <w:p w14:paraId="716F4F1B">
      <w:pPr>
        <w:spacing w:before="120" w:after="120"/>
        <w:ind w:firstLine="567"/>
        <w:jc w:val="both"/>
        <w:rPr>
          <w:sz w:val="26"/>
          <w:szCs w:val="26"/>
          <w:lang w:val="vi-VN"/>
        </w:rPr>
      </w:pPr>
      <w:r>
        <w:rPr>
          <w:sz w:val="26"/>
          <w:szCs w:val="26"/>
          <w:lang w:val="vi-VN"/>
        </w:rPr>
        <w:t>Đối với rừng trồng thì giá trị của tài sản gắn liền với đất tại thời điểm chuyển nhượng, trúng đấu giá quyền sử dụng đất thực hiện theo quy định của pháp luật chuyên ngành; trường hợp chưa có quy định thì giá trị của tài sản gắn liền với đất được xác định bằng tổng chi phí đã đầu tư để trồng, chăm sóc rừng trồng đến thời điểm chuyển nhượng, trúng đấu giá quyền sử dụng đất hoặc được xác định theo đơn giá bồi thường đối với rừng trồng do Ủy ban nhân dân cấp tỉnh ban hành.</w:t>
      </w:r>
    </w:p>
    <w:p w14:paraId="563ABD5D">
      <w:pPr>
        <w:spacing w:before="120" w:after="120"/>
        <w:ind w:firstLine="567"/>
        <w:jc w:val="both"/>
        <w:rPr>
          <w:sz w:val="26"/>
          <w:szCs w:val="26"/>
          <w:lang w:val="vi-VN"/>
        </w:rPr>
      </w:pPr>
      <w:r>
        <w:rPr>
          <w:sz w:val="26"/>
          <w:szCs w:val="26"/>
          <w:lang w:val="vi-VN"/>
        </w:rPr>
        <w:t>5. Xác định giá của thửa đất so sánh như sau:</w:t>
      </w:r>
    </w:p>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1845"/>
        <w:gridCol w:w="887"/>
        <w:gridCol w:w="1805"/>
        <w:gridCol w:w="849"/>
        <w:gridCol w:w="3684"/>
      </w:tblGrid>
      <w:tr w14:paraId="29A81B3C">
        <w:tblPrEx>
          <w:shd w:val="clear" w:color="auto" w:fill="FFFFFF"/>
          <w:tblCellMar>
            <w:top w:w="0" w:type="dxa"/>
            <w:left w:w="0" w:type="dxa"/>
            <w:bottom w:w="0" w:type="dxa"/>
            <w:right w:w="0" w:type="dxa"/>
          </w:tblCellMar>
        </w:tblPrEx>
        <w:trPr>
          <w:tblCellSpacing w:w="0" w:type="dxa"/>
        </w:trPr>
        <w:tc>
          <w:tcPr>
            <w:tcW w:w="1017" w:type="pct"/>
            <w:vMerge w:val="restart"/>
            <w:shd w:val="clear" w:color="auto" w:fill="FFFFFF"/>
            <w:vAlign w:val="center"/>
          </w:tcPr>
          <w:p w14:paraId="267F6AAF">
            <w:pPr>
              <w:spacing w:before="120" w:after="120"/>
              <w:jc w:val="both"/>
              <w:rPr>
                <w:sz w:val="26"/>
                <w:szCs w:val="26"/>
                <w:lang w:val="vi-VN"/>
              </w:rPr>
            </w:pPr>
            <w:r>
              <w:rPr>
                <w:sz w:val="26"/>
                <w:szCs w:val="26"/>
                <w:lang w:val="vi-VN"/>
              </w:rPr>
              <w:t>Giá đất của thửa đất so sánh</w:t>
            </w:r>
          </w:p>
        </w:tc>
        <w:tc>
          <w:tcPr>
            <w:tcW w:w="489" w:type="pct"/>
            <w:vMerge w:val="restart"/>
            <w:shd w:val="clear" w:color="auto" w:fill="FFFFFF"/>
            <w:vAlign w:val="center"/>
          </w:tcPr>
          <w:p w14:paraId="012C8382">
            <w:pPr>
              <w:spacing w:before="120" w:after="120"/>
              <w:jc w:val="both"/>
              <w:rPr>
                <w:sz w:val="26"/>
                <w:szCs w:val="26"/>
              </w:rPr>
            </w:pPr>
            <w:r>
              <w:rPr>
                <w:sz w:val="26"/>
                <w:szCs w:val="26"/>
                <w:lang w:val="vi-VN"/>
              </w:rPr>
              <w:t xml:space="preserve">      </w:t>
            </w:r>
            <w:r>
              <w:rPr>
                <w:sz w:val="26"/>
                <w:szCs w:val="26"/>
              </w:rPr>
              <w:t>=</w:t>
            </w:r>
          </w:p>
        </w:tc>
        <w:tc>
          <w:tcPr>
            <w:tcW w:w="995" w:type="pct"/>
            <w:tcBorders>
              <w:top w:val="nil"/>
              <w:left w:val="nil"/>
              <w:bottom w:val="single" w:color="auto" w:sz="8" w:space="0"/>
              <w:right w:val="nil"/>
            </w:tcBorders>
            <w:shd w:val="clear" w:color="auto" w:fill="FFFFFF"/>
            <w:vAlign w:val="center"/>
          </w:tcPr>
          <w:p w14:paraId="23BDD417">
            <w:pPr>
              <w:spacing w:before="120" w:after="120"/>
              <w:jc w:val="both"/>
              <w:rPr>
                <w:sz w:val="26"/>
                <w:szCs w:val="26"/>
              </w:rPr>
            </w:pPr>
            <w:r>
              <w:rPr>
                <w:sz w:val="26"/>
                <w:szCs w:val="26"/>
                <w:lang w:val="vi-VN"/>
              </w:rPr>
              <w:t>Giá trị quyền sử dụng đất của thửa đất so sánh</w:t>
            </w:r>
          </w:p>
        </w:tc>
        <w:tc>
          <w:tcPr>
            <w:tcW w:w="468" w:type="pct"/>
            <w:tcBorders>
              <w:top w:val="nil"/>
              <w:left w:val="nil"/>
              <w:bottom w:val="single" w:color="auto" w:sz="8" w:space="0"/>
              <w:right w:val="nil"/>
            </w:tcBorders>
            <w:shd w:val="clear" w:color="auto" w:fill="FFFFFF"/>
            <w:vAlign w:val="center"/>
          </w:tcPr>
          <w:p w14:paraId="447E433C">
            <w:pPr>
              <w:spacing w:before="120" w:after="120"/>
              <w:ind w:firstLine="567"/>
              <w:jc w:val="both"/>
              <w:rPr>
                <w:sz w:val="26"/>
                <w:szCs w:val="26"/>
              </w:rPr>
            </w:pPr>
            <w:r>
              <w:rPr>
                <w:sz w:val="26"/>
                <w:szCs w:val="26"/>
              </w:rPr>
              <w:t>-</w:t>
            </w:r>
          </w:p>
        </w:tc>
        <w:tc>
          <w:tcPr>
            <w:tcW w:w="2031" w:type="pct"/>
            <w:tcBorders>
              <w:top w:val="nil"/>
              <w:left w:val="nil"/>
              <w:bottom w:val="single" w:color="auto" w:sz="8" w:space="0"/>
              <w:right w:val="nil"/>
            </w:tcBorders>
            <w:shd w:val="clear" w:color="auto" w:fill="FFFFFF"/>
            <w:vAlign w:val="center"/>
          </w:tcPr>
          <w:p w14:paraId="3AE621B6">
            <w:pPr>
              <w:spacing w:before="120" w:after="120"/>
              <w:jc w:val="both"/>
              <w:rPr>
                <w:sz w:val="26"/>
                <w:szCs w:val="26"/>
              </w:rPr>
            </w:pPr>
            <w:r>
              <w:rPr>
                <w:sz w:val="26"/>
                <w:szCs w:val="26"/>
                <w:lang w:val="vi-VN"/>
              </w:rPr>
              <w:t>Giá trị của tài sản gắn liền với đất tại thời điểm chuyển nhượng, trúng đấu giá quyền sử dụng đất</w:t>
            </w:r>
          </w:p>
        </w:tc>
      </w:tr>
      <w:tr w14:paraId="3EE72C3B">
        <w:tblPrEx>
          <w:shd w:val="clear" w:color="auto" w:fill="FFFFFF"/>
          <w:tblCellMar>
            <w:top w:w="0" w:type="dxa"/>
            <w:left w:w="0" w:type="dxa"/>
            <w:bottom w:w="0" w:type="dxa"/>
            <w:right w:w="0" w:type="dxa"/>
          </w:tblCellMar>
        </w:tblPrEx>
        <w:trPr>
          <w:tblCellSpacing w:w="0" w:type="dxa"/>
        </w:trPr>
        <w:tc>
          <w:tcPr>
            <w:tcW w:w="1017" w:type="pct"/>
            <w:vMerge w:val="continue"/>
            <w:shd w:val="clear" w:color="auto" w:fill="FFFFFF"/>
            <w:vAlign w:val="center"/>
          </w:tcPr>
          <w:p w14:paraId="312997A7">
            <w:pPr>
              <w:spacing w:before="120" w:after="120"/>
              <w:ind w:firstLine="567"/>
              <w:jc w:val="both"/>
              <w:rPr>
                <w:sz w:val="26"/>
                <w:szCs w:val="26"/>
              </w:rPr>
            </w:pPr>
          </w:p>
        </w:tc>
        <w:tc>
          <w:tcPr>
            <w:tcW w:w="489" w:type="pct"/>
            <w:vMerge w:val="continue"/>
            <w:shd w:val="clear" w:color="auto" w:fill="FFFFFF"/>
            <w:vAlign w:val="center"/>
          </w:tcPr>
          <w:p w14:paraId="23ABA6C1">
            <w:pPr>
              <w:spacing w:before="120" w:after="120"/>
              <w:ind w:firstLine="567"/>
              <w:jc w:val="both"/>
              <w:rPr>
                <w:sz w:val="26"/>
                <w:szCs w:val="26"/>
              </w:rPr>
            </w:pPr>
          </w:p>
        </w:tc>
        <w:tc>
          <w:tcPr>
            <w:tcW w:w="3494" w:type="pct"/>
            <w:gridSpan w:val="3"/>
            <w:tcBorders>
              <w:top w:val="nil"/>
              <w:left w:val="nil"/>
              <w:bottom w:val="nil"/>
              <w:right w:val="nil"/>
            </w:tcBorders>
            <w:shd w:val="clear" w:color="auto" w:fill="FFFFFF"/>
            <w:vAlign w:val="center"/>
          </w:tcPr>
          <w:p w14:paraId="0B28FFBA">
            <w:pPr>
              <w:spacing w:before="120" w:after="120"/>
              <w:ind w:firstLine="567"/>
              <w:jc w:val="both"/>
              <w:rPr>
                <w:sz w:val="26"/>
                <w:szCs w:val="26"/>
              </w:rPr>
            </w:pPr>
            <w:r>
              <w:rPr>
                <w:sz w:val="26"/>
                <w:szCs w:val="26"/>
                <w:lang w:val="vi-VN"/>
              </w:rPr>
              <w:t>Diện tích thửa đất so sánh</w:t>
            </w:r>
          </w:p>
        </w:tc>
      </w:tr>
    </w:tbl>
    <w:p w14:paraId="4598ACF9">
      <w:pPr>
        <w:spacing w:before="120" w:after="120" w:line="340" w:lineRule="exact"/>
        <w:ind w:firstLine="567"/>
        <w:jc w:val="both"/>
        <w:rPr>
          <w:sz w:val="26"/>
          <w:szCs w:val="26"/>
        </w:rPr>
      </w:pPr>
      <w:r>
        <w:rPr>
          <w:sz w:val="26"/>
          <w:szCs w:val="26"/>
          <w:lang w:val="vi-VN"/>
        </w:rPr>
        <w:t>6. Căn cứ các yếu tố ảnh hưởng đến giá đất quy định tại Điều 8 của Nghị định này và đặc điểm của thửa đất, khu đất cần định giá, việc điều chỉnh giá của thửa đất so sánh theo tỷ lệ phần trăm (%) thực hiện theo nguyên tắc sau:</w:t>
      </w:r>
    </w:p>
    <w:p w14:paraId="0D30A89F">
      <w:pPr>
        <w:spacing w:before="120" w:after="120" w:line="340" w:lineRule="exact"/>
        <w:ind w:firstLine="567"/>
        <w:jc w:val="both"/>
        <w:rPr>
          <w:sz w:val="26"/>
          <w:szCs w:val="26"/>
        </w:rPr>
      </w:pPr>
      <w:r>
        <w:rPr>
          <w:sz w:val="26"/>
          <w:szCs w:val="26"/>
          <w:lang w:val="vi-VN"/>
        </w:rPr>
        <w:t>a) Lấy các yếu tố ảnh hưởng đến giá đất của thửa đất cần định giá làm </w:t>
      </w:r>
      <w:r>
        <w:rPr>
          <w:sz w:val="26"/>
          <w:szCs w:val="26"/>
        </w:rPr>
        <w:t>chuẩn để </w:t>
      </w:r>
      <w:r>
        <w:rPr>
          <w:sz w:val="26"/>
          <w:szCs w:val="26"/>
          <w:lang w:val="vi-VN"/>
        </w:rPr>
        <w:t>điều chỉnh giá của thửa đất so sánh;</w:t>
      </w:r>
    </w:p>
    <w:p w14:paraId="1EC19F46">
      <w:pPr>
        <w:spacing w:before="120" w:after="120" w:line="340" w:lineRule="exact"/>
        <w:ind w:firstLine="567"/>
        <w:jc w:val="both"/>
        <w:rPr>
          <w:sz w:val="26"/>
          <w:szCs w:val="26"/>
        </w:rPr>
      </w:pPr>
      <w:r>
        <w:rPr>
          <w:sz w:val="26"/>
          <w:szCs w:val="26"/>
          <w:lang w:val="vi-VN"/>
        </w:rPr>
        <w:t>b) Trường hợp có yếu tố ảnh hưởng đến giá đất của thửa đất so sánh theo hướng làm giảm giá đất so với thửa đất cần định giá thì điều chỉnh tăng mức giá đất của thửa đất so sánh (cộng) theo yếu tố đó; trường hợp có yếu tố ảnh hưởng đến giá đất của thửa đất so sánh theo hướng làm tăng giá đất so với thửa đất cần định giá thì điều chỉnh giảm mức giá đất của thửa đất so sánh (trừ) theo yếu tố đó;</w:t>
      </w:r>
    </w:p>
    <w:p w14:paraId="05080D29">
      <w:pPr>
        <w:spacing w:before="120" w:after="120" w:line="340" w:lineRule="exact"/>
        <w:ind w:firstLine="567"/>
        <w:jc w:val="both"/>
        <w:rPr>
          <w:sz w:val="26"/>
          <w:szCs w:val="26"/>
        </w:rPr>
      </w:pPr>
      <w:r>
        <w:rPr>
          <w:sz w:val="26"/>
          <w:szCs w:val="26"/>
          <w:lang w:val="vi-VN"/>
        </w:rPr>
        <w:t>c) Trường hợp các </w:t>
      </w:r>
      <w:r>
        <w:rPr>
          <w:sz w:val="26"/>
          <w:szCs w:val="26"/>
        </w:rPr>
        <w:t>yếu tố </w:t>
      </w:r>
      <w:r>
        <w:rPr>
          <w:sz w:val="26"/>
          <w:szCs w:val="26"/>
          <w:lang w:val="vi-VN"/>
        </w:rPr>
        <w:t>ảnh hưởng đến giá đất của thửa đất so sánh </w:t>
      </w:r>
      <w:r>
        <w:rPr>
          <w:sz w:val="26"/>
          <w:szCs w:val="26"/>
        </w:rPr>
        <w:t>giống </w:t>
      </w:r>
      <w:r>
        <w:rPr>
          <w:sz w:val="26"/>
          <w:szCs w:val="26"/>
          <w:lang w:val="vi-VN"/>
        </w:rPr>
        <w:t>với thửa đất </w:t>
      </w:r>
      <w:r>
        <w:rPr>
          <w:sz w:val="26"/>
          <w:szCs w:val="26"/>
        </w:rPr>
        <w:t>cần</w:t>
      </w:r>
      <w:r>
        <w:rPr>
          <w:sz w:val="26"/>
          <w:szCs w:val="26"/>
          <w:lang w:val="vi-VN"/>
        </w:rPr>
        <w:t> định giá thì giữ nguyên mức giá của thửa đất so sánh.</w:t>
      </w:r>
    </w:p>
    <w:p w14:paraId="20ED915F">
      <w:pPr>
        <w:spacing w:before="120" w:after="120" w:line="340" w:lineRule="exact"/>
        <w:ind w:firstLine="567"/>
        <w:jc w:val="both"/>
        <w:rPr>
          <w:sz w:val="26"/>
          <w:szCs w:val="26"/>
        </w:rPr>
      </w:pPr>
      <w:r>
        <w:rPr>
          <w:sz w:val="26"/>
          <w:szCs w:val="26"/>
          <w:lang w:val="vi-VN"/>
        </w:rPr>
        <w:t>7. Giá đất ước tính của thửa đất </w:t>
      </w:r>
      <w:r>
        <w:rPr>
          <w:sz w:val="26"/>
          <w:szCs w:val="26"/>
        </w:rPr>
        <w:t>cần</w:t>
      </w:r>
      <w:r>
        <w:rPr>
          <w:sz w:val="26"/>
          <w:szCs w:val="26"/>
          <w:lang w:val="vi-VN"/>
        </w:rPr>
        <w:t> định giá được xác định bằng cách điều chỉnh giá đất của từng thửa đất so sánh do các yếu tố khác nhau của các thửa đất so sánh với thửa đất cần định giá và thực hiện như sau:</w:t>
      </w:r>
    </w:p>
    <w:tbl>
      <w:tblPr>
        <w:tblStyle w:val="9"/>
        <w:tblW w:w="5000" w:type="pct"/>
        <w:tblCellSpacing w:w="0" w:type="dxa"/>
        <w:tblInd w:w="0" w:type="dxa"/>
        <w:shd w:val="clear" w:color="auto" w:fill="FFFFFF"/>
        <w:tblLayout w:type="fixed"/>
        <w:tblCellMar>
          <w:top w:w="0" w:type="dxa"/>
          <w:left w:w="0" w:type="dxa"/>
          <w:bottom w:w="0" w:type="dxa"/>
          <w:right w:w="0" w:type="dxa"/>
        </w:tblCellMar>
      </w:tblPr>
      <w:tblGrid>
        <w:gridCol w:w="2472"/>
        <w:gridCol w:w="1009"/>
        <w:gridCol w:w="1466"/>
        <w:gridCol w:w="1003"/>
        <w:gridCol w:w="3120"/>
      </w:tblGrid>
      <w:tr w14:paraId="237E6A86">
        <w:tblPrEx>
          <w:shd w:val="clear" w:color="auto" w:fill="FFFFFF"/>
          <w:tblCellMar>
            <w:top w:w="0" w:type="dxa"/>
            <w:left w:w="0" w:type="dxa"/>
            <w:bottom w:w="0" w:type="dxa"/>
            <w:right w:w="0" w:type="dxa"/>
          </w:tblCellMar>
        </w:tblPrEx>
        <w:trPr>
          <w:trHeight w:val="737" w:hRule="atLeast"/>
          <w:tblCellSpacing w:w="0" w:type="dxa"/>
        </w:trPr>
        <w:tc>
          <w:tcPr>
            <w:tcW w:w="1363" w:type="pct"/>
            <w:shd w:val="clear" w:color="auto" w:fill="FFFFFF"/>
            <w:vAlign w:val="center"/>
          </w:tcPr>
          <w:p w14:paraId="54EEBB2F">
            <w:pPr>
              <w:spacing w:before="120" w:after="120" w:line="340" w:lineRule="exact"/>
              <w:jc w:val="both"/>
              <w:rPr>
                <w:sz w:val="26"/>
                <w:szCs w:val="26"/>
              </w:rPr>
            </w:pPr>
            <w:r>
              <w:rPr>
                <w:sz w:val="26"/>
                <w:szCs w:val="26"/>
                <w:lang w:val="vi-VN"/>
              </w:rPr>
              <w:t>Giá đất ước tính của thửa đất, khu đất cần định giá theo từng thửa đất so sánh</w:t>
            </w:r>
          </w:p>
        </w:tc>
        <w:tc>
          <w:tcPr>
            <w:tcW w:w="556" w:type="pct"/>
            <w:shd w:val="clear" w:color="auto" w:fill="FFFFFF"/>
            <w:vAlign w:val="center"/>
          </w:tcPr>
          <w:p w14:paraId="658FD376">
            <w:pPr>
              <w:spacing w:before="120" w:after="120" w:line="340" w:lineRule="exact"/>
              <w:ind w:firstLine="567"/>
              <w:jc w:val="both"/>
              <w:rPr>
                <w:sz w:val="26"/>
                <w:szCs w:val="26"/>
              </w:rPr>
            </w:pPr>
            <w:r>
              <w:rPr>
                <w:sz w:val="26"/>
                <w:szCs w:val="26"/>
              </w:rPr>
              <w:t>=</w:t>
            </w:r>
          </w:p>
        </w:tc>
        <w:tc>
          <w:tcPr>
            <w:tcW w:w="808" w:type="pct"/>
            <w:shd w:val="clear" w:color="auto" w:fill="FFFFFF"/>
            <w:vAlign w:val="center"/>
          </w:tcPr>
          <w:p w14:paraId="59B04A74">
            <w:pPr>
              <w:spacing w:before="120" w:after="120" w:line="340" w:lineRule="exact"/>
              <w:jc w:val="both"/>
              <w:rPr>
                <w:sz w:val="26"/>
                <w:szCs w:val="26"/>
              </w:rPr>
            </w:pPr>
            <w:r>
              <w:rPr>
                <w:sz w:val="26"/>
                <w:szCs w:val="26"/>
                <w:lang w:val="vi-VN"/>
              </w:rPr>
              <w:t>Giá</w:t>
            </w:r>
            <w:r>
              <w:rPr>
                <w:sz w:val="26"/>
                <w:szCs w:val="26"/>
              </w:rPr>
              <w:t xml:space="preserve"> đ</w:t>
            </w:r>
            <w:r>
              <w:rPr>
                <w:sz w:val="26"/>
                <w:szCs w:val="26"/>
                <w:lang w:val="vi-VN"/>
              </w:rPr>
              <w:t>ất của </w:t>
            </w:r>
            <w:r>
              <w:rPr>
                <w:sz w:val="26"/>
                <w:szCs w:val="26"/>
              </w:rPr>
              <w:t>từng</w:t>
            </w:r>
            <w:r>
              <w:rPr>
                <w:sz w:val="26"/>
                <w:szCs w:val="26"/>
                <w:lang w:val="vi-VN"/>
              </w:rPr>
              <w:t> thửa đất so sánh</w:t>
            </w:r>
          </w:p>
        </w:tc>
        <w:tc>
          <w:tcPr>
            <w:tcW w:w="553" w:type="pct"/>
            <w:shd w:val="clear" w:color="auto" w:fill="FFFFFF"/>
            <w:vAlign w:val="center"/>
          </w:tcPr>
          <w:p w14:paraId="5B253641">
            <w:pPr>
              <w:spacing w:before="120" w:after="120" w:line="340" w:lineRule="exact"/>
              <w:ind w:firstLine="567"/>
              <w:jc w:val="both"/>
              <w:rPr>
                <w:sz w:val="26"/>
                <w:szCs w:val="26"/>
              </w:rPr>
            </w:pPr>
            <w:r>
              <w:rPr>
                <w:sz w:val="26"/>
                <w:szCs w:val="26"/>
              </w:rPr>
              <w:t>±</w:t>
            </w:r>
          </w:p>
        </w:tc>
        <w:tc>
          <w:tcPr>
            <w:tcW w:w="1721" w:type="pct"/>
            <w:shd w:val="clear" w:color="auto" w:fill="FFFFFF"/>
            <w:vAlign w:val="center"/>
          </w:tcPr>
          <w:p w14:paraId="3D9F4DF4">
            <w:pPr>
              <w:spacing w:before="120" w:after="120" w:line="340" w:lineRule="exact"/>
              <w:jc w:val="both"/>
              <w:rPr>
                <w:sz w:val="26"/>
                <w:szCs w:val="26"/>
              </w:rPr>
            </w:pPr>
            <w:r>
              <w:rPr>
                <w:sz w:val="26"/>
                <w:szCs w:val="26"/>
                <w:lang w:val="vi-VN"/>
              </w:rPr>
              <w:t>Mức điều chỉnh về giá từ yếu tố ảnh hưởng đến giá đất của </w:t>
            </w:r>
            <w:r>
              <w:rPr>
                <w:sz w:val="26"/>
                <w:szCs w:val="26"/>
              </w:rPr>
              <w:t>từng </w:t>
            </w:r>
            <w:r>
              <w:rPr>
                <w:sz w:val="26"/>
                <w:szCs w:val="26"/>
                <w:lang w:val="vi-VN"/>
              </w:rPr>
              <w:t>thửa đất so sánh với thửa đất cần định giá</w:t>
            </w:r>
          </w:p>
        </w:tc>
      </w:tr>
    </w:tbl>
    <w:p w14:paraId="43C96B33">
      <w:pPr>
        <w:spacing w:before="120" w:after="120" w:line="340" w:lineRule="exact"/>
        <w:ind w:firstLine="567"/>
        <w:jc w:val="both"/>
        <w:rPr>
          <w:sz w:val="26"/>
          <w:szCs w:val="26"/>
        </w:rPr>
      </w:pPr>
      <w:r>
        <w:rPr>
          <w:sz w:val="26"/>
          <w:szCs w:val="26"/>
          <w:lang w:val="vi-VN"/>
        </w:rPr>
        <w:t>8. Giá đất của thửa đất cần định giá được xác định bằng cách lấy bình quân số học đối với các giá đất ước tính của thửa đất cần định giá theo </w:t>
      </w:r>
      <w:r>
        <w:rPr>
          <w:sz w:val="26"/>
          <w:szCs w:val="26"/>
        </w:rPr>
        <w:t>từng</w:t>
      </w:r>
      <w:r>
        <w:rPr>
          <w:sz w:val="26"/>
          <w:szCs w:val="26"/>
          <w:lang w:val="vi-VN"/>
        </w:rPr>
        <w:t> thửa đất so sánh đã xác định theo quy định tại khoản 7 Điều này; giá đất của thửa đất cần định giá đã xác định phải bảo đảm chênh lệch với </w:t>
      </w:r>
      <w:r>
        <w:rPr>
          <w:sz w:val="26"/>
          <w:szCs w:val="26"/>
        </w:rPr>
        <w:t>từng</w:t>
      </w:r>
      <w:r>
        <w:rPr>
          <w:sz w:val="26"/>
          <w:szCs w:val="26"/>
          <w:lang w:val="vi-VN"/>
        </w:rPr>
        <w:t> giá đất ước tính không quá 15%.</w:t>
      </w:r>
    </w:p>
    <w:p w14:paraId="400931EB">
      <w:pPr>
        <w:tabs>
          <w:tab w:val="left" w:pos="0"/>
          <w:tab w:val="left" w:pos="600"/>
        </w:tabs>
        <w:spacing w:before="120" w:after="120" w:line="340" w:lineRule="exact"/>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V. XÁC ĐỊNH KẾT QUẢ ĐỊNH GIÁ</w:t>
      </w:r>
    </w:p>
    <w:p w14:paraId="708E5A01">
      <w:pPr>
        <w:widowControl w:val="0"/>
        <w:tabs>
          <w:tab w:val="left" w:pos="567"/>
        </w:tabs>
        <w:spacing w:before="120" w:after="120" w:line="340" w:lineRule="exact"/>
        <w:ind w:firstLine="567"/>
        <w:jc w:val="both"/>
        <w:rPr>
          <w:b/>
          <w:sz w:val="26"/>
          <w:szCs w:val="26"/>
          <w:lang w:val="vi-VN"/>
        </w:rPr>
      </w:pPr>
      <w:r>
        <w:rPr>
          <w:b/>
          <w:sz w:val="26"/>
          <w:szCs w:val="26"/>
          <w:lang w:val="vi-VN"/>
        </w:rPr>
        <w:t>*Căn cứ khoản 8, Điều 6, Nghị định số 71/2024/NĐ-CP ngày 27/06/2024 của Chính Phủ quy định:</w:t>
      </w:r>
    </w:p>
    <w:p w14:paraId="201FD067">
      <w:pPr>
        <w:widowControl w:val="0"/>
        <w:tabs>
          <w:tab w:val="left" w:pos="567"/>
        </w:tabs>
        <w:spacing w:before="120" w:after="120" w:line="340" w:lineRule="exact"/>
        <w:ind w:firstLine="567"/>
        <w:jc w:val="both"/>
        <w:rPr>
          <w:bCs/>
          <w:sz w:val="26"/>
          <w:szCs w:val="26"/>
          <w:lang w:val="vi-VN"/>
        </w:rPr>
      </w:pPr>
      <w:r>
        <w:rPr>
          <w:bCs/>
          <w:sz w:val="26"/>
          <w:szCs w:val="26"/>
          <w:lang w:val="vi-VN"/>
        </w:rPr>
        <w:t>“8. Trường hợp thửa đất, khu đất cần định giá được cơ quan nhà nước có thẩm quyền giao đất, cho thuê đất để thực hiện dự án đầu tư theo nhiều quyết định thì thực hiện như sau:</w:t>
      </w:r>
    </w:p>
    <w:p w14:paraId="7F8AB297">
      <w:pPr>
        <w:widowControl w:val="0"/>
        <w:tabs>
          <w:tab w:val="left" w:pos="567"/>
        </w:tabs>
        <w:spacing w:before="120" w:after="120" w:line="340" w:lineRule="exact"/>
        <w:ind w:firstLine="567"/>
        <w:jc w:val="both"/>
        <w:rPr>
          <w:bCs/>
          <w:sz w:val="26"/>
          <w:szCs w:val="26"/>
          <w:lang w:val="vi-VN"/>
        </w:rPr>
      </w:pPr>
      <w:r>
        <w:rPr>
          <w:bCs/>
          <w:sz w:val="26"/>
          <w:szCs w:val="26"/>
          <w:lang w:val="vi-VN"/>
        </w:rPr>
        <w:t>a) Trường hợp có đầy đủ điều kiện để tính được doanh thu phát triển, chi phí phát triển của thửa đất, khu đất thì xác định doanh thu phát triển ước tính, chi phí phát triển ước tính được thực hiện theo diện tích giao đất, cho thuê đất của quyết định đó;</w:t>
      </w:r>
    </w:p>
    <w:p w14:paraId="06F24D62">
      <w:pPr>
        <w:widowControl w:val="0"/>
        <w:tabs>
          <w:tab w:val="left" w:pos="567"/>
        </w:tabs>
        <w:spacing w:before="120" w:after="120" w:line="340" w:lineRule="exact"/>
        <w:ind w:firstLine="567"/>
        <w:jc w:val="both"/>
        <w:rPr>
          <w:bCs/>
          <w:sz w:val="26"/>
          <w:szCs w:val="26"/>
          <w:lang w:val="vi-VN"/>
        </w:rPr>
      </w:pPr>
      <w:r>
        <w:rPr>
          <w:bCs/>
          <w:sz w:val="26"/>
          <w:szCs w:val="26"/>
          <w:lang w:val="vi-VN"/>
        </w:rPr>
        <w:t>b) Trường hợp không ước tính được đầy đủ doanh thu phát triển của thửa đất, khu đất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xây dựng hoặc quy hoạch tổng mặt bằng được cơ quan có thẩm quyền phê duyệt.”.</w:t>
      </w:r>
    </w:p>
    <w:p w14:paraId="22D69B51">
      <w:pPr>
        <w:widowControl w:val="0"/>
        <w:tabs>
          <w:tab w:val="left" w:pos="567"/>
        </w:tabs>
        <w:spacing w:before="120" w:after="120" w:line="340" w:lineRule="exact"/>
        <w:ind w:firstLine="567"/>
        <w:jc w:val="both"/>
        <w:rPr>
          <w:bCs/>
          <w:spacing w:val="-2"/>
          <w:sz w:val="26"/>
          <w:szCs w:val="26"/>
        </w:rPr>
      </w:pPr>
      <w:r>
        <w:rPr>
          <w:bCs/>
          <w:spacing w:val="-2"/>
          <w:sz w:val="26"/>
          <w:szCs w:val="26"/>
          <w:lang w:val="vi-VN"/>
        </w:rPr>
        <w:t>Khu đô thị phía Đông Nam thị trấn Đồng Mỏ</w:t>
      </w:r>
      <w:r>
        <w:rPr>
          <w:bCs/>
          <w:spacing w:val="-2"/>
          <w:sz w:val="26"/>
          <w:szCs w:val="26"/>
        </w:rPr>
        <w:t xml:space="preserve"> (nay là xã Chi Lăng, tỉnh Lạng Sơn)</w:t>
      </w:r>
      <w:r>
        <w:rPr>
          <w:bCs/>
          <w:spacing w:val="-2"/>
          <w:sz w:val="26"/>
          <w:szCs w:val="26"/>
          <w:lang w:val="vi-VN"/>
        </w:rPr>
        <w:t xml:space="preserve"> </w:t>
      </w:r>
      <w:r>
        <w:rPr>
          <w:bCs/>
          <w:spacing w:val="-2"/>
          <w:sz w:val="26"/>
          <w:szCs w:val="26"/>
        </w:rPr>
        <w:t xml:space="preserve">có quy mô theo quy hoạch được duyệt </w:t>
      </w:r>
      <w:r>
        <w:rPr>
          <w:bCs/>
          <w:i/>
          <w:iCs/>
          <w:spacing w:val="-2"/>
          <w:sz w:val="26"/>
          <w:szCs w:val="26"/>
        </w:rPr>
        <w:t xml:space="preserve">(theo QĐ số </w:t>
      </w:r>
      <w:r>
        <w:rPr>
          <w:bCs/>
          <w:i/>
          <w:iCs/>
          <w:color w:val="000000" w:themeColor="text1"/>
          <w:spacing w:val="-6"/>
          <w:sz w:val="26"/>
          <w:szCs w:val="26"/>
          <w14:textFill>
            <w14:solidFill>
              <w14:schemeClr w14:val="tx1"/>
            </w14:solidFill>
          </w14:textFill>
        </w:rPr>
        <w:t>2483</w:t>
      </w:r>
      <w:r>
        <w:rPr>
          <w:bCs/>
          <w:i/>
          <w:iCs/>
          <w:color w:val="000000" w:themeColor="text1"/>
          <w:spacing w:val="-6"/>
          <w:sz w:val="26"/>
          <w:szCs w:val="26"/>
          <w:lang w:val="vi-VN"/>
          <w14:textFill>
            <w14:solidFill>
              <w14:schemeClr w14:val="tx1"/>
            </w14:solidFill>
          </w14:textFill>
        </w:rPr>
        <w:t xml:space="preserve">/QĐ-UBND ngày 26 tháng </w:t>
      </w:r>
      <w:r>
        <w:rPr>
          <w:bCs/>
          <w:i/>
          <w:iCs/>
          <w:color w:val="000000" w:themeColor="text1"/>
          <w:spacing w:val="-6"/>
          <w:sz w:val="26"/>
          <w:szCs w:val="26"/>
          <w14:textFill>
            <w14:solidFill>
              <w14:schemeClr w14:val="tx1"/>
            </w14:solidFill>
          </w14:textFill>
        </w:rPr>
        <w:t>6</w:t>
      </w:r>
      <w:r>
        <w:rPr>
          <w:bCs/>
          <w:i/>
          <w:iCs/>
          <w:color w:val="000000" w:themeColor="text1"/>
          <w:spacing w:val="-6"/>
          <w:sz w:val="26"/>
          <w:szCs w:val="26"/>
          <w:lang w:val="vi-VN"/>
          <w14:textFill>
            <w14:solidFill>
              <w14:schemeClr w14:val="tx1"/>
            </w14:solidFill>
          </w14:textFill>
        </w:rPr>
        <w:t xml:space="preserve"> năm 20</w:t>
      </w:r>
      <w:r>
        <w:rPr>
          <w:bCs/>
          <w:i/>
          <w:iCs/>
          <w:color w:val="000000" w:themeColor="text1"/>
          <w:spacing w:val="-6"/>
          <w:sz w:val="26"/>
          <w:szCs w:val="26"/>
          <w14:textFill>
            <w14:solidFill>
              <w14:schemeClr w14:val="tx1"/>
            </w14:solidFill>
          </w14:textFill>
        </w:rPr>
        <w:t>20</w:t>
      </w:r>
      <w:r>
        <w:rPr>
          <w:bCs/>
          <w:i/>
          <w:iCs/>
          <w:color w:val="000000" w:themeColor="text1"/>
          <w:spacing w:val="-6"/>
          <w:sz w:val="26"/>
          <w:szCs w:val="26"/>
          <w:lang w:val="vi-VN"/>
          <w14:textFill>
            <w14:solidFill>
              <w14:schemeClr w14:val="tx1"/>
            </w14:solidFill>
          </w14:textFill>
        </w:rPr>
        <w:t xml:space="preserve"> của UBND </w:t>
      </w:r>
      <w:r>
        <w:rPr>
          <w:bCs/>
          <w:i/>
          <w:iCs/>
          <w:color w:val="000000" w:themeColor="text1"/>
          <w:spacing w:val="-6"/>
          <w:sz w:val="26"/>
          <w:szCs w:val="26"/>
          <w14:textFill>
            <w14:solidFill>
              <w14:schemeClr w14:val="tx1"/>
            </w14:solidFill>
          </w14:textFill>
        </w:rPr>
        <w:t>huyện Chi Lăng</w:t>
      </w:r>
      <w:r>
        <w:rPr>
          <w:bCs/>
          <w:i/>
          <w:iCs/>
          <w:color w:val="000000" w:themeColor="text1"/>
          <w:spacing w:val="-6"/>
          <w:sz w:val="26"/>
          <w:szCs w:val="26"/>
          <w:lang w:val="vi-VN"/>
          <w14:textFill>
            <w14:solidFill>
              <w14:schemeClr w14:val="tx1"/>
            </w14:solidFill>
          </w14:textFill>
        </w:rPr>
        <w:t xml:space="preserve"> Về việc phê duyệt </w:t>
      </w:r>
      <w:r>
        <w:rPr>
          <w:bCs/>
          <w:i/>
          <w:iCs/>
          <w:color w:val="000000" w:themeColor="text1"/>
          <w:spacing w:val="-6"/>
          <w:sz w:val="26"/>
          <w:szCs w:val="26"/>
          <w14:textFill>
            <w14:solidFill>
              <w14:schemeClr w14:val="tx1"/>
            </w14:solidFill>
          </w14:textFill>
        </w:rPr>
        <w:t>đồ án Quy hoạch chi tiết tỷ lệ 1/500 Khu đô thị mới hai bên đường Quốc lộ 1 phía Đông Nam thị trấn Đồng Mỏ</w:t>
      </w:r>
      <w:r>
        <w:rPr>
          <w:bCs/>
          <w:iCs/>
          <w:color w:val="000000" w:themeColor="text1"/>
          <w:spacing w:val="-6"/>
          <w:sz w:val="26"/>
          <w:szCs w:val="26"/>
          <w14:textFill>
            <w14:solidFill>
              <w14:schemeClr w14:val="tx1"/>
            </w14:solidFill>
          </w14:textFill>
        </w:rPr>
        <w:t>)</w:t>
      </w:r>
      <w:r>
        <w:rPr>
          <w:color w:val="000000" w:themeColor="text1"/>
          <w:spacing w:val="-8"/>
          <w:sz w:val="26"/>
          <w:szCs w:val="26"/>
          <w14:textFill>
            <w14:solidFill>
              <w14:schemeClr w14:val="tx1"/>
            </w14:solidFill>
          </w14:textFill>
        </w:rPr>
        <w:t xml:space="preserve"> là </w:t>
      </w:r>
      <w:r>
        <w:rPr>
          <w:b/>
          <w:bCs/>
          <w:color w:val="000000" w:themeColor="text1"/>
          <w:spacing w:val="-8"/>
          <w:sz w:val="26"/>
          <w:szCs w:val="26"/>
          <w14:textFill>
            <w14:solidFill>
              <w14:schemeClr w14:val="tx1"/>
            </w14:solidFill>
          </w14:textFill>
        </w:rPr>
        <w:t xml:space="preserve">19,82 ha, </w:t>
      </w:r>
      <w:r>
        <w:rPr>
          <w:color w:val="000000" w:themeColor="text1"/>
          <w:spacing w:val="-8"/>
          <w:sz w:val="26"/>
          <w:szCs w:val="26"/>
          <w14:textFill>
            <w14:solidFill>
              <w14:schemeClr w14:val="tx1"/>
            </w14:solidFill>
          </w14:textFill>
        </w:rPr>
        <w:t>diện tích đất có thu tiền sử dụng đất toàn bộ dự án là</w:t>
      </w:r>
      <w:r>
        <w:rPr>
          <w:b/>
          <w:bCs/>
          <w:color w:val="000000" w:themeColor="text1"/>
          <w:spacing w:val="-8"/>
          <w:sz w:val="26"/>
          <w:szCs w:val="26"/>
          <w14:textFill>
            <w14:solidFill>
              <w14:schemeClr w14:val="tx1"/>
            </w14:solidFill>
          </w14:textFill>
        </w:rPr>
        <w:t xml:space="preserve"> 58.203,40m2</w:t>
      </w:r>
      <w:r>
        <w:rPr>
          <w:color w:val="000000" w:themeColor="text1"/>
          <w:spacing w:val="-8"/>
          <w:sz w:val="26"/>
          <w:szCs w:val="26"/>
          <w:lang w:val="vi-VN"/>
          <w14:textFill>
            <w14:solidFill>
              <w14:schemeClr w14:val="tx1"/>
            </w14:solidFill>
          </w14:textFill>
        </w:rPr>
        <w:t>. Trong đó diện tích giao đất</w:t>
      </w:r>
      <w:r>
        <w:rPr>
          <w:color w:val="000000" w:themeColor="text1"/>
          <w:spacing w:val="-8"/>
          <w:sz w:val="26"/>
          <w:szCs w:val="26"/>
          <w14:textFill>
            <w14:solidFill>
              <w14:schemeClr w14:val="tx1"/>
            </w14:solidFill>
          </w14:textFill>
        </w:rPr>
        <w:t xml:space="preserve"> đợt 1 </w:t>
      </w:r>
      <w:r>
        <w:rPr>
          <w:i/>
          <w:iCs/>
          <w:color w:val="000000" w:themeColor="text1"/>
          <w:spacing w:val="-8"/>
          <w:sz w:val="26"/>
          <w:szCs w:val="26"/>
          <w14:textFill>
            <w14:solidFill>
              <w14:schemeClr w14:val="tx1"/>
            </w14:solidFill>
          </w14:textFill>
        </w:rPr>
        <w:t>(</w:t>
      </w:r>
      <w:r>
        <w:rPr>
          <w:i/>
          <w:iCs/>
          <w:color w:val="000000" w:themeColor="text1"/>
          <w:spacing w:val="-8"/>
          <w:sz w:val="26"/>
          <w:szCs w:val="26"/>
          <w:lang w:val="vi-VN"/>
          <w14:textFill>
            <w14:solidFill>
              <w14:schemeClr w14:val="tx1"/>
            </w14:solidFill>
          </w14:textFill>
        </w:rPr>
        <w:t xml:space="preserve">QĐ số </w:t>
      </w:r>
      <w:r>
        <w:rPr>
          <w:bCs/>
          <w:i/>
          <w:iCs/>
          <w:color w:val="000000" w:themeColor="text1"/>
          <w:spacing w:val="-6"/>
          <w:sz w:val="26"/>
          <w:szCs w:val="26"/>
          <w14:textFill>
            <w14:solidFill>
              <w14:schemeClr w14:val="tx1"/>
            </w14:solidFill>
          </w14:textFill>
        </w:rPr>
        <w:t>8</w:t>
      </w:r>
      <w:r>
        <w:rPr>
          <w:bCs/>
          <w:i/>
          <w:iCs/>
          <w:color w:val="000000" w:themeColor="text1"/>
          <w:spacing w:val="-6"/>
          <w:sz w:val="26"/>
          <w:szCs w:val="26"/>
          <w:lang w:val="vi-VN"/>
          <w14:textFill>
            <w14:solidFill>
              <w14:schemeClr w14:val="tx1"/>
            </w14:solidFill>
          </w14:textFill>
        </w:rPr>
        <w:t xml:space="preserve">6/QĐ-UBND ngày </w:t>
      </w:r>
      <w:r>
        <w:rPr>
          <w:bCs/>
          <w:i/>
          <w:iCs/>
          <w:color w:val="000000" w:themeColor="text1"/>
          <w:spacing w:val="-6"/>
          <w:sz w:val="26"/>
          <w:szCs w:val="26"/>
          <w14:textFill>
            <w14:solidFill>
              <w14:schemeClr w14:val="tx1"/>
            </w14:solidFill>
          </w14:textFill>
        </w:rPr>
        <w:t>09</w:t>
      </w:r>
      <w:r>
        <w:rPr>
          <w:bCs/>
          <w:i/>
          <w:iCs/>
          <w:color w:val="000000" w:themeColor="text1"/>
          <w:spacing w:val="-6"/>
          <w:sz w:val="26"/>
          <w:szCs w:val="26"/>
          <w:lang w:val="vi-VN"/>
          <w14:textFill>
            <w14:solidFill>
              <w14:schemeClr w14:val="tx1"/>
            </w14:solidFill>
          </w14:textFill>
        </w:rPr>
        <w:t xml:space="preserve"> tháng </w:t>
      </w:r>
      <w:r>
        <w:rPr>
          <w:bCs/>
          <w:i/>
          <w:iCs/>
          <w:color w:val="000000" w:themeColor="text1"/>
          <w:spacing w:val="-6"/>
          <w:sz w:val="26"/>
          <w:szCs w:val="26"/>
          <w14:textFill>
            <w14:solidFill>
              <w14:schemeClr w14:val="tx1"/>
            </w14:solidFill>
          </w14:textFill>
        </w:rPr>
        <w:t>01</w:t>
      </w:r>
      <w:r>
        <w:rPr>
          <w:bCs/>
          <w:i/>
          <w:iCs/>
          <w:color w:val="000000" w:themeColor="text1"/>
          <w:spacing w:val="-6"/>
          <w:sz w:val="26"/>
          <w:szCs w:val="26"/>
          <w:lang w:val="vi-VN"/>
          <w14:textFill>
            <w14:solidFill>
              <w14:schemeClr w14:val="tx1"/>
            </w14:solidFill>
          </w14:textFill>
        </w:rPr>
        <w:t xml:space="preserve"> năm 202</w:t>
      </w:r>
      <w:r>
        <w:rPr>
          <w:bCs/>
          <w:i/>
          <w:iCs/>
          <w:color w:val="000000" w:themeColor="text1"/>
          <w:spacing w:val="-6"/>
          <w:sz w:val="26"/>
          <w:szCs w:val="26"/>
          <w14:textFill>
            <w14:solidFill>
              <w14:schemeClr w14:val="tx1"/>
            </w14:solidFill>
          </w14:textFill>
        </w:rPr>
        <w:t>5</w:t>
      </w:r>
      <w:r>
        <w:rPr>
          <w:bCs/>
          <w:i/>
          <w:iCs/>
          <w:color w:val="000000" w:themeColor="text1"/>
          <w:spacing w:val="-6"/>
          <w:sz w:val="26"/>
          <w:szCs w:val="26"/>
          <w:lang w:val="vi-VN"/>
          <w14:textFill>
            <w14:solidFill>
              <w14:schemeClr w14:val="tx1"/>
            </w14:solidFill>
          </w14:textFill>
        </w:rPr>
        <w:t xml:space="preserve"> của UBND tỉnh Lạng Sơn</w:t>
      </w:r>
      <w:r>
        <w:rPr>
          <w:i/>
          <w:iCs/>
          <w:color w:val="000000" w:themeColor="text1"/>
          <w:spacing w:val="-8"/>
          <w:sz w:val="26"/>
          <w:szCs w:val="26"/>
          <w14:textFill>
            <w14:solidFill>
              <w14:schemeClr w14:val="tx1"/>
            </w14:solidFill>
          </w14:textFill>
        </w:rPr>
        <w:t>)</w:t>
      </w:r>
      <w:r>
        <w:rPr>
          <w:color w:val="000000" w:themeColor="text1"/>
          <w:spacing w:val="-8"/>
          <w:sz w:val="26"/>
          <w:szCs w:val="26"/>
          <w14:textFill>
            <w14:solidFill>
              <w14:schemeClr w14:val="tx1"/>
            </w14:solidFill>
          </w14:textFill>
        </w:rPr>
        <w:t xml:space="preserve"> là: 79.413,1 m2; diện tích đất giao </w:t>
      </w:r>
      <w:r>
        <w:rPr>
          <w:color w:val="000000" w:themeColor="text1"/>
          <w:spacing w:val="-8"/>
          <w:sz w:val="26"/>
          <w:szCs w:val="26"/>
          <w:lang w:val="vi-VN"/>
          <w14:textFill>
            <w14:solidFill>
              <w14:schemeClr w14:val="tx1"/>
            </w14:solidFill>
          </w14:textFill>
        </w:rPr>
        <w:t>có thu tiền sử dụng đất</w:t>
      </w:r>
      <w:r>
        <w:rPr>
          <w:color w:val="000000" w:themeColor="text1"/>
          <w:spacing w:val="-8"/>
          <w:sz w:val="26"/>
          <w:szCs w:val="26"/>
          <w14:textFill>
            <w14:solidFill>
              <w14:schemeClr w14:val="tx1"/>
            </w14:solidFill>
          </w14:textFill>
        </w:rPr>
        <w:t xml:space="preserve"> </w:t>
      </w:r>
      <w:r>
        <w:rPr>
          <w:color w:val="000000" w:themeColor="text1"/>
          <w:spacing w:val="-8"/>
          <w:sz w:val="26"/>
          <w:szCs w:val="26"/>
          <w:lang w:val="vi-VN"/>
          <w14:textFill>
            <w14:solidFill>
              <w14:schemeClr w14:val="tx1"/>
            </w14:solidFill>
          </w14:textFill>
        </w:rPr>
        <w:t>là</w:t>
      </w:r>
      <w:r>
        <w:rPr>
          <w:b/>
          <w:bCs/>
          <w:i/>
          <w:iCs/>
          <w:color w:val="000000" w:themeColor="text1"/>
          <w:spacing w:val="-8"/>
          <w:sz w:val="26"/>
          <w:szCs w:val="26"/>
          <w14:textFill>
            <w14:solidFill>
              <w14:schemeClr w14:val="tx1"/>
            </w14:solidFill>
          </w14:textFill>
        </w:rPr>
        <w:t xml:space="preserve"> 34.702,20</w:t>
      </w:r>
      <w:r>
        <w:rPr>
          <w:b/>
          <w:bCs/>
          <w:i/>
          <w:iCs/>
          <w:color w:val="000000" w:themeColor="text1"/>
          <w:spacing w:val="-8"/>
          <w:sz w:val="26"/>
          <w:szCs w:val="26"/>
          <w:lang w:val="vi-VN"/>
          <w14:textFill>
            <w14:solidFill>
              <w14:schemeClr w14:val="tx1"/>
            </w14:solidFill>
          </w14:textFill>
        </w:rPr>
        <w:t>m2</w:t>
      </w:r>
      <w:r>
        <w:rPr>
          <w:b/>
          <w:bCs/>
          <w:i/>
          <w:iCs/>
          <w:spacing w:val="-4"/>
          <w:sz w:val="26"/>
          <w:szCs w:val="26"/>
        </w:rPr>
        <w:t>.</w:t>
      </w:r>
      <w:r>
        <w:rPr>
          <w:bCs/>
          <w:spacing w:val="-2"/>
          <w:sz w:val="26"/>
          <w:szCs w:val="26"/>
          <w:lang w:val="vi-VN"/>
        </w:rPr>
        <w:t xml:space="preserve"> </w:t>
      </w:r>
    </w:p>
    <w:p w14:paraId="10F22B94">
      <w:pPr>
        <w:widowControl w:val="0"/>
        <w:tabs>
          <w:tab w:val="left" w:pos="567"/>
        </w:tabs>
        <w:spacing w:before="120" w:after="120" w:line="340" w:lineRule="exact"/>
        <w:ind w:firstLine="567"/>
        <w:jc w:val="both"/>
        <w:rPr>
          <w:bCs/>
          <w:spacing w:val="-2"/>
          <w:sz w:val="26"/>
          <w:szCs w:val="26"/>
        </w:rPr>
      </w:pPr>
      <w:r>
        <w:rPr>
          <w:bCs/>
          <w:spacing w:val="-2"/>
          <w:sz w:val="26"/>
          <w:szCs w:val="26"/>
        </w:rPr>
        <w:t>Công ty Cổ phần dịch vụ Tư vấn và Thẩm định giá Việt Nam nhận thấy diện tích đất ở có thu tiền sử dụng đất hạng mục đất ở liền kề tại nhiều phân lô chỉ được giao một phần (không trọn lô) như: LK03; LK06; LK07; LK13; LK14; LK16; LK22, LK23; LK26; LK27; LK43; LK44; LK45; LK46; LK47; LK48; LK51; LK52; LK55; LK56; LK57; LK58; LK59; LK60 và một số vị trí khác. Việc xác định giá đất theo cơ sở thị trường tại mỗi thời điểm định giá, mà tại mỗi thời điểm thì thị trường BĐS trên địa bàn có sự biến động tăng giảm. Do đó</w:t>
      </w:r>
      <w:r>
        <w:rPr>
          <w:bCs/>
          <w:spacing w:val="-2"/>
          <w:sz w:val="26"/>
          <w:szCs w:val="26"/>
          <w:lang w:val="vi-VN"/>
        </w:rPr>
        <w:t xml:space="preserve"> việc ước tính doanh thu và chi phí của các đợt giao đất không được đầy đủ</w:t>
      </w:r>
      <w:r>
        <w:rPr>
          <w:bCs/>
          <w:spacing w:val="-2"/>
          <w:sz w:val="26"/>
          <w:szCs w:val="26"/>
        </w:rPr>
        <w:t xml:space="preserve">, đặc biệt đối với doanh thu ước tính giá bán từng lô đất do diện tích lô đất giao không trọn vẹn. Đối với đợt giao đất tiếp theo có thể do ảnh hưởng yếu tố thị trường tại thời điểm đó mà hình thành ra giá bán khác với giá bán đã ước tính đợt 1. Dẫn đến một lô đất sẽ có hai mức giá bán khác nhau đối với phần diện tích giao thuộc 2 đợt khác nhau. Xét về ước tính chi phí, sẽ là khó khăn trong việc phân khai chi phí đầu tư đối với các lô chưa được giao đất đầy đủ. </w:t>
      </w:r>
    </w:p>
    <w:p w14:paraId="13B9B727">
      <w:pPr>
        <w:widowControl w:val="0"/>
        <w:tabs>
          <w:tab w:val="left" w:pos="567"/>
        </w:tabs>
        <w:spacing w:before="120" w:after="120" w:line="340" w:lineRule="exact"/>
        <w:ind w:firstLine="567"/>
        <w:jc w:val="both"/>
        <w:rPr>
          <w:bCs/>
          <w:spacing w:val="-2"/>
          <w:sz w:val="26"/>
          <w:szCs w:val="26"/>
        </w:rPr>
      </w:pPr>
      <w:r>
        <w:rPr>
          <w:bCs/>
          <w:spacing w:val="-2"/>
          <w:sz w:val="26"/>
          <w:szCs w:val="26"/>
        </w:rPr>
        <w:t xml:space="preserve">=&gt; Do đó đơn vị tư vấn xin đề xuất xác định doanh thu phát triển ước tính và chi phí phát triển ước tính được thực hiện cho toàn bộ dự án theo theo quy hoạch được duyệt sau điều chỉnh quy hoạch </w:t>
      </w:r>
      <w:r>
        <w:rPr>
          <w:bCs/>
          <w:i/>
          <w:iCs/>
          <w:spacing w:val="-2"/>
          <w:sz w:val="26"/>
          <w:szCs w:val="26"/>
        </w:rPr>
        <w:t xml:space="preserve">(QĐ số </w:t>
      </w:r>
      <w:r>
        <w:rPr>
          <w:bCs/>
          <w:i/>
          <w:iCs/>
          <w:color w:val="000000" w:themeColor="text1"/>
          <w:spacing w:val="-6"/>
          <w:sz w:val="26"/>
          <w:szCs w:val="26"/>
          <w14:textFill>
            <w14:solidFill>
              <w14:schemeClr w14:val="tx1"/>
            </w14:solidFill>
          </w14:textFill>
        </w:rPr>
        <w:t>2483</w:t>
      </w:r>
      <w:r>
        <w:rPr>
          <w:bCs/>
          <w:i/>
          <w:iCs/>
          <w:color w:val="000000" w:themeColor="text1"/>
          <w:spacing w:val="-6"/>
          <w:sz w:val="26"/>
          <w:szCs w:val="26"/>
          <w:lang w:val="vi-VN"/>
          <w14:textFill>
            <w14:solidFill>
              <w14:schemeClr w14:val="tx1"/>
            </w14:solidFill>
          </w14:textFill>
        </w:rPr>
        <w:t xml:space="preserve">/QĐ-UBND ngày 26 tháng </w:t>
      </w:r>
      <w:r>
        <w:rPr>
          <w:bCs/>
          <w:i/>
          <w:iCs/>
          <w:color w:val="000000" w:themeColor="text1"/>
          <w:spacing w:val="-6"/>
          <w:sz w:val="26"/>
          <w:szCs w:val="26"/>
          <w14:textFill>
            <w14:solidFill>
              <w14:schemeClr w14:val="tx1"/>
            </w14:solidFill>
          </w14:textFill>
        </w:rPr>
        <w:t>6</w:t>
      </w:r>
      <w:r>
        <w:rPr>
          <w:bCs/>
          <w:i/>
          <w:iCs/>
          <w:color w:val="000000" w:themeColor="text1"/>
          <w:spacing w:val="-6"/>
          <w:sz w:val="26"/>
          <w:szCs w:val="26"/>
          <w:lang w:val="vi-VN"/>
          <w14:textFill>
            <w14:solidFill>
              <w14:schemeClr w14:val="tx1"/>
            </w14:solidFill>
          </w14:textFill>
        </w:rPr>
        <w:t xml:space="preserve"> năm 20</w:t>
      </w:r>
      <w:r>
        <w:rPr>
          <w:bCs/>
          <w:i/>
          <w:iCs/>
          <w:color w:val="000000" w:themeColor="text1"/>
          <w:spacing w:val="-6"/>
          <w:sz w:val="26"/>
          <w:szCs w:val="26"/>
          <w14:textFill>
            <w14:solidFill>
              <w14:schemeClr w14:val="tx1"/>
            </w14:solidFill>
          </w14:textFill>
        </w:rPr>
        <w:t>20</w:t>
      </w:r>
      <w:r>
        <w:rPr>
          <w:bCs/>
          <w:i/>
          <w:iCs/>
          <w:color w:val="000000" w:themeColor="text1"/>
          <w:spacing w:val="-6"/>
          <w:sz w:val="26"/>
          <w:szCs w:val="26"/>
          <w:lang w:val="vi-VN"/>
          <w14:textFill>
            <w14:solidFill>
              <w14:schemeClr w14:val="tx1"/>
            </w14:solidFill>
          </w14:textFill>
        </w:rPr>
        <w:t xml:space="preserve"> của UBND </w:t>
      </w:r>
      <w:r>
        <w:rPr>
          <w:bCs/>
          <w:i/>
          <w:iCs/>
          <w:color w:val="000000" w:themeColor="text1"/>
          <w:spacing w:val="-6"/>
          <w:sz w:val="26"/>
          <w:szCs w:val="26"/>
          <w14:textFill>
            <w14:solidFill>
              <w14:schemeClr w14:val="tx1"/>
            </w14:solidFill>
          </w14:textFill>
        </w:rPr>
        <w:t>huyện Chi Lăng</w:t>
      </w:r>
      <w:r>
        <w:rPr>
          <w:bCs/>
          <w:i/>
          <w:iCs/>
          <w:color w:val="000000" w:themeColor="text1"/>
          <w:spacing w:val="-6"/>
          <w:sz w:val="26"/>
          <w:szCs w:val="26"/>
          <w:lang w:val="vi-VN"/>
          <w14:textFill>
            <w14:solidFill>
              <w14:schemeClr w14:val="tx1"/>
            </w14:solidFill>
          </w14:textFill>
        </w:rPr>
        <w:t xml:space="preserve"> Về việc phê duyệt </w:t>
      </w:r>
      <w:r>
        <w:rPr>
          <w:bCs/>
          <w:i/>
          <w:iCs/>
          <w:color w:val="000000" w:themeColor="text1"/>
          <w:spacing w:val="-6"/>
          <w:sz w:val="26"/>
          <w:szCs w:val="26"/>
          <w14:textFill>
            <w14:solidFill>
              <w14:schemeClr w14:val="tx1"/>
            </w14:solidFill>
          </w14:textFill>
        </w:rPr>
        <w:t>đồ án Quy hoạch chi tiết tỷ lệ 1/500 và QĐ điều chỉnh tên đồ án QH chi tiết tại QĐ số 4564/QĐ-UBND ngày 14/12/2020</w:t>
      </w:r>
      <w:r>
        <w:rPr>
          <w:bCs/>
          <w:i/>
          <w:iCs/>
          <w:spacing w:val="-2"/>
          <w:sz w:val="26"/>
          <w:szCs w:val="26"/>
        </w:rPr>
        <w:t>)</w:t>
      </w:r>
      <w:r>
        <w:rPr>
          <w:bCs/>
          <w:spacing w:val="-2"/>
          <w:sz w:val="26"/>
          <w:szCs w:val="26"/>
        </w:rPr>
        <w:t>.</w:t>
      </w:r>
    </w:p>
    <w:p w14:paraId="21BCBD34">
      <w:pPr>
        <w:widowControl w:val="0"/>
        <w:tabs>
          <w:tab w:val="left" w:pos="567"/>
        </w:tabs>
        <w:spacing w:before="120" w:after="120" w:line="340" w:lineRule="exact"/>
        <w:ind w:firstLine="567"/>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 Ước tính tổng doanh thu phát triển của dự án (DT)</w:t>
      </w:r>
    </w:p>
    <w:p w14:paraId="60B33274">
      <w:pPr>
        <w:widowControl w:val="0"/>
        <w:tabs>
          <w:tab w:val="left" w:pos="567"/>
        </w:tabs>
        <w:spacing w:before="120" w:after="120" w:line="340" w:lineRule="exact"/>
        <w:ind w:firstLine="567"/>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1.1. Nguyên tắc xác định doanh thu:</w:t>
      </w:r>
    </w:p>
    <w:p w14:paraId="55A37FAE">
      <w:pPr>
        <w:widowControl w:val="0"/>
        <w:tabs>
          <w:tab w:val="left" w:pos="567"/>
        </w:tabs>
        <w:spacing w:before="120" w:after="120" w:line="340" w:lineRule="exact"/>
        <w:ind w:firstLine="567"/>
        <w:jc w:val="both"/>
        <w:rPr>
          <w:color w:val="000000" w:themeColor="text1"/>
          <w:spacing w:val="-4"/>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Tổng doanh thu phát triển của dự án được xác định trên cơ sở tổng doanh thu chuyển nhượng quyền sử dụng đất ở</w:t>
      </w:r>
      <w:r>
        <w:rPr>
          <w:color w:val="000000" w:themeColor="text1"/>
          <w:spacing w:val="-4"/>
          <w:sz w:val="26"/>
          <w:szCs w:val="26"/>
          <w14:textFill>
            <w14:solidFill>
              <w14:schemeClr w14:val="tx1"/>
            </w14:solidFill>
          </w14:textFill>
        </w:rPr>
        <w:t xml:space="preserve"> và nhà xây thô </w:t>
      </w:r>
      <w:r>
        <w:rPr>
          <w:color w:val="000000" w:themeColor="text1"/>
          <w:spacing w:val="-4"/>
          <w:sz w:val="26"/>
          <w:szCs w:val="26"/>
          <w:lang w:val="vi-VN"/>
          <w14:textFill>
            <w14:solidFill>
              <w14:schemeClr w14:val="tx1"/>
            </w14:solidFill>
          </w14:textFill>
        </w:rPr>
        <w:t>(đất ở li</w:t>
      </w:r>
      <w:r>
        <w:rPr>
          <w:color w:val="000000" w:themeColor="text1"/>
          <w:spacing w:val="-4"/>
          <w:sz w:val="26"/>
          <w:szCs w:val="26"/>
          <w14:textFill>
            <w14:solidFill>
              <w14:schemeClr w14:val="tx1"/>
            </w14:solidFill>
          </w14:textFill>
        </w:rPr>
        <w:t>ền kề, đất ở thấp tầng biệt thự</w:t>
      </w:r>
      <w:r>
        <w:rPr>
          <w:color w:val="000000" w:themeColor="text1"/>
          <w:spacing w:val="-4"/>
          <w:sz w:val="26"/>
          <w:szCs w:val="26"/>
          <w:lang w:val="vi-VN"/>
          <w14:textFill>
            <w14:solidFill>
              <w14:schemeClr w14:val="tx1"/>
            </w14:solidFill>
          </w14:textFill>
        </w:rPr>
        <w:t xml:space="preserve">) của toàn bộ dự án. </w:t>
      </w:r>
    </w:p>
    <w:p w14:paraId="7C66137E">
      <w:pPr>
        <w:widowControl w:val="0"/>
        <w:tabs>
          <w:tab w:val="left" w:pos="567"/>
        </w:tabs>
        <w:spacing w:before="120" w:after="120" w:line="340" w:lineRule="exact"/>
        <w:ind w:firstLine="567"/>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Giá chuyển nhượng quyền sử dụng đất ở được xác định trên cơ sở khảo sát giá chuyển nhượng thực tế theo giá thị trường bất động sản; giá trúng đấu giá quyền sử dụng đất trên địa </w:t>
      </w:r>
      <w:r>
        <w:rPr>
          <w:color w:val="000000" w:themeColor="text1"/>
          <w:sz w:val="26"/>
          <w:szCs w:val="26"/>
          <w14:textFill>
            <w14:solidFill>
              <w14:schemeClr w14:val="tx1"/>
            </w14:solidFill>
          </w14:textFill>
        </w:rPr>
        <w:t xml:space="preserve">huyện Chi Lăng, huyện Lộc Bình, tỉnh Lạng Sơn; huyện Lạng Giang, tỉnh Bắc Giang </w:t>
      </w:r>
      <w:r>
        <w:rPr>
          <w:color w:val="000000" w:themeColor="text1"/>
          <w:sz w:val="26"/>
          <w:szCs w:val="26"/>
          <w:lang w:val="vi-VN"/>
          <w14:textFill>
            <w14:solidFill>
              <w14:schemeClr w14:val="tx1"/>
            </w14:solidFill>
          </w14:textFill>
        </w:rPr>
        <w:t xml:space="preserve">tại thời điểm định giá. </w:t>
      </w:r>
    </w:p>
    <w:p w14:paraId="7306CE71">
      <w:pPr>
        <w:widowControl w:val="0"/>
        <w:tabs>
          <w:tab w:val="left" w:pos="567"/>
        </w:tabs>
        <w:spacing w:before="120" w:after="120" w:line="340" w:lineRule="exact"/>
        <w:ind w:firstLine="567"/>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1.2. Nguyên tắc Phân loại tài sản định giá:</w:t>
      </w:r>
    </w:p>
    <w:p w14:paraId="672AC70D">
      <w:pPr>
        <w:widowControl w:val="0"/>
        <w:tabs>
          <w:tab w:val="left" w:pos="567"/>
        </w:tabs>
        <w:spacing w:before="120" w:after="120" w:line="340" w:lineRule="exact"/>
        <w:ind w:firstLine="567"/>
        <w:jc w:val="both"/>
        <w:rPr>
          <w:i/>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Căn cứ bản vẽ QHCT 1/500 kết hợp điều tra khảo sát giá chuyển nhượng; giá trúng đấu giá của giá thị trường BĐS khu vực xung quanh tại thời điểm hiện tại Công ty Cổ phần Dịch vụ Tư vấn và Thẩm định giá Việt Nam đề xuất phân loại các ô đất của tài sản thẩm định giá được phân loại theo mặt cắt đường, vị trí </w:t>
      </w:r>
      <w:r>
        <w:rPr>
          <w:color w:val="000000" w:themeColor="text1"/>
          <w:sz w:val="26"/>
          <w:szCs w:val="26"/>
          <w14:textFill>
            <w14:solidFill>
              <w14:schemeClr w14:val="tx1"/>
            </w14:solidFill>
          </w14:textFill>
        </w:rPr>
        <w:t xml:space="preserve">và số mặt đường </w:t>
      </w:r>
      <w:r>
        <w:rPr>
          <w:color w:val="000000" w:themeColor="text1"/>
          <w:sz w:val="26"/>
          <w:szCs w:val="26"/>
          <w:lang w:val="vi-VN"/>
          <w14:textFill>
            <w14:solidFill>
              <w14:schemeClr w14:val="tx1"/>
            </w14:solidFill>
          </w14:textFill>
        </w:rPr>
        <w:t xml:space="preserve">tiếp giáp hai mặt đường, tiếp giáp cây xanh hồ nước của các lô đất trong khu </w:t>
      </w:r>
      <w:r>
        <w:rPr>
          <w:color w:val="000000" w:themeColor="text1"/>
          <w:sz w:val="26"/>
          <w:szCs w:val="26"/>
          <w14:textFill>
            <w14:solidFill>
              <w14:schemeClr w14:val="tx1"/>
            </w14:solidFill>
          </w14:textFill>
        </w:rPr>
        <w:t>đô thị</w:t>
      </w:r>
      <w:r>
        <w:rPr>
          <w:color w:val="000000" w:themeColor="text1"/>
          <w:sz w:val="26"/>
          <w:szCs w:val="26"/>
          <w:lang w:val="vi-VN"/>
          <w14:textFill>
            <w14:solidFill>
              <w14:schemeClr w14:val="tx1"/>
            </w14:solidFill>
          </w14:textFill>
        </w:rPr>
        <w:t xml:space="preserve">; </w:t>
      </w:r>
      <w:r>
        <w:rPr>
          <w:i/>
          <w:color w:val="000000" w:themeColor="text1"/>
          <w:sz w:val="26"/>
          <w:szCs w:val="26"/>
          <w:lang w:val="vi-VN"/>
          <w14:textFill>
            <w14:solidFill>
              <w14:schemeClr w14:val="tx1"/>
            </w14:solidFill>
          </w14:textFill>
        </w:rPr>
        <w:t>(căn cứ bản vẽ QHCT 1/500).</w:t>
      </w:r>
    </w:p>
    <w:p w14:paraId="55A6A0C4">
      <w:pPr>
        <w:widowControl w:val="0"/>
        <w:tabs>
          <w:tab w:val="left" w:pos="567"/>
        </w:tabs>
        <w:spacing w:before="120" w:after="120" w:line="340" w:lineRule="exact"/>
        <w:ind w:firstLine="567"/>
        <w:jc w:val="both"/>
        <w:rPr>
          <w:b/>
          <w:i/>
          <w:color w:val="000000" w:themeColor="text1"/>
          <w:sz w:val="26"/>
          <w:szCs w:val="26"/>
          <w:lang w:val="vi-VN"/>
          <w14:textFill>
            <w14:solidFill>
              <w14:schemeClr w14:val="tx1"/>
            </w14:solidFill>
          </w14:textFill>
        </w:rPr>
      </w:pPr>
      <w:bookmarkStart w:id="31" w:name="_Hlk183496535"/>
      <w:r>
        <w:rPr>
          <w:b/>
          <w:i/>
          <w:color w:val="000000" w:themeColor="text1"/>
          <w:sz w:val="26"/>
          <w:szCs w:val="26"/>
          <w:lang w:val="vi-VN"/>
          <w14:textFill>
            <w14:solidFill>
              <w14:schemeClr w14:val="tx1"/>
            </w14:solidFill>
          </w14:textFill>
        </w:rPr>
        <w:t xml:space="preserve">* Đất ở </w:t>
      </w:r>
      <w:r>
        <w:rPr>
          <w:b/>
          <w:i/>
          <w:color w:val="000000" w:themeColor="text1"/>
          <w:sz w:val="26"/>
          <w:szCs w:val="26"/>
          <w14:textFill>
            <w14:solidFill>
              <w14:schemeClr w14:val="tx1"/>
            </w14:solidFill>
          </w14:textFill>
        </w:rPr>
        <w:t>biệt thự</w:t>
      </w:r>
      <w:r>
        <w:rPr>
          <w:b/>
          <w:i/>
          <w:color w:val="000000" w:themeColor="text1"/>
          <w:sz w:val="26"/>
          <w:szCs w:val="26"/>
          <w:lang w:val="vi-VN"/>
          <w14:textFill>
            <w14:solidFill>
              <w14:schemeClr w14:val="tx1"/>
            </w14:solidFill>
          </w14:textFill>
        </w:rPr>
        <w:t>:</w:t>
      </w:r>
    </w:p>
    <w:p w14:paraId="747270DE">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lang w:val="vi-VN"/>
          <w14:textFill>
            <w14:solidFill>
              <w14:schemeClr w14:val="tx1"/>
            </w14:solidFill>
          </w14:textFill>
        </w:rPr>
        <w:t xml:space="preserve">- Đối với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 xml:space="preserve">ô tiếp giáp </w:t>
      </w:r>
      <w:r>
        <w:rPr>
          <w:color w:val="000000" w:themeColor="text1"/>
          <w:spacing w:val="-2"/>
          <w:sz w:val="26"/>
          <w:szCs w:val="26"/>
          <w14:textFill>
            <w14:solidFill>
              <w14:schemeClr w14:val="tx1"/>
            </w14:solidFill>
          </w14:textFill>
        </w:rPr>
        <w:t>đường Đại Huề (tuyến đối ngoại), có vị trí lợi thế thương mại cao, nên</w:t>
      </w:r>
      <w:r>
        <w:rPr>
          <w:color w:val="000000" w:themeColor="text1"/>
          <w:spacing w:val="-2"/>
          <w:sz w:val="26"/>
          <w:szCs w:val="26"/>
          <w:lang w:val="vi-VN"/>
          <w14:textFill>
            <w14:solidFill>
              <w14:schemeClr w14:val="tx1"/>
            </w14:solidFill>
          </w14:textFill>
        </w:rPr>
        <w:t xml:space="preserve"> Công ty Cổ phần Dịch vụ Tư vấn và Thẩm định giá Việt Nam đề xuất mức giá cao cho các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ô đất thuộc vị trí này;</w:t>
      </w:r>
    </w:p>
    <w:bookmarkEnd w:id="31"/>
    <w:p w14:paraId="6F231D41">
      <w:pPr>
        <w:widowControl w:val="0"/>
        <w:tabs>
          <w:tab w:val="left" w:pos="567"/>
        </w:tabs>
        <w:spacing w:before="120" w:after="120" w:line="340" w:lineRule="exact"/>
        <w:ind w:firstLine="567"/>
        <w:jc w:val="both"/>
        <w:rPr>
          <w:b/>
          <w:i/>
          <w:color w:val="000000" w:themeColor="text1"/>
          <w:sz w:val="26"/>
          <w:szCs w:val="26"/>
          <w:lang w:val="vi-VN"/>
          <w14:textFill>
            <w14:solidFill>
              <w14:schemeClr w14:val="tx1"/>
            </w14:solidFill>
          </w14:textFill>
        </w:rPr>
      </w:pPr>
      <w:r>
        <w:rPr>
          <w:b/>
          <w:i/>
          <w:color w:val="000000" w:themeColor="text1"/>
          <w:sz w:val="26"/>
          <w:szCs w:val="26"/>
          <w:lang w:val="vi-VN"/>
          <w14:textFill>
            <w14:solidFill>
              <w14:schemeClr w14:val="tx1"/>
            </w14:solidFill>
          </w14:textFill>
        </w:rPr>
        <w:t xml:space="preserve">* Đất ở </w:t>
      </w:r>
      <w:r>
        <w:rPr>
          <w:b/>
          <w:i/>
          <w:color w:val="000000" w:themeColor="text1"/>
          <w:sz w:val="26"/>
          <w:szCs w:val="26"/>
          <w14:textFill>
            <w14:solidFill>
              <w14:schemeClr w14:val="tx1"/>
            </w14:solidFill>
          </w14:textFill>
        </w:rPr>
        <w:t>liền kề</w:t>
      </w:r>
      <w:r>
        <w:rPr>
          <w:b/>
          <w:i/>
          <w:color w:val="000000" w:themeColor="text1"/>
          <w:sz w:val="26"/>
          <w:szCs w:val="26"/>
          <w:lang w:val="vi-VN"/>
          <w14:textFill>
            <w14:solidFill>
              <w14:schemeClr w14:val="tx1"/>
            </w14:solidFill>
          </w14:textFill>
        </w:rPr>
        <w:t>:</w:t>
      </w:r>
    </w:p>
    <w:p w14:paraId="4AF10916">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lang w:val="vi-VN"/>
          <w14:textFill>
            <w14:solidFill>
              <w14:schemeClr w14:val="tx1"/>
            </w14:solidFill>
          </w14:textFill>
        </w:rPr>
        <w:t xml:space="preserve">- Đối với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 xml:space="preserve">ô tiếp giáp </w:t>
      </w:r>
      <w:r>
        <w:rPr>
          <w:color w:val="000000" w:themeColor="text1"/>
          <w:spacing w:val="-2"/>
          <w:sz w:val="26"/>
          <w:szCs w:val="26"/>
          <w14:textFill>
            <w14:solidFill>
              <w14:schemeClr w14:val="tx1"/>
            </w14:solidFill>
          </w14:textFill>
        </w:rPr>
        <w:t>đường Đại Huề (tuyến đối ngoại), có vị trí lợi thế thương mại cao nhất, dân cư hiện trạng đang kinh doanh buôn bán, là một trong những trục kết nối từ đường QL1A vào khu vực trung tâm, nên</w:t>
      </w:r>
      <w:r>
        <w:rPr>
          <w:color w:val="000000" w:themeColor="text1"/>
          <w:spacing w:val="-2"/>
          <w:sz w:val="26"/>
          <w:szCs w:val="26"/>
          <w:lang w:val="vi-VN"/>
          <w14:textFill>
            <w14:solidFill>
              <w14:schemeClr w14:val="tx1"/>
            </w14:solidFill>
          </w14:textFill>
        </w:rPr>
        <w:t xml:space="preserve"> Công ty Cổ phần Dịch vụ Tư vấn và Thẩm định giá Việt Nam đề xuất mức giá cao nhất cho các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ô đất thuộc vị trí này;</w:t>
      </w:r>
    </w:p>
    <w:p w14:paraId="53348FA9">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Tiếp đến là </w:t>
      </w:r>
      <w:r>
        <w:rPr>
          <w:color w:val="000000" w:themeColor="text1"/>
          <w:spacing w:val="-2"/>
          <w:sz w:val="26"/>
          <w:szCs w:val="26"/>
          <w14:textFill>
            <w14:solidFill>
              <w14:schemeClr w14:val="tx1"/>
            </w14:solidFill>
          </w14:textFill>
        </w:rPr>
        <w:t>các l</w:t>
      </w:r>
      <w:r>
        <w:rPr>
          <w:color w:val="000000" w:themeColor="text1"/>
          <w:spacing w:val="-2"/>
          <w:sz w:val="26"/>
          <w:szCs w:val="26"/>
          <w:lang w:val="vi-VN"/>
          <w14:textFill>
            <w14:solidFill>
              <w14:schemeClr w14:val="tx1"/>
            </w14:solidFill>
          </w14:textFill>
        </w:rPr>
        <w:t>ô tiếp giáp</w:t>
      </w:r>
      <w:r>
        <w:rPr>
          <w:color w:val="000000" w:themeColor="text1"/>
          <w:spacing w:val="-2"/>
          <w:sz w:val="26"/>
          <w:szCs w:val="26"/>
          <w14:textFill>
            <w14:solidFill>
              <w14:schemeClr w14:val="tx1"/>
            </w14:solidFill>
          </w14:textFill>
        </w:rPr>
        <w:t xml:space="preserve"> </w:t>
      </w:r>
      <w:r>
        <w:rPr>
          <w:color w:val="000000" w:themeColor="text1"/>
          <w:spacing w:val="-2"/>
          <w:sz w:val="26"/>
          <w:szCs w:val="26"/>
          <w:lang w:val="vi-VN"/>
          <w14:textFill>
            <w14:solidFill>
              <w14:schemeClr w14:val="tx1"/>
            </w14:solidFill>
          </w14:textFill>
        </w:rPr>
        <w:t xml:space="preserve">Mặt cắt </w:t>
      </w:r>
      <w:r>
        <w:rPr>
          <w:color w:val="000000" w:themeColor="text1"/>
          <w:spacing w:val="-2"/>
          <w:sz w:val="26"/>
          <w:szCs w:val="26"/>
          <w14:textFill>
            <w14:solidFill>
              <w14:schemeClr w14:val="tx1"/>
            </w14:solidFill>
          </w14:textFill>
        </w:rPr>
        <w:t>5-5 (đường gom QL1): rộng 10m lòng đường rộng 7m, vỉa hè 3m. (đường QL1A rộng 31m lòng đường rộng 17m, dải phân cách 2m, vỉa hè 2 bên rộng 6m+6m), có lợi thế thương mại tuy không cao, dân cư thưa thớt không nhiều thuận lợi về kinh doanh, nên</w:t>
      </w:r>
      <w:r>
        <w:rPr>
          <w:color w:val="000000" w:themeColor="text1"/>
          <w:spacing w:val="-2"/>
          <w:sz w:val="26"/>
          <w:szCs w:val="26"/>
          <w:lang w:val="vi-VN"/>
          <w14:textFill>
            <w14:solidFill>
              <w14:schemeClr w14:val="tx1"/>
            </w14:solidFill>
          </w14:textFill>
        </w:rPr>
        <w:t xml:space="preserve"> Công ty Cổ phần Dịch vụ Tư vấn và Thẩm định giá Việt Nam đề xuất mức giá cao</w:t>
      </w:r>
      <w:r>
        <w:rPr>
          <w:color w:val="000000" w:themeColor="text1"/>
          <w:spacing w:val="-2"/>
          <w:sz w:val="26"/>
          <w:szCs w:val="26"/>
          <w14:textFill>
            <w14:solidFill>
              <w14:schemeClr w14:val="tx1"/>
            </w14:solidFill>
          </w14:textFill>
        </w:rPr>
        <w:t xml:space="preserve"> tiếp theo sau trục đường Đại Huề </w:t>
      </w:r>
      <w:r>
        <w:rPr>
          <w:color w:val="000000" w:themeColor="text1"/>
          <w:spacing w:val="-2"/>
          <w:sz w:val="26"/>
          <w:szCs w:val="26"/>
          <w:lang w:val="vi-VN"/>
          <w14:textFill>
            <w14:solidFill>
              <w14:schemeClr w14:val="tx1"/>
            </w14:solidFill>
          </w14:textFill>
        </w:rPr>
        <w:t xml:space="preserve">cho các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ô đất thuộc vị trí này</w:t>
      </w:r>
      <w:r>
        <w:rPr>
          <w:color w:val="000000" w:themeColor="text1"/>
          <w:spacing w:val="-2"/>
          <w:sz w:val="26"/>
          <w:szCs w:val="26"/>
          <w14:textFill>
            <w14:solidFill>
              <w14:schemeClr w14:val="tx1"/>
            </w14:solidFill>
          </w14:textFill>
        </w:rPr>
        <w:t>.</w:t>
      </w:r>
    </w:p>
    <w:p w14:paraId="623B9FA6">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pacing w:val="-2"/>
          <w:sz w:val="26"/>
          <w:szCs w:val="26"/>
          <w14:textFill>
            <w14:solidFill>
              <w14:schemeClr w14:val="tx1"/>
            </w14:solidFill>
          </w14:textFill>
        </w:rPr>
        <w:t>Các lô còn lại tiếp giáp mặt cắt 1-1 (Trục chính: rộng 31m lòng đường rộng 17m, dải phân cách rộng 2m, vỉa hè 2 bên rộng 6m+6m) thuộc trục kết nối từ đường Đại Huề vào dự án, độ rộng đường lớn, nên</w:t>
      </w:r>
      <w:r>
        <w:rPr>
          <w:color w:val="000000" w:themeColor="text1"/>
          <w:spacing w:val="-2"/>
          <w:sz w:val="26"/>
          <w:szCs w:val="26"/>
          <w:lang w:val="vi-VN"/>
          <w14:textFill>
            <w14:solidFill>
              <w14:schemeClr w14:val="tx1"/>
            </w14:solidFill>
          </w14:textFill>
        </w:rPr>
        <w:t xml:space="preserve"> Công ty Cổ phần Dịch vụ Tư vấn và Thẩm định giá Việt Nam đề xuất mức giá cao</w:t>
      </w:r>
      <w:r>
        <w:rPr>
          <w:color w:val="000000" w:themeColor="text1"/>
          <w:spacing w:val="-2"/>
          <w:sz w:val="26"/>
          <w:szCs w:val="26"/>
          <w14:textFill>
            <w14:solidFill>
              <w14:schemeClr w14:val="tx1"/>
            </w14:solidFill>
          </w14:textFill>
        </w:rPr>
        <w:t xml:space="preserve"> </w:t>
      </w:r>
      <w:r>
        <w:rPr>
          <w:color w:val="000000" w:themeColor="text1"/>
          <w:spacing w:val="-2"/>
          <w:sz w:val="26"/>
          <w:szCs w:val="26"/>
          <w:lang w:val="vi-VN"/>
          <w14:textFill>
            <w14:solidFill>
              <w14:schemeClr w14:val="tx1"/>
            </w14:solidFill>
          </w14:textFill>
        </w:rPr>
        <w:t xml:space="preserve">cho các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ô đất thuộc vị trí này</w:t>
      </w:r>
      <w:r>
        <w:rPr>
          <w:color w:val="000000" w:themeColor="text1"/>
          <w:spacing w:val="-2"/>
          <w:sz w:val="26"/>
          <w:szCs w:val="26"/>
          <w14:textFill>
            <w14:solidFill>
              <w14:schemeClr w14:val="tx1"/>
            </w14:solidFill>
          </w14:textFill>
        </w:rPr>
        <w:t>. Tuy nhiên đây là trục đường xây thô hoàn thiện mặt ngoài, xét yếu tố thanh khoản có phần kém hơn các ô đất nền cùng vị trí, do giá trị nhà cộng vào cùng giá trị đất do đó giá trị giao dịch sẽ cao. Quan điểm dân cư nông thôn hoặc đô thị miền núi chưa thực sự ưa chuộng nhà xây sẵn vì lo ngại chất lượng công trình, mẫu nhà không được theo ý muốn cá nhân, nhiều người muốn mua đất nền để tích luỹ chứ chưa có nhu cầu xây dựng.... Người đầu tư chưa thực sự muốn đầu tư phân khúc nhà có sẵn vì liên quan yếu tố thanh khoán, lượng tiền đầu tư cao, khi chưa giao dịch được thì công trình nhà sẽ xuống cấp.</w:t>
      </w:r>
    </w:p>
    <w:p w14:paraId="4F2C3550">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Các lô còn lại tiếp giáp mặt cắt 3-3 (làn 2 đường Đại Huề): rộng 13,5m lòng đường rộng 7,5m, vỉa hè 2 bên rộng 3m+3m do vị trí tương đối thuận lợi khi kết nối ra đường Đại Huề và vào trung tâm, nên</w:t>
      </w:r>
      <w:r>
        <w:rPr>
          <w:color w:val="000000" w:themeColor="text1"/>
          <w:spacing w:val="-2"/>
          <w:sz w:val="26"/>
          <w:szCs w:val="26"/>
          <w:lang w:val="vi-VN"/>
          <w14:textFill>
            <w14:solidFill>
              <w14:schemeClr w14:val="tx1"/>
            </w14:solidFill>
          </w14:textFill>
        </w:rPr>
        <w:t xml:space="preserve"> Công ty Cổ phần Dịch vụ Tư vấn và Thẩm định giá Việt Nam đề xuất mức giá cao</w:t>
      </w:r>
      <w:r>
        <w:rPr>
          <w:color w:val="000000" w:themeColor="text1"/>
          <w:spacing w:val="-2"/>
          <w:sz w:val="26"/>
          <w:szCs w:val="26"/>
          <w14:textFill>
            <w14:solidFill>
              <w14:schemeClr w14:val="tx1"/>
            </w14:solidFill>
          </w14:textFill>
        </w:rPr>
        <w:t xml:space="preserve"> tiếp theo </w:t>
      </w:r>
      <w:r>
        <w:rPr>
          <w:color w:val="000000" w:themeColor="text1"/>
          <w:spacing w:val="-2"/>
          <w:sz w:val="26"/>
          <w:szCs w:val="26"/>
          <w:lang w:val="vi-VN"/>
          <w14:textFill>
            <w14:solidFill>
              <w14:schemeClr w14:val="tx1"/>
            </w14:solidFill>
          </w14:textFill>
        </w:rPr>
        <w:t xml:space="preserve">cho các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ô đất thuộc vị trí này</w:t>
      </w:r>
      <w:r>
        <w:rPr>
          <w:color w:val="000000" w:themeColor="text1"/>
          <w:spacing w:val="-2"/>
          <w:sz w:val="26"/>
          <w:szCs w:val="26"/>
          <w14:textFill>
            <w14:solidFill>
              <w14:schemeClr w14:val="tx1"/>
            </w14:solidFill>
          </w14:textFill>
        </w:rPr>
        <w:t>, tuy nhiên ít điều kiện thương mại, chủ yếu phù hợp để ở.</w:t>
      </w:r>
    </w:p>
    <w:p w14:paraId="546676D5">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Các lô còn lại tiếp giáp mặt cắt 2-2: rộng 16,5m lòng đường rộng 7,5m, vỉa hè 2 bên rộng 4,5m+4,5m, thuộc trục kết nối từ đường Đại Huề vào dự án, nên</w:t>
      </w:r>
      <w:r>
        <w:rPr>
          <w:color w:val="000000" w:themeColor="text1"/>
          <w:spacing w:val="-2"/>
          <w:sz w:val="26"/>
          <w:szCs w:val="26"/>
          <w:lang w:val="vi-VN"/>
          <w14:textFill>
            <w14:solidFill>
              <w14:schemeClr w14:val="tx1"/>
            </w14:solidFill>
          </w14:textFill>
        </w:rPr>
        <w:t xml:space="preserve"> Công ty Cổ phần Dịch vụ Tư vấn và Thẩm định giá Việt Nam đề xuất mức giá cao</w:t>
      </w:r>
      <w:r>
        <w:rPr>
          <w:color w:val="000000" w:themeColor="text1"/>
          <w:spacing w:val="-2"/>
          <w:sz w:val="26"/>
          <w:szCs w:val="26"/>
          <w14:textFill>
            <w14:solidFill>
              <w14:schemeClr w14:val="tx1"/>
            </w14:solidFill>
          </w14:textFill>
        </w:rPr>
        <w:t xml:space="preserve"> tiếp theo </w:t>
      </w:r>
      <w:r>
        <w:rPr>
          <w:color w:val="000000" w:themeColor="text1"/>
          <w:spacing w:val="-2"/>
          <w:sz w:val="26"/>
          <w:szCs w:val="26"/>
          <w:lang w:val="vi-VN"/>
          <w14:textFill>
            <w14:solidFill>
              <w14:schemeClr w14:val="tx1"/>
            </w14:solidFill>
          </w14:textFill>
        </w:rPr>
        <w:t xml:space="preserve">cho các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ô đất thuộc vị trí này</w:t>
      </w:r>
      <w:r>
        <w:rPr>
          <w:color w:val="000000" w:themeColor="text1"/>
          <w:spacing w:val="-2"/>
          <w:sz w:val="26"/>
          <w:szCs w:val="26"/>
          <w14:textFill>
            <w14:solidFill>
              <w14:schemeClr w14:val="tx1"/>
            </w14:solidFill>
          </w14:textFill>
        </w:rPr>
        <w:t>, mặc dù vậy trục này có mặt cắt đường nhỏ. Tuy nhiên đây là trục đường xây thô hoàn thiện mặt ngoài, xét yếu tố thanh khoản có phần kém hơn các ô đất nền cùng vị trí, do giá trị nhà cộng vào cùng giá trị đất do đó giá trị giao dịch sẽ cao. Quan điểm dân cư nông thôn hoặc đô thị miền núi chưa thực sự ưa chuộng nhà xây sẵn vì lo ngại chất lượng công trình, mẫu nhà không được theo ý muốn cá nhân, nhiều người muốn mua đất nền để tích luỹ chứ chưa có nhu cầu xây dựng.... Người đầu tư chưa thực sự muốn đầu tư phân khúc nhà có sẵn vì liên quan yếu tố thanh khoán, lượng tiền đầu tư cao, khi chưa giao dịch được thì công trình nhà sẽ xuống cấp.</w:t>
      </w:r>
    </w:p>
    <w:p w14:paraId="2EAE5D44">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Các lô còn lại tiếp giáp mặt cắt 3-3 (làn 2 đường gom QL1): rộng 13,5m lòng đường rộng 7,5m, vỉa hè 2 bên rộng 3m+3m, có lợi thế thương mại thấp hơn, nên</w:t>
      </w:r>
      <w:r>
        <w:rPr>
          <w:color w:val="000000" w:themeColor="text1"/>
          <w:spacing w:val="-2"/>
          <w:sz w:val="26"/>
          <w:szCs w:val="26"/>
          <w:lang w:val="vi-VN"/>
          <w14:textFill>
            <w14:solidFill>
              <w14:schemeClr w14:val="tx1"/>
            </w14:solidFill>
          </w14:textFill>
        </w:rPr>
        <w:t xml:space="preserve"> Công ty Cổ phần Dịch vụ Tư vấn và Thẩm định giá Việt Nam đề xuất mức giá </w:t>
      </w:r>
      <w:r>
        <w:rPr>
          <w:color w:val="000000" w:themeColor="text1"/>
          <w:spacing w:val="-2"/>
          <w:sz w:val="26"/>
          <w:szCs w:val="26"/>
          <w14:textFill>
            <w14:solidFill>
              <w14:schemeClr w14:val="tx1"/>
            </w14:solidFill>
          </w14:textFill>
        </w:rPr>
        <w:t xml:space="preserve">thấp hơn </w:t>
      </w:r>
      <w:r>
        <w:rPr>
          <w:color w:val="000000" w:themeColor="text1"/>
          <w:spacing w:val="-2"/>
          <w:sz w:val="26"/>
          <w:szCs w:val="26"/>
          <w:lang w:val="vi-VN"/>
          <w14:textFill>
            <w14:solidFill>
              <w14:schemeClr w14:val="tx1"/>
            </w14:solidFill>
          </w14:textFill>
        </w:rPr>
        <w:t xml:space="preserve">cho các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ô đất thuộc vị trí này</w:t>
      </w:r>
      <w:r>
        <w:rPr>
          <w:color w:val="000000" w:themeColor="text1"/>
          <w:spacing w:val="-2"/>
          <w:sz w:val="26"/>
          <w:szCs w:val="26"/>
          <w14:textFill>
            <w14:solidFill>
              <w14:schemeClr w14:val="tx1"/>
            </w14:solidFill>
          </w14:textFill>
        </w:rPr>
        <w:t>. Do vị trí tương đối thuận lợi khi kết nối ra đường QL1A nên</w:t>
      </w:r>
      <w:r>
        <w:rPr>
          <w:color w:val="000000" w:themeColor="text1"/>
          <w:spacing w:val="-2"/>
          <w:sz w:val="26"/>
          <w:szCs w:val="26"/>
          <w:lang w:val="vi-VN"/>
          <w14:textFill>
            <w14:solidFill>
              <w14:schemeClr w14:val="tx1"/>
            </w14:solidFill>
          </w14:textFill>
        </w:rPr>
        <w:t xml:space="preserve"> Công ty Cổ phần Dịch vụ Tư vấn và Thẩm định giá Việt Nam đề xuất mức giá cao</w:t>
      </w:r>
      <w:r>
        <w:rPr>
          <w:color w:val="000000" w:themeColor="text1"/>
          <w:spacing w:val="-2"/>
          <w:sz w:val="26"/>
          <w:szCs w:val="26"/>
          <w14:textFill>
            <w14:solidFill>
              <w14:schemeClr w14:val="tx1"/>
            </w14:solidFill>
          </w14:textFill>
        </w:rPr>
        <w:t xml:space="preserve"> tiếp theo </w:t>
      </w:r>
      <w:r>
        <w:rPr>
          <w:color w:val="000000" w:themeColor="text1"/>
          <w:spacing w:val="-2"/>
          <w:sz w:val="26"/>
          <w:szCs w:val="26"/>
          <w:lang w:val="vi-VN"/>
          <w14:textFill>
            <w14:solidFill>
              <w14:schemeClr w14:val="tx1"/>
            </w14:solidFill>
          </w14:textFill>
        </w:rPr>
        <w:t xml:space="preserve">cho các </w:t>
      </w:r>
      <w:r>
        <w:rPr>
          <w:color w:val="000000" w:themeColor="text1"/>
          <w:spacing w:val="-2"/>
          <w:sz w:val="26"/>
          <w:szCs w:val="26"/>
          <w14:textFill>
            <w14:solidFill>
              <w14:schemeClr w14:val="tx1"/>
            </w14:solidFill>
          </w14:textFill>
        </w:rPr>
        <w:t>l</w:t>
      </w:r>
      <w:r>
        <w:rPr>
          <w:color w:val="000000" w:themeColor="text1"/>
          <w:spacing w:val="-2"/>
          <w:sz w:val="26"/>
          <w:szCs w:val="26"/>
          <w:lang w:val="vi-VN"/>
          <w14:textFill>
            <w14:solidFill>
              <w14:schemeClr w14:val="tx1"/>
            </w14:solidFill>
          </w14:textFill>
        </w:rPr>
        <w:t>ô đất thuộc vị trí này</w:t>
      </w:r>
      <w:r>
        <w:rPr>
          <w:color w:val="000000" w:themeColor="text1"/>
          <w:spacing w:val="-2"/>
          <w:sz w:val="26"/>
          <w:szCs w:val="26"/>
          <w14:textFill>
            <w14:solidFill>
              <w14:schemeClr w14:val="tx1"/>
            </w14:solidFill>
          </w14:textFill>
        </w:rPr>
        <w:t>, tuy nhiên ít điều kiện thương mại, chủ yếu phù hợp để ở.</w:t>
      </w:r>
    </w:p>
    <w:p w14:paraId="08C23727">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Các lô còn lại tiếp giáp mặt cắt 4-4: rộng 10m lòng đường rộng 6m, vỉa hè 2 bên rộng 2m+2m. Làn 2 đường gom QL1 do vị trí tương đối thuận lợi khi kết nối ra đường QL1A nên Công ty Cổ phần Dịch vụ Tư vấn và Thẩm định giá Việt Nam đề xuất mức giá cao tiếp theo cho các lô đất thuộc vị trí này, tuy nhiên ít điều kiện thương mại, chủ yếu phù hợp để ở.</w:t>
      </w:r>
    </w:p>
    <w:p w14:paraId="2498EEE2">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Các lô còn lại tiếp giáp mặt cắt 3-3 các đoạn còn lại: rộng 13,5m lòng đường rộng 7,5m, vỉa hè 2 bên rộng 3m+3m, do vị trí ít lợi thế, chủ yếu phù hợp để ở, nên được đánh giá có mức giá thấp nhất</w:t>
      </w:r>
      <w:r>
        <w:rPr>
          <w:color w:val="000000" w:themeColor="text1"/>
          <w:sz w:val="26"/>
          <w:szCs w:val="26"/>
          <w14:textFill>
            <w14:solidFill>
              <w14:schemeClr w14:val="tx1"/>
            </w14:solidFill>
          </w14:textFill>
        </w:rPr>
        <w:t>.</w:t>
      </w:r>
    </w:p>
    <w:p w14:paraId="3B12BE5F">
      <w:pPr>
        <w:widowControl w:val="0"/>
        <w:tabs>
          <w:tab w:val="left" w:pos="567"/>
        </w:tabs>
        <w:spacing w:before="120" w:after="120" w:line="340" w:lineRule="exact"/>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r>
        <w:rPr>
          <w:color w:val="000000" w:themeColor="text1"/>
          <w:sz w:val="26"/>
          <w:szCs w:val="26"/>
          <w:lang w:val="vi-VN"/>
          <w14:textFill>
            <w14:solidFill>
              <w14:schemeClr w14:val="tx1"/>
            </w14:solidFill>
          </w14:textFill>
        </w:rPr>
        <w:t>=&gt; Từ nguyên tắc chung phân loại nêu trên, Công ty Cổ phần Dịch vụ Tư vấn và Thẩm định giá Việt Nam phân loại các ô đất theo từng nhóm giá, theo từng mặt cắt đường như sau:</w:t>
      </w:r>
    </w:p>
    <w:p w14:paraId="03357BF6">
      <w:pPr>
        <w:widowControl w:val="0"/>
        <w:tabs>
          <w:tab w:val="left" w:pos="567"/>
        </w:tabs>
        <w:spacing w:before="120" w:after="120" w:line="340" w:lineRule="exact"/>
        <w:ind w:firstLine="567"/>
        <w:jc w:val="both"/>
        <w:rPr>
          <w:b/>
          <w:i/>
          <w:color w:val="000000" w:themeColor="text1"/>
          <w:sz w:val="26"/>
          <w:szCs w:val="26"/>
          <w:lang w:val="vi-VN"/>
          <w14:textFill>
            <w14:solidFill>
              <w14:schemeClr w14:val="tx1"/>
            </w14:solidFill>
          </w14:textFill>
        </w:rPr>
      </w:pPr>
      <w:r>
        <w:rPr>
          <w:b/>
          <w:i/>
          <w:color w:val="000000" w:themeColor="text1"/>
          <w:sz w:val="26"/>
          <w:szCs w:val="26"/>
          <w:lang w:val="vi-VN"/>
          <w14:textFill>
            <w14:solidFill>
              <w14:schemeClr w14:val="tx1"/>
            </w14:solidFill>
          </w14:textFill>
        </w:rPr>
        <w:t xml:space="preserve">* Đất ở </w:t>
      </w:r>
      <w:r>
        <w:rPr>
          <w:b/>
          <w:i/>
          <w:color w:val="000000" w:themeColor="text1"/>
          <w:sz w:val="26"/>
          <w:szCs w:val="26"/>
          <w14:textFill>
            <w14:solidFill>
              <w14:schemeClr w14:val="tx1"/>
            </w14:solidFill>
          </w14:textFill>
        </w:rPr>
        <w:t>biệt thự</w:t>
      </w:r>
      <w:r>
        <w:rPr>
          <w:b/>
          <w:i/>
          <w:color w:val="000000" w:themeColor="text1"/>
          <w:sz w:val="26"/>
          <w:szCs w:val="26"/>
          <w:lang w:val="vi-VN"/>
          <w14:textFill>
            <w14:solidFill>
              <w14:schemeClr w14:val="tx1"/>
            </w14:solidFill>
          </w14:textFill>
        </w:rPr>
        <w:t>:</w:t>
      </w:r>
    </w:p>
    <w:p w14:paraId="54AAF25F">
      <w:pPr>
        <w:widowControl w:val="0"/>
        <w:tabs>
          <w:tab w:val="left" w:pos="567"/>
        </w:tabs>
        <w:spacing w:before="120" w:after="120" w:line="340" w:lineRule="exact"/>
        <w:ind w:firstLine="567"/>
        <w:jc w:val="both"/>
        <w:rPr>
          <w:b/>
          <w:color w:val="000000" w:themeColor="text1"/>
          <w:sz w:val="26"/>
          <w:szCs w:val="26"/>
          <w14:textFill>
            <w14:solidFill>
              <w14:schemeClr w14:val="tx1"/>
            </w14:solidFill>
          </w14:textFill>
        </w:rPr>
      </w:pPr>
      <w:r>
        <w:rPr>
          <w:i/>
          <w:color w:val="000000" w:themeColor="text1"/>
          <w:spacing w:val="-2"/>
          <w:sz w:val="26"/>
          <w:szCs w:val="26"/>
          <w:u w:val="single"/>
          <w:lang w:val="vi-VN"/>
          <w14:textFill>
            <w14:solidFill>
              <w14:schemeClr w14:val="tx1"/>
            </w14:solidFill>
          </w14:textFill>
        </w:rPr>
        <w:t>-  Nhóm 1:</w:t>
      </w:r>
      <w:r>
        <w:rPr>
          <w:i/>
          <w:color w:val="000000" w:themeColor="text1"/>
          <w:spacing w:val="-2"/>
          <w:sz w:val="26"/>
          <w:szCs w:val="26"/>
          <w:u w:val="single"/>
          <w14:textFill>
            <w14:solidFill>
              <w14:schemeClr w14:val="tx1"/>
            </w14:solidFill>
          </w14:textFill>
        </w:rPr>
        <w:t xml:space="preserve"> </w:t>
      </w:r>
      <w:r>
        <w:rPr>
          <w:color w:val="000000" w:themeColor="text1"/>
          <w:spacing w:val="-2"/>
          <w:sz w:val="26"/>
          <w:szCs w:val="26"/>
          <w14:textFill>
            <w14:solidFill>
              <w14:schemeClr w14:val="tx1"/>
            </w14:solidFill>
          </w14:textFill>
        </w:rPr>
        <w:t xml:space="preserve"> Các lô tiếp giáp </w:t>
      </w:r>
      <w:r>
        <w:rPr>
          <w:color w:val="000000" w:themeColor="text1"/>
          <w:spacing w:val="-2"/>
          <w:sz w:val="26"/>
          <w:szCs w:val="26"/>
          <w:lang w:val="vi-VN"/>
          <w14:textFill>
            <w14:solidFill>
              <w14:schemeClr w14:val="tx1"/>
            </w14:solidFill>
          </w14:textFill>
        </w:rPr>
        <w:t xml:space="preserve">Mặt cắt </w:t>
      </w:r>
      <w:r>
        <w:rPr>
          <w:color w:val="000000" w:themeColor="text1"/>
          <w:spacing w:val="-2"/>
          <w:sz w:val="26"/>
          <w:szCs w:val="26"/>
          <w14:textFill>
            <w14:solidFill>
              <w14:schemeClr w14:val="tx1"/>
            </w14:solidFill>
          </w14:textFill>
        </w:rPr>
        <w:t>đường Đại Huề (tuyến đối ngoại)</w:t>
      </w:r>
      <w:r>
        <w:rPr>
          <w:color w:val="000000" w:themeColor="text1"/>
          <w:sz w:val="26"/>
          <w:szCs w:val="26"/>
          <w14:textFill>
            <w14:solidFill>
              <w14:schemeClr w14:val="tx1"/>
            </w14:solidFill>
          </w14:textFill>
        </w:rPr>
        <w:t>;</w:t>
      </w:r>
    </w:p>
    <w:p w14:paraId="41CBCEEE">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b/>
          <w:i/>
          <w:color w:val="000000" w:themeColor="text1"/>
          <w:sz w:val="26"/>
          <w:szCs w:val="26"/>
          <w:lang w:val="vi-VN"/>
          <w14:textFill>
            <w14:solidFill>
              <w14:schemeClr w14:val="tx1"/>
            </w14:solidFill>
          </w14:textFill>
        </w:rPr>
        <w:t>* Đất ở liên k</w:t>
      </w:r>
      <w:r>
        <w:rPr>
          <w:b/>
          <w:i/>
          <w:color w:val="000000" w:themeColor="text1"/>
          <w:sz w:val="26"/>
          <w:szCs w:val="26"/>
          <w14:textFill>
            <w14:solidFill>
              <w14:schemeClr w14:val="tx1"/>
            </w14:solidFill>
          </w14:textFill>
        </w:rPr>
        <w:t>ề</w:t>
      </w:r>
      <w:r>
        <w:rPr>
          <w:b/>
          <w:i/>
          <w:color w:val="000000" w:themeColor="text1"/>
          <w:sz w:val="26"/>
          <w:szCs w:val="26"/>
          <w:lang w:val="vi-VN"/>
          <w14:textFill>
            <w14:solidFill>
              <w14:schemeClr w14:val="tx1"/>
            </w14:solidFill>
          </w14:textFill>
        </w:rPr>
        <w:t>:</w:t>
      </w:r>
    </w:p>
    <w:p w14:paraId="3FFECA9F">
      <w:pPr>
        <w:widowControl w:val="0"/>
        <w:tabs>
          <w:tab w:val="left" w:pos="567"/>
        </w:tabs>
        <w:spacing w:before="120" w:after="120" w:line="340" w:lineRule="exact"/>
        <w:ind w:firstLine="567"/>
        <w:jc w:val="both"/>
        <w:rPr>
          <w:b/>
          <w:color w:val="000000" w:themeColor="text1"/>
          <w:sz w:val="26"/>
          <w:szCs w:val="26"/>
          <w14:textFill>
            <w14:solidFill>
              <w14:schemeClr w14:val="tx1"/>
            </w14:solidFill>
          </w14:textFill>
        </w:rPr>
      </w:pPr>
      <w:r>
        <w:rPr>
          <w:i/>
          <w:color w:val="000000" w:themeColor="text1"/>
          <w:spacing w:val="-2"/>
          <w:sz w:val="26"/>
          <w:szCs w:val="26"/>
          <w:u w:val="single"/>
          <w:lang w:val="vi-VN"/>
          <w14:textFill>
            <w14:solidFill>
              <w14:schemeClr w14:val="tx1"/>
            </w14:solidFill>
          </w14:textFill>
        </w:rPr>
        <w:t>-  Nhóm 1:</w:t>
      </w:r>
      <w:r>
        <w:rPr>
          <w:i/>
          <w:color w:val="000000" w:themeColor="text1"/>
          <w:spacing w:val="-2"/>
          <w:sz w:val="26"/>
          <w:szCs w:val="26"/>
          <w:u w:val="single"/>
          <w14:textFill>
            <w14:solidFill>
              <w14:schemeClr w14:val="tx1"/>
            </w14:solidFill>
          </w14:textFill>
        </w:rPr>
        <w:t xml:space="preserve"> </w:t>
      </w:r>
      <w:r>
        <w:rPr>
          <w:color w:val="000000" w:themeColor="text1"/>
          <w:spacing w:val="-2"/>
          <w:sz w:val="26"/>
          <w:szCs w:val="26"/>
          <w14:textFill>
            <w14:solidFill>
              <w14:schemeClr w14:val="tx1"/>
            </w14:solidFill>
          </w14:textFill>
        </w:rPr>
        <w:t xml:space="preserve"> Các lô tiếp giáp đường Đại Huề (tuyến đối ngoại)</w:t>
      </w:r>
      <w:r>
        <w:rPr>
          <w:color w:val="000000" w:themeColor="text1"/>
          <w:sz w:val="26"/>
          <w:szCs w:val="26"/>
          <w14:textFill>
            <w14:solidFill>
              <w14:schemeClr w14:val="tx1"/>
            </w14:solidFill>
          </w14:textFill>
        </w:rPr>
        <w:t>;</w:t>
      </w:r>
    </w:p>
    <w:p w14:paraId="2CB00D21">
      <w:pPr>
        <w:widowControl w:val="0"/>
        <w:tabs>
          <w:tab w:val="left" w:pos="567"/>
        </w:tabs>
        <w:spacing w:before="120" w:after="120" w:line="340" w:lineRule="exact"/>
        <w:ind w:firstLine="567"/>
        <w:jc w:val="both"/>
        <w:rPr>
          <w:iCs/>
          <w:color w:val="000000" w:themeColor="text1"/>
          <w:spacing w:val="-6"/>
          <w:sz w:val="26"/>
          <w:szCs w:val="26"/>
          <w14:textFill>
            <w14:solidFill>
              <w14:schemeClr w14:val="tx1"/>
            </w14:solidFill>
          </w14:textFill>
        </w:rPr>
      </w:pPr>
      <w:r>
        <w:rPr>
          <w:i/>
          <w:color w:val="000000" w:themeColor="text1"/>
          <w:spacing w:val="-6"/>
          <w:sz w:val="26"/>
          <w:szCs w:val="26"/>
          <w:u w:val="single"/>
          <w:lang w:val="vi-VN"/>
          <w14:textFill>
            <w14:solidFill>
              <w14:schemeClr w14:val="tx1"/>
            </w14:solidFill>
          </w14:textFill>
        </w:rPr>
        <w:t>-  Nhóm 2</w:t>
      </w:r>
      <w:r>
        <w:rPr>
          <w:i/>
          <w:color w:val="000000" w:themeColor="text1"/>
          <w:spacing w:val="-6"/>
          <w:sz w:val="26"/>
          <w:szCs w:val="26"/>
          <w:lang w:val="vi-VN"/>
          <w14:textFill>
            <w14:solidFill>
              <w14:schemeClr w14:val="tx1"/>
            </w14:solidFill>
          </w14:textFill>
        </w:rPr>
        <w:t>:</w:t>
      </w:r>
      <w:r>
        <w:rPr>
          <w:color w:val="000000" w:themeColor="text1"/>
          <w:spacing w:val="-2"/>
          <w:sz w:val="26"/>
          <w:szCs w:val="26"/>
          <w:lang w:val="vi-VN"/>
          <w14:textFill>
            <w14:solidFill>
              <w14:schemeClr w14:val="tx1"/>
            </w14:solidFill>
          </w14:textFill>
        </w:rPr>
        <w:t xml:space="preserve"> </w:t>
      </w:r>
      <w:r>
        <w:rPr>
          <w:iCs/>
          <w:color w:val="000000" w:themeColor="text1"/>
          <w:spacing w:val="-6"/>
          <w:sz w:val="26"/>
          <w:szCs w:val="26"/>
          <w:lang w:val="vi-VN"/>
          <w14:textFill>
            <w14:solidFill>
              <w14:schemeClr w14:val="tx1"/>
            </w14:solidFill>
          </w14:textFill>
        </w:rPr>
        <w:t xml:space="preserve">Các </w:t>
      </w:r>
      <w:r>
        <w:rPr>
          <w:iCs/>
          <w:color w:val="000000" w:themeColor="text1"/>
          <w:spacing w:val="-6"/>
          <w:sz w:val="26"/>
          <w:szCs w:val="26"/>
          <w14:textFill>
            <w14:solidFill>
              <w14:schemeClr w14:val="tx1"/>
            </w14:solidFill>
          </w14:textFill>
        </w:rPr>
        <w:t>l</w:t>
      </w:r>
      <w:r>
        <w:rPr>
          <w:iCs/>
          <w:color w:val="000000" w:themeColor="text1"/>
          <w:spacing w:val="-6"/>
          <w:sz w:val="26"/>
          <w:szCs w:val="26"/>
          <w:lang w:val="vi-VN"/>
          <w14:textFill>
            <w14:solidFill>
              <w14:schemeClr w14:val="tx1"/>
            </w14:solidFill>
          </w14:textFill>
        </w:rPr>
        <w:t>ô tiếp giáp</w:t>
      </w:r>
      <w:r>
        <w:rPr>
          <w:i/>
          <w:color w:val="000000" w:themeColor="text1"/>
          <w:spacing w:val="-6"/>
          <w:sz w:val="26"/>
          <w:szCs w:val="26"/>
          <w:lang w:val="vi-VN"/>
          <w14:textFill>
            <w14:solidFill>
              <w14:schemeClr w14:val="tx1"/>
            </w14:solidFill>
          </w14:textFill>
        </w:rPr>
        <w:t xml:space="preserve"> </w:t>
      </w:r>
      <w:r>
        <w:rPr>
          <w:color w:val="000000" w:themeColor="text1"/>
          <w:spacing w:val="-2"/>
          <w:sz w:val="26"/>
          <w:szCs w:val="26"/>
          <w:lang w:val="vi-VN"/>
          <w14:textFill>
            <w14:solidFill>
              <w14:schemeClr w14:val="tx1"/>
            </w14:solidFill>
          </w14:textFill>
        </w:rPr>
        <w:t xml:space="preserve">Mặt cắt </w:t>
      </w:r>
      <w:r>
        <w:rPr>
          <w:color w:val="000000" w:themeColor="text1"/>
          <w:spacing w:val="-2"/>
          <w:sz w:val="26"/>
          <w:szCs w:val="26"/>
          <w14:textFill>
            <w14:solidFill>
              <w14:schemeClr w14:val="tx1"/>
            </w14:solidFill>
          </w14:textFill>
        </w:rPr>
        <w:t>5-5 (đường gom QL1): rộng 10m lòng đường rộng 7m, vỉa hè 3m. (đường QL1A rộng 31m lòng đường rộng 17m, dải phân cách 2m, vỉa hè 2 bên rộng 6m+6m)</w:t>
      </w:r>
      <w:r>
        <w:rPr>
          <w:iCs/>
          <w:color w:val="000000" w:themeColor="text1"/>
          <w:spacing w:val="-6"/>
          <w:sz w:val="26"/>
          <w:szCs w:val="26"/>
          <w14:textFill>
            <w14:solidFill>
              <w14:schemeClr w14:val="tx1"/>
            </w14:solidFill>
          </w14:textFill>
        </w:rPr>
        <w:t>.</w:t>
      </w:r>
    </w:p>
    <w:p w14:paraId="78F47CE2">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i/>
          <w:color w:val="000000" w:themeColor="text1"/>
          <w:spacing w:val="-2"/>
          <w:sz w:val="26"/>
          <w:szCs w:val="26"/>
          <w:u w:val="single"/>
          <w:lang w:val="vi-VN"/>
          <w14:textFill>
            <w14:solidFill>
              <w14:schemeClr w14:val="tx1"/>
            </w14:solidFill>
          </w14:textFill>
        </w:rPr>
        <w:t>-  Nhóm 3:</w:t>
      </w:r>
      <w:r>
        <w:rPr>
          <w:color w:val="000000" w:themeColor="text1"/>
          <w:spacing w:val="-2"/>
          <w:sz w:val="26"/>
          <w:szCs w:val="26"/>
          <w:lang w:val="vi-VN"/>
          <w14:textFill>
            <w14:solidFill>
              <w14:schemeClr w14:val="tx1"/>
            </w14:solidFill>
          </w14:textFill>
        </w:rPr>
        <w:t xml:space="preserve"> Các ô tiếp giáp </w:t>
      </w:r>
      <w:r>
        <w:rPr>
          <w:color w:val="000000" w:themeColor="text1"/>
          <w:spacing w:val="-2"/>
          <w:sz w:val="26"/>
          <w:szCs w:val="26"/>
          <w14:textFill>
            <w14:solidFill>
              <w14:schemeClr w14:val="tx1"/>
            </w14:solidFill>
          </w14:textFill>
        </w:rPr>
        <w:t>Mặt cắt 1-1 (Trục chính : rộng 31m lòng đường rộng 17m, dải phân cách rộng 2m, vỉa hè 2 bên rộng 6m+6m).</w:t>
      </w:r>
    </w:p>
    <w:p w14:paraId="4CA8D40A">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i/>
          <w:color w:val="000000" w:themeColor="text1"/>
          <w:spacing w:val="-2"/>
          <w:sz w:val="26"/>
          <w:szCs w:val="26"/>
          <w:u w:val="single"/>
          <w:lang w:val="vi-VN"/>
          <w14:textFill>
            <w14:solidFill>
              <w14:schemeClr w14:val="tx1"/>
            </w14:solidFill>
          </w14:textFill>
        </w:rPr>
        <w:t xml:space="preserve">-  Nhóm </w:t>
      </w:r>
      <w:r>
        <w:rPr>
          <w:i/>
          <w:color w:val="000000" w:themeColor="text1"/>
          <w:spacing w:val="-2"/>
          <w:sz w:val="26"/>
          <w:szCs w:val="26"/>
          <w:u w:val="single"/>
          <w14:textFill>
            <w14:solidFill>
              <w14:schemeClr w14:val="tx1"/>
            </w14:solidFill>
          </w14:textFill>
        </w:rPr>
        <w:t>4</w:t>
      </w:r>
      <w:r>
        <w:rPr>
          <w:i/>
          <w:color w:val="000000" w:themeColor="text1"/>
          <w:spacing w:val="-2"/>
          <w:sz w:val="26"/>
          <w:szCs w:val="26"/>
          <w:u w:val="single"/>
          <w:lang w:val="vi-VN"/>
          <w14:textFill>
            <w14:solidFill>
              <w14:schemeClr w14:val="tx1"/>
            </w14:solidFill>
          </w14:textFill>
        </w:rPr>
        <w:t>:</w:t>
      </w:r>
      <w:r>
        <w:rPr>
          <w:color w:val="000000" w:themeColor="text1"/>
          <w:spacing w:val="-2"/>
          <w:sz w:val="26"/>
          <w:szCs w:val="26"/>
          <w:lang w:val="vi-VN"/>
          <w14:textFill>
            <w14:solidFill>
              <w14:schemeClr w14:val="tx1"/>
            </w14:solidFill>
          </w14:textFill>
        </w:rPr>
        <w:t xml:space="preserve"> Các ô tiếp giáp </w:t>
      </w:r>
      <w:r>
        <w:rPr>
          <w:color w:val="000000" w:themeColor="text1"/>
          <w:spacing w:val="-2"/>
          <w:sz w:val="26"/>
          <w:szCs w:val="26"/>
          <w14:textFill>
            <w14:solidFill>
              <w14:schemeClr w14:val="tx1"/>
            </w14:solidFill>
          </w14:textFill>
        </w:rPr>
        <w:t>Mặt cắt 3-3 (làn 2 đường Đại Huề): rộng 13,5m lòng đường rộng 7,5m, vỉa hè 2 bên rộng 3m+3m.</w:t>
      </w:r>
    </w:p>
    <w:p w14:paraId="4583C12B">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i/>
          <w:color w:val="000000" w:themeColor="text1"/>
          <w:spacing w:val="-2"/>
          <w:sz w:val="26"/>
          <w:szCs w:val="26"/>
          <w:u w:val="single"/>
          <w:lang w:val="vi-VN"/>
          <w14:textFill>
            <w14:solidFill>
              <w14:schemeClr w14:val="tx1"/>
            </w14:solidFill>
          </w14:textFill>
        </w:rPr>
        <w:t xml:space="preserve">-  Nhóm </w:t>
      </w:r>
      <w:r>
        <w:rPr>
          <w:i/>
          <w:color w:val="000000" w:themeColor="text1"/>
          <w:spacing w:val="-2"/>
          <w:sz w:val="26"/>
          <w:szCs w:val="26"/>
          <w:u w:val="single"/>
          <w14:textFill>
            <w14:solidFill>
              <w14:schemeClr w14:val="tx1"/>
            </w14:solidFill>
          </w14:textFill>
        </w:rPr>
        <w:t>5</w:t>
      </w:r>
      <w:r>
        <w:rPr>
          <w:i/>
          <w:color w:val="000000" w:themeColor="text1"/>
          <w:spacing w:val="-2"/>
          <w:sz w:val="26"/>
          <w:szCs w:val="26"/>
          <w:u w:val="single"/>
          <w:lang w:val="vi-VN"/>
          <w14:textFill>
            <w14:solidFill>
              <w14:schemeClr w14:val="tx1"/>
            </w14:solidFill>
          </w14:textFill>
        </w:rPr>
        <w:t>:</w:t>
      </w:r>
      <w:r>
        <w:rPr>
          <w:color w:val="000000" w:themeColor="text1"/>
          <w:spacing w:val="-2"/>
          <w:sz w:val="26"/>
          <w:szCs w:val="26"/>
          <w:lang w:val="vi-VN"/>
          <w14:textFill>
            <w14:solidFill>
              <w14:schemeClr w14:val="tx1"/>
            </w14:solidFill>
          </w14:textFill>
        </w:rPr>
        <w:t xml:space="preserve"> Các ô tiếp giáp </w:t>
      </w:r>
      <w:r>
        <w:rPr>
          <w:color w:val="000000" w:themeColor="text1"/>
          <w:spacing w:val="-2"/>
          <w:sz w:val="26"/>
          <w:szCs w:val="26"/>
          <w14:textFill>
            <w14:solidFill>
              <w14:schemeClr w14:val="tx1"/>
            </w14:solidFill>
          </w14:textFill>
        </w:rPr>
        <w:t>Mặt cắt 2-2: rộng 16,5m lòng đường rộng 7,5m, vỉa hè 2 bên rộng 4,5m+4,5m.</w:t>
      </w:r>
    </w:p>
    <w:p w14:paraId="339B6AE1">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i/>
          <w:color w:val="000000" w:themeColor="text1"/>
          <w:spacing w:val="-2"/>
          <w:sz w:val="26"/>
          <w:szCs w:val="26"/>
          <w:u w:val="single"/>
          <w:lang w:val="vi-VN"/>
          <w14:textFill>
            <w14:solidFill>
              <w14:schemeClr w14:val="tx1"/>
            </w14:solidFill>
          </w14:textFill>
        </w:rPr>
        <w:t xml:space="preserve">-  Nhóm </w:t>
      </w:r>
      <w:r>
        <w:rPr>
          <w:i/>
          <w:color w:val="000000" w:themeColor="text1"/>
          <w:spacing w:val="-2"/>
          <w:sz w:val="26"/>
          <w:szCs w:val="26"/>
          <w:u w:val="single"/>
          <w14:textFill>
            <w14:solidFill>
              <w14:schemeClr w14:val="tx1"/>
            </w14:solidFill>
          </w14:textFill>
        </w:rPr>
        <w:t>6</w:t>
      </w:r>
      <w:r>
        <w:rPr>
          <w:i/>
          <w:color w:val="000000" w:themeColor="text1"/>
          <w:spacing w:val="-2"/>
          <w:sz w:val="26"/>
          <w:szCs w:val="26"/>
          <w:u w:val="single"/>
          <w:lang w:val="vi-VN"/>
          <w14:textFill>
            <w14:solidFill>
              <w14:schemeClr w14:val="tx1"/>
            </w14:solidFill>
          </w14:textFill>
        </w:rPr>
        <w:t>:</w:t>
      </w:r>
      <w:r>
        <w:rPr>
          <w:color w:val="000000" w:themeColor="text1"/>
          <w:spacing w:val="-2"/>
          <w:sz w:val="26"/>
          <w:szCs w:val="26"/>
          <w:lang w:val="vi-VN"/>
          <w14:textFill>
            <w14:solidFill>
              <w14:schemeClr w14:val="tx1"/>
            </w14:solidFill>
          </w14:textFill>
        </w:rPr>
        <w:t xml:space="preserve"> Các ô tiếp giáp </w:t>
      </w:r>
      <w:r>
        <w:rPr>
          <w:color w:val="000000" w:themeColor="text1"/>
          <w:spacing w:val="-2"/>
          <w:sz w:val="26"/>
          <w:szCs w:val="26"/>
          <w14:textFill>
            <w14:solidFill>
              <w14:schemeClr w14:val="tx1"/>
            </w14:solidFill>
          </w14:textFill>
        </w:rPr>
        <w:t>Mặt cắt 3-3 (làn 2 đường gom QL1): rộng 13,5m lòng đường rộng 7,5m, vỉa hè 2 bên rộng 3m+3m và Mặt cắt 4-4: rộng 10m lòng đường rộng 6m, vỉa hè 2 bên rộng 2m+2m. Làn 2 đường gom QL1.</w:t>
      </w:r>
    </w:p>
    <w:p w14:paraId="569CAAF2">
      <w:pPr>
        <w:widowControl w:val="0"/>
        <w:tabs>
          <w:tab w:val="left" w:pos="567"/>
        </w:tabs>
        <w:spacing w:before="120" w:after="120" w:line="340" w:lineRule="exact"/>
        <w:ind w:firstLine="567"/>
        <w:jc w:val="both"/>
        <w:rPr>
          <w:color w:val="000000" w:themeColor="text1"/>
          <w:spacing w:val="-2"/>
          <w:sz w:val="26"/>
          <w:szCs w:val="26"/>
          <w14:textFill>
            <w14:solidFill>
              <w14:schemeClr w14:val="tx1"/>
            </w14:solidFill>
          </w14:textFill>
        </w:rPr>
      </w:pPr>
      <w:r>
        <w:rPr>
          <w:i/>
          <w:color w:val="000000" w:themeColor="text1"/>
          <w:spacing w:val="-2"/>
          <w:sz w:val="26"/>
          <w:szCs w:val="26"/>
          <w:u w:val="single"/>
          <w:lang w:val="vi-VN"/>
          <w14:textFill>
            <w14:solidFill>
              <w14:schemeClr w14:val="tx1"/>
            </w14:solidFill>
          </w14:textFill>
        </w:rPr>
        <w:t xml:space="preserve">-  Nhóm </w:t>
      </w:r>
      <w:r>
        <w:rPr>
          <w:i/>
          <w:color w:val="000000" w:themeColor="text1"/>
          <w:spacing w:val="-2"/>
          <w:sz w:val="26"/>
          <w:szCs w:val="26"/>
          <w:u w:val="single"/>
          <w14:textFill>
            <w14:solidFill>
              <w14:schemeClr w14:val="tx1"/>
            </w14:solidFill>
          </w14:textFill>
        </w:rPr>
        <w:t>7</w:t>
      </w:r>
      <w:r>
        <w:rPr>
          <w:i/>
          <w:color w:val="000000" w:themeColor="text1"/>
          <w:spacing w:val="-2"/>
          <w:sz w:val="26"/>
          <w:szCs w:val="26"/>
          <w:u w:val="single"/>
          <w:lang w:val="vi-VN"/>
          <w14:textFill>
            <w14:solidFill>
              <w14:schemeClr w14:val="tx1"/>
            </w14:solidFill>
          </w14:textFill>
        </w:rPr>
        <w:t>:</w:t>
      </w:r>
      <w:r>
        <w:rPr>
          <w:color w:val="000000" w:themeColor="text1"/>
          <w:spacing w:val="-2"/>
          <w:sz w:val="26"/>
          <w:szCs w:val="26"/>
          <w:lang w:val="vi-VN"/>
          <w14:textFill>
            <w14:solidFill>
              <w14:schemeClr w14:val="tx1"/>
            </w14:solidFill>
          </w14:textFill>
        </w:rPr>
        <w:t xml:space="preserve"> Các ô tiếp giáp </w:t>
      </w:r>
      <w:r>
        <w:rPr>
          <w:color w:val="000000" w:themeColor="text1"/>
          <w:spacing w:val="-2"/>
          <w:sz w:val="26"/>
          <w:szCs w:val="26"/>
          <w14:textFill>
            <w14:solidFill>
              <w14:schemeClr w14:val="tx1"/>
            </w14:solidFill>
          </w14:textFill>
        </w:rPr>
        <w:t>Mặt cắt 3-3 các đoạn còn lại: rộng 13,5m lòng đường rộng 7,5m, vỉa hè 2 bên rộng 3m+3m.</w:t>
      </w:r>
    </w:p>
    <w:p w14:paraId="44243579">
      <w:pPr>
        <w:widowControl w:val="0"/>
        <w:spacing w:before="120" w:after="120" w:line="340" w:lineRule="exact"/>
        <w:ind w:firstLine="562"/>
        <w:jc w:val="both"/>
        <w:rPr>
          <w:b/>
          <w:color w:val="000000" w:themeColor="text1"/>
          <w:sz w:val="26"/>
          <w:szCs w:val="26"/>
          <w:lang w:val="da-DK"/>
          <w14:textFill>
            <w14:solidFill>
              <w14:schemeClr w14:val="tx1"/>
            </w14:solidFill>
          </w14:textFill>
        </w:rPr>
      </w:pPr>
      <w:r>
        <w:rPr>
          <w:b/>
          <w:color w:val="000000" w:themeColor="text1"/>
          <w:sz w:val="26"/>
          <w:szCs w:val="26"/>
          <w:lang w:val="da-DK"/>
          <w14:textFill>
            <w14:solidFill>
              <w14:schemeClr w14:val="tx1"/>
            </w14:solidFill>
          </w14:textFill>
        </w:rPr>
        <w:t>1</w:t>
      </w:r>
      <w:r>
        <w:rPr>
          <w:b/>
          <w:color w:val="000000" w:themeColor="text1"/>
          <w:sz w:val="26"/>
          <w:szCs w:val="26"/>
          <w:lang w:val="vi-VN"/>
          <w14:textFill>
            <w14:solidFill>
              <w14:schemeClr w14:val="tx1"/>
            </w14:solidFill>
          </w14:textFill>
        </w:rPr>
        <w:t>.3</w:t>
      </w:r>
      <w:r>
        <w:rPr>
          <w:b/>
          <w:color w:val="000000" w:themeColor="text1"/>
          <w:sz w:val="26"/>
          <w:szCs w:val="26"/>
          <w:lang w:val="da-DK"/>
          <w14:textFill>
            <w14:solidFill>
              <w14:schemeClr w14:val="tx1"/>
            </w14:solidFill>
          </w14:textFill>
        </w:rPr>
        <w:t>. N</w:t>
      </w:r>
      <w:r>
        <w:rPr>
          <w:b/>
          <w:color w:val="000000" w:themeColor="text1"/>
          <w:sz w:val="26"/>
          <w:szCs w:val="26"/>
          <w:lang w:val="vi-VN"/>
          <w14:textFill>
            <w14:solidFill>
              <w14:schemeClr w14:val="tx1"/>
            </w14:solidFill>
          </w14:textFill>
        </w:rPr>
        <w:t xml:space="preserve">guyên tắc đánh giá tài sản định giá so với các </w:t>
      </w:r>
      <w:r>
        <w:rPr>
          <w:b/>
          <w:color w:val="000000" w:themeColor="text1"/>
          <w:sz w:val="26"/>
          <w:szCs w:val="26"/>
          <w:lang w:val="da-DK"/>
          <w14:textFill>
            <w14:solidFill>
              <w14:schemeClr w14:val="tx1"/>
            </w14:solidFill>
          </w14:textFill>
        </w:rPr>
        <w:t>tài sản so sánh</w:t>
      </w:r>
    </w:p>
    <w:p w14:paraId="3C24402B">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i/>
          <w:color w:val="000000" w:themeColor="text1"/>
          <w:sz w:val="26"/>
          <w:szCs w:val="26"/>
          <w:lang w:val="da-DK"/>
          <w14:textFill>
            <w14:solidFill>
              <w14:schemeClr w14:val="tx1"/>
            </w14:solidFill>
          </w14:textFill>
        </w:rPr>
        <w:t xml:space="preserve">1) </w:t>
      </w:r>
      <w:r>
        <w:rPr>
          <w:i/>
          <w:color w:val="000000" w:themeColor="text1"/>
          <w:sz w:val="26"/>
          <w:szCs w:val="26"/>
          <w:u w:val="single"/>
          <w:lang w:val="da-DK"/>
          <w14:textFill>
            <w14:solidFill>
              <w14:schemeClr w14:val="tx1"/>
            </w14:solidFill>
          </w14:textFill>
        </w:rPr>
        <w:t>Nguyên tắc lựa chọn tài sản so sánh</w:t>
      </w:r>
      <w:r>
        <w:rPr>
          <w:i/>
          <w:color w:val="000000" w:themeColor="text1"/>
          <w:sz w:val="26"/>
          <w:szCs w:val="26"/>
          <w:lang w:val="da-DK"/>
          <w14:textFill>
            <w14:solidFill>
              <w14:schemeClr w14:val="tx1"/>
            </w14:solidFill>
          </w14:textFill>
        </w:rPr>
        <w:t>:</w:t>
      </w:r>
      <w:r>
        <w:rPr>
          <w:color w:val="000000" w:themeColor="text1"/>
          <w:sz w:val="26"/>
          <w:szCs w:val="26"/>
          <w:lang w:val="da-DK"/>
          <w14:textFill>
            <w14:solidFill>
              <w14:schemeClr w14:val="tx1"/>
            </w14:solidFill>
          </w14:textFill>
        </w:rPr>
        <w:t xml:space="preserve"> </w:t>
      </w:r>
    </w:p>
    <w:p w14:paraId="408C978D">
      <w:pPr>
        <w:spacing w:before="120" w:after="120" w:line="340" w:lineRule="exact"/>
        <w:ind w:firstLine="567"/>
        <w:jc w:val="both"/>
        <w:rPr>
          <w:rFonts w:eastAsia="Tahoma"/>
          <w:color w:val="000000" w:themeColor="text1"/>
          <w:sz w:val="26"/>
          <w:szCs w:val="26"/>
          <w:lang w:val="da-DK"/>
          <w14:textFill>
            <w14:solidFill>
              <w14:schemeClr w14:val="tx1"/>
            </w14:solidFill>
          </w14:textFill>
        </w:rPr>
      </w:pPr>
      <w:r>
        <w:rPr>
          <w:color w:val="000000" w:themeColor="text1"/>
          <w:spacing w:val="-6"/>
          <w:sz w:val="26"/>
          <w:szCs w:val="26"/>
          <w:lang w:val="da-DK"/>
          <w14:textFill>
            <w14:solidFill>
              <w14:schemeClr w14:val="tx1"/>
            </w14:solidFill>
          </w14:textFill>
        </w:rPr>
        <w:t xml:space="preserve">- Qua nghiên cứu, khảo sát thông tin đấu giá, thông tin chuyển nhượng đất trên địa bàn thị trấn Đồng Mỏ, các địa bàn lân cận... tham khảo đánh giá của đơn vị quản lý cấp huyện và cơ sở dữ liệu của đơn vị tư vấn, chúng tôi lựa chọn kết quả trúng đấu giá thành công tại </w:t>
      </w:r>
      <w:r>
        <w:rPr>
          <w:rFonts w:eastAsia="Tahoma"/>
          <w:b/>
          <w:bCs/>
          <w:i/>
          <w:iCs/>
          <w:spacing w:val="-2"/>
          <w:sz w:val="26"/>
          <w:szCs w:val="26"/>
          <w:lang w:val="da-DK"/>
        </w:rPr>
        <w:t>Khu tái định cư Huyện đội, khu Lao Động, thị trấn Lộc Bình, huyện Lộc Bình tại phiên đấu tháng 8/2024;</w:t>
      </w:r>
      <w:r>
        <w:rPr>
          <w:b/>
          <w:bCs/>
          <w:i/>
          <w:iCs/>
          <w:spacing w:val="-2"/>
        </w:rPr>
        <w:t xml:space="preserve"> </w:t>
      </w:r>
      <w:r>
        <w:rPr>
          <w:rFonts w:eastAsia="Tahoma"/>
          <w:b/>
          <w:bCs/>
          <w:i/>
          <w:iCs/>
          <w:spacing w:val="-2"/>
          <w:sz w:val="26"/>
          <w:szCs w:val="26"/>
          <w:lang w:val="da-DK"/>
        </w:rPr>
        <w:t>khu đấu giá  Khu cổng UBND xã Quang Thịnh, huyện Lạng Giang, tỉnh Bắc Giang (nay là xã Kép, tỉnh Bắc Ninh). tại thời điểm tháng 08/2024; Khu dân cư trung tâm xã Hương Lạc, huyện Lạng Giang tại phiên đấu giá tháng 03</w:t>
      </w:r>
      <w:r>
        <w:rPr>
          <w:rFonts w:eastAsia="Tahoma"/>
          <w:b/>
          <w:bCs/>
          <w:i/>
          <w:iCs/>
          <w:color w:val="000000" w:themeColor="text1"/>
          <w:spacing w:val="-2"/>
          <w:sz w:val="26"/>
          <w:szCs w:val="26"/>
          <w:lang w:val="da-DK"/>
          <w14:textFill>
            <w14:solidFill>
              <w14:schemeClr w14:val="tx1"/>
            </w14:solidFill>
          </w14:textFill>
        </w:rPr>
        <w:t xml:space="preserve">/2024 </w:t>
      </w:r>
      <w:r>
        <w:rPr>
          <w:rFonts w:eastAsia="Tahoma"/>
          <w:b/>
          <w:bCs/>
          <w:i/>
          <w:iCs/>
          <w:color w:val="000000" w:themeColor="text1"/>
          <w:sz w:val="26"/>
          <w:szCs w:val="26"/>
          <w:lang w:val="da-DK"/>
          <w14:textFill>
            <w14:solidFill>
              <w14:schemeClr w14:val="tx1"/>
            </w14:solidFill>
          </w14:textFill>
        </w:rPr>
        <w:t>làm các thửa đất so sánh.</w:t>
      </w:r>
    </w:p>
    <w:p w14:paraId="55BE89F6">
      <w:pPr>
        <w:widowControl w:val="0"/>
        <w:spacing w:before="120" w:after="120" w:line="340" w:lineRule="exact"/>
        <w:ind w:firstLine="562"/>
        <w:jc w:val="both"/>
        <w:rPr>
          <w:color w:val="000000" w:themeColor="text1"/>
          <w:spacing w:val="-6"/>
          <w:sz w:val="26"/>
          <w:szCs w:val="26"/>
          <w:lang w:val="vi-VN"/>
          <w14:textFill>
            <w14:solidFill>
              <w14:schemeClr w14:val="tx1"/>
            </w14:solidFill>
          </w14:textFill>
        </w:rPr>
      </w:pPr>
      <w:r>
        <w:rPr>
          <w:color w:val="000000" w:themeColor="text1"/>
          <w:spacing w:val="-6"/>
          <w:sz w:val="26"/>
          <w:szCs w:val="26"/>
          <w:lang w:val="da-DK"/>
          <w14:textFill>
            <w14:solidFill>
              <w14:schemeClr w14:val="tx1"/>
            </w14:solidFill>
          </w14:textFill>
        </w:rPr>
        <w:t>Chúng tôi nhận thấy các thửa đất so sánh là tài sản phù hợp và tương đồng nhất, có khoảng cách gần nhất so với tài sản định giá tại thời điểm định giá.</w:t>
      </w:r>
    </w:p>
    <w:p w14:paraId="7DC2366F">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Khi tiến hành lựa chọn 03 tài sản so sánh phải đảm bảo nguyên tắc sau:</w:t>
      </w:r>
    </w:p>
    <w:p w14:paraId="1F15D0E9">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Tài sản thẩm định nằm trên mặt cắt đường nào thì thường lựa chọn tài sản so sánh tại các khu đất đấu giá phải có mặt cắt tương đương nhất với TSTĐ;</w:t>
      </w:r>
    </w:p>
    <w:p w14:paraId="22FC3DEF">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Các giao dịch chuyển nhượng được khảo sát là những tuyến có lợi thế vị trí tương đồng nhất với các lô đất trong dự án.</w:t>
      </w:r>
    </w:p>
    <w:p w14:paraId="41E0B1A5">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Thông tin về các giao dịch chuyển nhượng gần nhất với thời điểm định giá đất.</w:t>
      </w:r>
    </w:p>
    <w:p w14:paraId="640BED24">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Có khoảng cách gần nhất đến thửa đất, khu đất cần định giá.</w:t>
      </w:r>
    </w:p>
    <w:p w14:paraId="389574FD">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Lựa chọn các thửa đất so sánh có mức trúng đấu giá bình quân hoặc có mức trúng phổ biến nhất thuộc cùng vị trí tương tự (đối với trường hợp sử dụng kết quả trúng đấu giá quyền sử dụng đất ở).</w:t>
      </w:r>
    </w:p>
    <w:p w14:paraId="625FE554">
      <w:pPr>
        <w:widowControl w:val="0"/>
        <w:spacing w:before="120" w:after="120" w:line="340" w:lineRule="exact"/>
        <w:ind w:firstLine="562"/>
        <w:jc w:val="both"/>
        <w:rPr>
          <w:bCs/>
          <w:i/>
          <w:color w:val="000000" w:themeColor="text1"/>
          <w:spacing w:val="-10"/>
          <w:sz w:val="26"/>
          <w:szCs w:val="26"/>
          <w:lang w:val="vi-VN"/>
          <w14:textFill>
            <w14:solidFill>
              <w14:schemeClr w14:val="tx1"/>
            </w14:solidFill>
          </w14:textFill>
        </w:rPr>
      </w:pPr>
      <w:r>
        <w:rPr>
          <w:bCs/>
          <w:i/>
          <w:color w:val="000000" w:themeColor="text1"/>
          <w:spacing w:val="-10"/>
          <w:sz w:val="26"/>
          <w:szCs w:val="26"/>
          <w:lang w:val="da-DK"/>
          <w14:textFill>
            <w14:solidFill>
              <w14:schemeClr w14:val="tx1"/>
            </w14:solidFill>
          </w14:textFill>
        </w:rPr>
        <w:t>2</w:t>
      </w:r>
      <w:r>
        <w:rPr>
          <w:bCs/>
          <w:i/>
          <w:color w:val="000000" w:themeColor="text1"/>
          <w:spacing w:val="-10"/>
          <w:sz w:val="26"/>
          <w:szCs w:val="26"/>
          <w:lang w:val="vi-VN"/>
          <w14:textFill>
            <w14:solidFill>
              <w14:schemeClr w14:val="tx1"/>
            </w14:solidFill>
          </w14:textFill>
        </w:rPr>
        <w:t xml:space="preserve">) </w:t>
      </w:r>
      <w:r>
        <w:rPr>
          <w:bCs/>
          <w:i/>
          <w:color w:val="000000" w:themeColor="text1"/>
          <w:spacing w:val="-10"/>
          <w:sz w:val="26"/>
          <w:szCs w:val="26"/>
          <w:u w:val="single"/>
          <w:lang w:val="vi-VN"/>
          <w14:textFill>
            <w14:solidFill>
              <w14:schemeClr w14:val="tx1"/>
            </w14:solidFill>
          </w14:textFill>
        </w:rPr>
        <w:t>Nguyên tắc điều chỉnh các yếu tố khác biệt giữa tài sản so sánh và tài sản thẩm định</w:t>
      </w:r>
      <w:r>
        <w:rPr>
          <w:bCs/>
          <w:i/>
          <w:color w:val="000000" w:themeColor="text1"/>
          <w:spacing w:val="-10"/>
          <w:sz w:val="26"/>
          <w:szCs w:val="26"/>
          <w:lang w:val="vi-VN"/>
          <w14:textFill>
            <w14:solidFill>
              <w14:schemeClr w14:val="tx1"/>
            </w14:solidFill>
          </w14:textFill>
        </w:rPr>
        <w:t>.</w:t>
      </w:r>
    </w:p>
    <w:p w14:paraId="13EDA135">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Căn cứ Điều 8</w:t>
      </w:r>
      <w:r>
        <w:rPr>
          <w:color w:val="000000" w:themeColor="text1"/>
          <w14:textFill>
            <w14:solidFill>
              <w14:schemeClr w14:val="tx1"/>
            </w14:solidFill>
          </w14:textFill>
        </w:rPr>
        <w:t xml:space="preserve"> </w:t>
      </w:r>
      <w:r>
        <w:rPr>
          <w:color w:val="000000" w:themeColor="text1"/>
          <w:sz w:val="26"/>
          <w:szCs w:val="26"/>
          <w:lang w:val="da-DK"/>
          <w14:textFill>
            <w14:solidFill>
              <w14:schemeClr w14:val="tx1"/>
            </w14:solidFill>
          </w14:textFill>
        </w:rPr>
        <w:t>Nghị định số 71/2024/NĐ-CP ngày 27/06/2024 của Chính Phủ: Các yếu tố ảnh hưởng đến giá đất:</w:t>
      </w:r>
    </w:p>
    <w:p w14:paraId="1E4E31FE">
      <w:pPr>
        <w:widowControl w:val="0"/>
        <w:spacing w:before="120" w:after="120" w:line="34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1. Các yếu tố ảnh hưởng đến giá đất đối với đất phi nông nghiệp, bao gồm:</w:t>
      </w:r>
    </w:p>
    <w:p w14:paraId="38E0988B">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a) Vị trí, địa điểm của thửa đất, khu đất;</w:t>
      </w:r>
    </w:p>
    <w:p w14:paraId="1B48D9F9">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b) Điều kiện về giao thông: độ rộng, kết cấu mặt đường, tiếp giáp với 01 hoặc nhiều mặt đường;</w:t>
      </w:r>
    </w:p>
    <w:p w14:paraId="54DEF840">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c) Điều kiện về cấp thoát nước, cấp điện;</w:t>
      </w:r>
    </w:p>
    <w:p w14:paraId="08E6A471">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d) Diện tích, kích thước, hình thể của thửa đất, khu đất;</w:t>
      </w:r>
    </w:p>
    <w:p w14:paraId="133F39D4">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đ)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14:paraId="7B9A2505">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e) Hiện trạng môi trường, an ninh;</w:t>
      </w:r>
    </w:p>
    <w:p w14:paraId="638B3B0F">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g) Thời hạn sử dụng đất;</w:t>
      </w:r>
    </w:p>
    <w:p w14:paraId="6F658D3B">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h) Các yếu tố khác ảnh hưởng đến giá đất phù hợp với điều kiện thực tế, truyền thống văn hóa, phong tục tập quán của địa phương.</w:t>
      </w:r>
    </w:p>
    <w:p w14:paraId="1E619652">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 Căn cứ Điều 5 quyết định số 47/2024/QĐ-UBND ngày 30 tháng 10 năm 2024 của UBND tỉnh Lạng Sơn: Các yếu tố ảnh hưởng đến giá đất, mức độ chênh lệch tối đa, cách thức điều chỉnh quy định tại khoản 3 Điều 8 Nghị định số 71/2024/NĐ-CP </w:t>
      </w:r>
    </w:p>
    <w:p w14:paraId="20D077F8">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1. Đối với đất phi nông nghiệp </w:t>
      </w:r>
    </w:p>
    <w:p w14:paraId="78973710">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a) Vị trí, địa điểm thửa đất, khu đất: mức điều chỉnh không quá 40%. </w:t>
      </w:r>
    </w:p>
    <w:p w14:paraId="1D580985">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b) Điều kiện về giao thông: </w:t>
      </w:r>
    </w:p>
    <w:p w14:paraId="0E31259A">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 Độ rộng đường (bao gồm cả vỉa hè): mức điều chỉnh không quá 20%. </w:t>
      </w:r>
    </w:p>
    <w:p w14:paraId="5C285613">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 Kết cấu mặt đường: mức điều chỉnh không quá 15%. </w:t>
      </w:r>
    </w:p>
    <w:p w14:paraId="127AFB16">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 Tiếp giáp với 02 mặt đường trở lên: mức điều chỉnh không quá 20%. </w:t>
      </w:r>
    </w:p>
    <w:p w14:paraId="12FF28DA">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c) Điều kiện về cấp thoát nước, cấp điện: mức điều chỉnh không quá 10%. </w:t>
      </w:r>
    </w:p>
    <w:p w14:paraId="77901705">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d) Diện tích, kích thước, hình thể của thửa đất, khu đất: </w:t>
      </w:r>
    </w:p>
    <w:p w14:paraId="4F706EB0">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 Diện tích: mức điều chỉnh không quá 15%. </w:t>
      </w:r>
    </w:p>
    <w:p w14:paraId="1CC2269A">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 Độ rộng mặt tiền: mức điều chỉnh không quá 15%. </w:t>
      </w:r>
    </w:p>
    <w:p w14:paraId="0B5B76EC">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 Chiều sâu: mức điều chỉnh không quá 15%. </w:t>
      </w:r>
    </w:p>
    <w:p w14:paraId="61CEECF7">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 Hình thể: mức điều chỉnh không quá 15%.    </w:t>
      </w:r>
    </w:p>
    <w:p w14:paraId="11C3C662">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đ)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 mức điều chỉnh không quá 20%. </w:t>
      </w:r>
    </w:p>
    <w:p w14:paraId="1E9E5C05">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e) Hiện trạng môi trường, an ninh: mức điều chỉnh không quá 5%. </w:t>
      </w:r>
    </w:p>
    <w:p w14:paraId="3C3CEB0E">
      <w:pPr>
        <w:widowControl w:val="0"/>
        <w:spacing w:before="120" w:after="120" w:line="360" w:lineRule="exact"/>
        <w:ind w:firstLine="561"/>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 xml:space="preserve">g) Thời hạn sử dụng đất: mức điều chỉnh không quá 5%. </w:t>
      </w:r>
    </w:p>
    <w:p w14:paraId="3C5B0773">
      <w:pPr>
        <w:widowControl w:val="0"/>
        <w:spacing w:before="120" w:after="120" w:line="360" w:lineRule="exact"/>
        <w:ind w:firstLine="562"/>
        <w:jc w:val="both"/>
        <w:rPr>
          <w:color w:val="000000" w:themeColor="text1"/>
          <w:sz w:val="26"/>
          <w:szCs w:val="26"/>
          <w:lang w:val="da-DK"/>
          <w14:textFill>
            <w14:solidFill>
              <w14:schemeClr w14:val="tx1"/>
            </w14:solidFill>
          </w14:textFill>
        </w:rPr>
      </w:pPr>
      <w:r>
        <w:rPr>
          <w:color w:val="000000" w:themeColor="text1"/>
          <w:sz w:val="26"/>
          <w:szCs w:val="26"/>
          <w:lang w:val="da-DK"/>
          <w14:textFill>
            <w14:solidFill>
              <w14:schemeClr w14:val="tx1"/>
            </w14:solidFill>
          </w14:textFill>
        </w:rPr>
        <w:t>h) Các yếu tố khác ảnh hưởng đến giá đất phù hợp với điều kiện thực tế, truyền thống văn hóa, phong tục tập quán của địa phương: căn cứ tình hình thực tế tổ chức thực hiện định giá đất đề xuất cụ thể các yếu tố trong Báo cáo thuyết minh xây dựng phương án giá đất để Hội đồng thẩm định giá đất xem xét, quyết định. Mức điều chỉnh không quá 15%.</w:t>
      </w:r>
    </w:p>
    <w:p w14:paraId="3E159096">
      <w:pPr>
        <w:widowControl w:val="0"/>
        <w:spacing w:before="120" w:after="120" w:line="360" w:lineRule="exact"/>
        <w:ind w:firstLine="562"/>
        <w:jc w:val="both"/>
        <w:rPr>
          <w:b/>
          <w:bCs/>
          <w:i/>
          <w:color w:val="000000" w:themeColor="text1"/>
          <w:sz w:val="26"/>
          <w:szCs w:val="26"/>
          <w:lang w:val="vi-VN"/>
          <w14:textFill>
            <w14:solidFill>
              <w14:schemeClr w14:val="tx1"/>
            </w14:solidFill>
          </w14:textFill>
        </w:rPr>
      </w:pPr>
      <w:r>
        <w:rPr>
          <w:b/>
          <w:bCs/>
          <w:i/>
          <w:color w:val="000000" w:themeColor="text1"/>
          <w:sz w:val="26"/>
          <w:szCs w:val="26"/>
          <w:lang w:val="vi-VN"/>
          <w14:textFill>
            <w14:solidFill>
              <w14:schemeClr w14:val="tx1"/>
            </w14:solidFill>
          </w14:textFill>
        </w:rPr>
        <w:t>Việc điều chỉnh tỷ lệ yếu tố khác biệt để xác định giá của thửa đất cần định giá phải đảm bảo giá đất của thửa đất định giá chênh lệch so với từng mức giá đất ước tính của tài sản so sánh sau điều chỉnh không quá 15% (đảm bảo quy định tại Nghị định 71/2024/NĐ-CP ngày 27 tháng 06 năm 2024 của Chính Phủ).</w:t>
      </w:r>
    </w:p>
    <w:p w14:paraId="41FBDFEB">
      <w:pPr>
        <w:widowControl w:val="0"/>
        <w:spacing w:before="120" w:after="120" w:line="360" w:lineRule="exact"/>
        <w:ind w:firstLine="567"/>
        <w:jc w:val="both"/>
        <w:rPr>
          <w:b/>
          <w:bCs/>
          <w:color w:val="000000" w:themeColor="text1"/>
          <w:spacing w:val="-4"/>
          <w:sz w:val="26"/>
          <w:szCs w:val="26"/>
          <w:lang w:val="vi-VN"/>
          <w14:textFill>
            <w14:solidFill>
              <w14:schemeClr w14:val="tx1"/>
            </w14:solidFill>
          </w14:textFill>
        </w:rPr>
      </w:pPr>
      <w:r>
        <w:rPr>
          <w:b/>
          <w:bCs/>
          <w:color w:val="000000" w:themeColor="text1"/>
          <w:spacing w:val="-4"/>
          <w:sz w:val="26"/>
          <w:szCs w:val="26"/>
          <w:lang w:val="vi-VN"/>
          <w14:textFill>
            <w14:solidFill>
              <w14:schemeClr w14:val="tx1"/>
            </w14:solidFill>
          </w14:textFill>
        </w:rPr>
        <w:t>1.4. Tổng doanh thu phát triển của dự án (DT)</w:t>
      </w:r>
    </w:p>
    <w:p w14:paraId="04221072">
      <w:pPr>
        <w:widowControl w:val="0"/>
        <w:spacing w:before="120" w:after="120" w:line="360" w:lineRule="exact"/>
        <w:ind w:firstLine="562"/>
        <w:jc w:val="both"/>
        <w:rPr>
          <w:color w:val="000000" w:themeColor="text1"/>
          <w:sz w:val="26"/>
          <w:szCs w:val="26"/>
          <w:lang w:val="da-DK"/>
          <w14:textFill>
            <w14:solidFill>
              <w14:schemeClr w14:val="tx1"/>
            </w14:solidFill>
          </w14:textFill>
        </w:rPr>
      </w:pPr>
      <w:r>
        <w:rPr>
          <w:rFonts w:eastAsia="SimSun"/>
          <w:sz w:val="26"/>
          <w:szCs w:val="26"/>
          <w:lang w:val="nl-NL"/>
        </w:rPr>
        <w:t xml:space="preserve">Qua khảo sát thực tế một số dự án cũng như các thửa ở đã và đang mua bán chuyển nhượng trên địa bàn thị trấn Đồng Mỏ và các huyện thuộc tỉnh Lạng Sơn; Công ty cổ phần Dịch vụ Tư vấn và Thẩm định giá Việt Nam nhận thấy các lô đất có vị trí tiếp giáp 01 mặt tiền và đối diện hoặc tiếp giáp cảnh quan cây xanh, hồ nước có lợi thế hơn lô đất không đối diện hoặc tiếp giáp cây xanh cảnh quan cùng vị trí; đối với các lô đất tiếp giáp 02 mặt tiền có lợi thế hơn các lô tiếp giáp 01 mặt tiền; và các lô tiếp giáp 02 mặt tiền đối diện hoặc tiếp giáp cây xanh cảnh quan là những lô đất được đánh giá lợi thế cao hơn, dễ giao dịch chuyển nhượng hơn trong thực tế. Khảo sát các dự án khu dân cư, khu đô thị trên địa bàn tỉnh Lạng Sơn, đã được UBND hai tỉnh phê duyệt giá đất tính thu tiền sử dụng đất, các lô đất đối diện, tiếp giáp cây xanh hồ nước cảnh quan; các lô đất tiếp giáp 02; 03 mặt tiền được xác định có hệ số cao hơn các lô đất tiếp giáp 01 mặt tiền bình thường từ 1,1 lần đến 1,3 lần. Căn cứ quy định tại </w:t>
      </w:r>
      <w:r>
        <w:rPr>
          <w:color w:val="000000" w:themeColor="text1"/>
          <w:sz w:val="26"/>
          <w:szCs w:val="26"/>
          <w:lang w:val="da-DK"/>
          <w14:textFill>
            <w14:solidFill>
              <w14:schemeClr w14:val="tx1"/>
            </w14:solidFill>
          </w14:textFill>
        </w:rPr>
        <w:t>Điều 5 quyết định số 47/2024/QĐ-UBND ngày 30 tháng 10 năm 2024 của UBND tỉnh Lạng Sơn: Các yếu tố ảnh hưởng đến giá đất, mức độ chênh lệch tối đa, cách thức điều chỉnh quy định tại khoản 3 Điều 8 Nghị định số 71/2024/NĐ-CP.</w:t>
      </w:r>
    </w:p>
    <w:p w14:paraId="29DDA195">
      <w:pPr>
        <w:widowControl w:val="0"/>
        <w:spacing w:before="120" w:after="120" w:line="360" w:lineRule="exact"/>
        <w:ind w:firstLine="567"/>
        <w:jc w:val="both"/>
        <w:rPr>
          <w:rFonts w:eastAsia="SimSun"/>
          <w:spacing w:val="-6"/>
          <w:sz w:val="26"/>
          <w:szCs w:val="26"/>
          <w:lang w:val="nl-NL"/>
        </w:rPr>
      </w:pPr>
      <w:r>
        <w:rPr>
          <w:rFonts w:eastAsia="SimSun"/>
          <w:spacing w:val="-6"/>
          <w:sz w:val="26"/>
          <w:szCs w:val="26"/>
          <w:lang w:val="nl-NL"/>
        </w:rPr>
        <w:t>=&gt; Từ những đánh giá và nhận định trên, Công ty cổ phần Dịch vụ Tư vấn và Thẩm định giá Việt Nam đề xuất mức giá chuyển nhượng của các lô đất tiếp giáp 01 mặt đường quy hoạch và đối diện cây xanh hồ nước cảnh quan có mức giá cao hơn các lô đất tiếp giáo 01 mặt tiền là 10%; các lô đất tiếp giáp 02 mặt đường quy hoạch nội bộ có mức giá cao hơn các lô đất tiếp giáo 01 mặt tiền là 20%; và đối với các ô vừa tiếp giáp 02 mặt đường và đối diện cây xanh hồ nước có mức giá cao hơn các lô đất tiếp giáp 01 mặt tiền khác là 30%.</w:t>
      </w:r>
    </w:p>
    <w:p w14:paraId="173DBC72">
      <w:pPr>
        <w:widowControl w:val="0"/>
        <w:spacing w:before="120" w:after="120" w:line="360" w:lineRule="exact"/>
        <w:ind w:firstLine="720"/>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Trên cơ sở các nguyên tắc xác định doanh thu; nguyên tắc phân loại tài sản nêu trên, Công ty </w:t>
      </w:r>
      <w:r>
        <w:rPr>
          <w:color w:val="000000" w:themeColor="text1"/>
          <w:sz w:val="26"/>
          <w:szCs w:val="26"/>
          <w14:textFill>
            <w14:solidFill>
              <w14:schemeClr w14:val="tx1"/>
            </w14:solidFill>
          </w14:textFill>
        </w:rPr>
        <w:t>cổ phần dịch vụ tư vấn và thẩm định giá Việt Nam</w:t>
      </w:r>
      <w:r>
        <w:rPr>
          <w:color w:val="000000" w:themeColor="text1"/>
          <w:sz w:val="26"/>
          <w:szCs w:val="26"/>
          <w:lang w:val="vi-VN"/>
          <w14:textFill>
            <w14:solidFill>
              <w14:schemeClr w14:val="tx1"/>
            </w14:solidFill>
          </w14:textFill>
        </w:rPr>
        <w:t xml:space="preserve"> đề xuất mức giá chuyển nhượng bất động sản của dự án</w:t>
      </w:r>
      <w:r>
        <w:rPr>
          <w:color w:val="000000" w:themeColor="text1"/>
          <w:sz w:val="26"/>
          <w:szCs w:val="26"/>
          <w14:textFill>
            <w14:solidFill>
              <w14:schemeClr w14:val="tx1"/>
            </w14:solidFill>
          </w14:textFill>
        </w:rPr>
        <w:t xml:space="preserve"> cho phần diện tích giao đất </w:t>
      </w:r>
      <w:r>
        <w:rPr>
          <w:color w:val="000000" w:themeColor="text1"/>
          <w:sz w:val="26"/>
          <w:szCs w:val="26"/>
          <w:lang w:val="vi-VN"/>
          <w14:textFill>
            <w14:solidFill>
              <w14:schemeClr w14:val="tx1"/>
            </w14:solidFill>
          </w14:textFill>
        </w:rPr>
        <w:t xml:space="preserve">tại </w:t>
      </w:r>
      <w:r>
        <w:rPr>
          <w:b/>
          <w:bCs/>
          <w:i/>
          <w:iCs/>
          <w:color w:val="000000" w:themeColor="text1"/>
          <w:sz w:val="26"/>
          <w:szCs w:val="26"/>
          <w:u w:val="single"/>
          <w:lang w:val="vi-VN"/>
          <w14:textFill>
            <w14:solidFill>
              <w14:schemeClr w14:val="tx1"/>
            </w14:solidFill>
          </w14:textFill>
        </w:rPr>
        <w:t xml:space="preserve">thời điểm tháng </w:t>
      </w:r>
      <w:r>
        <w:rPr>
          <w:b/>
          <w:bCs/>
          <w:i/>
          <w:iCs/>
          <w:color w:val="000000" w:themeColor="text1"/>
          <w:sz w:val="26"/>
          <w:szCs w:val="26"/>
          <w:u w:val="single"/>
          <w14:textFill>
            <w14:solidFill>
              <w14:schemeClr w14:val="tx1"/>
            </w14:solidFill>
          </w14:textFill>
        </w:rPr>
        <w:t>01/2025</w:t>
      </w:r>
      <w:r>
        <w:rPr>
          <w:color w:val="000000" w:themeColor="text1"/>
          <w:sz w:val="26"/>
          <w:szCs w:val="26"/>
          <w:lang w:val="vi-VN"/>
          <w14:textFill>
            <w14:solidFill>
              <w14:schemeClr w14:val="tx1"/>
            </w14:solidFill>
          </w14:textFill>
        </w:rPr>
        <w:t>, cụ thể như sau:</w:t>
      </w:r>
    </w:p>
    <w:p w14:paraId="7C13331F">
      <w:pPr>
        <w:spacing w:line="340" w:lineRule="exact"/>
        <w:ind w:firstLine="567"/>
        <w:jc w:val="both"/>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*Xác định doanh thu bán đất bao gồm nhà li</w:t>
      </w:r>
      <w:r>
        <w:rPr>
          <w:b/>
          <w:color w:val="000000" w:themeColor="text1"/>
          <w:sz w:val="26"/>
          <w:szCs w:val="26"/>
          <w14:textFill>
            <w14:solidFill>
              <w14:schemeClr w14:val="tx1"/>
            </w14:solidFill>
          </w14:textFill>
        </w:rPr>
        <w:t>ền</w:t>
      </w:r>
      <w:r>
        <w:rPr>
          <w:b/>
          <w:color w:val="000000" w:themeColor="text1"/>
          <w:sz w:val="26"/>
          <w:szCs w:val="26"/>
          <w:lang w:val="vi-VN"/>
          <w14:textFill>
            <w14:solidFill>
              <w14:schemeClr w14:val="tx1"/>
            </w14:solidFill>
          </w14:textFill>
        </w:rPr>
        <w:t xml:space="preserve"> k</w:t>
      </w:r>
      <w:r>
        <w:rPr>
          <w:b/>
          <w:color w:val="000000" w:themeColor="text1"/>
          <w:sz w:val="26"/>
          <w:szCs w:val="26"/>
          <w14:textFill>
            <w14:solidFill>
              <w14:schemeClr w14:val="tx1"/>
            </w14:solidFill>
          </w14:textFill>
        </w:rPr>
        <w:t>ề</w:t>
      </w:r>
      <w:r>
        <w:rPr>
          <w:b/>
          <w:color w:val="000000" w:themeColor="text1"/>
          <w:sz w:val="26"/>
          <w:szCs w:val="26"/>
          <w:lang w:val="vi-VN"/>
          <w14:textFill>
            <w14:solidFill>
              <w14:schemeClr w14:val="tx1"/>
            </w14:solidFill>
          </w14:textFill>
        </w:rPr>
        <w:t xml:space="preserve"> xây thô đối với </w:t>
      </w:r>
      <w:r>
        <w:rPr>
          <w:b/>
          <w:color w:val="000000" w:themeColor="text1"/>
          <w:sz w:val="26"/>
          <w:szCs w:val="26"/>
          <w14:textFill>
            <w14:solidFill>
              <w14:schemeClr w14:val="tx1"/>
            </w14:solidFill>
          </w14:textFill>
        </w:rPr>
        <w:t xml:space="preserve">120 </w:t>
      </w:r>
      <w:r>
        <w:rPr>
          <w:b/>
          <w:color w:val="000000" w:themeColor="text1"/>
          <w:sz w:val="26"/>
          <w:szCs w:val="26"/>
          <w:lang w:val="vi-VN"/>
          <w14:textFill>
            <w14:solidFill>
              <w14:schemeClr w14:val="tx1"/>
            </w14:solidFill>
          </w14:textFill>
        </w:rPr>
        <w:t xml:space="preserve">căn, </w:t>
      </w:r>
      <w:r>
        <w:rPr>
          <w:b/>
          <w:color w:val="000000" w:themeColor="text1"/>
          <w:sz w:val="26"/>
          <w:szCs w:val="26"/>
          <w14:textFill>
            <w14:solidFill>
              <w14:schemeClr w14:val="tx1"/>
            </w14:solidFill>
          </w14:textFill>
        </w:rPr>
        <w:t xml:space="preserve">tầng </w:t>
      </w:r>
      <w:r>
        <w:rPr>
          <w:b/>
          <w:color w:val="000000" w:themeColor="text1"/>
          <w:sz w:val="26"/>
          <w:szCs w:val="26"/>
          <w:lang w:val="vi-VN"/>
          <w14:textFill>
            <w14:solidFill>
              <w14:schemeClr w14:val="tx1"/>
            </w14:solidFill>
          </w14:textFill>
        </w:rPr>
        <w:t>cao</w:t>
      </w:r>
      <w:r>
        <w:rPr>
          <w:b/>
          <w:color w:val="000000" w:themeColor="text1"/>
          <w:sz w:val="26"/>
          <w:szCs w:val="26"/>
          <w14:textFill>
            <w14:solidFill>
              <w14:schemeClr w14:val="tx1"/>
            </w14:solidFill>
          </w14:textFill>
        </w:rPr>
        <w:t xml:space="preserve"> tối đa</w:t>
      </w:r>
      <w:r>
        <w:rPr>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5</w:t>
      </w:r>
      <w:r>
        <w:rPr>
          <w:b/>
          <w:color w:val="000000" w:themeColor="text1"/>
          <w:sz w:val="26"/>
          <w:szCs w:val="26"/>
          <w:lang w:val="vi-VN"/>
          <w14:textFill>
            <w14:solidFill>
              <w14:schemeClr w14:val="tx1"/>
            </w14:solidFill>
          </w14:textFill>
        </w:rPr>
        <w:t xml:space="preserve"> tầng</w:t>
      </w:r>
      <w:r>
        <w:rPr>
          <w:b/>
          <w:color w:val="000000" w:themeColor="text1"/>
          <w:sz w:val="26"/>
          <w:szCs w:val="26"/>
          <w14:textFill>
            <w14:solidFill>
              <w14:schemeClr w14:val="tx1"/>
            </w14:solidFill>
          </w14:textFill>
        </w:rPr>
        <w:t xml:space="preserve"> :</w:t>
      </w:r>
    </w:p>
    <w:p w14:paraId="5F5E6EA3">
      <w:pPr>
        <w:widowControl w:val="0"/>
        <w:spacing w:before="120" w:after="120" w:line="340" w:lineRule="exact"/>
        <w:ind w:firstLine="567"/>
        <w:jc w:val="both"/>
        <w:rPr>
          <w:rFonts w:eastAsia="SimSun"/>
          <w:sz w:val="26"/>
          <w:szCs w:val="26"/>
          <w:lang w:val="nl-NL"/>
        </w:rPr>
      </w:pPr>
      <w:r>
        <w:rPr>
          <w:rFonts w:eastAsia="SimSun"/>
          <w:sz w:val="26"/>
          <w:szCs w:val="26"/>
          <w:lang w:val="nl-NL"/>
        </w:rPr>
        <w:t>Căn cứ điểm b) khoản 2 Điều 6 Nghị định 71/2024/NĐ-CP, việc xác định giá bán nhà được thực hiện trên cơ sở khảo sát thu thập thông tin về giá bán nhà ở, tuy nhiên, qua khảo sát thực tế trên địa bàn huyện Chi Lăng, thành phố Lạng Sơn và các huyện lân cận thì loại hình giao dịch đối với phân khúc nhà xây thô hoàn thiện mặt ngoài không phổ biến, hoặc chưa đủ điều kiện chuyển nhượng, trong giá chuyển nhượng không tách rõ giá trị giao dịch đối với công trình nhà gắn liền với đất, công trình nhà xây thô hoàn thiện mặt ngoài có chiều cao công trình, thời gian sử dụng còn lại của công trình, mẫu nhà không giống nhau…Vì vậy việc xác giá bán nhà xây thô dựa trên việc khảo sát thực tế rất khó khăn và thiếu cơ sở pháp lý. Tỉnh Lạng Sơn, không có quy định, hướng dẫn riêng cho việc ước tính doanh thu bán nhà, công trình gắn liền với đất.</w:t>
      </w:r>
    </w:p>
    <w:p w14:paraId="16DAC602">
      <w:pPr>
        <w:widowControl w:val="0"/>
        <w:spacing w:before="120" w:after="120" w:line="340" w:lineRule="exact"/>
        <w:ind w:firstLine="567"/>
        <w:jc w:val="both"/>
        <w:rPr>
          <w:rFonts w:eastAsia="SimSun"/>
          <w:sz w:val="26"/>
          <w:szCs w:val="26"/>
          <w:lang w:val="nl-NL"/>
        </w:rPr>
      </w:pPr>
      <w:r>
        <w:rPr>
          <w:rFonts w:eastAsia="SimSun"/>
          <w:sz w:val="26"/>
          <w:szCs w:val="26"/>
          <w:lang w:val="nl-NL"/>
        </w:rPr>
        <w:t>Do đó đơn vị tư vấn căn cứ vào đơn giá xây dựng nhà xây thô, hoàn thiện mặt ngoài để xác định giá bán nhà ước tính, và tính thêm chi phí kinh doanh vào giá bán. Về chi phí lãi vay, lợi nhuận của nhà đầu tư có tính đến vốn chủ sở hữu, rủi ro trong kinh doanh, đơn vị tư vấn đang hiểu đây là khoản mà nhà đầu tư được hưởng nhằm bù đắp chi phí lãi vay khi vay vốn thực hiện dự án theo quy định, và là chi phí bảo đảm rủi ro trong kinh doanh, cũng như phần lợi nhuận mà nhà đầu tư được hưởng khi thực hiện đầu tư xây dựng dự án. Dự án khu dân cư, khu đô thị càng kéo dài thì rủi ro trong kinh doanh cũng như chi phí lãi vay càng lớn, chi phí thực hiện dự án càng tăng cao, phát sinh chi phí, đồng nghĩa lợi nhuận sẽ giảm. Tỉnh Lạng Sơn là tỉnh miền núi, kinh tế mới đang trong quá  trình phát triển, thu hút đầu tư, thị trường bất động sản còn đang trong quá trình hình thành và phát triển, chưa thực sự thu hút nhà đầu tư từ Hà Nội cũng như các địa phương khác đến để đầu tư mua bán thiết lập thị trường. Đối với phân khúc đất có gắn liền nhà xây thô chưa thực sự thu hút nhà đầu tư thứ cấp cũng như khách hàng buôn bán lẻ, người dân mua để ở. Xét yếu tố thanh khoản có phần kém hơn các ô đất nền cùng vị trí, do giá trị nhà cộng vào cùng giá trị đất do đó giá trị giao dịch sẽ cao. Quan điểm dân cư nông thôn hoặc đô thị miền núi chưa thực sự ưa chuộng nhà xây sẵn vì lo ngại chất lượng công trình, mẫu nhà không được theo ý muốn cá nhân, nhiều người muốn mua đất nền để tích luỹ chứ chưa có nhu cầu xây dựng.... Người đầu tư chưa thực sự muốn đầu tư phân khúc nhà có sẵn vì liên quan yếu tố thanh khoản, lượng tiền đầu tư cao, khi chưa giao dịch được thì công trình nhà sẽ xuống cấp theo thời gian…. Dự án Khu đô thị phía Đông Nam, thị trấn Đồng Mỏ, huyện Chi Lăng, tỉnh Lạng Sơn (nay là xã Chi Lăng, tỉnh Lạng Sơn) chủ đầu tư phải thực hiện xây thô hoàn thiện mặt tiền toàn bộ 120 căn gồm nhà liền kề đảm bảo theo quy định pháp luật hiện hành, do vậy tổng mức đầu tư rất lớn, chi phí lãi vay cao, rủi ro trong kinh doanh lớn, yếu tố thanh khoản bị ảnh hưởng, có thể sẽ chậm hơn phân khúc đất nền. Do đó khi xác định giá bán công trình nhà xây thô hoàn thiện mặt tiền đơn vị tư vấn đề xuất không xác định loại chi phí này vào giá bán nhà xây thô hoàn thiện mặt tiền.</w:t>
      </w:r>
    </w:p>
    <w:p w14:paraId="70146C66">
      <w:pPr>
        <w:widowControl w:val="0"/>
        <w:spacing w:before="120" w:after="120" w:line="340" w:lineRule="exact"/>
        <w:ind w:firstLine="567"/>
        <w:jc w:val="both"/>
        <w:rPr>
          <w:rFonts w:eastAsia="SimSun"/>
          <w:sz w:val="26"/>
          <w:szCs w:val="26"/>
          <w:lang w:val="nl-NL"/>
        </w:rPr>
      </w:pPr>
      <w:r>
        <w:rPr>
          <w:rFonts w:eastAsia="SimSun"/>
          <w:sz w:val="26"/>
          <w:szCs w:val="26"/>
          <w:lang w:val="nl-NL"/>
        </w:rPr>
        <w:t>Xác định giá bán công trình nhà xây thô hoàn thiện mặt tiền = chi phí xây thô + chi phí quảng cáo, bán hàng. Trong đó chi phí quảng cáo bán hàng = 1% doanh thu;</w:t>
      </w:r>
    </w:p>
    <w:p w14:paraId="3DDF7268">
      <w:pPr>
        <w:widowControl w:val="0"/>
        <w:spacing w:before="120" w:after="120" w:line="340" w:lineRule="exact"/>
        <w:jc w:val="center"/>
        <w:rPr>
          <w:rFonts w:eastAsia="SimSun"/>
          <w:lang w:val="nl-NL"/>
        </w:rPr>
      </w:pPr>
      <w:r>
        <w:rPr>
          <w:rFonts w:eastAsia="Tahoma"/>
          <w:b/>
          <w:bCs/>
          <w:color w:val="000000" w:themeColor="text1"/>
          <w:spacing w:val="-2"/>
          <w14:textFill>
            <w14:solidFill>
              <w14:schemeClr w14:val="tx1"/>
            </w14:solidFill>
          </w14:textFill>
        </w:rPr>
        <w:t>BẢNG THÔNG SỐ CÁC LÔ XÂY THÔ KÈM THEO DỰ TOÁN ĐƯỢC THẨM TRA</w:t>
      </w:r>
    </w:p>
    <w:tbl>
      <w:tblPr>
        <w:tblStyle w:val="9"/>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962"/>
        <w:gridCol w:w="2575"/>
        <w:gridCol w:w="1346"/>
        <w:gridCol w:w="1567"/>
        <w:gridCol w:w="1805"/>
      </w:tblGrid>
      <w:tr w14:paraId="7283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Align w:val="center"/>
          </w:tcPr>
          <w:p w14:paraId="4EB144B4">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TÊN MẪU</w:t>
            </w:r>
          </w:p>
        </w:tc>
        <w:tc>
          <w:tcPr>
            <w:tcW w:w="510" w:type="pct"/>
            <w:vAlign w:val="center"/>
          </w:tcPr>
          <w:p w14:paraId="01A58B0E">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SỐ TẦNG</w:t>
            </w:r>
          </w:p>
        </w:tc>
        <w:tc>
          <w:tcPr>
            <w:tcW w:w="2077" w:type="pct"/>
            <w:gridSpan w:val="2"/>
            <w:vAlign w:val="center"/>
          </w:tcPr>
          <w:p w14:paraId="46D44D82">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(M²)</w:t>
            </w:r>
          </w:p>
        </w:tc>
        <w:tc>
          <w:tcPr>
            <w:tcW w:w="830" w:type="pct"/>
            <w:vAlign w:val="center"/>
          </w:tcPr>
          <w:p w14:paraId="59AE619F">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SỐ MẪU</w:t>
            </w:r>
          </w:p>
        </w:tc>
        <w:tc>
          <w:tcPr>
            <w:tcW w:w="957" w:type="pct"/>
            <w:vAlign w:val="center"/>
          </w:tcPr>
          <w:p w14:paraId="11E3FD90">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M2 XÂY DỰNG</w:t>
            </w:r>
          </w:p>
        </w:tc>
      </w:tr>
      <w:tr w14:paraId="5678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2C781821">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ĐH1</w:t>
            </w:r>
          </w:p>
        </w:tc>
        <w:tc>
          <w:tcPr>
            <w:tcW w:w="510" w:type="pct"/>
            <w:vMerge w:val="restart"/>
            <w:vAlign w:val="center"/>
          </w:tcPr>
          <w:p w14:paraId="16426410">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w:t>
            </w:r>
          </w:p>
        </w:tc>
        <w:tc>
          <w:tcPr>
            <w:tcW w:w="1364" w:type="pct"/>
            <w:vAlign w:val="center"/>
          </w:tcPr>
          <w:p w14:paraId="0C056486">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45EE30B0">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78,338</w:t>
            </w:r>
          </w:p>
        </w:tc>
        <w:tc>
          <w:tcPr>
            <w:tcW w:w="830" w:type="pct"/>
            <w:vMerge w:val="restart"/>
            <w:vAlign w:val="center"/>
          </w:tcPr>
          <w:p w14:paraId="5DCE98C4">
            <w:pPr>
              <w:jc w:val="center"/>
              <w:rPr>
                <w:color w:val="000000" w:themeColor="text1"/>
                <w14:textFill>
                  <w14:solidFill>
                    <w14:schemeClr w14:val="tx1"/>
                  </w14:solidFill>
                </w14:textFill>
              </w:rPr>
            </w:pPr>
            <w:r>
              <w:rPr>
                <w:color w:val="000000" w:themeColor="text1"/>
                <w14:textFill>
                  <w14:solidFill>
                    <w14:schemeClr w14:val="tx1"/>
                  </w14:solidFill>
                </w14:textFill>
              </w:rPr>
              <w:t>51</w:t>
            </w:r>
          </w:p>
        </w:tc>
        <w:tc>
          <w:tcPr>
            <w:tcW w:w="957" w:type="pct"/>
            <w:vMerge w:val="restart"/>
            <w:vAlign w:val="center"/>
          </w:tcPr>
          <w:p w14:paraId="59C78652">
            <w:pPr>
              <w:jc w:val="center"/>
              <w:rPr>
                <w:color w:val="000000" w:themeColor="text1"/>
                <w14:textFill>
                  <w14:solidFill>
                    <w14:schemeClr w14:val="tx1"/>
                  </w14:solidFill>
                </w14:textFill>
              </w:rPr>
            </w:pPr>
            <w:r>
              <w:rPr>
                <w:color w:val="000000" w:themeColor="text1"/>
                <w14:textFill>
                  <w14:solidFill>
                    <w14:schemeClr w14:val="tx1"/>
                  </w14:solidFill>
                </w14:textFill>
              </w:rPr>
              <w:t>16.003,800</w:t>
            </w:r>
          </w:p>
        </w:tc>
      </w:tr>
      <w:tr w14:paraId="54BC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7633E675">
            <w:pPr>
              <w:jc w:val="center"/>
              <w:rPr>
                <w:b/>
                <w:bCs/>
                <w:color w:val="000000" w:themeColor="text1"/>
                <w14:textFill>
                  <w14:solidFill>
                    <w14:schemeClr w14:val="tx1"/>
                  </w14:solidFill>
                </w14:textFill>
              </w:rPr>
            </w:pPr>
          </w:p>
        </w:tc>
        <w:tc>
          <w:tcPr>
            <w:tcW w:w="510" w:type="pct"/>
            <w:vMerge w:val="continue"/>
            <w:vAlign w:val="center"/>
          </w:tcPr>
          <w:p w14:paraId="401D0267">
            <w:pPr>
              <w:jc w:val="center"/>
              <w:rPr>
                <w:b/>
                <w:bCs/>
                <w:color w:val="000000" w:themeColor="text1"/>
                <w14:textFill>
                  <w14:solidFill>
                    <w14:schemeClr w14:val="tx1"/>
                  </w14:solidFill>
                </w14:textFill>
              </w:rPr>
            </w:pPr>
          </w:p>
        </w:tc>
        <w:tc>
          <w:tcPr>
            <w:tcW w:w="1364" w:type="pct"/>
            <w:vAlign w:val="center"/>
          </w:tcPr>
          <w:p w14:paraId="33F1F279">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63EFE99E">
            <w:pPr>
              <w:jc w:val="center"/>
              <w:rPr>
                <w:color w:val="000000" w:themeColor="text1"/>
                <w14:textFill>
                  <w14:solidFill>
                    <w14:schemeClr w14:val="tx1"/>
                  </w14:solidFill>
                </w14:textFill>
              </w:rPr>
            </w:pPr>
            <w:r>
              <w:rPr>
                <w:color w:val="000000" w:themeColor="text1"/>
                <w14:textFill>
                  <w14:solidFill>
                    <w14:schemeClr w14:val="tx1"/>
                  </w14:solidFill>
                </w14:textFill>
              </w:rPr>
              <w:t>83,93</w:t>
            </w:r>
          </w:p>
        </w:tc>
        <w:tc>
          <w:tcPr>
            <w:tcW w:w="830" w:type="pct"/>
            <w:vMerge w:val="continue"/>
            <w:vAlign w:val="center"/>
          </w:tcPr>
          <w:p w14:paraId="05E22E31">
            <w:pPr>
              <w:jc w:val="center"/>
              <w:rPr>
                <w:color w:val="000000" w:themeColor="text1"/>
                <w14:textFill>
                  <w14:solidFill>
                    <w14:schemeClr w14:val="tx1"/>
                  </w14:solidFill>
                </w14:textFill>
              </w:rPr>
            </w:pPr>
          </w:p>
        </w:tc>
        <w:tc>
          <w:tcPr>
            <w:tcW w:w="957" w:type="pct"/>
            <w:vMerge w:val="continue"/>
            <w:vAlign w:val="center"/>
          </w:tcPr>
          <w:p w14:paraId="5112AE78">
            <w:pPr>
              <w:jc w:val="center"/>
              <w:rPr>
                <w:color w:val="000000" w:themeColor="text1"/>
                <w14:textFill>
                  <w14:solidFill>
                    <w14:schemeClr w14:val="tx1"/>
                  </w14:solidFill>
                </w14:textFill>
              </w:rPr>
            </w:pPr>
          </w:p>
        </w:tc>
      </w:tr>
      <w:tr w14:paraId="2583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4E2EE610">
            <w:pPr>
              <w:jc w:val="center"/>
              <w:rPr>
                <w:b/>
                <w:bCs/>
                <w:color w:val="000000" w:themeColor="text1"/>
                <w14:textFill>
                  <w14:solidFill>
                    <w14:schemeClr w14:val="tx1"/>
                  </w14:solidFill>
                </w14:textFill>
              </w:rPr>
            </w:pPr>
          </w:p>
        </w:tc>
        <w:tc>
          <w:tcPr>
            <w:tcW w:w="510" w:type="pct"/>
            <w:vMerge w:val="continue"/>
            <w:vAlign w:val="center"/>
          </w:tcPr>
          <w:p w14:paraId="783CD717">
            <w:pPr>
              <w:jc w:val="center"/>
              <w:rPr>
                <w:b/>
                <w:bCs/>
                <w:color w:val="000000" w:themeColor="text1"/>
                <w14:textFill>
                  <w14:solidFill>
                    <w14:schemeClr w14:val="tx1"/>
                  </w14:solidFill>
                </w14:textFill>
              </w:rPr>
            </w:pPr>
          </w:p>
        </w:tc>
        <w:tc>
          <w:tcPr>
            <w:tcW w:w="1364" w:type="pct"/>
            <w:vAlign w:val="center"/>
          </w:tcPr>
          <w:p w14:paraId="5114810B">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1AA76E39">
            <w:pPr>
              <w:jc w:val="center"/>
              <w:rPr>
                <w:color w:val="000000" w:themeColor="text1"/>
                <w14:textFill>
                  <w14:solidFill>
                    <w14:schemeClr w14:val="tx1"/>
                  </w14:solidFill>
                </w14:textFill>
              </w:rPr>
            </w:pPr>
            <w:r>
              <w:rPr>
                <w:color w:val="000000" w:themeColor="text1"/>
                <w14:textFill>
                  <w14:solidFill>
                    <w14:schemeClr w14:val="tx1"/>
                  </w14:solidFill>
                </w14:textFill>
              </w:rPr>
              <w:t>82,72</w:t>
            </w:r>
          </w:p>
        </w:tc>
        <w:tc>
          <w:tcPr>
            <w:tcW w:w="830" w:type="pct"/>
            <w:vMerge w:val="continue"/>
            <w:vAlign w:val="center"/>
          </w:tcPr>
          <w:p w14:paraId="243C316A">
            <w:pPr>
              <w:jc w:val="center"/>
              <w:rPr>
                <w:color w:val="000000" w:themeColor="text1"/>
                <w14:textFill>
                  <w14:solidFill>
                    <w14:schemeClr w14:val="tx1"/>
                  </w14:solidFill>
                </w14:textFill>
              </w:rPr>
            </w:pPr>
          </w:p>
        </w:tc>
        <w:tc>
          <w:tcPr>
            <w:tcW w:w="957" w:type="pct"/>
            <w:vMerge w:val="continue"/>
            <w:vAlign w:val="center"/>
          </w:tcPr>
          <w:p w14:paraId="34406588">
            <w:pPr>
              <w:jc w:val="center"/>
              <w:rPr>
                <w:color w:val="000000" w:themeColor="text1"/>
                <w14:textFill>
                  <w14:solidFill>
                    <w14:schemeClr w14:val="tx1"/>
                  </w14:solidFill>
                </w14:textFill>
              </w:rPr>
            </w:pPr>
          </w:p>
        </w:tc>
      </w:tr>
      <w:tr w14:paraId="4B4C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50D46104">
            <w:pPr>
              <w:jc w:val="center"/>
              <w:rPr>
                <w:b/>
                <w:bCs/>
                <w:color w:val="000000" w:themeColor="text1"/>
                <w14:textFill>
                  <w14:solidFill>
                    <w14:schemeClr w14:val="tx1"/>
                  </w14:solidFill>
                </w14:textFill>
              </w:rPr>
            </w:pPr>
          </w:p>
        </w:tc>
        <w:tc>
          <w:tcPr>
            <w:tcW w:w="510" w:type="pct"/>
            <w:vMerge w:val="continue"/>
            <w:vAlign w:val="center"/>
          </w:tcPr>
          <w:p w14:paraId="7E9AB16A">
            <w:pPr>
              <w:jc w:val="center"/>
              <w:rPr>
                <w:b/>
                <w:bCs/>
                <w:color w:val="000000" w:themeColor="text1"/>
                <w14:textFill>
                  <w14:solidFill>
                    <w14:schemeClr w14:val="tx1"/>
                  </w14:solidFill>
                </w14:textFill>
              </w:rPr>
            </w:pPr>
          </w:p>
        </w:tc>
        <w:tc>
          <w:tcPr>
            <w:tcW w:w="1364" w:type="pct"/>
            <w:vAlign w:val="center"/>
          </w:tcPr>
          <w:p w14:paraId="0F951CFB">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 (áp mái)</w:t>
            </w:r>
          </w:p>
        </w:tc>
        <w:tc>
          <w:tcPr>
            <w:tcW w:w="712" w:type="pct"/>
            <w:vAlign w:val="center"/>
          </w:tcPr>
          <w:p w14:paraId="66858B32">
            <w:pPr>
              <w:jc w:val="center"/>
              <w:rPr>
                <w:color w:val="000000" w:themeColor="text1"/>
                <w14:textFill>
                  <w14:solidFill>
                    <w14:schemeClr w14:val="tx1"/>
                  </w14:solidFill>
                </w14:textFill>
              </w:rPr>
            </w:pPr>
            <w:r>
              <w:rPr>
                <w:color w:val="000000" w:themeColor="text1"/>
                <w14:textFill>
                  <w14:solidFill>
                    <w14:schemeClr w14:val="tx1"/>
                  </w14:solidFill>
                </w14:textFill>
              </w:rPr>
              <w:t>85,98</w:t>
            </w:r>
          </w:p>
        </w:tc>
        <w:tc>
          <w:tcPr>
            <w:tcW w:w="830" w:type="pct"/>
            <w:vMerge w:val="continue"/>
            <w:vAlign w:val="center"/>
          </w:tcPr>
          <w:p w14:paraId="2C39D7FB">
            <w:pPr>
              <w:jc w:val="center"/>
              <w:rPr>
                <w:color w:val="000000" w:themeColor="text1"/>
                <w14:textFill>
                  <w14:solidFill>
                    <w14:schemeClr w14:val="tx1"/>
                  </w14:solidFill>
                </w14:textFill>
              </w:rPr>
            </w:pPr>
          </w:p>
        </w:tc>
        <w:tc>
          <w:tcPr>
            <w:tcW w:w="957" w:type="pct"/>
            <w:vMerge w:val="continue"/>
            <w:vAlign w:val="center"/>
          </w:tcPr>
          <w:p w14:paraId="421F715B">
            <w:pPr>
              <w:jc w:val="center"/>
              <w:rPr>
                <w:color w:val="000000" w:themeColor="text1"/>
                <w14:textFill>
                  <w14:solidFill>
                    <w14:schemeClr w14:val="tx1"/>
                  </w14:solidFill>
                </w14:textFill>
              </w:rPr>
            </w:pPr>
          </w:p>
        </w:tc>
      </w:tr>
      <w:tr w14:paraId="26F9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4FFA4941">
            <w:pPr>
              <w:jc w:val="center"/>
              <w:rPr>
                <w:b/>
                <w:bCs/>
                <w:color w:val="000000" w:themeColor="text1"/>
                <w14:textFill>
                  <w14:solidFill>
                    <w14:schemeClr w14:val="tx1"/>
                  </w14:solidFill>
                </w14:textFill>
              </w:rPr>
            </w:pPr>
          </w:p>
        </w:tc>
        <w:tc>
          <w:tcPr>
            <w:tcW w:w="510" w:type="pct"/>
            <w:vMerge w:val="continue"/>
            <w:vAlign w:val="center"/>
          </w:tcPr>
          <w:p w14:paraId="4FD92D4F">
            <w:pPr>
              <w:jc w:val="center"/>
              <w:rPr>
                <w:b/>
                <w:bCs/>
                <w:color w:val="000000" w:themeColor="text1"/>
                <w14:textFill>
                  <w14:solidFill>
                    <w14:schemeClr w14:val="tx1"/>
                  </w14:solidFill>
                </w14:textFill>
              </w:rPr>
            </w:pPr>
          </w:p>
        </w:tc>
        <w:tc>
          <w:tcPr>
            <w:tcW w:w="1364" w:type="pct"/>
            <w:vAlign w:val="center"/>
          </w:tcPr>
          <w:p w14:paraId="59AC22B7">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3BBC995A">
            <w:pPr>
              <w:jc w:val="center"/>
              <w:rPr>
                <w:color w:val="000000" w:themeColor="text1"/>
                <w14:textFill>
                  <w14:solidFill>
                    <w14:schemeClr w14:val="tx1"/>
                  </w14:solidFill>
                </w14:textFill>
              </w:rPr>
            </w:pPr>
            <w:r>
              <w:rPr>
                <w:color w:val="000000" w:themeColor="text1"/>
                <w14:textFill>
                  <w14:solidFill>
                    <w14:schemeClr w14:val="tx1"/>
                  </w14:solidFill>
                </w14:textFill>
              </w:rPr>
              <w:t>61,17</w:t>
            </w:r>
          </w:p>
        </w:tc>
        <w:tc>
          <w:tcPr>
            <w:tcW w:w="830" w:type="pct"/>
            <w:vMerge w:val="continue"/>
            <w:vAlign w:val="center"/>
          </w:tcPr>
          <w:p w14:paraId="4D53E77D">
            <w:pPr>
              <w:jc w:val="center"/>
              <w:rPr>
                <w:color w:val="000000" w:themeColor="text1"/>
                <w14:textFill>
                  <w14:solidFill>
                    <w14:schemeClr w14:val="tx1"/>
                  </w14:solidFill>
                </w14:textFill>
              </w:rPr>
            </w:pPr>
          </w:p>
        </w:tc>
        <w:tc>
          <w:tcPr>
            <w:tcW w:w="957" w:type="pct"/>
            <w:vMerge w:val="continue"/>
            <w:vAlign w:val="center"/>
          </w:tcPr>
          <w:p w14:paraId="26E47F6D">
            <w:pPr>
              <w:jc w:val="center"/>
              <w:rPr>
                <w:color w:val="000000" w:themeColor="text1"/>
                <w14:textFill>
                  <w14:solidFill>
                    <w14:schemeClr w14:val="tx1"/>
                  </w14:solidFill>
                </w14:textFill>
              </w:rPr>
            </w:pPr>
          </w:p>
        </w:tc>
      </w:tr>
      <w:tr w14:paraId="7A3D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44A5F254">
            <w:pPr>
              <w:jc w:val="center"/>
              <w:rPr>
                <w:b/>
                <w:bCs/>
                <w:color w:val="000000" w:themeColor="text1"/>
                <w14:textFill>
                  <w14:solidFill>
                    <w14:schemeClr w14:val="tx1"/>
                  </w14:solidFill>
                </w14:textFill>
              </w:rPr>
            </w:pPr>
          </w:p>
        </w:tc>
        <w:tc>
          <w:tcPr>
            <w:tcW w:w="510" w:type="pct"/>
            <w:vMerge w:val="continue"/>
            <w:vAlign w:val="center"/>
          </w:tcPr>
          <w:p w14:paraId="2D4E4A9F">
            <w:pPr>
              <w:jc w:val="center"/>
              <w:rPr>
                <w:b/>
                <w:bCs/>
                <w:color w:val="000000" w:themeColor="text1"/>
                <w14:textFill>
                  <w14:solidFill>
                    <w14:schemeClr w14:val="tx1"/>
                  </w14:solidFill>
                </w14:textFill>
              </w:rPr>
            </w:pPr>
          </w:p>
        </w:tc>
        <w:tc>
          <w:tcPr>
            <w:tcW w:w="1364" w:type="pct"/>
            <w:vAlign w:val="center"/>
          </w:tcPr>
          <w:p w14:paraId="2F9181E4">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7C30D048">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313,8</w:t>
            </w:r>
          </w:p>
        </w:tc>
        <w:tc>
          <w:tcPr>
            <w:tcW w:w="830" w:type="pct"/>
            <w:vMerge w:val="continue"/>
            <w:vAlign w:val="center"/>
          </w:tcPr>
          <w:p w14:paraId="77B34CCB">
            <w:pPr>
              <w:jc w:val="center"/>
              <w:rPr>
                <w:color w:val="000000" w:themeColor="text1"/>
                <w14:textFill>
                  <w14:solidFill>
                    <w14:schemeClr w14:val="tx1"/>
                  </w14:solidFill>
                </w14:textFill>
              </w:rPr>
            </w:pPr>
          </w:p>
        </w:tc>
        <w:tc>
          <w:tcPr>
            <w:tcW w:w="957" w:type="pct"/>
            <w:vMerge w:val="continue"/>
            <w:vAlign w:val="center"/>
          </w:tcPr>
          <w:p w14:paraId="349604A7">
            <w:pPr>
              <w:jc w:val="center"/>
              <w:rPr>
                <w:color w:val="000000" w:themeColor="text1"/>
                <w14:textFill>
                  <w14:solidFill>
                    <w14:schemeClr w14:val="tx1"/>
                  </w14:solidFill>
                </w14:textFill>
              </w:rPr>
            </w:pPr>
          </w:p>
        </w:tc>
      </w:tr>
      <w:tr w14:paraId="737A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1CB4DE5A">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LG1</w:t>
            </w:r>
          </w:p>
        </w:tc>
        <w:tc>
          <w:tcPr>
            <w:tcW w:w="510" w:type="pct"/>
            <w:vMerge w:val="restart"/>
            <w:vAlign w:val="center"/>
          </w:tcPr>
          <w:p w14:paraId="61C2DC77">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w:t>
            </w:r>
          </w:p>
        </w:tc>
        <w:tc>
          <w:tcPr>
            <w:tcW w:w="1364" w:type="pct"/>
            <w:vAlign w:val="center"/>
          </w:tcPr>
          <w:p w14:paraId="0B909CCC">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45DBF03D">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123,429</w:t>
            </w:r>
          </w:p>
        </w:tc>
        <w:tc>
          <w:tcPr>
            <w:tcW w:w="830" w:type="pct"/>
            <w:vMerge w:val="restart"/>
            <w:vAlign w:val="center"/>
          </w:tcPr>
          <w:p w14:paraId="219C1B7E">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957" w:type="pct"/>
            <w:vMerge w:val="restart"/>
            <w:vAlign w:val="center"/>
          </w:tcPr>
          <w:p w14:paraId="7CD7879D">
            <w:pPr>
              <w:jc w:val="center"/>
              <w:rPr>
                <w:color w:val="000000" w:themeColor="text1"/>
                <w14:textFill>
                  <w14:solidFill>
                    <w14:schemeClr w14:val="tx1"/>
                  </w14:solidFill>
                </w14:textFill>
              </w:rPr>
            </w:pPr>
            <w:r>
              <w:rPr>
                <w:color w:val="000000" w:themeColor="text1"/>
                <w14:textFill>
                  <w14:solidFill>
                    <w14:schemeClr w14:val="tx1"/>
                  </w14:solidFill>
                </w14:textFill>
              </w:rPr>
              <w:t>2.143,760</w:t>
            </w:r>
          </w:p>
        </w:tc>
      </w:tr>
      <w:tr w14:paraId="607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3D88BFAB">
            <w:pPr>
              <w:jc w:val="center"/>
              <w:rPr>
                <w:b/>
                <w:bCs/>
                <w:color w:val="000000" w:themeColor="text1"/>
                <w14:textFill>
                  <w14:solidFill>
                    <w14:schemeClr w14:val="tx1"/>
                  </w14:solidFill>
                </w14:textFill>
              </w:rPr>
            </w:pPr>
          </w:p>
        </w:tc>
        <w:tc>
          <w:tcPr>
            <w:tcW w:w="510" w:type="pct"/>
            <w:vMerge w:val="continue"/>
            <w:vAlign w:val="center"/>
          </w:tcPr>
          <w:p w14:paraId="422DD05F">
            <w:pPr>
              <w:jc w:val="center"/>
              <w:rPr>
                <w:b/>
                <w:bCs/>
                <w:color w:val="000000" w:themeColor="text1"/>
                <w14:textFill>
                  <w14:solidFill>
                    <w14:schemeClr w14:val="tx1"/>
                  </w14:solidFill>
                </w14:textFill>
              </w:rPr>
            </w:pPr>
          </w:p>
        </w:tc>
        <w:tc>
          <w:tcPr>
            <w:tcW w:w="1364" w:type="pct"/>
            <w:vAlign w:val="center"/>
          </w:tcPr>
          <w:p w14:paraId="729FB0C3">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734D2A63">
            <w:pPr>
              <w:jc w:val="center"/>
              <w:rPr>
                <w:color w:val="000000" w:themeColor="text1"/>
                <w14:textFill>
                  <w14:solidFill>
                    <w14:schemeClr w14:val="tx1"/>
                  </w14:solidFill>
                </w14:textFill>
              </w:rPr>
            </w:pPr>
            <w:r>
              <w:rPr>
                <w:color w:val="000000" w:themeColor="text1"/>
                <w14:textFill>
                  <w14:solidFill>
                    <w14:schemeClr w14:val="tx1"/>
                  </w14:solidFill>
                </w14:textFill>
              </w:rPr>
              <w:t>139,43</w:t>
            </w:r>
          </w:p>
        </w:tc>
        <w:tc>
          <w:tcPr>
            <w:tcW w:w="830" w:type="pct"/>
            <w:vMerge w:val="continue"/>
            <w:vAlign w:val="center"/>
          </w:tcPr>
          <w:p w14:paraId="72601A6A">
            <w:pPr>
              <w:jc w:val="center"/>
              <w:rPr>
                <w:color w:val="000000" w:themeColor="text1"/>
                <w14:textFill>
                  <w14:solidFill>
                    <w14:schemeClr w14:val="tx1"/>
                  </w14:solidFill>
                </w14:textFill>
              </w:rPr>
            </w:pPr>
          </w:p>
        </w:tc>
        <w:tc>
          <w:tcPr>
            <w:tcW w:w="957" w:type="pct"/>
            <w:vMerge w:val="continue"/>
            <w:vAlign w:val="center"/>
          </w:tcPr>
          <w:p w14:paraId="6BE2377C">
            <w:pPr>
              <w:jc w:val="center"/>
              <w:rPr>
                <w:color w:val="000000" w:themeColor="text1"/>
                <w14:textFill>
                  <w14:solidFill>
                    <w14:schemeClr w14:val="tx1"/>
                  </w14:solidFill>
                </w14:textFill>
              </w:rPr>
            </w:pPr>
          </w:p>
        </w:tc>
      </w:tr>
      <w:tr w14:paraId="64C2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659AFC5B">
            <w:pPr>
              <w:jc w:val="center"/>
              <w:rPr>
                <w:b/>
                <w:bCs/>
                <w:color w:val="000000" w:themeColor="text1"/>
                <w14:textFill>
                  <w14:solidFill>
                    <w14:schemeClr w14:val="tx1"/>
                  </w14:solidFill>
                </w14:textFill>
              </w:rPr>
            </w:pPr>
          </w:p>
        </w:tc>
        <w:tc>
          <w:tcPr>
            <w:tcW w:w="510" w:type="pct"/>
            <w:vMerge w:val="continue"/>
            <w:vAlign w:val="center"/>
          </w:tcPr>
          <w:p w14:paraId="05D02DD7">
            <w:pPr>
              <w:jc w:val="center"/>
              <w:rPr>
                <w:b/>
                <w:bCs/>
                <w:color w:val="000000" w:themeColor="text1"/>
                <w14:textFill>
                  <w14:solidFill>
                    <w14:schemeClr w14:val="tx1"/>
                  </w14:solidFill>
                </w14:textFill>
              </w:rPr>
            </w:pPr>
          </w:p>
        </w:tc>
        <w:tc>
          <w:tcPr>
            <w:tcW w:w="1364" w:type="pct"/>
            <w:vAlign w:val="center"/>
          </w:tcPr>
          <w:p w14:paraId="1E7B5179">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7BF1438E">
            <w:pPr>
              <w:jc w:val="center"/>
              <w:rPr>
                <w:color w:val="000000" w:themeColor="text1"/>
                <w14:textFill>
                  <w14:solidFill>
                    <w14:schemeClr w14:val="tx1"/>
                  </w14:solidFill>
                </w14:textFill>
              </w:rPr>
            </w:pPr>
            <w:r>
              <w:rPr>
                <w:color w:val="000000" w:themeColor="text1"/>
                <w14:textFill>
                  <w14:solidFill>
                    <w14:schemeClr w14:val="tx1"/>
                  </w14:solidFill>
                </w14:textFill>
              </w:rPr>
              <w:t>130,63</w:t>
            </w:r>
          </w:p>
        </w:tc>
        <w:tc>
          <w:tcPr>
            <w:tcW w:w="830" w:type="pct"/>
            <w:vMerge w:val="continue"/>
            <w:vAlign w:val="center"/>
          </w:tcPr>
          <w:p w14:paraId="71B98C0E">
            <w:pPr>
              <w:jc w:val="center"/>
              <w:rPr>
                <w:color w:val="000000" w:themeColor="text1"/>
                <w14:textFill>
                  <w14:solidFill>
                    <w14:schemeClr w14:val="tx1"/>
                  </w14:solidFill>
                </w14:textFill>
              </w:rPr>
            </w:pPr>
          </w:p>
        </w:tc>
        <w:tc>
          <w:tcPr>
            <w:tcW w:w="957" w:type="pct"/>
            <w:vMerge w:val="continue"/>
            <w:vAlign w:val="center"/>
          </w:tcPr>
          <w:p w14:paraId="763EDD75">
            <w:pPr>
              <w:jc w:val="center"/>
              <w:rPr>
                <w:color w:val="000000" w:themeColor="text1"/>
                <w14:textFill>
                  <w14:solidFill>
                    <w14:schemeClr w14:val="tx1"/>
                  </w14:solidFill>
                </w14:textFill>
              </w:rPr>
            </w:pPr>
          </w:p>
        </w:tc>
      </w:tr>
      <w:tr w14:paraId="069F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11C1CB1">
            <w:pPr>
              <w:jc w:val="center"/>
              <w:rPr>
                <w:b/>
                <w:bCs/>
                <w:color w:val="000000" w:themeColor="text1"/>
                <w14:textFill>
                  <w14:solidFill>
                    <w14:schemeClr w14:val="tx1"/>
                  </w14:solidFill>
                </w14:textFill>
              </w:rPr>
            </w:pPr>
          </w:p>
        </w:tc>
        <w:tc>
          <w:tcPr>
            <w:tcW w:w="510" w:type="pct"/>
            <w:vMerge w:val="continue"/>
            <w:vAlign w:val="center"/>
          </w:tcPr>
          <w:p w14:paraId="4E857F54">
            <w:pPr>
              <w:jc w:val="center"/>
              <w:rPr>
                <w:b/>
                <w:bCs/>
                <w:color w:val="000000" w:themeColor="text1"/>
                <w14:textFill>
                  <w14:solidFill>
                    <w14:schemeClr w14:val="tx1"/>
                  </w14:solidFill>
                </w14:textFill>
              </w:rPr>
            </w:pPr>
          </w:p>
        </w:tc>
        <w:tc>
          <w:tcPr>
            <w:tcW w:w="1364" w:type="pct"/>
            <w:vAlign w:val="center"/>
          </w:tcPr>
          <w:p w14:paraId="727288DD">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 (áp mái)</w:t>
            </w:r>
          </w:p>
        </w:tc>
        <w:tc>
          <w:tcPr>
            <w:tcW w:w="712" w:type="pct"/>
            <w:vAlign w:val="center"/>
          </w:tcPr>
          <w:p w14:paraId="2EF96DD6">
            <w:pPr>
              <w:jc w:val="center"/>
              <w:rPr>
                <w:color w:val="000000" w:themeColor="text1"/>
                <w14:textFill>
                  <w14:solidFill>
                    <w14:schemeClr w14:val="tx1"/>
                  </w14:solidFill>
                </w14:textFill>
              </w:rPr>
            </w:pPr>
            <w:r>
              <w:rPr>
                <w:color w:val="000000" w:themeColor="text1"/>
                <w14:textFill>
                  <w14:solidFill>
                    <w14:schemeClr w14:val="tx1"/>
                  </w14:solidFill>
                </w14:textFill>
              </w:rPr>
              <w:t>152,5</w:t>
            </w:r>
          </w:p>
        </w:tc>
        <w:tc>
          <w:tcPr>
            <w:tcW w:w="830" w:type="pct"/>
            <w:vMerge w:val="continue"/>
            <w:vAlign w:val="center"/>
          </w:tcPr>
          <w:p w14:paraId="31F785C8">
            <w:pPr>
              <w:jc w:val="center"/>
              <w:rPr>
                <w:color w:val="000000" w:themeColor="text1"/>
                <w14:textFill>
                  <w14:solidFill>
                    <w14:schemeClr w14:val="tx1"/>
                  </w14:solidFill>
                </w14:textFill>
              </w:rPr>
            </w:pPr>
          </w:p>
        </w:tc>
        <w:tc>
          <w:tcPr>
            <w:tcW w:w="957" w:type="pct"/>
            <w:vMerge w:val="continue"/>
            <w:vAlign w:val="center"/>
          </w:tcPr>
          <w:p w14:paraId="7FD417BA">
            <w:pPr>
              <w:jc w:val="center"/>
              <w:rPr>
                <w:color w:val="000000" w:themeColor="text1"/>
                <w14:textFill>
                  <w14:solidFill>
                    <w14:schemeClr w14:val="tx1"/>
                  </w14:solidFill>
                </w14:textFill>
              </w:rPr>
            </w:pPr>
          </w:p>
        </w:tc>
      </w:tr>
      <w:tr w14:paraId="12AD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72B3DD5">
            <w:pPr>
              <w:jc w:val="center"/>
              <w:rPr>
                <w:b/>
                <w:bCs/>
                <w:color w:val="000000" w:themeColor="text1"/>
                <w14:textFill>
                  <w14:solidFill>
                    <w14:schemeClr w14:val="tx1"/>
                  </w14:solidFill>
                </w14:textFill>
              </w:rPr>
            </w:pPr>
          </w:p>
        </w:tc>
        <w:tc>
          <w:tcPr>
            <w:tcW w:w="510" w:type="pct"/>
            <w:vMerge w:val="continue"/>
            <w:vAlign w:val="center"/>
          </w:tcPr>
          <w:p w14:paraId="40EFD51E">
            <w:pPr>
              <w:jc w:val="center"/>
              <w:rPr>
                <w:b/>
                <w:bCs/>
                <w:color w:val="000000" w:themeColor="text1"/>
                <w14:textFill>
                  <w14:solidFill>
                    <w14:schemeClr w14:val="tx1"/>
                  </w14:solidFill>
                </w14:textFill>
              </w:rPr>
            </w:pPr>
          </w:p>
        </w:tc>
        <w:tc>
          <w:tcPr>
            <w:tcW w:w="1364" w:type="pct"/>
            <w:vAlign w:val="center"/>
          </w:tcPr>
          <w:p w14:paraId="4BCFB757">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7AB95D78">
            <w:pPr>
              <w:jc w:val="center"/>
              <w:rPr>
                <w:color w:val="000000" w:themeColor="text1"/>
                <w14:textFill>
                  <w14:solidFill>
                    <w14:schemeClr w14:val="tx1"/>
                  </w14:solidFill>
                </w14:textFill>
              </w:rPr>
            </w:pPr>
            <w:r>
              <w:rPr>
                <w:color w:val="000000" w:themeColor="text1"/>
                <w14:textFill>
                  <w14:solidFill>
                    <w14:schemeClr w14:val="tx1"/>
                  </w14:solidFill>
                </w14:textFill>
              </w:rPr>
              <w:t>113,38</w:t>
            </w:r>
          </w:p>
        </w:tc>
        <w:tc>
          <w:tcPr>
            <w:tcW w:w="830" w:type="pct"/>
            <w:vMerge w:val="continue"/>
            <w:vAlign w:val="center"/>
          </w:tcPr>
          <w:p w14:paraId="3443AEC5">
            <w:pPr>
              <w:jc w:val="center"/>
              <w:rPr>
                <w:color w:val="000000" w:themeColor="text1"/>
                <w14:textFill>
                  <w14:solidFill>
                    <w14:schemeClr w14:val="tx1"/>
                  </w14:solidFill>
                </w14:textFill>
              </w:rPr>
            </w:pPr>
          </w:p>
        </w:tc>
        <w:tc>
          <w:tcPr>
            <w:tcW w:w="957" w:type="pct"/>
            <w:vMerge w:val="continue"/>
            <w:vAlign w:val="center"/>
          </w:tcPr>
          <w:p w14:paraId="23947DE1">
            <w:pPr>
              <w:jc w:val="center"/>
              <w:rPr>
                <w:color w:val="000000" w:themeColor="text1"/>
                <w14:textFill>
                  <w14:solidFill>
                    <w14:schemeClr w14:val="tx1"/>
                  </w14:solidFill>
                </w14:textFill>
              </w:rPr>
            </w:pPr>
          </w:p>
        </w:tc>
      </w:tr>
      <w:tr w14:paraId="53C2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3605C1DD">
            <w:pPr>
              <w:jc w:val="center"/>
              <w:rPr>
                <w:b/>
                <w:bCs/>
                <w:color w:val="000000" w:themeColor="text1"/>
                <w14:textFill>
                  <w14:solidFill>
                    <w14:schemeClr w14:val="tx1"/>
                  </w14:solidFill>
                </w14:textFill>
              </w:rPr>
            </w:pPr>
          </w:p>
        </w:tc>
        <w:tc>
          <w:tcPr>
            <w:tcW w:w="510" w:type="pct"/>
            <w:vMerge w:val="continue"/>
            <w:vAlign w:val="center"/>
          </w:tcPr>
          <w:p w14:paraId="15EB06F7">
            <w:pPr>
              <w:jc w:val="center"/>
              <w:rPr>
                <w:b/>
                <w:bCs/>
                <w:color w:val="000000" w:themeColor="text1"/>
                <w14:textFill>
                  <w14:solidFill>
                    <w14:schemeClr w14:val="tx1"/>
                  </w14:solidFill>
                </w14:textFill>
              </w:rPr>
            </w:pPr>
          </w:p>
        </w:tc>
        <w:tc>
          <w:tcPr>
            <w:tcW w:w="1364" w:type="pct"/>
            <w:vAlign w:val="center"/>
          </w:tcPr>
          <w:p w14:paraId="7476F6BD">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12E495AB">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535,94</w:t>
            </w:r>
          </w:p>
        </w:tc>
        <w:tc>
          <w:tcPr>
            <w:tcW w:w="830" w:type="pct"/>
            <w:vMerge w:val="continue"/>
            <w:vAlign w:val="center"/>
          </w:tcPr>
          <w:p w14:paraId="664E6EE6">
            <w:pPr>
              <w:jc w:val="center"/>
              <w:rPr>
                <w:color w:val="000000" w:themeColor="text1"/>
                <w14:textFill>
                  <w14:solidFill>
                    <w14:schemeClr w14:val="tx1"/>
                  </w14:solidFill>
                </w14:textFill>
              </w:rPr>
            </w:pPr>
          </w:p>
        </w:tc>
        <w:tc>
          <w:tcPr>
            <w:tcW w:w="957" w:type="pct"/>
            <w:vMerge w:val="continue"/>
            <w:vAlign w:val="center"/>
          </w:tcPr>
          <w:p w14:paraId="6A016D15">
            <w:pPr>
              <w:jc w:val="center"/>
              <w:rPr>
                <w:color w:val="000000" w:themeColor="text1"/>
                <w14:textFill>
                  <w14:solidFill>
                    <w14:schemeClr w14:val="tx1"/>
                  </w14:solidFill>
                </w14:textFill>
              </w:rPr>
            </w:pPr>
          </w:p>
        </w:tc>
      </w:tr>
      <w:tr w14:paraId="22A7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6C403B2D">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LG1.1</w:t>
            </w:r>
          </w:p>
        </w:tc>
        <w:tc>
          <w:tcPr>
            <w:tcW w:w="510" w:type="pct"/>
            <w:vMerge w:val="restart"/>
            <w:vAlign w:val="center"/>
          </w:tcPr>
          <w:p w14:paraId="772B1E90">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w:t>
            </w:r>
          </w:p>
        </w:tc>
        <w:tc>
          <w:tcPr>
            <w:tcW w:w="1364" w:type="pct"/>
            <w:vAlign w:val="center"/>
          </w:tcPr>
          <w:p w14:paraId="4C4065D6">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5D8F8F64">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77,6</w:t>
            </w:r>
          </w:p>
        </w:tc>
        <w:tc>
          <w:tcPr>
            <w:tcW w:w="830" w:type="pct"/>
            <w:vMerge w:val="restart"/>
            <w:vAlign w:val="center"/>
          </w:tcPr>
          <w:p w14:paraId="677CE88F">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957" w:type="pct"/>
            <w:vMerge w:val="restart"/>
            <w:vAlign w:val="center"/>
          </w:tcPr>
          <w:p w14:paraId="3DF2B21B">
            <w:pPr>
              <w:jc w:val="center"/>
              <w:rPr>
                <w:color w:val="000000" w:themeColor="text1"/>
                <w14:textFill>
                  <w14:solidFill>
                    <w14:schemeClr w14:val="tx1"/>
                  </w14:solidFill>
                </w14:textFill>
              </w:rPr>
            </w:pPr>
            <w:r>
              <w:rPr>
                <w:color w:val="000000" w:themeColor="text1"/>
                <w14:textFill>
                  <w14:solidFill>
                    <w14:schemeClr w14:val="tx1"/>
                  </w14:solidFill>
                </w14:textFill>
              </w:rPr>
              <w:t>1.776,200</w:t>
            </w:r>
          </w:p>
        </w:tc>
      </w:tr>
      <w:tr w14:paraId="07E9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111F0667">
            <w:pPr>
              <w:jc w:val="center"/>
              <w:rPr>
                <w:b/>
                <w:bCs/>
                <w:color w:val="000000" w:themeColor="text1"/>
                <w14:textFill>
                  <w14:solidFill>
                    <w14:schemeClr w14:val="tx1"/>
                  </w14:solidFill>
                </w14:textFill>
              </w:rPr>
            </w:pPr>
          </w:p>
        </w:tc>
        <w:tc>
          <w:tcPr>
            <w:tcW w:w="510" w:type="pct"/>
            <w:vMerge w:val="continue"/>
            <w:vAlign w:val="center"/>
          </w:tcPr>
          <w:p w14:paraId="6E455769">
            <w:pPr>
              <w:jc w:val="center"/>
              <w:rPr>
                <w:b/>
                <w:bCs/>
                <w:color w:val="000000" w:themeColor="text1"/>
                <w14:textFill>
                  <w14:solidFill>
                    <w14:schemeClr w14:val="tx1"/>
                  </w14:solidFill>
                </w14:textFill>
              </w:rPr>
            </w:pPr>
          </w:p>
        </w:tc>
        <w:tc>
          <w:tcPr>
            <w:tcW w:w="1364" w:type="pct"/>
            <w:vAlign w:val="center"/>
          </w:tcPr>
          <w:p w14:paraId="7537479C">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64C31E3C">
            <w:pPr>
              <w:jc w:val="center"/>
              <w:rPr>
                <w:color w:val="000000" w:themeColor="text1"/>
                <w14:textFill>
                  <w14:solidFill>
                    <w14:schemeClr w14:val="tx1"/>
                  </w14:solidFill>
                </w14:textFill>
              </w:rPr>
            </w:pPr>
            <w:r>
              <w:rPr>
                <w:color w:val="000000" w:themeColor="text1"/>
                <w14:textFill>
                  <w14:solidFill>
                    <w14:schemeClr w14:val="tx1"/>
                  </w14:solidFill>
                </w14:textFill>
              </w:rPr>
              <w:t>89,8</w:t>
            </w:r>
          </w:p>
        </w:tc>
        <w:tc>
          <w:tcPr>
            <w:tcW w:w="830" w:type="pct"/>
            <w:vMerge w:val="continue"/>
            <w:vAlign w:val="center"/>
          </w:tcPr>
          <w:p w14:paraId="2C6BD9A9">
            <w:pPr>
              <w:jc w:val="center"/>
              <w:rPr>
                <w:color w:val="000000" w:themeColor="text1"/>
                <w14:textFill>
                  <w14:solidFill>
                    <w14:schemeClr w14:val="tx1"/>
                  </w14:solidFill>
                </w14:textFill>
              </w:rPr>
            </w:pPr>
          </w:p>
        </w:tc>
        <w:tc>
          <w:tcPr>
            <w:tcW w:w="957" w:type="pct"/>
            <w:vMerge w:val="continue"/>
            <w:vAlign w:val="center"/>
          </w:tcPr>
          <w:p w14:paraId="4089F785">
            <w:pPr>
              <w:jc w:val="center"/>
              <w:rPr>
                <w:color w:val="000000" w:themeColor="text1"/>
                <w14:textFill>
                  <w14:solidFill>
                    <w14:schemeClr w14:val="tx1"/>
                  </w14:solidFill>
                </w14:textFill>
              </w:rPr>
            </w:pPr>
          </w:p>
        </w:tc>
      </w:tr>
      <w:tr w14:paraId="65B0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345739F">
            <w:pPr>
              <w:jc w:val="center"/>
              <w:rPr>
                <w:b/>
                <w:bCs/>
                <w:color w:val="000000" w:themeColor="text1"/>
                <w14:textFill>
                  <w14:solidFill>
                    <w14:schemeClr w14:val="tx1"/>
                  </w14:solidFill>
                </w14:textFill>
              </w:rPr>
            </w:pPr>
          </w:p>
        </w:tc>
        <w:tc>
          <w:tcPr>
            <w:tcW w:w="510" w:type="pct"/>
            <w:vMerge w:val="continue"/>
            <w:vAlign w:val="center"/>
          </w:tcPr>
          <w:p w14:paraId="3A7159C7">
            <w:pPr>
              <w:jc w:val="center"/>
              <w:rPr>
                <w:b/>
                <w:bCs/>
                <w:color w:val="000000" w:themeColor="text1"/>
                <w14:textFill>
                  <w14:solidFill>
                    <w14:schemeClr w14:val="tx1"/>
                  </w14:solidFill>
                </w14:textFill>
              </w:rPr>
            </w:pPr>
          </w:p>
        </w:tc>
        <w:tc>
          <w:tcPr>
            <w:tcW w:w="1364" w:type="pct"/>
            <w:vAlign w:val="center"/>
          </w:tcPr>
          <w:p w14:paraId="298DF7EB">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466CB6EE">
            <w:pPr>
              <w:jc w:val="center"/>
              <w:rPr>
                <w:color w:val="000000" w:themeColor="text1"/>
                <w14:textFill>
                  <w14:solidFill>
                    <w14:schemeClr w14:val="tx1"/>
                  </w14:solidFill>
                </w14:textFill>
              </w:rPr>
            </w:pPr>
            <w:r>
              <w:rPr>
                <w:color w:val="000000" w:themeColor="text1"/>
                <w14:textFill>
                  <w14:solidFill>
                    <w14:schemeClr w14:val="tx1"/>
                  </w14:solidFill>
                </w14:textFill>
              </w:rPr>
              <w:t>84,83</w:t>
            </w:r>
          </w:p>
        </w:tc>
        <w:tc>
          <w:tcPr>
            <w:tcW w:w="830" w:type="pct"/>
            <w:vMerge w:val="continue"/>
            <w:vAlign w:val="center"/>
          </w:tcPr>
          <w:p w14:paraId="53B2AA04">
            <w:pPr>
              <w:jc w:val="center"/>
              <w:rPr>
                <w:color w:val="000000" w:themeColor="text1"/>
                <w14:textFill>
                  <w14:solidFill>
                    <w14:schemeClr w14:val="tx1"/>
                  </w14:solidFill>
                </w14:textFill>
              </w:rPr>
            </w:pPr>
          </w:p>
        </w:tc>
        <w:tc>
          <w:tcPr>
            <w:tcW w:w="957" w:type="pct"/>
            <w:vMerge w:val="continue"/>
            <w:vAlign w:val="center"/>
          </w:tcPr>
          <w:p w14:paraId="08314854">
            <w:pPr>
              <w:jc w:val="center"/>
              <w:rPr>
                <w:color w:val="000000" w:themeColor="text1"/>
                <w14:textFill>
                  <w14:solidFill>
                    <w14:schemeClr w14:val="tx1"/>
                  </w14:solidFill>
                </w14:textFill>
              </w:rPr>
            </w:pPr>
          </w:p>
        </w:tc>
      </w:tr>
      <w:tr w14:paraId="6233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3CA1D3FD">
            <w:pPr>
              <w:jc w:val="center"/>
              <w:rPr>
                <w:b/>
                <w:bCs/>
                <w:color w:val="000000" w:themeColor="text1"/>
                <w14:textFill>
                  <w14:solidFill>
                    <w14:schemeClr w14:val="tx1"/>
                  </w14:solidFill>
                </w14:textFill>
              </w:rPr>
            </w:pPr>
          </w:p>
        </w:tc>
        <w:tc>
          <w:tcPr>
            <w:tcW w:w="510" w:type="pct"/>
            <w:vMerge w:val="continue"/>
            <w:vAlign w:val="center"/>
          </w:tcPr>
          <w:p w14:paraId="274E7192">
            <w:pPr>
              <w:jc w:val="center"/>
              <w:rPr>
                <w:b/>
                <w:bCs/>
                <w:color w:val="000000" w:themeColor="text1"/>
                <w14:textFill>
                  <w14:solidFill>
                    <w14:schemeClr w14:val="tx1"/>
                  </w14:solidFill>
                </w14:textFill>
              </w:rPr>
            </w:pPr>
          </w:p>
        </w:tc>
        <w:tc>
          <w:tcPr>
            <w:tcW w:w="1364" w:type="pct"/>
            <w:vAlign w:val="center"/>
          </w:tcPr>
          <w:p w14:paraId="0767ADA8">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 (áp mái)</w:t>
            </w:r>
          </w:p>
        </w:tc>
        <w:tc>
          <w:tcPr>
            <w:tcW w:w="712" w:type="pct"/>
            <w:vAlign w:val="center"/>
          </w:tcPr>
          <w:p w14:paraId="2F7DC1AD">
            <w:pPr>
              <w:jc w:val="center"/>
              <w:rPr>
                <w:color w:val="000000" w:themeColor="text1"/>
                <w14:textFill>
                  <w14:solidFill>
                    <w14:schemeClr w14:val="tx1"/>
                  </w14:solidFill>
                </w14:textFill>
              </w:rPr>
            </w:pPr>
            <w:r>
              <w:rPr>
                <w:color w:val="000000" w:themeColor="text1"/>
                <w14:textFill>
                  <w14:solidFill>
                    <w14:schemeClr w14:val="tx1"/>
                  </w14:solidFill>
                </w14:textFill>
              </w:rPr>
              <w:t>101,85</w:t>
            </w:r>
          </w:p>
        </w:tc>
        <w:tc>
          <w:tcPr>
            <w:tcW w:w="830" w:type="pct"/>
            <w:vMerge w:val="continue"/>
            <w:vAlign w:val="center"/>
          </w:tcPr>
          <w:p w14:paraId="067BD3CE">
            <w:pPr>
              <w:jc w:val="center"/>
              <w:rPr>
                <w:color w:val="000000" w:themeColor="text1"/>
                <w14:textFill>
                  <w14:solidFill>
                    <w14:schemeClr w14:val="tx1"/>
                  </w14:solidFill>
                </w14:textFill>
              </w:rPr>
            </w:pPr>
          </w:p>
        </w:tc>
        <w:tc>
          <w:tcPr>
            <w:tcW w:w="957" w:type="pct"/>
            <w:vMerge w:val="continue"/>
            <w:vAlign w:val="center"/>
          </w:tcPr>
          <w:p w14:paraId="57794406">
            <w:pPr>
              <w:jc w:val="center"/>
              <w:rPr>
                <w:color w:val="000000" w:themeColor="text1"/>
                <w14:textFill>
                  <w14:solidFill>
                    <w14:schemeClr w14:val="tx1"/>
                  </w14:solidFill>
                </w14:textFill>
              </w:rPr>
            </w:pPr>
          </w:p>
        </w:tc>
      </w:tr>
      <w:tr w14:paraId="78F8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6F57C30C">
            <w:pPr>
              <w:jc w:val="center"/>
              <w:rPr>
                <w:b/>
                <w:bCs/>
                <w:color w:val="000000" w:themeColor="text1"/>
                <w14:textFill>
                  <w14:solidFill>
                    <w14:schemeClr w14:val="tx1"/>
                  </w14:solidFill>
                </w14:textFill>
              </w:rPr>
            </w:pPr>
          </w:p>
        </w:tc>
        <w:tc>
          <w:tcPr>
            <w:tcW w:w="510" w:type="pct"/>
            <w:vMerge w:val="continue"/>
            <w:vAlign w:val="center"/>
          </w:tcPr>
          <w:p w14:paraId="14E2A729">
            <w:pPr>
              <w:jc w:val="center"/>
              <w:rPr>
                <w:b/>
                <w:bCs/>
                <w:color w:val="000000" w:themeColor="text1"/>
                <w14:textFill>
                  <w14:solidFill>
                    <w14:schemeClr w14:val="tx1"/>
                  </w14:solidFill>
                </w14:textFill>
              </w:rPr>
            </w:pPr>
          </w:p>
        </w:tc>
        <w:tc>
          <w:tcPr>
            <w:tcW w:w="1364" w:type="pct"/>
            <w:vAlign w:val="center"/>
          </w:tcPr>
          <w:p w14:paraId="563396DA">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142F0390">
            <w:pPr>
              <w:jc w:val="center"/>
              <w:rPr>
                <w:color w:val="000000" w:themeColor="text1"/>
                <w14:textFill>
                  <w14:solidFill>
                    <w14:schemeClr w14:val="tx1"/>
                  </w14:solidFill>
                </w14:textFill>
              </w:rPr>
            </w:pPr>
            <w:r>
              <w:rPr>
                <w:color w:val="000000" w:themeColor="text1"/>
                <w14:textFill>
                  <w14:solidFill>
                    <w14:schemeClr w14:val="tx1"/>
                  </w14:solidFill>
                </w14:textFill>
              </w:rPr>
              <w:t>78,76</w:t>
            </w:r>
          </w:p>
        </w:tc>
        <w:tc>
          <w:tcPr>
            <w:tcW w:w="830" w:type="pct"/>
            <w:vMerge w:val="continue"/>
            <w:vAlign w:val="center"/>
          </w:tcPr>
          <w:p w14:paraId="6AA86109">
            <w:pPr>
              <w:jc w:val="center"/>
              <w:rPr>
                <w:color w:val="000000" w:themeColor="text1"/>
                <w14:textFill>
                  <w14:solidFill>
                    <w14:schemeClr w14:val="tx1"/>
                  </w14:solidFill>
                </w14:textFill>
              </w:rPr>
            </w:pPr>
          </w:p>
        </w:tc>
        <w:tc>
          <w:tcPr>
            <w:tcW w:w="957" w:type="pct"/>
            <w:vMerge w:val="continue"/>
            <w:vAlign w:val="center"/>
          </w:tcPr>
          <w:p w14:paraId="589F792C">
            <w:pPr>
              <w:jc w:val="center"/>
              <w:rPr>
                <w:color w:val="000000" w:themeColor="text1"/>
                <w14:textFill>
                  <w14:solidFill>
                    <w14:schemeClr w14:val="tx1"/>
                  </w14:solidFill>
                </w14:textFill>
              </w:rPr>
            </w:pPr>
          </w:p>
        </w:tc>
      </w:tr>
      <w:tr w14:paraId="0686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70F44BA0">
            <w:pPr>
              <w:jc w:val="center"/>
              <w:rPr>
                <w:b/>
                <w:bCs/>
                <w:color w:val="000000" w:themeColor="text1"/>
                <w14:textFill>
                  <w14:solidFill>
                    <w14:schemeClr w14:val="tx1"/>
                  </w14:solidFill>
                </w14:textFill>
              </w:rPr>
            </w:pPr>
          </w:p>
        </w:tc>
        <w:tc>
          <w:tcPr>
            <w:tcW w:w="510" w:type="pct"/>
            <w:vMerge w:val="continue"/>
            <w:vAlign w:val="center"/>
          </w:tcPr>
          <w:p w14:paraId="670634D4">
            <w:pPr>
              <w:jc w:val="center"/>
              <w:rPr>
                <w:b/>
                <w:bCs/>
                <w:color w:val="000000" w:themeColor="text1"/>
                <w14:textFill>
                  <w14:solidFill>
                    <w14:schemeClr w14:val="tx1"/>
                  </w14:solidFill>
                </w14:textFill>
              </w:rPr>
            </w:pPr>
          </w:p>
        </w:tc>
        <w:tc>
          <w:tcPr>
            <w:tcW w:w="1364" w:type="pct"/>
            <w:vAlign w:val="center"/>
          </w:tcPr>
          <w:p w14:paraId="7425A505">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6338A242">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355,24</w:t>
            </w:r>
          </w:p>
        </w:tc>
        <w:tc>
          <w:tcPr>
            <w:tcW w:w="830" w:type="pct"/>
            <w:vMerge w:val="continue"/>
            <w:vAlign w:val="center"/>
          </w:tcPr>
          <w:p w14:paraId="0EB5981E">
            <w:pPr>
              <w:jc w:val="center"/>
              <w:rPr>
                <w:color w:val="000000" w:themeColor="text1"/>
                <w14:textFill>
                  <w14:solidFill>
                    <w14:schemeClr w14:val="tx1"/>
                  </w14:solidFill>
                </w14:textFill>
              </w:rPr>
            </w:pPr>
          </w:p>
        </w:tc>
        <w:tc>
          <w:tcPr>
            <w:tcW w:w="957" w:type="pct"/>
            <w:vMerge w:val="continue"/>
            <w:vAlign w:val="center"/>
          </w:tcPr>
          <w:p w14:paraId="67997E14">
            <w:pPr>
              <w:jc w:val="center"/>
              <w:rPr>
                <w:color w:val="000000" w:themeColor="text1"/>
                <w14:textFill>
                  <w14:solidFill>
                    <w14:schemeClr w14:val="tx1"/>
                  </w14:solidFill>
                </w14:textFill>
              </w:rPr>
            </w:pPr>
          </w:p>
        </w:tc>
      </w:tr>
      <w:tr w14:paraId="30BB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78C8BB7D">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ĐH2</w:t>
            </w:r>
          </w:p>
        </w:tc>
        <w:tc>
          <w:tcPr>
            <w:tcW w:w="510" w:type="pct"/>
            <w:vMerge w:val="restart"/>
            <w:vAlign w:val="center"/>
          </w:tcPr>
          <w:p w14:paraId="47CDB4CD">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w:t>
            </w:r>
          </w:p>
        </w:tc>
        <w:tc>
          <w:tcPr>
            <w:tcW w:w="1364" w:type="pct"/>
            <w:vAlign w:val="center"/>
          </w:tcPr>
          <w:p w14:paraId="399E0932">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7ED38C24">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78,68</w:t>
            </w:r>
          </w:p>
        </w:tc>
        <w:tc>
          <w:tcPr>
            <w:tcW w:w="830" w:type="pct"/>
            <w:vMerge w:val="restart"/>
            <w:vAlign w:val="center"/>
          </w:tcPr>
          <w:p w14:paraId="14B43E23">
            <w:pPr>
              <w:jc w:val="center"/>
              <w:rPr>
                <w:color w:val="000000" w:themeColor="text1"/>
                <w14:textFill>
                  <w14:solidFill>
                    <w14:schemeClr w14:val="tx1"/>
                  </w14:solidFill>
                </w14:textFill>
              </w:rPr>
            </w:pPr>
            <w:r>
              <w:rPr>
                <w:color w:val="000000" w:themeColor="text1"/>
                <w14:textFill>
                  <w14:solidFill>
                    <w14:schemeClr w14:val="tx1"/>
                  </w14:solidFill>
                </w14:textFill>
              </w:rPr>
              <w:t>33</w:t>
            </w:r>
          </w:p>
        </w:tc>
        <w:tc>
          <w:tcPr>
            <w:tcW w:w="957" w:type="pct"/>
            <w:vMerge w:val="restart"/>
            <w:vAlign w:val="center"/>
          </w:tcPr>
          <w:p w14:paraId="61C07E55">
            <w:pPr>
              <w:jc w:val="center"/>
              <w:rPr>
                <w:color w:val="000000" w:themeColor="text1"/>
                <w14:textFill>
                  <w14:solidFill>
                    <w14:schemeClr w14:val="tx1"/>
                  </w14:solidFill>
                </w14:textFill>
              </w:rPr>
            </w:pPr>
            <w:r>
              <w:rPr>
                <w:color w:val="000000" w:themeColor="text1"/>
                <w14:textFill>
                  <w14:solidFill>
                    <w14:schemeClr w14:val="tx1"/>
                  </w14:solidFill>
                </w14:textFill>
              </w:rPr>
              <w:t>9.979,860</w:t>
            </w:r>
          </w:p>
        </w:tc>
      </w:tr>
      <w:tr w14:paraId="534A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2CC0362">
            <w:pPr>
              <w:jc w:val="center"/>
              <w:rPr>
                <w:b/>
                <w:bCs/>
                <w:color w:val="000000" w:themeColor="text1"/>
                <w14:textFill>
                  <w14:solidFill>
                    <w14:schemeClr w14:val="tx1"/>
                  </w14:solidFill>
                </w14:textFill>
              </w:rPr>
            </w:pPr>
          </w:p>
        </w:tc>
        <w:tc>
          <w:tcPr>
            <w:tcW w:w="510" w:type="pct"/>
            <w:vMerge w:val="continue"/>
            <w:vAlign w:val="center"/>
          </w:tcPr>
          <w:p w14:paraId="07AA8D30">
            <w:pPr>
              <w:jc w:val="center"/>
              <w:rPr>
                <w:b/>
                <w:bCs/>
                <w:color w:val="000000" w:themeColor="text1"/>
                <w14:textFill>
                  <w14:solidFill>
                    <w14:schemeClr w14:val="tx1"/>
                  </w14:solidFill>
                </w14:textFill>
              </w:rPr>
            </w:pPr>
          </w:p>
        </w:tc>
        <w:tc>
          <w:tcPr>
            <w:tcW w:w="1364" w:type="pct"/>
            <w:vAlign w:val="center"/>
          </w:tcPr>
          <w:p w14:paraId="34F721F6">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07DEA4B3">
            <w:pPr>
              <w:jc w:val="center"/>
              <w:rPr>
                <w:color w:val="000000" w:themeColor="text1"/>
                <w14:textFill>
                  <w14:solidFill>
                    <w14:schemeClr w14:val="tx1"/>
                  </w14:solidFill>
                </w14:textFill>
              </w:rPr>
            </w:pPr>
            <w:r>
              <w:rPr>
                <w:color w:val="000000" w:themeColor="text1"/>
                <w14:textFill>
                  <w14:solidFill>
                    <w14:schemeClr w14:val="tx1"/>
                  </w14:solidFill>
                </w14:textFill>
              </w:rPr>
              <w:t>83,94</w:t>
            </w:r>
          </w:p>
        </w:tc>
        <w:tc>
          <w:tcPr>
            <w:tcW w:w="830" w:type="pct"/>
            <w:vMerge w:val="continue"/>
            <w:vAlign w:val="center"/>
          </w:tcPr>
          <w:p w14:paraId="036121B3">
            <w:pPr>
              <w:jc w:val="center"/>
              <w:rPr>
                <w:color w:val="000000" w:themeColor="text1"/>
                <w14:textFill>
                  <w14:solidFill>
                    <w14:schemeClr w14:val="tx1"/>
                  </w14:solidFill>
                </w14:textFill>
              </w:rPr>
            </w:pPr>
          </w:p>
        </w:tc>
        <w:tc>
          <w:tcPr>
            <w:tcW w:w="957" w:type="pct"/>
            <w:vMerge w:val="continue"/>
            <w:vAlign w:val="center"/>
          </w:tcPr>
          <w:p w14:paraId="40568C1F">
            <w:pPr>
              <w:jc w:val="center"/>
              <w:rPr>
                <w:color w:val="000000" w:themeColor="text1"/>
                <w14:textFill>
                  <w14:solidFill>
                    <w14:schemeClr w14:val="tx1"/>
                  </w14:solidFill>
                </w14:textFill>
              </w:rPr>
            </w:pPr>
          </w:p>
        </w:tc>
      </w:tr>
      <w:tr w14:paraId="2BFC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64B89B95">
            <w:pPr>
              <w:jc w:val="center"/>
              <w:rPr>
                <w:b/>
                <w:bCs/>
                <w:color w:val="000000" w:themeColor="text1"/>
                <w14:textFill>
                  <w14:solidFill>
                    <w14:schemeClr w14:val="tx1"/>
                  </w14:solidFill>
                </w14:textFill>
              </w:rPr>
            </w:pPr>
          </w:p>
        </w:tc>
        <w:tc>
          <w:tcPr>
            <w:tcW w:w="510" w:type="pct"/>
            <w:vMerge w:val="continue"/>
            <w:vAlign w:val="center"/>
          </w:tcPr>
          <w:p w14:paraId="19359C71">
            <w:pPr>
              <w:jc w:val="center"/>
              <w:rPr>
                <w:b/>
                <w:bCs/>
                <w:color w:val="000000" w:themeColor="text1"/>
                <w14:textFill>
                  <w14:solidFill>
                    <w14:schemeClr w14:val="tx1"/>
                  </w14:solidFill>
                </w14:textFill>
              </w:rPr>
            </w:pPr>
          </w:p>
        </w:tc>
        <w:tc>
          <w:tcPr>
            <w:tcW w:w="1364" w:type="pct"/>
            <w:vAlign w:val="center"/>
          </w:tcPr>
          <w:p w14:paraId="38BF5173">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1EA47DAC">
            <w:pPr>
              <w:jc w:val="center"/>
              <w:rPr>
                <w:color w:val="000000" w:themeColor="text1"/>
                <w14:textFill>
                  <w14:solidFill>
                    <w14:schemeClr w14:val="tx1"/>
                  </w14:solidFill>
                </w14:textFill>
              </w:rPr>
            </w:pPr>
            <w:r>
              <w:rPr>
                <w:color w:val="000000" w:themeColor="text1"/>
                <w14:textFill>
                  <w14:solidFill>
                    <w14:schemeClr w14:val="tx1"/>
                  </w14:solidFill>
                </w14:textFill>
              </w:rPr>
              <w:t>82,72</w:t>
            </w:r>
          </w:p>
        </w:tc>
        <w:tc>
          <w:tcPr>
            <w:tcW w:w="830" w:type="pct"/>
            <w:vMerge w:val="continue"/>
            <w:vAlign w:val="center"/>
          </w:tcPr>
          <w:p w14:paraId="2776019C">
            <w:pPr>
              <w:jc w:val="center"/>
              <w:rPr>
                <w:color w:val="000000" w:themeColor="text1"/>
                <w14:textFill>
                  <w14:solidFill>
                    <w14:schemeClr w14:val="tx1"/>
                  </w14:solidFill>
                </w14:textFill>
              </w:rPr>
            </w:pPr>
          </w:p>
        </w:tc>
        <w:tc>
          <w:tcPr>
            <w:tcW w:w="957" w:type="pct"/>
            <w:vMerge w:val="continue"/>
            <w:vAlign w:val="center"/>
          </w:tcPr>
          <w:p w14:paraId="75287424">
            <w:pPr>
              <w:jc w:val="center"/>
              <w:rPr>
                <w:color w:val="000000" w:themeColor="text1"/>
                <w14:textFill>
                  <w14:solidFill>
                    <w14:schemeClr w14:val="tx1"/>
                  </w14:solidFill>
                </w14:textFill>
              </w:rPr>
            </w:pPr>
          </w:p>
        </w:tc>
      </w:tr>
      <w:tr w14:paraId="70D8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1278FD7D">
            <w:pPr>
              <w:jc w:val="center"/>
              <w:rPr>
                <w:b/>
                <w:bCs/>
                <w:color w:val="000000" w:themeColor="text1"/>
                <w14:textFill>
                  <w14:solidFill>
                    <w14:schemeClr w14:val="tx1"/>
                  </w14:solidFill>
                </w14:textFill>
              </w:rPr>
            </w:pPr>
          </w:p>
        </w:tc>
        <w:tc>
          <w:tcPr>
            <w:tcW w:w="510" w:type="pct"/>
            <w:vMerge w:val="continue"/>
            <w:vAlign w:val="center"/>
          </w:tcPr>
          <w:p w14:paraId="46A16932">
            <w:pPr>
              <w:jc w:val="center"/>
              <w:rPr>
                <w:b/>
                <w:bCs/>
                <w:color w:val="000000" w:themeColor="text1"/>
                <w14:textFill>
                  <w14:solidFill>
                    <w14:schemeClr w14:val="tx1"/>
                  </w14:solidFill>
                </w14:textFill>
              </w:rPr>
            </w:pPr>
          </w:p>
        </w:tc>
        <w:tc>
          <w:tcPr>
            <w:tcW w:w="1364" w:type="pct"/>
            <w:vAlign w:val="center"/>
          </w:tcPr>
          <w:p w14:paraId="394D7343">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 (áp mái)</w:t>
            </w:r>
          </w:p>
        </w:tc>
        <w:tc>
          <w:tcPr>
            <w:tcW w:w="712" w:type="pct"/>
            <w:vAlign w:val="center"/>
          </w:tcPr>
          <w:p w14:paraId="6B4BB1D8">
            <w:pPr>
              <w:jc w:val="center"/>
              <w:rPr>
                <w:color w:val="000000" w:themeColor="text1"/>
                <w14:textFill>
                  <w14:solidFill>
                    <w14:schemeClr w14:val="tx1"/>
                  </w14:solidFill>
                </w14:textFill>
              </w:rPr>
            </w:pPr>
            <w:r>
              <w:rPr>
                <w:color w:val="000000" w:themeColor="text1"/>
                <w14:textFill>
                  <w14:solidFill>
                    <w14:schemeClr w14:val="tx1"/>
                  </w14:solidFill>
                </w14:textFill>
              </w:rPr>
              <w:t>80,68</w:t>
            </w:r>
          </w:p>
        </w:tc>
        <w:tc>
          <w:tcPr>
            <w:tcW w:w="830" w:type="pct"/>
            <w:vMerge w:val="continue"/>
            <w:vAlign w:val="center"/>
          </w:tcPr>
          <w:p w14:paraId="51F2A9DF">
            <w:pPr>
              <w:jc w:val="center"/>
              <w:rPr>
                <w:color w:val="000000" w:themeColor="text1"/>
                <w14:textFill>
                  <w14:solidFill>
                    <w14:schemeClr w14:val="tx1"/>
                  </w14:solidFill>
                </w14:textFill>
              </w:rPr>
            </w:pPr>
          </w:p>
        </w:tc>
        <w:tc>
          <w:tcPr>
            <w:tcW w:w="957" w:type="pct"/>
            <w:vMerge w:val="continue"/>
            <w:vAlign w:val="center"/>
          </w:tcPr>
          <w:p w14:paraId="656BBA55">
            <w:pPr>
              <w:jc w:val="center"/>
              <w:rPr>
                <w:color w:val="000000" w:themeColor="text1"/>
                <w14:textFill>
                  <w14:solidFill>
                    <w14:schemeClr w14:val="tx1"/>
                  </w14:solidFill>
                </w14:textFill>
              </w:rPr>
            </w:pPr>
          </w:p>
        </w:tc>
      </w:tr>
      <w:tr w14:paraId="3916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33EBDAFC">
            <w:pPr>
              <w:jc w:val="center"/>
              <w:rPr>
                <w:b/>
                <w:bCs/>
                <w:color w:val="000000" w:themeColor="text1"/>
                <w14:textFill>
                  <w14:solidFill>
                    <w14:schemeClr w14:val="tx1"/>
                  </w14:solidFill>
                </w14:textFill>
              </w:rPr>
            </w:pPr>
          </w:p>
        </w:tc>
        <w:tc>
          <w:tcPr>
            <w:tcW w:w="510" w:type="pct"/>
            <w:vMerge w:val="continue"/>
            <w:vAlign w:val="center"/>
          </w:tcPr>
          <w:p w14:paraId="7A3CC98A">
            <w:pPr>
              <w:jc w:val="center"/>
              <w:rPr>
                <w:b/>
                <w:bCs/>
                <w:color w:val="000000" w:themeColor="text1"/>
                <w14:textFill>
                  <w14:solidFill>
                    <w14:schemeClr w14:val="tx1"/>
                  </w14:solidFill>
                </w14:textFill>
              </w:rPr>
            </w:pPr>
          </w:p>
        </w:tc>
        <w:tc>
          <w:tcPr>
            <w:tcW w:w="1364" w:type="pct"/>
            <w:vAlign w:val="center"/>
          </w:tcPr>
          <w:p w14:paraId="090CA4BA">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45183522">
            <w:pPr>
              <w:jc w:val="center"/>
              <w:rPr>
                <w:color w:val="000000" w:themeColor="text1"/>
                <w14:textFill>
                  <w14:solidFill>
                    <w14:schemeClr w14:val="tx1"/>
                  </w14:solidFill>
                </w14:textFill>
              </w:rPr>
            </w:pPr>
            <w:r>
              <w:rPr>
                <w:color w:val="000000" w:themeColor="text1"/>
                <w14:textFill>
                  <w14:solidFill>
                    <w14:schemeClr w14:val="tx1"/>
                  </w14:solidFill>
                </w14:textFill>
              </w:rPr>
              <w:t>55,08</w:t>
            </w:r>
          </w:p>
        </w:tc>
        <w:tc>
          <w:tcPr>
            <w:tcW w:w="830" w:type="pct"/>
            <w:vMerge w:val="continue"/>
            <w:vAlign w:val="center"/>
          </w:tcPr>
          <w:p w14:paraId="4CBB30B8">
            <w:pPr>
              <w:jc w:val="center"/>
              <w:rPr>
                <w:color w:val="000000" w:themeColor="text1"/>
                <w14:textFill>
                  <w14:solidFill>
                    <w14:schemeClr w14:val="tx1"/>
                  </w14:solidFill>
                </w14:textFill>
              </w:rPr>
            </w:pPr>
          </w:p>
        </w:tc>
        <w:tc>
          <w:tcPr>
            <w:tcW w:w="957" w:type="pct"/>
            <w:vMerge w:val="continue"/>
            <w:vAlign w:val="center"/>
          </w:tcPr>
          <w:p w14:paraId="4448D4BE">
            <w:pPr>
              <w:jc w:val="center"/>
              <w:rPr>
                <w:color w:val="000000" w:themeColor="text1"/>
                <w14:textFill>
                  <w14:solidFill>
                    <w14:schemeClr w14:val="tx1"/>
                  </w14:solidFill>
                </w14:textFill>
              </w:rPr>
            </w:pPr>
          </w:p>
        </w:tc>
      </w:tr>
      <w:tr w14:paraId="2D71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6602CDE">
            <w:pPr>
              <w:jc w:val="center"/>
              <w:rPr>
                <w:b/>
                <w:bCs/>
                <w:color w:val="000000" w:themeColor="text1"/>
                <w14:textFill>
                  <w14:solidFill>
                    <w14:schemeClr w14:val="tx1"/>
                  </w14:solidFill>
                </w14:textFill>
              </w:rPr>
            </w:pPr>
          </w:p>
        </w:tc>
        <w:tc>
          <w:tcPr>
            <w:tcW w:w="510" w:type="pct"/>
            <w:vMerge w:val="continue"/>
            <w:vAlign w:val="center"/>
          </w:tcPr>
          <w:p w14:paraId="52A60D86">
            <w:pPr>
              <w:jc w:val="center"/>
              <w:rPr>
                <w:b/>
                <w:bCs/>
                <w:color w:val="000000" w:themeColor="text1"/>
                <w14:textFill>
                  <w14:solidFill>
                    <w14:schemeClr w14:val="tx1"/>
                  </w14:solidFill>
                </w14:textFill>
              </w:rPr>
            </w:pPr>
          </w:p>
        </w:tc>
        <w:tc>
          <w:tcPr>
            <w:tcW w:w="1364" w:type="pct"/>
            <w:vAlign w:val="center"/>
          </w:tcPr>
          <w:p w14:paraId="4761B575">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0A7B12F0">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302,42</w:t>
            </w:r>
          </w:p>
        </w:tc>
        <w:tc>
          <w:tcPr>
            <w:tcW w:w="830" w:type="pct"/>
            <w:vMerge w:val="continue"/>
            <w:vAlign w:val="center"/>
          </w:tcPr>
          <w:p w14:paraId="2E9234F7">
            <w:pPr>
              <w:jc w:val="center"/>
              <w:rPr>
                <w:color w:val="000000" w:themeColor="text1"/>
                <w14:textFill>
                  <w14:solidFill>
                    <w14:schemeClr w14:val="tx1"/>
                  </w14:solidFill>
                </w14:textFill>
              </w:rPr>
            </w:pPr>
          </w:p>
        </w:tc>
        <w:tc>
          <w:tcPr>
            <w:tcW w:w="957" w:type="pct"/>
            <w:vMerge w:val="continue"/>
            <w:vAlign w:val="center"/>
          </w:tcPr>
          <w:p w14:paraId="3A06AEEA">
            <w:pPr>
              <w:jc w:val="center"/>
              <w:rPr>
                <w:color w:val="000000" w:themeColor="text1"/>
                <w14:textFill>
                  <w14:solidFill>
                    <w14:schemeClr w14:val="tx1"/>
                  </w14:solidFill>
                </w14:textFill>
              </w:rPr>
            </w:pPr>
          </w:p>
        </w:tc>
      </w:tr>
      <w:tr w14:paraId="5BE3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657C53BB">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ĐH3</w:t>
            </w:r>
          </w:p>
        </w:tc>
        <w:tc>
          <w:tcPr>
            <w:tcW w:w="510" w:type="pct"/>
            <w:vMerge w:val="restart"/>
            <w:vAlign w:val="center"/>
          </w:tcPr>
          <w:p w14:paraId="6DA510F6">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w:t>
            </w:r>
          </w:p>
        </w:tc>
        <w:tc>
          <w:tcPr>
            <w:tcW w:w="1364" w:type="pct"/>
            <w:vAlign w:val="center"/>
          </w:tcPr>
          <w:p w14:paraId="70889A03">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43894D9D">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78,94</w:t>
            </w:r>
          </w:p>
        </w:tc>
        <w:tc>
          <w:tcPr>
            <w:tcW w:w="830" w:type="pct"/>
            <w:vMerge w:val="restart"/>
            <w:vAlign w:val="center"/>
          </w:tcPr>
          <w:p w14:paraId="057368DD">
            <w:pPr>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957" w:type="pct"/>
            <w:vMerge w:val="restart"/>
            <w:vAlign w:val="center"/>
          </w:tcPr>
          <w:p w14:paraId="378A9E2F">
            <w:pPr>
              <w:jc w:val="center"/>
              <w:rPr>
                <w:color w:val="000000" w:themeColor="text1"/>
                <w14:textFill>
                  <w14:solidFill>
                    <w14:schemeClr w14:val="tx1"/>
                  </w14:solidFill>
                </w14:textFill>
              </w:rPr>
            </w:pPr>
            <w:r>
              <w:rPr>
                <w:color w:val="000000" w:themeColor="text1"/>
                <w14:textFill>
                  <w14:solidFill>
                    <w14:schemeClr w14:val="tx1"/>
                  </w14:solidFill>
                </w14:textFill>
              </w:rPr>
              <w:t>5.509,080</w:t>
            </w:r>
          </w:p>
        </w:tc>
      </w:tr>
      <w:tr w14:paraId="7D25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36E3A588">
            <w:pPr>
              <w:jc w:val="center"/>
              <w:rPr>
                <w:b/>
                <w:bCs/>
                <w:color w:val="000000" w:themeColor="text1"/>
                <w14:textFill>
                  <w14:solidFill>
                    <w14:schemeClr w14:val="tx1"/>
                  </w14:solidFill>
                </w14:textFill>
              </w:rPr>
            </w:pPr>
          </w:p>
        </w:tc>
        <w:tc>
          <w:tcPr>
            <w:tcW w:w="510" w:type="pct"/>
            <w:vMerge w:val="continue"/>
            <w:vAlign w:val="center"/>
          </w:tcPr>
          <w:p w14:paraId="5652105F">
            <w:pPr>
              <w:jc w:val="center"/>
              <w:rPr>
                <w:b/>
                <w:bCs/>
                <w:color w:val="000000" w:themeColor="text1"/>
                <w14:textFill>
                  <w14:solidFill>
                    <w14:schemeClr w14:val="tx1"/>
                  </w14:solidFill>
                </w14:textFill>
              </w:rPr>
            </w:pPr>
          </w:p>
        </w:tc>
        <w:tc>
          <w:tcPr>
            <w:tcW w:w="1364" w:type="pct"/>
            <w:vAlign w:val="center"/>
          </w:tcPr>
          <w:p w14:paraId="254AEEAB">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46B2EE03">
            <w:pPr>
              <w:jc w:val="center"/>
              <w:rPr>
                <w:color w:val="000000" w:themeColor="text1"/>
                <w14:textFill>
                  <w14:solidFill>
                    <w14:schemeClr w14:val="tx1"/>
                  </w14:solidFill>
                </w14:textFill>
              </w:rPr>
            </w:pPr>
            <w:r>
              <w:rPr>
                <w:color w:val="000000" w:themeColor="text1"/>
                <w14:textFill>
                  <w14:solidFill>
                    <w14:schemeClr w14:val="tx1"/>
                  </w14:solidFill>
                </w14:textFill>
              </w:rPr>
              <w:t>84,43</w:t>
            </w:r>
          </w:p>
        </w:tc>
        <w:tc>
          <w:tcPr>
            <w:tcW w:w="830" w:type="pct"/>
            <w:vMerge w:val="continue"/>
            <w:vAlign w:val="center"/>
          </w:tcPr>
          <w:p w14:paraId="5961C566">
            <w:pPr>
              <w:jc w:val="center"/>
              <w:rPr>
                <w:color w:val="000000" w:themeColor="text1"/>
                <w14:textFill>
                  <w14:solidFill>
                    <w14:schemeClr w14:val="tx1"/>
                  </w14:solidFill>
                </w14:textFill>
              </w:rPr>
            </w:pPr>
          </w:p>
        </w:tc>
        <w:tc>
          <w:tcPr>
            <w:tcW w:w="957" w:type="pct"/>
            <w:vMerge w:val="continue"/>
            <w:vAlign w:val="center"/>
          </w:tcPr>
          <w:p w14:paraId="16DED1DE">
            <w:pPr>
              <w:jc w:val="center"/>
              <w:rPr>
                <w:color w:val="000000" w:themeColor="text1"/>
                <w14:textFill>
                  <w14:solidFill>
                    <w14:schemeClr w14:val="tx1"/>
                  </w14:solidFill>
                </w14:textFill>
              </w:rPr>
            </w:pPr>
          </w:p>
        </w:tc>
      </w:tr>
      <w:tr w14:paraId="570D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346050F1">
            <w:pPr>
              <w:jc w:val="center"/>
              <w:rPr>
                <w:b/>
                <w:bCs/>
                <w:color w:val="000000" w:themeColor="text1"/>
                <w14:textFill>
                  <w14:solidFill>
                    <w14:schemeClr w14:val="tx1"/>
                  </w14:solidFill>
                </w14:textFill>
              </w:rPr>
            </w:pPr>
          </w:p>
        </w:tc>
        <w:tc>
          <w:tcPr>
            <w:tcW w:w="510" w:type="pct"/>
            <w:vMerge w:val="continue"/>
            <w:vAlign w:val="center"/>
          </w:tcPr>
          <w:p w14:paraId="6E0DF840">
            <w:pPr>
              <w:jc w:val="center"/>
              <w:rPr>
                <w:b/>
                <w:bCs/>
                <w:color w:val="000000" w:themeColor="text1"/>
                <w14:textFill>
                  <w14:solidFill>
                    <w14:schemeClr w14:val="tx1"/>
                  </w14:solidFill>
                </w14:textFill>
              </w:rPr>
            </w:pPr>
          </w:p>
        </w:tc>
        <w:tc>
          <w:tcPr>
            <w:tcW w:w="1364" w:type="pct"/>
            <w:vAlign w:val="center"/>
          </w:tcPr>
          <w:p w14:paraId="28F9B320">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0E59A07B">
            <w:pPr>
              <w:jc w:val="center"/>
              <w:rPr>
                <w:color w:val="000000" w:themeColor="text1"/>
                <w14:textFill>
                  <w14:solidFill>
                    <w14:schemeClr w14:val="tx1"/>
                  </w14:solidFill>
                </w14:textFill>
              </w:rPr>
            </w:pPr>
            <w:r>
              <w:rPr>
                <w:color w:val="000000" w:themeColor="text1"/>
                <w14:textFill>
                  <w14:solidFill>
                    <w14:schemeClr w14:val="tx1"/>
                  </w14:solidFill>
                </w14:textFill>
              </w:rPr>
              <w:t>83,73</w:t>
            </w:r>
          </w:p>
        </w:tc>
        <w:tc>
          <w:tcPr>
            <w:tcW w:w="830" w:type="pct"/>
            <w:vMerge w:val="continue"/>
            <w:vAlign w:val="center"/>
          </w:tcPr>
          <w:p w14:paraId="1F6E3799">
            <w:pPr>
              <w:jc w:val="center"/>
              <w:rPr>
                <w:color w:val="000000" w:themeColor="text1"/>
                <w14:textFill>
                  <w14:solidFill>
                    <w14:schemeClr w14:val="tx1"/>
                  </w14:solidFill>
                </w14:textFill>
              </w:rPr>
            </w:pPr>
          </w:p>
        </w:tc>
        <w:tc>
          <w:tcPr>
            <w:tcW w:w="957" w:type="pct"/>
            <w:vMerge w:val="continue"/>
            <w:vAlign w:val="center"/>
          </w:tcPr>
          <w:p w14:paraId="6257A2CD">
            <w:pPr>
              <w:jc w:val="center"/>
              <w:rPr>
                <w:color w:val="000000" w:themeColor="text1"/>
                <w14:textFill>
                  <w14:solidFill>
                    <w14:schemeClr w14:val="tx1"/>
                  </w14:solidFill>
                </w14:textFill>
              </w:rPr>
            </w:pPr>
          </w:p>
        </w:tc>
      </w:tr>
      <w:tr w14:paraId="55B0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39C761D0">
            <w:pPr>
              <w:jc w:val="center"/>
              <w:rPr>
                <w:b/>
                <w:bCs/>
                <w:color w:val="000000" w:themeColor="text1"/>
                <w14:textFill>
                  <w14:solidFill>
                    <w14:schemeClr w14:val="tx1"/>
                  </w14:solidFill>
                </w14:textFill>
              </w:rPr>
            </w:pPr>
          </w:p>
        </w:tc>
        <w:tc>
          <w:tcPr>
            <w:tcW w:w="510" w:type="pct"/>
            <w:vMerge w:val="continue"/>
            <w:vAlign w:val="center"/>
          </w:tcPr>
          <w:p w14:paraId="31003225">
            <w:pPr>
              <w:jc w:val="center"/>
              <w:rPr>
                <w:b/>
                <w:bCs/>
                <w:color w:val="000000" w:themeColor="text1"/>
                <w14:textFill>
                  <w14:solidFill>
                    <w14:schemeClr w14:val="tx1"/>
                  </w14:solidFill>
                </w14:textFill>
              </w:rPr>
            </w:pPr>
          </w:p>
        </w:tc>
        <w:tc>
          <w:tcPr>
            <w:tcW w:w="1364" w:type="pct"/>
            <w:vAlign w:val="center"/>
          </w:tcPr>
          <w:p w14:paraId="6F907727">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 (áp mái)</w:t>
            </w:r>
          </w:p>
        </w:tc>
        <w:tc>
          <w:tcPr>
            <w:tcW w:w="712" w:type="pct"/>
            <w:vAlign w:val="center"/>
          </w:tcPr>
          <w:p w14:paraId="1437F879">
            <w:pPr>
              <w:jc w:val="center"/>
              <w:rPr>
                <w:color w:val="000000" w:themeColor="text1"/>
                <w14:textFill>
                  <w14:solidFill>
                    <w14:schemeClr w14:val="tx1"/>
                  </w14:solidFill>
                </w14:textFill>
              </w:rPr>
            </w:pPr>
            <w:r>
              <w:rPr>
                <w:color w:val="000000" w:themeColor="text1"/>
                <w14:textFill>
                  <w14:solidFill>
                    <w14:schemeClr w14:val="tx1"/>
                  </w14:solidFill>
                </w14:textFill>
              </w:rPr>
              <w:t>81,33</w:t>
            </w:r>
          </w:p>
        </w:tc>
        <w:tc>
          <w:tcPr>
            <w:tcW w:w="830" w:type="pct"/>
            <w:vMerge w:val="continue"/>
            <w:vAlign w:val="center"/>
          </w:tcPr>
          <w:p w14:paraId="4244039D">
            <w:pPr>
              <w:jc w:val="center"/>
              <w:rPr>
                <w:color w:val="000000" w:themeColor="text1"/>
                <w14:textFill>
                  <w14:solidFill>
                    <w14:schemeClr w14:val="tx1"/>
                  </w14:solidFill>
                </w14:textFill>
              </w:rPr>
            </w:pPr>
          </w:p>
        </w:tc>
        <w:tc>
          <w:tcPr>
            <w:tcW w:w="957" w:type="pct"/>
            <w:vMerge w:val="continue"/>
            <w:vAlign w:val="center"/>
          </w:tcPr>
          <w:p w14:paraId="464B66B7">
            <w:pPr>
              <w:jc w:val="center"/>
              <w:rPr>
                <w:color w:val="000000" w:themeColor="text1"/>
                <w14:textFill>
                  <w14:solidFill>
                    <w14:schemeClr w14:val="tx1"/>
                  </w14:solidFill>
                </w14:textFill>
              </w:rPr>
            </w:pPr>
          </w:p>
        </w:tc>
      </w:tr>
      <w:tr w14:paraId="526C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69B952C9">
            <w:pPr>
              <w:jc w:val="center"/>
              <w:rPr>
                <w:b/>
                <w:bCs/>
                <w:color w:val="000000" w:themeColor="text1"/>
                <w14:textFill>
                  <w14:solidFill>
                    <w14:schemeClr w14:val="tx1"/>
                  </w14:solidFill>
                </w14:textFill>
              </w:rPr>
            </w:pPr>
          </w:p>
        </w:tc>
        <w:tc>
          <w:tcPr>
            <w:tcW w:w="510" w:type="pct"/>
            <w:vMerge w:val="continue"/>
            <w:vAlign w:val="center"/>
          </w:tcPr>
          <w:p w14:paraId="05A9D48C">
            <w:pPr>
              <w:jc w:val="center"/>
              <w:rPr>
                <w:b/>
                <w:bCs/>
                <w:color w:val="000000" w:themeColor="text1"/>
                <w14:textFill>
                  <w14:solidFill>
                    <w14:schemeClr w14:val="tx1"/>
                  </w14:solidFill>
                </w14:textFill>
              </w:rPr>
            </w:pPr>
          </w:p>
        </w:tc>
        <w:tc>
          <w:tcPr>
            <w:tcW w:w="1364" w:type="pct"/>
            <w:vAlign w:val="center"/>
          </w:tcPr>
          <w:p w14:paraId="5F4BA512">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740895CD">
            <w:pPr>
              <w:jc w:val="center"/>
              <w:rPr>
                <w:color w:val="000000" w:themeColor="text1"/>
                <w14:textFill>
                  <w14:solidFill>
                    <w14:schemeClr w14:val="tx1"/>
                  </w14:solidFill>
                </w14:textFill>
              </w:rPr>
            </w:pPr>
            <w:r>
              <w:rPr>
                <w:color w:val="000000" w:themeColor="text1"/>
                <w14:textFill>
                  <w14:solidFill>
                    <w14:schemeClr w14:val="tx1"/>
                  </w14:solidFill>
                </w14:textFill>
              </w:rPr>
              <w:t>56,57</w:t>
            </w:r>
          </w:p>
        </w:tc>
        <w:tc>
          <w:tcPr>
            <w:tcW w:w="830" w:type="pct"/>
            <w:vMerge w:val="continue"/>
            <w:vAlign w:val="center"/>
          </w:tcPr>
          <w:p w14:paraId="0867D9C1">
            <w:pPr>
              <w:jc w:val="center"/>
              <w:rPr>
                <w:color w:val="000000" w:themeColor="text1"/>
                <w14:textFill>
                  <w14:solidFill>
                    <w14:schemeClr w14:val="tx1"/>
                  </w14:solidFill>
                </w14:textFill>
              </w:rPr>
            </w:pPr>
          </w:p>
        </w:tc>
        <w:tc>
          <w:tcPr>
            <w:tcW w:w="957" w:type="pct"/>
            <w:vMerge w:val="continue"/>
            <w:vAlign w:val="center"/>
          </w:tcPr>
          <w:p w14:paraId="13197365">
            <w:pPr>
              <w:jc w:val="center"/>
              <w:rPr>
                <w:color w:val="000000" w:themeColor="text1"/>
                <w14:textFill>
                  <w14:solidFill>
                    <w14:schemeClr w14:val="tx1"/>
                  </w14:solidFill>
                </w14:textFill>
              </w:rPr>
            </w:pPr>
          </w:p>
        </w:tc>
      </w:tr>
      <w:tr w14:paraId="371D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B26F42F">
            <w:pPr>
              <w:jc w:val="center"/>
              <w:rPr>
                <w:b/>
                <w:bCs/>
                <w:color w:val="000000" w:themeColor="text1"/>
                <w14:textFill>
                  <w14:solidFill>
                    <w14:schemeClr w14:val="tx1"/>
                  </w14:solidFill>
                </w14:textFill>
              </w:rPr>
            </w:pPr>
          </w:p>
        </w:tc>
        <w:tc>
          <w:tcPr>
            <w:tcW w:w="510" w:type="pct"/>
            <w:vMerge w:val="continue"/>
            <w:vAlign w:val="center"/>
          </w:tcPr>
          <w:p w14:paraId="1072774F">
            <w:pPr>
              <w:jc w:val="center"/>
              <w:rPr>
                <w:b/>
                <w:bCs/>
                <w:color w:val="000000" w:themeColor="text1"/>
                <w14:textFill>
                  <w14:solidFill>
                    <w14:schemeClr w14:val="tx1"/>
                  </w14:solidFill>
                </w14:textFill>
              </w:rPr>
            </w:pPr>
          </w:p>
        </w:tc>
        <w:tc>
          <w:tcPr>
            <w:tcW w:w="1364" w:type="pct"/>
            <w:vAlign w:val="center"/>
          </w:tcPr>
          <w:p w14:paraId="1257C913">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4CC99A4B">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306,06</w:t>
            </w:r>
          </w:p>
        </w:tc>
        <w:tc>
          <w:tcPr>
            <w:tcW w:w="830" w:type="pct"/>
            <w:vMerge w:val="continue"/>
            <w:vAlign w:val="center"/>
          </w:tcPr>
          <w:p w14:paraId="6D311885">
            <w:pPr>
              <w:jc w:val="center"/>
              <w:rPr>
                <w:color w:val="000000" w:themeColor="text1"/>
                <w14:textFill>
                  <w14:solidFill>
                    <w14:schemeClr w14:val="tx1"/>
                  </w14:solidFill>
                </w14:textFill>
              </w:rPr>
            </w:pPr>
          </w:p>
        </w:tc>
        <w:tc>
          <w:tcPr>
            <w:tcW w:w="957" w:type="pct"/>
            <w:vMerge w:val="continue"/>
            <w:vAlign w:val="center"/>
          </w:tcPr>
          <w:p w14:paraId="0F868807">
            <w:pPr>
              <w:jc w:val="center"/>
              <w:rPr>
                <w:color w:val="000000" w:themeColor="text1"/>
                <w14:textFill>
                  <w14:solidFill>
                    <w14:schemeClr w14:val="tx1"/>
                  </w14:solidFill>
                </w14:textFill>
              </w:rPr>
            </w:pPr>
          </w:p>
        </w:tc>
      </w:tr>
      <w:tr w14:paraId="1869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73C622CC">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LG2</w:t>
            </w:r>
          </w:p>
        </w:tc>
        <w:tc>
          <w:tcPr>
            <w:tcW w:w="510" w:type="pct"/>
            <w:vMerge w:val="restart"/>
            <w:vAlign w:val="center"/>
          </w:tcPr>
          <w:p w14:paraId="1331E1AD">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w:t>
            </w:r>
          </w:p>
        </w:tc>
        <w:tc>
          <w:tcPr>
            <w:tcW w:w="1364" w:type="pct"/>
            <w:vAlign w:val="center"/>
          </w:tcPr>
          <w:p w14:paraId="7BAB5D2C">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78224B14">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107,07</w:t>
            </w:r>
          </w:p>
        </w:tc>
        <w:tc>
          <w:tcPr>
            <w:tcW w:w="830" w:type="pct"/>
            <w:vMerge w:val="restart"/>
            <w:vAlign w:val="center"/>
          </w:tcPr>
          <w:p w14:paraId="56A74642">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957" w:type="pct"/>
            <w:vMerge w:val="restart"/>
            <w:vAlign w:val="center"/>
          </w:tcPr>
          <w:p w14:paraId="6A3F45E3">
            <w:pPr>
              <w:jc w:val="center"/>
              <w:rPr>
                <w:color w:val="000000" w:themeColor="text1"/>
                <w14:textFill>
                  <w14:solidFill>
                    <w14:schemeClr w14:val="tx1"/>
                  </w14:solidFill>
                </w14:textFill>
              </w:rPr>
            </w:pPr>
            <w:r>
              <w:rPr>
                <w:color w:val="000000" w:themeColor="text1"/>
                <w14:textFill>
                  <w14:solidFill>
                    <w14:schemeClr w14:val="tx1"/>
                  </w14:solidFill>
                </w14:textFill>
              </w:rPr>
              <w:t>1.819,280</w:t>
            </w:r>
          </w:p>
        </w:tc>
      </w:tr>
      <w:tr w14:paraId="35AF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126E32ED">
            <w:pPr>
              <w:jc w:val="center"/>
              <w:rPr>
                <w:b/>
                <w:bCs/>
                <w:color w:val="000000" w:themeColor="text1"/>
                <w14:textFill>
                  <w14:solidFill>
                    <w14:schemeClr w14:val="tx1"/>
                  </w14:solidFill>
                </w14:textFill>
              </w:rPr>
            </w:pPr>
          </w:p>
        </w:tc>
        <w:tc>
          <w:tcPr>
            <w:tcW w:w="510" w:type="pct"/>
            <w:vMerge w:val="continue"/>
            <w:vAlign w:val="center"/>
          </w:tcPr>
          <w:p w14:paraId="28A4653F">
            <w:pPr>
              <w:jc w:val="center"/>
              <w:rPr>
                <w:b/>
                <w:bCs/>
                <w:color w:val="000000" w:themeColor="text1"/>
                <w14:textFill>
                  <w14:solidFill>
                    <w14:schemeClr w14:val="tx1"/>
                  </w14:solidFill>
                </w14:textFill>
              </w:rPr>
            </w:pPr>
          </w:p>
        </w:tc>
        <w:tc>
          <w:tcPr>
            <w:tcW w:w="1364" w:type="pct"/>
            <w:vAlign w:val="center"/>
          </w:tcPr>
          <w:p w14:paraId="45CCEFBD">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6215F4EF">
            <w:pPr>
              <w:jc w:val="center"/>
              <w:rPr>
                <w:color w:val="000000" w:themeColor="text1"/>
                <w14:textFill>
                  <w14:solidFill>
                    <w14:schemeClr w14:val="tx1"/>
                  </w14:solidFill>
                </w14:textFill>
              </w:rPr>
            </w:pPr>
            <w:r>
              <w:rPr>
                <w:color w:val="000000" w:themeColor="text1"/>
                <w14:textFill>
                  <w14:solidFill>
                    <w14:schemeClr w14:val="tx1"/>
                  </w14:solidFill>
                </w14:textFill>
              </w:rPr>
              <w:t>124,09</w:t>
            </w:r>
          </w:p>
        </w:tc>
        <w:tc>
          <w:tcPr>
            <w:tcW w:w="830" w:type="pct"/>
            <w:vMerge w:val="continue"/>
            <w:vAlign w:val="center"/>
          </w:tcPr>
          <w:p w14:paraId="7F625567">
            <w:pPr>
              <w:jc w:val="center"/>
              <w:rPr>
                <w:color w:val="000000" w:themeColor="text1"/>
                <w14:textFill>
                  <w14:solidFill>
                    <w14:schemeClr w14:val="tx1"/>
                  </w14:solidFill>
                </w14:textFill>
              </w:rPr>
            </w:pPr>
          </w:p>
        </w:tc>
        <w:tc>
          <w:tcPr>
            <w:tcW w:w="957" w:type="pct"/>
            <w:vMerge w:val="continue"/>
            <w:vAlign w:val="center"/>
          </w:tcPr>
          <w:p w14:paraId="7A7355C9">
            <w:pPr>
              <w:jc w:val="center"/>
              <w:rPr>
                <w:color w:val="000000" w:themeColor="text1"/>
                <w14:textFill>
                  <w14:solidFill>
                    <w14:schemeClr w14:val="tx1"/>
                  </w14:solidFill>
                </w14:textFill>
              </w:rPr>
            </w:pPr>
          </w:p>
        </w:tc>
      </w:tr>
      <w:tr w14:paraId="12B5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177FC73F">
            <w:pPr>
              <w:jc w:val="center"/>
              <w:rPr>
                <w:b/>
                <w:bCs/>
                <w:color w:val="000000" w:themeColor="text1"/>
                <w14:textFill>
                  <w14:solidFill>
                    <w14:schemeClr w14:val="tx1"/>
                  </w14:solidFill>
                </w14:textFill>
              </w:rPr>
            </w:pPr>
          </w:p>
        </w:tc>
        <w:tc>
          <w:tcPr>
            <w:tcW w:w="510" w:type="pct"/>
            <w:vMerge w:val="continue"/>
            <w:vAlign w:val="center"/>
          </w:tcPr>
          <w:p w14:paraId="1C0B8492">
            <w:pPr>
              <w:jc w:val="center"/>
              <w:rPr>
                <w:b/>
                <w:bCs/>
                <w:color w:val="000000" w:themeColor="text1"/>
                <w14:textFill>
                  <w14:solidFill>
                    <w14:schemeClr w14:val="tx1"/>
                  </w14:solidFill>
                </w14:textFill>
              </w:rPr>
            </w:pPr>
          </w:p>
        </w:tc>
        <w:tc>
          <w:tcPr>
            <w:tcW w:w="1364" w:type="pct"/>
            <w:vAlign w:val="center"/>
          </w:tcPr>
          <w:p w14:paraId="00E98FDD">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1B40B4F4">
            <w:pPr>
              <w:jc w:val="center"/>
              <w:rPr>
                <w:color w:val="000000" w:themeColor="text1"/>
                <w14:textFill>
                  <w14:solidFill>
                    <w14:schemeClr w14:val="tx1"/>
                  </w14:solidFill>
                </w14:textFill>
              </w:rPr>
            </w:pPr>
            <w:r>
              <w:rPr>
                <w:color w:val="000000" w:themeColor="text1"/>
                <w14:textFill>
                  <w14:solidFill>
                    <w14:schemeClr w14:val="tx1"/>
                  </w14:solidFill>
                </w14:textFill>
              </w:rPr>
              <w:t>124,09</w:t>
            </w:r>
          </w:p>
        </w:tc>
        <w:tc>
          <w:tcPr>
            <w:tcW w:w="830" w:type="pct"/>
            <w:vMerge w:val="continue"/>
            <w:vAlign w:val="center"/>
          </w:tcPr>
          <w:p w14:paraId="1C6AB9CE">
            <w:pPr>
              <w:jc w:val="center"/>
              <w:rPr>
                <w:color w:val="000000" w:themeColor="text1"/>
                <w14:textFill>
                  <w14:solidFill>
                    <w14:schemeClr w14:val="tx1"/>
                  </w14:solidFill>
                </w14:textFill>
              </w:rPr>
            </w:pPr>
          </w:p>
        </w:tc>
        <w:tc>
          <w:tcPr>
            <w:tcW w:w="957" w:type="pct"/>
            <w:vMerge w:val="continue"/>
            <w:vAlign w:val="center"/>
          </w:tcPr>
          <w:p w14:paraId="4566C58D">
            <w:pPr>
              <w:jc w:val="center"/>
              <w:rPr>
                <w:color w:val="000000" w:themeColor="text1"/>
                <w14:textFill>
                  <w14:solidFill>
                    <w14:schemeClr w14:val="tx1"/>
                  </w14:solidFill>
                </w14:textFill>
              </w:rPr>
            </w:pPr>
          </w:p>
        </w:tc>
      </w:tr>
      <w:tr w14:paraId="47B2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59E6624B">
            <w:pPr>
              <w:jc w:val="center"/>
              <w:rPr>
                <w:b/>
                <w:bCs/>
                <w:color w:val="000000" w:themeColor="text1"/>
                <w14:textFill>
                  <w14:solidFill>
                    <w14:schemeClr w14:val="tx1"/>
                  </w14:solidFill>
                </w14:textFill>
              </w:rPr>
            </w:pPr>
          </w:p>
        </w:tc>
        <w:tc>
          <w:tcPr>
            <w:tcW w:w="510" w:type="pct"/>
            <w:vMerge w:val="continue"/>
            <w:vAlign w:val="center"/>
          </w:tcPr>
          <w:p w14:paraId="7655B354">
            <w:pPr>
              <w:jc w:val="center"/>
              <w:rPr>
                <w:b/>
                <w:bCs/>
                <w:color w:val="000000" w:themeColor="text1"/>
                <w14:textFill>
                  <w14:solidFill>
                    <w14:schemeClr w14:val="tx1"/>
                  </w14:solidFill>
                </w14:textFill>
              </w:rPr>
            </w:pPr>
          </w:p>
        </w:tc>
        <w:tc>
          <w:tcPr>
            <w:tcW w:w="1364" w:type="pct"/>
            <w:vAlign w:val="center"/>
          </w:tcPr>
          <w:p w14:paraId="50CDA6C9">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 (áp mái)</w:t>
            </w:r>
          </w:p>
        </w:tc>
        <w:tc>
          <w:tcPr>
            <w:tcW w:w="712" w:type="pct"/>
            <w:vAlign w:val="center"/>
          </w:tcPr>
          <w:p w14:paraId="7C843DDD">
            <w:pPr>
              <w:jc w:val="center"/>
              <w:rPr>
                <w:color w:val="000000" w:themeColor="text1"/>
                <w14:textFill>
                  <w14:solidFill>
                    <w14:schemeClr w14:val="tx1"/>
                  </w14:solidFill>
                </w14:textFill>
              </w:rPr>
            </w:pPr>
            <w:r>
              <w:rPr>
                <w:color w:val="000000" w:themeColor="text1"/>
                <w14:textFill>
                  <w14:solidFill>
                    <w14:schemeClr w14:val="tx1"/>
                  </w14:solidFill>
                </w14:textFill>
              </w:rPr>
              <w:t>114,48</w:t>
            </w:r>
          </w:p>
        </w:tc>
        <w:tc>
          <w:tcPr>
            <w:tcW w:w="830" w:type="pct"/>
            <w:vMerge w:val="continue"/>
            <w:vAlign w:val="center"/>
          </w:tcPr>
          <w:p w14:paraId="7846471C">
            <w:pPr>
              <w:jc w:val="center"/>
              <w:rPr>
                <w:color w:val="000000" w:themeColor="text1"/>
                <w14:textFill>
                  <w14:solidFill>
                    <w14:schemeClr w14:val="tx1"/>
                  </w14:solidFill>
                </w14:textFill>
              </w:rPr>
            </w:pPr>
          </w:p>
        </w:tc>
        <w:tc>
          <w:tcPr>
            <w:tcW w:w="957" w:type="pct"/>
            <w:vMerge w:val="continue"/>
            <w:vAlign w:val="center"/>
          </w:tcPr>
          <w:p w14:paraId="3B22F8E1">
            <w:pPr>
              <w:jc w:val="center"/>
              <w:rPr>
                <w:color w:val="000000" w:themeColor="text1"/>
                <w14:textFill>
                  <w14:solidFill>
                    <w14:schemeClr w14:val="tx1"/>
                  </w14:solidFill>
                </w14:textFill>
              </w:rPr>
            </w:pPr>
          </w:p>
        </w:tc>
      </w:tr>
      <w:tr w14:paraId="7084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B7F6BAE">
            <w:pPr>
              <w:jc w:val="center"/>
              <w:rPr>
                <w:b/>
                <w:bCs/>
                <w:color w:val="000000" w:themeColor="text1"/>
                <w14:textFill>
                  <w14:solidFill>
                    <w14:schemeClr w14:val="tx1"/>
                  </w14:solidFill>
                </w14:textFill>
              </w:rPr>
            </w:pPr>
          </w:p>
        </w:tc>
        <w:tc>
          <w:tcPr>
            <w:tcW w:w="510" w:type="pct"/>
            <w:vMerge w:val="continue"/>
            <w:vAlign w:val="center"/>
          </w:tcPr>
          <w:p w14:paraId="5252CC33">
            <w:pPr>
              <w:jc w:val="center"/>
              <w:rPr>
                <w:b/>
                <w:bCs/>
                <w:color w:val="000000" w:themeColor="text1"/>
                <w14:textFill>
                  <w14:solidFill>
                    <w14:schemeClr w14:val="tx1"/>
                  </w14:solidFill>
                </w14:textFill>
              </w:rPr>
            </w:pPr>
          </w:p>
        </w:tc>
        <w:tc>
          <w:tcPr>
            <w:tcW w:w="1364" w:type="pct"/>
            <w:vAlign w:val="center"/>
          </w:tcPr>
          <w:p w14:paraId="4D70A023">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74BC2FDC">
            <w:pPr>
              <w:jc w:val="center"/>
              <w:rPr>
                <w:color w:val="000000" w:themeColor="text1"/>
                <w14:textFill>
                  <w14:solidFill>
                    <w14:schemeClr w14:val="tx1"/>
                  </w14:solidFill>
                </w14:textFill>
              </w:rPr>
            </w:pPr>
            <w:r>
              <w:rPr>
                <w:color w:val="000000" w:themeColor="text1"/>
                <w14:textFill>
                  <w14:solidFill>
                    <w14:schemeClr w14:val="tx1"/>
                  </w14:solidFill>
                </w14:textFill>
              </w:rPr>
              <w:t>92,16</w:t>
            </w:r>
          </w:p>
        </w:tc>
        <w:tc>
          <w:tcPr>
            <w:tcW w:w="830" w:type="pct"/>
            <w:vMerge w:val="continue"/>
            <w:vAlign w:val="center"/>
          </w:tcPr>
          <w:p w14:paraId="72850042">
            <w:pPr>
              <w:jc w:val="center"/>
              <w:rPr>
                <w:color w:val="000000" w:themeColor="text1"/>
                <w14:textFill>
                  <w14:solidFill>
                    <w14:schemeClr w14:val="tx1"/>
                  </w14:solidFill>
                </w14:textFill>
              </w:rPr>
            </w:pPr>
          </w:p>
        </w:tc>
        <w:tc>
          <w:tcPr>
            <w:tcW w:w="957" w:type="pct"/>
            <w:vMerge w:val="continue"/>
            <w:vAlign w:val="center"/>
          </w:tcPr>
          <w:p w14:paraId="7367CF32">
            <w:pPr>
              <w:jc w:val="center"/>
              <w:rPr>
                <w:color w:val="000000" w:themeColor="text1"/>
                <w14:textFill>
                  <w14:solidFill>
                    <w14:schemeClr w14:val="tx1"/>
                  </w14:solidFill>
                </w14:textFill>
              </w:rPr>
            </w:pPr>
          </w:p>
        </w:tc>
      </w:tr>
      <w:tr w14:paraId="79D5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D2DB98D">
            <w:pPr>
              <w:jc w:val="center"/>
              <w:rPr>
                <w:b/>
                <w:bCs/>
                <w:color w:val="000000" w:themeColor="text1"/>
                <w14:textFill>
                  <w14:solidFill>
                    <w14:schemeClr w14:val="tx1"/>
                  </w14:solidFill>
                </w14:textFill>
              </w:rPr>
            </w:pPr>
          </w:p>
        </w:tc>
        <w:tc>
          <w:tcPr>
            <w:tcW w:w="510" w:type="pct"/>
            <w:vMerge w:val="continue"/>
            <w:vAlign w:val="center"/>
          </w:tcPr>
          <w:p w14:paraId="4E34318F">
            <w:pPr>
              <w:jc w:val="center"/>
              <w:rPr>
                <w:b/>
                <w:bCs/>
                <w:color w:val="000000" w:themeColor="text1"/>
                <w14:textFill>
                  <w14:solidFill>
                    <w14:schemeClr w14:val="tx1"/>
                  </w14:solidFill>
                </w14:textFill>
              </w:rPr>
            </w:pPr>
          </w:p>
        </w:tc>
        <w:tc>
          <w:tcPr>
            <w:tcW w:w="1364" w:type="pct"/>
            <w:vAlign w:val="center"/>
          </w:tcPr>
          <w:p w14:paraId="435E24E6">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0DBA5F41">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454,82</w:t>
            </w:r>
          </w:p>
        </w:tc>
        <w:tc>
          <w:tcPr>
            <w:tcW w:w="830" w:type="pct"/>
            <w:vMerge w:val="continue"/>
            <w:vAlign w:val="center"/>
          </w:tcPr>
          <w:p w14:paraId="41E4EFF8">
            <w:pPr>
              <w:jc w:val="center"/>
              <w:rPr>
                <w:color w:val="000000" w:themeColor="text1"/>
                <w14:textFill>
                  <w14:solidFill>
                    <w14:schemeClr w14:val="tx1"/>
                  </w14:solidFill>
                </w14:textFill>
              </w:rPr>
            </w:pPr>
          </w:p>
        </w:tc>
        <w:tc>
          <w:tcPr>
            <w:tcW w:w="957" w:type="pct"/>
            <w:vMerge w:val="continue"/>
            <w:vAlign w:val="center"/>
          </w:tcPr>
          <w:p w14:paraId="06D6CF25">
            <w:pPr>
              <w:jc w:val="center"/>
              <w:rPr>
                <w:color w:val="000000" w:themeColor="text1"/>
                <w14:textFill>
                  <w14:solidFill>
                    <w14:schemeClr w14:val="tx1"/>
                  </w14:solidFill>
                </w14:textFill>
              </w:rPr>
            </w:pPr>
          </w:p>
        </w:tc>
      </w:tr>
      <w:tr w14:paraId="0D41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0BE7BCE7">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LG2.2</w:t>
            </w:r>
          </w:p>
        </w:tc>
        <w:tc>
          <w:tcPr>
            <w:tcW w:w="510" w:type="pct"/>
            <w:vMerge w:val="restart"/>
            <w:vAlign w:val="center"/>
          </w:tcPr>
          <w:p w14:paraId="54469141">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w:t>
            </w:r>
          </w:p>
        </w:tc>
        <w:tc>
          <w:tcPr>
            <w:tcW w:w="1364" w:type="pct"/>
            <w:vAlign w:val="center"/>
          </w:tcPr>
          <w:p w14:paraId="323F5251">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4245AFE3">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77,48</w:t>
            </w:r>
          </w:p>
        </w:tc>
        <w:tc>
          <w:tcPr>
            <w:tcW w:w="830" w:type="pct"/>
            <w:vMerge w:val="restart"/>
            <w:vAlign w:val="center"/>
          </w:tcPr>
          <w:p w14:paraId="067975BA">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957" w:type="pct"/>
            <w:vMerge w:val="restart"/>
            <w:vAlign w:val="center"/>
          </w:tcPr>
          <w:p w14:paraId="7CA62760">
            <w:pPr>
              <w:jc w:val="center"/>
              <w:rPr>
                <w:color w:val="000000" w:themeColor="text1"/>
                <w14:textFill>
                  <w14:solidFill>
                    <w14:schemeClr w14:val="tx1"/>
                  </w14:solidFill>
                </w14:textFill>
              </w:rPr>
            </w:pPr>
            <w:r>
              <w:rPr>
                <w:color w:val="000000" w:themeColor="text1"/>
                <w14:textFill>
                  <w14:solidFill>
                    <w14:schemeClr w14:val="tx1"/>
                  </w14:solidFill>
                </w14:textFill>
              </w:rPr>
              <w:t>640,600</w:t>
            </w:r>
          </w:p>
        </w:tc>
      </w:tr>
      <w:tr w14:paraId="707F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4F1DE17">
            <w:pPr>
              <w:jc w:val="center"/>
              <w:rPr>
                <w:b/>
                <w:bCs/>
                <w:color w:val="000000" w:themeColor="text1"/>
                <w14:textFill>
                  <w14:solidFill>
                    <w14:schemeClr w14:val="tx1"/>
                  </w14:solidFill>
                </w14:textFill>
              </w:rPr>
            </w:pPr>
          </w:p>
        </w:tc>
        <w:tc>
          <w:tcPr>
            <w:tcW w:w="510" w:type="pct"/>
            <w:vMerge w:val="continue"/>
            <w:vAlign w:val="center"/>
          </w:tcPr>
          <w:p w14:paraId="6DE1D425">
            <w:pPr>
              <w:jc w:val="center"/>
              <w:rPr>
                <w:b/>
                <w:bCs/>
                <w:color w:val="000000" w:themeColor="text1"/>
                <w14:textFill>
                  <w14:solidFill>
                    <w14:schemeClr w14:val="tx1"/>
                  </w14:solidFill>
                </w14:textFill>
              </w:rPr>
            </w:pPr>
          </w:p>
        </w:tc>
        <w:tc>
          <w:tcPr>
            <w:tcW w:w="1364" w:type="pct"/>
            <w:vAlign w:val="center"/>
          </w:tcPr>
          <w:p w14:paraId="0B948DB3">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5D0CC20D">
            <w:pPr>
              <w:jc w:val="center"/>
              <w:rPr>
                <w:color w:val="000000" w:themeColor="text1"/>
                <w14:textFill>
                  <w14:solidFill>
                    <w14:schemeClr w14:val="tx1"/>
                  </w14:solidFill>
                </w14:textFill>
              </w:rPr>
            </w:pPr>
            <w:r>
              <w:rPr>
                <w:color w:val="000000" w:themeColor="text1"/>
                <w14:textFill>
                  <w14:solidFill>
                    <w14:schemeClr w14:val="tx1"/>
                  </w14:solidFill>
                </w14:textFill>
              </w:rPr>
              <w:t>89,36</w:t>
            </w:r>
          </w:p>
        </w:tc>
        <w:tc>
          <w:tcPr>
            <w:tcW w:w="830" w:type="pct"/>
            <w:vMerge w:val="continue"/>
            <w:vAlign w:val="center"/>
          </w:tcPr>
          <w:p w14:paraId="4D7D4523">
            <w:pPr>
              <w:jc w:val="center"/>
              <w:rPr>
                <w:color w:val="000000" w:themeColor="text1"/>
                <w14:textFill>
                  <w14:solidFill>
                    <w14:schemeClr w14:val="tx1"/>
                  </w14:solidFill>
                </w14:textFill>
              </w:rPr>
            </w:pPr>
          </w:p>
        </w:tc>
        <w:tc>
          <w:tcPr>
            <w:tcW w:w="957" w:type="pct"/>
            <w:vMerge w:val="continue"/>
            <w:vAlign w:val="center"/>
          </w:tcPr>
          <w:p w14:paraId="59D23671">
            <w:pPr>
              <w:jc w:val="center"/>
              <w:rPr>
                <w:color w:val="000000" w:themeColor="text1"/>
                <w14:textFill>
                  <w14:solidFill>
                    <w14:schemeClr w14:val="tx1"/>
                  </w14:solidFill>
                </w14:textFill>
              </w:rPr>
            </w:pPr>
          </w:p>
        </w:tc>
      </w:tr>
      <w:tr w14:paraId="0975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62C6288F">
            <w:pPr>
              <w:jc w:val="center"/>
              <w:rPr>
                <w:b/>
                <w:bCs/>
                <w:color w:val="000000" w:themeColor="text1"/>
                <w14:textFill>
                  <w14:solidFill>
                    <w14:schemeClr w14:val="tx1"/>
                  </w14:solidFill>
                </w14:textFill>
              </w:rPr>
            </w:pPr>
          </w:p>
        </w:tc>
        <w:tc>
          <w:tcPr>
            <w:tcW w:w="510" w:type="pct"/>
            <w:vMerge w:val="continue"/>
            <w:vAlign w:val="center"/>
          </w:tcPr>
          <w:p w14:paraId="670EDE53">
            <w:pPr>
              <w:jc w:val="center"/>
              <w:rPr>
                <w:b/>
                <w:bCs/>
                <w:color w:val="000000" w:themeColor="text1"/>
                <w14:textFill>
                  <w14:solidFill>
                    <w14:schemeClr w14:val="tx1"/>
                  </w14:solidFill>
                </w14:textFill>
              </w:rPr>
            </w:pPr>
          </w:p>
        </w:tc>
        <w:tc>
          <w:tcPr>
            <w:tcW w:w="1364" w:type="pct"/>
            <w:vAlign w:val="center"/>
          </w:tcPr>
          <w:p w14:paraId="4073F0F7">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3AF01344">
            <w:pPr>
              <w:jc w:val="center"/>
              <w:rPr>
                <w:color w:val="000000" w:themeColor="text1"/>
                <w14:textFill>
                  <w14:solidFill>
                    <w14:schemeClr w14:val="tx1"/>
                  </w14:solidFill>
                </w14:textFill>
              </w:rPr>
            </w:pPr>
            <w:r>
              <w:rPr>
                <w:color w:val="000000" w:themeColor="text1"/>
                <w14:textFill>
                  <w14:solidFill>
                    <w14:schemeClr w14:val="tx1"/>
                  </w14:solidFill>
                </w14:textFill>
              </w:rPr>
              <w:t>89,36</w:t>
            </w:r>
          </w:p>
        </w:tc>
        <w:tc>
          <w:tcPr>
            <w:tcW w:w="830" w:type="pct"/>
            <w:vMerge w:val="continue"/>
            <w:vAlign w:val="center"/>
          </w:tcPr>
          <w:p w14:paraId="271FE1E2">
            <w:pPr>
              <w:jc w:val="center"/>
              <w:rPr>
                <w:color w:val="000000" w:themeColor="text1"/>
                <w14:textFill>
                  <w14:solidFill>
                    <w14:schemeClr w14:val="tx1"/>
                  </w14:solidFill>
                </w14:textFill>
              </w:rPr>
            </w:pPr>
          </w:p>
        </w:tc>
        <w:tc>
          <w:tcPr>
            <w:tcW w:w="957" w:type="pct"/>
            <w:vMerge w:val="continue"/>
            <w:vAlign w:val="center"/>
          </w:tcPr>
          <w:p w14:paraId="0D296E33">
            <w:pPr>
              <w:jc w:val="center"/>
              <w:rPr>
                <w:color w:val="000000" w:themeColor="text1"/>
                <w14:textFill>
                  <w14:solidFill>
                    <w14:schemeClr w14:val="tx1"/>
                  </w14:solidFill>
                </w14:textFill>
              </w:rPr>
            </w:pPr>
          </w:p>
        </w:tc>
      </w:tr>
      <w:tr w14:paraId="6B3F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76C510EF">
            <w:pPr>
              <w:jc w:val="center"/>
              <w:rPr>
                <w:b/>
                <w:bCs/>
                <w:color w:val="000000" w:themeColor="text1"/>
                <w14:textFill>
                  <w14:solidFill>
                    <w14:schemeClr w14:val="tx1"/>
                  </w14:solidFill>
                </w14:textFill>
              </w:rPr>
            </w:pPr>
          </w:p>
        </w:tc>
        <w:tc>
          <w:tcPr>
            <w:tcW w:w="510" w:type="pct"/>
            <w:vMerge w:val="continue"/>
            <w:vAlign w:val="center"/>
          </w:tcPr>
          <w:p w14:paraId="01279A10">
            <w:pPr>
              <w:jc w:val="center"/>
              <w:rPr>
                <w:b/>
                <w:bCs/>
                <w:color w:val="000000" w:themeColor="text1"/>
                <w14:textFill>
                  <w14:solidFill>
                    <w14:schemeClr w14:val="tx1"/>
                  </w14:solidFill>
                </w14:textFill>
              </w:rPr>
            </w:pPr>
          </w:p>
        </w:tc>
        <w:tc>
          <w:tcPr>
            <w:tcW w:w="1364" w:type="pct"/>
            <w:vAlign w:val="center"/>
          </w:tcPr>
          <w:p w14:paraId="674E0764">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 (áp mái)</w:t>
            </w:r>
          </w:p>
        </w:tc>
        <w:tc>
          <w:tcPr>
            <w:tcW w:w="712" w:type="pct"/>
            <w:vAlign w:val="center"/>
          </w:tcPr>
          <w:p w14:paraId="377E6E48">
            <w:pPr>
              <w:jc w:val="center"/>
              <w:rPr>
                <w:color w:val="000000" w:themeColor="text1"/>
                <w14:textFill>
                  <w14:solidFill>
                    <w14:schemeClr w14:val="tx1"/>
                  </w14:solidFill>
                </w14:textFill>
              </w:rPr>
            </w:pPr>
            <w:r>
              <w:rPr>
                <w:color w:val="000000" w:themeColor="text1"/>
                <w14:textFill>
                  <w14:solidFill>
                    <w14:schemeClr w14:val="tx1"/>
                  </w14:solidFill>
                </w14:textFill>
              </w:rPr>
              <w:t>82,98</w:t>
            </w:r>
          </w:p>
        </w:tc>
        <w:tc>
          <w:tcPr>
            <w:tcW w:w="830" w:type="pct"/>
            <w:vMerge w:val="continue"/>
            <w:vAlign w:val="center"/>
          </w:tcPr>
          <w:p w14:paraId="08599521">
            <w:pPr>
              <w:jc w:val="center"/>
              <w:rPr>
                <w:color w:val="000000" w:themeColor="text1"/>
                <w14:textFill>
                  <w14:solidFill>
                    <w14:schemeClr w14:val="tx1"/>
                  </w14:solidFill>
                </w14:textFill>
              </w:rPr>
            </w:pPr>
          </w:p>
        </w:tc>
        <w:tc>
          <w:tcPr>
            <w:tcW w:w="957" w:type="pct"/>
            <w:vMerge w:val="continue"/>
            <w:vAlign w:val="center"/>
          </w:tcPr>
          <w:p w14:paraId="6FBAC5B6">
            <w:pPr>
              <w:jc w:val="center"/>
              <w:rPr>
                <w:color w:val="000000" w:themeColor="text1"/>
                <w14:textFill>
                  <w14:solidFill>
                    <w14:schemeClr w14:val="tx1"/>
                  </w14:solidFill>
                </w14:textFill>
              </w:rPr>
            </w:pPr>
          </w:p>
        </w:tc>
      </w:tr>
      <w:tr w14:paraId="7BF9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0B091868">
            <w:pPr>
              <w:jc w:val="center"/>
              <w:rPr>
                <w:b/>
                <w:bCs/>
                <w:color w:val="000000" w:themeColor="text1"/>
                <w14:textFill>
                  <w14:solidFill>
                    <w14:schemeClr w14:val="tx1"/>
                  </w14:solidFill>
                </w14:textFill>
              </w:rPr>
            </w:pPr>
          </w:p>
        </w:tc>
        <w:tc>
          <w:tcPr>
            <w:tcW w:w="510" w:type="pct"/>
            <w:vMerge w:val="continue"/>
            <w:vAlign w:val="center"/>
          </w:tcPr>
          <w:p w14:paraId="76F9F1F8">
            <w:pPr>
              <w:jc w:val="center"/>
              <w:rPr>
                <w:b/>
                <w:bCs/>
                <w:color w:val="000000" w:themeColor="text1"/>
                <w14:textFill>
                  <w14:solidFill>
                    <w14:schemeClr w14:val="tx1"/>
                  </w14:solidFill>
                </w14:textFill>
              </w:rPr>
            </w:pPr>
          </w:p>
        </w:tc>
        <w:tc>
          <w:tcPr>
            <w:tcW w:w="1364" w:type="pct"/>
            <w:vAlign w:val="center"/>
          </w:tcPr>
          <w:p w14:paraId="6DC4AD07">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2D2EE226">
            <w:pPr>
              <w:jc w:val="center"/>
              <w:rPr>
                <w:color w:val="000000" w:themeColor="text1"/>
                <w14:textFill>
                  <w14:solidFill>
                    <w14:schemeClr w14:val="tx1"/>
                  </w14:solidFill>
                </w14:textFill>
              </w:rPr>
            </w:pPr>
            <w:r>
              <w:rPr>
                <w:color w:val="000000" w:themeColor="text1"/>
                <w14:textFill>
                  <w14:solidFill>
                    <w14:schemeClr w14:val="tx1"/>
                  </w14:solidFill>
                </w14:textFill>
              </w:rPr>
              <w:t>58,6</w:t>
            </w:r>
          </w:p>
        </w:tc>
        <w:tc>
          <w:tcPr>
            <w:tcW w:w="830" w:type="pct"/>
            <w:vMerge w:val="continue"/>
            <w:vAlign w:val="center"/>
          </w:tcPr>
          <w:p w14:paraId="7AA6A856">
            <w:pPr>
              <w:jc w:val="center"/>
              <w:rPr>
                <w:color w:val="000000" w:themeColor="text1"/>
                <w14:textFill>
                  <w14:solidFill>
                    <w14:schemeClr w14:val="tx1"/>
                  </w14:solidFill>
                </w14:textFill>
              </w:rPr>
            </w:pPr>
          </w:p>
        </w:tc>
        <w:tc>
          <w:tcPr>
            <w:tcW w:w="957" w:type="pct"/>
            <w:vMerge w:val="continue"/>
            <w:vAlign w:val="center"/>
          </w:tcPr>
          <w:p w14:paraId="6694F7F5">
            <w:pPr>
              <w:jc w:val="center"/>
              <w:rPr>
                <w:color w:val="000000" w:themeColor="text1"/>
                <w14:textFill>
                  <w14:solidFill>
                    <w14:schemeClr w14:val="tx1"/>
                  </w14:solidFill>
                </w14:textFill>
              </w:rPr>
            </w:pPr>
          </w:p>
        </w:tc>
      </w:tr>
      <w:tr w14:paraId="3AC9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69766DE">
            <w:pPr>
              <w:jc w:val="center"/>
              <w:rPr>
                <w:b/>
                <w:bCs/>
                <w:color w:val="000000" w:themeColor="text1"/>
                <w14:textFill>
                  <w14:solidFill>
                    <w14:schemeClr w14:val="tx1"/>
                  </w14:solidFill>
                </w14:textFill>
              </w:rPr>
            </w:pPr>
          </w:p>
        </w:tc>
        <w:tc>
          <w:tcPr>
            <w:tcW w:w="510" w:type="pct"/>
            <w:vMerge w:val="continue"/>
            <w:vAlign w:val="center"/>
          </w:tcPr>
          <w:p w14:paraId="19520A9F">
            <w:pPr>
              <w:jc w:val="center"/>
              <w:rPr>
                <w:b/>
                <w:bCs/>
                <w:color w:val="000000" w:themeColor="text1"/>
                <w14:textFill>
                  <w14:solidFill>
                    <w14:schemeClr w14:val="tx1"/>
                  </w14:solidFill>
                </w14:textFill>
              </w:rPr>
            </w:pPr>
          </w:p>
        </w:tc>
        <w:tc>
          <w:tcPr>
            <w:tcW w:w="1364" w:type="pct"/>
            <w:vAlign w:val="center"/>
          </w:tcPr>
          <w:p w14:paraId="7B6E4389">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5021CD70">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320,3</w:t>
            </w:r>
          </w:p>
        </w:tc>
        <w:tc>
          <w:tcPr>
            <w:tcW w:w="830" w:type="pct"/>
            <w:vMerge w:val="continue"/>
            <w:vAlign w:val="center"/>
          </w:tcPr>
          <w:p w14:paraId="3BD32677">
            <w:pPr>
              <w:jc w:val="center"/>
              <w:rPr>
                <w:color w:val="000000" w:themeColor="text1"/>
                <w14:textFill>
                  <w14:solidFill>
                    <w14:schemeClr w14:val="tx1"/>
                  </w14:solidFill>
                </w14:textFill>
              </w:rPr>
            </w:pPr>
          </w:p>
        </w:tc>
        <w:tc>
          <w:tcPr>
            <w:tcW w:w="957" w:type="pct"/>
            <w:vMerge w:val="continue"/>
            <w:vAlign w:val="center"/>
          </w:tcPr>
          <w:p w14:paraId="2E7788D6">
            <w:pPr>
              <w:jc w:val="center"/>
              <w:rPr>
                <w:color w:val="000000" w:themeColor="text1"/>
                <w14:textFill>
                  <w14:solidFill>
                    <w14:schemeClr w14:val="tx1"/>
                  </w14:solidFill>
                </w14:textFill>
              </w:rPr>
            </w:pPr>
          </w:p>
        </w:tc>
      </w:tr>
      <w:tr w14:paraId="12F2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5498FAD7">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LG2.1</w:t>
            </w:r>
          </w:p>
        </w:tc>
        <w:tc>
          <w:tcPr>
            <w:tcW w:w="510" w:type="pct"/>
            <w:vMerge w:val="restart"/>
            <w:vAlign w:val="center"/>
          </w:tcPr>
          <w:p w14:paraId="0BDBECCA">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w:t>
            </w:r>
          </w:p>
        </w:tc>
        <w:tc>
          <w:tcPr>
            <w:tcW w:w="1364" w:type="pct"/>
            <w:vAlign w:val="center"/>
          </w:tcPr>
          <w:p w14:paraId="0F17BD54">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1CC6FEFB">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85,86</w:t>
            </w:r>
          </w:p>
        </w:tc>
        <w:tc>
          <w:tcPr>
            <w:tcW w:w="830" w:type="pct"/>
            <w:vMerge w:val="restart"/>
            <w:vAlign w:val="center"/>
          </w:tcPr>
          <w:p w14:paraId="1930B741">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957" w:type="pct"/>
            <w:vMerge w:val="restart"/>
            <w:vAlign w:val="center"/>
          </w:tcPr>
          <w:p w14:paraId="7CF30ACE">
            <w:pPr>
              <w:jc w:val="center"/>
              <w:rPr>
                <w:color w:val="000000" w:themeColor="text1"/>
                <w14:textFill>
                  <w14:solidFill>
                    <w14:schemeClr w14:val="tx1"/>
                  </w14:solidFill>
                </w14:textFill>
              </w:rPr>
            </w:pPr>
            <w:r>
              <w:rPr>
                <w:color w:val="000000" w:themeColor="text1"/>
                <w14:textFill>
                  <w14:solidFill>
                    <w14:schemeClr w14:val="tx1"/>
                  </w14:solidFill>
                </w14:textFill>
              </w:rPr>
              <w:t>361,600</w:t>
            </w:r>
          </w:p>
        </w:tc>
      </w:tr>
      <w:tr w14:paraId="277E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7DCB7D1A">
            <w:pPr>
              <w:jc w:val="center"/>
              <w:rPr>
                <w:b/>
                <w:bCs/>
                <w:color w:val="000000" w:themeColor="text1"/>
                <w14:textFill>
                  <w14:solidFill>
                    <w14:schemeClr w14:val="tx1"/>
                  </w14:solidFill>
                </w14:textFill>
              </w:rPr>
            </w:pPr>
          </w:p>
        </w:tc>
        <w:tc>
          <w:tcPr>
            <w:tcW w:w="510" w:type="pct"/>
            <w:vMerge w:val="continue"/>
            <w:vAlign w:val="center"/>
          </w:tcPr>
          <w:p w14:paraId="028B4330">
            <w:pPr>
              <w:jc w:val="center"/>
              <w:rPr>
                <w:b/>
                <w:bCs/>
                <w:color w:val="000000" w:themeColor="text1"/>
                <w14:textFill>
                  <w14:solidFill>
                    <w14:schemeClr w14:val="tx1"/>
                  </w14:solidFill>
                </w14:textFill>
              </w:rPr>
            </w:pPr>
          </w:p>
        </w:tc>
        <w:tc>
          <w:tcPr>
            <w:tcW w:w="1364" w:type="pct"/>
            <w:vAlign w:val="center"/>
          </w:tcPr>
          <w:p w14:paraId="339D3BEA">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321051AF">
            <w:pPr>
              <w:jc w:val="center"/>
              <w:rPr>
                <w:color w:val="000000" w:themeColor="text1"/>
                <w14:textFill>
                  <w14:solidFill>
                    <w14:schemeClr w14:val="tx1"/>
                  </w14:solidFill>
                </w14:textFill>
              </w:rPr>
            </w:pPr>
            <w:r>
              <w:rPr>
                <w:color w:val="000000" w:themeColor="text1"/>
                <w14:textFill>
                  <w14:solidFill>
                    <w14:schemeClr w14:val="tx1"/>
                  </w14:solidFill>
                </w14:textFill>
              </w:rPr>
              <w:t>101,73</w:t>
            </w:r>
          </w:p>
        </w:tc>
        <w:tc>
          <w:tcPr>
            <w:tcW w:w="830" w:type="pct"/>
            <w:vMerge w:val="continue"/>
            <w:vAlign w:val="center"/>
          </w:tcPr>
          <w:p w14:paraId="371A709B">
            <w:pPr>
              <w:jc w:val="center"/>
              <w:rPr>
                <w:color w:val="000000" w:themeColor="text1"/>
                <w14:textFill>
                  <w14:solidFill>
                    <w14:schemeClr w14:val="tx1"/>
                  </w14:solidFill>
                </w14:textFill>
              </w:rPr>
            </w:pPr>
          </w:p>
        </w:tc>
        <w:tc>
          <w:tcPr>
            <w:tcW w:w="957" w:type="pct"/>
            <w:vMerge w:val="continue"/>
            <w:vAlign w:val="center"/>
          </w:tcPr>
          <w:p w14:paraId="0C5EAF79">
            <w:pPr>
              <w:jc w:val="center"/>
              <w:rPr>
                <w:color w:val="000000" w:themeColor="text1"/>
                <w14:textFill>
                  <w14:solidFill>
                    <w14:schemeClr w14:val="tx1"/>
                  </w14:solidFill>
                </w14:textFill>
              </w:rPr>
            </w:pPr>
          </w:p>
        </w:tc>
      </w:tr>
      <w:tr w14:paraId="70A3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357C72E3">
            <w:pPr>
              <w:jc w:val="center"/>
              <w:rPr>
                <w:b/>
                <w:bCs/>
                <w:color w:val="000000" w:themeColor="text1"/>
                <w14:textFill>
                  <w14:solidFill>
                    <w14:schemeClr w14:val="tx1"/>
                  </w14:solidFill>
                </w14:textFill>
              </w:rPr>
            </w:pPr>
          </w:p>
        </w:tc>
        <w:tc>
          <w:tcPr>
            <w:tcW w:w="510" w:type="pct"/>
            <w:vMerge w:val="continue"/>
            <w:vAlign w:val="center"/>
          </w:tcPr>
          <w:p w14:paraId="02504862">
            <w:pPr>
              <w:jc w:val="center"/>
              <w:rPr>
                <w:b/>
                <w:bCs/>
                <w:color w:val="000000" w:themeColor="text1"/>
                <w14:textFill>
                  <w14:solidFill>
                    <w14:schemeClr w14:val="tx1"/>
                  </w14:solidFill>
                </w14:textFill>
              </w:rPr>
            </w:pPr>
          </w:p>
        </w:tc>
        <w:tc>
          <w:tcPr>
            <w:tcW w:w="1364" w:type="pct"/>
            <w:vAlign w:val="center"/>
          </w:tcPr>
          <w:p w14:paraId="5CF589E1">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52B75202">
            <w:pPr>
              <w:jc w:val="center"/>
              <w:rPr>
                <w:color w:val="000000" w:themeColor="text1"/>
                <w14:textFill>
                  <w14:solidFill>
                    <w14:schemeClr w14:val="tx1"/>
                  </w14:solidFill>
                </w14:textFill>
              </w:rPr>
            </w:pPr>
            <w:r>
              <w:rPr>
                <w:color w:val="000000" w:themeColor="text1"/>
                <w14:textFill>
                  <w14:solidFill>
                    <w14:schemeClr w14:val="tx1"/>
                  </w14:solidFill>
                </w14:textFill>
              </w:rPr>
              <w:t>101,73</w:t>
            </w:r>
          </w:p>
        </w:tc>
        <w:tc>
          <w:tcPr>
            <w:tcW w:w="830" w:type="pct"/>
            <w:vMerge w:val="continue"/>
            <w:vAlign w:val="center"/>
          </w:tcPr>
          <w:p w14:paraId="5DD1FC54">
            <w:pPr>
              <w:jc w:val="center"/>
              <w:rPr>
                <w:color w:val="000000" w:themeColor="text1"/>
                <w14:textFill>
                  <w14:solidFill>
                    <w14:schemeClr w14:val="tx1"/>
                  </w14:solidFill>
                </w14:textFill>
              </w:rPr>
            </w:pPr>
          </w:p>
        </w:tc>
        <w:tc>
          <w:tcPr>
            <w:tcW w:w="957" w:type="pct"/>
            <w:vMerge w:val="continue"/>
            <w:vAlign w:val="center"/>
          </w:tcPr>
          <w:p w14:paraId="5BCA080B">
            <w:pPr>
              <w:jc w:val="center"/>
              <w:rPr>
                <w:color w:val="000000" w:themeColor="text1"/>
                <w14:textFill>
                  <w14:solidFill>
                    <w14:schemeClr w14:val="tx1"/>
                  </w14:solidFill>
                </w14:textFill>
              </w:rPr>
            </w:pPr>
          </w:p>
        </w:tc>
      </w:tr>
      <w:tr w14:paraId="76A4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48886644">
            <w:pPr>
              <w:jc w:val="center"/>
              <w:rPr>
                <w:b/>
                <w:bCs/>
                <w:color w:val="000000" w:themeColor="text1"/>
                <w14:textFill>
                  <w14:solidFill>
                    <w14:schemeClr w14:val="tx1"/>
                  </w14:solidFill>
                </w14:textFill>
              </w:rPr>
            </w:pPr>
          </w:p>
        </w:tc>
        <w:tc>
          <w:tcPr>
            <w:tcW w:w="510" w:type="pct"/>
            <w:vMerge w:val="continue"/>
            <w:vAlign w:val="center"/>
          </w:tcPr>
          <w:p w14:paraId="33C82116">
            <w:pPr>
              <w:jc w:val="center"/>
              <w:rPr>
                <w:b/>
                <w:bCs/>
                <w:color w:val="000000" w:themeColor="text1"/>
                <w14:textFill>
                  <w14:solidFill>
                    <w14:schemeClr w14:val="tx1"/>
                  </w14:solidFill>
                </w14:textFill>
              </w:rPr>
            </w:pPr>
          </w:p>
        </w:tc>
        <w:tc>
          <w:tcPr>
            <w:tcW w:w="1364" w:type="pct"/>
            <w:vAlign w:val="center"/>
          </w:tcPr>
          <w:p w14:paraId="1FAA0F6D">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 (áp mái)</w:t>
            </w:r>
          </w:p>
        </w:tc>
        <w:tc>
          <w:tcPr>
            <w:tcW w:w="712" w:type="pct"/>
            <w:vAlign w:val="center"/>
          </w:tcPr>
          <w:p w14:paraId="5A1E988B">
            <w:pPr>
              <w:jc w:val="center"/>
              <w:rPr>
                <w:color w:val="000000" w:themeColor="text1"/>
                <w14:textFill>
                  <w14:solidFill>
                    <w14:schemeClr w14:val="tx1"/>
                  </w14:solidFill>
                </w14:textFill>
              </w:rPr>
            </w:pPr>
            <w:r>
              <w:rPr>
                <w:color w:val="000000" w:themeColor="text1"/>
                <w14:textFill>
                  <w14:solidFill>
                    <w14:schemeClr w14:val="tx1"/>
                  </w14:solidFill>
                </w14:textFill>
              </w:rPr>
              <w:t>92,23</w:t>
            </w:r>
          </w:p>
        </w:tc>
        <w:tc>
          <w:tcPr>
            <w:tcW w:w="830" w:type="pct"/>
            <w:vMerge w:val="continue"/>
            <w:vAlign w:val="center"/>
          </w:tcPr>
          <w:p w14:paraId="62CF056E">
            <w:pPr>
              <w:jc w:val="center"/>
              <w:rPr>
                <w:color w:val="000000" w:themeColor="text1"/>
                <w14:textFill>
                  <w14:solidFill>
                    <w14:schemeClr w14:val="tx1"/>
                  </w14:solidFill>
                </w14:textFill>
              </w:rPr>
            </w:pPr>
          </w:p>
        </w:tc>
        <w:tc>
          <w:tcPr>
            <w:tcW w:w="957" w:type="pct"/>
            <w:vMerge w:val="continue"/>
            <w:vAlign w:val="center"/>
          </w:tcPr>
          <w:p w14:paraId="3B102D3F">
            <w:pPr>
              <w:jc w:val="center"/>
              <w:rPr>
                <w:color w:val="000000" w:themeColor="text1"/>
                <w14:textFill>
                  <w14:solidFill>
                    <w14:schemeClr w14:val="tx1"/>
                  </w14:solidFill>
                </w14:textFill>
              </w:rPr>
            </w:pPr>
          </w:p>
        </w:tc>
      </w:tr>
      <w:tr w14:paraId="7BD0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1C2EF6E">
            <w:pPr>
              <w:jc w:val="center"/>
              <w:rPr>
                <w:b/>
                <w:bCs/>
                <w:color w:val="000000" w:themeColor="text1"/>
                <w14:textFill>
                  <w14:solidFill>
                    <w14:schemeClr w14:val="tx1"/>
                  </w14:solidFill>
                </w14:textFill>
              </w:rPr>
            </w:pPr>
          </w:p>
        </w:tc>
        <w:tc>
          <w:tcPr>
            <w:tcW w:w="510" w:type="pct"/>
            <w:vMerge w:val="continue"/>
            <w:vAlign w:val="center"/>
          </w:tcPr>
          <w:p w14:paraId="4E68171E">
            <w:pPr>
              <w:jc w:val="center"/>
              <w:rPr>
                <w:b/>
                <w:bCs/>
                <w:color w:val="000000" w:themeColor="text1"/>
                <w14:textFill>
                  <w14:solidFill>
                    <w14:schemeClr w14:val="tx1"/>
                  </w14:solidFill>
                </w14:textFill>
              </w:rPr>
            </w:pPr>
          </w:p>
        </w:tc>
        <w:tc>
          <w:tcPr>
            <w:tcW w:w="1364" w:type="pct"/>
            <w:vAlign w:val="center"/>
          </w:tcPr>
          <w:p w14:paraId="0A4BB0AB">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14C550A3">
            <w:pPr>
              <w:jc w:val="center"/>
              <w:rPr>
                <w:color w:val="000000" w:themeColor="text1"/>
                <w14:textFill>
                  <w14:solidFill>
                    <w14:schemeClr w14:val="tx1"/>
                  </w14:solidFill>
                </w14:textFill>
              </w:rPr>
            </w:pPr>
            <w:r>
              <w:rPr>
                <w:color w:val="000000" w:themeColor="text1"/>
                <w14:textFill>
                  <w14:solidFill>
                    <w14:schemeClr w14:val="tx1"/>
                  </w14:solidFill>
                </w14:textFill>
              </w:rPr>
              <w:t>65,91</w:t>
            </w:r>
          </w:p>
        </w:tc>
        <w:tc>
          <w:tcPr>
            <w:tcW w:w="830" w:type="pct"/>
            <w:vMerge w:val="continue"/>
            <w:vAlign w:val="center"/>
          </w:tcPr>
          <w:p w14:paraId="70B33FC0">
            <w:pPr>
              <w:jc w:val="center"/>
              <w:rPr>
                <w:color w:val="000000" w:themeColor="text1"/>
                <w14:textFill>
                  <w14:solidFill>
                    <w14:schemeClr w14:val="tx1"/>
                  </w14:solidFill>
                </w14:textFill>
              </w:rPr>
            </w:pPr>
          </w:p>
        </w:tc>
        <w:tc>
          <w:tcPr>
            <w:tcW w:w="957" w:type="pct"/>
            <w:vMerge w:val="continue"/>
            <w:vAlign w:val="center"/>
          </w:tcPr>
          <w:p w14:paraId="27A18DFB">
            <w:pPr>
              <w:jc w:val="center"/>
              <w:rPr>
                <w:color w:val="000000" w:themeColor="text1"/>
                <w14:textFill>
                  <w14:solidFill>
                    <w14:schemeClr w14:val="tx1"/>
                  </w14:solidFill>
                </w14:textFill>
              </w:rPr>
            </w:pPr>
          </w:p>
        </w:tc>
      </w:tr>
      <w:tr w14:paraId="2350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0C884FB0">
            <w:pPr>
              <w:jc w:val="center"/>
              <w:rPr>
                <w:b/>
                <w:bCs/>
                <w:color w:val="000000" w:themeColor="text1"/>
                <w14:textFill>
                  <w14:solidFill>
                    <w14:schemeClr w14:val="tx1"/>
                  </w14:solidFill>
                </w14:textFill>
              </w:rPr>
            </w:pPr>
          </w:p>
        </w:tc>
        <w:tc>
          <w:tcPr>
            <w:tcW w:w="510" w:type="pct"/>
            <w:vMerge w:val="continue"/>
            <w:vAlign w:val="center"/>
          </w:tcPr>
          <w:p w14:paraId="6465C969">
            <w:pPr>
              <w:jc w:val="center"/>
              <w:rPr>
                <w:b/>
                <w:bCs/>
                <w:color w:val="000000" w:themeColor="text1"/>
                <w14:textFill>
                  <w14:solidFill>
                    <w14:schemeClr w14:val="tx1"/>
                  </w14:solidFill>
                </w14:textFill>
              </w:rPr>
            </w:pPr>
          </w:p>
        </w:tc>
        <w:tc>
          <w:tcPr>
            <w:tcW w:w="1364" w:type="pct"/>
            <w:vAlign w:val="center"/>
          </w:tcPr>
          <w:p w14:paraId="2FEC9D02">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235023BB">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361,6</w:t>
            </w:r>
          </w:p>
        </w:tc>
        <w:tc>
          <w:tcPr>
            <w:tcW w:w="830" w:type="pct"/>
            <w:vMerge w:val="continue"/>
            <w:vAlign w:val="center"/>
          </w:tcPr>
          <w:p w14:paraId="547773C8">
            <w:pPr>
              <w:jc w:val="center"/>
              <w:rPr>
                <w:color w:val="000000" w:themeColor="text1"/>
                <w14:textFill>
                  <w14:solidFill>
                    <w14:schemeClr w14:val="tx1"/>
                  </w14:solidFill>
                </w14:textFill>
              </w:rPr>
            </w:pPr>
          </w:p>
        </w:tc>
        <w:tc>
          <w:tcPr>
            <w:tcW w:w="957" w:type="pct"/>
            <w:vMerge w:val="continue"/>
            <w:vAlign w:val="center"/>
          </w:tcPr>
          <w:p w14:paraId="05A19800">
            <w:pPr>
              <w:jc w:val="center"/>
              <w:rPr>
                <w:color w:val="000000" w:themeColor="text1"/>
                <w14:textFill>
                  <w14:solidFill>
                    <w14:schemeClr w14:val="tx1"/>
                  </w14:solidFill>
                </w14:textFill>
              </w:rPr>
            </w:pPr>
          </w:p>
        </w:tc>
      </w:tr>
      <w:tr w14:paraId="2914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restart"/>
            <w:vAlign w:val="center"/>
          </w:tcPr>
          <w:p w14:paraId="73498EC6">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LG3</w:t>
            </w:r>
          </w:p>
        </w:tc>
        <w:tc>
          <w:tcPr>
            <w:tcW w:w="510" w:type="pct"/>
            <w:vMerge w:val="restart"/>
            <w:vAlign w:val="center"/>
          </w:tcPr>
          <w:p w14:paraId="67F72F06">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5</w:t>
            </w:r>
          </w:p>
        </w:tc>
        <w:tc>
          <w:tcPr>
            <w:tcW w:w="1364" w:type="pct"/>
            <w:vAlign w:val="center"/>
          </w:tcPr>
          <w:p w14:paraId="10D3E501">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Diện tích xây dựng</w:t>
            </w:r>
          </w:p>
        </w:tc>
        <w:tc>
          <w:tcPr>
            <w:tcW w:w="712" w:type="pct"/>
            <w:vAlign w:val="center"/>
          </w:tcPr>
          <w:p w14:paraId="2C051974">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103,32</w:t>
            </w:r>
          </w:p>
        </w:tc>
        <w:tc>
          <w:tcPr>
            <w:tcW w:w="830" w:type="pct"/>
            <w:vMerge w:val="restart"/>
            <w:vAlign w:val="center"/>
          </w:tcPr>
          <w:p w14:paraId="5AAE328F">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957" w:type="pct"/>
            <w:vMerge w:val="restart"/>
            <w:vAlign w:val="center"/>
          </w:tcPr>
          <w:p w14:paraId="67D6735C">
            <w:pPr>
              <w:jc w:val="center"/>
              <w:rPr>
                <w:color w:val="000000" w:themeColor="text1"/>
                <w14:textFill>
                  <w14:solidFill>
                    <w14:schemeClr w14:val="tx1"/>
                  </w14:solidFill>
                </w14:textFill>
              </w:rPr>
            </w:pPr>
            <w:r>
              <w:rPr>
                <w:color w:val="000000" w:themeColor="text1"/>
                <w14:textFill>
                  <w14:solidFill>
                    <w14:schemeClr w14:val="tx1"/>
                  </w14:solidFill>
                </w14:textFill>
              </w:rPr>
              <w:t>881,440</w:t>
            </w:r>
          </w:p>
        </w:tc>
      </w:tr>
      <w:tr w14:paraId="30C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12B2B62F">
            <w:pPr>
              <w:jc w:val="center"/>
              <w:rPr>
                <w:b/>
                <w:bCs/>
                <w:color w:val="000000" w:themeColor="text1"/>
                <w14:textFill>
                  <w14:solidFill>
                    <w14:schemeClr w14:val="tx1"/>
                  </w14:solidFill>
                </w14:textFill>
              </w:rPr>
            </w:pPr>
          </w:p>
        </w:tc>
        <w:tc>
          <w:tcPr>
            <w:tcW w:w="510" w:type="pct"/>
            <w:vMerge w:val="continue"/>
            <w:vAlign w:val="center"/>
          </w:tcPr>
          <w:p w14:paraId="6D03D8CD">
            <w:pPr>
              <w:jc w:val="center"/>
              <w:rPr>
                <w:b/>
                <w:bCs/>
                <w:color w:val="000000" w:themeColor="text1"/>
                <w14:textFill>
                  <w14:solidFill>
                    <w14:schemeClr w14:val="tx1"/>
                  </w14:solidFill>
                </w14:textFill>
              </w:rPr>
            </w:pPr>
          </w:p>
        </w:tc>
        <w:tc>
          <w:tcPr>
            <w:tcW w:w="1364" w:type="pct"/>
            <w:vAlign w:val="center"/>
          </w:tcPr>
          <w:p w14:paraId="47A1255C">
            <w:pPr>
              <w:jc w:val="center"/>
              <w:rPr>
                <w:color w:val="000000" w:themeColor="text1"/>
                <w14:textFill>
                  <w14:solidFill>
                    <w14:schemeClr w14:val="tx1"/>
                  </w14:solidFill>
                </w14:textFill>
              </w:rPr>
            </w:pPr>
            <w:r>
              <w:rPr>
                <w:color w:val="000000" w:themeColor="text1"/>
                <w14:textFill>
                  <w14:solidFill>
                    <w14:schemeClr w14:val="tx1"/>
                  </w14:solidFill>
                </w14:textFill>
              </w:rPr>
              <w:t>Sàn Tầng 2</w:t>
            </w:r>
          </w:p>
        </w:tc>
        <w:tc>
          <w:tcPr>
            <w:tcW w:w="712" w:type="pct"/>
            <w:vAlign w:val="center"/>
          </w:tcPr>
          <w:p w14:paraId="0C23220D">
            <w:pPr>
              <w:jc w:val="center"/>
              <w:rPr>
                <w:color w:val="000000" w:themeColor="text1"/>
                <w14:textFill>
                  <w14:solidFill>
                    <w14:schemeClr w14:val="tx1"/>
                  </w14:solidFill>
                </w14:textFill>
              </w:rPr>
            </w:pPr>
            <w:r>
              <w:rPr>
                <w:color w:val="000000" w:themeColor="text1"/>
                <w14:textFill>
                  <w14:solidFill>
                    <w14:schemeClr w14:val="tx1"/>
                  </w14:solidFill>
                </w14:textFill>
              </w:rPr>
              <w:t>120,45</w:t>
            </w:r>
          </w:p>
        </w:tc>
        <w:tc>
          <w:tcPr>
            <w:tcW w:w="830" w:type="pct"/>
            <w:vMerge w:val="continue"/>
            <w:vAlign w:val="center"/>
          </w:tcPr>
          <w:p w14:paraId="3ADE0837">
            <w:pPr>
              <w:jc w:val="center"/>
              <w:rPr>
                <w:color w:val="000000" w:themeColor="text1"/>
                <w14:textFill>
                  <w14:solidFill>
                    <w14:schemeClr w14:val="tx1"/>
                  </w14:solidFill>
                </w14:textFill>
              </w:rPr>
            </w:pPr>
          </w:p>
        </w:tc>
        <w:tc>
          <w:tcPr>
            <w:tcW w:w="957" w:type="pct"/>
            <w:vMerge w:val="continue"/>
            <w:vAlign w:val="center"/>
          </w:tcPr>
          <w:p w14:paraId="72EE085C">
            <w:pPr>
              <w:jc w:val="center"/>
              <w:rPr>
                <w:color w:val="000000" w:themeColor="text1"/>
                <w14:textFill>
                  <w14:solidFill>
                    <w14:schemeClr w14:val="tx1"/>
                  </w14:solidFill>
                </w14:textFill>
              </w:rPr>
            </w:pPr>
          </w:p>
        </w:tc>
      </w:tr>
      <w:tr w14:paraId="3CF5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5B999A4A">
            <w:pPr>
              <w:jc w:val="center"/>
              <w:rPr>
                <w:b/>
                <w:bCs/>
                <w:color w:val="000000" w:themeColor="text1"/>
                <w14:textFill>
                  <w14:solidFill>
                    <w14:schemeClr w14:val="tx1"/>
                  </w14:solidFill>
                </w14:textFill>
              </w:rPr>
            </w:pPr>
          </w:p>
        </w:tc>
        <w:tc>
          <w:tcPr>
            <w:tcW w:w="510" w:type="pct"/>
            <w:vMerge w:val="continue"/>
            <w:vAlign w:val="center"/>
          </w:tcPr>
          <w:p w14:paraId="2EC101D2">
            <w:pPr>
              <w:jc w:val="center"/>
              <w:rPr>
                <w:b/>
                <w:bCs/>
                <w:color w:val="000000" w:themeColor="text1"/>
                <w14:textFill>
                  <w14:solidFill>
                    <w14:schemeClr w14:val="tx1"/>
                  </w14:solidFill>
                </w14:textFill>
              </w:rPr>
            </w:pPr>
          </w:p>
        </w:tc>
        <w:tc>
          <w:tcPr>
            <w:tcW w:w="1364" w:type="pct"/>
            <w:vAlign w:val="center"/>
          </w:tcPr>
          <w:p w14:paraId="3D6F8F36">
            <w:pPr>
              <w:jc w:val="center"/>
              <w:rPr>
                <w:color w:val="000000" w:themeColor="text1"/>
                <w14:textFill>
                  <w14:solidFill>
                    <w14:schemeClr w14:val="tx1"/>
                  </w14:solidFill>
                </w14:textFill>
              </w:rPr>
            </w:pPr>
            <w:r>
              <w:rPr>
                <w:color w:val="000000" w:themeColor="text1"/>
                <w14:textFill>
                  <w14:solidFill>
                    <w14:schemeClr w14:val="tx1"/>
                  </w14:solidFill>
                </w14:textFill>
              </w:rPr>
              <w:t>Sàn Tầng 3</w:t>
            </w:r>
          </w:p>
        </w:tc>
        <w:tc>
          <w:tcPr>
            <w:tcW w:w="712" w:type="pct"/>
            <w:vAlign w:val="center"/>
          </w:tcPr>
          <w:p w14:paraId="7BD5CDC0">
            <w:pPr>
              <w:jc w:val="center"/>
              <w:rPr>
                <w:color w:val="000000" w:themeColor="text1"/>
                <w14:textFill>
                  <w14:solidFill>
                    <w14:schemeClr w14:val="tx1"/>
                  </w14:solidFill>
                </w14:textFill>
              </w:rPr>
            </w:pPr>
            <w:r>
              <w:rPr>
                <w:color w:val="000000" w:themeColor="text1"/>
                <w14:textFill>
                  <w14:solidFill>
                    <w14:schemeClr w14:val="tx1"/>
                  </w14:solidFill>
                </w14:textFill>
              </w:rPr>
              <w:t>120,45</w:t>
            </w:r>
          </w:p>
        </w:tc>
        <w:tc>
          <w:tcPr>
            <w:tcW w:w="830" w:type="pct"/>
            <w:vMerge w:val="continue"/>
            <w:vAlign w:val="center"/>
          </w:tcPr>
          <w:p w14:paraId="5443355C">
            <w:pPr>
              <w:jc w:val="center"/>
              <w:rPr>
                <w:color w:val="000000" w:themeColor="text1"/>
                <w14:textFill>
                  <w14:solidFill>
                    <w14:schemeClr w14:val="tx1"/>
                  </w14:solidFill>
                </w14:textFill>
              </w:rPr>
            </w:pPr>
          </w:p>
        </w:tc>
        <w:tc>
          <w:tcPr>
            <w:tcW w:w="957" w:type="pct"/>
            <w:vMerge w:val="continue"/>
            <w:vAlign w:val="center"/>
          </w:tcPr>
          <w:p w14:paraId="3162F8F1">
            <w:pPr>
              <w:jc w:val="center"/>
              <w:rPr>
                <w:color w:val="000000" w:themeColor="text1"/>
                <w14:textFill>
                  <w14:solidFill>
                    <w14:schemeClr w14:val="tx1"/>
                  </w14:solidFill>
                </w14:textFill>
              </w:rPr>
            </w:pPr>
          </w:p>
        </w:tc>
      </w:tr>
      <w:tr w14:paraId="2A4A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1FE6664E">
            <w:pPr>
              <w:jc w:val="center"/>
              <w:rPr>
                <w:b/>
                <w:bCs/>
                <w:color w:val="000000" w:themeColor="text1"/>
                <w14:textFill>
                  <w14:solidFill>
                    <w14:schemeClr w14:val="tx1"/>
                  </w14:solidFill>
                </w14:textFill>
              </w:rPr>
            </w:pPr>
          </w:p>
        </w:tc>
        <w:tc>
          <w:tcPr>
            <w:tcW w:w="510" w:type="pct"/>
            <w:vMerge w:val="continue"/>
            <w:vAlign w:val="center"/>
          </w:tcPr>
          <w:p w14:paraId="64EF80DF">
            <w:pPr>
              <w:jc w:val="center"/>
              <w:rPr>
                <w:b/>
                <w:bCs/>
                <w:color w:val="000000" w:themeColor="text1"/>
                <w14:textFill>
                  <w14:solidFill>
                    <w14:schemeClr w14:val="tx1"/>
                  </w14:solidFill>
                </w14:textFill>
              </w:rPr>
            </w:pPr>
          </w:p>
        </w:tc>
        <w:tc>
          <w:tcPr>
            <w:tcW w:w="1364" w:type="pct"/>
            <w:vAlign w:val="center"/>
          </w:tcPr>
          <w:p w14:paraId="532FD03D">
            <w:pPr>
              <w:jc w:val="center"/>
              <w:rPr>
                <w:color w:val="000000" w:themeColor="text1"/>
                <w14:textFill>
                  <w14:solidFill>
                    <w14:schemeClr w14:val="tx1"/>
                  </w14:solidFill>
                </w14:textFill>
              </w:rPr>
            </w:pPr>
            <w:r>
              <w:rPr>
                <w:color w:val="000000" w:themeColor="text1"/>
                <w14:textFill>
                  <w14:solidFill>
                    <w14:schemeClr w14:val="tx1"/>
                  </w14:solidFill>
                </w14:textFill>
              </w:rPr>
              <w:t>Sàn Tầng 4</w:t>
            </w:r>
          </w:p>
        </w:tc>
        <w:tc>
          <w:tcPr>
            <w:tcW w:w="712" w:type="pct"/>
            <w:vAlign w:val="center"/>
          </w:tcPr>
          <w:p w14:paraId="6C549D35">
            <w:pPr>
              <w:jc w:val="center"/>
              <w:rPr>
                <w:color w:val="000000" w:themeColor="text1"/>
                <w14:textFill>
                  <w14:solidFill>
                    <w14:schemeClr w14:val="tx1"/>
                  </w14:solidFill>
                </w14:textFill>
              </w:rPr>
            </w:pPr>
            <w:r>
              <w:rPr>
                <w:color w:val="000000" w:themeColor="text1"/>
                <w14:textFill>
                  <w14:solidFill>
                    <w14:schemeClr w14:val="tx1"/>
                  </w14:solidFill>
                </w14:textFill>
              </w:rPr>
              <w:t>120,45</w:t>
            </w:r>
          </w:p>
        </w:tc>
        <w:tc>
          <w:tcPr>
            <w:tcW w:w="830" w:type="pct"/>
            <w:vMerge w:val="continue"/>
            <w:vAlign w:val="center"/>
          </w:tcPr>
          <w:p w14:paraId="051FED6C">
            <w:pPr>
              <w:jc w:val="center"/>
              <w:rPr>
                <w:color w:val="000000" w:themeColor="text1"/>
                <w14:textFill>
                  <w14:solidFill>
                    <w14:schemeClr w14:val="tx1"/>
                  </w14:solidFill>
                </w14:textFill>
              </w:rPr>
            </w:pPr>
          </w:p>
        </w:tc>
        <w:tc>
          <w:tcPr>
            <w:tcW w:w="957" w:type="pct"/>
            <w:vMerge w:val="continue"/>
            <w:vAlign w:val="center"/>
          </w:tcPr>
          <w:p w14:paraId="34E402C1">
            <w:pPr>
              <w:jc w:val="center"/>
              <w:rPr>
                <w:color w:val="000000" w:themeColor="text1"/>
                <w14:textFill>
                  <w14:solidFill>
                    <w14:schemeClr w14:val="tx1"/>
                  </w14:solidFill>
                </w14:textFill>
              </w:rPr>
            </w:pPr>
          </w:p>
        </w:tc>
      </w:tr>
      <w:tr w14:paraId="0C30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064F6E80">
            <w:pPr>
              <w:jc w:val="center"/>
              <w:rPr>
                <w:b/>
                <w:bCs/>
                <w:color w:val="000000" w:themeColor="text1"/>
                <w14:textFill>
                  <w14:solidFill>
                    <w14:schemeClr w14:val="tx1"/>
                  </w14:solidFill>
                </w14:textFill>
              </w:rPr>
            </w:pPr>
          </w:p>
        </w:tc>
        <w:tc>
          <w:tcPr>
            <w:tcW w:w="510" w:type="pct"/>
            <w:vMerge w:val="continue"/>
            <w:vAlign w:val="center"/>
          </w:tcPr>
          <w:p w14:paraId="304EC937">
            <w:pPr>
              <w:jc w:val="center"/>
              <w:rPr>
                <w:b/>
                <w:bCs/>
                <w:color w:val="000000" w:themeColor="text1"/>
                <w14:textFill>
                  <w14:solidFill>
                    <w14:schemeClr w14:val="tx1"/>
                  </w14:solidFill>
                </w14:textFill>
              </w:rPr>
            </w:pPr>
          </w:p>
        </w:tc>
        <w:tc>
          <w:tcPr>
            <w:tcW w:w="1364" w:type="pct"/>
            <w:vAlign w:val="center"/>
          </w:tcPr>
          <w:p w14:paraId="598A1CF8">
            <w:pPr>
              <w:jc w:val="center"/>
              <w:rPr>
                <w:color w:val="000000" w:themeColor="text1"/>
                <w14:textFill>
                  <w14:solidFill>
                    <w14:schemeClr w14:val="tx1"/>
                  </w14:solidFill>
                </w14:textFill>
              </w:rPr>
            </w:pPr>
            <w:r>
              <w:rPr>
                <w:color w:val="000000" w:themeColor="text1"/>
                <w14:textFill>
                  <w14:solidFill>
                    <w14:schemeClr w14:val="tx1"/>
                  </w14:solidFill>
                </w14:textFill>
              </w:rPr>
              <w:t>Sàn Tầng 5 (áp mái)</w:t>
            </w:r>
          </w:p>
        </w:tc>
        <w:tc>
          <w:tcPr>
            <w:tcW w:w="712" w:type="pct"/>
            <w:vAlign w:val="center"/>
          </w:tcPr>
          <w:p w14:paraId="228635B4">
            <w:pPr>
              <w:jc w:val="center"/>
              <w:rPr>
                <w:color w:val="000000" w:themeColor="text1"/>
                <w14:textFill>
                  <w14:solidFill>
                    <w14:schemeClr w14:val="tx1"/>
                  </w14:solidFill>
                </w14:textFill>
              </w:rPr>
            </w:pPr>
            <w:r>
              <w:rPr>
                <w:color w:val="000000" w:themeColor="text1"/>
                <w14:textFill>
                  <w14:solidFill>
                    <w14:schemeClr w14:val="tx1"/>
                  </w14:solidFill>
                </w14:textFill>
              </w:rPr>
              <w:t>111,07</w:t>
            </w:r>
          </w:p>
        </w:tc>
        <w:tc>
          <w:tcPr>
            <w:tcW w:w="830" w:type="pct"/>
            <w:vMerge w:val="continue"/>
            <w:vAlign w:val="center"/>
          </w:tcPr>
          <w:p w14:paraId="11C70B8B">
            <w:pPr>
              <w:jc w:val="center"/>
              <w:rPr>
                <w:color w:val="000000" w:themeColor="text1"/>
                <w14:textFill>
                  <w14:solidFill>
                    <w14:schemeClr w14:val="tx1"/>
                  </w14:solidFill>
                </w14:textFill>
              </w:rPr>
            </w:pPr>
          </w:p>
        </w:tc>
        <w:tc>
          <w:tcPr>
            <w:tcW w:w="957" w:type="pct"/>
            <w:vMerge w:val="continue"/>
            <w:vAlign w:val="center"/>
          </w:tcPr>
          <w:p w14:paraId="1C127C1C">
            <w:pPr>
              <w:jc w:val="center"/>
              <w:rPr>
                <w:color w:val="000000" w:themeColor="text1"/>
                <w14:textFill>
                  <w14:solidFill>
                    <w14:schemeClr w14:val="tx1"/>
                  </w14:solidFill>
                </w14:textFill>
              </w:rPr>
            </w:pPr>
          </w:p>
        </w:tc>
      </w:tr>
      <w:tr w14:paraId="6CCD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28EB613C">
            <w:pPr>
              <w:jc w:val="center"/>
              <w:rPr>
                <w:b/>
                <w:bCs/>
                <w:color w:val="000000" w:themeColor="text1"/>
                <w14:textFill>
                  <w14:solidFill>
                    <w14:schemeClr w14:val="tx1"/>
                  </w14:solidFill>
                </w14:textFill>
              </w:rPr>
            </w:pPr>
          </w:p>
        </w:tc>
        <w:tc>
          <w:tcPr>
            <w:tcW w:w="510" w:type="pct"/>
            <w:vMerge w:val="continue"/>
            <w:vAlign w:val="center"/>
          </w:tcPr>
          <w:p w14:paraId="68FDF90F">
            <w:pPr>
              <w:jc w:val="center"/>
              <w:rPr>
                <w:b/>
                <w:bCs/>
                <w:color w:val="000000" w:themeColor="text1"/>
                <w14:textFill>
                  <w14:solidFill>
                    <w14:schemeClr w14:val="tx1"/>
                  </w14:solidFill>
                </w14:textFill>
              </w:rPr>
            </w:pPr>
          </w:p>
        </w:tc>
        <w:tc>
          <w:tcPr>
            <w:tcW w:w="1364" w:type="pct"/>
            <w:vAlign w:val="center"/>
          </w:tcPr>
          <w:p w14:paraId="7248B27A">
            <w:pPr>
              <w:jc w:val="center"/>
              <w:rPr>
                <w:color w:val="000000" w:themeColor="text1"/>
                <w14:textFill>
                  <w14:solidFill>
                    <w14:schemeClr w14:val="tx1"/>
                  </w14:solidFill>
                </w14:textFill>
              </w:rPr>
            </w:pPr>
            <w:r>
              <w:rPr>
                <w:color w:val="000000" w:themeColor="text1"/>
                <w14:textFill>
                  <w14:solidFill>
                    <w14:schemeClr w14:val="tx1"/>
                  </w14:solidFill>
                </w14:textFill>
              </w:rPr>
              <w:t>Sàn mái</w:t>
            </w:r>
          </w:p>
        </w:tc>
        <w:tc>
          <w:tcPr>
            <w:tcW w:w="712" w:type="pct"/>
            <w:vAlign w:val="center"/>
          </w:tcPr>
          <w:p w14:paraId="69F3E017">
            <w:pPr>
              <w:jc w:val="center"/>
              <w:rPr>
                <w:color w:val="000000" w:themeColor="text1"/>
                <w14:textFill>
                  <w14:solidFill>
                    <w14:schemeClr w14:val="tx1"/>
                  </w14:solidFill>
                </w14:textFill>
              </w:rPr>
            </w:pPr>
            <w:r>
              <w:rPr>
                <w:color w:val="000000" w:themeColor="text1"/>
                <w14:textFill>
                  <w14:solidFill>
                    <w14:schemeClr w14:val="tx1"/>
                  </w14:solidFill>
                </w14:textFill>
              </w:rPr>
              <w:t>88,75</w:t>
            </w:r>
          </w:p>
        </w:tc>
        <w:tc>
          <w:tcPr>
            <w:tcW w:w="830" w:type="pct"/>
            <w:vMerge w:val="continue"/>
            <w:vAlign w:val="center"/>
          </w:tcPr>
          <w:p w14:paraId="4BE8B03D">
            <w:pPr>
              <w:jc w:val="center"/>
              <w:rPr>
                <w:color w:val="000000" w:themeColor="text1"/>
                <w14:textFill>
                  <w14:solidFill>
                    <w14:schemeClr w14:val="tx1"/>
                  </w14:solidFill>
                </w14:textFill>
              </w:rPr>
            </w:pPr>
          </w:p>
        </w:tc>
        <w:tc>
          <w:tcPr>
            <w:tcW w:w="957" w:type="pct"/>
            <w:vMerge w:val="continue"/>
            <w:vAlign w:val="center"/>
          </w:tcPr>
          <w:p w14:paraId="38BE04DA">
            <w:pPr>
              <w:jc w:val="center"/>
              <w:rPr>
                <w:color w:val="000000" w:themeColor="text1"/>
                <w14:textFill>
                  <w14:solidFill>
                    <w14:schemeClr w14:val="tx1"/>
                  </w14:solidFill>
                </w14:textFill>
              </w:rPr>
            </w:pPr>
          </w:p>
        </w:tc>
      </w:tr>
      <w:tr w14:paraId="3A60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Merge w:val="continue"/>
            <w:vAlign w:val="center"/>
          </w:tcPr>
          <w:p w14:paraId="0F8E9388">
            <w:pPr>
              <w:jc w:val="center"/>
              <w:rPr>
                <w:b/>
                <w:bCs/>
                <w:color w:val="000000" w:themeColor="text1"/>
                <w14:textFill>
                  <w14:solidFill>
                    <w14:schemeClr w14:val="tx1"/>
                  </w14:solidFill>
                </w14:textFill>
              </w:rPr>
            </w:pPr>
          </w:p>
        </w:tc>
        <w:tc>
          <w:tcPr>
            <w:tcW w:w="510" w:type="pct"/>
            <w:vMerge w:val="continue"/>
            <w:vAlign w:val="center"/>
          </w:tcPr>
          <w:p w14:paraId="6BBE6F97">
            <w:pPr>
              <w:jc w:val="center"/>
              <w:rPr>
                <w:b/>
                <w:bCs/>
                <w:color w:val="000000" w:themeColor="text1"/>
                <w14:textFill>
                  <w14:solidFill>
                    <w14:schemeClr w14:val="tx1"/>
                  </w14:solidFill>
                </w14:textFill>
              </w:rPr>
            </w:pPr>
          </w:p>
        </w:tc>
        <w:tc>
          <w:tcPr>
            <w:tcW w:w="1364" w:type="pct"/>
            <w:vAlign w:val="center"/>
          </w:tcPr>
          <w:p w14:paraId="03CBF3FD">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Tổng diện tích sàn</w:t>
            </w:r>
          </w:p>
        </w:tc>
        <w:tc>
          <w:tcPr>
            <w:tcW w:w="712" w:type="pct"/>
            <w:vAlign w:val="center"/>
          </w:tcPr>
          <w:p w14:paraId="425BD567">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440,72</w:t>
            </w:r>
          </w:p>
        </w:tc>
        <w:tc>
          <w:tcPr>
            <w:tcW w:w="830" w:type="pct"/>
            <w:vMerge w:val="continue"/>
            <w:vAlign w:val="center"/>
          </w:tcPr>
          <w:p w14:paraId="58169580">
            <w:pPr>
              <w:jc w:val="center"/>
              <w:rPr>
                <w:color w:val="000000" w:themeColor="text1"/>
                <w14:textFill>
                  <w14:solidFill>
                    <w14:schemeClr w14:val="tx1"/>
                  </w14:solidFill>
                </w14:textFill>
              </w:rPr>
            </w:pPr>
          </w:p>
        </w:tc>
        <w:tc>
          <w:tcPr>
            <w:tcW w:w="957" w:type="pct"/>
            <w:vMerge w:val="continue"/>
            <w:vAlign w:val="center"/>
          </w:tcPr>
          <w:p w14:paraId="75723B78">
            <w:pPr>
              <w:jc w:val="center"/>
              <w:rPr>
                <w:color w:val="000000" w:themeColor="text1"/>
                <w14:textFill>
                  <w14:solidFill>
                    <w14:schemeClr w14:val="tx1"/>
                  </w14:solidFill>
                </w14:textFill>
              </w:rPr>
            </w:pPr>
          </w:p>
        </w:tc>
      </w:tr>
      <w:tr w14:paraId="0DC8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7" w:type="pct"/>
            <w:vAlign w:val="center"/>
          </w:tcPr>
          <w:p w14:paraId="1E7556BA">
            <w:pPr>
              <w:jc w:val="center"/>
              <w:rPr>
                <w:color w:val="000000" w:themeColor="text1"/>
                <w14:textFill>
                  <w14:solidFill>
                    <w14:schemeClr w14:val="tx1"/>
                  </w14:solidFill>
                </w14:textFill>
              </w:rPr>
            </w:pPr>
          </w:p>
        </w:tc>
        <w:tc>
          <w:tcPr>
            <w:tcW w:w="510" w:type="pct"/>
            <w:vAlign w:val="center"/>
          </w:tcPr>
          <w:p w14:paraId="168CD35F">
            <w:pPr>
              <w:jc w:val="center"/>
              <w:rPr>
                <w:color w:val="000000" w:themeColor="text1"/>
                <w14:textFill>
                  <w14:solidFill>
                    <w14:schemeClr w14:val="tx1"/>
                  </w14:solidFill>
                </w14:textFill>
              </w:rPr>
            </w:pPr>
          </w:p>
        </w:tc>
        <w:tc>
          <w:tcPr>
            <w:tcW w:w="1364" w:type="pct"/>
            <w:vAlign w:val="center"/>
          </w:tcPr>
          <w:p w14:paraId="3395A706">
            <w:pPr>
              <w:jc w:val="center"/>
              <w:rPr>
                <w:color w:val="000000" w:themeColor="text1"/>
                <w14:textFill>
                  <w14:solidFill>
                    <w14:schemeClr w14:val="tx1"/>
                  </w14:solidFill>
                </w14:textFill>
              </w:rPr>
            </w:pPr>
          </w:p>
        </w:tc>
        <w:tc>
          <w:tcPr>
            <w:tcW w:w="712" w:type="pct"/>
            <w:vAlign w:val="center"/>
          </w:tcPr>
          <w:p w14:paraId="0F355DE9">
            <w:pPr>
              <w:jc w:val="center"/>
              <w:rPr>
                <w:color w:val="000000" w:themeColor="text1"/>
                <w14:textFill>
                  <w14:solidFill>
                    <w14:schemeClr w14:val="tx1"/>
                  </w14:solidFill>
                </w14:textFill>
              </w:rPr>
            </w:pPr>
          </w:p>
        </w:tc>
        <w:tc>
          <w:tcPr>
            <w:tcW w:w="830" w:type="pct"/>
            <w:vAlign w:val="center"/>
          </w:tcPr>
          <w:p w14:paraId="0D606720">
            <w:pPr>
              <w:jc w:val="center"/>
              <w:rPr>
                <w:color w:val="000000" w:themeColor="text1"/>
                <w14:textFill>
                  <w14:solidFill>
                    <w14:schemeClr w14:val="tx1"/>
                  </w14:solidFill>
                </w14:textFill>
              </w:rPr>
            </w:pPr>
          </w:p>
        </w:tc>
        <w:tc>
          <w:tcPr>
            <w:tcW w:w="957" w:type="pct"/>
            <w:vAlign w:val="center"/>
          </w:tcPr>
          <w:p w14:paraId="4660E1EF">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39.115,620</w:t>
            </w:r>
          </w:p>
        </w:tc>
      </w:tr>
    </w:tbl>
    <w:p w14:paraId="179E6790">
      <w:pPr>
        <w:widowControl w:val="0"/>
        <w:spacing w:before="120" w:after="120" w:line="340" w:lineRule="exact"/>
        <w:rPr>
          <w:rFonts w:eastAsia="Tahoma"/>
          <w:b/>
          <w:bCs/>
          <w:color w:val="000000" w:themeColor="text1"/>
          <w:spacing w:val="-2"/>
          <w:sz w:val="26"/>
          <w:szCs w:val="26"/>
          <w14:textFill>
            <w14:solidFill>
              <w14:schemeClr w14:val="tx1"/>
            </w14:solidFill>
          </w14:textFill>
        </w:rPr>
      </w:pPr>
    </w:p>
    <w:tbl>
      <w:tblPr>
        <w:tblStyle w:val="9"/>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21"/>
        <w:gridCol w:w="1147"/>
        <w:gridCol w:w="1098"/>
        <w:gridCol w:w="1134"/>
        <w:gridCol w:w="706"/>
        <w:gridCol w:w="1278"/>
        <w:gridCol w:w="851"/>
        <w:gridCol w:w="850"/>
      </w:tblGrid>
      <w:tr w14:paraId="68AA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685F717F">
            <w:pPr>
              <w:jc w:val="center"/>
              <w:rPr>
                <w:b/>
                <w:bCs/>
                <w:color w:val="000000"/>
                <w:sz w:val="22"/>
                <w:szCs w:val="22"/>
              </w:rPr>
            </w:pPr>
            <w:r>
              <w:rPr>
                <w:b/>
                <w:bCs/>
                <w:color w:val="000000"/>
                <w:sz w:val="22"/>
                <w:szCs w:val="22"/>
              </w:rPr>
              <w:t>Ký hiệu lô đất</w:t>
            </w:r>
          </w:p>
        </w:tc>
        <w:tc>
          <w:tcPr>
            <w:tcW w:w="1121" w:type="dxa"/>
            <w:vAlign w:val="center"/>
          </w:tcPr>
          <w:p w14:paraId="30920B73">
            <w:pPr>
              <w:jc w:val="center"/>
              <w:rPr>
                <w:b/>
                <w:bCs/>
                <w:color w:val="000000"/>
                <w:sz w:val="22"/>
                <w:szCs w:val="22"/>
              </w:rPr>
            </w:pPr>
            <w:r>
              <w:rPr>
                <w:b/>
                <w:bCs/>
                <w:color w:val="000000"/>
                <w:sz w:val="22"/>
                <w:szCs w:val="22"/>
              </w:rPr>
              <w:t>Tên lô đất</w:t>
            </w:r>
          </w:p>
        </w:tc>
        <w:tc>
          <w:tcPr>
            <w:tcW w:w="1147" w:type="dxa"/>
            <w:vAlign w:val="center"/>
          </w:tcPr>
          <w:p w14:paraId="6DCE0D59">
            <w:pPr>
              <w:jc w:val="center"/>
              <w:rPr>
                <w:b/>
                <w:bCs/>
                <w:color w:val="000000"/>
                <w:sz w:val="22"/>
                <w:szCs w:val="22"/>
              </w:rPr>
            </w:pPr>
            <w:r>
              <w:rPr>
                <w:b/>
                <w:bCs/>
                <w:color w:val="000000"/>
                <w:sz w:val="22"/>
                <w:szCs w:val="22"/>
              </w:rPr>
              <w:t>Diện tích lô đất</w:t>
            </w:r>
          </w:p>
        </w:tc>
        <w:tc>
          <w:tcPr>
            <w:tcW w:w="1098" w:type="dxa"/>
            <w:vAlign w:val="center"/>
          </w:tcPr>
          <w:p w14:paraId="14E2EF9E">
            <w:pPr>
              <w:jc w:val="center"/>
              <w:rPr>
                <w:b/>
                <w:bCs/>
                <w:color w:val="000000"/>
                <w:sz w:val="22"/>
                <w:szCs w:val="22"/>
              </w:rPr>
            </w:pPr>
            <w:r>
              <w:rPr>
                <w:b/>
                <w:bCs/>
                <w:color w:val="000000"/>
                <w:sz w:val="22"/>
                <w:szCs w:val="22"/>
              </w:rPr>
              <w:t>Diện tích xây dựng</w:t>
            </w:r>
          </w:p>
        </w:tc>
        <w:tc>
          <w:tcPr>
            <w:tcW w:w="1134" w:type="dxa"/>
            <w:vAlign w:val="center"/>
          </w:tcPr>
          <w:p w14:paraId="610F439C">
            <w:pPr>
              <w:jc w:val="center"/>
              <w:rPr>
                <w:b/>
                <w:bCs/>
                <w:color w:val="000000"/>
                <w:sz w:val="22"/>
                <w:szCs w:val="22"/>
              </w:rPr>
            </w:pPr>
            <w:r>
              <w:rPr>
                <w:b/>
                <w:bCs/>
                <w:color w:val="000000"/>
                <w:sz w:val="22"/>
                <w:szCs w:val="22"/>
              </w:rPr>
              <w:t>Mật độ xây dựng</w:t>
            </w:r>
          </w:p>
        </w:tc>
        <w:tc>
          <w:tcPr>
            <w:tcW w:w="706" w:type="dxa"/>
            <w:vAlign w:val="center"/>
          </w:tcPr>
          <w:p w14:paraId="21A18EE4">
            <w:pPr>
              <w:jc w:val="center"/>
              <w:rPr>
                <w:b/>
                <w:bCs/>
                <w:color w:val="000000"/>
                <w:sz w:val="22"/>
                <w:szCs w:val="22"/>
              </w:rPr>
            </w:pPr>
            <w:r>
              <w:rPr>
                <w:b/>
                <w:bCs/>
                <w:color w:val="000000"/>
                <w:sz w:val="22"/>
                <w:szCs w:val="22"/>
              </w:rPr>
              <w:t>Tầng cao</w:t>
            </w:r>
          </w:p>
        </w:tc>
        <w:tc>
          <w:tcPr>
            <w:tcW w:w="1278" w:type="dxa"/>
            <w:vAlign w:val="center"/>
          </w:tcPr>
          <w:p w14:paraId="4DF384CA">
            <w:pPr>
              <w:jc w:val="center"/>
              <w:rPr>
                <w:b/>
                <w:bCs/>
                <w:color w:val="000000"/>
                <w:sz w:val="22"/>
                <w:szCs w:val="22"/>
              </w:rPr>
            </w:pPr>
            <w:r>
              <w:rPr>
                <w:b/>
                <w:bCs/>
                <w:color w:val="000000"/>
                <w:sz w:val="22"/>
                <w:szCs w:val="22"/>
              </w:rPr>
              <w:t>Tổng diện tích sàn</w:t>
            </w:r>
          </w:p>
        </w:tc>
        <w:tc>
          <w:tcPr>
            <w:tcW w:w="851" w:type="dxa"/>
            <w:vAlign w:val="center"/>
          </w:tcPr>
          <w:p w14:paraId="123A098F">
            <w:pPr>
              <w:jc w:val="center"/>
              <w:rPr>
                <w:b/>
                <w:bCs/>
                <w:color w:val="000000"/>
                <w:sz w:val="22"/>
                <w:szCs w:val="22"/>
              </w:rPr>
            </w:pPr>
            <w:r>
              <w:rPr>
                <w:b/>
                <w:bCs/>
                <w:color w:val="000000"/>
                <w:sz w:val="22"/>
                <w:szCs w:val="22"/>
              </w:rPr>
              <w:t>Hệ số SDD</w:t>
            </w:r>
          </w:p>
        </w:tc>
        <w:tc>
          <w:tcPr>
            <w:tcW w:w="850" w:type="dxa"/>
            <w:vAlign w:val="center"/>
          </w:tcPr>
          <w:p w14:paraId="578D7410">
            <w:pPr>
              <w:jc w:val="center"/>
              <w:rPr>
                <w:b/>
                <w:bCs/>
                <w:color w:val="000000"/>
                <w:sz w:val="22"/>
                <w:szCs w:val="22"/>
              </w:rPr>
            </w:pPr>
            <w:r>
              <w:rPr>
                <w:b/>
                <w:bCs/>
                <w:color w:val="000000"/>
                <w:sz w:val="22"/>
                <w:szCs w:val="22"/>
              </w:rPr>
              <w:t>Mẫu</w:t>
            </w:r>
          </w:p>
        </w:tc>
      </w:tr>
      <w:tr w14:paraId="2159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6ADAB98E">
            <w:pPr>
              <w:jc w:val="center"/>
              <w:rPr>
                <w:color w:val="000000"/>
                <w:sz w:val="22"/>
                <w:szCs w:val="22"/>
              </w:rPr>
            </w:pPr>
            <w:r>
              <w:rPr>
                <w:color w:val="000000"/>
                <w:sz w:val="22"/>
                <w:szCs w:val="22"/>
              </w:rPr>
              <w:t>LK03</w:t>
            </w:r>
          </w:p>
        </w:tc>
        <w:tc>
          <w:tcPr>
            <w:tcW w:w="1121" w:type="dxa"/>
            <w:noWrap/>
            <w:vAlign w:val="center"/>
          </w:tcPr>
          <w:p w14:paraId="640D68A1">
            <w:pPr>
              <w:jc w:val="center"/>
              <w:rPr>
                <w:color w:val="000000"/>
                <w:sz w:val="22"/>
                <w:szCs w:val="22"/>
              </w:rPr>
            </w:pPr>
            <w:r>
              <w:rPr>
                <w:color w:val="000000"/>
                <w:sz w:val="22"/>
                <w:szCs w:val="22"/>
              </w:rPr>
              <w:t>KL-03:09</w:t>
            </w:r>
          </w:p>
        </w:tc>
        <w:tc>
          <w:tcPr>
            <w:tcW w:w="1147" w:type="dxa"/>
            <w:vAlign w:val="center"/>
          </w:tcPr>
          <w:p w14:paraId="7173E5FE">
            <w:pPr>
              <w:jc w:val="center"/>
              <w:rPr>
                <w:color w:val="000000"/>
                <w:sz w:val="22"/>
                <w:szCs w:val="22"/>
              </w:rPr>
            </w:pPr>
            <w:r>
              <w:rPr>
                <w:color w:val="000000"/>
                <w:sz w:val="22"/>
                <w:szCs w:val="22"/>
              </w:rPr>
              <w:t>128,50</w:t>
            </w:r>
          </w:p>
        </w:tc>
        <w:tc>
          <w:tcPr>
            <w:tcW w:w="1098" w:type="dxa"/>
            <w:vAlign w:val="center"/>
          </w:tcPr>
          <w:p w14:paraId="064B24A2">
            <w:pPr>
              <w:jc w:val="center"/>
              <w:rPr>
                <w:b/>
                <w:bCs/>
                <w:color w:val="000000"/>
                <w:sz w:val="22"/>
                <w:szCs w:val="22"/>
              </w:rPr>
            </w:pPr>
            <w:r>
              <w:rPr>
                <w:b/>
                <w:bCs/>
                <w:color w:val="000000"/>
                <w:sz w:val="22"/>
                <w:szCs w:val="22"/>
              </w:rPr>
              <w:t>103,32</w:t>
            </w:r>
          </w:p>
        </w:tc>
        <w:tc>
          <w:tcPr>
            <w:tcW w:w="1134" w:type="dxa"/>
            <w:vAlign w:val="center"/>
          </w:tcPr>
          <w:p w14:paraId="0BC908F0">
            <w:pPr>
              <w:jc w:val="center"/>
              <w:rPr>
                <w:color w:val="000000"/>
                <w:sz w:val="22"/>
                <w:szCs w:val="22"/>
              </w:rPr>
            </w:pPr>
            <w:r>
              <w:rPr>
                <w:color w:val="000000"/>
                <w:sz w:val="22"/>
                <w:szCs w:val="22"/>
              </w:rPr>
              <w:t>80,4</w:t>
            </w:r>
          </w:p>
        </w:tc>
        <w:tc>
          <w:tcPr>
            <w:tcW w:w="706" w:type="dxa"/>
            <w:vAlign w:val="center"/>
          </w:tcPr>
          <w:p w14:paraId="3A688780">
            <w:pPr>
              <w:jc w:val="center"/>
              <w:rPr>
                <w:color w:val="000000"/>
                <w:sz w:val="22"/>
                <w:szCs w:val="22"/>
              </w:rPr>
            </w:pPr>
            <w:r>
              <w:rPr>
                <w:color w:val="000000"/>
                <w:sz w:val="22"/>
                <w:szCs w:val="22"/>
              </w:rPr>
              <w:t>5,0</w:t>
            </w:r>
          </w:p>
        </w:tc>
        <w:tc>
          <w:tcPr>
            <w:tcW w:w="1278" w:type="dxa"/>
            <w:vAlign w:val="center"/>
          </w:tcPr>
          <w:p w14:paraId="572308B3">
            <w:pPr>
              <w:jc w:val="center"/>
              <w:rPr>
                <w:color w:val="000000"/>
                <w:sz w:val="22"/>
                <w:szCs w:val="22"/>
              </w:rPr>
            </w:pPr>
            <w:r>
              <w:rPr>
                <w:color w:val="000000"/>
                <w:sz w:val="22"/>
                <w:szCs w:val="22"/>
              </w:rPr>
              <w:t>440,72</w:t>
            </w:r>
          </w:p>
        </w:tc>
        <w:tc>
          <w:tcPr>
            <w:tcW w:w="851" w:type="dxa"/>
            <w:vAlign w:val="center"/>
          </w:tcPr>
          <w:p w14:paraId="761194A3">
            <w:pPr>
              <w:jc w:val="center"/>
              <w:rPr>
                <w:b/>
                <w:bCs/>
                <w:color w:val="000000"/>
                <w:sz w:val="22"/>
                <w:szCs w:val="22"/>
              </w:rPr>
            </w:pPr>
            <w:r>
              <w:rPr>
                <w:b/>
                <w:bCs/>
                <w:color w:val="000000"/>
                <w:sz w:val="22"/>
                <w:szCs w:val="22"/>
              </w:rPr>
              <w:t>3,4</w:t>
            </w:r>
          </w:p>
        </w:tc>
        <w:tc>
          <w:tcPr>
            <w:tcW w:w="850" w:type="dxa"/>
            <w:vAlign w:val="center"/>
          </w:tcPr>
          <w:p w14:paraId="1B803AB6">
            <w:pPr>
              <w:jc w:val="center"/>
              <w:rPr>
                <w:color w:val="000000"/>
                <w:sz w:val="22"/>
                <w:szCs w:val="22"/>
              </w:rPr>
            </w:pPr>
            <w:r>
              <w:rPr>
                <w:color w:val="000000"/>
                <w:sz w:val="22"/>
                <w:szCs w:val="22"/>
              </w:rPr>
              <w:t>LG3</w:t>
            </w:r>
          </w:p>
        </w:tc>
      </w:tr>
      <w:tr w14:paraId="6591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71EA8332">
            <w:pPr>
              <w:jc w:val="center"/>
              <w:rPr>
                <w:color w:val="000000"/>
                <w:sz w:val="22"/>
                <w:szCs w:val="22"/>
              </w:rPr>
            </w:pPr>
            <w:r>
              <w:rPr>
                <w:color w:val="000000"/>
                <w:sz w:val="22"/>
                <w:szCs w:val="22"/>
              </w:rPr>
              <w:t>LK06</w:t>
            </w:r>
          </w:p>
        </w:tc>
        <w:tc>
          <w:tcPr>
            <w:tcW w:w="1121" w:type="dxa"/>
            <w:noWrap/>
            <w:vAlign w:val="center"/>
          </w:tcPr>
          <w:p w14:paraId="4CB80DB9">
            <w:pPr>
              <w:jc w:val="center"/>
              <w:rPr>
                <w:color w:val="000000"/>
                <w:sz w:val="22"/>
                <w:szCs w:val="22"/>
              </w:rPr>
            </w:pPr>
            <w:r>
              <w:rPr>
                <w:color w:val="000000"/>
                <w:sz w:val="22"/>
                <w:szCs w:val="22"/>
              </w:rPr>
              <w:t>KL-06:09</w:t>
            </w:r>
          </w:p>
        </w:tc>
        <w:tc>
          <w:tcPr>
            <w:tcW w:w="1147" w:type="dxa"/>
            <w:vAlign w:val="center"/>
          </w:tcPr>
          <w:p w14:paraId="4BF35616">
            <w:pPr>
              <w:jc w:val="center"/>
              <w:rPr>
                <w:color w:val="000000"/>
                <w:sz w:val="22"/>
                <w:szCs w:val="22"/>
              </w:rPr>
            </w:pPr>
            <w:r>
              <w:rPr>
                <w:color w:val="000000"/>
                <w:sz w:val="22"/>
                <w:szCs w:val="22"/>
              </w:rPr>
              <w:t>118,00</w:t>
            </w:r>
          </w:p>
        </w:tc>
        <w:tc>
          <w:tcPr>
            <w:tcW w:w="1098" w:type="dxa"/>
            <w:vAlign w:val="center"/>
          </w:tcPr>
          <w:p w14:paraId="513A68B3">
            <w:pPr>
              <w:jc w:val="center"/>
              <w:rPr>
                <w:b/>
                <w:bCs/>
                <w:color w:val="000000"/>
                <w:sz w:val="22"/>
                <w:szCs w:val="22"/>
              </w:rPr>
            </w:pPr>
            <w:r>
              <w:rPr>
                <w:b/>
                <w:bCs/>
                <w:color w:val="000000"/>
                <w:sz w:val="22"/>
                <w:szCs w:val="22"/>
              </w:rPr>
              <w:t>103,32</w:t>
            </w:r>
          </w:p>
        </w:tc>
        <w:tc>
          <w:tcPr>
            <w:tcW w:w="1134" w:type="dxa"/>
            <w:vAlign w:val="center"/>
          </w:tcPr>
          <w:p w14:paraId="48CF8BA5">
            <w:pPr>
              <w:jc w:val="center"/>
              <w:rPr>
                <w:color w:val="000000"/>
                <w:sz w:val="22"/>
                <w:szCs w:val="22"/>
              </w:rPr>
            </w:pPr>
            <w:r>
              <w:rPr>
                <w:color w:val="000000"/>
                <w:sz w:val="22"/>
                <w:szCs w:val="22"/>
              </w:rPr>
              <w:t>87,6</w:t>
            </w:r>
          </w:p>
        </w:tc>
        <w:tc>
          <w:tcPr>
            <w:tcW w:w="706" w:type="dxa"/>
            <w:vAlign w:val="center"/>
          </w:tcPr>
          <w:p w14:paraId="5D2D1301">
            <w:pPr>
              <w:jc w:val="center"/>
              <w:rPr>
                <w:color w:val="000000"/>
                <w:sz w:val="22"/>
                <w:szCs w:val="22"/>
              </w:rPr>
            </w:pPr>
            <w:r>
              <w:rPr>
                <w:color w:val="000000"/>
                <w:sz w:val="22"/>
                <w:szCs w:val="22"/>
              </w:rPr>
              <w:t>5,0</w:t>
            </w:r>
          </w:p>
        </w:tc>
        <w:tc>
          <w:tcPr>
            <w:tcW w:w="1278" w:type="dxa"/>
            <w:vAlign w:val="center"/>
          </w:tcPr>
          <w:p w14:paraId="253EF3F1">
            <w:pPr>
              <w:jc w:val="center"/>
              <w:rPr>
                <w:color w:val="000000"/>
                <w:sz w:val="22"/>
                <w:szCs w:val="22"/>
              </w:rPr>
            </w:pPr>
            <w:r>
              <w:rPr>
                <w:color w:val="000000"/>
                <w:sz w:val="22"/>
                <w:szCs w:val="22"/>
              </w:rPr>
              <w:t>440,72</w:t>
            </w:r>
          </w:p>
        </w:tc>
        <w:tc>
          <w:tcPr>
            <w:tcW w:w="851" w:type="dxa"/>
            <w:vAlign w:val="center"/>
          </w:tcPr>
          <w:p w14:paraId="7B213193">
            <w:pPr>
              <w:jc w:val="center"/>
              <w:rPr>
                <w:b/>
                <w:bCs/>
                <w:color w:val="000000"/>
                <w:sz w:val="22"/>
                <w:szCs w:val="22"/>
              </w:rPr>
            </w:pPr>
            <w:r>
              <w:rPr>
                <w:b/>
                <w:bCs/>
                <w:color w:val="000000"/>
                <w:sz w:val="22"/>
                <w:szCs w:val="22"/>
              </w:rPr>
              <w:t>3,7</w:t>
            </w:r>
          </w:p>
        </w:tc>
        <w:tc>
          <w:tcPr>
            <w:tcW w:w="850" w:type="dxa"/>
            <w:vAlign w:val="center"/>
          </w:tcPr>
          <w:p w14:paraId="4377CA1D">
            <w:pPr>
              <w:jc w:val="center"/>
              <w:rPr>
                <w:color w:val="000000"/>
                <w:sz w:val="22"/>
                <w:szCs w:val="22"/>
              </w:rPr>
            </w:pPr>
            <w:r>
              <w:rPr>
                <w:color w:val="000000"/>
                <w:sz w:val="22"/>
                <w:szCs w:val="22"/>
              </w:rPr>
              <w:t>LG3</w:t>
            </w:r>
          </w:p>
        </w:tc>
      </w:tr>
      <w:tr w14:paraId="1B18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1F06E0C1">
            <w:pPr>
              <w:jc w:val="center"/>
              <w:rPr>
                <w:color w:val="000000"/>
                <w:sz w:val="22"/>
                <w:szCs w:val="22"/>
              </w:rPr>
            </w:pPr>
            <w:r>
              <w:rPr>
                <w:color w:val="000000"/>
                <w:sz w:val="22"/>
                <w:szCs w:val="22"/>
              </w:rPr>
              <w:t>LK07</w:t>
            </w:r>
          </w:p>
        </w:tc>
        <w:tc>
          <w:tcPr>
            <w:tcW w:w="1121" w:type="dxa"/>
            <w:noWrap/>
            <w:vAlign w:val="center"/>
          </w:tcPr>
          <w:p w14:paraId="65E90821">
            <w:pPr>
              <w:jc w:val="center"/>
              <w:rPr>
                <w:color w:val="000000"/>
                <w:sz w:val="22"/>
                <w:szCs w:val="22"/>
              </w:rPr>
            </w:pPr>
            <w:r>
              <w:rPr>
                <w:color w:val="000000"/>
                <w:sz w:val="22"/>
                <w:szCs w:val="22"/>
              </w:rPr>
              <w:t>KL-07:01</w:t>
            </w:r>
          </w:p>
        </w:tc>
        <w:tc>
          <w:tcPr>
            <w:tcW w:w="1147" w:type="dxa"/>
            <w:vAlign w:val="center"/>
          </w:tcPr>
          <w:p w14:paraId="37E9C6C9">
            <w:pPr>
              <w:jc w:val="center"/>
              <w:rPr>
                <w:color w:val="000000"/>
                <w:sz w:val="22"/>
                <w:szCs w:val="22"/>
              </w:rPr>
            </w:pPr>
            <w:r>
              <w:rPr>
                <w:color w:val="000000"/>
                <w:sz w:val="22"/>
                <w:szCs w:val="22"/>
              </w:rPr>
              <w:t>105,90</w:t>
            </w:r>
          </w:p>
        </w:tc>
        <w:tc>
          <w:tcPr>
            <w:tcW w:w="1098" w:type="dxa"/>
            <w:vAlign w:val="center"/>
          </w:tcPr>
          <w:p w14:paraId="1E7BDCF8">
            <w:pPr>
              <w:jc w:val="center"/>
              <w:rPr>
                <w:color w:val="000000"/>
                <w:sz w:val="22"/>
                <w:szCs w:val="22"/>
              </w:rPr>
            </w:pPr>
            <w:r>
              <w:rPr>
                <w:color w:val="000000"/>
                <w:sz w:val="22"/>
                <w:szCs w:val="22"/>
              </w:rPr>
              <w:t>78,68</w:t>
            </w:r>
          </w:p>
        </w:tc>
        <w:tc>
          <w:tcPr>
            <w:tcW w:w="1134" w:type="dxa"/>
            <w:vAlign w:val="center"/>
          </w:tcPr>
          <w:p w14:paraId="10D8E8AB">
            <w:pPr>
              <w:jc w:val="center"/>
              <w:rPr>
                <w:color w:val="000000"/>
                <w:sz w:val="22"/>
                <w:szCs w:val="22"/>
              </w:rPr>
            </w:pPr>
            <w:r>
              <w:rPr>
                <w:color w:val="000000"/>
                <w:sz w:val="22"/>
                <w:szCs w:val="22"/>
              </w:rPr>
              <w:t>87,8</w:t>
            </w:r>
          </w:p>
        </w:tc>
        <w:tc>
          <w:tcPr>
            <w:tcW w:w="706" w:type="dxa"/>
            <w:vAlign w:val="center"/>
          </w:tcPr>
          <w:p w14:paraId="6C62A20A">
            <w:pPr>
              <w:jc w:val="center"/>
              <w:rPr>
                <w:color w:val="000000"/>
                <w:sz w:val="22"/>
                <w:szCs w:val="22"/>
              </w:rPr>
            </w:pPr>
            <w:r>
              <w:rPr>
                <w:color w:val="000000"/>
                <w:sz w:val="22"/>
                <w:szCs w:val="22"/>
              </w:rPr>
              <w:t>4,0</w:t>
            </w:r>
          </w:p>
        </w:tc>
        <w:tc>
          <w:tcPr>
            <w:tcW w:w="1278" w:type="dxa"/>
            <w:vAlign w:val="center"/>
          </w:tcPr>
          <w:p w14:paraId="1EEF4322">
            <w:pPr>
              <w:jc w:val="center"/>
              <w:rPr>
                <w:color w:val="000000"/>
                <w:sz w:val="22"/>
                <w:szCs w:val="22"/>
              </w:rPr>
            </w:pPr>
            <w:r>
              <w:rPr>
                <w:color w:val="000000"/>
                <w:sz w:val="22"/>
                <w:szCs w:val="22"/>
              </w:rPr>
              <w:t>302,42</w:t>
            </w:r>
          </w:p>
        </w:tc>
        <w:tc>
          <w:tcPr>
            <w:tcW w:w="851" w:type="dxa"/>
            <w:vAlign w:val="center"/>
          </w:tcPr>
          <w:p w14:paraId="5BEF3F99">
            <w:pPr>
              <w:jc w:val="center"/>
              <w:rPr>
                <w:color w:val="000000"/>
                <w:sz w:val="22"/>
                <w:szCs w:val="22"/>
              </w:rPr>
            </w:pPr>
            <w:r>
              <w:rPr>
                <w:color w:val="000000"/>
                <w:sz w:val="22"/>
                <w:szCs w:val="22"/>
              </w:rPr>
              <w:t>2,9</w:t>
            </w:r>
          </w:p>
        </w:tc>
        <w:tc>
          <w:tcPr>
            <w:tcW w:w="850" w:type="dxa"/>
            <w:vAlign w:val="center"/>
          </w:tcPr>
          <w:p w14:paraId="0467BF08">
            <w:pPr>
              <w:jc w:val="center"/>
              <w:rPr>
                <w:color w:val="000000"/>
                <w:sz w:val="22"/>
                <w:szCs w:val="22"/>
              </w:rPr>
            </w:pPr>
            <w:r>
              <w:rPr>
                <w:color w:val="000000"/>
                <w:sz w:val="22"/>
                <w:szCs w:val="22"/>
              </w:rPr>
              <w:t>ĐH2</w:t>
            </w:r>
          </w:p>
        </w:tc>
      </w:tr>
      <w:tr w14:paraId="18BA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C42D79B">
            <w:pPr>
              <w:jc w:val="center"/>
              <w:rPr>
                <w:color w:val="000000"/>
                <w:sz w:val="22"/>
                <w:szCs w:val="22"/>
              </w:rPr>
            </w:pPr>
          </w:p>
        </w:tc>
        <w:tc>
          <w:tcPr>
            <w:tcW w:w="1121" w:type="dxa"/>
            <w:noWrap/>
            <w:vAlign w:val="center"/>
          </w:tcPr>
          <w:p w14:paraId="7B561778">
            <w:pPr>
              <w:jc w:val="center"/>
              <w:rPr>
                <w:color w:val="000000"/>
                <w:sz w:val="22"/>
                <w:szCs w:val="22"/>
              </w:rPr>
            </w:pPr>
            <w:r>
              <w:rPr>
                <w:color w:val="000000"/>
                <w:sz w:val="22"/>
                <w:szCs w:val="22"/>
              </w:rPr>
              <w:t>KL-07:02</w:t>
            </w:r>
          </w:p>
        </w:tc>
        <w:tc>
          <w:tcPr>
            <w:tcW w:w="1147" w:type="dxa"/>
            <w:vAlign w:val="center"/>
          </w:tcPr>
          <w:p w14:paraId="30CF3F58">
            <w:pPr>
              <w:jc w:val="center"/>
              <w:rPr>
                <w:color w:val="000000"/>
                <w:sz w:val="22"/>
                <w:szCs w:val="22"/>
              </w:rPr>
            </w:pPr>
            <w:r>
              <w:rPr>
                <w:color w:val="000000"/>
                <w:sz w:val="22"/>
                <w:szCs w:val="22"/>
              </w:rPr>
              <w:t>90,00</w:t>
            </w:r>
          </w:p>
        </w:tc>
        <w:tc>
          <w:tcPr>
            <w:tcW w:w="1098" w:type="dxa"/>
            <w:vAlign w:val="center"/>
          </w:tcPr>
          <w:p w14:paraId="19BDEA6A">
            <w:pPr>
              <w:jc w:val="center"/>
              <w:rPr>
                <w:color w:val="000000"/>
                <w:sz w:val="22"/>
                <w:szCs w:val="22"/>
              </w:rPr>
            </w:pPr>
            <w:r>
              <w:rPr>
                <w:color w:val="000000"/>
                <w:sz w:val="22"/>
                <w:szCs w:val="22"/>
              </w:rPr>
              <w:t>78,68</w:t>
            </w:r>
          </w:p>
        </w:tc>
        <w:tc>
          <w:tcPr>
            <w:tcW w:w="1134" w:type="dxa"/>
            <w:vAlign w:val="center"/>
          </w:tcPr>
          <w:p w14:paraId="25D69703">
            <w:pPr>
              <w:jc w:val="center"/>
              <w:rPr>
                <w:color w:val="000000"/>
                <w:sz w:val="22"/>
                <w:szCs w:val="22"/>
              </w:rPr>
            </w:pPr>
            <w:r>
              <w:rPr>
                <w:color w:val="000000"/>
                <w:sz w:val="22"/>
                <w:szCs w:val="22"/>
              </w:rPr>
              <w:t>87,8</w:t>
            </w:r>
          </w:p>
        </w:tc>
        <w:tc>
          <w:tcPr>
            <w:tcW w:w="706" w:type="dxa"/>
            <w:vAlign w:val="center"/>
          </w:tcPr>
          <w:p w14:paraId="346C11E7">
            <w:pPr>
              <w:jc w:val="center"/>
              <w:rPr>
                <w:color w:val="000000"/>
                <w:sz w:val="22"/>
                <w:szCs w:val="22"/>
              </w:rPr>
            </w:pPr>
            <w:r>
              <w:rPr>
                <w:color w:val="000000"/>
                <w:sz w:val="22"/>
                <w:szCs w:val="22"/>
              </w:rPr>
              <w:t>4,0</w:t>
            </w:r>
          </w:p>
        </w:tc>
        <w:tc>
          <w:tcPr>
            <w:tcW w:w="1278" w:type="dxa"/>
            <w:vAlign w:val="center"/>
          </w:tcPr>
          <w:p w14:paraId="30F78D28">
            <w:pPr>
              <w:jc w:val="center"/>
              <w:rPr>
                <w:color w:val="000000"/>
                <w:sz w:val="22"/>
                <w:szCs w:val="22"/>
              </w:rPr>
            </w:pPr>
            <w:r>
              <w:rPr>
                <w:color w:val="000000"/>
                <w:sz w:val="22"/>
                <w:szCs w:val="22"/>
              </w:rPr>
              <w:t>302,42</w:t>
            </w:r>
          </w:p>
        </w:tc>
        <w:tc>
          <w:tcPr>
            <w:tcW w:w="851" w:type="dxa"/>
            <w:vAlign w:val="center"/>
          </w:tcPr>
          <w:p w14:paraId="23EF00E3">
            <w:pPr>
              <w:jc w:val="center"/>
              <w:rPr>
                <w:color w:val="000000"/>
                <w:sz w:val="22"/>
                <w:szCs w:val="22"/>
              </w:rPr>
            </w:pPr>
            <w:r>
              <w:rPr>
                <w:color w:val="000000"/>
                <w:sz w:val="22"/>
                <w:szCs w:val="22"/>
              </w:rPr>
              <w:t>3,4</w:t>
            </w:r>
          </w:p>
        </w:tc>
        <w:tc>
          <w:tcPr>
            <w:tcW w:w="850" w:type="dxa"/>
            <w:vAlign w:val="center"/>
          </w:tcPr>
          <w:p w14:paraId="2301D7A3">
            <w:pPr>
              <w:jc w:val="center"/>
              <w:rPr>
                <w:color w:val="000000"/>
                <w:sz w:val="22"/>
                <w:szCs w:val="22"/>
              </w:rPr>
            </w:pPr>
            <w:r>
              <w:rPr>
                <w:color w:val="000000"/>
                <w:sz w:val="22"/>
                <w:szCs w:val="22"/>
              </w:rPr>
              <w:t>ĐH2</w:t>
            </w:r>
          </w:p>
        </w:tc>
      </w:tr>
      <w:tr w14:paraId="74DB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F22DDD9">
            <w:pPr>
              <w:jc w:val="center"/>
              <w:rPr>
                <w:color w:val="000000"/>
                <w:sz w:val="22"/>
                <w:szCs w:val="22"/>
              </w:rPr>
            </w:pPr>
          </w:p>
        </w:tc>
        <w:tc>
          <w:tcPr>
            <w:tcW w:w="1121" w:type="dxa"/>
            <w:noWrap/>
            <w:vAlign w:val="center"/>
          </w:tcPr>
          <w:p w14:paraId="37A5A114">
            <w:pPr>
              <w:jc w:val="center"/>
              <w:rPr>
                <w:color w:val="000000"/>
                <w:sz w:val="22"/>
                <w:szCs w:val="22"/>
              </w:rPr>
            </w:pPr>
            <w:r>
              <w:rPr>
                <w:color w:val="000000"/>
                <w:sz w:val="22"/>
                <w:szCs w:val="22"/>
              </w:rPr>
              <w:t>KL-07:03</w:t>
            </w:r>
          </w:p>
        </w:tc>
        <w:tc>
          <w:tcPr>
            <w:tcW w:w="1147" w:type="dxa"/>
            <w:vAlign w:val="center"/>
          </w:tcPr>
          <w:p w14:paraId="68214E89">
            <w:pPr>
              <w:jc w:val="center"/>
              <w:rPr>
                <w:color w:val="000000"/>
                <w:sz w:val="22"/>
                <w:szCs w:val="22"/>
              </w:rPr>
            </w:pPr>
            <w:r>
              <w:rPr>
                <w:color w:val="000000"/>
                <w:sz w:val="22"/>
                <w:szCs w:val="22"/>
              </w:rPr>
              <w:t>90,00</w:t>
            </w:r>
          </w:p>
        </w:tc>
        <w:tc>
          <w:tcPr>
            <w:tcW w:w="1098" w:type="dxa"/>
            <w:vAlign w:val="center"/>
          </w:tcPr>
          <w:p w14:paraId="60CEC88A">
            <w:pPr>
              <w:jc w:val="center"/>
              <w:rPr>
                <w:color w:val="000000"/>
                <w:sz w:val="22"/>
                <w:szCs w:val="22"/>
              </w:rPr>
            </w:pPr>
            <w:r>
              <w:rPr>
                <w:color w:val="000000"/>
                <w:sz w:val="22"/>
                <w:szCs w:val="22"/>
              </w:rPr>
              <w:t>78,68</w:t>
            </w:r>
          </w:p>
        </w:tc>
        <w:tc>
          <w:tcPr>
            <w:tcW w:w="1134" w:type="dxa"/>
            <w:vAlign w:val="center"/>
          </w:tcPr>
          <w:p w14:paraId="77F0501D">
            <w:pPr>
              <w:jc w:val="center"/>
              <w:rPr>
                <w:color w:val="000000"/>
                <w:sz w:val="22"/>
                <w:szCs w:val="22"/>
              </w:rPr>
            </w:pPr>
            <w:r>
              <w:rPr>
                <w:color w:val="000000"/>
                <w:sz w:val="22"/>
                <w:szCs w:val="22"/>
              </w:rPr>
              <w:t>87,8</w:t>
            </w:r>
          </w:p>
        </w:tc>
        <w:tc>
          <w:tcPr>
            <w:tcW w:w="706" w:type="dxa"/>
            <w:vAlign w:val="center"/>
          </w:tcPr>
          <w:p w14:paraId="593E5DA6">
            <w:pPr>
              <w:jc w:val="center"/>
              <w:rPr>
                <w:color w:val="000000"/>
                <w:sz w:val="22"/>
                <w:szCs w:val="22"/>
              </w:rPr>
            </w:pPr>
            <w:r>
              <w:rPr>
                <w:color w:val="000000"/>
                <w:sz w:val="22"/>
                <w:szCs w:val="22"/>
              </w:rPr>
              <w:t>4,0</w:t>
            </w:r>
          </w:p>
        </w:tc>
        <w:tc>
          <w:tcPr>
            <w:tcW w:w="1278" w:type="dxa"/>
            <w:vAlign w:val="center"/>
          </w:tcPr>
          <w:p w14:paraId="489B7F8C">
            <w:pPr>
              <w:jc w:val="center"/>
              <w:rPr>
                <w:color w:val="000000"/>
                <w:sz w:val="22"/>
                <w:szCs w:val="22"/>
              </w:rPr>
            </w:pPr>
            <w:r>
              <w:rPr>
                <w:color w:val="000000"/>
                <w:sz w:val="22"/>
                <w:szCs w:val="22"/>
              </w:rPr>
              <w:t>302,42</w:t>
            </w:r>
          </w:p>
        </w:tc>
        <w:tc>
          <w:tcPr>
            <w:tcW w:w="851" w:type="dxa"/>
            <w:vAlign w:val="center"/>
          </w:tcPr>
          <w:p w14:paraId="1078FA53">
            <w:pPr>
              <w:jc w:val="center"/>
              <w:rPr>
                <w:color w:val="000000"/>
                <w:sz w:val="22"/>
                <w:szCs w:val="22"/>
              </w:rPr>
            </w:pPr>
            <w:r>
              <w:rPr>
                <w:color w:val="000000"/>
                <w:sz w:val="22"/>
                <w:szCs w:val="22"/>
              </w:rPr>
              <w:t>3,4</w:t>
            </w:r>
          </w:p>
        </w:tc>
        <w:tc>
          <w:tcPr>
            <w:tcW w:w="850" w:type="dxa"/>
            <w:vAlign w:val="center"/>
          </w:tcPr>
          <w:p w14:paraId="0C27FB2D">
            <w:pPr>
              <w:jc w:val="center"/>
              <w:rPr>
                <w:color w:val="000000"/>
                <w:sz w:val="22"/>
                <w:szCs w:val="22"/>
              </w:rPr>
            </w:pPr>
            <w:r>
              <w:rPr>
                <w:color w:val="000000"/>
                <w:sz w:val="22"/>
                <w:szCs w:val="22"/>
              </w:rPr>
              <w:t>ĐH2</w:t>
            </w:r>
          </w:p>
        </w:tc>
      </w:tr>
      <w:tr w14:paraId="1B36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2A05E132">
            <w:pPr>
              <w:jc w:val="center"/>
              <w:rPr>
                <w:color w:val="000000"/>
                <w:sz w:val="22"/>
                <w:szCs w:val="22"/>
              </w:rPr>
            </w:pPr>
          </w:p>
        </w:tc>
        <w:tc>
          <w:tcPr>
            <w:tcW w:w="1121" w:type="dxa"/>
            <w:noWrap/>
            <w:vAlign w:val="center"/>
          </w:tcPr>
          <w:p w14:paraId="3E9CFED3">
            <w:pPr>
              <w:jc w:val="center"/>
              <w:rPr>
                <w:color w:val="000000"/>
                <w:sz w:val="22"/>
                <w:szCs w:val="22"/>
              </w:rPr>
            </w:pPr>
            <w:r>
              <w:rPr>
                <w:color w:val="000000"/>
                <w:sz w:val="22"/>
                <w:szCs w:val="22"/>
              </w:rPr>
              <w:t>KL-07:04</w:t>
            </w:r>
          </w:p>
        </w:tc>
        <w:tc>
          <w:tcPr>
            <w:tcW w:w="1147" w:type="dxa"/>
            <w:vAlign w:val="center"/>
          </w:tcPr>
          <w:p w14:paraId="27E8BF51">
            <w:pPr>
              <w:jc w:val="center"/>
              <w:rPr>
                <w:color w:val="000000"/>
                <w:sz w:val="22"/>
                <w:szCs w:val="22"/>
              </w:rPr>
            </w:pPr>
            <w:r>
              <w:rPr>
                <w:color w:val="000000"/>
                <w:sz w:val="22"/>
                <w:szCs w:val="22"/>
              </w:rPr>
              <w:t>90,00</w:t>
            </w:r>
          </w:p>
        </w:tc>
        <w:tc>
          <w:tcPr>
            <w:tcW w:w="1098" w:type="dxa"/>
            <w:vAlign w:val="center"/>
          </w:tcPr>
          <w:p w14:paraId="27005806">
            <w:pPr>
              <w:jc w:val="center"/>
              <w:rPr>
                <w:color w:val="000000"/>
                <w:sz w:val="22"/>
                <w:szCs w:val="22"/>
              </w:rPr>
            </w:pPr>
            <w:r>
              <w:rPr>
                <w:color w:val="000000"/>
                <w:sz w:val="22"/>
                <w:szCs w:val="22"/>
              </w:rPr>
              <w:t>78,68</w:t>
            </w:r>
          </w:p>
        </w:tc>
        <w:tc>
          <w:tcPr>
            <w:tcW w:w="1134" w:type="dxa"/>
            <w:vAlign w:val="center"/>
          </w:tcPr>
          <w:p w14:paraId="533DB09A">
            <w:pPr>
              <w:jc w:val="center"/>
              <w:rPr>
                <w:color w:val="000000"/>
                <w:sz w:val="22"/>
                <w:szCs w:val="22"/>
              </w:rPr>
            </w:pPr>
            <w:r>
              <w:rPr>
                <w:color w:val="000000"/>
                <w:sz w:val="22"/>
                <w:szCs w:val="22"/>
              </w:rPr>
              <w:t>87,8</w:t>
            </w:r>
          </w:p>
        </w:tc>
        <w:tc>
          <w:tcPr>
            <w:tcW w:w="706" w:type="dxa"/>
            <w:vAlign w:val="center"/>
          </w:tcPr>
          <w:p w14:paraId="00ACD64C">
            <w:pPr>
              <w:jc w:val="center"/>
              <w:rPr>
                <w:color w:val="000000"/>
                <w:sz w:val="22"/>
                <w:szCs w:val="22"/>
              </w:rPr>
            </w:pPr>
            <w:r>
              <w:rPr>
                <w:color w:val="000000"/>
                <w:sz w:val="22"/>
                <w:szCs w:val="22"/>
              </w:rPr>
              <w:t>4,0</w:t>
            </w:r>
          </w:p>
        </w:tc>
        <w:tc>
          <w:tcPr>
            <w:tcW w:w="1278" w:type="dxa"/>
            <w:vAlign w:val="center"/>
          </w:tcPr>
          <w:p w14:paraId="01A5C6A1">
            <w:pPr>
              <w:jc w:val="center"/>
              <w:rPr>
                <w:color w:val="000000"/>
                <w:sz w:val="22"/>
                <w:szCs w:val="22"/>
              </w:rPr>
            </w:pPr>
            <w:r>
              <w:rPr>
                <w:color w:val="000000"/>
                <w:sz w:val="22"/>
                <w:szCs w:val="22"/>
              </w:rPr>
              <w:t>302,42</w:t>
            </w:r>
          </w:p>
        </w:tc>
        <w:tc>
          <w:tcPr>
            <w:tcW w:w="851" w:type="dxa"/>
            <w:vAlign w:val="center"/>
          </w:tcPr>
          <w:p w14:paraId="4FC1B7A0">
            <w:pPr>
              <w:jc w:val="center"/>
              <w:rPr>
                <w:color w:val="000000"/>
                <w:sz w:val="22"/>
                <w:szCs w:val="22"/>
              </w:rPr>
            </w:pPr>
            <w:r>
              <w:rPr>
                <w:color w:val="000000"/>
                <w:sz w:val="22"/>
                <w:szCs w:val="22"/>
              </w:rPr>
              <w:t>3,4</w:t>
            </w:r>
          </w:p>
        </w:tc>
        <w:tc>
          <w:tcPr>
            <w:tcW w:w="850" w:type="dxa"/>
            <w:vAlign w:val="center"/>
          </w:tcPr>
          <w:p w14:paraId="55AE4FBF">
            <w:pPr>
              <w:jc w:val="center"/>
              <w:rPr>
                <w:color w:val="000000"/>
                <w:sz w:val="22"/>
                <w:szCs w:val="22"/>
              </w:rPr>
            </w:pPr>
            <w:r>
              <w:rPr>
                <w:color w:val="000000"/>
                <w:sz w:val="22"/>
                <w:szCs w:val="22"/>
              </w:rPr>
              <w:t>ĐH2</w:t>
            </w:r>
          </w:p>
        </w:tc>
      </w:tr>
      <w:tr w14:paraId="5E73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BB8374D">
            <w:pPr>
              <w:jc w:val="center"/>
              <w:rPr>
                <w:color w:val="000000"/>
                <w:sz w:val="22"/>
                <w:szCs w:val="22"/>
              </w:rPr>
            </w:pPr>
          </w:p>
        </w:tc>
        <w:tc>
          <w:tcPr>
            <w:tcW w:w="1121" w:type="dxa"/>
            <w:noWrap/>
            <w:vAlign w:val="center"/>
          </w:tcPr>
          <w:p w14:paraId="352E4111">
            <w:pPr>
              <w:jc w:val="center"/>
              <w:rPr>
                <w:color w:val="000000"/>
                <w:sz w:val="22"/>
                <w:szCs w:val="22"/>
              </w:rPr>
            </w:pPr>
            <w:r>
              <w:rPr>
                <w:color w:val="000000"/>
                <w:sz w:val="22"/>
                <w:szCs w:val="22"/>
              </w:rPr>
              <w:t>KL-07:05</w:t>
            </w:r>
          </w:p>
        </w:tc>
        <w:tc>
          <w:tcPr>
            <w:tcW w:w="1147" w:type="dxa"/>
            <w:vAlign w:val="center"/>
          </w:tcPr>
          <w:p w14:paraId="4A82F694">
            <w:pPr>
              <w:jc w:val="center"/>
              <w:rPr>
                <w:color w:val="000000"/>
                <w:sz w:val="22"/>
                <w:szCs w:val="22"/>
              </w:rPr>
            </w:pPr>
            <w:r>
              <w:rPr>
                <w:color w:val="000000"/>
                <w:sz w:val="22"/>
                <w:szCs w:val="22"/>
              </w:rPr>
              <w:t>90,00</w:t>
            </w:r>
          </w:p>
        </w:tc>
        <w:tc>
          <w:tcPr>
            <w:tcW w:w="1098" w:type="dxa"/>
            <w:vAlign w:val="center"/>
          </w:tcPr>
          <w:p w14:paraId="1D3A5798">
            <w:pPr>
              <w:jc w:val="center"/>
              <w:rPr>
                <w:color w:val="000000"/>
                <w:sz w:val="22"/>
                <w:szCs w:val="22"/>
              </w:rPr>
            </w:pPr>
            <w:r>
              <w:rPr>
                <w:color w:val="000000"/>
                <w:sz w:val="22"/>
                <w:szCs w:val="22"/>
              </w:rPr>
              <w:t>78,68</w:t>
            </w:r>
          </w:p>
        </w:tc>
        <w:tc>
          <w:tcPr>
            <w:tcW w:w="1134" w:type="dxa"/>
            <w:vAlign w:val="center"/>
          </w:tcPr>
          <w:p w14:paraId="623F352A">
            <w:pPr>
              <w:jc w:val="center"/>
              <w:rPr>
                <w:color w:val="000000"/>
                <w:sz w:val="22"/>
                <w:szCs w:val="22"/>
              </w:rPr>
            </w:pPr>
            <w:r>
              <w:rPr>
                <w:color w:val="000000"/>
                <w:sz w:val="22"/>
                <w:szCs w:val="22"/>
              </w:rPr>
              <w:t>87,8</w:t>
            </w:r>
          </w:p>
        </w:tc>
        <w:tc>
          <w:tcPr>
            <w:tcW w:w="706" w:type="dxa"/>
            <w:vAlign w:val="center"/>
          </w:tcPr>
          <w:p w14:paraId="2DE76905">
            <w:pPr>
              <w:jc w:val="center"/>
              <w:rPr>
                <w:color w:val="000000"/>
                <w:sz w:val="22"/>
                <w:szCs w:val="22"/>
              </w:rPr>
            </w:pPr>
            <w:r>
              <w:rPr>
                <w:color w:val="000000"/>
                <w:sz w:val="22"/>
                <w:szCs w:val="22"/>
              </w:rPr>
              <w:t>4,0</w:t>
            </w:r>
          </w:p>
        </w:tc>
        <w:tc>
          <w:tcPr>
            <w:tcW w:w="1278" w:type="dxa"/>
            <w:vAlign w:val="center"/>
          </w:tcPr>
          <w:p w14:paraId="21B4B9B6">
            <w:pPr>
              <w:jc w:val="center"/>
              <w:rPr>
                <w:color w:val="000000"/>
                <w:sz w:val="22"/>
                <w:szCs w:val="22"/>
              </w:rPr>
            </w:pPr>
            <w:r>
              <w:rPr>
                <w:color w:val="000000"/>
                <w:sz w:val="22"/>
                <w:szCs w:val="22"/>
              </w:rPr>
              <w:t>302,42</w:t>
            </w:r>
          </w:p>
        </w:tc>
        <w:tc>
          <w:tcPr>
            <w:tcW w:w="851" w:type="dxa"/>
            <w:vAlign w:val="center"/>
          </w:tcPr>
          <w:p w14:paraId="2D454D3D">
            <w:pPr>
              <w:jc w:val="center"/>
              <w:rPr>
                <w:color w:val="000000"/>
                <w:sz w:val="22"/>
                <w:szCs w:val="22"/>
              </w:rPr>
            </w:pPr>
            <w:r>
              <w:rPr>
                <w:color w:val="000000"/>
                <w:sz w:val="22"/>
                <w:szCs w:val="22"/>
              </w:rPr>
              <w:t>3,4</w:t>
            </w:r>
          </w:p>
        </w:tc>
        <w:tc>
          <w:tcPr>
            <w:tcW w:w="850" w:type="dxa"/>
            <w:vAlign w:val="center"/>
          </w:tcPr>
          <w:p w14:paraId="56B0F9FF">
            <w:pPr>
              <w:jc w:val="center"/>
              <w:rPr>
                <w:color w:val="000000"/>
                <w:sz w:val="22"/>
                <w:szCs w:val="22"/>
              </w:rPr>
            </w:pPr>
            <w:r>
              <w:rPr>
                <w:color w:val="000000"/>
                <w:sz w:val="22"/>
                <w:szCs w:val="22"/>
              </w:rPr>
              <w:t>ĐH2</w:t>
            </w:r>
          </w:p>
        </w:tc>
      </w:tr>
      <w:tr w14:paraId="50C6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1220781">
            <w:pPr>
              <w:jc w:val="center"/>
              <w:rPr>
                <w:color w:val="000000"/>
                <w:sz w:val="22"/>
                <w:szCs w:val="22"/>
              </w:rPr>
            </w:pPr>
          </w:p>
        </w:tc>
        <w:tc>
          <w:tcPr>
            <w:tcW w:w="1121" w:type="dxa"/>
            <w:noWrap/>
            <w:vAlign w:val="center"/>
          </w:tcPr>
          <w:p w14:paraId="618696B6">
            <w:pPr>
              <w:jc w:val="center"/>
              <w:rPr>
                <w:color w:val="000000"/>
                <w:sz w:val="22"/>
                <w:szCs w:val="22"/>
              </w:rPr>
            </w:pPr>
            <w:r>
              <w:rPr>
                <w:color w:val="000000"/>
                <w:sz w:val="22"/>
                <w:szCs w:val="22"/>
              </w:rPr>
              <w:t>KL-07:06</w:t>
            </w:r>
          </w:p>
        </w:tc>
        <w:tc>
          <w:tcPr>
            <w:tcW w:w="1147" w:type="dxa"/>
            <w:vAlign w:val="center"/>
          </w:tcPr>
          <w:p w14:paraId="03509C76">
            <w:pPr>
              <w:jc w:val="center"/>
              <w:rPr>
                <w:color w:val="000000"/>
                <w:sz w:val="22"/>
                <w:szCs w:val="22"/>
              </w:rPr>
            </w:pPr>
            <w:r>
              <w:rPr>
                <w:color w:val="000000"/>
                <w:sz w:val="22"/>
                <w:szCs w:val="22"/>
              </w:rPr>
              <w:t>90,00</w:t>
            </w:r>
          </w:p>
        </w:tc>
        <w:tc>
          <w:tcPr>
            <w:tcW w:w="1098" w:type="dxa"/>
            <w:vAlign w:val="center"/>
          </w:tcPr>
          <w:p w14:paraId="468F1443">
            <w:pPr>
              <w:jc w:val="center"/>
              <w:rPr>
                <w:color w:val="000000"/>
                <w:sz w:val="22"/>
                <w:szCs w:val="22"/>
              </w:rPr>
            </w:pPr>
            <w:r>
              <w:rPr>
                <w:color w:val="000000"/>
                <w:sz w:val="22"/>
                <w:szCs w:val="22"/>
              </w:rPr>
              <w:t>78,68</w:t>
            </w:r>
          </w:p>
        </w:tc>
        <w:tc>
          <w:tcPr>
            <w:tcW w:w="1134" w:type="dxa"/>
            <w:vAlign w:val="center"/>
          </w:tcPr>
          <w:p w14:paraId="7A092D6C">
            <w:pPr>
              <w:jc w:val="center"/>
              <w:rPr>
                <w:color w:val="000000"/>
                <w:sz w:val="22"/>
                <w:szCs w:val="22"/>
              </w:rPr>
            </w:pPr>
            <w:r>
              <w:rPr>
                <w:color w:val="000000"/>
                <w:sz w:val="22"/>
                <w:szCs w:val="22"/>
              </w:rPr>
              <w:t>87,8</w:t>
            </w:r>
          </w:p>
        </w:tc>
        <w:tc>
          <w:tcPr>
            <w:tcW w:w="706" w:type="dxa"/>
            <w:vAlign w:val="center"/>
          </w:tcPr>
          <w:p w14:paraId="4D208C55">
            <w:pPr>
              <w:jc w:val="center"/>
              <w:rPr>
                <w:color w:val="000000"/>
                <w:sz w:val="22"/>
                <w:szCs w:val="22"/>
              </w:rPr>
            </w:pPr>
            <w:r>
              <w:rPr>
                <w:color w:val="000000"/>
                <w:sz w:val="22"/>
                <w:szCs w:val="22"/>
              </w:rPr>
              <w:t>4,0</w:t>
            </w:r>
          </w:p>
        </w:tc>
        <w:tc>
          <w:tcPr>
            <w:tcW w:w="1278" w:type="dxa"/>
            <w:vAlign w:val="center"/>
          </w:tcPr>
          <w:p w14:paraId="74B47BB5">
            <w:pPr>
              <w:jc w:val="center"/>
              <w:rPr>
                <w:color w:val="000000"/>
                <w:sz w:val="22"/>
                <w:szCs w:val="22"/>
              </w:rPr>
            </w:pPr>
            <w:r>
              <w:rPr>
                <w:color w:val="000000"/>
                <w:sz w:val="22"/>
                <w:szCs w:val="22"/>
              </w:rPr>
              <w:t>302,42</w:t>
            </w:r>
          </w:p>
        </w:tc>
        <w:tc>
          <w:tcPr>
            <w:tcW w:w="851" w:type="dxa"/>
            <w:vAlign w:val="center"/>
          </w:tcPr>
          <w:p w14:paraId="4AFABEFF">
            <w:pPr>
              <w:jc w:val="center"/>
              <w:rPr>
                <w:color w:val="000000"/>
                <w:sz w:val="22"/>
                <w:szCs w:val="22"/>
              </w:rPr>
            </w:pPr>
            <w:r>
              <w:rPr>
                <w:color w:val="000000"/>
                <w:sz w:val="22"/>
                <w:szCs w:val="22"/>
              </w:rPr>
              <w:t>3,4</w:t>
            </w:r>
          </w:p>
        </w:tc>
        <w:tc>
          <w:tcPr>
            <w:tcW w:w="850" w:type="dxa"/>
            <w:vAlign w:val="center"/>
          </w:tcPr>
          <w:p w14:paraId="107E1A60">
            <w:pPr>
              <w:jc w:val="center"/>
              <w:rPr>
                <w:color w:val="000000"/>
                <w:sz w:val="22"/>
                <w:szCs w:val="22"/>
              </w:rPr>
            </w:pPr>
            <w:r>
              <w:rPr>
                <w:color w:val="000000"/>
                <w:sz w:val="22"/>
                <w:szCs w:val="22"/>
              </w:rPr>
              <w:t>ĐH2</w:t>
            </w:r>
          </w:p>
        </w:tc>
      </w:tr>
      <w:tr w14:paraId="75CD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CBFC6FA">
            <w:pPr>
              <w:jc w:val="center"/>
              <w:rPr>
                <w:color w:val="000000"/>
                <w:sz w:val="22"/>
                <w:szCs w:val="22"/>
              </w:rPr>
            </w:pPr>
          </w:p>
        </w:tc>
        <w:tc>
          <w:tcPr>
            <w:tcW w:w="1121" w:type="dxa"/>
            <w:noWrap/>
            <w:vAlign w:val="center"/>
          </w:tcPr>
          <w:p w14:paraId="14414688">
            <w:pPr>
              <w:jc w:val="center"/>
              <w:rPr>
                <w:color w:val="000000"/>
                <w:sz w:val="22"/>
                <w:szCs w:val="22"/>
              </w:rPr>
            </w:pPr>
            <w:r>
              <w:rPr>
                <w:color w:val="000000"/>
                <w:sz w:val="22"/>
                <w:szCs w:val="22"/>
              </w:rPr>
              <w:t>KL-07:07</w:t>
            </w:r>
          </w:p>
        </w:tc>
        <w:tc>
          <w:tcPr>
            <w:tcW w:w="1147" w:type="dxa"/>
            <w:vAlign w:val="center"/>
          </w:tcPr>
          <w:p w14:paraId="273B7D7D">
            <w:pPr>
              <w:jc w:val="center"/>
              <w:rPr>
                <w:color w:val="000000"/>
                <w:sz w:val="22"/>
                <w:szCs w:val="22"/>
              </w:rPr>
            </w:pPr>
            <w:r>
              <w:rPr>
                <w:color w:val="000000"/>
                <w:sz w:val="22"/>
                <w:szCs w:val="22"/>
              </w:rPr>
              <w:t>90,00</w:t>
            </w:r>
          </w:p>
        </w:tc>
        <w:tc>
          <w:tcPr>
            <w:tcW w:w="1098" w:type="dxa"/>
            <w:vAlign w:val="center"/>
          </w:tcPr>
          <w:p w14:paraId="3049F316">
            <w:pPr>
              <w:jc w:val="center"/>
              <w:rPr>
                <w:color w:val="000000"/>
                <w:sz w:val="22"/>
                <w:szCs w:val="22"/>
              </w:rPr>
            </w:pPr>
            <w:r>
              <w:rPr>
                <w:color w:val="000000"/>
                <w:sz w:val="22"/>
                <w:szCs w:val="22"/>
              </w:rPr>
              <w:t>78,68</w:t>
            </w:r>
          </w:p>
        </w:tc>
        <w:tc>
          <w:tcPr>
            <w:tcW w:w="1134" w:type="dxa"/>
            <w:vAlign w:val="center"/>
          </w:tcPr>
          <w:p w14:paraId="1FFF6232">
            <w:pPr>
              <w:jc w:val="center"/>
              <w:rPr>
                <w:color w:val="000000"/>
                <w:sz w:val="22"/>
                <w:szCs w:val="22"/>
              </w:rPr>
            </w:pPr>
            <w:r>
              <w:rPr>
                <w:color w:val="000000"/>
                <w:sz w:val="22"/>
                <w:szCs w:val="22"/>
              </w:rPr>
              <w:t>87,8</w:t>
            </w:r>
          </w:p>
        </w:tc>
        <w:tc>
          <w:tcPr>
            <w:tcW w:w="706" w:type="dxa"/>
            <w:vAlign w:val="center"/>
          </w:tcPr>
          <w:p w14:paraId="2366CB6B">
            <w:pPr>
              <w:jc w:val="center"/>
              <w:rPr>
                <w:color w:val="000000"/>
                <w:sz w:val="22"/>
                <w:szCs w:val="22"/>
              </w:rPr>
            </w:pPr>
            <w:r>
              <w:rPr>
                <w:color w:val="000000"/>
                <w:sz w:val="22"/>
                <w:szCs w:val="22"/>
              </w:rPr>
              <w:t>4,0</w:t>
            </w:r>
          </w:p>
        </w:tc>
        <w:tc>
          <w:tcPr>
            <w:tcW w:w="1278" w:type="dxa"/>
            <w:vAlign w:val="center"/>
          </w:tcPr>
          <w:p w14:paraId="399684A3">
            <w:pPr>
              <w:jc w:val="center"/>
              <w:rPr>
                <w:color w:val="000000"/>
                <w:sz w:val="22"/>
                <w:szCs w:val="22"/>
              </w:rPr>
            </w:pPr>
            <w:r>
              <w:rPr>
                <w:color w:val="000000"/>
                <w:sz w:val="22"/>
                <w:szCs w:val="22"/>
              </w:rPr>
              <w:t>302,42</w:t>
            </w:r>
          </w:p>
        </w:tc>
        <w:tc>
          <w:tcPr>
            <w:tcW w:w="851" w:type="dxa"/>
            <w:vAlign w:val="center"/>
          </w:tcPr>
          <w:p w14:paraId="5E6B46F7">
            <w:pPr>
              <w:jc w:val="center"/>
              <w:rPr>
                <w:color w:val="000000"/>
                <w:sz w:val="22"/>
                <w:szCs w:val="22"/>
              </w:rPr>
            </w:pPr>
            <w:r>
              <w:rPr>
                <w:color w:val="000000"/>
                <w:sz w:val="22"/>
                <w:szCs w:val="22"/>
              </w:rPr>
              <w:t>3,4</w:t>
            </w:r>
          </w:p>
        </w:tc>
        <w:tc>
          <w:tcPr>
            <w:tcW w:w="850" w:type="dxa"/>
            <w:vAlign w:val="center"/>
          </w:tcPr>
          <w:p w14:paraId="548E6532">
            <w:pPr>
              <w:jc w:val="center"/>
              <w:rPr>
                <w:color w:val="000000"/>
                <w:sz w:val="22"/>
                <w:szCs w:val="22"/>
              </w:rPr>
            </w:pPr>
            <w:r>
              <w:rPr>
                <w:color w:val="000000"/>
                <w:sz w:val="22"/>
                <w:szCs w:val="22"/>
              </w:rPr>
              <w:t>ĐH2</w:t>
            </w:r>
          </w:p>
        </w:tc>
      </w:tr>
      <w:tr w14:paraId="42D2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558231D">
            <w:pPr>
              <w:jc w:val="center"/>
              <w:rPr>
                <w:color w:val="000000"/>
                <w:sz w:val="22"/>
                <w:szCs w:val="22"/>
              </w:rPr>
            </w:pPr>
          </w:p>
        </w:tc>
        <w:tc>
          <w:tcPr>
            <w:tcW w:w="1121" w:type="dxa"/>
            <w:noWrap/>
            <w:vAlign w:val="center"/>
          </w:tcPr>
          <w:p w14:paraId="3147EAE0">
            <w:pPr>
              <w:jc w:val="center"/>
              <w:rPr>
                <w:color w:val="000000"/>
                <w:sz w:val="22"/>
                <w:szCs w:val="22"/>
              </w:rPr>
            </w:pPr>
            <w:r>
              <w:rPr>
                <w:color w:val="000000"/>
                <w:sz w:val="22"/>
                <w:szCs w:val="22"/>
              </w:rPr>
              <w:t>KL-07:08</w:t>
            </w:r>
          </w:p>
        </w:tc>
        <w:tc>
          <w:tcPr>
            <w:tcW w:w="1147" w:type="dxa"/>
            <w:vAlign w:val="center"/>
          </w:tcPr>
          <w:p w14:paraId="2F0A56F6">
            <w:pPr>
              <w:jc w:val="center"/>
              <w:rPr>
                <w:color w:val="000000"/>
                <w:sz w:val="22"/>
                <w:szCs w:val="22"/>
              </w:rPr>
            </w:pPr>
            <w:r>
              <w:rPr>
                <w:color w:val="000000"/>
                <w:sz w:val="22"/>
                <w:szCs w:val="22"/>
              </w:rPr>
              <w:t>90,00</w:t>
            </w:r>
          </w:p>
        </w:tc>
        <w:tc>
          <w:tcPr>
            <w:tcW w:w="1098" w:type="dxa"/>
            <w:vAlign w:val="center"/>
          </w:tcPr>
          <w:p w14:paraId="3AB6EF10">
            <w:pPr>
              <w:jc w:val="center"/>
              <w:rPr>
                <w:color w:val="000000"/>
                <w:sz w:val="22"/>
                <w:szCs w:val="22"/>
              </w:rPr>
            </w:pPr>
            <w:r>
              <w:rPr>
                <w:color w:val="000000"/>
                <w:sz w:val="22"/>
                <w:szCs w:val="22"/>
              </w:rPr>
              <w:t>78,68</w:t>
            </w:r>
          </w:p>
        </w:tc>
        <w:tc>
          <w:tcPr>
            <w:tcW w:w="1134" w:type="dxa"/>
            <w:vAlign w:val="center"/>
          </w:tcPr>
          <w:p w14:paraId="16FE0E89">
            <w:pPr>
              <w:jc w:val="center"/>
              <w:rPr>
                <w:color w:val="000000"/>
                <w:sz w:val="22"/>
                <w:szCs w:val="22"/>
              </w:rPr>
            </w:pPr>
            <w:r>
              <w:rPr>
                <w:color w:val="000000"/>
                <w:sz w:val="22"/>
                <w:szCs w:val="22"/>
              </w:rPr>
              <w:t>87,8</w:t>
            </w:r>
          </w:p>
        </w:tc>
        <w:tc>
          <w:tcPr>
            <w:tcW w:w="706" w:type="dxa"/>
            <w:vAlign w:val="center"/>
          </w:tcPr>
          <w:p w14:paraId="2B804974">
            <w:pPr>
              <w:jc w:val="center"/>
              <w:rPr>
                <w:color w:val="000000"/>
                <w:sz w:val="22"/>
                <w:szCs w:val="22"/>
              </w:rPr>
            </w:pPr>
            <w:r>
              <w:rPr>
                <w:color w:val="000000"/>
                <w:sz w:val="22"/>
                <w:szCs w:val="22"/>
              </w:rPr>
              <w:t>4,0</w:t>
            </w:r>
          </w:p>
        </w:tc>
        <w:tc>
          <w:tcPr>
            <w:tcW w:w="1278" w:type="dxa"/>
            <w:vAlign w:val="center"/>
          </w:tcPr>
          <w:p w14:paraId="738EBD01">
            <w:pPr>
              <w:jc w:val="center"/>
              <w:rPr>
                <w:color w:val="000000"/>
                <w:sz w:val="22"/>
                <w:szCs w:val="22"/>
              </w:rPr>
            </w:pPr>
            <w:r>
              <w:rPr>
                <w:color w:val="000000"/>
                <w:sz w:val="22"/>
                <w:szCs w:val="22"/>
              </w:rPr>
              <w:t>302,42</w:t>
            </w:r>
          </w:p>
        </w:tc>
        <w:tc>
          <w:tcPr>
            <w:tcW w:w="851" w:type="dxa"/>
            <w:vAlign w:val="center"/>
          </w:tcPr>
          <w:p w14:paraId="45F5D5B6">
            <w:pPr>
              <w:jc w:val="center"/>
              <w:rPr>
                <w:color w:val="000000"/>
                <w:sz w:val="22"/>
                <w:szCs w:val="22"/>
              </w:rPr>
            </w:pPr>
            <w:r>
              <w:rPr>
                <w:color w:val="000000"/>
                <w:sz w:val="22"/>
                <w:szCs w:val="22"/>
              </w:rPr>
              <w:t>3,4</w:t>
            </w:r>
          </w:p>
        </w:tc>
        <w:tc>
          <w:tcPr>
            <w:tcW w:w="850" w:type="dxa"/>
            <w:vAlign w:val="center"/>
          </w:tcPr>
          <w:p w14:paraId="031474D2">
            <w:pPr>
              <w:jc w:val="center"/>
              <w:rPr>
                <w:color w:val="000000"/>
                <w:sz w:val="22"/>
                <w:szCs w:val="22"/>
              </w:rPr>
            </w:pPr>
            <w:r>
              <w:rPr>
                <w:color w:val="000000"/>
                <w:sz w:val="22"/>
                <w:szCs w:val="22"/>
              </w:rPr>
              <w:t>ĐH2</w:t>
            </w:r>
          </w:p>
        </w:tc>
      </w:tr>
      <w:tr w14:paraId="6DCC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B5EABF4">
            <w:pPr>
              <w:jc w:val="center"/>
              <w:rPr>
                <w:color w:val="000000"/>
                <w:sz w:val="22"/>
                <w:szCs w:val="22"/>
              </w:rPr>
            </w:pPr>
          </w:p>
        </w:tc>
        <w:tc>
          <w:tcPr>
            <w:tcW w:w="1121" w:type="dxa"/>
            <w:noWrap/>
            <w:vAlign w:val="center"/>
          </w:tcPr>
          <w:p w14:paraId="19F77E8B">
            <w:pPr>
              <w:jc w:val="center"/>
              <w:rPr>
                <w:color w:val="000000"/>
                <w:sz w:val="22"/>
                <w:szCs w:val="22"/>
              </w:rPr>
            </w:pPr>
            <w:r>
              <w:rPr>
                <w:color w:val="000000"/>
                <w:sz w:val="22"/>
                <w:szCs w:val="22"/>
              </w:rPr>
              <w:t>KL-07:09</w:t>
            </w:r>
          </w:p>
        </w:tc>
        <w:tc>
          <w:tcPr>
            <w:tcW w:w="1147" w:type="dxa"/>
            <w:vAlign w:val="center"/>
          </w:tcPr>
          <w:p w14:paraId="46BE583D">
            <w:pPr>
              <w:jc w:val="center"/>
              <w:rPr>
                <w:color w:val="000000"/>
                <w:sz w:val="22"/>
                <w:szCs w:val="22"/>
              </w:rPr>
            </w:pPr>
            <w:r>
              <w:rPr>
                <w:color w:val="000000"/>
                <w:sz w:val="22"/>
                <w:szCs w:val="22"/>
              </w:rPr>
              <w:t>105,90</w:t>
            </w:r>
          </w:p>
        </w:tc>
        <w:tc>
          <w:tcPr>
            <w:tcW w:w="1098" w:type="dxa"/>
            <w:vAlign w:val="center"/>
          </w:tcPr>
          <w:p w14:paraId="0F4BE96A">
            <w:pPr>
              <w:jc w:val="center"/>
              <w:rPr>
                <w:color w:val="000000"/>
                <w:sz w:val="22"/>
                <w:szCs w:val="22"/>
              </w:rPr>
            </w:pPr>
            <w:r>
              <w:rPr>
                <w:color w:val="000000"/>
                <w:sz w:val="22"/>
                <w:szCs w:val="22"/>
              </w:rPr>
              <w:t>78,68</w:t>
            </w:r>
          </w:p>
        </w:tc>
        <w:tc>
          <w:tcPr>
            <w:tcW w:w="1134" w:type="dxa"/>
            <w:vAlign w:val="center"/>
          </w:tcPr>
          <w:p w14:paraId="6E464565">
            <w:pPr>
              <w:jc w:val="center"/>
              <w:rPr>
                <w:color w:val="000000"/>
                <w:sz w:val="22"/>
                <w:szCs w:val="22"/>
              </w:rPr>
            </w:pPr>
            <w:r>
              <w:rPr>
                <w:color w:val="000000"/>
                <w:sz w:val="22"/>
                <w:szCs w:val="22"/>
              </w:rPr>
              <w:t>87,8</w:t>
            </w:r>
          </w:p>
        </w:tc>
        <w:tc>
          <w:tcPr>
            <w:tcW w:w="706" w:type="dxa"/>
            <w:vAlign w:val="center"/>
          </w:tcPr>
          <w:p w14:paraId="18E1353F">
            <w:pPr>
              <w:jc w:val="center"/>
              <w:rPr>
                <w:color w:val="000000"/>
                <w:sz w:val="22"/>
                <w:szCs w:val="22"/>
              </w:rPr>
            </w:pPr>
            <w:r>
              <w:rPr>
                <w:color w:val="000000"/>
                <w:sz w:val="22"/>
                <w:szCs w:val="22"/>
              </w:rPr>
              <w:t>4,0</w:t>
            </w:r>
          </w:p>
        </w:tc>
        <w:tc>
          <w:tcPr>
            <w:tcW w:w="1278" w:type="dxa"/>
            <w:vAlign w:val="center"/>
          </w:tcPr>
          <w:p w14:paraId="12C4679D">
            <w:pPr>
              <w:jc w:val="center"/>
              <w:rPr>
                <w:color w:val="000000"/>
                <w:sz w:val="22"/>
                <w:szCs w:val="22"/>
              </w:rPr>
            </w:pPr>
            <w:r>
              <w:rPr>
                <w:color w:val="000000"/>
                <w:sz w:val="22"/>
                <w:szCs w:val="22"/>
              </w:rPr>
              <w:t>302,42</w:t>
            </w:r>
          </w:p>
        </w:tc>
        <w:tc>
          <w:tcPr>
            <w:tcW w:w="851" w:type="dxa"/>
            <w:vAlign w:val="center"/>
          </w:tcPr>
          <w:p w14:paraId="13C7AE95">
            <w:pPr>
              <w:jc w:val="center"/>
              <w:rPr>
                <w:color w:val="000000"/>
                <w:sz w:val="22"/>
                <w:szCs w:val="22"/>
              </w:rPr>
            </w:pPr>
            <w:r>
              <w:rPr>
                <w:color w:val="000000"/>
                <w:sz w:val="22"/>
                <w:szCs w:val="22"/>
              </w:rPr>
              <w:t>2,9</w:t>
            </w:r>
          </w:p>
        </w:tc>
        <w:tc>
          <w:tcPr>
            <w:tcW w:w="850" w:type="dxa"/>
            <w:vAlign w:val="center"/>
          </w:tcPr>
          <w:p w14:paraId="6E81349C">
            <w:pPr>
              <w:jc w:val="center"/>
              <w:rPr>
                <w:color w:val="000000"/>
                <w:sz w:val="22"/>
                <w:szCs w:val="22"/>
              </w:rPr>
            </w:pPr>
            <w:r>
              <w:rPr>
                <w:color w:val="000000"/>
                <w:sz w:val="22"/>
                <w:szCs w:val="22"/>
              </w:rPr>
              <w:t>ĐH2</w:t>
            </w:r>
          </w:p>
        </w:tc>
      </w:tr>
      <w:tr w14:paraId="6209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506CB7D8">
            <w:pPr>
              <w:jc w:val="center"/>
              <w:rPr>
                <w:b/>
                <w:bCs/>
                <w:color w:val="000000"/>
                <w:sz w:val="22"/>
                <w:szCs w:val="22"/>
              </w:rPr>
            </w:pPr>
            <w:r>
              <w:rPr>
                <w:b/>
                <w:bCs/>
                <w:color w:val="000000"/>
                <w:sz w:val="22"/>
                <w:szCs w:val="22"/>
              </w:rPr>
              <w:t>Tổng</w:t>
            </w:r>
          </w:p>
        </w:tc>
        <w:tc>
          <w:tcPr>
            <w:tcW w:w="1121" w:type="dxa"/>
            <w:noWrap/>
            <w:vAlign w:val="center"/>
          </w:tcPr>
          <w:p w14:paraId="75D5AF1C">
            <w:pPr>
              <w:jc w:val="center"/>
              <w:rPr>
                <w:b/>
                <w:bCs/>
                <w:color w:val="000000"/>
                <w:sz w:val="22"/>
                <w:szCs w:val="22"/>
              </w:rPr>
            </w:pPr>
            <w:r>
              <w:rPr>
                <w:b/>
                <w:bCs/>
                <w:color w:val="000000"/>
                <w:sz w:val="22"/>
                <w:szCs w:val="22"/>
              </w:rPr>
              <w:t>KL-07</w:t>
            </w:r>
          </w:p>
        </w:tc>
        <w:tc>
          <w:tcPr>
            <w:tcW w:w="1147" w:type="dxa"/>
            <w:vAlign w:val="center"/>
          </w:tcPr>
          <w:p w14:paraId="21ABB69E">
            <w:pPr>
              <w:jc w:val="center"/>
              <w:rPr>
                <w:b/>
                <w:bCs/>
                <w:color w:val="000000"/>
                <w:sz w:val="22"/>
                <w:szCs w:val="22"/>
              </w:rPr>
            </w:pPr>
            <w:r>
              <w:rPr>
                <w:b/>
                <w:bCs/>
                <w:color w:val="000000"/>
                <w:sz w:val="22"/>
                <w:szCs w:val="22"/>
              </w:rPr>
              <w:t>841,80</w:t>
            </w:r>
          </w:p>
        </w:tc>
        <w:tc>
          <w:tcPr>
            <w:tcW w:w="1098" w:type="dxa"/>
            <w:vAlign w:val="center"/>
          </w:tcPr>
          <w:p w14:paraId="53897F2C">
            <w:pPr>
              <w:jc w:val="center"/>
              <w:rPr>
                <w:b/>
                <w:bCs/>
                <w:color w:val="000000"/>
                <w:sz w:val="22"/>
                <w:szCs w:val="22"/>
              </w:rPr>
            </w:pPr>
            <w:r>
              <w:rPr>
                <w:b/>
                <w:bCs/>
                <w:color w:val="000000"/>
                <w:sz w:val="22"/>
                <w:szCs w:val="22"/>
              </w:rPr>
              <w:t>708,1</w:t>
            </w:r>
          </w:p>
        </w:tc>
        <w:tc>
          <w:tcPr>
            <w:tcW w:w="1134" w:type="dxa"/>
            <w:vAlign w:val="center"/>
          </w:tcPr>
          <w:p w14:paraId="5CE0A887">
            <w:pPr>
              <w:jc w:val="center"/>
              <w:rPr>
                <w:b/>
                <w:bCs/>
                <w:color w:val="000000"/>
                <w:sz w:val="22"/>
                <w:szCs w:val="22"/>
              </w:rPr>
            </w:pPr>
            <w:r>
              <w:rPr>
                <w:b/>
                <w:bCs/>
                <w:color w:val="000000"/>
                <w:sz w:val="22"/>
                <w:szCs w:val="22"/>
              </w:rPr>
              <w:t>87,8</w:t>
            </w:r>
          </w:p>
        </w:tc>
        <w:tc>
          <w:tcPr>
            <w:tcW w:w="706" w:type="dxa"/>
            <w:vAlign w:val="center"/>
          </w:tcPr>
          <w:p w14:paraId="31AE3250">
            <w:pPr>
              <w:jc w:val="center"/>
              <w:rPr>
                <w:b/>
                <w:bCs/>
                <w:color w:val="000000"/>
                <w:sz w:val="22"/>
                <w:szCs w:val="22"/>
              </w:rPr>
            </w:pPr>
          </w:p>
        </w:tc>
        <w:tc>
          <w:tcPr>
            <w:tcW w:w="1278" w:type="dxa"/>
            <w:vAlign w:val="center"/>
          </w:tcPr>
          <w:p w14:paraId="02CCF6CA">
            <w:pPr>
              <w:jc w:val="center"/>
              <w:rPr>
                <w:b/>
                <w:bCs/>
                <w:color w:val="000000"/>
                <w:sz w:val="22"/>
                <w:szCs w:val="22"/>
              </w:rPr>
            </w:pPr>
            <w:r>
              <w:rPr>
                <w:b/>
                <w:bCs/>
                <w:color w:val="000000"/>
                <w:sz w:val="22"/>
                <w:szCs w:val="22"/>
              </w:rPr>
              <w:t>2.721,8</w:t>
            </w:r>
          </w:p>
        </w:tc>
        <w:tc>
          <w:tcPr>
            <w:tcW w:w="851" w:type="dxa"/>
            <w:vAlign w:val="center"/>
          </w:tcPr>
          <w:p w14:paraId="0C24610D">
            <w:pPr>
              <w:jc w:val="center"/>
              <w:rPr>
                <w:b/>
                <w:bCs/>
                <w:color w:val="000000"/>
                <w:sz w:val="22"/>
                <w:szCs w:val="22"/>
              </w:rPr>
            </w:pPr>
            <w:r>
              <w:rPr>
                <w:b/>
                <w:bCs/>
                <w:color w:val="000000"/>
                <w:sz w:val="22"/>
                <w:szCs w:val="22"/>
              </w:rPr>
              <w:t>3,2</w:t>
            </w:r>
          </w:p>
        </w:tc>
        <w:tc>
          <w:tcPr>
            <w:tcW w:w="850" w:type="dxa"/>
            <w:vAlign w:val="center"/>
          </w:tcPr>
          <w:p w14:paraId="6AABF601">
            <w:pPr>
              <w:jc w:val="center"/>
              <w:rPr>
                <w:color w:val="000000"/>
                <w:sz w:val="22"/>
                <w:szCs w:val="22"/>
              </w:rPr>
            </w:pPr>
          </w:p>
        </w:tc>
      </w:tr>
      <w:tr w14:paraId="46EA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220F85C3">
            <w:pPr>
              <w:jc w:val="center"/>
              <w:rPr>
                <w:color w:val="000000"/>
                <w:sz w:val="22"/>
                <w:szCs w:val="22"/>
              </w:rPr>
            </w:pPr>
            <w:r>
              <w:rPr>
                <w:color w:val="000000"/>
                <w:sz w:val="22"/>
                <w:szCs w:val="22"/>
              </w:rPr>
              <w:t>LK08</w:t>
            </w:r>
          </w:p>
        </w:tc>
        <w:tc>
          <w:tcPr>
            <w:tcW w:w="1121" w:type="dxa"/>
            <w:noWrap/>
            <w:vAlign w:val="center"/>
          </w:tcPr>
          <w:p w14:paraId="488B41BC">
            <w:pPr>
              <w:jc w:val="center"/>
              <w:rPr>
                <w:color w:val="000000"/>
                <w:sz w:val="22"/>
                <w:szCs w:val="22"/>
              </w:rPr>
            </w:pPr>
            <w:r>
              <w:rPr>
                <w:color w:val="000000"/>
                <w:sz w:val="22"/>
                <w:szCs w:val="22"/>
              </w:rPr>
              <w:t>KL-08:08</w:t>
            </w:r>
          </w:p>
        </w:tc>
        <w:tc>
          <w:tcPr>
            <w:tcW w:w="1147" w:type="dxa"/>
            <w:vAlign w:val="center"/>
          </w:tcPr>
          <w:p w14:paraId="2165B678">
            <w:pPr>
              <w:jc w:val="center"/>
              <w:rPr>
                <w:color w:val="000000"/>
                <w:sz w:val="22"/>
                <w:szCs w:val="22"/>
              </w:rPr>
            </w:pPr>
            <w:r>
              <w:rPr>
                <w:color w:val="000000"/>
                <w:sz w:val="22"/>
                <w:szCs w:val="22"/>
              </w:rPr>
              <w:t>122,50</w:t>
            </w:r>
          </w:p>
        </w:tc>
        <w:tc>
          <w:tcPr>
            <w:tcW w:w="1098" w:type="dxa"/>
            <w:vAlign w:val="center"/>
          </w:tcPr>
          <w:p w14:paraId="5615E605">
            <w:pPr>
              <w:jc w:val="center"/>
              <w:rPr>
                <w:color w:val="000000"/>
                <w:sz w:val="22"/>
                <w:szCs w:val="22"/>
              </w:rPr>
            </w:pPr>
            <w:r>
              <w:rPr>
                <w:color w:val="000000"/>
                <w:sz w:val="22"/>
                <w:szCs w:val="22"/>
              </w:rPr>
              <w:t>107,07</w:t>
            </w:r>
          </w:p>
        </w:tc>
        <w:tc>
          <w:tcPr>
            <w:tcW w:w="1134" w:type="dxa"/>
            <w:vAlign w:val="center"/>
          </w:tcPr>
          <w:p w14:paraId="21263226">
            <w:pPr>
              <w:jc w:val="center"/>
              <w:rPr>
                <w:color w:val="000000"/>
                <w:sz w:val="22"/>
                <w:szCs w:val="22"/>
              </w:rPr>
            </w:pPr>
            <w:r>
              <w:rPr>
                <w:color w:val="000000"/>
                <w:sz w:val="22"/>
                <w:szCs w:val="22"/>
              </w:rPr>
              <w:t>87,4</w:t>
            </w:r>
          </w:p>
        </w:tc>
        <w:tc>
          <w:tcPr>
            <w:tcW w:w="706" w:type="dxa"/>
            <w:vAlign w:val="center"/>
          </w:tcPr>
          <w:p w14:paraId="515E9799">
            <w:pPr>
              <w:jc w:val="center"/>
              <w:rPr>
                <w:color w:val="000000"/>
                <w:sz w:val="22"/>
                <w:szCs w:val="22"/>
              </w:rPr>
            </w:pPr>
            <w:r>
              <w:rPr>
                <w:color w:val="000000"/>
                <w:sz w:val="22"/>
                <w:szCs w:val="22"/>
              </w:rPr>
              <w:t>4,0</w:t>
            </w:r>
          </w:p>
        </w:tc>
        <w:tc>
          <w:tcPr>
            <w:tcW w:w="1278" w:type="dxa"/>
            <w:vAlign w:val="center"/>
          </w:tcPr>
          <w:p w14:paraId="34EAA079">
            <w:pPr>
              <w:jc w:val="center"/>
              <w:rPr>
                <w:color w:val="000000"/>
                <w:sz w:val="22"/>
                <w:szCs w:val="22"/>
              </w:rPr>
            </w:pPr>
            <w:r>
              <w:rPr>
                <w:color w:val="000000"/>
                <w:sz w:val="22"/>
                <w:szCs w:val="22"/>
              </w:rPr>
              <w:t>454,8</w:t>
            </w:r>
          </w:p>
        </w:tc>
        <w:tc>
          <w:tcPr>
            <w:tcW w:w="851" w:type="dxa"/>
            <w:vAlign w:val="center"/>
          </w:tcPr>
          <w:p w14:paraId="281B1E45">
            <w:pPr>
              <w:jc w:val="center"/>
              <w:rPr>
                <w:color w:val="000000"/>
                <w:sz w:val="22"/>
                <w:szCs w:val="22"/>
              </w:rPr>
            </w:pPr>
            <w:r>
              <w:rPr>
                <w:color w:val="000000"/>
                <w:sz w:val="22"/>
                <w:szCs w:val="22"/>
              </w:rPr>
              <w:t>3,7</w:t>
            </w:r>
          </w:p>
        </w:tc>
        <w:tc>
          <w:tcPr>
            <w:tcW w:w="850" w:type="dxa"/>
            <w:vAlign w:val="center"/>
          </w:tcPr>
          <w:p w14:paraId="33650E84">
            <w:pPr>
              <w:jc w:val="center"/>
              <w:rPr>
                <w:color w:val="000000"/>
                <w:sz w:val="22"/>
                <w:szCs w:val="22"/>
              </w:rPr>
            </w:pPr>
            <w:r>
              <w:rPr>
                <w:color w:val="000000"/>
                <w:sz w:val="22"/>
                <w:szCs w:val="22"/>
              </w:rPr>
              <w:t>LG2</w:t>
            </w:r>
          </w:p>
        </w:tc>
      </w:tr>
      <w:tr w14:paraId="7029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32667D47">
            <w:pPr>
              <w:jc w:val="center"/>
              <w:rPr>
                <w:color w:val="000000"/>
                <w:sz w:val="22"/>
                <w:szCs w:val="22"/>
              </w:rPr>
            </w:pPr>
            <w:r>
              <w:rPr>
                <w:color w:val="000000"/>
                <w:sz w:val="22"/>
                <w:szCs w:val="22"/>
              </w:rPr>
              <w:t>LK12</w:t>
            </w:r>
          </w:p>
        </w:tc>
        <w:tc>
          <w:tcPr>
            <w:tcW w:w="1121" w:type="dxa"/>
            <w:noWrap/>
            <w:vAlign w:val="center"/>
          </w:tcPr>
          <w:p w14:paraId="20E0D76C">
            <w:pPr>
              <w:jc w:val="center"/>
              <w:rPr>
                <w:color w:val="000000"/>
                <w:sz w:val="22"/>
                <w:szCs w:val="22"/>
              </w:rPr>
            </w:pPr>
            <w:r>
              <w:rPr>
                <w:color w:val="000000"/>
                <w:sz w:val="22"/>
                <w:szCs w:val="22"/>
              </w:rPr>
              <w:t>KL-12:01</w:t>
            </w:r>
          </w:p>
        </w:tc>
        <w:tc>
          <w:tcPr>
            <w:tcW w:w="1147" w:type="dxa"/>
            <w:vAlign w:val="center"/>
          </w:tcPr>
          <w:p w14:paraId="6CB520C6">
            <w:pPr>
              <w:jc w:val="center"/>
              <w:rPr>
                <w:color w:val="000000"/>
                <w:sz w:val="22"/>
                <w:szCs w:val="22"/>
              </w:rPr>
            </w:pPr>
            <w:r>
              <w:rPr>
                <w:color w:val="000000"/>
                <w:sz w:val="22"/>
                <w:szCs w:val="22"/>
              </w:rPr>
              <w:t>92,97</w:t>
            </w:r>
          </w:p>
        </w:tc>
        <w:tc>
          <w:tcPr>
            <w:tcW w:w="1098" w:type="dxa"/>
            <w:vAlign w:val="center"/>
          </w:tcPr>
          <w:p w14:paraId="7BB74443">
            <w:pPr>
              <w:jc w:val="center"/>
              <w:rPr>
                <w:color w:val="000000"/>
                <w:sz w:val="22"/>
                <w:szCs w:val="22"/>
              </w:rPr>
            </w:pPr>
            <w:r>
              <w:rPr>
                <w:color w:val="000000"/>
                <w:sz w:val="22"/>
                <w:szCs w:val="22"/>
              </w:rPr>
              <w:t>78,68</w:t>
            </w:r>
          </w:p>
        </w:tc>
        <w:tc>
          <w:tcPr>
            <w:tcW w:w="1134" w:type="dxa"/>
            <w:vAlign w:val="center"/>
          </w:tcPr>
          <w:p w14:paraId="40C2B3C1">
            <w:pPr>
              <w:jc w:val="center"/>
              <w:rPr>
                <w:color w:val="000000"/>
                <w:sz w:val="22"/>
                <w:szCs w:val="22"/>
              </w:rPr>
            </w:pPr>
            <w:r>
              <w:rPr>
                <w:color w:val="000000"/>
                <w:sz w:val="22"/>
                <w:szCs w:val="22"/>
              </w:rPr>
              <w:t>84,6</w:t>
            </w:r>
          </w:p>
        </w:tc>
        <w:tc>
          <w:tcPr>
            <w:tcW w:w="706" w:type="dxa"/>
            <w:vAlign w:val="center"/>
          </w:tcPr>
          <w:p w14:paraId="0876BEDF">
            <w:pPr>
              <w:jc w:val="center"/>
              <w:rPr>
                <w:color w:val="000000"/>
                <w:sz w:val="22"/>
                <w:szCs w:val="22"/>
              </w:rPr>
            </w:pPr>
            <w:r>
              <w:rPr>
                <w:color w:val="000000"/>
                <w:sz w:val="22"/>
                <w:szCs w:val="22"/>
              </w:rPr>
              <w:t>4,0</w:t>
            </w:r>
          </w:p>
        </w:tc>
        <w:tc>
          <w:tcPr>
            <w:tcW w:w="1278" w:type="dxa"/>
            <w:vAlign w:val="center"/>
          </w:tcPr>
          <w:p w14:paraId="4E8516A0">
            <w:pPr>
              <w:jc w:val="center"/>
              <w:rPr>
                <w:color w:val="000000"/>
                <w:sz w:val="22"/>
                <w:szCs w:val="22"/>
              </w:rPr>
            </w:pPr>
            <w:r>
              <w:rPr>
                <w:color w:val="000000"/>
                <w:sz w:val="22"/>
                <w:szCs w:val="22"/>
              </w:rPr>
              <w:t>302,42</w:t>
            </w:r>
          </w:p>
        </w:tc>
        <w:tc>
          <w:tcPr>
            <w:tcW w:w="851" w:type="dxa"/>
            <w:vAlign w:val="center"/>
          </w:tcPr>
          <w:p w14:paraId="62C1D901">
            <w:pPr>
              <w:jc w:val="center"/>
              <w:rPr>
                <w:color w:val="000000"/>
                <w:sz w:val="22"/>
                <w:szCs w:val="22"/>
              </w:rPr>
            </w:pPr>
            <w:r>
              <w:rPr>
                <w:color w:val="000000"/>
                <w:sz w:val="22"/>
                <w:szCs w:val="22"/>
              </w:rPr>
              <w:t>3,3</w:t>
            </w:r>
          </w:p>
        </w:tc>
        <w:tc>
          <w:tcPr>
            <w:tcW w:w="850" w:type="dxa"/>
            <w:vAlign w:val="center"/>
          </w:tcPr>
          <w:p w14:paraId="41AEF63F">
            <w:pPr>
              <w:jc w:val="center"/>
              <w:rPr>
                <w:color w:val="000000"/>
                <w:sz w:val="22"/>
                <w:szCs w:val="22"/>
              </w:rPr>
            </w:pPr>
            <w:r>
              <w:rPr>
                <w:color w:val="000000"/>
                <w:sz w:val="22"/>
                <w:szCs w:val="22"/>
              </w:rPr>
              <w:t>ĐH2</w:t>
            </w:r>
          </w:p>
        </w:tc>
      </w:tr>
      <w:tr w14:paraId="075D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899C07D">
            <w:pPr>
              <w:jc w:val="center"/>
              <w:rPr>
                <w:color w:val="000000"/>
                <w:sz w:val="22"/>
                <w:szCs w:val="22"/>
              </w:rPr>
            </w:pPr>
          </w:p>
        </w:tc>
        <w:tc>
          <w:tcPr>
            <w:tcW w:w="1121" w:type="dxa"/>
            <w:noWrap/>
            <w:vAlign w:val="center"/>
          </w:tcPr>
          <w:p w14:paraId="0D7A2F30">
            <w:pPr>
              <w:jc w:val="center"/>
              <w:rPr>
                <w:color w:val="000000"/>
                <w:sz w:val="22"/>
                <w:szCs w:val="22"/>
              </w:rPr>
            </w:pPr>
            <w:r>
              <w:rPr>
                <w:color w:val="000000"/>
                <w:sz w:val="22"/>
                <w:szCs w:val="22"/>
              </w:rPr>
              <w:t>KL-12:02</w:t>
            </w:r>
          </w:p>
        </w:tc>
        <w:tc>
          <w:tcPr>
            <w:tcW w:w="1147" w:type="dxa"/>
            <w:vAlign w:val="center"/>
          </w:tcPr>
          <w:p w14:paraId="23710B9F">
            <w:pPr>
              <w:jc w:val="center"/>
              <w:rPr>
                <w:color w:val="000000"/>
                <w:sz w:val="22"/>
                <w:szCs w:val="22"/>
              </w:rPr>
            </w:pPr>
            <w:r>
              <w:rPr>
                <w:color w:val="000000"/>
                <w:sz w:val="22"/>
                <w:szCs w:val="22"/>
              </w:rPr>
              <w:t>90,10</w:t>
            </w:r>
          </w:p>
        </w:tc>
        <w:tc>
          <w:tcPr>
            <w:tcW w:w="1098" w:type="dxa"/>
            <w:vAlign w:val="center"/>
          </w:tcPr>
          <w:p w14:paraId="42D79BAB">
            <w:pPr>
              <w:jc w:val="center"/>
              <w:rPr>
                <w:color w:val="000000"/>
                <w:sz w:val="22"/>
                <w:szCs w:val="22"/>
              </w:rPr>
            </w:pPr>
            <w:r>
              <w:rPr>
                <w:color w:val="000000"/>
                <w:sz w:val="22"/>
                <w:szCs w:val="22"/>
              </w:rPr>
              <w:t>78,68</w:t>
            </w:r>
          </w:p>
        </w:tc>
        <w:tc>
          <w:tcPr>
            <w:tcW w:w="1134" w:type="dxa"/>
            <w:vAlign w:val="center"/>
          </w:tcPr>
          <w:p w14:paraId="647BBED8">
            <w:pPr>
              <w:jc w:val="center"/>
              <w:rPr>
                <w:color w:val="000000"/>
                <w:sz w:val="22"/>
                <w:szCs w:val="22"/>
              </w:rPr>
            </w:pPr>
            <w:r>
              <w:rPr>
                <w:color w:val="000000"/>
                <w:sz w:val="22"/>
                <w:szCs w:val="22"/>
              </w:rPr>
              <w:t>87,3</w:t>
            </w:r>
          </w:p>
        </w:tc>
        <w:tc>
          <w:tcPr>
            <w:tcW w:w="706" w:type="dxa"/>
            <w:vAlign w:val="center"/>
          </w:tcPr>
          <w:p w14:paraId="7A55487F">
            <w:pPr>
              <w:jc w:val="center"/>
              <w:rPr>
                <w:color w:val="000000"/>
                <w:sz w:val="22"/>
                <w:szCs w:val="22"/>
              </w:rPr>
            </w:pPr>
            <w:r>
              <w:rPr>
                <w:color w:val="000000"/>
                <w:sz w:val="22"/>
                <w:szCs w:val="22"/>
              </w:rPr>
              <w:t>4,0</w:t>
            </w:r>
          </w:p>
        </w:tc>
        <w:tc>
          <w:tcPr>
            <w:tcW w:w="1278" w:type="dxa"/>
            <w:vAlign w:val="center"/>
          </w:tcPr>
          <w:p w14:paraId="34CB1CC9">
            <w:pPr>
              <w:jc w:val="center"/>
              <w:rPr>
                <w:color w:val="000000"/>
                <w:sz w:val="22"/>
                <w:szCs w:val="22"/>
              </w:rPr>
            </w:pPr>
            <w:r>
              <w:rPr>
                <w:color w:val="000000"/>
                <w:sz w:val="22"/>
                <w:szCs w:val="22"/>
              </w:rPr>
              <w:t>302,42</w:t>
            </w:r>
          </w:p>
        </w:tc>
        <w:tc>
          <w:tcPr>
            <w:tcW w:w="851" w:type="dxa"/>
            <w:vAlign w:val="center"/>
          </w:tcPr>
          <w:p w14:paraId="6F1C0D2E">
            <w:pPr>
              <w:jc w:val="center"/>
              <w:rPr>
                <w:color w:val="000000"/>
                <w:sz w:val="22"/>
                <w:szCs w:val="22"/>
              </w:rPr>
            </w:pPr>
            <w:r>
              <w:rPr>
                <w:color w:val="000000"/>
                <w:sz w:val="22"/>
                <w:szCs w:val="22"/>
              </w:rPr>
              <w:t>3,4</w:t>
            </w:r>
          </w:p>
        </w:tc>
        <w:tc>
          <w:tcPr>
            <w:tcW w:w="850" w:type="dxa"/>
            <w:vAlign w:val="center"/>
          </w:tcPr>
          <w:p w14:paraId="22328676">
            <w:pPr>
              <w:jc w:val="center"/>
              <w:rPr>
                <w:color w:val="000000"/>
                <w:sz w:val="22"/>
                <w:szCs w:val="22"/>
              </w:rPr>
            </w:pPr>
            <w:r>
              <w:rPr>
                <w:color w:val="000000"/>
                <w:sz w:val="22"/>
                <w:szCs w:val="22"/>
              </w:rPr>
              <w:t>ĐH2</w:t>
            </w:r>
          </w:p>
        </w:tc>
      </w:tr>
      <w:tr w14:paraId="3167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DAC9391">
            <w:pPr>
              <w:jc w:val="center"/>
              <w:rPr>
                <w:color w:val="000000"/>
                <w:sz w:val="22"/>
                <w:szCs w:val="22"/>
              </w:rPr>
            </w:pPr>
          </w:p>
        </w:tc>
        <w:tc>
          <w:tcPr>
            <w:tcW w:w="1121" w:type="dxa"/>
            <w:noWrap/>
            <w:vAlign w:val="center"/>
          </w:tcPr>
          <w:p w14:paraId="00A5E57D">
            <w:pPr>
              <w:jc w:val="center"/>
              <w:rPr>
                <w:color w:val="000000"/>
                <w:sz w:val="22"/>
                <w:szCs w:val="22"/>
              </w:rPr>
            </w:pPr>
            <w:r>
              <w:rPr>
                <w:color w:val="000000"/>
                <w:sz w:val="22"/>
                <w:szCs w:val="22"/>
              </w:rPr>
              <w:t>KL-12:03</w:t>
            </w:r>
          </w:p>
        </w:tc>
        <w:tc>
          <w:tcPr>
            <w:tcW w:w="1147" w:type="dxa"/>
            <w:vAlign w:val="center"/>
          </w:tcPr>
          <w:p w14:paraId="7761AEA5">
            <w:pPr>
              <w:jc w:val="center"/>
              <w:rPr>
                <w:color w:val="000000"/>
                <w:sz w:val="22"/>
                <w:szCs w:val="22"/>
              </w:rPr>
            </w:pPr>
            <w:r>
              <w:rPr>
                <w:color w:val="000000"/>
                <w:sz w:val="22"/>
                <w:szCs w:val="22"/>
              </w:rPr>
              <w:t>89,99</w:t>
            </w:r>
          </w:p>
        </w:tc>
        <w:tc>
          <w:tcPr>
            <w:tcW w:w="1098" w:type="dxa"/>
            <w:vAlign w:val="center"/>
          </w:tcPr>
          <w:p w14:paraId="7975DFA8">
            <w:pPr>
              <w:jc w:val="center"/>
              <w:rPr>
                <w:color w:val="000000"/>
                <w:sz w:val="22"/>
                <w:szCs w:val="22"/>
              </w:rPr>
            </w:pPr>
            <w:r>
              <w:rPr>
                <w:color w:val="000000"/>
                <w:sz w:val="22"/>
                <w:szCs w:val="22"/>
              </w:rPr>
              <w:t>78,68</w:t>
            </w:r>
          </w:p>
        </w:tc>
        <w:tc>
          <w:tcPr>
            <w:tcW w:w="1134" w:type="dxa"/>
            <w:vAlign w:val="center"/>
          </w:tcPr>
          <w:p w14:paraId="3A12352E">
            <w:pPr>
              <w:jc w:val="center"/>
              <w:rPr>
                <w:color w:val="000000"/>
                <w:sz w:val="22"/>
                <w:szCs w:val="22"/>
              </w:rPr>
            </w:pPr>
            <w:r>
              <w:rPr>
                <w:color w:val="000000"/>
                <w:sz w:val="22"/>
                <w:szCs w:val="22"/>
              </w:rPr>
              <w:t>87,4</w:t>
            </w:r>
          </w:p>
        </w:tc>
        <w:tc>
          <w:tcPr>
            <w:tcW w:w="706" w:type="dxa"/>
            <w:vAlign w:val="center"/>
          </w:tcPr>
          <w:p w14:paraId="678EF702">
            <w:pPr>
              <w:jc w:val="center"/>
              <w:rPr>
                <w:color w:val="000000"/>
                <w:sz w:val="22"/>
                <w:szCs w:val="22"/>
              </w:rPr>
            </w:pPr>
            <w:r>
              <w:rPr>
                <w:color w:val="000000"/>
                <w:sz w:val="22"/>
                <w:szCs w:val="22"/>
              </w:rPr>
              <w:t>4,0</w:t>
            </w:r>
          </w:p>
        </w:tc>
        <w:tc>
          <w:tcPr>
            <w:tcW w:w="1278" w:type="dxa"/>
            <w:vAlign w:val="center"/>
          </w:tcPr>
          <w:p w14:paraId="72A6E4A3">
            <w:pPr>
              <w:jc w:val="center"/>
              <w:rPr>
                <w:color w:val="000000"/>
                <w:sz w:val="22"/>
                <w:szCs w:val="22"/>
              </w:rPr>
            </w:pPr>
            <w:r>
              <w:rPr>
                <w:color w:val="000000"/>
                <w:sz w:val="22"/>
                <w:szCs w:val="22"/>
              </w:rPr>
              <w:t>302,42</w:t>
            </w:r>
          </w:p>
        </w:tc>
        <w:tc>
          <w:tcPr>
            <w:tcW w:w="851" w:type="dxa"/>
            <w:vAlign w:val="center"/>
          </w:tcPr>
          <w:p w14:paraId="079E240D">
            <w:pPr>
              <w:jc w:val="center"/>
              <w:rPr>
                <w:color w:val="000000"/>
                <w:sz w:val="22"/>
                <w:szCs w:val="22"/>
              </w:rPr>
            </w:pPr>
            <w:r>
              <w:rPr>
                <w:color w:val="000000"/>
                <w:sz w:val="22"/>
                <w:szCs w:val="22"/>
              </w:rPr>
              <w:t>3,4</w:t>
            </w:r>
          </w:p>
        </w:tc>
        <w:tc>
          <w:tcPr>
            <w:tcW w:w="850" w:type="dxa"/>
            <w:vAlign w:val="center"/>
          </w:tcPr>
          <w:p w14:paraId="58D9AA50">
            <w:pPr>
              <w:jc w:val="center"/>
              <w:rPr>
                <w:color w:val="000000"/>
                <w:sz w:val="22"/>
                <w:szCs w:val="22"/>
              </w:rPr>
            </w:pPr>
            <w:r>
              <w:rPr>
                <w:color w:val="000000"/>
                <w:sz w:val="22"/>
                <w:szCs w:val="22"/>
              </w:rPr>
              <w:t>ĐH2</w:t>
            </w:r>
          </w:p>
        </w:tc>
      </w:tr>
      <w:tr w14:paraId="452D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FFCB518">
            <w:pPr>
              <w:jc w:val="center"/>
              <w:rPr>
                <w:color w:val="000000"/>
                <w:sz w:val="22"/>
                <w:szCs w:val="22"/>
              </w:rPr>
            </w:pPr>
          </w:p>
        </w:tc>
        <w:tc>
          <w:tcPr>
            <w:tcW w:w="1121" w:type="dxa"/>
            <w:noWrap/>
            <w:vAlign w:val="center"/>
          </w:tcPr>
          <w:p w14:paraId="4CBC4B9C">
            <w:pPr>
              <w:jc w:val="center"/>
              <w:rPr>
                <w:color w:val="000000"/>
                <w:sz w:val="22"/>
                <w:szCs w:val="22"/>
              </w:rPr>
            </w:pPr>
            <w:r>
              <w:rPr>
                <w:color w:val="000000"/>
                <w:sz w:val="22"/>
                <w:szCs w:val="22"/>
              </w:rPr>
              <w:t>KL-12:04</w:t>
            </w:r>
          </w:p>
        </w:tc>
        <w:tc>
          <w:tcPr>
            <w:tcW w:w="1147" w:type="dxa"/>
            <w:vAlign w:val="center"/>
          </w:tcPr>
          <w:p w14:paraId="6EAD7D1B">
            <w:pPr>
              <w:jc w:val="center"/>
              <w:rPr>
                <w:color w:val="000000"/>
                <w:sz w:val="22"/>
                <w:szCs w:val="22"/>
              </w:rPr>
            </w:pPr>
            <w:r>
              <w:rPr>
                <w:color w:val="000000"/>
                <w:sz w:val="22"/>
                <w:szCs w:val="22"/>
              </w:rPr>
              <w:t>89,99</w:t>
            </w:r>
          </w:p>
        </w:tc>
        <w:tc>
          <w:tcPr>
            <w:tcW w:w="1098" w:type="dxa"/>
            <w:vAlign w:val="center"/>
          </w:tcPr>
          <w:p w14:paraId="10A5620F">
            <w:pPr>
              <w:jc w:val="center"/>
              <w:rPr>
                <w:color w:val="000000"/>
                <w:sz w:val="22"/>
                <w:szCs w:val="22"/>
              </w:rPr>
            </w:pPr>
            <w:r>
              <w:rPr>
                <w:color w:val="000000"/>
                <w:sz w:val="22"/>
                <w:szCs w:val="22"/>
              </w:rPr>
              <w:t>78,68</w:t>
            </w:r>
          </w:p>
        </w:tc>
        <w:tc>
          <w:tcPr>
            <w:tcW w:w="1134" w:type="dxa"/>
            <w:vAlign w:val="center"/>
          </w:tcPr>
          <w:p w14:paraId="33AF86A2">
            <w:pPr>
              <w:jc w:val="center"/>
              <w:rPr>
                <w:color w:val="000000"/>
                <w:sz w:val="22"/>
                <w:szCs w:val="22"/>
              </w:rPr>
            </w:pPr>
            <w:r>
              <w:rPr>
                <w:color w:val="000000"/>
                <w:sz w:val="22"/>
                <w:szCs w:val="22"/>
              </w:rPr>
              <w:t>87,4</w:t>
            </w:r>
          </w:p>
        </w:tc>
        <w:tc>
          <w:tcPr>
            <w:tcW w:w="706" w:type="dxa"/>
            <w:vAlign w:val="center"/>
          </w:tcPr>
          <w:p w14:paraId="6FCCBCA1">
            <w:pPr>
              <w:jc w:val="center"/>
              <w:rPr>
                <w:color w:val="000000"/>
                <w:sz w:val="22"/>
                <w:szCs w:val="22"/>
              </w:rPr>
            </w:pPr>
            <w:r>
              <w:rPr>
                <w:color w:val="000000"/>
                <w:sz w:val="22"/>
                <w:szCs w:val="22"/>
              </w:rPr>
              <w:t>4,0</w:t>
            </w:r>
          </w:p>
        </w:tc>
        <w:tc>
          <w:tcPr>
            <w:tcW w:w="1278" w:type="dxa"/>
            <w:vAlign w:val="center"/>
          </w:tcPr>
          <w:p w14:paraId="1C6D6D25">
            <w:pPr>
              <w:jc w:val="center"/>
              <w:rPr>
                <w:color w:val="000000"/>
                <w:sz w:val="22"/>
                <w:szCs w:val="22"/>
              </w:rPr>
            </w:pPr>
            <w:r>
              <w:rPr>
                <w:color w:val="000000"/>
                <w:sz w:val="22"/>
                <w:szCs w:val="22"/>
              </w:rPr>
              <w:t>302,42</w:t>
            </w:r>
          </w:p>
        </w:tc>
        <w:tc>
          <w:tcPr>
            <w:tcW w:w="851" w:type="dxa"/>
            <w:vAlign w:val="center"/>
          </w:tcPr>
          <w:p w14:paraId="2D00D346">
            <w:pPr>
              <w:jc w:val="center"/>
              <w:rPr>
                <w:color w:val="000000"/>
                <w:sz w:val="22"/>
                <w:szCs w:val="22"/>
              </w:rPr>
            </w:pPr>
            <w:r>
              <w:rPr>
                <w:color w:val="000000"/>
                <w:sz w:val="22"/>
                <w:szCs w:val="22"/>
              </w:rPr>
              <w:t>3,4</w:t>
            </w:r>
          </w:p>
        </w:tc>
        <w:tc>
          <w:tcPr>
            <w:tcW w:w="850" w:type="dxa"/>
            <w:vAlign w:val="center"/>
          </w:tcPr>
          <w:p w14:paraId="13B5EC10">
            <w:pPr>
              <w:jc w:val="center"/>
              <w:rPr>
                <w:color w:val="000000"/>
                <w:sz w:val="22"/>
                <w:szCs w:val="22"/>
              </w:rPr>
            </w:pPr>
            <w:r>
              <w:rPr>
                <w:color w:val="000000"/>
                <w:sz w:val="22"/>
                <w:szCs w:val="22"/>
              </w:rPr>
              <w:t>ĐH2</w:t>
            </w:r>
          </w:p>
        </w:tc>
      </w:tr>
      <w:tr w14:paraId="1E6C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E169E9F">
            <w:pPr>
              <w:jc w:val="center"/>
              <w:rPr>
                <w:color w:val="000000"/>
                <w:sz w:val="22"/>
                <w:szCs w:val="22"/>
              </w:rPr>
            </w:pPr>
          </w:p>
        </w:tc>
        <w:tc>
          <w:tcPr>
            <w:tcW w:w="1121" w:type="dxa"/>
            <w:noWrap/>
            <w:vAlign w:val="center"/>
          </w:tcPr>
          <w:p w14:paraId="14CFF9AE">
            <w:pPr>
              <w:jc w:val="center"/>
              <w:rPr>
                <w:color w:val="000000"/>
                <w:sz w:val="22"/>
                <w:szCs w:val="22"/>
              </w:rPr>
            </w:pPr>
            <w:r>
              <w:rPr>
                <w:color w:val="000000"/>
                <w:sz w:val="22"/>
                <w:szCs w:val="22"/>
              </w:rPr>
              <w:t>KL-12:05</w:t>
            </w:r>
          </w:p>
        </w:tc>
        <w:tc>
          <w:tcPr>
            <w:tcW w:w="1147" w:type="dxa"/>
            <w:vAlign w:val="center"/>
          </w:tcPr>
          <w:p w14:paraId="09AA395E">
            <w:pPr>
              <w:jc w:val="center"/>
              <w:rPr>
                <w:color w:val="000000"/>
                <w:sz w:val="22"/>
                <w:szCs w:val="22"/>
              </w:rPr>
            </w:pPr>
            <w:r>
              <w:rPr>
                <w:color w:val="000000"/>
                <w:sz w:val="22"/>
                <w:szCs w:val="22"/>
              </w:rPr>
              <w:t>89,99</w:t>
            </w:r>
          </w:p>
        </w:tc>
        <w:tc>
          <w:tcPr>
            <w:tcW w:w="1098" w:type="dxa"/>
            <w:vAlign w:val="center"/>
          </w:tcPr>
          <w:p w14:paraId="6267849E">
            <w:pPr>
              <w:jc w:val="center"/>
              <w:rPr>
                <w:color w:val="000000"/>
                <w:sz w:val="22"/>
                <w:szCs w:val="22"/>
              </w:rPr>
            </w:pPr>
            <w:r>
              <w:rPr>
                <w:color w:val="000000"/>
                <w:sz w:val="22"/>
                <w:szCs w:val="22"/>
              </w:rPr>
              <w:t>78,68</w:t>
            </w:r>
          </w:p>
        </w:tc>
        <w:tc>
          <w:tcPr>
            <w:tcW w:w="1134" w:type="dxa"/>
            <w:vAlign w:val="center"/>
          </w:tcPr>
          <w:p w14:paraId="38578774">
            <w:pPr>
              <w:jc w:val="center"/>
              <w:rPr>
                <w:color w:val="000000"/>
                <w:sz w:val="22"/>
                <w:szCs w:val="22"/>
              </w:rPr>
            </w:pPr>
            <w:r>
              <w:rPr>
                <w:color w:val="000000"/>
                <w:sz w:val="22"/>
                <w:szCs w:val="22"/>
              </w:rPr>
              <w:t>87,4</w:t>
            </w:r>
          </w:p>
        </w:tc>
        <w:tc>
          <w:tcPr>
            <w:tcW w:w="706" w:type="dxa"/>
            <w:vAlign w:val="center"/>
          </w:tcPr>
          <w:p w14:paraId="10F42FC1">
            <w:pPr>
              <w:jc w:val="center"/>
              <w:rPr>
                <w:color w:val="000000"/>
                <w:sz w:val="22"/>
                <w:szCs w:val="22"/>
              </w:rPr>
            </w:pPr>
            <w:r>
              <w:rPr>
                <w:color w:val="000000"/>
                <w:sz w:val="22"/>
                <w:szCs w:val="22"/>
              </w:rPr>
              <w:t>4,0</w:t>
            </w:r>
          </w:p>
        </w:tc>
        <w:tc>
          <w:tcPr>
            <w:tcW w:w="1278" w:type="dxa"/>
            <w:vAlign w:val="center"/>
          </w:tcPr>
          <w:p w14:paraId="02D8C4F3">
            <w:pPr>
              <w:jc w:val="center"/>
              <w:rPr>
                <w:color w:val="000000"/>
                <w:sz w:val="22"/>
                <w:szCs w:val="22"/>
              </w:rPr>
            </w:pPr>
            <w:r>
              <w:rPr>
                <w:color w:val="000000"/>
                <w:sz w:val="22"/>
                <w:szCs w:val="22"/>
              </w:rPr>
              <w:t>302,42</w:t>
            </w:r>
          </w:p>
        </w:tc>
        <w:tc>
          <w:tcPr>
            <w:tcW w:w="851" w:type="dxa"/>
            <w:vAlign w:val="center"/>
          </w:tcPr>
          <w:p w14:paraId="51085CD7">
            <w:pPr>
              <w:jc w:val="center"/>
              <w:rPr>
                <w:color w:val="000000"/>
                <w:sz w:val="22"/>
                <w:szCs w:val="22"/>
              </w:rPr>
            </w:pPr>
            <w:r>
              <w:rPr>
                <w:color w:val="000000"/>
                <w:sz w:val="22"/>
                <w:szCs w:val="22"/>
              </w:rPr>
              <w:t>3,4</w:t>
            </w:r>
          </w:p>
        </w:tc>
        <w:tc>
          <w:tcPr>
            <w:tcW w:w="850" w:type="dxa"/>
            <w:vAlign w:val="center"/>
          </w:tcPr>
          <w:p w14:paraId="48DE97A6">
            <w:pPr>
              <w:jc w:val="center"/>
              <w:rPr>
                <w:color w:val="000000"/>
                <w:sz w:val="22"/>
                <w:szCs w:val="22"/>
              </w:rPr>
            </w:pPr>
            <w:r>
              <w:rPr>
                <w:color w:val="000000"/>
                <w:sz w:val="22"/>
                <w:szCs w:val="22"/>
              </w:rPr>
              <w:t>ĐH2</w:t>
            </w:r>
          </w:p>
        </w:tc>
      </w:tr>
      <w:tr w14:paraId="10D2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4D972AD">
            <w:pPr>
              <w:jc w:val="center"/>
              <w:rPr>
                <w:color w:val="000000"/>
                <w:sz w:val="22"/>
                <w:szCs w:val="22"/>
              </w:rPr>
            </w:pPr>
          </w:p>
        </w:tc>
        <w:tc>
          <w:tcPr>
            <w:tcW w:w="1121" w:type="dxa"/>
            <w:noWrap/>
            <w:vAlign w:val="center"/>
          </w:tcPr>
          <w:p w14:paraId="6511334F">
            <w:pPr>
              <w:jc w:val="center"/>
              <w:rPr>
                <w:color w:val="000000"/>
                <w:sz w:val="22"/>
                <w:szCs w:val="22"/>
              </w:rPr>
            </w:pPr>
            <w:r>
              <w:rPr>
                <w:color w:val="000000"/>
                <w:sz w:val="22"/>
                <w:szCs w:val="22"/>
              </w:rPr>
              <w:t>KL-12:06</w:t>
            </w:r>
          </w:p>
        </w:tc>
        <w:tc>
          <w:tcPr>
            <w:tcW w:w="1147" w:type="dxa"/>
            <w:vAlign w:val="center"/>
          </w:tcPr>
          <w:p w14:paraId="5FEA3D15">
            <w:pPr>
              <w:jc w:val="center"/>
              <w:rPr>
                <w:color w:val="000000"/>
                <w:sz w:val="22"/>
                <w:szCs w:val="22"/>
              </w:rPr>
            </w:pPr>
            <w:r>
              <w:rPr>
                <w:color w:val="000000"/>
                <w:sz w:val="22"/>
                <w:szCs w:val="22"/>
              </w:rPr>
              <w:t>89,99</w:t>
            </w:r>
          </w:p>
        </w:tc>
        <w:tc>
          <w:tcPr>
            <w:tcW w:w="1098" w:type="dxa"/>
            <w:vAlign w:val="center"/>
          </w:tcPr>
          <w:p w14:paraId="3836313C">
            <w:pPr>
              <w:jc w:val="center"/>
              <w:rPr>
                <w:color w:val="000000"/>
                <w:sz w:val="22"/>
                <w:szCs w:val="22"/>
              </w:rPr>
            </w:pPr>
            <w:r>
              <w:rPr>
                <w:color w:val="000000"/>
                <w:sz w:val="22"/>
                <w:szCs w:val="22"/>
              </w:rPr>
              <w:t>78,68</w:t>
            </w:r>
          </w:p>
        </w:tc>
        <w:tc>
          <w:tcPr>
            <w:tcW w:w="1134" w:type="dxa"/>
            <w:vAlign w:val="center"/>
          </w:tcPr>
          <w:p w14:paraId="120BA623">
            <w:pPr>
              <w:jc w:val="center"/>
              <w:rPr>
                <w:color w:val="000000"/>
                <w:sz w:val="22"/>
                <w:szCs w:val="22"/>
              </w:rPr>
            </w:pPr>
            <w:r>
              <w:rPr>
                <w:color w:val="000000"/>
                <w:sz w:val="22"/>
                <w:szCs w:val="22"/>
              </w:rPr>
              <w:t>87,4</w:t>
            </w:r>
          </w:p>
        </w:tc>
        <w:tc>
          <w:tcPr>
            <w:tcW w:w="706" w:type="dxa"/>
            <w:vAlign w:val="center"/>
          </w:tcPr>
          <w:p w14:paraId="63F1504C">
            <w:pPr>
              <w:jc w:val="center"/>
              <w:rPr>
                <w:color w:val="000000"/>
                <w:sz w:val="22"/>
                <w:szCs w:val="22"/>
              </w:rPr>
            </w:pPr>
            <w:r>
              <w:rPr>
                <w:color w:val="000000"/>
                <w:sz w:val="22"/>
                <w:szCs w:val="22"/>
              </w:rPr>
              <w:t>4,0</w:t>
            </w:r>
          </w:p>
        </w:tc>
        <w:tc>
          <w:tcPr>
            <w:tcW w:w="1278" w:type="dxa"/>
            <w:vAlign w:val="center"/>
          </w:tcPr>
          <w:p w14:paraId="3BA26DAB">
            <w:pPr>
              <w:jc w:val="center"/>
              <w:rPr>
                <w:color w:val="000000"/>
                <w:sz w:val="22"/>
                <w:szCs w:val="22"/>
              </w:rPr>
            </w:pPr>
            <w:r>
              <w:rPr>
                <w:color w:val="000000"/>
                <w:sz w:val="22"/>
                <w:szCs w:val="22"/>
              </w:rPr>
              <w:t>302,42</w:t>
            </w:r>
          </w:p>
        </w:tc>
        <w:tc>
          <w:tcPr>
            <w:tcW w:w="851" w:type="dxa"/>
            <w:vAlign w:val="center"/>
          </w:tcPr>
          <w:p w14:paraId="61560ED6">
            <w:pPr>
              <w:jc w:val="center"/>
              <w:rPr>
                <w:color w:val="000000"/>
                <w:sz w:val="22"/>
                <w:szCs w:val="22"/>
              </w:rPr>
            </w:pPr>
            <w:r>
              <w:rPr>
                <w:color w:val="000000"/>
                <w:sz w:val="22"/>
                <w:szCs w:val="22"/>
              </w:rPr>
              <w:t>3,4</w:t>
            </w:r>
          </w:p>
        </w:tc>
        <w:tc>
          <w:tcPr>
            <w:tcW w:w="850" w:type="dxa"/>
            <w:vAlign w:val="center"/>
          </w:tcPr>
          <w:p w14:paraId="3D842027">
            <w:pPr>
              <w:jc w:val="center"/>
              <w:rPr>
                <w:color w:val="000000"/>
                <w:sz w:val="22"/>
                <w:szCs w:val="22"/>
              </w:rPr>
            </w:pPr>
            <w:r>
              <w:rPr>
                <w:color w:val="000000"/>
                <w:sz w:val="22"/>
                <w:szCs w:val="22"/>
              </w:rPr>
              <w:t>ĐH2</w:t>
            </w:r>
          </w:p>
        </w:tc>
      </w:tr>
      <w:tr w14:paraId="7919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F088F40">
            <w:pPr>
              <w:jc w:val="center"/>
              <w:rPr>
                <w:color w:val="000000"/>
                <w:sz w:val="22"/>
                <w:szCs w:val="22"/>
              </w:rPr>
            </w:pPr>
          </w:p>
        </w:tc>
        <w:tc>
          <w:tcPr>
            <w:tcW w:w="1121" w:type="dxa"/>
            <w:noWrap/>
            <w:vAlign w:val="center"/>
          </w:tcPr>
          <w:p w14:paraId="366C7E3D">
            <w:pPr>
              <w:jc w:val="center"/>
              <w:rPr>
                <w:color w:val="000000"/>
                <w:sz w:val="22"/>
                <w:szCs w:val="22"/>
              </w:rPr>
            </w:pPr>
            <w:r>
              <w:rPr>
                <w:color w:val="000000"/>
                <w:sz w:val="22"/>
                <w:szCs w:val="22"/>
              </w:rPr>
              <w:t>KL-12:07</w:t>
            </w:r>
          </w:p>
        </w:tc>
        <w:tc>
          <w:tcPr>
            <w:tcW w:w="1147" w:type="dxa"/>
            <w:vAlign w:val="center"/>
          </w:tcPr>
          <w:p w14:paraId="7B33CAE4">
            <w:pPr>
              <w:jc w:val="center"/>
              <w:rPr>
                <w:color w:val="000000"/>
                <w:sz w:val="22"/>
                <w:szCs w:val="22"/>
              </w:rPr>
            </w:pPr>
            <w:r>
              <w:rPr>
                <w:color w:val="000000"/>
                <w:sz w:val="22"/>
                <w:szCs w:val="22"/>
              </w:rPr>
              <w:t>90,00</w:t>
            </w:r>
          </w:p>
        </w:tc>
        <w:tc>
          <w:tcPr>
            <w:tcW w:w="1098" w:type="dxa"/>
            <w:vAlign w:val="center"/>
          </w:tcPr>
          <w:p w14:paraId="0CFB79C7">
            <w:pPr>
              <w:jc w:val="center"/>
              <w:rPr>
                <w:color w:val="000000"/>
                <w:sz w:val="22"/>
                <w:szCs w:val="22"/>
              </w:rPr>
            </w:pPr>
            <w:r>
              <w:rPr>
                <w:color w:val="000000"/>
                <w:sz w:val="22"/>
                <w:szCs w:val="22"/>
              </w:rPr>
              <w:t>78,68</w:t>
            </w:r>
          </w:p>
        </w:tc>
        <w:tc>
          <w:tcPr>
            <w:tcW w:w="1134" w:type="dxa"/>
            <w:vAlign w:val="center"/>
          </w:tcPr>
          <w:p w14:paraId="267B7EF7">
            <w:pPr>
              <w:jc w:val="center"/>
              <w:rPr>
                <w:color w:val="000000"/>
                <w:sz w:val="22"/>
                <w:szCs w:val="22"/>
              </w:rPr>
            </w:pPr>
            <w:r>
              <w:rPr>
                <w:color w:val="000000"/>
                <w:sz w:val="22"/>
                <w:szCs w:val="22"/>
              </w:rPr>
              <w:t>87,4</w:t>
            </w:r>
          </w:p>
        </w:tc>
        <w:tc>
          <w:tcPr>
            <w:tcW w:w="706" w:type="dxa"/>
            <w:vAlign w:val="center"/>
          </w:tcPr>
          <w:p w14:paraId="6AC2A1FE">
            <w:pPr>
              <w:jc w:val="center"/>
              <w:rPr>
                <w:color w:val="000000"/>
                <w:sz w:val="22"/>
                <w:szCs w:val="22"/>
              </w:rPr>
            </w:pPr>
            <w:r>
              <w:rPr>
                <w:color w:val="000000"/>
                <w:sz w:val="22"/>
                <w:szCs w:val="22"/>
              </w:rPr>
              <w:t>4,0</w:t>
            </w:r>
          </w:p>
        </w:tc>
        <w:tc>
          <w:tcPr>
            <w:tcW w:w="1278" w:type="dxa"/>
            <w:vAlign w:val="center"/>
          </w:tcPr>
          <w:p w14:paraId="47CD8C6D">
            <w:pPr>
              <w:jc w:val="center"/>
              <w:rPr>
                <w:color w:val="000000"/>
                <w:sz w:val="22"/>
                <w:szCs w:val="22"/>
              </w:rPr>
            </w:pPr>
            <w:r>
              <w:rPr>
                <w:color w:val="000000"/>
                <w:sz w:val="22"/>
                <w:szCs w:val="22"/>
              </w:rPr>
              <w:t>302,42</w:t>
            </w:r>
          </w:p>
        </w:tc>
        <w:tc>
          <w:tcPr>
            <w:tcW w:w="851" w:type="dxa"/>
            <w:vAlign w:val="center"/>
          </w:tcPr>
          <w:p w14:paraId="339114CE">
            <w:pPr>
              <w:jc w:val="center"/>
              <w:rPr>
                <w:color w:val="000000"/>
                <w:sz w:val="22"/>
                <w:szCs w:val="22"/>
              </w:rPr>
            </w:pPr>
            <w:r>
              <w:rPr>
                <w:color w:val="000000"/>
                <w:sz w:val="22"/>
                <w:szCs w:val="22"/>
              </w:rPr>
              <w:t>3,4</w:t>
            </w:r>
          </w:p>
        </w:tc>
        <w:tc>
          <w:tcPr>
            <w:tcW w:w="850" w:type="dxa"/>
            <w:vAlign w:val="center"/>
          </w:tcPr>
          <w:p w14:paraId="5FD7E931">
            <w:pPr>
              <w:jc w:val="center"/>
              <w:rPr>
                <w:color w:val="000000"/>
                <w:sz w:val="22"/>
                <w:szCs w:val="22"/>
              </w:rPr>
            </w:pPr>
            <w:r>
              <w:rPr>
                <w:color w:val="000000"/>
                <w:sz w:val="22"/>
                <w:szCs w:val="22"/>
              </w:rPr>
              <w:t>ĐH2</w:t>
            </w:r>
          </w:p>
        </w:tc>
      </w:tr>
      <w:tr w14:paraId="0D6C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2851E21">
            <w:pPr>
              <w:jc w:val="center"/>
              <w:rPr>
                <w:color w:val="000000"/>
                <w:sz w:val="22"/>
                <w:szCs w:val="22"/>
              </w:rPr>
            </w:pPr>
          </w:p>
        </w:tc>
        <w:tc>
          <w:tcPr>
            <w:tcW w:w="1121" w:type="dxa"/>
            <w:noWrap/>
            <w:vAlign w:val="center"/>
          </w:tcPr>
          <w:p w14:paraId="77E1DE55">
            <w:pPr>
              <w:jc w:val="center"/>
              <w:rPr>
                <w:color w:val="000000"/>
                <w:sz w:val="22"/>
                <w:szCs w:val="22"/>
              </w:rPr>
            </w:pPr>
            <w:r>
              <w:rPr>
                <w:color w:val="000000"/>
                <w:sz w:val="22"/>
                <w:szCs w:val="22"/>
              </w:rPr>
              <w:t>KL-12:08</w:t>
            </w:r>
          </w:p>
        </w:tc>
        <w:tc>
          <w:tcPr>
            <w:tcW w:w="1147" w:type="dxa"/>
            <w:vAlign w:val="center"/>
          </w:tcPr>
          <w:p w14:paraId="2F1B56F2">
            <w:pPr>
              <w:jc w:val="center"/>
              <w:rPr>
                <w:color w:val="000000"/>
                <w:sz w:val="22"/>
                <w:szCs w:val="22"/>
              </w:rPr>
            </w:pPr>
            <w:r>
              <w:rPr>
                <w:color w:val="000000"/>
                <w:sz w:val="22"/>
                <w:szCs w:val="22"/>
              </w:rPr>
              <w:t>90,00</w:t>
            </w:r>
          </w:p>
        </w:tc>
        <w:tc>
          <w:tcPr>
            <w:tcW w:w="1098" w:type="dxa"/>
            <w:vAlign w:val="center"/>
          </w:tcPr>
          <w:p w14:paraId="46E34354">
            <w:pPr>
              <w:jc w:val="center"/>
              <w:rPr>
                <w:color w:val="000000"/>
                <w:sz w:val="22"/>
                <w:szCs w:val="22"/>
              </w:rPr>
            </w:pPr>
            <w:r>
              <w:rPr>
                <w:color w:val="000000"/>
                <w:sz w:val="22"/>
                <w:szCs w:val="22"/>
              </w:rPr>
              <w:t>78,68</w:t>
            </w:r>
          </w:p>
        </w:tc>
        <w:tc>
          <w:tcPr>
            <w:tcW w:w="1134" w:type="dxa"/>
            <w:vAlign w:val="center"/>
          </w:tcPr>
          <w:p w14:paraId="179AB6F3">
            <w:pPr>
              <w:jc w:val="center"/>
              <w:rPr>
                <w:color w:val="000000"/>
                <w:sz w:val="22"/>
                <w:szCs w:val="22"/>
              </w:rPr>
            </w:pPr>
            <w:r>
              <w:rPr>
                <w:color w:val="000000"/>
                <w:sz w:val="22"/>
                <w:szCs w:val="22"/>
              </w:rPr>
              <w:t>87,4</w:t>
            </w:r>
          </w:p>
        </w:tc>
        <w:tc>
          <w:tcPr>
            <w:tcW w:w="706" w:type="dxa"/>
            <w:vAlign w:val="center"/>
          </w:tcPr>
          <w:p w14:paraId="25693C0E">
            <w:pPr>
              <w:jc w:val="center"/>
              <w:rPr>
                <w:color w:val="000000"/>
                <w:sz w:val="22"/>
                <w:szCs w:val="22"/>
              </w:rPr>
            </w:pPr>
            <w:r>
              <w:rPr>
                <w:color w:val="000000"/>
                <w:sz w:val="22"/>
                <w:szCs w:val="22"/>
              </w:rPr>
              <w:t>4,0</w:t>
            </w:r>
          </w:p>
        </w:tc>
        <w:tc>
          <w:tcPr>
            <w:tcW w:w="1278" w:type="dxa"/>
            <w:vAlign w:val="center"/>
          </w:tcPr>
          <w:p w14:paraId="5131AC44">
            <w:pPr>
              <w:jc w:val="center"/>
              <w:rPr>
                <w:color w:val="000000"/>
                <w:sz w:val="22"/>
                <w:szCs w:val="22"/>
              </w:rPr>
            </w:pPr>
            <w:r>
              <w:rPr>
                <w:color w:val="000000"/>
                <w:sz w:val="22"/>
                <w:szCs w:val="22"/>
              </w:rPr>
              <w:t>302,42</w:t>
            </w:r>
          </w:p>
        </w:tc>
        <w:tc>
          <w:tcPr>
            <w:tcW w:w="851" w:type="dxa"/>
            <w:vAlign w:val="center"/>
          </w:tcPr>
          <w:p w14:paraId="79AA9BF8">
            <w:pPr>
              <w:jc w:val="center"/>
              <w:rPr>
                <w:color w:val="000000"/>
                <w:sz w:val="22"/>
                <w:szCs w:val="22"/>
              </w:rPr>
            </w:pPr>
            <w:r>
              <w:rPr>
                <w:color w:val="000000"/>
                <w:sz w:val="22"/>
                <w:szCs w:val="22"/>
              </w:rPr>
              <w:t>3,4</w:t>
            </w:r>
          </w:p>
        </w:tc>
        <w:tc>
          <w:tcPr>
            <w:tcW w:w="850" w:type="dxa"/>
            <w:vAlign w:val="center"/>
          </w:tcPr>
          <w:p w14:paraId="212E6F2F">
            <w:pPr>
              <w:jc w:val="center"/>
              <w:rPr>
                <w:color w:val="000000"/>
                <w:sz w:val="22"/>
                <w:szCs w:val="22"/>
              </w:rPr>
            </w:pPr>
            <w:r>
              <w:rPr>
                <w:color w:val="000000"/>
                <w:sz w:val="22"/>
                <w:szCs w:val="22"/>
              </w:rPr>
              <w:t>ĐH2</w:t>
            </w:r>
          </w:p>
        </w:tc>
      </w:tr>
      <w:tr w14:paraId="7C9E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7710E4F">
            <w:pPr>
              <w:jc w:val="center"/>
              <w:rPr>
                <w:color w:val="000000"/>
                <w:sz w:val="22"/>
                <w:szCs w:val="22"/>
              </w:rPr>
            </w:pPr>
          </w:p>
        </w:tc>
        <w:tc>
          <w:tcPr>
            <w:tcW w:w="1121" w:type="dxa"/>
            <w:noWrap/>
            <w:vAlign w:val="center"/>
          </w:tcPr>
          <w:p w14:paraId="173EAEB7">
            <w:pPr>
              <w:jc w:val="center"/>
              <w:rPr>
                <w:color w:val="000000"/>
                <w:sz w:val="22"/>
                <w:szCs w:val="22"/>
              </w:rPr>
            </w:pPr>
            <w:r>
              <w:rPr>
                <w:color w:val="000000"/>
                <w:sz w:val="22"/>
                <w:szCs w:val="22"/>
              </w:rPr>
              <w:t>KL-12:09</w:t>
            </w:r>
          </w:p>
        </w:tc>
        <w:tc>
          <w:tcPr>
            <w:tcW w:w="1147" w:type="dxa"/>
            <w:vAlign w:val="center"/>
          </w:tcPr>
          <w:p w14:paraId="5AC156EE">
            <w:pPr>
              <w:jc w:val="center"/>
              <w:rPr>
                <w:color w:val="000000"/>
                <w:sz w:val="22"/>
                <w:szCs w:val="22"/>
              </w:rPr>
            </w:pPr>
            <w:r>
              <w:rPr>
                <w:color w:val="000000"/>
                <w:sz w:val="22"/>
                <w:szCs w:val="22"/>
              </w:rPr>
              <w:t>125,49</w:t>
            </w:r>
          </w:p>
        </w:tc>
        <w:tc>
          <w:tcPr>
            <w:tcW w:w="1098" w:type="dxa"/>
            <w:vAlign w:val="center"/>
          </w:tcPr>
          <w:p w14:paraId="4630C7FF">
            <w:pPr>
              <w:jc w:val="center"/>
              <w:rPr>
                <w:color w:val="000000"/>
                <w:sz w:val="22"/>
                <w:szCs w:val="22"/>
              </w:rPr>
            </w:pPr>
            <w:r>
              <w:rPr>
                <w:color w:val="000000"/>
                <w:sz w:val="22"/>
                <w:szCs w:val="22"/>
              </w:rPr>
              <w:t>107,07</w:t>
            </w:r>
          </w:p>
        </w:tc>
        <w:tc>
          <w:tcPr>
            <w:tcW w:w="1134" w:type="dxa"/>
            <w:vAlign w:val="center"/>
          </w:tcPr>
          <w:p w14:paraId="58754BD1">
            <w:pPr>
              <w:jc w:val="center"/>
              <w:rPr>
                <w:color w:val="000000"/>
                <w:sz w:val="22"/>
                <w:szCs w:val="22"/>
              </w:rPr>
            </w:pPr>
            <w:r>
              <w:rPr>
                <w:color w:val="000000"/>
                <w:sz w:val="22"/>
                <w:szCs w:val="22"/>
              </w:rPr>
              <w:t>85,3</w:t>
            </w:r>
          </w:p>
        </w:tc>
        <w:tc>
          <w:tcPr>
            <w:tcW w:w="706" w:type="dxa"/>
            <w:vAlign w:val="center"/>
          </w:tcPr>
          <w:p w14:paraId="26EA6406">
            <w:pPr>
              <w:jc w:val="center"/>
              <w:rPr>
                <w:color w:val="000000"/>
                <w:sz w:val="22"/>
                <w:szCs w:val="22"/>
              </w:rPr>
            </w:pPr>
            <w:r>
              <w:rPr>
                <w:color w:val="000000"/>
                <w:sz w:val="22"/>
                <w:szCs w:val="22"/>
              </w:rPr>
              <w:t>4,0</w:t>
            </w:r>
          </w:p>
        </w:tc>
        <w:tc>
          <w:tcPr>
            <w:tcW w:w="1278" w:type="dxa"/>
            <w:vAlign w:val="center"/>
          </w:tcPr>
          <w:p w14:paraId="090BFE85">
            <w:pPr>
              <w:jc w:val="center"/>
              <w:rPr>
                <w:color w:val="000000"/>
                <w:sz w:val="22"/>
                <w:szCs w:val="22"/>
              </w:rPr>
            </w:pPr>
            <w:r>
              <w:rPr>
                <w:color w:val="000000"/>
                <w:sz w:val="22"/>
                <w:szCs w:val="22"/>
              </w:rPr>
              <w:t>454,8</w:t>
            </w:r>
          </w:p>
        </w:tc>
        <w:tc>
          <w:tcPr>
            <w:tcW w:w="851" w:type="dxa"/>
            <w:vAlign w:val="center"/>
          </w:tcPr>
          <w:p w14:paraId="2C2FDA9B">
            <w:pPr>
              <w:jc w:val="center"/>
              <w:rPr>
                <w:color w:val="000000"/>
                <w:sz w:val="22"/>
                <w:szCs w:val="22"/>
              </w:rPr>
            </w:pPr>
            <w:r>
              <w:rPr>
                <w:color w:val="000000"/>
                <w:sz w:val="22"/>
                <w:szCs w:val="22"/>
              </w:rPr>
              <w:t>3,6</w:t>
            </w:r>
          </w:p>
        </w:tc>
        <w:tc>
          <w:tcPr>
            <w:tcW w:w="850" w:type="dxa"/>
            <w:vAlign w:val="center"/>
          </w:tcPr>
          <w:p w14:paraId="42E23F2E">
            <w:pPr>
              <w:jc w:val="center"/>
              <w:rPr>
                <w:color w:val="000000"/>
                <w:sz w:val="22"/>
                <w:szCs w:val="22"/>
              </w:rPr>
            </w:pPr>
            <w:r>
              <w:rPr>
                <w:color w:val="000000"/>
                <w:sz w:val="22"/>
                <w:szCs w:val="22"/>
              </w:rPr>
              <w:t>LG2</w:t>
            </w:r>
          </w:p>
        </w:tc>
      </w:tr>
      <w:tr w14:paraId="53EC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6C0D36E0">
            <w:pPr>
              <w:jc w:val="center"/>
              <w:rPr>
                <w:b/>
                <w:bCs/>
                <w:color w:val="000000"/>
                <w:sz w:val="22"/>
                <w:szCs w:val="22"/>
              </w:rPr>
            </w:pPr>
            <w:r>
              <w:rPr>
                <w:b/>
                <w:bCs/>
                <w:color w:val="000000"/>
                <w:sz w:val="22"/>
                <w:szCs w:val="22"/>
              </w:rPr>
              <w:t>Tổng</w:t>
            </w:r>
          </w:p>
        </w:tc>
        <w:tc>
          <w:tcPr>
            <w:tcW w:w="1121" w:type="dxa"/>
            <w:noWrap/>
            <w:vAlign w:val="center"/>
          </w:tcPr>
          <w:p w14:paraId="51FF277C">
            <w:pPr>
              <w:jc w:val="center"/>
              <w:rPr>
                <w:b/>
                <w:bCs/>
                <w:color w:val="000000"/>
                <w:sz w:val="22"/>
                <w:szCs w:val="22"/>
              </w:rPr>
            </w:pPr>
            <w:r>
              <w:rPr>
                <w:b/>
                <w:bCs/>
                <w:color w:val="000000"/>
                <w:sz w:val="22"/>
                <w:szCs w:val="22"/>
              </w:rPr>
              <w:t>KL-12</w:t>
            </w:r>
          </w:p>
        </w:tc>
        <w:tc>
          <w:tcPr>
            <w:tcW w:w="1147" w:type="dxa"/>
            <w:vAlign w:val="center"/>
          </w:tcPr>
          <w:p w14:paraId="449AA07B">
            <w:pPr>
              <w:jc w:val="center"/>
              <w:rPr>
                <w:b/>
                <w:bCs/>
                <w:color w:val="000000"/>
                <w:sz w:val="22"/>
                <w:szCs w:val="22"/>
              </w:rPr>
            </w:pPr>
            <w:r>
              <w:rPr>
                <w:b/>
                <w:bCs/>
                <w:color w:val="000000"/>
                <w:sz w:val="22"/>
                <w:szCs w:val="22"/>
              </w:rPr>
              <w:t>848,52</w:t>
            </w:r>
          </w:p>
        </w:tc>
        <w:tc>
          <w:tcPr>
            <w:tcW w:w="1098" w:type="dxa"/>
            <w:vAlign w:val="center"/>
          </w:tcPr>
          <w:p w14:paraId="7B0B5FC1">
            <w:pPr>
              <w:jc w:val="center"/>
              <w:rPr>
                <w:b/>
                <w:bCs/>
                <w:color w:val="000000"/>
                <w:sz w:val="22"/>
                <w:szCs w:val="22"/>
              </w:rPr>
            </w:pPr>
            <w:r>
              <w:rPr>
                <w:b/>
                <w:bCs/>
                <w:color w:val="000000"/>
                <w:sz w:val="22"/>
                <w:szCs w:val="22"/>
              </w:rPr>
              <w:t>736,5</w:t>
            </w:r>
          </w:p>
        </w:tc>
        <w:tc>
          <w:tcPr>
            <w:tcW w:w="1134" w:type="dxa"/>
            <w:vAlign w:val="center"/>
          </w:tcPr>
          <w:p w14:paraId="7E655D7B">
            <w:pPr>
              <w:jc w:val="center"/>
              <w:rPr>
                <w:b/>
                <w:bCs/>
                <w:color w:val="000000"/>
                <w:sz w:val="22"/>
                <w:szCs w:val="22"/>
              </w:rPr>
            </w:pPr>
            <w:r>
              <w:rPr>
                <w:b/>
                <w:bCs/>
                <w:color w:val="000000"/>
                <w:sz w:val="22"/>
                <w:szCs w:val="22"/>
              </w:rPr>
              <w:t>86,9</w:t>
            </w:r>
          </w:p>
        </w:tc>
        <w:tc>
          <w:tcPr>
            <w:tcW w:w="706" w:type="dxa"/>
            <w:vAlign w:val="center"/>
          </w:tcPr>
          <w:p w14:paraId="11C026F5">
            <w:pPr>
              <w:jc w:val="center"/>
              <w:rPr>
                <w:color w:val="000000"/>
                <w:sz w:val="22"/>
                <w:szCs w:val="22"/>
              </w:rPr>
            </w:pPr>
          </w:p>
        </w:tc>
        <w:tc>
          <w:tcPr>
            <w:tcW w:w="1278" w:type="dxa"/>
            <w:vAlign w:val="center"/>
          </w:tcPr>
          <w:p w14:paraId="13A32E71">
            <w:pPr>
              <w:jc w:val="center"/>
              <w:rPr>
                <w:b/>
                <w:bCs/>
                <w:color w:val="000000"/>
                <w:sz w:val="22"/>
                <w:szCs w:val="22"/>
              </w:rPr>
            </w:pPr>
            <w:r>
              <w:rPr>
                <w:b/>
                <w:bCs/>
                <w:color w:val="000000"/>
                <w:sz w:val="22"/>
                <w:szCs w:val="22"/>
              </w:rPr>
              <w:t>2.874,2</w:t>
            </w:r>
          </w:p>
        </w:tc>
        <w:tc>
          <w:tcPr>
            <w:tcW w:w="851" w:type="dxa"/>
            <w:vAlign w:val="center"/>
          </w:tcPr>
          <w:p w14:paraId="763969AF">
            <w:pPr>
              <w:jc w:val="center"/>
              <w:rPr>
                <w:b/>
                <w:bCs/>
                <w:color w:val="000000"/>
                <w:sz w:val="22"/>
                <w:szCs w:val="22"/>
              </w:rPr>
            </w:pPr>
            <w:r>
              <w:rPr>
                <w:b/>
                <w:bCs/>
                <w:color w:val="000000"/>
                <w:sz w:val="22"/>
                <w:szCs w:val="22"/>
              </w:rPr>
              <w:t>3,5</w:t>
            </w:r>
          </w:p>
        </w:tc>
        <w:tc>
          <w:tcPr>
            <w:tcW w:w="850" w:type="dxa"/>
            <w:vAlign w:val="center"/>
          </w:tcPr>
          <w:p w14:paraId="1398471A">
            <w:pPr>
              <w:jc w:val="center"/>
              <w:rPr>
                <w:color w:val="000000"/>
                <w:sz w:val="22"/>
                <w:szCs w:val="22"/>
              </w:rPr>
            </w:pPr>
          </w:p>
        </w:tc>
      </w:tr>
      <w:tr w14:paraId="4833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31010C8B">
            <w:pPr>
              <w:jc w:val="center"/>
              <w:rPr>
                <w:color w:val="000000"/>
                <w:sz w:val="22"/>
                <w:szCs w:val="22"/>
              </w:rPr>
            </w:pPr>
            <w:r>
              <w:rPr>
                <w:color w:val="000000"/>
                <w:sz w:val="22"/>
                <w:szCs w:val="22"/>
              </w:rPr>
              <w:t>LK14</w:t>
            </w:r>
          </w:p>
        </w:tc>
        <w:tc>
          <w:tcPr>
            <w:tcW w:w="1121" w:type="dxa"/>
            <w:noWrap/>
            <w:vAlign w:val="center"/>
          </w:tcPr>
          <w:p w14:paraId="104AF74E">
            <w:pPr>
              <w:jc w:val="center"/>
              <w:rPr>
                <w:color w:val="000000"/>
                <w:sz w:val="22"/>
                <w:szCs w:val="22"/>
              </w:rPr>
            </w:pPr>
            <w:r>
              <w:rPr>
                <w:color w:val="000000"/>
                <w:sz w:val="22"/>
                <w:szCs w:val="22"/>
              </w:rPr>
              <w:t>KL-14:01</w:t>
            </w:r>
          </w:p>
        </w:tc>
        <w:tc>
          <w:tcPr>
            <w:tcW w:w="1147" w:type="dxa"/>
            <w:vAlign w:val="center"/>
          </w:tcPr>
          <w:p w14:paraId="26FE37C4">
            <w:pPr>
              <w:jc w:val="center"/>
              <w:rPr>
                <w:color w:val="000000"/>
                <w:sz w:val="22"/>
                <w:szCs w:val="22"/>
              </w:rPr>
            </w:pPr>
            <w:r>
              <w:rPr>
                <w:color w:val="000000"/>
                <w:sz w:val="22"/>
                <w:szCs w:val="22"/>
              </w:rPr>
              <w:t>186,45</w:t>
            </w:r>
          </w:p>
        </w:tc>
        <w:tc>
          <w:tcPr>
            <w:tcW w:w="1098" w:type="dxa"/>
            <w:vAlign w:val="center"/>
          </w:tcPr>
          <w:p w14:paraId="01AE182C">
            <w:pPr>
              <w:jc w:val="center"/>
              <w:rPr>
                <w:color w:val="000000"/>
                <w:sz w:val="22"/>
                <w:szCs w:val="22"/>
              </w:rPr>
            </w:pPr>
            <w:r>
              <w:rPr>
                <w:color w:val="000000"/>
                <w:sz w:val="22"/>
                <w:szCs w:val="22"/>
              </w:rPr>
              <w:t>107,07</w:t>
            </w:r>
          </w:p>
        </w:tc>
        <w:tc>
          <w:tcPr>
            <w:tcW w:w="1134" w:type="dxa"/>
            <w:vAlign w:val="center"/>
          </w:tcPr>
          <w:p w14:paraId="0EE20BC8">
            <w:pPr>
              <w:jc w:val="center"/>
              <w:rPr>
                <w:color w:val="000000"/>
                <w:sz w:val="22"/>
                <w:szCs w:val="22"/>
              </w:rPr>
            </w:pPr>
            <w:r>
              <w:rPr>
                <w:color w:val="000000"/>
                <w:sz w:val="22"/>
                <w:szCs w:val="22"/>
              </w:rPr>
              <w:t>57,4</w:t>
            </w:r>
          </w:p>
        </w:tc>
        <w:tc>
          <w:tcPr>
            <w:tcW w:w="706" w:type="dxa"/>
            <w:vAlign w:val="center"/>
          </w:tcPr>
          <w:p w14:paraId="10EAA930">
            <w:pPr>
              <w:jc w:val="center"/>
              <w:rPr>
                <w:color w:val="000000"/>
                <w:sz w:val="22"/>
                <w:szCs w:val="22"/>
              </w:rPr>
            </w:pPr>
            <w:r>
              <w:rPr>
                <w:color w:val="000000"/>
                <w:sz w:val="22"/>
                <w:szCs w:val="22"/>
              </w:rPr>
              <w:t>4,0</w:t>
            </w:r>
          </w:p>
        </w:tc>
        <w:tc>
          <w:tcPr>
            <w:tcW w:w="1278" w:type="dxa"/>
            <w:vAlign w:val="center"/>
          </w:tcPr>
          <w:p w14:paraId="15696364">
            <w:pPr>
              <w:jc w:val="center"/>
              <w:rPr>
                <w:color w:val="000000"/>
                <w:sz w:val="22"/>
                <w:szCs w:val="22"/>
              </w:rPr>
            </w:pPr>
            <w:r>
              <w:rPr>
                <w:color w:val="000000"/>
                <w:sz w:val="22"/>
                <w:szCs w:val="22"/>
              </w:rPr>
              <w:t>454,8</w:t>
            </w:r>
          </w:p>
        </w:tc>
        <w:tc>
          <w:tcPr>
            <w:tcW w:w="851" w:type="dxa"/>
            <w:vAlign w:val="center"/>
          </w:tcPr>
          <w:p w14:paraId="0716BBB6">
            <w:pPr>
              <w:jc w:val="center"/>
              <w:rPr>
                <w:color w:val="000000"/>
                <w:sz w:val="22"/>
                <w:szCs w:val="22"/>
              </w:rPr>
            </w:pPr>
            <w:r>
              <w:rPr>
                <w:color w:val="000000"/>
                <w:sz w:val="22"/>
                <w:szCs w:val="22"/>
              </w:rPr>
              <w:t>2,4</w:t>
            </w:r>
          </w:p>
        </w:tc>
        <w:tc>
          <w:tcPr>
            <w:tcW w:w="850" w:type="dxa"/>
            <w:vAlign w:val="center"/>
          </w:tcPr>
          <w:p w14:paraId="0E2BFA6E">
            <w:pPr>
              <w:jc w:val="center"/>
              <w:rPr>
                <w:color w:val="000000"/>
                <w:sz w:val="22"/>
                <w:szCs w:val="22"/>
              </w:rPr>
            </w:pPr>
            <w:r>
              <w:rPr>
                <w:color w:val="000000"/>
                <w:sz w:val="22"/>
                <w:szCs w:val="22"/>
              </w:rPr>
              <w:t>LG2</w:t>
            </w:r>
          </w:p>
        </w:tc>
      </w:tr>
      <w:tr w14:paraId="1D80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7E4D631">
            <w:pPr>
              <w:jc w:val="center"/>
              <w:rPr>
                <w:color w:val="000000"/>
                <w:sz w:val="22"/>
                <w:szCs w:val="22"/>
              </w:rPr>
            </w:pPr>
          </w:p>
        </w:tc>
        <w:tc>
          <w:tcPr>
            <w:tcW w:w="1121" w:type="dxa"/>
            <w:noWrap/>
            <w:vAlign w:val="center"/>
          </w:tcPr>
          <w:p w14:paraId="50FA16D4">
            <w:pPr>
              <w:jc w:val="center"/>
              <w:rPr>
                <w:color w:val="000000"/>
                <w:sz w:val="22"/>
                <w:szCs w:val="22"/>
              </w:rPr>
            </w:pPr>
            <w:r>
              <w:rPr>
                <w:color w:val="000000"/>
                <w:sz w:val="22"/>
                <w:szCs w:val="22"/>
              </w:rPr>
              <w:t>KL-14:02</w:t>
            </w:r>
          </w:p>
        </w:tc>
        <w:tc>
          <w:tcPr>
            <w:tcW w:w="1147" w:type="dxa"/>
            <w:vAlign w:val="center"/>
          </w:tcPr>
          <w:p w14:paraId="254A949D">
            <w:pPr>
              <w:jc w:val="center"/>
              <w:rPr>
                <w:color w:val="000000"/>
                <w:sz w:val="22"/>
                <w:szCs w:val="22"/>
              </w:rPr>
            </w:pPr>
            <w:r>
              <w:rPr>
                <w:color w:val="000000"/>
                <w:sz w:val="22"/>
                <w:szCs w:val="22"/>
              </w:rPr>
              <w:t>130,72</w:t>
            </w:r>
          </w:p>
        </w:tc>
        <w:tc>
          <w:tcPr>
            <w:tcW w:w="1098" w:type="dxa"/>
            <w:vAlign w:val="center"/>
          </w:tcPr>
          <w:p w14:paraId="39341D75">
            <w:pPr>
              <w:jc w:val="center"/>
              <w:rPr>
                <w:color w:val="000000"/>
                <w:sz w:val="22"/>
                <w:szCs w:val="22"/>
              </w:rPr>
            </w:pPr>
            <w:r>
              <w:rPr>
                <w:color w:val="000000"/>
                <w:sz w:val="22"/>
                <w:szCs w:val="22"/>
              </w:rPr>
              <w:t>78,68</w:t>
            </w:r>
          </w:p>
        </w:tc>
        <w:tc>
          <w:tcPr>
            <w:tcW w:w="1134" w:type="dxa"/>
            <w:vAlign w:val="center"/>
          </w:tcPr>
          <w:p w14:paraId="1F5AE3DA">
            <w:pPr>
              <w:jc w:val="center"/>
              <w:rPr>
                <w:color w:val="000000"/>
                <w:sz w:val="22"/>
                <w:szCs w:val="22"/>
              </w:rPr>
            </w:pPr>
            <w:r>
              <w:rPr>
                <w:color w:val="000000"/>
                <w:sz w:val="22"/>
                <w:szCs w:val="22"/>
              </w:rPr>
              <w:t>60,2</w:t>
            </w:r>
          </w:p>
        </w:tc>
        <w:tc>
          <w:tcPr>
            <w:tcW w:w="706" w:type="dxa"/>
            <w:vAlign w:val="center"/>
          </w:tcPr>
          <w:p w14:paraId="7CE3ED92">
            <w:pPr>
              <w:jc w:val="center"/>
              <w:rPr>
                <w:color w:val="000000"/>
                <w:sz w:val="22"/>
                <w:szCs w:val="22"/>
              </w:rPr>
            </w:pPr>
            <w:r>
              <w:rPr>
                <w:color w:val="000000"/>
                <w:sz w:val="22"/>
                <w:szCs w:val="22"/>
              </w:rPr>
              <w:t>4,0</w:t>
            </w:r>
          </w:p>
        </w:tc>
        <w:tc>
          <w:tcPr>
            <w:tcW w:w="1278" w:type="dxa"/>
            <w:vAlign w:val="center"/>
          </w:tcPr>
          <w:p w14:paraId="4F1DEFE7">
            <w:pPr>
              <w:jc w:val="center"/>
              <w:rPr>
                <w:color w:val="000000"/>
                <w:sz w:val="22"/>
                <w:szCs w:val="22"/>
              </w:rPr>
            </w:pPr>
            <w:r>
              <w:rPr>
                <w:color w:val="000000"/>
                <w:sz w:val="22"/>
                <w:szCs w:val="22"/>
              </w:rPr>
              <w:t>302,42</w:t>
            </w:r>
          </w:p>
        </w:tc>
        <w:tc>
          <w:tcPr>
            <w:tcW w:w="851" w:type="dxa"/>
            <w:vAlign w:val="center"/>
          </w:tcPr>
          <w:p w14:paraId="4A89401E">
            <w:pPr>
              <w:jc w:val="center"/>
              <w:rPr>
                <w:color w:val="000000"/>
                <w:sz w:val="22"/>
                <w:szCs w:val="22"/>
              </w:rPr>
            </w:pPr>
            <w:r>
              <w:rPr>
                <w:color w:val="000000"/>
                <w:sz w:val="22"/>
                <w:szCs w:val="22"/>
              </w:rPr>
              <w:t>2,3</w:t>
            </w:r>
          </w:p>
        </w:tc>
        <w:tc>
          <w:tcPr>
            <w:tcW w:w="850" w:type="dxa"/>
            <w:vAlign w:val="center"/>
          </w:tcPr>
          <w:p w14:paraId="0E6D9884">
            <w:pPr>
              <w:jc w:val="center"/>
              <w:rPr>
                <w:color w:val="000000"/>
                <w:sz w:val="22"/>
                <w:szCs w:val="22"/>
              </w:rPr>
            </w:pPr>
            <w:r>
              <w:rPr>
                <w:color w:val="000000"/>
                <w:sz w:val="22"/>
                <w:szCs w:val="22"/>
              </w:rPr>
              <w:t>ĐH2</w:t>
            </w:r>
          </w:p>
        </w:tc>
      </w:tr>
      <w:tr w14:paraId="0F11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ED4C498">
            <w:pPr>
              <w:jc w:val="center"/>
              <w:rPr>
                <w:color w:val="000000"/>
                <w:sz w:val="22"/>
                <w:szCs w:val="22"/>
              </w:rPr>
            </w:pPr>
          </w:p>
        </w:tc>
        <w:tc>
          <w:tcPr>
            <w:tcW w:w="1121" w:type="dxa"/>
            <w:noWrap/>
            <w:vAlign w:val="center"/>
          </w:tcPr>
          <w:p w14:paraId="7386EEAE">
            <w:pPr>
              <w:jc w:val="center"/>
              <w:rPr>
                <w:color w:val="000000"/>
                <w:sz w:val="22"/>
                <w:szCs w:val="22"/>
              </w:rPr>
            </w:pPr>
            <w:r>
              <w:rPr>
                <w:color w:val="000000"/>
                <w:sz w:val="22"/>
                <w:szCs w:val="22"/>
              </w:rPr>
              <w:t>KL-14:03</w:t>
            </w:r>
          </w:p>
        </w:tc>
        <w:tc>
          <w:tcPr>
            <w:tcW w:w="1147" w:type="dxa"/>
            <w:vAlign w:val="center"/>
          </w:tcPr>
          <w:p w14:paraId="1A7F85F8">
            <w:pPr>
              <w:jc w:val="center"/>
              <w:rPr>
                <w:color w:val="000000"/>
                <w:sz w:val="22"/>
                <w:szCs w:val="22"/>
              </w:rPr>
            </w:pPr>
            <w:r>
              <w:rPr>
                <w:color w:val="000000"/>
                <w:sz w:val="22"/>
                <w:szCs w:val="22"/>
              </w:rPr>
              <w:t>114,83</w:t>
            </w:r>
          </w:p>
        </w:tc>
        <w:tc>
          <w:tcPr>
            <w:tcW w:w="1098" w:type="dxa"/>
            <w:vAlign w:val="center"/>
          </w:tcPr>
          <w:p w14:paraId="29433F35">
            <w:pPr>
              <w:jc w:val="center"/>
              <w:rPr>
                <w:color w:val="000000"/>
                <w:sz w:val="22"/>
                <w:szCs w:val="22"/>
              </w:rPr>
            </w:pPr>
            <w:r>
              <w:rPr>
                <w:color w:val="000000"/>
                <w:sz w:val="22"/>
                <w:szCs w:val="22"/>
              </w:rPr>
              <w:t>78,68</w:t>
            </w:r>
          </w:p>
        </w:tc>
        <w:tc>
          <w:tcPr>
            <w:tcW w:w="1134" w:type="dxa"/>
            <w:vAlign w:val="center"/>
          </w:tcPr>
          <w:p w14:paraId="13DC8C01">
            <w:pPr>
              <w:jc w:val="center"/>
              <w:rPr>
                <w:color w:val="000000"/>
                <w:sz w:val="22"/>
                <w:szCs w:val="22"/>
              </w:rPr>
            </w:pPr>
            <w:r>
              <w:rPr>
                <w:color w:val="000000"/>
                <w:sz w:val="22"/>
                <w:szCs w:val="22"/>
              </w:rPr>
              <w:t>68,5</w:t>
            </w:r>
          </w:p>
        </w:tc>
        <w:tc>
          <w:tcPr>
            <w:tcW w:w="706" w:type="dxa"/>
            <w:vAlign w:val="center"/>
          </w:tcPr>
          <w:p w14:paraId="0EF3BB3D">
            <w:pPr>
              <w:jc w:val="center"/>
              <w:rPr>
                <w:color w:val="000000"/>
                <w:sz w:val="22"/>
                <w:szCs w:val="22"/>
              </w:rPr>
            </w:pPr>
            <w:r>
              <w:rPr>
                <w:color w:val="000000"/>
                <w:sz w:val="22"/>
                <w:szCs w:val="22"/>
              </w:rPr>
              <w:t>4,0</w:t>
            </w:r>
          </w:p>
        </w:tc>
        <w:tc>
          <w:tcPr>
            <w:tcW w:w="1278" w:type="dxa"/>
            <w:vAlign w:val="center"/>
          </w:tcPr>
          <w:p w14:paraId="3762C177">
            <w:pPr>
              <w:jc w:val="center"/>
              <w:rPr>
                <w:color w:val="000000"/>
                <w:sz w:val="22"/>
                <w:szCs w:val="22"/>
              </w:rPr>
            </w:pPr>
            <w:r>
              <w:rPr>
                <w:color w:val="000000"/>
                <w:sz w:val="22"/>
                <w:szCs w:val="22"/>
              </w:rPr>
              <w:t>302,42</w:t>
            </w:r>
          </w:p>
        </w:tc>
        <w:tc>
          <w:tcPr>
            <w:tcW w:w="851" w:type="dxa"/>
            <w:vAlign w:val="center"/>
          </w:tcPr>
          <w:p w14:paraId="62A4D5CF">
            <w:pPr>
              <w:jc w:val="center"/>
              <w:rPr>
                <w:color w:val="000000"/>
                <w:sz w:val="22"/>
                <w:szCs w:val="22"/>
              </w:rPr>
            </w:pPr>
            <w:r>
              <w:rPr>
                <w:color w:val="000000"/>
                <w:sz w:val="22"/>
                <w:szCs w:val="22"/>
              </w:rPr>
              <w:t>2,6</w:t>
            </w:r>
          </w:p>
        </w:tc>
        <w:tc>
          <w:tcPr>
            <w:tcW w:w="850" w:type="dxa"/>
            <w:vAlign w:val="center"/>
          </w:tcPr>
          <w:p w14:paraId="68AB4F65">
            <w:pPr>
              <w:jc w:val="center"/>
              <w:rPr>
                <w:color w:val="000000"/>
                <w:sz w:val="22"/>
                <w:szCs w:val="22"/>
              </w:rPr>
            </w:pPr>
            <w:r>
              <w:rPr>
                <w:color w:val="000000"/>
                <w:sz w:val="22"/>
                <w:szCs w:val="22"/>
              </w:rPr>
              <w:t>ĐH2</w:t>
            </w:r>
          </w:p>
        </w:tc>
      </w:tr>
      <w:tr w14:paraId="05CF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A6A0250">
            <w:pPr>
              <w:jc w:val="center"/>
              <w:rPr>
                <w:color w:val="000000"/>
                <w:sz w:val="22"/>
                <w:szCs w:val="22"/>
              </w:rPr>
            </w:pPr>
          </w:p>
        </w:tc>
        <w:tc>
          <w:tcPr>
            <w:tcW w:w="1121" w:type="dxa"/>
            <w:noWrap/>
            <w:vAlign w:val="center"/>
          </w:tcPr>
          <w:p w14:paraId="0FE7855E">
            <w:pPr>
              <w:jc w:val="center"/>
              <w:rPr>
                <w:color w:val="000000"/>
                <w:sz w:val="22"/>
                <w:szCs w:val="22"/>
              </w:rPr>
            </w:pPr>
            <w:r>
              <w:rPr>
                <w:color w:val="000000"/>
                <w:sz w:val="22"/>
                <w:szCs w:val="22"/>
              </w:rPr>
              <w:t>KL-14:04</w:t>
            </w:r>
          </w:p>
        </w:tc>
        <w:tc>
          <w:tcPr>
            <w:tcW w:w="1147" w:type="dxa"/>
            <w:vAlign w:val="center"/>
          </w:tcPr>
          <w:p w14:paraId="3FF41382">
            <w:pPr>
              <w:jc w:val="center"/>
              <w:rPr>
                <w:color w:val="000000"/>
                <w:sz w:val="22"/>
                <w:szCs w:val="22"/>
              </w:rPr>
            </w:pPr>
            <w:r>
              <w:rPr>
                <w:color w:val="000000"/>
                <w:sz w:val="22"/>
                <w:szCs w:val="22"/>
              </w:rPr>
              <w:t>111,23</w:t>
            </w:r>
          </w:p>
        </w:tc>
        <w:tc>
          <w:tcPr>
            <w:tcW w:w="1098" w:type="dxa"/>
            <w:vAlign w:val="center"/>
          </w:tcPr>
          <w:p w14:paraId="119D2A16">
            <w:pPr>
              <w:jc w:val="center"/>
              <w:rPr>
                <w:color w:val="000000"/>
                <w:sz w:val="22"/>
                <w:szCs w:val="22"/>
              </w:rPr>
            </w:pPr>
            <w:r>
              <w:rPr>
                <w:color w:val="000000"/>
                <w:sz w:val="22"/>
                <w:szCs w:val="22"/>
              </w:rPr>
              <w:t>78,68</w:t>
            </w:r>
          </w:p>
        </w:tc>
        <w:tc>
          <w:tcPr>
            <w:tcW w:w="1134" w:type="dxa"/>
            <w:vAlign w:val="center"/>
          </w:tcPr>
          <w:p w14:paraId="556448E3">
            <w:pPr>
              <w:jc w:val="center"/>
              <w:rPr>
                <w:color w:val="000000"/>
                <w:sz w:val="22"/>
                <w:szCs w:val="22"/>
              </w:rPr>
            </w:pPr>
            <w:r>
              <w:rPr>
                <w:color w:val="000000"/>
                <w:sz w:val="22"/>
                <w:szCs w:val="22"/>
              </w:rPr>
              <w:t>70,7</w:t>
            </w:r>
          </w:p>
        </w:tc>
        <w:tc>
          <w:tcPr>
            <w:tcW w:w="706" w:type="dxa"/>
            <w:vAlign w:val="center"/>
          </w:tcPr>
          <w:p w14:paraId="034CFD77">
            <w:pPr>
              <w:jc w:val="center"/>
              <w:rPr>
                <w:color w:val="000000"/>
                <w:sz w:val="22"/>
                <w:szCs w:val="22"/>
              </w:rPr>
            </w:pPr>
            <w:r>
              <w:rPr>
                <w:color w:val="000000"/>
                <w:sz w:val="22"/>
                <w:szCs w:val="22"/>
              </w:rPr>
              <w:t>4,0</w:t>
            </w:r>
          </w:p>
        </w:tc>
        <w:tc>
          <w:tcPr>
            <w:tcW w:w="1278" w:type="dxa"/>
            <w:vAlign w:val="center"/>
          </w:tcPr>
          <w:p w14:paraId="3BA47F45">
            <w:pPr>
              <w:jc w:val="center"/>
              <w:rPr>
                <w:color w:val="000000"/>
                <w:sz w:val="22"/>
                <w:szCs w:val="22"/>
              </w:rPr>
            </w:pPr>
            <w:r>
              <w:rPr>
                <w:color w:val="000000"/>
                <w:sz w:val="22"/>
                <w:szCs w:val="22"/>
              </w:rPr>
              <w:t>302,42</w:t>
            </w:r>
          </w:p>
        </w:tc>
        <w:tc>
          <w:tcPr>
            <w:tcW w:w="851" w:type="dxa"/>
            <w:vAlign w:val="center"/>
          </w:tcPr>
          <w:p w14:paraId="30B34705">
            <w:pPr>
              <w:jc w:val="center"/>
              <w:rPr>
                <w:color w:val="000000"/>
                <w:sz w:val="22"/>
                <w:szCs w:val="22"/>
              </w:rPr>
            </w:pPr>
            <w:r>
              <w:rPr>
                <w:color w:val="000000"/>
                <w:sz w:val="22"/>
                <w:szCs w:val="22"/>
              </w:rPr>
              <w:t>2,7</w:t>
            </w:r>
          </w:p>
        </w:tc>
        <w:tc>
          <w:tcPr>
            <w:tcW w:w="850" w:type="dxa"/>
            <w:vAlign w:val="center"/>
          </w:tcPr>
          <w:p w14:paraId="68B86A33">
            <w:pPr>
              <w:jc w:val="center"/>
              <w:rPr>
                <w:color w:val="000000"/>
                <w:sz w:val="22"/>
                <w:szCs w:val="22"/>
              </w:rPr>
            </w:pPr>
            <w:r>
              <w:rPr>
                <w:color w:val="000000"/>
                <w:sz w:val="22"/>
                <w:szCs w:val="22"/>
              </w:rPr>
              <w:t>ĐH2</w:t>
            </w:r>
          </w:p>
        </w:tc>
      </w:tr>
      <w:tr w14:paraId="264A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29E38B0">
            <w:pPr>
              <w:jc w:val="center"/>
              <w:rPr>
                <w:color w:val="000000"/>
                <w:sz w:val="22"/>
                <w:szCs w:val="22"/>
              </w:rPr>
            </w:pPr>
          </w:p>
        </w:tc>
        <w:tc>
          <w:tcPr>
            <w:tcW w:w="1121" w:type="dxa"/>
            <w:noWrap/>
            <w:vAlign w:val="center"/>
          </w:tcPr>
          <w:p w14:paraId="3AF1A1E3">
            <w:pPr>
              <w:jc w:val="center"/>
              <w:rPr>
                <w:color w:val="000000"/>
                <w:sz w:val="22"/>
                <w:szCs w:val="22"/>
              </w:rPr>
            </w:pPr>
            <w:r>
              <w:rPr>
                <w:color w:val="000000"/>
                <w:sz w:val="22"/>
                <w:szCs w:val="22"/>
              </w:rPr>
              <w:t>KL-14:05</w:t>
            </w:r>
          </w:p>
        </w:tc>
        <w:tc>
          <w:tcPr>
            <w:tcW w:w="1147" w:type="dxa"/>
            <w:vAlign w:val="center"/>
          </w:tcPr>
          <w:p w14:paraId="62DC554F">
            <w:pPr>
              <w:jc w:val="center"/>
              <w:rPr>
                <w:color w:val="000000"/>
                <w:sz w:val="22"/>
                <w:szCs w:val="22"/>
              </w:rPr>
            </w:pPr>
            <w:r>
              <w:rPr>
                <w:color w:val="000000"/>
                <w:sz w:val="22"/>
                <w:szCs w:val="22"/>
              </w:rPr>
              <w:t>107,62</w:t>
            </w:r>
          </w:p>
        </w:tc>
        <w:tc>
          <w:tcPr>
            <w:tcW w:w="1098" w:type="dxa"/>
            <w:vAlign w:val="center"/>
          </w:tcPr>
          <w:p w14:paraId="39C19B5B">
            <w:pPr>
              <w:jc w:val="center"/>
              <w:rPr>
                <w:color w:val="000000"/>
                <w:sz w:val="22"/>
                <w:szCs w:val="22"/>
              </w:rPr>
            </w:pPr>
            <w:r>
              <w:rPr>
                <w:color w:val="000000"/>
                <w:sz w:val="22"/>
                <w:szCs w:val="22"/>
              </w:rPr>
              <w:t>78,68</w:t>
            </w:r>
          </w:p>
        </w:tc>
        <w:tc>
          <w:tcPr>
            <w:tcW w:w="1134" w:type="dxa"/>
            <w:vAlign w:val="center"/>
          </w:tcPr>
          <w:p w14:paraId="5371BBDD">
            <w:pPr>
              <w:jc w:val="center"/>
              <w:rPr>
                <w:color w:val="000000"/>
                <w:sz w:val="22"/>
                <w:szCs w:val="22"/>
              </w:rPr>
            </w:pPr>
            <w:r>
              <w:rPr>
                <w:color w:val="000000"/>
                <w:sz w:val="22"/>
                <w:szCs w:val="22"/>
              </w:rPr>
              <w:t>73,1</w:t>
            </w:r>
          </w:p>
        </w:tc>
        <w:tc>
          <w:tcPr>
            <w:tcW w:w="706" w:type="dxa"/>
            <w:vAlign w:val="center"/>
          </w:tcPr>
          <w:p w14:paraId="4D40E3E7">
            <w:pPr>
              <w:jc w:val="center"/>
              <w:rPr>
                <w:color w:val="000000"/>
                <w:sz w:val="22"/>
                <w:szCs w:val="22"/>
              </w:rPr>
            </w:pPr>
            <w:r>
              <w:rPr>
                <w:color w:val="000000"/>
                <w:sz w:val="22"/>
                <w:szCs w:val="22"/>
              </w:rPr>
              <w:t>4,0</w:t>
            </w:r>
          </w:p>
        </w:tc>
        <w:tc>
          <w:tcPr>
            <w:tcW w:w="1278" w:type="dxa"/>
            <w:vAlign w:val="center"/>
          </w:tcPr>
          <w:p w14:paraId="4D73EDDB">
            <w:pPr>
              <w:jc w:val="center"/>
              <w:rPr>
                <w:color w:val="000000"/>
                <w:sz w:val="22"/>
                <w:szCs w:val="22"/>
              </w:rPr>
            </w:pPr>
            <w:r>
              <w:rPr>
                <w:color w:val="000000"/>
                <w:sz w:val="22"/>
                <w:szCs w:val="22"/>
              </w:rPr>
              <w:t>302,42</w:t>
            </w:r>
          </w:p>
        </w:tc>
        <w:tc>
          <w:tcPr>
            <w:tcW w:w="851" w:type="dxa"/>
            <w:vAlign w:val="center"/>
          </w:tcPr>
          <w:p w14:paraId="7378DBB3">
            <w:pPr>
              <w:jc w:val="center"/>
              <w:rPr>
                <w:color w:val="000000"/>
                <w:sz w:val="22"/>
                <w:szCs w:val="22"/>
              </w:rPr>
            </w:pPr>
            <w:r>
              <w:rPr>
                <w:color w:val="000000"/>
                <w:sz w:val="22"/>
                <w:szCs w:val="22"/>
              </w:rPr>
              <w:t>2,8</w:t>
            </w:r>
          </w:p>
        </w:tc>
        <w:tc>
          <w:tcPr>
            <w:tcW w:w="850" w:type="dxa"/>
            <w:vAlign w:val="center"/>
          </w:tcPr>
          <w:p w14:paraId="7E914681">
            <w:pPr>
              <w:jc w:val="center"/>
              <w:rPr>
                <w:color w:val="000000"/>
                <w:sz w:val="22"/>
                <w:szCs w:val="22"/>
              </w:rPr>
            </w:pPr>
            <w:r>
              <w:rPr>
                <w:color w:val="000000"/>
                <w:sz w:val="22"/>
                <w:szCs w:val="22"/>
              </w:rPr>
              <w:t>ĐH2</w:t>
            </w:r>
          </w:p>
        </w:tc>
      </w:tr>
      <w:tr w14:paraId="671E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AC3109A">
            <w:pPr>
              <w:jc w:val="center"/>
              <w:rPr>
                <w:color w:val="000000"/>
                <w:sz w:val="22"/>
                <w:szCs w:val="22"/>
              </w:rPr>
            </w:pPr>
          </w:p>
        </w:tc>
        <w:tc>
          <w:tcPr>
            <w:tcW w:w="1121" w:type="dxa"/>
            <w:noWrap/>
            <w:vAlign w:val="center"/>
          </w:tcPr>
          <w:p w14:paraId="48609D7D">
            <w:pPr>
              <w:jc w:val="center"/>
              <w:rPr>
                <w:color w:val="000000"/>
                <w:sz w:val="22"/>
                <w:szCs w:val="22"/>
              </w:rPr>
            </w:pPr>
            <w:r>
              <w:rPr>
                <w:color w:val="000000"/>
                <w:sz w:val="22"/>
                <w:szCs w:val="22"/>
              </w:rPr>
              <w:t>KL-14:06</w:t>
            </w:r>
          </w:p>
        </w:tc>
        <w:tc>
          <w:tcPr>
            <w:tcW w:w="1147" w:type="dxa"/>
            <w:vAlign w:val="center"/>
          </w:tcPr>
          <w:p w14:paraId="3D86B16E">
            <w:pPr>
              <w:jc w:val="center"/>
              <w:rPr>
                <w:color w:val="000000"/>
                <w:sz w:val="22"/>
                <w:szCs w:val="22"/>
              </w:rPr>
            </w:pPr>
            <w:r>
              <w:rPr>
                <w:color w:val="000000"/>
                <w:sz w:val="22"/>
                <w:szCs w:val="22"/>
              </w:rPr>
              <w:t>104,02</w:t>
            </w:r>
          </w:p>
        </w:tc>
        <w:tc>
          <w:tcPr>
            <w:tcW w:w="1098" w:type="dxa"/>
            <w:vAlign w:val="center"/>
          </w:tcPr>
          <w:p w14:paraId="7351ADD0">
            <w:pPr>
              <w:jc w:val="center"/>
              <w:rPr>
                <w:color w:val="000000"/>
                <w:sz w:val="22"/>
                <w:szCs w:val="22"/>
              </w:rPr>
            </w:pPr>
            <w:r>
              <w:rPr>
                <w:color w:val="000000"/>
                <w:sz w:val="22"/>
                <w:szCs w:val="22"/>
              </w:rPr>
              <w:t>78,68</w:t>
            </w:r>
          </w:p>
        </w:tc>
        <w:tc>
          <w:tcPr>
            <w:tcW w:w="1134" w:type="dxa"/>
            <w:vAlign w:val="center"/>
          </w:tcPr>
          <w:p w14:paraId="1F85F123">
            <w:pPr>
              <w:jc w:val="center"/>
              <w:rPr>
                <w:color w:val="000000"/>
                <w:sz w:val="22"/>
                <w:szCs w:val="22"/>
              </w:rPr>
            </w:pPr>
            <w:r>
              <w:rPr>
                <w:color w:val="000000"/>
                <w:sz w:val="22"/>
                <w:szCs w:val="22"/>
              </w:rPr>
              <w:t>75,6</w:t>
            </w:r>
          </w:p>
        </w:tc>
        <w:tc>
          <w:tcPr>
            <w:tcW w:w="706" w:type="dxa"/>
            <w:vAlign w:val="center"/>
          </w:tcPr>
          <w:p w14:paraId="708086D5">
            <w:pPr>
              <w:jc w:val="center"/>
              <w:rPr>
                <w:color w:val="000000"/>
                <w:sz w:val="22"/>
                <w:szCs w:val="22"/>
              </w:rPr>
            </w:pPr>
            <w:r>
              <w:rPr>
                <w:color w:val="000000"/>
                <w:sz w:val="22"/>
                <w:szCs w:val="22"/>
              </w:rPr>
              <w:t>4,0</w:t>
            </w:r>
          </w:p>
        </w:tc>
        <w:tc>
          <w:tcPr>
            <w:tcW w:w="1278" w:type="dxa"/>
            <w:vAlign w:val="center"/>
          </w:tcPr>
          <w:p w14:paraId="0DC17F49">
            <w:pPr>
              <w:jc w:val="center"/>
              <w:rPr>
                <w:color w:val="000000"/>
                <w:sz w:val="22"/>
                <w:szCs w:val="22"/>
              </w:rPr>
            </w:pPr>
            <w:r>
              <w:rPr>
                <w:color w:val="000000"/>
                <w:sz w:val="22"/>
                <w:szCs w:val="22"/>
              </w:rPr>
              <w:t>302,42</w:t>
            </w:r>
          </w:p>
        </w:tc>
        <w:tc>
          <w:tcPr>
            <w:tcW w:w="851" w:type="dxa"/>
            <w:vAlign w:val="center"/>
          </w:tcPr>
          <w:p w14:paraId="533CC831">
            <w:pPr>
              <w:jc w:val="center"/>
              <w:rPr>
                <w:color w:val="000000"/>
                <w:sz w:val="22"/>
                <w:szCs w:val="22"/>
              </w:rPr>
            </w:pPr>
            <w:r>
              <w:rPr>
                <w:color w:val="000000"/>
                <w:sz w:val="22"/>
                <w:szCs w:val="22"/>
              </w:rPr>
              <w:t>2,9</w:t>
            </w:r>
          </w:p>
        </w:tc>
        <w:tc>
          <w:tcPr>
            <w:tcW w:w="850" w:type="dxa"/>
            <w:vAlign w:val="center"/>
          </w:tcPr>
          <w:p w14:paraId="5DD8F43D">
            <w:pPr>
              <w:jc w:val="center"/>
              <w:rPr>
                <w:color w:val="000000"/>
                <w:sz w:val="22"/>
                <w:szCs w:val="22"/>
              </w:rPr>
            </w:pPr>
            <w:r>
              <w:rPr>
                <w:color w:val="000000"/>
                <w:sz w:val="22"/>
                <w:szCs w:val="22"/>
              </w:rPr>
              <w:t>ĐH2</w:t>
            </w:r>
          </w:p>
        </w:tc>
      </w:tr>
      <w:tr w14:paraId="10F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EC659D4">
            <w:pPr>
              <w:jc w:val="center"/>
              <w:rPr>
                <w:color w:val="000000"/>
                <w:sz w:val="22"/>
                <w:szCs w:val="22"/>
              </w:rPr>
            </w:pPr>
          </w:p>
        </w:tc>
        <w:tc>
          <w:tcPr>
            <w:tcW w:w="1121" w:type="dxa"/>
            <w:noWrap/>
            <w:vAlign w:val="center"/>
          </w:tcPr>
          <w:p w14:paraId="3A70D3C9">
            <w:pPr>
              <w:jc w:val="center"/>
              <w:rPr>
                <w:color w:val="000000"/>
                <w:sz w:val="22"/>
                <w:szCs w:val="22"/>
              </w:rPr>
            </w:pPr>
            <w:r>
              <w:rPr>
                <w:color w:val="000000"/>
                <w:sz w:val="22"/>
                <w:szCs w:val="22"/>
              </w:rPr>
              <w:t>KL-14:07</w:t>
            </w:r>
          </w:p>
        </w:tc>
        <w:tc>
          <w:tcPr>
            <w:tcW w:w="1147" w:type="dxa"/>
            <w:vAlign w:val="center"/>
          </w:tcPr>
          <w:p w14:paraId="1579A196">
            <w:pPr>
              <w:jc w:val="center"/>
              <w:rPr>
                <w:color w:val="000000"/>
                <w:sz w:val="22"/>
                <w:szCs w:val="22"/>
              </w:rPr>
            </w:pPr>
            <w:r>
              <w:rPr>
                <w:color w:val="000000"/>
                <w:sz w:val="22"/>
                <w:szCs w:val="22"/>
              </w:rPr>
              <w:t>100,42</w:t>
            </w:r>
          </w:p>
        </w:tc>
        <w:tc>
          <w:tcPr>
            <w:tcW w:w="1098" w:type="dxa"/>
            <w:vAlign w:val="center"/>
          </w:tcPr>
          <w:p w14:paraId="7638A99E">
            <w:pPr>
              <w:jc w:val="center"/>
              <w:rPr>
                <w:color w:val="000000"/>
                <w:sz w:val="22"/>
                <w:szCs w:val="22"/>
              </w:rPr>
            </w:pPr>
            <w:r>
              <w:rPr>
                <w:color w:val="000000"/>
                <w:sz w:val="22"/>
                <w:szCs w:val="22"/>
              </w:rPr>
              <w:t>78,68</w:t>
            </w:r>
          </w:p>
        </w:tc>
        <w:tc>
          <w:tcPr>
            <w:tcW w:w="1134" w:type="dxa"/>
            <w:vAlign w:val="center"/>
          </w:tcPr>
          <w:p w14:paraId="76D00017">
            <w:pPr>
              <w:jc w:val="center"/>
              <w:rPr>
                <w:color w:val="000000"/>
                <w:sz w:val="22"/>
                <w:szCs w:val="22"/>
              </w:rPr>
            </w:pPr>
            <w:r>
              <w:rPr>
                <w:color w:val="000000"/>
                <w:sz w:val="22"/>
                <w:szCs w:val="22"/>
              </w:rPr>
              <w:t>78,4</w:t>
            </w:r>
          </w:p>
        </w:tc>
        <w:tc>
          <w:tcPr>
            <w:tcW w:w="706" w:type="dxa"/>
            <w:vAlign w:val="center"/>
          </w:tcPr>
          <w:p w14:paraId="24A06F90">
            <w:pPr>
              <w:jc w:val="center"/>
              <w:rPr>
                <w:color w:val="000000"/>
                <w:sz w:val="22"/>
                <w:szCs w:val="22"/>
              </w:rPr>
            </w:pPr>
            <w:r>
              <w:rPr>
                <w:color w:val="000000"/>
                <w:sz w:val="22"/>
                <w:szCs w:val="22"/>
              </w:rPr>
              <w:t>4,0</w:t>
            </w:r>
          </w:p>
        </w:tc>
        <w:tc>
          <w:tcPr>
            <w:tcW w:w="1278" w:type="dxa"/>
            <w:vAlign w:val="center"/>
          </w:tcPr>
          <w:p w14:paraId="39E4AEDF">
            <w:pPr>
              <w:jc w:val="center"/>
              <w:rPr>
                <w:color w:val="000000"/>
                <w:sz w:val="22"/>
                <w:szCs w:val="22"/>
              </w:rPr>
            </w:pPr>
            <w:r>
              <w:rPr>
                <w:color w:val="000000"/>
                <w:sz w:val="22"/>
                <w:szCs w:val="22"/>
              </w:rPr>
              <w:t>302,42</w:t>
            </w:r>
          </w:p>
        </w:tc>
        <w:tc>
          <w:tcPr>
            <w:tcW w:w="851" w:type="dxa"/>
            <w:vAlign w:val="center"/>
          </w:tcPr>
          <w:p w14:paraId="15156666">
            <w:pPr>
              <w:jc w:val="center"/>
              <w:rPr>
                <w:color w:val="000000"/>
                <w:sz w:val="22"/>
                <w:szCs w:val="22"/>
              </w:rPr>
            </w:pPr>
            <w:r>
              <w:rPr>
                <w:color w:val="000000"/>
                <w:sz w:val="22"/>
                <w:szCs w:val="22"/>
              </w:rPr>
              <w:t>3,0</w:t>
            </w:r>
          </w:p>
        </w:tc>
        <w:tc>
          <w:tcPr>
            <w:tcW w:w="850" w:type="dxa"/>
            <w:vAlign w:val="center"/>
          </w:tcPr>
          <w:p w14:paraId="7106122C">
            <w:pPr>
              <w:jc w:val="center"/>
              <w:rPr>
                <w:color w:val="000000"/>
                <w:sz w:val="22"/>
                <w:szCs w:val="22"/>
              </w:rPr>
            </w:pPr>
            <w:r>
              <w:rPr>
                <w:color w:val="000000"/>
                <w:sz w:val="22"/>
                <w:szCs w:val="22"/>
              </w:rPr>
              <w:t>ĐH2</w:t>
            </w:r>
          </w:p>
        </w:tc>
      </w:tr>
      <w:tr w14:paraId="0714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CDF6A80">
            <w:pPr>
              <w:jc w:val="center"/>
              <w:rPr>
                <w:color w:val="000000"/>
                <w:sz w:val="22"/>
                <w:szCs w:val="22"/>
              </w:rPr>
            </w:pPr>
          </w:p>
        </w:tc>
        <w:tc>
          <w:tcPr>
            <w:tcW w:w="1121" w:type="dxa"/>
            <w:noWrap/>
            <w:vAlign w:val="center"/>
          </w:tcPr>
          <w:p w14:paraId="2205A4F1">
            <w:pPr>
              <w:jc w:val="center"/>
              <w:rPr>
                <w:color w:val="000000"/>
                <w:sz w:val="22"/>
                <w:szCs w:val="22"/>
              </w:rPr>
            </w:pPr>
            <w:r>
              <w:rPr>
                <w:color w:val="000000"/>
                <w:sz w:val="22"/>
                <w:szCs w:val="22"/>
              </w:rPr>
              <w:t>KL-14:08</w:t>
            </w:r>
          </w:p>
        </w:tc>
        <w:tc>
          <w:tcPr>
            <w:tcW w:w="1147" w:type="dxa"/>
            <w:vAlign w:val="center"/>
          </w:tcPr>
          <w:p w14:paraId="4D956F84">
            <w:pPr>
              <w:jc w:val="center"/>
              <w:rPr>
                <w:color w:val="000000"/>
                <w:sz w:val="22"/>
                <w:szCs w:val="22"/>
              </w:rPr>
            </w:pPr>
            <w:r>
              <w:rPr>
                <w:color w:val="000000"/>
                <w:sz w:val="22"/>
                <w:szCs w:val="22"/>
              </w:rPr>
              <w:t>96,92</w:t>
            </w:r>
          </w:p>
        </w:tc>
        <w:tc>
          <w:tcPr>
            <w:tcW w:w="1098" w:type="dxa"/>
            <w:vAlign w:val="center"/>
          </w:tcPr>
          <w:p w14:paraId="78E3FD1B">
            <w:pPr>
              <w:jc w:val="center"/>
              <w:rPr>
                <w:color w:val="000000"/>
                <w:sz w:val="22"/>
                <w:szCs w:val="22"/>
              </w:rPr>
            </w:pPr>
            <w:r>
              <w:rPr>
                <w:color w:val="000000"/>
                <w:sz w:val="22"/>
                <w:szCs w:val="22"/>
              </w:rPr>
              <w:t>78,68</w:t>
            </w:r>
          </w:p>
        </w:tc>
        <w:tc>
          <w:tcPr>
            <w:tcW w:w="1134" w:type="dxa"/>
            <w:vAlign w:val="center"/>
          </w:tcPr>
          <w:p w14:paraId="5D71F310">
            <w:pPr>
              <w:jc w:val="center"/>
              <w:rPr>
                <w:color w:val="000000"/>
                <w:sz w:val="22"/>
                <w:szCs w:val="22"/>
              </w:rPr>
            </w:pPr>
            <w:r>
              <w:rPr>
                <w:color w:val="000000"/>
                <w:sz w:val="22"/>
                <w:szCs w:val="22"/>
              </w:rPr>
              <w:t>81,2</w:t>
            </w:r>
          </w:p>
        </w:tc>
        <w:tc>
          <w:tcPr>
            <w:tcW w:w="706" w:type="dxa"/>
            <w:vAlign w:val="center"/>
          </w:tcPr>
          <w:p w14:paraId="77868932">
            <w:pPr>
              <w:jc w:val="center"/>
              <w:rPr>
                <w:color w:val="000000"/>
                <w:sz w:val="22"/>
                <w:szCs w:val="22"/>
              </w:rPr>
            </w:pPr>
            <w:r>
              <w:rPr>
                <w:color w:val="000000"/>
                <w:sz w:val="22"/>
                <w:szCs w:val="22"/>
              </w:rPr>
              <w:t>4,0</w:t>
            </w:r>
          </w:p>
        </w:tc>
        <w:tc>
          <w:tcPr>
            <w:tcW w:w="1278" w:type="dxa"/>
            <w:vAlign w:val="center"/>
          </w:tcPr>
          <w:p w14:paraId="7F4A41F0">
            <w:pPr>
              <w:jc w:val="center"/>
              <w:rPr>
                <w:color w:val="000000"/>
                <w:sz w:val="22"/>
                <w:szCs w:val="22"/>
              </w:rPr>
            </w:pPr>
            <w:r>
              <w:rPr>
                <w:color w:val="000000"/>
                <w:sz w:val="22"/>
                <w:szCs w:val="22"/>
              </w:rPr>
              <w:t>302,42</w:t>
            </w:r>
          </w:p>
        </w:tc>
        <w:tc>
          <w:tcPr>
            <w:tcW w:w="851" w:type="dxa"/>
            <w:vAlign w:val="center"/>
          </w:tcPr>
          <w:p w14:paraId="5ED0A147">
            <w:pPr>
              <w:jc w:val="center"/>
              <w:rPr>
                <w:color w:val="000000"/>
                <w:sz w:val="22"/>
                <w:szCs w:val="22"/>
              </w:rPr>
            </w:pPr>
            <w:r>
              <w:rPr>
                <w:color w:val="000000"/>
                <w:sz w:val="22"/>
                <w:szCs w:val="22"/>
              </w:rPr>
              <w:t>3,1</w:t>
            </w:r>
          </w:p>
        </w:tc>
        <w:tc>
          <w:tcPr>
            <w:tcW w:w="850" w:type="dxa"/>
            <w:vAlign w:val="center"/>
          </w:tcPr>
          <w:p w14:paraId="04C7FBD6">
            <w:pPr>
              <w:jc w:val="center"/>
              <w:rPr>
                <w:color w:val="000000"/>
                <w:sz w:val="22"/>
                <w:szCs w:val="22"/>
              </w:rPr>
            </w:pPr>
            <w:r>
              <w:rPr>
                <w:color w:val="000000"/>
                <w:sz w:val="22"/>
                <w:szCs w:val="22"/>
              </w:rPr>
              <w:t>ĐH2</w:t>
            </w:r>
          </w:p>
        </w:tc>
      </w:tr>
      <w:tr w14:paraId="26D4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8268E52">
            <w:pPr>
              <w:jc w:val="center"/>
              <w:rPr>
                <w:color w:val="000000"/>
                <w:sz w:val="22"/>
                <w:szCs w:val="22"/>
              </w:rPr>
            </w:pPr>
          </w:p>
        </w:tc>
        <w:tc>
          <w:tcPr>
            <w:tcW w:w="1121" w:type="dxa"/>
            <w:noWrap/>
            <w:vAlign w:val="center"/>
          </w:tcPr>
          <w:p w14:paraId="0A2EB403">
            <w:pPr>
              <w:jc w:val="center"/>
              <w:rPr>
                <w:color w:val="000000"/>
                <w:sz w:val="22"/>
                <w:szCs w:val="22"/>
              </w:rPr>
            </w:pPr>
            <w:r>
              <w:rPr>
                <w:color w:val="000000"/>
                <w:sz w:val="22"/>
                <w:szCs w:val="22"/>
              </w:rPr>
              <w:t>KL-14:09</w:t>
            </w:r>
          </w:p>
        </w:tc>
        <w:tc>
          <w:tcPr>
            <w:tcW w:w="1147" w:type="dxa"/>
            <w:vAlign w:val="center"/>
          </w:tcPr>
          <w:p w14:paraId="3CBC90DC">
            <w:pPr>
              <w:jc w:val="center"/>
              <w:rPr>
                <w:color w:val="000000"/>
                <w:sz w:val="22"/>
                <w:szCs w:val="22"/>
              </w:rPr>
            </w:pPr>
            <w:r>
              <w:rPr>
                <w:color w:val="000000"/>
                <w:sz w:val="22"/>
                <w:szCs w:val="22"/>
              </w:rPr>
              <w:t>91,91</w:t>
            </w:r>
          </w:p>
        </w:tc>
        <w:tc>
          <w:tcPr>
            <w:tcW w:w="1098" w:type="dxa"/>
            <w:vAlign w:val="center"/>
          </w:tcPr>
          <w:p w14:paraId="290E237C">
            <w:pPr>
              <w:jc w:val="center"/>
              <w:rPr>
                <w:color w:val="000000"/>
                <w:sz w:val="22"/>
                <w:szCs w:val="22"/>
              </w:rPr>
            </w:pPr>
            <w:r>
              <w:rPr>
                <w:color w:val="000000"/>
                <w:sz w:val="22"/>
                <w:szCs w:val="22"/>
              </w:rPr>
              <w:t>78,68</w:t>
            </w:r>
          </w:p>
        </w:tc>
        <w:tc>
          <w:tcPr>
            <w:tcW w:w="1134" w:type="dxa"/>
            <w:vAlign w:val="center"/>
          </w:tcPr>
          <w:p w14:paraId="1E74248A">
            <w:pPr>
              <w:jc w:val="center"/>
              <w:rPr>
                <w:color w:val="000000"/>
                <w:sz w:val="22"/>
                <w:szCs w:val="22"/>
              </w:rPr>
            </w:pPr>
            <w:r>
              <w:rPr>
                <w:color w:val="000000"/>
                <w:sz w:val="22"/>
                <w:szCs w:val="22"/>
              </w:rPr>
              <w:t>85,6</w:t>
            </w:r>
          </w:p>
        </w:tc>
        <w:tc>
          <w:tcPr>
            <w:tcW w:w="706" w:type="dxa"/>
            <w:vAlign w:val="center"/>
          </w:tcPr>
          <w:p w14:paraId="68AA8976">
            <w:pPr>
              <w:jc w:val="center"/>
              <w:rPr>
                <w:color w:val="000000"/>
                <w:sz w:val="22"/>
                <w:szCs w:val="22"/>
              </w:rPr>
            </w:pPr>
            <w:r>
              <w:rPr>
                <w:color w:val="000000"/>
                <w:sz w:val="22"/>
                <w:szCs w:val="22"/>
              </w:rPr>
              <w:t>4,0</w:t>
            </w:r>
          </w:p>
        </w:tc>
        <w:tc>
          <w:tcPr>
            <w:tcW w:w="1278" w:type="dxa"/>
            <w:vAlign w:val="center"/>
          </w:tcPr>
          <w:p w14:paraId="71687112">
            <w:pPr>
              <w:jc w:val="center"/>
              <w:rPr>
                <w:color w:val="000000"/>
                <w:sz w:val="22"/>
                <w:szCs w:val="22"/>
              </w:rPr>
            </w:pPr>
            <w:r>
              <w:rPr>
                <w:color w:val="000000"/>
                <w:sz w:val="22"/>
                <w:szCs w:val="22"/>
              </w:rPr>
              <w:t>302,42</w:t>
            </w:r>
          </w:p>
        </w:tc>
        <w:tc>
          <w:tcPr>
            <w:tcW w:w="851" w:type="dxa"/>
            <w:vAlign w:val="center"/>
          </w:tcPr>
          <w:p w14:paraId="4EC6AD62">
            <w:pPr>
              <w:jc w:val="center"/>
              <w:rPr>
                <w:color w:val="000000"/>
                <w:sz w:val="22"/>
                <w:szCs w:val="22"/>
              </w:rPr>
            </w:pPr>
            <w:r>
              <w:rPr>
                <w:color w:val="000000"/>
                <w:sz w:val="22"/>
                <w:szCs w:val="22"/>
              </w:rPr>
              <w:t>3,3</w:t>
            </w:r>
          </w:p>
        </w:tc>
        <w:tc>
          <w:tcPr>
            <w:tcW w:w="850" w:type="dxa"/>
            <w:vAlign w:val="center"/>
          </w:tcPr>
          <w:p w14:paraId="36F66D88">
            <w:pPr>
              <w:jc w:val="center"/>
              <w:rPr>
                <w:color w:val="000000"/>
                <w:sz w:val="22"/>
                <w:szCs w:val="22"/>
              </w:rPr>
            </w:pPr>
            <w:r>
              <w:rPr>
                <w:color w:val="000000"/>
                <w:sz w:val="22"/>
                <w:szCs w:val="22"/>
              </w:rPr>
              <w:t>ĐH2</w:t>
            </w:r>
          </w:p>
        </w:tc>
      </w:tr>
      <w:tr w14:paraId="7CE8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4BF97C6A">
            <w:pPr>
              <w:jc w:val="center"/>
              <w:rPr>
                <w:b/>
                <w:bCs/>
                <w:color w:val="000000"/>
                <w:sz w:val="22"/>
                <w:szCs w:val="22"/>
              </w:rPr>
            </w:pPr>
            <w:r>
              <w:rPr>
                <w:b/>
                <w:bCs/>
                <w:color w:val="000000"/>
                <w:sz w:val="22"/>
                <w:szCs w:val="22"/>
              </w:rPr>
              <w:t>Tổng</w:t>
            </w:r>
          </w:p>
        </w:tc>
        <w:tc>
          <w:tcPr>
            <w:tcW w:w="1121" w:type="dxa"/>
            <w:noWrap/>
            <w:vAlign w:val="center"/>
          </w:tcPr>
          <w:p w14:paraId="3D26CDD1">
            <w:pPr>
              <w:jc w:val="center"/>
              <w:rPr>
                <w:b/>
                <w:bCs/>
                <w:color w:val="000000"/>
                <w:sz w:val="22"/>
                <w:szCs w:val="22"/>
              </w:rPr>
            </w:pPr>
            <w:r>
              <w:rPr>
                <w:b/>
                <w:bCs/>
                <w:color w:val="000000"/>
                <w:sz w:val="22"/>
                <w:szCs w:val="22"/>
              </w:rPr>
              <w:t>KL-14</w:t>
            </w:r>
          </w:p>
        </w:tc>
        <w:tc>
          <w:tcPr>
            <w:tcW w:w="1147" w:type="dxa"/>
            <w:vAlign w:val="center"/>
          </w:tcPr>
          <w:p w14:paraId="14B2A691">
            <w:pPr>
              <w:jc w:val="center"/>
              <w:rPr>
                <w:b/>
                <w:bCs/>
                <w:color w:val="000000"/>
                <w:sz w:val="22"/>
                <w:szCs w:val="22"/>
              </w:rPr>
            </w:pPr>
            <w:r>
              <w:rPr>
                <w:b/>
                <w:bCs/>
                <w:color w:val="000000"/>
                <w:sz w:val="22"/>
                <w:szCs w:val="22"/>
              </w:rPr>
              <w:t>1044,12</w:t>
            </w:r>
          </w:p>
        </w:tc>
        <w:tc>
          <w:tcPr>
            <w:tcW w:w="1098" w:type="dxa"/>
            <w:vAlign w:val="center"/>
          </w:tcPr>
          <w:p w14:paraId="24ACC1C6">
            <w:pPr>
              <w:jc w:val="center"/>
              <w:rPr>
                <w:b/>
                <w:bCs/>
                <w:color w:val="000000"/>
                <w:sz w:val="22"/>
                <w:szCs w:val="22"/>
              </w:rPr>
            </w:pPr>
            <w:r>
              <w:rPr>
                <w:b/>
                <w:bCs/>
                <w:color w:val="000000"/>
                <w:sz w:val="22"/>
                <w:szCs w:val="22"/>
              </w:rPr>
              <w:t>736,5</w:t>
            </w:r>
          </w:p>
        </w:tc>
        <w:tc>
          <w:tcPr>
            <w:tcW w:w="1134" w:type="dxa"/>
            <w:vAlign w:val="center"/>
          </w:tcPr>
          <w:p w14:paraId="12928C25">
            <w:pPr>
              <w:jc w:val="center"/>
              <w:rPr>
                <w:b/>
                <w:bCs/>
                <w:color w:val="000000"/>
                <w:sz w:val="22"/>
                <w:szCs w:val="22"/>
              </w:rPr>
            </w:pPr>
            <w:r>
              <w:rPr>
                <w:b/>
                <w:bCs/>
                <w:color w:val="000000"/>
                <w:sz w:val="22"/>
                <w:szCs w:val="22"/>
              </w:rPr>
              <w:t>70,5</w:t>
            </w:r>
          </w:p>
        </w:tc>
        <w:tc>
          <w:tcPr>
            <w:tcW w:w="706" w:type="dxa"/>
            <w:vAlign w:val="center"/>
          </w:tcPr>
          <w:p w14:paraId="1B17184C">
            <w:pPr>
              <w:jc w:val="center"/>
              <w:rPr>
                <w:color w:val="000000"/>
                <w:sz w:val="22"/>
                <w:szCs w:val="22"/>
              </w:rPr>
            </w:pPr>
          </w:p>
        </w:tc>
        <w:tc>
          <w:tcPr>
            <w:tcW w:w="1278" w:type="dxa"/>
            <w:vAlign w:val="center"/>
          </w:tcPr>
          <w:p w14:paraId="600BDF91">
            <w:pPr>
              <w:jc w:val="center"/>
              <w:rPr>
                <w:b/>
                <w:bCs/>
                <w:color w:val="000000"/>
                <w:sz w:val="22"/>
                <w:szCs w:val="22"/>
              </w:rPr>
            </w:pPr>
            <w:r>
              <w:rPr>
                <w:b/>
                <w:bCs/>
                <w:color w:val="000000"/>
                <w:sz w:val="22"/>
                <w:szCs w:val="22"/>
              </w:rPr>
              <w:t>2.874,2</w:t>
            </w:r>
          </w:p>
        </w:tc>
        <w:tc>
          <w:tcPr>
            <w:tcW w:w="851" w:type="dxa"/>
            <w:vAlign w:val="center"/>
          </w:tcPr>
          <w:p w14:paraId="428CB436">
            <w:pPr>
              <w:jc w:val="center"/>
              <w:rPr>
                <w:b/>
                <w:bCs/>
                <w:color w:val="000000"/>
                <w:sz w:val="22"/>
                <w:szCs w:val="22"/>
              </w:rPr>
            </w:pPr>
            <w:r>
              <w:rPr>
                <w:b/>
                <w:bCs/>
                <w:color w:val="000000"/>
                <w:sz w:val="22"/>
                <w:szCs w:val="22"/>
              </w:rPr>
              <w:t>2,8</w:t>
            </w:r>
          </w:p>
        </w:tc>
        <w:tc>
          <w:tcPr>
            <w:tcW w:w="850" w:type="dxa"/>
            <w:vAlign w:val="center"/>
          </w:tcPr>
          <w:p w14:paraId="2AEA6318">
            <w:pPr>
              <w:jc w:val="center"/>
              <w:rPr>
                <w:color w:val="000000"/>
                <w:sz w:val="22"/>
                <w:szCs w:val="22"/>
              </w:rPr>
            </w:pPr>
          </w:p>
        </w:tc>
      </w:tr>
      <w:tr w14:paraId="6BBE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7A434ED6">
            <w:pPr>
              <w:jc w:val="center"/>
              <w:rPr>
                <w:b/>
                <w:bCs/>
                <w:color w:val="000000"/>
                <w:sz w:val="22"/>
                <w:szCs w:val="22"/>
              </w:rPr>
            </w:pPr>
            <w:r>
              <w:rPr>
                <w:b/>
                <w:bCs/>
                <w:color w:val="000000"/>
                <w:sz w:val="22"/>
                <w:szCs w:val="22"/>
              </w:rPr>
              <w:t>LK16</w:t>
            </w:r>
          </w:p>
        </w:tc>
        <w:tc>
          <w:tcPr>
            <w:tcW w:w="1121" w:type="dxa"/>
            <w:noWrap/>
            <w:vAlign w:val="center"/>
          </w:tcPr>
          <w:p w14:paraId="033453DE">
            <w:pPr>
              <w:jc w:val="center"/>
              <w:rPr>
                <w:b/>
                <w:bCs/>
                <w:color w:val="000000"/>
                <w:sz w:val="22"/>
                <w:szCs w:val="22"/>
              </w:rPr>
            </w:pPr>
            <w:r>
              <w:rPr>
                <w:b/>
                <w:bCs/>
                <w:color w:val="000000"/>
                <w:sz w:val="22"/>
                <w:szCs w:val="22"/>
              </w:rPr>
              <w:t>KL-16:09</w:t>
            </w:r>
          </w:p>
        </w:tc>
        <w:tc>
          <w:tcPr>
            <w:tcW w:w="1147" w:type="dxa"/>
            <w:vAlign w:val="center"/>
          </w:tcPr>
          <w:p w14:paraId="09822353">
            <w:pPr>
              <w:jc w:val="center"/>
              <w:rPr>
                <w:b/>
                <w:bCs/>
                <w:color w:val="000000"/>
                <w:sz w:val="22"/>
                <w:szCs w:val="22"/>
              </w:rPr>
            </w:pPr>
            <w:r>
              <w:rPr>
                <w:b/>
                <w:bCs/>
                <w:color w:val="000000"/>
                <w:sz w:val="22"/>
                <w:szCs w:val="22"/>
              </w:rPr>
              <w:t>179,73</w:t>
            </w:r>
          </w:p>
        </w:tc>
        <w:tc>
          <w:tcPr>
            <w:tcW w:w="1098" w:type="dxa"/>
            <w:vAlign w:val="center"/>
          </w:tcPr>
          <w:p w14:paraId="6091D90E">
            <w:pPr>
              <w:jc w:val="center"/>
              <w:rPr>
                <w:color w:val="000000"/>
                <w:sz w:val="22"/>
                <w:szCs w:val="22"/>
              </w:rPr>
            </w:pPr>
            <w:r>
              <w:rPr>
                <w:color w:val="000000"/>
                <w:sz w:val="22"/>
                <w:szCs w:val="22"/>
              </w:rPr>
              <w:t>107,07</w:t>
            </w:r>
          </w:p>
        </w:tc>
        <w:tc>
          <w:tcPr>
            <w:tcW w:w="1134" w:type="dxa"/>
            <w:noWrap/>
            <w:vAlign w:val="center"/>
          </w:tcPr>
          <w:p w14:paraId="5640DDDE">
            <w:pPr>
              <w:jc w:val="center"/>
              <w:rPr>
                <w:b/>
                <w:bCs/>
                <w:color w:val="000000"/>
                <w:sz w:val="22"/>
                <w:szCs w:val="22"/>
              </w:rPr>
            </w:pPr>
            <w:r>
              <w:rPr>
                <w:b/>
                <w:bCs/>
                <w:color w:val="000000"/>
                <w:sz w:val="22"/>
                <w:szCs w:val="22"/>
              </w:rPr>
              <w:t>59,57</w:t>
            </w:r>
          </w:p>
        </w:tc>
        <w:tc>
          <w:tcPr>
            <w:tcW w:w="706" w:type="dxa"/>
            <w:noWrap/>
            <w:vAlign w:val="center"/>
          </w:tcPr>
          <w:p w14:paraId="118C7EDE">
            <w:pPr>
              <w:jc w:val="center"/>
              <w:rPr>
                <w:b/>
                <w:bCs/>
                <w:color w:val="000000"/>
                <w:sz w:val="22"/>
                <w:szCs w:val="22"/>
              </w:rPr>
            </w:pPr>
            <w:r>
              <w:rPr>
                <w:b/>
                <w:bCs/>
                <w:color w:val="000000"/>
                <w:sz w:val="22"/>
                <w:szCs w:val="22"/>
              </w:rPr>
              <w:t>4</w:t>
            </w:r>
          </w:p>
        </w:tc>
        <w:tc>
          <w:tcPr>
            <w:tcW w:w="1278" w:type="dxa"/>
            <w:vAlign w:val="center"/>
          </w:tcPr>
          <w:p w14:paraId="55EBCFBB">
            <w:pPr>
              <w:jc w:val="center"/>
              <w:rPr>
                <w:color w:val="000000"/>
                <w:sz w:val="22"/>
                <w:szCs w:val="22"/>
              </w:rPr>
            </w:pPr>
            <w:r>
              <w:rPr>
                <w:color w:val="000000"/>
                <w:sz w:val="22"/>
                <w:szCs w:val="22"/>
              </w:rPr>
              <w:t>454,8</w:t>
            </w:r>
          </w:p>
        </w:tc>
        <w:tc>
          <w:tcPr>
            <w:tcW w:w="851" w:type="dxa"/>
            <w:noWrap/>
            <w:vAlign w:val="center"/>
          </w:tcPr>
          <w:p w14:paraId="528D24E8">
            <w:pPr>
              <w:jc w:val="center"/>
              <w:rPr>
                <w:b/>
                <w:bCs/>
                <w:color w:val="000000"/>
                <w:sz w:val="22"/>
                <w:szCs w:val="22"/>
              </w:rPr>
            </w:pPr>
            <w:r>
              <w:rPr>
                <w:b/>
                <w:bCs/>
                <w:color w:val="000000"/>
                <w:sz w:val="22"/>
                <w:szCs w:val="22"/>
              </w:rPr>
              <w:t>2,5</w:t>
            </w:r>
          </w:p>
        </w:tc>
        <w:tc>
          <w:tcPr>
            <w:tcW w:w="850" w:type="dxa"/>
            <w:vAlign w:val="center"/>
          </w:tcPr>
          <w:p w14:paraId="0BCDA84F">
            <w:pPr>
              <w:jc w:val="center"/>
              <w:rPr>
                <w:color w:val="000000"/>
                <w:sz w:val="22"/>
                <w:szCs w:val="22"/>
              </w:rPr>
            </w:pPr>
            <w:r>
              <w:rPr>
                <w:color w:val="000000"/>
                <w:sz w:val="22"/>
                <w:szCs w:val="22"/>
              </w:rPr>
              <w:t>LG2</w:t>
            </w:r>
          </w:p>
        </w:tc>
      </w:tr>
      <w:tr w14:paraId="58BF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08EF1A8A">
            <w:pPr>
              <w:jc w:val="center"/>
              <w:rPr>
                <w:color w:val="000000"/>
                <w:sz w:val="22"/>
                <w:szCs w:val="22"/>
              </w:rPr>
            </w:pPr>
          </w:p>
        </w:tc>
        <w:tc>
          <w:tcPr>
            <w:tcW w:w="1121" w:type="dxa"/>
            <w:noWrap/>
            <w:vAlign w:val="center"/>
          </w:tcPr>
          <w:p w14:paraId="57D9E3CB">
            <w:pPr>
              <w:jc w:val="center"/>
              <w:rPr>
                <w:color w:val="000000"/>
                <w:sz w:val="22"/>
                <w:szCs w:val="22"/>
              </w:rPr>
            </w:pPr>
            <w:r>
              <w:rPr>
                <w:color w:val="000000"/>
                <w:sz w:val="22"/>
                <w:szCs w:val="22"/>
              </w:rPr>
              <w:t>KL-17:02</w:t>
            </w:r>
          </w:p>
        </w:tc>
        <w:tc>
          <w:tcPr>
            <w:tcW w:w="1147" w:type="dxa"/>
            <w:vAlign w:val="center"/>
          </w:tcPr>
          <w:p w14:paraId="5D04BD68">
            <w:pPr>
              <w:jc w:val="center"/>
              <w:rPr>
                <w:color w:val="000000"/>
                <w:sz w:val="22"/>
                <w:szCs w:val="22"/>
              </w:rPr>
            </w:pPr>
            <w:r>
              <w:rPr>
                <w:color w:val="000000"/>
                <w:sz w:val="22"/>
                <w:szCs w:val="22"/>
              </w:rPr>
              <w:t>90,00</w:t>
            </w:r>
          </w:p>
        </w:tc>
        <w:tc>
          <w:tcPr>
            <w:tcW w:w="1098" w:type="dxa"/>
            <w:vAlign w:val="center"/>
          </w:tcPr>
          <w:p w14:paraId="19E336BE">
            <w:pPr>
              <w:jc w:val="center"/>
              <w:rPr>
                <w:color w:val="000000"/>
                <w:sz w:val="22"/>
                <w:szCs w:val="22"/>
              </w:rPr>
            </w:pPr>
            <w:r>
              <w:rPr>
                <w:color w:val="000000"/>
                <w:sz w:val="22"/>
                <w:szCs w:val="22"/>
              </w:rPr>
              <w:t>78,68</w:t>
            </w:r>
          </w:p>
        </w:tc>
        <w:tc>
          <w:tcPr>
            <w:tcW w:w="1134" w:type="dxa"/>
            <w:vAlign w:val="center"/>
          </w:tcPr>
          <w:p w14:paraId="3CB7E972">
            <w:pPr>
              <w:jc w:val="center"/>
              <w:rPr>
                <w:color w:val="000000"/>
                <w:sz w:val="22"/>
                <w:szCs w:val="22"/>
              </w:rPr>
            </w:pPr>
            <w:r>
              <w:rPr>
                <w:color w:val="000000"/>
                <w:sz w:val="22"/>
                <w:szCs w:val="22"/>
              </w:rPr>
              <w:t>87,4</w:t>
            </w:r>
          </w:p>
        </w:tc>
        <w:tc>
          <w:tcPr>
            <w:tcW w:w="706" w:type="dxa"/>
            <w:vAlign w:val="center"/>
          </w:tcPr>
          <w:p w14:paraId="76838CC2">
            <w:pPr>
              <w:jc w:val="center"/>
              <w:rPr>
                <w:color w:val="000000"/>
                <w:sz w:val="22"/>
                <w:szCs w:val="22"/>
              </w:rPr>
            </w:pPr>
            <w:r>
              <w:rPr>
                <w:color w:val="000000"/>
                <w:sz w:val="22"/>
                <w:szCs w:val="22"/>
              </w:rPr>
              <w:t>4,0</w:t>
            </w:r>
          </w:p>
        </w:tc>
        <w:tc>
          <w:tcPr>
            <w:tcW w:w="1278" w:type="dxa"/>
            <w:vAlign w:val="center"/>
          </w:tcPr>
          <w:p w14:paraId="2FBBE038">
            <w:pPr>
              <w:jc w:val="center"/>
              <w:rPr>
                <w:color w:val="000000"/>
                <w:sz w:val="22"/>
                <w:szCs w:val="22"/>
              </w:rPr>
            </w:pPr>
            <w:r>
              <w:rPr>
                <w:color w:val="000000"/>
                <w:sz w:val="22"/>
                <w:szCs w:val="22"/>
              </w:rPr>
              <w:t>302,42</w:t>
            </w:r>
          </w:p>
        </w:tc>
        <w:tc>
          <w:tcPr>
            <w:tcW w:w="851" w:type="dxa"/>
            <w:vAlign w:val="center"/>
          </w:tcPr>
          <w:p w14:paraId="559593FE">
            <w:pPr>
              <w:jc w:val="center"/>
              <w:rPr>
                <w:color w:val="000000"/>
                <w:sz w:val="22"/>
                <w:szCs w:val="22"/>
              </w:rPr>
            </w:pPr>
            <w:r>
              <w:rPr>
                <w:color w:val="000000"/>
                <w:sz w:val="22"/>
                <w:szCs w:val="22"/>
              </w:rPr>
              <w:t>3,4</w:t>
            </w:r>
          </w:p>
        </w:tc>
        <w:tc>
          <w:tcPr>
            <w:tcW w:w="850" w:type="dxa"/>
            <w:vAlign w:val="center"/>
          </w:tcPr>
          <w:p w14:paraId="665B5455">
            <w:pPr>
              <w:jc w:val="center"/>
              <w:rPr>
                <w:color w:val="000000"/>
                <w:sz w:val="22"/>
                <w:szCs w:val="22"/>
              </w:rPr>
            </w:pPr>
            <w:r>
              <w:rPr>
                <w:color w:val="000000"/>
                <w:sz w:val="22"/>
                <w:szCs w:val="22"/>
              </w:rPr>
              <w:t>ĐH2</w:t>
            </w:r>
          </w:p>
        </w:tc>
      </w:tr>
      <w:tr w14:paraId="2892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9E06EF1">
            <w:pPr>
              <w:jc w:val="center"/>
              <w:rPr>
                <w:color w:val="000000"/>
                <w:sz w:val="22"/>
                <w:szCs w:val="22"/>
              </w:rPr>
            </w:pPr>
          </w:p>
        </w:tc>
        <w:tc>
          <w:tcPr>
            <w:tcW w:w="1121" w:type="dxa"/>
            <w:noWrap/>
            <w:vAlign w:val="center"/>
          </w:tcPr>
          <w:p w14:paraId="720CF1E2">
            <w:pPr>
              <w:jc w:val="center"/>
              <w:rPr>
                <w:color w:val="000000"/>
                <w:sz w:val="22"/>
                <w:szCs w:val="22"/>
              </w:rPr>
            </w:pPr>
            <w:r>
              <w:rPr>
                <w:color w:val="000000"/>
                <w:sz w:val="22"/>
                <w:szCs w:val="22"/>
              </w:rPr>
              <w:t>KL-17:03</w:t>
            </w:r>
          </w:p>
        </w:tc>
        <w:tc>
          <w:tcPr>
            <w:tcW w:w="1147" w:type="dxa"/>
            <w:vAlign w:val="center"/>
          </w:tcPr>
          <w:p w14:paraId="75A85F3D">
            <w:pPr>
              <w:jc w:val="center"/>
              <w:rPr>
                <w:color w:val="000000"/>
                <w:sz w:val="22"/>
                <w:szCs w:val="22"/>
              </w:rPr>
            </w:pPr>
            <w:r>
              <w:rPr>
                <w:color w:val="000000"/>
                <w:sz w:val="22"/>
                <w:szCs w:val="22"/>
              </w:rPr>
              <w:t>90,00</w:t>
            </w:r>
          </w:p>
        </w:tc>
        <w:tc>
          <w:tcPr>
            <w:tcW w:w="1098" w:type="dxa"/>
            <w:vAlign w:val="center"/>
          </w:tcPr>
          <w:p w14:paraId="575A95FA">
            <w:pPr>
              <w:jc w:val="center"/>
              <w:rPr>
                <w:color w:val="000000"/>
                <w:sz w:val="22"/>
                <w:szCs w:val="22"/>
              </w:rPr>
            </w:pPr>
            <w:r>
              <w:rPr>
                <w:color w:val="000000"/>
                <w:sz w:val="22"/>
                <w:szCs w:val="22"/>
              </w:rPr>
              <w:t>78,68</w:t>
            </w:r>
          </w:p>
        </w:tc>
        <w:tc>
          <w:tcPr>
            <w:tcW w:w="1134" w:type="dxa"/>
            <w:vAlign w:val="center"/>
          </w:tcPr>
          <w:p w14:paraId="49388A89">
            <w:pPr>
              <w:jc w:val="center"/>
              <w:rPr>
                <w:color w:val="000000"/>
                <w:sz w:val="22"/>
                <w:szCs w:val="22"/>
              </w:rPr>
            </w:pPr>
            <w:r>
              <w:rPr>
                <w:color w:val="000000"/>
                <w:sz w:val="22"/>
                <w:szCs w:val="22"/>
              </w:rPr>
              <w:t>87,4</w:t>
            </w:r>
          </w:p>
        </w:tc>
        <w:tc>
          <w:tcPr>
            <w:tcW w:w="706" w:type="dxa"/>
            <w:vAlign w:val="center"/>
          </w:tcPr>
          <w:p w14:paraId="19278722">
            <w:pPr>
              <w:jc w:val="center"/>
              <w:rPr>
                <w:color w:val="000000"/>
                <w:sz w:val="22"/>
                <w:szCs w:val="22"/>
              </w:rPr>
            </w:pPr>
            <w:r>
              <w:rPr>
                <w:color w:val="000000"/>
                <w:sz w:val="22"/>
                <w:szCs w:val="22"/>
              </w:rPr>
              <w:t>4,0</w:t>
            </w:r>
          </w:p>
        </w:tc>
        <w:tc>
          <w:tcPr>
            <w:tcW w:w="1278" w:type="dxa"/>
            <w:vAlign w:val="center"/>
          </w:tcPr>
          <w:p w14:paraId="1C77E345">
            <w:pPr>
              <w:jc w:val="center"/>
              <w:rPr>
                <w:color w:val="000000"/>
                <w:sz w:val="22"/>
                <w:szCs w:val="22"/>
              </w:rPr>
            </w:pPr>
            <w:r>
              <w:rPr>
                <w:color w:val="000000"/>
                <w:sz w:val="22"/>
                <w:szCs w:val="22"/>
              </w:rPr>
              <w:t>302,42</w:t>
            </w:r>
          </w:p>
        </w:tc>
        <w:tc>
          <w:tcPr>
            <w:tcW w:w="851" w:type="dxa"/>
            <w:vAlign w:val="center"/>
          </w:tcPr>
          <w:p w14:paraId="3E567F38">
            <w:pPr>
              <w:jc w:val="center"/>
              <w:rPr>
                <w:color w:val="000000"/>
                <w:sz w:val="22"/>
                <w:szCs w:val="22"/>
              </w:rPr>
            </w:pPr>
            <w:r>
              <w:rPr>
                <w:color w:val="000000"/>
                <w:sz w:val="22"/>
                <w:szCs w:val="22"/>
              </w:rPr>
              <w:t>3,4</w:t>
            </w:r>
          </w:p>
        </w:tc>
        <w:tc>
          <w:tcPr>
            <w:tcW w:w="850" w:type="dxa"/>
            <w:vAlign w:val="center"/>
          </w:tcPr>
          <w:p w14:paraId="175B672E">
            <w:pPr>
              <w:jc w:val="center"/>
              <w:rPr>
                <w:color w:val="000000"/>
                <w:sz w:val="22"/>
                <w:szCs w:val="22"/>
              </w:rPr>
            </w:pPr>
            <w:r>
              <w:rPr>
                <w:color w:val="000000"/>
                <w:sz w:val="22"/>
                <w:szCs w:val="22"/>
              </w:rPr>
              <w:t>ĐH2</w:t>
            </w:r>
          </w:p>
        </w:tc>
      </w:tr>
      <w:tr w14:paraId="43BE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665A508">
            <w:pPr>
              <w:jc w:val="center"/>
              <w:rPr>
                <w:color w:val="000000"/>
                <w:sz w:val="22"/>
                <w:szCs w:val="22"/>
              </w:rPr>
            </w:pPr>
          </w:p>
        </w:tc>
        <w:tc>
          <w:tcPr>
            <w:tcW w:w="1121" w:type="dxa"/>
            <w:noWrap/>
            <w:vAlign w:val="center"/>
          </w:tcPr>
          <w:p w14:paraId="0478E9BE">
            <w:pPr>
              <w:jc w:val="center"/>
              <w:rPr>
                <w:color w:val="000000"/>
                <w:sz w:val="22"/>
                <w:szCs w:val="22"/>
              </w:rPr>
            </w:pPr>
            <w:r>
              <w:rPr>
                <w:color w:val="000000"/>
                <w:sz w:val="22"/>
                <w:szCs w:val="22"/>
              </w:rPr>
              <w:t>KL-17:04</w:t>
            </w:r>
          </w:p>
        </w:tc>
        <w:tc>
          <w:tcPr>
            <w:tcW w:w="1147" w:type="dxa"/>
            <w:vAlign w:val="center"/>
          </w:tcPr>
          <w:p w14:paraId="2DABDC97">
            <w:pPr>
              <w:jc w:val="center"/>
              <w:rPr>
                <w:color w:val="000000"/>
                <w:sz w:val="22"/>
                <w:szCs w:val="22"/>
              </w:rPr>
            </w:pPr>
            <w:r>
              <w:rPr>
                <w:color w:val="000000"/>
                <w:sz w:val="22"/>
                <w:szCs w:val="22"/>
              </w:rPr>
              <w:t>90,00</w:t>
            </w:r>
          </w:p>
        </w:tc>
        <w:tc>
          <w:tcPr>
            <w:tcW w:w="1098" w:type="dxa"/>
            <w:vAlign w:val="center"/>
          </w:tcPr>
          <w:p w14:paraId="353A5A08">
            <w:pPr>
              <w:jc w:val="center"/>
              <w:rPr>
                <w:color w:val="000000"/>
                <w:sz w:val="22"/>
                <w:szCs w:val="22"/>
              </w:rPr>
            </w:pPr>
            <w:r>
              <w:rPr>
                <w:color w:val="000000"/>
                <w:sz w:val="22"/>
                <w:szCs w:val="22"/>
              </w:rPr>
              <w:t>78,68</w:t>
            </w:r>
          </w:p>
        </w:tc>
        <w:tc>
          <w:tcPr>
            <w:tcW w:w="1134" w:type="dxa"/>
            <w:vAlign w:val="center"/>
          </w:tcPr>
          <w:p w14:paraId="1A9CC232">
            <w:pPr>
              <w:jc w:val="center"/>
              <w:rPr>
                <w:color w:val="000000"/>
                <w:sz w:val="22"/>
                <w:szCs w:val="22"/>
              </w:rPr>
            </w:pPr>
            <w:r>
              <w:rPr>
                <w:color w:val="000000"/>
                <w:sz w:val="22"/>
                <w:szCs w:val="22"/>
              </w:rPr>
              <w:t>87,4</w:t>
            </w:r>
          </w:p>
        </w:tc>
        <w:tc>
          <w:tcPr>
            <w:tcW w:w="706" w:type="dxa"/>
            <w:vAlign w:val="center"/>
          </w:tcPr>
          <w:p w14:paraId="0AD2B11D">
            <w:pPr>
              <w:jc w:val="center"/>
              <w:rPr>
                <w:color w:val="000000"/>
                <w:sz w:val="22"/>
                <w:szCs w:val="22"/>
              </w:rPr>
            </w:pPr>
            <w:r>
              <w:rPr>
                <w:color w:val="000000"/>
                <w:sz w:val="22"/>
                <w:szCs w:val="22"/>
              </w:rPr>
              <w:t>4,0</w:t>
            </w:r>
          </w:p>
        </w:tc>
        <w:tc>
          <w:tcPr>
            <w:tcW w:w="1278" w:type="dxa"/>
            <w:vAlign w:val="center"/>
          </w:tcPr>
          <w:p w14:paraId="4FE15ACF">
            <w:pPr>
              <w:jc w:val="center"/>
              <w:rPr>
                <w:color w:val="000000"/>
                <w:sz w:val="22"/>
                <w:szCs w:val="22"/>
              </w:rPr>
            </w:pPr>
            <w:r>
              <w:rPr>
                <w:color w:val="000000"/>
                <w:sz w:val="22"/>
                <w:szCs w:val="22"/>
              </w:rPr>
              <w:t>302,42</w:t>
            </w:r>
          </w:p>
        </w:tc>
        <w:tc>
          <w:tcPr>
            <w:tcW w:w="851" w:type="dxa"/>
            <w:vAlign w:val="center"/>
          </w:tcPr>
          <w:p w14:paraId="136596A9">
            <w:pPr>
              <w:jc w:val="center"/>
              <w:rPr>
                <w:color w:val="000000"/>
                <w:sz w:val="22"/>
                <w:szCs w:val="22"/>
              </w:rPr>
            </w:pPr>
            <w:r>
              <w:rPr>
                <w:color w:val="000000"/>
                <w:sz w:val="22"/>
                <w:szCs w:val="22"/>
              </w:rPr>
              <w:t>3,4</w:t>
            </w:r>
          </w:p>
        </w:tc>
        <w:tc>
          <w:tcPr>
            <w:tcW w:w="850" w:type="dxa"/>
            <w:vAlign w:val="center"/>
          </w:tcPr>
          <w:p w14:paraId="3B51949B">
            <w:pPr>
              <w:jc w:val="center"/>
              <w:rPr>
                <w:color w:val="000000"/>
                <w:sz w:val="22"/>
                <w:szCs w:val="22"/>
              </w:rPr>
            </w:pPr>
            <w:r>
              <w:rPr>
                <w:color w:val="000000"/>
                <w:sz w:val="22"/>
                <w:szCs w:val="22"/>
              </w:rPr>
              <w:t>ĐH2</w:t>
            </w:r>
          </w:p>
        </w:tc>
      </w:tr>
      <w:tr w14:paraId="7841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B126002">
            <w:pPr>
              <w:jc w:val="center"/>
              <w:rPr>
                <w:color w:val="000000"/>
                <w:sz w:val="22"/>
                <w:szCs w:val="22"/>
              </w:rPr>
            </w:pPr>
          </w:p>
        </w:tc>
        <w:tc>
          <w:tcPr>
            <w:tcW w:w="1121" w:type="dxa"/>
            <w:noWrap/>
            <w:vAlign w:val="center"/>
          </w:tcPr>
          <w:p w14:paraId="5AF9D689">
            <w:pPr>
              <w:jc w:val="center"/>
              <w:rPr>
                <w:color w:val="000000"/>
                <w:sz w:val="22"/>
                <w:szCs w:val="22"/>
              </w:rPr>
            </w:pPr>
            <w:r>
              <w:rPr>
                <w:color w:val="000000"/>
                <w:sz w:val="22"/>
                <w:szCs w:val="22"/>
              </w:rPr>
              <w:t>KL-17:05</w:t>
            </w:r>
          </w:p>
        </w:tc>
        <w:tc>
          <w:tcPr>
            <w:tcW w:w="1147" w:type="dxa"/>
            <w:vAlign w:val="center"/>
          </w:tcPr>
          <w:p w14:paraId="3DA82D3F">
            <w:pPr>
              <w:jc w:val="center"/>
              <w:rPr>
                <w:color w:val="000000"/>
                <w:sz w:val="22"/>
                <w:szCs w:val="22"/>
              </w:rPr>
            </w:pPr>
            <w:r>
              <w:rPr>
                <w:color w:val="000000"/>
                <w:sz w:val="22"/>
                <w:szCs w:val="22"/>
              </w:rPr>
              <w:t>90,00</w:t>
            </w:r>
          </w:p>
        </w:tc>
        <w:tc>
          <w:tcPr>
            <w:tcW w:w="1098" w:type="dxa"/>
            <w:vAlign w:val="center"/>
          </w:tcPr>
          <w:p w14:paraId="77DC9DCE">
            <w:pPr>
              <w:jc w:val="center"/>
              <w:rPr>
                <w:color w:val="000000"/>
                <w:sz w:val="22"/>
                <w:szCs w:val="22"/>
              </w:rPr>
            </w:pPr>
            <w:r>
              <w:rPr>
                <w:color w:val="000000"/>
                <w:sz w:val="22"/>
                <w:szCs w:val="22"/>
              </w:rPr>
              <w:t>78,68</w:t>
            </w:r>
          </w:p>
        </w:tc>
        <w:tc>
          <w:tcPr>
            <w:tcW w:w="1134" w:type="dxa"/>
            <w:vAlign w:val="center"/>
          </w:tcPr>
          <w:p w14:paraId="659ED275">
            <w:pPr>
              <w:jc w:val="center"/>
              <w:rPr>
                <w:color w:val="000000"/>
                <w:sz w:val="22"/>
                <w:szCs w:val="22"/>
              </w:rPr>
            </w:pPr>
            <w:r>
              <w:rPr>
                <w:color w:val="000000"/>
                <w:sz w:val="22"/>
                <w:szCs w:val="22"/>
              </w:rPr>
              <w:t>87,4</w:t>
            </w:r>
          </w:p>
        </w:tc>
        <w:tc>
          <w:tcPr>
            <w:tcW w:w="706" w:type="dxa"/>
            <w:vAlign w:val="center"/>
          </w:tcPr>
          <w:p w14:paraId="18FCBEA1">
            <w:pPr>
              <w:jc w:val="center"/>
              <w:rPr>
                <w:color w:val="000000"/>
                <w:sz w:val="22"/>
                <w:szCs w:val="22"/>
              </w:rPr>
            </w:pPr>
            <w:r>
              <w:rPr>
                <w:color w:val="000000"/>
                <w:sz w:val="22"/>
                <w:szCs w:val="22"/>
              </w:rPr>
              <w:t>4,0</w:t>
            </w:r>
          </w:p>
        </w:tc>
        <w:tc>
          <w:tcPr>
            <w:tcW w:w="1278" w:type="dxa"/>
            <w:vAlign w:val="center"/>
          </w:tcPr>
          <w:p w14:paraId="3329DE16">
            <w:pPr>
              <w:jc w:val="center"/>
              <w:rPr>
                <w:color w:val="000000"/>
                <w:sz w:val="22"/>
                <w:szCs w:val="22"/>
              </w:rPr>
            </w:pPr>
            <w:r>
              <w:rPr>
                <w:color w:val="000000"/>
                <w:sz w:val="22"/>
                <w:szCs w:val="22"/>
              </w:rPr>
              <w:t>302,42</w:t>
            </w:r>
          </w:p>
        </w:tc>
        <w:tc>
          <w:tcPr>
            <w:tcW w:w="851" w:type="dxa"/>
            <w:vAlign w:val="center"/>
          </w:tcPr>
          <w:p w14:paraId="6839C34A">
            <w:pPr>
              <w:jc w:val="center"/>
              <w:rPr>
                <w:color w:val="000000"/>
                <w:sz w:val="22"/>
                <w:szCs w:val="22"/>
              </w:rPr>
            </w:pPr>
            <w:r>
              <w:rPr>
                <w:color w:val="000000"/>
                <w:sz w:val="22"/>
                <w:szCs w:val="22"/>
              </w:rPr>
              <w:t>3,4</w:t>
            </w:r>
          </w:p>
        </w:tc>
        <w:tc>
          <w:tcPr>
            <w:tcW w:w="850" w:type="dxa"/>
            <w:vAlign w:val="center"/>
          </w:tcPr>
          <w:p w14:paraId="0B05CACC">
            <w:pPr>
              <w:jc w:val="center"/>
              <w:rPr>
                <w:color w:val="000000"/>
                <w:sz w:val="22"/>
                <w:szCs w:val="22"/>
              </w:rPr>
            </w:pPr>
            <w:r>
              <w:rPr>
                <w:color w:val="000000"/>
                <w:sz w:val="22"/>
                <w:szCs w:val="22"/>
              </w:rPr>
              <w:t>ĐH2</w:t>
            </w:r>
          </w:p>
        </w:tc>
      </w:tr>
      <w:tr w14:paraId="4D7F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B1FE7A6">
            <w:pPr>
              <w:jc w:val="center"/>
              <w:rPr>
                <w:color w:val="000000"/>
                <w:sz w:val="22"/>
                <w:szCs w:val="22"/>
              </w:rPr>
            </w:pPr>
          </w:p>
        </w:tc>
        <w:tc>
          <w:tcPr>
            <w:tcW w:w="1121" w:type="dxa"/>
            <w:noWrap/>
            <w:vAlign w:val="center"/>
          </w:tcPr>
          <w:p w14:paraId="620682AD">
            <w:pPr>
              <w:jc w:val="center"/>
              <w:rPr>
                <w:color w:val="000000"/>
                <w:sz w:val="22"/>
                <w:szCs w:val="22"/>
              </w:rPr>
            </w:pPr>
            <w:r>
              <w:rPr>
                <w:color w:val="000000"/>
                <w:sz w:val="22"/>
                <w:szCs w:val="22"/>
              </w:rPr>
              <w:t>KL-17:06</w:t>
            </w:r>
          </w:p>
        </w:tc>
        <w:tc>
          <w:tcPr>
            <w:tcW w:w="1147" w:type="dxa"/>
            <w:vAlign w:val="center"/>
          </w:tcPr>
          <w:p w14:paraId="2ED0099B">
            <w:pPr>
              <w:jc w:val="center"/>
              <w:rPr>
                <w:color w:val="000000"/>
                <w:sz w:val="22"/>
                <w:szCs w:val="22"/>
              </w:rPr>
            </w:pPr>
            <w:r>
              <w:rPr>
                <w:color w:val="000000"/>
                <w:sz w:val="22"/>
                <w:szCs w:val="22"/>
              </w:rPr>
              <w:t>90,00</w:t>
            </w:r>
          </w:p>
        </w:tc>
        <w:tc>
          <w:tcPr>
            <w:tcW w:w="1098" w:type="dxa"/>
            <w:vAlign w:val="center"/>
          </w:tcPr>
          <w:p w14:paraId="7E0D4237">
            <w:pPr>
              <w:jc w:val="center"/>
              <w:rPr>
                <w:color w:val="000000"/>
                <w:sz w:val="22"/>
                <w:szCs w:val="22"/>
              </w:rPr>
            </w:pPr>
            <w:r>
              <w:rPr>
                <w:color w:val="000000"/>
                <w:sz w:val="22"/>
                <w:szCs w:val="22"/>
              </w:rPr>
              <w:t>78,68</w:t>
            </w:r>
          </w:p>
        </w:tc>
        <w:tc>
          <w:tcPr>
            <w:tcW w:w="1134" w:type="dxa"/>
            <w:vAlign w:val="center"/>
          </w:tcPr>
          <w:p w14:paraId="5DB2400C">
            <w:pPr>
              <w:jc w:val="center"/>
              <w:rPr>
                <w:color w:val="000000"/>
                <w:sz w:val="22"/>
                <w:szCs w:val="22"/>
              </w:rPr>
            </w:pPr>
            <w:r>
              <w:rPr>
                <w:color w:val="000000"/>
                <w:sz w:val="22"/>
                <w:szCs w:val="22"/>
              </w:rPr>
              <w:t>87,4</w:t>
            </w:r>
          </w:p>
        </w:tc>
        <w:tc>
          <w:tcPr>
            <w:tcW w:w="706" w:type="dxa"/>
            <w:vAlign w:val="center"/>
          </w:tcPr>
          <w:p w14:paraId="1A50072B">
            <w:pPr>
              <w:jc w:val="center"/>
              <w:rPr>
                <w:color w:val="000000"/>
                <w:sz w:val="22"/>
                <w:szCs w:val="22"/>
              </w:rPr>
            </w:pPr>
            <w:r>
              <w:rPr>
                <w:color w:val="000000"/>
                <w:sz w:val="22"/>
                <w:szCs w:val="22"/>
              </w:rPr>
              <w:t>4,0</w:t>
            </w:r>
          </w:p>
        </w:tc>
        <w:tc>
          <w:tcPr>
            <w:tcW w:w="1278" w:type="dxa"/>
            <w:vAlign w:val="center"/>
          </w:tcPr>
          <w:p w14:paraId="0B2FCB4D">
            <w:pPr>
              <w:jc w:val="center"/>
              <w:rPr>
                <w:color w:val="000000"/>
                <w:sz w:val="22"/>
                <w:szCs w:val="22"/>
              </w:rPr>
            </w:pPr>
            <w:r>
              <w:rPr>
                <w:color w:val="000000"/>
                <w:sz w:val="22"/>
                <w:szCs w:val="22"/>
              </w:rPr>
              <w:t>302,42</w:t>
            </w:r>
          </w:p>
        </w:tc>
        <w:tc>
          <w:tcPr>
            <w:tcW w:w="851" w:type="dxa"/>
            <w:vAlign w:val="center"/>
          </w:tcPr>
          <w:p w14:paraId="4396F1CF">
            <w:pPr>
              <w:jc w:val="center"/>
              <w:rPr>
                <w:color w:val="000000"/>
                <w:sz w:val="22"/>
                <w:szCs w:val="22"/>
              </w:rPr>
            </w:pPr>
            <w:r>
              <w:rPr>
                <w:color w:val="000000"/>
                <w:sz w:val="22"/>
                <w:szCs w:val="22"/>
              </w:rPr>
              <w:t>3,4</w:t>
            </w:r>
          </w:p>
        </w:tc>
        <w:tc>
          <w:tcPr>
            <w:tcW w:w="850" w:type="dxa"/>
            <w:vAlign w:val="center"/>
          </w:tcPr>
          <w:p w14:paraId="10C76BD1">
            <w:pPr>
              <w:jc w:val="center"/>
              <w:rPr>
                <w:color w:val="000000"/>
                <w:sz w:val="22"/>
                <w:szCs w:val="22"/>
              </w:rPr>
            </w:pPr>
            <w:r>
              <w:rPr>
                <w:color w:val="000000"/>
                <w:sz w:val="22"/>
                <w:szCs w:val="22"/>
              </w:rPr>
              <w:t>ĐH2</w:t>
            </w:r>
          </w:p>
        </w:tc>
      </w:tr>
      <w:tr w14:paraId="1CB2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FCE850E">
            <w:pPr>
              <w:jc w:val="center"/>
              <w:rPr>
                <w:color w:val="000000"/>
                <w:sz w:val="22"/>
                <w:szCs w:val="22"/>
              </w:rPr>
            </w:pPr>
          </w:p>
        </w:tc>
        <w:tc>
          <w:tcPr>
            <w:tcW w:w="1121" w:type="dxa"/>
            <w:noWrap/>
            <w:vAlign w:val="center"/>
          </w:tcPr>
          <w:p w14:paraId="70D3372F">
            <w:pPr>
              <w:jc w:val="center"/>
              <w:rPr>
                <w:color w:val="000000"/>
                <w:sz w:val="22"/>
                <w:szCs w:val="22"/>
              </w:rPr>
            </w:pPr>
            <w:r>
              <w:rPr>
                <w:color w:val="000000"/>
                <w:sz w:val="22"/>
                <w:szCs w:val="22"/>
              </w:rPr>
              <w:t>KL-17:07</w:t>
            </w:r>
          </w:p>
        </w:tc>
        <w:tc>
          <w:tcPr>
            <w:tcW w:w="1147" w:type="dxa"/>
            <w:vAlign w:val="center"/>
          </w:tcPr>
          <w:p w14:paraId="71F902C1">
            <w:pPr>
              <w:jc w:val="center"/>
              <w:rPr>
                <w:color w:val="000000"/>
                <w:sz w:val="22"/>
                <w:szCs w:val="22"/>
              </w:rPr>
            </w:pPr>
            <w:r>
              <w:rPr>
                <w:color w:val="000000"/>
                <w:sz w:val="22"/>
                <w:szCs w:val="22"/>
              </w:rPr>
              <w:t>90,00</w:t>
            </w:r>
          </w:p>
        </w:tc>
        <w:tc>
          <w:tcPr>
            <w:tcW w:w="1098" w:type="dxa"/>
            <w:vAlign w:val="center"/>
          </w:tcPr>
          <w:p w14:paraId="78EB898A">
            <w:pPr>
              <w:jc w:val="center"/>
              <w:rPr>
                <w:color w:val="000000"/>
                <w:sz w:val="22"/>
                <w:szCs w:val="22"/>
              </w:rPr>
            </w:pPr>
            <w:r>
              <w:rPr>
                <w:color w:val="000000"/>
                <w:sz w:val="22"/>
                <w:szCs w:val="22"/>
              </w:rPr>
              <w:t>78,68</w:t>
            </w:r>
          </w:p>
        </w:tc>
        <w:tc>
          <w:tcPr>
            <w:tcW w:w="1134" w:type="dxa"/>
            <w:vAlign w:val="center"/>
          </w:tcPr>
          <w:p w14:paraId="7F0874D5">
            <w:pPr>
              <w:jc w:val="center"/>
              <w:rPr>
                <w:color w:val="000000"/>
                <w:sz w:val="22"/>
                <w:szCs w:val="22"/>
              </w:rPr>
            </w:pPr>
            <w:r>
              <w:rPr>
                <w:color w:val="000000"/>
                <w:sz w:val="22"/>
                <w:szCs w:val="22"/>
              </w:rPr>
              <w:t>87,4</w:t>
            </w:r>
          </w:p>
        </w:tc>
        <w:tc>
          <w:tcPr>
            <w:tcW w:w="706" w:type="dxa"/>
            <w:vAlign w:val="center"/>
          </w:tcPr>
          <w:p w14:paraId="0276F968">
            <w:pPr>
              <w:jc w:val="center"/>
              <w:rPr>
                <w:color w:val="000000"/>
                <w:sz w:val="22"/>
                <w:szCs w:val="22"/>
              </w:rPr>
            </w:pPr>
            <w:r>
              <w:rPr>
                <w:color w:val="000000"/>
                <w:sz w:val="22"/>
                <w:szCs w:val="22"/>
              </w:rPr>
              <w:t>4,0</w:t>
            </w:r>
          </w:p>
        </w:tc>
        <w:tc>
          <w:tcPr>
            <w:tcW w:w="1278" w:type="dxa"/>
            <w:vAlign w:val="center"/>
          </w:tcPr>
          <w:p w14:paraId="294ABF28">
            <w:pPr>
              <w:jc w:val="center"/>
              <w:rPr>
                <w:color w:val="000000"/>
                <w:sz w:val="22"/>
                <w:szCs w:val="22"/>
              </w:rPr>
            </w:pPr>
            <w:r>
              <w:rPr>
                <w:color w:val="000000"/>
                <w:sz w:val="22"/>
                <w:szCs w:val="22"/>
              </w:rPr>
              <w:t>302,42</w:t>
            </w:r>
          </w:p>
        </w:tc>
        <w:tc>
          <w:tcPr>
            <w:tcW w:w="851" w:type="dxa"/>
            <w:vAlign w:val="center"/>
          </w:tcPr>
          <w:p w14:paraId="33943A1A">
            <w:pPr>
              <w:jc w:val="center"/>
              <w:rPr>
                <w:color w:val="000000"/>
                <w:sz w:val="22"/>
                <w:szCs w:val="22"/>
              </w:rPr>
            </w:pPr>
            <w:r>
              <w:rPr>
                <w:color w:val="000000"/>
                <w:sz w:val="22"/>
                <w:szCs w:val="22"/>
              </w:rPr>
              <w:t>3,4</w:t>
            </w:r>
          </w:p>
        </w:tc>
        <w:tc>
          <w:tcPr>
            <w:tcW w:w="850" w:type="dxa"/>
            <w:vAlign w:val="center"/>
          </w:tcPr>
          <w:p w14:paraId="5885B662">
            <w:pPr>
              <w:jc w:val="center"/>
              <w:rPr>
                <w:color w:val="000000"/>
                <w:sz w:val="22"/>
                <w:szCs w:val="22"/>
              </w:rPr>
            </w:pPr>
            <w:r>
              <w:rPr>
                <w:color w:val="000000"/>
                <w:sz w:val="22"/>
                <w:szCs w:val="22"/>
              </w:rPr>
              <w:t>ĐH2</w:t>
            </w:r>
          </w:p>
        </w:tc>
      </w:tr>
      <w:tr w14:paraId="3C54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0214572">
            <w:pPr>
              <w:jc w:val="center"/>
              <w:rPr>
                <w:color w:val="000000"/>
                <w:sz w:val="22"/>
                <w:szCs w:val="22"/>
              </w:rPr>
            </w:pPr>
          </w:p>
        </w:tc>
        <w:tc>
          <w:tcPr>
            <w:tcW w:w="1121" w:type="dxa"/>
            <w:noWrap/>
            <w:vAlign w:val="center"/>
          </w:tcPr>
          <w:p w14:paraId="6771E13B">
            <w:pPr>
              <w:jc w:val="center"/>
              <w:rPr>
                <w:color w:val="000000"/>
                <w:sz w:val="22"/>
                <w:szCs w:val="22"/>
              </w:rPr>
            </w:pPr>
            <w:r>
              <w:rPr>
                <w:color w:val="000000"/>
                <w:sz w:val="22"/>
                <w:szCs w:val="22"/>
              </w:rPr>
              <w:t>KL-17:08</w:t>
            </w:r>
          </w:p>
        </w:tc>
        <w:tc>
          <w:tcPr>
            <w:tcW w:w="1147" w:type="dxa"/>
            <w:vAlign w:val="center"/>
          </w:tcPr>
          <w:p w14:paraId="16DA84D4">
            <w:pPr>
              <w:jc w:val="center"/>
              <w:rPr>
                <w:color w:val="000000"/>
                <w:sz w:val="22"/>
                <w:szCs w:val="22"/>
              </w:rPr>
            </w:pPr>
            <w:r>
              <w:rPr>
                <w:color w:val="000000"/>
                <w:sz w:val="22"/>
                <w:szCs w:val="22"/>
              </w:rPr>
              <w:t>90,00</w:t>
            </w:r>
          </w:p>
        </w:tc>
        <w:tc>
          <w:tcPr>
            <w:tcW w:w="1098" w:type="dxa"/>
            <w:vAlign w:val="center"/>
          </w:tcPr>
          <w:p w14:paraId="58267E2C">
            <w:pPr>
              <w:jc w:val="center"/>
              <w:rPr>
                <w:color w:val="000000"/>
                <w:sz w:val="22"/>
                <w:szCs w:val="22"/>
              </w:rPr>
            </w:pPr>
            <w:r>
              <w:rPr>
                <w:color w:val="000000"/>
                <w:sz w:val="22"/>
                <w:szCs w:val="22"/>
              </w:rPr>
              <w:t>78,68</w:t>
            </w:r>
          </w:p>
        </w:tc>
        <w:tc>
          <w:tcPr>
            <w:tcW w:w="1134" w:type="dxa"/>
            <w:vAlign w:val="center"/>
          </w:tcPr>
          <w:p w14:paraId="57C350EC">
            <w:pPr>
              <w:jc w:val="center"/>
              <w:rPr>
                <w:color w:val="000000"/>
                <w:sz w:val="22"/>
                <w:szCs w:val="22"/>
              </w:rPr>
            </w:pPr>
            <w:r>
              <w:rPr>
                <w:color w:val="000000"/>
                <w:sz w:val="22"/>
                <w:szCs w:val="22"/>
              </w:rPr>
              <w:t>87,4</w:t>
            </w:r>
          </w:p>
        </w:tc>
        <w:tc>
          <w:tcPr>
            <w:tcW w:w="706" w:type="dxa"/>
            <w:vAlign w:val="center"/>
          </w:tcPr>
          <w:p w14:paraId="7B045FFF">
            <w:pPr>
              <w:jc w:val="center"/>
              <w:rPr>
                <w:color w:val="000000"/>
                <w:sz w:val="22"/>
                <w:szCs w:val="22"/>
              </w:rPr>
            </w:pPr>
            <w:r>
              <w:rPr>
                <w:color w:val="000000"/>
                <w:sz w:val="22"/>
                <w:szCs w:val="22"/>
              </w:rPr>
              <w:t>4,0</w:t>
            </w:r>
          </w:p>
        </w:tc>
        <w:tc>
          <w:tcPr>
            <w:tcW w:w="1278" w:type="dxa"/>
            <w:vAlign w:val="center"/>
          </w:tcPr>
          <w:p w14:paraId="71E3B9E9">
            <w:pPr>
              <w:jc w:val="center"/>
              <w:rPr>
                <w:color w:val="000000"/>
                <w:sz w:val="22"/>
                <w:szCs w:val="22"/>
              </w:rPr>
            </w:pPr>
            <w:r>
              <w:rPr>
                <w:color w:val="000000"/>
                <w:sz w:val="22"/>
                <w:szCs w:val="22"/>
              </w:rPr>
              <w:t>302,42</w:t>
            </w:r>
          </w:p>
        </w:tc>
        <w:tc>
          <w:tcPr>
            <w:tcW w:w="851" w:type="dxa"/>
            <w:vAlign w:val="center"/>
          </w:tcPr>
          <w:p w14:paraId="48601EA6">
            <w:pPr>
              <w:jc w:val="center"/>
              <w:rPr>
                <w:color w:val="000000"/>
                <w:sz w:val="22"/>
                <w:szCs w:val="22"/>
              </w:rPr>
            </w:pPr>
            <w:r>
              <w:rPr>
                <w:color w:val="000000"/>
                <w:sz w:val="22"/>
                <w:szCs w:val="22"/>
              </w:rPr>
              <w:t>3,4</w:t>
            </w:r>
          </w:p>
        </w:tc>
        <w:tc>
          <w:tcPr>
            <w:tcW w:w="850" w:type="dxa"/>
            <w:vAlign w:val="center"/>
          </w:tcPr>
          <w:p w14:paraId="2A849BA6">
            <w:pPr>
              <w:jc w:val="center"/>
              <w:rPr>
                <w:color w:val="000000"/>
                <w:sz w:val="22"/>
                <w:szCs w:val="22"/>
              </w:rPr>
            </w:pPr>
            <w:r>
              <w:rPr>
                <w:color w:val="000000"/>
                <w:sz w:val="22"/>
                <w:szCs w:val="22"/>
              </w:rPr>
              <w:t>ĐH2</w:t>
            </w:r>
          </w:p>
        </w:tc>
      </w:tr>
      <w:tr w14:paraId="0652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E4BC97B">
            <w:pPr>
              <w:jc w:val="center"/>
              <w:rPr>
                <w:color w:val="000000"/>
                <w:sz w:val="22"/>
                <w:szCs w:val="22"/>
              </w:rPr>
            </w:pPr>
          </w:p>
        </w:tc>
        <w:tc>
          <w:tcPr>
            <w:tcW w:w="1121" w:type="dxa"/>
            <w:noWrap/>
            <w:vAlign w:val="center"/>
          </w:tcPr>
          <w:p w14:paraId="3C7D7828">
            <w:pPr>
              <w:jc w:val="center"/>
              <w:rPr>
                <w:color w:val="000000"/>
                <w:sz w:val="22"/>
                <w:szCs w:val="22"/>
              </w:rPr>
            </w:pPr>
            <w:r>
              <w:rPr>
                <w:color w:val="000000"/>
                <w:sz w:val="22"/>
                <w:szCs w:val="22"/>
              </w:rPr>
              <w:t>KL-17:09</w:t>
            </w:r>
          </w:p>
        </w:tc>
        <w:tc>
          <w:tcPr>
            <w:tcW w:w="1147" w:type="dxa"/>
            <w:vAlign w:val="center"/>
          </w:tcPr>
          <w:p w14:paraId="347775C4">
            <w:pPr>
              <w:jc w:val="center"/>
              <w:rPr>
                <w:color w:val="000000"/>
                <w:sz w:val="22"/>
                <w:szCs w:val="22"/>
              </w:rPr>
            </w:pPr>
            <w:r>
              <w:rPr>
                <w:color w:val="000000"/>
                <w:sz w:val="22"/>
                <w:szCs w:val="22"/>
              </w:rPr>
              <w:t>113,35</w:t>
            </w:r>
          </w:p>
        </w:tc>
        <w:tc>
          <w:tcPr>
            <w:tcW w:w="1098" w:type="dxa"/>
            <w:vAlign w:val="center"/>
          </w:tcPr>
          <w:p w14:paraId="65EDB4DF">
            <w:pPr>
              <w:jc w:val="center"/>
              <w:rPr>
                <w:color w:val="000000"/>
                <w:sz w:val="22"/>
                <w:szCs w:val="22"/>
              </w:rPr>
            </w:pPr>
            <w:r>
              <w:rPr>
                <w:color w:val="000000"/>
                <w:sz w:val="22"/>
                <w:szCs w:val="22"/>
              </w:rPr>
              <w:t>78,68</w:t>
            </w:r>
          </w:p>
        </w:tc>
        <w:tc>
          <w:tcPr>
            <w:tcW w:w="1134" w:type="dxa"/>
            <w:vAlign w:val="center"/>
          </w:tcPr>
          <w:p w14:paraId="6B40B297">
            <w:pPr>
              <w:jc w:val="center"/>
              <w:rPr>
                <w:color w:val="000000"/>
                <w:sz w:val="22"/>
                <w:szCs w:val="22"/>
              </w:rPr>
            </w:pPr>
            <w:r>
              <w:rPr>
                <w:color w:val="000000"/>
                <w:sz w:val="22"/>
                <w:szCs w:val="22"/>
              </w:rPr>
              <w:t>69,4</w:t>
            </w:r>
          </w:p>
        </w:tc>
        <w:tc>
          <w:tcPr>
            <w:tcW w:w="706" w:type="dxa"/>
            <w:vAlign w:val="center"/>
          </w:tcPr>
          <w:p w14:paraId="2C10340E">
            <w:pPr>
              <w:jc w:val="center"/>
              <w:rPr>
                <w:color w:val="000000"/>
                <w:sz w:val="22"/>
                <w:szCs w:val="22"/>
              </w:rPr>
            </w:pPr>
            <w:r>
              <w:rPr>
                <w:color w:val="000000"/>
                <w:sz w:val="22"/>
                <w:szCs w:val="22"/>
              </w:rPr>
              <w:t>4,0</w:t>
            </w:r>
          </w:p>
        </w:tc>
        <w:tc>
          <w:tcPr>
            <w:tcW w:w="1278" w:type="dxa"/>
            <w:vAlign w:val="center"/>
          </w:tcPr>
          <w:p w14:paraId="04A9D7D4">
            <w:pPr>
              <w:jc w:val="center"/>
              <w:rPr>
                <w:color w:val="000000"/>
                <w:sz w:val="22"/>
                <w:szCs w:val="22"/>
              </w:rPr>
            </w:pPr>
            <w:r>
              <w:rPr>
                <w:color w:val="000000"/>
                <w:sz w:val="22"/>
                <w:szCs w:val="22"/>
              </w:rPr>
              <w:t>302,42</w:t>
            </w:r>
          </w:p>
        </w:tc>
        <w:tc>
          <w:tcPr>
            <w:tcW w:w="851" w:type="dxa"/>
            <w:vAlign w:val="center"/>
          </w:tcPr>
          <w:p w14:paraId="02C99239">
            <w:pPr>
              <w:jc w:val="center"/>
              <w:rPr>
                <w:color w:val="000000"/>
                <w:sz w:val="22"/>
                <w:szCs w:val="22"/>
              </w:rPr>
            </w:pPr>
            <w:r>
              <w:rPr>
                <w:color w:val="000000"/>
                <w:sz w:val="22"/>
                <w:szCs w:val="22"/>
              </w:rPr>
              <w:t>2,7</w:t>
            </w:r>
          </w:p>
        </w:tc>
        <w:tc>
          <w:tcPr>
            <w:tcW w:w="850" w:type="dxa"/>
            <w:vAlign w:val="center"/>
          </w:tcPr>
          <w:p w14:paraId="09FB3CA6">
            <w:pPr>
              <w:jc w:val="center"/>
              <w:rPr>
                <w:color w:val="000000"/>
                <w:sz w:val="22"/>
                <w:szCs w:val="22"/>
              </w:rPr>
            </w:pPr>
            <w:r>
              <w:rPr>
                <w:color w:val="000000"/>
                <w:sz w:val="22"/>
                <w:szCs w:val="22"/>
              </w:rPr>
              <w:t>ĐH2</w:t>
            </w:r>
          </w:p>
        </w:tc>
      </w:tr>
      <w:tr w14:paraId="7586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2020509C">
            <w:pPr>
              <w:jc w:val="center"/>
              <w:rPr>
                <w:b/>
                <w:bCs/>
                <w:color w:val="000000"/>
                <w:sz w:val="22"/>
                <w:szCs w:val="22"/>
              </w:rPr>
            </w:pPr>
            <w:r>
              <w:rPr>
                <w:b/>
                <w:bCs/>
                <w:color w:val="000000"/>
                <w:sz w:val="22"/>
                <w:szCs w:val="22"/>
              </w:rPr>
              <w:t>Tổng</w:t>
            </w:r>
          </w:p>
        </w:tc>
        <w:tc>
          <w:tcPr>
            <w:tcW w:w="1121" w:type="dxa"/>
            <w:noWrap/>
            <w:vAlign w:val="center"/>
          </w:tcPr>
          <w:p w14:paraId="12C1399C">
            <w:pPr>
              <w:jc w:val="center"/>
              <w:rPr>
                <w:b/>
                <w:bCs/>
                <w:color w:val="000000"/>
                <w:sz w:val="22"/>
                <w:szCs w:val="22"/>
              </w:rPr>
            </w:pPr>
            <w:r>
              <w:rPr>
                <w:b/>
                <w:bCs/>
                <w:color w:val="000000"/>
                <w:sz w:val="22"/>
                <w:szCs w:val="22"/>
              </w:rPr>
              <w:t>KL-17</w:t>
            </w:r>
          </w:p>
        </w:tc>
        <w:tc>
          <w:tcPr>
            <w:tcW w:w="1147" w:type="dxa"/>
            <w:vAlign w:val="center"/>
          </w:tcPr>
          <w:p w14:paraId="19CBC674">
            <w:pPr>
              <w:jc w:val="center"/>
              <w:rPr>
                <w:b/>
                <w:bCs/>
                <w:color w:val="000000"/>
                <w:sz w:val="22"/>
                <w:szCs w:val="22"/>
              </w:rPr>
            </w:pPr>
            <w:r>
              <w:rPr>
                <w:b/>
                <w:bCs/>
                <w:color w:val="000000"/>
                <w:sz w:val="22"/>
                <w:szCs w:val="22"/>
              </w:rPr>
              <w:t>743,35</w:t>
            </w:r>
          </w:p>
        </w:tc>
        <w:tc>
          <w:tcPr>
            <w:tcW w:w="1098" w:type="dxa"/>
            <w:vAlign w:val="center"/>
          </w:tcPr>
          <w:p w14:paraId="39890D22">
            <w:pPr>
              <w:jc w:val="center"/>
              <w:rPr>
                <w:b/>
                <w:bCs/>
                <w:color w:val="000000"/>
                <w:sz w:val="22"/>
                <w:szCs w:val="22"/>
              </w:rPr>
            </w:pPr>
            <w:r>
              <w:rPr>
                <w:b/>
                <w:bCs/>
                <w:color w:val="000000"/>
                <w:sz w:val="22"/>
                <w:szCs w:val="22"/>
              </w:rPr>
              <w:t>629,4</w:t>
            </w:r>
          </w:p>
        </w:tc>
        <w:tc>
          <w:tcPr>
            <w:tcW w:w="1134" w:type="dxa"/>
            <w:vAlign w:val="center"/>
          </w:tcPr>
          <w:p w14:paraId="59C9A5A5">
            <w:pPr>
              <w:jc w:val="center"/>
              <w:rPr>
                <w:b/>
                <w:bCs/>
                <w:color w:val="000000"/>
                <w:sz w:val="22"/>
                <w:szCs w:val="22"/>
              </w:rPr>
            </w:pPr>
            <w:r>
              <w:rPr>
                <w:b/>
                <w:bCs/>
                <w:color w:val="000000"/>
                <w:sz w:val="22"/>
                <w:szCs w:val="22"/>
              </w:rPr>
              <w:t>84,7</w:t>
            </w:r>
          </w:p>
        </w:tc>
        <w:tc>
          <w:tcPr>
            <w:tcW w:w="706" w:type="dxa"/>
            <w:vAlign w:val="center"/>
          </w:tcPr>
          <w:p w14:paraId="27E4920B">
            <w:pPr>
              <w:jc w:val="center"/>
              <w:rPr>
                <w:color w:val="000000"/>
                <w:sz w:val="22"/>
                <w:szCs w:val="22"/>
              </w:rPr>
            </w:pPr>
          </w:p>
        </w:tc>
        <w:tc>
          <w:tcPr>
            <w:tcW w:w="1278" w:type="dxa"/>
            <w:vAlign w:val="center"/>
          </w:tcPr>
          <w:p w14:paraId="06C38771">
            <w:pPr>
              <w:jc w:val="center"/>
              <w:rPr>
                <w:b/>
                <w:bCs/>
                <w:color w:val="000000"/>
                <w:sz w:val="22"/>
                <w:szCs w:val="22"/>
              </w:rPr>
            </w:pPr>
            <w:r>
              <w:rPr>
                <w:b/>
                <w:bCs/>
                <w:color w:val="000000"/>
                <w:sz w:val="22"/>
                <w:szCs w:val="22"/>
              </w:rPr>
              <w:t>2.419,4</w:t>
            </w:r>
          </w:p>
        </w:tc>
        <w:tc>
          <w:tcPr>
            <w:tcW w:w="851" w:type="dxa"/>
            <w:vAlign w:val="center"/>
          </w:tcPr>
          <w:p w14:paraId="162FAC8E">
            <w:pPr>
              <w:jc w:val="center"/>
              <w:rPr>
                <w:b/>
                <w:bCs/>
                <w:color w:val="000000"/>
                <w:sz w:val="22"/>
                <w:szCs w:val="22"/>
              </w:rPr>
            </w:pPr>
            <w:r>
              <w:rPr>
                <w:b/>
                <w:bCs/>
                <w:color w:val="000000"/>
                <w:sz w:val="22"/>
                <w:szCs w:val="22"/>
              </w:rPr>
              <w:t>2,9</w:t>
            </w:r>
          </w:p>
        </w:tc>
        <w:tc>
          <w:tcPr>
            <w:tcW w:w="850" w:type="dxa"/>
            <w:vAlign w:val="center"/>
          </w:tcPr>
          <w:p w14:paraId="3DFB8766">
            <w:pPr>
              <w:jc w:val="center"/>
              <w:rPr>
                <w:color w:val="000000"/>
                <w:sz w:val="22"/>
                <w:szCs w:val="22"/>
              </w:rPr>
            </w:pPr>
          </w:p>
        </w:tc>
      </w:tr>
      <w:tr w14:paraId="0FB6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3412049A">
            <w:pPr>
              <w:jc w:val="center"/>
              <w:rPr>
                <w:color w:val="000000"/>
                <w:sz w:val="22"/>
                <w:szCs w:val="22"/>
              </w:rPr>
            </w:pPr>
            <w:r>
              <w:rPr>
                <w:color w:val="000000"/>
                <w:sz w:val="22"/>
                <w:szCs w:val="22"/>
              </w:rPr>
              <w:t>LK18</w:t>
            </w:r>
          </w:p>
        </w:tc>
        <w:tc>
          <w:tcPr>
            <w:tcW w:w="1121" w:type="dxa"/>
            <w:noWrap/>
            <w:vAlign w:val="center"/>
          </w:tcPr>
          <w:p w14:paraId="32475B31">
            <w:pPr>
              <w:jc w:val="center"/>
              <w:rPr>
                <w:color w:val="000000"/>
                <w:sz w:val="22"/>
                <w:szCs w:val="22"/>
              </w:rPr>
            </w:pPr>
            <w:r>
              <w:rPr>
                <w:color w:val="000000"/>
                <w:sz w:val="22"/>
                <w:szCs w:val="22"/>
              </w:rPr>
              <w:t>KL-18:01</w:t>
            </w:r>
          </w:p>
        </w:tc>
        <w:tc>
          <w:tcPr>
            <w:tcW w:w="1147" w:type="dxa"/>
            <w:vAlign w:val="center"/>
          </w:tcPr>
          <w:p w14:paraId="76823912">
            <w:pPr>
              <w:jc w:val="center"/>
              <w:rPr>
                <w:color w:val="000000"/>
                <w:sz w:val="22"/>
                <w:szCs w:val="22"/>
              </w:rPr>
            </w:pPr>
            <w:r>
              <w:rPr>
                <w:color w:val="000000"/>
                <w:sz w:val="22"/>
                <w:szCs w:val="22"/>
              </w:rPr>
              <w:t>93,25</w:t>
            </w:r>
          </w:p>
        </w:tc>
        <w:tc>
          <w:tcPr>
            <w:tcW w:w="1098" w:type="dxa"/>
            <w:vAlign w:val="center"/>
          </w:tcPr>
          <w:p w14:paraId="7CD4524F">
            <w:pPr>
              <w:jc w:val="center"/>
              <w:rPr>
                <w:color w:val="000000"/>
                <w:sz w:val="22"/>
                <w:szCs w:val="22"/>
              </w:rPr>
            </w:pPr>
            <w:r>
              <w:rPr>
                <w:color w:val="000000"/>
                <w:sz w:val="22"/>
                <w:szCs w:val="22"/>
              </w:rPr>
              <w:t>77,48</w:t>
            </w:r>
          </w:p>
        </w:tc>
        <w:tc>
          <w:tcPr>
            <w:tcW w:w="1134" w:type="dxa"/>
            <w:vAlign w:val="center"/>
          </w:tcPr>
          <w:p w14:paraId="78669AC1">
            <w:pPr>
              <w:jc w:val="center"/>
              <w:rPr>
                <w:color w:val="000000"/>
                <w:sz w:val="22"/>
                <w:szCs w:val="22"/>
              </w:rPr>
            </w:pPr>
            <w:r>
              <w:rPr>
                <w:color w:val="000000"/>
                <w:sz w:val="22"/>
                <w:szCs w:val="22"/>
              </w:rPr>
              <w:t>83,1</w:t>
            </w:r>
          </w:p>
        </w:tc>
        <w:tc>
          <w:tcPr>
            <w:tcW w:w="706" w:type="dxa"/>
            <w:vAlign w:val="center"/>
          </w:tcPr>
          <w:p w14:paraId="134BDA46">
            <w:pPr>
              <w:jc w:val="center"/>
              <w:rPr>
                <w:color w:val="000000"/>
                <w:sz w:val="22"/>
                <w:szCs w:val="22"/>
              </w:rPr>
            </w:pPr>
            <w:r>
              <w:rPr>
                <w:color w:val="000000"/>
                <w:sz w:val="22"/>
                <w:szCs w:val="22"/>
              </w:rPr>
              <w:t>4,0</w:t>
            </w:r>
          </w:p>
        </w:tc>
        <w:tc>
          <w:tcPr>
            <w:tcW w:w="1278" w:type="dxa"/>
            <w:vAlign w:val="center"/>
          </w:tcPr>
          <w:p w14:paraId="60016228">
            <w:pPr>
              <w:jc w:val="center"/>
              <w:rPr>
                <w:color w:val="000000"/>
                <w:sz w:val="22"/>
                <w:szCs w:val="22"/>
              </w:rPr>
            </w:pPr>
            <w:r>
              <w:rPr>
                <w:color w:val="000000"/>
                <w:sz w:val="22"/>
                <w:szCs w:val="22"/>
              </w:rPr>
              <w:t>320,3</w:t>
            </w:r>
          </w:p>
        </w:tc>
        <w:tc>
          <w:tcPr>
            <w:tcW w:w="851" w:type="dxa"/>
            <w:vAlign w:val="center"/>
          </w:tcPr>
          <w:p w14:paraId="301F713F">
            <w:pPr>
              <w:jc w:val="center"/>
              <w:rPr>
                <w:color w:val="000000"/>
                <w:sz w:val="22"/>
                <w:szCs w:val="22"/>
              </w:rPr>
            </w:pPr>
            <w:r>
              <w:rPr>
                <w:color w:val="000000"/>
                <w:sz w:val="22"/>
                <w:szCs w:val="22"/>
              </w:rPr>
              <w:t>3,4</w:t>
            </w:r>
          </w:p>
        </w:tc>
        <w:tc>
          <w:tcPr>
            <w:tcW w:w="850" w:type="dxa"/>
            <w:vAlign w:val="center"/>
          </w:tcPr>
          <w:p w14:paraId="41485A20">
            <w:pPr>
              <w:jc w:val="center"/>
              <w:rPr>
                <w:color w:val="000000"/>
                <w:sz w:val="22"/>
                <w:szCs w:val="22"/>
              </w:rPr>
            </w:pPr>
            <w:r>
              <w:rPr>
                <w:color w:val="000000"/>
                <w:sz w:val="22"/>
                <w:szCs w:val="22"/>
              </w:rPr>
              <w:t>LG2.2</w:t>
            </w:r>
          </w:p>
        </w:tc>
      </w:tr>
      <w:tr w14:paraId="1E35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EF8FC6A">
            <w:pPr>
              <w:jc w:val="center"/>
              <w:rPr>
                <w:color w:val="000000"/>
                <w:sz w:val="22"/>
                <w:szCs w:val="22"/>
              </w:rPr>
            </w:pPr>
          </w:p>
        </w:tc>
        <w:tc>
          <w:tcPr>
            <w:tcW w:w="1121" w:type="dxa"/>
            <w:noWrap/>
            <w:vAlign w:val="center"/>
          </w:tcPr>
          <w:p w14:paraId="10F848BA">
            <w:pPr>
              <w:jc w:val="center"/>
              <w:rPr>
                <w:color w:val="000000"/>
                <w:sz w:val="22"/>
                <w:szCs w:val="22"/>
              </w:rPr>
            </w:pPr>
            <w:r>
              <w:rPr>
                <w:color w:val="000000"/>
                <w:sz w:val="22"/>
                <w:szCs w:val="22"/>
              </w:rPr>
              <w:t>KL-18:02</w:t>
            </w:r>
          </w:p>
        </w:tc>
        <w:tc>
          <w:tcPr>
            <w:tcW w:w="1147" w:type="dxa"/>
            <w:vAlign w:val="center"/>
          </w:tcPr>
          <w:p w14:paraId="200AAF5C">
            <w:pPr>
              <w:jc w:val="center"/>
              <w:rPr>
                <w:color w:val="000000"/>
                <w:sz w:val="22"/>
                <w:szCs w:val="22"/>
              </w:rPr>
            </w:pPr>
            <w:r>
              <w:rPr>
                <w:color w:val="000000"/>
                <w:sz w:val="22"/>
                <w:szCs w:val="22"/>
              </w:rPr>
              <w:t>90,00</w:t>
            </w:r>
          </w:p>
        </w:tc>
        <w:tc>
          <w:tcPr>
            <w:tcW w:w="1098" w:type="dxa"/>
            <w:vAlign w:val="center"/>
          </w:tcPr>
          <w:p w14:paraId="54F62135">
            <w:pPr>
              <w:jc w:val="center"/>
              <w:rPr>
                <w:color w:val="000000"/>
                <w:sz w:val="22"/>
                <w:szCs w:val="22"/>
              </w:rPr>
            </w:pPr>
            <w:r>
              <w:rPr>
                <w:color w:val="000000"/>
                <w:sz w:val="22"/>
                <w:szCs w:val="22"/>
              </w:rPr>
              <w:t>78,94</w:t>
            </w:r>
          </w:p>
        </w:tc>
        <w:tc>
          <w:tcPr>
            <w:tcW w:w="1134" w:type="dxa"/>
            <w:vAlign w:val="center"/>
          </w:tcPr>
          <w:p w14:paraId="0164BE5B">
            <w:pPr>
              <w:jc w:val="center"/>
              <w:rPr>
                <w:color w:val="000000"/>
                <w:sz w:val="22"/>
                <w:szCs w:val="22"/>
              </w:rPr>
            </w:pPr>
            <w:r>
              <w:rPr>
                <w:color w:val="000000"/>
                <w:sz w:val="22"/>
                <w:szCs w:val="22"/>
              </w:rPr>
              <w:t>87,7</w:t>
            </w:r>
          </w:p>
        </w:tc>
        <w:tc>
          <w:tcPr>
            <w:tcW w:w="706" w:type="dxa"/>
            <w:vAlign w:val="center"/>
          </w:tcPr>
          <w:p w14:paraId="10E76335">
            <w:pPr>
              <w:jc w:val="center"/>
              <w:rPr>
                <w:color w:val="000000"/>
                <w:sz w:val="22"/>
                <w:szCs w:val="22"/>
              </w:rPr>
            </w:pPr>
            <w:r>
              <w:rPr>
                <w:color w:val="000000"/>
                <w:sz w:val="22"/>
                <w:szCs w:val="22"/>
              </w:rPr>
              <w:t>4,0</w:t>
            </w:r>
          </w:p>
        </w:tc>
        <w:tc>
          <w:tcPr>
            <w:tcW w:w="1278" w:type="dxa"/>
            <w:vAlign w:val="center"/>
          </w:tcPr>
          <w:p w14:paraId="17D599EF">
            <w:pPr>
              <w:jc w:val="center"/>
              <w:rPr>
                <w:color w:val="000000"/>
                <w:sz w:val="22"/>
                <w:szCs w:val="22"/>
              </w:rPr>
            </w:pPr>
            <w:r>
              <w:rPr>
                <w:color w:val="000000"/>
                <w:sz w:val="22"/>
                <w:szCs w:val="22"/>
              </w:rPr>
              <w:t>306,06</w:t>
            </w:r>
          </w:p>
        </w:tc>
        <w:tc>
          <w:tcPr>
            <w:tcW w:w="851" w:type="dxa"/>
            <w:vAlign w:val="center"/>
          </w:tcPr>
          <w:p w14:paraId="787F3535">
            <w:pPr>
              <w:jc w:val="center"/>
              <w:rPr>
                <w:color w:val="000000"/>
                <w:sz w:val="22"/>
                <w:szCs w:val="22"/>
              </w:rPr>
            </w:pPr>
            <w:r>
              <w:rPr>
                <w:color w:val="000000"/>
                <w:sz w:val="22"/>
                <w:szCs w:val="22"/>
              </w:rPr>
              <w:t>3,4</w:t>
            </w:r>
          </w:p>
        </w:tc>
        <w:tc>
          <w:tcPr>
            <w:tcW w:w="850" w:type="dxa"/>
            <w:vAlign w:val="center"/>
          </w:tcPr>
          <w:p w14:paraId="43293079">
            <w:pPr>
              <w:jc w:val="center"/>
              <w:rPr>
                <w:color w:val="000000"/>
                <w:sz w:val="22"/>
                <w:szCs w:val="22"/>
              </w:rPr>
            </w:pPr>
            <w:r>
              <w:rPr>
                <w:color w:val="000000"/>
                <w:sz w:val="22"/>
                <w:szCs w:val="22"/>
              </w:rPr>
              <w:t>ĐH3</w:t>
            </w:r>
          </w:p>
        </w:tc>
      </w:tr>
      <w:tr w14:paraId="0762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F72E570">
            <w:pPr>
              <w:jc w:val="center"/>
              <w:rPr>
                <w:color w:val="000000"/>
                <w:sz w:val="22"/>
                <w:szCs w:val="22"/>
              </w:rPr>
            </w:pPr>
          </w:p>
        </w:tc>
        <w:tc>
          <w:tcPr>
            <w:tcW w:w="1121" w:type="dxa"/>
            <w:noWrap/>
            <w:vAlign w:val="center"/>
          </w:tcPr>
          <w:p w14:paraId="75D8F158">
            <w:pPr>
              <w:jc w:val="center"/>
              <w:rPr>
                <w:color w:val="000000"/>
                <w:sz w:val="22"/>
                <w:szCs w:val="22"/>
              </w:rPr>
            </w:pPr>
            <w:r>
              <w:rPr>
                <w:color w:val="000000"/>
                <w:sz w:val="22"/>
                <w:szCs w:val="22"/>
              </w:rPr>
              <w:t>KL-18:03</w:t>
            </w:r>
          </w:p>
        </w:tc>
        <w:tc>
          <w:tcPr>
            <w:tcW w:w="1147" w:type="dxa"/>
            <w:vAlign w:val="center"/>
          </w:tcPr>
          <w:p w14:paraId="1EAFC052">
            <w:pPr>
              <w:jc w:val="center"/>
              <w:rPr>
                <w:color w:val="000000"/>
                <w:sz w:val="22"/>
                <w:szCs w:val="22"/>
              </w:rPr>
            </w:pPr>
            <w:r>
              <w:rPr>
                <w:color w:val="000000"/>
                <w:sz w:val="22"/>
                <w:szCs w:val="22"/>
              </w:rPr>
              <w:t>90,00</w:t>
            </w:r>
          </w:p>
        </w:tc>
        <w:tc>
          <w:tcPr>
            <w:tcW w:w="1098" w:type="dxa"/>
            <w:vAlign w:val="center"/>
          </w:tcPr>
          <w:p w14:paraId="5771CD4C">
            <w:pPr>
              <w:jc w:val="center"/>
              <w:rPr>
                <w:color w:val="000000"/>
                <w:sz w:val="22"/>
                <w:szCs w:val="22"/>
              </w:rPr>
            </w:pPr>
            <w:r>
              <w:rPr>
                <w:color w:val="000000"/>
                <w:sz w:val="22"/>
                <w:szCs w:val="22"/>
              </w:rPr>
              <w:t>78,94</w:t>
            </w:r>
          </w:p>
        </w:tc>
        <w:tc>
          <w:tcPr>
            <w:tcW w:w="1134" w:type="dxa"/>
            <w:vAlign w:val="center"/>
          </w:tcPr>
          <w:p w14:paraId="43DDCFB3">
            <w:pPr>
              <w:jc w:val="center"/>
              <w:rPr>
                <w:color w:val="000000"/>
                <w:sz w:val="22"/>
                <w:szCs w:val="22"/>
              </w:rPr>
            </w:pPr>
            <w:r>
              <w:rPr>
                <w:color w:val="000000"/>
                <w:sz w:val="22"/>
                <w:szCs w:val="22"/>
              </w:rPr>
              <w:t>87,7</w:t>
            </w:r>
          </w:p>
        </w:tc>
        <w:tc>
          <w:tcPr>
            <w:tcW w:w="706" w:type="dxa"/>
            <w:vAlign w:val="center"/>
          </w:tcPr>
          <w:p w14:paraId="2F75DFDE">
            <w:pPr>
              <w:jc w:val="center"/>
              <w:rPr>
                <w:color w:val="000000"/>
                <w:sz w:val="22"/>
                <w:szCs w:val="22"/>
              </w:rPr>
            </w:pPr>
            <w:r>
              <w:rPr>
                <w:color w:val="000000"/>
                <w:sz w:val="22"/>
                <w:szCs w:val="22"/>
              </w:rPr>
              <w:t>4,0</w:t>
            </w:r>
          </w:p>
        </w:tc>
        <w:tc>
          <w:tcPr>
            <w:tcW w:w="1278" w:type="dxa"/>
            <w:vAlign w:val="center"/>
          </w:tcPr>
          <w:p w14:paraId="581A1952">
            <w:pPr>
              <w:jc w:val="center"/>
              <w:rPr>
                <w:color w:val="000000"/>
                <w:sz w:val="22"/>
                <w:szCs w:val="22"/>
              </w:rPr>
            </w:pPr>
            <w:r>
              <w:rPr>
                <w:color w:val="000000"/>
                <w:sz w:val="22"/>
                <w:szCs w:val="22"/>
              </w:rPr>
              <w:t>306,06</w:t>
            </w:r>
          </w:p>
        </w:tc>
        <w:tc>
          <w:tcPr>
            <w:tcW w:w="851" w:type="dxa"/>
            <w:vAlign w:val="center"/>
          </w:tcPr>
          <w:p w14:paraId="7C4A382D">
            <w:pPr>
              <w:jc w:val="center"/>
              <w:rPr>
                <w:color w:val="000000"/>
                <w:sz w:val="22"/>
                <w:szCs w:val="22"/>
              </w:rPr>
            </w:pPr>
            <w:r>
              <w:rPr>
                <w:color w:val="000000"/>
                <w:sz w:val="22"/>
                <w:szCs w:val="22"/>
              </w:rPr>
              <w:t>3,4</w:t>
            </w:r>
          </w:p>
        </w:tc>
        <w:tc>
          <w:tcPr>
            <w:tcW w:w="850" w:type="dxa"/>
            <w:vAlign w:val="center"/>
          </w:tcPr>
          <w:p w14:paraId="465A0AF0">
            <w:pPr>
              <w:jc w:val="center"/>
              <w:rPr>
                <w:color w:val="000000"/>
                <w:sz w:val="22"/>
                <w:szCs w:val="22"/>
              </w:rPr>
            </w:pPr>
            <w:r>
              <w:rPr>
                <w:color w:val="000000"/>
                <w:sz w:val="22"/>
                <w:szCs w:val="22"/>
              </w:rPr>
              <w:t>ĐH3</w:t>
            </w:r>
          </w:p>
        </w:tc>
      </w:tr>
      <w:tr w14:paraId="67E8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4C73D87">
            <w:pPr>
              <w:jc w:val="center"/>
              <w:rPr>
                <w:color w:val="000000"/>
                <w:sz w:val="22"/>
                <w:szCs w:val="22"/>
              </w:rPr>
            </w:pPr>
          </w:p>
        </w:tc>
        <w:tc>
          <w:tcPr>
            <w:tcW w:w="1121" w:type="dxa"/>
            <w:noWrap/>
            <w:vAlign w:val="center"/>
          </w:tcPr>
          <w:p w14:paraId="4A9044ED">
            <w:pPr>
              <w:jc w:val="center"/>
              <w:rPr>
                <w:color w:val="000000"/>
                <w:sz w:val="22"/>
                <w:szCs w:val="22"/>
              </w:rPr>
            </w:pPr>
            <w:r>
              <w:rPr>
                <w:color w:val="000000"/>
                <w:sz w:val="22"/>
                <w:szCs w:val="22"/>
              </w:rPr>
              <w:t>KL-18:04</w:t>
            </w:r>
          </w:p>
        </w:tc>
        <w:tc>
          <w:tcPr>
            <w:tcW w:w="1147" w:type="dxa"/>
            <w:vAlign w:val="center"/>
          </w:tcPr>
          <w:p w14:paraId="1BB10C9F">
            <w:pPr>
              <w:jc w:val="center"/>
              <w:rPr>
                <w:color w:val="000000"/>
                <w:sz w:val="22"/>
                <w:szCs w:val="22"/>
              </w:rPr>
            </w:pPr>
            <w:r>
              <w:rPr>
                <w:color w:val="000000"/>
                <w:sz w:val="22"/>
                <w:szCs w:val="22"/>
              </w:rPr>
              <w:t>90,00</w:t>
            </w:r>
          </w:p>
        </w:tc>
        <w:tc>
          <w:tcPr>
            <w:tcW w:w="1098" w:type="dxa"/>
            <w:vAlign w:val="center"/>
          </w:tcPr>
          <w:p w14:paraId="723DDF0A">
            <w:pPr>
              <w:jc w:val="center"/>
              <w:rPr>
                <w:color w:val="000000"/>
                <w:sz w:val="22"/>
                <w:szCs w:val="22"/>
              </w:rPr>
            </w:pPr>
            <w:r>
              <w:rPr>
                <w:color w:val="000000"/>
                <w:sz w:val="22"/>
                <w:szCs w:val="22"/>
              </w:rPr>
              <w:t>78,94</w:t>
            </w:r>
          </w:p>
        </w:tc>
        <w:tc>
          <w:tcPr>
            <w:tcW w:w="1134" w:type="dxa"/>
            <w:vAlign w:val="center"/>
          </w:tcPr>
          <w:p w14:paraId="4AA27413">
            <w:pPr>
              <w:jc w:val="center"/>
              <w:rPr>
                <w:color w:val="000000"/>
                <w:sz w:val="22"/>
                <w:szCs w:val="22"/>
              </w:rPr>
            </w:pPr>
            <w:r>
              <w:rPr>
                <w:color w:val="000000"/>
                <w:sz w:val="22"/>
                <w:szCs w:val="22"/>
              </w:rPr>
              <w:t>87,7</w:t>
            </w:r>
          </w:p>
        </w:tc>
        <w:tc>
          <w:tcPr>
            <w:tcW w:w="706" w:type="dxa"/>
            <w:vAlign w:val="center"/>
          </w:tcPr>
          <w:p w14:paraId="554BD70A">
            <w:pPr>
              <w:jc w:val="center"/>
              <w:rPr>
                <w:color w:val="000000"/>
                <w:sz w:val="22"/>
                <w:szCs w:val="22"/>
              </w:rPr>
            </w:pPr>
            <w:r>
              <w:rPr>
                <w:color w:val="000000"/>
                <w:sz w:val="22"/>
                <w:szCs w:val="22"/>
              </w:rPr>
              <w:t>4,0</w:t>
            </w:r>
          </w:p>
        </w:tc>
        <w:tc>
          <w:tcPr>
            <w:tcW w:w="1278" w:type="dxa"/>
            <w:vAlign w:val="center"/>
          </w:tcPr>
          <w:p w14:paraId="5985882D">
            <w:pPr>
              <w:jc w:val="center"/>
              <w:rPr>
                <w:color w:val="000000"/>
                <w:sz w:val="22"/>
                <w:szCs w:val="22"/>
              </w:rPr>
            </w:pPr>
            <w:r>
              <w:rPr>
                <w:color w:val="000000"/>
                <w:sz w:val="22"/>
                <w:szCs w:val="22"/>
              </w:rPr>
              <w:t>306,06</w:t>
            </w:r>
          </w:p>
        </w:tc>
        <w:tc>
          <w:tcPr>
            <w:tcW w:w="851" w:type="dxa"/>
            <w:vAlign w:val="center"/>
          </w:tcPr>
          <w:p w14:paraId="72C6159D">
            <w:pPr>
              <w:jc w:val="center"/>
              <w:rPr>
                <w:color w:val="000000"/>
                <w:sz w:val="22"/>
                <w:szCs w:val="22"/>
              </w:rPr>
            </w:pPr>
            <w:r>
              <w:rPr>
                <w:color w:val="000000"/>
                <w:sz w:val="22"/>
                <w:szCs w:val="22"/>
              </w:rPr>
              <w:t>3,4</w:t>
            </w:r>
          </w:p>
        </w:tc>
        <w:tc>
          <w:tcPr>
            <w:tcW w:w="850" w:type="dxa"/>
            <w:vAlign w:val="center"/>
          </w:tcPr>
          <w:p w14:paraId="34381E20">
            <w:pPr>
              <w:jc w:val="center"/>
              <w:rPr>
                <w:color w:val="000000"/>
                <w:sz w:val="22"/>
                <w:szCs w:val="22"/>
              </w:rPr>
            </w:pPr>
            <w:r>
              <w:rPr>
                <w:color w:val="000000"/>
                <w:sz w:val="22"/>
                <w:szCs w:val="22"/>
              </w:rPr>
              <w:t>ĐH3</w:t>
            </w:r>
          </w:p>
        </w:tc>
      </w:tr>
      <w:tr w14:paraId="4214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B025687">
            <w:pPr>
              <w:jc w:val="center"/>
              <w:rPr>
                <w:color w:val="000000"/>
                <w:sz w:val="22"/>
                <w:szCs w:val="22"/>
              </w:rPr>
            </w:pPr>
          </w:p>
        </w:tc>
        <w:tc>
          <w:tcPr>
            <w:tcW w:w="1121" w:type="dxa"/>
            <w:noWrap/>
            <w:vAlign w:val="center"/>
          </w:tcPr>
          <w:p w14:paraId="03BE616C">
            <w:pPr>
              <w:jc w:val="center"/>
              <w:rPr>
                <w:color w:val="000000"/>
                <w:sz w:val="22"/>
                <w:szCs w:val="22"/>
              </w:rPr>
            </w:pPr>
            <w:r>
              <w:rPr>
                <w:color w:val="000000"/>
                <w:sz w:val="22"/>
                <w:szCs w:val="22"/>
              </w:rPr>
              <w:t>KL-18:05</w:t>
            </w:r>
          </w:p>
        </w:tc>
        <w:tc>
          <w:tcPr>
            <w:tcW w:w="1147" w:type="dxa"/>
            <w:vAlign w:val="center"/>
          </w:tcPr>
          <w:p w14:paraId="39AC20AF">
            <w:pPr>
              <w:jc w:val="center"/>
              <w:rPr>
                <w:color w:val="000000"/>
                <w:sz w:val="22"/>
                <w:szCs w:val="22"/>
              </w:rPr>
            </w:pPr>
            <w:r>
              <w:rPr>
                <w:color w:val="000000"/>
                <w:sz w:val="22"/>
                <w:szCs w:val="22"/>
              </w:rPr>
              <w:t>90,00</w:t>
            </w:r>
          </w:p>
        </w:tc>
        <w:tc>
          <w:tcPr>
            <w:tcW w:w="1098" w:type="dxa"/>
            <w:vAlign w:val="center"/>
          </w:tcPr>
          <w:p w14:paraId="1B6EB91C">
            <w:pPr>
              <w:jc w:val="center"/>
              <w:rPr>
                <w:color w:val="000000"/>
                <w:sz w:val="22"/>
                <w:szCs w:val="22"/>
              </w:rPr>
            </w:pPr>
            <w:r>
              <w:rPr>
                <w:color w:val="000000"/>
                <w:sz w:val="22"/>
                <w:szCs w:val="22"/>
              </w:rPr>
              <w:t>78,94</w:t>
            </w:r>
          </w:p>
        </w:tc>
        <w:tc>
          <w:tcPr>
            <w:tcW w:w="1134" w:type="dxa"/>
            <w:vAlign w:val="center"/>
          </w:tcPr>
          <w:p w14:paraId="01C0315B">
            <w:pPr>
              <w:jc w:val="center"/>
              <w:rPr>
                <w:color w:val="000000"/>
                <w:sz w:val="22"/>
                <w:szCs w:val="22"/>
              </w:rPr>
            </w:pPr>
            <w:r>
              <w:rPr>
                <w:color w:val="000000"/>
                <w:sz w:val="22"/>
                <w:szCs w:val="22"/>
              </w:rPr>
              <w:t>87,7</w:t>
            </w:r>
          </w:p>
        </w:tc>
        <w:tc>
          <w:tcPr>
            <w:tcW w:w="706" w:type="dxa"/>
            <w:vAlign w:val="center"/>
          </w:tcPr>
          <w:p w14:paraId="45321CCA">
            <w:pPr>
              <w:jc w:val="center"/>
              <w:rPr>
                <w:color w:val="000000"/>
                <w:sz w:val="22"/>
                <w:szCs w:val="22"/>
              </w:rPr>
            </w:pPr>
            <w:r>
              <w:rPr>
                <w:color w:val="000000"/>
                <w:sz w:val="22"/>
                <w:szCs w:val="22"/>
              </w:rPr>
              <w:t>4,0</w:t>
            </w:r>
          </w:p>
        </w:tc>
        <w:tc>
          <w:tcPr>
            <w:tcW w:w="1278" w:type="dxa"/>
            <w:vAlign w:val="center"/>
          </w:tcPr>
          <w:p w14:paraId="2E875C16">
            <w:pPr>
              <w:jc w:val="center"/>
              <w:rPr>
                <w:color w:val="000000"/>
                <w:sz w:val="22"/>
                <w:szCs w:val="22"/>
              </w:rPr>
            </w:pPr>
            <w:r>
              <w:rPr>
                <w:color w:val="000000"/>
                <w:sz w:val="22"/>
                <w:szCs w:val="22"/>
              </w:rPr>
              <w:t>306,06</w:t>
            </w:r>
          </w:p>
        </w:tc>
        <w:tc>
          <w:tcPr>
            <w:tcW w:w="851" w:type="dxa"/>
            <w:vAlign w:val="center"/>
          </w:tcPr>
          <w:p w14:paraId="19E47549">
            <w:pPr>
              <w:jc w:val="center"/>
              <w:rPr>
                <w:color w:val="000000"/>
                <w:sz w:val="22"/>
                <w:szCs w:val="22"/>
              </w:rPr>
            </w:pPr>
            <w:r>
              <w:rPr>
                <w:color w:val="000000"/>
                <w:sz w:val="22"/>
                <w:szCs w:val="22"/>
              </w:rPr>
              <w:t>3,4</w:t>
            </w:r>
          </w:p>
        </w:tc>
        <w:tc>
          <w:tcPr>
            <w:tcW w:w="850" w:type="dxa"/>
            <w:vAlign w:val="center"/>
          </w:tcPr>
          <w:p w14:paraId="6C743B52">
            <w:pPr>
              <w:jc w:val="center"/>
              <w:rPr>
                <w:color w:val="000000"/>
                <w:sz w:val="22"/>
                <w:szCs w:val="22"/>
              </w:rPr>
            </w:pPr>
            <w:r>
              <w:rPr>
                <w:color w:val="000000"/>
                <w:sz w:val="22"/>
                <w:szCs w:val="22"/>
              </w:rPr>
              <w:t>ĐH3</w:t>
            </w:r>
          </w:p>
        </w:tc>
      </w:tr>
      <w:tr w14:paraId="7101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2F8E1F82">
            <w:pPr>
              <w:jc w:val="center"/>
              <w:rPr>
                <w:color w:val="000000"/>
                <w:sz w:val="22"/>
                <w:szCs w:val="22"/>
              </w:rPr>
            </w:pPr>
          </w:p>
        </w:tc>
        <w:tc>
          <w:tcPr>
            <w:tcW w:w="1121" w:type="dxa"/>
            <w:noWrap/>
            <w:vAlign w:val="center"/>
          </w:tcPr>
          <w:p w14:paraId="7A5B8900">
            <w:pPr>
              <w:jc w:val="center"/>
              <w:rPr>
                <w:color w:val="000000"/>
                <w:sz w:val="22"/>
                <w:szCs w:val="22"/>
              </w:rPr>
            </w:pPr>
            <w:r>
              <w:rPr>
                <w:color w:val="000000"/>
                <w:sz w:val="22"/>
                <w:szCs w:val="22"/>
              </w:rPr>
              <w:t>KL-18:06</w:t>
            </w:r>
          </w:p>
        </w:tc>
        <w:tc>
          <w:tcPr>
            <w:tcW w:w="1147" w:type="dxa"/>
            <w:vAlign w:val="center"/>
          </w:tcPr>
          <w:p w14:paraId="24A3CFD8">
            <w:pPr>
              <w:jc w:val="center"/>
              <w:rPr>
                <w:color w:val="000000"/>
                <w:sz w:val="22"/>
                <w:szCs w:val="22"/>
              </w:rPr>
            </w:pPr>
            <w:r>
              <w:rPr>
                <w:color w:val="000000"/>
                <w:sz w:val="22"/>
                <w:szCs w:val="22"/>
              </w:rPr>
              <w:t>90,00</w:t>
            </w:r>
          </w:p>
        </w:tc>
        <w:tc>
          <w:tcPr>
            <w:tcW w:w="1098" w:type="dxa"/>
            <w:vAlign w:val="center"/>
          </w:tcPr>
          <w:p w14:paraId="3B695B46">
            <w:pPr>
              <w:jc w:val="center"/>
              <w:rPr>
                <w:color w:val="000000"/>
                <w:sz w:val="22"/>
                <w:szCs w:val="22"/>
              </w:rPr>
            </w:pPr>
            <w:r>
              <w:rPr>
                <w:color w:val="000000"/>
                <w:sz w:val="22"/>
                <w:szCs w:val="22"/>
              </w:rPr>
              <w:t>78,94</w:t>
            </w:r>
          </w:p>
        </w:tc>
        <w:tc>
          <w:tcPr>
            <w:tcW w:w="1134" w:type="dxa"/>
            <w:vAlign w:val="center"/>
          </w:tcPr>
          <w:p w14:paraId="53DF630C">
            <w:pPr>
              <w:jc w:val="center"/>
              <w:rPr>
                <w:color w:val="000000"/>
                <w:sz w:val="22"/>
                <w:szCs w:val="22"/>
              </w:rPr>
            </w:pPr>
            <w:r>
              <w:rPr>
                <w:color w:val="000000"/>
                <w:sz w:val="22"/>
                <w:szCs w:val="22"/>
              </w:rPr>
              <w:t>87,7</w:t>
            </w:r>
          </w:p>
        </w:tc>
        <w:tc>
          <w:tcPr>
            <w:tcW w:w="706" w:type="dxa"/>
            <w:vAlign w:val="center"/>
          </w:tcPr>
          <w:p w14:paraId="3BE79C4D">
            <w:pPr>
              <w:jc w:val="center"/>
              <w:rPr>
                <w:color w:val="000000"/>
                <w:sz w:val="22"/>
                <w:szCs w:val="22"/>
              </w:rPr>
            </w:pPr>
            <w:r>
              <w:rPr>
                <w:color w:val="000000"/>
                <w:sz w:val="22"/>
                <w:szCs w:val="22"/>
              </w:rPr>
              <w:t>4,0</w:t>
            </w:r>
          </w:p>
        </w:tc>
        <w:tc>
          <w:tcPr>
            <w:tcW w:w="1278" w:type="dxa"/>
            <w:vAlign w:val="center"/>
          </w:tcPr>
          <w:p w14:paraId="3F6400C0">
            <w:pPr>
              <w:jc w:val="center"/>
              <w:rPr>
                <w:color w:val="000000"/>
                <w:sz w:val="22"/>
                <w:szCs w:val="22"/>
              </w:rPr>
            </w:pPr>
            <w:r>
              <w:rPr>
                <w:color w:val="000000"/>
                <w:sz w:val="22"/>
                <w:szCs w:val="22"/>
              </w:rPr>
              <w:t>306,06</w:t>
            </w:r>
          </w:p>
        </w:tc>
        <w:tc>
          <w:tcPr>
            <w:tcW w:w="851" w:type="dxa"/>
            <w:vAlign w:val="center"/>
          </w:tcPr>
          <w:p w14:paraId="7A7DAA3A">
            <w:pPr>
              <w:jc w:val="center"/>
              <w:rPr>
                <w:color w:val="000000"/>
                <w:sz w:val="22"/>
                <w:szCs w:val="22"/>
              </w:rPr>
            </w:pPr>
            <w:r>
              <w:rPr>
                <w:color w:val="000000"/>
                <w:sz w:val="22"/>
                <w:szCs w:val="22"/>
              </w:rPr>
              <w:t>3,4</w:t>
            </w:r>
          </w:p>
        </w:tc>
        <w:tc>
          <w:tcPr>
            <w:tcW w:w="850" w:type="dxa"/>
            <w:vAlign w:val="center"/>
          </w:tcPr>
          <w:p w14:paraId="41F8632A">
            <w:pPr>
              <w:jc w:val="center"/>
              <w:rPr>
                <w:color w:val="000000"/>
                <w:sz w:val="22"/>
                <w:szCs w:val="22"/>
              </w:rPr>
            </w:pPr>
            <w:r>
              <w:rPr>
                <w:color w:val="000000"/>
                <w:sz w:val="22"/>
                <w:szCs w:val="22"/>
              </w:rPr>
              <w:t>ĐH3</w:t>
            </w:r>
          </w:p>
        </w:tc>
      </w:tr>
      <w:tr w14:paraId="777451C1">
        <w:tblPrEx>
          <w:tblCellMar>
            <w:top w:w="0" w:type="dxa"/>
            <w:left w:w="108" w:type="dxa"/>
            <w:bottom w:w="0" w:type="dxa"/>
            <w:right w:w="108" w:type="dxa"/>
          </w:tblCellMar>
        </w:tblPrEx>
        <w:trPr>
          <w:trHeight w:val="20" w:hRule="atLeast"/>
        </w:trPr>
        <w:tc>
          <w:tcPr>
            <w:tcW w:w="988" w:type="dxa"/>
            <w:noWrap/>
            <w:vAlign w:val="center"/>
          </w:tcPr>
          <w:p w14:paraId="5118CE57">
            <w:pPr>
              <w:jc w:val="center"/>
              <w:rPr>
                <w:b/>
                <w:bCs/>
                <w:color w:val="000000"/>
                <w:sz w:val="22"/>
                <w:szCs w:val="22"/>
              </w:rPr>
            </w:pPr>
            <w:r>
              <w:rPr>
                <w:b/>
                <w:bCs/>
                <w:color w:val="000000"/>
                <w:sz w:val="22"/>
                <w:szCs w:val="22"/>
              </w:rPr>
              <w:t>Tổng</w:t>
            </w:r>
          </w:p>
        </w:tc>
        <w:tc>
          <w:tcPr>
            <w:tcW w:w="1121" w:type="dxa"/>
            <w:noWrap/>
            <w:vAlign w:val="center"/>
          </w:tcPr>
          <w:p w14:paraId="3FB0D086">
            <w:pPr>
              <w:jc w:val="center"/>
              <w:rPr>
                <w:b/>
                <w:bCs/>
                <w:color w:val="000000"/>
                <w:sz w:val="22"/>
                <w:szCs w:val="22"/>
              </w:rPr>
            </w:pPr>
            <w:r>
              <w:rPr>
                <w:b/>
                <w:bCs/>
                <w:color w:val="000000"/>
                <w:sz w:val="22"/>
                <w:szCs w:val="22"/>
              </w:rPr>
              <w:t>KL-18</w:t>
            </w:r>
          </w:p>
        </w:tc>
        <w:tc>
          <w:tcPr>
            <w:tcW w:w="1147" w:type="dxa"/>
            <w:vAlign w:val="center"/>
          </w:tcPr>
          <w:p w14:paraId="7D3C7440">
            <w:pPr>
              <w:jc w:val="center"/>
              <w:rPr>
                <w:b/>
                <w:bCs/>
                <w:color w:val="000000"/>
                <w:sz w:val="22"/>
                <w:szCs w:val="22"/>
              </w:rPr>
            </w:pPr>
            <w:r>
              <w:rPr>
                <w:b/>
                <w:bCs/>
                <w:color w:val="000000"/>
                <w:sz w:val="22"/>
                <w:szCs w:val="22"/>
              </w:rPr>
              <w:t>543,25</w:t>
            </w:r>
          </w:p>
        </w:tc>
        <w:tc>
          <w:tcPr>
            <w:tcW w:w="1098" w:type="dxa"/>
            <w:vAlign w:val="center"/>
          </w:tcPr>
          <w:p w14:paraId="1344B7B5">
            <w:pPr>
              <w:jc w:val="center"/>
              <w:rPr>
                <w:b/>
                <w:bCs/>
                <w:color w:val="000000"/>
                <w:sz w:val="22"/>
                <w:szCs w:val="22"/>
              </w:rPr>
            </w:pPr>
            <w:r>
              <w:rPr>
                <w:b/>
                <w:bCs/>
                <w:color w:val="000000"/>
                <w:sz w:val="22"/>
                <w:szCs w:val="22"/>
              </w:rPr>
              <w:t>472,2</w:t>
            </w:r>
          </w:p>
        </w:tc>
        <w:tc>
          <w:tcPr>
            <w:tcW w:w="1134" w:type="dxa"/>
            <w:vAlign w:val="center"/>
          </w:tcPr>
          <w:p w14:paraId="4E48695A">
            <w:pPr>
              <w:jc w:val="center"/>
              <w:rPr>
                <w:b/>
                <w:bCs/>
                <w:color w:val="000000"/>
                <w:sz w:val="22"/>
                <w:szCs w:val="22"/>
              </w:rPr>
            </w:pPr>
            <w:r>
              <w:rPr>
                <w:b/>
                <w:bCs/>
                <w:color w:val="000000"/>
                <w:sz w:val="22"/>
                <w:szCs w:val="22"/>
              </w:rPr>
              <w:t>86,9</w:t>
            </w:r>
          </w:p>
        </w:tc>
        <w:tc>
          <w:tcPr>
            <w:tcW w:w="706" w:type="dxa"/>
            <w:vAlign w:val="center"/>
          </w:tcPr>
          <w:p w14:paraId="4AFE904A">
            <w:pPr>
              <w:jc w:val="center"/>
              <w:rPr>
                <w:color w:val="000000"/>
                <w:sz w:val="22"/>
                <w:szCs w:val="22"/>
              </w:rPr>
            </w:pPr>
          </w:p>
        </w:tc>
        <w:tc>
          <w:tcPr>
            <w:tcW w:w="1278" w:type="dxa"/>
            <w:vAlign w:val="center"/>
          </w:tcPr>
          <w:p w14:paraId="22F2449F">
            <w:pPr>
              <w:jc w:val="center"/>
              <w:rPr>
                <w:b/>
                <w:bCs/>
                <w:color w:val="000000"/>
                <w:sz w:val="22"/>
                <w:szCs w:val="22"/>
              </w:rPr>
            </w:pPr>
            <w:r>
              <w:rPr>
                <w:b/>
                <w:bCs/>
                <w:color w:val="000000"/>
                <w:sz w:val="22"/>
                <w:szCs w:val="22"/>
              </w:rPr>
              <w:t>1.850,6</w:t>
            </w:r>
          </w:p>
        </w:tc>
        <w:tc>
          <w:tcPr>
            <w:tcW w:w="851" w:type="dxa"/>
            <w:vAlign w:val="center"/>
          </w:tcPr>
          <w:p w14:paraId="433F4427">
            <w:pPr>
              <w:jc w:val="center"/>
              <w:rPr>
                <w:b/>
                <w:bCs/>
                <w:color w:val="000000"/>
                <w:sz w:val="22"/>
                <w:szCs w:val="22"/>
              </w:rPr>
            </w:pPr>
            <w:r>
              <w:rPr>
                <w:b/>
                <w:bCs/>
                <w:color w:val="000000"/>
                <w:sz w:val="22"/>
                <w:szCs w:val="22"/>
              </w:rPr>
              <w:t>3,4</w:t>
            </w:r>
          </w:p>
        </w:tc>
        <w:tc>
          <w:tcPr>
            <w:tcW w:w="850" w:type="dxa"/>
            <w:vAlign w:val="center"/>
          </w:tcPr>
          <w:p w14:paraId="6D267571">
            <w:pPr>
              <w:jc w:val="center"/>
              <w:rPr>
                <w:color w:val="000000"/>
                <w:sz w:val="22"/>
                <w:szCs w:val="22"/>
              </w:rPr>
            </w:pPr>
          </w:p>
        </w:tc>
      </w:tr>
      <w:tr w14:paraId="0DB1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447153EC">
            <w:pPr>
              <w:jc w:val="center"/>
              <w:rPr>
                <w:color w:val="000000"/>
                <w:sz w:val="22"/>
                <w:szCs w:val="22"/>
              </w:rPr>
            </w:pPr>
            <w:r>
              <w:rPr>
                <w:color w:val="000000"/>
                <w:sz w:val="22"/>
                <w:szCs w:val="22"/>
              </w:rPr>
              <w:t>LK20</w:t>
            </w:r>
          </w:p>
        </w:tc>
        <w:tc>
          <w:tcPr>
            <w:tcW w:w="1121" w:type="dxa"/>
            <w:noWrap/>
            <w:vAlign w:val="center"/>
          </w:tcPr>
          <w:p w14:paraId="4AAD537C">
            <w:pPr>
              <w:jc w:val="center"/>
              <w:rPr>
                <w:color w:val="000000"/>
                <w:sz w:val="22"/>
                <w:szCs w:val="22"/>
              </w:rPr>
            </w:pPr>
            <w:r>
              <w:rPr>
                <w:color w:val="000000"/>
                <w:sz w:val="22"/>
                <w:szCs w:val="22"/>
              </w:rPr>
              <w:t>KL-20:01</w:t>
            </w:r>
          </w:p>
        </w:tc>
        <w:tc>
          <w:tcPr>
            <w:tcW w:w="1147" w:type="dxa"/>
            <w:vAlign w:val="center"/>
          </w:tcPr>
          <w:p w14:paraId="76689236">
            <w:pPr>
              <w:jc w:val="center"/>
              <w:rPr>
                <w:color w:val="000000"/>
                <w:sz w:val="22"/>
                <w:szCs w:val="22"/>
              </w:rPr>
            </w:pPr>
            <w:r>
              <w:rPr>
                <w:color w:val="000000"/>
                <w:sz w:val="22"/>
                <w:szCs w:val="22"/>
              </w:rPr>
              <w:t>90,00</w:t>
            </w:r>
          </w:p>
        </w:tc>
        <w:tc>
          <w:tcPr>
            <w:tcW w:w="1098" w:type="dxa"/>
            <w:vAlign w:val="center"/>
          </w:tcPr>
          <w:p w14:paraId="24BE1D7A">
            <w:pPr>
              <w:jc w:val="center"/>
              <w:rPr>
                <w:color w:val="000000"/>
                <w:sz w:val="22"/>
                <w:szCs w:val="22"/>
              </w:rPr>
            </w:pPr>
            <w:r>
              <w:rPr>
                <w:color w:val="000000"/>
                <w:sz w:val="22"/>
                <w:szCs w:val="22"/>
              </w:rPr>
              <w:t>78,94</w:t>
            </w:r>
          </w:p>
        </w:tc>
        <w:tc>
          <w:tcPr>
            <w:tcW w:w="1134" w:type="dxa"/>
            <w:vAlign w:val="center"/>
          </w:tcPr>
          <w:p w14:paraId="2C7D8E8A">
            <w:pPr>
              <w:jc w:val="center"/>
              <w:rPr>
                <w:color w:val="000000"/>
                <w:sz w:val="22"/>
                <w:szCs w:val="22"/>
              </w:rPr>
            </w:pPr>
            <w:r>
              <w:rPr>
                <w:color w:val="000000"/>
                <w:sz w:val="22"/>
                <w:szCs w:val="22"/>
              </w:rPr>
              <w:t>87,7</w:t>
            </w:r>
          </w:p>
        </w:tc>
        <w:tc>
          <w:tcPr>
            <w:tcW w:w="706" w:type="dxa"/>
            <w:vAlign w:val="center"/>
          </w:tcPr>
          <w:p w14:paraId="67D206F7">
            <w:pPr>
              <w:jc w:val="center"/>
              <w:rPr>
                <w:color w:val="000000"/>
                <w:sz w:val="22"/>
                <w:szCs w:val="22"/>
              </w:rPr>
            </w:pPr>
            <w:r>
              <w:rPr>
                <w:color w:val="000000"/>
                <w:sz w:val="22"/>
                <w:szCs w:val="22"/>
              </w:rPr>
              <w:t>4,0</w:t>
            </w:r>
          </w:p>
        </w:tc>
        <w:tc>
          <w:tcPr>
            <w:tcW w:w="1278" w:type="dxa"/>
            <w:vAlign w:val="center"/>
          </w:tcPr>
          <w:p w14:paraId="7F6232D4">
            <w:pPr>
              <w:jc w:val="center"/>
              <w:rPr>
                <w:color w:val="000000"/>
                <w:sz w:val="22"/>
                <w:szCs w:val="22"/>
              </w:rPr>
            </w:pPr>
            <w:r>
              <w:rPr>
                <w:color w:val="000000"/>
                <w:sz w:val="22"/>
                <w:szCs w:val="22"/>
              </w:rPr>
              <w:t>306,06</w:t>
            </w:r>
          </w:p>
        </w:tc>
        <w:tc>
          <w:tcPr>
            <w:tcW w:w="851" w:type="dxa"/>
            <w:vAlign w:val="center"/>
          </w:tcPr>
          <w:p w14:paraId="7544EDF1">
            <w:pPr>
              <w:jc w:val="center"/>
              <w:rPr>
                <w:color w:val="000000"/>
                <w:sz w:val="22"/>
                <w:szCs w:val="22"/>
              </w:rPr>
            </w:pPr>
            <w:r>
              <w:rPr>
                <w:color w:val="000000"/>
                <w:sz w:val="22"/>
                <w:szCs w:val="22"/>
              </w:rPr>
              <w:t>3,4</w:t>
            </w:r>
          </w:p>
        </w:tc>
        <w:tc>
          <w:tcPr>
            <w:tcW w:w="850" w:type="dxa"/>
            <w:vAlign w:val="center"/>
          </w:tcPr>
          <w:p w14:paraId="70692B5D">
            <w:pPr>
              <w:jc w:val="center"/>
              <w:rPr>
                <w:color w:val="000000"/>
                <w:sz w:val="22"/>
                <w:szCs w:val="22"/>
              </w:rPr>
            </w:pPr>
            <w:r>
              <w:rPr>
                <w:color w:val="000000"/>
                <w:sz w:val="22"/>
                <w:szCs w:val="22"/>
              </w:rPr>
              <w:t>ĐH3</w:t>
            </w:r>
          </w:p>
        </w:tc>
      </w:tr>
      <w:tr w14:paraId="3A13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B1007F9">
            <w:pPr>
              <w:jc w:val="center"/>
              <w:rPr>
                <w:color w:val="000000"/>
                <w:sz w:val="22"/>
                <w:szCs w:val="22"/>
              </w:rPr>
            </w:pPr>
          </w:p>
        </w:tc>
        <w:tc>
          <w:tcPr>
            <w:tcW w:w="1121" w:type="dxa"/>
            <w:noWrap/>
            <w:vAlign w:val="center"/>
          </w:tcPr>
          <w:p w14:paraId="610EC04F">
            <w:pPr>
              <w:jc w:val="center"/>
              <w:rPr>
                <w:color w:val="000000"/>
                <w:sz w:val="22"/>
                <w:szCs w:val="22"/>
              </w:rPr>
            </w:pPr>
            <w:r>
              <w:rPr>
                <w:color w:val="000000"/>
                <w:sz w:val="22"/>
                <w:szCs w:val="22"/>
              </w:rPr>
              <w:t>KL-20:02</w:t>
            </w:r>
          </w:p>
        </w:tc>
        <w:tc>
          <w:tcPr>
            <w:tcW w:w="1147" w:type="dxa"/>
            <w:vAlign w:val="center"/>
          </w:tcPr>
          <w:p w14:paraId="0DF4836C">
            <w:pPr>
              <w:jc w:val="center"/>
              <w:rPr>
                <w:color w:val="000000"/>
                <w:sz w:val="22"/>
                <w:szCs w:val="22"/>
              </w:rPr>
            </w:pPr>
            <w:r>
              <w:rPr>
                <w:color w:val="000000"/>
                <w:sz w:val="22"/>
                <w:szCs w:val="22"/>
              </w:rPr>
              <w:t>90,00</w:t>
            </w:r>
          </w:p>
        </w:tc>
        <w:tc>
          <w:tcPr>
            <w:tcW w:w="1098" w:type="dxa"/>
            <w:vAlign w:val="center"/>
          </w:tcPr>
          <w:p w14:paraId="78628F36">
            <w:pPr>
              <w:jc w:val="center"/>
              <w:rPr>
                <w:color w:val="000000"/>
                <w:sz w:val="22"/>
                <w:szCs w:val="22"/>
              </w:rPr>
            </w:pPr>
            <w:r>
              <w:rPr>
                <w:color w:val="000000"/>
                <w:sz w:val="22"/>
                <w:szCs w:val="22"/>
              </w:rPr>
              <w:t>78,94</w:t>
            </w:r>
          </w:p>
        </w:tc>
        <w:tc>
          <w:tcPr>
            <w:tcW w:w="1134" w:type="dxa"/>
            <w:vAlign w:val="center"/>
          </w:tcPr>
          <w:p w14:paraId="781D07AB">
            <w:pPr>
              <w:jc w:val="center"/>
              <w:rPr>
                <w:color w:val="000000"/>
                <w:sz w:val="22"/>
                <w:szCs w:val="22"/>
              </w:rPr>
            </w:pPr>
            <w:r>
              <w:rPr>
                <w:color w:val="000000"/>
                <w:sz w:val="22"/>
                <w:szCs w:val="22"/>
              </w:rPr>
              <w:t>87,7</w:t>
            </w:r>
          </w:p>
        </w:tc>
        <w:tc>
          <w:tcPr>
            <w:tcW w:w="706" w:type="dxa"/>
            <w:vAlign w:val="center"/>
          </w:tcPr>
          <w:p w14:paraId="0CBC3179">
            <w:pPr>
              <w:jc w:val="center"/>
              <w:rPr>
                <w:color w:val="000000"/>
                <w:sz w:val="22"/>
                <w:szCs w:val="22"/>
              </w:rPr>
            </w:pPr>
            <w:r>
              <w:rPr>
                <w:color w:val="000000"/>
                <w:sz w:val="22"/>
                <w:szCs w:val="22"/>
              </w:rPr>
              <w:t>4,0</w:t>
            </w:r>
          </w:p>
        </w:tc>
        <w:tc>
          <w:tcPr>
            <w:tcW w:w="1278" w:type="dxa"/>
            <w:vAlign w:val="center"/>
          </w:tcPr>
          <w:p w14:paraId="2AC2964C">
            <w:pPr>
              <w:jc w:val="center"/>
              <w:rPr>
                <w:color w:val="000000"/>
                <w:sz w:val="22"/>
                <w:szCs w:val="22"/>
              </w:rPr>
            </w:pPr>
            <w:r>
              <w:rPr>
                <w:color w:val="000000"/>
                <w:sz w:val="22"/>
                <w:szCs w:val="22"/>
              </w:rPr>
              <w:t>306,06</w:t>
            </w:r>
          </w:p>
        </w:tc>
        <w:tc>
          <w:tcPr>
            <w:tcW w:w="851" w:type="dxa"/>
            <w:vAlign w:val="center"/>
          </w:tcPr>
          <w:p w14:paraId="060CA2F3">
            <w:pPr>
              <w:jc w:val="center"/>
              <w:rPr>
                <w:color w:val="000000"/>
                <w:sz w:val="22"/>
                <w:szCs w:val="22"/>
              </w:rPr>
            </w:pPr>
            <w:r>
              <w:rPr>
                <w:color w:val="000000"/>
                <w:sz w:val="22"/>
                <w:szCs w:val="22"/>
              </w:rPr>
              <w:t>3,4</w:t>
            </w:r>
          </w:p>
        </w:tc>
        <w:tc>
          <w:tcPr>
            <w:tcW w:w="850" w:type="dxa"/>
            <w:vAlign w:val="center"/>
          </w:tcPr>
          <w:p w14:paraId="2DD406BD">
            <w:pPr>
              <w:jc w:val="center"/>
              <w:rPr>
                <w:color w:val="000000"/>
                <w:sz w:val="22"/>
                <w:szCs w:val="22"/>
              </w:rPr>
            </w:pPr>
            <w:r>
              <w:rPr>
                <w:color w:val="000000"/>
                <w:sz w:val="22"/>
                <w:szCs w:val="22"/>
              </w:rPr>
              <w:t>ĐH3</w:t>
            </w:r>
          </w:p>
        </w:tc>
      </w:tr>
      <w:tr w14:paraId="5166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42D4A8B">
            <w:pPr>
              <w:jc w:val="center"/>
              <w:rPr>
                <w:color w:val="000000"/>
                <w:sz w:val="22"/>
                <w:szCs w:val="22"/>
              </w:rPr>
            </w:pPr>
          </w:p>
        </w:tc>
        <w:tc>
          <w:tcPr>
            <w:tcW w:w="1121" w:type="dxa"/>
            <w:noWrap/>
            <w:vAlign w:val="center"/>
          </w:tcPr>
          <w:p w14:paraId="289182ED">
            <w:pPr>
              <w:jc w:val="center"/>
              <w:rPr>
                <w:color w:val="000000"/>
                <w:sz w:val="22"/>
                <w:szCs w:val="22"/>
              </w:rPr>
            </w:pPr>
            <w:r>
              <w:rPr>
                <w:color w:val="000000"/>
                <w:sz w:val="22"/>
                <w:szCs w:val="22"/>
              </w:rPr>
              <w:t>KL-20:03</w:t>
            </w:r>
          </w:p>
        </w:tc>
        <w:tc>
          <w:tcPr>
            <w:tcW w:w="1147" w:type="dxa"/>
            <w:vAlign w:val="center"/>
          </w:tcPr>
          <w:p w14:paraId="71587C10">
            <w:pPr>
              <w:jc w:val="center"/>
              <w:rPr>
                <w:color w:val="000000"/>
                <w:sz w:val="22"/>
                <w:szCs w:val="22"/>
              </w:rPr>
            </w:pPr>
            <w:r>
              <w:rPr>
                <w:color w:val="000000"/>
                <w:sz w:val="22"/>
                <w:szCs w:val="22"/>
              </w:rPr>
              <w:t>90,00</w:t>
            </w:r>
          </w:p>
        </w:tc>
        <w:tc>
          <w:tcPr>
            <w:tcW w:w="1098" w:type="dxa"/>
            <w:vAlign w:val="center"/>
          </w:tcPr>
          <w:p w14:paraId="6A9C53F7">
            <w:pPr>
              <w:jc w:val="center"/>
              <w:rPr>
                <w:color w:val="000000"/>
                <w:sz w:val="22"/>
                <w:szCs w:val="22"/>
              </w:rPr>
            </w:pPr>
            <w:r>
              <w:rPr>
                <w:color w:val="000000"/>
                <w:sz w:val="22"/>
                <w:szCs w:val="22"/>
              </w:rPr>
              <w:t>78,94</w:t>
            </w:r>
          </w:p>
        </w:tc>
        <w:tc>
          <w:tcPr>
            <w:tcW w:w="1134" w:type="dxa"/>
            <w:vAlign w:val="center"/>
          </w:tcPr>
          <w:p w14:paraId="0A4E2923">
            <w:pPr>
              <w:jc w:val="center"/>
              <w:rPr>
                <w:color w:val="000000"/>
                <w:sz w:val="22"/>
                <w:szCs w:val="22"/>
              </w:rPr>
            </w:pPr>
            <w:r>
              <w:rPr>
                <w:color w:val="000000"/>
                <w:sz w:val="22"/>
                <w:szCs w:val="22"/>
              </w:rPr>
              <w:t>87,7</w:t>
            </w:r>
          </w:p>
        </w:tc>
        <w:tc>
          <w:tcPr>
            <w:tcW w:w="706" w:type="dxa"/>
            <w:vAlign w:val="center"/>
          </w:tcPr>
          <w:p w14:paraId="738CE799">
            <w:pPr>
              <w:jc w:val="center"/>
              <w:rPr>
                <w:color w:val="000000"/>
                <w:sz w:val="22"/>
                <w:szCs w:val="22"/>
              </w:rPr>
            </w:pPr>
            <w:r>
              <w:rPr>
                <w:color w:val="000000"/>
                <w:sz w:val="22"/>
                <w:szCs w:val="22"/>
              </w:rPr>
              <w:t>4,0</w:t>
            </w:r>
          </w:p>
        </w:tc>
        <w:tc>
          <w:tcPr>
            <w:tcW w:w="1278" w:type="dxa"/>
            <w:vAlign w:val="center"/>
          </w:tcPr>
          <w:p w14:paraId="7F9DC826">
            <w:pPr>
              <w:jc w:val="center"/>
              <w:rPr>
                <w:color w:val="000000"/>
                <w:sz w:val="22"/>
                <w:szCs w:val="22"/>
              </w:rPr>
            </w:pPr>
            <w:r>
              <w:rPr>
                <w:color w:val="000000"/>
                <w:sz w:val="22"/>
                <w:szCs w:val="22"/>
              </w:rPr>
              <w:t>306,06</w:t>
            </w:r>
          </w:p>
        </w:tc>
        <w:tc>
          <w:tcPr>
            <w:tcW w:w="851" w:type="dxa"/>
            <w:vAlign w:val="center"/>
          </w:tcPr>
          <w:p w14:paraId="6314457A">
            <w:pPr>
              <w:jc w:val="center"/>
              <w:rPr>
                <w:color w:val="000000"/>
                <w:sz w:val="22"/>
                <w:szCs w:val="22"/>
              </w:rPr>
            </w:pPr>
            <w:r>
              <w:rPr>
                <w:color w:val="000000"/>
                <w:sz w:val="22"/>
                <w:szCs w:val="22"/>
              </w:rPr>
              <w:t>3,4</w:t>
            </w:r>
          </w:p>
        </w:tc>
        <w:tc>
          <w:tcPr>
            <w:tcW w:w="850" w:type="dxa"/>
            <w:vAlign w:val="center"/>
          </w:tcPr>
          <w:p w14:paraId="1BBA33E9">
            <w:pPr>
              <w:jc w:val="center"/>
              <w:rPr>
                <w:color w:val="000000"/>
                <w:sz w:val="22"/>
                <w:szCs w:val="22"/>
              </w:rPr>
            </w:pPr>
            <w:r>
              <w:rPr>
                <w:color w:val="000000"/>
                <w:sz w:val="22"/>
                <w:szCs w:val="22"/>
              </w:rPr>
              <w:t>ĐH3</w:t>
            </w:r>
          </w:p>
        </w:tc>
      </w:tr>
      <w:tr w14:paraId="3927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A231FF8">
            <w:pPr>
              <w:jc w:val="center"/>
              <w:rPr>
                <w:color w:val="000000"/>
                <w:sz w:val="22"/>
                <w:szCs w:val="22"/>
              </w:rPr>
            </w:pPr>
          </w:p>
        </w:tc>
        <w:tc>
          <w:tcPr>
            <w:tcW w:w="1121" w:type="dxa"/>
            <w:noWrap/>
            <w:vAlign w:val="center"/>
          </w:tcPr>
          <w:p w14:paraId="108E656F">
            <w:pPr>
              <w:jc w:val="center"/>
              <w:rPr>
                <w:color w:val="000000"/>
                <w:sz w:val="22"/>
                <w:szCs w:val="22"/>
              </w:rPr>
            </w:pPr>
            <w:r>
              <w:rPr>
                <w:color w:val="000000"/>
                <w:sz w:val="22"/>
                <w:szCs w:val="22"/>
              </w:rPr>
              <w:t>KL-20:04</w:t>
            </w:r>
          </w:p>
        </w:tc>
        <w:tc>
          <w:tcPr>
            <w:tcW w:w="1147" w:type="dxa"/>
            <w:vAlign w:val="center"/>
          </w:tcPr>
          <w:p w14:paraId="41D5FBDC">
            <w:pPr>
              <w:jc w:val="center"/>
              <w:rPr>
                <w:color w:val="000000"/>
                <w:sz w:val="22"/>
                <w:szCs w:val="22"/>
              </w:rPr>
            </w:pPr>
            <w:r>
              <w:rPr>
                <w:color w:val="000000"/>
                <w:sz w:val="22"/>
                <w:szCs w:val="22"/>
              </w:rPr>
              <w:t>90,00</w:t>
            </w:r>
          </w:p>
        </w:tc>
        <w:tc>
          <w:tcPr>
            <w:tcW w:w="1098" w:type="dxa"/>
            <w:vAlign w:val="center"/>
          </w:tcPr>
          <w:p w14:paraId="492C0B07">
            <w:pPr>
              <w:jc w:val="center"/>
              <w:rPr>
                <w:color w:val="000000"/>
                <w:sz w:val="22"/>
                <w:szCs w:val="22"/>
              </w:rPr>
            </w:pPr>
            <w:r>
              <w:rPr>
                <w:color w:val="000000"/>
                <w:sz w:val="22"/>
                <w:szCs w:val="22"/>
              </w:rPr>
              <w:t>78,94</w:t>
            </w:r>
          </w:p>
        </w:tc>
        <w:tc>
          <w:tcPr>
            <w:tcW w:w="1134" w:type="dxa"/>
            <w:vAlign w:val="center"/>
          </w:tcPr>
          <w:p w14:paraId="39AFD8CB">
            <w:pPr>
              <w:jc w:val="center"/>
              <w:rPr>
                <w:color w:val="000000"/>
                <w:sz w:val="22"/>
                <w:szCs w:val="22"/>
              </w:rPr>
            </w:pPr>
            <w:r>
              <w:rPr>
                <w:color w:val="000000"/>
                <w:sz w:val="22"/>
                <w:szCs w:val="22"/>
              </w:rPr>
              <w:t>87,7</w:t>
            </w:r>
          </w:p>
        </w:tc>
        <w:tc>
          <w:tcPr>
            <w:tcW w:w="706" w:type="dxa"/>
            <w:vAlign w:val="center"/>
          </w:tcPr>
          <w:p w14:paraId="2A1CC800">
            <w:pPr>
              <w:jc w:val="center"/>
              <w:rPr>
                <w:color w:val="000000"/>
                <w:sz w:val="22"/>
                <w:szCs w:val="22"/>
              </w:rPr>
            </w:pPr>
            <w:r>
              <w:rPr>
                <w:color w:val="000000"/>
                <w:sz w:val="22"/>
                <w:szCs w:val="22"/>
              </w:rPr>
              <w:t>4,0</w:t>
            </w:r>
          </w:p>
        </w:tc>
        <w:tc>
          <w:tcPr>
            <w:tcW w:w="1278" w:type="dxa"/>
            <w:vAlign w:val="center"/>
          </w:tcPr>
          <w:p w14:paraId="2D318330">
            <w:pPr>
              <w:jc w:val="center"/>
              <w:rPr>
                <w:color w:val="000000"/>
                <w:sz w:val="22"/>
                <w:szCs w:val="22"/>
              </w:rPr>
            </w:pPr>
            <w:r>
              <w:rPr>
                <w:color w:val="000000"/>
                <w:sz w:val="22"/>
                <w:szCs w:val="22"/>
              </w:rPr>
              <w:t>306,06</w:t>
            </w:r>
          </w:p>
        </w:tc>
        <w:tc>
          <w:tcPr>
            <w:tcW w:w="851" w:type="dxa"/>
            <w:vAlign w:val="center"/>
          </w:tcPr>
          <w:p w14:paraId="5F82A473">
            <w:pPr>
              <w:jc w:val="center"/>
              <w:rPr>
                <w:color w:val="000000"/>
                <w:sz w:val="22"/>
                <w:szCs w:val="22"/>
              </w:rPr>
            </w:pPr>
            <w:r>
              <w:rPr>
                <w:color w:val="000000"/>
                <w:sz w:val="22"/>
                <w:szCs w:val="22"/>
              </w:rPr>
              <w:t>3,4</w:t>
            </w:r>
          </w:p>
        </w:tc>
        <w:tc>
          <w:tcPr>
            <w:tcW w:w="850" w:type="dxa"/>
            <w:vAlign w:val="center"/>
          </w:tcPr>
          <w:p w14:paraId="31EBABB7">
            <w:pPr>
              <w:jc w:val="center"/>
              <w:rPr>
                <w:color w:val="000000"/>
                <w:sz w:val="22"/>
                <w:szCs w:val="22"/>
              </w:rPr>
            </w:pPr>
            <w:r>
              <w:rPr>
                <w:color w:val="000000"/>
                <w:sz w:val="22"/>
                <w:szCs w:val="22"/>
              </w:rPr>
              <w:t>ĐH3</w:t>
            </w:r>
          </w:p>
        </w:tc>
      </w:tr>
      <w:tr w14:paraId="3AAF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6ABF4DE">
            <w:pPr>
              <w:jc w:val="center"/>
              <w:rPr>
                <w:color w:val="000000"/>
                <w:sz w:val="22"/>
                <w:szCs w:val="22"/>
              </w:rPr>
            </w:pPr>
          </w:p>
        </w:tc>
        <w:tc>
          <w:tcPr>
            <w:tcW w:w="1121" w:type="dxa"/>
            <w:noWrap/>
            <w:vAlign w:val="center"/>
          </w:tcPr>
          <w:p w14:paraId="7DDDC15C">
            <w:pPr>
              <w:jc w:val="center"/>
              <w:rPr>
                <w:color w:val="000000"/>
                <w:sz w:val="22"/>
                <w:szCs w:val="22"/>
              </w:rPr>
            </w:pPr>
            <w:r>
              <w:rPr>
                <w:color w:val="000000"/>
                <w:sz w:val="22"/>
                <w:szCs w:val="22"/>
              </w:rPr>
              <w:t>KL-20:05</w:t>
            </w:r>
          </w:p>
        </w:tc>
        <w:tc>
          <w:tcPr>
            <w:tcW w:w="1147" w:type="dxa"/>
            <w:vAlign w:val="center"/>
          </w:tcPr>
          <w:p w14:paraId="3F4FE906">
            <w:pPr>
              <w:jc w:val="center"/>
              <w:rPr>
                <w:color w:val="000000"/>
                <w:sz w:val="22"/>
                <w:szCs w:val="22"/>
              </w:rPr>
            </w:pPr>
            <w:r>
              <w:rPr>
                <w:color w:val="000000"/>
                <w:sz w:val="22"/>
                <w:szCs w:val="22"/>
              </w:rPr>
              <w:t>90,00</w:t>
            </w:r>
          </w:p>
        </w:tc>
        <w:tc>
          <w:tcPr>
            <w:tcW w:w="1098" w:type="dxa"/>
            <w:vAlign w:val="center"/>
          </w:tcPr>
          <w:p w14:paraId="77AB55BB">
            <w:pPr>
              <w:jc w:val="center"/>
              <w:rPr>
                <w:color w:val="000000"/>
                <w:sz w:val="22"/>
                <w:szCs w:val="22"/>
              </w:rPr>
            </w:pPr>
            <w:r>
              <w:rPr>
                <w:color w:val="000000"/>
                <w:sz w:val="22"/>
                <w:szCs w:val="22"/>
              </w:rPr>
              <w:t>78,94</w:t>
            </w:r>
          </w:p>
        </w:tc>
        <w:tc>
          <w:tcPr>
            <w:tcW w:w="1134" w:type="dxa"/>
            <w:vAlign w:val="center"/>
          </w:tcPr>
          <w:p w14:paraId="0304DCE0">
            <w:pPr>
              <w:jc w:val="center"/>
              <w:rPr>
                <w:color w:val="000000"/>
                <w:sz w:val="22"/>
                <w:szCs w:val="22"/>
              </w:rPr>
            </w:pPr>
            <w:r>
              <w:rPr>
                <w:color w:val="000000"/>
                <w:sz w:val="22"/>
                <w:szCs w:val="22"/>
              </w:rPr>
              <w:t>87,7</w:t>
            </w:r>
          </w:p>
        </w:tc>
        <w:tc>
          <w:tcPr>
            <w:tcW w:w="706" w:type="dxa"/>
            <w:vAlign w:val="center"/>
          </w:tcPr>
          <w:p w14:paraId="6C9A2D40">
            <w:pPr>
              <w:jc w:val="center"/>
              <w:rPr>
                <w:color w:val="000000"/>
                <w:sz w:val="22"/>
                <w:szCs w:val="22"/>
              </w:rPr>
            </w:pPr>
            <w:r>
              <w:rPr>
                <w:color w:val="000000"/>
                <w:sz w:val="22"/>
                <w:szCs w:val="22"/>
              </w:rPr>
              <w:t>4,0</w:t>
            </w:r>
          </w:p>
        </w:tc>
        <w:tc>
          <w:tcPr>
            <w:tcW w:w="1278" w:type="dxa"/>
            <w:vAlign w:val="center"/>
          </w:tcPr>
          <w:p w14:paraId="71C6F313">
            <w:pPr>
              <w:jc w:val="center"/>
              <w:rPr>
                <w:color w:val="000000"/>
                <w:sz w:val="22"/>
                <w:szCs w:val="22"/>
              </w:rPr>
            </w:pPr>
            <w:r>
              <w:rPr>
                <w:color w:val="000000"/>
                <w:sz w:val="22"/>
                <w:szCs w:val="22"/>
              </w:rPr>
              <w:t>306,06</w:t>
            </w:r>
          </w:p>
        </w:tc>
        <w:tc>
          <w:tcPr>
            <w:tcW w:w="851" w:type="dxa"/>
            <w:vAlign w:val="center"/>
          </w:tcPr>
          <w:p w14:paraId="7868165C">
            <w:pPr>
              <w:jc w:val="center"/>
              <w:rPr>
                <w:color w:val="000000"/>
                <w:sz w:val="22"/>
                <w:szCs w:val="22"/>
              </w:rPr>
            </w:pPr>
            <w:r>
              <w:rPr>
                <w:color w:val="000000"/>
                <w:sz w:val="22"/>
                <w:szCs w:val="22"/>
              </w:rPr>
              <w:t>3,4</w:t>
            </w:r>
          </w:p>
        </w:tc>
        <w:tc>
          <w:tcPr>
            <w:tcW w:w="850" w:type="dxa"/>
            <w:vAlign w:val="center"/>
          </w:tcPr>
          <w:p w14:paraId="4C2ECE5E">
            <w:pPr>
              <w:jc w:val="center"/>
              <w:rPr>
                <w:color w:val="000000"/>
                <w:sz w:val="22"/>
                <w:szCs w:val="22"/>
              </w:rPr>
            </w:pPr>
            <w:r>
              <w:rPr>
                <w:color w:val="000000"/>
                <w:sz w:val="22"/>
                <w:szCs w:val="22"/>
              </w:rPr>
              <w:t>ĐH3</w:t>
            </w:r>
          </w:p>
        </w:tc>
      </w:tr>
      <w:tr w14:paraId="5F19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5148388">
            <w:pPr>
              <w:jc w:val="center"/>
              <w:rPr>
                <w:color w:val="000000"/>
                <w:sz w:val="22"/>
                <w:szCs w:val="22"/>
              </w:rPr>
            </w:pPr>
          </w:p>
        </w:tc>
        <w:tc>
          <w:tcPr>
            <w:tcW w:w="1121" w:type="dxa"/>
            <w:noWrap/>
            <w:vAlign w:val="center"/>
          </w:tcPr>
          <w:p w14:paraId="7F06BDDC">
            <w:pPr>
              <w:jc w:val="center"/>
              <w:rPr>
                <w:color w:val="000000"/>
                <w:sz w:val="22"/>
                <w:szCs w:val="22"/>
              </w:rPr>
            </w:pPr>
            <w:r>
              <w:rPr>
                <w:color w:val="000000"/>
                <w:sz w:val="22"/>
                <w:szCs w:val="22"/>
              </w:rPr>
              <w:t>KL-20:06</w:t>
            </w:r>
          </w:p>
        </w:tc>
        <w:tc>
          <w:tcPr>
            <w:tcW w:w="1147" w:type="dxa"/>
            <w:vAlign w:val="center"/>
          </w:tcPr>
          <w:p w14:paraId="40AEAFBC">
            <w:pPr>
              <w:jc w:val="center"/>
              <w:rPr>
                <w:color w:val="000000"/>
                <w:sz w:val="22"/>
                <w:szCs w:val="22"/>
              </w:rPr>
            </w:pPr>
            <w:r>
              <w:rPr>
                <w:color w:val="000000"/>
                <w:sz w:val="22"/>
                <w:szCs w:val="22"/>
              </w:rPr>
              <w:t>90,00</w:t>
            </w:r>
          </w:p>
        </w:tc>
        <w:tc>
          <w:tcPr>
            <w:tcW w:w="1098" w:type="dxa"/>
            <w:vAlign w:val="center"/>
          </w:tcPr>
          <w:p w14:paraId="0898A13B">
            <w:pPr>
              <w:jc w:val="center"/>
              <w:rPr>
                <w:color w:val="000000"/>
                <w:sz w:val="22"/>
                <w:szCs w:val="22"/>
              </w:rPr>
            </w:pPr>
            <w:r>
              <w:rPr>
                <w:color w:val="000000"/>
                <w:sz w:val="22"/>
                <w:szCs w:val="22"/>
              </w:rPr>
              <w:t>78,94</w:t>
            </w:r>
          </w:p>
        </w:tc>
        <w:tc>
          <w:tcPr>
            <w:tcW w:w="1134" w:type="dxa"/>
            <w:vAlign w:val="center"/>
          </w:tcPr>
          <w:p w14:paraId="626E176B">
            <w:pPr>
              <w:jc w:val="center"/>
              <w:rPr>
                <w:color w:val="000000"/>
                <w:sz w:val="22"/>
                <w:szCs w:val="22"/>
              </w:rPr>
            </w:pPr>
            <w:r>
              <w:rPr>
                <w:color w:val="000000"/>
                <w:sz w:val="22"/>
                <w:szCs w:val="22"/>
              </w:rPr>
              <w:t>87,7</w:t>
            </w:r>
          </w:p>
        </w:tc>
        <w:tc>
          <w:tcPr>
            <w:tcW w:w="706" w:type="dxa"/>
            <w:vAlign w:val="center"/>
          </w:tcPr>
          <w:p w14:paraId="34854C8C">
            <w:pPr>
              <w:jc w:val="center"/>
              <w:rPr>
                <w:color w:val="000000"/>
                <w:sz w:val="22"/>
                <w:szCs w:val="22"/>
              </w:rPr>
            </w:pPr>
            <w:r>
              <w:rPr>
                <w:color w:val="000000"/>
                <w:sz w:val="22"/>
                <w:szCs w:val="22"/>
              </w:rPr>
              <w:t>4,0</w:t>
            </w:r>
          </w:p>
        </w:tc>
        <w:tc>
          <w:tcPr>
            <w:tcW w:w="1278" w:type="dxa"/>
            <w:vAlign w:val="center"/>
          </w:tcPr>
          <w:p w14:paraId="78D6672E">
            <w:pPr>
              <w:jc w:val="center"/>
              <w:rPr>
                <w:color w:val="000000"/>
                <w:sz w:val="22"/>
                <w:szCs w:val="22"/>
              </w:rPr>
            </w:pPr>
            <w:r>
              <w:rPr>
                <w:color w:val="000000"/>
                <w:sz w:val="22"/>
                <w:szCs w:val="22"/>
              </w:rPr>
              <w:t>306,06</w:t>
            </w:r>
          </w:p>
        </w:tc>
        <w:tc>
          <w:tcPr>
            <w:tcW w:w="851" w:type="dxa"/>
            <w:vAlign w:val="center"/>
          </w:tcPr>
          <w:p w14:paraId="5441451F">
            <w:pPr>
              <w:jc w:val="center"/>
              <w:rPr>
                <w:color w:val="000000"/>
                <w:sz w:val="22"/>
                <w:szCs w:val="22"/>
              </w:rPr>
            </w:pPr>
            <w:r>
              <w:rPr>
                <w:color w:val="000000"/>
                <w:sz w:val="22"/>
                <w:szCs w:val="22"/>
              </w:rPr>
              <w:t>3,4</w:t>
            </w:r>
          </w:p>
        </w:tc>
        <w:tc>
          <w:tcPr>
            <w:tcW w:w="850" w:type="dxa"/>
            <w:vAlign w:val="center"/>
          </w:tcPr>
          <w:p w14:paraId="6705A860">
            <w:pPr>
              <w:jc w:val="center"/>
              <w:rPr>
                <w:color w:val="000000"/>
                <w:sz w:val="22"/>
                <w:szCs w:val="22"/>
              </w:rPr>
            </w:pPr>
            <w:r>
              <w:rPr>
                <w:color w:val="000000"/>
                <w:sz w:val="22"/>
                <w:szCs w:val="22"/>
              </w:rPr>
              <w:t>ĐH3</w:t>
            </w:r>
          </w:p>
        </w:tc>
      </w:tr>
      <w:tr w14:paraId="7BE3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B19E7DC">
            <w:pPr>
              <w:jc w:val="center"/>
              <w:rPr>
                <w:color w:val="000000"/>
                <w:sz w:val="22"/>
                <w:szCs w:val="22"/>
              </w:rPr>
            </w:pPr>
          </w:p>
        </w:tc>
        <w:tc>
          <w:tcPr>
            <w:tcW w:w="1121" w:type="dxa"/>
            <w:noWrap/>
            <w:vAlign w:val="center"/>
          </w:tcPr>
          <w:p w14:paraId="5BE0DDCE">
            <w:pPr>
              <w:jc w:val="center"/>
              <w:rPr>
                <w:color w:val="000000"/>
                <w:sz w:val="22"/>
                <w:szCs w:val="22"/>
              </w:rPr>
            </w:pPr>
            <w:r>
              <w:rPr>
                <w:color w:val="000000"/>
                <w:sz w:val="22"/>
                <w:szCs w:val="22"/>
              </w:rPr>
              <w:t>KL-20:07</w:t>
            </w:r>
          </w:p>
        </w:tc>
        <w:tc>
          <w:tcPr>
            <w:tcW w:w="1147" w:type="dxa"/>
            <w:vAlign w:val="center"/>
          </w:tcPr>
          <w:p w14:paraId="5CA9FD7A">
            <w:pPr>
              <w:jc w:val="center"/>
              <w:rPr>
                <w:color w:val="000000"/>
                <w:sz w:val="22"/>
                <w:szCs w:val="22"/>
              </w:rPr>
            </w:pPr>
            <w:r>
              <w:rPr>
                <w:color w:val="000000"/>
                <w:sz w:val="22"/>
                <w:szCs w:val="22"/>
              </w:rPr>
              <w:t>108,88</w:t>
            </w:r>
          </w:p>
        </w:tc>
        <w:tc>
          <w:tcPr>
            <w:tcW w:w="1098" w:type="dxa"/>
            <w:vAlign w:val="center"/>
          </w:tcPr>
          <w:p w14:paraId="006E22C4">
            <w:pPr>
              <w:jc w:val="center"/>
              <w:rPr>
                <w:color w:val="000000"/>
                <w:sz w:val="22"/>
                <w:szCs w:val="22"/>
              </w:rPr>
            </w:pPr>
            <w:r>
              <w:rPr>
                <w:color w:val="000000"/>
                <w:sz w:val="22"/>
                <w:szCs w:val="22"/>
              </w:rPr>
              <w:t>78,94</w:t>
            </w:r>
          </w:p>
        </w:tc>
        <w:tc>
          <w:tcPr>
            <w:tcW w:w="1134" w:type="dxa"/>
            <w:vAlign w:val="center"/>
          </w:tcPr>
          <w:p w14:paraId="1C386CD5">
            <w:pPr>
              <w:jc w:val="center"/>
              <w:rPr>
                <w:color w:val="000000"/>
                <w:sz w:val="22"/>
                <w:szCs w:val="22"/>
              </w:rPr>
            </w:pPr>
            <w:r>
              <w:rPr>
                <w:color w:val="000000"/>
                <w:sz w:val="22"/>
                <w:szCs w:val="22"/>
              </w:rPr>
              <w:t>72,5</w:t>
            </w:r>
          </w:p>
        </w:tc>
        <w:tc>
          <w:tcPr>
            <w:tcW w:w="706" w:type="dxa"/>
            <w:vAlign w:val="center"/>
          </w:tcPr>
          <w:p w14:paraId="3BB3E0A0">
            <w:pPr>
              <w:jc w:val="center"/>
              <w:rPr>
                <w:color w:val="000000"/>
                <w:sz w:val="22"/>
                <w:szCs w:val="22"/>
              </w:rPr>
            </w:pPr>
            <w:r>
              <w:rPr>
                <w:color w:val="000000"/>
                <w:sz w:val="22"/>
                <w:szCs w:val="22"/>
              </w:rPr>
              <w:t>4,0</w:t>
            </w:r>
          </w:p>
        </w:tc>
        <w:tc>
          <w:tcPr>
            <w:tcW w:w="1278" w:type="dxa"/>
            <w:vAlign w:val="center"/>
          </w:tcPr>
          <w:p w14:paraId="7EBD36C5">
            <w:pPr>
              <w:jc w:val="center"/>
              <w:rPr>
                <w:color w:val="000000"/>
                <w:sz w:val="22"/>
                <w:szCs w:val="22"/>
              </w:rPr>
            </w:pPr>
            <w:r>
              <w:rPr>
                <w:color w:val="000000"/>
                <w:sz w:val="22"/>
                <w:szCs w:val="22"/>
              </w:rPr>
              <w:t>306,06</w:t>
            </w:r>
          </w:p>
        </w:tc>
        <w:tc>
          <w:tcPr>
            <w:tcW w:w="851" w:type="dxa"/>
            <w:vAlign w:val="center"/>
          </w:tcPr>
          <w:p w14:paraId="3BEB2797">
            <w:pPr>
              <w:jc w:val="center"/>
              <w:rPr>
                <w:color w:val="000000"/>
                <w:sz w:val="22"/>
                <w:szCs w:val="22"/>
              </w:rPr>
            </w:pPr>
            <w:r>
              <w:rPr>
                <w:color w:val="000000"/>
                <w:sz w:val="22"/>
                <w:szCs w:val="22"/>
              </w:rPr>
              <w:t>2,8</w:t>
            </w:r>
          </w:p>
        </w:tc>
        <w:tc>
          <w:tcPr>
            <w:tcW w:w="850" w:type="dxa"/>
            <w:vAlign w:val="center"/>
          </w:tcPr>
          <w:p w14:paraId="475AA7CB">
            <w:pPr>
              <w:jc w:val="center"/>
              <w:rPr>
                <w:color w:val="000000"/>
                <w:sz w:val="22"/>
                <w:szCs w:val="22"/>
              </w:rPr>
            </w:pPr>
            <w:r>
              <w:rPr>
                <w:color w:val="000000"/>
                <w:sz w:val="22"/>
                <w:szCs w:val="22"/>
              </w:rPr>
              <w:t>ĐH3</w:t>
            </w:r>
          </w:p>
        </w:tc>
      </w:tr>
      <w:tr w14:paraId="0CF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71D6A491">
            <w:pPr>
              <w:jc w:val="center"/>
              <w:rPr>
                <w:b/>
                <w:bCs/>
                <w:color w:val="000000"/>
                <w:sz w:val="22"/>
                <w:szCs w:val="22"/>
              </w:rPr>
            </w:pPr>
            <w:r>
              <w:rPr>
                <w:b/>
                <w:bCs/>
                <w:color w:val="000000"/>
                <w:sz w:val="22"/>
                <w:szCs w:val="22"/>
              </w:rPr>
              <w:t>Tổng</w:t>
            </w:r>
          </w:p>
        </w:tc>
        <w:tc>
          <w:tcPr>
            <w:tcW w:w="1121" w:type="dxa"/>
            <w:noWrap/>
            <w:vAlign w:val="center"/>
          </w:tcPr>
          <w:p w14:paraId="52744DD4">
            <w:pPr>
              <w:jc w:val="center"/>
              <w:rPr>
                <w:b/>
                <w:bCs/>
                <w:color w:val="000000"/>
                <w:sz w:val="22"/>
                <w:szCs w:val="22"/>
              </w:rPr>
            </w:pPr>
            <w:r>
              <w:rPr>
                <w:b/>
                <w:bCs/>
                <w:color w:val="000000"/>
                <w:sz w:val="22"/>
                <w:szCs w:val="22"/>
              </w:rPr>
              <w:t>KL-20</w:t>
            </w:r>
          </w:p>
        </w:tc>
        <w:tc>
          <w:tcPr>
            <w:tcW w:w="1147" w:type="dxa"/>
            <w:vAlign w:val="center"/>
          </w:tcPr>
          <w:p w14:paraId="52DAA14B">
            <w:pPr>
              <w:jc w:val="center"/>
              <w:rPr>
                <w:b/>
                <w:bCs/>
                <w:color w:val="000000"/>
                <w:sz w:val="22"/>
                <w:szCs w:val="22"/>
              </w:rPr>
            </w:pPr>
            <w:r>
              <w:rPr>
                <w:b/>
                <w:bCs/>
                <w:color w:val="000000"/>
                <w:sz w:val="22"/>
                <w:szCs w:val="22"/>
              </w:rPr>
              <w:t>648,88</w:t>
            </w:r>
          </w:p>
        </w:tc>
        <w:tc>
          <w:tcPr>
            <w:tcW w:w="1098" w:type="dxa"/>
            <w:vAlign w:val="center"/>
          </w:tcPr>
          <w:p w14:paraId="286AADF0">
            <w:pPr>
              <w:jc w:val="center"/>
              <w:rPr>
                <w:b/>
                <w:bCs/>
                <w:color w:val="000000"/>
                <w:sz w:val="22"/>
                <w:szCs w:val="22"/>
              </w:rPr>
            </w:pPr>
            <w:r>
              <w:rPr>
                <w:b/>
                <w:bCs/>
                <w:color w:val="000000"/>
                <w:sz w:val="22"/>
                <w:szCs w:val="22"/>
              </w:rPr>
              <w:t>552,6</w:t>
            </w:r>
          </w:p>
        </w:tc>
        <w:tc>
          <w:tcPr>
            <w:tcW w:w="1134" w:type="dxa"/>
            <w:vAlign w:val="center"/>
          </w:tcPr>
          <w:p w14:paraId="1F9F950D">
            <w:pPr>
              <w:jc w:val="center"/>
              <w:rPr>
                <w:b/>
                <w:bCs/>
                <w:color w:val="000000"/>
                <w:sz w:val="22"/>
                <w:szCs w:val="22"/>
              </w:rPr>
            </w:pPr>
            <w:r>
              <w:rPr>
                <w:b/>
                <w:bCs/>
                <w:color w:val="000000"/>
                <w:sz w:val="22"/>
                <w:szCs w:val="22"/>
              </w:rPr>
              <w:t>85,2</w:t>
            </w:r>
          </w:p>
        </w:tc>
        <w:tc>
          <w:tcPr>
            <w:tcW w:w="706" w:type="dxa"/>
            <w:vAlign w:val="center"/>
          </w:tcPr>
          <w:p w14:paraId="4825C46D">
            <w:pPr>
              <w:jc w:val="center"/>
              <w:rPr>
                <w:color w:val="000000"/>
                <w:sz w:val="22"/>
                <w:szCs w:val="22"/>
              </w:rPr>
            </w:pPr>
          </w:p>
        </w:tc>
        <w:tc>
          <w:tcPr>
            <w:tcW w:w="1278" w:type="dxa"/>
            <w:vAlign w:val="center"/>
          </w:tcPr>
          <w:p w14:paraId="6BED65FB">
            <w:pPr>
              <w:jc w:val="center"/>
              <w:rPr>
                <w:b/>
                <w:bCs/>
                <w:color w:val="000000"/>
                <w:sz w:val="22"/>
                <w:szCs w:val="22"/>
              </w:rPr>
            </w:pPr>
            <w:r>
              <w:rPr>
                <w:b/>
                <w:bCs/>
                <w:color w:val="000000"/>
                <w:sz w:val="22"/>
                <w:szCs w:val="22"/>
              </w:rPr>
              <w:t>2.142,4</w:t>
            </w:r>
          </w:p>
        </w:tc>
        <w:tc>
          <w:tcPr>
            <w:tcW w:w="851" w:type="dxa"/>
            <w:vAlign w:val="center"/>
          </w:tcPr>
          <w:p w14:paraId="0D6E4CF7">
            <w:pPr>
              <w:jc w:val="center"/>
              <w:rPr>
                <w:b/>
                <w:bCs/>
                <w:color w:val="000000"/>
                <w:sz w:val="22"/>
                <w:szCs w:val="22"/>
              </w:rPr>
            </w:pPr>
            <w:r>
              <w:rPr>
                <w:b/>
                <w:bCs/>
                <w:color w:val="000000"/>
                <w:sz w:val="22"/>
                <w:szCs w:val="22"/>
              </w:rPr>
              <w:t>3,3</w:t>
            </w:r>
          </w:p>
        </w:tc>
        <w:tc>
          <w:tcPr>
            <w:tcW w:w="850" w:type="dxa"/>
            <w:vAlign w:val="center"/>
          </w:tcPr>
          <w:p w14:paraId="5B8B6018">
            <w:pPr>
              <w:jc w:val="center"/>
              <w:rPr>
                <w:color w:val="000000"/>
                <w:sz w:val="22"/>
                <w:szCs w:val="22"/>
              </w:rPr>
            </w:pPr>
          </w:p>
        </w:tc>
      </w:tr>
      <w:tr w14:paraId="3A4F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478127AE">
            <w:pPr>
              <w:jc w:val="center"/>
              <w:rPr>
                <w:color w:val="000000"/>
                <w:sz w:val="22"/>
                <w:szCs w:val="22"/>
              </w:rPr>
            </w:pPr>
            <w:r>
              <w:rPr>
                <w:color w:val="000000"/>
                <w:sz w:val="22"/>
                <w:szCs w:val="22"/>
              </w:rPr>
              <w:t>LK22</w:t>
            </w:r>
          </w:p>
        </w:tc>
        <w:tc>
          <w:tcPr>
            <w:tcW w:w="1121" w:type="dxa"/>
            <w:noWrap/>
            <w:vAlign w:val="center"/>
          </w:tcPr>
          <w:p w14:paraId="40DC2683">
            <w:pPr>
              <w:jc w:val="center"/>
              <w:rPr>
                <w:color w:val="000000"/>
                <w:sz w:val="22"/>
                <w:szCs w:val="22"/>
              </w:rPr>
            </w:pPr>
            <w:r>
              <w:rPr>
                <w:color w:val="000000"/>
                <w:sz w:val="22"/>
                <w:szCs w:val="22"/>
              </w:rPr>
              <w:t>KL-22:01</w:t>
            </w:r>
          </w:p>
        </w:tc>
        <w:tc>
          <w:tcPr>
            <w:tcW w:w="1147" w:type="dxa"/>
            <w:vAlign w:val="center"/>
          </w:tcPr>
          <w:p w14:paraId="58BE436F">
            <w:pPr>
              <w:jc w:val="center"/>
              <w:rPr>
                <w:color w:val="000000"/>
                <w:sz w:val="22"/>
                <w:szCs w:val="22"/>
              </w:rPr>
            </w:pPr>
            <w:r>
              <w:rPr>
                <w:color w:val="000000"/>
                <w:sz w:val="22"/>
                <w:szCs w:val="22"/>
              </w:rPr>
              <w:t>90,00</w:t>
            </w:r>
          </w:p>
        </w:tc>
        <w:tc>
          <w:tcPr>
            <w:tcW w:w="1098" w:type="dxa"/>
            <w:vAlign w:val="center"/>
          </w:tcPr>
          <w:p w14:paraId="162DDCFB">
            <w:pPr>
              <w:jc w:val="center"/>
              <w:rPr>
                <w:color w:val="000000"/>
                <w:sz w:val="22"/>
                <w:szCs w:val="22"/>
              </w:rPr>
            </w:pPr>
            <w:r>
              <w:rPr>
                <w:color w:val="000000"/>
                <w:sz w:val="22"/>
                <w:szCs w:val="22"/>
              </w:rPr>
              <w:t>78,94</w:t>
            </w:r>
          </w:p>
        </w:tc>
        <w:tc>
          <w:tcPr>
            <w:tcW w:w="1134" w:type="dxa"/>
            <w:vAlign w:val="center"/>
          </w:tcPr>
          <w:p w14:paraId="788352FC">
            <w:pPr>
              <w:jc w:val="center"/>
              <w:rPr>
                <w:color w:val="000000"/>
                <w:sz w:val="22"/>
                <w:szCs w:val="22"/>
              </w:rPr>
            </w:pPr>
            <w:r>
              <w:rPr>
                <w:color w:val="000000"/>
                <w:sz w:val="22"/>
                <w:szCs w:val="22"/>
              </w:rPr>
              <w:t>87,7</w:t>
            </w:r>
          </w:p>
        </w:tc>
        <w:tc>
          <w:tcPr>
            <w:tcW w:w="706" w:type="dxa"/>
            <w:vAlign w:val="center"/>
          </w:tcPr>
          <w:p w14:paraId="61138A87">
            <w:pPr>
              <w:jc w:val="center"/>
              <w:rPr>
                <w:color w:val="000000"/>
                <w:sz w:val="22"/>
                <w:szCs w:val="22"/>
              </w:rPr>
            </w:pPr>
            <w:r>
              <w:rPr>
                <w:color w:val="000000"/>
                <w:sz w:val="22"/>
                <w:szCs w:val="22"/>
              </w:rPr>
              <w:t>4,0</w:t>
            </w:r>
          </w:p>
        </w:tc>
        <w:tc>
          <w:tcPr>
            <w:tcW w:w="1278" w:type="dxa"/>
            <w:vAlign w:val="center"/>
          </w:tcPr>
          <w:p w14:paraId="45B635FC">
            <w:pPr>
              <w:jc w:val="center"/>
              <w:rPr>
                <w:color w:val="000000"/>
                <w:sz w:val="22"/>
                <w:szCs w:val="22"/>
              </w:rPr>
            </w:pPr>
            <w:r>
              <w:rPr>
                <w:color w:val="000000"/>
                <w:sz w:val="22"/>
                <w:szCs w:val="22"/>
              </w:rPr>
              <w:t>306,06</w:t>
            </w:r>
          </w:p>
        </w:tc>
        <w:tc>
          <w:tcPr>
            <w:tcW w:w="851" w:type="dxa"/>
            <w:vAlign w:val="center"/>
          </w:tcPr>
          <w:p w14:paraId="7A41CF52">
            <w:pPr>
              <w:jc w:val="center"/>
              <w:rPr>
                <w:color w:val="000000"/>
                <w:sz w:val="22"/>
                <w:szCs w:val="22"/>
              </w:rPr>
            </w:pPr>
            <w:r>
              <w:rPr>
                <w:color w:val="000000"/>
                <w:sz w:val="22"/>
                <w:szCs w:val="22"/>
              </w:rPr>
              <w:t>3,4</w:t>
            </w:r>
          </w:p>
        </w:tc>
        <w:tc>
          <w:tcPr>
            <w:tcW w:w="850" w:type="dxa"/>
            <w:vAlign w:val="center"/>
          </w:tcPr>
          <w:p w14:paraId="49BB87A2">
            <w:pPr>
              <w:jc w:val="center"/>
              <w:rPr>
                <w:color w:val="000000"/>
                <w:sz w:val="22"/>
                <w:szCs w:val="22"/>
              </w:rPr>
            </w:pPr>
            <w:r>
              <w:rPr>
                <w:color w:val="000000"/>
                <w:sz w:val="22"/>
                <w:szCs w:val="22"/>
              </w:rPr>
              <w:t>ĐH3</w:t>
            </w:r>
          </w:p>
        </w:tc>
      </w:tr>
      <w:tr w14:paraId="242C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7E4D2A7">
            <w:pPr>
              <w:jc w:val="center"/>
              <w:rPr>
                <w:color w:val="000000"/>
                <w:sz w:val="22"/>
                <w:szCs w:val="22"/>
              </w:rPr>
            </w:pPr>
          </w:p>
        </w:tc>
        <w:tc>
          <w:tcPr>
            <w:tcW w:w="1121" w:type="dxa"/>
            <w:noWrap/>
            <w:vAlign w:val="center"/>
          </w:tcPr>
          <w:p w14:paraId="7072033E">
            <w:pPr>
              <w:jc w:val="center"/>
              <w:rPr>
                <w:color w:val="000000"/>
                <w:sz w:val="22"/>
                <w:szCs w:val="22"/>
              </w:rPr>
            </w:pPr>
            <w:r>
              <w:rPr>
                <w:color w:val="000000"/>
                <w:sz w:val="22"/>
                <w:szCs w:val="22"/>
              </w:rPr>
              <w:t>KL-22:02</w:t>
            </w:r>
          </w:p>
        </w:tc>
        <w:tc>
          <w:tcPr>
            <w:tcW w:w="1147" w:type="dxa"/>
            <w:vAlign w:val="center"/>
          </w:tcPr>
          <w:p w14:paraId="60F352AA">
            <w:pPr>
              <w:jc w:val="center"/>
              <w:rPr>
                <w:color w:val="000000"/>
                <w:sz w:val="22"/>
                <w:szCs w:val="22"/>
              </w:rPr>
            </w:pPr>
            <w:r>
              <w:rPr>
                <w:color w:val="000000"/>
                <w:sz w:val="22"/>
                <w:szCs w:val="22"/>
              </w:rPr>
              <w:t>90,00</w:t>
            </w:r>
          </w:p>
        </w:tc>
        <w:tc>
          <w:tcPr>
            <w:tcW w:w="1098" w:type="dxa"/>
            <w:vAlign w:val="center"/>
          </w:tcPr>
          <w:p w14:paraId="71B72862">
            <w:pPr>
              <w:jc w:val="center"/>
              <w:rPr>
                <w:color w:val="000000"/>
                <w:sz w:val="22"/>
                <w:szCs w:val="22"/>
              </w:rPr>
            </w:pPr>
            <w:r>
              <w:rPr>
                <w:color w:val="000000"/>
                <w:sz w:val="22"/>
                <w:szCs w:val="22"/>
              </w:rPr>
              <w:t>78,94</w:t>
            </w:r>
          </w:p>
        </w:tc>
        <w:tc>
          <w:tcPr>
            <w:tcW w:w="1134" w:type="dxa"/>
            <w:vAlign w:val="center"/>
          </w:tcPr>
          <w:p w14:paraId="1A9535A2">
            <w:pPr>
              <w:jc w:val="center"/>
              <w:rPr>
                <w:color w:val="000000"/>
                <w:sz w:val="22"/>
                <w:szCs w:val="22"/>
              </w:rPr>
            </w:pPr>
            <w:r>
              <w:rPr>
                <w:color w:val="000000"/>
                <w:sz w:val="22"/>
                <w:szCs w:val="22"/>
              </w:rPr>
              <w:t>87,7</w:t>
            </w:r>
          </w:p>
        </w:tc>
        <w:tc>
          <w:tcPr>
            <w:tcW w:w="706" w:type="dxa"/>
            <w:vAlign w:val="center"/>
          </w:tcPr>
          <w:p w14:paraId="69374F68">
            <w:pPr>
              <w:jc w:val="center"/>
              <w:rPr>
                <w:color w:val="000000"/>
                <w:sz w:val="22"/>
                <w:szCs w:val="22"/>
              </w:rPr>
            </w:pPr>
            <w:r>
              <w:rPr>
                <w:color w:val="000000"/>
                <w:sz w:val="22"/>
                <w:szCs w:val="22"/>
              </w:rPr>
              <w:t>4,0</w:t>
            </w:r>
          </w:p>
        </w:tc>
        <w:tc>
          <w:tcPr>
            <w:tcW w:w="1278" w:type="dxa"/>
            <w:vAlign w:val="center"/>
          </w:tcPr>
          <w:p w14:paraId="09EE3488">
            <w:pPr>
              <w:jc w:val="center"/>
              <w:rPr>
                <w:color w:val="000000"/>
                <w:sz w:val="22"/>
                <w:szCs w:val="22"/>
              </w:rPr>
            </w:pPr>
            <w:r>
              <w:rPr>
                <w:color w:val="000000"/>
                <w:sz w:val="22"/>
                <w:szCs w:val="22"/>
              </w:rPr>
              <w:t>306,06</w:t>
            </w:r>
          </w:p>
        </w:tc>
        <w:tc>
          <w:tcPr>
            <w:tcW w:w="851" w:type="dxa"/>
            <w:vAlign w:val="center"/>
          </w:tcPr>
          <w:p w14:paraId="12620087">
            <w:pPr>
              <w:jc w:val="center"/>
              <w:rPr>
                <w:color w:val="000000"/>
                <w:sz w:val="22"/>
                <w:szCs w:val="22"/>
              </w:rPr>
            </w:pPr>
            <w:r>
              <w:rPr>
                <w:color w:val="000000"/>
                <w:sz w:val="22"/>
                <w:szCs w:val="22"/>
              </w:rPr>
              <w:t>3,4</w:t>
            </w:r>
          </w:p>
        </w:tc>
        <w:tc>
          <w:tcPr>
            <w:tcW w:w="850" w:type="dxa"/>
            <w:vAlign w:val="center"/>
          </w:tcPr>
          <w:p w14:paraId="54BAFA95">
            <w:pPr>
              <w:jc w:val="center"/>
              <w:rPr>
                <w:color w:val="000000"/>
                <w:sz w:val="22"/>
                <w:szCs w:val="22"/>
              </w:rPr>
            </w:pPr>
            <w:r>
              <w:rPr>
                <w:color w:val="000000"/>
                <w:sz w:val="22"/>
                <w:szCs w:val="22"/>
              </w:rPr>
              <w:t>ĐH3</w:t>
            </w:r>
          </w:p>
        </w:tc>
      </w:tr>
      <w:tr w14:paraId="303C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7359CB2">
            <w:pPr>
              <w:jc w:val="center"/>
              <w:rPr>
                <w:color w:val="000000"/>
                <w:sz w:val="22"/>
                <w:szCs w:val="22"/>
              </w:rPr>
            </w:pPr>
          </w:p>
        </w:tc>
        <w:tc>
          <w:tcPr>
            <w:tcW w:w="1121" w:type="dxa"/>
            <w:noWrap/>
            <w:vAlign w:val="center"/>
          </w:tcPr>
          <w:p w14:paraId="6EC93CD7">
            <w:pPr>
              <w:jc w:val="center"/>
              <w:rPr>
                <w:color w:val="000000"/>
                <w:sz w:val="22"/>
                <w:szCs w:val="22"/>
              </w:rPr>
            </w:pPr>
            <w:r>
              <w:rPr>
                <w:color w:val="000000"/>
                <w:sz w:val="22"/>
                <w:szCs w:val="22"/>
              </w:rPr>
              <w:t>KL-22:03</w:t>
            </w:r>
          </w:p>
        </w:tc>
        <w:tc>
          <w:tcPr>
            <w:tcW w:w="1147" w:type="dxa"/>
            <w:vAlign w:val="center"/>
          </w:tcPr>
          <w:p w14:paraId="392FFEB0">
            <w:pPr>
              <w:jc w:val="center"/>
              <w:rPr>
                <w:color w:val="000000"/>
                <w:sz w:val="22"/>
                <w:szCs w:val="22"/>
              </w:rPr>
            </w:pPr>
            <w:r>
              <w:rPr>
                <w:color w:val="000000"/>
                <w:sz w:val="22"/>
                <w:szCs w:val="22"/>
              </w:rPr>
              <w:t>90,00</w:t>
            </w:r>
          </w:p>
        </w:tc>
        <w:tc>
          <w:tcPr>
            <w:tcW w:w="1098" w:type="dxa"/>
            <w:vAlign w:val="center"/>
          </w:tcPr>
          <w:p w14:paraId="014A8613">
            <w:pPr>
              <w:jc w:val="center"/>
              <w:rPr>
                <w:color w:val="000000"/>
                <w:sz w:val="22"/>
                <w:szCs w:val="22"/>
              </w:rPr>
            </w:pPr>
            <w:r>
              <w:rPr>
                <w:color w:val="000000"/>
                <w:sz w:val="22"/>
                <w:szCs w:val="22"/>
              </w:rPr>
              <w:t>78,94</w:t>
            </w:r>
          </w:p>
        </w:tc>
        <w:tc>
          <w:tcPr>
            <w:tcW w:w="1134" w:type="dxa"/>
            <w:vAlign w:val="center"/>
          </w:tcPr>
          <w:p w14:paraId="23063C1B">
            <w:pPr>
              <w:jc w:val="center"/>
              <w:rPr>
                <w:color w:val="000000"/>
                <w:sz w:val="22"/>
                <w:szCs w:val="22"/>
              </w:rPr>
            </w:pPr>
            <w:r>
              <w:rPr>
                <w:color w:val="000000"/>
                <w:sz w:val="22"/>
                <w:szCs w:val="22"/>
              </w:rPr>
              <w:t>87,7</w:t>
            </w:r>
          </w:p>
        </w:tc>
        <w:tc>
          <w:tcPr>
            <w:tcW w:w="706" w:type="dxa"/>
            <w:vAlign w:val="center"/>
          </w:tcPr>
          <w:p w14:paraId="413C89F0">
            <w:pPr>
              <w:jc w:val="center"/>
              <w:rPr>
                <w:color w:val="000000"/>
                <w:sz w:val="22"/>
                <w:szCs w:val="22"/>
              </w:rPr>
            </w:pPr>
            <w:r>
              <w:rPr>
                <w:color w:val="000000"/>
                <w:sz w:val="22"/>
                <w:szCs w:val="22"/>
              </w:rPr>
              <w:t>4,0</w:t>
            </w:r>
          </w:p>
        </w:tc>
        <w:tc>
          <w:tcPr>
            <w:tcW w:w="1278" w:type="dxa"/>
            <w:vAlign w:val="center"/>
          </w:tcPr>
          <w:p w14:paraId="4A848F05">
            <w:pPr>
              <w:jc w:val="center"/>
              <w:rPr>
                <w:color w:val="000000"/>
                <w:sz w:val="22"/>
                <w:szCs w:val="22"/>
              </w:rPr>
            </w:pPr>
            <w:r>
              <w:rPr>
                <w:color w:val="000000"/>
                <w:sz w:val="22"/>
                <w:szCs w:val="22"/>
              </w:rPr>
              <w:t>306,06</w:t>
            </w:r>
          </w:p>
        </w:tc>
        <w:tc>
          <w:tcPr>
            <w:tcW w:w="851" w:type="dxa"/>
            <w:vAlign w:val="center"/>
          </w:tcPr>
          <w:p w14:paraId="5A6F9845">
            <w:pPr>
              <w:jc w:val="center"/>
              <w:rPr>
                <w:color w:val="000000"/>
                <w:sz w:val="22"/>
                <w:szCs w:val="22"/>
              </w:rPr>
            </w:pPr>
            <w:r>
              <w:rPr>
                <w:color w:val="000000"/>
                <w:sz w:val="22"/>
                <w:szCs w:val="22"/>
              </w:rPr>
              <w:t>3,4</w:t>
            </w:r>
          </w:p>
        </w:tc>
        <w:tc>
          <w:tcPr>
            <w:tcW w:w="850" w:type="dxa"/>
            <w:vAlign w:val="center"/>
          </w:tcPr>
          <w:p w14:paraId="063166A9">
            <w:pPr>
              <w:jc w:val="center"/>
              <w:rPr>
                <w:color w:val="000000"/>
                <w:sz w:val="22"/>
                <w:szCs w:val="22"/>
              </w:rPr>
            </w:pPr>
            <w:r>
              <w:rPr>
                <w:color w:val="000000"/>
                <w:sz w:val="22"/>
                <w:szCs w:val="22"/>
              </w:rPr>
              <w:t>ĐH3</w:t>
            </w:r>
          </w:p>
        </w:tc>
      </w:tr>
      <w:tr w14:paraId="6679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DEACA50">
            <w:pPr>
              <w:jc w:val="center"/>
              <w:rPr>
                <w:color w:val="000000"/>
                <w:sz w:val="22"/>
                <w:szCs w:val="22"/>
              </w:rPr>
            </w:pPr>
          </w:p>
        </w:tc>
        <w:tc>
          <w:tcPr>
            <w:tcW w:w="1121" w:type="dxa"/>
            <w:noWrap/>
            <w:vAlign w:val="center"/>
          </w:tcPr>
          <w:p w14:paraId="0360220D">
            <w:pPr>
              <w:jc w:val="center"/>
              <w:rPr>
                <w:color w:val="000000"/>
                <w:sz w:val="22"/>
                <w:szCs w:val="22"/>
              </w:rPr>
            </w:pPr>
            <w:r>
              <w:rPr>
                <w:color w:val="000000"/>
                <w:sz w:val="22"/>
                <w:szCs w:val="22"/>
              </w:rPr>
              <w:t>KL-22:04</w:t>
            </w:r>
          </w:p>
        </w:tc>
        <w:tc>
          <w:tcPr>
            <w:tcW w:w="1147" w:type="dxa"/>
            <w:vAlign w:val="center"/>
          </w:tcPr>
          <w:p w14:paraId="1A070F09">
            <w:pPr>
              <w:jc w:val="center"/>
              <w:rPr>
                <w:color w:val="000000"/>
                <w:sz w:val="22"/>
                <w:szCs w:val="22"/>
              </w:rPr>
            </w:pPr>
            <w:r>
              <w:rPr>
                <w:color w:val="000000"/>
                <w:sz w:val="22"/>
                <w:szCs w:val="22"/>
              </w:rPr>
              <w:t>90,00</w:t>
            </w:r>
          </w:p>
        </w:tc>
        <w:tc>
          <w:tcPr>
            <w:tcW w:w="1098" w:type="dxa"/>
            <w:vAlign w:val="center"/>
          </w:tcPr>
          <w:p w14:paraId="1BD89C98">
            <w:pPr>
              <w:jc w:val="center"/>
              <w:rPr>
                <w:color w:val="000000"/>
                <w:sz w:val="22"/>
                <w:szCs w:val="22"/>
              </w:rPr>
            </w:pPr>
            <w:r>
              <w:rPr>
                <w:color w:val="000000"/>
                <w:sz w:val="22"/>
                <w:szCs w:val="22"/>
              </w:rPr>
              <w:t>78,94</w:t>
            </w:r>
          </w:p>
        </w:tc>
        <w:tc>
          <w:tcPr>
            <w:tcW w:w="1134" w:type="dxa"/>
            <w:vAlign w:val="center"/>
          </w:tcPr>
          <w:p w14:paraId="5FFC4244">
            <w:pPr>
              <w:jc w:val="center"/>
              <w:rPr>
                <w:color w:val="000000"/>
                <w:sz w:val="22"/>
                <w:szCs w:val="22"/>
              </w:rPr>
            </w:pPr>
            <w:r>
              <w:rPr>
                <w:color w:val="000000"/>
                <w:sz w:val="22"/>
                <w:szCs w:val="22"/>
              </w:rPr>
              <w:t>87,7</w:t>
            </w:r>
          </w:p>
        </w:tc>
        <w:tc>
          <w:tcPr>
            <w:tcW w:w="706" w:type="dxa"/>
            <w:vAlign w:val="center"/>
          </w:tcPr>
          <w:p w14:paraId="6B871CBE">
            <w:pPr>
              <w:jc w:val="center"/>
              <w:rPr>
                <w:color w:val="000000"/>
                <w:sz w:val="22"/>
                <w:szCs w:val="22"/>
              </w:rPr>
            </w:pPr>
            <w:r>
              <w:rPr>
                <w:color w:val="000000"/>
                <w:sz w:val="22"/>
                <w:szCs w:val="22"/>
              </w:rPr>
              <w:t>4,0</w:t>
            </w:r>
          </w:p>
        </w:tc>
        <w:tc>
          <w:tcPr>
            <w:tcW w:w="1278" w:type="dxa"/>
            <w:vAlign w:val="center"/>
          </w:tcPr>
          <w:p w14:paraId="39669065">
            <w:pPr>
              <w:jc w:val="center"/>
              <w:rPr>
                <w:color w:val="000000"/>
                <w:sz w:val="22"/>
                <w:szCs w:val="22"/>
              </w:rPr>
            </w:pPr>
            <w:r>
              <w:rPr>
                <w:color w:val="000000"/>
                <w:sz w:val="22"/>
                <w:szCs w:val="22"/>
              </w:rPr>
              <w:t>306,06</w:t>
            </w:r>
          </w:p>
        </w:tc>
        <w:tc>
          <w:tcPr>
            <w:tcW w:w="851" w:type="dxa"/>
            <w:vAlign w:val="center"/>
          </w:tcPr>
          <w:p w14:paraId="2EBE57C5">
            <w:pPr>
              <w:jc w:val="center"/>
              <w:rPr>
                <w:color w:val="000000"/>
                <w:sz w:val="22"/>
                <w:szCs w:val="22"/>
              </w:rPr>
            </w:pPr>
            <w:r>
              <w:rPr>
                <w:color w:val="000000"/>
                <w:sz w:val="22"/>
                <w:szCs w:val="22"/>
              </w:rPr>
              <w:t>3,4</w:t>
            </w:r>
          </w:p>
        </w:tc>
        <w:tc>
          <w:tcPr>
            <w:tcW w:w="850" w:type="dxa"/>
            <w:vAlign w:val="center"/>
          </w:tcPr>
          <w:p w14:paraId="5739FBAE">
            <w:pPr>
              <w:jc w:val="center"/>
              <w:rPr>
                <w:color w:val="000000"/>
                <w:sz w:val="22"/>
                <w:szCs w:val="22"/>
              </w:rPr>
            </w:pPr>
            <w:r>
              <w:rPr>
                <w:color w:val="000000"/>
                <w:sz w:val="22"/>
                <w:szCs w:val="22"/>
              </w:rPr>
              <w:t>ĐH3</w:t>
            </w:r>
          </w:p>
        </w:tc>
      </w:tr>
      <w:tr w14:paraId="031E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E7DF8AC">
            <w:pPr>
              <w:jc w:val="center"/>
              <w:rPr>
                <w:color w:val="000000"/>
                <w:sz w:val="22"/>
                <w:szCs w:val="22"/>
              </w:rPr>
            </w:pPr>
          </w:p>
        </w:tc>
        <w:tc>
          <w:tcPr>
            <w:tcW w:w="1121" w:type="dxa"/>
            <w:noWrap/>
            <w:vAlign w:val="center"/>
          </w:tcPr>
          <w:p w14:paraId="51B9B314">
            <w:pPr>
              <w:jc w:val="center"/>
              <w:rPr>
                <w:color w:val="000000"/>
                <w:sz w:val="22"/>
                <w:szCs w:val="22"/>
              </w:rPr>
            </w:pPr>
            <w:r>
              <w:rPr>
                <w:color w:val="000000"/>
                <w:sz w:val="22"/>
                <w:szCs w:val="22"/>
              </w:rPr>
              <w:t>KL-22:05</w:t>
            </w:r>
          </w:p>
        </w:tc>
        <w:tc>
          <w:tcPr>
            <w:tcW w:w="1147" w:type="dxa"/>
            <w:vAlign w:val="center"/>
          </w:tcPr>
          <w:p w14:paraId="5C17E2E0">
            <w:pPr>
              <w:jc w:val="center"/>
              <w:rPr>
                <w:color w:val="000000"/>
                <w:sz w:val="22"/>
                <w:szCs w:val="22"/>
              </w:rPr>
            </w:pPr>
            <w:r>
              <w:rPr>
                <w:color w:val="000000"/>
                <w:sz w:val="22"/>
                <w:szCs w:val="22"/>
              </w:rPr>
              <w:t>90,00</w:t>
            </w:r>
          </w:p>
        </w:tc>
        <w:tc>
          <w:tcPr>
            <w:tcW w:w="1098" w:type="dxa"/>
            <w:vAlign w:val="center"/>
          </w:tcPr>
          <w:p w14:paraId="1B6798B3">
            <w:pPr>
              <w:jc w:val="center"/>
              <w:rPr>
                <w:color w:val="000000"/>
                <w:sz w:val="22"/>
                <w:szCs w:val="22"/>
              </w:rPr>
            </w:pPr>
            <w:r>
              <w:rPr>
                <w:color w:val="000000"/>
                <w:sz w:val="22"/>
                <w:szCs w:val="22"/>
              </w:rPr>
              <w:t>78,94</w:t>
            </w:r>
          </w:p>
        </w:tc>
        <w:tc>
          <w:tcPr>
            <w:tcW w:w="1134" w:type="dxa"/>
            <w:vAlign w:val="center"/>
          </w:tcPr>
          <w:p w14:paraId="7059BF06">
            <w:pPr>
              <w:jc w:val="center"/>
              <w:rPr>
                <w:color w:val="000000"/>
                <w:sz w:val="22"/>
                <w:szCs w:val="22"/>
              </w:rPr>
            </w:pPr>
            <w:r>
              <w:rPr>
                <w:color w:val="000000"/>
                <w:sz w:val="22"/>
                <w:szCs w:val="22"/>
              </w:rPr>
              <w:t>87,7</w:t>
            </w:r>
          </w:p>
        </w:tc>
        <w:tc>
          <w:tcPr>
            <w:tcW w:w="706" w:type="dxa"/>
            <w:vAlign w:val="center"/>
          </w:tcPr>
          <w:p w14:paraId="3E024BA1">
            <w:pPr>
              <w:jc w:val="center"/>
              <w:rPr>
                <w:color w:val="000000"/>
                <w:sz w:val="22"/>
                <w:szCs w:val="22"/>
              </w:rPr>
            </w:pPr>
            <w:r>
              <w:rPr>
                <w:color w:val="000000"/>
                <w:sz w:val="22"/>
                <w:szCs w:val="22"/>
              </w:rPr>
              <w:t>4,0</w:t>
            </w:r>
          </w:p>
        </w:tc>
        <w:tc>
          <w:tcPr>
            <w:tcW w:w="1278" w:type="dxa"/>
            <w:vAlign w:val="center"/>
          </w:tcPr>
          <w:p w14:paraId="791C4277">
            <w:pPr>
              <w:jc w:val="center"/>
              <w:rPr>
                <w:color w:val="000000"/>
                <w:sz w:val="22"/>
                <w:szCs w:val="22"/>
              </w:rPr>
            </w:pPr>
            <w:r>
              <w:rPr>
                <w:color w:val="000000"/>
                <w:sz w:val="22"/>
                <w:szCs w:val="22"/>
              </w:rPr>
              <w:t>306,06</w:t>
            </w:r>
          </w:p>
        </w:tc>
        <w:tc>
          <w:tcPr>
            <w:tcW w:w="851" w:type="dxa"/>
            <w:vAlign w:val="center"/>
          </w:tcPr>
          <w:p w14:paraId="4C2ECD69">
            <w:pPr>
              <w:jc w:val="center"/>
              <w:rPr>
                <w:color w:val="000000"/>
                <w:sz w:val="22"/>
                <w:szCs w:val="22"/>
              </w:rPr>
            </w:pPr>
            <w:r>
              <w:rPr>
                <w:color w:val="000000"/>
                <w:sz w:val="22"/>
                <w:szCs w:val="22"/>
              </w:rPr>
              <w:t>3,4</w:t>
            </w:r>
          </w:p>
        </w:tc>
        <w:tc>
          <w:tcPr>
            <w:tcW w:w="850" w:type="dxa"/>
            <w:vAlign w:val="center"/>
          </w:tcPr>
          <w:p w14:paraId="3A8B0A7D">
            <w:pPr>
              <w:jc w:val="center"/>
              <w:rPr>
                <w:color w:val="000000"/>
                <w:sz w:val="22"/>
                <w:szCs w:val="22"/>
              </w:rPr>
            </w:pPr>
            <w:r>
              <w:rPr>
                <w:color w:val="000000"/>
                <w:sz w:val="22"/>
                <w:szCs w:val="22"/>
              </w:rPr>
              <w:t>ĐH3</w:t>
            </w:r>
          </w:p>
        </w:tc>
      </w:tr>
      <w:tr w14:paraId="7C7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8968B4B">
            <w:pPr>
              <w:jc w:val="center"/>
              <w:rPr>
                <w:color w:val="000000"/>
                <w:sz w:val="22"/>
                <w:szCs w:val="22"/>
              </w:rPr>
            </w:pPr>
          </w:p>
        </w:tc>
        <w:tc>
          <w:tcPr>
            <w:tcW w:w="1121" w:type="dxa"/>
            <w:noWrap/>
            <w:vAlign w:val="center"/>
          </w:tcPr>
          <w:p w14:paraId="026A9A5D">
            <w:pPr>
              <w:jc w:val="center"/>
              <w:rPr>
                <w:color w:val="000000"/>
                <w:sz w:val="22"/>
                <w:szCs w:val="22"/>
              </w:rPr>
            </w:pPr>
            <w:r>
              <w:rPr>
                <w:color w:val="000000"/>
                <w:sz w:val="22"/>
                <w:szCs w:val="22"/>
              </w:rPr>
              <w:t>KL-22:06</w:t>
            </w:r>
          </w:p>
        </w:tc>
        <w:tc>
          <w:tcPr>
            <w:tcW w:w="1147" w:type="dxa"/>
            <w:vAlign w:val="center"/>
          </w:tcPr>
          <w:p w14:paraId="4EB08B4B">
            <w:pPr>
              <w:jc w:val="center"/>
              <w:rPr>
                <w:color w:val="000000"/>
                <w:sz w:val="22"/>
                <w:szCs w:val="22"/>
              </w:rPr>
            </w:pPr>
            <w:r>
              <w:rPr>
                <w:color w:val="000000"/>
                <w:sz w:val="22"/>
                <w:szCs w:val="22"/>
              </w:rPr>
              <w:t>90,00</w:t>
            </w:r>
          </w:p>
        </w:tc>
        <w:tc>
          <w:tcPr>
            <w:tcW w:w="1098" w:type="dxa"/>
            <w:vAlign w:val="center"/>
          </w:tcPr>
          <w:p w14:paraId="65DCAE36">
            <w:pPr>
              <w:jc w:val="center"/>
              <w:rPr>
                <w:color w:val="000000"/>
                <w:sz w:val="22"/>
                <w:szCs w:val="22"/>
              </w:rPr>
            </w:pPr>
            <w:r>
              <w:rPr>
                <w:color w:val="000000"/>
                <w:sz w:val="22"/>
                <w:szCs w:val="22"/>
              </w:rPr>
              <w:t>78,94</w:t>
            </w:r>
          </w:p>
        </w:tc>
        <w:tc>
          <w:tcPr>
            <w:tcW w:w="1134" w:type="dxa"/>
            <w:vAlign w:val="center"/>
          </w:tcPr>
          <w:p w14:paraId="5E144906">
            <w:pPr>
              <w:jc w:val="center"/>
              <w:rPr>
                <w:color w:val="000000"/>
                <w:sz w:val="22"/>
                <w:szCs w:val="22"/>
              </w:rPr>
            </w:pPr>
            <w:r>
              <w:rPr>
                <w:color w:val="000000"/>
                <w:sz w:val="22"/>
                <w:szCs w:val="22"/>
              </w:rPr>
              <w:t>87,7</w:t>
            </w:r>
          </w:p>
        </w:tc>
        <w:tc>
          <w:tcPr>
            <w:tcW w:w="706" w:type="dxa"/>
            <w:vAlign w:val="center"/>
          </w:tcPr>
          <w:p w14:paraId="4B424B3D">
            <w:pPr>
              <w:jc w:val="center"/>
              <w:rPr>
                <w:color w:val="000000"/>
                <w:sz w:val="22"/>
                <w:szCs w:val="22"/>
              </w:rPr>
            </w:pPr>
            <w:r>
              <w:rPr>
                <w:color w:val="000000"/>
                <w:sz w:val="22"/>
                <w:szCs w:val="22"/>
              </w:rPr>
              <w:t>4,0</w:t>
            </w:r>
          </w:p>
        </w:tc>
        <w:tc>
          <w:tcPr>
            <w:tcW w:w="1278" w:type="dxa"/>
            <w:vAlign w:val="center"/>
          </w:tcPr>
          <w:p w14:paraId="494D37C1">
            <w:pPr>
              <w:jc w:val="center"/>
              <w:rPr>
                <w:color w:val="000000"/>
                <w:sz w:val="22"/>
                <w:szCs w:val="22"/>
              </w:rPr>
            </w:pPr>
            <w:r>
              <w:rPr>
                <w:color w:val="000000"/>
                <w:sz w:val="22"/>
                <w:szCs w:val="22"/>
              </w:rPr>
              <w:t>306,06</w:t>
            </w:r>
          </w:p>
        </w:tc>
        <w:tc>
          <w:tcPr>
            <w:tcW w:w="851" w:type="dxa"/>
            <w:vAlign w:val="center"/>
          </w:tcPr>
          <w:p w14:paraId="3260C3BA">
            <w:pPr>
              <w:jc w:val="center"/>
              <w:rPr>
                <w:color w:val="000000"/>
                <w:sz w:val="22"/>
                <w:szCs w:val="22"/>
              </w:rPr>
            </w:pPr>
            <w:r>
              <w:rPr>
                <w:color w:val="000000"/>
                <w:sz w:val="22"/>
                <w:szCs w:val="22"/>
              </w:rPr>
              <w:t>3,4</w:t>
            </w:r>
          </w:p>
        </w:tc>
        <w:tc>
          <w:tcPr>
            <w:tcW w:w="850" w:type="dxa"/>
            <w:vAlign w:val="center"/>
          </w:tcPr>
          <w:p w14:paraId="45417D87">
            <w:pPr>
              <w:jc w:val="center"/>
              <w:rPr>
                <w:color w:val="000000"/>
                <w:sz w:val="22"/>
                <w:szCs w:val="22"/>
              </w:rPr>
            </w:pPr>
            <w:r>
              <w:rPr>
                <w:color w:val="000000"/>
                <w:sz w:val="22"/>
                <w:szCs w:val="22"/>
              </w:rPr>
              <w:t>ĐH3</w:t>
            </w:r>
          </w:p>
        </w:tc>
      </w:tr>
      <w:tr w14:paraId="33E9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BF337DE">
            <w:pPr>
              <w:jc w:val="center"/>
              <w:rPr>
                <w:color w:val="000000"/>
                <w:sz w:val="22"/>
                <w:szCs w:val="22"/>
              </w:rPr>
            </w:pPr>
          </w:p>
        </w:tc>
        <w:tc>
          <w:tcPr>
            <w:tcW w:w="1121" w:type="dxa"/>
            <w:noWrap/>
            <w:vAlign w:val="center"/>
          </w:tcPr>
          <w:p w14:paraId="1CB322A2">
            <w:pPr>
              <w:jc w:val="center"/>
              <w:rPr>
                <w:color w:val="000000"/>
                <w:sz w:val="22"/>
                <w:szCs w:val="22"/>
              </w:rPr>
            </w:pPr>
            <w:r>
              <w:rPr>
                <w:color w:val="000000"/>
                <w:sz w:val="22"/>
                <w:szCs w:val="22"/>
              </w:rPr>
              <w:t>KL-22:07</w:t>
            </w:r>
          </w:p>
        </w:tc>
        <w:tc>
          <w:tcPr>
            <w:tcW w:w="1147" w:type="dxa"/>
            <w:vAlign w:val="center"/>
          </w:tcPr>
          <w:p w14:paraId="1F44524E">
            <w:pPr>
              <w:jc w:val="center"/>
              <w:rPr>
                <w:color w:val="000000"/>
                <w:sz w:val="22"/>
                <w:szCs w:val="22"/>
              </w:rPr>
            </w:pPr>
            <w:r>
              <w:rPr>
                <w:color w:val="000000"/>
                <w:sz w:val="22"/>
                <w:szCs w:val="22"/>
              </w:rPr>
              <w:t>100,88</w:t>
            </w:r>
          </w:p>
        </w:tc>
        <w:tc>
          <w:tcPr>
            <w:tcW w:w="1098" w:type="dxa"/>
            <w:vAlign w:val="center"/>
          </w:tcPr>
          <w:p w14:paraId="1B164FAF">
            <w:pPr>
              <w:jc w:val="center"/>
              <w:rPr>
                <w:b/>
                <w:bCs/>
                <w:color w:val="000000"/>
                <w:sz w:val="22"/>
                <w:szCs w:val="22"/>
              </w:rPr>
            </w:pPr>
            <w:r>
              <w:rPr>
                <w:b/>
                <w:bCs/>
                <w:color w:val="000000"/>
                <w:sz w:val="22"/>
                <w:szCs w:val="22"/>
              </w:rPr>
              <w:t>85,86</w:t>
            </w:r>
          </w:p>
        </w:tc>
        <w:tc>
          <w:tcPr>
            <w:tcW w:w="1134" w:type="dxa"/>
            <w:vAlign w:val="center"/>
          </w:tcPr>
          <w:p w14:paraId="41FB9BC7">
            <w:pPr>
              <w:jc w:val="center"/>
              <w:rPr>
                <w:color w:val="000000"/>
                <w:sz w:val="22"/>
                <w:szCs w:val="22"/>
              </w:rPr>
            </w:pPr>
            <w:r>
              <w:rPr>
                <w:color w:val="000000"/>
                <w:sz w:val="22"/>
                <w:szCs w:val="22"/>
              </w:rPr>
              <w:t>85,1</w:t>
            </w:r>
          </w:p>
        </w:tc>
        <w:tc>
          <w:tcPr>
            <w:tcW w:w="706" w:type="dxa"/>
            <w:vAlign w:val="center"/>
          </w:tcPr>
          <w:p w14:paraId="6C940BC4">
            <w:pPr>
              <w:jc w:val="center"/>
              <w:rPr>
                <w:color w:val="000000"/>
                <w:sz w:val="22"/>
                <w:szCs w:val="22"/>
              </w:rPr>
            </w:pPr>
            <w:r>
              <w:rPr>
                <w:color w:val="000000"/>
                <w:sz w:val="22"/>
                <w:szCs w:val="22"/>
              </w:rPr>
              <w:t>4,0</w:t>
            </w:r>
          </w:p>
        </w:tc>
        <w:tc>
          <w:tcPr>
            <w:tcW w:w="1278" w:type="dxa"/>
            <w:vAlign w:val="center"/>
          </w:tcPr>
          <w:p w14:paraId="06943C51">
            <w:pPr>
              <w:jc w:val="center"/>
              <w:rPr>
                <w:color w:val="000000"/>
                <w:sz w:val="22"/>
                <w:szCs w:val="22"/>
              </w:rPr>
            </w:pPr>
            <w:r>
              <w:rPr>
                <w:color w:val="000000"/>
                <w:sz w:val="22"/>
                <w:szCs w:val="22"/>
              </w:rPr>
              <w:t>361,6</w:t>
            </w:r>
          </w:p>
        </w:tc>
        <w:tc>
          <w:tcPr>
            <w:tcW w:w="851" w:type="dxa"/>
            <w:vAlign w:val="center"/>
          </w:tcPr>
          <w:p w14:paraId="7FDAA84B">
            <w:pPr>
              <w:jc w:val="center"/>
              <w:rPr>
                <w:color w:val="000000"/>
                <w:sz w:val="22"/>
                <w:szCs w:val="22"/>
              </w:rPr>
            </w:pPr>
            <w:r>
              <w:rPr>
                <w:color w:val="000000"/>
                <w:sz w:val="22"/>
                <w:szCs w:val="22"/>
              </w:rPr>
              <w:t>3,6</w:t>
            </w:r>
          </w:p>
        </w:tc>
        <w:tc>
          <w:tcPr>
            <w:tcW w:w="850" w:type="dxa"/>
            <w:vAlign w:val="center"/>
          </w:tcPr>
          <w:p w14:paraId="02774048">
            <w:pPr>
              <w:jc w:val="center"/>
              <w:rPr>
                <w:color w:val="000000"/>
                <w:sz w:val="22"/>
                <w:szCs w:val="22"/>
              </w:rPr>
            </w:pPr>
            <w:r>
              <w:rPr>
                <w:color w:val="000000"/>
                <w:sz w:val="22"/>
                <w:szCs w:val="22"/>
              </w:rPr>
              <w:t>LG2.1</w:t>
            </w:r>
          </w:p>
        </w:tc>
      </w:tr>
      <w:tr w14:paraId="6135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2A983075">
            <w:pPr>
              <w:jc w:val="center"/>
              <w:rPr>
                <w:b/>
                <w:bCs/>
                <w:color w:val="000000"/>
                <w:sz w:val="22"/>
                <w:szCs w:val="22"/>
              </w:rPr>
            </w:pPr>
            <w:r>
              <w:rPr>
                <w:b/>
                <w:bCs/>
                <w:color w:val="000000"/>
                <w:sz w:val="22"/>
                <w:szCs w:val="22"/>
              </w:rPr>
              <w:t>Tổng</w:t>
            </w:r>
          </w:p>
        </w:tc>
        <w:tc>
          <w:tcPr>
            <w:tcW w:w="1121" w:type="dxa"/>
            <w:noWrap/>
            <w:vAlign w:val="center"/>
          </w:tcPr>
          <w:p w14:paraId="2B87BBA4">
            <w:pPr>
              <w:jc w:val="center"/>
              <w:rPr>
                <w:b/>
                <w:bCs/>
                <w:color w:val="000000"/>
                <w:sz w:val="22"/>
                <w:szCs w:val="22"/>
              </w:rPr>
            </w:pPr>
            <w:r>
              <w:rPr>
                <w:b/>
                <w:bCs/>
                <w:color w:val="000000"/>
                <w:sz w:val="22"/>
                <w:szCs w:val="22"/>
              </w:rPr>
              <w:t>KL-22</w:t>
            </w:r>
          </w:p>
        </w:tc>
        <w:tc>
          <w:tcPr>
            <w:tcW w:w="1147" w:type="dxa"/>
            <w:vAlign w:val="center"/>
          </w:tcPr>
          <w:p w14:paraId="113652D4">
            <w:pPr>
              <w:jc w:val="center"/>
              <w:rPr>
                <w:b/>
                <w:bCs/>
                <w:color w:val="000000"/>
                <w:sz w:val="22"/>
                <w:szCs w:val="22"/>
              </w:rPr>
            </w:pPr>
            <w:r>
              <w:rPr>
                <w:b/>
                <w:bCs/>
                <w:color w:val="000000"/>
                <w:sz w:val="22"/>
                <w:szCs w:val="22"/>
              </w:rPr>
              <w:t>640,88</w:t>
            </w:r>
          </w:p>
        </w:tc>
        <w:tc>
          <w:tcPr>
            <w:tcW w:w="1098" w:type="dxa"/>
            <w:vAlign w:val="center"/>
          </w:tcPr>
          <w:p w14:paraId="6C145718">
            <w:pPr>
              <w:jc w:val="center"/>
              <w:rPr>
                <w:b/>
                <w:bCs/>
                <w:color w:val="000000"/>
                <w:sz w:val="22"/>
                <w:szCs w:val="22"/>
              </w:rPr>
            </w:pPr>
            <w:r>
              <w:rPr>
                <w:b/>
                <w:bCs/>
                <w:color w:val="000000"/>
                <w:sz w:val="22"/>
                <w:szCs w:val="22"/>
              </w:rPr>
              <w:t>559,5</w:t>
            </w:r>
          </w:p>
        </w:tc>
        <w:tc>
          <w:tcPr>
            <w:tcW w:w="1134" w:type="dxa"/>
            <w:vAlign w:val="center"/>
          </w:tcPr>
          <w:p w14:paraId="635E29E1">
            <w:pPr>
              <w:jc w:val="center"/>
              <w:rPr>
                <w:b/>
                <w:bCs/>
                <w:color w:val="000000"/>
                <w:sz w:val="22"/>
                <w:szCs w:val="22"/>
              </w:rPr>
            </w:pPr>
            <w:r>
              <w:rPr>
                <w:b/>
                <w:bCs/>
                <w:color w:val="000000"/>
                <w:sz w:val="22"/>
                <w:szCs w:val="22"/>
              </w:rPr>
              <w:t>87,3</w:t>
            </w:r>
          </w:p>
        </w:tc>
        <w:tc>
          <w:tcPr>
            <w:tcW w:w="706" w:type="dxa"/>
            <w:vAlign w:val="center"/>
          </w:tcPr>
          <w:p w14:paraId="2E7987D0">
            <w:pPr>
              <w:jc w:val="center"/>
              <w:rPr>
                <w:color w:val="000000"/>
                <w:sz w:val="22"/>
                <w:szCs w:val="22"/>
              </w:rPr>
            </w:pPr>
          </w:p>
        </w:tc>
        <w:tc>
          <w:tcPr>
            <w:tcW w:w="1278" w:type="dxa"/>
            <w:vAlign w:val="center"/>
          </w:tcPr>
          <w:p w14:paraId="075BFFB2">
            <w:pPr>
              <w:jc w:val="center"/>
              <w:rPr>
                <w:b/>
                <w:bCs/>
                <w:color w:val="000000"/>
                <w:sz w:val="22"/>
                <w:szCs w:val="22"/>
              </w:rPr>
            </w:pPr>
            <w:r>
              <w:rPr>
                <w:b/>
                <w:bCs/>
                <w:color w:val="000000"/>
                <w:sz w:val="22"/>
                <w:szCs w:val="22"/>
              </w:rPr>
              <w:t>2.198,0</w:t>
            </w:r>
          </w:p>
        </w:tc>
        <w:tc>
          <w:tcPr>
            <w:tcW w:w="851" w:type="dxa"/>
            <w:vAlign w:val="center"/>
          </w:tcPr>
          <w:p w14:paraId="6F6D0DED">
            <w:pPr>
              <w:jc w:val="center"/>
              <w:rPr>
                <w:b/>
                <w:bCs/>
                <w:color w:val="000000"/>
                <w:sz w:val="22"/>
                <w:szCs w:val="22"/>
              </w:rPr>
            </w:pPr>
            <w:r>
              <w:rPr>
                <w:b/>
                <w:bCs/>
                <w:color w:val="000000"/>
                <w:sz w:val="22"/>
                <w:szCs w:val="22"/>
              </w:rPr>
              <w:t>3,4</w:t>
            </w:r>
          </w:p>
        </w:tc>
        <w:tc>
          <w:tcPr>
            <w:tcW w:w="850" w:type="dxa"/>
            <w:vAlign w:val="center"/>
          </w:tcPr>
          <w:p w14:paraId="45BC3B21">
            <w:pPr>
              <w:jc w:val="center"/>
              <w:rPr>
                <w:color w:val="000000"/>
                <w:sz w:val="22"/>
                <w:szCs w:val="22"/>
              </w:rPr>
            </w:pPr>
          </w:p>
        </w:tc>
      </w:tr>
      <w:tr w14:paraId="5F3E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4F61483E">
            <w:pPr>
              <w:jc w:val="center"/>
              <w:rPr>
                <w:b/>
                <w:bCs/>
                <w:color w:val="000000"/>
                <w:sz w:val="22"/>
                <w:szCs w:val="22"/>
              </w:rPr>
            </w:pPr>
            <w:r>
              <w:rPr>
                <w:b/>
                <w:bCs/>
                <w:color w:val="000000"/>
                <w:sz w:val="22"/>
                <w:szCs w:val="22"/>
              </w:rPr>
              <w:t>LK59</w:t>
            </w:r>
          </w:p>
        </w:tc>
        <w:tc>
          <w:tcPr>
            <w:tcW w:w="1121" w:type="dxa"/>
            <w:noWrap/>
            <w:vAlign w:val="center"/>
          </w:tcPr>
          <w:p w14:paraId="621D5401">
            <w:pPr>
              <w:jc w:val="center"/>
              <w:rPr>
                <w:b/>
                <w:bCs/>
                <w:color w:val="000000"/>
                <w:sz w:val="22"/>
                <w:szCs w:val="22"/>
              </w:rPr>
            </w:pPr>
            <w:r>
              <w:rPr>
                <w:b/>
                <w:bCs/>
                <w:color w:val="000000"/>
                <w:sz w:val="22"/>
                <w:szCs w:val="22"/>
              </w:rPr>
              <w:t>KL-59:01</w:t>
            </w:r>
          </w:p>
        </w:tc>
        <w:tc>
          <w:tcPr>
            <w:tcW w:w="1147" w:type="dxa"/>
            <w:vAlign w:val="center"/>
          </w:tcPr>
          <w:p w14:paraId="1A2C9045">
            <w:pPr>
              <w:jc w:val="center"/>
              <w:rPr>
                <w:b/>
                <w:bCs/>
                <w:color w:val="000000"/>
                <w:sz w:val="22"/>
                <w:szCs w:val="22"/>
              </w:rPr>
            </w:pPr>
            <w:r>
              <w:rPr>
                <w:b/>
                <w:bCs/>
                <w:color w:val="000000"/>
                <w:sz w:val="22"/>
                <w:szCs w:val="22"/>
              </w:rPr>
              <w:t>85,75</w:t>
            </w:r>
          </w:p>
        </w:tc>
        <w:tc>
          <w:tcPr>
            <w:tcW w:w="1098" w:type="dxa"/>
            <w:vAlign w:val="center"/>
          </w:tcPr>
          <w:p w14:paraId="3AA75BBE">
            <w:pPr>
              <w:jc w:val="center"/>
              <w:rPr>
                <w:b/>
                <w:bCs/>
                <w:color w:val="000000"/>
                <w:sz w:val="22"/>
                <w:szCs w:val="22"/>
              </w:rPr>
            </w:pPr>
            <w:r>
              <w:rPr>
                <w:b/>
                <w:bCs/>
                <w:color w:val="000000"/>
                <w:sz w:val="22"/>
                <w:szCs w:val="22"/>
              </w:rPr>
              <w:t>77,48</w:t>
            </w:r>
          </w:p>
        </w:tc>
        <w:tc>
          <w:tcPr>
            <w:tcW w:w="1134" w:type="dxa"/>
            <w:vAlign w:val="center"/>
          </w:tcPr>
          <w:p w14:paraId="41775619">
            <w:pPr>
              <w:jc w:val="center"/>
              <w:rPr>
                <w:b/>
                <w:bCs/>
                <w:color w:val="000000"/>
                <w:sz w:val="22"/>
                <w:szCs w:val="22"/>
              </w:rPr>
            </w:pPr>
            <w:r>
              <w:rPr>
                <w:b/>
                <w:bCs/>
                <w:color w:val="000000"/>
                <w:sz w:val="22"/>
                <w:szCs w:val="22"/>
              </w:rPr>
              <w:t>90,4</w:t>
            </w:r>
          </w:p>
        </w:tc>
        <w:tc>
          <w:tcPr>
            <w:tcW w:w="706" w:type="dxa"/>
            <w:vAlign w:val="center"/>
          </w:tcPr>
          <w:p w14:paraId="1A2EE144">
            <w:pPr>
              <w:jc w:val="center"/>
              <w:rPr>
                <w:b/>
                <w:bCs/>
                <w:color w:val="000000"/>
                <w:sz w:val="22"/>
                <w:szCs w:val="22"/>
              </w:rPr>
            </w:pPr>
            <w:r>
              <w:rPr>
                <w:b/>
                <w:bCs/>
                <w:color w:val="000000"/>
                <w:sz w:val="22"/>
                <w:szCs w:val="22"/>
              </w:rPr>
              <w:t>4,0</w:t>
            </w:r>
          </w:p>
        </w:tc>
        <w:tc>
          <w:tcPr>
            <w:tcW w:w="1278" w:type="dxa"/>
            <w:vAlign w:val="center"/>
          </w:tcPr>
          <w:p w14:paraId="13849B90">
            <w:pPr>
              <w:jc w:val="center"/>
              <w:rPr>
                <w:b/>
                <w:bCs/>
                <w:color w:val="000000"/>
                <w:sz w:val="22"/>
                <w:szCs w:val="22"/>
              </w:rPr>
            </w:pPr>
            <w:r>
              <w:rPr>
                <w:b/>
                <w:bCs/>
                <w:color w:val="000000"/>
                <w:sz w:val="22"/>
                <w:szCs w:val="22"/>
              </w:rPr>
              <w:t>320,3</w:t>
            </w:r>
          </w:p>
        </w:tc>
        <w:tc>
          <w:tcPr>
            <w:tcW w:w="851" w:type="dxa"/>
            <w:vAlign w:val="center"/>
          </w:tcPr>
          <w:p w14:paraId="61509D15">
            <w:pPr>
              <w:jc w:val="center"/>
              <w:rPr>
                <w:color w:val="000000"/>
                <w:sz w:val="22"/>
                <w:szCs w:val="22"/>
              </w:rPr>
            </w:pPr>
          </w:p>
        </w:tc>
        <w:tc>
          <w:tcPr>
            <w:tcW w:w="850" w:type="dxa"/>
            <w:vAlign w:val="center"/>
          </w:tcPr>
          <w:p w14:paraId="6CA70A30">
            <w:pPr>
              <w:jc w:val="center"/>
              <w:rPr>
                <w:color w:val="000000"/>
                <w:sz w:val="22"/>
                <w:szCs w:val="22"/>
              </w:rPr>
            </w:pPr>
            <w:r>
              <w:rPr>
                <w:color w:val="000000"/>
                <w:sz w:val="22"/>
                <w:szCs w:val="22"/>
              </w:rPr>
              <w:t>LG2.2</w:t>
            </w:r>
          </w:p>
        </w:tc>
      </w:tr>
      <w:tr w14:paraId="57EC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08164EA8">
            <w:pPr>
              <w:jc w:val="center"/>
              <w:rPr>
                <w:color w:val="000000"/>
                <w:sz w:val="22"/>
                <w:szCs w:val="22"/>
              </w:rPr>
            </w:pPr>
            <w:r>
              <w:rPr>
                <w:color w:val="000000"/>
                <w:sz w:val="22"/>
                <w:szCs w:val="22"/>
              </w:rPr>
              <w:t>LK33</w:t>
            </w:r>
          </w:p>
        </w:tc>
        <w:tc>
          <w:tcPr>
            <w:tcW w:w="1121" w:type="dxa"/>
            <w:noWrap/>
            <w:vAlign w:val="center"/>
          </w:tcPr>
          <w:p w14:paraId="5AD43A7A">
            <w:pPr>
              <w:jc w:val="center"/>
              <w:rPr>
                <w:color w:val="000000"/>
                <w:sz w:val="22"/>
                <w:szCs w:val="22"/>
              </w:rPr>
            </w:pPr>
            <w:r>
              <w:rPr>
                <w:color w:val="000000"/>
                <w:sz w:val="22"/>
                <w:szCs w:val="22"/>
              </w:rPr>
              <w:t>KL-33:01</w:t>
            </w:r>
          </w:p>
        </w:tc>
        <w:tc>
          <w:tcPr>
            <w:tcW w:w="1147" w:type="dxa"/>
            <w:vAlign w:val="center"/>
          </w:tcPr>
          <w:p w14:paraId="1AD4440C">
            <w:pPr>
              <w:jc w:val="center"/>
              <w:rPr>
                <w:color w:val="000000"/>
                <w:sz w:val="22"/>
                <w:szCs w:val="22"/>
              </w:rPr>
            </w:pPr>
            <w:r>
              <w:rPr>
                <w:color w:val="000000"/>
                <w:sz w:val="22"/>
                <w:szCs w:val="22"/>
              </w:rPr>
              <w:t>136,50</w:t>
            </w:r>
          </w:p>
        </w:tc>
        <w:tc>
          <w:tcPr>
            <w:tcW w:w="1098" w:type="dxa"/>
            <w:vAlign w:val="center"/>
          </w:tcPr>
          <w:p w14:paraId="5C433F26">
            <w:pPr>
              <w:jc w:val="center"/>
              <w:rPr>
                <w:color w:val="000000"/>
                <w:sz w:val="22"/>
                <w:szCs w:val="22"/>
              </w:rPr>
            </w:pPr>
            <w:r>
              <w:rPr>
                <w:color w:val="000000"/>
                <w:sz w:val="22"/>
                <w:szCs w:val="22"/>
              </w:rPr>
              <w:t>123,429</w:t>
            </w:r>
          </w:p>
        </w:tc>
        <w:tc>
          <w:tcPr>
            <w:tcW w:w="1134" w:type="dxa"/>
            <w:vAlign w:val="center"/>
          </w:tcPr>
          <w:p w14:paraId="1ADA76E3">
            <w:pPr>
              <w:jc w:val="center"/>
              <w:rPr>
                <w:color w:val="000000"/>
                <w:sz w:val="22"/>
                <w:szCs w:val="22"/>
              </w:rPr>
            </w:pPr>
            <w:r>
              <w:rPr>
                <w:color w:val="000000"/>
                <w:sz w:val="22"/>
                <w:szCs w:val="22"/>
              </w:rPr>
              <w:t>90,4</w:t>
            </w:r>
          </w:p>
        </w:tc>
        <w:tc>
          <w:tcPr>
            <w:tcW w:w="706" w:type="dxa"/>
            <w:vAlign w:val="center"/>
          </w:tcPr>
          <w:p w14:paraId="4A0FB363">
            <w:pPr>
              <w:jc w:val="center"/>
              <w:rPr>
                <w:color w:val="000000"/>
                <w:sz w:val="22"/>
                <w:szCs w:val="22"/>
              </w:rPr>
            </w:pPr>
            <w:r>
              <w:rPr>
                <w:color w:val="000000"/>
                <w:sz w:val="22"/>
                <w:szCs w:val="22"/>
              </w:rPr>
              <w:t>4,0</w:t>
            </w:r>
          </w:p>
        </w:tc>
        <w:tc>
          <w:tcPr>
            <w:tcW w:w="1278" w:type="dxa"/>
            <w:vAlign w:val="center"/>
          </w:tcPr>
          <w:p w14:paraId="5761BD65">
            <w:pPr>
              <w:jc w:val="center"/>
              <w:rPr>
                <w:color w:val="000000"/>
                <w:sz w:val="22"/>
                <w:szCs w:val="22"/>
              </w:rPr>
            </w:pPr>
            <w:r>
              <w:rPr>
                <w:color w:val="000000"/>
                <w:sz w:val="22"/>
                <w:szCs w:val="22"/>
              </w:rPr>
              <w:t>535,9</w:t>
            </w:r>
          </w:p>
        </w:tc>
        <w:tc>
          <w:tcPr>
            <w:tcW w:w="851" w:type="dxa"/>
            <w:vAlign w:val="center"/>
          </w:tcPr>
          <w:p w14:paraId="5BABC320">
            <w:pPr>
              <w:jc w:val="center"/>
              <w:rPr>
                <w:color w:val="000000"/>
                <w:sz w:val="22"/>
                <w:szCs w:val="22"/>
              </w:rPr>
            </w:pPr>
            <w:r>
              <w:rPr>
                <w:color w:val="000000"/>
                <w:sz w:val="22"/>
                <w:szCs w:val="22"/>
              </w:rPr>
              <w:t>3,9</w:t>
            </w:r>
          </w:p>
        </w:tc>
        <w:tc>
          <w:tcPr>
            <w:tcW w:w="850" w:type="dxa"/>
            <w:vAlign w:val="center"/>
          </w:tcPr>
          <w:p w14:paraId="676990FE">
            <w:pPr>
              <w:jc w:val="center"/>
              <w:rPr>
                <w:color w:val="000000"/>
                <w:sz w:val="22"/>
                <w:szCs w:val="22"/>
              </w:rPr>
            </w:pPr>
            <w:r>
              <w:rPr>
                <w:color w:val="000000"/>
                <w:sz w:val="22"/>
                <w:szCs w:val="22"/>
              </w:rPr>
              <w:t>LG1</w:t>
            </w:r>
          </w:p>
        </w:tc>
      </w:tr>
      <w:tr w14:paraId="5FB4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FB1775A">
            <w:pPr>
              <w:jc w:val="center"/>
              <w:rPr>
                <w:color w:val="000000"/>
                <w:sz w:val="22"/>
                <w:szCs w:val="22"/>
              </w:rPr>
            </w:pPr>
          </w:p>
        </w:tc>
        <w:tc>
          <w:tcPr>
            <w:tcW w:w="1121" w:type="dxa"/>
            <w:noWrap/>
            <w:vAlign w:val="center"/>
          </w:tcPr>
          <w:p w14:paraId="763C797B">
            <w:pPr>
              <w:jc w:val="center"/>
              <w:rPr>
                <w:color w:val="000000"/>
                <w:sz w:val="22"/>
                <w:szCs w:val="22"/>
              </w:rPr>
            </w:pPr>
            <w:r>
              <w:rPr>
                <w:color w:val="000000"/>
                <w:sz w:val="22"/>
                <w:szCs w:val="22"/>
              </w:rPr>
              <w:t>KL-33:02</w:t>
            </w:r>
          </w:p>
        </w:tc>
        <w:tc>
          <w:tcPr>
            <w:tcW w:w="1147" w:type="dxa"/>
            <w:vAlign w:val="center"/>
          </w:tcPr>
          <w:p w14:paraId="090D4FF5">
            <w:pPr>
              <w:jc w:val="center"/>
              <w:rPr>
                <w:color w:val="000000"/>
                <w:sz w:val="22"/>
                <w:szCs w:val="22"/>
              </w:rPr>
            </w:pPr>
            <w:r>
              <w:rPr>
                <w:color w:val="000000"/>
                <w:sz w:val="22"/>
                <w:szCs w:val="22"/>
              </w:rPr>
              <w:t>90,00</w:t>
            </w:r>
          </w:p>
        </w:tc>
        <w:tc>
          <w:tcPr>
            <w:tcW w:w="1098" w:type="dxa"/>
            <w:vAlign w:val="center"/>
          </w:tcPr>
          <w:p w14:paraId="5EC12F9C">
            <w:pPr>
              <w:jc w:val="center"/>
              <w:rPr>
                <w:color w:val="000000"/>
                <w:sz w:val="22"/>
                <w:szCs w:val="22"/>
              </w:rPr>
            </w:pPr>
            <w:r>
              <w:rPr>
                <w:color w:val="000000"/>
                <w:sz w:val="22"/>
                <w:szCs w:val="22"/>
              </w:rPr>
              <w:t>78,338</w:t>
            </w:r>
          </w:p>
        </w:tc>
        <w:tc>
          <w:tcPr>
            <w:tcW w:w="1134" w:type="dxa"/>
            <w:vAlign w:val="center"/>
          </w:tcPr>
          <w:p w14:paraId="344C6A0F">
            <w:pPr>
              <w:jc w:val="center"/>
              <w:rPr>
                <w:color w:val="000000"/>
                <w:sz w:val="22"/>
                <w:szCs w:val="22"/>
              </w:rPr>
            </w:pPr>
            <w:r>
              <w:rPr>
                <w:color w:val="000000"/>
                <w:sz w:val="22"/>
                <w:szCs w:val="22"/>
              </w:rPr>
              <w:t>87,0</w:t>
            </w:r>
          </w:p>
        </w:tc>
        <w:tc>
          <w:tcPr>
            <w:tcW w:w="706" w:type="dxa"/>
            <w:vAlign w:val="center"/>
          </w:tcPr>
          <w:p w14:paraId="728D9AFC">
            <w:pPr>
              <w:jc w:val="center"/>
              <w:rPr>
                <w:color w:val="000000"/>
                <w:sz w:val="22"/>
                <w:szCs w:val="22"/>
              </w:rPr>
            </w:pPr>
            <w:r>
              <w:rPr>
                <w:color w:val="000000"/>
                <w:sz w:val="22"/>
                <w:szCs w:val="22"/>
              </w:rPr>
              <w:t>4,0</w:t>
            </w:r>
          </w:p>
        </w:tc>
        <w:tc>
          <w:tcPr>
            <w:tcW w:w="1278" w:type="dxa"/>
            <w:vAlign w:val="center"/>
          </w:tcPr>
          <w:p w14:paraId="3D7FB813">
            <w:pPr>
              <w:jc w:val="center"/>
              <w:rPr>
                <w:color w:val="000000"/>
                <w:sz w:val="22"/>
                <w:szCs w:val="22"/>
              </w:rPr>
            </w:pPr>
            <w:r>
              <w:rPr>
                <w:color w:val="000000"/>
                <w:sz w:val="22"/>
                <w:szCs w:val="22"/>
              </w:rPr>
              <w:t>313,8</w:t>
            </w:r>
          </w:p>
        </w:tc>
        <w:tc>
          <w:tcPr>
            <w:tcW w:w="851" w:type="dxa"/>
            <w:vAlign w:val="center"/>
          </w:tcPr>
          <w:p w14:paraId="67C5748F">
            <w:pPr>
              <w:jc w:val="center"/>
              <w:rPr>
                <w:color w:val="000000"/>
                <w:sz w:val="22"/>
                <w:szCs w:val="22"/>
              </w:rPr>
            </w:pPr>
            <w:r>
              <w:rPr>
                <w:color w:val="000000"/>
                <w:sz w:val="22"/>
                <w:szCs w:val="22"/>
              </w:rPr>
              <w:t>3,5</w:t>
            </w:r>
          </w:p>
        </w:tc>
        <w:tc>
          <w:tcPr>
            <w:tcW w:w="850" w:type="dxa"/>
            <w:vAlign w:val="center"/>
          </w:tcPr>
          <w:p w14:paraId="1D1592FA">
            <w:pPr>
              <w:jc w:val="center"/>
              <w:rPr>
                <w:color w:val="000000"/>
                <w:sz w:val="22"/>
                <w:szCs w:val="22"/>
              </w:rPr>
            </w:pPr>
            <w:r>
              <w:rPr>
                <w:color w:val="000000"/>
                <w:sz w:val="22"/>
                <w:szCs w:val="22"/>
              </w:rPr>
              <w:t>ĐH1</w:t>
            </w:r>
          </w:p>
        </w:tc>
      </w:tr>
      <w:tr w14:paraId="777F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23CAA54B">
            <w:pPr>
              <w:jc w:val="center"/>
              <w:rPr>
                <w:color w:val="000000"/>
                <w:sz w:val="22"/>
                <w:szCs w:val="22"/>
              </w:rPr>
            </w:pPr>
          </w:p>
        </w:tc>
        <w:tc>
          <w:tcPr>
            <w:tcW w:w="1121" w:type="dxa"/>
            <w:noWrap/>
            <w:vAlign w:val="center"/>
          </w:tcPr>
          <w:p w14:paraId="30340098">
            <w:pPr>
              <w:jc w:val="center"/>
              <w:rPr>
                <w:color w:val="000000"/>
                <w:sz w:val="22"/>
                <w:szCs w:val="22"/>
              </w:rPr>
            </w:pPr>
            <w:r>
              <w:rPr>
                <w:color w:val="000000"/>
                <w:sz w:val="22"/>
                <w:szCs w:val="22"/>
              </w:rPr>
              <w:t>KL-33:03</w:t>
            </w:r>
          </w:p>
        </w:tc>
        <w:tc>
          <w:tcPr>
            <w:tcW w:w="1147" w:type="dxa"/>
            <w:vAlign w:val="center"/>
          </w:tcPr>
          <w:p w14:paraId="56079298">
            <w:pPr>
              <w:jc w:val="center"/>
              <w:rPr>
                <w:color w:val="000000"/>
                <w:sz w:val="22"/>
                <w:szCs w:val="22"/>
              </w:rPr>
            </w:pPr>
            <w:r>
              <w:rPr>
                <w:color w:val="000000"/>
                <w:sz w:val="22"/>
                <w:szCs w:val="22"/>
              </w:rPr>
              <w:t>90,00</w:t>
            </w:r>
          </w:p>
        </w:tc>
        <w:tc>
          <w:tcPr>
            <w:tcW w:w="1098" w:type="dxa"/>
            <w:vAlign w:val="center"/>
          </w:tcPr>
          <w:p w14:paraId="7B8FC714">
            <w:pPr>
              <w:jc w:val="center"/>
              <w:rPr>
                <w:color w:val="000000"/>
                <w:sz w:val="22"/>
                <w:szCs w:val="22"/>
              </w:rPr>
            </w:pPr>
            <w:r>
              <w:rPr>
                <w:color w:val="000000"/>
                <w:sz w:val="22"/>
                <w:szCs w:val="22"/>
              </w:rPr>
              <w:t>78,338</w:t>
            </w:r>
          </w:p>
        </w:tc>
        <w:tc>
          <w:tcPr>
            <w:tcW w:w="1134" w:type="dxa"/>
            <w:vAlign w:val="center"/>
          </w:tcPr>
          <w:p w14:paraId="55D53FC1">
            <w:pPr>
              <w:jc w:val="center"/>
              <w:rPr>
                <w:color w:val="000000"/>
                <w:sz w:val="22"/>
                <w:szCs w:val="22"/>
              </w:rPr>
            </w:pPr>
            <w:r>
              <w:rPr>
                <w:color w:val="000000"/>
                <w:sz w:val="22"/>
                <w:szCs w:val="22"/>
              </w:rPr>
              <w:t>87,0</w:t>
            </w:r>
          </w:p>
        </w:tc>
        <w:tc>
          <w:tcPr>
            <w:tcW w:w="706" w:type="dxa"/>
            <w:vAlign w:val="center"/>
          </w:tcPr>
          <w:p w14:paraId="70FBA1C2">
            <w:pPr>
              <w:jc w:val="center"/>
              <w:rPr>
                <w:color w:val="000000"/>
                <w:sz w:val="22"/>
                <w:szCs w:val="22"/>
              </w:rPr>
            </w:pPr>
            <w:r>
              <w:rPr>
                <w:color w:val="000000"/>
                <w:sz w:val="22"/>
                <w:szCs w:val="22"/>
              </w:rPr>
              <w:t>4,0</w:t>
            </w:r>
          </w:p>
        </w:tc>
        <w:tc>
          <w:tcPr>
            <w:tcW w:w="1278" w:type="dxa"/>
            <w:vAlign w:val="center"/>
          </w:tcPr>
          <w:p w14:paraId="007976BB">
            <w:pPr>
              <w:jc w:val="center"/>
              <w:rPr>
                <w:color w:val="000000"/>
                <w:sz w:val="22"/>
                <w:szCs w:val="22"/>
              </w:rPr>
            </w:pPr>
            <w:r>
              <w:rPr>
                <w:color w:val="000000"/>
                <w:sz w:val="22"/>
                <w:szCs w:val="22"/>
              </w:rPr>
              <w:t>313,8</w:t>
            </w:r>
          </w:p>
        </w:tc>
        <w:tc>
          <w:tcPr>
            <w:tcW w:w="851" w:type="dxa"/>
            <w:vAlign w:val="center"/>
          </w:tcPr>
          <w:p w14:paraId="4ECCA319">
            <w:pPr>
              <w:jc w:val="center"/>
              <w:rPr>
                <w:color w:val="000000"/>
                <w:sz w:val="22"/>
                <w:szCs w:val="22"/>
              </w:rPr>
            </w:pPr>
            <w:r>
              <w:rPr>
                <w:color w:val="000000"/>
                <w:sz w:val="22"/>
                <w:szCs w:val="22"/>
              </w:rPr>
              <w:t>3,5</w:t>
            </w:r>
          </w:p>
        </w:tc>
        <w:tc>
          <w:tcPr>
            <w:tcW w:w="850" w:type="dxa"/>
            <w:vAlign w:val="center"/>
          </w:tcPr>
          <w:p w14:paraId="1B99D4A5">
            <w:pPr>
              <w:jc w:val="center"/>
              <w:rPr>
                <w:color w:val="000000"/>
                <w:sz w:val="22"/>
                <w:szCs w:val="22"/>
              </w:rPr>
            </w:pPr>
            <w:r>
              <w:rPr>
                <w:color w:val="000000"/>
                <w:sz w:val="22"/>
                <w:szCs w:val="22"/>
              </w:rPr>
              <w:t>ĐH1</w:t>
            </w:r>
          </w:p>
        </w:tc>
      </w:tr>
      <w:tr w14:paraId="1679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239E47E">
            <w:pPr>
              <w:jc w:val="center"/>
              <w:rPr>
                <w:color w:val="000000"/>
                <w:sz w:val="22"/>
                <w:szCs w:val="22"/>
              </w:rPr>
            </w:pPr>
          </w:p>
        </w:tc>
        <w:tc>
          <w:tcPr>
            <w:tcW w:w="1121" w:type="dxa"/>
            <w:noWrap/>
            <w:vAlign w:val="center"/>
          </w:tcPr>
          <w:p w14:paraId="31FFB155">
            <w:pPr>
              <w:jc w:val="center"/>
              <w:rPr>
                <w:color w:val="000000"/>
                <w:sz w:val="22"/>
                <w:szCs w:val="22"/>
              </w:rPr>
            </w:pPr>
            <w:r>
              <w:rPr>
                <w:color w:val="000000"/>
                <w:sz w:val="22"/>
                <w:szCs w:val="22"/>
              </w:rPr>
              <w:t>KL-33:04</w:t>
            </w:r>
          </w:p>
        </w:tc>
        <w:tc>
          <w:tcPr>
            <w:tcW w:w="1147" w:type="dxa"/>
            <w:vAlign w:val="center"/>
          </w:tcPr>
          <w:p w14:paraId="3942D196">
            <w:pPr>
              <w:jc w:val="center"/>
              <w:rPr>
                <w:color w:val="000000"/>
                <w:sz w:val="22"/>
                <w:szCs w:val="22"/>
              </w:rPr>
            </w:pPr>
            <w:r>
              <w:rPr>
                <w:color w:val="000000"/>
                <w:sz w:val="22"/>
                <w:szCs w:val="22"/>
              </w:rPr>
              <w:t>90,00</w:t>
            </w:r>
          </w:p>
        </w:tc>
        <w:tc>
          <w:tcPr>
            <w:tcW w:w="1098" w:type="dxa"/>
            <w:vAlign w:val="center"/>
          </w:tcPr>
          <w:p w14:paraId="536F3AD0">
            <w:pPr>
              <w:jc w:val="center"/>
              <w:rPr>
                <w:color w:val="000000"/>
                <w:sz w:val="22"/>
                <w:szCs w:val="22"/>
              </w:rPr>
            </w:pPr>
            <w:r>
              <w:rPr>
                <w:color w:val="000000"/>
                <w:sz w:val="22"/>
                <w:szCs w:val="22"/>
              </w:rPr>
              <w:t>78,338</w:t>
            </w:r>
          </w:p>
        </w:tc>
        <w:tc>
          <w:tcPr>
            <w:tcW w:w="1134" w:type="dxa"/>
            <w:vAlign w:val="center"/>
          </w:tcPr>
          <w:p w14:paraId="6D3016CD">
            <w:pPr>
              <w:jc w:val="center"/>
              <w:rPr>
                <w:color w:val="000000"/>
                <w:sz w:val="22"/>
                <w:szCs w:val="22"/>
              </w:rPr>
            </w:pPr>
            <w:r>
              <w:rPr>
                <w:color w:val="000000"/>
                <w:sz w:val="22"/>
                <w:szCs w:val="22"/>
              </w:rPr>
              <w:t>87,0</w:t>
            </w:r>
          </w:p>
        </w:tc>
        <w:tc>
          <w:tcPr>
            <w:tcW w:w="706" w:type="dxa"/>
            <w:vAlign w:val="center"/>
          </w:tcPr>
          <w:p w14:paraId="68E79D1F">
            <w:pPr>
              <w:jc w:val="center"/>
              <w:rPr>
                <w:color w:val="000000"/>
                <w:sz w:val="22"/>
                <w:szCs w:val="22"/>
              </w:rPr>
            </w:pPr>
            <w:r>
              <w:rPr>
                <w:color w:val="000000"/>
                <w:sz w:val="22"/>
                <w:szCs w:val="22"/>
              </w:rPr>
              <w:t>4,0</w:t>
            </w:r>
          </w:p>
        </w:tc>
        <w:tc>
          <w:tcPr>
            <w:tcW w:w="1278" w:type="dxa"/>
            <w:vAlign w:val="center"/>
          </w:tcPr>
          <w:p w14:paraId="1883A8C6">
            <w:pPr>
              <w:jc w:val="center"/>
              <w:rPr>
                <w:color w:val="000000"/>
                <w:sz w:val="22"/>
                <w:szCs w:val="22"/>
              </w:rPr>
            </w:pPr>
            <w:r>
              <w:rPr>
                <w:color w:val="000000"/>
                <w:sz w:val="22"/>
                <w:szCs w:val="22"/>
              </w:rPr>
              <w:t>313,8</w:t>
            </w:r>
          </w:p>
        </w:tc>
        <w:tc>
          <w:tcPr>
            <w:tcW w:w="851" w:type="dxa"/>
            <w:vAlign w:val="center"/>
          </w:tcPr>
          <w:p w14:paraId="0DEE66BC">
            <w:pPr>
              <w:jc w:val="center"/>
              <w:rPr>
                <w:color w:val="000000"/>
                <w:sz w:val="22"/>
                <w:szCs w:val="22"/>
              </w:rPr>
            </w:pPr>
            <w:r>
              <w:rPr>
                <w:color w:val="000000"/>
                <w:sz w:val="22"/>
                <w:szCs w:val="22"/>
              </w:rPr>
              <w:t>3,5</w:t>
            </w:r>
          </w:p>
        </w:tc>
        <w:tc>
          <w:tcPr>
            <w:tcW w:w="850" w:type="dxa"/>
            <w:vAlign w:val="center"/>
          </w:tcPr>
          <w:p w14:paraId="0DE7F39F">
            <w:pPr>
              <w:jc w:val="center"/>
              <w:rPr>
                <w:color w:val="000000"/>
                <w:sz w:val="22"/>
                <w:szCs w:val="22"/>
              </w:rPr>
            </w:pPr>
            <w:r>
              <w:rPr>
                <w:color w:val="000000"/>
                <w:sz w:val="22"/>
                <w:szCs w:val="22"/>
              </w:rPr>
              <w:t>ĐH1</w:t>
            </w:r>
          </w:p>
        </w:tc>
      </w:tr>
      <w:tr w14:paraId="3596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9A7AECE">
            <w:pPr>
              <w:jc w:val="center"/>
              <w:rPr>
                <w:color w:val="000000"/>
                <w:sz w:val="22"/>
                <w:szCs w:val="22"/>
              </w:rPr>
            </w:pPr>
          </w:p>
        </w:tc>
        <w:tc>
          <w:tcPr>
            <w:tcW w:w="1121" w:type="dxa"/>
            <w:noWrap/>
            <w:vAlign w:val="center"/>
          </w:tcPr>
          <w:p w14:paraId="10EA0049">
            <w:pPr>
              <w:jc w:val="center"/>
              <w:rPr>
                <w:color w:val="000000"/>
                <w:sz w:val="22"/>
                <w:szCs w:val="22"/>
              </w:rPr>
            </w:pPr>
            <w:r>
              <w:rPr>
                <w:color w:val="000000"/>
                <w:sz w:val="22"/>
                <w:szCs w:val="22"/>
              </w:rPr>
              <w:t>KL-33:05</w:t>
            </w:r>
          </w:p>
        </w:tc>
        <w:tc>
          <w:tcPr>
            <w:tcW w:w="1147" w:type="dxa"/>
            <w:vAlign w:val="center"/>
          </w:tcPr>
          <w:p w14:paraId="7C19B620">
            <w:pPr>
              <w:jc w:val="center"/>
              <w:rPr>
                <w:color w:val="000000"/>
                <w:sz w:val="22"/>
                <w:szCs w:val="22"/>
              </w:rPr>
            </w:pPr>
            <w:r>
              <w:rPr>
                <w:color w:val="000000"/>
                <w:sz w:val="22"/>
                <w:szCs w:val="22"/>
              </w:rPr>
              <w:t>90,00</w:t>
            </w:r>
          </w:p>
        </w:tc>
        <w:tc>
          <w:tcPr>
            <w:tcW w:w="1098" w:type="dxa"/>
            <w:vAlign w:val="center"/>
          </w:tcPr>
          <w:p w14:paraId="016CE004">
            <w:pPr>
              <w:jc w:val="center"/>
              <w:rPr>
                <w:color w:val="000000"/>
                <w:sz w:val="22"/>
                <w:szCs w:val="22"/>
              </w:rPr>
            </w:pPr>
            <w:r>
              <w:rPr>
                <w:color w:val="000000"/>
                <w:sz w:val="22"/>
                <w:szCs w:val="22"/>
              </w:rPr>
              <w:t>78,338</w:t>
            </w:r>
          </w:p>
        </w:tc>
        <w:tc>
          <w:tcPr>
            <w:tcW w:w="1134" w:type="dxa"/>
            <w:vAlign w:val="center"/>
          </w:tcPr>
          <w:p w14:paraId="48DAACA1">
            <w:pPr>
              <w:jc w:val="center"/>
              <w:rPr>
                <w:color w:val="000000"/>
                <w:sz w:val="22"/>
                <w:szCs w:val="22"/>
              </w:rPr>
            </w:pPr>
            <w:r>
              <w:rPr>
                <w:color w:val="000000"/>
                <w:sz w:val="22"/>
                <w:szCs w:val="22"/>
              </w:rPr>
              <w:t>87,0</w:t>
            </w:r>
          </w:p>
        </w:tc>
        <w:tc>
          <w:tcPr>
            <w:tcW w:w="706" w:type="dxa"/>
            <w:vAlign w:val="center"/>
          </w:tcPr>
          <w:p w14:paraId="081D78A8">
            <w:pPr>
              <w:jc w:val="center"/>
              <w:rPr>
                <w:color w:val="000000"/>
                <w:sz w:val="22"/>
                <w:szCs w:val="22"/>
              </w:rPr>
            </w:pPr>
            <w:r>
              <w:rPr>
                <w:color w:val="000000"/>
                <w:sz w:val="22"/>
                <w:szCs w:val="22"/>
              </w:rPr>
              <w:t>4,0</w:t>
            </w:r>
          </w:p>
        </w:tc>
        <w:tc>
          <w:tcPr>
            <w:tcW w:w="1278" w:type="dxa"/>
            <w:vAlign w:val="center"/>
          </w:tcPr>
          <w:p w14:paraId="6DAA6DA4">
            <w:pPr>
              <w:jc w:val="center"/>
              <w:rPr>
                <w:color w:val="000000"/>
                <w:sz w:val="22"/>
                <w:szCs w:val="22"/>
              </w:rPr>
            </w:pPr>
            <w:r>
              <w:rPr>
                <w:color w:val="000000"/>
                <w:sz w:val="22"/>
                <w:szCs w:val="22"/>
              </w:rPr>
              <w:t>313,8</w:t>
            </w:r>
          </w:p>
        </w:tc>
        <w:tc>
          <w:tcPr>
            <w:tcW w:w="851" w:type="dxa"/>
            <w:vAlign w:val="center"/>
          </w:tcPr>
          <w:p w14:paraId="3E3D17A7">
            <w:pPr>
              <w:jc w:val="center"/>
              <w:rPr>
                <w:color w:val="000000"/>
                <w:sz w:val="22"/>
                <w:szCs w:val="22"/>
              </w:rPr>
            </w:pPr>
            <w:r>
              <w:rPr>
                <w:color w:val="000000"/>
                <w:sz w:val="22"/>
                <w:szCs w:val="22"/>
              </w:rPr>
              <w:t>3,5</w:t>
            </w:r>
          </w:p>
        </w:tc>
        <w:tc>
          <w:tcPr>
            <w:tcW w:w="850" w:type="dxa"/>
            <w:vAlign w:val="center"/>
          </w:tcPr>
          <w:p w14:paraId="48C12ADF">
            <w:pPr>
              <w:jc w:val="center"/>
              <w:rPr>
                <w:color w:val="000000"/>
                <w:sz w:val="22"/>
                <w:szCs w:val="22"/>
              </w:rPr>
            </w:pPr>
            <w:r>
              <w:rPr>
                <w:color w:val="000000"/>
                <w:sz w:val="22"/>
                <w:szCs w:val="22"/>
              </w:rPr>
              <w:t>ĐH1</w:t>
            </w:r>
          </w:p>
        </w:tc>
      </w:tr>
      <w:tr w14:paraId="3C72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D696C37">
            <w:pPr>
              <w:jc w:val="center"/>
              <w:rPr>
                <w:color w:val="000000"/>
                <w:sz w:val="22"/>
                <w:szCs w:val="22"/>
              </w:rPr>
            </w:pPr>
          </w:p>
        </w:tc>
        <w:tc>
          <w:tcPr>
            <w:tcW w:w="1121" w:type="dxa"/>
            <w:noWrap/>
            <w:vAlign w:val="center"/>
          </w:tcPr>
          <w:p w14:paraId="00696821">
            <w:pPr>
              <w:jc w:val="center"/>
              <w:rPr>
                <w:color w:val="000000"/>
                <w:sz w:val="22"/>
                <w:szCs w:val="22"/>
              </w:rPr>
            </w:pPr>
            <w:r>
              <w:rPr>
                <w:color w:val="000000"/>
                <w:sz w:val="22"/>
                <w:szCs w:val="22"/>
              </w:rPr>
              <w:t>KL-33:06</w:t>
            </w:r>
          </w:p>
        </w:tc>
        <w:tc>
          <w:tcPr>
            <w:tcW w:w="1147" w:type="dxa"/>
            <w:vAlign w:val="center"/>
          </w:tcPr>
          <w:p w14:paraId="66CC6E10">
            <w:pPr>
              <w:jc w:val="center"/>
              <w:rPr>
                <w:color w:val="000000"/>
                <w:sz w:val="22"/>
                <w:szCs w:val="22"/>
              </w:rPr>
            </w:pPr>
            <w:r>
              <w:rPr>
                <w:color w:val="000000"/>
                <w:sz w:val="22"/>
                <w:szCs w:val="22"/>
              </w:rPr>
              <w:t>90,00</w:t>
            </w:r>
          </w:p>
        </w:tc>
        <w:tc>
          <w:tcPr>
            <w:tcW w:w="1098" w:type="dxa"/>
            <w:vAlign w:val="center"/>
          </w:tcPr>
          <w:p w14:paraId="4BA73EDE">
            <w:pPr>
              <w:jc w:val="center"/>
              <w:rPr>
                <w:color w:val="000000"/>
                <w:sz w:val="22"/>
                <w:szCs w:val="22"/>
              </w:rPr>
            </w:pPr>
            <w:r>
              <w:rPr>
                <w:color w:val="000000"/>
                <w:sz w:val="22"/>
                <w:szCs w:val="22"/>
              </w:rPr>
              <w:t>78,338</w:t>
            </w:r>
          </w:p>
        </w:tc>
        <w:tc>
          <w:tcPr>
            <w:tcW w:w="1134" w:type="dxa"/>
            <w:vAlign w:val="center"/>
          </w:tcPr>
          <w:p w14:paraId="6A23B7D1">
            <w:pPr>
              <w:jc w:val="center"/>
              <w:rPr>
                <w:color w:val="000000"/>
                <w:sz w:val="22"/>
                <w:szCs w:val="22"/>
              </w:rPr>
            </w:pPr>
            <w:r>
              <w:rPr>
                <w:color w:val="000000"/>
                <w:sz w:val="22"/>
                <w:szCs w:val="22"/>
              </w:rPr>
              <w:t>87,0</w:t>
            </w:r>
          </w:p>
        </w:tc>
        <w:tc>
          <w:tcPr>
            <w:tcW w:w="706" w:type="dxa"/>
            <w:vAlign w:val="center"/>
          </w:tcPr>
          <w:p w14:paraId="774FBFB6">
            <w:pPr>
              <w:jc w:val="center"/>
              <w:rPr>
                <w:color w:val="000000"/>
                <w:sz w:val="22"/>
                <w:szCs w:val="22"/>
              </w:rPr>
            </w:pPr>
            <w:r>
              <w:rPr>
                <w:color w:val="000000"/>
                <w:sz w:val="22"/>
                <w:szCs w:val="22"/>
              </w:rPr>
              <w:t>4,0</w:t>
            </w:r>
          </w:p>
        </w:tc>
        <w:tc>
          <w:tcPr>
            <w:tcW w:w="1278" w:type="dxa"/>
            <w:vAlign w:val="center"/>
          </w:tcPr>
          <w:p w14:paraId="497AB3CF">
            <w:pPr>
              <w:jc w:val="center"/>
              <w:rPr>
                <w:color w:val="000000"/>
                <w:sz w:val="22"/>
                <w:szCs w:val="22"/>
              </w:rPr>
            </w:pPr>
            <w:r>
              <w:rPr>
                <w:color w:val="000000"/>
                <w:sz w:val="22"/>
                <w:szCs w:val="22"/>
              </w:rPr>
              <w:t>313,8</w:t>
            </w:r>
          </w:p>
        </w:tc>
        <w:tc>
          <w:tcPr>
            <w:tcW w:w="851" w:type="dxa"/>
            <w:vAlign w:val="center"/>
          </w:tcPr>
          <w:p w14:paraId="0350EE6F">
            <w:pPr>
              <w:jc w:val="center"/>
              <w:rPr>
                <w:color w:val="000000"/>
                <w:sz w:val="22"/>
                <w:szCs w:val="22"/>
              </w:rPr>
            </w:pPr>
            <w:r>
              <w:rPr>
                <w:color w:val="000000"/>
                <w:sz w:val="22"/>
                <w:szCs w:val="22"/>
              </w:rPr>
              <w:t>3,5</w:t>
            </w:r>
          </w:p>
        </w:tc>
        <w:tc>
          <w:tcPr>
            <w:tcW w:w="850" w:type="dxa"/>
            <w:vAlign w:val="center"/>
          </w:tcPr>
          <w:p w14:paraId="52D7D0D2">
            <w:pPr>
              <w:jc w:val="center"/>
              <w:rPr>
                <w:color w:val="000000"/>
                <w:sz w:val="22"/>
                <w:szCs w:val="22"/>
              </w:rPr>
            </w:pPr>
            <w:r>
              <w:rPr>
                <w:color w:val="000000"/>
                <w:sz w:val="22"/>
                <w:szCs w:val="22"/>
              </w:rPr>
              <w:t>ĐH1</w:t>
            </w:r>
          </w:p>
        </w:tc>
      </w:tr>
      <w:tr w14:paraId="6698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E1AB783">
            <w:pPr>
              <w:jc w:val="center"/>
              <w:rPr>
                <w:color w:val="000000"/>
                <w:sz w:val="22"/>
                <w:szCs w:val="22"/>
              </w:rPr>
            </w:pPr>
          </w:p>
        </w:tc>
        <w:tc>
          <w:tcPr>
            <w:tcW w:w="1121" w:type="dxa"/>
            <w:noWrap/>
            <w:vAlign w:val="center"/>
          </w:tcPr>
          <w:p w14:paraId="01FED47E">
            <w:pPr>
              <w:jc w:val="center"/>
              <w:rPr>
                <w:color w:val="000000"/>
                <w:sz w:val="22"/>
                <w:szCs w:val="22"/>
              </w:rPr>
            </w:pPr>
            <w:r>
              <w:rPr>
                <w:color w:val="000000"/>
                <w:sz w:val="22"/>
                <w:szCs w:val="22"/>
              </w:rPr>
              <w:t>KL-33:07</w:t>
            </w:r>
          </w:p>
        </w:tc>
        <w:tc>
          <w:tcPr>
            <w:tcW w:w="1147" w:type="dxa"/>
            <w:vAlign w:val="center"/>
          </w:tcPr>
          <w:p w14:paraId="282A8638">
            <w:pPr>
              <w:jc w:val="center"/>
              <w:rPr>
                <w:color w:val="000000"/>
                <w:sz w:val="22"/>
                <w:szCs w:val="22"/>
              </w:rPr>
            </w:pPr>
            <w:r>
              <w:rPr>
                <w:color w:val="000000"/>
                <w:sz w:val="22"/>
                <w:szCs w:val="22"/>
              </w:rPr>
              <w:t>90,00</w:t>
            </w:r>
          </w:p>
        </w:tc>
        <w:tc>
          <w:tcPr>
            <w:tcW w:w="1098" w:type="dxa"/>
            <w:vAlign w:val="center"/>
          </w:tcPr>
          <w:p w14:paraId="026BDEC7">
            <w:pPr>
              <w:jc w:val="center"/>
              <w:rPr>
                <w:color w:val="000000"/>
                <w:sz w:val="22"/>
                <w:szCs w:val="22"/>
              </w:rPr>
            </w:pPr>
            <w:r>
              <w:rPr>
                <w:color w:val="000000"/>
                <w:sz w:val="22"/>
                <w:szCs w:val="22"/>
              </w:rPr>
              <w:t>78,338</w:t>
            </w:r>
          </w:p>
        </w:tc>
        <w:tc>
          <w:tcPr>
            <w:tcW w:w="1134" w:type="dxa"/>
            <w:vAlign w:val="center"/>
          </w:tcPr>
          <w:p w14:paraId="7F4E26E5">
            <w:pPr>
              <w:jc w:val="center"/>
              <w:rPr>
                <w:color w:val="000000"/>
                <w:sz w:val="22"/>
                <w:szCs w:val="22"/>
              </w:rPr>
            </w:pPr>
            <w:r>
              <w:rPr>
                <w:color w:val="000000"/>
                <w:sz w:val="22"/>
                <w:szCs w:val="22"/>
              </w:rPr>
              <w:t>87,0</w:t>
            </w:r>
          </w:p>
        </w:tc>
        <w:tc>
          <w:tcPr>
            <w:tcW w:w="706" w:type="dxa"/>
            <w:vAlign w:val="center"/>
          </w:tcPr>
          <w:p w14:paraId="74371EA5">
            <w:pPr>
              <w:jc w:val="center"/>
              <w:rPr>
                <w:color w:val="000000"/>
                <w:sz w:val="22"/>
                <w:szCs w:val="22"/>
              </w:rPr>
            </w:pPr>
            <w:r>
              <w:rPr>
                <w:color w:val="000000"/>
                <w:sz w:val="22"/>
                <w:szCs w:val="22"/>
              </w:rPr>
              <w:t>4,0</w:t>
            </w:r>
          </w:p>
        </w:tc>
        <w:tc>
          <w:tcPr>
            <w:tcW w:w="1278" w:type="dxa"/>
            <w:vAlign w:val="center"/>
          </w:tcPr>
          <w:p w14:paraId="019F8FAA">
            <w:pPr>
              <w:jc w:val="center"/>
              <w:rPr>
                <w:color w:val="000000"/>
                <w:sz w:val="22"/>
                <w:szCs w:val="22"/>
              </w:rPr>
            </w:pPr>
            <w:r>
              <w:rPr>
                <w:color w:val="000000"/>
                <w:sz w:val="22"/>
                <w:szCs w:val="22"/>
              </w:rPr>
              <w:t>313,8</w:t>
            </w:r>
          </w:p>
        </w:tc>
        <w:tc>
          <w:tcPr>
            <w:tcW w:w="851" w:type="dxa"/>
            <w:vAlign w:val="center"/>
          </w:tcPr>
          <w:p w14:paraId="615719A3">
            <w:pPr>
              <w:jc w:val="center"/>
              <w:rPr>
                <w:color w:val="000000"/>
                <w:sz w:val="22"/>
                <w:szCs w:val="22"/>
              </w:rPr>
            </w:pPr>
            <w:r>
              <w:rPr>
                <w:color w:val="000000"/>
                <w:sz w:val="22"/>
                <w:szCs w:val="22"/>
              </w:rPr>
              <w:t>3,5</w:t>
            </w:r>
          </w:p>
        </w:tc>
        <w:tc>
          <w:tcPr>
            <w:tcW w:w="850" w:type="dxa"/>
            <w:vAlign w:val="center"/>
          </w:tcPr>
          <w:p w14:paraId="657F7AD9">
            <w:pPr>
              <w:jc w:val="center"/>
              <w:rPr>
                <w:color w:val="000000"/>
                <w:sz w:val="22"/>
                <w:szCs w:val="22"/>
              </w:rPr>
            </w:pPr>
            <w:r>
              <w:rPr>
                <w:color w:val="000000"/>
                <w:sz w:val="22"/>
                <w:szCs w:val="22"/>
              </w:rPr>
              <w:t>ĐH1</w:t>
            </w:r>
          </w:p>
        </w:tc>
      </w:tr>
      <w:tr w14:paraId="441B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EFFF725">
            <w:pPr>
              <w:jc w:val="center"/>
              <w:rPr>
                <w:color w:val="000000"/>
                <w:sz w:val="22"/>
                <w:szCs w:val="22"/>
              </w:rPr>
            </w:pPr>
          </w:p>
        </w:tc>
        <w:tc>
          <w:tcPr>
            <w:tcW w:w="1121" w:type="dxa"/>
            <w:noWrap/>
            <w:vAlign w:val="center"/>
          </w:tcPr>
          <w:p w14:paraId="0CB9047C">
            <w:pPr>
              <w:jc w:val="center"/>
              <w:rPr>
                <w:color w:val="000000"/>
                <w:sz w:val="22"/>
                <w:szCs w:val="22"/>
              </w:rPr>
            </w:pPr>
            <w:r>
              <w:rPr>
                <w:color w:val="000000"/>
                <w:sz w:val="22"/>
                <w:szCs w:val="22"/>
              </w:rPr>
              <w:t>KL-33:08</w:t>
            </w:r>
          </w:p>
        </w:tc>
        <w:tc>
          <w:tcPr>
            <w:tcW w:w="1147" w:type="dxa"/>
            <w:vAlign w:val="center"/>
          </w:tcPr>
          <w:p w14:paraId="30EDCBCF">
            <w:pPr>
              <w:jc w:val="center"/>
              <w:rPr>
                <w:color w:val="000000"/>
                <w:sz w:val="22"/>
                <w:szCs w:val="22"/>
              </w:rPr>
            </w:pPr>
            <w:r>
              <w:rPr>
                <w:color w:val="000000"/>
                <w:sz w:val="22"/>
                <w:szCs w:val="22"/>
              </w:rPr>
              <w:t>90,00</w:t>
            </w:r>
          </w:p>
        </w:tc>
        <w:tc>
          <w:tcPr>
            <w:tcW w:w="1098" w:type="dxa"/>
            <w:vAlign w:val="center"/>
          </w:tcPr>
          <w:p w14:paraId="2DB097F8">
            <w:pPr>
              <w:jc w:val="center"/>
              <w:rPr>
                <w:color w:val="000000"/>
                <w:sz w:val="22"/>
                <w:szCs w:val="22"/>
              </w:rPr>
            </w:pPr>
            <w:r>
              <w:rPr>
                <w:color w:val="000000"/>
                <w:sz w:val="22"/>
                <w:szCs w:val="22"/>
              </w:rPr>
              <w:t>78,338</w:t>
            </w:r>
          </w:p>
        </w:tc>
        <w:tc>
          <w:tcPr>
            <w:tcW w:w="1134" w:type="dxa"/>
            <w:vAlign w:val="center"/>
          </w:tcPr>
          <w:p w14:paraId="6AC2E1C7">
            <w:pPr>
              <w:jc w:val="center"/>
              <w:rPr>
                <w:color w:val="000000"/>
                <w:sz w:val="22"/>
                <w:szCs w:val="22"/>
              </w:rPr>
            </w:pPr>
            <w:r>
              <w:rPr>
                <w:color w:val="000000"/>
                <w:sz w:val="22"/>
                <w:szCs w:val="22"/>
              </w:rPr>
              <w:t>87,0</w:t>
            </w:r>
          </w:p>
        </w:tc>
        <w:tc>
          <w:tcPr>
            <w:tcW w:w="706" w:type="dxa"/>
            <w:vAlign w:val="center"/>
          </w:tcPr>
          <w:p w14:paraId="515C8395">
            <w:pPr>
              <w:jc w:val="center"/>
              <w:rPr>
                <w:color w:val="000000"/>
                <w:sz w:val="22"/>
                <w:szCs w:val="22"/>
              </w:rPr>
            </w:pPr>
            <w:r>
              <w:rPr>
                <w:color w:val="000000"/>
                <w:sz w:val="22"/>
                <w:szCs w:val="22"/>
              </w:rPr>
              <w:t>4,0</w:t>
            </w:r>
          </w:p>
        </w:tc>
        <w:tc>
          <w:tcPr>
            <w:tcW w:w="1278" w:type="dxa"/>
            <w:vAlign w:val="center"/>
          </w:tcPr>
          <w:p w14:paraId="6530C15F">
            <w:pPr>
              <w:jc w:val="center"/>
              <w:rPr>
                <w:color w:val="000000"/>
                <w:sz w:val="22"/>
                <w:szCs w:val="22"/>
              </w:rPr>
            </w:pPr>
            <w:r>
              <w:rPr>
                <w:color w:val="000000"/>
                <w:sz w:val="22"/>
                <w:szCs w:val="22"/>
              </w:rPr>
              <w:t>313,8</w:t>
            </w:r>
          </w:p>
        </w:tc>
        <w:tc>
          <w:tcPr>
            <w:tcW w:w="851" w:type="dxa"/>
            <w:vAlign w:val="center"/>
          </w:tcPr>
          <w:p w14:paraId="1A7735FA">
            <w:pPr>
              <w:jc w:val="center"/>
              <w:rPr>
                <w:color w:val="000000"/>
                <w:sz w:val="22"/>
                <w:szCs w:val="22"/>
              </w:rPr>
            </w:pPr>
            <w:r>
              <w:rPr>
                <w:color w:val="000000"/>
                <w:sz w:val="22"/>
                <w:szCs w:val="22"/>
              </w:rPr>
              <w:t>3,5</w:t>
            </w:r>
          </w:p>
        </w:tc>
        <w:tc>
          <w:tcPr>
            <w:tcW w:w="850" w:type="dxa"/>
            <w:vAlign w:val="center"/>
          </w:tcPr>
          <w:p w14:paraId="6A5E70D7">
            <w:pPr>
              <w:jc w:val="center"/>
              <w:rPr>
                <w:color w:val="000000"/>
                <w:sz w:val="22"/>
                <w:szCs w:val="22"/>
              </w:rPr>
            </w:pPr>
            <w:r>
              <w:rPr>
                <w:color w:val="000000"/>
                <w:sz w:val="22"/>
                <w:szCs w:val="22"/>
              </w:rPr>
              <w:t>ĐH1</w:t>
            </w:r>
          </w:p>
        </w:tc>
      </w:tr>
      <w:tr w14:paraId="4B65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93C8374">
            <w:pPr>
              <w:jc w:val="center"/>
              <w:rPr>
                <w:color w:val="000000"/>
                <w:sz w:val="22"/>
                <w:szCs w:val="22"/>
              </w:rPr>
            </w:pPr>
          </w:p>
        </w:tc>
        <w:tc>
          <w:tcPr>
            <w:tcW w:w="1121" w:type="dxa"/>
            <w:noWrap/>
            <w:vAlign w:val="center"/>
          </w:tcPr>
          <w:p w14:paraId="218BE317">
            <w:pPr>
              <w:jc w:val="center"/>
              <w:rPr>
                <w:color w:val="000000"/>
                <w:sz w:val="22"/>
                <w:szCs w:val="22"/>
              </w:rPr>
            </w:pPr>
            <w:r>
              <w:rPr>
                <w:color w:val="000000"/>
                <w:sz w:val="22"/>
                <w:szCs w:val="22"/>
              </w:rPr>
              <w:t>KL-33:09</w:t>
            </w:r>
          </w:p>
        </w:tc>
        <w:tc>
          <w:tcPr>
            <w:tcW w:w="1147" w:type="dxa"/>
            <w:vAlign w:val="center"/>
          </w:tcPr>
          <w:p w14:paraId="0E93BD34">
            <w:pPr>
              <w:jc w:val="center"/>
              <w:rPr>
                <w:color w:val="000000"/>
                <w:sz w:val="22"/>
                <w:szCs w:val="22"/>
              </w:rPr>
            </w:pPr>
            <w:r>
              <w:rPr>
                <w:color w:val="000000"/>
                <w:sz w:val="22"/>
                <w:szCs w:val="22"/>
              </w:rPr>
              <w:t>90,00</w:t>
            </w:r>
          </w:p>
        </w:tc>
        <w:tc>
          <w:tcPr>
            <w:tcW w:w="1098" w:type="dxa"/>
            <w:vAlign w:val="center"/>
          </w:tcPr>
          <w:p w14:paraId="54CE312E">
            <w:pPr>
              <w:jc w:val="center"/>
              <w:rPr>
                <w:color w:val="000000"/>
                <w:sz w:val="22"/>
                <w:szCs w:val="22"/>
              </w:rPr>
            </w:pPr>
            <w:r>
              <w:rPr>
                <w:color w:val="000000"/>
                <w:sz w:val="22"/>
                <w:szCs w:val="22"/>
              </w:rPr>
              <w:t>78,338</w:t>
            </w:r>
          </w:p>
        </w:tc>
        <w:tc>
          <w:tcPr>
            <w:tcW w:w="1134" w:type="dxa"/>
            <w:vAlign w:val="center"/>
          </w:tcPr>
          <w:p w14:paraId="0541A1E2">
            <w:pPr>
              <w:jc w:val="center"/>
              <w:rPr>
                <w:color w:val="000000"/>
                <w:sz w:val="22"/>
                <w:szCs w:val="22"/>
              </w:rPr>
            </w:pPr>
            <w:r>
              <w:rPr>
                <w:color w:val="000000"/>
                <w:sz w:val="22"/>
                <w:szCs w:val="22"/>
              </w:rPr>
              <w:t>87,0</w:t>
            </w:r>
          </w:p>
        </w:tc>
        <w:tc>
          <w:tcPr>
            <w:tcW w:w="706" w:type="dxa"/>
            <w:vAlign w:val="center"/>
          </w:tcPr>
          <w:p w14:paraId="41EC0B5B">
            <w:pPr>
              <w:jc w:val="center"/>
              <w:rPr>
                <w:color w:val="000000"/>
                <w:sz w:val="22"/>
                <w:szCs w:val="22"/>
              </w:rPr>
            </w:pPr>
            <w:r>
              <w:rPr>
                <w:color w:val="000000"/>
                <w:sz w:val="22"/>
                <w:szCs w:val="22"/>
              </w:rPr>
              <w:t>4,0</w:t>
            </w:r>
          </w:p>
        </w:tc>
        <w:tc>
          <w:tcPr>
            <w:tcW w:w="1278" w:type="dxa"/>
            <w:vAlign w:val="center"/>
          </w:tcPr>
          <w:p w14:paraId="177C7B00">
            <w:pPr>
              <w:jc w:val="center"/>
              <w:rPr>
                <w:color w:val="000000"/>
                <w:sz w:val="22"/>
                <w:szCs w:val="22"/>
              </w:rPr>
            </w:pPr>
            <w:r>
              <w:rPr>
                <w:color w:val="000000"/>
                <w:sz w:val="22"/>
                <w:szCs w:val="22"/>
              </w:rPr>
              <w:t>313,8</w:t>
            </w:r>
          </w:p>
        </w:tc>
        <w:tc>
          <w:tcPr>
            <w:tcW w:w="851" w:type="dxa"/>
            <w:vAlign w:val="center"/>
          </w:tcPr>
          <w:p w14:paraId="1D8779C8">
            <w:pPr>
              <w:jc w:val="center"/>
              <w:rPr>
                <w:color w:val="000000"/>
                <w:sz w:val="22"/>
                <w:szCs w:val="22"/>
              </w:rPr>
            </w:pPr>
            <w:r>
              <w:rPr>
                <w:color w:val="000000"/>
                <w:sz w:val="22"/>
                <w:szCs w:val="22"/>
              </w:rPr>
              <w:t>3,5</w:t>
            </w:r>
          </w:p>
        </w:tc>
        <w:tc>
          <w:tcPr>
            <w:tcW w:w="850" w:type="dxa"/>
            <w:vAlign w:val="center"/>
          </w:tcPr>
          <w:p w14:paraId="7157ABC5">
            <w:pPr>
              <w:jc w:val="center"/>
              <w:rPr>
                <w:color w:val="000000"/>
                <w:sz w:val="22"/>
                <w:szCs w:val="22"/>
              </w:rPr>
            </w:pPr>
            <w:r>
              <w:rPr>
                <w:color w:val="000000"/>
                <w:sz w:val="22"/>
                <w:szCs w:val="22"/>
              </w:rPr>
              <w:t>ĐH1</w:t>
            </w:r>
          </w:p>
        </w:tc>
      </w:tr>
      <w:tr w14:paraId="073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304E70C">
            <w:pPr>
              <w:jc w:val="center"/>
              <w:rPr>
                <w:color w:val="000000"/>
                <w:sz w:val="22"/>
                <w:szCs w:val="22"/>
              </w:rPr>
            </w:pPr>
          </w:p>
        </w:tc>
        <w:tc>
          <w:tcPr>
            <w:tcW w:w="1121" w:type="dxa"/>
            <w:noWrap/>
            <w:vAlign w:val="center"/>
          </w:tcPr>
          <w:p w14:paraId="3E206E0F">
            <w:pPr>
              <w:jc w:val="center"/>
              <w:rPr>
                <w:color w:val="000000"/>
                <w:sz w:val="22"/>
                <w:szCs w:val="22"/>
              </w:rPr>
            </w:pPr>
            <w:r>
              <w:rPr>
                <w:color w:val="000000"/>
                <w:sz w:val="22"/>
                <w:szCs w:val="22"/>
              </w:rPr>
              <w:t>KL-33:10</w:t>
            </w:r>
          </w:p>
        </w:tc>
        <w:tc>
          <w:tcPr>
            <w:tcW w:w="1147" w:type="dxa"/>
            <w:vAlign w:val="center"/>
          </w:tcPr>
          <w:p w14:paraId="7D2AFFD9">
            <w:pPr>
              <w:jc w:val="center"/>
              <w:rPr>
                <w:color w:val="000000"/>
                <w:sz w:val="22"/>
                <w:szCs w:val="22"/>
              </w:rPr>
            </w:pPr>
            <w:r>
              <w:rPr>
                <w:color w:val="000000"/>
                <w:sz w:val="22"/>
                <w:szCs w:val="22"/>
              </w:rPr>
              <w:t>90,00</w:t>
            </w:r>
          </w:p>
        </w:tc>
        <w:tc>
          <w:tcPr>
            <w:tcW w:w="1098" w:type="dxa"/>
            <w:vAlign w:val="center"/>
          </w:tcPr>
          <w:p w14:paraId="75A63631">
            <w:pPr>
              <w:jc w:val="center"/>
              <w:rPr>
                <w:color w:val="000000"/>
                <w:sz w:val="22"/>
                <w:szCs w:val="22"/>
              </w:rPr>
            </w:pPr>
            <w:r>
              <w:rPr>
                <w:color w:val="000000"/>
                <w:sz w:val="22"/>
                <w:szCs w:val="22"/>
              </w:rPr>
              <w:t>78,338</w:t>
            </w:r>
          </w:p>
        </w:tc>
        <w:tc>
          <w:tcPr>
            <w:tcW w:w="1134" w:type="dxa"/>
            <w:vAlign w:val="center"/>
          </w:tcPr>
          <w:p w14:paraId="0479FA81">
            <w:pPr>
              <w:jc w:val="center"/>
              <w:rPr>
                <w:color w:val="000000"/>
                <w:sz w:val="22"/>
                <w:szCs w:val="22"/>
              </w:rPr>
            </w:pPr>
            <w:r>
              <w:rPr>
                <w:color w:val="000000"/>
                <w:sz w:val="22"/>
                <w:szCs w:val="22"/>
              </w:rPr>
              <w:t>87,0</w:t>
            </w:r>
          </w:p>
        </w:tc>
        <w:tc>
          <w:tcPr>
            <w:tcW w:w="706" w:type="dxa"/>
            <w:vAlign w:val="center"/>
          </w:tcPr>
          <w:p w14:paraId="568BCE59">
            <w:pPr>
              <w:jc w:val="center"/>
              <w:rPr>
                <w:color w:val="000000"/>
                <w:sz w:val="22"/>
                <w:szCs w:val="22"/>
              </w:rPr>
            </w:pPr>
            <w:r>
              <w:rPr>
                <w:color w:val="000000"/>
                <w:sz w:val="22"/>
                <w:szCs w:val="22"/>
              </w:rPr>
              <w:t>4,0</w:t>
            </w:r>
          </w:p>
        </w:tc>
        <w:tc>
          <w:tcPr>
            <w:tcW w:w="1278" w:type="dxa"/>
            <w:vAlign w:val="center"/>
          </w:tcPr>
          <w:p w14:paraId="4C7821F8">
            <w:pPr>
              <w:jc w:val="center"/>
              <w:rPr>
                <w:color w:val="000000"/>
                <w:sz w:val="22"/>
                <w:szCs w:val="22"/>
              </w:rPr>
            </w:pPr>
            <w:r>
              <w:rPr>
                <w:color w:val="000000"/>
                <w:sz w:val="22"/>
                <w:szCs w:val="22"/>
              </w:rPr>
              <w:t>313,8</w:t>
            </w:r>
          </w:p>
        </w:tc>
        <w:tc>
          <w:tcPr>
            <w:tcW w:w="851" w:type="dxa"/>
            <w:vAlign w:val="center"/>
          </w:tcPr>
          <w:p w14:paraId="37BC07AD">
            <w:pPr>
              <w:jc w:val="center"/>
              <w:rPr>
                <w:color w:val="000000"/>
                <w:sz w:val="22"/>
                <w:szCs w:val="22"/>
              </w:rPr>
            </w:pPr>
            <w:r>
              <w:rPr>
                <w:color w:val="000000"/>
                <w:sz w:val="22"/>
                <w:szCs w:val="22"/>
              </w:rPr>
              <w:t>3,5</w:t>
            </w:r>
          </w:p>
        </w:tc>
        <w:tc>
          <w:tcPr>
            <w:tcW w:w="850" w:type="dxa"/>
            <w:vAlign w:val="center"/>
          </w:tcPr>
          <w:p w14:paraId="437F56DB">
            <w:pPr>
              <w:jc w:val="center"/>
              <w:rPr>
                <w:color w:val="000000"/>
                <w:sz w:val="22"/>
                <w:szCs w:val="22"/>
              </w:rPr>
            </w:pPr>
            <w:r>
              <w:rPr>
                <w:color w:val="000000"/>
                <w:sz w:val="22"/>
                <w:szCs w:val="22"/>
              </w:rPr>
              <w:t>ĐH1</w:t>
            </w:r>
          </w:p>
        </w:tc>
      </w:tr>
      <w:tr w14:paraId="42A0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6F652A84">
            <w:pPr>
              <w:jc w:val="center"/>
              <w:rPr>
                <w:b/>
                <w:bCs/>
                <w:color w:val="000000"/>
                <w:sz w:val="22"/>
                <w:szCs w:val="22"/>
              </w:rPr>
            </w:pPr>
            <w:r>
              <w:rPr>
                <w:b/>
                <w:bCs/>
                <w:color w:val="000000"/>
                <w:sz w:val="22"/>
                <w:szCs w:val="22"/>
              </w:rPr>
              <w:t>Tổng</w:t>
            </w:r>
          </w:p>
        </w:tc>
        <w:tc>
          <w:tcPr>
            <w:tcW w:w="1121" w:type="dxa"/>
            <w:noWrap/>
            <w:vAlign w:val="center"/>
          </w:tcPr>
          <w:p w14:paraId="171CF208">
            <w:pPr>
              <w:jc w:val="center"/>
              <w:rPr>
                <w:b/>
                <w:bCs/>
                <w:color w:val="000000"/>
                <w:sz w:val="22"/>
                <w:szCs w:val="22"/>
              </w:rPr>
            </w:pPr>
            <w:r>
              <w:rPr>
                <w:b/>
                <w:bCs/>
                <w:color w:val="000000"/>
                <w:sz w:val="22"/>
                <w:szCs w:val="22"/>
              </w:rPr>
              <w:t>KL-33</w:t>
            </w:r>
          </w:p>
        </w:tc>
        <w:tc>
          <w:tcPr>
            <w:tcW w:w="1147" w:type="dxa"/>
            <w:vAlign w:val="center"/>
          </w:tcPr>
          <w:p w14:paraId="4C7DDBEC">
            <w:pPr>
              <w:jc w:val="center"/>
              <w:rPr>
                <w:b/>
                <w:bCs/>
                <w:color w:val="000000"/>
                <w:sz w:val="22"/>
                <w:szCs w:val="22"/>
              </w:rPr>
            </w:pPr>
            <w:r>
              <w:rPr>
                <w:b/>
                <w:bCs/>
                <w:color w:val="000000"/>
                <w:sz w:val="22"/>
                <w:szCs w:val="22"/>
              </w:rPr>
              <w:t>946,50</w:t>
            </w:r>
          </w:p>
        </w:tc>
        <w:tc>
          <w:tcPr>
            <w:tcW w:w="1098" w:type="dxa"/>
            <w:vAlign w:val="center"/>
          </w:tcPr>
          <w:p w14:paraId="136ABD5C">
            <w:pPr>
              <w:jc w:val="center"/>
              <w:rPr>
                <w:b/>
                <w:bCs/>
                <w:color w:val="000000"/>
                <w:sz w:val="22"/>
                <w:szCs w:val="22"/>
              </w:rPr>
            </w:pPr>
            <w:r>
              <w:rPr>
                <w:b/>
                <w:bCs/>
                <w:color w:val="000000"/>
                <w:sz w:val="22"/>
                <w:szCs w:val="22"/>
              </w:rPr>
              <w:t>828,5</w:t>
            </w:r>
          </w:p>
        </w:tc>
        <w:tc>
          <w:tcPr>
            <w:tcW w:w="1134" w:type="dxa"/>
            <w:vAlign w:val="center"/>
          </w:tcPr>
          <w:p w14:paraId="00EF36FC">
            <w:pPr>
              <w:jc w:val="center"/>
              <w:rPr>
                <w:b/>
                <w:bCs/>
                <w:color w:val="000000"/>
                <w:sz w:val="22"/>
                <w:szCs w:val="22"/>
              </w:rPr>
            </w:pPr>
            <w:r>
              <w:rPr>
                <w:b/>
                <w:bCs/>
                <w:color w:val="000000"/>
                <w:sz w:val="22"/>
                <w:szCs w:val="22"/>
              </w:rPr>
              <w:t>87,5</w:t>
            </w:r>
          </w:p>
        </w:tc>
        <w:tc>
          <w:tcPr>
            <w:tcW w:w="706" w:type="dxa"/>
            <w:vAlign w:val="center"/>
          </w:tcPr>
          <w:p w14:paraId="741D1CBD">
            <w:pPr>
              <w:jc w:val="center"/>
              <w:rPr>
                <w:color w:val="000000"/>
                <w:sz w:val="22"/>
                <w:szCs w:val="22"/>
              </w:rPr>
            </w:pPr>
          </w:p>
        </w:tc>
        <w:tc>
          <w:tcPr>
            <w:tcW w:w="1278" w:type="dxa"/>
            <w:vAlign w:val="center"/>
          </w:tcPr>
          <w:p w14:paraId="1BE46B89">
            <w:pPr>
              <w:jc w:val="center"/>
              <w:rPr>
                <w:b/>
                <w:bCs/>
                <w:color w:val="000000"/>
                <w:sz w:val="22"/>
                <w:szCs w:val="22"/>
              </w:rPr>
            </w:pPr>
            <w:r>
              <w:rPr>
                <w:b/>
                <w:bCs/>
                <w:color w:val="000000"/>
                <w:sz w:val="22"/>
                <w:szCs w:val="22"/>
              </w:rPr>
              <w:t>3.360,1</w:t>
            </w:r>
          </w:p>
        </w:tc>
        <w:tc>
          <w:tcPr>
            <w:tcW w:w="851" w:type="dxa"/>
            <w:vAlign w:val="center"/>
          </w:tcPr>
          <w:p w14:paraId="24FE22F0">
            <w:pPr>
              <w:jc w:val="center"/>
              <w:rPr>
                <w:b/>
                <w:bCs/>
                <w:color w:val="000000"/>
                <w:sz w:val="22"/>
                <w:szCs w:val="22"/>
              </w:rPr>
            </w:pPr>
            <w:r>
              <w:rPr>
                <w:b/>
                <w:bCs/>
                <w:color w:val="000000"/>
                <w:sz w:val="22"/>
                <w:szCs w:val="22"/>
              </w:rPr>
              <w:t>3,5</w:t>
            </w:r>
          </w:p>
        </w:tc>
        <w:tc>
          <w:tcPr>
            <w:tcW w:w="850" w:type="dxa"/>
            <w:vAlign w:val="center"/>
          </w:tcPr>
          <w:p w14:paraId="448F258F">
            <w:pPr>
              <w:jc w:val="center"/>
              <w:rPr>
                <w:color w:val="000000"/>
                <w:sz w:val="22"/>
                <w:szCs w:val="22"/>
              </w:rPr>
            </w:pPr>
          </w:p>
        </w:tc>
      </w:tr>
      <w:tr w14:paraId="4F5C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28264E5A">
            <w:pPr>
              <w:jc w:val="center"/>
              <w:rPr>
                <w:color w:val="000000"/>
                <w:sz w:val="22"/>
                <w:szCs w:val="22"/>
              </w:rPr>
            </w:pPr>
            <w:r>
              <w:rPr>
                <w:color w:val="000000"/>
                <w:sz w:val="22"/>
                <w:szCs w:val="22"/>
              </w:rPr>
              <w:t>LK35</w:t>
            </w:r>
          </w:p>
        </w:tc>
        <w:tc>
          <w:tcPr>
            <w:tcW w:w="1121" w:type="dxa"/>
            <w:noWrap/>
            <w:vAlign w:val="center"/>
          </w:tcPr>
          <w:p w14:paraId="6098ABEF">
            <w:pPr>
              <w:jc w:val="center"/>
              <w:rPr>
                <w:color w:val="000000"/>
                <w:sz w:val="22"/>
                <w:szCs w:val="22"/>
              </w:rPr>
            </w:pPr>
            <w:r>
              <w:rPr>
                <w:color w:val="000000"/>
                <w:sz w:val="22"/>
                <w:szCs w:val="22"/>
              </w:rPr>
              <w:t>KL-35:01</w:t>
            </w:r>
          </w:p>
        </w:tc>
        <w:tc>
          <w:tcPr>
            <w:tcW w:w="1147" w:type="dxa"/>
            <w:vAlign w:val="center"/>
          </w:tcPr>
          <w:p w14:paraId="5C08D679">
            <w:pPr>
              <w:jc w:val="center"/>
              <w:rPr>
                <w:color w:val="000000"/>
                <w:sz w:val="22"/>
                <w:szCs w:val="22"/>
              </w:rPr>
            </w:pPr>
            <w:r>
              <w:rPr>
                <w:color w:val="000000"/>
                <w:sz w:val="22"/>
                <w:szCs w:val="22"/>
              </w:rPr>
              <w:t>90,00</w:t>
            </w:r>
          </w:p>
        </w:tc>
        <w:tc>
          <w:tcPr>
            <w:tcW w:w="1098" w:type="dxa"/>
            <w:vAlign w:val="center"/>
          </w:tcPr>
          <w:p w14:paraId="5A18DA50">
            <w:pPr>
              <w:jc w:val="center"/>
              <w:rPr>
                <w:color w:val="000000"/>
                <w:sz w:val="22"/>
                <w:szCs w:val="22"/>
              </w:rPr>
            </w:pPr>
            <w:r>
              <w:rPr>
                <w:color w:val="000000"/>
                <w:sz w:val="22"/>
                <w:szCs w:val="22"/>
              </w:rPr>
              <w:t>78,338</w:t>
            </w:r>
          </w:p>
        </w:tc>
        <w:tc>
          <w:tcPr>
            <w:tcW w:w="1134" w:type="dxa"/>
            <w:vAlign w:val="center"/>
          </w:tcPr>
          <w:p w14:paraId="067C20A8">
            <w:pPr>
              <w:jc w:val="center"/>
              <w:rPr>
                <w:color w:val="000000"/>
                <w:sz w:val="22"/>
                <w:szCs w:val="22"/>
              </w:rPr>
            </w:pPr>
            <w:r>
              <w:rPr>
                <w:color w:val="000000"/>
                <w:sz w:val="22"/>
                <w:szCs w:val="22"/>
              </w:rPr>
              <w:t>87,0</w:t>
            </w:r>
          </w:p>
        </w:tc>
        <w:tc>
          <w:tcPr>
            <w:tcW w:w="706" w:type="dxa"/>
            <w:vAlign w:val="center"/>
          </w:tcPr>
          <w:p w14:paraId="62FD8E97">
            <w:pPr>
              <w:jc w:val="center"/>
              <w:rPr>
                <w:color w:val="000000"/>
                <w:sz w:val="22"/>
                <w:szCs w:val="22"/>
              </w:rPr>
            </w:pPr>
            <w:r>
              <w:rPr>
                <w:color w:val="000000"/>
                <w:sz w:val="22"/>
                <w:szCs w:val="22"/>
              </w:rPr>
              <w:t>4,0</w:t>
            </w:r>
          </w:p>
        </w:tc>
        <w:tc>
          <w:tcPr>
            <w:tcW w:w="1278" w:type="dxa"/>
            <w:vAlign w:val="center"/>
          </w:tcPr>
          <w:p w14:paraId="34543496">
            <w:pPr>
              <w:jc w:val="center"/>
              <w:rPr>
                <w:color w:val="000000"/>
                <w:sz w:val="22"/>
                <w:szCs w:val="22"/>
              </w:rPr>
            </w:pPr>
            <w:r>
              <w:rPr>
                <w:color w:val="000000"/>
                <w:sz w:val="22"/>
                <w:szCs w:val="22"/>
              </w:rPr>
              <w:t>313,8</w:t>
            </w:r>
          </w:p>
        </w:tc>
        <w:tc>
          <w:tcPr>
            <w:tcW w:w="851" w:type="dxa"/>
            <w:vAlign w:val="center"/>
          </w:tcPr>
          <w:p w14:paraId="1D723064">
            <w:pPr>
              <w:jc w:val="center"/>
              <w:rPr>
                <w:color w:val="000000"/>
                <w:sz w:val="22"/>
                <w:szCs w:val="22"/>
              </w:rPr>
            </w:pPr>
            <w:r>
              <w:rPr>
                <w:color w:val="000000"/>
                <w:sz w:val="22"/>
                <w:szCs w:val="22"/>
              </w:rPr>
              <w:t>3,5</w:t>
            </w:r>
          </w:p>
        </w:tc>
        <w:tc>
          <w:tcPr>
            <w:tcW w:w="850" w:type="dxa"/>
            <w:vAlign w:val="center"/>
          </w:tcPr>
          <w:p w14:paraId="40B73442">
            <w:pPr>
              <w:jc w:val="center"/>
              <w:rPr>
                <w:color w:val="000000"/>
                <w:sz w:val="22"/>
                <w:szCs w:val="22"/>
              </w:rPr>
            </w:pPr>
            <w:r>
              <w:rPr>
                <w:color w:val="000000"/>
                <w:sz w:val="22"/>
                <w:szCs w:val="22"/>
              </w:rPr>
              <w:t>ĐH1</w:t>
            </w:r>
          </w:p>
        </w:tc>
      </w:tr>
      <w:tr w14:paraId="38D5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1E087C5">
            <w:pPr>
              <w:jc w:val="center"/>
              <w:rPr>
                <w:color w:val="000000"/>
                <w:sz w:val="22"/>
                <w:szCs w:val="22"/>
              </w:rPr>
            </w:pPr>
          </w:p>
        </w:tc>
        <w:tc>
          <w:tcPr>
            <w:tcW w:w="1121" w:type="dxa"/>
            <w:noWrap/>
            <w:vAlign w:val="center"/>
          </w:tcPr>
          <w:p w14:paraId="0DC551FB">
            <w:pPr>
              <w:jc w:val="center"/>
              <w:rPr>
                <w:color w:val="000000"/>
                <w:sz w:val="22"/>
                <w:szCs w:val="22"/>
              </w:rPr>
            </w:pPr>
            <w:r>
              <w:rPr>
                <w:color w:val="000000"/>
                <w:sz w:val="22"/>
                <w:szCs w:val="22"/>
              </w:rPr>
              <w:t>KL-35:02</w:t>
            </w:r>
          </w:p>
        </w:tc>
        <w:tc>
          <w:tcPr>
            <w:tcW w:w="1147" w:type="dxa"/>
            <w:vAlign w:val="center"/>
          </w:tcPr>
          <w:p w14:paraId="65E6D39D">
            <w:pPr>
              <w:jc w:val="center"/>
              <w:rPr>
                <w:color w:val="000000"/>
                <w:sz w:val="22"/>
                <w:szCs w:val="22"/>
              </w:rPr>
            </w:pPr>
            <w:r>
              <w:rPr>
                <w:color w:val="000000"/>
                <w:sz w:val="22"/>
                <w:szCs w:val="22"/>
              </w:rPr>
              <w:t>90,00</w:t>
            </w:r>
          </w:p>
        </w:tc>
        <w:tc>
          <w:tcPr>
            <w:tcW w:w="1098" w:type="dxa"/>
            <w:vAlign w:val="center"/>
          </w:tcPr>
          <w:p w14:paraId="6351082C">
            <w:pPr>
              <w:jc w:val="center"/>
              <w:rPr>
                <w:color w:val="000000"/>
                <w:sz w:val="22"/>
                <w:szCs w:val="22"/>
              </w:rPr>
            </w:pPr>
            <w:r>
              <w:rPr>
                <w:color w:val="000000"/>
                <w:sz w:val="22"/>
                <w:szCs w:val="22"/>
              </w:rPr>
              <w:t>78,338</w:t>
            </w:r>
          </w:p>
        </w:tc>
        <w:tc>
          <w:tcPr>
            <w:tcW w:w="1134" w:type="dxa"/>
            <w:vAlign w:val="center"/>
          </w:tcPr>
          <w:p w14:paraId="36B36D88">
            <w:pPr>
              <w:jc w:val="center"/>
              <w:rPr>
                <w:color w:val="000000"/>
                <w:sz w:val="22"/>
                <w:szCs w:val="22"/>
              </w:rPr>
            </w:pPr>
            <w:r>
              <w:rPr>
                <w:color w:val="000000"/>
                <w:sz w:val="22"/>
                <w:szCs w:val="22"/>
              </w:rPr>
              <w:t>87,0</w:t>
            </w:r>
          </w:p>
        </w:tc>
        <w:tc>
          <w:tcPr>
            <w:tcW w:w="706" w:type="dxa"/>
            <w:vAlign w:val="center"/>
          </w:tcPr>
          <w:p w14:paraId="1C7DC350">
            <w:pPr>
              <w:jc w:val="center"/>
              <w:rPr>
                <w:color w:val="000000"/>
                <w:sz w:val="22"/>
                <w:szCs w:val="22"/>
              </w:rPr>
            </w:pPr>
            <w:r>
              <w:rPr>
                <w:color w:val="000000"/>
                <w:sz w:val="22"/>
                <w:szCs w:val="22"/>
              </w:rPr>
              <w:t>4,0</w:t>
            </w:r>
          </w:p>
        </w:tc>
        <w:tc>
          <w:tcPr>
            <w:tcW w:w="1278" w:type="dxa"/>
            <w:vAlign w:val="center"/>
          </w:tcPr>
          <w:p w14:paraId="1FBAA3CA">
            <w:pPr>
              <w:jc w:val="center"/>
              <w:rPr>
                <w:color w:val="000000"/>
                <w:sz w:val="22"/>
                <w:szCs w:val="22"/>
              </w:rPr>
            </w:pPr>
            <w:r>
              <w:rPr>
                <w:color w:val="000000"/>
                <w:sz w:val="22"/>
                <w:szCs w:val="22"/>
              </w:rPr>
              <w:t>313,8</w:t>
            </w:r>
          </w:p>
        </w:tc>
        <w:tc>
          <w:tcPr>
            <w:tcW w:w="851" w:type="dxa"/>
            <w:vAlign w:val="center"/>
          </w:tcPr>
          <w:p w14:paraId="562A3A0C">
            <w:pPr>
              <w:jc w:val="center"/>
              <w:rPr>
                <w:color w:val="000000"/>
                <w:sz w:val="22"/>
                <w:szCs w:val="22"/>
              </w:rPr>
            </w:pPr>
            <w:r>
              <w:rPr>
                <w:color w:val="000000"/>
                <w:sz w:val="22"/>
                <w:szCs w:val="22"/>
              </w:rPr>
              <w:t>3,5</w:t>
            </w:r>
          </w:p>
        </w:tc>
        <w:tc>
          <w:tcPr>
            <w:tcW w:w="850" w:type="dxa"/>
            <w:vAlign w:val="center"/>
          </w:tcPr>
          <w:p w14:paraId="2D01CB02">
            <w:pPr>
              <w:jc w:val="center"/>
              <w:rPr>
                <w:color w:val="000000"/>
                <w:sz w:val="22"/>
                <w:szCs w:val="22"/>
              </w:rPr>
            </w:pPr>
            <w:r>
              <w:rPr>
                <w:color w:val="000000"/>
                <w:sz w:val="22"/>
                <w:szCs w:val="22"/>
              </w:rPr>
              <w:t>ĐH1</w:t>
            </w:r>
          </w:p>
        </w:tc>
      </w:tr>
      <w:tr w14:paraId="3458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D42A678">
            <w:pPr>
              <w:jc w:val="center"/>
              <w:rPr>
                <w:color w:val="000000"/>
                <w:sz w:val="22"/>
                <w:szCs w:val="22"/>
              </w:rPr>
            </w:pPr>
          </w:p>
        </w:tc>
        <w:tc>
          <w:tcPr>
            <w:tcW w:w="1121" w:type="dxa"/>
            <w:noWrap/>
            <w:vAlign w:val="center"/>
          </w:tcPr>
          <w:p w14:paraId="00F94F7F">
            <w:pPr>
              <w:jc w:val="center"/>
              <w:rPr>
                <w:color w:val="000000"/>
                <w:sz w:val="22"/>
                <w:szCs w:val="22"/>
              </w:rPr>
            </w:pPr>
            <w:r>
              <w:rPr>
                <w:color w:val="000000"/>
                <w:sz w:val="22"/>
                <w:szCs w:val="22"/>
              </w:rPr>
              <w:t>KL-35:03</w:t>
            </w:r>
          </w:p>
        </w:tc>
        <w:tc>
          <w:tcPr>
            <w:tcW w:w="1147" w:type="dxa"/>
            <w:vAlign w:val="center"/>
          </w:tcPr>
          <w:p w14:paraId="776B5F06">
            <w:pPr>
              <w:jc w:val="center"/>
              <w:rPr>
                <w:color w:val="000000"/>
                <w:sz w:val="22"/>
                <w:szCs w:val="22"/>
              </w:rPr>
            </w:pPr>
            <w:r>
              <w:rPr>
                <w:color w:val="000000"/>
                <w:sz w:val="22"/>
                <w:szCs w:val="22"/>
              </w:rPr>
              <w:t>90,00</w:t>
            </w:r>
          </w:p>
        </w:tc>
        <w:tc>
          <w:tcPr>
            <w:tcW w:w="1098" w:type="dxa"/>
            <w:vAlign w:val="center"/>
          </w:tcPr>
          <w:p w14:paraId="6D29699B">
            <w:pPr>
              <w:jc w:val="center"/>
              <w:rPr>
                <w:color w:val="000000"/>
                <w:sz w:val="22"/>
                <w:szCs w:val="22"/>
              </w:rPr>
            </w:pPr>
            <w:r>
              <w:rPr>
                <w:color w:val="000000"/>
                <w:sz w:val="22"/>
                <w:szCs w:val="22"/>
              </w:rPr>
              <w:t>78,338</w:t>
            </w:r>
          </w:p>
        </w:tc>
        <w:tc>
          <w:tcPr>
            <w:tcW w:w="1134" w:type="dxa"/>
            <w:vAlign w:val="center"/>
          </w:tcPr>
          <w:p w14:paraId="68C5516C">
            <w:pPr>
              <w:jc w:val="center"/>
              <w:rPr>
                <w:color w:val="000000"/>
                <w:sz w:val="22"/>
                <w:szCs w:val="22"/>
              </w:rPr>
            </w:pPr>
            <w:r>
              <w:rPr>
                <w:color w:val="000000"/>
                <w:sz w:val="22"/>
                <w:szCs w:val="22"/>
              </w:rPr>
              <w:t>87,0</w:t>
            </w:r>
          </w:p>
        </w:tc>
        <w:tc>
          <w:tcPr>
            <w:tcW w:w="706" w:type="dxa"/>
            <w:vAlign w:val="center"/>
          </w:tcPr>
          <w:p w14:paraId="74D18EA6">
            <w:pPr>
              <w:jc w:val="center"/>
              <w:rPr>
                <w:color w:val="000000"/>
                <w:sz w:val="22"/>
                <w:szCs w:val="22"/>
              </w:rPr>
            </w:pPr>
            <w:r>
              <w:rPr>
                <w:color w:val="000000"/>
                <w:sz w:val="22"/>
                <w:szCs w:val="22"/>
              </w:rPr>
              <w:t>4,0</w:t>
            </w:r>
          </w:p>
        </w:tc>
        <w:tc>
          <w:tcPr>
            <w:tcW w:w="1278" w:type="dxa"/>
            <w:vAlign w:val="center"/>
          </w:tcPr>
          <w:p w14:paraId="265A5E28">
            <w:pPr>
              <w:jc w:val="center"/>
              <w:rPr>
                <w:color w:val="000000"/>
                <w:sz w:val="22"/>
                <w:szCs w:val="22"/>
              </w:rPr>
            </w:pPr>
            <w:r>
              <w:rPr>
                <w:color w:val="000000"/>
                <w:sz w:val="22"/>
                <w:szCs w:val="22"/>
              </w:rPr>
              <w:t>313,8</w:t>
            </w:r>
          </w:p>
        </w:tc>
        <w:tc>
          <w:tcPr>
            <w:tcW w:w="851" w:type="dxa"/>
            <w:vAlign w:val="center"/>
          </w:tcPr>
          <w:p w14:paraId="73DAF514">
            <w:pPr>
              <w:jc w:val="center"/>
              <w:rPr>
                <w:color w:val="000000"/>
                <w:sz w:val="22"/>
                <w:szCs w:val="22"/>
              </w:rPr>
            </w:pPr>
            <w:r>
              <w:rPr>
                <w:color w:val="000000"/>
                <w:sz w:val="22"/>
                <w:szCs w:val="22"/>
              </w:rPr>
              <w:t>3,5</w:t>
            </w:r>
          </w:p>
        </w:tc>
        <w:tc>
          <w:tcPr>
            <w:tcW w:w="850" w:type="dxa"/>
            <w:vAlign w:val="center"/>
          </w:tcPr>
          <w:p w14:paraId="31F8E439">
            <w:pPr>
              <w:jc w:val="center"/>
              <w:rPr>
                <w:color w:val="000000"/>
                <w:sz w:val="22"/>
                <w:szCs w:val="22"/>
              </w:rPr>
            </w:pPr>
            <w:r>
              <w:rPr>
                <w:color w:val="000000"/>
                <w:sz w:val="22"/>
                <w:szCs w:val="22"/>
              </w:rPr>
              <w:t>ĐH1</w:t>
            </w:r>
          </w:p>
        </w:tc>
      </w:tr>
      <w:tr w14:paraId="5304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38A520E">
            <w:pPr>
              <w:jc w:val="center"/>
              <w:rPr>
                <w:color w:val="000000"/>
                <w:sz w:val="22"/>
                <w:szCs w:val="22"/>
              </w:rPr>
            </w:pPr>
          </w:p>
        </w:tc>
        <w:tc>
          <w:tcPr>
            <w:tcW w:w="1121" w:type="dxa"/>
            <w:noWrap/>
            <w:vAlign w:val="center"/>
          </w:tcPr>
          <w:p w14:paraId="5C7AB548">
            <w:pPr>
              <w:jc w:val="center"/>
              <w:rPr>
                <w:color w:val="000000"/>
                <w:sz w:val="22"/>
                <w:szCs w:val="22"/>
              </w:rPr>
            </w:pPr>
            <w:r>
              <w:rPr>
                <w:color w:val="000000"/>
                <w:sz w:val="22"/>
                <w:szCs w:val="22"/>
              </w:rPr>
              <w:t>KL-35:04</w:t>
            </w:r>
          </w:p>
        </w:tc>
        <w:tc>
          <w:tcPr>
            <w:tcW w:w="1147" w:type="dxa"/>
            <w:vAlign w:val="center"/>
          </w:tcPr>
          <w:p w14:paraId="6A896EF5">
            <w:pPr>
              <w:jc w:val="center"/>
              <w:rPr>
                <w:color w:val="000000"/>
                <w:sz w:val="22"/>
                <w:szCs w:val="22"/>
              </w:rPr>
            </w:pPr>
            <w:r>
              <w:rPr>
                <w:color w:val="000000"/>
                <w:sz w:val="22"/>
                <w:szCs w:val="22"/>
              </w:rPr>
              <w:t>90,00</w:t>
            </w:r>
          </w:p>
        </w:tc>
        <w:tc>
          <w:tcPr>
            <w:tcW w:w="1098" w:type="dxa"/>
            <w:vAlign w:val="center"/>
          </w:tcPr>
          <w:p w14:paraId="3572AB1C">
            <w:pPr>
              <w:jc w:val="center"/>
              <w:rPr>
                <w:color w:val="000000"/>
                <w:sz w:val="22"/>
                <w:szCs w:val="22"/>
              </w:rPr>
            </w:pPr>
            <w:r>
              <w:rPr>
                <w:color w:val="000000"/>
                <w:sz w:val="22"/>
                <w:szCs w:val="22"/>
              </w:rPr>
              <w:t>78,338</w:t>
            </w:r>
          </w:p>
        </w:tc>
        <w:tc>
          <w:tcPr>
            <w:tcW w:w="1134" w:type="dxa"/>
            <w:vAlign w:val="center"/>
          </w:tcPr>
          <w:p w14:paraId="0B1B1F8D">
            <w:pPr>
              <w:jc w:val="center"/>
              <w:rPr>
                <w:color w:val="000000"/>
                <w:sz w:val="22"/>
                <w:szCs w:val="22"/>
              </w:rPr>
            </w:pPr>
            <w:r>
              <w:rPr>
                <w:color w:val="000000"/>
                <w:sz w:val="22"/>
                <w:szCs w:val="22"/>
              </w:rPr>
              <w:t>87,0</w:t>
            </w:r>
          </w:p>
        </w:tc>
        <w:tc>
          <w:tcPr>
            <w:tcW w:w="706" w:type="dxa"/>
            <w:vAlign w:val="center"/>
          </w:tcPr>
          <w:p w14:paraId="2A96178D">
            <w:pPr>
              <w:jc w:val="center"/>
              <w:rPr>
                <w:color w:val="000000"/>
                <w:sz w:val="22"/>
                <w:szCs w:val="22"/>
              </w:rPr>
            </w:pPr>
            <w:r>
              <w:rPr>
                <w:color w:val="000000"/>
                <w:sz w:val="22"/>
                <w:szCs w:val="22"/>
              </w:rPr>
              <w:t>4,0</w:t>
            </w:r>
          </w:p>
        </w:tc>
        <w:tc>
          <w:tcPr>
            <w:tcW w:w="1278" w:type="dxa"/>
            <w:vAlign w:val="center"/>
          </w:tcPr>
          <w:p w14:paraId="5B123FF5">
            <w:pPr>
              <w:jc w:val="center"/>
              <w:rPr>
                <w:color w:val="000000"/>
                <w:sz w:val="22"/>
                <w:szCs w:val="22"/>
              </w:rPr>
            </w:pPr>
            <w:r>
              <w:rPr>
                <w:color w:val="000000"/>
                <w:sz w:val="22"/>
                <w:szCs w:val="22"/>
              </w:rPr>
              <w:t>313,8</w:t>
            </w:r>
          </w:p>
        </w:tc>
        <w:tc>
          <w:tcPr>
            <w:tcW w:w="851" w:type="dxa"/>
            <w:vAlign w:val="center"/>
          </w:tcPr>
          <w:p w14:paraId="662C7BA2">
            <w:pPr>
              <w:jc w:val="center"/>
              <w:rPr>
                <w:color w:val="000000"/>
                <w:sz w:val="22"/>
                <w:szCs w:val="22"/>
              </w:rPr>
            </w:pPr>
            <w:r>
              <w:rPr>
                <w:color w:val="000000"/>
                <w:sz w:val="22"/>
                <w:szCs w:val="22"/>
              </w:rPr>
              <w:t>3,5</w:t>
            </w:r>
          </w:p>
        </w:tc>
        <w:tc>
          <w:tcPr>
            <w:tcW w:w="850" w:type="dxa"/>
            <w:vAlign w:val="center"/>
          </w:tcPr>
          <w:p w14:paraId="538FE9B1">
            <w:pPr>
              <w:jc w:val="center"/>
              <w:rPr>
                <w:color w:val="000000"/>
                <w:sz w:val="22"/>
                <w:szCs w:val="22"/>
              </w:rPr>
            </w:pPr>
            <w:r>
              <w:rPr>
                <w:color w:val="000000"/>
                <w:sz w:val="22"/>
                <w:szCs w:val="22"/>
              </w:rPr>
              <w:t>ĐH1</w:t>
            </w:r>
          </w:p>
        </w:tc>
      </w:tr>
      <w:tr w14:paraId="0FC9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194D3E9">
            <w:pPr>
              <w:jc w:val="center"/>
              <w:rPr>
                <w:color w:val="000000"/>
                <w:sz w:val="22"/>
                <w:szCs w:val="22"/>
              </w:rPr>
            </w:pPr>
          </w:p>
        </w:tc>
        <w:tc>
          <w:tcPr>
            <w:tcW w:w="1121" w:type="dxa"/>
            <w:noWrap/>
            <w:vAlign w:val="center"/>
          </w:tcPr>
          <w:p w14:paraId="4592486B">
            <w:pPr>
              <w:jc w:val="center"/>
              <w:rPr>
                <w:color w:val="000000"/>
                <w:sz w:val="22"/>
                <w:szCs w:val="22"/>
              </w:rPr>
            </w:pPr>
            <w:r>
              <w:rPr>
                <w:color w:val="000000"/>
                <w:sz w:val="22"/>
                <w:szCs w:val="22"/>
              </w:rPr>
              <w:t>KL-35:05</w:t>
            </w:r>
          </w:p>
        </w:tc>
        <w:tc>
          <w:tcPr>
            <w:tcW w:w="1147" w:type="dxa"/>
            <w:vAlign w:val="center"/>
          </w:tcPr>
          <w:p w14:paraId="17F1023F">
            <w:pPr>
              <w:jc w:val="center"/>
              <w:rPr>
                <w:color w:val="000000"/>
                <w:sz w:val="22"/>
                <w:szCs w:val="22"/>
              </w:rPr>
            </w:pPr>
            <w:r>
              <w:rPr>
                <w:color w:val="000000"/>
                <w:sz w:val="22"/>
                <w:szCs w:val="22"/>
              </w:rPr>
              <w:t>90,00</w:t>
            </w:r>
          </w:p>
        </w:tc>
        <w:tc>
          <w:tcPr>
            <w:tcW w:w="1098" w:type="dxa"/>
            <w:vAlign w:val="center"/>
          </w:tcPr>
          <w:p w14:paraId="13EFF3DF">
            <w:pPr>
              <w:jc w:val="center"/>
              <w:rPr>
                <w:color w:val="000000"/>
                <w:sz w:val="22"/>
                <w:szCs w:val="22"/>
              </w:rPr>
            </w:pPr>
            <w:r>
              <w:rPr>
                <w:color w:val="000000"/>
                <w:sz w:val="22"/>
                <w:szCs w:val="22"/>
              </w:rPr>
              <w:t>78,338</w:t>
            </w:r>
          </w:p>
        </w:tc>
        <w:tc>
          <w:tcPr>
            <w:tcW w:w="1134" w:type="dxa"/>
            <w:vAlign w:val="center"/>
          </w:tcPr>
          <w:p w14:paraId="776B6256">
            <w:pPr>
              <w:jc w:val="center"/>
              <w:rPr>
                <w:color w:val="000000"/>
                <w:sz w:val="22"/>
                <w:szCs w:val="22"/>
              </w:rPr>
            </w:pPr>
            <w:r>
              <w:rPr>
                <w:color w:val="000000"/>
                <w:sz w:val="22"/>
                <w:szCs w:val="22"/>
              </w:rPr>
              <w:t>87,0</w:t>
            </w:r>
          </w:p>
        </w:tc>
        <w:tc>
          <w:tcPr>
            <w:tcW w:w="706" w:type="dxa"/>
            <w:vAlign w:val="center"/>
          </w:tcPr>
          <w:p w14:paraId="6DA88383">
            <w:pPr>
              <w:jc w:val="center"/>
              <w:rPr>
                <w:color w:val="000000"/>
                <w:sz w:val="22"/>
                <w:szCs w:val="22"/>
              </w:rPr>
            </w:pPr>
            <w:r>
              <w:rPr>
                <w:color w:val="000000"/>
                <w:sz w:val="22"/>
                <w:szCs w:val="22"/>
              </w:rPr>
              <w:t>4,0</w:t>
            </w:r>
          </w:p>
        </w:tc>
        <w:tc>
          <w:tcPr>
            <w:tcW w:w="1278" w:type="dxa"/>
            <w:vAlign w:val="center"/>
          </w:tcPr>
          <w:p w14:paraId="74CA259C">
            <w:pPr>
              <w:jc w:val="center"/>
              <w:rPr>
                <w:color w:val="000000"/>
                <w:sz w:val="22"/>
                <w:szCs w:val="22"/>
              </w:rPr>
            </w:pPr>
            <w:r>
              <w:rPr>
                <w:color w:val="000000"/>
                <w:sz w:val="22"/>
                <w:szCs w:val="22"/>
              </w:rPr>
              <w:t>313,8</w:t>
            </w:r>
          </w:p>
        </w:tc>
        <w:tc>
          <w:tcPr>
            <w:tcW w:w="851" w:type="dxa"/>
            <w:vAlign w:val="center"/>
          </w:tcPr>
          <w:p w14:paraId="0A11B69B">
            <w:pPr>
              <w:jc w:val="center"/>
              <w:rPr>
                <w:color w:val="000000"/>
                <w:sz w:val="22"/>
                <w:szCs w:val="22"/>
              </w:rPr>
            </w:pPr>
            <w:r>
              <w:rPr>
                <w:color w:val="000000"/>
                <w:sz w:val="22"/>
                <w:szCs w:val="22"/>
              </w:rPr>
              <w:t>3,5</w:t>
            </w:r>
          </w:p>
        </w:tc>
        <w:tc>
          <w:tcPr>
            <w:tcW w:w="850" w:type="dxa"/>
            <w:vAlign w:val="center"/>
          </w:tcPr>
          <w:p w14:paraId="6496FF32">
            <w:pPr>
              <w:jc w:val="center"/>
              <w:rPr>
                <w:color w:val="000000"/>
                <w:sz w:val="22"/>
                <w:szCs w:val="22"/>
              </w:rPr>
            </w:pPr>
            <w:r>
              <w:rPr>
                <w:color w:val="000000"/>
                <w:sz w:val="22"/>
                <w:szCs w:val="22"/>
              </w:rPr>
              <w:t>ĐH1</w:t>
            </w:r>
          </w:p>
        </w:tc>
      </w:tr>
      <w:tr w14:paraId="2B6E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2DE1B50F">
            <w:pPr>
              <w:jc w:val="center"/>
              <w:rPr>
                <w:color w:val="000000"/>
                <w:sz w:val="22"/>
                <w:szCs w:val="22"/>
              </w:rPr>
            </w:pPr>
          </w:p>
        </w:tc>
        <w:tc>
          <w:tcPr>
            <w:tcW w:w="1121" w:type="dxa"/>
            <w:noWrap/>
            <w:vAlign w:val="center"/>
          </w:tcPr>
          <w:p w14:paraId="46EBDC76">
            <w:pPr>
              <w:jc w:val="center"/>
              <w:rPr>
                <w:color w:val="000000"/>
                <w:sz w:val="22"/>
                <w:szCs w:val="22"/>
              </w:rPr>
            </w:pPr>
            <w:r>
              <w:rPr>
                <w:color w:val="000000"/>
                <w:sz w:val="22"/>
                <w:szCs w:val="22"/>
              </w:rPr>
              <w:t>KL-35:06</w:t>
            </w:r>
          </w:p>
        </w:tc>
        <w:tc>
          <w:tcPr>
            <w:tcW w:w="1147" w:type="dxa"/>
            <w:vAlign w:val="center"/>
          </w:tcPr>
          <w:p w14:paraId="617576CD">
            <w:pPr>
              <w:jc w:val="center"/>
              <w:rPr>
                <w:color w:val="000000"/>
                <w:sz w:val="22"/>
                <w:szCs w:val="22"/>
              </w:rPr>
            </w:pPr>
            <w:r>
              <w:rPr>
                <w:color w:val="000000"/>
                <w:sz w:val="22"/>
                <w:szCs w:val="22"/>
              </w:rPr>
              <w:t>90,00</w:t>
            </w:r>
          </w:p>
        </w:tc>
        <w:tc>
          <w:tcPr>
            <w:tcW w:w="1098" w:type="dxa"/>
            <w:vAlign w:val="center"/>
          </w:tcPr>
          <w:p w14:paraId="725B91CD">
            <w:pPr>
              <w:jc w:val="center"/>
              <w:rPr>
                <w:color w:val="000000"/>
                <w:sz w:val="22"/>
                <w:szCs w:val="22"/>
              </w:rPr>
            </w:pPr>
            <w:r>
              <w:rPr>
                <w:color w:val="000000"/>
                <w:sz w:val="22"/>
                <w:szCs w:val="22"/>
              </w:rPr>
              <w:t>78,338</w:t>
            </w:r>
          </w:p>
        </w:tc>
        <w:tc>
          <w:tcPr>
            <w:tcW w:w="1134" w:type="dxa"/>
            <w:vAlign w:val="center"/>
          </w:tcPr>
          <w:p w14:paraId="3DF564ED">
            <w:pPr>
              <w:jc w:val="center"/>
              <w:rPr>
                <w:color w:val="000000"/>
                <w:sz w:val="22"/>
                <w:szCs w:val="22"/>
              </w:rPr>
            </w:pPr>
            <w:r>
              <w:rPr>
                <w:color w:val="000000"/>
                <w:sz w:val="22"/>
                <w:szCs w:val="22"/>
              </w:rPr>
              <w:t>87,0</w:t>
            </w:r>
          </w:p>
        </w:tc>
        <w:tc>
          <w:tcPr>
            <w:tcW w:w="706" w:type="dxa"/>
            <w:vAlign w:val="center"/>
          </w:tcPr>
          <w:p w14:paraId="0A2DB0E4">
            <w:pPr>
              <w:jc w:val="center"/>
              <w:rPr>
                <w:color w:val="000000"/>
                <w:sz w:val="22"/>
                <w:szCs w:val="22"/>
              </w:rPr>
            </w:pPr>
            <w:r>
              <w:rPr>
                <w:color w:val="000000"/>
                <w:sz w:val="22"/>
                <w:szCs w:val="22"/>
              </w:rPr>
              <w:t>4,0</w:t>
            </w:r>
          </w:p>
        </w:tc>
        <w:tc>
          <w:tcPr>
            <w:tcW w:w="1278" w:type="dxa"/>
            <w:vAlign w:val="center"/>
          </w:tcPr>
          <w:p w14:paraId="15E7D7AC">
            <w:pPr>
              <w:jc w:val="center"/>
              <w:rPr>
                <w:color w:val="000000"/>
                <w:sz w:val="22"/>
                <w:szCs w:val="22"/>
              </w:rPr>
            </w:pPr>
            <w:r>
              <w:rPr>
                <w:color w:val="000000"/>
                <w:sz w:val="22"/>
                <w:szCs w:val="22"/>
              </w:rPr>
              <w:t>313,8</w:t>
            </w:r>
          </w:p>
        </w:tc>
        <w:tc>
          <w:tcPr>
            <w:tcW w:w="851" w:type="dxa"/>
            <w:vAlign w:val="center"/>
          </w:tcPr>
          <w:p w14:paraId="7A49A7D7">
            <w:pPr>
              <w:jc w:val="center"/>
              <w:rPr>
                <w:color w:val="000000"/>
                <w:sz w:val="22"/>
                <w:szCs w:val="22"/>
              </w:rPr>
            </w:pPr>
            <w:r>
              <w:rPr>
                <w:color w:val="000000"/>
                <w:sz w:val="22"/>
                <w:szCs w:val="22"/>
              </w:rPr>
              <w:t>3,5</w:t>
            </w:r>
          </w:p>
        </w:tc>
        <w:tc>
          <w:tcPr>
            <w:tcW w:w="850" w:type="dxa"/>
            <w:vAlign w:val="center"/>
          </w:tcPr>
          <w:p w14:paraId="76B8D272">
            <w:pPr>
              <w:jc w:val="center"/>
              <w:rPr>
                <w:color w:val="000000"/>
                <w:sz w:val="22"/>
                <w:szCs w:val="22"/>
              </w:rPr>
            </w:pPr>
            <w:r>
              <w:rPr>
                <w:color w:val="000000"/>
                <w:sz w:val="22"/>
                <w:szCs w:val="22"/>
              </w:rPr>
              <w:t>ĐH1</w:t>
            </w:r>
          </w:p>
        </w:tc>
      </w:tr>
      <w:tr w14:paraId="33EA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3E40751">
            <w:pPr>
              <w:jc w:val="center"/>
              <w:rPr>
                <w:color w:val="000000"/>
                <w:sz w:val="22"/>
                <w:szCs w:val="22"/>
              </w:rPr>
            </w:pPr>
          </w:p>
        </w:tc>
        <w:tc>
          <w:tcPr>
            <w:tcW w:w="1121" w:type="dxa"/>
            <w:noWrap/>
            <w:vAlign w:val="center"/>
          </w:tcPr>
          <w:p w14:paraId="1DF99A2D">
            <w:pPr>
              <w:jc w:val="center"/>
              <w:rPr>
                <w:color w:val="000000"/>
                <w:sz w:val="22"/>
                <w:szCs w:val="22"/>
              </w:rPr>
            </w:pPr>
            <w:r>
              <w:rPr>
                <w:color w:val="000000"/>
                <w:sz w:val="22"/>
                <w:szCs w:val="22"/>
              </w:rPr>
              <w:t>KL-35:07</w:t>
            </w:r>
          </w:p>
        </w:tc>
        <w:tc>
          <w:tcPr>
            <w:tcW w:w="1147" w:type="dxa"/>
            <w:vAlign w:val="center"/>
          </w:tcPr>
          <w:p w14:paraId="0B9C6B78">
            <w:pPr>
              <w:jc w:val="center"/>
              <w:rPr>
                <w:color w:val="000000"/>
                <w:sz w:val="22"/>
                <w:szCs w:val="22"/>
              </w:rPr>
            </w:pPr>
            <w:r>
              <w:rPr>
                <w:color w:val="000000"/>
                <w:sz w:val="22"/>
                <w:szCs w:val="22"/>
              </w:rPr>
              <w:t>90,00</w:t>
            </w:r>
          </w:p>
        </w:tc>
        <w:tc>
          <w:tcPr>
            <w:tcW w:w="1098" w:type="dxa"/>
            <w:vAlign w:val="center"/>
          </w:tcPr>
          <w:p w14:paraId="0AD39A23">
            <w:pPr>
              <w:jc w:val="center"/>
              <w:rPr>
                <w:color w:val="000000"/>
                <w:sz w:val="22"/>
                <w:szCs w:val="22"/>
              </w:rPr>
            </w:pPr>
            <w:r>
              <w:rPr>
                <w:color w:val="000000"/>
                <w:sz w:val="22"/>
                <w:szCs w:val="22"/>
              </w:rPr>
              <w:t>78,338</w:t>
            </w:r>
          </w:p>
        </w:tc>
        <w:tc>
          <w:tcPr>
            <w:tcW w:w="1134" w:type="dxa"/>
            <w:vAlign w:val="center"/>
          </w:tcPr>
          <w:p w14:paraId="72CCE563">
            <w:pPr>
              <w:jc w:val="center"/>
              <w:rPr>
                <w:color w:val="000000"/>
                <w:sz w:val="22"/>
                <w:szCs w:val="22"/>
              </w:rPr>
            </w:pPr>
            <w:r>
              <w:rPr>
                <w:color w:val="000000"/>
                <w:sz w:val="22"/>
                <w:szCs w:val="22"/>
              </w:rPr>
              <w:t>87,0</w:t>
            </w:r>
          </w:p>
        </w:tc>
        <w:tc>
          <w:tcPr>
            <w:tcW w:w="706" w:type="dxa"/>
            <w:vAlign w:val="center"/>
          </w:tcPr>
          <w:p w14:paraId="3988FB67">
            <w:pPr>
              <w:jc w:val="center"/>
              <w:rPr>
                <w:color w:val="000000"/>
                <w:sz w:val="22"/>
                <w:szCs w:val="22"/>
              </w:rPr>
            </w:pPr>
            <w:r>
              <w:rPr>
                <w:color w:val="000000"/>
                <w:sz w:val="22"/>
                <w:szCs w:val="22"/>
              </w:rPr>
              <w:t>4,0</w:t>
            </w:r>
          </w:p>
        </w:tc>
        <w:tc>
          <w:tcPr>
            <w:tcW w:w="1278" w:type="dxa"/>
            <w:vAlign w:val="center"/>
          </w:tcPr>
          <w:p w14:paraId="572182BF">
            <w:pPr>
              <w:jc w:val="center"/>
              <w:rPr>
                <w:color w:val="000000"/>
                <w:sz w:val="22"/>
                <w:szCs w:val="22"/>
              </w:rPr>
            </w:pPr>
            <w:r>
              <w:rPr>
                <w:color w:val="000000"/>
                <w:sz w:val="22"/>
                <w:szCs w:val="22"/>
              </w:rPr>
              <w:t>313,8</w:t>
            </w:r>
          </w:p>
        </w:tc>
        <w:tc>
          <w:tcPr>
            <w:tcW w:w="851" w:type="dxa"/>
            <w:vAlign w:val="center"/>
          </w:tcPr>
          <w:p w14:paraId="3BA1BB8B">
            <w:pPr>
              <w:jc w:val="center"/>
              <w:rPr>
                <w:color w:val="000000"/>
                <w:sz w:val="22"/>
                <w:szCs w:val="22"/>
              </w:rPr>
            </w:pPr>
            <w:r>
              <w:rPr>
                <w:color w:val="000000"/>
                <w:sz w:val="22"/>
                <w:szCs w:val="22"/>
              </w:rPr>
              <w:t>3,5</w:t>
            </w:r>
          </w:p>
        </w:tc>
        <w:tc>
          <w:tcPr>
            <w:tcW w:w="850" w:type="dxa"/>
            <w:vAlign w:val="center"/>
          </w:tcPr>
          <w:p w14:paraId="46A49B63">
            <w:pPr>
              <w:jc w:val="center"/>
              <w:rPr>
                <w:color w:val="000000"/>
                <w:sz w:val="22"/>
                <w:szCs w:val="22"/>
              </w:rPr>
            </w:pPr>
            <w:r>
              <w:rPr>
                <w:color w:val="000000"/>
                <w:sz w:val="22"/>
                <w:szCs w:val="22"/>
              </w:rPr>
              <w:t>ĐH1</w:t>
            </w:r>
          </w:p>
        </w:tc>
      </w:tr>
      <w:tr w14:paraId="5E68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33FD23E">
            <w:pPr>
              <w:jc w:val="center"/>
              <w:rPr>
                <w:color w:val="000000"/>
                <w:sz w:val="22"/>
                <w:szCs w:val="22"/>
              </w:rPr>
            </w:pPr>
          </w:p>
        </w:tc>
        <w:tc>
          <w:tcPr>
            <w:tcW w:w="1121" w:type="dxa"/>
            <w:noWrap/>
            <w:vAlign w:val="center"/>
          </w:tcPr>
          <w:p w14:paraId="32715902">
            <w:pPr>
              <w:jc w:val="center"/>
              <w:rPr>
                <w:color w:val="000000"/>
                <w:sz w:val="22"/>
                <w:szCs w:val="22"/>
              </w:rPr>
            </w:pPr>
            <w:r>
              <w:rPr>
                <w:color w:val="000000"/>
                <w:sz w:val="22"/>
                <w:szCs w:val="22"/>
              </w:rPr>
              <w:t>KL-35:08</w:t>
            </w:r>
          </w:p>
        </w:tc>
        <w:tc>
          <w:tcPr>
            <w:tcW w:w="1147" w:type="dxa"/>
            <w:vAlign w:val="center"/>
          </w:tcPr>
          <w:p w14:paraId="41707C51">
            <w:pPr>
              <w:jc w:val="center"/>
              <w:rPr>
                <w:color w:val="000000"/>
                <w:sz w:val="22"/>
                <w:szCs w:val="22"/>
              </w:rPr>
            </w:pPr>
            <w:r>
              <w:rPr>
                <w:color w:val="000000"/>
                <w:sz w:val="22"/>
                <w:szCs w:val="22"/>
              </w:rPr>
              <w:t>90,00</w:t>
            </w:r>
          </w:p>
        </w:tc>
        <w:tc>
          <w:tcPr>
            <w:tcW w:w="1098" w:type="dxa"/>
            <w:vAlign w:val="center"/>
          </w:tcPr>
          <w:p w14:paraId="135DFA0F">
            <w:pPr>
              <w:jc w:val="center"/>
              <w:rPr>
                <w:color w:val="000000"/>
                <w:sz w:val="22"/>
                <w:szCs w:val="22"/>
              </w:rPr>
            </w:pPr>
            <w:r>
              <w:rPr>
                <w:color w:val="000000"/>
                <w:sz w:val="22"/>
                <w:szCs w:val="22"/>
              </w:rPr>
              <w:t>78,338</w:t>
            </w:r>
          </w:p>
        </w:tc>
        <w:tc>
          <w:tcPr>
            <w:tcW w:w="1134" w:type="dxa"/>
            <w:vAlign w:val="center"/>
          </w:tcPr>
          <w:p w14:paraId="174EC1A2">
            <w:pPr>
              <w:jc w:val="center"/>
              <w:rPr>
                <w:color w:val="000000"/>
                <w:sz w:val="22"/>
                <w:szCs w:val="22"/>
              </w:rPr>
            </w:pPr>
            <w:r>
              <w:rPr>
                <w:color w:val="000000"/>
                <w:sz w:val="22"/>
                <w:szCs w:val="22"/>
              </w:rPr>
              <w:t>87,0</w:t>
            </w:r>
          </w:p>
        </w:tc>
        <w:tc>
          <w:tcPr>
            <w:tcW w:w="706" w:type="dxa"/>
            <w:vAlign w:val="center"/>
          </w:tcPr>
          <w:p w14:paraId="43670F76">
            <w:pPr>
              <w:jc w:val="center"/>
              <w:rPr>
                <w:color w:val="000000"/>
                <w:sz w:val="22"/>
                <w:szCs w:val="22"/>
              </w:rPr>
            </w:pPr>
            <w:r>
              <w:rPr>
                <w:color w:val="000000"/>
                <w:sz w:val="22"/>
                <w:szCs w:val="22"/>
              </w:rPr>
              <w:t>4,0</w:t>
            </w:r>
          </w:p>
        </w:tc>
        <w:tc>
          <w:tcPr>
            <w:tcW w:w="1278" w:type="dxa"/>
            <w:vAlign w:val="center"/>
          </w:tcPr>
          <w:p w14:paraId="63C8F0C4">
            <w:pPr>
              <w:jc w:val="center"/>
              <w:rPr>
                <w:color w:val="000000"/>
                <w:sz w:val="22"/>
                <w:szCs w:val="22"/>
              </w:rPr>
            </w:pPr>
            <w:r>
              <w:rPr>
                <w:color w:val="000000"/>
                <w:sz w:val="22"/>
                <w:szCs w:val="22"/>
              </w:rPr>
              <w:t>313,8</w:t>
            </w:r>
          </w:p>
        </w:tc>
        <w:tc>
          <w:tcPr>
            <w:tcW w:w="851" w:type="dxa"/>
            <w:vAlign w:val="center"/>
          </w:tcPr>
          <w:p w14:paraId="2EC9734F">
            <w:pPr>
              <w:jc w:val="center"/>
              <w:rPr>
                <w:color w:val="000000"/>
                <w:sz w:val="22"/>
                <w:szCs w:val="22"/>
              </w:rPr>
            </w:pPr>
            <w:r>
              <w:rPr>
                <w:color w:val="000000"/>
                <w:sz w:val="22"/>
                <w:szCs w:val="22"/>
              </w:rPr>
              <w:t>3,5</w:t>
            </w:r>
          </w:p>
        </w:tc>
        <w:tc>
          <w:tcPr>
            <w:tcW w:w="850" w:type="dxa"/>
            <w:vAlign w:val="center"/>
          </w:tcPr>
          <w:p w14:paraId="01596AF4">
            <w:pPr>
              <w:jc w:val="center"/>
              <w:rPr>
                <w:color w:val="000000"/>
                <w:sz w:val="22"/>
                <w:szCs w:val="22"/>
              </w:rPr>
            </w:pPr>
            <w:r>
              <w:rPr>
                <w:color w:val="000000"/>
                <w:sz w:val="22"/>
                <w:szCs w:val="22"/>
              </w:rPr>
              <w:t>ĐH1</w:t>
            </w:r>
          </w:p>
        </w:tc>
      </w:tr>
      <w:tr w14:paraId="4792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614CC98">
            <w:pPr>
              <w:jc w:val="center"/>
              <w:rPr>
                <w:color w:val="000000"/>
                <w:sz w:val="22"/>
                <w:szCs w:val="22"/>
              </w:rPr>
            </w:pPr>
          </w:p>
        </w:tc>
        <w:tc>
          <w:tcPr>
            <w:tcW w:w="1121" w:type="dxa"/>
            <w:noWrap/>
            <w:vAlign w:val="center"/>
          </w:tcPr>
          <w:p w14:paraId="16F9CAB3">
            <w:pPr>
              <w:jc w:val="center"/>
              <w:rPr>
                <w:color w:val="000000"/>
                <w:sz w:val="22"/>
                <w:szCs w:val="22"/>
              </w:rPr>
            </w:pPr>
            <w:r>
              <w:rPr>
                <w:color w:val="000000"/>
                <w:sz w:val="22"/>
                <w:szCs w:val="22"/>
              </w:rPr>
              <w:t>KL-35:09</w:t>
            </w:r>
          </w:p>
        </w:tc>
        <w:tc>
          <w:tcPr>
            <w:tcW w:w="1147" w:type="dxa"/>
            <w:vAlign w:val="center"/>
          </w:tcPr>
          <w:p w14:paraId="07E1E2AA">
            <w:pPr>
              <w:jc w:val="center"/>
              <w:rPr>
                <w:color w:val="000000"/>
                <w:sz w:val="22"/>
                <w:szCs w:val="22"/>
              </w:rPr>
            </w:pPr>
            <w:r>
              <w:rPr>
                <w:color w:val="000000"/>
                <w:sz w:val="22"/>
                <w:szCs w:val="22"/>
              </w:rPr>
              <w:t>90,00</w:t>
            </w:r>
          </w:p>
        </w:tc>
        <w:tc>
          <w:tcPr>
            <w:tcW w:w="1098" w:type="dxa"/>
            <w:vAlign w:val="center"/>
          </w:tcPr>
          <w:p w14:paraId="7FC1389E">
            <w:pPr>
              <w:jc w:val="center"/>
              <w:rPr>
                <w:color w:val="000000"/>
                <w:sz w:val="22"/>
                <w:szCs w:val="22"/>
              </w:rPr>
            </w:pPr>
            <w:r>
              <w:rPr>
                <w:color w:val="000000"/>
                <w:sz w:val="22"/>
                <w:szCs w:val="22"/>
              </w:rPr>
              <w:t>78,338</w:t>
            </w:r>
          </w:p>
        </w:tc>
        <w:tc>
          <w:tcPr>
            <w:tcW w:w="1134" w:type="dxa"/>
            <w:vAlign w:val="center"/>
          </w:tcPr>
          <w:p w14:paraId="32A613B0">
            <w:pPr>
              <w:jc w:val="center"/>
              <w:rPr>
                <w:color w:val="000000"/>
                <w:sz w:val="22"/>
                <w:szCs w:val="22"/>
              </w:rPr>
            </w:pPr>
            <w:r>
              <w:rPr>
                <w:color w:val="000000"/>
                <w:sz w:val="22"/>
                <w:szCs w:val="22"/>
              </w:rPr>
              <w:t>87,0</w:t>
            </w:r>
          </w:p>
        </w:tc>
        <w:tc>
          <w:tcPr>
            <w:tcW w:w="706" w:type="dxa"/>
            <w:vAlign w:val="center"/>
          </w:tcPr>
          <w:p w14:paraId="284E1E61">
            <w:pPr>
              <w:jc w:val="center"/>
              <w:rPr>
                <w:color w:val="000000"/>
                <w:sz w:val="22"/>
                <w:szCs w:val="22"/>
              </w:rPr>
            </w:pPr>
            <w:r>
              <w:rPr>
                <w:color w:val="000000"/>
                <w:sz w:val="22"/>
                <w:szCs w:val="22"/>
              </w:rPr>
              <w:t>4,0</w:t>
            </w:r>
          </w:p>
        </w:tc>
        <w:tc>
          <w:tcPr>
            <w:tcW w:w="1278" w:type="dxa"/>
            <w:vAlign w:val="center"/>
          </w:tcPr>
          <w:p w14:paraId="57F0481A">
            <w:pPr>
              <w:jc w:val="center"/>
              <w:rPr>
                <w:color w:val="000000"/>
                <w:sz w:val="22"/>
                <w:szCs w:val="22"/>
              </w:rPr>
            </w:pPr>
            <w:r>
              <w:rPr>
                <w:color w:val="000000"/>
                <w:sz w:val="22"/>
                <w:szCs w:val="22"/>
              </w:rPr>
              <w:t>313,8</w:t>
            </w:r>
          </w:p>
        </w:tc>
        <w:tc>
          <w:tcPr>
            <w:tcW w:w="851" w:type="dxa"/>
            <w:vAlign w:val="center"/>
          </w:tcPr>
          <w:p w14:paraId="380AF79F">
            <w:pPr>
              <w:jc w:val="center"/>
              <w:rPr>
                <w:color w:val="000000"/>
                <w:sz w:val="22"/>
                <w:szCs w:val="22"/>
              </w:rPr>
            </w:pPr>
            <w:r>
              <w:rPr>
                <w:color w:val="000000"/>
                <w:sz w:val="22"/>
                <w:szCs w:val="22"/>
              </w:rPr>
              <w:t>3,5</w:t>
            </w:r>
          </w:p>
        </w:tc>
        <w:tc>
          <w:tcPr>
            <w:tcW w:w="850" w:type="dxa"/>
            <w:vAlign w:val="center"/>
          </w:tcPr>
          <w:p w14:paraId="17CA5100">
            <w:pPr>
              <w:jc w:val="center"/>
              <w:rPr>
                <w:color w:val="000000"/>
                <w:sz w:val="22"/>
                <w:szCs w:val="22"/>
              </w:rPr>
            </w:pPr>
            <w:r>
              <w:rPr>
                <w:color w:val="000000"/>
                <w:sz w:val="22"/>
                <w:szCs w:val="22"/>
              </w:rPr>
              <w:t>ĐH1</w:t>
            </w:r>
          </w:p>
        </w:tc>
      </w:tr>
      <w:tr w14:paraId="2167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F3C143A">
            <w:pPr>
              <w:jc w:val="center"/>
              <w:rPr>
                <w:color w:val="000000"/>
                <w:sz w:val="22"/>
                <w:szCs w:val="22"/>
              </w:rPr>
            </w:pPr>
          </w:p>
        </w:tc>
        <w:tc>
          <w:tcPr>
            <w:tcW w:w="1121" w:type="dxa"/>
            <w:noWrap/>
            <w:vAlign w:val="center"/>
          </w:tcPr>
          <w:p w14:paraId="4EE0E6BC">
            <w:pPr>
              <w:jc w:val="center"/>
              <w:rPr>
                <w:color w:val="000000"/>
                <w:sz w:val="22"/>
                <w:szCs w:val="22"/>
              </w:rPr>
            </w:pPr>
            <w:r>
              <w:rPr>
                <w:color w:val="000000"/>
                <w:sz w:val="22"/>
                <w:szCs w:val="22"/>
              </w:rPr>
              <w:t>KL-35:10</w:t>
            </w:r>
          </w:p>
        </w:tc>
        <w:tc>
          <w:tcPr>
            <w:tcW w:w="1147" w:type="dxa"/>
            <w:vAlign w:val="center"/>
          </w:tcPr>
          <w:p w14:paraId="2500A931">
            <w:pPr>
              <w:jc w:val="center"/>
              <w:rPr>
                <w:color w:val="000000"/>
                <w:sz w:val="22"/>
                <w:szCs w:val="22"/>
              </w:rPr>
            </w:pPr>
            <w:r>
              <w:rPr>
                <w:color w:val="000000"/>
                <w:sz w:val="22"/>
                <w:szCs w:val="22"/>
              </w:rPr>
              <w:t>136,50</w:t>
            </w:r>
          </w:p>
        </w:tc>
        <w:tc>
          <w:tcPr>
            <w:tcW w:w="1098" w:type="dxa"/>
            <w:vAlign w:val="center"/>
          </w:tcPr>
          <w:p w14:paraId="2567900C">
            <w:pPr>
              <w:jc w:val="center"/>
              <w:rPr>
                <w:color w:val="000000"/>
                <w:sz w:val="22"/>
                <w:szCs w:val="22"/>
              </w:rPr>
            </w:pPr>
            <w:r>
              <w:rPr>
                <w:color w:val="000000"/>
                <w:sz w:val="22"/>
                <w:szCs w:val="22"/>
              </w:rPr>
              <w:t>123,429</w:t>
            </w:r>
          </w:p>
        </w:tc>
        <w:tc>
          <w:tcPr>
            <w:tcW w:w="1134" w:type="dxa"/>
            <w:vAlign w:val="center"/>
          </w:tcPr>
          <w:p w14:paraId="110DEEA2">
            <w:pPr>
              <w:jc w:val="center"/>
              <w:rPr>
                <w:color w:val="000000"/>
                <w:sz w:val="22"/>
                <w:szCs w:val="22"/>
              </w:rPr>
            </w:pPr>
            <w:r>
              <w:rPr>
                <w:color w:val="000000"/>
                <w:sz w:val="22"/>
                <w:szCs w:val="22"/>
              </w:rPr>
              <w:t>90,4</w:t>
            </w:r>
          </w:p>
        </w:tc>
        <w:tc>
          <w:tcPr>
            <w:tcW w:w="706" w:type="dxa"/>
            <w:vAlign w:val="center"/>
          </w:tcPr>
          <w:p w14:paraId="5E888142">
            <w:pPr>
              <w:jc w:val="center"/>
              <w:rPr>
                <w:color w:val="000000"/>
                <w:sz w:val="22"/>
                <w:szCs w:val="22"/>
              </w:rPr>
            </w:pPr>
            <w:r>
              <w:rPr>
                <w:color w:val="000000"/>
                <w:sz w:val="22"/>
                <w:szCs w:val="22"/>
              </w:rPr>
              <w:t>4,0</w:t>
            </w:r>
          </w:p>
        </w:tc>
        <w:tc>
          <w:tcPr>
            <w:tcW w:w="1278" w:type="dxa"/>
            <w:vAlign w:val="center"/>
          </w:tcPr>
          <w:p w14:paraId="35D3BAF6">
            <w:pPr>
              <w:jc w:val="center"/>
              <w:rPr>
                <w:color w:val="000000"/>
                <w:sz w:val="22"/>
                <w:szCs w:val="22"/>
              </w:rPr>
            </w:pPr>
            <w:r>
              <w:rPr>
                <w:color w:val="000000"/>
                <w:sz w:val="22"/>
                <w:szCs w:val="22"/>
              </w:rPr>
              <w:t>535,9</w:t>
            </w:r>
          </w:p>
        </w:tc>
        <w:tc>
          <w:tcPr>
            <w:tcW w:w="851" w:type="dxa"/>
            <w:vAlign w:val="center"/>
          </w:tcPr>
          <w:p w14:paraId="16B83E1F">
            <w:pPr>
              <w:jc w:val="center"/>
              <w:rPr>
                <w:color w:val="000000"/>
                <w:sz w:val="22"/>
                <w:szCs w:val="22"/>
              </w:rPr>
            </w:pPr>
            <w:r>
              <w:rPr>
                <w:color w:val="000000"/>
                <w:sz w:val="22"/>
                <w:szCs w:val="22"/>
              </w:rPr>
              <w:t>3,9</w:t>
            </w:r>
          </w:p>
        </w:tc>
        <w:tc>
          <w:tcPr>
            <w:tcW w:w="850" w:type="dxa"/>
            <w:vAlign w:val="center"/>
          </w:tcPr>
          <w:p w14:paraId="3533DB11">
            <w:pPr>
              <w:jc w:val="center"/>
              <w:rPr>
                <w:color w:val="000000"/>
                <w:sz w:val="22"/>
                <w:szCs w:val="22"/>
              </w:rPr>
            </w:pPr>
            <w:r>
              <w:rPr>
                <w:color w:val="000000"/>
                <w:sz w:val="22"/>
                <w:szCs w:val="22"/>
              </w:rPr>
              <w:t>LG1</w:t>
            </w:r>
          </w:p>
        </w:tc>
      </w:tr>
      <w:tr w14:paraId="0F24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2B88B3A1">
            <w:pPr>
              <w:jc w:val="center"/>
              <w:rPr>
                <w:b/>
                <w:bCs/>
                <w:color w:val="000000"/>
                <w:sz w:val="22"/>
                <w:szCs w:val="22"/>
              </w:rPr>
            </w:pPr>
            <w:r>
              <w:rPr>
                <w:b/>
                <w:bCs/>
                <w:color w:val="000000"/>
                <w:sz w:val="22"/>
                <w:szCs w:val="22"/>
              </w:rPr>
              <w:t>Tổng</w:t>
            </w:r>
          </w:p>
        </w:tc>
        <w:tc>
          <w:tcPr>
            <w:tcW w:w="1121" w:type="dxa"/>
            <w:noWrap/>
            <w:vAlign w:val="center"/>
          </w:tcPr>
          <w:p w14:paraId="365FE35B">
            <w:pPr>
              <w:jc w:val="center"/>
              <w:rPr>
                <w:b/>
                <w:bCs/>
                <w:color w:val="000000"/>
                <w:sz w:val="22"/>
                <w:szCs w:val="22"/>
              </w:rPr>
            </w:pPr>
            <w:r>
              <w:rPr>
                <w:b/>
                <w:bCs/>
                <w:color w:val="000000"/>
                <w:sz w:val="22"/>
                <w:szCs w:val="22"/>
              </w:rPr>
              <w:t>KL-35</w:t>
            </w:r>
          </w:p>
        </w:tc>
        <w:tc>
          <w:tcPr>
            <w:tcW w:w="1147" w:type="dxa"/>
            <w:vAlign w:val="center"/>
          </w:tcPr>
          <w:p w14:paraId="17A1F8EC">
            <w:pPr>
              <w:jc w:val="center"/>
              <w:rPr>
                <w:b/>
                <w:bCs/>
                <w:color w:val="000000"/>
                <w:sz w:val="22"/>
                <w:szCs w:val="22"/>
              </w:rPr>
            </w:pPr>
            <w:r>
              <w:rPr>
                <w:b/>
                <w:bCs/>
                <w:color w:val="000000"/>
                <w:sz w:val="22"/>
                <w:szCs w:val="22"/>
              </w:rPr>
              <w:t>946,50</w:t>
            </w:r>
          </w:p>
        </w:tc>
        <w:tc>
          <w:tcPr>
            <w:tcW w:w="1098" w:type="dxa"/>
            <w:vAlign w:val="center"/>
          </w:tcPr>
          <w:p w14:paraId="3BD72790">
            <w:pPr>
              <w:jc w:val="center"/>
              <w:rPr>
                <w:b/>
                <w:bCs/>
                <w:color w:val="000000"/>
                <w:sz w:val="22"/>
                <w:szCs w:val="22"/>
              </w:rPr>
            </w:pPr>
            <w:r>
              <w:rPr>
                <w:b/>
                <w:bCs/>
                <w:color w:val="000000"/>
                <w:sz w:val="22"/>
                <w:szCs w:val="22"/>
              </w:rPr>
              <w:t>828,5</w:t>
            </w:r>
          </w:p>
        </w:tc>
        <w:tc>
          <w:tcPr>
            <w:tcW w:w="1134" w:type="dxa"/>
            <w:vAlign w:val="center"/>
          </w:tcPr>
          <w:p w14:paraId="48159122">
            <w:pPr>
              <w:jc w:val="center"/>
              <w:rPr>
                <w:b/>
                <w:bCs/>
                <w:color w:val="000000"/>
                <w:sz w:val="22"/>
                <w:szCs w:val="22"/>
              </w:rPr>
            </w:pPr>
            <w:r>
              <w:rPr>
                <w:b/>
                <w:bCs/>
                <w:color w:val="000000"/>
                <w:sz w:val="22"/>
                <w:szCs w:val="22"/>
              </w:rPr>
              <w:t>87,5</w:t>
            </w:r>
          </w:p>
        </w:tc>
        <w:tc>
          <w:tcPr>
            <w:tcW w:w="706" w:type="dxa"/>
            <w:vAlign w:val="center"/>
          </w:tcPr>
          <w:p w14:paraId="7E6DACAD">
            <w:pPr>
              <w:jc w:val="center"/>
              <w:rPr>
                <w:color w:val="000000"/>
                <w:sz w:val="22"/>
                <w:szCs w:val="22"/>
              </w:rPr>
            </w:pPr>
          </w:p>
        </w:tc>
        <w:tc>
          <w:tcPr>
            <w:tcW w:w="1278" w:type="dxa"/>
            <w:vAlign w:val="center"/>
          </w:tcPr>
          <w:p w14:paraId="50865531">
            <w:pPr>
              <w:jc w:val="center"/>
              <w:rPr>
                <w:b/>
                <w:bCs/>
                <w:color w:val="000000"/>
                <w:sz w:val="22"/>
                <w:szCs w:val="22"/>
              </w:rPr>
            </w:pPr>
            <w:r>
              <w:rPr>
                <w:b/>
                <w:bCs/>
                <w:color w:val="000000"/>
                <w:sz w:val="22"/>
                <w:szCs w:val="22"/>
              </w:rPr>
              <w:t>3.360,1</w:t>
            </w:r>
          </w:p>
        </w:tc>
        <w:tc>
          <w:tcPr>
            <w:tcW w:w="851" w:type="dxa"/>
            <w:vAlign w:val="center"/>
          </w:tcPr>
          <w:p w14:paraId="4C7F2BD1">
            <w:pPr>
              <w:jc w:val="center"/>
              <w:rPr>
                <w:b/>
                <w:bCs/>
                <w:color w:val="000000"/>
                <w:sz w:val="22"/>
                <w:szCs w:val="22"/>
              </w:rPr>
            </w:pPr>
            <w:r>
              <w:rPr>
                <w:b/>
                <w:bCs/>
                <w:color w:val="000000"/>
                <w:sz w:val="22"/>
                <w:szCs w:val="22"/>
              </w:rPr>
              <w:t>3,5</w:t>
            </w:r>
          </w:p>
        </w:tc>
        <w:tc>
          <w:tcPr>
            <w:tcW w:w="850" w:type="dxa"/>
            <w:vAlign w:val="center"/>
          </w:tcPr>
          <w:p w14:paraId="45C0C3CC">
            <w:pPr>
              <w:jc w:val="center"/>
              <w:rPr>
                <w:color w:val="000000"/>
                <w:sz w:val="22"/>
                <w:szCs w:val="22"/>
              </w:rPr>
            </w:pPr>
          </w:p>
        </w:tc>
      </w:tr>
      <w:tr w14:paraId="74A7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7C8DFCEE">
            <w:pPr>
              <w:jc w:val="center"/>
              <w:rPr>
                <w:color w:val="000000"/>
                <w:sz w:val="22"/>
                <w:szCs w:val="22"/>
              </w:rPr>
            </w:pPr>
          </w:p>
        </w:tc>
        <w:tc>
          <w:tcPr>
            <w:tcW w:w="1121" w:type="dxa"/>
            <w:noWrap/>
            <w:vAlign w:val="center"/>
          </w:tcPr>
          <w:p w14:paraId="6E2D2E92">
            <w:pPr>
              <w:jc w:val="center"/>
              <w:rPr>
                <w:color w:val="000000"/>
                <w:sz w:val="22"/>
                <w:szCs w:val="22"/>
              </w:rPr>
            </w:pPr>
            <w:r>
              <w:rPr>
                <w:color w:val="000000"/>
                <w:sz w:val="22"/>
                <w:szCs w:val="22"/>
              </w:rPr>
              <w:t>KL-36:02</w:t>
            </w:r>
          </w:p>
        </w:tc>
        <w:tc>
          <w:tcPr>
            <w:tcW w:w="1147" w:type="dxa"/>
            <w:vAlign w:val="center"/>
          </w:tcPr>
          <w:p w14:paraId="56607779">
            <w:pPr>
              <w:jc w:val="center"/>
              <w:rPr>
                <w:color w:val="000000"/>
                <w:sz w:val="22"/>
                <w:szCs w:val="22"/>
              </w:rPr>
            </w:pPr>
            <w:r>
              <w:rPr>
                <w:color w:val="000000"/>
                <w:sz w:val="22"/>
                <w:szCs w:val="22"/>
              </w:rPr>
              <w:t>95,80</w:t>
            </w:r>
          </w:p>
        </w:tc>
        <w:tc>
          <w:tcPr>
            <w:tcW w:w="1098" w:type="dxa"/>
            <w:vAlign w:val="center"/>
          </w:tcPr>
          <w:p w14:paraId="4DD42E1B">
            <w:pPr>
              <w:jc w:val="center"/>
              <w:rPr>
                <w:color w:val="000000"/>
                <w:sz w:val="22"/>
                <w:szCs w:val="22"/>
              </w:rPr>
            </w:pPr>
            <w:r>
              <w:rPr>
                <w:color w:val="000000"/>
                <w:sz w:val="22"/>
                <w:szCs w:val="22"/>
              </w:rPr>
              <w:t>78,338</w:t>
            </w:r>
          </w:p>
        </w:tc>
        <w:tc>
          <w:tcPr>
            <w:tcW w:w="1134" w:type="dxa"/>
            <w:vAlign w:val="center"/>
          </w:tcPr>
          <w:p w14:paraId="5FF990C8">
            <w:pPr>
              <w:jc w:val="center"/>
              <w:rPr>
                <w:color w:val="000000"/>
                <w:sz w:val="22"/>
                <w:szCs w:val="22"/>
              </w:rPr>
            </w:pPr>
            <w:r>
              <w:rPr>
                <w:color w:val="000000"/>
                <w:sz w:val="22"/>
                <w:szCs w:val="22"/>
              </w:rPr>
              <w:t>81,8</w:t>
            </w:r>
          </w:p>
        </w:tc>
        <w:tc>
          <w:tcPr>
            <w:tcW w:w="706" w:type="dxa"/>
            <w:vAlign w:val="center"/>
          </w:tcPr>
          <w:p w14:paraId="043433BC">
            <w:pPr>
              <w:jc w:val="center"/>
              <w:rPr>
                <w:color w:val="000000"/>
                <w:sz w:val="22"/>
                <w:szCs w:val="22"/>
              </w:rPr>
            </w:pPr>
            <w:r>
              <w:rPr>
                <w:color w:val="000000"/>
                <w:sz w:val="22"/>
                <w:szCs w:val="22"/>
              </w:rPr>
              <w:t>4,0</w:t>
            </w:r>
          </w:p>
        </w:tc>
        <w:tc>
          <w:tcPr>
            <w:tcW w:w="1278" w:type="dxa"/>
            <w:vAlign w:val="center"/>
          </w:tcPr>
          <w:p w14:paraId="61B15610">
            <w:pPr>
              <w:jc w:val="center"/>
              <w:rPr>
                <w:color w:val="000000"/>
                <w:sz w:val="22"/>
                <w:szCs w:val="22"/>
              </w:rPr>
            </w:pPr>
            <w:r>
              <w:rPr>
                <w:color w:val="000000"/>
                <w:sz w:val="22"/>
                <w:szCs w:val="22"/>
              </w:rPr>
              <w:t>313,8</w:t>
            </w:r>
          </w:p>
        </w:tc>
        <w:tc>
          <w:tcPr>
            <w:tcW w:w="851" w:type="dxa"/>
            <w:vAlign w:val="center"/>
          </w:tcPr>
          <w:p w14:paraId="6B3F8870">
            <w:pPr>
              <w:jc w:val="center"/>
              <w:rPr>
                <w:color w:val="000000"/>
                <w:sz w:val="22"/>
                <w:szCs w:val="22"/>
              </w:rPr>
            </w:pPr>
            <w:r>
              <w:rPr>
                <w:color w:val="000000"/>
                <w:sz w:val="22"/>
                <w:szCs w:val="22"/>
              </w:rPr>
              <w:t>3,3</w:t>
            </w:r>
          </w:p>
        </w:tc>
        <w:tc>
          <w:tcPr>
            <w:tcW w:w="850" w:type="dxa"/>
            <w:vAlign w:val="center"/>
          </w:tcPr>
          <w:p w14:paraId="7F622EB7">
            <w:pPr>
              <w:jc w:val="center"/>
              <w:rPr>
                <w:color w:val="000000"/>
                <w:sz w:val="22"/>
                <w:szCs w:val="22"/>
              </w:rPr>
            </w:pPr>
            <w:r>
              <w:rPr>
                <w:color w:val="000000"/>
                <w:sz w:val="22"/>
                <w:szCs w:val="22"/>
              </w:rPr>
              <w:t>ĐH1</w:t>
            </w:r>
          </w:p>
        </w:tc>
      </w:tr>
      <w:tr w14:paraId="3DEE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82D04E0">
            <w:pPr>
              <w:jc w:val="center"/>
              <w:rPr>
                <w:color w:val="000000"/>
                <w:sz w:val="22"/>
                <w:szCs w:val="22"/>
              </w:rPr>
            </w:pPr>
          </w:p>
        </w:tc>
        <w:tc>
          <w:tcPr>
            <w:tcW w:w="1121" w:type="dxa"/>
            <w:noWrap/>
            <w:vAlign w:val="center"/>
          </w:tcPr>
          <w:p w14:paraId="0220EDE7">
            <w:pPr>
              <w:jc w:val="center"/>
              <w:rPr>
                <w:color w:val="000000"/>
                <w:sz w:val="22"/>
                <w:szCs w:val="22"/>
              </w:rPr>
            </w:pPr>
            <w:r>
              <w:rPr>
                <w:color w:val="000000"/>
                <w:sz w:val="22"/>
                <w:szCs w:val="22"/>
              </w:rPr>
              <w:t>KL-36:03</w:t>
            </w:r>
          </w:p>
        </w:tc>
        <w:tc>
          <w:tcPr>
            <w:tcW w:w="1147" w:type="dxa"/>
            <w:vAlign w:val="center"/>
          </w:tcPr>
          <w:p w14:paraId="4453794E">
            <w:pPr>
              <w:jc w:val="center"/>
              <w:rPr>
                <w:color w:val="000000"/>
                <w:sz w:val="22"/>
                <w:szCs w:val="22"/>
              </w:rPr>
            </w:pPr>
            <w:r>
              <w:rPr>
                <w:color w:val="000000"/>
                <w:sz w:val="22"/>
                <w:szCs w:val="22"/>
              </w:rPr>
              <w:t>94,26</w:t>
            </w:r>
          </w:p>
        </w:tc>
        <w:tc>
          <w:tcPr>
            <w:tcW w:w="1098" w:type="dxa"/>
            <w:vAlign w:val="center"/>
          </w:tcPr>
          <w:p w14:paraId="51617CA1">
            <w:pPr>
              <w:jc w:val="center"/>
              <w:rPr>
                <w:color w:val="000000"/>
                <w:sz w:val="22"/>
                <w:szCs w:val="22"/>
              </w:rPr>
            </w:pPr>
            <w:r>
              <w:rPr>
                <w:color w:val="000000"/>
                <w:sz w:val="22"/>
                <w:szCs w:val="22"/>
              </w:rPr>
              <w:t>78,338</w:t>
            </w:r>
          </w:p>
        </w:tc>
        <w:tc>
          <w:tcPr>
            <w:tcW w:w="1134" w:type="dxa"/>
            <w:vAlign w:val="center"/>
          </w:tcPr>
          <w:p w14:paraId="23F70E6C">
            <w:pPr>
              <w:jc w:val="center"/>
              <w:rPr>
                <w:color w:val="000000"/>
                <w:sz w:val="22"/>
                <w:szCs w:val="22"/>
              </w:rPr>
            </w:pPr>
            <w:r>
              <w:rPr>
                <w:color w:val="000000"/>
                <w:sz w:val="22"/>
                <w:szCs w:val="22"/>
              </w:rPr>
              <w:t>83,1</w:t>
            </w:r>
          </w:p>
        </w:tc>
        <w:tc>
          <w:tcPr>
            <w:tcW w:w="706" w:type="dxa"/>
            <w:vAlign w:val="center"/>
          </w:tcPr>
          <w:p w14:paraId="57F10838">
            <w:pPr>
              <w:jc w:val="center"/>
              <w:rPr>
                <w:color w:val="000000"/>
                <w:sz w:val="22"/>
                <w:szCs w:val="22"/>
              </w:rPr>
            </w:pPr>
            <w:r>
              <w:rPr>
                <w:color w:val="000000"/>
                <w:sz w:val="22"/>
                <w:szCs w:val="22"/>
              </w:rPr>
              <w:t>4,0</w:t>
            </w:r>
          </w:p>
        </w:tc>
        <w:tc>
          <w:tcPr>
            <w:tcW w:w="1278" w:type="dxa"/>
            <w:vAlign w:val="center"/>
          </w:tcPr>
          <w:p w14:paraId="54D53505">
            <w:pPr>
              <w:jc w:val="center"/>
              <w:rPr>
                <w:color w:val="000000"/>
                <w:sz w:val="22"/>
                <w:szCs w:val="22"/>
              </w:rPr>
            </w:pPr>
            <w:r>
              <w:rPr>
                <w:color w:val="000000"/>
                <w:sz w:val="22"/>
                <w:szCs w:val="22"/>
              </w:rPr>
              <w:t>313,8</w:t>
            </w:r>
          </w:p>
        </w:tc>
        <w:tc>
          <w:tcPr>
            <w:tcW w:w="851" w:type="dxa"/>
            <w:vAlign w:val="center"/>
          </w:tcPr>
          <w:p w14:paraId="125FD125">
            <w:pPr>
              <w:jc w:val="center"/>
              <w:rPr>
                <w:color w:val="000000"/>
                <w:sz w:val="22"/>
                <w:szCs w:val="22"/>
              </w:rPr>
            </w:pPr>
            <w:r>
              <w:rPr>
                <w:color w:val="000000"/>
                <w:sz w:val="22"/>
                <w:szCs w:val="22"/>
              </w:rPr>
              <w:t>3,3</w:t>
            </w:r>
          </w:p>
        </w:tc>
        <w:tc>
          <w:tcPr>
            <w:tcW w:w="850" w:type="dxa"/>
            <w:vAlign w:val="center"/>
          </w:tcPr>
          <w:p w14:paraId="00E72122">
            <w:pPr>
              <w:jc w:val="center"/>
              <w:rPr>
                <w:color w:val="000000"/>
                <w:sz w:val="22"/>
                <w:szCs w:val="22"/>
              </w:rPr>
            </w:pPr>
            <w:r>
              <w:rPr>
                <w:color w:val="000000"/>
                <w:sz w:val="22"/>
                <w:szCs w:val="22"/>
              </w:rPr>
              <w:t>ĐH1</w:t>
            </w:r>
          </w:p>
        </w:tc>
      </w:tr>
      <w:tr w14:paraId="54B1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A7BF723">
            <w:pPr>
              <w:jc w:val="center"/>
              <w:rPr>
                <w:color w:val="000000"/>
                <w:sz w:val="22"/>
                <w:szCs w:val="22"/>
              </w:rPr>
            </w:pPr>
          </w:p>
        </w:tc>
        <w:tc>
          <w:tcPr>
            <w:tcW w:w="1121" w:type="dxa"/>
            <w:noWrap/>
            <w:vAlign w:val="center"/>
          </w:tcPr>
          <w:p w14:paraId="50C49D74">
            <w:pPr>
              <w:jc w:val="center"/>
              <w:rPr>
                <w:color w:val="000000"/>
                <w:sz w:val="22"/>
                <w:szCs w:val="22"/>
              </w:rPr>
            </w:pPr>
            <w:r>
              <w:rPr>
                <w:color w:val="000000"/>
                <w:sz w:val="22"/>
                <w:szCs w:val="22"/>
              </w:rPr>
              <w:t>KL-36:04</w:t>
            </w:r>
          </w:p>
        </w:tc>
        <w:tc>
          <w:tcPr>
            <w:tcW w:w="1147" w:type="dxa"/>
            <w:vAlign w:val="center"/>
          </w:tcPr>
          <w:p w14:paraId="21D95DA2">
            <w:pPr>
              <w:jc w:val="center"/>
              <w:rPr>
                <w:color w:val="000000"/>
                <w:sz w:val="22"/>
                <w:szCs w:val="22"/>
              </w:rPr>
            </w:pPr>
            <w:r>
              <w:rPr>
                <w:color w:val="000000"/>
                <w:sz w:val="22"/>
                <w:szCs w:val="22"/>
              </w:rPr>
              <w:t>90,04</w:t>
            </w:r>
          </w:p>
        </w:tc>
        <w:tc>
          <w:tcPr>
            <w:tcW w:w="1098" w:type="dxa"/>
            <w:vAlign w:val="center"/>
          </w:tcPr>
          <w:p w14:paraId="2AE9D84F">
            <w:pPr>
              <w:jc w:val="center"/>
              <w:rPr>
                <w:color w:val="000000"/>
                <w:sz w:val="22"/>
                <w:szCs w:val="22"/>
              </w:rPr>
            </w:pPr>
            <w:r>
              <w:rPr>
                <w:color w:val="000000"/>
                <w:sz w:val="22"/>
                <w:szCs w:val="22"/>
              </w:rPr>
              <w:t>78,338</w:t>
            </w:r>
          </w:p>
        </w:tc>
        <w:tc>
          <w:tcPr>
            <w:tcW w:w="1134" w:type="dxa"/>
            <w:vAlign w:val="center"/>
          </w:tcPr>
          <w:p w14:paraId="681C1AF9">
            <w:pPr>
              <w:jc w:val="center"/>
              <w:rPr>
                <w:color w:val="000000"/>
                <w:sz w:val="22"/>
                <w:szCs w:val="22"/>
              </w:rPr>
            </w:pPr>
            <w:r>
              <w:rPr>
                <w:color w:val="000000"/>
                <w:sz w:val="22"/>
                <w:szCs w:val="22"/>
              </w:rPr>
              <w:t>87,0</w:t>
            </w:r>
          </w:p>
        </w:tc>
        <w:tc>
          <w:tcPr>
            <w:tcW w:w="706" w:type="dxa"/>
            <w:vAlign w:val="center"/>
          </w:tcPr>
          <w:p w14:paraId="1943BF37">
            <w:pPr>
              <w:jc w:val="center"/>
              <w:rPr>
                <w:color w:val="000000"/>
                <w:sz w:val="22"/>
                <w:szCs w:val="22"/>
              </w:rPr>
            </w:pPr>
            <w:r>
              <w:rPr>
                <w:color w:val="000000"/>
                <w:sz w:val="22"/>
                <w:szCs w:val="22"/>
              </w:rPr>
              <w:t>4,0</w:t>
            </w:r>
          </w:p>
        </w:tc>
        <w:tc>
          <w:tcPr>
            <w:tcW w:w="1278" w:type="dxa"/>
            <w:vAlign w:val="center"/>
          </w:tcPr>
          <w:p w14:paraId="570B6504">
            <w:pPr>
              <w:jc w:val="center"/>
              <w:rPr>
                <w:color w:val="000000"/>
                <w:sz w:val="22"/>
                <w:szCs w:val="22"/>
              </w:rPr>
            </w:pPr>
            <w:r>
              <w:rPr>
                <w:color w:val="000000"/>
                <w:sz w:val="22"/>
                <w:szCs w:val="22"/>
              </w:rPr>
              <w:t>313,8</w:t>
            </w:r>
          </w:p>
        </w:tc>
        <w:tc>
          <w:tcPr>
            <w:tcW w:w="851" w:type="dxa"/>
            <w:vAlign w:val="center"/>
          </w:tcPr>
          <w:p w14:paraId="6B2F2198">
            <w:pPr>
              <w:jc w:val="center"/>
              <w:rPr>
                <w:color w:val="000000"/>
                <w:sz w:val="22"/>
                <w:szCs w:val="22"/>
              </w:rPr>
            </w:pPr>
            <w:r>
              <w:rPr>
                <w:color w:val="000000"/>
                <w:sz w:val="22"/>
                <w:szCs w:val="22"/>
              </w:rPr>
              <w:t>3,5</w:t>
            </w:r>
          </w:p>
        </w:tc>
        <w:tc>
          <w:tcPr>
            <w:tcW w:w="850" w:type="dxa"/>
            <w:vAlign w:val="center"/>
          </w:tcPr>
          <w:p w14:paraId="0A28A794">
            <w:pPr>
              <w:jc w:val="center"/>
              <w:rPr>
                <w:color w:val="000000"/>
                <w:sz w:val="22"/>
                <w:szCs w:val="22"/>
              </w:rPr>
            </w:pPr>
            <w:r>
              <w:rPr>
                <w:color w:val="000000"/>
                <w:sz w:val="22"/>
                <w:szCs w:val="22"/>
              </w:rPr>
              <w:t>ĐH1</w:t>
            </w:r>
          </w:p>
        </w:tc>
      </w:tr>
      <w:tr w14:paraId="31F3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98F0182">
            <w:pPr>
              <w:jc w:val="center"/>
              <w:rPr>
                <w:color w:val="000000"/>
                <w:sz w:val="22"/>
                <w:szCs w:val="22"/>
              </w:rPr>
            </w:pPr>
          </w:p>
        </w:tc>
        <w:tc>
          <w:tcPr>
            <w:tcW w:w="1121" w:type="dxa"/>
            <w:noWrap/>
            <w:vAlign w:val="center"/>
          </w:tcPr>
          <w:p w14:paraId="3E39A76D">
            <w:pPr>
              <w:jc w:val="center"/>
              <w:rPr>
                <w:color w:val="000000"/>
                <w:sz w:val="22"/>
                <w:szCs w:val="22"/>
              </w:rPr>
            </w:pPr>
            <w:r>
              <w:rPr>
                <w:color w:val="000000"/>
                <w:sz w:val="22"/>
                <w:szCs w:val="22"/>
              </w:rPr>
              <w:t>KL-36:05</w:t>
            </w:r>
          </w:p>
        </w:tc>
        <w:tc>
          <w:tcPr>
            <w:tcW w:w="1147" w:type="dxa"/>
            <w:vAlign w:val="center"/>
          </w:tcPr>
          <w:p w14:paraId="44D8DA36">
            <w:pPr>
              <w:jc w:val="center"/>
              <w:rPr>
                <w:color w:val="000000"/>
                <w:sz w:val="22"/>
                <w:szCs w:val="22"/>
              </w:rPr>
            </w:pPr>
            <w:r>
              <w:rPr>
                <w:color w:val="000000"/>
                <w:sz w:val="22"/>
                <w:szCs w:val="22"/>
              </w:rPr>
              <w:t>98,69</w:t>
            </w:r>
          </w:p>
        </w:tc>
        <w:tc>
          <w:tcPr>
            <w:tcW w:w="1098" w:type="dxa"/>
            <w:vAlign w:val="center"/>
          </w:tcPr>
          <w:p w14:paraId="4E382CBF">
            <w:pPr>
              <w:jc w:val="center"/>
              <w:rPr>
                <w:color w:val="000000"/>
                <w:sz w:val="22"/>
                <w:szCs w:val="22"/>
              </w:rPr>
            </w:pPr>
            <w:r>
              <w:rPr>
                <w:color w:val="000000"/>
                <w:sz w:val="22"/>
                <w:szCs w:val="22"/>
              </w:rPr>
              <w:t>78,338</w:t>
            </w:r>
          </w:p>
        </w:tc>
        <w:tc>
          <w:tcPr>
            <w:tcW w:w="1134" w:type="dxa"/>
            <w:vAlign w:val="center"/>
          </w:tcPr>
          <w:p w14:paraId="5C198123">
            <w:pPr>
              <w:jc w:val="center"/>
              <w:rPr>
                <w:color w:val="000000"/>
                <w:sz w:val="22"/>
                <w:szCs w:val="22"/>
              </w:rPr>
            </w:pPr>
            <w:r>
              <w:rPr>
                <w:color w:val="000000"/>
                <w:sz w:val="22"/>
                <w:szCs w:val="22"/>
              </w:rPr>
              <w:t>79,4</w:t>
            </w:r>
          </w:p>
        </w:tc>
        <w:tc>
          <w:tcPr>
            <w:tcW w:w="706" w:type="dxa"/>
            <w:vAlign w:val="center"/>
          </w:tcPr>
          <w:p w14:paraId="597C0F2E">
            <w:pPr>
              <w:jc w:val="center"/>
              <w:rPr>
                <w:color w:val="000000"/>
                <w:sz w:val="22"/>
                <w:szCs w:val="22"/>
              </w:rPr>
            </w:pPr>
            <w:r>
              <w:rPr>
                <w:color w:val="000000"/>
                <w:sz w:val="22"/>
                <w:szCs w:val="22"/>
              </w:rPr>
              <w:t>4,0</w:t>
            </w:r>
          </w:p>
        </w:tc>
        <w:tc>
          <w:tcPr>
            <w:tcW w:w="1278" w:type="dxa"/>
            <w:vAlign w:val="center"/>
          </w:tcPr>
          <w:p w14:paraId="075F2E08">
            <w:pPr>
              <w:jc w:val="center"/>
              <w:rPr>
                <w:color w:val="000000"/>
                <w:sz w:val="22"/>
                <w:szCs w:val="22"/>
              </w:rPr>
            </w:pPr>
            <w:r>
              <w:rPr>
                <w:color w:val="000000"/>
                <w:sz w:val="22"/>
                <w:szCs w:val="22"/>
              </w:rPr>
              <w:t>313,8</w:t>
            </w:r>
          </w:p>
        </w:tc>
        <w:tc>
          <w:tcPr>
            <w:tcW w:w="851" w:type="dxa"/>
            <w:vAlign w:val="center"/>
          </w:tcPr>
          <w:p w14:paraId="6975A5F8">
            <w:pPr>
              <w:jc w:val="center"/>
              <w:rPr>
                <w:color w:val="000000"/>
                <w:sz w:val="22"/>
                <w:szCs w:val="22"/>
              </w:rPr>
            </w:pPr>
            <w:r>
              <w:rPr>
                <w:color w:val="000000"/>
                <w:sz w:val="22"/>
                <w:szCs w:val="22"/>
              </w:rPr>
              <w:t>3,2</w:t>
            </w:r>
          </w:p>
        </w:tc>
        <w:tc>
          <w:tcPr>
            <w:tcW w:w="850" w:type="dxa"/>
            <w:vAlign w:val="center"/>
          </w:tcPr>
          <w:p w14:paraId="616D1CB8">
            <w:pPr>
              <w:jc w:val="center"/>
              <w:rPr>
                <w:color w:val="000000"/>
                <w:sz w:val="22"/>
                <w:szCs w:val="22"/>
              </w:rPr>
            </w:pPr>
            <w:r>
              <w:rPr>
                <w:color w:val="000000"/>
                <w:sz w:val="22"/>
                <w:szCs w:val="22"/>
              </w:rPr>
              <w:t>ĐH1</w:t>
            </w:r>
          </w:p>
        </w:tc>
      </w:tr>
      <w:tr w14:paraId="02DB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A93F377">
            <w:pPr>
              <w:jc w:val="center"/>
              <w:rPr>
                <w:color w:val="000000"/>
                <w:sz w:val="22"/>
                <w:szCs w:val="22"/>
              </w:rPr>
            </w:pPr>
          </w:p>
        </w:tc>
        <w:tc>
          <w:tcPr>
            <w:tcW w:w="1121" w:type="dxa"/>
            <w:noWrap/>
            <w:vAlign w:val="center"/>
          </w:tcPr>
          <w:p w14:paraId="48F017F0">
            <w:pPr>
              <w:jc w:val="center"/>
              <w:rPr>
                <w:color w:val="000000"/>
                <w:sz w:val="22"/>
                <w:szCs w:val="22"/>
              </w:rPr>
            </w:pPr>
            <w:r>
              <w:rPr>
                <w:color w:val="000000"/>
                <w:sz w:val="22"/>
                <w:szCs w:val="22"/>
              </w:rPr>
              <w:t>KL-36:06</w:t>
            </w:r>
          </w:p>
        </w:tc>
        <w:tc>
          <w:tcPr>
            <w:tcW w:w="1147" w:type="dxa"/>
            <w:vAlign w:val="center"/>
          </w:tcPr>
          <w:p w14:paraId="3DD327C2">
            <w:pPr>
              <w:jc w:val="center"/>
              <w:rPr>
                <w:color w:val="000000"/>
                <w:sz w:val="22"/>
                <w:szCs w:val="22"/>
              </w:rPr>
            </w:pPr>
            <w:r>
              <w:rPr>
                <w:color w:val="000000"/>
                <w:sz w:val="22"/>
                <w:szCs w:val="22"/>
              </w:rPr>
              <w:t>89,75</w:t>
            </w:r>
          </w:p>
        </w:tc>
        <w:tc>
          <w:tcPr>
            <w:tcW w:w="1098" w:type="dxa"/>
            <w:vAlign w:val="center"/>
          </w:tcPr>
          <w:p w14:paraId="68A90196">
            <w:pPr>
              <w:jc w:val="center"/>
              <w:rPr>
                <w:color w:val="000000"/>
                <w:sz w:val="22"/>
                <w:szCs w:val="22"/>
              </w:rPr>
            </w:pPr>
            <w:r>
              <w:rPr>
                <w:color w:val="000000"/>
                <w:sz w:val="22"/>
                <w:szCs w:val="22"/>
              </w:rPr>
              <w:t>77,6</w:t>
            </w:r>
          </w:p>
        </w:tc>
        <w:tc>
          <w:tcPr>
            <w:tcW w:w="1134" w:type="dxa"/>
            <w:vAlign w:val="center"/>
          </w:tcPr>
          <w:p w14:paraId="36AEB59A">
            <w:pPr>
              <w:jc w:val="center"/>
              <w:rPr>
                <w:color w:val="000000"/>
                <w:sz w:val="22"/>
                <w:szCs w:val="22"/>
              </w:rPr>
            </w:pPr>
            <w:r>
              <w:rPr>
                <w:color w:val="000000"/>
                <w:sz w:val="22"/>
                <w:szCs w:val="22"/>
              </w:rPr>
              <w:t>86,5</w:t>
            </w:r>
          </w:p>
        </w:tc>
        <w:tc>
          <w:tcPr>
            <w:tcW w:w="706" w:type="dxa"/>
            <w:vAlign w:val="center"/>
          </w:tcPr>
          <w:p w14:paraId="6779B42D">
            <w:pPr>
              <w:jc w:val="center"/>
              <w:rPr>
                <w:color w:val="000000"/>
                <w:sz w:val="22"/>
                <w:szCs w:val="22"/>
              </w:rPr>
            </w:pPr>
            <w:r>
              <w:rPr>
                <w:color w:val="000000"/>
                <w:sz w:val="22"/>
                <w:szCs w:val="22"/>
              </w:rPr>
              <w:t>4,0</w:t>
            </w:r>
          </w:p>
        </w:tc>
        <w:tc>
          <w:tcPr>
            <w:tcW w:w="1278" w:type="dxa"/>
            <w:vAlign w:val="center"/>
          </w:tcPr>
          <w:p w14:paraId="43021D61">
            <w:pPr>
              <w:jc w:val="center"/>
              <w:rPr>
                <w:color w:val="000000"/>
                <w:sz w:val="22"/>
                <w:szCs w:val="22"/>
              </w:rPr>
            </w:pPr>
            <w:r>
              <w:rPr>
                <w:color w:val="000000"/>
                <w:sz w:val="22"/>
                <w:szCs w:val="22"/>
              </w:rPr>
              <w:t>355,2</w:t>
            </w:r>
          </w:p>
        </w:tc>
        <w:tc>
          <w:tcPr>
            <w:tcW w:w="851" w:type="dxa"/>
            <w:vAlign w:val="center"/>
          </w:tcPr>
          <w:p w14:paraId="432DF5D1">
            <w:pPr>
              <w:jc w:val="center"/>
              <w:rPr>
                <w:color w:val="000000"/>
                <w:sz w:val="22"/>
                <w:szCs w:val="22"/>
              </w:rPr>
            </w:pPr>
            <w:r>
              <w:rPr>
                <w:color w:val="000000"/>
                <w:sz w:val="22"/>
                <w:szCs w:val="22"/>
              </w:rPr>
              <w:t>4,0</w:t>
            </w:r>
          </w:p>
        </w:tc>
        <w:tc>
          <w:tcPr>
            <w:tcW w:w="850" w:type="dxa"/>
            <w:vAlign w:val="center"/>
          </w:tcPr>
          <w:p w14:paraId="553C3C20">
            <w:pPr>
              <w:jc w:val="center"/>
              <w:rPr>
                <w:color w:val="000000"/>
                <w:sz w:val="22"/>
                <w:szCs w:val="22"/>
              </w:rPr>
            </w:pPr>
            <w:r>
              <w:rPr>
                <w:color w:val="000000"/>
                <w:sz w:val="22"/>
                <w:szCs w:val="22"/>
              </w:rPr>
              <w:t>LG1.1</w:t>
            </w:r>
          </w:p>
        </w:tc>
      </w:tr>
      <w:tr w14:paraId="1F35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37BF325A">
            <w:pPr>
              <w:jc w:val="center"/>
              <w:rPr>
                <w:b/>
                <w:bCs/>
                <w:color w:val="000000"/>
                <w:sz w:val="22"/>
                <w:szCs w:val="22"/>
              </w:rPr>
            </w:pPr>
            <w:r>
              <w:rPr>
                <w:b/>
                <w:bCs/>
                <w:color w:val="000000"/>
                <w:sz w:val="22"/>
                <w:szCs w:val="22"/>
              </w:rPr>
              <w:t>Tổng</w:t>
            </w:r>
          </w:p>
        </w:tc>
        <w:tc>
          <w:tcPr>
            <w:tcW w:w="1121" w:type="dxa"/>
            <w:noWrap/>
            <w:vAlign w:val="center"/>
          </w:tcPr>
          <w:p w14:paraId="3CFB7500">
            <w:pPr>
              <w:jc w:val="center"/>
              <w:rPr>
                <w:b/>
                <w:bCs/>
                <w:color w:val="000000"/>
                <w:sz w:val="22"/>
                <w:szCs w:val="22"/>
              </w:rPr>
            </w:pPr>
            <w:r>
              <w:rPr>
                <w:b/>
                <w:bCs/>
                <w:color w:val="000000"/>
                <w:sz w:val="22"/>
                <w:szCs w:val="22"/>
              </w:rPr>
              <w:t>KL-36</w:t>
            </w:r>
          </w:p>
        </w:tc>
        <w:tc>
          <w:tcPr>
            <w:tcW w:w="1147" w:type="dxa"/>
            <w:vAlign w:val="center"/>
          </w:tcPr>
          <w:p w14:paraId="15C4445D">
            <w:pPr>
              <w:jc w:val="center"/>
              <w:rPr>
                <w:b/>
                <w:bCs/>
                <w:color w:val="000000"/>
                <w:sz w:val="22"/>
                <w:szCs w:val="22"/>
              </w:rPr>
            </w:pPr>
            <w:r>
              <w:rPr>
                <w:b/>
                <w:bCs/>
                <w:color w:val="000000"/>
                <w:sz w:val="22"/>
                <w:szCs w:val="22"/>
              </w:rPr>
              <w:t>468,54</w:t>
            </w:r>
          </w:p>
        </w:tc>
        <w:tc>
          <w:tcPr>
            <w:tcW w:w="1098" w:type="dxa"/>
            <w:vAlign w:val="center"/>
          </w:tcPr>
          <w:p w14:paraId="257F6294">
            <w:pPr>
              <w:jc w:val="center"/>
              <w:rPr>
                <w:b/>
                <w:bCs/>
                <w:color w:val="000000"/>
                <w:sz w:val="22"/>
                <w:szCs w:val="22"/>
              </w:rPr>
            </w:pPr>
            <w:r>
              <w:rPr>
                <w:b/>
                <w:bCs/>
                <w:color w:val="000000"/>
                <w:sz w:val="22"/>
                <w:szCs w:val="22"/>
              </w:rPr>
              <w:t>391,0</w:t>
            </w:r>
          </w:p>
        </w:tc>
        <w:tc>
          <w:tcPr>
            <w:tcW w:w="1134" w:type="dxa"/>
            <w:vAlign w:val="center"/>
          </w:tcPr>
          <w:p w14:paraId="22F5837C">
            <w:pPr>
              <w:jc w:val="center"/>
              <w:rPr>
                <w:b/>
                <w:bCs/>
                <w:color w:val="000000"/>
                <w:sz w:val="22"/>
                <w:szCs w:val="22"/>
              </w:rPr>
            </w:pPr>
            <w:r>
              <w:rPr>
                <w:b/>
                <w:bCs/>
                <w:color w:val="000000"/>
                <w:sz w:val="22"/>
                <w:szCs w:val="22"/>
              </w:rPr>
              <w:t>83,4</w:t>
            </w:r>
          </w:p>
        </w:tc>
        <w:tc>
          <w:tcPr>
            <w:tcW w:w="706" w:type="dxa"/>
            <w:vAlign w:val="center"/>
          </w:tcPr>
          <w:p w14:paraId="3FC1FCF8">
            <w:pPr>
              <w:jc w:val="center"/>
              <w:rPr>
                <w:color w:val="000000"/>
                <w:sz w:val="22"/>
                <w:szCs w:val="22"/>
              </w:rPr>
            </w:pPr>
          </w:p>
        </w:tc>
        <w:tc>
          <w:tcPr>
            <w:tcW w:w="1278" w:type="dxa"/>
            <w:vAlign w:val="center"/>
          </w:tcPr>
          <w:p w14:paraId="10129688">
            <w:pPr>
              <w:jc w:val="center"/>
              <w:rPr>
                <w:b/>
                <w:bCs/>
                <w:color w:val="000000"/>
                <w:sz w:val="22"/>
                <w:szCs w:val="22"/>
              </w:rPr>
            </w:pPr>
            <w:r>
              <w:rPr>
                <w:b/>
                <w:bCs/>
                <w:color w:val="000000"/>
                <w:sz w:val="22"/>
                <w:szCs w:val="22"/>
              </w:rPr>
              <w:t>1.610,4</w:t>
            </w:r>
          </w:p>
        </w:tc>
        <w:tc>
          <w:tcPr>
            <w:tcW w:w="851" w:type="dxa"/>
            <w:vAlign w:val="center"/>
          </w:tcPr>
          <w:p w14:paraId="34258A1E">
            <w:pPr>
              <w:jc w:val="center"/>
              <w:rPr>
                <w:b/>
                <w:bCs/>
                <w:color w:val="000000"/>
                <w:sz w:val="22"/>
                <w:szCs w:val="22"/>
              </w:rPr>
            </w:pPr>
            <w:r>
              <w:rPr>
                <w:b/>
                <w:bCs/>
                <w:color w:val="000000"/>
                <w:sz w:val="22"/>
                <w:szCs w:val="22"/>
              </w:rPr>
              <w:t>2,9</w:t>
            </w:r>
          </w:p>
        </w:tc>
        <w:tc>
          <w:tcPr>
            <w:tcW w:w="850" w:type="dxa"/>
            <w:vAlign w:val="center"/>
          </w:tcPr>
          <w:p w14:paraId="1F3068E8">
            <w:pPr>
              <w:jc w:val="center"/>
              <w:rPr>
                <w:color w:val="000000"/>
                <w:sz w:val="22"/>
                <w:szCs w:val="22"/>
              </w:rPr>
            </w:pPr>
          </w:p>
        </w:tc>
      </w:tr>
      <w:tr w14:paraId="68FA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5C0F024A">
            <w:pPr>
              <w:jc w:val="center"/>
              <w:rPr>
                <w:color w:val="000000"/>
                <w:sz w:val="22"/>
                <w:szCs w:val="22"/>
              </w:rPr>
            </w:pPr>
            <w:r>
              <w:rPr>
                <w:color w:val="000000"/>
                <w:sz w:val="22"/>
                <w:szCs w:val="22"/>
              </w:rPr>
              <w:t>LK37</w:t>
            </w:r>
          </w:p>
        </w:tc>
        <w:tc>
          <w:tcPr>
            <w:tcW w:w="1121" w:type="dxa"/>
            <w:noWrap/>
            <w:vAlign w:val="center"/>
          </w:tcPr>
          <w:p w14:paraId="46D7B908">
            <w:pPr>
              <w:jc w:val="center"/>
              <w:rPr>
                <w:color w:val="000000"/>
                <w:sz w:val="22"/>
                <w:szCs w:val="22"/>
              </w:rPr>
            </w:pPr>
            <w:r>
              <w:rPr>
                <w:color w:val="000000"/>
                <w:sz w:val="22"/>
                <w:szCs w:val="22"/>
              </w:rPr>
              <w:t>KL-37:01</w:t>
            </w:r>
          </w:p>
        </w:tc>
        <w:tc>
          <w:tcPr>
            <w:tcW w:w="1147" w:type="dxa"/>
            <w:vAlign w:val="center"/>
          </w:tcPr>
          <w:p w14:paraId="5CE2542D">
            <w:pPr>
              <w:jc w:val="center"/>
              <w:rPr>
                <w:color w:val="000000"/>
                <w:sz w:val="22"/>
                <w:szCs w:val="22"/>
              </w:rPr>
            </w:pPr>
            <w:r>
              <w:rPr>
                <w:color w:val="000000"/>
                <w:sz w:val="22"/>
                <w:szCs w:val="22"/>
              </w:rPr>
              <w:t>84,24</w:t>
            </w:r>
          </w:p>
        </w:tc>
        <w:tc>
          <w:tcPr>
            <w:tcW w:w="1098" w:type="dxa"/>
            <w:vAlign w:val="center"/>
          </w:tcPr>
          <w:p w14:paraId="71C42E3E">
            <w:pPr>
              <w:jc w:val="center"/>
              <w:rPr>
                <w:color w:val="000000"/>
                <w:sz w:val="22"/>
                <w:szCs w:val="22"/>
              </w:rPr>
            </w:pPr>
            <w:r>
              <w:rPr>
                <w:color w:val="000000"/>
                <w:sz w:val="22"/>
                <w:szCs w:val="22"/>
              </w:rPr>
              <w:t>77,6</w:t>
            </w:r>
          </w:p>
        </w:tc>
        <w:tc>
          <w:tcPr>
            <w:tcW w:w="1134" w:type="dxa"/>
            <w:vAlign w:val="center"/>
          </w:tcPr>
          <w:p w14:paraId="0E2EEFF2">
            <w:pPr>
              <w:jc w:val="center"/>
              <w:rPr>
                <w:color w:val="000000"/>
                <w:sz w:val="22"/>
                <w:szCs w:val="22"/>
              </w:rPr>
            </w:pPr>
            <w:r>
              <w:rPr>
                <w:color w:val="000000"/>
                <w:sz w:val="22"/>
                <w:szCs w:val="22"/>
              </w:rPr>
              <w:t>92,1</w:t>
            </w:r>
          </w:p>
        </w:tc>
        <w:tc>
          <w:tcPr>
            <w:tcW w:w="706" w:type="dxa"/>
            <w:vAlign w:val="center"/>
          </w:tcPr>
          <w:p w14:paraId="39B7CE49">
            <w:pPr>
              <w:jc w:val="center"/>
              <w:rPr>
                <w:color w:val="000000"/>
                <w:sz w:val="22"/>
                <w:szCs w:val="22"/>
              </w:rPr>
            </w:pPr>
            <w:r>
              <w:rPr>
                <w:color w:val="000000"/>
                <w:sz w:val="22"/>
                <w:szCs w:val="22"/>
              </w:rPr>
              <w:t>4,0</w:t>
            </w:r>
          </w:p>
        </w:tc>
        <w:tc>
          <w:tcPr>
            <w:tcW w:w="1278" w:type="dxa"/>
            <w:vAlign w:val="center"/>
          </w:tcPr>
          <w:p w14:paraId="5B71A946">
            <w:pPr>
              <w:jc w:val="center"/>
              <w:rPr>
                <w:color w:val="000000"/>
                <w:sz w:val="22"/>
                <w:szCs w:val="22"/>
              </w:rPr>
            </w:pPr>
            <w:r>
              <w:rPr>
                <w:color w:val="000000"/>
                <w:sz w:val="22"/>
                <w:szCs w:val="22"/>
              </w:rPr>
              <w:t>355,2</w:t>
            </w:r>
          </w:p>
        </w:tc>
        <w:tc>
          <w:tcPr>
            <w:tcW w:w="851" w:type="dxa"/>
            <w:vAlign w:val="center"/>
          </w:tcPr>
          <w:p w14:paraId="3277CBB5">
            <w:pPr>
              <w:jc w:val="center"/>
              <w:rPr>
                <w:color w:val="000000"/>
                <w:sz w:val="22"/>
                <w:szCs w:val="22"/>
              </w:rPr>
            </w:pPr>
            <w:r>
              <w:rPr>
                <w:color w:val="000000"/>
                <w:sz w:val="22"/>
                <w:szCs w:val="22"/>
              </w:rPr>
              <w:t>4,2</w:t>
            </w:r>
          </w:p>
        </w:tc>
        <w:tc>
          <w:tcPr>
            <w:tcW w:w="850" w:type="dxa"/>
            <w:vAlign w:val="center"/>
          </w:tcPr>
          <w:p w14:paraId="38CE9A19">
            <w:pPr>
              <w:jc w:val="center"/>
              <w:rPr>
                <w:color w:val="000000"/>
                <w:sz w:val="22"/>
                <w:szCs w:val="22"/>
              </w:rPr>
            </w:pPr>
            <w:r>
              <w:rPr>
                <w:color w:val="000000"/>
                <w:sz w:val="22"/>
                <w:szCs w:val="22"/>
              </w:rPr>
              <w:t>LG1.1</w:t>
            </w:r>
          </w:p>
        </w:tc>
      </w:tr>
      <w:tr w14:paraId="3069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DE15AB7">
            <w:pPr>
              <w:jc w:val="center"/>
              <w:rPr>
                <w:color w:val="000000"/>
                <w:sz w:val="22"/>
                <w:szCs w:val="22"/>
              </w:rPr>
            </w:pPr>
          </w:p>
        </w:tc>
        <w:tc>
          <w:tcPr>
            <w:tcW w:w="1121" w:type="dxa"/>
            <w:noWrap/>
            <w:vAlign w:val="center"/>
          </w:tcPr>
          <w:p w14:paraId="7962140A">
            <w:pPr>
              <w:jc w:val="center"/>
              <w:rPr>
                <w:color w:val="000000"/>
                <w:sz w:val="22"/>
                <w:szCs w:val="22"/>
              </w:rPr>
            </w:pPr>
            <w:r>
              <w:rPr>
                <w:color w:val="000000"/>
                <w:sz w:val="22"/>
                <w:szCs w:val="22"/>
              </w:rPr>
              <w:t>KL-37:02</w:t>
            </w:r>
          </w:p>
        </w:tc>
        <w:tc>
          <w:tcPr>
            <w:tcW w:w="1147" w:type="dxa"/>
            <w:vAlign w:val="center"/>
          </w:tcPr>
          <w:p w14:paraId="42A7C3AF">
            <w:pPr>
              <w:jc w:val="center"/>
              <w:rPr>
                <w:color w:val="000000"/>
                <w:sz w:val="22"/>
                <w:szCs w:val="22"/>
              </w:rPr>
            </w:pPr>
            <w:r>
              <w:rPr>
                <w:color w:val="000000"/>
                <w:sz w:val="22"/>
                <w:szCs w:val="22"/>
              </w:rPr>
              <w:t>90,00</w:t>
            </w:r>
          </w:p>
        </w:tc>
        <w:tc>
          <w:tcPr>
            <w:tcW w:w="1098" w:type="dxa"/>
            <w:vAlign w:val="center"/>
          </w:tcPr>
          <w:p w14:paraId="390AFAC0">
            <w:pPr>
              <w:jc w:val="center"/>
              <w:rPr>
                <w:color w:val="000000"/>
                <w:sz w:val="22"/>
                <w:szCs w:val="22"/>
              </w:rPr>
            </w:pPr>
            <w:r>
              <w:rPr>
                <w:color w:val="000000"/>
                <w:sz w:val="22"/>
                <w:szCs w:val="22"/>
              </w:rPr>
              <w:t>78,338</w:t>
            </w:r>
          </w:p>
        </w:tc>
        <w:tc>
          <w:tcPr>
            <w:tcW w:w="1134" w:type="dxa"/>
            <w:vAlign w:val="center"/>
          </w:tcPr>
          <w:p w14:paraId="754259FC">
            <w:pPr>
              <w:jc w:val="center"/>
              <w:rPr>
                <w:color w:val="000000"/>
                <w:sz w:val="22"/>
                <w:szCs w:val="22"/>
              </w:rPr>
            </w:pPr>
            <w:r>
              <w:rPr>
                <w:color w:val="000000"/>
                <w:sz w:val="22"/>
                <w:szCs w:val="22"/>
              </w:rPr>
              <w:t>87,0</w:t>
            </w:r>
          </w:p>
        </w:tc>
        <w:tc>
          <w:tcPr>
            <w:tcW w:w="706" w:type="dxa"/>
            <w:vAlign w:val="center"/>
          </w:tcPr>
          <w:p w14:paraId="0D830845">
            <w:pPr>
              <w:jc w:val="center"/>
              <w:rPr>
                <w:color w:val="000000"/>
                <w:sz w:val="22"/>
                <w:szCs w:val="22"/>
              </w:rPr>
            </w:pPr>
            <w:r>
              <w:rPr>
                <w:color w:val="000000"/>
                <w:sz w:val="22"/>
                <w:szCs w:val="22"/>
              </w:rPr>
              <w:t>4,0</w:t>
            </w:r>
          </w:p>
        </w:tc>
        <w:tc>
          <w:tcPr>
            <w:tcW w:w="1278" w:type="dxa"/>
            <w:vAlign w:val="center"/>
          </w:tcPr>
          <w:p w14:paraId="76E0EBF2">
            <w:pPr>
              <w:jc w:val="center"/>
              <w:rPr>
                <w:color w:val="000000"/>
                <w:sz w:val="22"/>
                <w:szCs w:val="22"/>
              </w:rPr>
            </w:pPr>
            <w:r>
              <w:rPr>
                <w:color w:val="000000"/>
                <w:sz w:val="22"/>
                <w:szCs w:val="22"/>
              </w:rPr>
              <w:t>313,8</w:t>
            </w:r>
          </w:p>
        </w:tc>
        <w:tc>
          <w:tcPr>
            <w:tcW w:w="851" w:type="dxa"/>
            <w:vAlign w:val="center"/>
          </w:tcPr>
          <w:p w14:paraId="2DC89B8D">
            <w:pPr>
              <w:jc w:val="center"/>
              <w:rPr>
                <w:color w:val="000000"/>
                <w:sz w:val="22"/>
                <w:szCs w:val="22"/>
              </w:rPr>
            </w:pPr>
            <w:r>
              <w:rPr>
                <w:color w:val="000000"/>
                <w:sz w:val="22"/>
                <w:szCs w:val="22"/>
              </w:rPr>
              <w:t>3,5</w:t>
            </w:r>
          </w:p>
        </w:tc>
        <w:tc>
          <w:tcPr>
            <w:tcW w:w="850" w:type="dxa"/>
            <w:vAlign w:val="center"/>
          </w:tcPr>
          <w:p w14:paraId="040434C9">
            <w:pPr>
              <w:jc w:val="center"/>
              <w:rPr>
                <w:color w:val="000000"/>
                <w:sz w:val="22"/>
                <w:szCs w:val="22"/>
              </w:rPr>
            </w:pPr>
            <w:r>
              <w:rPr>
                <w:color w:val="000000"/>
                <w:sz w:val="22"/>
                <w:szCs w:val="22"/>
              </w:rPr>
              <w:t>ĐH1</w:t>
            </w:r>
          </w:p>
        </w:tc>
      </w:tr>
      <w:tr w14:paraId="7A4A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3B30A7C">
            <w:pPr>
              <w:jc w:val="center"/>
              <w:rPr>
                <w:color w:val="000000"/>
                <w:sz w:val="22"/>
                <w:szCs w:val="22"/>
              </w:rPr>
            </w:pPr>
          </w:p>
        </w:tc>
        <w:tc>
          <w:tcPr>
            <w:tcW w:w="1121" w:type="dxa"/>
            <w:noWrap/>
            <w:vAlign w:val="center"/>
          </w:tcPr>
          <w:p w14:paraId="66A63453">
            <w:pPr>
              <w:jc w:val="center"/>
              <w:rPr>
                <w:color w:val="000000"/>
                <w:sz w:val="22"/>
                <w:szCs w:val="22"/>
              </w:rPr>
            </w:pPr>
            <w:r>
              <w:rPr>
                <w:color w:val="000000"/>
                <w:sz w:val="22"/>
                <w:szCs w:val="22"/>
              </w:rPr>
              <w:t>KL-37:03</w:t>
            </w:r>
          </w:p>
        </w:tc>
        <w:tc>
          <w:tcPr>
            <w:tcW w:w="1147" w:type="dxa"/>
            <w:vAlign w:val="center"/>
          </w:tcPr>
          <w:p w14:paraId="113248F8">
            <w:pPr>
              <w:jc w:val="center"/>
              <w:rPr>
                <w:color w:val="000000"/>
                <w:sz w:val="22"/>
                <w:szCs w:val="22"/>
              </w:rPr>
            </w:pPr>
            <w:r>
              <w:rPr>
                <w:color w:val="000000"/>
                <w:sz w:val="22"/>
                <w:szCs w:val="22"/>
              </w:rPr>
              <w:t>90,00</w:t>
            </w:r>
          </w:p>
        </w:tc>
        <w:tc>
          <w:tcPr>
            <w:tcW w:w="1098" w:type="dxa"/>
            <w:vAlign w:val="center"/>
          </w:tcPr>
          <w:p w14:paraId="51260C63">
            <w:pPr>
              <w:jc w:val="center"/>
              <w:rPr>
                <w:color w:val="000000"/>
                <w:sz w:val="22"/>
                <w:szCs w:val="22"/>
              </w:rPr>
            </w:pPr>
            <w:r>
              <w:rPr>
                <w:color w:val="000000"/>
                <w:sz w:val="22"/>
                <w:szCs w:val="22"/>
              </w:rPr>
              <w:t>78,338</w:t>
            </w:r>
          </w:p>
        </w:tc>
        <w:tc>
          <w:tcPr>
            <w:tcW w:w="1134" w:type="dxa"/>
            <w:vAlign w:val="center"/>
          </w:tcPr>
          <w:p w14:paraId="3BB617F1">
            <w:pPr>
              <w:jc w:val="center"/>
              <w:rPr>
                <w:color w:val="000000"/>
                <w:sz w:val="22"/>
                <w:szCs w:val="22"/>
              </w:rPr>
            </w:pPr>
            <w:r>
              <w:rPr>
                <w:color w:val="000000"/>
                <w:sz w:val="22"/>
                <w:szCs w:val="22"/>
              </w:rPr>
              <w:t>87,0</w:t>
            </w:r>
          </w:p>
        </w:tc>
        <w:tc>
          <w:tcPr>
            <w:tcW w:w="706" w:type="dxa"/>
            <w:vAlign w:val="center"/>
          </w:tcPr>
          <w:p w14:paraId="53C15A8E">
            <w:pPr>
              <w:jc w:val="center"/>
              <w:rPr>
                <w:color w:val="000000"/>
                <w:sz w:val="22"/>
                <w:szCs w:val="22"/>
              </w:rPr>
            </w:pPr>
            <w:r>
              <w:rPr>
                <w:color w:val="000000"/>
                <w:sz w:val="22"/>
                <w:szCs w:val="22"/>
              </w:rPr>
              <w:t>4,0</w:t>
            </w:r>
          </w:p>
        </w:tc>
        <w:tc>
          <w:tcPr>
            <w:tcW w:w="1278" w:type="dxa"/>
            <w:vAlign w:val="center"/>
          </w:tcPr>
          <w:p w14:paraId="3BBBE9E7">
            <w:pPr>
              <w:jc w:val="center"/>
              <w:rPr>
                <w:color w:val="000000"/>
                <w:sz w:val="22"/>
                <w:szCs w:val="22"/>
              </w:rPr>
            </w:pPr>
            <w:r>
              <w:rPr>
                <w:color w:val="000000"/>
                <w:sz w:val="22"/>
                <w:szCs w:val="22"/>
              </w:rPr>
              <w:t>313,8</w:t>
            </w:r>
          </w:p>
        </w:tc>
        <w:tc>
          <w:tcPr>
            <w:tcW w:w="851" w:type="dxa"/>
            <w:vAlign w:val="center"/>
          </w:tcPr>
          <w:p w14:paraId="33092779">
            <w:pPr>
              <w:jc w:val="center"/>
              <w:rPr>
                <w:color w:val="000000"/>
                <w:sz w:val="22"/>
                <w:szCs w:val="22"/>
              </w:rPr>
            </w:pPr>
            <w:r>
              <w:rPr>
                <w:color w:val="000000"/>
                <w:sz w:val="22"/>
                <w:szCs w:val="22"/>
              </w:rPr>
              <w:t>3,5</w:t>
            </w:r>
          </w:p>
        </w:tc>
        <w:tc>
          <w:tcPr>
            <w:tcW w:w="850" w:type="dxa"/>
            <w:vAlign w:val="center"/>
          </w:tcPr>
          <w:p w14:paraId="013C1DA9">
            <w:pPr>
              <w:jc w:val="center"/>
              <w:rPr>
                <w:color w:val="000000"/>
                <w:sz w:val="22"/>
                <w:szCs w:val="22"/>
              </w:rPr>
            </w:pPr>
            <w:r>
              <w:rPr>
                <w:color w:val="000000"/>
                <w:sz w:val="22"/>
                <w:szCs w:val="22"/>
              </w:rPr>
              <w:t>ĐH1</w:t>
            </w:r>
          </w:p>
        </w:tc>
      </w:tr>
      <w:tr w14:paraId="2220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17592864">
            <w:pPr>
              <w:jc w:val="center"/>
              <w:rPr>
                <w:color w:val="000000"/>
                <w:sz w:val="22"/>
                <w:szCs w:val="22"/>
              </w:rPr>
            </w:pPr>
          </w:p>
        </w:tc>
        <w:tc>
          <w:tcPr>
            <w:tcW w:w="1121" w:type="dxa"/>
            <w:noWrap/>
            <w:vAlign w:val="center"/>
          </w:tcPr>
          <w:p w14:paraId="526F3076">
            <w:pPr>
              <w:jc w:val="center"/>
              <w:rPr>
                <w:color w:val="000000"/>
                <w:sz w:val="22"/>
                <w:szCs w:val="22"/>
              </w:rPr>
            </w:pPr>
            <w:r>
              <w:rPr>
                <w:color w:val="000000"/>
                <w:sz w:val="22"/>
                <w:szCs w:val="22"/>
              </w:rPr>
              <w:t>KL-37:04</w:t>
            </w:r>
          </w:p>
        </w:tc>
        <w:tc>
          <w:tcPr>
            <w:tcW w:w="1147" w:type="dxa"/>
            <w:vAlign w:val="center"/>
          </w:tcPr>
          <w:p w14:paraId="0EA2F82F">
            <w:pPr>
              <w:jc w:val="center"/>
              <w:rPr>
                <w:color w:val="000000"/>
                <w:sz w:val="22"/>
                <w:szCs w:val="22"/>
              </w:rPr>
            </w:pPr>
            <w:r>
              <w:rPr>
                <w:color w:val="000000"/>
                <w:sz w:val="22"/>
                <w:szCs w:val="22"/>
              </w:rPr>
              <w:t>90,00</w:t>
            </w:r>
          </w:p>
        </w:tc>
        <w:tc>
          <w:tcPr>
            <w:tcW w:w="1098" w:type="dxa"/>
            <w:vAlign w:val="center"/>
          </w:tcPr>
          <w:p w14:paraId="1D17EA55">
            <w:pPr>
              <w:jc w:val="center"/>
              <w:rPr>
                <w:color w:val="000000"/>
                <w:sz w:val="22"/>
                <w:szCs w:val="22"/>
              </w:rPr>
            </w:pPr>
            <w:r>
              <w:rPr>
                <w:color w:val="000000"/>
                <w:sz w:val="22"/>
                <w:szCs w:val="22"/>
              </w:rPr>
              <w:t>78,338</w:t>
            </w:r>
          </w:p>
        </w:tc>
        <w:tc>
          <w:tcPr>
            <w:tcW w:w="1134" w:type="dxa"/>
            <w:vAlign w:val="center"/>
          </w:tcPr>
          <w:p w14:paraId="39858EC1">
            <w:pPr>
              <w:jc w:val="center"/>
              <w:rPr>
                <w:color w:val="000000"/>
                <w:sz w:val="22"/>
                <w:szCs w:val="22"/>
              </w:rPr>
            </w:pPr>
            <w:r>
              <w:rPr>
                <w:color w:val="000000"/>
                <w:sz w:val="22"/>
                <w:szCs w:val="22"/>
              </w:rPr>
              <w:t>87,0</w:t>
            </w:r>
          </w:p>
        </w:tc>
        <w:tc>
          <w:tcPr>
            <w:tcW w:w="706" w:type="dxa"/>
            <w:vAlign w:val="center"/>
          </w:tcPr>
          <w:p w14:paraId="53C24DB7">
            <w:pPr>
              <w:jc w:val="center"/>
              <w:rPr>
                <w:color w:val="000000"/>
                <w:sz w:val="22"/>
                <w:szCs w:val="22"/>
              </w:rPr>
            </w:pPr>
            <w:r>
              <w:rPr>
                <w:color w:val="000000"/>
                <w:sz w:val="22"/>
                <w:szCs w:val="22"/>
              </w:rPr>
              <w:t>4,0</w:t>
            </w:r>
          </w:p>
        </w:tc>
        <w:tc>
          <w:tcPr>
            <w:tcW w:w="1278" w:type="dxa"/>
            <w:vAlign w:val="center"/>
          </w:tcPr>
          <w:p w14:paraId="602C49E2">
            <w:pPr>
              <w:jc w:val="center"/>
              <w:rPr>
                <w:color w:val="000000"/>
                <w:sz w:val="22"/>
                <w:szCs w:val="22"/>
              </w:rPr>
            </w:pPr>
            <w:r>
              <w:rPr>
                <w:color w:val="000000"/>
                <w:sz w:val="22"/>
                <w:szCs w:val="22"/>
              </w:rPr>
              <w:t>313,8</w:t>
            </w:r>
          </w:p>
        </w:tc>
        <w:tc>
          <w:tcPr>
            <w:tcW w:w="851" w:type="dxa"/>
            <w:vAlign w:val="center"/>
          </w:tcPr>
          <w:p w14:paraId="1E1B4C3A">
            <w:pPr>
              <w:jc w:val="center"/>
              <w:rPr>
                <w:color w:val="000000"/>
                <w:sz w:val="22"/>
                <w:szCs w:val="22"/>
              </w:rPr>
            </w:pPr>
            <w:r>
              <w:rPr>
                <w:color w:val="000000"/>
                <w:sz w:val="22"/>
                <w:szCs w:val="22"/>
              </w:rPr>
              <w:t>3,5</w:t>
            </w:r>
          </w:p>
        </w:tc>
        <w:tc>
          <w:tcPr>
            <w:tcW w:w="850" w:type="dxa"/>
            <w:vAlign w:val="center"/>
          </w:tcPr>
          <w:p w14:paraId="184820D8">
            <w:pPr>
              <w:jc w:val="center"/>
              <w:rPr>
                <w:color w:val="000000"/>
                <w:sz w:val="22"/>
                <w:szCs w:val="22"/>
              </w:rPr>
            </w:pPr>
            <w:r>
              <w:rPr>
                <w:color w:val="000000"/>
                <w:sz w:val="22"/>
                <w:szCs w:val="22"/>
              </w:rPr>
              <w:t>ĐH1</w:t>
            </w:r>
          </w:p>
        </w:tc>
      </w:tr>
      <w:tr w14:paraId="5C44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BC49DAC">
            <w:pPr>
              <w:jc w:val="center"/>
              <w:rPr>
                <w:color w:val="000000"/>
                <w:sz w:val="22"/>
                <w:szCs w:val="22"/>
              </w:rPr>
            </w:pPr>
          </w:p>
        </w:tc>
        <w:tc>
          <w:tcPr>
            <w:tcW w:w="1121" w:type="dxa"/>
            <w:noWrap/>
            <w:vAlign w:val="center"/>
          </w:tcPr>
          <w:p w14:paraId="20E1A5BB">
            <w:pPr>
              <w:jc w:val="center"/>
              <w:rPr>
                <w:color w:val="000000"/>
                <w:sz w:val="22"/>
                <w:szCs w:val="22"/>
              </w:rPr>
            </w:pPr>
            <w:r>
              <w:rPr>
                <w:color w:val="000000"/>
                <w:sz w:val="22"/>
                <w:szCs w:val="22"/>
              </w:rPr>
              <w:t>KL-37:05</w:t>
            </w:r>
          </w:p>
        </w:tc>
        <w:tc>
          <w:tcPr>
            <w:tcW w:w="1147" w:type="dxa"/>
            <w:vAlign w:val="center"/>
          </w:tcPr>
          <w:p w14:paraId="0B9FAD09">
            <w:pPr>
              <w:jc w:val="center"/>
              <w:rPr>
                <w:color w:val="000000"/>
                <w:sz w:val="22"/>
                <w:szCs w:val="22"/>
              </w:rPr>
            </w:pPr>
            <w:r>
              <w:rPr>
                <w:color w:val="000000"/>
                <w:sz w:val="22"/>
                <w:szCs w:val="22"/>
              </w:rPr>
              <w:t>90,00</w:t>
            </w:r>
          </w:p>
        </w:tc>
        <w:tc>
          <w:tcPr>
            <w:tcW w:w="1098" w:type="dxa"/>
            <w:vAlign w:val="center"/>
          </w:tcPr>
          <w:p w14:paraId="07BDEB4B">
            <w:pPr>
              <w:jc w:val="center"/>
              <w:rPr>
                <w:color w:val="000000"/>
                <w:sz w:val="22"/>
                <w:szCs w:val="22"/>
              </w:rPr>
            </w:pPr>
            <w:r>
              <w:rPr>
                <w:color w:val="000000"/>
                <w:sz w:val="22"/>
                <w:szCs w:val="22"/>
              </w:rPr>
              <w:t>78,338</w:t>
            </w:r>
          </w:p>
        </w:tc>
        <w:tc>
          <w:tcPr>
            <w:tcW w:w="1134" w:type="dxa"/>
            <w:vAlign w:val="center"/>
          </w:tcPr>
          <w:p w14:paraId="1BF8587E">
            <w:pPr>
              <w:jc w:val="center"/>
              <w:rPr>
                <w:color w:val="000000"/>
                <w:sz w:val="22"/>
                <w:szCs w:val="22"/>
              </w:rPr>
            </w:pPr>
            <w:r>
              <w:rPr>
                <w:color w:val="000000"/>
                <w:sz w:val="22"/>
                <w:szCs w:val="22"/>
              </w:rPr>
              <w:t>87,0</w:t>
            </w:r>
          </w:p>
        </w:tc>
        <w:tc>
          <w:tcPr>
            <w:tcW w:w="706" w:type="dxa"/>
            <w:vAlign w:val="center"/>
          </w:tcPr>
          <w:p w14:paraId="21678EC0">
            <w:pPr>
              <w:jc w:val="center"/>
              <w:rPr>
                <w:color w:val="000000"/>
                <w:sz w:val="22"/>
                <w:szCs w:val="22"/>
              </w:rPr>
            </w:pPr>
            <w:r>
              <w:rPr>
                <w:color w:val="000000"/>
                <w:sz w:val="22"/>
                <w:szCs w:val="22"/>
              </w:rPr>
              <w:t>4,0</w:t>
            </w:r>
          </w:p>
        </w:tc>
        <w:tc>
          <w:tcPr>
            <w:tcW w:w="1278" w:type="dxa"/>
            <w:vAlign w:val="center"/>
          </w:tcPr>
          <w:p w14:paraId="1CDC1F56">
            <w:pPr>
              <w:jc w:val="center"/>
              <w:rPr>
                <w:color w:val="000000"/>
                <w:sz w:val="22"/>
                <w:szCs w:val="22"/>
              </w:rPr>
            </w:pPr>
            <w:r>
              <w:rPr>
                <w:color w:val="000000"/>
                <w:sz w:val="22"/>
                <w:szCs w:val="22"/>
              </w:rPr>
              <w:t>313,8</w:t>
            </w:r>
          </w:p>
        </w:tc>
        <w:tc>
          <w:tcPr>
            <w:tcW w:w="851" w:type="dxa"/>
            <w:vAlign w:val="center"/>
          </w:tcPr>
          <w:p w14:paraId="43AAF9F0">
            <w:pPr>
              <w:jc w:val="center"/>
              <w:rPr>
                <w:color w:val="000000"/>
                <w:sz w:val="22"/>
                <w:szCs w:val="22"/>
              </w:rPr>
            </w:pPr>
            <w:r>
              <w:rPr>
                <w:color w:val="000000"/>
                <w:sz w:val="22"/>
                <w:szCs w:val="22"/>
              </w:rPr>
              <w:t>3,5</w:t>
            </w:r>
          </w:p>
        </w:tc>
        <w:tc>
          <w:tcPr>
            <w:tcW w:w="850" w:type="dxa"/>
            <w:vAlign w:val="center"/>
          </w:tcPr>
          <w:p w14:paraId="114341E9">
            <w:pPr>
              <w:jc w:val="center"/>
              <w:rPr>
                <w:color w:val="000000"/>
                <w:sz w:val="22"/>
                <w:szCs w:val="22"/>
              </w:rPr>
            </w:pPr>
            <w:r>
              <w:rPr>
                <w:color w:val="000000"/>
                <w:sz w:val="22"/>
                <w:szCs w:val="22"/>
              </w:rPr>
              <w:t>ĐH1</w:t>
            </w:r>
          </w:p>
        </w:tc>
      </w:tr>
      <w:tr w14:paraId="4F49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F71F362">
            <w:pPr>
              <w:jc w:val="center"/>
              <w:rPr>
                <w:color w:val="000000"/>
                <w:sz w:val="22"/>
                <w:szCs w:val="22"/>
              </w:rPr>
            </w:pPr>
          </w:p>
        </w:tc>
        <w:tc>
          <w:tcPr>
            <w:tcW w:w="1121" w:type="dxa"/>
            <w:noWrap/>
            <w:vAlign w:val="center"/>
          </w:tcPr>
          <w:p w14:paraId="1192D696">
            <w:pPr>
              <w:jc w:val="center"/>
              <w:rPr>
                <w:color w:val="000000"/>
                <w:sz w:val="22"/>
                <w:szCs w:val="22"/>
              </w:rPr>
            </w:pPr>
            <w:r>
              <w:rPr>
                <w:color w:val="000000"/>
                <w:sz w:val="22"/>
                <w:szCs w:val="22"/>
              </w:rPr>
              <w:t>KL-37:06</w:t>
            </w:r>
          </w:p>
        </w:tc>
        <w:tc>
          <w:tcPr>
            <w:tcW w:w="1147" w:type="dxa"/>
            <w:vAlign w:val="center"/>
          </w:tcPr>
          <w:p w14:paraId="493F061E">
            <w:pPr>
              <w:jc w:val="center"/>
              <w:rPr>
                <w:color w:val="000000"/>
                <w:sz w:val="22"/>
                <w:szCs w:val="22"/>
              </w:rPr>
            </w:pPr>
            <w:r>
              <w:rPr>
                <w:color w:val="000000"/>
                <w:sz w:val="22"/>
                <w:szCs w:val="22"/>
              </w:rPr>
              <w:t>90,00</w:t>
            </w:r>
          </w:p>
        </w:tc>
        <w:tc>
          <w:tcPr>
            <w:tcW w:w="1098" w:type="dxa"/>
            <w:vAlign w:val="center"/>
          </w:tcPr>
          <w:p w14:paraId="11DA8DA2">
            <w:pPr>
              <w:jc w:val="center"/>
              <w:rPr>
                <w:color w:val="000000"/>
                <w:sz w:val="22"/>
                <w:szCs w:val="22"/>
              </w:rPr>
            </w:pPr>
            <w:r>
              <w:rPr>
                <w:color w:val="000000"/>
                <w:sz w:val="22"/>
                <w:szCs w:val="22"/>
              </w:rPr>
              <w:t>78,338</w:t>
            </w:r>
          </w:p>
        </w:tc>
        <w:tc>
          <w:tcPr>
            <w:tcW w:w="1134" w:type="dxa"/>
            <w:vAlign w:val="center"/>
          </w:tcPr>
          <w:p w14:paraId="08784670">
            <w:pPr>
              <w:jc w:val="center"/>
              <w:rPr>
                <w:color w:val="000000"/>
                <w:sz w:val="22"/>
                <w:szCs w:val="22"/>
              </w:rPr>
            </w:pPr>
            <w:r>
              <w:rPr>
                <w:color w:val="000000"/>
                <w:sz w:val="22"/>
                <w:szCs w:val="22"/>
              </w:rPr>
              <w:t>87,0</w:t>
            </w:r>
          </w:p>
        </w:tc>
        <w:tc>
          <w:tcPr>
            <w:tcW w:w="706" w:type="dxa"/>
            <w:vAlign w:val="center"/>
          </w:tcPr>
          <w:p w14:paraId="0932EE37">
            <w:pPr>
              <w:jc w:val="center"/>
              <w:rPr>
                <w:color w:val="000000"/>
                <w:sz w:val="22"/>
                <w:szCs w:val="22"/>
              </w:rPr>
            </w:pPr>
            <w:r>
              <w:rPr>
                <w:color w:val="000000"/>
                <w:sz w:val="22"/>
                <w:szCs w:val="22"/>
              </w:rPr>
              <w:t>4,0</w:t>
            </w:r>
          </w:p>
        </w:tc>
        <w:tc>
          <w:tcPr>
            <w:tcW w:w="1278" w:type="dxa"/>
            <w:vAlign w:val="center"/>
          </w:tcPr>
          <w:p w14:paraId="01E957F3">
            <w:pPr>
              <w:jc w:val="center"/>
              <w:rPr>
                <w:color w:val="000000"/>
                <w:sz w:val="22"/>
                <w:szCs w:val="22"/>
              </w:rPr>
            </w:pPr>
            <w:r>
              <w:rPr>
                <w:color w:val="000000"/>
                <w:sz w:val="22"/>
                <w:szCs w:val="22"/>
              </w:rPr>
              <w:t>313,8</w:t>
            </w:r>
          </w:p>
        </w:tc>
        <w:tc>
          <w:tcPr>
            <w:tcW w:w="851" w:type="dxa"/>
            <w:vAlign w:val="center"/>
          </w:tcPr>
          <w:p w14:paraId="6FDFBFF2">
            <w:pPr>
              <w:jc w:val="center"/>
              <w:rPr>
                <w:color w:val="000000"/>
                <w:sz w:val="22"/>
                <w:szCs w:val="22"/>
              </w:rPr>
            </w:pPr>
            <w:r>
              <w:rPr>
                <w:color w:val="000000"/>
                <w:sz w:val="22"/>
                <w:szCs w:val="22"/>
              </w:rPr>
              <w:t>3,5</w:t>
            </w:r>
          </w:p>
        </w:tc>
        <w:tc>
          <w:tcPr>
            <w:tcW w:w="850" w:type="dxa"/>
            <w:vAlign w:val="center"/>
          </w:tcPr>
          <w:p w14:paraId="75D3895F">
            <w:pPr>
              <w:jc w:val="center"/>
              <w:rPr>
                <w:color w:val="000000"/>
                <w:sz w:val="22"/>
                <w:szCs w:val="22"/>
              </w:rPr>
            </w:pPr>
            <w:r>
              <w:rPr>
                <w:color w:val="000000"/>
                <w:sz w:val="22"/>
                <w:szCs w:val="22"/>
              </w:rPr>
              <w:t>ĐH1</w:t>
            </w:r>
          </w:p>
        </w:tc>
      </w:tr>
      <w:tr w14:paraId="72EB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1090B13">
            <w:pPr>
              <w:jc w:val="center"/>
              <w:rPr>
                <w:color w:val="000000"/>
                <w:sz w:val="22"/>
                <w:szCs w:val="22"/>
              </w:rPr>
            </w:pPr>
          </w:p>
        </w:tc>
        <w:tc>
          <w:tcPr>
            <w:tcW w:w="1121" w:type="dxa"/>
            <w:noWrap/>
            <w:vAlign w:val="center"/>
          </w:tcPr>
          <w:p w14:paraId="32FAD4E2">
            <w:pPr>
              <w:jc w:val="center"/>
              <w:rPr>
                <w:color w:val="000000"/>
                <w:sz w:val="22"/>
                <w:szCs w:val="22"/>
              </w:rPr>
            </w:pPr>
            <w:r>
              <w:rPr>
                <w:color w:val="000000"/>
                <w:sz w:val="22"/>
                <w:szCs w:val="22"/>
              </w:rPr>
              <w:t>KL-37:07</w:t>
            </w:r>
          </w:p>
        </w:tc>
        <w:tc>
          <w:tcPr>
            <w:tcW w:w="1147" w:type="dxa"/>
            <w:vAlign w:val="center"/>
          </w:tcPr>
          <w:p w14:paraId="5BC5BB0A">
            <w:pPr>
              <w:jc w:val="center"/>
              <w:rPr>
                <w:color w:val="000000"/>
                <w:sz w:val="22"/>
                <w:szCs w:val="22"/>
              </w:rPr>
            </w:pPr>
            <w:r>
              <w:rPr>
                <w:color w:val="000000"/>
                <w:sz w:val="22"/>
                <w:szCs w:val="22"/>
              </w:rPr>
              <w:t>90,00</w:t>
            </w:r>
          </w:p>
        </w:tc>
        <w:tc>
          <w:tcPr>
            <w:tcW w:w="1098" w:type="dxa"/>
            <w:vAlign w:val="center"/>
          </w:tcPr>
          <w:p w14:paraId="4BA55FC6">
            <w:pPr>
              <w:jc w:val="center"/>
              <w:rPr>
                <w:color w:val="000000"/>
                <w:sz w:val="22"/>
                <w:szCs w:val="22"/>
              </w:rPr>
            </w:pPr>
            <w:r>
              <w:rPr>
                <w:color w:val="000000"/>
                <w:sz w:val="22"/>
                <w:szCs w:val="22"/>
              </w:rPr>
              <w:t>78,338</w:t>
            </w:r>
          </w:p>
        </w:tc>
        <w:tc>
          <w:tcPr>
            <w:tcW w:w="1134" w:type="dxa"/>
            <w:vAlign w:val="center"/>
          </w:tcPr>
          <w:p w14:paraId="22581369">
            <w:pPr>
              <w:jc w:val="center"/>
              <w:rPr>
                <w:color w:val="000000"/>
                <w:sz w:val="22"/>
                <w:szCs w:val="22"/>
              </w:rPr>
            </w:pPr>
            <w:r>
              <w:rPr>
                <w:color w:val="000000"/>
                <w:sz w:val="22"/>
                <w:szCs w:val="22"/>
              </w:rPr>
              <w:t>87,0</w:t>
            </w:r>
          </w:p>
        </w:tc>
        <w:tc>
          <w:tcPr>
            <w:tcW w:w="706" w:type="dxa"/>
            <w:vAlign w:val="center"/>
          </w:tcPr>
          <w:p w14:paraId="27ED6CE0">
            <w:pPr>
              <w:jc w:val="center"/>
              <w:rPr>
                <w:color w:val="000000"/>
                <w:sz w:val="22"/>
                <w:szCs w:val="22"/>
              </w:rPr>
            </w:pPr>
            <w:r>
              <w:rPr>
                <w:color w:val="000000"/>
                <w:sz w:val="22"/>
                <w:szCs w:val="22"/>
              </w:rPr>
              <w:t>4,0</w:t>
            </w:r>
          </w:p>
        </w:tc>
        <w:tc>
          <w:tcPr>
            <w:tcW w:w="1278" w:type="dxa"/>
            <w:vAlign w:val="center"/>
          </w:tcPr>
          <w:p w14:paraId="5A769D06">
            <w:pPr>
              <w:jc w:val="center"/>
              <w:rPr>
                <w:color w:val="000000"/>
                <w:sz w:val="22"/>
                <w:szCs w:val="22"/>
              </w:rPr>
            </w:pPr>
            <w:r>
              <w:rPr>
                <w:color w:val="000000"/>
                <w:sz w:val="22"/>
                <w:szCs w:val="22"/>
              </w:rPr>
              <w:t>313,8</w:t>
            </w:r>
          </w:p>
        </w:tc>
        <w:tc>
          <w:tcPr>
            <w:tcW w:w="851" w:type="dxa"/>
            <w:vAlign w:val="center"/>
          </w:tcPr>
          <w:p w14:paraId="1372CC3E">
            <w:pPr>
              <w:jc w:val="center"/>
              <w:rPr>
                <w:color w:val="000000"/>
                <w:sz w:val="22"/>
                <w:szCs w:val="22"/>
              </w:rPr>
            </w:pPr>
            <w:r>
              <w:rPr>
                <w:color w:val="000000"/>
                <w:sz w:val="22"/>
                <w:szCs w:val="22"/>
              </w:rPr>
              <w:t>3,5</w:t>
            </w:r>
          </w:p>
        </w:tc>
        <w:tc>
          <w:tcPr>
            <w:tcW w:w="850" w:type="dxa"/>
            <w:vAlign w:val="center"/>
          </w:tcPr>
          <w:p w14:paraId="361230EE">
            <w:pPr>
              <w:jc w:val="center"/>
              <w:rPr>
                <w:color w:val="000000"/>
                <w:sz w:val="22"/>
                <w:szCs w:val="22"/>
              </w:rPr>
            </w:pPr>
            <w:r>
              <w:rPr>
                <w:color w:val="000000"/>
                <w:sz w:val="22"/>
                <w:szCs w:val="22"/>
              </w:rPr>
              <w:t>ĐH1</w:t>
            </w:r>
          </w:p>
        </w:tc>
      </w:tr>
      <w:tr w14:paraId="339B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D67896A">
            <w:pPr>
              <w:jc w:val="center"/>
              <w:rPr>
                <w:color w:val="000000"/>
                <w:sz w:val="22"/>
                <w:szCs w:val="22"/>
              </w:rPr>
            </w:pPr>
          </w:p>
        </w:tc>
        <w:tc>
          <w:tcPr>
            <w:tcW w:w="1121" w:type="dxa"/>
            <w:noWrap/>
            <w:vAlign w:val="center"/>
          </w:tcPr>
          <w:p w14:paraId="680F9BB8">
            <w:pPr>
              <w:jc w:val="center"/>
              <w:rPr>
                <w:color w:val="000000"/>
                <w:sz w:val="22"/>
                <w:szCs w:val="22"/>
              </w:rPr>
            </w:pPr>
            <w:r>
              <w:rPr>
                <w:color w:val="000000"/>
                <w:sz w:val="22"/>
                <w:szCs w:val="22"/>
              </w:rPr>
              <w:t>KL-37:08</w:t>
            </w:r>
          </w:p>
        </w:tc>
        <w:tc>
          <w:tcPr>
            <w:tcW w:w="1147" w:type="dxa"/>
            <w:vAlign w:val="center"/>
          </w:tcPr>
          <w:p w14:paraId="39D5D77B">
            <w:pPr>
              <w:jc w:val="center"/>
              <w:rPr>
                <w:color w:val="000000"/>
                <w:sz w:val="22"/>
                <w:szCs w:val="22"/>
              </w:rPr>
            </w:pPr>
            <w:r>
              <w:rPr>
                <w:color w:val="000000"/>
                <w:sz w:val="22"/>
                <w:szCs w:val="22"/>
              </w:rPr>
              <w:t>90,00</w:t>
            </w:r>
          </w:p>
        </w:tc>
        <w:tc>
          <w:tcPr>
            <w:tcW w:w="1098" w:type="dxa"/>
            <w:vAlign w:val="center"/>
          </w:tcPr>
          <w:p w14:paraId="5BB86A44">
            <w:pPr>
              <w:jc w:val="center"/>
              <w:rPr>
                <w:color w:val="000000"/>
                <w:sz w:val="22"/>
                <w:szCs w:val="22"/>
              </w:rPr>
            </w:pPr>
            <w:r>
              <w:rPr>
                <w:color w:val="000000"/>
                <w:sz w:val="22"/>
                <w:szCs w:val="22"/>
              </w:rPr>
              <w:t>78,338</w:t>
            </w:r>
          </w:p>
        </w:tc>
        <w:tc>
          <w:tcPr>
            <w:tcW w:w="1134" w:type="dxa"/>
            <w:vAlign w:val="center"/>
          </w:tcPr>
          <w:p w14:paraId="4CD191B6">
            <w:pPr>
              <w:jc w:val="center"/>
              <w:rPr>
                <w:color w:val="000000"/>
                <w:sz w:val="22"/>
                <w:szCs w:val="22"/>
              </w:rPr>
            </w:pPr>
            <w:r>
              <w:rPr>
                <w:color w:val="000000"/>
                <w:sz w:val="22"/>
                <w:szCs w:val="22"/>
              </w:rPr>
              <w:t>87,0</w:t>
            </w:r>
          </w:p>
        </w:tc>
        <w:tc>
          <w:tcPr>
            <w:tcW w:w="706" w:type="dxa"/>
            <w:vAlign w:val="center"/>
          </w:tcPr>
          <w:p w14:paraId="1ECFD93F">
            <w:pPr>
              <w:jc w:val="center"/>
              <w:rPr>
                <w:color w:val="000000"/>
                <w:sz w:val="22"/>
                <w:szCs w:val="22"/>
              </w:rPr>
            </w:pPr>
            <w:r>
              <w:rPr>
                <w:color w:val="000000"/>
                <w:sz w:val="22"/>
                <w:szCs w:val="22"/>
              </w:rPr>
              <w:t>4,0</w:t>
            </w:r>
          </w:p>
        </w:tc>
        <w:tc>
          <w:tcPr>
            <w:tcW w:w="1278" w:type="dxa"/>
            <w:vAlign w:val="center"/>
          </w:tcPr>
          <w:p w14:paraId="26CE0F78">
            <w:pPr>
              <w:jc w:val="center"/>
              <w:rPr>
                <w:color w:val="000000"/>
                <w:sz w:val="22"/>
                <w:szCs w:val="22"/>
              </w:rPr>
            </w:pPr>
            <w:r>
              <w:rPr>
                <w:color w:val="000000"/>
                <w:sz w:val="22"/>
                <w:szCs w:val="22"/>
              </w:rPr>
              <w:t>313,8</w:t>
            </w:r>
          </w:p>
        </w:tc>
        <w:tc>
          <w:tcPr>
            <w:tcW w:w="851" w:type="dxa"/>
            <w:vAlign w:val="center"/>
          </w:tcPr>
          <w:p w14:paraId="4A34304E">
            <w:pPr>
              <w:jc w:val="center"/>
              <w:rPr>
                <w:color w:val="000000"/>
                <w:sz w:val="22"/>
                <w:szCs w:val="22"/>
              </w:rPr>
            </w:pPr>
            <w:r>
              <w:rPr>
                <w:color w:val="000000"/>
                <w:sz w:val="22"/>
                <w:szCs w:val="22"/>
              </w:rPr>
              <w:t>3,5</w:t>
            </w:r>
          </w:p>
        </w:tc>
        <w:tc>
          <w:tcPr>
            <w:tcW w:w="850" w:type="dxa"/>
            <w:vAlign w:val="center"/>
          </w:tcPr>
          <w:p w14:paraId="4F2E05A3">
            <w:pPr>
              <w:jc w:val="center"/>
              <w:rPr>
                <w:color w:val="000000"/>
                <w:sz w:val="22"/>
                <w:szCs w:val="22"/>
              </w:rPr>
            </w:pPr>
            <w:r>
              <w:rPr>
                <w:color w:val="000000"/>
                <w:sz w:val="22"/>
                <w:szCs w:val="22"/>
              </w:rPr>
              <w:t>ĐH1</w:t>
            </w:r>
          </w:p>
        </w:tc>
      </w:tr>
      <w:tr w14:paraId="5CC4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3497C7A">
            <w:pPr>
              <w:jc w:val="center"/>
              <w:rPr>
                <w:color w:val="000000"/>
                <w:sz w:val="22"/>
                <w:szCs w:val="22"/>
              </w:rPr>
            </w:pPr>
          </w:p>
        </w:tc>
        <w:tc>
          <w:tcPr>
            <w:tcW w:w="1121" w:type="dxa"/>
            <w:noWrap/>
            <w:vAlign w:val="center"/>
          </w:tcPr>
          <w:p w14:paraId="15393581">
            <w:pPr>
              <w:jc w:val="center"/>
              <w:rPr>
                <w:color w:val="000000"/>
                <w:sz w:val="22"/>
                <w:szCs w:val="22"/>
              </w:rPr>
            </w:pPr>
            <w:r>
              <w:rPr>
                <w:color w:val="000000"/>
                <w:sz w:val="22"/>
                <w:szCs w:val="22"/>
              </w:rPr>
              <w:t>KL-37:09</w:t>
            </w:r>
          </w:p>
        </w:tc>
        <w:tc>
          <w:tcPr>
            <w:tcW w:w="1147" w:type="dxa"/>
            <w:vAlign w:val="center"/>
          </w:tcPr>
          <w:p w14:paraId="4EC65FE4">
            <w:pPr>
              <w:jc w:val="center"/>
              <w:rPr>
                <w:color w:val="000000"/>
                <w:sz w:val="22"/>
                <w:szCs w:val="22"/>
              </w:rPr>
            </w:pPr>
            <w:r>
              <w:rPr>
                <w:color w:val="000000"/>
                <w:sz w:val="22"/>
                <w:szCs w:val="22"/>
              </w:rPr>
              <w:t>84,24</w:t>
            </w:r>
          </w:p>
        </w:tc>
        <w:tc>
          <w:tcPr>
            <w:tcW w:w="1098" w:type="dxa"/>
            <w:vAlign w:val="center"/>
          </w:tcPr>
          <w:p w14:paraId="2B59995A">
            <w:pPr>
              <w:jc w:val="center"/>
              <w:rPr>
                <w:color w:val="000000"/>
                <w:sz w:val="22"/>
                <w:szCs w:val="22"/>
              </w:rPr>
            </w:pPr>
            <w:r>
              <w:rPr>
                <w:color w:val="000000"/>
                <w:sz w:val="22"/>
                <w:szCs w:val="22"/>
              </w:rPr>
              <w:t>77,6</w:t>
            </w:r>
          </w:p>
        </w:tc>
        <w:tc>
          <w:tcPr>
            <w:tcW w:w="1134" w:type="dxa"/>
            <w:vAlign w:val="center"/>
          </w:tcPr>
          <w:p w14:paraId="275CDE46">
            <w:pPr>
              <w:jc w:val="center"/>
              <w:rPr>
                <w:color w:val="000000"/>
                <w:sz w:val="22"/>
                <w:szCs w:val="22"/>
              </w:rPr>
            </w:pPr>
            <w:r>
              <w:rPr>
                <w:color w:val="000000"/>
                <w:sz w:val="22"/>
                <w:szCs w:val="22"/>
              </w:rPr>
              <w:t>92,1</w:t>
            </w:r>
          </w:p>
        </w:tc>
        <w:tc>
          <w:tcPr>
            <w:tcW w:w="706" w:type="dxa"/>
            <w:vAlign w:val="center"/>
          </w:tcPr>
          <w:p w14:paraId="30C7EF55">
            <w:pPr>
              <w:jc w:val="center"/>
              <w:rPr>
                <w:color w:val="000000"/>
                <w:sz w:val="22"/>
                <w:szCs w:val="22"/>
              </w:rPr>
            </w:pPr>
            <w:r>
              <w:rPr>
                <w:color w:val="000000"/>
                <w:sz w:val="22"/>
                <w:szCs w:val="22"/>
              </w:rPr>
              <w:t>4,0</w:t>
            </w:r>
          </w:p>
        </w:tc>
        <w:tc>
          <w:tcPr>
            <w:tcW w:w="1278" w:type="dxa"/>
            <w:vAlign w:val="center"/>
          </w:tcPr>
          <w:p w14:paraId="013569CC">
            <w:pPr>
              <w:jc w:val="center"/>
              <w:rPr>
                <w:color w:val="000000"/>
                <w:sz w:val="22"/>
                <w:szCs w:val="22"/>
              </w:rPr>
            </w:pPr>
            <w:r>
              <w:rPr>
                <w:color w:val="000000"/>
                <w:sz w:val="22"/>
                <w:szCs w:val="22"/>
              </w:rPr>
              <w:t>355,2</w:t>
            </w:r>
          </w:p>
        </w:tc>
        <w:tc>
          <w:tcPr>
            <w:tcW w:w="851" w:type="dxa"/>
            <w:vAlign w:val="center"/>
          </w:tcPr>
          <w:p w14:paraId="79286962">
            <w:pPr>
              <w:jc w:val="center"/>
              <w:rPr>
                <w:color w:val="000000"/>
                <w:sz w:val="22"/>
                <w:szCs w:val="22"/>
              </w:rPr>
            </w:pPr>
            <w:r>
              <w:rPr>
                <w:color w:val="000000"/>
                <w:sz w:val="22"/>
                <w:szCs w:val="22"/>
              </w:rPr>
              <w:t>4,2</w:t>
            </w:r>
          </w:p>
        </w:tc>
        <w:tc>
          <w:tcPr>
            <w:tcW w:w="850" w:type="dxa"/>
            <w:vAlign w:val="center"/>
          </w:tcPr>
          <w:p w14:paraId="1E5FD03D">
            <w:pPr>
              <w:jc w:val="center"/>
              <w:rPr>
                <w:color w:val="000000"/>
                <w:sz w:val="22"/>
                <w:szCs w:val="22"/>
              </w:rPr>
            </w:pPr>
            <w:r>
              <w:rPr>
                <w:color w:val="000000"/>
                <w:sz w:val="22"/>
                <w:szCs w:val="22"/>
              </w:rPr>
              <w:t>LG1.1</w:t>
            </w:r>
          </w:p>
        </w:tc>
      </w:tr>
      <w:tr w14:paraId="3B7D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75D4295E">
            <w:pPr>
              <w:jc w:val="center"/>
              <w:rPr>
                <w:b/>
                <w:bCs/>
                <w:color w:val="000000"/>
                <w:sz w:val="22"/>
                <w:szCs w:val="22"/>
              </w:rPr>
            </w:pPr>
            <w:r>
              <w:rPr>
                <w:b/>
                <w:bCs/>
                <w:color w:val="000000"/>
                <w:sz w:val="22"/>
                <w:szCs w:val="22"/>
              </w:rPr>
              <w:t>Tổng</w:t>
            </w:r>
          </w:p>
        </w:tc>
        <w:tc>
          <w:tcPr>
            <w:tcW w:w="1121" w:type="dxa"/>
            <w:noWrap/>
            <w:vAlign w:val="center"/>
          </w:tcPr>
          <w:p w14:paraId="6743EA6A">
            <w:pPr>
              <w:jc w:val="center"/>
              <w:rPr>
                <w:b/>
                <w:bCs/>
                <w:color w:val="000000"/>
                <w:sz w:val="22"/>
                <w:szCs w:val="22"/>
              </w:rPr>
            </w:pPr>
            <w:r>
              <w:rPr>
                <w:b/>
                <w:bCs/>
                <w:color w:val="000000"/>
                <w:sz w:val="22"/>
                <w:szCs w:val="22"/>
              </w:rPr>
              <w:t>KL-37</w:t>
            </w:r>
          </w:p>
        </w:tc>
        <w:tc>
          <w:tcPr>
            <w:tcW w:w="1147" w:type="dxa"/>
            <w:vAlign w:val="center"/>
          </w:tcPr>
          <w:p w14:paraId="3384DAAC">
            <w:pPr>
              <w:jc w:val="center"/>
              <w:rPr>
                <w:b/>
                <w:bCs/>
                <w:color w:val="000000"/>
                <w:sz w:val="22"/>
                <w:szCs w:val="22"/>
              </w:rPr>
            </w:pPr>
            <w:r>
              <w:rPr>
                <w:b/>
                <w:bCs/>
                <w:color w:val="000000"/>
                <w:sz w:val="22"/>
                <w:szCs w:val="22"/>
              </w:rPr>
              <w:t>798,48</w:t>
            </w:r>
          </w:p>
        </w:tc>
        <w:tc>
          <w:tcPr>
            <w:tcW w:w="1098" w:type="dxa"/>
            <w:vAlign w:val="center"/>
          </w:tcPr>
          <w:p w14:paraId="0AC5BD1F">
            <w:pPr>
              <w:jc w:val="center"/>
              <w:rPr>
                <w:b/>
                <w:bCs/>
                <w:color w:val="000000"/>
                <w:sz w:val="22"/>
                <w:szCs w:val="22"/>
              </w:rPr>
            </w:pPr>
            <w:r>
              <w:rPr>
                <w:b/>
                <w:bCs/>
                <w:color w:val="000000"/>
                <w:sz w:val="22"/>
                <w:szCs w:val="22"/>
              </w:rPr>
              <w:t>703,6</w:t>
            </w:r>
          </w:p>
        </w:tc>
        <w:tc>
          <w:tcPr>
            <w:tcW w:w="1134" w:type="dxa"/>
            <w:vAlign w:val="center"/>
          </w:tcPr>
          <w:p w14:paraId="5EF5106C">
            <w:pPr>
              <w:jc w:val="center"/>
              <w:rPr>
                <w:b/>
                <w:bCs/>
                <w:color w:val="000000"/>
                <w:sz w:val="22"/>
                <w:szCs w:val="22"/>
              </w:rPr>
            </w:pPr>
            <w:r>
              <w:rPr>
                <w:b/>
                <w:bCs/>
                <w:color w:val="000000"/>
                <w:sz w:val="22"/>
                <w:szCs w:val="22"/>
              </w:rPr>
              <w:t>88,1</w:t>
            </w:r>
          </w:p>
        </w:tc>
        <w:tc>
          <w:tcPr>
            <w:tcW w:w="706" w:type="dxa"/>
            <w:vAlign w:val="center"/>
          </w:tcPr>
          <w:p w14:paraId="7A83E7FB">
            <w:pPr>
              <w:jc w:val="center"/>
              <w:rPr>
                <w:color w:val="000000"/>
                <w:sz w:val="22"/>
                <w:szCs w:val="22"/>
              </w:rPr>
            </w:pPr>
          </w:p>
        </w:tc>
        <w:tc>
          <w:tcPr>
            <w:tcW w:w="1278" w:type="dxa"/>
            <w:vAlign w:val="center"/>
          </w:tcPr>
          <w:p w14:paraId="316785D7">
            <w:pPr>
              <w:jc w:val="center"/>
              <w:rPr>
                <w:b/>
                <w:bCs/>
                <w:color w:val="000000"/>
                <w:sz w:val="22"/>
                <w:szCs w:val="22"/>
              </w:rPr>
            </w:pPr>
            <w:r>
              <w:rPr>
                <w:b/>
                <w:bCs/>
                <w:color w:val="000000"/>
                <w:sz w:val="22"/>
                <w:szCs w:val="22"/>
              </w:rPr>
              <w:t>2.907,1</w:t>
            </w:r>
          </w:p>
        </w:tc>
        <w:tc>
          <w:tcPr>
            <w:tcW w:w="851" w:type="dxa"/>
            <w:vAlign w:val="center"/>
          </w:tcPr>
          <w:p w14:paraId="6B86541B">
            <w:pPr>
              <w:jc w:val="center"/>
              <w:rPr>
                <w:b/>
                <w:bCs/>
                <w:color w:val="000000"/>
                <w:sz w:val="22"/>
                <w:szCs w:val="22"/>
              </w:rPr>
            </w:pPr>
            <w:r>
              <w:rPr>
                <w:b/>
                <w:bCs/>
                <w:color w:val="000000"/>
                <w:sz w:val="22"/>
                <w:szCs w:val="22"/>
              </w:rPr>
              <w:t>3,6</w:t>
            </w:r>
          </w:p>
        </w:tc>
        <w:tc>
          <w:tcPr>
            <w:tcW w:w="850" w:type="dxa"/>
            <w:vAlign w:val="center"/>
          </w:tcPr>
          <w:p w14:paraId="1B558932">
            <w:pPr>
              <w:jc w:val="center"/>
              <w:rPr>
                <w:color w:val="000000"/>
                <w:sz w:val="22"/>
                <w:szCs w:val="22"/>
              </w:rPr>
            </w:pPr>
          </w:p>
        </w:tc>
      </w:tr>
      <w:tr w14:paraId="44DC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458A322E">
            <w:pPr>
              <w:jc w:val="center"/>
              <w:rPr>
                <w:b/>
                <w:bCs/>
                <w:color w:val="000000"/>
                <w:sz w:val="22"/>
                <w:szCs w:val="22"/>
              </w:rPr>
            </w:pPr>
          </w:p>
        </w:tc>
        <w:tc>
          <w:tcPr>
            <w:tcW w:w="1121" w:type="dxa"/>
            <w:noWrap/>
            <w:vAlign w:val="center"/>
          </w:tcPr>
          <w:p w14:paraId="61B3E135">
            <w:pPr>
              <w:jc w:val="center"/>
              <w:rPr>
                <w:color w:val="000000"/>
                <w:sz w:val="22"/>
                <w:szCs w:val="22"/>
              </w:rPr>
            </w:pPr>
            <w:r>
              <w:rPr>
                <w:color w:val="000000"/>
                <w:sz w:val="22"/>
                <w:szCs w:val="22"/>
              </w:rPr>
              <w:t>KL-39:01</w:t>
            </w:r>
          </w:p>
        </w:tc>
        <w:tc>
          <w:tcPr>
            <w:tcW w:w="1147" w:type="dxa"/>
            <w:vAlign w:val="center"/>
          </w:tcPr>
          <w:p w14:paraId="4CD38791">
            <w:pPr>
              <w:jc w:val="center"/>
              <w:rPr>
                <w:color w:val="000000"/>
                <w:sz w:val="22"/>
                <w:szCs w:val="22"/>
              </w:rPr>
            </w:pPr>
            <w:r>
              <w:rPr>
                <w:color w:val="000000"/>
                <w:sz w:val="22"/>
                <w:szCs w:val="22"/>
              </w:rPr>
              <w:t>136,50</w:t>
            </w:r>
          </w:p>
        </w:tc>
        <w:tc>
          <w:tcPr>
            <w:tcW w:w="1098" w:type="dxa"/>
            <w:vAlign w:val="center"/>
          </w:tcPr>
          <w:p w14:paraId="6A04B34B">
            <w:pPr>
              <w:jc w:val="center"/>
              <w:rPr>
                <w:color w:val="000000"/>
                <w:sz w:val="22"/>
                <w:szCs w:val="22"/>
              </w:rPr>
            </w:pPr>
            <w:r>
              <w:rPr>
                <w:color w:val="000000"/>
                <w:sz w:val="22"/>
                <w:szCs w:val="22"/>
              </w:rPr>
              <w:t>123,429</w:t>
            </w:r>
          </w:p>
        </w:tc>
        <w:tc>
          <w:tcPr>
            <w:tcW w:w="1134" w:type="dxa"/>
            <w:vAlign w:val="center"/>
          </w:tcPr>
          <w:p w14:paraId="515F3A7B">
            <w:pPr>
              <w:jc w:val="center"/>
              <w:rPr>
                <w:color w:val="000000"/>
                <w:sz w:val="22"/>
                <w:szCs w:val="22"/>
              </w:rPr>
            </w:pPr>
            <w:r>
              <w:rPr>
                <w:color w:val="000000"/>
                <w:sz w:val="22"/>
                <w:szCs w:val="22"/>
              </w:rPr>
              <w:t>90,4</w:t>
            </w:r>
          </w:p>
        </w:tc>
        <w:tc>
          <w:tcPr>
            <w:tcW w:w="706" w:type="dxa"/>
            <w:vAlign w:val="center"/>
          </w:tcPr>
          <w:p w14:paraId="4D5372A6">
            <w:pPr>
              <w:jc w:val="center"/>
              <w:rPr>
                <w:color w:val="000000"/>
                <w:sz w:val="22"/>
                <w:szCs w:val="22"/>
              </w:rPr>
            </w:pPr>
            <w:r>
              <w:rPr>
                <w:color w:val="000000"/>
                <w:sz w:val="22"/>
                <w:szCs w:val="22"/>
              </w:rPr>
              <w:t>4,0</w:t>
            </w:r>
          </w:p>
        </w:tc>
        <w:tc>
          <w:tcPr>
            <w:tcW w:w="1278" w:type="dxa"/>
            <w:vAlign w:val="center"/>
          </w:tcPr>
          <w:p w14:paraId="15622EB6">
            <w:pPr>
              <w:jc w:val="center"/>
              <w:rPr>
                <w:color w:val="000000"/>
                <w:sz w:val="22"/>
                <w:szCs w:val="22"/>
              </w:rPr>
            </w:pPr>
            <w:r>
              <w:rPr>
                <w:color w:val="000000"/>
                <w:sz w:val="22"/>
                <w:szCs w:val="22"/>
              </w:rPr>
              <w:t>535,9</w:t>
            </w:r>
          </w:p>
        </w:tc>
        <w:tc>
          <w:tcPr>
            <w:tcW w:w="851" w:type="dxa"/>
            <w:vAlign w:val="center"/>
          </w:tcPr>
          <w:p w14:paraId="72A6BEE0">
            <w:pPr>
              <w:jc w:val="center"/>
              <w:rPr>
                <w:color w:val="000000"/>
                <w:sz w:val="22"/>
                <w:szCs w:val="22"/>
              </w:rPr>
            </w:pPr>
            <w:r>
              <w:rPr>
                <w:color w:val="000000"/>
                <w:sz w:val="22"/>
                <w:szCs w:val="22"/>
              </w:rPr>
              <w:t>3,9</w:t>
            </w:r>
          </w:p>
        </w:tc>
        <w:tc>
          <w:tcPr>
            <w:tcW w:w="850" w:type="dxa"/>
            <w:vAlign w:val="center"/>
          </w:tcPr>
          <w:p w14:paraId="01F59183">
            <w:pPr>
              <w:jc w:val="center"/>
              <w:rPr>
                <w:color w:val="000000"/>
                <w:sz w:val="22"/>
                <w:szCs w:val="22"/>
              </w:rPr>
            </w:pPr>
            <w:r>
              <w:rPr>
                <w:color w:val="000000"/>
                <w:sz w:val="22"/>
                <w:szCs w:val="22"/>
              </w:rPr>
              <w:t>LG1</w:t>
            </w:r>
          </w:p>
        </w:tc>
      </w:tr>
      <w:tr w14:paraId="2470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47BB12AD">
            <w:pPr>
              <w:jc w:val="center"/>
              <w:rPr>
                <w:b/>
                <w:bCs/>
                <w:color w:val="000000"/>
                <w:sz w:val="22"/>
                <w:szCs w:val="22"/>
              </w:rPr>
            </w:pPr>
          </w:p>
        </w:tc>
        <w:tc>
          <w:tcPr>
            <w:tcW w:w="1121" w:type="dxa"/>
            <w:noWrap/>
            <w:vAlign w:val="center"/>
          </w:tcPr>
          <w:p w14:paraId="6EC85BD9">
            <w:pPr>
              <w:jc w:val="center"/>
              <w:rPr>
                <w:color w:val="000000"/>
                <w:sz w:val="22"/>
                <w:szCs w:val="22"/>
              </w:rPr>
            </w:pPr>
            <w:r>
              <w:rPr>
                <w:color w:val="000000"/>
                <w:sz w:val="22"/>
                <w:szCs w:val="22"/>
              </w:rPr>
              <w:t>KL-39:02</w:t>
            </w:r>
          </w:p>
        </w:tc>
        <w:tc>
          <w:tcPr>
            <w:tcW w:w="1147" w:type="dxa"/>
            <w:vAlign w:val="center"/>
          </w:tcPr>
          <w:p w14:paraId="17788E58">
            <w:pPr>
              <w:jc w:val="center"/>
              <w:rPr>
                <w:color w:val="000000"/>
                <w:sz w:val="22"/>
                <w:szCs w:val="22"/>
              </w:rPr>
            </w:pPr>
            <w:r>
              <w:rPr>
                <w:color w:val="000000"/>
                <w:sz w:val="22"/>
                <w:szCs w:val="22"/>
              </w:rPr>
              <w:t>90,00</w:t>
            </w:r>
          </w:p>
        </w:tc>
        <w:tc>
          <w:tcPr>
            <w:tcW w:w="1098" w:type="dxa"/>
            <w:vAlign w:val="center"/>
          </w:tcPr>
          <w:p w14:paraId="06F978D9">
            <w:pPr>
              <w:jc w:val="center"/>
              <w:rPr>
                <w:color w:val="000000"/>
                <w:sz w:val="22"/>
                <w:szCs w:val="22"/>
              </w:rPr>
            </w:pPr>
            <w:r>
              <w:rPr>
                <w:color w:val="000000"/>
                <w:sz w:val="22"/>
                <w:szCs w:val="22"/>
              </w:rPr>
              <w:t>78,338</w:t>
            </w:r>
          </w:p>
        </w:tc>
        <w:tc>
          <w:tcPr>
            <w:tcW w:w="1134" w:type="dxa"/>
            <w:vAlign w:val="center"/>
          </w:tcPr>
          <w:p w14:paraId="2B9DDD1F">
            <w:pPr>
              <w:jc w:val="center"/>
              <w:rPr>
                <w:color w:val="000000"/>
                <w:sz w:val="22"/>
                <w:szCs w:val="22"/>
              </w:rPr>
            </w:pPr>
            <w:r>
              <w:rPr>
                <w:color w:val="000000"/>
                <w:sz w:val="22"/>
                <w:szCs w:val="22"/>
              </w:rPr>
              <w:t>87,0</w:t>
            </w:r>
          </w:p>
        </w:tc>
        <w:tc>
          <w:tcPr>
            <w:tcW w:w="706" w:type="dxa"/>
            <w:vAlign w:val="center"/>
          </w:tcPr>
          <w:p w14:paraId="6238C241">
            <w:pPr>
              <w:jc w:val="center"/>
              <w:rPr>
                <w:color w:val="000000"/>
                <w:sz w:val="22"/>
                <w:szCs w:val="22"/>
              </w:rPr>
            </w:pPr>
            <w:r>
              <w:rPr>
                <w:color w:val="000000"/>
                <w:sz w:val="22"/>
                <w:szCs w:val="22"/>
              </w:rPr>
              <w:t>4,0</w:t>
            </w:r>
          </w:p>
        </w:tc>
        <w:tc>
          <w:tcPr>
            <w:tcW w:w="1278" w:type="dxa"/>
            <w:vAlign w:val="center"/>
          </w:tcPr>
          <w:p w14:paraId="36812935">
            <w:pPr>
              <w:jc w:val="center"/>
              <w:rPr>
                <w:color w:val="000000"/>
                <w:sz w:val="22"/>
                <w:szCs w:val="22"/>
              </w:rPr>
            </w:pPr>
            <w:r>
              <w:rPr>
                <w:color w:val="000000"/>
                <w:sz w:val="22"/>
                <w:szCs w:val="22"/>
              </w:rPr>
              <w:t>313,8</w:t>
            </w:r>
          </w:p>
        </w:tc>
        <w:tc>
          <w:tcPr>
            <w:tcW w:w="851" w:type="dxa"/>
            <w:vAlign w:val="center"/>
          </w:tcPr>
          <w:p w14:paraId="141697D2">
            <w:pPr>
              <w:jc w:val="center"/>
              <w:rPr>
                <w:color w:val="000000"/>
                <w:sz w:val="22"/>
                <w:szCs w:val="22"/>
              </w:rPr>
            </w:pPr>
            <w:r>
              <w:rPr>
                <w:color w:val="000000"/>
                <w:sz w:val="22"/>
                <w:szCs w:val="22"/>
              </w:rPr>
              <w:t>3,5</w:t>
            </w:r>
          </w:p>
        </w:tc>
        <w:tc>
          <w:tcPr>
            <w:tcW w:w="850" w:type="dxa"/>
            <w:vAlign w:val="center"/>
          </w:tcPr>
          <w:p w14:paraId="41CB044B">
            <w:pPr>
              <w:jc w:val="center"/>
              <w:rPr>
                <w:color w:val="000000"/>
                <w:sz w:val="22"/>
                <w:szCs w:val="22"/>
              </w:rPr>
            </w:pPr>
            <w:r>
              <w:rPr>
                <w:color w:val="000000"/>
                <w:sz w:val="22"/>
                <w:szCs w:val="22"/>
              </w:rPr>
              <w:t>ĐH1</w:t>
            </w:r>
          </w:p>
        </w:tc>
      </w:tr>
      <w:tr w14:paraId="132C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0B63EA60">
            <w:pPr>
              <w:jc w:val="center"/>
              <w:rPr>
                <w:b/>
                <w:bCs/>
                <w:color w:val="000000"/>
                <w:sz w:val="22"/>
                <w:szCs w:val="22"/>
              </w:rPr>
            </w:pPr>
          </w:p>
        </w:tc>
        <w:tc>
          <w:tcPr>
            <w:tcW w:w="1121" w:type="dxa"/>
            <w:noWrap/>
            <w:vAlign w:val="center"/>
          </w:tcPr>
          <w:p w14:paraId="132326BD">
            <w:pPr>
              <w:jc w:val="center"/>
              <w:rPr>
                <w:color w:val="000000"/>
                <w:sz w:val="22"/>
                <w:szCs w:val="22"/>
              </w:rPr>
            </w:pPr>
            <w:r>
              <w:rPr>
                <w:color w:val="000000"/>
                <w:sz w:val="22"/>
                <w:szCs w:val="22"/>
              </w:rPr>
              <w:t>KL-39:03</w:t>
            </w:r>
          </w:p>
        </w:tc>
        <w:tc>
          <w:tcPr>
            <w:tcW w:w="1147" w:type="dxa"/>
            <w:vAlign w:val="center"/>
          </w:tcPr>
          <w:p w14:paraId="4691ED89">
            <w:pPr>
              <w:jc w:val="center"/>
              <w:rPr>
                <w:color w:val="000000"/>
                <w:sz w:val="22"/>
                <w:szCs w:val="22"/>
              </w:rPr>
            </w:pPr>
            <w:r>
              <w:rPr>
                <w:color w:val="000000"/>
                <w:sz w:val="22"/>
                <w:szCs w:val="22"/>
              </w:rPr>
              <w:t>90,00</w:t>
            </w:r>
          </w:p>
        </w:tc>
        <w:tc>
          <w:tcPr>
            <w:tcW w:w="1098" w:type="dxa"/>
            <w:vAlign w:val="center"/>
          </w:tcPr>
          <w:p w14:paraId="6752888B">
            <w:pPr>
              <w:jc w:val="center"/>
              <w:rPr>
                <w:color w:val="000000"/>
                <w:sz w:val="22"/>
                <w:szCs w:val="22"/>
              </w:rPr>
            </w:pPr>
            <w:r>
              <w:rPr>
                <w:color w:val="000000"/>
                <w:sz w:val="22"/>
                <w:szCs w:val="22"/>
              </w:rPr>
              <w:t>78,338</w:t>
            </w:r>
          </w:p>
        </w:tc>
        <w:tc>
          <w:tcPr>
            <w:tcW w:w="1134" w:type="dxa"/>
            <w:vAlign w:val="center"/>
          </w:tcPr>
          <w:p w14:paraId="644D2C4A">
            <w:pPr>
              <w:jc w:val="center"/>
              <w:rPr>
                <w:color w:val="000000"/>
                <w:sz w:val="22"/>
                <w:szCs w:val="22"/>
              </w:rPr>
            </w:pPr>
            <w:r>
              <w:rPr>
                <w:color w:val="000000"/>
                <w:sz w:val="22"/>
                <w:szCs w:val="22"/>
              </w:rPr>
              <w:t>87,0</w:t>
            </w:r>
          </w:p>
        </w:tc>
        <w:tc>
          <w:tcPr>
            <w:tcW w:w="706" w:type="dxa"/>
            <w:vAlign w:val="center"/>
          </w:tcPr>
          <w:p w14:paraId="7FA8ED05">
            <w:pPr>
              <w:jc w:val="center"/>
              <w:rPr>
                <w:color w:val="000000"/>
                <w:sz w:val="22"/>
                <w:szCs w:val="22"/>
              </w:rPr>
            </w:pPr>
            <w:r>
              <w:rPr>
                <w:color w:val="000000"/>
                <w:sz w:val="22"/>
                <w:szCs w:val="22"/>
              </w:rPr>
              <w:t>4,0</w:t>
            </w:r>
          </w:p>
        </w:tc>
        <w:tc>
          <w:tcPr>
            <w:tcW w:w="1278" w:type="dxa"/>
            <w:vAlign w:val="center"/>
          </w:tcPr>
          <w:p w14:paraId="0E99C65D">
            <w:pPr>
              <w:jc w:val="center"/>
              <w:rPr>
                <w:color w:val="000000"/>
                <w:sz w:val="22"/>
                <w:szCs w:val="22"/>
              </w:rPr>
            </w:pPr>
            <w:r>
              <w:rPr>
                <w:color w:val="000000"/>
                <w:sz w:val="22"/>
                <w:szCs w:val="22"/>
              </w:rPr>
              <w:t>313,8</w:t>
            </w:r>
          </w:p>
        </w:tc>
        <w:tc>
          <w:tcPr>
            <w:tcW w:w="851" w:type="dxa"/>
            <w:vAlign w:val="center"/>
          </w:tcPr>
          <w:p w14:paraId="3C5BA6D7">
            <w:pPr>
              <w:jc w:val="center"/>
              <w:rPr>
                <w:color w:val="000000"/>
                <w:sz w:val="22"/>
                <w:szCs w:val="22"/>
              </w:rPr>
            </w:pPr>
            <w:r>
              <w:rPr>
                <w:color w:val="000000"/>
                <w:sz w:val="22"/>
                <w:szCs w:val="22"/>
              </w:rPr>
              <w:t>3,5</w:t>
            </w:r>
          </w:p>
        </w:tc>
        <w:tc>
          <w:tcPr>
            <w:tcW w:w="850" w:type="dxa"/>
            <w:vAlign w:val="center"/>
          </w:tcPr>
          <w:p w14:paraId="231C63C5">
            <w:pPr>
              <w:jc w:val="center"/>
              <w:rPr>
                <w:color w:val="000000"/>
                <w:sz w:val="22"/>
                <w:szCs w:val="22"/>
              </w:rPr>
            </w:pPr>
            <w:r>
              <w:rPr>
                <w:color w:val="000000"/>
                <w:sz w:val="22"/>
                <w:szCs w:val="22"/>
              </w:rPr>
              <w:t>ĐH1</w:t>
            </w:r>
          </w:p>
        </w:tc>
      </w:tr>
      <w:tr w14:paraId="0A1F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2186A44F">
            <w:pPr>
              <w:jc w:val="center"/>
              <w:rPr>
                <w:color w:val="000000"/>
                <w:sz w:val="22"/>
                <w:szCs w:val="22"/>
              </w:rPr>
            </w:pPr>
            <w:r>
              <w:rPr>
                <w:color w:val="000000"/>
                <w:sz w:val="22"/>
                <w:szCs w:val="22"/>
              </w:rPr>
              <w:t>LK39</w:t>
            </w:r>
          </w:p>
        </w:tc>
        <w:tc>
          <w:tcPr>
            <w:tcW w:w="1121" w:type="dxa"/>
            <w:noWrap/>
            <w:vAlign w:val="center"/>
          </w:tcPr>
          <w:p w14:paraId="455A25AB">
            <w:pPr>
              <w:jc w:val="center"/>
              <w:rPr>
                <w:color w:val="000000"/>
                <w:sz w:val="22"/>
                <w:szCs w:val="22"/>
              </w:rPr>
            </w:pPr>
            <w:r>
              <w:rPr>
                <w:color w:val="000000"/>
                <w:sz w:val="22"/>
                <w:szCs w:val="22"/>
              </w:rPr>
              <w:t>KL-39:04</w:t>
            </w:r>
          </w:p>
        </w:tc>
        <w:tc>
          <w:tcPr>
            <w:tcW w:w="1147" w:type="dxa"/>
            <w:vAlign w:val="center"/>
          </w:tcPr>
          <w:p w14:paraId="2E63E917">
            <w:pPr>
              <w:jc w:val="center"/>
              <w:rPr>
                <w:color w:val="000000"/>
                <w:sz w:val="22"/>
                <w:szCs w:val="22"/>
              </w:rPr>
            </w:pPr>
            <w:r>
              <w:rPr>
                <w:color w:val="000000"/>
                <w:sz w:val="22"/>
                <w:szCs w:val="22"/>
              </w:rPr>
              <w:t>90,00</w:t>
            </w:r>
          </w:p>
        </w:tc>
        <w:tc>
          <w:tcPr>
            <w:tcW w:w="1098" w:type="dxa"/>
            <w:vAlign w:val="center"/>
          </w:tcPr>
          <w:p w14:paraId="49F1D446">
            <w:pPr>
              <w:jc w:val="center"/>
              <w:rPr>
                <w:color w:val="000000"/>
                <w:sz w:val="22"/>
                <w:szCs w:val="22"/>
              </w:rPr>
            </w:pPr>
            <w:r>
              <w:rPr>
                <w:color w:val="000000"/>
                <w:sz w:val="22"/>
                <w:szCs w:val="22"/>
              </w:rPr>
              <w:t>78,338</w:t>
            </w:r>
          </w:p>
        </w:tc>
        <w:tc>
          <w:tcPr>
            <w:tcW w:w="1134" w:type="dxa"/>
            <w:vAlign w:val="center"/>
          </w:tcPr>
          <w:p w14:paraId="5D694EC1">
            <w:pPr>
              <w:jc w:val="center"/>
              <w:rPr>
                <w:color w:val="000000"/>
                <w:sz w:val="22"/>
                <w:szCs w:val="22"/>
              </w:rPr>
            </w:pPr>
            <w:r>
              <w:rPr>
                <w:color w:val="000000"/>
                <w:sz w:val="22"/>
                <w:szCs w:val="22"/>
              </w:rPr>
              <w:t>87,0</w:t>
            </w:r>
          </w:p>
        </w:tc>
        <w:tc>
          <w:tcPr>
            <w:tcW w:w="706" w:type="dxa"/>
            <w:vAlign w:val="center"/>
          </w:tcPr>
          <w:p w14:paraId="2BFF2D56">
            <w:pPr>
              <w:jc w:val="center"/>
              <w:rPr>
                <w:color w:val="000000"/>
                <w:sz w:val="22"/>
                <w:szCs w:val="22"/>
              </w:rPr>
            </w:pPr>
            <w:r>
              <w:rPr>
                <w:color w:val="000000"/>
                <w:sz w:val="22"/>
                <w:szCs w:val="22"/>
              </w:rPr>
              <w:t>4,0</w:t>
            </w:r>
          </w:p>
        </w:tc>
        <w:tc>
          <w:tcPr>
            <w:tcW w:w="1278" w:type="dxa"/>
            <w:vAlign w:val="center"/>
          </w:tcPr>
          <w:p w14:paraId="777B134E">
            <w:pPr>
              <w:jc w:val="center"/>
              <w:rPr>
                <w:color w:val="000000"/>
                <w:sz w:val="22"/>
                <w:szCs w:val="22"/>
              </w:rPr>
            </w:pPr>
            <w:r>
              <w:rPr>
                <w:color w:val="000000"/>
                <w:sz w:val="22"/>
                <w:szCs w:val="22"/>
              </w:rPr>
              <w:t>313,8</w:t>
            </w:r>
          </w:p>
        </w:tc>
        <w:tc>
          <w:tcPr>
            <w:tcW w:w="851" w:type="dxa"/>
            <w:vAlign w:val="center"/>
          </w:tcPr>
          <w:p w14:paraId="47A09A16">
            <w:pPr>
              <w:jc w:val="center"/>
              <w:rPr>
                <w:color w:val="000000"/>
                <w:sz w:val="22"/>
                <w:szCs w:val="22"/>
              </w:rPr>
            </w:pPr>
            <w:r>
              <w:rPr>
                <w:color w:val="000000"/>
                <w:sz w:val="22"/>
                <w:szCs w:val="22"/>
              </w:rPr>
              <w:t>3,5</w:t>
            </w:r>
          </w:p>
        </w:tc>
        <w:tc>
          <w:tcPr>
            <w:tcW w:w="850" w:type="dxa"/>
            <w:vAlign w:val="center"/>
          </w:tcPr>
          <w:p w14:paraId="7744167B">
            <w:pPr>
              <w:jc w:val="center"/>
              <w:rPr>
                <w:color w:val="000000"/>
                <w:sz w:val="22"/>
                <w:szCs w:val="22"/>
              </w:rPr>
            </w:pPr>
            <w:r>
              <w:rPr>
                <w:color w:val="000000"/>
                <w:sz w:val="22"/>
                <w:szCs w:val="22"/>
              </w:rPr>
              <w:t>ĐH1</w:t>
            </w:r>
          </w:p>
        </w:tc>
      </w:tr>
      <w:tr w14:paraId="7F72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6FDB1214">
            <w:pPr>
              <w:jc w:val="center"/>
              <w:rPr>
                <w:color w:val="000000"/>
                <w:sz w:val="22"/>
                <w:szCs w:val="22"/>
              </w:rPr>
            </w:pPr>
          </w:p>
        </w:tc>
        <w:tc>
          <w:tcPr>
            <w:tcW w:w="1121" w:type="dxa"/>
            <w:noWrap/>
            <w:vAlign w:val="center"/>
          </w:tcPr>
          <w:p w14:paraId="4251771C">
            <w:pPr>
              <w:jc w:val="center"/>
              <w:rPr>
                <w:color w:val="000000"/>
                <w:sz w:val="22"/>
                <w:szCs w:val="22"/>
              </w:rPr>
            </w:pPr>
            <w:r>
              <w:rPr>
                <w:color w:val="000000"/>
                <w:sz w:val="22"/>
                <w:szCs w:val="22"/>
              </w:rPr>
              <w:t>KL-39:05</w:t>
            </w:r>
          </w:p>
        </w:tc>
        <w:tc>
          <w:tcPr>
            <w:tcW w:w="1147" w:type="dxa"/>
            <w:vAlign w:val="center"/>
          </w:tcPr>
          <w:p w14:paraId="4A53521A">
            <w:pPr>
              <w:jc w:val="center"/>
              <w:rPr>
                <w:color w:val="000000"/>
                <w:sz w:val="22"/>
                <w:szCs w:val="22"/>
              </w:rPr>
            </w:pPr>
            <w:r>
              <w:rPr>
                <w:color w:val="000000"/>
                <w:sz w:val="22"/>
                <w:szCs w:val="22"/>
              </w:rPr>
              <w:t>90,00</w:t>
            </w:r>
          </w:p>
        </w:tc>
        <w:tc>
          <w:tcPr>
            <w:tcW w:w="1098" w:type="dxa"/>
            <w:vAlign w:val="center"/>
          </w:tcPr>
          <w:p w14:paraId="79817C9E">
            <w:pPr>
              <w:jc w:val="center"/>
              <w:rPr>
                <w:color w:val="000000"/>
                <w:sz w:val="22"/>
                <w:szCs w:val="22"/>
              </w:rPr>
            </w:pPr>
            <w:r>
              <w:rPr>
                <w:color w:val="000000"/>
                <w:sz w:val="22"/>
                <w:szCs w:val="22"/>
              </w:rPr>
              <w:t>78,338</w:t>
            </w:r>
          </w:p>
        </w:tc>
        <w:tc>
          <w:tcPr>
            <w:tcW w:w="1134" w:type="dxa"/>
            <w:vAlign w:val="center"/>
          </w:tcPr>
          <w:p w14:paraId="7796BD0B">
            <w:pPr>
              <w:jc w:val="center"/>
              <w:rPr>
                <w:color w:val="000000"/>
                <w:sz w:val="22"/>
                <w:szCs w:val="22"/>
              </w:rPr>
            </w:pPr>
            <w:r>
              <w:rPr>
                <w:color w:val="000000"/>
                <w:sz w:val="22"/>
                <w:szCs w:val="22"/>
              </w:rPr>
              <w:t>87,0</w:t>
            </w:r>
          </w:p>
        </w:tc>
        <w:tc>
          <w:tcPr>
            <w:tcW w:w="706" w:type="dxa"/>
            <w:vAlign w:val="center"/>
          </w:tcPr>
          <w:p w14:paraId="6CDF54BE">
            <w:pPr>
              <w:jc w:val="center"/>
              <w:rPr>
                <w:color w:val="000000"/>
                <w:sz w:val="22"/>
                <w:szCs w:val="22"/>
              </w:rPr>
            </w:pPr>
            <w:r>
              <w:rPr>
                <w:color w:val="000000"/>
                <w:sz w:val="22"/>
                <w:szCs w:val="22"/>
              </w:rPr>
              <w:t>4,0</w:t>
            </w:r>
          </w:p>
        </w:tc>
        <w:tc>
          <w:tcPr>
            <w:tcW w:w="1278" w:type="dxa"/>
            <w:vAlign w:val="center"/>
          </w:tcPr>
          <w:p w14:paraId="4EC2DFB4">
            <w:pPr>
              <w:jc w:val="center"/>
              <w:rPr>
                <w:color w:val="000000"/>
                <w:sz w:val="22"/>
                <w:szCs w:val="22"/>
              </w:rPr>
            </w:pPr>
            <w:r>
              <w:rPr>
                <w:color w:val="000000"/>
                <w:sz w:val="22"/>
                <w:szCs w:val="22"/>
              </w:rPr>
              <w:t>313,8</w:t>
            </w:r>
          </w:p>
        </w:tc>
        <w:tc>
          <w:tcPr>
            <w:tcW w:w="851" w:type="dxa"/>
            <w:vAlign w:val="center"/>
          </w:tcPr>
          <w:p w14:paraId="250CDEC6">
            <w:pPr>
              <w:jc w:val="center"/>
              <w:rPr>
                <w:color w:val="000000"/>
                <w:sz w:val="22"/>
                <w:szCs w:val="22"/>
              </w:rPr>
            </w:pPr>
            <w:r>
              <w:rPr>
                <w:color w:val="000000"/>
                <w:sz w:val="22"/>
                <w:szCs w:val="22"/>
              </w:rPr>
              <w:t>3,5</w:t>
            </w:r>
          </w:p>
        </w:tc>
        <w:tc>
          <w:tcPr>
            <w:tcW w:w="850" w:type="dxa"/>
            <w:vAlign w:val="center"/>
          </w:tcPr>
          <w:p w14:paraId="79CB185C">
            <w:pPr>
              <w:jc w:val="center"/>
              <w:rPr>
                <w:color w:val="000000"/>
                <w:sz w:val="22"/>
                <w:szCs w:val="22"/>
              </w:rPr>
            </w:pPr>
            <w:r>
              <w:rPr>
                <w:color w:val="000000"/>
                <w:sz w:val="22"/>
                <w:szCs w:val="22"/>
              </w:rPr>
              <w:t>ĐH1</w:t>
            </w:r>
          </w:p>
        </w:tc>
      </w:tr>
      <w:tr w14:paraId="3064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656839F1">
            <w:pPr>
              <w:jc w:val="center"/>
              <w:rPr>
                <w:color w:val="000000"/>
                <w:sz w:val="22"/>
                <w:szCs w:val="22"/>
              </w:rPr>
            </w:pPr>
          </w:p>
        </w:tc>
        <w:tc>
          <w:tcPr>
            <w:tcW w:w="1121" w:type="dxa"/>
            <w:noWrap/>
            <w:vAlign w:val="center"/>
          </w:tcPr>
          <w:p w14:paraId="6A83B9E0">
            <w:pPr>
              <w:jc w:val="center"/>
              <w:rPr>
                <w:color w:val="000000"/>
                <w:sz w:val="22"/>
                <w:szCs w:val="22"/>
              </w:rPr>
            </w:pPr>
            <w:r>
              <w:rPr>
                <w:color w:val="000000"/>
                <w:sz w:val="22"/>
                <w:szCs w:val="22"/>
              </w:rPr>
              <w:t>KL-39:06</w:t>
            </w:r>
          </w:p>
        </w:tc>
        <w:tc>
          <w:tcPr>
            <w:tcW w:w="1147" w:type="dxa"/>
            <w:vAlign w:val="center"/>
          </w:tcPr>
          <w:p w14:paraId="5A7EB2B8">
            <w:pPr>
              <w:jc w:val="center"/>
              <w:rPr>
                <w:color w:val="000000"/>
                <w:sz w:val="22"/>
                <w:szCs w:val="22"/>
              </w:rPr>
            </w:pPr>
            <w:r>
              <w:rPr>
                <w:color w:val="000000"/>
                <w:sz w:val="22"/>
                <w:szCs w:val="22"/>
              </w:rPr>
              <w:t>90,00</w:t>
            </w:r>
          </w:p>
        </w:tc>
        <w:tc>
          <w:tcPr>
            <w:tcW w:w="1098" w:type="dxa"/>
            <w:vAlign w:val="center"/>
          </w:tcPr>
          <w:p w14:paraId="499B2FB5">
            <w:pPr>
              <w:jc w:val="center"/>
              <w:rPr>
                <w:color w:val="000000"/>
                <w:sz w:val="22"/>
                <w:szCs w:val="22"/>
              </w:rPr>
            </w:pPr>
            <w:r>
              <w:rPr>
                <w:color w:val="000000"/>
                <w:sz w:val="22"/>
                <w:szCs w:val="22"/>
              </w:rPr>
              <w:t>78,338</w:t>
            </w:r>
          </w:p>
        </w:tc>
        <w:tc>
          <w:tcPr>
            <w:tcW w:w="1134" w:type="dxa"/>
            <w:vAlign w:val="center"/>
          </w:tcPr>
          <w:p w14:paraId="61821E0D">
            <w:pPr>
              <w:jc w:val="center"/>
              <w:rPr>
                <w:color w:val="000000"/>
                <w:sz w:val="22"/>
                <w:szCs w:val="22"/>
              </w:rPr>
            </w:pPr>
            <w:r>
              <w:rPr>
                <w:color w:val="000000"/>
                <w:sz w:val="22"/>
                <w:szCs w:val="22"/>
              </w:rPr>
              <w:t>87,0</w:t>
            </w:r>
          </w:p>
        </w:tc>
        <w:tc>
          <w:tcPr>
            <w:tcW w:w="706" w:type="dxa"/>
            <w:vAlign w:val="center"/>
          </w:tcPr>
          <w:p w14:paraId="57C7B6C2">
            <w:pPr>
              <w:jc w:val="center"/>
              <w:rPr>
                <w:color w:val="000000"/>
                <w:sz w:val="22"/>
                <w:szCs w:val="22"/>
              </w:rPr>
            </w:pPr>
            <w:r>
              <w:rPr>
                <w:color w:val="000000"/>
                <w:sz w:val="22"/>
                <w:szCs w:val="22"/>
              </w:rPr>
              <w:t>4,0</w:t>
            </w:r>
          </w:p>
        </w:tc>
        <w:tc>
          <w:tcPr>
            <w:tcW w:w="1278" w:type="dxa"/>
            <w:vAlign w:val="center"/>
          </w:tcPr>
          <w:p w14:paraId="23BB08BF">
            <w:pPr>
              <w:jc w:val="center"/>
              <w:rPr>
                <w:color w:val="000000"/>
                <w:sz w:val="22"/>
                <w:szCs w:val="22"/>
              </w:rPr>
            </w:pPr>
            <w:r>
              <w:rPr>
                <w:color w:val="000000"/>
                <w:sz w:val="22"/>
                <w:szCs w:val="22"/>
              </w:rPr>
              <w:t>313,8</w:t>
            </w:r>
          </w:p>
        </w:tc>
        <w:tc>
          <w:tcPr>
            <w:tcW w:w="851" w:type="dxa"/>
            <w:vAlign w:val="center"/>
          </w:tcPr>
          <w:p w14:paraId="594B39D0">
            <w:pPr>
              <w:jc w:val="center"/>
              <w:rPr>
                <w:color w:val="000000"/>
                <w:sz w:val="22"/>
                <w:szCs w:val="22"/>
              </w:rPr>
            </w:pPr>
            <w:r>
              <w:rPr>
                <w:color w:val="000000"/>
                <w:sz w:val="22"/>
                <w:szCs w:val="22"/>
              </w:rPr>
              <w:t>3,5</w:t>
            </w:r>
          </w:p>
        </w:tc>
        <w:tc>
          <w:tcPr>
            <w:tcW w:w="850" w:type="dxa"/>
            <w:vAlign w:val="center"/>
          </w:tcPr>
          <w:p w14:paraId="35F5C3C5">
            <w:pPr>
              <w:jc w:val="center"/>
              <w:rPr>
                <w:color w:val="000000"/>
                <w:sz w:val="22"/>
                <w:szCs w:val="22"/>
              </w:rPr>
            </w:pPr>
            <w:r>
              <w:rPr>
                <w:color w:val="000000"/>
                <w:sz w:val="22"/>
                <w:szCs w:val="22"/>
              </w:rPr>
              <w:t>ĐH1</w:t>
            </w:r>
          </w:p>
        </w:tc>
      </w:tr>
      <w:tr w14:paraId="568F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0C9CA715">
            <w:pPr>
              <w:jc w:val="center"/>
              <w:rPr>
                <w:color w:val="000000"/>
                <w:sz w:val="22"/>
                <w:szCs w:val="22"/>
              </w:rPr>
            </w:pPr>
          </w:p>
        </w:tc>
        <w:tc>
          <w:tcPr>
            <w:tcW w:w="1121" w:type="dxa"/>
            <w:noWrap/>
            <w:vAlign w:val="center"/>
          </w:tcPr>
          <w:p w14:paraId="70C280F4">
            <w:pPr>
              <w:jc w:val="center"/>
              <w:rPr>
                <w:color w:val="000000"/>
                <w:sz w:val="22"/>
                <w:szCs w:val="22"/>
              </w:rPr>
            </w:pPr>
            <w:r>
              <w:rPr>
                <w:color w:val="000000"/>
                <w:sz w:val="22"/>
                <w:szCs w:val="22"/>
              </w:rPr>
              <w:t>KL-39:07</w:t>
            </w:r>
          </w:p>
        </w:tc>
        <w:tc>
          <w:tcPr>
            <w:tcW w:w="1147" w:type="dxa"/>
            <w:vAlign w:val="center"/>
          </w:tcPr>
          <w:p w14:paraId="70DA16E9">
            <w:pPr>
              <w:jc w:val="center"/>
              <w:rPr>
                <w:color w:val="000000"/>
                <w:sz w:val="22"/>
                <w:szCs w:val="22"/>
              </w:rPr>
            </w:pPr>
            <w:r>
              <w:rPr>
                <w:color w:val="000000"/>
                <w:sz w:val="22"/>
                <w:szCs w:val="22"/>
              </w:rPr>
              <w:t>90,00</w:t>
            </w:r>
          </w:p>
        </w:tc>
        <w:tc>
          <w:tcPr>
            <w:tcW w:w="1098" w:type="dxa"/>
            <w:vAlign w:val="center"/>
          </w:tcPr>
          <w:p w14:paraId="79ADD5A9">
            <w:pPr>
              <w:jc w:val="center"/>
              <w:rPr>
                <w:color w:val="000000"/>
                <w:sz w:val="22"/>
                <w:szCs w:val="22"/>
              </w:rPr>
            </w:pPr>
            <w:r>
              <w:rPr>
                <w:color w:val="000000"/>
                <w:sz w:val="22"/>
                <w:szCs w:val="22"/>
              </w:rPr>
              <w:t>78,338</w:t>
            </w:r>
          </w:p>
        </w:tc>
        <w:tc>
          <w:tcPr>
            <w:tcW w:w="1134" w:type="dxa"/>
            <w:vAlign w:val="center"/>
          </w:tcPr>
          <w:p w14:paraId="1CEABFB0">
            <w:pPr>
              <w:jc w:val="center"/>
              <w:rPr>
                <w:color w:val="000000"/>
                <w:sz w:val="22"/>
                <w:szCs w:val="22"/>
              </w:rPr>
            </w:pPr>
            <w:r>
              <w:rPr>
                <w:color w:val="000000"/>
                <w:sz w:val="22"/>
                <w:szCs w:val="22"/>
              </w:rPr>
              <w:t>87,0</w:t>
            </w:r>
          </w:p>
        </w:tc>
        <w:tc>
          <w:tcPr>
            <w:tcW w:w="706" w:type="dxa"/>
            <w:vAlign w:val="center"/>
          </w:tcPr>
          <w:p w14:paraId="74C89030">
            <w:pPr>
              <w:jc w:val="center"/>
              <w:rPr>
                <w:color w:val="000000"/>
                <w:sz w:val="22"/>
                <w:szCs w:val="22"/>
              </w:rPr>
            </w:pPr>
            <w:r>
              <w:rPr>
                <w:color w:val="000000"/>
                <w:sz w:val="22"/>
                <w:szCs w:val="22"/>
              </w:rPr>
              <w:t>4,0</w:t>
            </w:r>
          </w:p>
        </w:tc>
        <w:tc>
          <w:tcPr>
            <w:tcW w:w="1278" w:type="dxa"/>
            <w:vAlign w:val="center"/>
          </w:tcPr>
          <w:p w14:paraId="4D5065B1">
            <w:pPr>
              <w:jc w:val="center"/>
              <w:rPr>
                <w:color w:val="000000"/>
                <w:sz w:val="22"/>
                <w:szCs w:val="22"/>
              </w:rPr>
            </w:pPr>
            <w:r>
              <w:rPr>
                <w:color w:val="000000"/>
                <w:sz w:val="22"/>
                <w:szCs w:val="22"/>
              </w:rPr>
              <w:t>313,8</w:t>
            </w:r>
          </w:p>
        </w:tc>
        <w:tc>
          <w:tcPr>
            <w:tcW w:w="851" w:type="dxa"/>
            <w:vAlign w:val="center"/>
          </w:tcPr>
          <w:p w14:paraId="205A12A4">
            <w:pPr>
              <w:jc w:val="center"/>
              <w:rPr>
                <w:color w:val="000000"/>
                <w:sz w:val="22"/>
                <w:szCs w:val="22"/>
              </w:rPr>
            </w:pPr>
            <w:r>
              <w:rPr>
                <w:color w:val="000000"/>
                <w:sz w:val="22"/>
                <w:szCs w:val="22"/>
              </w:rPr>
              <w:t>3,5</w:t>
            </w:r>
          </w:p>
        </w:tc>
        <w:tc>
          <w:tcPr>
            <w:tcW w:w="850" w:type="dxa"/>
            <w:vAlign w:val="center"/>
          </w:tcPr>
          <w:p w14:paraId="3A89E12A">
            <w:pPr>
              <w:jc w:val="center"/>
              <w:rPr>
                <w:color w:val="000000"/>
                <w:sz w:val="22"/>
                <w:szCs w:val="22"/>
              </w:rPr>
            </w:pPr>
            <w:r>
              <w:rPr>
                <w:color w:val="000000"/>
                <w:sz w:val="22"/>
                <w:szCs w:val="22"/>
              </w:rPr>
              <w:t>ĐH1</w:t>
            </w:r>
          </w:p>
        </w:tc>
      </w:tr>
      <w:tr w14:paraId="723C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67F5F55B">
            <w:pPr>
              <w:jc w:val="center"/>
              <w:rPr>
                <w:color w:val="000000"/>
                <w:sz w:val="22"/>
                <w:szCs w:val="22"/>
              </w:rPr>
            </w:pPr>
          </w:p>
        </w:tc>
        <w:tc>
          <w:tcPr>
            <w:tcW w:w="1121" w:type="dxa"/>
            <w:noWrap/>
            <w:vAlign w:val="center"/>
          </w:tcPr>
          <w:p w14:paraId="61D29C77">
            <w:pPr>
              <w:jc w:val="center"/>
              <w:rPr>
                <w:color w:val="000000"/>
                <w:sz w:val="22"/>
                <w:szCs w:val="22"/>
              </w:rPr>
            </w:pPr>
            <w:r>
              <w:rPr>
                <w:color w:val="000000"/>
                <w:sz w:val="22"/>
                <w:szCs w:val="22"/>
              </w:rPr>
              <w:t>KL-39:08</w:t>
            </w:r>
          </w:p>
        </w:tc>
        <w:tc>
          <w:tcPr>
            <w:tcW w:w="1147" w:type="dxa"/>
            <w:vAlign w:val="center"/>
          </w:tcPr>
          <w:p w14:paraId="67C97D76">
            <w:pPr>
              <w:jc w:val="center"/>
              <w:rPr>
                <w:color w:val="000000"/>
                <w:sz w:val="22"/>
                <w:szCs w:val="22"/>
              </w:rPr>
            </w:pPr>
            <w:r>
              <w:rPr>
                <w:color w:val="000000"/>
                <w:sz w:val="22"/>
                <w:szCs w:val="22"/>
              </w:rPr>
              <w:t>90,00</w:t>
            </w:r>
          </w:p>
        </w:tc>
        <w:tc>
          <w:tcPr>
            <w:tcW w:w="1098" w:type="dxa"/>
            <w:vAlign w:val="center"/>
          </w:tcPr>
          <w:p w14:paraId="37DEF7DA">
            <w:pPr>
              <w:jc w:val="center"/>
              <w:rPr>
                <w:color w:val="000000"/>
                <w:sz w:val="22"/>
                <w:szCs w:val="22"/>
              </w:rPr>
            </w:pPr>
            <w:r>
              <w:rPr>
                <w:color w:val="000000"/>
                <w:sz w:val="22"/>
                <w:szCs w:val="22"/>
              </w:rPr>
              <w:t>78,338</w:t>
            </w:r>
          </w:p>
        </w:tc>
        <w:tc>
          <w:tcPr>
            <w:tcW w:w="1134" w:type="dxa"/>
            <w:vAlign w:val="center"/>
          </w:tcPr>
          <w:p w14:paraId="7FD733D1">
            <w:pPr>
              <w:jc w:val="center"/>
              <w:rPr>
                <w:color w:val="000000"/>
                <w:sz w:val="22"/>
                <w:szCs w:val="22"/>
              </w:rPr>
            </w:pPr>
            <w:r>
              <w:rPr>
                <w:color w:val="000000"/>
                <w:sz w:val="22"/>
                <w:szCs w:val="22"/>
              </w:rPr>
              <w:t>87,0</w:t>
            </w:r>
          </w:p>
        </w:tc>
        <w:tc>
          <w:tcPr>
            <w:tcW w:w="706" w:type="dxa"/>
            <w:vAlign w:val="center"/>
          </w:tcPr>
          <w:p w14:paraId="7DEBE005">
            <w:pPr>
              <w:jc w:val="center"/>
              <w:rPr>
                <w:color w:val="000000"/>
                <w:sz w:val="22"/>
                <w:szCs w:val="22"/>
              </w:rPr>
            </w:pPr>
            <w:r>
              <w:rPr>
                <w:color w:val="000000"/>
                <w:sz w:val="22"/>
                <w:szCs w:val="22"/>
              </w:rPr>
              <w:t>4,0</w:t>
            </w:r>
          </w:p>
        </w:tc>
        <w:tc>
          <w:tcPr>
            <w:tcW w:w="1278" w:type="dxa"/>
            <w:vAlign w:val="center"/>
          </w:tcPr>
          <w:p w14:paraId="5CFE0CD6">
            <w:pPr>
              <w:jc w:val="center"/>
              <w:rPr>
                <w:color w:val="000000"/>
                <w:sz w:val="22"/>
                <w:szCs w:val="22"/>
              </w:rPr>
            </w:pPr>
            <w:r>
              <w:rPr>
                <w:color w:val="000000"/>
                <w:sz w:val="22"/>
                <w:szCs w:val="22"/>
              </w:rPr>
              <w:t>313,8</w:t>
            </w:r>
          </w:p>
        </w:tc>
        <w:tc>
          <w:tcPr>
            <w:tcW w:w="851" w:type="dxa"/>
            <w:vAlign w:val="center"/>
          </w:tcPr>
          <w:p w14:paraId="193F52AC">
            <w:pPr>
              <w:jc w:val="center"/>
              <w:rPr>
                <w:color w:val="000000"/>
                <w:sz w:val="22"/>
                <w:szCs w:val="22"/>
              </w:rPr>
            </w:pPr>
            <w:r>
              <w:rPr>
                <w:color w:val="000000"/>
                <w:sz w:val="22"/>
                <w:szCs w:val="22"/>
              </w:rPr>
              <w:t>3,5</w:t>
            </w:r>
          </w:p>
        </w:tc>
        <w:tc>
          <w:tcPr>
            <w:tcW w:w="850" w:type="dxa"/>
            <w:vAlign w:val="center"/>
          </w:tcPr>
          <w:p w14:paraId="2D535DA9">
            <w:pPr>
              <w:jc w:val="center"/>
              <w:rPr>
                <w:color w:val="000000"/>
                <w:sz w:val="22"/>
                <w:szCs w:val="22"/>
              </w:rPr>
            </w:pPr>
            <w:r>
              <w:rPr>
                <w:color w:val="000000"/>
                <w:sz w:val="22"/>
                <w:szCs w:val="22"/>
              </w:rPr>
              <w:t>ĐH1</w:t>
            </w:r>
          </w:p>
        </w:tc>
      </w:tr>
      <w:tr w14:paraId="3B85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28436786">
            <w:pPr>
              <w:jc w:val="center"/>
              <w:rPr>
                <w:color w:val="000000"/>
                <w:sz w:val="22"/>
                <w:szCs w:val="22"/>
              </w:rPr>
            </w:pPr>
          </w:p>
        </w:tc>
        <w:tc>
          <w:tcPr>
            <w:tcW w:w="1121" w:type="dxa"/>
            <w:noWrap/>
            <w:vAlign w:val="center"/>
          </w:tcPr>
          <w:p w14:paraId="3CE734F4">
            <w:pPr>
              <w:jc w:val="center"/>
              <w:rPr>
                <w:color w:val="000000"/>
                <w:sz w:val="22"/>
                <w:szCs w:val="22"/>
              </w:rPr>
            </w:pPr>
            <w:r>
              <w:rPr>
                <w:color w:val="000000"/>
                <w:sz w:val="22"/>
                <w:szCs w:val="22"/>
              </w:rPr>
              <w:t>KL-39:09</w:t>
            </w:r>
          </w:p>
        </w:tc>
        <w:tc>
          <w:tcPr>
            <w:tcW w:w="1147" w:type="dxa"/>
            <w:vAlign w:val="center"/>
          </w:tcPr>
          <w:p w14:paraId="0CE7541A">
            <w:pPr>
              <w:jc w:val="center"/>
              <w:rPr>
                <w:color w:val="000000"/>
                <w:sz w:val="22"/>
                <w:szCs w:val="22"/>
              </w:rPr>
            </w:pPr>
            <w:r>
              <w:rPr>
                <w:color w:val="000000"/>
                <w:sz w:val="22"/>
                <w:szCs w:val="22"/>
              </w:rPr>
              <w:t>90,00</w:t>
            </w:r>
          </w:p>
        </w:tc>
        <w:tc>
          <w:tcPr>
            <w:tcW w:w="1098" w:type="dxa"/>
            <w:vAlign w:val="center"/>
          </w:tcPr>
          <w:p w14:paraId="21922CA8">
            <w:pPr>
              <w:jc w:val="center"/>
              <w:rPr>
                <w:color w:val="000000"/>
                <w:sz w:val="22"/>
                <w:szCs w:val="22"/>
              </w:rPr>
            </w:pPr>
            <w:r>
              <w:rPr>
                <w:color w:val="000000"/>
                <w:sz w:val="22"/>
                <w:szCs w:val="22"/>
              </w:rPr>
              <w:t>78,338</w:t>
            </w:r>
          </w:p>
        </w:tc>
        <w:tc>
          <w:tcPr>
            <w:tcW w:w="1134" w:type="dxa"/>
            <w:vAlign w:val="center"/>
          </w:tcPr>
          <w:p w14:paraId="7FC8003F">
            <w:pPr>
              <w:jc w:val="center"/>
              <w:rPr>
                <w:color w:val="000000"/>
                <w:sz w:val="22"/>
                <w:szCs w:val="22"/>
              </w:rPr>
            </w:pPr>
            <w:r>
              <w:rPr>
                <w:color w:val="000000"/>
                <w:sz w:val="22"/>
                <w:szCs w:val="22"/>
              </w:rPr>
              <w:t>87,0</w:t>
            </w:r>
          </w:p>
        </w:tc>
        <w:tc>
          <w:tcPr>
            <w:tcW w:w="706" w:type="dxa"/>
            <w:vAlign w:val="center"/>
          </w:tcPr>
          <w:p w14:paraId="36BE5B36">
            <w:pPr>
              <w:jc w:val="center"/>
              <w:rPr>
                <w:color w:val="000000"/>
                <w:sz w:val="22"/>
                <w:szCs w:val="22"/>
              </w:rPr>
            </w:pPr>
            <w:r>
              <w:rPr>
                <w:color w:val="000000"/>
                <w:sz w:val="22"/>
                <w:szCs w:val="22"/>
              </w:rPr>
              <w:t>4,0</w:t>
            </w:r>
          </w:p>
        </w:tc>
        <w:tc>
          <w:tcPr>
            <w:tcW w:w="1278" w:type="dxa"/>
            <w:vAlign w:val="center"/>
          </w:tcPr>
          <w:p w14:paraId="3FBDF6DE">
            <w:pPr>
              <w:jc w:val="center"/>
              <w:rPr>
                <w:color w:val="000000"/>
                <w:sz w:val="22"/>
                <w:szCs w:val="22"/>
              </w:rPr>
            </w:pPr>
            <w:r>
              <w:rPr>
                <w:color w:val="000000"/>
                <w:sz w:val="22"/>
                <w:szCs w:val="22"/>
              </w:rPr>
              <w:t>313,8</w:t>
            </w:r>
          </w:p>
        </w:tc>
        <w:tc>
          <w:tcPr>
            <w:tcW w:w="851" w:type="dxa"/>
            <w:vAlign w:val="center"/>
          </w:tcPr>
          <w:p w14:paraId="75B46ABA">
            <w:pPr>
              <w:jc w:val="center"/>
              <w:rPr>
                <w:color w:val="000000"/>
                <w:sz w:val="22"/>
                <w:szCs w:val="22"/>
              </w:rPr>
            </w:pPr>
            <w:r>
              <w:rPr>
                <w:color w:val="000000"/>
                <w:sz w:val="22"/>
                <w:szCs w:val="22"/>
              </w:rPr>
              <w:t>3,5</w:t>
            </w:r>
          </w:p>
        </w:tc>
        <w:tc>
          <w:tcPr>
            <w:tcW w:w="850" w:type="dxa"/>
            <w:vAlign w:val="center"/>
          </w:tcPr>
          <w:p w14:paraId="256F57BC">
            <w:pPr>
              <w:jc w:val="center"/>
              <w:rPr>
                <w:color w:val="000000"/>
                <w:sz w:val="22"/>
                <w:szCs w:val="22"/>
              </w:rPr>
            </w:pPr>
            <w:r>
              <w:rPr>
                <w:color w:val="000000"/>
                <w:sz w:val="22"/>
                <w:szCs w:val="22"/>
              </w:rPr>
              <w:t>ĐH1</w:t>
            </w:r>
          </w:p>
        </w:tc>
      </w:tr>
      <w:tr w14:paraId="21A1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0D58F1DC">
            <w:pPr>
              <w:jc w:val="center"/>
              <w:rPr>
                <w:color w:val="000000"/>
                <w:sz w:val="22"/>
                <w:szCs w:val="22"/>
              </w:rPr>
            </w:pPr>
          </w:p>
        </w:tc>
        <w:tc>
          <w:tcPr>
            <w:tcW w:w="1121" w:type="dxa"/>
            <w:noWrap/>
            <w:vAlign w:val="center"/>
          </w:tcPr>
          <w:p w14:paraId="28434330">
            <w:pPr>
              <w:jc w:val="center"/>
              <w:rPr>
                <w:color w:val="000000"/>
                <w:sz w:val="22"/>
                <w:szCs w:val="22"/>
              </w:rPr>
            </w:pPr>
            <w:r>
              <w:rPr>
                <w:color w:val="000000"/>
                <w:sz w:val="22"/>
                <w:szCs w:val="22"/>
              </w:rPr>
              <w:t>KL-39:10</w:t>
            </w:r>
          </w:p>
        </w:tc>
        <w:tc>
          <w:tcPr>
            <w:tcW w:w="1147" w:type="dxa"/>
            <w:vAlign w:val="center"/>
          </w:tcPr>
          <w:p w14:paraId="3775601B">
            <w:pPr>
              <w:jc w:val="center"/>
              <w:rPr>
                <w:color w:val="000000"/>
                <w:sz w:val="22"/>
                <w:szCs w:val="22"/>
              </w:rPr>
            </w:pPr>
            <w:r>
              <w:rPr>
                <w:color w:val="000000"/>
                <w:sz w:val="22"/>
                <w:szCs w:val="22"/>
              </w:rPr>
              <w:t>90,00</w:t>
            </w:r>
          </w:p>
        </w:tc>
        <w:tc>
          <w:tcPr>
            <w:tcW w:w="1098" w:type="dxa"/>
            <w:vAlign w:val="center"/>
          </w:tcPr>
          <w:p w14:paraId="2CF4B337">
            <w:pPr>
              <w:jc w:val="center"/>
              <w:rPr>
                <w:color w:val="000000"/>
                <w:sz w:val="22"/>
                <w:szCs w:val="22"/>
              </w:rPr>
            </w:pPr>
            <w:r>
              <w:rPr>
                <w:color w:val="000000"/>
                <w:sz w:val="22"/>
                <w:szCs w:val="22"/>
              </w:rPr>
              <w:t>78,338</w:t>
            </w:r>
          </w:p>
        </w:tc>
        <w:tc>
          <w:tcPr>
            <w:tcW w:w="1134" w:type="dxa"/>
            <w:vAlign w:val="center"/>
          </w:tcPr>
          <w:p w14:paraId="428C22CA">
            <w:pPr>
              <w:jc w:val="center"/>
              <w:rPr>
                <w:color w:val="000000"/>
                <w:sz w:val="22"/>
                <w:szCs w:val="22"/>
              </w:rPr>
            </w:pPr>
            <w:r>
              <w:rPr>
                <w:color w:val="000000"/>
                <w:sz w:val="22"/>
                <w:szCs w:val="22"/>
              </w:rPr>
              <w:t>87,0</w:t>
            </w:r>
          </w:p>
        </w:tc>
        <w:tc>
          <w:tcPr>
            <w:tcW w:w="706" w:type="dxa"/>
            <w:vAlign w:val="center"/>
          </w:tcPr>
          <w:p w14:paraId="151F891C">
            <w:pPr>
              <w:jc w:val="center"/>
              <w:rPr>
                <w:color w:val="000000"/>
                <w:sz w:val="22"/>
                <w:szCs w:val="22"/>
              </w:rPr>
            </w:pPr>
            <w:r>
              <w:rPr>
                <w:color w:val="000000"/>
                <w:sz w:val="22"/>
                <w:szCs w:val="22"/>
              </w:rPr>
              <w:t>4,0</w:t>
            </w:r>
          </w:p>
        </w:tc>
        <w:tc>
          <w:tcPr>
            <w:tcW w:w="1278" w:type="dxa"/>
            <w:vAlign w:val="center"/>
          </w:tcPr>
          <w:p w14:paraId="75DBB5F5">
            <w:pPr>
              <w:jc w:val="center"/>
              <w:rPr>
                <w:color w:val="000000"/>
                <w:sz w:val="22"/>
                <w:szCs w:val="22"/>
              </w:rPr>
            </w:pPr>
            <w:r>
              <w:rPr>
                <w:color w:val="000000"/>
                <w:sz w:val="22"/>
                <w:szCs w:val="22"/>
              </w:rPr>
              <w:t>313,8</w:t>
            </w:r>
          </w:p>
        </w:tc>
        <w:tc>
          <w:tcPr>
            <w:tcW w:w="851" w:type="dxa"/>
            <w:vAlign w:val="center"/>
          </w:tcPr>
          <w:p w14:paraId="08E08074">
            <w:pPr>
              <w:jc w:val="center"/>
              <w:rPr>
                <w:color w:val="000000"/>
                <w:sz w:val="22"/>
                <w:szCs w:val="22"/>
              </w:rPr>
            </w:pPr>
            <w:r>
              <w:rPr>
                <w:color w:val="000000"/>
                <w:sz w:val="22"/>
                <w:szCs w:val="22"/>
              </w:rPr>
              <w:t>3,5</w:t>
            </w:r>
          </w:p>
        </w:tc>
        <w:tc>
          <w:tcPr>
            <w:tcW w:w="850" w:type="dxa"/>
            <w:vAlign w:val="center"/>
          </w:tcPr>
          <w:p w14:paraId="27AC8CC7">
            <w:pPr>
              <w:jc w:val="center"/>
              <w:rPr>
                <w:color w:val="000000"/>
                <w:sz w:val="22"/>
                <w:szCs w:val="22"/>
              </w:rPr>
            </w:pPr>
            <w:r>
              <w:rPr>
                <w:color w:val="000000"/>
                <w:sz w:val="22"/>
                <w:szCs w:val="22"/>
              </w:rPr>
              <w:t>ĐH1</w:t>
            </w:r>
          </w:p>
        </w:tc>
      </w:tr>
      <w:tr w14:paraId="6EE8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4938DCD4">
            <w:pPr>
              <w:jc w:val="center"/>
              <w:rPr>
                <w:b/>
                <w:bCs/>
                <w:color w:val="000000"/>
                <w:sz w:val="22"/>
                <w:szCs w:val="22"/>
              </w:rPr>
            </w:pPr>
            <w:r>
              <w:rPr>
                <w:b/>
                <w:bCs/>
                <w:color w:val="000000"/>
                <w:sz w:val="22"/>
                <w:szCs w:val="22"/>
              </w:rPr>
              <w:t>Tổng</w:t>
            </w:r>
          </w:p>
        </w:tc>
        <w:tc>
          <w:tcPr>
            <w:tcW w:w="1121" w:type="dxa"/>
            <w:noWrap/>
            <w:vAlign w:val="center"/>
          </w:tcPr>
          <w:p w14:paraId="257C9FC3">
            <w:pPr>
              <w:jc w:val="center"/>
              <w:rPr>
                <w:b/>
                <w:bCs/>
                <w:color w:val="000000"/>
                <w:sz w:val="22"/>
                <w:szCs w:val="22"/>
              </w:rPr>
            </w:pPr>
            <w:r>
              <w:rPr>
                <w:b/>
                <w:bCs/>
                <w:color w:val="000000"/>
                <w:sz w:val="22"/>
                <w:szCs w:val="22"/>
              </w:rPr>
              <w:t>KL-39</w:t>
            </w:r>
          </w:p>
        </w:tc>
        <w:tc>
          <w:tcPr>
            <w:tcW w:w="1147" w:type="dxa"/>
            <w:vAlign w:val="center"/>
          </w:tcPr>
          <w:p w14:paraId="3909C126">
            <w:pPr>
              <w:jc w:val="center"/>
              <w:rPr>
                <w:b/>
                <w:bCs/>
                <w:color w:val="000000"/>
                <w:sz w:val="22"/>
                <w:szCs w:val="22"/>
              </w:rPr>
            </w:pPr>
            <w:r>
              <w:rPr>
                <w:b/>
                <w:bCs/>
                <w:color w:val="000000"/>
                <w:sz w:val="22"/>
                <w:szCs w:val="22"/>
              </w:rPr>
              <w:t>946,50</w:t>
            </w:r>
          </w:p>
        </w:tc>
        <w:tc>
          <w:tcPr>
            <w:tcW w:w="1098" w:type="dxa"/>
            <w:vAlign w:val="center"/>
          </w:tcPr>
          <w:p w14:paraId="4643A951">
            <w:pPr>
              <w:jc w:val="center"/>
              <w:rPr>
                <w:b/>
                <w:bCs/>
                <w:color w:val="000000"/>
                <w:sz w:val="22"/>
                <w:szCs w:val="22"/>
              </w:rPr>
            </w:pPr>
            <w:r>
              <w:rPr>
                <w:b/>
                <w:bCs/>
                <w:color w:val="000000"/>
                <w:sz w:val="22"/>
                <w:szCs w:val="22"/>
              </w:rPr>
              <w:t>828,5</w:t>
            </w:r>
          </w:p>
        </w:tc>
        <w:tc>
          <w:tcPr>
            <w:tcW w:w="1134" w:type="dxa"/>
            <w:vAlign w:val="center"/>
          </w:tcPr>
          <w:p w14:paraId="2CC37273">
            <w:pPr>
              <w:jc w:val="center"/>
              <w:rPr>
                <w:b/>
                <w:bCs/>
                <w:color w:val="000000"/>
                <w:sz w:val="22"/>
                <w:szCs w:val="22"/>
              </w:rPr>
            </w:pPr>
            <w:r>
              <w:rPr>
                <w:b/>
                <w:bCs/>
                <w:color w:val="000000"/>
                <w:sz w:val="22"/>
                <w:szCs w:val="22"/>
              </w:rPr>
              <w:t>87,5</w:t>
            </w:r>
          </w:p>
        </w:tc>
        <w:tc>
          <w:tcPr>
            <w:tcW w:w="706" w:type="dxa"/>
            <w:vAlign w:val="center"/>
          </w:tcPr>
          <w:p w14:paraId="610A8070">
            <w:pPr>
              <w:jc w:val="center"/>
              <w:rPr>
                <w:color w:val="000000"/>
                <w:sz w:val="22"/>
                <w:szCs w:val="22"/>
              </w:rPr>
            </w:pPr>
          </w:p>
        </w:tc>
        <w:tc>
          <w:tcPr>
            <w:tcW w:w="1278" w:type="dxa"/>
            <w:vAlign w:val="center"/>
          </w:tcPr>
          <w:p w14:paraId="6AEE40A5">
            <w:pPr>
              <w:jc w:val="center"/>
              <w:rPr>
                <w:b/>
                <w:bCs/>
                <w:color w:val="000000"/>
                <w:sz w:val="22"/>
                <w:szCs w:val="22"/>
              </w:rPr>
            </w:pPr>
            <w:r>
              <w:rPr>
                <w:b/>
                <w:bCs/>
                <w:color w:val="000000"/>
                <w:sz w:val="22"/>
                <w:szCs w:val="22"/>
              </w:rPr>
              <w:t>3.360,1</w:t>
            </w:r>
          </w:p>
        </w:tc>
        <w:tc>
          <w:tcPr>
            <w:tcW w:w="851" w:type="dxa"/>
            <w:vAlign w:val="center"/>
          </w:tcPr>
          <w:p w14:paraId="5132F2BA">
            <w:pPr>
              <w:jc w:val="center"/>
              <w:rPr>
                <w:b/>
                <w:bCs/>
                <w:color w:val="000000"/>
                <w:sz w:val="22"/>
                <w:szCs w:val="22"/>
              </w:rPr>
            </w:pPr>
            <w:r>
              <w:rPr>
                <w:b/>
                <w:bCs/>
                <w:color w:val="000000"/>
                <w:sz w:val="22"/>
                <w:szCs w:val="22"/>
              </w:rPr>
              <w:t>3,5</w:t>
            </w:r>
          </w:p>
        </w:tc>
        <w:tc>
          <w:tcPr>
            <w:tcW w:w="850" w:type="dxa"/>
            <w:vAlign w:val="center"/>
          </w:tcPr>
          <w:p w14:paraId="2A969BEB">
            <w:pPr>
              <w:jc w:val="center"/>
              <w:rPr>
                <w:color w:val="000000"/>
                <w:sz w:val="22"/>
                <w:szCs w:val="22"/>
              </w:rPr>
            </w:pPr>
          </w:p>
        </w:tc>
      </w:tr>
      <w:tr w14:paraId="31FC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6195023F">
            <w:pPr>
              <w:jc w:val="center"/>
              <w:rPr>
                <w:color w:val="000000"/>
                <w:sz w:val="22"/>
                <w:szCs w:val="22"/>
              </w:rPr>
            </w:pPr>
            <w:r>
              <w:rPr>
                <w:color w:val="000000"/>
                <w:sz w:val="22"/>
                <w:szCs w:val="22"/>
              </w:rPr>
              <w:t>LK41</w:t>
            </w:r>
          </w:p>
        </w:tc>
        <w:tc>
          <w:tcPr>
            <w:tcW w:w="1121" w:type="dxa"/>
            <w:noWrap/>
            <w:vAlign w:val="center"/>
          </w:tcPr>
          <w:p w14:paraId="2C842073">
            <w:pPr>
              <w:jc w:val="center"/>
              <w:rPr>
                <w:color w:val="000000"/>
                <w:sz w:val="22"/>
                <w:szCs w:val="22"/>
              </w:rPr>
            </w:pPr>
            <w:r>
              <w:rPr>
                <w:color w:val="000000"/>
                <w:sz w:val="22"/>
                <w:szCs w:val="22"/>
              </w:rPr>
              <w:t>KL-41:01</w:t>
            </w:r>
          </w:p>
        </w:tc>
        <w:tc>
          <w:tcPr>
            <w:tcW w:w="1147" w:type="dxa"/>
            <w:vAlign w:val="center"/>
          </w:tcPr>
          <w:p w14:paraId="63DDB564">
            <w:pPr>
              <w:jc w:val="center"/>
              <w:rPr>
                <w:color w:val="000000"/>
                <w:sz w:val="22"/>
                <w:szCs w:val="22"/>
              </w:rPr>
            </w:pPr>
            <w:r>
              <w:rPr>
                <w:color w:val="000000"/>
                <w:sz w:val="22"/>
                <w:szCs w:val="22"/>
              </w:rPr>
              <w:t>90,00</w:t>
            </w:r>
          </w:p>
        </w:tc>
        <w:tc>
          <w:tcPr>
            <w:tcW w:w="1098" w:type="dxa"/>
            <w:vAlign w:val="center"/>
          </w:tcPr>
          <w:p w14:paraId="4B84A075">
            <w:pPr>
              <w:jc w:val="center"/>
              <w:rPr>
                <w:color w:val="000000"/>
                <w:sz w:val="22"/>
                <w:szCs w:val="22"/>
              </w:rPr>
            </w:pPr>
            <w:r>
              <w:rPr>
                <w:color w:val="000000"/>
                <w:sz w:val="22"/>
                <w:szCs w:val="22"/>
              </w:rPr>
              <w:t>78,338</w:t>
            </w:r>
          </w:p>
        </w:tc>
        <w:tc>
          <w:tcPr>
            <w:tcW w:w="1134" w:type="dxa"/>
            <w:vAlign w:val="center"/>
          </w:tcPr>
          <w:p w14:paraId="3A0C8E42">
            <w:pPr>
              <w:jc w:val="center"/>
              <w:rPr>
                <w:color w:val="000000"/>
                <w:sz w:val="22"/>
                <w:szCs w:val="22"/>
              </w:rPr>
            </w:pPr>
            <w:r>
              <w:rPr>
                <w:color w:val="000000"/>
                <w:sz w:val="22"/>
                <w:szCs w:val="22"/>
              </w:rPr>
              <w:t>87,0</w:t>
            </w:r>
          </w:p>
        </w:tc>
        <w:tc>
          <w:tcPr>
            <w:tcW w:w="706" w:type="dxa"/>
            <w:vAlign w:val="center"/>
          </w:tcPr>
          <w:p w14:paraId="0EBA4715">
            <w:pPr>
              <w:jc w:val="center"/>
              <w:rPr>
                <w:color w:val="000000"/>
                <w:sz w:val="22"/>
                <w:szCs w:val="22"/>
              </w:rPr>
            </w:pPr>
            <w:r>
              <w:rPr>
                <w:color w:val="000000"/>
                <w:sz w:val="22"/>
                <w:szCs w:val="22"/>
              </w:rPr>
              <w:t>4,0</w:t>
            </w:r>
          </w:p>
        </w:tc>
        <w:tc>
          <w:tcPr>
            <w:tcW w:w="1278" w:type="dxa"/>
            <w:vAlign w:val="center"/>
          </w:tcPr>
          <w:p w14:paraId="1B45A096">
            <w:pPr>
              <w:jc w:val="center"/>
              <w:rPr>
                <w:color w:val="000000"/>
                <w:sz w:val="22"/>
                <w:szCs w:val="22"/>
              </w:rPr>
            </w:pPr>
            <w:r>
              <w:rPr>
                <w:color w:val="000000"/>
                <w:sz w:val="22"/>
                <w:szCs w:val="22"/>
              </w:rPr>
              <w:t>313,8</w:t>
            </w:r>
          </w:p>
        </w:tc>
        <w:tc>
          <w:tcPr>
            <w:tcW w:w="851" w:type="dxa"/>
            <w:vAlign w:val="center"/>
          </w:tcPr>
          <w:p w14:paraId="592E578F">
            <w:pPr>
              <w:jc w:val="center"/>
              <w:rPr>
                <w:color w:val="000000"/>
                <w:sz w:val="22"/>
                <w:szCs w:val="22"/>
              </w:rPr>
            </w:pPr>
            <w:r>
              <w:rPr>
                <w:color w:val="000000"/>
                <w:sz w:val="22"/>
                <w:szCs w:val="22"/>
              </w:rPr>
              <w:t>3,5</w:t>
            </w:r>
          </w:p>
        </w:tc>
        <w:tc>
          <w:tcPr>
            <w:tcW w:w="850" w:type="dxa"/>
            <w:vAlign w:val="center"/>
          </w:tcPr>
          <w:p w14:paraId="61E1E436">
            <w:pPr>
              <w:jc w:val="center"/>
              <w:rPr>
                <w:color w:val="000000"/>
                <w:sz w:val="22"/>
                <w:szCs w:val="22"/>
              </w:rPr>
            </w:pPr>
            <w:r>
              <w:rPr>
                <w:color w:val="000000"/>
                <w:sz w:val="22"/>
                <w:szCs w:val="22"/>
              </w:rPr>
              <w:t>ĐH1</w:t>
            </w:r>
          </w:p>
        </w:tc>
      </w:tr>
      <w:tr w14:paraId="5BAE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A8E9B66">
            <w:pPr>
              <w:jc w:val="center"/>
              <w:rPr>
                <w:color w:val="000000"/>
                <w:sz w:val="22"/>
                <w:szCs w:val="22"/>
              </w:rPr>
            </w:pPr>
          </w:p>
        </w:tc>
        <w:tc>
          <w:tcPr>
            <w:tcW w:w="1121" w:type="dxa"/>
            <w:noWrap/>
            <w:vAlign w:val="center"/>
          </w:tcPr>
          <w:p w14:paraId="5BEC6D66">
            <w:pPr>
              <w:jc w:val="center"/>
              <w:rPr>
                <w:color w:val="000000"/>
                <w:sz w:val="22"/>
                <w:szCs w:val="22"/>
              </w:rPr>
            </w:pPr>
            <w:r>
              <w:rPr>
                <w:color w:val="000000"/>
                <w:sz w:val="22"/>
                <w:szCs w:val="22"/>
              </w:rPr>
              <w:t>KL-41:02</w:t>
            </w:r>
          </w:p>
        </w:tc>
        <w:tc>
          <w:tcPr>
            <w:tcW w:w="1147" w:type="dxa"/>
            <w:vAlign w:val="center"/>
          </w:tcPr>
          <w:p w14:paraId="182DB7A0">
            <w:pPr>
              <w:jc w:val="center"/>
              <w:rPr>
                <w:color w:val="000000"/>
                <w:sz w:val="22"/>
                <w:szCs w:val="22"/>
              </w:rPr>
            </w:pPr>
            <w:r>
              <w:rPr>
                <w:color w:val="000000"/>
                <w:sz w:val="22"/>
                <w:szCs w:val="22"/>
              </w:rPr>
              <w:t>90,00</w:t>
            </w:r>
          </w:p>
        </w:tc>
        <w:tc>
          <w:tcPr>
            <w:tcW w:w="1098" w:type="dxa"/>
            <w:vAlign w:val="center"/>
          </w:tcPr>
          <w:p w14:paraId="2CEA393C">
            <w:pPr>
              <w:jc w:val="center"/>
              <w:rPr>
                <w:color w:val="000000"/>
                <w:sz w:val="22"/>
                <w:szCs w:val="22"/>
              </w:rPr>
            </w:pPr>
            <w:r>
              <w:rPr>
                <w:color w:val="000000"/>
                <w:sz w:val="22"/>
                <w:szCs w:val="22"/>
              </w:rPr>
              <w:t>78,338</w:t>
            </w:r>
          </w:p>
        </w:tc>
        <w:tc>
          <w:tcPr>
            <w:tcW w:w="1134" w:type="dxa"/>
            <w:vAlign w:val="center"/>
          </w:tcPr>
          <w:p w14:paraId="30A290E8">
            <w:pPr>
              <w:jc w:val="center"/>
              <w:rPr>
                <w:color w:val="000000"/>
                <w:sz w:val="22"/>
                <w:szCs w:val="22"/>
              </w:rPr>
            </w:pPr>
            <w:r>
              <w:rPr>
                <w:color w:val="000000"/>
                <w:sz w:val="22"/>
                <w:szCs w:val="22"/>
              </w:rPr>
              <w:t>87,0</w:t>
            </w:r>
          </w:p>
        </w:tc>
        <w:tc>
          <w:tcPr>
            <w:tcW w:w="706" w:type="dxa"/>
            <w:vAlign w:val="center"/>
          </w:tcPr>
          <w:p w14:paraId="679DF383">
            <w:pPr>
              <w:jc w:val="center"/>
              <w:rPr>
                <w:color w:val="000000"/>
                <w:sz w:val="22"/>
                <w:szCs w:val="22"/>
              </w:rPr>
            </w:pPr>
            <w:r>
              <w:rPr>
                <w:color w:val="000000"/>
                <w:sz w:val="22"/>
                <w:szCs w:val="22"/>
              </w:rPr>
              <w:t>4,0</w:t>
            </w:r>
          </w:p>
        </w:tc>
        <w:tc>
          <w:tcPr>
            <w:tcW w:w="1278" w:type="dxa"/>
            <w:vAlign w:val="center"/>
          </w:tcPr>
          <w:p w14:paraId="3193E3A0">
            <w:pPr>
              <w:jc w:val="center"/>
              <w:rPr>
                <w:color w:val="000000"/>
                <w:sz w:val="22"/>
                <w:szCs w:val="22"/>
              </w:rPr>
            </w:pPr>
            <w:r>
              <w:rPr>
                <w:color w:val="000000"/>
                <w:sz w:val="22"/>
                <w:szCs w:val="22"/>
              </w:rPr>
              <w:t>313,8</w:t>
            </w:r>
          </w:p>
        </w:tc>
        <w:tc>
          <w:tcPr>
            <w:tcW w:w="851" w:type="dxa"/>
            <w:vAlign w:val="center"/>
          </w:tcPr>
          <w:p w14:paraId="11902E58">
            <w:pPr>
              <w:jc w:val="center"/>
              <w:rPr>
                <w:color w:val="000000"/>
                <w:sz w:val="22"/>
                <w:szCs w:val="22"/>
              </w:rPr>
            </w:pPr>
            <w:r>
              <w:rPr>
                <w:color w:val="000000"/>
                <w:sz w:val="22"/>
                <w:szCs w:val="22"/>
              </w:rPr>
              <w:t>3,5</w:t>
            </w:r>
          </w:p>
        </w:tc>
        <w:tc>
          <w:tcPr>
            <w:tcW w:w="850" w:type="dxa"/>
            <w:vAlign w:val="center"/>
          </w:tcPr>
          <w:p w14:paraId="634EA8CE">
            <w:pPr>
              <w:jc w:val="center"/>
              <w:rPr>
                <w:color w:val="000000"/>
                <w:sz w:val="22"/>
                <w:szCs w:val="22"/>
              </w:rPr>
            </w:pPr>
            <w:r>
              <w:rPr>
                <w:color w:val="000000"/>
                <w:sz w:val="22"/>
                <w:szCs w:val="22"/>
              </w:rPr>
              <w:t>ĐH1</w:t>
            </w:r>
          </w:p>
        </w:tc>
      </w:tr>
      <w:tr w14:paraId="4054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5A44FCF7">
            <w:pPr>
              <w:jc w:val="center"/>
              <w:rPr>
                <w:color w:val="000000"/>
                <w:sz w:val="22"/>
                <w:szCs w:val="22"/>
              </w:rPr>
            </w:pPr>
          </w:p>
        </w:tc>
        <w:tc>
          <w:tcPr>
            <w:tcW w:w="1121" w:type="dxa"/>
            <w:noWrap/>
            <w:vAlign w:val="center"/>
          </w:tcPr>
          <w:p w14:paraId="23A98465">
            <w:pPr>
              <w:jc w:val="center"/>
              <w:rPr>
                <w:color w:val="000000"/>
                <w:sz w:val="22"/>
                <w:szCs w:val="22"/>
              </w:rPr>
            </w:pPr>
            <w:r>
              <w:rPr>
                <w:color w:val="000000"/>
                <w:sz w:val="22"/>
                <w:szCs w:val="22"/>
              </w:rPr>
              <w:t>KL-41:03</w:t>
            </w:r>
          </w:p>
        </w:tc>
        <w:tc>
          <w:tcPr>
            <w:tcW w:w="1147" w:type="dxa"/>
            <w:vAlign w:val="center"/>
          </w:tcPr>
          <w:p w14:paraId="3948E96A">
            <w:pPr>
              <w:jc w:val="center"/>
              <w:rPr>
                <w:color w:val="000000"/>
                <w:sz w:val="22"/>
                <w:szCs w:val="22"/>
              </w:rPr>
            </w:pPr>
            <w:r>
              <w:rPr>
                <w:color w:val="000000"/>
                <w:sz w:val="22"/>
                <w:szCs w:val="22"/>
              </w:rPr>
              <w:t>90,00</w:t>
            </w:r>
          </w:p>
        </w:tc>
        <w:tc>
          <w:tcPr>
            <w:tcW w:w="1098" w:type="dxa"/>
            <w:vAlign w:val="center"/>
          </w:tcPr>
          <w:p w14:paraId="3D2F4F5D">
            <w:pPr>
              <w:jc w:val="center"/>
              <w:rPr>
                <w:color w:val="000000"/>
                <w:sz w:val="22"/>
                <w:szCs w:val="22"/>
              </w:rPr>
            </w:pPr>
            <w:r>
              <w:rPr>
                <w:color w:val="000000"/>
                <w:sz w:val="22"/>
                <w:szCs w:val="22"/>
              </w:rPr>
              <w:t>78,338</w:t>
            </w:r>
          </w:p>
        </w:tc>
        <w:tc>
          <w:tcPr>
            <w:tcW w:w="1134" w:type="dxa"/>
            <w:vAlign w:val="center"/>
          </w:tcPr>
          <w:p w14:paraId="5B04840A">
            <w:pPr>
              <w:jc w:val="center"/>
              <w:rPr>
                <w:color w:val="000000"/>
                <w:sz w:val="22"/>
                <w:szCs w:val="22"/>
              </w:rPr>
            </w:pPr>
            <w:r>
              <w:rPr>
                <w:color w:val="000000"/>
                <w:sz w:val="22"/>
                <w:szCs w:val="22"/>
              </w:rPr>
              <w:t>87,0</w:t>
            </w:r>
          </w:p>
        </w:tc>
        <w:tc>
          <w:tcPr>
            <w:tcW w:w="706" w:type="dxa"/>
            <w:vAlign w:val="center"/>
          </w:tcPr>
          <w:p w14:paraId="574A6AFE">
            <w:pPr>
              <w:jc w:val="center"/>
              <w:rPr>
                <w:color w:val="000000"/>
                <w:sz w:val="22"/>
                <w:szCs w:val="22"/>
              </w:rPr>
            </w:pPr>
            <w:r>
              <w:rPr>
                <w:color w:val="000000"/>
                <w:sz w:val="22"/>
                <w:szCs w:val="22"/>
              </w:rPr>
              <w:t>4,0</w:t>
            </w:r>
          </w:p>
        </w:tc>
        <w:tc>
          <w:tcPr>
            <w:tcW w:w="1278" w:type="dxa"/>
            <w:vAlign w:val="center"/>
          </w:tcPr>
          <w:p w14:paraId="5CF779AC">
            <w:pPr>
              <w:jc w:val="center"/>
              <w:rPr>
                <w:color w:val="000000"/>
                <w:sz w:val="22"/>
                <w:szCs w:val="22"/>
              </w:rPr>
            </w:pPr>
            <w:r>
              <w:rPr>
                <w:color w:val="000000"/>
                <w:sz w:val="22"/>
                <w:szCs w:val="22"/>
              </w:rPr>
              <w:t>313,8</w:t>
            </w:r>
          </w:p>
        </w:tc>
        <w:tc>
          <w:tcPr>
            <w:tcW w:w="851" w:type="dxa"/>
            <w:vAlign w:val="center"/>
          </w:tcPr>
          <w:p w14:paraId="1D03AECD">
            <w:pPr>
              <w:jc w:val="center"/>
              <w:rPr>
                <w:color w:val="000000"/>
                <w:sz w:val="22"/>
                <w:szCs w:val="22"/>
              </w:rPr>
            </w:pPr>
            <w:r>
              <w:rPr>
                <w:color w:val="000000"/>
                <w:sz w:val="22"/>
                <w:szCs w:val="22"/>
              </w:rPr>
              <w:t>3,5</w:t>
            </w:r>
          </w:p>
        </w:tc>
        <w:tc>
          <w:tcPr>
            <w:tcW w:w="850" w:type="dxa"/>
            <w:vAlign w:val="center"/>
          </w:tcPr>
          <w:p w14:paraId="3155B6DB">
            <w:pPr>
              <w:jc w:val="center"/>
              <w:rPr>
                <w:color w:val="000000"/>
                <w:sz w:val="22"/>
                <w:szCs w:val="22"/>
              </w:rPr>
            </w:pPr>
            <w:r>
              <w:rPr>
                <w:color w:val="000000"/>
                <w:sz w:val="22"/>
                <w:szCs w:val="22"/>
              </w:rPr>
              <w:t>ĐH1</w:t>
            </w:r>
          </w:p>
        </w:tc>
      </w:tr>
      <w:tr w14:paraId="4782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CAB832A">
            <w:pPr>
              <w:jc w:val="center"/>
              <w:rPr>
                <w:color w:val="000000"/>
                <w:sz w:val="22"/>
                <w:szCs w:val="22"/>
              </w:rPr>
            </w:pPr>
          </w:p>
        </w:tc>
        <w:tc>
          <w:tcPr>
            <w:tcW w:w="1121" w:type="dxa"/>
            <w:noWrap/>
            <w:vAlign w:val="center"/>
          </w:tcPr>
          <w:p w14:paraId="2AD3A5EB">
            <w:pPr>
              <w:jc w:val="center"/>
              <w:rPr>
                <w:color w:val="000000"/>
                <w:sz w:val="22"/>
                <w:szCs w:val="22"/>
              </w:rPr>
            </w:pPr>
            <w:r>
              <w:rPr>
                <w:color w:val="000000"/>
                <w:sz w:val="22"/>
                <w:szCs w:val="22"/>
              </w:rPr>
              <w:t>KL-41:04</w:t>
            </w:r>
          </w:p>
        </w:tc>
        <w:tc>
          <w:tcPr>
            <w:tcW w:w="1147" w:type="dxa"/>
            <w:vAlign w:val="center"/>
          </w:tcPr>
          <w:p w14:paraId="1491030A">
            <w:pPr>
              <w:jc w:val="center"/>
              <w:rPr>
                <w:color w:val="000000"/>
                <w:sz w:val="22"/>
                <w:szCs w:val="22"/>
              </w:rPr>
            </w:pPr>
            <w:r>
              <w:rPr>
                <w:color w:val="000000"/>
                <w:sz w:val="22"/>
                <w:szCs w:val="22"/>
              </w:rPr>
              <w:t>90,00</w:t>
            </w:r>
          </w:p>
        </w:tc>
        <w:tc>
          <w:tcPr>
            <w:tcW w:w="1098" w:type="dxa"/>
            <w:vAlign w:val="center"/>
          </w:tcPr>
          <w:p w14:paraId="1A2E41DE">
            <w:pPr>
              <w:jc w:val="center"/>
              <w:rPr>
                <w:color w:val="000000"/>
                <w:sz w:val="22"/>
                <w:szCs w:val="22"/>
              </w:rPr>
            </w:pPr>
            <w:r>
              <w:rPr>
                <w:color w:val="000000"/>
                <w:sz w:val="22"/>
                <w:szCs w:val="22"/>
              </w:rPr>
              <w:t>78,338</w:t>
            </w:r>
          </w:p>
        </w:tc>
        <w:tc>
          <w:tcPr>
            <w:tcW w:w="1134" w:type="dxa"/>
            <w:vAlign w:val="center"/>
          </w:tcPr>
          <w:p w14:paraId="7BA1B411">
            <w:pPr>
              <w:jc w:val="center"/>
              <w:rPr>
                <w:color w:val="000000"/>
                <w:sz w:val="22"/>
                <w:szCs w:val="22"/>
              </w:rPr>
            </w:pPr>
            <w:r>
              <w:rPr>
                <w:color w:val="000000"/>
                <w:sz w:val="22"/>
                <w:szCs w:val="22"/>
              </w:rPr>
              <w:t>87,0</w:t>
            </w:r>
          </w:p>
        </w:tc>
        <w:tc>
          <w:tcPr>
            <w:tcW w:w="706" w:type="dxa"/>
            <w:vAlign w:val="center"/>
          </w:tcPr>
          <w:p w14:paraId="0585E8E4">
            <w:pPr>
              <w:jc w:val="center"/>
              <w:rPr>
                <w:color w:val="000000"/>
                <w:sz w:val="22"/>
                <w:szCs w:val="22"/>
              </w:rPr>
            </w:pPr>
            <w:r>
              <w:rPr>
                <w:color w:val="000000"/>
                <w:sz w:val="22"/>
                <w:szCs w:val="22"/>
              </w:rPr>
              <w:t>4,0</w:t>
            </w:r>
          </w:p>
        </w:tc>
        <w:tc>
          <w:tcPr>
            <w:tcW w:w="1278" w:type="dxa"/>
            <w:vAlign w:val="center"/>
          </w:tcPr>
          <w:p w14:paraId="7D4417EA">
            <w:pPr>
              <w:jc w:val="center"/>
              <w:rPr>
                <w:color w:val="000000"/>
                <w:sz w:val="22"/>
                <w:szCs w:val="22"/>
              </w:rPr>
            </w:pPr>
            <w:r>
              <w:rPr>
                <w:color w:val="000000"/>
                <w:sz w:val="22"/>
                <w:szCs w:val="22"/>
              </w:rPr>
              <w:t>313,8</w:t>
            </w:r>
          </w:p>
        </w:tc>
        <w:tc>
          <w:tcPr>
            <w:tcW w:w="851" w:type="dxa"/>
            <w:vAlign w:val="center"/>
          </w:tcPr>
          <w:p w14:paraId="385668D7">
            <w:pPr>
              <w:jc w:val="center"/>
              <w:rPr>
                <w:color w:val="000000"/>
                <w:sz w:val="22"/>
                <w:szCs w:val="22"/>
              </w:rPr>
            </w:pPr>
            <w:r>
              <w:rPr>
                <w:color w:val="000000"/>
                <w:sz w:val="22"/>
                <w:szCs w:val="22"/>
              </w:rPr>
              <w:t>3,5</w:t>
            </w:r>
          </w:p>
        </w:tc>
        <w:tc>
          <w:tcPr>
            <w:tcW w:w="850" w:type="dxa"/>
            <w:vAlign w:val="center"/>
          </w:tcPr>
          <w:p w14:paraId="6600CB42">
            <w:pPr>
              <w:jc w:val="center"/>
              <w:rPr>
                <w:color w:val="000000"/>
                <w:sz w:val="22"/>
                <w:szCs w:val="22"/>
              </w:rPr>
            </w:pPr>
            <w:r>
              <w:rPr>
                <w:color w:val="000000"/>
                <w:sz w:val="22"/>
                <w:szCs w:val="22"/>
              </w:rPr>
              <w:t>ĐH1</w:t>
            </w:r>
          </w:p>
        </w:tc>
      </w:tr>
      <w:tr w14:paraId="17DD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750C434F">
            <w:pPr>
              <w:jc w:val="center"/>
              <w:rPr>
                <w:color w:val="000000"/>
                <w:sz w:val="22"/>
                <w:szCs w:val="22"/>
              </w:rPr>
            </w:pPr>
          </w:p>
        </w:tc>
        <w:tc>
          <w:tcPr>
            <w:tcW w:w="1121" w:type="dxa"/>
            <w:noWrap/>
            <w:vAlign w:val="center"/>
          </w:tcPr>
          <w:p w14:paraId="727F2595">
            <w:pPr>
              <w:jc w:val="center"/>
              <w:rPr>
                <w:color w:val="000000"/>
                <w:sz w:val="22"/>
                <w:szCs w:val="22"/>
              </w:rPr>
            </w:pPr>
            <w:r>
              <w:rPr>
                <w:color w:val="000000"/>
                <w:sz w:val="22"/>
                <w:szCs w:val="22"/>
              </w:rPr>
              <w:t>KL-41:05</w:t>
            </w:r>
          </w:p>
        </w:tc>
        <w:tc>
          <w:tcPr>
            <w:tcW w:w="1147" w:type="dxa"/>
            <w:vAlign w:val="center"/>
          </w:tcPr>
          <w:p w14:paraId="12D1B6F3">
            <w:pPr>
              <w:jc w:val="center"/>
              <w:rPr>
                <w:color w:val="000000"/>
                <w:sz w:val="22"/>
                <w:szCs w:val="22"/>
              </w:rPr>
            </w:pPr>
            <w:r>
              <w:rPr>
                <w:color w:val="000000"/>
                <w:sz w:val="22"/>
                <w:szCs w:val="22"/>
              </w:rPr>
              <w:t>90,00</w:t>
            </w:r>
          </w:p>
        </w:tc>
        <w:tc>
          <w:tcPr>
            <w:tcW w:w="1098" w:type="dxa"/>
            <w:vAlign w:val="center"/>
          </w:tcPr>
          <w:p w14:paraId="12643876">
            <w:pPr>
              <w:jc w:val="center"/>
              <w:rPr>
                <w:color w:val="000000"/>
                <w:sz w:val="22"/>
                <w:szCs w:val="22"/>
              </w:rPr>
            </w:pPr>
            <w:r>
              <w:rPr>
                <w:color w:val="000000"/>
                <w:sz w:val="22"/>
                <w:szCs w:val="22"/>
              </w:rPr>
              <w:t>78,338</w:t>
            </w:r>
          </w:p>
        </w:tc>
        <w:tc>
          <w:tcPr>
            <w:tcW w:w="1134" w:type="dxa"/>
            <w:vAlign w:val="center"/>
          </w:tcPr>
          <w:p w14:paraId="29D6B27A">
            <w:pPr>
              <w:jc w:val="center"/>
              <w:rPr>
                <w:color w:val="000000"/>
                <w:sz w:val="22"/>
                <w:szCs w:val="22"/>
              </w:rPr>
            </w:pPr>
            <w:r>
              <w:rPr>
                <w:color w:val="000000"/>
                <w:sz w:val="22"/>
                <w:szCs w:val="22"/>
              </w:rPr>
              <w:t>87,0</w:t>
            </w:r>
          </w:p>
        </w:tc>
        <w:tc>
          <w:tcPr>
            <w:tcW w:w="706" w:type="dxa"/>
            <w:vAlign w:val="center"/>
          </w:tcPr>
          <w:p w14:paraId="2C89C139">
            <w:pPr>
              <w:jc w:val="center"/>
              <w:rPr>
                <w:color w:val="000000"/>
                <w:sz w:val="22"/>
                <w:szCs w:val="22"/>
              </w:rPr>
            </w:pPr>
            <w:r>
              <w:rPr>
                <w:color w:val="000000"/>
                <w:sz w:val="22"/>
                <w:szCs w:val="22"/>
              </w:rPr>
              <w:t>4,0</w:t>
            </w:r>
          </w:p>
        </w:tc>
        <w:tc>
          <w:tcPr>
            <w:tcW w:w="1278" w:type="dxa"/>
            <w:vAlign w:val="center"/>
          </w:tcPr>
          <w:p w14:paraId="3BC66573">
            <w:pPr>
              <w:jc w:val="center"/>
              <w:rPr>
                <w:color w:val="000000"/>
                <w:sz w:val="22"/>
                <w:szCs w:val="22"/>
              </w:rPr>
            </w:pPr>
            <w:r>
              <w:rPr>
                <w:color w:val="000000"/>
                <w:sz w:val="22"/>
                <w:szCs w:val="22"/>
              </w:rPr>
              <w:t>313,8</w:t>
            </w:r>
          </w:p>
        </w:tc>
        <w:tc>
          <w:tcPr>
            <w:tcW w:w="851" w:type="dxa"/>
            <w:vAlign w:val="center"/>
          </w:tcPr>
          <w:p w14:paraId="452EBA07">
            <w:pPr>
              <w:jc w:val="center"/>
              <w:rPr>
                <w:color w:val="000000"/>
                <w:sz w:val="22"/>
                <w:szCs w:val="22"/>
              </w:rPr>
            </w:pPr>
            <w:r>
              <w:rPr>
                <w:color w:val="000000"/>
                <w:sz w:val="22"/>
                <w:szCs w:val="22"/>
              </w:rPr>
              <w:t>3,5</w:t>
            </w:r>
          </w:p>
        </w:tc>
        <w:tc>
          <w:tcPr>
            <w:tcW w:w="850" w:type="dxa"/>
            <w:vAlign w:val="center"/>
          </w:tcPr>
          <w:p w14:paraId="2CA382CC">
            <w:pPr>
              <w:jc w:val="center"/>
              <w:rPr>
                <w:color w:val="000000"/>
                <w:sz w:val="22"/>
                <w:szCs w:val="22"/>
              </w:rPr>
            </w:pPr>
            <w:r>
              <w:rPr>
                <w:color w:val="000000"/>
                <w:sz w:val="22"/>
                <w:szCs w:val="22"/>
              </w:rPr>
              <w:t>ĐH1</w:t>
            </w:r>
          </w:p>
        </w:tc>
      </w:tr>
      <w:tr w14:paraId="09F6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2D67EA9F">
            <w:pPr>
              <w:jc w:val="center"/>
              <w:rPr>
                <w:color w:val="000000"/>
                <w:sz w:val="22"/>
                <w:szCs w:val="22"/>
              </w:rPr>
            </w:pPr>
          </w:p>
        </w:tc>
        <w:tc>
          <w:tcPr>
            <w:tcW w:w="1121" w:type="dxa"/>
            <w:noWrap/>
            <w:vAlign w:val="center"/>
          </w:tcPr>
          <w:p w14:paraId="06A0B1B4">
            <w:pPr>
              <w:jc w:val="center"/>
              <w:rPr>
                <w:color w:val="000000"/>
                <w:sz w:val="22"/>
                <w:szCs w:val="22"/>
              </w:rPr>
            </w:pPr>
            <w:r>
              <w:rPr>
                <w:color w:val="000000"/>
                <w:sz w:val="22"/>
                <w:szCs w:val="22"/>
              </w:rPr>
              <w:t>KL-41:06</w:t>
            </w:r>
          </w:p>
        </w:tc>
        <w:tc>
          <w:tcPr>
            <w:tcW w:w="1147" w:type="dxa"/>
            <w:vAlign w:val="center"/>
          </w:tcPr>
          <w:p w14:paraId="5DCDF4FF">
            <w:pPr>
              <w:jc w:val="center"/>
              <w:rPr>
                <w:color w:val="000000"/>
                <w:sz w:val="22"/>
                <w:szCs w:val="22"/>
              </w:rPr>
            </w:pPr>
            <w:r>
              <w:rPr>
                <w:color w:val="000000"/>
                <w:sz w:val="22"/>
                <w:szCs w:val="22"/>
              </w:rPr>
              <w:t>90,00</w:t>
            </w:r>
          </w:p>
        </w:tc>
        <w:tc>
          <w:tcPr>
            <w:tcW w:w="1098" w:type="dxa"/>
            <w:vAlign w:val="center"/>
          </w:tcPr>
          <w:p w14:paraId="413CB3BA">
            <w:pPr>
              <w:jc w:val="center"/>
              <w:rPr>
                <w:color w:val="000000"/>
                <w:sz w:val="22"/>
                <w:szCs w:val="22"/>
              </w:rPr>
            </w:pPr>
            <w:r>
              <w:rPr>
                <w:color w:val="000000"/>
                <w:sz w:val="22"/>
                <w:szCs w:val="22"/>
              </w:rPr>
              <w:t>78,338</w:t>
            </w:r>
          </w:p>
        </w:tc>
        <w:tc>
          <w:tcPr>
            <w:tcW w:w="1134" w:type="dxa"/>
            <w:vAlign w:val="center"/>
          </w:tcPr>
          <w:p w14:paraId="50C7BF49">
            <w:pPr>
              <w:jc w:val="center"/>
              <w:rPr>
                <w:color w:val="000000"/>
                <w:sz w:val="22"/>
                <w:szCs w:val="22"/>
              </w:rPr>
            </w:pPr>
            <w:r>
              <w:rPr>
                <w:color w:val="000000"/>
                <w:sz w:val="22"/>
                <w:szCs w:val="22"/>
              </w:rPr>
              <w:t>87,0</w:t>
            </w:r>
          </w:p>
        </w:tc>
        <w:tc>
          <w:tcPr>
            <w:tcW w:w="706" w:type="dxa"/>
            <w:vAlign w:val="center"/>
          </w:tcPr>
          <w:p w14:paraId="1A022FC2">
            <w:pPr>
              <w:jc w:val="center"/>
              <w:rPr>
                <w:color w:val="000000"/>
                <w:sz w:val="22"/>
                <w:szCs w:val="22"/>
              </w:rPr>
            </w:pPr>
            <w:r>
              <w:rPr>
                <w:color w:val="000000"/>
                <w:sz w:val="22"/>
                <w:szCs w:val="22"/>
              </w:rPr>
              <w:t>4,0</w:t>
            </w:r>
          </w:p>
        </w:tc>
        <w:tc>
          <w:tcPr>
            <w:tcW w:w="1278" w:type="dxa"/>
            <w:vAlign w:val="center"/>
          </w:tcPr>
          <w:p w14:paraId="60EEEFF4">
            <w:pPr>
              <w:jc w:val="center"/>
              <w:rPr>
                <w:color w:val="000000"/>
                <w:sz w:val="22"/>
                <w:szCs w:val="22"/>
              </w:rPr>
            </w:pPr>
            <w:r>
              <w:rPr>
                <w:color w:val="000000"/>
                <w:sz w:val="22"/>
                <w:szCs w:val="22"/>
              </w:rPr>
              <w:t>313,8</w:t>
            </w:r>
          </w:p>
        </w:tc>
        <w:tc>
          <w:tcPr>
            <w:tcW w:w="851" w:type="dxa"/>
            <w:vAlign w:val="center"/>
          </w:tcPr>
          <w:p w14:paraId="4978529C">
            <w:pPr>
              <w:jc w:val="center"/>
              <w:rPr>
                <w:color w:val="000000"/>
                <w:sz w:val="22"/>
                <w:szCs w:val="22"/>
              </w:rPr>
            </w:pPr>
            <w:r>
              <w:rPr>
                <w:color w:val="000000"/>
                <w:sz w:val="22"/>
                <w:szCs w:val="22"/>
              </w:rPr>
              <w:t>3,5</w:t>
            </w:r>
          </w:p>
        </w:tc>
        <w:tc>
          <w:tcPr>
            <w:tcW w:w="850" w:type="dxa"/>
            <w:vAlign w:val="center"/>
          </w:tcPr>
          <w:p w14:paraId="280604E3">
            <w:pPr>
              <w:jc w:val="center"/>
              <w:rPr>
                <w:color w:val="000000"/>
                <w:sz w:val="22"/>
                <w:szCs w:val="22"/>
              </w:rPr>
            </w:pPr>
            <w:r>
              <w:rPr>
                <w:color w:val="000000"/>
                <w:sz w:val="22"/>
                <w:szCs w:val="22"/>
              </w:rPr>
              <w:t>ĐH1</w:t>
            </w:r>
          </w:p>
        </w:tc>
      </w:tr>
      <w:tr w14:paraId="4837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47FFE02F">
            <w:pPr>
              <w:jc w:val="center"/>
              <w:rPr>
                <w:color w:val="000000"/>
                <w:sz w:val="22"/>
                <w:szCs w:val="22"/>
              </w:rPr>
            </w:pPr>
          </w:p>
        </w:tc>
        <w:tc>
          <w:tcPr>
            <w:tcW w:w="1121" w:type="dxa"/>
            <w:noWrap/>
            <w:vAlign w:val="center"/>
          </w:tcPr>
          <w:p w14:paraId="3E483B2C">
            <w:pPr>
              <w:jc w:val="center"/>
              <w:rPr>
                <w:color w:val="000000"/>
                <w:sz w:val="22"/>
                <w:szCs w:val="22"/>
              </w:rPr>
            </w:pPr>
            <w:r>
              <w:rPr>
                <w:color w:val="000000"/>
                <w:sz w:val="22"/>
                <w:szCs w:val="22"/>
              </w:rPr>
              <w:t>KL-41:07</w:t>
            </w:r>
          </w:p>
        </w:tc>
        <w:tc>
          <w:tcPr>
            <w:tcW w:w="1147" w:type="dxa"/>
            <w:vAlign w:val="center"/>
          </w:tcPr>
          <w:p w14:paraId="7412E77D">
            <w:pPr>
              <w:jc w:val="center"/>
              <w:rPr>
                <w:color w:val="000000"/>
                <w:sz w:val="22"/>
                <w:szCs w:val="22"/>
              </w:rPr>
            </w:pPr>
            <w:r>
              <w:rPr>
                <w:color w:val="000000"/>
                <w:sz w:val="22"/>
                <w:szCs w:val="22"/>
              </w:rPr>
              <w:t>90,00</w:t>
            </w:r>
          </w:p>
        </w:tc>
        <w:tc>
          <w:tcPr>
            <w:tcW w:w="1098" w:type="dxa"/>
            <w:vAlign w:val="center"/>
          </w:tcPr>
          <w:p w14:paraId="1447A4D1">
            <w:pPr>
              <w:jc w:val="center"/>
              <w:rPr>
                <w:color w:val="000000"/>
                <w:sz w:val="22"/>
                <w:szCs w:val="22"/>
              </w:rPr>
            </w:pPr>
            <w:r>
              <w:rPr>
                <w:color w:val="000000"/>
                <w:sz w:val="22"/>
                <w:szCs w:val="22"/>
              </w:rPr>
              <w:t>78,338</w:t>
            </w:r>
          </w:p>
        </w:tc>
        <w:tc>
          <w:tcPr>
            <w:tcW w:w="1134" w:type="dxa"/>
            <w:vAlign w:val="center"/>
          </w:tcPr>
          <w:p w14:paraId="1B8AA9E3">
            <w:pPr>
              <w:jc w:val="center"/>
              <w:rPr>
                <w:color w:val="000000"/>
                <w:sz w:val="22"/>
                <w:szCs w:val="22"/>
              </w:rPr>
            </w:pPr>
            <w:r>
              <w:rPr>
                <w:color w:val="000000"/>
                <w:sz w:val="22"/>
                <w:szCs w:val="22"/>
              </w:rPr>
              <w:t>87,0</w:t>
            </w:r>
          </w:p>
        </w:tc>
        <w:tc>
          <w:tcPr>
            <w:tcW w:w="706" w:type="dxa"/>
            <w:vAlign w:val="center"/>
          </w:tcPr>
          <w:p w14:paraId="31A439A4">
            <w:pPr>
              <w:jc w:val="center"/>
              <w:rPr>
                <w:color w:val="000000"/>
                <w:sz w:val="22"/>
                <w:szCs w:val="22"/>
              </w:rPr>
            </w:pPr>
            <w:r>
              <w:rPr>
                <w:color w:val="000000"/>
                <w:sz w:val="22"/>
                <w:szCs w:val="22"/>
              </w:rPr>
              <w:t>4,0</w:t>
            </w:r>
          </w:p>
        </w:tc>
        <w:tc>
          <w:tcPr>
            <w:tcW w:w="1278" w:type="dxa"/>
            <w:vAlign w:val="center"/>
          </w:tcPr>
          <w:p w14:paraId="044409B2">
            <w:pPr>
              <w:jc w:val="center"/>
              <w:rPr>
                <w:color w:val="000000"/>
                <w:sz w:val="22"/>
                <w:szCs w:val="22"/>
              </w:rPr>
            </w:pPr>
            <w:r>
              <w:rPr>
                <w:color w:val="000000"/>
                <w:sz w:val="22"/>
                <w:szCs w:val="22"/>
              </w:rPr>
              <w:t>313,8</w:t>
            </w:r>
          </w:p>
        </w:tc>
        <w:tc>
          <w:tcPr>
            <w:tcW w:w="851" w:type="dxa"/>
            <w:vAlign w:val="center"/>
          </w:tcPr>
          <w:p w14:paraId="41349F39">
            <w:pPr>
              <w:jc w:val="center"/>
              <w:rPr>
                <w:color w:val="000000"/>
                <w:sz w:val="22"/>
                <w:szCs w:val="22"/>
              </w:rPr>
            </w:pPr>
            <w:r>
              <w:rPr>
                <w:color w:val="000000"/>
                <w:sz w:val="22"/>
                <w:szCs w:val="22"/>
              </w:rPr>
              <w:t>3,5</w:t>
            </w:r>
          </w:p>
        </w:tc>
        <w:tc>
          <w:tcPr>
            <w:tcW w:w="850" w:type="dxa"/>
            <w:vAlign w:val="center"/>
          </w:tcPr>
          <w:p w14:paraId="1ACD11F8">
            <w:pPr>
              <w:jc w:val="center"/>
              <w:rPr>
                <w:color w:val="000000"/>
                <w:sz w:val="22"/>
                <w:szCs w:val="22"/>
              </w:rPr>
            </w:pPr>
            <w:r>
              <w:rPr>
                <w:color w:val="000000"/>
                <w:sz w:val="22"/>
                <w:szCs w:val="22"/>
              </w:rPr>
              <w:t>ĐH1</w:t>
            </w:r>
          </w:p>
        </w:tc>
      </w:tr>
      <w:tr w14:paraId="2579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557D54A">
            <w:pPr>
              <w:jc w:val="center"/>
              <w:rPr>
                <w:color w:val="000000"/>
                <w:sz w:val="22"/>
                <w:szCs w:val="22"/>
              </w:rPr>
            </w:pPr>
          </w:p>
        </w:tc>
        <w:tc>
          <w:tcPr>
            <w:tcW w:w="1121" w:type="dxa"/>
            <w:noWrap/>
            <w:vAlign w:val="center"/>
          </w:tcPr>
          <w:p w14:paraId="159E26F1">
            <w:pPr>
              <w:jc w:val="center"/>
              <w:rPr>
                <w:color w:val="000000"/>
                <w:sz w:val="22"/>
                <w:szCs w:val="22"/>
              </w:rPr>
            </w:pPr>
            <w:r>
              <w:rPr>
                <w:color w:val="000000"/>
                <w:sz w:val="22"/>
                <w:szCs w:val="22"/>
              </w:rPr>
              <w:t>KL-41:08</w:t>
            </w:r>
          </w:p>
        </w:tc>
        <w:tc>
          <w:tcPr>
            <w:tcW w:w="1147" w:type="dxa"/>
            <w:vAlign w:val="center"/>
          </w:tcPr>
          <w:p w14:paraId="6F48A1B9">
            <w:pPr>
              <w:jc w:val="center"/>
              <w:rPr>
                <w:color w:val="000000"/>
                <w:sz w:val="22"/>
                <w:szCs w:val="22"/>
              </w:rPr>
            </w:pPr>
            <w:r>
              <w:rPr>
                <w:color w:val="000000"/>
                <w:sz w:val="22"/>
                <w:szCs w:val="22"/>
              </w:rPr>
              <w:t>90,00</w:t>
            </w:r>
          </w:p>
        </w:tc>
        <w:tc>
          <w:tcPr>
            <w:tcW w:w="1098" w:type="dxa"/>
            <w:vAlign w:val="center"/>
          </w:tcPr>
          <w:p w14:paraId="50711C8F">
            <w:pPr>
              <w:jc w:val="center"/>
              <w:rPr>
                <w:color w:val="000000"/>
                <w:sz w:val="22"/>
                <w:szCs w:val="22"/>
              </w:rPr>
            </w:pPr>
            <w:r>
              <w:rPr>
                <w:color w:val="000000"/>
                <w:sz w:val="22"/>
                <w:szCs w:val="22"/>
              </w:rPr>
              <w:t>78,338</w:t>
            </w:r>
          </w:p>
        </w:tc>
        <w:tc>
          <w:tcPr>
            <w:tcW w:w="1134" w:type="dxa"/>
            <w:vAlign w:val="center"/>
          </w:tcPr>
          <w:p w14:paraId="1E617896">
            <w:pPr>
              <w:jc w:val="center"/>
              <w:rPr>
                <w:color w:val="000000"/>
                <w:sz w:val="22"/>
                <w:szCs w:val="22"/>
              </w:rPr>
            </w:pPr>
            <w:r>
              <w:rPr>
                <w:color w:val="000000"/>
                <w:sz w:val="22"/>
                <w:szCs w:val="22"/>
              </w:rPr>
              <w:t>87,0</w:t>
            </w:r>
          </w:p>
        </w:tc>
        <w:tc>
          <w:tcPr>
            <w:tcW w:w="706" w:type="dxa"/>
            <w:vAlign w:val="center"/>
          </w:tcPr>
          <w:p w14:paraId="1C5BD5C8">
            <w:pPr>
              <w:jc w:val="center"/>
              <w:rPr>
                <w:color w:val="000000"/>
                <w:sz w:val="22"/>
                <w:szCs w:val="22"/>
              </w:rPr>
            </w:pPr>
            <w:r>
              <w:rPr>
                <w:color w:val="000000"/>
                <w:sz w:val="22"/>
                <w:szCs w:val="22"/>
              </w:rPr>
              <w:t>4,0</w:t>
            </w:r>
          </w:p>
        </w:tc>
        <w:tc>
          <w:tcPr>
            <w:tcW w:w="1278" w:type="dxa"/>
            <w:vAlign w:val="center"/>
          </w:tcPr>
          <w:p w14:paraId="0A25117B">
            <w:pPr>
              <w:jc w:val="center"/>
              <w:rPr>
                <w:color w:val="000000"/>
                <w:sz w:val="22"/>
                <w:szCs w:val="22"/>
              </w:rPr>
            </w:pPr>
            <w:r>
              <w:rPr>
                <w:color w:val="000000"/>
                <w:sz w:val="22"/>
                <w:szCs w:val="22"/>
              </w:rPr>
              <w:t>313,8</w:t>
            </w:r>
          </w:p>
        </w:tc>
        <w:tc>
          <w:tcPr>
            <w:tcW w:w="851" w:type="dxa"/>
            <w:vAlign w:val="center"/>
          </w:tcPr>
          <w:p w14:paraId="4B1C5B86">
            <w:pPr>
              <w:jc w:val="center"/>
              <w:rPr>
                <w:color w:val="000000"/>
                <w:sz w:val="22"/>
                <w:szCs w:val="22"/>
              </w:rPr>
            </w:pPr>
            <w:r>
              <w:rPr>
                <w:color w:val="000000"/>
                <w:sz w:val="22"/>
                <w:szCs w:val="22"/>
              </w:rPr>
              <w:t>3,5</w:t>
            </w:r>
          </w:p>
        </w:tc>
        <w:tc>
          <w:tcPr>
            <w:tcW w:w="850" w:type="dxa"/>
            <w:vAlign w:val="center"/>
          </w:tcPr>
          <w:p w14:paraId="19EFF43B">
            <w:pPr>
              <w:jc w:val="center"/>
              <w:rPr>
                <w:color w:val="000000"/>
                <w:sz w:val="22"/>
                <w:szCs w:val="22"/>
              </w:rPr>
            </w:pPr>
            <w:r>
              <w:rPr>
                <w:color w:val="000000"/>
                <w:sz w:val="22"/>
                <w:szCs w:val="22"/>
              </w:rPr>
              <w:t>ĐH1</w:t>
            </w:r>
          </w:p>
        </w:tc>
      </w:tr>
      <w:tr w14:paraId="535F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368D80DC">
            <w:pPr>
              <w:jc w:val="center"/>
              <w:rPr>
                <w:color w:val="000000"/>
                <w:sz w:val="22"/>
                <w:szCs w:val="22"/>
              </w:rPr>
            </w:pPr>
          </w:p>
        </w:tc>
        <w:tc>
          <w:tcPr>
            <w:tcW w:w="1121" w:type="dxa"/>
            <w:noWrap/>
            <w:vAlign w:val="center"/>
          </w:tcPr>
          <w:p w14:paraId="6D953E0D">
            <w:pPr>
              <w:jc w:val="center"/>
              <w:rPr>
                <w:color w:val="000000"/>
                <w:sz w:val="22"/>
                <w:szCs w:val="22"/>
              </w:rPr>
            </w:pPr>
            <w:r>
              <w:rPr>
                <w:color w:val="000000"/>
                <w:sz w:val="22"/>
                <w:szCs w:val="22"/>
              </w:rPr>
              <w:t>KL-41:09</w:t>
            </w:r>
          </w:p>
        </w:tc>
        <w:tc>
          <w:tcPr>
            <w:tcW w:w="1147" w:type="dxa"/>
            <w:vAlign w:val="center"/>
          </w:tcPr>
          <w:p w14:paraId="117A7987">
            <w:pPr>
              <w:jc w:val="center"/>
              <w:rPr>
                <w:color w:val="000000"/>
                <w:sz w:val="22"/>
                <w:szCs w:val="22"/>
              </w:rPr>
            </w:pPr>
            <w:r>
              <w:rPr>
                <w:color w:val="000000"/>
                <w:sz w:val="22"/>
                <w:szCs w:val="22"/>
              </w:rPr>
              <w:t>90,00</w:t>
            </w:r>
          </w:p>
        </w:tc>
        <w:tc>
          <w:tcPr>
            <w:tcW w:w="1098" w:type="dxa"/>
            <w:vAlign w:val="center"/>
          </w:tcPr>
          <w:p w14:paraId="2294ECD0">
            <w:pPr>
              <w:jc w:val="center"/>
              <w:rPr>
                <w:color w:val="000000"/>
                <w:sz w:val="22"/>
                <w:szCs w:val="22"/>
              </w:rPr>
            </w:pPr>
            <w:r>
              <w:rPr>
                <w:color w:val="000000"/>
                <w:sz w:val="22"/>
                <w:szCs w:val="22"/>
              </w:rPr>
              <w:t>78,338</w:t>
            </w:r>
          </w:p>
        </w:tc>
        <w:tc>
          <w:tcPr>
            <w:tcW w:w="1134" w:type="dxa"/>
            <w:vAlign w:val="center"/>
          </w:tcPr>
          <w:p w14:paraId="464DA6F4">
            <w:pPr>
              <w:jc w:val="center"/>
              <w:rPr>
                <w:color w:val="000000"/>
                <w:sz w:val="22"/>
                <w:szCs w:val="22"/>
              </w:rPr>
            </w:pPr>
            <w:r>
              <w:rPr>
                <w:color w:val="000000"/>
                <w:sz w:val="22"/>
                <w:szCs w:val="22"/>
              </w:rPr>
              <w:t>87,0</w:t>
            </w:r>
          </w:p>
        </w:tc>
        <w:tc>
          <w:tcPr>
            <w:tcW w:w="706" w:type="dxa"/>
            <w:vAlign w:val="center"/>
          </w:tcPr>
          <w:p w14:paraId="2C0AABBE">
            <w:pPr>
              <w:jc w:val="center"/>
              <w:rPr>
                <w:color w:val="000000"/>
                <w:sz w:val="22"/>
                <w:szCs w:val="22"/>
              </w:rPr>
            </w:pPr>
            <w:r>
              <w:rPr>
                <w:color w:val="000000"/>
                <w:sz w:val="22"/>
                <w:szCs w:val="22"/>
              </w:rPr>
              <w:t>4,0</w:t>
            </w:r>
          </w:p>
        </w:tc>
        <w:tc>
          <w:tcPr>
            <w:tcW w:w="1278" w:type="dxa"/>
            <w:vAlign w:val="center"/>
          </w:tcPr>
          <w:p w14:paraId="306B6E58">
            <w:pPr>
              <w:jc w:val="center"/>
              <w:rPr>
                <w:color w:val="000000"/>
                <w:sz w:val="22"/>
                <w:szCs w:val="22"/>
              </w:rPr>
            </w:pPr>
            <w:r>
              <w:rPr>
                <w:color w:val="000000"/>
                <w:sz w:val="22"/>
                <w:szCs w:val="22"/>
              </w:rPr>
              <w:t>313,8</w:t>
            </w:r>
          </w:p>
        </w:tc>
        <w:tc>
          <w:tcPr>
            <w:tcW w:w="851" w:type="dxa"/>
            <w:vAlign w:val="center"/>
          </w:tcPr>
          <w:p w14:paraId="2474E30A">
            <w:pPr>
              <w:jc w:val="center"/>
              <w:rPr>
                <w:color w:val="000000"/>
                <w:sz w:val="22"/>
                <w:szCs w:val="22"/>
              </w:rPr>
            </w:pPr>
            <w:r>
              <w:rPr>
                <w:color w:val="000000"/>
                <w:sz w:val="22"/>
                <w:szCs w:val="22"/>
              </w:rPr>
              <w:t>3,5</w:t>
            </w:r>
          </w:p>
        </w:tc>
        <w:tc>
          <w:tcPr>
            <w:tcW w:w="850" w:type="dxa"/>
            <w:vAlign w:val="center"/>
          </w:tcPr>
          <w:p w14:paraId="3336AB89">
            <w:pPr>
              <w:jc w:val="center"/>
              <w:rPr>
                <w:color w:val="000000"/>
                <w:sz w:val="22"/>
                <w:szCs w:val="22"/>
              </w:rPr>
            </w:pPr>
            <w:r>
              <w:rPr>
                <w:color w:val="000000"/>
                <w:sz w:val="22"/>
                <w:szCs w:val="22"/>
              </w:rPr>
              <w:t>ĐH1</w:t>
            </w:r>
          </w:p>
        </w:tc>
      </w:tr>
      <w:tr w14:paraId="5E49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D74A4C9">
            <w:pPr>
              <w:jc w:val="center"/>
              <w:rPr>
                <w:color w:val="000000"/>
                <w:sz w:val="22"/>
                <w:szCs w:val="22"/>
              </w:rPr>
            </w:pPr>
          </w:p>
        </w:tc>
        <w:tc>
          <w:tcPr>
            <w:tcW w:w="1121" w:type="dxa"/>
            <w:noWrap/>
            <w:vAlign w:val="center"/>
          </w:tcPr>
          <w:p w14:paraId="4EE26200">
            <w:pPr>
              <w:jc w:val="center"/>
              <w:rPr>
                <w:color w:val="000000"/>
                <w:sz w:val="22"/>
                <w:szCs w:val="22"/>
              </w:rPr>
            </w:pPr>
            <w:r>
              <w:rPr>
                <w:color w:val="000000"/>
                <w:sz w:val="22"/>
                <w:szCs w:val="22"/>
              </w:rPr>
              <w:t>KL-41:10</w:t>
            </w:r>
          </w:p>
        </w:tc>
        <w:tc>
          <w:tcPr>
            <w:tcW w:w="1147" w:type="dxa"/>
            <w:vAlign w:val="center"/>
          </w:tcPr>
          <w:p w14:paraId="5DD66F91">
            <w:pPr>
              <w:jc w:val="center"/>
              <w:rPr>
                <w:color w:val="000000"/>
                <w:sz w:val="22"/>
                <w:szCs w:val="22"/>
              </w:rPr>
            </w:pPr>
            <w:r>
              <w:rPr>
                <w:color w:val="000000"/>
                <w:sz w:val="22"/>
                <w:szCs w:val="22"/>
              </w:rPr>
              <w:t>136,50</w:t>
            </w:r>
          </w:p>
        </w:tc>
        <w:tc>
          <w:tcPr>
            <w:tcW w:w="1098" w:type="dxa"/>
            <w:vAlign w:val="center"/>
          </w:tcPr>
          <w:p w14:paraId="0682F827">
            <w:pPr>
              <w:jc w:val="center"/>
              <w:rPr>
                <w:color w:val="000000"/>
                <w:sz w:val="22"/>
                <w:szCs w:val="22"/>
              </w:rPr>
            </w:pPr>
            <w:r>
              <w:rPr>
                <w:color w:val="000000"/>
                <w:sz w:val="22"/>
                <w:szCs w:val="22"/>
              </w:rPr>
              <w:t>123,429</w:t>
            </w:r>
          </w:p>
        </w:tc>
        <w:tc>
          <w:tcPr>
            <w:tcW w:w="1134" w:type="dxa"/>
            <w:vAlign w:val="center"/>
          </w:tcPr>
          <w:p w14:paraId="6976A7EA">
            <w:pPr>
              <w:jc w:val="center"/>
              <w:rPr>
                <w:color w:val="000000"/>
                <w:sz w:val="22"/>
                <w:szCs w:val="22"/>
              </w:rPr>
            </w:pPr>
            <w:r>
              <w:rPr>
                <w:color w:val="000000"/>
                <w:sz w:val="22"/>
                <w:szCs w:val="22"/>
              </w:rPr>
              <w:t>90,4</w:t>
            </w:r>
          </w:p>
        </w:tc>
        <w:tc>
          <w:tcPr>
            <w:tcW w:w="706" w:type="dxa"/>
            <w:vAlign w:val="center"/>
          </w:tcPr>
          <w:p w14:paraId="08149B3F">
            <w:pPr>
              <w:jc w:val="center"/>
              <w:rPr>
                <w:color w:val="000000"/>
                <w:sz w:val="22"/>
                <w:szCs w:val="22"/>
              </w:rPr>
            </w:pPr>
            <w:r>
              <w:rPr>
                <w:color w:val="000000"/>
                <w:sz w:val="22"/>
                <w:szCs w:val="22"/>
              </w:rPr>
              <w:t>4,0</w:t>
            </w:r>
          </w:p>
        </w:tc>
        <w:tc>
          <w:tcPr>
            <w:tcW w:w="1278" w:type="dxa"/>
            <w:vAlign w:val="center"/>
          </w:tcPr>
          <w:p w14:paraId="19946E32">
            <w:pPr>
              <w:jc w:val="center"/>
              <w:rPr>
                <w:color w:val="000000"/>
                <w:sz w:val="22"/>
                <w:szCs w:val="22"/>
              </w:rPr>
            </w:pPr>
            <w:r>
              <w:rPr>
                <w:color w:val="000000"/>
                <w:sz w:val="22"/>
                <w:szCs w:val="22"/>
              </w:rPr>
              <w:t>535,9</w:t>
            </w:r>
          </w:p>
        </w:tc>
        <w:tc>
          <w:tcPr>
            <w:tcW w:w="851" w:type="dxa"/>
            <w:vAlign w:val="center"/>
          </w:tcPr>
          <w:p w14:paraId="6E543161">
            <w:pPr>
              <w:jc w:val="center"/>
              <w:rPr>
                <w:color w:val="000000"/>
                <w:sz w:val="22"/>
                <w:szCs w:val="22"/>
              </w:rPr>
            </w:pPr>
            <w:r>
              <w:rPr>
                <w:color w:val="000000"/>
                <w:sz w:val="22"/>
                <w:szCs w:val="22"/>
              </w:rPr>
              <w:t>3,9</w:t>
            </w:r>
          </w:p>
        </w:tc>
        <w:tc>
          <w:tcPr>
            <w:tcW w:w="850" w:type="dxa"/>
            <w:vAlign w:val="center"/>
          </w:tcPr>
          <w:p w14:paraId="2EF73F70">
            <w:pPr>
              <w:jc w:val="center"/>
              <w:rPr>
                <w:color w:val="000000"/>
                <w:sz w:val="22"/>
                <w:szCs w:val="22"/>
              </w:rPr>
            </w:pPr>
            <w:r>
              <w:rPr>
                <w:color w:val="000000"/>
                <w:sz w:val="22"/>
                <w:szCs w:val="22"/>
              </w:rPr>
              <w:t>LG1</w:t>
            </w:r>
          </w:p>
        </w:tc>
      </w:tr>
      <w:tr w14:paraId="721A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45B6DC2A">
            <w:pPr>
              <w:jc w:val="center"/>
              <w:rPr>
                <w:b/>
                <w:bCs/>
                <w:color w:val="000000"/>
                <w:sz w:val="22"/>
                <w:szCs w:val="22"/>
              </w:rPr>
            </w:pPr>
            <w:r>
              <w:rPr>
                <w:b/>
                <w:bCs/>
                <w:color w:val="000000"/>
                <w:sz w:val="22"/>
                <w:szCs w:val="22"/>
              </w:rPr>
              <w:t>Tổng</w:t>
            </w:r>
          </w:p>
        </w:tc>
        <w:tc>
          <w:tcPr>
            <w:tcW w:w="1121" w:type="dxa"/>
            <w:noWrap/>
            <w:vAlign w:val="center"/>
          </w:tcPr>
          <w:p w14:paraId="13290590">
            <w:pPr>
              <w:jc w:val="center"/>
              <w:rPr>
                <w:b/>
                <w:bCs/>
                <w:color w:val="000000"/>
                <w:sz w:val="22"/>
                <w:szCs w:val="22"/>
              </w:rPr>
            </w:pPr>
            <w:r>
              <w:rPr>
                <w:b/>
                <w:bCs/>
                <w:color w:val="000000"/>
                <w:sz w:val="22"/>
                <w:szCs w:val="22"/>
              </w:rPr>
              <w:t>KL-41</w:t>
            </w:r>
          </w:p>
        </w:tc>
        <w:tc>
          <w:tcPr>
            <w:tcW w:w="1147" w:type="dxa"/>
            <w:vAlign w:val="center"/>
          </w:tcPr>
          <w:p w14:paraId="27C711AC">
            <w:pPr>
              <w:jc w:val="center"/>
              <w:rPr>
                <w:b/>
                <w:bCs/>
                <w:color w:val="000000"/>
                <w:sz w:val="22"/>
                <w:szCs w:val="22"/>
              </w:rPr>
            </w:pPr>
            <w:r>
              <w:rPr>
                <w:b/>
                <w:bCs/>
                <w:color w:val="000000"/>
                <w:sz w:val="22"/>
                <w:szCs w:val="22"/>
              </w:rPr>
              <w:t>946,50</w:t>
            </w:r>
          </w:p>
        </w:tc>
        <w:tc>
          <w:tcPr>
            <w:tcW w:w="1098" w:type="dxa"/>
            <w:vAlign w:val="center"/>
          </w:tcPr>
          <w:p w14:paraId="1AFDBB58">
            <w:pPr>
              <w:jc w:val="center"/>
              <w:rPr>
                <w:b/>
                <w:bCs/>
                <w:color w:val="000000"/>
                <w:sz w:val="22"/>
                <w:szCs w:val="22"/>
              </w:rPr>
            </w:pPr>
            <w:r>
              <w:rPr>
                <w:b/>
                <w:bCs/>
                <w:color w:val="000000"/>
                <w:sz w:val="22"/>
                <w:szCs w:val="22"/>
              </w:rPr>
              <w:t>828,5</w:t>
            </w:r>
          </w:p>
        </w:tc>
        <w:tc>
          <w:tcPr>
            <w:tcW w:w="1134" w:type="dxa"/>
            <w:vAlign w:val="center"/>
          </w:tcPr>
          <w:p w14:paraId="1308D9DE">
            <w:pPr>
              <w:jc w:val="center"/>
              <w:rPr>
                <w:b/>
                <w:bCs/>
                <w:color w:val="000000"/>
                <w:sz w:val="22"/>
                <w:szCs w:val="22"/>
              </w:rPr>
            </w:pPr>
            <w:r>
              <w:rPr>
                <w:b/>
                <w:bCs/>
                <w:color w:val="000000"/>
                <w:sz w:val="22"/>
                <w:szCs w:val="22"/>
              </w:rPr>
              <w:t>87,5</w:t>
            </w:r>
          </w:p>
        </w:tc>
        <w:tc>
          <w:tcPr>
            <w:tcW w:w="706" w:type="dxa"/>
            <w:vAlign w:val="center"/>
          </w:tcPr>
          <w:p w14:paraId="559AC448">
            <w:pPr>
              <w:jc w:val="center"/>
              <w:rPr>
                <w:color w:val="000000"/>
                <w:sz w:val="22"/>
                <w:szCs w:val="22"/>
              </w:rPr>
            </w:pPr>
          </w:p>
        </w:tc>
        <w:tc>
          <w:tcPr>
            <w:tcW w:w="1278" w:type="dxa"/>
            <w:vAlign w:val="center"/>
          </w:tcPr>
          <w:p w14:paraId="2D68E58F">
            <w:pPr>
              <w:jc w:val="center"/>
              <w:rPr>
                <w:b/>
                <w:bCs/>
                <w:color w:val="000000"/>
                <w:sz w:val="22"/>
                <w:szCs w:val="22"/>
              </w:rPr>
            </w:pPr>
            <w:r>
              <w:rPr>
                <w:b/>
                <w:bCs/>
                <w:color w:val="000000"/>
                <w:sz w:val="22"/>
                <w:szCs w:val="22"/>
              </w:rPr>
              <w:t>3.360,1</w:t>
            </w:r>
          </w:p>
        </w:tc>
        <w:tc>
          <w:tcPr>
            <w:tcW w:w="851" w:type="dxa"/>
            <w:vAlign w:val="center"/>
          </w:tcPr>
          <w:p w14:paraId="2C3B6BE7">
            <w:pPr>
              <w:jc w:val="center"/>
              <w:rPr>
                <w:b/>
                <w:bCs/>
                <w:color w:val="000000"/>
                <w:sz w:val="22"/>
                <w:szCs w:val="22"/>
              </w:rPr>
            </w:pPr>
            <w:r>
              <w:rPr>
                <w:b/>
                <w:bCs/>
                <w:color w:val="000000"/>
                <w:sz w:val="22"/>
                <w:szCs w:val="22"/>
              </w:rPr>
              <w:t>3,5</w:t>
            </w:r>
          </w:p>
        </w:tc>
        <w:tc>
          <w:tcPr>
            <w:tcW w:w="850" w:type="dxa"/>
            <w:vAlign w:val="center"/>
          </w:tcPr>
          <w:p w14:paraId="7EA7454C">
            <w:pPr>
              <w:jc w:val="center"/>
              <w:rPr>
                <w:color w:val="000000"/>
                <w:sz w:val="22"/>
                <w:szCs w:val="22"/>
              </w:rPr>
            </w:pPr>
          </w:p>
        </w:tc>
      </w:tr>
      <w:tr w14:paraId="6431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78EC84BE">
            <w:pPr>
              <w:jc w:val="center"/>
              <w:rPr>
                <w:b/>
                <w:bCs/>
                <w:color w:val="000000"/>
                <w:sz w:val="22"/>
                <w:szCs w:val="22"/>
              </w:rPr>
            </w:pPr>
            <w:r>
              <w:rPr>
                <w:b/>
                <w:bCs/>
                <w:color w:val="000000"/>
                <w:sz w:val="22"/>
                <w:szCs w:val="22"/>
              </w:rPr>
              <w:t>LK62</w:t>
            </w:r>
          </w:p>
        </w:tc>
        <w:tc>
          <w:tcPr>
            <w:tcW w:w="1121" w:type="dxa"/>
            <w:noWrap/>
            <w:vAlign w:val="center"/>
          </w:tcPr>
          <w:p w14:paraId="24AD5E18">
            <w:pPr>
              <w:jc w:val="center"/>
              <w:rPr>
                <w:b/>
                <w:bCs/>
                <w:color w:val="000000"/>
                <w:sz w:val="22"/>
                <w:szCs w:val="22"/>
              </w:rPr>
            </w:pPr>
            <w:r>
              <w:rPr>
                <w:b/>
                <w:bCs/>
                <w:color w:val="000000"/>
                <w:sz w:val="22"/>
                <w:szCs w:val="22"/>
              </w:rPr>
              <w:t>KL-62:06</w:t>
            </w:r>
          </w:p>
        </w:tc>
        <w:tc>
          <w:tcPr>
            <w:tcW w:w="1147" w:type="dxa"/>
            <w:vAlign w:val="center"/>
          </w:tcPr>
          <w:p w14:paraId="29FF75F1">
            <w:pPr>
              <w:jc w:val="center"/>
              <w:rPr>
                <w:b/>
                <w:bCs/>
                <w:color w:val="000000"/>
                <w:sz w:val="22"/>
                <w:szCs w:val="22"/>
              </w:rPr>
            </w:pPr>
            <w:r>
              <w:rPr>
                <w:b/>
                <w:bCs/>
                <w:color w:val="000000"/>
                <w:sz w:val="22"/>
                <w:szCs w:val="22"/>
              </w:rPr>
              <w:t>93,25</w:t>
            </w:r>
          </w:p>
        </w:tc>
        <w:tc>
          <w:tcPr>
            <w:tcW w:w="1098" w:type="dxa"/>
            <w:vAlign w:val="center"/>
          </w:tcPr>
          <w:p w14:paraId="485C735F">
            <w:pPr>
              <w:jc w:val="center"/>
              <w:rPr>
                <w:color w:val="000000"/>
                <w:sz w:val="22"/>
                <w:szCs w:val="22"/>
              </w:rPr>
            </w:pPr>
            <w:r>
              <w:rPr>
                <w:color w:val="000000"/>
                <w:sz w:val="22"/>
                <w:szCs w:val="22"/>
              </w:rPr>
              <w:t>77,6</w:t>
            </w:r>
          </w:p>
        </w:tc>
        <w:tc>
          <w:tcPr>
            <w:tcW w:w="1134" w:type="dxa"/>
            <w:vAlign w:val="center"/>
          </w:tcPr>
          <w:p w14:paraId="1DC2CEAB">
            <w:pPr>
              <w:jc w:val="center"/>
              <w:rPr>
                <w:b/>
                <w:bCs/>
                <w:color w:val="000000"/>
                <w:sz w:val="22"/>
                <w:szCs w:val="22"/>
              </w:rPr>
            </w:pPr>
            <w:r>
              <w:rPr>
                <w:b/>
                <w:bCs/>
                <w:color w:val="000000"/>
                <w:sz w:val="22"/>
                <w:szCs w:val="22"/>
              </w:rPr>
              <w:t>83,2</w:t>
            </w:r>
          </w:p>
        </w:tc>
        <w:tc>
          <w:tcPr>
            <w:tcW w:w="706" w:type="dxa"/>
            <w:vAlign w:val="center"/>
          </w:tcPr>
          <w:p w14:paraId="557F30B7">
            <w:pPr>
              <w:jc w:val="center"/>
              <w:rPr>
                <w:b/>
                <w:bCs/>
                <w:color w:val="000000"/>
                <w:sz w:val="22"/>
                <w:szCs w:val="22"/>
              </w:rPr>
            </w:pPr>
            <w:r>
              <w:rPr>
                <w:b/>
                <w:bCs/>
                <w:color w:val="000000"/>
                <w:sz w:val="22"/>
                <w:szCs w:val="22"/>
              </w:rPr>
              <w:t>4,0</w:t>
            </w:r>
          </w:p>
        </w:tc>
        <w:tc>
          <w:tcPr>
            <w:tcW w:w="1278" w:type="dxa"/>
            <w:vAlign w:val="center"/>
          </w:tcPr>
          <w:p w14:paraId="0B7CB7F9">
            <w:pPr>
              <w:jc w:val="center"/>
              <w:rPr>
                <w:color w:val="000000"/>
                <w:sz w:val="22"/>
                <w:szCs w:val="22"/>
              </w:rPr>
            </w:pPr>
            <w:r>
              <w:rPr>
                <w:color w:val="000000"/>
                <w:sz w:val="22"/>
                <w:szCs w:val="22"/>
              </w:rPr>
              <w:t>355,2</w:t>
            </w:r>
          </w:p>
        </w:tc>
        <w:tc>
          <w:tcPr>
            <w:tcW w:w="851" w:type="dxa"/>
            <w:vAlign w:val="center"/>
          </w:tcPr>
          <w:p w14:paraId="4AAA769E">
            <w:pPr>
              <w:jc w:val="center"/>
              <w:rPr>
                <w:b/>
                <w:bCs/>
                <w:color w:val="000000"/>
                <w:sz w:val="22"/>
                <w:szCs w:val="22"/>
              </w:rPr>
            </w:pPr>
            <w:r>
              <w:rPr>
                <w:b/>
                <w:bCs/>
                <w:color w:val="000000"/>
                <w:sz w:val="22"/>
                <w:szCs w:val="22"/>
              </w:rPr>
              <w:t>3,8</w:t>
            </w:r>
          </w:p>
        </w:tc>
        <w:tc>
          <w:tcPr>
            <w:tcW w:w="850" w:type="dxa"/>
            <w:vAlign w:val="center"/>
          </w:tcPr>
          <w:p w14:paraId="089556DB">
            <w:pPr>
              <w:jc w:val="center"/>
              <w:rPr>
                <w:color w:val="000000"/>
                <w:sz w:val="22"/>
                <w:szCs w:val="22"/>
              </w:rPr>
            </w:pPr>
            <w:r>
              <w:rPr>
                <w:color w:val="000000"/>
                <w:sz w:val="22"/>
                <w:szCs w:val="22"/>
              </w:rPr>
              <w:t>LG1.1</w:t>
            </w:r>
          </w:p>
        </w:tc>
      </w:tr>
      <w:tr w14:paraId="097F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ign w:val="center"/>
          </w:tcPr>
          <w:p w14:paraId="6392A7C2">
            <w:pPr>
              <w:jc w:val="center"/>
              <w:rPr>
                <w:color w:val="000000"/>
                <w:sz w:val="22"/>
                <w:szCs w:val="22"/>
              </w:rPr>
            </w:pPr>
            <w:r>
              <w:rPr>
                <w:color w:val="000000"/>
                <w:sz w:val="22"/>
                <w:szCs w:val="22"/>
              </w:rPr>
              <w:t>LK63</w:t>
            </w:r>
          </w:p>
        </w:tc>
        <w:tc>
          <w:tcPr>
            <w:tcW w:w="1121" w:type="dxa"/>
            <w:noWrap/>
            <w:vAlign w:val="center"/>
          </w:tcPr>
          <w:p w14:paraId="0C3AB6DD">
            <w:pPr>
              <w:jc w:val="center"/>
              <w:rPr>
                <w:color w:val="000000"/>
                <w:sz w:val="22"/>
                <w:szCs w:val="22"/>
              </w:rPr>
            </w:pPr>
            <w:r>
              <w:rPr>
                <w:color w:val="000000"/>
                <w:sz w:val="22"/>
                <w:szCs w:val="22"/>
              </w:rPr>
              <w:t>KL-63:01</w:t>
            </w:r>
          </w:p>
        </w:tc>
        <w:tc>
          <w:tcPr>
            <w:tcW w:w="1147" w:type="dxa"/>
            <w:vAlign w:val="center"/>
          </w:tcPr>
          <w:p w14:paraId="4385F9A7">
            <w:pPr>
              <w:jc w:val="center"/>
              <w:rPr>
                <w:color w:val="000000"/>
                <w:sz w:val="22"/>
                <w:szCs w:val="22"/>
              </w:rPr>
            </w:pPr>
            <w:r>
              <w:rPr>
                <w:color w:val="000000"/>
                <w:sz w:val="22"/>
                <w:szCs w:val="22"/>
              </w:rPr>
              <w:t>121,39</w:t>
            </w:r>
          </w:p>
        </w:tc>
        <w:tc>
          <w:tcPr>
            <w:tcW w:w="1098" w:type="dxa"/>
            <w:vAlign w:val="center"/>
          </w:tcPr>
          <w:p w14:paraId="05C74C72">
            <w:pPr>
              <w:jc w:val="center"/>
              <w:rPr>
                <w:color w:val="000000"/>
                <w:sz w:val="22"/>
                <w:szCs w:val="22"/>
              </w:rPr>
            </w:pPr>
            <w:r>
              <w:rPr>
                <w:color w:val="000000"/>
                <w:sz w:val="22"/>
                <w:szCs w:val="22"/>
              </w:rPr>
              <w:t>77,6</w:t>
            </w:r>
          </w:p>
        </w:tc>
        <w:tc>
          <w:tcPr>
            <w:tcW w:w="1134" w:type="dxa"/>
            <w:vAlign w:val="center"/>
          </w:tcPr>
          <w:p w14:paraId="49CC5D8C">
            <w:pPr>
              <w:jc w:val="center"/>
              <w:rPr>
                <w:color w:val="000000"/>
                <w:sz w:val="22"/>
                <w:szCs w:val="22"/>
              </w:rPr>
            </w:pPr>
            <w:r>
              <w:rPr>
                <w:color w:val="000000"/>
                <w:sz w:val="22"/>
                <w:szCs w:val="22"/>
              </w:rPr>
              <w:t>63,9</w:t>
            </w:r>
          </w:p>
        </w:tc>
        <w:tc>
          <w:tcPr>
            <w:tcW w:w="706" w:type="dxa"/>
            <w:vAlign w:val="center"/>
          </w:tcPr>
          <w:p w14:paraId="402D9D2D">
            <w:pPr>
              <w:jc w:val="center"/>
              <w:rPr>
                <w:color w:val="000000"/>
                <w:sz w:val="22"/>
                <w:szCs w:val="22"/>
              </w:rPr>
            </w:pPr>
            <w:r>
              <w:rPr>
                <w:color w:val="000000"/>
                <w:sz w:val="22"/>
                <w:szCs w:val="22"/>
              </w:rPr>
              <w:t>4,0</w:t>
            </w:r>
          </w:p>
        </w:tc>
        <w:tc>
          <w:tcPr>
            <w:tcW w:w="1278" w:type="dxa"/>
            <w:vAlign w:val="center"/>
          </w:tcPr>
          <w:p w14:paraId="30F38E9B">
            <w:pPr>
              <w:jc w:val="center"/>
              <w:rPr>
                <w:color w:val="000000"/>
                <w:sz w:val="22"/>
                <w:szCs w:val="22"/>
              </w:rPr>
            </w:pPr>
            <w:r>
              <w:rPr>
                <w:color w:val="000000"/>
                <w:sz w:val="22"/>
                <w:szCs w:val="22"/>
              </w:rPr>
              <w:t>355,2</w:t>
            </w:r>
          </w:p>
        </w:tc>
        <w:tc>
          <w:tcPr>
            <w:tcW w:w="851" w:type="dxa"/>
            <w:vAlign w:val="center"/>
          </w:tcPr>
          <w:p w14:paraId="0AB2A030">
            <w:pPr>
              <w:jc w:val="center"/>
              <w:rPr>
                <w:color w:val="000000"/>
                <w:sz w:val="22"/>
                <w:szCs w:val="22"/>
              </w:rPr>
            </w:pPr>
            <w:r>
              <w:rPr>
                <w:color w:val="000000"/>
                <w:sz w:val="22"/>
                <w:szCs w:val="22"/>
              </w:rPr>
              <w:t>2,9</w:t>
            </w:r>
          </w:p>
        </w:tc>
        <w:tc>
          <w:tcPr>
            <w:tcW w:w="850" w:type="dxa"/>
            <w:vAlign w:val="center"/>
          </w:tcPr>
          <w:p w14:paraId="01B7F6AE">
            <w:pPr>
              <w:jc w:val="center"/>
              <w:rPr>
                <w:color w:val="000000"/>
                <w:sz w:val="22"/>
                <w:szCs w:val="22"/>
              </w:rPr>
            </w:pPr>
            <w:r>
              <w:rPr>
                <w:color w:val="000000"/>
                <w:sz w:val="22"/>
                <w:szCs w:val="22"/>
              </w:rPr>
              <w:t>LG1.1</w:t>
            </w:r>
          </w:p>
        </w:tc>
      </w:tr>
      <w:tr w14:paraId="1B42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F449360">
            <w:pPr>
              <w:jc w:val="center"/>
              <w:rPr>
                <w:color w:val="000000"/>
                <w:sz w:val="22"/>
                <w:szCs w:val="22"/>
              </w:rPr>
            </w:pPr>
          </w:p>
        </w:tc>
        <w:tc>
          <w:tcPr>
            <w:tcW w:w="1121" w:type="dxa"/>
            <w:noWrap/>
            <w:vAlign w:val="center"/>
          </w:tcPr>
          <w:p w14:paraId="34D6B4A4">
            <w:pPr>
              <w:jc w:val="center"/>
              <w:rPr>
                <w:color w:val="000000"/>
                <w:sz w:val="22"/>
                <w:szCs w:val="22"/>
              </w:rPr>
            </w:pPr>
            <w:r>
              <w:rPr>
                <w:color w:val="000000"/>
                <w:sz w:val="22"/>
                <w:szCs w:val="22"/>
              </w:rPr>
              <w:t>KL-63:02</w:t>
            </w:r>
          </w:p>
        </w:tc>
        <w:tc>
          <w:tcPr>
            <w:tcW w:w="1147" w:type="dxa"/>
            <w:vAlign w:val="center"/>
          </w:tcPr>
          <w:p w14:paraId="2BDCBBFD">
            <w:pPr>
              <w:jc w:val="center"/>
              <w:rPr>
                <w:color w:val="000000"/>
                <w:sz w:val="22"/>
                <w:szCs w:val="22"/>
              </w:rPr>
            </w:pPr>
            <w:r>
              <w:rPr>
                <w:color w:val="000000"/>
                <w:sz w:val="22"/>
                <w:szCs w:val="22"/>
              </w:rPr>
              <w:t>90,00</w:t>
            </w:r>
          </w:p>
        </w:tc>
        <w:tc>
          <w:tcPr>
            <w:tcW w:w="1098" w:type="dxa"/>
            <w:vAlign w:val="center"/>
          </w:tcPr>
          <w:p w14:paraId="4E24AC88">
            <w:pPr>
              <w:jc w:val="center"/>
              <w:rPr>
                <w:color w:val="000000"/>
                <w:sz w:val="22"/>
                <w:szCs w:val="22"/>
              </w:rPr>
            </w:pPr>
            <w:r>
              <w:rPr>
                <w:color w:val="000000"/>
                <w:sz w:val="22"/>
                <w:szCs w:val="22"/>
              </w:rPr>
              <w:t>78,338</w:t>
            </w:r>
          </w:p>
        </w:tc>
        <w:tc>
          <w:tcPr>
            <w:tcW w:w="1134" w:type="dxa"/>
            <w:vAlign w:val="center"/>
          </w:tcPr>
          <w:p w14:paraId="6FFBAC27">
            <w:pPr>
              <w:jc w:val="center"/>
              <w:rPr>
                <w:color w:val="000000"/>
                <w:sz w:val="22"/>
                <w:szCs w:val="22"/>
              </w:rPr>
            </w:pPr>
            <w:r>
              <w:rPr>
                <w:color w:val="000000"/>
                <w:sz w:val="22"/>
                <w:szCs w:val="22"/>
              </w:rPr>
              <w:t>87,0</w:t>
            </w:r>
          </w:p>
        </w:tc>
        <w:tc>
          <w:tcPr>
            <w:tcW w:w="706" w:type="dxa"/>
            <w:vAlign w:val="center"/>
          </w:tcPr>
          <w:p w14:paraId="250850B3">
            <w:pPr>
              <w:jc w:val="center"/>
              <w:rPr>
                <w:color w:val="000000"/>
                <w:sz w:val="22"/>
                <w:szCs w:val="22"/>
              </w:rPr>
            </w:pPr>
            <w:r>
              <w:rPr>
                <w:color w:val="000000"/>
                <w:sz w:val="22"/>
                <w:szCs w:val="22"/>
              </w:rPr>
              <w:t>4,0</w:t>
            </w:r>
          </w:p>
        </w:tc>
        <w:tc>
          <w:tcPr>
            <w:tcW w:w="1278" w:type="dxa"/>
            <w:vAlign w:val="center"/>
          </w:tcPr>
          <w:p w14:paraId="4B0CB8AC">
            <w:pPr>
              <w:jc w:val="center"/>
              <w:rPr>
                <w:color w:val="000000"/>
                <w:sz w:val="22"/>
                <w:szCs w:val="22"/>
              </w:rPr>
            </w:pPr>
            <w:r>
              <w:rPr>
                <w:color w:val="000000"/>
                <w:sz w:val="22"/>
                <w:szCs w:val="22"/>
              </w:rPr>
              <w:t>313,8</w:t>
            </w:r>
          </w:p>
        </w:tc>
        <w:tc>
          <w:tcPr>
            <w:tcW w:w="851" w:type="dxa"/>
            <w:vAlign w:val="center"/>
          </w:tcPr>
          <w:p w14:paraId="42156990">
            <w:pPr>
              <w:jc w:val="center"/>
              <w:rPr>
                <w:color w:val="000000"/>
                <w:sz w:val="22"/>
                <w:szCs w:val="22"/>
              </w:rPr>
            </w:pPr>
            <w:r>
              <w:rPr>
                <w:color w:val="000000"/>
                <w:sz w:val="22"/>
                <w:szCs w:val="22"/>
              </w:rPr>
              <w:t>3,5</w:t>
            </w:r>
          </w:p>
        </w:tc>
        <w:tc>
          <w:tcPr>
            <w:tcW w:w="850" w:type="dxa"/>
            <w:vAlign w:val="center"/>
          </w:tcPr>
          <w:p w14:paraId="4A7F934D">
            <w:pPr>
              <w:jc w:val="center"/>
              <w:rPr>
                <w:color w:val="000000"/>
                <w:sz w:val="22"/>
                <w:szCs w:val="22"/>
              </w:rPr>
            </w:pPr>
            <w:r>
              <w:rPr>
                <w:color w:val="000000"/>
                <w:sz w:val="22"/>
                <w:szCs w:val="22"/>
              </w:rPr>
              <w:t>ĐH1</w:t>
            </w:r>
          </w:p>
        </w:tc>
      </w:tr>
      <w:tr w14:paraId="763A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6D48B546">
            <w:pPr>
              <w:jc w:val="center"/>
              <w:rPr>
                <w:color w:val="000000"/>
                <w:sz w:val="22"/>
                <w:szCs w:val="22"/>
              </w:rPr>
            </w:pPr>
          </w:p>
        </w:tc>
        <w:tc>
          <w:tcPr>
            <w:tcW w:w="1121" w:type="dxa"/>
            <w:noWrap/>
            <w:vAlign w:val="center"/>
          </w:tcPr>
          <w:p w14:paraId="195F33C5">
            <w:pPr>
              <w:jc w:val="center"/>
              <w:rPr>
                <w:color w:val="000000"/>
                <w:sz w:val="22"/>
                <w:szCs w:val="22"/>
              </w:rPr>
            </w:pPr>
            <w:r>
              <w:rPr>
                <w:color w:val="000000"/>
                <w:sz w:val="22"/>
                <w:szCs w:val="22"/>
              </w:rPr>
              <w:t>KL-63:03</w:t>
            </w:r>
          </w:p>
        </w:tc>
        <w:tc>
          <w:tcPr>
            <w:tcW w:w="1147" w:type="dxa"/>
            <w:vAlign w:val="center"/>
          </w:tcPr>
          <w:p w14:paraId="7451D16C">
            <w:pPr>
              <w:jc w:val="center"/>
              <w:rPr>
                <w:color w:val="000000"/>
                <w:sz w:val="22"/>
                <w:szCs w:val="22"/>
              </w:rPr>
            </w:pPr>
            <w:r>
              <w:rPr>
                <w:color w:val="000000"/>
                <w:sz w:val="22"/>
                <w:szCs w:val="22"/>
              </w:rPr>
              <w:t>90,00</w:t>
            </w:r>
          </w:p>
        </w:tc>
        <w:tc>
          <w:tcPr>
            <w:tcW w:w="1098" w:type="dxa"/>
            <w:vAlign w:val="center"/>
          </w:tcPr>
          <w:p w14:paraId="01DC19AB">
            <w:pPr>
              <w:jc w:val="center"/>
              <w:rPr>
                <w:color w:val="000000"/>
                <w:sz w:val="22"/>
                <w:szCs w:val="22"/>
              </w:rPr>
            </w:pPr>
            <w:r>
              <w:rPr>
                <w:color w:val="000000"/>
                <w:sz w:val="22"/>
                <w:szCs w:val="22"/>
              </w:rPr>
              <w:t>78,338</w:t>
            </w:r>
          </w:p>
        </w:tc>
        <w:tc>
          <w:tcPr>
            <w:tcW w:w="1134" w:type="dxa"/>
            <w:vAlign w:val="center"/>
          </w:tcPr>
          <w:p w14:paraId="73D16B4B">
            <w:pPr>
              <w:jc w:val="center"/>
              <w:rPr>
                <w:color w:val="000000"/>
                <w:sz w:val="22"/>
                <w:szCs w:val="22"/>
              </w:rPr>
            </w:pPr>
            <w:r>
              <w:rPr>
                <w:color w:val="000000"/>
                <w:sz w:val="22"/>
                <w:szCs w:val="22"/>
              </w:rPr>
              <w:t>87,0</w:t>
            </w:r>
          </w:p>
        </w:tc>
        <w:tc>
          <w:tcPr>
            <w:tcW w:w="706" w:type="dxa"/>
            <w:vAlign w:val="center"/>
          </w:tcPr>
          <w:p w14:paraId="440E029A">
            <w:pPr>
              <w:jc w:val="center"/>
              <w:rPr>
                <w:color w:val="000000"/>
                <w:sz w:val="22"/>
                <w:szCs w:val="22"/>
              </w:rPr>
            </w:pPr>
            <w:r>
              <w:rPr>
                <w:color w:val="000000"/>
                <w:sz w:val="22"/>
                <w:szCs w:val="22"/>
              </w:rPr>
              <w:t>4,0</w:t>
            </w:r>
          </w:p>
        </w:tc>
        <w:tc>
          <w:tcPr>
            <w:tcW w:w="1278" w:type="dxa"/>
            <w:vAlign w:val="center"/>
          </w:tcPr>
          <w:p w14:paraId="68869D24">
            <w:pPr>
              <w:jc w:val="center"/>
              <w:rPr>
                <w:color w:val="000000"/>
                <w:sz w:val="22"/>
                <w:szCs w:val="22"/>
              </w:rPr>
            </w:pPr>
            <w:r>
              <w:rPr>
                <w:color w:val="000000"/>
                <w:sz w:val="22"/>
                <w:szCs w:val="22"/>
              </w:rPr>
              <w:t>313,8</w:t>
            </w:r>
          </w:p>
        </w:tc>
        <w:tc>
          <w:tcPr>
            <w:tcW w:w="851" w:type="dxa"/>
            <w:vAlign w:val="center"/>
          </w:tcPr>
          <w:p w14:paraId="0F476E0F">
            <w:pPr>
              <w:jc w:val="center"/>
              <w:rPr>
                <w:color w:val="000000"/>
                <w:sz w:val="22"/>
                <w:szCs w:val="22"/>
              </w:rPr>
            </w:pPr>
            <w:r>
              <w:rPr>
                <w:color w:val="000000"/>
                <w:sz w:val="22"/>
                <w:szCs w:val="22"/>
              </w:rPr>
              <w:t>3,5</w:t>
            </w:r>
          </w:p>
        </w:tc>
        <w:tc>
          <w:tcPr>
            <w:tcW w:w="850" w:type="dxa"/>
            <w:vAlign w:val="center"/>
          </w:tcPr>
          <w:p w14:paraId="4255F237">
            <w:pPr>
              <w:jc w:val="center"/>
              <w:rPr>
                <w:color w:val="000000"/>
                <w:sz w:val="22"/>
                <w:szCs w:val="22"/>
              </w:rPr>
            </w:pPr>
            <w:r>
              <w:rPr>
                <w:color w:val="000000"/>
                <w:sz w:val="22"/>
                <w:szCs w:val="22"/>
              </w:rPr>
              <w:t>ĐH1</w:t>
            </w:r>
          </w:p>
        </w:tc>
      </w:tr>
      <w:tr w14:paraId="1165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2C2DB266">
            <w:pPr>
              <w:jc w:val="center"/>
              <w:rPr>
                <w:color w:val="000000"/>
                <w:sz w:val="22"/>
                <w:szCs w:val="22"/>
              </w:rPr>
            </w:pPr>
          </w:p>
        </w:tc>
        <w:tc>
          <w:tcPr>
            <w:tcW w:w="1121" w:type="dxa"/>
            <w:noWrap/>
            <w:vAlign w:val="center"/>
          </w:tcPr>
          <w:p w14:paraId="7021C972">
            <w:pPr>
              <w:jc w:val="center"/>
              <w:rPr>
                <w:color w:val="000000"/>
                <w:sz w:val="22"/>
                <w:szCs w:val="22"/>
              </w:rPr>
            </w:pPr>
            <w:r>
              <w:rPr>
                <w:color w:val="000000"/>
                <w:sz w:val="22"/>
                <w:szCs w:val="22"/>
              </w:rPr>
              <w:t>KL-63:04</w:t>
            </w:r>
          </w:p>
        </w:tc>
        <w:tc>
          <w:tcPr>
            <w:tcW w:w="1147" w:type="dxa"/>
            <w:vAlign w:val="center"/>
          </w:tcPr>
          <w:p w14:paraId="5B3A04D0">
            <w:pPr>
              <w:jc w:val="center"/>
              <w:rPr>
                <w:color w:val="000000"/>
                <w:sz w:val="22"/>
                <w:szCs w:val="22"/>
              </w:rPr>
            </w:pPr>
            <w:r>
              <w:rPr>
                <w:color w:val="000000"/>
                <w:sz w:val="22"/>
                <w:szCs w:val="22"/>
              </w:rPr>
              <w:t>90,00</w:t>
            </w:r>
          </w:p>
        </w:tc>
        <w:tc>
          <w:tcPr>
            <w:tcW w:w="1098" w:type="dxa"/>
            <w:vAlign w:val="center"/>
          </w:tcPr>
          <w:p w14:paraId="5BD776B4">
            <w:pPr>
              <w:jc w:val="center"/>
              <w:rPr>
                <w:color w:val="000000"/>
                <w:sz w:val="22"/>
                <w:szCs w:val="22"/>
              </w:rPr>
            </w:pPr>
            <w:r>
              <w:rPr>
                <w:color w:val="000000"/>
                <w:sz w:val="22"/>
                <w:szCs w:val="22"/>
              </w:rPr>
              <w:t>78,338</w:t>
            </w:r>
          </w:p>
        </w:tc>
        <w:tc>
          <w:tcPr>
            <w:tcW w:w="1134" w:type="dxa"/>
            <w:vAlign w:val="center"/>
          </w:tcPr>
          <w:p w14:paraId="73F1BABE">
            <w:pPr>
              <w:jc w:val="center"/>
              <w:rPr>
                <w:color w:val="000000"/>
                <w:sz w:val="22"/>
                <w:szCs w:val="22"/>
              </w:rPr>
            </w:pPr>
            <w:r>
              <w:rPr>
                <w:color w:val="000000"/>
                <w:sz w:val="22"/>
                <w:szCs w:val="22"/>
              </w:rPr>
              <w:t>87,0</w:t>
            </w:r>
          </w:p>
        </w:tc>
        <w:tc>
          <w:tcPr>
            <w:tcW w:w="706" w:type="dxa"/>
            <w:vAlign w:val="center"/>
          </w:tcPr>
          <w:p w14:paraId="1B9605AF">
            <w:pPr>
              <w:jc w:val="center"/>
              <w:rPr>
                <w:color w:val="000000"/>
                <w:sz w:val="22"/>
                <w:szCs w:val="22"/>
              </w:rPr>
            </w:pPr>
            <w:r>
              <w:rPr>
                <w:color w:val="000000"/>
                <w:sz w:val="22"/>
                <w:szCs w:val="22"/>
              </w:rPr>
              <w:t>4,0</w:t>
            </w:r>
          </w:p>
        </w:tc>
        <w:tc>
          <w:tcPr>
            <w:tcW w:w="1278" w:type="dxa"/>
            <w:vAlign w:val="center"/>
          </w:tcPr>
          <w:p w14:paraId="6564CB63">
            <w:pPr>
              <w:jc w:val="center"/>
              <w:rPr>
                <w:color w:val="000000"/>
                <w:sz w:val="22"/>
                <w:szCs w:val="22"/>
              </w:rPr>
            </w:pPr>
            <w:r>
              <w:rPr>
                <w:color w:val="000000"/>
                <w:sz w:val="22"/>
                <w:szCs w:val="22"/>
              </w:rPr>
              <w:t>313,8</w:t>
            </w:r>
          </w:p>
        </w:tc>
        <w:tc>
          <w:tcPr>
            <w:tcW w:w="851" w:type="dxa"/>
            <w:vAlign w:val="center"/>
          </w:tcPr>
          <w:p w14:paraId="66DB735F">
            <w:pPr>
              <w:jc w:val="center"/>
              <w:rPr>
                <w:color w:val="000000"/>
                <w:sz w:val="22"/>
                <w:szCs w:val="22"/>
              </w:rPr>
            </w:pPr>
            <w:r>
              <w:rPr>
                <w:color w:val="000000"/>
                <w:sz w:val="22"/>
                <w:szCs w:val="22"/>
              </w:rPr>
              <w:t>3,5</w:t>
            </w:r>
          </w:p>
        </w:tc>
        <w:tc>
          <w:tcPr>
            <w:tcW w:w="850" w:type="dxa"/>
            <w:vAlign w:val="center"/>
          </w:tcPr>
          <w:p w14:paraId="0BE5FE9F">
            <w:pPr>
              <w:jc w:val="center"/>
              <w:rPr>
                <w:color w:val="000000"/>
                <w:sz w:val="22"/>
                <w:szCs w:val="22"/>
              </w:rPr>
            </w:pPr>
            <w:r>
              <w:rPr>
                <w:color w:val="000000"/>
                <w:sz w:val="22"/>
                <w:szCs w:val="22"/>
              </w:rPr>
              <w:t>ĐH1</w:t>
            </w:r>
          </w:p>
        </w:tc>
      </w:tr>
      <w:tr w14:paraId="3E2D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vAlign w:val="center"/>
          </w:tcPr>
          <w:p w14:paraId="0C0071FF">
            <w:pPr>
              <w:jc w:val="center"/>
              <w:rPr>
                <w:color w:val="000000"/>
                <w:sz w:val="22"/>
                <w:szCs w:val="22"/>
              </w:rPr>
            </w:pPr>
          </w:p>
        </w:tc>
        <w:tc>
          <w:tcPr>
            <w:tcW w:w="1121" w:type="dxa"/>
            <w:noWrap/>
            <w:vAlign w:val="center"/>
          </w:tcPr>
          <w:p w14:paraId="0821F864">
            <w:pPr>
              <w:jc w:val="center"/>
              <w:rPr>
                <w:color w:val="000000"/>
                <w:sz w:val="22"/>
                <w:szCs w:val="22"/>
              </w:rPr>
            </w:pPr>
            <w:r>
              <w:rPr>
                <w:color w:val="000000"/>
                <w:sz w:val="22"/>
                <w:szCs w:val="22"/>
              </w:rPr>
              <w:t>KL-63:05</w:t>
            </w:r>
          </w:p>
        </w:tc>
        <w:tc>
          <w:tcPr>
            <w:tcW w:w="1147" w:type="dxa"/>
            <w:vAlign w:val="center"/>
          </w:tcPr>
          <w:p w14:paraId="1A42C303">
            <w:pPr>
              <w:jc w:val="center"/>
              <w:rPr>
                <w:color w:val="000000"/>
                <w:sz w:val="22"/>
                <w:szCs w:val="22"/>
              </w:rPr>
            </w:pPr>
            <w:r>
              <w:rPr>
                <w:color w:val="000000"/>
                <w:sz w:val="22"/>
                <w:szCs w:val="22"/>
              </w:rPr>
              <w:t>90,00</w:t>
            </w:r>
          </w:p>
        </w:tc>
        <w:tc>
          <w:tcPr>
            <w:tcW w:w="1098" w:type="dxa"/>
            <w:vAlign w:val="center"/>
          </w:tcPr>
          <w:p w14:paraId="0E4003CA">
            <w:pPr>
              <w:jc w:val="center"/>
              <w:rPr>
                <w:color w:val="000000"/>
                <w:sz w:val="22"/>
                <w:szCs w:val="22"/>
              </w:rPr>
            </w:pPr>
            <w:r>
              <w:rPr>
                <w:color w:val="000000"/>
                <w:sz w:val="22"/>
                <w:szCs w:val="22"/>
              </w:rPr>
              <w:t>78,338</w:t>
            </w:r>
          </w:p>
        </w:tc>
        <w:tc>
          <w:tcPr>
            <w:tcW w:w="1134" w:type="dxa"/>
            <w:vAlign w:val="center"/>
          </w:tcPr>
          <w:p w14:paraId="48DE0A9D">
            <w:pPr>
              <w:jc w:val="center"/>
              <w:rPr>
                <w:color w:val="000000"/>
                <w:sz w:val="22"/>
                <w:szCs w:val="22"/>
              </w:rPr>
            </w:pPr>
            <w:r>
              <w:rPr>
                <w:color w:val="000000"/>
                <w:sz w:val="22"/>
                <w:szCs w:val="22"/>
              </w:rPr>
              <w:t>87,0</w:t>
            </w:r>
          </w:p>
        </w:tc>
        <w:tc>
          <w:tcPr>
            <w:tcW w:w="706" w:type="dxa"/>
            <w:vAlign w:val="center"/>
          </w:tcPr>
          <w:p w14:paraId="094A05A6">
            <w:pPr>
              <w:jc w:val="center"/>
              <w:rPr>
                <w:color w:val="000000"/>
                <w:sz w:val="22"/>
                <w:szCs w:val="22"/>
              </w:rPr>
            </w:pPr>
            <w:r>
              <w:rPr>
                <w:color w:val="000000"/>
                <w:sz w:val="22"/>
                <w:szCs w:val="22"/>
              </w:rPr>
              <w:t>4,0</w:t>
            </w:r>
          </w:p>
        </w:tc>
        <w:tc>
          <w:tcPr>
            <w:tcW w:w="1278" w:type="dxa"/>
            <w:vAlign w:val="center"/>
          </w:tcPr>
          <w:p w14:paraId="77C77842">
            <w:pPr>
              <w:jc w:val="center"/>
              <w:rPr>
                <w:color w:val="000000"/>
                <w:sz w:val="22"/>
                <w:szCs w:val="22"/>
              </w:rPr>
            </w:pPr>
            <w:r>
              <w:rPr>
                <w:color w:val="000000"/>
                <w:sz w:val="22"/>
                <w:szCs w:val="22"/>
              </w:rPr>
              <w:t>313,8</w:t>
            </w:r>
          </w:p>
        </w:tc>
        <w:tc>
          <w:tcPr>
            <w:tcW w:w="851" w:type="dxa"/>
            <w:vAlign w:val="center"/>
          </w:tcPr>
          <w:p w14:paraId="3A5D7CB4">
            <w:pPr>
              <w:jc w:val="center"/>
              <w:rPr>
                <w:color w:val="000000"/>
                <w:sz w:val="22"/>
                <w:szCs w:val="22"/>
              </w:rPr>
            </w:pPr>
            <w:r>
              <w:rPr>
                <w:color w:val="000000"/>
                <w:sz w:val="22"/>
                <w:szCs w:val="22"/>
              </w:rPr>
              <w:t>3,5</w:t>
            </w:r>
          </w:p>
        </w:tc>
        <w:tc>
          <w:tcPr>
            <w:tcW w:w="850" w:type="dxa"/>
            <w:vAlign w:val="center"/>
          </w:tcPr>
          <w:p w14:paraId="2F85E1A1">
            <w:pPr>
              <w:jc w:val="center"/>
              <w:rPr>
                <w:color w:val="000000"/>
                <w:sz w:val="22"/>
                <w:szCs w:val="22"/>
              </w:rPr>
            </w:pPr>
            <w:r>
              <w:rPr>
                <w:color w:val="000000"/>
                <w:sz w:val="22"/>
                <w:szCs w:val="22"/>
              </w:rPr>
              <w:t>ĐH1</w:t>
            </w:r>
          </w:p>
        </w:tc>
      </w:tr>
      <w:tr w14:paraId="5189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78919DB2">
            <w:pPr>
              <w:jc w:val="center"/>
              <w:rPr>
                <w:b/>
                <w:bCs/>
                <w:color w:val="000000"/>
                <w:sz w:val="22"/>
                <w:szCs w:val="22"/>
              </w:rPr>
            </w:pPr>
            <w:r>
              <w:rPr>
                <w:b/>
                <w:bCs/>
                <w:color w:val="000000"/>
                <w:sz w:val="22"/>
                <w:szCs w:val="22"/>
              </w:rPr>
              <w:t>Tổng</w:t>
            </w:r>
          </w:p>
        </w:tc>
        <w:tc>
          <w:tcPr>
            <w:tcW w:w="1121" w:type="dxa"/>
            <w:noWrap/>
            <w:vAlign w:val="center"/>
          </w:tcPr>
          <w:p w14:paraId="055BB63F">
            <w:pPr>
              <w:jc w:val="center"/>
              <w:rPr>
                <w:b/>
                <w:bCs/>
                <w:color w:val="000000"/>
                <w:sz w:val="22"/>
                <w:szCs w:val="22"/>
              </w:rPr>
            </w:pPr>
            <w:r>
              <w:rPr>
                <w:b/>
                <w:bCs/>
                <w:color w:val="000000"/>
                <w:sz w:val="22"/>
                <w:szCs w:val="22"/>
              </w:rPr>
              <w:t>KL-63</w:t>
            </w:r>
          </w:p>
        </w:tc>
        <w:tc>
          <w:tcPr>
            <w:tcW w:w="1147" w:type="dxa"/>
            <w:vAlign w:val="center"/>
          </w:tcPr>
          <w:p w14:paraId="2A6B36AD">
            <w:pPr>
              <w:jc w:val="center"/>
              <w:rPr>
                <w:b/>
                <w:bCs/>
                <w:color w:val="000000"/>
                <w:sz w:val="22"/>
                <w:szCs w:val="22"/>
              </w:rPr>
            </w:pPr>
            <w:r>
              <w:rPr>
                <w:b/>
                <w:bCs/>
                <w:color w:val="000000"/>
                <w:sz w:val="22"/>
                <w:szCs w:val="22"/>
              </w:rPr>
              <w:t>481,39</w:t>
            </w:r>
          </w:p>
        </w:tc>
        <w:tc>
          <w:tcPr>
            <w:tcW w:w="1098" w:type="dxa"/>
            <w:vAlign w:val="center"/>
          </w:tcPr>
          <w:p w14:paraId="6E1D4FA1">
            <w:pPr>
              <w:jc w:val="center"/>
              <w:rPr>
                <w:b/>
                <w:bCs/>
                <w:color w:val="000000"/>
                <w:sz w:val="22"/>
                <w:szCs w:val="22"/>
              </w:rPr>
            </w:pPr>
            <w:r>
              <w:rPr>
                <w:b/>
                <w:bCs/>
                <w:color w:val="000000"/>
                <w:sz w:val="22"/>
                <w:szCs w:val="22"/>
              </w:rPr>
              <w:t>391,0</w:t>
            </w:r>
          </w:p>
        </w:tc>
        <w:tc>
          <w:tcPr>
            <w:tcW w:w="1134" w:type="dxa"/>
            <w:vAlign w:val="center"/>
          </w:tcPr>
          <w:p w14:paraId="7584C9F2">
            <w:pPr>
              <w:jc w:val="center"/>
              <w:rPr>
                <w:b/>
                <w:bCs/>
                <w:color w:val="000000"/>
                <w:sz w:val="22"/>
                <w:szCs w:val="22"/>
              </w:rPr>
            </w:pPr>
            <w:r>
              <w:rPr>
                <w:b/>
                <w:bCs/>
                <w:color w:val="000000"/>
                <w:sz w:val="22"/>
                <w:szCs w:val="22"/>
              </w:rPr>
              <w:t>81,2</w:t>
            </w:r>
          </w:p>
        </w:tc>
        <w:tc>
          <w:tcPr>
            <w:tcW w:w="706" w:type="dxa"/>
            <w:vAlign w:val="center"/>
          </w:tcPr>
          <w:p w14:paraId="02444FDD">
            <w:pPr>
              <w:jc w:val="center"/>
              <w:rPr>
                <w:color w:val="000000"/>
                <w:sz w:val="22"/>
                <w:szCs w:val="22"/>
              </w:rPr>
            </w:pPr>
          </w:p>
        </w:tc>
        <w:tc>
          <w:tcPr>
            <w:tcW w:w="1278" w:type="dxa"/>
            <w:vAlign w:val="center"/>
          </w:tcPr>
          <w:p w14:paraId="11B88A02">
            <w:pPr>
              <w:jc w:val="center"/>
              <w:rPr>
                <w:b/>
                <w:bCs/>
                <w:color w:val="000000"/>
                <w:sz w:val="22"/>
                <w:szCs w:val="22"/>
              </w:rPr>
            </w:pPr>
            <w:r>
              <w:rPr>
                <w:b/>
                <w:bCs/>
                <w:color w:val="000000"/>
                <w:sz w:val="22"/>
                <w:szCs w:val="22"/>
              </w:rPr>
              <w:t>1.610,4</w:t>
            </w:r>
          </w:p>
        </w:tc>
        <w:tc>
          <w:tcPr>
            <w:tcW w:w="851" w:type="dxa"/>
            <w:vAlign w:val="center"/>
          </w:tcPr>
          <w:p w14:paraId="6F933575">
            <w:pPr>
              <w:jc w:val="center"/>
              <w:rPr>
                <w:b/>
                <w:bCs/>
                <w:color w:val="000000"/>
                <w:sz w:val="22"/>
                <w:szCs w:val="22"/>
              </w:rPr>
            </w:pPr>
            <w:r>
              <w:rPr>
                <w:b/>
                <w:bCs/>
                <w:color w:val="000000"/>
                <w:sz w:val="22"/>
                <w:szCs w:val="22"/>
              </w:rPr>
              <w:t>2,8</w:t>
            </w:r>
          </w:p>
        </w:tc>
        <w:tc>
          <w:tcPr>
            <w:tcW w:w="850" w:type="dxa"/>
            <w:vAlign w:val="center"/>
          </w:tcPr>
          <w:p w14:paraId="7D76CC53">
            <w:pPr>
              <w:jc w:val="center"/>
              <w:rPr>
                <w:color w:val="000000"/>
                <w:sz w:val="22"/>
                <w:szCs w:val="22"/>
              </w:rPr>
            </w:pPr>
          </w:p>
        </w:tc>
      </w:tr>
      <w:tr w14:paraId="086A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ign w:val="center"/>
          </w:tcPr>
          <w:p w14:paraId="25B4C6FB">
            <w:pPr>
              <w:jc w:val="center"/>
              <w:rPr>
                <w:b/>
                <w:bCs/>
                <w:color w:val="000000"/>
                <w:sz w:val="22"/>
                <w:szCs w:val="22"/>
              </w:rPr>
            </w:pPr>
            <w:r>
              <w:rPr>
                <w:b/>
                <w:bCs/>
                <w:color w:val="000000"/>
                <w:sz w:val="22"/>
                <w:szCs w:val="22"/>
              </w:rPr>
              <w:t>TỔNG HỢP</w:t>
            </w:r>
          </w:p>
        </w:tc>
        <w:tc>
          <w:tcPr>
            <w:tcW w:w="1121" w:type="dxa"/>
            <w:noWrap/>
            <w:vAlign w:val="center"/>
          </w:tcPr>
          <w:p w14:paraId="23423EE3">
            <w:pPr>
              <w:jc w:val="center"/>
              <w:rPr>
                <w:b/>
                <w:bCs/>
                <w:color w:val="000000"/>
                <w:sz w:val="22"/>
                <w:szCs w:val="22"/>
              </w:rPr>
            </w:pPr>
          </w:p>
        </w:tc>
        <w:tc>
          <w:tcPr>
            <w:tcW w:w="1147" w:type="dxa"/>
            <w:vAlign w:val="center"/>
          </w:tcPr>
          <w:p w14:paraId="3F734AAE">
            <w:pPr>
              <w:jc w:val="center"/>
              <w:rPr>
                <w:b/>
                <w:bCs/>
                <w:color w:val="000000"/>
                <w:sz w:val="22"/>
                <w:szCs w:val="22"/>
              </w:rPr>
            </w:pPr>
            <w:r>
              <w:rPr>
                <w:b/>
                <w:bCs/>
                <w:color w:val="000000"/>
                <w:sz w:val="22"/>
                <w:szCs w:val="22"/>
              </w:rPr>
              <w:t>11572,94</w:t>
            </w:r>
          </w:p>
        </w:tc>
        <w:tc>
          <w:tcPr>
            <w:tcW w:w="1098" w:type="dxa"/>
            <w:vAlign w:val="center"/>
          </w:tcPr>
          <w:p w14:paraId="4504C23D">
            <w:pPr>
              <w:jc w:val="center"/>
              <w:rPr>
                <w:b/>
                <w:bCs/>
                <w:color w:val="000000"/>
                <w:sz w:val="22"/>
                <w:szCs w:val="22"/>
              </w:rPr>
            </w:pPr>
            <w:r>
              <w:rPr>
                <w:b/>
                <w:bCs/>
                <w:color w:val="000000"/>
                <w:sz w:val="22"/>
                <w:szCs w:val="22"/>
              </w:rPr>
              <w:t>9.770,1</w:t>
            </w:r>
          </w:p>
        </w:tc>
        <w:tc>
          <w:tcPr>
            <w:tcW w:w="1134" w:type="dxa"/>
            <w:vAlign w:val="center"/>
          </w:tcPr>
          <w:p w14:paraId="629C6D82">
            <w:pPr>
              <w:jc w:val="center"/>
              <w:rPr>
                <w:b/>
                <w:bCs/>
                <w:color w:val="000000"/>
                <w:sz w:val="22"/>
                <w:szCs w:val="22"/>
              </w:rPr>
            </w:pPr>
          </w:p>
        </w:tc>
        <w:tc>
          <w:tcPr>
            <w:tcW w:w="706" w:type="dxa"/>
            <w:vAlign w:val="center"/>
          </w:tcPr>
          <w:p w14:paraId="2621FBC8">
            <w:pPr>
              <w:jc w:val="center"/>
              <w:rPr>
                <w:b/>
                <w:bCs/>
                <w:color w:val="000000"/>
                <w:sz w:val="22"/>
                <w:szCs w:val="22"/>
              </w:rPr>
            </w:pPr>
          </w:p>
        </w:tc>
        <w:tc>
          <w:tcPr>
            <w:tcW w:w="1278" w:type="dxa"/>
            <w:vAlign w:val="center"/>
          </w:tcPr>
          <w:p w14:paraId="00C4DC2F">
            <w:pPr>
              <w:jc w:val="center"/>
              <w:rPr>
                <w:b/>
                <w:bCs/>
                <w:color w:val="000000"/>
                <w:sz w:val="22"/>
                <w:szCs w:val="22"/>
              </w:rPr>
            </w:pPr>
            <w:r>
              <w:rPr>
                <w:b/>
                <w:bCs/>
                <w:color w:val="000000"/>
                <w:sz w:val="22"/>
                <w:szCs w:val="22"/>
              </w:rPr>
              <w:t>39.115,6</w:t>
            </w:r>
          </w:p>
        </w:tc>
        <w:tc>
          <w:tcPr>
            <w:tcW w:w="851" w:type="dxa"/>
            <w:vAlign w:val="center"/>
          </w:tcPr>
          <w:p w14:paraId="1B3FB737">
            <w:pPr>
              <w:jc w:val="center"/>
              <w:rPr>
                <w:b/>
                <w:bCs/>
                <w:color w:val="000000"/>
                <w:sz w:val="22"/>
                <w:szCs w:val="22"/>
              </w:rPr>
            </w:pPr>
          </w:p>
        </w:tc>
        <w:tc>
          <w:tcPr>
            <w:tcW w:w="850" w:type="dxa"/>
            <w:vAlign w:val="center"/>
          </w:tcPr>
          <w:p w14:paraId="76647F09">
            <w:pPr>
              <w:jc w:val="center"/>
              <w:rPr>
                <w:b/>
                <w:bCs/>
                <w:color w:val="000000"/>
                <w:sz w:val="22"/>
                <w:szCs w:val="22"/>
              </w:rPr>
            </w:pPr>
          </w:p>
        </w:tc>
      </w:tr>
    </w:tbl>
    <w:p w14:paraId="2C805AEB">
      <w:pPr>
        <w:widowControl w:val="0"/>
        <w:spacing w:before="120" w:after="120" w:line="340" w:lineRule="exact"/>
        <w:jc w:val="center"/>
        <w:rPr>
          <w:rFonts w:eastAsia="Tahoma"/>
          <w:b/>
          <w:bCs/>
          <w:color w:val="000000" w:themeColor="text1"/>
          <w:spacing w:val="-2"/>
          <w:sz w:val="26"/>
          <w:szCs w:val="26"/>
          <w14:textFill>
            <w14:solidFill>
              <w14:schemeClr w14:val="tx1"/>
            </w14:solidFill>
          </w14:textFill>
        </w:rPr>
      </w:pPr>
    </w:p>
    <w:p w14:paraId="77F332E4">
      <w:pPr>
        <w:widowControl w:val="0"/>
        <w:spacing w:before="120" w:after="120" w:line="380" w:lineRule="exact"/>
        <w:ind w:firstLine="567"/>
        <w:jc w:val="both"/>
        <w:rPr>
          <w:rFonts w:eastAsia="Tahoma"/>
          <w:color w:val="000000"/>
          <w:spacing w:val="-8"/>
          <w:sz w:val="26"/>
          <w:szCs w:val="26"/>
          <w:lang w:val="vi-VN"/>
        </w:rPr>
      </w:pPr>
      <w:bookmarkStart w:id="32" w:name="_Hlk130076528"/>
      <w:r>
        <w:rPr>
          <w:rFonts w:eastAsia="Tahoma"/>
          <w:color w:val="000000"/>
          <w:spacing w:val="-8"/>
          <w:sz w:val="26"/>
          <w:szCs w:val="26"/>
          <w:lang w:val="vi-VN"/>
        </w:rPr>
        <w:t>*Căn cứ Điều 6 Nghị định số 71/2024/NĐ-CP ngày 27/06/2024 của Chính Phủ quy định:</w:t>
      </w:r>
    </w:p>
    <w:p w14:paraId="47F4496B">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“3. Ước tính tổng chi phí phát triển của thửa đất, khu đất</w:t>
      </w:r>
    </w:p>
    <w:p w14:paraId="01B159A1">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a) Các chi phí đầu tư xây dựng để xác định giá đất trong Nghị định này bao gồm:</w:t>
      </w:r>
    </w:p>
    <w:p w14:paraId="0BC81B1B">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 Chi phí xây dựng các công trình, hạng mục công trình của dự án (có tính đến chi phí dự phòng cho yếu tố trượt giá);</w:t>
      </w:r>
    </w:p>
    <w:p w14:paraId="16C49555">
      <w:pPr>
        <w:widowControl w:val="0"/>
        <w:spacing w:before="120" w:after="120" w:line="380" w:lineRule="exact"/>
        <w:ind w:firstLine="567"/>
        <w:jc w:val="both"/>
        <w:rPr>
          <w:rFonts w:eastAsia="Tahoma"/>
          <w:color w:val="000000"/>
          <w:spacing w:val="-4"/>
          <w:sz w:val="26"/>
          <w:szCs w:val="26"/>
          <w:lang w:val="vi-VN"/>
        </w:rPr>
      </w:pPr>
      <w:r>
        <w:rPr>
          <w:rFonts w:eastAsia="Tahoma"/>
          <w:color w:val="000000"/>
          <w:spacing w:val="-4"/>
          <w:sz w:val="26"/>
          <w:szCs w:val="26"/>
          <w:lang w:val="vi-VN"/>
        </w:rPr>
        <w:t>- Chi phí xây dựng các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tái định cư;</w:t>
      </w:r>
    </w:p>
    <w:p w14:paraId="0EA1A308">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 Chi phí thiết bị;</w:t>
      </w:r>
    </w:p>
    <w:p w14:paraId="69F8273C">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 Chi phí quản lý dự án;</w:t>
      </w:r>
    </w:p>
    <w:p w14:paraId="70060944">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 Chi phí tư vấn đầu tư xây dựng;</w:t>
      </w:r>
    </w:p>
    <w:p w14:paraId="329E5D68">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 Chi phí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quyết định.</w:t>
      </w:r>
    </w:p>
    <w:p w14:paraId="0072213F">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4. Việc ước tính tổng chi phí đầu tư xây dựng được thực hiện như sau:</w:t>
      </w:r>
    </w:p>
    <w:p w14:paraId="357225C9">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a) Chi phí đầu tư xây dựng được ước tính theo quy hoạch chi tiết xây dựng hoặc quy hoạch tổng mặt bằng hoặc hồ sơ thiết kế cơ sở hoặc hồ sơ thiết kế thi công được cơ quan có thẩm quyền thẩm định, phê duyệt. Việc ước tính chi phí đầu tư xây dựng quy định tại điểm này thực hiện theo quy định của pháp luật về xây dựng;</w:t>
      </w:r>
    </w:p>
    <w:p w14:paraId="772056D3">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b) Việc ước tính tổng chi phí đầu tư xây dựng căn cứ theo thứ tự ưu tiên như sau:</w:t>
      </w:r>
    </w:p>
    <w:p w14:paraId="2EAFDAE8">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 Dự toán xây dựng đã được cơ quan chuyên môn về xây dựng thẩm định theo quy định của pháp luật về xây dựng;</w:t>
      </w:r>
    </w:p>
    <w:p w14:paraId="2B6DD2AB">
      <w:pPr>
        <w:widowControl w:val="0"/>
        <w:spacing w:before="120" w:after="120" w:line="380" w:lineRule="exact"/>
        <w:ind w:firstLine="567"/>
        <w:jc w:val="both"/>
        <w:rPr>
          <w:rFonts w:eastAsia="Tahoma"/>
          <w:color w:val="000000"/>
          <w:spacing w:val="-4"/>
          <w:sz w:val="26"/>
          <w:szCs w:val="26"/>
          <w:lang w:val="vi-VN"/>
        </w:rPr>
      </w:pPr>
      <w:r>
        <w:rPr>
          <w:rFonts w:eastAsia="Tahoma"/>
          <w:color w:val="000000"/>
          <w:spacing w:val="-4"/>
          <w:sz w:val="26"/>
          <w:szCs w:val="26"/>
          <w:lang w:val="vi-VN"/>
        </w:rPr>
        <w:t>- Dự toán xây dựng dựa trên định mức, đơn giá do cơ quan nhà nước có thẩm quyền ban hành, công bố và đã được cơ quan, tổ chức tư vấn thẩm định hoặc thẩm tra độc lập. Cơ quan, tổ chức tư vấn thẩm định hoặc thẩm tra độc lập chịu trách nhiệm trước pháp luật về kết quả thẩm định hoặc thẩm tra đối với dự toán xây dựng mà mình đã thực hiện;</w:t>
      </w:r>
    </w:p>
    <w:p w14:paraId="2F37C28A">
      <w:pPr>
        <w:widowControl w:val="0"/>
        <w:spacing w:before="120" w:after="120" w:line="380" w:lineRule="exact"/>
        <w:ind w:firstLine="567"/>
        <w:jc w:val="both"/>
        <w:rPr>
          <w:rFonts w:eastAsia="Tahoma"/>
          <w:color w:val="000000"/>
          <w:spacing w:val="-2"/>
          <w:sz w:val="26"/>
          <w:szCs w:val="26"/>
          <w:lang w:val="vi-VN"/>
        </w:rPr>
      </w:pPr>
      <w:r>
        <w:rPr>
          <w:rFonts w:eastAsia="Tahoma"/>
          <w:color w:val="000000"/>
          <w:spacing w:val="-2"/>
          <w:sz w:val="26"/>
          <w:szCs w:val="26"/>
          <w:lang w:val="vi-VN"/>
        </w:rPr>
        <w:t>- Suất vốn đầu tư xây dựng do Bộ Xây dựng công bố;</w:t>
      </w:r>
    </w:p>
    <w:p w14:paraId="6208548D">
      <w:pPr>
        <w:widowControl w:val="0"/>
        <w:spacing w:before="120" w:after="120" w:line="380" w:lineRule="exact"/>
        <w:ind w:firstLine="567"/>
        <w:jc w:val="both"/>
        <w:rPr>
          <w:rFonts w:eastAsia="Tahoma"/>
          <w:spacing w:val="-4"/>
          <w:sz w:val="26"/>
          <w:szCs w:val="26"/>
        </w:rPr>
      </w:pPr>
      <w:r>
        <w:rPr>
          <w:rFonts w:eastAsia="Tahoma"/>
          <w:color w:val="000000"/>
          <w:spacing w:val="-4"/>
          <w:sz w:val="26"/>
          <w:szCs w:val="26"/>
          <w:lang w:val="vi-VN"/>
        </w:rPr>
        <w:t xml:space="preserve">- </w:t>
      </w:r>
      <w:r>
        <w:rPr>
          <w:rFonts w:eastAsia="Tahoma"/>
          <w:spacing w:val="-4"/>
          <w:sz w:val="26"/>
          <w:szCs w:val="26"/>
          <w:lang w:val="vi-VN"/>
        </w:rPr>
        <w:t xml:space="preserve">Căn cứ công văn số </w:t>
      </w:r>
      <w:r>
        <w:rPr>
          <w:rFonts w:eastAsia="Tahoma"/>
          <w:spacing w:val="-4"/>
          <w:sz w:val="26"/>
          <w:szCs w:val="26"/>
        </w:rPr>
        <w:t xml:space="preserve">3160/SXD-HTKT&amp;VLXD </w:t>
      </w:r>
      <w:r>
        <w:rPr>
          <w:rFonts w:eastAsia="Tahoma"/>
          <w:spacing w:val="-4"/>
          <w:sz w:val="26"/>
          <w:szCs w:val="26"/>
          <w:lang w:val="vi-VN"/>
        </w:rPr>
        <w:t xml:space="preserve">ngày </w:t>
      </w:r>
      <w:r>
        <w:rPr>
          <w:rFonts w:eastAsia="Tahoma"/>
          <w:spacing w:val="-4"/>
          <w:sz w:val="26"/>
          <w:szCs w:val="26"/>
        </w:rPr>
        <w:t>25</w:t>
      </w:r>
      <w:r>
        <w:rPr>
          <w:rFonts w:eastAsia="Tahoma"/>
          <w:spacing w:val="-4"/>
          <w:sz w:val="26"/>
          <w:szCs w:val="26"/>
          <w:lang w:val="vi-VN"/>
        </w:rPr>
        <w:t xml:space="preserve"> tháng </w:t>
      </w:r>
      <w:r>
        <w:rPr>
          <w:rFonts w:eastAsia="Tahoma"/>
          <w:spacing w:val="-4"/>
          <w:sz w:val="26"/>
          <w:szCs w:val="26"/>
        </w:rPr>
        <w:t>12</w:t>
      </w:r>
      <w:r>
        <w:rPr>
          <w:rFonts w:eastAsia="Tahoma"/>
          <w:spacing w:val="-4"/>
          <w:sz w:val="26"/>
          <w:szCs w:val="26"/>
          <w:lang w:val="vi-VN"/>
        </w:rPr>
        <w:t xml:space="preserve"> năm 202</w:t>
      </w:r>
      <w:r>
        <w:rPr>
          <w:rFonts w:eastAsia="Tahoma"/>
          <w:spacing w:val="-4"/>
          <w:sz w:val="26"/>
          <w:szCs w:val="26"/>
        </w:rPr>
        <w:t>4</w:t>
      </w:r>
      <w:r>
        <w:rPr>
          <w:rFonts w:eastAsia="Tahoma"/>
          <w:spacing w:val="-4"/>
          <w:sz w:val="26"/>
          <w:szCs w:val="26"/>
          <w:lang w:val="vi-VN"/>
        </w:rPr>
        <w:t xml:space="preserve"> của Sở Xây dựng tỉnh </w:t>
      </w:r>
      <w:r>
        <w:rPr>
          <w:rFonts w:eastAsia="Tahoma"/>
          <w:spacing w:val="-4"/>
          <w:sz w:val="26"/>
          <w:szCs w:val="26"/>
        </w:rPr>
        <w:t>Lạng Sơn</w:t>
      </w:r>
      <w:r>
        <w:rPr>
          <w:rFonts w:eastAsia="Tahoma"/>
          <w:spacing w:val="-4"/>
          <w:sz w:val="26"/>
          <w:szCs w:val="26"/>
          <w:lang w:val="vi-VN"/>
        </w:rPr>
        <w:t xml:space="preserve"> </w:t>
      </w:r>
      <w:r>
        <w:rPr>
          <w:rFonts w:eastAsia="Tahoma"/>
          <w:spacing w:val="-4"/>
          <w:sz w:val="26"/>
          <w:szCs w:val="26"/>
        </w:rPr>
        <w:t xml:space="preserve">V/v tham gia ý kiến về dự toán xây dựng công trình dự án Khu đô thị phía Đông Nam, thị trấn Đồng Mỏ để phục vụ công tác xác định giá đất cụ thể, </w:t>
      </w:r>
      <w:r>
        <w:rPr>
          <w:rFonts w:eastAsia="Tahoma"/>
          <w:spacing w:val="-4"/>
          <w:sz w:val="26"/>
          <w:szCs w:val="26"/>
          <w:lang w:val="vi-VN"/>
        </w:rPr>
        <w:t xml:space="preserve">đã trả lời </w:t>
      </w:r>
      <w:r>
        <w:rPr>
          <w:rFonts w:eastAsia="Tahoma"/>
          <w:spacing w:val="-4"/>
          <w:sz w:val="26"/>
          <w:szCs w:val="26"/>
        </w:rPr>
        <w:t xml:space="preserve">3780/STNMT-KHTC ngày 19/12/2024 của Sở Tài nguyên và Môi trường về việc đề nghị cung cấp, cho ý kiến về dự toán xây dựng để phục vụ công tác xác định giá đất cụ thể (hồ sơ gửi kèm theo gồm: hồ sơ dự toán (01 tập), Báo cáo kết quả thẩm tra hồ sơ dự toán xây dựng công trình số 05/BCTTr ngày 07/12/2024 của Công ty TNHH MTV Tư vấn đầu tư xây dựng Sơn Nam; chứng chỉ hành nghề hoạt động xây dựng ông Vũ Văn Quỳnh và ông Lã Duy Hiếu) </w:t>
      </w:r>
      <w:r>
        <w:rPr>
          <w:rFonts w:eastAsia="Tahoma"/>
          <w:spacing w:val="-4"/>
          <w:sz w:val="26"/>
          <w:szCs w:val="26"/>
          <w:lang w:val="vi-VN"/>
        </w:rPr>
        <w:t xml:space="preserve">như sau: </w:t>
      </w:r>
    </w:p>
    <w:p w14:paraId="4D344F1A">
      <w:pPr>
        <w:widowControl w:val="0"/>
        <w:spacing w:before="120" w:after="120" w:line="380" w:lineRule="exact"/>
        <w:ind w:firstLine="567"/>
        <w:jc w:val="both"/>
        <w:rPr>
          <w:rFonts w:eastAsia="Tahoma"/>
          <w:spacing w:val="-4"/>
          <w:sz w:val="26"/>
          <w:szCs w:val="26"/>
        </w:rPr>
      </w:pPr>
      <w:r>
        <w:rPr>
          <w:rFonts w:eastAsia="Tahoma"/>
          <w:spacing w:val="-4"/>
          <w:sz w:val="26"/>
          <w:szCs w:val="26"/>
          <w:lang w:val="vi-VN"/>
        </w:rPr>
        <w:t>“</w:t>
      </w:r>
      <w:r>
        <w:rPr>
          <w:rFonts w:eastAsia="Tahoma"/>
          <w:spacing w:val="-4"/>
          <w:sz w:val="26"/>
          <w:szCs w:val="26"/>
        </w:rPr>
        <w:t>1. Theo quy định tại của pháp luật về xây dựng cơ quan chuyên môn về xây dựng thực hiện thẩm định đối với dự án đầu tư xây dựng sử dụng vốn khác theo quy định tại khoản 4 Điều 36 Nghị định số 15/2021/NĐ-CP ngày 03/3/2021 của Chính phủ. Qua rà soát, vị trí, địa điểm thực hiện dự án đã được UBND huyện Chi Lăng phê duyệt Đồ án Quy hoạch chi tiết tỷ lệ 1/500 Khu đô thị mới hai bên đường Quốc lộ 1 phía Đông Nam thị trấn Đồng Mỏ tại Quyết định số 2483/QĐ-UBND ngày 26/6/2020, do vậy cơ quan chuyên môn về xây dựng không thực hiện thẩm định thiết kế triển khai sau thiết kế cơ sở. Thiết kế xây dựng triển khai sau thiết kế cơ sở (bao gồm cả dự toán xây dựng công trình) do Chủ đầu tư tổ chức thẩm định theo quy định tại khoản 1 Điều 35 Nghị định số 15/2021/NĐ-CP</w:t>
      </w:r>
    </w:p>
    <w:p w14:paraId="679A2B19">
      <w:pPr>
        <w:widowControl w:val="0"/>
        <w:spacing w:before="120" w:after="120" w:line="380" w:lineRule="exact"/>
        <w:ind w:firstLine="567"/>
        <w:jc w:val="both"/>
        <w:rPr>
          <w:rFonts w:eastAsia="Tahoma"/>
          <w:b/>
          <w:bCs/>
          <w:spacing w:val="-6"/>
          <w:sz w:val="26"/>
          <w:szCs w:val="26"/>
        </w:rPr>
      </w:pPr>
      <w:r>
        <w:rPr>
          <w:rFonts w:eastAsia="Tahoma"/>
          <w:b/>
          <w:bCs/>
          <w:spacing w:val="-6"/>
          <w:sz w:val="26"/>
          <w:szCs w:val="26"/>
          <w:lang w:val="vi-VN"/>
        </w:rPr>
        <w:t xml:space="preserve">=&gt; Dự án </w:t>
      </w:r>
      <w:r>
        <w:rPr>
          <w:rFonts w:eastAsia="Tahoma"/>
          <w:b/>
          <w:bCs/>
          <w:spacing w:val="-4"/>
          <w:sz w:val="26"/>
          <w:szCs w:val="26"/>
        </w:rPr>
        <w:t>Khu đô thị phía Đông Nam, thị trấn Đồng Mỏ</w:t>
      </w:r>
      <w:r>
        <w:rPr>
          <w:rFonts w:eastAsia="Tahoma"/>
          <w:b/>
          <w:bCs/>
          <w:spacing w:val="-6"/>
          <w:sz w:val="26"/>
          <w:szCs w:val="26"/>
          <w:lang w:val="vi-VN"/>
        </w:rPr>
        <w:t xml:space="preserve"> thuộc trường hợp không được cơ quan chuyên môn về xây dựng thẩm định theo quy định của pháp luật về xây dựng;</w:t>
      </w:r>
    </w:p>
    <w:p w14:paraId="68AEAAEA">
      <w:pPr>
        <w:widowControl w:val="0"/>
        <w:spacing w:before="120" w:after="120" w:line="380" w:lineRule="exact"/>
        <w:ind w:firstLine="567"/>
        <w:jc w:val="both"/>
        <w:rPr>
          <w:rFonts w:eastAsia="Tahoma"/>
          <w:spacing w:val="-2"/>
          <w:sz w:val="26"/>
          <w:szCs w:val="26"/>
        </w:rPr>
      </w:pPr>
      <w:r>
        <w:rPr>
          <w:rFonts w:eastAsia="Tahoma"/>
          <w:color w:val="000000"/>
          <w:spacing w:val="-4"/>
          <w:sz w:val="26"/>
          <w:szCs w:val="26"/>
          <w:lang w:val="vi-VN"/>
        </w:rPr>
        <w:t xml:space="preserve">- </w:t>
      </w:r>
      <w:r>
        <w:rPr>
          <w:rFonts w:eastAsia="Tahoma"/>
          <w:spacing w:val="-4"/>
          <w:sz w:val="26"/>
          <w:szCs w:val="26"/>
          <w:lang w:val="vi-VN"/>
        </w:rPr>
        <w:t xml:space="preserve">Căn cứ công văn số </w:t>
      </w:r>
      <w:r>
        <w:rPr>
          <w:rFonts w:eastAsia="Tahoma"/>
          <w:spacing w:val="-4"/>
          <w:sz w:val="26"/>
          <w:szCs w:val="26"/>
        </w:rPr>
        <w:t xml:space="preserve">3160/SXD-HTKT&amp;VLXD </w:t>
      </w:r>
      <w:r>
        <w:rPr>
          <w:rFonts w:eastAsia="Tahoma"/>
          <w:spacing w:val="-4"/>
          <w:sz w:val="26"/>
          <w:szCs w:val="26"/>
          <w:lang w:val="vi-VN"/>
        </w:rPr>
        <w:t xml:space="preserve">ngày </w:t>
      </w:r>
      <w:r>
        <w:rPr>
          <w:rFonts w:eastAsia="Tahoma"/>
          <w:spacing w:val="-4"/>
          <w:sz w:val="26"/>
          <w:szCs w:val="26"/>
        </w:rPr>
        <w:t>25</w:t>
      </w:r>
      <w:r>
        <w:rPr>
          <w:rFonts w:eastAsia="Tahoma"/>
          <w:spacing w:val="-4"/>
          <w:sz w:val="26"/>
          <w:szCs w:val="26"/>
          <w:lang w:val="vi-VN"/>
        </w:rPr>
        <w:t xml:space="preserve"> tháng </w:t>
      </w:r>
      <w:r>
        <w:rPr>
          <w:rFonts w:eastAsia="Tahoma"/>
          <w:spacing w:val="-4"/>
          <w:sz w:val="26"/>
          <w:szCs w:val="26"/>
        </w:rPr>
        <w:t>12</w:t>
      </w:r>
      <w:r>
        <w:rPr>
          <w:rFonts w:eastAsia="Tahoma"/>
          <w:spacing w:val="-4"/>
          <w:sz w:val="26"/>
          <w:szCs w:val="26"/>
          <w:lang w:val="vi-VN"/>
        </w:rPr>
        <w:t xml:space="preserve"> năm 202</w:t>
      </w:r>
      <w:r>
        <w:rPr>
          <w:rFonts w:eastAsia="Tahoma"/>
          <w:spacing w:val="-4"/>
          <w:sz w:val="26"/>
          <w:szCs w:val="26"/>
        </w:rPr>
        <w:t>4</w:t>
      </w:r>
      <w:r>
        <w:rPr>
          <w:rFonts w:eastAsia="Tahoma"/>
          <w:spacing w:val="-4"/>
          <w:sz w:val="26"/>
          <w:szCs w:val="26"/>
          <w:lang w:val="vi-VN"/>
        </w:rPr>
        <w:t xml:space="preserve"> của Sở Xây dựng tỉnh </w:t>
      </w:r>
      <w:r>
        <w:rPr>
          <w:rFonts w:eastAsia="Tahoma"/>
          <w:spacing w:val="-4"/>
          <w:sz w:val="26"/>
          <w:szCs w:val="26"/>
        </w:rPr>
        <w:t>Lạng Sơn:</w:t>
      </w:r>
    </w:p>
    <w:p w14:paraId="4D91B541">
      <w:pPr>
        <w:widowControl w:val="0"/>
        <w:spacing w:before="120" w:after="120" w:line="380" w:lineRule="exact"/>
        <w:ind w:firstLine="567"/>
        <w:jc w:val="both"/>
        <w:rPr>
          <w:rFonts w:eastAsia="Tahoma"/>
          <w:spacing w:val="-2"/>
          <w:sz w:val="26"/>
          <w:szCs w:val="26"/>
        </w:rPr>
      </w:pPr>
      <w:r>
        <w:rPr>
          <w:rFonts w:eastAsia="Tahoma"/>
          <w:spacing w:val="-2"/>
          <w:sz w:val="26"/>
          <w:szCs w:val="26"/>
        </w:rPr>
        <w:t>“2. Về hồ sơ dự toán xây dựng công trình dự án Khu đô thị phía Đông Nam, thị trấn Đồng Mỏ</w:t>
      </w:r>
    </w:p>
    <w:p w14:paraId="69E35B86">
      <w:pPr>
        <w:widowControl w:val="0"/>
        <w:spacing w:before="120" w:after="120" w:line="380" w:lineRule="exact"/>
        <w:ind w:firstLine="567"/>
        <w:jc w:val="both"/>
        <w:rPr>
          <w:rFonts w:eastAsia="Tahoma"/>
          <w:spacing w:val="-2"/>
          <w:sz w:val="26"/>
          <w:szCs w:val="26"/>
        </w:rPr>
      </w:pPr>
      <w:r>
        <w:rPr>
          <w:rFonts w:eastAsia="Tahoma"/>
          <w:spacing w:val="-2"/>
          <w:sz w:val="26"/>
          <w:szCs w:val="26"/>
        </w:rPr>
        <w:t>- Hồ sơ dự toán xây dựng công trình dự án Khu đô thị phía Đông Nam, thị trấn Đồng Mỏ được Công ty TNHH Xây dựng và Thương mại Song Gia (lập dự toán xây dựng các hạng mục: san nền; cấp thoát nước; bãi đỗ xe; điện sinh hoạt và chiếu sáng); Công ty TNHH MTV Danh Gia Vũ (lập dự toán xây dựng các hạng mục: đường giao thông và nhà xây thô) và Báo cáo kết quả thẩm tra dự toán xây dựng số 05/BCTTr ngày 07/12/2024 của Công ty TNHH MTV Tư vấn đầu tư xây dựng Sơn Nam thể hiện thời điểm lập tháng 12 năm 2024.</w:t>
      </w:r>
    </w:p>
    <w:p w14:paraId="3D759978">
      <w:pPr>
        <w:widowControl w:val="0"/>
        <w:spacing w:before="120" w:after="120" w:line="380" w:lineRule="exact"/>
        <w:ind w:firstLine="567"/>
        <w:jc w:val="both"/>
        <w:rPr>
          <w:rFonts w:eastAsia="Tahoma"/>
          <w:spacing w:val="-2"/>
          <w:sz w:val="26"/>
          <w:szCs w:val="26"/>
        </w:rPr>
      </w:pPr>
      <w:r>
        <w:rPr>
          <w:rFonts w:eastAsia="Tahoma"/>
          <w:spacing w:val="-2"/>
          <w:sz w:val="26"/>
          <w:szCs w:val="26"/>
        </w:rPr>
        <w:t xml:space="preserve">- Hồ sơ dự toán xây dựng công trình dự án Khu đô thị phía Đông Nam, thị trấn Đồng Mỏ do đơn vị tư vấn lập và thẩm tra cơ bản đã áp dụng định mức xây dựng, đơn giá nhân công xây dựng do cơ quan nhà nước có thẩm quyền ban hành, công bố tại thời điểm tháng 12 năm 2024. Tuy nhiên, qua xem xét, xác minh thông tin liên quan đến dự án cho thấy: dự án đã được </w:t>
      </w:r>
      <w:r>
        <w:rPr>
          <w:rFonts w:eastAsia="Tahoma"/>
          <w:b/>
          <w:bCs/>
          <w:spacing w:val="-2"/>
          <w:sz w:val="26"/>
          <w:szCs w:val="26"/>
        </w:rPr>
        <w:t>khởi công từ tháng 9 năm 2023, do vậy đ</w:t>
      </w:r>
      <w:r>
        <w:rPr>
          <w:rFonts w:eastAsia="Tahoma"/>
          <w:spacing w:val="-2"/>
          <w:sz w:val="26"/>
          <w:szCs w:val="26"/>
        </w:rPr>
        <w:t>ề nghị soát, phân khai khối lượng thi công của dự án theo từng thời điểm thi công để xác định chi phí đầu tư của dự án cho phù hợp với tình hình triển khai thực hiện của dự án.</w:t>
      </w:r>
    </w:p>
    <w:p w14:paraId="28834886">
      <w:pPr>
        <w:widowControl w:val="0"/>
        <w:spacing w:before="120" w:after="120" w:line="380" w:lineRule="exact"/>
        <w:ind w:firstLine="567"/>
        <w:jc w:val="both"/>
        <w:rPr>
          <w:rFonts w:eastAsia="Tahoma"/>
          <w:spacing w:val="-6"/>
          <w:sz w:val="26"/>
          <w:szCs w:val="26"/>
        </w:rPr>
      </w:pPr>
      <w:r>
        <w:rPr>
          <w:rFonts w:eastAsia="Tahoma"/>
          <w:spacing w:val="-6"/>
          <w:sz w:val="26"/>
          <w:szCs w:val="26"/>
        </w:rPr>
        <w:t>- Hồ sơ dự toán xây dựng công trình dự án Khu đô thị phía Đông Nam, thị trấn Đồng Mỏ gửi kèm theo Công văn số 3780/STNMT-KHTC ngày 19/12/2024 của Sở Tài nguyên và Môi trường đã được Công ty TNHH MTV Tư vấn đầu tư xây dựng Sơn Nam thẩm tra và ban hành kết quả thẩm tra tại Văn bản số 05/BCTTr ngày 07/12/2024, do đó Công ty TNHH MTV Tư vấn đầu tư xây dựng Sơn Nam chịu trách nhiệm trước pháp luật về kết quả thẩm tra đối với dự toán xây dựng do đơn vị đã thực hiện theo quy định tại điểm b khoản 4 Điều 6 Nghị định số 71/2024/NĐ-CP ngày 27/6/2024 của Chính phủ quy định về giá đất”.</w:t>
      </w:r>
    </w:p>
    <w:p w14:paraId="6872C807">
      <w:pPr>
        <w:widowControl w:val="0"/>
        <w:spacing w:before="120" w:after="120" w:line="380" w:lineRule="exact"/>
        <w:ind w:firstLine="567"/>
        <w:jc w:val="both"/>
        <w:rPr>
          <w:spacing w:val="-8"/>
          <w:sz w:val="26"/>
          <w:szCs w:val="26"/>
        </w:rPr>
      </w:pPr>
      <w:r>
        <w:rPr>
          <w:spacing w:val="-8"/>
          <w:sz w:val="26"/>
          <w:szCs w:val="26"/>
        </w:rPr>
        <w:t xml:space="preserve">- Căn cứ Công văn </w:t>
      </w:r>
      <w:r>
        <w:rPr>
          <w:bCs/>
          <w:iCs/>
          <w:spacing w:val="-8"/>
          <w:sz w:val="26"/>
          <w:szCs w:val="26"/>
          <w:lang w:val="vi-VN"/>
        </w:rPr>
        <w:t xml:space="preserve">số </w:t>
      </w:r>
      <w:r>
        <w:rPr>
          <w:bCs/>
          <w:iCs/>
          <w:spacing w:val="-8"/>
          <w:sz w:val="26"/>
          <w:szCs w:val="26"/>
        </w:rPr>
        <w:t xml:space="preserve">678/SNNMT-KHTC </w:t>
      </w:r>
      <w:r>
        <w:rPr>
          <w:bCs/>
          <w:iCs/>
          <w:spacing w:val="-8"/>
          <w:sz w:val="26"/>
          <w:szCs w:val="26"/>
          <w:lang w:val="vi-VN"/>
        </w:rPr>
        <w:t xml:space="preserve"> ngày </w:t>
      </w:r>
      <w:r>
        <w:rPr>
          <w:bCs/>
          <w:iCs/>
          <w:spacing w:val="-8"/>
          <w:sz w:val="26"/>
          <w:szCs w:val="26"/>
        </w:rPr>
        <w:t>10</w:t>
      </w:r>
      <w:r>
        <w:rPr>
          <w:bCs/>
          <w:iCs/>
          <w:spacing w:val="-8"/>
          <w:sz w:val="26"/>
          <w:szCs w:val="26"/>
          <w:lang w:val="vi-VN"/>
        </w:rPr>
        <w:t xml:space="preserve"> tháng </w:t>
      </w:r>
      <w:r>
        <w:rPr>
          <w:bCs/>
          <w:iCs/>
          <w:spacing w:val="-8"/>
          <w:sz w:val="26"/>
          <w:szCs w:val="26"/>
        </w:rPr>
        <w:t>4</w:t>
      </w:r>
      <w:r>
        <w:rPr>
          <w:bCs/>
          <w:iCs/>
          <w:spacing w:val="-8"/>
          <w:sz w:val="26"/>
          <w:szCs w:val="26"/>
          <w:lang w:val="vi-VN"/>
        </w:rPr>
        <w:t xml:space="preserve"> năm 202</w:t>
      </w:r>
      <w:r>
        <w:rPr>
          <w:bCs/>
          <w:iCs/>
          <w:spacing w:val="-8"/>
          <w:sz w:val="26"/>
          <w:szCs w:val="26"/>
        </w:rPr>
        <w:t>5</w:t>
      </w:r>
      <w:r>
        <w:rPr>
          <w:bCs/>
          <w:iCs/>
          <w:spacing w:val="-8"/>
          <w:sz w:val="26"/>
          <w:szCs w:val="26"/>
          <w:lang w:val="vi-VN"/>
        </w:rPr>
        <w:t xml:space="preserve"> của Sở </w:t>
      </w:r>
      <w:r>
        <w:rPr>
          <w:bCs/>
          <w:iCs/>
          <w:spacing w:val="-8"/>
          <w:sz w:val="26"/>
          <w:szCs w:val="26"/>
        </w:rPr>
        <w:t>Nông nghiệp và Môi trường</w:t>
      </w:r>
      <w:r>
        <w:rPr>
          <w:bCs/>
          <w:iCs/>
          <w:spacing w:val="-8"/>
          <w:sz w:val="26"/>
          <w:szCs w:val="26"/>
          <w:lang w:val="vi-VN"/>
        </w:rPr>
        <w:t xml:space="preserve"> tỉnh Lạng Sơn </w:t>
      </w:r>
      <w:r>
        <w:rPr>
          <w:bCs/>
          <w:iCs/>
          <w:spacing w:val="-8"/>
          <w:sz w:val="26"/>
          <w:szCs w:val="26"/>
        </w:rPr>
        <w:t>v/v đề nghị rà soát, hoàn thiện dự toán xây dựng phục vụ định giá đất cụ thể dự án Khu đô thị phía Đông Nam, thị trấn Đồng Mỏ</w:t>
      </w:r>
      <w:r>
        <w:rPr>
          <w:spacing w:val="-8"/>
          <w:sz w:val="26"/>
          <w:szCs w:val="26"/>
        </w:rPr>
        <w:t xml:space="preserve">. Nội dung văn bản: </w:t>
      </w:r>
    </w:p>
    <w:p w14:paraId="1C77983A">
      <w:pPr>
        <w:widowControl w:val="0"/>
        <w:spacing w:before="120" w:after="120" w:line="380" w:lineRule="exact"/>
        <w:ind w:firstLine="567"/>
        <w:jc w:val="both"/>
        <w:rPr>
          <w:spacing w:val="-4"/>
          <w:sz w:val="26"/>
          <w:szCs w:val="26"/>
        </w:rPr>
      </w:pPr>
      <w:r>
        <w:rPr>
          <w:spacing w:val="-4"/>
          <w:sz w:val="26"/>
          <w:szCs w:val="26"/>
        </w:rPr>
        <w:t>“Sau khi xem xét, Sở Nông nghiệp và Môi trường đề nghị Liên danh Công ty Cổ phần Đầu tư xây dựng hạ tầng Chi Lăng và Công ty Cổ phần Tập đoàn BGI rà soát dự toán và cung cấp các tài liệu theo nội dung văn bản số 755/SXDQLHT ngày 25/3/2025 của Sở Xây dựng, cụ thể: "Dự toán đã chỉnh sửa theo ý kiến tại công văn số 3610/SXD-HTKT&amp;VLXD ngày 25/12/2024 của Sở Xây dựng, đã bóc tách khối lượng san nền của dự án từ tháng 12/2023 đến hết tháng 12/2024 đối với khối lượng đã thực hiện thi công; tuy nhiên thiếu các tài liệu làm căn cứ xác định, đề nghị Chủ đầu tư bổ sung các hồ sơ, tài liệu, biên bản nghiệm thu khối lượng hoàn thành, các tài liệu chứng minh khối lượng đã thi công hoàn thành theo từng thời điểm, theo từng tháng từ tháng 12/2023 đến hết tháng 12/2024, bổ sung tài liệu xác định vị trí, địa điểm đổ đất thải làm cơ sở tính toán cự ly vận chuyển.</w:t>
      </w:r>
    </w:p>
    <w:p w14:paraId="46958D00">
      <w:pPr>
        <w:widowControl w:val="0"/>
        <w:spacing w:before="120" w:after="120" w:line="380" w:lineRule="exact"/>
        <w:ind w:firstLine="567"/>
        <w:jc w:val="both"/>
        <w:rPr>
          <w:spacing w:val="-4"/>
          <w:sz w:val="26"/>
          <w:szCs w:val="26"/>
        </w:rPr>
      </w:pPr>
      <w:r>
        <w:rPr>
          <w:spacing w:val="-4"/>
          <w:sz w:val="26"/>
          <w:szCs w:val="26"/>
        </w:rPr>
        <w:t xml:space="preserve">Đối với các hạng mục, công trình chưa thi công của dự án thời điểm từ tháng 01/2025 đề nghị áp dụng theo định mức xây dựng, đơn giá xây dựng công trình, đơn giá nhân công, đơn giá ca máy và thiết bị thi công, công bố giá vật liệu xây dựng do cơ quan nhà nước có thẩm quyền ban hành, công bố tại thời điểm tháng 01/2025 đảm bảo dự toán được lập phù hợp với các quy định hiện hành của Nhà nước (hồ sơ thể hiện áp dụng đơn giá đơn giá xây dựng công trình trên địa bàn tỉnh Lạng Sơn được công bố tại Quyết định số 353/QĐ-UBND ngày 21/01/2021 của UBND tỉnh là không phù hợp, do hiện nay đã có bộ đơn giá mới được UBND tỉnh công bố tại Quyết định số 1842/QĐ-UBND ngày 25/10/2024)". </w:t>
      </w:r>
    </w:p>
    <w:p w14:paraId="52E844C0">
      <w:pPr>
        <w:widowControl w:val="0"/>
        <w:spacing w:before="120" w:after="120" w:line="380" w:lineRule="exact"/>
        <w:ind w:firstLine="567"/>
        <w:jc w:val="both"/>
        <w:rPr>
          <w:bCs/>
          <w:iCs/>
          <w:spacing w:val="-6"/>
          <w:sz w:val="26"/>
          <w:szCs w:val="26"/>
        </w:rPr>
      </w:pPr>
      <w:bookmarkStart w:id="33" w:name="_Hlk203551568"/>
      <w:r>
        <w:rPr>
          <w:bCs/>
          <w:iCs/>
          <w:spacing w:val="-6"/>
          <w:sz w:val="26"/>
          <w:szCs w:val="26"/>
        </w:rPr>
        <w:t xml:space="preserve">- </w:t>
      </w:r>
      <w:r>
        <w:rPr>
          <w:bCs/>
          <w:iCs/>
          <w:spacing w:val="-6"/>
          <w:sz w:val="26"/>
          <w:szCs w:val="26"/>
          <w:lang w:val="vi-VN"/>
        </w:rPr>
        <w:t xml:space="preserve">Công văn số </w:t>
      </w:r>
      <w:r>
        <w:rPr>
          <w:bCs/>
          <w:iCs/>
          <w:spacing w:val="-6"/>
          <w:sz w:val="26"/>
          <w:szCs w:val="26"/>
        </w:rPr>
        <w:t>1182</w:t>
      </w:r>
      <w:r>
        <w:rPr>
          <w:bCs/>
          <w:iCs/>
          <w:spacing w:val="-6"/>
          <w:sz w:val="26"/>
          <w:szCs w:val="26"/>
          <w:lang w:val="vi-VN"/>
        </w:rPr>
        <w:t>/</w:t>
      </w:r>
      <w:r>
        <w:rPr>
          <w:bCs/>
          <w:iCs/>
          <w:spacing w:val="-10"/>
          <w:sz w:val="26"/>
          <w:szCs w:val="26"/>
          <w:lang w:val="vi-VN"/>
        </w:rPr>
        <w:t xml:space="preserve"> SXD-</w:t>
      </w:r>
      <w:r>
        <w:rPr>
          <w:bCs/>
          <w:iCs/>
          <w:spacing w:val="-10"/>
          <w:sz w:val="26"/>
          <w:szCs w:val="26"/>
        </w:rPr>
        <w:t>QLHT</w:t>
      </w:r>
      <w:r>
        <w:rPr>
          <w:bCs/>
          <w:iCs/>
          <w:spacing w:val="-10"/>
          <w:sz w:val="26"/>
          <w:szCs w:val="26"/>
          <w:lang w:val="vi-VN"/>
        </w:rPr>
        <w:t xml:space="preserve"> </w:t>
      </w:r>
      <w:r>
        <w:rPr>
          <w:bCs/>
          <w:iCs/>
          <w:spacing w:val="-6"/>
          <w:sz w:val="26"/>
          <w:szCs w:val="26"/>
          <w:lang w:val="vi-VN"/>
        </w:rPr>
        <w:t xml:space="preserve">ngày </w:t>
      </w:r>
      <w:r>
        <w:rPr>
          <w:bCs/>
          <w:iCs/>
          <w:spacing w:val="-6"/>
          <w:sz w:val="26"/>
          <w:szCs w:val="26"/>
        </w:rPr>
        <w:t>26</w:t>
      </w:r>
      <w:r>
        <w:rPr>
          <w:bCs/>
          <w:iCs/>
          <w:spacing w:val="-6"/>
          <w:sz w:val="26"/>
          <w:szCs w:val="26"/>
          <w:lang w:val="vi-VN"/>
        </w:rPr>
        <w:t xml:space="preserve"> tháng </w:t>
      </w:r>
      <w:r>
        <w:rPr>
          <w:bCs/>
          <w:iCs/>
          <w:spacing w:val="-6"/>
          <w:sz w:val="26"/>
          <w:szCs w:val="26"/>
        </w:rPr>
        <w:t>4</w:t>
      </w:r>
      <w:r>
        <w:rPr>
          <w:bCs/>
          <w:iCs/>
          <w:spacing w:val="-6"/>
          <w:sz w:val="26"/>
          <w:szCs w:val="26"/>
          <w:lang w:val="vi-VN"/>
        </w:rPr>
        <w:t xml:space="preserve"> năm 202</w:t>
      </w:r>
      <w:r>
        <w:rPr>
          <w:bCs/>
          <w:iCs/>
          <w:spacing w:val="-6"/>
          <w:sz w:val="26"/>
          <w:szCs w:val="26"/>
        </w:rPr>
        <w:t>5</w:t>
      </w:r>
      <w:r>
        <w:rPr>
          <w:bCs/>
          <w:iCs/>
          <w:spacing w:val="-6"/>
          <w:sz w:val="26"/>
          <w:szCs w:val="26"/>
          <w:lang w:val="vi-VN"/>
        </w:rPr>
        <w:t xml:space="preserve"> của Sở </w:t>
      </w:r>
      <w:r>
        <w:rPr>
          <w:bCs/>
          <w:iCs/>
          <w:spacing w:val="-6"/>
          <w:sz w:val="26"/>
          <w:szCs w:val="26"/>
        </w:rPr>
        <w:t>Xây dựng</w:t>
      </w:r>
      <w:r>
        <w:rPr>
          <w:bCs/>
          <w:iCs/>
          <w:spacing w:val="-6"/>
          <w:sz w:val="26"/>
          <w:szCs w:val="26"/>
          <w:lang w:val="vi-VN"/>
        </w:rPr>
        <w:t xml:space="preserve"> tỉnh Lạng Sơn V/</w:t>
      </w:r>
      <w:r>
        <w:rPr>
          <w:bCs/>
          <w:iCs/>
          <w:spacing w:val="-6"/>
          <w:sz w:val="26"/>
          <w:szCs w:val="26"/>
        </w:rPr>
        <w:t>v tham gia</w:t>
      </w:r>
      <w:r>
        <w:rPr>
          <w:bCs/>
          <w:iCs/>
          <w:spacing w:val="-6"/>
          <w:sz w:val="26"/>
          <w:szCs w:val="26"/>
          <w:lang w:val="vi-VN"/>
        </w:rPr>
        <w:t xml:space="preserve"> ý kiến về dự toán xây dựng </w:t>
      </w:r>
      <w:r>
        <w:rPr>
          <w:bCs/>
          <w:iCs/>
          <w:spacing w:val="-6"/>
          <w:sz w:val="26"/>
          <w:szCs w:val="26"/>
        </w:rPr>
        <w:t xml:space="preserve">để thực hiện xác định giá đất cụ thể dự án Khu đô thị phía Đông Nam, thị trấn Đồng Mỏ </w:t>
      </w:r>
      <w:r>
        <w:rPr>
          <w:bCs/>
          <w:iCs/>
          <w:spacing w:val="-6"/>
          <w:sz w:val="26"/>
          <w:szCs w:val="26"/>
          <w:lang w:val="vi-VN"/>
        </w:rPr>
        <w:t>để phục vụ công tác xác định giá đất cụ thể</w:t>
      </w:r>
      <w:bookmarkEnd w:id="33"/>
      <w:r>
        <w:rPr>
          <w:bCs/>
          <w:iCs/>
          <w:spacing w:val="-6"/>
          <w:sz w:val="26"/>
          <w:szCs w:val="26"/>
        </w:rPr>
        <w:t>, nội dung văn bản như sau:</w:t>
      </w:r>
    </w:p>
    <w:p w14:paraId="19ADD439">
      <w:pPr>
        <w:widowControl w:val="0"/>
        <w:spacing w:before="120" w:after="120" w:line="380" w:lineRule="exact"/>
        <w:ind w:firstLine="567"/>
        <w:jc w:val="both"/>
        <w:rPr>
          <w:bCs/>
          <w:iCs/>
          <w:spacing w:val="-6"/>
          <w:sz w:val="26"/>
          <w:szCs w:val="26"/>
        </w:rPr>
      </w:pPr>
      <w:r>
        <w:rPr>
          <w:bCs/>
          <w:iCs/>
          <w:spacing w:val="-6"/>
          <w:sz w:val="26"/>
          <w:szCs w:val="26"/>
        </w:rPr>
        <w:t>“2. Kiểm tra nội dung chỉnh sửa khác phụ theo Văn bản 755/SXD-QLHT ngày 25/3/2025 của Sở Xây dựng</w:t>
      </w:r>
    </w:p>
    <w:p w14:paraId="3CB34E3F">
      <w:pPr>
        <w:widowControl w:val="0"/>
        <w:spacing w:before="120" w:after="120" w:line="380" w:lineRule="exact"/>
        <w:ind w:firstLine="567"/>
        <w:jc w:val="both"/>
        <w:rPr>
          <w:bCs/>
          <w:i/>
          <w:iCs/>
          <w:spacing w:val="-6"/>
          <w:sz w:val="26"/>
          <w:szCs w:val="26"/>
        </w:rPr>
      </w:pPr>
      <w:r>
        <w:rPr>
          <w:bCs/>
          <w:iCs/>
          <w:spacing w:val="-6"/>
          <w:sz w:val="26"/>
          <w:szCs w:val="26"/>
        </w:rPr>
        <w:t xml:space="preserve">- Về nội dung </w:t>
      </w:r>
      <w:r>
        <w:rPr>
          <w:bCs/>
          <w:i/>
          <w:iCs/>
          <w:spacing w:val="-6"/>
          <w:sz w:val="26"/>
          <w:szCs w:val="26"/>
        </w:rPr>
        <w:t>“Đề nghị Chủ đầu tư bổ sung các hồ sơ, tài liệu, biên bản nghiệm thu khối lượng hoàn thành, các tài liệu chứng minh khối lượng đã thi công hoàn thành theo từng thời điểm, theo từng tháng từ tháng 12/2023 đến hết tháng 12/2024, bổ sung tài liệu xác định vị trí, địa điểm đổ đất thải làm cơ sở tính toán cự ly vận chuyển”</w:t>
      </w:r>
    </w:p>
    <w:p w14:paraId="45CDA1ED">
      <w:pPr>
        <w:widowControl w:val="0"/>
        <w:spacing w:before="120" w:after="120" w:line="380" w:lineRule="exact"/>
        <w:ind w:firstLine="567"/>
        <w:jc w:val="both"/>
        <w:rPr>
          <w:bCs/>
          <w:iCs/>
          <w:spacing w:val="-6"/>
          <w:sz w:val="26"/>
          <w:szCs w:val="26"/>
        </w:rPr>
      </w:pPr>
      <w:r>
        <w:rPr>
          <w:bCs/>
          <w:iCs/>
          <w:spacing w:val="-6"/>
          <w:sz w:val="26"/>
          <w:szCs w:val="26"/>
        </w:rPr>
        <w:t>Qua rà soát chủ đầu tư đã bổ sung các biên bản nhiệm thu khối lượng thời điểm từ tháng 12/2023 đến tháng 12/2024 làm cơ sở tính dự toán theo từng thời điểm từ tháng 12/2023 đến hết tháng 12/2024. Tuy nhiên chủ đầu tư vẫn chưa cung cấp tài liệu xác định vị trí, địa điểm đổ đất thải làm cơ sở tính toán cự ly vận chuyển đổ thải.</w:t>
      </w:r>
    </w:p>
    <w:p w14:paraId="7CC9CF2B">
      <w:pPr>
        <w:widowControl w:val="0"/>
        <w:spacing w:before="120" w:after="120" w:line="380" w:lineRule="exact"/>
        <w:ind w:firstLine="567"/>
        <w:jc w:val="both"/>
        <w:rPr>
          <w:bCs/>
          <w:i/>
          <w:iCs/>
          <w:spacing w:val="-6"/>
          <w:sz w:val="26"/>
          <w:szCs w:val="26"/>
        </w:rPr>
      </w:pPr>
      <w:r>
        <w:rPr>
          <w:bCs/>
          <w:iCs/>
          <w:spacing w:val="-6"/>
          <w:sz w:val="26"/>
          <w:szCs w:val="26"/>
        </w:rPr>
        <w:t>- Về nội dung “</w:t>
      </w:r>
      <w:r>
        <w:rPr>
          <w:bCs/>
          <w:i/>
          <w:iCs/>
          <w:spacing w:val="-6"/>
          <w:sz w:val="26"/>
          <w:szCs w:val="26"/>
        </w:rPr>
        <w:t xml:space="preserve">Đối với các hạng mục, công trình chưa thi công của dự án thời điểm từ tháng 01/2025 đề nghị áp dụng theo định mức xây dựng, đơn giá xây dựng công trình, đơn giá nhân công, đơn giá ca máy và thiết bị thi công, công bố giá vật liệu xây dựng do cơ quan nhà nước có thẩm quyền ban hành, công bố tại thời điểm tháng 01/2025 đảm bảo dự toán được lập phù hợp với các quy định hiện hành của Nhà nước (hồ sơ thể hiện áp dụng đơn giá đơn giá xây dựng công trình trên địa bàn tỉnh Lạng Sơn được công bố tại Quyết định số 353/QĐ-UBND ngày 21/01/2021 của UBND tỉnh </w:t>
      </w:r>
      <w:r>
        <w:rPr>
          <w:b/>
          <w:bCs/>
          <w:i/>
          <w:iCs/>
          <w:spacing w:val="-6"/>
          <w:sz w:val="26"/>
          <w:szCs w:val="26"/>
        </w:rPr>
        <w:t>là không phù hợp</w:t>
      </w:r>
      <w:r>
        <w:rPr>
          <w:bCs/>
          <w:i/>
          <w:iCs/>
          <w:spacing w:val="-6"/>
          <w:sz w:val="26"/>
          <w:szCs w:val="26"/>
        </w:rPr>
        <w:t>, do hiện nay đã có bộ đơn giá mới được UBND tỉnh công bố tại Quyết định số 1842/QĐ- UBND ngày 25/10/2024)”</w:t>
      </w:r>
    </w:p>
    <w:p w14:paraId="03A1822B">
      <w:pPr>
        <w:widowControl w:val="0"/>
        <w:spacing w:before="120" w:after="120" w:line="380" w:lineRule="exact"/>
        <w:ind w:firstLine="567"/>
        <w:jc w:val="both"/>
        <w:rPr>
          <w:bCs/>
          <w:iCs/>
          <w:spacing w:val="-6"/>
          <w:sz w:val="26"/>
          <w:szCs w:val="26"/>
        </w:rPr>
      </w:pPr>
      <w:r>
        <w:rPr>
          <w:bCs/>
          <w:iCs/>
          <w:spacing w:val="-6"/>
          <w:sz w:val="26"/>
          <w:szCs w:val="26"/>
        </w:rPr>
        <w:t>Hiện nay hồ sơ dự toán gửi kèm theo Văn bản số 762/SNNMT-KHTC vẫn tính theo đơn giá được công bố tại Quyết định số 353/QĐ-UBND ngày 21/01/2021 của UBND tỉnh là thiếu căn cứ áp dụng, do hiện nay đã có bộ đơn giá mới được UBND tỉnh công bố tại Quyết định số 1842/QĐ-UBND ngày 25/10/2024 thay thế đơn giá được công bố tại Quyết định số 353/QĐ-UBND.”; Và một số nội dung khác thể hiện tại mục 3 Công văn số 1182/ SXD-QLHT ngày 26 tháng 4 năm 2025 của Sở Xây dựng tỉnh Lạng Sơn.</w:t>
      </w:r>
    </w:p>
    <w:p w14:paraId="524967F4">
      <w:pPr>
        <w:widowControl w:val="0"/>
        <w:spacing w:before="120" w:after="120" w:line="380" w:lineRule="exact"/>
        <w:ind w:firstLine="567"/>
        <w:jc w:val="both"/>
        <w:rPr>
          <w:bCs/>
          <w:iCs/>
          <w:sz w:val="26"/>
          <w:szCs w:val="26"/>
        </w:rPr>
      </w:pPr>
      <w:r>
        <w:rPr>
          <w:bCs/>
          <w:iCs/>
          <w:sz w:val="26"/>
          <w:szCs w:val="26"/>
        </w:rPr>
        <w:t>Sở Xây dựng sau khi nhận được Văn bản số 1877/SNNMT-KHTC ngày 12/6/2025 của Sở Nông nghiệp và Môi trường về việc đề nghị xem xét, cho ý kiến đối với dự toán xây dựng phục vụ công tác xác định giá đất cụ thể dự án Khu đô thị phía Đông Nam thị trấn Đồng Mỏ, huyện Chi Lăng. Đã ban hành công văn số 1993/SXD-QLHT ngày 20/06/2025, nội dung như sau:</w:t>
      </w:r>
    </w:p>
    <w:p w14:paraId="606D2538">
      <w:pPr>
        <w:widowControl w:val="0"/>
        <w:spacing w:before="120" w:after="120" w:line="380" w:lineRule="exact"/>
        <w:ind w:firstLine="567"/>
        <w:jc w:val="both"/>
        <w:rPr>
          <w:bCs/>
          <w:iCs/>
          <w:spacing w:val="-6"/>
          <w:sz w:val="26"/>
          <w:szCs w:val="26"/>
        </w:rPr>
      </w:pPr>
      <w:r>
        <w:rPr>
          <w:bCs/>
          <w:iCs/>
          <w:spacing w:val="-6"/>
          <w:sz w:val="26"/>
          <w:szCs w:val="26"/>
        </w:rPr>
        <w:t xml:space="preserve">“Qua kiểm tra hồ sơ dự toán xây dựng công trình Khu đô thị phía Đông Nam thị trấn Đồng Mỏ, huyện Chi Lăng còn một số nội dung chưa phù hợp theo quy định, cụ thể: </w:t>
      </w:r>
    </w:p>
    <w:p w14:paraId="05C094E8">
      <w:pPr>
        <w:widowControl w:val="0"/>
        <w:spacing w:before="120" w:after="120" w:line="380" w:lineRule="exact"/>
        <w:ind w:firstLine="567"/>
        <w:jc w:val="both"/>
        <w:rPr>
          <w:bCs/>
          <w:iCs/>
          <w:sz w:val="26"/>
          <w:szCs w:val="26"/>
        </w:rPr>
      </w:pPr>
      <w:r>
        <w:rPr>
          <w:bCs/>
          <w:iCs/>
          <w:sz w:val="26"/>
          <w:szCs w:val="26"/>
        </w:rPr>
        <w:t xml:space="preserve">1.1. Hạng mục san nền: - Tính vận chuyển trung bình đất đào san nền để đắp là chưa phù hợp với hồ sơ thiết kế của dự án: các lô đất đắp cơ bản có khối lượng đào nằm xen kẹp các lô đất đào do vậy chỉ cần tính điều phối ngang, do đó việc tính vận chuyển là không phù hợp. </w:t>
      </w:r>
    </w:p>
    <w:p w14:paraId="2256EC80">
      <w:pPr>
        <w:widowControl w:val="0"/>
        <w:spacing w:before="120" w:after="120" w:line="380" w:lineRule="exact"/>
        <w:ind w:firstLine="567"/>
        <w:jc w:val="both"/>
        <w:rPr>
          <w:bCs/>
          <w:iCs/>
          <w:spacing w:val="-6"/>
          <w:sz w:val="26"/>
          <w:szCs w:val="26"/>
        </w:rPr>
      </w:pPr>
      <w:r>
        <w:rPr>
          <w:bCs/>
          <w:iCs/>
          <w:spacing w:val="-6"/>
          <w:sz w:val="26"/>
          <w:szCs w:val="26"/>
        </w:rPr>
        <w:t xml:space="preserve">- Dự toán tính vận chuyển nội tuyến đất đào (đào đất vận chuyển gom thành bãi tập kết) cự ly vận chuyển trung bình 500m và tính xúc đất khai thác lên phương tiện vận chuyển ra khỏi phạm vi công trường. Như vậy khối lượng đào xúc đất tính thành hai lần là không phù hợp, do công tác đào san đất đã tính đào xúc lên phương tiện vận chuyển. </w:t>
      </w:r>
    </w:p>
    <w:p w14:paraId="67E78EA5">
      <w:pPr>
        <w:widowControl w:val="0"/>
        <w:spacing w:before="120" w:after="120" w:line="380" w:lineRule="exact"/>
        <w:ind w:firstLine="567"/>
        <w:jc w:val="both"/>
        <w:rPr>
          <w:bCs/>
          <w:iCs/>
          <w:spacing w:val="-6"/>
          <w:sz w:val="26"/>
          <w:szCs w:val="26"/>
        </w:rPr>
      </w:pPr>
      <w:r>
        <w:rPr>
          <w:bCs/>
          <w:iCs/>
          <w:spacing w:val="-6"/>
          <w:sz w:val="26"/>
          <w:szCs w:val="26"/>
        </w:rPr>
        <w:t xml:space="preserve">- Theo Hồ sơ thanh toán khối lượng hoàn thành (đợt 1) thể hiện khối lượng đào đá cấp VI (55.845,71m3 với giá trị 2.645.980.432 đồng) đã hoàn thành nghiệm thu. Tuy nhiên hồ sơ dự toán hiện đang tính khối lượng này vào dự toán khối lượng chưa thi công với giá trị 4.357.038.349 đồng là không đúng với thực tế đã hoàn thành. </w:t>
      </w:r>
    </w:p>
    <w:p w14:paraId="44C68D64">
      <w:pPr>
        <w:widowControl w:val="0"/>
        <w:spacing w:before="120" w:after="120" w:line="380" w:lineRule="exact"/>
        <w:ind w:firstLine="567"/>
        <w:jc w:val="both"/>
        <w:rPr>
          <w:bCs/>
          <w:iCs/>
          <w:spacing w:val="-6"/>
          <w:sz w:val="26"/>
          <w:szCs w:val="26"/>
        </w:rPr>
      </w:pPr>
      <w:r>
        <w:rPr>
          <w:bCs/>
          <w:iCs/>
          <w:spacing w:val="-6"/>
          <w:sz w:val="26"/>
          <w:szCs w:val="26"/>
        </w:rPr>
        <w:t xml:space="preserve">- Hồ sơ gửi kèm không có hồ sơ thiết kế hạng mục san nền, do đó thiếu cơ sở xem xét sự phù hợp của khối lượng phân cấp đất đá trong hồ sơ dự toán. </w:t>
      </w:r>
    </w:p>
    <w:p w14:paraId="09DF85F3">
      <w:pPr>
        <w:widowControl w:val="0"/>
        <w:spacing w:before="120" w:after="120" w:line="380" w:lineRule="exact"/>
        <w:ind w:firstLine="567"/>
        <w:jc w:val="both"/>
        <w:rPr>
          <w:bCs/>
          <w:iCs/>
          <w:spacing w:val="-6"/>
          <w:sz w:val="26"/>
          <w:szCs w:val="26"/>
        </w:rPr>
      </w:pPr>
      <w:r>
        <w:rPr>
          <w:bCs/>
          <w:iCs/>
          <w:spacing w:val="-6"/>
          <w:sz w:val="26"/>
          <w:szCs w:val="26"/>
        </w:rPr>
        <w:t xml:space="preserve">1.2. Các công trình hạ tầng kỹ thuật, nhà thô </w:t>
      </w:r>
    </w:p>
    <w:p w14:paraId="34400FE5">
      <w:pPr>
        <w:widowControl w:val="0"/>
        <w:spacing w:before="120" w:after="120" w:line="380" w:lineRule="exact"/>
        <w:ind w:firstLine="567"/>
        <w:jc w:val="both"/>
        <w:rPr>
          <w:bCs/>
          <w:iCs/>
          <w:spacing w:val="-6"/>
          <w:sz w:val="26"/>
          <w:szCs w:val="26"/>
        </w:rPr>
      </w:pPr>
      <w:r>
        <w:rPr>
          <w:bCs/>
          <w:iCs/>
          <w:spacing w:val="-6"/>
          <w:sz w:val="26"/>
          <w:szCs w:val="26"/>
        </w:rPr>
        <w:t xml:space="preserve">- Thiết kế hệ thống cấp, cống thoát nước mưa, thoát nước, mương cáp cùng vị trí trên vỉa hè. Tuy nhiên chưa tính giảm trừ khối lượng đào hào, đào móng. </w:t>
      </w:r>
    </w:p>
    <w:p w14:paraId="7D47D234">
      <w:pPr>
        <w:widowControl w:val="0"/>
        <w:spacing w:before="120" w:after="120" w:line="380" w:lineRule="exact"/>
        <w:ind w:firstLine="567"/>
        <w:jc w:val="both"/>
        <w:rPr>
          <w:bCs/>
          <w:iCs/>
          <w:spacing w:val="-6"/>
          <w:sz w:val="26"/>
          <w:szCs w:val="26"/>
        </w:rPr>
      </w:pPr>
      <w:r>
        <w:rPr>
          <w:bCs/>
          <w:iCs/>
          <w:spacing w:val="-6"/>
          <w:sz w:val="26"/>
          <w:szCs w:val="26"/>
        </w:rPr>
        <w:t xml:space="preserve">2 - Xác định phương chuyển vật liệu xây dựng (tải trọng xe 12T) vận chuyển vật liệu xây dựng chưa phù hợp với quy mô, cấp đường vận chuyển. </w:t>
      </w:r>
    </w:p>
    <w:p w14:paraId="1B0E15F2">
      <w:pPr>
        <w:widowControl w:val="0"/>
        <w:spacing w:before="120" w:after="120" w:line="380" w:lineRule="exact"/>
        <w:ind w:firstLine="567"/>
        <w:jc w:val="both"/>
        <w:rPr>
          <w:bCs/>
          <w:iCs/>
          <w:spacing w:val="-6"/>
          <w:sz w:val="26"/>
          <w:szCs w:val="26"/>
        </w:rPr>
      </w:pPr>
      <w:r>
        <w:rPr>
          <w:bCs/>
          <w:iCs/>
          <w:spacing w:val="-6"/>
          <w:sz w:val="26"/>
          <w:szCs w:val="26"/>
        </w:rPr>
        <w:t xml:space="preserve">1.3. Giá nguyên liệu, nhiên liệu - Thiếu thông báo giá vật liệu của nhà sản xuất đối với vật liệu không có trong công bố giá của Sở Xây dựng như: cửa kính thuỷ lực 12mm, phụ kiện cửa đi, vách kính hệ FA, kính an toàn 6,38mm, cửa cuốn, động cơ, bộ lưu điện, hộp kỹ thuật, máy cắt Recloser, máy biến áp, tủ tự bù, cây bằng lăng, chuông vàng... </w:t>
      </w:r>
    </w:p>
    <w:p w14:paraId="117D8AB7">
      <w:pPr>
        <w:widowControl w:val="0"/>
        <w:spacing w:before="120" w:after="120" w:line="380" w:lineRule="exact"/>
        <w:ind w:firstLine="567"/>
        <w:jc w:val="both"/>
        <w:rPr>
          <w:bCs/>
          <w:iCs/>
          <w:spacing w:val="-6"/>
          <w:sz w:val="26"/>
          <w:szCs w:val="26"/>
        </w:rPr>
      </w:pPr>
      <w:r>
        <w:rPr>
          <w:bCs/>
          <w:iCs/>
          <w:spacing w:val="-6"/>
          <w:sz w:val="26"/>
          <w:szCs w:val="26"/>
        </w:rPr>
        <w:t xml:space="preserve">- Giá đá xây dựng không nhất quán giữa các hạng mục công trình hạng mục Nhà xây thô (đá (1x2) cm, giá 200.000 đồng; đá (4x6)cm, giá 190.000 đồng); các hạng mục công trình khác của dự án (đá (1x2) cm, giá 205.000 đồng, đá (4x6)cm, giá 195.000 đồng). </w:t>
      </w:r>
    </w:p>
    <w:p w14:paraId="4FAC7056">
      <w:pPr>
        <w:widowControl w:val="0"/>
        <w:spacing w:before="120" w:after="120" w:line="380" w:lineRule="exact"/>
        <w:ind w:firstLine="567"/>
        <w:jc w:val="both"/>
        <w:rPr>
          <w:bCs/>
          <w:iCs/>
          <w:spacing w:val="-6"/>
          <w:sz w:val="26"/>
          <w:szCs w:val="26"/>
        </w:rPr>
      </w:pPr>
      <w:r>
        <w:rPr>
          <w:bCs/>
          <w:iCs/>
          <w:spacing w:val="-6"/>
          <w:sz w:val="26"/>
          <w:szCs w:val="26"/>
        </w:rPr>
        <w:t xml:space="preserve">- Một số loại vật liệu chưa tính chênh lệch giá (lấy theo giá gốc) như: thép đệm, cột chống thép ống, thép giàn giáo... 2. Nội dung khác </w:t>
      </w:r>
    </w:p>
    <w:p w14:paraId="340F9ED8">
      <w:pPr>
        <w:widowControl w:val="0"/>
        <w:spacing w:before="120" w:after="120" w:line="380" w:lineRule="exact"/>
        <w:ind w:firstLine="567"/>
        <w:jc w:val="both"/>
        <w:rPr>
          <w:bCs/>
          <w:iCs/>
          <w:spacing w:val="-6"/>
          <w:sz w:val="26"/>
          <w:szCs w:val="26"/>
        </w:rPr>
      </w:pPr>
      <w:r>
        <w:rPr>
          <w:bCs/>
          <w:iCs/>
          <w:spacing w:val="-6"/>
          <w:sz w:val="26"/>
          <w:szCs w:val="26"/>
        </w:rPr>
        <w:t>- Tổng mức đầu dự án Khu đô thị phía Đông Nam thị trấn Đồng Mỏ (hạng mục hạ tầng kỹ thuật và Nhà xây thô) đã được Liên danh Công ty Cổ phần Đầu tư xây dựng hạ tầng Chi Lăng và Công ty Cổ phần Tập đoàn BGI phê duyệt tại Quyết định số 26.01/QĐ-HTCL-BGI ngày 26/01/2022 không phù hợp với giá trị tổng vốn đầu tư tại Quyết định số 1328/QĐ-UBND ngày 05/7/2021 chấp thuận chủ trương đầu tư đồng thời chấp thuận Nhà đầu tư của UBND tỉnh Lạng Sơn (theo Quyết định số 1328/QĐ-UBND ngày 05/7/2021 của UBND tỉnh, tổng vốn đầu tư: 674.950.000.000 đồng; theo Quyết định số 26.01/QĐ-HTCL-BGI ngày 26/01/2022, tổng mức đầu tư: 994.795.798.000 đồng).</w:t>
      </w:r>
    </w:p>
    <w:p w14:paraId="444062A8">
      <w:pPr>
        <w:widowControl w:val="0"/>
        <w:spacing w:before="120" w:after="120" w:line="380" w:lineRule="exact"/>
        <w:ind w:firstLine="567"/>
        <w:jc w:val="both"/>
        <w:rPr>
          <w:bCs/>
          <w:iCs/>
          <w:spacing w:val="-6"/>
          <w:sz w:val="26"/>
          <w:szCs w:val="26"/>
        </w:rPr>
      </w:pPr>
      <w:r>
        <w:rPr>
          <w:bCs/>
          <w:iCs/>
          <w:spacing w:val="-6"/>
          <w:sz w:val="26"/>
          <w:szCs w:val="26"/>
        </w:rPr>
        <w:t xml:space="preserve">- Thẩm tra thiết kế bản vẽ thi công: theo Hợp đồng tư vấn thẩm tra thiết kế bản vẽ thi công công trình Khu đô thị phía Đông Nam thị trấn Đồng Mỏ số 93/2023/HĐ-TVXD ngày 09/8/2023 giữa Công ty TNHH HCL (tổ chức kinh tế thực hiện dự án) và Công ty TNHH MTV tư vấn đầu tư xây dựng Nam Sơn, thời gian thực hiện hợp đồng từ ngày 09/8/2023 đến ngày 18/8/2023. Tuy nhiên ngày 02/6/2025 Công ty TNHH MTV tư vấn đầu tư xây dựng Nam Sơn ban hành Báo cáo số 06/BC-TT về kết quả thẩm tra thiết kế bản vẽ thi công là không phù hợp với thời gian theo hợp đồng đã ký kết, chưa đảm bảo tính pháp lý của đơn vị thẩm tra thiết kế đối với hồ sơ thẩm tra thiết kế bản vẽ thi công. </w:t>
      </w:r>
    </w:p>
    <w:p w14:paraId="7D01FACA">
      <w:pPr>
        <w:widowControl w:val="0"/>
        <w:spacing w:before="120" w:after="120" w:line="380" w:lineRule="exact"/>
        <w:ind w:firstLine="567"/>
        <w:jc w:val="both"/>
        <w:rPr>
          <w:bCs/>
          <w:iCs/>
          <w:spacing w:val="-6"/>
          <w:sz w:val="26"/>
          <w:szCs w:val="26"/>
        </w:rPr>
      </w:pPr>
      <w:r>
        <w:rPr>
          <w:bCs/>
          <w:iCs/>
          <w:spacing w:val="-6"/>
          <w:sz w:val="26"/>
          <w:szCs w:val="26"/>
        </w:rPr>
        <w:t>3. Sở Xây dựng đã tham gia ý kiến đối với dự toán xây dựng công trình Khu đô thị phía Đông Nam thị trấn Đồng Mỏ, huyện Chi Lăng nhiều lần (tại các văn bản số: 3160/SXD-HTKT&amp;VLXD ngày 25/12/2024; 755/SXD-QLHT ngày 25/3/2025; 1182/SXD-QLHT ngày 26/4/2025), tuy nhiên đến nay dự toán xây dựng công trình vẫn còn nhiều nội dung chưa phù hợp. Để đảm bảo tiến độ theo chỉ đạo của UBND tỉnh tại Văn bản số 1837/VP-KTTH ngày 27/3/2025 của Văn phòng UBND tỉnh đề nghị Sở Nông nghiệp và Môi trường xem xét căn cứ ước tính tổng chi đầu tư xây dựng theo phương án khác (như suất vốn đầu tư xây</w:t>
      </w:r>
      <w:r>
        <w:t xml:space="preserve"> </w:t>
      </w:r>
      <w:r>
        <w:rPr>
          <w:bCs/>
          <w:iCs/>
          <w:spacing w:val="-6"/>
          <w:sz w:val="26"/>
          <w:szCs w:val="26"/>
        </w:rPr>
        <w:t>dựng do Bộ Xây dựng công bố) để ước tính chi phí đầu tư xây dựng, làm cơ sở để ước tính tổng chi phí phát triển của dự án phù hợp với các quy định tại khoản 3, khoản 4 Điều 6, Nghị định số 71/2024/MĐ-CP của Chính phủ”.</w:t>
      </w:r>
    </w:p>
    <w:p w14:paraId="4C9E1DBC">
      <w:pPr>
        <w:widowControl w:val="0"/>
        <w:spacing w:before="120" w:after="120" w:line="380" w:lineRule="exact"/>
        <w:ind w:firstLine="567"/>
        <w:jc w:val="both"/>
        <w:rPr>
          <w:bCs/>
          <w:iCs/>
          <w:spacing w:val="-6"/>
          <w:sz w:val="26"/>
          <w:szCs w:val="26"/>
        </w:rPr>
      </w:pPr>
      <w:r>
        <w:rPr>
          <w:bCs/>
          <w:iCs/>
          <w:spacing w:val="-6"/>
          <w:sz w:val="26"/>
          <w:szCs w:val="26"/>
        </w:rPr>
        <w:t>- Sở Nông nghiệp và Môi trường tỉnh Lạng Sơn ban hành công văn số  2180/SNNMT-KHTC ngày 25/06/2025 V/v rà soát hồ sơ dự toán xây dựng phục vụ công tác định giá đất cụ thể dự án Khu đô thị phía Đông Nam thị trấn Đồng Mỏ, huyện Chi Lăng:</w:t>
      </w:r>
    </w:p>
    <w:p w14:paraId="664186D0">
      <w:pPr>
        <w:widowControl w:val="0"/>
        <w:spacing w:before="120" w:after="120" w:line="380" w:lineRule="exact"/>
        <w:ind w:firstLine="567"/>
        <w:jc w:val="both"/>
        <w:rPr>
          <w:bCs/>
          <w:iCs/>
          <w:spacing w:val="-6"/>
          <w:sz w:val="26"/>
          <w:szCs w:val="26"/>
        </w:rPr>
      </w:pPr>
      <w:r>
        <w:rPr>
          <w:bCs/>
          <w:iCs/>
          <w:spacing w:val="-6"/>
          <w:sz w:val="26"/>
          <w:szCs w:val="26"/>
        </w:rPr>
        <w:t xml:space="preserve">“Để bảo đảm tuân thủ nguyên tắc, căn cứ, phương pháp định giá đất quy định tại điểm đ khoản 1 Điều 158 Luật Đất đai năm 2024 “đ) Bảo đảm hài hòa lợi ích giữa Nhà nước, người sử dụng đất và nhà đầu tư.” Sở Nông nghiệp và Môi trường đề nghị Liên danh nhà đầu tư thực hiện dự án Khu đô thị phía Đông Nam thị trấn Đồng Mỏ, huyện Chi Lăng khẩn trương rà soát hồ sơ dự toán xây dựng theo nội dung tham gia ý kiến của Sở Xây dựng tại Văn bản số 1993/SXD-QLHT ngày 20/6/2025 gửi về Sở Nông nghiệp và Môi trường chậm nhất ngày 30/6/2025 để gửi Sở Xây dựng cho ý kiến, để bảo đảm tiến độ xây dựng giá đất cụ thể (có Văn bản số 1993/SXD-QLHT ngày 20/6/2025 gửi kèm công văn này). </w:t>
      </w:r>
    </w:p>
    <w:p w14:paraId="035A9BBE">
      <w:pPr>
        <w:widowControl w:val="0"/>
        <w:spacing w:before="120" w:after="120" w:line="380" w:lineRule="exact"/>
        <w:ind w:firstLine="567"/>
        <w:jc w:val="both"/>
        <w:rPr>
          <w:bCs/>
          <w:iCs/>
          <w:spacing w:val="-6"/>
          <w:sz w:val="26"/>
          <w:szCs w:val="26"/>
        </w:rPr>
      </w:pPr>
      <w:r>
        <w:rPr>
          <w:bCs/>
          <w:iCs/>
          <w:spacing w:val="-6"/>
          <w:sz w:val="26"/>
          <w:szCs w:val="26"/>
        </w:rPr>
        <w:t>Sở Nông nghiệp và Môi trường có ý kiến gửi Liên danh Công ty cổ phần Đầu tư xây dựng Hạ tầng Chi Lăng và Công ty cổ phần Tập đoàn BGI được biết, thực hiện./.”</w:t>
      </w:r>
    </w:p>
    <w:p w14:paraId="18C79C79">
      <w:pPr>
        <w:widowControl w:val="0"/>
        <w:spacing w:before="120" w:after="120" w:line="380" w:lineRule="exact"/>
        <w:ind w:firstLine="567"/>
        <w:jc w:val="both"/>
        <w:rPr>
          <w:bCs/>
          <w:iCs/>
          <w:spacing w:val="-6"/>
          <w:sz w:val="26"/>
          <w:szCs w:val="26"/>
        </w:rPr>
      </w:pPr>
      <w:r>
        <w:rPr>
          <w:bCs/>
          <w:iCs/>
          <w:spacing w:val="-6"/>
          <w:sz w:val="26"/>
          <w:szCs w:val="26"/>
        </w:rPr>
        <w:t>- Sau khi nhận được hồ sơ do Liên danh nhà đầu tư thực hiện dự án Khu đô thị phía Đông Nam thị trấn Đồng Mỏ cung cấp lại sau rà soát đã ban hành Văn bản số 2250/SNNMT-KHTC ngày 30/6/2025 gửi Sở Xây dựng về việc đề nghị xem xét, cho ý kiến đối với dự toán xây dựng phục vụ công tác xác định giá đất cụ thể dự án Khu đô thị phía Đông Nam thị trấn Đồng Mỏ. Sở xây dựng ban hành Công văn số 2201/SXD-QLHT ngày 05/07/2025. Sau khi rà soát, Sở Xây dựng có ý kiến như sau:</w:t>
      </w:r>
    </w:p>
    <w:p w14:paraId="590C0880">
      <w:pPr>
        <w:widowControl w:val="0"/>
        <w:spacing w:before="120" w:after="120" w:line="380" w:lineRule="exact"/>
        <w:ind w:firstLine="567"/>
        <w:jc w:val="both"/>
        <w:rPr>
          <w:bCs/>
          <w:iCs/>
          <w:spacing w:val="-6"/>
          <w:sz w:val="26"/>
          <w:szCs w:val="26"/>
        </w:rPr>
      </w:pPr>
      <w:r>
        <w:rPr>
          <w:bCs/>
          <w:iCs/>
          <w:spacing w:val="-6"/>
          <w:sz w:val="26"/>
          <w:szCs w:val="26"/>
        </w:rPr>
        <w:t xml:space="preserve">1. Hồ sơ dự toán xây dựng công trình Khu đô thị phía Đông Nam thị trấn Đồng Mỏ, huyện Chi Lăng còn một số nội dung chưa phù hợp, cụ thể: </w:t>
      </w:r>
    </w:p>
    <w:p w14:paraId="7A839411">
      <w:pPr>
        <w:widowControl w:val="0"/>
        <w:spacing w:before="120" w:after="120" w:line="380" w:lineRule="exact"/>
        <w:ind w:firstLine="567"/>
        <w:jc w:val="both"/>
        <w:rPr>
          <w:bCs/>
          <w:iCs/>
          <w:spacing w:val="-6"/>
          <w:sz w:val="26"/>
          <w:szCs w:val="26"/>
        </w:rPr>
      </w:pPr>
      <w:r>
        <w:rPr>
          <w:bCs/>
          <w:iCs/>
          <w:spacing w:val="-6"/>
          <w:sz w:val="26"/>
          <w:szCs w:val="26"/>
        </w:rPr>
        <w:t xml:space="preserve">1.1. Hạng mục hạ tầng kỹ thuật - Tính vận chuyển nội tuyến đất đào (đất để khai thác gom thành bãi) cự ly vận chuyển trung bình 500m là không phù hợp. </w:t>
      </w:r>
    </w:p>
    <w:p w14:paraId="01CB9797">
      <w:pPr>
        <w:widowControl w:val="0"/>
        <w:spacing w:before="120" w:after="120" w:line="380" w:lineRule="exact"/>
        <w:ind w:firstLine="567"/>
        <w:jc w:val="both"/>
        <w:rPr>
          <w:bCs/>
          <w:iCs/>
          <w:spacing w:val="-6"/>
          <w:sz w:val="26"/>
          <w:szCs w:val="26"/>
        </w:rPr>
      </w:pPr>
      <w:r>
        <w:rPr>
          <w:bCs/>
          <w:iCs/>
          <w:spacing w:val="-6"/>
          <w:sz w:val="26"/>
          <w:szCs w:val="26"/>
        </w:rPr>
        <w:t xml:space="preserve">- Áp dụng mã công tác cày xới, lu lèn không có trong đơn giá xây dựng. - Áp dụng giá cây Chuông vàng (15 triều đồng/cây) chưa phù hợp với thực tế. </w:t>
      </w:r>
    </w:p>
    <w:p w14:paraId="160EFDCE">
      <w:pPr>
        <w:widowControl w:val="0"/>
        <w:spacing w:before="120" w:after="120" w:line="380" w:lineRule="exact"/>
        <w:ind w:firstLine="567"/>
        <w:jc w:val="both"/>
        <w:rPr>
          <w:bCs/>
          <w:iCs/>
          <w:spacing w:val="-6"/>
          <w:sz w:val="26"/>
          <w:szCs w:val="26"/>
        </w:rPr>
      </w:pPr>
      <w:r>
        <w:rPr>
          <w:bCs/>
          <w:iCs/>
          <w:spacing w:val="-6"/>
          <w:sz w:val="26"/>
          <w:szCs w:val="26"/>
        </w:rPr>
        <w:t xml:space="preserve">1.2. Hạng mục Nhà xây thô - Hạng mục nhà thô của dự án có khoảng 30 mẫu nhà với diện tích xây dựng khác nhau (từ 77,7 m2 đến 146,2 m2). Tuy nhiên dự toán xây không tính toán khối lượng của từng loại nhà để làm cơ sở xác định dự toán là chưa phù hợp với bước thiết kế bản vẽ thi công, chưa đảm bảo tính chính xác của khối lượng xây dựng, giá trị dự toán xây dựng (dự toán tính khối lượng trên cơ sở khối lượng của 01 mẫu nhà, tổng diện tích sàn xây dựng nhà thô đưa ra hệ số chung để tính khối lượng xây dựng của toàn bộ hạng mục nhà thô). </w:t>
      </w:r>
    </w:p>
    <w:p w14:paraId="2EB765BF">
      <w:pPr>
        <w:widowControl w:val="0"/>
        <w:spacing w:before="120" w:after="120" w:line="380" w:lineRule="exact"/>
        <w:ind w:firstLine="567"/>
        <w:jc w:val="both"/>
        <w:rPr>
          <w:bCs/>
          <w:iCs/>
          <w:spacing w:val="-6"/>
          <w:sz w:val="26"/>
          <w:szCs w:val="26"/>
        </w:rPr>
      </w:pPr>
      <w:r>
        <w:rPr>
          <w:bCs/>
          <w:iCs/>
          <w:spacing w:val="-6"/>
          <w:sz w:val="26"/>
          <w:szCs w:val="26"/>
        </w:rPr>
        <w:t>- Đề nghị xem xét rà soát bỏ cửa kính thủy lực do hạng mục nhà thô đã có cửa cuốn (giá trị khoảng 13,9 tỷ đồng) và bỏ hạng mục ốp đá mặt ngoài nhà (giá trị khoảng 1,9 tỷ đồng). 2. Hồ sơ dự toán xây dựng chỉnh sửa chưa được thẩm tra theo quy định tại điểm b khoản 4 Điều 6, Nghị định số 71/2024/NĐ-CP của Chính phủ (hồ sơ dự toán được lập tháng 6/2025, với giá trị tổng dự toán xây dựng công trình 600.915.195.000 đồng. Tuy nhiên được đóng dấu xác nhận theo Báo cáo thẩm tra thiết kế bản vẽ thi công tại Văn bản số 06/BCTT ngày 02/6/2025, với giá trị tổng dự toán xây dựng công trình 636.969.364.000 đồng).</w:t>
      </w:r>
    </w:p>
    <w:p w14:paraId="0B2EC694">
      <w:pPr>
        <w:widowControl w:val="0"/>
        <w:spacing w:before="120" w:after="120" w:line="380" w:lineRule="exact"/>
        <w:ind w:firstLine="567"/>
        <w:jc w:val="both"/>
        <w:rPr>
          <w:bCs/>
          <w:iCs/>
          <w:spacing w:val="-6"/>
          <w:sz w:val="26"/>
          <w:szCs w:val="26"/>
        </w:rPr>
      </w:pPr>
      <w:r>
        <w:rPr>
          <w:bCs/>
          <w:iCs/>
          <w:spacing w:val="-6"/>
          <w:sz w:val="26"/>
          <w:szCs w:val="26"/>
        </w:rPr>
        <w:t>3. Hợp đồng giữa Nhà đầu tư và đơn vị kiểm toán độc lập chưa đầy đủ pháp lý về nội dung, phạm vi kiểm toán; thời hạn Hợp đồng.</w:t>
      </w:r>
    </w:p>
    <w:p w14:paraId="7C5D86D3">
      <w:pPr>
        <w:widowControl w:val="0"/>
        <w:spacing w:before="120" w:after="120" w:line="380" w:lineRule="exact"/>
        <w:ind w:firstLine="567"/>
        <w:jc w:val="both"/>
        <w:rPr>
          <w:bCs/>
          <w:iCs/>
          <w:spacing w:val="-6"/>
          <w:sz w:val="26"/>
          <w:szCs w:val="26"/>
        </w:rPr>
      </w:pPr>
      <w:r>
        <w:rPr>
          <w:bCs/>
          <w:iCs/>
          <w:spacing w:val="-6"/>
          <w:sz w:val="26"/>
          <w:szCs w:val="26"/>
        </w:rPr>
        <w:t xml:space="preserve">4. Sở Xây dựng đã tham gia ý kiến đối với dự toán xây dựng công trình Khu đô thị phía Đông Nam thị trấn Đồng Mỏ, huyện Chi Lăng nhiều lần, tuy nhiên đến nay dự toán xây dựng công trình (do Sở Nông nghiệp và Môi trường cung cấp) chưa đủ cơ sở để xác định chi phí đầu tư xây dựng (do còn tồn tại các nội dung nêu trên); không đủ điều kiện để ước tổng chi phí phát triển của khu đất thực hiện dự án. </w:t>
      </w:r>
    </w:p>
    <w:p w14:paraId="19DE1E71">
      <w:pPr>
        <w:widowControl w:val="0"/>
        <w:spacing w:before="120" w:after="120" w:line="380" w:lineRule="exact"/>
        <w:ind w:firstLine="567"/>
        <w:jc w:val="both"/>
        <w:rPr>
          <w:bCs/>
          <w:iCs/>
          <w:spacing w:val="-6"/>
          <w:sz w:val="26"/>
          <w:szCs w:val="26"/>
        </w:rPr>
      </w:pPr>
      <w:r>
        <w:rPr>
          <w:bCs/>
          <w:iCs/>
          <w:spacing w:val="-6"/>
          <w:sz w:val="26"/>
          <w:szCs w:val="26"/>
        </w:rPr>
        <w:t>Để đảm bảo tiến độ theo chỉ đạo của UBND tỉnh tại Văn bản số 1837/VP KTTH ngày 27/3/2025 của Văn phòng UBND tỉnh đề nghị Sở Nông nghiệp và Môi trường xem xét áp dụng suất vốn đầu tư theo Quyết định số 409/QĐ-BXD ngày 11/4/2025 của Bộ Xây dựng về công bố suất đầu tư và giá xây dựng tổng hợp bộ phận kết cấu công trình năm 2024 làm căn cơ sở để ước tính tổng chi phí phát triển của dự án phù hợp với các quy định tại khoản 3, khoản 4 Điều 6 Nghị định số 71/2024/NĐ-CP của Chính phủ để triển khai thực hiện xác định giá đất cụ thể trình Hội đồng thẩm định giá đất cụ thể của tỉnh xem xét, quyết định”.</w:t>
      </w:r>
    </w:p>
    <w:p w14:paraId="5CAB1C5D">
      <w:pPr>
        <w:widowControl w:val="0"/>
        <w:spacing w:before="120" w:after="120" w:line="380" w:lineRule="exact"/>
        <w:ind w:firstLine="567"/>
        <w:jc w:val="both"/>
        <w:rPr>
          <w:bCs/>
          <w:iCs/>
          <w:spacing w:val="-6"/>
          <w:sz w:val="26"/>
          <w:szCs w:val="26"/>
        </w:rPr>
      </w:pPr>
      <w:r>
        <w:rPr>
          <w:bCs/>
          <w:iCs/>
          <w:spacing w:val="-6"/>
          <w:sz w:val="26"/>
          <w:szCs w:val="26"/>
        </w:rPr>
        <w:t>- Ngày 09/07/2025 Văn phòng UBND tỉnh Lạng Sơn ban hành văn bản số 49/VP-KTTH V/v xem xét, giải quyết đề nghị của Liên danh Công ty cổ phần đầu tư xây dựng hạ tầng Chi Lăng và Công ty cổ phần tập đoàn BGI:</w:t>
      </w:r>
    </w:p>
    <w:p w14:paraId="38433A90">
      <w:pPr>
        <w:widowControl w:val="0"/>
        <w:spacing w:before="120" w:after="120" w:line="380" w:lineRule="exact"/>
        <w:ind w:firstLine="567"/>
        <w:jc w:val="both"/>
        <w:rPr>
          <w:bCs/>
          <w:iCs/>
          <w:spacing w:val="-6"/>
          <w:sz w:val="26"/>
          <w:szCs w:val="26"/>
        </w:rPr>
      </w:pPr>
      <w:r>
        <w:rPr>
          <w:bCs/>
          <w:iCs/>
          <w:spacing w:val="-6"/>
          <w:sz w:val="26"/>
          <w:szCs w:val="26"/>
        </w:rPr>
        <w:t xml:space="preserve">“Xem xét Công văn số 08.07/CV-HTCL&amp;BGI ngày 08/7/2025 của Liên danh Công ty cổ phần đầu tư xây dựng hạ tầng Chi Lăng và Công ty cổ phần tập đoàn BGI ngày 08/7/2025 về việc xem xét công tác xác định giá đất cụ thể dự án Khu đô thị phía Đông Nam thị trấn Đồng Mỏ; đồng chí Đoàn Thanh Sơn, Phó Chủ tịch UBND tỉnh có ý kiến như sau: </w:t>
      </w:r>
    </w:p>
    <w:p w14:paraId="70679176">
      <w:pPr>
        <w:widowControl w:val="0"/>
        <w:spacing w:before="120" w:after="120" w:line="380" w:lineRule="exact"/>
        <w:ind w:firstLine="567"/>
        <w:jc w:val="both"/>
        <w:rPr>
          <w:bCs/>
          <w:iCs/>
          <w:spacing w:val="-6"/>
          <w:sz w:val="26"/>
          <w:szCs w:val="26"/>
        </w:rPr>
      </w:pPr>
      <w:r>
        <w:rPr>
          <w:bCs/>
          <w:iCs/>
          <w:spacing w:val="-6"/>
          <w:sz w:val="26"/>
          <w:szCs w:val="26"/>
        </w:rPr>
        <w:t>Giao Sở Xây dựng chủ trì, phối hợp với Sở Nông nghiệp và Môi trường, Sở Tài chính, Sở Tư pháp, Thuế tỉnh Lạng Sơn và các cơ quan liên quan chủ động xem xét, giải quyết đề nghị của Liên danh Công ty cổ phần đầu tư xây dựng hạ tầng Chi Lăng và Công ty cổ phần tập đoàn BGI tại Công văn trên, bảo đảm tuân thủ theo đúng quy định pháp luật, phục vụ công tác xác định giá đất cụ thể làm căn cứ tính tiền sử dụng đất khi Nhà nước giao đất có thu tiền sử dụng đất để thực hiện dự án; hoàn thành, báo cáo UBND tỉnh kết quả thực hiện chậm nhất ngày 16/7/2025”.</w:t>
      </w:r>
    </w:p>
    <w:p w14:paraId="39075D5D">
      <w:pPr>
        <w:widowControl w:val="0"/>
        <w:spacing w:before="120" w:after="120" w:line="380" w:lineRule="exact"/>
        <w:ind w:firstLine="567"/>
        <w:jc w:val="both"/>
        <w:rPr>
          <w:bCs/>
          <w:iCs/>
          <w:spacing w:val="-6"/>
          <w:sz w:val="26"/>
          <w:szCs w:val="26"/>
        </w:rPr>
      </w:pPr>
      <w:r>
        <w:rPr>
          <w:bCs/>
          <w:iCs/>
          <w:spacing w:val="-6"/>
          <w:sz w:val="26"/>
          <w:szCs w:val="26"/>
        </w:rPr>
        <w:t>- Thực hiện nhiệm vụ UBND tỉnh giao tại Văn bản số 4912/VP-KTTH ngày 09/7/2025 của Văn phòng UBND tỉnh về việc xem xét, giải quyết đề nghị của Liên danh Công ty cổ phần đầu tư xây dựng hạ tầng Chi Lăng và Công ty cổ phần tập đoàn BGI.  Sở Xây dựng ban hành văn bản số 2317/SXD-QLHT ngày 10/07/2025: “Để có cơ sở tham mưu, báo cáo UBND tỉnh, Sở Xây dựng đề nghị Sở Nông nghiệp và Môi trường chỉ đạo, đôn đốc Chủ đầu tư (Liên danh Công ty cổ phần đầu tư xây dựng hạ tầng Chi Lăng và Công ty cổ phần tập đoàn BGI) gửi hồ sơ dự toán xây dựng công trình đầu tư xây dựng Khu đô thị phía Đông Nam thị trấn Đồng Mỏ, huyện Chi Lăng đã được chỉnh sửa theo các nội dung tại Văn bản số 2201/SXD-QLHT ngày 05/7/2025 của Sở Xây dựng”.</w:t>
      </w:r>
    </w:p>
    <w:p w14:paraId="1D0FAB63">
      <w:pPr>
        <w:widowControl w:val="0"/>
        <w:spacing w:before="120" w:after="120" w:line="380" w:lineRule="exact"/>
        <w:ind w:firstLine="567"/>
        <w:jc w:val="both"/>
        <w:rPr>
          <w:b/>
          <w:iCs/>
          <w:spacing w:val="-6"/>
          <w:sz w:val="26"/>
          <w:szCs w:val="26"/>
        </w:rPr>
      </w:pPr>
      <w:r>
        <w:rPr>
          <w:b/>
          <w:iCs/>
          <w:spacing w:val="-6"/>
          <w:sz w:val="26"/>
          <w:szCs w:val="26"/>
        </w:rPr>
        <w:t>*Tại báo cáo số 443/BC-SXD ngày 16/07/2025 của Sở xây dựng tỉnh Lạng Sơn Về việc xem xét, giải quyết đề nghị của Liên danh Công ty cổ phần đầu tư xây dựng hạ tầng Chi Lăng và Công ty cổ phần tập đoàn BGI, trong đó có nội dung:</w:t>
      </w:r>
    </w:p>
    <w:p w14:paraId="4AD23936">
      <w:pPr>
        <w:widowControl w:val="0"/>
        <w:spacing w:before="120" w:after="120" w:line="380" w:lineRule="exact"/>
        <w:ind w:firstLine="567"/>
        <w:jc w:val="both"/>
        <w:rPr>
          <w:bCs/>
          <w:i/>
          <w:sz w:val="26"/>
          <w:szCs w:val="26"/>
        </w:rPr>
      </w:pPr>
      <w:r>
        <w:rPr>
          <w:bCs/>
          <w:i/>
          <w:sz w:val="26"/>
          <w:szCs w:val="26"/>
        </w:rPr>
        <w:t xml:space="preserve">“Để giải quyết kiến nghị của Nhà đầu tư theo nhiệm vụ UBND tỉnh giao, ngày 10/7/2025 Sở Xây dựng đã có Văn bản số 2317/SXD-QLHT đề nghị Sở Nông nghiệp và Môi trường phối hợp với Nhà đầu tư cung cấp hồ sơ dự toán xây dựng công trình đầu tư xây dựng Khu đô thị phía Đông Nam thị trấn Đồng Mỏ, huyện Chi Lăng trước ngày 13/7/2025 để làm cơ sở xem xét, báo cáo UBND tỉnh, theo đó ngày 14/7/2025, Sở Xây dựng nhận được hồ sơ dự án xây dựng công trình đầu tư xây dựng Khu đô thị phía Đông Nam thị trấn Đồng Mỏ, huyện Chi Lăng gửi kèm theo Công văn số 2568/SNNMT-KHTC của Sở Nông nghiệp và Môi trường. </w:t>
      </w:r>
    </w:p>
    <w:p w14:paraId="2D1AED28">
      <w:pPr>
        <w:widowControl w:val="0"/>
        <w:spacing w:before="120" w:after="120" w:line="380" w:lineRule="exact"/>
        <w:ind w:firstLine="567"/>
        <w:jc w:val="both"/>
        <w:rPr>
          <w:bCs/>
          <w:i/>
          <w:spacing w:val="-6"/>
          <w:sz w:val="26"/>
          <w:szCs w:val="26"/>
        </w:rPr>
      </w:pPr>
      <w:r>
        <w:rPr>
          <w:bCs/>
          <w:i/>
          <w:spacing w:val="-6"/>
          <w:sz w:val="26"/>
          <w:szCs w:val="26"/>
        </w:rPr>
        <w:t xml:space="preserve">Qua rà soát, hồ sơ dự án xây dựng công trình đầu tư xây dựng Khu đô thị phía Đông Nam thị trấn Đồng Mỏ, huyện Chi Lăng đã chỉnh sửa, các nội dung chưa phù hợp và cung cấp các tài liệu (về hợp đồng thẩm tra, báo cáo thẩm tra) giải trình nội dung tham gia ý kiến của Sở Xây dựng tại Văn bản số 2201/SXD QLHT ngày 05/7/2025. Như vậy, sau khi rà soát hồ sơ dự toán xây dựng công trình đầu tư xây dựng Khu đô thị phía Đông Nam thị trấn Đồng Mỏ, huyện Chi Lăng đã cơ bản áp dụng định mức xây dựng, đơn giá nhân công xây dựng, Bảng giá ca máy và thiết bị thi công xây dựng do cơ quan nhà nước có thẩm quyền ban hành, công bố tại thời điểm giao đất1 (tháng 01/2025). </w:t>
      </w:r>
    </w:p>
    <w:p w14:paraId="38A709CD">
      <w:pPr>
        <w:widowControl w:val="0"/>
        <w:spacing w:before="120" w:after="120" w:line="380" w:lineRule="exact"/>
        <w:ind w:firstLine="567"/>
        <w:jc w:val="both"/>
        <w:rPr>
          <w:bCs/>
          <w:i/>
          <w:spacing w:val="-6"/>
          <w:sz w:val="26"/>
          <w:szCs w:val="26"/>
        </w:rPr>
      </w:pPr>
      <w:r>
        <w:rPr>
          <w:bCs/>
          <w:i/>
          <w:spacing w:val="-6"/>
          <w:sz w:val="26"/>
          <w:szCs w:val="26"/>
        </w:rPr>
        <w:t>Từ nội dung trên, căn cứ hồ sơ dự toán công trình cung cấp ngày 14/7/2025, Nhà đầu tư đề nghị xem xét không áp dụng suất vốn đầu tư để ước tính tổng chi phí phát triển của dự án Khu đô thị phía Đông Nam thị trấn Đồng Mỏ, huyện Chi Lăng (áp dụng ước tính chi phí đầu tư xây dựng trên cơ sở dự toán xây dựng dự trên định mức, đơn giá do cơ quan nhà nước có thẩm quyền ban hành, công bố) là có cơ sở, phù hợp với quy định tại điểm b, khoản 4 Điều 6 Nghị định số 71/2024/NĐ-CP”.</w:t>
      </w:r>
    </w:p>
    <w:p w14:paraId="331E801E">
      <w:pPr>
        <w:widowControl w:val="0"/>
        <w:spacing w:before="120" w:after="120" w:line="380" w:lineRule="exact"/>
        <w:ind w:firstLine="567"/>
        <w:jc w:val="both"/>
        <w:rPr>
          <w:b/>
          <w:iCs/>
          <w:sz w:val="26"/>
          <w:szCs w:val="26"/>
        </w:rPr>
      </w:pPr>
      <w:r>
        <w:rPr>
          <w:bCs/>
          <w:i/>
          <w:sz w:val="26"/>
          <w:szCs w:val="26"/>
        </w:rPr>
        <w:t>*</w:t>
      </w:r>
      <w:r>
        <w:rPr>
          <w:b/>
          <w:iCs/>
          <w:sz w:val="26"/>
          <w:szCs w:val="26"/>
        </w:rPr>
        <w:t xml:space="preserve"> Sở xây dựng tỉnh Lạng Sơn ban hành văn bản số Văn bản số 2420/SXD-QLHT ngày 17/7/2025 V/v tham gia ý kiến về dự toán xây dựng công trình đầu tư xây dựng Khu đô thị phía Đông Nam thị trấn Đồng Mỏ, huyện Chi Lăng, nội dung văn bản như sau:</w:t>
      </w:r>
    </w:p>
    <w:p w14:paraId="79D19B24">
      <w:pPr>
        <w:widowControl w:val="0"/>
        <w:spacing w:before="120" w:after="120" w:line="380" w:lineRule="exact"/>
        <w:ind w:firstLine="567"/>
        <w:jc w:val="both"/>
        <w:rPr>
          <w:bCs/>
          <w:i/>
          <w:spacing w:val="-6"/>
          <w:sz w:val="26"/>
          <w:szCs w:val="26"/>
        </w:rPr>
      </w:pPr>
      <w:r>
        <w:rPr>
          <w:bCs/>
          <w:i/>
          <w:spacing w:val="-6"/>
          <w:sz w:val="26"/>
          <w:szCs w:val="26"/>
        </w:rPr>
        <w:t xml:space="preserve">Sở Xây dựng nhận được Văn bản số 2568/SNNMT-KHTC ngày 14/7/2025 của Sở Nông nghiệp và Môi trường về việc đề nghị xem xét, cho ý kiến đối với dự toán xây dựng phục vụ công tác xác định giá đất cụ thể dự án Khu đô thị phía Đông Nam thị trấn Đồng Mỏ1. Sau khi kiểm tra, rà soát hồ sơ, Sở Xây dựng có ý kiến như sau: </w:t>
      </w:r>
    </w:p>
    <w:p w14:paraId="15A24FAD">
      <w:pPr>
        <w:widowControl w:val="0"/>
        <w:spacing w:before="120" w:after="120" w:line="380" w:lineRule="exact"/>
        <w:ind w:firstLine="567"/>
        <w:jc w:val="both"/>
        <w:rPr>
          <w:bCs/>
          <w:i/>
          <w:spacing w:val="-6"/>
          <w:sz w:val="26"/>
          <w:szCs w:val="26"/>
        </w:rPr>
      </w:pPr>
      <w:r>
        <w:rPr>
          <w:bCs/>
          <w:i/>
          <w:spacing w:val="-6"/>
          <w:sz w:val="26"/>
          <w:szCs w:val="26"/>
        </w:rPr>
        <w:t xml:space="preserve">1. Về cơ sở áp dụng định mức và đơn giá </w:t>
      </w:r>
    </w:p>
    <w:p w14:paraId="3621FBC4">
      <w:pPr>
        <w:widowControl w:val="0"/>
        <w:spacing w:before="120" w:after="120" w:line="380" w:lineRule="exact"/>
        <w:ind w:firstLine="567"/>
        <w:jc w:val="both"/>
        <w:rPr>
          <w:bCs/>
          <w:i/>
          <w:spacing w:val="-6"/>
          <w:sz w:val="26"/>
          <w:szCs w:val="26"/>
        </w:rPr>
      </w:pPr>
      <w:r>
        <w:rPr>
          <w:bCs/>
          <w:i/>
          <w:spacing w:val="-6"/>
          <w:sz w:val="26"/>
          <w:szCs w:val="26"/>
        </w:rPr>
        <w:t xml:space="preserve">Hồ sơ dự toán đã cơ bản áp dụng định mức xây dựng, đơn giá nhân công xây dựng, Bảng giá ca máy và thiết bị thi công xây dựng do cơ quan nhà nước có thẩm quyền ban hành, công bố tại thời điểm giao đất2 (tháng 01/2025). </w:t>
      </w:r>
    </w:p>
    <w:p w14:paraId="3CC53A33">
      <w:pPr>
        <w:widowControl w:val="0"/>
        <w:spacing w:before="120" w:after="120" w:line="380" w:lineRule="exact"/>
        <w:ind w:firstLine="567"/>
        <w:jc w:val="both"/>
        <w:rPr>
          <w:bCs/>
          <w:i/>
          <w:spacing w:val="-6"/>
          <w:sz w:val="26"/>
          <w:szCs w:val="26"/>
        </w:rPr>
      </w:pPr>
      <w:r>
        <w:rPr>
          <w:bCs/>
          <w:i/>
          <w:spacing w:val="-6"/>
          <w:sz w:val="26"/>
          <w:szCs w:val="26"/>
        </w:rPr>
        <w:t>2. Hồ sơ dự toán xây dựng</w:t>
      </w:r>
    </w:p>
    <w:p w14:paraId="6F967C25">
      <w:pPr>
        <w:widowControl w:val="0"/>
        <w:spacing w:before="120" w:after="120" w:line="380" w:lineRule="exact"/>
        <w:ind w:firstLine="567"/>
        <w:jc w:val="both"/>
        <w:rPr>
          <w:bCs/>
          <w:i/>
          <w:spacing w:val="-6"/>
          <w:sz w:val="26"/>
          <w:szCs w:val="26"/>
        </w:rPr>
      </w:pPr>
      <w:r>
        <w:rPr>
          <w:bCs/>
          <w:i/>
          <w:spacing w:val="-6"/>
          <w:sz w:val="26"/>
          <w:szCs w:val="26"/>
        </w:rPr>
        <w:t xml:space="preserve">Dự toán đã được Công ty TNHH MTV tư vấn đầu tư xây dựng Nam Sơn thẩm tra, ban hành kết quả thẩm tra tại Văn bản số 07/BCTT ngày 13/7/2025 được đóng dấu, ký xác nhận thẩm tra hồ sơ, do vậy Công ty TNHH MTV tư vấn đầu tư xây dựng Nam Sơn chịu hoàn toàn trách nhiệm trước pháp luật về kết quả thẩm tra theo quy định tại điểm b khoản 4 Điều 6, Nghị định số 71/2024/NĐ-CP ngày 27/6/2024 của Chính phủ quy định về giá đất. </w:t>
      </w:r>
    </w:p>
    <w:p w14:paraId="18515142">
      <w:pPr>
        <w:widowControl w:val="0"/>
        <w:spacing w:before="120" w:after="120" w:line="380" w:lineRule="exact"/>
        <w:ind w:firstLine="567"/>
        <w:jc w:val="both"/>
        <w:rPr>
          <w:rFonts w:ascii="Times New Roman Italic" w:hAnsi="Times New Roman Italic"/>
          <w:bCs/>
          <w:i/>
          <w:sz w:val="26"/>
          <w:szCs w:val="26"/>
        </w:rPr>
      </w:pPr>
      <w:r>
        <w:rPr>
          <w:rFonts w:ascii="Times New Roman Italic" w:hAnsi="Times New Roman Italic"/>
          <w:bCs/>
          <w:i/>
          <w:sz w:val="26"/>
          <w:szCs w:val="26"/>
        </w:rPr>
        <w:t xml:space="preserve">Chủ đầu tư, đơn vị tư vấn thiết kế, thẩm tra chịu trách nhiệm trước pháp luật về tính chính xác của hồ sơ thiết kế bản vẽ thi công, dự toán xây dựng (bao gồm: hồ sơ dự án, chất lượng hồ sơ thiết kế, sự phù hợp khối lượng của dự toán với hồ sơ thiết kế...) và các tài liệu gửi kèm theo Công văn số 2568/SNNMT KHTC ngày 14/7/2025 của Sở Nông nghiệp và Môi trường. </w:t>
      </w:r>
    </w:p>
    <w:p w14:paraId="5FD2403D">
      <w:pPr>
        <w:widowControl w:val="0"/>
        <w:spacing w:before="120" w:after="120" w:line="380" w:lineRule="exact"/>
        <w:ind w:firstLine="567"/>
        <w:jc w:val="both"/>
        <w:rPr>
          <w:bCs/>
          <w:i/>
          <w:spacing w:val="-6"/>
          <w:sz w:val="26"/>
          <w:szCs w:val="26"/>
        </w:rPr>
      </w:pPr>
      <w:r>
        <w:rPr>
          <w:bCs/>
          <w:i/>
          <w:spacing w:val="-6"/>
          <w:sz w:val="26"/>
          <w:szCs w:val="26"/>
        </w:rPr>
        <w:t xml:space="preserve">3. Về trách nhiệm thẩm định </w:t>
      </w:r>
    </w:p>
    <w:p w14:paraId="29BBB3D6">
      <w:pPr>
        <w:widowControl w:val="0"/>
        <w:spacing w:before="120" w:after="120" w:line="380" w:lineRule="exact"/>
        <w:ind w:firstLine="567"/>
        <w:jc w:val="both"/>
        <w:rPr>
          <w:bCs/>
          <w:i/>
          <w:spacing w:val="-6"/>
          <w:sz w:val="26"/>
          <w:szCs w:val="26"/>
        </w:rPr>
      </w:pPr>
      <w:r>
        <w:rPr>
          <w:bCs/>
          <w:i/>
          <w:spacing w:val="-6"/>
          <w:sz w:val="26"/>
          <w:szCs w:val="26"/>
        </w:rPr>
        <w:t>Do dự án sử dụng vốn khác, không thuộc đối tượng quy định tại khoản 1 Điều 44 Nghị định 175/2024/NĐ-CP, việc thẩm định thiết kế triển khai sau thiết kế cơ sở (bao gồm dự toán) thuộc trách nhiệm của chủ đầu tư theo Điều 43 Nghị</w:t>
      </w:r>
      <w:r>
        <w:t xml:space="preserve"> </w:t>
      </w:r>
      <w:r>
        <w:rPr>
          <w:bCs/>
          <w:i/>
          <w:spacing w:val="-6"/>
          <w:sz w:val="26"/>
          <w:szCs w:val="26"/>
        </w:rPr>
        <w:t xml:space="preserve">định 175/2024/NĐ-CP4. Sở Xây dựng không thực hiện thẩm định. </w:t>
      </w:r>
    </w:p>
    <w:p w14:paraId="153DDAF2">
      <w:pPr>
        <w:widowControl w:val="0"/>
        <w:spacing w:before="120" w:after="120" w:line="380" w:lineRule="exact"/>
        <w:ind w:firstLine="567"/>
        <w:jc w:val="both"/>
        <w:rPr>
          <w:bCs/>
          <w:i/>
          <w:spacing w:val="-6"/>
          <w:sz w:val="26"/>
          <w:szCs w:val="26"/>
        </w:rPr>
      </w:pPr>
      <w:r>
        <w:rPr>
          <w:bCs/>
          <w:i/>
          <w:spacing w:val="-6"/>
          <w:sz w:val="26"/>
          <w:szCs w:val="26"/>
        </w:rPr>
        <w:t>Thiết kế xây dựng triển khai sau thiết kế cơ sở (bao gồm cả dự toán xây dựng công trình) sẽ do Chủ đầu tư tổ chức thẩm định theo quy định tại khoản 1 Điều 43 Nghị định số Nghị định số 175/2024/NĐ-CP5 (cơ quan chuyên môn về xây dựng không thẩm định).”</w:t>
      </w:r>
    </w:p>
    <w:p w14:paraId="20CBB489">
      <w:pPr>
        <w:widowControl w:val="0"/>
        <w:spacing w:before="120" w:after="120" w:line="380" w:lineRule="exact"/>
        <w:ind w:firstLine="567"/>
        <w:jc w:val="both"/>
        <w:rPr>
          <w:b/>
          <w:i/>
          <w:sz w:val="26"/>
          <w:szCs w:val="26"/>
        </w:rPr>
      </w:pPr>
      <w:r>
        <w:rPr>
          <w:b/>
          <w:iCs/>
          <w:spacing w:val="-6"/>
          <w:sz w:val="26"/>
          <w:szCs w:val="26"/>
        </w:rPr>
        <w:t>*</w:t>
      </w:r>
      <w:r>
        <w:rPr>
          <w:b/>
          <w:i/>
          <w:sz w:val="26"/>
          <w:szCs w:val="26"/>
        </w:rPr>
        <w:t>Sở Nông nghiệp và Môi trường tỉnh Lạng Sơn ban hành văn bản số 2675/SNNMT-KHTC ngày 18/07/2025 V/v cung cấp thông tin, tài liệu phục vụ công tác xác định giá đất cụ thể:</w:t>
      </w:r>
    </w:p>
    <w:p w14:paraId="3290F818">
      <w:pPr>
        <w:widowControl w:val="0"/>
        <w:spacing w:before="120" w:after="120" w:line="380" w:lineRule="exact"/>
        <w:ind w:firstLine="567"/>
        <w:jc w:val="both"/>
        <w:rPr>
          <w:bCs/>
          <w:iCs/>
          <w:spacing w:val="-6"/>
          <w:sz w:val="26"/>
          <w:szCs w:val="26"/>
        </w:rPr>
      </w:pPr>
      <w:r>
        <w:rPr>
          <w:bCs/>
          <w:iCs/>
          <w:spacing w:val="-6"/>
          <w:sz w:val="26"/>
          <w:szCs w:val="26"/>
        </w:rPr>
        <w:t xml:space="preserve">“Trên cơ sở Văn bản số 2420/SXD-QLHT ngày 17/7/2025 của Sở Xây dựng về việc tham gia ý kiến về dự toán xây dựng công trình đầu tư xây dựng Khu đô thị phía Đông Nam thị trấn Đồng Mỏ, huyện Chi Lăng (nay là xã Chi Lăng, tỉnh Lạng Sơn). Sở Nông nghiệp và Môi trường cung cấp thông tin, tài liệu cho Công ty Cổ phần Dịch vụ Tư vấn và Thẩm định giá Việt Nam để thực hiện công tác xác định giá đất cụ thể, như sau: </w:t>
      </w:r>
    </w:p>
    <w:p w14:paraId="22A7D07F">
      <w:pPr>
        <w:widowControl w:val="0"/>
        <w:spacing w:before="120" w:after="120" w:line="380" w:lineRule="exact"/>
        <w:ind w:firstLine="567"/>
        <w:jc w:val="both"/>
        <w:rPr>
          <w:bCs/>
          <w:iCs/>
          <w:spacing w:val="-6"/>
          <w:sz w:val="26"/>
          <w:szCs w:val="26"/>
        </w:rPr>
      </w:pPr>
      <w:r>
        <w:rPr>
          <w:bCs/>
          <w:iCs/>
          <w:spacing w:val="-6"/>
          <w:sz w:val="26"/>
          <w:szCs w:val="26"/>
        </w:rPr>
        <w:t xml:space="preserve">1. Văn bản số 2420/SXD-QLHT ngày 17/7/2025 của Sở Xây dựng về việc tham gia ý kiến về dự toán xây dựng công trình. </w:t>
      </w:r>
    </w:p>
    <w:p w14:paraId="77B980F1">
      <w:pPr>
        <w:widowControl w:val="0"/>
        <w:spacing w:before="120" w:after="120" w:line="380" w:lineRule="exact"/>
        <w:ind w:firstLine="567"/>
        <w:jc w:val="both"/>
        <w:rPr>
          <w:bCs/>
          <w:iCs/>
          <w:spacing w:val="-6"/>
          <w:sz w:val="26"/>
          <w:szCs w:val="26"/>
        </w:rPr>
      </w:pPr>
      <w:r>
        <w:rPr>
          <w:bCs/>
          <w:iCs/>
          <w:spacing w:val="-6"/>
          <w:sz w:val="26"/>
          <w:szCs w:val="26"/>
        </w:rPr>
        <w:t xml:space="preserve">2. File hồ sơ dự toán xây dựng công trình do Chủ đầu tư dự án Liên danh Công ty cổ phần Đầu tư xây dựng Hạ tầng Chi Lăng và Công ty cổ phần Tập đoàn BGI cung cấp tại Văn bản số 13.7/CV-HTCL&amp;BGI ngày 13/7/2025 (gửi kèm cả file số + file giấy dự toán). </w:t>
      </w:r>
    </w:p>
    <w:p w14:paraId="58EA3CDD">
      <w:pPr>
        <w:widowControl w:val="0"/>
        <w:spacing w:before="120" w:after="120" w:line="380" w:lineRule="exact"/>
        <w:ind w:firstLine="567"/>
        <w:jc w:val="both"/>
        <w:rPr>
          <w:bCs/>
          <w:iCs/>
          <w:spacing w:val="-6"/>
          <w:sz w:val="26"/>
          <w:szCs w:val="26"/>
        </w:rPr>
      </w:pPr>
      <w:r>
        <w:rPr>
          <w:bCs/>
          <w:iCs/>
          <w:spacing w:val="-6"/>
          <w:sz w:val="26"/>
          <w:szCs w:val="26"/>
        </w:rPr>
        <w:t>Đề nghị của Công ty Cổ phần Dịch vụ Tư vấn và Thẩm định giá Việt Nam thực hiện phương án giá đất theo đúng trình tự, thủ tục gửi về Sở Nông nghiệp và Môi trường trước ngày 24/7/2025 để xem xét trình Hội đồng thẩm định giá đất tỉnh theo quy định. Sở Nông nghiệp và Môi trường đề nghị của Công ty Cổ phần Dịch vụ Tư vấn và Thẩm định giá Việt Nam khẩn trương phối hợp thực hiện./.”</w:t>
      </w:r>
    </w:p>
    <w:p w14:paraId="59764F3E">
      <w:pPr>
        <w:widowControl w:val="0"/>
        <w:spacing w:before="120" w:after="120" w:line="380" w:lineRule="exact"/>
        <w:ind w:firstLine="567"/>
        <w:jc w:val="both"/>
        <w:rPr>
          <w:bCs/>
          <w:iCs/>
          <w:spacing w:val="-6"/>
          <w:sz w:val="26"/>
          <w:szCs w:val="26"/>
        </w:rPr>
      </w:pPr>
      <w:r>
        <w:rPr>
          <w:bCs/>
          <w:iCs/>
          <w:spacing w:val="-6"/>
          <w:sz w:val="26"/>
          <w:szCs w:val="26"/>
        </w:rPr>
        <w:t xml:space="preserve">Công ty CP dịch vụ Tư vấn và Thẩm định giá Việt Nam nhận được văn bản số 2675/SNNMT-KHTC ngày 18/07/2025 của Sở Nông nghiệp và Môi trường tỉnh Lạng Sơn, kèm theo hồ sơ dự toán xây dựng công trình, và các văn bản khác liên quan. </w:t>
      </w:r>
    </w:p>
    <w:p w14:paraId="03EEAD46">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Căn cứ </w:t>
      </w:r>
      <w:r>
        <w:rPr>
          <w:color w:val="000000" w:themeColor="text1"/>
          <w:sz w:val="26"/>
          <w:szCs w:val="26"/>
          <w14:textFill>
            <w14:solidFill>
              <w14:schemeClr w14:val="tx1"/>
            </w14:solidFill>
          </w14:textFill>
        </w:rPr>
        <w:t>Dự toán đã được thẩm tra tại thời điểm tháng 07/2025, Công ty CP dịch vụ Tư vấn và Thẩm định giá Việt Nam xác định chi phí xây dựng công trình nhà xây thô hoàn thiện mặt ngoài 120 căn nhà liền kề tầng cao tối đa 5 tầng (không bao gồm VAT, và chi phí dự phòng là: 144.134.316.842 đồng:</w:t>
      </w:r>
    </w:p>
    <w:tbl>
      <w:tblPr>
        <w:tblStyle w:val="9"/>
        <w:tblW w:w="5000" w:type="pct"/>
        <w:tblInd w:w="0" w:type="dxa"/>
        <w:tblLayout w:type="autofit"/>
        <w:tblCellMar>
          <w:top w:w="0" w:type="dxa"/>
          <w:left w:w="108" w:type="dxa"/>
          <w:bottom w:w="0" w:type="dxa"/>
          <w:right w:w="108" w:type="dxa"/>
        </w:tblCellMar>
      </w:tblPr>
      <w:tblGrid>
        <w:gridCol w:w="917"/>
        <w:gridCol w:w="5362"/>
        <w:gridCol w:w="3007"/>
      </w:tblGrid>
      <w:tr w14:paraId="5F0C86F8">
        <w:tblPrEx>
          <w:tblCellMar>
            <w:top w:w="0" w:type="dxa"/>
            <w:left w:w="108" w:type="dxa"/>
            <w:bottom w:w="0" w:type="dxa"/>
            <w:right w:w="108" w:type="dxa"/>
          </w:tblCellMar>
        </w:tblPrEx>
        <w:trPr>
          <w:trHeight w:val="20" w:hRule="atLeast"/>
        </w:trPr>
        <w:tc>
          <w:tcPr>
            <w:tcW w:w="494" w:type="pct"/>
            <w:tcBorders>
              <w:top w:val="single" w:color="auto" w:sz="4" w:space="0"/>
              <w:left w:val="single" w:color="auto" w:sz="4" w:space="0"/>
              <w:bottom w:val="single" w:color="auto" w:sz="4" w:space="0"/>
              <w:right w:val="single" w:color="auto" w:sz="4" w:space="0"/>
            </w:tcBorders>
            <w:vAlign w:val="center"/>
          </w:tcPr>
          <w:p w14:paraId="7FE200FD">
            <w:pPr>
              <w:jc w:val="center"/>
              <w:rPr>
                <w:b/>
                <w:bCs/>
                <w:color w:val="000000"/>
              </w:rPr>
            </w:pPr>
            <w:r>
              <w:rPr>
                <w:b/>
                <w:bCs/>
                <w:color w:val="000000"/>
              </w:rPr>
              <w:t>STT</w:t>
            </w:r>
          </w:p>
        </w:tc>
        <w:tc>
          <w:tcPr>
            <w:tcW w:w="2887" w:type="pct"/>
            <w:tcBorders>
              <w:top w:val="single" w:color="auto" w:sz="4" w:space="0"/>
              <w:left w:val="nil"/>
              <w:bottom w:val="single" w:color="auto" w:sz="4" w:space="0"/>
              <w:right w:val="single" w:color="auto" w:sz="4" w:space="0"/>
            </w:tcBorders>
            <w:vAlign w:val="center"/>
          </w:tcPr>
          <w:p w14:paraId="1C4CDBA7">
            <w:pPr>
              <w:jc w:val="center"/>
              <w:rPr>
                <w:b/>
                <w:bCs/>
                <w:color w:val="000000"/>
              </w:rPr>
            </w:pPr>
            <w:r>
              <w:rPr>
                <w:b/>
                <w:bCs/>
                <w:color w:val="000000"/>
              </w:rPr>
              <w:t>Diễn giải</w:t>
            </w:r>
          </w:p>
        </w:tc>
        <w:tc>
          <w:tcPr>
            <w:tcW w:w="1619" w:type="pct"/>
            <w:tcBorders>
              <w:top w:val="single" w:color="auto" w:sz="4" w:space="0"/>
              <w:left w:val="nil"/>
              <w:bottom w:val="single" w:color="auto" w:sz="4" w:space="0"/>
              <w:right w:val="single" w:color="auto" w:sz="4" w:space="0"/>
            </w:tcBorders>
            <w:vAlign w:val="center"/>
          </w:tcPr>
          <w:p w14:paraId="01601B86">
            <w:pPr>
              <w:jc w:val="center"/>
              <w:rPr>
                <w:b/>
                <w:bCs/>
                <w:color w:val="000000"/>
              </w:rPr>
            </w:pPr>
            <w:r>
              <w:rPr>
                <w:b/>
                <w:bCs/>
                <w:color w:val="000000"/>
              </w:rPr>
              <w:t>Tổng cộng (chưa bao gốm thuế VAT, và chi phí dự phòng)</w:t>
            </w:r>
          </w:p>
        </w:tc>
      </w:tr>
      <w:tr w14:paraId="724961E7">
        <w:tblPrEx>
          <w:tblCellMar>
            <w:top w:w="0" w:type="dxa"/>
            <w:left w:w="108" w:type="dxa"/>
            <w:bottom w:w="0" w:type="dxa"/>
            <w:right w:w="108" w:type="dxa"/>
          </w:tblCellMar>
        </w:tblPrEx>
        <w:trPr>
          <w:trHeight w:val="20" w:hRule="atLeast"/>
        </w:trPr>
        <w:tc>
          <w:tcPr>
            <w:tcW w:w="494" w:type="pct"/>
            <w:tcBorders>
              <w:top w:val="nil"/>
              <w:left w:val="single" w:color="auto" w:sz="4" w:space="0"/>
              <w:bottom w:val="single" w:color="auto" w:sz="4" w:space="0"/>
              <w:right w:val="single" w:color="auto" w:sz="4" w:space="0"/>
            </w:tcBorders>
            <w:vAlign w:val="center"/>
          </w:tcPr>
          <w:p w14:paraId="33A5685F">
            <w:pPr>
              <w:jc w:val="center"/>
              <w:rPr>
                <w:b/>
                <w:bCs/>
                <w:color w:val="000000"/>
              </w:rPr>
            </w:pPr>
            <w:r>
              <w:rPr>
                <w:b/>
                <w:bCs/>
                <w:color w:val="000000"/>
              </w:rPr>
              <w:t>1</w:t>
            </w:r>
          </w:p>
        </w:tc>
        <w:tc>
          <w:tcPr>
            <w:tcW w:w="2887" w:type="pct"/>
            <w:tcBorders>
              <w:top w:val="nil"/>
              <w:left w:val="nil"/>
              <w:bottom w:val="single" w:color="auto" w:sz="4" w:space="0"/>
              <w:right w:val="single" w:color="auto" w:sz="4" w:space="0"/>
            </w:tcBorders>
            <w:vAlign w:val="center"/>
          </w:tcPr>
          <w:p w14:paraId="6BA1C912">
            <w:pPr>
              <w:jc w:val="center"/>
              <w:rPr>
                <w:b/>
                <w:bCs/>
                <w:color w:val="000000"/>
              </w:rPr>
            </w:pPr>
            <w:r>
              <w:rPr>
                <w:b/>
                <w:bCs/>
                <w:color w:val="000000"/>
              </w:rPr>
              <w:t>Tổng chi phí xây dựng công trình nhà xây thô (120 căn)</w:t>
            </w:r>
          </w:p>
        </w:tc>
        <w:tc>
          <w:tcPr>
            <w:tcW w:w="1619" w:type="pct"/>
            <w:tcBorders>
              <w:top w:val="nil"/>
              <w:left w:val="nil"/>
              <w:bottom w:val="single" w:color="auto" w:sz="4" w:space="0"/>
              <w:right w:val="single" w:color="auto" w:sz="4" w:space="0"/>
            </w:tcBorders>
            <w:noWrap/>
            <w:vAlign w:val="center"/>
          </w:tcPr>
          <w:p w14:paraId="11D34D4E">
            <w:pPr>
              <w:jc w:val="center"/>
              <w:rPr>
                <w:b/>
                <w:bCs/>
                <w:color w:val="000000"/>
              </w:rPr>
            </w:pPr>
            <w:r>
              <w:rPr>
                <w:b/>
                <w:bCs/>
                <w:color w:val="000000"/>
              </w:rPr>
              <w:t>144.134.316.842</w:t>
            </w:r>
          </w:p>
        </w:tc>
      </w:tr>
      <w:tr w14:paraId="56152A3B">
        <w:tblPrEx>
          <w:tblCellMar>
            <w:top w:w="0" w:type="dxa"/>
            <w:left w:w="108" w:type="dxa"/>
            <w:bottom w:w="0" w:type="dxa"/>
            <w:right w:w="108" w:type="dxa"/>
          </w:tblCellMar>
        </w:tblPrEx>
        <w:trPr>
          <w:trHeight w:val="20" w:hRule="atLeast"/>
        </w:trPr>
        <w:tc>
          <w:tcPr>
            <w:tcW w:w="494" w:type="pct"/>
            <w:tcBorders>
              <w:top w:val="nil"/>
              <w:left w:val="single" w:color="auto" w:sz="4" w:space="0"/>
              <w:bottom w:val="single" w:color="auto" w:sz="4" w:space="0"/>
              <w:right w:val="single" w:color="auto" w:sz="4" w:space="0"/>
            </w:tcBorders>
            <w:vAlign w:val="center"/>
          </w:tcPr>
          <w:p w14:paraId="043DE072">
            <w:pPr>
              <w:jc w:val="center"/>
              <w:rPr>
                <w:color w:val="000000"/>
              </w:rPr>
            </w:pPr>
            <w:r>
              <w:rPr>
                <w:color w:val="000000"/>
              </w:rPr>
              <w:t>1.1</w:t>
            </w:r>
          </w:p>
        </w:tc>
        <w:tc>
          <w:tcPr>
            <w:tcW w:w="2887" w:type="pct"/>
            <w:tcBorders>
              <w:top w:val="nil"/>
              <w:left w:val="nil"/>
              <w:bottom w:val="single" w:color="auto" w:sz="4" w:space="0"/>
              <w:right w:val="single" w:color="auto" w:sz="4" w:space="0"/>
            </w:tcBorders>
            <w:vAlign w:val="center"/>
          </w:tcPr>
          <w:p w14:paraId="54D81CE6">
            <w:pPr>
              <w:rPr>
                <w:color w:val="000000"/>
              </w:rPr>
            </w:pPr>
            <w:r>
              <w:rPr>
                <w:color w:val="000000"/>
              </w:rPr>
              <w:t xml:space="preserve">Chi phí xây dựng </w:t>
            </w:r>
          </w:p>
        </w:tc>
        <w:tc>
          <w:tcPr>
            <w:tcW w:w="1619" w:type="pct"/>
            <w:tcBorders>
              <w:top w:val="nil"/>
              <w:left w:val="nil"/>
              <w:bottom w:val="single" w:color="auto" w:sz="4" w:space="0"/>
              <w:right w:val="single" w:color="auto" w:sz="4" w:space="0"/>
            </w:tcBorders>
            <w:vAlign w:val="center"/>
          </w:tcPr>
          <w:p w14:paraId="1A01E75A">
            <w:pPr>
              <w:jc w:val="center"/>
              <w:rPr>
                <w:color w:val="000000"/>
              </w:rPr>
            </w:pPr>
            <w:r>
              <w:rPr>
                <w:color w:val="000000"/>
              </w:rPr>
              <w:t>136.461.108.700</w:t>
            </w:r>
          </w:p>
        </w:tc>
      </w:tr>
      <w:tr w14:paraId="477A6876">
        <w:tblPrEx>
          <w:tblCellMar>
            <w:top w:w="0" w:type="dxa"/>
            <w:left w:w="108" w:type="dxa"/>
            <w:bottom w:w="0" w:type="dxa"/>
            <w:right w:w="108" w:type="dxa"/>
          </w:tblCellMar>
        </w:tblPrEx>
        <w:trPr>
          <w:trHeight w:val="20" w:hRule="atLeast"/>
        </w:trPr>
        <w:tc>
          <w:tcPr>
            <w:tcW w:w="494" w:type="pct"/>
            <w:tcBorders>
              <w:top w:val="nil"/>
              <w:left w:val="single" w:color="auto" w:sz="4" w:space="0"/>
              <w:bottom w:val="single" w:color="auto" w:sz="4" w:space="0"/>
              <w:right w:val="single" w:color="auto" w:sz="4" w:space="0"/>
            </w:tcBorders>
            <w:vAlign w:val="center"/>
          </w:tcPr>
          <w:p w14:paraId="0501FEAA">
            <w:pPr>
              <w:jc w:val="center"/>
              <w:rPr>
                <w:color w:val="000000"/>
              </w:rPr>
            </w:pPr>
            <w:r>
              <w:rPr>
                <w:color w:val="000000"/>
              </w:rPr>
              <w:t> 1.2</w:t>
            </w:r>
          </w:p>
        </w:tc>
        <w:tc>
          <w:tcPr>
            <w:tcW w:w="2887" w:type="pct"/>
            <w:tcBorders>
              <w:top w:val="nil"/>
              <w:left w:val="nil"/>
              <w:bottom w:val="single" w:color="auto" w:sz="4" w:space="0"/>
              <w:right w:val="single" w:color="auto" w:sz="4" w:space="0"/>
            </w:tcBorders>
            <w:vAlign w:val="center"/>
          </w:tcPr>
          <w:p w14:paraId="38938272">
            <w:pPr>
              <w:rPr>
                <w:color w:val="000000"/>
              </w:rPr>
            </w:pPr>
            <w:r>
              <w:rPr>
                <w:color w:val="000000"/>
              </w:rPr>
              <w:t>Chi phí thiết bị</w:t>
            </w:r>
          </w:p>
        </w:tc>
        <w:tc>
          <w:tcPr>
            <w:tcW w:w="1619" w:type="pct"/>
            <w:tcBorders>
              <w:top w:val="nil"/>
              <w:left w:val="nil"/>
              <w:bottom w:val="single" w:color="auto" w:sz="4" w:space="0"/>
              <w:right w:val="single" w:color="auto" w:sz="4" w:space="0"/>
            </w:tcBorders>
            <w:vAlign w:val="center"/>
          </w:tcPr>
          <w:p w14:paraId="7E5CC18E">
            <w:pPr>
              <w:jc w:val="center"/>
              <w:rPr>
                <w:color w:val="000000"/>
              </w:rPr>
            </w:pPr>
            <w:r>
              <w:rPr>
                <w:color w:val="000000"/>
              </w:rPr>
              <w:t>0</w:t>
            </w:r>
          </w:p>
        </w:tc>
      </w:tr>
      <w:tr w14:paraId="3F56FD99">
        <w:tblPrEx>
          <w:tblCellMar>
            <w:top w:w="0" w:type="dxa"/>
            <w:left w:w="108" w:type="dxa"/>
            <w:bottom w:w="0" w:type="dxa"/>
            <w:right w:w="108" w:type="dxa"/>
          </w:tblCellMar>
        </w:tblPrEx>
        <w:trPr>
          <w:trHeight w:val="20" w:hRule="atLeast"/>
        </w:trPr>
        <w:tc>
          <w:tcPr>
            <w:tcW w:w="494" w:type="pct"/>
            <w:tcBorders>
              <w:top w:val="nil"/>
              <w:left w:val="single" w:color="auto" w:sz="4" w:space="0"/>
              <w:bottom w:val="single" w:color="auto" w:sz="4" w:space="0"/>
              <w:right w:val="single" w:color="auto" w:sz="4" w:space="0"/>
            </w:tcBorders>
            <w:vAlign w:val="center"/>
          </w:tcPr>
          <w:p w14:paraId="3E0644B8">
            <w:pPr>
              <w:jc w:val="center"/>
              <w:rPr>
                <w:color w:val="000000"/>
              </w:rPr>
            </w:pPr>
            <w:r>
              <w:rPr>
                <w:color w:val="000000"/>
              </w:rPr>
              <w:t> 1.3</w:t>
            </w:r>
          </w:p>
        </w:tc>
        <w:tc>
          <w:tcPr>
            <w:tcW w:w="2887" w:type="pct"/>
            <w:tcBorders>
              <w:top w:val="nil"/>
              <w:left w:val="nil"/>
              <w:bottom w:val="single" w:color="auto" w:sz="4" w:space="0"/>
              <w:right w:val="single" w:color="auto" w:sz="4" w:space="0"/>
            </w:tcBorders>
            <w:vAlign w:val="center"/>
          </w:tcPr>
          <w:p w14:paraId="1187161F">
            <w:pPr>
              <w:rPr>
                <w:color w:val="000000"/>
              </w:rPr>
            </w:pPr>
            <w:r>
              <w:rPr>
                <w:color w:val="000000"/>
              </w:rPr>
              <w:t>Chi phí quản lý dự án</w:t>
            </w:r>
          </w:p>
        </w:tc>
        <w:tc>
          <w:tcPr>
            <w:tcW w:w="1619" w:type="pct"/>
            <w:tcBorders>
              <w:top w:val="nil"/>
              <w:left w:val="nil"/>
              <w:bottom w:val="single" w:color="auto" w:sz="4" w:space="0"/>
              <w:right w:val="single" w:color="auto" w:sz="4" w:space="0"/>
            </w:tcBorders>
            <w:vAlign w:val="center"/>
          </w:tcPr>
          <w:p w14:paraId="1917C115">
            <w:pPr>
              <w:jc w:val="center"/>
              <w:rPr>
                <w:color w:val="000000"/>
              </w:rPr>
            </w:pPr>
            <w:r>
              <w:rPr>
                <w:color w:val="000000"/>
              </w:rPr>
              <w:t>2.329.391.126</w:t>
            </w:r>
          </w:p>
        </w:tc>
      </w:tr>
      <w:tr w14:paraId="7C0F172F">
        <w:tblPrEx>
          <w:tblCellMar>
            <w:top w:w="0" w:type="dxa"/>
            <w:left w:w="108" w:type="dxa"/>
            <w:bottom w:w="0" w:type="dxa"/>
            <w:right w:w="108" w:type="dxa"/>
          </w:tblCellMar>
        </w:tblPrEx>
        <w:trPr>
          <w:trHeight w:val="20" w:hRule="atLeast"/>
        </w:trPr>
        <w:tc>
          <w:tcPr>
            <w:tcW w:w="494" w:type="pct"/>
            <w:tcBorders>
              <w:top w:val="nil"/>
              <w:left w:val="single" w:color="auto" w:sz="4" w:space="0"/>
              <w:bottom w:val="single" w:color="auto" w:sz="4" w:space="0"/>
              <w:right w:val="single" w:color="auto" w:sz="4" w:space="0"/>
            </w:tcBorders>
            <w:vAlign w:val="center"/>
          </w:tcPr>
          <w:p w14:paraId="074BAE8D">
            <w:pPr>
              <w:jc w:val="center"/>
              <w:rPr>
                <w:color w:val="000000"/>
              </w:rPr>
            </w:pPr>
            <w:r>
              <w:rPr>
                <w:color w:val="000000"/>
              </w:rPr>
              <w:t> 1.4</w:t>
            </w:r>
          </w:p>
        </w:tc>
        <w:tc>
          <w:tcPr>
            <w:tcW w:w="2887" w:type="pct"/>
            <w:tcBorders>
              <w:top w:val="nil"/>
              <w:left w:val="nil"/>
              <w:bottom w:val="single" w:color="auto" w:sz="4" w:space="0"/>
              <w:right w:val="single" w:color="auto" w:sz="4" w:space="0"/>
            </w:tcBorders>
            <w:vAlign w:val="center"/>
          </w:tcPr>
          <w:p w14:paraId="7D741423">
            <w:pPr>
              <w:rPr>
                <w:color w:val="000000"/>
              </w:rPr>
            </w:pPr>
            <w:r>
              <w:rPr>
                <w:color w:val="000000"/>
              </w:rPr>
              <w:t>Chi phí tư vấn đầu tư xây dựng</w:t>
            </w:r>
          </w:p>
        </w:tc>
        <w:tc>
          <w:tcPr>
            <w:tcW w:w="1619" w:type="pct"/>
            <w:tcBorders>
              <w:top w:val="nil"/>
              <w:left w:val="nil"/>
              <w:bottom w:val="single" w:color="auto" w:sz="4" w:space="0"/>
              <w:right w:val="single" w:color="auto" w:sz="4" w:space="0"/>
            </w:tcBorders>
            <w:vAlign w:val="center"/>
          </w:tcPr>
          <w:p w14:paraId="14A43EEF">
            <w:pPr>
              <w:jc w:val="center"/>
              <w:rPr>
                <w:color w:val="000000"/>
              </w:rPr>
            </w:pPr>
            <w:r>
              <w:rPr>
                <w:color w:val="000000"/>
              </w:rPr>
              <w:t>5.234.648.130</w:t>
            </w:r>
          </w:p>
        </w:tc>
      </w:tr>
      <w:tr w14:paraId="608CFC54">
        <w:tblPrEx>
          <w:tblCellMar>
            <w:top w:w="0" w:type="dxa"/>
            <w:left w:w="108" w:type="dxa"/>
            <w:bottom w:w="0" w:type="dxa"/>
            <w:right w:w="108" w:type="dxa"/>
          </w:tblCellMar>
        </w:tblPrEx>
        <w:trPr>
          <w:trHeight w:val="20" w:hRule="atLeast"/>
        </w:trPr>
        <w:tc>
          <w:tcPr>
            <w:tcW w:w="494" w:type="pct"/>
            <w:tcBorders>
              <w:top w:val="nil"/>
              <w:left w:val="single" w:color="auto" w:sz="4" w:space="0"/>
              <w:bottom w:val="single" w:color="auto" w:sz="4" w:space="0"/>
              <w:right w:val="single" w:color="auto" w:sz="4" w:space="0"/>
            </w:tcBorders>
            <w:vAlign w:val="center"/>
          </w:tcPr>
          <w:p w14:paraId="69F96766">
            <w:pPr>
              <w:jc w:val="center"/>
              <w:rPr>
                <w:color w:val="000000"/>
              </w:rPr>
            </w:pPr>
            <w:r>
              <w:rPr>
                <w:color w:val="000000"/>
              </w:rPr>
              <w:t> 1.5</w:t>
            </w:r>
          </w:p>
        </w:tc>
        <w:tc>
          <w:tcPr>
            <w:tcW w:w="2887" w:type="pct"/>
            <w:tcBorders>
              <w:top w:val="nil"/>
              <w:left w:val="nil"/>
              <w:bottom w:val="single" w:color="auto" w:sz="4" w:space="0"/>
              <w:right w:val="single" w:color="auto" w:sz="4" w:space="0"/>
            </w:tcBorders>
            <w:vAlign w:val="center"/>
          </w:tcPr>
          <w:p w14:paraId="2000A1AD">
            <w:pPr>
              <w:rPr>
                <w:color w:val="000000"/>
              </w:rPr>
            </w:pPr>
            <w:r>
              <w:rPr>
                <w:color w:val="000000"/>
              </w:rPr>
              <w:t>Chi phí khác</w:t>
            </w:r>
          </w:p>
        </w:tc>
        <w:tc>
          <w:tcPr>
            <w:tcW w:w="1619" w:type="pct"/>
            <w:tcBorders>
              <w:top w:val="nil"/>
              <w:left w:val="nil"/>
              <w:bottom w:val="single" w:color="auto" w:sz="4" w:space="0"/>
              <w:right w:val="single" w:color="auto" w:sz="4" w:space="0"/>
            </w:tcBorders>
            <w:vAlign w:val="center"/>
          </w:tcPr>
          <w:p w14:paraId="262E7D63">
            <w:pPr>
              <w:jc w:val="center"/>
              <w:rPr>
                <w:color w:val="000000"/>
              </w:rPr>
            </w:pPr>
            <w:r>
              <w:rPr>
                <w:color w:val="000000"/>
              </w:rPr>
              <w:t>109.168.887</w:t>
            </w:r>
          </w:p>
        </w:tc>
      </w:tr>
    </w:tbl>
    <w:p w14:paraId="0DA1BB6A">
      <w:pPr>
        <w:spacing w:before="120" w:after="120"/>
        <w:ind w:firstLine="567"/>
        <w:jc w:val="both"/>
        <w:rPr>
          <w:b/>
          <w:bCs/>
          <w:i/>
          <w:iCs/>
          <w:color w:val="000000" w:themeColor="text1"/>
          <w:sz w:val="26"/>
          <w:szCs w:val="26"/>
          <w14:textFill>
            <w14:solidFill>
              <w14:schemeClr w14:val="tx1"/>
            </w14:solidFill>
          </w14:textFill>
        </w:rPr>
      </w:pPr>
      <w:r>
        <w:rPr>
          <w:b/>
          <w:bCs/>
          <w:i/>
          <w:iCs/>
          <w:color w:val="000000" w:themeColor="text1"/>
          <w:sz w:val="26"/>
          <w:szCs w:val="26"/>
          <w14:textFill>
            <w14:solidFill>
              <w14:schemeClr w14:val="tx1"/>
            </w14:solidFill>
          </w14:textFill>
        </w:rPr>
        <w:t xml:space="preserve">*Lưu ý: Căn cứ quy hoạch chi tiết được duyệt, đối với công trình nhà thấp tầng liền kề xây thô có tầng cao tối đa 5 tầng. Căn cứ hồ sơ kèm theo dự toán được thẩm tra, đồi với thông số xây thô có các lô LK-3: 09 và LK-6: có tầng cao công trình 5 tầng; các lô còn lại (gồm 118 lô) có tầng cao xây dựng công trình là 04 tầng. </w:t>
      </w:r>
    </w:p>
    <w:p w14:paraId="13CCB0B0">
      <w:pPr>
        <w:widowControl w:val="0"/>
        <w:spacing w:before="120" w:after="120" w:line="400" w:lineRule="exact"/>
        <w:ind w:firstLine="567"/>
        <w:jc w:val="both"/>
        <w:rPr>
          <w:b/>
          <w:bCs/>
          <w:i/>
          <w:iCs/>
          <w:sz w:val="26"/>
          <w:szCs w:val="26"/>
        </w:rPr>
      </w:pPr>
      <w:r>
        <w:rPr>
          <w:b/>
          <w:bCs/>
          <w:i/>
          <w:iCs/>
          <w:color w:val="000000" w:themeColor="text1"/>
          <w:sz w:val="26"/>
          <w:szCs w:val="26"/>
          <w14:textFill>
            <w14:solidFill>
              <w14:schemeClr w14:val="tx1"/>
            </w14:solidFill>
          </w14:textFill>
        </w:rPr>
        <w:t xml:space="preserve">Căn cứ Văn bản số 2420/SXD-QLHT ngày 17/7/2025 của Sở xây dựng tỉnh </w:t>
      </w:r>
      <w:r>
        <w:rPr>
          <w:b/>
          <w:bCs/>
          <w:i/>
          <w:iCs/>
          <w:sz w:val="26"/>
          <w:szCs w:val="26"/>
        </w:rPr>
        <w:t>Lạng Sơn V/v tham gia ý kiến về dự toán xây dựng công trình đầu tư xây dựng Khu đô thị phía Đông Nam thị trấn Đồng Mỏ, huyện Chi Lăng, có nội dung:</w:t>
      </w:r>
    </w:p>
    <w:p w14:paraId="3F50C4F9">
      <w:pPr>
        <w:widowControl w:val="0"/>
        <w:spacing w:before="120" w:after="120" w:line="400" w:lineRule="exact"/>
        <w:ind w:firstLine="567"/>
        <w:jc w:val="both"/>
        <w:rPr>
          <w:bCs/>
          <w:i/>
          <w:spacing w:val="-6"/>
          <w:sz w:val="26"/>
          <w:szCs w:val="26"/>
        </w:rPr>
      </w:pPr>
      <w:r>
        <w:rPr>
          <w:bCs/>
          <w:i/>
          <w:spacing w:val="-6"/>
          <w:sz w:val="26"/>
          <w:szCs w:val="26"/>
        </w:rPr>
        <w:t xml:space="preserve">“1. Về cơ sở áp dụng định mức và đơn giá </w:t>
      </w:r>
    </w:p>
    <w:p w14:paraId="18A157DB">
      <w:pPr>
        <w:widowControl w:val="0"/>
        <w:spacing w:before="120" w:after="120" w:line="400" w:lineRule="exact"/>
        <w:ind w:firstLine="567"/>
        <w:jc w:val="both"/>
        <w:rPr>
          <w:bCs/>
          <w:i/>
          <w:spacing w:val="-6"/>
          <w:sz w:val="26"/>
          <w:szCs w:val="26"/>
        </w:rPr>
      </w:pPr>
      <w:r>
        <w:rPr>
          <w:bCs/>
          <w:i/>
          <w:spacing w:val="-6"/>
          <w:sz w:val="26"/>
          <w:szCs w:val="26"/>
        </w:rPr>
        <w:t xml:space="preserve">Hồ sơ dự toán đã cơ bản áp dụng định mức xây dựng, đơn giá nhân công xây dựng, Bảng giá ca máy và thiết bị thi công xây dựng do cơ quan nhà nước có thẩm quyền ban hành, công bố tại thời điểm giao đất2 (tháng 01/2025). </w:t>
      </w:r>
    </w:p>
    <w:p w14:paraId="00B42668">
      <w:pPr>
        <w:widowControl w:val="0"/>
        <w:spacing w:before="120" w:after="120" w:line="400" w:lineRule="exact"/>
        <w:ind w:firstLine="567"/>
        <w:jc w:val="both"/>
        <w:rPr>
          <w:bCs/>
          <w:i/>
          <w:spacing w:val="-6"/>
          <w:sz w:val="26"/>
          <w:szCs w:val="26"/>
        </w:rPr>
      </w:pPr>
      <w:r>
        <w:rPr>
          <w:bCs/>
          <w:i/>
          <w:spacing w:val="-6"/>
          <w:sz w:val="26"/>
          <w:szCs w:val="26"/>
        </w:rPr>
        <w:t>2. Hồ sơ dự toán xây dựng</w:t>
      </w:r>
    </w:p>
    <w:p w14:paraId="1A321FF4">
      <w:pPr>
        <w:widowControl w:val="0"/>
        <w:spacing w:before="120" w:after="120" w:line="400" w:lineRule="exact"/>
        <w:ind w:firstLine="567"/>
        <w:jc w:val="both"/>
        <w:rPr>
          <w:bCs/>
          <w:i/>
          <w:spacing w:val="-6"/>
          <w:sz w:val="26"/>
          <w:szCs w:val="26"/>
        </w:rPr>
      </w:pPr>
      <w:r>
        <w:rPr>
          <w:bCs/>
          <w:i/>
          <w:spacing w:val="-6"/>
          <w:sz w:val="26"/>
          <w:szCs w:val="26"/>
        </w:rPr>
        <w:t xml:space="preserve">Dự toán đã được Công ty TNHH MTV tư vấn đầu tư xây dựng Nam Sơn thẩm tra, ban hành kết quả thẩm tra tại Văn bản số 07/BCTT ngày 13/7/2025 được đóng dấu, ký xác nhận thẩm tra hồ sơ, do vậy Công ty TNHH MTV tư vấn đầu tư xây dựng Nam Sơn chịu hoàn toàn trách nhiệm trước pháp luật về kết quả thẩm tra theo quy định tại điểm b khoản 4 Điều 6, Nghị định số 71/2024/NĐ-CP ngày 27/6/2024 của Chính phủ quy định về giá đất. </w:t>
      </w:r>
    </w:p>
    <w:p w14:paraId="7577E658">
      <w:pPr>
        <w:spacing w:before="120" w:after="120"/>
        <w:ind w:firstLine="567"/>
        <w:jc w:val="both"/>
        <w:rPr>
          <w:rFonts w:ascii="Times New Roman Italic" w:hAnsi="Times New Roman Italic"/>
          <w:bCs/>
          <w:i/>
          <w:sz w:val="26"/>
          <w:szCs w:val="26"/>
        </w:rPr>
      </w:pPr>
      <w:r>
        <w:rPr>
          <w:rFonts w:ascii="Times New Roman Italic" w:hAnsi="Times New Roman Italic"/>
          <w:bCs/>
          <w:i/>
          <w:sz w:val="26"/>
          <w:szCs w:val="26"/>
        </w:rPr>
        <w:t>Chủ đầu tư, đơn vị tư vấn thiết kế, thẩm tra chịu trách nhiệm trước pháp luật về tính chính xác của hồ sơ thiết kế bản vẽ thi công, dự toán xây dựng (bao gồm: hồ sơ dự án, chất lượng hồ sơ thiết kế, sự phù hợp khối lượng của dự toán với hồ sơ thiết kế...) và các tài liệu gửi kèm theo Công văn số 2568/SNNMT KHTC ngày 14/7/2025 của Sở Nông nghiệp và Môi trường.”</w:t>
      </w:r>
    </w:p>
    <w:p w14:paraId="2A9674FD">
      <w:pPr>
        <w:spacing w:before="120" w:after="120"/>
        <w:ind w:firstLine="567"/>
        <w:jc w:val="both"/>
        <w:rPr>
          <w:b/>
          <w:color w:val="EE0000"/>
          <w:sz w:val="26"/>
          <w:szCs w:val="26"/>
        </w:rPr>
      </w:pPr>
      <w:r>
        <w:rPr>
          <w:rFonts w:ascii="Times New Roman Italic" w:hAnsi="Times New Roman Italic"/>
          <w:b/>
          <w:i/>
          <w:sz w:val="26"/>
          <w:szCs w:val="26"/>
        </w:rPr>
        <w:t>=&gt; Do đó Công ty CP dịch vụ tư vấn và Thẩm định giá Việt Nam chỉ xác định tổng chi phí xây dựng công trình thấp tầng gồm 120 căn theo hồ sơ dự toán đã được thẩm tra độc lập và không chịu trách nhiệm đối với nội dung này.</w:t>
      </w:r>
    </w:p>
    <w:p w14:paraId="27AB2C25">
      <w:pPr>
        <w:spacing w:before="120" w:after="120"/>
        <w:ind w:firstLine="567"/>
        <w:jc w:val="both"/>
        <w:rPr>
          <w:bCs/>
          <w:sz w:val="26"/>
          <w:szCs w:val="26"/>
          <w:lang w:val="vi-VN"/>
        </w:rPr>
      </w:pPr>
      <w:r>
        <w:rPr>
          <w:bCs/>
          <w:sz w:val="26"/>
          <w:szCs w:val="26"/>
        </w:rPr>
        <w:t>-</w:t>
      </w:r>
      <w:r>
        <w:rPr>
          <w:bCs/>
          <w:sz w:val="26"/>
          <w:szCs w:val="26"/>
          <w:lang w:val="vi-VN"/>
        </w:rPr>
        <w:t xml:space="preserve"> </w:t>
      </w:r>
      <w:r>
        <w:rPr>
          <w:bCs/>
          <w:sz w:val="26"/>
          <w:szCs w:val="26"/>
        </w:rPr>
        <w:t>Đ</w:t>
      </w:r>
      <w:r>
        <w:rPr>
          <w:bCs/>
          <w:sz w:val="26"/>
          <w:szCs w:val="26"/>
          <w:lang w:val="vi-VN"/>
        </w:rPr>
        <w:t xml:space="preserve">ơn giá chi phí xây thô đối với Nhà ở </w:t>
      </w:r>
      <w:r>
        <w:rPr>
          <w:bCs/>
          <w:sz w:val="26"/>
          <w:szCs w:val="26"/>
        </w:rPr>
        <w:t>liền kề</w:t>
      </w:r>
      <w:r>
        <w:rPr>
          <w:bCs/>
          <w:sz w:val="26"/>
          <w:szCs w:val="26"/>
          <w:lang w:val="vi-VN"/>
        </w:rPr>
        <w:t xml:space="preserve"> tính trên 1m</w:t>
      </w:r>
      <w:r>
        <w:rPr>
          <w:bCs/>
          <w:sz w:val="26"/>
          <w:szCs w:val="26"/>
          <w:vertAlign w:val="superscript"/>
          <w:lang w:val="vi-VN"/>
        </w:rPr>
        <w:t>2</w:t>
      </w:r>
      <w:r>
        <w:rPr>
          <w:bCs/>
          <w:sz w:val="26"/>
          <w:szCs w:val="26"/>
          <w:lang w:val="vi-VN"/>
        </w:rPr>
        <w:t xml:space="preserve"> như sau</w:t>
      </w:r>
      <w:r>
        <w:rPr>
          <w:bCs/>
          <w:sz w:val="26"/>
          <w:szCs w:val="26"/>
        </w:rPr>
        <w:t xml:space="preserve"> (chưa bao gồm thuế VAT)</w:t>
      </w:r>
      <w:r>
        <w:rPr>
          <w:bCs/>
          <w:sz w:val="26"/>
          <w:szCs w:val="26"/>
          <w:lang w:val="vi-VN"/>
        </w:rPr>
        <w:t>:</w:t>
      </w:r>
    </w:p>
    <w:p w14:paraId="6CC94B66">
      <w:pPr>
        <w:widowControl w:val="0"/>
        <w:spacing w:before="120" w:after="120"/>
        <w:ind w:left="927"/>
        <w:rPr>
          <w:bCs/>
          <w:sz w:val="26"/>
          <w:szCs w:val="26"/>
          <w:lang w:val="vi-VN"/>
        </w:rPr>
      </w:pPr>
      <w:r>
        <w:rPr>
          <w:bCs/>
          <w:sz w:val="26"/>
          <w:szCs w:val="26"/>
          <w:lang w:val="vi-VN"/>
        </w:rPr>
        <w:t xml:space="preserve">LK = </w:t>
      </w:r>
      <w:r>
        <w:rPr>
          <w:bCs/>
          <w:sz w:val="26"/>
          <w:szCs w:val="26"/>
        </w:rPr>
        <w:t xml:space="preserve">144.134.316.842 </w:t>
      </w:r>
      <w:r>
        <w:rPr>
          <w:bCs/>
          <w:sz w:val="26"/>
          <w:szCs w:val="26"/>
          <w:lang w:val="vi-VN"/>
        </w:rPr>
        <w:t>đồng/</w:t>
      </w:r>
      <w:r>
        <w:rPr>
          <w:bCs/>
          <w:sz w:val="26"/>
          <w:szCs w:val="26"/>
        </w:rPr>
        <w:t>39.115,6</w:t>
      </w:r>
      <w:r>
        <w:rPr>
          <w:bCs/>
          <w:sz w:val="26"/>
          <w:szCs w:val="26"/>
          <w:lang w:val="vi-VN"/>
        </w:rPr>
        <w:t>m</w:t>
      </w:r>
      <w:r>
        <w:rPr>
          <w:bCs/>
          <w:sz w:val="26"/>
          <w:szCs w:val="26"/>
          <w:vertAlign w:val="superscript"/>
          <w:lang w:val="vi-VN"/>
        </w:rPr>
        <w:t xml:space="preserve">2 </w:t>
      </w:r>
      <w:r>
        <w:rPr>
          <w:bCs/>
          <w:sz w:val="26"/>
          <w:szCs w:val="26"/>
          <w:lang w:val="vi-VN"/>
        </w:rPr>
        <w:t>=  3.684.828 đồng/m2</w:t>
      </w:r>
    </w:p>
    <w:p w14:paraId="015E7E98">
      <w:pPr>
        <w:widowControl w:val="0"/>
        <w:spacing w:before="120" w:after="120"/>
        <w:ind w:firstLine="567"/>
        <w:rPr>
          <w:bCs/>
          <w:sz w:val="26"/>
          <w:szCs w:val="26"/>
          <w:lang w:val="vi-VN"/>
        </w:rPr>
      </w:pPr>
      <w:r>
        <w:rPr>
          <w:bCs/>
          <w:sz w:val="26"/>
          <w:szCs w:val="26"/>
          <w:lang w:val="vi-VN"/>
        </w:rPr>
        <w:t>- Ngoài đơn giá xây dựng, giá bán nhà xây thô còn bao gồm chi phí quảng cáo bán hàng để đảm bảo doanh thu bù đắp được chi phí xây dựng nhà.</w:t>
      </w:r>
    </w:p>
    <w:p w14:paraId="212B4E7C">
      <w:pPr>
        <w:widowControl w:val="0"/>
        <w:spacing w:before="120" w:after="120"/>
        <w:ind w:firstLine="567"/>
        <w:jc w:val="center"/>
        <w:rPr>
          <w:bCs/>
          <w:sz w:val="26"/>
          <w:szCs w:val="26"/>
          <w:lang w:val="vi-VN"/>
        </w:rPr>
      </w:pPr>
      <w:r>
        <w:rPr>
          <w:bCs/>
          <w:sz w:val="26"/>
          <w:szCs w:val="26"/>
          <w:lang w:val="vi-VN"/>
        </w:rPr>
        <w:t xml:space="preserve">CPKD = 1%*3.684.828 đồng  = </w:t>
      </w:r>
      <w:r>
        <w:rPr>
          <w:bCs/>
          <w:sz w:val="26"/>
          <w:szCs w:val="26"/>
        </w:rPr>
        <w:t xml:space="preserve">36.848 </w:t>
      </w:r>
      <w:r>
        <w:rPr>
          <w:bCs/>
          <w:sz w:val="26"/>
          <w:szCs w:val="26"/>
          <w:lang w:val="vi-VN"/>
        </w:rPr>
        <w:t>đồng/m2</w:t>
      </w:r>
    </w:p>
    <w:p w14:paraId="156EA68B">
      <w:pPr>
        <w:widowControl w:val="0"/>
        <w:spacing w:before="120" w:after="120"/>
        <w:ind w:firstLine="567"/>
        <w:rPr>
          <w:bCs/>
          <w:spacing w:val="-10"/>
          <w:sz w:val="26"/>
          <w:szCs w:val="26"/>
        </w:rPr>
      </w:pPr>
      <w:r>
        <w:rPr>
          <w:bCs/>
          <w:spacing w:val="-10"/>
          <w:sz w:val="26"/>
          <w:szCs w:val="26"/>
          <w:lang w:val="vi-VN"/>
        </w:rPr>
        <w:t xml:space="preserve">=&gt; Đơn giá bán nhà </w:t>
      </w:r>
      <w:r>
        <w:rPr>
          <w:bCs/>
          <w:spacing w:val="-10"/>
          <w:sz w:val="26"/>
          <w:szCs w:val="26"/>
        </w:rPr>
        <w:t xml:space="preserve">liên kề </w:t>
      </w:r>
      <w:r>
        <w:rPr>
          <w:bCs/>
          <w:spacing w:val="-10"/>
          <w:sz w:val="26"/>
          <w:szCs w:val="26"/>
          <w:lang w:val="vi-VN"/>
        </w:rPr>
        <w:t xml:space="preserve">xây thô: </w:t>
      </w:r>
      <w:r>
        <w:rPr>
          <w:bCs/>
          <w:sz w:val="26"/>
          <w:szCs w:val="26"/>
          <w:lang w:val="vi-VN"/>
        </w:rPr>
        <w:t xml:space="preserve">3.684.828 </w:t>
      </w:r>
      <w:r>
        <w:rPr>
          <w:bCs/>
          <w:spacing w:val="-10"/>
          <w:sz w:val="26"/>
          <w:szCs w:val="26"/>
          <w:lang w:val="vi-VN"/>
        </w:rPr>
        <w:t xml:space="preserve">đồng + </w:t>
      </w:r>
      <w:r>
        <w:rPr>
          <w:bCs/>
          <w:sz w:val="26"/>
          <w:szCs w:val="26"/>
        </w:rPr>
        <w:t xml:space="preserve">36.848 </w:t>
      </w:r>
      <w:r>
        <w:rPr>
          <w:bCs/>
          <w:spacing w:val="-10"/>
          <w:sz w:val="26"/>
          <w:szCs w:val="26"/>
          <w:lang w:val="vi-VN"/>
        </w:rPr>
        <w:t>đồng/m2 =  3.721.676 đồng/m2.</w:t>
      </w:r>
    </w:p>
    <w:p w14:paraId="50F7EA04">
      <w:pPr>
        <w:widowControl w:val="0"/>
        <w:spacing w:before="120" w:after="120"/>
        <w:ind w:firstLine="567"/>
        <w:rPr>
          <w:b/>
          <w:sz w:val="26"/>
          <w:szCs w:val="26"/>
        </w:rPr>
      </w:pPr>
      <w:r>
        <w:rPr>
          <w:bCs/>
          <w:sz w:val="26"/>
          <w:szCs w:val="26"/>
          <w:lang w:val="vi-VN"/>
        </w:rPr>
        <w:t xml:space="preserve">- Doanh thu nhà </w:t>
      </w:r>
      <w:r>
        <w:rPr>
          <w:bCs/>
          <w:sz w:val="26"/>
          <w:szCs w:val="26"/>
        </w:rPr>
        <w:t xml:space="preserve">ở thấp tầng </w:t>
      </w:r>
      <w:r>
        <w:rPr>
          <w:bCs/>
          <w:sz w:val="26"/>
          <w:szCs w:val="26"/>
          <w:lang w:val="vi-VN"/>
        </w:rPr>
        <w:t xml:space="preserve">xây thô: </w:t>
      </w:r>
      <w:r>
        <w:rPr>
          <w:bCs/>
          <w:spacing w:val="-10"/>
          <w:sz w:val="26"/>
          <w:szCs w:val="26"/>
          <w:lang w:val="vi-VN"/>
        </w:rPr>
        <w:t xml:space="preserve">3.721.676 </w:t>
      </w:r>
      <w:r>
        <w:rPr>
          <w:bCs/>
          <w:sz w:val="26"/>
          <w:szCs w:val="26"/>
          <w:lang w:val="vi-VN"/>
        </w:rPr>
        <w:t>đồng/m2 x</w:t>
      </w:r>
      <w:r>
        <w:rPr>
          <w:bCs/>
          <w:sz w:val="26"/>
          <w:szCs w:val="26"/>
        </w:rPr>
        <w:t xml:space="preserve"> 39.115,62 m2</w:t>
      </w:r>
      <w:r>
        <w:rPr>
          <w:bCs/>
          <w:sz w:val="26"/>
          <w:szCs w:val="26"/>
          <w:lang w:val="vi-VN"/>
        </w:rPr>
        <w:t xml:space="preserve">=  </w:t>
      </w:r>
      <w:r>
        <w:rPr>
          <w:b/>
          <w:sz w:val="26"/>
          <w:szCs w:val="26"/>
          <w:lang w:val="vi-VN"/>
        </w:rPr>
        <w:t xml:space="preserve">       </w:t>
      </w:r>
      <w:r>
        <w:rPr>
          <w:b/>
          <w:sz w:val="26"/>
          <w:szCs w:val="26"/>
        </w:rPr>
        <w:t xml:space="preserve"> 145.575.660.011 </w:t>
      </w:r>
      <w:r>
        <w:rPr>
          <w:b/>
          <w:sz w:val="26"/>
          <w:szCs w:val="26"/>
          <w:lang w:val="vi-VN"/>
        </w:rPr>
        <w:t>đồng.</w:t>
      </w:r>
    </w:p>
    <w:p w14:paraId="51D97089">
      <w:pPr>
        <w:widowControl w:val="0"/>
        <w:spacing w:before="120" w:after="120"/>
        <w:ind w:firstLine="567"/>
        <w:rPr>
          <w:b/>
          <w:bCs/>
          <w:i/>
          <w:sz w:val="26"/>
          <w:szCs w:val="26"/>
          <w:lang w:val="vi-VN"/>
        </w:rPr>
      </w:pPr>
      <w:r>
        <w:rPr>
          <w:b/>
          <w:bCs/>
          <w:i/>
          <w:sz w:val="26"/>
          <w:szCs w:val="26"/>
          <w:lang w:val="vi-VN"/>
        </w:rPr>
        <w:t xml:space="preserve">=&gt; Đơn giá </w:t>
      </w:r>
      <w:r>
        <w:rPr>
          <w:b/>
          <w:bCs/>
          <w:i/>
          <w:sz w:val="26"/>
          <w:szCs w:val="26"/>
        </w:rPr>
        <w:t>bán nhà</w:t>
      </w:r>
      <w:r>
        <w:rPr>
          <w:b/>
          <w:bCs/>
          <w:i/>
          <w:sz w:val="26"/>
          <w:szCs w:val="26"/>
          <w:lang w:val="vi-VN"/>
        </w:rPr>
        <w:t xml:space="preserve"> tính trên m2 đất xây dựng nhà </w:t>
      </w:r>
      <w:r>
        <w:rPr>
          <w:b/>
          <w:bCs/>
          <w:i/>
          <w:sz w:val="26"/>
          <w:szCs w:val="26"/>
        </w:rPr>
        <w:t xml:space="preserve">ở thấp tầng (làm tròn) </w:t>
      </w:r>
      <w:r>
        <w:rPr>
          <w:b/>
          <w:bCs/>
          <w:i/>
          <w:sz w:val="26"/>
          <w:szCs w:val="26"/>
          <w:lang w:val="vi-VN"/>
        </w:rPr>
        <w:t xml:space="preserve">là: </w:t>
      </w:r>
    </w:p>
    <w:p w14:paraId="1DBF0818">
      <w:pPr>
        <w:widowControl w:val="0"/>
        <w:spacing w:before="120" w:after="120"/>
        <w:ind w:firstLine="567"/>
        <w:jc w:val="center"/>
        <w:rPr>
          <w:bCs/>
          <w:color w:val="EE0000"/>
          <w:sz w:val="26"/>
          <w:szCs w:val="26"/>
          <w:lang w:val="vi-VN"/>
        </w:rPr>
      </w:pPr>
      <w:r>
        <w:rPr>
          <w:bCs/>
          <w:sz w:val="26"/>
          <w:szCs w:val="26"/>
          <w:lang w:val="vi-VN"/>
        </w:rPr>
        <w:t>=</w:t>
      </w:r>
      <w:r>
        <w:rPr>
          <w:bCs/>
          <w:sz w:val="26"/>
          <w:szCs w:val="26"/>
        </w:rPr>
        <w:t xml:space="preserve"> </w:t>
      </w:r>
      <w:r>
        <w:rPr>
          <w:b/>
          <w:sz w:val="26"/>
          <w:szCs w:val="26"/>
        </w:rPr>
        <w:t xml:space="preserve"> 145.575.660.011 </w:t>
      </w:r>
      <w:r>
        <w:rPr>
          <w:bCs/>
          <w:sz w:val="26"/>
          <w:szCs w:val="26"/>
          <w:lang w:val="vi-VN"/>
        </w:rPr>
        <w:t>đồng/</w:t>
      </w:r>
      <w:r>
        <w:rPr>
          <w:bCs/>
          <w:sz w:val="26"/>
          <w:szCs w:val="26"/>
        </w:rPr>
        <w:t xml:space="preserve">11.572,94 </w:t>
      </w:r>
      <w:r>
        <w:rPr>
          <w:bCs/>
          <w:sz w:val="26"/>
          <w:szCs w:val="26"/>
          <w:lang w:val="vi-VN"/>
        </w:rPr>
        <w:t>m2 =</w:t>
      </w:r>
      <w:r>
        <w:rPr>
          <w:b/>
          <w:bCs/>
          <w:sz w:val="26"/>
          <w:szCs w:val="26"/>
        </w:rPr>
        <w:t xml:space="preserve">  12.579.000 </w:t>
      </w:r>
      <w:r>
        <w:rPr>
          <w:b/>
          <w:bCs/>
          <w:sz w:val="26"/>
          <w:szCs w:val="26"/>
          <w:lang w:val="vi-VN"/>
        </w:rPr>
        <w:t>đồng/m2</w:t>
      </w:r>
    </w:p>
    <w:p w14:paraId="1E4D239C">
      <w:pPr>
        <w:spacing w:before="120" w:after="120"/>
        <w:ind w:firstLine="567"/>
        <w:jc w:val="both"/>
        <w:rPr>
          <w:rFonts w:ascii="Wingdings" w:hAnsi="Wingdings"/>
          <w:b/>
          <w:bCs/>
          <w:color w:val="000000" w:themeColor="text1"/>
          <w:sz w:val="26"/>
          <w:szCs w:val="26"/>
          <w:lang w:val="vi-VN"/>
          <w14:textFill>
            <w14:solidFill>
              <w14:schemeClr w14:val="tx1"/>
            </w14:solidFill>
          </w14:textFill>
        </w:rPr>
        <w:sectPr>
          <w:pgSz w:w="11905" w:h="16838"/>
          <w:pgMar w:top="1134" w:right="1134" w:bottom="1134" w:left="1701" w:header="720" w:footer="720" w:gutter="0"/>
          <w:cols w:space="0" w:num="1"/>
          <w:docGrid w:linePitch="367" w:charSpace="0"/>
        </w:sectPr>
      </w:pPr>
    </w:p>
    <w:p w14:paraId="751383A0">
      <w:pPr>
        <w:spacing w:before="120" w:after="120"/>
        <w:ind w:firstLine="567"/>
        <w:jc w:val="both"/>
        <w:rPr>
          <w:b/>
          <w:bCs/>
          <w:color w:val="000000" w:themeColor="text1"/>
          <w:sz w:val="26"/>
          <w:szCs w:val="26"/>
          <w14:textFill>
            <w14:solidFill>
              <w14:schemeClr w14:val="tx1"/>
            </w14:solidFill>
          </w14:textFill>
        </w:rPr>
      </w:pPr>
      <w:r>
        <w:rPr>
          <w:rFonts w:ascii="Wingdings" w:hAnsi="Wingdings"/>
          <w:b/>
          <w:bCs/>
          <w:color w:val="000000" w:themeColor="text1"/>
          <w:sz w:val="26"/>
          <w:szCs w:val="26"/>
          <w:lang w:val="vi-VN"/>
          <w14:textFill>
            <w14:solidFill>
              <w14:schemeClr w14:val="tx1"/>
            </w14:solidFill>
          </w14:textFill>
        </w:rPr>
        <w:t></w:t>
      </w:r>
      <w:r>
        <w:rPr>
          <w:b/>
          <w:bCs/>
          <w:color w:val="000000" w:themeColor="text1"/>
          <w:sz w:val="26"/>
          <w:szCs w:val="26"/>
          <w:lang w:val="vi-VN"/>
          <w14:textFill>
            <w14:solidFill>
              <w14:schemeClr w14:val="tx1"/>
            </w14:solidFill>
          </w14:textFill>
        </w:rPr>
        <w:t xml:space="preserve"> Đơn giá bán đất bao gồm nhà </w:t>
      </w:r>
      <w:r>
        <w:rPr>
          <w:b/>
          <w:bCs/>
          <w:color w:val="000000" w:themeColor="text1"/>
          <w:sz w:val="26"/>
          <w:szCs w:val="26"/>
          <w14:textFill>
            <w14:solidFill>
              <w14:schemeClr w14:val="tx1"/>
            </w14:solidFill>
          </w14:textFill>
        </w:rPr>
        <w:t>liền kề</w:t>
      </w:r>
      <w:r>
        <w:rPr>
          <w:b/>
          <w:bCs/>
          <w:color w:val="000000" w:themeColor="text1"/>
          <w:sz w:val="26"/>
          <w:szCs w:val="26"/>
          <w:lang w:val="vi-VN"/>
          <w14:textFill>
            <w14:solidFill>
              <w14:schemeClr w14:val="tx1"/>
            </w14:solidFill>
          </w14:textFill>
        </w:rPr>
        <w:t xml:space="preserve"> xây thô</w:t>
      </w:r>
      <w:r>
        <w:rPr>
          <w:b/>
          <w:bCs/>
          <w:color w:val="000000" w:themeColor="text1"/>
          <w:sz w:val="26"/>
          <w:szCs w:val="26"/>
          <w14:textFill>
            <w14:solidFill>
              <w14:schemeClr w14:val="tx1"/>
            </w14:solidFill>
          </w14:textFill>
        </w:rPr>
        <w:t xml:space="preserve"> tầng cao tối đa</w:t>
      </w:r>
      <w:r>
        <w:rPr>
          <w:b/>
          <w:bCs/>
          <w:color w:val="000000" w:themeColor="text1"/>
          <w:sz w:val="26"/>
          <w:szCs w:val="26"/>
          <w:lang w:val="vi-VN"/>
          <w14:textFill>
            <w14:solidFill>
              <w14:schemeClr w14:val="tx1"/>
            </w14:solidFill>
          </w14:textFill>
        </w:rPr>
        <w:t xml:space="preserve"> 0</w:t>
      </w:r>
      <w:r>
        <w:rPr>
          <w:b/>
          <w:bCs/>
          <w:color w:val="000000" w:themeColor="text1"/>
          <w:sz w:val="26"/>
          <w:szCs w:val="26"/>
          <w14:textFill>
            <w14:solidFill>
              <w14:schemeClr w14:val="tx1"/>
            </w14:solidFill>
          </w14:textFill>
        </w:rPr>
        <w:t>5</w:t>
      </w:r>
      <w:r>
        <w:rPr>
          <w:b/>
          <w:bCs/>
          <w:color w:val="000000" w:themeColor="text1"/>
          <w:sz w:val="26"/>
          <w:szCs w:val="26"/>
          <w:lang w:val="vi-VN"/>
          <w14:textFill>
            <w14:solidFill>
              <w14:schemeClr w14:val="tx1"/>
            </w14:solidFill>
          </w14:textFill>
        </w:rPr>
        <w:t xml:space="preserve"> tầng</w:t>
      </w:r>
      <w:r>
        <w:rPr>
          <w:b/>
          <w:bCs/>
          <w:color w:val="000000" w:themeColor="text1"/>
          <w:sz w:val="26"/>
          <w:szCs w:val="26"/>
          <w14:textFill>
            <w14:solidFill>
              <w14:schemeClr w14:val="tx1"/>
            </w14:solidFill>
          </w14:textFill>
        </w:rPr>
        <w:t xml:space="preserve"> </w:t>
      </w:r>
      <w:r>
        <w:rPr>
          <w:b/>
          <w:bCs/>
          <w:color w:val="000000" w:themeColor="text1"/>
          <w:sz w:val="26"/>
          <w:szCs w:val="26"/>
          <w:lang w:val="vi-VN"/>
          <w14:textFill>
            <w14:solidFill>
              <w14:schemeClr w14:val="tx1"/>
            </w14:solidFill>
          </w14:textFill>
        </w:rPr>
        <w:t xml:space="preserve">theo từng mặt cắt đường là: </w:t>
      </w:r>
    </w:p>
    <w:p w14:paraId="1D67FBBE">
      <w:pPr>
        <w:spacing w:before="120" w:after="120"/>
        <w:ind w:firstLine="567"/>
        <w:jc w:val="center"/>
        <w:rPr>
          <w:b/>
          <w:color w:val="000000" w:themeColor="text1"/>
          <w:spacing w:val="-6"/>
          <w:sz w:val="26"/>
          <w:szCs w:val="26"/>
          <w14:textFill>
            <w14:solidFill>
              <w14:schemeClr w14:val="tx1"/>
            </w14:solidFill>
          </w14:textFill>
        </w:rPr>
      </w:pPr>
      <w:r>
        <w:rPr>
          <w:b/>
          <w:color w:val="000000" w:themeColor="text1"/>
          <w:spacing w:val="-6"/>
          <w:sz w:val="26"/>
          <w:szCs w:val="26"/>
          <w:lang w:val="vi-VN"/>
          <w14:textFill>
            <w14:solidFill>
              <w14:schemeClr w14:val="tx1"/>
            </w14:solidFill>
          </w14:textFill>
        </w:rPr>
        <w:t>TỔNG HỢP ĐƠN GIÁ THEO MẶT CẮT ĐƯỜNG</w:t>
      </w:r>
    </w:p>
    <w:tbl>
      <w:tblPr>
        <w:tblStyle w:val="9"/>
        <w:tblW w:w="5151"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4679"/>
        <w:gridCol w:w="1224"/>
        <w:gridCol w:w="1225"/>
        <w:gridCol w:w="1225"/>
        <w:gridCol w:w="1225"/>
        <w:gridCol w:w="1225"/>
        <w:gridCol w:w="1225"/>
        <w:gridCol w:w="1283"/>
        <w:gridCol w:w="1280"/>
      </w:tblGrid>
      <w:tr w14:paraId="53FC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63F1F496">
            <w:pPr>
              <w:jc w:val="center"/>
              <w:rPr>
                <w:b/>
                <w:bCs/>
                <w:color w:val="000000"/>
                <w:sz w:val="22"/>
                <w:szCs w:val="22"/>
              </w:rPr>
            </w:pPr>
            <w:r>
              <w:rPr>
                <w:b/>
                <w:bCs/>
                <w:color w:val="000000"/>
                <w:sz w:val="22"/>
                <w:szCs w:val="22"/>
              </w:rPr>
              <w:t>STT</w:t>
            </w:r>
          </w:p>
        </w:tc>
        <w:tc>
          <w:tcPr>
            <w:tcW w:w="1536" w:type="pct"/>
            <w:vAlign w:val="center"/>
          </w:tcPr>
          <w:p w14:paraId="54411C98">
            <w:pPr>
              <w:jc w:val="center"/>
              <w:rPr>
                <w:b/>
                <w:bCs/>
                <w:color w:val="000000"/>
                <w:sz w:val="22"/>
                <w:szCs w:val="22"/>
              </w:rPr>
            </w:pPr>
            <w:r>
              <w:rPr>
                <w:b/>
                <w:bCs/>
                <w:color w:val="000000"/>
                <w:sz w:val="22"/>
                <w:szCs w:val="22"/>
              </w:rPr>
              <w:t>MẶT CẮT ĐƯỜNG</w:t>
            </w:r>
          </w:p>
        </w:tc>
        <w:tc>
          <w:tcPr>
            <w:tcW w:w="804" w:type="pct"/>
            <w:gridSpan w:val="2"/>
            <w:vAlign w:val="center"/>
          </w:tcPr>
          <w:p w14:paraId="60F2E7F5">
            <w:pPr>
              <w:jc w:val="center"/>
              <w:rPr>
                <w:b/>
                <w:bCs/>
                <w:color w:val="000000"/>
                <w:sz w:val="22"/>
                <w:szCs w:val="22"/>
              </w:rPr>
            </w:pPr>
            <w:r>
              <w:rPr>
                <w:b/>
                <w:bCs/>
                <w:color w:val="000000"/>
                <w:sz w:val="22"/>
                <w:szCs w:val="22"/>
              </w:rPr>
              <w:t>ĐƠN GIÁ BÁN ĐẤT (đ/m2)</w:t>
            </w:r>
          </w:p>
        </w:tc>
        <w:tc>
          <w:tcPr>
            <w:tcW w:w="804" w:type="pct"/>
            <w:gridSpan w:val="2"/>
            <w:vAlign w:val="center"/>
          </w:tcPr>
          <w:p w14:paraId="61B97BB1">
            <w:pPr>
              <w:jc w:val="center"/>
              <w:rPr>
                <w:b/>
                <w:bCs/>
                <w:color w:val="000000"/>
                <w:sz w:val="22"/>
                <w:szCs w:val="22"/>
              </w:rPr>
            </w:pPr>
            <w:r>
              <w:rPr>
                <w:b/>
                <w:bCs/>
                <w:color w:val="000000"/>
                <w:sz w:val="22"/>
                <w:szCs w:val="22"/>
              </w:rPr>
              <w:t>ĐƠN GIÁ BÁN NHÀ XÂY THÔ (đ/m2)</w:t>
            </w:r>
          </w:p>
        </w:tc>
        <w:tc>
          <w:tcPr>
            <w:tcW w:w="804" w:type="pct"/>
            <w:gridSpan w:val="2"/>
            <w:vAlign w:val="center"/>
          </w:tcPr>
          <w:p w14:paraId="23CB1F67">
            <w:pPr>
              <w:jc w:val="center"/>
              <w:rPr>
                <w:b/>
                <w:bCs/>
                <w:color w:val="000000"/>
                <w:sz w:val="22"/>
                <w:szCs w:val="22"/>
              </w:rPr>
            </w:pPr>
            <w:r>
              <w:rPr>
                <w:b/>
                <w:bCs/>
                <w:color w:val="000000"/>
                <w:sz w:val="22"/>
                <w:szCs w:val="22"/>
              </w:rPr>
              <w:t>ĐƠN GIÁ BÁN ĐẤT VÀ ĐẤT CÓ NHÀ XÂY THÔ (đ/m2)</w:t>
            </w:r>
          </w:p>
        </w:tc>
        <w:tc>
          <w:tcPr>
            <w:tcW w:w="842" w:type="pct"/>
            <w:gridSpan w:val="2"/>
            <w:vAlign w:val="center"/>
          </w:tcPr>
          <w:p w14:paraId="42806DB0">
            <w:pPr>
              <w:jc w:val="center"/>
              <w:rPr>
                <w:b/>
                <w:bCs/>
                <w:color w:val="000000"/>
                <w:sz w:val="22"/>
                <w:szCs w:val="22"/>
              </w:rPr>
            </w:pPr>
            <w:r>
              <w:rPr>
                <w:b/>
                <w:bCs/>
                <w:color w:val="000000"/>
                <w:sz w:val="22"/>
                <w:szCs w:val="22"/>
              </w:rPr>
              <w:t>GHI CHÚ</w:t>
            </w:r>
          </w:p>
        </w:tc>
      </w:tr>
      <w:tr w14:paraId="2188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2354A34E">
            <w:pPr>
              <w:jc w:val="center"/>
              <w:rPr>
                <w:b/>
                <w:bCs/>
                <w:color w:val="000000"/>
                <w:sz w:val="22"/>
                <w:szCs w:val="22"/>
              </w:rPr>
            </w:pPr>
            <w:r>
              <w:rPr>
                <w:b/>
                <w:bCs/>
                <w:color w:val="000000"/>
                <w:sz w:val="22"/>
                <w:szCs w:val="22"/>
              </w:rPr>
              <w:t>A</w:t>
            </w:r>
          </w:p>
        </w:tc>
        <w:tc>
          <w:tcPr>
            <w:tcW w:w="1536" w:type="pct"/>
            <w:vAlign w:val="center"/>
          </w:tcPr>
          <w:p w14:paraId="0109B62A">
            <w:pPr>
              <w:rPr>
                <w:b/>
                <w:bCs/>
                <w:color w:val="000000"/>
                <w:sz w:val="22"/>
                <w:szCs w:val="22"/>
              </w:rPr>
            </w:pPr>
            <w:r>
              <w:rPr>
                <w:b/>
                <w:bCs/>
                <w:color w:val="000000"/>
                <w:sz w:val="22"/>
                <w:szCs w:val="22"/>
              </w:rPr>
              <w:t>ĐƠN GIÁ ĐẤT THEO MẶT CẮT ĐƯỜNG</w:t>
            </w:r>
          </w:p>
        </w:tc>
        <w:tc>
          <w:tcPr>
            <w:tcW w:w="402" w:type="pct"/>
            <w:vAlign w:val="center"/>
          </w:tcPr>
          <w:p w14:paraId="6C9E2007">
            <w:pPr>
              <w:jc w:val="center"/>
              <w:rPr>
                <w:b/>
                <w:bCs/>
                <w:color w:val="212529"/>
                <w:sz w:val="22"/>
                <w:szCs w:val="22"/>
              </w:rPr>
            </w:pPr>
            <w:r>
              <w:rPr>
                <w:b/>
                <w:bCs/>
                <w:color w:val="212529"/>
                <w:sz w:val="22"/>
                <w:szCs w:val="22"/>
              </w:rPr>
              <w:t>Đất ở liền kề</w:t>
            </w:r>
          </w:p>
        </w:tc>
        <w:tc>
          <w:tcPr>
            <w:tcW w:w="402" w:type="pct"/>
            <w:vAlign w:val="center"/>
          </w:tcPr>
          <w:p w14:paraId="093FA449">
            <w:pPr>
              <w:jc w:val="center"/>
              <w:rPr>
                <w:b/>
                <w:bCs/>
                <w:color w:val="212529"/>
                <w:sz w:val="22"/>
                <w:szCs w:val="22"/>
              </w:rPr>
            </w:pPr>
            <w:r>
              <w:rPr>
                <w:b/>
                <w:bCs/>
                <w:color w:val="212529"/>
                <w:sz w:val="22"/>
                <w:szCs w:val="22"/>
              </w:rPr>
              <w:t>Đất ở biệt thự</w:t>
            </w:r>
          </w:p>
        </w:tc>
        <w:tc>
          <w:tcPr>
            <w:tcW w:w="402" w:type="pct"/>
            <w:vAlign w:val="center"/>
          </w:tcPr>
          <w:p w14:paraId="698E2736">
            <w:pPr>
              <w:jc w:val="center"/>
              <w:rPr>
                <w:b/>
                <w:bCs/>
                <w:color w:val="212529"/>
                <w:sz w:val="22"/>
                <w:szCs w:val="22"/>
              </w:rPr>
            </w:pPr>
            <w:r>
              <w:rPr>
                <w:b/>
                <w:bCs/>
                <w:color w:val="212529"/>
                <w:sz w:val="22"/>
                <w:szCs w:val="22"/>
              </w:rPr>
              <w:t>Nhà ở liền kề</w:t>
            </w:r>
          </w:p>
        </w:tc>
        <w:tc>
          <w:tcPr>
            <w:tcW w:w="402" w:type="pct"/>
            <w:vAlign w:val="center"/>
          </w:tcPr>
          <w:p w14:paraId="0D832048">
            <w:pPr>
              <w:jc w:val="center"/>
              <w:rPr>
                <w:b/>
                <w:bCs/>
                <w:color w:val="212529"/>
                <w:sz w:val="22"/>
                <w:szCs w:val="22"/>
              </w:rPr>
            </w:pPr>
            <w:r>
              <w:rPr>
                <w:b/>
                <w:bCs/>
                <w:color w:val="212529"/>
                <w:sz w:val="22"/>
                <w:szCs w:val="22"/>
              </w:rPr>
              <w:t>Nhà ở biệt thự</w:t>
            </w:r>
          </w:p>
        </w:tc>
        <w:tc>
          <w:tcPr>
            <w:tcW w:w="402" w:type="pct"/>
            <w:vAlign w:val="center"/>
          </w:tcPr>
          <w:p w14:paraId="7A7A1F94">
            <w:pPr>
              <w:jc w:val="center"/>
              <w:rPr>
                <w:b/>
                <w:bCs/>
                <w:color w:val="212529"/>
                <w:sz w:val="22"/>
                <w:szCs w:val="22"/>
              </w:rPr>
            </w:pPr>
            <w:r>
              <w:rPr>
                <w:b/>
                <w:bCs/>
                <w:color w:val="212529"/>
                <w:sz w:val="22"/>
                <w:szCs w:val="22"/>
              </w:rPr>
              <w:t>Đất bao gồm  nhà ở liền kề xây thô</w:t>
            </w:r>
          </w:p>
        </w:tc>
        <w:tc>
          <w:tcPr>
            <w:tcW w:w="402" w:type="pct"/>
            <w:vAlign w:val="center"/>
          </w:tcPr>
          <w:p w14:paraId="3A1A5E29">
            <w:pPr>
              <w:jc w:val="center"/>
              <w:rPr>
                <w:b/>
                <w:bCs/>
                <w:color w:val="212529"/>
                <w:sz w:val="22"/>
                <w:szCs w:val="22"/>
              </w:rPr>
            </w:pPr>
            <w:r>
              <w:rPr>
                <w:b/>
                <w:bCs/>
                <w:color w:val="212529"/>
                <w:sz w:val="22"/>
                <w:szCs w:val="22"/>
              </w:rPr>
              <w:t>Đất bao gồm  nhà ở biệt thự xây thô</w:t>
            </w:r>
          </w:p>
        </w:tc>
        <w:tc>
          <w:tcPr>
            <w:tcW w:w="421" w:type="pct"/>
            <w:vAlign w:val="center"/>
          </w:tcPr>
          <w:p w14:paraId="209B2C3B">
            <w:pPr>
              <w:jc w:val="center"/>
              <w:rPr>
                <w:b/>
                <w:bCs/>
                <w:color w:val="212529"/>
                <w:sz w:val="22"/>
                <w:szCs w:val="22"/>
              </w:rPr>
            </w:pPr>
            <w:r>
              <w:rPr>
                <w:b/>
                <w:bCs/>
                <w:color w:val="212529"/>
                <w:sz w:val="22"/>
                <w:szCs w:val="22"/>
              </w:rPr>
              <w:t>Đất ở liền kề</w:t>
            </w:r>
          </w:p>
        </w:tc>
        <w:tc>
          <w:tcPr>
            <w:tcW w:w="421" w:type="pct"/>
            <w:vAlign w:val="center"/>
          </w:tcPr>
          <w:p w14:paraId="7BFC8508">
            <w:pPr>
              <w:jc w:val="center"/>
              <w:rPr>
                <w:b/>
                <w:bCs/>
                <w:color w:val="212529"/>
                <w:sz w:val="22"/>
                <w:szCs w:val="22"/>
              </w:rPr>
            </w:pPr>
            <w:r>
              <w:rPr>
                <w:b/>
                <w:bCs/>
                <w:color w:val="212529"/>
                <w:sz w:val="22"/>
                <w:szCs w:val="22"/>
              </w:rPr>
              <w:t>Đất ở biệt thự</w:t>
            </w:r>
          </w:p>
        </w:tc>
      </w:tr>
      <w:tr w14:paraId="517B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0EAB27A0">
            <w:pPr>
              <w:jc w:val="center"/>
              <w:rPr>
                <w:b/>
                <w:bCs/>
                <w:color w:val="000000"/>
                <w:sz w:val="22"/>
                <w:szCs w:val="22"/>
              </w:rPr>
            </w:pPr>
            <w:r>
              <w:rPr>
                <w:b/>
                <w:bCs/>
                <w:color w:val="000000"/>
                <w:sz w:val="22"/>
                <w:szCs w:val="22"/>
              </w:rPr>
              <w:t>1</w:t>
            </w:r>
          </w:p>
        </w:tc>
        <w:tc>
          <w:tcPr>
            <w:tcW w:w="1536" w:type="pct"/>
          </w:tcPr>
          <w:p w14:paraId="571BF0F4">
            <w:pPr>
              <w:rPr>
                <w:b/>
                <w:bCs/>
                <w:color w:val="000000"/>
                <w:sz w:val="22"/>
                <w:szCs w:val="22"/>
              </w:rPr>
            </w:pPr>
            <w:r>
              <w:rPr>
                <w:b/>
                <w:bCs/>
                <w:color w:val="000000"/>
                <w:sz w:val="22"/>
                <w:szCs w:val="22"/>
              </w:rPr>
              <w:t>Mặt cắt 5-5 (đường gom QL1A): rộng 10m lòng đường rộng 7m, vỉa hè 3m. (đường QL1A rộng 31m lòng đường rộng 17m, dải phân cách 2m, vỉa hè 2 bên rộng 6m+6m)</w:t>
            </w:r>
          </w:p>
        </w:tc>
        <w:tc>
          <w:tcPr>
            <w:tcW w:w="402" w:type="pct"/>
            <w:noWrap/>
            <w:vAlign w:val="center"/>
          </w:tcPr>
          <w:p w14:paraId="65F79396">
            <w:pPr>
              <w:jc w:val="center"/>
              <w:rPr>
                <w:b/>
                <w:bCs/>
                <w:color w:val="000000"/>
                <w:sz w:val="22"/>
                <w:szCs w:val="22"/>
              </w:rPr>
            </w:pPr>
          </w:p>
        </w:tc>
        <w:tc>
          <w:tcPr>
            <w:tcW w:w="402" w:type="pct"/>
            <w:noWrap/>
            <w:vAlign w:val="center"/>
          </w:tcPr>
          <w:p w14:paraId="65E5BE40">
            <w:pPr>
              <w:jc w:val="center"/>
              <w:rPr>
                <w:b/>
                <w:bCs/>
                <w:color w:val="000000"/>
                <w:sz w:val="22"/>
                <w:szCs w:val="22"/>
              </w:rPr>
            </w:pPr>
          </w:p>
        </w:tc>
        <w:tc>
          <w:tcPr>
            <w:tcW w:w="402" w:type="pct"/>
            <w:noWrap/>
            <w:vAlign w:val="center"/>
          </w:tcPr>
          <w:p w14:paraId="39C09882">
            <w:pPr>
              <w:jc w:val="center"/>
              <w:rPr>
                <w:color w:val="000000"/>
                <w:sz w:val="22"/>
                <w:szCs w:val="22"/>
              </w:rPr>
            </w:pPr>
          </w:p>
        </w:tc>
        <w:tc>
          <w:tcPr>
            <w:tcW w:w="402" w:type="pct"/>
            <w:noWrap/>
            <w:vAlign w:val="center"/>
          </w:tcPr>
          <w:p w14:paraId="2CA78559">
            <w:pPr>
              <w:jc w:val="center"/>
              <w:rPr>
                <w:b/>
                <w:bCs/>
                <w:color w:val="000000"/>
                <w:sz w:val="22"/>
                <w:szCs w:val="22"/>
              </w:rPr>
            </w:pPr>
          </w:p>
        </w:tc>
        <w:tc>
          <w:tcPr>
            <w:tcW w:w="402" w:type="pct"/>
            <w:noWrap/>
            <w:vAlign w:val="center"/>
          </w:tcPr>
          <w:p w14:paraId="31B3842B">
            <w:pPr>
              <w:jc w:val="center"/>
              <w:rPr>
                <w:color w:val="000000"/>
                <w:sz w:val="22"/>
                <w:szCs w:val="22"/>
              </w:rPr>
            </w:pPr>
          </w:p>
        </w:tc>
        <w:tc>
          <w:tcPr>
            <w:tcW w:w="402" w:type="pct"/>
            <w:noWrap/>
            <w:vAlign w:val="center"/>
          </w:tcPr>
          <w:p w14:paraId="4EE2417C">
            <w:pPr>
              <w:jc w:val="center"/>
              <w:rPr>
                <w:color w:val="000000"/>
                <w:sz w:val="22"/>
                <w:szCs w:val="22"/>
              </w:rPr>
            </w:pPr>
          </w:p>
        </w:tc>
        <w:tc>
          <w:tcPr>
            <w:tcW w:w="421" w:type="pct"/>
            <w:noWrap/>
            <w:vAlign w:val="center"/>
          </w:tcPr>
          <w:p w14:paraId="58F7000C">
            <w:pPr>
              <w:jc w:val="center"/>
              <w:rPr>
                <w:b/>
                <w:bCs/>
                <w:color w:val="000000"/>
                <w:sz w:val="22"/>
                <w:szCs w:val="22"/>
              </w:rPr>
            </w:pPr>
          </w:p>
        </w:tc>
        <w:tc>
          <w:tcPr>
            <w:tcW w:w="421" w:type="pct"/>
            <w:noWrap/>
            <w:vAlign w:val="center"/>
          </w:tcPr>
          <w:p w14:paraId="16C9A993">
            <w:pPr>
              <w:jc w:val="center"/>
              <w:rPr>
                <w:b/>
                <w:bCs/>
                <w:color w:val="000000"/>
                <w:sz w:val="22"/>
                <w:szCs w:val="22"/>
              </w:rPr>
            </w:pPr>
          </w:p>
        </w:tc>
      </w:tr>
      <w:tr w14:paraId="6271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7B494EFE">
            <w:pPr>
              <w:jc w:val="center"/>
              <w:rPr>
                <w:b/>
                <w:bCs/>
                <w:color w:val="000000"/>
                <w:sz w:val="22"/>
                <w:szCs w:val="22"/>
              </w:rPr>
            </w:pPr>
            <w:r>
              <w:rPr>
                <w:b/>
                <w:bCs/>
                <w:color w:val="000000"/>
                <w:sz w:val="22"/>
                <w:szCs w:val="22"/>
              </w:rPr>
              <w:t> </w:t>
            </w:r>
          </w:p>
        </w:tc>
        <w:tc>
          <w:tcPr>
            <w:tcW w:w="1536" w:type="pct"/>
          </w:tcPr>
          <w:p w14:paraId="46686BB8">
            <w:pPr>
              <w:rPr>
                <w:color w:val="000000"/>
                <w:sz w:val="22"/>
                <w:szCs w:val="22"/>
              </w:rPr>
            </w:pPr>
            <w:r>
              <w:rPr>
                <w:color w:val="000000"/>
                <w:sz w:val="22"/>
                <w:szCs w:val="22"/>
              </w:rPr>
              <w:t>Tiếp giáp Một mặt tiền</w:t>
            </w:r>
          </w:p>
        </w:tc>
        <w:tc>
          <w:tcPr>
            <w:tcW w:w="402" w:type="pct"/>
            <w:noWrap/>
            <w:vAlign w:val="center"/>
          </w:tcPr>
          <w:p w14:paraId="2EF95F04">
            <w:pPr>
              <w:jc w:val="center"/>
              <w:rPr>
                <w:color w:val="000000"/>
                <w:sz w:val="22"/>
                <w:szCs w:val="22"/>
              </w:rPr>
            </w:pPr>
            <w:r>
              <w:rPr>
                <w:color w:val="000000"/>
                <w:sz w:val="22"/>
                <w:szCs w:val="22"/>
              </w:rPr>
              <w:t>18.600.000</w:t>
            </w:r>
          </w:p>
        </w:tc>
        <w:tc>
          <w:tcPr>
            <w:tcW w:w="402" w:type="pct"/>
            <w:noWrap/>
            <w:vAlign w:val="center"/>
          </w:tcPr>
          <w:p w14:paraId="2FBEE8E2">
            <w:pPr>
              <w:jc w:val="center"/>
              <w:rPr>
                <w:color w:val="000000"/>
                <w:sz w:val="22"/>
                <w:szCs w:val="22"/>
              </w:rPr>
            </w:pPr>
          </w:p>
        </w:tc>
        <w:tc>
          <w:tcPr>
            <w:tcW w:w="402" w:type="pct"/>
            <w:noWrap/>
            <w:vAlign w:val="center"/>
          </w:tcPr>
          <w:p w14:paraId="49F8E411">
            <w:pPr>
              <w:jc w:val="center"/>
              <w:rPr>
                <w:color w:val="000000"/>
                <w:sz w:val="22"/>
                <w:szCs w:val="22"/>
              </w:rPr>
            </w:pPr>
          </w:p>
        </w:tc>
        <w:tc>
          <w:tcPr>
            <w:tcW w:w="402" w:type="pct"/>
            <w:noWrap/>
            <w:vAlign w:val="center"/>
          </w:tcPr>
          <w:p w14:paraId="6C524254">
            <w:pPr>
              <w:jc w:val="center"/>
              <w:rPr>
                <w:color w:val="000000"/>
                <w:sz w:val="22"/>
                <w:szCs w:val="22"/>
              </w:rPr>
            </w:pPr>
          </w:p>
        </w:tc>
        <w:tc>
          <w:tcPr>
            <w:tcW w:w="402" w:type="pct"/>
            <w:noWrap/>
            <w:vAlign w:val="center"/>
          </w:tcPr>
          <w:p w14:paraId="2AC78EC5">
            <w:pPr>
              <w:jc w:val="center"/>
              <w:rPr>
                <w:color w:val="000000"/>
                <w:sz w:val="22"/>
                <w:szCs w:val="22"/>
              </w:rPr>
            </w:pPr>
          </w:p>
        </w:tc>
        <w:tc>
          <w:tcPr>
            <w:tcW w:w="402" w:type="pct"/>
            <w:noWrap/>
            <w:vAlign w:val="center"/>
          </w:tcPr>
          <w:p w14:paraId="44BCF7F4">
            <w:pPr>
              <w:jc w:val="center"/>
              <w:rPr>
                <w:color w:val="000000"/>
                <w:sz w:val="22"/>
                <w:szCs w:val="22"/>
              </w:rPr>
            </w:pPr>
          </w:p>
        </w:tc>
        <w:tc>
          <w:tcPr>
            <w:tcW w:w="421" w:type="pct"/>
            <w:noWrap/>
            <w:vAlign w:val="center"/>
          </w:tcPr>
          <w:p w14:paraId="2081240F">
            <w:pPr>
              <w:jc w:val="center"/>
              <w:rPr>
                <w:b/>
                <w:bCs/>
                <w:color w:val="000000"/>
                <w:sz w:val="22"/>
                <w:szCs w:val="22"/>
              </w:rPr>
            </w:pPr>
            <w:r>
              <w:rPr>
                <w:b/>
                <w:bCs/>
                <w:color w:val="000000"/>
                <w:sz w:val="22"/>
                <w:szCs w:val="22"/>
              </w:rPr>
              <w:t>Phụ lục 01</w:t>
            </w:r>
          </w:p>
        </w:tc>
        <w:tc>
          <w:tcPr>
            <w:tcW w:w="421" w:type="pct"/>
            <w:noWrap/>
            <w:vAlign w:val="center"/>
          </w:tcPr>
          <w:p w14:paraId="155113D1">
            <w:pPr>
              <w:jc w:val="center"/>
              <w:rPr>
                <w:color w:val="000000"/>
                <w:sz w:val="22"/>
                <w:szCs w:val="22"/>
              </w:rPr>
            </w:pPr>
          </w:p>
        </w:tc>
      </w:tr>
      <w:tr w14:paraId="6D9D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47B21B26">
            <w:pPr>
              <w:jc w:val="center"/>
              <w:rPr>
                <w:b/>
                <w:bCs/>
                <w:color w:val="000000"/>
                <w:sz w:val="22"/>
                <w:szCs w:val="22"/>
              </w:rPr>
            </w:pPr>
            <w:r>
              <w:rPr>
                <w:b/>
                <w:bCs/>
                <w:color w:val="000000"/>
                <w:sz w:val="22"/>
                <w:szCs w:val="22"/>
              </w:rPr>
              <w:t> </w:t>
            </w:r>
          </w:p>
        </w:tc>
        <w:tc>
          <w:tcPr>
            <w:tcW w:w="1536" w:type="pct"/>
          </w:tcPr>
          <w:p w14:paraId="16C8691C">
            <w:pPr>
              <w:rPr>
                <w:color w:val="000000"/>
                <w:sz w:val="22"/>
                <w:szCs w:val="22"/>
              </w:rPr>
            </w:pPr>
            <w:r>
              <w:rPr>
                <w:color w:val="000000"/>
                <w:sz w:val="22"/>
                <w:szCs w:val="22"/>
              </w:rPr>
              <w:t>Tiếp giáp Hai mặt tiền</w:t>
            </w:r>
          </w:p>
        </w:tc>
        <w:tc>
          <w:tcPr>
            <w:tcW w:w="402" w:type="pct"/>
            <w:noWrap/>
            <w:vAlign w:val="center"/>
          </w:tcPr>
          <w:p w14:paraId="217504A8">
            <w:pPr>
              <w:jc w:val="center"/>
              <w:rPr>
                <w:color w:val="000000"/>
                <w:sz w:val="22"/>
                <w:szCs w:val="22"/>
              </w:rPr>
            </w:pPr>
            <w:r>
              <w:rPr>
                <w:color w:val="000000"/>
                <w:sz w:val="22"/>
                <w:szCs w:val="22"/>
              </w:rPr>
              <w:t>21.390.000</w:t>
            </w:r>
          </w:p>
        </w:tc>
        <w:tc>
          <w:tcPr>
            <w:tcW w:w="402" w:type="pct"/>
            <w:noWrap/>
            <w:vAlign w:val="center"/>
          </w:tcPr>
          <w:p w14:paraId="21405E53">
            <w:pPr>
              <w:jc w:val="center"/>
              <w:rPr>
                <w:color w:val="000000"/>
                <w:sz w:val="22"/>
                <w:szCs w:val="22"/>
              </w:rPr>
            </w:pPr>
          </w:p>
        </w:tc>
        <w:tc>
          <w:tcPr>
            <w:tcW w:w="402" w:type="pct"/>
            <w:noWrap/>
            <w:vAlign w:val="center"/>
          </w:tcPr>
          <w:p w14:paraId="3D6F5FF5">
            <w:pPr>
              <w:jc w:val="center"/>
              <w:rPr>
                <w:color w:val="000000"/>
                <w:sz w:val="22"/>
                <w:szCs w:val="22"/>
              </w:rPr>
            </w:pPr>
          </w:p>
        </w:tc>
        <w:tc>
          <w:tcPr>
            <w:tcW w:w="402" w:type="pct"/>
            <w:noWrap/>
            <w:vAlign w:val="center"/>
          </w:tcPr>
          <w:p w14:paraId="74C1109E">
            <w:pPr>
              <w:jc w:val="center"/>
              <w:rPr>
                <w:color w:val="000000"/>
                <w:sz w:val="22"/>
                <w:szCs w:val="22"/>
              </w:rPr>
            </w:pPr>
          </w:p>
        </w:tc>
        <w:tc>
          <w:tcPr>
            <w:tcW w:w="402" w:type="pct"/>
            <w:noWrap/>
            <w:vAlign w:val="center"/>
          </w:tcPr>
          <w:p w14:paraId="2DA77CB4">
            <w:pPr>
              <w:jc w:val="center"/>
              <w:rPr>
                <w:color w:val="000000"/>
                <w:sz w:val="22"/>
                <w:szCs w:val="22"/>
              </w:rPr>
            </w:pPr>
          </w:p>
        </w:tc>
        <w:tc>
          <w:tcPr>
            <w:tcW w:w="402" w:type="pct"/>
            <w:noWrap/>
            <w:vAlign w:val="center"/>
          </w:tcPr>
          <w:p w14:paraId="0D67D03F">
            <w:pPr>
              <w:jc w:val="center"/>
              <w:rPr>
                <w:color w:val="000000"/>
                <w:sz w:val="22"/>
                <w:szCs w:val="22"/>
              </w:rPr>
            </w:pPr>
          </w:p>
        </w:tc>
        <w:tc>
          <w:tcPr>
            <w:tcW w:w="421" w:type="pct"/>
            <w:noWrap/>
            <w:vAlign w:val="center"/>
          </w:tcPr>
          <w:p w14:paraId="62ACC5F8">
            <w:pPr>
              <w:jc w:val="center"/>
              <w:rPr>
                <w:color w:val="000000"/>
                <w:sz w:val="22"/>
                <w:szCs w:val="22"/>
              </w:rPr>
            </w:pPr>
          </w:p>
        </w:tc>
        <w:tc>
          <w:tcPr>
            <w:tcW w:w="421" w:type="pct"/>
            <w:noWrap/>
            <w:vAlign w:val="center"/>
          </w:tcPr>
          <w:p w14:paraId="1933A711">
            <w:pPr>
              <w:jc w:val="center"/>
              <w:rPr>
                <w:color w:val="000000"/>
                <w:sz w:val="22"/>
                <w:szCs w:val="22"/>
              </w:rPr>
            </w:pPr>
          </w:p>
        </w:tc>
      </w:tr>
      <w:tr w14:paraId="39A3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3C2A0911">
            <w:pPr>
              <w:jc w:val="center"/>
              <w:rPr>
                <w:b/>
                <w:bCs/>
                <w:color w:val="000000"/>
                <w:sz w:val="22"/>
                <w:szCs w:val="22"/>
              </w:rPr>
            </w:pPr>
            <w:r>
              <w:rPr>
                <w:b/>
                <w:bCs/>
                <w:color w:val="000000"/>
                <w:sz w:val="22"/>
                <w:szCs w:val="22"/>
              </w:rPr>
              <w:t>2</w:t>
            </w:r>
          </w:p>
        </w:tc>
        <w:tc>
          <w:tcPr>
            <w:tcW w:w="1536" w:type="pct"/>
          </w:tcPr>
          <w:p w14:paraId="33AAAD6A">
            <w:pPr>
              <w:rPr>
                <w:b/>
                <w:bCs/>
                <w:color w:val="000000"/>
                <w:sz w:val="22"/>
                <w:szCs w:val="22"/>
              </w:rPr>
            </w:pPr>
            <w:r>
              <w:rPr>
                <w:b/>
                <w:bCs/>
                <w:color w:val="000000"/>
                <w:sz w:val="22"/>
                <w:szCs w:val="22"/>
              </w:rPr>
              <w:t>Tiếp giáp đường Đại Huề (tuyến đối ngoại)</w:t>
            </w:r>
          </w:p>
        </w:tc>
        <w:tc>
          <w:tcPr>
            <w:tcW w:w="402" w:type="pct"/>
            <w:noWrap/>
            <w:vAlign w:val="center"/>
          </w:tcPr>
          <w:p w14:paraId="35CB85FD">
            <w:pPr>
              <w:jc w:val="center"/>
              <w:rPr>
                <w:b/>
                <w:bCs/>
                <w:color w:val="000000"/>
                <w:sz w:val="22"/>
                <w:szCs w:val="22"/>
              </w:rPr>
            </w:pPr>
          </w:p>
        </w:tc>
        <w:tc>
          <w:tcPr>
            <w:tcW w:w="402" w:type="pct"/>
            <w:noWrap/>
            <w:vAlign w:val="center"/>
          </w:tcPr>
          <w:p w14:paraId="5BE00384">
            <w:pPr>
              <w:jc w:val="center"/>
              <w:rPr>
                <w:b/>
                <w:bCs/>
                <w:color w:val="000000"/>
                <w:sz w:val="22"/>
                <w:szCs w:val="22"/>
              </w:rPr>
            </w:pPr>
          </w:p>
        </w:tc>
        <w:tc>
          <w:tcPr>
            <w:tcW w:w="402" w:type="pct"/>
            <w:noWrap/>
            <w:vAlign w:val="center"/>
          </w:tcPr>
          <w:p w14:paraId="3BF3B92B">
            <w:pPr>
              <w:jc w:val="center"/>
              <w:rPr>
                <w:color w:val="000000"/>
                <w:sz w:val="22"/>
                <w:szCs w:val="22"/>
              </w:rPr>
            </w:pPr>
          </w:p>
        </w:tc>
        <w:tc>
          <w:tcPr>
            <w:tcW w:w="402" w:type="pct"/>
            <w:noWrap/>
            <w:vAlign w:val="center"/>
          </w:tcPr>
          <w:p w14:paraId="101374C6">
            <w:pPr>
              <w:jc w:val="center"/>
              <w:rPr>
                <w:color w:val="000000"/>
                <w:sz w:val="22"/>
                <w:szCs w:val="22"/>
              </w:rPr>
            </w:pPr>
          </w:p>
        </w:tc>
        <w:tc>
          <w:tcPr>
            <w:tcW w:w="402" w:type="pct"/>
            <w:noWrap/>
            <w:vAlign w:val="center"/>
          </w:tcPr>
          <w:p w14:paraId="557394B6">
            <w:pPr>
              <w:jc w:val="center"/>
              <w:rPr>
                <w:color w:val="000000"/>
                <w:sz w:val="22"/>
                <w:szCs w:val="22"/>
              </w:rPr>
            </w:pPr>
          </w:p>
        </w:tc>
        <w:tc>
          <w:tcPr>
            <w:tcW w:w="402" w:type="pct"/>
            <w:noWrap/>
            <w:vAlign w:val="center"/>
          </w:tcPr>
          <w:p w14:paraId="4E1D0094">
            <w:pPr>
              <w:jc w:val="center"/>
              <w:rPr>
                <w:color w:val="000000"/>
                <w:sz w:val="22"/>
                <w:szCs w:val="22"/>
              </w:rPr>
            </w:pPr>
          </w:p>
        </w:tc>
        <w:tc>
          <w:tcPr>
            <w:tcW w:w="421" w:type="pct"/>
            <w:noWrap/>
            <w:vAlign w:val="center"/>
          </w:tcPr>
          <w:p w14:paraId="49AC0E46">
            <w:pPr>
              <w:jc w:val="center"/>
              <w:rPr>
                <w:color w:val="000000"/>
                <w:sz w:val="22"/>
                <w:szCs w:val="22"/>
              </w:rPr>
            </w:pPr>
          </w:p>
        </w:tc>
        <w:tc>
          <w:tcPr>
            <w:tcW w:w="421" w:type="pct"/>
            <w:noWrap/>
            <w:vAlign w:val="center"/>
          </w:tcPr>
          <w:p w14:paraId="68AC6B78">
            <w:pPr>
              <w:jc w:val="center"/>
              <w:rPr>
                <w:color w:val="000000"/>
                <w:sz w:val="22"/>
                <w:szCs w:val="22"/>
              </w:rPr>
            </w:pPr>
          </w:p>
        </w:tc>
      </w:tr>
      <w:tr w14:paraId="5FFA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5AC35BAC">
            <w:pPr>
              <w:jc w:val="center"/>
              <w:rPr>
                <w:b/>
                <w:bCs/>
                <w:color w:val="000000"/>
                <w:sz w:val="22"/>
                <w:szCs w:val="22"/>
              </w:rPr>
            </w:pPr>
            <w:r>
              <w:rPr>
                <w:b/>
                <w:bCs/>
                <w:color w:val="000000"/>
                <w:sz w:val="22"/>
                <w:szCs w:val="22"/>
              </w:rPr>
              <w:t> </w:t>
            </w:r>
          </w:p>
        </w:tc>
        <w:tc>
          <w:tcPr>
            <w:tcW w:w="1536" w:type="pct"/>
          </w:tcPr>
          <w:p w14:paraId="13A0C116">
            <w:pPr>
              <w:rPr>
                <w:color w:val="000000"/>
                <w:sz w:val="22"/>
                <w:szCs w:val="22"/>
              </w:rPr>
            </w:pPr>
            <w:r>
              <w:rPr>
                <w:color w:val="000000"/>
                <w:sz w:val="22"/>
                <w:szCs w:val="22"/>
              </w:rPr>
              <w:t>Tiếp giáp Một mặt tiền</w:t>
            </w:r>
          </w:p>
        </w:tc>
        <w:tc>
          <w:tcPr>
            <w:tcW w:w="402" w:type="pct"/>
            <w:noWrap/>
            <w:vAlign w:val="center"/>
          </w:tcPr>
          <w:p w14:paraId="191C162D">
            <w:pPr>
              <w:jc w:val="center"/>
              <w:rPr>
                <w:color w:val="000000"/>
                <w:sz w:val="22"/>
                <w:szCs w:val="22"/>
              </w:rPr>
            </w:pPr>
            <w:r>
              <w:rPr>
                <w:color w:val="000000"/>
                <w:sz w:val="22"/>
                <w:szCs w:val="22"/>
              </w:rPr>
              <w:t>23.200.000</w:t>
            </w:r>
          </w:p>
        </w:tc>
        <w:tc>
          <w:tcPr>
            <w:tcW w:w="402" w:type="pct"/>
            <w:noWrap/>
            <w:vAlign w:val="center"/>
          </w:tcPr>
          <w:p w14:paraId="658B8421">
            <w:pPr>
              <w:jc w:val="center"/>
              <w:rPr>
                <w:color w:val="000000"/>
                <w:sz w:val="22"/>
                <w:szCs w:val="22"/>
              </w:rPr>
            </w:pPr>
          </w:p>
        </w:tc>
        <w:tc>
          <w:tcPr>
            <w:tcW w:w="402" w:type="pct"/>
            <w:noWrap/>
            <w:vAlign w:val="center"/>
          </w:tcPr>
          <w:p w14:paraId="3458C047">
            <w:pPr>
              <w:jc w:val="center"/>
              <w:rPr>
                <w:color w:val="000000"/>
                <w:sz w:val="22"/>
                <w:szCs w:val="22"/>
              </w:rPr>
            </w:pPr>
          </w:p>
        </w:tc>
        <w:tc>
          <w:tcPr>
            <w:tcW w:w="402" w:type="pct"/>
            <w:noWrap/>
            <w:vAlign w:val="center"/>
          </w:tcPr>
          <w:p w14:paraId="4BD538E9">
            <w:pPr>
              <w:jc w:val="center"/>
              <w:rPr>
                <w:color w:val="000000"/>
                <w:sz w:val="22"/>
                <w:szCs w:val="22"/>
              </w:rPr>
            </w:pPr>
          </w:p>
        </w:tc>
        <w:tc>
          <w:tcPr>
            <w:tcW w:w="402" w:type="pct"/>
            <w:noWrap/>
            <w:vAlign w:val="center"/>
          </w:tcPr>
          <w:p w14:paraId="4DF529AC">
            <w:pPr>
              <w:jc w:val="center"/>
              <w:rPr>
                <w:color w:val="000000"/>
                <w:sz w:val="22"/>
                <w:szCs w:val="22"/>
              </w:rPr>
            </w:pPr>
          </w:p>
        </w:tc>
        <w:tc>
          <w:tcPr>
            <w:tcW w:w="402" w:type="pct"/>
            <w:noWrap/>
            <w:vAlign w:val="center"/>
          </w:tcPr>
          <w:p w14:paraId="514C7BF5">
            <w:pPr>
              <w:jc w:val="center"/>
              <w:rPr>
                <w:color w:val="000000"/>
                <w:sz w:val="22"/>
                <w:szCs w:val="22"/>
              </w:rPr>
            </w:pPr>
          </w:p>
        </w:tc>
        <w:tc>
          <w:tcPr>
            <w:tcW w:w="421" w:type="pct"/>
            <w:noWrap/>
            <w:vAlign w:val="center"/>
          </w:tcPr>
          <w:p w14:paraId="7E3C42FD">
            <w:pPr>
              <w:jc w:val="center"/>
              <w:rPr>
                <w:b/>
                <w:bCs/>
                <w:color w:val="000000"/>
                <w:sz w:val="22"/>
                <w:szCs w:val="22"/>
              </w:rPr>
            </w:pPr>
            <w:r>
              <w:rPr>
                <w:b/>
                <w:bCs/>
                <w:color w:val="000000"/>
                <w:sz w:val="22"/>
                <w:szCs w:val="22"/>
              </w:rPr>
              <w:t>Phụ lục 02</w:t>
            </w:r>
          </w:p>
        </w:tc>
        <w:tc>
          <w:tcPr>
            <w:tcW w:w="421" w:type="pct"/>
            <w:noWrap/>
            <w:vAlign w:val="center"/>
          </w:tcPr>
          <w:p w14:paraId="68E2CDB5">
            <w:pPr>
              <w:jc w:val="center"/>
              <w:rPr>
                <w:b/>
                <w:bCs/>
                <w:color w:val="000000"/>
                <w:sz w:val="22"/>
                <w:szCs w:val="22"/>
              </w:rPr>
            </w:pPr>
          </w:p>
        </w:tc>
      </w:tr>
      <w:tr w14:paraId="3EEA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28C86356">
            <w:pPr>
              <w:jc w:val="center"/>
              <w:rPr>
                <w:b/>
                <w:bCs/>
                <w:color w:val="000000"/>
                <w:sz w:val="22"/>
                <w:szCs w:val="22"/>
              </w:rPr>
            </w:pPr>
            <w:r>
              <w:rPr>
                <w:b/>
                <w:bCs/>
                <w:color w:val="000000"/>
                <w:sz w:val="22"/>
                <w:szCs w:val="22"/>
              </w:rPr>
              <w:t> </w:t>
            </w:r>
          </w:p>
        </w:tc>
        <w:tc>
          <w:tcPr>
            <w:tcW w:w="1536" w:type="pct"/>
          </w:tcPr>
          <w:p w14:paraId="2A97AB8B">
            <w:pPr>
              <w:rPr>
                <w:color w:val="000000"/>
                <w:sz w:val="22"/>
                <w:szCs w:val="22"/>
              </w:rPr>
            </w:pPr>
            <w:r>
              <w:rPr>
                <w:color w:val="000000"/>
                <w:sz w:val="22"/>
                <w:szCs w:val="22"/>
              </w:rPr>
              <w:t>Tiếp giáp Một mặt tiền, đối diện/tiếp giáp cây xanh - mặt nước</w:t>
            </w:r>
          </w:p>
        </w:tc>
        <w:tc>
          <w:tcPr>
            <w:tcW w:w="402" w:type="pct"/>
            <w:noWrap/>
            <w:vAlign w:val="center"/>
          </w:tcPr>
          <w:p w14:paraId="179CAA0C">
            <w:pPr>
              <w:jc w:val="center"/>
              <w:rPr>
                <w:color w:val="000000"/>
                <w:sz w:val="22"/>
                <w:szCs w:val="22"/>
              </w:rPr>
            </w:pPr>
            <w:r>
              <w:rPr>
                <w:color w:val="000000"/>
                <w:sz w:val="22"/>
                <w:szCs w:val="22"/>
              </w:rPr>
              <w:t>24.360.000</w:t>
            </w:r>
          </w:p>
        </w:tc>
        <w:tc>
          <w:tcPr>
            <w:tcW w:w="402" w:type="pct"/>
            <w:noWrap/>
            <w:vAlign w:val="center"/>
          </w:tcPr>
          <w:p w14:paraId="70344AD3">
            <w:pPr>
              <w:jc w:val="center"/>
              <w:rPr>
                <w:b/>
                <w:bCs/>
                <w:color w:val="000000"/>
                <w:sz w:val="22"/>
                <w:szCs w:val="22"/>
              </w:rPr>
            </w:pPr>
            <w:r>
              <w:rPr>
                <w:b/>
                <w:bCs/>
                <w:color w:val="000000"/>
                <w:sz w:val="22"/>
                <w:szCs w:val="22"/>
              </w:rPr>
              <w:t>14.000.000</w:t>
            </w:r>
          </w:p>
        </w:tc>
        <w:tc>
          <w:tcPr>
            <w:tcW w:w="402" w:type="pct"/>
            <w:noWrap/>
            <w:vAlign w:val="center"/>
          </w:tcPr>
          <w:p w14:paraId="212770E6">
            <w:pPr>
              <w:jc w:val="center"/>
              <w:rPr>
                <w:color w:val="000000"/>
                <w:sz w:val="22"/>
                <w:szCs w:val="22"/>
              </w:rPr>
            </w:pPr>
          </w:p>
        </w:tc>
        <w:tc>
          <w:tcPr>
            <w:tcW w:w="402" w:type="pct"/>
            <w:noWrap/>
            <w:vAlign w:val="center"/>
          </w:tcPr>
          <w:p w14:paraId="0122DEEE">
            <w:pPr>
              <w:jc w:val="center"/>
              <w:rPr>
                <w:color w:val="000000"/>
                <w:sz w:val="22"/>
                <w:szCs w:val="22"/>
              </w:rPr>
            </w:pPr>
          </w:p>
        </w:tc>
        <w:tc>
          <w:tcPr>
            <w:tcW w:w="402" w:type="pct"/>
            <w:noWrap/>
            <w:vAlign w:val="center"/>
          </w:tcPr>
          <w:p w14:paraId="31CF0CDB">
            <w:pPr>
              <w:jc w:val="center"/>
              <w:rPr>
                <w:color w:val="000000"/>
                <w:sz w:val="22"/>
                <w:szCs w:val="22"/>
              </w:rPr>
            </w:pPr>
          </w:p>
        </w:tc>
        <w:tc>
          <w:tcPr>
            <w:tcW w:w="402" w:type="pct"/>
            <w:noWrap/>
            <w:vAlign w:val="center"/>
          </w:tcPr>
          <w:p w14:paraId="6F2CF078">
            <w:pPr>
              <w:jc w:val="center"/>
              <w:rPr>
                <w:color w:val="000000"/>
                <w:sz w:val="22"/>
                <w:szCs w:val="22"/>
              </w:rPr>
            </w:pPr>
          </w:p>
        </w:tc>
        <w:tc>
          <w:tcPr>
            <w:tcW w:w="421" w:type="pct"/>
            <w:noWrap/>
            <w:vAlign w:val="center"/>
          </w:tcPr>
          <w:p w14:paraId="2A1218CE">
            <w:pPr>
              <w:jc w:val="center"/>
              <w:rPr>
                <w:color w:val="000000"/>
                <w:sz w:val="22"/>
                <w:szCs w:val="22"/>
              </w:rPr>
            </w:pPr>
          </w:p>
        </w:tc>
        <w:tc>
          <w:tcPr>
            <w:tcW w:w="421" w:type="pct"/>
            <w:noWrap/>
            <w:vAlign w:val="center"/>
          </w:tcPr>
          <w:p w14:paraId="134E539B">
            <w:pPr>
              <w:jc w:val="center"/>
              <w:rPr>
                <w:b/>
                <w:bCs/>
                <w:color w:val="000000"/>
                <w:sz w:val="22"/>
                <w:szCs w:val="22"/>
              </w:rPr>
            </w:pPr>
            <w:r>
              <w:rPr>
                <w:b/>
                <w:bCs/>
                <w:color w:val="000000"/>
                <w:sz w:val="22"/>
                <w:szCs w:val="22"/>
              </w:rPr>
              <w:t>Phụ lục 09</w:t>
            </w:r>
          </w:p>
        </w:tc>
      </w:tr>
      <w:tr w14:paraId="4643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36F54021">
            <w:pPr>
              <w:jc w:val="center"/>
              <w:rPr>
                <w:b/>
                <w:bCs/>
                <w:color w:val="000000"/>
                <w:sz w:val="22"/>
                <w:szCs w:val="22"/>
              </w:rPr>
            </w:pPr>
            <w:r>
              <w:rPr>
                <w:b/>
                <w:bCs/>
                <w:color w:val="000000"/>
                <w:sz w:val="22"/>
                <w:szCs w:val="22"/>
              </w:rPr>
              <w:t> </w:t>
            </w:r>
          </w:p>
        </w:tc>
        <w:tc>
          <w:tcPr>
            <w:tcW w:w="1536" w:type="pct"/>
          </w:tcPr>
          <w:p w14:paraId="79AA084D">
            <w:pPr>
              <w:rPr>
                <w:color w:val="000000"/>
                <w:sz w:val="22"/>
                <w:szCs w:val="22"/>
              </w:rPr>
            </w:pPr>
            <w:r>
              <w:rPr>
                <w:color w:val="000000"/>
                <w:sz w:val="22"/>
                <w:szCs w:val="22"/>
              </w:rPr>
              <w:t>Tiếp giáp Hai mặt tiền</w:t>
            </w:r>
          </w:p>
        </w:tc>
        <w:tc>
          <w:tcPr>
            <w:tcW w:w="402" w:type="pct"/>
            <w:noWrap/>
            <w:vAlign w:val="center"/>
          </w:tcPr>
          <w:p w14:paraId="0B0D7BC5">
            <w:pPr>
              <w:jc w:val="center"/>
              <w:rPr>
                <w:color w:val="000000"/>
                <w:sz w:val="22"/>
                <w:szCs w:val="22"/>
              </w:rPr>
            </w:pPr>
            <w:r>
              <w:rPr>
                <w:color w:val="000000"/>
                <w:sz w:val="22"/>
                <w:szCs w:val="22"/>
              </w:rPr>
              <w:t>26.680.000</w:t>
            </w:r>
          </w:p>
        </w:tc>
        <w:tc>
          <w:tcPr>
            <w:tcW w:w="402" w:type="pct"/>
            <w:noWrap/>
            <w:vAlign w:val="center"/>
          </w:tcPr>
          <w:p w14:paraId="1F51E98B">
            <w:pPr>
              <w:jc w:val="center"/>
              <w:rPr>
                <w:color w:val="000000"/>
                <w:sz w:val="22"/>
                <w:szCs w:val="22"/>
              </w:rPr>
            </w:pPr>
          </w:p>
        </w:tc>
        <w:tc>
          <w:tcPr>
            <w:tcW w:w="402" w:type="pct"/>
            <w:noWrap/>
            <w:vAlign w:val="center"/>
          </w:tcPr>
          <w:p w14:paraId="24793D15">
            <w:pPr>
              <w:jc w:val="center"/>
              <w:rPr>
                <w:color w:val="000000"/>
                <w:sz w:val="22"/>
                <w:szCs w:val="22"/>
              </w:rPr>
            </w:pPr>
          </w:p>
        </w:tc>
        <w:tc>
          <w:tcPr>
            <w:tcW w:w="402" w:type="pct"/>
            <w:noWrap/>
            <w:vAlign w:val="center"/>
          </w:tcPr>
          <w:p w14:paraId="5A292253">
            <w:pPr>
              <w:jc w:val="center"/>
              <w:rPr>
                <w:color w:val="000000"/>
                <w:sz w:val="22"/>
                <w:szCs w:val="22"/>
              </w:rPr>
            </w:pPr>
          </w:p>
        </w:tc>
        <w:tc>
          <w:tcPr>
            <w:tcW w:w="402" w:type="pct"/>
            <w:noWrap/>
            <w:vAlign w:val="center"/>
          </w:tcPr>
          <w:p w14:paraId="77169FDE">
            <w:pPr>
              <w:jc w:val="center"/>
              <w:rPr>
                <w:color w:val="000000"/>
                <w:sz w:val="22"/>
                <w:szCs w:val="22"/>
              </w:rPr>
            </w:pPr>
          </w:p>
        </w:tc>
        <w:tc>
          <w:tcPr>
            <w:tcW w:w="402" w:type="pct"/>
            <w:noWrap/>
            <w:vAlign w:val="center"/>
          </w:tcPr>
          <w:p w14:paraId="3A00000F">
            <w:pPr>
              <w:jc w:val="center"/>
              <w:rPr>
                <w:color w:val="000000"/>
                <w:sz w:val="22"/>
                <w:szCs w:val="22"/>
              </w:rPr>
            </w:pPr>
          </w:p>
        </w:tc>
        <w:tc>
          <w:tcPr>
            <w:tcW w:w="421" w:type="pct"/>
            <w:noWrap/>
            <w:vAlign w:val="center"/>
          </w:tcPr>
          <w:p w14:paraId="2D0F1565">
            <w:pPr>
              <w:jc w:val="center"/>
              <w:rPr>
                <w:color w:val="000000"/>
                <w:sz w:val="22"/>
                <w:szCs w:val="22"/>
              </w:rPr>
            </w:pPr>
          </w:p>
        </w:tc>
        <w:tc>
          <w:tcPr>
            <w:tcW w:w="421" w:type="pct"/>
            <w:noWrap/>
            <w:vAlign w:val="center"/>
          </w:tcPr>
          <w:p w14:paraId="36B48448">
            <w:pPr>
              <w:jc w:val="center"/>
              <w:rPr>
                <w:color w:val="000000"/>
                <w:sz w:val="22"/>
                <w:szCs w:val="22"/>
              </w:rPr>
            </w:pPr>
          </w:p>
        </w:tc>
      </w:tr>
      <w:tr w14:paraId="70C3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27B83F81">
            <w:pPr>
              <w:jc w:val="center"/>
              <w:rPr>
                <w:b/>
                <w:bCs/>
                <w:color w:val="000000"/>
                <w:sz w:val="22"/>
                <w:szCs w:val="22"/>
              </w:rPr>
            </w:pPr>
            <w:r>
              <w:rPr>
                <w:b/>
                <w:bCs/>
                <w:color w:val="000000"/>
                <w:sz w:val="22"/>
                <w:szCs w:val="22"/>
              </w:rPr>
              <w:t> </w:t>
            </w:r>
          </w:p>
        </w:tc>
        <w:tc>
          <w:tcPr>
            <w:tcW w:w="1536" w:type="pct"/>
          </w:tcPr>
          <w:p w14:paraId="6268FAEC">
            <w:pPr>
              <w:rPr>
                <w:color w:val="000000"/>
                <w:sz w:val="22"/>
                <w:szCs w:val="22"/>
              </w:rPr>
            </w:pPr>
            <w:r>
              <w:rPr>
                <w:color w:val="000000"/>
                <w:sz w:val="22"/>
                <w:szCs w:val="22"/>
              </w:rPr>
              <w:t>Tiếp giáp Hai mặt tiền, đối diện/tiếp giáp cây xanh - mặt nước</w:t>
            </w:r>
          </w:p>
        </w:tc>
        <w:tc>
          <w:tcPr>
            <w:tcW w:w="402" w:type="pct"/>
            <w:noWrap/>
            <w:vAlign w:val="center"/>
          </w:tcPr>
          <w:p w14:paraId="706F1F60">
            <w:pPr>
              <w:jc w:val="center"/>
              <w:rPr>
                <w:color w:val="000000"/>
                <w:sz w:val="22"/>
                <w:szCs w:val="22"/>
              </w:rPr>
            </w:pPr>
            <w:r>
              <w:rPr>
                <w:color w:val="000000"/>
                <w:sz w:val="22"/>
                <w:szCs w:val="22"/>
              </w:rPr>
              <w:t>27.840.000</w:t>
            </w:r>
          </w:p>
        </w:tc>
        <w:tc>
          <w:tcPr>
            <w:tcW w:w="402" w:type="pct"/>
            <w:noWrap/>
            <w:vAlign w:val="center"/>
          </w:tcPr>
          <w:p w14:paraId="72139870">
            <w:pPr>
              <w:jc w:val="center"/>
              <w:rPr>
                <w:color w:val="000000"/>
                <w:sz w:val="22"/>
                <w:szCs w:val="22"/>
              </w:rPr>
            </w:pPr>
            <w:r>
              <w:rPr>
                <w:color w:val="000000"/>
                <w:sz w:val="22"/>
                <w:szCs w:val="22"/>
              </w:rPr>
              <w:t>16.100.000</w:t>
            </w:r>
          </w:p>
        </w:tc>
        <w:tc>
          <w:tcPr>
            <w:tcW w:w="402" w:type="pct"/>
            <w:noWrap/>
            <w:vAlign w:val="center"/>
          </w:tcPr>
          <w:p w14:paraId="74CBF68C">
            <w:pPr>
              <w:jc w:val="center"/>
              <w:rPr>
                <w:color w:val="000000"/>
                <w:sz w:val="22"/>
                <w:szCs w:val="22"/>
              </w:rPr>
            </w:pPr>
          </w:p>
        </w:tc>
        <w:tc>
          <w:tcPr>
            <w:tcW w:w="402" w:type="pct"/>
            <w:noWrap/>
            <w:vAlign w:val="center"/>
          </w:tcPr>
          <w:p w14:paraId="4FBE4E6C">
            <w:pPr>
              <w:jc w:val="center"/>
              <w:rPr>
                <w:color w:val="000000"/>
                <w:sz w:val="22"/>
                <w:szCs w:val="22"/>
              </w:rPr>
            </w:pPr>
            <w:r>
              <w:rPr>
                <w:color w:val="000000"/>
                <w:sz w:val="22"/>
                <w:szCs w:val="22"/>
              </w:rPr>
              <w:t>12.579.000</w:t>
            </w:r>
          </w:p>
        </w:tc>
        <w:tc>
          <w:tcPr>
            <w:tcW w:w="402" w:type="pct"/>
            <w:noWrap/>
            <w:vAlign w:val="center"/>
          </w:tcPr>
          <w:p w14:paraId="52D35EEC">
            <w:pPr>
              <w:jc w:val="center"/>
              <w:rPr>
                <w:color w:val="000000"/>
                <w:sz w:val="22"/>
                <w:szCs w:val="22"/>
              </w:rPr>
            </w:pPr>
          </w:p>
        </w:tc>
        <w:tc>
          <w:tcPr>
            <w:tcW w:w="402" w:type="pct"/>
            <w:noWrap/>
            <w:vAlign w:val="center"/>
          </w:tcPr>
          <w:p w14:paraId="11ED6DD6">
            <w:pPr>
              <w:jc w:val="center"/>
              <w:rPr>
                <w:color w:val="000000"/>
                <w:sz w:val="22"/>
                <w:szCs w:val="22"/>
              </w:rPr>
            </w:pPr>
            <w:r>
              <w:rPr>
                <w:color w:val="000000"/>
                <w:sz w:val="22"/>
                <w:szCs w:val="22"/>
              </w:rPr>
              <w:t>28.679.000</w:t>
            </w:r>
          </w:p>
        </w:tc>
        <w:tc>
          <w:tcPr>
            <w:tcW w:w="421" w:type="pct"/>
            <w:noWrap/>
            <w:vAlign w:val="center"/>
          </w:tcPr>
          <w:p w14:paraId="5C9B6602">
            <w:pPr>
              <w:jc w:val="center"/>
              <w:rPr>
                <w:color w:val="000000"/>
                <w:sz w:val="22"/>
                <w:szCs w:val="22"/>
              </w:rPr>
            </w:pPr>
          </w:p>
        </w:tc>
        <w:tc>
          <w:tcPr>
            <w:tcW w:w="421" w:type="pct"/>
            <w:noWrap/>
            <w:vAlign w:val="center"/>
          </w:tcPr>
          <w:p w14:paraId="50A54E91">
            <w:pPr>
              <w:jc w:val="center"/>
              <w:rPr>
                <w:color w:val="000000"/>
                <w:sz w:val="22"/>
                <w:szCs w:val="22"/>
              </w:rPr>
            </w:pPr>
          </w:p>
        </w:tc>
      </w:tr>
      <w:tr w14:paraId="2C98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25FA67C9">
            <w:pPr>
              <w:jc w:val="center"/>
              <w:rPr>
                <w:b/>
                <w:bCs/>
                <w:color w:val="000000"/>
                <w:sz w:val="22"/>
                <w:szCs w:val="22"/>
              </w:rPr>
            </w:pPr>
            <w:r>
              <w:rPr>
                <w:b/>
                <w:bCs/>
                <w:color w:val="000000"/>
                <w:sz w:val="22"/>
                <w:szCs w:val="22"/>
              </w:rPr>
              <w:t>3</w:t>
            </w:r>
          </w:p>
        </w:tc>
        <w:tc>
          <w:tcPr>
            <w:tcW w:w="1536" w:type="pct"/>
          </w:tcPr>
          <w:p w14:paraId="126C40CC">
            <w:pPr>
              <w:rPr>
                <w:b/>
                <w:bCs/>
                <w:color w:val="000000"/>
                <w:sz w:val="22"/>
                <w:szCs w:val="22"/>
              </w:rPr>
            </w:pPr>
            <w:r>
              <w:rPr>
                <w:b/>
                <w:bCs/>
                <w:color w:val="000000"/>
                <w:sz w:val="22"/>
                <w:szCs w:val="22"/>
              </w:rPr>
              <w:t>Mặt cắt 1-1 (Trục chính): rộng 31m lòng đường rộng 17m, dải phân cách rộng 2m, vỉa hè 2 bên rộng 6m+6m</w:t>
            </w:r>
          </w:p>
        </w:tc>
        <w:tc>
          <w:tcPr>
            <w:tcW w:w="402" w:type="pct"/>
            <w:noWrap/>
            <w:vAlign w:val="center"/>
          </w:tcPr>
          <w:p w14:paraId="5DFE7D1E">
            <w:pPr>
              <w:jc w:val="center"/>
              <w:rPr>
                <w:b/>
                <w:bCs/>
                <w:color w:val="000000"/>
                <w:sz w:val="22"/>
                <w:szCs w:val="22"/>
              </w:rPr>
            </w:pPr>
          </w:p>
        </w:tc>
        <w:tc>
          <w:tcPr>
            <w:tcW w:w="402" w:type="pct"/>
            <w:noWrap/>
            <w:vAlign w:val="center"/>
          </w:tcPr>
          <w:p w14:paraId="0712CBC8">
            <w:pPr>
              <w:jc w:val="center"/>
              <w:rPr>
                <w:b/>
                <w:bCs/>
                <w:color w:val="000000"/>
                <w:sz w:val="22"/>
                <w:szCs w:val="22"/>
              </w:rPr>
            </w:pPr>
          </w:p>
        </w:tc>
        <w:tc>
          <w:tcPr>
            <w:tcW w:w="402" w:type="pct"/>
            <w:noWrap/>
            <w:vAlign w:val="center"/>
          </w:tcPr>
          <w:p w14:paraId="77207000">
            <w:pPr>
              <w:jc w:val="center"/>
              <w:rPr>
                <w:color w:val="000000"/>
                <w:sz w:val="22"/>
                <w:szCs w:val="22"/>
              </w:rPr>
            </w:pPr>
          </w:p>
        </w:tc>
        <w:tc>
          <w:tcPr>
            <w:tcW w:w="402" w:type="pct"/>
            <w:noWrap/>
            <w:vAlign w:val="center"/>
          </w:tcPr>
          <w:p w14:paraId="3275A09E">
            <w:pPr>
              <w:jc w:val="center"/>
              <w:rPr>
                <w:color w:val="000000"/>
                <w:sz w:val="22"/>
                <w:szCs w:val="22"/>
              </w:rPr>
            </w:pPr>
          </w:p>
        </w:tc>
        <w:tc>
          <w:tcPr>
            <w:tcW w:w="402" w:type="pct"/>
            <w:noWrap/>
            <w:vAlign w:val="center"/>
          </w:tcPr>
          <w:p w14:paraId="659FA789">
            <w:pPr>
              <w:jc w:val="center"/>
              <w:rPr>
                <w:color w:val="000000"/>
                <w:sz w:val="22"/>
                <w:szCs w:val="22"/>
              </w:rPr>
            </w:pPr>
          </w:p>
        </w:tc>
        <w:tc>
          <w:tcPr>
            <w:tcW w:w="402" w:type="pct"/>
            <w:noWrap/>
            <w:vAlign w:val="center"/>
          </w:tcPr>
          <w:p w14:paraId="38EB2051">
            <w:pPr>
              <w:jc w:val="center"/>
              <w:rPr>
                <w:color w:val="000000"/>
                <w:sz w:val="22"/>
                <w:szCs w:val="22"/>
              </w:rPr>
            </w:pPr>
          </w:p>
        </w:tc>
        <w:tc>
          <w:tcPr>
            <w:tcW w:w="421" w:type="pct"/>
            <w:noWrap/>
            <w:vAlign w:val="center"/>
          </w:tcPr>
          <w:p w14:paraId="2F438C55">
            <w:pPr>
              <w:jc w:val="center"/>
              <w:rPr>
                <w:b/>
                <w:bCs/>
                <w:color w:val="000000"/>
                <w:sz w:val="22"/>
                <w:szCs w:val="22"/>
              </w:rPr>
            </w:pPr>
          </w:p>
        </w:tc>
        <w:tc>
          <w:tcPr>
            <w:tcW w:w="421" w:type="pct"/>
            <w:noWrap/>
            <w:vAlign w:val="center"/>
          </w:tcPr>
          <w:p w14:paraId="4D6B689A">
            <w:pPr>
              <w:jc w:val="center"/>
              <w:rPr>
                <w:b/>
                <w:bCs/>
                <w:color w:val="000000"/>
                <w:sz w:val="22"/>
                <w:szCs w:val="22"/>
              </w:rPr>
            </w:pPr>
          </w:p>
        </w:tc>
      </w:tr>
      <w:tr w14:paraId="6DE8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7B09A01A">
            <w:pPr>
              <w:jc w:val="center"/>
              <w:rPr>
                <w:color w:val="000000"/>
                <w:sz w:val="22"/>
                <w:szCs w:val="22"/>
              </w:rPr>
            </w:pPr>
            <w:r>
              <w:rPr>
                <w:color w:val="000000"/>
                <w:sz w:val="22"/>
                <w:szCs w:val="22"/>
              </w:rPr>
              <w:t> </w:t>
            </w:r>
          </w:p>
        </w:tc>
        <w:tc>
          <w:tcPr>
            <w:tcW w:w="1536" w:type="pct"/>
          </w:tcPr>
          <w:p w14:paraId="3B4FEDD2">
            <w:pPr>
              <w:rPr>
                <w:color w:val="000000"/>
                <w:sz w:val="22"/>
                <w:szCs w:val="22"/>
              </w:rPr>
            </w:pPr>
            <w:r>
              <w:rPr>
                <w:color w:val="000000"/>
                <w:sz w:val="22"/>
                <w:szCs w:val="22"/>
              </w:rPr>
              <w:t>Tiếp giáp Một mặt tiền</w:t>
            </w:r>
          </w:p>
        </w:tc>
        <w:tc>
          <w:tcPr>
            <w:tcW w:w="402" w:type="pct"/>
            <w:noWrap/>
            <w:vAlign w:val="center"/>
          </w:tcPr>
          <w:p w14:paraId="04636C2E">
            <w:pPr>
              <w:jc w:val="center"/>
              <w:rPr>
                <w:color w:val="000000"/>
                <w:sz w:val="22"/>
                <w:szCs w:val="22"/>
              </w:rPr>
            </w:pPr>
            <w:r>
              <w:rPr>
                <w:color w:val="000000"/>
                <w:sz w:val="22"/>
                <w:szCs w:val="22"/>
              </w:rPr>
              <w:t>11.800.000</w:t>
            </w:r>
          </w:p>
        </w:tc>
        <w:tc>
          <w:tcPr>
            <w:tcW w:w="402" w:type="pct"/>
            <w:noWrap/>
            <w:vAlign w:val="center"/>
          </w:tcPr>
          <w:p w14:paraId="7539E0D9">
            <w:pPr>
              <w:jc w:val="center"/>
              <w:rPr>
                <w:color w:val="000000"/>
                <w:sz w:val="22"/>
                <w:szCs w:val="22"/>
              </w:rPr>
            </w:pPr>
          </w:p>
        </w:tc>
        <w:tc>
          <w:tcPr>
            <w:tcW w:w="402" w:type="pct"/>
            <w:noWrap/>
            <w:vAlign w:val="center"/>
          </w:tcPr>
          <w:p w14:paraId="4873D141">
            <w:pPr>
              <w:jc w:val="center"/>
              <w:rPr>
                <w:color w:val="000000"/>
                <w:sz w:val="22"/>
                <w:szCs w:val="22"/>
              </w:rPr>
            </w:pPr>
            <w:r>
              <w:rPr>
                <w:color w:val="000000"/>
                <w:sz w:val="22"/>
                <w:szCs w:val="22"/>
              </w:rPr>
              <w:t>12.579.000</w:t>
            </w:r>
          </w:p>
        </w:tc>
        <w:tc>
          <w:tcPr>
            <w:tcW w:w="402" w:type="pct"/>
            <w:noWrap/>
            <w:vAlign w:val="center"/>
          </w:tcPr>
          <w:p w14:paraId="1E2F7E29">
            <w:pPr>
              <w:jc w:val="center"/>
              <w:rPr>
                <w:color w:val="000000"/>
                <w:sz w:val="22"/>
                <w:szCs w:val="22"/>
              </w:rPr>
            </w:pPr>
          </w:p>
        </w:tc>
        <w:tc>
          <w:tcPr>
            <w:tcW w:w="402" w:type="pct"/>
            <w:noWrap/>
            <w:vAlign w:val="center"/>
          </w:tcPr>
          <w:p w14:paraId="1F07B2AE">
            <w:pPr>
              <w:jc w:val="center"/>
              <w:rPr>
                <w:color w:val="000000"/>
                <w:sz w:val="22"/>
                <w:szCs w:val="22"/>
              </w:rPr>
            </w:pPr>
            <w:r>
              <w:rPr>
                <w:color w:val="000000"/>
                <w:sz w:val="22"/>
                <w:szCs w:val="22"/>
              </w:rPr>
              <w:t>24.379.000</w:t>
            </w:r>
          </w:p>
        </w:tc>
        <w:tc>
          <w:tcPr>
            <w:tcW w:w="402" w:type="pct"/>
            <w:noWrap/>
            <w:vAlign w:val="center"/>
          </w:tcPr>
          <w:p w14:paraId="055E7124">
            <w:pPr>
              <w:jc w:val="center"/>
              <w:rPr>
                <w:color w:val="000000"/>
                <w:sz w:val="22"/>
                <w:szCs w:val="22"/>
              </w:rPr>
            </w:pPr>
          </w:p>
        </w:tc>
        <w:tc>
          <w:tcPr>
            <w:tcW w:w="421" w:type="pct"/>
            <w:noWrap/>
            <w:vAlign w:val="center"/>
          </w:tcPr>
          <w:p w14:paraId="132720D6">
            <w:pPr>
              <w:jc w:val="center"/>
              <w:rPr>
                <w:b/>
                <w:bCs/>
                <w:color w:val="000000"/>
                <w:sz w:val="22"/>
                <w:szCs w:val="22"/>
              </w:rPr>
            </w:pPr>
            <w:r>
              <w:rPr>
                <w:b/>
                <w:bCs/>
                <w:color w:val="000000"/>
                <w:sz w:val="22"/>
                <w:szCs w:val="22"/>
              </w:rPr>
              <w:t>Phụ lục 03</w:t>
            </w:r>
          </w:p>
        </w:tc>
        <w:tc>
          <w:tcPr>
            <w:tcW w:w="421" w:type="pct"/>
            <w:noWrap/>
            <w:vAlign w:val="center"/>
          </w:tcPr>
          <w:p w14:paraId="5F237267">
            <w:pPr>
              <w:jc w:val="center"/>
              <w:rPr>
                <w:color w:val="000000"/>
                <w:sz w:val="22"/>
                <w:szCs w:val="22"/>
              </w:rPr>
            </w:pPr>
          </w:p>
        </w:tc>
      </w:tr>
      <w:tr w14:paraId="12E8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178A2A9A">
            <w:pPr>
              <w:jc w:val="center"/>
              <w:rPr>
                <w:color w:val="000000"/>
                <w:sz w:val="22"/>
                <w:szCs w:val="22"/>
              </w:rPr>
            </w:pPr>
            <w:r>
              <w:rPr>
                <w:color w:val="000000"/>
                <w:sz w:val="22"/>
                <w:szCs w:val="22"/>
              </w:rPr>
              <w:t> </w:t>
            </w:r>
          </w:p>
        </w:tc>
        <w:tc>
          <w:tcPr>
            <w:tcW w:w="1536" w:type="pct"/>
          </w:tcPr>
          <w:p w14:paraId="2A911975">
            <w:pPr>
              <w:rPr>
                <w:color w:val="000000"/>
                <w:sz w:val="22"/>
                <w:szCs w:val="22"/>
              </w:rPr>
            </w:pPr>
            <w:r>
              <w:rPr>
                <w:color w:val="000000"/>
                <w:sz w:val="22"/>
                <w:szCs w:val="22"/>
              </w:rPr>
              <w:t>Tiếp giáp Một mặt tiền, đối diện/tiếp giáp cây xanh - mặt nước</w:t>
            </w:r>
          </w:p>
        </w:tc>
        <w:tc>
          <w:tcPr>
            <w:tcW w:w="402" w:type="pct"/>
            <w:noWrap/>
            <w:vAlign w:val="center"/>
          </w:tcPr>
          <w:p w14:paraId="1B8A6A3C">
            <w:pPr>
              <w:jc w:val="center"/>
              <w:rPr>
                <w:color w:val="000000"/>
                <w:sz w:val="22"/>
                <w:szCs w:val="22"/>
              </w:rPr>
            </w:pPr>
            <w:r>
              <w:rPr>
                <w:color w:val="000000"/>
                <w:sz w:val="22"/>
                <w:szCs w:val="22"/>
              </w:rPr>
              <w:t>12.390.000</w:t>
            </w:r>
          </w:p>
        </w:tc>
        <w:tc>
          <w:tcPr>
            <w:tcW w:w="402" w:type="pct"/>
            <w:noWrap/>
            <w:vAlign w:val="center"/>
          </w:tcPr>
          <w:p w14:paraId="281A3346">
            <w:pPr>
              <w:jc w:val="center"/>
              <w:rPr>
                <w:b/>
                <w:bCs/>
                <w:color w:val="000000"/>
                <w:sz w:val="22"/>
                <w:szCs w:val="22"/>
              </w:rPr>
            </w:pPr>
          </w:p>
        </w:tc>
        <w:tc>
          <w:tcPr>
            <w:tcW w:w="402" w:type="pct"/>
            <w:noWrap/>
            <w:vAlign w:val="center"/>
          </w:tcPr>
          <w:p w14:paraId="102DD61B">
            <w:pPr>
              <w:jc w:val="center"/>
              <w:rPr>
                <w:color w:val="000000"/>
                <w:sz w:val="22"/>
                <w:szCs w:val="22"/>
              </w:rPr>
            </w:pPr>
            <w:r>
              <w:rPr>
                <w:color w:val="000000"/>
                <w:sz w:val="22"/>
                <w:szCs w:val="22"/>
              </w:rPr>
              <w:t>12.579.000</w:t>
            </w:r>
          </w:p>
        </w:tc>
        <w:tc>
          <w:tcPr>
            <w:tcW w:w="402" w:type="pct"/>
            <w:noWrap/>
            <w:vAlign w:val="center"/>
          </w:tcPr>
          <w:p w14:paraId="497B7CD6">
            <w:pPr>
              <w:jc w:val="center"/>
              <w:rPr>
                <w:b/>
                <w:bCs/>
                <w:color w:val="000000"/>
                <w:sz w:val="22"/>
                <w:szCs w:val="22"/>
              </w:rPr>
            </w:pPr>
          </w:p>
        </w:tc>
        <w:tc>
          <w:tcPr>
            <w:tcW w:w="402" w:type="pct"/>
            <w:noWrap/>
            <w:vAlign w:val="center"/>
          </w:tcPr>
          <w:p w14:paraId="2170EBF8">
            <w:pPr>
              <w:jc w:val="center"/>
              <w:rPr>
                <w:color w:val="000000"/>
                <w:sz w:val="22"/>
                <w:szCs w:val="22"/>
              </w:rPr>
            </w:pPr>
            <w:r>
              <w:rPr>
                <w:color w:val="000000"/>
                <w:sz w:val="22"/>
                <w:szCs w:val="22"/>
              </w:rPr>
              <w:t>24.969.000</w:t>
            </w:r>
          </w:p>
        </w:tc>
        <w:tc>
          <w:tcPr>
            <w:tcW w:w="402" w:type="pct"/>
            <w:noWrap/>
            <w:vAlign w:val="center"/>
          </w:tcPr>
          <w:p w14:paraId="041954DA">
            <w:pPr>
              <w:jc w:val="center"/>
              <w:rPr>
                <w:b/>
                <w:bCs/>
                <w:color w:val="000000"/>
                <w:sz w:val="22"/>
                <w:szCs w:val="22"/>
              </w:rPr>
            </w:pPr>
          </w:p>
        </w:tc>
        <w:tc>
          <w:tcPr>
            <w:tcW w:w="421" w:type="pct"/>
            <w:noWrap/>
            <w:vAlign w:val="center"/>
          </w:tcPr>
          <w:p w14:paraId="5AD8D4CF">
            <w:pPr>
              <w:jc w:val="center"/>
              <w:rPr>
                <w:b/>
                <w:bCs/>
                <w:color w:val="000000"/>
                <w:sz w:val="22"/>
                <w:szCs w:val="22"/>
              </w:rPr>
            </w:pPr>
          </w:p>
        </w:tc>
        <w:tc>
          <w:tcPr>
            <w:tcW w:w="421" w:type="pct"/>
            <w:noWrap/>
            <w:vAlign w:val="center"/>
          </w:tcPr>
          <w:p w14:paraId="4B68EA15">
            <w:pPr>
              <w:jc w:val="center"/>
              <w:rPr>
                <w:b/>
                <w:bCs/>
                <w:color w:val="000000"/>
                <w:sz w:val="22"/>
                <w:szCs w:val="22"/>
              </w:rPr>
            </w:pPr>
          </w:p>
        </w:tc>
      </w:tr>
      <w:tr w14:paraId="0A29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0F1E1373">
            <w:pPr>
              <w:jc w:val="center"/>
              <w:rPr>
                <w:color w:val="000000"/>
                <w:sz w:val="22"/>
                <w:szCs w:val="22"/>
              </w:rPr>
            </w:pPr>
            <w:r>
              <w:rPr>
                <w:color w:val="000000"/>
                <w:sz w:val="22"/>
                <w:szCs w:val="22"/>
              </w:rPr>
              <w:t> </w:t>
            </w:r>
          </w:p>
        </w:tc>
        <w:tc>
          <w:tcPr>
            <w:tcW w:w="1536" w:type="pct"/>
          </w:tcPr>
          <w:p w14:paraId="0FDCEDDC">
            <w:pPr>
              <w:rPr>
                <w:color w:val="000000"/>
                <w:sz w:val="22"/>
                <w:szCs w:val="22"/>
              </w:rPr>
            </w:pPr>
            <w:r>
              <w:rPr>
                <w:color w:val="000000"/>
                <w:sz w:val="22"/>
                <w:szCs w:val="22"/>
              </w:rPr>
              <w:t>Tiếp giáp Hai mặt tiền</w:t>
            </w:r>
          </w:p>
        </w:tc>
        <w:tc>
          <w:tcPr>
            <w:tcW w:w="402" w:type="pct"/>
            <w:noWrap/>
            <w:vAlign w:val="center"/>
          </w:tcPr>
          <w:p w14:paraId="299DC48D">
            <w:pPr>
              <w:jc w:val="center"/>
              <w:rPr>
                <w:color w:val="000000"/>
                <w:sz w:val="22"/>
                <w:szCs w:val="22"/>
              </w:rPr>
            </w:pPr>
            <w:r>
              <w:rPr>
                <w:color w:val="000000"/>
                <w:sz w:val="22"/>
                <w:szCs w:val="22"/>
              </w:rPr>
              <w:t>13.570.000</w:t>
            </w:r>
          </w:p>
        </w:tc>
        <w:tc>
          <w:tcPr>
            <w:tcW w:w="402" w:type="pct"/>
            <w:noWrap/>
            <w:vAlign w:val="center"/>
          </w:tcPr>
          <w:p w14:paraId="248A0E78">
            <w:pPr>
              <w:jc w:val="center"/>
              <w:rPr>
                <w:b/>
                <w:bCs/>
                <w:color w:val="000000"/>
                <w:sz w:val="22"/>
                <w:szCs w:val="22"/>
              </w:rPr>
            </w:pPr>
          </w:p>
        </w:tc>
        <w:tc>
          <w:tcPr>
            <w:tcW w:w="402" w:type="pct"/>
            <w:noWrap/>
            <w:vAlign w:val="center"/>
          </w:tcPr>
          <w:p w14:paraId="5F59E2BD">
            <w:pPr>
              <w:jc w:val="center"/>
              <w:rPr>
                <w:color w:val="000000"/>
                <w:sz w:val="22"/>
                <w:szCs w:val="22"/>
              </w:rPr>
            </w:pPr>
            <w:r>
              <w:rPr>
                <w:color w:val="000000"/>
                <w:sz w:val="22"/>
                <w:szCs w:val="22"/>
              </w:rPr>
              <w:t>12.579.000</w:t>
            </w:r>
          </w:p>
        </w:tc>
        <w:tc>
          <w:tcPr>
            <w:tcW w:w="402" w:type="pct"/>
            <w:noWrap/>
            <w:vAlign w:val="center"/>
          </w:tcPr>
          <w:p w14:paraId="165C6200">
            <w:pPr>
              <w:jc w:val="center"/>
              <w:rPr>
                <w:color w:val="000000"/>
                <w:sz w:val="22"/>
                <w:szCs w:val="22"/>
              </w:rPr>
            </w:pPr>
          </w:p>
        </w:tc>
        <w:tc>
          <w:tcPr>
            <w:tcW w:w="402" w:type="pct"/>
            <w:noWrap/>
            <w:vAlign w:val="center"/>
          </w:tcPr>
          <w:p w14:paraId="71285EB5">
            <w:pPr>
              <w:jc w:val="center"/>
              <w:rPr>
                <w:color w:val="000000"/>
                <w:sz w:val="22"/>
                <w:szCs w:val="22"/>
              </w:rPr>
            </w:pPr>
            <w:r>
              <w:rPr>
                <w:color w:val="000000"/>
                <w:sz w:val="22"/>
                <w:szCs w:val="22"/>
              </w:rPr>
              <w:t>26.149.000</w:t>
            </w:r>
          </w:p>
        </w:tc>
        <w:tc>
          <w:tcPr>
            <w:tcW w:w="402" w:type="pct"/>
            <w:noWrap/>
            <w:vAlign w:val="center"/>
          </w:tcPr>
          <w:p w14:paraId="34C63540">
            <w:pPr>
              <w:jc w:val="center"/>
              <w:rPr>
                <w:color w:val="000000"/>
                <w:sz w:val="22"/>
                <w:szCs w:val="22"/>
              </w:rPr>
            </w:pPr>
          </w:p>
        </w:tc>
        <w:tc>
          <w:tcPr>
            <w:tcW w:w="421" w:type="pct"/>
            <w:noWrap/>
            <w:vAlign w:val="center"/>
          </w:tcPr>
          <w:p w14:paraId="32F59684">
            <w:pPr>
              <w:jc w:val="center"/>
              <w:rPr>
                <w:b/>
                <w:bCs/>
                <w:color w:val="000000"/>
                <w:sz w:val="22"/>
                <w:szCs w:val="22"/>
              </w:rPr>
            </w:pPr>
          </w:p>
        </w:tc>
        <w:tc>
          <w:tcPr>
            <w:tcW w:w="421" w:type="pct"/>
            <w:noWrap/>
            <w:vAlign w:val="center"/>
          </w:tcPr>
          <w:p w14:paraId="129C1D9F">
            <w:pPr>
              <w:jc w:val="center"/>
              <w:rPr>
                <w:b/>
                <w:bCs/>
                <w:color w:val="000000"/>
                <w:sz w:val="22"/>
                <w:szCs w:val="22"/>
              </w:rPr>
            </w:pPr>
          </w:p>
        </w:tc>
      </w:tr>
      <w:tr w14:paraId="0FD6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675D636E">
            <w:pPr>
              <w:jc w:val="center"/>
              <w:rPr>
                <w:color w:val="000000"/>
                <w:sz w:val="22"/>
                <w:szCs w:val="22"/>
              </w:rPr>
            </w:pPr>
            <w:r>
              <w:rPr>
                <w:color w:val="000000"/>
                <w:sz w:val="22"/>
                <w:szCs w:val="22"/>
              </w:rPr>
              <w:t> </w:t>
            </w:r>
          </w:p>
        </w:tc>
        <w:tc>
          <w:tcPr>
            <w:tcW w:w="1536" w:type="pct"/>
          </w:tcPr>
          <w:p w14:paraId="04BC5CB0">
            <w:pPr>
              <w:rPr>
                <w:color w:val="000000"/>
                <w:sz w:val="22"/>
                <w:szCs w:val="22"/>
              </w:rPr>
            </w:pPr>
            <w:r>
              <w:rPr>
                <w:color w:val="000000"/>
                <w:sz w:val="22"/>
                <w:szCs w:val="22"/>
              </w:rPr>
              <w:t>Tiếp giáp Hai mặt tiền, đối diện/tiếp giáp cây xanh - mặt nước</w:t>
            </w:r>
          </w:p>
        </w:tc>
        <w:tc>
          <w:tcPr>
            <w:tcW w:w="402" w:type="pct"/>
            <w:noWrap/>
            <w:vAlign w:val="center"/>
          </w:tcPr>
          <w:p w14:paraId="493C8ABA">
            <w:pPr>
              <w:jc w:val="center"/>
              <w:rPr>
                <w:color w:val="000000"/>
                <w:sz w:val="22"/>
                <w:szCs w:val="22"/>
              </w:rPr>
            </w:pPr>
            <w:r>
              <w:rPr>
                <w:color w:val="000000"/>
                <w:sz w:val="22"/>
                <w:szCs w:val="22"/>
              </w:rPr>
              <w:t>14.160.000</w:t>
            </w:r>
          </w:p>
        </w:tc>
        <w:tc>
          <w:tcPr>
            <w:tcW w:w="402" w:type="pct"/>
            <w:noWrap/>
            <w:vAlign w:val="center"/>
          </w:tcPr>
          <w:p w14:paraId="32A2E3A7">
            <w:pPr>
              <w:jc w:val="center"/>
              <w:rPr>
                <w:color w:val="000000"/>
                <w:sz w:val="22"/>
                <w:szCs w:val="22"/>
              </w:rPr>
            </w:pPr>
          </w:p>
        </w:tc>
        <w:tc>
          <w:tcPr>
            <w:tcW w:w="402" w:type="pct"/>
            <w:noWrap/>
            <w:vAlign w:val="center"/>
          </w:tcPr>
          <w:p w14:paraId="2E044E98">
            <w:pPr>
              <w:jc w:val="center"/>
              <w:rPr>
                <w:color w:val="000000"/>
                <w:sz w:val="22"/>
                <w:szCs w:val="22"/>
              </w:rPr>
            </w:pPr>
            <w:r>
              <w:rPr>
                <w:color w:val="000000"/>
                <w:sz w:val="22"/>
                <w:szCs w:val="22"/>
              </w:rPr>
              <w:t>12.579.000</w:t>
            </w:r>
          </w:p>
        </w:tc>
        <w:tc>
          <w:tcPr>
            <w:tcW w:w="402" w:type="pct"/>
            <w:noWrap/>
            <w:vAlign w:val="center"/>
          </w:tcPr>
          <w:p w14:paraId="7647D749">
            <w:pPr>
              <w:jc w:val="center"/>
              <w:rPr>
                <w:color w:val="000000"/>
                <w:sz w:val="22"/>
                <w:szCs w:val="22"/>
              </w:rPr>
            </w:pPr>
          </w:p>
        </w:tc>
        <w:tc>
          <w:tcPr>
            <w:tcW w:w="402" w:type="pct"/>
            <w:noWrap/>
            <w:vAlign w:val="center"/>
          </w:tcPr>
          <w:p w14:paraId="3D1B02F5">
            <w:pPr>
              <w:jc w:val="center"/>
              <w:rPr>
                <w:color w:val="000000"/>
                <w:sz w:val="22"/>
                <w:szCs w:val="22"/>
              </w:rPr>
            </w:pPr>
            <w:r>
              <w:rPr>
                <w:color w:val="000000"/>
                <w:sz w:val="22"/>
                <w:szCs w:val="22"/>
              </w:rPr>
              <w:t>26.739.000</w:t>
            </w:r>
          </w:p>
        </w:tc>
        <w:tc>
          <w:tcPr>
            <w:tcW w:w="402" w:type="pct"/>
            <w:noWrap/>
            <w:vAlign w:val="center"/>
          </w:tcPr>
          <w:p w14:paraId="504D3929">
            <w:pPr>
              <w:jc w:val="center"/>
              <w:rPr>
                <w:color w:val="000000"/>
                <w:sz w:val="22"/>
                <w:szCs w:val="22"/>
              </w:rPr>
            </w:pPr>
          </w:p>
        </w:tc>
        <w:tc>
          <w:tcPr>
            <w:tcW w:w="421" w:type="pct"/>
            <w:noWrap/>
            <w:vAlign w:val="center"/>
          </w:tcPr>
          <w:p w14:paraId="3D96B0A9">
            <w:pPr>
              <w:jc w:val="center"/>
              <w:rPr>
                <w:color w:val="000000"/>
                <w:sz w:val="22"/>
                <w:szCs w:val="22"/>
              </w:rPr>
            </w:pPr>
          </w:p>
        </w:tc>
        <w:tc>
          <w:tcPr>
            <w:tcW w:w="421" w:type="pct"/>
            <w:noWrap/>
            <w:vAlign w:val="center"/>
          </w:tcPr>
          <w:p w14:paraId="59042A45">
            <w:pPr>
              <w:jc w:val="center"/>
              <w:rPr>
                <w:color w:val="000000"/>
                <w:sz w:val="22"/>
                <w:szCs w:val="22"/>
              </w:rPr>
            </w:pPr>
          </w:p>
        </w:tc>
      </w:tr>
      <w:tr w14:paraId="5728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3344C5F6">
            <w:pPr>
              <w:jc w:val="center"/>
              <w:rPr>
                <w:b/>
                <w:bCs/>
                <w:color w:val="000000"/>
                <w:sz w:val="22"/>
                <w:szCs w:val="22"/>
              </w:rPr>
            </w:pPr>
            <w:r>
              <w:rPr>
                <w:b/>
                <w:bCs/>
                <w:color w:val="000000"/>
                <w:sz w:val="22"/>
                <w:szCs w:val="22"/>
              </w:rPr>
              <w:t>4</w:t>
            </w:r>
          </w:p>
        </w:tc>
        <w:tc>
          <w:tcPr>
            <w:tcW w:w="1536" w:type="pct"/>
          </w:tcPr>
          <w:p w14:paraId="706B310D">
            <w:pPr>
              <w:rPr>
                <w:b/>
                <w:bCs/>
                <w:color w:val="000000"/>
                <w:sz w:val="22"/>
                <w:szCs w:val="22"/>
              </w:rPr>
            </w:pPr>
            <w:r>
              <w:rPr>
                <w:b/>
                <w:bCs/>
                <w:color w:val="000000"/>
                <w:sz w:val="22"/>
                <w:szCs w:val="22"/>
              </w:rPr>
              <w:t>Mặt cắt 2-2: rộng 16,5m lòng đường rộng 7,5m, vỉa hè 2 bên rộng 4,5m+4,5m</w:t>
            </w:r>
          </w:p>
        </w:tc>
        <w:tc>
          <w:tcPr>
            <w:tcW w:w="402" w:type="pct"/>
            <w:noWrap/>
            <w:vAlign w:val="center"/>
          </w:tcPr>
          <w:p w14:paraId="5B45B2E3">
            <w:pPr>
              <w:jc w:val="center"/>
              <w:rPr>
                <w:b/>
                <w:bCs/>
                <w:color w:val="000000"/>
                <w:sz w:val="22"/>
                <w:szCs w:val="22"/>
              </w:rPr>
            </w:pPr>
          </w:p>
        </w:tc>
        <w:tc>
          <w:tcPr>
            <w:tcW w:w="402" w:type="pct"/>
            <w:noWrap/>
            <w:vAlign w:val="center"/>
          </w:tcPr>
          <w:p w14:paraId="1BEC8F5A">
            <w:pPr>
              <w:jc w:val="center"/>
              <w:rPr>
                <w:b/>
                <w:bCs/>
                <w:color w:val="000000"/>
                <w:sz w:val="22"/>
                <w:szCs w:val="22"/>
              </w:rPr>
            </w:pPr>
          </w:p>
        </w:tc>
        <w:tc>
          <w:tcPr>
            <w:tcW w:w="402" w:type="pct"/>
            <w:noWrap/>
            <w:vAlign w:val="center"/>
          </w:tcPr>
          <w:p w14:paraId="5D441DDA">
            <w:pPr>
              <w:jc w:val="center"/>
              <w:rPr>
                <w:color w:val="000000"/>
                <w:sz w:val="22"/>
                <w:szCs w:val="22"/>
              </w:rPr>
            </w:pPr>
          </w:p>
        </w:tc>
        <w:tc>
          <w:tcPr>
            <w:tcW w:w="402" w:type="pct"/>
            <w:noWrap/>
            <w:vAlign w:val="center"/>
          </w:tcPr>
          <w:p w14:paraId="193A09D7">
            <w:pPr>
              <w:jc w:val="center"/>
              <w:rPr>
                <w:b/>
                <w:bCs/>
                <w:color w:val="000000"/>
                <w:sz w:val="22"/>
                <w:szCs w:val="22"/>
              </w:rPr>
            </w:pPr>
          </w:p>
        </w:tc>
        <w:tc>
          <w:tcPr>
            <w:tcW w:w="402" w:type="pct"/>
            <w:noWrap/>
            <w:vAlign w:val="center"/>
          </w:tcPr>
          <w:p w14:paraId="6298482F">
            <w:pPr>
              <w:jc w:val="center"/>
              <w:rPr>
                <w:color w:val="000000"/>
                <w:sz w:val="22"/>
                <w:szCs w:val="22"/>
              </w:rPr>
            </w:pPr>
          </w:p>
        </w:tc>
        <w:tc>
          <w:tcPr>
            <w:tcW w:w="402" w:type="pct"/>
            <w:noWrap/>
            <w:vAlign w:val="center"/>
          </w:tcPr>
          <w:p w14:paraId="07160D11">
            <w:pPr>
              <w:jc w:val="center"/>
              <w:rPr>
                <w:color w:val="000000"/>
                <w:sz w:val="22"/>
                <w:szCs w:val="22"/>
              </w:rPr>
            </w:pPr>
          </w:p>
        </w:tc>
        <w:tc>
          <w:tcPr>
            <w:tcW w:w="421" w:type="pct"/>
            <w:noWrap/>
            <w:vAlign w:val="center"/>
          </w:tcPr>
          <w:p w14:paraId="73FFFE6B">
            <w:pPr>
              <w:jc w:val="center"/>
              <w:rPr>
                <w:b/>
                <w:bCs/>
                <w:color w:val="000000"/>
                <w:sz w:val="22"/>
                <w:szCs w:val="22"/>
              </w:rPr>
            </w:pPr>
          </w:p>
        </w:tc>
        <w:tc>
          <w:tcPr>
            <w:tcW w:w="421" w:type="pct"/>
            <w:noWrap/>
            <w:vAlign w:val="center"/>
          </w:tcPr>
          <w:p w14:paraId="3ED04662">
            <w:pPr>
              <w:jc w:val="center"/>
              <w:rPr>
                <w:b/>
                <w:bCs/>
                <w:color w:val="000000"/>
                <w:sz w:val="22"/>
                <w:szCs w:val="22"/>
              </w:rPr>
            </w:pPr>
          </w:p>
        </w:tc>
      </w:tr>
      <w:tr w14:paraId="6451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580B8E58">
            <w:pPr>
              <w:jc w:val="center"/>
              <w:rPr>
                <w:color w:val="000000"/>
                <w:sz w:val="22"/>
                <w:szCs w:val="22"/>
              </w:rPr>
            </w:pPr>
            <w:r>
              <w:rPr>
                <w:color w:val="000000"/>
                <w:sz w:val="22"/>
                <w:szCs w:val="22"/>
              </w:rPr>
              <w:t> </w:t>
            </w:r>
          </w:p>
        </w:tc>
        <w:tc>
          <w:tcPr>
            <w:tcW w:w="1536" w:type="pct"/>
          </w:tcPr>
          <w:p w14:paraId="4E60B157">
            <w:pPr>
              <w:rPr>
                <w:color w:val="000000"/>
                <w:sz w:val="22"/>
                <w:szCs w:val="22"/>
              </w:rPr>
            </w:pPr>
            <w:r>
              <w:rPr>
                <w:color w:val="000000"/>
                <w:sz w:val="22"/>
                <w:szCs w:val="22"/>
              </w:rPr>
              <w:t>Tiếp giáp Một mặt tiền</w:t>
            </w:r>
          </w:p>
        </w:tc>
        <w:tc>
          <w:tcPr>
            <w:tcW w:w="402" w:type="pct"/>
            <w:noWrap/>
            <w:vAlign w:val="center"/>
          </w:tcPr>
          <w:p w14:paraId="6E803B9B">
            <w:pPr>
              <w:jc w:val="center"/>
              <w:rPr>
                <w:color w:val="000000"/>
                <w:sz w:val="22"/>
                <w:szCs w:val="22"/>
              </w:rPr>
            </w:pPr>
            <w:r>
              <w:rPr>
                <w:color w:val="000000"/>
                <w:sz w:val="22"/>
                <w:szCs w:val="22"/>
              </w:rPr>
              <w:t>10.700.000</w:t>
            </w:r>
          </w:p>
        </w:tc>
        <w:tc>
          <w:tcPr>
            <w:tcW w:w="402" w:type="pct"/>
            <w:noWrap/>
            <w:vAlign w:val="center"/>
          </w:tcPr>
          <w:p w14:paraId="487BA3D1">
            <w:pPr>
              <w:jc w:val="center"/>
              <w:rPr>
                <w:color w:val="000000"/>
                <w:sz w:val="22"/>
                <w:szCs w:val="22"/>
              </w:rPr>
            </w:pPr>
          </w:p>
        </w:tc>
        <w:tc>
          <w:tcPr>
            <w:tcW w:w="402" w:type="pct"/>
            <w:noWrap/>
            <w:vAlign w:val="center"/>
          </w:tcPr>
          <w:p w14:paraId="4A48622A">
            <w:pPr>
              <w:jc w:val="center"/>
              <w:rPr>
                <w:color w:val="000000"/>
                <w:sz w:val="22"/>
                <w:szCs w:val="22"/>
              </w:rPr>
            </w:pPr>
            <w:r>
              <w:rPr>
                <w:color w:val="000000"/>
                <w:sz w:val="22"/>
                <w:szCs w:val="22"/>
              </w:rPr>
              <w:t>12.579.000</w:t>
            </w:r>
          </w:p>
        </w:tc>
        <w:tc>
          <w:tcPr>
            <w:tcW w:w="402" w:type="pct"/>
            <w:noWrap/>
            <w:vAlign w:val="center"/>
          </w:tcPr>
          <w:p w14:paraId="55EACBE9">
            <w:pPr>
              <w:jc w:val="center"/>
              <w:rPr>
                <w:color w:val="000000"/>
                <w:sz w:val="22"/>
                <w:szCs w:val="22"/>
              </w:rPr>
            </w:pPr>
          </w:p>
        </w:tc>
        <w:tc>
          <w:tcPr>
            <w:tcW w:w="402" w:type="pct"/>
            <w:noWrap/>
            <w:vAlign w:val="center"/>
          </w:tcPr>
          <w:p w14:paraId="2B9D7DA4">
            <w:pPr>
              <w:jc w:val="center"/>
              <w:rPr>
                <w:color w:val="000000"/>
                <w:sz w:val="22"/>
                <w:szCs w:val="22"/>
              </w:rPr>
            </w:pPr>
            <w:r>
              <w:rPr>
                <w:color w:val="000000"/>
                <w:sz w:val="22"/>
                <w:szCs w:val="22"/>
              </w:rPr>
              <w:t>23.279.000</w:t>
            </w:r>
          </w:p>
        </w:tc>
        <w:tc>
          <w:tcPr>
            <w:tcW w:w="402" w:type="pct"/>
            <w:noWrap/>
            <w:vAlign w:val="center"/>
          </w:tcPr>
          <w:p w14:paraId="53E9C7CE">
            <w:pPr>
              <w:jc w:val="center"/>
              <w:rPr>
                <w:color w:val="000000"/>
                <w:sz w:val="22"/>
                <w:szCs w:val="22"/>
              </w:rPr>
            </w:pPr>
          </w:p>
        </w:tc>
        <w:tc>
          <w:tcPr>
            <w:tcW w:w="421" w:type="pct"/>
            <w:noWrap/>
            <w:vAlign w:val="center"/>
          </w:tcPr>
          <w:p w14:paraId="4AA311C3">
            <w:pPr>
              <w:jc w:val="center"/>
              <w:rPr>
                <w:b/>
                <w:bCs/>
                <w:color w:val="000000"/>
                <w:sz w:val="22"/>
                <w:szCs w:val="22"/>
              </w:rPr>
            </w:pPr>
            <w:r>
              <w:rPr>
                <w:b/>
                <w:bCs/>
                <w:color w:val="000000"/>
                <w:sz w:val="22"/>
                <w:szCs w:val="22"/>
              </w:rPr>
              <w:t>Phụ lục 04</w:t>
            </w:r>
          </w:p>
        </w:tc>
        <w:tc>
          <w:tcPr>
            <w:tcW w:w="421" w:type="pct"/>
            <w:noWrap/>
            <w:vAlign w:val="center"/>
          </w:tcPr>
          <w:p w14:paraId="6CED3D34">
            <w:pPr>
              <w:jc w:val="center"/>
              <w:rPr>
                <w:b/>
                <w:bCs/>
                <w:color w:val="000000"/>
                <w:sz w:val="22"/>
                <w:szCs w:val="22"/>
              </w:rPr>
            </w:pPr>
          </w:p>
        </w:tc>
      </w:tr>
      <w:tr w14:paraId="7154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35DD5C2D">
            <w:pPr>
              <w:jc w:val="center"/>
              <w:rPr>
                <w:color w:val="000000"/>
                <w:sz w:val="22"/>
                <w:szCs w:val="22"/>
              </w:rPr>
            </w:pPr>
            <w:r>
              <w:rPr>
                <w:color w:val="000000"/>
                <w:sz w:val="22"/>
                <w:szCs w:val="22"/>
              </w:rPr>
              <w:t> </w:t>
            </w:r>
          </w:p>
        </w:tc>
        <w:tc>
          <w:tcPr>
            <w:tcW w:w="1536" w:type="pct"/>
          </w:tcPr>
          <w:p w14:paraId="0825F32F">
            <w:pPr>
              <w:rPr>
                <w:color w:val="000000"/>
                <w:sz w:val="22"/>
                <w:szCs w:val="22"/>
              </w:rPr>
            </w:pPr>
            <w:r>
              <w:rPr>
                <w:color w:val="000000"/>
                <w:sz w:val="22"/>
                <w:szCs w:val="22"/>
              </w:rPr>
              <w:t>Tiếp giáp Một mặt tiền, đối diện/tiếp giáp cây xanh - mặt nước</w:t>
            </w:r>
          </w:p>
        </w:tc>
        <w:tc>
          <w:tcPr>
            <w:tcW w:w="402" w:type="pct"/>
            <w:noWrap/>
            <w:vAlign w:val="center"/>
          </w:tcPr>
          <w:p w14:paraId="32EEF478">
            <w:pPr>
              <w:jc w:val="center"/>
              <w:rPr>
                <w:color w:val="000000"/>
                <w:sz w:val="22"/>
                <w:szCs w:val="22"/>
              </w:rPr>
            </w:pPr>
            <w:r>
              <w:rPr>
                <w:color w:val="000000"/>
                <w:sz w:val="22"/>
                <w:szCs w:val="22"/>
              </w:rPr>
              <w:t>11.235.000</w:t>
            </w:r>
          </w:p>
        </w:tc>
        <w:tc>
          <w:tcPr>
            <w:tcW w:w="402" w:type="pct"/>
            <w:noWrap/>
            <w:vAlign w:val="center"/>
          </w:tcPr>
          <w:p w14:paraId="14256162">
            <w:pPr>
              <w:jc w:val="center"/>
              <w:rPr>
                <w:color w:val="000000"/>
                <w:sz w:val="22"/>
                <w:szCs w:val="22"/>
              </w:rPr>
            </w:pPr>
          </w:p>
        </w:tc>
        <w:tc>
          <w:tcPr>
            <w:tcW w:w="402" w:type="pct"/>
            <w:noWrap/>
            <w:vAlign w:val="center"/>
          </w:tcPr>
          <w:p w14:paraId="7915B282">
            <w:pPr>
              <w:jc w:val="center"/>
              <w:rPr>
                <w:color w:val="000000"/>
                <w:sz w:val="22"/>
                <w:szCs w:val="22"/>
              </w:rPr>
            </w:pPr>
            <w:r>
              <w:rPr>
                <w:color w:val="000000"/>
                <w:sz w:val="22"/>
                <w:szCs w:val="22"/>
              </w:rPr>
              <w:t>12.579.000</w:t>
            </w:r>
          </w:p>
        </w:tc>
        <w:tc>
          <w:tcPr>
            <w:tcW w:w="402" w:type="pct"/>
            <w:noWrap/>
            <w:vAlign w:val="center"/>
          </w:tcPr>
          <w:p w14:paraId="506E111F">
            <w:pPr>
              <w:jc w:val="center"/>
              <w:rPr>
                <w:color w:val="000000"/>
                <w:sz w:val="22"/>
                <w:szCs w:val="22"/>
              </w:rPr>
            </w:pPr>
          </w:p>
        </w:tc>
        <w:tc>
          <w:tcPr>
            <w:tcW w:w="402" w:type="pct"/>
            <w:noWrap/>
            <w:vAlign w:val="center"/>
          </w:tcPr>
          <w:p w14:paraId="2993C1AF">
            <w:pPr>
              <w:jc w:val="center"/>
              <w:rPr>
                <w:color w:val="000000"/>
                <w:sz w:val="22"/>
                <w:szCs w:val="22"/>
              </w:rPr>
            </w:pPr>
            <w:r>
              <w:rPr>
                <w:color w:val="000000"/>
                <w:sz w:val="22"/>
                <w:szCs w:val="22"/>
              </w:rPr>
              <w:t>23.814.000</w:t>
            </w:r>
          </w:p>
        </w:tc>
        <w:tc>
          <w:tcPr>
            <w:tcW w:w="402" w:type="pct"/>
            <w:noWrap/>
            <w:vAlign w:val="center"/>
          </w:tcPr>
          <w:p w14:paraId="247A0DE0">
            <w:pPr>
              <w:jc w:val="center"/>
              <w:rPr>
                <w:color w:val="000000"/>
                <w:sz w:val="22"/>
                <w:szCs w:val="22"/>
              </w:rPr>
            </w:pPr>
          </w:p>
        </w:tc>
        <w:tc>
          <w:tcPr>
            <w:tcW w:w="421" w:type="pct"/>
            <w:noWrap/>
            <w:vAlign w:val="center"/>
          </w:tcPr>
          <w:p w14:paraId="7972FFCC">
            <w:pPr>
              <w:jc w:val="center"/>
              <w:rPr>
                <w:color w:val="000000"/>
                <w:sz w:val="22"/>
                <w:szCs w:val="22"/>
              </w:rPr>
            </w:pPr>
          </w:p>
        </w:tc>
        <w:tc>
          <w:tcPr>
            <w:tcW w:w="421" w:type="pct"/>
            <w:noWrap/>
            <w:vAlign w:val="center"/>
          </w:tcPr>
          <w:p w14:paraId="4BCC2281">
            <w:pPr>
              <w:jc w:val="center"/>
              <w:rPr>
                <w:color w:val="000000"/>
                <w:sz w:val="22"/>
                <w:szCs w:val="22"/>
              </w:rPr>
            </w:pPr>
          </w:p>
        </w:tc>
      </w:tr>
      <w:tr w14:paraId="33A5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542CA621">
            <w:pPr>
              <w:jc w:val="center"/>
              <w:rPr>
                <w:color w:val="000000"/>
                <w:sz w:val="22"/>
                <w:szCs w:val="22"/>
              </w:rPr>
            </w:pPr>
            <w:r>
              <w:rPr>
                <w:color w:val="000000"/>
                <w:sz w:val="22"/>
                <w:szCs w:val="22"/>
              </w:rPr>
              <w:t> </w:t>
            </w:r>
          </w:p>
        </w:tc>
        <w:tc>
          <w:tcPr>
            <w:tcW w:w="1536" w:type="pct"/>
          </w:tcPr>
          <w:p w14:paraId="4FEE236B">
            <w:pPr>
              <w:rPr>
                <w:color w:val="000000"/>
                <w:sz w:val="22"/>
                <w:szCs w:val="22"/>
              </w:rPr>
            </w:pPr>
            <w:r>
              <w:rPr>
                <w:color w:val="000000"/>
                <w:sz w:val="22"/>
                <w:szCs w:val="22"/>
              </w:rPr>
              <w:t>Tiếp giáp Hai mặt tiền</w:t>
            </w:r>
          </w:p>
        </w:tc>
        <w:tc>
          <w:tcPr>
            <w:tcW w:w="402" w:type="pct"/>
            <w:noWrap/>
            <w:vAlign w:val="center"/>
          </w:tcPr>
          <w:p w14:paraId="7DD19B21">
            <w:pPr>
              <w:jc w:val="center"/>
              <w:rPr>
                <w:color w:val="000000"/>
                <w:sz w:val="22"/>
                <w:szCs w:val="22"/>
              </w:rPr>
            </w:pPr>
            <w:r>
              <w:rPr>
                <w:color w:val="000000"/>
                <w:sz w:val="22"/>
                <w:szCs w:val="22"/>
              </w:rPr>
              <w:t>12.305.000</w:t>
            </w:r>
          </w:p>
        </w:tc>
        <w:tc>
          <w:tcPr>
            <w:tcW w:w="402" w:type="pct"/>
            <w:noWrap/>
            <w:vAlign w:val="center"/>
          </w:tcPr>
          <w:p w14:paraId="6D394A54">
            <w:pPr>
              <w:jc w:val="center"/>
              <w:rPr>
                <w:color w:val="000000"/>
                <w:sz w:val="22"/>
                <w:szCs w:val="22"/>
              </w:rPr>
            </w:pPr>
          </w:p>
        </w:tc>
        <w:tc>
          <w:tcPr>
            <w:tcW w:w="402" w:type="pct"/>
            <w:noWrap/>
            <w:vAlign w:val="center"/>
          </w:tcPr>
          <w:p w14:paraId="49E576C5">
            <w:pPr>
              <w:jc w:val="center"/>
              <w:rPr>
                <w:color w:val="000000"/>
                <w:sz w:val="22"/>
                <w:szCs w:val="22"/>
              </w:rPr>
            </w:pPr>
            <w:r>
              <w:rPr>
                <w:color w:val="000000"/>
                <w:sz w:val="22"/>
                <w:szCs w:val="22"/>
              </w:rPr>
              <w:t>12.579.000</w:t>
            </w:r>
          </w:p>
        </w:tc>
        <w:tc>
          <w:tcPr>
            <w:tcW w:w="402" w:type="pct"/>
            <w:noWrap/>
            <w:vAlign w:val="center"/>
          </w:tcPr>
          <w:p w14:paraId="030A3FF5">
            <w:pPr>
              <w:jc w:val="center"/>
              <w:rPr>
                <w:color w:val="000000"/>
                <w:sz w:val="22"/>
                <w:szCs w:val="22"/>
              </w:rPr>
            </w:pPr>
          </w:p>
        </w:tc>
        <w:tc>
          <w:tcPr>
            <w:tcW w:w="402" w:type="pct"/>
            <w:noWrap/>
            <w:vAlign w:val="center"/>
          </w:tcPr>
          <w:p w14:paraId="3B444C0E">
            <w:pPr>
              <w:jc w:val="center"/>
              <w:rPr>
                <w:color w:val="000000"/>
                <w:sz w:val="22"/>
                <w:szCs w:val="22"/>
              </w:rPr>
            </w:pPr>
            <w:r>
              <w:rPr>
                <w:color w:val="000000"/>
                <w:sz w:val="22"/>
                <w:szCs w:val="22"/>
              </w:rPr>
              <w:t>24.884.000</w:t>
            </w:r>
          </w:p>
        </w:tc>
        <w:tc>
          <w:tcPr>
            <w:tcW w:w="402" w:type="pct"/>
            <w:noWrap/>
            <w:vAlign w:val="center"/>
          </w:tcPr>
          <w:p w14:paraId="46269BD1">
            <w:pPr>
              <w:jc w:val="center"/>
              <w:rPr>
                <w:color w:val="000000"/>
                <w:sz w:val="22"/>
                <w:szCs w:val="22"/>
              </w:rPr>
            </w:pPr>
          </w:p>
        </w:tc>
        <w:tc>
          <w:tcPr>
            <w:tcW w:w="421" w:type="pct"/>
            <w:noWrap/>
            <w:vAlign w:val="center"/>
          </w:tcPr>
          <w:p w14:paraId="52346C87">
            <w:pPr>
              <w:jc w:val="center"/>
              <w:rPr>
                <w:color w:val="000000"/>
                <w:sz w:val="22"/>
                <w:szCs w:val="22"/>
              </w:rPr>
            </w:pPr>
          </w:p>
        </w:tc>
        <w:tc>
          <w:tcPr>
            <w:tcW w:w="421" w:type="pct"/>
            <w:noWrap/>
            <w:vAlign w:val="center"/>
          </w:tcPr>
          <w:p w14:paraId="40345B72">
            <w:pPr>
              <w:jc w:val="center"/>
              <w:rPr>
                <w:color w:val="000000"/>
                <w:sz w:val="22"/>
                <w:szCs w:val="22"/>
              </w:rPr>
            </w:pPr>
          </w:p>
        </w:tc>
      </w:tr>
      <w:tr w14:paraId="588B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5E053AE7">
            <w:pPr>
              <w:jc w:val="center"/>
              <w:rPr>
                <w:color w:val="000000"/>
                <w:sz w:val="22"/>
                <w:szCs w:val="22"/>
              </w:rPr>
            </w:pPr>
            <w:r>
              <w:rPr>
                <w:color w:val="000000"/>
                <w:sz w:val="22"/>
                <w:szCs w:val="22"/>
              </w:rPr>
              <w:t> </w:t>
            </w:r>
          </w:p>
        </w:tc>
        <w:tc>
          <w:tcPr>
            <w:tcW w:w="1536" w:type="pct"/>
          </w:tcPr>
          <w:p w14:paraId="09B18C9C">
            <w:pPr>
              <w:rPr>
                <w:color w:val="000000"/>
                <w:sz w:val="22"/>
                <w:szCs w:val="22"/>
              </w:rPr>
            </w:pPr>
            <w:r>
              <w:rPr>
                <w:color w:val="000000"/>
                <w:sz w:val="22"/>
                <w:szCs w:val="22"/>
              </w:rPr>
              <w:t>Tiếp giáp Hai mặt tiền, đối diện/tiếp giáp cây xanh - mặt nước</w:t>
            </w:r>
          </w:p>
        </w:tc>
        <w:tc>
          <w:tcPr>
            <w:tcW w:w="402" w:type="pct"/>
            <w:noWrap/>
            <w:vAlign w:val="center"/>
          </w:tcPr>
          <w:p w14:paraId="7B6BE43B">
            <w:pPr>
              <w:jc w:val="center"/>
              <w:rPr>
                <w:color w:val="000000"/>
                <w:sz w:val="22"/>
                <w:szCs w:val="22"/>
              </w:rPr>
            </w:pPr>
            <w:r>
              <w:rPr>
                <w:color w:val="000000"/>
                <w:sz w:val="22"/>
                <w:szCs w:val="22"/>
              </w:rPr>
              <w:t>12.840.000</w:t>
            </w:r>
          </w:p>
        </w:tc>
        <w:tc>
          <w:tcPr>
            <w:tcW w:w="402" w:type="pct"/>
            <w:noWrap/>
            <w:vAlign w:val="center"/>
          </w:tcPr>
          <w:p w14:paraId="751FA809">
            <w:pPr>
              <w:jc w:val="center"/>
              <w:rPr>
                <w:color w:val="000000"/>
                <w:sz w:val="22"/>
                <w:szCs w:val="22"/>
              </w:rPr>
            </w:pPr>
          </w:p>
        </w:tc>
        <w:tc>
          <w:tcPr>
            <w:tcW w:w="402" w:type="pct"/>
            <w:noWrap/>
            <w:vAlign w:val="center"/>
          </w:tcPr>
          <w:p w14:paraId="5A7E642B">
            <w:pPr>
              <w:jc w:val="center"/>
              <w:rPr>
                <w:color w:val="000000"/>
                <w:sz w:val="22"/>
                <w:szCs w:val="22"/>
              </w:rPr>
            </w:pPr>
            <w:r>
              <w:rPr>
                <w:color w:val="000000"/>
                <w:sz w:val="22"/>
                <w:szCs w:val="22"/>
              </w:rPr>
              <w:t>12.579.000</w:t>
            </w:r>
          </w:p>
        </w:tc>
        <w:tc>
          <w:tcPr>
            <w:tcW w:w="402" w:type="pct"/>
            <w:noWrap/>
            <w:vAlign w:val="center"/>
          </w:tcPr>
          <w:p w14:paraId="3DD5AC0C">
            <w:pPr>
              <w:jc w:val="center"/>
              <w:rPr>
                <w:color w:val="000000"/>
                <w:sz w:val="22"/>
                <w:szCs w:val="22"/>
              </w:rPr>
            </w:pPr>
          </w:p>
        </w:tc>
        <w:tc>
          <w:tcPr>
            <w:tcW w:w="402" w:type="pct"/>
            <w:noWrap/>
            <w:vAlign w:val="center"/>
          </w:tcPr>
          <w:p w14:paraId="49362DD0">
            <w:pPr>
              <w:jc w:val="center"/>
              <w:rPr>
                <w:color w:val="000000"/>
                <w:sz w:val="22"/>
                <w:szCs w:val="22"/>
              </w:rPr>
            </w:pPr>
            <w:r>
              <w:rPr>
                <w:color w:val="000000"/>
                <w:sz w:val="22"/>
                <w:szCs w:val="22"/>
              </w:rPr>
              <w:t>25.419.000</w:t>
            </w:r>
          </w:p>
        </w:tc>
        <w:tc>
          <w:tcPr>
            <w:tcW w:w="402" w:type="pct"/>
            <w:noWrap/>
            <w:vAlign w:val="center"/>
          </w:tcPr>
          <w:p w14:paraId="3E885C27">
            <w:pPr>
              <w:jc w:val="center"/>
              <w:rPr>
                <w:color w:val="000000"/>
                <w:sz w:val="22"/>
                <w:szCs w:val="22"/>
              </w:rPr>
            </w:pPr>
          </w:p>
        </w:tc>
        <w:tc>
          <w:tcPr>
            <w:tcW w:w="421" w:type="pct"/>
            <w:noWrap/>
            <w:vAlign w:val="center"/>
          </w:tcPr>
          <w:p w14:paraId="10442AF9">
            <w:pPr>
              <w:jc w:val="center"/>
              <w:rPr>
                <w:color w:val="000000"/>
                <w:sz w:val="22"/>
                <w:szCs w:val="22"/>
              </w:rPr>
            </w:pPr>
          </w:p>
        </w:tc>
        <w:tc>
          <w:tcPr>
            <w:tcW w:w="421" w:type="pct"/>
            <w:noWrap/>
            <w:vAlign w:val="center"/>
          </w:tcPr>
          <w:p w14:paraId="22314E07">
            <w:pPr>
              <w:jc w:val="center"/>
              <w:rPr>
                <w:color w:val="000000"/>
                <w:sz w:val="22"/>
                <w:szCs w:val="22"/>
              </w:rPr>
            </w:pPr>
          </w:p>
        </w:tc>
      </w:tr>
      <w:tr w14:paraId="19DF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6D2B94B7">
            <w:pPr>
              <w:jc w:val="center"/>
              <w:rPr>
                <w:b/>
                <w:bCs/>
                <w:color w:val="000000"/>
                <w:sz w:val="22"/>
                <w:szCs w:val="22"/>
              </w:rPr>
            </w:pPr>
            <w:r>
              <w:rPr>
                <w:b/>
                <w:bCs/>
                <w:color w:val="000000"/>
                <w:sz w:val="22"/>
                <w:szCs w:val="22"/>
              </w:rPr>
              <w:t>5</w:t>
            </w:r>
          </w:p>
        </w:tc>
        <w:tc>
          <w:tcPr>
            <w:tcW w:w="1536" w:type="pct"/>
          </w:tcPr>
          <w:p w14:paraId="3BF5272B">
            <w:pPr>
              <w:rPr>
                <w:b/>
                <w:bCs/>
                <w:color w:val="000000"/>
                <w:sz w:val="22"/>
                <w:szCs w:val="22"/>
              </w:rPr>
            </w:pPr>
            <w:r>
              <w:rPr>
                <w:b/>
                <w:bCs/>
                <w:color w:val="000000"/>
                <w:sz w:val="22"/>
                <w:szCs w:val="22"/>
              </w:rPr>
              <w:t>Mặt cắt 3-3 (làn 2 đường gom QL1A): rộng 13,5m lòng đường rộng 7,5m, vỉa hè 2 bên rộng 3m+3m</w:t>
            </w:r>
          </w:p>
        </w:tc>
        <w:tc>
          <w:tcPr>
            <w:tcW w:w="402" w:type="pct"/>
            <w:noWrap/>
            <w:vAlign w:val="center"/>
          </w:tcPr>
          <w:p w14:paraId="46EC6BAC">
            <w:pPr>
              <w:jc w:val="center"/>
              <w:rPr>
                <w:b/>
                <w:bCs/>
                <w:color w:val="000000"/>
                <w:sz w:val="22"/>
                <w:szCs w:val="22"/>
              </w:rPr>
            </w:pPr>
          </w:p>
        </w:tc>
        <w:tc>
          <w:tcPr>
            <w:tcW w:w="402" w:type="pct"/>
            <w:noWrap/>
            <w:vAlign w:val="center"/>
          </w:tcPr>
          <w:p w14:paraId="76EB7129">
            <w:pPr>
              <w:jc w:val="center"/>
              <w:rPr>
                <w:b/>
                <w:bCs/>
                <w:color w:val="000000"/>
                <w:sz w:val="22"/>
                <w:szCs w:val="22"/>
              </w:rPr>
            </w:pPr>
          </w:p>
        </w:tc>
        <w:tc>
          <w:tcPr>
            <w:tcW w:w="402" w:type="pct"/>
            <w:noWrap/>
            <w:vAlign w:val="center"/>
          </w:tcPr>
          <w:p w14:paraId="41611D44">
            <w:pPr>
              <w:jc w:val="center"/>
              <w:rPr>
                <w:color w:val="000000"/>
                <w:sz w:val="22"/>
                <w:szCs w:val="22"/>
              </w:rPr>
            </w:pPr>
          </w:p>
        </w:tc>
        <w:tc>
          <w:tcPr>
            <w:tcW w:w="402" w:type="pct"/>
            <w:noWrap/>
            <w:vAlign w:val="center"/>
          </w:tcPr>
          <w:p w14:paraId="45AC9EC8">
            <w:pPr>
              <w:jc w:val="center"/>
              <w:rPr>
                <w:b/>
                <w:bCs/>
                <w:color w:val="000000"/>
                <w:sz w:val="22"/>
                <w:szCs w:val="22"/>
              </w:rPr>
            </w:pPr>
          </w:p>
        </w:tc>
        <w:tc>
          <w:tcPr>
            <w:tcW w:w="402" w:type="pct"/>
            <w:noWrap/>
            <w:vAlign w:val="center"/>
          </w:tcPr>
          <w:p w14:paraId="0A5439C6">
            <w:pPr>
              <w:jc w:val="center"/>
              <w:rPr>
                <w:color w:val="000000"/>
                <w:sz w:val="22"/>
                <w:szCs w:val="22"/>
              </w:rPr>
            </w:pPr>
          </w:p>
        </w:tc>
        <w:tc>
          <w:tcPr>
            <w:tcW w:w="402" w:type="pct"/>
            <w:noWrap/>
            <w:vAlign w:val="center"/>
          </w:tcPr>
          <w:p w14:paraId="5C390F9C">
            <w:pPr>
              <w:jc w:val="center"/>
              <w:rPr>
                <w:color w:val="000000"/>
                <w:sz w:val="22"/>
                <w:szCs w:val="22"/>
              </w:rPr>
            </w:pPr>
          </w:p>
        </w:tc>
        <w:tc>
          <w:tcPr>
            <w:tcW w:w="421" w:type="pct"/>
            <w:noWrap/>
            <w:vAlign w:val="center"/>
          </w:tcPr>
          <w:p w14:paraId="1418B3BC">
            <w:pPr>
              <w:jc w:val="center"/>
              <w:rPr>
                <w:b/>
                <w:bCs/>
                <w:color w:val="000000"/>
                <w:sz w:val="22"/>
                <w:szCs w:val="22"/>
              </w:rPr>
            </w:pPr>
          </w:p>
        </w:tc>
        <w:tc>
          <w:tcPr>
            <w:tcW w:w="421" w:type="pct"/>
            <w:noWrap/>
            <w:vAlign w:val="center"/>
          </w:tcPr>
          <w:p w14:paraId="12B3E188">
            <w:pPr>
              <w:jc w:val="center"/>
              <w:rPr>
                <w:b/>
                <w:bCs/>
                <w:color w:val="000000"/>
                <w:sz w:val="22"/>
                <w:szCs w:val="22"/>
              </w:rPr>
            </w:pPr>
          </w:p>
        </w:tc>
      </w:tr>
      <w:tr w14:paraId="46C0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3AEDF7FD">
            <w:pPr>
              <w:jc w:val="center"/>
              <w:rPr>
                <w:color w:val="000000"/>
                <w:sz w:val="22"/>
                <w:szCs w:val="22"/>
              </w:rPr>
            </w:pPr>
            <w:r>
              <w:rPr>
                <w:color w:val="000000"/>
                <w:sz w:val="22"/>
                <w:szCs w:val="22"/>
              </w:rPr>
              <w:t> </w:t>
            </w:r>
          </w:p>
        </w:tc>
        <w:tc>
          <w:tcPr>
            <w:tcW w:w="1536" w:type="pct"/>
          </w:tcPr>
          <w:p w14:paraId="564F7F46">
            <w:pPr>
              <w:rPr>
                <w:color w:val="000000"/>
                <w:sz w:val="22"/>
                <w:szCs w:val="22"/>
              </w:rPr>
            </w:pPr>
            <w:r>
              <w:rPr>
                <w:color w:val="000000"/>
                <w:sz w:val="22"/>
                <w:szCs w:val="22"/>
              </w:rPr>
              <w:t>Tiếp giáp Một mặt tiền</w:t>
            </w:r>
          </w:p>
        </w:tc>
        <w:tc>
          <w:tcPr>
            <w:tcW w:w="402" w:type="pct"/>
            <w:noWrap/>
            <w:vAlign w:val="center"/>
          </w:tcPr>
          <w:p w14:paraId="42D27C84">
            <w:pPr>
              <w:jc w:val="center"/>
              <w:rPr>
                <w:color w:val="000000"/>
                <w:sz w:val="22"/>
                <w:szCs w:val="22"/>
              </w:rPr>
            </w:pPr>
            <w:r>
              <w:rPr>
                <w:color w:val="000000"/>
                <w:sz w:val="22"/>
                <w:szCs w:val="22"/>
              </w:rPr>
              <w:t>10.000.000</w:t>
            </w:r>
          </w:p>
        </w:tc>
        <w:tc>
          <w:tcPr>
            <w:tcW w:w="402" w:type="pct"/>
            <w:noWrap/>
            <w:vAlign w:val="center"/>
          </w:tcPr>
          <w:p w14:paraId="1FFFB6DC">
            <w:pPr>
              <w:jc w:val="center"/>
              <w:rPr>
                <w:color w:val="000000"/>
                <w:sz w:val="22"/>
                <w:szCs w:val="22"/>
              </w:rPr>
            </w:pPr>
          </w:p>
        </w:tc>
        <w:tc>
          <w:tcPr>
            <w:tcW w:w="402" w:type="pct"/>
            <w:noWrap/>
            <w:vAlign w:val="center"/>
          </w:tcPr>
          <w:p w14:paraId="3016E6C5">
            <w:pPr>
              <w:jc w:val="center"/>
              <w:rPr>
                <w:color w:val="000000"/>
                <w:sz w:val="22"/>
                <w:szCs w:val="22"/>
              </w:rPr>
            </w:pPr>
          </w:p>
        </w:tc>
        <w:tc>
          <w:tcPr>
            <w:tcW w:w="402" w:type="pct"/>
            <w:noWrap/>
            <w:vAlign w:val="center"/>
          </w:tcPr>
          <w:p w14:paraId="799FED07">
            <w:pPr>
              <w:jc w:val="center"/>
              <w:rPr>
                <w:color w:val="000000"/>
                <w:sz w:val="22"/>
                <w:szCs w:val="22"/>
              </w:rPr>
            </w:pPr>
          </w:p>
        </w:tc>
        <w:tc>
          <w:tcPr>
            <w:tcW w:w="402" w:type="pct"/>
            <w:noWrap/>
            <w:vAlign w:val="center"/>
          </w:tcPr>
          <w:p w14:paraId="0755211A">
            <w:pPr>
              <w:jc w:val="center"/>
              <w:rPr>
                <w:color w:val="000000"/>
                <w:sz w:val="22"/>
                <w:szCs w:val="22"/>
              </w:rPr>
            </w:pPr>
          </w:p>
        </w:tc>
        <w:tc>
          <w:tcPr>
            <w:tcW w:w="402" w:type="pct"/>
            <w:noWrap/>
            <w:vAlign w:val="center"/>
          </w:tcPr>
          <w:p w14:paraId="67E3AA26">
            <w:pPr>
              <w:jc w:val="center"/>
              <w:rPr>
                <w:color w:val="000000"/>
                <w:sz w:val="22"/>
                <w:szCs w:val="22"/>
              </w:rPr>
            </w:pPr>
          </w:p>
        </w:tc>
        <w:tc>
          <w:tcPr>
            <w:tcW w:w="421" w:type="pct"/>
            <w:noWrap/>
            <w:vAlign w:val="center"/>
          </w:tcPr>
          <w:p w14:paraId="24036D7E">
            <w:pPr>
              <w:jc w:val="center"/>
              <w:rPr>
                <w:b/>
                <w:bCs/>
                <w:color w:val="000000"/>
                <w:sz w:val="22"/>
                <w:szCs w:val="22"/>
              </w:rPr>
            </w:pPr>
            <w:r>
              <w:rPr>
                <w:b/>
                <w:bCs/>
                <w:color w:val="000000"/>
                <w:sz w:val="22"/>
                <w:szCs w:val="22"/>
              </w:rPr>
              <w:t>Phụ lục 05</w:t>
            </w:r>
          </w:p>
        </w:tc>
        <w:tc>
          <w:tcPr>
            <w:tcW w:w="421" w:type="pct"/>
            <w:noWrap/>
            <w:vAlign w:val="center"/>
          </w:tcPr>
          <w:p w14:paraId="328C2DA7">
            <w:pPr>
              <w:jc w:val="center"/>
              <w:rPr>
                <w:color w:val="000000"/>
                <w:sz w:val="22"/>
                <w:szCs w:val="22"/>
              </w:rPr>
            </w:pPr>
          </w:p>
        </w:tc>
      </w:tr>
      <w:tr w14:paraId="055D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5396CDFF">
            <w:pPr>
              <w:jc w:val="center"/>
              <w:rPr>
                <w:color w:val="000000"/>
                <w:sz w:val="22"/>
                <w:szCs w:val="22"/>
              </w:rPr>
            </w:pPr>
            <w:r>
              <w:rPr>
                <w:color w:val="000000"/>
                <w:sz w:val="22"/>
                <w:szCs w:val="22"/>
              </w:rPr>
              <w:t> </w:t>
            </w:r>
          </w:p>
        </w:tc>
        <w:tc>
          <w:tcPr>
            <w:tcW w:w="1536" w:type="pct"/>
          </w:tcPr>
          <w:p w14:paraId="5B69A13A">
            <w:pPr>
              <w:rPr>
                <w:color w:val="000000"/>
                <w:sz w:val="22"/>
                <w:szCs w:val="22"/>
              </w:rPr>
            </w:pPr>
            <w:r>
              <w:rPr>
                <w:color w:val="000000"/>
                <w:sz w:val="22"/>
                <w:szCs w:val="22"/>
              </w:rPr>
              <w:t>Tiếp giáp Hai mặt tiền</w:t>
            </w:r>
          </w:p>
        </w:tc>
        <w:tc>
          <w:tcPr>
            <w:tcW w:w="402" w:type="pct"/>
            <w:noWrap/>
            <w:vAlign w:val="center"/>
          </w:tcPr>
          <w:p w14:paraId="7E5B15FE">
            <w:pPr>
              <w:jc w:val="center"/>
              <w:rPr>
                <w:color w:val="000000"/>
                <w:sz w:val="22"/>
                <w:szCs w:val="22"/>
              </w:rPr>
            </w:pPr>
            <w:r>
              <w:rPr>
                <w:color w:val="000000"/>
                <w:sz w:val="22"/>
                <w:szCs w:val="22"/>
              </w:rPr>
              <w:t>11.500.000</w:t>
            </w:r>
          </w:p>
        </w:tc>
        <w:tc>
          <w:tcPr>
            <w:tcW w:w="402" w:type="pct"/>
            <w:noWrap/>
            <w:vAlign w:val="center"/>
          </w:tcPr>
          <w:p w14:paraId="0767AF02">
            <w:pPr>
              <w:jc w:val="center"/>
              <w:rPr>
                <w:color w:val="000000"/>
                <w:sz w:val="22"/>
                <w:szCs w:val="22"/>
              </w:rPr>
            </w:pPr>
          </w:p>
        </w:tc>
        <w:tc>
          <w:tcPr>
            <w:tcW w:w="402" w:type="pct"/>
            <w:noWrap/>
            <w:vAlign w:val="center"/>
          </w:tcPr>
          <w:p w14:paraId="2FB18B69">
            <w:pPr>
              <w:jc w:val="center"/>
              <w:rPr>
                <w:color w:val="000000"/>
                <w:sz w:val="22"/>
                <w:szCs w:val="22"/>
              </w:rPr>
            </w:pPr>
          </w:p>
        </w:tc>
        <w:tc>
          <w:tcPr>
            <w:tcW w:w="402" w:type="pct"/>
            <w:noWrap/>
            <w:vAlign w:val="center"/>
          </w:tcPr>
          <w:p w14:paraId="493E1103">
            <w:pPr>
              <w:jc w:val="center"/>
              <w:rPr>
                <w:color w:val="000000"/>
                <w:sz w:val="22"/>
                <w:szCs w:val="22"/>
              </w:rPr>
            </w:pPr>
          </w:p>
        </w:tc>
        <w:tc>
          <w:tcPr>
            <w:tcW w:w="402" w:type="pct"/>
            <w:noWrap/>
            <w:vAlign w:val="center"/>
          </w:tcPr>
          <w:p w14:paraId="6D1F8012">
            <w:pPr>
              <w:jc w:val="center"/>
              <w:rPr>
                <w:color w:val="000000"/>
                <w:sz w:val="22"/>
                <w:szCs w:val="22"/>
              </w:rPr>
            </w:pPr>
          </w:p>
        </w:tc>
        <w:tc>
          <w:tcPr>
            <w:tcW w:w="402" w:type="pct"/>
            <w:noWrap/>
            <w:vAlign w:val="center"/>
          </w:tcPr>
          <w:p w14:paraId="6C812687">
            <w:pPr>
              <w:jc w:val="center"/>
              <w:rPr>
                <w:color w:val="000000"/>
                <w:sz w:val="22"/>
                <w:szCs w:val="22"/>
              </w:rPr>
            </w:pPr>
          </w:p>
        </w:tc>
        <w:tc>
          <w:tcPr>
            <w:tcW w:w="421" w:type="pct"/>
            <w:noWrap/>
            <w:vAlign w:val="center"/>
          </w:tcPr>
          <w:p w14:paraId="31AFE9C7">
            <w:pPr>
              <w:jc w:val="center"/>
              <w:rPr>
                <w:color w:val="000000"/>
                <w:sz w:val="22"/>
                <w:szCs w:val="22"/>
              </w:rPr>
            </w:pPr>
          </w:p>
        </w:tc>
        <w:tc>
          <w:tcPr>
            <w:tcW w:w="421" w:type="pct"/>
            <w:noWrap/>
            <w:vAlign w:val="center"/>
          </w:tcPr>
          <w:p w14:paraId="44A83DF3">
            <w:pPr>
              <w:jc w:val="center"/>
              <w:rPr>
                <w:color w:val="000000"/>
                <w:sz w:val="22"/>
                <w:szCs w:val="22"/>
              </w:rPr>
            </w:pPr>
          </w:p>
        </w:tc>
      </w:tr>
      <w:tr w14:paraId="0459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6DD6768F">
            <w:pPr>
              <w:jc w:val="center"/>
              <w:rPr>
                <w:color w:val="000000"/>
                <w:sz w:val="22"/>
                <w:szCs w:val="22"/>
              </w:rPr>
            </w:pPr>
            <w:r>
              <w:rPr>
                <w:color w:val="000000"/>
                <w:sz w:val="22"/>
                <w:szCs w:val="22"/>
              </w:rPr>
              <w:t> </w:t>
            </w:r>
          </w:p>
        </w:tc>
        <w:tc>
          <w:tcPr>
            <w:tcW w:w="1536" w:type="pct"/>
          </w:tcPr>
          <w:p w14:paraId="578F2D5B">
            <w:pPr>
              <w:rPr>
                <w:color w:val="000000"/>
                <w:sz w:val="22"/>
                <w:szCs w:val="22"/>
              </w:rPr>
            </w:pPr>
            <w:r>
              <w:rPr>
                <w:color w:val="000000"/>
                <w:sz w:val="22"/>
                <w:szCs w:val="22"/>
              </w:rPr>
              <w:t>Tiếp giáp Hai mặt tiền, đối diện/tiếp giáp cây xanh - mặt nước</w:t>
            </w:r>
          </w:p>
        </w:tc>
        <w:tc>
          <w:tcPr>
            <w:tcW w:w="402" w:type="pct"/>
            <w:noWrap/>
            <w:vAlign w:val="center"/>
          </w:tcPr>
          <w:p w14:paraId="2ACBDAFF">
            <w:pPr>
              <w:jc w:val="center"/>
              <w:rPr>
                <w:color w:val="000000"/>
                <w:sz w:val="22"/>
                <w:szCs w:val="22"/>
              </w:rPr>
            </w:pPr>
            <w:r>
              <w:rPr>
                <w:color w:val="000000"/>
                <w:sz w:val="22"/>
                <w:szCs w:val="22"/>
              </w:rPr>
              <w:t>12.000.000</w:t>
            </w:r>
          </w:p>
        </w:tc>
        <w:tc>
          <w:tcPr>
            <w:tcW w:w="402" w:type="pct"/>
            <w:noWrap/>
            <w:vAlign w:val="center"/>
          </w:tcPr>
          <w:p w14:paraId="699D216E">
            <w:pPr>
              <w:jc w:val="center"/>
              <w:rPr>
                <w:b/>
                <w:bCs/>
                <w:color w:val="000000"/>
                <w:sz w:val="22"/>
                <w:szCs w:val="22"/>
              </w:rPr>
            </w:pPr>
          </w:p>
        </w:tc>
        <w:tc>
          <w:tcPr>
            <w:tcW w:w="402" w:type="pct"/>
            <w:noWrap/>
            <w:vAlign w:val="center"/>
          </w:tcPr>
          <w:p w14:paraId="4C186D06">
            <w:pPr>
              <w:jc w:val="center"/>
              <w:rPr>
                <w:color w:val="000000"/>
                <w:sz w:val="22"/>
                <w:szCs w:val="22"/>
              </w:rPr>
            </w:pPr>
          </w:p>
        </w:tc>
        <w:tc>
          <w:tcPr>
            <w:tcW w:w="402" w:type="pct"/>
            <w:noWrap/>
            <w:vAlign w:val="center"/>
          </w:tcPr>
          <w:p w14:paraId="601B66E1">
            <w:pPr>
              <w:jc w:val="center"/>
              <w:rPr>
                <w:color w:val="000000"/>
                <w:sz w:val="22"/>
                <w:szCs w:val="22"/>
              </w:rPr>
            </w:pPr>
          </w:p>
        </w:tc>
        <w:tc>
          <w:tcPr>
            <w:tcW w:w="402" w:type="pct"/>
            <w:noWrap/>
            <w:vAlign w:val="center"/>
          </w:tcPr>
          <w:p w14:paraId="1646AE91">
            <w:pPr>
              <w:jc w:val="center"/>
              <w:rPr>
                <w:color w:val="000000"/>
                <w:sz w:val="22"/>
                <w:szCs w:val="22"/>
              </w:rPr>
            </w:pPr>
          </w:p>
        </w:tc>
        <w:tc>
          <w:tcPr>
            <w:tcW w:w="402" w:type="pct"/>
            <w:noWrap/>
            <w:vAlign w:val="center"/>
          </w:tcPr>
          <w:p w14:paraId="30A3A893">
            <w:pPr>
              <w:jc w:val="center"/>
              <w:rPr>
                <w:color w:val="000000"/>
                <w:sz w:val="22"/>
                <w:szCs w:val="22"/>
              </w:rPr>
            </w:pPr>
          </w:p>
        </w:tc>
        <w:tc>
          <w:tcPr>
            <w:tcW w:w="421" w:type="pct"/>
            <w:noWrap/>
            <w:vAlign w:val="center"/>
          </w:tcPr>
          <w:p w14:paraId="1186D636">
            <w:pPr>
              <w:jc w:val="center"/>
              <w:rPr>
                <w:b/>
                <w:bCs/>
                <w:color w:val="000000"/>
                <w:sz w:val="22"/>
                <w:szCs w:val="22"/>
              </w:rPr>
            </w:pPr>
          </w:p>
        </w:tc>
        <w:tc>
          <w:tcPr>
            <w:tcW w:w="421" w:type="pct"/>
            <w:noWrap/>
            <w:vAlign w:val="center"/>
          </w:tcPr>
          <w:p w14:paraId="7CD4A20A">
            <w:pPr>
              <w:jc w:val="center"/>
              <w:rPr>
                <w:b/>
                <w:bCs/>
                <w:color w:val="000000"/>
                <w:sz w:val="22"/>
                <w:szCs w:val="22"/>
              </w:rPr>
            </w:pPr>
          </w:p>
        </w:tc>
      </w:tr>
      <w:tr w14:paraId="50BD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746AA661">
            <w:pPr>
              <w:jc w:val="center"/>
              <w:rPr>
                <w:b/>
                <w:bCs/>
                <w:color w:val="000000"/>
                <w:sz w:val="22"/>
                <w:szCs w:val="22"/>
              </w:rPr>
            </w:pPr>
            <w:r>
              <w:rPr>
                <w:b/>
                <w:bCs/>
                <w:color w:val="000000"/>
                <w:sz w:val="22"/>
                <w:szCs w:val="22"/>
              </w:rPr>
              <w:t>6</w:t>
            </w:r>
          </w:p>
        </w:tc>
        <w:tc>
          <w:tcPr>
            <w:tcW w:w="1536" w:type="pct"/>
          </w:tcPr>
          <w:p w14:paraId="3A7DDC76">
            <w:pPr>
              <w:rPr>
                <w:b/>
                <w:bCs/>
                <w:color w:val="000000"/>
                <w:sz w:val="22"/>
                <w:szCs w:val="22"/>
              </w:rPr>
            </w:pPr>
            <w:r>
              <w:rPr>
                <w:b/>
                <w:bCs/>
                <w:color w:val="000000"/>
                <w:sz w:val="22"/>
                <w:szCs w:val="22"/>
              </w:rPr>
              <w:t>Mặt cắt 3-3 (làn 2 đường Đại Huề): rộng 13,5m lòng đường rộng 7,5m, vỉa hè 2 bên rộng 3m+3m</w:t>
            </w:r>
          </w:p>
        </w:tc>
        <w:tc>
          <w:tcPr>
            <w:tcW w:w="402" w:type="pct"/>
            <w:noWrap/>
            <w:vAlign w:val="center"/>
          </w:tcPr>
          <w:p w14:paraId="097F7336">
            <w:pPr>
              <w:jc w:val="center"/>
              <w:rPr>
                <w:b/>
                <w:bCs/>
                <w:color w:val="000000"/>
                <w:sz w:val="22"/>
                <w:szCs w:val="22"/>
              </w:rPr>
            </w:pPr>
          </w:p>
        </w:tc>
        <w:tc>
          <w:tcPr>
            <w:tcW w:w="402" w:type="pct"/>
            <w:noWrap/>
            <w:vAlign w:val="center"/>
          </w:tcPr>
          <w:p w14:paraId="79739802">
            <w:pPr>
              <w:jc w:val="center"/>
              <w:rPr>
                <w:b/>
                <w:bCs/>
                <w:color w:val="000000"/>
                <w:sz w:val="22"/>
                <w:szCs w:val="22"/>
              </w:rPr>
            </w:pPr>
          </w:p>
        </w:tc>
        <w:tc>
          <w:tcPr>
            <w:tcW w:w="402" w:type="pct"/>
            <w:noWrap/>
            <w:vAlign w:val="center"/>
          </w:tcPr>
          <w:p w14:paraId="629B8A2C">
            <w:pPr>
              <w:jc w:val="center"/>
              <w:rPr>
                <w:color w:val="000000"/>
                <w:sz w:val="22"/>
                <w:szCs w:val="22"/>
              </w:rPr>
            </w:pPr>
          </w:p>
        </w:tc>
        <w:tc>
          <w:tcPr>
            <w:tcW w:w="402" w:type="pct"/>
            <w:noWrap/>
            <w:vAlign w:val="center"/>
          </w:tcPr>
          <w:p w14:paraId="0410A729">
            <w:pPr>
              <w:jc w:val="center"/>
              <w:rPr>
                <w:color w:val="000000"/>
                <w:sz w:val="22"/>
                <w:szCs w:val="22"/>
              </w:rPr>
            </w:pPr>
          </w:p>
        </w:tc>
        <w:tc>
          <w:tcPr>
            <w:tcW w:w="402" w:type="pct"/>
            <w:noWrap/>
            <w:vAlign w:val="center"/>
          </w:tcPr>
          <w:p w14:paraId="0DE975F6">
            <w:pPr>
              <w:jc w:val="center"/>
              <w:rPr>
                <w:color w:val="000000"/>
                <w:sz w:val="22"/>
                <w:szCs w:val="22"/>
              </w:rPr>
            </w:pPr>
          </w:p>
        </w:tc>
        <w:tc>
          <w:tcPr>
            <w:tcW w:w="402" w:type="pct"/>
            <w:noWrap/>
            <w:vAlign w:val="center"/>
          </w:tcPr>
          <w:p w14:paraId="505F1C55">
            <w:pPr>
              <w:jc w:val="center"/>
              <w:rPr>
                <w:color w:val="000000"/>
                <w:sz w:val="22"/>
                <w:szCs w:val="22"/>
              </w:rPr>
            </w:pPr>
          </w:p>
        </w:tc>
        <w:tc>
          <w:tcPr>
            <w:tcW w:w="421" w:type="pct"/>
            <w:noWrap/>
            <w:vAlign w:val="center"/>
          </w:tcPr>
          <w:p w14:paraId="6BCECB08">
            <w:pPr>
              <w:jc w:val="center"/>
              <w:rPr>
                <w:b/>
                <w:bCs/>
                <w:color w:val="000000"/>
                <w:sz w:val="22"/>
                <w:szCs w:val="22"/>
              </w:rPr>
            </w:pPr>
          </w:p>
        </w:tc>
        <w:tc>
          <w:tcPr>
            <w:tcW w:w="421" w:type="pct"/>
            <w:noWrap/>
            <w:vAlign w:val="center"/>
          </w:tcPr>
          <w:p w14:paraId="774FF028">
            <w:pPr>
              <w:jc w:val="center"/>
              <w:rPr>
                <w:b/>
                <w:bCs/>
                <w:color w:val="000000"/>
                <w:sz w:val="22"/>
                <w:szCs w:val="22"/>
              </w:rPr>
            </w:pPr>
          </w:p>
        </w:tc>
      </w:tr>
      <w:tr w14:paraId="4903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05186FA7">
            <w:pPr>
              <w:jc w:val="center"/>
              <w:rPr>
                <w:color w:val="000000"/>
                <w:sz w:val="22"/>
                <w:szCs w:val="22"/>
              </w:rPr>
            </w:pPr>
            <w:r>
              <w:rPr>
                <w:color w:val="000000"/>
                <w:sz w:val="22"/>
                <w:szCs w:val="22"/>
              </w:rPr>
              <w:t> </w:t>
            </w:r>
          </w:p>
        </w:tc>
        <w:tc>
          <w:tcPr>
            <w:tcW w:w="1536" w:type="pct"/>
          </w:tcPr>
          <w:p w14:paraId="157FFAA4">
            <w:pPr>
              <w:rPr>
                <w:color w:val="000000"/>
                <w:sz w:val="22"/>
                <w:szCs w:val="22"/>
              </w:rPr>
            </w:pPr>
            <w:r>
              <w:rPr>
                <w:color w:val="000000"/>
                <w:sz w:val="22"/>
                <w:szCs w:val="22"/>
              </w:rPr>
              <w:t>Tiếp giáp Một mặt tiền</w:t>
            </w:r>
          </w:p>
        </w:tc>
        <w:tc>
          <w:tcPr>
            <w:tcW w:w="402" w:type="pct"/>
            <w:noWrap/>
            <w:vAlign w:val="center"/>
          </w:tcPr>
          <w:p w14:paraId="69BF160E">
            <w:pPr>
              <w:jc w:val="center"/>
              <w:rPr>
                <w:color w:val="000000"/>
                <w:sz w:val="22"/>
                <w:szCs w:val="22"/>
              </w:rPr>
            </w:pPr>
            <w:r>
              <w:rPr>
                <w:color w:val="000000"/>
                <w:sz w:val="22"/>
                <w:szCs w:val="22"/>
              </w:rPr>
              <w:t>10.800.000</w:t>
            </w:r>
          </w:p>
        </w:tc>
        <w:tc>
          <w:tcPr>
            <w:tcW w:w="402" w:type="pct"/>
            <w:noWrap/>
            <w:vAlign w:val="center"/>
          </w:tcPr>
          <w:p w14:paraId="62BE04EE">
            <w:pPr>
              <w:jc w:val="center"/>
              <w:rPr>
                <w:b/>
                <w:bCs/>
                <w:color w:val="000000"/>
                <w:sz w:val="22"/>
                <w:szCs w:val="22"/>
              </w:rPr>
            </w:pPr>
          </w:p>
        </w:tc>
        <w:tc>
          <w:tcPr>
            <w:tcW w:w="402" w:type="pct"/>
            <w:noWrap/>
            <w:vAlign w:val="center"/>
          </w:tcPr>
          <w:p w14:paraId="2ED0033E">
            <w:pPr>
              <w:jc w:val="center"/>
              <w:rPr>
                <w:color w:val="000000"/>
                <w:sz w:val="22"/>
                <w:szCs w:val="22"/>
              </w:rPr>
            </w:pPr>
          </w:p>
        </w:tc>
        <w:tc>
          <w:tcPr>
            <w:tcW w:w="402" w:type="pct"/>
            <w:noWrap/>
            <w:vAlign w:val="center"/>
          </w:tcPr>
          <w:p w14:paraId="7D1920C2">
            <w:pPr>
              <w:jc w:val="center"/>
              <w:rPr>
                <w:color w:val="000000"/>
                <w:sz w:val="22"/>
                <w:szCs w:val="22"/>
              </w:rPr>
            </w:pPr>
          </w:p>
        </w:tc>
        <w:tc>
          <w:tcPr>
            <w:tcW w:w="402" w:type="pct"/>
            <w:noWrap/>
            <w:vAlign w:val="center"/>
          </w:tcPr>
          <w:p w14:paraId="480ABE5E">
            <w:pPr>
              <w:jc w:val="center"/>
              <w:rPr>
                <w:color w:val="000000"/>
                <w:sz w:val="22"/>
                <w:szCs w:val="22"/>
              </w:rPr>
            </w:pPr>
          </w:p>
        </w:tc>
        <w:tc>
          <w:tcPr>
            <w:tcW w:w="402" w:type="pct"/>
            <w:noWrap/>
            <w:vAlign w:val="center"/>
          </w:tcPr>
          <w:p w14:paraId="5F35FAC8">
            <w:pPr>
              <w:jc w:val="center"/>
              <w:rPr>
                <w:color w:val="000000"/>
                <w:sz w:val="22"/>
                <w:szCs w:val="22"/>
              </w:rPr>
            </w:pPr>
          </w:p>
        </w:tc>
        <w:tc>
          <w:tcPr>
            <w:tcW w:w="421" w:type="pct"/>
            <w:noWrap/>
            <w:vAlign w:val="center"/>
          </w:tcPr>
          <w:p w14:paraId="34E2B44E">
            <w:pPr>
              <w:jc w:val="center"/>
              <w:rPr>
                <w:b/>
                <w:bCs/>
                <w:color w:val="000000"/>
                <w:sz w:val="22"/>
                <w:szCs w:val="22"/>
              </w:rPr>
            </w:pPr>
            <w:r>
              <w:rPr>
                <w:b/>
                <w:bCs/>
                <w:color w:val="000000"/>
                <w:sz w:val="22"/>
                <w:szCs w:val="22"/>
              </w:rPr>
              <w:t>Phụ lục 06</w:t>
            </w:r>
          </w:p>
        </w:tc>
        <w:tc>
          <w:tcPr>
            <w:tcW w:w="421" w:type="pct"/>
            <w:noWrap/>
            <w:vAlign w:val="center"/>
          </w:tcPr>
          <w:p w14:paraId="782BF285">
            <w:pPr>
              <w:jc w:val="center"/>
              <w:rPr>
                <w:b/>
                <w:bCs/>
                <w:color w:val="000000"/>
                <w:sz w:val="22"/>
                <w:szCs w:val="22"/>
              </w:rPr>
            </w:pPr>
          </w:p>
        </w:tc>
      </w:tr>
      <w:tr w14:paraId="42BB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2FB0C4DE">
            <w:pPr>
              <w:jc w:val="center"/>
              <w:rPr>
                <w:color w:val="000000"/>
                <w:sz w:val="22"/>
                <w:szCs w:val="22"/>
              </w:rPr>
            </w:pPr>
            <w:r>
              <w:rPr>
                <w:color w:val="000000"/>
                <w:sz w:val="22"/>
                <w:szCs w:val="22"/>
              </w:rPr>
              <w:t> </w:t>
            </w:r>
          </w:p>
        </w:tc>
        <w:tc>
          <w:tcPr>
            <w:tcW w:w="1536" w:type="pct"/>
          </w:tcPr>
          <w:p w14:paraId="2B7D363E">
            <w:pPr>
              <w:rPr>
                <w:color w:val="000000"/>
                <w:sz w:val="22"/>
                <w:szCs w:val="22"/>
              </w:rPr>
            </w:pPr>
            <w:r>
              <w:rPr>
                <w:color w:val="000000"/>
                <w:sz w:val="22"/>
                <w:szCs w:val="22"/>
              </w:rPr>
              <w:t>Tiếp giáp Một mặt tiền, đối diện/tiếp giáp cây xanh - mặt nước</w:t>
            </w:r>
          </w:p>
        </w:tc>
        <w:tc>
          <w:tcPr>
            <w:tcW w:w="402" w:type="pct"/>
            <w:noWrap/>
            <w:vAlign w:val="center"/>
          </w:tcPr>
          <w:p w14:paraId="7D96A7D6">
            <w:pPr>
              <w:jc w:val="center"/>
              <w:rPr>
                <w:color w:val="000000"/>
                <w:sz w:val="22"/>
                <w:szCs w:val="22"/>
              </w:rPr>
            </w:pPr>
            <w:r>
              <w:rPr>
                <w:color w:val="000000"/>
                <w:sz w:val="22"/>
                <w:szCs w:val="22"/>
              </w:rPr>
              <w:t>11.340.000</w:t>
            </w:r>
          </w:p>
        </w:tc>
        <w:tc>
          <w:tcPr>
            <w:tcW w:w="402" w:type="pct"/>
            <w:noWrap/>
            <w:vAlign w:val="center"/>
          </w:tcPr>
          <w:p w14:paraId="17B1A93E">
            <w:pPr>
              <w:jc w:val="center"/>
              <w:rPr>
                <w:b/>
                <w:bCs/>
                <w:color w:val="000000"/>
                <w:sz w:val="22"/>
                <w:szCs w:val="22"/>
              </w:rPr>
            </w:pPr>
          </w:p>
        </w:tc>
        <w:tc>
          <w:tcPr>
            <w:tcW w:w="402" w:type="pct"/>
            <w:noWrap/>
            <w:vAlign w:val="center"/>
          </w:tcPr>
          <w:p w14:paraId="15B6639A">
            <w:pPr>
              <w:jc w:val="center"/>
              <w:rPr>
                <w:color w:val="000000"/>
                <w:sz w:val="22"/>
                <w:szCs w:val="22"/>
              </w:rPr>
            </w:pPr>
          </w:p>
        </w:tc>
        <w:tc>
          <w:tcPr>
            <w:tcW w:w="402" w:type="pct"/>
            <w:noWrap/>
            <w:vAlign w:val="center"/>
          </w:tcPr>
          <w:p w14:paraId="1117C7A4">
            <w:pPr>
              <w:jc w:val="center"/>
              <w:rPr>
                <w:color w:val="000000"/>
                <w:sz w:val="22"/>
                <w:szCs w:val="22"/>
              </w:rPr>
            </w:pPr>
          </w:p>
        </w:tc>
        <w:tc>
          <w:tcPr>
            <w:tcW w:w="402" w:type="pct"/>
            <w:noWrap/>
            <w:vAlign w:val="center"/>
          </w:tcPr>
          <w:p w14:paraId="585296FF">
            <w:pPr>
              <w:jc w:val="center"/>
              <w:rPr>
                <w:color w:val="000000"/>
                <w:sz w:val="22"/>
                <w:szCs w:val="22"/>
              </w:rPr>
            </w:pPr>
          </w:p>
        </w:tc>
        <w:tc>
          <w:tcPr>
            <w:tcW w:w="402" w:type="pct"/>
            <w:noWrap/>
            <w:vAlign w:val="center"/>
          </w:tcPr>
          <w:p w14:paraId="7377AC38">
            <w:pPr>
              <w:jc w:val="center"/>
              <w:rPr>
                <w:color w:val="000000"/>
                <w:sz w:val="22"/>
                <w:szCs w:val="22"/>
              </w:rPr>
            </w:pPr>
          </w:p>
        </w:tc>
        <w:tc>
          <w:tcPr>
            <w:tcW w:w="421" w:type="pct"/>
            <w:noWrap/>
            <w:vAlign w:val="center"/>
          </w:tcPr>
          <w:p w14:paraId="5116DCA6">
            <w:pPr>
              <w:jc w:val="center"/>
              <w:rPr>
                <w:b/>
                <w:bCs/>
                <w:color w:val="000000"/>
                <w:sz w:val="22"/>
                <w:szCs w:val="22"/>
              </w:rPr>
            </w:pPr>
          </w:p>
        </w:tc>
        <w:tc>
          <w:tcPr>
            <w:tcW w:w="421" w:type="pct"/>
            <w:noWrap/>
            <w:vAlign w:val="center"/>
          </w:tcPr>
          <w:p w14:paraId="751BB354">
            <w:pPr>
              <w:jc w:val="center"/>
              <w:rPr>
                <w:b/>
                <w:bCs/>
                <w:color w:val="000000"/>
                <w:sz w:val="22"/>
                <w:szCs w:val="22"/>
              </w:rPr>
            </w:pPr>
          </w:p>
        </w:tc>
      </w:tr>
      <w:tr w14:paraId="4798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31371DD5">
            <w:pPr>
              <w:jc w:val="center"/>
              <w:rPr>
                <w:color w:val="000000"/>
                <w:sz w:val="22"/>
                <w:szCs w:val="22"/>
              </w:rPr>
            </w:pPr>
            <w:r>
              <w:rPr>
                <w:color w:val="000000"/>
                <w:sz w:val="22"/>
                <w:szCs w:val="22"/>
              </w:rPr>
              <w:t> </w:t>
            </w:r>
          </w:p>
        </w:tc>
        <w:tc>
          <w:tcPr>
            <w:tcW w:w="1536" w:type="pct"/>
          </w:tcPr>
          <w:p w14:paraId="2A8045C1">
            <w:pPr>
              <w:rPr>
                <w:color w:val="000000"/>
                <w:sz w:val="22"/>
                <w:szCs w:val="22"/>
              </w:rPr>
            </w:pPr>
            <w:r>
              <w:rPr>
                <w:color w:val="000000"/>
                <w:sz w:val="22"/>
                <w:szCs w:val="22"/>
              </w:rPr>
              <w:t>Tiếp giáp Hai mặt tiền</w:t>
            </w:r>
          </w:p>
        </w:tc>
        <w:tc>
          <w:tcPr>
            <w:tcW w:w="402" w:type="pct"/>
            <w:noWrap/>
            <w:vAlign w:val="center"/>
          </w:tcPr>
          <w:p w14:paraId="1600BAA2">
            <w:pPr>
              <w:jc w:val="center"/>
              <w:rPr>
                <w:color w:val="000000"/>
                <w:sz w:val="22"/>
                <w:szCs w:val="22"/>
              </w:rPr>
            </w:pPr>
            <w:r>
              <w:rPr>
                <w:color w:val="000000"/>
                <w:sz w:val="22"/>
                <w:szCs w:val="22"/>
              </w:rPr>
              <w:t>12.420.000</w:t>
            </w:r>
          </w:p>
        </w:tc>
        <w:tc>
          <w:tcPr>
            <w:tcW w:w="402" w:type="pct"/>
            <w:noWrap/>
            <w:vAlign w:val="center"/>
          </w:tcPr>
          <w:p w14:paraId="35049133">
            <w:pPr>
              <w:jc w:val="center"/>
              <w:rPr>
                <w:b/>
                <w:bCs/>
                <w:color w:val="000000"/>
                <w:sz w:val="22"/>
                <w:szCs w:val="22"/>
              </w:rPr>
            </w:pPr>
          </w:p>
        </w:tc>
        <w:tc>
          <w:tcPr>
            <w:tcW w:w="402" w:type="pct"/>
            <w:noWrap/>
            <w:vAlign w:val="center"/>
          </w:tcPr>
          <w:p w14:paraId="0B431BC9">
            <w:pPr>
              <w:jc w:val="center"/>
              <w:rPr>
                <w:color w:val="000000"/>
                <w:sz w:val="22"/>
                <w:szCs w:val="22"/>
              </w:rPr>
            </w:pPr>
          </w:p>
        </w:tc>
        <w:tc>
          <w:tcPr>
            <w:tcW w:w="402" w:type="pct"/>
            <w:noWrap/>
            <w:vAlign w:val="center"/>
          </w:tcPr>
          <w:p w14:paraId="288DA1B9">
            <w:pPr>
              <w:jc w:val="center"/>
              <w:rPr>
                <w:color w:val="000000"/>
                <w:sz w:val="22"/>
                <w:szCs w:val="22"/>
              </w:rPr>
            </w:pPr>
          </w:p>
        </w:tc>
        <w:tc>
          <w:tcPr>
            <w:tcW w:w="402" w:type="pct"/>
            <w:noWrap/>
            <w:vAlign w:val="center"/>
          </w:tcPr>
          <w:p w14:paraId="5C81F66B">
            <w:pPr>
              <w:jc w:val="center"/>
              <w:rPr>
                <w:color w:val="000000"/>
                <w:sz w:val="22"/>
                <w:szCs w:val="22"/>
              </w:rPr>
            </w:pPr>
          </w:p>
        </w:tc>
        <w:tc>
          <w:tcPr>
            <w:tcW w:w="402" w:type="pct"/>
            <w:noWrap/>
            <w:vAlign w:val="center"/>
          </w:tcPr>
          <w:p w14:paraId="00D75A44">
            <w:pPr>
              <w:jc w:val="center"/>
              <w:rPr>
                <w:color w:val="000000"/>
                <w:sz w:val="22"/>
                <w:szCs w:val="22"/>
              </w:rPr>
            </w:pPr>
          </w:p>
        </w:tc>
        <w:tc>
          <w:tcPr>
            <w:tcW w:w="421" w:type="pct"/>
            <w:noWrap/>
            <w:vAlign w:val="center"/>
          </w:tcPr>
          <w:p w14:paraId="60AE8BB0">
            <w:pPr>
              <w:jc w:val="center"/>
              <w:rPr>
                <w:b/>
                <w:bCs/>
                <w:color w:val="000000"/>
                <w:sz w:val="22"/>
                <w:szCs w:val="22"/>
              </w:rPr>
            </w:pPr>
          </w:p>
        </w:tc>
        <w:tc>
          <w:tcPr>
            <w:tcW w:w="421" w:type="pct"/>
            <w:noWrap/>
            <w:vAlign w:val="center"/>
          </w:tcPr>
          <w:p w14:paraId="2331C67E">
            <w:pPr>
              <w:jc w:val="center"/>
              <w:rPr>
                <w:b/>
                <w:bCs/>
                <w:color w:val="000000"/>
                <w:sz w:val="22"/>
                <w:szCs w:val="22"/>
              </w:rPr>
            </w:pPr>
          </w:p>
        </w:tc>
      </w:tr>
      <w:tr w14:paraId="7919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42D00A53">
            <w:pPr>
              <w:jc w:val="center"/>
              <w:rPr>
                <w:color w:val="000000"/>
                <w:sz w:val="22"/>
                <w:szCs w:val="22"/>
              </w:rPr>
            </w:pPr>
            <w:r>
              <w:rPr>
                <w:color w:val="000000"/>
                <w:sz w:val="22"/>
                <w:szCs w:val="22"/>
              </w:rPr>
              <w:t> </w:t>
            </w:r>
          </w:p>
        </w:tc>
        <w:tc>
          <w:tcPr>
            <w:tcW w:w="1536" w:type="pct"/>
          </w:tcPr>
          <w:p w14:paraId="4228EDDD">
            <w:pPr>
              <w:rPr>
                <w:color w:val="000000"/>
                <w:sz w:val="22"/>
                <w:szCs w:val="22"/>
              </w:rPr>
            </w:pPr>
            <w:r>
              <w:rPr>
                <w:color w:val="000000"/>
                <w:sz w:val="22"/>
                <w:szCs w:val="22"/>
              </w:rPr>
              <w:t>Tiếp giáp Hai mặt tiền, đối diện/tiếp giáp cây xanh - mặt nước</w:t>
            </w:r>
          </w:p>
        </w:tc>
        <w:tc>
          <w:tcPr>
            <w:tcW w:w="402" w:type="pct"/>
            <w:noWrap/>
            <w:vAlign w:val="center"/>
          </w:tcPr>
          <w:p w14:paraId="373A1DB7">
            <w:pPr>
              <w:jc w:val="center"/>
              <w:rPr>
                <w:color w:val="000000"/>
                <w:sz w:val="22"/>
                <w:szCs w:val="22"/>
              </w:rPr>
            </w:pPr>
            <w:r>
              <w:rPr>
                <w:color w:val="000000"/>
                <w:sz w:val="22"/>
                <w:szCs w:val="22"/>
              </w:rPr>
              <w:t>12.960.000</w:t>
            </w:r>
          </w:p>
        </w:tc>
        <w:tc>
          <w:tcPr>
            <w:tcW w:w="402" w:type="pct"/>
            <w:noWrap/>
            <w:vAlign w:val="center"/>
          </w:tcPr>
          <w:p w14:paraId="4B92B492">
            <w:pPr>
              <w:jc w:val="center"/>
              <w:rPr>
                <w:b/>
                <w:bCs/>
                <w:color w:val="000000"/>
                <w:sz w:val="22"/>
                <w:szCs w:val="22"/>
              </w:rPr>
            </w:pPr>
          </w:p>
        </w:tc>
        <w:tc>
          <w:tcPr>
            <w:tcW w:w="402" w:type="pct"/>
            <w:noWrap/>
            <w:vAlign w:val="center"/>
          </w:tcPr>
          <w:p w14:paraId="56261CA1">
            <w:pPr>
              <w:jc w:val="center"/>
              <w:rPr>
                <w:color w:val="000000"/>
                <w:sz w:val="22"/>
                <w:szCs w:val="22"/>
              </w:rPr>
            </w:pPr>
          </w:p>
        </w:tc>
        <w:tc>
          <w:tcPr>
            <w:tcW w:w="402" w:type="pct"/>
            <w:noWrap/>
            <w:vAlign w:val="center"/>
          </w:tcPr>
          <w:p w14:paraId="0F25334B">
            <w:pPr>
              <w:jc w:val="center"/>
              <w:rPr>
                <w:color w:val="000000"/>
                <w:sz w:val="22"/>
                <w:szCs w:val="22"/>
              </w:rPr>
            </w:pPr>
          </w:p>
        </w:tc>
        <w:tc>
          <w:tcPr>
            <w:tcW w:w="402" w:type="pct"/>
            <w:noWrap/>
            <w:vAlign w:val="center"/>
          </w:tcPr>
          <w:p w14:paraId="212D7FD1">
            <w:pPr>
              <w:jc w:val="center"/>
              <w:rPr>
                <w:color w:val="000000"/>
                <w:sz w:val="22"/>
                <w:szCs w:val="22"/>
              </w:rPr>
            </w:pPr>
          </w:p>
        </w:tc>
        <w:tc>
          <w:tcPr>
            <w:tcW w:w="402" w:type="pct"/>
            <w:noWrap/>
            <w:vAlign w:val="center"/>
          </w:tcPr>
          <w:p w14:paraId="698D37E9">
            <w:pPr>
              <w:jc w:val="center"/>
              <w:rPr>
                <w:color w:val="000000"/>
                <w:sz w:val="22"/>
                <w:szCs w:val="22"/>
              </w:rPr>
            </w:pPr>
          </w:p>
        </w:tc>
        <w:tc>
          <w:tcPr>
            <w:tcW w:w="421" w:type="pct"/>
            <w:noWrap/>
            <w:vAlign w:val="center"/>
          </w:tcPr>
          <w:p w14:paraId="69A6CE51">
            <w:pPr>
              <w:jc w:val="center"/>
              <w:rPr>
                <w:b/>
                <w:bCs/>
                <w:color w:val="000000"/>
                <w:sz w:val="22"/>
                <w:szCs w:val="22"/>
              </w:rPr>
            </w:pPr>
          </w:p>
        </w:tc>
        <w:tc>
          <w:tcPr>
            <w:tcW w:w="421" w:type="pct"/>
            <w:noWrap/>
            <w:vAlign w:val="center"/>
          </w:tcPr>
          <w:p w14:paraId="3F45F01D">
            <w:pPr>
              <w:jc w:val="center"/>
              <w:rPr>
                <w:b/>
                <w:bCs/>
                <w:color w:val="000000"/>
                <w:sz w:val="22"/>
                <w:szCs w:val="22"/>
              </w:rPr>
            </w:pPr>
          </w:p>
        </w:tc>
      </w:tr>
      <w:tr w14:paraId="7E23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5C41E12B">
            <w:pPr>
              <w:jc w:val="center"/>
              <w:rPr>
                <w:b/>
                <w:bCs/>
                <w:color w:val="000000"/>
                <w:sz w:val="22"/>
                <w:szCs w:val="22"/>
              </w:rPr>
            </w:pPr>
            <w:r>
              <w:rPr>
                <w:b/>
                <w:bCs/>
                <w:color w:val="000000"/>
                <w:sz w:val="22"/>
                <w:szCs w:val="22"/>
              </w:rPr>
              <w:t>7</w:t>
            </w:r>
          </w:p>
        </w:tc>
        <w:tc>
          <w:tcPr>
            <w:tcW w:w="1536" w:type="pct"/>
          </w:tcPr>
          <w:p w14:paraId="66681A24">
            <w:pPr>
              <w:rPr>
                <w:b/>
                <w:bCs/>
                <w:color w:val="000000"/>
                <w:sz w:val="22"/>
                <w:szCs w:val="22"/>
              </w:rPr>
            </w:pPr>
            <w:r>
              <w:rPr>
                <w:b/>
                <w:bCs/>
                <w:color w:val="000000"/>
                <w:sz w:val="22"/>
                <w:szCs w:val="22"/>
              </w:rPr>
              <w:t>Mặt cắt 3-3 các đoạn còn lại: rộng 13,5m lòng đường rộng 7,5m, vỉa hè 2 bên rộng 3m+3m</w:t>
            </w:r>
          </w:p>
        </w:tc>
        <w:tc>
          <w:tcPr>
            <w:tcW w:w="402" w:type="pct"/>
            <w:noWrap/>
            <w:vAlign w:val="center"/>
          </w:tcPr>
          <w:p w14:paraId="42BFCA05">
            <w:pPr>
              <w:jc w:val="center"/>
              <w:rPr>
                <w:b/>
                <w:bCs/>
                <w:color w:val="000000"/>
                <w:sz w:val="22"/>
                <w:szCs w:val="22"/>
              </w:rPr>
            </w:pPr>
          </w:p>
        </w:tc>
        <w:tc>
          <w:tcPr>
            <w:tcW w:w="402" w:type="pct"/>
            <w:noWrap/>
            <w:vAlign w:val="center"/>
          </w:tcPr>
          <w:p w14:paraId="52B5EDB8">
            <w:pPr>
              <w:jc w:val="center"/>
              <w:rPr>
                <w:color w:val="000000"/>
                <w:sz w:val="22"/>
                <w:szCs w:val="22"/>
              </w:rPr>
            </w:pPr>
          </w:p>
        </w:tc>
        <w:tc>
          <w:tcPr>
            <w:tcW w:w="402" w:type="pct"/>
            <w:noWrap/>
            <w:vAlign w:val="center"/>
          </w:tcPr>
          <w:p w14:paraId="286D85C2">
            <w:pPr>
              <w:jc w:val="center"/>
              <w:rPr>
                <w:color w:val="000000"/>
                <w:sz w:val="22"/>
                <w:szCs w:val="22"/>
              </w:rPr>
            </w:pPr>
          </w:p>
        </w:tc>
        <w:tc>
          <w:tcPr>
            <w:tcW w:w="402" w:type="pct"/>
            <w:noWrap/>
            <w:vAlign w:val="center"/>
          </w:tcPr>
          <w:p w14:paraId="0CB13C1F">
            <w:pPr>
              <w:jc w:val="center"/>
              <w:rPr>
                <w:color w:val="000000"/>
                <w:sz w:val="22"/>
                <w:szCs w:val="22"/>
              </w:rPr>
            </w:pPr>
          </w:p>
        </w:tc>
        <w:tc>
          <w:tcPr>
            <w:tcW w:w="402" w:type="pct"/>
            <w:noWrap/>
            <w:vAlign w:val="center"/>
          </w:tcPr>
          <w:p w14:paraId="065C202C">
            <w:pPr>
              <w:jc w:val="center"/>
              <w:rPr>
                <w:color w:val="000000"/>
                <w:sz w:val="22"/>
                <w:szCs w:val="22"/>
              </w:rPr>
            </w:pPr>
          </w:p>
        </w:tc>
        <w:tc>
          <w:tcPr>
            <w:tcW w:w="402" w:type="pct"/>
            <w:noWrap/>
            <w:vAlign w:val="center"/>
          </w:tcPr>
          <w:p w14:paraId="174AE039">
            <w:pPr>
              <w:jc w:val="center"/>
              <w:rPr>
                <w:color w:val="000000"/>
                <w:sz w:val="22"/>
                <w:szCs w:val="22"/>
              </w:rPr>
            </w:pPr>
          </w:p>
        </w:tc>
        <w:tc>
          <w:tcPr>
            <w:tcW w:w="421" w:type="pct"/>
            <w:noWrap/>
            <w:vAlign w:val="center"/>
          </w:tcPr>
          <w:p w14:paraId="2E88B2F0">
            <w:pPr>
              <w:jc w:val="center"/>
              <w:rPr>
                <w:color w:val="000000"/>
                <w:sz w:val="22"/>
                <w:szCs w:val="22"/>
              </w:rPr>
            </w:pPr>
          </w:p>
        </w:tc>
        <w:tc>
          <w:tcPr>
            <w:tcW w:w="421" w:type="pct"/>
            <w:noWrap/>
            <w:vAlign w:val="center"/>
          </w:tcPr>
          <w:p w14:paraId="4D457EEC">
            <w:pPr>
              <w:jc w:val="center"/>
              <w:rPr>
                <w:color w:val="000000"/>
                <w:sz w:val="22"/>
                <w:szCs w:val="22"/>
              </w:rPr>
            </w:pPr>
          </w:p>
        </w:tc>
      </w:tr>
      <w:tr w14:paraId="6786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20BCD2B0">
            <w:pPr>
              <w:jc w:val="center"/>
              <w:rPr>
                <w:color w:val="000000"/>
                <w:sz w:val="22"/>
                <w:szCs w:val="22"/>
              </w:rPr>
            </w:pPr>
            <w:r>
              <w:rPr>
                <w:color w:val="000000"/>
                <w:sz w:val="22"/>
                <w:szCs w:val="22"/>
              </w:rPr>
              <w:t> </w:t>
            </w:r>
          </w:p>
        </w:tc>
        <w:tc>
          <w:tcPr>
            <w:tcW w:w="1536" w:type="pct"/>
          </w:tcPr>
          <w:p w14:paraId="06EB655C">
            <w:pPr>
              <w:rPr>
                <w:color w:val="000000"/>
                <w:sz w:val="22"/>
                <w:szCs w:val="22"/>
              </w:rPr>
            </w:pPr>
            <w:r>
              <w:rPr>
                <w:color w:val="000000"/>
                <w:sz w:val="22"/>
                <w:szCs w:val="22"/>
              </w:rPr>
              <w:t>Tiếp giáp Một mặt tiền</w:t>
            </w:r>
          </w:p>
        </w:tc>
        <w:tc>
          <w:tcPr>
            <w:tcW w:w="402" w:type="pct"/>
            <w:noWrap/>
            <w:vAlign w:val="center"/>
          </w:tcPr>
          <w:p w14:paraId="0F9C2F79">
            <w:pPr>
              <w:jc w:val="center"/>
              <w:rPr>
                <w:color w:val="000000"/>
                <w:sz w:val="22"/>
                <w:szCs w:val="22"/>
              </w:rPr>
            </w:pPr>
            <w:r>
              <w:rPr>
                <w:color w:val="000000"/>
                <w:sz w:val="22"/>
                <w:szCs w:val="22"/>
              </w:rPr>
              <w:t>8.000.000</w:t>
            </w:r>
          </w:p>
        </w:tc>
        <w:tc>
          <w:tcPr>
            <w:tcW w:w="402" w:type="pct"/>
            <w:noWrap/>
            <w:vAlign w:val="center"/>
          </w:tcPr>
          <w:p w14:paraId="75D5FF82">
            <w:pPr>
              <w:jc w:val="center"/>
              <w:rPr>
                <w:b/>
                <w:bCs/>
                <w:color w:val="000000"/>
                <w:sz w:val="22"/>
                <w:szCs w:val="22"/>
              </w:rPr>
            </w:pPr>
          </w:p>
        </w:tc>
        <w:tc>
          <w:tcPr>
            <w:tcW w:w="402" w:type="pct"/>
            <w:noWrap/>
            <w:vAlign w:val="center"/>
          </w:tcPr>
          <w:p w14:paraId="2DB8142A">
            <w:pPr>
              <w:jc w:val="center"/>
              <w:rPr>
                <w:color w:val="000000"/>
                <w:sz w:val="22"/>
                <w:szCs w:val="22"/>
              </w:rPr>
            </w:pPr>
          </w:p>
        </w:tc>
        <w:tc>
          <w:tcPr>
            <w:tcW w:w="402" w:type="pct"/>
            <w:noWrap/>
            <w:vAlign w:val="center"/>
          </w:tcPr>
          <w:p w14:paraId="09EA6581">
            <w:pPr>
              <w:jc w:val="center"/>
              <w:rPr>
                <w:b/>
                <w:bCs/>
                <w:color w:val="000000"/>
                <w:sz w:val="22"/>
                <w:szCs w:val="22"/>
              </w:rPr>
            </w:pPr>
          </w:p>
        </w:tc>
        <w:tc>
          <w:tcPr>
            <w:tcW w:w="402" w:type="pct"/>
            <w:noWrap/>
            <w:vAlign w:val="center"/>
          </w:tcPr>
          <w:p w14:paraId="0044BBF7">
            <w:pPr>
              <w:jc w:val="center"/>
              <w:rPr>
                <w:b/>
                <w:bCs/>
                <w:color w:val="000000"/>
                <w:sz w:val="22"/>
                <w:szCs w:val="22"/>
              </w:rPr>
            </w:pPr>
          </w:p>
        </w:tc>
        <w:tc>
          <w:tcPr>
            <w:tcW w:w="402" w:type="pct"/>
            <w:noWrap/>
            <w:vAlign w:val="center"/>
          </w:tcPr>
          <w:p w14:paraId="67EBABC0">
            <w:pPr>
              <w:jc w:val="center"/>
              <w:rPr>
                <w:b/>
                <w:bCs/>
                <w:color w:val="000000"/>
                <w:sz w:val="22"/>
                <w:szCs w:val="22"/>
              </w:rPr>
            </w:pPr>
          </w:p>
        </w:tc>
        <w:tc>
          <w:tcPr>
            <w:tcW w:w="421" w:type="pct"/>
            <w:noWrap/>
            <w:vAlign w:val="center"/>
          </w:tcPr>
          <w:p w14:paraId="5728C75B">
            <w:pPr>
              <w:jc w:val="center"/>
              <w:rPr>
                <w:b/>
                <w:bCs/>
                <w:color w:val="000000"/>
                <w:sz w:val="22"/>
                <w:szCs w:val="22"/>
              </w:rPr>
            </w:pPr>
            <w:r>
              <w:rPr>
                <w:b/>
                <w:bCs/>
                <w:color w:val="000000"/>
                <w:sz w:val="22"/>
                <w:szCs w:val="22"/>
              </w:rPr>
              <w:t>Phụ lục 07</w:t>
            </w:r>
          </w:p>
        </w:tc>
        <w:tc>
          <w:tcPr>
            <w:tcW w:w="421" w:type="pct"/>
            <w:noWrap/>
            <w:vAlign w:val="center"/>
          </w:tcPr>
          <w:p w14:paraId="5274D7C8">
            <w:pPr>
              <w:jc w:val="center"/>
              <w:rPr>
                <w:b/>
                <w:bCs/>
                <w:color w:val="000000"/>
                <w:sz w:val="22"/>
                <w:szCs w:val="22"/>
              </w:rPr>
            </w:pPr>
          </w:p>
        </w:tc>
      </w:tr>
      <w:tr w14:paraId="53E6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4003FF48">
            <w:pPr>
              <w:jc w:val="center"/>
              <w:rPr>
                <w:color w:val="000000"/>
                <w:sz w:val="22"/>
                <w:szCs w:val="22"/>
              </w:rPr>
            </w:pPr>
            <w:r>
              <w:rPr>
                <w:color w:val="000000"/>
                <w:sz w:val="22"/>
                <w:szCs w:val="22"/>
              </w:rPr>
              <w:t> </w:t>
            </w:r>
          </w:p>
        </w:tc>
        <w:tc>
          <w:tcPr>
            <w:tcW w:w="1536" w:type="pct"/>
          </w:tcPr>
          <w:p w14:paraId="74653E13">
            <w:pPr>
              <w:rPr>
                <w:color w:val="000000"/>
                <w:sz w:val="22"/>
                <w:szCs w:val="22"/>
              </w:rPr>
            </w:pPr>
            <w:r>
              <w:rPr>
                <w:color w:val="000000"/>
                <w:sz w:val="22"/>
                <w:szCs w:val="22"/>
              </w:rPr>
              <w:t>Tiếp giáp Một mặt tiền, đối diện/tiếp giáp cây xanh - mặt nước/lô đất QH trường học</w:t>
            </w:r>
          </w:p>
        </w:tc>
        <w:tc>
          <w:tcPr>
            <w:tcW w:w="402" w:type="pct"/>
            <w:noWrap/>
            <w:vAlign w:val="center"/>
          </w:tcPr>
          <w:p w14:paraId="6B0B65B2">
            <w:pPr>
              <w:jc w:val="center"/>
              <w:rPr>
                <w:color w:val="000000"/>
                <w:sz w:val="22"/>
                <w:szCs w:val="22"/>
              </w:rPr>
            </w:pPr>
            <w:r>
              <w:rPr>
                <w:color w:val="000000"/>
                <w:sz w:val="22"/>
                <w:szCs w:val="22"/>
              </w:rPr>
              <w:t>8.400.000</w:t>
            </w:r>
          </w:p>
        </w:tc>
        <w:tc>
          <w:tcPr>
            <w:tcW w:w="402" w:type="pct"/>
            <w:noWrap/>
            <w:vAlign w:val="center"/>
          </w:tcPr>
          <w:p w14:paraId="2F49552D">
            <w:pPr>
              <w:jc w:val="center"/>
              <w:rPr>
                <w:b/>
                <w:bCs/>
                <w:color w:val="000000"/>
                <w:sz w:val="22"/>
                <w:szCs w:val="22"/>
              </w:rPr>
            </w:pPr>
          </w:p>
        </w:tc>
        <w:tc>
          <w:tcPr>
            <w:tcW w:w="402" w:type="pct"/>
            <w:noWrap/>
            <w:vAlign w:val="center"/>
          </w:tcPr>
          <w:p w14:paraId="2B556E66">
            <w:pPr>
              <w:jc w:val="center"/>
              <w:rPr>
                <w:color w:val="000000"/>
                <w:sz w:val="22"/>
                <w:szCs w:val="22"/>
              </w:rPr>
            </w:pPr>
          </w:p>
        </w:tc>
        <w:tc>
          <w:tcPr>
            <w:tcW w:w="402" w:type="pct"/>
            <w:noWrap/>
            <w:vAlign w:val="center"/>
          </w:tcPr>
          <w:p w14:paraId="07790ABC">
            <w:pPr>
              <w:jc w:val="center"/>
              <w:rPr>
                <w:color w:val="000000"/>
                <w:sz w:val="22"/>
                <w:szCs w:val="22"/>
              </w:rPr>
            </w:pPr>
          </w:p>
        </w:tc>
        <w:tc>
          <w:tcPr>
            <w:tcW w:w="402" w:type="pct"/>
            <w:noWrap/>
            <w:vAlign w:val="center"/>
          </w:tcPr>
          <w:p w14:paraId="499D934E">
            <w:pPr>
              <w:jc w:val="center"/>
              <w:rPr>
                <w:color w:val="000000"/>
                <w:sz w:val="22"/>
                <w:szCs w:val="22"/>
              </w:rPr>
            </w:pPr>
          </w:p>
        </w:tc>
        <w:tc>
          <w:tcPr>
            <w:tcW w:w="402" w:type="pct"/>
            <w:noWrap/>
            <w:vAlign w:val="center"/>
          </w:tcPr>
          <w:p w14:paraId="3D28FC57">
            <w:pPr>
              <w:jc w:val="center"/>
              <w:rPr>
                <w:color w:val="000000"/>
                <w:sz w:val="22"/>
                <w:szCs w:val="22"/>
              </w:rPr>
            </w:pPr>
          </w:p>
        </w:tc>
        <w:tc>
          <w:tcPr>
            <w:tcW w:w="421" w:type="pct"/>
            <w:noWrap/>
            <w:vAlign w:val="center"/>
          </w:tcPr>
          <w:p w14:paraId="686569BF">
            <w:pPr>
              <w:jc w:val="center"/>
              <w:rPr>
                <w:b/>
                <w:bCs/>
                <w:color w:val="000000"/>
                <w:sz w:val="22"/>
                <w:szCs w:val="22"/>
              </w:rPr>
            </w:pPr>
          </w:p>
        </w:tc>
        <w:tc>
          <w:tcPr>
            <w:tcW w:w="421" w:type="pct"/>
            <w:noWrap/>
            <w:vAlign w:val="center"/>
          </w:tcPr>
          <w:p w14:paraId="1596C3EB">
            <w:pPr>
              <w:jc w:val="center"/>
              <w:rPr>
                <w:b/>
                <w:bCs/>
                <w:color w:val="000000"/>
                <w:sz w:val="22"/>
                <w:szCs w:val="22"/>
              </w:rPr>
            </w:pPr>
          </w:p>
        </w:tc>
      </w:tr>
      <w:tr w14:paraId="5360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5787A96A">
            <w:pPr>
              <w:jc w:val="center"/>
              <w:rPr>
                <w:color w:val="000000"/>
                <w:sz w:val="22"/>
                <w:szCs w:val="22"/>
              </w:rPr>
            </w:pPr>
            <w:r>
              <w:rPr>
                <w:color w:val="000000"/>
                <w:sz w:val="22"/>
                <w:szCs w:val="22"/>
              </w:rPr>
              <w:t> </w:t>
            </w:r>
          </w:p>
        </w:tc>
        <w:tc>
          <w:tcPr>
            <w:tcW w:w="1536" w:type="pct"/>
          </w:tcPr>
          <w:p w14:paraId="0A7B38BA">
            <w:pPr>
              <w:rPr>
                <w:color w:val="000000"/>
                <w:sz w:val="22"/>
                <w:szCs w:val="22"/>
              </w:rPr>
            </w:pPr>
            <w:r>
              <w:rPr>
                <w:color w:val="000000"/>
                <w:sz w:val="22"/>
                <w:szCs w:val="22"/>
              </w:rPr>
              <w:t>Tiếp giáp Hai mặt tiền</w:t>
            </w:r>
          </w:p>
        </w:tc>
        <w:tc>
          <w:tcPr>
            <w:tcW w:w="402" w:type="pct"/>
            <w:noWrap/>
            <w:vAlign w:val="center"/>
          </w:tcPr>
          <w:p w14:paraId="343BFCA8">
            <w:pPr>
              <w:jc w:val="center"/>
              <w:rPr>
                <w:color w:val="000000"/>
                <w:sz w:val="22"/>
                <w:szCs w:val="22"/>
              </w:rPr>
            </w:pPr>
            <w:r>
              <w:rPr>
                <w:color w:val="000000"/>
                <w:sz w:val="22"/>
                <w:szCs w:val="22"/>
              </w:rPr>
              <w:t>9.200.000</w:t>
            </w:r>
          </w:p>
        </w:tc>
        <w:tc>
          <w:tcPr>
            <w:tcW w:w="402" w:type="pct"/>
            <w:noWrap/>
            <w:vAlign w:val="center"/>
          </w:tcPr>
          <w:p w14:paraId="7C587EA3">
            <w:pPr>
              <w:jc w:val="center"/>
              <w:rPr>
                <w:color w:val="000000"/>
                <w:sz w:val="22"/>
                <w:szCs w:val="22"/>
              </w:rPr>
            </w:pPr>
          </w:p>
        </w:tc>
        <w:tc>
          <w:tcPr>
            <w:tcW w:w="402" w:type="pct"/>
            <w:noWrap/>
            <w:vAlign w:val="center"/>
          </w:tcPr>
          <w:p w14:paraId="69FF2999">
            <w:pPr>
              <w:jc w:val="center"/>
              <w:rPr>
                <w:color w:val="000000"/>
                <w:sz w:val="22"/>
                <w:szCs w:val="22"/>
              </w:rPr>
            </w:pPr>
          </w:p>
        </w:tc>
        <w:tc>
          <w:tcPr>
            <w:tcW w:w="402" w:type="pct"/>
            <w:noWrap/>
            <w:vAlign w:val="center"/>
          </w:tcPr>
          <w:p w14:paraId="7CEBD27B">
            <w:pPr>
              <w:jc w:val="center"/>
              <w:rPr>
                <w:color w:val="000000"/>
                <w:sz w:val="22"/>
                <w:szCs w:val="22"/>
              </w:rPr>
            </w:pPr>
          </w:p>
        </w:tc>
        <w:tc>
          <w:tcPr>
            <w:tcW w:w="402" w:type="pct"/>
            <w:noWrap/>
            <w:vAlign w:val="center"/>
          </w:tcPr>
          <w:p w14:paraId="7DF6BB35">
            <w:pPr>
              <w:jc w:val="center"/>
              <w:rPr>
                <w:color w:val="000000"/>
                <w:sz w:val="22"/>
                <w:szCs w:val="22"/>
              </w:rPr>
            </w:pPr>
          </w:p>
        </w:tc>
        <w:tc>
          <w:tcPr>
            <w:tcW w:w="402" w:type="pct"/>
            <w:noWrap/>
            <w:vAlign w:val="center"/>
          </w:tcPr>
          <w:p w14:paraId="7D78CA46">
            <w:pPr>
              <w:jc w:val="center"/>
              <w:rPr>
                <w:color w:val="000000"/>
                <w:sz w:val="22"/>
                <w:szCs w:val="22"/>
              </w:rPr>
            </w:pPr>
          </w:p>
        </w:tc>
        <w:tc>
          <w:tcPr>
            <w:tcW w:w="421" w:type="pct"/>
            <w:noWrap/>
            <w:vAlign w:val="center"/>
          </w:tcPr>
          <w:p w14:paraId="1DF4E089">
            <w:pPr>
              <w:jc w:val="center"/>
              <w:rPr>
                <w:color w:val="000000"/>
                <w:sz w:val="22"/>
                <w:szCs w:val="22"/>
              </w:rPr>
            </w:pPr>
          </w:p>
        </w:tc>
        <w:tc>
          <w:tcPr>
            <w:tcW w:w="421" w:type="pct"/>
            <w:noWrap/>
            <w:vAlign w:val="center"/>
          </w:tcPr>
          <w:p w14:paraId="56569A0C">
            <w:pPr>
              <w:jc w:val="center"/>
              <w:rPr>
                <w:color w:val="000000"/>
                <w:sz w:val="22"/>
                <w:szCs w:val="22"/>
              </w:rPr>
            </w:pPr>
          </w:p>
        </w:tc>
      </w:tr>
      <w:tr w14:paraId="290D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3B0C5617">
            <w:pPr>
              <w:jc w:val="center"/>
              <w:rPr>
                <w:color w:val="000000"/>
                <w:sz w:val="22"/>
                <w:szCs w:val="22"/>
              </w:rPr>
            </w:pPr>
            <w:r>
              <w:rPr>
                <w:color w:val="000000"/>
                <w:sz w:val="22"/>
                <w:szCs w:val="22"/>
              </w:rPr>
              <w:t> </w:t>
            </w:r>
          </w:p>
        </w:tc>
        <w:tc>
          <w:tcPr>
            <w:tcW w:w="1536" w:type="pct"/>
          </w:tcPr>
          <w:p w14:paraId="634F7896">
            <w:pPr>
              <w:rPr>
                <w:color w:val="000000"/>
                <w:sz w:val="22"/>
                <w:szCs w:val="22"/>
              </w:rPr>
            </w:pPr>
            <w:r>
              <w:rPr>
                <w:color w:val="000000"/>
                <w:sz w:val="22"/>
                <w:szCs w:val="22"/>
              </w:rPr>
              <w:t>Tiếp giáp Hai mặt tiền, đối diện/tiếp giáp cây xanh - mặt nước/lô đất QH trường học</w:t>
            </w:r>
          </w:p>
        </w:tc>
        <w:tc>
          <w:tcPr>
            <w:tcW w:w="402" w:type="pct"/>
            <w:noWrap/>
            <w:vAlign w:val="center"/>
          </w:tcPr>
          <w:p w14:paraId="7AD1F039">
            <w:pPr>
              <w:jc w:val="center"/>
              <w:rPr>
                <w:color w:val="000000"/>
                <w:sz w:val="22"/>
                <w:szCs w:val="22"/>
              </w:rPr>
            </w:pPr>
            <w:r>
              <w:rPr>
                <w:color w:val="000000"/>
                <w:sz w:val="22"/>
                <w:szCs w:val="22"/>
              </w:rPr>
              <w:t>9.600.000</w:t>
            </w:r>
          </w:p>
        </w:tc>
        <w:tc>
          <w:tcPr>
            <w:tcW w:w="402" w:type="pct"/>
            <w:noWrap/>
            <w:vAlign w:val="center"/>
          </w:tcPr>
          <w:p w14:paraId="62F9C3D3">
            <w:pPr>
              <w:jc w:val="center"/>
              <w:rPr>
                <w:b/>
                <w:bCs/>
                <w:color w:val="000000"/>
                <w:sz w:val="22"/>
                <w:szCs w:val="22"/>
              </w:rPr>
            </w:pPr>
          </w:p>
        </w:tc>
        <w:tc>
          <w:tcPr>
            <w:tcW w:w="402" w:type="pct"/>
            <w:noWrap/>
            <w:vAlign w:val="center"/>
          </w:tcPr>
          <w:p w14:paraId="22DA5F14">
            <w:pPr>
              <w:jc w:val="center"/>
              <w:rPr>
                <w:color w:val="000000"/>
                <w:sz w:val="22"/>
                <w:szCs w:val="22"/>
              </w:rPr>
            </w:pPr>
          </w:p>
        </w:tc>
        <w:tc>
          <w:tcPr>
            <w:tcW w:w="402" w:type="pct"/>
            <w:noWrap/>
            <w:vAlign w:val="center"/>
          </w:tcPr>
          <w:p w14:paraId="2E7E4B8C">
            <w:pPr>
              <w:jc w:val="center"/>
              <w:rPr>
                <w:b/>
                <w:bCs/>
                <w:color w:val="000000"/>
                <w:sz w:val="22"/>
                <w:szCs w:val="22"/>
              </w:rPr>
            </w:pPr>
          </w:p>
        </w:tc>
        <w:tc>
          <w:tcPr>
            <w:tcW w:w="402" w:type="pct"/>
            <w:noWrap/>
            <w:vAlign w:val="center"/>
          </w:tcPr>
          <w:p w14:paraId="3E250610">
            <w:pPr>
              <w:jc w:val="center"/>
              <w:rPr>
                <w:color w:val="000000"/>
                <w:sz w:val="22"/>
                <w:szCs w:val="22"/>
              </w:rPr>
            </w:pPr>
          </w:p>
        </w:tc>
        <w:tc>
          <w:tcPr>
            <w:tcW w:w="402" w:type="pct"/>
            <w:noWrap/>
            <w:vAlign w:val="center"/>
          </w:tcPr>
          <w:p w14:paraId="2D66633D">
            <w:pPr>
              <w:jc w:val="center"/>
              <w:rPr>
                <w:color w:val="000000"/>
                <w:sz w:val="22"/>
                <w:szCs w:val="22"/>
              </w:rPr>
            </w:pPr>
          </w:p>
        </w:tc>
        <w:tc>
          <w:tcPr>
            <w:tcW w:w="421" w:type="pct"/>
            <w:noWrap/>
            <w:vAlign w:val="center"/>
          </w:tcPr>
          <w:p w14:paraId="4BF9E351">
            <w:pPr>
              <w:jc w:val="center"/>
              <w:rPr>
                <w:b/>
                <w:bCs/>
                <w:color w:val="000000"/>
                <w:sz w:val="22"/>
                <w:szCs w:val="22"/>
              </w:rPr>
            </w:pPr>
          </w:p>
        </w:tc>
        <w:tc>
          <w:tcPr>
            <w:tcW w:w="421" w:type="pct"/>
            <w:noWrap/>
            <w:vAlign w:val="center"/>
          </w:tcPr>
          <w:p w14:paraId="4C927131">
            <w:pPr>
              <w:jc w:val="center"/>
              <w:rPr>
                <w:b/>
                <w:bCs/>
                <w:color w:val="000000"/>
                <w:sz w:val="22"/>
                <w:szCs w:val="22"/>
              </w:rPr>
            </w:pPr>
          </w:p>
        </w:tc>
      </w:tr>
      <w:tr w14:paraId="084C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7E1D14BE">
            <w:pPr>
              <w:jc w:val="center"/>
              <w:rPr>
                <w:b/>
                <w:bCs/>
                <w:color w:val="000000"/>
                <w:sz w:val="22"/>
                <w:szCs w:val="22"/>
              </w:rPr>
            </w:pPr>
            <w:r>
              <w:rPr>
                <w:b/>
                <w:bCs/>
                <w:color w:val="000000"/>
                <w:sz w:val="22"/>
                <w:szCs w:val="22"/>
              </w:rPr>
              <w:t>8</w:t>
            </w:r>
          </w:p>
        </w:tc>
        <w:tc>
          <w:tcPr>
            <w:tcW w:w="1536" w:type="pct"/>
          </w:tcPr>
          <w:p w14:paraId="3CB1C89E">
            <w:pPr>
              <w:rPr>
                <w:b/>
                <w:bCs/>
                <w:color w:val="000000"/>
                <w:sz w:val="22"/>
                <w:szCs w:val="22"/>
              </w:rPr>
            </w:pPr>
            <w:r>
              <w:rPr>
                <w:b/>
                <w:bCs/>
                <w:color w:val="000000"/>
                <w:sz w:val="22"/>
                <w:szCs w:val="22"/>
              </w:rPr>
              <w:t>Mặt cắt 4-4: rộng 10m lòng đường rộng 6m, vỉa hè 2 bên rộng 2m+2m. Làn 2 đường gom QL1A</w:t>
            </w:r>
          </w:p>
        </w:tc>
        <w:tc>
          <w:tcPr>
            <w:tcW w:w="402" w:type="pct"/>
            <w:noWrap/>
            <w:vAlign w:val="center"/>
          </w:tcPr>
          <w:p w14:paraId="0B6A182A">
            <w:pPr>
              <w:jc w:val="center"/>
              <w:rPr>
                <w:b/>
                <w:bCs/>
                <w:color w:val="000000"/>
                <w:sz w:val="22"/>
                <w:szCs w:val="22"/>
              </w:rPr>
            </w:pPr>
          </w:p>
        </w:tc>
        <w:tc>
          <w:tcPr>
            <w:tcW w:w="402" w:type="pct"/>
            <w:noWrap/>
            <w:vAlign w:val="center"/>
          </w:tcPr>
          <w:p w14:paraId="002DB0AB">
            <w:pPr>
              <w:jc w:val="center"/>
              <w:rPr>
                <w:color w:val="000000"/>
                <w:sz w:val="22"/>
                <w:szCs w:val="22"/>
              </w:rPr>
            </w:pPr>
          </w:p>
        </w:tc>
        <w:tc>
          <w:tcPr>
            <w:tcW w:w="402" w:type="pct"/>
            <w:noWrap/>
            <w:vAlign w:val="center"/>
          </w:tcPr>
          <w:p w14:paraId="73DF4671">
            <w:pPr>
              <w:jc w:val="center"/>
              <w:rPr>
                <w:color w:val="000000"/>
                <w:sz w:val="22"/>
                <w:szCs w:val="22"/>
              </w:rPr>
            </w:pPr>
          </w:p>
        </w:tc>
        <w:tc>
          <w:tcPr>
            <w:tcW w:w="402" w:type="pct"/>
            <w:noWrap/>
            <w:vAlign w:val="center"/>
          </w:tcPr>
          <w:p w14:paraId="579E5157">
            <w:pPr>
              <w:jc w:val="center"/>
              <w:rPr>
                <w:color w:val="000000"/>
                <w:sz w:val="22"/>
                <w:szCs w:val="22"/>
              </w:rPr>
            </w:pPr>
          </w:p>
        </w:tc>
        <w:tc>
          <w:tcPr>
            <w:tcW w:w="402" w:type="pct"/>
            <w:noWrap/>
            <w:vAlign w:val="center"/>
          </w:tcPr>
          <w:p w14:paraId="6FA35B3B">
            <w:pPr>
              <w:jc w:val="center"/>
              <w:rPr>
                <w:color w:val="000000"/>
                <w:sz w:val="22"/>
                <w:szCs w:val="22"/>
              </w:rPr>
            </w:pPr>
          </w:p>
        </w:tc>
        <w:tc>
          <w:tcPr>
            <w:tcW w:w="402" w:type="pct"/>
            <w:noWrap/>
            <w:vAlign w:val="center"/>
          </w:tcPr>
          <w:p w14:paraId="68EFE476">
            <w:pPr>
              <w:jc w:val="center"/>
              <w:rPr>
                <w:color w:val="000000"/>
                <w:sz w:val="22"/>
                <w:szCs w:val="22"/>
              </w:rPr>
            </w:pPr>
          </w:p>
        </w:tc>
        <w:tc>
          <w:tcPr>
            <w:tcW w:w="421" w:type="pct"/>
            <w:noWrap/>
            <w:vAlign w:val="center"/>
          </w:tcPr>
          <w:p w14:paraId="561C70C9">
            <w:pPr>
              <w:jc w:val="center"/>
              <w:rPr>
                <w:b/>
                <w:bCs/>
                <w:color w:val="000000"/>
                <w:sz w:val="22"/>
                <w:szCs w:val="22"/>
              </w:rPr>
            </w:pPr>
          </w:p>
        </w:tc>
        <w:tc>
          <w:tcPr>
            <w:tcW w:w="421" w:type="pct"/>
            <w:noWrap/>
            <w:vAlign w:val="center"/>
          </w:tcPr>
          <w:p w14:paraId="1C1FBAC5">
            <w:pPr>
              <w:jc w:val="center"/>
              <w:rPr>
                <w:b/>
                <w:bCs/>
                <w:color w:val="000000"/>
                <w:sz w:val="22"/>
                <w:szCs w:val="22"/>
              </w:rPr>
            </w:pPr>
          </w:p>
        </w:tc>
      </w:tr>
      <w:tr w14:paraId="1729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063B697B">
            <w:pPr>
              <w:jc w:val="center"/>
              <w:rPr>
                <w:color w:val="000000"/>
                <w:sz w:val="22"/>
                <w:szCs w:val="22"/>
              </w:rPr>
            </w:pPr>
            <w:r>
              <w:rPr>
                <w:color w:val="000000"/>
                <w:sz w:val="22"/>
                <w:szCs w:val="22"/>
              </w:rPr>
              <w:t> </w:t>
            </w:r>
          </w:p>
        </w:tc>
        <w:tc>
          <w:tcPr>
            <w:tcW w:w="1536" w:type="pct"/>
          </w:tcPr>
          <w:p w14:paraId="304A485C">
            <w:pPr>
              <w:rPr>
                <w:color w:val="000000"/>
                <w:sz w:val="22"/>
                <w:szCs w:val="22"/>
              </w:rPr>
            </w:pPr>
            <w:r>
              <w:rPr>
                <w:color w:val="000000"/>
                <w:sz w:val="22"/>
                <w:szCs w:val="22"/>
              </w:rPr>
              <w:t>Tiếp giáp Một mặt tiền</w:t>
            </w:r>
          </w:p>
        </w:tc>
        <w:tc>
          <w:tcPr>
            <w:tcW w:w="402" w:type="pct"/>
            <w:noWrap/>
            <w:vAlign w:val="center"/>
          </w:tcPr>
          <w:p w14:paraId="2CC6BF80">
            <w:pPr>
              <w:jc w:val="center"/>
              <w:rPr>
                <w:color w:val="000000"/>
                <w:sz w:val="22"/>
                <w:szCs w:val="22"/>
              </w:rPr>
            </w:pPr>
            <w:r>
              <w:rPr>
                <w:color w:val="000000"/>
                <w:sz w:val="22"/>
                <w:szCs w:val="22"/>
              </w:rPr>
              <w:t>10.000.000</w:t>
            </w:r>
          </w:p>
        </w:tc>
        <w:tc>
          <w:tcPr>
            <w:tcW w:w="402" w:type="pct"/>
            <w:noWrap/>
            <w:vAlign w:val="center"/>
          </w:tcPr>
          <w:p w14:paraId="5FAD4F50">
            <w:pPr>
              <w:jc w:val="center"/>
              <w:rPr>
                <w:color w:val="000000"/>
                <w:sz w:val="22"/>
                <w:szCs w:val="22"/>
              </w:rPr>
            </w:pPr>
          </w:p>
        </w:tc>
        <w:tc>
          <w:tcPr>
            <w:tcW w:w="402" w:type="pct"/>
            <w:noWrap/>
            <w:vAlign w:val="center"/>
          </w:tcPr>
          <w:p w14:paraId="16C8AAA6">
            <w:pPr>
              <w:jc w:val="center"/>
              <w:rPr>
                <w:color w:val="000000"/>
                <w:sz w:val="22"/>
                <w:szCs w:val="22"/>
              </w:rPr>
            </w:pPr>
          </w:p>
        </w:tc>
        <w:tc>
          <w:tcPr>
            <w:tcW w:w="402" w:type="pct"/>
            <w:noWrap/>
            <w:vAlign w:val="center"/>
          </w:tcPr>
          <w:p w14:paraId="2B475C13">
            <w:pPr>
              <w:jc w:val="center"/>
              <w:rPr>
                <w:color w:val="000000"/>
                <w:sz w:val="22"/>
                <w:szCs w:val="22"/>
              </w:rPr>
            </w:pPr>
          </w:p>
        </w:tc>
        <w:tc>
          <w:tcPr>
            <w:tcW w:w="402" w:type="pct"/>
            <w:noWrap/>
            <w:vAlign w:val="center"/>
          </w:tcPr>
          <w:p w14:paraId="6BA42076">
            <w:pPr>
              <w:jc w:val="center"/>
              <w:rPr>
                <w:color w:val="000000"/>
                <w:sz w:val="22"/>
                <w:szCs w:val="22"/>
              </w:rPr>
            </w:pPr>
          </w:p>
        </w:tc>
        <w:tc>
          <w:tcPr>
            <w:tcW w:w="402" w:type="pct"/>
            <w:noWrap/>
            <w:vAlign w:val="center"/>
          </w:tcPr>
          <w:p w14:paraId="127E4DB9">
            <w:pPr>
              <w:jc w:val="center"/>
              <w:rPr>
                <w:color w:val="000000"/>
                <w:sz w:val="22"/>
                <w:szCs w:val="22"/>
              </w:rPr>
            </w:pPr>
          </w:p>
        </w:tc>
        <w:tc>
          <w:tcPr>
            <w:tcW w:w="421" w:type="pct"/>
            <w:noWrap/>
            <w:vAlign w:val="center"/>
          </w:tcPr>
          <w:p w14:paraId="1278799E">
            <w:pPr>
              <w:jc w:val="center"/>
              <w:rPr>
                <w:b/>
                <w:bCs/>
                <w:color w:val="000000"/>
                <w:sz w:val="22"/>
                <w:szCs w:val="22"/>
              </w:rPr>
            </w:pPr>
            <w:r>
              <w:rPr>
                <w:b/>
                <w:bCs/>
                <w:color w:val="000000"/>
                <w:sz w:val="22"/>
                <w:szCs w:val="22"/>
              </w:rPr>
              <w:t>Phụ lục 08</w:t>
            </w:r>
          </w:p>
        </w:tc>
        <w:tc>
          <w:tcPr>
            <w:tcW w:w="421" w:type="pct"/>
            <w:noWrap/>
            <w:vAlign w:val="center"/>
          </w:tcPr>
          <w:p w14:paraId="32DE59D9">
            <w:pPr>
              <w:jc w:val="center"/>
              <w:rPr>
                <w:color w:val="000000"/>
                <w:sz w:val="22"/>
                <w:szCs w:val="22"/>
              </w:rPr>
            </w:pPr>
          </w:p>
        </w:tc>
      </w:tr>
      <w:tr w14:paraId="0EF3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noWrap/>
            <w:vAlign w:val="center"/>
          </w:tcPr>
          <w:p w14:paraId="328045F5">
            <w:pPr>
              <w:jc w:val="center"/>
              <w:rPr>
                <w:color w:val="000000"/>
                <w:sz w:val="22"/>
                <w:szCs w:val="22"/>
              </w:rPr>
            </w:pPr>
            <w:r>
              <w:rPr>
                <w:color w:val="000000"/>
                <w:sz w:val="22"/>
                <w:szCs w:val="22"/>
              </w:rPr>
              <w:t> </w:t>
            </w:r>
          </w:p>
        </w:tc>
        <w:tc>
          <w:tcPr>
            <w:tcW w:w="1536" w:type="pct"/>
          </w:tcPr>
          <w:p w14:paraId="7E0883B8">
            <w:pPr>
              <w:rPr>
                <w:color w:val="000000"/>
                <w:sz w:val="22"/>
                <w:szCs w:val="22"/>
              </w:rPr>
            </w:pPr>
            <w:r>
              <w:rPr>
                <w:color w:val="000000"/>
                <w:sz w:val="22"/>
                <w:szCs w:val="22"/>
              </w:rPr>
              <w:t>Tiếp giáp Hai mặt tiền</w:t>
            </w:r>
          </w:p>
        </w:tc>
        <w:tc>
          <w:tcPr>
            <w:tcW w:w="402" w:type="pct"/>
            <w:noWrap/>
            <w:vAlign w:val="center"/>
          </w:tcPr>
          <w:p w14:paraId="27B22122">
            <w:pPr>
              <w:jc w:val="center"/>
              <w:rPr>
                <w:color w:val="000000"/>
                <w:sz w:val="22"/>
                <w:szCs w:val="22"/>
              </w:rPr>
            </w:pPr>
            <w:r>
              <w:rPr>
                <w:color w:val="000000"/>
                <w:sz w:val="22"/>
                <w:szCs w:val="22"/>
              </w:rPr>
              <w:t>11.500.000</w:t>
            </w:r>
          </w:p>
        </w:tc>
        <w:tc>
          <w:tcPr>
            <w:tcW w:w="402" w:type="pct"/>
            <w:noWrap/>
            <w:vAlign w:val="center"/>
          </w:tcPr>
          <w:p w14:paraId="77ADCF6B">
            <w:pPr>
              <w:jc w:val="center"/>
              <w:rPr>
                <w:color w:val="000000"/>
                <w:sz w:val="22"/>
                <w:szCs w:val="22"/>
              </w:rPr>
            </w:pPr>
          </w:p>
        </w:tc>
        <w:tc>
          <w:tcPr>
            <w:tcW w:w="402" w:type="pct"/>
            <w:noWrap/>
            <w:vAlign w:val="center"/>
          </w:tcPr>
          <w:p w14:paraId="61FB334E">
            <w:pPr>
              <w:jc w:val="center"/>
              <w:rPr>
                <w:color w:val="000000"/>
                <w:sz w:val="22"/>
                <w:szCs w:val="22"/>
              </w:rPr>
            </w:pPr>
          </w:p>
        </w:tc>
        <w:tc>
          <w:tcPr>
            <w:tcW w:w="402" w:type="pct"/>
            <w:noWrap/>
            <w:vAlign w:val="center"/>
          </w:tcPr>
          <w:p w14:paraId="7CEC25DA">
            <w:pPr>
              <w:jc w:val="center"/>
              <w:rPr>
                <w:color w:val="000000"/>
                <w:sz w:val="22"/>
                <w:szCs w:val="22"/>
              </w:rPr>
            </w:pPr>
          </w:p>
        </w:tc>
        <w:tc>
          <w:tcPr>
            <w:tcW w:w="402" w:type="pct"/>
            <w:noWrap/>
            <w:vAlign w:val="center"/>
          </w:tcPr>
          <w:p w14:paraId="0A751954">
            <w:pPr>
              <w:jc w:val="center"/>
              <w:rPr>
                <w:color w:val="000000"/>
                <w:sz w:val="22"/>
                <w:szCs w:val="22"/>
              </w:rPr>
            </w:pPr>
          </w:p>
        </w:tc>
        <w:tc>
          <w:tcPr>
            <w:tcW w:w="402" w:type="pct"/>
            <w:noWrap/>
            <w:vAlign w:val="center"/>
          </w:tcPr>
          <w:p w14:paraId="49596C2E">
            <w:pPr>
              <w:jc w:val="center"/>
              <w:rPr>
                <w:color w:val="000000"/>
                <w:sz w:val="22"/>
                <w:szCs w:val="22"/>
              </w:rPr>
            </w:pPr>
          </w:p>
        </w:tc>
        <w:tc>
          <w:tcPr>
            <w:tcW w:w="421" w:type="pct"/>
            <w:noWrap/>
            <w:vAlign w:val="center"/>
          </w:tcPr>
          <w:p w14:paraId="0697F130">
            <w:pPr>
              <w:jc w:val="center"/>
              <w:rPr>
                <w:color w:val="000000"/>
                <w:sz w:val="22"/>
                <w:szCs w:val="22"/>
              </w:rPr>
            </w:pPr>
          </w:p>
        </w:tc>
        <w:tc>
          <w:tcPr>
            <w:tcW w:w="421" w:type="pct"/>
            <w:noWrap/>
            <w:vAlign w:val="center"/>
          </w:tcPr>
          <w:p w14:paraId="0E0C7510">
            <w:pPr>
              <w:jc w:val="center"/>
              <w:rPr>
                <w:color w:val="000000"/>
                <w:sz w:val="22"/>
                <w:szCs w:val="22"/>
              </w:rPr>
            </w:pPr>
          </w:p>
        </w:tc>
      </w:tr>
      <w:bookmarkEnd w:id="32"/>
    </w:tbl>
    <w:p w14:paraId="54E3917B">
      <w:pPr>
        <w:spacing w:before="120" w:after="120"/>
        <w:rPr>
          <w:b/>
          <w:color w:val="000000" w:themeColor="text1"/>
          <w:sz w:val="26"/>
          <w:szCs w:val="26"/>
          <w14:textFill>
            <w14:solidFill>
              <w14:schemeClr w14:val="tx1"/>
            </w14:solidFill>
          </w14:textFill>
        </w:rPr>
        <w:sectPr>
          <w:pgSz w:w="16838" w:h="11905" w:orient="landscape"/>
          <w:pgMar w:top="1418" w:right="1134" w:bottom="1134" w:left="1134" w:header="720" w:footer="720" w:gutter="0"/>
          <w:cols w:space="0" w:num="1"/>
          <w:docGrid w:linePitch="367" w:charSpace="0"/>
        </w:sectPr>
      </w:pPr>
    </w:p>
    <w:p w14:paraId="469F0882">
      <w:pPr>
        <w:spacing w:before="120" w:after="120"/>
        <w:jc w:val="center"/>
        <w:rPr>
          <w:b/>
          <w:color w:val="000000" w:themeColor="text1"/>
          <w14:textFill>
            <w14:solidFill>
              <w14:schemeClr w14:val="tx1"/>
            </w14:solidFill>
          </w14:textFill>
        </w:rPr>
      </w:pPr>
      <w:r>
        <w:rPr>
          <w:b/>
          <w:color w:val="000000" w:themeColor="text1"/>
          <w:lang w:val="vi-VN"/>
          <w14:textFill>
            <w14:solidFill>
              <w14:schemeClr w14:val="tx1"/>
            </w14:solidFill>
          </w14:textFill>
        </w:rPr>
        <w:t>TỔNG DOANH THU PHÁT TRIỂN DỰ ÁN TỪ ĐƠN GIÁ CÁC LÔ ĐẤT THEO MẶT CẮT ĐƯỜNG</w:t>
      </w:r>
    </w:p>
    <w:tbl>
      <w:tblPr>
        <w:tblStyle w:val="9"/>
        <w:tblW w:w="1503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02"/>
        <w:gridCol w:w="1033"/>
        <w:gridCol w:w="846"/>
        <w:gridCol w:w="2578"/>
        <w:gridCol w:w="2393"/>
        <w:gridCol w:w="1198"/>
        <w:gridCol w:w="1236"/>
        <w:gridCol w:w="1252"/>
        <w:gridCol w:w="1851"/>
      </w:tblGrid>
      <w:tr w14:paraId="56E9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30F0E6D">
            <w:pPr>
              <w:jc w:val="center"/>
              <w:rPr>
                <w:b/>
                <w:bCs/>
                <w:color w:val="000000"/>
                <w:sz w:val="20"/>
                <w:szCs w:val="20"/>
              </w:rPr>
            </w:pPr>
            <w:r>
              <w:rPr>
                <w:b/>
                <w:bCs/>
                <w:color w:val="000000"/>
                <w:sz w:val="20"/>
                <w:szCs w:val="20"/>
              </w:rPr>
              <w:t>STT</w:t>
            </w:r>
          </w:p>
        </w:tc>
        <w:tc>
          <w:tcPr>
            <w:tcW w:w="1802" w:type="dxa"/>
            <w:vAlign w:val="center"/>
          </w:tcPr>
          <w:p w14:paraId="53A94AAE">
            <w:pPr>
              <w:jc w:val="center"/>
              <w:rPr>
                <w:b/>
                <w:bCs/>
                <w:color w:val="000000"/>
                <w:sz w:val="20"/>
                <w:szCs w:val="20"/>
              </w:rPr>
            </w:pPr>
            <w:r>
              <w:rPr>
                <w:b/>
                <w:bCs/>
                <w:color w:val="000000"/>
                <w:sz w:val="20"/>
                <w:szCs w:val="20"/>
              </w:rPr>
              <w:t>Loại đất</w:t>
            </w:r>
          </w:p>
        </w:tc>
        <w:tc>
          <w:tcPr>
            <w:tcW w:w="1033" w:type="dxa"/>
            <w:vAlign w:val="center"/>
          </w:tcPr>
          <w:p w14:paraId="20A2E24F">
            <w:pPr>
              <w:jc w:val="center"/>
              <w:rPr>
                <w:b/>
                <w:bCs/>
                <w:color w:val="000000"/>
                <w:sz w:val="20"/>
                <w:szCs w:val="20"/>
              </w:rPr>
            </w:pPr>
            <w:r>
              <w:rPr>
                <w:b/>
                <w:bCs/>
                <w:color w:val="000000"/>
                <w:sz w:val="20"/>
                <w:szCs w:val="20"/>
              </w:rPr>
              <w:t>Diện tích ô đất (m2)</w:t>
            </w:r>
          </w:p>
        </w:tc>
        <w:tc>
          <w:tcPr>
            <w:tcW w:w="846" w:type="dxa"/>
            <w:noWrap/>
            <w:vAlign w:val="center"/>
          </w:tcPr>
          <w:p w14:paraId="23D0B629">
            <w:pPr>
              <w:jc w:val="center"/>
              <w:rPr>
                <w:b/>
                <w:bCs/>
                <w:color w:val="000000"/>
                <w:sz w:val="20"/>
                <w:szCs w:val="20"/>
              </w:rPr>
            </w:pPr>
            <w:r>
              <w:rPr>
                <w:b/>
                <w:bCs/>
                <w:color w:val="000000"/>
                <w:sz w:val="20"/>
                <w:szCs w:val="20"/>
              </w:rPr>
              <w:t>Số lô</w:t>
            </w:r>
          </w:p>
        </w:tc>
        <w:tc>
          <w:tcPr>
            <w:tcW w:w="2578" w:type="dxa"/>
            <w:vAlign w:val="center"/>
          </w:tcPr>
          <w:p w14:paraId="18E904FC">
            <w:pPr>
              <w:jc w:val="center"/>
              <w:rPr>
                <w:b/>
                <w:bCs/>
                <w:color w:val="000000"/>
                <w:sz w:val="20"/>
                <w:szCs w:val="20"/>
              </w:rPr>
            </w:pPr>
            <w:r>
              <w:rPr>
                <w:b/>
                <w:bCs/>
                <w:color w:val="000000"/>
                <w:sz w:val="20"/>
                <w:szCs w:val="20"/>
              </w:rPr>
              <w:t>Mặt cắt đường</w:t>
            </w:r>
          </w:p>
        </w:tc>
        <w:tc>
          <w:tcPr>
            <w:tcW w:w="2393" w:type="dxa"/>
            <w:vAlign w:val="center"/>
          </w:tcPr>
          <w:p w14:paraId="3E70F2F7">
            <w:pPr>
              <w:jc w:val="center"/>
              <w:rPr>
                <w:b/>
                <w:bCs/>
                <w:color w:val="000000"/>
                <w:sz w:val="20"/>
                <w:szCs w:val="20"/>
              </w:rPr>
            </w:pPr>
            <w:r>
              <w:rPr>
                <w:b/>
                <w:bCs/>
                <w:color w:val="000000"/>
                <w:sz w:val="20"/>
                <w:szCs w:val="20"/>
              </w:rPr>
              <w:t>Tiếp giáp</w:t>
            </w:r>
          </w:p>
        </w:tc>
        <w:tc>
          <w:tcPr>
            <w:tcW w:w="1198" w:type="dxa"/>
            <w:vAlign w:val="center"/>
          </w:tcPr>
          <w:p w14:paraId="0E25C925">
            <w:pPr>
              <w:jc w:val="center"/>
              <w:rPr>
                <w:b/>
                <w:bCs/>
                <w:color w:val="000000"/>
                <w:sz w:val="20"/>
                <w:szCs w:val="20"/>
              </w:rPr>
            </w:pPr>
            <w:r>
              <w:rPr>
                <w:b/>
                <w:bCs/>
                <w:color w:val="000000"/>
                <w:sz w:val="20"/>
                <w:szCs w:val="20"/>
              </w:rPr>
              <w:t>Đơn giá bán đất(đồng/m2)</w:t>
            </w:r>
          </w:p>
        </w:tc>
        <w:tc>
          <w:tcPr>
            <w:tcW w:w="1236" w:type="dxa"/>
            <w:vAlign w:val="center"/>
          </w:tcPr>
          <w:p w14:paraId="5AA25AFE">
            <w:pPr>
              <w:jc w:val="center"/>
              <w:rPr>
                <w:b/>
                <w:bCs/>
                <w:color w:val="000000"/>
                <w:sz w:val="20"/>
                <w:szCs w:val="20"/>
              </w:rPr>
            </w:pPr>
            <w:r>
              <w:rPr>
                <w:b/>
                <w:bCs/>
                <w:color w:val="000000"/>
                <w:sz w:val="20"/>
                <w:szCs w:val="20"/>
              </w:rPr>
              <w:t>Đơn giá bán nhà(đồng/m2)</w:t>
            </w:r>
          </w:p>
        </w:tc>
        <w:tc>
          <w:tcPr>
            <w:tcW w:w="1252" w:type="dxa"/>
            <w:vAlign w:val="center"/>
          </w:tcPr>
          <w:p w14:paraId="2189B836">
            <w:pPr>
              <w:jc w:val="center"/>
              <w:rPr>
                <w:b/>
                <w:bCs/>
                <w:color w:val="000000"/>
                <w:sz w:val="20"/>
                <w:szCs w:val="20"/>
              </w:rPr>
            </w:pPr>
            <w:r>
              <w:rPr>
                <w:b/>
                <w:bCs/>
                <w:color w:val="000000"/>
                <w:sz w:val="20"/>
                <w:szCs w:val="20"/>
              </w:rPr>
              <w:t>Đơn giá bán đất+nhà xây thô (đồng/m2)</w:t>
            </w:r>
          </w:p>
        </w:tc>
        <w:tc>
          <w:tcPr>
            <w:tcW w:w="1848" w:type="dxa"/>
            <w:vAlign w:val="center"/>
          </w:tcPr>
          <w:p w14:paraId="3B6CC5B6">
            <w:pPr>
              <w:jc w:val="center"/>
              <w:rPr>
                <w:b/>
                <w:bCs/>
                <w:color w:val="000000"/>
                <w:sz w:val="20"/>
                <w:szCs w:val="20"/>
              </w:rPr>
            </w:pPr>
            <w:r>
              <w:rPr>
                <w:b/>
                <w:bCs/>
                <w:color w:val="000000"/>
                <w:sz w:val="20"/>
                <w:szCs w:val="20"/>
              </w:rPr>
              <w:t>Thành tiền (đồng)</w:t>
            </w:r>
          </w:p>
        </w:tc>
      </w:tr>
      <w:tr w14:paraId="2DFD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846C34">
            <w:pPr>
              <w:jc w:val="center"/>
              <w:rPr>
                <w:b/>
                <w:bCs/>
                <w:color w:val="000000"/>
                <w:sz w:val="20"/>
                <w:szCs w:val="20"/>
              </w:rPr>
            </w:pPr>
          </w:p>
        </w:tc>
        <w:tc>
          <w:tcPr>
            <w:tcW w:w="1802" w:type="dxa"/>
            <w:noWrap/>
            <w:vAlign w:val="center"/>
          </w:tcPr>
          <w:p w14:paraId="5F37E8BF">
            <w:pPr>
              <w:jc w:val="center"/>
              <w:rPr>
                <w:b/>
                <w:bCs/>
                <w:color w:val="000000"/>
                <w:sz w:val="20"/>
                <w:szCs w:val="20"/>
              </w:rPr>
            </w:pPr>
            <w:r>
              <w:rPr>
                <w:b/>
                <w:bCs/>
                <w:color w:val="000000"/>
                <w:sz w:val="20"/>
                <w:szCs w:val="20"/>
              </w:rPr>
              <w:t>TỔNG DOANH THU</w:t>
            </w:r>
          </w:p>
        </w:tc>
        <w:tc>
          <w:tcPr>
            <w:tcW w:w="1033" w:type="dxa"/>
            <w:vAlign w:val="center"/>
          </w:tcPr>
          <w:p w14:paraId="7EE8C9C4">
            <w:pPr>
              <w:jc w:val="center"/>
              <w:rPr>
                <w:b/>
                <w:bCs/>
                <w:color w:val="000000"/>
                <w:sz w:val="20"/>
                <w:szCs w:val="20"/>
              </w:rPr>
            </w:pPr>
            <w:r>
              <w:rPr>
                <w:b/>
                <w:bCs/>
                <w:color w:val="000000"/>
                <w:sz w:val="20"/>
                <w:szCs w:val="20"/>
              </w:rPr>
              <w:t>58.203,4</w:t>
            </w:r>
          </w:p>
        </w:tc>
        <w:tc>
          <w:tcPr>
            <w:tcW w:w="846" w:type="dxa"/>
            <w:vAlign w:val="center"/>
          </w:tcPr>
          <w:p w14:paraId="43915100">
            <w:pPr>
              <w:jc w:val="center"/>
              <w:rPr>
                <w:b/>
                <w:bCs/>
                <w:color w:val="000000"/>
                <w:sz w:val="20"/>
                <w:szCs w:val="20"/>
              </w:rPr>
            </w:pPr>
            <w:r>
              <w:rPr>
                <w:b/>
                <w:bCs/>
                <w:color w:val="000000"/>
                <w:sz w:val="20"/>
                <w:szCs w:val="20"/>
              </w:rPr>
              <w:t>585,00</w:t>
            </w:r>
          </w:p>
        </w:tc>
        <w:tc>
          <w:tcPr>
            <w:tcW w:w="2578" w:type="dxa"/>
            <w:vAlign w:val="center"/>
          </w:tcPr>
          <w:p w14:paraId="38DD3CF3">
            <w:pPr>
              <w:jc w:val="center"/>
              <w:rPr>
                <w:b/>
                <w:bCs/>
                <w:color w:val="000000"/>
                <w:sz w:val="20"/>
                <w:szCs w:val="20"/>
              </w:rPr>
            </w:pPr>
          </w:p>
        </w:tc>
        <w:tc>
          <w:tcPr>
            <w:tcW w:w="2393" w:type="dxa"/>
            <w:vAlign w:val="center"/>
          </w:tcPr>
          <w:p w14:paraId="1A7808DA">
            <w:pPr>
              <w:jc w:val="center"/>
              <w:rPr>
                <w:b/>
                <w:bCs/>
                <w:color w:val="000000"/>
                <w:sz w:val="20"/>
                <w:szCs w:val="20"/>
              </w:rPr>
            </w:pPr>
          </w:p>
        </w:tc>
        <w:tc>
          <w:tcPr>
            <w:tcW w:w="1198" w:type="dxa"/>
            <w:vAlign w:val="center"/>
          </w:tcPr>
          <w:p w14:paraId="09F84D1E">
            <w:pPr>
              <w:jc w:val="center"/>
              <w:rPr>
                <w:b/>
                <w:bCs/>
                <w:color w:val="000000"/>
                <w:sz w:val="20"/>
                <w:szCs w:val="20"/>
              </w:rPr>
            </w:pPr>
          </w:p>
        </w:tc>
        <w:tc>
          <w:tcPr>
            <w:tcW w:w="1236" w:type="dxa"/>
            <w:vAlign w:val="center"/>
          </w:tcPr>
          <w:p w14:paraId="15B33B09">
            <w:pPr>
              <w:jc w:val="center"/>
              <w:rPr>
                <w:b/>
                <w:bCs/>
                <w:color w:val="000000"/>
                <w:sz w:val="20"/>
                <w:szCs w:val="20"/>
              </w:rPr>
            </w:pPr>
          </w:p>
        </w:tc>
        <w:tc>
          <w:tcPr>
            <w:tcW w:w="1252" w:type="dxa"/>
            <w:vAlign w:val="center"/>
          </w:tcPr>
          <w:p w14:paraId="17EC9885">
            <w:pPr>
              <w:jc w:val="center"/>
              <w:rPr>
                <w:b/>
                <w:bCs/>
                <w:color w:val="000000"/>
                <w:sz w:val="20"/>
                <w:szCs w:val="20"/>
              </w:rPr>
            </w:pPr>
          </w:p>
        </w:tc>
        <w:tc>
          <w:tcPr>
            <w:tcW w:w="1848" w:type="dxa"/>
            <w:vAlign w:val="center"/>
          </w:tcPr>
          <w:p w14:paraId="6AA3EE65">
            <w:pPr>
              <w:jc w:val="center"/>
              <w:rPr>
                <w:b/>
                <w:bCs/>
                <w:color w:val="000000"/>
                <w:sz w:val="20"/>
                <w:szCs w:val="20"/>
              </w:rPr>
            </w:pPr>
            <w:r>
              <w:rPr>
                <w:b/>
                <w:bCs/>
                <w:color w:val="000000"/>
                <w:sz w:val="20"/>
                <w:szCs w:val="20"/>
              </w:rPr>
              <w:t>789.635.619.022</w:t>
            </w:r>
          </w:p>
        </w:tc>
      </w:tr>
      <w:tr w14:paraId="7299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5E2C31">
            <w:pPr>
              <w:jc w:val="center"/>
              <w:rPr>
                <w:b/>
                <w:bCs/>
                <w:color w:val="000000"/>
                <w:sz w:val="20"/>
                <w:szCs w:val="20"/>
              </w:rPr>
            </w:pPr>
            <w:r>
              <w:rPr>
                <w:b/>
                <w:bCs/>
                <w:color w:val="000000"/>
                <w:sz w:val="20"/>
                <w:szCs w:val="20"/>
              </w:rPr>
              <w:t>I</w:t>
            </w:r>
          </w:p>
        </w:tc>
        <w:tc>
          <w:tcPr>
            <w:tcW w:w="1802" w:type="dxa"/>
            <w:noWrap/>
            <w:vAlign w:val="center"/>
          </w:tcPr>
          <w:p w14:paraId="7ED23C52">
            <w:pPr>
              <w:jc w:val="center"/>
              <w:rPr>
                <w:b/>
                <w:bCs/>
                <w:color w:val="000000"/>
                <w:sz w:val="20"/>
                <w:szCs w:val="20"/>
              </w:rPr>
            </w:pPr>
            <w:r>
              <w:rPr>
                <w:b/>
                <w:bCs/>
                <w:color w:val="000000"/>
                <w:sz w:val="20"/>
                <w:szCs w:val="20"/>
              </w:rPr>
              <w:t>ĐẤT BIỆT THỰ</w:t>
            </w:r>
          </w:p>
        </w:tc>
        <w:tc>
          <w:tcPr>
            <w:tcW w:w="1033" w:type="dxa"/>
            <w:noWrap/>
            <w:vAlign w:val="center"/>
          </w:tcPr>
          <w:p w14:paraId="626124FA">
            <w:pPr>
              <w:jc w:val="center"/>
              <w:rPr>
                <w:b/>
                <w:bCs/>
                <w:color w:val="000000"/>
                <w:sz w:val="20"/>
                <w:szCs w:val="20"/>
              </w:rPr>
            </w:pPr>
            <w:r>
              <w:rPr>
                <w:b/>
                <w:bCs/>
                <w:color w:val="000000"/>
                <w:sz w:val="20"/>
                <w:szCs w:val="20"/>
              </w:rPr>
              <w:t>3.009,06</w:t>
            </w:r>
          </w:p>
        </w:tc>
        <w:tc>
          <w:tcPr>
            <w:tcW w:w="846" w:type="dxa"/>
            <w:noWrap/>
            <w:vAlign w:val="center"/>
          </w:tcPr>
          <w:p w14:paraId="43D46928">
            <w:pPr>
              <w:jc w:val="center"/>
              <w:rPr>
                <w:b/>
                <w:bCs/>
                <w:color w:val="000000"/>
                <w:sz w:val="20"/>
                <w:szCs w:val="20"/>
              </w:rPr>
            </w:pPr>
            <w:r>
              <w:rPr>
                <w:b/>
                <w:bCs/>
                <w:color w:val="000000"/>
                <w:sz w:val="20"/>
                <w:szCs w:val="20"/>
              </w:rPr>
              <w:t>10,00</w:t>
            </w:r>
          </w:p>
        </w:tc>
        <w:tc>
          <w:tcPr>
            <w:tcW w:w="2578" w:type="dxa"/>
            <w:noWrap/>
            <w:vAlign w:val="center"/>
          </w:tcPr>
          <w:p w14:paraId="46D2F14F">
            <w:pPr>
              <w:jc w:val="center"/>
              <w:rPr>
                <w:b/>
                <w:bCs/>
                <w:color w:val="000000"/>
                <w:sz w:val="20"/>
                <w:szCs w:val="20"/>
              </w:rPr>
            </w:pPr>
          </w:p>
        </w:tc>
        <w:tc>
          <w:tcPr>
            <w:tcW w:w="2393" w:type="dxa"/>
            <w:noWrap/>
            <w:vAlign w:val="center"/>
          </w:tcPr>
          <w:p w14:paraId="25802C02">
            <w:pPr>
              <w:jc w:val="center"/>
              <w:rPr>
                <w:b/>
                <w:bCs/>
                <w:color w:val="000000"/>
                <w:sz w:val="20"/>
                <w:szCs w:val="20"/>
              </w:rPr>
            </w:pPr>
          </w:p>
        </w:tc>
        <w:tc>
          <w:tcPr>
            <w:tcW w:w="1198" w:type="dxa"/>
            <w:noWrap/>
            <w:vAlign w:val="center"/>
          </w:tcPr>
          <w:p w14:paraId="41250711">
            <w:pPr>
              <w:jc w:val="center"/>
              <w:rPr>
                <w:b/>
                <w:bCs/>
                <w:color w:val="000000"/>
                <w:sz w:val="20"/>
                <w:szCs w:val="20"/>
              </w:rPr>
            </w:pPr>
          </w:p>
        </w:tc>
        <w:tc>
          <w:tcPr>
            <w:tcW w:w="1236" w:type="dxa"/>
            <w:noWrap/>
            <w:vAlign w:val="center"/>
          </w:tcPr>
          <w:p w14:paraId="448CF5CF">
            <w:pPr>
              <w:jc w:val="center"/>
              <w:rPr>
                <w:color w:val="000000"/>
                <w:sz w:val="20"/>
                <w:szCs w:val="20"/>
              </w:rPr>
            </w:pPr>
          </w:p>
        </w:tc>
        <w:tc>
          <w:tcPr>
            <w:tcW w:w="1252" w:type="dxa"/>
            <w:noWrap/>
            <w:vAlign w:val="center"/>
          </w:tcPr>
          <w:p w14:paraId="6EBEEFD8">
            <w:pPr>
              <w:jc w:val="center"/>
              <w:rPr>
                <w:color w:val="000000"/>
                <w:sz w:val="20"/>
                <w:szCs w:val="20"/>
              </w:rPr>
            </w:pPr>
          </w:p>
        </w:tc>
        <w:tc>
          <w:tcPr>
            <w:tcW w:w="1848" w:type="dxa"/>
            <w:noWrap/>
            <w:vAlign w:val="center"/>
          </w:tcPr>
          <w:p w14:paraId="2E043605">
            <w:pPr>
              <w:jc w:val="center"/>
              <w:rPr>
                <w:b/>
                <w:bCs/>
                <w:color w:val="000000"/>
                <w:sz w:val="20"/>
                <w:szCs w:val="20"/>
              </w:rPr>
            </w:pPr>
            <w:r>
              <w:rPr>
                <w:b/>
                <w:bCs/>
                <w:color w:val="000000"/>
                <w:sz w:val="20"/>
                <w:szCs w:val="20"/>
              </w:rPr>
              <w:t>42.740.040.000</w:t>
            </w:r>
          </w:p>
        </w:tc>
      </w:tr>
      <w:tr w14:paraId="12FD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7166672">
            <w:pPr>
              <w:jc w:val="center"/>
              <w:rPr>
                <w:b/>
                <w:bCs/>
                <w:color w:val="000000"/>
                <w:sz w:val="20"/>
                <w:szCs w:val="20"/>
              </w:rPr>
            </w:pPr>
          </w:p>
        </w:tc>
        <w:tc>
          <w:tcPr>
            <w:tcW w:w="1802" w:type="dxa"/>
            <w:vAlign w:val="center"/>
          </w:tcPr>
          <w:p w14:paraId="3165299D">
            <w:pPr>
              <w:jc w:val="center"/>
              <w:rPr>
                <w:b/>
                <w:bCs/>
                <w:color w:val="000000"/>
                <w:sz w:val="20"/>
                <w:szCs w:val="20"/>
              </w:rPr>
            </w:pPr>
            <w:r>
              <w:rPr>
                <w:b/>
                <w:bCs/>
                <w:color w:val="000000"/>
                <w:sz w:val="20"/>
                <w:szCs w:val="20"/>
              </w:rPr>
              <w:t>Tiếp giáp đường Đại Huề (tuyến đối ngoại)</w:t>
            </w:r>
          </w:p>
        </w:tc>
        <w:tc>
          <w:tcPr>
            <w:tcW w:w="1033" w:type="dxa"/>
            <w:vAlign w:val="center"/>
          </w:tcPr>
          <w:p w14:paraId="10FA2BCD">
            <w:pPr>
              <w:jc w:val="center"/>
              <w:rPr>
                <w:b/>
                <w:bCs/>
                <w:color w:val="000000"/>
                <w:sz w:val="20"/>
                <w:szCs w:val="20"/>
              </w:rPr>
            </w:pPr>
          </w:p>
        </w:tc>
        <w:tc>
          <w:tcPr>
            <w:tcW w:w="846" w:type="dxa"/>
            <w:vAlign w:val="center"/>
          </w:tcPr>
          <w:p w14:paraId="686F210D">
            <w:pPr>
              <w:jc w:val="center"/>
              <w:rPr>
                <w:b/>
                <w:bCs/>
                <w:color w:val="000000"/>
                <w:sz w:val="20"/>
                <w:szCs w:val="20"/>
              </w:rPr>
            </w:pPr>
          </w:p>
        </w:tc>
        <w:tc>
          <w:tcPr>
            <w:tcW w:w="2578" w:type="dxa"/>
            <w:vAlign w:val="center"/>
          </w:tcPr>
          <w:p w14:paraId="0A53D7CD">
            <w:pPr>
              <w:jc w:val="center"/>
              <w:rPr>
                <w:b/>
                <w:bCs/>
                <w:color w:val="000000"/>
                <w:sz w:val="20"/>
                <w:szCs w:val="20"/>
              </w:rPr>
            </w:pPr>
          </w:p>
        </w:tc>
        <w:tc>
          <w:tcPr>
            <w:tcW w:w="2393" w:type="dxa"/>
            <w:vAlign w:val="center"/>
          </w:tcPr>
          <w:p w14:paraId="4D8A9269">
            <w:pPr>
              <w:jc w:val="center"/>
              <w:rPr>
                <w:b/>
                <w:bCs/>
                <w:color w:val="000000"/>
                <w:sz w:val="20"/>
                <w:szCs w:val="20"/>
              </w:rPr>
            </w:pPr>
          </w:p>
        </w:tc>
        <w:tc>
          <w:tcPr>
            <w:tcW w:w="1198" w:type="dxa"/>
            <w:noWrap/>
            <w:vAlign w:val="center"/>
          </w:tcPr>
          <w:p w14:paraId="581FB629">
            <w:pPr>
              <w:jc w:val="center"/>
              <w:rPr>
                <w:b/>
                <w:bCs/>
                <w:color w:val="000000"/>
                <w:sz w:val="20"/>
                <w:szCs w:val="20"/>
              </w:rPr>
            </w:pPr>
          </w:p>
        </w:tc>
        <w:tc>
          <w:tcPr>
            <w:tcW w:w="1236" w:type="dxa"/>
            <w:noWrap/>
            <w:vAlign w:val="center"/>
          </w:tcPr>
          <w:p w14:paraId="539C31F0">
            <w:pPr>
              <w:jc w:val="center"/>
              <w:rPr>
                <w:color w:val="000000"/>
                <w:sz w:val="20"/>
                <w:szCs w:val="20"/>
              </w:rPr>
            </w:pPr>
          </w:p>
        </w:tc>
        <w:tc>
          <w:tcPr>
            <w:tcW w:w="1252" w:type="dxa"/>
            <w:noWrap/>
            <w:vAlign w:val="center"/>
          </w:tcPr>
          <w:p w14:paraId="2A34A55F">
            <w:pPr>
              <w:jc w:val="center"/>
              <w:rPr>
                <w:color w:val="000000"/>
                <w:sz w:val="20"/>
                <w:szCs w:val="20"/>
              </w:rPr>
            </w:pPr>
          </w:p>
        </w:tc>
        <w:tc>
          <w:tcPr>
            <w:tcW w:w="1848" w:type="dxa"/>
            <w:noWrap/>
            <w:vAlign w:val="center"/>
          </w:tcPr>
          <w:p w14:paraId="40B8F78B">
            <w:pPr>
              <w:jc w:val="center"/>
              <w:rPr>
                <w:color w:val="000000"/>
                <w:sz w:val="20"/>
                <w:szCs w:val="20"/>
              </w:rPr>
            </w:pPr>
          </w:p>
        </w:tc>
      </w:tr>
      <w:tr w14:paraId="24EA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BA57D9C">
            <w:pPr>
              <w:jc w:val="center"/>
              <w:rPr>
                <w:b/>
                <w:bCs/>
                <w:color w:val="000000"/>
                <w:sz w:val="20"/>
                <w:szCs w:val="20"/>
              </w:rPr>
            </w:pPr>
            <w:r>
              <w:rPr>
                <w:b/>
                <w:bCs/>
                <w:color w:val="000000"/>
                <w:sz w:val="20"/>
                <w:szCs w:val="20"/>
              </w:rPr>
              <w:t>BT01</w:t>
            </w:r>
          </w:p>
        </w:tc>
        <w:tc>
          <w:tcPr>
            <w:tcW w:w="1802" w:type="dxa"/>
            <w:noWrap/>
            <w:vAlign w:val="center"/>
          </w:tcPr>
          <w:p w14:paraId="36D09593">
            <w:pPr>
              <w:jc w:val="center"/>
              <w:rPr>
                <w:color w:val="000000"/>
                <w:sz w:val="20"/>
                <w:szCs w:val="20"/>
              </w:rPr>
            </w:pPr>
            <w:r>
              <w:rPr>
                <w:color w:val="000000"/>
                <w:sz w:val="20"/>
                <w:szCs w:val="20"/>
              </w:rPr>
              <w:t>BT-01:01</w:t>
            </w:r>
          </w:p>
        </w:tc>
        <w:tc>
          <w:tcPr>
            <w:tcW w:w="1033" w:type="dxa"/>
            <w:noWrap/>
            <w:vAlign w:val="center"/>
          </w:tcPr>
          <w:p w14:paraId="7B070250">
            <w:pPr>
              <w:jc w:val="center"/>
              <w:rPr>
                <w:color w:val="000000"/>
                <w:sz w:val="20"/>
                <w:szCs w:val="20"/>
              </w:rPr>
            </w:pPr>
            <w:r>
              <w:rPr>
                <w:color w:val="000000"/>
                <w:sz w:val="20"/>
                <w:szCs w:val="20"/>
              </w:rPr>
              <w:t>326,89</w:t>
            </w:r>
          </w:p>
        </w:tc>
        <w:tc>
          <w:tcPr>
            <w:tcW w:w="846" w:type="dxa"/>
            <w:noWrap/>
            <w:vAlign w:val="center"/>
          </w:tcPr>
          <w:p w14:paraId="56F0B611">
            <w:pPr>
              <w:jc w:val="center"/>
              <w:rPr>
                <w:color w:val="000000"/>
                <w:sz w:val="20"/>
                <w:szCs w:val="20"/>
              </w:rPr>
            </w:pPr>
            <w:r>
              <w:rPr>
                <w:color w:val="000000"/>
                <w:sz w:val="20"/>
                <w:szCs w:val="20"/>
              </w:rPr>
              <w:t>1</w:t>
            </w:r>
          </w:p>
        </w:tc>
        <w:tc>
          <w:tcPr>
            <w:tcW w:w="2578" w:type="dxa"/>
            <w:noWrap/>
            <w:vAlign w:val="center"/>
          </w:tcPr>
          <w:p w14:paraId="6B857F84">
            <w:pPr>
              <w:jc w:val="center"/>
              <w:rPr>
                <w:color w:val="000000"/>
                <w:sz w:val="20"/>
                <w:szCs w:val="20"/>
              </w:rPr>
            </w:pPr>
            <w:r>
              <w:rPr>
                <w:color w:val="000000"/>
                <w:sz w:val="20"/>
                <w:szCs w:val="20"/>
              </w:rPr>
              <w:t>Tiếp giáp đường Đại Huề</w:t>
            </w:r>
          </w:p>
        </w:tc>
        <w:tc>
          <w:tcPr>
            <w:tcW w:w="2393" w:type="dxa"/>
            <w:noWrap/>
            <w:vAlign w:val="center"/>
          </w:tcPr>
          <w:p w14:paraId="7B79E6E2">
            <w:pPr>
              <w:jc w:val="center"/>
              <w:rPr>
                <w:color w:val="000000"/>
                <w:sz w:val="20"/>
                <w:szCs w:val="20"/>
              </w:rPr>
            </w:pPr>
            <w:r>
              <w:rPr>
                <w:color w:val="000000"/>
                <w:sz w:val="20"/>
                <w:szCs w:val="20"/>
              </w:rPr>
              <w:t>Một mặt tiền, đối diện/tiếp giáp CX-MN</w:t>
            </w:r>
          </w:p>
        </w:tc>
        <w:tc>
          <w:tcPr>
            <w:tcW w:w="1198" w:type="dxa"/>
            <w:noWrap/>
            <w:vAlign w:val="center"/>
          </w:tcPr>
          <w:p w14:paraId="0E9B56BA">
            <w:pPr>
              <w:jc w:val="center"/>
              <w:rPr>
                <w:color w:val="000000"/>
                <w:sz w:val="20"/>
                <w:szCs w:val="20"/>
              </w:rPr>
            </w:pPr>
            <w:r>
              <w:rPr>
                <w:color w:val="000000"/>
                <w:sz w:val="20"/>
                <w:szCs w:val="20"/>
              </w:rPr>
              <w:t>14.000.000</w:t>
            </w:r>
          </w:p>
        </w:tc>
        <w:tc>
          <w:tcPr>
            <w:tcW w:w="1236" w:type="dxa"/>
            <w:noWrap/>
            <w:vAlign w:val="center"/>
          </w:tcPr>
          <w:p w14:paraId="785AE353">
            <w:pPr>
              <w:jc w:val="center"/>
              <w:rPr>
                <w:color w:val="000000"/>
                <w:sz w:val="20"/>
                <w:szCs w:val="20"/>
              </w:rPr>
            </w:pPr>
          </w:p>
        </w:tc>
        <w:tc>
          <w:tcPr>
            <w:tcW w:w="1252" w:type="dxa"/>
            <w:noWrap/>
            <w:vAlign w:val="center"/>
          </w:tcPr>
          <w:p w14:paraId="51CFEB7A">
            <w:pPr>
              <w:jc w:val="center"/>
              <w:rPr>
                <w:color w:val="000000"/>
                <w:sz w:val="20"/>
                <w:szCs w:val="20"/>
              </w:rPr>
            </w:pPr>
            <w:r>
              <w:rPr>
                <w:color w:val="000000"/>
                <w:sz w:val="20"/>
                <w:szCs w:val="20"/>
              </w:rPr>
              <w:t>14.000.000</w:t>
            </w:r>
          </w:p>
        </w:tc>
        <w:tc>
          <w:tcPr>
            <w:tcW w:w="1848" w:type="dxa"/>
            <w:noWrap/>
            <w:vAlign w:val="center"/>
          </w:tcPr>
          <w:p w14:paraId="308978C5">
            <w:pPr>
              <w:jc w:val="center"/>
              <w:rPr>
                <w:color w:val="000000"/>
                <w:sz w:val="20"/>
                <w:szCs w:val="20"/>
              </w:rPr>
            </w:pPr>
            <w:r>
              <w:rPr>
                <w:color w:val="000000"/>
                <w:sz w:val="20"/>
                <w:szCs w:val="20"/>
              </w:rPr>
              <w:t>4.576.460.000</w:t>
            </w:r>
          </w:p>
        </w:tc>
      </w:tr>
      <w:tr w14:paraId="29FC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1EEE74F">
            <w:pPr>
              <w:jc w:val="center"/>
              <w:rPr>
                <w:b/>
                <w:bCs/>
                <w:color w:val="000000"/>
                <w:sz w:val="20"/>
                <w:szCs w:val="20"/>
              </w:rPr>
            </w:pPr>
            <w:r>
              <w:rPr>
                <w:b/>
                <w:bCs/>
                <w:color w:val="000000"/>
                <w:sz w:val="20"/>
                <w:szCs w:val="20"/>
              </w:rPr>
              <w:t>BT01</w:t>
            </w:r>
          </w:p>
        </w:tc>
        <w:tc>
          <w:tcPr>
            <w:tcW w:w="1802" w:type="dxa"/>
            <w:noWrap/>
            <w:vAlign w:val="center"/>
          </w:tcPr>
          <w:p w14:paraId="252CB2B1">
            <w:pPr>
              <w:jc w:val="center"/>
              <w:rPr>
                <w:color w:val="000000"/>
                <w:sz w:val="20"/>
                <w:szCs w:val="20"/>
              </w:rPr>
            </w:pPr>
            <w:r>
              <w:rPr>
                <w:color w:val="000000"/>
                <w:sz w:val="20"/>
                <w:szCs w:val="20"/>
              </w:rPr>
              <w:t>BT-01:02</w:t>
            </w:r>
          </w:p>
        </w:tc>
        <w:tc>
          <w:tcPr>
            <w:tcW w:w="1033" w:type="dxa"/>
            <w:noWrap/>
            <w:vAlign w:val="center"/>
          </w:tcPr>
          <w:p w14:paraId="3ED006D8">
            <w:pPr>
              <w:jc w:val="center"/>
              <w:rPr>
                <w:color w:val="000000"/>
                <w:sz w:val="20"/>
                <w:szCs w:val="20"/>
              </w:rPr>
            </w:pPr>
            <w:r>
              <w:rPr>
                <w:color w:val="000000"/>
                <w:sz w:val="20"/>
                <w:szCs w:val="20"/>
              </w:rPr>
              <w:t>298,89</w:t>
            </w:r>
          </w:p>
        </w:tc>
        <w:tc>
          <w:tcPr>
            <w:tcW w:w="846" w:type="dxa"/>
            <w:noWrap/>
            <w:vAlign w:val="center"/>
          </w:tcPr>
          <w:p w14:paraId="4DA35E71">
            <w:pPr>
              <w:jc w:val="center"/>
              <w:rPr>
                <w:color w:val="000000"/>
                <w:sz w:val="20"/>
                <w:szCs w:val="20"/>
              </w:rPr>
            </w:pPr>
            <w:r>
              <w:rPr>
                <w:color w:val="000000"/>
                <w:sz w:val="20"/>
                <w:szCs w:val="20"/>
              </w:rPr>
              <w:t>1</w:t>
            </w:r>
          </w:p>
        </w:tc>
        <w:tc>
          <w:tcPr>
            <w:tcW w:w="2578" w:type="dxa"/>
            <w:noWrap/>
            <w:vAlign w:val="center"/>
          </w:tcPr>
          <w:p w14:paraId="0F6AE3F4">
            <w:pPr>
              <w:jc w:val="center"/>
              <w:rPr>
                <w:color w:val="000000"/>
                <w:sz w:val="20"/>
                <w:szCs w:val="20"/>
              </w:rPr>
            </w:pPr>
            <w:r>
              <w:rPr>
                <w:color w:val="000000"/>
                <w:sz w:val="20"/>
                <w:szCs w:val="20"/>
              </w:rPr>
              <w:t>Tiếp giáp đường Đại Huề</w:t>
            </w:r>
          </w:p>
        </w:tc>
        <w:tc>
          <w:tcPr>
            <w:tcW w:w="2393" w:type="dxa"/>
            <w:noWrap/>
            <w:vAlign w:val="center"/>
          </w:tcPr>
          <w:p w14:paraId="12B7C562">
            <w:pPr>
              <w:jc w:val="center"/>
              <w:rPr>
                <w:color w:val="000000"/>
                <w:sz w:val="20"/>
                <w:szCs w:val="20"/>
              </w:rPr>
            </w:pPr>
            <w:r>
              <w:rPr>
                <w:color w:val="000000"/>
                <w:sz w:val="20"/>
                <w:szCs w:val="20"/>
              </w:rPr>
              <w:t>Một mặt tiền, đối diện/tiếp giáp CX-MN</w:t>
            </w:r>
          </w:p>
        </w:tc>
        <w:tc>
          <w:tcPr>
            <w:tcW w:w="1198" w:type="dxa"/>
            <w:noWrap/>
            <w:vAlign w:val="center"/>
          </w:tcPr>
          <w:p w14:paraId="2F1C0DDB">
            <w:pPr>
              <w:jc w:val="center"/>
              <w:rPr>
                <w:color w:val="000000"/>
                <w:sz w:val="20"/>
                <w:szCs w:val="20"/>
              </w:rPr>
            </w:pPr>
            <w:r>
              <w:rPr>
                <w:color w:val="000000"/>
                <w:sz w:val="20"/>
                <w:szCs w:val="20"/>
              </w:rPr>
              <w:t>14.000.000</w:t>
            </w:r>
          </w:p>
        </w:tc>
        <w:tc>
          <w:tcPr>
            <w:tcW w:w="1236" w:type="dxa"/>
            <w:noWrap/>
            <w:vAlign w:val="center"/>
          </w:tcPr>
          <w:p w14:paraId="624C4873">
            <w:pPr>
              <w:jc w:val="center"/>
              <w:rPr>
                <w:color w:val="000000"/>
                <w:sz w:val="20"/>
                <w:szCs w:val="20"/>
              </w:rPr>
            </w:pPr>
          </w:p>
        </w:tc>
        <w:tc>
          <w:tcPr>
            <w:tcW w:w="1252" w:type="dxa"/>
            <w:noWrap/>
            <w:vAlign w:val="center"/>
          </w:tcPr>
          <w:p w14:paraId="23843EF8">
            <w:pPr>
              <w:jc w:val="center"/>
              <w:rPr>
                <w:color w:val="000000"/>
                <w:sz w:val="20"/>
                <w:szCs w:val="20"/>
              </w:rPr>
            </w:pPr>
            <w:r>
              <w:rPr>
                <w:color w:val="000000"/>
                <w:sz w:val="20"/>
                <w:szCs w:val="20"/>
              </w:rPr>
              <w:t>14.000.000</w:t>
            </w:r>
          </w:p>
        </w:tc>
        <w:tc>
          <w:tcPr>
            <w:tcW w:w="1848" w:type="dxa"/>
            <w:noWrap/>
            <w:vAlign w:val="center"/>
          </w:tcPr>
          <w:p w14:paraId="237065BF">
            <w:pPr>
              <w:jc w:val="center"/>
              <w:rPr>
                <w:color w:val="000000"/>
                <w:sz w:val="20"/>
                <w:szCs w:val="20"/>
              </w:rPr>
            </w:pPr>
            <w:r>
              <w:rPr>
                <w:color w:val="000000"/>
                <w:sz w:val="20"/>
                <w:szCs w:val="20"/>
              </w:rPr>
              <w:t>4.184.460.000</w:t>
            </w:r>
          </w:p>
        </w:tc>
      </w:tr>
      <w:tr w14:paraId="732F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47D8356">
            <w:pPr>
              <w:jc w:val="center"/>
              <w:rPr>
                <w:b/>
                <w:bCs/>
                <w:color w:val="000000"/>
                <w:sz w:val="20"/>
                <w:szCs w:val="20"/>
              </w:rPr>
            </w:pPr>
            <w:r>
              <w:rPr>
                <w:b/>
                <w:bCs/>
                <w:color w:val="000000"/>
                <w:sz w:val="20"/>
                <w:szCs w:val="20"/>
              </w:rPr>
              <w:t>BT02</w:t>
            </w:r>
          </w:p>
        </w:tc>
        <w:tc>
          <w:tcPr>
            <w:tcW w:w="1802" w:type="dxa"/>
            <w:noWrap/>
            <w:vAlign w:val="center"/>
          </w:tcPr>
          <w:p w14:paraId="1E245356">
            <w:pPr>
              <w:jc w:val="center"/>
              <w:rPr>
                <w:color w:val="000000"/>
                <w:sz w:val="20"/>
                <w:szCs w:val="20"/>
              </w:rPr>
            </w:pPr>
            <w:r>
              <w:rPr>
                <w:color w:val="000000"/>
                <w:sz w:val="20"/>
                <w:szCs w:val="20"/>
              </w:rPr>
              <w:t>BT-02:01</w:t>
            </w:r>
          </w:p>
        </w:tc>
        <w:tc>
          <w:tcPr>
            <w:tcW w:w="1033" w:type="dxa"/>
            <w:noWrap/>
            <w:vAlign w:val="center"/>
          </w:tcPr>
          <w:p w14:paraId="729DBC97">
            <w:pPr>
              <w:jc w:val="center"/>
              <w:rPr>
                <w:color w:val="000000"/>
                <w:sz w:val="20"/>
                <w:szCs w:val="20"/>
              </w:rPr>
            </w:pPr>
            <w:r>
              <w:rPr>
                <w:color w:val="000000"/>
                <w:sz w:val="20"/>
                <w:szCs w:val="20"/>
              </w:rPr>
              <w:t>290,55</w:t>
            </w:r>
          </w:p>
        </w:tc>
        <w:tc>
          <w:tcPr>
            <w:tcW w:w="846" w:type="dxa"/>
            <w:noWrap/>
            <w:vAlign w:val="center"/>
          </w:tcPr>
          <w:p w14:paraId="2858EF75">
            <w:pPr>
              <w:jc w:val="center"/>
              <w:rPr>
                <w:color w:val="000000"/>
                <w:sz w:val="20"/>
                <w:szCs w:val="20"/>
              </w:rPr>
            </w:pPr>
            <w:r>
              <w:rPr>
                <w:color w:val="000000"/>
                <w:sz w:val="20"/>
                <w:szCs w:val="20"/>
              </w:rPr>
              <w:t>1</w:t>
            </w:r>
          </w:p>
        </w:tc>
        <w:tc>
          <w:tcPr>
            <w:tcW w:w="2578" w:type="dxa"/>
            <w:noWrap/>
            <w:vAlign w:val="center"/>
          </w:tcPr>
          <w:p w14:paraId="76E7260E">
            <w:pPr>
              <w:jc w:val="center"/>
              <w:rPr>
                <w:color w:val="000000"/>
                <w:sz w:val="20"/>
                <w:szCs w:val="20"/>
              </w:rPr>
            </w:pPr>
            <w:r>
              <w:rPr>
                <w:color w:val="000000"/>
                <w:sz w:val="20"/>
                <w:szCs w:val="20"/>
              </w:rPr>
              <w:t>Tiếp giáp đường Đại Huề</w:t>
            </w:r>
          </w:p>
        </w:tc>
        <w:tc>
          <w:tcPr>
            <w:tcW w:w="2393" w:type="dxa"/>
            <w:noWrap/>
            <w:vAlign w:val="center"/>
          </w:tcPr>
          <w:p w14:paraId="1CABDD07">
            <w:pPr>
              <w:jc w:val="center"/>
              <w:rPr>
                <w:color w:val="000000"/>
                <w:sz w:val="20"/>
                <w:szCs w:val="20"/>
              </w:rPr>
            </w:pPr>
            <w:r>
              <w:rPr>
                <w:color w:val="000000"/>
                <w:sz w:val="20"/>
                <w:szCs w:val="20"/>
              </w:rPr>
              <w:t>Một mặt tiền, đối diện/tiếp giáp CX-MN</w:t>
            </w:r>
          </w:p>
        </w:tc>
        <w:tc>
          <w:tcPr>
            <w:tcW w:w="1198" w:type="dxa"/>
            <w:noWrap/>
            <w:vAlign w:val="center"/>
          </w:tcPr>
          <w:p w14:paraId="084B056D">
            <w:pPr>
              <w:jc w:val="center"/>
              <w:rPr>
                <w:color w:val="000000"/>
                <w:sz w:val="20"/>
                <w:szCs w:val="20"/>
              </w:rPr>
            </w:pPr>
            <w:r>
              <w:rPr>
                <w:color w:val="000000"/>
                <w:sz w:val="20"/>
                <w:szCs w:val="20"/>
              </w:rPr>
              <w:t>14.000.000</w:t>
            </w:r>
          </w:p>
        </w:tc>
        <w:tc>
          <w:tcPr>
            <w:tcW w:w="1236" w:type="dxa"/>
            <w:noWrap/>
            <w:vAlign w:val="center"/>
          </w:tcPr>
          <w:p w14:paraId="411BDCB2">
            <w:pPr>
              <w:jc w:val="center"/>
              <w:rPr>
                <w:color w:val="000000"/>
                <w:sz w:val="20"/>
                <w:szCs w:val="20"/>
              </w:rPr>
            </w:pPr>
          </w:p>
        </w:tc>
        <w:tc>
          <w:tcPr>
            <w:tcW w:w="1252" w:type="dxa"/>
            <w:noWrap/>
            <w:vAlign w:val="center"/>
          </w:tcPr>
          <w:p w14:paraId="64EE780C">
            <w:pPr>
              <w:jc w:val="center"/>
              <w:rPr>
                <w:color w:val="000000"/>
                <w:sz w:val="20"/>
                <w:szCs w:val="20"/>
              </w:rPr>
            </w:pPr>
            <w:r>
              <w:rPr>
                <w:color w:val="000000"/>
                <w:sz w:val="20"/>
                <w:szCs w:val="20"/>
              </w:rPr>
              <w:t>14.000.000</w:t>
            </w:r>
          </w:p>
        </w:tc>
        <w:tc>
          <w:tcPr>
            <w:tcW w:w="1848" w:type="dxa"/>
            <w:noWrap/>
            <w:vAlign w:val="center"/>
          </w:tcPr>
          <w:p w14:paraId="2B8046F7">
            <w:pPr>
              <w:jc w:val="center"/>
              <w:rPr>
                <w:color w:val="000000"/>
                <w:sz w:val="20"/>
                <w:szCs w:val="20"/>
              </w:rPr>
            </w:pPr>
            <w:r>
              <w:rPr>
                <w:color w:val="000000"/>
                <w:sz w:val="20"/>
                <w:szCs w:val="20"/>
              </w:rPr>
              <w:t>4.067.700.000</w:t>
            </w:r>
          </w:p>
        </w:tc>
      </w:tr>
      <w:tr w14:paraId="4AA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8AC6F1F">
            <w:pPr>
              <w:jc w:val="center"/>
              <w:rPr>
                <w:b/>
                <w:bCs/>
                <w:color w:val="000000"/>
                <w:sz w:val="20"/>
                <w:szCs w:val="20"/>
              </w:rPr>
            </w:pPr>
            <w:r>
              <w:rPr>
                <w:b/>
                <w:bCs/>
                <w:color w:val="000000"/>
                <w:sz w:val="20"/>
                <w:szCs w:val="20"/>
              </w:rPr>
              <w:t>BT02</w:t>
            </w:r>
          </w:p>
        </w:tc>
        <w:tc>
          <w:tcPr>
            <w:tcW w:w="1802" w:type="dxa"/>
            <w:noWrap/>
            <w:vAlign w:val="center"/>
          </w:tcPr>
          <w:p w14:paraId="0A2FF279">
            <w:pPr>
              <w:jc w:val="center"/>
              <w:rPr>
                <w:color w:val="000000"/>
                <w:sz w:val="20"/>
                <w:szCs w:val="20"/>
              </w:rPr>
            </w:pPr>
            <w:r>
              <w:rPr>
                <w:color w:val="000000"/>
                <w:sz w:val="20"/>
                <w:szCs w:val="20"/>
              </w:rPr>
              <w:t>BT-02:02</w:t>
            </w:r>
          </w:p>
        </w:tc>
        <w:tc>
          <w:tcPr>
            <w:tcW w:w="1033" w:type="dxa"/>
            <w:noWrap/>
            <w:vAlign w:val="center"/>
          </w:tcPr>
          <w:p w14:paraId="6C75C952">
            <w:pPr>
              <w:jc w:val="center"/>
              <w:rPr>
                <w:color w:val="000000"/>
                <w:sz w:val="20"/>
                <w:szCs w:val="20"/>
              </w:rPr>
            </w:pPr>
            <w:r>
              <w:rPr>
                <w:color w:val="000000"/>
                <w:sz w:val="20"/>
                <w:szCs w:val="20"/>
              </w:rPr>
              <w:t>300,73</w:t>
            </w:r>
          </w:p>
        </w:tc>
        <w:tc>
          <w:tcPr>
            <w:tcW w:w="846" w:type="dxa"/>
            <w:noWrap/>
            <w:vAlign w:val="center"/>
          </w:tcPr>
          <w:p w14:paraId="7DB945EC">
            <w:pPr>
              <w:jc w:val="center"/>
              <w:rPr>
                <w:color w:val="000000"/>
                <w:sz w:val="20"/>
                <w:szCs w:val="20"/>
              </w:rPr>
            </w:pPr>
            <w:r>
              <w:rPr>
                <w:color w:val="000000"/>
                <w:sz w:val="20"/>
                <w:szCs w:val="20"/>
              </w:rPr>
              <w:t>1</w:t>
            </w:r>
          </w:p>
        </w:tc>
        <w:tc>
          <w:tcPr>
            <w:tcW w:w="2578" w:type="dxa"/>
            <w:noWrap/>
            <w:vAlign w:val="center"/>
          </w:tcPr>
          <w:p w14:paraId="47BC67BE">
            <w:pPr>
              <w:jc w:val="center"/>
              <w:rPr>
                <w:color w:val="000000"/>
                <w:sz w:val="20"/>
                <w:szCs w:val="20"/>
              </w:rPr>
            </w:pPr>
            <w:r>
              <w:rPr>
                <w:color w:val="000000"/>
                <w:sz w:val="20"/>
                <w:szCs w:val="20"/>
              </w:rPr>
              <w:t>Tiếp giáp đường Đại Huề</w:t>
            </w:r>
          </w:p>
        </w:tc>
        <w:tc>
          <w:tcPr>
            <w:tcW w:w="2393" w:type="dxa"/>
            <w:noWrap/>
            <w:vAlign w:val="center"/>
          </w:tcPr>
          <w:p w14:paraId="21E4CB5A">
            <w:pPr>
              <w:jc w:val="center"/>
              <w:rPr>
                <w:color w:val="000000"/>
                <w:sz w:val="20"/>
                <w:szCs w:val="20"/>
              </w:rPr>
            </w:pPr>
            <w:r>
              <w:rPr>
                <w:color w:val="000000"/>
                <w:sz w:val="20"/>
                <w:szCs w:val="20"/>
              </w:rPr>
              <w:t>Một mặt tiền, đối diện/tiếp giáp CX-MN</w:t>
            </w:r>
          </w:p>
        </w:tc>
        <w:tc>
          <w:tcPr>
            <w:tcW w:w="1198" w:type="dxa"/>
            <w:noWrap/>
            <w:vAlign w:val="center"/>
          </w:tcPr>
          <w:p w14:paraId="615A01AD">
            <w:pPr>
              <w:jc w:val="center"/>
              <w:rPr>
                <w:color w:val="000000"/>
                <w:sz w:val="20"/>
                <w:szCs w:val="20"/>
              </w:rPr>
            </w:pPr>
            <w:r>
              <w:rPr>
                <w:color w:val="000000"/>
                <w:sz w:val="20"/>
                <w:szCs w:val="20"/>
              </w:rPr>
              <w:t>14.000.000</w:t>
            </w:r>
          </w:p>
        </w:tc>
        <w:tc>
          <w:tcPr>
            <w:tcW w:w="1236" w:type="dxa"/>
            <w:noWrap/>
            <w:vAlign w:val="center"/>
          </w:tcPr>
          <w:p w14:paraId="54FF3CB6">
            <w:pPr>
              <w:jc w:val="center"/>
              <w:rPr>
                <w:color w:val="000000"/>
                <w:sz w:val="20"/>
                <w:szCs w:val="20"/>
              </w:rPr>
            </w:pPr>
          </w:p>
        </w:tc>
        <w:tc>
          <w:tcPr>
            <w:tcW w:w="1252" w:type="dxa"/>
            <w:noWrap/>
            <w:vAlign w:val="center"/>
          </w:tcPr>
          <w:p w14:paraId="5EC8FD6A">
            <w:pPr>
              <w:jc w:val="center"/>
              <w:rPr>
                <w:color w:val="000000"/>
                <w:sz w:val="20"/>
                <w:szCs w:val="20"/>
              </w:rPr>
            </w:pPr>
            <w:r>
              <w:rPr>
                <w:color w:val="000000"/>
                <w:sz w:val="20"/>
                <w:szCs w:val="20"/>
              </w:rPr>
              <w:t>14.000.000</w:t>
            </w:r>
          </w:p>
        </w:tc>
        <w:tc>
          <w:tcPr>
            <w:tcW w:w="1848" w:type="dxa"/>
            <w:noWrap/>
            <w:vAlign w:val="center"/>
          </w:tcPr>
          <w:p w14:paraId="5FAEA98B">
            <w:pPr>
              <w:jc w:val="center"/>
              <w:rPr>
                <w:color w:val="000000"/>
                <w:sz w:val="20"/>
                <w:szCs w:val="20"/>
              </w:rPr>
            </w:pPr>
            <w:r>
              <w:rPr>
                <w:color w:val="000000"/>
                <w:sz w:val="20"/>
                <w:szCs w:val="20"/>
              </w:rPr>
              <w:t>4.210.220.000</w:t>
            </w:r>
          </w:p>
        </w:tc>
      </w:tr>
      <w:tr w14:paraId="665A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FD53EA2">
            <w:pPr>
              <w:jc w:val="center"/>
              <w:rPr>
                <w:b/>
                <w:bCs/>
                <w:color w:val="000000"/>
                <w:sz w:val="20"/>
                <w:szCs w:val="20"/>
              </w:rPr>
            </w:pPr>
            <w:r>
              <w:rPr>
                <w:b/>
                <w:bCs/>
                <w:color w:val="000000"/>
                <w:sz w:val="20"/>
                <w:szCs w:val="20"/>
              </w:rPr>
              <w:t>BT02</w:t>
            </w:r>
          </w:p>
        </w:tc>
        <w:tc>
          <w:tcPr>
            <w:tcW w:w="1802" w:type="dxa"/>
            <w:noWrap/>
            <w:vAlign w:val="center"/>
          </w:tcPr>
          <w:p w14:paraId="52D089B1">
            <w:pPr>
              <w:jc w:val="center"/>
              <w:rPr>
                <w:color w:val="000000"/>
                <w:sz w:val="20"/>
                <w:szCs w:val="20"/>
              </w:rPr>
            </w:pPr>
            <w:r>
              <w:rPr>
                <w:color w:val="000000"/>
                <w:sz w:val="20"/>
                <w:szCs w:val="20"/>
              </w:rPr>
              <w:t>BT-02:03</w:t>
            </w:r>
          </w:p>
        </w:tc>
        <w:tc>
          <w:tcPr>
            <w:tcW w:w="1033" w:type="dxa"/>
            <w:noWrap/>
            <w:vAlign w:val="center"/>
          </w:tcPr>
          <w:p w14:paraId="253F3806">
            <w:pPr>
              <w:jc w:val="center"/>
              <w:rPr>
                <w:color w:val="000000"/>
                <w:sz w:val="20"/>
                <w:szCs w:val="20"/>
              </w:rPr>
            </w:pPr>
            <w:r>
              <w:rPr>
                <w:color w:val="000000"/>
                <w:sz w:val="20"/>
                <w:szCs w:val="20"/>
              </w:rPr>
              <w:t>300,00</w:t>
            </w:r>
          </w:p>
        </w:tc>
        <w:tc>
          <w:tcPr>
            <w:tcW w:w="846" w:type="dxa"/>
            <w:noWrap/>
            <w:vAlign w:val="center"/>
          </w:tcPr>
          <w:p w14:paraId="0555072A">
            <w:pPr>
              <w:jc w:val="center"/>
              <w:rPr>
                <w:color w:val="000000"/>
                <w:sz w:val="20"/>
                <w:szCs w:val="20"/>
              </w:rPr>
            </w:pPr>
            <w:r>
              <w:rPr>
                <w:color w:val="000000"/>
                <w:sz w:val="20"/>
                <w:szCs w:val="20"/>
              </w:rPr>
              <w:t>1</w:t>
            </w:r>
          </w:p>
        </w:tc>
        <w:tc>
          <w:tcPr>
            <w:tcW w:w="2578" w:type="dxa"/>
            <w:noWrap/>
            <w:vAlign w:val="center"/>
          </w:tcPr>
          <w:p w14:paraId="2A008697">
            <w:pPr>
              <w:jc w:val="center"/>
              <w:rPr>
                <w:color w:val="000000"/>
                <w:sz w:val="20"/>
                <w:szCs w:val="20"/>
              </w:rPr>
            </w:pPr>
            <w:r>
              <w:rPr>
                <w:color w:val="000000"/>
                <w:sz w:val="20"/>
                <w:szCs w:val="20"/>
              </w:rPr>
              <w:t>Tiếp giáp đường Đại Huề</w:t>
            </w:r>
          </w:p>
        </w:tc>
        <w:tc>
          <w:tcPr>
            <w:tcW w:w="2393" w:type="dxa"/>
            <w:noWrap/>
            <w:vAlign w:val="center"/>
          </w:tcPr>
          <w:p w14:paraId="71380866">
            <w:pPr>
              <w:jc w:val="center"/>
              <w:rPr>
                <w:color w:val="000000"/>
                <w:sz w:val="20"/>
                <w:szCs w:val="20"/>
              </w:rPr>
            </w:pPr>
            <w:r>
              <w:rPr>
                <w:color w:val="000000"/>
                <w:sz w:val="20"/>
                <w:szCs w:val="20"/>
              </w:rPr>
              <w:t>Một mặt tiền, đối diện/tiếp giáp CX-MN</w:t>
            </w:r>
          </w:p>
        </w:tc>
        <w:tc>
          <w:tcPr>
            <w:tcW w:w="1198" w:type="dxa"/>
            <w:noWrap/>
            <w:vAlign w:val="center"/>
          </w:tcPr>
          <w:p w14:paraId="0DA71E14">
            <w:pPr>
              <w:jc w:val="center"/>
              <w:rPr>
                <w:color w:val="000000"/>
                <w:sz w:val="20"/>
                <w:szCs w:val="20"/>
              </w:rPr>
            </w:pPr>
            <w:r>
              <w:rPr>
                <w:color w:val="000000"/>
                <w:sz w:val="20"/>
                <w:szCs w:val="20"/>
              </w:rPr>
              <w:t>14.000.000</w:t>
            </w:r>
          </w:p>
        </w:tc>
        <w:tc>
          <w:tcPr>
            <w:tcW w:w="1236" w:type="dxa"/>
            <w:noWrap/>
            <w:vAlign w:val="center"/>
          </w:tcPr>
          <w:p w14:paraId="5F39A3D4">
            <w:pPr>
              <w:jc w:val="center"/>
              <w:rPr>
                <w:color w:val="000000"/>
                <w:sz w:val="20"/>
                <w:szCs w:val="20"/>
              </w:rPr>
            </w:pPr>
          </w:p>
        </w:tc>
        <w:tc>
          <w:tcPr>
            <w:tcW w:w="1252" w:type="dxa"/>
            <w:noWrap/>
            <w:vAlign w:val="center"/>
          </w:tcPr>
          <w:p w14:paraId="414EEF8E">
            <w:pPr>
              <w:jc w:val="center"/>
              <w:rPr>
                <w:color w:val="000000"/>
                <w:sz w:val="20"/>
                <w:szCs w:val="20"/>
              </w:rPr>
            </w:pPr>
            <w:r>
              <w:rPr>
                <w:color w:val="000000"/>
                <w:sz w:val="20"/>
                <w:szCs w:val="20"/>
              </w:rPr>
              <w:t>14.000.000</w:t>
            </w:r>
          </w:p>
        </w:tc>
        <w:tc>
          <w:tcPr>
            <w:tcW w:w="1848" w:type="dxa"/>
            <w:noWrap/>
            <w:vAlign w:val="center"/>
          </w:tcPr>
          <w:p w14:paraId="0C48F7E0">
            <w:pPr>
              <w:jc w:val="center"/>
              <w:rPr>
                <w:color w:val="000000"/>
                <w:sz w:val="20"/>
                <w:szCs w:val="20"/>
              </w:rPr>
            </w:pPr>
            <w:r>
              <w:rPr>
                <w:color w:val="000000"/>
                <w:sz w:val="20"/>
                <w:szCs w:val="20"/>
              </w:rPr>
              <w:t>4.200.000.000</w:t>
            </w:r>
          </w:p>
        </w:tc>
      </w:tr>
      <w:tr w14:paraId="153E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68AF66E">
            <w:pPr>
              <w:jc w:val="center"/>
              <w:rPr>
                <w:b/>
                <w:bCs/>
                <w:color w:val="000000"/>
                <w:sz w:val="20"/>
                <w:szCs w:val="20"/>
              </w:rPr>
            </w:pPr>
            <w:r>
              <w:rPr>
                <w:b/>
                <w:bCs/>
                <w:color w:val="000000"/>
                <w:sz w:val="20"/>
                <w:szCs w:val="20"/>
              </w:rPr>
              <w:t>BT02</w:t>
            </w:r>
          </w:p>
        </w:tc>
        <w:tc>
          <w:tcPr>
            <w:tcW w:w="1802" w:type="dxa"/>
            <w:noWrap/>
            <w:vAlign w:val="center"/>
          </w:tcPr>
          <w:p w14:paraId="3C1C930F">
            <w:pPr>
              <w:jc w:val="center"/>
              <w:rPr>
                <w:color w:val="000000"/>
                <w:sz w:val="20"/>
                <w:szCs w:val="20"/>
              </w:rPr>
            </w:pPr>
            <w:r>
              <w:rPr>
                <w:color w:val="000000"/>
                <w:sz w:val="20"/>
                <w:szCs w:val="20"/>
              </w:rPr>
              <w:t>BT-02:04</w:t>
            </w:r>
          </w:p>
        </w:tc>
        <w:tc>
          <w:tcPr>
            <w:tcW w:w="1033" w:type="dxa"/>
            <w:noWrap/>
            <w:vAlign w:val="center"/>
          </w:tcPr>
          <w:p w14:paraId="2F4269A9">
            <w:pPr>
              <w:jc w:val="center"/>
              <w:rPr>
                <w:color w:val="000000"/>
                <w:sz w:val="20"/>
                <w:szCs w:val="20"/>
              </w:rPr>
            </w:pPr>
            <w:r>
              <w:rPr>
                <w:color w:val="000000"/>
                <w:sz w:val="20"/>
                <w:szCs w:val="20"/>
              </w:rPr>
              <w:t>300,00</w:t>
            </w:r>
          </w:p>
        </w:tc>
        <w:tc>
          <w:tcPr>
            <w:tcW w:w="846" w:type="dxa"/>
            <w:noWrap/>
            <w:vAlign w:val="center"/>
          </w:tcPr>
          <w:p w14:paraId="21DC4F9D">
            <w:pPr>
              <w:jc w:val="center"/>
              <w:rPr>
                <w:color w:val="000000"/>
                <w:sz w:val="20"/>
                <w:szCs w:val="20"/>
              </w:rPr>
            </w:pPr>
            <w:r>
              <w:rPr>
                <w:color w:val="000000"/>
                <w:sz w:val="20"/>
                <w:szCs w:val="20"/>
              </w:rPr>
              <w:t>1</w:t>
            </w:r>
          </w:p>
        </w:tc>
        <w:tc>
          <w:tcPr>
            <w:tcW w:w="2578" w:type="dxa"/>
            <w:noWrap/>
            <w:vAlign w:val="center"/>
          </w:tcPr>
          <w:p w14:paraId="1BE6FDFF">
            <w:pPr>
              <w:jc w:val="center"/>
              <w:rPr>
                <w:color w:val="000000"/>
                <w:sz w:val="20"/>
                <w:szCs w:val="20"/>
              </w:rPr>
            </w:pPr>
            <w:r>
              <w:rPr>
                <w:color w:val="000000"/>
                <w:sz w:val="20"/>
                <w:szCs w:val="20"/>
              </w:rPr>
              <w:t>Tiếp giáp đường Đại Huề</w:t>
            </w:r>
          </w:p>
        </w:tc>
        <w:tc>
          <w:tcPr>
            <w:tcW w:w="2393" w:type="dxa"/>
            <w:noWrap/>
            <w:vAlign w:val="center"/>
          </w:tcPr>
          <w:p w14:paraId="07AAEFD0">
            <w:pPr>
              <w:jc w:val="center"/>
              <w:rPr>
                <w:color w:val="000000"/>
                <w:sz w:val="20"/>
                <w:szCs w:val="20"/>
              </w:rPr>
            </w:pPr>
            <w:r>
              <w:rPr>
                <w:color w:val="000000"/>
                <w:sz w:val="20"/>
                <w:szCs w:val="20"/>
              </w:rPr>
              <w:t>Một mặt tiền, đối diện/tiếp giáp CX-MN</w:t>
            </w:r>
          </w:p>
        </w:tc>
        <w:tc>
          <w:tcPr>
            <w:tcW w:w="1198" w:type="dxa"/>
            <w:noWrap/>
            <w:vAlign w:val="center"/>
          </w:tcPr>
          <w:p w14:paraId="43BEBFAD">
            <w:pPr>
              <w:jc w:val="center"/>
              <w:rPr>
                <w:color w:val="000000"/>
                <w:sz w:val="20"/>
                <w:szCs w:val="20"/>
              </w:rPr>
            </w:pPr>
            <w:r>
              <w:rPr>
                <w:color w:val="000000"/>
                <w:sz w:val="20"/>
                <w:szCs w:val="20"/>
              </w:rPr>
              <w:t>14.000.000</w:t>
            </w:r>
          </w:p>
        </w:tc>
        <w:tc>
          <w:tcPr>
            <w:tcW w:w="1236" w:type="dxa"/>
            <w:noWrap/>
            <w:vAlign w:val="center"/>
          </w:tcPr>
          <w:p w14:paraId="07CC23C5">
            <w:pPr>
              <w:jc w:val="center"/>
              <w:rPr>
                <w:color w:val="000000"/>
                <w:sz w:val="20"/>
                <w:szCs w:val="20"/>
              </w:rPr>
            </w:pPr>
          </w:p>
        </w:tc>
        <w:tc>
          <w:tcPr>
            <w:tcW w:w="1252" w:type="dxa"/>
            <w:noWrap/>
            <w:vAlign w:val="center"/>
          </w:tcPr>
          <w:p w14:paraId="3D8500D4">
            <w:pPr>
              <w:jc w:val="center"/>
              <w:rPr>
                <w:color w:val="000000"/>
                <w:sz w:val="20"/>
                <w:szCs w:val="20"/>
              </w:rPr>
            </w:pPr>
            <w:r>
              <w:rPr>
                <w:color w:val="000000"/>
                <w:sz w:val="20"/>
                <w:szCs w:val="20"/>
              </w:rPr>
              <w:t>14.000.000</w:t>
            </w:r>
          </w:p>
        </w:tc>
        <w:tc>
          <w:tcPr>
            <w:tcW w:w="1848" w:type="dxa"/>
            <w:noWrap/>
            <w:vAlign w:val="center"/>
          </w:tcPr>
          <w:p w14:paraId="327D8AB3">
            <w:pPr>
              <w:jc w:val="center"/>
              <w:rPr>
                <w:color w:val="000000"/>
                <w:sz w:val="20"/>
                <w:szCs w:val="20"/>
              </w:rPr>
            </w:pPr>
            <w:r>
              <w:rPr>
                <w:color w:val="000000"/>
                <w:sz w:val="20"/>
                <w:szCs w:val="20"/>
              </w:rPr>
              <w:t>4.200.000.000</w:t>
            </w:r>
          </w:p>
        </w:tc>
      </w:tr>
      <w:tr w14:paraId="4F73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525B13D">
            <w:pPr>
              <w:jc w:val="center"/>
              <w:rPr>
                <w:b/>
                <w:bCs/>
                <w:color w:val="000000"/>
                <w:sz w:val="20"/>
                <w:szCs w:val="20"/>
              </w:rPr>
            </w:pPr>
            <w:r>
              <w:rPr>
                <w:b/>
                <w:bCs/>
                <w:color w:val="000000"/>
                <w:sz w:val="20"/>
                <w:szCs w:val="20"/>
              </w:rPr>
              <w:t>BT02</w:t>
            </w:r>
          </w:p>
        </w:tc>
        <w:tc>
          <w:tcPr>
            <w:tcW w:w="1802" w:type="dxa"/>
            <w:noWrap/>
            <w:vAlign w:val="center"/>
          </w:tcPr>
          <w:p w14:paraId="320D2756">
            <w:pPr>
              <w:jc w:val="center"/>
              <w:rPr>
                <w:color w:val="000000"/>
                <w:sz w:val="20"/>
                <w:szCs w:val="20"/>
              </w:rPr>
            </w:pPr>
            <w:r>
              <w:rPr>
                <w:color w:val="000000"/>
                <w:sz w:val="20"/>
                <w:szCs w:val="20"/>
              </w:rPr>
              <w:t>BT-02:05</w:t>
            </w:r>
          </w:p>
        </w:tc>
        <w:tc>
          <w:tcPr>
            <w:tcW w:w="1033" w:type="dxa"/>
            <w:noWrap/>
            <w:vAlign w:val="center"/>
          </w:tcPr>
          <w:p w14:paraId="3DAACE3B">
            <w:pPr>
              <w:jc w:val="center"/>
              <w:rPr>
                <w:color w:val="000000"/>
                <w:sz w:val="20"/>
                <w:szCs w:val="20"/>
              </w:rPr>
            </w:pPr>
            <w:r>
              <w:rPr>
                <w:color w:val="000000"/>
                <w:sz w:val="20"/>
                <w:szCs w:val="20"/>
              </w:rPr>
              <w:t>300,00</w:t>
            </w:r>
          </w:p>
        </w:tc>
        <w:tc>
          <w:tcPr>
            <w:tcW w:w="846" w:type="dxa"/>
            <w:noWrap/>
            <w:vAlign w:val="center"/>
          </w:tcPr>
          <w:p w14:paraId="5CB68BEB">
            <w:pPr>
              <w:jc w:val="center"/>
              <w:rPr>
                <w:color w:val="000000"/>
                <w:sz w:val="20"/>
                <w:szCs w:val="20"/>
              </w:rPr>
            </w:pPr>
            <w:r>
              <w:rPr>
                <w:color w:val="000000"/>
                <w:sz w:val="20"/>
                <w:szCs w:val="20"/>
              </w:rPr>
              <w:t>1</w:t>
            </w:r>
          </w:p>
        </w:tc>
        <w:tc>
          <w:tcPr>
            <w:tcW w:w="2578" w:type="dxa"/>
            <w:noWrap/>
            <w:vAlign w:val="center"/>
          </w:tcPr>
          <w:p w14:paraId="62229215">
            <w:pPr>
              <w:jc w:val="center"/>
              <w:rPr>
                <w:color w:val="000000"/>
                <w:sz w:val="20"/>
                <w:szCs w:val="20"/>
              </w:rPr>
            </w:pPr>
            <w:r>
              <w:rPr>
                <w:color w:val="000000"/>
                <w:sz w:val="20"/>
                <w:szCs w:val="20"/>
              </w:rPr>
              <w:t>Tiếp giáp đường Đại Huề</w:t>
            </w:r>
          </w:p>
        </w:tc>
        <w:tc>
          <w:tcPr>
            <w:tcW w:w="2393" w:type="dxa"/>
            <w:noWrap/>
            <w:vAlign w:val="center"/>
          </w:tcPr>
          <w:p w14:paraId="634B160E">
            <w:pPr>
              <w:jc w:val="center"/>
              <w:rPr>
                <w:color w:val="000000"/>
                <w:sz w:val="20"/>
                <w:szCs w:val="20"/>
              </w:rPr>
            </w:pPr>
            <w:r>
              <w:rPr>
                <w:color w:val="000000"/>
                <w:sz w:val="20"/>
                <w:szCs w:val="20"/>
              </w:rPr>
              <w:t>Một mặt tiền, đối diện/tiếp giáp CX-MN</w:t>
            </w:r>
          </w:p>
        </w:tc>
        <w:tc>
          <w:tcPr>
            <w:tcW w:w="1198" w:type="dxa"/>
            <w:noWrap/>
            <w:vAlign w:val="center"/>
          </w:tcPr>
          <w:p w14:paraId="5299FC8A">
            <w:pPr>
              <w:jc w:val="center"/>
              <w:rPr>
                <w:color w:val="000000"/>
                <w:sz w:val="20"/>
                <w:szCs w:val="20"/>
              </w:rPr>
            </w:pPr>
            <w:r>
              <w:rPr>
                <w:color w:val="000000"/>
                <w:sz w:val="20"/>
                <w:szCs w:val="20"/>
              </w:rPr>
              <w:t>14.000.000</w:t>
            </w:r>
          </w:p>
        </w:tc>
        <w:tc>
          <w:tcPr>
            <w:tcW w:w="1236" w:type="dxa"/>
            <w:noWrap/>
            <w:vAlign w:val="center"/>
          </w:tcPr>
          <w:p w14:paraId="787A11B9">
            <w:pPr>
              <w:jc w:val="center"/>
              <w:rPr>
                <w:color w:val="000000"/>
                <w:sz w:val="20"/>
                <w:szCs w:val="20"/>
              </w:rPr>
            </w:pPr>
          </w:p>
        </w:tc>
        <w:tc>
          <w:tcPr>
            <w:tcW w:w="1252" w:type="dxa"/>
            <w:noWrap/>
            <w:vAlign w:val="center"/>
          </w:tcPr>
          <w:p w14:paraId="7E06CD01">
            <w:pPr>
              <w:jc w:val="center"/>
              <w:rPr>
                <w:color w:val="000000"/>
                <w:sz w:val="20"/>
                <w:szCs w:val="20"/>
              </w:rPr>
            </w:pPr>
            <w:r>
              <w:rPr>
                <w:color w:val="000000"/>
                <w:sz w:val="20"/>
                <w:szCs w:val="20"/>
              </w:rPr>
              <w:t>14.000.000</w:t>
            </w:r>
          </w:p>
        </w:tc>
        <w:tc>
          <w:tcPr>
            <w:tcW w:w="1848" w:type="dxa"/>
            <w:noWrap/>
            <w:vAlign w:val="center"/>
          </w:tcPr>
          <w:p w14:paraId="65F3A7A8">
            <w:pPr>
              <w:jc w:val="center"/>
              <w:rPr>
                <w:color w:val="000000"/>
                <w:sz w:val="20"/>
                <w:szCs w:val="20"/>
              </w:rPr>
            </w:pPr>
            <w:r>
              <w:rPr>
                <w:color w:val="000000"/>
                <w:sz w:val="20"/>
                <w:szCs w:val="20"/>
              </w:rPr>
              <w:t>4.200.000.000</w:t>
            </w:r>
          </w:p>
        </w:tc>
      </w:tr>
      <w:tr w14:paraId="43FA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6D16EC9">
            <w:pPr>
              <w:jc w:val="center"/>
              <w:rPr>
                <w:b/>
                <w:bCs/>
                <w:color w:val="000000"/>
                <w:sz w:val="20"/>
                <w:szCs w:val="20"/>
              </w:rPr>
            </w:pPr>
            <w:r>
              <w:rPr>
                <w:b/>
                <w:bCs/>
                <w:color w:val="000000"/>
                <w:sz w:val="20"/>
                <w:szCs w:val="20"/>
              </w:rPr>
              <w:t>BT02</w:t>
            </w:r>
          </w:p>
        </w:tc>
        <w:tc>
          <w:tcPr>
            <w:tcW w:w="1802" w:type="dxa"/>
            <w:noWrap/>
            <w:vAlign w:val="center"/>
          </w:tcPr>
          <w:p w14:paraId="4B93E139">
            <w:pPr>
              <w:jc w:val="center"/>
              <w:rPr>
                <w:color w:val="000000"/>
                <w:sz w:val="20"/>
                <w:szCs w:val="20"/>
              </w:rPr>
            </w:pPr>
            <w:r>
              <w:rPr>
                <w:color w:val="000000"/>
                <w:sz w:val="20"/>
                <w:szCs w:val="20"/>
              </w:rPr>
              <w:t>BT-02:06</w:t>
            </w:r>
          </w:p>
        </w:tc>
        <w:tc>
          <w:tcPr>
            <w:tcW w:w="1033" w:type="dxa"/>
            <w:noWrap/>
            <w:vAlign w:val="center"/>
          </w:tcPr>
          <w:p w14:paraId="03341723">
            <w:pPr>
              <w:jc w:val="center"/>
              <w:rPr>
                <w:color w:val="000000"/>
                <w:sz w:val="20"/>
                <w:szCs w:val="20"/>
              </w:rPr>
            </w:pPr>
            <w:r>
              <w:rPr>
                <w:color w:val="000000"/>
                <w:sz w:val="20"/>
                <w:szCs w:val="20"/>
              </w:rPr>
              <w:t>300,00</w:t>
            </w:r>
          </w:p>
        </w:tc>
        <w:tc>
          <w:tcPr>
            <w:tcW w:w="846" w:type="dxa"/>
            <w:noWrap/>
            <w:vAlign w:val="center"/>
          </w:tcPr>
          <w:p w14:paraId="00683B83">
            <w:pPr>
              <w:jc w:val="center"/>
              <w:rPr>
                <w:color w:val="000000"/>
                <w:sz w:val="20"/>
                <w:szCs w:val="20"/>
              </w:rPr>
            </w:pPr>
            <w:r>
              <w:rPr>
                <w:color w:val="000000"/>
                <w:sz w:val="20"/>
                <w:szCs w:val="20"/>
              </w:rPr>
              <w:t>1</w:t>
            </w:r>
          </w:p>
        </w:tc>
        <w:tc>
          <w:tcPr>
            <w:tcW w:w="2578" w:type="dxa"/>
            <w:noWrap/>
            <w:vAlign w:val="center"/>
          </w:tcPr>
          <w:p w14:paraId="39BFC0FF">
            <w:pPr>
              <w:jc w:val="center"/>
              <w:rPr>
                <w:color w:val="000000"/>
                <w:sz w:val="20"/>
                <w:szCs w:val="20"/>
              </w:rPr>
            </w:pPr>
            <w:r>
              <w:rPr>
                <w:color w:val="000000"/>
                <w:sz w:val="20"/>
                <w:szCs w:val="20"/>
              </w:rPr>
              <w:t>Tiếp giáp đường Đại Huề</w:t>
            </w:r>
          </w:p>
        </w:tc>
        <w:tc>
          <w:tcPr>
            <w:tcW w:w="2393" w:type="dxa"/>
            <w:noWrap/>
            <w:vAlign w:val="center"/>
          </w:tcPr>
          <w:p w14:paraId="0C5BCE27">
            <w:pPr>
              <w:jc w:val="center"/>
              <w:rPr>
                <w:color w:val="000000"/>
                <w:sz w:val="20"/>
                <w:szCs w:val="20"/>
              </w:rPr>
            </w:pPr>
            <w:r>
              <w:rPr>
                <w:color w:val="000000"/>
                <w:sz w:val="20"/>
                <w:szCs w:val="20"/>
              </w:rPr>
              <w:t>Một mặt tiền, đối diện/tiếp giáp CX-MN</w:t>
            </w:r>
          </w:p>
        </w:tc>
        <w:tc>
          <w:tcPr>
            <w:tcW w:w="1198" w:type="dxa"/>
            <w:noWrap/>
            <w:vAlign w:val="center"/>
          </w:tcPr>
          <w:p w14:paraId="39005761">
            <w:pPr>
              <w:jc w:val="center"/>
              <w:rPr>
                <w:color w:val="000000"/>
                <w:sz w:val="20"/>
                <w:szCs w:val="20"/>
              </w:rPr>
            </w:pPr>
            <w:r>
              <w:rPr>
                <w:color w:val="000000"/>
                <w:sz w:val="20"/>
                <w:szCs w:val="20"/>
              </w:rPr>
              <w:t>14.000.000</w:t>
            </w:r>
          </w:p>
        </w:tc>
        <w:tc>
          <w:tcPr>
            <w:tcW w:w="1236" w:type="dxa"/>
            <w:noWrap/>
            <w:vAlign w:val="center"/>
          </w:tcPr>
          <w:p w14:paraId="5D24FA54">
            <w:pPr>
              <w:jc w:val="center"/>
              <w:rPr>
                <w:color w:val="000000"/>
                <w:sz w:val="20"/>
                <w:szCs w:val="20"/>
              </w:rPr>
            </w:pPr>
          </w:p>
        </w:tc>
        <w:tc>
          <w:tcPr>
            <w:tcW w:w="1252" w:type="dxa"/>
            <w:noWrap/>
            <w:vAlign w:val="center"/>
          </w:tcPr>
          <w:p w14:paraId="6EA45D67">
            <w:pPr>
              <w:jc w:val="center"/>
              <w:rPr>
                <w:color w:val="000000"/>
                <w:sz w:val="20"/>
                <w:szCs w:val="20"/>
              </w:rPr>
            </w:pPr>
            <w:r>
              <w:rPr>
                <w:color w:val="000000"/>
                <w:sz w:val="20"/>
                <w:szCs w:val="20"/>
              </w:rPr>
              <w:t>14.000.000</w:t>
            </w:r>
          </w:p>
        </w:tc>
        <w:tc>
          <w:tcPr>
            <w:tcW w:w="1848" w:type="dxa"/>
            <w:noWrap/>
            <w:vAlign w:val="center"/>
          </w:tcPr>
          <w:p w14:paraId="32A0200C">
            <w:pPr>
              <w:jc w:val="center"/>
              <w:rPr>
                <w:color w:val="000000"/>
                <w:sz w:val="20"/>
                <w:szCs w:val="20"/>
              </w:rPr>
            </w:pPr>
            <w:r>
              <w:rPr>
                <w:color w:val="000000"/>
                <w:sz w:val="20"/>
                <w:szCs w:val="20"/>
              </w:rPr>
              <w:t>4.200.000.000</w:t>
            </w:r>
          </w:p>
        </w:tc>
      </w:tr>
      <w:tr w14:paraId="5771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EDA9872">
            <w:pPr>
              <w:jc w:val="center"/>
              <w:rPr>
                <w:b/>
                <w:bCs/>
                <w:color w:val="000000"/>
                <w:sz w:val="20"/>
                <w:szCs w:val="20"/>
              </w:rPr>
            </w:pPr>
            <w:r>
              <w:rPr>
                <w:b/>
                <w:bCs/>
                <w:color w:val="000000"/>
                <w:sz w:val="20"/>
                <w:szCs w:val="20"/>
              </w:rPr>
              <w:t>BT02</w:t>
            </w:r>
          </w:p>
        </w:tc>
        <w:tc>
          <w:tcPr>
            <w:tcW w:w="1802" w:type="dxa"/>
            <w:noWrap/>
            <w:vAlign w:val="center"/>
          </w:tcPr>
          <w:p w14:paraId="53173617">
            <w:pPr>
              <w:jc w:val="center"/>
              <w:rPr>
                <w:color w:val="000000"/>
                <w:sz w:val="20"/>
                <w:szCs w:val="20"/>
              </w:rPr>
            </w:pPr>
            <w:r>
              <w:rPr>
                <w:color w:val="000000"/>
                <w:sz w:val="20"/>
                <w:szCs w:val="20"/>
              </w:rPr>
              <w:t>BT-02:07</w:t>
            </w:r>
          </w:p>
        </w:tc>
        <w:tc>
          <w:tcPr>
            <w:tcW w:w="1033" w:type="dxa"/>
            <w:noWrap/>
            <w:vAlign w:val="center"/>
          </w:tcPr>
          <w:p w14:paraId="3C82E0C1">
            <w:pPr>
              <w:jc w:val="center"/>
              <w:rPr>
                <w:color w:val="000000"/>
                <w:sz w:val="20"/>
                <w:szCs w:val="20"/>
              </w:rPr>
            </w:pPr>
            <w:r>
              <w:rPr>
                <w:color w:val="000000"/>
                <w:sz w:val="20"/>
                <w:szCs w:val="20"/>
              </w:rPr>
              <w:t>300,00</w:t>
            </w:r>
          </w:p>
        </w:tc>
        <w:tc>
          <w:tcPr>
            <w:tcW w:w="846" w:type="dxa"/>
            <w:noWrap/>
            <w:vAlign w:val="center"/>
          </w:tcPr>
          <w:p w14:paraId="03F52223">
            <w:pPr>
              <w:jc w:val="center"/>
              <w:rPr>
                <w:color w:val="000000"/>
                <w:sz w:val="20"/>
                <w:szCs w:val="20"/>
              </w:rPr>
            </w:pPr>
            <w:r>
              <w:rPr>
                <w:color w:val="000000"/>
                <w:sz w:val="20"/>
                <w:szCs w:val="20"/>
              </w:rPr>
              <w:t>1</w:t>
            </w:r>
          </w:p>
        </w:tc>
        <w:tc>
          <w:tcPr>
            <w:tcW w:w="2578" w:type="dxa"/>
            <w:noWrap/>
            <w:vAlign w:val="center"/>
          </w:tcPr>
          <w:p w14:paraId="6E2B39E8">
            <w:pPr>
              <w:jc w:val="center"/>
              <w:rPr>
                <w:color w:val="000000"/>
                <w:sz w:val="20"/>
                <w:szCs w:val="20"/>
              </w:rPr>
            </w:pPr>
            <w:r>
              <w:rPr>
                <w:color w:val="000000"/>
                <w:sz w:val="20"/>
                <w:szCs w:val="20"/>
              </w:rPr>
              <w:t>Tiếp giáp đường Đại Huề</w:t>
            </w:r>
          </w:p>
        </w:tc>
        <w:tc>
          <w:tcPr>
            <w:tcW w:w="2393" w:type="dxa"/>
            <w:noWrap/>
            <w:vAlign w:val="center"/>
          </w:tcPr>
          <w:p w14:paraId="0B596508">
            <w:pPr>
              <w:jc w:val="center"/>
              <w:rPr>
                <w:color w:val="000000"/>
                <w:sz w:val="20"/>
                <w:szCs w:val="20"/>
              </w:rPr>
            </w:pPr>
            <w:r>
              <w:rPr>
                <w:color w:val="000000"/>
                <w:sz w:val="20"/>
                <w:szCs w:val="20"/>
              </w:rPr>
              <w:t>Một mặt tiền, đối diện/tiếp giáp CX-MN</w:t>
            </w:r>
          </w:p>
        </w:tc>
        <w:tc>
          <w:tcPr>
            <w:tcW w:w="1198" w:type="dxa"/>
            <w:noWrap/>
            <w:vAlign w:val="center"/>
          </w:tcPr>
          <w:p w14:paraId="7F859F2C">
            <w:pPr>
              <w:jc w:val="center"/>
              <w:rPr>
                <w:color w:val="000000"/>
                <w:sz w:val="20"/>
                <w:szCs w:val="20"/>
              </w:rPr>
            </w:pPr>
            <w:r>
              <w:rPr>
                <w:color w:val="000000"/>
                <w:sz w:val="20"/>
                <w:szCs w:val="20"/>
              </w:rPr>
              <w:t>14.000.000</w:t>
            </w:r>
          </w:p>
        </w:tc>
        <w:tc>
          <w:tcPr>
            <w:tcW w:w="1236" w:type="dxa"/>
            <w:noWrap/>
            <w:vAlign w:val="center"/>
          </w:tcPr>
          <w:p w14:paraId="44384ED3">
            <w:pPr>
              <w:jc w:val="center"/>
              <w:rPr>
                <w:color w:val="000000"/>
                <w:sz w:val="20"/>
                <w:szCs w:val="20"/>
              </w:rPr>
            </w:pPr>
          </w:p>
        </w:tc>
        <w:tc>
          <w:tcPr>
            <w:tcW w:w="1252" w:type="dxa"/>
            <w:noWrap/>
            <w:vAlign w:val="center"/>
          </w:tcPr>
          <w:p w14:paraId="3F34C799">
            <w:pPr>
              <w:jc w:val="center"/>
              <w:rPr>
                <w:color w:val="000000"/>
                <w:sz w:val="20"/>
                <w:szCs w:val="20"/>
              </w:rPr>
            </w:pPr>
            <w:r>
              <w:rPr>
                <w:color w:val="000000"/>
                <w:sz w:val="20"/>
                <w:szCs w:val="20"/>
              </w:rPr>
              <w:t>14.000.000</w:t>
            </w:r>
          </w:p>
        </w:tc>
        <w:tc>
          <w:tcPr>
            <w:tcW w:w="1848" w:type="dxa"/>
            <w:noWrap/>
            <w:vAlign w:val="center"/>
          </w:tcPr>
          <w:p w14:paraId="66DA1557">
            <w:pPr>
              <w:jc w:val="center"/>
              <w:rPr>
                <w:color w:val="000000"/>
                <w:sz w:val="20"/>
                <w:szCs w:val="20"/>
              </w:rPr>
            </w:pPr>
            <w:r>
              <w:rPr>
                <w:color w:val="000000"/>
                <w:sz w:val="20"/>
                <w:szCs w:val="20"/>
              </w:rPr>
              <w:t>4.200.000.000</w:t>
            </w:r>
          </w:p>
        </w:tc>
      </w:tr>
      <w:tr w14:paraId="55EB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DF4E168">
            <w:pPr>
              <w:jc w:val="center"/>
              <w:rPr>
                <w:b/>
                <w:bCs/>
                <w:color w:val="000000"/>
                <w:sz w:val="20"/>
                <w:szCs w:val="20"/>
              </w:rPr>
            </w:pPr>
            <w:r>
              <w:rPr>
                <w:b/>
                <w:bCs/>
                <w:color w:val="000000"/>
                <w:sz w:val="20"/>
                <w:szCs w:val="20"/>
              </w:rPr>
              <w:t>BT02</w:t>
            </w:r>
          </w:p>
        </w:tc>
        <w:tc>
          <w:tcPr>
            <w:tcW w:w="1802" w:type="dxa"/>
            <w:noWrap/>
            <w:vAlign w:val="center"/>
          </w:tcPr>
          <w:p w14:paraId="76782F9D">
            <w:pPr>
              <w:jc w:val="center"/>
              <w:rPr>
                <w:color w:val="000000"/>
                <w:sz w:val="20"/>
                <w:szCs w:val="20"/>
              </w:rPr>
            </w:pPr>
            <w:r>
              <w:rPr>
                <w:color w:val="000000"/>
                <w:sz w:val="20"/>
                <w:szCs w:val="20"/>
              </w:rPr>
              <w:t>BT-02:08</w:t>
            </w:r>
          </w:p>
        </w:tc>
        <w:tc>
          <w:tcPr>
            <w:tcW w:w="1033" w:type="dxa"/>
            <w:noWrap/>
            <w:vAlign w:val="center"/>
          </w:tcPr>
          <w:p w14:paraId="7BC79C42">
            <w:pPr>
              <w:jc w:val="center"/>
              <w:rPr>
                <w:color w:val="000000"/>
                <w:sz w:val="20"/>
                <w:szCs w:val="20"/>
              </w:rPr>
            </w:pPr>
            <w:r>
              <w:rPr>
                <w:color w:val="000000"/>
                <w:sz w:val="20"/>
                <w:szCs w:val="20"/>
              </w:rPr>
              <w:t>292,00</w:t>
            </w:r>
          </w:p>
        </w:tc>
        <w:tc>
          <w:tcPr>
            <w:tcW w:w="846" w:type="dxa"/>
            <w:noWrap/>
            <w:vAlign w:val="center"/>
          </w:tcPr>
          <w:p w14:paraId="33C2847E">
            <w:pPr>
              <w:jc w:val="center"/>
              <w:rPr>
                <w:color w:val="000000"/>
                <w:sz w:val="20"/>
                <w:szCs w:val="20"/>
              </w:rPr>
            </w:pPr>
            <w:r>
              <w:rPr>
                <w:color w:val="000000"/>
                <w:sz w:val="20"/>
                <w:szCs w:val="20"/>
              </w:rPr>
              <w:t>1</w:t>
            </w:r>
          </w:p>
        </w:tc>
        <w:tc>
          <w:tcPr>
            <w:tcW w:w="2578" w:type="dxa"/>
            <w:noWrap/>
            <w:vAlign w:val="center"/>
          </w:tcPr>
          <w:p w14:paraId="48619AA2">
            <w:pPr>
              <w:jc w:val="center"/>
              <w:rPr>
                <w:color w:val="000000"/>
                <w:sz w:val="20"/>
                <w:szCs w:val="20"/>
              </w:rPr>
            </w:pPr>
            <w:r>
              <w:rPr>
                <w:color w:val="000000"/>
                <w:sz w:val="20"/>
                <w:szCs w:val="20"/>
              </w:rPr>
              <w:t>Tiếp giáp đường Đại Huề</w:t>
            </w:r>
          </w:p>
        </w:tc>
        <w:tc>
          <w:tcPr>
            <w:tcW w:w="2393" w:type="dxa"/>
            <w:noWrap/>
            <w:vAlign w:val="center"/>
          </w:tcPr>
          <w:p w14:paraId="63760FEB">
            <w:pPr>
              <w:jc w:val="center"/>
              <w:rPr>
                <w:color w:val="000000"/>
                <w:sz w:val="20"/>
                <w:szCs w:val="20"/>
              </w:rPr>
            </w:pPr>
            <w:r>
              <w:rPr>
                <w:color w:val="000000"/>
                <w:sz w:val="20"/>
                <w:szCs w:val="20"/>
              </w:rPr>
              <w:t>Hai mặt tiền, đối diện/tiếp giáp CX-MN</w:t>
            </w:r>
          </w:p>
        </w:tc>
        <w:tc>
          <w:tcPr>
            <w:tcW w:w="1198" w:type="dxa"/>
            <w:noWrap/>
            <w:vAlign w:val="center"/>
          </w:tcPr>
          <w:p w14:paraId="434D86C2">
            <w:pPr>
              <w:jc w:val="center"/>
              <w:rPr>
                <w:color w:val="000000"/>
                <w:sz w:val="20"/>
                <w:szCs w:val="20"/>
              </w:rPr>
            </w:pPr>
            <w:r>
              <w:rPr>
                <w:color w:val="000000"/>
                <w:sz w:val="20"/>
                <w:szCs w:val="20"/>
              </w:rPr>
              <w:t>16.100.000</w:t>
            </w:r>
          </w:p>
        </w:tc>
        <w:tc>
          <w:tcPr>
            <w:tcW w:w="1236" w:type="dxa"/>
            <w:noWrap/>
            <w:vAlign w:val="center"/>
          </w:tcPr>
          <w:p w14:paraId="103798E5">
            <w:pPr>
              <w:jc w:val="center"/>
              <w:rPr>
                <w:color w:val="000000"/>
                <w:sz w:val="20"/>
                <w:szCs w:val="20"/>
              </w:rPr>
            </w:pPr>
          </w:p>
        </w:tc>
        <w:tc>
          <w:tcPr>
            <w:tcW w:w="1252" w:type="dxa"/>
            <w:noWrap/>
            <w:vAlign w:val="center"/>
          </w:tcPr>
          <w:p w14:paraId="3FF1498E">
            <w:pPr>
              <w:jc w:val="center"/>
              <w:rPr>
                <w:color w:val="000000"/>
                <w:sz w:val="20"/>
                <w:szCs w:val="20"/>
              </w:rPr>
            </w:pPr>
            <w:r>
              <w:rPr>
                <w:color w:val="000000"/>
                <w:sz w:val="20"/>
                <w:szCs w:val="20"/>
              </w:rPr>
              <w:t>16.100.000</w:t>
            </w:r>
          </w:p>
        </w:tc>
        <w:tc>
          <w:tcPr>
            <w:tcW w:w="1848" w:type="dxa"/>
            <w:noWrap/>
            <w:vAlign w:val="center"/>
          </w:tcPr>
          <w:p w14:paraId="269FA78D">
            <w:pPr>
              <w:jc w:val="center"/>
              <w:rPr>
                <w:color w:val="000000"/>
                <w:sz w:val="20"/>
                <w:szCs w:val="20"/>
              </w:rPr>
            </w:pPr>
            <w:r>
              <w:rPr>
                <w:color w:val="000000"/>
                <w:sz w:val="20"/>
                <w:szCs w:val="20"/>
              </w:rPr>
              <w:t>4.701.200.000</w:t>
            </w:r>
          </w:p>
        </w:tc>
      </w:tr>
      <w:tr w14:paraId="543C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97FE5D1">
            <w:pPr>
              <w:jc w:val="center"/>
              <w:rPr>
                <w:b/>
                <w:bCs/>
                <w:color w:val="000000"/>
                <w:sz w:val="20"/>
                <w:szCs w:val="20"/>
              </w:rPr>
            </w:pPr>
            <w:r>
              <w:rPr>
                <w:b/>
                <w:bCs/>
                <w:color w:val="000000"/>
                <w:sz w:val="20"/>
                <w:szCs w:val="20"/>
              </w:rPr>
              <w:t>II</w:t>
            </w:r>
          </w:p>
        </w:tc>
        <w:tc>
          <w:tcPr>
            <w:tcW w:w="1802" w:type="dxa"/>
            <w:noWrap/>
            <w:vAlign w:val="center"/>
          </w:tcPr>
          <w:p w14:paraId="4AA056C5">
            <w:pPr>
              <w:jc w:val="center"/>
              <w:rPr>
                <w:b/>
                <w:bCs/>
                <w:color w:val="000000"/>
                <w:sz w:val="20"/>
                <w:szCs w:val="20"/>
              </w:rPr>
            </w:pPr>
            <w:r>
              <w:rPr>
                <w:b/>
                <w:bCs/>
                <w:color w:val="000000"/>
                <w:sz w:val="20"/>
                <w:szCs w:val="20"/>
              </w:rPr>
              <w:t>ĐẤT Ở LIỀN KỀ</w:t>
            </w:r>
          </w:p>
        </w:tc>
        <w:tc>
          <w:tcPr>
            <w:tcW w:w="1033" w:type="dxa"/>
            <w:noWrap/>
            <w:vAlign w:val="center"/>
          </w:tcPr>
          <w:p w14:paraId="042DA73A">
            <w:pPr>
              <w:jc w:val="center"/>
              <w:rPr>
                <w:b/>
                <w:bCs/>
                <w:color w:val="000000"/>
                <w:sz w:val="20"/>
                <w:szCs w:val="20"/>
              </w:rPr>
            </w:pPr>
            <w:r>
              <w:rPr>
                <w:b/>
                <w:bCs/>
                <w:color w:val="000000"/>
                <w:sz w:val="20"/>
                <w:szCs w:val="20"/>
              </w:rPr>
              <w:t>55.194,37</w:t>
            </w:r>
          </w:p>
        </w:tc>
        <w:tc>
          <w:tcPr>
            <w:tcW w:w="846" w:type="dxa"/>
            <w:noWrap/>
            <w:vAlign w:val="center"/>
          </w:tcPr>
          <w:p w14:paraId="6674FF82">
            <w:pPr>
              <w:jc w:val="center"/>
              <w:rPr>
                <w:b/>
                <w:bCs/>
                <w:color w:val="000000"/>
                <w:sz w:val="20"/>
                <w:szCs w:val="20"/>
              </w:rPr>
            </w:pPr>
            <w:r>
              <w:rPr>
                <w:b/>
                <w:bCs/>
                <w:color w:val="000000"/>
                <w:sz w:val="20"/>
                <w:szCs w:val="20"/>
              </w:rPr>
              <w:t>575,00</w:t>
            </w:r>
          </w:p>
        </w:tc>
        <w:tc>
          <w:tcPr>
            <w:tcW w:w="2578" w:type="dxa"/>
            <w:noWrap/>
            <w:vAlign w:val="center"/>
          </w:tcPr>
          <w:p w14:paraId="317B1B35">
            <w:pPr>
              <w:jc w:val="center"/>
              <w:rPr>
                <w:b/>
                <w:bCs/>
                <w:color w:val="000000"/>
                <w:sz w:val="20"/>
                <w:szCs w:val="20"/>
              </w:rPr>
            </w:pPr>
          </w:p>
        </w:tc>
        <w:tc>
          <w:tcPr>
            <w:tcW w:w="2393" w:type="dxa"/>
            <w:noWrap/>
            <w:vAlign w:val="center"/>
          </w:tcPr>
          <w:p w14:paraId="5ACF9931">
            <w:pPr>
              <w:jc w:val="center"/>
              <w:rPr>
                <w:b/>
                <w:bCs/>
                <w:color w:val="000000"/>
                <w:sz w:val="20"/>
                <w:szCs w:val="20"/>
              </w:rPr>
            </w:pPr>
          </w:p>
        </w:tc>
        <w:tc>
          <w:tcPr>
            <w:tcW w:w="1198" w:type="dxa"/>
            <w:noWrap/>
            <w:vAlign w:val="center"/>
          </w:tcPr>
          <w:p w14:paraId="6934DDF1">
            <w:pPr>
              <w:jc w:val="center"/>
              <w:rPr>
                <w:b/>
                <w:bCs/>
                <w:color w:val="000000"/>
                <w:sz w:val="20"/>
                <w:szCs w:val="20"/>
              </w:rPr>
            </w:pPr>
          </w:p>
        </w:tc>
        <w:tc>
          <w:tcPr>
            <w:tcW w:w="1236" w:type="dxa"/>
            <w:noWrap/>
            <w:vAlign w:val="center"/>
          </w:tcPr>
          <w:p w14:paraId="2C334B08">
            <w:pPr>
              <w:jc w:val="center"/>
              <w:rPr>
                <w:color w:val="000000"/>
                <w:sz w:val="20"/>
                <w:szCs w:val="20"/>
              </w:rPr>
            </w:pPr>
          </w:p>
        </w:tc>
        <w:tc>
          <w:tcPr>
            <w:tcW w:w="1252" w:type="dxa"/>
            <w:noWrap/>
            <w:vAlign w:val="center"/>
          </w:tcPr>
          <w:p w14:paraId="46D23BA3">
            <w:pPr>
              <w:jc w:val="center"/>
              <w:rPr>
                <w:color w:val="000000"/>
                <w:sz w:val="20"/>
                <w:szCs w:val="20"/>
              </w:rPr>
            </w:pPr>
          </w:p>
        </w:tc>
        <w:tc>
          <w:tcPr>
            <w:tcW w:w="1848" w:type="dxa"/>
            <w:noWrap/>
            <w:vAlign w:val="center"/>
          </w:tcPr>
          <w:p w14:paraId="0A46ABDE">
            <w:pPr>
              <w:jc w:val="center"/>
              <w:rPr>
                <w:b/>
                <w:bCs/>
                <w:color w:val="000000"/>
                <w:sz w:val="20"/>
                <w:szCs w:val="20"/>
              </w:rPr>
            </w:pPr>
            <w:r>
              <w:rPr>
                <w:b/>
                <w:bCs/>
                <w:color w:val="000000"/>
                <w:sz w:val="20"/>
                <w:szCs w:val="20"/>
              </w:rPr>
              <w:t>746.895.579.022</w:t>
            </w:r>
          </w:p>
        </w:tc>
      </w:tr>
      <w:tr w14:paraId="0A9C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0CB92BD">
            <w:pPr>
              <w:jc w:val="center"/>
              <w:rPr>
                <w:b/>
                <w:bCs/>
                <w:color w:val="000000"/>
                <w:sz w:val="20"/>
                <w:szCs w:val="20"/>
              </w:rPr>
            </w:pPr>
          </w:p>
        </w:tc>
        <w:tc>
          <w:tcPr>
            <w:tcW w:w="14189" w:type="dxa"/>
            <w:gridSpan w:val="9"/>
            <w:vAlign w:val="center"/>
          </w:tcPr>
          <w:p w14:paraId="3CC91E4C">
            <w:pPr>
              <w:jc w:val="center"/>
              <w:rPr>
                <w:b/>
                <w:bCs/>
                <w:color w:val="000000"/>
                <w:sz w:val="20"/>
                <w:szCs w:val="20"/>
              </w:rPr>
            </w:pPr>
            <w:r>
              <w:rPr>
                <w:b/>
                <w:bCs/>
                <w:color w:val="000000"/>
                <w:sz w:val="20"/>
                <w:szCs w:val="20"/>
              </w:rPr>
              <w:t>Mặt cắt 5-5 (đường gom QL1A): rộng 10m lòng đường rộng 7m, vỉa hè 3m. (đường QL1A rộng 31m lòng đường rộng 17m, dải phân cách 2m, vỉa hè 2 bên rộng 6m+6m)</w:t>
            </w:r>
          </w:p>
        </w:tc>
      </w:tr>
      <w:tr w14:paraId="185A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3B53CB1">
            <w:pPr>
              <w:jc w:val="center"/>
              <w:rPr>
                <w:b/>
                <w:bCs/>
                <w:color w:val="000000"/>
                <w:sz w:val="20"/>
                <w:szCs w:val="20"/>
              </w:rPr>
            </w:pPr>
            <w:r>
              <w:rPr>
                <w:b/>
                <w:bCs/>
                <w:color w:val="000000"/>
                <w:sz w:val="20"/>
                <w:szCs w:val="20"/>
              </w:rPr>
              <w:t>LK50</w:t>
            </w:r>
          </w:p>
        </w:tc>
        <w:tc>
          <w:tcPr>
            <w:tcW w:w="1802" w:type="dxa"/>
            <w:vAlign w:val="center"/>
          </w:tcPr>
          <w:p w14:paraId="7AE61A9A">
            <w:pPr>
              <w:jc w:val="center"/>
              <w:rPr>
                <w:color w:val="000000"/>
                <w:sz w:val="20"/>
                <w:szCs w:val="20"/>
              </w:rPr>
            </w:pPr>
            <w:r>
              <w:rPr>
                <w:color w:val="000000"/>
                <w:sz w:val="20"/>
                <w:szCs w:val="20"/>
              </w:rPr>
              <w:t>LK50:02</w:t>
            </w:r>
          </w:p>
        </w:tc>
        <w:tc>
          <w:tcPr>
            <w:tcW w:w="1033" w:type="dxa"/>
            <w:noWrap/>
            <w:vAlign w:val="center"/>
          </w:tcPr>
          <w:p w14:paraId="68979103">
            <w:pPr>
              <w:jc w:val="center"/>
              <w:rPr>
                <w:color w:val="000000"/>
                <w:sz w:val="20"/>
                <w:szCs w:val="20"/>
              </w:rPr>
            </w:pPr>
            <w:r>
              <w:rPr>
                <w:color w:val="000000"/>
                <w:sz w:val="20"/>
                <w:szCs w:val="20"/>
              </w:rPr>
              <w:t>88,36</w:t>
            </w:r>
          </w:p>
        </w:tc>
        <w:tc>
          <w:tcPr>
            <w:tcW w:w="846" w:type="dxa"/>
            <w:noWrap/>
            <w:vAlign w:val="center"/>
          </w:tcPr>
          <w:p w14:paraId="19A2FEBA">
            <w:pPr>
              <w:jc w:val="center"/>
              <w:rPr>
                <w:color w:val="000000"/>
                <w:sz w:val="20"/>
                <w:szCs w:val="20"/>
              </w:rPr>
            </w:pPr>
            <w:r>
              <w:rPr>
                <w:color w:val="000000"/>
                <w:sz w:val="20"/>
                <w:szCs w:val="20"/>
              </w:rPr>
              <w:t>1</w:t>
            </w:r>
          </w:p>
        </w:tc>
        <w:tc>
          <w:tcPr>
            <w:tcW w:w="2578" w:type="dxa"/>
            <w:noWrap/>
            <w:vAlign w:val="center"/>
          </w:tcPr>
          <w:p w14:paraId="1D12E8DC">
            <w:pPr>
              <w:jc w:val="center"/>
              <w:rPr>
                <w:color w:val="000000"/>
                <w:sz w:val="20"/>
                <w:szCs w:val="20"/>
              </w:rPr>
            </w:pPr>
            <w:r>
              <w:rPr>
                <w:color w:val="000000"/>
                <w:sz w:val="20"/>
                <w:szCs w:val="20"/>
              </w:rPr>
              <w:t>Mặt cắt 5-5</w:t>
            </w:r>
          </w:p>
        </w:tc>
        <w:tc>
          <w:tcPr>
            <w:tcW w:w="2393" w:type="dxa"/>
            <w:noWrap/>
            <w:vAlign w:val="center"/>
          </w:tcPr>
          <w:p w14:paraId="797BF7BE">
            <w:pPr>
              <w:jc w:val="center"/>
              <w:rPr>
                <w:color w:val="000000"/>
                <w:sz w:val="20"/>
                <w:szCs w:val="20"/>
              </w:rPr>
            </w:pPr>
            <w:r>
              <w:rPr>
                <w:color w:val="000000"/>
                <w:sz w:val="20"/>
                <w:szCs w:val="20"/>
              </w:rPr>
              <w:t>Một mặt tiền</w:t>
            </w:r>
          </w:p>
        </w:tc>
        <w:tc>
          <w:tcPr>
            <w:tcW w:w="1198" w:type="dxa"/>
            <w:noWrap/>
            <w:vAlign w:val="center"/>
          </w:tcPr>
          <w:p w14:paraId="23DC1A3A">
            <w:pPr>
              <w:jc w:val="center"/>
              <w:rPr>
                <w:color w:val="000000"/>
                <w:sz w:val="20"/>
                <w:szCs w:val="20"/>
              </w:rPr>
            </w:pPr>
            <w:r>
              <w:rPr>
                <w:color w:val="000000"/>
                <w:sz w:val="20"/>
                <w:szCs w:val="20"/>
              </w:rPr>
              <w:t>18.600.000</w:t>
            </w:r>
          </w:p>
        </w:tc>
        <w:tc>
          <w:tcPr>
            <w:tcW w:w="1236" w:type="dxa"/>
            <w:noWrap/>
            <w:vAlign w:val="center"/>
          </w:tcPr>
          <w:p w14:paraId="4DE6F39E">
            <w:pPr>
              <w:jc w:val="center"/>
              <w:rPr>
                <w:color w:val="000000"/>
                <w:sz w:val="20"/>
                <w:szCs w:val="20"/>
              </w:rPr>
            </w:pPr>
          </w:p>
        </w:tc>
        <w:tc>
          <w:tcPr>
            <w:tcW w:w="1252" w:type="dxa"/>
            <w:noWrap/>
            <w:vAlign w:val="center"/>
          </w:tcPr>
          <w:p w14:paraId="301CD85B">
            <w:pPr>
              <w:jc w:val="center"/>
              <w:rPr>
                <w:color w:val="000000"/>
                <w:sz w:val="20"/>
                <w:szCs w:val="20"/>
              </w:rPr>
            </w:pPr>
            <w:r>
              <w:rPr>
                <w:color w:val="000000"/>
                <w:sz w:val="20"/>
                <w:szCs w:val="20"/>
              </w:rPr>
              <w:t>18.600.000</w:t>
            </w:r>
          </w:p>
        </w:tc>
        <w:tc>
          <w:tcPr>
            <w:tcW w:w="1848" w:type="dxa"/>
            <w:noWrap/>
            <w:vAlign w:val="center"/>
          </w:tcPr>
          <w:p w14:paraId="5DA4DA5F">
            <w:pPr>
              <w:jc w:val="center"/>
              <w:rPr>
                <w:color w:val="000000"/>
                <w:sz w:val="20"/>
                <w:szCs w:val="20"/>
              </w:rPr>
            </w:pPr>
            <w:r>
              <w:rPr>
                <w:color w:val="000000"/>
                <w:sz w:val="20"/>
                <w:szCs w:val="20"/>
              </w:rPr>
              <w:t>1.643.496.000</w:t>
            </w:r>
          </w:p>
        </w:tc>
      </w:tr>
      <w:tr w14:paraId="6075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D62362A">
            <w:pPr>
              <w:jc w:val="center"/>
              <w:rPr>
                <w:b/>
                <w:bCs/>
                <w:color w:val="000000"/>
                <w:sz w:val="20"/>
                <w:szCs w:val="20"/>
              </w:rPr>
            </w:pPr>
            <w:r>
              <w:rPr>
                <w:b/>
                <w:bCs/>
                <w:color w:val="000000"/>
                <w:sz w:val="20"/>
                <w:szCs w:val="20"/>
              </w:rPr>
              <w:t>LK50</w:t>
            </w:r>
          </w:p>
        </w:tc>
        <w:tc>
          <w:tcPr>
            <w:tcW w:w="1802" w:type="dxa"/>
            <w:vAlign w:val="center"/>
          </w:tcPr>
          <w:p w14:paraId="1BC4CC51">
            <w:pPr>
              <w:jc w:val="center"/>
              <w:rPr>
                <w:color w:val="000000"/>
                <w:sz w:val="20"/>
                <w:szCs w:val="20"/>
              </w:rPr>
            </w:pPr>
            <w:r>
              <w:rPr>
                <w:color w:val="000000"/>
                <w:sz w:val="20"/>
                <w:szCs w:val="20"/>
              </w:rPr>
              <w:t>LK50:03</w:t>
            </w:r>
          </w:p>
        </w:tc>
        <w:tc>
          <w:tcPr>
            <w:tcW w:w="1033" w:type="dxa"/>
            <w:noWrap/>
            <w:vAlign w:val="center"/>
          </w:tcPr>
          <w:p w14:paraId="67DEF7D8">
            <w:pPr>
              <w:jc w:val="center"/>
              <w:rPr>
                <w:color w:val="000000"/>
                <w:sz w:val="20"/>
                <w:szCs w:val="20"/>
              </w:rPr>
            </w:pPr>
            <w:r>
              <w:rPr>
                <w:color w:val="000000"/>
                <w:sz w:val="20"/>
                <w:szCs w:val="20"/>
              </w:rPr>
              <w:t>88,34</w:t>
            </w:r>
          </w:p>
        </w:tc>
        <w:tc>
          <w:tcPr>
            <w:tcW w:w="846" w:type="dxa"/>
            <w:noWrap/>
            <w:vAlign w:val="center"/>
          </w:tcPr>
          <w:p w14:paraId="6FD7110D">
            <w:pPr>
              <w:jc w:val="center"/>
              <w:rPr>
                <w:color w:val="000000"/>
                <w:sz w:val="20"/>
                <w:szCs w:val="20"/>
              </w:rPr>
            </w:pPr>
            <w:r>
              <w:rPr>
                <w:color w:val="000000"/>
                <w:sz w:val="20"/>
                <w:szCs w:val="20"/>
              </w:rPr>
              <w:t>1</w:t>
            </w:r>
          </w:p>
        </w:tc>
        <w:tc>
          <w:tcPr>
            <w:tcW w:w="2578" w:type="dxa"/>
            <w:noWrap/>
            <w:vAlign w:val="center"/>
          </w:tcPr>
          <w:p w14:paraId="28B61C08">
            <w:pPr>
              <w:jc w:val="center"/>
              <w:rPr>
                <w:color w:val="000000"/>
                <w:sz w:val="20"/>
                <w:szCs w:val="20"/>
              </w:rPr>
            </w:pPr>
            <w:r>
              <w:rPr>
                <w:color w:val="000000"/>
                <w:sz w:val="20"/>
                <w:szCs w:val="20"/>
              </w:rPr>
              <w:t>Mặt cắt 5-5</w:t>
            </w:r>
          </w:p>
        </w:tc>
        <w:tc>
          <w:tcPr>
            <w:tcW w:w="2393" w:type="dxa"/>
            <w:noWrap/>
            <w:vAlign w:val="center"/>
          </w:tcPr>
          <w:p w14:paraId="6D5E1F91">
            <w:pPr>
              <w:jc w:val="center"/>
              <w:rPr>
                <w:color w:val="000000"/>
                <w:sz w:val="20"/>
                <w:szCs w:val="20"/>
              </w:rPr>
            </w:pPr>
            <w:r>
              <w:rPr>
                <w:color w:val="000000"/>
                <w:sz w:val="20"/>
                <w:szCs w:val="20"/>
              </w:rPr>
              <w:t>Một mặt tiền</w:t>
            </w:r>
          </w:p>
        </w:tc>
        <w:tc>
          <w:tcPr>
            <w:tcW w:w="1198" w:type="dxa"/>
            <w:noWrap/>
            <w:vAlign w:val="center"/>
          </w:tcPr>
          <w:p w14:paraId="4EEDF483">
            <w:pPr>
              <w:jc w:val="center"/>
              <w:rPr>
                <w:color w:val="000000"/>
                <w:sz w:val="20"/>
                <w:szCs w:val="20"/>
              </w:rPr>
            </w:pPr>
            <w:r>
              <w:rPr>
                <w:color w:val="000000"/>
                <w:sz w:val="20"/>
                <w:szCs w:val="20"/>
              </w:rPr>
              <w:t>18.600.000</w:t>
            </w:r>
          </w:p>
        </w:tc>
        <w:tc>
          <w:tcPr>
            <w:tcW w:w="1236" w:type="dxa"/>
            <w:noWrap/>
            <w:vAlign w:val="center"/>
          </w:tcPr>
          <w:p w14:paraId="19CA22BA">
            <w:pPr>
              <w:jc w:val="center"/>
              <w:rPr>
                <w:color w:val="000000"/>
                <w:sz w:val="20"/>
                <w:szCs w:val="20"/>
              </w:rPr>
            </w:pPr>
          </w:p>
        </w:tc>
        <w:tc>
          <w:tcPr>
            <w:tcW w:w="1252" w:type="dxa"/>
            <w:noWrap/>
            <w:vAlign w:val="center"/>
          </w:tcPr>
          <w:p w14:paraId="7AA30AF0">
            <w:pPr>
              <w:jc w:val="center"/>
              <w:rPr>
                <w:color w:val="000000"/>
                <w:sz w:val="20"/>
                <w:szCs w:val="20"/>
              </w:rPr>
            </w:pPr>
            <w:r>
              <w:rPr>
                <w:color w:val="000000"/>
                <w:sz w:val="20"/>
                <w:szCs w:val="20"/>
              </w:rPr>
              <w:t>18.600.000</w:t>
            </w:r>
          </w:p>
        </w:tc>
        <w:tc>
          <w:tcPr>
            <w:tcW w:w="1848" w:type="dxa"/>
            <w:noWrap/>
            <w:vAlign w:val="center"/>
          </w:tcPr>
          <w:p w14:paraId="5BE7A36E">
            <w:pPr>
              <w:jc w:val="center"/>
              <w:rPr>
                <w:color w:val="000000"/>
                <w:sz w:val="20"/>
                <w:szCs w:val="20"/>
              </w:rPr>
            </w:pPr>
            <w:r>
              <w:rPr>
                <w:color w:val="000000"/>
                <w:sz w:val="20"/>
                <w:szCs w:val="20"/>
              </w:rPr>
              <w:t>1.643.124.000</w:t>
            </w:r>
          </w:p>
        </w:tc>
      </w:tr>
      <w:tr w14:paraId="56C8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9651D9D">
            <w:pPr>
              <w:jc w:val="center"/>
              <w:rPr>
                <w:b/>
                <w:bCs/>
                <w:color w:val="000000"/>
                <w:sz w:val="20"/>
                <w:szCs w:val="20"/>
              </w:rPr>
            </w:pPr>
            <w:r>
              <w:rPr>
                <w:b/>
                <w:bCs/>
                <w:color w:val="000000"/>
                <w:sz w:val="20"/>
                <w:szCs w:val="20"/>
              </w:rPr>
              <w:t>LK50</w:t>
            </w:r>
          </w:p>
        </w:tc>
        <w:tc>
          <w:tcPr>
            <w:tcW w:w="1802" w:type="dxa"/>
            <w:vAlign w:val="center"/>
          </w:tcPr>
          <w:p w14:paraId="572DBF9D">
            <w:pPr>
              <w:jc w:val="center"/>
              <w:rPr>
                <w:color w:val="000000"/>
                <w:sz w:val="20"/>
                <w:szCs w:val="20"/>
              </w:rPr>
            </w:pPr>
            <w:r>
              <w:rPr>
                <w:color w:val="000000"/>
                <w:sz w:val="20"/>
                <w:szCs w:val="20"/>
              </w:rPr>
              <w:t>LK50:04</w:t>
            </w:r>
          </w:p>
        </w:tc>
        <w:tc>
          <w:tcPr>
            <w:tcW w:w="1033" w:type="dxa"/>
            <w:noWrap/>
            <w:vAlign w:val="center"/>
          </w:tcPr>
          <w:p w14:paraId="111CD0FD">
            <w:pPr>
              <w:jc w:val="center"/>
              <w:rPr>
                <w:color w:val="000000"/>
                <w:sz w:val="20"/>
                <w:szCs w:val="20"/>
              </w:rPr>
            </w:pPr>
            <w:r>
              <w:rPr>
                <w:color w:val="000000"/>
                <w:sz w:val="20"/>
                <w:szCs w:val="20"/>
              </w:rPr>
              <w:t>88,35</w:t>
            </w:r>
          </w:p>
        </w:tc>
        <w:tc>
          <w:tcPr>
            <w:tcW w:w="846" w:type="dxa"/>
            <w:noWrap/>
            <w:vAlign w:val="center"/>
          </w:tcPr>
          <w:p w14:paraId="198A436B">
            <w:pPr>
              <w:jc w:val="center"/>
              <w:rPr>
                <w:color w:val="000000"/>
                <w:sz w:val="20"/>
                <w:szCs w:val="20"/>
              </w:rPr>
            </w:pPr>
            <w:r>
              <w:rPr>
                <w:color w:val="000000"/>
                <w:sz w:val="20"/>
                <w:szCs w:val="20"/>
              </w:rPr>
              <w:t>1</w:t>
            </w:r>
          </w:p>
        </w:tc>
        <w:tc>
          <w:tcPr>
            <w:tcW w:w="2578" w:type="dxa"/>
            <w:noWrap/>
            <w:vAlign w:val="center"/>
          </w:tcPr>
          <w:p w14:paraId="68491A9D">
            <w:pPr>
              <w:jc w:val="center"/>
              <w:rPr>
                <w:color w:val="000000"/>
                <w:sz w:val="20"/>
                <w:szCs w:val="20"/>
              </w:rPr>
            </w:pPr>
            <w:r>
              <w:rPr>
                <w:color w:val="000000"/>
                <w:sz w:val="20"/>
                <w:szCs w:val="20"/>
              </w:rPr>
              <w:t>Mặt cắt 5-5</w:t>
            </w:r>
          </w:p>
        </w:tc>
        <w:tc>
          <w:tcPr>
            <w:tcW w:w="2393" w:type="dxa"/>
            <w:noWrap/>
            <w:vAlign w:val="center"/>
          </w:tcPr>
          <w:p w14:paraId="578EE275">
            <w:pPr>
              <w:jc w:val="center"/>
              <w:rPr>
                <w:color w:val="000000"/>
                <w:sz w:val="20"/>
                <w:szCs w:val="20"/>
              </w:rPr>
            </w:pPr>
            <w:r>
              <w:rPr>
                <w:color w:val="000000"/>
                <w:sz w:val="20"/>
                <w:szCs w:val="20"/>
              </w:rPr>
              <w:t>Một mặt tiền</w:t>
            </w:r>
          </w:p>
        </w:tc>
        <w:tc>
          <w:tcPr>
            <w:tcW w:w="1198" w:type="dxa"/>
            <w:noWrap/>
            <w:vAlign w:val="center"/>
          </w:tcPr>
          <w:p w14:paraId="1F929226">
            <w:pPr>
              <w:jc w:val="center"/>
              <w:rPr>
                <w:color w:val="000000"/>
                <w:sz w:val="20"/>
                <w:szCs w:val="20"/>
              </w:rPr>
            </w:pPr>
            <w:r>
              <w:rPr>
                <w:color w:val="000000"/>
                <w:sz w:val="20"/>
                <w:szCs w:val="20"/>
              </w:rPr>
              <w:t>18.600.000</w:t>
            </w:r>
          </w:p>
        </w:tc>
        <w:tc>
          <w:tcPr>
            <w:tcW w:w="1236" w:type="dxa"/>
            <w:noWrap/>
            <w:vAlign w:val="center"/>
          </w:tcPr>
          <w:p w14:paraId="54FD8801">
            <w:pPr>
              <w:jc w:val="center"/>
              <w:rPr>
                <w:color w:val="000000"/>
                <w:sz w:val="20"/>
                <w:szCs w:val="20"/>
              </w:rPr>
            </w:pPr>
          </w:p>
        </w:tc>
        <w:tc>
          <w:tcPr>
            <w:tcW w:w="1252" w:type="dxa"/>
            <w:noWrap/>
            <w:vAlign w:val="center"/>
          </w:tcPr>
          <w:p w14:paraId="1D578427">
            <w:pPr>
              <w:jc w:val="center"/>
              <w:rPr>
                <w:color w:val="000000"/>
                <w:sz w:val="20"/>
                <w:szCs w:val="20"/>
              </w:rPr>
            </w:pPr>
            <w:r>
              <w:rPr>
                <w:color w:val="000000"/>
                <w:sz w:val="20"/>
                <w:szCs w:val="20"/>
              </w:rPr>
              <w:t>18.600.000</w:t>
            </w:r>
          </w:p>
        </w:tc>
        <w:tc>
          <w:tcPr>
            <w:tcW w:w="1848" w:type="dxa"/>
            <w:noWrap/>
            <w:vAlign w:val="center"/>
          </w:tcPr>
          <w:p w14:paraId="41759453">
            <w:pPr>
              <w:jc w:val="center"/>
              <w:rPr>
                <w:color w:val="000000"/>
                <w:sz w:val="20"/>
                <w:szCs w:val="20"/>
              </w:rPr>
            </w:pPr>
            <w:r>
              <w:rPr>
                <w:color w:val="000000"/>
                <w:sz w:val="20"/>
                <w:szCs w:val="20"/>
              </w:rPr>
              <w:t>1.643.310.000</w:t>
            </w:r>
          </w:p>
        </w:tc>
      </w:tr>
      <w:tr w14:paraId="3A1A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357C03F">
            <w:pPr>
              <w:jc w:val="center"/>
              <w:rPr>
                <w:b/>
                <w:bCs/>
                <w:color w:val="000000"/>
                <w:sz w:val="20"/>
                <w:szCs w:val="20"/>
              </w:rPr>
            </w:pPr>
            <w:r>
              <w:rPr>
                <w:b/>
                <w:bCs/>
                <w:color w:val="000000"/>
                <w:sz w:val="20"/>
                <w:szCs w:val="20"/>
              </w:rPr>
              <w:t>LK50</w:t>
            </w:r>
          </w:p>
        </w:tc>
        <w:tc>
          <w:tcPr>
            <w:tcW w:w="1802" w:type="dxa"/>
            <w:vAlign w:val="center"/>
          </w:tcPr>
          <w:p w14:paraId="687719C9">
            <w:pPr>
              <w:jc w:val="center"/>
              <w:rPr>
                <w:color w:val="000000"/>
                <w:sz w:val="20"/>
                <w:szCs w:val="20"/>
              </w:rPr>
            </w:pPr>
            <w:r>
              <w:rPr>
                <w:color w:val="000000"/>
                <w:sz w:val="20"/>
                <w:szCs w:val="20"/>
              </w:rPr>
              <w:t>LK50:05</w:t>
            </w:r>
          </w:p>
        </w:tc>
        <w:tc>
          <w:tcPr>
            <w:tcW w:w="1033" w:type="dxa"/>
            <w:noWrap/>
            <w:vAlign w:val="center"/>
          </w:tcPr>
          <w:p w14:paraId="3C251940">
            <w:pPr>
              <w:jc w:val="center"/>
              <w:rPr>
                <w:color w:val="000000"/>
                <w:sz w:val="20"/>
                <w:szCs w:val="20"/>
              </w:rPr>
            </w:pPr>
            <w:r>
              <w:rPr>
                <w:color w:val="000000"/>
                <w:sz w:val="20"/>
                <w:szCs w:val="20"/>
              </w:rPr>
              <w:t>88,36</w:t>
            </w:r>
          </w:p>
        </w:tc>
        <w:tc>
          <w:tcPr>
            <w:tcW w:w="846" w:type="dxa"/>
            <w:noWrap/>
            <w:vAlign w:val="center"/>
          </w:tcPr>
          <w:p w14:paraId="76466EEF">
            <w:pPr>
              <w:jc w:val="center"/>
              <w:rPr>
                <w:color w:val="000000"/>
                <w:sz w:val="20"/>
                <w:szCs w:val="20"/>
              </w:rPr>
            </w:pPr>
            <w:r>
              <w:rPr>
                <w:color w:val="000000"/>
                <w:sz w:val="20"/>
                <w:szCs w:val="20"/>
              </w:rPr>
              <w:t>1</w:t>
            </w:r>
          </w:p>
        </w:tc>
        <w:tc>
          <w:tcPr>
            <w:tcW w:w="2578" w:type="dxa"/>
            <w:noWrap/>
            <w:vAlign w:val="center"/>
          </w:tcPr>
          <w:p w14:paraId="071AB9FE">
            <w:pPr>
              <w:jc w:val="center"/>
              <w:rPr>
                <w:color w:val="000000"/>
                <w:sz w:val="20"/>
                <w:szCs w:val="20"/>
              </w:rPr>
            </w:pPr>
            <w:r>
              <w:rPr>
                <w:color w:val="000000"/>
                <w:sz w:val="20"/>
                <w:szCs w:val="20"/>
              </w:rPr>
              <w:t>Mặt cắt 5-5</w:t>
            </w:r>
          </w:p>
        </w:tc>
        <w:tc>
          <w:tcPr>
            <w:tcW w:w="2393" w:type="dxa"/>
            <w:noWrap/>
            <w:vAlign w:val="center"/>
          </w:tcPr>
          <w:p w14:paraId="275DFFCB">
            <w:pPr>
              <w:jc w:val="center"/>
              <w:rPr>
                <w:color w:val="000000"/>
                <w:sz w:val="20"/>
                <w:szCs w:val="20"/>
              </w:rPr>
            </w:pPr>
            <w:r>
              <w:rPr>
                <w:color w:val="000000"/>
                <w:sz w:val="20"/>
                <w:szCs w:val="20"/>
              </w:rPr>
              <w:t>Một mặt tiền</w:t>
            </w:r>
          </w:p>
        </w:tc>
        <w:tc>
          <w:tcPr>
            <w:tcW w:w="1198" w:type="dxa"/>
            <w:noWrap/>
            <w:vAlign w:val="center"/>
          </w:tcPr>
          <w:p w14:paraId="5C2AE344">
            <w:pPr>
              <w:jc w:val="center"/>
              <w:rPr>
                <w:color w:val="000000"/>
                <w:sz w:val="20"/>
                <w:szCs w:val="20"/>
              </w:rPr>
            </w:pPr>
            <w:r>
              <w:rPr>
                <w:color w:val="000000"/>
                <w:sz w:val="20"/>
                <w:szCs w:val="20"/>
              </w:rPr>
              <w:t>18.600.000</w:t>
            </w:r>
          </w:p>
        </w:tc>
        <w:tc>
          <w:tcPr>
            <w:tcW w:w="1236" w:type="dxa"/>
            <w:noWrap/>
            <w:vAlign w:val="center"/>
          </w:tcPr>
          <w:p w14:paraId="745D7D58">
            <w:pPr>
              <w:jc w:val="center"/>
              <w:rPr>
                <w:color w:val="000000"/>
                <w:sz w:val="20"/>
                <w:szCs w:val="20"/>
              </w:rPr>
            </w:pPr>
          </w:p>
        </w:tc>
        <w:tc>
          <w:tcPr>
            <w:tcW w:w="1252" w:type="dxa"/>
            <w:noWrap/>
            <w:vAlign w:val="center"/>
          </w:tcPr>
          <w:p w14:paraId="419E8A69">
            <w:pPr>
              <w:jc w:val="center"/>
              <w:rPr>
                <w:color w:val="000000"/>
                <w:sz w:val="20"/>
                <w:szCs w:val="20"/>
              </w:rPr>
            </w:pPr>
            <w:r>
              <w:rPr>
                <w:color w:val="000000"/>
                <w:sz w:val="20"/>
                <w:szCs w:val="20"/>
              </w:rPr>
              <w:t>18.600.000</w:t>
            </w:r>
          </w:p>
        </w:tc>
        <w:tc>
          <w:tcPr>
            <w:tcW w:w="1848" w:type="dxa"/>
            <w:noWrap/>
            <w:vAlign w:val="center"/>
          </w:tcPr>
          <w:p w14:paraId="7A30B848">
            <w:pPr>
              <w:jc w:val="center"/>
              <w:rPr>
                <w:color w:val="000000"/>
                <w:sz w:val="20"/>
                <w:szCs w:val="20"/>
              </w:rPr>
            </w:pPr>
            <w:r>
              <w:rPr>
                <w:color w:val="000000"/>
                <w:sz w:val="20"/>
                <w:szCs w:val="20"/>
              </w:rPr>
              <w:t>1.643.496.000</w:t>
            </w:r>
          </w:p>
        </w:tc>
      </w:tr>
      <w:tr w14:paraId="0B16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807B573">
            <w:pPr>
              <w:jc w:val="center"/>
              <w:rPr>
                <w:b/>
                <w:bCs/>
                <w:color w:val="000000"/>
                <w:sz w:val="20"/>
                <w:szCs w:val="20"/>
              </w:rPr>
            </w:pPr>
            <w:r>
              <w:rPr>
                <w:b/>
                <w:bCs/>
                <w:color w:val="000000"/>
                <w:sz w:val="20"/>
                <w:szCs w:val="20"/>
              </w:rPr>
              <w:t>LK50</w:t>
            </w:r>
          </w:p>
        </w:tc>
        <w:tc>
          <w:tcPr>
            <w:tcW w:w="1802" w:type="dxa"/>
            <w:vAlign w:val="center"/>
          </w:tcPr>
          <w:p w14:paraId="4AC8B413">
            <w:pPr>
              <w:jc w:val="center"/>
              <w:rPr>
                <w:color w:val="000000"/>
                <w:sz w:val="20"/>
                <w:szCs w:val="20"/>
              </w:rPr>
            </w:pPr>
            <w:r>
              <w:rPr>
                <w:color w:val="000000"/>
                <w:sz w:val="20"/>
                <w:szCs w:val="20"/>
              </w:rPr>
              <w:t>LK50:06</w:t>
            </w:r>
          </w:p>
        </w:tc>
        <w:tc>
          <w:tcPr>
            <w:tcW w:w="1033" w:type="dxa"/>
            <w:noWrap/>
            <w:vAlign w:val="center"/>
          </w:tcPr>
          <w:p w14:paraId="10B118B1">
            <w:pPr>
              <w:jc w:val="center"/>
              <w:rPr>
                <w:color w:val="000000"/>
                <w:sz w:val="20"/>
                <w:szCs w:val="20"/>
              </w:rPr>
            </w:pPr>
            <w:r>
              <w:rPr>
                <w:color w:val="000000"/>
                <w:sz w:val="20"/>
                <w:szCs w:val="20"/>
              </w:rPr>
              <w:t>88,34</w:t>
            </w:r>
          </w:p>
        </w:tc>
        <w:tc>
          <w:tcPr>
            <w:tcW w:w="846" w:type="dxa"/>
            <w:noWrap/>
            <w:vAlign w:val="center"/>
          </w:tcPr>
          <w:p w14:paraId="750D0554">
            <w:pPr>
              <w:jc w:val="center"/>
              <w:rPr>
                <w:color w:val="000000"/>
                <w:sz w:val="20"/>
                <w:szCs w:val="20"/>
              </w:rPr>
            </w:pPr>
            <w:r>
              <w:rPr>
                <w:color w:val="000000"/>
                <w:sz w:val="20"/>
                <w:szCs w:val="20"/>
              </w:rPr>
              <w:t>1</w:t>
            </w:r>
          </w:p>
        </w:tc>
        <w:tc>
          <w:tcPr>
            <w:tcW w:w="2578" w:type="dxa"/>
            <w:noWrap/>
            <w:vAlign w:val="center"/>
          </w:tcPr>
          <w:p w14:paraId="0F926F37">
            <w:pPr>
              <w:jc w:val="center"/>
              <w:rPr>
                <w:color w:val="000000"/>
                <w:sz w:val="20"/>
                <w:szCs w:val="20"/>
              </w:rPr>
            </w:pPr>
            <w:r>
              <w:rPr>
                <w:color w:val="000000"/>
                <w:sz w:val="20"/>
                <w:szCs w:val="20"/>
              </w:rPr>
              <w:t>Mặt cắt 5-5</w:t>
            </w:r>
          </w:p>
        </w:tc>
        <w:tc>
          <w:tcPr>
            <w:tcW w:w="2393" w:type="dxa"/>
            <w:noWrap/>
            <w:vAlign w:val="center"/>
          </w:tcPr>
          <w:p w14:paraId="7FC142A8">
            <w:pPr>
              <w:jc w:val="center"/>
              <w:rPr>
                <w:color w:val="000000"/>
                <w:sz w:val="20"/>
                <w:szCs w:val="20"/>
              </w:rPr>
            </w:pPr>
            <w:r>
              <w:rPr>
                <w:color w:val="000000"/>
                <w:sz w:val="20"/>
                <w:szCs w:val="20"/>
              </w:rPr>
              <w:t>Một mặt tiền</w:t>
            </w:r>
          </w:p>
        </w:tc>
        <w:tc>
          <w:tcPr>
            <w:tcW w:w="1198" w:type="dxa"/>
            <w:noWrap/>
            <w:vAlign w:val="center"/>
          </w:tcPr>
          <w:p w14:paraId="34271148">
            <w:pPr>
              <w:jc w:val="center"/>
              <w:rPr>
                <w:color w:val="000000"/>
                <w:sz w:val="20"/>
                <w:szCs w:val="20"/>
              </w:rPr>
            </w:pPr>
            <w:r>
              <w:rPr>
                <w:color w:val="000000"/>
                <w:sz w:val="20"/>
                <w:szCs w:val="20"/>
              </w:rPr>
              <w:t>18.600.000</w:t>
            </w:r>
          </w:p>
        </w:tc>
        <w:tc>
          <w:tcPr>
            <w:tcW w:w="1236" w:type="dxa"/>
            <w:noWrap/>
            <w:vAlign w:val="center"/>
          </w:tcPr>
          <w:p w14:paraId="59CEC083">
            <w:pPr>
              <w:jc w:val="center"/>
              <w:rPr>
                <w:color w:val="000000"/>
                <w:sz w:val="20"/>
                <w:szCs w:val="20"/>
              </w:rPr>
            </w:pPr>
          </w:p>
        </w:tc>
        <w:tc>
          <w:tcPr>
            <w:tcW w:w="1252" w:type="dxa"/>
            <w:noWrap/>
            <w:vAlign w:val="center"/>
          </w:tcPr>
          <w:p w14:paraId="6BBC34C2">
            <w:pPr>
              <w:jc w:val="center"/>
              <w:rPr>
                <w:color w:val="000000"/>
                <w:sz w:val="20"/>
                <w:szCs w:val="20"/>
              </w:rPr>
            </w:pPr>
            <w:r>
              <w:rPr>
                <w:color w:val="000000"/>
                <w:sz w:val="20"/>
                <w:szCs w:val="20"/>
              </w:rPr>
              <w:t>18.600.000</w:t>
            </w:r>
          </w:p>
        </w:tc>
        <w:tc>
          <w:tcPr>
            <w:tcW w:w="1848" w:type="dxa"/>
            <w:noWrap/>
            <w:vAlign w:val="center"/>
          </w:tcPr>
          <w:p w14:paraId="2E40E825">
            <w:pPr>
              <w:jc w:val="center"/>
              <w:rPr>
                <w:color w:val="000000"/>
                <w:sz w:val="20"/>
                <w:szCs w:val="20"/>
              </w:rPr>
            </w:pPr>
            <w:r>
              <w:rPr>
                <w:color w:val="000000"/>
                <w:sz w:val="20"/>
                <w:szCs w:val="20"/>
              </w:rPr>
              <w:t>1.643.124.000</w:t>
            </w:r>
          </w:p>
        </w:tc>
      </w:tr>
      <w:tr w14:paraId="28EB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6D5292">
            <w:pPr>
              <w:jc w:val="center"/>
              <w:rPr>
                <w:b/>
                <w:bCs/>
                <w:color w:val="000000"/>
                <w:sz w:val="20"/>
                <w:szCs w:val="20"/>
              </w:rPr>
            </w:pPr>
            <w:r>
              <w:rPr>
                <w:b/>
                <w:bCs/>
                <w:color w:val="000000"/>
                <w:sz w:val="20"/>
                <w:szCs w:val="20"/>
              </w:rPr>
              <w:t>LK50</w:t>
            </w:r>
          </w:p>
        </w:tc>
        <w:tc>
          <w:tcPr>
            <w:tcW w:w="1802" w:type="dxa"/>
            <w:vAlign w:val="center"/>
          </w:tcPr>
          <w:p w14:paraId="66059F8D">
            <w:pPr>
              <w:jc w:val="center"/>
              <w:rPr>
                <w:color w:val="000000"/>
                <w:sz w:val="20"/>
                <w:szCs w:val="20"/>
              </w:rPr>
            </w:pPr>
            <w:r>
              <w:rPr>
                <w:color w:val="000000"/>
                <w:sz w:val="20"/>
                <w:szCs w:val="20"/>
              </w:rPr>
              <w:t>LK50:07</w:t>
            </w:r>
          </w:p>
        </w:tc>
        <w:tc>
          <w:tcPr>
            <w:tcW w:w="1033" w:type="dxa"/>
            <w:noWrap/>
            <w:vAlign w:val="center"/>
          </w:tcPr>
          <w:p w14:paraId="00C6CF73">
            <w:pPr>
              <w:jc w:val="center"/>
              <w:rPr>
                <w:color w:val="000000"/>
                <w:sz w:val="20"/>
                <w:szCs w:val="20"/>
              </w:rPr>
            </w:pPr>
            <w:r>
              <w:rPr>
                <w:color w:val="000000"/>
                <w:sz w:val="20"/>
                <w:szCs w:val="20"/>
              </w:rPr>
              <w:t>88,35</w:t>
            </w:r>
          </w:p>
        </w:tc>
        <w:tc>
          <w:tcPr>
            <w:tcW w:w="846" w:type="dxa"/>
            <w:noWrap/>
            <w:vAlign w:val="center"/>
          </w:tcPr>
          <w:p w14:paraId="66111F7B">
            <w:pPr>
              <w:jc w:val="center"/>
              <w:rPr>
                <w:color w:val="000000"/>
                <w:sz w:val="20"/>
                <w:szCs w:val="20"/>
              </w:rPr>
            </w:pPr>
            <w:r>
              <w:rPr>
                <w:color w:val="000000"/>
                <w:sz w:val="20"/>
                <w:szCs w:val="20"/>
              </w:rPr>
              <w:t>1</w:t>
            </w:r>
          </w:p>
        </w:tc>
        <w:tc>
          <w:tcPr>
            <w:tcW w:w="2578" w:type="dxa"/>
            <w:noWrap/>
            <w:vAlign w:val="center"/>
          </w:tcPr>
          <w:p w14:paraId="39F18E12">
            <w:pPr>
              <w:jc w:val="center"/>
              <w:rPr>
                <w:color w:val="000000"/>
                <w:sz w:val="20"/>
                <w:szCs w:val="20"/>
              </w:rPr>
            </w:pPr>
            <w:r>
              <w:rPr>
                <w:color w:val="000000"/>
                <w:sz w:val="20"/>
                <w:szCs w:val="20"/>
              </w:rPr>
              <w:t>Mặt cắt 5-5</w:t>
            </w:r>
          </w:p>
        </w:tc>
        <w:tc>
          <w:tcPr>
            <w:tcW w:w="2393" w:type="dxa"/>
            <w:noWrap/>
            <w:vAlign w:val="center"/>
          </w:tcPr>
          <w:p w14:paraId="02E42C6C">
            <w:pPr>
              <w:jc w:val="center"/>
              <w:rPr>
                <w:color w:val="000000"/>
                <w:sz w:val="20"/>
                <w:szCs w:val="20"/>
              </w:rPr>
            </w:pPr>
            <w:r>
              <w:rPr>
                <w:color w:val="000000"/>
                <w:sz w:val="20"/>
                <w:szCs w:val="20"/>
              </w:rPr>
              <w:t>Một mặt tiền</w:t>
            </w:r>
          </w:p>
        </w:tc>
        <w:tc>
          <w:tcPr>
            <w:tcW w:w="1198" w:type="dxa"/>
            <w:noWrap/>
            <w:vAlign w:val="center"/>
          </w:tcPr>
          <w:p w14:paraId="0688E396">
            <w:pPr>
              <w:jc w:val="center"/>
              <w:rPr>
                <w:color w:val="000000"/>
                <w:sz w:val="20"/>
                <w:szCs w:val="20"/>
              </w:rPr>
            </w:pPr>
            <w:r>
              <w:rPr>
                <w:color w:val="000000"/>
                <w:sz w:val="20"/>
                <w:szCs w:val="20"/>
              </w:rPr>
              <w:t>18.600.000</w:t>
            </w:r>
          </w:p>
        </w:tc>
        <w:tc>
          <w:tcPr>
            <w:tcW w:w="1236" w:type="dxa"/>
            <w:noWrap/>
            <w:vAlign w:val="center"/>
          </w:tcPr>
          <w:p w14:paraId="4C8F9562">
            <w:pPr>
              <w:jc w:val="center"/>
              <w:rPr>
                <w:color w:val="000000"/>
                <w:sz w:val="20"/>
                <w:szCs w:val="20"/>
              </w:rPr>
            </w:pPr>
          </w:p>
        </w:tc>
        <w:tc>
          <w:tcPr>
            <w:tcW w:w="1252" w:type="dxa"/>
            <w:noWrap/>
            <w:vAlign w:val="center"/>
          </w:tcPr>
          <w:p w14:paraId="3B62C1A9">
            <w:pPr>
              <w:jc w:val="center"/>
              <w:rPr>
                <w:color w:val="000000"/>
                <w:sz w:val="20"/>
                <w:szCs w:val="20"/>
              </w:rPr>
            </w:pPr>
            <w:r>
              <w:rPr>
                <w:color w:val="000000"/>
                <w:sz w:val="20"/>
                <w:szCs w:val="20"/>
              </w:rPr>
              <w:t>18.600.000</w:t>
            </w:r>
          </w:p>
        </w:tc>
        <w:tc>
          <w:tcPr>
            <w:tcW w:w="1848" w:type="dxa"/>
            <w:noWrap/>
            <w:vAlign w:val="center"/>
          </w:tcPr>
          <w:p w14:paraId="56AC3E9E">
            <w:pPr>
              <w:jc w:val="center"/>
              <w:rPr>
                <w:color w:val="000000"/>
                <w:sz w:val="20"/>
                <w:szCs w:val="20"/>
              </w:rPr>
            </w:pPr>
            <w:r>
              <w:rPr>
                <w:color w:val="000000"/>
                <w:sz w:val="20"/>
                <w:szCs w:val="20"/>
              </w:rPr>
              <w:t>1.643.310.000</w:t>
            </w:r>
          </w:p>
        </w:tc>
      </w:tr>
      <w:tr w14:paraId="4CDE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00B04EE">
            <w:pPr>
              <w:jc w:val="center"/>
              <w:rPr>
                <w:b/>
                <w:bCs/>
                <w:color w:val="000000"/>
                <w:sz w:val="20"/>
                <w:szCs w:val="20"/>
              </w:rPr>
            </w:pPr>
            <w:r>
              <w:rPr>
                <w:b/>
                <w:bCs/>
                <w:color w:val="000000"/>
                <w:sz w:val="20"/>
                <w:szCs w:val="20"/>
              </w:rPr>
              <w:t>LK50</w:t>
            </w:r>
          </w:p>
        </w:tc>
        <w:tc>
          <w:tcPr>
            <w:tcW w:w="1802" w:type="dxa"/>
            <w:vAlign w:val="center"/>
          </w:tcPr>
          <w:p w14:paraId="21C8FF58">
            <w:pPr>
              <w:jc w:val="center"/>
              <w:rPr>
                <w:color w:val="000000"/>
                <w:sz w:val="20"/>
                <w:szCs w:val="20"/>
              </w:rPr>
            </w:pPr>
            <w:r>
              <w:rPr>
                <w:color w:val="000000"/>
                <w:sz w:val="20"/>
                <w:szCs w:val="20"/>
              </w:rPr>
              <w:t>LK50:08</w:t>
            </w:r>
          </w:p>
        </w:tc>
        <w:tc>
          <w:tcPr>
            <w:tcW w:w="1033" w:type="dxa"/>
            <w:noWrap/>
            <w:vAlign w:val="center"/>
          </w:tcPr>
          <w:p w14:paraId="36F8A77D">
            <w:pPr>
              <w:jc w:val="center"/>
              <w:rPr>
                <w:color w:val="000000"/>
                <w:sz w:val="20"/>
                <w:szCs w:val="20"/>
              </w:rPr>
            </w:pPr>
            <w:r>
              <w:rPr>
                <w:color w:val="000000"/>
                <w:sz w:val="20"/>
                <w:szCs w:val="20"/>
              </w:rPr>
              <w:t>88,36</w:t>
            </w:r>
          </w:p>
        </w:tc>
        <w:tc>
          <w:tcPr>
            <w:tcW w:w="846" w:type="dxa"/>
            <w:noWrap/>
            <w:vAlign w:val="center"/>
          </w:tcPr>
          <w:p w14:paraId="7C3E3C0D">
            <w:pPr>
              <w:jc w:val="center"/>
              <w:rPr>
                <w:color w:val="000000"/>
                <w:sz w:val="20"/>
                <w:szCs w:val="20"/>
              </w:rPr>
            </w:pPr>
            <w:r>
              <w:rPr>
                <w:color w:val="000000"/>
                <w:sz w:val="20"/>
                <w:szCs w:val="20"/>
              </w:rPr>
              <w:t>1</w:t>
            </w:r>
          </w:p>
        </w:tc>
        <w:tc>
          <w:tcPr>
            <w:tcW w:w="2578" w:type="dxa"/>
            <w:noWrap/>
            <w:vAlign w:val="center"/>
          </w:tcPr>
          <w:p w14:paraId="7A92B029">
            <w:pPr>
              <w:jc w:val="center"/>
              <w:rPr>
                <w:color w:val="000000"/>
                <w:sz w:val="20"/>
                <w:szCs w:val="20"/>
              </w:rPr>
            </w:pPr>
            <w:r>
              <w:rPr>
                <w:color w:val="000000"/>
                <w:sz w:val="20"/>
                <w:szCs w:val="20"/>
              </w:rPr>
              <w:t>Mặt cắt 5-5</w:t>
            </w:r>
          </w:p>
        </w:tc>
        <w:tc>
          <w:tcPr>
            <w:tcW w:w="2393" w:type="dxa"/>
            <w:noWrap/>
            <w:vAlign w:val="center"/>
          </w:tcPr>
          <w:p w14:paraId="687D1565">
            <w:pPr>
              <w:jc w:val="center"/>
              <w:rPr>
                <w:color w:val="000000"/>
                <w:sz w:val="20"/>
                <w:szCs w:val="20"/>
              </w:rPr>
            </w:pPr>
            <w:r>
              <w:rPr>
                <w:color w:val="000000"/>
                <w:sz w:val="20"/>
                <w:szCs w:val="20"/>
              </w:rPr>
              <w:t>Một mặt tiền</w:t>
            </w:r>
          </w:p>
        </w:tc>
        <w:tc>
          <w:tcPr>
            <w:tcW w:w="1198" w:type="dxa"/>
            <w:noWrap/>
            <w:vAlign w:val="center"/>
          </w:tcPr>
          <w:p w14:paraId="21AAB150">
            <w:pPr>
              <w:jc w:val="center"/>
              <w:rPr>
                <w:color w:val="000000"/>
                <w:sz w:val="20"/>
                <w:szCs w:val="20"/>
              </w:rPr>
            </w:pPr>
            <w:r>
              <w:rPr>
                <w:color w:val="000000"/>
                <w:sz w:val="20"/>
                <w:szCs w:val="20"/>
              </w:rPr>
              <w:t>18.600.000</w:t>
            </w:r>
          </w:p>
        </w:tc>
        <w:tc>
          <w:tcPr>
            <w:tcW w:w="1236" w:type="dxa"/>
            <w:noWrap/>
            <w:vAlign w:val="center"/>
          </w:tcPr>
          <w:p w14:paraId="2C6119F0">
            <w:pPr>
              <w:jc w:val="center"/>
              <w:rPr>
                <w:color w:val="000000"/>
                <w:sz w:val="20"/>
                <w:szCs w:val="20"/>
              </w:rPr>
            </w:pPr>
          </w:p>
        </w:tc>
        <w:tc>
          <w:tcPr>
            <w:tcW w:w="1252" w:type="dxa"/>
            <w:noWrap/>
            <w:vAlign w:val="center"/>
          </w:tcPr>
          <w:p w14:paraId="242CD7CB">
            <w:pPr>
              <w:jc w:val="center"/>
              <w:rPr>
                <w:color w:val="000000"/>
                <w:sz w:val="20"/>
                <w:szCs w:val="20"/>
              </w:rPr>
            </w:pPr>
            <w:r>
              <w:rPr>
                <w:color w:val="000000"/>
                <w:sz w:val="20"/>
                <w:szCs w:val="20"/>
              </w:rPr>
              <w:t>18.600.000</w:t>
            </w:r>
          </w:p>
        </w:tc>
        <w:tc>
          <w:tcPr>
            <w:tcW w:w="1848" w:type="dxa"/>
            <w:noWrap/>
            <w:vAlign w:val="center"/>
          </w:tcPr>
          <w:p w14:paraId="675F44C9">
            <w:pPr>
              <w:jc w:val="center"/>
              <w:rPr>
                <w:color w:val="000000"/>
                <w:sz w:val="20"/>
                <w:szCs w:val="20"/>
              </w:rPr>
            </w:pPr>
            <w:r>
              <w:rPr>
                <w:color w:val="000000"/>
                <w:sz w:val="20"/>
                <w:szCs w:val="20"/>
              </w:rPr>
              <w:t>1.643.496.000</w:t>
            </w:r>
          </w:p>
        </w:tc>
      </w:tr>
      <w:tr w14:paraId="2204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E4AB37">
            <w:pPr>
              <w:jc w:val="center"/>
              <w:rPr>
                <w:b/>
                <w:bCs/>
                <w:color w:val="000000"/>
                <w:sz w:val="20"/>
                <w:szCs w:val="20"/>
              </w:rPr>
            </w:pPr>
            <w:r>
              <w:rPr>
                <w:b/>
                <w:bCs/>
                <w:color w:val="000000"/>
                <w:sz w:val="20"/>
                <w:szCs w:val="20"/>
              </w:rPr>
              <w:t>LK50</w:t>
            </w:r>
          </w:p>
        </w:tc>
        <w:tc>
          <w:tcPr>
            <w:tcW w:w="1802" w:type="dxa"/>
            <w:vAlign w:val="center"/>
          </w:tcPr>
          <w:p w14:paraId="3A89134E">
            <w:pPr>
              <w:jc w:val="center"/>
              <w:rPr>
                <w:color w:val="000000"/>
                <w:sz w:val="20"/>
                <w:szCs w:val="20"/>
              </w:rPr>
            </w:pPr>
            <w:r>
              <w:rPr>
                <w:color w:val="000000"/>
                <w:sz w:val="20"/>
                <w:szCs w:val="20"/>
              </w:rPr>
              <w:t>LK50:09</w:t>
            </w:r>
          </w:p>
        </w:tc>
        <w:tc>
          <w:tcPr>
            <w:tcW w:w="1033" w:type="dxa"/>
            <w:noWrap/>
            <w:vAlign w:val="center"/>
          </w:tcPr>
          <w:p w14:paraId="37B66543">
            <w:pPr>
              <w:jc w:val="center"/>
              <w:rPr>
                <w:color w:val="000000"/>
                <w:sz w:val="20"/>
                <w:szCs w:val="20"/>
              </w:rPr>
            </w:pPr>
            <w:r>
              <w:rPr>
                <w:color w:val="000000"/>
                <w:sz w:val="20"/>
                <w:szCs w:val="20"/>
              </w:rPr>
              <w:t>95,09</w:t>
            </w:r>
          </w:p>
        </w:tc>
        <w:tc>
          <w:tcPr>
            <w:tcW w:w="846" w:type="dxa"/>
            <w:noWrap/>
            <w:vAlign w:val="center"/>
          </w:tcPr>
          <w:p w14:paraId="6B579194">
            <w:pPr>
              <w:jc w:val="center"/>
              <w:rPr>
                <w:color w:val="000000"/>
                <w:sz w:val="20"/>
                <w:szCs w:val="20"/>
              </w:rPr>
            </w:pPr>
            <w:r>
              <w:rPr>
                <w:color w:val="000000"/>
                <w:sz w:val="20"/>
                <w:szCs w:val="20"/>
              </w:rPr>
              <w:t>1</w:t>
            </w:r>
          </w:p>
        </w:tc>
        <w:tc>
          <w:tcPr>
            <w:tcW w:w="2578" w:type="dxa"/>
            <w:noWrap/>
            <w:vAlign w:val="center"/>
          </w:tcPr>
          <w:p w14:paraId="1978DD98">
            <w:pPr>
              <w:jc w:val="center"/>
              <w:rPr>
                <w:color w:val="000000"/>
                <w:sz w:val="20"/>
                <w:szCs w:val="20"/>
              </w:rPr>
            </w:pPr>
            <w:r>
              <w:rPr>
                <w:color w:val="000000"/>
                <w:sz w:val="20"/>
                <w:szCs w:val="20"/>
              </w:rPr>
              <w:t>Mặt cắt 5-5</w:t>
            </w:r>
          </w:p>
        </w:tc>
        <w:tc>
          <w:tcPr>
            <w:tcW w:w="2393" w:type="dxa"/>
            <w:noWrap/>
            <w:vAlign w:val="center"/>
          </w:tcPr>
          <w:p w14:paraId="4CD9C963">
            <w:pPr>
              <w:jc w:val="center"/>
              <w:rPr>
                <w:color w:val="000000"/>
                <w:sz w:val="20"/>
                <w:szCs w:val="20"/>
              </w:rPr>
            </w:pPr>
            <w:r>
              <w:rPr>
                <w:color w:val="000000"/>
                <w:sz w:val="20"/>
                <w:szCs w:val="20"/>
              </w:rPr>
              <w:t>Một mặt tiền</w:t>
            </w:r>
          </w:p>
        </w:tc>
        <w:tc>
          <w:tcPr>
            <w:tcW w:w="1198" w:type="dxa"/>
            <w:noWrap/>
            <w:vAlign w:val="center"/>
          </w:tcPr>
          <w:p w14:paraId="5A0FCB82">
            <w:pPr>
              <w:jc w:val="center"/>
              <w:rPr>
                <w:color w:val="000000"/>
                <w:sz w:val="20"/>
                <w:szCs w:val="20"/>
              </w:rPr>
            </w:pPr>
            <w:r>
              <w:rPr>
                <w:color w:val="000000"/>
                <w:sz w:val="20"/>
                <w:szCs w:val="20"/>
              </w:rPr>
              <w:t>18.600.000</w:t>
            </w:r>
          </w:p>
        </w:tc>
        <w:tc>
          <w:tcPr>
            <w:tcW w:w="1236" w:type="dxa"/>
            <w:noWrap/>
            <w:vAlign w:val="center"/>
          </w:tcPr>
          <w:p w14:paraId="2AFF0D53">
            <w:pPr>
              <w:jc w:val="center"/>
              <w:rPr>
                <w:color w:val="000000"/>
                <w:sz w:val="20"/>
                <w:szCs w:val="20"/>
              </w:rPr>
            </w:pPr>
          </w:p>
        </w:tc>
        <w:tc>
          <w:tcPr>
            <w:tcW w:w="1252" w:type="dxa"/>
            <w:noWrap/>
            <w:vAlign w:val="center"/>
          </w:tcPr>
          <w:p w14:paraId="15AEED7D">
            <w:pPr>
              <w:jc w:val="center"/>
              <w:rPr>
                <w:color w:val="000000"/>
                <w:sz w:val="20"/>
                <w:szCs w:val="20"/>
              </w:rPr>
            </w:pPr>
            <w:r>
              <w:rPr>
                <w:color w:val="000000"/>
                <w:sz w:val="20"/>
                <w:szCs w:val="20"/>
              </w:rPr>
              <w:t>18.600.000</w:t>
            </w:r>
          </w:p>
        </w:tc>
        <w:tc>
          <w:tcPr>
            <w:tcW w:w="1848" w:type="dxa"/>
            <w:noWrap/>
            <w:vAlign w:val="center"/>
          </w:tcPr>
          <w:p w14:paraId="72D9A10F">
            <w:pPr>
              <w:jc w:val="center"/>
              <w:rPr>
                <w:color w:val="000000"/>
                <w:sz w:val="20"/>
                <w:szCs w:val="20"/>
              </w:rPr>
            </w:pPr>
            <w:r>
              <w:rPr>
                <w:color w:val="000000"/>
                <w:sz w:val="20"/>
                <w:szCs w:val="20"/>
              </w:rPr>
              <w:t>1.768.674.000</w:t>
            </w:r>
          </w:p>
        </w:tc>
      </w:tr>
      <w:tr w14:paraId="0B76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9BAD085">
            <w:pPr>
              <w:jc w:val="center"/>
              <w:rPr>
                <w:b/>
                <w:bCs/>
                <w:color w:val="000000"/>
                <w:sz w:val="20"/>
                <w:szCs w:val="20"/>
              </w:rPr>
            </w:pPr>
            <w:r>
              <w:rPr>
                <w:b/>
                <w:bCs/>
                <w:color w:val="000000"/>
                <w:sz w:val="20"/>
                <w:szCs w:val="20"/>
              </w:rPr>
              <w:t>LK52</w:t>
            </w:r>
          </w:p>
        </w:tc>
        <w:tc>
          <w:tcPr>
            <w:tcW w:w="1802" w:type="dxa"/>
            <w:vAlign w:val="center"/>
          </w:tcPr>
          <w:p w14:paraId="7EDE3EE7">
            <w:pPr>
              <w:jc w:val="center"/>
              <w:rPr>
                <w:color w:val="000000"/>
                <w:sz w:val="20"/>
                <w:szCs w:val="20"/>
              </w:rPr>
            </w:pPr>
            <w:r>
              <w:rPr>
                <w:color w:val="000000"/>
                <w:sz w:val="20"/>
                <w:szCs w:val="20"/>
              </w:rPr>
              <w:t>LK52:01</w:t>
            </w:r>
          </w:p>
        </w:tc>
        <w:tc>
          <w:tcPr>
            <w:tcW w:w="1033" w:type="dxa"/>
            <w:noWrap/>
            <w:vAlign w:val="center"/>
          </w:tcPr>
          <w:p w14:paraId="2F2013CA">
            <w:pPr>
              <w:jc w:val="center"/>
              <w:rPr>
                <w:color w:val="000000"/>
                <w:sz w:val="20"/>
                <w:szCs w:val="20"/>
              </w:rPr>
            </w:pPr>
            <w:r>
              <w:rPr>
                <w:color w:val="000000"/>
                <w:sz w:val="20"/>
                <w:szCs w:val="20"/>
              </w:rPr>
              <w:t>87,00</w:t>
            </w:r>
          </w:p>
        </w:tc>
        <w:tc>
          <w:tcPr>
            <w:tcW w:w="846" w:type="dxa"/>
            <w:noWrap/>
            <w:vAlign w:val="center"/>
          </w:tcPr>
          <w:p w14:paraId="7CA3E733">
            <w:pPr>
              <w:jc w:val="center"/>
              <w:rPr>
                <w:color w:val="000000"/>
                <w:sz w:val="20"/>
                <w:szCs w:val="20"/>
              </w:rPr>
            </w:pPr>
            <w:r>
              <w:rPr>
                <w:color w:val="000000"/>
                <w:sz w:val="20"/>
                <w:szCs w:val="20"/>
              </w:rPr>
              <w:t>1</w:t>
            </w:r>
          </w:p>
        </w:tc>
        <w:tc>
          <w:tcPr>
            <w:tcW w:w="2578" w:type="dxa"/>
            <w:noWrap/>
            <w:vAlign w:val="center"/>
          </w:tcPr>
          <w:p w14:paraId="36E97FEC">
            <w:pPr>
              <w:jc w:val="center"/>
              <w:rPr>
                <w:color w:val="000000"/>
                <w:sz w:val="20"/>
                <w:szCs w:val="20"/>
              </w:rPr>
            </w:pPr>
            <w:r>
              <w:rPr>
                <w:color w:val="000000"/>
                <w:sz w:val="20"/>
                <w:szCs w:val="20"/>
              </w:rPr>
              <w:t>Mặt cắt 5-5</w:t>
            </w:r>
          </w:p>
        </w:tc>
        <w:tc>
          <w:tcPr>
            <w:tcW w:w="2393" w:type="dxa"/>
            <w:noWrap/>
            <w:vAlign w:val="center"/>
          </w:tcPr>
          <w:p w14:paraId="36DD45E5">
            <w:pPr>
              <w:jc w:val="center"/>
              <w:rPr>
                <w:color w:val="000000"/>
                <w:sz w:val="20"/>
                <w:szCs w:val="20"/>
              </w:rPr>
            </w:pPr>
            <w:r>
              <w:rPr>
                <w:color w:val="000000"/>
                <w:sz w:val="20"/>
                <w:szCs w:val="20"/>
              </w:rPr>
              <w:t>Một mặt tiền</w:t>
            </w:r>
          </w:p>
        </w:tc>
        <w:tc>
          <w:tcPr>
            <w:tcW w:w="1198" w:type="dxa"/>
            <w:noWrap/>
            <w:vAlign w:val="center"/>
          </w:tcPr>
          <w:p w14:paraId="61CF2EC4">
            <w:pPr>
              <w:jc w:val="center"/>
              <w:rPr>
                <w:color w:val="000000"/>
                <w:sz w:val="20"/>
                <w:szCs w:val="20"/>
              </w:rPr>
            </w:pPr>
            <w:r>
              <w:rPr>
                <w:color w:val="000000"/>
                <w:sz w:val="20"/>
                <w:szCs w:val="20"/>
              </w:rPr>
              <w:t>18.600.000</w:t>
            </w:r>
          </w:p>
        </w:tc>
        <w:tc>
          <w:tcPr>
            <w:tcW w:w="1236" w:type="dxa"/>
            <w:noWrap/>
            <w:vAlign w:val="center"/>
          </w:tcPr>
          <w:p w14:paraId="64420778">
            <w:pPr>
              <w:jc w:val="center"/>
              <w:rPr>
                <w:color w:val="000000"/>
                <w:sz w:val="20"/>
                <w:szCs w:val="20"/>
              </w:rPr>
            </w:pPr>
          </w:p>
        </w:tc>
        <w:tc>
          <w:tcPr>
            <w:tcW w:w="1252" w:type="dxa"/>
            <w:noWrap/>
            <w:vAlign w:val="center"/>
          </w:tcPr>
          <w:p w14:paraId="54256082">
            <w:pPr>
              <w:jc w:val="center"/>
              <w:rPr>
                <w:color w:val="000000"/>
                <w:sz w:val="20"/>
                <w:szCs w:val="20"/>
              </w:rPr>
            </w:pPr>
            <w:r>
              <w:rPr>
                <w:color w:val="000000"/>
                <w:sz w:val="20"/>
                <w:szCs w:val="20"/>
              </w:rPr>
              <w:t>18.600.000</w:t>
            </w:r>
          </w:p>
        </w:tc>
        <w:tc>
          <w:tcPr>
            <w:tcW w:w="1848" w:type="dxa"/>
            <w:noWrap/>
            <w:vAlign w:val="center"/>
          </w:tcPr>
          <w:p w14:paraId="38F433DE">
            <w:pPr>
              <w:jc w:val="center"/>
              <w:rPr>
                <w:color w:val="000000"/>
                <w:sz w:val="20"/>
                <w:szCs w:val="20"/>
              </w:rPr>
            </w:pPr>
            <w:r>
              <w:rPr>
                <w:color w:val="000000"/>
                <w:sz w:val="20"/>
                <w:szCs w:val="20"/>
              </w:rPr>
              <w:t>1.618.200.000</w:t>
            </w:r>
          </w:p>
        </w:tc>
      </w:tr>
      <w:tr w14:paraId="4CFB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10825F8">
            <w:pPr>
              <w:jc w:val="center"/>
              <w:rPr>
                <w:b/>
                <w:bCs/>
                <w:color w:val="000000"/>
                <w:sz w:val="20"/>
                <w:szCs w:val="20"/>
              </w:rPr>
            </w:pPr>
            <w:r>
              <w:rPr>
                <w:b/>
                <w:bCs/>
                <w:color w:val="000000"/>
                <w:sz w:val="20"/>
                <w:szCs w:val="20"/>
              </w:rPr>
              <w:t>LK52</w:t>
            </w:r>
          </w:p>
        </w:tc>
        <w:tc>
          <w:tcPr>
            <w:tcW w:w="1802" w:type="dxa"/>
            <w:vAlign w:val="center"/>
          </w:tcPr>
          <w:p w14:paraId="10A589B1">
            <w:pPr>
              <w:jc w:val="center"/>
              <w:rPr>
                <w:color w:val="000000"/>
                <w:sz w:val="20"/>
                <w:szCs w:val="20"/>
              </w:rPr>
            </w:pPr>
            <w:r>
              <w:rPr>
                <w:color w:val="000000"/>
                <w:sz w:val="20"/>
                <w:szCs w:val="20"/>
              </w:rPr>
              <w:t>LK52:02</w:t>
            </w:r>
          </w:p>
        </w:tc>
        <w:tc>
          <w:tcPr>
            <w:tcW w:w="1033" w:type="dxa"/>
            <w:noWrap/>
            <w:vAlign w:val="center"/>
          </w:tcPr>
          <w:p w14:paraId="39A002AC">
            <w:pPr>
              <w:jc w:val="center"/>
              <w:rPr>
                <w:color w:val="000000"/>
                <w:sz w:val="20"/>
                <w:szCs w:val="20"/>
              </w:rPr>
            </w:pPr>
            <w:r>
              <w:rPr>
                <w:color w:val="000000"/>
                <w:sz w:val="20"/>
                <w:szCs w:val="20"/>
              </w:rPr>
              <w:t>89,68</w:t>
            </w:r>
          </w:p>
        </w:tc>
        <w:tc>
          <w:tcPr>
            <w:tcW w:w="846" w:type="dxa"/>
            <w:noWrap/>
            <w:vAlign w:val="center"/>
          </w:tcPr>
          <w:p w14:paraId="4A93633D">
            <w:pPr>
              <w:jc w:val="center"/>
              <w:rPr>
                <w:color w:val="000000"/>
                <w:sz w:val="20"/>
                <w:szCs w:val="20"/>
              </w:rPr>
            </w:pPr>
            <w:r>
              <w:rPr>
                <w:color w:val="000000"/>
                <w:sz w:val="20"/>
                <w:szCs w:val="20"/>
              </w:rPr>
              <w:t>1</w:t>
            </w:r>
          </w:p>
        </w:tc>
        <w:tc>
          <w:tcPr>
            <w:tcW w:w="2578" w:type="dxa"/>
            <w:noWrap/>
            <w:vAlign w:val="center"/>
          </w:tcPr>
          <w:p w14:paraId="13530470">
            <w:pPr>
              <w:jc w:val="center"/>
              <w:rPr>
                <w:color w:val="000000"/>
                <w:sz w:val="20"/>
                <w:szCs w:val="20"/>
              </w:rPr>
            </w:pPr>
            <w:r>
              <w:rPr>
                <w:color w:val="000000"/>
                <w:sz w:val="20"/>
                <w:szCs w:val="20"/>
              </w:rPr>
              <w:t>Mặt cắt 5-5</w:t>
            </w:r>
          </w:p>
        </w:tc>
        <w:tc>
          <w:tcPr>
            <w:tcW w:w="2393" w:type="dxa"/>
            <w:noWrap/>
            <w:vAlign w:val="center"/>
          </w:tcPr>
          <w:p w14:paraId="72DDF807">
            <w:pPr>
              <w:jc w:val="center"/>
              <w:rPr>
                <w:color w:val="000000"/>
                <w:sz w:val="20"/>
                <w:szCs w:val="20"/>
              </w:rPr>
            </w:pPr>
            <w:r>
              <w:rPr>
                <w:color w:val="000000"/>
                <w:sz w:val="20"/>
                <w:szCs w:val="20"/>
              </w:rPr>
              <w:t>Một mặt tiền</w:t>
            </w:r>
          </w:p>
        </w:tc>
        <w:tc>
          <w:tcPr>
            <w:tcW w:w="1198" w:type="dxa"/>
            <w:noWrap/>
            <w:vAlign w:val="center"/>
          </w:tcPr>
          <w:p w14:paraId="48811F5A">
            <w:pPr>
              <w:jc w:val="center"/>
              <w:rPr>
                <w:color w:val="000000"/>
                <w:sz w:val="20"/>
                <w:szCs w:val="20"/>
              </w:rPr>
            </w:pPr>
            <w:r>
              <w:rPr>
                <w:color w:val="000000"/>
                <w:sz w:val="20"/>
                <w:szCs w:val="20"/>
              </w:rPr>
              <w:t>18.600.000</w:t>
            </w:r>
          </w:p>
        </w:tc>
        <w:tc>
          <w:tcPr>
            <w:tcW w:w="1236" w:type="dxa"/>
            <w:noWrap/>
            <w:vAlign w:val="center"/>
          </w:tcPr>
          <w:p w14:paraId="1C9C8E73">
            <w:pPr>
              <w:jc w:val="center"/>
              <w:rPr>
                <w:color w:val="000000"/>
                <w:sz w:val="20"/>
                <w:szCs w:val="20"/>
              </w:rPr>
            </w:pPr>
          </w:p>
        </w:tc>
        <w:tc>
          <w:tcPr>
            <w:tcW w:w="1252" w:type="dxa"/>
            <w:noWrap/>
            <w:vAlign w:val="center"/>
          </w:tcPr>
          <w:p w14:paraId="3D118195">
            <w:pPr>
              <w:jc w:val="center"/>
              <w:rPr>
                <w:color w:val="000000"/>
                <w:sz w:val="20"/>
                <w:szCs w:val="20"/>
              </w:rPr>
            </w:pPr>
            <w:r>
              <w:rPr>
                <w:color w:val="000000"/>
                <w:sz w:val="20"/>
                <w:szCs w:val="20"/>
              </w:rPr>
              <w:t>18.600.000</w:t>
            </w:r>
          </w:p>
        </w:tc>
        <w:tc>
          <w:tcPr>
            <w:tcW w:w="1848" w:type="dxa"/>
            <w:noWrap/>
            <w:vAlign w:val="center"/>
          </w:tcPr>
          <w:p w14:paraId="63A5069F">
            <w:pPr>
              <w:jc w:val="center"/>
              <w:rPr>
                <w:color w:val="000000"/>
                <w:sz w:val="20"/>
                <w:szCs w:val="20"/>
              </w:rPr>
            </w:pPr>
            <w:r>
              <w:rPr>
                <w:color w:val="000000"/>
                <w:sz w:val="20"/>
                <w:szCs w:val="20"/>
              </w:rPr>
              <w:t>1.668.048.000</w:t>
            </w:r>
          </w:p>
        </w:tc>
      </w:tr>
      <w:tr w14:paraId="1311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69743EE">
            <w:pPr>
              <w:jc w:val="center"/>
              <w:rPr>
                <w:b/>
                <w:bCs/>
                <w:color w:val="000000"/>
                <w:sz w:val="20"/>
                <w:szCs w:val="20"/>
              </w:rPr>
            </w:pPr>
            <w:r>
              <w:rPr>
                <w:b/>
                <w:bCs/>
                <w:color w:val="000000"/>
                <w:sz w:val="20"/>
                <w:szCs w:val="20"/>
              </w:rPr>
              <w:t>LK52</w:t>
            </w:r>
          </w:p>
        </w:tc>
        <w:tc>
          <w:tcPr>
            <w:tcW w:w="1802" w:type="dxa"/>
            <w:vAlign w:val="center"/>
          </w:tcPr>
          <w:p w14:paraId="241606AF">
            <w:pPr>
              <w:jc w:val="center"/>
              <w:rPr>
                <w:color w:val="000000"/>
                <w:sz w:val="20"/>
                <w:szCs w:val="20"/>
              </w:rPr>
            </w:pPr>
            <w:r>
              <w:rPr>
                <w:color w:val="000000"/>
                <w:sz w:val="20"/>
                <w:szCs w:val="20"/>
              </w:rPr>
              <w:t>LK52:03</w:t>
            </w:r>
          </w:p>
        </w:tc>
        <w:tc>
          <w:tcPr>
            <w:tcW w:w="1033" w:type="dxa"/>
            <w:noWrap/>
            <w:vAlign w:val="center"/>
          </w:tcPr>
          <w:p w14:paraId="7C0B3FE9">
            <w:pPr>
              <w:jc w:val="center"/>
              <w:rPr>
                <w:color w:val="000000"/>
                <w:sz w:val="20"/>
                <w:szCs w:val="20"/>
              </w:rPr>
            </w:pPr>
            <w:r>
              <w:rPr>
                <w:color w:val="000000"/>
                <w:sz w:val="20"/>
                <w:szCs w:val="20"/>
              </w:rPr>
              <w:t>88,36</w:t>
            </w:r>
          </w:p>
        </w:tc>
        <w:tc>
          <w:tcPr>
            <w:tcW w:w="846" w:type="dxa"/>
            <w:noWrap/>
            <w:vAlign w:val="center"/>
          </w:tcPr>
          <w:p w14:paraId="569FD3C4">
            <w:pPr>
              <w:jc w:val="center"/>
              <w:rPr>
                <w:color w:val="000000"/>
                <w:sz w:val="20"/>
                <w:szCs w:val="20"/>
              </w:rPr>
            </w:pPr>
            <w:r>
              <w:rPr>
                <w:color w:val="000000"/>
                <w:sz w:val="20"/>
                <w:szCs w:val="20"/>
              </w:rPr>
              <w:t>1</w:t>
            </w:r>
          </w:p>
        </w:tc>
        <w:tc>
          <w:tcPr>
            <w:tcW w:w="2578" w:type="dxa"/>
            <w:noWrap/>
            <w:vAlign w:val="center"/>
          </w:tcPr>
          <w:p w14:paraId="4C8BE570">
            <w:pPr>
              <w:jc w:val="center"/>
              <w:rPr>
                <w:color w:val="000000"/>
                <w:sz w:val="20"/>
                <w:szCs w:val="20"/>
              </w:rPr>
            </w:pPr>
            <w:r>
              <w:rPr>
                <w:color w:val="000000"/>
                <w:sz w:val="20"/>
                <w:szCs w:val="20"/>
              </w:rPr>
              <w:t>Mặt cắt 5-5</w:t>
            </w:r>
          </w:p>
        </w:tc>
        <w:tc>
          <w:tcPr>
            <w:tcW w:w="2393" w:type="dxa"/>
            <w:noWrap/>
            <w:vAlign w:val="center"/>
          </w:tcPr>
          <w:p w14:paraId="2DEDCE5C">
            <w:pPr>
              <w:jc w:val="center"/>
              <w:rPr>
                <w:color w:val="000000"/>
                <w:sz w:val="20"/>
                <w:szCs w:val="20"/>
              </w:rPr>
            </w:pPr>
            <w:r>
              <w:rPr>
                <w:color w:val="000000"/>
                <w:sz w:val="20"/>
                <w:szCs w:val="20"/>
              </w:rPr>
              <w:t>Một mặt tiền</w:t>
            </w:r>
          </w:p>
        </w:tc>
        <w:tc>
          <w:tcPr>
            <w:tcW w:w="1198" w:type="dxa"/>
            <w:noWrap/>
            <w:vAlign w:val="center"/>
          </w:tcPr>
          <w:p w14:paraId="17125CA4">
            <w:pPr>
              <w:jc w:val="center"/>
              <w:rPr>
                <w:color w:val="000000"/>
                <w:sz w:val="20"/>
                <w:szCs w:val="20"/>
              </w:rPr>
            </w:pPr>
            <w:r>
              <w:rPr>
                <w:color w:val="000000"/>
                <w:sz w:val="20"/>
                <w:szCs w:val="20"/>
              </w:rPr>
              <w:t>18.600.000</w:t>
            </w:r>
          </w:p>
        </w:tc>
        <w:tc>
          <w:tcPr>
            <w:tcW w:w="1236" w:type="dxa"/>
            <w:noWrap/>
            <w:vAlign w:val="center"/>
          </w:tcPr>
          <w:p w14:paraId="3678C26A">
            <w:pPr>
              <w:jc w:val="center"/>
              <w:rPr>
                <w:color w:val="000000"/>
                <w:sz w:val="20"/>
                <w:szCs w:val="20"/>
              </w:rPr>
            </w:pPr>
          </w:p>
        </w:tc>
        <w:tc>
          <w:tcPr>
            <w:tcW w:w="1252" w:type="dxa"/>
            <w:noWrap/>
            <w:vAlign w:val="center"/>
          </w:tcPr>
          <w:p w14:paraId="51C7373F">
            <w:pPr>
              <w:jc w:val="center"/>
              <w:rPr>
                <w:color w:val="000000"/>
                <w:sz w:val="20"/>
                <w:szCs w:val="20"/>
              </w:rPr>
            </w:pPr>
            <w:r>
              <w:rPr>
                <w:color w:val="000000"/>
                <w:sz w:val="20"/>
                <w:szCs w:val="20"/>
              </w:rPr>
              <w:t>18.600.000</w:t>
            </w:r>
          </w:p>
        </w:tc>
        <w:tc>
          <w:tcPr>
            <w:tcW w:w="1848" w:type="dxa"/>
            <w:noWrap/>
            <w:vAlign w:val="center"/>
          </w:tcPr>
          <w:p w14:paraId="629F4473">
            <w:pPr>
              <w:jc w:val="center"/>
              <w:rPr>
                <w:color w:val="000000"/>
                <w:sz w:val="20"/>
                <w:szCs w:val="20"/>
              </w:rPr>
            </w:pPr>
            <w:r>
              <w:rPr>
                <w:color w:val="000000"/>
                <w:sz w:val="20"/>
                <w:szCs w:val="20"/>
              </w:rPr>
              <w:t>1.643.496.000</w:t>
            </w:r>
          </w:p>
        </w:tc>
      </w:tr>
      <w:tr w14:paraId="5B4C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7595C6">
            <w:pPr>
              <w:jc w:val="center"/>
              <w:rPr>
                <w:b/>
                <w:bCs/>
                <w:color w:val="000000"/>
                <w:sz w:val="20"/>
                <w:szCs w:val="20"/>
              </w:rPr>
            </w:pPr>
            <w:r>
              <w:rPr>
                <w:b/>
                <w:bCs/>
                <w:color w:val="000000"/>
                <w:sz w:val="20"/>
                <w:szCs w:val="20"/>
              </w:rPr>
              <w:t>LK52</w:t>
            </w:r>
          </w:p>
        </w:tc>
        <w:tc>
          <w:tcPr>
            <w:tcW w:w="1802" w:type="dxa"/>
            <w:vAlign w:val="center"/>
          </w:tcPr>
          <w:p w14:paraId="29FF94CA">
            <w:pPr>
              <w:jc w:val="center"/>
              <w:rPr>
                <w:color w:val="000000"/>
                <w:sz w:val="20"/>
                <w:szCs w:val="20"/>
              </w:rPr>
            </w:pPr>
            <w:r>
              <w:rPr>
                <w:color w:val="000000"/>
                <w:sz w:val="20"/>
                <w:szCs w:val="20"/>
              </w:rPr>
              <w:t>LK52:04</w:t>
            </w:r>
          </w:p>
        </w:tc>
        <w:tc>
          <w:tcPr>
            <w:tcW w:w="1033" w:type="dxa"/>
            <w:noWrap/>
            <w:vAlign w:val="center"/>
          </w:tcPr>
          <w:p w14:paraId="4CFBC447">
            <w:pPr>
              <w:jc w:val="center"/>
              <w:rPr>
                <w:color w:val="000000"/>
                <w:sz w:val="20"/>
                <w:szCs w:val="20"/>
              </w:rPr>
            </w:pPr>
            <w:r>
              <w:rPr>
                <w:color w:val="000000"/>
                <w:sz w:val="20"/>
                <w:szCs w:val="20"/>
              </w:rPr>
              <w:t>90,32</w:t>
            </w:r>
          </w:p>
        </w:tc>
        <w:tc>
          <w:tcPr>
            <w:tcW w:w="846" w:type="dxa"/>
            <w:noWrap/>
            <w:vAlign w:val="center"/>
          </w:tcPr>
          <w:p w14:paraId="71A5A8CA">
            <w:pPr>
              <w:jc w:val="center"/>
              <w:rPr>
                <w:color w:val="000000"/>
                <w:sz w:val="20"/>
                <w:szCs w:val="20"/>
              </w:rPr>
            </w:pPr>
            <w:r>
              <w:rPr>
                <w:color w:val="000000"/>
                <w:sz w:val="20"/>
                <w:szCs w:val="20"/>
              </w:rPr>
              <w:t>1</w:t>
            </w:r>
          </w:p>
        </w:tc>
        <w:tc>
          <w:tcPr>
            <w:tcW w:w="2578" w:type="dxa"/>
            <w:noWrap/>
            <w:vAlign w:val="center"/>
          </w:tcPr>
          <w:p w14:paraId="7B4934C8">
            <w:pPr>
              <w:jc w:val="center"/>
              <w:rPr>
                <w:color w:val="000000"/>
                <w:sz w:val="20"/>
                <w:szCs w:val="20"/>
              </w:rPr>
            </w:pPr>
            <w:r>
              <w:rPr>
                <w:color w:val="000000"/>
                <w:sz w:val="20"/>
                <w:szCs w:val="20"/>
              </w:rPr>
              <w:t>Mặt cắt 5-5</w:t>
            </w:r>
          </w:p>
        </w:tc>
        <w:tc>
          <w:tcPr>
            <w:tcW w:w="2393" w:type="dxa"/>
            <w:noWrap/>
            <w:vAlign w:val="center"/>
          </w:tcPr>
          <w:p w14:paraId="427ACFF9">
            <w:pPr>
              <w:jc w:val="center"/>
              <w:rPr>
                <w:color w:val="000000"/>
                <w:sz w:val="20"/>
                <w:szCs w:val="20"/>
              </w:rPr>
            </w:pPr>
            <w:r>
              <w:rPr>
                <w:color w:val="000000"/>
                <w:sz w:val="20"/>
                <w:szCs w:val="20"/>
              </w:rPr>
              <w:t>Một mặt tiền</w:t>
            </w:r>
          </w:p>
        </w:tc>
        <w:tc>
          <w:tcPr>
            <w:tcW w:w="1198" w:type="dxa"/>
            <w:noWrap/>
            <w:vAlign w:val="center"/>
          </w:tcPr>
          <w:p w14:paraId="7C894BE9">
            <w:pPr>
              <w:jc w:val="center"/>
              <w:rPr>
                <w:color w:val="000000"/>
                <w:sz w:val="20"/>
                <w:szCs w:val="20"/>
              </w:rPr>
            </w:pPr>
            <w:r>
              <w:rPr>
                <w:color w:val="000000"/>
                <w:sz w:val="20"/>
                <w:szCs w:val="20"/>
              </w:rPr>
              <w:t>18.600.000</w:t>
            </w:r>
          </w:p>
        </w:tc>
        <w:tc>
          <w:tcPr>
            <w:tcW w:w="1236" w:type="dxa"/>
            <w:noWrap/>
            <w:vAlign w:val="center"/>
          </w:tcPr>
          <w:p w14:paraId="3A321C49">
            <w:pPr>
              <w:jc w:val="center"/>
              <w:rPr>
                <w:color w:val="000000"/>
                <w:sz w:val="20"/>
                <w:szCs w:val="20"/>
              </w:rPr>
            </w:pPr>
          </w:p>
        </w:tc>
        <w:tc>
          <w:tcPr>
            <w:tcW w:w="1252" w:type="dxa"/>
            <w:noWrap/>
            <w:vAlign w:val="center"/>
          </w:tcPr>
          <w:p w14:paraId="2F73F310">
            <w:pPr>
              <w:jc w:val="center"/>
              <w:rPr>
                <w:color w:val="000000"/>
                <w:sz w:val="20"/>
                <w:szCs w:val="20"/>
              </w:rPr>
            </w:pPr>
            <w:r>
              <w:rPr>
                <w:color w:val="000000"/>
                <w:sz w:val="20"/>
                <w:szCs w:val="20"/>
              </w:rPr>
              <w:t>18.600.000</w:t>
            </w:r>
          </w:p>
        </w:tc>
        <w:tc>
          <w:tcPr>
            <w:tcW w:w="1848" w:type="dxa"/>
            <w:noWrap/>
            <w:vAlign w:val="center"/>
          </w:tcPr>
          <w:p w14:paraId="0E407ECA">
            <w:pPr>
              <w:jc w:val="center"/>
              <w:rPr>
                <w:color w:val="000000"/>
                <w:sz w:val="20"/>
                <w:szCs w:val="20"/>
              </w:rPr>
            </w:pPr>
            <w:r>
              <w:rPr>
                <w:color w:val="000000"/>
                <w:sz w:val="20"/>
                <w:szCs w:val="20"/>
              </w:rPr>
              <w:t>1.679.952.000</w:t>
            </w:r>
          </w:p>
        </w:tc>
      </w:tr>
      <w:tr w14:paraId="1489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89F227A">
            <w:pPr>
              <w:jc w:val="center"/>
              <w:rPr>
                <w:b/>
                <w:bCs/>
                <w:color w:val="000000"/>
                <w:sz w:val="20"/>
                <w:szCs w:val="20"/>
              </w:rPr>
            </w:pPr>
            <w:r>
              <w:rPr>
                <w:b/>
                <w:bCs/>
                <w:color w:val="000000"/>
                <w:sz w:val="20"/>
                <w:szCs w:val="20"/>
              </w:rPr>
              <w:t>LK52</w:t>
            </w:r>
          </w:p>
        </w:tc>
        <w:tc>
          <w:tcPr>
            <w:tcW w:w="1802" w:type="dxa"/>
            <w:vAlign w:val="center"/>
          </w:tcPr>
          <w:p w14:paraId="7BFA6F91">
            <w:pPr>
              <w:jc w:val="center"/>
              <w:rPr>
                <w:color w:val="000000"/>
                <w:sz w:val="20"/>
                <w:szCs w:val="20"/>
              </w:rPr>
            </w:pPr>
            <w:r>
              <w:rPr>
                <w:color w:val="000000"/>
                <w:sz w:val="20"/>
                <w:szCs w:val="20"/>
              </w:rPr>
              <w:t>LK52:05</w:t>
            </w:r>
          </w:p>
        </w:tc>
        <w:tc>
          <w:tcPr>
            <w:tcW w:w="1033" w:type="dxa"/>
            <w:noWrap/>
            <w:vAlign w:val="center"/>
          </w:tcPr>
          <w:p w14:paraId="5197184B">
            <w:pPr>
              <w:jc w:val="center"/>
              <w:rPr>
                <w:color w:val="000000"/>
                <w:sz w:val="20"/>
                <w:szCs w:val="20"/>
              </w:rPr>
            </w:pPr>
            <w:r>
              <w:rPr>
                <w:color w:val="000000"/>
                <w:sz w:val="20"/>
                <w:szCs w:val="20"/>
              </w:rPr>
              <w:t>92,72</w:t>
            </w:r>
          </w:p>
        </w:tc>
        <w:tc>
          <w:tcPr>
            <w:tcW w:w="846" w:type="dxa"/>
            <w:noWrap/>
            <w:vAlign w:val="center"/>
          </w:tcPr>
          <w:p w14:paraId="2C8BD096">
            <w:pPr>
              <w:jc w:val="center"/>
              <w:rPr>
                <w:color w:val="000000"/>
                <w:sz w:val="20"/>
                <w:szCs w:val="20"/>
              </w:rPr>
            </w:pPr>
            <w:r>
              <w:rPr>
                <w:color w:val="000000"/>
                <w:sz w:val="20"/>
                <w:szCs w:val="20"/>
              </w:rPr>
              <w:t>1</w:t>
            </w:r>
          </w:p>
        </w:tc>
        <w:tc>
          <w:tcPr>
            <w:tcW w:w="2578" w:type="dxa"/>
            <w:noWrap/>
            <w:vAlign w:val="center"/>
          </w:tcPr>
          <w:p w14:paraId="0ACDCE15">
            <w:pPr>
              <w:jc w:val="center"/>
              <w:rPr>
                <w:color w:val="000000"/>
                <w:sz w:val="20"/>
                <w:szCs w:val="20"/>
              </w:rPr>
            </w:pPr>
            <w:r>
              <w:rPr>
                <w:color w:val="000000"/>
                <w:sz w:val="20"/>
                <w:szCs w:val="20"/>
              </w:rPr>
              <w:t>Mặt cắt 5-5</w:t>
            </w:r>
          </w:p>
        </w:tc>
        <w:tc>
          <w:tcPr>
            <w:tcW w:w="2393" w:type="dxa"/>
            <w:noWrap/>
            <w:vAlign w:val="center"/>
          </w:tcPr>
          <w:p w14:paraId="1467A8F7">
            <w:pPr>
              <w:jc w:val="center"/>
              <w:rPr>
                <w:color w:val="000000"/>
                <w:sz w:val="20"/>
                <w:szCs w:val="20"/>
              </w:rPr>
            </w:pPr>
            <w:r>
              <w:rPr>
                <w:color w:val="000000"/>
                <w:sz w:val="20"/>
                <w:szCs w:val="20"/>
              </w:rPr>
              <w:t>Một mặt tiền</w:t>
            </w:r>
          </w:p>
        </w:tc>
        <w:tc>
          <w:tcPr>
            <w:tcW w:w="1198" w:type="dxa"/>
            <w:noWrap/>
            <w:vAlign w:val="center"/>
          </w:tcPr>
          <w:p w14:paraId="67C9BB15">
            <w:pPr>
              <w:jc w:val="center"/>
              <w:rPr>
                <w:color w:val="000000"/>
                <w:sz w:val="20"/>
                <w:szCs w:val="20"/>
              </w:rPr>
            </w:pPr>
            <w:r>
              <w:rPr>
                <w:color w:val="000000"/>
                <w:sz w:val="20"/>
                <w:szCs w:val="20"/>
              </w:rPr>
              <w:t>18.600.000</w:t>
            </w:r>
          </w:p>
        </w:tc>
        <w:tc>
          <w:tcPr>
            <w:tcW w:w="1236" w:type="dxa"/>
            <w:noWrap/>
            <w:vAlign w:val="center"/>
          </w:tcPr>
          <w:p w14:paraId="411B0D0A">
            <w:pPr>
              <w:jc w:val="center"/>
              <w:rPr>
                <w:color w:val="000000"/>
                <w:sz w:val="20"/>
                <w:szCs w:val="20"/>
              </w:rPr>
            </w:pPr>
          </w:p>
        </w:tc>
        <w:tc>
          <w:tcPr>
            <w:tcW w:w="1252" w:type="dxa"/>
            <w:noWrap/>
            <w:vAlign w:val="center"/>
          </w:tcPr>
          <w:p w14:paraId="45D00E80">
            <w:pPr>
              <w:jc w:val="center"/>
              <w:rPr>
                <w:color w:val="000000"/>
                <w:sz w:val="20"/>
                <w:szCs w:val="20"/>
              </w:rPr>
            </w:pPr>
            <w:r>
              <w:rPr>
                <w:color w:val="000000"/>
                <w:sz w:val="20"/>
                <w:szCs w:val="20"/>
              </w:rPr>
              <w:t>18.600.000</w:t>
            </w:r>
          </w:p>
        </w:tc>
        <w:tc>
          <w:tcPr>
            <w:tcW w:w="1848" w:type="dxa"/>
            <w:noWrap/>
            <w:vAlign w:val="center"/>
          </w:tcPr>
          <w:p w14:paraId="59C9247B">
            <w:pPr>
              <w:jc w:val="center"/>
              <w:rPr>
                <w:color w:val="000000"/>
                <w:sz w:val="20"/>
                <w:szCs w:val="20"/>
              </w:rPr>
            </w:pPr>
            <w:r>
              <w:rPr>
                <w:color w:val="000000"/>
                <w:sz w:val="20"/>
                <w:szCs w:val="20"/>
              </w:rPr>
              <w:t>1.724.592.000</w:t>
            </w:r>
          </w:p>
        </w:tc>
      </w:tr>
      <w:tr w14:paraId="1AAB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89A8537">
            <w:pPr>
              <w:jc w:val="center"/>
              <w:rPr>
                <w:b/>
                <w:bCs/>
                <w:color w:val="000000"/>
                <w:sz w:val="20"/>
                <w:szCs w:val="20"/>
              </w:rPr>
            </w:pPr>
            <w:r>
              <w:rPr>
                <w:b/>
                <w:bCs/>
                <w:color w:val="000000"/>
                <w:sz w:val="20"/>
                <w:szCs w:val="20"/>
              </w:rPr>
              <w:t>LK52</w:t>
            </w:r>
          </w:p>
        </w:tc>
        <w:tc>
          <w:tcPr>
            <w:tcW w:w="1802" w:type="dxa"/>
            <w:vAlign w:val="center"/>
          </w:tcPr>
          <w:p w14:paraId="5AF57BED">
            <w:pPr>
              <w:jc w:val="center"/>
              <w:rPr>
                <w:color w:val="000000"/>
                <w:sz w:val="20"/>
                <w:szCs w:val="20"/>
              </w:rPr>
            </w:pPr>
            <w:r>
              <w:rPr>
                <w:color w:val="000000"/>
                <w:sz w:val="20"/>
                <w:szCs w:val="20"/>
              </w:rPr>
              <w:t>LK52:06</w:t>
            </w:r>
          </w:p>
        </w:tc>
        <w:tc>
          <w:tcPr>
            <w:tcW w:w="1033" w:type="dxa"/>
            <w:noWrap/>
            <w:vAlign w:val="center"/>
          </w:tcPr>
          <w:p w14:paraId="16A01123">
            <w:pPr>
              <w:jc w:val="center"/>
              <w:rPr>
                <w:color w:val="000000"/>
                <w:sz w:val="20"/>
                <w:szCs w:val="20"/>
              </w:rPr>
            </w:pPr>
            <w:r>
              <w:rPr>
                <w:color w:val="000000"/>
                <w:sz w:val="20"/>
                <w:szCs w:val="20"/>
              </w:rPr>
              <w:t>92,72</w:t>
            </w:r>
          </w:p>
        </w:tc>
        <w:tc>
          <w:tcPr>
            <w:tcW w:w="846" w:type="dxa"/>
            <w:noWrap/>
            <w:vAlign w:val="center"/>
          </w:tcPr>
          <w:p w14:paraId="15BE1D9F">
            <w:pPr>
              <w:jc w:val="center"/>
              <w:rPr>
                <w:color w:val="000000"/>
                <w:sz w:val="20"/>
                <w:szCs w:val="20"/>
              </w:rPr>
            </w:pPr>
            <w:r>
              <w:rPr>
                <w:color w:val="000000"/>
                <w:sz w:val="20"/>
                <w:szCs w:val="20"/>
              </w:rPr>
              <w:t>1</w:t>
            </w:r>
          </w:p>
        </w:tc>
        <w:tc>
          <w:tcPr>
            <w:tcW w:w="2578" w:type="dxa"/>
            <w:noWrap/>
            <w:vAlign w:val="center"/>
          </w:tcPr>
          <w:p w14:paraId="39830F30">
            <w:pPr>
              <w:jc w:val="center"/>
              <w:rPr>
                <w:color w:val="000000"/>
                <w:sz w:val="20"/>
                <w:szCs w:val="20"/>
              </w:rPr>
            </w:pPr>
            <w:r>
              <w:rPr>
                <w:color w:val="000000"/>
                <w:sz w:val="20"/>
                <w:szCs w:val="20"/>
              </w:rPr>
              <w:t>Mặt cắt 5-5</w:t>
            </w:r>
          </w:p>
        </w:tc>
        <w:tc>
          <w:tcPr>
            <w:tcW w:w="2393" w:type="dxa"/>
            <w:noWrap/>
            <w:vAlign w:val="center"/>
          </w:tcPr>
          <w:p w14:paraId="73EA87A4">
            <w:pPr>
              <w:jc w:val="center"/>
              <w:rPr>
                <w:color w:val="000000"/>
                <w:sz w:val="20"/>
                <w:szCs w:val="20"/>
              </w:rPr>
            </w:pPr>
            <w:r>
              <w:rPr>
                <w:color w:val="000000"/>
                <w:sz w:val="20"/>
                <w:szCs w:val="20"/>
              </w:rPr>
              <w:t>Một mặt tiền</w:t>
            </w:r>
          </w:p>
        </w:tc>
        <w:tc>
          <w:tcPr>
            <w:tcW w:w="1198" w:type="dxa"/>
            <w:noWrap/>
            <w:vAlign w:val="center"/>
          </w:tcPr>
          <w:p w14:paraId="07628B4E">
            <w:pPr>
              <w:jc w:val="center"/>
              <w:rPr>
                <w:color w:val="000000"/>
                <w:sz w:val="20"/>
                <w:szCs w:val="20"/>
              </w:rPr>
            </w:pPr>
            <w:r>
              <w:rPr>
                <w:color w:val="000000"/>
                <w:sz w:val="20"/>
                <w:szCs w:val="20"/>
              </w:rPr>
              <w:t>18.600.000</w:t>
            </w:r>
          </w:p>
        </w:tc>
        <w:tc>
          <w:tcPr>
            <w:tcW w:w="1236" w:type="dxa"/>
            <w:noWrap/>
            <w:vAlign w:val="center"/>
          </w:tcPr>
          <w:p w14:paraId="6A86D207">
            <w:pPr>
              <w:jc w:val="center"/>
              <w:rPr>
                <w:color w:val="000000"/>
                <w:sz w:val="20"/>
                <w:szCs w:val="20"/>
              </w:rPr>
            </w:pPr>
          </w:p>
        </w:tc>
        <w:tc>
          <w:tcPr>
            <w:tcW w:w="1252" w:type="dxa"/>
            <w:noWrap/>
            <w:vAlign w:val="center"/>
          </w:tcPr>
          <w:p w14:paraId="51343434">
            <w:pPr>
              <w:jc w:val="center"/>
              <w:rPr>
                <w:color w:val="000000"/>
                <w:sz w:val="20"/>
                <w:szCs w:val="20"/>
              </w:rPr>
            </w:pPr>
            <w:r>
              <w:rPr>
                <w:color w:val="000000"/>
                <w:sz w:val="20"/>
                <w:szCs w:val="20"/>
              </w:rPr>
              <w:t>18.600.000</w:t>
            </w:r>
          </w:p>
        </w:tc>
        <w:tc>
          <w:tcPr>
            <w:tcW w:w="1848" w:type="dxa"/>
            <w:noWrap/>
            <w:vAlign w:val="center"/>
          </w:tcPr>
          <w:p w14:paraId="5AC38AAD">
            <w:pPr>
              <w:jc w:val="center"/>
              <w:rPr>
                <w:color w:val="000000"/>
                <w:sz w:val="20"/>
                <w:szCs w:val="20"/>
              </w:rPr>
            </w:pPr>
            <w:r>
              <w:rPr>
                <w:color w:val="000000"/>
                <w:sz w:val="20"/>
                <w:szCs w:val="20"/>
              </w:rPr>
              <w:t>1.724.592.000</w:t>
            </w:r>
          </w:p>
        </w:tc>
      </w:tr>
      <w:tr w14:paraId="0394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2F8B7DB">
            <w:pPr>
              <w:jc w:val="center"/>
              <w:rPr>
                <w:b/>
                <w:bCs/>
                <w:color w:val="000000"/>
                <w:sz w:val="20"/>
                <w:szCs w:val="20"/>
              </w:rPr>
            </w:pPr>
            <w:r>
              <w:rPr>
                <w:b/>
                <w:bCs/>
                <w:color w:val="000000"/>
                <w:sz w:val="20"/>
                <w:szCs w:val="20"/>
              </w:rPr>
              <w:t>LK52</w:t>
            </w:r>
          </w:p>
        </w:tc>
        <w:tc>
          <w:tcPr>
            <w:tcW w:w="1802" w:type="dxa"/>
            <w:vAlign w:val="center"/>
          </w:tcPr>
          <w:p w14:paraId="2AB22487">
            <w:pPr>
              <w:jc w:val="center"/>
              <w:rPr>
                <w:color w:val="000000"/>
                <w:sz w:val="20"/>
                <w:szCs w:val="20"/>
              </w:rPr>
            </w:pPr>
            <w:r>
              <w:rPr>
                <w:color w:val="000000"/>
                <w:sz w:val="20"/>
                <w:szCs w:val="20"/>
              </w:rPr>
              <w:t>LK52:07</w:t>
            </w:r>
          </w:p>
        </w:tc>
        <w:tc>
          <w:tcPr>
            <w:tcW w:w="1033" w:type="dxa"/>
            <w:noWrap/>
            <w:vAlign w:val="center"/>
          </w:tcPr>
          <w:p w14:paraId="0F300BF7">
            <w:pPr>
              <w:jc w:val="center"/>
              <w:rPr>
                <w:color w:val="000000"/>
                <w:sz w:val="20"/>
                <w:szCs w:val="20"/>
              </w:rPr>
            </w:pPr>
            <w:r>
              <w:rPr>
                <w:color w:val="000000"/>
                <w:sz w:val="20"/>
                <w:szCs w:val="20"/>
              </w:rPr>
              <w:t>92,72</w:t>
            </w:r>
          </w:p>
        </w:tc>
        <w:tc>
          <w:tcPr>
            <w:tcW w:w="846" w:type="dxa"/>
            <w:noWrap/>
            <w:vAlign w:val="center"/>
          </w:tcPr>
          <w:p w14:paraId="4147A9B2">
            <w:pPr>
              <w:jc w:val="center"/>
              <w:rPr>
                <w:color w:val="000000"/>
                <w:sz w:val="20"/>
                <w:szCs w:val="20"/>
              </w:rPr>
            </w:pPr>
            <w:r>
              <w:rPr>
                <w:color w:val="000000"/>
                <w:sz w:val="20"/>
                <w:szCs w:val="20"/>
              </w:rPr>
              <w:t>1</w:t>
            </w:r>
          </w:p>
        </w:tc>
        <w:tc>
          <w:tcPr>
            <w:tcW w:w="2578" w:type="dxa"/>
            <w:noWrap/>
            <w:vAlign w:val="center"/>
          </w:tcPr>
          <w:p w14:paraId="7545D685">
            <w:pPr>
              <w:jc w:val="center"/>
              <w:rPr>
                <w:color w:val="000000"/>
                <w:sz w:val="20"/>
                <w:szCs w:val="20"/>
              </w:rPr>
            </w:pPr>
            <w:r>
              <w:rPr>
                <w:color w:val="000000"/>
                <w:sz w:val="20"/>
                <w:szCs w:val="20"/>
              </w:rPr>
              <w:t>Mặt cắt 5-5</w:t>
            </w:r>
          </w:p>
        </w:tc>
        <w:tc>
          <w:tcPr>
            <w:tcW w:w="2393" w:type="dxa"/>
            <w:noWrap/>
            <w:vAlign w:val="center"/>
          </w:tcPr>
          <w:p w14:paraId="1343A9C0">
            <w:pPr>
              <w:jc w:val="center"/>
              <w:rPr>
                <w:color w:val="000000"/>
                <w:sz w:val="20"/>
                <w:szCs w:val="20"/>
              </w:rPr>
            </w:pPr>
            <w:r>
              <w:rPr>
                <w:color w:val="000000"/>
                <w:sz w:val="20"/>
                <w:szCs w:val="20"/>
              </w:rPr>
              <w:t>Một mặt tiền</w:t>
            </w:r>
          </w:p>
        </w:tc>
        <w:tc>
          <w:tcPr>
            <w:tcW w:w="1198" w:type="dxa"/>
            <w:noWrap/>
            <w:vAlign w:val="center"/>
          </w:tcPr>
          <w:p w14:paraId="25D3E0ED">
            <w:pPr>
              <w:jc w:val="center"/>
              <w:rPr>
                <w:color w:val="000000"/>
                <w:sz w:val="20"/>
                <w:szCs w:val="20"/>
              </w:rPr>
            </w:pPr>
            <w:r>
              <w:rPr>
                <w:color w:val="000000"/>
                <w:sz w:val="20"/>
                <w:szCs w:val="20"/>
              </w:rPr>
              <w:t>18.600.000</w:t>
            </w:r>
          </w:p>
        </w:tc>
        <w:tc>
          <w:tcPr>
            <w:tcW w:w="1236" w:type="dxa"/>
            <w:noWrap/>
            <w:vAlign w:val="center"/>
          </w:tcPr>
          <w:p w14:paraId="4C68A416">
            <w:pPr>
              <w:jc w:val="center"/>
              <w:rPr>
                <w:color w:val="000000"/>
                <w:sz w:val="20"/>
                <w:szCs w:val="20"/>
              </w:rPr>
            </w:pPr>
          </w:p>
        </w:tc>
        <w:tc>
          <w:tcPr>
            <w:tcW w:w="1252" w:type="dxa"/>
            <w:noWrap/>
            <w:vAlign w:val="center"/>
          </w:tcPr>
          <w:p w14:paraId="656BBE7A">
            <w:pPr>
              <w:jc w:val="center"/>
              <w:rPr>
                <w:color w:val="000000"/>
                <w:sz w:val="20"/>
                <w:szCs w:val="20"/>
              </w:rPr>
            </w:pPr>
            <w:r>
              <w:rPr>
                <w:color w:val="000000"/>
                <w:sz w:val="20"/>
                <w:szCs w:val="20"/>
              </w:rPr>
              <w:t>18.600.000</w:t>
            </w:r>
          </w:p>
        </w:tc>
        <w:tc>
          <w:tcPr>
            <w:tcW w:w="1848" w:type="dxa"/>
            <w:noWrap/>
            <w:vAlign w:val="center"/>
          </w:tcPr>
          <w:p w14:paraId="71772A08">
            <w:pPr>
              <w:jc w:val="center"/>
              <w:rPr>
                <w:color w:val="000000"/>
                <w:sz w:val="20"/>
                <w:szCs w:val="20"/>
              </w:rPr>
            </w:pPr>
            <w:r>
              <w:rPr>
                <w:color w:val="000000"/>
                <w:sz w:val="20"/>
                <w:szCs w:val="20"/>
              </w:rPr>
              <w:t>1.724.592.000</w:t>
            </w:r>
          </w:p>
        </w:tc>
      </w:tr>
      <w:tr w14:paraId="248C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D80B167">
            <w:pPr>
              <w:jc w:val="center"/>
              <w:rPr>
                <w:b/>
                <w:bCs/>
                <w:color w:val="000000"/>
                <w:sz w:val="20"/>
                <w:szCs w:val="20"/>
              </w:rPr>
            </w:pPr>
            <w:r>
              <w:rPr>
                <w:b/>
                <w:bCs/>
                <w:color w:val="000000"/>
                <w:sz w:val="20"/>
                <w:szCs w:val="20"/>
              </w:rPr>
              <w:t>LK52</w:t>
            </w:r>
          </w:p>
        </w:tc>
        <w:tc>
          <w:tcPr>
            <w:tcW w:w="1802" w:type="dxa"/>
            <w:vAlign w:val="center"/>
          </w:tcPr>
          <w:p w14:paraId="7D22C156">
            <w:pPr>
              <w:jc w:val="center"/>
              <w:rPr>
                <w:color w:val="000000"/>
                <w:sz w:val="20"/>
                <w:szCs w:val="20"/>
              </w:rPr>
            </w:pPr>
            <w:r>
              <w:rPr>
                <w:color w:val="000000"/>
                <w:sz w:val="20"/>
                <w:szCs w:val="20"/>
              </w:rPr>
              <w:t>LK52:08</w:t>
            </w:r>
          </w:p>
        </w:tc>
        <w:tc>
          <w:tcPr>
            <w:tcW w:w="1033" w:type="dxa"/>
            <w:noWrap/>
            <w:vAlign w:val="center"/>
          </w:tcPr>
          <w:p w14:paraId="39600970">
            <w:pPr>
              <w:jc w:val="center"/>
              <w:rPr>
                <w:color w:val="000000"/>
                <w:sz w:val="20"/>
                <w:szCs w:val="20"/>
              </w:rPr>
            </w:pPr>
            <w:r>
              <w:rPr>
                <w:color w:val="000000"/>
                <w:sz w:val="20"/>
                <w:szCs w:val="20"/>
              </w:rPr>
              <w:t>87,04</w:t>
            </w:r>
          </w:p>
        </w:tc>
        <w:tc>
          <w:tcPr>
            <w:tcW w:w="846" w:type="dxa"/>
            <w:noWrap/>
            <w:vAlign w:val="center"/>
          </w:tcPr>
          <w:p w14:paraId="3456D7A5">
            <w:pPr>
              <w:jc w:val="center"/>
              <w:rPr>
                <w:color w:val="000000"/>
                <w:sz w:val="20"/>
                <w:szCs w:val="20"/>
              </w:rPr>
            </w:pPr>
            <w:r>
              <w:rPr>
                <w:color w:val="000000"/>
                <w:sz w:val="20"/>
                <w:szCs w:val="20"/>
              </w:rPr>
              <w:t>1</w:t>
            </w:r>
          </w:p>
        </w:tc>
        <w:tc>
          <w:tcPr>
            <w:tcW w:w="2578" w:type="dxa"/>
            <w:noWrap/>
            <w:vAlign w:val="center"/>
          </w:tcPr>
          <w:p w14:paraId="029B9323">
            <w:pPr>
              <w:jc w:val="center"/>
              <w:rPr>
                <w:color w:val="000000"/>
                <w:sz w:val="20"/>
                <w:szCs w:val="20"/>
              </w:rPr>
            </w:pPr>
            <w:r>
              <w:rPr>
                <w:color w:val="000000"/>
                <w:sz w:val="20"/>
                <w:szCs w:val="20"/>
              </w:rPr>
              <w:t>Mặt cắt 5-5</w:t>
            </w:r>
          </w:p>
        </w:tc>
        <w:tc>
          <w:tcPr>
            <w:tcW w:w="2393" w:type="dxa"/>
            <w:noWrap/>
            <w:vAlign w:val="center"/>
          </w:tcPr>
          <w:p w14:paraId="2568500D">
            <w:pPr>
              <w:jc w:val="center"/>
              <w:rPr>
                <w:color w:val="000000"/>
                <w:sz w:val="20"/>
                <w:szCs w:val="20"/>
              </w:rPr>
            </w:pPr>
            <w:r>
              <w:rPr>
                <w:color w:val="000000"/>
                <w:sz w:val="20"/>
                <w:szCs w:val="20"/>
              </w:rPr>
              <w:t>Một mặt tiền</w:t>
            </w:r>
          </w:p>
        </w:tc>
        <w:tc>
          <w:tcPr>
            <w:tcW w:w="1198" w:type="dxa"/>
            <w:noWrap/>
            <w:vAlign w:val="center"/>
          </w:tcPr>
          <w:p w14:paraId="2DD3CE41">
            <w:pPr>
              <w:jc w:val="center"/>
              <w:rPr>
                <w:color w:val="000000"/>
                <w:sz w:val="20"/>
                <w:szCs w:val="20"/>
              </w:rPr>
            </w:pPr>
            <w:r>
              <w:rPr>
                <w:color w:val="000000"/>
                <w:sz w:val="20"/>
                <w:szCs w:val="20"/>
              </w:rPr>
              <w:t>18.600.000</w:t>
            </w:r>
          </w:p>
        </w:tc>
        <w:tc>
          <w:tcPr>
            <w:tcW w:w="1236" w:type="dxa"/>
            <w:noWrap/>
            <w:vAlign w:val="center"/>
          </w:tcPr>
          <w:p w14:paraId="319C61B1">
            <w:pPr>
              <w:jc w:val="center"/>
              <w:rPr>
                <w:color w:val="000000"/>
                <w:sz w:val="20"/>
                <w:szCs w:val="20"/>
              </w:rPr>
            </w:pPr>
          </w:p>
        </w:tc>
        <w:tc>
          <w:tcPr>
            <w:tcW w:w="1252" w:type="dxa"/>
            <w:noWrap/>
            <w:vAlign w:val="center"/>
          </w:tcPr>
          <w:p w14:paraId="575C811E">
            <w:pPr>
              <w:jc w:val="center"/>
              <w:rPr>
                <w:color w:val="000000"/>
                <w:sz w:val="20"/>
                <w:szCs w:val="20"/>
              </w:rPr>
            </w:pPr>
            <w:r>
              <w:rPr>
                <w:color w:val="000000"/>
                <w:sz w:val="20"/>
                <w:szCs w:val="20"/>
              </w:rPr>
              <w:t>18.600.000</w:t>
            </w:r>
          </w:p>
        </w:tc>
        <w:tc>
          <w:tcPr>
            <w:tcW w:w="1848" w:type="dxa"/>
            <w:noWrap/>
            <w:vAlign w:val="center"/>
          </w:tcPr>
          <w:p w14:paraId="12D2301F">
            <w:pPr>
              <w:jc w:val="center"/>
              <w:rPr>
                <w:color w:val="000000"/>
                <w:sz w:val="20"/>
                <w:szCs w:val="20"/>
              </w:rPr>
            </w:pPr>
            <w:r>
              <w:rPr>
                <w:color w:val="000000"/>
                <w:sz w:val="20"/>
                <w:szCs w:val="20"/>
              </w:rPr>
              <w:t>1.618.944.000</w:t>
            </w:r>
          </w:p>
        </w:tc>
      </w:tr>
      <w:tr w14:paraId="7A0D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8EF4178">
            <w:pPr>
              <w:jc w:val="center"/>
              <w:rPr>
                <w:b/>
                <w:bCs/>
                <w:color w:val="000000"/>
                <w:sz w:val="20"/>
                <w:szCs w:val="20"/>
              </w:rPr>
            </w:pPr>
            <w:r>
              <w:rPr>
                <w:b/>
                <w:bCs/>
                <w:color w:val="000000"/>
                <w:sz w:val="20"/>
                <w:szCs w:val="20"/>
              </w:rPr>
              <w:t>LK52</w:t>
            </w:r>
          </w:p>
        </w:tc>
        <w:tc>
          <w:tcPr>
            <w:tcW w:w="1802" w:type="dxa"/>
            <w:vAlign w:val="center"/>
          </w:tcPr>
          <w:p w14:paraId="1DAF7116">
            <w:pPr>
              <w:jc w:val="center"/>
              <w:rPr>
                <w:color w:val="000000"/>
                <w:sz w:val="20"/>
                <w:szCs w:val="20"/>
              </w:rPr>
            </w:pPr>
            <w:r>
              <w:rPr>
                <w:color w:val="000000"/>
                <w:sz w:val="20"/>
                <w:szCs w:val="20"/>
              </w:rPr>
              <w:t>LK52:09</w:t>
            </w:r>
          </w:p>
        </w:tc>
        <w:tc>
          <w:tcPr>
            <w:tcW w:w="1033" w:type="dxa"/>
            <w:noWrap/>
            <w:vAlign w:val="center"/>
          </w:tcPr>
          <w:p w14:paraId="6E922052">
            <w:pPr>
              <w:jc w:val="center"/>
              <w:rPr>
                <w:color w:val="000000"/>
                <w:sz w:val="20"/>
                <w:szCs w:val="20"/>
              </w:rPr>
            </w:pPr>
            <w:r>
              <w:rPr>
                <w:color w:val="000000"/>
                <w:sz w:val="20"/>
                <w:szCs w:val="20"/>
              </w:rPr>
              <w:t>93,19</w:t>
            </w:r>
          </w:p>
        </w:tc>
        <w:tc>
          <w:tcPr>
            <w:tcW w:w="846" w:type="dxa"/>
            <w:noWrap/>
            <w:vAlign w:val="center"/>
          </w:tcPr>
          <w:p w14:paraId="76EEE6FE">
            <w:pPr>
              <w:jc w:val="center"/>
              <w:rPr>
                <w:color w:val="000000"/>
                <w:sz w:val="20"/>
                <w:szCs w:val="20"/>
              </w:rPr>
            </w:pPr>
            <w:r>
              <w:rPr>
                <w:color w:val="000000"/>
                <w:sz w:val="20"/>
                <w:szCs w:val="20"/>
              </w:rPr>
              <w:t>1</w:t>
            </w:r>
          </w:p>
        </w:tc>
        <w:tc>
          <w:tcPr>
            <w:tcW w:w="2578" w:type="dxa"/>
            <w:noWrap/>
            <w:vAlign w:val="center"/>
          </w:tcPr>
          <w:p w14:paraId="46208C31">
            <w:pPr>
              <w:jc w:val="center"/>
              <w:rPr>
                <w:color w:val="000000"/>
                <w:sz w:val="20"/>
                <w:szCs w:val="20"/>
              </w:rPr>
            </w:pPr>
            <w:r>
              <w:rPr>
                <w:color w:val="000000"/>
                <w:sz w:val="20"/>
                <w:szCs w:val="20"/>
              </w:rPr>
              <w:t>Mặt cắt 5-5</w:t>
            </w:r>
          </w:p>
        </w:tc>
        <w:tc>
          <w:tcPr>
            <w:tcW w:w="2393" w:type="dxa"/>
            <w:noWrap/>
            <w:vAlign w:val="center"/>
          </w:tcPr>
          <w:p w14:paraId="69AF1F9F">
            <w:pPr>
              <w:jc w:val="center"/>
              <w:rPr>
                <w:color w:val="000000"/>
                <w:sz w:val="20"/>
                <w:szCs w:val="20"/>
              </w:rPr>
            </w:pPr>
            <w:r>
              <w:rPr>
                <w:color w:val="000000"/>
                <w:sz w:val="20"/>
                <w:szCs w:val="20"/>
              </w:rPr>
              <w:t>Một mặt tiền</w:t>
            </w:r>
          </w:p>
        </w:tc>
        <w:tc>
          <w:tcPr>
            <w:tcW w:w="1198" w:type="dxa"/>
            <w:noWrap/>
            <w:vAlign w:val="center"/>
          </w:tcPr>
          <w:p w14:paraId="7E5CFF35">
            <w:pPr>
              <w:jc w:val="center"/>
              <w:rPr>
                <w:color w:val="000000"/>
                <w:sz w:val="20"/>
                <w:szCs w:val="20"/>
              </w:rPr>
            </w:pPr>
            <w:r>
              <w:rPr>
                <w:color w:val="000000"/>
                <w:sz w:val="20"/>
                <w:szCs w:val="20"/>
              </w:rPr>
              <w:t>18.600.000</w:t>
            </w:r>
          </w:p>
        </w:tc>
        <w:tc>
          <w:tcPr>
            <w:tcW w:w="1236" w:type="dxa"/>
            <w:noWrap/>
            <w:vAlign w:val="center"/>
          </w:tcPr>
          <w:p w14:paraId="50B79C66">
            <w:pPr>
              <w:jc w:val="center"/>
              <w:rPr>
                <w:color w:val="000000"/>
                <w:sz w:val="20"/>
                <w:szCs w:val="20"/>
              </w:rPr>
            </w:pPr>
          </w:p>
        </w:tc>
        <w:tc>
          <w:tcPr>
            <w:tcW w:w="1252" w:type="dxa"/>
            <w:noWrap/>
            <w:vAlign w:val="center"/>
          </w:tcPr>
          <w:p w14:paraId="2EF7D08B">
            <w:pPr>
              <w:jc w:val="center"/>
              <w:rPr>
                <w:color w:val="000000"/>
                <w:sz w:val="20"/>
                <w:szCs w:val="20"/>
              </w:rPr>
            </w:pPr>
            <w:r>
              <w:rPr>
                <w:color w:val="000000"/>
                <w:sz w:val="20"/>
                <w:szCs w:val="20"/>
              </w:rPr>
              <w:t>18.600.000</w:t>
            </w:r>
          </w:p>
        </w:tc>
        <w:tc>
          <w:tcPr>
            <w:tcW w:w="1848" w:type="dxa"/>
            <w:noWrap/>
            <w:vAlign w:val="center"/>
          </w:tcPr>
          <w:p w14:paraId="74083604">
            <w:pPr>
              <w:jc w:val="center"/>
              <w:rPr>
                <w:color w:val="000000"/>
                <w:sz w:val="20"/>
                <w:szCs w:val="20"/>
              </w:rPr>
            </w:pPr>
            <w:r>
              <w:rPr>
                <w:color w:val="000000"/>
                <w:sz w:val="20"/>
                <w:szCs w:val="20"/>
              </w:rPr>
              <w:t>1.733.334.000</w:t>
            </w:r>
          </w:p>
        </w:tc>
      </w:tr>
      <w:tr w14:paraId="12BC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5F5129B">
            <w:pPr>
              <w:jc w:val="center"/>
              <w:rPr>
                <w:b/>
                <w:bCs/>
                <w:color w:val="000000"/>
                <w:sz w:val="20"/>
                <w:szCs w:val="20"/>
              </w:rPr>
            </w:pPr>
            <w:r>
              <w:rPr>
                <w:b/>
                <w:bCs/>
                <w:color w:val="000000"/>
                <w:sz w:val="20"/>
                <w:szCs w:val="20"/>
              </w:rPr>
              <w:t>LK54</w:t>
            </w:r>
          </w:p>
        </w:tc>
        <w:tc>
          <w:tcPr>
            <w:tcW w:w="1802" w:type="dxa"/>
            <w:vAlign w:val="center"/>
          </w:tcPr>
          <w:p w14:paraId="05D7BCB9">
            <w:pPr>
              <w:jc w:val="center"/>
              <w:rPr>
                <w:color w:val="000000"/>
                <w:sz w:val="20"/>
                <w:szCs w:val="20"/>
              </w:rPr>
            </w:pPr>
            <w:r>
              <w:rPr>
                <w:color w:val="000000"/>
                <w:sz w:val="20"/>
                <w:szCs w:val="20"/>
              </w:rPr>
              <w:t>LK54:02</w:t>
            </w:r>
          </w:p>
        </w:tc>
        <w:tc>
          <w:tcPr>
            <w:tcW w:w="1033" w:type="dxa"/>
            <w:noWrap/>
            <w:vAlign w:val="center"/>
          </w:tcPr>
          <w:p w14:paraId="406FB4B6">
            <w:pPr>
              <w:jc w:val="center"/>
              <w:rPr>
                <w:color w:val="000000"/>
                <w:sz w:val="20"/>
                <w:szCs w:val="20"/>
              </w:rPr>
            </w:pPr>
            <w:r>
              <w:rPr>
                <w:color w:val="000000"/>
                <w:sz w:val="20"/>
                <w:szCs w:val="20"/>
              </w:rPr>
              <w:t>94,55</w:t>
            </w:r>
          </w:p>
        </w:tc>
        <w:tc>
          <w:tcPr>
            <w:tcW w:w="846" w:type="dxa"/>
            <w:noWrap/>
            <w:vAlign w:val="center"/>
          </w:tcPr>
          <w:p w14:paraId="18748A1A">
            <w:pPr>
              <w:jc w:val="center"/>
              <w:rPr>
                <w:color w:val="000000"/>
                <w:sz w:val="20"/>
                <w:szCs w:val="20"/>
              </w:rPr>
            </w:pPr>
            <w:r>
              <w:rPr>
                <w:color w:val="000000"/>
                <w:sz w:val="20"/>
                <w:szCs w:val="20"/>
              </w:rPr>
              <w:t>1</w:t>
            </w:r>
          </w:p>
        </w:tc>
        <w:tc>
          <w:tcPr>
            <w:tcW w:w="2578" w:type="dxa"/>
            <w:noWrap/>
            <w:vAlign w:val="center"/>
          </w:tcPr>
          <w:p w14:paraId="49E2D512">
            <w:pPr>
              <w:jc w:val="center"/>
              <w:rPr>
                <w:color w:val="000000"/>
                <w:sz w:val="20"/>
                <w:szCs w:val="20"/>
              </w:rPr>
            </w:pPr>
            <w:r>
              <w:rPr>
                <w:color w:val="000000"/>
                <w:sz w:val="20"/>
                <w:szCs w:val="20"/>
              </w:rPr>
              <w:t>Mặt cắt 5-5</w:t>
            </w:r>
          </w:p>
        </w:tc>
        <w:tc>
          <w:tcPr>
            <w:tcW w:w="2393" w:type="dxa"/>
            <w:noWrap/>
            <w:vAlign w:val="center"/>
          </w:tcPr>
          <w:p w14:paraId="1E14F446">
            <w:pPr>
              <w:jc w:val="center"/>
              <w:rPr>
                <w:color w:val="000000"/>
                <w:sz w:val="20"/>
                <w:szCs w:val="20"/>
              </w:rPr>
            </w:pPr>
            <w:r>
              <w:rPr>
                <w:color w:val="000000"/>
                <w:sz w:val="20"/>
                <w:szCs w:val="20"/>
              </w:rPr>
              <w:t>Một mặt tiền</w:t>
            </w:r>
          </w:p>
        </w:tc>
        <w:tc>
          <w:tcPr>
            <w:tcW w:w="1198" w:type="dxa"/>
            <w:noWrap/>
            <w:vAlign w:val="center"/>
          </w:tcPr>
          <w:p w14:paraId="24EBE804">
            <w:pPr>
              <w:jc w:val="center"/>
              <w:rPr>
                <w:color w:val="000000"/>
                <w:sz w:val="20"/>
                <w:szCs w:val="20"/>
              </w:rPr>
            </w:pPr>
            <w:r>
              <w:rPr>
                <w:color w:val="000000"/>
                <w:sz w:val="20"/>
                <w:szCs w:val="20"/>
              </w:rPr>
              <w:t>18.600.000</w:t>
            </w:r>
          </w:p>
        </w:tc>
        <w:tc>
          <w:tcPr>
            <w:tcW w:w="1236" w:type="dxa"/>
            <w:noWrap/>
            <w:vAlign w:val="center"/>
          </w:tcPr>
          <w:p w14:paraId="093098FB">
            <w:pPr>
              <w:jc w:val="center"/>
              <w:rPr>
                <w:color w:val="000000"/>
                <w:sz w:val="20"/>
                <w:szCs w:val="20"/>
              </w:rPr>
            </w:pPr>
          </w:p>
        </w:tc>
        <w:tc>
          <w:tcPr>
            <w:tcW w:w="1252" w:type="dxa"/>
            <w:noWrap/>
            <w:vAlign w:val="center"/>
          </w:tcPr>
          <w:p w14:paraId="28697927">
            <w:pPr>
              <w:jc w:val="center"/>
              <w:rPr>
                <w:color w:val="000000"/>
                <w:sz w:val="20"/>
                <w:szCs w:val="20"/>
              </w:rPr>
            </w:pPr>
            <w:r>
              <w:rPr>
                <w:color w:val="000000"/>
                <w:sz w:val="20"/>
                <w:szCs w:val="20"/>
              </w:rPr>
              <w:t>18.600.000</w:t>
            </w:r>
          </w:p>
        </w:tc>
        <w:tc>
          <w:tcPr>
            <w:tcW w:w="1848" w:type="dxa"/>
            <w:noWrap/>
            <w:vAlign w:val="center"/>
          </w:tcPr>
          <w:p w14:paraId="715987D6">
            <w:pPr>
              <w:jc w:val="center"/>
              <w:rPr>
                <w:color w:val="000000"/>
                <w:sz w:val="20"/>
                <w:szCs w:val="20"/>
              </w:rPr>
            </w:pPr>
            <w:r>
              <w:rPr>
                <w:color w:val="000000"/>
                <w:sz w:val="20"/>
                <w:szCs w:val="20"/>
              </w:rPr>
              <w:t>1.758.630.000</w:t>
            </w:r>
          </w:p>
        </w:tc>
      </w:tr>
      <w:tr w14:paraId="3F00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7971513">
            <w:pPr>
              <w:jc w:val="center"/>
              <w:rPr>
                <w:b/>
                <w:bCs/>
                <w:color w:val="000000"/>
                <w:sz w:val="20"/>
                <w:szCs w:val="20"/>
              </w:rPr>
            </w:pPr>
            <w:r>
              <w:rPr>
                <w:b/>
                <w:bCs/>
                <w:color w:val="000000"/>
                <w:sz w:val="20"/>
                <w:szCs w:val="20"/>
              </w:rPr>
              <w:t>LK54</w:t>
            </w:r>
          </w:p>
        </w:tc>
        <w:tc>
          <w:tcPr>
            <w:tcW w:w="1802" w:type="dxa"/>
            <w:vAlign w:val="center"/>
          </w:tcPr>
          <w:p w14:paraId="7A107A07">
            <w:pPr>
              <w:jc w:val="center"/>
              <w:rPr>
                <w:color w:val="000000"/>
                <w:sz w:val="20"/>
                <w:szCs w:val="20"/>
              </w:rPr>
            </w:pPr>
            <w:r>
              <w:rPr>
                <w:color w:val="000000"/>
                <w:sz w:val="20"/>
                <w:szCs w:val="20"/>
              </w:rPr>
              <w:t>LK54:03</w:t>
            </w:r>
          </w:p>
        </w:tc>
        <w:tc>
          <w:tcPr>
            <w:tcW w:w="1033" w:type="dxa"/>
            <w:noWrap/>
            <w:vAlign w:val="center"/>
          </w:tcPr>
          <w:p w14:paraId="65264FC2">
            <w:pPr>
              <w:jc w:val="center"/>
              <w:rPr>
                <w:color w:val="000000"/>
                <w:sz w:val="20"/>
                <w:szCs w:val="20"/>
              </w:rPr>
            </w:pPr>
            <w:r>
              <w:rPr>
                <w:color w:val="000000"/>
                <w:sz w:val="20"/>
                <w:szCs w:val="20"/>
              </w:rPr>
              <w:t>99,05</w:t>
            </w:r>
          </w:p>
        </w:tc>
        <w:tc>
          <w:tcPr>
            <w:tcW w:w="846" w:type="dxa"/>
            <w:noWrap/>
            <w:vAlign w:val="center"/>
          </w:tcPr>
          <w:p w14:paraId="09CEB101">
            <w:pPr>
              <w:jc w:val="center"/>
              <w:rPr>
                <w:color w:val="000000"/>
                <w:sz w:val="20"/>
                <w:szCs w:val="20"/>
              </w:rPr>
            </w:pPr>
            <w:r>
              <w:rPr>
                <w:color w:val="000000"/>
                <w:sz w:val="20"/>
                <w:szCs w:val="20"/>
              </w:rPr>
              <w:t>1</w:t>
            </w:r>
          </w:p>
        </w:tc>
        <w:tc>
          <w:tcPr>
            <w:tcW w:w="2578" w:type="dxa"/>
            <w:noWrap/>
            <w:vAlign w:val="center"/>
          </w:tcPr>
          <w:p w14:paraId="59691993">
            <w:pPr>
              <w:jc w:val="center"/>
              <w:rPr>
                <w:color w:val="000000"/>
                <w:sz w:val="20"/>
                <w:szCs w:val="20"/>
              </w:rPr>
            </w:pPr>
            <w:r>
              <w:rPr>
                <w:color w:val="000000"/>
                <w:sz w:val="20"/>
                <w:szCs w:val="20"/>
              </w:rPr>
              <w:t>Mặt cắt 5-5</w:t>
            </w:r>
          </w:p>
        </w:tc>
        <w:tc>
          <w:tcPr>
            <w:tcW w:w="2393" w:type="dxa"/>
            <w:noWrap/>
            <w:vAlign w:val="center"/>
          </w:tcPr>
          <w:p w14:paraId="30070EAB">
            <w:pPr>
              <w:jc w:val="center"/>
              <w:rPr>
                <w:color w:val="000000"/>
                <w:sz w:val="20"/>
                <w:szCs w:val="20"/>
              </w:rPr>
            </w:pPr>
            <w:r>
              <w:rPr>
                <w:color w:val="000000"/>
                <w:sz w:val="20"/>
                <w:szCs w:val="20"/>
              </w:rPr>
              <w:t>Một mặt tiền</w:t>
            </w:r>
          </w:p>
        </w:tc>
        <w:tc>
          <w:tcPr>
            <w:tcW w:w="1198" w:type="dxa"/>
            <w:noWrap/>
            <w:vAlign w:val="center"/>
          </w:tcPr>
          <w:p w14:paraId="19CA900A">
            <w:pPr>
              <w:jc w:val="center"/>
              <w:rPr>
                <w:color w:val="000000"/>
                <w:sz w:val="20"/>
                <w:szCs w:val="20"/>
              </w:rPr>
            </w:pPr>
            <w:r>
              <w:rPr>
                <w:color w:val="000000"/>
                <w:sz w:val="20"/>
                <w:szCs w:val="20"/>
              </w:rPr>
              <w:t>18.600.000</w:t>
            </w:r>
          </w:p>
        </w:tc>
        <w:tc>
          <w:tcPr>
            <w:tcW w:w="1236" w:type="dxa"/>
            <w:noWrap/>
            <w:vAlign w:val="center"/>
          </w:tcPr>
          <w:p w14:paraId="0B0481EA">
            <w:pPr>
              <w:jc w:val="center"/>
              <w:rPr>
                <w:color w:val="000000"/>
                <w:sz w:val="20"/>
                <w:szCs w:val="20"/>
              </w:rPr>
            </w:pPr>
          </w:p>
        </w:tc>
        <w:tc>
          <w:tcPr>
            <w:tcW w:w="1252" w:type="dxa"/>
            <w:noWrap/>
            <w:vAlign w:val="center"/>
          </w:tcPr>
          <w:p w14:paraId="46F89CEA">
            <w:pPr>
              <w:jc w:val="center"/>
              <w:rPr>
                <w:color w:val="000000"/>
                <w:sz w:val="20"/>
                <w:szCs w:val="20"/>
              </w:rPr>
            </w:pPr>
            <w:r>
              <w:rPr>
                <w:color w:val="000000"/>
                <w:sz w:val="20"/>
                <w:szCs w:val="20"/>
              </w:rPr>
              <w:t>18.600.000</w:t>
            </w:r>
          </w:p>
        </w:tc>
        <w:tc>
          <w:tcPr>
            <w:tcW w:w="1848" w:type="dxa"/>
            <w:noWrap/>
            <w:vAlign w:val="center"/>
          </w:tcPr>
          <w:p w14:paraId="4AA88B9B">
            <w:pPr>
              <w:jc w:val="center"/>
              <w:rPr>
                <w:color w:val="000000"/>
                <w:sz w:val="20"/>
                <w:szCs w:val="20"/>
              </w:rPr>
            </w:pPr>
            <w:r>
              <w:rPr>
                <w:color w:val="000000"/>
                <w:sz w:val="20"/>
                <w:szCs w:val="20"/>
              </w:rPr>
              <w:t>1.842.330.000</w:t>
            </w:r>
          </w:p>
        </w:tc>
      </w:tr>
      <w:tr w14:paraId="54DA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3626A8">
            <w:pPr>
              <w:jc w:val="center"/>
              <w:rPr>
                <w:b/>
                <w:bCs/>
                <w:color w:val="000000"/>
                <w:sz w:val="20"/>
                <w:szCs w:val="20"/>
              </w:rPr>
            </w:pPr>
            <w:r>
              <w:rPr>
                <w:b/>
                <w:bCs/>
                <w:color w:val="000000"/>
                <w:sz w:val="20"/>
                <w:szCs w:val="20"/>
              </w:rPr>
              <w:t>LK54</w:t>
            </w:r>
          </w:p>
        </w:tc>
        <w:tc>
          <w:tcPr>
            <w:tcW w:w="1802" w:type="dxa"/>
            <w:vAlign w:val="center"/>
          </w:tcPr>
          <w:p w14:paraId="1375B76D">
            <w:pPr>
              <w:jc w:val="center"/>
              <w:rPr>
                <w:color w:val="000000"/>
                <w:sz w:val="20"/>
                <w:szCs w:val="20"/>
              </w:rPr>
            </w:pPr>
            <w:r>
              <w:rPr>
                <w:color w:val="000000"/>
                <w:sz w:val="20"/>
                <w:szCs w:val="20"/>
              </w:rPr>
              <w:t>LK54:04</w:t>
            </w:r>
          </w:p>
        </w:tc>
        <w:tc>
          <w:tcPr>
            <w:tcW w:w="1033" w:type="dxa"/>
            <w:noWrap/>
            <w:vAlign w:val="center"/>
          </w:tcPr>
          <w:p w14:paraId="260A9383">
            <w:pPr>
              <w:jc w:val="center"/>
              <w:rPr>
                <w:color w:val="000000"/>
                <w:sz w:val="20"/>
                <w:szCs w:val="20"/>
              </w:rPr>
            </w:pPr>
            <w:r>
              <w:rPr>
                <w:color w:val="000000"/>
                <w:sz w:val="20"/>
                <w:szCs w:val="20"/>
              </w:rPr>
              <w:t>103,21</w:t>
            </w:r>
          </w:p>
        </w:tc>
        <w:tc>
          <w:tcPr>
            <w:tcW w:w="846" w:type="dxa"/>
            <w:noWrap/>
            <w:vAlign w:val="center"/>
          </w:tcPr>
          <w:p w14:paraId="7EC9C3EE">
            <w:pPr>
              <w:jc w:val="center"/>
              <w:rPr>
                <w:color w:val="000000"/>
                <w:sz w:val="20"/>
                <w:szCs w:val="20"/>
              </w:rPr>
            </w:pPr>
            <w:r>
              <w:rPr>
                <w:color w:val="000000"/>
                <w:sz w:val="20"/>
                <w:szCs w:val="20"/>
              </w:rPr>
              <w:t>1</w:t>
            </w:r>
          </w:p>
        </w:tc>
        <w:tc>
          <w:tcPr>
            <w:tcW w:w="2578" w:type="dxa"/>
            <w:noWrap/>
            <w:vAlign w:val="center"/>
          </w:tcPr>
          <w:p w14:paraId="1D6E7C45">
            <w:pPr>
              <w:jc w:val="center"/>
              <w:rPr>
                <w:color w:val="000000"/>
                <w:sz w:val="20"/>
                <w:szCs w:val="20"/>
              </w:rPr>
            </w:pPr>
            <w:r>
              <w:rPr>
                <w:color w:val="000000"/>
                <w:sz w:val="20"/>
                <w:szCs w:val="20"/>
              </w:rPr>
              <w:t>Mặt cắt 5-5</w:t>
            </w:r>
          </w:p>
        </w:tc>
        <w:tc>
          <w:tcPr>
            <w:tcW w:w="2393" w:type="dxa"/>
            <w:noWrap/>
            <w:vAlign w:val="center"/>
          </w:tcPr>
          <w:p w14:paraId="32A231D1">
            <w:pPr>
              <w:jc w:val="center"/>
              <w:rPr>
                <w:color w:val="000000"/>
                <w:sz w:val="20"/>
                <w:szCs w:val="20"/>
              </w:rPr>
            </w:pPr>
            <w:r>
              <w:rPr>
                <w:color w:val="000000"/>
                <w:sz w:val="20"/>
                <w:szCs w:val="20"/>
              </w:rPr>
              <w:t>Một mặt tiền</w:t>
            </w:r>
          </w:p>
        </w:tc>
        <w:tc>
          <w:tcPr>
            <w:tcW w:w="1198" w:type="dxa"/>
            <w:noWrap/>
            <w:vAlign w:val="center"/>
          </w:tcPr>
          <w:p w14:paraId="135DF519">
            <w:pPr>
              <w:jc w:val="center"/>
              <w:rPr>
                <w:color w:val="000000"/>
                <w:sz w:val="20"/>
                <w:szCs w:val="20"/>
              </w:rPr>
            </w:pPr>
            <w:r>
              <w:rPr>
                <w:color w:val="000000"/>
                <w:sz w:val="20"/>
                <w:szCs w:val="20"/>
              </w:rPr>
              <w:t>18.600.000</w:t>
            </w:r>
          </w:p>
        </w:tc>
        <w:tc>
          <w:tcPr>
            <w:tcW w:w="1236" w:type="dxa"/>
            <w:noWrap/>
            <w:vAlign w:val="center"/>
          </w:tcPr>
          <w:p w14:paraId="16906F37">
            <w:pPr>
              <w:jc w:val="center"/>
              <w:rPr>
                <w:color w:val="000000"/>
                <w:sz w:val="20"/>
                <w:szCs w:val="20"/>
              </w:rPr>
            </w:pPr>
          </w:p>
        </w:tc>
        <w:tc>
          <w:tcPr>
            <w:tcW w:w="1252" w:type="dxa"/>
            <w:noWrap/>
            <w:vAlign w:val="center"/>
          </w:tcPr>
          <w:p w14:paraId="3E074E1F">
            <w:pPr>
              <w:jc w:val="center"/>
              <w:rPr>
                <w:color w:val="000000"/>
                <w:sz w:val="20"/>
                <w:szCs w:val="20"/>
              </w:rPr>
            </w:pPr>
            <w:r>
              <w:rPr>
                <w:color w:val="000000"/>
                <w:sz w:val="20"/>
                <w:szCs w:val="20"/>
              </w:rPr>
              <w:t>18.600.000</w:t>
            </w:r>
          </w:p>
        </w:tc>
        <w:tc>
          <w:tcPr>
            <w:tcW w:w="1848" w:type="dxa"/>
            <w:noWrap/>
            <w:vAlign w:val="center"/>
          </w:tcPr>
          <w:p w14:paraId="394CDD7E">
            <w:pPr>
              <w:jc w:val="center"/>
              <w:rPr>
                <w:color w:val="000000"/>
                <w:sz w:val="20"/>
                <w:szCs w:val="20"/>
              </w:rPr>
            </w:pPr>
            <w:r>
              <w:rPr>
                <w:color w:val="000000"/>
                <w:sz w:val="20"/>
                <w:szCs w:val="20"/>
              </w:rPr>
              <w:t>1.919.706.000</w:t>
            </w:r>
          </w:p>
        </w:tc>
      </w:tr>
      <w:tr w14:paraId="3139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BB0640B">
            <w:pPr>
              <w:jc w:val="center"/>
              <w:rPr>
                <w:b/>
                <w:bCs/>
                <w:color w:val="000000"/>
                <w:sz w:val="20"/>
                <w:szCs w:val="20"/>
              </w:rPr>
            </w:pPr>
            <w:r>
              <w:rPr>
                <w:b/>
                <w:bCs/>
                <w:color w:val="000000"/>
                <w:sz w:val="20"/>
                <w:szCs w:val="20"/>
              </w:rPr>
              <w:t>LK54</w:t>
            </w:r>
          </w:p>
        </w:tc>
        <w:tc>
          <w:tcPr>
            <w:tcW w:w="1802" w:type="dxa"/>
            <w:vAlign w:val="center"/>
          </w:tcPr>
          <w:p w14:paraId="48FACBD1">
            <w:pPr>
              <w:jc w:val="center"/>
              <w:rPr>
                <w:color w:val="000000"/>
                <w:sz w:val="20"/>
                <w:szCs w:val="20"/>
              </w:rPr>
            </w:pPr>
            <w:r>
              <w:rPr>
                <w:color w:val="000000"/>
                <w:sz w:val="20"/>
                <w:szCs w:val="20"/>
              </w:rPr>
              <w:t>LK54:05</w:t>
            </w:r>
          </w:p>
        </w:tc>
        <w:tc>
          <w:tcPr>
            <w:tcW w:w="1033" w:type="dxa"/>
            <w:noWrap/>
            <w:vAlign w:val="center"/>
          </w:tcPr>
          <w:p w14:paraId="5869F840">
            <w:pPr>
              <w:jc w:val="center"/>
              <w:rPr>
                <w:color w:val="000000"/>
                <w:sz w:val="20"/>
                <w:szCs w:val="20"/>
              </w:rPr>
            </w:pPr>
            <w:r>
              <w:rPr>
                <w:color w:val="000000"/>
                <w:sz w:val="20"/>
                <w:szCs w:val="20"/>
              </w:rPr>
              <w:t>107,13</w:t>
            </w:r>
          </w:p>
        </w:tc>
        <w:tc>
          <w:tcPr>
            <w:tcW w:w="846" w:type="dxa"/>
            <w:noWrap/>
            <w:vAlign w:val="center"/>
          </w:tcPr>
          <w:p w14:paraId="74659B98">
            <w:pPr>
              <w:jc w:val="center"/>
              <w:rPr>
                <w:color w:val="000000"/>
                <w:sz w:val="20"/>
                <w:szCs w:val="20"/>
              </w:rPr>
            </w:pPr>
            <w:r>
              <w:rPr>
                <w:color w:val="000000"/>
                <w:sz w:val="20"/>
                <w:szCs w:val="20"/>
              </w:rPr>
              <w:t>1</w:t>
            </w:r>
          </w:p>
        </w:tc>
        <w:tc>
          <w:tcPr>
            <w:tcW w:w="2578" w:type="dxa"/>
            <w:noWrap/>
            <w:vAlign w:val="center"/>
          </w:tcPr>
          <w:p w14:paraId="790F0915">
            <w:pPr>
              <w:jc w:val="center"/>
              <w:rPr>
                <w:color w:val="000000"/>
                <w:sz w:val="20"/>
                <w:szCs w:val="20"/>
              </w:rPr>
            </w:pPr>
            <w:r>
              <w:rPr>
                <w:color w:val="000000"/>
                <w:sz w:val="20"/>
                <w:szCs w:val="20"/>
              </w:rPr>
              <w:t>Mặt cắt 5-5</w:t>
            </w:r>
          </w:p>
        </w:tc>
        <w:tc>
          <w:tcPr>
            <w:tcW w:w="2393" w:type="dxa"/>
            <w:noWrap/>
            <w:vAlign w:val="center"/>
          </w:tcPr>
          <w:p w14:paraId="50DC5600">
            <w:pPr>
              <w:jc w:val="center"/>
              <w:rPr>
                <w:color w:val="000000"/>
                <w:sz w:val="20"/>
                <w:szCs w:val="20"/>
              </w:rPr>
            </w:pPr>
            <w:r>
              <w:rPr>
                <w:color w:val="000000"/>
                <w:sz w:val="20"/>
                <w:szCs w:val="20"/>
              </w:rPr>
              <w:t>Một mặt tiền</w:t>
            </w:r>
          </w:p>
        </w:tc>
        <w:tc>
          <w:tcPr>
            <w:tcW w:w="1198" w:type="dxa"/>
            <w:noWrap/>
            <w:vAlign w:val="center"/>
          </w:tcPr>
          <w:p w14:paraId="2FDC2314">
            <w:pPr>
              <w:jc w:val="center"/>
              <w:rPr>
                <w:color w:val="000000"/>
                <w:sz w:val="20"/>
                <w:szCs w:val="20"/>
              </w:rPr>
            </w:pPr>
            <w:r>
              <w:rPr>
                <w:color w:val="000000"/>
                <w:sz w:val="20"/>
                <w:szCs w:val="20"/>
              </w:rPr>
              <w:t>18.600.000</w:t>
            </w:r>
          </w:p>
        </w:tc>
        <w:tc>
          <w:tcPr>
            <w:tcW w:w="1236" w:type="dxa"/>
            <w:noWrap/>
            <w:vAlign w:val="center"/>
          </w:tcPr>
          <w:p w14:paraId="2B3A9161">
            <w:pPr>
              <w:jc w:val="center"/>
              <w:rPr>
                <w:color w:val="000000"/>
                <w:sz w:val="20"/>
                <w:szCs w:val="20"/>
              </w:rPr>
            </w:pPr>
          </w:p>
        </w:tc>
        <w:tc>
          <w:tcPr>
            <w:tcW w:w="1252" w:type="dxa"/>
            <w:noWrap/>
            <w:vAlign w:val="center"/>
          </w:tcPr>
          <w:p w14:paraId="00E80B49">
            <w:pPr>
              <w:jc w:val="center"/>
              <w:rPr>
                <w:color w:val="000000"/>
                <w:sz w:val="20"/>
                <w:szCs w:val="20"/>
              </w:rPr>
            </w:pPr>
            <w:r>
              <w:rPr>
                <w:color w:val="000000"/>
                <w:sz w:val="20"/>
                <w:szCs w:val="20"/>
              </w:rPr>
              <w:t>18.600.000</w:t>
            </w:r>
          </w:p>
        </w:tc>
        <w:tc>
          <w:tcPr>
            <w:tcW w:w="1848" w:type="dxa"/>
            <w:noWrap/>
            <w:vAlign w:val="center"/>
          </w:tcPr>
          <w:p w14:paraId="6105A936">
            <w:pPr>
              <w:jc w:val="center"/>
              <w:rPr>
                <w:color w:val="000000"/>
                <w:sz w:val="20"/>
                <w:szCs w:val="20"/>
              </w:rPr>
            </w:pPr>
            <w:r>
              <w:rPr>
                <w:color w:val="000000"/>
                <w:sz w:val="20"/>
                <w:szCs w:val="20"/>
              </w:rPr>
              <w:t>1.992.618.000</w:t>
            </w:r>
          </w:p>
        </w:tc>
      </w:tr>
      <w:tr w14:paraId="1BC6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4AD2A7B">
            <w:pPr>
              <w:jc w:val="center"/>
              <w:rPr>
                <w:b/>
                <w:bCs/>
                <w:color w:val="000000"/>
                <w:sz w:val="20"/>
                <w:szCs w:val="20"/>
              </w:rPr>
            </w:pPr>
            <w:r>
              <w:rPr>
                <w:b/>
                <w:bCs/>
                <w:color w:val="000000"/>
                <w:sz w:val="20"/>
                <w:szCs w:val="20"/>
              </w:rPr>
              <w:t>LK54</w:t>
            </w:r>
          </w:p>
        </w:tc>
        <w:tc>
          <w:tcPr>
            <w:tcW w:w="1802" w:type="dxa"/>
            <w:vAlign w:val="center"/>
          </w:tcPr>
          <w:p w14:paraId="02436FA1">
            <w:pPr>
              <w:jc w:val="center"/>
              <w:rPr>
                <w:color w:val="000000"/>
                <w:sz w:val="20"/>
                <w:szCs w:val="20"/>
              </w:rPr>
            </w:pPr>
            <w:r>
              <w:rPr>
                <w:color w:val="000000"/>
                <w:sz w:val="20"/>
                <w:szCs w:val="20"/>
              </w:rPr>
              <w:t>LK54:06</w:t>
            </w:r>
          </w:p>
        </w:tc>
        <w:tc>
          <w:tcPr>
            <w:tcW w:w="1033" w:type="dxa"/>
            <w:noWrap/>
            <w:vAlign w:val="center"/>
          </w:tcPr>
          <w:p w14:paraId="701E16C7">
            <w:pPr>
              <w:jc w:val="center"/>
              <w:rPr>
                <w:color w:val="000000"/>
                <w:sz w:val="20"/>
                <w:szCs w:val="20"/>
              </w:rPr>
            </w:pPr>
            <w:r>
              <w:rPr>
                <w:color w:val="000000"/>
                <w:sz w:val="20"/>
                <w:szCs w:val="20"/>
              </w:rPr>
              <w:t>111,27</w:t>
            </w:r>
          </w:p>
        </w:tc>
        <w:tc>
          <w:tcPr>
            <w:tcW w:w="846" w:type="dxa"/>
            <w:noWrap/>
            <w:vAlign w:val="center"/>
          </w:tcPr>
          <w:p w14:paraId="4D5CBF57">
            <w:pPr>
              <w:jc w:val="center"/>
              <w:rPr>
                <w:color w:val="000000"/>
                <w:sz w:val="20"/>
                <w:szCs w:val="20"/>
              </w:rPr>
            </w:pPr>
            <w:r>
              <w:rPr>
                <w:color w:val="000000"/>
                <w:sz w:val="20"/>
                <w:szCs w:val="20"/>
              </w:rPr>
              <w:t>1</w:t>
            </w:r>
          </w:p>
        </w:tc>
        <w:tc>
          <w:tcPr>
            <w:tcW w:w="2578" w:type="dxa"/>
            <w:noWrap/>
            <w:vAlign w:val="center"/>
          </w:tcPr>
          <w:p w14:paraId="7A253E80">
            <w:pPr>
              <w:jc w:val="center"/>
              <w:rPr>
                <w:color w:val="000000"/>
                <w:sz w:val="20"/>
                <w:szCs w:val="20"/>
              </w:rPr>
            </w:pPr>
            <w:r>
              <w:rPr>
                <w:color w:val="000000"/>
                <w:sz w:val="20"/>
                <w:szCs w:val="20"/>
              </w:rPr>
              <w:t>Mặt cắt 5-5</w:t>
            </w:r>
          </w:p>
        </w:tc>
        <w:tc>
          <w:tcPr>
            <w:tcW w:w="2393" w:type="dxa"/>
            <w:noWrap/>
            <w:vAlign w:val="center"/>
          </w:tcPr>
          <w:p w14:paraId="01DBA2CC">
            <w:pPr>
              <w:jc w:val="center"/>
              <w:rPr>
                <w:color w:val="000000"/>
                <w:sz w:val="20"/>
                <w:szCs w:val="20"/>
              </w:rPr>
            </w:pPr>
            <w:r>
              <w:rPr>
                <w:color w:val="000000"/>
                <w:sz w:val="20"/>
                <w:szCs w:val="20"/>
              </w:rPr>
              <w:t>Một mặt tiền</w:t>
            </w:r>
          </w:p>
        </w:tc>
        <w:tc>
          <w:tcPr>
            <w:tcW w:w="1198" w:type="dxa"/>
            <w:noWrap/>
            <w:vAlign w:val="center"/>
          </w:tcPr>
          <w:p w14:paraId="62012DF8">
            <w:pPr>
              <w:jc w:val="center"/>
              <w:rPr>
                <w:color w:val="000000"/>
                <w:sz w:val="20"/>
                <w:szCs w:val="20"/>
              </w:rPr>
            </w:pPr>
            <w:r>
              <w:rPr>
                <w:color w:val="000000"/>
                <w:sz w:val="20"/>
                <w:szCs w:val="20"/>
              </w:rPr>
              <w:t>18.600.000</w:t>
            </w:r>
          </w:p>
        </w:tc>
        <w:tc>
          <w:tcPr>
            <w:tcW w:w="1236" w:type="dxa"/>
            <w:noWrap/>
            <w:vAlign w:val="center"/>
          </w:tcPr>
          <w:p w14:paraId="624D7656">
            <w:pPr>
              <w:jc w:val="center"/>
              <w:rPr>
                <w:color w:val="000000"/>
                <w:sz w:val="20"/>
                <w:szCs w:val="20"/>
              </w:rPr>
            </w:pPr>
          </w:p>
        </w:tc>
        <w:tc>
          <w:tcPr>
            <w:tcW w:w="1252" w:type="dxa"/>
            <w:noWrap/>
            <w:vAlign w:val="center"/>
          </w:tcPr>
          <w:p w14:paraId="50C199A8">
            <w:pPr>
              <w:jc w:val="center"/>
              <w:rPr>
                <w:color w:val="000000"/>
                <w:sz w:val="20"/>
                <w:szCs w:val="20"/>
              </w:rPr>
            </w:pPr>
            <w:r>
              <w:rPr>
                <w:color w:val="000000"/>
                <w:sz w:val="20"/>
                <w:szCs w:val="20"/>
              </w:rPr>
              <w:t>18.600.000</w:t>
            </w:r>
          </w:p>
        </w:tc>
        <w:tc>
          <w:tcPr>
            <w:tcW w:w="1848" w:type="dxa"/>
            <w:noWrap/>
            <w:vAlign w:val="center"/>
          </w:tcPr>
          <w:p w14:paraId="2E30A8C2">
            <w:pPr>
              <w:jc w:val="center"/>
              <w:rPr>
                <w:color w:val="000000"/>
                <w:sz w:val="20"/>
                <w:szCs w:val="20"/>
              </w:rPr>
            </w:pPr>
            <w:r>
              <w:rPr>
                <w:color w:val="000000"/>
                <w:sz w:val="20"/>
                <w:szCs w:val="20"/>
              </w:rPr>
              <w:t>2.069.622.000</w:t>
            </w:r>
          </w:p>
        </w:tc>
      </w:tr>
      <w:tr w14:paraId="6F69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AC2B729">
            <w:pPr>
              <w:jc w:val="center"/>
              <w:rPr>
                <w:b/>
                <w:bCs/>
                <w:color w:val="000000"/>
                <w:sz w:val="20"/>
                <w:szCs w:val="20"/>
              </w:rPr>
            </w:pPr>
            <w:r>
              <w:rPr>
                <w:b/>
                <w:bCs/>
                <w:color w:val="000000"/>
                <w:sz w:val="20"/>
                <w:szCs w:val="20"/>
              </w:rPr>
              <w:t>LK54</w:t>
            </w:r>
          </w:p>
        </w:tc>
        <w:tc>
          <w:tcPr>
            <w:tcW w:w="1802" w:type="dxa"/>
            <w:vAlign w:val="center"/>
          </w:tcPr>
          <w:p w14:paraId="5AF961D5">
            <w:pPr>
              <w:jc w:val="center"/>
              <w:rPr>
                <w:color w:val="000000"/>
                <w:sz w:val="20"/>
                <w:szCs w:val="20"/>
              </w:rPr>
            </w:pPr>
            <w:r>
              <w:rPr>
                <w:color w:val="000000"/>
                <w:sz w:val="20"/>
                <w:szCs w:val="20"/>
              </w:rPr>
              <w:t>LK54:07</w:t>
            </w:r>
          </w:p>
        </w:tc>
        <w:tc>
          <w:tcPr>
            <w:tcW w:w="1033" w:type="dxa"/>
            <w:noWrap/>
            <w:vAlign w:val="center"/>
          </w:tcPr>
          <w:p w14:paraId="2C2AFC3A">
            <w:pPr>
              <w:jc w:val="center"/>
              <w:rPr>
                <w:color w:val="000000"/>
                <w:sz w:val="20"/>
                <w:szCs w:val="20"/>
              </w:rPr>
            </w:pPr>
            <w:r>
              <w:rPr>
                <w:color w:val="000000"/>
                <w:sz w:val="20"/>
                <w:szCs w:val="20"/>
              </w:rPr>
              <w:t>114,78</w:t>
            </w:r>
          </w:p>
        </w:tc>
        <w:tc>
          <w:tcPr>
            <w:tcW w:w="846" w:type="dxa"/>
            <w:noWrap/>
            <w:vAlign w:val="center"/>
          </w:tcPr>
          <w:p w14:paraId="081AFA5E">
            <w:pPr>
              <w:jc w:val="center"/>
              <w:rPr>
                <w:color w:val="000000"/>
                <w:sz w:val="20"/>
                <w:szCs w:val="20"/>
              </w:rPr>
            </w:pPr>
            <w:r>
              <w:rPr>
                <w:color w:val="000000"/>
                <w:sz w:val="20"/>
                <w:szCs w:val="20"/>
              </w:rPr>
              <w:t>1</w:t>
            </w:r>
          </w:p>
        </w:tc>
        <w:tc>
          <w:tcPr>
            <w:tcW w:w="2578" w:type="dxa"/>
            <w:noWrap/>
            <w:vAlign w:val="center"/>
          </w:tcPr>
          <w:p w14:paraId="0E038B98">
            <w:pPr>
              <w:jc w:val="center"/>
              <w:rPr>
                <w:color w:val="000000"/>
                <w:sz w:val="20"/>
                <w:szCs w:val="20"/>
              </w:rPr>
            </w:pPr>
            <w:r>
              <w:rPr>
                <w:color w:val="000000"/>
                <w:sz w:val="20"/>
                <w:szCs w:val="20"/>
              </w:rPr>
              <w:t>Mặt cắt 5-5</w:t>
            </w:r>
          </w:p>
        </w:tc>
        <w:tc>
          <w:tcPr>
            <w:tcW w:w="2393" w:type="dxa"/>
            <w:noWrap/>
            <w:vAlign w:val="center"/>
          </w:tcPr>
          <w:p w14:paraId="390EF679">
            <w:pPr>
              <w:jc w:val="center"/>
              <w:rPr>
                <w:color w:val="000000"/>
                <w:sz w:val="20"/>
                <w:szCs w:val="20"/>
              </w:rPr>
            </w:pPr>
            <w:r>
              <w:rPr>
                <w:color w:val="000000"/>
                <w:sz w:val="20"/>
                <w:szCs w:val="20"/>
              </w:rPr>
              <w:t>Một mặt tiền</w:t>
            </w:r>
          </w:p>
        </w:tc>
        <w:tc>
          <w:tcPr>
            <w:tcW w:w="1198" w:type="dxa"/>
            <w:noWrap/>
            <w:vAlign w:val="center"/>
          </w:tcPr>
          <w:p w14:paraId="0E1258E6">
            <w:pPr>
              <w:jc w:val="center"/>
              <w:rPr>
                <w:color w:val="000000"/>
                <w:sz w:val="20"/>
                <w:szCs w:val="20"/>
              </w:rPr>
            </w:pPr>
            <w:r>
              <w:rPr>
                <w:color w:val="000000"/>
                <w:sz w:val="20"/>
                <w:szCs w:val="20"/>
              </w:rPr>
              <w:t>18.600.000</w:t>
            </w:r>
          </w:p>
        </w:tc>
        <w:tc>
          <w:tcPr>
            <w:tcW w:w="1236" w:type="dxa"/>
            <w:noWrap/>
            <w:vAlign w:val="center"/>
          </w:tcPr>
          <w:p w14:paraId="70E93A55">
            <w:pPr>
              <w:jc w:val="center"/>
              <w:rPr>
                <w:color w:val="000000"/>
                <w:sz w:val="20"/>
                <w:szCs w:val="20"/>
              </w:rPr>
            </w:pPr>
          </w:p>
        </w:tc>
        <w:tc>
          <w:tcPr>
            <w:tcW w:w="1252" w:type="dxa"/>
            <w:noWrap/>
            <w:vAlign w:val="center"/>
          </w:tcPr>
          <w:p w14:paraId="3E6FB35C">
            <w:pPr>
              <w:jc w:val="center"/>
              <w:rPr>
                <w:color w:val="000000"/>
                <w:sz w:val="20"/>
                <w:szCs w:val="20"/>
              </w:rPr>
            </w:pPr>
            <w:r>
              <w:rPr>
                <w:color w:val="000000"/>
                <w:sz w:val="20"/>
                <w:szCs w:val="20"/>
              </w:rPr>
              <w:t>18.600.000</w:t>
            </w:r>
          </w:p>
        </w:tc>
        <w:tc>
          <w:tcPr>
            <w:tcW w:w="1848" w:type="dxa"/>
            <w:noWrap/>
            <w:vAlign w:val="center"/>
          </w:tcPr>
          <w:p w14:paraId="5E409A3A">
            <w:pPr>
              <w:jc w:val="center"/>
              <w:rPr>
                <w:color w:val="000000"/>
                <w:sz w:val="20"/>
                <w:szCs w:val="20"/>
              </w:rPr>
            </w:pPr>
            <w:r>
              <w:rPr>
                <w:color w:val="000000"/>
                <w:sz w:val="20"/>
                <w:szCs w:val="20"/>
              </w:rPr>
              <w:t>2.134.908.000</w:t>
            </w:r>
          </w:p>
        </w:tc>
      </w:tr>
      <w:tr w14:paraId="7F1D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6E2DE1">
            <w:pPr>
              <w:jc w:val="center"/>
              <w:rPr>
                <w:b/>
                <w:bCs/>
                <w:color w:val="000000"/>
                <w:sz w:val="20"/>
                <w:szCs w:val="20"/>
              </w:rPr>
            </w:pPr>
            <w:r>
              <w:rPr>
                <w:b/>
                <w:bCs/>
                <w:color w:val="000000"/>
                <w:sz w:val="20"/>
                <w:szCs w:val="20"/>
              </w:rPr>
              <w:t>LK54</w:t>
            </w:r>
          </w:p>
        </w:tc>
        <w:tc>
          <w:tcPr>
            <w:tcW w:w="1802" w:type="dxa"/>
            <w:vAlign w:val="center"/>
          </w:tcPr>
          <w:p w14:paraId="69E2DB97">
            <w:pPr>
              <w:jc w:val="center"/>
              <w:rPr>
                <w:color w:val="000000"/>
                <w:sz w:val="20"/>
                <w:szCs w:val="20"/>
              </w:rPr>
            </w:pPr>
            <w:r>
              <w:rPr>
                <w:color w:val="000000"/>
                <w:sz w:val="20"/>
                <w:szCs w:val="20"/>
              </w:rPr>
              <w:t>LK54:08</w:t>
            </w:r>
          </w:p>
        </w:tc>
        <w:tc>
          <w:tcPr>
            <w:tcW w:w="1033" w:type="dxa"/>
            <w:noWrap/>
            <w:vAlign w:val="center"/>
          </w:tcPr>
          <w:p w14:paraId="3F0F1B4E">
            <w:pPr>
              <w:jc w:val="center"/>
              <w:rPr>
                <w:color w:val="000000"/>
                <w:sz w:val="20"/>
                <w:szCs w:val="20"/>
              </w:rPr>
            </w:pPr>
            <w:r>
              <w:rPr>
                <w:color w:val="000000"/>
                <w:sz w:val="20"/>
                <w:szCs w:val="20"/>
              </w:rPr>
              <w:t>117,48</w:t>
            </w:r>
          </w:p>
        </w:tc>
        <w:tc>
          <w:tcPr>
            <w:tcW w:w="846" w:type="dxa"/>
            <w:noWrap/>
            <w:vAlign w:val="center"/>
          </w:tcPr>
          <w:p w14:paraId="419744F2">
            <w:pPr>
              <w:jc w:val="center"/>
              <w:rPr>
                <w:color w:val="000000"/>
                <w:sz w:val="20"/>
                <w:szCs w:val="20"/>
              </w:rPr>
            </w:pPr>
            <w:r>
              <w:rPr>
                <w:color w:val="000000"/>
                <w:sz w:val="20"/>
                <w:szCs w:val="20"/>
              </w:rPr>
              <w:t>1</w:t>
            </w:r>
          </w:p>
        </w:tc>
        <w:tc>
          <w:tcPr>
            <w:tcW w:w="2578" w:type="dxa"/>
            <w:noWrap/>
            <w:vAlign w:val="center"/>
          </w:tcPr>
          <w:p w14:paraId="633CC7F0">
            <w:pPr>
              <w:jc w:val="center"/>
              <w:rPr>
                <w:color w:val="000000"/>
                <w:sz w:val="20"/>
                <w:szCs w:val="20"/>
              </w:rPr>
            </w:pPr>
            <w:r>
              <w:rPr>
                <w:color w:val="000000"/>
                <w:sz w:val="20"/>
                <w:szCs w:val="20"/>
              </w:rPr>
              <w:t>Mặt cắt 5-5</w:t>
            </w:r>
          </w:p>
        </w:tc>
        <w:tc>
          <w:tcPr>
            <w:tcW w:w="2393" w:type="dxa"/>
            <w:noWrap/>
            <w:vAlign w:val="center"/>
          </w:tcPr>
          <w:p w14:paraId="2DCF1BBA">
            <w:pPr>
              <w:jc w:val="center"/>
              <w:rPr>
                <w:color w:val="000000"/>
                <w:sz w:val="20"/>
                <w:szCs w:val="20"/>
              </w:rPr>
            </w:pPr>
            <w:r>
              <w:rPr>
                <w:color w:val="000000"/>
                <w:sz w:val="20"/>
                <w:szCs w:val="20"/>
              </w:rPr>
              <w:t>Một mặt tiền</w:t>
            </w:r>
          </w:p>
        </w:tc>
        <w:tc>
          <w:tcPr>
            <w:tcW w:w="1198" w:type="dxa"/>
            <w:noWrap/>
            <w:vAlign w:val="center"/>
          </w:tcPr>
          <w:p w14:paraId="7D678ABB">
            <w:pPr>
              <w:jc w:val="center"/>
              <w:rPr>
                <w:color w:val="000000"/>
                <w:sz w:val="20"/>
                <w:szCs w:val="20"/>
              </w:rPr>
            </w:pPr>
            <w:r>
              <w:rPr>
                <w:color w:val="000000"/>
                <w:sz w:val="20"/>
                <w:szCs w:val="20"/>
              </w:rPr>
              <w:t>18.600.000</w:t>
            </w:r>
          </w:p>
        </w:tc>
        <w:tc>
          <w:tcPr>
            <w:tcW w:w="1236" w:type="dxa"/>
            <w:noWrap/>
            <w:vAlign w:val="center"/>
          </w:tcPr>
          <w:p w14:paraId="084211D0">
            <w:pPr>
              <w:jc w:val="center"/>
              <w:rPr>
                <w:color w:val="000000"/>
                <w:sz w:val="20"/>
                <w:szCs w:val="20"/>
              </w:rPr>
            </w:pPr>
          </w:p>
        </w:tc>
        <w:tc>
          <w:tcPr>
            <w:tcW w:w="1252" w:type="dxa"/>
            <w:noWrap/>
            <w:vAlign w:val="center"/>
          </w:tcPr>
          <w:p w14:paraId="69B1FF00">
            <w:pPr>
              <w:jc w:val="center"/>
              <w:rPr>
                <w:color w:val="000000"/>
                <w:sz w:val="20"/>
                <w:szCs w:val="20"/>
              </w:rPr>
            </w:pPr>
            <w:r>
              <w:rPr>
                <w:color w:val="000000"/>
                <w:sz w:val="20"/>
                <w:szCs w:val="20"/>
              </w:rPr>
              <w:t>18.600.000</w:t>
            </w:r>
          </w:p>
        </w:tc>
        <w:tc>
          <w:tcPr>
            <w:tcW w:w="1848" w:type="dxa"/>
            <w:noWrap/>
            <w:vAlign w:val="center"/>
          </w:tcPr>
          <w:p w14:paraId="6C9083CE">
            <w:pPr>
              <w:jc w:val="center"/>
              <w:rPr>
                <w:color w:val="000000"/>
                <w:sz w:val="20"/>
                <w:szCs w:val="20"/>
              </w:rPr>
            </w:pPr>
            <w:r>
              <w:rPr>
                <w:color w:val="000000"/>
                <w:sz w:val="20"/>
                <w:szCs w:val="20"/>
              </w:rPr>
              <w:t>2.185.128.000</w:t>
            </w:r>
          </w:p>
        </w:tc>
      </w:tr>
      <w:tr w14:paraId="2D13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66EC497">
            <w:pPr>
              <w:jc w:val="center"/>
              <w:rPr>
                <w:b/>
                <w:bCs/>
                <w:color w:val="000000"/>
                <w:sz w:val="20"/>
                <w:szCs w:val="20"/>
              </w:rPr>
            </w:pPr>
            <w:r>
              <w:rPr>
                <w:b/>
                <w:bCs/>
                <w:color w:val="000000"/>
                <w:sz w:val="20"/>
                <w:szCs w:val="20"/>
              </w:rPr>
              <w:t>LK56</w:t>
            </w:r>
          </w:p>
        </w:tc>
        <w:tc>
          <w:tcPr>
            <w:tcW w:w="1802" w:type="dxa"/>
            <w:vAlign w:val="center"/>
          </w:tcPr>
          <w:p w14:paraId="0278A69B">
            <w:pPr>
              <w:jc w:val="center"/>
              <w:rPr>
                <w:color w:val="000000"/>
                <w:sz w:val="20"/>
                <w:szCs w:val="20"/>
              </w:rPr>
            </w:pPr>
            <w:r>
              <w:rPr>
                <w:color w:val="000000"/>
                <w:sz w:val="20"/>
                <w:szCs w:val="20"/>
              </w:rPr>
              <w:t>LK56:02</w:t>
            </w:r>
          </w:p>
        </w:tc>
        <w:tc>
          <w:tcPr>
            <w:tcW w:w="1033" w:type="dxa"/>
            <w:noWrap/>
            <w:vAlign w:val="center"/>
          </w:tcPr>
          <w:p w14:paraId="699C424D">
            <w:pPr>
              <w:jc w:val="center"/>
              <w:rPr>
                <w:color w:val="000000"/>
                <w:sz w:val="20"/>
                <w:szCs w:val="20"/>
              </w:rPr>
            </w:pPr>
            <w:r>
              <w:rPr>
                <w:color w:val="000000"/>
                <w:sz w:val="20"/>
                <w:szCs w:val="20"/>
              </w:rPr>
              <w:t>117,24</w:t>
            </w:r>
          </w:p>
        </w:tc>
        <w:tc>
          <w:tcPr>
            <w:tcW w:w="846" w:type="dxa"/>
            <w:noWrap/>
            <w:vAlign w:val="center"/>
          </w:tcPr>
          <w:p w14:paraId="2AA87472">
            <w:pPr>
              <w:jc w:val="center"/>
              <w:rPr>
                <w:color w:val="000000"/>
                <w:sz w:val="20"/>
                <w:szCs w:val="20"/>
              </w:rPr>
            </w:pPr>
            <w:r>
              <w:rPr>
                <w:color w:val="000000"/>
                <w:sz w:val="20"/>
                <w:szCs w:val="20"/>
              </w:rPr>
              <w:t>1</w:t>
            </w:r>
          </w:p>
        </w:tc>
        <w:tc>
          <w:tcPr>
            <w:tcW w:w="2578" w:type="dxa"/>
            <w:noWrap/>
            <w:vAlign w:val="center"/>
          </w:tcPr>
          <w:p w14:paraId="1B87F62F">
            <w:pPr>
              <w:jc w:val="center"/>
              <w:rPr>
                <w:color w:val="000000"/>
                <w:sz w:val="20"/>
                <w:szCs w:val="20"/>
              </w:rPr>
            </w:pPr>
            <w:r>
              <w:rPr>
                <w:color w:val="000000"/>
                <w:sz w:val="20"/>
                <w:szCs w:val="20"/>
              </w:rPr>
              <w:t>Mặt cắt 5-5</w:t>
            </w:r>
          </w:p>
        </w:tc>
        <w:tc>
          <w:tcPr>
            <w:tcW w:w="2393" w:type="dxa"/>
            <w:noWrap/>
            <w:vAlign w:val="center"/>
          </w:tcPr>
          <w:p w14:paraId="49FC2877">
            <w:pPr>
              <w:jc w:val="center"/>
              <w:rPr>
                <w:color w:val="000000"/>
                <w:sz w:val="20"/>
                <w:szCs w:val="20"/>
              </w:rPr>
            </w:pPr>
            <w:r>
              <w:rPr>
                <w:color w:val="000000"/>
                <w:sz w:val="20"/>
                <w:szCs w:val="20"/>
              </w:rPr>
              <w:t>Một mặt tiền</w:t>
            </w:r>
          </w:p>
        </w:tc>
        <w:tc>
          <w:tcPr>
            <w:tcW w:w="1198" w:type="dxa"/>
            <w:noWrap/>
            <w:vAlign w:val="center"/>
          </w:tcPr>
          <w:p w14:paraId="69A92A54">
            <w:pPr>
              <w:jc w:val="center"/>
              <w:rPr>
                <w:color w:val="000000"/>
                <w:sz w:val="20"/>
                <w:szCs w:val="20"/>
              </w:rPr>
            </w:pPr>
            <w:r>
              <w:rPr>
                <w:color w:val="000000"/>
                <w:sz w:val="20"/>
                <w:szCs w:val="20"/>
              </w:rPr>
              <w:t>18.600.000</w:t>
            </w:r>
          </w:p>
        </w:tc>
        <w:tc>
          <w:tcPr>
            <w:tcW w:w="1236" w:type="dxa"/>
            <w:noWrap/>
            <w:vAlign w:val="center"/>
          </w:tcPr>
          <w:p w14:paraId="19C9D533">
            <w:pPr>
              <w:jc w:val="center"/>
              <w:rPr>
                <w:color w:val="000000"/>
                <w:sz w:val="20"/>
                <w:szCs w:val="20"/>
              </w:rPr>
            </w:pPr>
          </w:p>
        </w:tc>
        <w:tc>
          <w:tcPr>
            <w:tcW w:w="1252" w:type="dxa"/>
            <w:noWrap/>
            <w:vAlign w:val="center"/>
          </w:tcPr>
          <w:p w14:paraId="6F04C297">
            <w:pPr>
              <w:jc w:val="center"/>
              <w:rPr>
                <w:color w:val="000000"/>
                <w:sz w:val="20"/>
                <w:szCs w:val="20"/>
              </w:rPr>
            </w:pPr>
            <w:r>
              <w:rPr>
                <w:color w:val="000000"/>
                <w:sz w:val="20"/>
                <w:szCs w:val="20"/>
              </w:rPr>
              <w:t>18.600.000</w:t>
            </w:r>
          </w:p>
        </w:tc>
        <w:tc>
          <w:tcPr>
            <w:tcW w:w="1848" w:type="dxa"/>
            <w:noWrap/>
            <w:vAlign w:val="center"/>
          </w:tcPr>
          <w:p w14:paraId="24AA1C7C">
            <w:pPr>
              <w:jc w:val="center"/>
              <w:rPr>
                <w:color w:val="000000"/>
                <w:sz w:val="20"/>
                <w:szCs w:val="20"/>
              </w:rPr>
            </w:pPr>
            <w:r>
              <w:rPr>
                <w:color w:val="000000"/>
                <w:sz w:val="20"/>
                <w:szCs w:val="20"/>
              </w:rPr>
              <w:t>2.180.664.000</w:t>
            </w:r>
          </w:p>
        </w:tc>
      </w:tr>
      <w:tr w14:paraId="2226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FCE7A50">
            <w:pPr>
              <w:jc w:val="center"/>
              <w:rPr>
                <w:b/>
                <w:bCs/>
                <w:color w:val="000000"/>
                <w:sz w:val="20"/>
                <w:szCs w:val="20"/>
              </w:rPr>
            </w:pPr>
            <w:r>
              <w:rPr>
                <w:b/>
                <w:bCs/>
                <w:color w:val="000000"/>
                <w:sz w:val="20"/>
                <w:szCs w:val="20"/>
              </w:rPr>
              <w:t>LK56</w:t>
            </w:r>
          </w:p>
        </w:tc>
        <w:tc>
          <w:tcPr>
            <w:tcW w:w="1802" w:type="dxa"/>
            <w:vAlign w:val="center"/>
          </w:tcPr>
          <w:p w14:paraId="0F374288">
            <w:pPr>
              <w:jc w:val="center"/>
              <w:rPr>
                <w:color w:val="000000"/>
                <w:sz w:val="20"/>
                <w:szCs w:val="20"/>
              </w:rPr>
            </w:pPr>
            <w:r>
              <w:rPr>
                <w:color w:val="000000"/>
                <w:sz w:val="20"/>
                <w:szCs w:val="20"/>
              </w:rPr>
              <w:t>LK56:03</w:t>
            </w:r>
          </w:p>
        </w:tc>
        <w:tc>
          <w:tcPr>
            <w:tcW w:w="1033" w:type="dxa"/>
            <w:noWrap/>
            <w:vAlign w:val="center"/>
          </w:tcPr>
          <w:p w14:paraId="56000B5C">
            <w:pPr>
              <w:jc w:val="center"/>
              <w:rPr>
                <w:color w:val="000000"/>
                <w:sz w:val="20"/>
                <w:szCs w:val="20"/>
              </w:rPr>
            </w:pPr>
            <w:r>
              <w:rPr>
                <w:color w:val="000000"/>
                <w:sz w:val="20"/>
                <w:szCs w:val="20"/>
              </w:rPr>
              <w:t>114,53</w:t>
            </w:r>
          </w:p>
        </w:tc>
        <w:tc>
          <w:tcPr>
            <w:tcW w:w="846" w:type="dxa"/>
            <w:noWrap/>
            <w:vAlign w:val="center"/>
          </w:tcPr>
          <w:p w14:paraId="5AC0ABDA">
            <w:pPr>
              <w:jc w:val="center"/>
              <w:rPr>
                <w:color w:val="000000"/>
                <w:sz w:val="20"/>
                <w:szCs w:val="20"/>
              </w:rPr>
            </w:pPr>
            <w:r>
              <w:rPr>
                <w:color w:val="000000"/>
                <w:sz w:val="20"/>
                <w:szCs w:val="20"/>
              </w:rPr>
              <w:t>1</w:t>
            </w:r>
          </w:p>
        </w:tc>
        <w:tc>
          <w:tcPr>
            <w:tcW w:w="2578" w:type="dxa"/>
            <w:noWrap/>
            <w:vAlign w:val="center"/>
          </w:tcPr>
          <w:p w14:paraId="2C8DA576">
            <w:pPr>
              <w:jc w:val="center"/>
              <w:rPr>
                <w:color w:val="000000"/>
                <w:sz w:val="20"/>
                <w:szCs w:val="20"/>
              </w:rPr>
            </w:pPr>
            <w:r>
              <w:rPr>
                <w:color w:val="000000"/>
                <w:sz w:val="20"/>
                <w:szCs w:val="20"/>
              </w:rPr>
              <w:t>Mặt cắt 5-5</w:t>
            </w:r>
          </w:p>
        </w:tc>
        <w:tc>
          <w:tcPr>
            <w:tcW w:w="2393" w:type="dxa"/>
            <w:noWrap/>
            <w:vAlign w:val="center"/>
          </w:tcPr>
          <w:p w14:paraId="51115C7C">
            <w:pPr>
              <w:jc w:val="center"/>
              <w:rPr>
                <w:color w:val="000000"/>
                <w:sz w:val="20"/>
                <w:szCs w:val="20"/>
              </w:rPr>
            </w:pPr>
            <w:r>
              <w:rPr>
                <w:color w:val="000000"/>
                <w:sz w:val="20"/>
                <w:szCs w:val="20"/>
              </w:rPr>
              <w:t>Một mặt tiền</w:t>
            </w:r>
          </w:p>
        </w:tc>
        <w:tc>
          <w:tcPr>
            <w:tcW w:w="1198" w:type="dxa"/>
            <w:noWrap/>
            <w:vAlign w:val="center"/>
          </w:tcPr>
          <w:p w14:paraId="2215D8DD">
            <w:pPr>
              <w:jc w:val="center"/>
              <w:rPr>
                <w:color w:val="000000"/>
                <w:sz w:val="20"/>
                <w:szCs w:val="20"/>
              </w:rPr>
            </w:pPr>
            <w:r>
              <w:rPr>
                <w:color w:val="000000"/>
                <w:sz w:val="20"/>
                <w:szCs w:val="20"/>
              </w:rPr>
              <w:t>18.600.000</w:t>
            </w:r>
          </w:p>
        </w:tc>
        <w:tc>
          <w:tcPr>
            <w:tcW w:w="1236" w:type="dxa"/>
            <w:noWrap/>
            <w:vAlign w:val="center"/>
          </w:tcPr>
          <w:p w14:paraId="3B2D6BA1">
            <w:pPr>
              <w:jc w:val="center"/>
              <w:rPr>
                <w:color w:val="000000"/>
                <w:sz w:val="20"/>
                <w:szCs w:val="20"/>
              </w:rPr>
            </w:pPr>
          </w:p>
        </w:tc>
        <w:tc>
          <w:tcPr>
            <w:tcW w:w="1252" w:type="dxa"/>
            <w:noWrap/>
            <w:vAlign w:val="center"/>
          </w:tcPr>
          <w:p w14:paraId="5886D50E">
            <w:pPr>
              <w:jc w:val="center"/>
              <w:rPr>
                <w:color w:val="000000"/>
                <w:sz w:val="20"/>
                <w:szCs w:val="20"/>
              </w:rPr>
            </w:pPr>
            <w:r>
              <w:rPr>
                <w:color w:val="000000"/>
                <w:sz w:val="20"/>
                <w:szCs w:val="20"/>
              </w:rPr>
              <w:t>18.600.000</w:t>
            </w:r>
          </w:p>
        </w:tc>
        <w:tc>
          <w:tcPr>
            <w:tcW w:w="1848" w:type="dxa"/>
            <w:noWrap/>
            <w:vAlign w:val="center"/>
          </w:tcPr>
          <w:p w14:paraId="47A8648F">
            <w:pPr>
              <w:jc w:val="center"/>
              <w:rPr>
                <w:color w:val="000000"/>
                <w:sz w:val="20"/>
                <w:szCs w:val="20"/>
              </w:rPr>
            </w:pPr>
            <w:r>
              <w:rPr>
                <w:color w:val="000000"/>
                <w:sz w:val="20"/>
                <w:szCs w:val="20"/>
              </w:rPr>
              <w:t>2.130.258.000</w:t>
            </w:r>
          </w:p>
        </w:tc>
      </w:tr>
      <w:tr w14:paraId="5EAC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ED73EAF">
            <w:pPr>
              <w:jc w:val="center"/>
              <w:rPr>
                <w:b/>
                <w:bCs/>
                <w:color w:val="000000"/>
                <w:sz w:val="20"/>
                <w:szCs w:val="20"/>
              </w:rPr>
            </w:pPr>
            <w:r>
              <w:rPr>
                <w:b/>
                <w:bCs/>
                <w:color w:val="000000"/>
                <w:sz w:val="20"/>
                <w:szCs w:val="20"/>
              </w:rPr>
              <w:t>LK56</w:t>
            </w:r>
          </w:p>
        </w:tc>
        <w:tc>
          <w:tcPr>
            <w:tcW w:w="1802" w:type="dxa"/>
            <w:vAlign w:val="center"/>
          </w:tcPr>
          <w:p w14:paraId="628C943E">
            <w:pPr>
              <w:jc w:val="center"/>
              <w:rPr>
                <w:color w:val="000000"/>
                <w:sz w:val="20"/>
                <w:szCs w:val="20"/>
              </w:rPr>
            </w:pPr>
            <w:r>
              <w:rPr>
                <w:color w:val="000000"/>
                <w:sz w:val="20"/>
                <w:szCs w:val="20"/>
              </w:rPr>
              <w:t>LK56:04</w:t>
            </w:r>
          </w:p>
        </w:tc>
        <w:tc>
          <w:tcPr>
            <w:tcW w:w="1033" w:type="dxa"/>
            <w:noWrap/>
            <w:vAlign w:val="center"/>
          </w:tcPr>
          <w:p w14:paraId="461FF21A">
            <w:pPr>
              <w:jc w:val="center"/>
              <w:rPr>
                <w:color w:val="000000"/>
                <w:sz w:val="20"/>
                <w:szCs w:val="20"/>
              </w:rPr>
            </w:pPr>
            <w:r>
              <w:rPr>
                <w:color w:val="000000"/>
                <w:sz w:val="20"/>
                <w:szCs w:val="20"/>
              </w:rPr>
              <w:t>111,65</w:t>
            </w:r>
          </w:p>
        </w:tc>
        <w:tc>
          <w:tcPr>
            <w:tcW w:w="846" w:type="dxa"/>
            <w:noWrap/>
            <w:vAlign w:val="center"/>
          </w:tcPr>
          <w:p w14:paraId="5297B8A5">
            <w:pPr>
              <w:jc w:val="center"/>
              <w:rPr>
                <w:color w:val="000000"/>
                <w:sz w:val="20"/>
                <w:szCs w:val="20"/>
              </w:rPr>
            </w:pPr>
            <w:r>
              <w:rPr>
                <w:color w:val="000000"/>
                <w:sz w:val="20"/>
                <w:szCs w:val="20"/>
              </w:rPr>
              <w:t>1</w:t>
            </w:r>
          </w:p>
        </w:tc>
        <w:tc>
          <w:tcPr>
            <w:tcW w:w="2578" w:type="dxa"/>
            <w:noWrap/>
            <w:vAlign w:val="center"/>
          </w:tcPr>
          <w:p w14:paraId="21936CAF">
            <w:pPr>
              <w:jc w:val="center"/>
              <w:rPr>
                <w:color w:val="000000"/>
                <w:sz w:val="20"/>
                <w:szCs w:val="20"/>
              </w:rPr>
            </w:pPr>
            <w:r>
              <w:rPr>
                <w:color w:val="000000"/>
                <w:sz w:val="20"/>
                <w:szCs w:val="20"/>
              </w:rPr>
              <w:t>Mặt cắt 5-5</w:t>
            </w:r>
          </w:p>
        </w:tc>
        <w:tc>
          <w:tcPr>
            <w:tcW w:w="2393" w:type="dxa"/>
            <w:noWrap/>
            <w:vAlign w:val="center"/>
          </w:tcPr>
          <w:p w14:paraId="2FBD27C7">
            <w:pPr>
              <w:jc w:val="center"/>
              <w:rPr>
                <w:color w:val="000000"/>
                <w:sz w:val="20"/>
                <w:szCs w:val="20"/>
              </w:rPr>
            </w:pPr>
            <w:r>
              <w:rPr>
                <w:color w:val="000000"/>
                <w:sz w:val="20"/>
                <w:szCs w:val="20"/>
              </w:rPr>
              <w:t>Một mặt tiền</w:t>
            </w:r>
          </w:p>
        </w:tc>
        <w:tc>
          <w:tcPr>
            <w:tcW w:w="1198" w:type="dxa"/>
            <w:noWrap/>
            <w:vAlign w:val="center"/>
          </w:tcPr>
          <w:p w14:paraId="06ABCB99">
            <w:pPr>
              <w:jc w:val="center"/>
              <w:rPr>
                <w:color w:val="000000"/>
                <w:sz w:val="20"/>
                <w:szCs w:val="20"/>
              </w:rPr>
            </w:pPr>
            <w:r>
              <w:rPr>
                <w:color w:val="000000"/>
                <w:sz w:val="20"/>
                <w:szCs w:val="20"/>
              </w:rPr>
              <w:t>18.600.000</w:t>
            </w:r>
          </w:p>
        </w:tc>
        <w:tc>
          <w:tcPr>
            <w:tcW w:w="1236" w:type="dxa"/>
            <w:noWrap/>
            <w:vAlign w:val="center"/>
          </w:tcPr>
          <w:p w14:paraId="07AE58F1">
            <w:pPr>
              <w:jc w:val="center"/>
              <w:rPr>
                <w:color w:val="000000"/>
                <w:sz w:val="20"/>
                <w:szCs w:val="20"/>
              </w:rPr>
            </w:pPr>
          </w:p>
        </w:tc>
        <w:tc>
          <w:tcPr>
            <w:tcW w:w="1252" w:type="dxa"/>
            <w:noWrap/>
            <w:vAlign w:val="center"/>
          </w:tcPr>
          <w:p w14:paraId="4696DD68">
            <w:pPr>
              <w:jc w:val="center"/>
              <w:rPr>
                <w:color w:val="000000"/>
                <w:sz w:val="20"/>
                <w:szCs w:val="20"/>
              </w:rPr>
            </w:pPr>
            <w:r>
              <w:rPr>
                <w:color w:val="000000"/>
                <w:sz w:val="20"/>
                <w:szCs w:val="20"/>
              </w:rPr>
              <w:t>18.600.000</w:t>
            </w:r>
          </w:p>
        </w:tc>
        <w:tc>
          <w:tcPr>
            <w:tcW w:w="1848" w:type="dxa"/>
            <w:noWrap/>
            <w:vAlign w:val="center"/>
          </w:tcPr>
          <w:p w14:paraId="24B8C00A">
            <w:pPr>
              <w:jc w:val="center"/>
              <w:rPr>
                <w:color w:val="000000"/>
                <w:sz w:val="20"/>
                <w:szCs w:val="20"/>
              </w:rPr>
            </w:pPr>
            <w:r>
              <w:rPr>
                <w:color w:val="000000"/>
                <w:sz w:val="20"/>
                <w:szCs w:val="20"/>
              </w:rPr>
              <w:t>2.076.690.000</w:t>
            </w:r>
          </w:p>
        </w:tc>
      </w:tr>
      <w:tr w14:paraId="50A7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A06D7E5">
            <w:pPr>
              <w:jc w:val="center"/>
              <w:rPr>
                <w:b/>
                <w:bCs/>
                <w:color w:val="000000"/>
                <w:sz w:val="20"/>
                <w:szCs w:val="20"/>
              </w:rPr>
            </w:pPr>
            <w:r>
              <w:rPr>
                <w:b/>
                <w:bCs/>
                <w:color w:val="000000"/>
                <w:sz w:val="20"/>
                <w:szCs w:val="20"/>
              </w:rPr>
              <w:t>LK56</w:t>
            </w:r>
          </w:p>
        </w:tc>
        <w:tc>
          <w:tcPr>
            <w:tcW w:w="1802" w:type="dxa"/>
            <w:vAlign w:val="center"/>
          </w:tcPr>
          <w:p w14:paraId="439512C8">
            <w:pPr>
              <w:jc w:val="center"/>
              <w:rPr>
                <w:color w:val="000000"/>
                <w:sz w:val="20"/>
                <w:szCs w:val="20"/>
              </w:rPr>
            </w:pPr>
            <w:r>
              <w:rPr>
                <w:color w:val="000000"/>
                <w:sz w:val="20"/>
                <w:szCs w:val="20"/>
              </w:rPr>
              <w:t>LK56:05</w:t>
            </w:r>
          </w:p>
        </w:tc>
        <w:tc>
          <w:tcPr>
            <w:tcW w:w="1033" w:type="dxa"/>
            <w:noWrap/>
            <w:vAlign w:val="center"/>
          </w:tcPr>
          <w:p w14:paraId="48FE4B09">
            <w:pPr>
              <w:jc w:val="center"/>
              <w:rPr>
                <w:color w:val="000000"/>
                <w:sz w:val="20"/>
                <w:szCs w:val="20"/>
              </w:rPr>
            </w:pPr>
            <w:r>
              <w:rPr>
                <w:color w:val="000000"/>
                <w:sz w:val="20"/>
                <w:szCs w:val="20"/>
              </w:rPr>
              <w:t>108,76</w:t>
            </w:r>
          </w:p>
        </w:tc>
        <w:tc>
          <w:tcPr>
            <w:tcW w:w="846" w:type="dxa"/>
            <w:noWrap/>
            <w:vAlign w:val="center"/>
          </w:tcPr>
          <w:p w14:paraId="5E9183F1">
            <w:pPr>
              <w:jc w:val="center"/>
              <w:rPr>
                <w:color w:val="000000"/>
                <w:sz w:val="20"/>
                <w:szCs w:val="20"/>
              </w:rPr>
            </w:pPr>
            <w:r>
              <w:rPr>
                <w:color w:val="000000"/>
                <w:sz w:val="20"/>
                <w:szCs w:val="20"/>
              </w:rPr>
              <w:t>1</w:t>
            </w:r>
          </w:p>
        </w:tc>
        <w:tc>
          <w:tcPr>
            <w:tcW w:w="2578" w:type="dxa"/>
            <w:noWrap/>
            <w:vAlign w:val="center"/>
          </w:tcPr>
          <w:p w14:paraId="0F7F8F11">
            <w:pPr>
              <w:jc w:val="center"/>
              <w:rPr>
                <w:color w:val="000000"/>
                <w:sz w:val="20"/>
                <w:szCs w:val="20"/>
              </w:rPr>
            </w:pPr>
            <w:r>
              <w:rPr>
                <w:color w:val="000000"/>
                <w:sz w:val="20"/>
                <w:szCs w:val="20"/>
              </w:rPr>
              <w:t>Mặt cắt 5-5</w:t>
            </w:r>
          </w:p>
        </w:tc>
        <w:tc>
          <w:tcPr>
            <w:tcW w:w="2393" w:type="dxa"/>
            <w:noWrap/>
            <w:vAlign w:val="center"/>
          </w:tcPr>
          <w:p w14:paraId="2BA042D6">
            <w:pPr>
              <w:jc w:val="center"/>
              <w:rPr>
                <w:color w:val="000000"/>
                <w:sz w:val="20"/>
                <w:szCs w:val="20"/>
              </w:rPr>
            </w:pPr>
            <w:r>
              <w:rPr>
                <w:color w:val="000000"/>
                <w:sz w:val="20"/>
                <w:szCs w:val="20"/>
              </w:rPr>
              <w:t>Một mặt tiền</w:t>
            </w:r>
          </w:p>
        </w:tc>
        <w:tc>
          <w:tcPr>
            <w:tcW w:w="1198" w:type="dxa"/>
            <w:noWrap/>
            <w:vAlign w:val="center"/>
          </w:tcPr>
          <w:p w14:paraId="3E30E668">
            <w:pPr>
              <w:jc w:val="center"/>
              <w:rPr>
                <w:color w:val="000000"/>
                <w:sz w:val="20"/>
                <w:szCs w:val="20"/>
              </w:rPr>
            </w:pPr>
            <w:r>
              <w:rPr>
                <w:color w:val="000000"/>
                <w:sz w:val="20"/>
                <w:szCs w:val="20"/>
              </w:rPr>
              <w:t>18.600.000</w:t>
            </w:r>
          </w:p>
        </w:tc>
        <w:tc>
          <w:tcPr>
            <w:tcW w:w="1236" w:type="dxa"/>
            <w:noWrap/>
            <w:vAlign w:val="center"/>
          </w:tcPr>
          <w:p w14:paraId="7503F560">
            <w:pPr>
              <w:jc w:val="center"/>
              <w:rPr>
                <w:color w:val="000000"/>
                <w:sz w:val="20"/>
                <w:szCs w:val="20"/>
              </w:rPr>
            </w:pPr>
          </w:p>
        </w:tc>
        <w:tc>
          <w:tcPr>
            <w:tcW w:w="1252" w:type="dxa"/>
            <w:noWrap/>
            <w:vAlign w:val="center"/>
          </w:tcPr>
          <w:p w14:paraId="33E95CA9">
            <w:pPr>
              <w:jc w:val="center"/>
              <w:rPr>
                <w:color w:val="000000"/>
                <w:sz w:val="20"/>
                <w:szCs w:val="20"/>
              </w:rPr>
            </w:pPr>
            <w:r>
              <w:rPr>
                <w:color w:val="000000"/>
                <w:sz w:val="20"/>
                <w:szCs w:val="20"/>
              </w:rPr>
              <w:t>18.600.000</w:t>
            </w:r>
          </w:p>
        </w:tc>
        <w:tc>
          <w:tcPr>
            <w:tcW w:w="1848" w:type="dxa"/>
            <w:noWrap/>
            <w:vAlign w:val="center"/>
          </w:tcPr>
          <w:p w14:paraId="1A9491BE">
            <w:pPr>
              <w:jc w:val="center"/>
              <w:rPr>
                <w:color w:val="000000"/>
                <w:sz w:val="20"/>
                <w:szCs w:val="20"/>
              </w:rPr>
            </w:pPr>
            <w:r>
              <w:rPr>
                <w:color w:val="000000"/>
                <w:sz w:val="20"/>
                <w:szCs w:val="20"/>
              </w:rPr>
              <w:t>2.022.936.000</w:t>
            </w:r>
          </w:p>
        </w:tc>
      </w:tr>
      <w:tr w14:paraId="088B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E4CBEA">
            <w:pPr>
              <w:jc w:val="center"/>
              <w:rPr>
                <w:b/>
                <w:bCs/>
                <w:color w:val="000000"/>
                <w:sz w:val="20"/>
                <w:szCs w:val="20"/>
              </w:rPr>
            </w:pPr>
            <w:r>
              <w:rPr>
                <w:b/>
                <w:bCs/>
                <w:color w:val="000000"/>
                <w:sz w:val="20"/>
                <w:szCs w:val="20"/>
              </w:rPr>
              <w:t>LK56</w:t>
            </w:r>
          </w:p>
        </w:tc>
        <w:tc>
          <w:tcPr>
            <w:tcW w:w="1802" w:type="dxa"/>
            <w:vAlign w:val="center"/>
          </w:tcPr>
          <w:p w14:paraId="456FC57F">
            <w:pPr>
              <w:jc w:val="center"/>
              <w:rPr>
                <w:color w:val="000000"/>
                <w:sz w:val="20"/>
                <w:szCs w:val="20"/>
              </w:rPr>
            </w:pPr>
            <w:r>
              <w:rPr>
                <w:color w:val="000000"/>
                <w:sz w:val="20"/>
                <w:szCs w:val="20"/>
              </w:rPr>
              <w:t>LK56:06</w:t>
            </w:r>
          </w:p>
        </w:tc>
        <w:tc>
          <w:tcPr>
            <w:tcW w:w="1033" w:type="dxa"/>
            <w:noWrap/>
            <w:vAlign w:val="center"/>
          </w:tcPr>
          <w:p w14:paraId="6BF86BC8">
            <w:pPr>
              <w:jc w:val="center"/>
              <w:rPr>
                <w:color w:val="000000"/>
                <w:sz w:val="20"/>
                <w:szCs w:val="20"/>
              </w:rPr>
            </w:pPr>
            <w:r>
              <w:rPr>
                <w:color w:val="000000"/>
                <w:sz w:val="20"/>
                <w:szCs w:val="20"/>
              </w:rPr>
              <w:t>105,88</w:t>
            </w:r>
          </w:p>
        </w:tc>
        <w:tc>
          <w:tcPr>
            <w:tcW w:w="846" w:type="dxa"/>
            <w:noWrap/>
            <w:vAlign w:val="center"/>
          </w:tcPr>
          <w:p w14:paraId="344BBEE9">
            <w:pPr>
              <w:jc w:val="center"/>
              <w:rPr>
                <w:color w:val="000000"/>
                <w:sz w:val="20"/>
                <w:szCs w:val="20"/>
              </w:rPr>
            </w:pPr>
            <w:r>
              <w:rPr>
                <w:color w:val="000000"/>
                <w:sz w:val="20"/>
                <w:szCs w:val="20"/>
              </w:rPr>
              <w:t>1</w:t>
            </w:r>
          </w:p>
        </w:tc>
        <w:tc>
          <w:tcPr>
            <w:tcW w:w="2578" w:type="dxa"/>
            <w:noWrap/>
            <w:vAlign w:val="center"/>
          </w:tcPr>
          <w:p w14:paraId="58E7AFCF">
            <w:pPr>
              <w:jc w:val="center"/>
              <w:rPr>
                <w:color w:val="000000"/>
                <w:sz w:val="20"/>
                <w:szCs w:val="20"/>
              </w:rPr>
            </w:pPr>
            <w:r>
              <w:rPr>
                <w:color w:val="000000"/>
                <w:sz w:val="20"/>
                <w:szCs w:val="20"/>
              </w:rPr>
              <w:t>Mặt cắt 5-5</w:t>
            </w:r>
          </w:p>
        </w:tc>
        <w:tc>
          <w:tcPr>
            <w:tcW w:w="2393" w:type="dxa"/>
            <w:noWrap/>
            <w:vAlign w:val="center"/>
          </w:tcPr>
          <w:p w14:paraId="4B5076C2">
            <w:pPr>
              <w:jc w:val="center"/>
              <w:rPr>
                <w:color w:val="000000"/>
                <w:sz w:val="20"/>
                <w:szCs w:val="20"/>
              </w:rPr>
            </w:pPr>
            <w:r>
              <w:rPr>
                <w:color w:val="000000"/>
                <w:sz w:val="20"/>
                <w:szCs w:val="20"/>
              </w:rPr>
              <w:t>Một mặt tiền</w:t>
            </w:r>
          </w:p>
        </w:tc>
        <w:tc>
          <w:tcPr>
            <w:tcW w:w="1198" w:type="dxa"/>
            <w:noWrap/>
            <w:vAlign w:val="center"/>
          </w:tcPr>
          <w:p w14:paraId="68E8D328">
            <w:pPr>
              <w:jc w:val="center"/>
              <w:rPr>
                <w:color w:val="000000"/>
                <w:sz w:val="20"/>
                <w:szCs w:val="20"/>
              </w:rPr>
            </w:pPr>
            <w:r>
              <w:rPr>
                <w:color w:val="000000"/>
                <w:sz w:val="20"/>
                <w:szCs w:val="20"/>
              </w:rPr>
              <w:t>18.600.000</w:t>
            </w:r>
          </w:p>
        </w:tc>
        <w:tc>
          <w:tcPr>
            <w:tcW w:w="1236" w:type="dxa"/>
            <w:noWrap/>
            <w:vAlign w:val="center"/>
          </w:tcPr>
          <w:p w14:paraId="46F987D6">
            <w:pPr>
              <w:jc w:val="center"/>
              <w:rPr>
                <w:color w:val="000000"/>
                <w:sz w:val="20"/>
                <w:szCs w:val="20"/>
              </w:rPr>
            </w:pPr>
          </w:p>
        </w:tc>
        <w:tc>
          <w:tcPr>
            <w:tcW w:w="1252" w:type="dxa"/>
            <w:noWrap/>
            <w:vAlign w:val="center"/>
          </w:tcPr>
          <w:p w14:paraId="6DDD0291">
            <w:pPr>
              <w:jc w:val="center"/>
              <w:rPr>
                <w:color w:val="000000"/>
                <w:sz w:val="20"/>
                <w:szCs w:val="20"/>
              </w:rPr>
            </w:pPr>
            <w:r>
              <w:rPr>
                <w:color w:val="000000"/>
                <w:sz w:val="20"/>
                <w:szCs w:val="20"/>
              </w:rPr>
              <w:t>18.600.000</w:t>
            </w:r>
          </w:p>
        </w:tc>
        <w:tc>
          <w:tcPr>
            <w:tcW w:w="1848" w:type="dxa"/>
            <w:noWrap/>
            <w:vAlign w:val="center"/>
          </w:tcPr>
          <w:p w14:paraId="52B86F1C">
            <w:pPr>
              <w:jc w:val="center"/>
              <w:rPr>
                <w:color w:val="000000"/>
                <w:sz w:val="20"/>
                <w:szCs w:val="20"/>
              </w:rPr>
            </w:pPr>
            <w:r>
              <w:rPr>
                <w:color w:val="000000"/>
                <w:sz w:val="20"/>
                <w:szCs w:val="20"/>
              </w:rPr>
              <w:t>1.969.368.000</w:t>
            </w:r>
          </w:p>
        </w:tc>
      </w:tr>
      <w:tr w14:paraId="5945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4A954B1">
            <w:pPr>
              <w:jc w:val="center"/>
              <w:rPr>
                <w:b/>
                <w:bCs/>
                <w:color w:val="000000"/>
                <w:sz w:val="20"/>
                <w:szCs w:val="20"/>
              </w:rPr>
            </w:pPr>
            <w:r>
              <w:rPr>
                <w:b/>
                <w:bCs/>
                <w:color w:val="000000"/>
                <w:sz w:val="20"/>
                <w:szCs w:val="20"/>
              </w:rPr>
              <w:t>LK56</w:t>
            </w:r>
          </w:p>
        </w:tc>
        <w:tc>
          <w:tcPr>
            <w:tcW w:w="1802" w:type="dxa"/>
            <w:vAlign w:val="center"/>
          </w:tcPr>
          <w:p w14:paraId="4F23002A">
            <w:pPr>
              <w:jc w:val="center"/>
              <w:rPr>
                <w:color w:val="000000"/>
                <w:sz w:val="20"/>
                <w:szCs w:val="20"/>
              </w:rPr>
            </w:pPr>
            <w:r>
              <w:rPr>
                <w:color w:val="000000"/>
                <w:sz w:val="20"/>
                <w:szCs w:val="20"/>
              </w:rPr>
              <w:t>LK56:07</w:t>
            </w:r>
          </w:p>
        </w:tc>
        <w:tc>
          <w:tcPr>
            <w:tcW w:w="1033" w:type="dxa"/>
            <w:noWrap/>
            <w:vAlign w:val="center"/>
          </w:tcPr>
          <w:p w14:paraId="0CCA1A63">
            <w:pPr>
              <w:jc w:val="center"/>
              <w:rPr>
                <w:color w:val="000000"/>
                <w:sz w:val="20"/>
                <w:szCs w:val="20"/>
              </w:rPr>
            </w:pPr>
            <w:r>
              <w:rPr>
                <w:color w:val="000000"/>
                <w:sz w:val="20"/>
                <w:szCs w:val="20"/>
              </w:rPr>
              <w:t>103,00</w:t>
            </w:r>
          </w:p>
        </w:tc>
        <w:tc>
          <w:tcPr>
            <w:tcW w:w="846" w:type="dxa"/>
            <w:noWrap/>
            <w:vAlign w:val="center"/>
          </w:tcPr>
          <w:p w14:paraId="4062F43F">
            <w:pPr>
              <w:jc w:val="center"/>
              <w:rPr>
                <w:color w:val="000000"/>
                <w:sz w:val="20"/>
                <w:szCs w:val="20"/>
              </w:rPr>
            </w:pPr>
            <w:r>
              <w:rPr>
                <w:color w:val="000000"/>
                <w:sz w:val="20"/>
                <w:szCs w:val="20"/>
              </w:rPr>
              <w:t>1</w:t>
            </w:r>
          </w:p>
        </w:tc>
        <w:tc>
          <w:tcPr>
            <w:tcW w:w="2578" w:type="dxa"/>
            <w:noWrap/>
            <w:vAlign w:val="center"/>
          </w:tcPr>
          <w:p w14:paraId="2F40FC24">
            <w:pPr>
              <w:jc w:val="center"/>
              <w:rPr>
                <w:color w:val="000000"/>
                <w:sz w:val="20"/>
                <w:szCs w:val="20"/>
              </w:rPr>
            </w:pPr>
            <w:r>
              <w:rPr>
                <w:color w:val="000000"/>
                <w:sz w:val="20"/>
                <w:szCs w:val="20"/>
              </w:rPr>
              <w:t>Mặt cắt 5-5</w:t>
            </w:r>
          </w:p>
        </w:tc>
        <w:tc>
          <w:tcPr>
            <w:tcW w:w="2393" w:type="dxa"/>
            <w:noWrap/>
            <w:vAlign w:val="center"/>
          </w:tcPr>
          <w:p w14:paraId="6B15B017">
            <w:pPr>
              <w:jc w:val="center"/>
              <w:rPr>
                <w:color w:val="000000"/>
                <w:sz w:val="20"/>
                <w:szCs w:val="20"/>
              </w:rPr>
            </w:pPr>
            <w:r>
              <w:rPr>
                <w:color w:val="000000"/>
                <w:sz w:val="20"/>
                <w:szCs w:val="20"/>
              </w:rPr>
              <w:t>Một mặt tiền</w:t>
            </w:r>
          </w:p>
        </w:tc>
        <w:tc>
          <w:tcPr>
            <w:tcW w:w="1198" w:type="dxa"/>
            <w:noWrap/>
            <w:vAlign w:val="center"/>
          </w:tcPr>
          <w:p w14:paraId="3A115958">
            <w:pPr>
              <w:jc w:val="center"/>
              <w:rPr>
                <w:color w:val="000000"/>
                <w:sz w:val="20"/>
                <w:szCs w:val="20"/>
              </w:rPr>
            </w:pPr>
            <w:r>
              <w:rPr>
                <w:color w:val="000000"/>
                <w:sz w:val="20"/>
                <w:szCs w:val="20"/>
              </w:rPr>
              <w:t>18.600.000</w:t>
            </w:r>
          </w:p>
        </w:tc>
        <w:tc>
          <w:tcPr>
            <w:tcW w:w="1236" w:type="dxa"/>
            <w:noWrap/>
            <w:vAlign w:val="center"/>
          </w:tcPr>
          <w:p w14:paraId="469D4987">
            <w:pPr>
              <w:jc w:val="center"/>
              <w:rPr>
                <w:color w:val="000000"/>
                <w:sz w:val="20"/>
                <w:szCs w:val="20"/>
              </w:rPr>
            </w:pPr>
          </w:p>
        </w:tc>
        <w:tc>
          <w:tcPr>
            <w:tcW w:w="1252" w:type="dxa"/>
            <w:noWrap/>
            <w:vAlign w:val="center"/>
          </w:tcPr>
          <w:p w14:paraId="1B1AA19A">
            <w:pPr>
              <w:jc w:val="center"/>
              <w:rPr>
                <w:color w:val="000000"/>
                <w:sz w:val="20"/>
                <w:szCs w:val="20"/>
              </w:rPr>
            </w:pPr>
            <w:r>
              <w:rPr>
                <w:color w:val="000000"/>
                <w:sz w:val="20"/>
                <w:szCs w:val="20"/>
              </w:rPr>
              <w:t>18.600.000</w:t>
            </w:r>
          </w:p>
        </w:tc>
        <w:tc>
          <w:tcPr>
            <w:tcW w:w="1848" w:type="dxa"/>
            <w:noWrap/>
            <w:vAlign w:val="center"/>
          </w:tcPr>
          <w:p w14:paraId="67B65773">
            <w:pPr>
              <w:jc w:val="center"/>
              <w:rPr>
                <w:color w:val="000000"/>
                <w:sz w:val="20"/>
                <w:szCs w:val="20"/>
              </w:rPr>
            </w:pPr>
            <w:r>
              <w:rPr>
                <w:color w:val="000000"/>
                <w:sz w:val="20"/>
                <w:szCs w:val="20"/>
              </w:rPr>
              <w:t>1.915.800.000</w:t>
            </w:r>
          </w:p>
        </w:tc>
      </w:tr>
      <w:tr w14:paraId="4835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6E511E6">
            <w:pPr>
              <w:jc w:val="center"/>
              <w:rPr>
                <w:b/>
                <w:bCs/>
                <w:color w:val="000000"/>
                <w:sz w:val="20"/>
                <w:szCs w:val="20"/>
              </w:rPr>
            </w:pPr>
            <w:r>
              <w:rPr>
                <w:b/>
                <w:bCs/>
                <w:color w:val="000000"/>
                <w:sz w:val="20"/>
                <w:szCs w:val="20"/>
              </w:rPr>
              <w:t>LK56</w:t>
            </w:r>
          </w:p>
        </w:tc>
        <w:tc>
          <w:tcPr>
            <w:tcW w:w="1802" w:type="dxa"/>
            <w:vAlign w:val="center"/>
          </w:tcPr>
          <w:p w14:paraId="7CEC8535">
            <w:pPr>
              <w:jc w:val="center"/>
              <w:rPr>
                <w:color w:val="000000"/>
                <w:sz w:val="20"/>
                <w:szCs w:val="20"/>
              </w:rPr>
            </w:pPr>
            <w:r>
              <w:rPr>
                <w:color w:val="000000"/>
                <w:sz w:val="20"/>
                <w:szCs w:val="20"/>
              </w:rPr>
              <w:t>LK56:08</w:t>
            </w:r>
          </w:p>
        </w:tc>
        <w:tc>
          <w:tcPr>
            <w:tcW w:w="1033" w:type="dxa"/>
            <w:noWrap/>
            <w:vAlign w:val="center"/>
          </w:tcPr>
          <w:p w14:paraId="18BF4E99">
            <w:pPr>
              <w:jc w:val="center"/>
              <w:rPr>
                <w:color w:val="000000"/>
                <w:sz w:val="20"/>
                <w:szCs w:val="20"/>
              </w:rPr>
            </w:pPr>
            <w:r>
              <w:rPr>
                <w:color w:val="000000"/>
                <w:sz w:val="20"/>
                <w:szCs w:val="20"/>
              </w:rPr>
              <w:t>100,12</w:t>
            </w:r>
          </w:p>
        </w:tc>
        <w:tc>
          <w:tcPr>
            <w:tcW w:w="846" w:type="dxa"/>
            <w:noWrap/>
            <w:vAlign w:val="center"/>
          </w:tcPr>
          <w:p w14:paraId="7E36FF4C">
            <w:pPr>
              <w:jc w:val="center"/>
              <w:rPr>
                <w:color w:val="000000"/>
                <w:sz w:val="20"/>
                <w:szCs w:val="20"/>
              </w:rPr>
            </w:pPr>
            <w:r>
              <w:rPr>
                <w:color w:val="000000"/>
                <w:sz w:val="20"/>
                <w:szCs w:val="20"/>
              </w:rPr>
              <w:t>1</w:t>
            </w:r>
          </w:p>
        </w:tc>
        <w:tc>
          <w:tcPr>
            <w:tcW w:w="2578" w:type="dxa"/>
            <w:noWrap/>
            <w:vAlign w:val="center"/>
          </w:tcPr>
          <w:p w14:paraId="1EECFDE6">
            <w:pPr>
              <w:jc w:val="center"/>
              <w:rPr>
                <w:color w:val="000000"/>
                <w:sz w:val="20"/>
                <w:szCs w:val="20"/>
              </w:rPr>
            </w:pPr>
            <w:r>
              <w:rPr>
                <w:color w:val="000000"/>
                <w:sz w:val="20"/>
                <w:szCs w:val="20"/>
              </w:rPr>
              <w:t>Mặt cắt 5-5</w:t>
            </w:r>
          </w:p>
        </w:tc>
        <w:tc>
          <w:tcPr>
            <w:tcW w:w="2393" w:type="dxa"/>
            <w:noWrap/>
            <w:vAlign w:val="center"/>
          </w:tcPr>
          <w:p w14:paraId="04D51AA1">
            <w:pPr>
              <w:jc w:val="center"/>
              <w:rPr>
                <w:color w:val="000000"/>
                <w:sz w:val="20"/>
                <w:szCs w:val="20"/>
              </w:rPr>
            </w:pPr>
            <w:r>
              <w:rPr>
                <w:color w:val="000000"/>
                <w:sz w:val="20"/>
                <w:szCs w:val="20"/>
              </w:rPr>
              <w:t>Một mặt tiền</w:t>
            </w:r>
          </w:p>
        </w:tc>
        <w:tc>
          <w:tcPr>
            <w:tcW w:w="1198" w:type="dxa"/>
            <w:noWrap/>
            <w:vAlign w:val="center"/>
          </w:tcPr>
          <w:p w14:paraId="7E6B3D32">
            <w:pPr>
              <w:jc w:val="center"/>
              <w:rPr>
                <w:color w:val="000000"/>
                <w:sz w:val="20"/>
                <w:szCs w:val="20"/>
              </w:rPr>
            </w:pPr>
            <w:r>
              <w:rPr>
                <w:color w:val="000000"/>
                <w:sz w:val="20"/>
                <w:szCs w:val="20"/>
              </w:rPr>
              <w:t>18.600.000</w:t>
            </w:r>
          </w:p>
        </w:tc>
        <w:tc>
          <w:tcPr>
            <w:tcW w:w="1236" w:type="dxa"/>
            <w:noWrap/>
            <w:vAlign w:val="center"/>
          </w:tcPr>
          <w:p w14:paraId="73179588">
            <w:pPr>
              <w:jc w:val="center"/>
              <w:rPr>
                <w:color w:val="000000"/>
                <w:sz w:val="20"/>
                <w:szCs w:val="20"/>
              </w:rPr>
            </w:pPr>
          </w:p>
        </w:tc>
        <w:tc>
          <w:tcPr>
            <w:tcW w:w="1252" w:type="dxa"/>
            <w:noWrap/>
            <w:vAlign w:val="center"/>
          </w:tcPr>
          <w:p w14:paraId="6AD071AC">
            <w:pPr>
              <w:jc w:val="center"/>
              <w:rPr>
                <w:color w:val="000000"/>
                <w:sz w:val="20"/>
                <w:szCs w:val="20"/>
              </w:rPr>
            </w:pPr>
            <w:r>
              <w:rPr>
                <w:color w:val="000000"/>
                <w:sz w:val="20"/>
                <w:szCs w:val="20"/>
              </w:rPr>
              <w:t>18.600.000</w:t>
            </w:r>
          </w:p>
        </w:tc>
        <w:tc>
          <w:tcPr>
            <w:tcW w:w="1848" w:type="dxa"/>
            <w:noWrap/>
            <w:vAlign w:val="center"/>
          </w:tcPr>
          <w:p w14:paraId="59A5C9A5">
            <w:pPr>
              <w:jc w:val="center"/>
              <w:rPr>
                <w:color w:val="000000"/>
                <w:sz w:val="20"/>
                <w:szCs w:val="20"/>
              </w:rPr>
            </w:pPr>
            <w:r>
              <w:rPr>
                <w:color w:val="000000"/>
                <w:sz w:val="20"/>
                <w:szCs w:val="20"/>
              </w:rPr>
              <w:t>1.862.232.000</w:t>
            </w:r>
          </w:p>
        </w:tc>
      </w:tr>
      <w:tr w14:paraId="6A24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DC82495">
            <w:pPr>
              <w:jc w:val="center"/>
              <w:rPr>
                <w:b/>
                <w:bCs/>
                <w:color w:val="000000"/>
                <w:sz w:val="20"/>
                <w:szCs w:val="20"/>
              </w:rPr>
            </w:pPr>
            <w:r>
              <w:rPr>
                <w:b/>
                <w:bCs/>
                <w:color w:val="000000"/>
                <w:sz w:val="20"/>
                <w:szCs w:val="20"/>
              </w:rPr>
              <w:t>LK56</w:t>
            </w:r>
          </w:p>
        </w:tc>
        <w:tc>
          <w:tcPr>
            <w:tcW w:w="1802" w:type="dxa"/>
            <w:vAlign w:val="center"/>
          </w:tcPr>
          <w:p w14:paraId="12304CC3">
            <w:pPr>
              <w:jc w:val="center"/>
              <w:rPr>
                <w:color w:val="000000"/>
                <w:sz w:val="20"/>
                <w:szCs w:val="20"/>
              </w:rPr>
            </w:pPr>
            <w:r>
              <w:rPr>
                <w:color w:val="000000"/>
                <w:sz w:val="20"/>
                <w:szCs w:val="20"/>
              </w:rPr>
              <w:t>LK56:09</w:t>
            </w:r>
          </w:p>
        </w:tc>
        <w:tc>
          <w:tcPr>
            <w:tcW w:w="1033" w:type="dxa"/>
            <w:noWrap/>
            <w:vAlign w:val="center"/>
          </w:tcPr>
          <w:p w14:paraId="61FD8624">
            <w:pPr>
              <w:jc w:val="center"/>
              <w:rPr>
                <w:color w:val="000000"/>
                <w:sz w:val="20"/>
                <w:szCs w:val="20"/>
              </w:rPr>
            </w:pPr>
            <w:r>
              <w:rPr>
                <w:color w:val="000000"/>
                <w:sz w:val="20"/>
                <w:szCs w:val="20"/>
              </w:rPr>
              <w:t>97,24</w:t>
            </w:r>
          </w:p>
        </w:tc>
        <w:tc>
          <w:tcPr>
            <w:tcW w:w="846" w:type="dxa"/>
            <w:noWrap/>
            <w:vAlign w:val="center"/>
          </w:tcPr>
          <w:p w14:paraId="561000D9">
            <w:pPr>
              <w:jc w:val="center"/>
              <w:rPr>
                <w:color w:val="000000"/>
                <w:sz w:val="20"/>
                <w:szCs w:val="20"/>
              </w:rPr>
            </w:pPr>
            <w:r>
              <w:rPr>
                <w:color w:val="000000"/>
                <w:sz w:val="20"/>
                <w:szCs w:val="20"/>
              </w:rPr>
              <w:t>1</w:t>
            </w:r>
          </w:p>
        </w:tc>
        <w:tc>
          <w:tcPr>
            <w:tcW w:w="2578" w:type="dxa"/>
            <w:noWrap/>
            <w:vAlign w:val="center"/>
          </w:tcPr>
          <w:p w14:paraId="3EFD62A5">
            <w:pPr>
              <w:jc w:val="center"/>
              <w:rPr>
                <w:color w:val="000000"/>
                <w:sz w:val="20"/>
                <w:szCs w:val="20"/>
              </w:rPr>
            </w:pPr>
            <w:r>
              <w:rPr>
                <w:color w:val="000000"/>
                <w:sz w:val="20"/>
                <w:szCs w:val="20"/>
              </w:rPr>
              <w:t>Mặt cắt 5-5</w:t>
            </w:r>
          </w:p>
        </w:tc>
        <w:tc>
          <w:tcPr>
            <w:tcW w:w="2393" w:type="dxa"/>
            <w:noWrap/>
            <w:vAlign w:val="center"/>
          </w:tcPr>
          <w:p w14:paraId="19BE174E">
            <w:pPr>
              <w:jc w:val="center"/>
              <w:rPr>
                <w:color w:val="000000"/>
                <w:sz w:val="20"/>
                <w:szCs w:val="20"/>
              </w:rPr>
            </w:pPr>
            <w:r>
              <w:rPr>
                <w:color w:val="000000"/>
                <w:sz w:val="20"/>
                <w:szCs w:val="20"/>
              </w:rPr>
              <w:t>Một mặt tiền</w:t>
            </w:r>
          </w:p>
        </w:tc>
        <w:tc>
          <w:tcPr>
            <w:tcW w:w="1198" w:type="dxa"/>
            <w:noWrap/>
            <w:vAlign w:val="center"/>
          </w:tcPr>
          <w:p w14:paraId="2C90CA21">
            <w:pPr>
              <w:jc w:val="center"/>
              <w:rPr>
                <w:color w:val="000000"/>
                <w:sz w:val="20"/>
                <w:szCs w:val="20"/>
              </w:rPr>
            </w:pPr>
            <w:r>
              <w:rPr>
                <w:color w:val="000000"/>
                <w:sz w:val="20"/>
                <w:szCs w:val="20"/>
              </w:rPr>
              <w:t>18.600.000</w:t>
            </w:r>
          </w:p>
        </w:tc>
        <w:tc>
          <w:tcPr>
            <w:tcW w:w="1236" w:type="dxa"/>
            <w:noWrap/>
            <w:vAlign w:val="center"/>
          </w:tcPr>
          <w:p w14:paraId="49A70FB5">
            <w:pPr>
              <w:jc w:val="center"/>
              <w:rPr>
                <w:color w:val="000000"/>
                <w:sz w:val="20"/>
                <w:szCs w:val="20"/>
              </w:rPr>
            </w:pPr>
          </w:p>
        </w:tc>
        <w:tc>
          <w:tcPr>
            <w:tcW w:w="1252" w:type="dxa"/>
            <w:noWrap/>
            <w:vAlign w:val="center"/>
          </w:tcPr>
          <w:p w14:paraId="291263AE">
            <w:pPr>
              <w:jc w:val="center"/>
              <w:rPr>
                <w:color w:val="000000"/>
                <w:sz w:val="20"/>
                <w:szCs w:val="20"/>
              </w:rPr>
            </w:pPr>
            <w:r>
              <w:rPr>
                <w:color w:val="000000"/>
                <w:sz w:val="20"/>
                <w:szCs w:val="20"/>
              </w:rPr>
              <w:t>18.600.000</w:t>
            </w:r>
          </w:p>
        </w:tc>
        <w:tc>
          <w:tcPr>
            <w:tcW w:w="1848" w:type="dxa"/>
            <w:noWrap/>
            <w:vAlign w:val="center"/>
          </w:tcPr>
          <w:p w14:paraId="4186C448">
            <w:pPr>
              <w:jc w:val="center"/>
              <w:rPr>
                <w:color w:val="000000"/>
                <w:sz w:val="20"/>
                <w:szCs w:val="20"/>
              </w:rPr>
            </w:pPr>
            <w:r>
              <w:rPr>
                <w:color w:val="000000"/>
                <w:sz w:val="20"/>
                <w:szCs w:val="20"/>
              </w:rPr>
              <w:t>1.808.664.000</w:t>
            </w:r>
          </w:p>
        </w:tc>
      </w:tr>
      <w:tr w14:paraId="540D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12ED271">
            <w:pPr>
              <w:jc w:val="center"/>
              <w:rPr>
                <w:b/>
                <w:bCs/>
                <w:color w:val="000000"/>
                <w:sz w:val="20"/>
                <w:szCs w:val="20"/>
              </w:rPr>
            </w:pPr>
            <w:r>
              <w:rPr>
                <w:b/>
                <w:bCs/>
                <w:color w:val="000000"/>
                <w:sz w:val="20"/>
                <w:szCs w:val="20"/>
              </w:rPr>
              <w:t>LK56</w:t>
            </w:r>
          </w:p>
        </w:tc>
        <w:tc>
          <w:tcPr>
            <w:tcW w:w="1802" w:type="dxa"/>
            <w:vAlign w:val="center"/>
          </w:tcPr>
          <w:p w14:paraId="1C4C01E2">
            <w:pPr>
              <w:jc w:val="center"/>
              <w:rPr>
                <w:color w:val="000000"/>
                <w:sz w:val="20"/>
                <w:szCs w:val="20"/>
              </w:rPr>
            </w:pPr>
            <w:r>
              <w:rPr>
                <w:color w:val="000000"/>
                <w:sz w:val="20"/>
                <w:szCs w:val="20"/>
              </w:rPr>
              <w:t>LK56:10</w:t>
            </w:r>
          </w:p>
        </w:tc>
        <w:tc>
          <w:tcPr>
            <w:tcW w:w="1033" w:type="dxa"/>
            <w:noWrap/>
            <w:vAlign w:val="center"/>
          </w:tcPr>
          <w:p w14:paraId="2AF103DC">
            <w:pPr>
              <w:jc w:val="center"/>
              <w:rPr>
                <w:color w:val="000000"/>
                <w:sz w:val="20"/>
                <w:szCs w:val="20"/>
              </w:rPr>
            </w:pPr>
            <w:r>
              <w:rPr>
                <w:color w:val="000000"/>
                <w:sz w:val="20"/>
                <w:szCs w:val="20"/>
              </w:rPr>
              <w:t>94,36</w:t>
            </w:r>
          </w:p>
        </w:tc>
        <w:tc>
          <w:tcPr>
            <w:tcW w:w="846" w:type="dxa"/>
            <w:noWrap/>
            <w:vAlign w:val="center"/>
          </w:tcPr>
          <w:p w14:paraId="7B2DD0B5">
            <w:pPr>
              <w:jc w:val="center"/>
              <w:rPr>
                <w:color w:val="000000"/>
                <w:sz w:val="20"/>
                <w:szCs w:val="20"/>
              </w:rPr>
            </w:pPr>
            <w:r>
              <w:rPr>
                <w:color w:val="000000"/>
                <w:sz w:val="20"/>
                <w:szCs w:val="20"/>
              </w:rPr>
              <w:t>1</w:t>
            </w:r>
          </w:p>
        </w:tc>
        <w:tc>
          <w:tcPr>
            <w:tcW w:w="2578" w:type="dxa"/>
            <w:noWrap/>
            <w:vAlign w:val="center"/>
          </w:tcPr>
          <w:p w14:paraId="27AC9C07">
            <w:pPr>
              <w:jc w:val="center"/>
              <w:rPr>
                <w:color w:val="000000"/>
                <w:sz w:val="20"/>
                <w:szCs w:val="20"/>
              </w:rPr>
            </w:pPr>
            <w:r>
              <w:rPr>
                <w:color w:val="000000"/>
                <w:sz w:val="20"/>
                <w:szCs w:val="20"/>
              </w:rPr>
              <w:t>Mặt cắt 5-5</w:t>
            </w:r>
          </w:p>
        </w:tc>
        <w:tc>
          <w:tcPr>
            <w:tcW w:w="2393" w:type="dxa"/>
            <w:noWrap/>
            <w:vAlign w:val="center"/>
          </w:tcPr>
          <w:p w14:paraId="23EA7E27">
            <w:pPr>
              <w:jc w:val="center"/>
              <w:rPr>
                <w:color w:val="000000"/>
                <w:sz w:val="20"/>
                <w:szCs w:val="20"/>
              </w:rPr>
            </w:pPr>
            <w:r>
              <w:rPr>
                <w:color w:val="000000"/>
                <w:sz w:val="20"/>
                <w:szCs w:val="20"/>
              </w:rPr>
              <w:t>Một mặt tiền</w:t>
            </w:r>
          </w:p>
        </w:tc>
        <w:tc>
          <w:tcPr>
            <w:tcW w:w="1198" w:type="dxa"/>
            <w:noWrap/>
            <w:vAlign w:val="center"/>
          </w:tcPr>
          <w:p w14:paraId="75F66E30">
            <w:pPr>
              <w:jc w:val="center"/>
              <w:rPr>
                <w:color w:val="000000"/>
                <w:sz w:val="20"/>
                <w:szCs w:val="20"/>
              </w:rPr>
            </w:pPr>
            <w:r>
              <w:rPr>
                <w:color w:val="000000"/>
                <w:sz w:val="20"/>
                <w:szCs w:val="20"/>
              </w:rPr>
              <w:t>18.600.000</w:t>
            </w:r>
          </w:p>
        </w:tc>
        <w:tc>
          <w:tcPr>
            <w:tcW w:w="1236" w:type="dxa"/>
            <w:noWrap/>
            <w:vAlign w:val="center"/>
          </w:tcPr>
          <w:p w14:paraId="09EE2758">
            <w:pPr>
              <w:jc w:val="center"/>
              <w:rPr>
                <w:color w:val="000000"/>
                <w:sz w:val="20"/>
                <w:szCs w:val="20"/>
              </w:rPr>
            </w:pPr>
          </w:p>
        </w:tc>
        <w:tc>
          <w:tcPr>
            <w:tcW w:w="1252" w:type="dxa"/>
            <w:noWrap/>
            <w:vAlign w:val="center"/>
          </w:tcPr>
          <w:p w14:paraId="106810D8">
            <w:pPr>
              <w:jc w:val="center"/>
              <w:rPr>
                <w:color w:val="000000"/>
                <w:sz w:val="20"/>
                <w:szCs w:val="20"/>
              </w:rPr>
            </w:pPr>
            <w:r>
              <w:rPr>
                <w:color w:val="000000"/>
                <w:sz w:val="20"/>
                <w:szCs w:val="20"/>
              </w:rPr>
              <w:t>18.600.000</w:t>
            </w:r>
          </w:p>
        </w:tc>
        <w:tc>
          <w:tcPr>
            <w:tcW w:w="1848" w:type="dxa"/>
            <w:noWrap/>
            <w:vAlign w:val="center"/>
          </w:tcPr>
          <w:p w14:paraId="035AF8F4">
            <w:pPr>
              <w:jc w:val="center"/>
              <w:rPr>
                <w:color w:val="000000"/>
                <w:sz w:val="20"/>
                <w:szCs w:val="20"/>
              </w:rPr>
            </w:pPr>
            <w:r>
              <w:rPr>
                <w:color w:val="000000"/>
                <w:sz w:val="20"/>
                <w:szCs w:val="20"/>
              </w:rPr>
              <w:t>1.755.096.000</w:t>
            </w:r>
          </w:p>
        </w:tc>
      </w:tr>
      <w:tr w14:paraId="7568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CFE9A51">
            <w:pPr>
              <w:jc w:val="center"/>
              <w:rPr>
                <w:b/>
                <w:bCs/>
                <w:color w:val="000000"/>
                <w:sz w:val="20"/>
                <w:szCs w:val="20"/>
              </w:rPr>
            </w:pPr>
            <w:r>
              <w:rPr>
                <w:b/>
                <w:bCs/>
                <w:color w:val="000000"/>
                <w:sz w:val="20"/>
                <w:szCs w:val="20"/>
              </w:rPr>
              <w:t>LK58</w:t>
            </w:r>
          </w:p>
        </w:tc>
        <w:tc>
          <w:tcPr>
            <w:tcW w:w="1802" w:type="dxa"/>
            <w:vAlign w:val="center"/>
          </w:tcPr>
          <w:p w14:paraId="6E72E393">
            <w:pPr>
              <w:jc w:val="center"/>
              <w:rPr>
                <w:color w:val="000000"/>
                <w:sz w:val="20"/>
                <w:szCs w:val="20"/>
              </w:rPr>
            </w:pPr>
            <w:r>
              <w:rPr>
                <w:color w:val="000000"/>
                <w:sz w:val="20"/>
                <w:szCs w:val="20"/>
              </w:rPr>
              <w:t>LK58:01</w:t>
            </w:r>
          </w:p>
        </w:tc>
        <w:tc>
          <w:tcPr>
            <w:tcW w:w="1033" w:type="dxa"/>
            <w:noWrap/>
            <w:vAlign w:val="center"/>
          </w:tcPr>
          <w:p w14:paraId="4891698D">
            <w:pPr>
              <w:jc w:val="center"/>
              <w:rPr>
                <w:color w:val="000000"/>
                <w:sz w:val="20"/>
                <w:szCs w:val="20"/>
              </w:rPr>
            </w:pPr>
            <w:r>
              <w:rPr>
                <w:color w:val="000000"/>
                <w:sz w:val="20"/>
                <w:szCs w:val="20"/>
              </w:rPr>
              <w:t>106,06</w:t>
            </w:r>
          </w:p>
        </w:tc>
        <w:tc>
          <w:tcPr>
            <w:tcW w:w="846" w:type="dxa"/>
            <w:noWrap/>
            <w:vAlign w:val="center"/>
          </w:tcPr>
          <w:p w14:paraId="0D8B1679">
            <w:pPr>
              <w:jc w:val="center"/>
              <w:rPr>
                <w:color w:val="000000"/>
                <w:sz w:val="20"/>
                <w:szCs w:val="20"/>
              </w:rPr>
            </w:pPr>
            <w:r>
              <w:rPr>
                <w:color w:val="000000"/>
                <w:sz w:val="20"/>
                <w:szCs w:val="20"/>
              </w:rPr>
              <w:t>1</w:t>
            </w:r>
          </w:p>
        </w:tc>
        <w:tc>
          <w:tcPr>
            <w:tcW w:w="2578" w:type="dxa"/>
            <w:noWrap/>
            <w:vAlign w:val="center"/>
          </w:tcPr>
          <w:p w14:paraId="2BE9E80A">
            <w:pPr>
              <w:jc w:val="center"/>
              <w:rPr>
                <w:color w:val="000000"/>
                <w:sz w:val="20"/>
                <w:szCs w:val="20"/>
              </w:rPr>
            </w:pPr>
            <w:r>
              <w:rPr>
                <w:color w:val="000000"/>
                <w:sz w:val="20"/>
                <w:szCs w:val="20"/>
              </w:rPr>
              <w:t>Mặt cắt 5-5</w:t>
            </w:r>
          </w:p>
        </w:tc>
        <w:tc>
          <w:tcPr>
            <w:tcW w:w="2393" w:type="dxa"/>
            <w:noWrap/>
            <w:vAlign w:val="center"/>
          </w:tcPr>
          <w:p w14:paraId="4777976E">
            <w:pPr>
              <w:jc w:val="center"/>
              <w:rPr>
                <w:color w:val="000000"/>
                <w:sz w:val="20"/>
                <w:szCs w:val="20"/>
              </w:rPr>
            </w:pPr>
            <w:r>
              <w:rPr>
                <w:color w:val="000000"/>
                <w:sz w:val="20"/>
                <w:szCs w:val="20"/>
              </w:rPr>
              <w:t>Một mặt tiền</w:t>
            </w:r>
          </w:p>
        </w:tc>
        <w:tc>
          <w:tcPr>
            <w:tcW w:w="1198" w:type="dxa"/>
            <w:noWrap/>
            <w:vAlign w:val="center"/>
          </w:tcPr>
          <w:p w14:paraId="51F941F5">
            <w:pPr>
              <w:jc w:val="center"/>
              <w:rPr>
                <w:color w:val="000000"/>
                <w:sz w:val="20"/>
                <w:szCs w:val="20"/>
              </w:rPr>
            </w:pPr>
            <w:r>
              <w:rPr>
                <w:color w:val="000000"/>
                <w:sz w:val="20"/>
                <w:szCs w:val="20"/>
              </w:rPr>
              <w:t>18.600.000</w:t>
            </w:r>
          </w:p>
        </w:tc>
        <w:tc>
          <w:tcPr>
            <w:tcW w:w="1236" w:type="dxa"/>
            <w:noWrap/>
            <w:vAlign w:val="center"/>
          </w:tcPr>
          <w:p w14:paraId="62643C87">
            <w:pPr>
              <w:jc w:val="center"/>
              <w:rPr>
                <w:color w:val="000000"/>
                <w:sz w:val="20"/>
                <w:szCs w:val="20"/>
              </w:rPr>
            </w:pPr>
          </w:p>
        </w:tc>
        <w:tc>
          <w:tcPr>
            <w:tcW w:w="1252" w:type="dxa"/>
            <w:noWrap/>
            <w:vAlign w:val="center"/>
          </w:tcPr>
          <w:p w14:paraId="3A72EFCB">
            <w:pPr>
              <w:jc w:val="center"/>
              <w:rPr>
                <w:color w:val="000000"/>
                <w:sz w:val="20"/>
                <w:szCs w:val="20"/>
              </w:rPr>
            </w:pPr>
            <w:r>
              <w:rPr>
                <w:color w:val="000000"/>
                <w:sz w:val="20"/>
                <w:szCs w:val="20"/>
              </w:rPr>
              <w:t>18.600.000</w:t>
            </w:r>
          </w:p>
        </w:tc>
        <w:tc>
          <w:tcPr>
            <w:tcW w:w="1848" w:type="dxa"/>
            <w:noWrap/>
            <w:vAlign w:val="center"/>
          </w:tcPr>
          <w:p w14:paraId="66661609">
            <w:pPr>
              <w:jc w:val="center"/>
              <w:rPr>
                <w:color w:val="000000"/>
                <w:sz w:val="20"/>
                <w:szCs w:val="20"/>
              </w:rPr>
            </w:pPr>
            <w:r>
              <w:rPr>
                <w:color w:val="000000"/>
                <w:sz w:val="20"/>
                <w:szCs w:val="20"/>
              </w:rPr>
              <w:t>1.972.716.000</w:t>
            </w:r>
          </w:p>
        </w:tc>
      </w:tr>
      <w:tr w14:paraId="427C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E27692C">
            <w:pPr>
              <w:jc w:val="center"/>
              <w:rPr>
                <w:b/>
                <w:bCs/>
                <w:color w:val="000000"/>
                <w:sz w:val="20"/>
                <w:szCs w:val="20"/>
              </w:rPr>
            </w:pPr>
            <w:r>
              <w:rPr>
                <w:b/>
                <w:bCs/>
                <w:color w:val="000000"/>
                <w:sz w:val="20"/>
                <w:szCs w:val="20"/>
              </w:rPr>
              <w:t>LK58</w:t>
            </w:r>
          </w:p>
        </w:tc>
        <w:tc>
          <w:tcPr>
            <w:tcW w:w="1802" w:type="dxa"/>
            <w:vAlign w:val="center"/>
          </w:tcPr>
          <w:p w14:paraId="74E03FB5">
            <w:pPr>
              <w:jc w:val="center"/>
              <w:rPr>
                <w:color w:val="000000"/>
                <w:sz w:val="20"/>
                <w:szCs w:val="20"/>
              </w:rPr>
            </w:pPr>
            <w:r>
              <w:rPr>
                <w:color w:val="000000"/>
                <w:sz w:val="20"/>
                <w:szCs w:val="20"/>
              </w:rPr>
              <w:t>LK58:02</w:t>
            </w:r>
          </w:p>
        </w:tc>
        <w:tc>
          <w:tcPr>
            <w:tcW w:w="1033" w:type="dxa"/>
            <w:noWrap/>
            <w:vAlign w:val="center"/>
          </w:tcPr>
          <w:p w14:paraId="59F9007B">
            <w:pPr>
              <w:jc w:val="center"/>
              <w:rPr>
                <w:color w:val="000000"/>
                <w:sz w:val="20"/>
                <w:szCs w:val="20"/>
              </w:rPr>
            </w:pPr>
            <w:r>
              <w:rPr>
                <w:color w:val="000000"/>
                <w:sz w:val="20"/>
                <w:szCs w:val="20"/>
              </w:rPr>
              <w:t>103,18</w:t>
            </w:r>
          </w:p>
        </w:tc>
        <w:tc>
          <w:tcPr>
            <w:tcW w:w="846" w:type="dxa"/>
            <w:noWrap/>
            <w:vAlign w:val="center"/>
          </w:tcPr>
          <w:p w14:paraId="40946718">
            <w:pPr>
              <w:jc w:val="center"/>
              <w:rPr>
                <w:color w:val="000000"/>
                <w:sz w:val="20"/>
                <w:szCs w:val="20"/>
              </w:rPr>
            </w:pPr>
            <w:r>
              <w:rPr>
                <w:color w:val="000000"/>
                <w:sz w:val="20"/>
                <w:szCs w:val="20"/>
              </w:rPr>
              <w:t>1</w:t>
            </w:r>
          </w:p>
        </w:tc>
        <w:tc>
          <w:tcPr>
            <w:tcW w:w="2578" w:type="dxa"/>
            <w:noWrap/>
            <w:vAlign w:val="center"/>
          </w:tcPr>
          <w:p w14:paraId="1843D997">
            <w:pPr>
              <w:jc w:val="center"/>
              <w:rPr>
                <w:color w:val="000000"/>
                <w:sz w:val="20"/>
                <w:szCs w:val="20"/>
              </w:rPr>
            </w:pPr>
            <w:r>
              <w:rPr>
                <w:color w:val="000000"/>
                <w:sz w:val="20"/>
                <w:szCs w:val="20"/>
              </w:rPr>
              <w:t>Mặt cắt 5-5</w:t>
            </w:r>
          </w:p>
        </w:tc>
        <w:tc>
          <w:tcPr>
            <w:tcW w:w="2393" w:type="dxa"/>
            <w:noWrap/>
            <w:vAlign w:val="center"/>
          </w:tcPr>
          <w:p w14:paraId="7DFF2F79">
            <w:pPr>
              <w:jc w:val="center"/>
              <w:rPr>
                <w:color w:val="000000"/>
                <w:sz w:val="20"/>
                <w:szCs w:val="20"/>
              </w:rPr>
            </w:pPr>
            <w:r>
              <w:rPr>
                <w:color w:val="000000"/>
                <w:sz w:val="20"/>
                <w:szCs w:val="20"/>
              </w:rPr>
              <w:t>Một mặt tiền</w:t>
            </w:r>
          </w:p>
        </w:tc>
        <w:tc>
          <w:tcPr>
            <w:tcW w:w="1198" w:type="dxa"/>
            <w:noWrap/>
            <w:vAlign w:val="center"/>
          </w:tcPr>
          <w:p w14:paraId="41CD28F2">
            <w:pPr>
              <w:jc w:val="center"/>
              <w:rPr>
                <w:color w:val="000000"/>
                <w:sz w:val="20"/>
                <w:szCs w:val="20"/>
              </w:rPr>
            </w:pPr>
            <w:r>
              <w:rPr>
                <w:color w:val="000000"/>
                <w:sz w:val="20"/>
                <w:szCs w:val="20"/>
              </w:rPr>
              <w:t>18.600.000</w:t>
            </w:r>
          </w:p>
        </w:tc>
        <w:tc>
          <w:tcPr>
            <w:tcW w:w="1236" w:type="dxa"/>
            <w:noWrap/>
            <w:vAlign w:val="center"/>
          </w:tcPr>
          <w:p w14:paraId="76A8ACA5">
            <w:pPr>
              <w:jc w:val="center"/>
              <w:rPr>
                <w:color w:val="000000"/>
                <w:sz w:val="20"/>
                <w:szCs w:val="20"/>
              </w:rPr>
            </w:pPr>
          </w:p>
        </w:tc>
        <w:tc>
          <w:tcPr>
            <w:tcW w:w="1252" w:type="dxa"/>
            <w:noWrap/>
            <w:vAlign w:val="center"/>
          </w:tcPr>
          <w:p w14:paraId="3FF422E3">
            <w:pPr>
              <w:jc w:val="center"/>
              <w:rPr>
                <w:color w:val="000000"/>
                <w:sz w:val="20"/>
                <w:szCs w:val="20"/>
              </w:rPr>
            </w:pPr>
            <w:r>
              <w:rPr>
                <w:color w:val="000000"/>
                <w:sz w:val="20"/>
                <w:szCs w:val="20"/>
              </w:rPr>
              <w:t>18.600.000</w:t>
            </w:r>
          </w:p>
        </w:tc>
        <w:tc>
          <w:tcPr>
            <w:tcW w:w="1848" w:type="dxa"/>
            <w:noWrap/>
            <w:vAlign w:val="center"/>
          </w:tcPr>
          <w:p w14:paraId="13EB3C81">
            <w:pPr>
              <w:jc w:val="center"/>
              <w:rPr>
                <w:color w:val="000000"/>
                <w:sz w:val="20"/>
                <w:szCs w:val="20"/>
              </w:rPr>
            </w:pPr>
            <w:r>
              <w:rPr>
                <w:color w:val="000000"/>
                <w:sz w:val="20"/>
                <w:szCs w:val="20"/>
              </w:rPr>
              <w:t>1.919.148.000</w:t>
            </w:r>
          </w:p>
        </w:tc>
      </w:tr>
      <w:tr w14:paraId="00E3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9AE81FE">
            <w:pPr>
              <w:jc w:val="center"/>
              <w:rPr>
                <w:b/>
                <w:bCs/>
                <w:color w:val="000000"/>
                <w:sz w:val="20"/>
                <w:szCs w:val="20"/>
              </w:rPr>
            </w:pPr>
            <w:r>
              <w:rPr>
                <w:b/>
                <w:bCs/>
                <w:color w:val="000000"/>
                <w:sz w:val="20"/>
                <w:szCs w:val="20"/>
              </w:rPr>
              <w:t>LK58</w:t>
            </w:r>
          </w:p>
        </w:tc>
        <w:tc>
          <w:tcPr>
            <w:tcW w:w="1802" w:type="dxa"/>
            <w:vAlign w:val="center"/>
          </w:tcPr>
          <w:p w14:paraId="46BDD07A">
            <w:pPr>
              <w:jc w:val="center"/>
              <w:rPr>
                <w:color w:val="000000"/>
                <w:sz w:val="20"/>
                <w:szCs w:val="20"/>
              </w:rPr>
            </w:pPr>
            <w:r>
              <w:rPr>
                <w:color w:val="000000"/>
                <w:sz w:val="20"/>
                <w:szCs w:val="20"/>
              </w:rPr>
              <w:t>LK58:03</w:t>
            </w:r>
          </w:p>
        </w:tc>
        <w:tc>
          <w:tcPr>
            <w:tcW w:w="1033" w:type="dxa"/>
            <w:noWrap/>
            <w:vAlign w:val="center"/>
          </w:tcPr>
          <w:p w14:paraId="7AF3C50A">
            <w:pPr>
              <w:jc w:val="center"/>
              <w:rPr>
                <w:color w:val="000000"/>
                <w:sz w:val="20"/>
                <w:szCs w:val="20"/>
              </w:rPr>
            </w:pPr>
            <w:r>
              <w:rPr>
                <w:color w:val="000000"/>
                <w:sz w:val="20"/>
                <w:szCs w:val="20"/>
              </w:rPr>
              <w:t>100,42</w:t>
            </w:r>
          </w:p>
        </w:tc>
        <w:tc>
          <w:tcPr>
            <w:tcW w:w="846" w:type="dxa"/>
            <w:noWrap/>
            <w:vAlign w:val="center"/>
          </w:tcPr>
          <w:p w14:paraId="74DAFFF9">
            <w:pPr>
              <w:jc w:val="center"/>
              <w:rPr>
                <w:color w:val="000000"/>
                <w:sz w:val="20"/>
                <w:szCs w:val="20"/>
              </w:rPr>
            </w:pPr>
            <w:r>
              <w:rPr>
                <w:color w:val="000000"/>
                <w:sz w:val="20"/>
                <w:szCs w:val="20"/>
              </w:rPr>
              <w:t>1</w:t>
            </w:r>
          </w:p>
        </w:tc>
        <w:tc>
          <w:tcPr>
            <w:tcW w:w="2578" w:type="dxa"/>
            <w:noWrap/>
            <w:vAlign w:val="center"/>
          </w:tcPr>
          <w:p w14:paraId="109AF0AA">
            <w:pPr>
              <w:jc w:val="center"/>
              <w:rPr>
                <w:color w:val="000000"/>
                <w:sz w:val="20"/>
                <w:szCs w:val="20"/>
              </w:rPr>
            </w:pPr>
            <w:r>
              <w:rPr>
                <w:color w:val="000000"/>
                <w:sz w:val="20"/>
                <w:szCs w:val="20"/>
              </w:rPr>
              <w:t>Mặt cắt 5-5</w:t>
            </w:r>
          </w:p>
        </w:tc>
        <w:tc>
          <w:tcPr>
            <w:tcW w:w="2393" w:type="dxa"/>
            <w:noWrap/>
            <w:vAlign w:val="center"/>
          </w:tcPr>
          <w:p w14:paraId="230F7151">
            <w:pPr>
              <w:jc w:val="center"/>
              <w:rPr>
                <w:color w:val="000000"/>
                <w:sz w:val="20"/>
                <w:szCs w:val="20"/>
              </w:rPr>
            </w:pPr>
            <w:r>
              <w:rPr>
                <w:color w:val="000000"/>
                <w:sz w:val="20"/>
                <w:szCs w:val="20"/>
              </w:rPr>
              <w:t>Một mặt tiền</w:t>
            </w:r>
          </w:p>
        </w:tc>
        <w:tc>
          <w:tcPr>
            <w:tcW w:w="1198" w:type="dxa"/>
            <w:noWrap/>
            <w:vAlign w:val="center"/>
          </w:tcPr>
          <w:p w14:paraId="227AF5D0">
            <w:pPr>
              <w:jc w:val="center"/>
              <w:rPr>
                <w:color w:val="000000"/>
                <w:sz w:val="20"/>
                <w:szCs w:val="20"/>
              </w:rPr>
            </w:pPr>
            <w:r>
              <w:rPr>
                <w:color w:val="000000"/>
                <w:sz w:val="20"/>
                <w:szCs w:val="20"/>
              </w:rPr>
              <w:t>18.600.000</w:t>
            </w:r>
          </w:p>
        </w:tc>
        <w:tc>
          <w:tcPr>
            <w:tcW w:w="1236" w:type="dxa"/>
            <w:noWrap/>
            <w:vAlign w:val="center"/>
          </w:tcPr>
          <w:p w14:paraId="6234E7AE">
            <w:pPr>
              <w:jc w:val="center"/>
              <w:rPr>
                <w:color w:val="000000"/>
                <w:sz w:val="20"/>
                <w:szCs w:val="20"/>
              </w:rPr>
            </w:pPr>
          </w:p>
        </w:tc>
        <w:tc>
          <w:tcPr>
            <w:tcW w:w="1252" w:type="dxa"/>
            <w:noWrap/>
            <w:vAlign w:val="center"/>
          </w:tcPr>
          <w:p w14:paraId="22A8E41E">
            <w:pPr>
              <w:jc w:val="center"/>
              <w:rPr>
                <w:color w:val="000000"/>
                <w:sz w:val="20"/>
                <w:szCs w:val="20"/>
              </w:rPr>
            </w:pPr>
            <w:r>
              <w:rPr>
                <w:color w:val="000000"/>
                <w:sz w:val="20"/>
                <w:szCs w:val="20"/>
              </w:rPr>
              <w:t>18.600.000</w:t>
            </w:r>
          </w:p>
        </w:tc>
        <w:tc>
          <w:tcPr>
            <w:tcW w:w="1848" w:type="dxa"/>
            <w:noWrap/>
            <w:vAlign w:val="center"/>
          </w:tcPr>
          <w:p w14:paraId="44440793">
            <w:pPr>
              <w:jc w:val="center"/>
              <w:rPr>
                <w:color w:val="000000"/>
                <w:sz w:val="20"/>
                <w:szCs w:val="20"/>
              </w:rPr>
            </w:pPr>
            <w:r>
              <w:rPr>
                <w:color w:val="000000"/>
                <w:sz w:val="20"/>
                <w:szCs w:val="20"/>
              </w:rPr>
              <w:t>1.867.812.000</w:t>
            </w:r>
          </w:p>
        </w:tc>
      </w:tr>
      <w:tr w14:paraId="4F16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DF90C80">
            <w:pPr>
              <w:jc w:val="center"/>
              <w:rPr>
                <w:b/>
                <w:bCs/>
                <w:color w:val="000000"/>
                <w:sz w:val="20"/>
                <w:szCs w:val="20"/>
              </w:rPr>
            </w:pPr>
            <w:r>
              <w:rPr>
                <w:b/>
                <w:bCs/>
                <w:color w:val="000000"/>
                <w:sz w:val="20"/>
                <w:szCs w:val="20"/>
              </w:rPr>
              <w:t>LK58</w:t>
            </w:r>
          </w:p>
        </w:tc>
        <w:tc>
          <w:tcPr>
            <w:tcW w:w="1802" w:type="dxa"/>
            <w:vAlign w:val="center"/>
          </w:tcPr>
          <w:p w14:paraId="46615EB8">
            <w:pPr>
              <w:jc w:val="center"/>
              <w:rPr>
                <w:color w:val="000000"/>
                <w:sz w:val="20"/>
                <w:szCs w:val="20"/>
              </w:rPr>
            </w:pPr>
            <w:r>
              <w:rPr>
                <w:color w:val="000000"/>
                <w:sz w:val="20"/>
                <w:szCs w:val="20"/>
              </w:rPr>
              <w:t>LK58:04</w:t>
            </w:r>
          </w:p>
        </w:tc>
        <w:tc>
          <w:tcPr>
            <w:tcW w:w="1033" w:type="dxa"/>
            <w:noWrap/>
            <w:vAlign w:val="center"/>
          </w:tcPr>
          <w:p w14:paraId="207BA47B">
            <w:pPr>
              <w:jc w:val="center"/>
              <w:rPr>
                <w:color w:val="000000"/>
                <w:sz w:val="20"/>
                <w:szCs w:val="20"/>
              </w:rPr>
            </w:pPr>
            <w:r>
              <w:rPr>
                <w:color w:val="000000"/>
                <w:sz w:val="20"/>
                <w:szCs w:val="20"/>
              </w:rPr>
              <w:t>98,16</w:t>
            </w:r>
          </w:p>
        </w:tc>
        <w:tc>
          <w:tcPr>
            <w:tcW w:w="846" w:type="dxa"/>
            <w:noWrap/>
            <w:vAlign w:val="center"/>
          </w:tcPr>
          <w:p w14:paraId="4261C692">
            <w:pPr>
              <w:jc w:val="center"/>
              <w:rPr>
                <w:color w:val="000000"/>
                <w:sz w:val="20"/>
                <w:szCs w:val="20"/>
              </w:rPr>
            </w:pPr>
            <w:r>
              <w:rPr>
                <w:color w:val="000000"/>
                <w:sz w:val="20"/>
                <w:szCs w:val="20"/>
              </w:rPr>
              <w:t>1</w:t>
            </w:r>
          </w:p>
        </w:tc>
        <w:tc>
          <w:tcPr>
            <w:tcW w:w="2578" w:type="dxa"/>
            <w:noWrap/>
            <w:vAlign w:val="center"/>
          </w:tcPr>
          <w:p w14:paraId="3C0B983F">
            <w:pPr>
              <w:jc w:val="center"/>
              <w:rPr>
                <w:color w:val="000000"/>
                <w:sz w:val="20"/>
                <w:szCs w:val="20"/>
              </w:rPr>
            </w:pPr>
            <w:r>
              <w:rPr>
                <w:color w:val="000000"/>
                <w:sz w:val="20"/>
                <w:szCs w:val="20"/>
              </w:rPr>
              <w:t>Mặt cắt 5-5</w:t>
            </w:r>
          </w:p>
        </w:tc>
        <w:tc>
          <w:tcPr>
            <w:tcW w:w="2393" w:type="dxa"/>
            <w:noWrap/>
            <w:vAlign w:val="center"/>
          </w:tcPr>
          <w:p w14:paraId="23DC6E1F">
            <w:pPr>
              <w:jc w:val="center"/>
              <w:rPr>
                <w:color w:val="000000"/>
                <w:sz w:val="20"/>
                <w:szCs w:val="20"/>
              </w:rPr>
            </w:pPr>
            <w:r>
              <w:rPr>
                <w:color w:val="000000"/>
                <w:sz w:val="20"/>
                <w:szCs w:val="20"/>
              </w:rPr>
              <w:t>Một mặt tiền</w:t>
            </w:r>
          </w:p>
        </w:tc>
        <w:tc>
          <w:tcPr>
            <w:tcW w:w="1198" w:type="dxa"/>
            <w:noWrap/>
            <w:vAlign w:val="center"/>
          </w:tcPr>
          <w:p w14:paraId="5A796ECE">
            <w:pPr>
              <w:jc w:val="center"/>
              <w:rPr>
                <w:color w:val="000000"/>
                <w:sz w:val="20"/>
                <w:szCs w:val="20"/>
              </w:rPr>
            </w:pPr>
            <w:r>
              <w:rPr>
                <w:color w:val="000000"/>
                <w:sz w:val="20"/>
                <w:szCs w:val="20"/>
              </w:rPr>
              <w:t>18.600.000</w:t>
            </w:r>
          </w:p>
        </w:tc>
        <w:tc>
          <w:tcPr>
            <w:tcW w:w="1236" w:type="dxa"/>
            <w:noWrap/>
            <w:vAlign w:val="center"/>
          </w:tcPr>
          <w:p w14:paraId="7F9CC2FA">
            <w:pPr>
              <w:jc w:val="center"/>
              <w:rPr>
                <w:color w:val="000000"/>
                <w:sz w:val="20"/>
                <w:szCs w:val="20"/>
              </w:rPr>
            </w:pPr>
          </w:p>
        </w:tc>
        <w:tc>
          <w:tcPr>
            <w:tcW w:w="1252" w:type="dxa"/>
            <w:noWrap/>
            <w:vAlign w:val="center"/>
          </w:tcPr>
          <w:p w14:paraId="3BF0F179">
            <w:pPr>
              <w:jc w:val="center"/>
              <w:rPr>
                <w:color w:val="000000"/>
                <w:sz w:val="20"/>
                <w:szCs w:val="20"/>
              </w:rPr>
            </w:pPr>
            <w:r>
              <w:rPr>
                <w:color w:val="000000"/>
                <w:sz w:val="20"/>
                <w:szCs w:val="20"/>
              </w:rPr>
              <w:t>18.600.000</w:t>
            </w:r>
          </w:p>
        </w:tc>
        <w:tc>
          <w:tcPr>
            <w:tcW w:w="1848" w:type="dxa"/>
            <w:noWrap/>
            <w:vAlign w:val="center"/>
          </w:tcPr>
          <w:p w14:paraId="256C8427">
            <w:pPr>
              <w:jc w:val="center"/>
              <w:rPr>
                <w:color w:val="000000"/>
                <w:sz w:val="20"/>
                <w:szCs w:val="20"/>
              </w:rPr>
            </w:pPr>
            <w:r>
              <w:rPr>
                <w:color w:val="000000"/>
                <w:sz w:val="20"/>
                <w:szCs w:val="20"/>
              </w:rPr>
              <w:t>1.825.776.000</w:t>
            </w:r>
          </w:p>
        </w:tc>
      </w:tr>
      <w:tr w14:paraId="0D2C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30EBD3">
            <w:pPr>
              <w:jc w:val="center"/>
              <w:rPr>
                <w:b/>
                <w:bCs/>
                <w:color w:val="000000"/>
                <w:sz w:val="20"/>
                <w:szCs w:val="20"/>
              </w:rPr>
            </w:pPr>
            <w:r>
              <w:rPr>
                <w:b/>
                <w:bCs/>
                <w:color w:val="000000"/>
                <w:sz w:val="20"/>
                <w:szCs w:val="20"/>
              </w:rPr>
              <w:t>LK58</w:t>
            </w:r>
          </w:p>
        </w:tc>
        <w:tc>
          <w:tcPr>
            <w:tcW w:w="1802" w:type="dxa"/>
            <w:vAlign w:val="center"/>
          </w:tcPr>
          <w:p w14:paraId="5FD3DB03">
            <w:pPr>
              <w:jc w:val="center"/>
              <w:rPr>
                <w:color w:val="000000"/>
                <w:sz w:val="20"/>
                <w:szCs w:val="20"/>
              </w:rPr>
            </w:pPr>
            <w:r>
              <w:rPr>
                <w:color w:val="000000"/>
                <w:sz w:val="20"/>
                <w:szCs w:val="20"/>
              </w:rPr>
              <w:t>LK58:05</w:t>
            </w:r>
          </w:p>
        </w:tc>
        <w:tc>
          <w:tcPr>
            <w:tcW w:w="1033" w:type="dxa"/>
            <w:noWrap/>
            <w:vAlign w:val="center"/>
          </w:tcPr>
          <w:p w14:paraId="5D85E85E">
            <w:pPr>
              <w:jc w:val="center"/>
              <w:rPr>
                <w:color w:val="000000"/>
                <w:sz w:val="20"/>
                <w:szCs w:val="20"/>
              </w:rPr>
            </w:pPr>
            <w:r>
              <w:rPr>
                <w:color w:val="000000"/>
                <w:sz w:val="20"/>
                <w:szCs w:val="20"/>
              </w:rPr>
              <w:t>95,97</w:t>
            </w:r>
          </w:p>
        </w:tc>
        <w:tc>
          <w:tcPr>
            <w:tcW w:w="846" w:type="dxa"/>
            <w:noWrap/>
            <w:vAlign w:val="center"/>
          </w:tcPr>
          <w:p w14:paraId="753035A9">
            <w:pPr>
              <w:jc w:val="center"/>
              <w:rPr>
                <w:color w:val="000000"/>
                <w:sz w:val="20"/>
                <w:szCs w:val="20"/>
              </w:rPr>
            </w:pPr>
            <w:r>
              <w:rPr>
                <w:color w:val="000000"/>
                <w:sz w:val="20"/>
                <w:szCs w:val="20"/>
              </w:rPr>
              <w:t>1</w:t>
            </w:r>
          </w:p>
        </w:tc>
        <w:tc>
          <w:tcPr>
            <w:tcW w:w="2578" w:type="dxa"/>
            <w:noWrap/>
            <w:vAlign w:val="center"/>
          </w:tcPr>
          <w:p w14:paraId="55879A97">
            <w:pPr>
              <w:jc w:val="center"/>
              <w:rPr>
                <w:color w:val="000000"/>
                <w:sz w:val="20"/>
                <w:szCs w:val="20"/>
              </w:rPr>
            </w:pPr>
            <w:r>
              <w:rPr>
                <w:color w:val="000000"/>
                <w:sz w:val="20"/>
                <w:szCs w:val="20"/>
              </w:rPr>
              <w:t>Mặt cắt 5-5</w:t>
            </w:r>
          </w:p>
        </w:tc>
        <w:tc>
          <w:tcPr>
            <w:tcW w:w="2393" w:type="dxa"/>
            <w:noWrap/>
            <w:vAlign w:val="center"/>
          </w:tcPr>
          <w:p w14:paraId="4E4278FB">
            <w:pPr>
              <w:jc w:val="center"/>
              <w:rPr>
                <w:color w:val="000000"/>
                <w:sz w:val="20"/>
                <w:szCs w:val="20"/>
              </w:rPr>
            </w:pPr>
            <w:r>
              <w:rPr>
                <w:color w:val="000000"/>
                <w:sz w:val="20"/>
                <w:szCs w:val="20"/>
              </w:rPr>
              <w:t>Một mặt tiền</w:t>
            </w:r>
          </w:p>
        </w:tc>
        <w:tc>
          <w:tcPr>
            <w:tcW w:w="1198" w:type="dxa"/>
            <w:noWrap/>
            <w:vAlign w:val="center"/>
          </w:tcPr>
          <w:p w14:paraId="67282520">
            <w:pPr>
              <w:jc w:val="center"/>
              <w:rPr>
                <w:color w:val="000000"/>
                <w:sz w:val="20"/>
                <w:szCs w:val="20"/>
              </w:rPr>
            </w:pPr>
            <w:r>
              <w:rPr>
                <w:color w:val="000000"/>
                <w:sz w:val="20"/>
                <w:szCs w:val="20"/>
              </w:rPr>
              <w:t>18.600.000</w:t>
            </w:r>
          </w:p>
        </w:tc>
        <w:tc>
          <w:tcPr>
            <w:tcW w:w="1236" w:type="dxa"/>
            <w:noWrap/>
            <w:vAlign w:val="center"/>
          </w:tcPr>
          <w:p w14:paraId="0A2524B4">
            <w:pPr>
              <w:jc w:val="center"/>
              <w:rPr>
                <w:color w:val="000000"/>
                <w:sz w:val="20"/>
                <w:szCs w:val="20"/>
              </w:rPr>
            </w:pPr>
          </w:p>
        </w:tc>
        <w:tc>
          <w:tcPr>
            <w:tcW w:w="1252" w:type="dxa"/>
            <w:noWrap/>
            <w:vAlign w:val="center"/>
          </w:tcPr>
          <w:p w14:paraId="4DFDCC54">
            <w:pPr>
              <w:jc w:val="center"/>
              <w:rPr>
                <w:color w:val="000000"/>
                <w:sz w:val="20"/>
                <w:szCs w:val="20"/>
              </w:rPr>
            </w:pPr>
            <w:r>
              <w:rPr>
                <w:color w:val="000000"/>
                <w:sz w:val="20"/>
                <w:szCs w:val="20"/>
              </w:rPr>
              <w:t>18.600.000</w:t>
            </w:r>
          </w:p>
        </w:tc>
        <w:tc>
          <w:tcPr>
            <w:tcW w:w="1848" w:type="dxa"/>
            <w:noWrap/>
            <w:vAlign w:val="center"/>
          </w:tcPr>
          <w:p w14:paraId="1C94A289">
            <w:pPr>
              <w:jc w:val="center"/>
              <w:rPr>
                <w:color w:val="000000"/>
                <w:sz w:val="20"/>
                <w:szCs w:val="20"/>
              </w:rPr>
            </w:pPr>
            <w:r>
              <w:rPr>
                <w:color w:val="000000"/>
                <w:sz w:val="20"/>
                <w:szCs w:val="20"/>
              </w:rPr>
              <w:t>1.785.042.000</w:t>
            </w:r>
          </w:p>
        </w:tc>
      </w:tr>
      <w:tr w14:paraId="73D7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2655EF5">
            <w:pPr>
              <w:jc w:val="center"/>
              <w:rPr>
                <w:b/>
                <w:bCs/>
                <w:color w:val="000000"/>
                <w:sz w:val="20"/>
                <w:szCs w:val="20"/>
              </w:rPr>
            </w:pPr>
            <w:r>
              <w:rPr>
                <w:b/>
                <w:bCs/>
                <w:color w:val="000000"/>
                <w:sz w:val="20"/>
                <w:szCs w:val="20"/>
              </w:rPr>
              <w:t>LK58</w:t>
            </w:r>
          </w:p>
        </w:tc>
        <w:tc>
          <w:tcPr>
            <w:tcW w:w="1802" w:type="dxa"/>
            <w:vAlign w:val="center"/>
          </w:tcPr>
          <w:p w14:paraId="35F8CD66">
            <w:pPr>
              <w:jc w:val="center"/>
              <w:rPr>
                <w:color w:val="000000"/>
                <w:sz w:val="20"/>
                <w:szCs w:val="20"/>
              </w:rPr>
            </w:pPr>
            <w:r>
              <w:rPr>
                <w:color w:val="000000"/>
                <w:sz w:val="20"/>
                <w:szCs w:val="20"/>
              </w:rPr>
              <w:t>LK58:06</w:t>
            </w:r>
          </w:p>
        </w:tc>
        <w:tc>
          <w:tcPr>
            <w:tcW w:w="1033" w:type="dxa"/>
            <w:noWrap/>
            <w:vAlign w:val="center"/>
          </w:tcPr>
          <w:p w14:paraId="24EC8737">
            <w:pPr>
              <w:jc w:val="center"/>
              <w:rPr>
                <w:color w:val="000000"/>
                <w:sz w:val="20"/>
                <w:szCs w:val="20"/>
              </w:rPr>
            </w:pPr>
            <w:r>
              <w:rPr>
                <w:color w:val="000000"/>
                <w:sz w:val="20"/>
                <w:szCs w:val="20"/>
              </w:rPr>
              <w:t>93,77</w:t>
            </w:r>
          </w:p>
        </w:tc>
        <w:tc>
          <w:tcPr>
            <w:tcW w:w="846" w:type="dxa"/>
            <w:noWrap/>
            <w:vAlign w:val="center"/>
          </w:tcPr>
          <w:p w14:paraId="210C158F">
            <w:pPr>
              <w:jc w:val="center"/>
              <w:rPr>
                <w:color w:val="000000"/>
                <w:sz w:val="20"/>
                <w:szCs w:val="20"/>
              </w:rPr>
            </w:pPr>
            <w:r>
              <w:rPr>
                <w:color w:val="000000"/>
                <w:sz w:val="20"/>
                <w:szCs w:val="20"/>
              </w:rPr>
              <w:t>1</w:t>
            </w:r>
          </w:p>
        </w:tc>
        <w:tc>
          <w:tcPr>
            <w:tcW w:w="2578" w:type="dxa"/>
            <w:noWrap/>
            <w:vAlign w:val="center"/>
          </w:tcPr>
          <w:p w14:paraId="67A3DAD9">
            <w:pPr>
              <w:jc w:val="center"/>
              <w:rPr>
                <w:color w:val="000000"/>
                <w:sz w:val="20"/>
                <w:szCs w:val="20"/>
              </w:rPr>
            </w:pPr>
            <w:r>
              <w:rPr>
                <w:color w:val="000000"/>
                <w:sz w:val="20"/>
                <w:szCs w:val="20"/>
              </w:rPr>
              <w:t>Mặt cắt 5-5</w:t>
            </w:r>
          </w:p>
        </w:tc>
        <w:tc>
          <w:tcPr>
            <w:tcW w:w="2393" w:type="dxa"/>
            <w:noWrap/>
            <w:vAlign w:val="center"/>
          </w:tcPr>
          <w:p w14:paraId="140FB71D">
            <w:pPr>
              <w:jc w:val="center"/>
              <w:rPr>
                <w:color w:val="000000"/>
                <w:sz w:val="20"/>
                <w:szCs w:val="20"/>
              </w:rPr>
            </w:pPr>
            <w:r>
              <w:rPr>
                <w:color w:val="000000"/>
                <w:sz w:val="20"/>
                <w:szCs w:val="20"/>
              </w:rPr>
              <w:t>Một mặt tiền</w:t>
            </w:r>
          </w:p>
        </w:tc>
        <w:tc>
          <w:tcPr>
            <w:tcW w:w="1198" w:type="dxa"/>
            <w:noWrap/>
            <w:vAlign w:val="center"/>
          </w:tcPr>
          <w:p w14:paraId="39F085D0">
            <w:pPr>
              <w:jc w:val="center"/>
              <w:rPr>
                <w:color w:val="000000"/>
                <w:sz w:val="20"/>
                <w:szCs w:val="20"/>
              </w:rPr>
            </w:pPr>
            <w:r>
              <w:rPr>
                <w:color w:val="000000"/>
                <w:sz w:val="20"/>
                <w:szCs w:val="20"/>
              </w:rPr>
              <w:t>18.600.000</w:t>
            </w:r>
          </w:p>
        </w:tc>
        <w:tc>
          <w:tcPr>
            <w:tcW w:w="1236" w:type="dxa"/>
            <w:noWrap/>
            <w:vAlign w:val="center"/>
          </w:tcPr>
          <w:p w14:paraId="5B4A51D4">
            <w:pPr>
              <w:jc w:val="center"/>
              <w:rPr>
                <w:color w:val="000000"/>
                <w:sz w:val="20"/>
                <w:szCs w:val="20"/>
              </w:rPr>
            </w:pPr>
          </w:p>
        </w:tc>
        <w:tc>
          <w:tcPr>
            <w:tcW w:w="1252" w:type="dxa"/>
            <w:noWrap/>
            <w:vAlign w:val="center"/>
          </w:tcPr>
          <w:p w14:paraId="4D3226FA">
            <w:pPr>
              <w:jc w:val="center"/>
              <w:rPr>
                <w:color w:val="000000"/>
                <w:sz w:val="20"/>
                <w:szCs w:val="20"/>
              </w:rPr>
            </w:pPr>
            <w:r>
              <w:rPr>
                <w:color w:val="000000"/>
                <w:sz w:val="20"/>
                <w:szCs w:val="20"/>
              </w:rPr>
              <w:t>18.600.000</w:t>
            </w:r>
          </w:p>
        </w:tc>
        <w:tc>
          <w:tcPr>
            <w:tcW w:w="1848" w:type="dxa"/>
            <w:noWrap/>
            <w:vAlign w:val="center"/>
          </w:tcPr>
          <w:p w14:paraId="180E336B">
            <w:pPr>
              <w:jc w:val="center"/>
              <w:rPr>
                <w:color w:val="000000"/>
                <w:sz w:val="20"/>
                <w:szCs w:val="20"/>
              </w:rPr>
            </w:pPr>
            <w:r>
              <w:rPr>
                <w:color w:val="000000"/>
                <w:sz w:val="20"/>
                <w:szCs w:val="20"/>
              </w:rPr>
              <w:t>1.744.122.000</w:t>
            </w:r>
          </w:p>
        </w:tc>
      </w:tr>
      <w:tr w14:paraId="31FC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4D4F848">
            <w:pPr>
              <w:jc w:val="center"/>
              <w:rPr>
                <w:b/>
                <w:bCs/>
                <w:color w:val="000000"/>
                <w:sz w:val="20"/>
                <w:szCs w:val="20"/>
              </w:rPr>
            </w:pPr>
            <w:r>
              <w:rPr>
                <w:b/>
                <w:bCs/>
                <w:color w:val="000000"/>
                <w:sz w:val="20"/>
                <w:szCs w:val="20"/>
              </w:rPr>
              <w:t>LK58</w:t>
            </w:r>
          </w:p>
        </w:tc>
        <w:tc>
          <w:tcPr>
            <w:tcW w:w="1802" w:type="dxa"/>
            <w:vAlign w:val="center"/>
          </w:tcPr>
          <w:p w14:paraId="1945A538">
            <w:pPr>
              <w:jc w:val="center"/>
              <w:rPr>
                <w:color w:val="000000"/>
                <w:sz w:val="20"/>
                <w:szCs w:val="20"/>
              </w:rPr>
            </w:pPr>
            <w:r>
              <w:rPr>
                <w:color w:val="000000"/>
                <w:sz w:val="20"/>
                <w:szCs w:val="20"/>
              </w:rPr>
              <w:t>LK58:07</w:t>
            </w:r>
          </w:p>
        </w:tc>
        <w:tc>
          <w:tcPr>
            <w:tcW w:w="1033" w:type="dxa"/>
            <w:noWrap/>
            <w:vAlign w:val="center"/>
          </w:tcPr>
          <w:p w14:paraId="1FE01EA0">
            <w:pPr>
              <w:jc w:val="center"/>
              <w:rPr>
                <w:color w:val="000000"/>
                <w:sz w:val="20"/>
                <w:szCs w:val="20"/>
              </w:rPr>
            </w:pPr>
            <w:r>
              <w:rPr>
                <w:color w:val="000000"/>
                <w:sz w:val="20"/>
                <w:szCs w:val="20"/>
              </w:rPr>
              <w:t>91,58</w:t>
            </w:r>
          </w:p>
        </w:tc>
        <w:tc>
          <w:tcPr>
            <w:tcW w:w="846" w:type="dxa"/>
            <w:noWrap/>
            <w:vAlign w:val="center"/>
          </w:tcPr>
          <w:p w14:paraId="7403AC53">
            <w:pPr>
              <w:jc w:val="center"/>
              <w:rPr>
                <w:color w:val="000000"/>
                <w:sz w:val="20"/>
                <w:szCs w:val="20"/>
              </w:rPr>
            </w:pPr>
            <w:r>
              <w:rPr>
                <w:color w:val="000000"/>
                <w:sz w:val="20"/>
                <w:szCs w:val="20"/>
              </w:rPr>
              <w:t>1</w:t>
            </w:r>
          </w:p>
        </w:tc>
        <w:tc>
          <w:tcPr>
            <w:tcW w:w="2578" w:type="dxa"/>
            <w:noWrap/>
            <w:vAlign w:val="center"/>
          </w:tcPr>
          <w:p w14:paraId="4BF6E1F0">
            <w:pPr>
              <w:jc w:val="center"/>
              <w:rPr>
                <w:color w:val="000000"/>
                <w:sz w:val="20"/>
                <w:szCs w:val="20"/>
              </w:rPr>
            </w:pPr>
            <w:r>
              <w:rPr>
                <w:color w:val="000000"/>
                <w:sz w:val="20"/>
                <w:szCs w:val="20"/>
              </w:rPr>
              <w:t>Mặt cắt 5-5</w:t>
            </w:r>
          </w:p>
        </w:tc>
        <w:tc>
          <w:tcPr>
            <w:tcW w:w="2393" w:type="dxa"/>
            <w:noWrap/>
            <w:vAlign w:val="center"/>
          </w:tcPr>
          <w:p w14:paraId="5946A2B5">
            <w:pPr>
              <w:jc w:val="center"/>
              <w:rPr>
                <w:color w:val="000000"/>
                <w:sz w:val="20"/>
                <w:szCs w:val="20"/>
              </w:rPr>
            </w:pPr>
            <w:r>
              <w:rPr>
                <w:color w:val="000000"/>
                <w:sz w:val="20"/>
                <w:szCs w:val="20"/>
              </w:rPr>
              <w:t>Một mặt tiền</w:t>
            </w:r>
          </w:p>
        </w:tc>
        <w:tc>
          <w:tcPr>
            <w:tcW w:w="1198" w:type="dxa"/>
            <w:noWrap/>
            <w:vAlign w:val="center"/>
          </w:tcPr>
          <w:p w14:paraId="05DCD086">
            <w:pPr>
              <w:jc w:val="center"/>
              <w:rPr>
                <w:color w:val="000000"/>
                <w:sz w:val="20"/>
                <w:szCs w:val="20"/>
              </w:rPr>
            </w:pPr>
            <w:r>
              <w:rPr>
                <w:color w:val="000000"/>
                <w:sz w:val="20"/>
                <w:szCs w:val="20"/>
              </w:rPr>
              <w:t>18.600.000</w:t>
            </w:r>
          </w:p>
        </w:tc>
        <w:tc>
          <w:tcPr>
            <w:tcW w:w="1236" w:type="dxa"/>
            <w:noWrap/>
            <w:vAlign w:val="center"/>
          </w:tcPr>
          <w:p w14:paraId="03386532">
            <w:pPr>
              <w:jc w:val="center"/>
              <w:rPr>
                <w:color w:val="000000"/>
                <w:sz w:val="20"/>
                <w:szCs w:val="20"/>
              </w:rPr>
            </w:pPr>
          </w:p>
        </w:tc>
        <w:tc>
          <w:tcPr>
            <w:tcW w:w="1252" w:type="dxa"/>
            <w:noWrap/>
            <w:vAlign w:val="center"/>
          </w:tcPr>
          <w:p w14:paraId="258EF1B4">
            <w:pPr>
              <w:jc w:val="center"/>
              <w:rPr>
                <w:color w:val="000000"/>
                <w:sz w:val="20"/>
                <w:szCs w:val="20"/>
              </w:rPr>
            </w:pPr>
            <w:r>
              <w:rPr>
                <w:color w:val="000000"/>
                <w:sz w:val="20"/>
                <w:szCs w:val="20"/>
              </w:rPr>
              <w:t>18.600.000</w:t>
            </w:r>
          </w:p>
        </w:tc>
        <w:tc>
          <w:tcPr>
            <w:tcW w:w="1848" w:type="dxa"/>
            <w:noWrap/>
            <w:vAlign w:val="center"/>
          </w:tcPr>
          <w:p w14:paraId="77DB4541">
            <w:pPr>
              <w:jc w:val="center"/>
              <w:rPr>
                <w:color w:val="000000"/>
                <w:sz w:val="20"/>
                <w:szCs w:val="20"/>
              </w:rPr>
            </w:pPr>
            <w:r>
              <w:rPr>
                <w:color w:val="000000"/>
                <w:sz w:val="20"/>
                <w:szCs w:val="20"/>
              </w:rPr>
              <w:t>1.703.388.000</w:t>
            </w:r>
          </w:p>
        </w:tc>
      </w:tr>
      <w:tr w14:paraId="6ECB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A9139EE">
            <w:pPr>
              <w:jc w:val="center"/>
              <w:rPr>
                <w:b/>
                <w:bCs/>
                <w:color w:val="000000"/>
                <w:sz w:val="20"/>
                <w:szCs w:val="20"/>
              </w:rPr>
            </w:pPr>
            <w:r>
              <w:rPr>
                <w:b/>
                <w:bCs/>
                <w:color w:val="000000"/>
                <w:sz w:val="20"/>
                <w:szCs w:val="20"/>
              </w:rPr>
              <w:t>LK58</w:t>
            </w:r>
          </w:p>
        </w:tc>
        <w:tc>
          <w:tcPr>
            <w:tcW w:w="1802" w:type="dxa"/>
            <w:vAlign w:val="center"/>
          </w:tcPr>
          <w:p w14:paraId="40684810">
            <w:pPr>
              <w:jc w:val="center"/>
              <w:rPr>
                <w:color w:val="000000"/>
                <w:sz w:val="20"/>
                <w:szCs w:val="20"/>
              </w:rPr>
            </w:pPr>
            <w:r>
              <w:rPr>
                <w:color w:val="000000"/>
                <w:sz w:val="20"/>
                <w:szCs w:val="20"/>
              </w:rPr>
              <w:t>LK58:08</w:t>
            </w:r>
          </w:p>
        </w:tc>
        <w:tc>
          <w:tcPr>
            <w:tcW w:w="1033" w:type="dxa"/>
            <w:noWrap/>
            <w:vAlign w:val="center"/>
          </w:tcPr>
          <w:p w14:paraId="7BA1572A">
            <w:pPr>
              <w:jc w:val="center"/>
              <w:rPr>
                <w:color w:val="000000"/>
                <w:sz w:val="20"/>
                <w:szCs w:val="20"/>
              </w:rPr>
            </w:pPr>
            <w:r>
              <w:rPr>
                <w:color w:val="000000"/>
                <w:sz w:val="20"/>
                <w:szCs w:val="20"/>
              </w:rPr>
              <w:t>89,38</w:t>
            </w:r>
          </w:p>
        </w:tc>
        <w:tc>
          <w:tcPr>
            <w:tcW w:w="846" w:type="dxa"/>
            <w:noWrap/>
            <w:vAlign w:val="center"/>
          </w:tcPr>
          <w:p w14:paraId="7799DFCA">
            <w:pPr>
              <w:jc w:val="center"/>
              <w:rPr>
                <w:color w:val="000000"/>
                <w:sz w:val="20"/>
                <w:szCs w:val="20"/>
              </w:rPr>
            </w:pPr>
            <w:r>
              <w:rPr>
                <w:color w:val="000000"/>
                <w:sz w:val="20"/>
                <w:szCs w:val="20"/>
              </w:rPr>
              <w:t>1</w:t>
            </w:r>
          </w:p>
        </w:tc>
        <w:tc>
          <w:tcPr>
            <w:tcW w:w="2578" w:type="dxa"/>
            <w:noWrap/>
            <w:vAlign w:val="center"/>
          </w:tcPr>
          <w:p w14:paraId="652B3A32">
            <w:pPr>
              <w:jc w:val="center"/>
              <w:rPr>
                <w:color w:val="000000"/>
                <w:sz w:val="20"/>
                <w:szCs w:val="20"/>
              </w:rPr>
            </w:pPr>
            <w:r>
              <w:rPr>
                <w:color w:val="000000"/>
                <w:sz w:val="20"/>
                <w:szCs w:val="20"/>
              </w:rPr>
              <w:t>Mặt cắt 5-5</w:t>
            </w:r>
          </w:p>
        </w:tc>
        <w:tc>
          <w:tcPr>
            <w:tcW w:w="2393" w:type="dxa"/>
            <w:noWrap/>
            <w:vAlign w:val="center"/>
          </w:tcPr>
          <w:p w14:paraId="46648D12">
            <w:pPr>
              <w:jc w:val="center"/>
              <w:rPr>
                <w:color w:val="000000"/>
                <w:sz w:val="20"/>
                <w:szCs w:val="20"/>
              </w:rPr>
            </w:pPr>
            <w:r>
              <w:rPr>
                <w:color w:val="000000"/>
                <w:sz w:val="20"/>
                <w:szCs w:val="20"/>
              </w:rPr>
              <w:t>Một mặt tiền</w:t>
            </w:r>
          </w:p>
        </w:tc>
        <w:tc>
          <w:tcPr>
            <w:tcW w:w="1198" w:type="dxa"/>
            <w:noWrap/>
            <w:vAlign w:val="center"/>
          </w:tcPr>
          <w:p w14:paraId="1A84BD83">
            <w:pPr>
              <w:jc w:val="center"/>
              <w:rPr>
                <w:color w:val="000000"/>
                <w:sz w:val="20"/>
                <w:szCs w:val="20"/>
              </w:rPr>
            </w:pPr>
            <w:r>
              <w:rPr>
                <w:color w:val="000000"/>
                <w:sz w:val="20"/>
                <w:szCs w:val="20"/>
              </w:rPr>
              <w:t>18.600.000</w:t>
            </w:r>
          </w:p>
        </w:tc>
        <w:tc>
          <w:tcPr>
            <w:tcW w:w="1236" w:type="dxa"/>
            <w:noWrap/>
            <w:vAlign w:val="center"/>
          </w:tcPr>
          <w:p w14:paraId="7167197D">
            <w:pPr>
              <w:jc w:val="center"/>
              <w:rPr>
                <w:color w:val="000000"/>
                <w:sz w:val="20"/>
                <w:szCs w:val="20"/>
              </w:rPr>
            </w:pPr>
          </w:p>
        </w:tc>
        <w:tc>
          <w:tcPr>
            <w:tcW w:w="1252" w:type="dxa"/>
            <w:noWrap/>
            <w:vAlign w:val="center"/>
          </w:tcPr>
          <w:p w14:paraId="1B49B484">
            <w:pPr>
              <w:jc w:val="center"/>
              <w:rPr>
                <w:color w:val="000000"/>
                <w:sz w:val="20"/>
                <w:szCs w:val="20"/>
              </w:rPr>
            </w:pPr>
            <w:r>
              <w:rPr>
                <w:color w:val="000000"/>
                <w:sz w:val="20"/>
                <w:szCs w:val="20"/>
              </w:rPr>
              <w:t>18.600.000</w:t>
            </w:r>
          </w:p>
        </w:tc>
        <w:tc>
          <w:tcPr>
            <w:tcW w:w="1848" w:type="dxa"/>
            <w:noWrap/>
            <w:vAlign w:val="center"/>
          </w:tcPr>
          <w:p w14:paraId="759EF934">
            <w:pPr>
              <w:jc w:val="center"/>
              <w:rPr>
                <w:color w:val="000000"/>
                <w:sz w:val="20"/>
                <w:szCs w:val="20"/>
              </w:rPr>
            </w:pPr>
            <w:r>
              <w:rPr>
                <w:color w:val="000000"/>
                <w:sz w:val="20"/>
                <w:szCs w:val="20"/>
              </w:rPr>
              <w:t>1.662.468.000</w:t>
            </w:r>
          </w:p>
        </w:tc>
      </w:tr>
      <w:tr w14:paraId="018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2367AC8">
            <w:pPr>
              <w:jc w:val="center"/>
              <w:rPr>
                <w:b/>
                <w:bCs/>
                <w:color w:val="000000"/>
                <w:sz w:val="20"/>
                <w:szCs w:val="20"/>
              </w:rPr>
            </w:pPr>
            <w:r>
              <w:rPr>
                <w:b/>
                <w:bCs/>
                <w:color w:val="000000"/>
                <w:sz w:val="20"/>
                <w:szCs w:val="20"/>
              </w:rPr>
              <w:t>LK58</w:t>
            </w:r>
          </w:p>
        </w:tc>
        <w:tc>
          <w:tcPr>
            <w:tcW w:w="1802" w:type="dxa"/>
            <w:vAlign w:val="center"/>
          </w:tcPr>
          <w:p w14:paraId="7F110E50">
            <w:pPr>
              <w:jc w:val="center"/>
              <w:rPr>
                <w:color w:val="000000"/>
                <w:sz w:val="20"/>
                <w:szCs w:val="20"/>
              </w:rPr>
            </w:pPr>
            <w:r>
              <w:rPr>
                <w:color w:val="000000"/>
                <w:sz w:val="20"/>
                <w:szCs w:val="20"/>
              </w:rPr>
              <w:t>LK58:09</w:t>
            </w:r>
          </w:p>
        </w:tc>
        <w:tc>
          <w:tcPr>
            <w:tcW w:w="1033" w:type="dxa"/>
            <w:noWrap/>
            <w:vAlign w:val="center"/>
          </w:tcPr>
          <w:p w14:paraId="4C5F1417">
            <w:pPr>
              <w:jc w:val="center"/>
              <w:rPr>
                <w:color w:val="000000"/>
                <w:sz w:val="20"/>
                <w:szCs w:val="20"/>
              </w:rPr>
            </w:pPr>
            <w:r>
              <w:rPr>
                <w:color w:val="000000"/>
                <w:sz w:val="20"/>
                <w:szCs w:val="20"/>
              </w:rPr>
              <w:t>87,19</w:t>
            </w:r>
          </w:p>
        </w:tc>
        <w:tc>
          <w:tcPr>
            <w:tcW w:w="846" w:type="dxa"/>
            <w:noWrap/>
            <w:vAlign w:val="center"/>
          </w:tcPr>
          <w:p w14:paraId="76929F07">
            <w:pPr>
              <w:jc w:val="center"/>
              <w:rPr>
                <w:color w:val="000000"/>
                <w:sz w:val="20"/>
                <w:szCs w:val="20"/>
              </w:rPr>
            </w:pPr>
            <w:r>
              <w:rPr>
                <w:color w:val="000000"/>
                <w:sz w:val="20"/>
                <w:szCs w:val="20"/>
              </w:rPr>
              <w:t>1</w:t>
            </w:r>
          </w:p>
        </w:tc>
        <w:tc>
          <w:tcPr>
            <w:tcW w:w="2578" w:type="dxa"/>
            <w:noWrap/>
            <w:vAlign w:val="center"/>
          </w:tcPr>
          <w:p w14:paraId="71EBC63A">
            <w:pPr>
              <w:jc w:val="center"/>
              <w:rPr>
                <w:color w:val="000000"/>
                <w:sz w:val="20"/>
                <w:szCs w:val="20"/>
              </w:rPr>
            </w:pPr>
            <w:r>
              <w:rPr>
                <w:color w:val="000000"/>
                <w:sz w:val="20"/>
                <w:szCs w:val="20"/>
              </w:rPr>
              <w:t>Mặt cắt 5-5</w:t>
            </w:r>
          </w:p>
        </w:tc>
        <w:tc>
          <w:tcPr>
            <w:tcW w:w="2393" w:type="dxa"/>
            <w:noWrap/>
            <w:vAlign w:val="center"/>
          </w:tcPr>
          <w:p w14:paraId="7D20947B">
            <w:pPr>
              <w:jc w:val="center"/>
              <w:rPr>
                <w:color w:val="000000"/>
                <w:sz w:val="20"/>
                <w:szCs w:val="20"/>
              </w:rPr>
            </w:pPr>
            <w:r>
              <w:rPr>
                <w:color w:val="000000"/>
                <w:sz w:val="20"/>
                <w:szCs w:val="20"/>
              </w:rPr>
              <w:t>Một mặt tiền</w:t>
            </w:r>
          </w:p>
        </w:tc>
        <w:tc>
          <w:tcPr>
            <w:tcW w:w="1198" w:type="dxa"/>
            <w:noWrap/>
            <w:vAlign w:val="center"/>
          </w:tcPr>
          <w:p w14:paraId="65ED24CC">
            <w:pPr>
              <w:jc w:val="center"/>
              <w:rPr>
                <w:color w:val="000000"/>
                <w:sz w:val="20"/>
                <w:szCs w:val="20"/>
              </w:rPr>
            </w:pPr>
            <w:r>
              <w:rPr>
                <w:color w:val="000000"/>
                <w:sz w:val="20"/>
                <w:szCs w:val="20"/>
              </w:rPr>
              <w:t>18.600.000</w:t>
            </w:r>
          </w:p>
        </w:tc>
        <w:tc>
          <w:tcPr>
            <w:tcW w:w="1236" w:type="dxa"/>
            <w:noWrap/>
            <w:vAlign w:val="center"/>
          </w:tcPr>
          <w:p w14:paraId="55A99886">
            <w:pPr>
              <w:jc w:val="center"/>
              <w:rPr>
                <w:color w:val="000000"/>
                <w:sz w:val="20"/>
                <w:szCs w:val="20"/>
              </w:rPr>
            </w:pPr>
          </w:p>
        </w:tc>
        <w:tc>
          <w:tcPr>
            <w:tcW w:w="1252" w:type="dxa"/>
            <w:noWrap/>
            <w:vAlign w:val="center"/>
          </w:tcPr>
          <w:p w14:paraId="664D3487">
            <w:pPr>
              <w:jc w:val="center"/>
              <w:rPr>
                <w:color w:val="000000"/>
                <w:sz w:val="20"/>
                <w:szCs w:val="20"/>
              </w:rPr>
            </w:pPr>
            <w:r>
              <w:rPr>
                <w:color w:val="000000"/>
                <w:sz w:val="20"/>
                <w:szCs w:val="20"/>
              </w:rPr>
              <w:t>18.600.000</w:t>
            </w:r>
          </w:p>
        </w:tc>
        <w:tc>
          <w:tcPr>
            <w:tcW w:w="1848" w:type="dxa"/>
            <w:noWrap/>
            <w:vAlign w:val="center"/>
          </w:tcPr>
          <w:p w14:paraId="3AE515CE">
            <w:pPr>
              <w:jc w:val="center"/>
              <w:rPr>
                <w:color w:val="000000"/>
                <w:sz w:val="20"/>
                <w:szCs w:val="20"/>
              </w:rPr>
            </w:pPr>
            <w:r>
              <w:rPr>
                <w:color w:val="000000"/>
                <w:sz w:val="20"/>
                <w:szCs w:val="20"/>
              </w:rPr>
              <w:t>1.621.734.000</w:t>
            </w:r>
          </w:p>
        </w:tc>
      </w:tr>
      <w:tr w14:paraId="2847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0247A1F">
            <w:pPr>
              <w:jc w:val="center"/>
              <w:rPr>
                <w:b/>
                <w:bCs/>
                <w:color w:val="000000"/>
                <w:sz w:val="20"/>
                <w:szCs w:val="20"/>
              </w:rPr>
            </w:pPr>
            <w:r>
              <w:rPr>
                <w:b/>
                <w:bCs/>
                <w:color w:val="000000"/>
                <w:sz w:val="20"/>
                <w:szCs w:val="20"/>
              </w:rPr>
              <w:t>LK50</w:t>
            </w:r>
          </w:p>
        </w:tc>
        <w:tc>
          <w:tcPr>
            <w:tcW w:w="1802" w:type="dxa"/>
            <w:vAlign w:val="center"/>
          </w:tcPr>
          <w:p w14:paraId="126D9649">
            <w:pPr>
              <w:jc w:val="center"/>
              <w:rPr>
                <w:color w:val="000000"/>
                <w:sz w:val="20"/>
                <w:szCs w:val="20"/>
              </w:rPr>
            </w:pPr>
            <w:r>
              <w:rPr>
                <w:color w:val="000000"/>
                <w:sz w:val="20"/>
                <w:szCs w:val="20"/>
              </w:rPr>
              <w:t>LK50:01</w:t>
            </w:r>
          </w:p>
        </w:tc>
        <w:tc>
          <w:tcPr>
            <w:tcW w:w="1033" w:type="dxa"/>
            <w:noWrap/>
            <w:vAlign w:val="center"/>
          </w:tcPr>
          <w:p w14:paraId="112B3524">
            <w:pPr>
              <w:jc w:val="center"/>
              <w:rPr>
                <w:color w:val="000000"/>
                <w:sz w:val="20"/>
                <w:szCs w:val="20"/>
              </w:rPr>
            </w:pPr>
            <w:r>
              <w:rPr>
                <w:color w:val="000000"/>
                <w:sz w:val="20"/>
                <w:szCs w:val="20"/>
              </w:rPr>
              <w:t>152,56</w:t>
            </w:r>
          </w:p>
        </w:tc>
        <w:tc>
          <w:tcPr>
            <w:tcW w:w="846" w:type="dxa"/>
            <w:noWrap/>
            <w:vAlign w:val="center"/>
          </w:tcPr>
          <w:p w14:paraId="41A26026">
            <w:pPr>
              <w:jc w:val="center"/>
              <w:rPr>
                <w:color w:val="000000"/>
                <w:sz w:val="20"/>
                <w:szCs w:val="20"/>
              </w:rPr>
            </w:pPr>
            <w:r>
              <w:rPr>
                <w:color w:val="000000"/>
                <w:sz w:val="20"/>
                <w:szCs w:val="20"/>
              </w:rPr>
              <w:t>1</w:t>
            </w:r>
          </w:p>
        </w:tc>
        <w:tc>
          <w:tcPr>
            <w:tcW w:w="2578" w:type="dxa"/>
            <w:noWrap/>
            <w:vAlign w:val="center"/>
          </w:tcPr>
          <w:p w14:paraId="0D4F62E1">
            <w:pPr>
              <w:jc w:val="center"/>
              <w:rPr>
                <w:color w:val="000000"/>
                <w:sz w:val="20"/>
                <w:szCs w:val="20"/>
              </w:rPr>
            </w:pPr>
            <w:r>
              <w:rPr>
                <w:color w:val="000000"/>
                <w:sz w:val="20"/>
                <w:szCs w:val="20"/>
              </w:rPr>
              <w:t>Mặt cắt 5-5</w:t>
            </w:r>
          </w:p>
        </w:tc>
        <w:tc>
          <w:tcPr>
            <w:tcW w:w="2393" w:type="dxa"/>
            <w:noWrap/>
            <w:vAlign w:val="center"/>
          </w:tcPr>
          <w:p w14:paraId="399119BF">
            <w:pPr>
              <w:jc w:val="center"/>
              <w:rPr>
                <w:color w:val="000000"/>
                <w:sz w:val="20"/>
                <w:szCs w:val="20"/>
              </w:rPr>
            </w:pPr>
            <w:r>
              <w:rPr>
                <w:color w:val="000000"/>
                <w:sz w:val="20"/>
                <w:szCs w:val="20"/>
              </w:rPr>
              <w:t>Hai mặt tiền</w:t>
            </w:r>
          </w:p>
        </w:tc>
        <w:tc>
          <w:tcPr>
            <w:tcW w:w="1198" w:type="dxa"/>
            <w:noWrap/>
            <w:vAlign w:val="center"/>
          </w:tcPr>
          <w:p w14:paraId="0E957D38">
            <w:pPr>
              <w:jc w:val="center"/>
              <w:rPr>
                <w:color w:val="000000"/>
                <w:sz w:val="20"/>
                <w:szCs w:val="20"/>
              </w:rPr>
            </w:pPr>
            <w:r>
              <w:rPr>
                <w:color w:val="000000"/>
                <w:sz w:val="20"/>
                <w:szCs w:val="20"/>
              </w:rPr>
              <w:t>21.390.000</w:t>
            </w:r>
          </w:p>
        </w:tc>
        <w:tc>
          <w:tcPr>
            <w:tcW w:w="1236" w:type="dxa"/>
            <w:noWrap/>
            <w:vAlign w:val="center"/>
          </w:tcPr>
          <w:p w14:paraId="17F1961A">
            <w:pPr>
              <w:jc w:val="center"/>
              <w:rPr>
                <w:color w:val="000000"/>
                <w:sz w:val="20"/>
                <w:szCs w:val="20"/>
              </w:rPr>
            </w:pPr>
          </w:p>
        </w:tc>
        <w:tc>
          <w:tcPr>
            <w:tcW w:w="1252" w:type="dxa"/>
            <w:noWrap/>
            <w:vAlign w:val="center"/>
          </w:tcPr>
          <w:p w14:paraId="2A18253C">
            <w:pPr>
              <w:jc w:val="center"/>
              <w:rPr>
                <w:color w:val="000000"/>
                <w:sz w:val="20"/>
                <w:szCs w:val="20"/>
              </w:rPr>
            </w:pPr>
            <w:r>
              <w:rPr>
                <w:color w:val="000000"/>
                <w:sz w:val="20"/>
                <w:szCs w:val="20"/>
              </w:rPr>
              <w:t>21.390.000</w:t>
            </w:r>
          </w:p>
        </w:tc>
        <w:tc>
          <w:tcPr>
            <w:tcW w:w="1848" w:type="dxa"/>
            <w:noWrap/>
            <w:vAlign w:val="center"/>
          </w:tcPr>
          <w:p w14:paraId="7B5934B4">
            <w:pPr>
              <w:jc w:val="center"/>
              <w:rPr>
                <w:color w:val="000000"/>
                <w:sz w:val="20"/>
                <w:szCs w:val="20"/>
              </w:rPr>
            </w:pPr>
            <w:r>
              <w:rPr>
                <w:color w:val="000000"/>
                <w:sz w:val="20"/>
                <w:szCs w:val="20"/>
              </w:rPr>
              <w:t>3.263.258.400</w:t>
            </w:r>
          </w:p>
        </w:tc>
      </w:tr>
      <w:tr w14:paraId="0F27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501E4F0">
            <w:pPr>
              <w:jc w:val="center"/>
              <w:rPr>
                <w:b/>
                <w:bCs/>
                <w:color w:val="000000"/>
                <w:sz w:val="20"/>
                <w:szCs w:val="20"/>
              </w:rPr>
            </w:pPr>
            <w:r>
              <w:rPr>
                <w:b/>
                <w:bCs/>
                <w:color w:val="000000"/>
                <w:sz w:val="20"/>
                <w:szCs w:val="20"/>
              </w:rPr>
              <w:t>LK52</w:t>
            </w:r>
          </w:p>
        </w:tc>
        <w:tc>
          <w:tcPr>
            <w:tcW w:w="1802" w:type="dxa"/>
            <w:vAlign w:val="center"/>
          </w:tcPr>
          <w:p w14:paraId="14B8A8DA">
            <w:pPr>
              <w:jc w:val="center"/>
              <w:rPr>
                <w:color w:val="000000"/>
                <w:sz w:val="20"/>
                <w:szCs w:val="20"/>
              </w:rPr>
            </w:pPr>
            <w:r>
              <w:rPr>
                <w:color w:val="000000"/>
                <w:sz w:val="20"/>
                <w:szCs w:val="20"/>
              </w:rPr>
              <w:t>LK52:10</w:t>
            </w:r>
          </w:p>
        </w:tc>
        <w:tc>
          <w:tcPr>
            <w:tcW w:w="1033" w:type="dxa"/>
            <w:noWrap/>
            <w:vAlign w:val="center"/>
          </w:tcPr>
          <w:p w14:paraId="0B32689F">
            <w:pPr>
              <w:jc w:val="center"/>
              <w:rPr>
                <w:color w:val="000000"/>
                <w:sz w:val="20"/>
                <w:szCs w:val="20"/>
              </w:rPr>
            </w:pPr>
            <w:r>
              <w:rPr>
                <w:color w:val="000000"/>
                <w:sz w:val="20"/>
                <w:szCs w:val="20"/>
              </w:rPr>
              <w:t>105,12</w:t>
            </w:r>
          </w:p>
        </w:tc>
        <w:tc>
          <w:tcPr>
            <w:tcW w:w="846" w:type="dxa"/>
            <w:noWrap/>
            <w:vAlign w:val="center"/>
          </w:tcPr>
          <w:p w14:paraId="27E462CC">
            <w:pPr>
              <w:jc w:val="center"/>
              <w:rPr>
                <w:color w:val="000000"/>
                <w:sz w:val="20"/>
                <w:szCs w:val="20"/>
              </w:rPr>
            </w:pPr>
            <w:r>
              <w:rPr>
                <w:color w:val="000000"/>
                <w:sz w:val="20"/>
                <w:szCs w:val="20"/>
              </w:rPr>
              <w:t>1</w:t>
            </w:r>
          </w:p>
        </w:tc>
        <w:tc>
          <w:tcPr>
            <w:tcW w:w="2578" w:type="dxa"/>
            <w:noWrap/>
            <w:vAlign w:val="center"/>
          </w:tcPr>
          <w:p w14:paraId="7FAEE713">
            <w:pPr>
              <w:jc w:val="center"/>
              <w:rPr>
                <w:color w:val="000000"/>
                <w:sz w:val="20"/>
                <w:szCs w:val="20"/>
              </w:rPr>
            </w:pPr>
            <w:r>
              <w:rPr>
                <w:color w:val="000000"/>
                <w:sz w:val="20"/>
                <w:szCs w:val="20"/>
              </w:rPr>
              <w:t>Mặt cắt 5-5</w:t>
            </w:r>
          </w:p>
        </w:tc>
        <w:tc>
          <w:tcPr>
            <w:tcW w:w="2393" w:type="dxa"/>
            <w:noWrap/>
            <w:vAlign w:val="center"/>
          </w:tcPr>
          <w:p w14:paraId="73E3C23B">
            <w:pPr>
              <w:jc w:val="center"/>
              <w:rPr>
                <w:color w:val="000000"/>
                <w:sz w:val="20"/>
                <w:szCs w:val="20"/>
              </w:rPr>
            </w:pPr>
            <w:r>
              <w:rPr>
                <w:color w:val="000000"/>
                <w:sz w:val="20"/>
                <w:szCs w:val="20"/>
              </w:rPr>
              <w:t>Hai mặt tiền</w:t>
            </w:r>
          </w:p>
        </w:tc>
        <w:tc>
          <w:tcPr>
            <w:tcW w:w="1198" w:type="dxa"/>
            <w:noWrap/>
            <w:vAlign w:val="center"/>
          </w:tcPr>
          <w:p w14:paraId="039F34DE">
            <w:pPr>
              <w:jc w:val="center"/>
              <w:rPr>
                <w:color w:val="000000"/>
                <w:sz w:val="20"/>
                <w:szCs w:val="20"/>
              </w:rPr>
            </w:pPr>
            <w:r>
              <w:rPr>
                <w:color w:val="000000"/>
                <w:sz w:val="20"/>
                <w:szCs w:val="20"/>
              </w:rPr>
              <w:t>21.390.000</w:t>
            </w:r>
          </w:p>
        </w:tc>
        <w:tc>
          <w:tcPr>
            <w:tcW w:w="1236" w:type="dxa"/>
            <w:noWrap/>
            <w:vAlign w:val="center"/>
          </w:tcPr>
          <w:p w14:paraId="0DBBDDA0">
            <w:pPr>
              <w:jc w:val="center"/>
              <w:rPr>
                <w:color w:val="000000"/>
                <w:sz w:val="20"/>
                <w:szCs w:val="20"/>
              </w:rPr>
            </w:pPr>
          </w:p>
        </w:tc>
        <w:tc>
          <w:tcPr>
            <w:tcW w:w="1252" w:type="dxa"/>
            <w:noWrap/>
            <w:vAlign w:val="center"/>
          </w:tcPr>
          <w:p w14:paraId="7B3206B5">
            <w:pPr>
              <w:jc w:val="center"/>
              <w:rPr>
                <w:color w:val="000000"/>
                <w:sz w:val="20"/>
                <w:szCs w:val="20"/>
              </w:rPr>
            </w:pPr>
            <w:r>
              <w:rPr>
                <w:color w:val="000000"/>
                <w:sz w:val="20"/>
                <w:szCs w:val="20"/>
              </w:rPr>
              <w:t>21.390.000</w:t>
            </w:r>
          </w:p>
        </w:tc>
        <w:tc>
          <w:tcPr>
            <w:tcW w:w="1848" w:type="dxa"/>
            <w:noWrap/>
            <w:vAlign w:val="center"/>
          </w:tcPr>
          <w:p w14:paraId="493847D0">
            <w:pPr>
              <w:jc w:val="center"/>
              <w:rPr>
                <w:color w:val="000000"/>
                <w:sz w:val="20"/>
                <w:szCs w:val="20"/>
              </w:rPr>
            </w:pPr>
            <w:r>
              <w:rPr>
                <w:color w:val="000000"/>
                <w:sz w:val="20"/>
                <w:szCs w:val="20"/>
              </w:rPr>
              <w:t>2.248.516.800</w:t>
            </w:r>
          </w:p>
        </w:tc>
      </w:tr>
      <w:tr w14:paraId="028E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4D79814">
            <w:pPr>
              <w:jc w:val="center"/>
              <w:rPr>
                <w:b/>
                <w:bCs/>
                <w:color w:val="000000"/>
                <w:sz w:val="20"/>
                <w:szCs w:val="20"/>
              </w:rPr>
            </w:pPr>
            <w:r>
              <w:rPr>
                <w:b/>
                <w:bCs/>
                <w:color w:val="000000"/>
                <w:sz w:val="20"/>
                <w:szCs w:val="20"/>
              </w:rPr>
              <w:t>LK54</w:t>
            </w:r>
          </w:p>
        </w:tc>
        <w:tc>
          <w:tcPr>
            <w:tcW w:w="1802" w:type="dxa"/>
            <w:vAlign w:val="center"/>
          </w:tcPr>
          <w:p w14:paraId="5DF1E2A6">
            <w:pPr>
              <w:jc w:val="center"/>
              <w:rPr>
                <w:color w:val="000000"/>
                <w:sz w:val="20"/>
                <w:szCs w:val="20"/>
              </w:rPr>
            </w:pPr>
            <w:r>
              <w:rPr>
                <w:color w:val="000000"/>
                <w:sz w:val="20"/>
                <w:szCs w:val="20"/>
              </w:rPr>
              <w:t>LK54:01</w:t>
            </w:r>
          </w:p>
        </w:tc>
        <w:tc>
          <w:tcPr>
            <w:tcW w:w="1033" w:type="dxa"/>
            <w:noWrap/>
            <w:vAlign w:val="center"/>
          </w:tcPr>
          <w:p w14:paraId="2390DAAA">
            <w:pPr>
              <w:jc w:val="center"/>
              <w:rPr>
                <w:color w:val="000000"/>
                <w:sz w:val="20"/>
                <w:szCs w:val="20"/>
              </w:rPr>
            </w:pPr>
            <w:r>
              <w:rPr>
                <w:color w:val="000000"/>
                <w:sz w:val="20"/>
                <w:szCs w:val="20"/>
              </w:rPr>
              <w:t>83,95</w:t>
            </w:r>
          </w:p>
        </w:tc>
        <w:tc>
          <w:tcPr>
            <w:tcW w:w="846" w:type="dxa"/>
            <w:noWrap/>
            <w:vAlign w:val="center"/>
          </w:tcPr>
          <w:p w14:paraId="072175DE">
            <w:pPr>
              <w:jc w:val="center"/>
              <w:rPr>
                <w:color w:val="000000"/>
                <w:sz w:val="20"/>
                <w:szCs w:val="20"/>
              </w:rPr>
            </w:pPr>
            <w:r>
              <w:rPr>
                <w:color w:val="000000"/>
                <w:sz w:val="20"/>
                <w:szCs w:val="20"/>
              </w:rPr>
              <w:t>1</w:t>
            </w:r>
          </w:p>
        </w:tc>
        <w:tc>
          <w:tcPr>
            <w:tcW w:w="2578" w:type="dxa"/>
            <w:noWrap/>
            <w:vAlign w:val="center"/>
          </w:tcPr>
          <w:p w14:paraId="29B36B6A">
            <w:pPr>
              <w:jc w:val="center"/>
              <w:rPr>
                <w:color w:val="000000"/>
                <w:sz w:val="20"/>
                <w:szCs w:val="20"/>
              </w:rPr>
            </w:pPr>
            <w:r>
              <w:rPr>
                <w:color w:val="000000"/>
                <w:sz w:val="20"/>
                <w:szCs w:val="20"/>
              </w:rPr>
              <w:t>Mặt cắt 5-5</w:t>
            </w:r>
          </w:p>
        </w:tc>
        <w:tc>
          <w:tcPr>
            <w:tcW w:w="2393" w:type="dxa"/>
            <w:noWrap/>
            <w:vAlign w:val="center"/>
          </w:tcPr>
          <w:p w14:paraId="632C89F6">
            <w:pPr>
              <w:jc w:val="center"/>
              <w:rPr>
                <w:color w:val="000000"/>
                <w:sz w:val="20"/>
                <w:szCs w:val="20"/>
              </w:rPr>
            </w:pPr>
            <w:r>
              <w:rPr>
                <w:color w:val="000000"/>
                <w:sz w:val="20"/>
                <w:szCs w:val="20"/>
              </w:rPr>
              <w:t>Hai mặt tiền</w:t>
            </w:r>
          </w:p>
        </w:tc>
        <w:tc>
          <w:tcPr>
            <w:tcW w:w="1198" w:type="dxa"/>
            <w:noWrap/>
            <w:vAlign w:val="center"/>
          </w:tcPr>
          <w:p w14:paraId="3EB59502">
            <w:pPr>
              <w:jc w:val="center"/>
              <w:rPr>
                <w:color w:val="000000"/>
                <w:sz w:val="20"/>
                <w:szCs w:val="20"/>
              </w:rPr>
            </w:pPr>
            <w:r>
              <w:rPr>
                <w:color w:val="000000"/>
                <w:sz w:val="20"/>
                <w:szCs w:val="20"/>
              </w:rPr>
              <w:t>21.390.000</w:t>
            </w:r>
          </w:p>
        </w:tc>
        <w:tc>
          <w:tcPr>
            <w:tcW w:w="1236" w:type="dxa"/>
            <w:noWrap/>
            <w:vAlign w:val="center"/>
          </w:tcPr>
          <w:p w14:paraId="5722441E">
            <w:pPr>
              <w:jc w:val="center"/>
              <w:rPr>
                <w:color w:val="000000"/>
                <w:sz w:val="20"/>
                <w:szCs w:val="20"/>
              </w:rPr>
            </w:pPr>
          </w:p>
        </w:tc>
        <w:tc>
          <w:tcPr>
            <w:tcW w:w="1252" w:type="dxa"/>
            <w:noWrap/>
            <w:vAlign w:val="center"/>
          </w:tcPr>
          <w:p w14:paraId="589C1D4C">
            <w:pPr>
              <w:jc w:val="center"/>
              <w:rPr>
                <w:color w:val="000000"/>
                <w:sz w:val="20"/>
                <w:szCs w:val="20"/>
              </w:rPr>
            </w:pPr>
            <w:r>
              <w:rPr>
                <w:color w:val="000000"/>
                <w:sz w:val="20"/>
                <w:szCs w:val="20"/>
              </w:rPr>
              <w:t>21.390.000</w:t>
            </w:r>
          </w:p>
        </w:tc>
        <w:tc>
          <w:tcPr>
            <w:tcW w:w="1848" w:type="dxa"/>
            <w:noWrap/>
            <w:vAlign w:val="center"/>
          </w:tcPr>
          <w:p w14:paraId="781CC3BF">
            <w:pPr>
              <w:jc w:val="center"/>
              <w:rPr>
                <w:color w:val="000000"/>
                <w:sz w:val="20"/>
                <w:szCs w:val="20"/>
              </w:rPr>
            </w:pPr>
            <w:r>
              <w:rPr>
                <w:color w:val="000000"/>
                <w:sz w:val="20"/>
                <w:szCs w:val="20"/>
              </w:rPr>
              <w:t>1.795.690.500</w:t>
            </w:r>
          </w:p>
        </w:tc>
      </w:tr>
      <w:tr w14:paraId="1E03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FD56041">
            <w:pPr>
              <w:jc w:val="center"/>
              <w:rPr>
                <w:b/>
                <w:bCs/>
                <w:color w:val="000000"/>
                <w:sz w:val="20"/>
                <w:szCs w:val="20"/>
              </w:rPr>
            </w:pPr>
            <w:r>
              <w:rPr>
                <w:b/>
                <w:bCs/>
                <w:color w:val="000000"/>
                <w:sz w:val="20"/>
                <w:szCs w:val="20"/>
              </w:rPr>
              <w:t>LK54</w:t>
            </w:r>
          </w:p>
        </w:tc>
        <w:tc>
          <w:tcPr>
            <w:tcW w:w="1802" w:type="dxa"/>
            <w:vAlign w:val="center"/>
          </w:tcPr>
          <w:p w14:paraId="27DA6C4B">
            <w:pPr>
              <w:jc w:val="center"/>
              <w:rPr>
                <w:color w:val="000000"/>
                <w:sz w:val="20"/>
                <w:szCs w:val="20"/>
              </w:rPr>
            </w:pPr>
            <w:r>
              <w:rPr>
                <w:color w:val="000000"/>
                <w:sz w:val="20"/>
                <w:szCs w:val="20"/>
              </w:rPr>
              <w:t>LK54:09</w:t>
            </w:r>
          </w:p>
        </w:tc>
        <w:tc>
          <w:tcPr>
            <w:tcW w:w="1033" w:type="dxa"/>
            <w:noWrap/>
            <w:vAlign w:val="center"/>
          </w:tcPr>
          <w:p w14:paraId="01793917">
            <w:pPr>
              <w:jc w:val="center"/>
              <w:rPr>
                <w:color w:val="000000"/>
                <w:sz w:val="20"/>
                <w:szCs w:val="20"/>
              </w:rPr>
            </w:pPr>
            <w:r>
              <w:rPr>
                <w:color w:val="000000"/>
                <w:sz w:val="20"/>
                <w:szCs w:val="20"/>
              </w:rPr>
              <w:t>114,35</w:t>
            </w:r>
          </w:p>
        </w:tc>
        <w:tc>
          <w:tcPr>
            <w:tcW w:w="846" w:type="dxa"/>
            <w:noWrap/>
            <w:vAlign w:val="center"/>
          </w:tcPr>
          <w:p w14:paraId="228FD18B">
            <w:pPr>
              <w:jc w:val="center"/>
              <w:rPr>
                <w:color w:val="000000"/>
                <w:sz w:val="20"/>
                <w:szCs w:val="20"/>
              </w:rPr>
            </w:pPr>
            <w:r>
              <w:rPr>
                <w:color w:val="000000"/>
                <w:sz w:val="20"/>
                <w:szCs w:val="20"/>
              </w:rPr>
              <w:t>1</w:t>
            </w:r>
          </w:p>
        </w:tc>
        <w:tc>
          <w:tcPr>
            <w:tcW w:w="2578" w:type="dxa"/>
            <w:noWrap/>
            <w:vAlign w:val="center"/>
          </w:tcPr>
          <w:p w14:paraId="02667F18">
            <w:pPr>
              <w:jc w:val="center"/>
              <w:rPr>
                <w:color w:val="000000"/>
                <w:sz w:val="20"/>
                <w:szCs w:val="20"/>
              </w:rPr>
            </w:pPr>
            <w:r>
              <w:rPr>
                <w:color w:val="000000"/>
                <w:sz w:val="20"/>
                <w:szCs w:val="20"/>
              </w:rPr>
              <w:t>Mặt cắt 5-5</w:t>
            </w:r>
          </w:p>
        </w:tc>
        <w:tc>
          <w:tcPr>
            <w:tcW w:w="2393" w:type="dxa"/>
            <w:noWrap/>
            <w:vAlign w:val="center"/>
          </w:tcPr>
          <w:p w14:paraId="3126602C">
            <w:pPr>
              <w:jc w:val="center"/>
              <w:rPr>
                <w:color w:val="000000"/>
                <w:sz w:val="20"/>
                <w:szCs w:val="20"/>
              </w:rPr>
            </w:pPr>
            <w:r>
              <w:rPr>
                <w:color w:val="000000"/>
                <w:sz w:val="20"/>
                <w:szCs w:val="20"/>
              </w:rPr>
              <w:t>Hai mặt tiền</w:t>
            </w:r>
          </w:p>
        </w:tc>
        <w:tc>
          <w:tcPr>
            <w:tcW w:w="1198" w:type="dxa"/>
            <w:noWrap/>
            <w:vAlign w:val="center"/>
          </w:tcPr>
          <w:p w14:paraId="28444CC5">
            <w:pPr>
              <w:jc w:val="center"/>
              <w:rPr>
                <w:color w:val="000000"/>
                <w:sz w:val="20"/>
                <w:szCs w:val="20"/>
              </w:rPr>
            </w:pPr>
            <w:r>
              <w:rPr>
                <w:color w:val="000000"/>
                <w:sz w:val="20"/>
                <w:szCs w:val="20"/>
              </w:rPr>
              <w:t>21.390.000</w:t>
            </w:r>
          </w:p>
        </w:tc>
        <w:tc>
          <w:tcPr>
            <w:tcW w:w="1236" w:type="dxa"/>
            <w:noWrap/>
            <w:vAlign w:val="center"/>
          </w:tcPr>
          <w:p w14:paraId="5F41ED0E">
            <w:pPr>
              <w:jc w:val="center"/>
              <w:rPr>
                <w:color w:val="000000"/>
                <w:sz w:val="20"/>
                <w:szCs w:val="20"/>
              </w:rPr>
            </w:pPr>
          </w:p>
        </w:tc>
        <w:tc>
          <w:tcPr>
            <w:tcW w:w="1252" w:type="dxa"/>
            <w:noWrap/>
            <w:vAlign w:val="center"/>
          </w:tcPr>
          <w:p w14:paraId="7F301F37">
            <w:pPr>
              <w:jc w:val="center"/>
              <w:rPr>
                <w:color w:val="000000"/>
                <w:sz w:val="20"/>
                <w:szCs w:val="20"/>
              </w:rPr>
            </w:pPr>
            <w:r>
              <w:rPr>
                <w:color w:val="000000"/>
                <w:sz w:val="20"/>
                <w:szCs w:val="20"/>
              </w:rPr>
              <w:t>21.390.000</w:t>
            </w:r>
          </w:p>
        </w:tc>
        <w:tc>
          <w:tcPr>
            <w:tcW w:w="1848" w:type="dxa"/>
            <w:noWrap/>
            <w:vAlign w:val="center"/>
          </w:tcPr>
          <w:p w14:paraId="742A8381">
            <w:pPr>
              <w:jc w:val="center"/>
              <w:rPr>
                <w:color w:val="000000"/>
                <w:sz w:val="20"/>
                <w:szCs w:val="20"/>
              </w:rPr>
            </w:pPr>
            <w:r>
              <w:rPr>
                <w:color w:val="000000"/>
                <w:sz w:val="20"/>
                <w:szCs w:val="20"/>
              </w:rPr>
              <w:t>2.445.946.500</w:t>
            </w:r>
          </w:p>
        </w:tc>
      </w:tr>
      <w:tr w14:paraId="0438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4314035">
            <w:pPr>
              <w:jc w:val="center"/>
              <w:rPr>
                <w:b/>
                <w:bCs/>
                <w:color w:val="000000"/>
                <w:sz w:val="20"/>
                <w:szCs w:val="20"/>
              </w:rPr>
            </w:pPr>
            <w:r>
              <w:rPr>
                <w:b/>
                <w:bCs/>
                <w:color w:val="000000"/>
                <w:sz w:val="20"/>
                <w:szCs w:val="20"/>
              </w:rPr>
              <w:t>LK56</w:t>
            </w:r>
          </w:p>
        </w:tc>
        <w:tc>
          <w:tcPr>
            <w:tcW w:w="1802" w:type="dxa"/>
            <w:vAlign w:val="center"/>
          </w:tcPr>
          <w:p w14:paraId="4078E375">
            <w:pPr>
              <w:jc w:val="center"/>
              <w:rPr>
                <w:color w:val="000000"/>
                <w:sz w:val="20"/>
                <w:szCs w:val="20"/>
              </w:rPr>
            </w:pPr>
            <w:r>
              <w:rPr>
                <w:color w:val="000000"/>
                <w:sz w:val="20"/>
                <w:szCs w:val="20"/>
              </w:rPr>
              <w:t>LK56:01</w:t>
            </w:r>
          </w:p>
        </w:tc>
        <w:tc>
          <w:tcPr>
            <w:tcW w:w="1033" w:type="dxa"/>
            <w:noWrap/>
            <w:vAlign w:val="center"/>
          </w:tcPr>
          <w:p w14:paraId="78BACDCD">
            <w:pPr>
              <w:jc w:val="center"/>
              <w:rPr>
                <w:color w:val="000000"/>
                <w:sz w:val="20"/>
                <w:szCs w:val="20"/>
              </w:rPr>
            </w:pPr>
            <w:r>
              <w:rPr>
                <w:color w:val="000000"/>
                <w:sz w:val="20"/>
                <w:szCs w:val="20"/>
              </w:rPr>
              <w:t>184,03</w:t>
            </w:r>
          </w:p>
        </w:tc>
        <w:tc>
          <w:tcPr>
            <w:tcW w:w="846" w:type="dxa"/>
            <w:noWrap/>
            <w:vAlign w:val="center"/>
          </w:tcPr>
          <w:p w14:paraId="31762A8F">
            <w:pPr>
              <w:jc w:val="center"/>
              <w:rPr>
                <w:color w:val="000000"/>
                <w:sz w:val="20"/>
                <w:szCs w:val="20"/>
              </w:rPr>
            </w:pPr>
            <w:r>
              <w:rPr>
                <w:color w:val="000000"/>
                <w:sz w:val="20"/>
                <w:szCs w:val="20"/>
              </w:rPr>
              <w:t>1</w:t>
            </w:r>
          </w:p>
        </w:tc>
        <w:tc>
          <w:tcPr>
            <w:tcW w:w="2578" w:type="dxa"/>
            <w:noWrap/>
            <w:vAlign w:val="center"/>
          </w:tcPr>
          <w:p w14:paraId="1D4B77CF">
            <w:pPr>
              <w:jc w:val="center"/>
              <w:rPr>
                <w:color w:val="000000"/>
                <w:sz w:val="20"/>
                <w:szCs w:val="20"/>
              </w:rPr>
            </w:pPr>
            <w:r>
              <w:rPr>
                <w:color w:val="000000"/>
                <w:sz w:val="20"/>
                <w:szCs w:val="20"/>
              </w:rPr>
              <w:t>Mặt cắt 5-5</w:t>
            </w:r>
          </w:p>
        </w:tc>
        <w:tc>
          <w:tcPr>
            <w:tcW w:w="2393" w:type="dxa"/>
            <w:noWrap/>
            <w:vAlign w:val="center"/>
          </w:tcPr>
          <w:p w14:paraId="733FFB17">
            <w:pPr>
              <w:jc w:val="center"/>
              <w:rPr>
                <w:color w:val="000000"/>
                <w:sz w:val="20"/>
                <w:szCs w:val="20"/>
              </w:rPr>
            </w:pPr>
            <w:r>
              <w:rPr>
                <w:color w:val="000000"/>
                <w:sz w:val="20"/>
                <w:szCs w:val="20"/>
              </w:rPr>
              <w:t>Hai mặt tiền</w:t>
            </w:r>
          </w:p>
        </w:tc>
        <w:tc>
          <w:tcPr>
            <w:tcW w:w="1198" w:type="dxa"/>
            <w:noWrap/>
            <w:vAlign w:val="center"/>
          </w:tcPr>
          <w:p w14:paraId="789098B7">
            <w:pPr>
              <w:jc w:val="center"/>
              <w:rPr>
                <w:color w:val="000000"/>
                <w:sz w:val="20"/>
                <w:szCs w:val="20"/>
              </w:rPr>
            </w:pPr>
            <w:r>
              <w:rPr>
                <w:color w:val="000000"/>
                <w:sz w:val="20"/>
                <w:szCs w:val="20"/>
              </w:rPr>
              <w:t>21.390.000</w:t>
            </w:r>
          </w:p>
        </w:tc>
        <w:tc>
          <w:tcPr>
            <w:tcW w:w="1236" w:type="dxa"/>
            <w:noWrap/>
            <w:vAlign w:val="center"/>
          </w:tcPr>
          <w:p w14:paraId="5E3F8BF4">
            <w:pPr>
              <w:jc w:val="center"/>
              <w:rPr>
                <w:color w:val="000000"/>
                <w:sz w:val="20"/>
                <w:szCs w:val="20"/>
              </w:rPr>
            </w:pPr>
          </w:p>
        </w:tc>
        <w:tc>
          <w:tcPr>
            <w:tcW w:w="1252" w:type="dxa"/>
            <w:noWrap/>
            <w:vAlign w:val="center"/>
          </w:tcPr>
          <w:p w14:paraId="46E90A00">
            <w:pPr>
              <w:jc w:val="center"/>
              <w:rPr>
                <w:color w:val="000000"/>
                <w:sz w:val="20"/>
                <w:szCs w:val="20"/>
              </w:rPr>
            </w:pPr>
            <w:r>
              <w:rPr>
                <w:color w:val="000000"/>
                <w:sz w:val="20"/>
                <w:szCs w:val="20"/>
              </w:rPr>
              <w:t>21.390.000</w:t>
            </w:r>
          </w:p>
        </w:tc>
        <w:tc>
          <w:tcPr>
            <w:tcW w:w="1848" w:type="dxa"/>
            <w:noWrap/>
            <w:vAlign w:val="center"/>
          </w:tcPr>
          <w:p w14:paraId="75316D3A">
            <w:pPr>
              <w:jc w:val="center"/>
              <w:rPr>
                <w:color w:val="000000"/>
                <w:sz w:val="20"/>
                <w:szCs w:val="20"/>
              </w:rPr>
            </w:pPr>
            <w:r>
              <w:rPr>
                <w:color w:val="000000"/>
                <w:sz w:val="20"/>
                <w:szCs w:val="20"/>
              </w:rPr>
              <w:t>3.936.401.700</w:t>
            </w:r>
          </w:p>
        </w:tc>
      </w:tr>
      <w:tr w14:paraId="5602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AE2DB13">
            <w:pPr>
              <w:jc w:val="center"/>
              <w:rPr>
                <w:b/>
                <w:bCs/>
                <w:color w:val="000000"/>
                <w:sz w:val="20"/>
                <w:szCs w:val="20"/>
              </w:rPr>
            </w:pPr>
            <w:r>
              <w:rPr>
                <w:b/>
                <w:bCs/>
                <w:color w:val="000000"/>
                <w:sz w:val="20"/>
                <w:szCs w:val="20"/>
              </w:rPr>
              <w:t>LK58</w:t>
            </w:r>
          </w:p>
        </w:tc>
        <w:tc>
          <w:tcPr>
            <w:tcW w:w="1802" w:type="dxa"/>
            <w:vAlign w:val="center"/>
          </w:tcPr>
          <w:p w14:paraId="6BFB6721">
            <w:pPr>
              <w:jc w:val="center"/>
              <w:rPr>
                <w:color w:val="000000"/>
                <w:sz w:val="20"/>
                <w:szCs w:val="20"/>
              </w:rPr>
            </w:pPr>
            <w:r>
              <w:rPr>
                <w:color w:val="000000"/>
                <w:sz w:val="20"/>
                <w:szCs w:val="20"/>
              </w:rPr>
              <w:t>LK58:10</w:t>
            </w:r>
          </w:p>
        </w:tc>
        <w:tc>
          <w:tcPr>
            <w:tcW w:w="1033" w:type="dxa"/>
            <w:noWrap/>
            <w:vAlign w:val="center"/>
          </w:tcPr>
          <w:p w14:paraId="26B04750">
            <w:pPr>
              <w:jc w:val="center"/>
              <w:rPr>
                <w:color w:val="000000"/>
                <w:sz w:val="20"/>
                <w:szCs w:val="20"/>
              </w:rPr>
            </w:pPr>
            <w:r>
              <w:rPr>
                <w:color w:val="000000"/>
                <w:sz w:val="20"/>
                <w:szCs w:val="20"/>
              </w:rPr>
              <w:t>127,41</w:t>
            </w:r>
          </w:p>
        </w:tc>
        <w:tc>
          <w:tcPr>
            <w:tcW w:w="846" w:type="dxa"/>
            <w:noWrap/>
            <w:vAlign w:val="center"/>
          </w:tcPr>
          <w:p w14:paraId="53AC984F">
            <w:pPr>
              <w:jc w:val="center"/>
              <w:rPr>
                <w:color w:val="000000"/>
                <w:sz w:val="20"/>
                <w:szCs w:val="20"/>
              </w:rPr>
            </w:pPr>
            <w:r>
              <w:rPr>
                <w:color w:val="000000"/>
                <w:sz w:val="20"/>
                <w:szCs w:val="20"/>
              </w:rPr>
              <w:t>1</w:t>
            </w:r>
          </w:p>
        </w:tc>
        <w:tc>
          <w:tcPr>
            <w:tcW w:w="2578" w:type="dxa"/>
            <w:noWrap/>
            <w:vAlign w:val="center"/>
          </w:tcPr>
          <w:p w14:paraId="1F5BFD25">
            <w:pPr>
              <w:jc w:val="center"/>
              <w:rPr>
                <w:color w:val="000000"/>
                <w:sz w:val="20"/>
                <w:szCs w:val="20"/>
              </w:rPr>
            </w:pPr>
            <w:r>
              <w:rPr>
                <w:color w:val="000000"/>
                <w:sz w:val="20"/>
                <w:szCs w:val="20"/>
              </w:rPr>
              <w:t>Mặt cắt 5-5</w:t>
            </w:r>
          </w:p>
        </w:tc>
        <w:tc>
          <w:tcPr>
            <w:tcW w:w="2393" w:type="dxa"/>
            <w:noWrap/>
            <w:vAlign w:val="center"/>
          </w:tcPr>
          <w:p w14:paraId="270B443E">
            <w:pPr>
              <w:jc w:val="center"/>
              <w:rPr>
                <w:color w:val="000000"/>
                <w:sz w:val="20"/>
                <w:szCs w:val="20"/>
              </w:rPr>
            </w:pPr>
            <w:r>
              <w:rPr>
                <w:color w:val="000000"/>
                <w:sz w:val="20"/>
                <w:szCs w:val="20"/>
              </w:rPr>
              <w:t>Hai mặt tiền</w:t>
            </w:r>
          </w:p>
        </w:tc>
        <w:tc>
          <w:tcPr>
            <w:tcW w:w="1198" w:type="dxa"/>
            <w:noWrap/>
            <w:vAlign w:val="center"/>
          </w:tcPr>
          <w:p w14:paraId="7645C328">
            <w:pPr>
              <w:jc w:val="center"/>
              <w:rPr>
                <w:color w:val="000000"/>
                <w:sz w:val="20"/>
                <w:szCs w:val="20"/>
              </w:rPr>
            </w:pPr>
            <w:r>
              <w:rPr>
                <w:color w:val="000000"/>
                <w:sz w:val="20"/>
                <w:szCs w:val="20"/>
              </w:rPr>
              <w:t>21.390.000</w:t>
            </w:r>
          </w:p>
        </w:tc>
        <w:tc>
          <w:tcPr>
            <w:tcW w:w="1236" w:type="dxa"/>
            <w:noWrap/>
            <w:vAlign w:val="center"/>
          </w:tcPr>
          <w:p w14:paraId="6D5CBE0E">
            <w:pPr>
              <w:jc w:val="center"/>
              <w:rPr>
                <w:color w:val="000000"/>
                <w:sz w:val="20"/>
                <w:szCs w:val="20"/>
              </w:rPr>
            </w:pPr>
          </w:p>
        </w:tc>
        <w:tc>
          <w:tcPr>
            <w:tcW w:w="1252" w:type="dxa"/>
            <w:noWrap/>
            <w:vAlign w:val="center"/>
          </w:tcPr>
          <w:p w14:paraId="19F407EA">
            <w:pPr>
              <w:jc w:val="center"/>
              <w:rPr>
                <w:color w:val="000000"/>
                <w:sz w:val="20"/>
                <w:szCs w:val="20"/>
              </w:rPr>
            </w:pPr>
            <w:r>
              <w:rPr>
                <w:color w:val="000000"/>
                <w:sz w:val="20"/>
                <w:szCs w:val="20"/>
              </w:rPr>
              <w:t>21.390.000</w:t>
            </w:r>
          </w:p>
        </w:tc>
        <w:tc>
          <w:tcPr>
            <w:tcW w:w="1848" w:type="dxa"/>
            <w:noWrap/>
            <w:vAlign w:val="center"/>
          </w:tcPr>
          <w:p w14:paraId="41E053FB">
            <w:pPr>
              <w:jc w:val="center"/>
              <w:rPr>
                <w:color w:val="000000"/>
                <w:sz w:val="20"/>
                <w:szCs w:val="20"/>
              </w:rPr>
            </w:pPr>
            <w:r>
              <w:rPr>
                <w:color w:val="000000"/>
                <w:sz w:val="20"/>
                <w:szCs w:val="20"/>
              </w:rPr>
              <w:t>2.725.299.900</w:t>
            </w:r>
          </w:p>
        </w:tc>
      </w:tr>
      <w:tr w14:paraId="03A2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BA652AC">
            <w:pPr>
              <w:jc w:val="center"/>
              <w:rPr>
                <w:b/>
                <w:bCs/>
                <w:color w:val="000000"/>
                <w:sz w:val="20"/>
                <w:szCs w:val="20"/>
              </w:rPr>
            </w:pPr>
          </w:p>
        </w:tc>
        <w:tc>
          <w:tcPr>
            <w:tcW w:w="14189" w:type="dxa"/>
            <w:gridSpan w:val="9"/>
            <w:vAlign w:val="center"/>
          </w:tcPr>
          <w:p w14:paraId="76BE752F">
            <w:pPr>
              <w:jc w:val="center"/>
              <w:rPr>
                <w:b/>
                <w:bCs/>
                <w:color w:val="000000"/>
                <w:sz w:val="20"/>
                <w:szCs w:val="20"/>
              </w:rPr>
            </w:pPr>
            <w:r>
              <w:rPr>
                <w:b/>
                <w:bCs/>
                <w:color w:val="000000"/>
                <w:sz w:val="20"/>
                <w:szCs w:val="20"/>
              </w:rPr>
              <w:t>Tiếp giáp đường Đại Huề (tuyến đối ngoại)</w:t>
            </w:r>
          </w:p>
        </w:tc>
      </w:tr>
      <w:tr w14:paraId="67F9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EA44944">
            <w:pPr>
              <w:jc w:val="center"/>
              <w:rPr>
                <w:b/>
                <w:bCs/>
                <w:color w:val="000000"/>
                <w:sz w:val="20"/>
                <w:szCs w:val="20"/>
              </w:rPr>
            </w:pPr>
            <w:r>
              <w:rPr>
                <w:b/>
                <w:bCs/>
                <w:color w:val="000000"/>
                <w:sz w:val="20"/>
                <w:szCs w:val="20"/>
              </w:rPr>
              <w:t>LK63</w:t>
            </w:r>
          </w:p>
        </w:tc>
        <w:tc>
          <w:tcPr>
            <w:tcW w:w="1802" w:type="dxa"/>
            <w:vAlign w:val="center"/>
          </w:tcPr>
          <w:p w14:paraId="4F9B747E">
            <w:pPr>
              <w:jc w:val="center"/>
              <w:rPr>
                <w:color w:val="000000"/>
                <w:sz w:val="20"/>
                <w:szCs w:val="20"/>
              </w:rPr>
            </w:pPr>
            <w:r>
              <w:rPr>
                <w:color w:val="000000"/>
                <w:sz w:val="20"/>
                <w:szCs w:val="20"/>
              </w:rPr>
              <w:t>LK63:07</w:t>
            </w:r>
          </w:p>
        </w:tc>
        <w:tc>
          <w:tcPr>
            <w:tcW w:w="1033" w:type="dxa"/>
            <w:noWrap/>
            <w:vAlign w:val="center"/>
          </w:tcPr>
          <w:p w14:paraId="19D0E7DB">
            <w:pPr>
              <w:jc w:val="center"/>
              <w:rPr>
                <w:color w:val="000000"/>
                <w:sz w:val="20"/>
                <w:szCs w:val="20"/>
              </w:rPr>
            </w:pPr>
            <w:r>
              <w:rPr>
                <w:color w:val="000000"/>
                <w:sz w:val="20"/>
                <w:szCs w:val="20"/>
              </w:rPr>
              <w:t>90,00</w:t>
            </w:r>
          </w:p>
        </w:tc>
        <w:tc>
          <w:tcPr>
            <w:tcW w:w="846" w:type="dxa"/>
            <w:noWrap/>
            <w:vAlign w:val="center"/>
          </w:tcPr>
          <w:p w14:paraId="7E5B8D7A">
            <w:pPr>
              <w:jc w:val="center"/>
              <w:rPr>
                <w:color w:val="000000"/>
                <w:sz w:val="20"/>
                <w:szCs w:val="20"/>
              </w:rPr>
            </w:pPr>
            <w:r>
              <w:rPr>
                <w:color w:val="000000"/>
                <w:sz w:val="20"/>
                <w:szCs w:val="20"/>
              </w:rPr>
              <w:t>1</w:t>
            </w:r>
          </w:p>
        </w:tc>
        <w:tc>
          <w:tcPr>
            <w:tcW w:w="2578" w:type="dxa"/>
            <w:noWrap/>
            <w:vAlign w:val="center"/>
          </w:tcPr>
          <w:p w14:paraId="194F881E">
            <w:pPr>
              <w:jc w:val="center"/>
              <w:rPr>
                <w:color w:val="000000"/>
                <w:sz w:val="20"/>
                <w:szCs w:val="20"/>
              </w:rPr>
            </w:pPr>
            <w:r>
              <w:rPr>
                <w:color w:val="000000"/>
                <w:sz w:val="20"/>
                <w:szCs w:val="20"/>
              </w:rPr>
              <w:t>Tiếp giáp đường Đại Huề</w:t>
            </w:r>
          </w:p>
        </w:tc>
        <w:tc>
          <w:tcPr>
            <w:tcW w:w="2393" w:type="dxa"/>
            <w:noWrap/>
            <w:vAlign w:val="center"/>
          </w:tcPr>
          <w:p w14:paraId="1B25B80C">
            <w:pPr>
              <w:jc w:val="center"/>
              <w:rPr>
                <w:color w:val="000000"/>
                <w:sz w:val="20"/>
                <w:szCs w:val="20"/>
              </w:rPr>
            </w:pPr>
            <w:r>
              <w:rPr>
                <w:color w:val="000000"/>
                <w:sz w:val="20"/>
                <w:szCs w:val="20"/>
              </w:rPr>
              <w:t>Một mặt tiền</w:t>
            </w:r>
          </w:p>
        </w:tc>
        <w:tc>
          <w:tcPr>
            <w:tcW w:w="1198" w:type="dxa"/>
            <w:noWrap/>
            <w:vAlign w:val="center"/>
          </w:tcPr>
          <w:p w14:paraId="11127356">
            <w:pPr>
              <w:jc w:val="center"/>
              <w:rPr>
                <w:color w:val="000000"/>
                <w:sz w:val="20"/>
                <w:szCs w:val="20"/>
              </w:rPr>
            </w:pPr>
            <w:r>
              <w:rPr>
                <w:color w:val="000000"/>
                <w:sz w:val="20"/>
                <w:szCs w:val="20"/>
              </w:rPr>
              <w:t>23.200.000</w:t>
            </w:r>
          </w:p>
        </w:tc>
        <w:tc>
          <w:tcPr>
            <w:tcW w:w="1236" w:type="dxa"/>
            <w:noWrap/>
            <w:vAlign w:val="center"/>
          </w:tcPr>
          <w:p w14:paraId="0BDF6EF4">
            <w:pPr>
              <w:jc w:val="center"/>
              <w:rPr>
                <w:color w:val="000000"/>
                <w:sz w:val="20"/>
                <w:szCs w:val="20"/>
              </w:rPr>
            </w:pPr>
          </w:p>
        </w:tc>
        <w:tc>
          <w:tcPr>
            <w:tcW w:w="1252" w:type="dxa"/>
            <w:noWrap/>
            <w:vAlign w:val="center"/>
          </w:tcPr>
          <w:p w14:paraId="15B04FC6">
            <w:pPr>
              <w:jc w:val="center"/>
              <w:rPr>
                <w:color w:val="000000"/>
                <w:sz w:val="20"/>
                <w:szCs w:val="20"/>
              </w:rPr>
            </w:pPr>
            <w:r>
              <w:rPr>
                <w:color w:val="000000"/>
                <w:sz w:val="20"/>
                <w:szCs w:val="20"/>
              </w:rPr>
              <w:t>23.200.000</w:t>
            </w:r>
          </w:p>
        </w:tc>
        <w:tc>
          <w:tcPr>
            <w:tcW w:w="1848" w:type="dxa"/>
            <w:noWrap/>
            <w:vAlign w:val="center"/>
          </w:tcPr>
          <w:p w14:paraId="27F11D32">
            <w:pPr>
              <w:jc w:val="center"/>
              <w:rPr>
                <w:color w:val="000000"/>
                <w:sz w:val="20"/>
                <w:szCs w:val="20"/>
              </w:rPr>
            </w:pPr>
            <w:r>
              <w:rPr>
                <w:color w:val="000000"/>
                <w:sz w:val="20"/>
                <w:szCs w:val="20"/>
              </w:rPr>
              <w:t>2.088.000.000</w:t>
            </w:r>
          </w:p>
        </w:tc>
      </w:tr>
      <w:tr w14:paraId="47D3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7E658C8">
            <w:pPr>
              <w:jc w:val="center"/>
              <w:rPr>
                <w:b/>
                <w:bCs/>
                <w:color w:val="000000"/>
                <w:sz w:val="20"/>
                <w:szCs w:val="20"/>
              </w:rPr>
            </w:pPr>
            <w:r>
              <w:rPr>
                <w:b/>
                <w:bCs/>
                <w:color w:val="000000"/>
                <w:sz w:val="20"/>
                <w:szCs w:val="20"/>
              </w:rPr>
              <w:t>LK63</w:t>
            </w:r>
          </w:p>
        </w:tc>
        <w:tc>
          <w:tcPr>
            <w:tcW w:w="1802" w:type="dxa"/>
            <w:vAlign w:val="center"/>
          </w:tcPr>
          <w:p w14:paraId="5AE8F4D4">
            <w:pPr>
              <w:jc w:val="center"/>
              <w:rPr>
                <w:color w:val="000000"/>
                <w:sz w:val="20"/>
                <w:szCs w:val="20"/>
              </w:rPr>
            </w:pPr>
            <w:r>
              <w:rPr>
                <w:color w:val="000000"/>
                <w:sz w:val="20"/>
                <w:szCs w:val="20"/>
              </w:rPr>
              <w:t>LK63:08</w:t>
            </w:r>
          </w:p>
        </w:tc>
        <w:tc>
          <w:tcPr>
            <w:tcW w:w="1033" w:type="dxa"/>
            <w:noWrap/>
            <w:vAlign w:val="center"/>
          </w:tcPr>
          <w:p w14:paraId="360552BE">
            <w:pPr>
              <w:jc w:val="center"/>
              <w:rPr>
                <w:color w:val="000000"/>
                <w:sz w:val="20"/>
                <w:szCs w:val="20"/>
              </w:rPr>
            </w:pPr>
            <w:r>
              <w:rPr>
                <w:color w:val="000000"/>
                <w:sz w:val="20"/>
                <w:szCs w:val="20"/>
              </w:rPr>
              <w:t>90,00</w:t>
            </w:r>
          </w:p>
        </w:tc>
        <w:tc>
          <w:tcPr>
            <w:tcW w:w="846" w:type="dxa"/>
            <w:noWrap/>
            <w:vAlign w:val="center"/>
          </w:tcPr>
          <w:p w14:paraId="054401D1">
            <w:pPr>
              <w:jc w:val="center"/>
              <w:rPr>
                <w:color w:val="000000"/>
                <w:sz w:val="20"/>
                <w:szCs w:val="20"/>
              </w:rPr>
            </w:pPr>
            <w:r>
              <w:rPr>
                <w:color w:val="000000"/>
                <w:sz w:val="20"/>
                <w:szCs w:val="20"/>
              </w:rPr>
              <w:t>1</w:t>
            </w:r>
          </w:p>
        </w:tc>
        <w:tc>
          <w:tcPr>
            <w:tcW w:w="2578" w:type="dxa"/>
            <w:noWrap/>
            <w:vAlign w:val="center"/>
          </w:tcPr>
          <w:p w14:paraId="1D066AA5">
            <w:pPr>
              <w:jc w:val="center"/>
              <w:rPr>
                <w:color w:val="000000"/>
                <w:sz w:val="20"/>
                <w:szCs w:val="20"/>
              </w:rPr>
            </w:pPr>
            <w:r>
              <w:rPr>
                <w:color w:val="000000"/>
                <w:sz w:val="20"/>
                <w:szCs w:val="20"/>
              </w:rPr>
              <w:t>Tiếp giáp đường Đại Huề</w:t>
            </w:r>
          </w:p>
        </w:tc>
        <w:tc>
          <w:tcPr>
            <w:tcW w:w="2393" w:type="dxa"/>
            <w:noWrap/>
            <w:vAlign w:val="center"/>
          </w:tcPr>
          <w:p w14:paraId="1A360CDE">
            <w:pPr>
              <w:jc w:val="center"/>
              <w:rPr>
                <w:color w:val="000000"/>
                <w:sz w:val="20"/>
                <w:szCs w:val="20"/>
              </w:rPr>
            </w:pPr>
            <w:r>
              <w:rPr>
                <w:color w:val="000000"/>
                <w:sz w:val="20"/>
                <w:szCs w:val="20"/>
              </w:rPr>
              <w:t>Một mặt tiền</w:t>
            </w:r>
          </w:p>
        </w:tc>
        <w:tc>
          <w:tcPr>
            <w:tcW w:w="1198" w:type="dxa"/>
            <w:noWrap/>
            <w:vAlign w:val="center"/>
          </w:tcPr>
          <w:p w14:paraId="26985AB8">
            <w:pPr>
              <w:jc w:val="center"/>
              <w:rPr>
                <w:color w:val="000000"/>
                <w:sz w:val="20"/>
                <w:szCs w:val="20"/>
              </w:rPr>
            </w:pPr>
            <w:r>
              <w:rPr>
                <w:color w:val="000000"/>
                <w:sz w:val="20"/>
                <w:szCs w:val="20"/>
              </w:rPr>
              <w:t>23.200.000</w:t>
            </w:r>
          </w:p>
        </w:tc>
        <w:tc>
          <w:tcPr>
            <w:tcW w:w="1236" w:type="dxa"/>
            <w:noWrap/>
            <w:vAlign w:val="center"/>
          </w:tcPr>
          <w:p w14:paraId="3DDD15EB">
            <w:pPr>
              <w:jc w:val="center"/>
              <w:rPr>
                <w:color w:val="000000"/>
                <w:sz w:val="20"/>
                <w:szCs w:val="20"/>
              </w:rPr>
            </w:pPr>
          </w:p>
        </w:tc>
        <w:tc>
          <w:tcPr>
            <w:tcW w:w="1252" w:type="dxa"/>
            <w:noWrap/>
            <w:vAlign w:val="center"/>
          </w:tcPr>
          <w:p w14:paraId="659EA060">
            <w:pPr>
              <w:jc w:val="center"/>
              <w:rPr>
                <w:color w:val="000000"/>
                <w:sz w:val="20"/>
                <w:szCs w:val="20"/>
              </w:rPr>
            </w:pPr>
            <w:r>
              <w:rPr>
                <w:color w:val="000000"/>
                <w:sz w:val="20"/>
                <w:szCs w:val="20"/>
              </w:rPr>
              <w:t>23.200.000</w:t>
            </w:r>
          </w:p>
        </w:tc>
        <w:tc>
          <w:tcPr>
            <w:tcW w:w="1848" w:type="dxa"/>
            <w:noWrap/>
            <w:vAlign w:val="center"/>
          </w:tcPr>
          <w:p w14:paraId="117B7212">
            <w:pPr>
              <w:jc w:val="center"/>
              <w:rPr>
                <w:color w:val="000000"/>
                <w:sz w:val="20"/>
                <w:szCs w:val="20"/>
              </w:rPr>
            </w:pPr>
            <w:r>
              <w:rPr>
                <w:color w:val="000000"/>
                <w:sz w:val="20"/>
                <w:szCs w:val="20"/>
              </w:rPr>
              <w:t>2.088.000.000</w:t>
            </w:r>
          </w:p>
        </w:tc>
      </w:tr>
      <w:tr w14:paraId="1D1D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7105666">
            <w:pPr>
              <w:jc w:val="center"/>
              <w:rPr>
                <w:b/>
                <w:bCs/>
                <w:color w:val="000000"/>
                <w:sz w:val="20"/>
                <w:szCs w:val="20"/>
              </w:rPr>
            </w:pPr>
            <w:r>
              <w:rPr>
                <w:b/>
                <w:bCs/>
                <w:color w:val="000000"/>
                <w:sz w:val="20"/>
                <w:szCs w:val="20"/>
              </w:rPr>
              <w:t>LK63</w:t>
            </w:r>
          </w:p>
        </w:tc>
        <w:tc>
          <w:tcPr>
            <w:tcW w:w="1802" w:type="dxa"/>
            <w:vAlign w:val="center"/>
          </w:tcPr>
          <w:p w14:paraId="38CF4CF7">
            <w:pPr>
              <w:jc w:val="center"/>
              <w:rPr>
                <w:color w:val="000000"/>
                <w:sz w:val="20"/>
                <w:szCs w:val="20"/>
              </w:rPr>
            </w:pPr>
            <w:r>
              <w:rPr>
                <w:color w:val="000000"/>
                <w:sz w:val="20"/>
                <w:szCs w:val="20"/>
              </w:rPr>
              <w:t>LK63:09</w:t>
            </w:r>
          </w:p>
        </w:tc>
        <w:tc>
          <w:tcPr>
            <w:tcW w:w="1033" w:type="dxa"/>
            <w:noWrap/>
            <w:vAlign w:val="center"/>
          </w:tcPr>
          <w:p w14:paraId="03C86545">
            <w:pPr>
              <w:jc w:val="center"/>
              <w:rPr>
                <w:color w:val="000000"/>
                <w:sz w:val="20"/>
                <w:szCs w:val="20"/>
              </w:rPr>
            </w:pPr>
            <w:r>
              <w:rPr>
                <w:color w:val="000000"/>
                <w:sz w:val="20"/>
                <w:szCs w:val="20"/>
              </w:rPr>
              <w:t>90,00</w:t>
            </w:r>
          </w:p>
        </w:tc>
        <w:tc>
          <w:tcPr>
            <w:tcW w:w="846" w:type="dxa"/>
            <w:noWrap/>
            <w:vAlign w:val="center"/>
          </w:tcPr>
          <w:p w14:paraId="39E1AAC2">
            <w:pPr>
              <w:jc w:val="center"/>
              <w:rPr>
                <w:color w:val="000000"/>
                <w:sz w:val="20"/>
                <w:szCs w:val="20"/>
              </w:rPr>
            </w:pPr>
            <w:r>
              <w:rPr>
                <w:color w:val="000000"/>
                <w:sz w:val="20"/>
                <w:szCs w:val="20"/>
              </w:rPr>
              <w:t>1</w:t>
            </w:r>
          </w:p>
        </w:tc>
        <w:tc>
          <w:tcPr>
            <w:tcW w:w="2578" w:type="dxa"/>
            <w:noWrap/>
            <w:vAlign w:val="center"/>
          </w:tcPr>
          <w:p w14:paraId="2160B224">
            <w:pPr>
              <w:jc w:val="center"/>
              <w:rPr>
                <w:color w:val="000000"/>
                <w:sz w:val="20"/>
                <w:szCs w:val="20"/>
              </w:rPr>
            </w:pPr>
            <w:r>
              <w:rPr>
                <w:color w:val="000000"/>
                <w:sz w:val="20"/>
                <w:szCs w:val="20"/>
              </w:rPr>
              <w:t>Tiếp giáp đường Đại Huề</w:t>
            </w:r>
          </w:p>
        </w:tc>
        <w:tc>
          <w:tcPr>
            <w:tcW w:w="2393" w:type="dxa"/>
            <w:noWrap/>
            <w:vAlign w:val="center"/>
          </w:tcPr>
          <w:p w14:paraId="159EC481">
            <w:pPr>
              <w:jc w:val="center"/>
              <w:rPr>
                <w:color w:val="000000"/>
                <w:sz w:val="20"/>
                <w:szCs w:val="20"/>
              </w:rPr>
            </w:pPr>
            <w:r>
              <w:rPr>
                <w:color w:val="000000"/>
                <w:sz w:val="20"/>
                <w:szCs w:val="20"/>
              </w:rPr>
              <w:t>Một mặt tiền</w:t>
            </w:r>
          </w:p>
        </w:tc>
        <w:tc>
          <w:tcPr>
            <w:tcW w:w="1198" w:type="dxa"/>
            <w:noWrap/>
            <w:vAlign w:val="center"/>
          </w:tcPr>
          <w:p w14:paraId="06E54FE6">
            <w:pPr>
              <w:jc w:val="center"/>
              <w:rPr>
                <w:color w:val="000000"/>
                <w:sz w:val="20"/>
                <w:szCs w:val="20"/>
              </w:rPr>
            </w:pPr>
            <w:r>
              <w:rPr>
                <w:color w:val="000000"/>
                <w:sz w:val="20"/>
                <w:szCs w:val="20"/>
              </w:rPr>
              <w:t>23.200.000</w:t>
            </w:r>
          </w:p>
        </w:tc>
        <w:tc>
          <w:tcPr>
            <w:tcW w:w="1236" w:type="dxa"/>
            <w:noWrap/>
            <w:vAlign w:val="center"/>
          </w:tcPr>
          <w:p w14:paraId="2636E586">
            <w:pPr>
              <w:jc w:val="center"/>
              <w:rPr>
                <w:color w:val="000000"/>
                <w:sz w:val="20"/>
                <w:szCs w:val="20"/>
              </w:rPr>
            </w:pPr>
          </w:p>
        </w:tc>
        <w:tc>
          <w:tcPr>
            <w:tcW w:w="1252" w:type="dxa"/>
            <w:noWrap/>
            <w:vAlign w:val="center"/>
          </w:tcPr>
          <w:p w14:paraId="23101DA6">
            <w:pPr>
              <w:jc w:val="center"/>
              <w:rPr>
                <w:color w:val="000000"/>
                <w:sz w:val="20"/>
                <w:szCs w:val="20"/>
              </w:rPr>
            </w:pPr>
            <w:r>
              <w:rPr>
                <w:color w:val="000000"/>
                <w:sz w:val="20"/>
                <w:szCs w:val="20"/>
              </w:rPr>
              <w:t>23.200.000</w:t>
            </w:r>
          </w:p>
        </w:tc>
        <w:tc>
          <w:tcPr>
            <w:tcW w:w="1848" w:type="dxa"/>
            <w:noWrap/>
            <w:vAlign w:val="center"/>
          </w:tcPr>
          <w:p w14:paraId="3C4E2639">
            <w:pPr>
              <w:jc w:val="center"/>
              <w:rPr>
                <w:color w:val="000000"/>
                <w:sz w:val="20"/>
                <w:szCs w:val="20"/>
              </w:rPr>
            </w:pPr>
            <w:r>
              <w:rPr>
                <w:color w:val="000000"/>
                <w:sz w:val="20"/>
                <w:szCs w:val="20"/>
              </w:rPr>
              <w:t>2.088.000.000</w:t>
            </w:r>
          </w:p>
        </w:tc>
      </w:tr>
      <w:tr w14:paraId="6F89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248EC22">
            <w:pPr>
              <w:jc w:val="center"/>
              <w:rPr>
                <w:b/>
                <w:bCs/>
                <w:color w:val="000000"/>
                <w:sz w:val="20"/>
                <w:szCs w:val="20"/>
              </w:rPr>
            </w:pPr>
            <w:r>
              <w:rPr>
                <w:b/>
                <w:bCs/>
                <w:color w:val="000000"/>
                <w:sz w:val="20"/>
                <w:szCs w:val="20"/>
              </w:rPr>
              <w:t>LK63</w:t>
            </w:r>
          </w:p>
        </w:tc>
        <w:tc>
          <w:tcPr>
            <w:tcW w:w="1802" w:type="dxa"/>
            <w:vAlign w:val="center"/>
          </w:tcPr>
          <w:p w14:paraId="4297850E">
            <w:pPr>
              <w:jc w:val="center"/>
              <w:rPr>
                <w:color w:val="000000"/>
                <w:sz w:val="20"/>
                <w:szCs w:val="20"/>
              </w:rPr>
            </w:pPr>
            <w:r>
              <w:rPr>
                <w:color w:val="000000"/>
                <w:sz w:val="20"/>
                <w:szCs w:val="20"/>
              </w:rPr>
              <w:t>LK63:10</w:t>
            </w:r>
          </w:p>
        </w:tc>
        <w:tc>
          <w:tcPr>
            <w:tcW w:w="1033" w:type="dxa"/>
            <w:noWrap/>
            <w:vAlign w:val="center"/>
          </w:tcPr>
          <w:p w14:paraId="49D84679">
            <w:pPr>
              <w:jc w:val="center"/>
              <w:rPr>
                <w:color w:val="000000"/>
                <w:sz w:val="20"/>
                <w:szCs w:val="20"/>
              </w:rPr>
            </w:pPr>
            <w:r>
              <w:rPr>
                <w:color w:val="000000"/>
                <w:sz w:val="20"/>
                <w:szCs w:val="20"/>
              </w:rPr>
              <w:t>90,00</w:t>
            </w:r>
          </w:p>
        </w:tc>
        <w:tc>
          <w:tcPr>
            <w:tcW w:w="846" w:type="dxa"/>
            <w:noWrap/>
            <w:vAlign w:val="center"/>
          </w:tcPr>
          <w:p w14:paraId="09147F61">
            <w:pPr>
              <w:jc w:val="center"/>
              <w:rPr>
                <w:color w:val="000000"/>
                <w:sz w:val="20"/>
                <w:szCs w:val="20"/>
              </w:rPr>
            </w:pPr>
            <w:r>
              <w:rPr>
                <w:color w:val="000000"/>
                <w:sz w:val="20"/>
                <w:szCs w:val="20"/>
              </w:rPr>
              <w:t>1</w:t>
            </w:r>
          </w:p>
        </w:tc>
        <w:tc>
          <w:tcPr>
            <w:tcW w:w="2578" w:type="dxa"/>
            <w:noWrap/>
            <w:vAlign w:val="center"/>
          </w:tcPr>
          <w:p w14:paraId="72676388">
            <w:pPr>
              <w:jc w:val="center"/>
              <w:rPr>
                <w:color w:val="000000"/>
                <w:sz w:val="20"/>
                <w:szCs w:val="20"/>
              </w:rPr>
            </w:pPr>
            <w:r>
              <w:rPr>
                <w:color w:val="000000"/>
                <w:sz w:val="20"/>
                <w:szCs w:val="20"/>
              </w:rPr>
              <w:t>Tiếp giáp đường Đại Huề</w:t>
            </w:r>
          </w:p>
        </w:tc>
        <w:tc>
          <w:tcPr>
            <w:tcW w:w="2393" w:type="dxa"/>
            <w:noWrap/>
            <w:vAlign w:val="center"/>
          </w:tcPr>
          <w:p w14:paraId="03625A90">
            <w:pPr>
              <w:jc w:val="center"/>
              <w:rPr>
                <w:color w:val="000000"/>
                <w:sz w:val="20"/>
                <w:szCs w:val="20"/>
              </w:rPr>
            </w:pPr>
            <w:r>
              <w:rPr>
                <w:color w:val="000000"/>
                <w:sz w:val="20"/>
                <w:szCs w:val="20"/>
              </w:rPr>
              <w:t>Một mặt tiền</w:t>
            </w:r>
          </w:p>
        </w:tc>
        <w:tc>
          <w:tcPr>
            <w:tcW w:w="1198" w:type="dxa"/>
            <w:noWrap/>
            <w:vAlign w:val="center"/>
          </w:tcPr>
          <w:p w14:paraId="6F38E70E">
            <w:pPr>
              <w:jc w:val="center"/>
              <w:rPr>
                <w:color w:val="000000"/>
                <w:sz w:val="20"/>
                <w:szCs w:val="20"/>
              </w:rPr>
            </w:pPr>
            <w:r>
              <w:rPr>
                <w:color w:val="000000"/>
                <w:sz w:val="20"/>
                <w:szCs w:val="20"/>
              </w:rPr>
              <w:t>23.200.000</w:t>
            </w:r>
          </w:p>
        </w:tc>
        <w:tc>
          <w:tcPr>
            <w:tcW w:w="1236" w:type="dxa"/>
            <w:noWrap/>
            <w:vAlign w:val="center"/>
          </w:tcPr>
          <w:p w14:paraId="7504EC62">
            <w:pPr>
              <w:jc w:val="center"/>
              <w:rPr>
                <w:color w:val="000000"/>
                <w:sz w:val="20"/>
                <w:szCs w:val="20"/>
              </w:rPr>
            </w:pPr>
          </w:p>
        </w:tc>
        <w:tc>
          <w:tcPr>
            <w:tcW w:w="1252" w:type="dxa"/>
            <w:noWrap/>
            <w:vAlign w:val="center"/>
          </w:tcPr>
          <w:p w14:paraId="58ED65CF">
            <w:pPr>
              <w:jc w:val="center"/>
              <w:rPr>
                <w:color w:val="000000"/>
                <w:sz w:val="20"/>
                <w:szCs w:val="20"/>
              </w:rPr>
            </w:pPr>
            <w:r>
              <w:rPr>
                <w:color w:val="000000"/>
                <w:sz w:val="20"/>
                <w:szCs w:val="20"/>
              </w:rPr>
              <w:t>23.200.000</w:t>
            </w:r>
          </w:p>
        </w:tc>
        <w:tc>
          <w:tcPr>
            <w:tcW w:w="1848" w:type="dxa"/>
            <w:noWrap/>
            <w:vAlign w:val="center"/>
          </w:tcPr>
          <w:p w14:paraId="266799EE">
            <w:pPr>
              <w:jc w:val="center"/>
              <w:rPr>
                <w:color w:val="000000"/>
                <w:sz w:val="20"/>
                <w:szCs w:val="20"/>
              </w:rPr>
            </w:pPr>
            <w:r>
              <w:rPr>
                <w:color w:val="000000"/>
                <w:sz w:val="20"/>
                <w:szCs w:val="20"/>
              </w:rPr>
              <w:t>2.088.000.000</w:t>
            </w:r>
          </w:p>
        </w:tc>
      </w:tr>
      <w:tr w14:paraId="56A0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840A04A">
            <w:pPr>
              <w:jc w:val="center"/>
              <w:rPr>
                <w:b/>
                <w:bCs/>
                <w:color w:val="000000"/>
                <w:sz w:val="20"/>
                <w:szCs w:val="20"/>
              </w:rPr>
            </w:pPr>
            <w:r>
              <w:rPr>
                <w:b/>
                <w:bCs/>
                <w:color w:val="000000"/>
                <w:sz w:val="20"/>
                <w:szCs w:val="20"/>
              </w:rPr>
              <w:t>LK63</w:t>
            </w:r>
          </w:p>
        </w:tc>
        <w:tc>
          <w:tcPr>
            <w:tcW w:w="1802" w:type="dxa"/>
            <w:vAlign w:val="center"/>
          </w:tcPr>
          <w:p w14:paraId="625236A2">
            <w:pPr>
              <w:jc w:val="center"/>
              <w:rPr>
                <w:color w:val="000000"/>
                <w:sz w:val="20"/>
                <w:szCs w:val="20"/>
              </w:rPr>
            </w:pPr>
            <w:r>
              <w:rPr>
                <w:color w:val="000000"/>
                <w:sz w:val="20"/>
                <w:szCs w:val="20"/>
              </w:rPr>
              <w:t>LK63:11</w:t>
            </w:r>
          </w:p>
        </w:tc>
        <w:tc>
          <w:tcPr>
            <w:tcW w:w="1033" w:type="dxa"/>
            <w:noWrap/>
            <w:vAlign w:val="center"/>
          </w:tcPr>
          <w:p w14:paraId="0706D985">
            <w:pPr>
              <w:jc w:val="center"/>
              <w:rPr>
                <w:color w:val="000000"/>
                <w:sz w:val="20"/>
                <w:szCs w:val="20"/>
              </w:rPr>
            </w:pPr>
            <w:r>
              <w:rPr>
                <w:color w:val="000000"/>
                <w:sz w:val="20"/>
                <w:szCs w:val="20"/>
              </w:rPr>
              <w:t>153,57</w:t>
            </w:r>
          </w:p>
        </w:tc>
        <w:tc>
          <w:tcPr>
            <w:tcW w:w="846" w:type="dxa"/>
            <w:noWrap/>
            <w:vAlign w:val="center"/>
          </w:tcPr>
          <w:p w14:paraId="2CD36FAD">
            <w:pPr>
              <w:jc w:val="center"/>
              <w:rPr>
                <w:color w:val="000000"/>
                <w:sz w:val="20"/>
                <w:szCs w:val="20"/>
              </w:rPr>
            </w:pPr>
            <w:r>
              <w:rPr>
                <w:color w:val="000000"/>
                <w:sz w:val="20"/>
                <w:szCs w:val="20"/>
              </w:rPr>
              <w:t>1</w:t>
            </w:r>
          </w:p>
        </w:tc>
        <w:tc>
          <w:tcPr>
            <w:tcW w:w="2578" w:type="dxa"/>
            <w:noWrap/>
            <w:vAlign w:val="center"/>
          </w:tcPr>
          <w:p w14:paraId="467007B4">
            <w:pPr>
              <w:jc w:val="center"/>
              <w:rPr>
                <w:color w:val="000000"/>
                <w:sz w:val="20"/>
                <w:szCs w:val="20"/>
              </w:rPr>
            </w:pPr>
            <w:r>
              <w:rPr>
                <w:color w:val="000000"/>
                <w:sz w:val="20"/>
                <w:szCs w:val="20"/>
              </w:rPr>
              <w:t>Tiếp giáp đường Đại Huề</w:t>
            </w:r>
          </w:p>
        </w:tc>
        <w:tc>
          <w:tcPr>
            <w:tcW w:w="2393" w:type="dxa"/>
            <w:noWrap/>
            <w:vAlign w:val="center"/>
          </w:tcPr>
          <w:p w14:paraId="52E465A6">
            <w:pPr>
              <w:jc w:val="center"/>
              <w:rPr>
                <w:color w:val="000000"/>
                <w:sz w:val="20"/>
                <w:szCs w:val="20"/>
              </w:rPr>
            </w:pPr>
            <w:r>
              <w:rPr>
                <w:color w:val="000000"/>
                <w:sz w:val="20"/>
                <w:szCs w:val="20"/>
              </w:rPr>
              <w:t>Một mặt tiền</w:t>
            </w:r>
          </w:p>
        </w:tc>
        <w:tc>
          <w:tcPr>
            <w:tcW w:w="1198" w:type="dxa"/>
            <w:noWrap/>
            <w:vAlign w:val="center"/>
          </w:tcPr>
          <w:p w14:paraId="1F1C624E">
            <w:pPr>
              <w:jc w:val="center"/>
              <w:rPr>
                <w:color w:val="000000"/>
                <w:sz w:val="20"/>
                <w:szCs w:val="20"/>
              </w:rPr>
            </w:pPr>
            <w:r>
              <w:rPr>
                <w:color w:val="000000"/>
                <w:sz w:val="20"/>
                <w:szCs w:val="20"/>
              </w:rPr>
              <w:t>23.200.000</w:t>
            </w:r>
          </w:p>
        </w:tc>
        <w:tc>
          <w:tcPr>
            <w:tcW w:w="1236" w:type="dxa"/>
            <w:noWrap/>
            <w:vAlign w:val="center"/>
          </w:tcPr>
          <w:p w14:paraId="1EF40B60">
            <w:pPr>
              <w:jc w:val="center"/>
              <w:rPr>
                <w:color w:val="000000"/>
                <w:sz w:val="20"/>
                <w:szCs w:val="20"/>
              </w:rPr>
            </w:pPr>
          </w:p>
        </w:tc>
        <w:tc>
          <w:tcPr>
            <w:tcW w:w="1252" w:type="dxa"/>
            <w:noWrap/>
            <w:vAlign w:val="center"/>
          </w:tcPr>
          <w:p w14:paraId="13652ED4">
            <w:pPr>
              <w:jc w:val="center"/>
              <w:rPr>
                <w:color w:val="000000"/>
                <w:sz w:val="20"/>
                <w:szCs w:val="20"/>
              </w:rPr>
            </w:pPr>
            <w:r>
              <w:rPr>
                <w:color w:val="000000"/>
                <w:sz w:val="20"/>
                <w:szCs w:val="20"/>
              </w:rPr>
              <w:t>23.200.000</w:t>
            </w:r>
          </w:p>
        </w:tc>
        <w:tc>
          <w:tcPr>
            <w:tcW w:w="1848" w:type="dxa"/>
            <w:noWrap/>
            <w:vAlign w:val="center"/>
          </w:tcPr>
          <w:p w14:paraId="2BC24366">
            <w:pPr>
              <w:jc w:val="center"/>
              <w:rPr>
                <w:color w:val="000000"/>
                <w:sz w:val="20"/>
                <w:szCs w:val="20"/>
              </w:rPr>
            </w:pPr>
            <w:r>
              <w:rPr>
                <w:color w:val="000000"/>
                <w:sz w:val="20"/>
                <w:szCs w:val="20"/>
              </w:rPr>
              <w:t>3.562.824.000</w:t>
            </w:r>
          </w:p>
        </w:tc>
      </w:tr>
      <w:tr w14:paraId="002E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25D7B4C">
            <w:pPr>
              <w:jc w:val="center"/>
              <w:rPr>
                <w:b/>
                <w:bCs/>
                <w:color w:val="000000"/>
                <w:sz w:val="20"/>
                <w:szCs w:val="20"/>
              </w:rPr>
            </w:pPr>
            <w:r>
              <w:rPr>
                <w:b/>
                <w:bCs/>
                <w:color w:val="000000"/>
                <w:sz w:val="20"/>
                <w:szCs w:val="20"/>
              </w:rPr>
              <w:t>LK63</w:t>
            </w:r>
          </w:p>
        </w:tc>
        <w:tc>
          <w:tcPr>
            <w:tcW w:w="1802" w:type="dxa"/>
            <w:vAlign w:val="center"/>
          </w:tcPr>
          <w:p w14:paraId="374FFCA2">
            <w:pPr>
              <w:jc w:val="center"/>
              <w:rPr>
                <w:color w:val="000000"/>
                <w:sz w:val="20"/>
                <w:szCs w:val="20"/>
              </w:rPr>
            </w:pPr>
            <w:r>
              <w:rPr>
                <w:color w:val="000000"/>
                <w:sz w:val="20"/>
                <w:szCs w:val="20"/>
              </w:rPr>
              <w:t>LK63:06</w:t>
            </w:r>
          </w:p>
        </w:tc>
        <w:tc>
          <w:tcPr>
            <w:tcW w:w="1033" w:type="dxa"/>
            <w:noWrap/>
            <w:vAlign w:val="center"/>
          </w:tcPr>
          <w:p w14:paraId="129BAD85">
            <w:pPr>
              <w:jc w:val="center"/>
              <w:rPr>
                <w:color w:val="000000"/>
                <w:sz w:val="20"/>
                <w:szCs w:val="20"/>
              </w:rPr>
            </w:pPr>
            <w:r>
              <w:rPr>
                <w:color w:val="000000"/>
                <w:sz w:val="20"/>
                <w:szCs w:val="20"/>
              </w:rPr>
              <w:t>161,81</w:t>
            </w:r>
          </w:p>
        </w:tc>
        <w:tc>
          <w:tcPr>
            <w:tcW w:w="846" w:type="dxa"/>
            <w:noWrap/>
            <w:vAlign w:val="center"/>
          </w:tcPr>
          <w:p w14:paraId="795C728C">
            <w:pPr>
              <w:jc w:val="center"/>
              <w:rPr>
                <w:color w:val="000000"/>
                <w:sz w:val="20"/>
                <w:szCs w:val="20"/>
              </w:rPr>
            </w:pPr>
            <w:r>
              <w:rPr>
                <w:color w:val="000000"/>
                <w:sz w:val="20"/>
                <w:szCs w:val="20"/>
              </w:rPr>
              <w:t>1</w:t>
            </w:r>
          </w:p>
        </w:tc>
        <w:tc>
          <w:tcPr>
            <w:tcW w:w="2578" w:type="dxa"/>
            <w:noWrap/>
            <w:vAlign w:val="center"/>
          </w:tcPr>
          <w:p w14:paraId="6AA35DA4">
            <w:pPr>
              <w:jc w:val="center"/>
              <w:rPr>
                <w:color w:val="000000"/>
                <w:sz w:val="20"/>
                <w:szCs w:val="20"/>
              </w:rPr>
            </w:pPr>
            <w:r>
              <w:rPr>
                <w:color w:val="000000"/>
                <w:sz w:val="20"/>
                <w:szCs w:val="20"/>
              </w:rPr>
              <w:t>Tiếp giáp đường Đại Huề; MC 2-2</w:t>
            </w:r>
          </w:p>
        </w:tc>
        <w:tc>
          <w:tcPr>
            <w:tcW w:w="2393" w:type="dxa"/>
            <w:noWrap/>
            <w:vAlign w:val="center"/>
          </w:tcPr>
          <w:p w14:paraId="184C554A">
            <w:pPr>
              <w:jc w:val="center"/>
              <w:rPr>
                <w:color w:val="000000"/>
                <w:sz w:val="20"/>
                <w:szCs w:val="20"/>
              </w:rPr>
            </w:pPr>
            <w:r>
              <w:rPr>
                <w:color w:val="000000"/>
                <w:sz w:val="20"/>
                <w:szCs w:val="20"/>
              </w:rPr>
              <w:t>Hai mặt tiền</w:t>
            </w:r>
          </w:p>
        </w:tc>
        <w:tc>
          <w:tcPr>
            <w:tcW w:w="1198" w:type="dxa"/>
            <w:noWrap/>
            <w:vAlign w:val="center"/>
          </w:tcPr>
          <w:p w14:paraId="4370C343">
            <w:pPr>
              <w:jc w:val="center"/>
              <w:rPr>
                <w:color w:val="000000"/>
                <w:sz w:val="20"/>
                <w:szCs w:val="20"/>
              </w:rPr>
            </w:pPr>
            <w:r>
              <w:rPr>
                <w:color w:val="000000"/>
                <w:sz w:val="20"/>
                <w:szCs w:val="20"/>
              </w:rPr>
              <w:t>26.680.000</w:t>
            </w:r>
          </w:p>
        </w:tc>
        <w:tc>
          <w:tcPr>
            <w:tcW w:w="1236" w:type="dxa"/>
            <w:noWrap/>
            <w:vAlign w:val="center"/>
          </w:tcPr>
          <w:p w14:paraId="57FFB0D6">
            <w:pPr>
              <w:jc w:val="center"/>
              <w:rPr>
                <w:color w:val="000000"/>
                <w:sz w:val="20"/>
                <w:szCs w:val="20"/>
              </w:rPr>
            </w:pPr>
          </w:p>
        </w:tc>
        <w:tc>
          <w:tcPr>
            <w:tcW w:w="1252" w:type="dxa"/>
            <w:noWrap/>
            <w:vAlign w:val="center"/>
          </w:tcPr>
          <w:p w14:paraId="072FF73C">
            <w:pPr>
              <w:jc w:val="center"/>
              <w:rPr>
                <w:color w:val="000000"/>
                <w:sz w:val="20"/>
                <w:szCs w:val="20"/>
              </w:rPr>
            </w:pPr>
            <w:r>
              <w:rPr>
                <w:color w:val="000000"/>
                <w:sz w:val="20"/>
                <w:szCs w:val="20"/>
              </w:rPr>
              <w:t>26.680.000</w:t>
            </w:r>
          </w:p>
        </w:tc>
        <w:tc>
          <w:tcPr>
            <w:tcW w:w="1848" w:type="dxa"/>
            <w:noWrap/>
            <w:vAlign w:val="center"/>
          </w:tcPr>
          <w:p w14:paraId="562C6514">
            <w:pPr>
              <w:jc w:val="center"/>
              <w:rPr>
                <w:color w:val="000000"/>
                <w:sz w:val="20"/>
                <w:szCs w:val="20"/>
              </w:rPr>
            </w:pPr>
            <w:r>
              <w:rPr>
                <w:color w:val="000000"/>
                <w:sz w:val="20"/>
                <w:szCs w:val="20"/>
              </w:rPr>
              <w:t>4.317.090.800</w:t>
            </w:r>
          </w:p>
        </w:tc>
      </w:tr>
      <w:tr w14:paraId="199828CB">
        <w:tblPrEx>
          <w:tblCellMar>
            <w:top w:w="0" w:type="dxa"/>
            <w:left w:w="108" w:type="dxa"/>
            <w:bottom w:w="0" w:type="dxa"/>
            <w:right w:w="108" w:type="dxa"/>
          </w:tblCellMar>
        </w:tblPrEx>
        <w:trPr>
          <w:trHeight w:val="20" w:hRule="atLeast"/>
        </w:trPr>
        <w:tc>
          <w:tcPr>
            <w:tcW w:w="846" w:type="dxa"/>
            <w:noWrap/>
            <w:vAlign w:val="center"/>
          </w:tcPr>
          <w:p w14:paraId="16778855">
            <w:pPr>
              <w:jc w:val="center"/>
              <w:rPr>
                <w:b/>
                <w:bCs/>
                <w:color w:val="000000"/>
                <w:sz w:val="20"/>
                <w:szCs w:val="20"/>
              </w:rPr>
            </w:pPr>
          </w:p>
        </w:tc>
        <w:tc>
          <w:tcPr>
            <w:tcW w:w="14189" w:type="dxa"/>
            <w:gridSpan w:val="9"/>
            <w:vAlign w:val="center"/>
          </w:tcPr>
          <w:p w14:paraId="02B5F582">
            <w:pPr>
              <w:jc w:val="center"/>
              <w:rPr>
                <w:b/>
                <w:bCs/>
                <w:color w:val="000000"/>
                <w:sz w:val="20"/>
                <w:szCs w:val="20"/>
              </w:rPr>
            </w:pPr>
            <w:r>
              <w:rPr>
                <w:b/>
                <w:bCs/>
                <w:color w:val="000000"/>
                <w:sz w:val="20"/>
                <w:szCs w:val="20"/>
              </w:rPr>
              <w:t>Mặt cắt 1-1 (Trục chính): rộng 31m lòng đường rộng 17m, dải phân cách rộng 2m, vỉa hè 2 bên rộng 6m+6m</w:t>
            </w:r>
          </w:p>
        </w:tc>
      </w:tr>
      <w:tr w14:paraId="2666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61B1FE">
            <w:pPr>
              <w:jc w:val="center"/>
              <w:rPr>
                <w:b/>
                <w:bCs/>
                <w:color w:val="000000"/>
                <w:sz w:val="20"/>
                <w:szCs w:val="20"/>
              </w:rPr>
            </w:pPr>
            <w:r>
              <w:rPr>
                <w:b/>
                <w:bCs/>
                <w:color w:val="000000"/>
                <w:sz w:val="20"/>
                <w:szCs w:val="20"/>
              </w:rPr>
              <w:t>LK07</w:t>
            </w:r>
          </w:p>
        </w:tc>
        <w:tc>
          <w:tcPr>
            <w:tcW w:w="1802" w:type="dxa"/>
            <w:vAlign w:val="center"/>
          </w:tcPr>
          <w:p w14:paraId="27F653CB">
            <w:pPr>
              <w:jc w:val="center"/>
              <w:rPr>
                <w:color w:val="000000"/>
                <w:sz w:val="20"/>
                <w:szCs w:val="20"/>
              </w:rPr>
            </w:pPr>
            <w:r>
              <w:rPr>
                <w:color w:val="000000"/>
                <w:sz w:val="20"/>
                <w:szCs w:val="20"/>
              </w:rPr>
              <w:t>LK07:01</w:t>
            </w:r>
          </w:p>
        </w:tc>
        <w:tc>
          <w:tcPr>
            <w:tcW w:w="1033" w:type="dxa"/>
            <w:noWrap/>
            <w:vAlign w:val="center"/>
          </w:tcPr>
          <w:p w14:paraId="2FF95BCD">
            <w:pPr>
              <w:jc w:val="center"/>
              <w:rPr>
                <w:color w:val="000000"/>
                <w:sz w:val="20"/>
                <w:szCs w:val="20"/>
              </w:rPr>
            </w:pPr>
            <w:r>
              <w:rPr>
                <w:color w:val="000000"/>
                <w:sz w:val="20"/>
                <w:szCs w:val="20"/>
              </w:rPr>
              <w:t>105,90</w:t>
            </w:r>
          </w:p>
        </w:tc>
        <w:tc>
          <w:tcPr>
            <w:tcW w:w="846" w:type="dxa"/>
            <w:noWrap/>
            <w:vAlign w:val="center"/>
          </w:tcPr>
          <w:p w14:paraId="0C43A523">
            <w:pPr>
              <w:jc w:val="center"/>
              <w:rPr>
                <w:color w:val="000000"/>
                <w:sz w:val="20"/>
                <w:szCs w:val="20"/>
              </w:rPr>
            </w:pPr>
            <w:r>
              <w:rPr>
                <w:color w:val="000000"/>
                <w:sz w:val="20"/>
                <w:szCs w:val="20"/>
              </w:rPr>
              <w:t>1</w:t>
            </w:r>
          </w:p>
        </w:tc>
        <w:tc>
          <w:tcPr>
            <w:tcW w:w="2578" w:type="dxa"/>
            <w:noWrap/>
            <w:vAlign w:val="center"/>
          </w:tcPr>
          <w:p w14:paraId="1A22E524">
            <w:pPr>
              <w:jc w:val="center"/>
              <w:rPr>
                <w:color w:val="000000"/>
                <w:sz w:val="20"/>
                <w:szCs w:val="20"/>
              </w:rPr>
            </w:pPr>
            <w:r>
              <w:rPr>
                <w:color w:val="000000"/>
                <w:sz w:val="20"/>
                <w:szCs w:val="20"/>
              </w:rPr>
              <w:t>Mặt cắt 1-1</w:t>
            </w:r>
          </w:p>
        </w:tc>
        <w:tc>
          <w:tcPr>
            <w:tcW w:w="2393" w:type="dxa"/>
            <w:noWrap/>
            <w:vAlign w:val="center"/>
          </w:tcPr>
          <w:p w14:paraId="47BD5D1C">
            <w:pPr>
              <w:jc w:val="center"/>
              <w:rPr>
                <w:color w:val="000000"/>
                <w:sz w:val="20"/>
                <w:szCs w:val="20"/>
              </w:rPr>
            </w:pPr>
            <w:r>
              <w:rPr>
                <w:color w:val="000000"/>
                <w:sz w:val="20"/>
                <w:szCs w:val="20"/>
              </w:rPr>
              <w:t>Một mặt tiền</w:t>
            </w:r>
          </w:p>
        </w:tc>
        <w:tc>
          <w:tcPr>
            <w:tcW w:w="1198" w:type="dxa"/>
            <w:noWrap/>
            <w:vAlign w:val="center"/>
          </w:tcPr>
          <w:p w14:paraId="46A9DC81">
            <w:pPr>
              <w:jc w:val="center"/>
              <w:rPr>
                <w:color w:val="000000"/>
                <w:sz w:val="20"/>
                <w:szCs w:val="20"/>
              </w:rPr>
            </w:pPr>
            <w:r>
              <w:rPr>
                <w:color w:val="000000"/>
                <w:sz w:val="20"/>
                <w:szCs w:val="20"/>
              </w:rPr>
              <w:t>11.800.000</w:t>
            </w:r>
          </w:p>
        </w:tc>
        <w:tc>
          <w:tcPr>
            <w:tcW w:w="1236" w:type="dxa"/>
            <w:noWrap/>
            <w:vAlign w:val="center"/>
          </w:tcPr>
          <w:p w14:paraId="7D7D18D3">
            <w:pPr>
              <w:jc w:val="center"/>
              <w:rPr>
                <w:color w:val="000000"/>
                <w:sz w:val="20"/>
                <w:szCs w:val="20"/>
              </w:rPr>
            </w:pPr>
            <w:r>
              <w:rPr>
                <w:color w:val="000000"/>
                <w:sz w:val="20"/>
                <w:szCs w:val="20"/>
              </w:rPr>
              <w:t>12.579.000</w:t>
            </w:r>
          </w:p>
        </w:tc>
        <w:tc>
          <w:tcPr>
            <w:tcW w:w="1252" w:type="dxa"/>
            <w:noWrap/>
            <w:vAlign w:val="center"/>
          </w:tcPr>
          <w:p w14:paraId="432E604C">
            <w:pPr>
              <w:jc w:val="center"/>
              <w:rPr>
                <w:color w:val="000000"/>
                <w:sz w:val="20"/>
                <w:szCs w:val="20"/>
              </w:rPr>
            </w:pPr>
            <w:r>
              <w:rPr>
                <w:color w:val="000000"/>
                <w:sz w:val="20"/>
                <w:szCs w:val="20"/>
              </w:rPr>
              <w:t>24.379.000</w:t>
            </w:r>
          </w:p>
        </w:tc>
        <w:tc>
          <w:tcPr>
            <w:tcW w:w="1848" w:type="dxa"/>
            <w:noWrap/>
            <w:vAlign w:val="center"/>
          </w:tcPr>
          <w:p w14:paraId="65311102">
            <w:pPr>
              <w:jc w:val="center"/>
              <w:rPr>
                <w:color w:val="000000"/>
                <w:sz w:val="20"/>
                <w:szCs w:val="20"/>
              </w:rPr>
            </w:pPr>
            <w:r>
              <w:rPr>
                <w:color w:val="000000"/>
                <w:sz w:val="20"/>
                <w:szCs w:val="20"/>
              </w:rPr>
              <w:t>2.581.736.100</w:t>
            </w:r>
          </w:p>
        </w:tc>
      </w:tr>
      <w:tr w14:paraId="055D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246E951">
            <w:pPr>
              <w:jc w:val="center"/>
              <w:rPr>
                <w:b/>
                <w:bCs/>
                <w:color w:val="000000"/>
                <w:sz w:val="20"/>
                <w:szCs w:val="20"/>
              </w:rPr>
            </w:pPr>
            <w:r>
              <w:rPr>
                <w:b/>
                <w:bCs/>
                <w:color w:val="000000"/>
                <w:sz w:val="20"/>
                <w:szCs w:val="20"/>
              </w:rPr>
              <w:t>LK07</w:t>
            </w:r>
          </w:p>
        </w:tc>
        <w:tc>
          <w:tcPr>
            <w:tcW w:w="1802" w:type="dxa"/>
            <w:vAlign w:val="center"/>
          </w:tcPr>
          <w:p w14:paraId="3571A530">
            <w:pPr>
              <w:jc w:val="center"/>
              <w:rPr>
                <w:color w:val="000000"/>
                <w:sz w:val="20"/>
                <w:szCs w:val="20"/>
              </w:rPr>
            </w:pPr>
            <w:r>
              <w:rPr>
                <w:color w:val="000000"/>
                <w:sz w:val="20"/>
                <w:szCs w:val="20"/>
              </w:rPr>
              <w:t>LK07:02</w:t>
            </w:r>
          </w:p>
        </w:tc>
        <w:tc>
          <w:tcPr>
            <w:tcW w:w="1033" w:type="dxa"/>
            <w:noWrap/>
            <w:vAlign w:val="center"/>
          </w:tcPr>
          <w:p w14:paraId="63DAF754">
            <w:pPr>
              <w:jc w:val="center"/>
              <w:rPr>
                <w:color w:val="000000"/>
                <w:sz w:val="20"/>
                <w:szCs w:val="20"/>
              </w:rPr>
            </w:pPr>
            <w:r>
              <w:rPr>
                <w:color w:val="000000"/>
                <w:sz w:val="20"/>
                <w:szCs w:val="20"/>
              </w:rPr>
              <w:t>90,00</w:t>
            </w:r>
          </w:p>
        </w:tc>
        <w:tc>
          <w:tcPr>
            <w:tcW w:w="846" w:type="dxa"/>
            <w:noWrap/>
            <w:vAlign w:val="center"/>
          </w:tcPr>
          <w:p w14:paraId="624F4A00">
            <w:pPr>
              <w:jc w:val="center"/>
              <w:rPr>
                <w:color w:val="000000"/>
                <w:sz w:val="20"/>
                <w:szCs w:val="20"/>
              </w:rPr>
            </w:pPr>
            <w:r>
              <w:rPr>
                <w:color w:val="000000"/>
                <w:sz w:val="20"/>
                <w:szCs w:val="20"/>
              </w:rPr>
              <w:t>1</w:t>
            </w:r>
          </w:p>
        </w:tc>
        <w:tc>
          <w:tcPr>
            <w:tcW w:w="2578" w:type="dxa"/>
            <w:noWrap/>
            <w:vAlign w:val="center"/>
          </w:tcPr>
          <w:p w14:paraId="16D6BED7">
            <w:pPr>
              <w:jc w:val="center"/>
              <w:rPr>
                <w:color w:val="000000"/>
                <w:sz w:val="20"/>
                <w:szCs w:val="20"/>
              </w:rPr>
            </w:pPr>
            <w:r>
              <w:rPr>
                <w:color w:val="000000"/>
                <w:sz w:val="20"/>
                <w:szCs w:val="20"/>
              </w:rPr>
              <w:t>Mặt cắt 1-1</w:t>
            </w:r>
          </w:p>
        </w:tc>
        <w:tc>
          <w:tcPr>
            <w:tcW w:w="2393" w:type="dxa"/>
            <w:noWrap/>
            <w:vAlign w:val="center"/>
          </w:tcPr>
          <w:p w14:paraId="4763F39B">
            <w:pPr>
              <w:jc w:val="center"/>
              <w:rPr>
                <w:color w:val="000000"/>
                <w:sz w:val="20"/>
                <w:szCs w:val="20"/>
              </w:rPr>
            </w:pPr>
            <w:r>
              <w:rPr>
                <w:color w:val="000000"/>
                <w:sz w:val="20"/>
                <w:szCs w:val="20"/>
              </w:rPr>
              <w:t>Một mặt tiền</w:t>
            </w:r>
          </w:p>
        </w:tc>
        <w:tc>
          <w:tcPr>
            <w:tcW w:w="1198" w:type="dxa"/>
            <w:noWrap/>
            <w:vAlign w:val="center"/>
          </w:tcPr>
          <w:p w14:paraId="60854F4F">
            <w:pPr>
              <w:jc w:val="center"/>
              <w:rPr>
                <w:color w:val="000000"/>
                <w:sz w:val="20"/>
                <w:szCs w:val="20"/>
              </w:rPr>
            </w:pPr>
            <w:r>
              <w:rPr>
                <w:color w:val="000000"/>
                <w:sz w:val="20"/>
                <w:szCs w:val="20"/>
              </w:rPr>
              <w:t>11.800.000</w:t>
            </w:r>
          </w:p>
        </w:tc>
        <w:tc>
          <w:tcPr>
            <w:tcW w:w="1236" w:type="dxa"/>
            <w:noWrap/>
            <w:vAlign w:val="center"/>
          </w:tcPr>
          <w:p w14:paraId="754066E8">
            <w:pPr>
              <w:jc w:val="center"/>
              <w:rPr>
                <w:color w:val="000000"/>
                <w:sz w:val="20"/>
                <w:szCs w:val="20"/>
              </w:rPr>
            </w:pPr>
            <w:r>
              <w:rPr>
                <w:color w:val="000000"/>
                <w:sz w:val="20"/>
                <w:szCs w:val="20"/>
              </w:rPr>
              <w:t>12.579.000</w:t>
            </w:r>
          </w:p>
        </w:tc>
        <w:tc>
          <w:tcPr>
            <w:tcW w:w="1252" w:type="dxa"/>
            <w:noWrap/>
            <w:vAlign w:val="center"/>
          </w:tcPr>
          <w:p w14:paraId="42B8D0FC">
            <w:pPr>
              <w:jc w:val="center"/>
              <w:rPr>
                <w:color w:val="000000"/>
                <w:sz w:val="20"/>
                <w:szCs w:val="20"/>
              </w:rPr>
            </w:pPr>
            <w:r>
              <w:rPr>
                <w:color w:val="000000"/>
                <w:sz w:val="20"/>
                <w:szCs w:val="20"/>
              </w:rPr>
              <w:t>24.379.000</w:t>
            </w:r>
          </w:p>
        </w:tc>
        <w:tc>
          <w:tcPr>
            <w:tcW w:w="1848" w:type="dxa"/>
            <w:noWrap/>
            <w:vAlign w:val="center"/>
          </w:tcPr>
          <w:p w14:paraId="47363361">
            <w:pPr>
              <w:jc w:val="center"/>
              <w:rPr>
                <w:color w:val="000000"/>
                <w:sz w:val="20"/>
                <w:szCs w:val="20"/>
              </w:rPr>
            </w:pPr>
            <w:r>
              <w:rPr>
                <w:color w:val="000000"/>
                <w:sz w:val="20"/>
                <w:szCs w:val="20"/>
              </w:rPr>
              <w:t>2.194.110.000</w:t>
            </w:r>
          </w:p>
        </w:tc>
      </w:tr>
      <w:tr w14:paraId="3F23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0BE5DDD">
            <w:pPr>
              <w:jc w:val="center"/>
              <w:rPr>
                <w:b/>
                <w:bCs/>
                <w:color w:val="000000"/>
                <w:sz w:val="20"/>
                <w:szCs w:val="20"/>
              </w:rPr>
            </w:pPr>
            <w:r>
              <w:rPr>
                <w:b/>
                <w:bCs/>
                <w:color w:val="000000"/>
                <w:sz w:val="20"/>
                <w:szCs w:val="20"/>
              </w:rPr>
              <w:t>LK07</w:t>
            </w:r>
          </w:p>
        </w:tc>
        <w:tc>
          <w:tcPr>
            <w:tcW w:w="1802" w:type="dxa"/>
            <w:vAlign w:val="center"/>
          </w:tcPr>
          <w:p w14:paraId="222386C2">
            <w:pPr>
              <w:jc w:val="center"/>
              <w:rPr>
                <w:color w:val="000000"/>
                <w:sz w:val="20"/>
                <w:szCs w:val="20"/>
              </w:rPr>
            </w:pPr>
            <w:r>
              <w:rPr>
                <w:color w:val="000000"/>
                <w:sz w:val="20"/>
                <w:szCs w:val="20"/>
              </w:rPr>
              <w:t>LK07:03</w:t>
            </w:r>
          </w:p>
        </w:tc>
        <w:tc>
          <w:tcPr>
            <w:tcW w:w="1033" w:type="dxa"/>
            <w:noWrap/>
            <w:vAlign w:val="center"/>
          </w:tcPr>
          <w:p w14:paraId="47F57F0B">
            <w:pPr>
              <w:jc w:val="center"/>
              <w:rPr>
                <w:color w:val="000000"/>
                <w:sz w:val="20"/>
                <w:szCs w:val="20"/>
              </w:rPr>
            </w:pPr>
            <w:r>
              <w:rPr>
                <w:color w:val="000000"/>
                <w:sz w:val="20"/>
                <w:szCs w:val="20"/>
              </w:rPr>
              <w:t>90,00</w:t>
            </w:r>
          </w:p>
        </w:tc>
        <w:tc>
          <w:tcPr>
            <w:tcW w:w="846" w:type="dxa"/>
            <w:noWrap/>
            <w:vAlign w:val="center"/>
          </w:tcPr>
          <w:p w14:paraId="3017A1AD">
            <w:pPr>
              <w:jc w:val="center"/>
              <w:rPr>
                <w:color w:val="000000"/>
                <w:sz w:val="20"/>
                <w:szCs w:val="20"/>
              </w:rPr>
            </w:pPr>
            <w:r>
              <w:rPr>
                <w:color w:val="000000"/>
                <w:sz w:val="20"/>
                <w:szCs w:val="20"/>
              </w:rPr>
              <w:t>1</w:t>
            </w:r>
          </w:p>
        </w:tc>
        <w:tc>
          <w:tcPr>
            <w:tcW w:w="2578" w:type="dxa"/>
            <w:noWrap/>
            <w:vAlign w:val="center"/>
          </w:tcPr>
          <w:p w14:paraId="15A22F62">
            <w:pPr>
              <w:jc w:val="center"/>
              <w:rPr>
                <w:color w:val="000000"/>
                <w:sz w:val="20"/>
                <w:szCs w:val="20"/>
              </w:rPr>
            </w:pPr>
            <w:r>
              <w:rPr>
                <w:color w:val="000000"/>
                <w:sz w:val="20"/>
                <w:szCs w:val="20"/>
              </w:rPr>
              <w:t>Mặt cắt 1-1</w:t>
            </w:r>
          </w:p>
        </w:tc>
        <w:tc>
          <w:tcPr>
            <w:tcW w:w="2393" w:type="dxa"/>
            <w:noWrap/>
            <w:vAlign w:val="center"/>
          </w:tcPr>
          <w:p w14:paraId="0A008BA9">
            <w:pPr>
              <w:jc w:val="center"/>
              <w:rPr>
                <w:color w:val="000000"/>
                <w:sz w:val="20"/>
                <w:szCs w:val="20"/>
              </w:rPr>
            </w:pPr>
            <w:r>
              <w:rPr>
                <w:color w:val="000000"/>
                <w:sz w:val="20"/>
                <w:szCs w:val="20"/>
              </w:rPr>
              <w:t>Một mặt tiền</w:t>
            </w:r>
          </w:p>
        </w:tc>
        <w:tc>
          <w:tcPr>
            <w:tcW w:w="1198" w:type="dxa"/>
            <w:noWrap/>
            <w:vAlign w:val="center"/>
          </w:tcPr>
          <w:p w14:paraId="51FA89B1">
            <w:pPr>
              <w:jc w:val="center"/>
              <w:rPr>
                <w:color w:val="000000"/>
                <w:sz w:val="20"/>
                <w:szCs w:val="20"/>
              </w:rPr>
            </w:pPr>
            <w:r>
              <w:rPr>
                <w:color w:val="000000"/>
                <w:sz w:val="20"/>
                <w:szCs w:val="20"/>
              </w:rPr>
              <w:t>11.800.000</w:t>
            </w:r>
          </w:p>
        </w:tc>
        <w:tc>
          <w:tcPr>
            <w:tcW w:w="1236" w:type="dxa"/>
            <w:noWrap/>
            <w:vAlign w:val="center"/>
          </w:tcPr>
          <w:p w14:paraId="13812717">
            <w:pPr>
              <w:jc w:val="center"/>
              <w:rPr>
                <w:color w:val="000000"/>
                <w:sz w:val="20"/>
                <w:szCs w:val="20"/>
              </w:rPr>
            </w:pPr>
            <w:r>
              <w:rPr>
                <w:color w:val="000000"/>
                <w:sz w:val="20"/>
                <w:szCs w:val="20"/>
              </w:rPr>
              <w:t>12.579.000</w:t>
            </w:r>
          </w:p>
        </w:tc>
        <w:tc>
          <w:tcPr>
            <w:tcW w:w="1252" w:type="dxa"/>
            <w:noWrap/>
            <w:vAlign w:val="center"/>
          </w:tcPr>
          <w:p w14:paraId="5CC56463">
            <w:pPr>
              <w:jc w:val="center"/>
              <w:rPr>
                <w:color w:val="000000"/>
                <w:sz w:val="20"/>
                <w:szCs w:val="20"/>
              </w:rPr>
            </w:pPr>
            <w:r>
              <w:rPr>
                <w:color w:val="000000"/>
                <w:sz w:val="20"/>
                <w:szCs w:val="20"/>
              </w:rPr>
              <w:t>24.379.000</w:t>
            </w:r>
          </w:p>
        </w:tc>
        <w:tc>
          <w:tcPr>
            <w:tcW w:w="1848" w:type="dxa"/>
            <w:noWrap/>
            <w:vAlign w:val="center"/>
          </w:tcPr>
          <w:p w14:paraId="1BA90B4D">
            <w:pPr>
              <w:jc w:val="center"/>
              <w:rPr>
                <w:color w:val="000000"/>
                <w:sz w:val="20"/>
                <w:szCs w:val="20"/>
              </w:rPr>
            </w:pPr>
            <w:r>
              <w:rPr>
                <w:color w:val="000000"/>
                <w:sz w:val="20"/>
                <w:szCs w:val="20"/>
              </w:rPr>
              <w:t>2.194.110.000</w:t>
            </w:r>
          </w:p>
        </w:tc>
      </w:tr>
      <w:tr w14:paraId="7D54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58AFCAF">
            <w:pPr>
              <w:jc w:val="center"/>
              <w:rPr>
                <w:b/>
                <w:bCs/>
                <w:color w:val="000000"/>
                <w:sz w:val="20"/>
                <w:szCs w:val="20"/>
              </w:rPr>
            </w:pPr>
            <w:r>
              <w:rPr>
                <w:b/>
                <w:bCs/>
                <w:color w:val="000000"/>
                <w:sz w:val="20"/>
                <w:szCs w:val="20"/>
              </w:rPr>
              <w:t>LK07</w:t>
            </w:r>
          </w:p>
        </w:tc>
        <w:tc>
          <w:tcPr>
            <w:tcW w:w="1802" w:type="dxa"/>
            <w:vAlign w:val="center"/>
          </w:tcPr>
          <w:p w14:paraId="000C92E8">
            <w:pPr>
              <w:jc w:val="center"/>
              <w:rPr>
                <w:color w:val="000000"/>
                <w:sz w:val="20"/>
                <w:szCs w:val="20"/>
              </w:rPr>
            </w:pPr>
            <w:r>
              <w:rPr>
                <w:color w:val="000000"/>
                <w:sz w:val="20"/>
                <w:szCs w:val="20"/>
              </w:rPr>
              <w:t>LK07:04</w:t>
            </w:r>
          </w:p>
        </w:tc>
        <w:tc>
          <w:tcPr>
            <w:tcW w:w="1033" w:type="dxa"/>
            <w:noWrap/>
            <w:vAlign w:val="center"/>
          </w:tcPr>
          <w:p w14:paraId="7D6C6CC6">
            <w:pPr>
              <w:jc w:val="center"/>
              <w:rPr>
                <w:color w:val="000000"/>
                <w:sz w:val="20"/>
                <w:szCs w:val="20"/>
              </w:rPr>
            </w:pPr>
            <w:r>
              <w:rPr>
                <w:color w:val="000000"/>
                <w:sz w:val="20"/>
                <w:szCs w:val="20"/>
              </w:rPr>
              <w:t>90,00</w:t>
            </w:r>
          </w:p>
        </w:tc>
        <w:tc>
          <w:tcPr>
            <w:tcW w:w="846" w:type="dxa"/>
            <w:noWrap/>
            <w:vAlign w:val="center"/>
          </w:tcPr>
          <w:p w14:paraId="4395E55C">
            <w:pPr>
              <w:jc w:val="center"/>
              <w:rPr>
                <w:color w:val="000000"/>
                <w:sz w:val="20"/>
                <w:szCs w:val="20"/>
              </w:rPr>
            </w:pPr>
            <w:r>
              <w:rPr>
                <w:color w:val="000000"/>
                <w:sz w:val="20"/>
                <w:szCs w:val="20"/>
              </w:rPr>
              <w:t>1</w:t>
            </w:r>
          </w:p>
        </w:tc>
        <w:tc>
          <w:tcPr>
            <w:tcW w:w="2578" w:type="dxa"/>
            <w:noWrap/>
            <w:vAlign w:val="center"/>
          </w:tcPr>
          <w:p w14:paraId="688CE498">
            <w:pPr>
              <w:jc w:val="center"/>
              <w:rPr>
                <w:color w:val="000000"/>
                <w:sz w:val="20"/>
                <w:szCs w:val="20"/>
              </w:rPr>
            </w:pPr>
            <w:r>
              <w:rPr>
                <w:color w:val="000000"/>
                <w:sz w:val="20"/>
                <w:szCs w:val="20"/>
              </w:rPr>
              <w:t>Mặt cắt 1-1</w:t>
            </w:r>
          </w:p>
        </w:tc>
        <w:tc>
          <w:tcPr>
            <w:tcW w:w="2393" w:type="dxa"/>
            <w:noWrap/>
            <w:vAlign w:val="center"/>
          </w:tcPr>
          <w:p w14:paraId="002A83D3">
            <w:pPr>
              <w:jc w:val="center"/>
              <w:rPr>
                <w:color w:val="000000"/>
                <w:sz w:val="20"/>
                <w:szCs w:val="20"/>
              </w:rPr>
            </w:pPr>
            <w:r>
              <w:rPr>
                <w:color w:val="000000"/>
                <w:sz w:val="20"/>
                <w:szCs w:val="20"/>
              </w:rPr>
              <w:t>Một mặt tiền</w:t>
            </w:r>
          </w:p>
        </w:tc>
        <w:tc>
          <w:tcPr>
            <w:tcW w:w="1198" w:type="dxa"/>
            <w:noWrap/>
            <w:vAlign w:val="center"/>
          </w:tcPr>
          <w:p w14:paraId="7A0FD8A4">
            <w:pPr>
              <w:jc w:val="center"/>
              <w:rPr>
                <w:color w:val="000000"/>
                <w:sz w:val="20"/>
                <w:szCs w:val="20"/>
              </w:rPr>
            </w:pPr>
            <w:r>
              <w:rPr>
                <w:color w:val="000000"/>
                <w:sz w:val="20"/>
                <w:szCs w:val="20"/>
              </w:rPr>
              <w:t>11.800.000</w:t>
            </w:r>
          </w:p>
        </w:tc>
        <w:tc>
          <w:tcPr>
            <w:tcW w:w="1236" w:type="dxa"/>
            <w:noWrap/>
            <w:vAlign w:val="center"/>
          </w:tcPr>
          <w:p w14:paraId="4CF7051D">
            <w:pPr>
              <w:jc w:val="center"/>
              <w:rPr>
                <w:color w:val="000000"/>
                <w:sz w:val="20"/>
                <w:szCs w:val="20"/>
              </w:rPr>
            </w:pPr>
            <w:r>
              <w:rPr>
                <w:color w:val="000000"/>
                <w:sz w:val="20"/>
                <w:szCs w:val="20"/>
              </w:rPr>
              <w:t>12.579.000</w:t>
            </w:r>
          </w:p>
        </w:tc>
        <w:tc>
          <w:tcPr>
            <w:tcW w:w="1252" w:type="dxa"/>
            <w:noWrap/>
            <w:vAlign w:val="center"/>
          </w:tcPr>
          <w:p w14:paraId="3B8C033A">
            <w:pPr>
              <w:jc w:val="center"/>
              <w:rPr>
                <w:color w:val="000000"/>
                <w:sz w:val="20"/>
                <w:szCs w:val="20"/>
              </w:rPr>
            </w:pPr>
            <w:r>
              <w:rPr>
                <w:color w:val="000000"/>
                <w:sz w:val="20"/>
                <w:szCs w:val="20"/>
              </w:rPr>
              <w:t>24.379.000</w:t>
            </w:r>
          </w:p>
        </w:tc>
        <w:tc>
          <w:tcPr>
            <w:tcW w:w="1848" w:type="dxa"/>
            <w:noWrap/>
            <w:vAlign w:val="center"/>
          </w:tcPr>
          <w:p w14:paraId="05648BCF">
            <w:pPr>
              <w:jc w:val="center"/>
              <w:rPr>
                <w:color w:val="000000"/>
                <w:sz w:val="20"/>
                <w:szCs w:val="20"/>
              </w:rPr>
            </w:pPr>
            <w:r>
              <w:rPr>
                <w:color w:val="000000"/>
                <w:sz w:val="20"/>
                <w:szCs w:val="20"/>
              </w:rPr>
              <w:t>2.194.110.000</w:t>
            </w:r>
          </w:p>
        </w:tc>
      </w:tr>
      <w:tr w14:paraId="3A6A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413AC12">
            <w:pPr>
              <w:jc w:val="center"/>
              <w:rPr>
                <w:b/>
                <w:bCs/>
                <w:color w:val="000000"/>
                <w:sz w:val="20"/>
                <w:szCs w:val="20"/>
              </w:rPr>
            </w:pPr>
            <w:r>
              <w:rPr>
                <w:b/>
                <w:bCs/>
                <w:color w:val="000000"/>
                <w:sz w:val="20"/>
                <w:szCs w:val="20"/>
              </w:rPr>
              <w:t>LK07</w:t>
            </w:r>
          </w:p>
        </w:tc>
        <w:tc>
          <w:tcPr>
            <w:tcW w:w="1802" w:type="dxa"/>
            <w:vAlign w:val="center"/>
          </w:tcPr>
          <w:p w14:paraId="21BD017D">
            <w:pPr>
              <w:jc w:val="center"/>
              <w:rPr>
                <w:color w:val="000000"/>
                <w:sz w:val="20"/>
                <w:szCs w:val="20"/>
              </w:rPr>
            </w:pPr>
            <w:r>
              <w:rPr>
                <w:color w:val="000000"/>
                <w:sz w:val="20"/>
                <w:szCs w:val="20"/>
              </w:rPr>
              <w:t>LK07:05</w:t>
            </w:r>
          </w:p>
        </w:tc>
        <w:tc>
          <w:tcPr>
            <w:tcW w:w="1033" w:type="dxa"/>
            <w:noWrap/>
            <w:vAlign w:val="center"/>
          </w:tcPr>
          <w:p w14:paraId="6AEECECE">
            <w:pPr>
              <w:jc w:val="center"/>
              <w:rPr>
                <w:color w:val="000000"/>
                <w:sz w:val="20"/>
                <w:szCs w:val="20"/>
              </w:rPr>
            </w:pPr>
            <w:r>
              <w:rPr>
                <w:color w:val="000000"/>
                <w:sz w:val="20"/>
                <w:szCs w:val="20"/>
              </w:rPr>
              <w:t>90,00</w:t>
            </w:r>
          </w:p>
        </w:tc>
        <w:tc>
          <w:tcPr>
            <w:tcW w:w="846" w:type="dxa"/>
            <w:noWrap/>
            <w:vAlign w:val="center"/>
          </w:tcPr>
          <w:p w14:paraId="6680B017">
            <w:pPr>
              <w:jc w:val="center"/>
              <w:rPr>
                <w:color w:val="000000"/>
                <w:sz w:val="20"/>
                <w:szCs w:val="20"/>
              </w:rPr>
            </w:pPr>
            <w:r>
              <w:rPr>
                <w:color w:val="000000"/>
                <w:sz w:val="20"/>
                <w:szCs w:val="20"/>
              </w:rPr>
              <w:t>1</w:t>
            </w:r>
          </w:p>
        </w:tc>
        <w:tc>
          <w:tcPr>
            <w:tcW w:w="2578" w:type="dxa"/>
            <w:noWrap/>
            <w:vAlign w:val="center"/>
          </w:tcPr>
          <w:p w14:paraId="71F05AEA">
            <w:pPr>
              <w:jc w:val="center"/>
              <w:rPr>
                <w:color w:val="000000"/>
                <w:sz w:val="20"/>
                <w:szCs w:val="20"/>
              </w:rPr>
            </w:pPr>
            <w:r>
              <w:rPr>
                <w:color w:val="000000"/>
                <w:sz w:val="20"/>
                <w:szCs w:val="20"/>
              </w:rPr>
              <w:t>Mặt cắt 1-1</w:t>
            </w:r>
          </w:p>
        </w:tc>
        <w:tc>
          <w:tcPr>
            <w:tcW w:w="2393" w:type="dxa"/>
            <w:noWrap/>
            <w:vAlign w:val="center"/>
          </w:tcPr>
          <w:p w14:paraId="2CDCA6D0">
            <w:pPr>
              <w:jc w:val="center"/>
              <w:rPr>
                <w:color w:val="000000"/>
                <w:sz w:val="20"/>
                <w:szCs w:val="20"/>
              </w:rPr>
            </w:pPr>
            <w:r>
              <w:rPr>
                <w:color w:val="000000"/>
                <w:sz w:val="20"/>
                <w:szCs w:val="20"/>
              </w:rPr>
              <w:t>Một mặt tiền</w:t>
            </w:r>
          </w:p>
        </w:tc>
        <w:tc>
          <w:tcPr>
            <w:tcW w:w="1198" w:type="dxa"/>
            <w:noWrap/>
            <w:vAlign w:val="center"/>
          </w:tcPr>
          <w:p w14:paraId="27F8514E">
            <w:pPr>
              <w:jc w:val="center"/>
              <w:rPr>
                <w:color w:val="000000"/>
                <w:sz w:val="20"/>
                <w:szCs w:val="20"/>
              </w:rPr>
            </w:pPr>
            <w:r>
              <w:rPr>
                <w:color w:val="000000"/>
                <w:sz w:val="20"/>
                <w:szCs w:val="20"/>
              </w:rPr>
              <w:t>11.800.000</w:t>
            </w:r>
          </w:p>
        </w:tc>
        <w:tc>
          <w:tcPr>
            <w:tcW w:w="1236" w:type="dxa"/>
            <w:noWrap/>
            <w:vAlign w:val="center"/>
          </w:tcPr>
          <w:p w14:paraId="7C53EBB5">
            <w:pPr>
              <w:jc w:val="center"/>
              <w:rPr>
                <w:color w:val="000000"/>
                <w:sz w:val="20"/>
                <w:szCs w:val="20"/>
              </w:rPr>
            </w:pPr>
            <w:r>
              <w:rPr>
                <w:color w:val="000000"/>
                <w:sz w:val="20"/>
                <w:szCs w:val="20"/>
              </w:rPr>
              <w:t>12.579.000</w:t>
            </w:r>
          </w:p>
        </w:tc>
        <w:tc>
          <w:tcPr>
            <w:tcW w:w="1252" w:type="dxa"/>
            <w:noWrap/>
            <w:vAlign w:val="center"/>
          </w:tcPr>
          <w:p w14:paraId="3A867ECF">
            <w:pPr>
              <w:jc w:val="center"/>
              <w:rPr>
                <w:color w:val="000000"/>
                <w:sz w:val="20"/>
                <w:szCs w:val="20"/>
              </w:rPr>
            </w:pPr>
            <w:r>
              <w:rPr>
                <w:color w:val="000000"/>
                <w:sz w:val="20"/>
                <w:szCs w:val="20"/>
              </w:rPr>
              <w:t>24.379.000</w:t>
            </w:r>
          </w:p>
        </w:tc>
        <w:tc>
          <w:tcPr>
            <w:tcW w:w="1848" w:type="dxa"/>
            <w:noWrap/>
            <w:vAlign w:val="center"/>
          </w:tcPr>
          <w:p w14:paraId="54BB8F02">
            <w:pPr>
              <w:jc w:val="center"/>
              <w:rPr>
                <w:color w:val="000000"/>
                <w:sz w:val="20"/>
                <w:szCs w:val="20"/>
              </w:rPr>
            </w:pPr>
            <w:r>
              <w:rPr>
                <w:color w:val="000000"/>
                <w:sz w:val="20"/>
                <w:szCs w:val="20"/>
              </w:rPr>
              <w:t>2.194.110.000</w:t>
            </w:r>
          </w:p>
        </w:tc>
      </w:tr>
      <w:tr w14:paraId="3270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599E7E0">
            <w:pPr>
              <w:jc w:val="center"/>
              <w:rPr>
                <w:b/>
                <w:bCs/>
                <w:color w:val="000000"/>
                <w:sz w:val="20"/>
                <w:szCs w:val="20"/>
              </w:rPr>
            </w:pPr>
            <w:r>
              <w:rPr>
                <w:b/>
                <w:bCs/>
                <w:color w:val="000000"/>
                <w:sz w:val="20"/>
                <w:szCs w:val="20"/>
              </w:rPr>
              <w:t>LK07</w:t>
            </w:r>
          </w:p>
        </w:tc>
        <w:tc>
          <w:tcPr>
            <w:tcW w:w="1802" w:type="dxa"/>
            <w:vAlign w:val="center"/>
          </w:tcPr>
          <w:p w14:paraId="4C61292F">
            <w:pPr>
              <w:jc w:val="center"/>
              <w:rPr>
                <w:color w:val="000000"/>
                <w:sz w:val="20"/>
                <w:szCs w:val="20"/>
              </w:rPr>
            </w:pPr>
            <w:r>
              <w:rPr>
                <w:color w:val="000000"/>
                <w:sz w:val="20"/>
                <w:szCs w:val="20"/>
              </w:rPr>
              <w:t>LK07:06</w:t>
            </w:r>
          </w:p>
        </w:tc>
        <w:tc>
          <w:tcPr>
            <w:tcW w:w="1033" w:type="dxa"/>
            <w:noWrap/>
            <w:vAlign w:val="center"/>
          </w:tcPr>
          <w:p w14:paraId="4675BB61">
            <w:pPr>
              <w:jc w:val="center"/>
              <w:rPr>
                <w:color w:val="000000"/>
                <w:sz w:val="20"/>
                <w:szCs w:val="20"/>
              </w:rPr>
            </w:pPr>
            <w:r>
              <w:rPr>
                <w:color w:val="000000"/>
                <w:sz w:val="20"/>
                <w:szCs w:val="20"/>
              </w:rPr>
              <w:t>90,00</w:t>
            </w:r>
          </w:p>
        </w:tc>
        <w:tc>
          <w:tcPr>
            <w:tcW w:w="846" w:type="dxa"/>
            <w:noWrap/>
            <w:vAlign w:val="center"/>
          </w:tcPr>
          <w:p w14:paraId="2DA240C5">
            <w:pPr>
              <w:jc w:val="center"/>
              <w:rPr>
                <w:color w:val="000000"/>
                <w:sz w:val="20"/>
                <w:szCs w:val="20"/>
              </w:rPr>
            </w:pPr>
            <w:r>
              <w:rPr>
                <w:color w:val="000000"/>
                <w:sz w:val="20"/>
                <w:szCs w:val="20"/>
              </w:rPr>
              <w:t>1</w:t>
            </w:r>
          </w:p>
        </w:tc>
        <w:tc>
          <w:tcPr>
            <w:tcW w:w="2578" w:type="dxa"/>
            <w:noWrap/>
            <w:vAlign w:val="center"/>
          </w:tcPr>
          <w:p w14:paraId="449B98D0">
            <w:pPr>
              <w:jc w:val="center"/>
              <w:rPr>
                <w:color w:val="000000"/>
                <w:sz w:val="20"/>
                <w:szCs w:val="20"/>
              </w:rPr>
            </w:pPr>
            <w:r>
              <w:rPr>
                <w:color w:val="000000"/>
                <w:sz w:val="20"/>
                <w:szCs w:val="20"/>
              </w:rPr>
              <w:t>Mặt cắt 1-1</w:t>
            </w:r>
          </w:p>
        </w:tc>
        <w:tc>
          <w:tcPr>
            <w:tcW w:w="2393" w:type="dxa"/>
            <w:noWrap/>
            <w:vAlign w:val="center"/>
          </w:tcPr>
          <w:p w14:paraId="204235D6">
            <w:pPr>
              <w:jc w:val="center"/>
              <w:rPr>
                <w:color w:val="000000"/>
                <w:sz w:val="20"/>
                <w:szCs w:val="20"/>
              </w:rPr>
            </w:pPr>
            <w:r>
              <w:rPr>
                <w:color w:val="000000"/>
                <w:sz w:val="20"/>
                <w:szCs w:val="20"/>
              </w:rPr>
              <w:t>Một mặt tiền</w:t>
            </w:r>
          </w:p>
        </w:tc>
        <w:tc>
          <w:tcPr>
            <w:tcW w:w="1198" w:type="dxa"/>
            <w:noWrap/>
            <w:vAlign w:val="center"/>
          </w:tcPr>
          <w:p w14:paraId="27181727">
            <w:pPr>
              <w:jc w:val="center"/>
              <w:rPr>
                <w:color w:val="000000"/>
                <w:sz w:val="20"/>
                <w:szCs w:val="20"/>
              </w:rPr>
            </w:pPr>
            <w:r>
              <w:rPr>
                <w:color w:val="000000"/>
                <w:sz w:val="20"/>
                <w:szCs w:val="20"/>
              </w:rPr>
              <w:t>11.800.000</w:t>
            </w:r>
          </w:p>
        </w:tc>
        <w:tc>
          <w:tcPr>
            <w:tcW w:w="1236" w:type="dxa"/>
            <w:noWrap/>
            <w:vAlign w:val="center"/>
          </w:tcPr>
          <w:p w14:paraId="623D06C9">
            <w:pPr>
              <w:jc w:val="center"/>
              <w:rPr>
                <w:color w:val="000000"/>
                <w:sz w:val="20"/>
                <w:szCs w:val="20"/>
              </w:rPr>
            </w:pPr>
            <w:r>
              <w:rPr>
                <w:color w:val="000000"/>
                <w:sz w:val="20"/>
                <w:szCs w:val="20"/>
              </w:rPr>
              <w:t>12.579.000</w:t>
            </w:r>
          </w:p>
        </w:tc>
        <w:tc>
          <w:tcPr>
            <w:tcW w:w="1252" w:type="dxa"/>
            <w:noWrap/>
            <w:vAlign w:val="center"/>
          </w:tcPr>
          <w:p w14:paraId="5A3A4222">
            <w:pPr>
              <w:jc w:val="center"/>
              <w:rPr>
                <w:color w:val="000000"/>
                <w:sz w:val="20"/>
                <w:szCs w:val="20"/>
              </w:rPr>
            </w:pPr>
            <w:r>
              <w:rPr>
                <w:color w:val="000000"/>
                <w:sz w:val="20"/>
                <w:szCs w:val="20"/>
              </w:rPr>
              <w:t>24.379.000</w:t>
            </w:r>
          </w:p>
        </w:tc>
        <w:tc>
          <w:tcPr>
            <w:tcW w:w="1848" w:type="dxa"/>
            <w:noWrap/>
            <w:vAlign w:val="center"/>
          </w:tcPr>
          <w:p w14:paraId="0807E886">
            <w:pPr>
              <w:jc w:val="center"/>
              <w:rPr>
                <w:color w:val="000000"/>
                <w:sz w:val="20"/>
                <w:szCs w:val="20"/>
              </w:rPr>
            </w:pPr>
            <w:r>
              <w:rPr>
                <w:color w:val="000000"/>
                <w:sz w:val="20"/>
                <w:szCs w:val="20"/>
              </w:rPr>
              <w:t>2.194.110.000</w:t>
            </w:r>
          </w:p>
        </w:tc>
      </w:tr>
      <w:tr w14:paraId="3B7A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F81E7B5">
            <w:pPr>
              <w:jc w:val="center"/>
              <w:rPr>
                <w:b/>
                <w:bCs/>
                <w:color w:val="000000"/>
                <w:sz w:val="20"/>
                <w:szCs w:val="20"/>
              </w:rPr>
            </w:pPr>
            <w:r>
              <w:rPr>
                <w:b/>
                <w:bCs/>
                <w:color w:val="000000"/>
                <w:sz w:val="20"/>
                <w:szCs w:val="20"/>
              </w:rPr>
              <w:t>LK07</w:t>
            </w:r>
          </w:p>
        </w:tc>
        <w:tc>
          <w:tcPr>
            <w:tcW w:w="1802" w:type="dxa"/>
            <w:vAlign w:val="center"/>
          </w:tcPr>
          <w:p w14:paraId="05A2C6A0">
            <w:pPr>
              <w:jc w:val="center"/>
              <w:rPr>
                <w:color w:val="000000"/>
                <w:sz w:val="20"/>
                <w:szCs w:val="20"/>
              </w:rPr>
            </w:pPr>
            <w:r>
              <w:rPr>
                <w:color w:val="000000"/>
                <w:sz w:val="20"/>
                <w:szCs w:val="20"/>
              </w:rPr>
              <w:t>LK07:07</w:t>
            </w:r>
          </w:p>
        </w:tc>
        <w:tc>
          <w:tcPr>
            <w:tcW w:w="1033" w:type="dxa"/>
            <w:noWrap/>
            <w:vAlign w:val="center"/>
          </w:tcPr>
          <w:p w14:paraId="50AAA09F">
            <w:pPr>
              <w:jc w:val="center"/>
              <w:rPr>
                <w:color w:val="000000"/>
                <w:sz w:val="20"/>
                <w:szCs w:val="20"/>
              </w:rPr>
            </w:pPr>
            <w:r>
              <w:rPr>
                <w:color w:val="000000"/>
                <w:sz w:val="20"/>
                <w:szCs w:val="20"/>
              </w:rPr>
              <w:t>90,00</w:t>
            </w:r>
          </w:p>
        </w:tc>
        <w:tc>
          <w:tcPr>
            <w:tcW w:w="846" w:type="dxa"/>
            <w:noWrap/>
            <w:vAlign w:val="center"/>
          </w:tcPr>
          <w:p w14:paraId="3CE0CBF4">
            <w:pPr>
              <w:jc w:val="center"/>
              <w:rPr>
                <w:color w:val="000000"/>
                <w:sz w:val="20"/>
                <w:szCs w:val="20"/>
              </w:rPr>
            </w:pPr>
            <w:r>
              <w:rPr>
                <w:color w:val="000000"/>
                <w:sz w:val="20"/>
                <w:szCs w:val="20"/>
              </w:rPr>
              <w:t>1</w:t>
            </w:r>
          </w:p>
        </w:tc>
        <w:tc>
          <w:tcPr>
            <w:tcW w:w="2578" w:type="dxa"/>
            <w:noWrap/>
            <w:vAlign w:val="center"/>
          </w:tcPr>
          <w:p w14:paraId="16FD2177">
            <w:pPr>
              <w:jc w:val="center"/>
              <w:rPr>
                <w:color w:val="000000"/>
                <w:sz w:val="20"/>
                <w:szCs w:val="20"/>
              </w:rPr>
            </w:pPr>
            <w:r>
              <w:rPr>
                <w:color w:val="000000"/>
                <w:sz w:val="20"/>
                <w:szCs w:val="20"/>
              </w:rPr>
              <w:t>Mặt cắt 1-1</w:t>
            </w:r>
          </w:p>
        </w:tc>
        <w:tc>
          <w:tcPr>
            <w:tcW w:w="2393" w:type="dxa"/>
            <w:noWrap/>
            <w:vAlign w:val="center"/>
          </w:tcPr>
          <w:p w14:paraId="07F99332">
            <w:pPr>
              <w:jc w:val="center"/>
              <w:rPr>
                <w:color w:val="000000"/>
                <w:sz w:val="20"/>
                <w:szCs w:val="20"/>
              </w:rPr>
            </w:pPr>
            <w:r>
              <w:rPr>
                <w:color w:val="000000"/>
                <w:sz w:val="20"/>
                <w:szCs w:val="20"/>
              </w:rPr>
              <w:t>Một mặt tiền</w:t>
            </w:r>
          </w:p>
        </w:tc>
        <w:tc>
          <w:tcPr>
            <w:tcW w:w="1198" w:type="dxa"/>
            <w:noWrap/>
            <w:vAlign w:val="center"/>
          </w:tcPr>
          <w:p w14:paraId="0C90AB27">
            <w:pPr>
              <w:jc w:val="center"/>
              <w:rPr>
                <w:color w:val="000000"/>
                <w:sz w:val="20"/>
                <w:szCs w:val="20"/>
              </w:rPr>
            </w:pPr>
            <w:r>
              <w:rPr>
                <w:color w:val="000000"/>
                <w:sz w:val="20"/>
                <w:szCs w:val="20"/>
              </w:rPr>
              <w:t>11.800.000</w:t>
            </w:r>
          </w:p>
        </w:tc>
        <w:tc>
          <w:tcPr>
            <w:tcW w:w="1236" w:type="dxa"/>
            <w:noWrap/>
            <w:vAlign w:val="center"/>
          </w:tcPr>
          <w:p w14:paraId="25029D4F">
            <w:pPr>
              <w:jc w:val="center"/>
              <w:rPr>
                <w:color w:val="000000"/>
                <w:sz w:val="20"/>
                <w:szCs w:val="20"/>
              </w:rPr>
            </w:pPr>
            <w:r>
              <w:rPr>
                <w:color w:val="000000"/>
                <w:sz w:val="20"/>
                <w:szCs w:val="20"/>
              </w:rPr>
              <w:t>12.579.000</w:t>
            </w:r>
          </w:p>
        </w:tc>
        <w:tc>
          <w:tcPr>
            <w:tcW w:w="1252" w:type="dxa"/>
            <w:noWrap/>
            <w:vAlign w:val="center"/>
          </w:tcPr>
          <w:p w14:paraId="7059A4A1">
            <w:pPr>
              <w:jc w:val="center"/>
              <w:rPr>
                <w:color w:val="000000"/>
                <w:sz w:val="20"/>
                <w:szCs w:val="20"/>
              </w:rPr>
            </w:pPr>
            <w:r>
              <w:rPr>
                <w:color w:val="000000"/>
                <w:sz w:val="20"/>
                <w:szCs w:val="20"/>
              </w:rPr>
              <w:t>24.379.000</w:t>
            </w:r>
          </w:p>
        </w:tc>
        <w:tc>
          <w:tcPr>
            <w:tcW w:w="1848" w:type="dxa"/>
            <w:noWrap/>
            <w:vAlign w:val="center"/>
          </w:tcPr>
          <w:p w14:paraId="3A0DB8E3">
            <w:pPr>
              <w:jc w:val="center"/>
              <w:rPr>
                <w:color w:val="000000"/>
                <w:sz w:val="20"/>
                <w:szCs w:val="20"/>
              </w:rPr>
            </w:pPr>
            <w:r>
              <w:rPr>
                <w:color w:val="000000"/>
                <w:sz w:val="20"/>
                <w:szCs w:val="20"/>
              </w:rPr>
              <w:t>2.194.110.000</w:t>
            </w:r>
          </w:p>
        </w:tc>
      </w:tr>
      <w:tr w14:paraId="38EF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D772298">
            <w:pPr>
              <w:jc w:val="center"/>
              <w:rPr>
                <w:b/>
                <w:bCs/>
                <w:color w:val="000000"/>
                <w:sz w:val="20"/>
                <w:szCs w:val="20"/>
              </w:rPr>
            </w:pPr>
            <w:r>
              <w:rPr>
                <w:b/>
                <w:bCs/>
                <w:color w:val="000000"/>
                <w:sz w:val="20"/>
                <w:szCs w:val="20"/>
              </w:rPr>
              <w:t>LK07</w:t>
            </w:r>
          </w:p>
        </w:tc>
        <w:tc>
          <w:tcPr>
            <w:tcW w:w="1802" w:type="dxa"/>
            <w:vAlign w:val="center"/>
          </w:tcPr>
          <w:p w14:paraId="0E77004E">
            <w:pPr>
              <w:jc w:val="center"/>
              <w:rPr>
                <w:color w:val="000000"/>
                <w:sz w:val="20"/>
                <w:szCs w:val="20"/>
              </w:rPr>
            </w:pPr>
            <w:r>
              <w:rPr>
                <w:color w:val="000000"/>
                <w:sz w:val="20"/>
                <w:szCs w:val="20"/>
              </w:rPr>
              <w:t>LK07:08</w:t>
            </w:r>
          </w:p>
        </w:tc>
        <w:tc>
          <w:tcPr>
            <w:tcW w:w="1033" w:type="dxa"/>
            <w:noWrap/>
            <w:vAlign w:val="center"/>
          </w:tcPr>
          <w:p w14:paraId="06537726">
            <w:pPr>
              <w:jc w:val="center"/>
              <w:rPr>
                <w:color w:val="000000"/>
                <w:sz w:val="20"/>
                <w:szCs w:val="20"/>
              </w:rPr>
            </w:pPr>
            <w:r>
              <w:rPr>
                <w:color w:val="000000"/>
                <w:sz w:val="20"/>
                <w:szCs w:val="20"/>
              </w:rPr>
              <w:t>90,00</w:t>
            </w:r>
          </w:p>
        </w:tc>
        <w:tc>
          <w:tcPr>
            <w:tcW w:w="846" w:type="dxa"/>
            <w:noWrap/>
            <w:vAlign w:val="center"/>
          </w:tcPr>
          <w:p w14:paraId="4B0E92DE">
            <w:pPr>
              <w:jc w:val="center"/>
              <w:rPr>
                <w:color w:val="000000"/>
                <w:sz w:val="20"/>
                <w:szCs w:val="20"/>
              </w:rPr>
            </w:pPr>
            <w:r>
              <w:rPr>
                <w:color w:val="000000"/>
                <w:sz w:val="20"/>
                <w:szCs w:val="20"/>
              </w:rPr>
              <w:t>1</w:t>
            </w:r>
          </w:p>
        </w:tc>
        <w:tc>
          <w:tcPr>
            <w:tcW w:w="2578" w:type="dxa"/>
            <w:noWrap/>
            <w:vAlign w:val="center"/>
          </w:tcPr>
          <w:p w14:paraId="092532FB">
            <w:pPr>
              <w:jc w:val="center"/>
              <w:rPr>
                <w:color w:val="000000"/>
                <w:sz w:val="20"/>
                <w:szCs w:val="20"/>
              </w:rPr>
            </w:pPr>
            <w:r>
              <w:rPr>
                <w:color w:val="000000"/>
                <w:sz w:val="20"/>
                <w:szCs w:val="20"/>
              </w:rPr>
              <w:t>Mặt cắt 1-1</w:t>
            </w:r>
          </w:p>
        </w:tc>
        <w:tc>
          <w:tcPr>
            <w:tcW w:w="2393" w:type="dxa"/>
            <w:noWrap/>
            <w:vAlign w:val="center"/>
          </w:tcPr>
          <w:p w14:paraId="732182F9">
            <w:pPr>
              <w:jc w:val="center"/>
              <w:rPr>
                <w:color w:val="000000"/>
                <w:sz w:val="20"/>
                <w:szCs w:val="20"/>
              </w:rPr>
            </w:pPr>
            <w:r>
              <w:rPr>
                <w:color w:val="000000"/>
                <w:sz w:val="20"/>
                <w:szCs w:val="20"/>
              </w:rPr>
              <w:t>Một mặt tiền</w:t>
            </w:r>
          </w:p>
        </w:tc>
        <w:tc>
          <w:tcPr>
            <w:tcW w:w="1198" w:type="dxa"/>
            <w:noWrap/>
            <w:vAlign w:val="center"/>
          </w:tcPr>
          <w:p w14:paraId="67AA88B6">
            <w:pPr>
              <w:jc w:val="center"/>
              <w:rPr>
                <w:color w:val="000000"/>
                <w:sz w:val="20"/>
                <w:szCs w:val="20"/>
              </w:rPr>
            </w:pPr>
            <w:r>
              <w:rPr>
                <w:color w:val="000000"/>
                <w:sz w:val="20"/>
                <w:szCs w:val="20"/>
              </w:rPr>
              <w:t>11.800.000</w:t>
            </w:r>
          </w:p>
        </w:tc>
        <w:tc>
          <w:tcPr>
            <w:tcW w:w="1236" w:type="dxa"/>
            <w:noWrap/>
            <w:vAlign w:val="center"/>
          </w:tcPr>
          <w:p w14:paraId="144B8A82">
            <w:pPr>
              <w:jc w:val="center"/>
              <w:rPr>
                <w:color w:val="000000"/>
                <w:sz w:val="20"/>
                <w:szCs w:val="20"/>
              </w:rPr>
            </w:pPr>
            <w:r>
              <w:rPr>
                <w:color w:val="000000"/>
                <w:sz w:val="20"/>
                <w:szCs w:val="20"/>
              </w:rPr>
              <w:t>12.579.000</w:t>
            </w:r>
          </w:p>
        </w:tc>
        <w:tc>
          <w:tcPr>
            <w:tcW w:w="1252" w:type="dxa"/>
            <w:noWrap/>
            <w:vAlign w:val="center"/>
          </w:tcPr>
          <w:p w14:paraId="310D4F48">
            <w:pPr>
              <w:jc w:val="center"/>
              <w:rPr>
                <w:color w:val="000000"/>
                <w:sz w:val="20"/>
                <w:szCs w:val="20"/>
              </w:rPr>
            </w:pPr>
            <w:r>
              <w:rPr>
                <w:color w:val="000000"/>
                <w:sz w:val="20"/>
                <w:szCs w:val="20"/>
              </w:rPr>
              <w:t>24.379.000</w:t>
            </w:r>
          </w:p>
        </w:tc>
        <w:tc>
          <w:tcPr>
            <w:tcW w:w="1848" w:type="dxa"/>
            <w:noWrap/>
            <w:vAlign w:val="center"/>
          </w:tcPr>
          <w:p w14:paraId="66A73D85">
            <w:pPr>
              <w:jc w:val="center"/>
              <w:rPr>
                <w:color w:val="000000"/>
                <w:sz w:val="20"/>
                <w:szCs w:val="20"/>
              </w:rPr>
            </w:pPr>
            <w:r>
              <w:rPr>
                <w:color w:val="000000"/>
                <w:sz w:val="20"/>
                <w:szCs w:val="20"/>
              </w:rPr>
              <w:t>2.194.110.000</w:t>
            </w:r>
          </w:p>
        </w:tc>
      </w:tr>
      <w:tr w14:paraId="79F0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2E7B43">
            <w:pPr>
              <w:jc w:val="center"/>
              <w:rPr>
                <w:b/>
                <w:bCs/>
                <w:color w:val="000000"/>
                <w:sz w:val="20"/>
                <w:szCs w:val="20"/>
              </w:rPr>
            </w:pPr>
            <w:r>
              <w:rPr>
                <w:b/>
                <w:bCs/>
                <w:color w:val="000000"/>
                <w:sz w:val="20"/>
                <w:szCs w:val="20"/>
              </w:rPr>
              <w:t>LK07</w:t>
            </w:r>
          </w:p>
        </w:tc>
        <w:tc>
          <w:tcPr>
            <w:tcW w:w="1802" w:type="dxa"/>
            <w:vAlign w:val="center"/>
          </w:tcPr>
          <w:p w14:paraId="5A3BA1A4">
            <w:pPr>
              <w:jc w:val="center"/>
              <w:rPr>
                <w:color w:val="000000"/>
                <w:sz w:val="20"/>
                <w:szCs w:val="20"/>
              </w:rPr>
            </w:pPr>
            <w:r>
              <w:rPr>
                <w:color w:val="000000"/>
                <w:sz w:val="20"/>
                <w:szCs w:val="20"/>
              </w:rPr>
              <w:t>LK07:09</w:t>
            </w:r>
          </w:p>
        </w:tc>
        <w:tc>
          <w:tcPr>
            <w:tcW w:w="1033" w:type="dxa"/>
            <w:noWrap/>
            <w:vAlign w:val="center"/>
          </w:tcPr>
          <w:p w14:paraId="3CB4E46C">
            <w:pPr>
              <w:jc w:val="center"/>
              <w:rPr>
                <w:color w:val="000000"/>
                <w:sz w:val="20"/>
                <w:szCs w:val="20"/>
              </w:rPr>
            </w:pPr>
            <w:r>
              <w:rPr>
                <w:color w:val="000000"/>
                <w:sz w:val="20"/>
                <w:szCs w:val="20"/>
              </w:rPr>
              <w:t>105,90</w:t>
            </w:r>
          </w:p>
        </w:tc>
        <w:tc>
          <w:tcPr>
            <w:tcW w:w="846" w:type="dxa"/>
            <w:noWrap/>
            <w:vAlign w:val="center"/>
          </w:tcPr>
          <w:p w14:paraId="02ABE6E5">
            <w:pPr>
              <w:jc w:val="center"/>
              <w:rPr>
                <w:color w:val="000000"/>
                <w:sz w:val="20"/>
                <w:szCs w:val="20"/>
              </w:rPr>
            </w:pPr>
            <w:r>
              <w:rPr>
                <w:color w:val="000000"/>
                <w:sz w:val="20"/>
                <w:szCs w:val="20"/>
              </w:rPr>
              <w:t>1</w:t>
            </w:r>
          </w:p>
        </w:tc>
        <w:tc>
          <w:tcPr>
            <w:tcW w:w="2578" w:type="dxa"/>
            <w:noWrap/>
            <w:vAlign w:val="center"/>
          </w:tcPr>
          <w:p w14:paraId="17C582A3">
            <w:pPr>
              <w:jc w:val="center"/>
              <w:rPr>
                <w:color w:val="000000"/>
                <w:sz w:val="20"/>
                <w:szCs w:val="20"/>
              </w:rPr>
            </w:pPr>
            <w:r>
              <w:rPr>
                <w:color w:val="000000"/>
                <w:sz w:val="20"/>
                <w:szCs w:val="20"/>
              </w:rPr>
              <w:t>Mặt cắt 1-1</w:t>
            </w:r>
          </w:p>
        </w:tc>
        <w:tc>
          <w:tcPr>
            <w:tcW w:w="2393" w:type="dxa"/>
            <w:noWrap/>
            <w:vAlign w:val="center"/>
          </w:tcPr>
          <w:p w14:paraId="0F315779">
            <w:pPr>
              <w:jc w:val="center"/>
              <w:rPr>
                <w:color w:val="000000"/>
                <w:sz w:val="20"/>
                <w:szCs w:val="20"/>
              </w:rPr>
            </w:pPr>
            <w:r>
              <w:rPr>
                <w:color w:val="000000"/>
                <w:sz w:val="20"/>
                <w:szCs w:val="20"/>
              </w:rPr>
              <w:t>Một mặt tiền</w:t>
            </w:r>
          </w:p>
        </w:tc>
        <w:tc>
          <w:tcPr>
            <w:tcW w:w="1198" w:type="dxa"/>
            <w:noWrap/>
            <w:vAlign w:val="center"/>
          </w:tcPr>
          <w:p w14:paraId="72F58689">
            <w:pPr>
              <w:jc w:val="center"/>
              <w:rPr>
                <w:color w:val="000000"/>
                <w:sz w:val="20"/>
                <w:szCs w:val="20"/>
              </w:rPr>
            </w:pPr>
            <w:r>
              <w:rPr>
                <w:color w:val="000000"/>
                <w:sz w:val="20"/>
                <w:szCs w:val="20"/>
              </w:rPr>
              <w:t>11.800.000</w:t>
            </w:r>
          </w:p>
        </w:tc>
        <w:tc>
          <w:tcPr>
            <w:tcW w:w="1236" w:type="dxa"/>
            <w:noWrap/>
            <w:vAlign w:val="center"/>
          </w:tcPr>
          <w:p w14:paraId="50371DD8">
            <w:pPr>
              <w:jc w:val="center"/>
              <w:rPr>
                <w:color w:val="000000"/>
                <w:sz w:val="20"/>
                <w:szCs w:val="20"/>
              </w:rPr>
            </w:pPr>
            <w:r>
              <w:rPr>
                <w:color w:val="000000"/>
                <w:sz w:val="20"/>
                <w:szCs w:val="20"/>
              </w:rPr>
              <w:t>12.579.000</w:t>
            </w:r>
          </w:p>
        </w:tc>
        <w:tc>
          <w:tcPr>
            <w:tcW w:w="1252" w:type="dxa"/>
            <w:noWrap/>
            <w:vAlign w:val="center"/>
          </w:tcPr>
          <w:p w14:paraId="6D80CCD8">
            <w:pPr>
              <w:jc w:val="center"/>
              <w:rPr>
                <w:color w:val="000000"/>
                <w:sz w:val="20"/>
                <w:szCs w:val="20"/>
              </w:rPr>
            </w:pPr>
            <w:r>
              <w:rPr>
                <w:color w:val="000000"/>
                <w:sz w:val="20"/>
                <w:szCs w:val="20"/>
              </w:rPr>
              <w:t>24.379.000</w:t>
            </w:r>
          </w:p>
        </w:tc>
        <w:tc>
          <w:tcPr>
            <w:tcW w:w="1848" w:type="dxa"/>
            <w:noWrap/>
            <w:vAlign w:val="center"/>
          </w:tcPr>
          <w:p w14:paraId="013F7176">
            <w:pPr>
              <w:jc w:val="center"/>
              <w:rPr>
                <w:color w:val="000000"/>
                <w:sz w:val="20"/>
                <w:szCs w:val="20"/>
              </w:rPr>
            </w:pPr>
            <w:r>
              <w:rPr>
                <w:color w:val="000000"/>
                <w:sz w:val="20"/>
                <w:szCs w:val="20"/>
              </w:rPr>
              <w:t>2.581.736.100</w:t>
            </w:r>
          </w:p>
        </w:tc>
      </w:tr>
      <w:tr w14:paraId="6CA8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4BBF960">
            <w:pPr>
              <w:jc w:val="center"/>
              <w:rPr>
                <w:b/>
                <w:bCs/>
                <w:color w:val="000000"/>
                <w:sz w:val="20"/>
                <w:szCs w:val="20"/>
              </w:rPr>
            </w:pPr>
            <w:r>
              <w:rPr>
                <w:b/>
                <w:bCs/>
                <w:color w:val="000000"/>
                <w:sz w:val="20"/>
                <w:szCs w:val="20"/>
              </w:rPr>
              <w:t>LK12</w:t>
            </w:r>
          </w:p>
        </w:tc>
        <w:tc>
          <w:tcPr>
            <w:tcW w:w="1802" w:type="dxa"/>
            <w:vAlign w:val="center"/>
          </w:tcPr>
          <w:p w14:paraId="0A5A8390">
            <w:pPr>
              <w:jc w:val="center"/>
              <w:rPr>
                <w:color w:val="000000"/>
                <w:sz w:val="20"/>
                <w:szCs w:val="20"/>
              </w:rPr>
            </w:pPr>
            <w:r>
              <w:rPr>
                <w:color w:val="000000"/>
                <w:sz w:val="20"/>
                <w:szCs w:val="20"/>
              </w:rPr>
              <w:t>LK12:01</w:t>
            </w:r>
          </w:p>
        </w:tc>
        <w:tc>
          <w:tcPr>
            <w:tcW w:w="1033" w:type="dxa"/>
            <w:noWrap/>
            <w:vAlign w:val="center"/>
          </w:tcPr>
          <w:p w14:paraId="4D75DAD1">
            <w:pPr>
              <w:jc w:val="center"/>
              <w:rPr>
                <w:color w:val="000000"/>
                <w:sz w:val="20"/>
                <w:szCs w:val="20"/>
              </w:rPr>
            </w:pPr>
            <w:r>
              <w:rPr>
                <w:color w:val="000000"/>
                <w:sz w:val="20"/>
                <w:szCs w:val="20"/>
              </w:rPr>
              <w:t>92,97</w:t>
            </w:r>
          </w:p>
        </w:tc>
        <w:tc>
          <w:tcPr>
            <w:tcW w:w="846" w:type="dxa"/>
            <w:noWrap/>
            <w:vAlign w:val="center"/>
          </w:tcPr>
          <w:p w14:paraId="3D5863E9">
            <w:pPr>
              <w:jc w:val="center"/>
              <w:rPr>
                <w:color w:val="000000"/>
                <w:sz w:val="20"/>
                <w:szCs w:val="20"/>
              </w:rPr>
            </w:pPr>
            <w:r>
              <w:rPr>
                <w:color w:val="000000"/>
                <w:sz w:val="20"/>
                <w:szCs w:val="20"/>
              </w:rPr>
              <w:t>1</w:t>
            </w:r>
          </w:p>
        </w:tc>
        <w:tc>
          <w:tcPr>
            <w:tcW w:w="2578" w:type="dxa"/>
            <w:noWrap/>
            <w:vAlign w:val="center"/>
          </w:tcPr>
          <w:p w14:paraId="02FDAF46">
            <w:pPr>
              <w:jc w:val="center"/>
              <w:rPr>
                <w:color w:val="000000"/>
                <w:sz w:val="20"/>
                <w:szCs w:val="20"/>
              </w:rPr>
            </w:pPr>
            <w:r>
              <w:rPr>
                <w:color w:val="000000"/>
                <w:sz w:val="20"/>
                <w:szCs w:val="20"/>
              </w:rPr>
              <w:t>Mặt cắt 1-1</w:t>
            </w:r>
          </w:p>
        </w:tc>
        <w:tc>
          <w:tcPr>
            <w:tcW w:w="2393" w:type="dxa"/>
            <w:noWrap/>
            <w:vAlign w:val="center"/>
          </w:tcPr>
          <w:p w14:paraId="5939CACC">
            <w:pPr>
              <w:jc w:val="center"/>
              <w:rPr>
                <w:color w:val="000000"/>
                <w:sz w:val="20"/>
                <w:szCs w:val="20"/>
              </w:rPr>
            </w:pPr>
            <w:r>
              <w:rPr>
                <w:color w:val="000000"/>
                <w:sz w:val="20"/>
                <w:szCs w:val="20"/>
              </w:rPr>
              <w:t>Một mặt tiền</w:t>
            </w:r>
          </w:p>
        </w:tc>
        <w:tc>
          <w:tcPr>
            <w:tcW w:w="1198" w:type="dxa"/>
            <w:noWrap/>
            <w:vAlign w:val="center"/>
          </w:tcPr>
          <w:p w14:paraId="1925E10F">
            <w:pPr>
              <w:jc w:val="center"/>
              <w:rPr>
                <w:color w:val="000000"/>
                <w:sz w:val="20"/>
                <w:szCs w:val="20"/>
              </w:rPr>
            </w:pPr>
            <w:r>
              <w:rPr>
                <w:color w:val="000000"/>
                <w:sz w:val="20"/>
                <w:szCs w:val="20"/>
              </w:rPr>
              <w:t>11.800.000</w:t>
            </w:r>
          </w:p>
        </w:tc>
        <w:tc>
          <w:tcPr>
            <w:tcW w:w="1236" w:type="dxa"/>
            <w:noWrap/>
            <w:vAlign w:val="center"/>
          </w:tcPr>
          <w:p w14:paraId="5D37CAF9">
            <w:pPr>
              <w:jc w:val="center"/>
              <w:rPr>
                <w:color w:val="000000"/>
                <w:sz w:val="20"/>
                <w:szCs w:val="20"/>
              </w:rPr>
            </w:pPr>
            <w:r>
              <w:rPr>
                <w:color w:val="000000"/>
                <w:sz w:val="20"/>
                <w:szCs w:val="20"/>
              </w:rPr>
              <w:t>12.579.000</w:t>
            </w:r>
          </w:p>
        </w:tc>
        <w:tc>
          <w:tcPr>
            <w:tcW w:w="1252" w:type="dxa"/>
            <w:noWrap/>
            <w:vAlign w:val="center"/>
          </w:tcPr>
          <w:p w14:paraId="40729A15">
            <w:pPr>
              <w:jc w:val="center"/>
              <w:rPr>
                <w:color w:val="000000"/>
                <w:sz w:val="20"/>
                <w:szCs w:val="20"/>
              </w:rPr>
            </w:pPr>
            <w:r>
              <w:rPr>
                <w:color w:val="000000"/>
                <w:sz w:val="20"/>
                <w:szCs w:val="20"/>
              </w:rPr>
              <w:t>24.379.000</w:t>
            </w:r>
          </w:p>
        </w:tc>
        <w:tc>
          <w:tcPr>
            <w:tcW w:w="1848" w:type="dxa"/>
            <w:noWrap/>
            <w:vAlign w:val="center"/>
          </w:tcPr>
          <w:p w14:paraId="078DF97D">
            <w:pPr>
              <w:jc w:val="center"/>
              <w:rPr>
                <w:color w:val="000000"/>
                <w:sz w:val="20"/>
                <w:szCs w:val="20"/>
              </w:rPr>
            </w:pPr>
            <w:r>
              <w:rPr>
                <w:color w:val="000000"/>
                <w:sz w:val="20"/>
                <w:szCs w:val="20"/>
              </w:rPr>
              <w:t>2.266.515.630</w:t>
            </w:r>
          </w:p>
        </w:tc>
      </w:tr>
      <w:tr w14:paraId="6F10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782FE65">
            <w:pPr>
              <w:jc w:val="center"/>
              <w:rPr>
                <w:b/>
                <w:bCs/>
                <w:color w:val="000000"/>
                <w:sz w:val="20"/>
                <w:szCs w:val="20"/>
              </w:rPr>
            </w:pPr>
            <w:r>
              <w:rPr>
                <w:b/>
                <w:bCs/>
                <w:color w:val="000000"/>
                <w:sz w:val="20"/>
                <w:szCs w:val="20"/>
              </w:rPr>
              <w:t>LK12</w:t>
            </w:r>
          </w:p>
        </w:tc>
        <w:tc>
          <w:tcPr>
            <w:tcW w:w="1802" w:type="dxa"/>
            <w:vAlign w:val="center"/>
          </w:tcPr>
          <w:p w14:paraId="676638A3">
            <w:pPr>
              <w:jc w:val="center"/>
              <w:rPr>
                <w:color w:val="000000"/>
                <w:sz w:val="20"/>
                <w:szCs w:val="20"/>
              </w:rPr>
            </w:pPr>
            <w:r>
              <w:rPr>
                <w:color w:val="000000"/>
                <w:sz w:val="20"/>
                <w:szCs w:val="20"/>
              </w:rPr>
              <w:t>LK12:02</w:t>
            </w:r>
          </w:p>
        </w:tc>
        <w:tc>
          <w:tcPr>
            <w:tcW w:w="1033" w:type="dxa"/>
            <w:noWrap/>
            <w:vAlign w:val="center"/>
          </w:tcPr>
          <w:p w14:paraId="5797BE26">
            <w:pPr>
              <w:jc w:val="center"/>
              <w:rPr>
                <w:color w:val="000000"/>
                <w:sz w:val="20"/>
                <w:szCs w:val="20"/>
              </w:rPr>
            </w:pPr>
            <w:r>
              <w:rPr>
                <w:color w:val="000000"/>
                <w:sz w:val="20"/>
                <w:szCs w:val="20"/>
              </w:rPr>
              <w:t>90,10</w:t>
            </w:r>
          </w:p>
        </w:tc>
        <w:tc>
          <w:tcPr>
            <w:tcW w:w="846" w:type="dxa"/>
            <w:noWrap/>
            <w:vAlign w:val="center"/>
          </w:tcPr>
          <w:p w14:paraId="73669816">
            <w:pPr>
              <w:jc w:val="center"/>
              <w:rPr>
                <w:color w:val="000000"/>
                <w:sz w:val="20"/>
                <w:szCs w:val="20"/>
              </w:rPr>
            </w:pPr>
            <w:r>
              <w:rPr>
                <w:color w:val="000000"/>
                <w:sz w:val="20"/>
                <w:szCs w:val="20"/>
              </w:rPr>
              <w:t>1</w:t>
            </w:r>
          </w:p>
        </w:tc>
        <w:tc>
          <w:tcPr>
            <w:tcW w:w="2578" w:type="dxa"/>
            <w:noWrap/>
            <w:vAlign w:val="center"/>
          </w:tcPr>
          <w:p w14:paraId="41E56D7E">
            <w:pPr>
              <w:jc w:val="center"/>
              <w:rPr>
                <w:color w:val="000000"/>
                <w:sz w:val="20"/>
                <w:szCs w:val="20"/>
              </w:rPr>
            </w:pPr>
            <w:r>
              <w:rPr>
                <w:color w:val="000000"/>
                <w:sz w:val="20"/>
                <w:szCs w:val="20"/>
              </w:rPr>
              <w:t>Mặt cắt 1-1</w:t>
            </w:r>
          </w:p>
        </w:tc>
        <w:tc>
          <w:tcPr>
            <w:tcW w:w="2393" w:type="dxa"/>
            <w:noWrap/>
            <w:vAlign w:val="center"/>
          </w:tcPr>
          <w:p w14:paraId="19A64B06">
            <w:pPr>
              <w:jc w:val="center"/>
              <w:rPr>
                <w:color w:val="000000"/>
                <w:sz w:val="20"/>
                <w:szCs w:val="20"/>
              </w:rPr>
            </w:pPr>
            <w:r>
              <w:rPr>
                <w:color w:val="000000"/>
                <w:sz w:val="20"/>
                <w:szCs w:val="20"/>
              </w:rPr>
              <w:t>Một mặt tiền</w:t>
            </w:r>
          </w:p>
        </w:tc>
        <w:tc>
          <w:tcPr>
            <w:tcW w:w="1198" w:type="dxa"/>
            <w:noWrap/>
            <w:vAlign w:val="center"/>
          </w:tcPr>
          <w:p w14:paraId="1B98ED43">
            <w:pPr>
              <w:jc w:val="center"/>
              <w:rPr>
                <w:color w:val="000000"/>
                <w:sz w:val="20"/>
                <w:szCs w:val="20"/>
              </w:rPr>
            </w:pPr>
            <w:r>
              <w:rPr>
                <w:color w:val="000000"/>
                <w:sz w:val="20"/>
                <w:szCs w:val="20"/>
              </w:rPr>
              <w:t>11.800.000</w:t>
            </w:r>
          </w:p>
        </w:tc>
        <w:tc>
          <w:tcPr>
            <w:tcW w:w="1236" w:type="dxa"/>
            <w:noWrap/>
            <w:vAlign w:val="center"/>
          </w:tcPr>
          <w:p w14:paraId="54D2F323">
            <w:pPr>
              <w:jc w:val="center"/>
              <w:rPr>
                <w:color w:val="000000"/>
                <w:sz w:val="20"/>
                <w:szCs w:val="20"/>
              </w:rPr>
            </w:pPr>
            <w:r>
              <w:rPr>
                <w:color w:val="000000"/>
                <w:sz w:val="20"/>
                <w:szCs w:val="20"/>
              </w:rPr>
              <w:t>12.579.000</w:t>
            </w:r>
          </w:p>
        </w:tc>
        <w:tc>
          <w:tcPr>
            <w:tcW w:w="1252" w:type="dxa"/>
            <w:noWrap/>
            <w:vAlign w:val="center"/>
          </w:tcPr>
          <w:p w14:paraId="3BC670B7">
            <w:pPr>
              <w:jc w:val="center"/>
              <w:rPr>
                <w:color w:val="000000"/>
                <w:sz w:val="20"/>
                <w:szCs w:val="20"/>
              </w:rPr>
            </w:pPr>
            <w:r>
              <w:rPr>
                <w:color w:val="000000"/>
                <w:sz w:val="20"/>
                <w:szCs w:val="20"/>
              </w:rPr>
              <w:t>24.379.000</w:t>
            </w:r>
          </w:p>
        </w:tc>
        <w:tc>
          <w:tcPr>
            <w:tcW w:w="1848" w:type="dxa"/>
            <w:noWrap/>
            <w:vAlign w:val="center"/>
          </w:tcPr>
          <w:p w14:paraId="46DEDEA4">
            <w:pPr>
              <w:jc w:val="center"/>
              <w:rPr>
                <w:color w:val="000000"/>
                <w:sz w:val="20"/>
                <w:szCs w:val="20"/>
              </w:rPr>
            </w:pPr>
            <w:r>
              <w:rPr>
                <w:color w:val="000000"/>
                <w:sz w:val="20"/>
                <w:szCs w:val="20"/>
              </w:rPr>
              <w:t>2.196.547.900</w:t>
            </w:r>
          </w:p>
        </w:tc>
      </w:tr>
      <w:tr w14:paraId="338B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901C7CE">
            <w:pPr>
              <w:jc w:val="center"/>
              <w:rPr>
                <w:b/>
                <w:bCs/>
                <w:color w:val="000000"/>
                <w:sz w:val="20"/>
                <w:szCs w:val="20"/>
              </w:rPr>
            </w:pPr>
            <w:r>
              <w:rPr>
                <w:b/>
                <w:bCs/>
                <w:color w:val="000000"/>
                <w:sz w:val="20"/>
                <w:szCs w:val="20"/>
              </w:rPr>
              <w:t>LK12</w:t>
            </w:r>
          </w:p>
        </w:tc>
        <w:tc>
          <w:tcPr>
            <w:tcW w:w="1802" w:type="dxa"/>
            <w:vAlign w:val="center"/>
          </w:tcPr>
          <w:p w14:paraId="345B1B34">
            <w:pPr>
              <w:jc w:val="center"/>
              <w:rPr>
                <w:color w:val="000000"/>
                <w:sz w:val="20"/>
                <w:szCs w:val="20"/>
              </w:rPr>
            </w:pPr>
            <w:r>
              <w:rPr>
                <w:color w:val="000000"/>
                <w:sz w:val="20"/>
                <w:szCs w:val="20"/>
              </w:rPr>
              <w:t>LK12:03</w:t>
            </w:r>
          </w:p>
        </w:tc>
        <w:tc>
          <w:tcPr>
            <w:tcW w:w="1033" w:type="dxa"/>
            <w:noWrap/>
            <w:vAlign w:val="center"/>
          </w:tcPr>
          <w:p w14:paraId="262F6CEA">
            <w:pPr>
              <w:jc w:val="center"/>
              <w:rPr>
                <w:color w:val="000000"/>
                <w:sz w:val="20"/>
                <w:szCs w:val="20"/>
              </w:rPr>
            </w:pPr>
            <w:r>
              <w:rPr>
                <w:color w:val="000000"/>
                <w:sz w:val="20"/>
                <w:szCs w:val="20"/>
              </w:rPr>
              <w:t>89,99</w:t>
            </w:r>
          </w:p>
        </w:tc>
        <w:tc>
          <w:tcPr>
            <w:tcW w:w="846" w:type="dxa"/>
            <w:noWrap/>
            <w:vAlign w:val="center"/>
          </w:tcPr>
          <w:p w14:paraId="04720A61">
            <w:pPr>
              <w:jc w:val="center"/>
              <w:rPr>
                <w:color w:val="000000"/>
                <w:sz w:val="20"/>
                <w:szCs w:val="20"/>
              </w:rPr>
            </w:pPr>
            <w:r>
              <w:rPr>
                <w:color w:val="000000"/>
                <w:sz w:val="20"/>
                <w:szCs w:val="20"/>
              </w:rPr>
              <w:t>1</w:t>
            </w:r>
          </w:p>
        </w:tc>
        <w:tc>
          <w:tcPr>
            <w:tcW w:w="2578" w:type="dxa"/>
            <w:noWrap/>
            <w:vAlign w:val="center"/>
          </w:tcPr>
          <w:p w14:paraId="2604D5A6">
            <w:pPr>
              <w:jc w:val="center"/>
              <w:rPr>
                <w:color w:val="000000"/>
                <w:sz w:val="20"/>
                <w:szCs w:val="20"/>
              </w:rPr>
            </w:pPr>
            <w:r>
              <w:rPr>
                <w:color w:val="000000"/>
                <w:sz w:val="20"/>
                <w:szCs w:val="20"/>
              </w:rPr>
              <w:t>Mặt cắt 1-1</w:t>
            </w:r>
          </w:p>
        </w:tc>
        <w:tc>
          <w:tcPr>
            <w:tcW w:w="2393" w:type="dxa"/>
            <w:noWrap/>
            <w:vAlign w:val="center"/>
          </w:tcPr>
          <w:p w14:paraId="228513CE">
            <w:pPr>
              <w:jc w:val="center"/>
              <w:rPr>
                <w:color w:val="000000"/>
                <w:sz w:val="20"/>
                <w:szCs w:val="20"/>
              </w:rPr>
            </w:pPr>
            <w:r>
              <w:rPr>
                <w:color w:val="000000"/>
                <w:sz w:val="20"/>
                <w:szCs w:val="20"/>
              </w:rPr>
              <w:t>Một mặt tiền</w:t>
            </w:r>
          </w:p>
        </w:tc>
        <w:tc>
          <w:tcPr>
            <w:tcW w:w="1198" w:type="dxa"/>
            <w:noWrap/>
            <w:vAlign w:val="center"/>
          </w:tcPr>
          <w:p w14:paraId="665578C9">
            <w:pPr>
              <w:jc w:val="center"/>
              <w:rPr>
                <w:color w:val="000000"/>
                <w:sz w:val="20"/>
                <w:szCs w:val="20"/>
              </w:rPr>
            </w:pPr>
            <w:r>
              <w:rPr>
                <w:color w:val="000000"/>
                <w:sz w:val="20"/>
                <w:szCs w:val="20"/>
              </w:rPr>
              <w:t>11.800.000</w:t>
            </w:r>
          </w:p>
        </w:tc>
        <w:tc>
          <w:tcPr>
            <w:tcW w:w="1236" w:type="dxa"/>
            <w:noWrap/>
            <w:vAlign w:val="center"/>
          </w:tcPr>
          <w:p w14:paraId="7807A4A3">
            <w:pPr>
              <w:jc w:val="center"/>
              <w:rPr>
                <w:color w:val="000000"/>
                <w:sz w:val="20"/>
                <w:szCs w:val="20"/>
              </w:rPr>
            </w:pPr>
            <w:r>
              <w:rPr>
                <w:color w:val="000000"/>
                <w:sz w:val="20"/>
                <w:szCs w:val="20"/>
              </w:rPr>
              <w:t>12.579.000</w:t>
            </w:r>
          </w:p>
        </w:tc>
        <w:tc>
          <w:tcPr>
            <w:tcW w:w="1252" w:type="dxa"/>
            <w:noWrap/>
            <w:vAlign w:val="center"/>
          </w:tcPr>
          <w:p w14:paraId="5843F773">
            <w:pPr>
              <w:jc w:val="center"/>
              <w:rPr>
                <w:color w:val="000000"/>
                <w:sz w:val="20"/>
                <w:szCs w:val="20"/>
              </w:rPr>
            </w:pPr>
            <w:r>
              <w:rPr>
                <w:color w:val="000000"/>
                <w:sz w:val="20"/>
                <w:szCs w:val="20"/>
              </w:rPr>
              <w:t>24.379.000</w:t>
            </w:r>
          </w:p>
        </w:tc>
        <w:tc>
          <w:tcPr>
            <w:tcW w:w="1848" w:type="dxa"/>
            <w:noWrap/>
            <w:vAlign w:val="center"/>
          </w:tcPr>
          <w:p w14:paraId="4278E8E5">
            <w:pPr>
              <w:jc w:val="center"/>
              <w:rPr>
                <w:color w:val="000000"/>
                <w:sz w:val="20"/>
                <w:szCs w:val="20"/>
              </w:rPr>
            </w:pPr>
            <w:r>
              <w:rPr>
                <w:color w:val="000000"/>
                <w:sz w:val="20"/>
                <w:szCs w:val="20"/>
              </w:rPr>
              <w:t>2.193.866.210</w:t>
            </w:r>
          </w:p>
        </w:tc>
      </w:tr>
      <w:tr w14:paraId="246D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5B50382">
            <w:pPr>
              <w:jc w:val="center"/>
              <w:rPr>
                <w:b/>
                <w:bCs/>
                <w:color w:val="000000"/>
                <w:sz w:val="20"/>
                <w:szCs w:val="20"/>
              </w:rPr>
            </w:pPr>
            <w:r>
              <w:rPr>
                <w:b/>
                <w:bCs/>
                <w:color w:val="000000"/>
                <w:sz w:val="20"/>
                <w:szCs w:val="20"/>
              </w:rPr>
              <w:t>LK12</w:t>
            </w:r>
          </w:p>
        </w:tc>
        <w:tc>
          <w:tcPr>
            <w:tcW w:w="1802" w:type="dxa"/>
            <w:vAlign w:val="center"/>
          </w:tcPr>
          <w:p w14:paraId="0C544063">
            <w:pPr>
              <w:jc w:val="center"/>
              <w:rPr>
                <w:color w:val="000000"/>
                <w:sz w:val="20"/>
                <w:szCs w:val="20"/>
              </w:rPr>
            </w:pPr>
            <w:r>
              <w:rPr>
                <w:color w:val="000000"/>
                <w:sz w:val="20"/>
                <w:szCs w:val="20"/>
              </w:rPr>
              <w:t>LK12:04</w:t>
            </w:r>
          </w:p>
        </w:tc>
        <w:tc>
          <w:tcPr>
            <w:tcW w:w="1033" w:type="dxa"/>
            <w:noWrap/>
            <w:vAlign w:val="center"/>
          </w:tcPr>
          <w:p w14:paraId="1736C53F">
            <w:pPr>
              <w:jc w:val="center"/>
              <w:rPr>
                <w:color w:val="000000"/>
                <w:sz w:val="20"/>
                <w:szCs w:val="20"/>
              </w:rPr>
            </w:pPr>
            <w:r>
              <w:rPr>
                <w:color w:val="000000"/>
                <w:sz w:val="20"/>
                <w:szCs w:val="20"/>
              </w:rPr>
              <w:t>89,99</w:t>
            </w:r>
          </w:p>
        </w:tc>
        <w:tc>
          <w:tcPr>
            <w:tcW w:w="846" w:type="dxa"/>
            <w:noWrap/>
            <w:vAlign w:val="center"/>
          </w:tcPr>
          <w:p w14:paraId="2B39CCF7">
            <w:pPr>
              <w:jc w:val="center"/>
              <w:rPr>
                <w:color w:val="000000"/>
                <w:sz w:val="20"/>
                <w:szCs w:val="20"/>
              </w:rPr>
            </w:pPr>
            <w:r>
              <w:rPr>
                <w:color w:val="000000"/>
                <w:sz w:val="20"/>
                <w:szCs w:val="20"/>
              </w:rPr>
              <w:t>1</w:t>
            </w:r>
          </w:p>
        </w:tc>
        <w:tc>
          <w:tcPr>
            <w:tcW w:w="2578" w:type="dxa"/>
            <w:noWrap/>
            <w:vAlign w:val="center"/>
          </w:tcPr>
          <w:p w14:paraId="6378F9B8">
            <w:pPr>
              <w:jc w:val="center"/>
              <w:rPr>
                <w:color w:val="000000"/>
                <w:sz w:val="20"/>
                <w:szCs w:val="20"/>
              </w:rPr>
            </w:pPr>
            <w:r>
              <w:rPr>
                <w:color w:val="000000"/>
                <w:sz w:val="20"/>
                <w:szCs w:val="20"/>
              </w:rPr>
              <w:t>Mặt cắt 1-1</w:t>
            </w:r>
          </w:p>
        </w:tc>
        <w:tc>
          <w:tcPr>
            <w:tcW w:w="2393" w:type="dxa"/>
            <w:noWrap/>
            <w:vAlign w:val="center"/>
          </w:tcPr>
          <w:p w14:paraId="3310E774">
            <w:pPr>
              <w:jc w:val="center"/>
              <w:rPr>
                <w:color w:val="000000"/>
                <w:sz w:val="20"/>
                <w:szCs w:val="20"/>
              </w:rPr>
            </w:pPr>
            <w:r>
              <w:rPr>
                <w:color w:val="000000"/>
                <w:sz w:val="20"/>
                <w:szCs w:val="20"/>
              </w:rPr>
              <w:t>Một mặt tiền</w:t>
            </w:r>
          </w:p>
        </w:tc>
        <w:tc>
          <w:tcPr>
            <w:tcW w:w="1198" w:type="dxa"/>
            <w:noWrap/>
            <w:vAlign w:val="center"/>
          </w:tcPr>
          <w:p w14:paraId="2A8C1E4A">
            <w:pPr>
              <w:jc w:val="center"/>
              <w:rPr>
                <w:color w:val="000000"/>
                <w:sz w:val="20"/>
                <w:szCs w:val="20"/>
              </w:rPr>
            </w:pPr>
            <w:r>
              <w:rPr>
                <w:color w:val="000000"/>
                <w:sz w:val="20"/>
                <w:szCs w:val="20"/>
              </w:rPr>
              <w:t>11.800.000</w:t>
            </w:r>
          </w:p>
        </w:tc>
        <w:tc>
          <w:tcPr>
            <w:tcW w:w="1236" w:type="dxa"/>
            <w:noWrap/>
            <w:vAlign w:val="center"/>
          </w:tcPr>
          <w:p w14:paraId="5C72CBDB">
            <w:pPr>
              <w:jc w:val="center"/>
              <w:rPr>
                <w:color w:val="000000"/>
                <w:sz w:val="20"/>
                <w:szCs w:val="20"/>
              </w:rPr>
            </w:pPr>
            <w:r>
              <w:rPr>
                <w:color w:val="000000"/>
                <w:sz w:val="20"/>
                <w:szCs w:val="20"/>
              </w:rPr>
              <w:t>12.579.000</w:t>
            </w:r>
          </w:p>
        </w:tc>
        <w:tc>
          <w:tcPr>
            <w:tcW w:w="1252" w:type="dxa"/>
            <w:noWrap/>
            <w:vAlign w:val="center"/>
          </w:tcPr>
          <w:p w14:paraId="3B037BA2">
            <w:pPr>
              <w:jc w:val="center"/>
              <w:rPr>
                <w:color w:val="000000"/>
                <w:sz w:val="20"/>
                <w:szCs w:val="20"/>
              </w:rPr>
            </w:pPr>
            <w:r>
              <w:rPr>
                <w:color w:val="000000"/>
                <w:sz w:val="20"/>
                <w:szCs w:val="20"/>
              </w:rPr>
              <w:t>24.379.000</w:t>
            </w:r>
          </w:p>
        </w:tc>
        <w:tc>
          <w:tcPr>
            <w:tcW w:w="1848" w:type="dxa"/>
            <w:noWrap/>
            <w:vAlign w:val="center"/>
          </w:tcPr>
          <w:p w14:paraId="0FAABEFC">
            <w:pPr>
              <w:jc w:val="center"/>
              <w:rPr>
                <w:color w:val="000000"/>
                <w:sz w:val="20"/>
                <w:szCs w:val="20"/>
              </w:rPr>
            </w:pPr>
            <w:r>
              <w:rPr>
                <w:color w:val="000000"/>
                <w:sz w:val="20"/>
                <w:szCs w:val="20"/>
              </w:rPr>
              <w:t>2.193.866.210</w:t>
            </w:r>
          </w:p>
        </w:tc>
      </w:tr>
      <w:tr w14:paraId="1A92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9000E3B">
            <w:pPr>
              <w:jc w:val="center"/>
              <w:rPr>
                <w:b/>
                <w:bCs/>
                <w:color w:val="000000"/>
                <w:sz w:val="20"/>
                <w:szCs w:val="20"/>
              </w:rPr>
            </w:pPr>
            <w:r>
              <w:rPr>
                <w:b/>
                <w:bCs/>
                <w:color w:val="000000"/>
                <w:sz w:val="20"/>
                <w:szCs w:val="20"/>
              </w:rPr>
              <w:t>LK12</w:t>
            </w:r>
          </w:p>
        </w:tc>
        <w:tc>
          <w:tcPr>
            <w:tcW w:w="1802" w:type="dxa"/>
            <w:vAlign w:val="center"/>
          </w:tcPr>
          <w:p w14:paraId="322EB4D7">
            <w:pPr>
              <w:jc w:val="center"/>
              <w:rPr>
                <w:color w:val="000000"/>
                <w:sz w:val="20"/>
                <w:szCs w:val="20"/>
              </w:rPr>
            </w:pPr>
            <w:r>
              <w:rPr>
                <w:color w:val="000000"/>
                <w:sz w:val="20"/>
                <w:szCs w:val="20"/>
              </w:rPr>
              <w:t>LK12:05</w:t>
            </w:r>
          </w:p>
        </w:tc>
        <w:tc>
          <w:tcPr>
            <w:tcW w:w="1033" w:type="dxa"/>
            <w:noWrap/>
            <w:vAlign w:val="center"/>
          </w:tcPr>
          <w:p w14:paraId="44DC79EA">
            <w:pPr>
              <w:jc w:val="center"/>
              <w:rPr>
                <w:color w:val="000000"/>
                <w:sz w:val="20"/>
                <w:szCs w:val="20"/>
              </w:rPr>
            </w:pPr>
            <w:r>
              <w:rPr>
                <w:color w:val="000000"/>
                <w:sz w:val="20"/>
                <w:szCs w:val="20"/>
              </w:rPr>
              <w:t>89,99</w:t>
            </w:r>
          </w:p>
        </w:tc>
        <w:tc>
          <w:tcPr>
            <w:tcW w:w="846" w:type="dxa"/>
            <w:noWrap/>
            <w:vAlign w:val="center"/>
          </w:tcPr>
          <w:p w14:paraId="593DEFBB">
            <w:pPr>
              <w:jc w:val="center"/>
              <w:rPr>
                <w:color w:val="000000"/>
                <w:sz w:val="20"/>
                <w:szCs w:val="20"/>
              </w:rPr>
            </w:pPr>
            <w:r>
              <w:rPr>
                <w:color w:val="000000"/>
                <w:sz w:val="20"/>
                <w:szCs w:val="20"/>
              </w:rPr>
              <w:t>1</w:t>
            </w:r>
          </w:p>
        </w:tc>
        <w:tc>
          <w:tcPr>
            <w:tcW w:w="2578" w:type="dxa"/>
            <w:noWrap/>
            <w:vAlign w:val="center"/>
          </w:tcPr>
          <w:p w14:paraId="3822BE16">
            <w:pPr>
              <w:jc w:val="center"/>
              <w:rPr>
                <w:color w:val="000000"/>
                <w:sz w:val="20"/>
                <w:szCs w:val="20"/>
              </w:rPr>
            </w:pPr>
            <w:r>
              <w:rPr>
                <w:color w:val="000000"/>
                <w:sz w:val="20"/>
                <w:szCs w:val="20"/>
              </w:rPr>
              <w:t>Mặt cắt 1-1</w:t>
            </w:r>
          </w:p>
        </w:tc>
        <w:tc>
          <w:tcPr>
            <w:tcW w:w="2393" w:type="dxa"/>
            <w:noWrap/>
            <w:vAlign w:val="center"/>
          </w:tcPr>
          <w:p w14:paraId="27E33413">
            <w:pPr>
              <w:jc w:val="center"/>
              <w:rPr>
                <w:color w:val="000000"/>
                <w:sz w:val="20"/>
                <w:szCs w:val="20"/>
              </w:rPr>
            </w:pPr>
            <w:r>
              <w:rPr>
                <w:color w:val="000000"/>
                <w:sz w:val="20"/>
                <w:szCs w:val="20"/>
              </w:rPr>
              <w:t>Một mặt tiền</w:t>
            </w:r>
          </w:p>
        </w:tc>
        <w:tc>
          <w:tcPr>
            <w:tcW w:w="1198" w:type="dxa"/>
            <w:noWrap/>
            <w:vAlign w:val="center"/>
          </w:tcPr>
          <w:p w14:paraId="52518DD3">
            <w:pPr>
              <w:jc w:val="center"/>
              <w:rPr>
                <w:color w:val="000000"/>
                <w:sz w:val="20"/>
                <w:szCs w:val="20"/>
              </w:rPr>
            </w:pPr>
            <w:r>
              <w:rPr>
                <w:color w:val="000000"/>
                <w:sz w:val="20"/>
                <w:szCs w:val="20"/>
              </w:rPr>
              <w:t>11.800.000</w:t>
            </w:r>
          </w:p>
        </w:tc>
        <w:tc>
          <w:tcPr>
            <w:tcW w:w="1236" w:type="dxa"/>
            <w:noWrap/>
            <w:vAlign w:val="center"/>
          </w:tcPr>
          <w:p w14:paraId="1DBAB816">
            <w:pPr>
              <w:jc w:val="center"/>
              <w:rPr>
                <w:color w:val="000000"/>
                <w:sz w:val="20"/>
                <w:szCs w:val="20"/>
              </w:rPr>
            </w:pPr>
            <w:r>
              <w:rPr>
                <w:color w:val="000000"/>
                <w:sz w:val="20"/>
                <w:szCs w:val="20"/>
              </w:rPr>
              <w:t>12.579.000</w:t>
            </w:r>
          </w:p>
        </w:tc>
        <w:tc>
          <w:tcPr>
            <w:tcW w:w="1252" w:type="dxa"/>
            <w:noWrap/>
            <w:vAlign w:val="center"/>
          </w:tcPr>
          <w:p w14:paraId="1F34F511">
            <w:pPr>
              <w:jc w:val="center"/>
              <w:rPr>
                <w:color w:val="000000"/>
                <w:sz w:val="20"/>
                <w:szCs w:val="20"/>
              </w:rPr>
            </w:pPr>
            <w:r>
              <w:rPr>
                <w:color w:val="000000"/>
                <w:sz w:val="20"/>
                <w:szCs w:val="20"/>
              </w:rPr>
              <w:t>24.379.000</w:t>
            </w:r>
          </w:p>
        </w:tc>
        <w:tc>
          <w:tcPr>
            <w:tcW w:w="1848" w:type="dxa"/>
            <w:noWrap/>
            <w:vAlign w:val="center"/>
          </w:tcPr>
          <w:p w14:paraId="4DAA552E">
            <w:pPr>
              <w:jc w:val="center"/>
              <w:rPr>
                <w:color w:val="000000"/>
                <w:sz w:val="20"/>
                <w:szCs w:val="20"/>
              </w:rPr>
            </w:pPr>
            <w:r>
              <w:rPr>
                <w:color w:val="000000"/>
                <w:sz w:val="20"/>
                <w:szCs w:val="20"/>
              </w:rPr>
              <w:t>2.193.866.210</w:t>
            </w:r>
          </w:p>
        </w:tc>
      </w:tr>
      <w:tr w14:paraId="2FC5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932F10A">
            <w:pPr>
              <w:jc w:val="center"/>
              <w:rPr>
                <w:b/>
                <w:bCs/>
                <w:color w:val="000000"/>
                <w:sz w:val="20"/>
                <w:szCs w:val="20"/>
              </w:rPr>
            </w:pPr>
            <w:r>
              <w:rPr>
                <w:b/>
                <w:bCs/>
                <w:color w:val="000000"/>
                <w:sz w:val="20"/>
                <w:szCs w:val="20"/>
              </w:rPr>
              <w:t>LK12</w:t>
            </w:r>
          </w:p>
        </w:tc>
        <w:tc>
          <w:tcPr>
            <w:tcW w:w="1802" w:type="dxa"/>
            <w:vAlign w:val="center"/>
          </w:tcPr>
          <w:p w14:paraId="0255CE6D">
            <w:pPr>
              <w:jc w:val="center"/>
              <w:rPr>
                <w:color w:val="000000"/>
                <w:sz w:val="20"/>
                <w:szCs w:val="20"/>
              </w:rPr>
            </w:pPr>
            <w:r>
              <w:rPr>
                <w:color w:val="000000"/>
                <w:sz w:val="20"/>
                <w:szCs w:val="20"/>
              </w:rPr>
              <w:t>LK12:06</w:t>
            </w:r>
          </w:p>
        </w:tc>
        <w:tc>
          <w:tcPr>
            <w:tcW w:w="1033" w:type="dxa"/>
            <w:noWrap/>
            <w:vAlign w:val="center"/>
          </w:tcPr>
          <w:p w14:paraId="30DCCB25">
            <w:pPr>
              <w:jc w:val="center"/>
              <w:rPr>
                <w:color w:val="000000"/>
                <w:sz w:val="20"/>
                <w:szCs w:val="20"/>
              </w:rPr>
            </w:pPr>
            <w:r>
              <w:rPr>
                <w:color w:val="000000"/>
                <w:sz w:val="20"/>
                <w:szCs w:val="20"/>
              </w:rPr>
              <w:t>89,99</w:t>
            </w:r>
          </w:p>
        </w:tc>
        <w:tc>
          <w:tcPr>
            <w:tcW w:w="846" w:type="dxa"/>
            <w:noWrap/>
            <w:vAlign w:val="center"/>
          </w:tcPr>
          <w:p w14:paraId="216A0FFB">
            <w:pPr>
              <w:jc w:val="center"/>
              <w:rPr>
                <w:color w:val="000000"/>
                <w:sz w:val="20"/>
                <w:szCs w:val="20"/>
              </w:rPr>
            </w:pPr>
            <w:r>
              <w:rPr>
                <w:color w:val="000000"/>
                <w:sz w:val="20"/>
                <w:szCs w:val="20"/>
              </w:rPr>
              <w:t>1</w:t>
            </w:r>
          </w:p>
        </w:tc>
        <w:tc>
          <w:tcPr>
            <w:tcW w:w="2578" w:type="dxa"/>
            <w:noWrap/>
            <w:vAlign w:val="center"/>
          </w:tcPr>
          <w:p w14:paraId="7CF3C9E0">
            <w:pPr>
              <w:jc w:val="center"/>
              <w:rPr>
                <w:color w:val="000000"/>
                <w:sz w:val="20"/>
                <w:szCs w:val="20"/>
              </w:rPr>
            </w:pPr>
            <w:r>
              <w:rPr>
                <w:color w:val="000000"/>
                <w:sz w:val="20"/>
                <w:szCs w:val="20"/>
              </w:rPr>
              <w:t>Mặt cắt 1-1</w:t>
            </w:r>
          </w:p>
        </w:tc>
        <w:tc>
          <w:tcPr>
            <w:tcW w:w="2393" w:type="dxa"/>
            <w:noWrap/>
            <w:vAlign w:val="center"/>
          </w:tcPr>
          <w:p w14:paraId="2F949155">
            <w:pPr>
              <w:jc w:val="center"/>
              <w:rPr>
                <w:color w:val="000000"/>
                <w:sz w:val="20"/>
                <w:szCs w:val="20"/>
              </w:rPr>
            </w:pPr>
            <w:r>
              <w:rPr>
                <w:color w:val="000000"/>
                <w:sz w:val="20"/>
                <w:szCs w:val="20"/>
              </w:rPr>
              <w:t>Một mặt tiền</w:t>
            </w:r>
          </w:p>
        </w:tc>
        <w:tc>
          <w:tcPr>
            <w:tcW w:w="1198" w:type="dxa"/>
            <w:noWrap/>
            <w:vAlign w:val="center"/>
          </w:tcPr>
          <w:p w14:paraId="71984690">
            <w:pPr>
              <w:jc w:val="center"/>
              <w:rPr>
                <w:color w:val="000000"/>
                <w:sz w:val="20"/>
                <w:szCs w:val="20"/>
              </w:rPr>
            </w:pPr>
            <w:r>
              <w:rPr>
                <w:color w:val="000000"/>
                <w:sz w:val="20"/>
                <w:szCs w:val="20"/>
              </w:rPr>
              <w:t>11.800.000</w:t>
            </w:r>
          </w:p>
        </w:tc>
        <w:tc>
          <w:tcPr>
            <w:tcW w:w="1236" w:type="dxa"/>
            <w:noWrap/>
            <w:vAlign w:val="center"/>
          </w:tcPr>
          <w:p w14:paraId="79D7F699">
            <w:pPr>
              <w:jc w:val="center"/>
              <w:rPr>
                <w:color w:val="000000"/>
                <w:sz w:val="20"/>
                <w:szCs w:val="20"/>
              </w:rPr>
            </w:pPr>
            <w:r>
              <w:rPr>
                <w:color w:val="000000"/>
                <w:sz w:val="20"/>
                <w:szCs w:val="20"/>
              </w:rPr>
              <w:t>12.579.000</w:t>
            </w:r>
          </w:p>
        </w:tc>
        <w:tc>
          <w:tcPr>
            <w:tcW w:w="1252" w:type="dxa"/>
            <w:noWrap/>
            <w:vAlign w:val="center"/>
          </w:tcPr>
          <w:p w14:paraId="6D1C482F">
            <w:pPr>
              <w:jc w:val="center"/>
              <w:rPr>
                <w:color w:val="000000"/>
                <w:sz w:val="20"/>
                <w:szCs w:val="20"/>
              </w:rPr>
            </w:pPr>
            <w:r>
              <w:rPr>
                <w:color w:val="000000"/>
                <w:sz w:val="20"/>
                <w:szCs w:val="20"/>
              </w:rPr>
              <w:t>24.379.000</w:t>
            </w:r>
          </w:p>
        </w:tc>
        <w:tc>
          <w:tcPr>
            <w:tcW w:w="1848" w:type="dxa"/>
            <w:noWrap/>
            <w:vAlign w:val="center"/>
          </w:tcPr>
          <w:p w14:paraId="710A35F9">
            <w:pPr>
              <w:jc w:val="center"/>
              <w:rPr>
                <w:color w:val="000000"/>
                <w:sz w:val="20"/>
                <w:szCs w:val="20"/>
              </w:rPr>
            </w:pPr>
            <w:r>
              <w:rPr>
                <w:color w:val="000000"/>
                <w:sz w:val="20"/>
                <w:szCs w:val="20"/>
              </w:rPr>
              <w:t>2.193.866.210</w:t>
            </w:r>
          </w:p>
        </w:tc>
      </w:tr>
      <w:tr w14:paraId="7DC7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594FEA1">
            <w:pPr>
              <w:jc w:val="center"/>
              <w:rPr>
                <w:b/>
                <w:bCs/>
                <w:color w:val="000000"/>
                <w:sz w:val="20"/>
                <w:szCs w:val="20"/>
              </w:rPr>
            </w:pPr>
            <w:r>
              <w:rPr>
                <w:b/>
                <w:bCs/>
                <w:color w:val="000000"/>
                <w:sz w:val="20"/>
                <w:szCs w:val="20"/>
              </w:rPr>
              <w:t>LK12</w:t>
            </w:r>
          </w:p>
        </w:tc>
        <w:tc>
          <w:tcPr>
            <w:tcW w:w="1802" w:type="dxa"/>
            <w:vAlign w:val="center"/>
          </w:tcPr>
          <w:p w14:paraId="7FF9450B">
            <w:pPr>
              <w:jc w:val="center"/>
              <w:rPr>
                <w:color w:val="000000"/>
                <w:sz w:val="20"/>
                <w:szCs w:val="20"/>
              </w:rPr>
            </w:pPr>
            <w:r>
              <w:rPr>
                <w:color w:val="000000"/>
                <w:sz w:val="20"/>
                <w:szCs w:val="20"/>
              </w:rPr>
              <w:t>LK12:07</w:t>
            </w:r>
          </w:p>
        </w:tc>
        <w:tc>
          <w:tcPr>
            <w:tcW w:w="1033" w:type="dxa"/>
            <w:noWrap/>
            <w:vAlign w:val="center"/>
          </w:tcPr>
          <w:p w14:paraId="18DAC00B">
            <w:pPr>
              <w:jc w:val="center"/>
              <w:rPr>
                <w:color w:val="000000"/>
                <w:sz w:val="20"/>
                <w:szCs w:val="20"/>
              </w:rPr>
            </w:pPr>
            <w:r>
              <w:rPr>
                <w:color w:val="000000"/>
                <w:sz w:val="20"/>
                <w:szCs w:val="20"/>
              </w:rPr>
              <w:t>90,00</w:t>
            </w:r>
          </w:p>
        </w:tc>
        <w:tc>
          <w:tcPr>
            <w:tcW w:w="846" w:type="dxa"/>
            <w:noWrap/>
            <w:vAlign w:val="center"/>
          </w:tcPr>
          <w:p w14:paraId="1B062204">
            <w:pPr>
              <w:jc w:val="center"/>
              <w:rPr>
                <w:color w:val="000000"/>
                <w:sz w:val="20"/>
                <w:szCs w:val="20"/>
              </w:rPr>
            </w:pPr>
            <w:r>
              <w:rPr>
                <w:color w:val="000000"/>
                <w:sz w:val="20"/>
                <w:szCs w:val="20"/>
              </w:rPr>
              <w:t>1</w:t>
            </w:r>
          </w:p>
        </w:tc>
        <w:tc>
          <w:tcPr>
            <w:tcW w:w="2578" w:type="dxa"/>
            <w:noWrap/>
            <w:vAlign w:val="center"/>
          </w:tcPr>
          <w:p w14:paraId="5553B9E2">
            <w:pPr>
              <w:jc w:val="center"/>
              <w:rPr>
                <w:color w:val="000000"/>
                <w:sz w:val="20"/>
                <w:szCs w:val="20"/>
              </w:rPr>
            </w:pPr>
            <w:r>
              <w:rPr>
                <w:color w:val="000000"/>
                <w:sz w:val="20"/>
                <w:szCs w:val="20"/>
              </w:rPr>
              <w:t>Mặt cắt 1-1</w:t>
            </w:r>
          </w:p>
        </w:tc>
        <w:tc>
          <w:tcPr>
            <w:tcW w:w="2393" w:type="dxa"/>
            <w:noWrap/>
            <w:vAlign w:val="center"/>
          </w:tcPr>
          <w:p w14:paraId="080F096B">
            <w:pPr>
              <w:jc w:val="center"/>
              <w:rPr>
                <w:color w:val="000000"/>
                <w:sz w:val="20"/>
                <w:szCs w:val="20"/>
              </w:rPr>
            </w:pPr>
            <w:r>
              <w:rPr>
                <w:color w:val="000000"/>
                <w:sz w:val="20"/>
                <w:szCs w:val="20"/>
              </w:rPr>
              <w:t>Một mặt tiền</w:t>
            </w:r>
          </w:p>
        </w:tc>
        <w:tc>
          <w:tcPr>
            <w:tcW w:w="1198" w:type="dxa"/>
            <w:noWrap/>
            <w:vAlign w:val="center"/>
          </w:tcPr>
          <w:p w14:paraId="43E8FA14">
            <w:pPr>
              <w:jc w:val="center"/>
              <w:rPr>
                <w:color w:val="000000"/>
                <w:sz w:val="20"/>
                <w:szCs w:val="20"/>
              </w:rPr>
            </w:pPr>
            <w:r>
              <w:rPr>
                <w:color w:val="000000"/>
                <w:sz w:val="20"/>
                <w:szCs w:val="20"/>
              </w:rPr>
              <w:t>11.800.000</w:t>
            </w:r>
          </w:p>
        </w:tc>
        <w:tc>
          <w:tcPr>
            <w:tcW w:w="1236" w:type="dxa"/>
            <w:noWrap/>
            <w:vAlign w:val="center"/>
          </w:tcPr>
          <w:p w14:paraId="5BCEB18C">
            <w:pPr>
              <w:jc w:val="center"/>
              <w:rPr>
                <w:color w:val="000000"/>
                <w:sz w:val="20"/>
                <w:szCs w:val="20"/>
              </w:rPr>
            </w:pPr>
            <w:r>
              <w:rPr>
                <w:color w:val="000000"/>
                <w:sz w:val="20"/>
                <w:szCs w:val="20"/>
              </w:rPr>
              <w:t>12.579.000</w:t>
            </w:r>
          </w:p>
        </w:tc>
        <w:tc>
          <w:tcPr>
            <w:tcW w:w="1252" w:type="dxa"/>
            <w:noWrap/>
            <w:vAlign w:val="center"/>
          </w:tcPr>
          <w:p w14:paraId="237E315C">
            <w:pPr>
              <w:jc w:val="center"/>
              <w:rPr>
                <w:color w:val="000000"/>
                <w:sz w:val="20"/>
                <w:szCs w:val="20"/>
              </w:rPr>
            </w:pPr>
            <w:r>
              <w:rPr>
                <w:color w:val="000000"/>
                <w:sz w:val="20"/>
                <w:szCs w:val="20"/>
              </w:rPr>
              <w:t>24.379.000</w:t>
            </w:r>
          </w:p>
        </w:tc>
        <w:tc>
          <w:tcPr>
            <w:tcW w:w="1848" w:type="dxa"/>
            <w:noWrap/>
            <w:vAlign w:val="center"/>
          </w:tcPr>
          <w:p w14:paraId="3B3866AC">
            <w:pPr>
              <w:jc w:val="center"/>
              <w:rPr>
                <w:color w:val="000000"/>
                <w:sz w:val="20"/>
                <w:szCs w:val="20"/>
              </w:rPr>
            </w:pPr>
            <w:r>
              <w:rPr>
                <w:color w:val="000000"/>
                <w:sz w:val="20"/>
                <w:szCs w:val="20"/>
              </w:rPr>
              <w:t>2.194.110.000</w:t>
            </w:r>
          </w:p>
        </w:tc>
      </w:tr>
      <w:tr w14:paraId="1FBF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DCE3679">
            <w:pPr>
              <w:jc w:val="center"/>
              <w:rPr>
                <w:b/>
                <w:bCs/>
                <w:color w:val="000000"/>
                <w:sz w:val="20"/>
                <w:szCs w:val="20"/>
              </w:rPr>
            </w:pPr>
            <w:r>
              <w:rPr>
                <w:b/>
                <w:bCs/>
                <w:color w:val="000000"/>
                <w:sz w:val="20"/>
                <w:szCs w:val="20"/>
              </w:rPr>
              <w:t>LK12</w:t>
            </w:r>
          </w:p>
        </w:tc>
        <w:tc>
          <w:tcPr>
            <w:tcW w:w="1802" w:type="dxa"/>
            <w:vAlign w:val="center"/>
          </w:tcPr>
          <w:p w14:paraId="1B0CAB08">
            <w:pPr>
              <w:jc w:val="center"/>
              <w:rPr>
                <w:color w:val="000000"/>
                <w:sz w:val="20"/>
                <w:szCs w:val="20"/>
              </w:rPr>
            </w:pPr>
            <w:r>
              <w:rPr>
                <w:color w:val="000000"/>
                <w:sz w:val="20"/>
                <w:szCs w:val="20"/>
              </w:rPr>
              <w:t>LK12:08</w:t>
            </w:r>
          </w:p>
        </w:tc>
        <w:tc>
          <w:tcPr>
            <w:tcW w:w="1033" w:type="dxa"/>
            <w:noWrap/>
            <w:vAlign w:val="center"/>
          </w:tcPr>
          <w:p w14:paraId="500A1B1C">
            <w:pPr>
              <w:jc w:val="center"/>
              <w:rPr>
                <w:color w:val="000000"/>
                <w:sz w:val="20"/>
                <w:szCs w:val="20"/>
              </w:rPr>
            </w:pPr>
            <w:r>
              <w:rPr>
                <w:color w:val="000000"/>
                <w:sz w:val="20"/>
                <w:szCs w:val="20"/>
              </w:rPr>
              <w:t>90,00</w:t>
            </w:r>
          </w:p>
        </w:tc>
        <w:tc>
          <w:tcPr>
            <w:tcW w:w="846" w:type="dxa"/>
            <w:noWrap/>
            <w:vAlign w:val="center"/>
          </w:tcPr>
          <w:p w14:paraId="2EBEECC5">
            <w:pPr>
              <w:jc w:val="center"/>
              <w:rPr>
                <w:color w:val="000000"/>
                <w:sz w:val="20"/>
                <w:szCs w:val="20"/>
              </w:rPr>
            </w:pPr>
            <w:r>
              <w:rPr>
                <w:color w:val="000000"/>
                <w:sz w:val="20"/>
                <w:szCs w:val="20"/>
              </w:rPr>
              <w:t>1</w:t>
            </w:r>
          </w:p>
        </w:tc>
        <w:tc>
          <w:tcPr>
            <w:tcW w:w="2578" w:type="dxa"/>
            <w:noWrap/>
            <w:vAlign w:val="center"/>
          </w:tcPr>
          <w:p w14:paraId="6D8E151C">
            <w:pPr>
              <w:jc w:val="center"/>
              <w:rPr>
                <w:color w:val="000000"/>
                <w:sz w:val="20"/>
                <w:szCs w:val="20"/>
              </w:rPr>
            </w:pPr>
            <w:r>
              <w:rPr>
                <w:color w:val="000000"/>
                <w:sz w:val="20"/>
                <w:szCs w:val="20"/>
              </w:rPr>
              <w:t>Mặt cắt 1-1</w:t>
            </w:r>
          </w:p>
        </w:tc>
        <w:tc>
          <w:tcPr>
            <w:tcW w:w="2393" w:type="dxa"/>
            <w:noWrap/>
            <w:vAlign w:val="center"/>
          </w:tcPr>
          <w:p w14:paraId="7ECCC150">
            <w:pPr>
              <w:jc w:val="center"/>
              <w:rPr>
                <w:color w:val="000000"/>
                <w:sz w:val="20"/>
                <w:szCs w:val="20"/>
              </w:rPr>
            </w:pPr>
            <w:r>
              <w:rPr>
                <w:color w:val="000000"/>
                <w:sz w:val="20"/>
                <w:szCs w:val="20"/>
              </w:rPr>
              <w:t>Một mặt tiền</w:t>
            </w:r>
          </w:p>
        </w:tc>
        <w:tc>
          <w:tcPr>
            <w:tcW w:w="1198" w:type="dxa"/>
            <w:noWrap/>
            <w:vAlign w:val="center"/>
          </w:tcPr>
          <w:p w14:paraId="10211ADE">
            <w:pPr>
              <w:jc w:val="center"/>
              <w:rPr>
                <w:color w:val="000000"/>
                <w:sz w:val="20"/>
                <w:szCs w:val="20"/>
              </w:rPr>
            </w:pPr>
            <w:r>
              <w:rPr>
                <w:color w:val="000000"/>
                <w:sz w:val="20"/>
                <w:szCs w:val="20"/>
              </w:rPr>
              <w:t>11.800.000</w:t>
            </w:r>
          </w:p>
        </w:tc>
        <w:tc>
          <w:tcPr>
            <w:tcW w:w="1236" w:type="dxa"/>
            <w:noWrap/>
            <w:vAlign w:val="center"/>
          </w:tcPr>
          <w:p w14:paraId="6110736A">
            <w:pPr>
              <w:jc w:val="center"/>
              <w:rPr>
                <w:color w:val="000000"/>
                <w:sz w:val="20"/>
                <w:szCs w:val="20"/>
              </w:rPr>
            </w:pPr>
            <w:r>
              <w:rPr>
                <w:color w:val="000000"/>
                <w:sz w:val="20"/>
                <w:szCs w:val="20"/>
              </w:rPr>
              <w:t>12.579.000</w:t>
            </w:r>
          </w:p>
        </w:tc>
        <w:tc>
          <w:tcPr>
            <w:tcW w:w="1252" w:type="dxa"/>
            <w:noWrap/>
            <w:vAlign w:val="center"/>
          </w:tcPr>
          <w:p w14:paraId="4F288F43">
            <w:pPr>
              <w:jc w:val="center"/>
              <w:rPr>
                <w:color w:val="000000"/>
                <w:sz w:val="20"/>
                <w:szCs w:val="20"/>
              </w:rPr>
            </w:pPr>
            <w:r>
              <w:rPr>
                <w:color w:val="000000"/>
                <w:sz w:val="20"/>
                <w:szCs w:val="20"/>
              </w:rPr>
              <w:t>24.379.000</w:t>
            </w:r>
          </w:p>
        </w:tc>
        <w:tc>
          <w:tcPr>
            <w:tcW w:w="1848" w:type="dxa"/>
            <w:noWrap/>
            <w:vAlign w:val="center"/>
          </w:tcPr>
          <w:p w14:paraId="620CCA70">
            <w:pPr>
              <w:jc w:val="center"/>
              <w:rPr>
                <w:color w:val="000000"/>
                <w:sz w:val="20"/>
                <w:szCs w:val="20"/>
              </w:rPr>
            </w:pPr>
            <w:r>
              <w:rPr>
                <w:color w:val="000000"/>
                <w:sz w:val="20"/>
                <w:szCs w:val="20"/>
              </w:rPr>
              <w:t>2.194.110.000</w:t>
            </w:r>
          </w:p>
        </w:tc>
      </w:tr>
      <w:tr w14:paraId="4075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3562495">
            <w:pPr>
              <w:jc w:val="center"/>
              <w:rPr>
                <w:b/>
                <w:bCs/>
                <w:color w:val="000000"/>
                <w:sz w:val="20"/>
                <w:szCs w:val="20"/>
              </w:rPr>
            </w:pPr>
            <w:r>
              <w:rPr>
                <w:b/>
                <w:bCs/>
                <w:color w:val="000000"/>
                <w:sz w:val="20"/>
                <w:szCs w:val="20"/>
              </w:rPr>
              <w:t>LK14</w:t>
            </w:r>
          </w:p>
        </w:tc>
        <w:tc>
          <w:tcPr>
            <w:tcW w:w="1802" w:type="dxa"/>
            <w:vAlign w:val="center"/>
          </w:tcPr>
          <w:p w14:paraId="1AC61D08">
            <w:pPr>
              <w:jc w:val="center"/>
              <w:rPr>
                <w:color w:val="000000"/>
                <w:sz w:val="20"/>
                <w:szCs w:val="20"/>
              </w:rPr>
            </w:pPr>
            <w:r>
              <w:rPr>
                <w:color w:val="000000"/>
                <w:sz w:val="20"/>
                <w:szCs w:val="20"/>
              </w:rPr>
              <w:t>LK14:02</w:t>
            </w:r>
          </w:p>
        </w:tc>
        <w:tc>
          <w:tcPr>
            <w:tcW w:w="1033" w:type="dxa"/>
            <w:noWrap/>
            <w:vAlign w:val="center"/>
          </w:tcPr>
          <w:p w14:paraId="3D547886">
            <w:pPr>
              <w:jc w:val="center"/>
              <w:rPr>
                <w:color w:val="000000"/>
                <w:sz w:val="20"/>
                <w:szCs w:val="20"/>
              </w:rPr>
            </w:pPr>
            <w:r>
              <w:rPr>
                <w:color w:val="000000"/>
                <w:sz w:val="20"/>
                <w:szCs w:val="20"/>
              </w:rPr>
              <w:t>130,72</w:t>
            </w:r>
          </w:p>
        </w:tc>
        <w:tc>
          <w:tcPr>
            <w:tcW w:w="846" w:type="dxa"/>
            <w:noWrap/>
            <w:vAlign w:val="center"/>
          </w:tcPr>
          <w:p w14:paraId="6CA0847E">
            <w:pPr>
              <w:jc w:val="center"/>
              <w:rPr>
                <w:color w:val="000000"/>
                <w:sz w:val="20"/>
                <w:szCs w:val="20"/>
              </w:rPr>
            </w:pPr>
            <w:r>
              <w:rPr>
                <w:color w:val="000000"/>
                <w:sz w:val="20"/>
                <w:szCs w:val="20"/>
              </w:rPr>
              <w:t>1</w:t>
            </w:r>
          </w:p>
        </w:tc>
        <w:tc>
          <w:tcPr>
            <w:tcW w:w="2578" w:type="dxa"/>
            <w:noWrap/>
            <w:vAlign w:val="center"/>
          </w:tcPr>
          <w:p w14:paraId="6507D17A">
            <w:pPr>
              <w:jc w:val="center"/>
              <w:rPr>
                <w:color w:val="000000"/>
                <w:sz w:val="20"/>
                <w:szCs w:val="20"/>
              </w:rPr>
            </w:pPr>
            <w:r>
              <w:rPr>
                <w:color w:val="000000"/>
                <w:sz w:val="20"/>
                <w:szCs w:val="20"/>
              </w:rPr>
              <w:t>Mặt cắt 1-1</w:t>
            </w:r>
          </w:p>
        </w:tc>
        <w:tc>
          <w:tcPr>
            <w:tcW w:w="2393" w:type="dxa"/>
            <w:noWrap/>
            <w:vAlign w:val="center"/>
          </w:tcPr>
          <w:p w14:paraId="77FC3153">
            <w:pPr>
              <w:jc w:val="center"/>
              <w:rPr>
                <w:color w:val="000000"/>
                <w:sz w:val="20"/>
                <w:szCs w:val="20"/>
              </w:rPr>
            </w:pPr>
            <w:r>
              <w:rPr>
                <w:color w:val="000000"/>
                <w:sz w:val="20"/>
                <w:szCs w:val="20"/>
              </w:rPr>
              <w:t>Một mặt tiền, đối diện/tiếp giáp CX-MN</w:t>
            </w:r>
          </w:p>
        </w:tc>
        <w:tc>
          <w:tcPr>
            <w:tcW w:w="1198" w:type="dxa"/>
            <w:noWrap/>
            <w:vAlign w:val="center"/>
          </w:tcPr>
          <w:p w14:paraId="20FD2E99">
            <w:pPr>
              <w:jc w:val="center"/>
              <w:rPr>
                <w:color w:val="000000"/>
                <w:sz w:val="20"/>
                <w:szCs w:val="20"/>
              </w:rPr>
            </w:pPr>
            <w:r>
              <w:rPr>
                <w:color w:val="000000"/>
                <w:sz w:val="20"/>
                <w:szCs w:val="20"/>
              </w:rPr>
              <w:t>12.390.000</w:t>
            </w:r>
          </w:p>
        </w:tc>
        <w:tc>
          <w:tcPr>
            <w:tcW w:w="1236" w:type="dxa"/>
            <w:noWrap/>
            <w:vAlign w:val="center"/>
          </w:tcPr>
          <w:p w14:paraId="2BF1575C">
            <w:pPr>
              <w:jc w:val="center"/>
              <w:rPr>
                <w:color w:val="000000"/>
                <w:sz w:val="20"/>
                <w:szCs w:val="20"/>
              </w:rPr>
            </w:pPr>
            <w:r>
              <w:rPr>
                <w:color w:val="000000"/>
                <w:sz w:val="20"/>
                <w:szCs w:val="20"/>
              </w:rPr>
              <w:t>12.579.000</w:t>
            </w:r>
          </w:p>
        </w:tc>
        <w:tc>
          <w:tcPr>
            <w:tcW w:w="1252" w:type="dxa"/>
            <w:noWrap/>
            <w:vAlign w:val="center"/>
          </w:tcPr>
          <w:p w14:paraId="64B12B9A">
            <w:pPr>
              <w:jc w:val="center"/>
              <w:rPr>
                <w:color w:val="000000"/>
                <w:sz w:val="20"/>
                <w:szCs w:val="20"/>
              </w:rPr>
            </w:pPr>
            <w:r>
              <w:rPr>
                <w:color w:val="000000"/>
                <w:sz w:val="20"/>
                <w:szCs w:val="20"/>
              </w:rPr>
              <w:t>24.969.000</w:t>
            </w:r>
          </w:p>
        </w:tc>
        <w:tc>
          <w:tcPr>
            <w:tcW w:w="1848" w:type="dxa"/>
            <w:noWrap/>
            <w:vAlign w:val="center"/>
          </w:tcPr>
          <w:p w14:paraId="7BE2A236">
            <w:pPr>
              <w:jc w:val="center"/>
              <w:rPr>
                <w:color w:val="000000"/>
                <w:sz w:val="20"/>
                <w:szCs w:val="20"/>
              </w:rPr>
            </w:pPr>
            <w:r>
              <w:rPr>
                <w:color w:val="000000"/>
                <w:sz w:val="20"/>
                <w:szCs w:val="20"/>
              </w:rPr>
              <w:t>3.263.947.680</w:t>
            </w:r>
          </w:p>
        </w:tc>
      </w:tr>
      <w:tr w14:paraId="0988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646C86C">
            <w:pPr>
              <w:jc w:val="center"/>
              <w:rPr>
                <w:b/>
                <w:bCs/>
                <w:color w:val="000000"/>
                <w:sz w:val="20"/>
                <w:szCs w:val="20"/>
              </w:rPr>
            </w:pPr>
            <w:r>
              <w:rPr>
                <w:b/>
                <w:bCs/>
                <w:color w:val="000000"/>
                <w:sz w:val="20"/>
                <w:szCs w:val="20"/>
              </w:rPr>
              <w:t>LK14</w:t>
            </w:r>
          </w:p>
        </w:tc>
        <w:tc>
          <w:tcPr>
            <w:tcW w:w="1802" w:type="dxa"/>
            <w:vAlign w:val="center"/>
          </w:tcPr>
          <w:p w14:paraId="64839D84">
            <w:pPr>
              <w:jc w:val="center"/>
              <w:rPr>
                <w:color w:val="000000"/>
                <w:sz w:val="20"/>
                <w:szCs w:val="20"/>
              </w:rPr>
            </w:pPr>
            <w:r>
              <w:rPr>
                <w:color w:val="000000"/>
                <w:sz w:val="20"/>
                <w:szCs w:val="20"/>
              </w:rPr>
              <w:t>LK14:03</w:t>
            </w:r>
          </w:p>
        </w:tc>
        <w:tc>
          <w:tcPr>
            <w:tcW w:w="1033" w:type="dxa"/>
            <w:noWrap/>
            <w:vAlign w:val="center"/>
          </w:tcPr>
          <w:p w14:paraId="283EB954">
            <w:pPr>
              <w:jc w:val="center"/>
              <w:rPr>
                <w:color w:val="000000"/>
                <w:sz w:val="20"/>
                <w:szCs w:val="20"/>
              </w:rPr>
            </w:pPr>
            <w:r>
              <w:rPr>
                <w:color w:val="000000"/>
                <w:sz w:val="20"/>
                <w:szCs w:val="20"/>
              </w:rPr>
              <w:t>114,83</w:t>
            </w:r>
          </w:p>
        </w:tc>
        <w:tc>
          <w:tcPr>
            <w:tcW w:w="846" w:type="dxa"/>
            <w:noWrap/>
            <w:vAlign w:val="center"/>
          </w:tcPr>
          <w:p w14:paraId="0958A655">
            <w:pPr>
              <w:jc w:val="center"/>
              <w:rPr>
                <w:color w:val="000000"/>
                <w:sz w:val="20"/>
                <w:szCs w:val="20"/>
              </w:rPr>
            </w:pPr>
            <w:r>
              <w:rPr>
                <w:color w:val="000000"/>
                <w:sz w:val="20"/>
                <w:szCs w:val="20"/>
              </w:rPr>
              <w:t>1</w:t>
            </w:r>
          </w:p>
        </w:tc>
        <w:tc>
          <w:tcPr>
            <w:tcW w:w="2578" w:type="dxa"/>
            <w:noWrap/>
            <w:vAlign w:val="center"/>
          </w:tcPr>
          <w:p w14:paraId="28F1C40D">
            <w:pPr>
              <w:jc w:val="center"/>
              <w:rPr>
                <w:color w:val="000000"/>
                <w:sz w:val="20"/>
                <w:szCs w:val="20"/>
              </w:rPr>
            </w:pPr>
            <w:r>
              <w:rPr>
                <w:color w:val="000000"/>
                <w:sz w:val="20"/>
                <w:szCs w:val="20"/>
              </w:rPr>
              <w:t>Mặt cắt 1-1</w:t>
            </w:r>
          </w:p>
        </w:tc>
        <w:tc>
          <w:tcPr>
            <w:tcW w:w="2393" w:type="dxa"/>
            <w:noWrap/>
            <w:vAlign w:val="center"/>
          </w:tcPr>
          <w:p w14:paraId="5DFAF0E6">
            <w:pPr>
              <w:jc w:val="center"/>
              <w:rPr>
                <w:color w:val="000000"/>
                <w:sz w:val="20"/>
                <w:szCs w:val="20"/>
              </w:rPr>
            </w:pPr>
            <w:r>
              <w:rPr>
                <w:color w:val="000000"/>
                <w:sz w:val="20"/>
                <w:szCs w:val="20"/>
              </w:rPr>
              <w:t>Một mặt tiền, đối diện/tiếp giáp CX-MN</w:t>
            </w:r>
          </w:p>
        </w:tc>
        <w:tc>
          <w:tcPr>
            <w:tcW w:w="1198" w:type="dxa"/>
            <w:noWrap/>
            <w:vAlign w:val="center"/>
          </w:tcPr>
          <w:p w14:paraId="7EF8A103">
            <w:pPr>
              <w:jc w:val="center"/>
              <w:rPr>
                <w:color w:val="000000"/>
                <w:sz w:val="20"/>
                <w:szCs w:val="20"/>
              </w:rPr>
            </w:pPr>
            <w:r>
              <w:rPr>
                <w:color w:val="000000"/>
                <w:sz w:val="20"/>
                <w:szCs w:val="20"/>
              </w:rPr>
              <w:t>12.390.000</w:t>
            </w:r>
          </w:p>
        </w:tc>
        <w:tc>
          <w:tcPr>
            <w:tcW w:w="1236" w:type="dxa"/>
            <w:noWrap/>
            <w:vAlign w:val="center"/>
          </w:tcPr>
          <w:p w14:paraId="2345DACA">
            <w:pPr>
              <w:jc w:val="center"/>
              <w:rPr>
                <w:color w:val="000000"/>
                <w:sz w:val="20"/>
                <w:szCs w:val="20"/>
              </w:rPr>
            </w:pPr>
            <w:r>
              <w:rPr>
                <w:color w:val="000000"/>
                <w:sz w:val="20"/>
                <w:szCs w:val="20"/>
              </w:rPr>
              <w:t>12.579.000</w:t>
            </w:r>
          </w:p>
        </w:tc>
        <w:tc>
          <w:tcPr>
            <w:tcW w:w="1252" w:type="dxa"/>
            <w:noWrap/>
            <w:vAlign w:val="center"/>
          </w:tcPr>
          <w:p w14:paraId="49E74409">
            <w:pPr>
              <w:jc w:val="center"/>
              <w:rPr>
                <w:color w:val="000000"/>
                <w:sz w:val="20"/>
                <w:szCs w:val="20"/>
              </w:rPr>
            </w:pPr>
            <w:r>
              <w:rPr>
                <w:color w:val="000000"/>
                <w:sz w:val="20"/>
                <w:szCs w:val="20"/>
              </w:rPr>
              <w:t>24.969.000</w:t>
            </w:r>
          </w:p>
        </w:tc>
        <w:tc>
          <w:tcPr>
            <w:tcW w:w="1848" w:type="dxa"/>
            <w:noWrap/>
            <w:vAlign w:val="center"/>
          </w:tcPr>
          <w:p w14:paraId="4829E024">
            <w:pPr>
              <w:jc w:val="center"/>
              <w:rPr>
                <w:color w:val="000000"/>
                <w:sz w:val="20"/>
                <w:szCs w:val="20"/>
              </w:rPr>
            </w:pPr>
            <w:r>
              <w:rPr>
                <w:color w:val="000000"/>
                <w:sz w:val="20"/>
                <w:szCs w:val="20"/>
              </w:rPr>
              <w:t>2.867.190.270</w:t>
            </w:r>
          </w:p>
        </w:tc>
      </w:tr>
      <w:tr w14:paraId="0EAD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8AA3606">
            <w:pPr>
              <w:jc w:val="center"/>
              <w:rPr>
                <w:b/>
                <w:bCs/>
                <w:color w:val="000000"/>
                <w:sz w:val="20"/>
                <w:szCs w:val="20"/>
              </w:rPr>
            </w:pPr>
            <w:r>
              <w:rPr>
                <w:b/>
                <w:bCs/>
                <w:color w:val="000000"/>
                <w:sz w:val="20"/>
                <w:szCs w:val="20"/>
              </w:rPr>
              <w:t>LK14</w:t>
            </w:r>
          </w:p>
        </w:tc>
        <w:tc>
          <w:tcPr>
            <w:tcW w:w="1802" w:type="dxa"/>
            <w:vAlign w:val="center"/>
          </w:tcPr>
          <w:p w14:paraId="14E77C4B">
            <w:pPr>
              <w:jc w:val="center"/>
              <w:rPr>
                <w:color w:val="000000"/>
                <w:sz w:val="20"/>
                <w:szCs w:val="20"/>
              </w:rPr>
            </w:pPr>
            <w:r>
              <w:rPr>
                <w:color w:val="000000"/>
                <w:sz w:val="20"/>
                <w:szCs w:val="20"/>
              </w:rPr>
              <w:t>LK14:04</w:t>
            </w:r>
          </w:p>
        </w:tc>
        <w:tc>
          <w:tcPr>
            <w:tcW w:w="1033" w:type="dxa"/>
            <w:noWrap/>
            <w:vAlign w:val="center"/>
          </w:tcPr>
          <w:p w14:paraId="0F98033E">
            <w:pPr>
              <w:jc w:val="center"/>
              <w:rPr>
                <w:color w:val="000000"/>
                <w:sz w:val="20"/>
                <w:szCs w:val="20"/>
              </w:rPr>
            </w:pPr>
            <w:r>
              <w:rPr>
                <w:color w:val="000000"/>
                <w:sz w:val="20"/>
                <w:szCs w:val="20"/>
              </w:rPr>
              <w:t>111,23</w:t>
            </w:r>
          </w:p>
        </w:tc>
        <w:tc>
          <w:tcPr>
            <w:tcW w:w="846" w:type="dxa"/>
            <w:noWrap/>
            <w:vAlign w:val="center"/>
          </w:tcPr>
          <w:p w14:paraId="55C12BA0">
            <w:pPr>
              <w:jc w:val="center"/>
              <w:rPr>
                <w:color w:val="000000"/>
                <w:sz w:val="20"/>
                <w:szCs w:val="20"/>
              </w:rPr>
            </w:pPr>
            <w:r>
              <w:rPr>
                <w:color w:val="000000"/>
                <w:sz w:val="20"/>
                <w:szCs w:val="20"/>
              </w:rPr>
              <w:t>1</w:t>
            </w:r>
          </w:p>
        </w:tc>
        <w:tc>
          <w:tcPr>
            <w:tcW w:w="2578" w:type="dxa"/>
            <w:noWrap/>
            <w:vAlign w:val="center"/>
          </w:tcPr>
          <w:p w14:paraId="6EB38B9D">
            <w:pPr>
              <w:jc w:val="center"/>
              <w:rPr>
                <w:color w:val="000000"/>
                <w:sz w:val="20"/>
                <w:szCs w:val="20"/>
              </w:rPr>
            </w:pPr>
            <w:r>
              <w:rPr>
                <w:color w:val="000000"/>
                <w:sz w:val="20"/>
                <w:szCs w:val="20"/>
              </w:rPr>
              <w:t>Mặt cắt 1-1</w:t>
            </w:r>
          </w:p>
        </w:tc>
        <w:tc>
          <w:tcPr>
            <w:tcW w:w="2393" w:type="dxa"/>
            <w:noWrap/>
            <w:vAlign w:val="center"/>
          </w:tcPr>
          <w:p w14:paraId="78FFF4DA">
            <w:pPr>
              <w:jc w:val="center"/>
              <w:rPr>
                <w:color w:val="000000"/>
                <w:sz w:val="20"/>
                <w:szCs w:val="20"/>
              </w:rPr>
            </w:pPr>
            <w:r>
              <w:rPr>
                <w:color w:val="000000"/>
                <w:sz w:val="20"/>
                <w:szCs w:val="20"/>
              </w:rPr>
              <w:t>Một mặt tiền, đối diện/tiếp giáp CX-MN</w:t>
            </w:r>
          </w:p>
        </w:tc>
        <w:tc>
          <w:tcPr>
            <w:tcW w:w="1198" w:type="dxa"/>
            <w:noWrap/>
            <w:vAlign w:val="center"/>
          </w:tcPr>
          <w:p w14:paraId="0E6141EA">
            <w:pPr>
              <w:jc w:val="center"/>
              <w:rPr>
                <w:color w:val="000000"/>
                <w:sz w:val="20"/>
                <w:szCs w:val="20"/>
              </w:rPr>
            </w:pPr>
            <w:r>
              <w:rPr>
                <w:color w:val="000000"/>
                <w:sz w:val="20"/>
                <w:szCs w:val="20"/>
              </w:rPr>
              <w:t>12.390.000</w:t>
            </w:r>
          </w:p>
        </w:tc>
        <w:tc>
          <w:tcPr>
            <w:tcW w:w="1236" w:type="dxa"/>
            <w:noWrap/>
            <w:vAlign w:val="center"/>
          </w:tcPr>
          <w:p w14:paraId="442A6515">
            <w:pPr>
              <w:jc w:val="center"/>
              <w:rPr>
                <w:color w:val="000000"/>
                <w:sz w:val="20"/>
                <w:szCs w:val="20"/>
              </w:rPr>
            </w:pPr>
            <w:r>
              <w:rPr>
                <w:color w:val="000000"/>
                <w:sz w:val="20"/>
                <w:szCs w:val="20"/>
              </w:rPr>
              <w:t>12.579.000</w:t>
            </w:r>
          </w:p>
        </w:tc>
        <w:tc>
          <w:tcPr>
            <w:tcW w:w="1252" w:type="dxa"/>
            <w:noWrap/>
            <w:vAlign w:val="center"/>
          </w:tcPr>
          <w:p w14:paraId="29749D83">
            <w:pPr>
              <w:jc w:val="center"/>
              <w:rPr>
                <w:color w:val="000000"/>
                <w:sz w:val="20"/>
                <w:szCs w:val="20"/>
              </w:rPr>
            </w:pPr>
            <w:r>
              <w:rPr>
                <w:color w:val="000000"/>
                <w:sz w:val="20"/>
                <w:szCs w:val="20"/>
              </w:rPr>
              <w:t>24.969.000</w:t>
            </w:r>
          </w:p>
        </w:tc>
        <w:tc>
          <w:tcPr>
            <w:tcW w:w="1848" w:type="dxa"/>
            <w:noWrap/>
            <w:vAlign w:val="center"/>
          </w:tcPr>
          <w:p w14:paraId="79CB7DFB">
            <w:pPr>
              <w:jc w:val="center"/>
              <w:rPr>
                <w:color w:val="000000"/>
                <w:sz w:val="20"/>
                <w:szCs w:val="20"/>
              </w:rPr>
            </w:pPr>
            <w:r>
              <w:rPr>
                <w:color w:val="000000"/>
                <w:sz w:val="20"/>
                <w:szCs w:val="20"/>
              </w:rPr>
              <w:t>2.777.301.870</w:t>
            </w:r>
          </w:p>
        </w:tc>
      </w:tr>
      <w:tr w14:paraId="5DFA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FCF2AA5">
            <w:pPr>
              <w:jc w:val="center"/>
              <w:rPr>
                <w:b/>
                <w:bCs/>
                <w:color w:val="000000"/>
                <w:sz w:val="20"/>
                <w:szCs w:val="20"/>
              </w:rPr>
            </w:pPr>
            <w:r>
              <w:rPr>
                <w:b/>
                <w:bCs/>
                <w:color w:val="000000"/>
                <w:sz w:val="20"/>
                <w:szCs w:val="20"/>
              </w:rPr>
              <w:t>LK14</w:t>
            </w:r>
          </w:p>
        </w:tc>
        <w:tc>
          <w:tcPr>
            <w:tcW w:w="1802" w:type="dxa"/>
            <w:vAlign w:val="center"/>
          </w:tcPr>
          <w:p w14:paraId="69A3D04F">
            <w:pPr>
              <w:jc w:val="center"/>
              <w:rPr>
                <w:color w:val="000000"/>
                <w:sz w:val="20"/>
                <w:szCs w:val="20"/>
              </w:rPr>
            </w:pPr>
            <w:r>
              <w:rPr>
                <w:color w:val="000000"/>
                <w:sz w:val="20"/>
                <w:szCs w:val="20"/>
              </w:rPr>
              <w:t>LK14:05</w:t>
            </w:r>
          </w:p>
        </w:tc>
        <w:tc>
          <w:tcPr>
            <w:tcW w:w="1033" w:type="dxa"/>
            <w:noWrap/>
            <w:vAlign w:val="center"/>
          </w:tcPr>
          <w:p w14:paraId="4C7B54C5">
            <w:pPr>
              <w:jc w:val="center"/>
              <w:rPr>
                <w:color w:val="000000"/>
                <w:sz w:val="20"/>
                <w:szCs w:val="20"/>
              </w:rPr>
            </w:pPr>
            <w:r>
              <w:rPr>
                <w:color w:val="000000"/>
                <w:sz w:val="20"/>
                <w:szCs w:val="20"/>
              </w:rPr>
              <w:t>107,62</w:t>
            </w:r>
          </w:p>
        </w:tc>
        <w:tc>
          <w:tcPr>
            <w:tcW w:w="846" w:type="dxa"/>
            <w:noWrap/>
            <w:vAlign w:val="center"/>
          </w:tcPr>
          <w:p w14:paraId="326FDCE3">
            <w:pPr>
              <w:jc w:val="center"/>
              <w:rPr>
                <w:color w:val="000000"/>
                <w:sz w:val="20"/>
                <w:szCs w:val="20"/>
              </w:rPr>
            </w:pPr>
            <w:r>
              <w:rPr>
                <w:color w:val="000000"/>
                <w:sz w:val="20"/>
                <w:szCs w:val="20"/>
              </w:rPr>
              <w:t>1</w:t>
            </w:r>
          </w:p>
        </w:tc>
        <w:tc>
          <w:tcPr>
            <w:tcW w:w="2578" w:type="dxa"/>
            <w:noWrap/>
            <w:vAlign w:val="center"/>
          </w:tcPr>
          <w:p w14:paraId="0879C9B5">
            <w:pPr>
              <w:jc w:val="center"/>
              <w:rPr>
                <w:color w:val="000000"/>
                <w:sz w:val="20"/>
                <w:szCs w:val="20"/>
              </w:rPr>
            </w:pPr>
            <w:r>
              <w:rPr>
                <w:color w:val="000000"/>
                <w:sz w:val="20"/>
                <w:szCs w:val="20"/>
              </w:rPr>
              <w:t>Mặt cắt 1-1</w:t>
            </w:r>
          </w:p>
        </w:tc>
        <w:tc>
          <w:tcPr>
            <w:tcW w:w="2393" w:type="dxa"/>
            <w:noWrap/>
            <w:vAlign w:val="center"/>
          </w:tcPr>
          <w:p w14:paraId="433BE50B">
            <w:pPr>
              <w:jc w:val="center"/>
              <w:rPr>
                <w:color w:val="000000"/>
                <w:sz w:val="20"/>
                <w:szCs w:val="20"/>
              </w:rPr>
            </w:pPr>
            <w:r>
              <w:rPr>
                <w:color w:val="000000"/>
                <w:sz w:val="20"/>
                <w:szCs w:val="20"/>
              </w:rPr>
              <w:t>Một mặt tiền, đối diện/tiếp giáp CX-MN</w:t>
            </w:r>
          </w:p>
        </w:tc>
        <w:tc>
          <w:tcPr>
            <w:tcW w:w="1198" w:type="dxa"/>
            <w:noWrap/>
            <w:vAlign w:val="center"/>
          </w:tcPr>
          <w:p w14:paraId="6BCEAAFD">
            <w:pPr>
              <w:jc w:val="center"/>
              <w:rPr>
                <w:color w:val="000000"/>
                <w:sz w:val="20"/>
                <w:szCs w:val="20"/>
              </w:rPr>
            </w:pPr>
            <w:r>
              <w:rPr>
                <w:color w:val="000000"/>
                <w:sz w:val="20"/>
                <w:szCs w:val="20"/>
              </w:rPr>
              <w:t>12.390.000</w:t>
            </w:r>
          </w:p>
        </w:tc>
        <w:tc>
          <w:tcPr>
            <w:tcW w:w="1236" w:type="dxa"/>
            <w:noWrap/>
            <w:vAlign w:val="center"/>
          </w:tcPr>
          <w:p w14:paraId="72829D80">
            <w:pPr>
              <w:jc w:val="center"/>
              <w:rPr>
                <w:color w:val="000000"/>
                <w:sz w:val="20"/>
                <w:szCs w:val="20"/>
              </w:rPr>
            </w:pPr>
            <w:r>
              <w:rPr>
                <w:color w:val="000000"/>
                <w:sz w:val="20"/>
                <w:szCs w:val="20"/>
              </w:rPr>
              <w:t>12.579.000</w:t>
            </w:r>
          </w:p>
        </w:tc>
        <w:tc>
          <w:tcPr>
            <w:tcW w:w="1252" w:type="dxa"/>
            <w:noWrap/>
            <w:vAlign w:val="center"/>
          </w:tcPr>
          <w:p w14:paraId="17E11F6E">
            <w:pPr>
              <w:jc w:val="center"/>
              <w:rPr>
                <w:color w:val="000000"/>
                <w:sz w:val="20"/>
                <w:szCs w:val="20"/>
              </w:rPr>
            </w:pPr>
            <w:r>
              <w:rPr>
                <w:color w:val="000000"/>
                <w:sz w:val="20"/>
                <w:szCs w:val="20"/>
              </w:rPr>
              <w:t>24.969.000</w:t>
            </w:r>
          </w:p>
        </w:tc>
        <w:tc>
          <w:tcPr>
            <w:tcW w:w="1848" w:type="dxa"/>
            <w:noWrap/>
            <w:vAlign w:val="center"/>
          </w:tcPr>
          <w:p w14:paraId="327F700A">
            <w:pPr>
              <w:jc w:val="center"/>
              <w:rPr>
                <w:color w:val="000000"/>
                <w:sz w:val="20"/>
                <w:szCs w:val="20"/>
              </w:rPr>
            </w:pPr>
            <w:r>
              <w:rPr>
                <w:color w:val="000000"/>
                <w:sz w:val="20"/>
                <w:szCs w:val="20"/>
              </w:rPr>
              <w:t>2.687.163.780</w:t>
            </w:r>
          </w:p>
        </w:tc>
      </w:tr>
      <w:tr w14:paraId="179C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24DA4F">
            <w:pPr>
              <w:jc w:val="center"/>
              <w:rPr>
                <w:b/>
                <w:bCs/>
                <w:color w:val="000000"/>
                <w:sz w:val="20"/>
                <w:szCs w:val="20"/>
              </w:rPr>
            </w:pPr>
            <w:r>
              <w:rPr>
                <w:b/>
                <w:bCs/>
                <w:color w:val="000000"/>
                <w:sz w:val="20"/>
                <w:szCs w:val="20"/>
              </w:rPr>
              <w:t>LK14</w:t>
            </w:r>
          </w:p>
        </w:tc>
        <w:tc>
          <w:tcPr>
            <w:tcW w:w="1802" w:type="dxa"/>
            <w:vAlign w:val="center"/>
          </w:tcPr>
          <w:p w14:paraId="0CD7F14D">
            <w:pPr>
              <w:jc w:val="center"/>
              <w:rPr>
                <w:color w:val="000000"/>
                <w:sz w:val="20"/>
                <w:szCs w:val="20"/>
              </w:rPr>
            </w:pPr>
            <w:r>
              <w:rPr>
                <w:color w:val="000000"/>
                <w:sz w:val="20"/>
                <w:szCs w:val="20"/>
              </w:rPr>
              <w:t>LK14:06</w:t>
            </w:r>
          </w:p>
        </w:tc>
        <w:tc>
          <w:tcPr>
            <w:tcW w:w="1033" w:type="dxa"/>
            <w:noWrap/>
            <w:vAlign w:val="center"/>
          </w:tcPr>
          <w:p w14:paraId="5350E054">
            <w:pPr>
              <w:jc w:val="center"/>
              <w:rPr>
                <w:color w:val="000000"/>
                <w:sz w:val="20"/>
                <w:szCs w:val="20"/>
              </w:rPr>
            </w:pPr>
            <w:r>
              <w:rPr>
                <w:color w:val="000000"/>
                <w:sz w:val="20"/>
                <w:szCs w:val="20"/>
              </w:rPr>
              <w:t>104,02</w:t>
            </w:r>
          </w:p>
        </w:tc>
        <w:tc>
          <w:tcPr>
            <w:tcW w:w="846" w:type="dxa"/>
            <w:noWrap/>
            <w:vAlign w:val="center"/>
          </w:tcPr>
          <w:p w14:paraId="60BAC9AF">
            <w:pPr>
              <w:jc w:val="center"/>
              <w:rPr>
                <w:color w:val="000000"/>
                <w:sz w:val="20"/>
                <w:szCs w:val="20"/>
              </w:rPr>
            </w:pPr>
            <w:r>
              <w:rPr>
                <w:color w:val="000000"/>
                <w:sz w:val="20"/>
                <w:szCs w:val="20"/>
              </w:rPr>
              <w:t>1</w:t>
            </w:r>
          </w:p>
        </w:tc>
        <w:tc>
          <w:tcPr>
            <w:tcW w:w="2578" w:type="dxa"/>
            <w:noWrap/>
            <w:vAlign w:val="center"/>
          </w:tcPr>
          <w:p w14:paraId="78D8303D">
            <w:pPr>
              <w:jc w:val="center"/>
              <w:rPr>
                <w:color w:val="000000"/>
                <w:sz w:val="20"/>
                <w:szCs w:val="20"/>
              </w:rPr>
            </w:pPr>
            <w:r>
              <w:rPr>
                <w:color w:val="000000"/>
                <w:sz w:val="20"/>
                <w:szCs w:val="20"/>
              </w:rPr>
              <w:t>Mặt cắt 1-1</w:t>
            </w:r>
          </w:p>
        </w:tc>
        <w:tc>
          <w:tcPr>
            <w:tcW w:w="2393" w:type="dxa"/>
            <w:noWrap/>
            <w:vAlign w:val="center"/>
          </w:tcPr>
          <w:p w14:paraId="18BF830F">
            <w:pPr>
              <w:jc w:val="center"/>
              <w:rPr>
                <w:color w:val="000000"/>
                <w:sz w:val="20"/>
                <w:szCs w:val="20"/>
              </w:rPr>
            </w:pPr>
            <w:r>
              <w:rPr>
                <w:color w:val="000000"/>
                <w:sz w:val="20"/>
                <w:szCs w:val="20"/>
              </w:rPr>
              <w:t>Một mặt tiền, đối diện/tiếp giáp CX-MN</w:t>
            </w:r>
          </w:p>
        </w:tc>
        <w:tc>
          <w:tcPr>
            <w:tcW w:w="1198" w:type="dxa"/>
            <w:noWrap/>
            <w:vAlign w:val="center"/>
          </w:tcPr>
          <w:p w14:paraId="06138356">
            <w:pPr>
              <w:jc w:val="center"/>
              <w:rPr>
                <w:color w:val="000000"/>
                <w:sz w:val="20"/>
                <w:szCs w:val="20"/>
              </w:rPr>
            </w:pPr>
            <w:r>
              <w:rPr>
                <w:color w:val="000000"/>
                <w:sz w:val="20"/>
                <w:szCs w:val="20"/>
              </w:rPr>
              <w:t>12.390.000</w:t>
            </w:r>
          </w:p>
        </w:tc>
        <w:tc>
          <w:tcPr>
            <w:tcW w:w="1236" w:type="dxa"/>
            <w:noWrap/>
            <w:vAlign w:val="center"/>
          </w:tcPr>
          <w:p w14:paraId="35A22627">
            <w:pPr>
              <w:jc w:val="center"/>
              <w:rPr>
                <w:color w:val="000000"/>
                <w:sz w:val="20"/>
                <w:szCs w:val="20"/>
              </w:rPr>
            </w:pPr>
            <w:r>
              <w:rPr>
                <w:color w:val="000000"/>
                <w:sz w:val="20"/>
                <w:szCs w:val="20"/>
              </w:rPr>
              <w:t>12.579.000</w:t>
            </w:r>
          </w:p>
        </w:tc>
        <w:tc>
          <w:tcPr>
            <w:tcW w:w="1252" w:type="dxa"/>
            <w:noWrap/>
            <w:vAlign w:val="center"/>
          </w:tcPr>
          <w:p w14:paraId="289E6A94">
            <w:pPr>
              <w:jc w:val="center"/>
              <w:rPr>
                <w:color w:val="000000"/>
                <w:sz w:val="20"/>
                <w:szCs w:val="20"/>
              </w:rPr>
            </w:pPr>
            <w:r>
              <w:rPr>
                <w:color w:val="000000"/>
                <w:sz w:val="20"/>
                <w:szCs w:val="20"/>
              </w:rPr>
              <w:t>24.969.000</w:t>
            </w:r>
          </w:p>
        </w:tc>
        <w:tc>
          <w:tcPr>
            <w:tcW w:w="1848" w:type="dxa"/>
            <w:noWrap/>
            <w:vAlign w:val="center"/>
          </w:tcPr>
          <w:p w14:paraId="606B8362">
            <w:pPr>
              <w:jc w:val="center"/>
              <w:rPr>
                <w:color w:val="000000"/>
                <w:sz w:val="20"/>
                <w:szCs w:val="20"/>
              </w:rPr>
            </w:pPr>
            <w:r>
              <w:rPr>
                <w:color w:val="000000"/>
                <w:sz w:val="20"/>
                <w:szCs w:val="20"/>
              </w:rPr>
              <w:t>2.597.275.380</w:t>
            </w:r>
          </w:p>
        </w:tc>
      </w:tr>
      <w:tr w14:paraId="3946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FABB1A5">
            <w:pPr>
              <w:jc w:val="center"/>
              <w:rPr>
                <w:b/>
                <w:bCs/>
                <w:color w:val="000000"/>
                <w:sz w:val="20"/>
                <w:szCs w:val="20"/>
              </w:rPr>
            </w:pPr>
            <w:r>
              <w:rPr>
                <w:b/>
                <w:bCs/>
                <w:color w:val="000000"/>
                <w:sz w:val="20"/>
                <w:szCs w:val="20"/>
              </w:rPr>
              <w:t>LK14</w:t>
            </w:r>
          </w:p>
        </w:tc>
        <w:tc>
          <w:tcPr>
            <w:tcW w:w="1802" w:type="dxa"/>
            <w:vAlign w:val="center"/>
          </w:tcPr>
          <w:p w14:paraId="58CB02CC">
            <w:pPr>
              <w:jc w:val="center"/>
              <w:rPr>
                <w:color w:val="000000"/>
                <w:sz w:val="20"/>
                <w:szCs w:val="20"/>
              </w:rPr>
            </w:pPr>
            <w:r>
              <w:rPr>
                <w:color w:val="000000"/>
                <w:sz w:val="20"/>
                <w:szCs w:val="20"/>
              </w:rPr>
              <w:t>LK14:07</w:t>
            </w:r>
          </w:p>
        </w:tc>
        <w:tc>
          <w:tcPr>
            <w:tcW w:w="1033" w:type="dxa"/>
            <w:noWrap/>
            <w:vAlign w:val="center"/>
          </w:tcPr>
          <w:p w14:paraId="7F372F9C">
            <w:pPr>
              <w:jc w:val="center"/>
              <w:rPr>
                <w:color w:val="000000"/>
                <w:sz w:val="20"/>
                <w:szCs w:val="20"/>
              </w:rPr>
            </w:pPr>
            <w:r>
              <w:rPr>
                <w:color w:val="000000"/>
                <w:sz w:val="20"/>
                <w:szCs w:val="20"/>
              </w:rPr>
              <w:t>100,42</w:t>
            </w:r>
          </w:p>
        </w:tc>
        <w:tc>
          <w:tcPr>
            <w:tcW w:w="846" w:type="dxa"/>
            <w:noWrap/>
            <w:vAlign w:val="center"/>
          </w:tcPr>
          <w:p w14:paraId="032A7C45">
            <w:pPr>
              <w:jc w:val="center"/>
              <w:rPr>
                <w:color w:val="000000"/>
                <w:sz w:val="20"/>
                <w:szCs w:val="20"/>
              </w:rPr>
            </w:pPr>
            <w:r>
              <w:rPr>
                <w:color w:val="000000"/>
                <w:sz w:val="20"/>
                <w:szCs w:val="20"/>
              </w:rPr>
              <w:t>1</w:t>
            </w:r>
          </w:p>
        </w:tc>
        <w:tc>
          <w:tcPr>
            <w:tcW w:w="2578" w:type="dxa"/>
            <w:noWrap/>
            <w:vAlign w:val="center"/>
          </w:tcPr>
          <w:p w14:paraId="0FEE1BA4">
            <w:pPr>
              <w:jc w:val="center"/>
              <w:rPr>
                <w:color w:val="000000"/>
                <w:sz w:val="20"/>
                <w:szCs w:val="20"/>
              </w:rPr>
            </w:pPr>
            <w:r>
              <w:rPr>
                <w:color w:val="000000"/>
                <w:sz w:val="20"/>
                <w:szCs w:val="20"/>
              </w:rPr>
              <w:t>Mặt cắt 1-1</w:t>
            </w:r>
          </w:p>
        </w:tc>
        <w:tc>
          <w:tcPr>
            <w:tcW w:w="2393" w:type="dxa"/>
            <w:noWrap/>
            <w:vAlign w:val="center"/>
          </w:tcPr>
          <w:p w14:paraId="3CA71B60">
            <w:pPr>
              <w:jc w:val="center"/>
              <w:rPr>
                <w:color w:val="000000"/>
                <w:sz w:val="20"/>
                <w:szCs w:val="20"/>
              </w:rPr>
            </w:pPr>
            <w:r>
              <w:rPr>
                <w:color w:val="000000"/>
                <w:sz w:val="20"/>
                <w:szCs w:val="20"/>
              </w:rPr>
              <w:t>Một mặt tiền, đối diện/tiếp giáp CX-MN</w:t>
            </w:r>
          </w:p>
        </w:tc>
        <w:tc>
          <w:tcPr>
            <w:tcW w:w="1198" w:type="dxa"/>
            <w:noWrap/>
            <w:vAlign w:val="center"/>
          </w:tcPr>
          <w:p w14:paraId="71D21693">
            <w:pPr>
              <w:jc w:val="center"/>
              <w:rPr>
                <w:color w:val="000000"/>
                <w:sz w:val="20"/>
                <w:szCs w:val="20"/>
              </w:rPr>
            </w:pPr>
            <w:r>
              <w:rPr>
                <w:color w:val="000000"/>
                <w:sz w:val="20"/>
                <w:szCs w:val="20"/>
              </w:rPr>
              <w:t>12.390.000</w:t>
            </w:r>
          </w:p>
        </w:tc>
        <w:tc>
          <w:tcPr>
            <w:tcW w:w="1236" w:type="dxa"/>
            <w:noWrap/>
            <w:vAlign w:val="center"/>
          </w:tcPr>
          <w:p w14:paraId="23B90A67">
            <w:pPr>
              <w:jc w:val="center"/>
              <w:rPr>
                <w:color w:val="000000"/>
                <w:sz w:val="20"/>
                <w:szCs w:val="20"/>
              </w:rPr>
            </w:pPr>
            <w:r>
              <w:rPr>
                <w:color w:val="000000"/>
                <w:sz w:val="20"/>
                <w:szCs w:val="20"/>
              </w:rPr>
              <w:t>12.579.000</w:t>
            </w:r>
          </w:p>
        </w:tc>
        <w:tc>
          <w:tcPr>
            <w:tcW w:w="1252" w:type="dxa"/>
            <w:noWrap/>
            <w:vAlign w:val="center"/>
          </w:tcPr>
          <w:p w14:paraId="0CD0D4C8">
            <w:pPr>
              <w:jc w:val="center"/>
              <w:rPr>
                <w:color w:val="000000"/>
                <w:sz w:val="20"/>
                <w:szCs w:val="20"/>
              </w:rPr>
            </w:pPr>
            <w:r>
              <w:rPr>
                <w:color w:val="000000"/>
                <w:sz w:val="20"/>
                <w:szCs w:val="20"/>
              </w:rPr>
              <w:t>24.969.000</w:t>
            </w:r>
          </w:p>
        </w:tc>
        <w:tc>
          <w:tcPr>
            <w:tcW w:w="1848" w:type="dxa"/>
            <w:noWrap/>
            <w:vAlign w:val="center"/>
          </w:tcPr>
          <w:p w14:paraId="427FBB72">
            <w:pPr>
              <w:jc w:val="center"/>
              <w:rPr>
                <w:color w:val="000000"/>
                <w:sz w:val="20"/>
                <w:szCs w:val="20"/>
              </w:rPr>
            </w:pPr>
            <w:r>
              <w:rPr>
                <w:color w:val="000000"/>
                <w:sz w:val="20"/>
                <w:szCs w:val="20"/>
              </w:rPr>
              <w:t>2.507.386.980</w:t>
            </w:r>
          </w:p>
        </w:tc>
      </w:tr>
      <w:tr w14:paraId="3EB1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005670F">
            <w:pPr>
              <w:jc w:val="center"/>
              <w:rPr>
                <w:b/>
                <w:bCs/>
                <w:color w:val="000000"/>
                <w:sz w:val="20"/>
                <w:szCs w:val="20"/>
              </w:rPr>
            </w:pPr>
            <w:r>
              <w:rPr>
                <w:b/>
                <w:bCs/>
                <w:color w:val="000000"/>
                <w:sz w:val="20"/>
                <w:szCs w:val="20"/>
              </w:rPr>
              <w:t>LK14</w:t>
            </w:r>
          </w:p>
        </w:tc>
        <w:tc>
          <w:tcPr>
            <w:tcW w:w="1802" w:type="dxa"/>
            <w:vAlign w:val="center"/>
          </w:tcPr>
          <w:p w14:paraId="1A4F8AE2">
            <w:pPr>
              <w:jc w:val="center"/>
              <w:rPr>
                <w:color w:val="000000"/>
                <w:sz w:val="20"/>
                <w:szCs w:val="20"/>
              </w:rPr>
            </w:pPr>
            <w:r>
              <w:rPr>
                <w:color w:val="000000"/>
                <w:sz w:val="20"/>
                <w:szCs w:val="20"/>
              </w:rPr>
              <w:t>LK14:08</w:t>
            </w:r>
          </w:p>
        </w:tc>
        <w:tc>
          <w:tcPr>
            <w:tcW w:w="1033" w:type="dxa"/>
            <w:noWrap/>
            <w:vAlign w:val="center"/>
          </w:tcPr>
          <w:p w14:paraId="788FD13F">
            <w:pPr>
              <w:jc w:val="center"/>
              <w:rPr>
                <w:color w:val="000000"/>
                <w:sz w:val="20"/>
                <w:szCs w:val="20"/>
              </w:rPr>
            </w:pPr>
            <w:r>
              <w:rPr>
                <w:color w:val="000000"/>
                <w:sz w:val="20"/>
                <w:szCs w:val="20"/>
              </w:rPr>
              <w:t>96,92</w:t>
            </w:r>
          </w:p>
        </w:tc>
        <w:tc>
          <w:tcPr>
            <w:tcW w:w="846" w:type="dxa"/>
            <w:noWrap/>
            <w:vAlign w:val="center"/>
          </w:tcPr>
          <w:p w14:paraId="405B533A">
            <w:pPr>
              <w:jc w:val="center"/>
              <w:rPr>
                <w:color w:val="000000"/>
                <w:sz w:val="20"/>
                <w:szCs w:val="20"/>
              </w:rPr>
            </w:pPr>
            <w:r>
              <w:rPr>
                <w:color w:val="000000"/>
                <w:sz w:val="20"/>
                <w:szCs w:val="20"/>
              </w:rPr>
              <w:t>1</w:t>
            </w:r>
          </w:p>
        </w:tc>
        <w:tc>
          <w:tcPr>
            <w:tcW w:w="2578" w:type="dxa"/>
            <w:noWrap/>
            <w:vAlign w:val="center"/>
          </w:tcPr>
          <w:p w14:paraId="0A949CEF">
            <w:pPr>
              <w:jc w:val="center"/>
              <w:rPr>
                <w:color w:val="000000"/>
                <w:sz w:val="20"/>
                <w:szCs w:val="20"/>
              </w:rPr>
            </w:pPr>
            <w:r>
              <w:rPr>
                <w:color w:val="000000"/>
                <w:sz w:val="20"/>
                <w:szCs w:val="20"/>
              </w:rPr>
              <w:t>Mặt cắt 1-1</w:t>
            </w:r>
          </w:p>
        </w:tc>
        <w:tc>
          <w:tcPr>
            <w:tcW w:w="2393" w:type="dxa"/>
            <w:noWrap/>
            <w:vAlign w:val="center"/>
          </w:tcPr>
          <w:p w14:paraId="02552D88">
            <w:pPr>
              <w:jc w:val="center"/>
              <w:rPr>
                <w:color w:val="000000"/>
                <w:sz w:val="20"/>
                <w:szCs w:val="20"/>
              </w:rPr>
            </w:pPr>
            <w:r>
              <w:rPr>
                <w:color w:val="000000"/>
                <w:sz w:val="20"/>
                <w:szCs w:val="20"/>
              </w:rPr>
              <w:t>Một mặt tiền, đối diện/tiếp giáp CX-MN</w:t>
            </w:r>
          </w:p>
        </w:tc>
        <w:tc>
          <w:tcPr>
            <w:tcW w:w="1198" w:type="dxa"/>
            <w:noWrap/>
            <w:vAlign w:val="center"/>
          </w:tcPr>
          <w:p w14:paraId="18C0706F">
            <w:pPr>
              <w:jc w:val="center"/>
              <w:rPr>
                <w:color w:val="000000"/>
                <w:sz w:val="20"/>
                <w:szCs w:val="20"/>
              </w:rPr>
            </w:pPr>
            <w:r>
              <w:rPr>
                <w:color w:val="000000"/>
                <w:sz w:val="20"/>
                <w:szCs w:val="20"/>
              </w:rPr>
              <w:t>12.390.000</w:t>
            </w:r>
          </w:p>
        </w:tc>
        <w:tc>
          <w:tcPr>
            <w:tcW w:w="1236" w:type="dxa"/>
            <w:noWrap/>
            <w:vAlign w:val="center"/>
          </w:tcPr>
          <w:p w14:paraId="29A60461">
            <w:pPr>
              <w:jc w:val="center"/>
              <w:rPr>
                <w:color w:val="000000"/>
                <w:sz w:val="20"/>
                <w:szCs w:val="20"/>
              </w:rPr>
            </w:pPr>
            <w:r>
              <w:rPr>
                <w:color w:val="000000"/>
                <w:sz w:val="20"/>
                <w:szCs w:val="20"/>
              </w:rPr>
              <w:t>12.579.000</w:t>
            </w:r>
          </w:p>
        </w:tc>
        <w:tc>
          <w:tcPr>
            <w:tcW w:w="1252" w:type="dxa"/>
            <w:noWrap/>
            <w:vAlign w:val="center"/>
          </w:tcPr>
          <w:p w14:paraId="6102D49A">
            <w:pPr>
              <w:jc w:val="center"/>
              <w:rPr>
                <w:color w:val="000000"/>
                <w:sz w:val="20"/>
                <w:szCs w:val="20"/>
              </w:rPr>
            </w:pPr>
            <w:r>
              <w:rPr>
                <w:color w:val="000000"/>
                <w:sz w:val="20"/>
                <w:szCs w:val="20"/>
              </w:rPr>
              <w:t>24.969.000</w:t>
            </w:r>
          </w:p>
        </w:tc>
        <w:tc>
          <w:tcPr>
            <w:tcW w:w="1848" w:type="dxa"/>
            <w:noWrap/>
            <w:vAlign w:val="center"/>
          </w:tcPr>
          <w:p w14:paraId="44A31035">
            <w:pPr>
              <w:jc w:val="center"/>
              <w:rPr>
                <w:color w:val="000000"/>
                <w:sz w:val="20"/>
                <w:szCs w:val="20"/>
              </w:rPr>
            </w:pPr>
            <w:r>
              <w:rPr>
                <w:color w:val="000000"/>
                <w:sz w:val="20"/>
                <w:szCs w:val="20"/>
              </w:rPr>
              <w:t>2.419.995.480</w:t>
            </w:r>
          </w:p>
        </w:tc>
      </w:tr>
      <w:tr w14:paraId="57CC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BE8B84D">
            <w:pPr>
              <w:jc w:val="center"/>
              <w:rPr>
                <w:b/>
                <w:bCs/>
                <w:color w:val="000000"/>
                <w:sz w:val="20"/>
                <w:szCs w:val="20"/>
              </w:rPr>
            </w:pPr>
            <w:r>
              <w:rPr>
                <w:b/>
                <w:bCs/>
                <w:color w:val="000000"/>
                <w:sz w:val="20"/>
                <w:szCs w:val="20"/>
              </w:rPr>
              <w:t>LK14</w:t>
            </w:r>
          </w:p>
        </w:tc>
        <w:tc>
          <w:tcPr>
            <w:tcW w:w="1802" w:type="dxa"/>
            <w:vAlign w:val="center"/>
          </w:tcPr>
          <w:p w14:paraId="69F32ED9">
            <w:pPr>
              <w:jc w:val="center"/>
              <w:rPr>
                <w:color w:val="000000"/>
                <w:sz w:val="20"/>
                <w:szCs w:val="20"/>
              </w:rPr>
            </w:pPr>
            <w:r>
              <w:rPr>
                <w:color w:val="000000"/>
                <w:sz w:val="20"/>
                <w:szCs w:val="20"/>
              </w:rPr>
              <w:t>LK14:09</w:t>
            </w:r>
          </w:p>
        </w:tc>
        <w:tc>
          <w:tcPr>
            <w:tcW w:w="1033" w:type="dxa"/>
            <w:noWrap/>
            <w:vAlign w:val="center"/>
          </w:tcPr>
          <w:p w14:paraId="3159229C">
            <w:pPr>
              <w:jc w:val="center"/>
              <w:rPr>
                <w:color w:val="000000"/>
                <w:sz w:val="20"/>
                <w:szCs w:val="20"/>
              </w:rPr>
            </w:pPr>
            <w:r>
              <w:rPr>
                <w:color w:val="000000"/>
                <w:sz w:val="20"/>
                <w:szCs w:val="20"/>
              </w:rPr>
              <w:t>91,91</w:t>
            </w:r>
          </w:p>
        </w:tc>
        <w:tc>
          <w:tcPr>
            <w:tcW w:w="846" w:type="dxa"/>
            <w:noWrap/>
            <w:vAlign w:val="center"/>
          </w:tcPr>
          <w:p w14:paraId="4391841A">
            <w:pPr>
              <w:jc w:val="center"/>
              <w:rPr>
                <w:color w:val="000000"/>
                <w:sz w:val="20"/>
                <w:szCs w:val="20"/>
              </w:rPr>
            </w:pPr>
            <w:r>
              <w:rPr>
                <w:color w:val="000000"/>
                <w:sz w:val="20"/>
                <w:szCs w:val="20"/>
              </w:rPr>
              <w:t>1</w:t>
            </w:r>
          </w:p>
        </w:tc>
        <w:tc>
          <w:tcPr>
            <w:tcW w:w="2578" w:type="dxa"/>
            <w:noWrap/>
            <w:vAlign w:val="center"/>
          </w:tcPr>
          <w:p w14:paraId="4085B396">
            <w:pPr>
              <w:jc w:val="center"/>
              <w:rPr>
                <w:color w:val="000000"/>
                <w:sz w:val="20"/>
                <w:szCs w:val="20"/>
              </w:rPr>
            </w:pPr>
            <w:r>
              <w:rPr>
                <w:color w:val="000000"/>
                <w:sz w:val="20"/>
                <w:szCs w:val="20"/>
              </w:rPr>
              <w:t>Mặt cắt 1-1</w:t>
            </w:r>
          </w:p>
        </w:tc>
        <w:tc>
          <w:tcPr>
            <w:tcW w:w="2393" w:type="dxa"/>
            <w:noWrap/>
            <w:vAlign w:val="center"/>
          </w:tcPr>
          <w:p w14:paraId="644748AC">
            <w:pPr>
              <w:jc w:val="center"/>
              <w:rPr>
                <w:color w:val="000000"/>
                <w:sz w:val="20"/>
                <w:szCs w:val="20"/>
              </w:rPr>
            </w:pPr>
            <w:r>
              <w:rPr>
                <w:color w:val="000000"/>
                <w:sz w:val="20"/>
                <w:szCs w:val="20"/>
              </w:rPr>
              <w:t>Một mặt tiền, đối diện/tiếp giáp CX-MN</w:t>
            </w:r>
          </w:p>
        </w:tc>
        <w:tc>
          <w:tcPr>
            <w:tcW w:w="1198" w:type="dxa"/>
            <w:noWrap/>
            <w:vAlign w:val="center"/>
          </w:tcPr>
          <w:p w14:paraId="1DBBDDC1">
            <w:pPr>
              <w:jc w:val="center"/>
              <w:rPr>
                <w:color w:val="000000"/>
                <w:sz w:val="20"/>
                <w:szCs w:val="20"/>
              </w:rPr>
            </w:pPr>
            <w:r>
              <w:rPr>
                <w:color w:val="000000"/>
                <w:sz w:val="20"/>
                <w:szCs w:val="20"/>
              </w:rPr>
              <w:t>12.390.000</w:t>
            </w:r>
          </w:p>
        </w:tc>
        <w:tc>
          <w:tcPr>
            <w:tcW w:w="1236" w:type="dxa"/>
            <w:noWrap/>
            <w:vAlign w:val="center"/>
          </w:tcPr>
          <w:p w14:paraId="4B3704D6">
            <w:pPr>
              <w:jc w:val="center"/>
              <w:rPr>
                <w:color w:val="000000"/>
                <w:sz w:val="20"/>
                <w:szCs w:val="20"/>
              </w:rPr>
            </w:pPr>
            <w:r>
              <w:rPr>
                <w:color w:val="000000"/>
                <w:sz w:val="20"/>
                <w:szCs w:val="20"/>
              </w:rPr>
              <w:t>12.579.000</w:t>
            </w:r>
          </w:p>
        </w:tc>
        <w:tc>
          <w:tcPr>
            <w:tcW w:w="1252" w:type="dxa"/>
            <w:noWrap/>
            <w:vAlign w:val="center"/>
          </w:tcPr>
          <w:p w14:paraId="18C169C6">
            <w:pPr>
              <w:jc w:val="center"/>
              <w:rPr>
                <w:color w:val="000000"/>
                <w:sz w:val="20"/>
                <w:szCs w:val="20"/>
              </w:rPr>
            </w:pPr>
            <w:r>
              <w:rPr>
                <w:color w:val="000000"/>
                <w:sz w:val="20"/>
                <w:szCs w:val="20"/>
              </w:rPr>
              <w:t>24.969.000</w:t>
            </w:r>
          </w:p>
        </w:tc>
        <w:tc>
          <w:tcPr>
            <w:tcW w:w="1848" w:type="dxa"/>
            <w:noWrap/>
            <w:vAlign w:val="center"/>
          </w:tcPr>
          <w:p w14:paraId="4F039736">
            <w:pPr>
              <w:jc w:val="center"/>
              <w:rPr>
                <w:color w:val="000000"/>
                <w:sz w:val="20"/>
                <w:szCs w:val="20"/>
              </w:rPr>
            </w:pPr>
            <w:r>
              <w:rPr>
                <w:color w:val="000000"/>
                <w:sz w:val="20"/>
                <w:szCs w:val="20"/>
              </w:rPr>
              <w:t>2.294.900.790</w:t>
            </w:r>
          </w:p>
        </w:tc>
      </w:tr>
      <w:tr w14:paraId="3DBB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FA1D16">
            <w:pPr>
              <w:jc w:val="center"/>
              <w:rPr>
                <w:b/>
                <w:bCs/>
                <w:color w:val="000000"/>
                <w:sz w:val="20"/>
                <w:szCs w:val="20"/>
              </w:rPr>
            </w:pPr>
            <w:r>
              <w:rPr>
                <w:b/>
                <w:bCs/>
                <w:color w:val="000000"/>
                <w:sz w:val="20"/>
                <w:szCs w:val="20"/>
              </w:rPr>
              <w:t>LK17</w:t>
            </w:r>
          </w:p>
        </w:tc>
        <w:tc>
          <w:tcPr>
            <w:tcW w:w="1802" w:type="dxa"/>
            <w:vAlign w:val="center"/>
          </w:tcPr>
          <w:p w14:paraId="5E3AB486">
            <w:pPr>
              <w:jc w:val="center"/>
              <w:rPr>
                <w:color w:val="000000"/>
                <w:sz w:val="20"/>
                <w:szCs w:val="20"/>
              </w:rPr>
            </w:pPr>
            <w:r>
              <w:rPr>
                <w:color w:val="000000"/>
                <w:sz w:val="20"/>
                <w:szCs w:val="20"/>
              </w:rPr>
              <w:t>LK17:01</w:t>
            </w:r>
          </w:p>
        </w:tc>
        <w:tc>
          <w:tcPr>
            <w:tcW w:w="1033" w:type="dxa"/>
            <w:noWrap/>
            <w:vAlign w:val="center"/>
          </w:tcPr>
          <w:p w14:paraId="0D2C693A">
            <w:pPr>
              <w:jc w:val="center"/>
              <w:rPr>
                <w:color w:val="000000"/>
                <w:sz w:val="20"/>
                <w:szCs w:val="20"/>
              </w:rPr>
            </w:pPr>
            <w:r>
              <w:rPr>
                <w:color w:val="000000"/>
                <w:sz w:val="20"/>
                <w:szCs w:val="20"/>
              </w:rPr>
              <w:t>173,77</w:t>
            </w:r>
          </w:p>
        </w:tc>
        <w:tc>
          <w:tcPr>
            <w:tcW w:w="846" w:type="dxa"/>
            <w:noWrap/>
            <w:vAlign w:val="center"/>
          </w:tcPr>
          <w:p w14:paraId="7BCD82CD">
            <w:pPr>
              <w:jc w:val="center"/>
              <w:rPr>
                <w:color w:val="000000"/>
                <w:sz w:val="20"/>
                <w:szCs w:val="20"/>
              </w:rPr>
            </w:pPr>
            <w:r>
              <w:rPr>
                <w:color w:val="000000"/>
                <w:sz w:val="20"/>
                <w:szCs w:val="20"/>
              </w:rPr>
              <w:t>1</w:t>
            </w:r>
          </w:p>
        </w:tc>
        <w:tc>
          <w:tcPr>
            <w:tcW w:w="2578" w:type="dxa"/>
            <w:noWrap/>
            <w:vAlign w:val="center"/>
          </w:tcPr>
          <w:p w14:paraId="161FDD2C">
            <w:pPr>
              <w:jc w:val="center"/>
              <w:rPr>
                <w:color w:val="000000"/>
                <w:sz w:val="20"/>
                <w:szCs w:val="20"/>
              </w:rPr>
            </w:pPr>
            <w:r>
              <w:rPr>
                <w:color w:val="000000"/>
                <w:sz w:val="20"/>
                <w:szCs w:val="20"/>
              </w:rPr>
              <w:t>Mặt cắt 1-1</w:t>
            </w:r>
          </w:p>
        </w:tc>
        <w:tc>
          <w:tcPr>
            <w:tcW w:w="2393" w:type="dxa"/>
            <w:noWrap/>
            <w:vAlign w:val="center"/>
          </w:tcPr>
          <w:p w14:paraId="5F74ADA2">
            <w:pPr>
              <w:jc w:val="center"/>
              <w:rPr>
                <w:color w:val="000000"/>
                <w:sz w:val="20"/>
                <w:szCs w:val="20"/>
              </w:rPr>
            </w:pPr>
            <w:r>
              <w:rPr>
                <w:color w:val="000000"/>
                <w:sz w:val="20"/>
                <w:szCs w:val="20"/>
              </w:rPr>
              <w:t>Một mặt tiền, đối diện/tiếp giáp CX-MN</w:t>
            </w:r>
          </w:p>
        </w:tc>
        <w:tc>
          <w:tcPr>
            <w:tcW w:w="1198" w:type="dxa"/>
            <w:noWrap/>
            <w:vAlign w:val="center"/>
          </w:tcPr>
          <w:p w14:paraId="1A361917">
            <w:pPr>
              <w:jc w:val="center"/>
              <w:rPr>
                <w:color w:val="000000"/>
                <w:sz w:val="20"/>
                <w:szCs w:val="20"/>
              </w:rPr>
            </w:pPr>
            <w:r>
              <w:rPr>
                <w:color w:val="000000"/>
                <w:sz w:val="20"/>
                <w:szCs w:val="20"/>
              </w:rPr>
              <w:t>12.390.000</w:t>
            </w:r>
          </w:p>
        </w:tc>
        <w:tc>
          <w:tcPr>
            <w:tcW w:w="1236" w:type="dxa"/>
            <w:noWrap/>
            <w:vAlign w:val="center"/>
          </w:tcPr>
          <w:p w14:paraId="286D36C9">
            <w:pPr>
              <w:jc w:val="center"/>
              <w:rPr>
                <w:color w:val="000000"/>
                <w:sz w:val="20"/>
                <w:szCs w:val="20"/>
              </w:rPr>
            </w:pPr>
          </w:p>
        </w:tc>
        <w:tc>
          <w:tcPr>
            <w:tcW w:w="1252" w:type="dxa"/>
            <w:noWrap/>
            <w:vAlign w:val="center"/>
          </w:tcPr>
          <w:p w14:paraId="00DB960A">
            <w:pPr>
              <w:jc w:val="center"/>
              <w:rPr>
                <w:color w:val="000000"/>
                <w:sz w:val="20"/>
                <w:szCs w:val="20"/>
              </w:rPr>
            </w:pPr>
            <w:r>
              <w:rPr>
                <w:color w:val="000000"/>
                <w:sz w:val="20"/>
                <w:szCs w:val="20"/>
              </w:rPr>
              <w:t>12.390.000</w:t>
            </w:r>
          </w:p>
        </w:tc>
        <w:tc>
          <w:tcPr>
            <w:tcW w:w="1848" w:type="dxa"/>
            <w:noWrap/>
            <w:vAlign w:val="center"/>
          </w:tcPr>
          <w:p w14:paraId="0317A905">
            <w:pPr>
              <w:jc w:val="center"/>
              <w:rPr>
                <w:color w:val="000000"/>
                <w:sz w:val="20"/>
                <w:szCs w:val="20"/>
              </w:rPr>
            </w:pPr>
            <w:r>
              <w:rPr>
                <w:color w:val="000000"/>
                <w:sz w:val="20"/>
                <w:szCs w:val="20"/>
              </w:rPr>
              <w:t>2.153.010.300</w:t>
            </w:r>
          </w:p>
        </w:tc>
      </w:tr>
      <w:tr w14:paraId="5F9D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B5FA72A">
            <w:pPr>
              <w:jc w:val="center"/>
              <w:rPr>
                <w:b/>
                <w:bCs/>
                <w:color w:val="000000"/>
                <w:sz w:val="20"/>
                <w:szCs w:val="20"/>
              </w:rPr>
            </w:pPr>
            <w:r>
              <w:rPr>
                <w:b/>
                <w:bCs/>
                <w:color w:val="000000"/>
                <w:sz w:val="20"/>
                <w:szCs w:val="20"/>
              </w:rPr>
              <w:t>LK17</w:t>
            </w:r>
          </w:p>
        </w:tc>
        <w:tc>
          <w:tcPr>
            <w:tcW w:w="1802" w:type="dxa"/>
            <w:vAlign w:val="center"/>
          </w:tcPr>
          <w:p w14:paraId="4F9CE06E">
            <w:pPr>
              <w:jc w:val="center"/>
              <w:rPr>
                <w:color w:val="000000"/>
                <w:sz w:val="20"/>
                <w:szCs w:val="20"/>
              </w:rPr>
            </w:pPr>
            <w:r>
              <w:rPr>
                <w:color w:val="000000"/>
                <w:sz w:val="20"/>
                <w:szCs w:val="20"/>
              </w:rPr>
              <w:t>LK17:02</w:t>
            </w:r>
          </w:p>
        </w:tc>
        <w:tc>
          <w:tcPr>
            <w:tcW w:w="1033" w:type="dxa"/>
            <w:noWrap/>
            <w:vAlign w:val="center"/>
          </w:tcPr>
          <w:p w14:paraId="505AC4A3">
            <w:pPr>
              <w:jc w:val="center"/>
              <w:rPr>
                <w:color w:val="000000"/>
                <w:sz w:val="20"/>
                <w:szCs w:val="20"/>
              </w:rPr>
            </w:pPr>
            <w:r>
              <w:rPr>
                <w:color w:val="000000"/>
                <w:sz w:val="20"/>
                <w:szCs w:val="20"/>
              </w:rPr>
              <w:t>90,00</w:t>
            </w:r>
          </w:p>
        </w:tc>
        <w:tc>
          <w:tcPr>
            <w:tcW w:w="846" w:type="dxa"/>
            <w:noWrap/>
            <w:vAlign w:val="center"/>
          </w:tcPr>
          <w:p w14:paraId="4536718A">
            <w:pPr>
              <w:jc w:val="center"/>
              <w:rPr>
                <w:color w:val="000000"/>
                <w:sz w:val="20"/>
                <w:szCs w:val="20"/>
              </w:rPr>
            </w:pPr>
            <w:r>
              <w:rPr>
                <w:color w:val="000000"/>
                <w:sz w:val="20"/>
                <w:szCs w:val="20"/>
              </w:rPr>
              <w:t>1</w:t>
            </w:r>
          </w:p>
        </w:tc>
        <w:tc>
          <w:tcPr>
            <w:tcW w:w="2578" w:type="dxa"/>
            <w:noWrap/>
            <w:vAlign w:val="center"/>
          </w:tcPr>
          <w:p w14:paraId="54AE8A2E">
            <w:pPr>
              <w:jc w:val="center"/>
              <w:rPr>
                <w:color w:val="000000"/>
                <w:sz w:val="20"/>
                <w:szCs w:val="20"/>
              </w:rPr>
            </w:pPr>
            <w:r>
              <w:rPr>
                <w:color w:val="000000"/>
                <w:sz w:val="20"/>
                <w:szCs w:val="20"/>
              </w:rPr>
              <w:t>Mặt cắt 1-1</w:t>
            </w:r>
          </w:p>
        </w:tc>
        <w:tc>
          <w:tcPr>
            <w:tcW w:w="2393" w:type="dxa"/>
            <w:noWrap/>
            <w:vAlign w:val="center"/>
          </w:tcPr>
          <w:p w14:paraId="46F7F8C0">
            <w:pPr>
              <w:jc w:val="center"/>
              <w:rPr>
                <w:color w:val="000000"/>
                <w:sz w:val="20"/>
                <w:szCs w:val="20"/>
              </w:rPr>
            </w:pPr>
            <w:r>
              <w:rPr>
                <w:color w:val="000000"/>
                <w:sz w:val="20"/>
                <w:szCs w:val="20"/>
              </w:rPr>
              <w:t>Một mặt tiền, đối diện/tiếp giáp CX-MN</w:t>
            </w:r>
          </w:p>
        </w:tc>
        <w:tc>
          <w:tcPr>
            <w:tcW w:w="1198" w:type="dxa"/>
            <w:noWrap/>
            <w:vAlign w:val="center"/>
          </w:tcPr>
          <w:p w14:paraId="320EC920">
            <w:pPr>
              <w:jc w:val="center"/>
              <w:rPr>
                <w:color w:val="000000"/>
                <w:sz w:val="20"/>
                <w:szCs w:val="20"/>
              </w:rPr>
            </w:pPr>
            <w:r>
              <w:rPr>
                <w:color w:val="000000"/>
                <w:sz w:val="20"/>
                <w:szCs w:val="20"/>
              </w:rPr>
              <w:t>12.390.000</w:t>
            </w:r>
          </w:p>
        </w:tc>
        <w:tc>
          <w:tcPr>
            <w:tcW w:w="1236" w:type="dxa"/>
            <w:noWrap/>
            <w:vAlign w:val="center"/>
          </w:tcPr>
          <w:p w14:paraId="7C468F43">
            <w:pPr>
              <w:jc w:val="center"/>
              <w:rPr>
                <w:color w:val="000000"/>
                <w:sz w:val="20"/>
                <w:szCs w:val="20"/>
              </w:rPr>
            </w:pPr>
            <w:r>
              <w:rPr>
                <w:color w:val="000000"/>
                <w:sz w:val="20"/>
                <w:szCs w:val="20"/>
              </w:rPr>
              <w:t>12.579.000</w:t>
            </w:r>
          </w:p>
        </w:tc>
        <w:tc>
          <w:tcPr>
            <w:tcW w:w="1252" w:type="dxa"/>
            <w:noWrap/>
            <w:vAlign w:val="center"/>
          </w:tcPr>
          <w:p w14:paraId="39F2F7D9">
            <w:pPr>
              <w:jc w:val="center"/>
              <w:rPr>
                <w:color w:val="000000"/>
                <w:sz w:val="20"/>
                <w:szCs w:val="20"/>
              </w:rPr>
            </w:pPr>
            <w:r>
              <w:rPr>
                <w:color w:val="000000"/>
                <w:sz w:val="20"/>
                <w:szCs w:val="20"/>
              </w:rPr>
              <w:t>24.969.000</w:t>
            </w:r>
          </w:p>
        </w:tc>
        <w:tc>
          <w:tcPr>
            <w:tcW w:w="1848" w:type="dxa"/>
            <w:noWrap/>
            <w:vAlign w:val="center"/>
          </w:tcPr>
          <w:p w14:paraId="391B1913">
            <w:pPr>
              <w:jc w:val="center"/>
              <w:rPr>
                <w:color w:val="000000"/>
                <w:sz w:val="20"/>
                <w:szCs w:val="20"/>
              </w:rPr>
            </w:pPr>
            <w:r>
              <w:rPr>
                <w:color w:val="000000"/>
                <w:sz w:val="20"/>
                <w:szCs w:val="20"/>
              </w:rPr>
              <w:t>2.247.210.000</w:t>
            </w:r>
          </w:p>
        </w:tc>
      </w:tr>
      <w:tr w14:paraId="55FF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F3061CC">
            <w:pPr>
              <w:jc w:val="center"/>
              <w:rPr>
                <w:b/>
                <w:bCs/>
                <w:color w:val="000000"/>
                <w:sz w:val="20"/>
                <w:szCs w:val="20"/>
              </w:rPr>
            </w:pPr>
            <w:r>
              <w:rPr>
                <w:b/>
                <w:bCs/>
                <w:color w:val="000000"/>
                <w:sz w:val="20"/>
                <w:szCs w:val="20"/>
              </w:rPr>
              <w:t>LK17</w:t>
            </w:r>
          </w:p>
        </w:tc>
        <w:tc>
          <w:tcPr>
            <w:tcW w:w="1802" w:type="dxa"/>
            <w:vAlign w:val="center"/>
          </w:tcPr>
          <w:p w14:paraId="3E249A56">
            <w:pPr>
              <w:jc w:val="center"/>
              <w:rPr>
                <w:color w:val="000000"/>
                <w:sz w:val="20"/>
                <w:szCs w:val="20"/>
              </w:rPr>
            </w:pPr>
            <w:r>
              <w:rPr>
                <w:color w:val="000000"/>
                <w:sz w:val="20"/>
                <w:szCs w:val="20"/>
              </w:rPr>
              <w:t>LK17:03</w:t>
            </w:r>
          </w:p>
        </w:tc>
        <w:tc>
          <w:tcPr>
            <w:tcW w:w="1033" w:type="dxa"/>
            <w:noWrap/>
            <w:vAlign w:val="center"/>
          </w:tcPr>
          <w:p w14:paraId="1D41BD2C">
            <w:pPr>
              <w:jc w:val="center"/>
              <w:rPr>
                <w:color w:val="000000"/>
                <w:sz w:val="20"/>
                <w:szCs w:val="20"/>
              </w:rPr>
            </w:pPr>
            <w:r>
              <w:rPr>
                <w:color w:val="000000"/>
                <w:sz w:val="20"/>
                <w:szCs w:val="20"/>
              </w:rPr>
              <w:t>90,00</w:t>
            </w:r>
          </w:p>
        </w:tc>
        <w:tc>
          <w:tcPr>
            <w:tcW w:w="846" w:type="dxa"/>
            <w:noWrap/>
            <w:vAlign w:val="center"/>
          </w:tcPr>
          <w:p w14:paraId="7E02F1FC">
            <w:pPr>
              <w:jc w:val="center"/>
              <w:rPr>
                <w:color w:val="000000"/>
                <w:sz w:val="20"/>
                <w:szCs w:val="20"/>
              </w:rPr>
            </w:pPr>
            <w:r>
              <w:rPr>
                <w:color w:val="000000"/>
                <w:sz w:val="20"/>
                <w:szCs w:val="20"/>
              </w:rPr>
              <w:t>1</w:t>
            </w:r>
          </w:p>
        </w:tc>
        <w:tc>
          <w:tcPr>
            <w:tcW w:w="2578" w:type="dxa"/>
            <w:noWrap/>
            <w:vAlign w:val="center"/>
          </w:tcPr>
          <w:p w14:paraId="520A48CE">
            <w:pPr>
              <w:jc w:val="center"/>
              <w:rPr>
                <w:color w:val="000000"/>
                <w:sz w:val="20"/>
                <w:szCs w:val="20"/>
              </w:rPr>
            </w:pPr>
            <w:r>
              <w:rPr>
                <w:color w:val="000000"/>
                <w:sz w:val="20"/>
                <w:szCs w:val="20"/>
              </w:rPr>
              <w:t>Mặt cắt 1-1</w:t>
            </w:r>
          </w:p>
        </w:tc>
        <w:tc>
          <w:tcPr>
            <w:tcW w:w="2393" w:type="dxa"/>
            <w:noWrap/>
            <w:vAlign w:val="center"/>
          </w:tcPr>
          <w:p w14:paraId="6F97F534">
            <w:pPr>
              <w:jc w:val="center"/>
              <w:rPr>
                <w:color w:val="000000"/>
                <w:sz w:val="20"/>
                <w:szCs w:val="20"/>
              </w:rPr>
            </w:pPr>
            <w:r>
              <w:rPr>
                <w:color w:val="000000"/>
                <w:sz w:val="20"/>
                <w:szCs w:val="20"/>
              </w:rPr>
              <w:t>Một mặt tiền, đối diện/tiếp giáp CX-MN</w:t>
            </w:r>
          </w:p>
        </w:tc>
        <w:tc>
          <w:tcPr>
            <w:tcW w:w="1198" w:type="dxa"/>
            <w:noWrap/>
            <w:vAlign w:val="center"/>
          </w:tcPr>
          <w:p w14:paraId="33A6BB16">
            <w:pPr>
              <w:jc w:val="center"/>
              <w:rPr>
                <w:color w:val="000000"/>
                <w:sz w:val="20"/>
                <w:szCs w:val="20"/>
              </w:rPr>
            </w:pPr>
            <w:r>
              <w:rPr>
                <w:color w:val="000000"/>
                <w:sz w:val="20"/>
                <w:szCs w:val="20"/>
              </w:rPr>
              <w:t>12.390.000</w:t>
            </w:r>
          </w:p>
        </w:tc>
        <w:tc>
          <w:tcPr>
            <w:tcW w:w="1236" w:type="dxa"/>
            <w:noWrap/>
            <w:vAlign w:val="center"/>
          </w:tcPr>
          <w:p w14:paraId="1E6403C0">
            <w:pPr>
              <w:jc w:val="center"/>
              <w:rPr>
                <w:color w:val="000000"/>
                <w:sz w:val="20"/>
                <w:szCs w:val="20"/>
              </w:rPr>
            </w:pPr>
            <w:r>
              <w:rPr>
                <w:color w:val="000000"/>
                <w:sz w:val="20"/>
                <w:szCs w:val="20"/>
              </w:rPr>
              <w:t>12.579.000</w:t>
            </w:r>
          </w:p>
        </w:tc>
        <w:tc>
          <w:tcPr>
            <w:tcW w:w="1252" w:type="dxa"/>
            <w:noWrap/>
            <w:vAlign w:val="center"/>
          </w:tcPr>
          <w:p w14:paraId="7DF09E89">
            <w:pPr>
              <w:jc w:val="center"/>
              <w:rPr>
                <w:color w:val="000000"/>
                <w:sz w:val="20"/>
                <w:szCs w:val="20"/>
              </w:rPr>
            </w:pPr>
            <w:r>
              <w:rPr>
                <w:color w:val="000000"/>
                <w:sz w:val="20"/>
                <w:szCs w:val="20"/>
              </w:rPr>
              <w:t>24.969.000</w:t>
            </w:r>
          </w:p>
        </w:tc>
        <w:tc>
          <w:tcPr>
            <w:tcW w:w="1848" w:type="dxa"/>
            <w:noWrap/>
            <w:vAlign w:val="center"/>
          </w:tcPr>
          <w:p w14:paraId="12FEDA0B">
            <w:pPr>
              <w:jc w:val="center"/>
              <w:rPr>
                <w:color w:val="000000"/>
                <w:sz w:val="20"/>
                <w:szCs w:val="20"/>
              </w:rPr>
            </w:pPr>
            <w:r>
              <w:rPr>
                <w:color w:val="000000"/>
                <w:sz w:val="20"/>
                <w:szCs w:val="20"/>
              </w:rPr>
              <w:t>2.247.210.000</w:t>
            </w:r>
          </w:p>
        </w:tc>
      </w:tr>
      <w:tr w14:paraId="6C3A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A4E1355">
            <w:pPr>
              <w:jc w:val="center"/>
              <w:rPr>
                <w:b/>
                <w:bCs/>
                <w:color w:val="000000"/>
                <w:sz w:val="20"/>
                <w:szCs w:val="20"/>
              </w:rPr>
            </w:pPr>
            <w:r>
              <w:rPr>
                <w:b/>
                <w:bCs/>
                <w:color w:val="000000"/>
                <w:sz w:val="20"/>
                <w:szCs w:val="20"/>
              </w:rPr>
              <w:t>LK17</w:t>
            </w:r>
          </w:p>
        </w:tc>
        <w:tc>
          <w:tcPr>
            <w:tcW w:w="1802" w:type="dxa"/>
            <w:vAlign w:val="center"/>
          </w:tcPr>
          <w:p w14:paraId="30487D6B">
            <w:pPr>
              <w:jc w:val="center"/>
              <w:rPr>
                <w:color w:val="000000"/>
                <w:sz w:val="20"/>
                <w:szCs w:val="20"/>
              </w:rPr>
            </w:pPr>
            <w:r>
              <w:rPr>
                <w:color w:val="000000"/>
                <w:sz w:val="20"/>
                <w:szCs w:val="20"/>
              </w:rPr>
              <w:t>LK17:04</w:t>
            </w:r>
          </w:p>
        </w:tc>
        <w:tc>
          <w:tcPr>
            <w:tcW w:w="1033" w:type="dxa"/>
            <w:noWrap/>
            <w:vAlign w:val="center"/>
          </w:tcPr>
          <w:p w14:paraId="68004E08">
            <w:pPr>
              <w:jc w:val="center"/>
              <w:rPr>
                <w:color w:val="000000"/>
                <w:sz w:val="20"/>
                <w:szCs w:val="20"/>
              </w:rPr>
            </w:pPr>
            <w:r>
              <w:rPr>
                <w:color w:val="000000"/>
                <w:sz w:val="20"/>
                <w:szCs w:val="20"/>
              </w:rPr>
              <w:t>90,00</w:t>
            </w:r>
          </w:p>
        </w:tc>
        <w:tc>
          <w:tcPr>
            <w:tcW w:w="846" w:type="dxa"/>
            <w:noWrap/>
            <w:vAlign w:val="center"/>
          </w:tcPr>
          <w:p w14:paraId="6EBE72C7">
            <w:pPr>
              <w:jc w:val="center"/>
              <w:rPr>
                <w:color w:val="000000"/>
                <w:sz w:val="20"/>
                <w:szCs w:val="20"/>
              </w:rPr>
            </w:pPr>
            <w:r>
              <w:rPr>
                <w:color w:val="000000"/>
                <w:sz w:val="20"/>
                <w:szCs w:val="20"/>
              </w:rPr>
              <w:t>1</w:t>
            </w:r>
          </w:p>
        </w:tc>
        <w:tc>
          <w:tcPr>
            <w:tcW w:w="2578" w:type="dxa"/>
            <w:noWrap/>
            <w:vAlign w:val="center"/>
          </w:tcPr>
          <w:p w14:paraId="1B462F63">
            <w:pPr>
              <w:jc w:val="center"/>
              <w:rPr>
                <w:color w:val="000000"/>
                <w:sz w:val="20"/>
                <w:szCs w:val="20"/>
              </w:rPr>
            </w:pPr>
            <w:r>
              <w:rPr>
                <w:color w:val="000000"/>
                <w:sz w:val="20"/>
                <w:szCs w:val="20"/>
              </w:rPr>
              <w:t>Mặt cắt 1-1</w:t>
            </w:r>
          </w:p>
        </w:tc>
        <w:tc>
          <w:tcPr>
            <w:tcW w:w="2393" w:type="dxa"/>
            <w:noWrap/>
            <w:vAlign w:val="center"/>
          </w:tcPr>
          <w:p w14:paraId="6E949C70">
            <w:pPr>
              <w:jc w:val="center"/>
              <w:rPr>
                <w:color w:val="000000"/>
                <w:sz w:val="20"/>
                <w:szCs w:val="20"/>
              </w:rPr>
            </w:pPr>
            <w:r>
              <w:rPr>
                <w:color w:val="000000"/>
                <w:sz w:val="20"/>
                <w:szCs w:val="20"/>
              </w:rPr>
              <w:t>Một mặt tiền, đối diện/tiếp giáp CX-MN</w:t>
            </w:r>
          </w:p>
        </w:tc>
        <w:tc>
          <w:tcPr>
            <w:tcW w:w="1198" w:type="dxa"/>
            <w:noWrap/>
            <w:vAlign w:val="center"/>
          </w:tcPr>
          <w:p w14:paraId="56426CB9">
            <w:pPr>
              <w:jc w:val="center"/>
              <w:rPr>
                <w:color w:val="000000"/>
                <w:sz w:val="20"/>
                <w:szCs w:val="20"/>
              </w:rPr>
            </w:pPr>
            <w:r>
              <w:rPr>
                <w:color w:val="000000"/>
                <w:sz w:val="20"/>
                <w:szCs w:val="20"/>
              </w:rPr>
              <w:t>12.390.000</w:t>
            </w:r>
          </w:p>
        </w:tc>
        <w:tc>
          <w:tcPr>
            <w:tcW w:w="1236" w:type="dxa"/>
            <w:noWrap/>
            <w:vAlign w:val="center"/>
          </w:tcPr>
          <w:p w14:paraId="4D51CEBF">
            <w:pPr>
              <w:jc w:val="center"/>
              <w:rPr>
                <w:color w:val="000000"/>
                <w:sz w:val="20"/>
                <w:szCs w:val="20"/>
              </w:rPr>
            </w:pPr>
            <w:r>
              <w:rPr>
                <w:color w:val="000000"/>
                <w:sz w:val="20"/>
                <w:szCs w:val="20"/>
              </w:rPr>
              <w:t>12.579.000</w:t>
            </w:r>
          </w:p>
        </w:tc>
        <w:tc>
          <w:tcPr>
            <w:tcW w:w="1252" w:type="dxa"/>
            <w:noWrap/>
            <w:vAlign w:val="center"/>
          </w:tcPr>
          <w:p w14:paraId="5675518C">
            <w:pPr>
              <w:jc w:val="center"/>
              <w:rPr>
                <w:color w:val="000000"/>
                <w:sz w:val="20"/>
                <w:szCs w:val="20"/>
              </w:rPr>
            </w:pPr>
            <w:r>
              <w:rPr>
                <w:color w:val="000000"/>
                <w:sz w:val="20"/>
                <w:szCs w:val="20"/>
              </w:rPr>
              <w:t>24.969.000</w:t>
            </w:r>
          </w:p>
        </w:tc>
        <w:tc>
          <w:tcPr>
            <w:tcW w:w="1848" w:type="dxa"/>
            <w:noWrap/>
            <w:vAlign w:val="center"/>
          </w:tcPr>
          <w:p w14:paraId="6DC651BB">
            <w:pPr>
              <w:jc w:val="center"/>
              <w:rPr>
                <w:color w:val="000000"/>
                <w:sz w:val="20"/>
                <w:szCs w:val="20"/>
              </w:rPr>
            </w:pPr>
            <w:r>
              <w:rPr>
                <w:color w:val="000000"/>
                <w:sz w:val="20"/>
                <w:szCs w:val="20"/>
              </w:rPr>
              <w:t>2.247.210.000</w:t>
            </w:r>
          </w:p>
        </w:tc>
      </w:tr>
      <w:tr w14:paraId="7C02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68CE06">
            <w:pPr>
              <w:jc w:val="center"/>
              <w:rPr>
                <w:b/>
                <w:bCs/>
                <w:color w:val="000000"/>
                <w:sz w:val="20"/>
                <w:szCs w:val="20"/>
              </w:rPr>
            </w:pPr>
            <w:r>
              <w:rPr>
                <w:b/>
                <w:bCs/>
                <w:color w:val="000000"/>
                <w:sz w:val="20"/>
                <w:szCs w:val="20"/>
              </w:rPr>
              <w:t>LK17</w:t>
            </w:r>
          </w:p>
        </w:tc>
        <w:tc>
          <w:tcPr>
            <w:tcW w:w="1802" w:type="dxa"/>
            <w:vAlign w:val="center"/>
          </w:tcPr>
          <w:p w14:paraId="2AB46791">
            <w:pPr>
              <w:jc w:val="center"/>
              <w:rPr>
                <w:color w:val="000000"/>
                <w:sz w:val="20"/>
                <w:szCs w:val="20"/>
              </w:rPr>
            </w:pPr>
            <w:r>
              <w:rPr>
                <w:color w:val="000000"/>
                <w:sz w:val="20"/>
                <w:szCs w:val="20"/>
              </w:rPr>
              <w:t>LK17:05</w:t>
            </w:r>
          </w:p>
        </w:tc>
        <w:tc>
          <w:tcPr>
            <w:tcW w:w="1033" w:type="dxa"/>
            <w:noWrap/>
            <w:vAlign w:val="center"/>
          </w:tcPr>
          <w:p w14:paraId="65F5DFAB">
            <w:pPr>
              <w:jc w:val="center"/>
              <w:rPr>
                <w:color w:val="000000"/>
                <w:sz w:val="20"/>
                <w:szCs w:val="20"/>
              </w:rPr>
            </w:pPr>
            <w:r>
              <w:rPr>
                <w:color w:val="000000"/>
                <w:sz w:val="20"/>
                <w:szCs w:val="20"/>
              </w:rPr>
              <w:t>90,00</w:t>
            </w:r>
          </w:p>
        </w:tc>
        <w:tc>
          <w:tcPr>
            <w:tcW w:w="846" w:type="dxa"/>
            <w:noWrap/>
            <w:vAlign w:val="center"/>
          </w:tcPr>
          <w:p w14:paraId="24929397">
            <w:pPr>
              <w:jc w:val="center"/>
              <w:rPr>
                <w:color w:val="000000"/>
                <w:sz w:val="20"/>
                <w:szCs w:val="20"/>
              </w:rPr>
            </w:pPr>
            <w:r>
              <w:rPr>
                <w:color w:val="000000"/>
                <w:sz w:val="20"/>
                <w:szCs w:val="20"/>
              </w:rPr>
              <w:t>1</w:t>
            </w:r>
          </w:p>
        </w:tc>
        <w:tc>
          <w:tcPr>
            <w:tcW w:w="2578" w:type="dxa"/>
            <w:noWrap/>
            <w:vAlign w:val="center"/>
          </w:tcPr>
          <w:p w14:paraId="2634D3FC">
            <w:pPr>
              <w:jc w:val="center"/>
              <w:rPr>
                <w:color w:val="000000"/>
                <w:sz w:val="20"/>
                <w:szCs w:val="20"/>
              </w:rPr>
            </w:pPr>
            <w:r>
              <w:rPr>
                <w:color w:val="000000"/>
                <w:sz w:val="20"/>
                <w:szCs w:val="20"/>
              </w:rPr>
              <w:t>Mặt cắt 1-1</w:t>
            </w:r>
          </w:p>
        </w:tc>
        <w:tc>
          <w:tcPr>
            <w:tcW w:w="2393" w:type="dxa"/>
            <w:noWrap/>
            <w:vAlign w:val="center"/>
          </w:tcPr>
          <w:p w14:paraId="53B53300">
            <w:pPr>
              <w:jc w:val="center"/>
              <w:rPr>
                <w:color w:val="000000"/>
                <w:sz w:val="20"/>
                <w:szCs w:val="20"/>
              </w:rPr>
            </w:pPr>
            <w:r>
              <w:rPr>
                <w:color w:val="000000"/>
                <w:sz w:val="20"/>
                <w:szCs w:val="20"/>
              </w:rPr>
              <w:t>Một mặt tiền, đối diện/tiếp giáp CX-MN</w:t>
            </w:r>
          </w:p>
        </w:tc>
        <w:tc>
          <w:tcPr>
            <w:tcW w:w="1198" w:type="dxa"/>
            <w:noWrap/>
            <w:vAlign w:val="center"/>
          </w:tcPr>
          <w:p w14:paraId="697279A3">
            <w:pPr>
              <w:jc w:val="center"/>
              <w:rPr>
                <w:color w:val="000000"/>
                <w:sz w:val="20"/>
                <w:szCs w:val="20"/>
              </w:rPr>
            </w:pPr>
            <w:r>
              <w:rPr>
                <w:color w:val="000000"/>
                <w:sz w:val="20"/>
                <w:szCs w:val="20"/>
              </w:rPr>
              <w:t>12.390.000</w:t>
            </w:r>
          </w:p>
        </w:tc>
        <w:tc>
          <w:tcPr>
            <w:tcW w:w="1236" w:type="dxa"/>
            <w:noWrap/>
            <w:vAlign w:val="center"/>
          </w:tcPr>
          <w:p w14:paraId="67B15EF8">
            <w:pPr>
              <w:jc w:val="center"/>
              <w:rPr>
                <w:color w:val="000000"/>
                <w:sz w:val="20"/>
                <w:szCs w:val="20"/>
              </w:rPr>
            </w:pPr>
            <w:r>
              <w:rPr>
                <w:color w:val="000000"/>
                <w:sz w:val="20"/>
                <w:szCs w:val="20"/>
              </w:rPr>
              <w:t>12.579.000</w:t>
            </w:r>
          </w:p>
        </w:tc>
        <w:tc>
          <w:tcPr>
            <w:tcW w:w="1252" w:type="dxa"/>
            <w:noWrap/>
            <w:vAlign w:val="center"/>
          </w:tcPr>
          <w:p w14:paraId="1A953A7F">
            <w:pPr>
              <w:jc w:val="center"/>
              <w:rPr>
                <w:color w:val="000000"/>
                <w:sz w:val="20"/>
                <w:szCs w:val="20"/>
              </w:rPr>
            </w:pPr>
            <w:r>
              <w:rPr>
                <w:color w:val="000000"/>
                <w:sz w:val="20"/>
                <w:szCs w:val="20"/>
              </w:rPr>
              <w:t>24.969.000</w:t>
            </w:r>
          </w:p>
        </w:tc>
        <w:tc>
          <w:tcPr>
            <w:tcW w:w="1848" w:type="dxa"/>
            <w:noWrap/>
            <w:vAlign w:val="center"/>
          </w:tcPr>
          <w:p w14:paraId="69F1CAEA">
            <w:pPr>
              <w:jc w:val="center"/>
              <w:rPr>
                <w:color w:val="000000"/>
                <w:sz w:val="20"/>
                <w:szCs w:val="20"/>
              </w:rPr>
            </w:pPr>
            <w:r>
              <w:rPr>
                <w:color w:val="000000"/>
                <w:sz w:val="20"/>
                <w:szCs w:val="20"/>
              </w:rPr>
              <w:t>2.247.210.000</w:t>
            </w:r>
          </w:p>
        </w:tc>
      </w:tr>
      <w:tr w14:paraId="2B12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0B80215">
            <w:pPr>
              <w:jc w:val="center"/>
              <w:rPr>
                <w:b/>
                <w:bCs/>
                <w:color w:val="000000"/>
                <w:sz w:val="20"/>
                <w:szCs w:val="20"/>
              </w:rPr>
            </w:pPr>
            <w:r>
              <w:rPr>
                <w:b/>
                <w:bCs/>
                <w:color w:val="000000"/>
                <w:sz w:val="20"/>
                <w:szCs w:val="20"/>
              </w:rPr>
              <w:t>LK17</w:t>
            </w:r>
          </w:p>
        </w:tc>
        <w:tc>
          <w:tcPr>
            <w:tcW w:w="1802" w:type="dxa"/>
            <w:vAlign w:val="center"/>
          </w:tcPr>
          <w:p w14:paraId="2E34A071">
            <w:pPr>
              <w:jc w:val="center"/>
              <w:rPr>
                <w:color w:val="000000"/>
                <w:sz w:val="20"/>
                <w:szCs w:val="20"/>
              </w:rPr>
            </w:pPr>
            <w:r>
              <w:rPr>
                <w:color w:val="000000"/>
                <w:sz w:val="20"/>
                <w:szCs w:val="20"/>
              </w:rPr>
              <w:t>LK17:06</w:t>
            </w:r>
          </w:p>
        </w:tc>
        <w:tc>
          <w:tcPr>
            <w:tcW w:w="1033" w:type="dxa"/>
            <w:noWrap/>
            <w:vAlign w:val="center"/>
          </w:tcPr>
          <w:p w14:paraId="33FBED76">
            <w:pPr>
              <w:jc w:val="center"/>
              <w:rPr>
                <w:color w:val="000000"/>
                <w:sz w:val="20"/>
                <w:szCs w:val="20"/>
              </w:rPr>
            </w:pPr>
            <w:r>
              <w:rPr>
                <w:color w:val="000000"/>
                <w:sz w:val="20"/>
                <w:szCs w:val="20"/>
              </w:rPr>
              <w:t>90,00</w:t>
            </w:r>
          </w:p>
        </w:tc>
        <w:tc>
          <w:tcPr>
            <w:tcW w:w="846" w:type="dxa"/>
            <w:noWrap/>
            <w:vAlign w:val="center"/>
          </w:tcPr>
          <w:p w14:paraId="62D1A81C">
            <w:pPr>
              <w:jc w:val="center"/>
              <w:rPr>
                <w:color w:val="000000"/>
                <w:sz w:val="20"/>
                <w:szCs w:val="20"/>
              </w:rPr>
            </w:pPr>
            <w:r>
              <w:rPr>
                <w:color w:val="000000"/>
                <w:sz w:val="20"/>
                <w:szCs w:val="20"/>
              </w:rPr>
              <w:t>1</w:t>
            </w:r>
          </w:p>
        </w:tc>
        <w:tc>
          <w:tcPr>
            <w:tcW w:w="2578" w:type="dxa"/>
            <w:noWrap/>
            <w:vAlign w:val="center"/>
          </w:tcPr>
          <w:p w14:paraId="202B335F">
            <w:pPr>
              <w:jc w:val="center"/>
              <w:rPr>
                <w:color w:val="000000"/>
                <w:sz w:val="20"/>
                <w:szCs w:val="20"/>
              </w:rPr>
            </w:pPr>
            <w:r>
              <w:rPr>
                <w:color w:val="000000"/>
                <w:sz w:val="20"/>
                <w:szCs w:val="20"/>
              </w:rPr>
              <w:t>Mặt cắt 1-1</w:t>
            </w:r>
          </w:p>
        </w:tc>
        <w:tc>
          <w:tcPr>
            <w:tcW w:w="2393" w:type="dxa"/>
            <w:noWrap/>
            <w:vAlign w:val="center"/>
          </w:tcPr>
          <w:p w14:paraId="345E829A">
            <w:pPr>
              <w:jc w:val="center"/>
              <w:rPr>
                <w:color w:val="000000"/>
                <w:sz w:val="20"/>
                <w:szCs w:val="20"/>
              </w:rPr>
            </w:pPr>
            <w:r>
              <w:rPr>
                <w:color w:val="000000"/>
                <w:sz w:val="20"/>
                <w:szCs w:val="20"/>
              </w:rPr>
              <w:t>Một mặt tiền, đối diện/tiếp giáp CX-MN</w:t>
            </w:r>
          </w:p>
        </w:tc>
        <w:tc>
          <w:tcPr>
            <w:tcW w:w="1198" w:type="dxa"/>
            <w:noWrap/>
            <w:vAlign w:val="center"/>
          </w:tcPr>
          <w:p w14:paraId="28C5258A">
            <w:pPr>
              <w:jc w:val="center"/>
              <w:rPr>
                <w:color w:val="000000"/>
                <w:sz w:val="20"/>
                <w:szCs w:val="20"/>
              </w:rPr>
            </w:pPr>
            <w:r>
              <w:rPr>
                <w:color w:val="000000"/>
                <w:sz w:val="20"/>
                <w:szCs w:val="20"/>
              </w:rPr>
              <w:t>12.390.000</w:t>
            </w:r>
          </w:p>
        </w:tc>
        <w:tc>
          <w:tcPr>
            <w:tcW w:w="1236" w:type="dxa"/>
            <w:noWrap/>
            <w:vAlign w:val="center"/>
          </w:tcPr>
          <w:p w14:paraId="2E3DDF93">
            <w:pPr>
              <w:jc w:val="center"/>
              <w:rPr>
                <w:color w:val="000000"/>
                <w:sz w:val="20"/>
                <w:szCs w:val="20"/>
              </w:rPr>
            </w:pPr>
            <w:r>
              <w:rPr>
                <w:color w:val="000000"/>
                <w:sz w:val="20"/>
                <w:szCs w:val="20"/>
              </w:rPr>
              <w:t>12.579.000</w:t>
            </w:r>
          </w:p>
        </w:tc>
        <w:tc>
          <w:tcPr>
            <w:tcW w:w="1252" w:type="dxa"/>
            <w:noWrap/>
            <w:vAlign w:val="center"/>
          </w:tcPr>
          <w:p w14:paraId="16B6C5F9">
            <w:pPr>
              <w:jc w:val="center"/>
              <w:rPr>
                <w:color w:val="000000"/>
                <w:sz w:val="20"/>
                <w:szCs w:val="20"/>
              </w:rPr>
            </w:pPr>
            <w:r>
              <w:rPr>
                <w:color w:val="000000"/>
                <w:sz w:val="20"/>
                <w:szCs w:val="20"/>
              </w:rPr>
              <w:t>24.969.000</w:t>
            </w:r>
          </w:p>
        </w:tc>
        <w:tc>
          <w:tcPr>
            <w:tcW w:w="1848" w:type="dxa"/>
            <w:noWrap/>
            <w:vAlign w:val="center"/>
          </w:tcPr>
          <w:p w14:paraId="7CD5A471">
            <w:pPr>
              <w:jc w:val="center"/>
              <w:rPr>
                <w:color w:val="000000"/>
                <w:sz w:val="20"/>
                <w:szCs w:val="20"/>
              </w:rPr>
            </w:pPr>
            <w:r>
              <w:rPr>
                <w:color w:val="000000"/>
                <w:sz w:val="20"/>
                <w:szCs w:val="20"/>
              </w:rPr>
              <w:t>2.247.210.000</w:t>
            </w:r>
          </w:p>
        </w:tc>
      </w:tr>
      <w:tr w14:paraId="5952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CBB8EF7">
            <w:pPr>
              <w:jc w:val="center"/>
              <w:rPr>
                <w:b/>
                <w:bCs/>
                <w:color w:val="000000"/>
                <w:sz w:val="20"/>
                <w:szCs w:val="20"/>
              </w:rPr>
            </w:pPr>
            <w:r>
              <w:rPr>
                <w:b/>
                <w:bCs/>
                <w:color w:val="000000"/>
                <w:sz w:val="20"/>
                <w:szCs w:val="20"/>
              </w:rPr>
              <w:t>LK17</w:t>
            </w:r>
          </w:p>
        </w:tc>
        <w:tc>
          <w:tcPr>
            <w:tcW w:w="1802" w:type="dxa"/>
            <w:vAlign w:val="center"/>
          </w:tcPr>
          <w:p w14:paraId="4268961D">
            <w:pPr>
              <w:jc w:val="center"/>
              <w:rPr>
                <w:color w:val="000000"/>
                <w:sz w:val="20"/>
                <w:szCs w:val="20"/>
              </w:rPr>
            </w:pPr>
            <w:r>
              <w:rPr>
                <w:color w:val="000000"/>
                <w:sz w:val="20"/>
                <w:szCs w:val="20"/>
              </w:rPr>
              <w:t>LK17:07</w:t>
            </w:r>
          </w:p>
        </w:tc>
        <w:tc>
          <w:tcPr>
            <w:tcW w:w="1033" w:type="dxa"/>
            <w:noWrap/>
            <w:vAlign w:val="center"/>
          </w:tcPr>
          <w:p w14:paraId="41539E18">
            <w:pPr>
              <w:jc w:val="center"/>
              <w:rPr>
                <w:color w:val="000000"/>
                <w:sz w:val="20"/>
                <w:szCs w:val="20"/>
              </w:rPr>
            </w:pPr>
            <w:r>
              <w:rPr>
                <w:color w:val="000000"/>
                <w:sz w:val="20"/>
                <w:szCs w:val="20"/>
              </w:rPr>
              <w:t>90,00</w:t>
            </w:r>
          </w:p>
        </w:tc>
        <w:tc>
          <w:tcPr>
            <w:tcW w:w="846" w:type="dxa"/>
            <w:noWrap/>
            <w:vAlign w:val="center"/>
          </w:tcPr>
          <w:p w14:paraId="3FE4C41A">
            <w:pPr>
              <w:jc w:val="center"/>
              <w:rPr>
                <w:color w:val="000000"/>
                <w:sz w:val="20"/>
                <w:szCs w:val="20"/>
              </w:rPr>
            </w:pPr>
            <w:r>
              <w:rPr>
                <w:color w:val="000000"/>
                <w:sz w:val="20"/>
                <w:szCs w:val="20"/>
              </w:rPr>
              <w:t>1</w:t>
            </w:r>
          </w:p>
        </w:tc>
        <w:tc>
          <w:tcPr>
            <w:tcW w:w="2578" w:type="dxa"/>
            <w:noWrap/>
            <w:vAlign w:val="center"/>
          </w:tcPr>
          <w:p w14:paraId="4643FAED">
            <w:pPr>
              <w:jc w:val="center"/>
              <w:rPr>
                <w:color w:val="000000"/>
                <w:sz w:val="20"/>
                <w:szCs w:val="20"/>
              </w:rPr>
            </w:pPr>
            <w:r>
              <w:rPr>
                <w:color w:val="000000"/>
                <w:sz w:val="20"/>
                <w:szCs w:val="20"/>
              </w:rPr>
              <w:t>Mặt cắt 1-1</w:t>
            </w:r>
          </w:p>
        </w:tc>
        <w:tc>
          <w:tcPr>
            <w:tcW w:w="2393" w:type="dxa"/>
            <w:noWrap/>
            <w:vAlign w:val="center"/>
          </w:tcPr>
          <w:p w14:paraId="38FE3C00">
            <w:pPr>
              <w:jc w:val="center"/>
              <w:rPr>
                <w:color w:val="000000"/>
                <w:sz w:val="20"/>
                <w:szCs w:val="20"/>
              </w:rPr>
            </w:pPr>
            <w:r>
              <w:rPr>
                <w:color w:val="000000"/>
                <w:sz w:val="20"/>
                <w:szCs w:val="20"/>
              </w:rPr>
              <w:t>Một mặt tiền, đối diện/tiếp giáp CX-MN</w:t>
            </w:r>
          </w:p>
        </w:tc>
        <w:tc>
          <w:tcPr>
            <w:tcW w:w="1198" w:type="dxa"/>
            <w:noWrap/>
            <w:vAlign w:val="center"/>
          </w:tcPr>
          <w:p w14:paraId="0C50A70B">
            <w:pPr>
              <w:jc w:val="center"/>
              <w:rPr>
                <w:color w:val="000000"/>
                <w:sz w:val="20"/>
                <w:szCs w:val="20"/>
              </w:rPr>
            </w:pPr>
            <w:r>
              <w:rPr>
                <w:color w:val="000000"/>
                <w:sz w:val="20"/>
                <w:szCs w:val="20"/>
              </w:rPr>
              <w:t>12.390.000</w:t>
            </w:r>
          </w:p>
        </w:tc>
        <w:tc>
          <w:tcPr>
            <w:tcW w:w="1236" w:type="dxa"/>
            <w:noWrap/>
            <w:vAlign w:val="center"/>
          </w:tcPr>
          <w:p w14:paraId="0D24F8B6">
            <w:pPr>
              <w:jc w:val="center"/>
              <w:rPr>
                <w:color w:val="000000"/>
                <w:sz w:val="20"/>
                <w:szCs w:val="20"/>
              </w:rPr>
            </w:pPr>
            <w:r>
              <w:rPr>
                <w:color w:val="000000"/>
                <w:sz w:val="20"/>
                <w:szCs w:val="20"/>
              </w:rPr>
              <w:t>12.579.000</w:t>
            </w:r>
          </w:p>
        </w:tc>
        <w:tc>
          <w:tcPr>
            <w:tcW w:w="1252" w:type="dxa"/>
            <w:noWrap/>
            <w:vAlign w:val="center"/>
          </w:tcPr>
          <w:p w14:paraId="5E661BEE">
            <w:pPr>
              <w:jc w:val="center"/>
              <w:rPr>
                <w:color w:val="000000"/>
                <w:sz w:val="20"/>
                <w:szCs w:val="20"/>
              </w:rPr>
            </w:pPr>
            <w:r>
              <w:rPr>
                <w:color w:val="000000"/>
                <w:sz w:val="20"/>
                <w:szCs w:val="20"/>
              </w:rPr>
              <w:t>24.969.000</w:t>
            </w:r>
          </w:p>
        </w:tc>
        <w:tc>
          <w:tcPr>
            <w:tcW w:w="1848" w:type="dxa"/>
            <w:noWrap/>
            <w:vAlign w:val="center"/>
          </w:tcPr>
          <w:p w14:paraId="0E4A740C">
            <w:pPr>
              <w:jc w:val="center"/>
              <w:rPr>
                <w:color w:val="000000"/>
                <w:sz w:val="20"/>
                <w:szCs w:val="20"/>
              </w:rPr>
            </w:pPr>
            <w:r>
              <w:rPr>
                <w:color w:val="000000"/>
                <w:sz w:val="20"/>
                <w:szCs w:val="20"/>
              </w:rPr>
              <w:t>2.247.210.000</w:t>
            </w:r>
          </w:p>
        </w:tc>
      </w:tr>
      <w:tr w14:paraId="1A5D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3558F8D">
            <w:pPr>
              <w:jc w:val="center"/>
              <w:rPr>
                <w:b/>
                <w:bCs/>
                <w:color w:val="000000"/>
                <w:sz w:val="20"/>
                <w:szCs w:val="20"/>
              </w:rPr>
            </w:pPr>
            <w:r>
              <w:rPr>
                <w:b/>
                <w:bCs/>
                <w:color w:val="000000"/>
                <w:sz w:val="20"/>
                <w:szCs w:val="20"/>
              </w:rPr>
              <w:t>LK17</w:t>
            </w:r>
          </w:p>
        </w:tc>
        <w:tc>
          <w:tcPr>
            <w:tcW w:w="1802" w:type="dxa"/>
            <w:vAlign w:val="center"/>
          </w:tcPr>
          <w:p w14:paraId="1470ECB7">
            <w:pPr>
              <w:jc w:val="center"/>
              <w:rPr>
                <w:color w:val="000000"/>
                <w:sz w:val="20"/>
                <w:szCs w:val="20"/>
              </w:rPr>
            </w:pPr>
            <w:r>
              <w:rPr>
                <w:color w:val="000000"/>
                <w:sz w:val="20"/>
                <w:szCs w:val="20"/>
              </w:rPr>
              <w:t>LK17:08</w:t>
            </w:r>
          </w:p>
        </w:tc>
        <w:tc>
          <w:tcPr>
            <w:tcW w:w="1033" w:type="dxa"/>
            <w:noWrap/>
            <w:vAlign w:val="center"/>
          </w:tcPr>
          <w:p w14:paraId="4B35EFD0">
            <w:pPr>
              <w:jc w:val="center"/>
              <w:rPr>
                <w:color w:val="000000"/>
                <w:sz w:val="20"/>
                <w:szCs w:val="20"/>
              </w:rPr>
            </w:pPr>
            <w:r>
              <w:rPr>
                <w:color w:val="000000"/>
                <w:sz w:val="20"/>
                <w:szCs w:val="20"/>
              </w:rPr>
              <w:t>90,00</w:t>
            </w:r>
          </w:p>
        </w:tc>
        <w:tc>
          <w:tcPr>
            <w:tcW w:w="846" w:type="dxa"/>
            <w:noWrap/>
            <w:vAlign w:val="center"/>
          </w:tcPr>
          <w:p w14:paraId="6F3DD567">
            <w:pPr>
              <w:jc w:val="center"/>
              <w:rPr>
                <w:color w:val="000000"/>
                <w:sz w:val="20"/>
                <w:szCs w:val="20"/>
              </w:rPr>
            </w:pPr>
            <w:r>
              <w:rPr>
                <w:color w:val="000000"/>
                <w:sz w:val="20"/>
                <w:szCs w:val="20"/>
              </w:rPr>
              <w:t>1</w:t>
            </w:r>
          </w:p>
        </w:tc>
        <w:tc>
          <w:tcPr>
            <w:tcW w:w="2578" w:type="dxa"/>
            <w:noWrap/>
            <w:vAlign w:val="center"/>
          </w:tcPr>
          <w:p w14:paraId="3230BE44">
            <w:pPr>
              <w:jc w:val="center"/>
              <w:rPr>
                <w:color w:val="000000"/>
                <w:sz w:val="20"/>
                <w:szCs w:val="20"/>
              </w:rPr>
            </w:pPr>
            <w:r>
              <w:rPr>
                <w:color w:val="000000"/>
                <w:sz w:val="20"/>
                <w:szCs w:val="20"/>
              </w:rPr>
              <w:t>Mặt cắt 1-1</w:t>
            </w:r>
          </w:p>
        </w:tc>
        <w:tc>
          <w:tcPr>
            <w:tcW w:w="2393" w:type="dxa"/>
            <w:noWrap/>
            <w:vAlign w:val="center"/>
          </w:tcPr>
          <w:p w14:paraId="12FFF545">
            <w:pPr>
              <w:jc w:val="center"/>
              <w:rPr>
                <w:color w:val="000000"/>
                <w:sz w:val="20"/>
                <w:szCs w:val="20"/>
              </w:rPr>
            </w:pPr>
            <w:r>
              <w:rPr>
                <w:color w:val="000000"/>
                <w:sz w:val="20"/>
                <w:szCs w:val="20"/>
              </w:rPr>
              <w:t>Một mặt tiền, đối diện/tiếp giáp CX-MN</w:t>
            </w:r>
          </w:p>
        </w:tc>
        <w:tc>
          <w:tcPr>
            <w:tcW w:w="1198" w:type="dxa"/>
            <w:noWrap/>
            <w:vAlign w:val="center"/>
          </w:tcPr>
          <w:p w14:paraId="0071253F">
            <w:pPr>
              <w:jc w:val="center"/>
              <w:rPr>
                <w:color w:val="000000"/>
                <w:sz w:val="20"/>
                <w:szCs w:val="20"/>
              </w:rPr>
            </w:pPr>
            <w:r>
              <w:rPr>
                <w:color w:val="000000"/>
                <w:sz w:val="20"/>
                <w:szCs w:val="20"/>
              </w:rPr>
              <w:t>12.390.000</w:t>
            </w:r>
          </w:p>
        </w:tc>
        <w:tc>
          <w:tcPr>
            <w:tcW w:w="1236" w:type="dxa"/>
            <w:noWrap/>
            <w:vAlign w:val="center"/>
          </w:tcPr>
          <w:p w14:paraId="0FAE98D0">
            <w:pPr>
              <w:jc w:val="center"/>
              <w:rPr>
                <w:color w:val="000000"/>
                <w:sz w:val="20"/>
                <w:szCs w:val="20"/>
              </w:rPr>
            </w:pPr>
            <w:r>
              <w:rPr>
                <w:color w:val="000000"/>
                <w:sz w:val="20"/>
                <w:szCs w:val="20"/>
              </w:rPr>
              <w:t>12.579.000</w:t>
            </w:r>
          </w:p>
        </w:tc>
        <w:tc>
          <w:tcPr>
            <w:tcW w:w="1252" w:type="dxa"/>
            <w:noWrap/>
            <w:vAlign w:val="center"/>
          </w:tcPr>
          <w:p w14:paraId="38291C83">
            <w:pPr>
              <w:jc w:val="center"/>
              <w:rPr>
                <w:color w:val="000000"/>
                <w:sz w:val="20"/>
                <w:szCs w:val="20"/>
              </w:rPr>
            </w:pPr>
            <w:r>
              <w:rPr>
                <w:color w:val="000000"/>
                <w:sz w:val="20"/>
                <w:szCs w:val="20"/>
              </w:rPr>
              <w:t>24.969.000</w:t>
            </w:r>
          </w:p>
        </w:tc>
        <w:tc>
          <w:tcPr>
            <w:tcW w:w="1848" w:type="dxa"/>
            <w:noWrap/>
            <w:vAlign w:val="center"/>
          </w:tcPr>
          <w:p w14:paraId="1C378E5E">
            <w:pPr>
              <w:jc w:val="center"/>
              <w:rPr>
                <w:color w:val="000000"/>
                <w:sz w:val="20"/>
                <w:szCs w:val="20"/>
              </w:rPr>
            </w:pPr>
            <w:r>
              <w:rPr>
                <w:color w:val="000000"/>
                <w:sz w:val="20"/>
                <w:szCs w:val="20"/>
              </w:rPr>
              <w:t>2.247.210.000</w:t>
            </w:r>
          </w:p>
        </w:tc>
      </w:tr>
      <w:tr w14:paraId="6B86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E354BC1">
            <w:pPr>
              <w:jc w:val="center"/>
              <w:rPr>
                <w:b/>
                <w:bCs/>
                <w:color w:val="000000"/>
                <w:sz w:val="20"/>
                <w:szCs w:val="20"/>
              </w:rPr>
            </w:pPr>
            <w:r>
              <w:rPr>
                <w:b/>
                <w:bCs/>
                <w:color w:val="000000"/>
                <w:sz w:val="20"/>
                <w:szCs w:val="20"/>
              </w:rPr>
              <w:t>LK17</w:t>
            </w:r>
          </w:p>
        </w:tc>
        <w:tc>
          <w:tcPr>
            <w:tcW w:w="1802" w:type="dxa"/>
            <w:vAlign w:val="center"/>
          </w:tcPr>
          <w:p w14:paraId="2DA7D9DF">
            <w:pPr>
              <w:jc w:val="center"/>
              <w:rPr>
                <w:color w:val="000000"/>
                <w:sz w:val="20"/>
                <w:szCs w:val="20"/>
              </w:rPr>
            </w:pPr>
            <w:r>
              <w:rPr>
                <w:color w:val="000000"/>
                <w:sz w:val="20"/>
                <w:szCs w:val="20"/>
              </w:rPr>
              <w:t>LK17:09</w:t>
            </w:r>
          </w:p>
        </w:tc>
        <w:tc>
          <w:tcPr>
            <w:tcW w:w="1033" w:type="dxa"/>
            <w:noWrap/>
            <w:vAlign w:val="center"/>
          </w:tcPr>
          <w:p w14:paraId="1B5E00AD">
            <w:pPr>
              <w:jc w:val="center"/>
              <w:rPr>
                <w:color w:val="000000"/>
                <w:sz w:val="20"/>
                <w:szCs w:val="20"/>
              </w:rPr>
            </w:pPr>
            <w:r>
              <w:rPr>
                <w:color w:val="000000"/>
                <w:sz w:val="20"/>
                <w:szCs w:val="20"/>
              </w:rPr>
              <w:t>113,35</w:t>
            </w:r>
          </w:p>
        </w:tc>
        <w:tc>
          <w:tcPr>
            <w:tcW w:w="846" w:type="dxa"/>
            <w:noWrap/>
            <w:vAlign w:val="center"/>
          </w:tcPr>
          <w:p w14:paraId="004CBD53">
            <w:pPr>
              <w:jc w:val="center"/>
              <w:rPr>
                <w:color w:val="000000"/>
                <w:sz w:val="20"/>
                <w:szCs w:val="20"/>
              </w:rPr>
            </w:pPr>
            <w:r>
              <w:rPr>
                <w:color w:val="000000"/>
                <w:sz w:val="20"/>
                <w:szCs w:val="20"/>
              </w:rPr>
              <w:t>1</w:t>
            </w:r>
          </w:p>
        </w:tc>
        <w:tc>
          <w:tcPr>
            <w:tcW w:w="2578" w:type="dxa"/>
            <w:noWrap/>
            <w:vAlign w:val="center"/>
          </w:tcPr>
          <w:p w14:paraId="1B07CFC7">
            <w:pPr>
              <w:jc w:val="center"/>
              <w:rPr>
                <w:color w:val="000000"/>
                <w:sz w:val="20"/>
                <w:szCs w:val="20"/>
              </w:rPr>
            </w:pPr>
            <w:r>
              <w:rPr>
                <w:color w:val="000000"/>
                <w:sz w:val="20"/>
                <w:szCs w:val="20"/>
              </w:rPr>
              <w:t>Mặt cắt 1-1</w:t>
            </w:r>
          </w:p>
        </w:tc>
        <w:tc>
          <w:tcPr>
            <w:tcW w:w="2393" w:type="dxa"/>
            <w:noWrap/>
            <w:vAlign w:val="center"/>
          </w:tcPr>
          <w:p w14:paraId="15BAC8BC">
            <w:pPr>
              <w:jc w:val="center"/>
              <w:rPr>
                <w:color w:val="000000"/>
                <w:sz w:val="20"/>
                <w:szCs w:val="20"/>
              </w:rPr>
            </w:pPr>
            <w:r>
              <w:rPr>
                <w:color w:val="000000"/>
                <w:sz w:val="20"/>
                <w:szCs w:val="20"/>
              </w:rPr>
              <w:t>Một mặt tiền, đối diện/tiếp giáp CX-MN</w:t>
            </w:r>
          </w:p>
        </w:tc>
        <w:tc>
          <w:tcPr>
            <w:tcW w:w="1198" w:type="dxa"/>
            <w:noWrap/>
            <w:vAlign w:val="center"/>
          </w:tcPr>
          <w:p w14:paraId="39B38214">
            <w:pPr>
              <w:jc w:val="center"/>
              <w:rPr>
                <w:color w:val="000000"/>
                <w:sz w:val="20"/>
                <w:szCs w:val="20"/>
              </w:rPr>
            </w:pPr>
            <w:r>
              <w:rPr>
                <w:color w:val="000000"/>
                <w:sz w:val="20"/>
                <w:szCs w:val="20"/>
              </w:rPr>
              <w:t>12.390.000</w:t>
            </w:r>
          </w:p>
        </w:tc>
        <w:tc>
          <w:tcPr>
            <w:tcW w:w="1236" w:type="dxa"/>
            <w:noWrap/>
            <w:vAlign w:val="center"/>
          </w:tcPr>
          <w:p w14:paraId="3692126E">
            <w:pPr>
              <w:jc w:val="center"/>
              <w:rPr>
                <w:color w:val="000000"/>
                <w:sz w:val="20"/>
                <w:szCs w:val="20"/>
              </w:rPr>
            </w:pPr>
            <w:r>
              <w:rPr>
                <w:color w:val="000000"/>
                <w:sz w:val="20"/>
                <w:szCs w:val="20"/>
              </w:rPr>
              <w:t>12.579.000</w:t>
            </w:r>
          </w:p>
        </w:tc>
        <w:tc>
          <w:tcPr>
            <w:tcW w:w="1252" w:type="dxa"/>
            <w:noWrap/>
            <w:vAlign w:val="center"/>
          </w:tcPr>
          <w:p w14:paraId="1CD9E5A6">
            <w:pPr>
              <w:jc w:val="center"/>
              <w:rPr>
                <w:color w:val="000000"/>
                <w:sz w:val="20"/>
                <w:szCs w:val="20"/>
              </w:rPr>
            </w:pPr>
            <w:r>
              <w:rPr>
                <w:color w:val="000000"/>
                <w:sz w:val="20"/>
                <w:szCs w:val="20"/>
              </w:rPr>
              <w:t>24.969.000</w:t>
            </w:r>
          </w:p>
        </w:tc>
        <w:tc>
          <w:tcPr>
            <w:tcW w:w="1848" w:type="dxa"/>
            <w:noWrap/>
            <w:vAlign w:val="center"/>
          </w:tcPr>
          <w:p w14:paraId="6E4BC30E">
            <w:pPr>
              <w:jc w:val="center"/>
              <w:rPr>
                <w:color w:val="000000"/>
                <w:sz w:val="20"/>
                <w:szCs w:val="20"/>
              </w:rPr>
            </w:pPr>
            <w:r>
              <w:rPr>
                <w:color w:val="000000"/>
                <w:sz w:val="20"/>
                <w:szCs w:val="20"/>
              </w:rPr>
              <w:t>2.830.236.150</w:t>
            </w:r>
          </w:p>
        </w:tc>
      </w:tr>
      <w:tr w14:paraId="709B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7E327F">
            <w:pPr>
              <w:jc w:val="center"/>
              <w:rPr>
                <w:b/>
                <w:bCs/>
                <w:color w:val="000000"/>
                <w:sz w:val="20"/>
                <w:szCs w:val="20"/>
              </w:rPr>
            </w:pPr>
            <w:r>
              <w:rPr>
                <w:b/>
                <w:bCs/>
                <w:color w:val="000000"/>
                <w:sz w:val="20"/>
                <w:szCs w:val="20"/>
              </w:rPr>
              <w:t>LK18</w:t>
            </w:r>
          </w:p>
        </w:tc>
        <w:tc>
          <w:tcPr>
            <w:tcW w:w="1802" w:type="dxa"/>
            <w:vAlign w:val="center"/>
          </w:tcPr>
          <w:p w14:paraId="7463FEC9">
            <w:pPr>
              <w:jc w:val="center"/>
              <w:rPr>
                <w:color w:val="000000"/>
                <w:sz w:val="20"/>
                <w:szCs w:val="20"/>
              </w:rPr>
            </w:pPr>
            <w:r>
              <w:rPr>
                <w:color w:val="000000"/>
                <w:sz w:val="20"/>
                <w:szCs w:val="20"/>
              </w:rPr>
              <w:t>LK18:02</w:t>
            </w:r>
          </w:p>
        </w:tc>
        <w:tc>
          <w:tcPr>
            <w:tcW w:w="1033" w:type="dxa"/>
            <w:noWrap/>
            <w:vAlign w:val="center"/>
          </w:tcPr>
          <w:p w14:paraId="3B325E41">
            <w:pPr>
              <w:jc w:val="center"/>
              <w:rPr>
                <w:color w:val="000000"/>
                <w:sz w:val="20"/>
                <w:szCs w:val="20"/>
              </w:rPr>
            </w:pPr>
            <w:r>
              <w:rPr>
                <w:color w:val="000000"/>
                <w:sz w:val="20"/>
                <w:szCs w:val="20"/>
              </w:rPr>
              <w:t>90,00</w:t>
            </w:r>
          </w:p>
        </w:tc>
        <w:tc>
          <w:tcPr>
            <w:tcW w:w="846" w:type="dxa"/>
            <w:noWrap/>
            <w:vAlign w:val="center"/>
          </w:tcPr>
          <w:p w14:paraId="1656B98F">
            <w:pPr>
              <w:jc w:val="center"/>
              <w:rPr>
                <w:color w:val="000000"/>
                <w:sz w:val="20"/>
                <w:szCs w:val="20"/>
              </w:rPr>
            </w:pPr>
            <w:r>
              <w:rPr>
                <w:color w:val="000000"/>
                <w:sz w:val="20"/>
                <w:szCs w:val="20"/>
              </w:rPr>
              <w:t>1</w:t>
            </w:r>
          </w:p>
        </w:tc>
        <w:tc>
          <w:tcPr>
            <w:tcW w:w="2578" w:type="dxa"/>
            <w:noWrap/>
            <w:vAlign w:val="center"/>
          </w:tcPr>
          <w:p w14:paraId="1819638A">
            <w:pPr>
              <w:jc w:val="center"/>
              <w:rPr>
                <w:color w:val="000000"/>
                <w:sz w:val="20"/>
                <w:szCs w:val="20"/>
              </w:rPr>
            </w:pPr>
            <w:r>
              <w:rPr>
                <w:color w:val="000000"/>
                <w:sz w:val="20"/>
                <w:szCs w:val="20"/>
              </w:rPr>
              <w:t>Mặt cắt 1-1</w:t>
            </w:r>
          </w:p>
        </w:tc>
        <w:tc>
          <w:tcPr>
            <w:tcW w:w="2393" w:type="dxa"/>
            <w:noWrap/>
            <w:vAlign w:val="center"/>
          </w:tcPr>
          <w:p w14:paraId="210C6EA4">
            <w:pPr>
              <w:jc w:val="center"/>
              <w:rPr>
                <w:color w:val="000000"/>
                <w:sz w:val="20"/>
                <w:szCs w:val="20"/>
              </w:rPr>
            </w:pPr>
            <w:r>
              <w:rPr>
                <w:color w:val="000000"/>
                <w:sz w:val="20"/>
                <w:szCs w:val="20"/>
              </w:rPr>
              <w:t>Một mặt tiền</w:t>
            </w:r>
          </w:p>
        </w:tc>
        <w:tc>
          <w:tcPr>
            <w:tcW w:w="1198" w:type="dxa"/>
            <w:noWrap/>
            <w:vAlign w:val="center"/>
          </w:tcPr>
          <w:p w14:paraId="74FD4452">
            <w:pPr>
              <w:jc w:val="center"/>
              <w:rPr>
                <w:color w:val="000000"/>
                <w:sz w:val="20"/>
                <w:szCs w:val="20"/>
              </w:rPr>
            </w:pPr>
            <w:r>
              <w:rPr>
                <w:color w:val="000000"/>
                <w:sz w:val="20"/>
                <w:szCs w:val="20"/>
              </w:rPr>
              <w:t>11.800.000</w:t>
            </w:r>
          </w:p>
        </w:tc>
        <w:tc>
          <w:tcPr>
            <w:tcW w:w="1236" w:type="dxa"/>
            <w:noWrap/>
            <w:vAlign w:val="center"/>
          </w:tcPr>
          <w:p w14:paraId="3332E737">
            <w:pPr>
              <w:jc w:val="center"/>
              <w:rPr>
                <w:color w:val="000000"/>
                <w:sz w:val="20"/>
                <w:szCs w:val="20"/>
              </w:rPr>
            </w:pPr>
            <w:r>
              <w:rPr>
                <w:color w:val="000000"/>
                <w:sz w:val="20"/>
                <w:szCs w:val="20"/>
              </w:rPr>
              <w:t>12.579.000</w:t>
            </w:r>
          </w:p>
        </w:tc>
        <w:tc>
          <w:tcPr>
            <w:tcW w:w="1252" w:type="dxa"/>
            <w:noWrap/>
            <w:vAlign w:val="center"/>
          </w:tcPr>
          <w:p w14:paraId="42DCF256">
            <w:pPr>
              <w:jc w:val="center"/>
              <w:rPr>
                <w:color w:val="000000"/>
                <w:sz w:val="20"/>
                <w:szCs w:val="20"/>
              </w:rPr>
            </w:pPr>
            <w:r>
              <w:rPr>
                <w:color w:val="000000"/>
                <w:sz w:val="20"/>
                <w:szCs w:val="20"/>
              </w:rPr>
              <w:t>24.379.000</w:t>
            </w:r>
          </w:p>
        </w:tc>
        <w:tc>
          <w:tcPr>
            <w:tcW w:w="1848" w:type="dxa"/>
            <w:noWrap/>
            <w:vAlign w:val="center"/>
          </w:tcPr>
          <w:p w14:paraId="3149A06A">
            <w:pPr>
              <w:jc w:val="center"/>
              <w:rPr>
                <w:color w:val="000000"/>
                <w:sz w:val="20"/>
                <w:szCs w:val="20"/>
              </w:rPr>
            </w:pPr>
            <w:r>
              <w:rPr>
                <w:color w:val="000000"/>
                <w:sz w:val="20"/>
                <w:szCs w:val="20"/>
              </w:rPr>
              <w:t>2.194.110.000</w:t>
            </w:r>
          </w:p>
        </w:tc>
      </w:tr>
      <w:tr w14:paraId="6C29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4336D18">
            <w:pPr>
              <w:jc w:val="center"/>
              <w:rPr>
                <w:b/>
                <w:bCs/>
                <w:color w:val="000000"/>
                <w:sz w:val="20"/>
                <w:szCs w:val="20"/>
              </w:rPr>
            </w:pPr>
            <w:r>
              <w:rPr>
                <w:b/>
                <w:bCs/>
                <w:color w:val="000000"/>
                <w:sz w:val="20"/>
                <w:szCs w:val="20"/>
              </w:rPr>
              <w:t>LK18</w:t>
            </w:r>
          </w:p>
        </w:tc>
        <w:tc>
          <w:tcPr>
            <w:tcW w:w="1802" w:type="dxa"/>
            <w:vAlign w:val="center"/>
          </w:tcPr>
          <w:p w14:paraId="63ED04F6">
            <w:pPr>
              <w:jc w:val="center"/>
              <w:rPr>
                <w:color w:val="000000"/>
                <w:sz w:val="20"/>
                <w:szCs w:val="20"/>
              </w:rPr>
            </w:pPr>
            <w:r>
              <w:rPr>
                <w:color w:val="000000"/>
                <w:sz w:val="20"/>
                <w:szCs w:val="20"/>
              </w:rPr>
              <w:t>LK18:03</w:t>
            </w:r>
          </w:p>
        </w:tc>
        <w:tc>
          <w:tcPr>
            <w:tcW w:w="1033" w:type="dxa"/>
            <w:noWrap/>
            <w:vAlign w:val="center"/>
          </w:tcPr>
          <w:p w14:paraId="16E44A01">
            <w:pPr>
              <w:jc w:val="center"/>
              <w:rPr>
                <w:color w:val="000000"/>
                <w:sz w:val="20"/>
                <w:szCs w:val="20"/>
              </w:rPr>
            </w:pPr>
            <w:r>
              <w:rPr>
                <w:color w:val="000000"/>
                <w:sz w:val="20"/>
                <w:szCs w:val="20"/>
              </w:rPr>
              <w:t>90,00</w:t>
            </w:r>
          </w:p>
        </w:tc>
        <w:tc>
          <w:tcPr>
            <w:tcW w:w="846" w:type="dxa"/>
            <w:noWrap/>
            <w:vAlign w:val="center"/>
          </w:tcPr>
          <w:p w14:paraId="4EF7CCC6">
            <w:pPr>
              <w:jc w:val="center"/>
              <w:rPr>
                <w:color w:val="000000"/>
                <w:sz w:val="20"/>
                <w:szCs w:val="20"/>
              </w:rPr>
            </w:pPr>
            <w:r>
              <w:rPr>
                <w:color w:val="000000"/>
                <w:sz w:val="20"/>
                <w:szCs w:val="20"/>
              </w:rPr>
              <w:t>1</w:t>
            </w:r>
          </w:p>
        </w:tc>
        <w:tc>
          <w:tcPr>
            <w:tcW w:w="2578" w:type="dxa"/>
            <w:noWrap/>
            <w:vAlign w:val="center"/>
          </w:tcPr>
          <w:p w14:paraId="13779B8D">
            <w:pPr>
              <w:jc w:val="center"/>
              <w:rPr>
                <w:color w:val="000000"/>
                <w:sz w:val="20"/>
                <w:szCs w:val="20"/>
              </w:rPr>
            </w:pPr>
            <w:r>
              <w:rPr>
                <w:color w:val="000000"/>
                <w:sz w:val="20"/>
                <w:szCs w:val="20"/>
              </w:rPr>
              <w:t>Mặt cắt 1-1</w:t>
            </w:r>
          </w:p>
        </w:tc>
        <w:tc>
          <w:tcPr>
            <w:tcW w:w="2393" w:type="dxa"/>
            <w:noWrap/>
            <w:vAlign w:val="center"/>
          </w:tcPr>
          <w:p w14:paraId="6E973EF8">
            <w:pPr>
              <w:jc w:val="center"/>
              <w:rPr>
                <w:color w:val="000000"/>
                <w:sz w:val="20"/>
                <w:szCs w:val="20"/>
              </w:rPr>
            </w:pPr>
            <w:r>
              <w:rPr>
                <w:color w:val="000000"/>
                <w:sz w:val="20"/>
                <w:szCs w:val="20"/>
              </w:rPr>
              <w:t>Một mặt tiền</w:t>
            </w:r>
          </w:p>
        </w:tc>
        <w:tc>
          <w:tcPr>
            <w:tcW w:w="1198" w:type="dxa"/>
            <w:noWrap/>
            <w:vAlign w:val="center"/>
          </w:tcPr>
          <w:p w14:paraId="3B57ACA0">
            <w:pPr>
              <w:jc w:val="center"/>
              <w:rPr>
                <w:color w:val="000000"/>
                <w:sz w:val="20"/>
                <w:szCs w:val="20"/>
              </w:rPr>
            </w:pPr>
            <w:r>
              <w:rPr>
                <w:color w:val="000000"/>
                <w:sz w:val="20"/>
                <w:szCs w:val="20"/>
              </w:rPr>
              <w:t>11.800.000</w:t>
            </w:r>
          </w:p>
        </w:tc>
        <w:tc>
          <w:tcPr>
            <w:tcW w:w="1236" w:type="dxa"/>
            <w:noWrap/>
            <w:vAlign w:val="center"/>
          </w:tcPr>
          <w:p w14:paraId="2D864BC5">
            <w:pPr>
              <w:jc w:val="center"/>
              <w:rPr>
                <w:color w:val="000000"/>
                <w:sz w:val="20"/>
                <w:szCs w:val="20"/>
              </w:rPr>
            </w:pPr>
            <w:r>
              <w:rPr>
                <w:color w:val="000000"/>
                <w:sz w:val="20"/>
                <w:szCs w:val="20"/>
              </w:rPr>
              <w:t>12.579.000</w:t>
            </w:r>
          </w:p>
        </w:tc>
        <w:tc>
          <w:tcPr>
            <w:tcW w:w="1252" w:type="dxa"/>
            <w:noWrap/>
            <w:vAlign w:val="center"/>
          </w:tcPr>
          <w:p w14:paraId="14158FA6">
            <w:pPr>
              <w:jc w:val="center"/>
              <w:rPr>
                <w:color w:val="000000"/>
                <w:sz w:val="20"/>
                <w:szCs w:val="20"/>
              </w:rPr>
            </w:pPr>
            <w:r>
              <w:rPr>
                <w:color w:val="000000"/>
                <w:sz w:val="20"/>
                <w:szCs w:val="20"/>
              </w:rPr>
              <w:t>24.379.000</w:t>
            </w:r>
          </w:p>
        </w:tc>
        <w:tc>
          <w:tcPr>
            <w:tcW w:w="1848" w:type="dxa"/>
            <w:noWrap/>
            <w:vAlign w:val="center"/>
          </w:tcPr>
          <w:p w14:paraId="1A3486EF">
            <w:pPr>
              <w:jc w:val="center"/>
              <w:rPr>
                <w:color w:val="000000"/>
                <w:sz w:val="20"/>
                <w:szCs w:val="20"/>
              </w:rPr>
            </w:pPr>
            <w:r>
              <w:rPr>
                <w:color w:val="000000"/>
                <w:sz w:val="20"/>
                <w:szCs w:val="20"/>
              </w:rPr>
              <w:t>2.194.110.000</w:t>
            </w:r>
          </w:p>
        </w:tc>
      </w:tr>
      <w:tr w14:paraId="571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458DBB1">
            <w:pPr>
              <w:jc w:val="center"/>
              <w:rPr>
                <w:b/>
                <w:bCs/>
                <w:color w:val="000000"/>
                <w:sz w:val="20"/>
                <w:szCs w:val="20"/>
              </w:rPr>
            </w:pPr>
            <w:r>
              <w:rPr>
                <w:b/>
                <w:bCs/>
                <w:color w:val="000000"/>
                <w:sz w:val="20"/>
                <w:szCs w:val="20"/>
              </w:rPr>
              <w:t>LK18</w:t>
            </w:r>
          </w:p>
        </w:tc>
        <w:tc>
          <w:tcPr>
            <w:tcW w:w="1802" w:type="dxa"/>
            <w:vAlign w:val="center"/>
          </w:tcPr>
          <w:p w14:paraId="5FF0BDFC">
            <w:pPr>
              <w:jc w:val="center"/>
              <w:rPr>
                <w:color w:val="000000"/>
                <w:sz w:val="20"/>
                <w:szCs w:val="20"/>
              </w:rPr>
            </w:pPr>
            <w:r>
              <w:rPr>
                <w:color w:val="000000"/>
                <w:sz w:val="20"/>
                <w:szCs w:val="20"/>
              </w:rPr>
              <w:t>LK18:04</w:t>
            </w:r>
          </w:p>
        </w:tc>
        <w:tc>
          <w:tcPr>
            <w:tcW w:w="1033" w:type="dxa"/>
            <w:noWrap/>
            <w:vAlign w:val="center"/>
          </w:tcPr>
          <w:p w14:paraId="31B55E97">
            <w:pPr>
              <w:jc w:val="center"/>
              <w:rPr>
                <w:color w:val="000000"/>
                <w:sz w:val="20"/>
                <w:szCs w:val="20"/>
              </w:rPr>
            </w:pPr>
            <w:r>
              <w:rPr>
                <w:color w:val="000000"/>
                <w:sz w:val="20"/>
                <w:szCs w:val="20"/>
              </w:rPr>
              <w:t>90,00</w:t>
            </w:r>
          </w:p>
        </w:tc>
        <w:tc>
          <w:tcPr>
            <w:tcW w:w="846" w:type="dxa"/>
            <w:noWrap/>
            <w:vAlign w:val="center"/>
          </w:tcPr>
          <w:p w14:paraId="15FA8BDE">
            <w:pPr>
              <w:jc w:val="center"/>
              <w:rPr>
                <w:color w:val="000000"/>
                <w:sz w:val="20"/>
                <w:szCs w:val="20"/>
              </w:rPr>
            </w:pPr>
            <w:r>
              <w:rPr>
                <w:color w:val="000000"/>
                <w:sz w:val="20"/>
                <w:szCs w:val="20"/>
              </w:rPr>
              <w:t>1</w:t>
            </w:r>
          </w:p>
        </w:tc>
        <w:tc>
          <w:tcPr>
            <w:tcW w:w="2578" w:type="dxa"/>
            <w:noWrap/>
            <w:vAlign w:val="center"/>
          </w:tcPr>
          <w:p w14:paraId="47D4824A">
            <w:pPr>
              <w:jc w:val="center"/>
              <w:rPr>
                <w:color w:val="000000"/>
                <w:sz w:val="20"/>
                <w:szCs w:val="20"/>
              </w:rPr>
            </w:pPr>
            <w:r>
              <w:rPr>
                <w:color w:val="000000"/>
                <w:sz w:val="20"/>
                <w:szCs w:val="20"/>
              </w:rPr>
              <w:t>Mặt cắt 1-1</w:t>
            </w:r>
          </w:p>
        </w:tc>
        <w:tc>
          <w:tcPr>
            <w:tcW w:w="2393" w:type="dxa"/>
            <w:noWrap/>
            <w:vAlign w:val="center"/>
          </w:tcPr>
          <w:p w14:paraId="3E972507">
            <w:pPr>
              <w:jc w:val="center"/>
              <w:rPr>
                <w:color w:val="000000"/>
                <w:sz w:val="20"/>
                <w:szCs w:val="20"/>
              </w:rPr>
            </w:pPr>
            <w:r>
              <w:rPr>
                <w:color w:val="000000"/>
                <w:sz w:val="20"/>
                <w:szCs w:val="20"/>
              </w:rPr>
              <w:t>Một mặt tiền</w:t>
            </w:r>
          </w:p>
        </w:tc>
        <w:tc>
          <w:tcPr>
            <w:tcW w:w="1198" w:type="dxa"/>
            <w:noWrap/>
            <w:vAlign w:val="center"/>
          </w:tcPr>
          <w:p w14:paraId="477456B5">
            <w:pPr>
              <w:jc w:val="center"/>
              <w:rPr>
                <w:color w:val="000000"/>
                <w:sz w:val="20"/>
                <w:szCs w:val="20"/>
              </w:rPr>
            </w:pPr>
            <w:r>
              <w:rPr>
                <w:color w:val="000000"/>
                <w:sz w:val="20"/>
                <w:szCs w:val="20"/>
              </w:rPr>
              <w:t>11.800.000</w:t>
            </w:r>
          </w:p>
        </w:tc>
        <w:tc>
          <w:tcPr>
            <w:tcW w:w="1236" w:type="dxa"/>
            <w:noWrap/>
            <w:vAlign w:val="center"/>
          </w:tcPr>
          <w:p w14:paraId="552F3D70">
            <w:pPr>
              <w:jc w:val="center"/>
              <w:rPr>
                <w:color w:val="000000"/>
                <w:sz w:val="20"/>
                <w:szCs w:val="20"/>
              </w:rPr>
            </w:pPr>
            <w:r>
              <w:rPr>
                <w:color w:val="000000"/>
                <w:sz w:val="20"/>
                <w:szCs w:val="20"/>
              </w:rPr>
              <w:t>12.579.000</w:t>
            </w:r>
          </w:p>
        </w:tc>
        <w:tc>
          <w:tcPr>
            <w:tcW w:w="1252" w:type="dxa"/>
            <w:noWrap/>
            <w:vAlign w:val="center"/>
          </w:tcPr>
          <w:p w14:paraId="1054C9CE">
            <w:pPr>
              <w:jc w:val="center"/>
              <w:rPr>
                <w:color w:val="000000"/>
                <w:sz w:val="20"/>
                <w:szCs w:val="20"/>
              </w:rPr>
            </w:pPr>
            <w:r>
              <w:rPr>
                <w:color w:val="000000"/>
                <w:sz w:val="20"/>
                <w:szCs w:val="20"/>
              </w:rPr>
              <w:t>24.379.000</w:t>
            </w:r>
          </w:p>
        </w:tc>
        <w:tc>
          <w:tcPr>
            <w:tcW w:w="1848" w:type="dxa"/>
            <w:noWrap/>
            <w:vAlign w:val="center"/>
          </w:tcPr>
          <w:p w14:paraId="1FCEAEB1">
            <w:pPr>
              <w:jc w:val="center"/>
              <w:rPr>
                <w:color w:val="000000"/>
                <w:sz w:val="20"/>
                <w:szCs w:val="20"/>
              </w:rPr>
            </w:pPr>
            <w:r>
              <w:rPr>
                <w:color w:val="000000"/>
                <w:sz w:val="20"/>
                <w:szCs w:val="20"/>
              </w:rPr>
              <w:t>2.194.110.000</w:t>
            </w:r>
          </w:p>
        </w:tc>
      </w:tr>
      <w:tr w14:paraId="56F3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F407893">
            <w:pPr>
              <w:jc w:val="center"/>
              <w:rPr>
                <w:b/>
                <w:bCs/>
                <w:color w:val="000000"/>
                <w:sz w:val="20"/>
                <w:szCs w:val="20"/>
              </w:rPr>
            </w:pPr>
            <w:r>
              <w:rPr>
                <w:b/>
                <w:bCs/>
                <w:color w:val="000000"/>
                <w:sz w:val="20"/>
                <w:szCs w:val="20"/>
              </w:rPr>
              <w:t>LK18</w:t>
            </w:r>
          </w:p>
        </w:tc>
        <w:tc>
          <w:tcPr>
            <w:tcW w:w="1802" w:type="dxa"/>
            <w:vAlign w:val="center"/>
          </w:tcPr>
          <w:p w14:paraId="575E6F6D">
            <w:pPr>
              <w:jc w:val="center"/>
              <w:rPr>
                <w:color w:val="000000"/>
                <w:sz w:val="20"/>
                <w:szCs w:val="20"/>
              </w:rPr>
            </w:pPr>
            <w:r>
              <w:rPr>
                <w:color w:val="000000"/>
                <w:sz w:val="20"/>
                <w:szCs w:val="20"/>
              </w:rPr>
              <w:t>LK18:05</w:t>
            </w:r>
          </w:p>
        </w:tc>
        <w:tc>
          <w:tcPr>
            <w:tcW w:w="1033" w:type="dxa"/>
            <w:noWrap/>
            <w:vAlign w:val="center"/>
          </w:tcPr>
          <w:p w14:paraId="5CE58223">
            <w:pPr>
              <w:jc w:val="center"/>
              <w:rPr>
                <w:color w:val="000000"/>
                <w:sz w:val="20"/>
                <w:szCs w:val="20"/>
              </w:rPr>
            </w:pPr>
            <w:r>
              <w:rPr>
                <w:color w:val="000000"/>
                <w:sz w:val="20"/>
                <w:szCs w:val="20"/>
              </w:rPr>
              <w:t>90,00</w:t>
            </w:r>
          </w:p>
        </w:tc>
        <w:tc>
          <w:tcPr>
            <w:tcW w:w="846" w:type="dxa"/>
            <w:noWrap/>
            <w:vAlign w:val="center"/>
          </w:tcPr>
          <w:p w14:paraId="6BBE54E0">
            <w:pPr>
              <w:jc w:val="center"/>
              <w:rPr>
                <w:color w:val="000000"/>
                <w:sz w:val="20"/>
                <w:szCs w:val="20"/>
              </w:rPr>
            </w:pPr>
            <w:r>
              <w:rPr>
                <w:color w:val="000000"/>
                <w:sz w:val="20"/>
                <w:szCs w:val="20"/>
              </w:rPr>
              <w:t>1</w:t>
            </w:r>
          </w:p>
        </w:tc>
        <w:tc>
          <w:tcPr>
            <w:tcW w:w="2578" w:type="dxa"/>
            <w:noWrap/>
            <w:vAlign w:val="center"/>
          </w:tcPr>
          <w:p w14:paraId="7FCAFF3F">
            <w:pPr>
              <w:jc w:val="center"/>
              <w:rPr>
                <w:color w:val="000000"/>
                <w:sz w:val="20"/>
                <w:szCs w:val="20"/>
              </w:rPr>
            </w:pPr>
            <w:r>
              <w:rPr>
                <w:color w:val="000000"/>
                <w:sz w:val="20"/>
                <w:szCs w:val="20"/>
              </w:rPr>
              <w:t>Mặt cắt 1-1</w:t>
            </w:r>
          </w:p>
        </w:tc>
        <w:tc>
          <w:tcPr>
            <w:tcW w:w="2393" w:type="dxa"/>
            <w:noWrap/>
            <w:vAlign w:val="center"/>
          </w:tcPr>
          <w:p w14:paraId="29AF070E">
            <w:pPr>
              <w:jc w:val="center"/>
              <w:rPr>
                <w:color w:val="000000"/>
                <w:sz w:val="20"/>
                <w:szCs w:val="20"/>
              </w:rPr>
            </w:pPr>
            <w:r>
              <w:rPr>
                <w:color w:val="000000"/>
                <w:sz w:val="20"/>
                <w:szCs w:val="20"/>
              </w:rPr>
              <w:t>Một mặt tiền</w:t>
            </w:r>
          </w:p>
        </w:tc>
        <w:tc>
          <w:tcPr>
            <w:tcW w:w="1198" w:type="dxa"/>
            <w:noWrap/>
            <w:vAlign w:val="center"/>
          </w:tcPr>
          <w:p w14:paraId="3AAE5E9B">
            <w:pPr>
              <w:jc w:val="center"/>
              <w:rPr>
                <w:color w:val="000000"/>
                <w:sz w:val="20"/>
                <w:szCs w:val="20"/>
              </w:rPr>
            </w:pPr>
            <w:r>
              <w:rPr>
                <w:color w:val="000000"/>
                <w:sz w:val="20"/>
                <w:szCs w:val="20"/>
              </w:rPr>
              <w:t>11.800.000</w:t>
            </w:r>
          </w:p>
        </w:tc>
        <w:tc>
          <w:tcPr>
            <w:tcW w:w="1236" w:type="dxa"/>
            <w:noWrap/>
            <w:vAlign w:val="center"/>
          </w:tcPr>
          <w:p w14:paraId="4E7034D4">
            <w:pPr>
              <w:jc w:val="center"/>
              <w:rPr>
                <w:color w:val="000000"/>
                <w:sz w:val="20"/>
                <w:szCs w:val="20"/>
              </w:rPr>
            </w:pPr>
            <w:r>
              <w:rPr>
                <w:color w:val="000000"/>
                <w:sz w:val="20"/>
                <w:szCs w:val="20"/>
              </w:rPr>
              <w:t>12.579.000</w:t>
            </w:r>
          </w:p>
        </w:tc>
        <w:tc>
          <w:tcPr>
            <w:tcW w:w="1252" w:type="dxa"/>
            <w:noWrap/>
            <w:vAlign w:val="center"/>
          </w:tcPr>
          <w:p w14:paraId="41A77EA9">
            <w:pPr>
              <w:jc w:val="center"/>
              <w:rPr>
                <w:color w:val="000000"/>
                <w:sz w:val="20"/>
                <w:szCs w:val="20"/>
              </w:rPr>
            </w:pPr>
            <w:r>
              <w:rPr>
                <w:color w:val="000000"/>
                <w:sz w:val="20"/>
                <w:szCs w:val="20"/>
              </w:rPr>
              <w:t>24.379.000</w:t>
            </w:r>
          </w:p>
        </w:tc>
        <w:tc>
          <w:tcPr>
            <w:tcW w:w="1848" w:type="dxa"/>
            <w:noWrap/>
            <w:vAlign w:val="center"/>
          </w:tcPr>
          <w:p w14:paraId="51B2E479">
            <w:pPr>
              <w:jc w:val="center"/>
              <w:rPr>
                <w:color w:val="000000"/>
                <w:sz w:val="20"/>
                <w:szCs w:val="20"/>
              </w:rPr>
            </w:pPr>
            <w:r>
              <w:rPr>
                <w:color w:val="000000"/>
                <w:sz w:val="20"/>
                <w:szCs w:val="20"/>
              </w:rPr>
              <w:t>2.194.110.000</w:t>
            </w:r>
          </w:p>
        </w:tc>
      </w:tr>
      <w:tr w14:paraId="745D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27D5685">
            <w:pPr>
              <w:jc w:val="center"/>
              <w:rPr>
                <w:b/>
                <w:bCs/>
                <w:color w:val="000000"/>
                <w:sz w:val="20"/>
                <w:szCs w:val="20"/>
              </w:rPr>
            </w:pPr>
            <w:r>
              <w:rPr>
                <w:b/>
                <w:bCs/>
                <w:color w:val="000000"/>
                <w:sz w:val="20"/>
                <w:szCs w:val="20"/>
              </w:rPr>
              <w:t>LK18</w:t>
            </w:r>
          </w:p>
        </w:tc>
        <w:tc>
          <w:tcPr>
            <w:tcW w:w="1802" w:type="dxa"/>
            <w:vAlign w:val="center"/>
          </w:tcPr>
          <w:p w14:paraId="7D6D23D3">
            <w:pPr>
              <w:jc w:val="center"/>
              <w:rPr>
                <w:color w:val="000000"/>
                <w:sz w:val="20"/>
                <w:szCs w:val="20"/>
              </w:rPr>
            </w:pPr>
            <w:r>
              <w:rPr>
                <w:color w:val="000000"/>
                <w:sz w:val="20"/>
                <w:szCs w:val="20"/>
              </w:rPr>
              <w:t>LK18:06</w:t>
            </w:r>
          </w:p>
        </w:tc>
        <w:tc>
          <w:tcPr>
            <w:tcW w:w="1033" w:type="dxa"/>
            <w:noWrap/>
            <w:vAlign w:val="center"/>
          </w:tcPr>
          <w:p w14:paraId="5F044AFD">
            <w:pPr>
              <w:jc w:val="center"/>
              <w:rPr>
                <w:color w:val="000000"/>
                <w:sz w:val="20"/>
                <w:szCs w:val="20"/>
              </w:rPr>
            </w:pPr>
            <w:r>
              <w:rPr>
                <w:color w:val="000000"/>
                <w:sz w:val="20"/>
                <w:szCs w:val="20"/>
              </w:rPr>
              <w:t>90,00</w:t>
            </w:r>
          </w:p>
        </w:tc>
        <w:tc>
          <w:tcPr>
            <w:tcW w:w="846" w:type="dxa"/>
            <w:noWrap/>
            <w:vAlign w:val="center"/>
          </w:tcPr>
          <w:p w14:paraId="42BDB722">
            <w:pPr>
              <w:jc w:val="center"/>
              <w:rPr>
                <w:color w:val="000000"/>
                <w:sz w:val="20"/>
                <w:szCs w:val="20"/>
              </w:rPr>
            </w:pPr>
            <w:r>
              <w:rPr>
                <w:color w:val="000000"/>
                <w:sz w:val="20"/>
                <w:szCs w:val="20"/>
              </w:rPr>
              <w:t>1</w:t>
            </w:r>
          </w:p>
        </w:tc>
        <w:tc>
          <w:tcPr>
            <w:tcW w:w="2578" w:type="dxa"/>
            <w:noWrap/>
            <w:vAlign w:val="center"/>
          </w:tcPr>
          <w:p w14:paraId="03276A6C">
            <w:pPr>
              <w:jc w:val="center"/>
              <w:rPr>
                <w:color w:val="000000"/>
                <w:sz w:val="20"/>
                <w:szCs w:val="20"/>
              </w:rPr>
            </w:pPr>
            <w:r>
              <w:rPr>
                <w:color w:val="000000"/>
                <w:sz w:val="20"/>
                <w:szCs w:val="20"/>
              </w:rPr>
              <w:t>Mặt cắt 1-1</w:t>
            </w:r>
          </w:p>
        </w:tc>
        <w:tc>
          <w:tcPr>
            <w:tcW w:w="2393" w:type="dxa"/>
            <w:noWrap/>
            <w:vAlign w:val="center"/>
          </w:tcPr>
          <w:p w14:paraId="1A2A6743">
            <w:pPr>
              <w:jc w:val="center"/>
              <w:rPr>
                <w:color w:val="000000"/>
                <w:sz w:val="20"/>
                <w:szCs w:val="20"/>
              </w:rPr>
            </w:pPr>
            <w:r>
              <w:rPr>
                <w:color w:val="000000"/>
                <w:sz w:val="20"/>
                <w:szCs w:val="20"/>
              </w:rPr>
              <w:t>Một mặt tiền</w:t>
            </w:r>
          </w:p>
        </w:tc>
        <w:tc>
          <w:tcPr>
            <w:tcW w:w="1198" w:type="dxa"/>
            <w:noWrap/>
            <w:vAlign w:val="center"/>
          </w:tcPr>
          <w:p w14:paraId="67C82764">
            <w:pPr>
              <w:jc w:val="center"/>
              <w:rPr>
                <w:color w:val="000000"/>
                <w:sz w:val="20"/>
                <w:szCs w:val="20"/>
              </w:rPr>
            </w:pPr>
            <w:r>
              <w:rPr>
                <w:color w:val="000000"/>
                <w:sz w:val="20"/>
                <w:szCs w:val="20"/>
              </w:rPr>
              <w:t>11.800.000</w:t>
            </w:r>
          </w:p>
        </w:tc>
        <w:tc>
          <w:tcPr>
            <w:tcW w:w="1236" w:type="dxa"/>
            <w:noWrap/>
            <w:vAlign w:val="center"/>
          </w:tcPr>
          <w:p w14:paraId="049C2510">
            <w:pPr>
              <w:jc w:val="center"/>
              <w:rPr>
                <w:color w:val="000000"/>
                <w:sz w:val="20"/>
                <w:szCs w:val="20"/>
              </w:rPr>
            </w:pPr>
            <w:r>
              <w:rPr>
                <w:color w:val="000000"/>
                <w:sz w:val="20"/>
                <w:szCs w:val="20"/>
              </w:rPr>
              <w:t>12.579.000</w:t>
            </w:r>
          </w:p>
        </w:tc>
        <w:tc>
          <w:tcPr>
            <w:tcW w:w="1252" w:type="dxa"/>
            <w:noWrap/>
            <w:vAlign w:val="center"/>
          </w:tcPr>
          <w:p w14:paraId="75468258">
            <w:pPr>
              <w:jc w:val="center"/>
              <w:rPr>
                <w:color w:val="000000"/>
                <w:sz w:val="20"/>
                <w:szCs w:val="20"/>
              </w:rPr>
            </w:pPr>
            <w:r>
              <w:rPr>
                <w:color w:val="000000"/>
                <w:sz w:val="20"/>
                <w:szCs w:val="20"/>
              </w:rPr>
              <w:t>24.379.000</w:t>
            </w:r>
          </w:p>
        </w:tc>
        <w:tc>
          <w:tcPr>
            <w:tcW w:w="1848" w:type="dxa"/>
            <w:noWrap/>
            <w:vAlign w:val="center"/>
          </w:tcPr>
          <w:p w14:paraId="2D035844">
            <w:pPr>
              <w:jc w:val="center"/>
              <w:rPr>
                <w:color w:val="000000"/>
                <w:sz w:val="20"/>
                <w:szCs w:val="20"/>
              </w:rPr>
            </w:pPr>
            <w:r>
              <w:rPr>
                <w:color w:val="000000"/>
                <w:sz w:val="20"/>
                <w:szCs w:val="20"/>
              </w:rPr>
              <w:t>2.194.110.000</w:t>
            </w:r>
          </w:p>
        </w:tc>
      </w:tr>
      <w:tr w14:paraId="4480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1FC898D">
            <w:pPr>
              <w:jc w:val="center"/>
              <w:rPr>
                <w:b/>
                <w:bCs/>
                <w:color w:val="000000"/>
                <w:sz w:val="20"/>
                <w:szCs w:val="20"/>
              </w:rPr>
            </w:pPr>
            <w:r>
              <w:rPr>
                <w:b/>
                <w:bCs/>
                <w:color w:val="000000"/>
                <w:sz w:val="20"/>
                <w:szCs w:val="20"/>
              </w:rPr>
              <w:t>LK20</w:t>
            </w:r>
          </w:p>
        </w:tc>
        <w:tc>
          <w:tcPr>
            <w:tcW w:w="1802" w:type="dxa"/>
            <w:vAlign w:val="center"/>
          </w:tcPr>
          <w:p w14:paraId="6035CE26">
            <w:pPr>
              <w:jc w:val="center"/>
              <w:rPr>
                <w:color w:val="000000"/>
                <w:sz w:val="20"/>
                <w:szCs w:val="20"/>
              </w:rPr>
            </w:pPr>
            <w:r>
              <w:rPr>
                <w:color w:val="000000"/>
                <w:sz w:val="20"/>
                <w:szCs w:val="20"/>
              </w:rPr>
              <w:t>LK20:01</w:t>
            </w:r>
          </w:p>
        </w:tc>
        <w:tc>
          <w:tcPr>
            <w:tcW w:w="1033" w:type="dxa"/>
            <w:noWrap/>
            <w:vAlign w:val="center"/>
          </w:tcPr>
          <w:p w14:paraId="0B325F2D">
            <w:pPr>
              <w:jc w:val="center"/>
              <w:rPr>
                <w:color w:val="000000"/>
                <w:sz w:val="20"/>
                <w:szCs w:val="20"/>
              </w:rPr>
            </w:pPr>
            <w:r>
              <w:rPr>
                <w:color w:val="000000"/>
                <w:sz w:val="20"/>
                <w:szCs w:val="20"/>
              </w:rPr>
              <w:t>90,00</w:t>
            </w:r>
          </w:p>
        </w:tc>
        <w:tc>
          <w:tcPr>
            <w:tcW w:w="846" w:type="dxa"/>
            <w:noWrap/>
            <w:vAlign w:val="center"/>
          </w:tcPr>
          <w:p w14:paraId="2679ECE2">
            <w:pPr>
              <w:jc w:val="center"/>
              <w:rPr>
                <w:color w:val="000000"/>
                <w:sz w:val="20"/>
                <w:szCs w:val="20"/>
              </w:rPr>
            </w:pPr>
            <w:r>
              <w:rPr>
                <w:color w:val="000000"/>
                <w:sz w:val="20"/>
                <w:szCs w:val="20"/>
              </w:rPr>
              <w:t>1</w:t>
            </w:r>
          </w:p>
        </w:tc>
        <w:tc>
          <w:tcPr>
            <w:tcW w:w="2578" w:type="dxa"/>
            <w:noWrap/>
            <w:vAlign w:val="center"/>
          </w:tcPr>
          <w:p w14:paraId="2E816209">
            <w:pPr>
              <w:jc w:val="center"/>
              <w:rPr>
                <w:color w:val="000000"/>
                <w:sz w:val="20"/>
                <w:szCs w:val="20"/>
              </w:rPr>
            </w:pPr>
            <w:r>
              <w:rPr>
                <w:color w:val="000000"/>
                <w:sz w:val="20"/>
                <w:szCs w:val="20"/>
              </w:rPr>
              <w:t>Mặt cắt 1-1</w:t>
            </w:r>
          </w:p>
        </w:tc>
        <w:tc>
          <w:tcPr>
            <w:tcW w:w="2393" w:type="dxa"/>
            <w:noWrap/>
            <w:vAlign w:val="center"/>
          </w:tcPr>
          <w:p w14:paraId="349AB522">
            <w:pPr>
              <w:jc w:val="center"/>
              <w:rPr>
                <w:color w:val="000000"/>
                <w:sz w:val="20"/>
                <w:szCs w:val="20"/>
              </w:rPr>
            </w:pPr>
            <w:r>
              <w:rPr>
                <w:color w:val="000000"/>
                <w:sz w:val="20"/>
                <w:szCs w:val="20"/>
              </w:rPr>
              <w:t>Một mặt tiền</w:t>
            </w:r>
          </w:p>
        </w:tc>
        <w:tc>
          <w:tcPr>
            <w:tcW w:w="1198" w:type="dxa"/>
            <w:noWrap/>
            <w:vAlign w:val="center"/>
          </w:tcPr>
          <w:p w14:paraId="2E23A63B">
            <w:pPr>
              <w:jc w:val="center"/>
              <w:rPr>
                <w:color w:val="000000"/>
                <w:sz w:val="20"/>
                <w:szCs w:val="20"/>
              </w:rPr>
            </w:pPr>
            <w:r>
              <w:rPr>
                <w:color w:val="000000"/>
                <w:sz w:val="20"/>
                <w:szCs w:val="20"/>
              </w:rPr>
              <w:t>11.800.000</w:t>
            </w:r>
          </w:p>
        </w:tc>
        <w:tc>
          <w:tcPr>
            <w:tcW w:w="1236" w:type="dxa"/>
            <w:noWrap/>
            <w:vAlign w:val="center"/>
          </w:tcPr>
          <w:p w14:paraId="28ACE6D9">
            <w:pPr>
              <w:jc w:val="center"/>
              <w:rPr>
                <w:color w:val="000000"/>
                <w:sz w:val="20"/>
                <w:szCs w:val="20"/>
              </w:rPr>
            </w:pPr>
            <w:r>
              <w:rPr>
                <w:color w:val="000000"/>
                <w:sz w:val="20"/>
                <w:szCs w:val="20"/>
              </w:rPr>
              <w:t>12.579.000</w:t>
            </w:r>
          </w:p>
        </w:tc>
        <w:tc>
          <w:tcPr>
            <w:tcW w:w="1252" w:type="dxa"/>
            <w:noWrap/>
            <w:vAlign w:val="center"/>
          </w:tcPr>
          <w:p w14:paraId="0C20DC44">
            <w:pPr>
              <w:jc w:val="center"/>
              <w:rPr>
                <w:color w:val="000000"/>
                <w:sz w:val="20"/>
                <w:szCs w:val="20"/>
              </w:rPr>
            </w:pPr>
            <w:r>
              <w:rPr>
                <w:color w:val="000000"/>
                <w:sz w:val="20"/>
                <w:szCs w:val="20"/>
              </w:rPr>
              <w:t>24.379.000</w:t>
            </w:r>
          </w:p>
        </w:tc>
        <w:tc>
          <w:tcPr>
            <w:tcW w:w="1848" w:type="dxa"/>
            <w:noWrap/>
            <w:vAlign w:val="center"/>
          </w:tcPr>
          <w:p w14:paraId="63AED07A">
            <w:pPr>
              <w:jc w:val="center"/>
              <w:rPr>
                <w:color w:val="000000"/>
                <w:sz w:val="20"/>
                <w:szCs w:val="20"/>
              </w:rPr>
            </w:pPr>
            <w:r>
              <w:rPr>
                <w:color w:val="000000"/>
                <w:sz w:val="20"/>
                <w:szCs w:val="20"/>
              </w:rPr>
              <w:t>2.194.110.000</w:t>
            </w:r>
          </w:p>
        </w:tc>
      </w:tr>
      <w:tr w14:paraId="62DA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B339E8E">
            <w:pPr>
              <w:jc w:val="center"/>
              <w:rPr>
                <w:b/>
                <w:bCs/>
                <w:color w:val="000000"/>
                <w:sz w:val="20"/>
                <w:szCs w:val="20"/>
              </w:rPr>
            </w:pPr>
            <w:r>
              <w:rPr>
                <w:b/>
                <w:bCs/>
                <w:color w:val="000000"/>
                <w:sz w:val="20"/>
                <w:szCs w:val="20"/>
              </w:rPr>
              <w:t>LK20</w:t>
            </w:r>
          </w:p>
        </w:tc>
        <w:tc>
          <w:tcPr>
            <w:tcW w:w="1802" w:type="dxa"/>
            <w:vAlign w:val="center"/>
          </w:tcPr>
          <w:p w14:paraId="26567D50">
            <w:pPr>
              <w:jc w:val="center"/>
              <w:rPr>
                <w:color w:val="000000"/>
                <w:sz w:val="20"/>
                <w:szCs w:val="20"/>
              </w:rPr>
            </w:pPr>
            <w:r>
              <w:rPr>
                <w:color w:val="000000"/>
                <w:sz w:val="20"/>
                <w:szCs w:val="20"/>
              </w:rPr>
              <w:t>LK20:02</w:t>
            </w:r>
          </w:p>
        </w:tc>
        <w:tc>
          <w:tcPr>
            <w:tcW w:w="1033" w:type="dxa"/>
            <w:noWrap/>
            <w:vAlign w:val="center"/>
          </w:tcPr>
          <w:p w14:paraId="5F1223BA">
            <w:pPr>
              <w:jc w:val="center"/>
              <w:rPr>
                <w:color w:val="000000"/>
                <w:sz w:val="20"/>
                <w:szCs w:val="20"/>
              </w:rPr>
            </w:pPr>
            <w:r>
              <w:rPr>
                <w:color w:val="000000"/>
                <w:sz w:val="20"/>
                <w:szCs w:val="20"/>
              </w:rPr>
              <w:t>90,00</w:t>
            </w:r>
          </w:p>
        </w:tc>
        <w:tc>
          <w:tcPr>
            <w:tcW w:w="846" w:type="dxa"/>
            <w:noWrap/>
            <w:vAlign w:val="center"/>
          </w:tcPr>
          <w:p w14:paraId="55F18337">
            <w:pPr>
              <w:jc w:val="center"/>
              <w:rPr>
                <w:color w:val="000000"/>
                <w:sz w:val="20"/>
                <w:szCs w:val="20"/>
              </w:rPr>
            </w:pPr>
            <w:r>
              <w:rPr>
                <w:color w:val="000000"/>
                <w:sz w:val="20"/>
                <w:szCs w:val="20"/>
              </w:rPr>
              <w:t>1</w:t>
            </w:r>
          </w:p>
        </w:tc>
        <w:tc>
          <w:tcPr>
            <w:tcW w:w="2578" w:type="dxa"/>
            <w:noWrap/>
            <w:vAlign w:val="center"/>
          </w:tcPr>
          <w:p w14:paraId="2D43BD5B">
            <w:pPr>
              <w:jc w:val="center"/>
              <w:rPr>
                <w:color w:val="000000"/>
                <w:sz w:val="20"/>
                <w:szCs w:val="20"/>
              </w:rPr>
            </w:pPr>
            <w:r>
              <w:rPr>
                <w:color w:val="000000"/>
                <w:sz w:val="20"/>
                <w:szCs w:val="20"/>
              </w:rPr>
              <w:t>Mặt cắt 1-1</w:t>
            </w:r>
          </w:p>
        </w:tc>
        <w:tc>
          <w:tcPr>
            <w:tcW w:w="2393" w:type="dxa"/>
            <w:noWrap/>
            <w:vAlign w:val="center"/>
          </w:tcPr>
          <w:p w14:paraId="1AC426E0">
            <w:pPr>
              <w:jc w:val="center"/>
              <w:rPr>
                <w:color w:val="000000"/>
                <w:sz w:val="20"/>
                <w:szCs w:val="20"/>
              </w:rPr>
            </w:pPr>
            <w:r>
              <w:rPr>
                <w:color w:val="000000"/>
                <w:sz w:val="20"/>
                <w:szCs w:val="20"/>
              </w:rPr>
              <w:t>Một mặt tiền</w:t>
            </w:r>
          </w:p>
        </w:tc>
        <w:tc>
          <w:tcPr>
            <w:tcW w:w="1198" w:type="dxa"/>
            <w:noWrap/>
            <w:vAlign w:val="center"/>
          </w:tcPr>
          <w:p w14:paraId="7214188B">
            <w:pPr>
              <w:jc w:val="center"/>
              <w:rPr>
                <w:color w:val="000000"/>
                <w:sz w:val="20"/>
                <w:szCs w:val="20"/>
              </w:rPr>
            </w:pPr>
            <w:r>
              <w:rPr>
                <w:color w:val="000000"/>
                <w:sz w:val="20"/>
                <w:szCs w:val="20"/>
              </w:rPr>
              <w:t>11.800.000</w:t>
            </w:r>
          </w:p>
        </w:tc>
        <w:tc>
          <w:tcPr>
            <w:tcW w:w="1236" w:type="dxa"/>
            <w:noWrap/>
            <w:vAlign w:val="center"/>
          </w:tcPr>
          <w:p w14:paraId="07FE7D0B">
            <w:pPr>
              <w:jc w:val="center"/>
              <w:rPr>
                <w:color w:val="000000"/>
                <w:sz w:val="20"/>
                <w:szCs w:val="20"/>
              </w:rPr>
            </w:pPr>
            <w:r>
              <w:rPr>
                <w:color w:val="000000"/>
                <w:sz w:val="20"/>
                <w:szCs w:val="20"/>
              </w:rPr>
              <w:t>12.579.000</w:t>
            </w:r>
          </w:p>
        </w:tc>
        <w:tc>
          <w:tcPr>
            <w:tcW w:w="1252" w:type="dxa"/>
            <w:noWrap/>
            <w:vAlign w:val="center"/>
          </w:tcPr>
          <w:p w14:paraId="490FBBE1">
            <w:pPr>
              <w:jc w:val="center"/>
              <w:rPr>
                <w:color w:val="000000"/>
                <w:sz w:val="20"/>
                <w:szCs w:val="20"/>
              </w:rPr>
            </w:pPr>
            <w:r>
              <w:rPr>
                <w:color w:val="000000"/>
                <w:sz w:val="20"/>
                <w:szCs w:val="20"/>
              </w:rPr>
              <w:t>24.379.000</w:t>
            </w:r>
          </w:p>
        </w:tc>
        <w:tc>
          <w:tcPr>
            <w:tcW w:w="1848" w:type="dxa"/>
            <w:noWrap/>
            <w:vAlign w:val="center"/>
          </w:tcPr>
          <w:p w14:paraId="7BA77902">
            <w:pPr>
              <w:jc w:val="center"/>
              <w:rPr>
                <w:color w:val="000000"/>
                <w:sz w:val="20"/>
                <w:szCs w:val="20"/>
              </w:rPr>
            </w:pPr>
            <w:r>
              <w:rPr>
                <w:color w:val="000000"/>
                <w:sz w:val="20"/>
                <w:szCs w:val="20"/>
              </w:rPr>
              <w:t>2.194.110.000</w:t>
            </w:r>
          </w:p>
        </w:tc>
      </w:tr>
      <w:tr w14:paraId="6AF3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6E9FE31">
            <w:pPr>
              <w:jc w:val="center"/>
              <w:rPr>
                <w:b/>
                <w:bCs/>
                <w:color w:val="000000"/>
                <w:sz w:val="20"/>
                <w:szCs w:val="20"/>
              </w:rPr>
            </w:pPr>
            <w:r>
              <w:rPr>
                <w:b/>
                <w:bCs/>
                <w:color w:val="000000"/>
                <w:sz w:val="20"/>
                <w:szCs w:val="20"/>
              </w:rPr>
              <w:t>LK20</w:t>
            </w:r>
          </w:p>
        </w:tc>
        <w:tc>
          <w:tcPr>
            <w:tcW w:w="1802" w:type="dxa"/>
            <w:vAlign w:val="center"/>
          </w:tcPr>
          <w:p w14:paraId="39C999E2">
            <w:pPr>
              <w:jc w:val="center"/>
              <w:rPr>
                <w:color w:val="000000"/>
                <w:sz w:val="20"/>
                <w:szCs w:val="20"/>
              </w:rPr>
            </w:pPr>
            <w:r>
              <w:rPr>
                <w:color w:val="000000"/>
                <w:sz w:val="20"/>
                <w:szCs w:val="20"/>
              </w:rPr>
              <w:t>LK20:03</w:t>
            </w:r>
          </w:p>
        </w:tc>
        <w:tc>
          <w:tcPr>
            <w:tcW w:w="1033" w:type="dxa"/>
            <w:noWrap/>
            <w:vAlign w:val="center"/>
          </w:tcPr>
          <w:p w14:paraId="06214527">
            <w:pPr>
              <w:jc w:val="center"/>
              <w:rPr>
                <w:color w:val="000000"/>
                <w:sz w:val="20"/>
                <w:szCs w:val="20"/>
              </w:rPr>
            </w:pPr>
            <w:r>
              <w:rPr>
                <w:color w:val="000000"/>
                <w:sz w:val="20"/>
                <w:szCs w:val="20"/>
              </w:rPr>
              <w:t>90,00</w:t>
            </w:r>
          </w:p>
        </w:tc>
        <w:tc>
          <w:tcPr>
            <w:tcW w:w="846" w:type="dxa"/>
            <w:noWrap/>
            <w:vAlign w:val="center"/>
          </w:tcPr>
          <w:p w14:paraId="456698AC">
            <w:pPr>
              <w:jc w:val="center"/>
              <w:rPr>
                <w:color w:val="000000"/>
                <w:sz w:val="20"/>
                <w:szCs w:val="20"/>
              </w:rPr>
            </w:pPr>
            <w:r>
              <w:rPr>
                <w:color w:val="000000"/>
                <w:sz w:val="20"/>
                <w:szCs w:val="20"/>
              </w:rPr>
              <w:t>1</w:t>
            </w:r>
          </w:p>
        </w:tc>
        <w:tc>
          <w:tcPr>
            <w:tcW w:w="2578" w:type="dxa"/>
            <w:noWrap/>
            <w:vAlign w:val="center"/>
          </w:tcPr>
          <w:p w14:paraId="0BFBDE79">
            <w:pPr>
              <w:jc w:val="center"/>
              <w:rPr>
                <w:color w:val="000000"/>
                <w:sz w:val="20"/>
                <w:szCs w:val="20"/>
              </w:rPr>
            </w:pPr>
            <w:r>
              <w:rPr>
                <w:color w:val="000000"/>
                <w:sz w:val="20"/>
                <w:szCs w:val="20"/>
              </w:rPr>
              <w:t>Mặt cắt 1-1</w:t>
            </w:r>
          </w:p>
        </w:tc>
        <w:tc>
          <w:tcPr>
            <w:tcW w:w="2393" w:type="dxa"/>
            <w:noWrap/>
            <w:vAlign w:val="center"/>
          </w:tcPr>
          <w:p w14:paraId="58926F38">
            <w:pPr>
              <w:jc w:val="center"/>
              <w:rPr>
                <w:color w:val="000000"/>
                <w:sz w:val="20"/>
                <w:szCs w:val="20"/>
              </w:rPr>
            </w:pPr>
            <w:r>
              <w:rPr>
                <w:color w:val="000000"/>
                <w:sz w:val="20"/>
                <w:szCs w:val="20"/>
              </w:rPr>
              <w:t>Một mặt tiền</w:t>
            </w:r>
          </w:p>
        </w:tc>
        <w:tc>
          <w:tcPr>
            <w:tcW w:w="1198" w:type="dxa"/>
            <w:noWrap/>
            <w:vAlign w:val="center"/>
          </w:tcPr>
          <w:p w14:paraId="04C19815">
            <w:pPr>
              <w:jc w:val="center"/>
              <w:rPr>
                <w:color w:val="000000"/>
                <w:sz w:val="20"/>
                <w:szCs w:val="20"/>
              </w:rPr>
            </w:pPr>
            <w:r>
              <w:rPr>
                <w:color w:val="000000"/>
                <w:sz w:val="20"/>
                <w:szCs w:val="20"/>
              </w:rPr>
              <w:t>11.800.000</w:t>
            </w:r>
          </w:p>
        </w:tc>
        <w:tc>
          <w:tcPr>
            <w:tcW w:w="1236" w:type="dxa"/>
            <w:noWrap/>
            <w:vAlign w:val="center"/>
          </w:tcPr>
          <w:p w14:paraId="11F3FDDA">
            <w:pPr>
              <w:jc w:val="center"/>
              <w:rPr>
                <w:color w:val="000000"/>
                <w:sz w:val="20"/>
                <w:szCs w:val="20"/>
              </w:rPr>
            </w:pPr>
            <w:r>
              <w:rPr>
                <w:color w:val="000000"/>
                <w:sz w:val="20"/>
                <w:szCs w:val="20"/>
              </w:rPr>
              <w:t>12.579.000</w:t>
            </w:r>
          </w:p>
        </w:tc>
        <w:tc>
          <w:tcPr>
            <w:tcW w:w="1252" w:type="dxa"/>
            <w:noWrap/>
            <w:vAlign w:val="center"/>
          </w:tcPr>
          <w:p w14:paraId="585E4BB7">
            <w:pPr>
              <w:jc w:val="center"/>
              <w:rPr>
                <w:color w:val="000000"/>
                <w:sz w:val="20"/>
                <w:szCs w:val="20"/>
              </w:rPr>
            </w:pPr>
            <w:r>
              <w:rPr>
                <w:color w:val="000000"/>
                <w:sz w:val="20"/>
                <w:szCs w:val="20"/>
              </w:rPr>
              <w:t>24.379.000</w:t>
            </w:r>
          </w:p>
        </w:tc>
        <w:tc>
          <w:tcPr>
            <w:tcW w:w="1848" w:type="dxa"/>
            <w:noWrap/>
            <w:vAlign w:val="center"/>
          </w:tcPr>
          <w:p w14:paraId="348B9C2C">
            <w:pPr>
              <w:jc w:val="center"/>
              <w:rPr>
                <w:color w:val="000000"/>
                <w:sz w:val="20"/>
                <w:szCs w:val="20"/>
              </w:rPr>
            </w:pPr>
            <w:r>
              <w:rPr>
                <w:color w:val="000000"/>
                <w:sz w:val="20"/>
                <w:szCs w:val="20"/>
              </w:rPr>
              <w:t>2.194.110.000</w:t>
            </w:r>
          </w:p>
        </w:tc>
      </w:tr>
      <w:tr w14:paraId="4168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CDFECEA">
            <w:pPr>
              <w:jc w:val="center"/>
              <w:rPr>
                <w:b/>
                <w:bCs/>
                <w:color w:val="000000"/>
                <w:sz w:val="20"/>
                <w:szCs w:val="20"/>
              </w:rPr>
            </w:pPr>
            <w:r>
              <w:rPr>
                <w:b/>
                <w:bCs/>
                <w:color w:val="000000"/>
                <w:sz w:val="20"/>
                <w:szCs w:val="20"/>
              </w:rPr>
              <w:t>LK20</w:t>
            </w:r>
          </w:p>
        </w:tc>
        <w:tc>
          <w:tcPr>
            <w:tcW w:w="1802" w:type="dxa"/>
            <w:vAlign w:val="center"/>
          </w:tcPr>
          <w:p w14:paraId="05907433">
            <w:pPr>
              <w:jc w:val="center"/>
              <w:rPr>
                <w:color w:val="000000"/>
                <w:sz w:val="20"/>
                <w:szCs w:val="20"/>
              </w:rPr>
            </w:pPr>
            <w:r>
              <w:rPr>
                <w:color w:val="000000"/>
                <w:sz w:val="20"/>
                <w:szCs w:val="20"/>
              </w:rPr>
              <w:t>LK20:04</w:t>
            </w:r>
          </w:p>
        </w:tc>
        <w:tc>
          <w:tcPr>
            <w:tcW w:w="1033" w:type="dxa"/>
            <w:noWrap/>
            <w:vAlign w:val="center"/>
          </w:tcPr>
          <w:p w14:paraId="11C67BEE">
            <w:pPr>
              <w:jc w:val="center"/>
              <w:rPr>
                <w:color w:val="000000"/>
                <w:sz w:val="20"/>
                <w:szCs w:val="20"/>
              </w:rPr>
            </w:pPr>
            <w:r>
              <w:rPr>
                <w:color w:val="000000"/>
                <w:sz w:val="20"/>
                <w:szCs w:val="20"/>
              </w:rPr>
              <w:t>90,00</w:t>
            </w:r>
          </w:p>
        </w:tc>
        <w:tc>
          <w:tcPr>
            <w:tcW w:w="846" w:type="dxa"/>
            <w:noWrap/>
            <w:vAlign w:val="center"/>
          </w:tcPr>
          <w:p w14:paraId="068D242B">
            <w:pPr>
              <w:jc w:val="center"/>
              <w:rPr>
                <w:color w:val="000000"/>
                <w:sz w:val="20"/>
                <w:szCs w:val="20"/>
              </w:rPr>
            </w:pPr>
            <w:r>
              <w:rPr>
                <w:color w:val="000000"/>
                <w:sz w:val="20"/>
                <w:szCs w:val="20"/>
              </w:rPr>
              <w:t>1</w:t>
            </w:r>
          </w:p>
        </w:tc>
        <w:tc>
          <w:tcPr>
            <w:tcW w:w="2578" w:type="dxa"/>
            <w:noWrap/>
            <w:vAlign w:val="center"/>
          </w:tcPr>
          <w:p w14:paraId="6FB13CC4">
            <w:pPr>
              <w:jc w:val="center"/>
              <w:rPr>
                <w:color w:val="000000"/>
                <w:sz w:val="20"/>
                <w:szCs w:val="20"/>
              </w:rPr>
            </w:pPr>
            <w:r>
              <w:rPr>
                <w:color w:val="000000"/>
                <w:sz w:val="20"/>
                <w:szCs w:val="20"/>
              </w:rPr>
              <w:t>Mặt cắt 1-1</w:t>
            </w:r>
          </w:p>
        </w:tc>
        <w:tc>
          <w:tcPr>
            <w:tcW w:w="2393" w:type="dxa"/>
            <w:noWrap/>
            <w:vAlign w:val="center"/>
          </w:tcPr>
          <w:p w14:paraId="7D751F6A">
            <w:pPr>
              <w:jc w:val="center"/>
              <w:rPr>
                <w:color w:val="000000"/>
                <w:sz w:val="20"/>
                <w:szCs w:val="20"/>
              </w:rPr>
            </w:pPr>
            <w:r>
              <w:rPr>
                <w:color w:val="000000"/>
                <w:sz w:val="20"/>
                <w:szCs w:val="20"/>
              </w:rPr>
              <w:t>Một mặt tiền</w:t>
            </w:r>
          </w:p>
        </w:tc>
        <w:tc>
          <w:tcPr>
            <w:tcW w:w="1198" w:type="dxa"/>
            <w:noWrap/>
            <w:vAlign w:val="center"/>
          </w:tcPr>
          <w:p w14:paraId="11431B39">
            <w:pPr>
              <w:jc w:val="center"/>
              <w:rPr>
                <w:color w:val="000000"/>
                <w:sz w:val="20"/>
                <w:szCs w:val="20"/>
              </w:rPr>
            </w:pPr>
            <w:r>
              <w:rPr>
                <w:color w:val="000000"/>
                <w:sz w:val="20"/>
                <w:szCs w:val="20"/>
              </w:rPr>
              <w:t>11.800.000</w:t>
            </w:r>
          </w:p>
        </w:tc>
        <w:tc>
          <w:tcPr>
            <w:tcW w:w="1236" w:type="dxa"/>
            <w:noWrap/>
            <w:vAlign w:val="center"/>
          </w:tcPr>
          <w:p w14:paraId="56781AF8">
            <w:pPr>
              <w:jc w:val="center"/>
              <w:rPr>
                <w:color w:val="000000"/>
                <w:sz w:val="20"/>
                <w:szCs w:val="20"/>
              </w:rPr>
            </w:pPr>
            <w:r>
              <w:rPr>
                <w:color w:val="000000"/>
                <w:sz w:val="20"/>
                <w:szCs w:val="20"/>
              </w:rPr>
              <w:t>12.579.000</w:t>
            </w:r>
          </w:p>
        </w:tc>
        <w:tc>
          <w:tcPr>
            <w:tcW w:w="1252" w:type="dxa"/>
            <w:noWrap/>
            <w:vAlign w:val="center"/>
          </w:tcPr>
          <w:p w14:paraId="58AF7DF3">
            <w:pPr>
              <w:jc w:val="center"/>
              <w:rPr>
                <w:color w:val="000000"/>
                <w:sz w:val="20"/>
                <w:szCs w:val="20"/>
              </w:rPr>
            </w:pPr>
            <w:r>
              <w:rPr>
                <w:color w:val="000000"/>
                <w:sz w:val="20"/>
                <w:szCs w:val="20"/>
              </w:rPr>
              <w:t>24.379.000</w:t>
            </w:r>
          </w:p>
        </w:tc>
        <w:tc>
          <w:tcPr>
            <w:tcW w:w="1848" w:type="dxa"/>
            <w:noWrap/>
            <w:vAlign w:val="center"/>
          </w:tcPr>
          <w:p w14:paraId="5F7FB5A8">
            <w:pPr>
              <w:jc w:val="center"/>
              <w:rPr>
                <w:color w:val="000000"/>
                <w:sz w:val="20"/>
                <w:szCs w:val="20"/>
              </w:rPr>
            </w:pPr>
            <w:r>
              <w:rPr>
                <w:color w:val="000000"/>
                <w:sz w:val="20"/>
                <w:szCs w:val="20"/>
              </w:rPr>
              <w:t>2.194.110.000</w:t>
            </w:r>
          </w:p>
        </w:tc>
      </w:tr>
      <w:tr w14:paraId="0DAE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E9FC6F6">
            <w:pPr>
              <w:jc w:val="center"/>
              <w:rPr>
                <w:b/>
                <w:bCs/>
                <w:color w:val="000000"/>
                <w:sz w:val="20"/>
                <w:szCs w:val="20"/>
              </w:rPr>
            </w:pPr>
            <w:r>
              <w:rPr>
                <w:b/>
                <w:bCs/>
                <w:color w:val="000000"/>
                <w:sz w:val="20"/>
                <w:szCs w:val="20"/>
              </w:rPr>
              <w:t>LK20</w:t>
            </w:r>
          </w:p>
        </w:tc>
        <w:tc>
          <w:tcPr>
            <w:tcW w:w="1802" w:type="dxa"/>
            <w:vAlign w:val="center"/>
          </w:tcPr>
          <w:p w14:paraId="02A0C44E">
            <w:pPr>
              <w:jc w:val="center"/>
              <w:rPr>
                <w:color w:val="000000"/>
                <w:sz w:val="20"/>
                <w:szCs w:val="20"/>
              </w:rPr>
            </w:pPr>
            <w:r>
              <w:rPr>
                <w:color w:val="000000"/>
                <w:sz w:val="20"/>
                <w:szCs w:val="20"/>
              </w:rPr>
              <w:t>LK20:05</w:t>
            </w:r>
          </w:p>
        </w:tc>
        <w:tc>
          <w:tcPr>
            <w:tcW w:w="1033" w:type="dxa"/>
            <w:noWrap/>
            <w:vAlign w:val="center"/>
          </w:tcPr>
          <w:p w14:paraId="6C979E67">
            <w:pPr>
              <w:jc w:val="center"/>
              <w:rPr>
                <w:color w:val="000000"/>
                <w:sz w:val="20"/>
                <w:szCs w:val="20"/>
              </w:rPr>
            </w:pPr>
            <w:r>
              <w:rPr>
                <w:color w:val="000000"/>
                <w:sz w:val="20"/>
                <w:szCs w:val="20"/>
              </w:rPr>
              <w:t>90,00</w:t>
            </w:r>
          </w:p>
        </w:tc>
        <w:tc>
          <w:tcPr>
            <w:tcW w:w="846" w:type="dxa"/>
            <w:noWrap/>
            <w:vAlign w:val="center"/>
          </w:tcPr>
          <w:p w14:paraId="0FA4CCDC">
            <w:pPr>
              <w:jc w:val="center"/>
              <w:rPr>
                <w:color w:val="000000"/>
                <w:sz w:val="20"/>
                <w:szCs w:val="20"/>
              </w:rPr>
            </w:pPr>
            <w:r>
              <w:rPr>
                <w:color w:val="000000"/>
                <w:sz w:val="20"/>
                <w:szCs w:val="20"/>
              </w:rPr>
              <w:t>1</w:t>
            </w:r>
          </w:p>
        </w:tc>
        <w:tc>
          <w:tcPr>
            <w:tcW w:w="2578" w:type="dxa"/>
            <w:noWrap/>
            <w:vAlign w:val="center"/>
          </w:tcPr>
          <w:p w14:paraId="4053CCA5">
            <w:pPr>
              <w:jc w:val="center"/>
              <w:rPr>
                <w:color w:val="000000"/>
                <w:sz w:val="20"/>
                <w:szCs w:val="20"/>
              </w:rPr>
            </w:pPr>
            <w:r>
              <w:rPr>
                <w:color w:val="000000"/>
                <w:sz w:val="20"/>
                <w:szCs w:val="20"/>
              </w:rPr>
              <w:t>Mặt cắt 1-1</w:t>
            </w:r>
          </w:p>
        </w:tc>
        <w:tc>
          <w:tcPr>
            <w:tcW w:w="2393" w:type="dxa"/>
            <w:noWrap/>
            <w:vAlign w:val="center"/>
          </w:tcPr>
          <w:p w14:paraId="69DE9CAC">
            <w:pPr>
              <w:jc w:val="center"/>
              <w:rPr>
                <w:color w:val="000000"/>
                <w:sz w:val="20"/>
                <w:szCs w:val="20"/>
              </w:rPr>
            </w:pPr>
            <w:r>
              <w:rPr>
                <w:color w:val="000000"/>
                <w:sz w:val="20"/>
                <w:szCs w:val="20"/>
              </w:rPr>
              <w:t>Một mặt tiền</w:t>
            </w:r>
          </w:p>
        </w:tc>
        <w:tc>
          <w:tcPr>
            <w:tcW w:w="1198" w:type="dxa"/>
            <w:noWrap/>
            <w:vAlign w:val="center"/>
          </w:tcPr>
          <w:p w14:paraId="1C2D5E4F">
            <w:pPr>
              <w:jc w:val="center"/>
              <w:rPr>
                <w:color w:val="000000"/>
                <w:sz w:val="20"/>
                <w:szCs w:val="20"/>
              </w:rPr>
            </w:pPr>
            <w:r>
              <w:rPr>
                <w:color w:val="000000"/>
                <w:sz w:val="20"/>
                <w:szCs w:val="20"/>
              </w:rPr>
              <w:t>11.800.000</w:t>
            </w:r>
          </w:p>
        </w:tc>
        <w:tc>
          <w:tcPr>
            <w:tcW w:w="1236" w:type="dxa"/>
            <w:noWrap/>
            <w:vAlign w:val="center"/>
          </w:tcPr>
          <w:p w14:paraId="1387BECA">
            <w:pPr>
              <w:jc w:val="center"/>
              <w:rPr>
                <w:color w:val="000000"/>
                <w:sz w:val="20"/>
                <w:szCs w:val="20"/>
              </w:rPr>
            </w:pPr>
            <w:r>
              <w:rPr>
                <w:color w:val="000000"/>
                <w:sz w:val="20"/>
                <w:szCs w:val="20"/>
              </w:rPr>
              <w:t>12.579.000</w:t>
            </w:r>
          </w:p>
        </w:tc>
        <w:tc>
          <w:tcPr>
            <w:tcW w:w="1252" w:type="dxa"/>
            <w:noWrap/>
            <w:vAlign w:val="center"/>
          </w:tcPr>
          <w:p w14:paraId="59AF06CD">
            <w:pPr>
              <w:jc w:val="center"/>
              <w:rPr>
                <w:color w:val="000000"/>
                <w:sz w:val="20"/>
                <w:szCs w:val="20"/>
              </w:rPr>
            </w:pPr>
            <w:r>
              <w:rPr>
                <w:color w:val="000000"/>
                <w:sz w:val="20"/>
                <w:szCs w:val="20"/>
              </w:rPr>
              <w:t>24.379.000</w:t>
            </w:r>
          </w:p>
        </w:tc>
        <w:tc>
          <w:tcPr>
            <w:tcW w:w="1848" w:type="dxa"/>
            <w:noWrap/>
            <w:vAlign w:val="center"/>
          </w:tcPr>
          <w:p w14:paraId="2AA4C1E3">
            <w:pPr>
              <w:jc w:val="center"/>
              <w:rPr>
                <w:color w:val="000000"/>
                <w:sz w:val="20"/>
                <w:szCs w:val="20"/>
              </w:rPr>
            </w:pPr>
            <w:r>
              <w:rPr>
                <w:color w:val="000000"/>
                <w:sz w:val="20"/>
                <w:szCs w:val="20"/>
              </w:rPr>
              <w:t>2.194.110.000</w:t>
            </w:r>
          </w:p>
        </w:tc>
      </w:tr>
      <w:tr w14:paraId="5EB9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AA14B65">
            <w:pPr>
              <w:jc w:val="center"/>
              <w:rPr>
                <w:b/>
                <w:bCs/>
                <w:color w:val="000000"/>
                <w:sz w:val="20"/>
                <w:szCs w:val="20"/>
              </w:rPr>
            </w:pPr>
            <w:r>
              <w:rPr>
                <w:b/>
                <w:bCs/>
                <w:color w:val="000000"/>
                <w:sz w:val="20"/>
                <w:szCs w:val="20"/>
              </w:rPr>
              <w:t>LK20</w:t>
            </w:r>
          </w:p>
        </w:tc>
        <w:tc>
          <w:tcPr>
            <w:tcW w:w="1802" w:type="dxa"/>
            <w:vAlign w:val="center"/>
          </w:tcPr>
          <w:p w14:paraId="68D6116B">
            <w:pPr>
              <w:jc w:val="center"/>
              <w:rPr>
                <w:color w:val="000000"/>
                <w:sz w:val="20"/>
                <w:szCs w:val="20"/>
              </w:rPr>
            </w:pPr>
            <w:r>
              <w:rPr>
                <w:color w:val="000000"/>
                <w:sz w:val="20"/>
                <w:szCs w:val="20"/>
              </w:rPr>
              <w:t>LK20:06</w:t>
            </w:r>
          </w:p>
        </w:tc>
        <w:tc>
          <w:tcPr>
            <w:tcW w:w="1033" w:type="dxa"/>
            <w:noWrap/>
            <w:vAlign w:val="center"/>
          </w:tcPr>
          <w:p w14:paraId="77672AC2">
            <w:pPr>
              <w:jc w:val="center"/>
              <w:rPr>
                <w:color w:val="000000"/>
                <w:sz w:val="20"/>
                <w:szCs w:val="20"/>
              </w:rPr>
            </w:pPr>
            <w:r>
              <w:rPr>
                <w:color w:val="000000"/>
                <w:sz w:val="20"/>
                <w:szCs w:val="20"/>
              </w:rPr>
              <w:t>90,00</w:t>
            </w:r>
          </w:p>
        </w:tc>
        <w:tc>
          <w:tcPr>
            <w:tcW w:w="846" w:type="dxa"/>
            <w:noWrap/>
            <w:vAlign w:val="center"/>
          </w:tcPr>
          <w:p w14:paraId="4BE03C1A">
            <w:pPr>
              <w:jc w:val="center"/>
              <w:rPr>
                <w:color w:val="000000"/>
                <w:sz w:val="20"/>
                <w:szCs w:val="20"/>
              </w:rPr>
            </w:pPr>
            <w:r>
              <w:rPr>
                <w:color w:val="000000"/>
                <w:sz w:val="20"/>
                <w:szCs w:val="20"/>
              </w:rPr>
              <w:t>1</w:t>
            </w:r>
          </w:p>
        </w:tc>
        <w:tc>
          <w:tcPr>
            <w:tcW w:w="2578" w:type="dxa"/>
            <w:noWrap/>
            <w:vAlign w:val="center"/>
          </w:tcPr>
          <w:p w14:paraId="746E9360">
            <w:pPr>
              <w:jc w:val="center"/>
              <w:rPr>
                <w:color w:val="000000"/>
                <w:sz w:val="20"/>
                <w:szCs w:val="20"/>
              </w:rPr>
            </w:pPr>
            <w:r>
              <w:rPr>
                <w:color w:val="000000"/>
                <w:sz w:val="20"/>
                <w:szCs w:val="20"/>
              </w:rPr>
              <w:t>Mặt cắt 1-1</w:t>
            </w:r>
          </w:p>
        </w:tc>
        <w:tc>
          <w:tcPr>
            <w:tcW w:w="2393" w:type="dxa"/>
            <w:noWrap/>
            <w:vAlign w:val="center"/>
          </w:tcPr>
          <w:p w14:paraId="5118B339">
            <w:pPr>
              <w:jc w:val="center"/>
              <w:rPr>
                <w:color w:val="000000"/>
                <w:sz w:val="20"/>
                <w:szCs w:val="20"/>
              </w:rPr>
            </w:pPr>
            <w:r>
              <w:rPr>
                <w:color w:val="000000"/>
                <w:sz w:val="20"/>
                <w:szCs w:val="20"/>
              </w:rPr>
              <w:t>Một mặt tiền</w:t>
            </w:r>
          </w:p>
        </w:tc>
        <w:tc>
          <w:tcPr>
            <w:tcW w:w="1198" w:type="dxa"/>
            <w:noWrap/>
            <w:vAlign w:val="center"/>
          </w:tcPr>
          <w:p w14:paraId="3BA07A88">
            <w:pPr>
              <w:jc w:val="center"/>
              <w:rPr>
                <w:color w:val="000000"/>
                <w:sz w:val="20"/>
                <w:szCs w:val="20"/>
              </w:rPr>
            </w:pPr>
            <w:r>
              <w:rPr>
                <w:color w:val="000000"/>
                <w:sz w:val="20"/>
                <w:szCs w:val="20"/>
              </w:rPr>
              <w:t>11.800.000</w:t>
            </w:r>
          </w:p>
        </w:tc>
        <w:tc>
          <w:tcPr>
            <w:tcW w:w="1236" w:type="dxa"/>
            <w:noWrap/>
            <w:vAlign w:val="center"/>
          </w:tcPr>
          <w:p w14:paraId="168991AB">
            <w:pPr>
              <w:jc w:val="center"/>
              <w:rPr>
                <w:color w:val="000000"/>
                <w:sz w:val="20"/>
                <w:szCs w:val="20"/>
              </w:rPr>
            </w:pPr>
            <w:r>
              <w:rPr>
                <w:color w:val="000000"/>
                <w:sz w:val="20"/>
                <w:szCs w:val="20"/>
              </w:rPr>
              <w:t>12.579.000</w:t>
            </w:r>
          </w:p>
        </w:tc>
        <w:tc>
          <w:tcPr>
            <w:tcW w:w="1252" w:type="dxa"/>
            <w:noWrap/>
            <w:vAlign w:val="center"/>
          </w:tcPr>
          <w:p w14:paraId="36A613EE">
            <w:pPr>
              <w:jc w:val="center"/>
              <w:rPr>
                <w:color w:val="000000"/>
                <w:sz w:val="20"/>
                <w:szCs w:val="20"/>
              </w:rPr>
            </w:pPr>
            <w:r>
              <w:rPr>
                <w:color w:val="000000"/>
                <w:sz w:val="20"/>
                <w:szCs w:val="20"/>
              </w:rPr>
              <w:t>24.379.000</w:t>
            </w:r>
          </w:p>
        </w:tc>
        <w:tc>
          <w:tcPr>
            <w:tcW w:w="1848" w:type="dxa"/>
            <w:noWrap/>
            <w:vAlign w:val="center"/>
          </w:tcPr>
          <w:p w14:paraId="1C575DE4">
            <w:pPr>
              <w:jc w:val="center"/>
              <w:rPr>
                <w:color w:val="000000"/>
                <w:sz w:val="20"/>
                <w:szCs w:val="20"/>
              </w:rPr>
            </w:pPr>
            <w:r>
              <w:rPr>
                <w:color w:val="000000"/>
                <w:sz w:val="20"/>
                <w:szCs w:val="20"/>
              </w:rPr>
              <w:t>2.194.110.000</w:t>
            </w:r>
          </w:p>
        </w:tc>
      </w:tr>
      <w:tr w14:paraId="0331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4E69AE8">
            <w:pPr>
              <w:jc w:val="center"/>
              <w:rPr>
                <w:b/>
                <w:bCs/>
                <w:color w:val="000000"/>
                <w:sz w:val="20"/>
                <w:szCs w:val="20"/>
              </w:rPr>
            </w:pPr>
            <w:r>
              <w:rPr>
                <w:b/>
                <w:bCs/>
                <w:color w:val="000000"/>
                <w:sz w:val="20"/>
                <w:szCs w:val="20"/>
              </w:rPr>
              <w:t>LK20</w:t>
            </w:r>
          </w:p>
        </w:tc>
        <w:tc>
          <w:tcPr>
            <w:tcW w:w="1802" w:type="dxa"/>
            <w:vAlign w:val="center"/>
          </w:tcPr>
          <w:p w14:paraId="6DD167CE">
            <w:pPr>
              <w:jc w:val="center"/>
              <w:rPr>
                <w:color w:val="000000"/>
                <w:sz w:val="20"/>
                <w:szCs w:val="20"/>
              </w:rPr>
            </w:pPr>
            <w:r>
              <w:rPr>
                <w:color w:val="000000"/>
                <w:sz w:val="20"/>
                <w:szCs w:val="20"/>
              </w:rPr>
              <w:t>LK20:07</w:t>
            </w:r>
          </w:p>
        </w:tc>
        <w:tc>
          <w:tcPr>
            <w:tcW w:w="1033" w:type="dxa"/>
            <w:noWrap/>
            <w:vAlign w:val="center"/>
          </w:tcPr>
          <w:p w14:paraId="15884C84">
            <w:pPr>
              <w:jc w:val="center"/>
              <w:rPr>
                <w:color w:val="000000"/>
                <w:sz w:val="20"/>
                <w:szCs w:val="20"/>
              </w:rPr>
            </w:pPr>
            <w:r>
              <w:rPr>
                <w:color w:val="000000"/>
                <w:sz w:val="20"/>
                <w:szCs w:val="20"/>
              </w:rPr>
              <w:t>108,88</w:t>
            </w:r>
          </w:p>
        </w:tc>
        <w:tc>
          <w:tcPr>
            <w:tcW w:w="846" w:type="dxa"/>
            <w:noWrap/>
            <w:vAlign w:val="center"/>
          </w:tcPr>
          <w:p w14:paraId="28EC0F0A">
            <w:pPr>
              <w:jc w:val="center"/>
              <w:rPr>
                <w:color w:val="000000"/>
                <w:sz w:val="20"/>
                <w:szCs w:val="20"/>
              </w:rPr>
            </w:pPr>
            <w:r>
              <w:rPr>
                <w:color w:val="000000"/>
                <w:sz w:val="20"/>
                <w:szCs w:val="20"/>
              </w:rPr>
              <w:t>1</w:t>
            </w:r>
          </w:p>
        </w:tc>
        <w:tc>
          <w:tcPr>
            <w:tcW w:w="2578" w:type="dxa"/>
            <w:noWrap/>
            <w:vAlign w:val="center"/>
          </w:tcPr>
          <w:p w14:paraId="0309B71F">
            <w:pPr>
              <w:jc w:val="center"/>
              <w:rPr>
                <w:color w:val="000000"/>
                <w:sz w:val="20"/>
                <w:szCs w:val="20"/>
              </w:rPr>
            </w:pPr>
            <w:r>
              <w:rPr>
                <w:color w:val="000000"/>
                <w:sz w:val="20"/>
                <w:szCs w:val="20"/>
              </w:rPr>
              <w:t>Mặt cắt 1-1</w:t>
            </w:r>
          </w:p>
        </w:tc>
        <w:tc>
          <w:tcPr>
            <w:tcW w:w="2393" w:type="dxa"/>
            <w:noWrap/>
            <w:vAlign w:val="center"/>
          </w:tcPr>
          <w:p w14:paraId="26C2D47D">
            <w:pPr>
              <w:jc w:val="center"/>
              <w:rPr>
                <w:color w:val="000000"/>
                <w:sz w:val="20"/>
                <w:szCs w:val="20"/>
              </w:rPr>
            </w:pPr>
            <w:r>
              <w:rPr>
                <w:color w:val="000000"/>
                <w:sz w:val="20"/>
                <w:szCs w:val="20"/>
              </w:rPr>
              <w:t>Một mặt tiền</w:t>
            </w:r>
          </w:p>
        </w:tc>
        <w:tc>
          <w:tcPr>
            <w:tcW w:w="1198" w:type="dxa"/>
            <w:noWrap/>
            <w:vAlign w:val="center"/>
          </w:tcPr>
          <w:p w14:paraId="1B5E8A0B">
            <w:pPr>
              <w:jc w:val="center"/>
              <w:rPr>
                <w:color w:val="000000"/>
                <w:sz w:val="20"/>
                <w:szCs w:val="20"/>
              </w:rPr>
            </w:pPr>
            <w:r>
              <w:rPr>
                <w:color w:val="000000"/>
                <w:sz w:val="20"/>
                <w:szCs w:val="20"/>
              </w:rPr>
              <w:t>11.800.000</w:t>
            </w:r>
          </w:p>
        </w:tc>
        <w:tc>
          <w:tcPr>
            <w:tcW w:w="1236" w:type="dxa"/>
            <w:noWrap/>
            <w:vAlign w:val="center"/>
          </w:tcPr>
          <w:p w14:paraId="14E28F2E">
            <w:pPr>
              <w:jc w:val="center"/>
              <w:rPr>
                <w:color w:val="000000"/>
                <w:sz w:val="20"/>
                <w:szCs w:val="20"/>
              </w:rPr>
            </w:pPr>
            <w:r>
              <w:rPr>
                <w:color w:val="000000"/>
                <w:sz w:val="20"/>
                <w:szCs w:val="20"/>
              </w:rPr>
              <w:t>12.579.000</w:t>
            </w:r>
          </w:p>
        </w:tc>
        <w:tc>
          <w:tcPr>
            <w:tcW w:w="1252" w:type="dxa"/>
            <w:noWrap/>
            <w:vAlign w:val="center"/>
          </w:tcPr>
          <w:p w14:paraId="529BA09E">
            <w:pPr>
              <w:jc w:val="center"/>
              <w:rPr>
                <w:color w:val="000000"/>
                <w:sz w:val="20"/>
                <w:szCs w:val="20"/>
              </w:rPr>
            </w:pPr>
            <w:r>
              <w:rPr>
                <w:color w:val="000000"/>
                <w:sz w:val="20"/>
                <w:szCs w:val="20"/>
              </w:rPr>
              <w:t>24.379.000</w:t>
            </w:r>
          </w:p>
        </w:tc>
        <w:tc>
          <w:tcPr>
            <w:tcW w:w="1848" w:type="dxa"/>
            <w:noWrap/>
            <w:vAlign w:val="center"/>
          </w:tcPr>
          <w:p w14:paraId="376D9D1F">
            <w:pPr>
              <w:jc w:val="center"/>
              <w:rPr>
                <w:color w:val="000000"/>
                <w:sz w:val="20"/>
                <w:szCs w:val="20"/>
              </w:rPr>
            </w:pPr>
            <w:r>
              <w:rPr>
                <w:color w:val="000000"/>
                <w:sz w:val="20"/>
                <w:szCs w:val="20"/>
              </w:rPr>
              <w:t>2.654.385.520</w:t>
            </w:r>
          </w:p>
        </w:tc>
      </w:tr>
      <w:tr w14:paraId="783A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FC60D88">
            <w:pPr>
              <w:jc w:val="center"/>
              <w:rPr>
                <w:b/>
                <w:bCs/>
                <w:color w:val="000000"/>
                <w:sz w:val="20"/>
                <w:szCs w:val="20"/>
              </w:rPr>
            </w:pPr>
            <w:r>
              <w:rPr>
                <w:b/>
                <w:bCs/>
                <w:color w:val="000000"/>
                <w:sz w:val="20"/>
                <w:szCs w:val="20"/>
              </w:rPr>
              <w:t>LK22</w:t>
            </w:r>
          </w:p>
        </w:tc>
        <w:tc>
          <w:tcPr>
            <w:tcW w:w="1802" w:type="dxa"/>
            <w:vAlign w:val="center"/>
          </w:tcPr>
          <w:p w14:paraId="0C01DC6D">
            <w:pPr>
              <w:jc w:val="center"/>
              <w:rPr>
                <w:color w:val="000000"/>
                <w:sz w:val="20"/>
                <w:szCs w:val="20"/>
              </w:rPr>
            </w:pPr>
            <w:r>
              <w:rPr>
                <w:color w:val="000000"/>
                <w:sz w:val="20"/>
                <w:szCs w:val="20"/>
              </w:rPr>
              <w:t>LK22:01</w:t>
            </w:r>
          </w:p>
        </w:tc>
        <w:tc>
          <w:tcPr>
            <w:tcW w:w="1033" w:type="dxa"/>
            <w:noWrap/>
            <w:vAlign w:val="center"/>
          </w:tcPr>
          <w:p w14:paraId="3E71E6B0">
            <w:pPr>
              <w:jc w:val="center"/>
              <w:rPr>
                <w:color w:val="000000"/>
                <w:sz w:val="20"/>
                <w:szCs w:val="20"/>
              </w:rPr>
            </w:pPr>
            <w:r>
              <w:rPr>
                <w:color w:val="000000"/>
                <w:sz w:val="20"/>
                <w:szCs w:val="20"/>
              </w:rPr>
              <w:t>90,00</w:t>
            </w:r>
          </w:p>
        </w:tc>
        <w:tc>
          <w:tcPr>
            <w:tcW w:w="846" w:type="dxa"/>
            <w:noWrap/>
            <w:vAlign w:val="center"/>
          </w:tcPr>
          <w:p w14:paraId="32ABC468">
            <w:pPr>
              <w:jc w:val="center"/>
              <w:rPr>
                <w:color w:val="000000"/>
                <w:sz w:val="20"/>
                <w:szCs w:val="20"/>
              </w:rPr>
            </w:pPr>
            <w:r>
              <w:rPr>
                <w:color w:val="000000"/>
                <w:sz w:val="20"/>
                <w:szCs w:val="20"/>
              </w:rPr>
              <w:t>1</w:t>
            </w:r>
          </w:p>
        </w:tc>
        <w:tc>
          <w:tcPr>
            <w:tcW w:w="2578" w:type="dxa"/>
            <w:noWrap/>
            <w:vAlign w:val="center"/>
          </w:tcPr>
          <w:p w14:paraId="029A94CA">
            <w:pPr>
              <w:jc w:val="center"/>
              <w:rPr>
                <w:color w:val="000000"/>
                <w:sz w:val="20"/>
                <w:szCs w:val="20"/>
              </w:rPr>
            </w:pPr>
            <w:r>
              <w:rPr>
                <w:color w:val="000000"/>
                <w:sz w:val="20"/>
                <w:szCs w:val="20"/>
              </w:rPr>
              <w:t>Mặt cắt 1-1</w:t>
            </w:r>
          </w:p>
        </w:tc>
        <w:tc>
          <w:tcPr>
            <w:tcW w:w="2393" w:type="dxa"/>
            <w:noWrap/>
            <w:vAlign w:val="center"/>
          </w:tcPr>
          <w:p w14:paraId="7F4AB609">
            <w:pPr>
              <w:jc w:val="center"/>
              <w:rPr>
                <w:color w:val="000000"/>
                <w:sz w:val="20"/>
                <w:szCs w:val="20"/>
              </w:rPr>
            </w:pPr>
            <w:r>
              <w:rPr>
                <w:color w:val="000000"/>
                <w:sz w:val="20"/>
                <w:szCs w:val="20"/>
              </w:rPr>
              <w:t>Một mặt tiền</w:t>
            </w:r>
          </w:p>
        </w:tc>
        <w:tc>
          <w:tcPr>
            <w:tcW w:w="1198" w:type="dxa"/>
            <w:noWrap/>
            <w:vAlign w:val="center"/>
          </w:tcPr>
          <w:p w14:paraId="7036815D">
            <w:pPr>
              <w:jc w:val="center"/>
              <w:rPr>
                <w:color w:val="000000"/>
                <w:sz w:val="20"/>
                <w:szCs w:val="20"/>
              </w:rPr>
            </w:pPr>
            <w:r>
              <w:rPr>
                <w:color w:val="000000"/>
                <w:sz w:val="20"/>
                <w:szCs w:val="20"/>
              </w:rPr>
              <w:t>11.800.000</w:t>
            </w:r>
          </w:p>
        </w:tc>
        <w:tc>
          <w:tcPr>
            <w:tcW w:w="1236" w:type="dxa"/>
            <w:noWrap/>
            <w:vAlign w:val="center"/>
          </w:tcPr>
          <w:p w14:paraId="760DB48F">
            <w:pPr>
              <w:jc w:val="center"/>
              <w:rPr>
                <w:color w:val="000000"/>
                <w:sz w:val="20"/>
                <w:szCs w:val="20"/>
              </w:rPr>
            </w:pPr>
            <w:r>
              <w:rPr>
                <w:color w:val="000000"/>
                <w:sz w:val="20"/>
                <w:szCs w:val="20"/>
              </w:rPr>
              <w:t>12.579.000</w:t>
            </w:r>
          </w:p>
        </w:tc>
        <w:tc>
          <w:tcPr>
            <w:tcW w:w="1252" w:type="dxa"/>
            <w:noWrap/>
            <w:vAlign w:val="center"/>
          </w:tcPr>
          <w:p w14:paraId="06D4C1D2">
            <w:pPr>
              <w:jc w:val="center"/>
              <w:rPr>
                <w:color w:val="000000"/>
                <w:sz w:val="20"/>
                <w:szCs w:val="20"/>
              </w:rPr>
            </w:pPr>
            <w:r>
              <w:rPr>
                <w:color w:val="000000"/>
                <w:sz w:val="20"/>
                <w:szCs w:val="20"/>
              </w:rPr>
              <w:t>24.379.000</w:t>
            </w:r>
          </w:p>
        </w:tc>
        <w:tc>
          <w:tcPr>
            <w:tcW w:w="1848" w:type="dxa"/>
            <w:noWrap/>
            <w:vAlign w:val="center"/>
          </w:tcPr>
          <w:p w14:paraId="2B1C501C">
            <w:pPr>
              <w:jc w:val="center"/>
              <w:rPr>
                <w:color w:val="000000"/>
                <w:sz w:val="20"/>
                <w:szCs w:val="20"/>
              </w:rPr>
            </w:pPr>
            <w:r>
              <w:rPr>
                <w:color w:val="000000"/>
                <w:sz w:val="20"/>
                <w:szCs w:val="20"/>
              </w:rPr>
              <w:t>2.194.110.000</w:t>
            </w:r>
          </w:p>
        </w:tc>
      </w:tr>
      <w:tr w14:paraId="5A28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5F2EC0C">
            <w:pPr>
              <w:jc w:val="center"/>
              <w:rPr>
                <w:b/>
                <w:bCs/>
                <w:color w:val="000000"/>
                <w:sz w:val="20"/>
                <w:szCs w:val="20"/>
              </w:rPr>
            </w:pPr>
            <w:r>
              <w:rPr>
                <w:b/>
                <w:bCs/>
                <w:color w:val="000000"/>
                <w:sz w:val="20"/>
                <w:szCs w:val="20"/>
              </w:rPr>
              <w:t>LK22</w:t>
            </w:r>
          </w:p>
        </w:tc>
        <w:tc>
          <w:tcPr>
            <w:tcW w:w="1802" w:type="dxa"/>
            <w:vAlign w:val="center"/>
          </w:tcPr>
          <w:p w14:paraId="33567B60">
            <w:pPr>
              <w:jc w:val="center"/>
              <w:rPr>
                <w:color w:val="000000"/>
                <w:sz w:val="20"/>
                <w:szCs w:val="20"/>
              </w:rPr>
            </w:pPr>
            <w:r>
              <w:rPr>
                <w:color w:val="000000"/>
                <w:sz w:val="20"/>
                <w:szCs w:val="20"/>
              </w:rPr>
              <w:t>LK22:02</w:t>
            </w:r>
          </w:p>
        </w:tc>
        <w:tc>
          <w:tcPr>
            <w:tcW w:w="1033" w:type="dxa"/>
            <w:noWrap/>
            <w:vAlign w:val="center"/>
          </w:tcPr>
          <w:p w14:paraId="17C7E4C0">
            <w:pPr>
              <w:jc w:val="center"/>
              <w:rPr>
                <w:color w:val="000000"/>
                <w:sz w:val="20"/>
                <w:szCs w:val="20"/>
              </w:rPr>
            </w:pPr>
            <w:r>
              <w:rPr>
                <w:color w:val="000000"/>
                <w:sz w:val="20"/>
                <w:szCs w:val="20"/>
              </w:rPr>
              <w:t>90,00</w:t>
            </w:r>
          </w:p>
        </w:tc>
        <w:tc>
          <w:tcPr>
            <w:tcW w:w="846" w:type="dxa"/>
            <w:noWrap/>
            <w:vAlign w:val="center"/>
          </w:tcPr>
          <w:p w14:paraId="6A9F492D">
            <w:pPr>
              <w:jc w:val="center"/>
              <w:rPr>
                <w:color w:val="000000"/>
                <w:sz w:val="20"/>
                <w:szCs w:val="20"/>
              </w:rPr>
            </w:pPr>
            <w:r>
              <w:rPr>
                <w:color w:val="000000"/>
                <w:sz w:val="20"/>
                <w:szCs w:val="20"/>
              </w:rPr>
              <w:t>1</w:t>
            </w:r>
          </w:p>
        </w:tc>
        <w:tc>
          <w:tcPr>
            <w:tcW w:w="2578" w:type="dxa"/>
            <w:noWrap/>
            <w:vAlign w:val="center"/>
          </w:tcPr>
          <w:p w14:paraId="7BC742B9">
            <w:pPr>
              <w:jc w:val="center"/>
              <w:rPr>
                <w:color w:val="000000"/>
                <w:sz w:val="20"/>
                <w:szCs w:val="20"/>
              </w:rPr>
            </w:pPr>
            <w:r>
              <w:rPr>
                <w:color w:val="000000"/>
                <w:sz w:val="20"/>
                <w:szCs w:val="20"/>
              </w:rPr>
              <w:t>Mặt cắt 1-1</w:t>
            </w:r>
          </w:p>
        </w:tc>
        <w:tc>
          <w:tcPr>
            <w:tcW w:w="2393" w:type="dxa"/>
            <w:noWrap/>
            <w:vAlign w:val="center"/>
          </w:tcPr>
          <w:p w14:paraId="2657AB52">
            <w:pPr>
              <w:jc w:val="center"/>
              <w:rPr>
                <w:color w:val="000000"/>
                <w:sz w:val="20"/>
                <w:szCs w:val="20"/>
              </w:rPr>
            </w:pPr>
            <w:r>
              <w:rPr>
                <w:color w:val="000000"/>
                <w:sz w:val="20"/>
                <w:szCs w:val="20"/>
              </w:rPr>
              <w:t>Một mặt tiền</w:t>
            </w:r>
          </w:p>
        </w:tc>
        <w:tc>
          <w:tcPr>
            <w:tcW w:w="1198" w:type="dxa"/>
            <w:noWrap/>
            <w:vAlign w:val="center"/>
          </w:tcPr>
          <w:p w14:paraId="0C5422DD">
            <w:pPr>
              <w:jc w:val="center"/>
              <w:rPr>
                <w:color w:val="000000"/>
                <w:sz w:val="20"/>
                <w:szCs w:val="20"/>
              </w:rPr>
            </w:pPr>
            <w:r>
              <w:rPr>
                <w:color w:val="000000"/>
                <w:sz w:val="20"/>
                <w:szCs w:val="20"/>
              </w:rPr>
              <w:t>11.800.000</w:t>
            </w:r>
          </w:p>
        </w:tc>
        <w:tc>
          <w:tcPr>
            <w:tcW w:w="1236" w:type="dxa"/>
            <w:noWrap/>
            <w:vAlign w:val="center"/>
          </w:tcPr>
          <w:p w14:paraId="12CA22FF">
            <w:pPr>
              <w:jc w:val="center"/>
              <w:rPr>
                <w:color w:val="000000"/>
                <w:sz w:val="20"/>
                <w:szCs w:val="20"/>
              </w:rPr>
            </w:pPr>
            <w:r>
              <w:rPr>
                <w:color w:val="000000"/>
                <w:sz w:val="20"/>
                <w:szCs w:val="20"/>
              </w:rPr>
              <w:t>12.579.000</w:t>
            </w:r>
          </w:p>
        </w:tc>
        <w:tc>
          <w:tcPr>
            <w:tcW w:w="1252" w:type="dxa"/>
            <w:noWrap/>
            <w:vAlign w:val="center"/>
          </w:tcPr>
          <w:p w14:paraId="6FAD58A4">
            <w:pPr>
              <w:jc w:val="center"/>
              <w:rPr>
                <w:color w:val="000000"/>
                <w:sz w:val="20"/>
                <w:szCs w:val="20"/>
              </w:rPr>
            </w:pPr>
            <w:r>
              <w:rPr>
                <w:color w:val="000000"/>
                <w:sz w:val="20"/>
                <w:szCs w:val="20"/>
              </w:rPr>
              <w:t>24.379.000</w:t>
            </w:r>
          </w:p>
        </w:tc>
        <w:tc>
          <w:tcPr>
            <w:tcW w:w="1848" w:type="dxa"/>
            <w:noWrap/>
            <w:vAlign w:val="center"/>
          </w:tcPr>
          <w:p w14:paraId="682E7AC5">
            <w:pPr>
              <w:jc w:val="center"/>
              <w:rPr>
                <w:color w:val="000000"/>
                <w:sz w:val="20"/>
                <w:szCs w:val="20"/>
              </w:rPr>
            </w:pPr>
            <w:r>
              <w:rPr>
                <w:color w:val="000000"/>
                <w:sz w:val="20"/>
                <w:szCs w:val="20"/>
              </w:rPr>
              <w:t>2.194.110.000</w:t>
            </w:r>
          </w:p>
        </w:tc>
      </w:tr>
      <w:tr w14:paraId="3FD4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95B0FB9">
            <w:pPr>
              <w:jc w:val="center"/>
              <w:rPr>
                <w:b/>
                <w:bCs/>
                <w:color w:val="000000"/>
                <w:sz w:val="20"/>
                <w:szCs w:val="20"/>
              </w:rPr>
            </w:pPr>
            <w:r>
              <w:rPr>
                <w:b/>
                <w:bCs/>
                <w:color w:val="000000"/>
                <w:sz w:val="20"/>
                <w:szCs w:val="20"/>
              </w:rPr>
              <w:t>LK22</w:t>
            </w:r>
          </w:p>
        </w:tc>
        <w:tc>
          <w:tcPr>
            <w:tcW w:w="1802" w:type="dxa"/>
            <w:vAlign w:val="center"/>
          </w:tcPr>
          <w:p w14:paraId="6577187A">
            <w:pPr>
              <w:jc w:val="center"/>
              <w:rPr>
                <w:color w:val="000000"/>
                <w:sz w:val="20"/>
                <w:szCs w:val="20"/>
              </w:rPr>
            </w:pPr>
            <w:r>
              <w:rPr>
                <w:color w:val="000000"/>
                <w:sz w:val="20"/>
                <w:szCs w:val="20"/>
              </w:rPr>
              <w:t>LK22:03</w:t>
            </w:r>
          </w:p>
        </w:tc>
        <w:tc>
          <w:tcPr>
            <w:tcW w:w="1033" w:type="dxa"/>
            <w:noWrap/>
            <w:vAlign w:val="center"/>
          </w:tcPr>
          <w:p w14:paraId="24F2EC38">
            <w:pPr>
              <w:jc w:val="center"/>
              <w:rPr>
                <w:color w:val="000000"/>
                <w:sz w:val="20"/>
                <w:szCs w:val="20"/>
              </w:rPr>
            </w:pPr>
            <w:r>
              <w:rPr>
                <w:color w:val="000000"/>
                <w:sz w:val="20"/>
                <w:szCs w:val="20"/>
              </w:rPr>
              <w:t>90,00</w:t>
            </w:r>
          </w:p>
        </w:tc>
        <w:tc>
          <w:tcPr>
            <w:tcW w:w="846" w:type="dxa"/>
            <w:noWrap/>
            <w:vAlign w:val="center"/>
          </w:tcPr>
          <w:p w14:paraId="165CE967">
            <w:pPr>
              <w:jc w:val="center"/>
              <w:rPr>
                <w:color w:val="000000"/>
                <w:sz w:val="20"/>
                <w:szCs w:val="20"/>
              </w:rPr>
            </w:pPr>
            <w:r>
              <w:rPr>
                <w:color w:val="000000"/>
                <w:sz w:val="20"/>
                <w:szCs w:val="20"/>
              </w:rPr>
              <w:t>1</w:t>
            </w:r>
          </w:p>
        </w:tc>
        <w:tc>
          <w:tcPr>
            <w:tcW w:w="2578" w:type="dxa"/>
            <w:noWrap/>
            <w:vAlign w:val="center"/>
          </w:tcPr>
          <w:p w14:paraId="0572CBB8">
            <w:pPr>
              <w:jc w:val="center"/>
              <w:rPr>
                <w:color w:val="000000"/>
                <w:sz w:val="20"/>
                <w:szCs w:val="20"/>
              </w:rPr>
            </w:pPr>
            <w:r>
              <w:rPr>
                <w:color w:val="000000"/>
                <w:sz w:val="20"/>
                <w:szCs w:val="20"/>
              </w:rPr>
              <w:t>Mặt cắt 1-1</w:t>
            </w:r>
          </w:p>
        </w:tc>
        <w:tc>
          <w:tcPr>
            <w:tcW w:w="2393" w:type="dxa"/>
            <w:noWrap/>
            <w:vAlign w:val="center"/>
          </w:tcPr>
          <w:p w14:paraId="1FFE0745">
            <w:pPr>
              <w:jc w:val="center"/>
              <w:rPr>
                <w:color w:val="000000"/>
                <w:sz w:val="20"/>
                <w:szCs w:val="20"/>
              </w:rPr>
            </w:pPr>
            <w:r>
              <w:rPr>
                <w:color w:val="000000"/>
                <w:sz w:val="20"/>
                <w:szCs w:val="20"/>
              </w:rPr>
              <w:t>Một mặt tiền</w:t>
            </w:r>
          </w:p>
        </w:tc>
        <w:tc>
          <w:tcPr>
            <w:tcW w:w="1198" w:type="dxa"/>
            <w:noWrap/>
            <w:vAlign w:val="center"/>
          </w:tcPr>
          <w:p w14:paraId="6F69A919">
            <w:pPr>
              <w:jc w:val="center"/>
              <w:rPr>
                <w:color w:val="000000"/>
                <w:sz w:val="20"/>
                <w:szCs w:val="20"/>
              </w:rPr>
            </w:pPr>
            <w:r>
              <w:rPr>
                <w:color w:val="000000"/>
                <w:sz w:val="20"/>
                <w:szCs w:val="20"/>
              </w:rPr>
              <w:t>11.800.000</w:t>
            </w:r>
          </w:p>
        </w:tc>
        <w:tc>
          <w:tcPr>
            <w:tcW w:w="1236" w:type="dxa"/>
            <w:noWrap/>
            <w:vAlign w:val="center"/>
          </w:tcPr>
          <w:p w14:paraId="4389056A">
            <w:pPr>
              <w:jc w:val="center"/>
              <w:rPr>
                <w:color w:val="000000"/>
                <w:sz w:val="20"/>
                <w:szCs w:val="20"/>
              </w:rPr>
            </w:pPr>
            <w:r>
              <w:rPr>
                <w:color w:val="000000"/>
                <w:sz w:val="20"/>
                <w:szCs w:val="20"/>
              </w:rPr>
              <w:t>12.579.000</w:t>
            </w:r>
          </w:p>
        </w:tc>
        <w:tc>
          <w:tcPr>
            <w:tcW w:w="1252" w:type="dxa"/>
            <w:noWrap/>
            <w:vAlign w:val="center"/>
          </w:tcPr>
          <w:p w14:paraId="7AA18B8C">
            <w:pPr>
              <w:jc w:val="center"/>
              <w:rPr>
                <w:color w:val="000000"/>
                <w:sz w:val="20"/>
                <w:szCs w:val="20"/>
              </w:rPr>
            </w:pPr>
            <w:r>
              <w:rPr>
                <w:color w:val="000000"/>
                <w:sz w:val="20"/>
                <w:szCs w:val="20"/>
              </w:rPr>
              <w:t>24.379.000</w:t>
            </w:r>
          </w:p>
        </w:tc>
        <w:tc>
          <w:tcPr>
            <w:tcW w:w="1848" w:type="dxa"/>
            <w:noWrap/>
            <w:vAlign w:val="center"/>
          </w:tcPr>
          <w:p w14:paraId="2273641C">
            <w:pPr>
              <w:jc w:val="center"/>
              <w:rPr>
                <w:color w:val="000000"/>
                <w:sz w:val="20"/>
                <w:szCs w:val="20"/>
              </w:rPr>
            </w:pPr>
            <w:r>
              <w:rPr>
                <w:color w:val="000000"/>
                <w:sz w:val="20"/>
                <w:szCs w:val="20"/>
              </w:rPr>
              <w:t>2.194.110.000</w:t>
            </w:r>
          </w:p>
        </w:tc>
      </w:tr>
      <w:tr w14:paraId="5A5A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EFBC136">
            <w:pPr>
              <w:jc w:val="center"/>
              <w:rPr>
                <w:b/>
                <w:bCs/>
                <w:color w:val="000000"/>
                <w:sz w:val="20"/>
                <w:szCs w:val="20"/>
              </w:rPr>
            </w:pPr>
            <w:r>
              <w:rPr>
                <w:b/>
                <w:bCs/>
                <w:color w:val="000000"/>
                <w:sz w:val="20"/>
                <w:szCs w:val="20"/>
              </w:rPr>
              <w:t>LK22</w:t>
            </w:r>
          </w:p>
        </w:tc>
        <w:tc>
          <w:tcPr>
            <w:tcW w:w="1802" w:type="dxa"/>
            <w:vAlign w:val="center"/>
          </w:tcPr>
          <w:p w14:paraId="2B302649">
            <w:pPr>
              <w:jc w:val="center"/>
              <w:rPr>
                <w:color w:val="000000"/>
                <w:sz w:val="20"/>
                <w:szCs w:val="20"/>
              </w:rPr>
            </w:pPr>
            <w:r>
              <w:rPr>
                <w:color w:val="000000"/>
                <w:sz w:val="20"/>
                <w:szCs w:val="20"/>
              </w:rPr>
              <w:t>LK22:04</w:t>
            </w:r>
          </w:p>
        </w:tc>
        <w:tc>
          <w:tcPr>
            <w:tcW w:w="1033" w:type="dxa"/>
            <w:noWrap/>
            <w:vAlign w:val="center"/>
          </w:tcPr>
          <w:p w14:paraId="7139870C">
            <w:pPr>
              <w:jc w:val="center"/>
              <w:rPr>
                <w:color w:val="000000"/>
                <w:sz w:val="20"/>
                <w:szCs w:val="20"/>
              </w:rPr>
            </w:pPr>
            <w:r>
              <w:rPr>
                <w:color w:val="000000"/>
                <w:sz w:val="20"/>
                <w:szCs w:val="20"/>
              </w:rPr>
              <w:t>90,00</w:t>
            </w:r>
          </w:p>
        </w:tc>
        <w:tc>
          <w:tcPr>
            <w:tcW w:w="846" w:type="dxa"/>
            <w:noWrap/>
            <w:vAlign w:val="center"/>
          </w:tcPr>
          <w:p w14:paraId="46FED0F8">
            <w:pPr>
              <w:jc w:val="center"/>
              <w:rPr>
                <w:color w:val="000000"/>
                <w:sz w:val="20"/>
                <w:szCs w:val="20"/>
              </w:rPr>
            </w:pPr>
            <w:r>
              <w:rPr>
                <w:color w:val="000000"/>
                <w:sz w:val="20"/>
                <w:szCs w:val="20"/>
              </w:rPr>
              <w:t>1</w:t>
            </w:r>
          </w:p>
        </w:tc>
        <w:tc>
          <w:tcPr>
            <w:tcW w:w="2578" w:type="dxa"/>
            <w:noWrap/>
            <w:vAlign w:val="center"/>
          </w:tcPr>
          <w:p w14:paraId="38A38C71">
            <w:pPr>
              <w:jc w:val="center"/>
              <w:rPr>
                <w:color w:val="000000"/>
                <w:sz w:val="20"/>
                <w:szCs w:val="20"/>
              </w:rPr>
            </w:pPr>
            <w:r>
              <w:rPr>
                <w:color w:val="000000"/>
                <w:sz w:val="20"/>
                <w:szCs w:val="20"/>
              </w:rPr>
              <w:t>Mặt cắt 1-1</w:t>
            </w:r>
          </w:p>
        </w:tc>
        <w:tc>
          <w:tcPr>
            <w:tcW w:w="2393" w:type="dxa"/>
            <w:noWrap/>
            <w:vAlign w:val="center"/>
          </w:tcPr>
          <w:p w14:paraId="754F966D">
            <w:pPr>
              <w:jc w:val="center"/>
              <w:rPr>
                <w:color w:val="000000"/>
                <w:sz w:val="20"/>
                <w:szCs w:val="20"/>
              </w:rPr>
            </w:pPr>
            <w:r>
              <w:rPr>
                <w:color w:val="000000"/>
                <w:sz w:val="20"/>
                <w:szCs w:val="20"/>
              </w:rPr>
              <w:t>Một mặt tiền</w:t>
            </w:r>
          </w:p>
        </w:tc>
        <w:tc>
          <w:tcPr>
            <w:tcW w:w="1198" w:type="dxa"/>
            <w:noWrap/>
            <w:vAlign w:val="center"/>
          </w:tcPr>
          <w:p w14:paraId="094AC977">
            <w:pPr>
              <w:jc w:val="center"/>
              <w:rPr>
                <w:color w:val="000000"/>
                <w:sz w:val="20"/>
                <w:szCs w:val="20"/>
              </w:rPr>
            </w:pPr>
            <w:r>
              <w:rPr>
                <w:color w:val="000000"/>
                <w:sz w:val="20"/>
                <w:szCs w:val="20"/>
              </w:rPr>
              <w:t>11.800.000</w:t>
            </w:r>
          </w:p>
        </w:tc>
        <w:tc>
          <w:tcPr>
            <w:tcW w:w="1236" w:type="dxa"/>
            <w:noWrap/>
            <w:vAlign w:val="center"/>
          </w:tcPr>
          <w:p w14:paraId="151F8312">
            <w:pPr>
              <w:jc w:val="center"/>
              <w:rPr>
                <w:color w:val="000000"/>
                <w:sz w:val="20"/>
                <w:szCs w:val="20"/>
              </w:rPr>
            </w:pPr>
            <w:r>
              <w:rPr>
                <w:color w:val="000000"/>
                <w:sz w:val="20"/>
                <w:szCs w:val="20"/>
              </w:rPr>
              <w:t>12.579.000</w:t>
            </w:r>
          </w:p>
        </w:tc>
        <w:tc>
          <w:tcPr>
            <w:tcW w:w="1252" w:type="dxa"/>
            <w:noWrap/>
            <w:vAlign w:val="center"/>
          </w:tcPr>
          <w:p w14:paraId="74F3FCCA">
            <w:pPr>
              <w:jc w:val="center"/>
              <w:rPr>
                <w:color w:val="000000"/>
                <w:sz w:val="20"/>
                <w:szCs w:val="20"/>
              </w:rPr>
            </w:pPr>
            <w:r>
              <w:rPr>
                <w:color w:val="000000"/>
                <w:sz w:val="20"/>
                <w:szCs w:val="20"/>
              </w:rPr>
              <w:t>24.379.000</w:t>
            </w:r>
          </w:p>
        </w:tc>
        <w:tc>
          <w:tcPr>
            <w:tcW w:w="1848" w:type="dxa"/>
            <w:noWrap/>
            <w:vAlign w:val="center"/>
          </w:tcPr>
          <w:p w14:paraId="4F35B483">
            <w:pPr>
              <w:jc w:val="center"/>
              <w:rPr>
                <w:color w:val="000000"/>
                <w:sz w:val="20"/>
                <w:szCs w:val="20"/>
              </w:rPr>
            </w:pPr>
            <w:r>
              <w:rPr>
                <w:color w:val="000000"/>
                <w:sz w:val="20"/>
                <w:szCs w:val="20"/>
              </w:rPr>
              <w:t>2.194.110.000</w:t>
            </w:r>
          </w:p>
        </w:tc>
      </w:tr>
      <w:tr w14:paraId="0FCB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D063BF0">
            <w:pPr>
              <w:jc w:val="center"/>
              <w:rPr>
                <w:b/>
                <w:bCs/>
                <w:color w:val="000000"/>
                <w:sz w:val="20"/>
                <w:szCs w:val="20"/>
              </w:rPr>
            </w:pPr>
            <w:r>
              <w:rPr>
                <w:b/>
                <w:bCs/>
                <w:color w:val="000000"/>
                <w:sz w:val="20"/>
                <w:szCs w:val="20"/>
              </w:rPr>
              <w:t>LK22</w:t>
            </w:r>
          </w:p>
        </w:tc>
        <w:tc>
          <w:tcPr>
            <w:tcW w:w="1802" w:type="dxa"/>
            <w:vAlign w:val="center"/>
          </w:tcPr>
          <w:p w14:paraId="23365EC0">
            <w:pPr>
              <w:jc w:val="center"/>
              <w:rPr>
                <w:color w:val="000000"/>
                <w:sz w:val="20"/>
                <w:szCs w:val="20"/>
              </w:rPr>
            </w:pPr>
            <w:r>
              <w:rPr>
                <w:color w:val="000000"/>
                <w:sz w:val="20"/>
                <w:szCs w:val="20"/>
              </w:rPr>
              <w:t>LK22:05</w:t>
            </w:r>
          </w:p>
        </w:tc>
        <w:tc>
          <w:tcPr>
            <w:tcW w:w="1033" w:type="dxa"/>
            <w:noWrap/>
            <w:vAlign w:val="center"/>
          </w:tcPr>
          <w:p w14:paraId="77DDA943">
            <w:pPr>
              <w:jc w:val="center"/>
              <w:rPr>
                <w:color w:val="000000"/>
                <w:sz w:val="20"/>
                <w:szCs w:val="20"/>
              </w:rPr>
            </w:pPr>
            <w:r>
              <w:rPr>
                <w:color w:val="000000"/>
                <w:sz w:val="20"/>
                <w:szCs w:val="20"/>
              </w:rPr>
              <w:t>90,00</w:t>
            </w:r>
          </w:p>
        </w:tc>
        <w:tc>
          <w:tcPr>
            <w:tcW w:w="846" w:type="dxa"/>
            <w:noWrap/>
            <w:vAlign w:val="center"/>
          </w:tcPr>
          <w:p w14:paraId="0DB3746A">
            <w:pPr>
              <w:jc w:val="center"/>
              <w:rPr>
                <w:color w:val="000000"/>
                <w:sz w:val="20"/>
                <w:szCs w:val="20"/>
              </w:rPr>
            </w:pPr>
            <w:r>
              <w:rPr>
                <w:color w:val="000000"/>
                <w:sz w:val="20"/>
                <w:szCs w:val="20"/>
              </w:rPr>
              <w:t>1</w:t>
            </w:r>
          </w:p>
        </w:tc>
        <w:tc>
          <w:tcPr>
            <w:tcW w:w="2578" w:type="dxa"/>
            <w:noWrap/>
            <w:vAlign w:val="center"/>
          </w:tcPr>
          <w:p w14:paraId="3885D0C3">
            <w:pPr>
              <w:jc w:val="center"/>
              <w:rPr>
                <w:color w:val="000000"/>
                <w:sz w:val="20"/>
                <w:szCs w:val="20"/>
              </w:rPr>
            </w:pPr>
            <w:r>
              <w:rPr>
                <w:color w:val="000000"/>
                <w:sz w:val="20"/>
                <w:szCs w:val="20"/>
              </w:rPr>
              <w:t>Mặt cắt 1-1</w:t>
            </w:r>
          </w:p>
        </w:tc>
        <w:tc>
          <w:tcPr>
            <w:tcW w:w="2393" w:type="dxa"/>
            <w:noWrap/>
            <w:vAlign w:val="center"/>
          </w:tcPr>
          <w:p w14:paraId="00A6A2E8">
            <w:pPr>
              <w:jc w:val="center"/>
              <w:rPr>
                <w:color w:val="000000"/>
                <w:sz w:val="20"/>
                <w:szCs w:val="20"/>
              </w:rPr>
            </w:pPr>
            <w:r>
              <w:rPr>
                <w:color w:val="000000"/>
                <w:sz w:val="20"/>
                <w:szCs w:val="20"/>
              </w:rPr>
              <w:t>Một mặt tiền</w:t>
            </w:r>
          </w:p>
        </w:tc>
        <w:tc>
          <w:tcPr>
            <w:tcW w:w="1198" w:type="dxa"/>
            <w:noWrap/>
            <w:vAlign w:val="center"/>
          </w:tcPr>
          <w:p w14:paraId="13C45E7F">
            <w:pPr>
              <w:jc w:val="center"/>
              <w:rPr>
                <w:color w:val="000000"/>
                <w:sz w:val="20"/>
                <w:szCs w:val="20"/>
              </w:rPr>
            </w:pPr>
            <w:r>
              <w:rPr>
                <w:color w:val="000000"/>
                <w:sz w:val="20"/>
                <w:szCs w:val="20"/>
              </w:rPr>
              <w:t>11.800.000</w:t>
            </w:r>
          </w:p>
        </w:tc>
        <w:tc>
          <w:tcPr>
            <w:tcW w:w="1236" w:type="dxa"/>
            <w:noWrap/>
            <w:vAlign w:val="center"/>
          </w:tcPr>
          <w:p w14:paraId="6F69FB29">
            <w:pPr>
              <w:jc w:val="center"/>
              <w:rPr>
                <w:color w:val="000000"/>
                <w:sz w:val="20"/>
                <w:szCs w:val="20"/>
              </w:rPr>
            </w:pPr>
            <w:r>
              <w:rPr>
                <w:color w:val="000000"/>
                <w:sz w:val="20"/>
                <w:szCs w:val="20"/>
              </w:rPr>
              <w:t>12.579.000</w:t>
            </w:r>
          </w:p>
        </w:tc>
        <w:tc>
          <w:tcPr>
            <w:tcW w:w="1252" w:type="dxa"/>
            <w:noWrap/>
            <w:vAlign w:val="center"/>
          </w:tcPr>
          <w:p w14:paraId="4FD5551C">
            <w:pPr>
              <w:jc w:val="center"/>
              <w:rPr>
                <w:color w:val="000000"/>
                <w:sz w:val="20"/>
                <w:szCs w:val="20"/>
              </w:rPr>
            </w:pPr>
            <w:r>
              <w:rPr>
                <w:color w:val="000000"/>
                <w:sz w:val="20"/>
                <w:szCs w:val="20"/>
              </w:rPr>
              <w:t>24.379.000</w:t>
            </w:r>
          </w:p>
        </w:tc>
        <w:tc>
          <w:tcPr>
            <w:tcW w:w="1848" w:type="dxa"/>
            <w:noWrap/>
            <w:vAlign w:val="center"/>
          </w:tcPr>
          <w:p w14:paraId="462EE31F">
            <w:pPr>
              <w:jc w:val="center"/>
              <w:rPr>
                <w:color w:val="000000"/>
                <w:sz w:val="20"/>
                <w:szCs w:val="20"/>
              </w:rPr>
            </w:pPr>
            <w:r>
              <w:rPr>
                <w:color w:val="000000"/>
                <w:sz w:val="20"/>
                <w:szCs w:val="20"/>
              </w:rPr>
              <w:t>2.194.110.000</w:t>
            </w:r>
          </w:p>
        </w:tc>
      </w:tr>
      <w:tr w14:paraId="75FA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D9641AA">
            <w:pPr>
              <w:jc w:val="center"/>
              <w:rPr>
                <w:b/>
                <w:bCs/>
                <w:color w:val="000000"/>
                <w:sz w:val="20"/>
                <w:szCs w:val="20"/>
              </w:rPr>
            </w:pPr>
            <w:r>
              <w:rPr>
                <w:b/>
                <w:bCs/>
                <w:color w:val="000000"/>
                <w:sz w:val="20"/>
                <w:szCs w:val="20"/>
              </w:rPr>
              <w:t>LK22</w:t>
            </w:r>
          </w:p>
        </w:tc>
        <w:tc>
          <w:tcPr>
            <w:tcW w:w="1802" w:type="dxa"/>
            <w:vAlign w:val="center"/>
          </w:tcPr>
          <w:p w14:paraId="2861D9E5">
            <w:pPr>
              <w:jc w:val="center"/>
              <w:rPr>
                <w:color w:val="000000"/>
                <w:sz w:val="20"/>
                <w:szCs w:val="20"/>
              </w:rPr>
            </w:pPr>
            <w:r>
              <w:rPr>
                <w:color w:val="000000"/>
                <w:sz w:val="20"/>
                <w:szCs w:val="20"/>
              </w:rPr>
              <w:t>LK22:06</w:t>
            </w:r>
          </w:p>
        </w:tc>
        <w:tc>
          <w:tcPr>
            <w:tcW w:w="1033" w:type="dxa"/>
            <w:noWrap/>
            <w:vAlign w:val="center"/>
          </w:tcPr>
          <w:p w14:paraId="4CF0F670">
            <w:pPr>
              <w:jc w:val="center"/>
              <w:rPr>
                <w:color w:val="000000"/>
                <w:sz w:val="20"/>
                <w:szCs w:val="20"/>
              </w:rPr>
            </w:pPr>
            <w:r>
              <w:rPr>
                <w:color w:val="000000"/>
                <w:sz w:val="20"/>
                <w:szCs w:val="20"/>
              </w:rPr>
              <w:t>90,00</w:t>
            </w:r>
          </w:p>
        </w:tc>
        <w:tc>
          <w:tcPr>
            <w:tcW w:w="846" w:type="dxa"/>
            <w:noWrap/>
            <w:vAlign w:val="center"/>
          </w:tcPr>
          <w:p w14:paraId="532B1522">
            <w:pPr>
              <w:jc w:val="center"/>
              <w:rPr>
                <w:color w:val="000000"/>
                <w:sz w:val="20"/>
                <w:szCs w:val="20"/>
              </w:rPr>
            </w:pPr>
            <w:r>
              <w:rPr>
                <w:color w:val="000000"/>
                <w:sz w:val="20"/>
                <w:szCs w:val="20"/>
              </w:rPr>
              <w:t>1</w:t>
            </w:r>
          </w:p>
        </w:tc>
        <w:tc>
          <w:tcPr>
            <w:tcW w:w="2578" w:type="dxa"/>
            <w:noWrap/>
            <w:vAlign w:val="center"/>
          </w:tcPr>
          <w:p w14:paraId="36D68927">
            <w:pPr>
              <w:jc w:val="center"/>
              <w:rPr>
                <w:color w:val="000000"/>
                <w:sz w:val="20"/>
                <w:szCs w:val="20"/>
              </w:rPr>
            </w:pPr>
            <w:r>
              <w:rPr>
                <w:color w:val="000000"/>
                <w:sz w:val="20"/>
                <w:szCs w:val="20"/>
              </w:rPr>
              <w:t>Mặt cắt 1-1</w:t>
            </w:r>
          </w:p>
        </w:tc>
        <w:tc>
          <w:tcPr>
            <w:tcW w:w="2393" w:type="dxa"/>
            <w:noWrap/>
            <w:vAlign w:val="center"/>
          </w:tcPr>
          <w:p w14:paraId="5F5861CD">
            <w:pPr>
              <w:jc w:val="center"/>
              <w:rPr>
                <w:color w:val="000000"/>
                <w:sz w:val="20"/>
                <w:szCs w:val="20"/>
              </w:rPr>
            </w:pPr>
            <w:r>
              <w:rPr>
                <w:color w:val="000000"/>
                <w:sz w:val="20"/>
                <w:szCs w:val="20"/>
              </w:rPr>
              <w:t>Một mặt tiền</w:t>
            </w:r>
          </w:p>
        </w:tc>
        <w:tc>
          <w:tcPr>
            <w:tcW w:w="1198" w:type="dxa"/>
            <w:noWrap/>
            <w:vAlign w:val="center"/>
          </w:tcPr>
          <w:p w14:paraId="5CACDDFF">
            <w:pPr>
              <w:jc w:val="center"/>
              <w:rPr>
                <w:color w:val="000000"/>
                <w:sz w:val="20"/>
                <w:szCs w:val="20"/>
              </w:rPr>
            </w:pPr>
            <w:r>
              <w:rPr>
                <w:color w:val="000000"/>
                <w:sz w:val="20"/>
                <w:szCs w:val="20"/>
              </w:rPr>
              <w:t>11.800.000</w:t>
            </w:r>
          </w:p>
        </w:tc>
        <w:tc>
          <w:tcPr>
            <w:tcW w:w="1236" w:type="dxa"/>
            <w:noWrap/>
            <w:vAlign w:val="center"/>
          </w:tcPr>
          <w:p w14:paraId="6ECD6862">
            <w:pPr>
              <w:jc w:val="center"/>
              <w:rPr>
                <w:color w:val="000000"/>
                <w:sz w:val="20"/>
                <w:szCs w:val="20"/>
              </w:rPr>
            </w:pPr>
            <w:r>
              <w:rPr>
                <w:color w:val="000000"/>
                <w:sz w:val="20"/>
                <w:szCs w:val="20"/>
              </w:rPr>
              <w:t>12.579.000</w:t>
            </w:r>
          </w:p>
        </w:tc>
        <w:tc>
          <w:tcPr>
            <w:tcW w:w="1252" w:type="dxa"/>
            <w:noWrap/>
            <w:vAlign w:val="center"/>
          </w:tcPr>
          <w:p w14:paraId="592A7541">
            <w:pPr>
              <w:jc w:val="center"/>
              <w:rPr>
                <w:color w:val="000000"/>
                <w:sz w:val="20"/>
                <w:szCs w:val="20"/>
              </w:rPr>
            </w:pPr>
            <w:r>
              <w:rPr>
                <w:color w:val="000000"/>
                <w:sz w:val="20"/>
                <w:szCs w:val="20"/>
              </w:rPr>
              <w:t>24.379.000</w:t>
            </w:r>
          </w:p>
        </w:tc>
        <w:tc>
          <w:tcPr>
            <w:tcW w:w="1848" w:type="dxa"/>
            <w:noWrap/>
            <w:vAlign w:val="center"/>
          </w:tcPr>
          <w:p w14:paraId="4CE12FFB">
            <w:pPr>
              <w:jc w:val="center"/>
              <w:rPr>
                <w:color w:val="000000"/>
                <w:sz w:val="20"/>
                <w:szCs w:val="20"/>
              </w:rPr>
            </w:pPr>
            <w:r>
              <w:rPr>
                <w:color w:val="000000"/>
                <w:sz w:val="20"/>
                <w:szCs w:val="20"/>
              </w:rPr>
              <w:t>2.194.110.000</w:t>
            </w:r>
          </w:p>
        </w:tc>
      </w:tr>
      <w:tr w14:paraId="67DA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688459F">
            <w:pPr>
              <w:jc w:val="center"/>
              <w:rPr>
                <w:b/>
                <w:bCs/>
                <w:color w:val="000000"/>
                <w:sz w:val="20"/>
                <w:szCs w:val="20"/>
              </w:rPr>
            </w:pPr>
            <w:r>
              <w:rPr>
                <w:b/>
                <w:bCs/>
                <w:color w:val="000000"/>
                <w:sz w:val="20"/>
                <w:szCs w:val="20"/>
              </w:rPr>
              <w:t>LK03</w:t>
            </w:r>
          </w:p>
        </w:tc>
        <w:tc>
          <w:tcPr>
            <w:tcW w:w="1802" w:type="dxa"/>
            <w:vAlign w:val="center"/>
          </w:tcPr>
          <w:p w14:paraId="54E3B59C">
            <w:pPr>
              <w:jc w:val="center"/>
              <w:rPr>
                <w:color w:val="000000"/>
                <w:sz w:val="20"/>
                <w:szCs w:val="20"/>
              </w:rPr>
            </w:pPr>
            <w:r>
              <w:rPr>
                <w:color w:val="000000"/>
                <w:sz w:val="20"/>
                <w:szCs w:val="20"/>
              </w:rPr>
              <w:t>LK03:09</w:t>
            </w:r>
          </w:p>
        </w:tc>
        <w:tc>
          <w:tcPr>
            <w:tcW w:w="1033" w:type="dxa"/>
            <w:noWrap/>
            <w:vAlign w:val="center"/>
          </w:tcPr>
          <w:p w14:paraId="3EBAFB23">
            <w:pPr>
              <w:jc w:val="center"/>
              <w:rPr>
                <w:color w:val="000000"/>
                <w:sz w:val="20"/>
                <w:szCs w:val="20"/>
              </w:rPr>
            </w:pPr>
            <w:r>
              <w:rPr>
                <w:color w:val="000000"/>
                <w:sz w:val="20"/>
                <w:szCs w:val="20"/>
              </w:rPr>
              <w:t>128,50</w:t>
            </w:r>
          </w:p>
        </w:tc>
        <w:tc>
          <w:tcPr>
            <w:tcW w:w="846" w:type="dxa"/>
            <w:noWrap/>
            <w:vAlign w:val="center"/>
          </w:tcPr>
          <w:p w14:paraId="264142E9">
            <w:pPr>
              <w:jc w:val="center"/>
              <w:rPr>
                <w:color w:val="000000"/>
                <w:sz w:val="20"/>
                <w:szCs w:val="20"/>
              </w:rPr>
            </w:pPr>
            <w:r>
              <w:rPr>
                <w:color w:val="000000"/>
                <w:sz w:val="20"/>
                <w:szCs w:val="20"/>
              </w:rPr>
              <w:t>1</w:t>
            </w:r>
          </w:p>
        </w:tc>
        <w:tc>
          <w:tcPr>
            <w:tcW w:w="2578" w:type="dxa"/>
            <w:noWrap/>
            <w:vAlign w:val="center"/>
          </w:tcPr>
          <w:p w14:paraId="30B0AC47">
            <w:pPr>
              <w:jc w:val="center"/>
              <w:rPr>
                <w:color w:val="000000"/>
                <w:sz w:val="20"/>
                <w:szCs w:val="20"/>
              </w:rPr>
            </w:pPr>
            <w:r>
              <w:rPr>
                <w:color w:val="000000"/>
                <w:sz w:val="20"/>
                <w:szCs w:val="20"/>
              </w:rPr>
              <w:t>Mặt cắt 1-1</w:t>
            </w:r>
          </w:p>
        </w:tc>
        <w:tc>
          <w:tcPr>
            <w:tcW w:w="2393" w:type="dxa"/>
            <w:noWrap/>
            <w:vAlign w:val="center"/>
          </w:tcPr>
          <w:p w14:paraId="04CDEC26">
            <w:pPr>
              <w:jc w:val="center"/>
              <w:rPr>
                <w:color w:val="000000"/>
                <w:sz w:val="20"/>
                <w:szCs w:val="20"/>
              </w:rPr>
            </w:pPr>
            <w:r>
              <w:rPr>
                <w:color w:val="000000"/>
                <w:sz w:val="20"/>
                <w:szCs w:val="20"/>
              </w:rPr>
              <w:t>Hai mặt tiền, đối diện/tiếp giáp CX-MN</w:t>
            </w:r>
          </w:p>
        </w:tc>
        <w:tc>
          <w:tcPr>
            <w:tcW w:w="1198" w:type="dxa"/>
            <w:noWrap/>
            <w:vAlign w:val="center"/>
          </w:tcPr>
          <w:p w14:paraId="6AE924CD">
            <w:pPr>
              <w:jc w:val="center"/>
              <w:rPr>
                <w:color w:val="000000"/>
                <w:sz w:val="20"/>
                <w:szCs w:val="20"/>
              </w:rPr>
            </w:pPr>
            <w:r>
              <w:rPr>
                <w:color w:val="000000"/>
                <w:sz w:val="20"/>
                <w:szCs w:val="20"/>
              </w:rPr>
              <w:t>14.160.000</w:t>
            </w:r>
          </w:p>
        </w:tc>
        <w:tc>
          <w:tcPr>
            <w:tcW w:w="1236" w:type="dxa"/>
            <w:noWrap/>
            <w:vAlign w:val="center"/>
          </w:tcPr>
          <w:p w14:paraId="0D35B2C1">
            <w:pPr>
              <w:jc w:val="center"/>
              <w:rPr>
                <w:color w:val="000000"/>
                <w:sz w:val="20"/>
                <w:szCs w:val="20"/>
              </w:rPr>
            </w:pPr>
            <w:r>
              <w:rPr>
                <w:color w:val="000000"/>
                <w:sz w:val="20"/>
                <w:szCs w:val="20"/>
              </w:rPr>
              <w:t>12.579.000</w:t>
            </w:r>
          </w:p>
        </w:tc>
        <w:tc>
          <w:tcPr>
            <w:tcW w:w="1252" w:type="dxa"/>
            <w:noWrap/>
            <w:vAlign w:val="center"/>
          </w:tcPr>
          <w:p w14:paraId="60174757">
            <w:pPr>
              <w:jc w:val="center"/>
              <w:rPr>
                <w:color w:val="000000"/>
                <w:sz w:val="20"/>
                <w:szCs w:val="20"/>
              </w:rPr>
            </w:pPr>
            <w:r>
              <w:rPr>
                <w:color w:val="000000"/>
                <w:sz w:val="20"/>
                <w:szCs w:val="20"/>
              </w:rPr>
              <w:t>26.739.000</w:t>
            </w:r>
          </w:p>
        </w:tc>
        <w:tc>
          <w:tcPr>
            <w:tcW w:w="1848" w:type="dxa"/>
            <w:noWrap/>
            <w:vAlign w:val="center"/>
          </w:tcPr>
          <w:p w14:paraId="7818BB67">
            <w:pPr>
              <w:jc w:val="center"/>
              <w:rPr>
                <w:color w:val="000000"/>
                <w:sz w:val="20"/>
                <w:szCs w:val="20"/>
              </w:rPr>
            </w:pPr>
            <w:r>
              <w:rPr>
                <w:color w:val="000000"/>
                <w:sz w:val="20"/>
                <w:szCs w:val="20"/>
              </w:rPr>
              <w:t>3.435.961.500</w:t>
            </w:r>
          </w:p>
        </w:tc>
      </w:tr>
      <w:tr w14:paraId="0A61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0A33D8B">
            <w:pPr>
              <w:jc w:val="center"/>
              <w:rPr>
                <w:b/>
                <w:bCs/>
                <w:color w:val="000000"/>
                <w:sz w:val="20"/>
                <w:szCs w:val="20"/>
              </w:rPr>
            </w:pPr>
            <w:r>
              <w:rPr>
                <w:b/>
                <w:bCs/>
                <w:color w:val="000000"/>
                <w:sz w:val="20"/>
                <w:szCs w:val="20"/>
              </w:rPr>
              <w:t>LK06</w:t>
            </w:r>
          </w:p>
        </w:tc>
        <w:tc>
          <w:tcPr>
            <w:tcW w:w="1802" w:type="dxa"/>
            <w:vAlign w:val="center"/>
          </w:tcPr>
          <w:p w14:paraId="517CC6C6">
            <w:pPr>
              <w:jc w:val="center"/>
              <w:rPr>
                <w:color w:val="000000"/>
                <w:sz w:val="20"/>
                <w:szCs w:val="20"/>
              </w:rPr>
            </w:pPr>
            <w:r>
              <w:rPr>
                <w:color w:val="000000"/>
                <w:sz w:val="20"/>
                <w:szCs w:val="20"/>
              </w:rPr>
              <w:t>LK06:09</w:t>
            </w:r>
          </w:p>
        </w:tc>
        <w:tc>
          <w:tcPr>
            <w:tcW w:w="1033" w:type="dxa"/>
            <w:noWrap/>
            <w:vAlign w:val="center"/>
          </w:tcPr>
          <w:p w14:paraId="3AE28C7F">
            <w:pPr>
              <w:jc w:val="center"/>
              <w:rPr>
                <w:color w:val="000000"/>
                <w:sz w:val="20"/>
                <w:szCs w:val="20"/>
              </w:rPr>
            </w:pPr>
            <w:r>
              <w:rPr>
                <w:color w:val="000000"/>
                <w:sz w:val="20"/>
                <w:szCs w:val="20"/>
              </w:rPr>
              <w:t>118,00</w:t>
            </w:r>
          </w:p>
        </w:tc>
        <w:tc>
          <w:tcPr>
            <w:tcW w:w="846" w:type="dxa"/>
            <w:noWrap/>
            <w:vAlign w:val="center"/>
          </w:tcPr>
          <w:p w14:paraId="2034B390">
            <w:pPr>
              <w:jc w:val="center"/>
              <w:rPr>
                <w:color w:val="000000"/>
                <w:sz w:val="20"/>
                <w:szCs w:val="20"/>
              </w:rPr>
            </w:pPr>
            <w:r>
              <w:rPr>
                <w:color w:val="000000"/>
                <w:sz w:val="20"/>
                <w:szCs w:val="20"/>
              </w:rPr>
              <w:t>1</w:t>
            </w:r>
          </w:p>
        </w:tc>
        <w:tc>
          <w:tcPr>
            <w:tcW w:w="2578" w:type="dxa"/>
            <w:noWrap/>
            <w:vAlign w:val="center"/>
          </w:tcPr>
          <w:p w14:paraId="20D96378">
            <w:pPr>
              <w:jc w:val="center"/>
              <w:rPr>
                <w:color w:val="000000"/>
                <w:sz w:val="20"/>
                <w:szCs w:val="20"/>
              </w:rPr>
            </w:pPr>
            <w:r>
              <w:rPr>
                <w:color w:val="000000"/>
                <w:sz w:val="20"/>
                <w:szCs w:val="20"/>
              </w:rPr>
              <w:t>Mặt cắt 1-1</w:t>
            </w:r>
          </w:p>
        </w:tc>
        <w:tc>
          <w:tcPr>
            <w:tcW w:w="2393" w:type="dxa"/>
            <w:noWrap/>
            <w:vAlign w:val="center"/>
          </w:tcPr>
          <w:p w14:paraId="4EC9C95C">
            <w:pPr>
              <w:jc w:val="center"/>
              <w:rPr>
                <w:color w:val="000000"/>
                <w:sz w:val="20"/>
                <w:szCs w:val="20"/>
              </w:rPr>
            </w:pPr>
            <w:r>
              <w:rPr>
                <w:color w:val="000000"/>
                <w:sz w:val="20"/>
                <w:szCs w:val="20"/>
              </w:rPr>
              <w:t>Hai mặt tiền</w:t>
            </w:r>
          </w:p>
        </w:tc>
        <w:tc>
          <w:tcPr>
            <w:tcW w:w="1198" w:type="dxa"/>
            <w:noWrap/>
            <w:vAlign w:val="center"/>
          </w:tcPr>
          <w:p w14:paraId="2E3EB54D">
            <w:pPr>
              <w:jc w:val="center"/>
              <w:rPr>
                <w:color w:val="000000"/>
                <w:sz w:val="20"/>
                <w:szCs w:val="20"/>
              </w:rPr>
            </w:pPr>
            <w:r>
              <w:rPr>
                <w:color w:val="000000"/>
                <w:sz w:val="20"/>
                <w:szCs w:val="20"/>
              </w:rPr>
              <w:t>13.570.000</w:t>
            </w:r>
          </w:p>
        </w:tc>
        <w:tc>
          <w:tcPr>
            <w:tcW w:w="1236" w:type="dxa"/>
            <w:noWrap/>
            <w:vAlign w:val="center"/>
          </w:tcPr>
          <w:p w14:paraId="36BE0D83">
            <w:pPr>
              <w:jc w:val="center"/>
              <w:rPr>
                <w:color w:val="000000"/>
                <w:sz w:val="20"/>
                <w:szCs w:val="20"/>
              </w:rPr>
            </w:pPr>
            <w:r>
              <w:rPr>
                <w:color w:val="000000"/>
                <w:sz w:val="20"/>
                <w:szCs w:val="20"/>
              </w:rPr>
              <w:t>12.579.000</w:t>
            </w:r>
          </w:p>
        </w:tc>
        <w:tc>
          <w:tcPr>
            <w:tcW w:w="1252" w:type="dxa"/>
            <w:noWrap/>
            <w:vAlign w:val="center"/>
          </w:tcPr>
          <w:p w14:paraId="34191975">
            <w:pPr>
              <w:jc w:val="center"/>
              <w:rPr>
                <w:color w:val="000000"/>
                <w:sz w:val="20"/>
                <w:szCs w:val="20"/>
              </w:rPr>
            </w:pPr>
            <w:r>
              <w:rPr>
                <w:color w:val="000000"/>
                <w:sz w:val="20"/>
                <w:szCs w:val="20"/>
              </w:rPr>
              <w:t>26.149.000</w:t>
            </w:r>
          </w:p>
        </w:tc>
        <w:tc>
          <w:tcPr>
            <w:tcW w:w="1848" w:type="dxa"/>
            <w:noWrap/>
            <w:vAlign w:val="center"/>
          </w:tcPr>
          <w:p w14:paraId="41F26031">
            <w:pPr>
              <w:jc w:val="center"/>
              <w:rPr>
                <w:color w:val="000000"/>
                <w:sz w:val="20"/>
                <w:szCs w:val="20"/>
              </w:rPr>
            </w:pPr>
            <w:r>
              <w:rPr>
                <w:color w:val="000000"/>
                <w:sz w:val="20"/>
                <w:szCs w:val="20"/>
              </w:rPr>
              <w:t>3.085.582.000</w:t>
            </w:r>
          </w:p>
        </w:tc>
      </w:tr>
      <w:tr w14:paraId="2026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6FA68C1">
            <w:pPr>
              <w:jc w:val="center"/>
              <w:rPr>
                <w:b/>
                <w:bCs/>
                <w:color w:val="000000"/>
                <w:sz w:val="20"/>
                <w:szCs w:val="20"/>
              </w:rPr>
            </w:pPr>
            <w:r>
              <w:rPr>
                <w:b/>
                <w:bCs/>
                <w:color w:val="000000"/>
                <w:sz w:val="20"/>
                <w:szCs w:val="20"/>
              </w:rPr>
              <w:t>LK08</w:t>
            </w:r>
          </w:p>
        </w:tc>
        <w:tc>
          <w:tcPr>
            <w:tcW w:w="1802" w:type="dxa"/>
            <w:vAlign w:val="center"/>
          </w:tcPr>
          <w:p w14:paraId="0F9181AB">
            <w:pPr>
              <w:jc w:val="center"/>
              <w:rPr>
                <w:color w:val="000000"/>
                <w:sz w:val="20"/>
                <w:szCs w:val="20"/>
              </w:rPr>
            </w:pPr>
            <w:r>
              <w:rPr>
                <w:color w:val="000000"/>
                <w:sz w:val="20"/>
                <w:szCs w:val="20"/>
              </w:rPr>
              <w:t>LK08:08</w:t>
            </w:r>
          </w:p>
        </w:tc>
        <w:tc>
          <w:tcPr>
            <w:tcW w:w="1033" w:type="dxa"/>
            <w:noWrap/>
            <w:vAlign w:val="center"/>
          </w:tcPr>
          <w:p w14:paraId="5C283085">
            <w:pPr>
              <w:jc w:val="center"/>
              <w:rPr>
                <w:color w:val="000000"/>
                <w:sz w:val="20"/>
                <w:szCs w:val="20"/>
              </w:rPr>
            </w:pPr>
            <w:r>
              <w:rPr>
                <w:color w:val="000000"/>
                <w:sz w:val="20"/>
                <w:szCs w:val="20"/>
              </w:rPr>
              <w:t>122,50</w:t>
            </w:r>
          </w:p>
        </w:tc>
        <w:tc>
          <w:tcPr>
            <w:tcW w:w="846" w:type="dxa"/>
            <w:noWrap/>
            <w:vAlign w:val="center"/>
          </w:tcPr>
          <w:p w14:paraId="0CDA4F63">
            <w:pPr>
              <w:jc w:val="center"/>
              <w:rPr>
                <w:color w:val="000000"/>
                <w:sz w:val="20"/>
                <w:szCs w:val="20"/>
              </w:rPr>
            </w:pPr>
            <w:r>
              <w:rPr>
                <w:color w:val="000000"/>
                <w:sz w:val="20"/>
                <w:szCs w:val="20"/>
              </w:rPr>
              <w:t>1</w:t>
            </w:r>
          </w:p>
        </w:tc>
        <w:tc>
          <w:tcPr>
            <w:tcW w:w="2578" w:type="dxa"/>
            <w:noWrap/>
            <w:vAlign w:val="center"/>
          </w:tcPr>
          <w:p w14:paraId="2E24401D">
            <w:pPr>
              <w:jc w:val="center"/>
              <w:rPr>
                <w:color w:val="000000"/>
                <w:sz w:val="20"/>
                <w:szCs w:val="20"/>
              </w:rPr>
            </w:pPr>
            <w:r>
              <w:rPr>
                <w:color w:val="000000"/>
                <w:sz w:val="20"/>
                <w:szCs w:val="20"/>
              </w:rPr>
              <w:t>Mặt cắt 1-1</w:t>
            </w:r>
          </w:p>
        </w:tc>
        <w:tc>
          <w:tcPr>
            <w:tcW w:w="2393" w:type="dxa"/>
            <w:noWrap/>
            <w:vAlign w:val="center"/>
          </w:tcPr>
          <w:p w14:paraId="3FBC6663">
            <w:pPr>
              <w:jc w:val="center"/>
              <w:rPr>
                <w:color w:val="000000"/>
                <w:sz w:val="20"/>
                <w:szCs w:val="20"/>
              </w:rPr>
            </w:pPr>
            <w:r>
              <w:rPr>
                <w:color w:val="000000"/>
                <w:sz w:val="20"/>
                <w:szCs w:val="20"/>
              </w:rPr>
              <w:t>Hai mặt tiền</w:t>
            </w:r>
          </w:p>
        </w:tc>
        <w:tc>
          <w:tcPr>
            <w:tcW w:w="1198" w:type="dxa"/>
            <w:noWrap/>
            <w:vAlign w:val="center"/>
          </w:tcPr>
          <w:p w14:paraId="39B0B33D">
            <w:pPr>
              <w:jc w:val="center"/>
              <w:rPr>
                <w:color w:val="000000"/>
                <w:sz w:val="20"/>
                <w:szCs w:val="20"/>
              </w:rPr>
            </w:pPr>
            <w:r>
              <w:rPr>
                <w:color w:val="000000"/>
                <w:sz w:val="20"/>
                <w:szCs w:val="20"/>
              </w:rPr>
              <w:t>13.570.000</w:t>
            </w:r>
          </w:p>
        </w:tc>
        <w:tc>
          <w:tcPr>
            <w:tcW w:w="1236" w:type="dxa"/>
            <w:noWrap/>
            <w:vAlign w:val="center"/>
          </w:tcPr>
          <w:p w14:paraId="4AD90BBE">
            <w:pPr>
              <w:jc w:val="center"/>
              <w:rPr>
                <w:color w:val="000000"/>
                <w:sz w:val="20"/>
                <w:szCs w:val="20"/>
              </w:rPr>
            </w:pPr>
            <w:r>
              <w:rPr>
                <w:color w:val="000000"/>
                <w:sz w:val="20"/>
                <w:szCs w:val="20"/>
              </w:rPr>
              <w:t>12.579.000</w:t>
            </w:r>
          </w:p>
        </w:tc>
        <w:tc>
          <w:tcPr>
            <w:tcW w:w="1252" w:type="dxa"/>
            <w:noWrap/>
            <w:vAlign w:val="center"/>
          </w:tcPr>
          <w:p w14:paraId="03A45709">
            <w:pPr>
              <w:jc w:val="center"/>
              <w:rPr>
                <w:color w:val="000000"/>
                <w:sz w:val="20"/>
                <w:szCs w:val="20"/>
              </w:rPr>
            </w:pPr>
            <w:r>
              <w:rPr>
                <w:color w:val="000000"/>
                <w:sz w:val="20"/>
                <w:szCs w:val="20"/>
              </w:rPr>
              <w:t>26.149.000</w:t>
            </w:r>
          </w:p>
        </w:tc>
        <w:tc>
          <w:tcPr>
            <w:tcW w:w="1848" w:type="dxa"/>
            <w:noWrap/>
            <w:vAlign w:val="center"/>
          </w:tcPr>
          <w:p w14:paraId="52ABB408">
            <w:pPr>
              <w:jc w:val="center"/>
              <w:rPr>
                <w:color w:val="000000"/>
                <w:sz w:val="20"/>
                <w:szCs w:val="20"/>
              </w:rPr>
            </w:pPr>
            <w:r>
              <w:rPr>
                <w:color w:val="000000"/>
                <w:sz w:val="20"/>
                <w:szCs w:val="20"/>
              </w:rPr>
              <w:t>3.203.252.500</w:t>
            </w:r>
          </w:p>
        </w:tc>
      </w:tr>
      <w:tr w14:paraId="7D7D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1101AE9">
            <w:pPr>
              <w:jc w:val="center"/>
              <w:rPr>
                <w:b/>
                <w:bCs/>
                <w:color w:val="000000"/>
                <w:sz w:val="20"/>
                <w:szCs w:val="20"/>
              </w:rPr>
            </w:pPr>
            <w:r>
              <w:rPr>
                <w:b/>
                <w:bCs/>
                <w:color w:val="000000"/>
                <w:sz w:val="20"/>
                <w:szCs w:val="20"/>
              </w:rPr>
              <w:t>LK12</w:t>
            </w:r>
          </w:p>
        </w:tc>
        <w:tc>
          <w:tcPr>
            <w:tcW w:w="1802" w:type="dxa"/>
            <w:vAlign w:val="center"/>
          </w:tcPr>
          <w:p w14:paraId="61E51B95">
            <w:pPr>
              <w:jc w:val="center"/>
              <w:rPr>
                <w:color w:val="000000"/>
                <w:sz w:val="20"/>
                <w:szCs w:val="20"/>
              </w:rPr>
            </w:pPr>
            <w:r>
              <w:rPr>
                <w:color w:val="000000"/>
                <w:sz w:val="20"/>
                <w:szCs w:val="20"/>
              </w:rPr>
              <w:t>LK12:09</w:t>
            </w:r>
          </w:p>
        </w:tc>
        <w:tc>
          <w:tcPr>
            <w:tcW w:w="1033" w:type="dxa"/>
            <w:noWrap/>
            <w:vAlign w:val="center"/>
          </w:tcPr>
          <w:p w14:paraId="2D601326">
            <w:pPr>
              <w:jc w:val="center"/>
              <w:rPr>
                <w:color w:val="000000"/>
                <w:sz w:val="20"/>
                <w:szCs w:val="20"/>
              </w:rPr>
            </w:pPr>
            <w:r>
              <w:rPr>
                <w:color w:val="000000"/>
                <w:sz w:val="20"/>
                <w:szCs w:val="20"/>
              </w:rPr>
              <w:t>125,49</w:t>
            </w:r>
          </w:p>
        </w:tc>
        <w:tc>
          <w:tcPr>
            <w:tcW w:w="846" w:type="dxa"/>
            <w:noWrap/>
            <w:vAlign w:val="center"/>
          </w:tcPr>
          <w:p w14:paraId="59CB6CF3">
            <w:pPr>
              <w:jc w:val="center"/>
              <w:rPr>
                <w:color w:val="000000"/>
                <w:sz w:val="20"/>
                <w:szCs w:val="20"/>
              </w:rPr>
            </w:pPr>
            <w:r>
              <w:rPr>
                <w:color w:val="000000"/>
                <w:sz w:val="20"/>
                <w:szCs w:val="20"/>
              </w:rPr>
              <w:t>1</w:t>
            </w:r>
          </w:p>
        </w:tc>
        <w:tc>
          <w:tcPr>
            <w:tcW w:w="2578" w:type="dxa"/>
            <w:noWrap/>
            <w:vAlign w:val="center"/>
          </w:tcPr>
          <w:p w14:paraId="6C1F7F71">
            <w:pPr>
              <w:jc w:val="center"/>
              <w:rPr>
                <w:color w:val="000000"/>
                <w:sz w:val="20"/>
                <w:szCs w:val="20"/>
              </w:rPr>
            </w:pPr>
            <w:r>
              <w:rPr>
                <w:color w:val="000000"/>
                <w:sz w:val="20"/>
                <w:szCs w:val="20"/>
              </w:rPr>
              <w:t>Mặt cắt 1-1</w:t>
            </w:r>
          </w:p>
        </w:tc>
        <w:tc>
          <w:tcPr>
            <w:tcW w:w="2393" w:type="dxa"/>
            <w:noWrap/>
            <w:vAlign w:val="center"/>
          </w:tcPr>
          <w:p w14:paraId="0F68F1BD">
            <w:pPr>
              <w:jc w:val="center"/>
              <w:rPr>
                <w:color w:val="000000"/>
                <w:sz w:val="20"/>
                <w:szCs w:val="20"/>
              </w:rPr>
            </w:pPr>
            <w:r>
              <w:rPr>
                <w:color w:val="000000"/>
                <w:sz w:val="20"/>
                <w:szCs w:val="20"/>
              </w:rPr>
              <w:t>Hai mặt tiền</w:t>
            </w:r>
          </w:p>
        </w:tc>
        <w:tc>
          <w:tcPr>
            <w:tcW w:w="1198" w:type="dxa"/>
            <w:noWrap/>
            <w:vAlign w:val="center"/>
          </w:tcPr>
          <w:p w14:paraId="480E917D">
            <w:pPr>
              <w:jc w:val="center"/>
              <w:rPr>
                <w:color w:val="000000"/>
                <w:sz w:val="20"/>
                <w:szCs w:val="20"/>
              </w:rPr>
            </w:pPr>
            <w:r>
              <w:rPr>
                <w:color w:val="000000"/>
                <w:sz w:val="20"/>
                <w:szCs w:val="20"/>
              </w:rPr>
              <w:t>13.570.000</w:t>
            </w:r>
          </w:p>
        </w:tc>
        <w:tc>
          <w:tcPr>
            <w:tcW w:w="1236" w:type="dxa"/>
            <w:noWrap/>
            <w:vAlign w:val="center"/>
          </w:tcPr>
          <w:p w14:paraId="71F03A3B">
            <w:pPr>
              <w:jc w:val="center"/>
              <w:rPr>
                <w:color w:val="000000"/>
                <w:sz w:val="20"/>
                <w:szCs w:val="20"/>
              </w:rPr>
            </w:pPr>
            <w:r>
              <w:rPr>
                <w:color w:val="000000"/>
                <w:sz w:val="20"/>
                <w:szCs w:val="20"/>
              </w:rPr>
              <w:t>12.579.000</w:t>
            </w:r>
          </w:p>
        </w:tc>
        <w:tc>
          <w:tcPr>
            <w:tcW w:w="1252" w:type="dxa"/>
            <w:noWrap/>
            <w:vAlign w:val="center"/>
          </w:tcPr>
          <w:p w14:paraId="27F6D0C3">
            <w:pPr>
              <w:jc w:val="center"/>
              <w:rPr>
                <w:color w:val="000000"/>
                <w:sz w:val="20"/>
                <w:szCs w:val="20"/>
              </w:rPr>
            </w:pPr>
            <w:r>
              <w:rPr>
                <w:color w:val="000000"/>
                <w:sz w:val="20"/>
                <w:szCs w:val="20"/>
              </w:rPr>
              <w:t>26.149.000</w:t>
            </w:r>
          </w:p>
        </w:tc>
        <w:tc>
          <w:tcPr>
            <w:tcW w:w="1848" w:type="dxa"/>
            <w:noWrap/>
            <w:vAlign w:val="center"/>
          </w:tcPr>
          <w:p w14:paraId="42B38EE6">
            <w:pPr>
              <w:jc w:val="center"/>
              <w:rPr>
                <w:color w:val="000000"/>
                <w:sz w:val="20"/>
                <w:szCs w:val="20"/>
              </w:rPr>
            </w:pPr>
            <w:r>
              <w:rPr>
                <w:color w:val="000000"/>
                <w:sz w:val="20"/>
                <w:szCs w:val="20"/>
              </w:rPr>
              <w:t>3.281.438.010</w:t>
            </w:r>
          </w:p>
        </w:tc>
      </w:tr>
      <w:tr w14:paraId="5F8A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12E8A5B">
            <w:pPr>
              <w:jc w:val="center"/>
              <w:rPr>
                <w:b/>
                <w:bCs/>
                <w:color w:val="000000"/>
                <w:sz w:val="20"/>
                <w:szCs w:val="20"/>
              </w:rPr>
            </w:pPr>
            <w:r>
              <w:rPr>
                <w:b/>
                <w:bCs/>
                <w:color w:val="000000"/>
                <w:sz w:val="20"/>
                <w:szCs w:val="20"/>
              </w:rPr>
              <w:t>LK14</w:t>
            </w:r>
          </w:p>
        </w:tc>
        <w:tc>
          <w:tcPr>
            <w:tcW w:w="1802" w:type="dxa"/>
            <w:vAlign w:val="center"/>
          </w:tcPr>
          <w:p w14:paraId="517EA38B">
            <w:pPr>
              <w:jc w:val="center"/>
              <w:rPr>
                <w:color w:val="000000"/>
                <w:sz w:val="20"/>
                <w:szCs w:val="20"/>
              </w:rPr>
            </w:pPr>
            <w:r>
              <w:rPr>
                <w:color w:val="000000"/>
                <w:sz w:val="20"/>
                <w:szCs w:val="20"/>
              </w:rPr>
              <w:t>LK14:01</w:t>
            </w:r>
          </w:p>
        </w:tc>
        <w:tc>
          <w:tcPr>
            <w:tcW w:w="1033" w:type="dxa"/>
            <w:noWrap/>
            <w:vAlign w:val="center"/>
          </w:tcPr>
          <w:p w14:paraId="0254E736">
            <w:pPr>
              <w:jc w:val="center"/>
              <w:rPr>
                <w:color w:val="000000"/>
                <w:sz w:val="20"/>
                <w:szCs w:val="20"/>
              </w:rPr>
            </w:pPr>
            <w:r>
              <w:rPr>
                <w:color w:val="000000"/>
                <w:sz w:val="20"/>
                <w:szCs w:val="20"/>
              </w:rPr>
              <w:t>186,45</w:t>
            </w:r>
          </w:p>
        </w:tc>
        <w:tc>
          <w:tcPr>
            <w:tcW w:w="846" w:type="dxa"/>
            <w:noWrap/>
            <w:vAlign w:val="center"/>
          </w:tcPr>
          <w:p w14:paraId="0E36C2AF">
            <w:pPr>
              <w:jc w:val="center"/>
              <w:rPr>
                <w:color w:val="000000"/>
                <w:sz w:val="20"/>
                <w:szCs w:val="20"/>
              </w:rPr>
            </w:pPr>
            <w:r>
              <w:rPr>
                <w:color w:val="000000"/>
                <w:sz w:val="20"/>
                <w:szCs w:val="20"/>
              </w:rPr>
              <w:t>1</w:t>
            </w:r>
          </w:p>
        </w:tc>
        <w:tc>
          <w:tcPr>
            <w:tcW w:w="2578" w:type="dxa"/>
            <w:noWrap/>
            <w:vAlign w:val="center"/>
          </w:tcPr>
          <w:p w14:paraId="65D772AA">
            <w:pPr>
              <w:jc w:val="center"/>
              <w:rPr>
                <w:color w:val="000000"/>
                <w:sz w:val="20"/>
                <w:szCs w:val="20"/>
              </w:rPr>
            </w:pPr>
            <w:r>
              <w:rPr>
                <w:color w:val="000000"/>
                <w:sz w:val="20"/>
                <w:szCs w:val="20"/>
              </w:rPr>
              <w:t>Mặt cắt 1-1</w:t>
            </w:r>
          </w:p>
        </w:tc>
        <w:tc>
          <w:tcPr>
            <w:tcW w:w="2393" w:type="dxa"/>
            <w:noWrap/>
            <w:vAlign w:val="center"/>
          </w:tcPr>
          <w:p w14:paraId="1556D25B">
            <w:pPr>
              <w:jc w:val="center"/>
              <w:rPr>
                <w:color w:val="000000"/>
                <w:sz w:val="20"/>
                <w:szCs w:val="20"/>
              </w:rPr>
            </w:pPr>
            <w:r>
              <w:rPr>
                <w:color w:val="000000"/>
                <w:sz w:val="20"/>
                <w:szCs w:val="20"/>
              </w:rPr>
              <w:t>Hai mặt tiền, đối diện/tiếp giáp CX-MN</w:t>
            </w:r>
          </w:p>
        </w:tc>
        <w:tc>
          <w:tcPr>
            <w:tcW w:w="1198" w:type="dxa"/>
            <w:noWrap/>
            <w:vAlign w:val="center"/>
          </w:tcPr>
          <w:p w14:paraId="3ED0A46E">
            <w:pPr>
              <w:jc w:val="center"/>
              <w:rPr>
                <w:color w:val="000000"/>
                <w:sz w:val="20"/>
                <w:szCs w:val="20"/>
              </w:rPr>
            </w:pPr>
            <w:r>
              <w:rPr>
                <w:color w:val="000000"/>
                <w:sz w:val="20"/>
                <w:szCs w:val="20"/>
              </w:rPr>
              <w:t>14.160.000</w:t>
            </w:r>
          </w:p>
        </w:tc>
        <w:tc>
          <w:tcPr>
            <w:tcW w:w="1236" w:type="dxa"/>
            <w:noWrap/>
            <w:vAlign w:val="center"/>
          </w:tcPr>
          <w:p w14:paraId="6540F2B7">
            <w:pPr>
              <w:jc w:val="center"/>
              <w:rPr>
                <w:color w:val="000000"/>
                <w:sz w:val="20"/>
                <w:szCs w:val="20"/>
              </w:rPr>
            </w:pPr>
            <w:r>
              <w:rPr>
                <w:color w:val="000000"/>
                <w:sz w:val="20"/>
                <w:szCs w:val="20"/>
              </w:rPr>
              <w:t>12.579.000</w:t>
            </w:r>
          </w:p>
        </w:tc>
        <w:tc>
          <w:tcPr>
            <w:tcW w:w="1252" w:type="dxa"/>
            <w:noWrap/>
            <w:vAlign w:val="center"/>
          </w:tcPr>
          <w:p w14:paraId="07AC3FC2">
            <w:pPr>
              <w:jc w:val="center"/>
              <w:rPr>
                <w:color w:val="000000"/>
                <w:sz w:val="20"/>
                <w:szCs w:val="20"/>
              </w:rPr>
            </w:pPr>
            <w:r>
              <w:rPr>
                <w:color w:val="000000"/>
                <w:sz w:val="20"/>
                <w:szCs w:val="20"/>
              </w:rPr>
              <w:t>26.739.000</w:t>
            </w:r>
          </w:p>
        </w:tc>
        <w:tc>
          <w:tcPr>
            <w:tcW w:w="1848" w:type="dxa"/>
            <w:noWrap/>
            <w:vAlign w:val="center"/>
          </w:tcPr>
          <w:p w14:paraId="7616B0D1">
            <w:pPr>
              <w:jc w:val="center"/>
              <w:rPr>
                <w:color w:val="000000"/>
                <w:sz w:val="20"/>
                <w:szCs w:val="20"/>
              </w:rPr>
            </w:pPr>
            <w:r>
              <w:rPr>
                <w:color w:val="000000"/>
                <w:sz w:val="20"/>
                <w:szCs w:val="20"/>
              </w:rPr>
              <w:t>4.985.486.550</w:t>
            </w:r>
          </w:p>
        </w:tc>
      </w:tr>
      <w:tr w14:paraId="1711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48C70C">
            <w:pPr>
              <w:jc w:val="center"/>
              <w:rPr>
                <w:b/>
                <w:bCs/>
                <w:color w:val="000000"/>
                <w:sz w:val="20"/>
                <w:szCs w:val="20"/>
              </w:rPr>
            </w:pPr>
            <w:r>
              <w:rPr>
                <w:b/>
                <w:bCs/>
                <w:color w:val="000000"/>
                <w:sz w:val="20"/>
                <w:szCs w:val="20"/>
              </w:rPr>
              <w:t>LK16</w:t>
            </w:r>
          </w:p>
        </w:tc>
        <w:tc>
          <w:tcPr>
            <w:tcW w:w="1802" w:type="dxa"/>
            <w:vAlign w:val="center"/>
          </w:tcPr>
          <w:p w14:paraId="6408ED86">
            <w:pPr>
              <w:jc w:val="center"/>
              <w:rPr>
                <w:color w:val="000000"/>
                <w:sz w:val="20"/>
                <w:szCs w:val="20"/>
              </w:rPr>
            </w:pPr>
            <w:r>
              <w:rPr>
                <w:color w:val="000000"/>
                <w:sz w:val="20"/>
                <w:szCs w:val="20"/>
              </w:rPr>
              <w:t>LK16:09</w:t>
            </w:r>
          </w:p>
        </w:tc>
        <w:tc>
          <w:tcPr>
            <w:tcW w:w="1033" w:type="dxa"/>
            <w:noWrap/>
            <w:vAlign w:val="center"/>
          </w:tcPr>
          <w:p w14:paraId="458D2989">
            <w:pPr>
              <w:jc w:val="center"/>
              <w:rPr>
                <w:color w:val="000000"/>
                <w:sz w:val="20"/>
                <w:szCs w:val="20"/>
              </w:rPr>
            </w:pPr>
            <w:r>
              <w:rPr>
                <w:color w:val="000000"/>
                <w:sz w:val="20"/>
                <w:szCs w:val="20"/>
              </w:rPr>
              <w:t>179,73</w:t>
            </w:r>
          </w:p>
        </w:tc>
        <w:tc>
          <w:tcPr>
            <w:tcW w:w="846" w:type="dxa"/>
            <w:noWrap/>
            <w:vAlign w:val="center"/>
          </w:tcPr>
          <w:p w14:paraId="537F5046">
            <w:pPr>
              <w:jc w:val="center"/>
              <w:rPr>
                <w:color w:val="000000"/>
                <w:sz w:val="20"/>
                <w:szCs w:val="20"/>
              </w:rPr>
            </w:pPr>
            <w:r>
              <w:rPr>
                <w:color w:val="000000"/>
                <w:sz w:val="20"/>
                <w:szCs w:val="20"/>
              </w:rPr>
              <w:t>1</w:t>
            </w:r>
          </w:p>
        </w:tc>
        <w:tc>
          <w:tcPr>
            <w:tcW w:w="2578" w:type="dxa"/>
            <w:noWrap/>
            <w:vAlign w:val="center"/>
          </w:tcPr>
          <w:p w14:paraId="56376FA9">
            <w:pPr>
              <w:jc w:val="center"/>
              <w:rPr>
                <w:color w:val="000000"/>
                <w:sz w:val="20"/>
                <w:szCs w:val="20"/>
              </w:rPr>
            </w:pPr>
            <w:r>
              <w:rPr>
                <w:color w:val="000000"/>
                <w:sz w:val="20"/>
                <w:szCs w:val="20"/>
              </w:rPr>
              <w:t>Mặt cắt 1-1</w:t>
            </w:r>
          </w:p>
        </w:tc>
        <w:tc>
          <w:tcPr>
            <w:tcW w:w="2393" w:type="dxa"/>
            <w:noWrap/>
            <w:vAlign w:val="center"/>
          </w:tcPr>
          <w:p w14:paraId="27C38541">
            <w:pPr>
              <w:jc w:val="center"/>
              <w:rPr>
                <w:color w:val="000000"/>
                <w:sz w:val="20"/>
                <w:szCs w:val="20"/>
              </w:rPr>
            </w:pPr>
            <w:r>
              <w:rPr>
                <w:color w:val="000000"/>
                <w:sz w:val="20"/>
                <w:szCs w:val="20"/>
              </w:rPr>
              <w:t>Hai mặt tiền, đối diện/tiếp giáp CX-MN</w:t>
            </w:r>
          </w:p>
        </w:tc>
        <w:tc>
          <w:tcPr>
            <w:tcW w:w="1198" w:type="dxa"/>
            <w:noWrap/>
            <w:vAlign w:val="center"/>
          </w:tcPr>
          <w:p w14:paraId="12DBE6CF">
            <w:pPr>
              <w:jc w:val="center"/>
              <w:rPr>
                <w:color w:val="000000"/>
                <w:sz w:val="20"/>
                <w:szCs w:val="20"/>
              </w:rPr>
            </w:pPr>
            <w:r>
              <w:rPr>
                <w:color w:val="000000"/>
                <w:sz w:val="20"/>
                <w:szCs w:val="20"/>
              </w:rPr>
              <w:t>14.160.000</w:t>
            </w:r>
          </w:p>
        </w:tc>
        <w:tc>
          <w:tcPr>
            <w:tcW w:w="1236" w:type="dxa"/>
            <w:noWrap/>
            <w:vAlign w:val="center"/>
          </w:tcPr>
          <w:p w14:paraId="19323EA9">
            <w:pPr>
              <w:jc w:val="center"/>
              <w:rPr>
                <w:color w:val="000000"/>
                <w:sz w:val="20"/>
                <w:szCs w:val="20"/>
              </w:rPr>
            </w:pPr>
            <w:r>
              <w:rPr>
                <w:color w:val="000000"/>
                <w:sz w:val="20"/>
                <w:szCs w:val="20"/>
              </w:rPr>
              <w:t>12.579.000</w:t>
            </w:r>
          </w:p>
        </w:tc>
        <w:tc>
          <w:tcPr>
            <w:tcW w:w="1252" w:type="dxa"/>
            <w:noWrap/>
            <w:vAlign w:val="center"/>
          </w:tcPr>
          <w:p w14:paraId="379A9A5C">
            <w:pPr>
              <w:jc w:val="center"/>
              <w:rPr>
                <w:color w:val="000000"/>
                <w:sz w:val="20"/>
                <w:szCs w:val="20"/>
              </w:rPr>
            </w:pPr>
            <w:r>
              <w:rPr>
                <w:color w:val="000000"/>
                <w:sz w:val="20"/>
                <w:szCs w:val="20"/>
              </w:rPr>
              <w:t>26.739.000</w:t>
            </w:r>
          </w:p>
        </w:tc>
        <w:tc>
          <w:tcPr>
            <w:tcW w:w="1848" w:type="dxa"/>
            <w:noWrap/>
            <w:vAlign w:val="center"/>
          </w:tcPr>
          <w:p w14:paraId="41208168">
            <w:pPr>
              <w:jc w:val="center"/>
              <w:rPr>
                <w:color w:val="000000"/>
                <w:sz w:val="20"/>
                <w:szCs w:val="20"/>
              </w:rPr>
            </w:pPr>
            <w:r>
              <w:rPr>
                <w:color w:val="000000"/>
                <w:sz w:val="20"/>
                <w:szCs w:val="20"/>
              </w:rPr>
              <w:t>4.805.800.470</w:t>
            </w:r>
          </w:p>
        </w:tc>
      </w:tr>
      <w:tr w14:paraId="175F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BB59875">
            <w:pPr>
              <w:jc w:val="center"/>
              <w:rPr>
                <w:b/>
                <w:bCs/>
                <w:color w:val="000000"/>
                <w:sz w:val="20"/>
                <w:szCs w:val="20"/>
              </w:rPr>
            </w:pPr>
            <w:r>
              <w:rPr>
                <w:b/>
                <w:bCs/>
                <w:color w:val="000000"/>
                <w:sz w:val="20"/>
                <w:szCs w:val="20"/>
              </w:rPr>
              <w:t>LK18</w:t>
            </w:r>
          </w:p>
        </w:tc>
        <w:tc>
          <w:tcPr>
            <w:tcW w:w="1802" w:type="dxa"/>
            <w:vAlign w:val="center"/>
          </w:tcPr>
          <w:p w14:paraId="50A6782D">
            <w:pPr>
              <w:jc w:val="center"/>
              <w:rPr>
                <w:color w:val="000000"/>
                <w:sz w:val="20"/>
                <w:szCs w:val="20"/>
              </w:rPr>
            </w:pPr>
            <w:r>
              <w:rPr>
                <w:color w:val="000000"/>
                <w:sz w:val="20"/>
                <w:szCs w:val="20"/>
              </w:rPr>
              <w:t>LK18:01</w:t>
            </w:r>
          </w:p>
        </w:tc>
        <w:tc>
          <w:tcPr>
            <w:tcW w:w="1033" w:type="dxa"/>
            <w:noWrap/>
            <w:vAlign w:val="center"/>
          </w:tcPr>
          <w:p w14:paraId="1D5D2E9E">
            <w:pPr>
              <w:jc w:val="center"/>
              <w:rPr>
                <w:color w:val="000000"/>
                <w:sz w:val="20"/>
                <w:szCs w:val="20"/>
              </w:rPr>
            </w:pPr>
            <w:r>
              <w:rPr>
                <w:color w:val="000000"/>
                <w:sz w:val="20"/>
                <w:szCs w:val="20"/>
              </w:rPr>
              <w:t>93,25</w:t>
            </w:r>
          </w:p>
        </w:tc>
        <w:tc>
          <w:tcPr>
            <w:tcW w:w="846" w:type="dxa"/>
            <w:noWrap/>
            <w:vAlign w:val="center"/>
          </w:tcPr>
          <w:p w14:paraId="1AD215D4">
            <w:pPr>
              <w:jc w:val="center"/>
              <w:rPr>
                <w:color w:val="000000"/>
                <w:sz w:val="20"/>
                <w:szCs w:val="20"/>
              </w:rPr>
            </w:pPr>
            <w:r>
              <w:rPr>
                <w:color w:val="000000"/>
                <w:sz w:val="20"/>
                <w:szCs w:val="20"/>
              </w:rPr>
              <w:t>1</w:t>
            </w:r>
          </w:p>
        </w:tc>
        <w:tc>
          <w:tcPr>
            <w:tcW w:w="2578" w:type="dxa"/>
            <w:noWrap/>
            <w:vAlign w:val="center"/>
          </w:tcPr>
          <w:p w14:paraId="089C22DC">
            <w:pPr>
              <w:jc w:val="center"/>
              <w:rPr>
                <w:color w:val="000000"/>
                <w:sz w:val="20"/>
                <w:szCs w:val="20"/>
              </w:rPr>
            </w:pPr>
            <w:r>
              <w:rPr>
                <w:color w:val="000000"/>
                <w:sz w:val="20"/>
                <w:szCs w:val="20"/>
              </w:rPr>
              <w:t>Mặt cắt 1-1</w:t>
            </w:r>
          </w:p>
        </w:tc>
        <w:tc>
          <w:tcPr>
            <w:tcW w:w="2393" w:type="dxa"/>
            <w:noWrap/>
            <w:vAlign w:val="center"/>
          </w:tcPr>
          <w:p w14:paraId="68F21847">
            <w:pPr>
              <w:jc w:val="center"/>
              <w:rPr>
                <w:color w:val="000000"/>
                <w:sz w:val="20"/>
                <w:szCs w:val="20"/>
              </w:rPr>
            </w:pPr>
            <w:r>
              <w:rPr>
                <w:color w:val="000000"/>
                <w:sz w:val="20"/>
                <w:szCs w:val="20"/>
              </w:rPr>
              <w:t>Hai mặt tiền, đối diện/tiếp giáp CX-MN</w:t>
            </w:r>
          </w:p>
        </w:tc>
        <w:tc>
          <w:tcPr>
            <w:tcW w:w="1198" w:type="dxa"/>
            <w:noWrap/>
            <w:vAlign w:val="center"/>
          </w:tcPr>
          <w:p w14:paraId="2A9A4B23">
            <w:pPr>
              <w:jc w:val="center"/>
              <w:rPr>
                <w:color w:val="000000"/>
                <w:sz w:val="20"/>
                <w:szCs w:val="20"/>
              </w:rPr>
            </w:pPr>
            <w:r>
              <w:rPr>
                <w:color w:val="000000"/>
                <w:sz w:val="20"/>
                <w:szCs w:val="20"/>
              </w:rPr>
              <w:t>14.160.000</w:t>
            </w:r>
          </w:p>
        </w:tc>
        <w:tc>
          <w:tcPr>
            <w:tcW w:w="1236" w:type="dxa"/>
            <w:noWrap/>
            <w:vAlign w:val="center"/>
          </w:tcPr>
          <w:p w14:paraId="7C415467">
            <w:pPr>
              <w:jc w:val="center"/>
              <w:rPr>
                <w:color w:val="000000"/>
                <w:sz w:val="20"/>
                <w:szCs w:val="20"/>
              </w:rPr>
            </w:pPr>
            <w:r>
              <w:rPr>
                <w:color w:val="000000"/>
                <w:sz w:val="20"/>
                <w:szCs w:val="20"/>
              </w:rPr>
              <w:t>12.579.000</w:t>
            </w:r>
          </w:p>
        </w:tc>
        <w:tc>
          <w:tcPr>
            <w:tcW w:w="1252" w:type="dxa"/>
            <w:noWrap/>
            <w:vAlign w:val="center"/>
          </w:tcPr>
          <w:p w14:paraId="714FF9B0">
            <w:pPr>
              <w:jc w:val="center"/>
              <w:rPr>
                <w:color w:val="000000"/>
                <w:sz w:val="20"/>
                <w:szCs w:val="20"/>
              </w:rPr>
            </w:pPr>
            <w:r>
              <w:rPr>
                <w:color w:val="000000"/>
                <w:sz w:val="20"/>
                <w:szCs w:val="20"/>
              </w:rPr>
              <w:t>26.739.000</w:t>
            </w:r>
          </w:p>
        </w:tc>
        <w:tc>
          <w:tcPr>
            <w:tcW w:w="1848" w:type="dxa"/>
            <w:noWrap/>
            <w:vAlign w:val="center"/>
          </w:tcPr>
          <w:p w14:paraId="242AC1F6">
            <w:pPr>
              <w:jc w:val="center"/>
              <w:rPr>
                <w:color w:val="000000"/>
                <w:sz w:val="20"/>
                <w:szCs w:val="20"/>
              </w:rPr>
            </w:pPr>
            <w:r>
              <w:rPr>
                <w:color w:val="000000"/>
                <w:sz w:val="20"/>
                <w:szCs w:val="20"/>
              </w:rPr>
              <w:t>2.493.411.750</w:t>
            </w:r>
          </w:p>
        </w:tc>
      </w:tr>
      <w:tr w14:paraId="7FFD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E467600">
            <w:pPr>
              <w:jc w:val="center"/>
              <w:rPr>
                <w:b/>
                <w:bCs/>
                <w:color w:val="000000"/>
                <w:sz w:val="20"/>
                <w:szCs w:val="20"/>
              </w:rPr>
            </w:pPr>
            <w:r>
              <w:rPr>
                <w:b/>
                <w:bCs/>
                <w:color w:val="000000"/>
                <w:sz w:val="20"/>
                <w:szCs w:val="20"/>
              </w:rPr>
              <w:t>LK22</w:t>
            </w:r>
          </w:p>
        </w:tc>
        <w:tc>
          <w:tcPr>
            <w:tcW w:w="1802" w:type="dxa"/>
            <w:vAlign w:val="center"/>
          </w:tcPr>
          <w:p w14:paraId="0029BB4A">
            <w:pPr>
              <w:jc w:val="center"/>
              <w:rPr>
                <w:color w:val="000000"/>
                <w:sz w:val="20"/>
                <w:szCs w:val="20"/>
              </w:rPr>
            </w:pPr>
            <w:r>
              <w:rPr>
                <w:color w:val="000000"/>
                <w:sz w:val="20"/>
                <w:szCs w:val="20"/>
              </w:rPr>
              <w:t>LK22:07</w:t>
            </w:r>
          </w:p>
        </w:tc>
        <w:tc>
          <w:tcPr>
            <w:tcW w:w="1033" w:type="dxa"/>
            <w:noWrap/>
            <w:vAlign w:val="center"/>
          </w:tcPr>
          <w:p w14:paraId="5C02BED4">
            <w:pPr>
              <w:jc w:val="center"/>
              <w:rPr>
                <w:color w:val="000000"/>
                <w:sz w:val="20"/>
                <w:szCs w:val="20"/>
              </w:rPr>
            </w:pPr>
            <w:r>
              <w:rPr>
                <w:color w:val="000000"/>
                <w:sz w:val="20"/>
                <w:szCs w:val="20"/>
              </w:rPr>
              <w:t>100,88</w:t>
            </w:r>
          </w:p>
        </w:tc>
        <w:tc>
          <w:tcPr>
            <w:tcW w:w="846" w:type="dxa"/>
            <w:noWrap/>
            <w:vAlign w:val="center"/>
          </w:tcPr>
          <w:p w14:paraId="705FA6A7">
            <w:pPr>
              <w:jc w:val="center"/>
              <w:rPr>
                <w:color w:val="000000"/>
                <w:sz w:val="20"/>
                <w:szCs w:val="20"/>
              </w:rPr>
            </w:pPr>
            <w:r>
              <w:rPr>
                <w:color w:val="000000"/>
                <w:sz w:val="20"/>
                <w:szCs w:val="20"/>
              </w:rPr>
              <w:t>1</w:t>
            </w:r>
          </w:p>
        </w:tc>
        <w:tc>
          <w:tcPr>
            <w:tcW w:w="2578" w:type="dxa"/>
            <w:noWrap/>
            <w:vAlign w:val="center"/>
          </w:tcPr>
          <w:p w14:paraId="20894284">
            <w:pPr>
              <w:jc w:val="center"/>
              <w:rPr>
                <w:color w:val="000000"/>
                <w:sz w:val="20"/>
                <w:szCs w:val="20"/>
              </w:rPr>
            </w:pPr>
            <w:r>
              <w:rPr>
                <w:color w:val="000000"/>
                <w:sz w:val="20"/>
                <w:szCs w:val="20"/>
              </w:rPr>
              <w:t>Mặt cắt 1-1</w:t>
            </w:r>
          </w:p>
        </w:tc>
        <w:tc>
          <w:tcPr>
            <w:tcW w:w="2393" w:type="dxa"/>
            <w:noWrap/>
            <w:vAlign w:val="center"/>
          </w:tcPr>
          <w:p w14:paraId="4CC98085">
            <w:pPr>
              <w:jc w:val="center"/>
              <w:rPr>
                <w:color w:val="000000"/>
                <w:sz w:val="20"/>
                <w:szCs w:val="20"/>
              </w:rPr>
            </w:pPr>
            <w:r>
              <w:rPr>
                <w:color w:val="000000"/>
                <w:sz w:val="20"/>
                <w:szCs w:val="20"/>
              </w:rPr>
              <w:t>Hai mặt tiền</w:t>
            </w:r>
          </w:p>
        </w:tc>
        <w:tc>
          <w:tcPr>
            <w:tcW w:w="1198" w:type="dxa"/>
            <w:noWrap/>
            <w:vAlign w:val="center"/>
          </w:tcPr>
          <w:p w14:paraId="69543B7E">
            <w:pPr>
              <w:jc w:val="center"/>
              <w:rPr>
                <w:color w:val="000000"/>
                <w:sz w:val="20"/>
                <w:szCs w:val="20"/>
              </w:rPr>
            </w:pPr>
            <w:r>
              <w:rPr>
                <w:color w:val="000000"/>
                <w:sz w:val="20"/>
                <w:szCs w:val="20"/>
              </w:rPr>
              <w:t>13.570.000</w:t>
            </w:r>
          </w:p>
        </w:tc>
        <w:tc>
          <w:tcPr>
            <w:tcW w:w="1236" w:type="dxa"/>
            <w:noWrap/>
            <w:vAlign w:val="center"/>
          </w:tcPr>
          <w:p w14:paraId="5F7B2E0F">
            <w:pPr>
              <w:jc w:val="center"/>
              <w:rPr>
                <w:color w:val="000000"/>
                <w:sz w:val="20"/>
                <w:szCs w:val="20"/>
              </w:rPr>
            </w:pPr>
            <w:r>
              <w:rPr>
                <w:color w:val="000000"/>
                <w:sz w:val="20"/>
                <w:szCs w:val="20"/>
              </w:rPr>
              <w:t>12.579.000</w:t>
            </w:r>
          </w:p>
        </w:tc>
        <w:tc>
          <w:tcPr>
            <w:tcW w:w="1252" w:type="dxa"/>
            <w:noWrap/>
            <w:vAlign w:val="center"/>
          </w:tcPr>
          <w:p w14:paraId="13A2D4C3">
            <w:pPr>
              <w:jc w:val="center"/>
              <w:rPr>
                <w:color w:val="000000"/>
                <w:sz w:val="20"/>
                <w:szCs w:val="20"/>
              </w:rPr>
            </w:pPr>
            <w:r>
              <w:rPr>
                <w:color w:val="000000"/>
                <w:sz w:val="20"/>
                <w:szCs w:val="20"/>
              </w:rPr>
              <w:t>26.149.000</w:t>
            </w:r>
          </w:p>
        </w:tc>
        <w:tc>
          <w:tcPr>
            <w:tcW w:w="1848" w:type="dxa"/>
            <w:noWrap/>
            <w:vAlign w:val="center"/>
          </w:tcPr>
          <w:p w14:paraId="68C8F21D">
            <w:pPr>
              <w:jc w:val="center"/>
              <w:rPr>
                <w:color w:val="000000"/>
                <w:sz w:val="20"/>
                <w:szCs w:val="20"/>
              </w:rPr>
            </w:pPr>
            <w:r>
              <w:rPr>
                <w:color w:val="000000"/>
                <w:sz w:val="20"/>
                <w:szCs w:val="20"/>
              </w:rPr>
              <w:t>2.637.911.120</w:t>
            </w:r>
          </w:p>
        </w:tc>
      </w:tr>
      <w:tr w14:paraId="44FF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D0DF6D9">
            <w:pPr>
              <w:jc w:val="center"/>
              <w:rPr>
                <w:b/>
                <w:bCs/>
                <w:color w:val="000000"/>
                <w:sz w:val="20"/>
                <w:szCs w:val="20"/>
              </w:rPr>
            </w:pPr>
            <w:r>
              <w:rPr>
                <w:b/>
                <w:bCs/>
                <w:color w:val="000000"/>
                <w:sz w:val="20"/>
                <w:szCs w:val="20"/>
              </w:rPr>
              <w:t>LK59</w:t>
            </w:r>
          </w:p>
        </w:tc>
        <w:tc>
          <w:tcPr>
            <w:tcW w:w="1802" w:type="dxa"/>
            <w:vAlign w:val="center"/>
          </w:tcPr>
          <w:p w14:paraId="0BC3BA21">
            <w:pPr>
              <w:jc w:val="center"/>
              <w:rPr>
                <w:color w:val="000000"/>
                <w:sz w:val="20"/>
                <w:szCs w:val="20"/>
              </w:rPr>
            </w:pPr>
            <w:r>
              <w:rPr>
                <w:color w:val="000000"/>
                <w:sz w:val="20"/>
                <w:szCs w:val="20"/>
              </w:rPr>
              <w:t>LK59:01</w:t>
            </w:r>
          </w:p>
        </w:tc>
        <w:tc>
          <w:tcPr>
            <w:tcW w:w="1033" w:type="dxa"/>
            <w:noWrap/>
            <w:vAlign w:val="center"/>
          </w:tcPr>
          <w:p w14:paraId="6EC8288D">
            <w:pPr>
              <w:jc w:val="center"/>
              <w:rPr>
                <w:color w:val="000000"/>
                <w:sz w:val="20"/>
                <w:szCs w:val="20"/>
              </w:rPr>
            </w:pPr>
            <w:r>
              <w:rPr>
                <w:color w:val="000000"/>
                <w:sz w:val="20"/>
                <w:szCs w:val="20"/>
              </w:rPr>
              <w:t>85,75</w:t>
            </w:r>
          </w:p>
        </w:tc>
        <w:tc>
          <w:tcPr>
            <w:tcW w:w="846" w:type="dxa"/>
            <w:noWrap/>
            <w:vAlign w:val="center"/>
          </w:tcPr>
          <w:p w14:paraId="0FC89BA4">
            <w:pPr>
              <w:jc w:val="center"/>
              <w:rPr>
                <w:color w:val="000000"/>
                <w:sz w:val="20"/>
                <w:szCs w:val="20"/>
              </w:rPr>
            </w:pPr>
            <w:r>
              <w:rPr>
                <w:color w:val="000000"/>
                <w:sz w:val="20"/>
                <w:szCs w:val="20"/>
              </w:rPr>
              <w:t>1</w:t>
            </w:r>
          </w:p>
        </w:tc>
        <w:tc>
          <w:tcPr>
            <w:tcW w:w="2578" w:type="dxa"/>
            <w:noWrap/>
            <w:vAlign w:val="center"/>
          </w:tcPr>
          <w:p w14:paraId="1E07A425">
            <w:pPr>
              <w:jc w:val="center"/>
              <w:rPr>
                <w:color w:val="000000"/>
                <w:sz w:val="20"/>
                <w:szCs w:val="20"/>
              </w:rPr>
            </w:pPr>
            <w:r>
              <w:rPr>
                <w:color w:val="000000"/>
                <w:sz w:val="20"/>
                <w:szCs w:val="20"/>
              </w:rPr>
              <w:t>Mặt cắt 1-1</w:t>
            </w:r>
          </w:p>
        </w:tc>
        <w:tc>
          <w:tcPr>
            <w:tcW w:w="2393" w:type="dxa"/>
            <w:noWrap/>
            <w:vAlign w:val="center"/>
          </w:tcPr>
          <w:p w14:paraId="2630D072">
            <w:pPr>
              <w:jc w:val="center"/>
              <w:rPr>
                <w:color w:val="000000"/>
                <w:sz w:val="20"/>
                <w:szCs w:val="20"/>
              </w:rPr>
            </w:pPr>
            <w:r>
              <w:rPr>
                <w:color w:val="000000"/>
                <w:sz w:val="20"/>
                <w:szCs w:val="20"/>
              </w:rPr>
              <w:t>Hai mặt tiền</w:t>
            </w:r>
          </w:p>
        </w:tc>
        <w:tc>
          <w:tcPr>
            <w:tcW w:w="1198" w:type="dxa"/>
            <w:noWrap/>
            <w:vAlign w:val="center"/>
          </w:tcPr>
          <w:p w14:paraId="39B97750">
            <w:pPr>
              <w:jc w:val="center"/>
              <w:rPr>
                <w:color w:val="000000"/>
                <w:sz w:val="20"/>
                <w:szCs w:val="20"/>
              </w:rPr>
            </w:pPr>
            <w:r>
              <w:rPr>
                <w:color w:val="000000"/>
                <w:sz w:val="20"/>
                <w:szCs w:val="20"/>
              </w:rPr>
              <w:t>13.570.000</w:t>
            </w:r>
          </w:p>
        </w:tc>
        <w:tc>
          <w:tcPr>
            <w:tcW w:w="1236" w:type="dxa"/>
            <w:noWrap/>
            <w:vAlign w:val="center"/>
          </w:tcPr>
          <w:p w14:paraId="1B22FFFF">
            <w:pPr>
              <w:jc w:val="center"/>
              <w:rPr>
                <w:color w:val="000000"/>
                <w:sz w:val="20"/>
                <w:szCs w:val="20"/>
              </w:rPr>
            </w:pPr>
            <w:r>
              <w:rPr>
                <w:color w:val="000000"/>
                <w:sz w:val="20"/>
                <w:szCs w:val="20"/>
              </w:rPr>
              <w:t>12.579.000</w:t>
            </w:r>
          </w:p>
        </w:tc>
        <w:tc>
          <w:tcPr>
            <w:tcW w:w="1252" w:type="dxa"/>
            <w:noWrap/>
            <w:vAlign w:val="center"/>
          </w:tcPr>
          <w:p w14:paraId="28C39B80">
            <w:pPr>
              <w:jc w:val="center"/>
              <w:rPr>
                <w:color w:val="000000"/>
                <w:sz w:val="20"/>
                <w:szCs w:val="20"/>
              </w:rPr>
            </w:pPr>
            <w:r>
              <w:rPr>
                <w:color w:val="000000"/>
                <w:sz w:val="20"/>
                <w:szCs w:val="20"/>
              </w:rPr>
              <w:t>26.149.000</w:t>
            </w:r>
          </w:p>
        </w:tc>
        <w:tc>
          <w:tcPr>
            <w:tcW w:w="1848" w:type="dxa"/>
            <w:noWrap/>
            <w:vAlign w:val="center"/>
          </w:tcPr>
          <w:p w14:paraId="73314A60">
            <w:pPr>
              <w:jc w:val="center"/>
              <w:rPr>
                <w:color w:val="000000"/>
                <w:sz w:val="20"/>
                <w:szCs w:val="20"/>
              </w:rPr>
            </w:pPr>
            <w:r>
              <w:rPr>
                <w:color w:val="000000"/>
                <w:sz w:val="20"/>
                <w:szCs w:val="20"/>
              </w:rPr>
              <w:t>2.242.276.750</w:t>
            </w:r>
          </w:p>
        </w:tc>
      </w:tr>
      <w:tr w14:paraId="37B5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C60CC2D">
            <w:pPr>
              <w:jc w:val="center"/>
              <w:rPr>
                <w:b/>
                <w:bCs/>
                <w:color w:val="000000"/>
                <w:sz w:val="20"/>
                <w:szCs w:val="20"/>
              </w:rPr>
            </w:pPr>
          </w:p>
        </w:tc>
        <w:tc>
          <w:tcPr>
            <w:tcW w:w="14189" w:type="dxa"/>
            <w:gridSpan w:val="9"/>
            <w:vAlign w:val="center"/>
          </w:tcPr>
          <w:p w14:paraId="78859517">
            <w:pPr>
              <w:jc w:val="center"/>
              <w:rPr>
                <w:b/>
                <w:bCs/>
                <w:color w:val="000000"/>
                <w:sz w:val="20"/>
                <w:szCs w:val="20"/>
              </w:rPr>
            </w:pPr>
            <w:r>
              <w:rPr>
                <w:b/>
                <w:bCs/>
                <w:color w:val="000000"/>
                <w:sz w:val="20"/>
                <w:szCs w:val="20"/>
              </w:rPr>
              <w:t>Mặt cắt 2-2: rộng 16,5m lòng đường rộng 7,5m, vỉa hè 2 bên rộng 4,5m+4,5m</w:t>
            </w:r>
          </w:p>
        </w:tc>
      </w:tr>
      <w:tr w14:paraId="4C8C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880CE03">
            <w:pPr>
              <w:jc w:val="center"/>
              <w:rPr>
                <w:b/>
                <w:bCs/>
                <w:color w:val="000000"/>
                <w:sz w:val="20"/>
                <w:szCs w:val="20"/>
              </w:rPr>
            </w:pPr>
            <w:r>
              <w:rPr>
                <w:b/>
                <w:bCs/>
                <w:color w:val="000000"/>
                <w:sz w:val="20"/>
                <w:szCs w:val="20"/>
              </w:rPr>
              <w:t>LK33</w:t>
            </w:r>
          </w:p>
        </w:tc>
        <w:tc>
          <w:tcPr>
            <w:tcW w:w="1802" w:type="dxa"/>
            <w:vAlign w:val="center"/>
          </w:tcPr>
          <w:p w14:paraId="106C1C43">
            <w:pPr>
              <w:jc w:val="center"/>
              <w:rPr>
                <w:color w:val="000000"/>
                <w:sz w:val="20"/>
                <w:szCs w:val="20"/>
              </w:rPr>
            </w:pPr>
            <w:r>
              <w:rPr>
                <w:color w:val="000000"/>
                <w:sz w:val="20"/>
                <w:szCs w:val="20"/>
              </w:rPr>
              <w:t>LK33:02</w:t>
            </w:r>
          </w:p>
        </w:tc>
        <w:tc>
          <w:tcPr>
            <w:tcW w:w="1033" w:type="dxa"/>
            <w:noWrap/>
            <w:vAlign w:val="center"/>
          </w:tcPr>
          <w:p w14:paraId="1E8501A5">
            <w:pPr>
              <w:jc w:val="center"/>
              <w:rPr>
                <w:color w:val="000000"/>
                <w:sz w:val="20"/>
                <w:szCs w:val="20"/>
              </w:rPr>
            </w:pPr>
            <w:r>
              <w:rPr>
                <w:color w:val="000000"/>
                <w:sz w:val="20"/>
                <w:szCs w:val="20"/>
              </w:rPr>
              <w:t>90,00</w:t>
            </w:r>
          </w:p>
        </w:tc>
        <w:tc>
          <w:tcPr>
            <w:tcW w:w="846" w:type="dxa"/>
            <w:noWrap/>
            <w:vAlign w:val="center"/>
          </w:tcPr>
          <w:p w14:paraId="6F9CDF78">
            <w:pPr>
              <w:jc w:val="center"/>
              <w:rPr>
                <w:color w:val="000000"/>
                <w:sz w:val="20"/>
                <w:szCs w:val="20"/>
              </w:rPr>
            </w:pPr>
            <w:r>
              <w:rPr>
                <w:color w:val="000000"/>
                <w:sz w:val="20"/>
                <w:szCs w:val="20"/>
              </w:rPr>
              <w:t>1</w:t>
            </w:r>
          </w:p>
        </w:tc>
        <w:tc>
          <w:tcPr>
            <w:tcW w:w="2578" w:type="dxa"/>
            <w:noWrap/>
            <w:vAlign w:val="center"/>
          </w:tcPr>
          <w:p w14:paraId="7035F833">
            <w:pPr>
              <w:jc w:val="center"/>
              <w:rPr>
                <w:color w:val="000000"/>
                <w:sz w:val="20"/>
                <w:szCs w:val="20"/>
              </w:rPr>
            </w:pPr>
            <w:r>
              <w:rPr>
                <w:color w:val="000000"/>
                <w:sz w:val="20"/>
                <w:szCs w:val="20"/>
              </w:rPr>
              <w:t>Mặt cắt 2-2</w:t>
            </w:r>
          </w:p>
        </w:tc>
        <w:tc>
          <w:tcPr>
            <w:tcW w:w="2393" w:type="dxa"/>
            <w:noWrap/>
            <w:vAlign w:val="center"/>
          </w:tcPr>
          <w:p w14:paraId="617FB53C">
            <w:pPr>
              <w:jc w:val="center"/>
              <w:rPr>
                <w:color w:val="000000"/>
                <w:sz w:val="20"/>
                <w:szCs w:val="20"/>
              </w:rPr>
            </w:pPr>
            <w:r>
              <w:rPr>
                <w:color w:val="000000"/>
                <w:sz w:val="20"/>
                <w:szCs w:val="20"/>
              </w:rPr>
              <w:t>Một mặt tiền</w:t>
            </w:r>
          </w:p>
        </w:tc>
        <w:tc>
          <w:tcPr>
            <w:tcW w:w="1198" w:type="dxa"/>
            <w:noWrap/>
            <w:vAlign w:val="center"/>
          </w:tcPr>
          <w:p w14:paraId="7B58B09C">
            <w:pPr>
              <w:jc w:val="center"/>
              <w:rPr>
                <w:color w:val="000000"/>
                <w:sz w:val="20"/>
                <w:szCs w:val="20"/>
              </w:rPr>
            </w:pPr>
            <w:r>
              <w:rPr>
                <w:color w:val="000000"/>
                <w:sz w:val="20"/>
                <w:szCs w:val="20"/>
              </w:rPr>
              <w:t>10.700.000</w:t>
            </w:r>
          </w:p>
        </w:tc>
        <w:tc>
          <w:tcPr>
            <w:tcW w:w="1236" w:type="dxa"/>
            <w:noWrap/>
            <w:vAlign w:val="center"/>
          </w:tcPr>
          <w:p w14:paraId="147C4D81">
            <w:pPr>
              <w:jc w:val="center"/>
              <w:rPr>
                <w:color w:val="000000"/>
                <w:sz w:val="20"/>
                <w:szCs w:val="20"/>
              </w:rPr>
            </w:pPr>
            <w:r>
              <w:rPr>
                <w:color w:val="000000"/>
                <w:sz w:val="20"/>
                <w:szCs w:val="20"/>
              </w:rPr>
              <w:t>12.579.000</w:t>
            </w:r>
          </w:p>
        </w:tc>
        <w:tc>
          <w:tcPr>
            <w:tcW w:w="1252" w:type="dxa"/>
            <w:noWrap/>
            <w:vAlign w:val="center"/>
          </w:tcPr>
          <w:p w14:paraId="7FB61903">
            <w:pPr>
              <w:jc w:val="center"/>
              <w:rPr>
                <w:color w:val="000000"/>
                <w:sz w:val="20"/>
                <w:szCs w:val="20"/>
              </w:rPr>
            </w:pPr>
            <w:r>
              <w:rPr>
                <w:color w:val="000000"/>
                <w:sz w:val="20"/>
                <w:szCs w:val="20"/>
              </w:rPr>
              <w:t>23.279.000</w:t>
            </w:r>
          </w:p>
        </w:tc>
        <w:tc>
          <w:tcPr>
            <w:tcW w:w="1848" w:type="dxa"/>
            <w:noWrap/>
            <w:vAlign w:val="center"/>
          </w:tcPr>
          <w:p w14:paraId="07EA8F6A">
            <w:pPr>
              <w:jc w:val="center"/>
              <w:rPr>
                <w:color w:val="000000"/>
                <w:sz w:val="20"/>
                <w:szCs w:val="20"/>
              </w:rPr>
            </w:pPr>
            <w:r>
              <w:rPr>
                <w:color w:val="000000"/>
                <w:sz w:val="20"/>
                <w:szCs w:val="20"/>
              </w:rPr>
              <w:t>2.095.110.000</w:t>
            </w:r>
          </w:p>
        </w:tc>
      </w:tr>
      <w:tr w14:paraId="1163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6B4FA1D">
            <w:pPr>
              <w:jc w:val="center"/>
              <w:rPr>
                <w:b/>
                <w:bCs/>
                <w:color w:val="000000"/>
                <w:sz w:val="20"/>
                <w:szCs w:val="20"/>
              </w:rPr>
            </w:pPr>
            <w:r>
              <w:rPr>
                <w:b/>
                <w:bCs/>
                <w:color w:val="000000"/>
                <w:sz w:val="20"/>
                <w:szCs w:val="20"/>
              </w:rPr>
              <w:t>LK33</w:t>
            </w:r>
          </w:p>
        </w:tc>
        <w:tc>
          <w:tcPr>
            <w:tcW w:w="1802" w:type="dxa"/>
            <w:vAlign w:val="center"/>
          </w:tcPr>
          <w:p w14:paraId="27EC141C">
            <w:pPr>
              <w:jc w:val="center"/>
              <w:rPr>
                <w:color w:val="000000"/>
                <w:sz w:val="20"/>
                <w:szCs w:val="20"/>
              </w:rPr>
            </w:pPr>
            <w:r>
              <w:rPr>
                <w:color w:val="000000"/>
                <w:sz w:val="20"/>
                <w:szCs w:val="20"/>
              </w:rPr>
              <w:t>LK33:03</w:t>
            </w:r>
          </w:p>
        </w:tc>
        <w:tc>
          <w:tcPr>
            <w:tcW w:w="1033" w:type="dxa"/>
            <w:noWrap/>
            <w:vAlign w:val="center"/>
          </w:tcPr>
          <w:p w14:paraId="26CC4D64">
            <w:pPr>
              <w:jc w:val="center"/>
              <w:rPr>
                <w:color w:val="000000"/>
                <w:sz w:val="20"/>
                <w:szCs w:val="20"/>
              </w:rPr>
            </w:pPr>
            <w:r>
              <w:rPr>
                <w:color w:val="000000"/>
                <w:sz w:val="20"/>
                <w:szCs w:val="20"/>
              </w:rPr>
              <w:t>90,00</w:t>
            </w:r>
          </w:p>
        </w:tc>
        <w:tc>
          <w:tcPr>
            <w:tcW w:w="846" w:type="dxa"/>
            <w:noWrap/>
            <w:vAlign w:val="center"/>
          </w:tcPr>
          <w:p w14:paraId="06C1B94B">
            <w:pPr>
              <w:jc w:val="center"/>
              <w:rPr>
                <w:color w:val="000000"/>
                <w:sz w:val="20"/>
                <w:szCs w:val="20"/>
              </w:rPr>
            </w:pPr>
            <w:r>
              <w:rPr>
                <w:color w:val="000000"/>
                <w:sz w:val="20"/>
                <w:szCs w:val="20"/>
              </w:rPr>
              <w:t>1</w:t>
            </w:r>
          </w:p>
        </w:tc>
        <w:tc>
          <w:tcPr>
            <w:tcW w:w="2578" w:type="dxa"/>
            <w:noWrap/>
            <w:vAlign w:val="center"/>
          </w:tcPr>
          <w:p w14:paraId="50EE1C0E">
            <w:pPr>
              <w:jc w:val="center"/>
              <w:rPr>
                <w:color w:val="000000"/>
                <w:sz w:val="20"/>
                <w:szCs w:val="20"/>
              </w:rPr>
            </w:pPr>
            <w:r>
              <w:rPr>
                <w:color w:val="000000"/>
                <w:sz w:val="20"/>
                <w:szCs w:val="20"/>
              </w:rPr>
              <w:t>Mặt cắt 2-2</w:t>
            </w:r>
          </w:p>
        </w:tc>
        <w:tc>
          <w:tcPr>
            <w:tcW w:w="2393" w:type="dxa"/>
            <w:noWrap/>
            <w:vAlign w:val="center"/>
          </w:tcPr>
          <w:p w14:paraId="59B72C90">
            <w:pPr>
              <w:jc w:val="center"/>
              <w:rPr>
                <w:color w:val="000000"/>
                <w:sz w:val="20"/>
                <w:szCs w:val="20"/>
              </w:rPr>
            </w:pPr>
            <w:r>
              <w:rPr>
                <w:color w:val="000000"/>
                <w:sz w:val="20"/>
                <w:szCs w:val="20"/>
              </w:rPr>
              <w:t>Một mặt tiền</w:t>
            </w:r>
          </w:p>
        </w:tc>
        <w:tc>
          <w:tcPr>
            <w:tcW w:w="1198" w:type="dxa"/>
            <w:noWrap/>
            <w:vAlign w:val="center"/>
          </w:tcPr>
          <w:p w14:paraId="6335643B">
            <w:pPr>
              <w:jc w:val="center"/>
              <w:rPr>
                <w:color w:val="000000"/>
                <w:sz w:val="20"/>
                <w:szCs w:val="20"/>
              </w:rPr>
            </w:pPr>
            <w:r>
              <w:rPr>
                <w:color w:val="000000"/>
                <w:sz w:val="20"/>
                <w:szCs w:val="20"/>
              </w:rPr>
              <w:t>10.700.000</w:t>
            </w:r>
          </w:p>
        </w:tc>
        <w:tc>
          <w:tcPr>
            <w:tcW w:w="1236" w:type="dxa"/>
            <w:noWrap/>
            <w:vAlign w:val="center"/>
          </w:tcPr>
          <w:p w14:paraId="1253160F">
            <w:pPr>
              <w:jc w:val="center"/>
              <w:rPr>
                <w:color w:val="000000"/>
                <w:sz w:val="20"/>
                <w:szCs w:val="20"/>
              </w:rPr>
            </w:pPr>
            <w:r>
              <w:rPr>
                <w:color w:val="000000"/>
                <w:sz w:val="20"/>
                <w:szCs w:val="20"/>
              </w:rPr>
              <w:t>12.579.000</w:t>
            </w:r>
          </w:p>
        </w:tc>
        <w:tc>
          <w:tcPr>
            <w:tcW w:w="1252" w:type="dxa"/>
            <w:noWrap/>
            <w:vAlign w:val="center"/>
          </w:tcPr>
          <w:p w14:paraId="18820323">
            <w:pPr>
              <w:jc w:val="center"/>
              <w:rPr>
                <w:color w:val="000000"/>
                <w:sz w:val="20"/>
                <w:szCs w:val="20"/>
              </w:rPr>
            </w:pPr>
            <w:r>
              <w:rPr>
                <w:color w:val="000000"/>
                <w:sz w:val="20"/>
                <w:szCs w:val="20"/>
              </w:rPr>
              <w:t>23.279.000</w:t>
            </w:r>
          </w:p>
        </w:tc>
        <w:tc>
          <w:tcPr>
            <w:tcW w:w="1848" w:type="dxa"/>
            <w:noWrap/>
            <w:vAlign w:val="center"/>
          </w:tcPr>
          <w:p w14:paraId="4EBF0658">
            <w:pPr>
              <w:jc w:val="center"/>
              <w:rPr>
                <w:color w:val="000000"/>
                <w:sz w:val="20"/>
                <w:szCs w:val="20"/>
              </w:rPr>
            </w:pPr>
            <w:r>
              <w:rPr>
                <w:color w:val="000000"/>
                <w:sz w:val="20"/>
                <w:szCs w:val="20"/>
              </w:rPr>
              <w:t>2.095.110.000</w:t>
            </w:r>
          </w:p>
        </w:tc>
      </w:tr>
      <w:tr w14:paraId="597D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5B73981">
            <w:pPr>
              <w:jc w:val="center"/>
              <w:rPr>
                <w:b/>
                <w:bCs/>
                <w:color w:val="000000"/>
                <w:sz w:val="20"/>
                <w:szCs w:val="20"/>
              </w:rPr>
            </w:pPr>
            <w:r>
              <w:rPr>
                <w:b/>
                <w:bCs/>
                <w:color w:val="000000"/>
                <w:sz w:val="20"/>
                <w:szCs w:val="20"/>
              </w:rPr>
              <w:t>LK33</w:t>
            </w:r>
          </w:p>
        </w:tc>
        <w:tc>
          <w:tcPr>
            <w:tcW w:w="1802" w:type="dxa"/>
            <w:vAlign w:val="center"/>
          </w:tcPr>
          <w:p w14:paraId="0125C9DB">
            <w:pPr>
              <w:jc w:val="center"/>
              <w:rPr>
                <w:color w:val="000000"/>
                <w:sz w:val="20"/>
                <w:szCs w:val="20"/>
              </w:rPr>
            </w:pPr>
            <w:r>
              <w:rPr>
                <w:color w:val="000000"/>
                <w:sz w:val="20"/>
                <w:szCs w:val="20"/>
              </w:rPr>
              <w:t>LK33:04</w:t>
            </w:r>
          </w:p>
        </w:tc>
        <w:tc>
          <w:tcPr>
            <w:tcW w:w="1033" w:type="dxa"/>
            <w:noWrap/>
            <w:vAlign w:val="center"/>
          </w:tcPr>
          <w:p w14:paraId="21BD8EAF">
            <w:pPr>
              <w:jc w:val="center"/>
              <w:rPr>
                <w:color w:val="000000"/>
                <w:sz w:val="20"/>
                <w:szCs w:val="20"/>
              </w:rPr>
            </w:pPr>
            <w:r>
              <w:rPr>
                <w:color w:val="000000"/>
                <w:sz w:val="20"/>
                <w:szCs w:val="20"/>
              </w:rPr>
              <w:t>90,00</w:t>
            </w:r>
          </w:p>
        </w:tc>
        <w:tc>
          <w:tcPr>
            <w:tcW w:w="846" w:type="dxa"/>
            <w:noWrap/>
            <w:vAlign w:val="center"/>
          </w:tcPr>
          <w:p w14:paraId="001784EE">
            <w:pPr>
              <w:jc w:val="center"/>
              <w:rPr>
                <w:color w:val="000000"/>
                <w:sz w:val="20"/>
                <w:szCs w:val="20"/>
              </w:rPr>
            </w:pPr>
            <w:r>
              <w:rPr>
                <w:color w:val="000000"/>
                <w:sz w:val="20"/>
                <w:szCs w:val="20"/>
              </w:rPr>
              <w:t>1</w:t>
            </w:r>
          </w:p>
        </w:tc>
        <w:tc>
          <w:tcPr>
            <w:tcW w:w="2578" w:type="dxa"/>
            <w:noWrap/>
            <w:vAlign w:val="center"/>
          </w:tcPr>
          <w:p w14:paraId="215343AA">
            <w:pPr>
              <w:jc w:val="center"/>
              <w:rPr>
                <w:color w:val="000000"/>
                <w:sz w:val="20"/>
                <w:szCs w:val="20"/>
              </w:rPr>
            </w:pPr>
            <w:r>
              <w:rPr>
                <w:color w:val="000000"/>
                <w:sz w:val="20"/>
                <w:szCs w:val="20"/>
              </w:rPr>
              <w:t>Mặt cắt 2-2</w:t>
            </w:r>
          </w:p>
        </w:tc>
        <w:tc>
          <w:tcPr>
            <w:tcW w:w="2393" w:type="dxa"/>
            <w:noWrap/>
            <w:vAlign w:val="center"/>
          </w:tcPr>
          <w:p w14:paraId="12579E80">
            <w:pPr>
              <w:jc w:val="center"/>
              <w:rPr>
                <w:color w:val="000000"/>
                <w:sz w:val="20"/>
                <w:szCs w:val="20"/>
              </w:rPr>
            </w:pPr>
            <w:r>
              <w:rPr>
                <w:color w:val="000000"/>
                <w:sz w:val="20"/>
                <w:szCs w:val="20"/>
              </w:rPr>
              <w:t>Một mặt tiền</w:t>
            </w:r>
          </w:p>
        </w:tc>
        <w:tc>
          <w:tcPr>
            <w:tcW w:w="1198" w:type="dxa"/>
            <w:noWrap/>
            <w:vAlign w:val="center"/>
          </w:tcPr>
          <w:p w14:paraId="466853C7">
            <w:pPr>
              <w:jc w:val="center"/>
              <w:rPr>
                <w:color w:val="000000"/>
                <w:sz w:val="20"/>
                <w:szCs w:val="20"/>
              </w:rPr>
            </w:pPr>
            <w:r>
              <w:rPr>
                <w:color w:val="000000"/>
                <w:sz w:val="20"/>
                <w:szCs w:val="20"/>
              </w:rPr>
              <w:t>10.700.000</w:t>
            </w:r>
          </w:p>
        </w:tc>
        <w:tc>
          <w:tcPr>
            <w:tcW w:w="1236" w:type="dxa"/>
            <w:noWrap/>
            <w:vAlign w:val="center"/>
          </w:tcPr>
          <w:p w14:paraId="2B62CF20">
            <w:pPr>
              <w:jc w:val="center"/>
              <w:rPr>
                <w:color w:val="000000"/>
                <w:sz w:val="20"/>
                <w:szCs w:val="20"/>
              </w:rPr>
            </w:pPr>
            <w:r>
              <w:rPr>
                <w:color w:val="000000"/>
                <w:sz w:val="20"/>
                <w:szCs w:val="20"/>
              </w:rPr>
              <w:t>12.579.000</w:t>
            </w:r>
          </w:p>
        </w:tc>
        <w:tc>
          <w:tcPr>
            <w:tcW w:w="1252" w:type="dxa"/>
            <w:noWrap/>
            <w:vAlign w:val="center"/>
          </w:tcPr>
          <w:p w14:paraId="08B0C7E9">
            <w:pPr>
              <w:jc w:val="center"/>
              <w:rPr>
                <w:color w:val="000000"/>
                <w:sz w:val="20"/>
                <w:szCs w:val="20"/>
              </w:rPr>
            </w:pPr>
            <w:r>
              <w:rPr>
                <w:color w:val="000000"/>
                <w:sz w:val="20"/>
                <w:szCs w:val="20"/>
              </w:rPr>
              <w:t>23.279.000</w:t>
            </w:r>
          </w:p>
        </w:tc>
        <w:tc>
          <w:tcPr>
            <w:tcW w:w="1848" w:type="dxa"/>
            <w:noWrap/>
            <w:vAlign w:val="center"/>
          </w:tcPr>
          <w:p w14:paraId="00F1DB7D">
            <w:pPr>
              <w:jc w:val="center"/>
              <w:rPr>
                <w:color w:val="000000"/>
                <w:sz w:val="20"/>
                <w:szCs w:val="20"/>
              </w:rPr>
            </w:pPr>
            <w:r>
              <w:rPr>
                <w:color w:val="000000"/>
                <w:sz w:val="20"/>
                <w:szCs w:val="20"/>
              </w:rPr>
              <w:t>2.095.110.000</w:t>
            </w:r>
          </w:p>
        </w:tc>
      </w:tr>
      <w:tr w14:paraId="648F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FF2311D">
            <w:pPr>
              <w:jc w:val="center"/>
              <w:rPr>
                <w:b/>
                <w:bCs/>
                <w:color w:val="000000"/>
                <w:sz w:val="20"/>
                <w:szCs w:val="20"/>
              </w:rPr>
            </w:pPr>
            <w:r>
              <w:rPr>
                <w:b/>
                <w:bCs/>
                <w:color w:val="000000"/>
                <w:sz w:val="20"/>
                <w:szCs w:val="20"/>
              </w:rPr>
              <w:t>LK33</w:t>
            </w:r>
          </w:p>
        </w:tc>
        <w:tc>
          <w:tcPr>
            <w:tcW w:w="1802" w:type="dxa"/>
            <w:vAlign w:val="center"/>
          </w:tcPr>
          <w:p w14:paraId="195307C5">
            <w:pPr>
              <w:jc w:val="center"/>
              <w:rPr>
                <w:color w:val="000000"/>
                <w:sz w:val="20"/>
                <w:szCs w:val="20"/>
              </w:rPr>
            </w:pPr>
            <w:r>
              <w:rPr>
                <w:color w:val="000000"/>
                <w:sz w:val="20"/>
                <w:szCs w:val="20"/>
              </w:rPr>
              <w:t>LK33:05</w:t>
            </w:r>
          </w:p>
        </w:tc>
        <w:tc>
          <w:tcPr>
            <w:tcW w:w="1033" w:type="dxa"/>
            <w:noWrap/>
            <w:vAlign w:val="center"/>
          </w:tcPr>
          <w:p w14:paraId="215DC911">
            <w:pPr>
              <w:jc w:val="center"/>
              <w:rPr>
                <w:color w:val="000000"/>
                <w:sz w:val="20"/>
                <w:szCs w:val="20"/>
              </w:rPr>
            </w:pPr>
            <w:r>
              <w:rPr>
                <w:color w:val="000000"/>
                <w:sz w:val="20"/>
                <w:szCs w:val="20"/>
              </w:rPr>
              <w:t>90,00</w:t>
            </w:r>
          </w:p>
        </w:tc>
        <w:tc>
          <w:tcPr>
            <w:tcW w:w="846" w:type="dxa"/>
            <w:noWrap/>
            <w:vAlign w:val="center"/>
          </w:tcPr>
          <w:p w14:paraId="25F74301">
            <w:pPr>
              <w:jc w:val="center"/>
              <w:rPr>
                <w:color w:val="000000"/>
                <w:sz w:val="20"/>
                <w:szCs w:val="20"/>
              </w:rPr>
            </w:pPr>
            <w:r>
              <w:rPr>
                <w:color w:val="000000"/>
                <w:sz w:val="20"/>
                <w:szCs w:val="20"/>
              </w:rPr>
              <w:t>1</w:t>
            </w:r>
          </w:p>
        </w:tc>
        <w:tc>
          <w:tcPr>
            <w:tcW w:w="2578" w:type="dxa"/>
            <w:noWrap/>
            <w:vAlign w:val="center"/>
          </w:tcPr>
          <w:p w14:paraId="19D24F30">
            <w:pPr>
              <w:jc w:val="center"/>
              <w:rPr>
                <w:color w:val="000000"/>
                <w:sz w:val="20"/>
                <w:szCs w:val="20"/>
              </w:rPr>
            </w:pPr>
            <w:r>
              <w:rPr>
                <w:color w:val="000000"/>
                <w:sz w:val="20"/>
                <w:szCs w:val="20"/>
              </w:rPr>
              <w:t>Mặt cắt 2-2</w:t>
            </w:r>
          </w:p>
        </w:tc>
        <w:tc>
          <w:tcPr>
            <w:tcW w:w="2393" w:type="dxa"/>
            <w:noWrap/>
            <w:vAlign w:val="center"/>
          </w:tcPr>
          <w:p w14:paraId="3434A567">
            <w:pPr>
              <w:jc w:val="center"/>
              <w:rPr>
                <w:color w:val="000000"/>
                <w:sz w:val="20"/>
                <w:szCs w:val="20"/>
              </w:rPr>
            </w:pPr>
            <w:r>
              <w:rPr>
                <w:color w:val="000000"/>
                <w:sz w:val="20"/>
                <w:szCs w:val="20"/>
              </w:rPr>
              <w:t>Một mặt tiền</w:t>
            </w:r>
          </w:p>
        </w:tc>
        <w:tc>
          <w:tcPr>
            <w:tcW w:w="1198" w:type="dxa"/>
            <w:noWrap/>
            <w:vAlign w:val="center"/>
          </w:tcPr>
          <w:p w14:paraId="62BA2666">
            <w:pPr>
              <w:jc w:val="center"/>
              <w:rPr>
                <w:color w:val="000000"/>
                <w:sz w:val="20"/>
                <w:szCs w:val="20"/>
              </w:rPr>
            </w:pPr>
            <w:r>
              <w:rPr>
                <w:color w:val="000000"/>
                <w:sz w:val="20"/>
                <w:szCs w:val="20"/>
              </w:rPr>
              <w:t>10.700.000</w:t>
            </w:r>
          </w:p>
        </w:tc>
        <w:tc>
          <w:tcPr>
            <w:tcW w:w="1236" w:type="dxa"/>
            <w:noWrap/>
            <w:vAlign w:val="center"/>
          </w:tcPr>
          <w:p w14:paraId="1A6009EC">
            <w:pPr>
              <w:jc w:val="center"/>
              <w:rPr>
                <w:color w:val="000000"/>
                <w:sz w:val="20"/>
                <w:szCs w:val="20"/>
              </w:rPr>
            </w:pPr>
            <w:r>
              <w:rPr>
                <w:color w:val="000000"/>
                <w:sz w:val="20"/>
                <w:szCs w:val="20"/>
              </w:rPr>
              <w:t>12.579.000</w:t>
            </w:r>
          </w:p>
        </w:tc>
        <w:tc>
          <w:tcPr>
            <w:tcW w:w="1252" w:type="dxa"/>
            <w:noWrap/>
            <w:vAlign w:val="center"/>
          </w:tcPr>
          <w:p w14:paraId="716967AA">
            <w:pPr>
              <w:jc w:val="center"/>
              <w:rPr>
                <w:color w:val="000000"/>
                <w:sz w:val="20"/>
                <w:szCs w:val="20"/>
              </w:rPr>
            </w:pPr>
            <w:r>
              <w:rPr>
                <w:color w:val="000000"/>
                <w:sz w:val="20"/>
                <w:szCs w:val="20"/>
              </w:rPr>
              <w:t>23.279.000</w:t>
            </w:r>
          </w:p>
        </w:tc>
        <w:tc>
          <w:tcPr>
            <w:tcW w:w="1848" w:type="dxa"/>
            <w:noWrap/>
            <w:vAlign w:val="center"/>
          </w:tcPr>
          <w:p w14:paraId="73BAE927">
            <w:pPr>
              <w:jc w:val="center"/>
              <w:rPr>
                <w:color w:val="000000"/>
                <w:sz w:val="20"/>
                <w:szCs w:val="20"/>
              </w:rPr>
            </w:pPr>
            <w:r>
              <w:rPr>
                <w:color w:val="000000"/>
                <w:sz w:val="20"/>
                <w:szCs w:val="20"/>
              </w:rPr>
              <w:t>2.095.110.000</w:t>
            </w:r>
          </w:p>
        </w:tc>
      </w:tr>
      <w:tr w14:paraId="62C2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F8FF9D8">
            <w:pPr>
              <w:jc w:val="center"/>
              <w:rPr>
                <w:b/>
                <w:bCs/>
                <w:color w:val="000000"/>
                <w:sz w:val="20"/>
                <w:szCs w:val="20"/>
              </w:rPr>
            </w:pPr>
            <w:r>
              <w:rPr>
                <w:b/>
                <w:bCs/>
                <w:color w:val="000000"/>
                <w:sz w:val="20"/>
                <w:szCs w:val="20"/>
              </w:rPr>
              <w:t>LK33</w:t>
            </w:r>
          </w:p>
        </w:tc>
        <w:tc>
          <w:tcPr>
            <w:tcW w:w="1802" w:type="dxa"/>
            <w:vAlign w:val="center"/>
          </w:tcPr>
          <w:p w14:paraId="0170B986">
            <w:pPr>
              <w:jc w:val="center"/>
              <w:rPr>
                <w:color w:val="000000"/>
                <w:sz w:val="20"/>
                <w:szCs w:val="20"/>
              </w:rPr>
            </w:pPr>
            <w:r>
              <w:rPr>
                <w:color w:val="000000"/>
                <w:sz w:val="20"/>
                <w:szCs w:val="20"/>
              </w:rPr>
              <w:t>LK33:06</w:t>
            </w:r>
          </w:p>
        </w:tc>
        <w:tc>
          <w:tcPr>
            <w:tcW w:w="1033" w:type="dxa"/>
            <w:noWrap/>
            <w:vAlign w:val="center"/>
          </w:tcPr>
          <w:p w14:paraId="5C8A0C70">
            <w:pPr>
              <w:jc w:val="center"/>
              <w:rPr>
                <w:color w:val="000000"/>
                <w:sz w:val="20"/>
                <w:szCs w:val="20"/>
              </w:rPr>
            </w:pPr>
            <w:r>
              <w:rPr>
                <w:color w:val="000000"/>
                <w:sz w:val="20"/>
                <w:szCs w:val="20"/>
              </w:rPr>
              <w:t>90,00</w:t>
            </w:r>
          </w:p>
        </w:tc>
        <w:tc>
          <w:tcPr>
            <w:tcW w:w="846" w:type="dxa"/>
            <w:noWrap/>
            <w:vAlign w:val="center"/>
          </w:tcPr>
          <w:p w14:paraId="370C1ED3">
            <w:pPr>
              <w:jc w:val="center"/>
              <w:rPr>
                <w:color w:val="000000"/>
                <w:sz w:val="20"/>
                <w:szCs w:val="20"/>
              </w:rPr>
            </w:pPr>
            <w:r>
              <w:rPr>
                <w:color w:val="000000"/>
                <w:sz w:val="20"/>
                <w:szCs w:val="20"/>
              </w:rPr>
              <w:t>1</w:t>
            </w:r>
          </w:p>
        </w:tc>
        <w:tc>
          <w:tcPr>
            <w:tcW w:w="2578" w:type="dxa"/>
            <w:noWrap/>
            <w:vAlign w:val="center"/>
          </w:tcPr>
          <w:p w14:paraId="67074670">
            <w:pPr>
              <w:jc w:val="center"/>
              <w:rPr>
                <w:color w:val="000000"/>
                <w:sz w:val="20"/>
                <w:szCs w:val="20"/>
              </w:rPr>
            </w:pPr>
            <w:r>
              <w:rPr>
                <w:color w:val="000000"/>
                <w:sz w:val="20"/>
                <w:szCs w:val="20"/>
              </w:rPr>
              <w:t>Mặt cắt 2-2</w:t>
            </w:r>
          </w:p>
        </w:tc>
        <w:tc>
          <w:tcPr>
            <w:tcW w:w="2393" w:type="dxa"/>
            <w:noWrap/>
            <w:vAlign w:val="center"/>
          </w:tcPr>
          <w:p w14:paraId="1D2622F6">
            <w:pPr>
              <w:jc w:val="center"/>
              <w:rPr>
                <w:color w:val="000000"/>
                <w:sz w:val="20"/>
                <w:szCs w:val="20"/>
              </w:rPr>
            </w:pPr>
            <w:r>
              <w:rPr>
                <w:color w:val="000000"/>
                <w:sz w:val="20"/>
                <w:szCs w:val="20"/>
              </w:rPr>
              <w:t>Một mặt tiền</w:t>
            </w:r>
          </w:p>
        </w:tc>
        <w:tc>
          <w:tcPr>
            <w:tcW w:w="1198" w:type="dxa"/>
            <w:noWrap/>
            <w:vAlign w:val="center"/>
          </w:tcPr>
          <w:p w14:paraId="5B17FCE6">
            <w:pPr>
              <w:jc w:val="center"/>
              <w:rPr>
                <w:color w:val="000000"/>
                <w:sz w:val="20"/>
                <w:szCs w:val="20"/>
              </w:rPr>
            </w:pPr>
            <w:r>
              <w:rPr>
                <w:color w:val="000000"/>
                <w:sz w:val="20"/>
                <w:szCs w:val="20"/>
              </w:rPr>
              <w:t>10.700.000</w:t>
            </w:r>
          </w:p>
        </w:tc>
        <w:tc>
          <w:tcPr>
            <w:tcW w:w="1236" w:type="dxa"/>
            <w:noWrap/>
            <w:vAlign w:val="center"/>
          </w:tcPr>
          <w:p w14:paraId="424DF2F9">
            <w:pPr>
              <w:jc w:val="center"/>
              <w:rPr>
                <w:color w:val="000000"/>
                <w:sz w:val="20"/>
                <w:szCs w:val="20"/>
              </w:rPr>
            </w:pPr>
            <w:r>
              <w:rPr>
                <w:color w:val="000000"/>
                <w:sz w:val="20"/>
                <w:szCs w:val="20"/>
              </w:rPr>
              <w:t>12.579.000</w:t>
            </w:r>
          </w:p>
        </w:tc>
        <w:tc>
          <w:tcPr>
            <w:tcW w:w="1252" w:type="dxa"/>
            <w:noWrap/>
            <w:vAlign w:val="center"/>
          </w:tcPr>
          <w:p w14:paraId="436F181E">
            <w:pPr>
              <w:jc w:val="center"/>
              <w:rPr>
                <w:color w:val="000000"/>
                <w:sz w:val="20"/>
                <w:szCs w:val="20"/>
              </w:rPr>
            </w:pPr>
            <w:r>
              <w:rPr>
                <w:color w:val="000000"/>
                <w:sz w:val="20"/>
                <w:szCs w:val="20"/>
              </w:rPr>
              <w:t>23.279.000</w:t>
            </w:r>
          </w:p>
        </w:tc>
        <w:tc>
          <w:tcPr>
            <w:tcW w:w="1848" w:type="dxa"/>
            <w:noWrap/>
            <w:vAlign w:val="center"/>
          </w:tcPr>
          <w:p w14:paraId="17FD12B0">
            <w:pPr>
              <w:jc w:val="center"/>
              <w:rPr>
                <w:color w:val="000000"/>
                <w:sz w:val="20"/>
                <w:szCs w:val="20"/>
              </w:rPr>
            </w:pPr>
            <w:r>
              <w:rPr>
                <w:color w:val="000000"/>
                <w:sz w:val="20"/>
                <w:szCs w:val="20"/>
              </w:rPr>
              <w:t>2.095.110.000</w:t>
            </w:r>
          </w:p>
        </w:tc>
      </w:tr>
      <w:tr w14:paraId="0114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20BFB6D">
            <w:pPr>
              <w:jc w:val="center"/>
              <w:rPr>
                <w:b/>
                <w:bCs/>
                <w:color w:val="000000"/>
                <w:sz w:val="20"/>
                <w:szCs w:val="20"/>
              </w:rPr>
            </w:pPr>
            <w:r>
              <w:rPr>
                <w:b/>
                <w:bCs/>
                <w:color w:val="000000"/>
                <w:sz w:val="20"/>
                <w:szCs w:val="20"/>
              </w:rPr>
              <w:t>LK33</w:t>
            </w:r>
          </w:p>
        </w:tc>
        <w:tc>
          <w:tcPr>
            <w:tcW w:w="1802" w:type="dxa"/>
            <w:vAlign w:val="center"/>
          </w:tcPr>
          <w:p w14:paraId="00B95C91">
            <w:pPr>
              <w:jc w:val="center"/>
              <w:rPr>
                <w:color w:val="000000"/>
                <w:sz w:val="20"/>
                <w:szCs w:val="20"/>
              </w:rPr>
            </w:pPr>
            <w:r>
              <w:rPr>
                <w:color w:val="000000"/>
                <w:sz w:val="20"/>
                <w:szCs w:val="20"/>
              </w:rPr>
              <w:t>LK33:07</w:t>
            </w:r>
          </w:p>
        </w:tc>
        <w:tc>
          <w:tcPr>
            <w:tcW w:w="1033" w:type="dxa"/>
            <w:noWrap/>
            <w:vAlign w:val="center"/>
          </w:tcPr>
          <w:p w14:paraId="6220E397">
            <w:pPr>
              <w:jc w:val="center"/>
              <w:rPr>
                <w:color w:val="000000"/>
                <w:sz w:val="20"/>
                <w:szCs w:val="20"/>
              </w:rPr>
            </w:pPr>
            <w:r>
              <w:rPr>
                <w:color w:val="000000"/>
                <w:sz w:val="20"/>
                <w:szCs w:val="20"/>
              </w:rPr>
              <w:t>90,00</w:t>
            </w:r>
          </w:p>
        </w:tc>
        <w:tc>
          <w:tcPr>
            <w:tcW w:w="846" w:type="dxa"/>
            <w:noWrap/>
            <w:vAlign w:val="center"/>
          </w:tcPr>
          <w:p w14:paraId="22C80B8C">
            <w:pPr>
              <w:jc w:val="center"/>
              <w:rPr>
                <w:color w:val="000000"/>
                <w:sz w:val="20"/>
                <w:szCs w:val="20"/>
              </w:rPr>
            </w:pPr>
            <w:r>
              <w:rPr>
                <w:color w:val="000000"/>
                <w:sz w:val="20"/>
                <w:szCs w:val="20"/>
              </w:rPr>
              <w:t>1</w:t>
            </w:r>
          </w:p>
        </w:tc>
        <w:tc>
          <w:tcPr>
            <w:tcW w:w="2578" w:type="dxa"/>
            <w:noWrap/>
            <w:vAlign w:val="center"/>
          </w:tcPr>
          <w:p w14:paraId="6F6FCA2E">
            <w:pPr>
              <w:jc w:val="center"/>
              <w:rPr>
                <w:color w:val="000000"/>
                <w:sz w:val="20"/>
                <w:szCs w:val="20"/>
              </w:rPr>
            </w:pPr>
            <w:r>
              <w:rPr>
                <w:color w:val="000000"/>
                <w:sz w:val="20"/>
                <w:szCs w:val="20"/>
              </w:rPr>
              <w:t>Mặt cắt 2-2</w:t>
            </w:r>
          </w:p>
        </w:tc>
        <w:tc>
          <w:tcPr>
            <w:tcW w:w="2393" w:type="dxa"/>
            <w:noWrap/>
            <w:vAlign w:val="center"/>
          </w:tcPr>
          <w:p w14:paraId="2EAC3C20">
            <w:pPr>
              <w:jc w:val="center"/>
              <w:rPr>
                <w:color w:val="000000"/>
                <w:sz w:val="20"/>
                <w:szCs w:val="20"/>
              </w:rPr>
            </w:pPr>
            <w:r>
              <w:rPr>
                <w:color w:val="000000"/>
                <w:sz w:val="20"/>
                <w:szCs w:val="20"/>
              </w:rPr>
              <w:t>Một mặt tiền</w:t>
            </w:r>
          </w:p>
        </w:tc>
        <w:tc>
          <w:tcPr>
            <w:tcW w:w="1198" w:type="dxa"/>
            <w:noWrap/>
            <w:vAlign w:val="center"/>
          </w:tcPr>
          <w:p w14:paraId="208B6361">
            <w:pPr>
              <w:jc w:val="center"/>
              <w:rPr>
                <w:color w:val="000000"/>
                <w:sz w:val="20"/>
                <w:szCs w:val="20"/>
              </w:rPr>
            </w:pPr>
            <w:r>
              <w:rPr>
                <w:color w:val="000000"/>
                <w:sz w:val="20"/>
                <w:szCs w:val="20"/>
              </w:rPr>
              <w:t>10.700.000</w:t>
            </w:r>
          </w:p>
        </w:tc>
        <w:tc>
          <w:tcPr>
            <w:tcW w:w="1236" w:type="dxa"/>
            <w:noWrap/>
            <w:vAlign w:val="center"/>
          </w:tcPr>
          <w:p w14:paraId="1E704C38">
            <w:pPr>
              <w:jc w:val="center"/>
              <w:rPr>
                <w:color w:val="000000"/>
                <w:sz w:val="20"/>
                <w:szCs w:val="20"/>
              </w:rPr>
            </w:pPr>
            <w:r>
              <w:rPr>
                <w:color w:val="000000"/>
                <w:sz w:val="20"/>
                <w:szCs w:val="20"/>
              </w:rPr>
              <w:t>12.579.000</w:t>
            </w:r>
          </w:p>
        </w:tc>
        <w:tc>
          <w:tcPr>
            <w:tcW w:w="1252" w:type="dxa"/>
            <w:noWrap/>
            <w:vAlign w:val="center"/>
          </w:tcPr>
          <w:p w14:paraId="5528BADD">
            <w:pPr>
              <w:jc w:val="center"/>
              <w:rPr>
                <w:color w:val="000000"/>
                <w:sz w:val="20"/>
                <w:szCs w:val="20"/>
              </w:rPr>
            </w:pPr>
            <w:r>
              <w:rPr>
                <w:color w:val="000000"/>
                <w:sz w:val="20"/>
                <w:szCs w:val="20"/>
              </w:rPr>
              <w:t>23.279.000</w:t>
            </w:r>
          </w:p>
        </w:tc>
        <w:tc>
          <w:tcPr>
            <w:tcW w:w="1848" w:type="dxa"/>
            <w:noWrap/>
            <w:vAlign w:val="center"/>
          </w:tcPr>
          <w:p w14:paraId="169584CF">
            <w:pPr>
              <w:jc w:val="center"/>
              <w:rPr>
                <w:color w:val="000000"/>
                <w:sz w:val="20"/>
                <w:szCs w:val="20"/>
              </w:rPr>
            </w:pPr>
            <w:r>
              <w:rPr>
                <w:color w:val="000000"/>
                <w:sz w:val="20"/>
                <w:szCs w:val="20"/>
              </w:rPr>
              <w:t>2.095.110.000</w:t>
            </w:r>
          </w:p>
        </w:tc>
      </w:tr>
      <w:tr w14:paraId="7326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09041C4">
            <w:pPr>
              <w:jc w:val="center"/>
              <w:rPr>
                <w:b/>
                <w:bCs/>
                <w:color w:val="000000"/>
                <w:sz w:val="20"/>
                <w:szCs w:val="20"/>
              </w:rPr>
            </w:pPr>
            <w:r>
              <w:rPr>
                <w:b/>
                <w:bCs/>
                <w:color w:val="000000"/>
                <w:sz w:val="20"/>
                <w:szCs w:val="20"/>
              </w:rPr>
              <w:t>LK33</w:t>
            </w:r>
          </w:p>
        </w:tc>
        <w:tc>
          <w:tcPr>
            <w:tcW w:w="1802" w:type="dxa"/>
            <w:vAlign w:val="center"/>
          </w:tcPr>
          <w:p w14:paraId="0937AFD5">
            <w:pPr>
              <w:jc w:val="center"/>
              <w:rPr>
                <w:color w:val="000000"/>
                <w:sz w:val="20"/>
                <w:szCs w:val="20"/>
              </w:rPr>
            </w:pPr>
            <w:r>
              <w:rPr>
                <w:color w:val="000000"/>
                <w:sz w:val="20"/>
                <w:szCs w:val="20"/>
              </w:rPr>
              <w:t>LK33:08</w:t>
            </w:r>
          </w:p>
        </w:tc>
        <w:tc>
          <w:tcPr>
            <w:tcW w:w="1033" w:type="dxa"/>
            <w:noWrap/>
            <w:vAlign w:val="center"/>
          </w:tcPr>
          <w:p w14:paraId="38614320">
            <w:pPr>
              <w:jc w:val="center"/>
              <w:rPr>
                <w:color w:val="000000"/>
                <w:sz w:val="20"/>
                <w:szCs w:val="20"/>
              </w:rPr>
            </w:pPr>
            <w:r>
              <w:rPr>
                <w:color w:val="000000"/>
                <w:sz w:val="20"/>
                <w:szCs w:val="20"/>
              </w:rPr>
              <w:t>90,00</w:t>
            </w:r>
          </w:p>
        </w:tc>
        <w:tc>
          <w:tcPr>
            <w:tcW w:w="846" w:type="dxa"/>
            <w:noWrap/>
            <w:vAlign w:val="center"/>
          </w:tcPr>
          <w:p w14:paraId="0659026D">
            <w:pPr>
              <w:jc w:val="center"/>
              <w:rPr>
                <w:color w:val="000000"/>
                <w:sz w:val="20"/>
                <w:szCs w:val="20"/>
              </w:rPr>
            </w:pPr>
            <w:r>
              <w:rPr>
                <w:color w:val="000000"/>
                <w:sz w:val="20"/>
                <w:szCs w:val="20"/>
              </w:rPr>
              <w:t>1</w:t>
            </w:r>
          </w:p>
        </w:tc>
        <w:tc>
          <w:tcPr>
            <w:tcW w:w="2578" w:type="dxa"/>
            <w:noWrap/>
            <w:vAlign w:val="center"/>
          </w:tcPr>
          <w:p w14:paraId="1FBEB8A9">
            <w:pPr>
              <w:jc w:val="center"/>
              <w:rPr>
                <w:color w:val="000000"/>
                <w:sz w:val="20"/>
                <w:szCs w:val="20"/>
              </w:rPr>
            </w:pPr>
            <w:r>
              <w:rPr>
                <w:color w:val="000000"/>
                <w:sz w:val="20"/>
                <w:szCs w:val="20"/>
              </w:rPr>
              <w:t>Mặt cắt 2-2</w:t>
            </w:r>
          </w:p>
        </w:tc>
        <w:tc>
          <w:tcPr>
            <w:tcW w:w="2393" w:type="dxa"/>
            <w:noWrap/>
            <w:vAlign w:val="center"/>
          </w:tcPr>
          <w:p w14:paraId="72BEF38C">
            <w:pPr>
              <w:jc w:val="center"/>
              <w:rPr>
                <w:color w:val="000000"/>
                <w:sz w:val="20"/>
                <w:szCs w:val="20"/>
              </w:rPr>
            </w:pPr>
            <w:r>
              <w:rPr>
                <w:color w:val="000000"/>
                <w:sz w:val="20"/>
                <w:szCs w:val="20"/>
              </w:rPr>
              <w:t>Một mặt tiền</w:t>
            </w:r>
          </w:p>
        </w:tc>
        <w:tc>
          <w:tcPr>
            <w:tcW w:w="1198" w:type="dxa"/>
            <w:noWrap/>
            <w:vAlign w:val="center"/>
          </w:tcPr>
          <w:p w14:paraId="22923EFE">
            <w:pPr>
              <w:jc w:val="center"/>
              <w:rPr>
                <w:color w:val="000000"/>
                <w:sz w:val="20"/>
                <w:szCs w:val="20"/>
              </w:rPr>
            </w:pPr>
            <w:r>
              <w:rPr>
                <w:color w:val="000000"/>
                <w:sz w:val="20"/>
                <w:szCs w:val="20"/>
              </w:rPr>
              <w:t>10.700.000</w:t>
            </w:r>
          </w:p>
        </w:tc>
        <w:tc>
          <w:tcPr>
            <w:tcW w:w="1236" w:type="dxa"/>
            <w:noWrap/>
            <w:vAlign w:val="center"/>
          </w:tcPr>
          <w:p w14:paraId="5F8756EF">
            <w:pPr>
              <w:jc w:val="center"/>
              <w:rPr>
                <w:color w:val="000000"/>
                <w:sz w:val="20"/>
                <w:szCs w:val="20"/>
              </w:rPr>
            </w:pPr>
            <w:r>
              <w:rPr>
                <w:color w:val="000000"/>
                <w:sz w:val="20"/>
                <w:szCs w:val="20"/>
              </w:rPr>
              <w:t>12.579.000</w:t>
            </w:r>
          </w:p>
        </w:tc>
        <w:tc>
          <w:tcPr>
            <w:tcW w:w="1252" w:type="dxa"/>
            <w:noWrap/>
            <w:vAlign w:val="center"/>
          </w:tcPr>
          <w:p w14:paraId="661F05A9">
            <w:pPr>
              <w:jc w:val="center"/>
              <w:rPr>
                <w:color w:val="000000"/>
                <w:sz w:val="20"/>
                <w:szCs w:val="20"/>
              </w:rPr>
            </w:pPr>
            <w:r>
              <w:rPr>
                <w:color w:val="000000"/>
                <w:sz w:val="20"/>
                <w:szCs w:val="20"/>
              </w:rPr>
              <w:t>23.279.000</w:t>
            </w:r>
          </w:p>
        </w:tc>
        <w:tc>
          <w:tcPr>
            <w:tcW w:w="1848" w:type="dxa"/>
            <w:noWrap/>
            <w:vAlign w:val="center"/>
          </w:tcPr>
          <w:p w14:paraId="4F290161">
            <w:pPr>
              <w:jc w:val="center"/>
              <w:rPr>
                <w:color w:val="000000"/>
                <w:sz w:val="20"/>
                <w:szCs w:val="20"/>
              </w:rPr>
            </w:pPr>
            <w:r>
              <w:rPr>
                <w:color w:val="000000"/>
                <w:sz w:val="20"/>
                <w:szCs w:val="20"/>
              </w:rPr>
              <w:t>2.095.110.000</w:t>
            </w:r>
          </w:p>
        </w:tc>
      </w:tr>
      <w:tr w14:paraId="0672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307D564">
            <w:pPr>
              <w:jc w:val="center"/>
              <w:rPr>
                <w:b/>
                <w:bCs/>
                <w:color w:val="000000"/>
                <w:sz w:val="20"/>
                <w:szCs w:val="20"/>
              </w:rPr>
            </w:pPr>
            <w:r>
              <w:rPr>
                <w:b/>
                <w:bCs/>
                <w:color w:val="000000"/>
                <w:sz w:val="20"/>
                <w:szCs w:val="20"/>
              </w:rPr>
              <w:t>LK33</w:t>
            </w:r>
          </w:p>
        </w:tc>
        <w:tc>
          <w:tcPr>
            <w:tcW w:w="1802" w:type="dxa"/>
            <w:vAlign w:val="center"/>
          </w:tcPr>
          <w:p w14:paraId="4E923B5D">
            <w:pPr>
              <w:jc w:val="center"/>
              <w:rPr>
                <w:color w:val="000000"/>
                <w:sz w:val="20"/>
                <w:szCs w:val="20"/>
              </w:rPr>
            </w:pPr>
            <w:r>
              <w:rPr>
                <w:color w:val="000000"/>
                <w:sz w:val="20"/>
                <w:szCs w:val="20"/>
              </w:rPr>
              <w:t>LK33:09</w:t>
            </w:r>
          </w:p>
        </w:tc>
        <w:tc>
          <w:tcPr>
            <w:tcW w:w="1033" w:type="dxa"/>
            <w:noWrap/>
            <w:vAlign w:val="center"/>
          </w:tcPr>
          <w:p w14:paraId="5AFC370D">
            <w:pPr>
              <w:jc w:val="center"/>
              <w:rPr>
                <w:color w:val="000000"/>
                <w:sz w:val="20"/>
                <w:szCs w:val="20"/>
              </w:rPr>
            </w:pPr>
            <w:r>
              <w:rPr>
                <w:color w:val="000000"/>
                <w:sz w:val="20"/>
                <w:szCs w:val="20"/>
              </w:rPr>
              <w:t>90,00</w:t>
            </w:r>
          </w:p>
        </w:tc>
        <w:tc>
          <w:tcPr>
            <w:tcW w:w="846" w:type="dxa"/>
            <w:noWrap/>
            <w:vAlign w:val="center"/>
          </w:tcPr>
          <w:p w14:paraId="18D8C684">
            <w:pPr>
              <w:jc w:val="center"/>
              <w:rPr>
                <w:color w:val="000000"/>
                <w:sz w:val="20"/>
                <w:szCs w:val="20"/>
              </w:rPr>
            </w:pPr>
            <w:r>
              <w:rPr>
                <w:color w:val="000000"/>
                <w:sz w:val="20"/>
                <w:szCs w:val="20"/>
              </w:rPr>
              <w:t>1</w:t>
            </w:r>
          </w:p>
        </w:tc>
        <w:tc>
          <w:tcPr>
            <w:tcW w:w="2578" w:type="dxa"/>
            <w:noWrap/>
            <w:vAlign w:val="center"/>
          </w:tcPr>
          <w:p w14:paraId="4F4472CB">
            <w:pPr>
              <w:jc w:val="center"/>
              <w:rPr>
                <w:color w:val="000000"/>
                <w:sz w:val="20"/>
                <w:szCs w:val="20"/>
              </w:rPr>
            </w:pPr>
            <w:r>
              <w:rPr>
                <w:color w:val="000000"/>
                <w:sz w:val="20"/>
                <w:szCs w:val="20"/>
              </w:rPr>
              <w:t>Mặt cắt 2-2</w:t>
            </w:r>
          </w:p>
        </w:tc>
        <w:tc>
          <w:tcPr>
            <w:tcW w:w="2393" w:type="dxa"/>
            <w:noWrap/>
            <w:vAlign w:val="center"/>
          </w:tcPr>
          <w:p w14:paraId="0FF4C278">
            <w:pPr>
              <w:jc w:val="center"/>
              <w:rPr>
                <w:color w:val="000000"/>
                <w:sz w:val="20"/>
                <w:szCs w:val="20"/>
              </w:rPr>
            </w:pPr>
            <w:r>
              <w:rPr>
                <w:color w:val="000000"/>
                <w:sz w:val="20"/>
                <w:szCs w:val="20"/>
              </w:rPr>
              <w:t>Một mặt tiền</w:t>
            </w:r>
          </w:p>
        </w:tc>
        <w:tc>
          <w:tcPr>
            <w:tcW w:w="1198" w:type="dxa"/>
            <w:noWrap/>
            <w:vAlign w:val="center"/>
          </w:tcPr>
          <w:p w14:paraId="3BD53E93">
            <w:pPr>
              <w:jc w:val="center"/>
              <w:rPr>
                <w:color w:val="000000"/>
                <w:sz w:val="20"/>
                <w:szCs w:val="20"/>
              </w:rPr>
            </w:pPr>
            <w:r>
              <w:rPr>
                <w:color w:val="000000"/>
                <w:sz w:val="20"/>
                <w:szCs w:val="20"/>
              </w:rPr>
              <w:t>10.700.000</w:t>
            </w:r>
          </w:p>
        </w:tc>
        <w:tc>
          <w:tcPr>
            <w:tcW w:w="1236" w:type="dxa"/>
            <w:noWrap/>
            <w:vAlign w:val="center"/>
          </w:tcPr>
          <w:p w14:paraId="7ECE6417">
            <w:pPr>
              <w:jc w:val="center"/>
              <w:rPr>
                <w:color w:val="000000"/>
                <w:sz w:val="20"/>
                <w:szCs w:val="20"/>
              </w:rPr>
            </w:pPr>
            <w:r>
              <w:rPr>
                <w:color w:val="000000"/>
                <w:sz w:val="20"/>
                <w:szCs w:val="20"/>
              </w:rPr>
              <w:t>12.579.000</w:t>
            </w:r>
          </w:p>
        </w:tc>
        <w:tc>
          <w:tcPr>
            <w:tcW w:w="1252" w:type="dxa"/>
            <w:noWrap/>
            <w:vAlign w:val="center"/>
          </w:tcPr>
          <w:p w14:paraId="4EE2CCA0">
            <w:pPr>
              <w:jc w:val="center"/>
              <w:rPr>
                <w:color w:val="000000"/>
                <w:sz w:val="20"/>
                <w:szCs w:val="20"/>
              </w:rPr>
            </w:pPr>
            <w:r>
              <w:rPr>
                <w:color w:val="000000"/>
                <w:sz w:val="20"/>
                <w:szCs w:val="20"/>
              </w:rPr>
              <w:t>23.279.000</w:t>
            </w:r>
          </w:p>
        </w:tc>
        <w:tc>
          <w:tcPr>
            <w:tcW w:w="1848" w:type="dxa"/>
            <w:noWrap/>
            <w:vAlign w:val="center"/>
          </w:tcPr>
          <w:p w14:paraId="6DD10325">
            <w:pPr>
              <w:jc w:val="center"/>
              <w:rPr>
                <w:color w:val="000000"/>
                <w:sz w:val="20"/>
                <w:szCs w:val="20"/>
              </w:rPr>
            </w:pPr>
            <w:r>
              <w:rPr>
                <w:color w:val="000000"/>
                <w:sz w:val="20"/>
                <w:szCs w:val="20"/>
              </w:rPr>
              <w:t>2.095.110.000</w:t>
            </w:r>
          </w:p>
        </w:tc>
      </w:tr>
      <w:tr w14:paraId="2810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2BD34F7">
            <w:pPr>
              <w:jc w:val="center"/>
              <w:rPr>
                <w:b/>
                <w:bCs/>
                <w:color w:val="000000"/>
                <w:sz w:val="20"/>
                <w:szCs w:val="20"/>
              </w:rPr>
            </w:pPr>
            <w:r>
              <w:rPr>
                <w:b/>
                <w:bCs/>
                <w:color w:val="000000"/>
                <w:sz w:val="20"/>
                <w:szCs w:val="20"/>
              </w:rPr>
              <w:t>LK33</w:t>
            </w:r>
          </w:p>
        </w:tc>
        <w:tc>
          <w:tcPr>
            <w:tcW w:w="1802" w:type="dxa"/>
            <w:vAlign w:val="center"/>
          </w:tcPr>
          <w:p w14:paraId="5FA5D713">
            <w:pPr>
              <w:jc w:val="center"/>
              <w:rPr>
                <w:color w:val="000000"/>
                <w:sz w:val="20"/>
                <w:szCs w:val="20"/>
              </w:rPr>
            </w:pPr>
            <w:r>
              <w:rPr>
                <w:color w:val="000000"/>
                <w:sz w:val="20"/>
                <w:szCs w:val="20"/>
              </w:rPr>
              <w:t>LK33:10</w:t>
            </w:r>
          </w:p>
        </w:tc>
        <w:tc>
          <w:tcPr>
            <w:tcW w:w="1033" w:type="dxa"/>
            <w:noWrap/>
            <w:vAlign w:val="center"/>
          </w:tcPr>
          <w:p w14:paraId="7838CABE">
            <w:pPr>
              <w:jc w:val="center"/>
              <w:rPr>
                <w:color w:val="000000"/>
                <w:sz w:val="20"/>
                <w:szCs w:val="20"/>
              </w:rPr>
            </w:pPr>
            <w:r>
              <w:rPr>
                <w:color w:val="000000"/>
                <w:sz w:val="20"/>
                <w:szCs w:val="20"/>
              </w:rPr>
              <w:t>90,00</w:t>
            </w:r>
          </w:p>
        </w:tc>
        <w:tc>
          <w:tcPr>
            <w:tcW w:w="846" w:type="dxa"/>
            <w:noWrap/>
            <w:vAlign w:val="center"/>
          </w:tcPr>
          <w:p w14:paraId="35C6C8DF">
            <w:pPr>
              <w:jc w:val="center"/>
              <w:rPr>
                <w:color w:val="000000"/>
                <w:sz w:val="20"/>
                <w:szCs w:val="20"/>
              </w:rPr>
            </w:pPr>
            <w:r>
              <w:rPr>
                <w:color w:val="000000"/>
                <w:sz w:val="20"/>
                <w:szCs w:val="20"/>
              </w:rPr>
              <w:t>1</w:t>
            </w:r>
          </w:p>
        </w:tc>
        <w:tc>
          <w:tcPr>
            <w:tcW w:w="2578" w:type="dxa"/>
            <w:noWrap/>
            <w:vAlign w:val="center"/>
          </w:tcPr>
          <w:p w14:paraId="2614D194">
            <w:pPr>
              <w:jc w:val="center"/>
              <w:rPr>
                <w:color w:val="000000"/>
                <w:sz w:val="20"/>
                <w:szCs w:val="20"/>
              </w:rPr>
            </w:pPr>
            <w:r>
              <w:rPr>
                <w:color w:val="000000"/>
                <w:sz w:val="20"/>
                <w:szCs w:val="20"/>
              </w:rPr>
              <w:t>Mặt cắt 2-2</w:t>
            </w:r>
          </w:p>
        </w:tc>
        <w:tc>
          <w:tcPr>
            <w:tcW w:w="2393" w:type="dxa"/>
            <w:noWrap/>
            <w:vAlign w:val="center"/>
          </w:tcPr>
          <w:p w14:paraId="07B8E7F2">
            <w:pPr>
              <w:jc w:val="center"/>
              <w:rPr>
                <w:color w:val="000000"/>
                <w:sz w:val="20"/>
                <w:szCs w:val="20"/>
              </w:rPr>
            </w:pPr>
            <w:r>
              <w:rPr>
                <w:color w:val="000000"/>
                <w:sz w:val="20"/>
                <w:szCs w:val="20"/>
              </w:rPr>
              <w:t>Một mặt tiền</w:t>
            </w:r>
          </w:p>
        </w:tc>
        <w:tc>
          <w:tcPr>
            <w:tcW w:w="1198" w:type="dxa"/>
            <w:noWrap/>
            <w:vAlign w:val="center"/>
          </w:tcPr>
          <w:p w14:paraId="5BA6E5D6">
            <w:pPr>
              <w:jc w:val="center"/>
              <w:rPr>
                <w:color w:val="000000"/>
                <w:sz w:val="20"/>
                <w:szCs w:val="20"/>
              </w:rPr>
            </w:pPr>
            <w:r>
              <w:rPr>
                <w:color w:val="000000"/>
                <w:sz w:val="20"/>
                <w:szCs w:val="20"/>
              </w:rPr>
              <w:t>10.700.000</w:t>
            </w:r>
          </w:p>
        </w:tc>
        <w:tc>
          <w:tcPr>
            <w:tcW w:w="1236" w:type="dxa"/>
            <w:noWrap/>
            <w:vAlign w:val="center"/>
          </w:tcPr>
          <w:p w14:paraId="2CCC220D">
            <w:pPr>
              <w:jc w:val="center"/>
              <w:rPr>
                <w:color w:val="000000"/>
                <w:sz w:val="20"/>
                <w:szCs w:val="20"/>
              </w:rPr>
            </w:pPr>
            <w:r>
              <w:rPr>
                <w:color w:val="000000"/>
                <w:sz w:val="20"/>
                <w:szCs w:val="20"/>
              </w:rPr>
              <w:t>12.579.000</w:t>
            </w:r>
          </w:p>
        </w:tc>
        <w:tc>
          <w:tcPr>
            <w:tcW w:w="1252" w:type="dxa"/>
            <w:noWrap/>
            <w:vAlign w:val="center"/>
          </w:tcPr>
          <w:p w14:paraId="2E43285D">
            <w:pPr>
              <w:jc w:val="center"/>
              <w:rPr>
                <w:color w:val="000000"/>
                <w:sz w:val="20"/>
                <w:szCs w:val="20"/>
              </w:rPr>
            </w:pPr>
            <w:r>
              <w:rPr>
                <w:color w:val="000000"/>
                <w:sz w:val="20"/>
                <w:szCs w:val="20"/>
              </w:rPr>
              <w:t>23.279.000</w:t>
            </w:r>
          </w:p>
        </w:tc>
        <w:tc>
          <w:tcPr>
            <w:tcW w:w="1848" w:type="dxa"/>
            <w:noWrap/>
            <w:vAlign w:val="center"/>
          </w:tcPr>
          <w:p w14:paraId="617030E1">
            <w:pPr>
              <w:jc w:val="center"/>
              <w:rPr>
                <w:color w:val="000000"/>
                <w:sz w:val="20"/>
                <w:szCs w:val="20"/>
              </w:rPr>
            </w:pPr>
            <w:r>
              <w:rPr>
                <w:color w:val="000000"/>
                <w:sz w:val="20"/>
                <w:szCs w:val="20"/>
              </w:rPr>
              <w:t>2.095.110.000</w:t>
            </w:r>
          </w:p>
        </w:tc>
      </w:tr>
      <w:tr w14:paraId="3878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B750148">
            <w:pPr>
              <w:jc w:val="center"/>
              <w:rPr>
                <w:b/>
                <w:bCs/>
                <w:color w:val="000000"/>
                <w:sz w:val="20"/>
                <w:szCs w:val="20"/>
              </w:rPr>
            </w:pPr>
            <w:r>
              <w:rPr>
                <w:b/>
                <w:bCs/>
                <w:color w:val="000000"/>
                <w:sz w:val="20"/>
                <w:szCs w:val="20"/>
              </w:rPr>
              <w:t>LK35</w:t>
            </w:r>
          </w:p>
        </w:tc>
        <w:tc>
          <w:tcPr>
            <w:tcW w:w="1802" w:type="dxa"/>
            <w:vAlign w:val="center"/>
          </w:tcPr>
          <w:p w14:paraId="22BEEB1E">
            <w:pPr>
              <w:jc w:val="center"/>
              <w:rPr>
                <w:color w:val="000000"/>
                <w:sz w:val="20"/>
                <w:szCs w:val="20"/>
              </w:rPr>
            </w:pPr>
            <w:r>
              <w:rPr>
                <w:color w:val="000000"/>
                <w:sz w:val="20"/>
                <w:szCs w:val="20"/>
              </w:rPr>
              <w:t>LK35:01</w:t>
            </w:r>
          </w:p>
        </w:tc>
        <w:tc>
          <w:tcPr>
            <w:tcW w:w="1033" w:type="dxa"/>
            <w:noWrap/>
            <w:vAlign w:val="center"/>
          </w:tcPr>
          <w:p w14:paraId="114EAE13">
            <w:pPr>
              <w:jc w:val="center"/>
              <w:rPr>
                <w:color w:val="000000"/>
                <w:sz w:val="20"/>
                <w:szCs w:val="20"/>
              </w:rPr>
            </w:pPr>
            <w:r>
              <w:rPr>
                <w:color w:val="000000"/>
                <w:sz w:val="20"/>
                <w:szCs w:val="20"/>
              </w:rPr>
              <w:t>90,00</w:t>
            </w:r>
          </w:p>
        </w:tc>
        <w:tc>
          <w:tcPr>
            <w:tcW w:w="846" w:type="dxa"/>
            <w:noWrap/>
            <w:vAlign w:val="center"/>
          </w:tcPr>
          <w:p w14:paraId="1278D005">
            <w:pPr>
              <w:jc w:val="center"/>
              <w:rPr>
                <w:color w:val="000000"/>
                <w:sz w:val="20"/>
                <w:szCs w:val="20"/>
              </w:rPr>
            </w:pPr>
            <w:r>
              <w:rPr>
                <w:color w:val="000000"/>
                <w:sz w:val="20"/>
                <w:szCs w:val="20"/>
              </w:rPr>
              <w:t>1</w:t>
            </w:r>
          </w:p>
        </w:tc>
        <w:tc>
          <w:tcPr>
            <w:tcW w:w="2578" w:type="dxa"/>
            <w:noWrap/>
            <w:vAlign w:val="center"/>
          </w:tcPr>
          <w:p w14:paraId="3FD0FD60">
            <w:pPr>
              <w:jc w:val="center"/>
              <w:rPr>
                <w:color w:val="000000"/>
                <w:sz w:val="20"/>
                <w:szCs w:val="20"/>
              </w:rPr>
            </w:pPr>
            <w:r>
              <w:rPr>
                <w:color w:val="000000"/>
                <w:sz w:val="20"/>
                <w:szCs w:val="20"/>
              </w:rPr>
              <w:t>Mặt cắt 2-2</w:t>
            </w:r>
          </w:p>
        </w:tc>
        <w:tc>
          <w:tcPr>
            <w:tcW w:w="2393" w:type="dxa"/>
            <w:noWrap/>
            <w:vAlign w:val="center"/>
          </w:tcPr>
          <w:p w14:paraId="4F951022">
            <w:pPr>
              <w:jc w:val="center"/>
              <w:rPr>
                <w:color w:val="000000"/>
                <w:sz w:val="20"/>
                <w:szCs w:val="20"/>
              </w:rPr>
            </w:pPr>
            <w:r>
              <w:rPr>
                <w:color w:val="000000"/>
                <w:sz w:val="20"/>
                <w:szCs w:val="20"/>
              </w:rPr>
              <w:t>Một mặt tiền</w:t>
            </w:r>
          </w:p>
        </w:tc>
        <w:tc>
          <w:tcPr>
            <w:tcW w:w="1198" w:type="dxa"/>
            <w:noWrap/>
            <w:vAlign w:val="center"/>
          </w:tcPr>
          <w:p w14:paraId="2498D466">
            <w:pPr>
              <w:jc w:val="center"/>
              <w:rPr>
                <w:color w:val="000000"/>
                <w:sz w:val="20"/>
                <w:szCs w:val="20"/>
              </w:rPr>
            </w:pPr>
            <w:r>
              <w:rPr>
                <w:color w:val="000000"/>
                <w:sz w:val="20"/>
                <w:szCs w:val="20"/>
              </w:rPr>
              <w:t>10.700.000</w:t>
            </w:r>
          </w:p>
        </w:tc>
        <w:tc>
          <w:tcPr>
            <w:tcW w:w="1236" w:type="dxa"/>
            <w:noWrap/>
            <w:vAlign w:val="center"/>
          </w:tcPr>
          <w:p w14:paraId="1619240D">
            <w:pPr>
              <w:jc w:val="center"/>
              <w:rPr>
                <w:color w:val="000000"/>
                <w:sz w:val="20"/>
                <w:szCs w:val="20"/>
              </w:rPr>
            </w:pPr>
            <w:r>
              <w:rPr>
                <w:color w:val="000000"/>
                <w:sz w:val="20"/>
                <w:szCs w:val="20"/>
              </w:rPr>
              <w:t>12.579.000</w:t>
            </w:r>
          </w:p>
        </w:tc>
        <w:tc>
          <w:tcPr>
            <w:tcW w:w="1252" w:type="dxa"/>
            <w:noWrap/>
            <w:vAlign w:val="center"/>
          </w:tcPr>
          <w:p w14:paraId="5D88B5C7">
            <w:pPr>
              <w:jc w:val="center"/>
              <w:rPr>
                <w:color w:val="000000"/>
                <w:sz w:val="20"/>
                <w:szCs w:val="20"/>
              </w:rPr>
            </w:pPr>
            <w:r>
              <w:rPr>
                <w:color w:val="000000"/>
                <w:sz w:val="20"/>
                <w:szCs w:val="20"/>
              </w:rPr>
              <w:t>23.279.000</w:t>
            </w:r>
          </w:p>
        </w:tc>
        <w:tc>
          <w:tcPr>
            <w:tcW w:w="1848" w:type="dxa"/>
            <w:noWrap/>
            <w:vAlign w:val="center"/>
          </w:tcPr>
          <w:p w14:paraId="60B26FD4">
            <w:pPr>
              <w:jc w:val="center"/>
              <w:rPr>
                <w:color w:val="000000"/>
                <w:sz w:val="20"/>
                <w:szCs w:val="20"/>
              </w:rPr>
            </w:pPr>
            <w:r>
              <w:rPr>
                <w:color w:val="000000"/>
                <w:sz w:val="20"/>
                <w:szCs w:val="20"/>
              </w:rPr>
              <w:t>2.095.110.000</w:t>
            </w:r>
          </w:p>
        </w:tc>
      </w:tr>
      <w:tr w14:paraId="149E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4C33AA3">
            <w:pPr>
              <w:jc w:val="center"/>
              <w:rPr>
                <w:b/>
                <w:bCs/>
                <w:color w:val="000000"/>
                <w:sz w:val="20"/>
                <w:szCs w:val="20"/>
              </w:rPr>
            </w:pPr>
            <w:r>
              <w:rPr>
                <w:b/>
                <w:bCs/>
                <w:color w:val="000000"/>
                <w:sz w:val="20"/>
                <w:szCs w:val="20"/>
              </w:rPr>
              <w:t>LK35</w:t>
            </w:r>
          </w:p>
        </w:tc>
        <w:tc>
          <w:tcPr>
            <w:tcW w:w="1802" w:type="dxa"/>
            <w:vAlign w:val="center"/>
          </w:tcPr>
          <w:p w14:paraId="20AD3491">
            <w:pPr>
              <w:jc w:val="center"/>
              <w:rPr>
                <w:color w:val="000000"/>
                <w:sz w:val="20"/>
                <w:szCs w:val="20"/>
              </w:rPr>
            </w:pPr>
            <w:r>
              <w:rPr>
                <w:color w:val="000000"/>
                <w:sz w:val="20"/>
                <w:szCs w:val="20"/>
              </w:rPr>
              <w:t>LK35:02</w:t>
            </w:r>
          </w:p>
        </w:tc>
        <w:tc>
          <w:tcPr>
            <w:tcW w:w="1033" w:type="dxa"/>
            <w:noWrap/>
            <w:vAlign w:val="center"/>
          </w:tcPr>
          <w:p w14:paraId="2FC65EBE">
            <w:pPr>
              <w:jc w:val="center"/>
              <w:rPr>
                <w:color w:val="000000"/>
                <w:sz w:val="20"/>
                <w:szCs w:val="20"/>
              </w:rPr>
            </w:pPr>
            <w:r>
              <w:rPr>
                <w:color w:val="000000"/>
                <w:sz w:val="20"/>
                <w:szCs w:val="20"/>
              </w:rPr>
              <w:t>90,00</w:t>
            </w:r>
          </w:p>
        </w:tc>
        <w:tc>
          <w:tcPr>
            <w:tcW w:w="846" w:type="dxa"/>
            <w:noWrap/>
            <w:vAlign w:val="center"/>
          </w:tcPr>
          <w:p w14:paraId="682D5E1C">
            <w:pPr>
              <w:jc w:val="center"/>
              <w:rPr>
                <w:color w:val="000000"/>
                <w:sz w:val="20"/>
                <w:szCs w:val="20"/>
              </w:rPr>
            </w:pPr>
            <w:r>
              <w:rPr>
                <w:color w:val="000000"/>
                <w:sz w:val="20"/>
                <w:szCs w:val="20"/>
              </w:rPr>
              <w:t>1</w:t>
            </w:r>
          </w:p>
        </w:tc>
        <w:tc>
          <w:tcPr>
            <w:tcW w:w="2578" w:type="dxa"/>
            <w:noWrap/>
            <w:vAlign w:val="center"/>
          </w:tcPr>
          <w:p w14:paraId="2F805621">
            <w:pPr>
              <w:jc w:val="center"/>
              <w:rPr>
                <w:color w:val="000000"/>
                <w:sz w:val="20"/>
                <w:szCs w:val="20"/>
              </w:rPr>
            </w:pPr>
            <w:r>
              <w:rPr>
                <w:color w:val="000000"/>
                <w:sz w:val="20"/>
                <w:szCs w:val="20"/>
              </w:rPr>
              <w:t>Mặt cắt 2-2</w:t>
            </w:r>
          </w:p>
        </w:tc>
        <w:tc>
          <w:tcPr>
            <w:tcW w:w="2393" w:type="dxa"/>
            <w:noWrap/>
            <w:vAlign w:val="center"/>
          </w:tcPr>
          <w:p w14:paraId="6974F06D">
            <w:pPr>
              <w:jc w:val="center"/>
              <w:rPr>
                <w:color w:val="000000"/>
                <w:sz w:val="20"/>
                <w:szCs w:val="20"/>
              </w:rPr>
            </w:pPr>
            <w:r>
              <w:rPr>
                <w:color w:val="000000"/>
                <w:sz w:val="20"/>
                <w:szCs w:val="20"/>
              </w:rPr>
              <w:t>Một mặt tiền</w:t>
            </w:r>
          </w:p>
        </w:tc>
        <w:tc>
          <w:tcPr>
            <w:tcW w:w="1198" w:type="dxa"/>
            <w:noWrap/>
            <w:vAlign w:val="center"/>
          </w:tcPr>
          <w:p w14:paraId="46386787">
            <w:pPr>
              <w:jc w:val="center"/>
              <w:rPr>
                <w:color w:val="000000"/>
                <w:sz w:val="20"/>
                <w:szCs w:val="20"/>
              </w:rPr>
            </w:pPr>
            <w:r>
              <w:rPr>
                <w:color w:val="000000"/>
                <w:sz w:val="20"/>
                <w:szCs w:val="20"/>
              </w:rPr>
              <w:t>10.700.000</w:t>
            </w:r>
          </w:p>
        </w:tc>
        <w:tc>
          <w:tcPr>
            <w:tcW w:w="1236" w:type="dxa"/>
            <w:noWrap/>
            <w:vAlign w:val="center"/>
          </w:tcPr>
          <w:p w14:paraId="7CE88F64">
            <w:pPr>
              <w:jc w:val="center"/>
              <w:rPr>
                <w:color w:val="000000"/>
                <w:sz w:val="20"/>
                <w:szCs w:val="20"/>
              </w:rPr>
            </w:pPr>
            <w:r>
              <w:rPr>
                <w:color w:val="000000"/>
                <w:sz w:val="20"/>
                <w:szCs w:val="20"/>
              </w:rPr>
              <w:t>12.579.000</w:t>
            </w:r>
          </w:p>
        </w:tc>
        <w:tc>
          <w:tcPr>
            <w:tcW w:w="1252" w:type="dxa"/>
            <w:noWrap/>
            <w:vAlign w:val="center"/>
          </w:tcPr>
          <w:p w14:paraId="00D1D802">
            <w:pPr>
              <w:jc w:val="center"/>
              <w:rPr>
                <w:color w:val="000000"/>
                <w:sz w:val="20"/>
                <w:szCs w:val="20"/>
              </w:rPr>
            </w:pPr>
            <w:r>
              <w:rPr>
                <w:color w:val="000000"/>
                <w:sz w:val="20"/>
                <w:szCs w:val="20"/>
              </w:rPr>
              <w:t>23.279.000</w:t>
            </w:r>
          </w:p>
        </w:tc>
        <w:tc>
          <w:tcPr>
            <w:tcW w:w="1848" w:type="dxa"/>
            <w:noWrap/>
            <w:vAlign w:val="center"/>
          </w:tcPr>
          <w:p w14:paraId="0D586EC4">
            <w:pPr>
              <w:jc w:val="center"/>
              <w:rPr>
                <w:color w:val="000000"/>
                <w:sz w:val="20"/>
                <w:szCs w:val="20"/>
              </w:rPr>
            </w:pPr>
            <w:r>
              <w:rPr>
                <w:color w:val="000000"/>
                <w:sz w:val="20"/>
                <w:szCs w:val="20"/>
              </w:rPr>
              <w:t>2.095.110.000</w:t>
            </w:r>
          </w:p>
        </w:tc>
      </w:tr>
      <w:tr w14:paraId="701B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D2D3EFC">
            <w:pPr>
              <w:jc w:val="center"/>
              <w:rPr>
                <w:b/>
                <w:bCs/>
                <w:color w:val="000000"/>
                <w:sz w:val="20"/>
                <w:szCs w:val="20"/>
              </w:rPr>
            </w:pPr>
            <w:r>
              <w:rPr>
                <w:b/>
                <w:bCs/>
                <w:color w:val="000000"/>
                <w:sz w:val="20"/>
                <w:szCs w:val="20"/>
              </w:rPr>
              <w:t>LK35</w:t>
            </w:r>
          </w:p>
        </w:tc>
        <w:tc>
          <w:tcPr>
            <w:tcW w:w="1802" w:type="dxa"/>
            <w:vAlign w:val="center"/>
          </w:tcPr>
          <w:p w14:paraId="1BD5F738">
            <w:pPr>
              <w:jc w:val="center"/>
              <w:rPr>
                <w:color w:val="000000"/>
                <w:sz w:val="20"/>
                <w:szCs w:val="20"/>
              </w:rPr>
            </w:pPr>
            <w:r>
              <w:rPr>
                <w:color w:val="000000"/>
                <w:sz w:val="20"/>
                <w:szCs w:val="20"/>
              </w:rPr>
              <w:t>LK35:03</w:t>
            </w:r>
          </w:p>
        </w:tc>
        <w:tc>
          <w:tcPr>
            <w:tcW w:w="1033" w:type="dxa"/>
            <w:noWrap/>
            <w:vAlign w:val="center"/>
          </w:tcPr>
          <w:p w14:paraId="7A79DADF">
            <w:pPr>
              <w:jc w:val="center"/>
              <w:rPr>
                <w:color w:val="000000"/>
                <w:sz w:val="20"/>
                <w:szCs w:val="20"/>
              </w:rPr>
            </w:pPr>
            <w:r>
              <w:rPr>
                <w:color w:val="000000"/>
                <w:sz w:val="20"/>
                <w:szCs w:val="20"/>
              </w:rPr>
              <w:t>90,00</w:t>
            </w:r>
          </w:p>
        </w:tc>
        <w:tc>
          <w:tcPr>
            <w:tcW w:w="846" w:type="dxa"/>
            <w:noWrap/>
            <w:vAlign w:val="center"/>
          </w:tcPr>
          <w:p w14:paraId="2FCE960F">
            <w:pPr>
              <w:jc w:val="center"/>
              <w:rPr>
                <w:color w:val="000000"/>
                <w:sz w:val="20"/>
                <w:szCs w:val="20"/>
              </w:rPr>
            </w:pPr>
            <w:r>
              <w:rPr>
                <w:color w:val="000000"/>
                <w:sz w:val="20"/>
                <w:szCs w:val="20"/>
              </w:rPr>
              <w:t>1</w:t>
            </w:r>
          </w:p>
        </w:tc>
        <w:tc>
          <w:tcPr>
            <w:tcW w:w="2578" w:type="dxa"/>
            <w:noWrap/>
            <w:vAlign w:val="center"/>
          </w:tcPr>
          <w:p w14:paraId="235F950B">
            <w:pPr>
              <w:jc w:val="center"/>
              <w:rPr>
                <w:color w:val="000000"/>
                <w:sz w:val="20"/>
                <w:szCs w:val="20"/>
              </w:rPr>
            </w:pPr>
            <w:r>
              <w:rPr>
                <w:color w:val="000000"/>
                <w:sz w:val="20"/>
                <w:szCs w:val="20"/>
              </w:rPr>
              <w:t>Mặt cắt 2-2</w:t>
            </w:r>
          </w:p>
        </w:tc>
        <w:tc>
          <w:tcPr>
            <w:tcW w:w="2393" w:type="dxa"/>
            <w:noWrap/>
            <w:vAlign w:val="center"/>
          </w:tcPr>
          <w:p w14:paraId="24E58770">
            <w:pPr>
              <w:jc w:val="center"/>
              <w:rPr>
                <w:color w:val="000000"/>
                <w:sz w:val="20"/>
                <w:szCs w:val="20"/>
              </w:rPr>
            </w:pPr>
            <w:r>
              <w:rPr>
                <w:color w:val="000000"/>
                <w:sz w:val="20"/>
                <w:szCs w:val="20"/>
              </w:rPr>
              <w:t>Một mặt tiền</w:t>
            </w:r>
          </w:p>
        </w:tc>
        <w:tc>
          <w:tcPr>
            <w:tcW w:w="1198" w:type="dxa"/>
            <w:noWrap/>
            <w:vAlign w:val="center"/>
          </w:tcPr>
          <w:p w14:paraId="14898F42">
            <w:pPr>
              <w:jc w:val="center"/>
              <w:rPr>
                <w:color w:val="000000"/>
                <w:sz w:val="20"/>
                <w:szCs w:val="20"/>
              </w:rPr>
            </w:pPr>
            <w:r>
              <w:rPr>
                <w:color w:val="000000"/>
                <w:sz w:val="20"/>
                <w:szCs w:val="20"/>
              </w:rPr>
              <w:t>10.700.000</w:t>
            </w:r>
          </w:p>
        </w:tc>
        <w:tc>
          <w:tcPr>
            <w:tcW w:w="1236" w:type="dxa"/>
            <w:noWrap/>
            <w:vAlign w:val="center"/>
          </w:tcPr>
          <w:p w14:paraId="7C4999F6">
            <w:pPr>
              <w:jc w:val="center"/>
              <w:rPr>
                <w:color w:val="000000"/>
                <w:sz w:val="20"/>
                <w:szCs w:val="20"/>
              </w:rPr>
            </w:pPr>
            <w:r>
              <w:rPr>
                <w:color w:val="000000"/>
                <w:sz w:val="20"/>
                <w:szCs w:val="20"/>
              </w:rPr>
              <w:t>12.579.000</w:t>
            </w:r>
          </w:p>
        </w:tc>
        <w:tc>
          <w:tcPr>
            <w:tcW w:w="1252" w:type="dxa"/>
            <w:noWrap/>
            <w:vAlign w:val="center"/>
          </w:tcPr>
          <w:p w14:paraId="2EA45B0B">
            <w:pPr>
              <w:jc w:val="center"/>
              <w:rPr>
                <w:color w:val="000000"/>
                <w:sz w:val="20"/>
                <w:szCs w:val="20"/>
              </w:rPr>
            </w:pPr>
            <w:r>
              <w:rPr>
                <w:color w:val="000000"/>
                <w:sz w:val="20"/>
                <w:szCs w:val="20"/>
              </w:rPr>
              <w:t>23.279.000</w:t>
            </w:r>
          </w:p>
        </w:tc>
        <w:tc>
          <w:tcPr>
            <w:tcW w:w="1848" w:type="dxa"/>
            <w:noWrap/>
            <w:vAlign w:val="center"/>
          </w:tcPr>
          <w:p w14:paraId="72458564">
            <w:pPr>
              <w:jc w:val="center"/>
              <w:rPr>
                <w:color w:val="000000"/>
                <w:sz w:val="20"/>
                <w:szCs w:val="20"/>
              </w:rPr>
            </w:pPr>
            <w:r>
              <w:rPr>
                <w:color w:val="000000"/>
                <w:sz w:val="20"/>
                <w:szCs w:val="20"/>
              </w:rPr>
              <w:t>2.095.110.000</w:t>
            </w:r>
          </w:p>
        </w:tc>
      </w:tr>
      <w:tr w14:paraId="051E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1E792AC">
            <w:pPr>
              <w:jc w:val="center"/>
              <w:rPr>
                <w:b/>
                <w:bCs/>
                <w:color w:val="000000"/>
                <w:sz w:val="20"/>
                <w:szCs w:val="20"/>
              </w:rPr>
            </w:pPr>
            <w:r>
              <w:rPr>
                <w:b/>
                <w:bCs/>
                <w:color w:val="000000"/>
                <w:sz w:val="20"/>
                <w:szCs w:val="20"/>
              </w:rPr>
              <w:t>LK35</w:t>
            </w:r>
          </w:p>
        </w:tc>
        <w:tc>
          <w:tcPr>
            <w:tcW w:w="1802" w:type="dxa"/>
            <w:vAlign w:val="center"/>
          </w:tcPr>
          <w:p w14:paraId="0BF2BC4F">
            <w:pPr>
              <w:jc w:val="center"/>
              <w:rPr>
                <w:color w:val="000000"/>
                <w:sz w:val="20"/>
                <w:szCs w:val="20"/>
              </w:rPr>
            </w:pPr>
            <w:r>
              <w:rPr>
                <w:color w:val="000000"/>
                <w:sz w:val="20"/>
                <w:szCs w:val="20"/>
              </w:rPr>
              <w:t>LK35:04</w:t>
            </w:r>
          </w:p>
        </w:tc>
        <w:tc>
          <w:tcPr>
            <w:tcW w:w="1033" w:type="dxa"/>
            <w:noWrap/>
            <w:vAlign w:val="center"/>
          </w:tcPr>
          <w:p w14:paraId="7A2EE4C8">
            <w:pPr>
              <w:jc w:val="center"/>
              <w:rPr>
                <w:color w:val="000000"/>
                <w:sz w:val="20"/>
                <w:szCs w:val="20"/>
              </w:rPr>
            </w:pPr>
            <w:r>
              <w:rPr>
                <w:color w:val="000000"/>
                <w:sz w:val="20"/>
                <w:szCs w:val="20"/>
              </w:rPr>
              <w:t>90,00</w:t>
            </w:r>
          </w:p>
        </w:tc>
        <w:tc>
          <w:tcPr>
            <w:tcW w:w="846" w:type="dxa"/>
            <w:noWrap/>
            <w:vAlign w:val="center"/>
          </w:tcPr>
          <w:p w14:paraId="740BD4CC">
            <w:pPr>
              <w:jc w:val="center"/>
              <w:rPr>
                <w:color w:val="000000"/>
                <w:sz w:val="20"/>
                <w:szCs w:val="20"/>
              </w:rPr>
            </w:pPr>
            <w:r>
              <w:rPr>
                <w:color w:val="000000"/>
                <w:sz w:val="20"/>
                <w:szCs w:val="20"/>
              </w:rPr>
              <w:t>1</w:t>
            </w:r>
          </w:p>
        </w:tc>
        <w:tc>
          <w:tcPr>
            <w:tcW w:w="2578" w:type="dxa"/>
            <w:noWrap/>
            <w:vAlign w:val="center"/>
          </w:tcPr>
          <w:p w14:paraId="04EF97F7">
            <w:pPr>
              <w:jc w:val="center"/>
              <w:rPr>
                <w:color w:val="000000"/>
                <w:sz w:val="20"/>
                <w:szCs w:val="20"/>
              </w:rPr>
            </w:pPr>
            <w:r>
              <w:rPr>
                <w:color w:val="000000"/>
                <w:sz w:val="20"/>
                <w:szCs w:val="20"/>
              </w:rPr>
              <w:t>Mặt cắt 2-2</w:t>
            </w:r>
          </w:p>
        </w:tc>
        <w:tc>
          <w:tcPr>
            <w:tcW w:w="2393" w:type="dxa"/>
            <w:noWrap/>
            <w:vAlign w:val="center"/>
          </w:tcPr>
          <w:p w14:paraId="76A589F6">
            <w:pPr>
              <w:jc w:val="center"/>
              <w:rPr>
                <w:color w:val="000000"/>
                <w:sz w:val="20"/>
                <w:szCs w:val="20"/>
              </w:rPr>
            </w:pPr>
            <w:r>
              <w:rPr>
                <w:color w:val="000000"/>
                <w:sz w:val="20"/>
                <w:szCs w:val="20"/>
              </w:rPr>
              <w:t>Một mặt tiền</w:t>
            </w:r>
          </w:p>
        </w:tc>
        <w:tc>
          <w:tcPr>
            <w:tcW w:w="1198" w:type="dxa"/>
            <w:noWrap/>
            <w:vAlign w:val="center"/>
          </w:tcPr>
          <w:p w14:paraId="47AA9B27">
            <w:pPr>
              <w:jc w:val="center"/>
              <w:rPr>
                <w:color w:val="000000"/>
                <w:sz w:val="20"/>
                <w:szCs w:val="20"/>
              </w:rPr>
            </w:pPr>
            <w:r>
              <w:rPr>
                <w:color w:val="000000"/>
                <w:sz w:val="20"/>
                <w:szCs w:val="20"/>
              </w:rPr>
              <w:t>10.700.000</w:t>
            </w:r>
          </w:p>
        </w:tc>
        <w:tc>
          <w:tcPr>
            <w:tcW w:w="1236" w:type="dxa"/>
            <w:noWrap/>
            <w:vAlign w:val="center"/>
          </w:tcPr>
          <w:p w14:paraId="770EF983">
            <w:pPr>
              <w:jc w:val="center"/>
              <w:rPr>
                <w:color w:val="000000"/>
                <w:sz w:val="20"/>
                <w:szCs w:val="20"/>
              </w:rPr>
            </w:pPr>
            <w:r>
              <w:rPr>
                <w:color w:val="000000"/>
                <w:sz w:val="20"/>
                <w:szCs w:val="20"/>
              </w:rPr>
              <w:t>12.579.000</w:t>
            </w:r>
          </w:p>
        </w:tc>
        <w:tc>
          <w:tcPr>
            <w:tcW w:w="1252" w:type="dxa"/>
            <w:noWrap/>
            <w:vAlign w:val="center"/>
          </w:tcPr>
          <w:p w14:paraId="14870855">
            <w:pPr>
              <w:jc w:val="center"/>
              <w:rPr>
                <w:color w:val="000000"/>
                <w:sz w:val="20"/>
                <w:szCs w:val="20"/>
              </w:rPr>
            </w:pPr>
            <w:r>
              <w:rPr>
                <w:color w:val="000000"/>
                <w:sz w:val="20"/>
                <w:szCs w:val="20"/>
              </w:rPr>
              <w:t>23.279.000</w:t>
            </w:r>
          </w:p>
        </w:tc>
        <w:tc>
          <w:tcPr>
            <w:tcW w:w="1848" w:type="dxa"/>
            <w:noWrap/>
            <w:vAlign w:val="center"/>
          </w:tcPr>
          <w:p w14:paraId="1B577488">
            <w:pPr>
              <w:jc w:val="center"/>
              <w:rPr>
                <w:color w:val="000000"/>
                <w:sz w:val="20"/>
                <w:szCs w:val="20"/>
              </w:rPr>
            </w:pPr>
            <w:r>
              <w:rPr>
                <w:color w:val="000000"/>
                <w:sz w:val="20"/>
                <w:szCs w:val="20"/>
              </w:rPr>
              <w:t>2.095.110.000</w:t>
            </w:r>
          </w:p>
        </w:tc>
      </w:tr>
      <w:tr w14:paraId="4CFD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F4A236">
            <w:pPr>
              <w:jc w:val="center"/>
              <w:rPr>
                <w:b/>
                <w:bCs/>
                <w:color w:val="000000"/>
                <w:sz w:val="20"/>
                <w:szCs w:val="20"/>
              </w:rPr>
            </w:pPr>
            <w:r>
              <w:rPr>
                <w:b/>
                <w:bCs/>
                <w:color w:val="000000"/>
                <w:sz w:val="20"/>
                <w:szCs w:val="20"/>
              </w:rPr>
              <w:t>LK35</w:t>
            </w:r>
          </w:p>
        </w:tc>
        <w:tc>
          <w:tcPr>
            <w:tcW w:w="1802" w:type="dxa"/>
            <w:vAlign w:val="center"/>
          </w:tcPr>
          <w:p w14:paraId="0AFFD99F">
            <w:pPr>
              <w:jc w:val="center"/>
              <w:rPr>
                <w:color w:val="000000"/>
                <w:sz w:val="20"/>
                <w:szCs w:val="20"/>
              </w:rPr>
            </w:pPr>
            <w:r>
              <w:rPr>
                <w:color w:val="000000"/>
                <w:sz w:val="20"/>
                <w:szCs w:val="20"/>
              </w:rPr>
              <w:t>LK35:05</w:t>
            </w:r>
          </w:p>
        </w:tc>
        <w:tc>
          <w:tcPr>
            <w:tcW w:w="1033" w:type="dxa"/>
            <w:noWrap/>
            <w:vAlign w:val="center"/>
          </w:tcPr>
          <w:p w14:paraId="144C60BC">
            <w:pPr>
              <w:jc w:val="center"/>
              <w:rPr>
                <w:color w:val="000000"/>
                <w:sz w:val="20"/>
                <w:szCs w:val="20"/>
              </w:rPr>
            </w:pPr>
            <w:r>
              <w:rPr>
                <w:color w:val="000000"/>
                <w:sz w:val="20"/>
                <w:szCs w:val="20"/>
              </w:rPr>
              <w:t>90,00</w:t>
            </w:r>
          </w:p>
        </w:tc>
        <w:tc>
          <w:tcPr>
            <w:tcW w:w="846" w:type="dxa"/>
            <w:noWrap/>
            <w:vAlign w:val="center"/>
          </w:tcPr>
          <w:p w14:paraId="5127DA12">
            <w:pPr>
              <w:jc w:val="center"/>
              <w:rPr>
                <w:color w:val="000000"/>
                <w:sz w:val="20"/>
                <w:szCs w:val="20"/>
              </w:rPr>
            </w:pPr>
            <w:r>
              <w:rPr>
                <w:color w:val="000000"/>
                <w:sz w:val="20"/>
                <w:szCs w:val="20"/>
              </w:rPr>
              <w:t>1</w:t>
            </w:r>
          </w:p>
        </w:tc>
        <w:tc>
          <w:tcPr>
            <w:tcW w:w="2578" w:type="dxa"/>
            <w:noWrap/>
            <w:vAlign w:val="center"/>
          </w:tcPr>
          <w:p w14:paraId="00E5D336">
            <w:pPr>
              <w:jc w:val="center"/>
              <w:rPr>
                <w:color w:val="000000"/>
                <w:sz w:val="20"/>
                <w:szCs w:val="20"/>
              </w:rPr>
            </w:pPr>
            <w:r>
              <w:rPr>
                <w:color w:val="000000"/>
                <w:sz w:val="20"/>
                <w:szCs w:val="20"/>
              </w:rPr>
              <w:t>Mặt cắt 2-2</w:t>
            </w:r>
          </w:p>
        </w:tc>
        <w:tc>
          <w:tcPr>
            <w:tcW w:w="2393" w:type="dxa"/>
            <w:noWrap/>
            <w:vAlign w:val="center"/>
          </w:tcPr>
          <w:p w14:paraId="0BE47CF6">
            <w:pPr>
              <w:jc w:val="center"/>
              <w:rPr>
                <w:color w:val="000000"/>
                <w:sz w:val="20"/>
                <w:szCs w:val="20"/>
              </w:rPr>
            </w:pPr>
            <w:r>
              <w:rPr>
                <w:color w:val="000000"/>
                <w:sz w:val="20"/>
                <w:szCs w:val="20"/>
              </w:rPr>
              <w:t>Một mặt tiền</w:t>
            </w:r>
          </w:p>
        </w:tc>
        <w:tc>
          <w:tcPr>
            <w:tcW w:w="1198" w:type="dxa"/>
            <w:noWrap/>
            <w:vAlign w:val="center"/>
          </w:tcPr>
          <w:p w14:paraId="579AA1A3">
            <w:pPr>
              <w:jc w:val="center"/>
              <w:rPr>
                <w:color w:val="000000"/>
                <w:sz w:val="20"/>
                <w:szCs w:val="20"/>
              </w:rPr>
            </w:pPr>
            <w:r>
              <w:rPr>
                <w:color w:val="000000"/>
                <w:sz w:val="20"/>
                <w:szCs w:val="20"/>
              </w:rPr>
              <w:t>10.700.000</w:t>
            </w:r>
          </w:p>
        </w:tc>
        <w:tc>
          <w:tcPr>
            <w:tcW w:w="1236" w:type="dxa"/>
            <w:noWrap/>
            <w:vAlign w:val="center"/>
          </w:tcPr>
          <w:p w14:paraId="6237DF5D">
            <w:pPr>
              <w:jc w:val="center"/>
              <w:rPr>
                <w:color w:val="000000"/>
                <w:sz w:val="20"/>
                <w:szCs w:val="20"/>
              </w:rPr>
            </w:pPr>
            <w:r>
              <w:rPr>
                <w:color w:val="000000"/>
                <w:sz w:val="20"/>
                <w:szCs w:val="20"/>
              </w:rPr>
              <w:t>12.579.000</w:t>
            </w:r>
          </w:p>
        </w:tc>
        <w:tc>
          <w:tcPr>
            <w:tcW w:w="1252" w:type="dxa"/>
            <w:noWrap/>
            <w:vAlign w:val="center"/>
          </w:tcPr>
          <w:p w14:paraId="1480DF96">
            <w:pPr>
              <w:jc w:val="center"/>
              <w:rPr>
                <w:color w:val="000000"/>
                <w:sz w:val="20"/>
                <w:szCs w:val="20"/>
              </w:rPr>
            </w:pPr>
            <w:r>
              <w:rPr>
                <w:color w:val="000000"/>
                <w:sz w:val="20"/>
                <w:szCs w:val="20"/>
              </w:rPr>
              <w:t>23.279.000</w:t>
            </w:r>
          </w:p>
        </w:tc>
        <w:tc>
          <w:tcPr>
            <w:tcW w:w="1848" w:type="dxa"/>
            <w:noWrap/>
            <w:vAlign w:val="center"/>
          </w:tcPr>
          <w:p w14:paraId="2F0E2714">
            <w:pPr>
              <w:jc w:val="center"/>
              <w:rPr>
                <w:color w:val="000000"/>
                <w:sz w:val="20"/>
                <w:szCs w:val="20"/>
              </w:rPr>
            </w:pPr>
            <w:r>
              <w:rPr>
                <w:color w:val="000000"/>
                <w:sz w:val="20"/>
                <w:szCs w:val="20"/>
              </w:rPr>
              <w:t>2.095.110.000</w:t>
            </w:r>
          </w:p>
        </w:tc>
      </w:tr>
      <w:tr w14:paraId="639C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6D97E06">
            <w:pPr>
              <w:jc w:val="center"/>
              <w:rPr>
                <w:b/>
                <w:bCs/>
                <w:color w:val="000000"/>
                <w:sz w:val="20"/>
                <w:szCs w:val="20"/>
              </w:rPr>
            </w:pPr>
            <w:r>
              <w:rPr>
                <w:b/>
                <w:bCs/>
                <w:color w:val="000000"/>
                <w:sz w:val="20"/>
                <w:szCs w:val="20"/>
              </w:rPr>
              <w:t>LK35</w:t>
            </w:r>
          </w:p>
        </w:tc>
        <w:tc>
          <w:tcPr>
            <w:tcW w:w="1802" w:type="dxa"/>
            <w:vAlign w:val="center"/>
          </w:tcPr>
          <w:p w14:paraId="20C495AE">
            <w:pPr>
              <w:jc w:val="center"/>
              <w:rPr>
                <w:color w:val="000000"/>
                <w:sz w:val="20"/>
                <w:szCs w:val="20"/>
              </w:rPr>
            </w:pPr>
            <w:r>
              <w:rPr>
                <w:color w:val="000000"/>
                <w:sz w:val="20"/>
                <w:szCs w:val="20"/>
              </w:rPr>
              <w:t>LK35:06</w:t>
            </w:r>
          </w:p>
        </w:tc>
        <w:tc>
          <w:tcPr>
            <w:tcW w:w="1033" w:type="dxa"/>
            <w:noWrap/>
            <w:vAlign w:val="center"/>
          </w:tcPr>
          <w:p w14:paraId="30AF0476">
            <w:pPr>
              <w:jc w:val="center"/>
              <w:rPr>
                <w:color w:val="000000"/>
                <w:sz w:val="20"/>
                <w:szCs w:val="20"/>
              </w:rPr>
            </w:pPr>
            <w:r>
              <w:rPr>
                <w:color w:val="000000"/>
                <w:sz w:val="20"/>
                <w:szCs w:val="20"/>
              </w:rPr>
              <w:t>90,00</w:t>
            </w:r>
          </w:p>
        </w:tc>
        <w:tc>
          <w:tcPr>
            <w:tcW w:w="846" w:type="dxa"/>
            <w:noWrap/>
            <w:vAlign w:val="center"/>
          </w:tcPr>
          <w:p w14:paraId="454AEAF3">
            <w:pPr>
              <w:jc w:val="center"/>
              <w:rPr>
                <w:color w:val="000000"/>
                <w:sz w:val="20"/>
                <w:szCs w:val="20"/>
              </w:rPr>
            </w:pPr>
            <w:r>
              <w:rPr>
                <w:color w:val="000000"/>
                <w:sz w:val="20"/>
                <w:szCs w:val="20"/>
              </w:rPr>
              <w:t>1</w:t>
            </w:r>
          </w:p>
        </w:tc>
        <w:tc>
          <w:tcPr>
            <w:tcW w:w="2578" w:type="dxa"/>
            <w:noWrap/>
            <w:vAlign w:val="center"/>
          </w:tcPr>
          <w:p w14:paraId="66243C13">
            <w:pPr>
              <w:jc w:val="center"/>
              <w:rPr>
                <w:color w:val="000000"/>
                <w:sz w:val="20"/>
                <w:szCs w:val="20"/>
              </w:rPr>
            </w:pPr>
            <w:r>
              <w:rPr>
                <w:color w:val="000000"/>
                <w:sz w:val="20"/>
                <w:szCs w:val="20"/>
              </w:rPr>
              <w:t>Mặt cắt 2-2</w:t>
            </w:r>
          </w:p>
        </w:tc>
        <w:tc>
          <w:tcPr>
            <w:tcW w:w="2393" w:type="dxa"/>
            <w:noWrap/>
            <w:vAlign w:val="center"/>
          </w:tcPr>
          <w:p w14:paraId="17218FE7">
            <w:pPr>
              <w:jc w:val="center"/>
              <w:rPr>
                <w:color w:val="000000"/>
                <w:sz w:val="20"/>
                <w:szCs w:val="20"/>
              </w:rPr>
            </w:pPr>
            <w:r>
              <w:rPr>
                <w:color w:val="000000"/>
                <w:sz w:val="20"/>
                <w:szCs w:val="20"/>
              </w:rPr>
              <w:t>Một mặt tiền</w:t>
            </w:r>
          </w:p>
        </w:tc>
        <w:tc>
          <w:tcPr>
            <w:tcW w:w="1198" w:type="dxa"/>
            <w:noWrap/>
            <w:vAlign w:val="center"/>
          </w:tcPr>
          <w:p w14:paraId="7D9A5314">
            <w:pPr>
              <w:jc w:val="center"/>
              <w:rPr>
                <w:color w:val="000000"/>
                <w:sz w:val="20"/>
                <w:szCs w:val="20"/>
              </w:rPr>
            </w:pPr>
            <w:r>
              <w:rPr>
                <w:color w:val="000000"/>
                <w:sz w:val="20"/>
                <w:szCs w:val="20"/>
              </w:rPr>
              <w:t>10.700.000</w:t>
            </w:r>
          </w:p>
        </w:tc>
        <w:tc>
          <w:tcPr>
            <w:tcW w:w="1236" w:type="dxa"/>
            <w:noWrap/>
            <w:vAlign w:val="center"/>
          </w:tcPr>
          <w:p w14:paraId="24720F04">
            <w:pPr>
              <w:jc w:val="center"/>
              <w:rPr>
                <w:color w:val="000000"/>
                <w:sz w:val="20"/>
                <w:szCs w:val="20"/>
              </w:rPr>
            </w:pPr>
            <w:r>
              <w:rPr>
                <w:color w:val="000000"/>
                <w:sz w:val="20"/>
                <w:szCs w:val="20"/>
              </w:rPr>
              <w:t>12.579.000</w:t>
            </w:r>
          </w:p>
        </w:tc>
        <w:tc>
          <w:tcPr>
            <w:tcW w:w="1252" w:type="dxa"/>
            <w:noWrap/>
            <w:vAlign w:val="center"/>
          </w:tcPr>
          <w:p w14:paraId="46B6E3E5">
            <w:pPr>
              <w:jc w:val="center"/>
              <w:rPr>
                <w:color w:val="000000"/>
                <w:sz w:val="20"/>
                <w:szCs w:val="20"/>
              </w:rPr>
            </w:pPr>
            <w:r>
              <w:rPr>
                <w:color w:val="000000"/>
                <w:sz w:val="20"/>
                <w:szCs w:val="20"/>
              </w:rPr>
              <w:t>23.279.000</w:t>
            </w:r>
          </w:p>
        </w:tc>
        <w:tc>
          <w:tcPr>
            <w:tcW w:w="1848" w:type="dxa"/>
            <w:noWrap/>
            <w:vAlign w:val="center"/>
          </w:tcPr>
          <w:p w14:paraId="7151A10E">
            <w:pPr>
              <w:jc w:val="center"/>
              <w:rPr>
                <w:color w:val="000000"/>
                <w:sz w:val="20"/>
                <w:szCs w:val="20"/>
              </w:rPr>
            </w:pPr>
            <w:r>
              <w:rPr>
                <w:color w:val="000000"/>
                <w:sz w:val="20"/>
                <w:szCs w:val="20"/>
              </w:rPr>
              <w:t>2.095.110.000</w:t>
            </w:r>
          </w:p>
        </w:tc>
      </w:tr>
      <w:tr w14:paraId="3711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5F14CA8">
            <w:pPr>
              <w:jc w:val="center"/>
              <w:rPr>
                <w:b/>
                <w:bCs/>
                <w:color w:val="000000"/>
                <w:sz w:val="20"/>
                <w:szCs w:val="20"/>
              </w:rPr>
            </w:pPr>
            <w:r>
              <w:rPr>
                <w:b/>
                <w:bCs/>
                <w:color w:val="000000"/>
                <w:sz w:val="20"/>
                <w:szCs w:val="20"/>
              </w:rPr>
              <w:t>LK35</w:t>
            </w:r>
          </w:p>
        </w:tc>
        <w:tc>
          <w:tcPr>
            <w:tcW w:w="1802" w:type="dxa"/>
            <w:vAlign w:val="center"/>
          </w:tcPr>
          <w:p w14:paraId="151672FE">
            <w:pPr>
              <w:jc w:val="center"/>
              <w:rPr>
                <w:color w:val="000000"/>
                <w:sz w:val="20"/>
                <w:szCs w:val="20"/>
              </w:rPr>
            </w:pPr>
            <w:r>
              <w:rPr>
                <w:color w:val="000000"/>
                <w:sz w:val="20"/>
                <w:szCs w:val="20"/>
              </w:rPr>
              <w:t>LK35:07</w:t>
            </w:r>
          </w:p>
        </w:tc>
        <w:tc>
          <w:tcPr>
            <w:tcW w:w="1033" w:type="dxa"/>
            <w:noWrap/>
            <w:vAlign w:val="center"/>
          </w:tcPr>
          <w:p w14:paraId="19464953">
            <w:pPr>
              <w:jc w:val="center"/>
              <w:rPr>
                <w:color w:val="000000"/>
                <w:sz w:val="20"/>
                <w:szCs w:val="20"/>
              </w:rPr>
            </w:pPr>
            <w:r>
              <w:rPr>
                <w:color w:val="000000"/>
                <w:sz w:val="20"/>
                <w:szCs w:val="20"/>
              </w:rPr>
              <w:t>90,00</w:t>
            </w:r>
          </w:p>
        </w:tc>
        <w:tc>
          <w:tcPr>
            <w:tcW w:w="846" w:type="dxa"/>
            <w:noWrap/>
            <w:vAlign w:val="center"/>
          </w:tcPr>
          <w:p w14:paraId="3877C0D5">
            <w:pPr>
              <w:jc w:val="center"/>
              <w:rPr>
                <w:color w:val="000000"/>
                <w:sz w:val="20"/>
                <w:szCs w:val="20"/>
              </w:rPr>
            </w:pPr>
            <w:r>
              <w:rPr>
                <w:color w:val="000000"/>
                <w:sz w:val="20"/>
                <w:szCs w:val="20"/>
              </w:rPr>
              <w:t>1</w:t>
            </w:r>
          </w:p>
        </w:tc>
        <w:tc>
          <w:tcPr>
            <w:tcW w:w="2578" w:type="dxa"/>
            <w:noWrap/>
            <w:vAlign w:val="center"/>
          </w:tcPr>
          <w:p w14:paraId="652D7063">
            <w:pPr>
              <w:jc w:val="center"/>
              <w:rPr>
                <w:color w:val="000000"/>
                <w:sz w:val="20"/>
                <w:szCs w:val="20"/>
              </w:rPr>
            </w:pPr>
            <w:r>
              <w:rPr>
                <w:color w:val="000000"/>
                <w:sz w:val="20"/>
                <w:szCs w:val="20"/>
              </w:rPr>
              <w:t>Mặt cắt 2-2</w:t>
            </w:r>
          </w:p>
        </w:tc>
        <w:tc>
          <w:tcPr>
            <w:tcW w:w="2393" w:type="dxa"/>
            <w:noWrap/>
            <w:vAlign w:val="center"/>
          </w:tcPr>
          <w:p w14:paraId="1B3D6AF9">
            <w:pPr>
              <w:jc w:val="center"/>
              <w:rPr>
                <w:color w:val="000000"/>
                <w:sz w:val="20"/>
                <w:szCs w:val="20"/>
              </w:rPr>
            </w:pPr>
            <w:r>
              <w:rPr>
                <w:color w:val="000000"/>
                <w:sz w:val="20"/>
                <w:szCs w:val="20"/>
              </w:rPr>
              <w:t>Một mặt tiền</w:t>
            </w:r>
          </w:p>
        </w:tc>
        <w:tc>
          <w:tcPr>
            <w:tcW w:w="1198" w:type="dxa"/>
            <w:noWrap/>
            <w:vAlign w:val="center"/>
          </w:tcPr>
          <w:p w14:paraId="1E3D803E">
            <w:pPr>
              <w:jc w:val="center"/>
              <w:rPr>
                <w:color w:val="000000"/>
                <w:sz w:val="20"/>
                <w:szCs w:val="20"/>
              </w:rPr>
            </w:pPr>
            <w:r>
              <w:rPr>
                <w:color w:val="000000"/>
                <w:sz w:val="20"/>
                <w:szCs w:val="20"/>
              </w:rPr>
              <w:t>10.700.000</w:t>
            </w:r>
          </w:p>
        </w:tc>
        <w:tc>
          <w:tcPr>
            <w:tcW w:w="1236" w:type="dxa"/>
            <w:noWrap/>
            <w:vAlign w:val="center"/>
          </w:tcPr>
          <w:p w14:paraId="386D7D53">
            <w:pPr>
              <w:jc w:val="center"/>
              <w:rPr>
                <w:color w:val="000000"/>
                <w:sz w:val="20"/>
                <w:szCs w:val="20"/>
              </w:rPr>
            </w:pPr>
            <w:r>
              <w:rPr>
                <w:color w:val="000000"/>
                <w:sz w:val="20"/>
                <w:szCs w:val="20"/>
              </w:rPr>
              <w:t>12.579.000</w:t>
            </w:r>
          </w:p>
        </w:tc>
        <w:tc>
          <w:tcPr>
            <w:tcW w:w="1252" w:type="dxa"/>
            <w:noWrap/>
            <w:vAlign w:val="center"/>
          </w:tcPr>
          <w:p w14:paraId="5B6DB8D6">
            <w:pPr>
              <w:jc w:val="center"/>
              <w:rPr>
                <w:color w:val="000000"/>
                <w:sz w:val="20"/>
                <w:szCs w:val="20"/>
              </w:rPr>
            </w:pPr>
            <w:r>
              <w:rPr>
                <w:color w:val="000000"/>
                <w:sz w:val="20"/>
                <w:szCs w:val="20"/>
              </w:rPr>
              <w:t>23.279.000</w:t>
            </w:r>
          </w:p>
        </w:tc>
        <w:tc>
          <w:tcPr>
            <w:tcW w:w="1848" w:type="dxa"/>
            <w:noWrap/>
            <w:vAlign w:val="center"/>
          </w:tcPr>
          <w:p w14:paraId="1B58C1DC">
            <w:pPr>
              <w:jc w:val="center"/>
              <w:rPr>
                <w:color w:val="000000"/>
                <w:sz w:val="20"/>
                <w:szCs w:val="20"/>
              </w:rPr>
            </w:pPr>
            <w:r>
              <w:rPr>
                <w:color w:val="000000"/>
                <w:sz w:val="20"/>
                <w:szCs w:val="20"/>
              </w:rPr>
              <w:t>2.095.110.000</w:t>
            </w:r>
          </w:p>
        </w:tc>
      </w:tr>
      <w:tr w14:paraId="535B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3C29A60">
            <w:pPr>
              <w:jc w:val="center"/>
              <w:rPr>
                <w:b/>
                <w:bCs/>
                <w:color w:val="000000"/>
                <w:sz w:val="20"/>
                <w:szCs w:val="20"/>
              </w:rPr>
            </w:pPr>
            <w:r>
              <w:rPr>
                <w:b/>
                <w:bCs/>
                <w:color w:val="000000"/>
                <w:sz w:val="20"/>
                <w:szCs w:val="20"/>
              </w:rPr>
              <w:t>LK35</w:t>
            </w:r>
          </w:p>
        </w:tc>
        <w:tc>
          <w:tcPr>
            <w:tcW w:w="1802" w:type="dxa"/>
            <w:vAlign w:val="center"/>
          </w:tcPr>
          <w:p w14:paraId="1BA940D9">
            <w:pPr>
              <w:jc w:val="center"/>
              <w:rPr>
                <w:color w:val="000000"/>
                <w:sz w:val="20"/>
                <w:szCs w:val="20"/>
              </w:rPr>
            </w:pPr>
            <w:r>
              <w:rPr>
                <w:color w:val="000000"/>
                <w:sz w:val="20"/>
                <w:szCs w:val="20"/>
              </w:rPr>
              <w:t>LK35:08</w:t>
            </w:r>
          </w:p>
        </w:tc>
        <w:tc>
          <w:tcPr>
            <w:tcW w:w="1033" w:type="dxa"/>
            <w:noWrap/>
            <w:vAlign w:val="center"/>
          </w:tcPr>
          <w:p w14:paraId="472994DB">
            <w:pPr>
              <w:jc w:val="center"/>
              <w:rPr>
                <w:color w:val="000000"/>
                <w:sz w:val="20"/>
                <w:szCs w:val="20"/>
              </w:rPr>
            </w:pPr>
            <w:r>
              <w:rPr>
                <w:color w:val="000000"/>
                <w:sz w:val="20"/>
                <w:szCs w:val="20"/>
              </w:rPr>
              <w:t>90,00</w:t>
            </w:r>
          </w:p>
        </w:tc>
        <w:tc>
          <w:tcPr>
            <w:tcW w:w="846" w:type="dxa"/>
            <w:noWrap/>
            <w:vAlign w:val="center"/>
          </w:tcPr>
          <w:p w14:paraId="21406F1A">
            <w:pPr>
              <w:jc w:val="center"/>
              <w:rPr>
                <w:color w:val="000000"/>
                <w:sz w:val="20"/>
                <w:szCs w:val="20"/>
              </w:rPr>
            </w:pPr>
            <w:r>
              <w:rPr>
                <w:color w:val="000000"/>
                <w:sz w:val="20"/>
                <w:szCs w:val="20"/>
              </w:rPr>
              <w:t>1</w:t>
            </w:r>
          </w:p>
        </w:tc>
        <w:tc>
          <w:tcPr>
            <w:tcW w:w="2578" w:type="dxa"/>
            <w:noWrap/>
            <w:vAlign w:val="center"/>
          </w:tcPr>
          <w:p w14:paraId="3FF2EE3F">
            <w:pPr>
              <w:jc w:val="center"/>
              <w:rPr>
                <w:color w:val="000000"/>
                <w:sz w:val="20"/>
                <w:szCs w:val="20"/>
              </w:rPr>
            </w:pPr>
            <w:r>
              <w:rPr>
                <w:color w:val="000000"/>
                <w:sz w:val="20"/>
                <w:szCs w:val="20"/>
              </w:rPr>
              <w:t>Mặt cắt 2-2</w:t>
            </w:r>
          </w:p>
        </w:tc>
        <w:tc>
          <w:tcPr>
            <w:tcW w:w="2393" w:type="dxa"/>
            <w:noWrap/>
            <w:vAlign w:val="center"/>
          </w:tcPr>
          <w:p w14:paraId="65AAAA65">
            <w:pPr>
              <w:jc w:val="center"/>
              <w:rPr>
                <w:color w:val="000000"/>
                <w:sz w:val="20"/>
                <w:szCs w:val="20"/>
              </w:rPr>
            </w:pPr>
            <w:r>
              <w:rPr>
                <w:color w:val="000000"/>
                <w:sz w:val="20"/>
                <w:szCs w:val="20"/>
              </w:rPr>
              <w:t>Một mặt tiền</w:t>
            </w:r>
          </w:p>
        </w:tc>
        <w:tc>
          <w:tcPr>
            <w:tcW w:w="1198" w:type="dxa"/>
            <w:noWrap/>
            <w:vAlign w:val="center"/>
          </w:tcPr>
          <w:p w14:paraId="5F57D7C8">
            <w:pPr>
              <w:jc w:val="center"/>
              <w:rPr>
                <w:color w:val="000000"/>
                <w:sz w:val="20"/>
                <w:szCs w:val="20"/>
              </w:rPr>
            </w:pPr>
            <w:r>
              <w:rPr>
                <w:color w:val="000000"/>
                <w:sz w:val="20"/>
                <w:szCs w:val="20"/>
              </w:rPr>
              <w:t>10.700.000</w:t>
            </w:r>
          </w:p>
        </w:tc>
        <w:tc>
          <w:tcPr>
            <w:tcW w:w="1236" w:type="dxa"/>
            <w:noWrap/>
            <w:vAlign w:val="center"/>
          </w:tcPr>
          <w:p w14:paraId="47FDED7F">
            <w:pPr>
              <w:jc w:val="center"/>
              <w:rPr>
                <w:color w:val="000000"/>
                <w:sz w:val="20"/>
                <w:szCs w:val="20"/>
              </w:rPr>
            </w:pPr>
            <w:r>
              <w:rPr>
                <w:color w:val="000000"/>
                <w:sz w:val="20"/>
                <w:szCs w:val="20"/>
              </w:rPr>
              <w:t>12.579.000</w:t>
            </w:r>
          </w:p>
        </w:tc>
        <w:tc>
          <w:tcPr>
            <w:tcW w:w="1252" w:type="dxa"/>
            <w:noWrap/>
            <w:vAlign w:val="center"/>
          </w:tcPr>
          <w:p w14:paraId="738CF2CE">
            <w:pPr>
              <w:jc w:val="center"/>
              <w:rPr>
                <w:color w:val="000000"/>
                <w:sz w:val="20"/>
                <w:szCs w:val="20"/>
              </w:rPr>
            </w:pPr>
            <w:r>
              <w:rPr>
                <w:color w:val="000000"/>
                <w:sz w:val="20"/>
                <w:szCs w:val="20"/>
              </w:rPr>
              <w:t>23.279.000</w:t>
            </w:r>
          </w:p>
        </w:tc>
        <w:tc>
          <w:tcPr>
            <w:tcW w:w="1848" w:type="dxa"/>
            <w:noWrap/>
            <w:vAlign w:val="center"/>
          </w:tcPr>
          <w:p w14:paraId="014BC898">
            <w:pPr>
              <w:jc w:val="center"/>
              <w:rPr>
                <w:color w:val="000000"/>
                <w:sz w:val="20"/>
                <w:szCs w:val="20"/>
              </w:rPr>
            </w:pPr>
            <w:r>
              <w:rPr>
                <w:color w:val="000000"/>
                <w:sz w:val="20"/>
                <w:szCs w:val="20"/>
              </w:rPr>
              <w:t>2.095.110.000</w:t>
            </w:r>
          </w:p>
        </w:tc>
      </w:tr>
      <w:tr w14:paraId="39E6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942C40">
            <w:pPr>
              <w:jc w:val="center"/>
              <w:rPr>
                <w:b/>
                <w:bCs/>
                <w:color w:val="000000"/>
                <w:sz w:val="20"/>
                <w:szCs w:val="20"/>
              </w:rPr>
            </w:pPr>
            <w:r>
              <w:rPr>
                <w:b/>
                <w:bCs/>
                <w:color w:val="000000"/>
                <w:sz w:val="20"/>
                <w:szCs w:val="20"/>
              </w:rPr>
              <w:t>LK35</w:t>
            </w:r>
          </w:p>
        </w:tc>
        <w:tc>
          <w:tcPr>
            <w:tcW w:w="1802" w:type="dxa"/>
            <w:vAlign w:val="center"/>
          </w:tcPr>
          <w:p w14:paraId="17728CF0">
            <w:pPr>
              <w:jc w:val="center"/>
              <w:rPr>
                <w:color w:val="000000"/>
                <w:sz w:val="20"/>
                <w:szCs w:val="20"/>
              </w:rPr>
            </w:pPr>
            <w:r>
              <w:rPr>
                <w:color w:val="000000"/>
                <w:sz w:val="20"/>
                <w:szCs w:val="20"/>
              </w:rPr>
              <w:t>LK35:09</w:t>
            </w:r>
          </w:p>
        </w:tc>
        <w:tc>
          <w:tcPr>
            <w:tcW w:w="1033" w:type="dxa"/>
            <w:noWrap/>
            <w:vAlign w:val="center"/>
          </w:tcPr>
          <w:p w14:paraId="20958611">
            <w:pPr>
              <w:jc w:val="center"/>
              <w:rPr>
                <w:color w:val="000000"/>
                <w:sz w:val="20"/>
                <w:szCs w:val="20"/>
              </w:rPr>
            </w:pPr>
            <w:r>
              <w:rPr>
                <w:color w:val="000000"/>
                <w:sz w:val="20"/>
                <w:szCs w:val="20"/>
              </w:rPr>
              <w:t>90,00</w:t>
            </w:r>
          </w:p>
        </w:tc>
        <w:tc>
          <w:tcPr>
            <w:tcW w:w="846" w:type="dxa"/>
            <w:noWrap/>
            <w:vAlign w:val="center"/>
          </w:tcPr>
          <w:p w14:paraId="2344FA77">
            <w:pPr>
              <w:jc w:val="center"/>
              <w:rPr>
                <w:color w:val="000000"/>
                <w:sz w:val="20"/>
                <w:szCs w:val="20"/>
              </w:rPr>
            </w:pPr>
            <w:r>
              <w:rPr>
                <w:color w:val="000000"/>
                <w:sz w:val="20"/>
                <w:szCs w:val="20"/>
              </w:rPr>
              <w:t>1</w:t>
            </w:r>
          </w:p>
        </w:tc>
        <w:tc>
          <w:tcPr>
            <w:tcW w:w="2578" w:type="dxa"/>
            <w:noWrap/>
            <w:vAlign w:val="center"/>
          </w:tcPr>
          <w:p w14:paraId="28497B3A">
            <w:pPr>
              <w:jc w:val="center"/>
              <w:rPr>
                <w:color w:val="000000"/>
                <w:sz w:val="20"/>
                <w:szCs w:val="20"/>
              </w:rPr>
            </w:pPr>
            <w:r>
              <w:rPr>
                <w:color w:val="000000"/>
                <w:sz w:val="20"/>
                <w:szCs w:val="20"/>
              </w:rPr>
              <w:t>Mặt cắt 2-2</w:t>
            </w:r>
          </w:p>
        </w:tc>
        <w:tc>
          <w:tcPr>
            <w:tcW w:w="2393" w:type="dxa"/>
            <w:noWrap/>
            <w:vAlign w:val="center"/>
          </w:tcPr>
          <w:p w14:paraId="26092B4D">
            <w:pPr>
              <w:jc w:val="center"/>
              <w:rPr>
                <w:color w:val="000000"/>
                <w:sz w:val="20"/>
                <w:szCs w:val="20"/>
              </w:rPr>
            </w:pPr>
            <w:r>
              <w:rPr>
                <w:color w:val="000000"/>
                <w:sz w:val="20"/>
                <w:szCs w:val="20"/>
              </w:rPr>
              <w:t>Một mặt tiền</w:t>
            </w:r>
          </w:p>
        </w:tc>
        <w:tc>
          <w:tcPr>
            <w:tcW w:w="1198" w:type="dxa"/>
            <w:noWrap/>
            <w:vAlign w:val="center"/>
          </w:tcPr>
          <w:p w14:paraId="48CEEA89">
            <w:pPr>
              <w:jc w:val="center"/>
              <w:rPr>
                <w:color w:val="000000"/>
                <w:sz w:val="20"/>
                <w:szCs w:val="20"/>
              </w:rPr>
            </w:pPr>
            <w:r>
              <w:rPr>
                <w:color w:val="000000"/>
                <w:sz w:val="20"/>
                <w:szCs w:val="20"/>
              </w:rPr>
              <w:t>10.700.000</w:t>
            </w:r>
          </w:p>
        </w:tc>
        <w:tc>
          <w:tcPr>
            <w:tcW w:w="1236" w:type="dxa"/>
            <w:noWrap/>
            <w:vAlign w:val="center"/>
          </w:tcPr>
          <w:p w14:paraId="45086123">
            <w:pPr>
              <w:jc w:val="center"/>
              <w:rPr>
                <w:color w:val="000000"/>
                <w:sz w:val="20"/>
                <w:szCs w:val="20"/>
              </w:rPr>
            </w:pPr>
            <w:r>
              <w:rPr>
                <w:color w:val="000000"/>
                <w:sz w:val="20"/>
                <w:szCs w:val="20"/>
              </w:rPr>
              <w:t>12.579.000</w:t>
            </w:r>
          </w:p>
        </w:tc>
        <w:tc>
          <w:tcPr>
            <w:tcW w:w="1252" w:type="dxa"/>
            <w:noWrap/>
            <w:vAlign w:val="center"/>
          </w:tcPr>
          <w:p w14:paraId="6D834D9C">
            <w:pPr>
              <w:jc w:val="center"/>
              <w:rPr>
                <w:color w:val="000000"/>
                <w:sz w:val="20"/>
                <w:szCs w:val="20"/>
              </w:rPr>
            </w:pPr>
            <w:r>
              <w:rPr>
                <w:color w:val="000000"/>
                <w:sz w:val="20"/>
                <w:szCs w:val="20"/>
              </w:rPr>
              <w:t>23.279.000</w:t>
            </w:r>
          </w:p>
        </w:tc>
        <w:tc>
          <w:tcPr>
            <w:tcW w:w="1848" w:type="dxa"/>
            <w:noWrap/>
            <w:vAlign w:val="center"/>
          </w:tcPr>
          <w:p w14:paraId="614547F7">
            <w:pPr>
              <w:jc w:val="center"/>
              <w:rPr>
                <w:color w:val="000000"/>
                <w:sz w:val="20"/>
                <w:szCs w:val="20"/>
              </w:rPr>
            </w:pPr>
            <w:r>
              <w:rPr>
                <w:color w:val="000000"/>
                <w:sz w:val="20"/>
                <w:szCs w:val="20"/>
              </w:rPr>
              <w:t>2.095.110.000</w:t>
            </w:r>
          </w:p>
        </w:tc>
      </w:tr>
      <w:tr w14:paraId="17DC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305A1E1">
            <w:pPr>
              <w:jc w:val="center"/>
              <w:rPr>
                <w:b/>
                <w:bCs/>
                <w:color w:val="000000"/>
                <w:sz w:val="20"/>
                <w:szCs w:val="20"/>
              </w:rPr>
            </w:pPr>
            <w:r>
              <w:rPr>
                <w:b/>
                <w:bCs/>
                <w:color w:val="000000"/>
                <w:sz w:val="20"/>
                <w:szCs w:val="20"/>
              </w:rPr>
              <w:t>LK36</w:t>
            </w:r>
          </w:p>
        </w:tc>
        <w:tc>
          <w:tcPr>
            <w:tcW w:w="1802" w:type="dxa"/>
            <w:vAlign w:val="center"/>
          </w:tcPr>
          <w:p w14:paraId="6A201C83">
            <w:pPr>
              <w:jc w:val="center"/>
              <w:rPr>
                <w:color w:val="000000"/>
                <w:sz w:val="20"/>
                <w:szCs w:val="20"/>
              </w:rPr>
            </w:pPr>
            <w:r>
              <w:rPr>
                <w:color w:val="000000"/>
                <w:sz w:val="20"/>
                <w:szCs w:val="20"/>
              </w:rPr>
              <w:t>LK36:01</w:t>
            </w:r>
          </w:p>
        </w:tc>
        <w:tc>
          <w:tcPr>
            <w:tcW w:w="1033" w:type="dxa"/>
            <w:noWrap/>
            <w:vAlign w:val="center"/>
          </w:tcPr>
          <w:p w14:paraId="6CF2BD61">
            <w:pPr>
              <w:jc w:val="center"/>
              <w:rPr>
                <w:color w:val="000000"/>
                <w:sz w:val="20"/>
                <w:szCs w:val="20"/>
              </w:rPr>
            </w:pPr>
            <w:r>
              <w:rPr>
                <w:color w:val="000000"/>
                <w:sz w:val="20"/>
                <w:szCs w:val="20"/>
              </w:rPr>
              <w:t>93,12</w:t>
            </w:r>
          </w:p>
        </w:tc>
        <w:tc>
          <w:tcPr>
            <w:tcW w:w="846" w:type="dxa"/>
            <w:noWrap/>
            <w:vAlign w:val="center"/>
          </w:tcPr>
          <w:p w14:paraId="375832BE">
            <w:pPr>
              <w:jc w:val="center"/>
              <w:rPr>
                <w:color w:val="000000"/>
                <w:sz w:val="20"/>
                <w:szCs w:val="20"/>
              </w:rPr>
            </w:pPr>
            <w:r>
              <w:rPr>
                <w:color w:val="000000"/>
                <w:sz w:val="20"/>
                <w:szCs w:val="20"/>
              </w:rPr>
              <w:t>1</w:t>
            </w:r>
          </w:p>
        </w:tc>
        <w:tc>
          <w:tcPr>
            <w:tcW w:w="2578" w:type="dxa"/>
            <w:noWrap/>
            <w:vAlign w:val="center"/>
          </w:tcPr>
          <w:p w14:paraId="4D9F6A48">
            <w:pPr>
              <w:jc w:val="center"/>
              <w:rPr>
                <w:color w:val="000000"/>
                <w:sz w:val="20"/>
                <w:szCs w:val="20"/>
              </w:rPr>
            </w:pPr>
            <w:r>
              <w:rPr>
                <w:color w:val="000000"/>
                <w:sz w:val="20"/>
                <w:szCs w:val="20"/>
              </w:rPr>
              <w:t>Mặt cắt 2-2</w:t>
            </w:r>
          </w:p>
        </w:tc>
        <w:tc>
          <w:tcPr>
            <w:tcW w:w="2393" w:type="dxa"/>
            <w:noWrap/>
            <w:vAlign w:val="center"/>
          </w:tcPr>
          <w:p w14:paraId="77BD1C07">
            <w:pPr>
              <w:jc w:val="center"/>
              <w:rPr>
                <w:color w:val="000000"/>
                <w:sz w:val="20"/>
                <w:szCs w:val="20"/>
              </w:rPr>
            </w:pPr>
            <w:r>
              <w:rPr>
                <w:color w:val="000000"/>
                <w:sz w:val="20"/>
                <w:szCs w:val="20"/>
              </w:rPr>
              <w:t>Một mặt tiền, đối diện/tiếp giáp CX-MN</w:t>
            </w:r>
          </w:p>
        </w:tc>
        <w:tc>
          <w:tcPr>
            <w:tcW w:w="1198" w:type="dxa"/>
            <w:noWrap/>
            <w:vAlign w:val="center"/>
          </w:tcPr>
          <w:p w14:paraId="2CE92A83">
            <w:pPr>
              <w:jc w:val="center"/>
              <w:rPr>
                <w:color w:val="000000"/>
                <w:sz w:val="20"/>
                <w:szCs w:val="20"/>
              </w:rPr>
            </w:pPr>
            <w:r>
              <w:rPr>
                <w:color w:val="000000"/>
                <w:sz w:val="20"/>
                <w:szCs w:val="20"/>
              </w:rPr>
              <w:t>11.235.000</w:t>
            </w:r>
          </w:p>
        </w:tc>
        <w:tc>
          <w:tcPr>
            <w:tcW w:w="1236" w:type="dxa"/>
            <w:noWrap/>
            <w:vAlign w:val="center"/>
          </w:tcPr>
          <w:p w14:paraId="0810A1B6">
            <w:pPr>
              <w:jc w:val="center"/>
              <w:rPr>
                <w:color w:val="000000"/>
                <w:sz w:val="20"/>
                <w:szCs w:val="20"/>
              </w:rPr>
            </w:pPr>
          </w:p>
        </w:tc>
        <w:tc>
          <w:tcPr>
            <w:tcW w:w="1252" w:type="dxa"/>
            <w:noWrap/>
            <w:vAlign w:val="center"/>
          </w:tcPr>
          <w:p w14:paraId="0118667D">
            <w:pPr>
              <w:jc w:val="center"/>
              <w:rPr>
                <w:color w:val="000000"/>
                <w:sz w:val="20"/>
                <w:szCs w:val="20"/>
              </w:rPr>
            </w:pPr>
            <w:r>
              <w:rPr>
                <w:color w:val="000000"/>
                <w:sz w:val="20"/>
                <w:szCs w:val="20"/>
              </w:rPr>
              <w:t>11.235.000</w:t>
            </w:r>
          </w:p>
        </w:tc>
        <w:tc>
          <w:tcPr>
            <w:tcW w:w="1848" w:type="dxa"/>
            <w:noWrap/>
            <w:vAlign w:val="center"/>
          </w:tcPr>
          <w:p w14:paraId="202072B3">
            <w:pPr>
              <w:jc w:val="center"/>
              <w:rPr>
                <w:color w:val="000000"/>
                <w:sz w:val="20"/>
                <w:szCs w:val="20"/>
              </w:rPr>
            </w:pPr>
            <w:r>
              <w:rPr>
                <w:color w:val="000000"/>
                <w:sz w:val="20"/>
                <w:szCs w:val="20"/>
              </w:rPr>
              <w:t>1.046.203.200</w:t>
            </w:r>
          </w:p>
        </w:tc>
      </w:tr>
      <w:tr w14:paraId="05E4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27EFC7B">
            <w:pPr>
              <w:jc w:val="center"/>
              <w:rPr>
                <w:b/>
                <w:bCs/>
                <w:color w:val="000000"/>
                <w:sz w:val="20"/>
                <w:szCs w:val="20"/>
              </w:rPr>
            </w:pPr>
            <w:r>
              <w:rPr>
                <w:b/>
                <w:bCs/>
                <w:color w:val="000000"/>
                <w:sz w:val="20"/>
                <w:szCs w:val="20"/>
              </w:rPr>
              <w:t>LK36</w:t>
            </w:r>
          </w:p>
        </w:tc>
        <w:tc>
          <w:tcPr>
            <w:tcW w:w="1802" w:type="dxa"/>
            <w:vAlign w:val="center"/>
          </w:tcPr>
          <w:p w14:paraId="2CA8A49C">
            <w:pPr>
              <w:jc w:val="center"/>
              <w:rPr>
                <w:color w:val="000000"/>
                <w:sz w:val="20"/>
                <w:szCs w:val="20"/>
              </w:rPr>
            </w:pPr>
            <w:r>
              <w:rPr>
                <w:color w:val="000000"/>
                <w:sz w:val="20"/>
                <w:szCs w:val="20"/>
              </w:rPr>
              <w:t>LK36:02</w:t>
            </w:r>
          </w:p>
        </w:tc>
        <w:tc>
          <w:tcPr>
            <w:tcW w:w="1033" w:type="dxa"/>
            <w:noWrap/>
            <w:vAlign w:val="center"/>
          </w:tcPr>
          <w:p w14:paraId="5CBFAD0E">
            <w:pPr>
              <w:jc w:val="center"/>
              <w:rPr>
                <w:color w:val="000000"/>
                <w:sz w:val="20"/>
                <w:szCs w:val="20"/>
              </w:rPr>
            </w:pPr>
            <w:r>
              <w:rPr>
                <w:color w:val="000000"/>
                <w:sz w:val="20"/>
                <w:szCs w:val="20"/>
              </w:rPr>
              <w:t>95,80</w:t>
            </w:r>
          </w:p>
        </w:tc>
        <w:tc>
          <w:tcPr>
            <w:tcW w:w="846" w:type="dxa"/>
            <w:noWrap/>
            <w:vAlign w:val="center"/>
          </w:tcPr>
          <w:p w14:paraId="405ED302">
            <w:pPr>
              <w:jc w:val="center"/>
              <w:rPr>
                <w:color w:val="000000"/>
                <w:sz w:val="20"/>
                <w:szCs w:val="20"/>
              </w:rPr>
            </w:pPr>
            <w:r>
              <w:rPr>
                <w:color w:val="000000"/>
                <w:sz w:val="20"/>
                <w:szCs w:val="20"/>
              </w:rPr>
              <w:t>1</w:t>
            </w:r>
          </w:p>
        </w:tc>
        <w:tc>
          <w:tcPr>
            <w:tcW w:w="2578" w:type="dxa"/>
            <w:noWrap/>
            <w:vAlign w:val="center"/>
          </w:tcPr>
          <w:p w14:paraId="10D1B884">
            <w:pPr>
              <w:jc w:val="center"/>
              <w:rPr>
                <w:color w:val="000000"/>
                <w:sz w:val="20"/>
                <w:szCs w:val="20"/>
              </w:rPr>
            </w:pPr>
            <w:r>
              <w:rPr>
                <w:color w:val="000000"/>
                <w:sz w:val="20"/>
                <w:szCs w:val="20"/>
              </w:rPr>
              <w:t>Mặt cắt 2-2</w:t>
            </w:r>
          </w:p>
        </w:tc>
        <w:tc>
          <w:tcPr>
            <w:tcW w:w="2393" w:type="dxa"/>
            <w:noWrap/>
            <w:vAlign w:val="center"/>
          </w:tcPr>
          <w:p w14:paraId="58A049B0">
            <w:pPr>
              <w:jc w:val="center"/>
              <w:rPr>
                <w:color w:val="000000"/>
                <w:sz w:val="20"/>
                <w:szCs w:val="20"/>
              </w:rPr>
            </w:pPr>
            <w:r>
              <w:rPr>
                <w:color w:val="000000"/>
                <w:sz w:val="20"/>
                <w:szCs w:val="20"/>
              </w:rPr>
              <w:t>Một mặt tiền, đối diện/tiếp giáp CX-MN</w:t>
            </w:r>
          </w:p>
        </w:tc>
        <w:tc>
          <w:tcPr>
            <w:tcW w:w="1198" w:type="dxa"/>
            <w:noWrap/>
            <w:vAlign w:val="center"/>
          </w:tcPr>
          <w:p w14:paraId="1837C573">
            <w:pPr>
              <w:jc w:val="center"/>
              <w:rPr>
                <w:color w:val="000000"/>
                <w:sz w:val="20"/>
                <w:szCs w:val="20"/>
              </w:rPr>
            </w:pPr>
            <w:r>
              <w:rPr>
                <w:color w:val="000000"/>
                <w:sz w:val="20"/>
                <w:szCs w:val="20"/>
              </w:rPr>
              <w:t>11.235.000</w:t>
            </w:r>
          </w:p>
        </w:tc>
        <w:tc>
          <w:tcPr>
            <w:tcW w:w="1236" w:type="dxa"/>
            <w:noWrap/>
            <w:vAlign w:val="center"/>
          </w:tcPr>
          <w:p w14:paraId="2E9E7E75">
            <w:pPr>
              <w:jc w:val="center"/>
              <w:rPr>
                <w:color w:val="000000"/>
                <w:sz w:val="20"/>
                <w:szCs w:val="20"/>
              </w:rPr>
            </w:pPr>
            <w:r>
              <w:rPr>
                <w:color w:val="000000"/>
                <w:sz w:val="20"/>
                <w:szCs w:val="20"/>
              </w:rPr>
              <w:t>12.579.000</w:t>
            </w:r>
          </w:p>
        </w:tc>
        <w:tc>
          <w:tcPr>
            <w:tcW w:w="1252" w:type="dxa"/>
            <w:noWrap/>
            <w:vAlign w:val="center"/>
          </w:tcPr>
          <w:p w14:paraId="11661264">
            <w:pPr>
              <w:jc w:val="center"/>
              <w:rPr>
                <w:color w:val="000000"/>
                <w:sz w:val="20"/>
                <w:szCs w:val="20"/>
              </w:rPr>
            </w:pPr>
            <w:r>
              <w:rPr>
                <w:color w:val="000000"/>
                <w:sz w:val="20"/>
                <w:szCs w:val="20"/>
              </w:rPr>
              <w:t>23.814.000</w:t>
            </w:r>
          </w:p>
        </w:tc>
        <w:tc>
          <w:tcPr>
            <w:tcW w:w="1848" w:type="dxa"/>
            <w:noWrap/>
            <w:vAlign w:val="center"/>
          </w:tcPr>
          <w:p w14:paraId="13DC4F89">
            <w:pPr>
              <w:jc w:val="center"/>
              <w:rPr>
                <w:color w:val="000000"/>
                <w:sz w:val="20"/>
                <w:szCs w:val="20"/>
              </w:rPr>
            </w:pPr>
            <w:r>
              <w:rPr>
                <w:color w:val="000000"/>
                <w:sz w:val="20"/>
                <w:szCs w:val="20"/>
              </w:rPr>
              <w:t>2.281.381.200</w:t>
            </w:r>
          </w:p>
        </w:tc>
      </w:tr>
      <w:tr w14:paraId="4027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6E0F9E9">
            <w:pPr>
              <w:jc w:val="center"/>
              <w:rPr>
                <w:b/>
                <w:bCs/>
                <w:color w:val="000000"/>
                <w:sz w:val="20"/>
                <w:szCs w:val="20"/>
              </w:rPr>
            </w:pPr>
            <w:r>
              <w:rPr>
                <w:b/>
                <w:bCs/>
                <w:color w:val="000000"/>
                <w:sz w:val="20"/>
                <w:szCs w:val="20"/>
              </w:rPr>
              <w:t>LK36</w:t>
            </w:r>
          </w:p>
        </w:tc>
        <w:tc>
          <w:tcPr>
            <w:tcW w:w="1802" w:type="dxa"/>
            <w:vAlign w:val="center"/>
          </w:tcPr>
          <w:p w14:paraId="4FE0276D">
            <w:pPr>
              <w:jc w:val="center"/>
              <w:rPr>
                <w:color w:val="000000"/>
                <w:sz w:val="20"/>
                <w:szCs w:val="20"/>
              </w:rPr>
            </w:pPr>
            <w:r>
              <w:rPr>
                <w:color w:val="000000"/>
                <w:sz w:val="20"/>
                <w:szCs w:val="20"/>
              </w:rPr>
              <w:t>LK36:03</w:t>
            </w:r>
          </w:p>
        </w:tc>
        <w:tc>
          <w:tcPr>
            <w:tcW w:w="1033" w:type="dxa"/>
            <w:noWrap/>
            <w:vAlign w:val="center"/>
          </w:tcPr>
          <w:p w14:paraId="65555AE2">
            <w:pPr>
              <w:jc w:val="center"/>
              <w:rPr>
                <w:color w:val="000000"/>
                <w:sz w:val="20"/>
                <w:szCs w:val="20"/>
              </w:rPr>
            </w:pPr>
            <w:r>
              <w:rPr>
                <w:color w:val="000000"/>
                <w:sz w:val="20"/>
                <w:szCs w:val="20"/>
              </w:rPr>
              <w:t>94,26</w:t>
            </w:r>
          </w:p>
        </w:tc>
        <w:tc>
          <w:tcPr>
            <w:tcW w:w="846" w:type="dxa"/>
            <w:noWrap/>
            <w:vAlign w:val="center"/>
          </w:tcPr>
          <w:p w14:paraId="168C8B96">
            <w:pPr>
              <w:jc w:val="center"/>
              <w:rPr>
                <w:color w:val="000000"/>
                <w:sz w:val="20"/>
                <w:szCs w:val="20"/>
              </w:rPr>
            </w:pPr>
            <w:r>
              <w:rPr>
                <w:color w:val="000000"/>
                <w:sz w:val="20"/>
                <w:szCs w:val="20"/>
              </w:rPr>
              <w:t>1</w:t>
            </w:r>
          </w:p>
        </w:tc>
        <w:tc>
          <w:tcPr>
            <w:tcW w:w="2578" w:type="dxa"/>
            <w:noWrap/>
            <w:vAlign w:val="center"/>
          </w:tcPr>
          <w:p w14:paraId="28D3BA28">
            <w:pPr>
              <w:jc w:val="center"/>
              <w:rPr>
                <w:color w:val="000000"/>
                <w:sz w:val="20"/>
                <w:szCs w:val="20"/>
              </w:rPr>
            </w:pPr>
            <w:r>
              <w:rPr>
                <w:color w:val="000000"/>
                <w:sz w:val="20"/>
                <w:szCs w:val="20"/>
              </w:rPr>
              <w:t>Mặt cắt 2-2</w:t>
            </w:r>
          </w:p>
        </w:tc>
        <w:tc>
          <w:tcPr>
            <w:tcW w:w="2393" w:type="dxa"/>
            <w:noWrap/>
            <w:vAlign w:val="center"/>
          </w:tcPr>
          <w:p w14:paraId="5D996101">
            <w:pPr>
              <w:jc w:val="center"/>
              <w:rPr>
                <w:color w:val="000000"/>
                <w:sz w:val="20"/>
                <w:szCs w:val="20"/>
              </w:rPr>
            </w:pPr>
            <w:r>
              <w:rPr>
                <w:color w:val="000000"/>
                <w:sz w:val="20"/>
                <w:szCs w:val="20"/>
              </w:rPr>
              <w:t>Một mặt tiền, đối diện/tiếp giáp CX-MN</w:t>
            </w:r>
          </w:p>
        </w:tc>
        <w:tc>
          <w:tcPr>
            <w:tcW w:w="1198" w:type="dxa"/>
            <w:noWrap/>
            <w:vAlign w:val="center"/>
          </w:tcPr>
          <w:p w14:paraId="602B4059">
            <w:pPr>
              <w:jc w:val="center"/>
              <w:rPr>
                <w:color w:val="000000"/>
                <w:sz w:val="20"/>
                <w:szCs w:val="20"/>
              </w:rPr>
            </w:pPr>
            <w:r>
              <w:rPr>
                <w:color w:val="000000"/>
                <w:sz w:val="20"/>
                <w:szCs w:val="20"/>
              </w:rPr>
              <w:t>11.235.000</w:t>
            </w:r>
          </w:p>
        </w:tc>
        <w:tc>
          <w:tcPr>
            <w:tcW w:w="1236" w:type="dxa"/>
            <w:noWrap/>
            <w:vAlign w:val="center"/>
          </w:tcPr>
          <w:p w14:paraId="76508021">
            <w:pPr>
              <w:jc w:val="center"/>
              <w:rPr>
                <w:color w:val="000000"/>
                <w:sz w:val="20"/>
                <w:szCs w:val="20"/>
              </w:rPr>
            </w:pPr>
            <w:r>
              <w:rPr>
                <w:color w:val="000000"/>
                <w:sz w:val="20"/>
                <w:szCs w:val="20"/>
              </w:rPr>
              <w:t>12.579.000</w:t>
            </w:r>
          </w:p>
        </w:tc>
        <w:tc>
          <w:tcPr>
            <w:tcW w:w="1252" w:type="dxa"/>
            <w:noWrap/>
            <w:vAlign w:val="center"/>
          </w:tcPr>
          <w:p w14:paraId="09505E1D">
            <w:pPr>
              <w:jc w:val="center"/>
              <w:rPr>
                <w:color w:val="000000"/>
                <w:sz w:val="20"/>
                <w:szCs w:val="20"/>
              </w:rPr>
            </w:pPr>
            <w:r>
              <w:rPr>
                <w:color w:val="000000"/>
                <w:sz w:val="20"/>
                <w:szCs w:val="20"/>
              </w:rPr>
              <w:t>23.814.000</w:t>
            </w:r>
          </w:p>
        </w:tc>
        <w:tc>
          <w:tcPr>
            <w:tcW w:w="1848" w:type="dxa"/>
            <w:noWrap/>
            <w:vAlign w:val="center"/>
          </w:tcPr>
          <w:p w14:paraId="6B373634">
            <w:pPr>
              <w:jc w:val="center"/>
              <w:rPr>
                <w:color w:val="000000"/>
                <w:sz w:val="20"/>
                <w:szCs w:val="20"/>
              </w:rPr>
            </w:pPr>
            <w:r>
              <w:rPr>
                <w:color w:val="000000"/>
                <w:sz w:val="20"/>
                <w:szCs w:val="20"/>
              </w:rPr>
              <w:t>2.244.707.640</w:t>
            </w:r>
          </w:p>
        </w:tc>
      </w:tr>
      <w:tr w14:paraId="0E52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2BB3242">
            <w:pPr>
              <w:jc w:val="center"/>
              <w:rPr>
                <w:b/>
                <w:bCs/>
                <w:color w:val="000000"/>
                <w:sz w:val="20"/>
                <w:szCs w:val="20"/>
              </w:rPr>
            </w:pPr>
            <w:r>
              <w:rPr>
                <w:b/>
                <w:bCs/>
                <w:color w:val="000000"/>
                <w:sz w:val="20"/>
                <w:szCs w:val="20"/>
              </w:rPr>
              <w:t>LK36</w:t>
            </w:r>
          </w:p>
        </w:tc>
        <w:tc>
          <w:tcPr>
            <w:tcW w:w="1802" w:type="dxa"/>
            <w:vAlign w:val="center"/>
          </w:tcPr>
          <w:p w14:paraId="2283D8C2">
            <w:pPr>
              <w:jc w:val="center"/>
              <w:rPr>
                <w:color w:val="000000"/>
                <w:sz w:val="20"/>
                <w:szCs w:val="20"/>
              </w:rPr>
            </w:pPr>
            <w:r>
              <w:rPr>
                <w:color w:val="000000"/>
                <w:sz w:val="20"/>
                <w:szCs w:val="20"/>
              </w:rPr>
              <w:t>LK36:04</w:t>
            </w:r>
          </w:p>
        </w:tc>
        <w:tc>
          <w:tcPr>
            <w:tcW w:w="1033" w:type="dxa"/>
            <w:noWrap/>
            <w:vAlign w:val="center"/>
          </w:tcPr>
          <w:p w14:paraId="371F4898">
            <w:pPr>
              <w:jc w:val="center"/>
              <w:rPr>
                <w:color w:val="000000"/>
                <w:sz w:val="20"/>
                <w:szCs w:val="20"/>
              </w:rPr>
            </w:pPr>
            <w:r>
              <w:rPr>
                <w:color w:val="000000"/>
                <w:sz w:val="20"/>
                <w:szCs w:val="20"/>
              </w:rPr>
              <w:t>90,04</w:t>
            </w:r>
          </w:p>
        </w:tc>
        <w:tc>
          <w:tcPr>
            <w:tcW w:w="846" w:type="dxa"/>
            <w:noWrap/>
            <w:vAlign w:val="center"/>
          </w:tcPr>
          <w:p w14:paraId="4630B8F3">
            <w:pPr>
              <w:jc w:val="center"/>
              <w:rPr>
                <w:color w:val="000000"/>
                <w:sz w:val="20"/>
                <w:szCs w:val="20"/>
              </w:rPr>
            </w:pPr>
            <w:r>
              <w:rPr>
                <w:color w:val="000000"/>
                <w:sz w:val="20"/>
                <w:szCs w:val="20"/>
              </w:rPr>
              <w:t>1</w:t>
            </w:r>
          </w:p>
        </w:tc>
        <w:tc>
          <w:tcPr>
            <w:tcW w:w="2578" w:type="dxa"/>
            <w:noWrap/>
            <w:vAlign w:val="center"/>
          </w:tcPr>
          <w:p w14:paraId="563411ED">
            <w:pPr>
              <w:jc w:val="center"/>
              <w:rPr>
                <w:color w:val="000000"/>
                <w:sz w:val="20"/>
                <w:szCs w:val="20"/>
              </w:rPr>
            </w:pPr>
            <w:r>
              <w:rPr>
                <w:color w:val="000000"/>
                <w:sz w:val="20"/>
                <w:szCs w:val="20"/>
              </w:rPr>
              <w:t>Mặt cắt 2-2</w:t>
            </w:r>
          </w:p>
        </w:tc>
        <w:tc>
          <w:tcPr>
            <w:tcW w:w="2393" w:type="dxa"/>
            <w:noWrap/>
            <w:vAlign w:val="center"/>
          </w:tcPr>
          <w:p w14:paraId="26A08E29">
            <w:pPr>
              <w:jc w:val="center"/>
              <w:rPr>
                <w:color w:val="000000"/>
                <w:sz w:val="20"/>
                <w:szCs w:val="20"/>
              </w:rPr>
            </w:pPr>
            <w:r>
              <w:rPr>
                <w:color w:val="000000"/>
                <w:sz w:val="20"/>
                <w:szCs w:val="20"/>
              </w:rPr>
              <w:t>Một mặt tiền, đối diện/tiếp giáp CX-MN</w:t>
            </w:r>
          </w:p>
        </w:tc>
        <w:tc>
          <w:tcPr>
            <w:tcW w:w="1198" w:type="dxa"/>
            <w:noWrap/>
            <w:vAlign w:val="center"/>
          </w:tcPr>
          <w:p w14:paraId="787A854C">
            <w:pPr>
              <w:jc w:val="center"/>
              <w:rPr>
                <w:color w:val="000000"/>
                <w:sz w:val="20"/>
                <w:szCs w:val="20"/>
              </w:rPr>
            </w:pPr>
            <w:r>
              <w:rPr>
                <w:color w:val="000000"/>
                <w:sz w:val="20"/>
                <w:szCs w:val="20"/>
              </w:rPr>
              <w:t>11.235.000</w:t>
            </w:r>
          </w:p>
        </w:tc>
        <w:tc>
          <w:tcPr>
            <w:tcW w:w="1236" w:type="dxa"/>
            <w:noWrap/>
            <w:vAlign w:val="center"/>
          </w:tcPr>
          <w:p w14:paraId="0F589C9D">
            <w:pPr>
              <w:jc w:val="center"/>
              <w:rPr>
                <w:color w:val="000000"/>
                <w:sz w:val="20"/>
                <w:szCs w:val="20"/>
              </w:rPr>
            </w:pPr>
            <w:r>
              <w:rPr>
                <w:color w:val="000000"/>
                <w:sz w:val="20"/>
                <w:szCs w:val="20"/>
              </w:rPr>
              <w:t>12.579.000</w:t>
            </w:r>
          </w:p>
        </w:tc>
        <w:tc>
          <w:tcPr>
            <w:tcW w:w="1252" w:type="dxa"/>
            <w:noWrap/>
            <w:vAlign w:val="center"/>
          </w:tcPr>
          <w:p w14:paraId="557CEB01">
            <w:pPr>
              <w:jc w:val="center"/>
              <w:rPr>
                <w:color w:val="000000"/>
                <w:sz w:val="20"/>
                <w:szCs w:val="20"/>
              </w:rPr>
            </w:pPr>
            <w:r>
              <w:rPr>
                <w:color w:val="000000"/>
                <w:sz w:val="20"/>
                <w:szCs w:val="20"/>
              </w:rPr>
              <w:t>23.814.000</w:t>
            </w:r>
          </w:p>
        </w:tc>
        <w:tc>
          <w:tcPr>
            <w:tcW w:w="1848" w:type="dxa"/>
            <w:noWrap/>
            <w:vAlign w:val="center"/>
          </w:tcPr>
          <w:p w14:paraId="34507981">
            <w:pPr>
              <w:jc w:val="center"/>
              <w:rPr>
                <w:color w:val="000000"/>
                <w:sz w:val="20"/>
                <w:szCs w:val="20"/>
              </w:rPr>
            </w:pPr>
            <w:r>
              <w:rPr>
                <w:color w:val="000000"/>
                <w:sz w:val="20"/>
                <w:szCs w:val="20"/>
              </w:rPr>
              <w:t>2.144.212.560</w:t>
            </w:r>
          </w:p>
        </w:tc>
      </w:tr>
      <w:tr w14:paraId="7F6F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8FE052">
            <w:pPr>
              <w:jc w:val="center"/>
              <w:rPr>
                <w:b/>
                <w:bCs/>
                <w:color w:val="000000"/>
                <w:sz w:val="20"/>
                <w:szCs w:val="20"/>
              </w:rPr>
            </w:pPr>
            <w:r>
              <w:rPr>
                <w:b/>
                <w:bCs/>
                <w:color w:val="000000"/>
                <w:sz w:val="20"/>
                <w:szCs w:val="20"/>
              </w:rPr>
              <w:t>LK36</w:t>
            </w:r>
          </w:p>
        </w:tc>
        <w:tc>
          <w:tcPr>
            <w:tcW w:w="1802" w:type="dxa"/>
            <w:vAlign w:val="center"/>
          </w:tcPr>
          <w:p w14:paraId="139DAECA">
            <w:pPr>
              <w:jc w:val="center"/>
              <w:rPr>
                <w:color w:val="000000"/>
                <w:sz w:val="20"/>
                <w:szCs w:val="20"/>
              </w:rPr>
            </w:pPr>
            <w:r>
              <w:rPr>
                <w:color w:val="000000"/>
                <w:sz w:val="20"/>
                <w:szCs w:val="20"/>
              </w:rPr>
              <w:t>LK36:05</w:t>
            </w:r>
          </w:p>
        </w:tc>
        <w:tc>
          <w:tcPr>
            <w:tcW w:w="1033" w:type="dxa"/>
            <w:noWrap/>
            <w:vAlign w:val="center"/>
          </w:tcPr>
          <w:p w14:paraId="23473EBF">
            <w:pPr>
              <w:jc w:val="center"/>
              <w:rPr>
                <w:color w:val="000000"/>
                <w:sz w:val="20"/>
                <w:szCs w:val="20"/>
              </w:rPr>
            </w:pPr>
            <w:r>
              <w:rPr>
                <w:color w:val="000000"/>
                <w:sz w:val="20"/>
                <w:szCs w:val="20"/>
              </w:rPr>
              <w:t>98,69</w:t>
            </w:r>
          </w:p>
        </w:tc>
        <w:tc>
          <w:tcPr>
            <w:tcW w:w="846" w:type="dxa"/>
            <w:noWrap/>
            <w:vAlign w:val="center"/>
          </w:tcPr>
          <w:p w14:paraId="7F3EE42C">
            <w:pPr>
              <w:jc w:val="center"/>
              <w:rPr>
                <w:color w:val="000000"/>
                <w:sz w:val="20"/>
                <w:szCs w:val="20"/>
              </w:rPr>
            </w:pPr>
            <w:r>
              <w:rPr>
                <w:color w:val="000000"/>
                <w:sz w:val="20"/>
                <w:szCs w:val="20"/>
              </w:rPr>
              <w:t>1</w:t>
            </w:r>
          </w:p>
        </w:tc>
        <w:tc>
          <w:tcPr>
            <w:tcW w:w="2578" w:type="dxa"/>
            <w:noWrap/>
            <w:vAlign w:val="center"/>
          </w:tcPr>
          <w:p w14:paraId="2AC4746E">
            <w:pPr>
              <w:jc w:val="center"/>
              <w:rPr>
                <w:color w:val="000000"/>
                <w:sz w:val="20"/>
                <w:szCs w:val="20"/>
              </w:rPr>
            </w:pPr>
            <w:r>
              <w:rPr>
                <w:color w:val="000000"/>
                <w:sz w:val="20"/>
                <w:szCs w:val="20"/>
              </w:rPr>
              <w:t>Mặt cắt 2-2</w:t>
            </w:r>
          </w:p>
        </w:tc>
        <w:tc>
          <w:tcPr>
            <w:tcW w:w="2393" w:type="dxa"/>
            <w:noWrap/>
            <w:vAlign w:val="center"/>
          </w:tcPr>
          <w:p w14:paraId="4DB370F5">
            <w:pPr>
              <w:jc w:val="center"/>
              <w:rPr>
                <w:color w:val="000000"/>
                <w:sz w:val="20"/>
                <w:szCs w:val="20"/>
              </w:rPr>
            </w:pPr>
            <w:r>
              <w:rPr>
                <w:color w:val="000000"/>
                <w:sz w:val="20"/>
                <w:szCs w:val="20"/>
              </w:rPr>
              <w:t>Một mặt tiền, đối diện/tiếp giáp CX-MN</w:t>
            </w:r>
          </w:p>
        </w:tc>
        <w:tc>
          <w:tcPr>
            <w:tcW w:w="1198" w:type="dxa"/>
            <w:noWrap/>
            <w:vAlign w:val="center"/>
          </w:tcPr>
          <w:p w14:paraId="78014E67">
            <w:pPr>
              <w:jc w:val="center"/>
              <w:rPr>
                <w:color w:val="000000"/>
                <w:sz w:val="20"/>
                <w:szCs w:val="20"/>
              </w:rPr>
            </w:pPr>
            <w:r>
              <w:rPr>
                <w:color w:val="000000"/>
                <w:sz w:val="20"/>
                <w:szCs w:val="20"/>
              </w:rPr>
              <w:t>11.235.000</w:t>
            </w:r>
          </w:p>
        </w:tc>
        <w:tc>
          <w:tcPr>
            <w:tcW w:w="1236" w:type="dxa"/>
            <w:noWrap/>
            <w:vAlign w:val="center"/>
          </w:tcPr>
          <w:p w14:paraId="6529B8BB">
            <w:pPr>
              <w:jc w:val="center"/>
              <w:rPr>
                <w:color w:val="000000"/>
                <w:sz w:val="20"/>
                <w:szCs w:val="20"/>
              </w:rPr>
            </w:pPr>
            <w:r>
              <w:rPr>
                <w:color w:val="000000"/>
                <w:sz w:val="20"/>
                <w:szCs w:val="20"/>
              </w:rPr>
              <w:t>12.579.000</w:t>
            </w:r>
          </w:p>
        </w:tc>
        <w:tc>
          <w:tcPr>
            <w:tcW w:w="1252" w:type="dxa"/>
            <w:noWrap/>
            <w:vAlign w:val="center"/>
          </w:tcPr>
          <w:p w14:paraId="0CA0CCC2">
            <w:pPr>
              <w:jc w:val="center"/>
              <w:rPr>
                <w:color w:val="000000"/>
                <w:sz w:val="20"/>
                <w:szCs w:val="20"/>
              </w:rPr>
            </w:pPr>
            <w:r>
              <w:rPr>
                <w:color w:val="000000"/>
                <w:sz w:val="20"/>
                <w:szCs w:val="20"/>
              </w:rPr>
              <w:t>23.814.000</w:t>
            </w:r>
          </w:p>
        </w:tc>
        <w:tc>
          <w:tcPr>
            <w:tcW w:w="1848" w:type="dxa"/>
            <w:noWrap/>
            <w:vAlign w:val="center"/>
          </w:tcPr>
          <w:p w14:paraId="0FDBD465">
            <w:pPr>
              <w:jc w:val="center"/>
              <w:rPr>
                <w:color w:val="000000"/>
                <w:sz w:val="20"/>
                <w:szCs w:val="20"/>
              </w:rPr>
            </w:pPr>
            <w:r>
              <w:rPr>
                <w:color w:val="000000"/>
                <w:sz w:val="20"/>
                <w:szCs w:val="20"/>
              </w:rPr>
              <w:t>2.350.203.660</w:t>
            </w:r>
          </w:p>
        </w:tc>
      </w:tr>
      <w:tr w14:paraId="30D1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08D3B3F">
            <w:pPr>
              <w:jc w:val="center"/>
              <w:rPr>
                <w:b/>
                <w:bCs/>
                <w:color w:val="000000"/>
                <w:sz w:val="20"/>
                <w:szCs w:val="20"/>
              </w:rPr>
            </w:pPr>
            <w:r>
              <w:rPr>
                <w:b/>
                <w:bCs/>
                <w:color w:val="000000"/>
                <w:sz w:val="20"/>
                <w:szCs w:val="20"/>
              </w:rPr>
              <w:t>LK37</w:t>
            </w:r>
          </w:p>
        </w:tc>
        <w:tc>
          <w:tcPr>
            <w:tcW w:w="1802" w:type="dxa"/>
            <w:vAlign w:val="center"/>
          </w:tcPr>
          <w:p w14:paraId="452690AA">
            <w:pPr>
              <w:jc w:val="center"/>
              <w:rPr>
                <w:color w:val="000000"/>
                <w:sz w:val="20"/>
                <w:szCs w:val="20"/>
              </w:rPr>
            </w:pPr>
            <w:r>
              <w:rPr>
                <w:color w:val="000000"/>
                <w:sz w:val="20"/>
                <w:szCs w:val="20"/>
              </w:rPr>
              <w:t>LK37:02</w:t>
            </w:r>
          </w:p>
        </w:tc>
        <w:tc>
          <w:tcPr>
            <w:tcW w:w="1033" w:type="dxa"/>
            <w:noWrap/>
            <w:vAlign w:val="center"/>
          </w:tcPr>
          <w:p w14:paraId="7388AD1C">
            <w:pPr>
              <w:jc w:val="center"/>
              <w:rPr>
                <w:color w:val="000000"/>
                <w:sz w:val="20"/>
                <w:szCs w:val="20"/>
              </w:rPr>
            </w:pPr>
            <w:r>
              <w:rPr>
                <w:color w:val="000000"/>
                <w:sz w:val="20"/>
                <w:szCs w:val="20"/>
              </w:rPr>
              <w:t>90,00</w:t>
            </w:r>
          </w:p>
        </w:tc>
        <w:tc>
          <w:tcPr>
            <w:tcW w:w="846" w:type="dxa"/>
            <w:noWrap/>
            <w:vAlign w:val="center"/>
          </w:tcPr>
          <w:p w14:paraId="5D66114B">
            <w:pPr>
              <w:jc w:val="center"/>
              <w:rPr>
                <w:color w:val="000000"/>
                <w:sz w:val="20"/>
                <w:szCs w:val="20"/>
              </w:rPr>
            </w:pPr>
            <w:r>
              <w:rPr>
                <w:color w:val="000000"/>
                <w:sz w:val="20"/>
                <w:szCs w:val="20"/>
              </w:rPr>
              <w:t>1</w:t>
            </w:r>
          </w:p>
        </w:tc>
        <w:tc>
          <w:tcPr>
            <w:tcW w:w="2578" w:type="dxa"/>
            <w:noWrap/>
            <w:vAlign w:val="center"/>
          </w:tcPr>
          <w:p w14:paraId="2FB2497B">
            <w:pPr>
              <w:jc w:val="center"/>
              <w:rPr>
                <w:color w:val="000000"/>
                <w:sz w:val="20"/>
                <w:szCs w:val="20"/>
              </w:rPr>
            </w:pPr>
            <w:r>
              <w:rPr>
                <w:color w:val="000000"/>
                <w:sz w:val="20"/>
                <w:szCs w:val="20"/>
              </w:rPr>
              <w:t>Mặt cắt 2-2</w:t>
            </w:r>
          </w:p>
        </w:tc>
        <w:tc>
          <w:tcPr>
            <w:tcW w:w="2393" w:type="dxa"/>
            <w:noWrap/>
            <w:vAlign w:val="center"/>
          </w:tcPr>
          <w:p w14:paraId="65B9C85A">
            <w:pPr>
              <w:jc w:val="center"/>
              <w:rPr>
                <w:color w:val="000000"/>
                <w:sz w:val="20"/>
                <w:szCs w:val="20"/>
              </w:rPr>
            </w:pPr>
            <w:r>
              <w:rPr>
                <w:color w:val="000000"/>
                <w:sz w:val="20"/>
                <w:szCs w:val="20"/>
              </w:rPr>
              <w:t>Một mặt tiền, đối diện/tiếp giáp CX-MN</w:t>
            </w:r>
          </w:p>
        </w:tc>
        <w:tc>
          <w:tcPr>
            <w:tcW w:w="1198" w:type="dxa"/>
            <w:noWrap/>
            <w:vAlign w:val="center"/>
          </w:tcPr>
          <w:p w14:paraId="23480847">
            <w:pPr>
              <w:jc w:val="center"/>
              <w:rPr>
                <w:color w:val="000000"/>
                <w:sz w:val="20"/>
                <w:szCs w:val="20"/>
              </w:rPr>
            </w:pPr>
            <w:r>
              <w:rPr>
                <w:color w:val="000000"/>
                <w:sz w:val="20"/>
                <w:szCs w:val="20"/>
              </w:rPr>
              <w:t>11.235.000</w:t>
            </w:r>
          </w:p>
        </w:tc>
        <w:tc>
          <w:tcPr>
            <w:tcW w:w="1236" w:type="dxa"/>
            <w:noWrap/>
            <w:vAlign w:val="center"/>
          </w:tcPr>
          <w:p w14:paraId="1D724EA2">
            <w:pPr>
              <w:jc w:val="center"/>
              <w:rPr>
                <w:color w:val="000000"/>
                <w:sz w:val="20"/>
                <w:szCs w:val="20"/>
              </w:rPr>
            </w:pPr>
            <w:r>
              <w:rPr>
                <w:color w:val="000000"/>
                <w:sz w:val="20"/>
                <w:szCs w:val="20"/>
              </w:rPr>
              <w:t>12.579.000</w:t>
            </w:r>
          </w:p>
        </w:tc>
        <w:tc>
          <w:tcPr>
            <w:tcW w:w="1252" w:type="dxa"/>
            <w:noWrap/>
            <w:vAlign w:val="center"/>
          </w:tcPr>
          <w:p w14:paraId="453F513A">
            <w:pPr>
              <w:jc w:val="center"/>
              <w:rPr>
                <w:color w:val="000000"/>
                <w:sz w:val="20"/>
                <w:szCs w:val="20"/>
              </w:rPr>
            </w:pPr>
            <w:r>
              <w:rPr>
                <w:color w:val="000000"/>
                <w:sz w:val="20"/>
                <w:szCs w:val="20"/>
              </w:rPr>
              <w:t>23.814.000</w:t>
            </w:r>
          </w:p>
        </w:tc>
        <w:tc>
          <w:tcPr>
            <w:tcW w:w="1848" w:type="dxa"/>
            <w:noWrap/>
            <w:vAlign w:val="center"/>
          </w:tcPr>
          <w:p w14:paraId="291BF6A3">
            <w:pPr>
              <w:jc w:val="center"/>
              <w:rPr>
                <w:color w:val="000000"/>
                <w:sz w:val="20"/>
                <w:szCs w:val="20"/>
              </w:rPr>
            </w:pPr>
            <w:r>
              <w:rPr>
                <w:color w:val="000000"/>
                <w:sz w:val="20"/>
                <w:szCs w:val="20"/>
              </w:rPr>
              <w:t>2.143.260.000</w:t>
            </w:r>
          </w:p>
        </w:tc>
      </w:tr>
      <w:tr w14:paraId="1586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FB2FAC">
            <w:pPr>
              <w:jc w:val="center"/>
              <w:rPr>
                <w:b/>
                <w:bCs/>
                <w:color w:val="000000"/>
                <w:sz w:val="20"/>
                <w:szCs w:val="20"/>
              </w:rPr>
            </w:pPr>
            <w:r>
              <w:rPr>
                <w:b/>
                <w:bCs/>
                <w:color w:val="000000"/>
                <w:sz w:val="20"/>
                <w:szCs w:val="20"/>
              </w:rPr>
              <w:t>LK37</w:t>
            </w:r>
          </w:p>
        </w:tc>
        <w:tc>
          <w:tcPr>
            <w:tcW w:w="1802" w:type="dxa"/>
            <w:vAlign w:val="center"/>
          </w:tcPr>
          <w:p w14:paraId="0660C7B5">
            <w:pPr>
              <w:jc w:val="center"/>
              <w:rPr>
                <w:color w:val="000000"/>
                <w:sz w:val="20"/>
                <w:szCs w:val="20"/>
              </w:rPr>
            </w:pPr>
            <w:r>
              <w:rPr>
                <w:color w:val="000000"/>
                <w:sz w:val="20"/>
                <w:szCs w:val="20"/>
              </w:rPr>
              <w:t>LK37:03</w:t>
            </w:r>
          </w:p>
        </w:tc>
        <w:tc>
          <w:tcPr>
            <w:tcW w:w="1033" w:type="dxa"/>
            <w:noWrap/>
            <w:vAlign w:val="center"/>
          </w:tcPr>
          <w:p w14:paraId="49DA25B9">
            <w:pPr>
              <w:jc w:val="center"/>
              <w:rPr>
                <w:color w:val="000000"/>
                <w:sz w:val="20"/>
                <w:szCs w:val="20"/>
              </w:rPr>
            </w:pPr>
            <w:r>
              <w:rPr>
                <w:color w:val="000000"/>
                <w:sz w:val="20"/>
                <w:szCs w:val="20"/>
              </w:rPr>
              <w:t>90,00</w:t>
            </w:r>
          </w:p>
        </w:tc>
        <w:tc>
          <w:tcPr>
            <w:tcW w:w="846" w:type="dxa"/>
            <w:noWrap/>
            <w:vAlign w:val="center"/>
          </w:tcPr>
          <w:p w14:paraId="50E6022C">
            <w:pPr>
              <w:jc w:val="center"/>
              <w:rPr>
                <w:color w:val="000000"/>
                <w:sz w:val="20"/>
                <w:szCs w:val="20"/>
              </w:rPr>
            </w:pPr>
            <w:r>
              <w:rPr>
                <w:color w:val="000000"/>
                <w:sz w:val="20"/>
                <w:szCs w:val="20"/>
              </w:rPr>
              <w:t>1</w:t>
            </w:r>
          </w:p>
        </w:tc>
        <w:tc>
          <w:tcPr>
            <w:tcW w:w="2578" w:type="dxa"/>
            <w:noWrap/>
            <w:vAlign w:val="center"/>
          </w:tcPr>
          <w:p w14:paraId="22EE3544">
            <w:pPr>
              <w:jc w:val="center"/>
              <w:rPr>
                <w:color w:val="000000"/>
                <w:sz w:val="20"/>
                <w:szCs w:val="20"/>
              </w:rPr>
            </w:pPr>
            <w:r>
              <w:rPr>
                <w:color w:val="000000"/>
                <w:sz w:val="20"/>
                <w:szCs w:val="20"/>
              </w:rPr>
              <w:t>Mặt cắt 2-2</w:t>
            </w:r>
          </w:p>
        </w:tc>
        <w:tc>
          <w:tcPr>
            <w:tcW w:w="2393" w:type="dxa"/>
            <w:noWrap/>
            <w:vAlign w:val="center"/>
          </w:tcPr>
          <w:p w14:paraId="277E3F08">
            <w:pPr>
              <w:jc w:val="center"/>
              <w:rPr>
                <w:color w:val="000000"/>
                <w:sz w:val="20"/>
                <w:szCs w:val="20"/>
              </w:rPr>
            </w:pPr>
            <w:r>
              <w:rPr>
                <w:color w:val="000000"/>
                <w:sz w:val="20"/>
                <w:szCs w:val="20"/>
              </w:rPr>
              <w:t>Một mặt tiền, đối diện/tiếp giáp CX-MN</w:t>
            </w:r>
          </w:p>
        </w:tc>
        <w:tc>
          <w:tcPr>
            <w:tcW w:w="1198" w:type="dxa"/>
            <w:noWrap/>
            <w:vAlign w:val="center"/>
          </w:tcPr>
          <w:p w14:paraId="3144DAC4">
            <w:pPr>
              <w:jc w:val="center"/>
              <w:rPr>
                <w:color w:val="000000"/>
                <w:sz w:val="20"/>
                <w:szCs w:val="20"/>
              </w:rPr>
            </w:pPr>
            <w:r>
              <w:rPr>
                <w:color w:val="000000"/>
                <w:sz w:val="20"/>
                <w:szCs w:val="20"/>
              </w:rPr>
              <w:t>11.235.000</w:t>
            </w:r>
          </w:p>
        </w:tc>
        <w:tc>
          <w:tcPr>
            <w:tcW w:w="1236" w:type="dxa"/>
            <w:noWrap/>
            <w:vAlign w:val="center"/>
          </w:tcPr>
          <w:p w14:paraId="39896845">
            <w:pPr>
              <w:jc w:val="center"/>
              <w:rPr>
                <w:color w:val="000000"/>
                <w:sz w:val="20"/>
                <w:szCs w:val="20"/>
              </w:rPr>
            </w:pPr>
            <w:r>
              <w:rPr>
                <w:color w:val="000000"/>
                <w:sz w:val="20"/>
                <w:szCs w:val="20"/>
              </w:rPr>
              <w:t>12.579.000</w:t>
            </w:r>
          </w:p>
        </w:tc>
        <w:tc>
          <w:tcPr>
            <w:tcW w:w="1252" w:type="dxa"/>
            <w:noWrap/>
            <w:vAlign w:val="center"/>
          </w:tcPr>
          <w:p w14:paraId="6771FB73">
            <w:pPr>
              <w:jc w:val="center"/>
              <w:rPr>
                <w:color w:val="000000"/>
                <w:sz w:val="20"/>
                <w:szCs w:val="20"/>
              </w:rPr>
            </w:pPr>
            <w:r>
              <w:rPr>
                <w:color w:val="000000"/>
                <w:sz w:val="20"/>
                <w:szCs w:val="20"/>
              </w:rPr>
              <w:t>23.814.000</w:t>
            </w:r>
          </w:p>
        </w:tc>
        <w:tc>
          <w:tcPr>
            <w:tcW w:w="1848" w:type="dxa"/>
            <w:noWrap/>
            <w:vAlign w:val="center"/>
          </w:tcPr>
          <w:p w14:paraId="1AC8698F">
            <w:pPr>
              <w:jc w:val="center"/>
              <w:rPr>
                <w:color w:val="000000"/>
                <w:sz w:val="20"/>
                <w:szCs w:val="20"/>
              </w:rPr>
            </w:pPr>
            <w:r>
              <w:rPr>
                <w:color w:val="000000"/>
                <w:sz w:val="20"/>
                <w:szCs w:val="20"/>
              </w:rPr>
              <w:t>2.143.260.000</w:t>
            </w:r>
          </w:p>
        </w:tc>
      </w:tr>
      <w:tr w14:paraId="795D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D36FF06">
            <w:pPr>
              <w:jc w:val="center"/>
              <w:rPr>
                <w:b/>
                <w:bCs/>
                <w:color w:val="000000"/>
                <w:sz w:val="20"/>
                <w:szCs w:val="20"/>
              </w:rPr>
            </w:pPr>
            <w:r>
              <w:rPr>
                <w:b/>
                <w:bCs/>
                <w:color w:val="000000"/>
                <w:sz w:val="20"/>
                <w:szCs w:val="20"/>
              </w:rPr>
              <w:t>LK37</w:t>
            </w:r>
          </w:p>
        </w:tc>
        <w:tc>
          <w:tcPr>
            <w:tcW w:w="1802" w:type="dxa"/>
            <w:vAlign w:val="center"/>
          </w:tcPr>
          <w:p w14:paraId="21E276A7">
            <w:pPr>
              <w:jc w:val="center"/>
              <w:rPr>
                <w:color w:val="000000"/>
                <w:sz w:val="20"/>
                <w:szCs w:val="20"/>
              </w:rPr>
            </w:pPr>
            <w:r>
              <w:rPr>
                <w:color w:val="000000"/>
                <w:sz w:val="20"/>
                <w:szCs w:val="20"/>
              </w:rPr>
              <w:t>LK37:04</w:t>
            </w:r>
          </w:p>
        </w:tc>
        <w:tc>
          <w:tcPr>
            <w:tcW w:w="1033" w:type="dxa"/>
            <w:noWrap/>
            <w:vAlign w:val="center"/>
          </w:tcPr>
          <w:p w14:paraId="07EEA69C">
            <w:pPr>
              <w:jc w:val="center"/>
              <w:rPr>
                <w:color w:val="000000"/>
                <w:sz w:val="20"/>
                <w:szCs w:val="20"/>
              </w:rPr>
            </w:pPr>
            <w:r>
              <w:rPr>
                <w:color w:val="000000"/>
                <w:sz w:val="20"/>
                <w:szCs w:val="20"/>
              </w:rPr>
              <w:t>90,00</w:t>
            </w:r>
          </w:p>
        </w:tc>
        <w:tc>
          <w:tcPr>
            <w:tcW w:w="846" w:type="dxa"/>
            <w:noWrap/>
            <w:vAlign w:val="center"/>
          </w:tcPr>
          <w:p w14:paraId="697A5C27">
            <w:pPr>
              <w:jc w:val="center"/>
              <w:rPr>
                <w:color w:val="000000"/>
                <w:sz w:val="20"/>
                <w:szCs w:val="20"/>
              </w:rPr>
            </w:pPr>
            <w:r>
              <w:rPr>
                <w:color w:val="000000"/>
                <w:sz w:val="20"/>
                <w:szCs w:val="20"/>
              </w:rPr>
              <w:t>1</w:t>
            </w:r>
          </w:p>
        </w:tc>
        <w:tc>
          <w:tcPr>
            <w:tcW w:w="2578" w:type="dxa"/>
            <w:noWrap/>
            <w:vAlign w:val="center"/>
          </w:tcPr>
          <w:p w14:paraId="162E27D3">
            <w:pPr>
              <w:jc w:val="center"/>
              <w:rPr>
                <w:color w:val="000000"/>
                <w:sz w:val="20"/>
                <w:szCs w:val="20"/>
              </w:rPr>
            </w:pPr>
            <w:r>
              <w:rPr>
                <w:color w:val="000000"/>
                <w:sz w:val="20"/>
                <w:szCs w:val="20"/>
              </w:rPr>
              <w:t>Mặt cắt 2-2</w:t>
            </w:r>
          </w:p>
        </w:tc>
        <w:tc>
          <w:tcPr>
            <w:tcW w:w="2393" w:type="dxa"/>
            <w:noWrap/>
            <w:vAlign w:val="center"/>
          </w:tcPr>
          <w:p w14:paraId="03BA9376">
            <w:pPr>
              <w:jc w:val="center"/>
              <w:rPr>
                <w:color w:val="000000"/>
                <w:sz w:val="20"/>
                <w:szCs w:val="20"/>
              </w:rPr>
            </w:pPr>
            <w:r>
              <w:rPr>
                <w:color w:val="000000"/>
                <w:sz w:val="20"/>
                <w:szCs w:val="20"/>
              </w:rPr>
              <w:t>Một mặt tiền, đối diện/tiếp giáp CX-MN</w:t>
            </w:r>
          </w:p>
        </w:tc>
        <w:tc>
          <w:tcPr>
            <w:tcW w:w="1198" w:type="dxa"/>
            <w:noWrap/>
            <w:vAlign w:val="center"/>
          </w:tcPr>
          <w:p w14:paraId="27B7C61F">
            <w:pPr>
              <w:jc w:val="center"/>
              <w:rPr>
                <w:color w:val="000000"/>
                <w:sz w:val="20"/>
                <w:szCs w:val="20"/>
              </w:rPr>
            </w:pPr>
            <w:r>
              <w:rPr>
                <w:color w:val="000000"/>
                <w:sz w:val="20"/>
                <w:szCs w:val="20"/>
              </w:rPr>
              <w:t>11.235.000</w:t>
            </w:r>
          </w:p>
        </w:tc>
        <w:tc>
          <w:tcPr>
            <w:tcW w:w="1236" w:type="dxa"/>
            <w:noWrap/>
            <w:vAlign w:val="center"/>
          </w:tcPr>
          <w:p w14:paraId="50386C33">
            <w:pPr>
              <w:jc w:val="center"/>
              <w:rPr>
                <w:color w:val="000000"/>
                <w:sz w:val="20"/>
                <w:szCs w:val="20"/>
              </w:rPr>
            </w:pPr>
            <w:r>
              <w:rPr>
                <w:color w:val="000000"/>
                <w:sz w:val="20"/>
                <w:szCs w:val="20"/>
              </w:rPr>
              <w:t>12.579.000</w:t>
            </w:r>
          </w:p>
        </w:tc>
        <w:tc>
          <w:tcPr>
            <w:tcW w:w="1252" w:type="dxa"/>
            <w:noWrap/>
            <w:vAlign w:val="center"/>
          </w:tcPr>
          <w:p w14:paraId="1F9BD1AC">
            <w:pPr>
              <w:jc w:val="center"/>
              <w:rPr>
                <w:color w:val="000000"/>
                <w:sz w:val="20"/>
                <w:szCs w:val="20"/>
              </w:rPr>
            </w:pPr>
            <w:r>
              <w:rPr>
                <w:color w:val="000000"/>
                <w:sz w:val="20"/>
                <w:szCs w:val="20"/>
              </w:rPr>
              <w:t>23.814.000</w:t>
            </w:r>
          </w:p>
        </w:tc>
        <w:tc>
          <w:tcPr>
            <w:tcW w:w="1848" w:type="dxa"/>
            <w:noWrap/>
            <w:vAlign w:val="center"/>
          </w:tcPr>
          <w:p w14:paraId="37C7719A">
            <w:pPr>
              <w:jc w:val="center"/>
              <w:rPr>
                <w:color w:val="000000"/>
                <w:sz w:val="20"/>
                <w:szCs w:val="20"/>
              </w:rPr>
            </w:pPr>
            <w:r>
              <w:rPr>
                <w:color w:val="000000"/>
                <w:sz w:val="20"/>
                <w:szCs w:val="20"/>
              </w:rPr>
              <w:t>2.143.260.000</w:t>
            </w:r>
          </w:p>
        </w:tc>
      </w:tr>
      <w:tr w14:paraId="1FC4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300BE80">
            <w:pPr>
              <w:jc w:val="center"/>
              <w:rPr>
                <w:b/>
                <w:bCs/>
                <w:color w:val="000000"/>
                <w:sz w:val="20"/>
                <w:szCs w:val="20"/>
              </w:rPr>
            </w:pPr>
            <w:r>
              <w:rPr>
                <w:b/>
                <w:bCs/>
                <w:color w:val="000000"/>
                <w:sz w:val="20"/>
                <w:szCs w:val="20"/>
              </w:rPr>
              <w:t>LK37</w:t>
            </w:r>
          </w:p>
        </w:tc>
        <w:tc>
          <w:tcPr>
            <w:tcW w:w="1802" w:type="dxa"/>
            <w:vAlign w:val="center"/>
          </w:tcPr>
          <w:p w14:paraId="6E98EB45">
            <w:pPr>
              <w:jc w:val="center"/>
              <w:rPr>
                <w:color w:val="000000"/>
                <w:sz w:val="20"/>
                <w:szCs w:val="20"/>
              </w:rPr>
            </w:pPr>
            <w:r>
              <w:rPr>
                <w:color w:val="000000"/>
                <w:sz w:val="20"/>
                <w:szCs w:val="20"/>
              </w:rPr>
              <w:t>LK37:05</w:t>
            </w:r>
          </w:p>
        </w:tc>
        <w:tc>
          <w:tcPr>
            <w:tcW w:w="1033" w:type="dxa"/>
            <w:noWrap/>
            <w:vAlign w:val="center"/>
          </w:tcPr>
          <w:p w14:paraId="7B86ADCC">
            <w:pPr>
              <w:jc w:val="center"/>
              <w:rPr>
                <w:color w:val="000000"/>
                <w:sz w:val="20"/>
                <w:szCs w:val="20"/>
              </w:rPr>
            </w:pPr>
            <w:r>
              <w:rPr>
                <w:color w:val="000000"/>
                <w:sz w:val="20"/>
                <w:szCs w:val="20"/>
              </w:rPr>
              <w:t>90,00</w:t>
            </w:r>
          </w:p>
        </w:tc>
        <w:tc>
          <w:tcPr>
            <w:tcW w:w="846" w:type="dxa"/>
            <w:noWrap/>
            <w:vAlign w:val="center"/>
          </w:tcPr>
          <w:p w14:paraId="78C67580">
            <w:pPr>
              <w:jc w:val="center"/>
              <w:rPr>
                <w:color w:val="000000"/>
                <w:sz w:val="20"/>
                <w:szCs w:val="20"/>
              </w:rPr>
            </w:pPr>
            <w:r>
              <w:rPr>
                <w:color w:val="000000"/>
                <w:sz w:val="20"/>
                <w:szCs w:val="20"/>
              </w:rPr>
              <w:t>1</w:t>
            </w:r>
          </w:p>
        </w:tc>
        <w:tc>
          <w:tcPr>
            <w:tcW w:w="2578" w:type="dxa"/>
            <w:noWrap/>
            <w:vAlign w:val="center"/>
          </w:tcPr>
          <w:p w14:paraId="70969C38">
            <w:pPr>
              <w:jc w:val="center"/>
              <w:rPr>
                <w:color w:val="000000"/>
                <w:sz w:val="20"/>
                <w:szCs w:val="20"/>
              </w:rPr>
            </w:pPr>
            <w:r>
              <w:rPr>
                <w:color w:val="000000"/>
                <w:sz w:val="20"/>
                <w:szCs w:val="20"/>
              </w:rPr>
              <w:t>Mặt cắt 2-2</w:t>
            </w:r>
          </w:p>
        </w:tc>
        <w:tc>
          <w:tcPr>
            <w:tcW w:w="2393" w:type="dxa"/>
            <w:noWrap/>
            <w:vAlign w:val="center"/>
          </w:tcPr>
          <w:p w14:paraId="5CF3FFC3">
            <w:pPr>
              <w:jc w:val="center"/>
              <w:rPr>
                <w:color w:val="000000"/>
                <w:sz w:val="20"/>
                <w:szCs w:val="20"/>
              </w:rPr>
            </w:pPr>
            <w:r>
              <w:rPr>
                <w:color w:val="000000"/>
                <w:sz w:val="20"/>
                <w:szCs w:val="20"/>
              </w:rPr>
              <w:t>Một mặt tiền, đối diện/tiếp giáp CX-MN</w:t>
            </w:r>
          </w:p>
        </w:tc>
        <w:tc>
          <w:tcPr>
            <w:tcW w:w="1198" w:type="dxa"/>
            <w:noWrap/>
            <w:vAlign w:val="center"/>
          </w:tcPr>
          <w:p w14:paraId="17A7B994">
            <w:pPr>
              <w:jc w:val="center"/>
              <w:rPr>
                <w:color w:val="000000"/>
                <w:sz w:val="20"/>
                <w:szCs w:val="20"/>
              </w:rPr>
            </w:pPr>
            <w:r>
              <w:rPr>
                <w:color w:val="000000"/>
                <w:sz w:val="20"/>
                <w:szCs w:val="20"/>
              </w:rPr>
              <w:t>11.235.000</w:t>
            </w:r>
          </w:p>
        </w:tc>
        <w:tc>
          <w:tcPr>
            <w:tcW w:w="1236" w:type="dxa"/>
            <w:noWrap/>
            <w:vAlign w:val="center"/>
          </w:tcPr>
          <w:p w14:paraId="18871F29">
            <w:pPr>
              <w:jc w:val="center"/>
              <w:rPr>
                <w:color w:val="000000"/>
                <w:sz w:val="20"/>
                <w:szCs w:val="20"/>
              </w:rPr>
            </w:pPr>
            <w:r>
              <w:rPr>
                <w:color w:val="000000"/>
                <w:sz w:val="20"/>
                <w:szCs w:val="20"/>
              </w:rPr>
              <w:t>12.579.000</w:t>
            </w:r>
          </w:p>
        </w:tc>
        <w:tc>
          <w:tcPr>
            <w:tcW w:w="1252" w:type="dxa"/>
            <w:noWrap/>
            <w:vAlign w:val="center"/>
          </w:tcPr>
          <w:p w14:paraId="12C32ACF">
            <w:pPr>
              <w:jc w:val="center"/>
              <w:rPr>
                <w:color w:val="000000"/>
                <w:sz w:val="20"/>
                <w:szCs w:val="20"/>
              </w:rPr>
            </w:pPr>
            <w:r>
              <w:rPr>
                <w:color w:val="000000"/>
                <w:sz w:val="20"/>
                <w:szCs w:val="20"/>
              </w:rPr>
              <w:t>23.814.000</w:t>
            </w:r>
          </w:p>
        </w:tc>
        <w:tc>
          <w:tcPr>
            <w:tcW w:w="1848" w:type="dxa"/>
            <w:noWrap/>
            <w:vAlign w:val="center"/>
          </w:tcPr>
          <w:p w14:paraId="644E028A">
            <w:pPr>
              <w:jc w:val="center"/>
              <w:rPr>
                <w:color w:val="000000"/>
                <w:sz w:val="20"/>
                <w:szCs w:val="20"/>
              </w:rPr>
            </w:pPr>
            <w:r>
              <w:rPr>
                <w:color w:val="000000"/>
                <w:sz w:val="20"/>
                <w:szCs w:val="20"/>
              </w:rPr>
              <w:t>2.143.260.000</w:t>
            </w:r>
          </w:p>
        </w:tc>
      </w:tr>
      <w:tr w14:paraId="5FA5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C14863A">
            <w:pPr>
              <w:jc w:val="center"/>
              <w:rPr>
                <w:b/>
                <w:bCs/>
                <w:color w:val="000000"/>
                <w:sz w:val="20"/>
                <w:szCs w:val="20"/>
              </w:rPr>
            </w:pPr>
            <w:r>
              <w:rPr>
                <w:b/>
                <w:bCs/>
                <w:color w:val="000000"/>
                <w:sz w:val="20"/>
                <w:szCs w:val="20"/>
              </w:rPr>
              <w:t>LK37</w:t>
            </w:r>
          </w:p>
        </w:tc>
        <w:tc>
          <w:tcPr>
            <w:tcW w:w="1802" w:type="dxa"/>
            <w:vAlign w:val="center"/>
          </w:tcPr>
          <w:p w14:paraId="4A6E2E45">
            <w:pPr>
              <w:jc w:val="center"/>
              <w:rPr>
                <w:color w:val="000000"/>
                <w:sz w:val="20"/>
                <w:szCs w:val="20"/>
              </w:rPr>
            </w:pPr>
            <w:r>
              <w:rPr>
                <w:color w:val="000000"/>
                <w:sz w:val="20"/>
                <w:szCs w:val="20"/>
              </w:rPr>
              <w:t>LK37:06</w:t>
            </w:r>
          </w:p>
        </w:tc>
        <w:tc>
          <w:tcPr>
            <w:tcW w:w="1033" w:type="dxa"/>
            <w:noWrap/>
            <w:vAlign w:val="center"/>
          </w:tcPr>
          <w:p w14:paraId="7FF1E6AD">
            <w:pPr>
              <w:jc w:val="center"/>
              <w:rPr>
                <w:color w:val="000000"/>
                <w:sz w:val="20"/>
                <w:szCs w:val="20"/>
              </w:rPr>
            </w:pPr>
            <w:r>
              <w:rPr>
                <w:color w:val="000000"/>
                <w:sz w:val="20"/>
                <w:szCs w:val="20"/>
              </w:rPr>
              <w:t>90,00</w:t>
            </w:r>
          </w:p>
        </w:tc>
        <w:tc>
          <w:tcPr>
            <w:tcW w:w="846" w:type="dxa"/>
            <w:noWrap/>
            <w:vAlign w:val="center"/>
          </w:tcPr>
          <w:p w14:paraId="7E2B8456">
            <w:pPr>
              <w:jc w:val="center"/>
              <w:rPr>
                <w:color w:val="000000"/>
                <w:sz w:val="20"/>
                <w:szCs w:val="20"/>
              </w:rPr>
            </w:pPr>
            <w:r>
              <w:rPr>
                <w:color w:val="000000"/>
                <w:sz w:val="20"/>
                <w:szCs w:val="20"/>
              </w:rPr>
              <w:t>1</w:t>
            </w:r>
          </w:p>
        </w:tc>
        <w:tc>
          <w:tcPr>
            <w:tcW w:w="2578" w:type="dxa"/>
            <w:noWrap/>
            <w:vAlign w:val="center"/>
          </w:tcPr>
          <w:p w14:paraId="6680E36E">
            <w:pPr>
              <w:jc w:val="center"/>
              <w:rPr>
                <w:color w:val="000000"/>
                <w:sz w:val="20"/>
                <w:szCs w:val="20"/>
              </w:rPr>
            </w:pPr>
            <w:r>
              <w:rPr>
                <w:color w:val="000000"/>
                <w:sz w:val="20"/>
                <w:szCs w:val="20"/>
              </w:rPr>
              <w:t>Mặt cắt 2-2</w:t>
            </w:r>
          </w:p>
        </w:tc>
        <w:tc>
          <w:tcPr>
            <w:tcW w:w="2393" w:type="dxa"/>
            <w:noWrap/>
            <w:vAlign w:val="center"/>
          </w:tcPr>
          <w:p w14:paraId="79A1ED77">
            <w:pPr>
              <w:jc w:val="center"/>
              <w:rPr>
                <w:color w:val="000000"/>
                <w:sz w:val="20"/>
                <w:szCs w:val="20"/>
              </w:rPr>
            </w:pPr>
            <w:r>
              <w:rPr>
                <w:color w:val="000000"/>
                <w:sz w:val="20"/>
                <w:szCs w:val="20"/>
              </w:rPr>
              <w:t>Một mặt tiền, đối diện/tiếp giáp CX-MN</w:t>
            </w:r>
          </w:p>
        </w:tc>
        <w:tc>
          <w:tcPr>
            <w:tcW w:w="1198" w:type="dxa"/>
            <w:noWrap/>
            <w:vAlign w:val="center"/>
          </w:tcPr>
          <w:p w14:paraId="541FEDC2">
            <w:pPr>
              <w:jc w:val="center"/>
              <w:rPr>
                <w:color w:val="000000"/>
                <w:sz w:val="20"/>
                <w:szCs w:val="20"/>
              </w:rPr>
            </w:pPr>
            <w:r>
              <w:rPr>
                <w:color w:val="000000"/>
                <w:sz w:val="20"/>
                <w:szCs w:val="20"/>
              </w:rPr>
              <w:t>11.235.000</w:t>
            </w:r>
          </w:p>
        </w:tc>
        <w:tc>
          <w:tcPr>
            <w:tcW w:w="1236" w:type="dxa"/>
            <w:noWrap/>
            <w:vAlign w:val="center"/>
          </w:tcPr>
          <w:p w14:paraId="67F10B4F">
            <w:pPr>
              <w:jc w:val="center"/>
              <w:rPr>
                <w:color w:val="000000"/>
                <w:sz w:val="20"/>
                <w:szCs w:val="20"/>
              </w:rPr>
            </w:pPr>
            <w:r>
              <w:rPr>
                <w:color w:val="000000"/>
                <w:sz w:val="20"/>
                <w:szCs w:val="20"/>
              </w:rPr>
              <w:t>12.579.000</w:t>
            </w:r>
          </w:p>
        </w:tc>
        <w:tc>
          <w:tcPr>
            <w:tcW w:w="1252" w:type="dxa"/>
            <w:noWrap/>
            <w:vAlign w:val="center"/>
          </w:tcPr>
          <w:p w14:paraId="254BBBC1">
            <w:pPr>
              <w:jc w:val="center"/>
              <w:rPr>
                <w:color w:val="000000"/>
                <w:sz w:val="20"/>
                <w:szCs w:val="20"/>
              </w:rPr>
            </w:pPr>
            <w:r>
              <w:rPr>
                <w:color w:val="000000"/>
                <w:sz w:val="20"/>
                <w:szCs w:val="20"/>
              </w:rPr>
              <w:t>23.814.000</w:t>
            </w:r>
          </w:p>
        </w:tc>
        <w:tc>
          <w:tcPr>
            <w:tcW w:w="1848" w:type="dxa"/>
            <w:noWrap/>
            <w:vAlign w:val="center"/>
          </w:tcPr>
          <w:p w14:paraId="656E9DB9">
            <w:pPr>
              <w:jc w:val="center"/>
              <w:rPr>
                <w:color w:val="000000"/>
                <w:sz w:val="20"/>
                <w:szCs w:val="20"/>
              </w:rPr>
            </w:pPr>
            <w:r>
              <w:rPr>
                <w:color w:val="000000"/>
                <w:sz w:val="20"/>
                <w:szCs w:val="20"/>
              </w:rPr>
              <w:t>2.143.260.000</w:t>
            </w:r>
          </w:p>
        </w:tc>
      </w:tr>
      <w:tr w14:paraId="1288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2208A58">
            <w:pPr>
              <w:jc w:val="center"/>
              <w:rPr>
                <w:b/>
                <w:bCs/>
                <w:color w:val="000000"/>
                <w:sz w:val="20"/>
                <w:szCs w:val="20"/>
              </w:rPr>
            </w:pPr>
            <w:r>
              <w:rPr>
                <w:b/>
                <w:bCs/>
                <w:color w:val="000000"/>
                <w:sz w:val="20"/>
                <w:szCs w:val="20"/>
              </w:rPr>
              <w:t>LK37</w:t>
            </w:r>
          </w:p>
        </w:tc>
        <w:tc>
          <w:tcPr>
            <w:tcW w:w="1802" w:type="dxa"/>
            <w:vAlign w:val="center"/>
          </w:tcPr>
          <w:p w14:paraId="65684582">
            <w:pPr>
              <w:jc w:val="center"/>
              <w:rPr>
                <w:color w:val="000000"/>
                <w:sz w:val="20"/>
                <w:szCs w:val="20"/>
              </w:rPr>
            </w:pPr>
            <w:r>
              <w:rPr>
                <w:color w:val="000000"/>
                <w:sz w:val="20"/>
                <w:szCs w:val="20"/>
              </w:rPr>
              <w:t>LK37:07</w:t>
            </w:r>
          </w:p>
        </w:tc>
        <w:tc>
          <w:tcPr>
            <w:tcW w:w="1033" w:type="dxa"/>
            <w:noWrap/>
            <w:vAlign w:val="center"/>
          </w:tcPr>
          <w:p w14:paraId="6C3F69A9">
            <w:pPr>
              <w:jc w:val="center"/>
              <w:rPr>
                <w:color w:val="000000"/>
                <w:sz w:val="20"/>
                <w:szCs w:val="20"/>
              </w:rPr>
            </w:pPr>
            <w:r>
              <w:rPr>
                <w:color w:val="000000"/>
                <w:sz w:val="20"/>
                <w:szCs w:val="20"/>
              </w:rPr>
              <w:t>90,00</w:t>
            </w:r>
          </w:p>
        </w:tc>
        <w:tc>
          <w:tcPr>
            <w:tcW w:w="846" w:type="dxa"/>
            <w:noWrap/>
            <w:vAlign w:val="center"/>
          </w:tcPr>
          <w:p w14:paraId="57C565A4">
            <w:pPr>
              <w:jc w:val="center"/>
              <w:rPr>
                <w:color w:val="000000"/>
                <w:sz w:val="20"/>
                <w:szCs w:val="20"/>
              </w:rPr>
            </w:pPr>
            <w:r>
              <w:rPr>
                <w:color w:val="000000"/>
                <w:sz w:val="20"/>
                <w:szCs w:val="20"/>
              </w:rPr>
              <w:t>1</w:t>
            </w:r>
          </w:p>
        </w:tc>
        <w:tc>
          <w:tcPr>
            <w:tcW w:w="2578" w:type="dxa"/>
            <w:noWrap/>
            <w:vAlign w:val="center"/>
          </w:tcPr>
          <w:p w14:paraId="4AD9181F">
            <w:pPr>
              <w:jc w:val="center"/>
              <w:rPr>
                <w:color w:val="000000"/>
                <w:sz w:val="20"/>
                <w:szCs w:val="20"/>
              </w:rPr>
            </w:pPr>
            <w:r>
              <w:rPr>
                <w:color w:val="000000"/>
                <w:sz w:val="20"/>
                <w:szCs w:val="20"/>
              </w:rPr>
              <w:t>Mặt cắt 2-2</w:t>
            </w:r>
          </w:p>
        </w:tc>
        <w:tc>
          <w:tcPr>
            <w:tcW w:w="2393" w:type="dxa"/>
            <w:noWrap/>
            <w:vAlign w:val="center"/>
          </w:tcPr>
          <w:p w14:paraId="057F4B69">
            <w:pPr>
              <w:jc w:val="center"/>
              <w:rPr>
                <w:color w:val="000000"/>
                <w:sz w:val="20"/>
                <w:szCs w:val="20"/>
              </w:rPr>
            </w:pPr>
            <w:r>
              <w:rPr>
                <w:color w:val="000000"/>
                <w:sz w:val="20"/>
                <w:szCs w:val="20"/>
              </w:rPr>
              <w:t>Một mặt tiền, đối diện/tiếp giáp CX-MN</w:t>
            </w:r>
          </w:p>
        </w:tc>
        <w:tc>
          <w:tcPr>
            <w:tcW w:w="1198" w:type="dxa"/>
            <w:noWrap/>
            <w:vAlign w:val="center"/>
          </w:tcPr>
          <w:p w14:paraId="7F7CAF11">
            <w:pPr>
              <w:jc w:val="center"/>
              <w:rPr>
                <w:color w:val="000000"/>
                <w:sz w:val="20"/>
                <w:szCs w:val="20"/>
              </w:rPr>
            </w:pPr>
            <w:r>
              <w:rPr>
                <w:color w:val="000000"/>
                <w:sz w:val="20"/>
                <w:szCs w:val="20"/>
              </w:rPr>
              <w:t>11.235.000</w:t>
            </w:r>
          </w:p>
        </w:tc>
        <w:tc>
          <w:tcPr>
            <w:tcW w:w="1236" w:type="dxa"/>
            <w:noWrap/>
            <w:vAlign w:val="center"/>
          </w:tcPr>
          <w:p w14:paraId="6D551AA8">
            <w:pPr>
              <w:jc w:val="center"/>
              <w:rPr>
                <w:color w:val="000000"/>
                <w:sz w:val="20"/>
                <w:szCs w:val="20"/>
              </w:rPr>
            </w:pPr>
            <w:r>
              <w:rPr>
                <w:color w:val="000000"/>
                <w:sz w:val="20"/>
                <w:szCs w:val="20"/>
              </w:rPr>
              <w:t>12.579.000</w:t>
            </w:r>
          </w:p>
        </w:tc>
        <w:tc>
          <w:tcPr>
            <w:tcW w:w="1252" w:type="dxa"/>
            <w:noWrap/>
            <w:vAlign w:val="center"/>
          </w:tcPr>
          <w:p w14:paraId="74EC860E">
            <w:pPr>
              <w:jc w:val="center"/>
              <w:rPr>
                <w:color w:val="000000"/>
                <w:sz w:val="20"/>
                <w:szCs w:val="20"/>
              </w:rPr>
            </w:pPr>
            <w:r>
              <w:rPr>
                <w:color w:val="000000"/>
                <w:sz w:val="20"/>
                <w:szCs w:val="20"/>
              </w:rPr>
              <w:t>23.814.000</w:t>
            </w:r>
          </w:p>
        </w:tc>
        <w:tc>
          <w:tcPr>
            <w:tcW w:w="1848" w:type="dxa"/>
            <w:noWrap/>
            <w:vAlign w:val="center"/>
          </w:tcPr>
          <w:p w14:paraId="30DFBE00">
            <w:pPr>
              <w:jc w:val="center"/>
              <w:rPr>
                <w:color w:val="000000"/>
                <w:sz w:val="20"/>
                <w:szCs w:val="20"/>
              </w:rPr>
            </w:pPr>
            <w:r>
              <w:rPr>
                <w:color w:val="000000"/>
                <w:sz w:val="20"/>
                <w:szCs w:val="20"/>
              </w:rPr>
              <w:t>2.143.260.000</w:t>
            </w:r>
          </w:p>
        </w:tc>
      </w:tr>
      <w:tr w14:paraId="3694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3C73D68">
            <w:pPr>
              <w:jc w:val="center"/>
              <w:rPr>
                <w:b/>
                <w:bCs/>
                <w:color w:val="000000"/>
                <w:sz w:val="20"/>
                <w:szCs w:val="20"/>
              </w:rPr>
            </w:pPr>
            <w:r>
              <w:rPr>
                <w:b/>
                <w:bCs/>
                <w:color w:val="000000"/>
                <w:sz w:val="20"/>
                <w:szCs w:val="20"/>
              </w:rPr>
              <w:t>LK37</w:t>
            </w:r>
          </w:p>
        </w:tc>
        <w:tc>
          <w:tcPr>
            <w:tcW w:w="1802" w:type="dxa"/>
            <w:vAlign w:val="center"/>
          </w:tcPr>
          <w:p w14:paraId="2D8B80CB">
            <w:pPr>
              <w:jc w:val="center"/>
              <w:rPr>
                <w:color w:val="000000"/>
                <w:sz w:val="20"/>
                <w:szCs w:val="20"/>
              </w:rPr>
            </w:pPr>
            <w:r>
              <w:rPr>
                <w:color w:val="000000"/>
                <w:sz w:val="20"/>
                <w:szCs w:val="20"/>
              </w:rPr>
              <w:t>LK37:08</w:t>
            </w:r>
          </w:p>
        </w:tc>
        <w:tc>
          <w:tcPr>
            <w:tcW w:w="1033" w:type="dxa"/>
            <w:noWrap/>
            <w:vAlign w:val="center"/>
          </w:tcPr>
          <w:p w14:paraId="5BD8C68F">
            <w:pPr>
              <w:jc w:val="center"/>
              <w:rPr>
                <w:color w:val="000000"/>
                <w:sz w:val="20"/>
                <w:szCs w:val="20"/>
              </w:rPr>
            </w:pPr>
            <w:r>
              <w:rPr>
                <w:color w:val="000000"/>
                <w:sz w:val="20"/>
                <w:szCs w:val="20"/>
              </w:rPr>
              <w:t>90,00</w:t>
            </w:r>
          </w:p>
        </w:tc>
        <w:tc>
          <w:tcPr>
            <w:tcW w:w="846" w:type="dxa"/>
            <w:noWrap/>
            <w:vAlign w:val="center"/>
          </w:tcPr>
          <w:p w14:paraId="26463B7C">
            <w:pPr>
              <w:jc w:val="center"/>
              <w:rPr>
                <w:color w:val="000000"/>
                <w:sz w:val="20"/>
                <w:szCs w:val="20"/>
              </w:rPr>
            </w:pPr>
            <w:r>
              <w:rPr>
                <w:color w:val="000000"/>
                <w:sz w:val="20"/>
                <w:szCs w:val="20"/>
              </w:rPr>
              <w:t>1</w:t>
            </w:r>
          </w:p>
        </w:tc>
        <w:tc>
          <w:tcPr>
            <w:tcW w:w="2578" w:type="dxa"/>
            <w:noWrap/>
            <w:vAlign w:val="center"/>
          </w:tcPr>
          <w:p w14:paraId="6F64CE39">
            <w:pPr>
              <w:jc w:val="center"/>
              <w:rPr>
                <w:color w:val="000000"/>
                <w:sz w:val="20"/>
                <w:szCs w:val="20"/>
              </w:rPr>
            </w:pPr>
            <w:r>
              <w:rPr>
                <w:color w:val="000000"/>
                <w:sz w:val="20"/>
                <w:szCs w:val="20"/>
              </w:rPr>
              <w:t>Mặt cắt 2-2</w:t>
            </w:r>
          </w:p>
        </w:tc>
        <w:tc>
          <w:tcPr>
            <w:tcW w:w="2393" w:type="dxa"/>
            <w:noWrap/>
            <w:vAlign w:val="center"/>
          </w:tcPr>
          <w:p w14:paraId="09485A2B">
            <w:pPr>
              <w:jc w:val="center"/>
              <w:rPr>
                <w:color w:val="000000"/>
                <w:sz w:val="20"/>
                <w:szCs w:val="20"/>
              </w:rPr>
            </w:pPr>
            <w:r>
              <w:rPr>
                <w:color w:val="000000"/>
                <w:sz w:val="20"/>
                <w:szCs w:val="20"/>
              </w:rPr>
              <w:t>Một mặt tiền, đối diện/tiếp giáp CX-MN</w:t>
            </w:r>
          </w:p>
        </w:tc>
        <w:tc>
          <w:tcPr>
            <w:tcW w:w="1198" w:type="dxa"/>
            <w:noWrap/>
            <w:vAlign w:val="center"/>
          </w:tcPr>
          <w:p w14:paraId="37B7E808">
            <w:pPr>
              <w:jc w:val="center"/>
              <w:rPr>
                <w:color w:val="000000"/>
                <w:sz w:val="20"/>
                <w:szCs w:val="20"/>
              </w:rPr>
            </w:pPr>
            <w:r>
              <w:rPr>
                <w:color w:val="000000"/>
                <w:sz w:val="20"/>
                <w:szCs w:val="20"/>
              </w:rPr>
              <w:t>11.235.000</w:t>
            </w:r>
          </w:p>
        </w:tc>
        <w:tc>
          <w:tcPr>
            <w:tcW w:w="1236" w:type="dxa"/>
            <w:noWrap/>
            <w:vAlign w:val="center"/>
          </w:tcPr>
          <w:p w14:paraId="254D4E87">
            <w:pPr>
              <w:jc w:val="center"/>
              <w:rPr>
                <w:color w:val="000000"/>
                <w:sz w:val="20"/>
                <w:szCs w:val="20"/>
              </w:rPr>
            </w:pPr>
            <w:r>
              <w:rPr>
                <w:color w:val="000000"/>
                <w:sz w:val="20"/>
                <w:szCs w:val="20"/>
              </w:rPr>
              <w:t>12.579.000</w:t>
            </w:r>
          </w:p>
        </w:tc>
        <w:tc>
          <w:tcPr>
            <w:tcW w:w="1252" w:type="dxa"/>
            <w:noWrap/>
            <w:vAlign w:val="center"/>
          </w:tcPr>
          <w:p w14:paraId="21CA5FCB">
            <w:pPr>
              <w:jc w:val="center"/>
              <w:rPr>
                <w:color w:val="000000"/>
                <w:sz w:val="20"/>
                <w:szCs w:val="20"/>
              </w:rPr>
            </w:pPr>
            <w:r>
              <w:rPr>
                <w:color w:val="000000"/>
                <w:sz w:val="20"/>
                <w:szCs w:val="20"/>
              </w:rPr>
              <w:t>23.814.000</w:t>
            </w:r>
          </w:p>
        </w:tc>
        <w:tc>
          <w:tcPr>
            <w:tcW w:w="1848" w:type="dxa"/>
            <w:noWrap/>
            <w:vAlign w:val="center"/>
          </w:tcPr>
          <w:p w14:paraId="6BC9C4E9">
            <w:pPr>
              <w:jc w:val="center"/>
              <w:rPr>
                <w:color w:val="000000"/>
                <w:sz w:val="20"/>
                <w:szCs w:val="20"/>
              </w:rPr>
            </w:pPr>
            <w:r>
              <w:rPr>
                <w:color w:val="000000"/>
                <w:sz w:val="20"/>
                <w:szCs w:val="20"/>
              </w:rPr>
              <w:t>2.143.260.000</w:t>
            </w:r>
          </w:p>
        </w:tc>
      </w:tr>
      <w:tr w14:paraId="2522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AC98414">
            <w:pPr>
              <w:jc w:val="center"/>
              <w:rPr>
                <w:b/>
                <w:bCs/>
                <w:color w:val="000000"/>
                <w:sz w:val="20"/>
                <w:szCs w:val="20"/>
              </w:rPr>
            </w:pPr>
            <w:r>
              <w:rPr>
                <w:b/>
                <w:bCs/>
                <w:color w:val="000000"/>
                <w:sz w:val="20"/>
                <w:szCs w:val="20"/>
              </w:rPr>
              <w:t>LK39</w:t>
            </w:r>
          </w:p>
        </w:tc>
        <w:tc>
          <w:tcPr>
            <w:tcW w:w="1802" w:type="dxa"/>
            <w:vAlign w:val="center"/>
          </w:tcPr>
          <w:p w14:paraId="4FDCDC77">
            <w:pPr>
              <w:jc w:val="center"/>
              <w:rPr>
                <w:color w:val="000000"/>
                <w:sz w:val="20"/>
                <w:szCs w:val="20"/>
              </w:rPr>
            </w:pPr>
            <w:r>
              <w:rPr>
                <w:color w:val="000000"/>
                <w:sz w:val="20"/>
                <w:szCs w:val="20"/>
              </w:rPr>
              <w:t>LK39:02</w:t>
            </w:r>
          </w:p>
        </w:tc>
        <w:tc>
          <w:tcPr>
            <w:tcW w:w="1033" w:type="dxa"/>
            <w:noWrap/>
            <w:vAlign w:val="center"/>
          </w:tcPr>
          <w:p w14:paraId="67029BF7">
            <w:pPr>
              <w:jc w:val="center"/>
              <w:rPr>
                <w:color w:val="000000"/>
                <w:sz w:val="20"/>
                <w:szCs w:val="20"/>
              </w:rPr>
            </w:pPr>
            <w:r>
              <w:rPr>
                <w:color w:val="000000"/>
                <w:sz w:val="20"/>
                <w:szCs w:val="20"/>
              </w:rPr>
              <w:t>90,00</w:t>
            </w:r>
          </w:p>
        </w:tc>
        <w:tc>
          <w:tcPr>
            <w:tcW w:w="846" w:type="dxa"/>
            <w:noWrap/>
            <w:vAlign w:val="center"/>
          </w:tcPr>
          <w:p w14:paraId="6A2651A8">
            <w:pPr>
              <w:jc w:val="center"/>
              <w:rPr>
                <w:color w:val="000000"/>
                <w:sz w:val="20"/>
                <w:szCs w:val="20"/>
              </w:rPr>
            </w:pPr>
            <w:r>
              <w:rPr>
                <w:color w:val="000000"/>
                <w:sz w:val="20"/>
                <w:szCs w:val="20"/>
              </w:rPr>
              <w:t>1</w:t>
            </w:r>
          </w:p>
        </w:tc>
        <w:tc>
          <w:tcPr>
            <w:tcW w:w="2578" w:type="dxa"/>
            <w:noWrap/>
            <w:vAlign w:val="center"/>
          </w:tcPr>
          <w:p w14:paraId="5B178EB1">
            <w:pPr>
              <w:jc w:val="center"/>
              <w:rPr>
                <w:color w:val="000000"/>
                <w:sz w:val="20"/>
                <w:szCs w:val="20"/>
              </w:rPr>
            </w:pPr>
            <w:r>
              <w:rPr>
                <w:color w:val="000000"/>
                <w:sz w:val="20"/>
                <w:szCs w:val="20"/>
              </w:rPr>
              <w:t>Mặt cắt 2-2</w:t>
            </w:r>
          </w:p>
        </w:tc>
        <w:tc>
          <w:tcPr>
            <w:tcW w:w="2393" w:type="dxa"/>
            <w:noWrap/>
            <w:vAlign w:val="center"/>
          </w:tcPr>
          <w:p w14:paraId="31CA1563">
            <w:pPr>
              <w:jc w:val="center"/>
              <w:rPr>
                <w:color w:val="000000"/>
                <w:sz w:val="20"/>
                <w:szCs w:val="20"/>
              </w:rPr>
            </w:pPr>
            <w:r>
              <w:rPr>
                <w:color w:val="000000"/>
                <w:sz w:val="20"/>
                <w:szCs w:val="20"/>
              </w:rPr>
              <w:t>Một mặt tiền</w:t>
            </w:r>
          </w:p>
        </w:tc>
        <w:tc>
          <w:tcPr>
            <w:tcW w:w="1198" w:type="dxa"/>
            <w:noWrap/>
            <w:vAlign w:val="center"/>
          </w:tcPr>
          <w:p w14:paraId="30A33ED3">
            <w:pPr>
              <w:jc w:val="center"/>
              <w:rPr>
                <w:color w:val="000000"/>
                <w:sz w:val="20"/>
                <w:szCs w:val="20"/>
              </w:rPr>
            </w:pPr>
            <w:r>
              <w:rPr>
                <w:color w:val="000000"/>
                <w:sz w:val="20"/>
                <w:szCs w:val="20"/>
              </w:rPr>
              <w:t>10.700.000</w:t>
            </w:r>
          </w:p>
        </w:tc>
        <w:tc>
          <w:tcPr>
            <w:tcW w:w="1236" w:type="dxa"/>
            <w:noWrap/>
            <w:vAlign w:val="center"/>
          </w:tcPr>
          <w:p w14:paraId="01ADDF8D">
            <w:pPr>
              <w:jc w:val="center"/>
              <w:rPr>
                <w:color w:val="000000"/>
                <w:sz w:val="20"/>
                <w:szCs w:val="20"/>
              </w:rPr>
            </w:pPr>
            <w:r>
              <w:rPr>
                <w:color w:val="000000"/>
                <w:sz w:val="20"/>
                <w:szCs w:val="20"/>
              </w:rPr>
              <w:t>12.579.000</w:t>
            </w:r>
          </w:p>
        </w:tc>
        <w:tc>
          <w:tcPr>
            <w:tcW w:w="1252" w:type="dxa"/>
            <w:noWrap/>
            <w:vAlign w:val="center"/>
          </w:tcPr>
          <w:p w14:paraId="0665CEDC">
            <w:pPr>
              <w:jc w:val="center"/>
              <w:rPr>
                <w:color w:val="000000"/>
                <w:sz w:val="20"/>
                <w:szCs w:val="20"/>
              </w:rPr>
            </w:pPr>
            <w:r>
              <w:rPr>
                <w:color w:val="000000"/>
                <w:sz w:val="20"/>
                <w:szCs w:val="20"/>
              </w:rPr>
              <w:t>23.279.000</w:t>
            </w:r>
          </w:p>
        </w:tc>
        <w:tc>
          <w:tcPr>
            <w:tcW w:w="1848" w:type="dxa"/>
            <w:noWrap/>
            <w:vAlign w:val="center"/>
          </w:tcPr>
          <w:p w14:paraId="0ABD8EF7">
            <w:pPr>
              <w:jc w:val="center"/>
              <w:rPr>
                <w:color w:val="000000"/>
                <w:sz w:val="20"/>
                <w:szCs w:val="20"/>
              </w:rPr>
            </w:pPr>
            <w:r>
              <w:rPr>
                <w:color w:val="000000"/>
                <w:sz w:val="20"/>
                <w:szCs w:val="20"/>
              </w:rPr>
              <w:t>2.095.110.000</w:t>
            </w:r>
          </w:p>
        </w:tc>
      </w:tr>
      <w:tr w14:paraId="6981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17C6E7C">
            <w:pPr>
              <w:jc w:val="center"/>
              <w:rPr>
                <w:b/>
                <w:bCs/>
                <w:color w:val="000000"/>
                <w:sz w:val="20"/>
                <w:szCs w:val="20"/>
              </w:rPr>
            </w:pPr>
            <w:r>
              <w:rPr>
                <w:b/>
                <w:bCs/>
                <w:color w:val="000000"/>
                <w:sz w:val="20"/>
                <w:szCs w:val="20"/>
              </w:rPr>
              <w:t>LK39</w:t>
            </w:r>
          </w:p>
        </w:tc>
        <w:tc>
          <w:tcPr>
            <w:tcW w:w="1802" w:type="dxa"/>
            <w:vAlign w:val="center"/>
          </w:tcPr>
          <w:p w14:paraId="0DA75681">
            <w:pPr>
              <w:jc w:val="center"/>
              <w:rPr>
                <w:color w:val="000000"/>
                <w:sz w:val="20"/>
                <w:szCs w:val="20"/>
              </w:rPr>
            </w:pPr>
            <w:r>
              <w:rPr>
                <w:color w:val="000000"/>
                <w:sz w:val="20"/>
                <w:szCs w:val="20"/>
              </w:rPr>
              <w:t>LK39:03</w:t>
            </w:r>
          </w:p>
        </w:tc>
        <w:tc>
          <w:tcPr>
            <w:tcW w:w="1033" w:type="dxa"/>
            <w:noWrap/>
            <w:vAlign w:val="center"/>
          </w:tcPr>
          <w:p w14:paraId="67AE42F7">
            <w:pPr>
              <w:jc w:val="center"/>
              <w:rPr>
                <w:color w:val="000000"/>
                <w:sz w:val="20"/>
                <w:szCs w:val="20"/>
              </w:rPr>
            </w:pPr>
            <w:r>
              <w:rPr>
                <w:color w:val="000000"/>
                <w:sz w:val="20"/>
                <w:szCs w:val="20"/>
              </w:rPr>
              <w:t>90,00</w:t>
            </w:r>
          </w:p>
        </w:tc>
        <w:tc>
          <w:tcPr>
            <w:tcW w:w="846" w:type="dxa"/>
            <w:noWrap/>
            <w:vAlign w:val="center"/>
          </w:tcPr>
          <w:p w14:paraId="234BEF19">
            <w:pPr>
              <w:jc w:val="center"/>
              <w:rPr>
                <w:color w:val="000000"/>
                <w:sz w:val="20"/>
                <w:szCs w:val="20"/>
              </w:rPr>
            </w:pPr>
            <w:r>
              <w:rPr>
                <w:color w:val="000000"/>
                <w:sz w:val="20"/>
                <w:szCs w:val="20"/>
              </w:rPr>
              <w:t>1</w:t>
            </w:r>
          </w:p>
        </w:tc>
        <w:tc>
          <w:tcPr>
            <w:tcW w:w="2578" w:type="dxa"/>
            <w:noWrap/>
            <w:vAlign w:val="center"/>
          </w:tcPr>
          <w:p w14:paraId="3320651B">
            <w:pPr>
              <w:jc w:val="center"/>
              <w:rPr>
                <w:color w:val="000000"/>
                <w:sz w:val="20"/>
                <w:szCs w:val="20"/>
              </w:rPr>
            </w:pPr>
            <w:r>
              <w:rPr>
                <w:color w:val="000000"/>
                <w:sz w:val="20"/>
                <w:szCs w:val="20"/>
              </w:rPr>
              <w:t>Mặt cắt 2-2</w:t>
            </w:r>
          </w:p>
        </w:tc>
        <w:tc>
          <w:tcPr>
            <w:tcW w:w="2393" w:type="dxa"/>
            <w:noWrap/>
            <w:vAlign w:val="center"/>
          </w:tcPr>
          <w:p w14:paraId="7CD37A2C">
            <w:pPr>
              <w:jc w:val="center"/>
              <w:rPr>
                <w:color w:val="000000"/>
                <w:sz w:val="20"/>
                <w:szCs w:val="20"/>
              </w:rPr>
            </w:pPr>
            <w:r>
              <w:rPr>
                <w:color w:val="000000"/>
                <w:sz w:val="20"/>
                <w:szCs w:val="20"/>
              </w:rPr>
              <w:t>Một mặt tiền</w:t>
            </w:r>
          </w:p>
        </w:tc>
        <w:tc>
          <w:tcPr>
            <w:tcW w:w="1198" w:type="dxa"/>
            <w:noWrap/>
            <w:vAlign w:val="center"/>
          </w:tcPr>
          <w:p w14:paraId="5802E11F">
            <w:pPr>
              <w:jc w:val="center"/>
              <w:rPr>
                <w:color w:val="000000"/>
                <w:sz w:val="20"/>
                <w:szCs w:val="20"/>
              </w:rPr>
            </w:pPr>
            <w:r>
              <w:rPr>
                <w:color w:val="000000"/>
                <w:sz w:val="20"/>
                <w:szCs w:val="20"/>
              </w:rPr>
              <w:t>10.700.000</w:t>
            </w:r>
          </w:p>
        </w:tc>
        <w:tc>
          <w:tcPr>
            <w:tcW w:w="1236" w:type="dxa"/>
            <w:noWrap/>
            <w:vAlign w:val="center"/>
          </w:tcPr>
          <w:p w14:paraId="018334E9">
            <w:pPr>
              <w:jc w:val="center"/>
              <w:rPr>
                <w:color w:val="000000"/>
                <w:sz w:val="20"/>
                <w:szCs w:val="20"/>
              </w:rPr>
            </w:pPr>
            <w:r>
              <w:rPr>
                <w:color w:val="000000"/>
                <w:sz w:val="20"/>
                <w:szCs w:val="20"/>
              </w:rPr>
              <w:t>12.579.000</w:t>
            </w:r>
          </w:p>
        </w:tc>
        <w:tc>
          <w:tcPr>
            <w:tcW w:w="1252" w:type="dxa"/>
            <w:noWrap/>
            <w:vAlign w:val="center"/>
          </w:tcPr>
          <w:p w14:paraId="21918F89">
            <w:pPr>
              <w:jc w:val="center"/>
              <w:rPr>
                <w:color w:val="000000"/>
                <w:sz w:val="20"/>
                <w:szCs w:val="20"/>
              </w:rPr>
            </w:pPr>
            <w:r>
              <w:rPr>
                <w:color w:val="000000"/>
                <w:sz w:val="20"/>
                <w:szCs w:val="20"/>
              </w:rPr>
              <w:t>23.279.000</w:t>
            </w:r>
          </w:p>
        </w:tc>
        <w:tc>
          <w:tcPr>
            <w:tcW w:w="1848" w:type="dxa"/>
            <w:noWrap/>
            <w:vAlign w:val="center"/>
          </w:tcPr>
          <w:p w14:paraId="683C39C9">
            <w:pPr>
              <w:jc w:val="center"/>
              <w:rPr>
                <w:color w:val="000000"/>
                <w:sz w:val="20"/>
                <w:szCs w:val="20"/>
              </w:rPr>
            </w:pPr>
            <w:r>
              <w:rPr>
                <w:color w:val="000000"/>
                <w:sz w:val="20"/>
                <w:szCs w:val="20"/>
              </w:rPr>
              <w:t>2.095.110.000</w:t>
            </w:r>
          </w:p>
        </w:tc>
      </w:tr>
      <w:tr w14:paraId="0C06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F4F4E9D">
            <w:pPr>
              <w:jc w:val="center"/>
              <w:rPr>
                <w:b/>
                <w:bCs/>
                <w:color w:val="000000"/>
                <w:sz w:val="20"/>
                <w:szCs w:val="20"/>
              </w:rPr>
            </w:pPr>
            <w:r>
              <w:rPr>
                <w:b/>
                <w:bCs/>
                <w:color w:val="000000"/>
                <w:sz w:val="20"/>
                <w:szCs w:val="20"/>
              </w:rPr>
              <w:t>LK39</w:t>
            </w:r>
          </w:p>
        </w:tc>
        <w:tc>
          <w:tcPr>
            <w:tcW w:w="1802" w:type="dxa"/>
            <w:vAlign w:val="center"/>
          </w:tcPr>
          <w:p w14:paraId="1087A857">
            <w:pPr>
              <w:jc w:val="center"/>
              <w:rPr>
                <w:color w:val="000000"/>
                <w:sz w:val="20"/>
                <w:szCs w:val="20"/>
              </w:rPr>
            </w:pPr>
            <w:r>
              <w:rPr>
                <w:color w:val="000000"/>
                <w:sz w:val="20"/>
                <w:szCs w:val="20"/>
              </w:rPr>
              <w:t>LK39:04</w:t>
            </w:r>
          </w:p>
        </w:tc>
        <w:tc>
          <w:tcPr>
            <w:tcW w:w="1033" w:type="dxa"/>
            <w:noWrap/>
            <w:vAlign w:val="center"/>
          </w:tcPr>
          <w:p w14:paraId="3F51DA23">
            <w:pPr>
              <w:jc w:val="center"/>
              <w:rPr>
                <w:color w:val="000000"/>
                <w:sz w:val="20"/>
                <w:szCs w:val="20"/>
              </w:rPr>
            </w:pPr>
            <w:r>
              <w:rPr>
                <w:color w:val="000000"/>
                <w:sz w:val="20"/>
                <w:szCs w:val="20"/>
              </w:rPr>
              <w:t>90,00</w:t>
            </w:r>
          </w:p>
        </w:tc>
        <w:tc>
          <w:tcPr>
            <w:tcW w:w="846" w:type="dxa"/>
            <w:noWrap/>
            <w:vAlign w:val="center"/>
          </w:tcPr>
          <w:p w14:paraId="422A43F6">
            <w:pPr>
              <w:jc w:val="center"/>
              <w:rPr>
                <w:color w:val="000000"/>
                <w:sz w:val="20"/>
                <w:szCs w:val="20"/>
              </w:rPr>
            </w:pPr>
            <w:r>
              <w:rPr>
                <w:color w:val="000000"/>
                <w:sz w:val="20"/>
                <w:szCs w:val="20"/>
              </w:rPr>
              <w:t>1</w:t>
            </w:r>
          </w:p>
        </w:tc>
        <w:tc>
          <w:tcPr>
            <w:tcW w:w="2578" w:type="dxa"/>
            <w:noWrap/>
            <w:vAlign w:val="center"/>
          </w:tcPr>
          <w:p w14:paraId="6A7E06A3">
            <w:pPr>
              <w:jc w:val="center"/>
              <w:rPr>
                <w:color w:val="000000"/>
                <w:sz w:val="20"/>
                <w:szCs w:val="20"/>
              </w:rPr>
            </w:pPr>
            <w:r>
              <w:rPr>
                <w:color w:val="000000"/>
                <w:sz w:val="20"/>
                <w:szCs w:val="20"/>
              </w:rPr>
              <w:t>Mặt cắt 2-2</w:t>
            </w:r>
          </w:p>
        </w:tc>
        <w:tc>
          <w:tcPr>
            <w:tcW w:w="2393" w:type="dxa"/>
            <w:noWrap/>
            <w:vAlign w:val="center"/>
          </w:tcPr>
          <w:p w14:paraId="7FD185FC">
            <w:pPr>
              <w:jc w:val="center"/>
              <w:rPr>
                <w:color w:val="000000"/>
                <w:sz w:val="20"/>
                <w:szCs w:val="20"/>
              </w:rPr>
            </w:pPr>
            <w:r>
              <w:rPr>
                <w:color w:val="000000"/>
                <w:sz w:val="20"/>
                <w:szCs w:val="20"/>
              </w:rPr>
              <w:t>Một mặt tiền</w:t>
            </w:r>
          </w:p>
        </w:tc>
        <w:tc>
          <w:tcPr>
            <w:tcW w:w="1198" w:type="dxa"/>
            <w:noWrap/>
            <w:vAlign w:val="center"/>
          </w:tcPr>
          <w:p w14:paraId="240E0E88">
            <w:pPr>
              <w:jc w:val="center"/>
              <w:rPr>
                <w:color w:val="000000"/>
                <w:sz w:val="20"/>
                <w:szCs w:val="20"/>
              </w:rPr>
            </w:pPr>
            <w:r>
              <w:rPr>
                <w:color w:val="000000"/>
                <w:sz w:val="20"/>
                <w:szCs w:val="20"/>
              </w:rPr>
              <w:t>10.700.000</w:t>
            </w:r>
          </w:p>
        </w:tc>
        <w:tc>
          <w:tcPr>
            <w:tcW w:w="1236" w:type="dxa"/>
            <w:noWrap/>
            <w:vAlign w:val="center"/>
          </w:tcPr>
          <w:p w14:paraId="4A504628">
            <w:pPr>
              <w:jc w:val="center"/>
              <w:rPr>
                <w:color w:val="000000"/>
                <w:sz w:val="20"/>
                <w:szCs w:val="20"/>
              </w:rPr>
            </w:pPr>
            <w:r>
              <w:rPr>
                <w:color w:val="000000"/>
                <w:sz w:val="20"/>
                <w:szCs w:val="20"/>
              </w:rPr>
              <w:t>12.579.000</w:t>
            </w:r>
          </w:p>
        </w:tc>
        <w:tc>
          <w:tcPr>
            <w:tcW w:w="1252" w:type="dxa"/>
            <w:noWrap/>
            <w:vAlign w:val="center"/>
          </w:tcPr>
          <w:p w14:paraId="04A042B4">
            <w:pPr>
              <w:jc w:val="center"/>
              <w:rPr>
                <w:color w:val="000000"/>
                <w:sz w:val="20"/>
                <w:szCs w:val="20"/>
              </w:rPr>
            </w:pPr>
            <w:r>
              <w:rPr>
                <w:color w:val="000000"/>
                <w:sz w:val="20"/>
                <w:szCs w:val="20"/>
              </w:rPr>
              <w:t>23.279.000</w:t>
            </w:r>
          </w:p>
        </w:tc>
        <w:tc>
          <w:tcPr>
            <w:tcW w:w="1848" w:type="dxa"/>
            <w:noWrap/>
            <w:vAlign w:val="center"/>
          </w:tcPr>
          <w:p w14:paraId="132BA286">
            <w:pPr>
              <w:jc w:val="center"/>
              <w:rPr>
                <w:color w:val="000000"/>
                <w:sz w:val="20"/>
                <w:szCs w:val="20"/>
              </w:rPr>
            </w:pPr>
            <w:r>
              <w:rPr>
                <w:color w:val="000000"/>
                <w:sz w:val="20"/>
                <w:szCs w:val="20"/>
              </w:rPr>
              <w:t>2.095.110.000</w:t>
            </w:r>
          </w:p>
        </w:tc>
      </w:tr>
      <w:tr w14:paraId="6E0A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6FA7984">
            <w:pPr>
              <w:jc w:val="center"/>
              <w:rPr>
                <w:b/>
                <w:bCs/>
                <w:color w:val="000000"/>
                <w:sz w:val="20"/>
                <w:szCs w:val="20"/>
              </w:rPr>
            </w:pPr>
            <w:r>
              <w:rPr>
                <w:b/>
                <w:bCs/>
                <w:color w:val="000000"/>
                <w:sz w:val="20"/>
                <w:szCs w:val="20"/>
              </w:rPr>
              <w:t>LK39</w:t>
            </w:r>
          </w:p>
        </w:tc>
        <w:tc>
          <w:tcPr>
            <w:tcW w:w="1802" w:type="dxa"/>
            <w:vAlign w:val="center"/>
          </w:tcPr>
          <w:p w14:paraId="0214C22E">
            <w:pPr>
              <w:jc w:val="center"/>
              <w:rPr>
                <w:color w:val="000000"/>
                <w:sz w:val="20"/>
                <w:szCs w:val="20"/>
              </w:rPr>
            </w:pPr>
            <w:r>
              <w:rPr>
                <w:color w:val="000000"/>
                <w:sz w:val="20"/>
                <w:szCs w:val="20"/>
              </w:rPr>
              <w:t>LK39:05</w:t>
            </w:r>
          </w:p>
        </w:tc>
        <w:tc>
          <w:tcPr>
            <w:tcW w:w="1033" w:type="dxa"/>
            <w:noWrap/>
            <w:vAlign w:val="center"/>
          </w:tcPr>
          <w:p w14:paraId="716A10AF">
            <w:pPr>
              <w:jc w:val="center"/>
              <w:rPr>
                <w:color w:val="000000"/>
                <w:sz w:val="20"/>
                <w:szCs w:val="20"/>
              </w:rPr>
            </w:pPr>
            <w:r>
              <w:rPr>
                <w:color w:val="000000"/>
                <w:sz w:val="20"/>
                <w:szCs w:val="20"/>
              </w:rPr>
              <w:t>90,00</w:t>
            </w:r>
          </w:p>
        </w:tc>
        <w:tc>
          <w:tcPr>
            <w:tcW w:w="846" w:type="dxa"/>
            <w:noWrap/>
            <w:vAlign w:val="center"/>
          </w:tcPr>
          <w:p w14:paraId="0D0F0FB4">
            <w:pPr>
              <w:jc w:val="center"/>
              <w:rPr>
                <w:color w:val="000000"/>
                <w:sz w:val="20"/>
                <w:szCs w:val="20"/>
              </w:rPr>
            </w:pPr>
            <w:r>
              <w:rPr>
                <w:color w:val="000000"/>
                <w:sz w:val="20"/>
                <w:szCs w:val="20"/>
              </w:rPr>
              <w:t>1</w:t>
            </w:r>
          </w:p>
        </w:tc>
        <w:tc>
          <w:tcPr>
            <w:tcW w:w="2578" w:type="dxa"/>
            <w:noWrap/>
            <w:vAlign w:val="center"/>
          </w:tcPr>
          <w:p w14:paraId="15DA15D4">
            <w:pPr>
              <w:jc w:val="center"/>
              <w:rPr>
                <w:color w:val="000000"/>
                <w:sz w:val="20"/>
                <w:szCs w:val="20"/>
              </w:rPr>
            </w:pPr>
            <w:r>
              <w:rPr>
                <w:color w:val="000000"/>
                <w:sz w:val="20"/>
                <w:szCs w:val="20"/>
              </w:rPr>
              <w:t>Mặt cắt 2-2</w:t>
            </w:r>
          </w:p>
        </w:tc>
        <w:tc>
          <w:tcPr>
            <w:tcW w:w="2393" w:type="dxa"/>
            <w:noWrap/>
            <w:vAlign w:val="center"/>
          </w:tcPr>
          <w:p w14:paraId="6A842AA6">
            <w:pPr>
              <w:jc w:val="center"/>
              <w:rPr>
                <w:color w:val="000000"/>
                <w:sz w:val="20"/>
                <w:szCs w:val="20"/>
              </w:rPr>
            </w:pPr>
            <w:r>
              <w:rPr>
                <w:color w:val="000000"/>
                <w:sz w:val="20"/>
                <w:szCs w:val="20"/>
              </w:rPr>
              <w:t>Một mặt tiền</w:t>
            </w:r>
          </w:p>
        </w:tc>
        <w:tc>
          <w:tcPr>
            <w:tcW w:w="1198" w:type="dxa"/>
            <w:noWrap/>
            <w:vAlign w:val="center"/>
          </w:tcPr>
          <w:p w14:paraId="6B650AD4">
            <w:pPr>
              <w:jc w:val="center"/>
              <w:rPr>
                <w:color w:val="000000"/>
                <w:sz w:val="20"/>
                <w:szCs w:val="20"/>
              </w:rPr>
            </w:pPr>
            <w:r>
              <w:rPr>
                <w:color w:val="000000"/>
                <w:sz w:val="20"/>
                <w:szCs w:val="20"/>
              </w:rPr>
              <w:t>10.700.000</w:t>
            </w:r>
          </w:p>
        </w:tc>
        <w:tc>
          <w:tcPr>
            <w:tcW w:w="1236" w:type="dxa"/>
            <w:noWrap/>
            <w:vAlign w:val="center"/>
          </w:tcPr>
          <w:p w14:paraId="1E5D4FC5">
            <w:pPr>
              <w:jc w:val="center"/>
              <w:rPr>
                <w:color w:val="000000"/>
                <w:sz w:val="20"/>
                <w:szCs w:val="20"/>
              </w:rPr>
            </w:pPr>
            <w:r>
              <w:rPr>
                <w:color w:val="000000"/>
                <w:sz w:val="20"/>
                <w:szCs w:val="20"/>
              </w:rPr>
              <w:t>12.579.000</w:t>
            </w:r>
          </w:p>
        </w:tc>
        <w:tc>
          <w:tcPr>
            <w:tcW w:w="1252" w:type="dxa"/>
            <w:noWrap/>
            <w:vAlign w:val="center"/>
          </w:tcPr>
          <w:p w14:paraId="7CC9E9A4">
            <w:pPr>
              <w:jc w:val="center"/>
              <w:rPr>
                <w:color w:val="000000"/>
                <w:sz w:val="20"/>
                <w:szCs w:val="20"/>
              </w:rPr>
            </w:pPr>
            <w:r>
              <w:rPr>
                <w:color w:val="000000"/>
                <w:sz w:val="20"/>
                <w:szCs w:val="20"/>
              </w:rPr>
              <w:t>23.279.000</w:t>
            </w:r>
          </w:p>
        </w:tc>
        <w:tc>
          <w:tcPr>
            <w:tcW w:w="1848" w:type="dxa"/>
            <w:noWrap/>
            <w:vAlign w:val="center"/>
          </w:tcPr>
          <w:p w14:paraId="691537CE">
            <w:pPr>
              <w:jc w:val="center"/>
              <w:rPr>
                <w:color w:val="000000"/>
                <w:sz w:val="20"/>
                <w:szCs w:val="20"/>
              </w:rPr>
            </w:pPr>
            <w:r>
              <w:rPr>
                <w:color w:val="000000"/>
                <w:sz w:val="20"/>
                <w:szCs w:val="20"/>
              </w:rPr>
              <w:t>2.095.110.000</w:t>
            </w:r>
          </w:p>
        </w:tc>
      </w:tr>
      <w:tr w14:paraId="798C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E142912">
            <w:pPr>
              <w:jc w:val="center"/>
              <w:rPr>
                <w:b/>
                <w:bCs/>
                <w:color w:val="000000"/>
                <w:sz w:val="20"/>
                <w:szCs w:val="20"/>
              </w:rPr>
            </w:pPr>
            <w:r>
              <w:rPr>
                <w:b/>
                <w:bCs/>
                <w:color w:val="000000"/>
                <w:sz w:val="20"/>
                <w:szCs w:val="20"/>
              </w:rPr>
              <w:t>LK39</w:t>
            </w:r>
          </w:p>
        </w:tc>
        <w:tc>
          <w:tcPr>
            <w:tcW w:w="1802" w:type="dxa"/>
            <w:vAlign w:val="center"/>
          </w:tcPr>
          <w:p w14:paraId="567858CD">
            <w:pPr>
              <w:jc w:val="center"/>
              <w:rPr>
                <w:color w:val="000000"/>
                <w:sz w:val="20"/>
                <w:szCs w:val="20"/>
              </w:rPr>
            </w:pPr>
            <w:r>
              <w:rPr>
                <w:color w:val="000000"/>
                <w:sz w:val="20"/>
                <w:szCs w:val="20"/>
              </w:rPr>
              <w:t>LK39:06</w:t>
            </w:r>
          </w:p>
        </w:tc>
        <w:tc>
          <w:tcPr>
            <w:tcW w:w="1033" w:type="dxa"/>
            <w:noWrap/>
            <w:vAlign w:val="center"/>
          </w:tcPr>
          <w:p w14:paraId="61F39254">
            <w:pPr>
              <w:jc w:val="center"/>
              <w:rPr>
                <w:color w:val="000000"/>
                <w:sz w:val="20"/>
                <w:szCs w:val="20"/>
              </w:rPr>
            </w:pPr>
            <w:r>
              <w:rPr>
                <w:color w:val="000000"/>
                <w:sz w:val="20"/>
                <w:szCs w:val="20"/>
              </w:rPr>
              <w:t>90,00</w:t>
            </w:r>
          </w:p>
        </w:tc>
        <w:tc>
          <w:tcPr>
            <w:tcW w:w="846" w:type="dxa"/>
            <w:noWrap/>
            <w:vAlign w:val="center"/>
          </w:tcPr>
          <w:p w14:paraId="584182E5">
            <w:pPr>
              <w:jc w:val="center"/>
              <w:rPr>
                <w:color w:val="000000"/>
                <w:sz w:val="20"/>
                <w:szCs w:val="20"/>
              </w:rPr>
            </w:pPr>
            <w:r>
              <w:rPr>
                <w:color w:val="000000"/>
                <w:sz w:val="20"/>
                <w:szCs w:val="20"/>
              </w:rPr>
              <w:t>1</w:t>
            </w:r>
          </w:p>
        </w:tc>
        <w:tc>
          <w:tcPr>
            <w:tcW w:w="2578" w:type="dxa"/>
            <w:noWrap/>
            <w:vAlign w:val="center"/>
          </w:tcPr>
          <w:p w14:paraId="644777FC">
            <w:pPr>
              <w:jc w:val="center"/>
              <w:rPr>
                <w:color w:val="000000"/>
                <w:sz w:val="20"/>
                <w:szCs w:val="20"/>
              </w:rPr>
            </w:pPr>
            <w:r>
              <w:rPr>
                <w:color w:val="000000"/>
                <w:sz w:val="20"/>
                <w:szCs w:val="20"/>
              </w:rPr>
              <w:t>Mặt cắt 2-2</w:t>
            </w:r>
          </w:p>
        </w:tc>
        <w:tc>
          <w:tcPr>
            <w:tcW w:w="2393" w:type="dxa"/>
            <w:noWrap/>
            <w:vAlign w:val="center"/>
          </w:tcPr>
          <w:p w14:paraId="24D2F4DC">
            <w:pPr>
              <w:jc w:val="center"/>
              <w:rPr>
                <w:color w:val="000000"/>
                <w:sz w:val="20"/>
                <w:szCs w:val="20"/>
              </w:rPr>
            </w:pPr>
            <w:r>
              <w:rPr>
                <w:color w:val="000000"/>
                <w:sz w:val="20"/>
                <w:szCs w:val="20"/>
              </w:rPr>
              <w:t>Một mặt tiền</w:t>
            </w:r>
          </w:p>
        </w:tc>
        <w:tc>
          <w:tcPr>
            <w:tcW w:w="1198" w:type="dxa"/>
            <w:noWrap/>
            <w:vAlign w:val="center"/>
          </w:tcPr>
          <w:p w14:paraId="4C086E7E">
            <w:pPr>
              <w:jc w:val="center"/>
              <w:rPr>
                <w:color w:val="000000"/>
                <w:sz w:val="20"/>
                <w:szCs w:val="20"/>
              </w:rPr>
            </w:pPr>
            <w:r>
              <w:rPr>
                <w:color w:val="000000"/>
                <w:sz w:val="20"/>
                <w:szCs w:val="20"/>
              </w:rPr>
              <w:t>10.700.000</w:t>
            </w:r>
          </w:p>
        </w:tc>
        <w:tc>
          <w:tcPr>
            <w:tcW w:w="1236" w:type="dxa"/>
            <w:noWrap/>
            <w:vAlign w:val="center"/>
          </w:tcPr>
          <w:p w14:paraId="7A83B80E">
            <w:pPr>
              <w:jc w:val="center"/>
              <w:rPr>
                <w:color w:val="000000"/>
                <w:sz w:val="20"/>
                <w:szCs w:val="20"/>
              </w:rPr>
            </w:pPr>
            <w:r>
              <w:rPr>
                <w:color w:val="000000"/>
                <w:sz w:val="20"/>
                <w:szCs w:val="20"/>
              </w:rPr>
              <w:t>12.579.000</w:t>
            </w:r>
          </w:p>
        </w:tc>
        <w:tc>
          <w:tcPr>
            <w:tcW w:w="1252" w:type="dxa"/>
            <w:noWrap/>
            <w:vAlign w:val="center"/>
          </w:tcPr>
          <w:p w14:paraId="2A38DA96">
            <w:pPr>
              <w:jc w:val="center"/>
              <w:rPr>
                <w:color w:val="000000"/>
                <w:sz w:val="20"/>
                <w:szCs w:val="20"/>
              </w:rPr>
            </w:pPr>
            <w:r>
              <w:rPr>
                <w:color w:val="000000"/>
                <w:sz w:val="20"/>
                <w:szCs w:val="20"/>
              </w:rPr>
              <w:t>23.279.000</w:t>
            </w:r>
          </w:p>
        </w:tc>
        <w:tc>
          <w:tcPr>
            <w:tcW w:w="1848" w:type="dxa"/>
            <w:noWrap/>
            <w:vAlign w:val="center"/>
          </w:tcPr>
          <w:p w14:paraId="62267CBD">
            <w:pPr>
              <w:jc w:val="center"/>
              <w:rPr>
                <w:color w:val="000000"/>
                <w:sz w:val="20"/>
                <w:szCs w:val="20"/>
              </w:rPr>
            </w:pPr>
            <w:r>
              <w:rPr>
                <w:color w:val="000000"/>
                <w:sz w:val="20"/>
                <w:szCs w:val="20"/>
              </w:rPr>
              <w:t>2.095.110.000</w:t>
            </w:r>
          </w:p>
        </w:tc>
      </w:tr>
      <w:tr w14:paraId="644D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676D49C">
            <w:pPr>
              <w:jc w:val="center"/>
              <w:rPr>
                <w:b/>
                <w:bCs/>
                <w:color w:val="000000"/>
                <w:sz w:val="20"/>
                <w:szCs w:val="20"/>
              </w:rPr>
            </w:pPr>
            <w:r>
              <w:rPr>
                <w:b/>
                <w:bCs/>
                <w:color w:val="000000"/>
                <w:sz w:val="20"/>
                <w:szCs w:val="20"/>
              </w:rPr>
              <w:t>LK39</w:t>
            </w:r>
          </w:p>
        </w:tc>
        <w:tc>
          <w:tcPr>
            <w:tcW w:w="1802" w:type="dxa"/>
            <w:vAlign w:val="center"/>
          </w:tcPr>
          <w:p w14:paraId="67C72961">
            <w:pPr>
              <w:jc w:val="center"/>
              <w:rPr>
                <w:color w:val="000000"/>
                <w:sz w:val="20"/>
                <w:szCs w:val="20"/>
              </w:rPr>
            </w:pPr>
            <w:r>
              <w:rPr>
                <w:color w:val="000000"/>
                <w:sz w:val="20"/>
                <w:szCs w:val="20"/>
              </w:rPr>
              <w:t>LK39:07</w:t>
            </w:r>
          </w:p>
        </w:tc>
        <w:tc>
          <w:tcPr>
            <w:tcW w:w="1033" w:type="dxa"/>
            <w:noWrap/>
            <w:vAlign w:val="center"/>
          </w:tcPr>
          <w:p w14:paraId="5E8B5DBB">
            <w:pPr>
              <w:jc w:val="center"/>
              <w:rPr>
                <w:color w:val="000000"/>
                <w:sz w:val="20"/>
                <w:szCs w:val="20"/>
              </w:rPr>
            </w:pPr>
            <w:r>
              <w:rPr>
                <w:color w:val="000000"/>
                <w:sz w:val="20"/>
                <w:szCs w:val="20"/>
              </w:rPr>
              <w:t>90,00</w:t>
            </w:r>
          </w:p>
        </w:tc>
        <w:tc>
          <w:tcPr>
            <w:tcW w:w="846" w:type="dxa"/>
            <w:noWrap/>
            <w:vAlign w:val="center"/>
          </w:tcPr>
          <w:p w14:paraId="2397B390">
            <w:pPr>
              <w:jc w:val="center"/>
              <w:rPr>
                <w:color w:val="000000"/>
                <w:sz w:val="20"/>
                <w:szCs w:val="20"/>
              </w:rPr>
            </w:pPr>
            <w:r>
              <w:rPr>
                <w:color w:val="000000"/>
                <w:sz w:val="20"/>
                <w:szCs w:val="20"/>
              </w:rPr>
              <w:t>1</w:t>
            </w:r>
          </w:p>
        </w:tc>
        <w:tc>
          <w:tcPr>
            <w:tcW w:w="2578" w:type="dxa"/>
            <w:noWrap/>
            <w:vAlign w:val="center"/>
          </w:tcPr>
          <w:p w14:paraId="0DD072FB">
            <w:pPr>
              <w:jc w:val="center"/>
              <w:rPr>
                <w:color w:val="000000"/>
                <w:sz w:val="20"/>
                <w:szCs w:val="20"/>
              </w:rPr>
            </w:pPr>
            <w:r>
              <w:rPr>
                <w:color w:val="000000"/>
                <w:sz w:val="20"/>
                <w:szCs w:val="20"/>
              </w:rPr>
              <w:t>Mặt cắt 2-2</w:t>
            </w:r>
          </w:p>
        </w:tc>
        <w:tc>
          <w:tcPr>
            <w:tcW w:w="2393" w:type="dxa"/>
            <w:noWrap/>
            <w:vAlign w:val="center"/>
          </w:tcPr>
          <w:p w14:paraId="10D7CE98">
            <w:pPr>
              <w:jc w:val="center"/>
              <w:rPr>
                <w:color w:val="000000"/>
                <w:sz w:val="20"/>
                <w:szCs w:val="20"/>
              </w:rPr>
            </w:pPr>
            <w:r>
              <w:rPr>
                <w:color w:val="000000"/>
                <w:sz w:val="20"/>
                <w:szCs w:val="20"/>
              </w:rPr>
              <w:t>Một mặt tiền</w:t>
            </w:r>
          </w:p>
        </w:tc>
        <w:tc>
          <w:tcPr>
            <w:tcW w:w="1198" w:type="dxa"/>
            <w:noWrap/>
            <w:vAlign w:val="center"/>
          </w:tcPr>
          <w:p w14:paraId="421D54AA">
            <w:pPr>
              <w:jc w:val="center"/>
              <w:rPr>
                <w:color w:val="000000"/>
                <w:sz w:val="20"/>
                <w:szCs w:val="20"/>
              </w:rPr>
            </w:pPr>
            <w:r>
              <w:rPr>
                <w:color w:val="000000"/>
                <w:sz w:val="20"/>
                <w:szCs w:val="20"/>
              </w:rPr>
              <w:t>10.700.000</w:t>
            </w:r>
          </w:p>
        </w:tc>
        <w:tc>
          <w:tcPr>
            <w:tcW w:w="1236" w:type="dxa"/>
            <w:noWrap/>
            <w:vAlign w:val="center"/>
          </w:tcPr>
          <w:p w14:paraId="7A45E77A">
            <w:pPr>
              <w:jc w:val="center"/>
              <w:rPr>
                <w:color w:val="000000"/>
                <w:sz w:val="20"/>
                <w:szCs w:val="20"/>
              </w:rPr>
            </w:pPr>
            <w:r>
              <w:rPr>
                <w:color w:val="000000"/>
                <w:sz w:val="20"/>
                <w:szCs w:val="20"/>
              </w:rPr>
              <w:t>12.579.000</w:t>
            </w:r>
          </w:p>
        </w:tc>
        <w:tc>
          <w:tcPr>
            <w:tcW w:w="1252" w:type="dxa"/>
            <w:noWrap/>
            <w:vAlign w:val="center"/>
          </w:tcPr>
          <w:p w14:paraId="66CE3ED6">
            <w:pPr>
              <w:jc w:val="center"/>
              <w:rPr>
                <w:color w:val="000000"/>
                <w:sz w:val="20"/>
                <w:szCs w:val="20"/>
              </w:rPr>
            </w:pPr>
            <w:r>
              <w:rPr>
                <w:color w:val="000000"/>
                <w:sz w:val="20"/>
                <w:szCs w:val="20"/>
              </w:rPr>
              <w:t>23.279.000</w:t>
            </w:r>
          </w:p>
        </w:tc>
        <w:tc>
          <w:tcPr>
            <w:tcW w:w="1848" w:type="dxa"/>
            <w:noWrap/>
            <w:vAlign w:val="center"/>
          </w:tcPr>
          <w:p w14:paraId="114D79FA">
            <w:pPr>
              <w:jc w:val="center"/>
              <w:rPr>
                <w:color w:val="000000"/>
                <w:sz w:val="20"/>
                <w:szCs w:val="20"/>
              </w:rPr>
            </w:pPr>
            <w:r>
              <w:rPr>
                <w:color w:val="000000"/>
                <w:sz w:val="20"/>
                <w:szCs w:val="20"/>
              </w:rPr>
              <w:t>2.095.110.000</w:t>
            </w:r>
          </w:p>
        </w:tc>
      </w:tr>
      <w:tr w14:paraId="073F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E770F9D">
            <w:pPr>
              <w:jc w:val="center"/>
              <w:rPr>
                <w:b/>
                <w:bCs/>
                <w:color w:val="000000"/>
                <w:sz w:val="20"/>
                <w:szCs w:val="20"/>
              </w:rPr>
            </w:pPr>
            <w:r>
              <w:rPr>
                <w:b/>
                <w:bCs/>
                <w:color w:val="000000"/>
                <w:sz w:val="20"/>
                <w:szCs w:val="20"/>
              </w:rPr>
              <w:t>LK39</w:t>
            </w:r>
          </w:p>
        </w:tc>
        <w:tc>
          <w:tcPr>
            <w:tcW w:w="1802" w:type="dxa"/>
            <w:vAlign w:val="center"/>
          </w:tcPr>
          <w:p w14:paraId="389EF239">
            <w:pPr>
              <w:jc w:val="center"/>
              <w:rPr>
                <w:color w:val="000000"/>
                <w:sz w:val="20"/>
                <w:szCs w:val="20"/>
              </w:rPr>
            </w:pPr>
            <w:r>
              <w:rPr>
                <w:color w:val="000000"/>
                <w:sz w:val="20"/>
                <w:szCs w:val="20"/>
              </w:rPr>
              <w:t>LK39:08</w:t>
            </w:r>
          </w:p>
        </w:tc>
        <w:tc>
          <w:tcPr>
            <w:tcW w:w="1033" w:type="dxa"/>
            <w:noWrap/>
            <w:vAlign w:val="center"/>
          </w:tcPr>
          <w:p w14:paraId="44BF35AB">
            <w:pPr>
              <w:jc w:val="center"/>
              <w:rPr>
                <w:color w:val="000000"/>
                <w:sz w:val="20"/>
                <w:szCs w:val="20"/>
              </w:rPr>
            </w:pPr>
            <w:r>
              <w:rPr>
                <w:color w:val="000000"/>
                <w:sz w:val="20"/>
                <w:szCs w:val="20"/>
              </w:rPr>
              <w:t>90,00</w:t>
            </w:r>
          </w:p>
        </w:tc>
        <w:tc>
          <w:tcPr>
            <w:tcW w:w="846" w:type="dxa"/>
            <w:noWrap/>
            <w:vAlign w:val="center"/>
          </w:tcPr>
          <w:p w14:paraId="767ACD77">
            <w:pPr>
              <w:jc w:val="center"/>
              <w:rPr>
                <w:color w:val="000000"/>
                <w:sz w:val="20"/>
                <w:szCs w:val="20"/>
              </w:rPr>
            </w:pPr>
            <w:r>
              <w:rPr>
                <w:color w:val="000000"/>
                <w:sz w:val="20"/>
                <w:szCs w:val="20"/>
              </w:rPr>
              <w:t>1</w:t>
            </w:r>
          </w:p>
        </w:tc>
        <w:tc>
          <w:tcPr>
            <w:tcW w:w="2578" w:type="dxa"/>
            <w:noWrap/>
            <w:vAlign w:val="center"/>
          </w:tcPr>
          <w:p w14:paraId="60294118">
            <w:pPr>
              <w:jc w:val="center"/>
              <w:rPr>
                <w:color w:val="000000"/>
                <w:sz w:val="20"/>
                <w:szCs w:val="20"/>
              </w:rPr>
            </w:pPr>
            <w:r>
              <w:rPr>
                <w:color w:val="000000"/>
                <w:sz w:val="20"/>
                <w:szCs w:val="20"/>
              </w:rPr>
              <w:t>Mặt cắt 2-2</w:t>
            </w:r>
          </w:p>
        </w:tc>
        <w:tc>
          <w:tcPr>
            <w:tcW w:w="2393" w:type="dxa"/>
            <w:noWrap/>
            <w:vAlign w:val="center"/>
          </w:tcPr>
          <w:p w14:paraId="29B32118">
            <w:pPr>
              <w:jc w:val="center"/>
              <w:rPr>
                <w:color w:val="000000"/>
                <w:sz w:val="20"/>
                <w:szCs w:val="20"/>
              </w:rPr>
            </w:pPr>
            <w:r>
              <w:rPr>
                <w:color w:val="000000"/>
                <w:sz w:val="20"/>
                <w:szCs w:val="20"/>
              </w:rPr>
              <w:t>Một mặt tiền</w:t>
            </w:r>
          </w:p>
        </w:tc>
        <w:tc>
          <w:tcPr>
            <w:tcW w:w="1198" w:type="dxa"/>
            <w:noWrap/>
            <w:vAlign w:val="center"/>
          </w:tcPr>
          <w:p w14:paraId="5809545C">
            <w:pPr>
              <w:jc w:val="center"/>
              <w:rPr>
                <w:color w:val="000000"/>
                <w:sz w:val="20"/>
                <w:szCs w:val="20"/>
              </w:rPr>
            </w:pPr>
            <w:r>
              <w:rPr>
                <w:color w:val="000000"/>
                <w:sz w:val="20"/>
                <w:szCs w:val="20"/>
              </w:rPr>
              <w:t>10.700.000</w:t>
            </w:r>
          </w:p>
        </w:tc>
        <w:tc>
          <w:tcPr>
            <w:tcW w:w="1236" w:type="dxa"/>
            <w:noWrap/>
            <w:vAlign w:val="center"/>
          </w:tcPr>
          <w:p w14:paraId="78F62190">
            <w:pPr>
              <w:jc w:val="center"/>
              <w:rPr>
                <w:color w:val="000000"/>
                <w:sz w:val="20"/>
                <w:szCs w:val="20"/>
              </w:rPr>
            </w:pPr>
            <w:r>
              <w:rPr>
                <w:color w:val="000000"/>
                <w:sz w:val="20"/>
                <w:szCs w:val="20"/>
              </w:rPr>
              <w:t>12.579.000</w:t>
            </w:r>
          </w:p>
        </w:tc>
        <w:tc>
          <w:tcPr>
            <w:tcW w:w="1252" w:type="dxa"/>
            <w:noWrap/>
            <w:vAlign w:val="center"/>
          </w:tcPr>
          <w:p w14:paraId="157290D8">
            <w:pPr>
              <w:jc w:val="center"/>
              <w:rPr>
                <w:color w:val="000000"/>
                <w:sz w:val="20"/>
                <w:szCs w:val="20"/>
              </w:rPr>
            </w:pPr>
            <w:r>
              <w:rPr>
                <w:color w:val="000000"/>
                <w:sz w:val="20"/>
                <w:szCs w:val="20"/>
              </w:rPr>
              <w:t>23.279.000</w:t>
            </w:r>
          </w:p>
        </w:tc>
        <w:tc>
          <w:tcPr>
            <w:tcW w:w="1848" w:type="dxa"/>
            <w:noWrap/>
            <w:vAlign w:val="center"/>
          </w:tcPr>
          <w:p w14:paraId="672B67F0">
            <w:pPr>
              <w:jc w:val="center"/>
              <w:rPr>
                <w:color w:val="000000"/>
                <w:sz w:val="20"/>
                <w:szCs w:val="20"/>
              </w:rPr>
            </w:pPr>
            <w:r>
              <w:rPr>
                <w:color w:val="000000"/>
                <w:sz w:val="20"/>
                <w:szCs w:val="20"/>
              </w:rPr>
              <w:t>2.095.110.000</w:t>
            </w:r>
          </w:p>
        </w:tc>
      </w:tr>
      <w:tr w14:paraId="7144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1C33523">
            <w:pPr>
              <w:jc w:val="center"/>
              <w:rPr>
                <w:b/>
                <w:bCs/>
                <w:color w:val="000000"/>
                <w:sz w:val="20"/>
                <w:szCs w:val="20"/>
              </w:rPr>
            </w:pPr>
            <w:r>
              <w:rPr>
                <w:b/>
                <w:bCs/>
                <w:color w:val="000000"/>
                <w:sz w:val="20"/>
                <w:szCs w:val="20"/>
              </w:rPr>
              <w:t>LK39</w:t>
            </w:r>
          </w:p>
        </w:tc>
        <w:tc>
          <w:tcPr>
            <w:tcW w:w="1802" w:type="dxa"/>
            <w:vAlign w:val="center"/>
          </w:tcPr>
          <w:p w14:paraId="58DA458C">
            <w:pPr>
              <w:jc w:val="center"/>
              <w:rPr>
                <w:color w:val="000000"/>
                <w:sz w:val="20"/>
                <w:szCs w:val="20"/>
              </w:rPr>
            </w:pPr>
            <w:r>
              <w:rPr>
                <w:color w:val="000000"/>
                <w:sz w:val="20"/>
                <w:szCs w:val="20"/>
              </w:rPr>
              <w:t>LK39:09</w:t>
            </w:r>
          </w:p>
        </w:tc>
        <w:tc>
          <w:tcPr>
            <w:tcW w:w="1033" w:type="dxa"/>
            <w:noWrap/>
            <w:vAlign w:val="center"/>
          </w:tcPr>
          <w:p w14:paraId="48AAF0CA">
            <w:pPr>
              <w:jc w:val="center"/>
              <w:rPr>
                <w:color w:val="000000"/>
                <w:sz w:val="20"/>
                <w:szCs w:val="20"/>
              </w:rPr>
            </w:pPr>
            <w:r>
              <w:rPr>
                <w:color w:val="000000"/>
                <w:sz w:val="20"/>
                <w:szCs w:val="20"/>
              </w:rPr>
              <w:t>90,00</w:t>
            </w:r>
          </w:p>
        </w:tc>
        <w:tc>
          <w:tcPr>
            <w:tcW w:w="846" w:type="dxa"/>
            <w:noWrap/>
            <w:vAlign w:val="center"/>
          </w:tcPr>
          <w:p w14:paraId="60E4428F">
            <w:pPr>
              <w:jc w:val="center"/>
              <w:rPr>
                <w:color w:val="000000"/>
                <w:sz w:val="20"/>
                <w:szCs w:val="20"/>
              </w:rPr>
            </w:pPr>
            <w:r>
              <w:rPr>
                <w:color w:val="000000"/>
                <w:sz w:val="20"/>
                <w:szCs w:val="20"/>
              </w:rPr>
              <w:t>1</w:t>
            </w:r>
          </w:p>
        </w:tc>
        <w:tc>
          <w:tcPr>
            <w:tcW w:w="2578" w:type="dxa"/>
            <w:noWrap/>
            <w:vAlign w:val="center"/>
          </w:tcPr>
          <w:p w14:paraId="2FDA453C">
            <w:pPr>
              <w:jc w:val="center"/>
              <w:rPr>
                <w:color w:val="000000"/>
                <w:sz w:val="20"/>
                <w:szCs w:val="20"/>
              </w:rPr>
            </w:pPr>
            <w:r>
              <w:rPr>
                <w:color w:val="000000"/>
                <w:sz w:val="20"/>
                <w:szCs w:val="20"/>
              </w:rPr>
              <w:t>Mặt cắt 2-2</w:t>
            </w:r>
          </w:p>
        </w:tc>
        <w:tc>
          <w:tcPr>
            <w:tcW w:w="2393" w:type="dxa"/>
            <w:noWrap/>
            <w:vAlign w:val="center"/>
          </w:tcPr>
          <w:p w14:paraId="639EEE1B">
            <w:pPr>
              <w:jc w:val="center"/>
              <w:rPr>
                <w:color w:val="000000"/>
                <w:sz w:val="20"/>
                <w:szCs w:val="20"/>
              </w:rPr>
            </w:pPr>
            <w:r>
              <w:rPr>
                <w:color w:val="000000"/>
                <w:sz w:val="20"/>
                <w:szCs w:val="20"/>
              </w:rPr>
              <w:t>Một mặt tiền</w:t>
            </w:r>
          </w:p>
        </w:tc>
        <w:tc>
          <w:tcPr>
            <w:tcW w:w="1198" w:type="dxa"/>
            <w:noWrap/>
            <w:vAlign w:val="center"/>
          </w:tcPr>
          <w:p w14:paraId="63215D72">
            <w:pPr>
              <w:jc w:val="center"/>
              <w:rPr>
                <w:color w:val="000000"/>
                <w:sz w:val="20"/>
                <w:szCs w:val="20"/>
              </w:rPr>
            </w:pPr>
            <w:r>
              <w:rPr>
                <w:color w:val="000000"/>
                <w:sz w:val="20"/>
                <w:szCs w:val="20"/>
              </w:rPr>
              <w:t>10.700.000</w:t>
            </w:r>
          </w:p>
        </w:tc>
        <w:tc>
          <w:tcPr>
            <w:tcW w:w="1236" w:type="dxa"/>
            <w:noWrap/>
            <w:vAlign w:val="center"/>
          </w:tcPr>
          <w:p w14:paraId="120ABDE0">
            <w:pPr>
              <w:jc w:val="center"/>
              <w:rPr>
                <w:color w:val="000000"/>
                <w:sz w:val="20"/>
                <w:szCs w:val="20"/>
              </w:rPr>
            </w:pPr>
            <w:r>
              <w:rPr>
                <w:color w:val="000000"/>
                <w:sz w:val="20"/>
                <w:szCs w:val="20"/>
              </w:rPr>
              <w:t>12.579.000</w:t>
            </w:r>
          </w:p>
        </w:tc>
        <w:tc>
          <w:tcPr>
            <w:tcW w:w="1252" w:type="dxa"/>
            <w:noWrap/>
            <w:vAlign w:val="center"/>
          </w:tcPr>
          <w:p w14:paraId="4122FD96">
            <w:pPr>
              <w:jc w:val="center"/>
              <w:rPr>
                <w:color w:val="000000"/>
                <w:sz w:val="20"/>
                <w:szCs w:val="20"/>
              </w:rPr>
            </w:pPr>
            <w:r>
              <w:rPr>
                <w:color w:val="000000"/>
                <w:sz w:val="20"/>
                <w:szCs w:val="20"/>
              </w:rPr>
              <w:t>23.279.000</w:t>
            </w:r>
          </w:p>
        </w:tc>
        <w:tc>
          <w:tcPr>
            <w:tcW w:w="1848" w:type="dxa"/>
            <w:noWrap/>
            <w:vAlign w:val="center"/>
          </w:tcPr>
          <w:p w14:paraId="76673AB5">
            <w:pPr>
              <w:jc w:val="center"/>
              <w:rPr>
                <w:color w:val="000000"/>
                <w:sz w:val="20"/>
                <w:szCs w:val="20"/>
              </w:rPr>
            </w:pPr>
            <w:r>
              <w:rPr>
                <w:color w:val="000000"/>
                <w:sz w:val="20"/>
                <w:szCs w:val="20"/>
              </w:rPr>
              <w:t>2.095.110.000</w:t>
            </w:r>
          </w:p>
        </w:tc>
      </w:tr>
      <w:tr w14:paraId="6A3C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F5FB83">
            <w:pPr>
              <w:jc w:val="center"/>
              <w:rPr>
                <w:b/>
                <w:bCs/>
                <w:color w:val="000000"/>
                <w:sz w:val="20"/>
                <w:szCs w:val="20"/>
              </w:rPr>
            </w:pPr>
            <w:r>
              <w:rPr>
                <w:b/>
                <w:bCs/>
                <w:color w:val="000000"/>
                <w:sz w:val="20"/>
                <w:szCs w:val="20"/>
              </w:rPr>
              <w:t>LK39</w:t>
            </w:r>
          </w:p>
        </w:tc>
        <w:tc>
          <w:tcPr>
            <w:tcW w:w="1802" w:type="dxa"/>
            <w:vAlign w:val="center"/>
          </w:tcPr>
          <w:p w14:paraId="63BEBF1B">
            <w:pPr>
              <w:jc w:val="center"/>
              <w:rPr>
                <w:color w:val="000000"/>
                <w:sz w:val="20"/>
                <w:szCs w:val="20"/>
              </w:rPr>
            </w:pPr>
            <w:r>
              <w:rPr>
                <w:color w:val="000000"/>
                <w:sz w:val="20"/>
                <w:szCs w:val="20"/>
              </w:rPr>
              <w:t>LK39:10</w:t>
            </w:r>
          </w:p>
        </w:tc>
        <w:tc>
          <w:tcPr>
            <w:tcW w:w="1033" w:type="dxa"/>
            <w:noWrap/>
            <w:vAlign w:val="center"/>
          </w:tcPr>
          <w:p w14:paraId="27B66BF1">
            <w:pPr>
              <w:jc w:val="center"/>
              <w:rPr>
                <w:color w:val="000000"/>
                <w:sz w:val="20"/>
                <w:szCs w:val="20"/>
              </w:rPr>
            </w:pPr>
            <w:r>
              <w:rPr>
                <w:color w:val="000000"/>
                <w:sz w:val="20"/>
                <w:szCs w:val="20"/>
              </w:rPr>
              <w:t>90,00</w:t>
            </w:r>
          </w:p>
        </w:tc>
        <w:tc>
          <w:tcPr>
            <w:tcW w:w="846" w:type="dxa"/>
            <w:noWrap/>
            <w:vAlign w:val="center"/>
          </w:tcPr>
          <w:p w14:paraId="1C57BD11">
            <w:pPr>
              <w:jc w:val="center"/>
              <w:rPr>
                <w:color w:val="000000"/>
                <w:sz w:val="20"/>
                <w:szCs w:val="20"/>
              </w:rPr>
            </w:pPr>
            <w:r>
              <w:rPr>
                <w:color w:val="000000"/>
                <w:sz w:val="20"/>
                <w:szCs w:val="20"/>
              </w:rPr>
              <w:t>1</w:t>
            </w:r>
          </w:p>
        </w:tc>
        <w:tc>
          <w:tcPr>
            <w:tcW w:w="2578" w:type="dxa"/>
            <w:noWrap/>
            <w:vAlign w:val="center"/>
          </w:tcPr>
          <w:p w14:paraId="6CFCF7B6">
            <w:pPr>
              <w:jc w:val="center"/>
              <w:rPr>
                <w:color w:val="000000"/>
                <w:sz w:val="20"/>
                <w:szCs w:val="20"/>
              </w:rPr>
            </w:pPr>
            <w:r>
              <w:rPr>
                <w:color w:val="000000"/>
                <w:sz w:val="20"/>
                <w:szCs w:val="20"/>
              </w:rPr>
              <w:t>Mặt cắt 2-2</w:t>
            </w:r>
          </w:p>
        </w:tc>
        <w:tc>
          <w:tcPr>
            <w:tcW w:w="2393" w:type="dxa"/>
            <w:noWrap/>
            <w:vAlign w:val="center"/>
          </w:tcPr>
          <w:p w14:paraId="3FB7E658">
            <w:pPr>
              <w:jc w:val="center"/>
              <w:rPr>
                <w:color w:val="000000"/>
                <w:sz w:val="20"/>
                <w:szCs w:val="20"/>
              </w:rPr>
            </w:pPr>
            <w:r>
              <w:rPr>
                <w:color w:val="000000"/>
                <w:sz w:val="20"/>
                <w:szCs w:val="20"/>
              </w:rPr>
              <w:t>Một mặt tiền</w:t>
            </w:r>
          </w:p>
        </w:tc>
        <w:tc>
          <w:tcPr>
            <w:tcW w:w="1198" w:type="dxa"/>
            <w:noWrap/>
            <w:vAlign w:val="center"/>
          </w:tcPr>
          <w:p w14:paraId="0D0CA719">
            <w:pPr>
              <w:jc w:val="center"/>
              <w:rPr>
                <w:color w:val="000000"/>
                <w:sz w:val="20"/>
                <w:szCs w:val="20"/>
              </w:rPr>
            </w:pPr>
            <w:r>
              <w:rPr>
                <w:color w:val="000000"/>
                <w:sz w:val="20"/>
                <w:szCs w:val="20"/>
              </w:rPr>
              <w:t>10.700.000</w:t>
            </w:r>
          </w:p>
        </w:tc>
        <w:tc>
          <w:tcPr>
            <w:tcW w:w="1236" w:type="dxa"/>
            <w:noWrap/>
            <w:vAlign w:val="center"/>
          </w:tcPr>
          <w:p w14:paraId="3973177D">
            <w:pPr>
              <w:jc w:val="center"/>
              <w:rPr>
                <w:color w:val="000000"/>
                <w:sz w:val="20"/>
                <w:szCs w:val="20"/>
              </w:rPr>
            </w:pPr>
            <w:r>
              <w:rPr>
                <w:color w:val="000000"/>
                <w:sz w:val="20"/>
                <w:szCs w:val="20"/>
              </w:rPr>
              <w:t>12.579.000</w:t>
            </w:r>
          </w:p>
        </w:tc>
        <w:tc>
          <w:tcPr>
            <w:tcW w:w="1252" w:type="dxa"/>
            <w:noWrap/>
            <w:vAlign w:val="center"/>
          </w:tcPr>
          <w:p w14:paraId="0F58F31A">
            <w:pPr>
              <w:jc w:val="center"/>
              <w:rPr>
                <w:color w:val="000000"/>
                <w:sz w:val="20"/>
                <w:szCs w:val="20"/>
              </w:rPr>
            </w:pPr>
            <w:r>
              <w:rPr>
                <w:color w:val="000000"/>
                <w:sz w:val="20"/>
                <w:szCs w:val="20"/>
              </w:rPr>
              <w:t>23.279.000</w:t>
            </w:r>
          </w:p>
        </w:tc>
        <w:tc>
          <w:tcPr>
            <w:tcW w:w="1848" w:type="dxa"/>
            <w:noWrap/>
            <w:vAlign w:val="center"/>
          </w:tcPr>
          <w:p w14:paraId="6272D401">
            <w:pPr>
              <w:jc w:val="center"/>
              <w:rPr>
                <w:color w:val="000000"/>
                <w:sz w:val="20"/>
                <w:szCs w:val="20"/>
              </w:rPr>
            </w:pPr>
            <w:r>
              <w:rPr>
                <w:color w:val="000000"/>
                <w:sz w:val="20"/>
                <w:szCs w:val="20"/>
              </w:rPr>
              <w:t>2.095.110.000</w:t>
            </w:r>
          </w:p>
        </w:tc>
      </w:tr>
      <w:tr w14:paraId="03F3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0AFD48F">
            <w:pPr>
              <w:jc w:val="center"/>
              <w:rPr>
                <w:b/>
                <w:bCs/>
                <w:color w:val="000000"/>
                <w:sz w:val="20"/>
                <w:szCs w:val="20"/>
              </w:rPr>
            </w:pPr>
            <w:r>
              <w:rPr>
                <w:b/>
                <w:bCs/>
                <w:color w:val="000000"/>
                <w:sz w:val="20"/>
                <w:szCs w:val="20"/>
              </w:rPr>
              <w:t>LK41</w:t>
            </w:r>
          </w:p>
        </w:tc>
        <w:tc>
          <w:tcPr>
            <w:tcW w:w="1802" w:type="dxa"/>
            <w:vAlign w:val="center"/>
          </w:tcPr>
          <w:p w14:paraId="147A2AF9">
            <w:pPr>
              <w:jc w:val="center"/>
              <w:rPr>
                <w:color w:val="000000"/>
                <w:sz w:val="20"/>
                <w:szCs w:val="20"/>
              </w:rPr>
            </w:pPr>
            <w:r>
              <w:rPr>
                <w:color w:val="000000"/>
                <w:sz w:val="20"/>
                <w:szCs w:val="20"/>
              </w:rPr>
              <w:t>LK41:01</w:t>
            </w:r>
          </w:p>
        </w:tc>
        <w:tc>
          <w:tcPr>
            <w:tcW w:w="1033" w:type="dxa"/>
            <w:noWrap/>
            <w:vAlign w:val="center"/>
          </w:tcPr>
          <w:p w14:paraId="2DCF4EB3">
            <w:pPr>
              <w:jc w:val="center"/>
              <w:rPr>
                <w:color w:val="000000"/>
                <w:sz w:val="20"/>
                <w:szCs w:val="20"/>
              </w:rPr>
            </w:pPr>
            <w:r>
              <w:rPr>
                <w:color w:val="000000"/>
                <w:sz w:val="20"/>
                <w:szCs w:val="20"/>
              </w:rPr>
              <w:t>90,00</w:t>
            </w:r>
          </w:p>
        </w:tc>
        <w:tc>
          <w:tcPr>
            <w:tcW w:w="846" w:type="dxa"/>
            <w:noWrap/>
            <w:vAlign w:val="center"/>
          </w:tcPr>
          <w:p w14:paraId="050B045E">
            <w:pPr>
              <w:jc w:val="center"/>
              <w:rPr>
                <w:color w:val="000000"/>
                <w:sz w:val="20"/>
                <w:szCs w:val="20"/>
              </w:rPr>
            </w:pPr>
            <w:r>
              <w:rPr>
                <w:color w:val="000000"/>
                <w:sz w:val="20"/>
                <w:szCs w:val="20"/>
              </w:rPr>
              <w:t>1</w:t>
            </w:r>
          </w:p>
        </w:tc>
        <w:tc>
          <w:tcPr>
            <w:tcW w:w="2578" w:type="dxa"/>
            <w:noWrap/>
            <w:vAlign w:val="center"/>
          </w:tcPr>
          <w:p w14:paraId="12B34DBD">
            <w:pPr>
              <w:jc w:val="center"/>
              <w:rPr>
                <w:color w:val="000000"/>
                <w:sz w:val="20"/>
                <w:szCs w:val="20"/>
              </w:rPr>
            </w:pPr>
            <w:r>
              <w:rPr>
                <w:color w:val="000000"/>
                <w:sz w:val="20"/>
                <w:szCs w:val="20"/>
              </w:rPr>
              <w:t>Mặt cắt 2-2</w:t>
            </w:r>
          </w:p>
        </w:tc>
        <w:tc>
          <w:tcPr>
            <w:tcW w:w="2393" w:type="dxa"/>
            <w:noWrap/>
            <w:vAlign w:val="center"/>
          </w:tcPr>
          <w:p w14:paraId="03B9F8FF">
            <w:pPr>
              <w:jc w:val="center"/>
              <w:rPr>
                <w:color w:val="000000"/>
                <w:sz w:val="20"/>
                <w:szCs w:val="20"/>
              </w:rPr>
            </w:pPr>
            <w:r>
              <w:rPr>
                <w:color w:val="000000"/>
                <w:sz w:val="20"/>
                <w:szCs w:val="20"/>
              </w:rPr>
              <w:t>Một mặt tiền</w:t>
            </w:r>
          </w:p>
        </w:tc>
        <w:tc>
          <w:tcPr>
            <w:tcW w:w="1198" w:type="dxa"/>
            <w:noWrap/>
            <w:vAlign w:val="center"/>
          </w:tcPr>
          <w:p w14:paraId="1091FDFF">
            <w:pPr>
              <w:jc w:val="center"/>
              <w:rPr>
                <w:color w:val="000000"/>
                <w:sz w:val="20"/>
                <w:szCs w:val="20"/>
              </w:rPr>
            </w:pPr>
            <w:r>
              <w:rPr>
                <w:color w:val="000000"/>
                <w:sz w:val="20"/>
                <w:szCs w:val="20"/>
              </w:rPr>
              <w:t>10.700.000</w:t>
            </w:r>
          </w:p>
        </w:tc>
        <w:tc>
          <w:tcPr>
            <w:tcW w:w="1236" w:type="dxa"/>
            <w:noWrap/>
            <w:vAlign w:val="center"/>
          </w:tcPr>
          <w:p w14:paraId="4BC9CB52">
            <w:pPr>
              <w:jc w:val="center"/>
              <w:rPr>
                <w:color w:val="000000"/>
                <w:sz w:val="20"/>
                <w:szCs w:val="20"/>
              </w:rPr>
            </w:pPr>
            <w:r>
              <w:rPr>
                <w:color w:val="000000"/>
                <w:sz w:val="20"/>
                <w:szCs w:val="20"/>
              </w:rPr>
              <w:t>12.579.000</w:t>
            </w:r>
          </w:p>
        </w:tc>
        <w:tc>
          <w:tcPr>
            <w:tcW w:w="1252" w:type="dxa"/>
            <w:noWrap/>
            <w:vAlign w:val="center"/>
          </w:tcPr>
          <w:p w14:paraId="1789DEA9">
            <w:pPr>
              <w:jc w:val="center"/>
              <w:rPr>
                <w:color w:val="000000"/>
                <w:sz w:val="20"/>
                <w:szCs w:val="20"/>
              </w:rPr>
            </w:pPr>
            <w:r>
              <w:rPr>
                <w:color w:val="000000"/>
                <w:sz w:val="20"/>
                <w:szCs w:val="20"/>
              </w:rPr>
              <w:t>23.279.000</w:t>
            </w:r>
          </w:p>
        </w:tc>
        <w:tc>
          <w:tcPr>
            <w:tcW w:w="1848" w:type="dxa"/>
            <w:noWrap/>
            <w:vAlign w:val="center"/>
          </w:tcPr>
          <w:p w14:paraId="1F2FB304">
            <w:pPr>
              <w:jc w:val="center"/>
              <w:rPr>
                <w:color w:val="000000"/>
                <w:sz w:val="20"/>
                <w:szCs w:val="20"/>
              </w:rPr>
            </w:pPr>
            <w:r>
              <w:rPr>
                <w:color w:val="000000"/>
                <w:sz w:val="20"/>
                <w:szCs w:val="20"/>
              </w:rPr>
              <w:t>2.095.110.000</w:t>
            </w:r>
          </w:p>
        </w:tc>
      </w:tr>
      <w:tr w14:paraId="352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CD2D600">
            <w:pPr>
              <w:jc w:val="center"/>
              <w:rPr>
                <w:b/>
                <w:bCs/>
                <w:color w:val="000000"/>
                <w:sz w:val="20"/>
                <w:szCs w:val="20"/>
              </w:rPr>
            </w:pPr>
            <w:r>
              <w:rPr>
                <w:b/>
                <w:bCs/>
                <w:color w:val="000000"/>
                <w:sz w:val="20"/>
                <w:szCs w:val="20"/>
              </w:rPr>
              <w:t>LK41</w:t>
            </w:r>
          </w:p>
        </w:tc>
        <w:tc>
          <w:tcPr>
            <w:tcW w:w="1802" w:type="dxa"/>
            <w:vAlign w:val="center"/>
          </w:tcPr>
          <w:p w14:paraId="2F688495">
            <w:pPr>
              <w:jc w:val="center"/>
              <w:rPr>
                <w:color w:val="000000"/>
                <w:sz w:val="20"/>
                <w:szCs w:val="20"/>
              </w:rPr>
            </w:pPr>
            <w:r>
              <w:rPr>
                <w:color w:val="000000"/>
                <w:sz w:val="20"/>
                <w:szCs w:val="20"/>
              </w:rPr>
              <w:t>LK41:02</w:t>
            </w:r>
          </w:p>
        </w:tc>
        <w:tc>
          <w:tcPr>
            <w:tcW w:w="1033" w:type="dxa"/>
            <w:noWrap/>
            <w:vAlign w:val="center"/>
          </w:tcPr>
          <w:p w14:paraId="57B32603">
            <w:pPr>
              <w:jc w:val="center"/>
              <w:rPr>
                <w:color w:val="000000"/>
                <w:sz w:val="20"/>
                <w:szCs w:val="20"/>
              </w:rPr>
            </w:pPr>
            <w:r>
              <w:rPr>
                <w:color w:val="000000"/>
                <w:sz w:val="20"/>
                <w:szCs w:val="20"/>
              </w:rPr>
              <w:t>90,00</w:t>
            </w:r>
          </w:p>
        </w:tc>
        <w:tc>
          <w:tcPr>
            <w:tcW w:w="846" w:type="dxa"/>
            <w:noWrap/>
            <w:vAlign w:val="center"/>
          </w:tcPr>
          <w:p w14:paraId="0EC631C9">
            <w:pPr>
              <w:jc w:val="center"/>
              <w:rPr>
                <w:color w:val="000000"/>
                <w:sz w:val="20"/>
                <w:szCs w:val="20"/>
              </w:rPr>
            </w:pPr>
            <w:r>
              <w:rPr>
                <w:color w:val="000000"/>
                <w:sz w:val="20"/>
                <w:szCs w:val="20"/>
              </w:rPr>
              <w:t>1</w:t>
            </w:r>
          </w:p>
        </w:tc>
        <w:tc>
          <w:tcPr>
            <w:tcW w:w="2578" w:type="dxa"/>
            <w:noWrap/>
            <w:vAlign w:val="center"/>
          </w:tcPr>
          <w:p w14:paraId="6470A6B0">
            <w:pPr>
              <w:jc w:val="center"/>
              <w:rPr>
                <w:color w:val="000000"/>
                <w:sz w:val="20"/>
                <w:szCs w:val="20"/>
              </w:rPr>
            </w:pPr>
            <w:r>
              <w:rPr>
                <w:color w:val="000000"/>
                <w:sz w:val="20"/>
                <w:szCs w:val="20"/>
              </w:rPr>
              <w:t>Mặt cắt 2-2</w:t>
            </w:r>
          </w:p>
        </w:tc>
        <w:tc>
          <w:tcPr>
            <w:tcW w:w="2393" w:type="dxa"/>
            <w:noWrap/>
            <w:vAlign w:val="center"/>
          </w:tcPr>
          <w:p w14:paraId="50B79065">
            <w:pPr>
              <w:jc w:val="center"/>
              <w:rPr>
                <w:color w:val="000000"/>
                <w:sz w:val="20"/>
                <w:szCs w:val="20"/>
              </w:rPr>
            </w:pPr>
            <w:r>
              <w:rPr>
                <w:color w:val="000000"/>
                <w:sz w:val="20"/>
                <w:szCs w:val="20"/>
              </w:rPr>
              <w:t>Một mặt tiền</w:t>
            </w:r>
          </w:p>
        </w:tc>
        <w:tc>
          <w:tcPr>
            <w:tcW w:w="1198" w:type="dxa"/>
            <w:noWrap/>
            <w:vAlign w:val="center"/>
          </w:tcPr>
          <w:p w14:paraId="2D2B4018">
            <w:pPr>
              <w:jc w:val="center"/>
              <w:rPr>
                <w:color w:val="000000"/>
                <w:sz w:val="20"/>
                <w:szCs w:val="20"/>
              </w:rPr>
            </w:pPr>
            <w:r>
              <w:rPr>
                <w:color w:val="000000"/>
                <w:sz w:val="20"/>
                <w:szCs w:val="20"/>
              </w:rPr>
              <w:t>10.700.000</w:t>
            </w:r>
          </w:p>
        </w:tc>
        <w:tc>
          <w:tcPr>
            <w:tcW w:w="1236" w:type="dxa"/>
            <w:noWrap/>
            <w:vAlign w:val="center"/>
          </w:tcPr>
          <w:p w14:paraId="6F46A48B">
            <w:pPr>
              <w:jc w:val="center"/>
              <w:rPr>
                <w:color w:val="000000"/>
                <w:sz w:val="20"/>
                <w:szCs w:val="20"/>
              </w:rPr>
            </w:pPr>
            <w:r>
              <w:rPr>
                <w:color w:val="000000"/>
                <w:sz w:val="20"/>
                <w:szCs w:val="20"/>
              </w:rPr>
              <w:t>12.579.000</w:t>
            </w:r>
          </w:p>
        </w:tc>
        <w:tc>
          <w:tcPr>
            <w:tcW w:w="1252" w:type="dxa"/>
            <w:noWrap/>
            <w:vAlign w:val="center"/>
          </w:tcPr>
          <w:p w14:paraId="042361CF">
            <w:pPr>
              <w:jc w:val="center"/>
              <w:rPr>
                <w:color w:val="000000"/>
                <w:sz w:val="20"/>
                <w:szCs w:val="20"/>
              </w:rPr>
            </w:pPr>
            <w:r>
              <w:rPr>
                <w:color w:val="000000"/>
                <w:sz w:val="20"/>
                <w:szCs w:val="20"/>
              </w:rPr>
              <w:t>23.279.000</w:t>
            </w:r>
          </w:p>
        </w:tc>
        <w:tc>
          <w:tcPr>
            <w:tcW w:w="1848" w:type="dxa"/>
            <w:noWrap/>
            <w:vAlign w:val="center"/>
          </w:tcPr>
          <w:p w14:paraId="5C6BF8AC">
            <w:pPr>
              <w:jc w:val="center"/>
              <w:rPr>
                <w:color w:val="000000"/>
                <w:sz w:val="20"/>
                <w:szCs w:val="20"/>
              </w:rPr>
            </w:pPr>
            <w:r>
              <w:rPr>
                <w:color w:val="000000"/>
                <w:sz w:val="20"/>
                <w:szCs w:val="20"/>
              </w:rPr>
              <w:t>2.095.110.000</w:t>
            </w:r>
          </w:p>
        </w:tc>
      </w:tr>
      <w:tr w14:paraId="496A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30CB656">
            <w:pPr>
              <w:jc w:val="center"/>
              <w:rPr>
                <w:b/>
                <w:bCs/>
                <w:color w:val="000000"/>
                <w:sz w:val="20"/>
                <w:szCs w:val="20"/>
              </w:rPr>
            </w:pPr>
            <w:r>
              <w:rPr>
                <w:b/>
                <w:bCs/>
                <w:color w:val="000000"/>
                <w:sz w:val="20"/>
                <w:szCs w:val="20"/>
              </w:rPr>
              <w:t>LK41</w:t>
            </w:r>
          </w:p>
        </w:tc>
        <w:tc>
          <w:tcPr>
            <w:tcW w:w="1802" w:type="dxa"/>
            <w:vAlign w:val="center"/>
          </w:tcPr>
          <w:p w14:paraId="19BBB818">
            <w:pPr>
              <w:jc w:val="center"/>
              <w:rPr>
                <w:color w:val="000000"/>
                <w:sz w:val="20"/>
                <w:szCs w:val="20"/>
              </w:rPr>
            </w:pPr>
            <w:r>
              <w:rPr>
                <w:color w:val="000000"/>
                <w:sz w:val="20"/>
                <w:szCs w:val="20"/>
              </w:rPr>
              <w:t>LK41:03</w:t>
            </w:r>
          </w:p>
        </w:tc>
        <w:tc>
          <w:tcPr>
            <w:tcW w:w="1033" w:type="dxa"/>
            <w:noWrap/>
            <w:vAlign w:val="center"/>
          </w:tcPr>
          <w:p w14:paraId="519222B3">
            <w:pPr>
              <w:jc w:val="center"/>
              <w:rPr>
                <w:color w:val="000000"/>
                <w:sz w:val="20"/>
                <w:szCs w:val="20"/>
              </w:rPr>
            </w:pPr>
            <w:r>
              <w:rPr>
                <w:color w:val="000000"/>
                <w:sz w:val="20"/>
                <w:szCs w:val="20"/>
              </w:rPr>
              <w:t>90,00</w:t>
            </w:r>
          </w:p>
        </w:tc>
        <w:tc>
          <w:tcPr>
            <w:tcW w:w="846" w:type="dxa"/>
            <w:noWrap/>
            <w:vAlign w:val="center"/>
          </w:tcPr>
          <w:p w14:paraId="6E49FD6C">
            <w:pPr>
              <w:jc w:val="center"/>
              <w:rPr>
                <w:color w:val="000000"/>
                <w:sz w:val="20"/>
                <w:szCs w:val="20"/>
              </w:rPr>
            </w:pPr>
            <w:r>
              <w:rPr>
                <w:color w:val="000000"/>
                <w:sz w:val="20"/>
                <w:szCs w:val="20"/>
              </w:rPr>
              <w:t>1</w:t>
            </w:r>
          </w:p>
        </w:tc>
        <w:tc>
          <w:tcPr>
            <w:tcW w:w="2578" w:type="dxa"/>
            <w:noWrap/>
            <w:vAlign w:val="center"/>
          </w:tcPr>
          <w:p w14:paraId="278C149E">
            <w:pPr>
              <w:jc w:val="center"/>
              <w:rPr>
                <w:color w:val="000000"/>
                <w:sz w:val="20"/>
                <w:szCs w:val="20"/>
              </w:rPr>
            </w:pPr>
            <w:r>
              <w:rPr>
                <w:color w:val="000000"/>
                <w:sz w:val="20"/>
                <w:szCs w:val="20"/>
              </w:rPr>
              <w:t>Mặt cắt 2-2</w:t>
            </w:r>
          </w:p>
        </w:tc>
        <w:tc>
          <w:tcPr>
            <w:tcW w:w="2393" w:type="dxa"/>
            <w:noWrap/>
            <w:vAlign w:val="center"/>
          </w:tcPr>
          <w:p w14:paraId="43FFB8F4">
            <w:pPr>
              <w:jc w:val="center"/>
              <w:rPr>
                <w:color w:val="000000"/>
                <w:sz w:val="20"/>
                <w:szCs w:val="20"/>
              </w:rPr>
            </w:pPr>
            <w:r>
              <w:rPr>
                <w:color w:val="000000"/>
                <w:sz w:val="20"/>
                <w:szCs w:val="20"/>
              </w:rPr>
              <w:t>Một mặt tiền</w:t>
            </w:r>
          </w:p>
        </w:tc>
        <w:tc>
          <w:tcPr>
            <w:tcW w:w="1198" w:type="dxa"/>
            <w:noWrap/>
            <w:vAlign w:val="center"/>
          </w:tcPr>
          <w:p w14:paraId="44675463">
            <w:pPr>
              <w:jc w:val="center"/>
              <w:rPr>
                <w:color w:val="000000"/>
                <w:sz w:val="20"/>
                <w:szCs w:val="20"/>
              </w:rPr>
            </w:pPr>
            <w:r>
              <w:rPr>
                <w:color w:val="000000"/>
                <w:sz w:val="20"/>
                <w:szCs w:val="20"/>
              </w:rPr>
              <w:t>10.700.000</w:t>
            </w:r>
          </w:p>
        </w:tc>
        <w:tc>
          <w:tcPr>
            <w:tcW w:w="1236" w:type="dxa"/>
            <w:noWrap/>
            <w:vAlign w:val="center"/>
          </w:tcPr>
          <w:p w14:paraId="4B1D3B72">
            <w:pPr>
              <w:jc w:val="center"/>
              <w:rPr>
                <w:color w:val="000000"/>
                <w:sz w:val="20"/>
                <w:szCs w:val="20"/>
              </w:rPr>
            </w:pPr>
            <w:r>
              <w:rPr>
                <w:color w:val="000000"/>
                <w:sz w:val="20"/>
                <w:szCs w:val="20"/>
              </w:rPr>
              <w:t>12.579.000</w:t>
            </w:r>
          </w:p>
        </w:tc>
        <w:tc>
          <w:tcPr>
            <w:tcW w:w="1252" w:type="dxa"/>
            <w:noWrap/>
            <w:vAlign w:val="center"/>
          </w:tcPr>
          <w:p w14:paraId="3B7E6A51">
            <w:pPr>
              <w:jc w:val="center"/>
              <w:rPr>
                <w:color w:val="000000"/>
                <w:sz w:val="20"/>
                <w:szCs w:val="20"/>
              </w:rPr>
            </w:pPr>
            <w:r>
              <w:rPr>
                <w:color w:val="000000"/>
                <w:sz w:val="20"/>
                <w:szCs w:val="20"/>
              </w:rPr>
              <w:t>23.279.000</w:t>
            </w:r>
          </w:p>
        </w:tc>
        <w:tc>
          <w:tcPr>
            <w:tcW w:w="1848" w:type="dxa"/>
            <w:noWrap/>
            <w:vAlign w:val="center"/>
          </w:tcPr>
          <w:p w14:paraId="7BC18076">
            <w:pPr>
              <w:jc w:val="center"/>
              <w:rPr>
                <w:color w:val="000000"/>
                <w:sz w:val="20"/>
                <w:szCs w:val="20"/>
              </w:rPr>
            </w:pPr>
            <w:r>
              <w:rPr>
                <w:color w:val="000000"/>
                <w:sz w:val="20"/>
                <w:szCs w:val="20"/>
              </w:rPr>
              <w:t>2.095.110.000</w:t>
            </w:r>
          </w:p>
        </w:tc>
      </w:tr>
      <w:tr w14:paraId="0CFC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7D94BAB">
            <w:pPr>
              <w:jc w:val="center"/>
              <w:rPr>
                <w:b/>
                <w:bCs/>
                <w:color w:val="000000"/>
                <w:sz w:val="20"/>
                <w:szCs w:val="20"/>
              </w:rPr>
            </w:pPr>
            <w:r>
              <w:rPr>
                <w:b/>
                <w:bCs/>
                <w:color w:val="000000"/>
                <w:sz w:val="20"/>
                <w:szCs w:val="20"/>
              </w:rPr>
              <w:t>LK41</w:t>
            </w:r>
          </w:p>
        </w:tc>
        <w:tc>
          <w:tcPr>
            <w:tcW w:w="1802" w:type="dxa"/>
            <w:vAlign w:val="center"/>
          </w:tcPr>
          <w:p w14:paraId="36389AEA">
            <w:pPr>
              <w:jc w:val="center"/>
              <w:rPr>
                <w:color w:val="000000"/>
                <w:sz w:val="20"/>
                <w:szCs w:val="20"/>
              </w:rPr>
            </w:pPr>
            <w:r>
              <w:rPr>
                <w:color w:val="000000"/>
                <w:sz w:val="20"/>
                <w:szCs w:val="20"/>
              </w:rPr>
              <w:t>LK41:04</w:t>
            </w:r>
          </w:p>
        </w:tc>
        <w:tc>
          <w:tcPr>
            <w:tcW w:w="1033" w:type="dxa"/>
            <w:noWrap/>
            <w:vAlign w:val="center"/>
          </w:tcPr>
          <w:p w14:paraId="349BDAE6">
            <w:pPr>
              <w:jc w:val="center"/>
              <w:rPr>
                <w:color w:val="000000"/>
                <w:sz w:val="20"/>
                <w:szCs w:val="20"/>
              </w:rPr>
            </w:pPr>
            <w:r>
              <w:rPr>
                <w:color w:val="000000"/>
                <w:sz w:val="20"/>
                <w:szCs w:val="20"/>
              </w:rPr>
              <w:t>90,00</w:t>
            </w:r>
          </w:p>
        </w:tc>
        <w:tc>
          <w:tcPr>
            <w:tcW w:w="846" w:type="dxa"/>
            <w:noWrap/>
            <w:vAlign w:val="center"/>
          </w:tcPr>
          <w:p w14:paraId="5A2985DD">
            <w:pPr>
              <w:jc w:val="center"/>
              <w:rPr>
                <w:color w:val="000000"/>
                <w:sz w:val="20"/>
                <w:szCs w:val="20"/>
              </w:rPr>
            </w:pPr>
            <w:r>
              <w:rPr>
                <w:color w:val="000000"/>
                <w:sz w:val="20"/>
                <w:szCs w:val="20"/>
              </w:rPr>
              <w:t>1</w:t>
            </w:r>
          </w:p>
        </w:tc>
        <w:tc>
          <w:tcPr>
            <w:tcW w:w="2578" w:type="dxa"/>
            <w:noWrap/>
            <w:vAlign w:val="center"/>
          </w:tcPr>
          <w:p w14:paraId="06016719">
            <w:pPr>
              <w:jc w:val="center"/>
              <w:rPr>
                <w:color w:val="000000"/>
                <w:sz w:val="20"/>
                <w:szCs w:val="20"/>
              </w:rPr>
            </w:pPr>
            <w:r>
              <w:rPr>
                <w:color w:val="000000"/>
                <w:sz w:val="20"/>
                <w:szCs w:val="20"/>
              </w:rPr>
              <w:t>Mặt cắt 2-2</w:t>
            </w:r>
          </w:p>
        </w:tc>
        <w:tc>
          <w:tcPr>
            <w:tcW w:w="2393" w:type="dxa"/>
            <w:noWrap/>
            <w:vAlign w:val="center"/>
          </w:tcPr>
          <w:p w14:paraId="7EDCEE90">
            <w:pPr>
              <w:jc w:val="center"/>
              <w:rPr>
                <w:color w:val="000000"/>
                <w:sz w:val="20"/>
                <w:szCs w:val="20"/>
              </w:rPr>
            </w:pPr>
            <w:r>
              <w:rPr>
                <w:color w:val="000000"/>
                <w:sz w:val="20"/>
                <w:szCs w:val="20"/>
              </w:rPr>
              <w:t>Một mặt tiền</w:t>
            </w:r>
          </w:p>
        </w:tc>
        <w:tc>
          <w:tcPr>
            <w:tcW w:w="1198" w:type="dxa"/>
            <w:noWrap/>
            <w:vAlign w:val="center"/>
          </w:tcPr>
          <w:p w14:paraId="7CB90B43">
            <w:pPr>
              <w:jc w:val="center"/>
              <w:rPr>
                <w:color w:val="000000"/>
                <w:sz w:val="20"/>
                <w:szCs w:val="20"/>
              </w:rPr>
            </w:pPr>
            <w:r>
              <w:rPr>
                <w:color w:val="000000"/>
                <w:sz w:val="20"/>
                <w:szCs w:val="20"/>
              </w:rPr>
              <w:t>10.700.000</w:t>
            </w:r>
          </w:p>
        </w:tc>
        <w:tc>
          <w:tcPr>
            <w:tcW w:w="1236" w:type="dxa"/>
            <w:noWrap/>
            <w:vAlign w:val="center"/>
          </w:tcPr>
          <w:p w14:paraId="61F1FA68">
            <w:pPr>
              <w:jc w:val="center"/>
              <w:rPr>
                <w:color w:val="000000"/>
                <w:sz w:val="20"/>
                <w:szCs w:val="20"/>
              </w:rPr>
            </w:pPr>
            <w:r>
              <w:rPr>
                <w:color w:val="000000"/>
                <w:sz w:val="20"/>
                <w:szCs w:val="20"/>
              </w:rPr>
              <w:t>12.579.000</w:t>
            </w:r>
          </w:p>
        </w:tc>
        <w:tc>
          <w:tcPr>
            <w:tcW w:w="1252" w:type="dxa"/>
            <w:noWrap/>
            <w:vAlign w:val="center"/>
          </w:tcPr>
          <w:p w14:paraId="1B20455F">
            <w:pPr>
              <w:jc w:val="center"/>
              <w:rPr>
                <w:color w:val="000000"/>
                <w:sz w:val="20"/>
                <w:szCs w:val="20"/>
              </w:rPr>
            </w:pPr>
            <w:r>
              <w:rPr>
                <w:color w:val="000000"/>
                <w:sz w:val="20"/>
                <w:szCs w:val="20"/>
              </w:rPr>
              <w:t>23.279.000</w:t>
            </w:r>
          </w:p>
        </w:tc>
        <w:tc>
          <w:tcPr>
            <w:tcW w:w="1848" w:type="dxa"/>
            <w:noWrap/>
            <w:vAlign w:val="center"/>
          </w:tcPr>
          <w:p w14:paraId="4011FBF8">
            <w:pPr>
              <w:jc w:val="center"/>
              <w:rPr>
                <w:color w:val="000000"/>
                <w:sz w:val="20"/>
                <w:szCs w:val="20"/>
              </w:rPr>
            </w:pPr>
            <w:r>
              <w:rPr>
                <w:color w:val="000000"/>
                <w:sz w:val="20"/>
                <w:szCs w:val="20"/>
              </w:rPr>
              <w:t>2.095.110.000</w:t>
            </w:r>
          </w:p>
        </w:tc>
      </w:tr>
      <w:tr w14:paraId="65B2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00765D8">
            <w:pPr>
              <w:jc w:val="center"/>
              <w:rPr>
                <w:b/>
                <w:bCs/>
                <w:color w:val="000000"/>
                <w:sz w:val="20"/>
                <w:szCs w:val="20"/>
              </w:rPr>
            </w:pPr>
            <w:r>
              <w:rPr>
                <w:b/>
                <w:bCs/>
                <w:color w:val="000000"/>
                <w:sz w:val="20"/>
                <w:szCs w:val="20"/>
              </w:rPr>
              <w:t>LK41</w:t>
            </w:r>
          </w:p>
        </w:tc>
        <w:tc>
          <w:tcPr>
            <w:tcW w:w="1802" w:type="dxa"/>
            <w:vAlign w:val="center"/>
          </w:tcPr>
          <w:p w14:paraId="76DAEAF4">
            <w:pPr>
              <w:jc w:val="center"/>
              <w:rPr>
                <w:color w:val="000000"/>
                <w:sz w:val="20"/>
                <w:szCs w:val="20"/>
              </w:rPr>
            </w:pPr>
            <w:r>
              <w:rPr>
                <w:color w:val="000000"/>
                <w:sz w:val="20"/>
                <w:szCs w:val="20"/>
              </w:rPr>
              <w:t>LK41:05</w:t>
            </w:r>
          </w:p>
        </w:tc>
        <w:tc>
          <w:tcPr>
            <w:tcW w:w="1033" w:type="dxa"/>
            <w:noWrap/>
            <w:vAlign w:val="center"/>
          </w:tcPr>
          <w:p w14:paraId="47748A87">
            <w:pPr>
              <w:jc w:val="center"/>
              <w:rPr>
                <w:color w:val="000000"/>
                <w:sz w:val="20"/>
                <w:szCs w:val="20"/>
              </w:rPr>
            </w:pPr>
            <w:r>
              <w:rPr>
                <w:color w:val="000000"/>
                <w:sz w:val="20"/>
                <w:szCs w:val="20"/>
              </w:rPr>
              <w:t>90,00</w:t>
            </w:r>
          </w:p>
        </w:tc>
        <w:tc>
          <w:tcPr>
            <w:tcW w:w="846" w:type="dxa"/>
            <w:noWrap/>
            <w:vAlign w:val="center"/>
          </w:tcPr>
          <w:p w14:paraId="5CF3287F">
            <w:pPr>
              <w:jc w:val="center"/>
              <w:rPr>
                <w:color w:val="000000"/>
                <w:sz w:val="20"/>
                <w:szCs w:val="20"/>
              </w:rPr>
            </w:pPr>
            <w:r>
              <w:rPr>
                <w:color w:val="000000"/>
                <w:sz w:val="20"/>
                <w:szCs w:val="20"/>
              </w:rPr>
              <w:t>1</w:t>
            </w:r>
          </w:p>
        </w:tc>
        <w:tc>
          <w:tcPr>
            <w:tcW w:w="2578" w:type="dxa"/>
            <w:noWrap/>
            <w:vAlign w:val="center"/>
          </w:tcPr>
          <w:p w14:paraId="7765669A">
            <w:pPr>
              <w:jc w:val="center"/>
              <w:rPr>
                <w:color w:val="000000"/>
                <w:sz w:val="20"/>
                <w:szCs w:val="20"/>
              </w:rPr>
            </w:pPr>
            <w:r>
              <w:rPr>
                <w:color w:val="000000"/>
                <w:sz w:val="20"/>
                <w:szCs w:val="20"/>
              </w:rPr>
              <w:t>Mặt cắt 2-2</w:t>
            </w:r>
          </w:p>
        </w:tc>
        <w:tc>
          <w:tcPr>
            <w:tcW w:w="2393" w:type="dxa"/>
            <w:noWrap/>
            <w:vAlign w:val="center"/>
          </w:tcPr>
          <w:p w14:paraId="081E1351">
            <w:pPr>
              <w:jc w:val="center"/>
              <w:rPr>
                <w:color w:val="000000"/>
                <w:sz w:val="20"/>
                <w:szCs w:val="20"/>
              </w:rPr>
            </w:pPr>
            <w:r>
              <w:rPr>
                <w:color w:val="000000"/>
                <w:sz w:val="20"/>
                <w:szCs w:val="20"/>
              </w:rPr>
              <w:t>Một mặt tiền</w:t>
            </w:r>
          </w:p>
        </w:tc>
        <w:tc>
          <w:tcPr>
            <w:tcW w:w="1198" w:type="dxa"/>
            <w:noWrap/>
            <w:vAlign w:val="center"/>
          </w:tcPr>
          <w:p w14:paraId="04D7B729">
            <w:pPr>
              <w:jc w:val="center"/>
              <w:rPr>
                <w:color w:val="000000"/>
                <w:sz w:val="20"/>
                <w:szCs w:val="20"/>
              </w:rPr>
            </w:pPr>
            <w:r>
              <w:rPr>
                <w:color w:val="000000"/>
                <w:sz w:val="20"/>
                <w:szCs w:val="20"/>
              </w:rPr>
              <w:t>10.700.000</w:t>
            </w:r>
          </w:p>
        </w:tc>
        <w:tc>
          <w:tcPr>
            <w:tcW w:w="1236" w:type="dxa"/>
            <w:noWrap/>
            <w:vAlign w:val="center"/>
          </w:tcPr>
          <w:p w14:paraId="629A643A">
            <w:pPr>
              <w:jc w:val="center"/>
              <w:rPr>
                <w:color w:val="000000"/>
                <w:sz w:val="20"/>
                <w:szCs w:val="20"/>
              </w:rPr>
            </w:pPr>
            <w:r>
              <w:rPr>
                <w:color w:val="000000"/>
                <w:sz w:val="20"/>
                <w:szCs w:val="20"/>
              </w:rPr>
              <w:t>12.579.000</w:t>
            </w:r>
          </w:p>
        </w:tc>
        <w:tc>
          <w:tcPr>
            <w:tcW w:w="1252" w:type="dxa"/>
            <w:noWrap/>
            <w:vAlign w:val="center"/>
          </w:tcPr>
          <w:p w14:paraId="5803F816">
            <w:pPr>
              <w:jc w:val="center"/>
              <w:rPr>
                <w:color w:val="000000"/>
                <w:sz w:val="20"/>
                <w:szCs w:val="20"/>
              </w:rPr>
            </w:pPr>
            <w:r>
              <w:rPr>
                <w:color w:val="000000"/>
                <w:sz w:val="20"/>
                <w:szCs w:val="20"/>
              </w:rPr>
              <w:t>23.279.000</w:t>
            </w:r>
          </w:p>
        </w:tc>
        <w:tc>
          <w:tcPr>
            <w:tcW w:w="1848" w:type="dxa"/>
            <w:noWrap/>
            <w:vAlign w:val="center"/>
          </w:tcPr>
          <w:p w14:paraId="2B5136DD">
            <w:pPr>
              <w:jc w:val="center"/>
              <w:rPr>
                <w:color w:val="000000"/>
                <w:sz w:val="20"/>
                <w:szCs w:val="20"/>
              </w:rPr>
            </w:pPr>
            <w:r>
              <w:rPr>
                <w:color w:val="000000"/>
                <w:sz w:val="20"/>
                <w:szCs w:val="20"/>
              </w:rPr>
              <w:t>2.095.110.000</w:t>
            </w:r>
          </w:p>
        </w:tc>
      </w:tr>
      <w:tr w14:paraId="5590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E9AE249">
            <w:pPr>
              <w:jc w:val="center"/>
              <w:rPr>
                <w:b/>
                <w:bCs/>
                <w:color w:val="000000"/>
                <w:sz w:val="20"/>
                <w:szCs w:val="20"/>
              </w:rPr>
            </w:pPr>
            <w:r>
              <w:rPr>
                <w:b/>
                <w:bCs/>
                <w:color w:val="000000"/>
                <w:sz w:val="20"/>
                <w:szCs w:val="20"/>
              </w:rPr>
              <w:t>LK41</w:t>
            </w:r>
          </w:p>
        </w:tc>
        <w:tc>
          <w:tcPr>
            <w:tcW w:w="1802" w:type="dxa"/>
            <w:vAlign w:val="center"/>
          </w:tcPr>
          <w:p w14:paraId="66E7B5E7">
            <w:pPr>
              <w:jc w:val="center"/>
              <w:rPr>
                <w:color w:val="000000"/>
                <w:sz w:val="20"/>
                <w:szCs w:val="20"/>
              </w:rPr>
            </w:pPr>
            <w:r>
              <w:rPr>
                <w:color w:val="000000"/>
                <w:sz w:val="20"/>
                <w:szCs w:val="20"/>
              </w:rPr>
              <w:t>LK41:06</w:t>
            </w:r>
          </w:p>
        </w:tc>
        <w:tc>
          <w:tcPr>
            <w:tcW w:w="1033" w:type="dxa"/>
            <w:noWrap/>
            <w:vAlign w:val="center"/>
          </w:tcPr>
          <w:p w14:paraId="623A3F46">
            <w:pPr>
              <w:jc w:val="center"/>
              <w:rPr>
                <w:color w:val="000000"/>
                <w:sz w:val="20"/>
                <w:szCs w:val="20"/>
              </w:rPr>
            </w:pPr>
            <w:r>
              <w:rPr>
                <w:color w:val="000000"/>
                <w:sz w:val="20"/>
                <w:szCs w:val="20"/>
              </w:rPr>
              <w:t>90,00</w:t>
            </w:r>
          </w:p>
        </w:tc>
        <w:tc>
          <w:tcPr>
            <w:tcW w:w="846" w:type="dxa"/>
            <w:noWrap/>
            <w:vAlign w:val="center"/>
          </w:tcPr>
          <w:p w14:paraId="6F9A50E5">
            <w:pPr>
              <w:jc w:val="center"/>
              <w:rPr>
                <w:color w:val="000000"/>
                <w:sz w:val="20"/>
                <w:szCs w:val="20"/>
              </w:rPr>
            </w:pPr>
            <w:r>
              <w:rPr>
                <w:color w:val="000000"/>
                <w:sz w:val="20"/>
                <w:szCs w:val="20"/>
              </w:rPr>
              <w:t>1</w:t>
            </w:r>
          </w:p>
        </w:tc>
        <w:tc>
          <w:tcPr>
            <w:tcW w:w="2578" w:type="dxa"/>
            <w:noWrap/>
            <w:vAlign w:val="center"/>
          </w:tcPr>
          <w:p w14:paraId="0E1E53AF">
            <w:pPr>
              <w:jc w:val="center"/>
              <w:rPr>
                <w:color w:val="000000"/>
                <w:sz w:val="20"/>
                <w:szCs w:val="20"/>
              </w:rPr>
            </w:pPr>
            <w:r>
              <w:rPr>
                <w:color w:val="000000"/>
                <w:sz w:val="20"/>
                <w:szCs w:val="20"/>
              </w:rPr>
              <w:t>Mặt cắt 2-2</w:t>
            </w:r>
          </w:p>
        </w:tc>
        <w:tc>
          <w:tcPr>
            <w:tcW w:w="2393" w:type="dxa"/>
            <w:noWrap/>
            <w:vAlign w:val="center"/>
          </w:tcPr>
          <w:p w14:paraId="3C7D2908">
            <w:pPr>
              <w:jc w:val="center"/>
              <w:rPr>
                <w:color w:val="000000"/>
                <w:sz w:val="20"/>
                <w:szCs w:val="20"/>
              </w:rPr>
            </w:pPr>
            <w:r>
              <w:rPr>
                <w:color w:val="000000"/>
                <w:sz w:val="20"/>
                <w:szCs w:val="20"/>
              </w:rPr>
              <w:t>Một mặt tiền</w:t>
            </w:r>
          </w:p>
        </w:tc>
        <w:tc>
          <w:tcPr>
            <w:tcW w:w="1198" w:type="dxa"/>
            <w:noWrap/>
            <w:vAlign w:val="center"/>
          </w:tcPr>
          <w:p w14:paraId="289BE42F">
            <w:pPr>
              <w:jc w:val="center"/>
              <w:rPr>
                <w:color w:val="000000"/>
                <w:sz w:val="20"/>
                <w:szCs w:val="20"/>
              </w:rPr>
            </w:pPr>
            <w:r>
              <w:rPr>
                <w:color w:val="000000"/>
                <w:sz w:val="20"/>
                <w:szCs w:val="20"/>
              </w:rPr>
              <w:t>10.700.000</w:t>
            </w:r>
          </w:p>
        </w:tc>
        <w:tc>
          <w:tcPr>
            <w:tcW w:w="1236" w:type="dxa"/>
            <w:noWrap/>
            <w:vAlign w:val="center"/>
          </w:tcPr>
          <w:p w14:paraId="7F8DB577">
            <w:pPr>
              <w:jc w:val="center"/>
              <w:rPr>
                <w:color w:val="000000"/>
                <w:sz w:val="20"/>
                <w:szCs w:val="20"/>
              </w:rPr>
            </w:pPr>
            <w:r>
              <w:rPr>
                <w:color w:val="000000"/>
                <w:sz w:val="20"/>
                <w:szCs w:val="20"/>
              </w:rPr>
              <w:t>12.579.000</w:t>
            </w:r>
          </w:p>
        </w:tc>
        <w:tc>
          <w:tcPr>
            <w:tcW w:w="1252" w:type="dxa"/>
            <w:noWrap/>
            <w:vAlign w:val="center"/>
          </w:tcPr>
          <w:p w14:paraId="7A7780A0">
            <w:pPr>
              <w:jc w:val="center"/>
              <w:rPr>
                <w:color w:val="000000"/>
                <w:sz w:val="20"/>
                <w:szCs w:val="20"/>
              </w:rPr>
            </w:pPr>
            <w:r>
              <w:rPr>
                <w:color w:val="000000"/>
                <w:sz w:val="20"/>
                <w:szCs w:val="20"/>
              </w:rPr>
              <w:t>23.279.000</w:t>
            </w:r>
          </w:p>
        </w:tc>
        <w:tc>
          <w:tcPr>
            <w:tcW w:w="1848" w:type="dxa"/>
            <w:noWrap/>
            <w:vAlign w:val="center"/>
          </w:tcPr>
          <w:p w14:paraId="558E77A1">
            <w:pPr>
              <w:jc w:val="center"/>
              <w:rPr>
                <w:color w:val="000000"/>
                <w:sz w:val="20"/>
                <w:szCs w:val="20"/>
              </w:rPr>
            </w:pPr>
            <w:r>
              <w:rPr>
                <w:color w:val="000000"/>
                <w:sz w:val="20"/>
                <w:szCs w:val="20"/>
              </w:rPr>
              <w:t>2.095.110.000</w:t>
            </w:r>
          </w:p>
        </w:tc>
      </w:tr>
      <w:tr w14:paraId="0923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9CA98A3">
            <w:pPr>
              <w:jc w:val="center"/>
              <w:rPr>
                <w:b/>
                <w:bCs/>
                <w:color w:val="000000"/>
                <w:sz w:val="20"/>
                <w:szCs w:val="20"/>
              </w:rPr>
            </w:pPr>
            <w:r>
              <w:rPr>
                <w:b/>
                <w:bCs/>
                <w:color w:val="000000"/>
                <w:sz w:val="20"/>
                <w:szCs w:val="20"/>
              </w:rPr>
              <w:t>LK41</w:t>
            </w:r>
          </w:p>
        </w:tc>
        <w:tc>
          <w:tcPr>
            <w:tcW w:w="1802" w:type="dxa"/>
            <w:vAlign w:val="center"/>
          </w:tcPr>
          <w:p w14:paraId="0C4E61D6">
            <w:pPr>
              <w:jc w:val="center"/>
              <w:rPr>
                <w:color w:val="000000"/>
                <w:sz w:val="20"/>
                <w:szCs w:val="20"/>
              </w:rPr>
            </w:pPr>
            <w:r>
              <w:rPr>
                <w:color w:val="000000"/>
                <w:sz w:val="20"/>
                <w:szCs w:val="20"/>
              </w:rPr>
              <w:t>LK41:07</w:t>
            </w:r>
          </w:p>
        </w:tc>
        <w:tc>
          <w:tcPr>
            <w:tcW w:w="1033" w:type="dxa"/>
            <w:noWrap/>
            <w:vAlign w:val="center"/>
          </w:tcPr>
          <w:p w14:paraId="360C0032">
            <w:pPr>
              <w:jc w:val="center"/>
              <w:rPr>
                <w:color w:val="000000"/>
                <w:sz w:val="20"/>
                <w:szCs w:val="20"/>
              </w:rPr>
            </w:pPr>
            <w:r>
              <w:rPr>
                <w:color w:val="000000"/>
                <w:sz w:val="20"/>
                <w:szCs w:val="20"/>
              </w:rPr>
              <w:t>90,00</w:t>
            </w:r>
          </w:p>
        </w:tc>
        <w:tc>
          <w:tcPr>
            <w:tcW w:w="846" w:type="dxa"/>
            <w:noWrap/>
            <w:vAlign w:val="center"/>
          </w:tcPr>
          <w:p w14:paraId="05705383">
            <w:pPr>
              <w:jc w:val="center"/>
              <w:rPr>
                <w:color w:val="000000"/>
                <w:sz w:val="20"/>
                <w:szCs w:val="20"/>
              </w:rPr>
            </w:pPr>
            <w:r>
              <w:rPr>
                <w:color w:val="000000"/>
                <w:sz w:val="20"/>
                <w:szCs w:val="20"/>
              </w:rPr>
              <w:t>1</w:t>
            </w:r>
          </w:p>
        </w:tc>
        <w:tc>
          <w:tcPr>
            <w:tcW w:w="2578" w:type="dxa"/>
            <w:noWrap/>
            <w:vAlign w:val="center"/>
          </w:tcPr>
          <w:p w14:paraId="414077CB">
            <w:pPr>
              <w:jc w:val="center"/>
              <w:rPr>
                <w:color w:val="000000"/>
                <w:sz w:val="20"/>
                <w:szCs w:val="20"/>
              </w:rPr>
            </w:pPr>
            <w:r>
              <w:rPr>
                <w:color w:val="000000"/>
                <w:sz w:val="20"/>
                <w:szCs w:val="20"/>
              </w:rPr>
              <w:t>Mặt cắt 2-2</w:t>
            </w:r>
          </w:p>
        </w:tc>
        <w:tc>
          <w:tcPr>
            <w:tcW w:w="2393" w:type="dxa"/>
            <w:noWrap/>
            <w:vAlign w:val="center"/>
          </w:tcPr>
          <w:p w14:paraId="61409138">
            <w:pPr>
              <w:jc w:val="center"/>
              <w:rPr>
                <w:color w:val="000000"/>
                <w:sz w:val="20"/>
                <w:szCs w:val="20"/>
              </w:rPr>
            </w:pPr>
            <w:r>
              <w:rPr>
                <w:color w:val="000000"/>
                <w:sz w:val="20"/>
                <w:szCs w:val="20"/>
              </w:rPr>
              <w:t>Một mặt tiền</w:t>
            </w:r>
          </w:p>
        </w:tc>
        <w:tc>
          <w:tcPr>
            <w:tcW w:w="1198" w:type="dxa"/>
            <w:noWrap/>
            <w:vAlign w:val="center"/>
          </w:tcPr>
          <w:p w14:paraId="050FEF75">
            <w:pPr>
              <w:jc w:val="center"/>
              <w:rPr>
                <w:color w:val="000000"/>
                <w:sz w:val="20"/>
                <w:szCs w:val="20"/>
              </w:rPr>
            </w:pPr>
            <w:r>
              <w:rPr>
                <w:color w:val="000000"/>
                <w:sz w:val="20"/>
                <w:szCs w:val="20"/>
              </w:rPr>
              <w:t>10.700.000</w:t>
            </w:r>
          </w:p>
        </w:tc>
        <w:tc>
          <w:tcPr>
            <w:tcW w:w="1236" w:type="dxa"/>
            <w:noWrap/>
            <w:vAlign w:val="center"/>
          </w:tcPr>
          <w:p w14:paraId="4F621460">
            <w:pPr>
              <w:jc w:val="center"/>
              <w:rPr>
                <w:color w:val="000000"/>
                <w:sz w:val="20"/>
                <w:szCs w:val="20"/>
              </w:rPr>
            </w:pPr>
            <w:r>
              <w:rPr>
                <w:color w:val="000000"/>
                <w:sz w:val="20"/>
                <w:szCs w:val="20"/>
              </w:rPr>
              <w:t>12.579.000</w:t>
            </w:r>
          </w:p>
        </w:tc>
        <w:tc>
          <w:tcPr>
            <w:tcW w:w="1252" w:type="dxa"/>
            <w:noWrap/>
            <w:vAlign w:val="center"/>
          </w:tcPr>
          <w:p w14:paraId="00B47B8C">
            <w:pPr>
              <w:jc w:val="center"/>
              <w:rPr>
                <w:color w:val="000000"/>
                <w:sz w:val="20"/>
                <w:szCs w:val="20"/>
              </w:rPr>
            </w:pPr>
            <w:r>
              <w:rPr>
                <w:color w:val="000000"/>
                <w:sz w:val="20"/>
                <w:szCs w:val="20"/>
              </w:rPr>
              <w:t>23.279.000</w:t>
            </w:r>
          </w:p>
        </w:tc>
        <w:tc>
          <w:tcPr>
            <w:tcW w:w="1848" w:type="dxa"/>
            <w:noWrap/>
            <w:vAlign w:val="center"/>
          </w:tcPr>
          <w:p w14:paraId="26F46714">
            <w:pPr>
              <w:jc w:val="center"/>
              <w:rPr>
                <w:color w:val="000000"/>
                <w:sz w:val="20"/>
                <w:szCs w:val="20"/>
              </w:rPr>
            </w:pPr>
            <w:r>
              <w:rPr>
                <w:color w:val="000000"/>
                <w:sz w:val="20"/>
                <w:szCs w:val="20"/>
              </w:rPr>
              <w:t>2.095.110.000</w:t>
            </w:r>
          </w:p>
        </w:tc>
      </w:tr>
      <w:tr w14:paraId="40AD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58624B0">
            <w:pPr>
              <w:jc w:val="center"/>
              <w:rPr>
                <w:b/>
                <w:bCs/>
                <w:color w:val="000000"/>
                <w:sz w:val="20"/>
                <w:szCs w:val="20"/>
              </w:rPr>
            </w:pPr>
            <w:r>
              <w:rPr>
                <w:b/>
                <w:bCs/>
                <w:color w:val="000000"/>
                <w:sz w:val="20"/>
                <w:szCs w:val="20"/>
              </w:rPr>
              <w:t>LK41</w:t>
            </w:r>
          </w:p>
        </w:tc>
        <w:tc>
          <w:tcPr>
            <w:tcW w:w="1802" w:type="dxa"/>
            <w:vAlign w:val="center"/>
          </w:tcPr>
          <w:p w14:paraId="263A34CA">
            <w:pPr>
              <w:jc w:val="center"/>
              <w:rPr>
                <w:color w:val="000000"/>
                <w:sz w:val="20"/>
                <w:szCs w:val="20"/>
              </w:rPr>
            </w:pPr>
            <w:r>
              <w:rPr>
                <w:color w:val="000000"/>
                <w:sz w:val="20"/>
                <w:szCs w:val="20"/>
              </w:rPr>
              <w:t>LK41:08</w:t>
            </w:r>
          </w:p>
        </w:tc>
        <w:tc>
          <w:tcPr>
            <w:tcW w:w="1033" w:type="dxa"/>
            <w:noWrap/>
            <w:vAlign w:val="center"/>
          </w:tcPr>
          <w:p w14:paraId="2207F819">
            <w:pPr>
              <w:jc w:val="center"/>
              <w:rPr>
                <w:color w:val="000000"/>
                <w:sz w:val="20"/>
                <w:szCs w:val="20"/>
              </w:rPr>
            </w:pPr>
            <w:r>
              <w:rPr>
                <w:color w:val="000000"/>
                <w:sz w:val="20"/>
                <w:szCs w:val="20"/>
              </w:rPr>
              <w:t>90,00</w:t>
            </w:r>
          </w:p>
        </w:tc>
        <w:tc>
          <w:tcPr>
            <w:tcW w:w="846" w:type="dxa"/>
            <w:noWrap/>
            <w:vAlign w:val="center"/>
          </w:tcPr>
          <w:p w14:paraId="26C59696">
            <w:pPr>
              <w:jc w:val="center"/>
              <w:rPr>
                <w:color w:val="000000"/>
                <w:sz w:val="20"/>
                <w:szCs w:val="20"/>
              </w:rPr>
            </w:pPr>
            <w:r>
              <w:rPr>
                <w:color w:val="000000"/>
                <w:sz w:val="20"/>
                <w:szCs w:val="20"/>
              </w:rPr>
              <w:t>1</w:t>
            </w:r>
          </w:p>
        </w:tc>
        <w:tc>
          <w:tcPr>
            <w:tcW w:w="2578" w:type="dxa"/>
            <w:noWrap/>
            <w:vAlign w:val="center"/>
          </w:tcPr>
          <w:p w14:paraId="052EBCDE">
            <w:pPr>
              <w:jc w:val="center"/>
              <w:rPr>
                <w:color w:val="000000"/>
                <w:sz w:val="20"/>
                <w:szCs w:val="20"/>
              </w:rPr>
            </w:pPr>
            <w:r>
              <w:rPr>
                <w:color w:val="000000"/>
                <w:sz w:val="20"/>
                <w:szCs w:val="20"/>
              </w:rPr>
              <w:t>Mặt cắt 2-2</w:t>
            </w:r>
          </w:p>
        </w:tc>
        <w:tc>
          <w:tcPr>
            <w:tcW w:w="2393" w:type="dxa"/>
            <w:noWrap/>
            <w:vAlign w:val="center"/>
          </w:tcPr>
          <w:p w14:paraId="6D104D9A">
            <w:pPr>
              <w:jc w:val="center"/>
              <w:rPr>
                <w:color w:val="000000"/>
                <w:sz w:val="20"/>
                <w:szCs w:val="20"/>
              </w:rPr>
            </w:pPr>
            <w:r>
              <w:rPr>
                <w:color w:val="000000"/>
                <w:sz w:val="20"/>
                <w:szCs w:val="20"/>
              </w:rPr>
              <w:t>Một mặt tiền</w:t>
            </w:r>
          </w:p>
        </w:tc>
        <w:tc>
          <w:tcPr>
            <w:tcW w:w="1198" w:type="dxa"/>
            <w:noWrap/>
            <w:vAlign w:val="center"/>
          </w:tcPr>
          <w:p w14:paraId="257DF0F0">
            <w:pPr>
              <w:jc w:val="center"/>
              <w:rPr>
                <w:color w:val="000000"/>
                <w:sz w:val="20"/>
                <w:szCs w:val="20"/>
              </w:rPr>
            </w:pPr>
            <w:r>
              <w:rPr>
                <w:color w:val="000000"/>
                <w:sz w:val="20"/>
                <w:szCs w:val="20"/>
              </w:rPr>
              <w:t>10.700.000</w:t>
            </w:r>
          </w:p>
        </w:tc>
        <w:tc>
          <w:tcPr>
            <w:tcW w:w="1236" w:type="dxa"/>
            <w:noWrap/>
            <w:vAlign w:val="center"/>
          </w:tcPr>
          <w:p w14:paraId="6B90FD47">
            <w:pPr>
              <w:jc w:val="center"/>
              <w:rPr>
                <w:color w:val="000000"/>
                <w:sz w:val="20"/>
                <w:szCs w:val="20"/>
              </w:rPr>
            </w:pPr>
            <w:r>
              <w:rPr>
                <w:color w:val="000000"/>
                <w:sz w:val="20"/>
                <w:szCs w:val="20"/>
              </w:rPr>
              <w:t>12.579.000</w:t>
            </w:r>
          </w:p>
        </w:tc>
        <w:tc>
          <w:tcPr>
            <w:tcW w:w="1252" w:type="dxa"/>
            <w:noWrap/>
            <w:vAlign w:val="center"/>
          </w:tcPr>
          <w:p w14:paraId="345181AF">
            <w:pPr>
              <w:jc w:val="center"/>
              <w:rPr>
                <w:color w:val="000000"/>
                <w:sz w:val="20"/>
                <w:szCs w:val="20"/>
              </w:rPr>
            </w:pPr>
            <w:r>
              <w:rPr>
                <w:color w:val="000000"/>
                <w:sz w:val="20"/>
                <w:szCs w:val="20"/>
              </w:rPr>
              <w:t>23.279.000</w:t>
            </w:r>
          </w:p>
        </w:tc>
        <w:tc>
          <w:tcPr>
            <w:tcW w:w="1848" w:type="dxa"/>
            <w:noWrap/>
            <w:vAlign w:val="center"/>
          </w:tcPr>
          <w:p w14:paraId="35E8D7D6">
            <w:pPr>
              <w:jc w:val="center"/>
              <w:rPr>
                <w:color w:val="000000"/>
                <w:sz w:val="20"/>
                <w:szCs w:val="20"/>
              </w:rPr>
            </w:pPr>
            <w:r>
              <w:rPr>
                <w:color w:val="000000"/>
                <w:sz w:val="20"/>
                <w:szCs w:val="20"/>
              </w:rPr>
              <w:t>2.095.110.000</w:t>
            </w:r>
          </w:p>
        </w:tc>
      </w:tr>
      <w:tr w14:paraId="21C6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A15E5F6">
            <w:pPr>
              <w:jc w:val="center"/>
              <w:rPr>
                <w:b/>
                <w:bCs/>
                <w:color w:val="000000"/>
                <w:sz w:val="20"/>
                <w:szCs w:val="20"/>
              </w:rPr>
            </w:pPr>
            <w:r>
              <w:rPr>
                <w:b/>
                <w:bCs/>
                <w:color w:val="000000"/>
                <w:sz w:val="20"/>
                <w:szCs w:val="20"/>
              </w:rPr>
              <w:t>LK41</w:t>
            </w:r>
          </w:p>
        </w:tc>
        <w:tc>
          <w:tcPr>
            <w:tcW w:w="1802" w:type="dxa"/>
            <w:vAlign w:val="center"/>
          </w:tcPr>
          <w:p w14:paraId="4523FB2A">
            <w:pPr>
              <w:jc w:val="center"/>
              <w:rPr>
                <w:color w:val="000000"/>
                <w:sz w:val="20"/>
                <w:szCs w:val="20"/>
              </w:rPr>
            </w:pPr>
            <w:r>
              <w:rPr>
                <w:color w:val="000000"/>
                <w:sz w:val="20"/>
                <w:szCs w:val="20"/>
              </w:rPr>
              <w:t>LK41:09</w:t>
            </w:r>
          </w:p>
        </w:tc>
        <w:tc>
          <w:tcPr>
            <w:tcW w:w="1033" w:type="dxa"/>
            <w:noWrap/>
            <w:vAlign w:val="center"/>
          </w:tcPr>
          <w:p w14:paraId="10674A36">
            <w:pPr>
              <w:jc w:val="center"/>
              <w:rPr>
                <w:color w:val="000000"/>
                <w:sz w:val="20"/>
                <w:szCs w:val="20"/>
              </w:rPr>
            </w:pPr>
            <w:r>
              <w:rPr>
                <w:color w:val="000000"/>
                <w:sz w:val="20"/>
                <w:szCs w:val="20"/>
              </w:rPr>
              <w:t>90,00</w:t>
            </w:r>
          </w:p>
        </w:tc>
        <w:tc>
          <w:tcPr>
            <w:tcW w:w="846" w:type="dxa"/>
            <w:noWrap/>
            <w:vAlign w:val="center"/>
          </w:tcPr>
          <w:p w14:paraId="6596A5D3">
            <w:pPr>
              <w:jc w:val="center"/>
              <w:rPr>
                <w:color w:val="000000"/>
                <w:sz w:val="20"/>
                <w:szCs w:val="20"/>
              </w:rPr>
            </w:pPr>
            <w:r>
              <w:rPr>
                <w:color w:val="000000"/>
                <w:sz w:val="20"/>
                <w:szCs w:val="20"/>
              </w:rPr>
              <w:t>1</w:t>
            </w:r>
          </w:p>
        </w:tc>
        <w:tc>
          <w:tcPr>
            <w:tcW w:w="2578" w:type="dxa"/>
            <w:noWrap/>
            <w:vAlign w:val="center"/>
          </w:tcPr>
          <w:p w14:paraId="5F646FEF">
            <w:pPr>
              <w:jc w:val="center"/>
              <w:rPr>
                <w:color w:val="000000"/>
                <w:sz w:val="20"/>
                <w:szCs w:val="20"/>
              </w:rPr>
            </w:pPr>
            <w:r>
              <w:rPr>
                <w:color w:val="000000"/>
                <w:sz w:val="20"/>
                <w:szCs w:val="20"/>
              </w:rPr>
              <w:t>Mặt cắt 2-2</w:t>
            </w:r>
          </w:p>
        </w:tc>
        <w:tc>
          <w:tcPr>
            <w:tcW w:w="2393" w:type="dxa"/>
            <w:noWrap/>
            <w:vAlign w:val="center"/>
          </w:tcPr>
          <w:p w14:paraId="2B270D53">
            <w:pPr>
              <w:jc w:val="center"/>
              <w:rPr>
                <w:color w:val="000000"/>
                <w:sz w:val="20"/>
                <w:szCs w:val="20"/>
              </w:rPr>
            </w:pPr>
            <w:r>
              <w:rPr>
                <w:color w:val="000000"/>
                <w:sz w:val="20"/>
                <w:szCs w:val="20"/>
              </w:rPr>
              <w:t>Một mặt tiền</w:t>
            </w:r>
          </w:p>
        </w:tc>
        <w:tc>
          <w:tcPr>
            <w:tcW w:w="1198" w:type="dxa"/>
            <w:noWrap/>
            <w:vAlign w:val="center"/>
          </w:tcPr>
          <w:p w14:paraId="1436F967">
            <w:pPr>
              <w:jc w:val="center"/>
              <w:rPr>
                <w:color w:val="000000"/>
                <w:sz w:val="20"/>
                <w:szCs w:val="20"/>
              </w:rPr>
            </w:pPr>
            <w:r>
              <w:rPr>
                <w:color w:val="000000"/>
                <w:sz w:val="20"/>
                <w:szCs w:val="20"/>
              </w:rPr>
              <w:t>10.700.000</w:t>
            </w:r>
          </w:p>
        </w:tc>
        <w:tc>
          <w:tcPr>
            <w:tcW w:w="1236" w:type="dxa"/>
            <w:noWrap/>
            <w:vAlign w:val="center"/>
          </w:tcPr>
          <w:p w14:paraId="1C0AAC80">
            <w:pPr>
              <w:jc w:val="center"/>
              <w:rPr>
                <w:color w:val="000000"/>
                <w:sz w:val="20"/>
                <w:szCs w:val="20"/>
              </w:rPr>
            </w:pPr>
            <w:r>
              <w:rPr>
                <w:color w:val="000000"/>
                <w:sz w:val="20"/>
                <w:szCs w:val="20"/>
              </w:rPr>
              <w:t>12.579.000</w:t>
            </w:r>
          </w:p>
        </w:tc>
        <w:tc>
          <w:tcPr>
            <w:tcW w:w="1252" w:type="dxa"/>
            <w:noWrap/>
            <w:vAlign w:val="center"/>
          </w:tcPr>
          <w:p w14:paraId="60887A4C">
            <w:pPr>
              <w:jc w:val="center"/>
              <w:rPr>
                <w:color w:val="000000"/>
                <w:sz w:val="20"/>
                <w:szCs w:val="20"/>
              </w:rPr>
            </w:pPr>
            <w:r>
              <w:rPr>
                <w:color w:val="000000"/>
                <w:sz w:val="20"/>
                <w:szCs w:val="20"/>
              </w:rPr>
              <w:t>23.279.000</w:t>
            </w:r>
          </w:p>
        </w:tc>
        <w:tc>
          <w:tcPr>
            <w:tcW w:w="1848" w:type="dxa"/>
            <w:noWrap/>
            <w:vAlign w:val="center"/>
          </w:tcPr>
          <w:p w14:paraId="6EC8A09B">
            <w:pPr>
              <w:jc w:val="center"/>
              <w:rPr>
                <w:color w:val="000000"/>
                <w:sz w:val="20"/>
                <w:szCs w:val="20"/>
              </w:rPr>
            </w:pPr>
            <w:r>
              <w:rPr>
                <w:color w:val="000000"/>
                <w:sz w:val="20"/>
                <w:szCs w:val="20"/>
              </w:rPr>
              <w:t>2.095.110.000</w:t>
            </w:r>
          </w:p>
        </w:tc>
      </w:tr>
      <w:tr w14:paraId="5AF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DFECE34">
            <w:pPr>
              <w:jc w:val="center"/>
              <w:rPr>
                <w:b/>
                <w:bCs/>
                <w:color w:val="000000"/>
                <w:sz w:val="20"/>
                <w:szCs w:val="20"/>
              </w:rPr>
            </w:pPr>
            <w:r>
              <w:rPr>
                <w:b/>
                <w:bCs/>
                <w:color w:val="000000"/>
                <w:sz w:val="20"/>
                <w:szCs w:val="20"/>
              </w:rPr>
              <w:t>LK63</w:t>
            </w:r>
          </w:p>
        </w:tc>
        <w:tc>
          <w:tcPr>
            <w:tcW w:w="1802" w:type="dxa"/>
            <w:vAlign w:val="center"/>
          </w:tcPr>
          <w:p w14:paraId="43397F27">
            <w:pPr>
              <w:jc w:val="center"/>
              <w:rPr>
                <w:color w:val="000000"/>
                <w:sz w:val="20"/>
                <w:szCs w:val="20"/>
              </w:rPr>
            </w:pPr>
            <w:r>
              <w:rPr>
                <w:color w:val="000000"/>
                <w:sz w:val="20"/>
                <w:szCs w:val="20"/>
              </w:rPr>
              <w:t>LK63:02</w:t>
            </w:r>
          </w:p>
        </w:tc>
        <w:tc>
          <w:tcPr>
            <w:tcW w:w="1033" w:type="dxa"/>
            <w:noWrap/>
            <w:vAlign w:val="center"/>
          </w:tcPr>
          <w:p w14:paraId="0FCFC1FA">
            <w:pPr>
              <w:jc w:val="center"/>
              <w:rPr>
                <w:color w:val="000000"/>
                <w:sz w:val="20"/>
                <w:szCs w:val="20"/>
              </w:rPr>
            </w:pPr>
            <w:r>
              <w:rPr>
                <w:color w:val="000000"/>
                <w:sz w:val="20"/>
                <w:szCs w:val="20"/>
              </w:rPr>
              <w:t>90,00</w:t>
            </w:r>
          </w:p>
        </w:tc>
        <w:tc>
          <w:tcPr>
            <w:tcW w:w="846" w:type="dxa"/>
            <w:noWrap/>
            <w:vAlign w:val="center"/>
          </w:tcPr>
          <w:p w14:paraId="30516040">
            <w:pPr>
              <w:jc w:val="center"/>
              <w:rPr>
                <w:color w:val="000000"/>
                <w:sz w:val="20"/>
                <w:szCs w:val="20"/>
              </w:rPr>
            </w:pPr>
            <w:r>
              <w:rPr>
                <w:color w:val="000000"/>
                <w:sz w:val="20"/>
                <w:szCs w:val="20"/>
              </w:rPr>
              <w:t>1</w:t>
            </w:r>
          </w:p>
        </w:tc>
        <w:tc>
          <w:tcPr>
            <w:tcW w:w="2578" w:type="dxa"/>
            <w:noWrap/>
            <w:vAlign w:val="center"/>
          </w:tcPr>
          <w:p w14:paraId="3CE63537">
            <w:pPr>
              <w:jc w:val="center"/>
              <w:rPr>
                <w:color w:val="000000"/>
                <w:sz w:val="20"/>
                <w:szCs w:val="20"/>
              </w:rPr>
            </w:pPr>
            <w:r>
              <w:rPr>
                <w:color w:val="000000"/>
                <w:sz w:val="20"/>
                <w:szCs w:val="20"/>
              </w:rPr>
              <w:t>Mặt cắt 2-2</w:t>
            </w:r>
          </w:p>
        </w:tc>
        <w:tc>
          <w:tcPr>
            <w:tcW w:w="2393" w:type="dxa"/>
            <w:noWrap/>
            <w:vAlign w:val="center"/>
          </w:tcPr>
          <w:p w14:paraId="66946122">
            <w:pPr>
              <w:jc w:val="center"/>
              <w:rPr>
                <w:color w:val="000000"/>
                <w:sz w:val="20"/>
                <w:szCs w:val="20"/>
              </w:rPr>
            </w:pPr>
            <w:r>
              <w:rPr>
                <w:color w:val="000000"/>
                <w:sz w:val="20"/>
                <w:szCs w:val="20"/>
              </w:rPr>
              <w:t>Một mặt tiền</w:t>
            </w:r>
          </w:p>
        </w:tc>
        <w:tc>
          <w:tcPr>
            <w:tcW w:w="1198" w:type="dxa"/>
            <w:noWrap/>
            <w:vAlign w:val="center"/>
          </w:tcPr>
          <w:p w14:paraId="655F539B">
            <w:pPr>
              <w:jc w:val="center"/>
              <w:rPr>
                <w:color w:val="000000"/>
                <w:sz w:val="20"/>
                <w:szCs w:val="20"/>
              </w:rPr>
            </w:pPr>
            <w:r>
              <w:rPr>
                <w:color w:val="000000"/>
                <w:sz w:val="20"/>
                <w:szCs w:val="20"/>
              </w:rPr>
              <w:t>10.700.000</w:t>
            </w:r>
          </w:p>
        </w:tc>
        <w:tc>
          <w:tcPr>
            <w:tcW w:w="1236" w:type="dxa"/>
            <w:noWrap/>
            <w:vAlign w:val="center"/>
          </w:tcPr>
          <w:p w14:paraId="15173DA0">
            <w:pPr>
              <w:jc w:val="center"/>
              <w:rPr>
                <w:color w:val="000000"/>
                <w:sz w:val="20"/>
                <w:szCs w:val="20"/>
              </w:rPr>
            </w:pPr>
            <w:r>
              <w:rPr>
                <w:color w:val="000000"/>
                <w:sz w:val="20"/>
                <w:szCs w:val="20"/>
              </w:rPr>
              <w:t>12.579.000</w:t>
            </w:r>
          </w:p>
        </w:tc>
        <w:tc>
          <w:tcPr>
            <w:tcW w:w="1252" w:type="dxa"/>
            <w:noWrap/>
            <w:vAlign w:val="center"/>
          </w:tcPr>
          <w:p w14:paraId="37A3CE36">
            <w:pPr>
              <w:jc w:val="center"/>
              <w:rPr>
                <w:color w:val="000000"/>
                <w:sz w:val="20"/>
                <w:szCs w:val="20"/>
              </w:rPr>
            </w:pPr>
            <w:r>
              <w:rPr>
                <w:color w:val="000000"/>
                <w:sz w:val="20"/>
                <w:szCs w:val="20"/>
              </w:rPr>
              <w:t>23.279.000</w:t>
            </w:r>
          </w:p>
        </w:tc>
        <w:tc>
          <w:tcPr>
            <w:tcW w:w="1848" w:type="dxa"/>
            <w:noWrap/>
            <w:vAlign w:val="center"/>
          </w:tcPr>
          <w:p w14:paraId="222AB21B">
            <w:pPr>
              <w:jc w:val="center"/>
              <w:rPr>
                <w:color w:val="000000"/>
                <w:sz w:val="20"/>
                <w:szCs w:val="20"/>
              </w:rPr>
            </w:pPr>
            <w:r>
              <w:rPr>
                <w:color w:val="000000"/>
                <w:sz w:val="20"/>
                <w:szCs w:val="20"/>
              </w:rPr>
              <w:t>2.095.110.000</w:t>
            </w:r>
          </w:p>
        </w:tc>
      </w:tr>
      <w:tr w14:paraId="0B1F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393A5E7">
            <w:pPr>
              <w:jc w:val="center"/>
              <w:rPr>
                <w:b/>
                <w:bCs/>
                <w:color w:val="000000"/>
                <w:sz w:val="20"/>
                <w:szCs w:val="20"/>
              </w:rPr>
            </w:pPr>
            <w:r>
              <w:rPr>
                <w:b/>
                <w:bCs/>
                <w:color w:val="000000"/>
                <w:sz w:val="20"/>
                <w:szCs w:val="20"/>
              </w:rPr>
              <w:t>LK63</w:t>
            </w:r>
          </w:p>
        </w:tc>
        <w:tc>
          <w:tcPr>
            <w:tcW w:w="1802" w:type="dxa"/>
            <w:vAlign w:val="center"/>
          </w:tcPr>
          <w:p w14:paraId="22503F19">
            <w:pPr>
              <w:jc w:val="center"/>
              <w:rPr>
                <w:color w:val="000000"/>
                <w:sz w:val="20"/>
                <w:szCs w:val="20"/>
              </w:rPr>
            </w:pPr>
            <w:r>
              <w:rPr>
                <w:color w:val="000000"/>
                <w:sz w:val="20"/>
                <w:szCs w:val="20"/>
              </w:rPr>
              <w:t>LK63:03</w:t>
            </w:r>
          </w:p>
        </w:tc>
        <w:tc>
          <w:tcPr>
            <w:tcW w:w="1033" w:type="dxa"/>
            <w:noWrap/>
            <w:vAlign w:val="center"/>
          </w:tcPr>
          <w:p w14:paraId="7B91740D">
            <w:pPr>
              <w:jc w:val="center"/>
              <w:rPr>
                <w:color w:val="000000"/>
                <w:sz w:val="20"/>
                <w:szCs w:val="20"/>
              </w:rPr>
            </w:pPr>
            <w:r>
              <w:rPr>
                <w:color w:val="000000"/>
                <w:sz w:val="20"/>
                <w:szCs w:val="20"/>
              </w:rPr>
              <w:t>90,00</w:t>
            </w:r>
          </w:p>
        </w:tc>
        <w:tc>
          <w:tcPr>
            <w:tcW w:w="846" w:type="dxa"/>
            <w:noWrap/>
            <w:vAlign w:val="center"/>
          </w:tcPr>
          <w:p w14:paraId="161E0BFD">
            <w:pPr>
              <w:jc w:val="center"/>
              <w:rPr>
                <w:color w:val="000000"/>
                <w:sz w:val="20"/>
                <w:szCs w:val="20"/>
              </w:rPr>
            </w:pPr>
            <w:r>
              <w:rPr>
                <w:color w:val="000000"/>
                <w:sz w:val="20"/>
                <w:szCs w:val="20"/>
              </w:rPr>
              <w:t>1</w:t>
            </w:r>
          </w:p>
        </w:tc>
        <w:tc>
          <w:tcPr>
            <w:tcW w:w="2578" w:type="dxa"/>
            <w:noWrap/>
            <w:vAlign w:val="center"/>
          </w:tcPr>
          <w:p w14:paraId="19BEA6BB">
            <w:pPr>
              <w:jc w:val="center"/>
              <w:rPr>
                <w:color w:val="000000"/>
                <w:sz w:val="20"/>
                <w:szCs w:val="20"/>
              </w:rPr>
            </w:pPr>
            <w:r>
              <w:rPr>
                <w:color w:val="000000"/>
                <w:sz w:val="20"/>
                <w:szCs w:val="20"/>
              </w:rPr>
              <w:t>Mặt cắt 2-2</w:t>
            </w:r>
          </w:p>
        </w:tc>
        <w:tc>
          <w:tcPr>
            <w:tcW w:w="2393" w:type="dxa"/>
            <w:noWrap/>
            <w:vAlign w:val="center"/>
          </w:tcPr>
          <w:p w14:paraId="420F01CA">
            <w:pPr>
              <w:jc w:val="center"/>
              <w:rPr>
                <w:color w:val="000000"/>
                <w:sz w:val="20"/>
                <w:szCs w:val="20"/>
              </w:rPr>
            </w:pPr>
            <w:r>
              <w:rPr>
                <w:color w:val="000000"/>
                <w:sz w:val="20"/>
                <w:szCs w:val="20"/>
              </w:rPr>
              <w:t>Một mặt tiền</w:t>
            </w:r>
          </w:p>
        </w:tc>
        <w:tc>
          <w:tcPr>
            <w:tcW w:w="1198" w:type="dxa"/>
            <w:noWrap/>
            <w:vAlign w:val="center"/>
          </w:tcPr>
          <w:p w14:paraId="54C48284">
            <w:pPr>
              <w:jc w:val="center"/>
              <w:rPr>
                <w:color w:val="000000"/>
                <w:sz w:val="20"/>
                <w:szCs w:val="20"/>
              </w:rPr>
            </w:pPr>
            <w:r>
              <w:rPr>
                <w:color w:val="000000"/>
                <w:sz w:val="20"/>
                <w:szCs w:val="20"/>
              </w:rPr>
              <w:t>10.700.000</w:t>
            </w:r>
          </w:p>
        </w:tc>
        <w:tc>
          <w:tcPr>
            <w:tcW w:w="1236" w:type="dxa"/>
            <w:noWrap/>
            <w:vAlign w:val="center"/>
          </w:tcPr>
          <w:p w14:paraId="11CFDD85">
            <w:pPr>
              <w:jc w:val="center"/>
              <w:rPr>
                <w:color w:val="000000"/>
                <w:sz w:val="20"/>
                <w:szCs w:val="20"/>
              </w:rPr>
            </w:pPr>
            <w:r>
              <w:rPr>
                <w:color w:val="000000"/>
                <w:sz w:val="20"/>
                <w:szCs w:val="20"/>
              </w:rPr>
              <w:t>12.579.000</w:t>
            </w:r>
          </w:p>
        </w:tc>
        <w:tc>
          <w:tcPr>
            <w:tcW w:w="1252" w:type="dxa"/>
            <w:noWrap/>
            <w:vAlign w:val="center"/>
          </w:tcPr>
          <w:p w14:paraId="6E71E971">
            <w:pPr>
              <w:jc w:val="center"/>
              <w:rPr>
                <w:color w:val="000000"/>
                <w:sz w:val="20"/>
                <w:szCs w:val="20"/>
              </w:rPr>
            </w:pPr>
            <w:r>
              <w:rPr>
                <w:color w:val="000000"/>
                <w:sz w:val="20"/>
                <w:szCs w:val="20"/>
              </w:rPr>
              <w:t>23.279.000</w:t>
            </w:r>
          </w:p>
        </w:tc>
        <w:tc>
          <w:tcPr>
            <w:tcW w:w="1848" w:type="dxa"/>
            <w:noWrap/>
            <w:vAlign w:val="center"/>
          </w:tcPr>
          <w:p w14:paraId="231581BF">
            <w:pPr>
              <w:jc w:val="center"/>
              <w:rPr>
                <w:color w:val="000000"/>
                <w:sz w:val="20"/>
                <w:szCs w:val="20"/>
              </w:rPr>
            </w:pPr>
            <w:r>
              <w:rPr>
                <w:color w:val="000000"/>
                <w:sz w:val="20"/>
                <w:szCs w:val="20"/>
              </w:rPr>
              <w:t>2.095.110.000</w:t>
            </w:r>
          </w:p>
        </w:tc>
      </w:tr>
      <w:tr w14:paraId="25F2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BC8C5EA">
            <w:pPr>
              <w:jc w:val="center"/>
              <w:rPr>
                <w:b/>
                <w:bCs/>
                <w:color w:val="000000"/>
                <w:sz w:val="20"/>
                <w:szCs w:val="20"/>
              </w:rPr>
            </w:pPr>
            <w:r>
              <w:rPr>
                <w:b/>
                <w:bCs/>
                <w:color w:val="000000"/>
                <w:sz w:val="20"/>
                <w:szCs w:val="20"/>
              </w:rPr>
              <w:t>LK63</w:t>
            </w:r>
          </w:p>
        </w:tc>
        <w:tc>
          <w:tcPr>
            <w:tcW w:w="1802" w:type="dxa"/>
            <w:vAlign w:val="center"/>
          </w:tcPr>
          <w:p w14:paraId="705D86C9">
            <w:pPr>
              <w:jc w:val="center"/>
              <w:rPr>
                <w:color w:val="000000"/>
                <w:sz w:val="20"/>
                <w:szCs w:val="20"/>
              </w:rPr>
            </w:pPr>
            <w:r>
              <w:rPr>
                <w:color w:val="000000"/>
                <w:sz w:val="20"/>
                <w:szCs w:val="20"/>
              </w:rPr>
              <w:t>LK63:04</w:t>
            </w:r>
          </w:p>
        </w:tc>
        <w:tc>
          <w:tcPr>
            <w:tcW w:w="1033" w:type="dxa"/>
            <w:noWrap/>
            <w:vAlign w:val="center"/>
          </w:tcPr>
          <w:p w14:paraId="4F08B29F">
            <w:pPr>
              <w:jc w:val="center"/>
              <w:rPr>
                <w:color w:val="000000"/>
                <w:sz w:val="20"/>
                <w:szCs w:val="20"/>
              </w:rPr>
            </w:pPr>
            <w:r>
              <w:rPr>
                <w:color w:val="000000"/>
                <w:sz w:val="20"/>
                <w:szCs w:val="20"/>
              </w:rPr>
              <w:t>90,00</w:t>
            </w:r>
          </w:p>
        </w:tc>
        <w:tc>
          <w:tcPr>
            <w:tcW w:w="846" w:type="dxa"/>
            <w:noWrap/>
            <w:vAlign w:val="center"/>
          </w:tcPr>
          <w:p w14:paraId="1BB9634B">
            <w:pPr>
              <w:jc w:val="center"/>
              <w:rPr>
                <w:color w:val="000000"/>
                <w:sz w:val="20"/>
                <w:szCs w:val="20"/>
              </w:rPr>
            </w:pPr>
            <w:r>
              <w:rPr>
                <w:color w:val="000000"/>
                <w:sz w:val="20"/>
                <w:szCs w:val="20"/>
              </w:rPr>
              <w:t>1</w:t>
            </w:r>
          </w:p>
        </w:tc>
        <w:tc>
          <w:tcPr>
            <w:tcW w:w="2578" w:type="dxa"/>
            <w:noWrap/>
            <w:vAlign w:val="center"/>
          </w:tcPr>
          <w:p w14:paraId="3222EC72">
            <w:pPr>
              <w:jc w:val="center"/>
              <w:rPr>
                <w:color w:val="000000"/>
                <w:sz w:val="20"/>
                <w:szCs w:val="20"/>
              </w:rPr>
            </w:pPr>
            <w:r>
              <w:rPr>
                <w:color w:val="000000"/>
                <w:sz w:val="20"/>
                <w:szCs w:val="20"/>
              </w:rPr>
              <w:t>Mặt cắt 2-2</w:t>
            </w:r>
          </w:p>
        </w:tc>
        <w:tc>
          <w:tcPr>
            <w:tcW w:w="2393" w:type="dxa"/>
            <w:noWrap/>
            <w:vAlign w:val="center"/>
          </w:tcPr>
          <w:p w14:paraId="00D58DBC">
            <w:pPr>
              <w:jc w:val="center"/>
              <w:rPr>
                <w:color w:val="000000"/>
                <w:sz w:val="20"/>
                <w:szCs w:val="20"/>
              </w:rPr>
            </w:pPr>
            <w:r>
              <w:rPr>
                <w:color w:val="000000"/>
                <w:sz w:val="20"/>
                <w:szCs w:val="20"/>
              </w:rPr>
              <w:t>Một mặt tiền</w:t>
            </w:r>
          </w:p>
        </w:tc>
        <w:tc>
          <w:tcPr>
            <w:tcW w:w="1198" w:type="dxa"/>
            <w:noWrap/>
            <w:vAlign w:val="center"/>
          </w:tcPr>
          <w:p w14:paraId="1BAB213E">
            <w:pPr>
              <w:jc w:val="center"/>
              <w:rPr>
                <w:color w:val="000000"/>
                <w:sz w:val="20"/>
                <w:szCs w:val="20"/>
              </w:rPr>
            </w:pPr>
            <w:r>
              <w:rPr>
                <w:color w:val="000000"/>
                <w:sz w:val="20"/>
                <w:szCs w:val="20"/>
              </w:rPr>
              <w:t>10.700.000</w:t>
            </w:r>
          </w:p>
        </w:tc>
        <w:tc>
          <w:tcPr>
            <w:tcW w:w="1236" w:type="dxa"/>
            <w:noWrap/>
            <w:vAlign w:val="center"/>
          </w:tcPr>
          <w:p w14:paraId="0F2706FE">
            <w:pPr>
              <w:jc w:val="center"/>
              <w:rPr>
                <w:color w:val="000000"/>
                <w:sz w:val="20"/>
                <w:szCs w:val="20"/>
              </w:rPr>
            </w:pPr>
            <w:r>
              <w:rPr>
                <w:color w:val="000000"/>
                <w:sz w:val="20"/>
                <w:szCs w:val="20"/>
              </w:rPr>
              <w:t>12.579.000</w:t>
            </w:r>
          </w:p>
        </w:tc>
        <w:tc>
          <w:tcPr>
            <w:tcW w:w="1252" w:type="dxa"/>
            <w:noWrap/>
            <w:vAlign w:val="center"/>
          </w:tcPr>
          <w:p w14:paraId="6743F77B">
            <w:pPr>
              <w:jc w:val="center"/>
              <w:rPr>
                <w:color w:val="000000"/>
                <w:sz w:val="20"/>
                <w:szCs w:val="20"/>
              </w:rPr>
            </w:pPr>
            <w:r>
              <w:rPr>
                <w:color w:val="000000"/>
                <w:sz w:val="20"/>
                <w:szCs w:val="20"/>
              </w:rPr>
              <w:t>23.279.000</w:t>
            </w:r>
          </w:p>
        </w:tc>
        <w:tc>
          <w:tcPr>
            <w:tcW w:w="1848" w:type="dxa"/>
            <w:noWrap/>
            <w:vAlign w:val="center"/>
          </w:tcPr>
          <w:p w14:paraId="357A0A88">
            <w:pPr>
              <w:jc w:val="center"/>
              <w:rPr>
                <w:color w:val="000000"/>
                <w:sz w:val="20"/>
                <w:szCs w:val="20"/>
              </w:rPr>
            </w:pPr>
            <w:r>
              <w:rPr>
                <w:color w:val="000000"/>
                <w:sz w:val="20"/>
                <w:szCs w:val="20"/>
              </w:rPr>
              <w:t>2.095.110.000</w:t>
            </w:r>
          </w:p>
        </w:tc>
      </w:tr>
      <w:tr w14:paraId="7525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CEE5BCB">
            <w:pPr>
              <w:jc w:val="center"/>
              <w:rPr>
                <w:b/>
                <w:bCs/>
                <w:color w:val="000000"/>
                <w:sz w:val="20"/>
                <w:szCs w:val="20"/>
              </w:rPr>
            </w:pPr>
            <w:r>
              <w:rPr>
                <w:b/>
                <w:bCs/>
                <w:color w:val="000000"/>
                <w:sz w:val="20"/>
                <w:szCs w:val="20"/>
              </w:rPr>
              <w:t>LK63</w:t>
            </w:r>
          </w:p>
        </w:tc>
        <w:tc>
          <w:tcPr>
            <w:tcW w:w="1802" w:type="dxa"/>
            <w:vAlign w:val="center"/>
          </w:tcPr>
          <w:p w14:paraId="0F447D20">
            <w:pPr>
              <w:jc w:val="center"/>
              <w:rPr>
                <w:color w:val="000000"/>
                <w:sz w:val="20"/>
                <w:szCs w:val="20"/>
              </w:rPr>
            </w:pPr>
            <w:r>
              <w:rPr>
                <w:color w:val="000000"/>
                <w:sz w:val="20"/>
                <w:szCs w:val="20"/>
              </w:rPr>
              <w:t>LK63:05</w:t>
            </w:r>
          </w:p>
        </w:tc>
        <w:tc>
          <w:tcPr>
            <w:tcW w:w="1033" w:type="dxa"/>
            <w:noWrap/>
            <w:vAlign w:val="center"/>
          </w:tcPr>
          <w:p w14:paraId="5180EA33">
            <w:pPr>
              <w:jc w:val="center"/>
              <w:rPr>
                <w:color w:val="000000"/>
                <w:sz w:val="20"/>
                <w:szCs w:val="20"/>
              </w:rPr>
            </w:pPr>
            <w:r>
              <w:rPr>
                <w:color w:val="000000"/>
                <w:sz w:val="20"/>
                <w:szCs w:val="20"/>
              </w:rPr>
              <w:t>90,00</w:t>
            </w:r>
          </w:p>
        </w:tc>
        <w:tc>
          <w:tcPr>
            <w:tcW w:w="846" w:type="dxa"/>
            <w:noWrap/>
            <w:vAlign w:val="center"/>
          </w:tcPr>
          <w:p w14:paraId="59A57B7F">
            <w:pPr>
              <w:jc w:val="center"/>
              <w:rPr>
                <w:color w:val="000000"/>
                <w:sz w:val="20"/>
                <w:szCs w:val="20"/>
              </w:rPr>
            </w:pPr>
            <w:r>
              <w:rPr>
                <w:color w:val="000000"/>
                <w:sz w:val="20"/>
                <w:szCs w:val="20"/>
              </w:rPr>
              <w:t>1</w:t>
            </w:r>
          </w:p>
        </w:tc>
        <w:tc>
          <w:tcPr>
            <w:tcW w:w="2578" w:type="dxa"/>
            <w:noWrap/>
            <w:vAlign w:val="center"/>
          </w:tcPr>
          <w:p w14:paraId="3C7F903A">
            <w:pPr>
              <w:jc w:val="center"/>
              <w:rPr>
                <w:color w:val="000000"/>
                <w:sz w:val="20"/>
                <w:szCs w:val="20"/>
              </w:rPr>
            </w:pPr>
            <w:r>
              <w:rPr>
                <w:color w:val="000000"/>
                <w:sz w:val="20"/>
                <w:szCs w:val="20"/>
              </w:rPr>
              <w:t>Mặt cắt 2-2</w:t>
            </w:r>
          </w:p>
        </w:tc>
        <w:tc>
          <w:tcPr>
            <w:tcW w:w="2393" w:type="dxa"/>
            <w:noWrap/>
            <w:vAlign w:val="center"/>
          </w:tcPr>
          <w:p w14:paraId="04CCD9CA">
            <w:pPr>
              <w:jc w:val="center"/>
              <w:rPr>
                <w:color w:val="000000"/>
                <w:sz w:val="20"/>
                <w:szCs w:val="20"/>
              </w:rPr>
            </w:pPr>
            <w:r>
              <w:rPr>
                <w:color w:val="000000"/>
                <w:sz w:val="20"/>
                <w:szCs w:val="20"/>
              </w:rPr>
              <w:t>Một mặt tiền</w:t>
            </w:r>
          </w:p>
        </w:tc>
        <w:tc>
          <w:tcPr>
            <w:tcW w:w="1198" w:type="dxa"/>
            <w:noWrap/>
            <w:vAlign w:val="center"/>
          </w:tcPr>
          <w:p w14:paraId="41CBD042">
            <w:pPr>
              <w:jc w:val="center"/>
              <w:rPr>
                <w:color w:val="000000"/>
                <w:sz w:val="20"/>
                <w:szCs w:val="20"/>
              </w:rPr>
            </w:pPr>
            <w:r>
              <w:rPr>
                <w:color w:val="000000"/>
                <w:sz w:val="20"/>
                <w:szCs w:val="20"/>
              </w:rPr>
              <w:t>10.700.000</w:t>
            </w:r>
          </w:p>
        </w:tc>
        <w:tc>
          <w:tcPr>
            <w:tcW w:w="1236" w:type="dxa"/>
            <w:noWrap/>
            <w:vAlign w:val="center"/>
          </w:tcPr>
          <w:p w14:paraId="43013E75">
            <w:pPr>
              <w:jc w:val="center"/>
              <w:rPr>
                <w:color w:val="000000"/>
                <w:sz w:val="20"/>
                <w:szCs w:val="20"/>
              </w:rPr>
            </w:pPr>
            <w:r>
              <w:rPr>
                <w:color w:val="000000"/>
                <w:sz w:val="20"/>
                <w:szCs w:val="20"/>
              </w:rPr>
              <w:t>12.579.000</w:t>
            </w:r>
          </w:p>
        </w:tc>
        <w:tc>
          <w:tcPr>
            <w:tcW w:w="1252" w:type="dxa"/>
            <w:noWrap/>
            <w:vAlign w:val="center"/>
          </w:tcPr>
          <w:p w14:paraId="21C5D71D">
            <w:pPr>
              <w:jc w:val="center"/>
              <w:rPr>
                <w:color w:val="000000"/>
                <w:sz w:val="20"/>
                <w:szCs w:val="20"/>
              </w:rPr>
            </w:pPr>
            <w:r>
              <w:rPr>
                <w:color w:val="000000"/>
                <w:sz w:val="20"/>
                <w:szCs w:val="20"/>
              </w:rPr>
              <w:t>23.279.000</w:t>
            </w:r>
          </w:p>
        </w:tc>
        <w:tc>
          <w:tcPr>
            <w:tcW w:w="1848" w:type="dxa"/>
            <w:noWrap/>
            <w:vAlign w:val="center"/>
          </w:tcPr>
          <w:p w14:paraId="3DDA2763">
            <w:pPr>
              <w:jc w:val="center"/>
              <w:rPr>
                <w:color w:val="000000"/>
                <w:sz w:val="20"/>
                <w:szCs w:val="20"/>
              </w:rPr>
            </w:pPr>
            <w:r>
              <w:rPr>
                <w:color w:val="000000"/>
                <w:sz w:val="20"/>
                <w:szCs w:val="20"/>
              </w:rPr>
              <w:t>2.095.110.000</w:t>
            </w:r>
          </w:p>
        </w:tc>
      </w:tr>
      <w:tr w14:paraId="4772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68776AF">
            <w:pPr>
              <w:jc w:val="center"/>
              <w:rPr>
                <w:b/>
                <w:bCs/>
                <w:color w:val="000000"/>
                <w:sz w:val="20"/>
                <w:szCs w:val="20"/>
              </w:rPr>
            </w:pPr>
            <w:r>
              <w:rPr>
                <w:b/>
                <w:bCs/>
                <w:color w:val="000000"/>
                <w:sz w:val="20"/>
                <w:szCs w:val="20"/>
              </w:rPr>
              <w:t>LK33</w:t>
            </w:r>
          </w:p>
        </w:tc>
        <w:tc>
          <w:tcPr>
            <w:tcW w:w="1802" w:type="dxa"/>
            <w:vAlign w:val="center"/>
          </w:tcPr>
          <w:p w14:paraId="55E0E7D2">
            <w:pPr>
              <w:jc w:val="center"/>
              <w:rPr>
                <w:color w:val="000000"/>
                <w:sz w:val="20"/>
                <w:szCs w:val="20"/>
              </w:rPr>
            </w:pPr>
            <w:r>
              <w:rPr>
                <w:color w:val="000000"/>
                <w:sz w:val="20"/>
                <w:szCs w:val="20"/>
              </w:rPr>
              <w:t>LK33:01</w:t>
            </w:r>
          </w:p>
        </w:tc>
        <w:tc>
          <w:tcPr>
            <w:tcW w:w="1033" w:type="dxa"/>
            <w:noWrap/>
            <w:vAlign w:val="center"/>
          </w:tcPr>
          <w:p w14:paraId="302A51BC">
            <w:pPr>
              <w:jc w:val="center"/>
              <w:rPr>
                <w:color w:val="000000"/>
                <w:sz w:val="20"/>
                <w:szCs w:val="20"/>
              </w:rPr>
            </w:pPr>
            <w:r>
              <w:rPr>
                <w:color w:val="000000"/>
                <w:sz w:val="20"/>
                <w:szCs w:val="20"/>
              </w:rPr>
              <w:t>136,50</w:t>
            </w:r>
          </w:p>
        </w:tc>
        <w:tc>
          <w:tcPr>
            <w:tcW w:w="846" w:type="dxa"/>
            <w:noWrap/>
            <w:vAlign w:val="center"/>
          </w:tcPr>
          <w:p w14:paraId="628E6918">
            <w:pPr>
              <w:jc w:val="center"/>
              <w:rPr>
                <w:color w:val="000000"/>
                <w:sz w:val="20"/>
                <w:szCs w:val="20"/>
              </w:rPr>
            </w:pPr>
            <w:r>
              <w:rPr>
                <w:color w:val="000000"/>
                <w:sz w:val="20"/>
                <w:szCs w:val="20"/>
              </w:rPr>
              <w:t>1</w:t>
            </w:r>
          </w:p>
        </w:tc>
        <w:tc>
          <w:tcPr>
            <w:tcW w:w="2578" w:type="dxa"/>
            <w:noWrap/>
            <w:vAlign w:val="center"/>
          </w:tcPr>
          <w:p w14:paraId="0C62A8B8">
            <w:pPr>
              <w:jc w:val="center"/>
              <w:rPr>
                <w:color w:val="000000"/>
                <w:sz w:val="20"/>
                <w:szCs w:val="20"/>
              </w:rPr>
            </w:pPr>
            <w:r>
              <w:rPr>
                <w:color w:val="000000"/>
                <w:sz w:val="20"/>
                <w:szCs w:val="20"/>
              </w:rPr>
              <w:t>Mặt cắt 2-2</w:t>
            </w:r>
          </w:p>
        </w:tc>
        <w:tc>
          <w:tcPr>
            <w:tcW w:w="2393" w:type="dxa"/>
            <w:noWrap/>
            <w:vAlign w:val="center"/>
          </w:tcPr>
          <w:p w14:paraId="3FEF5D01">
            <w:pPr>
              <w:jc w:val="center"/>
              <w:rPr>
                <w:color w:val="000000"/>
                <w:sz w:val="20"/>
                <w:szCs w:val="20"/>
              </w:rPr>
            </w:pPr>
            <w:r>
              <w:rPr>
                <w:color w:val="000000"/>
                <w:sz w:val="20"/>
                <w:szCs w:val="20"/>
              </w:rPr>
              <w:t>Hai mặt tiền, đối diện/tiếp giáp CX-MN</w:t>
            </w:r>
          </w:p>
        </w:tc>
        <w:tc>
          <w:tcPr>
            <w:tcW w:w="1198" w:type="dxa"/>
            <w:noWrap/>
            <w:vAlign w:val="center"/>
          </w:tcPr>
          <w:p w14:paraId="5CCFD81D">
            <w:pPr>
              <w:jc w:val="center"/>
              <w:rPr>
                <w:color w:val="000000"/>
                <w:sz w:val="20"/>
                <w:szCs w:val="20"/>
              </w:rPr>
            </w:pPr>
            <w:r>
              <w:rPr>
                <w:color w:val="000000"/>
                <w:sz w:val="20"/>
                <w:szCs w:val="20"/>
              </w:rPr>
              <w:t>12.840.000</w:t>
            </w:r>
          </w:p>
        </w:tc>
        <w:tc>
          <w:tcPr>
            <w:tcW w:w="1236" w:type="dxa"/>
            <w:noWrap/>
            <w:vAlign w:val="center"/>
          </w:tcPr>
          <w:p w14:paraId="2CA2A7D4">
            <w:pPr>
              <w:jc w:val="center"/>
              <w:rPr>
                <w:color w:val="000000"/>
                <w:sz w:val="20"/>
                <w:szCs w:val="20"/>
              </w:rPr>
            </w:pPr>
            <w:r>
              <w:rPr>
                <w:color w:val="000000"/>
                <w:sz w:val="20"/>
                <w:szCs w:val="20"/>
              </w:rPr>
              <w:t>12.579.000</w:t>
            </w:r>
          </w:p>
        </w:tc>
        <w:tc>
          <w:tcPr>
            <w:tcW w:w="1252" w:type="dxa"/>
            <w:noWrap/>
            <w:vAlign w:val="center"/>
          </w:tcPr>
          <w:p w14:paraId="770D3AF1">
            <w:pPr>
              <w:jc w:val="center"/>
              <w:rPr>
                <w:color w:val="000000"/>
                <w:sz w:val="20"/>
                <w:szCs w:val="20"/>
              </w:rPr>
            </w:pPr>
            <w:r>
              <w:rPr>
                <w:color w:val="000000"/>
                <w:sz w:val="20"/>
                <w:szCs w:val="20"/>
              </w:rPr>
              <w:t>25.419.000</w:t>
            </w:r>
          </w:p>
        </w:tc>
        <w:tc>
          <w:tcPr>
            <w:tcW w:w="1848" w:type="dxa"/>
            <w:noWrap/>
            <w:vAlign w:val="center"/>
          </w:tcPr>
          <w:p w14:paraId="519B21F7">
            <w:pPr>
              <w:jc w:val="center"/>
              <w:rPr>
                <w:color w:val="000000"/>
                <w:sz w:val="20"/>
                <w:szCs w:val="20"/>
              </w:rPr>
            </w:pPr>
            <w:r>
              <w:rPr>
                <w:color w:val="000000"/>
                <w:sz w:val="20"/>
                <w:szCs w:val="20"/>
              </w:rPr>
              <w:t>3.469.693.500</w:t>
            </w:r>
          </w:p>
        </w:tc>
      </w:tr>
      <w:tr w14:paraId="7225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E544C66">
            <w:pPr>
              <w:jc w:val="center"/>
              <w:rPr>
                <w:b/>
                <w:bCs/>
                <w:color w:val="000000"/>
                <w:sz w:val="20"/>
                <w:szCs w:val="20"/>
              </w:rPr>
            </w:pPr>
            <w:r>
              <w:rPr>
                <w:b/>
                <w:bCs/>
                <w:color w:val="000000"/>
                <w:sz w:val="20"/>
                <w:szCs w:val="20"/>
              </w:rPr>
              <w:t>LK35</w:t>
            </w:r>
          </w:p>
        </w:tc>
        <w:tc>
          <w:tcPr>
            <w:tcW w:w="1802" w:type="dxa"/>
            <w:vAlign w:val="center"/>
          </w:tcPr>
          <w:p w14:paraId="2303B6F4">
            <w:pPr>
              <w:jc w:val="center"/>
              <w:rPr>
                <w:color w:val="000000"/>
                <w:sz w:val="20"/>
                <w:szCs w:val="20"/>
              </w:rPr>
            </w:pPr>
            <w:r>
              <w:rPr>
                <w:color w:val="000000"/>
                <w:sz w:val="20"/>
                <w:szCs w:val="20"/>
              </w:rPr>
              <w:t>LK35:10</w:t>
            </w:r>
          </w:p>
        </w:tc>
        <w:tc>
          <w:tcPr>
            <w:tcW w:w="1033" w:type="dxa"/>
            <w:noWrap/>
            <w:vAlign w:val="center"/>
          </w:tcPr>
          <w:p w14:paraId="608E7692">
            <w:pPr>
              <w:jc w:val="center"/>
              <w:rPr>
                <w:color w:val="000000"/>
                <w:sz w:val="20"/>
                <w:szCs w:val="20"/>
              </w:rPr>
            </w:pPr>
            <w:r>
              <w:rPr>
                <w:color w:val="000000"/>
                <w:sz w:val="20"/>
                <w:szCs w:val="20"/>
              </w:rPr>
              <w:t>136,50</w:t>
            </w:r>
          </w:p>
        </w:tc>
        <w:tc>
          <w:tcPr>
            <w:tcW w:w="846" w:type="dxa"/>
            <w:noWrap/>
            <w:vAlign w:val="center"/>
          </w:tcPr>
          <w:p w14:paraId="5467A743">
            <w:pPr>
              <w:jc w:val="center"/>
              <w:rPr>
                <w:color w:val="000000"/>
                <w:sz w:val="20"/>
                <w:szCs w:val="20"/>
              </w:rPr>
            </w:pPr>
            <w:r>
              <w:rPr>
                <w:color w:val="000000"/>
                <w:sz w:val="20"/>
                <w:szCs w:val="20"/>
              </w:rPr>
              <w:t>1</w:t>
            </w:r>
          </w:p>
        </w:tc>
        <w:tc>
          <w:tcPr>
            <w:tcW w:w="2578" w:type="dxa"/>
            <w:noWrap/>
            <w:vAlign w:val="center"/>
          </w:tcPr>
          <w:p w14:paraId="2788A895">
            <w:pPr>
              <w:jc w:val="center"/>
              <w:rPr>
                <w:color w:val="000000"/>
                <w:sz w:val="20"/>
                <w:szCs w:val="20"/>
              </w:rPr>
            </w:pPr>
            <w:r>
              <w:rPr>
                <w:color w:val="000000"/>
                <w:sz w:val="20"/>
                <w:szCs w:val="20"/>
              </w:rPr>
              <w:t>Mặt cắt 2-2</w:t>
            </w:r>
          </w:p>
        </w:tc>
        <w:tc>
          <w:tcPr>
            <w:tcW w:w="2393" w:type="dxa"/>
            <w:noWrap/>
            <w:vAlign w:val="center"/>
          </w:tcPr>
          <w:p w14:paraId="40B81D8B">
            <w:pPr>
              <w:jc w:val="center"/>
              <w:rPr>
                <w:color w:val="000000"/>
                <w:sz w:val="20"/>
                <w:szCs w:val="20"/>
              </w:rPr>
            </w:pPr>
            <w:r>
              <w:rPr>
                <w:color w:val="000000"/>
                <w:sz w:val="20"/>
                <w:szCs w:val="20"/>
              </w:rPr>
              <w:t>Hai mặt tiền</w:t>
            </w:r>
          </w:p>
        </w:tc>
        <w:tc>
          <w:tcPr>
            <w:tcW w:w="1198" w:type="dxa"/>
            <w:noWrap/>
            <w:vAlign w:val="center"/>
          </w:tcPr>
          <w:p w14:paraId="725226EC">
            <w:pPr>
              <w:jc w:val="center"/>
              <w:rPr>
                <w:color w:val="000000"/>
                <w:sz w:val="20"/>
                <w:szCs w:val="20"/>
              </w:rPr>
            </w:pPr>
            <w:r>
              <w:rPr>
                <w:color w:val="000000"/>
                <w:sz w:val="20"/>
                <w:szCs w:val="20"/>
              </w:rPr>
              <w:t>12.305.000</w:t>
            </w:r>
          </w:p>
        </w:tc>
        <w:tc>
          <w:tcPr>
            <w:tcW w:w="1236" w:type="dxa"/>
            <w:noWrap/>
            <w:vAlign w:val="center"/>
          </w:tcPr>
          <w:p w14:paraId="54AC2C3C">
            <w:pPr>
              <w:jc w:val="center"/>
              <w:rPr>
                <w:color w:val="000000"/>
                <w:sz w:val="20"/>
                <w:szCs w:val="20"/>
              </w:rPr>
            </w:pPr>
            <w:r>
              <w:rPr>
                <w:color w:val="000000"/>
                <w:sz w:val="20"/>
                <w:szCs w:val="20"/>
              </w:rPr>
              <w:t>12.579.000</w:t>
            </w:r>
          </w:p>
        </w:tc>
        <w:tc>
          <w:tcPr>
            <w:tcW w:w="1252" w:type="dxa"/>
            <w:noWrap/>
            <w:vAlign w:val="center"/>
          </w:tcPr>
          <w:p w14:paraId="6C29E76A">
            <w:pPr>
              <w:jc w:val="center"/>
              <w:rPr>
                <w:color w:val="000000"/>
                <w:sz w:val="20"/>
                <w:szCs w:val="20"/>
              </w:rPr>
            </w:pPr>
            <w:r>
              <w:rPr>
                <w:color w:val="000000"/>
                <w:sz w:val="20"/>
                <w:szCs w:val="20"/>
              </w:rPr>
              <w:t>24.884.000</w:t>
            </w:r>
          </w:p>
        </w:tc>
        <w:tc>
          <w:tcPr>
            <w:tcW w:w="1848" w:type="dxa"/>
            <w:noWrap/>
            <w:vAlign w:val="center"/>
          </w:tcPr>
          <w:p w14:paraId="1E9FC3BF">
            <w:pPr>
              <w:jc w:val="center"/>
              <w:rPr>
                <w:color w:val="000000"/>
                <w:sz w:val="20"/>
                <w:szCs w:val="20"/>
              </w:rPr>
            </w:pPr>
            <w:r>
              <w:rPr>
                <w:color w:val="000000"/>
                <w:sz w:val="20"/>
                <w:szCs w:val="20"/>
              </w:rPr>
              <w:t>3.396.666.000</w:t>
            </w:r>
          </w:p>
        </w:tc>
      </w:tr>
      <w:tr w14:paraId="0207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A672B0F">
            <w:pPr>
              <w:jc w:val="center"/>
              <w:rPr>
                <w:b/>
                <w:bCs/>
                <w:color w:val="000000"/>
                <w:sz w:val="20"/>
                <w:szCs w:val="20"/>
              </w:rPr>
            </w:pPr>
            <w:r>
              <w:rPr>
                <w:b/>
                <w:bCs/>
                <w:color w:val="000000"/>
                <w:sz w:val="20"/>
                <w:szCs w:val="20"/>
              </w:rPr>
              <w:t>LK36</w:t>
            </w:r>
          </w:p>
        </w:tc>
        <w:tc>
          <w:tcPr>
            <w:tcW w:w="1802" w:type="dxa"/>
            <w:vAlign w:val="center"/>
          </w:tcPr>
          <w:p w14:paraId="02EB991F">
            <w:pPr>
              <w:jc w:val="center"/>
              <w:rPr>
                <w:color w:val="000000"/>
                <w:sz w:val="20"/>
                <w:szCs w:val="20"/>
              </w:rPr>
            </w:pPr>
            <w:r>
              <w:rPr>
                <w:color w:val="000000"/>
                <w:sz w:val="20"/>
                <w:szCs w:val="20"/>
              </w:rPr>
              <w:t>LK36:06</w:t>
            </w:r>
          </w:p>
        </w:tc>
        <w:tc>
          <w:tcPr>
            <w:tcW w:w="1033" w:type="dxa"/>
            <w:noWrap/>
            <w:vAlign w:val="center"/>
          </w:tcPr>
          <w:p w14:paraId="235DF65B">
            <w:pPr>
              <w:jc w:val="center"/>
              <w:rPr>
                <w:color w:val="000000"/>
                <w:sz w:val="20"/>
                <w:szCs w:val="20"/>
              </w:rPr>
            </w:pPr>
            <w:r>
              <w:rPr>
                <w:color w:val="000000"/>
                <w:sz w:val="20"/>
                <w:szCs w:val="20"/>
              </w:rPr>
              <w:t>89,75</w:t>
            </w:r>
          </w:p>
        </w:tc>
        <w:tc>
          <w:tcPr>
            <w:tcW w:w="846" w:type="dxa"/>
            <w:noWrap/>
            <w:vAlign w:val="center"/>
          </w:tcPr>
          <w:p w14:paraId="66C0CE76">
            <w:pPr>
              <w:jc w:val="center"/>
              <w:rPr>
                <w:color w:val="000000"/>
                <w:sz w:val="20"/>
                <w:szCs w:val="20"/>
              </w:rPr>
            </w:pPr>
            <w:r>
              <w:rPr>
                <w:color w:val="000000"/>
                <w:sz w:val="20"/>
                <w:szCs w:val="20"/>
              </w:rPr>
              <w:t>1</w:t>
            </w:r>
          </w:p>
        </w:tc>
        <w:tc>
          <w:tcPr>
            <w:tcW w:w="2578" w:type="dxa"/>
            <w:noWrap/>
            <w:vAlign w:val="center"/>
          </w:tcPr>
          <w:p w14:paraId="0DBD67B3">
            <w:pPr>
              <w:jc w:val="center"/>
              <w:rPr>
                <w:color w:val="000000"/>
                <w:sz w:val="20"/>
                <w:szCs w:val="20"/>
              </w:rPr>
            </w:pPr>
            <w:r>
              <w:rPr>
                <w:color w:val="000000"/>
                <w:sz w:val="20"/>
                <w:szCs w:val="20"/>
              </w:rPr>
              <w:t>Mặt cắt 2-2</w:t>
            </w:r>
          </w:p>
        </w:tc>
        <w:tc>
          <w:tcPr>
            <w:tcW w:w="2393" w:type="dxa"/>
            <w:noWrap/>
            <w:vAlign w:val="center"/>
          </w:tcPr>
          <w:p w14:paraId="364007E8">
            <w:pPr>
              <w:jc w:val="center"/>
              <w:rPr>
                <w:color w:val="000000"/>
                <w:sz w:val="20"/>
                <w:szCs w:val="20"/>
              </w:rPr>
            </w:pPr>
            <w:r>
              <w:rPr>
                <w:color w:val="000000"/>
                <w:sz w:val="20"/>
                <w:szCs w:val="20"/>
              </w:rPr>
              <w:t>Hai mặt tiền, đối diện/tiếp giáp CX-MN</w:t>
            </w:r>
          </w:p>
        </w:tc>
        <w:tc>
          <w:tcPr>
            <w:tcW w:w="1198" w:type="dxa"/>
            <w:noWrap/>
            <w:vAlign w:val="center"/>
          </w:tcPr>
          <w:p w14:paraId="517C2CDE">
            <w:pPr>
              <w:jc w:val="center"/>
              <w:rPr>
                <w:color w:val="000000"/>
                <w:sz w:val="20"/>
                <w:szCs w:val="20"/>
              </w:rPr>
            </w:pPr>
            <w:r>
              <w:rPr>
                <w:color w:val="000000"/>
                <w:sz w:val="20"/>
                <w:szCs w:val="20"/>
              </w:rPr>
              <w:t>12.840.000</w:t>
            </w:r>
          </w:p>
        </w:tc>
        <w:tc>
          <w:tcPr>
            <w:tcW w:w="1236" w:type="dxa"/>
            <w:noWrap/>
            <w:vAlign w:val="center"/>
          </w:tcPr>
          <w:p w14:paraId="23D21578">
            <w:pPr>
              <w:jc w:val="center"/>
              <w:rPr>
                <w:color w:val="000000"/>
                <w:sz w:val="20"/>
                <w:szCs w:val="20"/>
              </w:rPr>
            </w:pPr>
            <w:r>
              <w:rPr>
                <w:color w:val="000000"/>
                <w:sz w:val="20"/>
                <w:szCs w:val="20"/>
              </w:rPr>
              <w:t>12.579.000</w:t>
            </w:r>
          </w:p>
        </w:tc>
        <w:tc>
          <w:tcPr>
            <w:tcW w:w="1252" w:type="dxa"/>
            <w:noWrap/>
            <w:vAlign w:val="center"/>
          </w:tcPr>
          <w:p w14:paraId="4D8E67BF">
            <w:pPr>
              <w:jc w:val="center"/>
              <w:rPr>
                <w:color w:val="000000"/>
                <w:sz w:val="20"/>
                <w:szCs w:val="20"/>
              </w:rPr>
            </w:pPr>
            <w:r>
              <w:rPr>
                <w:color w:val="000000"/>
                <w:sz w:val="20"/>
                <w:szCs w:val="20"/>
              </w:rPr>
              <w:t>25.419.000</w:t>
            </w:r>
          </w:p>
        </w:tc>
        <w:tc>
          <w:tcPr>
            <w:tcW w:w="1848" w:type="dxa"/>
            <w:noWrap/>
            <w:vAlign w:val="center"/>
          </w:tcPr>
          <w:p w14:paraId="6B2EEB57">
            <w:pPr>
              <w:jc w:val="center"/>
              <w:rPr>
                <w:color w:val="000000"/>
                <w:sz w:val="20"/>
                <w:szCs w:val="20"/>
              </w:rPr>
            </w:pPr>
            <w:r>
              <w:rPr>
                <w:color w:val="000000"/>
                <w:sz w:val="20"/>
                <w:szCs w:val="20"/>
              </w:rPr>
              <w:t>2.281.355.250</w:t>
            </w:r>
          </w:p>
        </w:tc>
      </w:tr>
      <w:tr w14:paraId="22E4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18BDC19">
            <w:pPr>
              <w:jc w:val="center"/>
              <w:rPr>
                <w:b/>
                <w:bCs/>
                <w:color w:val="000000"/>
                <w:sz w:val="20"/>
                <w:szCs w:val="20"/>
              </w:rPr>
            </w:pPr>
            <w:r>
              <w:rPr>
                <w:b/>
                <w:bCs/>
                <w:color w:val="000000"/>
                <w:sz w:val="20"/>
                <w:szCs w:val="20"/>
              </w:rPr>
              <w:t>LK37</w:t>
            </w:r>
          </w:p>
        </w:tc>
        <w:tc>
          <w:tcPr>
            <w:tcW w:w="1802" w:type="dxa"/>
            <w:vAlign w:val="center"/>
          </w:tcPr>
          <w:p w14:paraId="1D87A3DF">
            <w:pPr>
              <w:jc w:val="center"/>
              <w:rPr>
                <w:color w:val="000000"/>
                <w:sz w:val="20"/>
                <w:szCs w:val="20"/>
              </w:rPr>
            </w:pPr>
            <w:r>
              <w:rPr>
                <w:color w:val="000000"/>
                <w:sz w:val="20"/>
                <w:szCs w:val="20"/>
              </w:rPr>
              <w:t>LK37:01</w:t>
            </w:r>
          </w:p>
        </w:tc>
        <w:tc>
          <w:tcPr>
            <w:tcW w:w="1033" w:type="dxa"/>
            <w:noWrap/>
            <w:vAlign w:val="center"/>
          </w:tcPr>
          <w:p w14:paraId="77A66512">
            <w:pPr>
              <w:jc w:val="center"/>
              <w:rPr>
                <w:color w:val="000000"/>
                <w:sz w:val="20"/>
                <w:szCs w:val="20"/>
              </w:rPr>
            </w:pPr>
            <w:r>
              <w:rPr>
                <w:color w:val="000000"/>
                <w:sz w:val="20"/>
                <w:szCs w:val="20"/>
              </w:rPr>
              <w:t>84,24</w:t>
            </w:r>
          </w:p>
        </w:tc>
        <w:tc>
          <w:tcPr>
            <w:tcW w:w="846" w:type="dxa"/>
            <w:noWrap/>
            <w:vAlign w:val="center"/>
          </w:tcPr>
          <w:p w14:paraId="4580532F">
            <w:pPr>
              <w:jc w:val="center"/>
              <w:rPr>
                <w:color w:val="000000"/>
                <w:sz w:val="20"/>
                <w:szCs w:val="20"/>
              </w:rPr>
            </w:pPr>
            <w:r>
              <w:rPr>
                <w:color w:val="000000"/>
                <w:sz w:val="20"/>
                <w:szCs w:val="20"/>
              </w:rPr>
              <w:t>1</w:t>
            </w:r>
          </w:p>
        </w:tc>
        <w:tc>
          <w:tcPr>
            <w:tcW w:w="2578" w:type="dxa"/>
            <w:noWrap/>
            <w:vAlign w:val="center"/>
          </w:tcPr>
          <w:p w14:paraId="6703FE6D">
            <w:pPr>
              <w:jc w:val="center"/>
              <w:rPr>
                <w:color w:val="000000"/>
                <w:sz w:val="20"/>
                <w:szCs w:val="20"/>
              </w:rPr>
            </w:pPr>
            <w:r>
              <w:rPr>
                <w:color w:val="000000"/>
                <w:sz w:val="20"/>
                <w:szCs w:val="20"/>
              </w:rPr>
              <w:t>Mặt cắt 2-2</w:t>
            </w:r>
          </w:p>
        </w:tc>
        <w:tc>
          <w:tcPr>
            <w:tcW w:w="2393" w:type="dxa"/>
            <w:noWrap/>
            <w:vAlign w:val="center"/>
          </w:tcPr>
          <w:p w14:paraId="1F4478F6">
            <w:pPr>
              <w:jc w:val="center"/>
              <w:rPr>
                <w:color w:val="000000"/>
                <w:sz w:val="20"/>
                <w:szCs w:val="20"/>
              </w:rPr>
            </w:pPr>
            <w:r>
              <w:rPr>
                <w:color w:val="000000"/>
                <w:sz w:val="20"/>
                <w:szCs w:val="20"/>
              </w:rPr>
              <w:t>Hai mặt tiền, đối diện/tiếp giáp CX-MN</w:t>
            </w:r>
          </w:p>
        </w:tc>
        <w:tc>
          <w:tcPr>
            <w:tcW w:w="1198" w:type="dxa"/>
            <w:noWrap/>
            <w:vAlign w:val="center"/>
          </w:tcPr>
          <w:p w14:paraId="20E13549">
            <w:pPr>
              <w:jc w:val="center"/>
              <w:rPr>
                <w:color w:val="000000"/>
                <w:sz w:val="20"/>
                <w:szCs w:val="20"/>
              </w:rPr>
            </w:pPr>
            <w:r>
              <w:rPr>
                <w:color w:val="000000"/>
                <w:sz w:val="20"/>
                <w:szCs w:val="20"/>
              </w:rPr>
              <w:t>12.840.000</w:t>
            </w:r>
          </w:p>
        </w:tc>
        <w:tc>
          <w:tcPr>
            <w:tcW w:w="1236" w:type="dxa"/>
            <w:noWrap/>
            <w:vAlign w:val="center"/>
          </w:tcPr>
          <w:p w14:paraId="7AC5E2AB">
            <w:pPr>
              <w:jc w:val="center"/>
              <w:rPr>
                <w:color w:val="000000"/>
                <w:sz w:val="20"/>
                <w:szCs w:val="20"/>
              </w:rPr>
            </w:pPr>
            <w:r>
              <w:rPr>
                <w:color w:val="000000"/>
                <w:sz w:val="20"/>
                <w:szCs w:val="20"/>
              </w:rPr>
              <w:t>12.579.000</w:t>
            </w:r>
          </w:p>
        </w:tc>
        <w:tc>
          <w:tcPr>
            <w:tcW w:w="1252" w:type="dxa"/>
            <w:noWrap/>
            <w:vAlign w:val="center"/>
          </w:tcPr>
          <w:p w14:paraId="1495C052">
            <w:pPr>
              <w:jc w:val="center"/>
              <w:rPr>
                <w:color w:val="000000"/>
                <w:sz w:val="20"/>
                <w:szCs w:val="20"/>
              </w:rPr>
            </w:pPr>
            <w:r>
              <w:rPr>
                <w:color w:val="000000"/>
                <w:sz w:val="20"/>
                <w:szCs w:val="20"/>
              </w:rPr>
              <w:t>25.419.000</w:t>
            </w:r>
          </w:p>
        </w:tc>
        <w:tc>
          <w:tcPr>
            <w:tcW w:w="1848" w:type="dxa"/>
            <w:noWrap/>
            <w:vAlign w:val="center"/>
          </w:tcPr>
          <w:p w14:paraId="4FFFC98D">
            <w:pPr>
              <w:jc w:val="center"/>
              <w:rPr>
                <w:color w:val="000000"/>
                <w:sz w:val="20"/>
                <w:szCs w:val="20"/>
              </w:rPr>
            </w:pPr>
            <w:r>
              <w:rPr>
                <w:color w:val="000000"/>
                <w:sz w:val="20"/>
                <w:szCs w:val="20"/>
              </w:rPr>
              <w:t>2.141.296.560</w:t>
            </w:r>
          </w:p>
        </w:tc>
      </w:tr>
      <w:tr w14:paraId="6FF1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3333156">
            <w:pPr>
              <w:jc w:val="center"/>
              <w:rPr>
                <w:b/>
                <w:bCs/>
                <w:color w:val="000000"/>
                <w:sz w:val="20"/>
                <w:szCs w:val="20"/>
              </w:rPr>
            </w:pPr>
            <w:r>
              <w:rPr>
                <w:b/>
                <w:bCs/>
                <w:color w:val="000000"/>
                <w:sz w:val="20"/>
                <w:szCs w:val="20"/>
              </w:rPr>
              <w:t>LK37</w:t>
            </w:r>
          </w:p>
        </w:tc>
        <w:tc>
          <w:tcPr>
            <w:tcW w:w="1802" w:type="dxa"/>
            <w:vAlign w:val="center"/>
          </w:tcPr>
          <w:p w14:paraId="7DF86F2E">
            <w:pPr>
              <w:jc w:val="center"/>
              <w:rPr>
                <w:color w:val="000000"/>
                <w:sz w:val="20"/>
                <w:szCs w:val="20"/>
              </w:rPr>
            </w:pPr>
            <w:r>
              <w:rPr>
                <w:color w:val="000000"/>
                <w:sz w:val="20"/>
                <w:szCs w:val="20"/>
              </w:rPr>
              <w:t>LK37:09</w:t>
            </w:r>
          </w:p>
        </w:tc>
        <w:tc>
          <w:tcPr>
            <w:tcW w:w="1033" w:type="dxa"/>
            <w:noWrap/>
            <w:vAlign w:val="center"/>
          </w:tcPr>
          <w:p w14:paraId="3ECE27BB">
            <w:pPr>
              <w:jc w:val="center"/>
              <w:rPr>
                <w:color w:val="000000"/>
                <w:sz w:val="20"/>
                <w:szCs w:val="20"/>
              </w:rPr>
            </w:pPr>
            <w:r>
              <w:rPr>
                <w:color w:val="000000"/>
                <w:sz w:val="20"/>
                <w:szCs w:val="20"/>
              </w:rPr>
              <w:t>84,24</w:t>
            </w:r>
          </w:p>
        </w:tc>
        <w:tc>
          <w:tcPr>
            <w:tcW w:w="846" w:type="dxa"/>
            <w:noWrap/>
            <w:vAlign w:val="center"/>
          </w:tcPr>
          <w:p w14:paraId="05D6F9B1">
            <w:pPr>
              <w:jc w:val="center"/>
              <w:rPr>
                <w:color w:val="000000"/>
                <w:sz w:val="20"/>
                <w:szCs w:val="20"/>
              </w:rPr>
            </w:pPr>
            <w:r>
              <w:rPr>
                <w:color w:val="000000"/>
                <w:sz w:val="20"/>
                <w:szCs w:val="20"/>
              </w:rPr>
              <w:t>1</w:t>
            </w:r>
          </w:p>
        </w:tc>
        <w:tc>
          <w:tcPr>
            <w:tcW w:w="2578" w:type="dxa"/>
            <w:noWrap/>
            <w:vAlign w:val="center"/>
          </w:tcPr>
          <w:p w14:paraId="2335BD17">
            <w:pPr>
              <w:jc w:val="center"/>
              <w:rPr>
                <w:color w:val="000000"/>
                <w:sz w:val="20"/>
                <w:szCs w:val="20"/>
              </w:rPr>
            </w:pPr>
            <w:r>
              <w:rPr>
                <w:color w:val="000000"/>
                <w:sz w:val="20"/>
                <w:szCs w:val="20"/>
              </w:rPr>
              <w:t>Mặt cắt 2-2</w:t>
            </w:r>
          </w:p>
        </w:tc>
        <w:tc>
          <w:tcPr>
            <w:tcW w:w="2393" w:type="dxa"/>
            <w:noWrap/>
            <w:vAlign w:val="center"/>
          </w:tcPr>
          <w:p w14:paraId="5FA3E143">
            <w:pPr>
              <w:jc w:val="center"/>
              <w:rPr>
                <w:color w:val="000000"/>
                <w:sz w:val="20"/>
                <w:szCs w:val="20"/>
              </w:rPr>
            </w:pPr>
            <w:r>
              <w:rPr>
                <w:color w:val="000000"/>
                <w:sz w:val="20"/>
                <w:szCs w:val="20"/>
              </w:rPr>
              <w:t>Hai mặt tiền, đối diện/tiếp giáp CX-MN</w:t>
            </w:r>
          </w:p>
        </w:tc>
        <w:tc>
          <w:tcPr>
            <w:tcW w:w="1198" w:type="dxa"/>
            <w:noWrap/>
            <w:vAlign w:val="center"/>
          </w:tcPr>
          <w:p w14:paraId="2D05B33D">
            <w:pPr>
              <w:jc w:val="center"/>
              <w:rPr>
                <w:color w:val="000000"/>
                <w:sz w:val="20"/>
                <w:szCs w:val="20"/>
              </w:rPr>
            </w:pPr>
            <w:r>
              <w:rPr>
                <w:color w:val="000000"/>
                <w:sz w:val="20"/>
                <w:szCs w:val="20"/>
              </w:rPr>
              <w:t>12.840.000</w:t>
            </w:r>
          </w:p>
        </w:tc>
        <w:tc>
          <w:tcPr>
            <w:tcW w:w="1236" w:type="dxa"/>
            <w:noWrap/>
            <w:vAlign w:val="center"/>
          </w:tcPr>
          <w:p w14:paraId="4EB9F437">
            <w:pPr>
              <w:jc w:val="center"/>
              <w:rPr>
                <w:color w:val="000000"/>
                <w:sz w:val="20"/>
                <w:szCs w:val="20"/>
              </w:rPr>
            </w:pPr>
            <w:r>
              <w:rPr>
                <w:color w:val="000000"/>
                <w:sz w:val="20"/>
                <w:szCs w:val="20"/>
              </w:rPr>
              <w:t>12.579.000</w:t>
            </w:r>
          </w:p>
        </w:tc>
        <w:tc>
          <w:tcPr>
            <w:tcW w:w="1252" w:type="dxa"/>
            <w:noWrap/>
            <w:vAlign w:val="center"/>
          </w:tcPr>
          <w:p w14:paraId="4EDABFA4">
            <w:pPr>
              <w:jc w:val="center"/>
              <w:rPr>
                <w:color w:val="000000"/>
                <w:sz w:val="20"/>
                <w:szCs w:val="20"/>
              </w:rPr>
            </w:pPr>
            <w:r>
              <w:rPr>
                <w:color w:val="000000"/>
                <w:sz w:val="20"/>
                <w:szCs w:val="20"/>
              </w:rPr>
              <w:t>25.419.000</w:t>
            </w:r>
          </w:p>
        </w:tc>
        <w:tc>
          <w:tcPr>
            <w:tcW w:w="1848" w:type="dxa"/>
            <w:noWrap/>
            <w:vAlign w:val="center"/>
          </w:tcPr>
          <w:p w14:paraId="38F6D25E">
            <w:pPr>
              <w:jc w:val="center"/>
              <w:rPr>
                <w:color w:val="000000"/>
                <w:sz w:val="20"/>
                <w:szCs w:val="20"/>
              </w:rPr>
            </w:pPr>
            <w:r>
              <w:rPr>
                <w:color w:val="000000"/>
                <w:sz w:val="20"/>
                <w:szCs w:val="20"/>
              </w:rPr>
              <w:t>2.141.296.560</w:t>
            </w:r>
          </w:p>
        </w:tc>
      </w:tr>
      <w:tr w14:paraId="378E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178F10C">
            <w:pPr>
              <w:jc w:val="center"/>
              <w:rPr>
                <w:b/>
                <w:bCs/>
                <w:color w:val="000000"/>
                <w:sz w:val="20"/>
                <w:szCs w:val="20"/>
              </w:rPr>
            </w:pPr>
            <w:r>
              <w:rPr>
                <w:b/>
                <w:bCs/>
                <w:color w:val="000000"/>
                <w:sz w:val="20"/>
                <w:szCs w:val="20"/>
              </w:rPr>
              <w:t>LK39</w:t>
            </w:r>
          </w:p>
        </w:tc>
        <w:tc>
          <w:tcPr>
            <w:tcW w:w="1802" w:type="dxa"/>
            <w:vAlign w:val="center"/>
          </w:tcPr>
          <w:p w14:paraId="67C40B09">
            <w:pPr>
              <w:jc w:val="center"/>
              <w:rPr>
                <w:color w:val="000000"/>
                <w:sz w:val="20"/>
                <w:szCs w:val="20"/>
              </w:rPr>
            </w:pPr>
            <w:r>
              <w:rPr>
                <w:color w:val="000000"/>
                <w:sz w:val="20"/>
                <w:szCs w:val="20"/>
              </w:rPr>
              <w:t>LK39:01</w:t>
            </w:r>
          </w:p>
        </w:tc>
        <w:tc>
          <w:tcPr>
            <w:tcW w:w="1033" w:type="dxa"/>
            <w:noWrap/>
            <w:vAlign w:val="center"/>
          </w:tcPr>
          <w:p w14:paraId="66E84284">
            <w:pPr>
              <w:jc w:val="center"/>
              <w:rPr>
                <w:color w:val="000000"/>
                <w:sz w:val="20"/>
                <w:szCs w:val="20"/>
              </w:rPr>
            </w:pPr>
            <w:r>
              <w:rPr>
                <w:color w:val="000000"/>
                <w:sz w:val="20"/>
                <w:szCs w:val="20"/>
              </w:rPr>
              <w:t>136,50</w:t>
            </w:r>
          </w:p>
        </w:tc>
        <w:tc>
          <w:tcPr>
            <w:tcW w:w="846" w:type="dxa"/>
            <w:noWrap/>
            <w:vAlign w:val="center"/>
          </w:tcPr>
          <w:p w14:paraId="774CB185">
            <w:pPr>
              <w:jc w:val="center"/>
              <w:rPr>
                <w:color w:val="000000"/>
                <w:sz w:val="20"/>
                <w:szCs w:val="20"/>
              </w:rPr>
            </w:pPr>
            <w:r>
              <w:rPr>
                <w:color w:val="000000"/>
                <w:sz w:val="20"/>
                <w:szCs w:val="20"/>
              </w:rPr>
              <w:t>1</w:t>
            </w:r>
          </w:p>
        </w:tc>
        <w:tc>
          <w:tcPr>
            <w:tcW w:w="2578" w:type="dxa"/>
            <w:noWrap/>
            <w:vAlign w:val="center"/>
          </w:tcPr>
          <w:p w14:paraId="544326EA">
            <w:pPr>
              <w:jc w:val="center"/>
              <w:rPr>
                <w:color w:val="000000"/>
                <w:sz w:val="20"/>
                <w:szCs w:val="20"/>
              </w:rPr>
            </w:pPr>
            <w:r>
              <w:rPr>
                <w:color w:val="000000"/>
                <w:sz w:val="20"/>
                <w:szCs w:val="20"/>
              </w:rPr>
              <w:t>Mặt cắt 2-2</w:t>
            </w:r>
          </w:p>
        </w:tc>
        <w:tc>
          <w:tcPr>
            <w:tcW w:w="2393" w:type="dxa"/>
            <w:noWrap/>
            <w:vAlign w:val="center"/>
          </w:tcPr>
          <w:p w14:paraId="2F38B28E">
            <w:pPr>
              <w:jc w:val="center"/>
              <w:rPr>
                <w:color w:val="000000"/>
                <w:sz w:val="20"/>
                <w:szCs w:val="20"/>
              </w:rPr>
            </w:pPr>
            <w:r>
              <w:rPr>
                <w:color w:val="000000"/>
                <w:sz w:val="20"/>
                <w:szCs w:val="20"/>
              </w:rPr>
              <w:t>Hai mặt tiền</w:t>
            </w:r>
          </w:p>
        </w:tc>
        <w:tc>
          <w:tcPr>
            <w:tcW w:w="1198" w:type="dxa"/>
            <w:noWrap/>
            <w:vAlign w:val="center"/>
          </w:tcPr>
          <w:p w14:paraId="2D26B95E">
            <w:pPr>
              <w:jc w:val="center"/>
              <w:rPr>
                <w:color w:val="000000"/>
                <w:sz w:val="20"/>
                <w:szCs w:val="20"/>
              </w:rPr>
            </w:pPr>
            <w:r>
              <w:rPr>
                <w:color w:val="000000"/>
                <w:sz w:val="20"/>
                <w:szCs w:val="20"/>
              </w:rPr>
              <w:t>12.305.000</w:t>
            </w:r>
          </w:p>
        </w:tc>
        <w:tc>
          <w:tcPr>
            <w:tcW w:w="1236" w:type="dxa"/>
            <w:noWrap/>
            <w:vAlign w:val="center"/>
          </w:tcPr>
          <w:p w14:paraId="41A22570">
            <w:pPr>
              <w:jc w:val="center"/>
              <w:rPr>
                <w:color w:val="000000"/>
                <w:sz w:val="20"/>
                <w:szCs w:val="20"/>
              </w:rPr>
            </w:pPr>
            <w:r>
              <w:rPr>
                <w:color w:val="000000"/>
                <w:sz w:val="20"/>
                <w:szCs w:val="20"/>
              </w:rPr>
              <w:t>12.579.000</w:t>
            </w:r>
          </w:p>
        </w:tc>
        <w:tc>
          <w:tcPr>
            <w:tcW w:w="1252" w:type="dxa"/>
            <w:noWrap/>
            <w:vAlign w:val="center"/>
          </w:tcPr>
          <w:p w14:paraId="04830ECF">
            <w:pPr>
              <w:jc w:val="center"/>
              <w:rPr>
                <w:color w:val="000000"/>
                <w:sz w:val="20"/>
                <w:szCs w:val="20"/>
              </w:rPr>
            </w:pPr>
            <w:r>
              <w:rPr>
                <w:color w:val="000000"/>
                <w:sz w:val="20"/>
                <w:szCs w:val="20"/>
              </w:rPr>
              <w:t>24.884.000</w:t>
            </w:r>
          </w:p>
        </w:tc>
        <w:tc>
          <w:tcPr>
            <w:tcW w:w="1848" w:type="dxa"/>
            <w:noWrap/>
            <w:vAlign w:val="center"/>
          </w:tcPr>
          <w:p w14:paraId="32DBDBDD">
            <w:pPr>
              <w:jc w:val="center"/>
              <w:rPr>
                <w:color w:val="000000"/>
                <w:sz w:val="20"/>
                <w:szCs w:val="20"/>
              </w:rPr>
            </w:pPr>
            <w:r>
              <w:rPr>
                <w:color w:val="000000"/>
                <w:sz w:val="20"/>
                <w:szCs w:val="20"/>
              </w:rPr>
              <w:t>3.396.666.000</w:t>
            </w:r>
          </w:p>
        </w:tc>
      </w:tr>
      <w:tr w14:paraId="6515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07B5876">
            <w:pPr>
              <w:jc w:val="center"/>
              <w:rPr>
                <w:b/>
                <w:bCs/>
                <w:color w:val="000000"/>
                <w:sz w:val="20"/>
                <w:szCs w:val="20"/>
              </w:rPr>
            </w:pPr>
            <w:r>
              <w:rPr>
                <w:b/>
                <w:bCs/>
                <w:color w:val="000000"/>
                <w:sz w:val="20"/>
                <w:szCs w:val="20"/>
              </w:rPr>
              <w:t>LK41</w:t>
            </w:r>
          </w:p>
        </w:tc>
        <w:tc>
          <w:tcPr>
            <w:tcW w:w="1802" w:type="dxa"/>
            <w:vAlign w:val="center"/>
          </w:tcPr>
          <w:p w14:paraId="46FD90AA">
            <w:pPr>
              <w:jc w:val="center"/>
              <w:rPr>
                <w:color w:val="000000"/>
                <w:sz w:val="20"/>
                <w:szCs w:val="20"/>
              </w:rPr>
            </w:pPr>
            <w:r>
              <w:rPr>
                <w:color w:val="000000"/>
                <w:sz w:val="20"/>
                <w:szCs w:val="20"/>
              </w:rPr>
              <w:t>LK41:10</w:t>
            </w:r>
          </w:p>
        </w:tc>
        <w:tc>
          <w:tcPr>
            <w:tcW w:w="1033" w:type="dxa"/>
            <w:noWrap/>
            <w:vAlign w:val="center"/>
          </w:tcPr>
          <w:p w14:paraId="08A3B5E2">
            <w:pPr>
              <w:jc w:val="center"/>
              <w:rPr>
                <w:color w:val="000000"/>
                <w:sz w:val="20"/>
                <w:szCs w:val="20"/>
              </w:rPr>
            </w:pPr>
            <w:r>
              <w:rPr>
                <w:color w:val="000000"/>
                <w:sz w:val="20"/>
                <w:szCs w:val="20"/>
              </w:rPr>
              <w:t>136,50</w:t>
            </w:r>
          </w:p>
        </w:tc>
        <w:tc>
          <w:tcPr>
            <w:tcW w:w="846" w:type="dxa"/>
            <w:noWrap/>
            <w:vAlign w:val="center"/>
          </w:tcPr>
          <w:p w14:paraId="0B8556B4">
            <w:pPr>
              <w:jc w:val="center"/>
              <w:rPr>
                <w:color w:val="000000"/>
                <w:sz w:val="20"/>
                <w:szCs w:val="20"/>
              </w:rPr>
            </w:pPr>
            <w:r>
              <w:rPr>
                <w:color w:val="000000"/>
                <w:sz w:val="20"/>
                <w:szCs w:val="20"/>
              </w:rPr>
              <w:t>1</w:t>
            </w:r>
          </w:p>
        </w:tc>
        <w:tc>
          <w:tcPr>
            <w:tcW w:w="2578" w:type="dxa"/>
            <w:noWrap/>
            <w:vAlign w:val="center"/>
          </w:tcPr>
          <w:p w14:paraId="155BE254">
            <w:pPr>
              <w:jc w:val="center"/>
              <w:rPr>
                <w:color w:val="000000"/>
                <w:sz w:val="20"/>
                <w:szCs w:val="20"/>
              </w:rPr>
            </w:pPr>
            <w:r>
              <w:rPr>
                <w:color w:val="000000"/>
                <w:sz w:val="20"/>
                <w:szCs w:val="20"/>
              </w:rPr>
              <w:t>Mặt cắt 2-2</w:t>
            </w:r>
          </w:p>
        </w:tc>
        <w:tc>
          <w:tcPr>
            <w:tcW w:w="2393" w:type="dxa"/>
            <w:noWrap/>
            <w:vAlign w:val="center"/>
          </w:tcPr>
          <w:p w14:paraId="01066711">
            <w:pPr>
              <w:jc w:val="center"/>
              <w:rPr>
                <w:color w:val="000000"/>
                <w:sz w:val="20"/>
                <w:szCs w:val="20"/>
              </w:rPr>
            </w:pPr>
            <w:r>
              <w:rPr>
                <w:color w:val="000000"/>
                <w:sz w:val="20"/>
                <w:szCs w:val="20"/>
              </w:rPr>
              <w:t>Hai mặt tiền</w:t>
            </w:r>
          </w:p>
        </w:tc>
        <w:tc>
          <w:tcPr>
            <w:tcW w:w="1198" w:type="dxa"/>
            <w:noWrap/>
            <w:vAlign w:val="center"/>
          </w:tcPr>
          <w:p w14:paraId="6DACB3A4">
            <w:pPr>
              <w:jc w:val="center"/>
              <w:rPr>
                <w:color w:val="000000"/>
                <w:sz w:val="20"/>
                <w:szCs w:val="20"/>
              </w:rPr>
            </w:pPr>
            <w:r>
              <w:rPr>
                <w:color w:val="000000"/>
                <w:sz w:val="20"/>
                <w:szCs w:val="20"/>
              </w:rPr>
              <w:t>12.305.000</w:t>
            </w:r>
          </w:p>
        </w:tc>
        <w:tc>
          <w:tcPr>
            <w:tcW w:w="1236" w:type="dxa"/>
            <w:noWrap/>
            <w:vAlign w:val="center"/>
          </w:tcPr>
          <w:p w14:paraId="15748AD3">
            <w:pPr>
              <w:jc w:val="center"/>
              <w:rPr>
                <w:color w:val="000000"/>
                <w:sz w:val="20"/>
                <w:szCs w:val="20"/>
              </w:rPr>
            </w:pPr>
            <w:r>
              <w:rPr>
                <w:color w:val="000000"/>
                <w:sz w:val="20"/>
                <w:szCs w:val="20"/>
              </w:rPr>
              <w:t>12.579.000</w:t>
            </w:r>
          </w:p>
        </w:tc>
        <w:tc>
          <w:tcPr>
            <w:tcW w:w="1252" w:type="dxa"/>
            <w:noWrap/>
            <w:vAlign w:val="center"/>
          </w:tcPr>
          <w:p w14:paraId="32FE836A">
            <w:pPr>
              <w:jc w:val="center"/>
              <w:rPr>
                <w:color w:val="000000"/>
                <w:sz w:val="20"/>
                <w:szCs w:val="20"/>
              </w:rPr>
            </w:pPr>
            <w:r>
              <w:rPr>
                <w:color w:val="000000"/>
                <w:sz w:val="20"/>
                <w:szCs w:val="20"/>
              </w:rPr>
              <w:t>24.884.000</w:t>
            </w:r>
          </w:p>
        </w:tc>
        <w:tc>
          <w:tcPr>
            <w:tcW w:w="1848" w:type="dxa"/>
            <w:noWrap/>
            <w:vAlign w:val="center"/>
          </w:tcPr>
          <w:p w14:paraId="69044D47">
            <w:pPr>
              <w:jc w:val="center"/>
              <w:rPr>
                <w:color w:val="000000"/>
                <w:sz w:val="20"/>
                <w:szCs w:val="20"/>
              </w:rPr>
            </w:pPr>
            <w:r>
              <w:rPr>
                <w:color w:val="000000"/>
                <w:sz w:val="20"/>
                <w:szCs w:val="20"/>
              </w:rPr>
              <w:t>3.396.666.000</w:t>
            </w:r>
          </w:p>
        </w:tc>
      </w:tr>
      <w:tr w14:paraId="2BE1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3E2319D">
            <w:pPr>
              <w:jc w:val="center"/>
              <w:rPr>
                <w:b/>
                <w:bCs/>
                <w:color w:val="000000"/>
                <w:sz w:val="20"/>
                <w:szCs w:val="20"/>
              </w:rPr>
            </w:pPr>
            <w:r>
              <w:rPr>
                <w:b/>
                <w:bCs/>
                <w:color w:val="000000"/>
                <w:sz w:val="20"/>
                <w:szCs w:val="20"/>
              </w:rPr>
              <w:t>LK62</w:t>
            </w:r>
          </w:p>
        </w:tc>
        <w:tc>
          <w:tcPr>
            <w:tcW w:w="1802" w:type="dxa"/>
            <w:vAlign w:val="center"/>
          </w:tcPr>
          <w:p w14:paraId="179603EB">
            <w:pPr>
              <w:jc w:val="center"/>
              <w:rPr>
                <w:color w:val="000000"/>
                <w:sz w:val="20"/>
                <w:szCs w:val="20"/>
              </w:rPr>
            </w:pPr>
            <w:r>
              <w:rPr>
                <w:color w:val="000000"/>
                <w:sz w:val="20"/>
                <w:szCs w:val="20"/>
              </w:rPr>
              <w:t>LK62:06</w:t>
            </w:r>
          </w:p>
        </w:tc>
        <w:tc>
          <w:tcPr>
            <w:tcW w:w="1033" w:type="dxa"/>
            <w:noWrap/>
            <w:vAlign w:val="center"/>
          </w:tcPr>
          <w:p w14:paraId="71210477">
            <w:pPr>
              <w:jc w:val="center"/>
              <w:rPr>
                <w:color w:val="000000"/>
                <w:sz w:val="20"/>
                <w:szCs w:val="20"/>
              </w:rPr>
            </w:pPr>
            <w:r>
              <w:rPr>
                <w:color w:val="000000"/>
                <w:sz w:val="20"/>
                <w:szCs w:val="20"/>
              </w:rPr>
              <w:t>93,25</w:t>
            </w:r>
          </w:p>
        </w:tc>
        <w:tc>
          <w:tcPr>
            <w:tcW w:w="846" w:type="dxa"/>
            <w:noWrap/>
            <w:vAlign w:val="center"/>
          </w:tcPr>
          <w:p w14:paraId="1AB54EFB">
            <w:pPr>
              <w:jc w:val="center"/>
              <w:rPr>
                <w:color w:val="000000"/>
                <w:sz w:val="20"/>
                <w:szCs w:val="20"/>
              </w:rPr>
            </w:pPr>
            <w:r>
              <w:rPr>
                <w:color w:val="000000"/>
                <w:sz w:val="20"/>
                <w:szCs w:val="20"/>
              </w:rPr>
              <w:t>1</w:t>
            </w:r>
          </w:p>
        </w:tc>
        <w:tc>
          <w:tcPr>
            <w:tcW w:w="2578" w:type="dxa"/>
            <w:noWrap/>
            <w:vAlign w:val="center"/>
          </w:tcPr>
          <w:p w14:paraId="38A3AF80">
            <w:pPr>
              <w:jc w:val="center"/>
              <w:rPr>
                <w:color w:val="000000"/>
                <w:sz w:val="20"/>
                <w:szCs w:val="20"/>
              </w:rPr>
            </w:pPr>
            <w:r>
              <w:rPr>
                <w:color w:val="000000"/>
                <w:sz w:val="20"/>
                <w:szCs w:val="20"/>
              </w:rPr>
              <w:t>Mặt cắt 2-2</w:t>
            </w:r>
          </w:p>
        </w:tc>
        <w:tc>
          <w:tcPr>
            <w:tcW w:w="2393" w:type="dxa"/>
            <w:noWrap/>
            <w:vAlign w:val="center"/>
          </w:tcPr>
          <w:p w14:paraId="7A90A3CD">
            <w:pPr>
              <w:jc w:val="center"/>
              <w:rPr>
                <w:color w:val="000000"/>
                <w:sz w:val="20"/>
                <w:szCs w:val="20"/>
              </w:rPr>
            </w:pPr>
            <w:r>
              <w:rPr>
                <w:color w:val="000000"/>
                <w:sz w:val="20"/>
                <w:szCs w:val="20"/>
              </w:rPr>
              <w:t>Hai mặt tiền</w:t>
            </w:r>
          </w:p>
        </w:tc>
        <w:tc>
          <w:tcPr>
            <w:tcW w:w="1198" w:type="dxa"/>
            <w:noWrap/>
            <w:vAlign w:val="center"/>
          </w:tcPr>
          <w:p w14:paraId="19E8FBAB">
            <w:pPr>
              <w:jc w:val="center"/>
              <w:rPr>
                <w:color w:val="000000"/>
                <w:sz w:val="20"/>
                <w:szCs w:val="20"/>
              </w:rPr>
            </w:pPr>
            <w:r>
              <w:rPr>
                <w:color w:val="000000"/>
                <w:sz w:val="20"/>
                <w:szCs w:val="20"/>
              </w:rPr>
              <w:t>12.305.000</w:t>
            </w:r>
          </w:p>
        </w:tc>
        <w:tc>
          <w:tcPr>
            <w:tcW w:w="1236" w:type="dxa"/>
            <w:noWrap/>
            <w:vAlign w:val="center"/>
          </w:tcPr>
          <w:p w14:paraId="1A0B7CE8">
            <w:pPr>
              <w:jc w:val="center"/>
              <w:rPr>
                <w:color w:val="000000"/>
                <w:sz w:val="20"/>
                <w:szCs w:val="20"/>
              </w:rPr>
            </w:pPr>
            <w:r>
              <w:rPr>
                <w:color w:val="000000"/>
                <w:sz w:val="20"/>
                <w:szCs w:val="20"/>
              </w:rPr>
              <w:t>12.579.000</w:t>
            </w:r>
          </w:p>
        </w:tc>
        <w:tc>
          <w:tcPr>
            <w:tcW w:w="1252" w:type="dxa"/>
            <w:noWrap/>
            <w:vAlign w:val="center"/>
          </w:tcPr>
          <w:p w14:paraId="45C38315">
            <w:pPr>
              <w:jc w:val="center"/>
              <w:rPr>
                <w:color w:val="000000"/>
                <w:sz w:val="20"/>
                <w:szCs w:val="20"/>
              </w:rPr>
            </w:pPr>
            <w:r>
              <w:rPr>
                <w:color w:val="000000"/>
                <w:sz w:val="20"/>
                <w:szCs w:val="20"/>
              </w:rPr>
              <w:t>24.884.000</w:t>
            </w:r>
          </w:p>
        </w:tc>
        <w:tc>
          <w:tcPr>
            <w:tcW w:w="1848" w:type="dxa"/>
            <w:noWrap/>
            <w:vAlign w:val="center"/>
          </w:tcPr>
          <w:p w14:paraId="78889C4F">
            <w:pPr>
              <w:jc w:val="center"/>
              <w:rPr>
                <w:color w:val="000000"/>
                <w:sz w:val="20"/>
                <w:szCs w:val="20"/>
              </w:rPr>
            </w:pPr>
            <w:r>
              <w:rPr>
                <w:color w:val="000000"/>
                <w:sz w:val="20"/>
                <w:szCs w:val="20"/>
              </w:rPr>
              <w:t>2.320.507.652</w:t>
            </w:r>
          </w:p>
        </w:tc>
      </w:tr>
      <w:tr w14:paraId="3251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5258C91">
            <w:pPr>
              <w:jc w:val="center"/>
              <w:rPr>
                <w:b/>
                <w:bCs/>
                <w:color w:val="000000"/>
                <w:sz w:val="20"/>
                <w:szCs w:val="20"/>
              </w:rPr>
            </w:pPr>
            <w:r>
              <w:rPr>
                <w:b/>
                <w:bCs/>
                <w:color w:val="000000"/>
                <w:sz w:val="20"/>
                <w:szCs w:val="20"/>
              </w:rPr>
              <w:t>LK63</w:t>
            </w:r>
          </w:p>
        </w:tc>
        <w:tc>
          <w:tcPr>
            <w:tcW w:w="1802" w:type="dxa"/>
            <w:vAlign w:val="center"/>
          </w:tcPr>
          <w:p w14:paraId="0C8E5BC3">
            <w:pPr>
              <w:jc w:val="center"/>
              <w:rPr>
                <w:color w:val="000000"/>
                <w:sz w:val="20"/>
                <w:szCs w:val="20"/>
              </w:rPr>
            </w:pPr>
            <w:r>
              <w:rPr>
                <w:color w:val="000000"/>
                <w:sz w:val="20"/>
                <w:szCs w:val="20"/>
              </w:rPr>
              <w:t>LK63:01</w:t>
            </w:r>
          </w:p>
        </w:tc>
        <w:tc>
          <w:tcPr>
            <w:tcW w:w="1033" w:type="dxa"/>
            <w:noWrap/>
            <w:vAlign w:val="center"/>
          </w:tcPr>
          <w:p w14:paraId="4C630D73">
            <w:pPr>
              <w:jc w:val="center"/>
              <w:rPr>
                <w:color w:val="000000"/>
                <w:sz w:val="20"/>
                <w:szCs w:val="20"/>
              </w:rPr>
            </w:pPr>
            <w:r>
              <w:rPr>
                <w:color w:val="000000"/>
                <w:sz w:val="20"/>
                <w:szCs w:val="20"/>
              </w:rPr>
              <w:t>121,39</w:t>
            </w:r>
          </w:p>
        </w:tc>
        <w:tc>
          <w:tcPr>
            <w:tcW w:w="846" w:type="dxa"/>
            <w:noWrap/>
            <w:vAlign w:val="center"/>
          </w:tcPr>
          <w:p w14:paraId="0F07C4CE">
            <w:pPr>
              <w:jc w:val="center"/>
              <w:rPr>
                <w:color w:val="000000"/>
                <w:sz w:val="20"/>
                <w:szCs w:val="20"/>
              </w:rPr>
            </w:pPr>
            <w:r>
              <w:rPr>
                <w:color w:val="000000"/>
                <w:sz w:val="20"/>
                <w:szCs w:val="20"/>
              </w:rPr>
              <w:t>1</w:t>
            </w:r>
          </w:p>
        </w:tc>
        <w:tc>
          <w:tcPr>
            <w:tcW w:w="2578" w:type="dxa"/>
            <w:noWrap/>
            <w:vAlign w:val="center"/>
          </w:tcPr>
          <w:p w14:paraId="3815C603">
            <w:pPr>
              <w:jc w:val="center"/>
              <w:rPr>
                <w:color w:val="000000"/>
                <w:sz w:val="20"/>
                <w:szCs w:val="20"/>
              </w:rPr>
            </w:pPr>
            <w:r>
              <w:rPr>
                <w:color w:val="000000"/>
                <w:sz w:val="20"/>
                <w:szCs w:val="20"/>
              </w:rPr>
              <w:t>Mặt cắt 2-2</w:t>
            </w:r>
          </w:p>
        </w:tc>
        <w:tc>
          <w:tcPr>
            <w:tcW w:w="2393" w:type="dxa"/>
            <w:noWrap/>
            <w:vAlign w:val="center"/>
          </w:tcPr>
          <w:p w14:paraId="365A3D41">
            <w:pPr>
              <w:jc w:val="center"/>
              <w:rPr>
                <w:color w:val="000000"/>
                <w:sz w:val="20"/>
                <w:szCs w:val="20"/>
              </w:rPr>
            </w:pPr>
            <w:r>
              <w:rPr>
                <w:color w:val="000000"/>
                <w:sz w:val="20"/>
                <w:szCs w:val="20"/>
              </w:rPr>
              <w:t>Hai mặt tiền</w:t>
            </w:r>
          </w:p>
        </w:tc>
        <w:tc>
          <w:tcPr>
            <w:tcW w:w="1198" w:type="dxa"/>
            <w:noWrap/>
            <w:vAlign w:val="center"/>
          </w:tcPr>
          <w:p w14:paraId="3EECAA20">
            <w:pPr>
              <w:jc w:val="center"/>
              <w:rPr>
                <w:color w:val="000000"/>
                <w:sz w:val="20"/>
                <w:szCs w:val="20"/>
              </w:rPr>
            </w:pPr>
            <w:r>
              <w:rPr>
                <w:color w:val="000000"/>
                <w:sz w:val="20"/>
                <w:szCs w:val="20"/>
              </w:rPr>
              <w:t>12.305.000</w:t>
            </w:r>
          </w:p>
        </w:tc>
        <w:tc>
          <w:tcPr>
            <w:tcW w:w="1236" w:type="dxa"/>
            <w:noWrap/>
            <w:vAlign w:val="center"/>
          </w:tcPr>
          <w:p w14:paraId="18475A5B">
            <w:pPr>
              <w:jc w:val="center"/>
              <w:rPr>
                <w:color w:val="000000"/>
                <w:sz w:val="20"/>
                <w:szCs w:val="20"/>
              </w:rPr>
            </w:pPr>
            <w:r>
              <w:rPr>
                <w:color w:val="000000"/>
                <w:sz w:val="20"/>
                <w:szCs w:val="20"/>
              </w:rPr>
              <w:t>12.579.000</w:t>
            </w:r>
          </w:p>
        </w:tc>
        <w:tc>
          <w:tcPr>
            <w:tcW w:w="1252" w:type="dxa"/>
            <w:noWrap/>
            <w:vAlign w:val="center"/>
          </w:tcPr>
          <w:p w14:paraId="0462088A">
            <w:pPr>
              <w:jc w:val="center"/>
              <w:rPr>
                <w:color w:val="000000"/>
                <w:sz w:val="20"/>
                <w:szCs w:val="20"/>
              </w:rPr>
            </w:pPr>
            <w:r>
              <w:rPr>
                <w:color w:val="000000"/>
                <w:sz w:val="20"/>
                <w:szCs w:val="20"/>
              </w:rPr>
              <w:t>24.884.000</w:t>
            </w:r>
          </w:p>
        </w:tc>
        <w:tc>
          <w:tcPr>
            <w:tcW w:w="1848" w:type="dxa"/>
            <w:noWrap/>
            <w:vAlign w:val="center"/>
          </w:tcPr>
          <w:p w14:paraId="3FEE4171">
            <w:pPr>
              <w:jc w:val="center"/>
              <w:rPr>
                <w:color w:val="000000"/>
                <w:sz w:val="20"/>
                <w:szCs w:val="20"/>
              </w:rPr>
            </w:pPr>
            <w:r>
              <w:rPr>
                <w:color w:val="000000"/>
                <w:sz w:val="20"/>
                <w:szCs w:val="20"/>
              </w:rPr>
              <w:t>3.020.668.760</w:t>
            </w:r>
          </w:p>
        </w:tc>
      </w:tr>
      <w:tr w14:paraId="0080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7AD6E46">
            <w:pPr>
              <w:jc w:val="center"/>
              <w:rPr>
                <w:b/>
                <w:bCs/>
                <w:color w:val="000000"/>
                <w:sz w:val="20"/>
                <w:szCs w:val="20"/>
              </w:rPr>
            </w:pPr>
          </w:p>
        </w:tc>
        <w:tc>
          <w:tcPr>
            <w:tcW w:w="14189" w:type="dxa"/>
            <w:gridSpan w:val="9"/>
            <w:vAlign w:val="center"/>
          </w:tcPr>
          <w:p w14:paraId="536C658B">
            <w:pPr>
              <w:jc w:val="center"/>
              <w:rPr>
                <w:b/>
                <w:bCs/>
                <w:color w:val="000000"/>
                <w:sz w:val="20"/>
                <w:szCs w:val="20"/>
              </w:rPr>
            </w:pPr>
            <w:r>
              <w:rPr>
                <w:b/>
                <w:bCs/>
                <w:color w:val="000000"/>
                <w:sz w:val="20"/>
                <w:szCs w:val="20"/>
              </w:rPr>
              <w:t>Mặt cắt 3-3 (làn 2 đường gom QL1A): rộng 13,5m lòng đường rộng 7,5m, vỉa hè 2 bên rộng 3m+3m</w:t>
            </w:r>
          </w:p>
        </w:tc>
      </w:tr>
      <w:tr w14:paraId="2C5A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B850D7E">
            <w:pPr>
              <w:jc w:val="center"/>
              <w:rPr>
                <w:b/>
                <w:bCs/>
                <w:color w:val="000000"/>
                <w:sz w:val="20"/>
                <w:szCs w:val="20"/>
              </w:rPr>
            </w:pPr>
            <w:r>
              <w:rPr>
                <w:b/>
                <w:bCs/>
                <w:color w:val="000000"/>
                <w:sz w:val="20"/>
                <w:szCs w:val="20"/>
              </w:rPr>
              <w:t>LK44</w:t>
            </w:r>
          </w:p>
        </w:tc>
        <w:tc>
          <w:tcPr>
            <w:tcW w:w="1802" w:type="dxa"/>
            <w:vAlign w:val="center"/>
          </w:tcPr>
          <w:p w14:paraId="1A63918A">
            <w:pPr>
              <w:jc w:val="center"/>
              <w:rPr>
                <w:color w:val="000000"/>
                <w:sz w:val="20"/>
                <w:szCs w:val="20"/>
              </w:rPr>
            </w:pPr>
            <w:r>
              <w:rPr>
                <w:color w:val="000000"/>
                <w:sz w:val="20"/>
                <w:szCs w:val="20"/>
              </w:rPr>
              <w:t>LK44:02</w:t>
            </w:r>
          </w:p>
        </w:tc>
        <w:tc>
          <w:tcPr>
            <w:tcW w:w="1033" w:type="dxa"/>
            <w:noWrap/>
            <w:vAlign w:val="center"/>
          </w:tcPr>
          <w:p w14:paraId="78D31640">
            <w:pPr>
              <w:jc w:val="center"/>
              <w:rPr>
                <w:color w:val="000000"/>
                <w:sz w:val="20"/>
                <w:szCs w:val="20"/>
              </w:rPr>
            </w:pPr>
            <w:r>
              <w:rPr>
                <w:color w:val="000000"/>
                <w:sz w:val="20"/>
                <w:szCs w:val="20"/>
              </w:rPr>
              <w:t>90,00</w:t>
            </w:r>
          </w:p>
        </w:tc>
        <w:tc>
          <w:tcPr>
            <w:tcW w:w="846" w:type="dxa"/>
            <w:noWrap/>
            <w:vAlign w:val="center"/>
          </w:tcPr>
          <w:p w14:paraId="55097B27">
            <w:pPr>
              <w:jc w:val="center"/>
              <w:rPr>
                <w:color w:val="000000"/>
                <w:sz w:val="20"/>
                <w:szCs w:val="20"/>
              </w:rPr>
            </w:pPr>
            <w:r>
              <w:rPr>
                <w:color w:val="000000"/>
                <w:sz w:val="20"/>
                <w:szCs w:val="20"/>
              </w:rPr>
              <w:t>1</w:t>
            </w:r>
          </w:p>
        </w:tc>
        <w:tc>
          <w:tcPr>
            <w:tcW w:w="2578" w:type="dxa"/>
            <w:noWrap/>
            <w:vAlign w:val="center"/>
          </w:tcPr>
          <w:p w14:paraId="67C66234">
            <w:pPr>
              <w:jc w:val="center"/>
              <w:rPr>
                <w:color w:val="000000"/>
                <w:sz w:val="20"/>
                <w:szCs w:val="20"/>
              </w:rPr>
            </w:pPr>
            <w:r>
              <w:rPr>
                <w:color w:val="000000"/>
                <w:sz w:val="20"/>
                <w:szCs w:val="20"/>
              </w:rPr>
              <w:t>Mặt cắt 3-3</w:t>
            </w:r>
          </w:p>
        </w:tc>
        <w:tc>
          <w:tcPr>
            <w:tcW w:w="2393" w:type="dxa"/>
            <w:noWrap/>
            <w:vAlign w:val="center"/>
          </w:tcPr>
          <w:p w14:paraId="40B25954">
            <w:pPr>
              <w:jc w:val="center"/>
              <w:rPr>
                <w:color w:val="000000"/>
                <w:sz w:val="20"/>
                <w:szCs w:val="20"/>
              </w:rPr>
            </w:pPr>
            <w:r>
              <w:rPr>
                <w:color w:val="000000"/>
                <w:sz w:val="20"/>
                <w:szCs w:val="20"/>
              </w:rPr>
              <w:t>Một mặt tiền</w:t>
            </w:r>
          </w:p>
        </w:tc>
        <w:tc>
          <w:tcPr>
            <w:tcW w:w="1198" w:type="dxa"/>
            <w:noWrap/>
            <w:vAlign w:val="center"/>
          </w:tcPr>
          <w:p w14:paraId="1519CFB3">
            <w:pPr>
              <w:jc w:val="center"/>
              <w:rPr>
                <w:color w:val="000000"/>
                <w:sz w:val="20"/>
                <w:szCs w:val="20"/>
              </w:rPr>
            </w:pPr>
            <w:r>
              <w:rPr>
                <w:color w:val="000000"/>
                <w:sz w:val="20"/>
                <w:szCs w:val="20"/>
              </w:rPr>
              <w:t>10.000.000</w:t>
            </w:r>
          </w:p>
        </w:tc>
        <w:tc>
          <w:tcPr>
            <w:tcW w:w="1236" w:type="dxa"/>
            <w:noWrap/>
            <w:vAlign w:val="center"/>
          </w:tcPr>
          <w:p w14:paraId="1A41B3E3">
            <w:pPr>
              <w:jc w:val="center"/>
              <w:rPr>
                <w:color w:val="000000"/>
                <w:sz w:val="20"/>
                <w:szCs w:val="20"/>
              </w:rPr>
            </w:pPr>
          </w:p>
        </w:tc>
        <w:tc>
          <w:tcPr>
            <w:tcW w:w="1252" w:type="dxa"/>
            <w:noWrap/>
            <w:vAlign w:val="center"/>
          </w:tcPr>
          <w:p w14:paraId="659EC53C">
            <w:pPr>
              <w:jc w:val="center"/>
              <w:rPr>
                <w:color w:val="000000"/>
                <w:sz w:val="20"/>
                <w:szCs w:val="20"/>
              </w:rPr>
            </w:pPr>
            <w:r>
              <w:rPr>
                <w:color w:val="000000"/>
                <w:sz w:val="20"/>
                <w:szCs w:val="20"/>
              </w:rPr>
              <w:t>10.000.000</w:t>
            </w:r>
          </w:p>
        </w:tc>
        <w:tc>
          <w:tcPr>
            <w:tcW w:w="1848" w:type="dxa"/>
            <w:noWrap/>
            <w:vAlign w:val="center"/>
          </w:tcPr>
          <w:p w14:paraId="17016A5D">
            <w:pPr>
              <w:jc w:val="center"/>
              <w:rPr>
                <w:color w:val="000000"/>
                <w:sz w:val="20"/>
                <w:szCs w:val="20"/>
              </w:rPr>
            </w:pPr>
            <w:r>
              <w:rPr>
                <w:color w:val="000000"/>
                <w:sz w:val="20"/>
                <w:szCs w:val="20"/>
              </w:rPr>
              <w:t>900.000.000</w:t>
            </w:r>
          </w:p>
        </w:tc>
      </w:tr>
      <w:tr w14:paraId="09F3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9208F58">
            <w:pPr>
              <w:jc w:val="center"/>
              <w:rPr>
                <w:b/>
                <w:bCs/>
                <w:color w:val="000000"/>
                <w:sz w:val="20"/>
                <w:szCs w:val="20"/>
              </w:rPr>
            </w:pPr>
            <w:r>
              <w:rPr>
                <w:b/>
                <w:bCs/>
                <w:color w:val="000000"/>
                <w:sz w:val="20"/>
                <w:szCs w:val="20"/>
              </w:rPr>
              <w:t>LK44</w:t>
            </w:r>
          </w:p>
        </w:tc>
        <w:tc>
          <w:tcPr>
            <w:tcW w:w="1802" w:type="dxa"/>
            <w:vAlign w:val="center"/>
          </w:tcPr>
          <w:p w14:paraId="1127D373">
            <w:pPr>
              <w:jc w:val="center"/>
              <w:rPr>
                <w:color w:val="000000"/>
                <w:sz w:val="20"/>
                <w:szCs w:val="20"/>
              </w:rPr>
            </w:pPr>
            <w:r>
              <w:rPr>
                <w:color w:val="000000"/>
                <w:sz w:val="20"/>
                <w:szCs w:val="20"/>
              </w:rPr>
              <w:t>LK44:03</w:t>
            </w:r>
          </w:p>
        </w:tc>
        <w:tc>
          <w:tcPr>
            <w:tcW w:w="1033" w:type="dxa"/>
            <w:noWrap/>
            <w:vAlign w:val="center"/>
          </w:tcPr>
          <w:p w14:paraId="3FE7AA42">
            <w:pPr>
              <w:jc w:val="center"/>
              <w:rPr>
                <w:color w:val="000000"/>
                <w:sz w:val="20"/>
                <w:szCs w:val="20"/>
              </w:rPr>
            </w:pPr>
            <w:r>
              <w:rPr>
                <w:color w:val="000000"/>
                <w:sz w:val="20"/>
                <w:szCs w:val="20"/>
              </w:rPr>
              <w:t>90,00</w:t>
            </w:r>
          </w:p>
        </w:tc>
        <w:tc>
          <w:tcPr>
            <w:tcW w:w="846" w:type="dxa"/>
            <w:noWrap/>
            <w:vAlign w:val="center"/>
          </w:tcPr>
          <w:p w14:paraId="357B8AC2">
            <w:pPr>
              <w:jc w:val="center"/>
              <w:rPr>
                <w:color w:val="000000"/>
                <w:sz w:val="20"/>
                <w:szCs w:val="20"/>
              </w:rPr>
            </w:pPr>
            <w:r>
              <w:rPr>
                <w:color w:val="000000"/>
                <w:sz w:val="20"/>
                <w:szCs w:val="20"/>
              </w:rPr>
              <w:t>1</w:t>
            </w:r>
          </w:p>
        </w:tc>
        <w:tc>
          <w:tcPr>
            <w:tcW w:w="2578" w:type="dxa"/>
            <w:noWrap/>
            <w:vAlign w:val="center"/>
          </w:tcPr>
          <w:p w14:paraId="5F86F3B7">
            <w:pPr>
              <w:jc w:val="center"/>
              <w:rPr>
                <w:color w:val="000000"/>
                <w:sz w:val="20"/>
                <w:szCs w:val="20"/>
              </w:rPr>
            </w:pPr>
            <w:r>
              <w:rPr>
                <w:color w:val="000000"/>
                <w:sz w:val="20"/>
                <w:szCs w:val="20"/>
              </w:rPr>
              <w:t>Mặt cắt 3-3</w:t>
            </w:r>
          </w:p>
        </w:tc>
        <w:tc>
          <w:tcPr>
            <w:tcW w:w="2393" w:type="dxa"/>
            <w:noWrap/>
            <w:vAlign w:val="center"/>
          </w:tcPr>
          <w:p w14:paraId="57409902">
            <w:pPr>
              <w:jc w:val="center"/>
              <w:rPr>
                <w:color w:val="000000"/>
                <w:sz w:val="20"/>
                <w:szCs w:val="20"/>
              </w:rPr>
            </w:pPr>
            <w:r>
              <w:rPr>
                <w:color w:val="000000"/>
                <w:sz w:val="20"/>
                <w:szCs w:val="20"/>
              </w:rPr>
              <w:t>Một mặt tiền</w:t>
            </w:r>
          </w:p>
        </w:tc>
        <w:tc>
          <w:tcPr>
            <w:tcW w:w="1198" w:type="dxa"/>
            <w:noWrap/>
            <w:vAlign w:val="center"/>
          </w:tcPr>
          <w:p w14:paraId="643AC049">
            <w:pPr>
              <w:jc w:val="center"/>
              <w:rPr>
                <w:color w:val="000000"/>
                <w:sz w:val="20"/>
                <w:szCs w:val="20"/>
              </w:rPr>
            </w:pPr>
            <w:r>
              <w:rPr>
                <w:color w:val="000000"/>
                <w:sz w:val="20"/>
                <w:szCs w:val="20"/>
              </w:rPr>
              <w:t>10.000.000</w:t>
            </w:r>
          </w:p>
        </w:tc>
        <w:tc>
          <w:tcPr>
            <w:tcW w:w="1236" w:type="dxa"/>
            <w:noWrap/>
            <w:vAlign w:val="center"/>
          </w:tcPr>
          <w:p w14:paraId="3CEF9333">
            <w:pPr>
              <w:jc w:val="center"/>
              <w:rPr>
                <w:color w:val="000000"/>
                <w:sz w:val="20"/>
                <w:szCs w:val="20"/>
              </w:rPr>
            </w:pPr>
          </w:p>
        </w:tc>
        <w:tc>
          <w:tcPr>
            <w:tcW w:w="1252" w:type="dxa"/>
            <w:noWrap/>
            <w:vAlign w:val="center"/>
          </w:tcPr>
          <w:p w14:paraId="4DEEEDD5">
            <w:pPr>
              <w:jc w:val="center"/>
              <w:rPr>
                <w:color w:val="000000"/>
                <w:sz w:val="20"/>
                <w:szCs w:val="20"/>
              </w:rPr>
            </w:pPr>
            <w:r>
              <w:rPr>
                <w:color w:val="000000"/>
                <w:sz w:val="20"/>
                <w:szCs w:val="20"/>
              </w:rPr>
              <w:t>10.000.000</w:t>
            </w:r>
          </w:p>
        </w:tc>
        <w:tc>
          <w:tcPr>
            <w:tcW w:w="1848" w:type="dxa"/>
            <w:noWrap/>
            <w:vAlign w:val="center"/>
          </w:tcPr>
          <w:p w14:paraId="6226EA34">
            <w:pPr>
              <w:jc w:val="center"/>
              <w:rPr>
                <w:color w:val="000000"/>
                <w:sz w:val="20"/>
                <w:szCs w:val="20"/>
              </w:rPr>
            </w:pPr>
            <w:r>
              <w:rPr>
                <w:color w:val="000000"/>
                <w:sz w:val="20"/>
                <w:szCs w:val="20"/>
              </w:rPr>
              <w:t>900.000.000</w:t>
            </w:r>
          </w:p>
        </w:tc>
      </w:tr>
      <w:tr w14:paraId="5239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328D59">
            <w:pPr>
              <w:jc w:val="center"/>
              <w:rPr>
                <w:b/>
                <w:bCs/>
                <w:color w:val="000000"/>
                <w:sz w:val="20"/>
                <w:szCs w:val="20"/>
              </w:rPr>
            </w:pPr>
            <w:r>
              <w:rPr>
                <w:b/>
                <w:bCs/>
                <w:color w:val="000000"/>
                <w:sz w:val="20"/>
                <w:szCs w:val="20"/>
              </w:rPr>
              <w:t>LK44</w:t>
            </w:r>
          </w:p>
        </w:tc>
        <w:tc>
          <w:tcPr>
            <w:tcW w:w="1802" w:type="dxa"/>
            <w:vAlign w:val="center"/>
          </w:tcPr>
          <w:p w14:paraId="76657322">
            <w:pPr>
              <w:jc w:val="center"/>
              <w:rPr>
                <w:color w:val="000000"/>
                <w:sz w:val="20"/>
                <w:szCs w:val="20"/>
              </w:rPr>
            </w:pPr>
            <w:r>
              <w:rPr>
                <w:color w:val="000000"/>
                <w:sz w:val="20"/>
                <w:szCs w:val="20"/>
              </w:rPr>
              <w:t>LK44:04</w:t>
            </w:r>
          </w:p>
        </w:tc>
        <w:tc>
          <w:tcPr>
            <w:tcW w:w="1033" w:type="dxa"/>
            <w:noWrap/>
            <w:vAlign w:val="center"/>
          </w:tcPr>
          <w:p w14:paraId="2CFEDD75">
            <w:pPr>
              <w:jc w:val="center"/>
              <w:rPr>
                <w:color w:val="000000"/>
                <w:sz w:val="20"/>
                <w:szCs w:val="20"/>
              </w:rPr>
            </w:pPr>
            <w:r>
              <w:rPr>
                <w:color w:val="000000"/>
                <w:sz w:val="20"/>
                <w:szCs w:val="20"/>
              </w:rPr>
              <w:t>90,00</w:t>
            </w:r>
          </w:p>
        </w:tc>
        <w:tc>
          <w:tcPr>
            <w:tcW w:w="846" w:type="dxa"/>
            <w:noWrap/>
            <w:vAlign w:val="center"/>
          </w:tcPr>
          <w:p w14:paraId="48829FF4">
            <w:pPr>
              <w:jc w:val="center"/>
              <w:rPr>
                <w:color w:val="000000"/>
                <w:sz w:val="20"/>
                <w:szCs w:val="20"/>
              </w:rPr>
            </w:pPr>
            <w:r>
              <w:rPr>
                <w:color w:val="000000"/>
                <w:sz w:val="20"/>
                <w:szCs w:val="20"/>
              </w:rPr>
              <w:t>1</w:t>
            </w:r>
          </w:p>
        </w:tc>
        <w:tc>
          <w:tcPr>
            <w:tcW w:w="2578" w:type="dxa"/>
            <w:noWrap/>
            <w:vAlign w:val="center"/>
          </w:tcPr>
          <w:p w14:paraId="563F344C">
            <w:pPr>
              <w:jc w:val="center"/>
              <w:rPr>
                <w:color w:val="000000"/>
                <w:sz w:val="20"/>
                <w:szCs w:val="20"/>
              </w:rPr>
            </w:pPr>
            <w:r>
              <w:rPr>
                <w:color w:val="000000"/>
                <w:sz w:val="20"/>
                <w:szCs w:val="20"/>
              </w:rPr>
              <w:t>Mặt cắt 3-3</w:t>
            </w:r>
          </w:p>
        </w:tc>
        <w:tc>
          <w:tcPr>
            <w:tcW w:w="2393" w:type="dxa"/>
            <w:noWrap/>
            <w:vAlign w:val="center"/>
          </w:tcPr>
          <w:p w14:paraId="51C62D96">
            <w:pPr>
              <w:jc w:val="center"/>
              <w:rPr>
                <w:color w:val="000000"/>
                <w:sz w:val="20"/>
                <w:szCs w:val="20"/>
              </w:rPr>
            </w:pPr>
            <w:r>
              <w:rPr>
                <w:color w:val="000000"/>
                <w:sz w:val="20"/>
                <w:szCs w:val="20"/>
              </w:rPr>
              <w:t>Một mặt tiền</w:t>
            </w:r>
          </w:p>
        </w:tc>
        <w:tc>
          <w:tcPr>
            <w:tcW w:w="1198" w:type="dxa"/>
            <w:noWrap/>
            <w:vAlign w:val="center"/>
          </w:tcPr>
          <w:p w14:paraId="3ACFB580">
            <w:pPr>
              <w:jc w:val="center"/>
              <w:rPr>
                <w:color w:val="000000"/>
                <w:sz w:val="20"/>
                <w:szCs w:val="20"/>
              </w:rPr>
            </w:pPr>
            <w:r>
              <w:rPr>
                <w:color w:val="000000"/>
                <w:sz w:val="20"/>
                <w:szCs w:val="20"/>
              </w:rPr>
              <w:t>10.000.000</w:t>
            </w:r>
          </w:p>
        </w:tc>
        <w:tc>
          <w:tcPr>
            <w:tcW w:w="1236" w:type="dxa"/>
            <w:noWrap/>
            <w:vAlign w:val="center"/>
          </w:tcPr>
          <w:p w14:paraId="4D72B974">
            <w:pPr>
              <w:jc w:val="center"/>
              <w:rPr>
                <w:color w:val="000000"/>
                <w:sz w:val="20"/>
                <w:szCs w:val="20"/>
              </w:rPr>
            </w:pPr>
          </w:p>
        </w:tc>
        <w:tc>
          <w:tcPr>
            <w:tcW w:w="1252" w:type="dxa"/>
            <w:noWrap/>
            <w:vAlign w:val="center"/>
          </w:tcPr>
          <w:p w14:paraId="45417BB2">
            <w:pPr>
              <w:jc w:val="center"/>
              <w:rPr>
                <w:color w:val="000000"/>
                <w:sz w:val="20"/>
                <w:szCs w:val="20"/>
              </w:rPr>
            </w:pPr>
            <w:r>
              <w:rPr>
                <w:color w:val="000000"/>
                <w:sz w:val="20"/>
                <w:szCs w:val="20"/>
              </w:rPr>
              <w:t>10.000.000</w:t>
            </w:r>
          </w:p>
        </w:tc>
        <w:tc>
          <w:tcPr>
            <w:tcW w:w="1848" w:type="dxa"/>
            <w:noWrap/>
            <w:vAlign w:val="center"/>
          </w:tcPr>
          <w:p w14:paraId="7C332C5C">
            <w:pPr>
              <w:jc w:val="center"/>
              <w:rPr>
                <w:color w:val="000000"/>
                <w:sz w:val="20"/>
                <w:szCs w:val="20"/>
              </w:rPr>
            </w:pPr>
            <w:r>
              <w:rPr>
                <w:color w:val="000000"/>
                <w:sz w:val="20"/>
                <w:szCs w:val="20"/>
              </w:rPr>
              <w:t>900.000.000</w:t>
            </w:r>
          </w:p>
        </w:tc>
      </w:tr>
      <w:tr w14:paraId="5516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B3A5580">
            <w:pPr>
              <w:jc w:val="center"/>
              <w:rPr>
                <w:b/>
                <w:bCs/>
                <w:color w:val="000000"/>
                <w:sz w:val="20"/>
                <w:szCs w:val="20"/>
              </w:rPr>
            </w:pPr>
            <w:r>
              <w:rPr>
                <w:b/>
                <w:bCs/>
                <w:color w:val="000000"/>
                <w:sz w:val="20"/>
                <w:szCs w:val="20"/>
              </w:rPr>
              <w:t>LK44</w:t>
            </w:r>
          </w:p>
        </w:tc>
        <w:tc>
          <w:tcPr>
            <w:tcW w:w="1802" w:type="dxa"/>
            <w:vAlign w:val="center"/>
          </w:tcPr>
          <w:p w14:paraId="57EED662">
            <w:pPr>
              <w:jc w:val="center"/>
              <w:rPr>
                <w:color w:val="000000"/>
                <w:sz w:val="20"/>
                <w:szCs w:val="20"/>
              </w:rPr>
            </w:pPr>
            <w:r>
              <w:rPr>
                <w:color w:val="000000"/>
                <w:sz w:val="20"/>
                <w:szCs w:val="20"/>
              </w:rPr>
              <w:t>LK44:05</w:t>
            </w:r>
          </w:p>
        </w:tc>
        <w:tc>
          <w:tcPr>
            <w:tcW w:w="1033" w:type="dxa"/>
            <w:noWrap/>
            <w:vAlign w:val="center"/>
          </w:tcPr>
          <w:p w14:paraId="00A34100">
            <w:pPr>
              <w:jc w:val="center"/>
              <w:rPr>
                <w:color w:val="000000"/>
                <w:sz w:val="20"/>
                <w:szCs w:val="20"/>
              </w:rPr>
            </w:pPr>
            <w:r>
              <w:rPr>
                <w:color w:val="000000"/>
                <w:sz w:val="20"/>
                <w:szCs w:val="20"/>
              </w:rPr>
              <w:t>90,00</w:t>
            </w:r>
          </w:p>
        </w:tc>
        <w:tc>
          <w:tcPr>
            <w:tcW w:w="846" w:type="dxa"/>
            <w:noWrap/>
            <w:vAlign w:val="center"/>
          </w:tcPr>
          <w:p w14:paraId="120156D9">
            <w:pPr>
              <w:jc w:val="center"/>
              <w:rPr>
                <w:color w:val="000000"/>
                <w:sz w:val="20"/>
                <w:szCs w:val="20"/>
              </w:rPr>
            </w:pPr>
            <w:r>
              <w:rPr>
                <w:color w:val="000000"/>
                <w:sz w:val="20"/>
                <w:szCs w:val="20"/>
              </w:rPr>
              <w:t>1</w:t>
            </w:r>
          </w:p>
        </w:tc>
        <w:tc>
          <w:tcPr>
            <w:tcW w:w="2578" w:type="dxa"/>
            <w:noWrap/>
            <w:vAlign w:val="center"/>
          </w:tcPr>
          <w:p w14:paraId="586D7F00">
            <w:pPr>
              <w:jc w:val="center"/>
              <w:rPr>
                <w:color w:val="000000"/>
                <w:sz w:val="20"/>
                <w:szCs w:val="20"/>
              </w:rPr>
            </w:pPr>
            <w:r>
              <w:rPr>
                <w:color w:val="000000"/>
                <w:sz w:val="20"/>
                <w:szCs w:val="20"/>
              </w:rPr>
              <w:t>Mặt cắt 3-3</w:t>
            </w:r>
          </w:p>
        </w:tc>
        <w:tc>
          <w:tcPr>
            <w:tcW w:w="2393" w:type="dxa"/>
            <w:noWrap/>
            <w:vAlign w:val="center"/>
          </w:tcPr>
          <w:p w14:paraId="7BAE02DE">
            <w:pPr>
              <w:jc w:val="center"/>
              <w:rPr>
                <w:color w:val="000000"/>
                <w:sz w:val="20"/>
                <w:szCs w:val="20"/>
              </w:rPr>
            </w:pPr>
            <w:r>
              <w:rPr>
                <w:color w:val="000000"/>
                <w:sz w:val="20"/>
                <w:szCs w:val="20"/>
              </w:rPr>
              <w:t>Một mặt tiền</w:t>
            </w:r>
          </w:p>
        </w:tc>
        <w:tc>
          <w:tcPr>
            <w:tcW w:w="1198" w:type="dxa"/>
            <w:noWrap/>
            <w:vAlign w:val="center"/>
          </w:tcPr>
          <w:p w14:paraId="5DB0FB54">
            <w:pPr>
              <w:jc w:val="center"/>
              <w:rPr>
                <w:color w:val="000000"/>
                <w:sz w:val="20"/>
                <w:szCs w:val="20"/>
              </w:rPr>
            </w:pPr>
            <w:r>
              <w:rPr>
                <w:color w:val="000000"/>
                <w:sz w:val="20"/>
                <w:szCs w:val="20"/>
              </w:rPr>
              <w:t>10.000.000</w:t>
            </w:r>
          </w:p>
        </w:tc>
        <w:tc>
          <w:tcPr>
            <w:tcW w:w="1236" w:type="dxa"/>
            <w:noWrap/>
            <w:vAlign w:val="center"/>
          </w:tcPr>
          <w:p w14:paraId="69A6A8F1">
            <w:pPr>
              <w:jc w:val="center"/>
              <w:rPr>
                <w:color w:val="000000"/>
                <w:sz w:val="20"/>
                <w:szCs w:val="20"/>
              </w:rPr>
            </w:pPr>
          </w:p>
        </w:tc>
        <w:tc>
          <w:tcPr>
            <w:tcW w:w="1252" w:type="dxa"/>
            <w:noWrap/>
            <w:vAlign w:val="center"/>
          </w:tcPr>
          <w:p w14:paraId="39AC272D">
            <w:pPr>
              <w:jc w:val="center"/>
              <w:rPr>
                <w:color w:val="000000"/>
                <w:sz w:val="20"/>
                <w:szCs w:val="20"/>
              </w:rPr>
            </w:pPr>
            <w:r>
              <w:rPr>
                <w:color w:val="000000"/>
                <w:sz w:val="20"/>
                <w:szCs w:val="20"/>
              </w:rPr>
              <w:t>10.000.000</w:t>
            </w:r>
          </w:p>
        </w:tc>
        <w:tc>
          <w:tcPr>
            <w:tcW w:w="1848" w:type="dxa"/>
            <w:noWrap/>
            <w:vAlign w:val="center"/>
          </w:tcPr>
          <w:p w14:paraId="1C67CC55">
            <w:pPr>
              <w:jc w:val="center"/>
              <w:rPr>
                <w:color w:val="000000"/>
                <w:sz w:val="20"/>
                <w:szCs w:val="20"/>
              </w:rPr>
            </w:pPr>
            <w:r>
              <w:rPr>
                <w:color w:val="000000"/>
                <w:sz w:val="20"/>
                <w:szCs w:val="20"/>
              </w:rPr>
              <w:t>900.000.000</w:t>
            </w:r>
          </w:p>
        </w:tc>
      </w:tr>
      <w:tr w14:paraId="1D49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C5B439">
            <w:pPr>
              <w:jc w:val="center"/>
              <w:rPr>
                <w:b/>
                <w:bCs/>
                <w:color w:val="000000"/>
                <w:sz w:val="20"/>
                <w:szCs w:val="20"/>
              </w:rPr>
            </w:pPr>
            <w:r>
              <w:rPr>
                <w:b/>
                <w:bCs/>
                <w:color w:val="000000"/>
                <w:sz w:val="20"/>
                <w:szCs w:val="20"/>
              </w:rPr>
              <w:t>LK44</w:t>
            </w:r>
          </w:p>
        </w:tc>
        <w:tc>
          <w:tcPr>
            <w:tcW w:w="1802" w:type="dxa"/>
            <w:vAlign w:val="center"/>
          </w:tcPr>
          <w:p w14:paraId="279FC447">
            <w:pPr>
              <w:jc w:val="center"/>
              <w:rPr>
                <w:color w:val="000000"/>
                <w:sz w:val="20"/>
                <w:szCs w:val="20"/>
              </w:rPr>
            </w:pPr>
            <w:r>
              <w:rPr>
                <w:color w:val="000000"/>
                <w:sz w:val="20"/>
                <w:szCs w:val="20"/>
              </w:rPr>
              <w:t>LK44:06</w:t>
            </w:r>
          </w:p>
        </w:tc>
        <w:tc>
          <w:tcPr>
            <w:tcW w:w="1033" w:type="dxa"/>
            <w:noWrap/>
            <w:vAlign w:val="center"/>
          </w:tcPr>
          <w:p w14:paraId="37399BE7">
            <w:pPr>
              <w:jc w:val="center"/>
              <w:rPr>
                <w:color w:val="000000"/>
                <w:sz w:val="20"/>
                <w:szCs w:val="20"/>
              </w:rPr>
            </w:pPr>
            <w:r>
              <w:rPr>
                <w:color w:val="000000"/>
                <w:sz w:val="20"/>
                <w:szCs w:val="20"/>
              </w:rPr>
              <w:t>90,00</w:t>
            </w:r>
          </w:p>
        </w:tc>
        <w:tc>
          <w:tcPr>
            <w:tcW w:w="846" w:type="dxa"/>
            <w:noWrap/>
            <w:vAlign w:val="center"/>
          </w:tcPr>
          <w:p w14:paraId="381ECB07">
            <w:pPr>
              <w:jc w:val="center"/>
              <w:rPr>
                <w:color w:val="000000"/>
                <w:sz w:val="20"/>
                <w:szCs w:val="20"/>
              </w:rPr>
            </w:pPr>
            <w:r>
              <w:rPr>
                <w:color w:val="000000"/>
                <w:sz w:val="20"/>
                <w:szCs w:val="20"/>
              </w:rPr>
              <w:t>1</w:t>
            </w:r>
          </w:p>
        </w:tc>
        <w:tc>
          <w:tcPr>
            <w:tcW w:w="2578" w:type="dxa"/>
            <w:noWrap/>
            <w:vAlign w:val="center"/>
          </w:tcPr>
          <w:p w14:paraId="105FAAC8">
            <w:pPr>
              <w:jc w:val="center"/>
              <w:rPr>
                <w:color w:val="000000"/>
                <w:sz w:val="20"/>
                <w:szCs w:val="20"/>
              </w:rPr>
            </w:pPr>
            <w:r>
              <w:rPr>
                <w:color w:val="000000"/>
                <w:sz w:val="20"/>
                <w:szCs w:val="20"/>
              </w:rPr>
              <w:t>Mặt cắt 3-3</w:t>
            </w:r>
          </w:p>
        </w:tc>
        <w:tc>
          <w:tcPr>
            <w:tcW w:w="2393" w:type="dxa"/>
            <w:noWrap/>
            <w:vAlign w:val="center"/>
          </w:tcPr>
          <w:p w14:paraId="412768F6">
            <w:pPr>
              <w:jc w:val="center"/>
              <w:rPr>
                <w:color w:val="000000"/>
                <w:sz w:val="20"/>
                <w:szCs w:val="20"/>
              </w:rPr>
            </w:pPr>
            <w:r>
              <w:rPr>
                <w:color w:val="000000"/>
                <w:sz w:val="20"/>
                <w:szCs w:val="20"/>
              </w:rPr>
              <w:t>Một mặt tiền</w:t>
            </w:r>
          </w:p>
        </w:tc>
        <w:tc>
          <w:tcPr>
            <w:tcW w:w="1198" w:type="dxa"/>
            <w:noWrap/>
            <w:vAlign w:val="center"/>
          </w:tcPr>
          <w:p w14:paraId="1FF288F3">
            <w:pPr>
              <w:jc w:val="center"/>
              <w:rPr>
                <w:color w:val="000000"/>
                <w:sz w:val="20"/>
                <w:szCs w:val="20"/>
              </w:rPr>
            </w:pPr>
            <w:r>
              <w:rPr>
                <w:color w:val="000000"/>
                <w:sz w:val="20"/>
                <w:szCs w:val="20"/>
              </w:rPr>
              <w:t>10.000.000</w:t>
            </w:r>
          </w:p>
        </w:tc>
        <w:tc>
          <w:tcPr>
            <w:tcW w:w="1236" w:type="dxa"/>
            <w:noWrap/>
            <w:vAlign w:val="center"/>
          </w:tcPr>
          <w:p w14:paraId="367C951D">
            <w:pPr>
              <w:jc w:val="center"/>
              <w:rPr>
                <w:color w:val="000000"/>
                <w:sz w:val="20"/>
                <w:szCs w:val="20"/>
              </w:rPr>
            </w:pPr>
          </w:p>
        </w:tc>
        <w:tc>
          <w:tcPr>
            <w:tcW w:w="1252" w:type="dxa"/>
            <w:noWrap/>
            <w:vAlign w:val="center"/>
          </w:tcPr>
          <w:p w14:paraId="64715445">
            <w:pPr>
              <w:jc w:val="center"/>
              <w:rPr>
                <w:color w:val="000000"/>
                <w:sz w:val="20"/>
                <w:szCs w:val="20"/>
              </w:rPr>
            </w:pPr>
            <w:r>
              <w:rPr>
                <w:color w:val="000000"/>
                <w:sz w:val="20"/>
                <w:szCs w:val="20"/>
              </w:rPr>
              <w:t>10.000.000</w:t>
            </w:r>
          </w:p>
        </w:tc>
        <w:tc>
          <w:tcPr>
            <w:tcW w:w="1848" w:type="dxa"/>
            <w:noWrap/>
            <w:vAlign w:val="center"/>
          </w:tcPr>
          <w:p w14:paraId="6ABAD9FE">
            <w:pPr>
              <w:jc w:val="center"/>
              <w:rPr>
                <w:color w:val="000000"/>
                <w:sz w:val="20"/>
                <w:szCs w:val="20"/>
              </w:rPr>
            </w:pPr>
            <w:r>
              <w:rPr>
                <w:color w:val="000000"/>
                <w:sz w:val="20"/>
                <w:szCs w:val="20"/>
              </w:rPr>
              <w:t>900.000.000</w:t>
            </w:r>
          </w:p>
        </w:tc>
      </w:tr>
      <w:tr w14:paraId="6CFC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53A9EE9">
            <w:pPr>
              <w:jc w:val="center"/>
              <w:rPr>
                <w:b/>
                <w:bCs/>
                <w:color w:val="000000"/>
                <w:sz w:val="20"/>
                <w:szCs w:val="20"/>
              </w:rPr>
            </w:pPr>
            <w:r>
              <w:rPr>
                <w:b/>
                <w:bCs/>
                <w:color w:val="000000"/>
                <w:sz w:val="20"/>
                <w:szCs w:val="20"/>
              </w:rPr>
              <w:t>LK44</w:t>
            </w:r>
          </w:p>
        </w:tc>
        <w:tc>
          <w:tcPr>
            <w:tcW w:w="1802" w:type="dxa"/>
            <w:vAlign w:val="center"/>
          </w:tcPr>
          <w:p w14:paraId="24EF1881">
            <w:pPr>
              <w:jc w:val="center"/>
              <w:rPr>
                <w:color w:val="000000"/>
                <w:sz w:val="20"/>
                <w:szCs w:val="20"/>
              </w:rPr>
            </w:pPr>
            <w:r>
              <w:rPr>
                <w:color w:val="000000"/>
                <w:sz w:val="20"/>
                <w:szCs w:val="20"/>
              </w:rPr>
              <w:t>LK44:07</w:t>
            </w:r>
          </w:p>
        </w:tc>
        <w:tc>
          <w:tcPr>
            <w:tcW w:w="1033" w:type="dxa"/>
            <w:noWrap/>
            <w:vAlign w:val="center"/>
          </w:tcPr>
          <w:p w14:paraId="038BC7C3">
            <w:pPr>
              <w:jc w:val="center"/>
              <w:rPr>
                <w:color w:val="000000"/>
                <w:sz w:val="20"/>
                <w:szCs w:val="20"/>
              </w:rPr>
            </w:pPr>
            <w:r>
              <w:rPr>
                <w:color w:val="000000"/>
                <w:sz w:val="20"/>
                <w:szCs w:val="20"/>
              </w:rPr>
              <w:t>90,00</w:t>
            </w:r>
          </w:p>
        </w:tc>
        <w:tc>
          <w:tcPr>
            <w:tcW w:w="846" w:type="dxa"/>
            <w:noWrap/>
            <w:vAlign w:val="center"/>
          </w:tcPr>
          <w:p w14:paraId="247B2E7A">
            <w:pPr>
              <w:jc w:val="center"/>
              <w:rPr>
                <w:color w:val="000000"/>
                <w:sz w:val="20"/>
                <w:szCs w:val="20"/>
              </w:rPr>
            </w:pPr>
            <w:r>
              <w:rPr>
                <w:color w:val="000000"/>
                <w:sz w:val="20"/>
                <w:szCs w:val="20"/>
              </w:rPr>
              <w:t>1</w:t>
            </w:r>
          </w:p>
        </w:tc>
        <w:tc>
          <w:tcPr>
            <w:tcW w:w="2578" w:type="dxa"/>
            <w:noWrap/>
            <w:vAlign w:val="center"/>
          </w:tcPr>
          <w:p w14:paraId="24B2BF5C">
            <w:pPr>
              <w:jc w:val="center"/>
              <w:rPr>
                <w:color w:val="000000"/>
                <w:sz w:val="20"/>
                <w:szCs w:val="20"/>
              </w:rPr>
            </w:pPr>
            <w:r>
              <w:rPr>
                <w:color w:val="000000"/>
                <w:sz w:val="20"/>
                <w:szCs w:val="20"/>
              </w:rPr>
              <w:t>Mặt cắt 3-3</w:t>
            </w:r>
          </w:p>
        </w:tc>
        <w:tc>
          <w:tcPr>
            <w:tcW w:w="2393" w:type="dxa"/>
            <w:noWrap/>
            <w:vAlign w:val="center"/>
          </w:tcPr>
          <w:p w14:paraId="7863F95F">
            <w:pPr>
              <w:jc w:val="center"/>
              <w:rPr>
                <w:color w:val="000000"/>
                <w:sz w:val="20"/>
                <w:szCs w:val="20"/>
              </w:rPr>
            </w:pPr>
            <w:r>
              <w:rPr>
                <w:color w:val="000000"/>
                <w:sz w:val="20"/>
                <w:szCs w:val="20"/>
              </w:rPr>
              <w:t>Một mặt tiền</w:t>
            </w:r>
          </w:p>
        </w:tc>
        <w:tc>
          <w:tcPr>
            <w:tcW w:w="1198" w:type="dxa"/>
            <w:noWrap/>
            <w:vAlign w:val="center"/>
          </w:tcPr>
          <w:p w14:paraId="2E62A042">
            <w:pPr>
              <w:jc w:val="center"/>
              <w:rPr>
                <w:color w:val="000000"/>
                <w:sz w:val="20"/>
                <w:szCs w:val="20"/>
              </w:rPr>
            </w:pPr>
            <w:r>
              <w:rPr>
                <w:color w:val="000000"/>
                <w:sz w:val="20"/>
                <w:szCs w:val="20"/>
              </w:rPr>
              <w:t>10.000.000</w:t>
            </w:r>
          </w:p>
        </w:tc>
        <w:tc>
          <w:tcPr>
            <w:tcW w:w="1236" w:type="dxa"/>
            <w:noWrap/>
            <w:vAlign w:val="center"/>
          </w:tcPr>
          <w:p w14:paraId="18AAC970">
            <w:pPr>
              <w:jc w:val="center"/>
              <w:rPr>
                <w:color w:val="000000"/>
                <w:sz w:val="20"/>
                <w:szCs w:val="20"/>
              </w:rPr>
            </w:pPr>
          </w:p>
        </w:tc>
        <w:tc>
          <w:tcPr>
            <w:tcW w:w="1252" w:type="dxa"/>
            <w:noWrap/>
            <w:vAlign w:val="center"/>
          </w:tcPr>
          <w:p w14:paraId="6AFE8FC6">
            <w:pPr>
              <w:jc w:val="center"/>
              <w:rPr>
                <w:color w:val="000000"/>
                <w:sz w:val="20"/>
                <w:szCs w:val="20"/>
              </w:rPr>
            </w:pPr>
            <w:r>
              <w:rPr>
                <w:color w:val="000000"/>
                <w:sz w:val="20"/>
                <w:szCs w:val="20"/>
              </w:rPr>
              <w:t>10.000.000</w:t>
            </w:r>
          </w:p>
        </w:tc>
        <w:tc>
          <w:tcPr>
            <w:tcW w:w="1848" w:type="dxa"/>
            <w:noWrap/>
            <w:vAlign w:val="center"/>
          </w:tcPr>
          <w:p w14:paraId="42DE80B6">
            <w:pPr>
              <w:jc w:val="center"/>
              <w:rPr>
                <w:color w:val="000000"/>
                <w:sz w:val="20"/>
                <w:szCs w:val="20"/>
              </w:rPr>
            </w:pPr>
            <w:r>
              <w:rPr>
                <w:color w:val="000000"/>
                <w:sz w:val="20"/>
                <w:szCs w:val="20"/>
              </w:rPr>
              <w:t>900.000.000</w:t>
            </w:r>
          </w:p>
        </w:tc>
      </w:tr>
      <w:tr w14:paraId="05A3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2D088D5">
            <w:pPr>
              <w:jc w:val="center"/>
              <w:rPr>
                <w:b/>
                <w:bCs/>
                <w:color w:val="000000"/>
                <w:sz w:val="20"/>
                <w:szCs w:val="20"/>
              </w:rPr>
            </w:pPr>
            <w:r>
              <w:rPr>
                <w:b/>
                <w:bCs/>
                <w:color w:val="000000"/>
                <w:sz w:val="20"/>
                <w:szCs w:val="20"/>
              </w:rPr>
              <w:t>LK44</w:t>
            </w:r>
          </w:p>
        </w:tc>
        <w:tc>
          <w:tcPr>
            <w:tcW w:w="1802" w:type="dxa"/>
            <w:vAlign w:val="center"/>
          </w:tcPr>
          <w:p w14:paraId="051E1ED6">
            <w:pPr>
              <w:jc w:val="center"/>
              <w:rPr>
                <w:color w:val="000000"/>
                <w:sz w:val="20"/>
                <w:szCs w:val="20"/>
              </w:rPr>
            </w:pPr>
            <w:r>
              <w:rPr>
                <w:color w:val="000000"/>
                <w:sz w:val="20"/>
                <w:szCs w:val="20"/>
              </w:rPr>
              <w:t>LK44:08</w:t>
            </w:r>
          </w:p>
        </w:tc>
        <w:tc>
          <w:tcPr>
            <w:tcW w:w="1033" w:type="dxa"/>
            <w:noWrap/>
            <w:vAlign w:val="center"/>
          </w:tcPr>
          <w:p w14:paraId="6F91A7D8">
            <w:pPr>
              <w:jc w:val="center"/>
              <w:rPr>
                <w:color w:val="000000"/>
                <w:sz w:val="20"/>
                <w:szCs w:val="20"/>
              </w:rPr>
            </w:pPr>
            <w:r>
              <w:rPr>
                <w:color w:val="000000"/>
                <w:sz w:val="20"/>
                <w:szCs w:val="20"/>
              </w:rPr>
              <w:t>90,00</w:t>
            </w:r>
          </w:p>
        </w:tc>
        <w:tc>
          <w:tcPr>
            <w:tcW w:w="846" w:type="dxa"/>
            <w:noWrap/>
            <w:vAlign w:val="center"/>
          </w:tcPr>
          <w:p w14:paraId="41E0FAD6">
            <w:pPr>
              <w:jc w:val="center"/>
              <w:rPr>
                <w:color w:val="000000"/>
                <w:sz w:val="20"/>
                <w:szCs w:val="20"/>
              </w:rPr>
            </w:pPr>
            <w:r>
              <w:rPr>
                <w:color w:val="000000"/>
                <w:sz w:val="20"/>
                <w:szCs w:val="20"/>
              </w:rPr>
              <w:t>1</w:t>
            </w:r>
          </w:p>
        </w:tc>
        <w:tc>
          <w:tcPr>
            <w:tcW w:w="2578" w:type="dxa"/>
            <w:noWrap/>
            <w:vAlign w:val="center"/>
          </w:tcPr>
          <w:p w14:paraId="6F03B6D6">
            <w:pPr>
              <w:jc w:val="center"/>
              <w:rPr>
                <w:color w:val="000000"/>
                <w:sz w:val="20"/>
                <w:szCs w:val="20"/>
              </w:rPr>
            </w:pPr>
            <w:r>
              <w:rPr>
                <w:color w:val="000000"/>
                <w:sz w:val="20"/>
                <w:szCs w:val="20"/>
              </w:rPr>
              <w:t>Mặt cắt 3-3</w:t>
            </w:r>
          </w:p>
        </w:tc>
        <w:tc>
          <w:tcPr>
            <w:tcW w:w="2393" w:type="dxa"/>
            <w:noWrap/>
            <w:vAlign w:val="center"/>
          </w:tcPr>
          <w:p w14:paraId="7C8A1A70">
            <w:pPr>
              <w:jc w:val="center"/>
              <w:rPr>
                <w:color w:val="000000"/>
                <w:sz w:val="20"/>
                <w:szCs w:val="20"/>
              </w:rPr>
            </w:pPr>
            <w:r>
              <w:rPr>
                <w:color w:val="000000"/>
                <w:sz w:val="20"/>
                <w:szCs w:val="20"/>
              </w:rPr>
              <w:t>Một mặt tiền</w:t>
            </w:r>
          </w:p>
        </w:tc>
        <w:tc>
          <w:tcPr>
            <w:tcW w:w="1198" w:type="dxa"/>
            <w:noWrap/>
            <w:vAlign w:val="center"/>
          </w:tcPr>
          <w:p w14:paraId="59252DB4">
            <w:pPr>
              <w:jc w:val="center"/>
              <w:rPr>
                <w:color w:val="000000"/>
                <w:sz w:val="20"/>
                <w:szCs w:val="20"/>
              </w:rPr>
            </w:pPr>
            <w:r>
              <w:rPr>
                <w:color w:val="000000"/>
                <w:sz w:val="20"/>
                <w:szCs w:val="20"/>
              </w:rPr>
              <w:t>10.000.000</w:t>
            </w:r>
          </w:p>
        </w:tc>
        <w:tc>
          <w:tcPr>
            <w:tcW w:w="1236" w:type="dxa"/>
            <w:noWrap/>
            <w:vAlign w:val="center"/>
          </w:tcPr>
          <w:p w14:paraId="02572557">
            <w:pPr>
              <w:jc w:val="center"/>
              <w:rPr>
                <w:color w:val="000000"/>
                <w:sz w:val="20"/>
                <w:szCs w:val="20"/>
              </w:rPr>
            </w:pPr>
          </w:p>
        </w:tc>
        <w:tc>
          <w:tcPr>
            <w:tcW w:w="1252" w:type="dxa"/>
            <w:noWrap/>
            <w:vAlign w:val="center"/>
          </w:tcPr>
          <w:p w14:paraId="64403100">
            <w:pPr>
              <w:jc w:val="center"/>
              <w:rPr>
                <w:color w:val="000000"/>
                <w:sz w:val="20"/>
                <w:szCs w:val="20"/>
              </w:rPr>
            </w:pPr>
            <w:r>
              <w:rPr>
                <w:color w:val="000000"/>
                <w:sz w:val="20"/>
                <w:szCs w:val="20"/>
              </w:rPr>
              <w:t>10.000.000</w:t>
            </w:r>
          </w:p>
        </w:tc>
        <w:tc>
          <w:tcPr>
            <w:tcW w:w="1848" w:type="dxa"/>
            <w:noWrap/>
            <w:vAlign w:val="center"/>
          </w:tcPr>
          <w:p w14:paraId="0DA4C843">
            <w:pPr>
              <w:jc w:val="center"/>
              <w:rPr>
                <w:color w:val="000000"/>
                <w:sz w:val="20"/>
                <w:szCs w:val="20"/>
              </w:rPr>
            </w:pPr>
            <w:r>
              <w:rPr>
                <w:color w:val="000000"/>
                <w:sz w:val="20"/>
                <w:szCs w:val="20"/>
              </w:rPr>
              <w:t>900.000.000</w:t>
            </w:r>
          </w:p>
        </w:tc>
      </w:tr>
      <w:tr w14:paraId="101C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AD03A36">
            <w:pPr>
              <w:jc w:val="center"/>
              <w:rPr>
                <w:b/>
                <w:bCs/>
                <w:color w:val="000000"/>
                <w:sz w:val="20"/>
                <w:szCs w:val="20"/>
              </w:rPr>
            </w:pPr>
            <w:r>
              <w:rPr>
                <w:b/>
                <w:bCs/>
                <w:color w:val="000000"/>
                <w:sz w:val="20"/>
                <w:szCs w:val="20"/>
              </w:rPr>
              <w:t>LK46</w:t>
            </w:r>
          </w:p>
        </w:tc>
        <w:tc>
          <w:tcPr>
            <w:tcW w:w="1802" w:type="dxa"/>
            <w:vAlign w:val="center"/>
          </w:tcPr>
          <w:p w14:paraId="51562CAB">
            <w:pPr>
              <w:jc w:val="center"/>
              <w:rPr>
                <w:color w:val="000000"/>
                <w:sz w:val="20"/>
                <w:szCs w:val="20"/>
              </w:rPr>
            </w:pPr>
            <w:r>
              <w:rPr>
                <w:color w:val="000000"/>
                <w:sz w:val="20"/>
                <w:szCs w:val="20"/>
              </w:rPr>
              <w:t>LK46:02</w:t>
            </w:r>
          </w:p>
        </w:tc>
        <w:tc>
          <w:tcPr>
            <w:tcW w:w="1033" w:type="dxa"/>
            <w:noWrap/>
            <w:vAlign w:val="center"/>
          </w:tcPr>
          <w:p w14:paraId="71FC6A1E">
            <w:pPr>
              <w:jc w:val="center"/>
              <w:rPr>
                <w:color w:val="000000"/>
                <w:sz w:val="20"/>
                <w:szCs w:val="20"/>
              </w:rPr>
            </w:pPr>
            <w:r>
              <w:rPr>
                <w:color w:val="000000"/>
                <w:sz w:val="20"/>
                <w:szCs w:val="20"/>
              </w:rPr>
              <w:t>90,00</w:t>
            </w:r>
          </w:p>
        </w:tc>
        <w:tc>
          <w:tcPr>
            <w:tcW w:w="846" w:type="dxa"/>
            <w:noWrap/>
            <w:vAlign w:val="center"/>
          </w:tcPr>
          <w:p w14:paraId="7B800478">
            <w:pPr>
              <w:jc w:val="center"/>
              <w:rPr>
                <w:color w:val="000000"/>
                <w:sz w:val="20"/>
                <w:szCs w:val="20"/>
              </w:rPr>
            </w:pPr>
            <w:r>
              <w:rPr>
                <w:color w:val="000000"/>
                <w:sz w:val="20"/>
                <w:szCs w:val="20"/>
              </w:rPr>
              <w:t>1</w:t>
            </w:r>
          </w:p>
        </w:tc>
        <w:tc>
          <w:tcPr>
            <w:tcW w:w="2578" w:type="dxa"/>
            <w:noWrap/>
            <w:vAlign w:val="center"/>
          </w:tcPr>
          <w:p w14:paraId="79386E4B">
            <w:pPr>
              <w:jc w:val="center"/>
              <w:rPr>
                <w:color w:val="000000"/>
                <w:sz w:val="20"/>
                <w:szCs w:val="20"/>
              </w:rPr>
            </w:pPr>
            <w:r>
              <w:rPr>
                <w:color w:val="000000"/>
                <w:sz w:val="20"/>
                <w:szCs w:val="20"/>
              </w:rPr>
              <w:t>Mặt cắt 3-3</w:t>
            </w:r>
          </w:p>
        </w:tc>
        <w:tc>
          <w:tcPr>
            <w:tcW w:w="2393" w:type="dxa"/>
            <w:noWrap/>
            <w:vAlign w:val="center"/>
          </w:tcPr>
          <w:p w14:paraId="04EC3972">
            <w:pPr>
              <w:jc w:val="center"/>
              <w:rPr>
                <w:color w:val="000000"/>
                <w:sz w:val="20"/>
                <w:szCs w:val="20"/>
              </w:rPr>
            </w:pPr>
            <w:r>
              <w:rPr>
                <w:color w:val="000000"/>
                <w:sz w:val="20"/>
                <w:szCs w:val="20"/>
              </w:rPr>
              <w:t>Một mặt tiền</w:t>
            </w:r>
          </w:p>
        </w:tc>
        <w:tc>
          <w:tcPr>
            <w:tcW w:w="1198" w:type="dxa"/>
            <w:noWrap/>
            <w:vAlign w:val="center"/>
          </w:tcPr>
          <w:p w14:paraId="75648A2D">
            <w:pPr>
              <w:jc w:val="center"/>
              <w:rPr>
                <w:color w:val="000000"/>
                <w:sz w:val="20"/>
                <w:szCs w:val="20"/>
              </w:rPr>
            </w:pPr>
            <w:r>
              <w:rPr>
                <w:color w:val="000000"/>
                <w:sz w:val="20"/>
                <w:szCs w:val="20"/>
              </w:rPr>
              <w:t>10.000.000</w:t>
            </w:r>
          </w:p>
        </w:tc>
        <w:tc>
          <w:tcPr>
            <w:tcW w:w="1236" w:type="dxa"/>
            <w:noWrap/>
            <w:vAlign w:val="center"/>
          </w:tcPr>
          <w:p w14:paraId="2D15D04B">
            <w:pPr>
              <w:jc w:val="center"/>
              <w:rPr>
                <w:color w:val="000000"/>
                <w:sz w:val="20"/>
                <w:szCs w:val="20"/>
              </w:rPr>
            </w:pPr>
          </w:p>
        </w:tc>
        <w:tc>
          <w:tcPr>
            <w:tcW w:w="1252" w:type="dxa"/>
            <w:noWrap/>
            <w:vAlign w:val="center"/>
          </w:tcPr>
          <w:p w14:paraId="38E48F1C">
            <w:pPr>
              <w:jc w:val="center"/>
              <w:rPr>
                <w:color w:val="000000"/>
                <w:sz w:val="20"/>
                <w:szCs w:val="20"/>
              </w:rPr>
            </w:pPr>
            <w:r>
              <w:rPr>
                <w:color w:val="000000"/>
                <w:sz w:val="20"/>
                <w:szCs w:val="20"/>
              </w:rPr>
              <w:t>10.000.000</w:t>
            </w:r>
          </w:p>
        </w:tc>
        <w:tc>
          <w:tcPr>
            <w:tcW w:w="1848" w:type="dxa"/>
            <w:noWrap/>
            <w:vAlign w:val="center"/>
          </w:tcPr>
          <w:p w14:paraId="3352F20D">
            <w:pPr>
              <w:jc w:val="center"/>
              <w:rPr>
                <w:color w:val="000000"/>
                <w:sz w:val="20"/>
                <w:szCs w:val="20"/>
              </w:rPr>
            </w:pPr>
            <w:r>
              <w:rPr>
                <w:color w:val="000000"/>
                <w:sz w:val="20"/>
                <w:szCs w:val="20"/>
              </w:rPr>
              <w:t>900.000.000</w:t>
            </w:r>
          </w:p>
        </w:tc>
      </w:tr>
      <w:tr w14:paraId="3E56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4EB6E25">
            <w:pPr>
              <w:jc w:val="center"/>
              <w:rPr>
                <w:b/>
                <w:bCs/>
                <w:color w:val="000000"/>
                <w:sz w:val="20"/>
                <w:szCs w:val="20"/>
              </w:rPr>
            </w:pPr>
            <w:r>
              <w:rPr>
                <w:b/>
                <w:bCs/>
                <w:color w:val="000000"/>
                <w:sz w:val="20"/>
                <w:szCs w:val="20"/>
              </w:rPr>
              <w:t>LK46</w:t>
            </w:r>
          </w:p>
        </w:tc>
        <w:tc>
          <w:tcPr>
            <w:tcW w:w="1802" w:type="dxa"/>
            <w:vAlign w:val="center"/>
          </w:tcPr>
          <w:p w14:paraId="46ED5B94">
            <w:pPr>
              <w:jc w:val="center"/>
              <w:rPr>
                <w:color w:val="000000"/>
                <w:sz w:val="20"/>
                <w:szCs w:val="20"/>
              </w:rPr>
            </w:pPr>
            <w:r>
              <w:rPr>
                <w:color w:val="000000"/>
                <w:sz w:val="20"/>
                <w:szCs w:val="20"/>
              </w:rPr>
              <w:t>LK46:03</w:t>
            </w:r>
          </w:p>
        </w:tc>
        <w:tc>
          <w:tcPr>
            <w:tcW w:w="1033" w:type="dxa"/>
            <w:noWrap/>
            <w:vAlign w:val="center"/>
          </w:tcPr>
          <w:p w14:paraId="1ADF2A50">
            <w:pPr>
              <w:jc w:val="center"/>
              <w:rPr>
                <w:color w:val="000000"/>
                <w:sz w:val="20"/>
                <w:szCs w:val="20"/>
              </w:rPr>
            </w:pPr>
            <w:r>
              <w:rPr>
                <w:color w:val="000000"/>
                <w:sz w:val="20"/>
                <w:szCs w:val="20"/>
              </w:rPr>
              <w:t>90,00</w:t>
            </w:r>
          </w:p>
        </w:tc>
        <w:tc>
          <w:tcPr>
            <w:tcW w:w="846" w:type="dxa"/>
            <w:noWrap/>
            <w:vAlign w:val="center"/>
          </w:tcPr>
          <w:p w14:paraId="7E6707F7">
            <w:pPr>
              <w:jc w:val="center"/>
              <w:rPr>
                <w:color w:val="000000"/>
                <w:sz w:val="20"/>
                <w:szCs w:val="20"/>
              </w:rPr>
            </w:pPr>
            <w:r>
              <w:rPr>
                <w:color w:val="000000"/>
                <w:sz w:val="20"/>
                <w:szCs w:val="20"/>
              </w:rPr>
              <w:t>1</w:t>
            </w:r>
          </w:p>
        </w:tc>
        <w:tc>
          <w:tcPr>
            <w:tcW w:w="2578" w:type="dxa"/>
            <w:noWrap/>
            <w:vAlign w:val="center"/>
          </w:tcPr>
          <w:p w14:paraId="51A984D1">
            <w:pPr>
              <w:jc w:val="center"/>
              <w:rPr>
                <w:color w:val="000000"/>
                <w:sz w:val="20"/>
                <w:szCs w:val="20"/>
              </w:rPr>
            </w:pPr>
            <w:r>
              <w:rPr>
                <w:color w:val="000000"/>
                <w:sz w:val="20"/>
                <w:szCs w:val="20"/>
              </w:rPr>
              <w:t>Mặt cắt 3-3</w:t>
            </w:r>
          </w:p>
        </w:tc>
        <w:tc>
          <w:tcPr>
            <w:tcW w:w="2393" w:type="dxa"/>
            <w:noWrap/>
            <w:vAlign w:val="center"/>
          </w:tcPr>
          <w:p w14:paraId="6F5929F4">
            <w:pPr>
              <w:jc w:val="center"/>
              <w:rPr>
                <w:color w:val="000000"/>
                <w:sz w:val="20"/>
                <w:szCs w:val="20"/>
              </w:rPr>
            </w:pPr>
            <w:r>
              <w:rPr>
                <w:color w:val="000000"/>
                <w:sz w:val="20"/>
                <w:szCs w:val="20"/>
              </w:rPr>
              <w:t>Một mặt tiền</w:t>
            </w:r>
          </w:p>
        </w:tc>
        <w:tc>
          <w:tcPr>
            <w:tcW w:w="1198" w:type="dxa"/>
            <w:noWrap/>
            <w:vAlign w:val="center"/>
          </w:tcPr>
          <w:p w14:paraId="4AAB6249">
            <w:pPr>
              <w:jc w:val="center"/>
              <w:rPr>
                <w:color w:val="000000"/>
                <w:sz w:val="20"/>
                <w:szCs w:val="20"/>
              </w:rPr>
            </w:pPr>
            <w:r>
              <w:rPr>
                <w:color w:val="000000"/>
                <w:sz w:val="20"/>
                <w:szCs w:val="20"/>
              </w:rPr>
              <w:t>10.000.000</w:t>
            </w:r>
          </w:p>
        </w:tc>
        <w:tc>
          <w:tcPr>
            <w:tcW w:w="1236" w:type="dxa"/>
            <w:noWrap/>
            <w:vAlign w:val="center"/>
          </w:tcPr>
          <w:p w14:paraId="2BE6730C">
            <w:pPr>
              <w:jc w:val="center"/>
              <w:rPr>
                <w:color w:val="000000"/>
                <w:sz w:val="20"/>
                <w:szCs w:val="20"/>
              </w:rPr>
            </w:pPr>
          </w:p>
        </w:tc>
        <w:tc>
          <w:tcPr>
            <w:tcW w:w="1252" w:type="dxa"/>
            <w:noWrap/>
            <w:vAlign w:val="center"/>
          </w:tcPr>
          <w:p w14:paraId="42D855BF">
            <w:pPr>
              <w:jc w:val="center"/>
              <w:rPr>
                <w:color w:val="000000"/>
                <w:sz w:val="20"/>
                <w:szCs w:val="20"/>
              </w:rPr>
            </w:pPr>
            <w:r>
              <w:rPr>
                <w:color w:val="000000"/>
                <w:sz w:val="20"/>
                <w:szCs w:val="20"/>
              </w:rPr>
              <w:t>10.000.000</w:t>
            </w:r>
          </w:p>
        </w:tc>
        <w:tc>
          <w:tcPr>
            <w:tcW w:w="1848" w:type="dxa"/>
            <w:noWrap/>
            <w:vAlign w:val="center"/>
          </w:tcPr>
          <w:p w14:paraId="005E57AF">
            <w:pPr>
              <w:jc w:val="center"/>
              <w:rPr>
                <w:color w:val="000000"/>
                <w:sz w:val="20"/>
                <w:szCs w:val="20"/>
              </w:rPr>
            </w:pPr>
            <w:r>
              <w:rPr>
                <w:color w:val="000000"/>
                <w:sz w:val="20"/>
                <w:szCs w:val="20"/>
              </w:rPr>
              <w:t>900.000.000</w:t>
            </w:r>
          </w:p>
        </w:tc>
      </w:tr>
      <w:tr w14:paraId="013C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6722622">
            <w:pPr>
              <w:jc w:val="center"/>
              <w:rPr>
                <w:b/>
                <w:bCs/>
                <w:color w:val="000000"/>
                <w:sz w:val="20"/>
                <w:szCs w:val="20"/>
              </w:rPr>
            </w:pPr>
            <w:r>
              <w:rPr>
                <w:b/>
                <w:bCs/>
                <w:color w:val="000000"/>
                <w:sz w:val="20"/>
                <w:szCs w:val="20"/>
              </w:rPr>
              <w:t>LK46</w:t>
            </w:r>
          </w:p>
        </w:tc>
        <w:tc>
          <w:tcPr>
            <w:tcW w:w="1802" w:type="dxa"/>
            <w:vAlign w:val="center"/>
          </w:tcPr>
          <w:p w14:paraId="342DB63A">
            <w:pPr>
              <w:jc w:val="center"/>
              <w:rPr>
                <w:color w:val="000000"/>
                <w:sz w:val="20"/>
                <w:szCs w:val="20"/>
              </w:rPr>
            </w:pPr>
            <w:r>
              <w:rPr>
                <w:color w:val="000000"/>
                <w:sz w:val="20"/>
                <w:szCs w:val="20"/>
              </w:rPr>
              <w:t>LK46:04</w:t>
            </w:r>
          </w:p>
        </w:tc>
        <w:tc>
          <w:tcPr>
            <w:tcW w:w="1033" w:type="dxa"/>
            <w:noWrap/>
            <w:vAlign w:val="center"/>
          </w:tcPr>
          <w:p w14:paraId="58B49AAC">
            <w:pPr>
              <w:jc w:val="center"/>
              <w:rPr>
                <w:color w:val="000000"/>
                <w:sz w:val="20"/>
                <w:szCs w:val="20"/>
              </w:rPr>
            </w:pPr>
            <w:r>
              <w:rPr>
                <w:color w:val="000000"/>
                <w:sz w:val="20"/>
                <w:szCs w:val="20"/>
              </w:rPr>
              <w:t>90,00</w:t>
            </w:r>
          </w:p>
        </w:tc>
        <w:tc>
          <w:tcPr>
            <w:tcW w:w="846" w:type="dxa"/>
            <w:noWrap/>
            <w:vAlign w:val="center"/>
          </w:tcPr>
          <w:p w14:paraId="239E9CE4">
            <w:pPr>
              <w:jc w:val="center"/>
              <w:rPr>
                <w:color w:val="000000"/>
                <w:sz w:val="20"/>
                <w:szCs w:val="20"/>
              </w:rPr>
            </w:pPr>
            <w:r>
              <w:rPr>
                <w:color w:val="000000"/>
                <w:sz w:val="20"/>
                <w:szCs w:val="20"/>
              </w:rPr>
              <w:t>1</w:t>
            </w:r>
          </w:p>
        </w:tc>
        <w:tc>
          <w:tcPr>
            <w:tcW w:w="2578" w:type="dxa"/>
            <w:noWrap/>
            <w:vAlign w:val="center"/>
          </w:tcPr>
          <w:p w14:paraId="16F59998">
            <w:pPr>
              <w:jc w:val="center"/>
              <w:rPr>
                <w:color w:val="000000"/>
                <w:sz w:val="20"/>
                <w:szCs w:val="20"/>
              </w:rPr>
            </w:pPr>
            <w:r>
              <w:rPr>
                <w:color w:val="000000"/>
                <w:sz w:val="20"/>
                <w:szCs w:val="20"/>
              </w:rPr>
              <w:t>Mặt cắt 3-3</w:t>
            </w:r>
          </w:p>
        </w:tc>
        <w:tc>
          <w:tcPr>
            <w:tcW w:w="2393" w:type="dxa"/>
            <w:noWrap/>
            <w:vAlign w:val="center"/>
          </w:tcPr>
          <w:p w14:paraId="671209A0">
            <w:pPr>
              <w:jc w:val="center"/>
              <w:rPr>
                <w:color w:val="000000"/>
                <w:sz w:val="20"/>
                <w:szCs w:val="20"/>
              </w:rPr>
            </w:pPr>
            <w:r>
              <w:rPr>
                <w:color w:val="000000"/>
                <w:sz w:val="20"/>
                <w:szCs w:val="20"/>
              </w:rPr>
              <w:t>Một mặt tiền</w:t>
            </w:r>
          </w:p>
        </w:tc>
        <w:tc>
          <w:tcPr>
            <w:tcW w:w="1198" w:type="dxa"/>
            <w:noWrap/>
            <w:vAlign w:val="center"/>
          </w:tcPr>
          <w:p w14:paraId="3A081BD0">
            <w:pPr>
              <w:jc w:val="center"/>
              <w:rPr>
                <w:color w:val="000000"/>
                <w:sz w:val="20"/>
                <w:szCs w:val="20"/>
              </w:rPr>
            </w:pPr>
            <w:r>
              <w:rPr>
                <w:color w:val="000000"/>
                <w:sz w:val="20"/>
                <w:szCs w:val="20"/>
              </w:rPr>
              <w:t>10.000.000</w:t>
            </w:r>
          </w:p>
        </w:tc>
        <w:tc>
          <w:tcPr>
            <w:tcW w:w="1236" w:type="dxa"/>
            <w:noWrap/>
            <w:vAlign w:val="center"/>
          </w:tcPr>
          <w:p w14:paraId="641FC87C">
            <w:pPr>
              <w:jc w:val="center"/>
              <w:rPr>
                <w:color w:val="000000"/>
                <w:sz w:val="20"/>
                <w:szCs w:val="20"/>
              </w:rPr>
            </w:pPr>
          </w:p>
        </w:tc>
        <w:tc>
          <w:tcPr>
            <w:tcW w:w="1252" w:type="dxa"/>
            <w:noWrap/>
            <w:vAlign w:val="center"/>
          </w:tcPr>
          <w:p w14:paraId="325B39A7">
            <w:pPr>
              <w:jc w:val="center"/>
              <w:rPr>
                <w:color w:val="000000"/>
                <w:sz w:val="20"/>
                <w:szCs w:val="20"/>
              </w:rPr>
            </w:pPr>
            <w:r>
              <w:rPr>
                <w:color w:val="000000"/>
                <w:sz w:val="20"/>
                <w:szCs w:val="20"/>
              </w:rPr>
              <w:t>10.000.000</w:t>
            </w:r>
          </w:p>
        </w:tc>
        <w:tc>
          <w:tcPr>
            <w:tcW w:w="1848" w:type="dxa"/>
            <w:noWrap/>
            <w:vAlign w:val="center"/>
          </w:tcPr>
          <w:p w14:paraId="70BF9820">
            <w:pPr>
              <w:jc w:val="center"/>
              <w:rPr>
                <w:color w:val="000000"/>
                <w:sz w:val="20"/>
                <w:szCs w:val="20"/>
              </w:rPr>
            </w:pPr>
            <w:r>
              <w:rPr>
                <w:color w:val="000000"/>
                <w:sz w:val="20"/>
                <w:szCs w:val="20"/>
              </w:rPr>
              <w:t>900.000.000</w:t>
            </w:r>
          </w:p>
        </w:tc>
      </w:tr>
      <w:tr w14:paraId="74CC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7406430">
            <w:pPr>
              <w:jc w:val="center"/>
              <w:rPr>
                <w:b/>
                <w:bCs/>
                <w:color w:val="000000"/>
                <w:sz w:val="20"/>
                <w:szCs w:val="20"/>
              </w:rPr>
            </w:pPr>
            <w:r>
              <w:rPr>
                <w:b/>
                <w:bCs/>
                <w:color w:val="000000"/>
                <w:sz w:val="20"/>
                <w:szCs w:val="20"/>
              </w:rPr>
              <w:t>LK46</w:t>
            </w:r>
          </w:p>
        </w:tc>
        <w:tc>
          <w:tcPr>
            <w:tcW w:w="1802" w:type="dxa"/>
            <w:vAlign w:val="center"/>
          </w:tcPr>
          <w:p w14:paraId="7C508E1B">
            <w:pPr>
              <w:jc w:val="center"/>
              <w:rPr>
                <w:color w:val="000000"/>
                <w:sz w:val="20"/>
                <w:szCs w:val="20"/>
              </w:rPr>
            </w:pPr>
            <w:r>
              <w:rPr>
                <w:color w:val="000000"/>
                <w:sz w:val="20"/>
                <w:szCs w:val="20"/>
              </w:rPr>
              <w:t>LK46:05</w:t>
            </w:r>
          </w:p>
        </w:tc>
        <w:tc>
          <w:tcPr>
            <w:tcW w:w="1033" w:type="dxa"/>
            <w:noWrap/>
            <w:vAlign w:val="center"/>
          </w:tcPr>
          <w:p w14:paraId="3968932D">
            <w:pPr>
              <w:jc w:val="center"/>
              <w:rPr>
                <w:color w:val="000000"/>
                <w:sz w:val="20"/>
                <w:szCs w:val="20"/>
              </w:rPr>
            </w:pPr>
            <w:r>
              <w:rPr>
                <w:color w:val="000000"/>
                <w:sz w:val="20"/>
                <w:szCs w:val="20"/>
              </w:rPr>
              <w:t>90,00</w:t>
            </w:r>
          </w:p>
        </w:tc>
        <w:tc>
          <w:tcPr>
            <w:tcW w:w="846" w:type="dxa"/>
            <w:noWrap/>
            <w:vAlign w:val="center"/>
          </w:tcPr>
          <w:p w14:paraId="7BE2F871">
            <w:pPr>
              <w:jc w:val="center"/>
              <w:rPr>
                <w:color w:val="000000"/>
                <w:sz w:val="20"/>
                <w:szCs w:val="20"/>
              </w:rPr>
            </w:pPr>
            <w:r>
              <w:rPr>
                <w:color w:val="000000"/>
                <w:sz w:val="20"/>
                <w:szCs w:val="20"/>
              </w:rPr>
              <w:t>1</w:t>
            </w:r>
          </w:p>
        </w:tc>
        <w:tc>
          <w:tcPr>
            <w:tcW w:w="2578" w:type="dxa"/>
            <w:noWrap/>
            <w:vAlign w:val="center"/>
          </w:tcPr>
          <w:p w14:paraId="4D61F1C0">
            <w:pPr>
              <w:jc w:val="center"/>
              <w:rPr>
                <w:color w:val="000000"/>
                <w:sz w:val="20"/>
                <w:szCs w:val="20"/>
              </w:rPr>
            </w:pPr>
            <w:r>
              <w:rPr>
                <w:color w:val="000000"/>
                <w:sz w:val="20"/>
                <w:szCs w:val="20"/>
              </w:rPr>
              <w:t>Mặt cắt 3-3</w:t>
            </w:r>
          </w:p>
        </w:tc>
        <w:tc>
          <w:tcPr>
            <w:tcW w:w="2393" w:type="dxa"/>
            <w:noWrap/>
            <w:vAlign w:val="center"/>
          </w:tcPr>
          <w:p w14:paraId="41841F67">
            <w:pPr>
              <w:jc w:val="center"/>
              <w:rPr>
                <w:color w:val="000000"/>
                <w:sz w:val="20"/>
                <w:szCs w:val="20"/>
              </w:rPr>
            </w:pPr>
            <w:r>
              <w:rPr>
                <w:color w:val="000000"/>
                <w:sz w:val="20"/>
                <w:szCs w:val="20"/>
              </w:rPr>
              <w:t>Một mặt tiền</w:t>
            </w:r>
          </w:p>
        </w:tc>
        <w:tc>
          <w:tcPr>
            <w:tcW w:w="1198" w:type="dxa"/>
            <w:noWrap/>
            <w:vAlign w:val="center"/>
          </w:tcPr>
          <w:p w14:paraId="04B5854B">
            <w:pPr>
              <w:jc w:val="center"/>
              <w:rPr>
                <w:color w:val="000000"/>
                <w:sz w:val="20"/>
                <w:szCs w:val="20"/>
              </w:rPr>
            </w:pPr>
            <w:r>
              <w:rPr>
                <w:color w:val="000000"/>
                <w:sz w:val="20"/>
                <w:szCs w:val="20"/>
              </w:rPr>
              <w:t>10.000.000</w:t>
            </w:r>
          </w:p>
        </w:tc>
        <w:tc>
          <w:tcPr>
            <w:tcW w:w="1236" w:type="dxa"/>
            <w:noWrap/>
            <w:vAlign w:val="center"/>
          </w:tcPr>
          <w:p w14:paraId="42C73DAD">
            <w:pPr>
              <w:jc w:val="center"/>
              <w:rPr>
                <w:color w:val="000000"/>
                <w:sz w:val="20"/>
                <w:szCs w:val="20"/>
              </w:rPr>
            </w:pPr>
          </w:p>
        </w:tc>
        <w:tc>
          <w:tcPr>
            <w:tcW w:w="1252" w:type="dxa"/>
            <w:noWrap/>
            <w:vAlign w:val="center"/>
          </w:tcPr>
          <w:p w14:paraId="7095EEDC">
            <w:pPr>
              <w:jc w:val="center"/>
              <w:rPr>
                <w:color w:val="000000"/>
                <w:sz w:val="20"/>
                <w:szCs w:val="20"/>
              </w:rPr>
            </w:pPr>
            <w:r>
              <w:rPr>
                <w:color w:val="000000"/>
                <w:sz w:val="20"/>
                <w:szCs w:val="20"/>
              </w:rPr>
              <w:t>10.000.000</w:t>
            </w:r>
          </w:p>
        </w:tc>
        <w:tc>
          <w:tcPr>
            <w:tcW w:w="1848" w:type="dxa"/>
            <w:noWrap/>
            <w:vAlign w:val="center"/>
          </w:tcPr>
          <w:p w14:paraId="42F96608">
            <w:pPr>
              <w:jc w:val="center"/>
              <w:rPr>
                <w:color w:val="000000"/>
                <w:sz w:val="20"/>
                <w:szCs w:val="20"/>
              </w:rPr>
            </w:pPr>
            <w:r>
              <w:rPr>
                <w:color w:val="000000"/>
                <w:sz w:val="20"/>
                <w:szCs w:val="20"/>
              </w:rPr>
              <w:t>900.000.000</w:t>
            </w:r>
          </w:p>
        </w:tc>
      </w:tr>
      <w:tr w14:paraId="329B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627D7AD">
            <w:pPr>
              <w:jc w:val="center"/>
              <w:rPr>
                <w:b/>
                <w:bCs/>
                <w:color w:val="000000"/>
                <w:sz w:val="20"/>
                <w:szCs w:val="20"/>
              </w:rPr>
            </w:pPr>
            <w:r>
              <w:rPr>
                <w:b/>
                <w:bCs/>
                <w:color w:val="000000"/>
                <w:sz w:val="20"/>
                <w:szCs w:val="20"/>
              </w:rPr>
              <w:t>LK46</w:t>
            </w:r>
          </w:p>
        </w:tc>
        <w:tc>
          <w:tcPr>
            <w:tcW w:w="1802" w:type="dxa"/>
            <w:vAlign w:val="center"/>
          </w:tcPr>
          <w:p w14:paraId="5189F65E">
            <w:pPr>
              <w:jc w:val="center"/>
              <w:rPr>
                <w:color w:val="000000"/>
                <w:sz w:val="20"/>
                <w:szCs w:val="20"/>
              </w:rPr>
            </w:pPr>
            <w:r>
              <w:rPr>
                <w:color w:val="000000"/>
                <w:sz w:val="20"/>
                <w:szCs w:val="20"/>
              </w:rPr>
              <w:t>LK46:06</w:t>
            </w:r>
          </w:p>
        </w:tc>
        <w:tc>
          <w:tcPr>
            <w:tcW w:w="1033" w:type="dxa"/>
            <w:noWrap/>
            <w:vAlign w:val="center"/>
          </w:tcPr>
          <w:p w14:paraId="34BD4AEB">
            <w:pPr>
              <w:jc w:val="center"/>
              <w:rPr>
                <w:color w:val="000000"/>
                <w:sz w:val="20"/>
                <w:szCs w:val="20"/>
              </w:rPr>
            </w:pPr>
            <w:r>
              <w:rPr>
                <w:color w:val="000000"/>
                <w:sz w:val="20"/>
                <w:szCs w:val="20"/>
              </w:rPr>
              <w:t>90,00</w:t>
            </w:r>
          </w:p>
        </w:tc>
        <w:tc>
          <w:tcPr>
            <w:tcW w:w="846" w:type="dxa"/>
            <w:noWrap/>
            <w:vAlign w:val="center"/>
          </w:tcPr>
          <w:p w14:paraId="5CEFD9E2">
            <w:pPr>
              <w:jc w:val="center"/>
              <w:rPr>
                <w:color w:val="000000"/>
                <w:sz w:val="20"/>
                <w:szCs w:val="20"/>
              </w:rPr>
            </w:pPr>
            <w:r>
              <w:rPr>
                <w:color w:val="000000"/>
                <w:sz w:val="20"/>
                <w:szCs w:val="20"/>
              </w:rPr>
              <w:t>1</w:t>
            </w:r>
          </w:p>
        </w:tc>
        <w:tc>
          <w:tcPr>
            <w:tcW w:w="2578" w:type="dxa"/>
            <w:noWrap/>
            <w:vAlign w:val="center"/>
          </w:tcPr>
          <w:p w14:paraId="78869BFF">
            <w:pPr>
              <w:jc w:val="center"/>
              <w:rPr>
                <w:color w:val="000000"/>
                <w:sz w:val="20"/>
                <w:szCs w:val="20"/>
              </w:rPr>
            </w:pPr>
            <w:r>
              <w:rPr>
                <w:color w:val="000000"/>
                <w:sz w:val="20"/>
                <w:szCs w:val="20"/>
              </w:rPr>
              <w:t>Mặt cắt 3-3</w:t>
            </w:r>
          </w:p>
        </w:tc>
        <w:tc>
          <w:tcPr>
            <w:tcW w:w="2393" w:type="dxa"/>
            <w:noWrap/>
            <w:vAlign w:val="center"/>
          </w:tcPr>
          <w:p w14:paraId="5F1B913A">
            <w:pPr>
              <w:jc w:val="center"/>
              <w:rPr>
                <w:color w:val="000000"/>
                <w:sz w:val="20"/>
                <w:szCs w:val="20"/>
              </w:rPr>
            </w:pPr>
            <w:r>
              <w:rPr>
                <w:color w:val="000000"/>
                <w:sz w:val="20"/>
                <w:szCs w:val="20"/>
              </w:rPr>
              <w:t>Một mặt tiền</w:t>
            </w:r>
          </w:p>
        </w:tc>
        <w:tc>
          <w:tcPr>
            <w:tcW w:w="1198" w:type="dxa"/>
            <w:noWrap/>
            <w:vAlign w:val="center"/>
          </w:tcPr>
          <w:p w14:paraId="3F9F4732">
            <w:pPr>
              <w:jc w:val="center"/>
              <w:rPr>
                <w:color w:val="000000"/>
                <w:sz w:val="20"/>
                <w:szCs w:val="20"/>
              </w:rPr>
            </w:pPr>
            <w:r>
              <w:rPr>
                <w:color w:val="000000"/>
                <w:sz w:val="20"/>
                <w:szCs w:val="20"/>
              </w:rPr>
              <w:t>10.000.000</w:t>
            </w:r>
          </w:p>
        </w:tc>
        <w:tc>
          <w:tcPr>
            <w:tcW w:w="1236" w:type="dxa"/>
            <w:noWrap/>
            <w:vAlign w:val="center"/>
          </w:tcPr>
          <w:p w14:paraId="5C7B1CEF">
            <w:pPr>
              <w:jc w:val="center"/>
              <w:rPr>
                <w:color w:val="000000"/>
                <w:sz w:val="20"/>
                <w:szCs w:val="20"/>
              </w:rPr>
            </w:pPr>
          </w:p>
        </w:tc>
        <w:tc>
          <w:tcPr>
            <w:tcW w:w="1252" w:type="dxa"/>
            <w:noWrap/>
            <w:vAlign w:val="center"/>
          </w:tcPr>
          <w:p w14:paraId="7A11D982">
            <w:pPr>
              <w:jc w:val="center"/>
              <w:rPr>
                <w:color w:val="000000"/>
                <w:sz w:val="20"/>
                <w:szCs w:val="20"/>
              </w:rPr>
            </w:pPr>
            <w:r>
              <w:rPr>
                <w:color w:val="000000"/>
                <w:sz w:val="20"/>
                <w:szCs w:val="20"/>
              </w:rPr>
              <w:t>10.000.000</w:t>
            </w:r>
          </w:p>
        </w:tc>
        <w:tc>
          <w:tcPr>
            <w:tcW w:w="1848" w:type="dxa"/>
            <w:noWrap/>
            <w:vAlign w:val="center"/>
          </w:tcPr>
          <w:p w14:paraId="19D24485">
            <w:pPr>
              <w:jc w:val="center"/>
              <w:rPr>
                <w:color w:val="000000"/>
                <w:sz w:val="20"/>
                <w:szCs w:val="20"/>
              </w:rPr>
            </w:pPr>
            <w:r>
              <w:rPr>
                <w:color w:val="000000"/>
                <w:sz w:val="20"/>
                <w:szCs w:val="20"/>
              </w:rPr>
              <w:t>900.000.000</w:t>
            </w:r>
          </w:p>
        </w:tc>
      </w:tr>
      <w:tr w14:paraId="418A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BAD24A1">
            <w:pPr>
              <w:jc w:val="center"/>
              <w:rPr>
                <w:b/>
                <w:bCs/>
                <w:color w:val="000000"/>
                <w:sz w:val="20"/>
                <w:szCs w:val="20"/>
              </w:rPr>
            </w:pPr>
            <w:r>
              <w:rPr>
                <w:b/>
                <w:bCs/>
                <w:color w:val="000000"/>
                <w:sz w:val="20"/>
                <w:szCs w:val="20"/>
              </w:rPr>
              <w:t>LK46</w:t>
            </w:r>
          </w:p>
        </w:tc>
        <w:tc>
          <w:tcPr>
            <w:tcW w:w="1802" w:type="dxa"/>
            <w:vAlign w:val="center"/>
          </w:tcPr>
          <w:p w14:paraId="0C62ED83">
            <w:pPr>
              <w:jc w:val="center"/>
              <w:rPr>
                <w:color w:val="000000"/>
                <w:sz w:val="20"/>
                <w:szCs w:val="20"/>
              </w:rPr>
            </w:pPr>
            <w:r>
              <w:rPr>
                <w:color w:val="000000"/>
                <w:sz w:val="20"/>
                <w:szCs w:val="20"/>
              </w:rPr>
              <w:t>LK46:07</w:t>
            </w:r>
          </w:p>
        </w:tc>
        <w:tc>
          <w:tcPr>
            <w:tcW w:w="1033" w:type="dxa"/>
            <w:noWrap/>
            <w:vAlign w:val="center"/>
          </w:tcPr>
          <w:p w14:paraId="4A3E76D5">
            <w:pPr>
              <w:jc w:val="center"/>
              <w:rPr>
                <w:color w:val="000000"/>
                <w:sz w:val="20"/>
                <w:szCs w:val="20"/>
              </w:rPr>
            </w:pPr>
            <w:r>
              <w:rPr>
                <w:color w:val="000000"/>
                <w:sz w:val="20"/>
                <w:szCs w:val="20"/>
              </w:rPr>
              <w:t>90,00</w:t>
            </w:r>
          </w:p>
        </w:tc>
        <w:tc>
          <w:tcPr>
            <w:tcW w:w="846" w:type="dxa"/>
            <w:noWrap/>
            <w:vAlign w:val="center"/>
          </w:tcPr>
          <w:p w14:paraId="5961A4B7">
            <w:pPr>
              <w:jc w:val="center"/>
              <w:rPr>
                <w:color w:val="000000"/>
                <w:sz w:val="20"/>
                <w:szCs w:val="20"/>
              </w:rPr>
            </w:pPr>
            <w:r>
              <w:rPr>
                <w:color w:val="000000"/>
                <w:sz w:val="20"/>
                <w:szCs w:val="20"/>
              </w:rPr>
              <w:t>1</w:t>
            </w:r>
          </w:p>
        </w:tc>
        <w:tc>
          <w:tcPr>
            <w:tcW w:w="2578" w:type="dxa"/>
            <w:noWrap/>
            <w:vAlign w:val="center"/>
          </w:tcPr>
          <w:p w14:paraId="11F8EA6F">
            <w:pPr>
              <w:jc w:val="center"/>
              <w:rPr>
                <w:color w:val="000000"/>
                <w:sz w:val="20"/>
                <w:szCs w:val="20"/>
              </w:rPr>
            </w:pPr>
            <w:r>
              <w:rPr>
                <w:color w:val="000000"/>
                <w:sz w:val="20"/>
                <w:szCs w:val="20"/>
              </w:rPr>
              <w:t>Mặt cắt 3-3</w:t>
            </w:r>
          </w:p>
        </w:tc>
        <w:tc>
          <w:tcPr>
            <w:tcW w:w="2393" w:type="dxa"/>
            <w:noWrap/>
            <w:vAlign w:val="center"/>
          </w:tcPr>
          <w:p w14:paraId="154651A9">
            <w:pPr>
              <w:jc w:val="center"/>
              <w:rPr>
                <w:color w:val="000000"/>
                <w:sz w:val="20"/>
                <w:szCs w:val="20"/>
              </w:rPr>
            </w:pPr>
            <w:r>
              <w:rPr>
                <w:color w:val="000000"/>
                <w:sz w:val="20"/>
                <w:szCs w:val="20"/>
              </w:rPr>
              <w:t>Một mặt tiền</w:t>
            </w:r>
          </w:p>
        </w:tc>
        <w:tc>
          <w:tcPr>
            <w:tcW w:w="1198" w:type="dxa"/>
            <w:noWrap/>
            <w:vAlign w:val="center"/>
          </w:tcPr>
          <w:p w14:paraId="45B76FC0">
            <w:pPr>
              <w:jc w:val="center"/>
              <w:rPr>
                <w:color w:val="000000"/>
                <w:sz w:val="20"/>
                <w:szCs w:val="20"/>
              </w:rPr>
            </w:pPr>
            <w:r>
              <w:rPr>
                <w:color w:val="000000"/>
                <w:sz w:val="20"/>
                <w:szCs w:val="20"/>
              </w:rPr>
              <w:t>10.000.000</w:t>
            </w:r>
          </w:p>
        </w:tc>
        <w:tc>
          <w:tcPr>
            <w:tcW w:w="1236" w:type="dxa"/>
            <w:noWrap/>
            <w:vAlign w:val="center"/>
          </w:tcPr>
          <w:p w14:paraId="2946EACC">
            <w:pPr>
              <w:jc w:val="center"/>
              <w:rPr>
                <w:color w:val="000000"/>
                <w:sz w:val="20"/>
                <w:szCs w:val="20"/>
              </w:rPr>
            </w:pPr>
          </w:p>
        </w:tc>
        <w:tc>
          <w:tcPr>
            <w:tcW w:w="1252" w:type="dxa"/>
            <w:noWrap/>
            <w:vAlign w:val="center"/>
          </w:tcPr>
          <w:p w14:paraId="20AA69FB">
            <w:pPr>
              <w:jc w:val="center"/>
              <w:rPr>
                <w:color w:val="000000"/>
                <w:sz w:val="20"/>
                <w:szCs w:val="20"/>
              </w:rPr>
            </w:pPr>
            <w:r>
              <w:rPr>
                <w:color w:val="000000"/>
                <w:sz w:val="20"/>
                <w:szCs w:val="20"/>
              </w:rPr>
              <w:t>10.000.000</w:t>
            </w:r>
          </w:p>
        </w:tc>
        <w:tc>
          <w:tcPr>
            <w:tcW w:w="1848" w:type="dxa"/>
            <w:noWrap/>
            <w:vAlign w:val="center"/>
          </w:tcPr>
          <w:p w14:paraId="44B07BCE">
            <w:pPr>
              <w:jc w:val="center"/>
              <w:rPr>
                <w:color w:val="000000"/>
                <w:sz w:val="20"/>
                <w:szCs w:val="20"/>
              </w:rPr>
            </w:pPr>
            <w:r>
              <w:rPr>
                <w:color w:val="000000"/>
                <w:sz w:val="20"/>
                <w:szCs w:val="20"/>
              </w:rPr>
              <w:t>900.000.000</w:t>
            </w:r>
          </w:p>
        </w:tc>
      </w:tr>
      <w:tr w14:paraId="76B8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E39E99">
            <w:pPr>
              <w:jc w:val="center"/>
              <w:rPr>
                <w:b/>
                <w:bCs/>
                <w:color w:val="000000"/>
                <w:sz w:val="20"/>
                <w:szCs w:val="20"/>
              </w:rPr>
            </w:pPr>
            <w:r>
              <w:rPr>
                <w:b/>
                <w:bCs/>
                <w:color w:val="000000"/>
                <w:sz w:val="20"/>
                <w:szCs w:val="20"/>
              </w:rPr>
              <w:t>LK46</w:t>
            </w:r>
          </w:p>
        </w:tc>
        <w:tc>
          <w:tcPr>
            <w:tcW w:w="1802" w:type="dxa"/>
            <w:vAlign w:val="center"/>
          </w:tcPr>
          <w:p w14:paraId="7E484086">
            <w:pPr>
              <w:jc w:val="center"/>
              <w:rPr>
                <w:color w:val="000000"/>
                <w:sz w:val="20"/>
                <w:szCs w:val="20"/>
              </w:rPr>
            </w:pPr>
            <w:r>
              <w:rPr>
                <w:color w:val="000000"/>
                <w:sz w:val="20"/>
                <w:szCs w:val="20"/>
              </w:rPr>
              <w:t>LK46:08</w:t>
            </w:r>
          </w:p>
        </w:tc>
        <w:tc>
          <w:tcPr>
            <w:tcW w:w="1033" w:type="dxa"/>
            <w:noWrap/>
            <w:vAlign w:val="center"/>
          </w:tcPr>
          <w:p w14:paraId="34E05914">
            <w:pPr>
              <w:jc w:val="center"/>
              <w:rPr>
                <w:color w:val="000000"/>
                <w:sz w:val="20"/>
                <w:szCs w:val="20"/>
              </w:rPr>
            </w:pPr>
            <w:r>
              <w:rPr>
                <w:color w:val="000000"/>
                <w:sz w:val="20"/>
                <w:szCs w:val="20"/>
              </w:rPr>
              <w:t>90,00</w:t>
            </w:r>
          </w:p>
        </w:tc>
        <w:tc>
          <w:tcPr>
            <w:tcW w:w="846" w:type="dxa"/>
            <w:noWrap/>
            <w:vAlign w:val="center"/>
          </w:tcPr>
          <w:p w14:paraId="1DC62C9C">
            <w:pPr>
              <w:jc w:val="center"/>
              <w:rPr>
                <w:color w:val="000000"/>
                <w:sz w:val="20"/>
                <w:szCs w:val="20"/>
              </w:rPr>
            </w:pPr>
            <w:r>
              <w:rPr>
                <w:color w:val="000000"/>
                <w:sz w:val="20"/>
                <w:szCs w:val="20"/>
              </w:rPr>
              <w:t>1</w:t>
            </w:r>
          </w:p>
        </w:tc>
        <w:tc>
          <w:tcPr>
            <w:tcW w:w="2578" w:type="dxa"/>
            <w:noWrap/>
            <w:vAlign w:val="center"/>
          </w:tcPr>
          <w:p w14:paraId="56AA1611">
            <w:pPr>
              <w:jc w:val="center"/>
              <w:rPr>
                <w:color w:val="000000"/>
                <w:sz w:val="20"/>
                <w:szCs w:val="20"/>
              </w:rPr>
            </w:pPr>
            <w:r>
              <w:rPr>
                <w:color w:val="000000"/>
                <w:sz w:val="20"/>
                <w:szCs w:val="20"/>
              </w:rPr>
              <w:t>Mặt cắt 3-3</w:t>
            </w:r>
          </w:p>
        </w:tc>
        <w:tc>
          <w:tcPr>
            <w:tcW w:w="2393" w:type="dxa"/>
            <w:noWrap/>
            <w:vAlign w:val="center"/>
          </w:tcPr>
          <w:p w14:paraId="561D6942">
            <w:pPr>
              <w:jc w:val="center"/>
              <w:rPr>
                <w:color w:val="000000"/>
                <w:sz w:val="20"/>
                <w:szCs w:val="20"/>
              </w:rPr>
            </w:pPr>
            <w:r>
              <w:rPr>
                <w:color w:val="000000"/>
                <w:sz w:val="20"/>
                <w:szCs w:val="20"/>
              </w:rPr>
              <w:t>Một mặt tiền</w:t>
            </w:r>
          </w:p>
        </w:tc>
        <w:tc>
          <w:tcPr>
            <w:tcW w:w="1198" w:type="dxa"/>
            <w:noWrap/>
            <w:vAlign w:val="center"/>
          </w:tcPr>
          <w:p w14:paraId="415BF613">
            <w:pPr>
              <w:jc w:val="center"/>
              <w:rPr>
                <w:color w:val="000000"/>
                <w:sz w:val="20"/>
                <w:szCs w:val="20"/>
              </w:rPr>
            </w:pPr>
            <w:r>
              <w:rPr>
                <w:color w:val="000000"/>
                <w:sz w:val="20"/>
                <w:szCs w:val="20"/>
              </w:rPr>
              <w:t>10.000.000</w:t>
            </w:r>
          </w:p>
        </w:tc>
        <w:tc>
          <w:tcPr>
            <w:tcW w:w="1236" w:type="dxa"/>
            <w:noWrap/>
            <w:vAlign w:val="center"/>
          </w:tcPr>
          <w:p w14:paraId="7FFBFC5B">
            <w:pPr>
              <w:jc w:val="center"/>
              <w:rPr>
                <w:color w:val="000000"/>
                <w:sz w:val="20"/>
                <w:szCs w:val="20"/>
              </w:rPr>
            </w:pPr>
          </w:p>
        </w:tc>
        <w:tc>
          <w:tcPr>
            <w:tcW w:w="1252" w:type="dxa"/>
            <w:noWrap/>
            <w:vAlign w:val="center"/>
          </w:tcPr>
          <w:p w14:paraId="010D3DE0">
            <w:pPr>
              <w:jc w:val="center"/>
              <w:rPr>
                <w:color w:val="000000"/>
                <w:sz w:val="20"/>
                <w:szCs w:val="20"/>
              </w:rPr>
            </w:pPr>
            <w:r>
              <w:rPr>
                <w:color w:val="000000"/>
                <w:sz w:val="20"/>
                <w:szCs w:val="20"/>
              </w:rPr>
              <w:t>10.000.000</w:t>
            </w:r>
          </w:p>
        </w:tc>
        <w:tc>
          <w:tcPr>
            <w:tcW w:w="1848" w:type="dxa"/>
            <w:noWrap/>
            <w:vAlign w:val="center"/>
          </w:tcPr>
          <w:p w14:paraId="740B75F1">
            <w:pPr>
              <w:jc w:val="center"/>
              <w:rPr>
                <w:color w:val="000000"/>
                <w:sz w:val="20"/>
                <w:szCs w:val="20"/>
              </w:rPr>
            </w:pPr>
            <w:r>
              <w:rPr>
                <w:color w:val="000000"/>
                <w:sz w:val="20"/>
                <w:szCs w:val="20"/>
              </w:rPr>
              <w:t>900.000.000</w:t>
            </w:r>
          </w:p>
        </w:tc>
      </w:tr>
      <w:tr w14:paraId="2AE5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04276C5">
            <w:pPr>
              <w:jc w:val="center"/>
              <w:rPr>
                <w:b/>
                <w:bCs/>
                <w:color w:val="000000"/>
                <w:sz w:val="20"/>
                <w:szCs w:val="20"/>
              </w:rPr>
            </w:pPr>
            <w:r>
              <w:rPr>
                <w:b/>
                <w:bCs/>
                <w:color w:val="000000"/>
                <w:sz w:val="20"/>
                <w:szCs w:val="20"/>
              </w:rPr>
              <w:t>LK46</w:t>
            </w:r>
          </w:p>
        </w:tc>
        <w:tc>
          <w:tcPr>
            <w:tcW w:w="1802" w:type="dxa"/>
            <w:vAlign w:val="center"/>
          </w:tcPr>
          <w:p w14:paraId="30D332EB">
            <w:pPr>
              <w:jc w:val="center"/>
              <w:rPr>
                <w:color w:val="000000"/>
                <w:sz w:val="20"/>
                <w:szCs w:val="20"/>
              </w:rPr>
            </w:pPr>
            <w:r>
              <w:rPr>
                <w:color w:val="000000"/>
                <w:sz w:val="20"/>
                <w:szCs w:val="20"/>
              </w:rPr>
              <w:t>LK46:09</w:t>
            </w:r>
          </w:p>
        </w:tc>
        <w:tc>
          <w:tcPr>
            <w:tcW w:w="1033" w:type="dxa"/>
            <w:noWrap/>
            <w:vAlign w:val="center"/>
          </w:tcPr>
          <w:p w14:paraId="3155228F">
            <w:pPr>
              <w:jc w:val="center"/>
              <w:rPr>
                <w:color w:val="000000"/>
                <w:sz w:val="20"/>
                <w:szCs w:val="20"/>
              </w:rPr>
            </w:pPr>
            <w:r>
              <w:rPr>
                <w:color w:val="000000"/>
                <w:sz w:val="20"/>
                <w:szCs w:val="20"/>
              </w:rPr>
              <w:t>90,00</w:t>
            </w:r>
          </w:p>
        </w:tc>
        <w:tc>
          <w:tcPr>
            <w:tcW w:w="846" w:type="dxa"/>
            <w:noWrap/>
            <w:vAlign w:val="center"/>
          </w:tcPr>
          <w:p w14:paraId="2A1BA2D7">
            <w:pPr>
              <w:jc w:val="center"/>
              <w:rPr>
                <w:color w:val="000000"/>
                <w:sz w:val="20"/>
                <w:szCs w:val="20"/>
              </w:rPr>
            </w:pPr>
            <w:r>
              <w:rPr>
                <w:color w:val="000000"/>
                <w:sz w:val="20"/>
                <w:szCs w:val="20"/>
              </w:rPr>
              <w:t>1</w:t>
            </w:r>
          </w:p>
        </w:tc>
        <w:tc>
          <w:tcPr>
            <w:tcW w:w="2578" w:type="dxa"/>
            <w:noWrap/>
            <w:vAlign w:val="center"/>
          </w:tcPr>
          <w:p w14:paraId="0142D240">
            <w:pPr>
              <w:jc w:val="center"/>
              <w:rPr>
                <w:color w:val="000000"/>
                <w:sz w:val="20"/>
                <w:szCs w:val="20"/>
              </w:rPr>
            </w:pPr>
            <w:r>
              <w:rPr>
                <w:color w:val="000000"/>
                <w:sz w:val="20"/>
                <w:szCs w:val="20"/>
              </w:rPr>
              <w:t>Mặt cắt 3-3</w:t>
            </w:r>
          </w:p>
        </w:tc>
        <w:tc>
          <w:tcPr>
            <w:tcW w:w="2393" w:type="dxa"/>
            <w:noWrap/>
            <w:vAlign w:val="center"/>
          </w:tcPr>
          <w:p w14:paraId="7B8880F1">
            <w:pPr>
              <w:jc w:val="center"/>
              <w:rPr>
                <w:color w:val="000000"/>
                <w:sz w:val="20"/>
                <w:szCs w:val="20"/>
              </w:rPr>
            </w:pPr>
            <w:r>
              <w:rPr>
                <w:color w:val="000000"/>
                <w:sz w:val="20"/>
                <w:szCs w:val="20"/>
              </w:rPr>
              <w:t>Một mặt tiền</w:t>
            </w:r>
          </w:p>
        </w:tc>
        <w:tc>
          <w:tcPr>
            <w:tcW w:w="1198" w:type="dxa"/>
            <w:noWrap/>
            <w:vAlign w:val="center"/>
          </w:tcPr>
          <w:p w14:paraId="3EC79763">
            <w:pPr>
              <w:jc w:val="center"/>
              <w:rPr>
                <w:color w:val="000000"/>
                <w:sz w:val="20"/>
                <w:szCs w:val="20"/>
              </w:rPr>
            </w:pPr>
            <w:r>
              <w:rPr>
                <w:color w:val="000000"/>
                <w:sz w:val="20"/>
                <w:szCs w:val="20"/>
              </w:rPr>
              <w:t>10.000.000</w:t>
            </w:r>
          </w:p>
        </w:tc>
        <w:tc>
          <w:tcPr>
            <w:tcW w:w="1236" w:type="dxa"/>
            <w:noWrap/>
            <w:vAlign w:val="center"/>
          </w:tcPr>
          <w:p w14:paraId="0A077D52">
            <w:pPr>
              <w:jc w:val="center"/>
              <w:rPr>
                <w:color w:val="000000"/>
                <w:sz w:val="20"/>
                <w:szCs w:val="20"/>
              </w:rPr>
            </w:pPr>
          </w:p>
        </w:tc>
        <w:tc>
          <w:tcPr>
            <w:tcW w:w="1252" w:type="dxa"/>
            <w:noWrap/>
            <w:vAlign w:val="center"/>
          </w:tcPr>
          <w:p w14:paraId="5C5F69C9">
            <w:pPr>
              <w:jc w:val="center"/>
              <w:rPr>
                <w:color w:val="000000"/>
                <w:sz w:val="20"/>
                <w:szCs w:val="20"/>
              </w:rPr>
            </w:pPr>
            <w:r>
              <w:rPr>
                <w:color w:val="000000"/>
                <w:sz w:val="20"/>
                <w:szCs w:val="20"/>
              </w:rPr>
              <w:t>10.000.000</w:t>
            </w:r>
          </w:p>
        </w:tc>
        <w:tc>
          <w:tcPr>
            <w:tcW w:w="1848" w:type="dxa"/>
            <w:noWrap/>
            <w:vAlign w:val="center"/>
          </w:tcPr>
          <w:p w14:paraId="536A2A4C">
            <w:pPr>
              <w:jc w:val="center"/>
              <w:rPr>
                <w:color w:val="000000"/>
                <w:sz w:val="20"/>
                <w:szCs w:val="20"/>
              </w:rPr>
            </w:pPr>
            <w:r>
              <w:rPr>
                <w:color w:val="000000"/>
                <w:sz w:val="20"/>
                <w:szCs w:val="20"/>
              </w:rPr>
              <w:t>900.000.000</w:t>
            </w:r>
          </w:p>
        </w:tc>
      </w:tr>
      <w:tr w14:paraId="31F7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0FE1475">
            <w:pPr>
              <w:jc w:val="center"/>
              <w:rPr>
                <w:b/>
                <w:bCs/>
                <w:color w:val="000000"/>
                <w:sz w:val="20"/>
                <w:szCs w:val="20"/>
              </w:rPr>
            </w:pPr>
            <w:r>
              <w:rPr>
                <w:b/>
                <w:bCs/>
                <w:color w:val="000000"/>
                <w:sz w:val="20"/>
                <w:szCs w:val="20"/>
              </w:rPr>
              <w:t>LK46</w:t>
            </w:r>
          </w:p>
        </w:tc>
        <w:tc>
          <w:tcPr>
            <w:tcW w:w="1802" w:type="dxa"/>
            <w:vAlign w:val="center"/>
          </w:tcPr>
          <w:p w14:paraId="6E63B28E">
            <w:pPr>
              <w:jc w:val="center"/>
              <w:rPr>
                <w:color w:val="000000"/>
                <w:sz w:val="20"/>
                <w:szCs w:val="20"/>
              </w:rPr>
            </w:pPr>
            <w:r>
              <w:rPr>
                <w:color w:val="000000"/>
                <w:sz w:val="20"/>
                <w:szCs w:val="20"/>
              </w:rPr>
              <w:t>LK46:10</w:t>
            </w:r>
          </w:p>
        </w:tc>
        <w:tc>
          <w:tcPr>
            <w:tcW w:w="1033" w:type="dxa"/>
            <w:noWrap/>
            <w:vAlign w:val="center"/>
          </w:tcPr>
          <w:p w14:paraId="01C5DA91">
            <w:pPr>
              <w:jc w:val="center"/>
              <w:rPr>
                <w:color w:val="000000"/>
                <w:sz w:val="20"/>
                <w:szCs w:val="20"/>
              </w:rPr>
            </w:pPr>
            <w:r>
              <w:rPr>
                <w:color w:val="000000"/>
                <w:sz w:val="20"/>
                <w:szCs w:val="20"/>
              </w:rPr>
              <w:t>90,00</w:t>
            </w:r>
          </w:p>
        </w:tc>
        <w:tc>
          <w:tcPr>
            <w:tcW w:w="846" w:type="dxa"/>
            <w:noWrap/>
            <w:vAlign w:val="center"/>
          </w:tcPr>
          <w:p w14:paraId="1E5E8C39">
            <w:pPr>
              <w:jc w:val="center"/>
              <w:rPr>
                <w:color w:val="000000"/>
                <w:sz w:val="20"/>
                <w:szCs w:val="20"/>
              </w:rPr>
            </w:pPr>
            <w:r>
              <w:rPr>
                <w:color w:val="000000"/>
                <w:sz w:val="20"/>
                <w:szCs w:val="20"/>
              </w:rPr>
              <w:t>1</w:t>
            </w:r>
          </w:p>
        </w:tc>
        <w:tc>
          <w:tcPr>
            <w:tcW w:w="2578" w:type="dxa"/>
            <w:noWrap/>
            <w:vAlign w:val="center"/>
          </w:tcPr>
          <w:p w14:paraId="2C362C3F">
            <w:pPr>
              <w:jc w:val="center"/>
              <w:rPr>
                <w:color w:val="000000"/>
                <w:sz w:val="20"/>
                <w:szCs w:val="20"/>
              </w:rPr>
            </w:pPr>
            <w:r>
              <w:rPr>
                <w:color w:val="000000"/>
                <w:sz w:val="20"/>
                <w:szCs w:val="20"/>
              </w:rPr>
              <w:t>Mặt cắt 3-3</w:t>
            </w:r>
          </w:p>
        </w:tc>
        <w:tc>
          <w:tcPr>
            <w:tcW w:w="2393" w:type="dxa"/>
            <w:noWrap/>
            <w:vAlign w:val="center"/>
          </w:tcPr>
          <w:p w14:paraId="354C2695">
            <w:pPr>
              <w:jc w:val="center"/>
              <w:rPr>
                <w:color w:val="000000"/>
                <w:sz w:val="20"/>
                <w:szCs w:val="20"/>
              </w:rPr>
            </w:pPr>
            <w:r>
              <w:rPr>
                <w:color w:val="000000"/>
                <w:sz w:val="20"/>
                <w:szCs w:val="20"/>
              </w:rPr>
              <w:t>Một mặt tiền</w:t>
            </w:r>
          </w:p>
        </w:tc>
        <w:tc>
          <w:tcPr>
            <w:tcW w:w="1198" w:type="dxa"/>
            <w:noWrap/>
            <w:vAlign w:val="center"/>
          </w:tcPr>
          <w:p w14:paraId="4570F6B9">
            <w:pPr>
              <w:jc w:val="center"/>
              <w:rPr>
                <w:color w:val="000000"/>
                <w:sz w:val="20"/>
                <w:szCs w:val="20"/>
              </w:rPr>
            </w:pPr>
            <w:r>
              <w:rPr>
                <w:color w:val="000000"/>
                <w:sz w:val="20"/>
                <w:szCs w:val="20"/>
              </w:rPr>
              <w:t>10.000.000</w:t>
            </w:r>
          </w:p>
        </w:tc>
        <w:tc>
          <w:tcPr>
            <w:tcW w:w="1236" w:type="dxa"/>
            <w:noWrap/>
            <w:vAlign w:val="center"/>
          </w:tcPr>
          <w:p w14:paraId="19B5F3D2">
            <w:pPr>
              <w:jc w:val="center"/>
              <w:rPr>
                <w:color w:val="000000"/>
                <w:sz w:val="20"/>
                <w:szCs w:val="20"/>
              </w:rPr>
            </w:pPr>
          </w:p>
        </w:tc>
        <w:tc>
          <w:tcPr>
            <w:tcW w:w="1252" w:type="dxa"/>
            <w:noWrap/>
            <w:vAlign w:val="center"/>
          </w:tcPr>
          <w:p w14:paraId="7457863E">
            <w:pPr>
              <w:jc w:val="center"/>
              <w:rPr>
                <w:color w:val="000000"/>
                <w:sz w:val="20"/>
                <w:szCs w:val="20"/>
              </w:rPr>
            </w:pPr>
            <w:r>
              <w:rPr>
                <w:color w:val="000000"/>
                <w:sz w:val="20"/>
                <w:szCs w:val="20"/>
              </w:rPr>
              <w:t>10.000.000</w:t>
            </w:r>
          </w:p>
        </w:tc>
        <w:tc>
          <w:tcPr>
            <w:tcW w:w="1848" w:type="dxa"/>
            <w:noWrap/>
            <w:vAlign w:val="center"/>
          </w:tcPr>
          <w:p w14:paraId="5CC5F940">
            <w:pPr>
              <w:jc w:val="center"/>
              <w:rPr>
                <w:color w:val="000000"/>
                <w:sz w:val="20"/>
                <w:szCs w:val="20"/>
              </w:rPr>
            </w:pPr>
            <w:r>
              <w:rPr>
                <w:color w:val="000000"/>
                <w:sz w:val="20"/>
                <w:szCs w:val="20"/>
              </w:rPr>
              <w:t>900.000.000</w:t>
            </w:r>
          </w:p>
        </w:tc>
      </w:tr>
      <w:tr w14:paraId="791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E9ECDE4">
            <w:pPr>
              <w:jc w:val="center"/>
              <w:rPr>
                <w:b/>
                <w:bCs/>
                <w:color w:val="000000"/>
                <w:sz w:val="20"/>
                <w:szCs w:val="20"/>
              </w:rPr>
            </w:pPr>
            <w:r>
              <w:rPr>
                <w:b/>
                <w:bCs/>
                <w:color w:val="000000"/>
                <w:sz w:val="20"/>
                <w:szCs w:val="20"/>
              </w:rPr>
              <w:t>LK48</w:t>
            </w:r>
          </w:p>
        </w:tc>
        <w:tc>
          <w:tcPr>
            <w:tcW w:w="1802" w:type="dxa"/>
            <w:vAlign w:val="center"/>
          </w:tcPr>
          <w:p w14:paraId="7D4D6C6E">
            <w:pPr>
              <w:jc w:val="center"/>
              <w:rPr>
                <w:color w:val="000000"/>
                <w:sz w:val="20"/>
                <w:szCs w:val="20"/>
              </w:rPr>
            </w:pPr>
            <w:r>
              <w:rPr>
                <w:color w:val="000000"/>
                <w:sz w:val="20"/>
                <w:szCs w:val="20"/>
              </w:rPr>
              <w:t>LK48:01</w:t>
            </w:r>
          </w:p>
        </w:tc>
        <w:tc>
          <w:tcPr>
            <w:tcW w:w="1033" w:type="dxa"/>
            <w:noWrap/>
            <w:vAlign w:val="center"/>
          </w:tcPr>
          <w:p w14:paraId="1E45B88A">
            <w:pPr>
              <w:jc w:val="center"/>
              <w:rPr>
                <w:color w:val="000000"/>
                <w:sz w:val="20"/>
                <w:szCs w:val="20"/>
              </w:rPr>
            </w:pPr>
            <w:r>
              <w:rPr>
                <w:color w:val="000000"/>
                <w:sz w:val="20"/>
                <w:szCs w:val="20"/>
              </w:rPr>
              <w:t>90,00</w:t>
            </w:r>
          </w:p>
        </w:tc>
        <w:tc>
          <w:tcPr>
            <w:tcW w:w="846" w:type="dxa"/>
            <w:noWrap/>
            <w:vAlign w:val="center"/>
          </w:tcPr>
          <w:p w14:paraId="73C55448">
            <w:pPr>
              <w:jc w:val="center"/>
              <w:rPr>
                <w:color w:val="000000"/>
                <w:sz w:val="20"/>
                <w:szCs w:val="20"/>
              </w:rPr>
            </w:pPr>
            <w:r>
              <w:rPr>
                <w:color w:val="000000"/>
                <w:sz w:val="20"/>
                <w:szCs w:val="20"/>
              </w:rPr>
              <w:t>1</w:t>
            </w:r>
          </w:p>
        </w:tc>
        <w:tc>
          <w:tcPr>
            <w:tcW w:w="2578" w:type="dxa"/>
            <w:noWrap/>
            <w:vAlign w:val="center"/>
          </w:tcPr>
          <w:p w14:paraId="743F394D">
            <w:pPr>
              <w:jc w:val="center"/>
              <w:rPr>
                <w:color w:val="000000"/>
                <w:sz w:val="20"/>
                <w:szCs w:val="20"/>
              </w:rPr>
            </w:pPr>
            <w:r>
              <w:rPr>
                <w:color w:val="000000"/>
                <w:sz w:val="20"/>
                <w:szCs w:val="20"/>
              </w:rPr>
              <w:t>Mặt cắt 3-3</w:t>
            </w:r>
          </w:p>
        </w:tc>
        <w:tc>
          <w:tcPr>
            <w:tcW w:w="2393" w:type="dxa"/>
            <w:noWrap/>
            <w:vAlign w:val="center"/>
          </w:tcPr>
          <w:p w14:paraId="38863596">
            <w:pPr>
              <w:jc w:val="center"/>
              <w:rPr>
                <w:color w:val="000000"/>
                <w:sz w:val="20"/>
                <w:szCs w:val="20"/>
              </w:rPr>
            </w:pPr>
            <w:r>
              <w:rPr>
                <w:color w:val="000000"/>
                <w:sz w:val="20"/>
                <w:szCs w:val="20"/>
              </w:rPr>
              <w:t>Một mặt tiền</w:t>
            </w:r>
          </w:p>
        </w:tc>
        <w:tc>
          <w:tcPr>
            <w:tcW w:w="1198" w:type="dxa"/>
            <w:noWrap/>
            <w:vAlign w:val="center"/>
          </w:tcPr>
          <w:p w14:paraId="0FC283A7">
            <w:pPr>
              <w:jc w:val="center"/>
              <w:rPr>
                <w:color w:val="000000"/>
                <w:sz w:val="20"/>
                <w:szCs w:val="20"/>
              </w:rPr>
            </w:pPr>
            <w:r>
              <w:rPr>
                <w:color w:val="000000"/>
                <w:sz w:val="20"/>
                <w:szCs w:val="20"/>
              </w:rPr>
              <w:t>10.000.000</w:t>
            </w:r>
          </w:p>
        </w:tc>
        <w:tc>
          <w:tcPr>
            <w:tcW w:w="1236" w:type="dxa"/>
            <w:noWrap/>
            <w:vAlign w:val="center"/>
          </w:tcPr>
          <w:p w14:paraId="34414E13">
            <w:pPr>
              <w:jc w:val="center"/>
              <w:rPr>
                <w:color w:val="000000"/>
                <w:sz w:val="20"/>
                <w:szCs w:val="20"/>
              </w:rPr>
            </w:pPr>
          </w:p>
        </w:tc>
        <w:tc>
          <w:tcPr>
            <w:tcW w:w="1252" w:type="dxa"/>
            <w:noWrap/>
            <w:vAlign w:val="center"/>
          </w:tcPr>
          <w:p w14:paraId="485CEF6A">
            <w:pPr>
              <w:jc w:val="center"/>
              <w:rPr>
                <w:color w:val="000000"/>
                <w:sz w:val="20"/>
                <w:szCs w:val="20"/>
              </w:rPr>
            </w:pPr>
            <w:r>
              <w:rPr>
                <w:color w:val="000000"/>
                <w:sz w:val="20"/>
                <w:szCs w:val="20"/>
              </w:rPr>
              <w:t>10.000.000</w:t>
            </w:r>
          </w:p>
        </w:tc>
        <w:tc>
          <w:tcPr>
            <w:tcW w:w="1848" w:type="dxa"/>
            <w:noWrap/>
            <w:vAlign w:val="center"/>
          </w:tcPr>
          <w:p w14:paraId="30599E69">
            <w:pPr>
              <w:jc w:val="center"/>
              <w:rPr>
                <w:color w:val="000000"/>
                <w:sz w:val="20"/>
                <w:szCs w:val="20"/>
              </w:rPr>
            </w:pPr>
            <w:r>
              <w:rPr>
                <w:color w:val="000000"/>
                <w:sz w:val="20"/>
                <w:szCs w:val="20"/>
              </w:rPr>
              <w:t>900.000.000</w:t>
            </w:r>
          </w:p>
        </w:tc>
      </w:tr>
      <w:tr w14:paraId="2B44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AAF2C7">
            <w:pPr>
              <w:jc w:val="center"/>
              <w:rPr>
                <w:b/>
                <w:bCs/>
                <w:color w:val="000000"/>
                <w:sz w:val="20"/>
                <w:szCs w:val="20"/>
              </w:rPr>
            </w:pPr>
            <w:r>
              <w:rPr>
                <w:b/>
                <w:bCs/>
                <w:color w:val="000000"/>
                <w:sz w:val="20"/>
                <w:szCs w:val="20"/>
              </w:rPr>
              <w:t>LK48</w:t>
            </w:r>
          </w:p>
        </w:tc>
        <w:tc>
          <w:tcPr>
            <w:tcW w:w="1802" w:type="dxa"/>
            <w:vAlign w:val="center"/>
          </w:tcPr>
          <w:p w14:paraId="2930893F">
            <w:pPr>
              <w:jc w:val="center"/>
              <w:rPr>
                <w:color w:val="000000"/>
                <w:sz w:val="20"/>
                <w:szCs w:val="20"/>
              </w:rPr>
            </w:pPr>
            <w:r>
              <w:rPr>
                <w:color w:val="000000"/>
                <w:sz w:val="20"/>
                <w:szCs w:val="20"/>
              </w:rPr>
              <w:t>LK48:02</w:t>
            </w:r>
          </w:p>
        </w:tc>
        <w:tc>
          <w:tcPr>
            <w:tcW w:w="1033" w:type="dxa"/>
            <w:noWrap/>
            <w:vAlign w:val="center"/>
          </w:tcPr>
          <w:p w14:paraId="460DFE44">
            <w:pPr>
              <w:jc w:val="center"/>
              <w:rPr>
                <w:color w:val="000000"/>
                <w:sz w:val="20"/>
                <w:szCs w:val="20"/>
              </w:rPr>
            </w:pPr>
            <w:r>
              <w:rPr>
                <w:color w:val="000000"/>
                <w:sz w:val="20"/>
                <w:szCs w:val="20"/>
              </w:rPr>
              <w:t>90,00</w:t>
            </w:r>
          </w:p>
        </w:tc>
        <w:tc>
          <w:tcPr>
            <w:tcW w:w="846" w:type="dxa"/>
            <w:noWrap/>
            <w:vAlign w:val="center"/>
          </w:tcPr>
          <w:p w14:paraId="21E06261">
            <w:pPr>
              <w:jc w:val="center"/>
              <w:rPr>
                <w:color w:val="000000"/>
                <w:sz w:val="20"/>
                <w:szCs w:val="20"/>
              </w:rPr>
            </w:pPr>
            <w:r>
              <w:rPr>
                <w:color w:val="000000"/>
                <w:sz w:val="20"/>
                <w:szCs w:val="20"/>
              </w:rPr>
              <w:t>1</w:t>
            </w:r>
          </w:p>
        </w:tc>
        <w:tc>
          <w:tcPr>
            <w:tcW w:w="2578" w:type="dxa"/>
            <w:noWrap/>
            <w:vAlign w:val="center"/>
          </w:tcPr>
          <w:p w14:paraId="382AD764">
            <w:pPr>
              <w:jc w:val="center"/>
              <w:rPr>
                <w:color w:val="000000"/>
                <w:sz w:val="20"/>
                <w:szCs w:val="20"/>
              </w:rPr>
            </w:pPr>
            <w:r>
              <w:rPr>
                <w:color w:val="000000"/>
                <w:sz w:val="20"/>
                <w:szCs w:val="20"/>
              </w:rPr>
              <w:t>Mặt cắt 3-3</w:t>
            </w:r>
          </w:p>
        </w:tc>
        <w:tc>
          <w:tcPr>
            <w:tcW w:w="2393" w:type="dxa"/>
            <w:noWrap/>
            <w:vAlign w:val="center"/>
          </w:tcPr>
          <w:p w14:paraId="5E95DAFD">
            <w:pPr>
              <w:jc w:val="center"/>
              <w:rPr>
                <w:color w:val="000000"/>
                <w:sz w:val="20"/>
                <w:szCs w:val="20"/>
              </w:rPr>
            </w:pPr>
            <w:r>
              <w:rPr>
                <w:color w:val="000000"/>
                <w:sz w:val="20"/>
                <w:szCs w:val="20"/>
              </w:rPr>
              <w:t>Một mặt tiền</w:t>
            </w:r>
          </w:p>
        </w:tc>
        <w:tc>
          <w:tcPr>
            <w:tcW w:w="1198" w:type="dxa"/>
            <w:noWrap/>
            <w:vAlign w:val="center"/>
          </w:tcPr>
          <w:p w14:paraId="35FEF693">
            <w:pPr>
              <w:jc w:val="center"/>
              <w:rPr>
                <w:color w:val="000000"/>
                <w:sz w:val="20"/>
                <w:szCs w:val="20"/>
              </w:rPr>
            </w:pPr>
            <w:r>
              <w:rPr>
                <w:color w:val="000000"/>
                <w:sz w:val="20"/>
                <w:szCs w:val="20"/>
              </w:rPr>
              <w:t>10.000.000</w:t>
            </w:r>
          </w:p>
        </w:tc>
        <w:tc>
          <w:tcPr>
            <w:tcW w:w="1236" w:type="dxa"/>
            <w:noWrap/>
            <w:vAlign w:val="center"/>
          </w:tcPr>
          <w:p w14:paraId="11463701">
            <w:pPr>
              <w:jc w:val="center"/>
              <w:rPr>
                <w:color w:val="000000"/>
                <w:sz w:val="20"/>
                <w:szCs w:val="20"/>
              </w:rPr>
            </w:pPr>
          </w:p>
        </w:tc>
        <w:tc>
          <w:tcPr>
            <w:tcW w:w="1252" w:type="dxa"/>
            <w:noWrap/>
            <w:vAlign w:val="center"/>
          </w:tcPr>
          <w:p w14:paraId="4DB8CD6C">
            <w:pPr>
              <w:jc w:val="center"/>
              <w:rPr>
                <w:color w:val="000000"/>
                <w:sz w:val="20"/>
                <w:szCs w:val="20"/>
              </w:rPr>
            </w:pPr>
            <w:r>
              <w:rPr>
                <w:color w:val="000000"/>
                <w:sz w:val="20"/>
                <w:szCs w:val="20"/>
              </w:rPr>
              <w:t>10.000.000</w:t>
            </w:r>
          </w:p>
        </w:tc>
        <w:tc>
          <w:tcPr>
            <w:tcW w:w="1848" w:type="dxa"/>
            <w:noWrap/>
            <w:vAlign w:val="center"/>
          </w:tcPr>
          <w:p w14:paraId="45AD7A95">
            <w:pPr>
              <w:jc w:val="center"/>
              <w:rPr>
                <w:color w:val="000000"/>
                <w:sz w:val="20"/>
                <w:szCs w:val="20"/>
              </w:rPr>
            </w:pPr>
            <w:r>
              <w:rPr>
                <w:color w:val="000000"/>
                <w:sz w:val="20"/>
                <w:szCs w:val="20"/>
              </w:rPr>
              <w:t>900.000.000</w:t>
            </w:r>
          </w:p>
        </w:tc>
      </w:tr>
      <w:tr w14:paraId="5546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BC357B9">
            <w:pPr>
              <w:jc w:val="center"/>
              <w:rPr>
                <w:b/>
                <w:bCs/>
                <w:color w:val="000000"/>
                <w:sz w:val="20"/>
                <w:szCs w:val="20"/>
              </w:rPr>
            </w:pPr>
            <w:r>
              <w:rPr>
                <w:b/>
                <w:bCs/>
                <w:color w:val="000000"/>
                <w:sz w:val="20"/>
                <w:szCs w:val="20"/>
              </w:rPr>
              <w:t>LK48</w:t>
            </w:r>
          </w:p>
        </w:tc>
        <w:tc>
          <w:tcPr>
            <w:tcW w:w="1802" w:type="dxa"/>
            <w:vAlign w:val="center"/>
          </w:tcPr>
          <w:p w14:paraId="100949B3">
            <w:pPr>
              <w:jc w:val="center"/>
              <w:rPr>
                <w:color w:val="000000"/>
                <w:sz w:val="20"/>
                <w:szCs w:val="20"/>
              </w:rPr>
            </w:pPr>
            <w:r>
              <w:rPr>
                <w:color w:val="000000"/>
                <w:sz w:val="20"/>
                <w:szCs w:val="20"/>
              </w:rPr>
              <w:t>LK48:03</w:t>
            </w:r>
          </w:p>
        </w:tc>
        <w:tc>
          <w:tcPr>
            <w:tcW w:w="1033" w:type="dxa"/>
            <w:noWrap/>
            <w:vAlign w:val="center"/>
          </w:tcPr>
          <w:p w14:paraId="4F5D044F">
            <w:pPr>
              <w:jc w:val="center"/>
              <w:rPr>
                <w:color w:val="000000"/>
                <w:sz w:val="20"/>
                <w:szCs w:val="20"/>
              </w:rPr>
            </w:pPr>
            <w:r>
              <w:rPr>
                <w:color w:val="000000"/>
                <w:sz w:val="20"/>
                <w:szCs w:val="20"/>
              </w:rPr>
              <w:t>90,00</w:t>
            </w:r>
          </w:p>
        </w:tc>
        <w:tc>
          <w:tcPr>
            <w:tcW w:w="846" w:type="dxa"/>
            <w:noWrap/>
            <w:vAlign w:val="center"/>
          </w:tcPr>
          <w:p w14:paraId="3E7B31F3">
            <w:pPr>
              <w:jc w:val="center"/>
              <w:rPr>
                <w:color w:val="000000"/>
                <w:sz w:val="20"/>
                <w:szCs w:val="20"/>
              </w:rPr>
            </w:pPr>
            <w:r>
              <w:rPr>
                <w:color w:val="000000"/>
                <w:sz w:val="20"/>
                <w:szCs w:val="20"/>
              </w:rPr>
              <w:t>1</w:t>
            </w:r>
          </w:p>
        </w:tc>
        <w:tc>
          <w:tcPr>
            <w:tcW w:w="2578" w:type="dxa"/>
            <w:noWrap/>
            <w:vAlign w:val="center"/>
          </w:tcPr>
          <w:p w14:paraId="17381CA8">
            <w:pPr>
              <w:jc w:val="center"/>
              <w:rPr>
                <w:color w:val="000000"/>
                <w:sz w:val="20"/>
                <w:szCs w:val="20"/>
              </w:rPr>
            </w:pPr>
            <w:r>
              <w:rPr>
                <w:color w:val="000000"/>
                <w:sz w:val="20"/>
                <w:szCs w:val="20"/>
              </w:rPr>
              <w:t>Mặt cắt 3-3</w:t>
            </w:r>
          </w:p>
        </w:tc>
        <w:tc>
          <w:tcPr>
            <w:tcW w:w="2393" w:type="dxa"/>
            <w:noWrap/>
            <w:vAlign w:val="center"/>
          </w:tcPr>
          <w:p w14:paraId="5EB029A7">
            <w:pPr>
              <w:jc w:val="center"/>
              <w:rPr>
                <w:color w:val="000000"/>
                <w:sz w:val="20"/>
                <w:szCs w:val="20"/>
              </w:rPr>
            </w:pPr>
            <w:r>
              <w:rPr>
                <w:color w:val="000000"/>
                <w:sz w:val="20"/>
                <w:szCs w:val="20"/>
              </w:rPr>
              <w:t>Một mặt tiền</w:t>
            </w:r>
          </w:p>
        </w:tc>
        <w:tc>
          <w:tcPr>
            <w:tcW w:w="1198" w:type="dxa"/>
            <w:noWrap/>
            <w:vAlign w:val="center"/>
          </w:tcPr>
          <w:p w14:paraId="273AD698">
            <w:pPr>
              <w:jc w:val="center"/>
              <w:rPr>
                <w:color w:val="000000"/>
                <w:sz w:val="20"/>
                <w:szCs w:val="20"/>
              </w:rPr>
            </w:pPr>
            <w:r>
              <w:rPr>
                <w:color w:val="000000"/>
                <w:sz w:val="20"/>
                <w:szCs w:val="20"/>
              </w:rPr>
              <w:t>10.000.000</w:t>
            </w:r>
          </w:p>
        </w:tc>
        <w:tc>
          <w:tcPr>
            <w:tcW w:w="1236" w:type="dxa"/>
            <w:noWrap/>
            <w:vAlign w:val="center"/>
          </w:tcPr>
          <w:p w14:paraId="1747406A">
            <w:pPr>
              <w:jc w:val="center"/>
              <w:rPr>
                <w:color w:val="000000"/>
                <w:sz w:val="20"/>
                <w:szCs w:val="20"/>
              </w:rPr>
            </w:pPr>
          </w:p>
        </w:tc>
        <w:tc>
          <w:tcPr>
            <w:tcW w:w="1252" w:type="dxa"/>
            <w:noWrap/>
            <w:vAlign w:val="center"/>
          </w:tcPr>
          <w:p w14:paraId="237EE904">
            <w:pPr>
              <w:jc w:val="center"/>
              <w:rPr>
                <w:color w:val="000000"/>
                <w:sz w:val="20"/>
                <w:szCs w:val="20"/>
              </w:rPr>
            </w:pPr>
            <w:r>
              <w:rPr>
                <w:color w:val="000000"/>
                <w:sz w:val="20"/>
                <w:szCs w:val="20"/>
              </w:rPr>
              <w:t>10.000.000</w:t>
            </w:r>
          </w:p>
        </w:tc>
        <w:tc>
          <w:tcPr>
            <w:tcW w:w="1848" w:type="dxa"/>
            <w:noWrap/>
            <w:vAlign w:val="center"/>
          </w:tcPr>
          <w:p w14:paraId="56BE155E">
            <w:pPr>
              <w:jc w:val="center"/>
              <w:rPr>
                <w:color w:val="000000"/>
                <w:sz w:val="20"/>
                <w:szCs w:val="20"/>
              </w:rPr>
            </w:pPr>
            <w:r>
              <w:rPr>
                <w:color w:val="000000"/>
                <w:sz w:val="20"/>
                <w:szCs w:val="20"/>
              </w:rPr>
              <w:t>900.000.000</w:t>
            </w:r>
          </w:p>
        </w:tc>
      </w:tr>
      <w:tr w14:paraId="5BDF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33FDD07">
            <w:pPr>
              <w:jc w:val="center"/>
              <w:rPr>
                <w:b/>
                <w:bCs/>
                <w:color w:val="000000"/>
                <w:sz w:val="20"/>
                <w:szCs w:val="20"/>
              </w:rPr>
            </w:pPr>
            <w:r>
              <w:rPr>
                <w:b/>
                <w:bCs/>
                <w:color w:val="000000"/>
                <w:sz w:val="20"/>
                <w:szCs w:val="20"/>
              </w:rPr>
              <w:t>LK48</w:t>
            </w:r>
          </w:p>
        </w:tc>
        <w:tc>
          <w:tcPr>
            <w:tcW w:w="1802" w:type="dxa"/>
            <w:vAlign w:val="center"/>
          </w:tcPr>
          <w:p w14:paraId="140F1529">
            <w:pPr>
              <w:jc w:val="center"/>
              <w:rPr>
                <w:color w:val="000000"/>
                <w:sz w:val="20"/>
                <w:szCs w:val="20"/>
              </w:rPr>
            </w:pPr>
            <w:r>
              <w:rPr>
                <w:color w:val="000000"/>
                <w:sz w:val="20"/>
                <w:szCs w:val="20"/>
              </w:rPr>
              <w:t>LK48:04</w:t>
            </w:r>
          </w:p>
        </w:tc>
        <w:tc>
          <w:tcPr>
            <w:tcW w:w="1033" w:type="dxa"/>
            <w:noWrap/>
            <w:vAlign w:val="center"/>
          </w:tcPr>
          <w:p w14:paraId="21AB818A">
            <w:pPr>
              <w:jc w:val="center"/>
              <w:rPr>
                <w:color w:val="000000"/>
                <w:sz w:val="20"/>
                <w:szCs w:val="20"/>
              </w:rPr>
            </w:pPr>
            <w:r>
              <w:rPr>
                <w:color w:val="000000"/>
                <w:sz w:val="20"/>
                <w:szCs w:val="20"/>
              </w:rPr>
              <w:t>90,00</w:t>
            </w:r>
          </w:p>
        </w:tc>
        <w:tc>
          <w:tcPr>
            <w:tcW w:w="846" w:type="dxa"/>
            <w:noWrap/>
            <w:vAlign w:val="center"/>
          </w:tcPr>
          <w:p w14:paraId="4B955516">
            <w:pPr>
              <w:jc w:val="center"/>
              <w:rPr>
                <w:color w:val="000000"/>
                <w:sz w:val="20"/>
                <w:szCs w:val="20"/>
              </w:rPr>
            </w:pPr>
            <w:r>
              <w:rPr>
                <w:color w:val="000000"/>
                <w:sz w:val="20"/>
                <w:szCs w:val="20"/>
              </w:rPr>
              <w:t>1</w:t>
            </w:r>
          </w:p>
        </w:tc>
        <w:tc>
          <w:tcPr>
            <w:tcW w:w="2578" w:type="dxa"/>
            <w:noWrap/>
            <w:vAlign w:val="center"/>
          </w:tcPr>
          <w:p w14:paraId="3AEE118C">
            <w:pPr>
              <w:jc w:val="center"/>
              <w:rPr>
                <w:color w:val="000000"/>
                <w:sz w:val="20"/>
                <w:szCs w:val="20"/>
              </w:rPr>
            </w:pPr>
            <w:r>
              <w:rPr>
                <w:color w:val="000000"/>
                <w:sz w:val="20"/>
                <w:szCs w:val="20"/>
              </w:rPr>
              <w:t>Mặt cắt 3-3</w:t>
            </w:r>
          </w:p>
        </w:tc>
        <w:tc>
          <w:tcPr>
            <w:tcW w:w="2393" w:type="dxa"/>
            <w:noWrap/>
            <w:vAlign w:val="center"/>
          </w:tcPr>
          <w:p w14:paraId="5A23F88E">
            <w:pPr>
              <w:jc w:val="center"/>
              <w:rPr>
                <w:color w:val="000000"/>
                <w:sz w:val="20"/>
                <w:szCs w:val="20"/>
              </w:rPr>
            </w:pPr>
            <w:r>
              <w:rPr>
                <w:color w:val="000000"/>
                <w:sz w:val="20"/>
                <w:szCs w:val="20"/>
              </w:rPr>
              <w:t>Một mặt tiền</w:t>
            </w:r>
          </w:p>
        </w:tc>
        <w:tc>
          <w:tcPr>
            <w:tcW w:w="1198" w:type="dxa"/>
            <w:noWrap/>
            <w:vAlign w:val="center"/>
          </w:tcPr>
          <w:p w14:paraId="3103517A">
            <w:pPr>
              <w:jc w:val="center"/>
              <w:rPr>
                <w:color w:val="000000"/>
                <w:sz w:val="20"/>
                <w:szCs w:val="20"/>
              </w:rPr>
            </w:pPr>
            <w:r>
              <w:rPr>
                <w:color w:val="000000"/>
                <w:sz w:val="20"/>
                <w:szCs w:val="20"/>
              </w:rPr>
              <w:t>10.000.000</w:t>
            </w:r>
          </w:p>
        </w:tc>
        <w:tc>
          <w:tcPr>
            <w:tcW w:w="1236" w:type="dxa"/>
            <w:noWrap/>
            <w:vAlign w:val="center"/>
          </w:tcPr>
          <w:p w14:paraId="675992C1">
            <w:pPr>
              <w:jc w:val="center"/>
              <w:rPr>
                <w:color w:val="000000"/>
                <w:sz w:val="20"/>
                <w:szCs w:val="20"/>
              </w:rPr>
            </w:pPr>
          </w:p>
        </w:tc>
        <w:tc>
          <w:tcPr>
            <w:tcW w:w="1252" w:type="dxa"/>
            <w:noWrap/>
            <w:vAlign w:val="center"/>
          </w:tcPr>
          <w:p w14:paraId="725FE35B">
            <w:pPr>
              <w:jc w:val="center"/>
              <w:rPr>
                <w:color w:val="000000"/>
                <w:sz w:val="20"/>
                <w:szCs w:val="20"/>
              </w:rPr>
            </w:pPr>
            <w:r>
              <w:rPr>
                <w:color w:val="000000"/>
                <w:sz w:val="20"/>
                <w:szCs w:val="20"/>
              </w:rPr>
              <w:t>10.000.000</w:t>
            </w:r>
          </w:p>
        </w:tc>
        <w:tc>
          <w:tcPr>
            <w:tcW w:w="1848" w:type="dxa"/>
            <w:noWrap/>
            <w:vAlign w:val="center"/>
          </w:tcPr>
          <w:p w14:paraId="63A213D1">
            <w:pPr>
              <w:jc w:val="center"/>
              <w:rPr>
                <w:color w:val="000000"/>
                <w:sz w:val="20"/>
                <w:szCs w:val="20"/>
              </w:rPr>
            </w:pPr>
            <w:r>
              <w:rPr>
                <w:color w:val="000000"/>
                <w:sz w:val="20"/>
                <w:szCs w:val="20"/>
              </w:rPr>
              <w:t>900.000.000</w:t>
            </w:r>
          </w:p>
        </w:tc>
      </w:tr>
      <w:tr w14:paraId="3AA7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8D6EFC1">
            <w:pPr>
              <w:jc w:val="center"/>
              <w:rPr>
                <w:b/>
                <w:bCs/>
                <w:color w:val="000000"/>
                <w:sz w:val="20"/>
                <w:szCs w:val="20"/>
              </w:rPr>
            </w:pPr>
            <w:r>
              <w:rPr>
                <w:b/>
                <w:bCs/>
                <w:color w:val="000000"/>
                <w:sz w:val="20"/>
                <w:szCs w:val="20"/>
              </w:rPr>
              <w:t>LK48</w:t>
            </w:r>
          </w:p>
        </w:tc>
        <w:tc>
          <w:tcPr>
            <w:tcW w:w="1802" w:type="dxa"/>
            <w:vAlign w:val="center"/>
          </w:tcPr>
          <w:p w14:paraId="08B88F5D">
            <w:pPr>
              <w:jc w:val="center"/>
              <w:rPr>
                <w:color w:val="000000"/>
                <w:sz w:val="20"/>
                <w:szCs w:val="20"/>
              </w:rPr>
            </w:pPr>
            <w:r>
              <w:rPr>
                <w:color w:val="000000"/>
                <w:sz w:val="20"/>
                <w:szCs w:val="20"/>
              </w:rPr>
              <w:t>LK48:05</w:t>
            </w:r>
          </w:p>
        </w:tc>
        <w:tc>
          <w:tcPr>
            <w:tcW w:w="1033" w:type="dxa"/>
            <w:noWrap/>
            <w:vAlign w:val="center"/>
          </w:tcPr>
          <w:p w14:paraId="2B60AADE">
            <w:pPr>
              <w:jc w:val="center"/>
              <w:rPr>
                <w:color w:val="000000"/>
                <w:sz w:val="20"/>
                <w:szCs w:val="20"/>
              </w:rPr>
            </w:pPr>
            <w:r>
              <w:rPr>
                <w:color w:val="000000"/>
                <w:sz w:val="20"/>
                <w:szCs w:val="20"/>
              </w:rPr>
              <w:t>90,00</w:t>
            </w:r>
          </w:p>
        </w:tc>
        <w:tc>
          <w:tcPr>
            <w:tcW w:w="846" w:type="dxa"/>
            <w:noWrap/>
            <w:vAlign w:val="center"/>
          </w:tcPr>
          <w:p w14:paraId="3687D673">
            <w:pPr>
              <w:jc w:val="center"/>
              <w:rPr>
                <w:color w:val="000000"/>
                <w:sz w:val="20"/>
                <w:szCs w:val="20"/>
              </w:rPr>
            </w:pPr>
            <w:r>
              <w:rPr>
                <w:color w:val="000000"/>
                <w:sz w:val="20"/>
                <w:szCs w:val="20"/>
              </w:rPr>
              <w:t>1</w:t>
            </w:r>
          </w:p>
        </w:tc>
        <w:tc>
          <w:tcPr>
            <w:tcW w:w="2578" w:type="dxa"/>
            <w:noWrap/>
            <w:vAlign w:val="center"/>
          </w:tcPr>
          <w:p w14:paraId="143ABE6A">
            <w:pPr>
              <w:jc w:val="center"/>
              <w:rPr>
                <w:color w:val="000000"/>
                <w:sz w:val="20"/>
                <w:szCs w:val="20"/>
              </w:rPr>
            </w:pPr>
            <w:r>
              <w:rPr>
                <w:color w:val="000000"/>
                <w:sz w:val="20"/>
                <w:szCs w:val="20"/>
              </w:rPr>
              <w:t>Mặt cắt 3-3</w:t>
            </w:r>
          </w:p>
        </w:tc>
        <w:tc>
          <w:tcPr>
            <w:tcW w:w="2393" w:type="dxa"/>
            <w:noWrap/>
            <w:vAlign w:val="center"/>
          </w:tcPr>
          <w:p w14:paraId="2CA7AAAC">
            <w:pPr>
              <w:jc w:val="center"/>
              <w:rPr>
                <w:color w:val="000000"/>
                <w:sz w:val="20"/>
                <w:szCs w:val="20"/>
              </w:rPr>
            </w:pPr>
            <w:r>
              <w:rPr>
                <w:color w:val="000000"/>
                <w:sz w:val="20"/>
                <w:szCs w:val="20"/>
              </w:rPr>
              <w:t>Một mặt tiền</w:t>
            </w:r>
          </w:p>
        </w:tc>
        <w:tc>
          <w:tcPr>
            <w:tcW w:w="1198" w:type="dxa"/>
            <w:noWrap/>
            <w:vAlign w:val="center"/>
          </w:tcPr>
          <w:p w14:paraId="374B4ADF">
            <w:pPr>
              <w:jc w:val="center"/>
              <w:rPr>
                <w:color w:val="000000"/>
                <w:sz w:val="20"/>
                <w:szCs w:val="20"/>
              </w:rPr>
            </w:pPr>
            <w:r>
              <w:rPr>
                <w:color w:val="000000"/>
                <w:sz w:val="20"/>
                <w:szCs w:val="20"/>
              </w:rPr>
              <w:t>10.000.000</w:t>
            </w:r>
          </w:p>
        </w:tc>
        <w:tc>
          <w:tcPr>
            <w:tcW w:w="1236" w:type="dxa"/>
            <w:noWrap/>
            <w:vAlign w:val="center"/>
          </w:tcPr>
          <w:p w14:paraId="5E84244D">
            <w:pPr>
              <w:jc w:val="center"/>
              <w:rPr>
                <w:color w:val="000000"/>
                <w:sz w:val="20"/>
                <w:szCs w:val="20"/>
              </w:rPr>
            </w:pPr>
          </w:p>
        </w:tc>
        <w:tc>
          <w:tcPr>
            <w:tcW w:w="1252" w:type="dxa"/>
            <w:noWrap/>
            <w:vAlign w:val="center"/>
          </w:tcPr>
          <w:p w14:paraId="0E718F45">
            <w:pPr>
              <w:jc w:val="center"/>
              <w:rPr>
                <w:color w:val="000000"/>
                <w:sz w:val="20"/>
                <w:szCs w:val="20"/>
              </w:rPr>
            </w:pPr>
            <w:r>
              <w:rPr>
                <w:color w:val="000000"/>
                <w:sz w:val="20"/>
                <w:szCs w:val="20"/>
              </w:rPr>
              <w:t>10.000.000</w:t>
            </w:r>
          </w:p>
        </w:tc>
        <w:tc>
          <w:tcPr>
            <w:tcW w:w="1848" w:type="dxa"/>
            <w:noWrap/>
            <w:vAlign w:val="center"/>
          </w:tcPr>
          <w:p w14:paraId="3591EFC2">
            <w:pPr>
              <w:jc w:val="center"/>
              <w:rPr>
                <w:color w:val="000000"/>
                <w:sz w:val="20"/>
                <w:szCs w:val="20"/>
              </w:rPr>
            </w:pPr>
            <w:r>
              <w:rPr>
                <w:color w:val="000000"/>
                <w:sz w:val="20"/>
                <w:szCs w:val="20"/>
              </w:rPr>
              <w:t>900.000.000</w:t>
            </w:r>
          </w:p>
        </w:tc>
      </w:tr>
      <w:tr w14:paraId="57FF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CBD2221">
            <w:pPr>
              <w:jc w:val="center"/>
              <w:rPr>
                <w:b/>
                <w:bCs/>
                <w:color w:val="000000"/>
                <w:sz w:val="20"/>
                <w:szCs w:val="20"/>
              </w:rPr>
            </w:pPr>
            <w:r>
              <w:rPr>
                <w:b/>
                <w:bCs/>
                <w:color w:val="000000"/>
                <w:sz w:val="20"/>
                <w:szCs w:val="20"/>
              </w:rPr>
              <w:t>LK48</w:t>
            </w:r>
          </w:p>
        </w:tc>
        <w:tc>
          <w:tcPr>
            <w:tcW w:w="1802" w:type="dxa"/>
            <w:vAlign w:val="center"/>
          </w:tcPr>
          <w:p w14:paraId="0ED32202">
            <w:pPr>
              <w:jc w:val="center"/>
              <w:rPr>
                <w:color w:val="000000"/>
                <w:sz w:val="20"/>
                <w:szCs w:val="20"/>
              </w:rPr>
            </w:pPr>
            <w:r>
              <w:rPr>
                <w:color w:val="000000"/>
                <w:sz w:val="20"/>
                <w:szCs w:val="20"/>
              </w:rPr>
              <w:t>LK48:06</w:t>
            </w:r>
          </w:p>
        </w:tc>
        <w:tc>
          <w:tcPr>
            <w:tcW w:w="1033" w:type="dxa"/>
            <w:noWrap/>
            <w:vAlign w:val="center"/>
          </w:tcPr>
          <w:p w14:paraId="54CC6E48">
            <w:pPr>
              <w:jc w:val="center"/>
              <w:rPr>
                <w:color w:val="000000"/>
                <w:sz w:val="20"/>
                <w:szCs w:val="20"/>
              </w:rPr>
            </w:pPr>
            <w:r>
              <w:rPr>
                <w:color w:val="000000"/>
                <w:sz w:val="20"/>
                <w:szCs w:val="20"/>
              </w:rPr>
              <w:t>90,00</w:t>
            </w:r>
          </w:p>
        </w:tc>
        <w:tc>
          <w:tcPr>
            <w:tcW w:w="846" w:type="dxa"/>
            <w:noWrap/>
            <w:vAlign w:val="center"/>
          </w:tcPr>
          <w:p w14:paraId="41AFABE7">
            <w:pPr>
              <w:jc w:val="center"/>
              <w:rPr>
                <w:color w:val="000000"/>
                <w:sz w:val="20"/>
                <w:szCs w:val="20"/>
              </w:rPr>
            </w:pPr>
            <w:r>
              <w:rPr>
                <w:color w:val="000000"/>
                <w:sz w:val="20"/>
                <w:szCs w:val="20"/>
              </w:rPr>
              <w:t>1</w:t>
            </w:r>
          </w:p>
        </w:tc>
        <w:tc>
          <w:tcPr>
            <w:tcW w:w="2578" w:type="dxa"/>
            <w:noWrap/>
            <w:vAlign w:val="center"/>
          </w:tcPr>
          <w:p w14:paraId="0B629E67">
            <w:pPr>
              <w:jc w:val="center"/>
              <w:rPr>
                <w:color w:val="000000"/>
                <w:sz w:val="20"/>
                <w:szCs w:val="20"/>
              </w:rPr>
            </w:pPr>
            <w:r>
              <w:rPr>
                <w:color w:val="000000"/>
                <w:sz w:val="20"/>
                <w:szCs w:val="20"/>
              </w:rPr>
              <w:t>Mặt cắt 3-3</w:t>
            </w:r>
          </w:p>
        </w:tc>
        <w:tc>
          <w:tcPr>
            <w:tcW w:w="2393" w:type="dxa"/>
            <w:noWrap/>
            <w:vAlign w:val="center"/>
          </w:tcPr>
          <w:p w14:paraId="616394F5">
            <w:pPr>
              <w:jc w:val="center"/>
              <w:rPr>
                <w:color w:val="000000"/>
                <w:sz w:val="20"/>
                <w:szCs w:val="20"/>
              </w:rPr>
            </w:pPr>
            <w:r>
              <w:rPr>
                <w:color w:val="000000"/>
                <w:sz w:val="20"/>
                <w:szCs w:val="20"/>
              </w:rPr>
              <w:t>Một mặt tiền</w:t>
            </w:r>
          </w:p>
        </w:tc>
        <w:tc>
          <w:tcPr>
            <w:tcW w:w="1198" w:type="dxa"/>
            <w:noWrap/>
            <w:vAlign w:val="center"/>
          </w:tcPr>
          <w:p w14:paraId="4456560B">
            <w:pPr>
              <w:jc w:val="center"/>
              <w:rPr>
                <w:color w:val="000000"/>
                <w:sz w:val="20"/>
                <w:szCs w:val="20"/>
              </w:rPr>
            </w:pPr>
            <w:r>
              <w:rPr>
                <w:color w:val="000000"/>
                <w:sz w:val="20"/>
                <w:szCs w:val="20"/>
              </w:rPr>
              <w:t>10.000.000</w:t>
            </w:r>
          </w:p>
        </w:tc>
        <w:tc>
          <w:tcPr>
            <w:tcW w:w="1236" w:type="dxa"/>
            <w:noWrap/>
            <w:vAlign w:val="center"/>
          </w:tcPr>
          <w:p w14:paraId="3F2FB212">
            <w:pPr>
              <w:jc w:val="center"/>
              <w:rPr>
                <w:color w:val="000000"/>
                <w:sz w:val="20"/>
                <w:szCs w:val="20"/>
              </w:rPr>
            </w:pPr>
          </w:p>
        </w:tc>
        <w:tc>
          <w:tcPr>
            <w:tcW w:w="1252" w:type="dxa"/>
            <w:noWrap/>
            <w:vAlign w:val="center"/>
          </w:tcPr>
          <w:p w14:paraId="23CF40B8">
            <w:pPr>
              <w:jc w:val="center"/>
              <w:rPr>
                <w:color w:val="000000"/>
                <w:sz w:val="20"/>
                <w:szCs w:val="20"/>
              </w:rPr>
            </w:pPr>
            <w:r>
              <w:rPr>
                <w:color w:val="000000"/>
                <w:sz w:val="20"/>
                <w:szCs w:val="20"/>
              </w:rPr>
              <w:t>10.000.000</w:t>
            </w:r>
          </w:p>
        </w:tc>
        <w:tc>
          <w:tcPr>
            <w:tcW w:w="1848" w:type="dxa"/>
            <w:noWrap/>
            <w:vAlign w:val="center"/>
          </w:tcPr>
          <w:p w14:paraId="60F2A710">
            <w:pPr>
              <w:jc w:val="center"/>
              <w:rPr>
                <w:color w:val="000000"/>
                <w:sz w:val="20"/>
                <w:szCs w:val="20"/>
              </w:rPr>
            </w:pPr>
            <w:r>
              <w:rPr>
                <w:color w:val="000000"/>
                <w:sz w:val="20"/>
                <w:szCs w:val="20"/>
              </w:rPr>
              <w:t>900.000.000</w:t>
            </w:r>
          </w:p>
        </w:tc>
      </w:tr>
      <w:tr w14:paraId="7976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0CB4F7B">
            <w:pPr>
              <w:jc w:val="center"/>
              <w:rPr>
                <w:b/>
                <w:bCs/>
                <w:color w:val="000000"/>
                <w:sz w:val="20"/>
                <w:szCs w:val="20"/>
              </w:rPr>
            </w:pPr>
            <w:r>
              <w:rPr>
                <w:b/>
                <w:bCs/>
                <w:color w:val="000000"/>
                <w:sz w:val="20"/>
                <w:szCs w:val="20"/>
              </w:rPr>
              <w:t>LK48</w:t>
            </w:r>
          </w:p>
        </w:tc>
        <w:tc>
          <w:tcPr>
            <w:tcW w:w="1802" w:type="dxa"/>
            <w:vAlign w:val="center"/>
          </w:tcPr>
          <w:p w14:paraId="62B4D3CF">
            <w:pPr>
              <w:jc w:val="center"/>
              <w:rPr>
                <w:color w:val="000000"/>
                <w:sz w:val="20"/>
                <w:szCs w:val="20"/>
              </w:rPr>
            </w:pPr>
            <w:r>
              <w:rPr>
                <w:color w:val="000000"/>
                <w:sz w:val="20"/>
                <w:szCs w:val="20"/>
              </w:rPr>
              <w:t>LK48:07</w:t>
            </w:r>
          </w:p>
        </w:tc>
        <w:tc>
          <w:tcPr>
            <w:tcW w:w="1033" w:type="dxa"/>
            <w:noWrap/>
            <w:vAlign w:val="center"/>
          </w:tcPr>
          <w:p w14:paraId="4E2E99E5">
            <w:pPr>
              <w:jc w:val="center"/>
              <w:rPr>
                <w:color w:val="000000"/>
                <w:sz w:val="20"/>
                <w:szCs w:val="20"/>
              </w:rPr>
            </w:pPr>
            <w:r>
              <w:rPr>
                <w:color w:val="000000"/>
                <w:sz w:val="20"/>
                <w:szCs w:val="20"/>
              </w:rPr>
              <w:t>90,00</w:t>
            </w:r>
          </w:p>
        </w:tc>
        <w:tc>
          <w:tcPr>
            <w:tcW w:w="846" w:type="dxa"/>
            <w:noWrap/>
            <w:vAlign w:val="center"/>
          </w:tcPr>
          <w:p w14:paraId="6CD2BD08">
            <w:pPr>
              <w:jc w:val="center"/>
              <w:rPr>
                <w:color w:val="000000"/>
                <w:sz w:val="20"/>
                <w:szCs w:val="20"/>
              </w:rPr>
            </w:pPr>
            <w:r>
              <w:rPr>
                <w:color w:val="000000"/>
                <w:sz w:val="20"/>
                <w:szCs w:val="20"/>
              </w:rPr>
              <w:t>1</w:t>
            </w:r>
          </w:p>
        </w:tc>
        <w:tc>
          <w:tcPr>
            <w:tcW w:w="2578" w:type="dxa"/>
            <w:noWrap/>
            <w:vAlign w:val="center"/>
          </w:tcPr>
          <w:p w14:paraId="6BAAC9C0">
            <w:pPr>
              <w:jc w:val="center"/>
              <w:rPr>
                <w:color w:val="000000"/>
                <w:sz w:val="20"/>
                <w:szCs w:val="20"/>
              </w:rPr>
            </w:pPr>
            <w:r>
              <w:rPr>
                <w:color w:val="000000"/>
                <w:sz w:val="20"/>
                <w:szCs w:val="20"/>
              </w:rPr>
              <w:t>Mặt cắt 3-3</w:t>
            </w:r>
          </w:p>
        </w:tc>
        <w:tc>
          <w:tcPr>
            <w:tcW w:w="2393" w:type="dxa"/>
            <w:noWrap/>
            <w:vAlign w:val="center"/>
          </w:tcPr>
          <w:p w14:paraId="120AAFAE">
            <w:pPr>
              <w:jc w:val="center"/>
              <w:rPr>
                <w:color w:val="000000"/>
                <w:sz w:val="20"/>
                <w:szCs w:val="20"/>
              </w:rPr>
            </w:pPr>
            <w:r>
              <w:rPr>
                <w:color w:val="000000"/>
                <w:sz w:val="20"/>
                <w:szCs w:val="20"/>
              </w:rPr>
              <w:t>Một mặt tiền</w:t>
            </w:r>
          </w:p>
        </w:tc>
        <w:tc>
          <w:tcPr>
            <w:tcW w:w="1198" w:type="dxa"/>
            <w:noWrap/>
            <w:vAlign w:val="center"/>
          </w:tcPr>
          <w:p w14:paraId="3F027376">
            <w:pPr>
              <w:jc w:val="center"/>
              <w:rPr>
                <w:color w:val="000000"/>
                <w:sz w:val="20"/>
                <w:szCs w:val="20"/>
              </w:rPr>
            </w:pPr>
            <w:r>
              <w:rPr>
                <w:color w:val="000000"/>
                <w:sz w:val="20"/>
                <w:szCs w:val="20"/>
              </w:rPr>
              <w:t>10.000.000</w:t>
            </w:r>
          </w:p>
        </w:tc>
        <w:tc>
          <w:tcPr>
            <w:tcW w:w="1236" w:type="dxa"/>
            <w:noWrap/>
            <w:vAlign w:val="center"/>
          </w:tcPr>
          <w:p w14:paraId="5C145A1F">
            <w:pPr>
              <w:jc w:val="center"/>
              <w:rPr>
                <w:color w:val="000000"/>
                <w:sz w:val="20"/>
                <w:szCs w:val="20"/>
              </w:rPr>
            </w:pPr>
          </w:p>
        </w:tc>
        <w:tc>
          <w:tcPr>
            <w:tcW w:w="1252" w:type="dxa"/>
            <w:noWrap/>
            <w:vAlign w:val="center"/>
          </w:tcPr>
          <w:p w14:paraId="13D23274">
            <w:pPr>
              <w:jc w:val="center"/>
              <w:rPr>
                <w:color w:val="000000"/>
                <w:sz w:val="20"/>
                <w:szCs w:val="20"/>
              </w:rPr>
            </w:pPr>
            <w:r>
              <w:rPr>
                <w:color w:val="000000"/>
                <w:sz w:val="20"/>
                <w:szCs w:val="20"/>
              </w:rPr>
              <w:t>10.000.000</w:t>
            </w:r>
          </w:p>
        </w:tc>
        <w:tc>
          <w:tcPr>
            <w:tcW w:w="1848" w:type="dxa"/>
            <w:noWrap/>
            <w:vAlign w:val="center"/>
          </w:tcPr>
          <w:p w14:paraId="01E641CB">
            <w:pPr>
              <w:jc w:val="center"/>
              <w:rPr>
                <w:color w:val="000000"/>
                <w:sz w:val="20"/>
                <w:szCs w:val="20"/>
              </w:rPr>
            </w:pPr>
            <w:r>
              <w:rPr>
                <w:color w:val="000000"/>
                <w:sz w:val="20"/>
                <w:szCs w:val="20"/>
              </w:rPr>
              <w:t>900.000.000</w:t>
            </w:r>
          </w:p>
        </w:tc>
      </w:tr>
      <w:tr w14:paraId="686A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B7024C2">
            <w:pPr>
              <w:jc w:val="center"/>
              <w:rPr>
                <w:b/>
                <w:bCs/>
                <w:color w:val="000000"/>
                <w:sz w:val="20"/>
                <w:szCs w:val="20"/>
              </w:rPr>
            </w:pPr>
            <w:r>
              <w:rPr>
                <w:b/>
                <w:bCs/>
                <w:color w:val="000000"/>
                <w:sz w:val="20"/>
                <w:szCs w:val="20"/>
              </w:rPr>
              <w:t>LK48</w:t>
            </w:r>
          </w:p>
        </w:tc>
        <w:tc>
          <w:tcPr>
            <w:tcW w:w="1802" w:type="dxa"/>
            <w:vAlign w:val="center"/>
          </w:tcPr>
          <w:p w14:paraId="783F16A4">
            <w:pPr>
              <w:jc w:val="center"/>
              <w:rPr>
                <w:color w:val="000000"/>
                <w:sz w:val="20"/>
                <w:szCs w:val="20"/>
              </w:rPr>
            </w:pPr>
            <w:r>
              <w:rPr>
                <w:color w:val="000000"/>
                <w:sz w:val="20"/>
                <w:szCs w:val="20"/>
              </w:rPr>
              <w:t>LK48:08</w:t>
            </w:r>
          </w:p>
        </w:tc>
        <w:tc>
          <w:tcPr>
            <w:tcW w:w="1033" w:type="dxa"/>
            <w:noWrap/>
            <w:vAlign w:val="center"/>
          </w:tcPr>
          <w:p w14:paraId="27548E8F">
            <w:pPr>
              <w:jc w:val="center"/>
              <w:rPr>
                <w:color w:val="000000"/>
                <w:sz w:val="20"/>
                <w:szCs w:val="20"/>
              </w:rPr>
            </w:pPr>
            <w:r>
              <w:rPr>
                <w:color w:val="000000"/>
                <w:sz w:val="20"/>
                <w:szCs w:val="20"/>
              </w:rPr>
              <w:t>90,00</w:t>
            </w:r>
          </w:p>
        </w:tc>
        <w:tc>
          <w:tcPr>
            <w:tcW w:w="846" w:type="dxa"/>
            <w:noWrap/>
            <w:vAlign w:val="center"/>
          </w:tcPr>
          <w:p w14:paraId="71EDDCE3">
            <w:pPr>
              <w:jc w:val="center"/>
              <w:rPr>
                <w:color w:val="000000"/>
                <w:sz w:val="20"/>
                <w:szCs w:val="20"/>
              </w:rPr>
            </w:pPr>
            <w:r>
              <w:rPr>
                <w:color w:val="000000"/>
                <w:sz w:val="20"/>
                <w:szCs w:val="20"/>
              </w:rPr>
              <w:t>1</w:t>
            </w:r>
          </w:p>
        </w:tc>
        <w:tc>
          <w:tcPr>
            <w:tcW w:w="2578" w:type="dxa"/>
            <w:noWrap/>
            <w:vAlign w:val="center"/>
          </w:tcPr>
          <w:p w14:paraId="4D3FE19B">
            <w:pPr>
              <w:jc w:val="center"/>
              <w:rPr>
                <w:color w:val="000000"/>
                <w:sz w:val="20"/>
                <w:szCs w:val="20"/>
              </w:rPr>
            </w:pPr>
            <w:r>
              <w:rPr>
                <w:color w:val="000000"/>
                <w:sz w:val="20"/>
                <w:szCs w:val="20"/>
              </w:rPr>
              <w:t>Mặt cắt 3-3</w:t>
            </w:r>
          </w:p>
        </w:tc>
        <w:tc>
          <w:tcPr>
            <w:tcW w:w="2393" w:type="dxa"/>
            <w:noWrap/>
            <w:vAlign w:val="center"/>
          </w:tcPr>
          <w:p w14:paraId="26BEDBF0">
            <w:pPr>
              <w:jc w:val="center"/>
              <w:rPr>
                <w:color w:val="000000"/>
                <w:sz w:val="20"/>
                <w:szCs w:val="20"/>
              </w:rPr>
            </w:pPr>
            <w:r>
              <w:rPr>
                <w:color w:val="000000"/>
                <w:sz w:val="20"/>
                <w:szCs w:val="20"/>
              </w:rPr>
              <w:t>Một mặt tiền</w:t>
            </w:r>
          </w:p>
        </w:tc>
        <w:tc>
          <w:tcPr>
            <w:tcW w:w="1198" w:type="dxa"/>
            <w:noWrap/>
            <w:vAlign w:val="center"/>
          </w:tcPr>
          <w:p w14:paraId="03085DDC">
            <w:pPr>
              <w:jc w:val="center"/>
              <w:rPr>
                <w:color w:val="000000"/>
                <w:sz w:val="20"/>
                <w:szCs w:val="20"/>
              </w:rPr>
            </w:pPr>
            <w:r>
              <w:rPr>
                <w:color w:val="000000"/>
                <w:sz w:val="20"/>
                <w:szCs w:val="20"/>
              </w:rPr>
              <w:t>10.000.000</w:t>
            </w:r>
          </w:p>
        </w:tc>
        <w:tc>
          <w:tcPr>
            <w:tcW w:w="1236" w:type="dxa"/>
            <w:noWrap/>
            <w:vAlign w:val="center"/>
          </w:tcPr>
          <w:p w14:paraId="730561F6">
            <w:pPr>
              <w:jc w:val="center"/>
              <w:rPr>
                <w:color w:val="000000"/>
                <w:sz w:val="20"/>
                <w:szCs w:val="20"/>
              </w:rPr>
            </w:pPr>
          </w:p>
        </w:tc>
        <w:tc>
          <w:tcPr>
            <w:tcW w:w="1252" w:type="dxa"/>
            <w:noWrap/>
            <w:vAlign w:val="center"/>
          </w:tcPr>
          <w:p w14:paraId="308C1E8B">
            <w:pPr>
              <w:jc w:val="center"/>
              <w:rPr>
                <w:color w:val="000000"/>
                <w:sz w:val="20"/>
                <w:szCs w:val="20"/>
              </w:rPr>
            </w:pPr>
            <w:r>
              <w:rPr>
                <w:color w:val="000000"/>
                <w:sz w:val="20"/>
                <w:szCs w:val="20"/>
              </w:rPr>
              <w:t>10.000.000</w:t>
            </w:r>
          </w:p>
        </w:tc>
        <w:tc>
          <w:tcPr>
            <w:tcW w:w="1848" w:type="dxa"/>
            <w:noWrap/>
            <w:vAlign w:val="center"/>
          </w:tcPr>
          <w:p w14:paraId="0A7C94F0">
            <w:pPr>
              <w:jc w:val="center"/>
              <w:rPr>
                <w:color w:val="000000"/>
                <w:sz w:val="20"/>
                <w:szCs w:val="20"/>
              </w:rPr>
            </w:pPr>
            <w:r>
              <w:rPr>
                <w:color w:val="000000"/>
                <w:sz w:val="20"/>
                <w:szCs w:val="20"/>
              </w:rPr>
              <w:t>900.000.000</w:t>
            </w:r>
          </w:p>
        </w:tc>
      </w:tr>
      <w:tr w14:paraId="6B37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785D185">
            <w:pPr>
              <w:jc w:val="center"/>
              <w:rPr>
                <w:b/>
                <w:bCs/>
                <w:color w:val="000000"/>
                <w:sz w:val="20"/>
                <w:szCs w:val="20"/>
              </w:rPr>
            </w:pPr>
            <w:r>
              <w:rPr>
                <w:b/>
                <w:bCs/>
                <w:color w:val="000000"/>
                <w:sz w:val="20"/>
                <w:szCs w:val="20"/>
              </w:rPr>
              <w:t>LK48</w:t>
            </w:r>
          </w:p>
        </w:tc>
        <w:tc>
          <w:tcPr>
            <w:tcW w:w="1802" w:type="dxa"/>
            <w:vAlign w:val="center"/>
          </w:tcPr>
          <w:p w14:paraId="43C3D2E7">
            <w:pPr>
              <w:jc w:val="center"/>
              <w:rPr>
                <w:color w:val="000000"/>
                <w:sz w:val="20"/>
                <w:szCs w:val="20"/>
              </w:rPr>
            </w:pPr>
            <w:r>
              <w:rPr>
                <w:color w:val="000000"/>
                <w:sz w:val="20"/>
                <w:szCs w:val="20"/>
              </w:rPr>
              <w:t>LK48:09</w:t>
            </w:r>
          </w:p>
        </w:tc>
        <w:tc>
          <w:tcPr>
            <w:tcW w:w="1033" w:type="dxa"/>
            <w:noWrap/>
            <w:vAlign w:val="center"/>
          </w:tcPr>
          <w:p w14:paraId="4A7EBDDC">
            <w:pPr>
              <w:jc w:val="center"/>
              <w:rPr>
                <w:color w:val="000000"/>
                <w:sz w:val="20"/>
                <w:szCs w:val="20"/>
              </w:rPr>
            </w:pPr>
            <w:r>
              <w:rPr>
                <w:color w:val="000000"/>
                <w:sz w:val="20"/>
                <w:szCs w:val="20"/>
              </w:rPr>
              <w:t>89,69</w:t>
            </w:r>
          </w:p>
        </w:tc>
        <w:tc>
          <w:tcPr>
            <w:tcW w:w="846" w:type="dxa"/>
            <w:noWrap/>
            <w:vAlign w:val="center"/>
          </w:tcPr>
          <w:p w14:paraId="7B4687DF">
            <w:pPr>
              <w:jc w:val="center"/>
              <w:rPr>
                <w:color w:val="000000"/>
                <w:sz w:val="20"/>
                <w:szCs w:val="20"/>
              </w:rPr>
            </w:pPr>
            <w:r>
              <w:rPr>
                <w:color w:val="000000"/>
                <w:sz w:val="20"/>
                <w:szCs w:val="20"/>
              </w:rPr>
              <w:t>1</w:t>
            </w:r>
          </w:p>
        </w:tc>
        <w:tc>
          <w:tcPr>
            <w:tcW w:w="2578" w:type="dxa"/>
            <w:noWrap/>
            <w:vAlign w:val="center"/>
          </w:tcPr>
          <w:p w14:paraId="5BD765E1">
            <w:pPr>
              <w:jc w:val="center"/>
              <w:rPr>
                <w:color w:val="000000"/>
                <w:sz w:val="20"/>
                <w:szCs w:val="20"/>
              </w:rPr>
            </w:pPr>
            <w:r>
              <w:rPr>
                <w:color w:val="000000"/>
                <w:sz w:val="20"/>
                <w:szCs w:val="20"/>
              </w:rPr>
              <w:t>Mặt cắt 3-3</w:t>
            </w:r>
          </w:p>
        </w:tc>
        <w:tc>
          <w:tcPr>
            <w:tcW w:w="2393" w:type="dxa"/>
            <w:noWrap/>
            <w:vAlign w:val="center"/>
          </w:tcPr>
          <w:p w14:paraId="716C49EB">
            <w:pPr>
              <w:jc w:val="center"/>
              <w:rPr>
                <w:color w:val="000000"/>
                <w:sz w:val="20"/>
                <w:szCs w:val="20"/>
              </w:rPr>
            </w:pPr>
            <w:r>
              <w:rPr>
                <w:color w:val="000000"/>
                <w:sz w:val="20"/>
                <w:szCs w:val="20"/>
              </w:rPr>
              <w:t>Một mặt tiền</w:t>
            </w:r>
          </w:p>
        </w:tc>
        <w:tc>
          <w:tcPr>
            <w:tcW w:w="1198" w:type="dxa"/>
            <w:noWrap/>
            <w:vAlign w:val="center"/>
          </w:tcPr>
          <w:p w14:paraId="625CACC3">
            <w:pPr>
              <w:jc w:val="center"/>
              <w:rPr>
                <w:color w:val="000000"/>
                <w:sz w:val="20"/>
                <w:szCs w:val="20"/>
              </w:rPr>
            </w:pPr>
            <w:r>
              <w:rPr>
                <w:color w:val="000000"/>
                <w:sz w:val="20"/>
                <w:szCs w:val="20"/>
              </w:rPr>
              <w:t>10.000.000</w:t>
            </w:r>
          </w:p>
        </w:tc>
        <w:tc>
          <w:tcPr>
            <w:tcW w:w="1236" w:type="dxa"/>
            <w:noWrap/>
            <w:vAlign w:val="center"/>
          </w:tcPr>
          <w:p w14:paraId="185CA05D">
            <w:pPr>
              <w:jc w:val="center"/>
              <w:rPr>
                <w:color w:val="000000"/>
                <w:sz w:val="20"/>
                <w:szCs w:val="20"/>
              </w:rPr>
            </w:pPr>
          </w:p>
        </w:tc>
        <w:tc>
          <w:tcPr>
            <w:tcW w:w="1252" w:type="dxa"/>
            <w:noWrap/>
            <w:vAlign w:val="center"/>
          </w:tcPr>
          <w:p w14:paraId="3480DC5D">
            <w:pPr>
              <w:jc w:val="center"/>
              <w:rPr>
                <w:color w:val="000000"/>
                <w:sz w:val="20"/>
                <w:szCs w:val="20"/>
              </w:rPr>
            </w:pPr>
            <w:r>
              <w:rPr>
                <w:color w:val="000000"/>
                <w:sz w:val="20"/>
                <w:szCs w:val="20"/>
              </w:rPr>
              <w:t>10.000.000</w:t>
            </w:r>
          </w:p>
        </w:tc>
        <w:tc>
          <w:tcPr>
            <w:tcW w:w="1848" w:type="dxa"/>
            <w:noWrap/>
            <w:vAlign w:val="center"/>
          </w:tcPr>
          <w:p w14:paraId="4E92A7B0">
            <w:pPr>
              <w:jc w:val="center"/>
              <w:rPr>
                <w:color w:val="000000"/>
                <w:sz w:val="20"/>
                <w:szCs w:val="20"/>
              </w:rPr>
            </w:pPr>
            <w:r>
              <w:rPr>
                <w:color w:val="000000"/>
                <w:sz w:val="20"/>
                <w:szCs w:val="20"/>
              </w:rPr>
              <w:t>896.900.000</w:t>
            </w:r>
          </w:p>
        </w:tc>
      </w:tr>
      <w:tr w14:paraId="59F9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A5357D6">
            <w:pPr>
              <w:jc w:val="center"/>
              <w:rPr>
                <w:b/>
                <w:bCs/>
                <w:color w:val="000000"/>
                <w:sz w:val="20"/>
                <w:szCs w:val="20"/>
              </w:rPr>
            </w:pPr>
            <w:r>
              <w:rPr>
                <w:b/>
                <w:bCs/>
                <w:color w:val="000000"/>
                <w:sz w:val="20"/>
                <w:szCs w:val="20"/>
              </w:rPr>
              <w:t>LK53</w:t>
            </w:r>
          </w:p>
        </w:tc>
        <w:tc>
          <w:tcPr>
            <w:tcW w:w="1802" w:type="dxa"/>
            <w:vAlign w:val="center"/>
          </w:tcPr>
          <w:p w14:paraId="4A5D8216">
            <w:pPr>
              <w:jc w:val="center"/>
              <w:rPr>
                <w:color w:val="000000"/>
                <w:sz w:val="20"/>
                <w:szCs w:val="20"/>
              </w:rPr>
            </w:pPr>
            <w:r>
              <w:rPr>
                <w:color w:val="000000"/>
                <w:sz w:val="20"/>
                <w:szCs w:val="20"/>
              </w:rPr>
              <w:t>LK53:02</w:t>
            </w:r>
          </w:p>
        </w:tc>
        <w:tc>
          <w:tcPr>
            <w:tcW w:w="1033" w:type="dxa"/>
            <w:noWrap/>
            <w:vAlign w:val="center"/>
          </w:tcPr>
          <w:p w14:paraId="00545B91">
            <w:pPr>
              <w:jc w:val="center"/>
              <w:rPr>
                <w:color w:val="000000"/>
                <w:sz w:val="20"/>
                <w:szCs w:val="20"/>
              </w:rPr>
            </w:pPr>
            <w:r>
              <w:rPr>
                <w:color w:val="000000"/>
                <w:sz w:val="20"/>
                <w:szCs w:val="20"/>
              </w:rPr>
              <w:t>103,50</w:t>
            </w:r>
          </w:p>
        </w:tc>
        <w:tc>
          <w:tcPr>
            <w:tcW w:w="846" w:type="dxa"/>
            <w:noWrap/>
            <w:vAlign w:val="center"/>
          </w:tcPr>
          <w:p w14:paraId="3F49676C">
            <w:pPr>
              <w:jc w:val="center"/>
              <w:rPr>
                <w:color w:val="000000"/>
                <w:sz w:val="20"/>
                <w:szCs w:val="20"/>
              </w:rPr>
            </w:pPr>
            <w:r>
              <w:rPr>
                <w:color w:val="000000"/>
                <w:sz w:val="20"/>
                <w:szCs w:val="20"/>
              </w:rPr>
              <w:t>1</w:t>
            </w:r>
          </w:p>
        </w:tc>
        <w:tc>
          <w:tcPr>
            <w:tcW w:w="2578" w:type="dxa"/>
            <w:noWrap/>
            <w:vAlign w:val="center"/>
          </w:tcPr>
          <w:p w14:paraId="7E117858">
            <w:pPr>
              <w:jc w:val="center"/>
              <w:rPr>
                <w:color w:val="000000"/>
                <w:sz w:val="20"/>
                <w:szCs w:val="20"/>
              </w:rPr>
            </w:pPr>
            <w:r>
              <w:rPr>
                <w:color w:val="000000"/>
                <w:sz w:val="20"/>
                <w:szCs w:val="20"/>
              </w:rPr>
              <w:t>Mặt cắt 3-3</w:t>
            </w:r>
          </w:p>
        </w:tc>
        <w:tc>
          <w:tcPr>
            <w:tcW w:w="2393" w:type="dxa"/>
            <w:noWrap/>
            <w:vAlign w:val="center"/>
          </w:tcPr>
          <w:p w14:paraId="7F42B596">
            <w:pPr>
              <w:jc w:val="center"/>
              <w:rPr>
                <w:color w:val="000000"/>
                <w:sz w:val="20"/>
                <w:szCs w:val="20"/>
              </w:rPr>
            </w:pPr>
            <w:r>
              <w:rPr>
                <w:color w:val="000000"/>
                <w:sz w:val="20"/>
                <w:szCs w:val="20"/>
              </w:rPr>
              <w:t>Một mặt tiền</w:t>
            </w:r>
          </w:p>
        </w:tc>
        <w:tc>
          <w:tcPr>
            <w:tcW w:w="1198" w:type="dxa"/>
            <w:noWrap/>
            <w:vAlign w:val="center"/>
          </w:tcPr>
          <w:p w14:paraId="3D3D31CE">
            <w:pPr>
              <w:jc w:val="center"/>
              <w:rPr>
                <w:color w:val="000000"/>
                <w:sz w:val="20"/>
                <w:szCs w:val="20"/>
              </w:rPr>
            </w:pPr>
            <w:r>
              <w:rPr>
                <w:color w:val="000000"/>
                <w:sz w:val="20"/>
                <w:szCs w:val="20"/>
              </w:rPr>
              <w:t>10.000.000</w:t>
            </w:r>
          </w:p>
        </w:tc>
        <w:tc>
          <w:tcPr>
            <w:tcW w:w="1236" w:type="dxa"/>
            <w:noWrap/>
            <w:vAlign w:val="center"/>
          </w:tcPr>
          <w:p w14:paraId="6FAC7E7B">
            <w:pPr>
              <w:jc w:val="center"/>
              <w:rPr>
                <w:color w:val="000000"/>
                <w:sz w:val="20"/>
                <w:szCs w:val="20"/>
              </w:rPr>
            </w:pPr>
          </w:p>
        </w:tc>
        <w:tc>
          <w:tcPr>
            <w:tcW w:w="1252" w:type="dxa"/>
            <w:noWrap/>
            <w:vAlign w:val="center"/>
          </w:tcPr>
          <w:p w14:paraId="477D1BEF">
            <w:pPr>
              <w:jc w:val="center"/>
              <w:rPr>
                <w:color w:val="000000"/>
                <w:sz w:val="20"/>
                <w:szCs w:val="20"/>
              </w:rPr>
            </w:pPr>
            <w:r>
              <w:rPr>
                <w:color w:val="000000"/>
                <w:sz w:val="20"/>
                <w:szCs w:val="20"/>
              </w:rPr>
              <w:t>10.000.000</w:t>
            </w:r>
          </w:p>
        </w:tc>
        <w:tc>
          <w:tcPr>
            <w:tcW w:w="1848" w:type="dxa"/>
            <w:noWrap/>
            <w:vAlign w:val="center"/>
          </w:tcPr>
          <w:p w14:paraId="25A5855B">
            <w:pPr>
              <w:jc w:val="center"/>
              <w:rPr>
                <w:color w:val="000000"/>
                <w:sz w:val="20"/>
                <w:szCs w:val="20"/>
              </w:rPr>
            </w:pPr>
            <w:r>
              <w:rPr>
                <w:color w:val="000000"/>
                <w:sz w:val="20"/>
                <w:szCs w:val="20"/>
              </w:rPr>
              <w:t>1.035.000.000</w:t>
            </w:r>
          </w:p>
        </w:tc>
      </w:tr>
      <w:tr w14:paraId="5EBA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A521C4B">
            <w:pPr>
              <w:jc w:val="center"/>
              <w:rPr>
                <w:b/>
                <w:bCs/>
                <w:color w:val="000000"/>
                <w:sz w:val="20"/>
                <w:szCs w:val="20"/>
              </w:rPr>
            </w:pPr>
            <w:r>
              <w:rPr>
                <w:b/>
                <w:bCs/>
                <w:color w:val="000000"/>
                <w:sz w:val="20"/>
                <w:szCs w:val="20"/>
              </w:rPr>
              <w:t>LK53</w:t>
            </w:r>
          </w:p>
        </w:tc>
        <w:tc>
          <w:tcPr>
            <w:tcW w:w="1802" w:type="dxa"/>
            <w:vAlign w:val="center"/>
          </w:tcPr>
          <w:p w14:paraId="1B144B8E">
            <w:pPr>
              <w:jc w:val="center"/>
              <w:rPr>
                <w:color w:val="000000"/>
                <w:sz w:val="20"/>
                <w:szCs w:val="20"/>
              </w:rPr>
            </w:pPr>
            <w:r>
              <w:rPr>
                <w:color w:val="000000"/>
                <w:sz w:val="20"/>
                <w:szCs w:val="20"/>
              </w:rPr>
              <w:t>LK53:03</w:t>
            </w:r>
          </w:p>
        </w:tc>
        <w:tc>
          <w:tcPr>
            <w:tcW w:w="1033" w:type="dxa"/>
            <w:noWrap/>
            <w:vAlign w:val="center"/>
          </w:tcPr>
          <w:p w14:paraId="74A3460C">
            <w:pPr>
              <w:jc w:val="center"/>
              <w:rPr>
                <w:color w:val="000000"/>
                <w:sz w:val="20"/>
                <w:szCs w:val="20"/>
              </w:rPr>
            </w:pPr>
            <w:r>
              <w:rPr>
                <w:color w:val="000000"/>
                <w:sz w:val="20"/>
                <w:szCs w:val="20"/>
              </w:rPr>
              <w:t>103,50</w:t>
            </w:r>
          </w:p>
        </w:tc>
        <w:tc>
          <w:tcPr>
            <w:tcW w:w="846" w:type="dxa"/>
            <w:noWrap/>
            <w:vAlign w:val="center"/>
          </w:tcPr>
          <w:p w14:paraId="36C334CB">
            <w:pPr>
              <w:jc w:val="center"/>
              <w:rPr>
                <w:color w:val="000000"/>
                <w:sz w:val="20"/>
                <w:szCs w:val="20"/>
              </w:rPr>
            </w:pPr>
            <w:r>
              <w:rPr>
                <w:color w:val="000000"/>
                <w:sz w:val="20"/>
                <w:szCs w:val="20"/>
              </w:rPr>
              <w:t>1</w:t>
            </w:r>
          </w:p>
        </w:tc>
        <w:tc>
          <w:tcPr>
            <w:tcW w:w="2578" w:type="dxa"/>
            <w:noWrap/>
            <w:vAlign w:val="center"/>
          </w:tcPr>
          <w:p w14:paraId="79CD2217">
            <w:pPr>
              <w:jc w:val="center"/>
              <w:rPr>
                <w:color w:val="000000"/>
                <w:sz w:val="20"/>
                <w:szCs w:val="20"/>
              </w:rPr>
            </w:pPr>
            <w:r>
              <w:rPr>
                <w:color w:val="000000"/>
                <w:sz w:val="20"/>
                <w:szCs w:val="20"/>
              </w:rPr>
              <w:t>Mặt cắt 3-3</w:t>
            </w:r>
          </w:p>
        </w:tc>
        <w:tc>
          <w:tcPr>
            <w:tcW w:w="2393" w:type="dxa"/>
            <w:noWrap/>
            <w:vAlign w:val="center"/>
          </w:tcPr>
          <w:p w14:paraId="4DA1BE19">
            <w:pPr>
              <w:jc w:val="center"/>
              <w:rPr>
                <w:color w:val="000000"/>
                <w:sz w:val="20"/>
                <w:szCs w:val="20"/>
              </w:rPr>
            </w:pPr>
            <w:r>
              <w:rPr>
                <w:color w:val="000000"/>
                <w:sz w:val="20"/>
                <w:szCs w:val="20"/>
              </w:rPr>
              <w:t>Một mặt tiền</w:t>
            </w:r>
          </w:p>
        </w:tc>
        <w:tc>
          <w:tcPr>
            <w:tcW w:w="1198" w:type="dxa"/>
            <w:noWrap/>
            <w:vAlign w:val="center"/>
          </w:tcPr>
          <w:p w14:paraId="510694BB">
            <w:pPr>
              <w:jc w:val="center"/>
              <w:rPr>
                <w:color w:val="000000"/>
                <w:sz w:val="20"/>
                <w:szCs w:val="20"/>
              </w:rPr>
            </w:pPr>
            <w:r>
              <w:rPr>
                <w:color w:val="000000"/>
                <w:sz w:val="20"/>
                <w:szCs w:val="20"/>
              </w:rPr>
              <w:t>10.000.000</w:t>
            </w:r>
          </w:p>
        </w:tc>
        <w:tc>
          <w:tcPr>
            <w:tcW w:w="1236" w:type="dxa"/>
            <w:noWrap/>
            <w:vAlign w:val="center"/>
          </w:tcPr>
          <w:p w14:paraId="0484A700">
            <w:pPr>
              <w:jc w:val="center"/>
              <w:rPr>
                <w:color w:val="000000"/>
                <w:sz w:val="20"/>
                <w:szCs w:val="20"/>
              </w:rPr>
            </w:pPr>
          </w:p>
        </w:tc>
        <w:tc>
          <w:tcPr>
            <w:tcW w:w="1252" w:type="dxa"/>
            <w:noWrap/>
            <w:vAlign w:val="center"/>
          </w:tcPr>
          <w:p w14:paraId="70074F0A">
            <w:pPr>
              <w:jc w:val="center"/>
              <w:rPr>
                <w:color w:val="000000"/>
                <w:sz w:val="20"/>
                <w:szCs w:val="20"/>
              </w:rPr>
            </w:pPr>
            <w:r>
              <w:rPr>
                <w:color w:val="000000"/>
                <w:sz w:val="20"/>
                <w:szCs w:val="20"/>
              </w:rPr>
              <w:t>10.000.000</w:t>
            </w:r>
          </w:p>
        </w:tc>
        <w:tc>
          <w:tcPr>
            <w:tcW w:w="1848" w:type="dxa"/>
            <w:noWrap/>
            <w:vAlign w:val="center"/>
          </w:tcPr>
          <w:p w14:paraId="63701AA2">
            <w:pPr>
              <w:jc w:val="center"/>
              <w:rPr>
                <w:color w:val="000000"/>
                <w:sz w:val="20"/>
                <w:szCs w:val="20"/>
              </w:rPr>
            </w:pPr>
            <w:r>
              <w:rPr>
                <w:color w:val="000000"/>
                <w:sz w:val="20"/>
                <w:szCs w:val="20"/>
              </w:rPr>
              <w:t>1.035.000.000</w:t>
            </w:r>
          </w:p>
        </w:tc>
      </w:tr>
      <w:tr w14:paraId="243E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746DA37">
            <w:pPr>
              <w:jc w:val="center"/>
              <w:rPr>
                <w:b/>
                <w:bCs/>
                <w:color w:val="000000"/>
                <w:sz w:val="20"/>
                <w:szCs w:val="20"/>
              </w:rPr>
            </w:pPr>
            <w:r>
              <w:rPr>
                <w:b/>
                <w:bCs/>
                <w:color w:val="000000"/>
                <w:sz w:val="20"/>
                <w:szCs w:val="20"/>
              </w:rPr>
              <w:t>LK53</w:t>
            </w:r>
          </w:p>
        </w:tc>
        <w:tc>
          <w:tcPr>
            <w:tcW w:w="1802" w:type="dxa"/>
            <w:vAlign w:val="center"/>
          </w:tcPr>
          <w:p w14:paraId="342E384A">
            <w:pPr>
              <w:jc w:val="center"/>
              <w:rPr>
                <w:color w:val="000000"/>
                <w:sz w:val="20"/>
                <w:szCs w:val="20"/>
              </w:rPr>
            </w:pPr>
            <w:r>
              <w:rPr>
                <w:color w:val="000000"/>
                <w:sz w:val="20"/>
                <w:szCs w:val="20"/>
              </w:rPr>
              <w:t>LK53:04</w:t>
            </w:r>
          </w:p>
        </w:tc>
        <w:tc>
          <w:tcPr>
            <w:tcW w:w="1033" w:type="dxa"/>
            <w:noWrap/>
            <w:vAlign w:val="center"/>
          </w:tcPr>
          <w:p w14:paraId="6C322D39">
            <w:pPr>
              <w:jc w:val="center"/>
              <w:rPr>
                <w:color w:val="000000"/>
                <w:sz w:val="20"/>
                <w:szCs w:val="20"/>
              </w:rPr>
            </w:pPr>
            <w:r>
              <w:rPr>
                <w:color w:val="000000"/>
                <w:sz w:val="20"/>
                <w:szCs w:val="20"/>
              </w:rPr>
              <w:t>103,50</w:t>
            </w:r>
          </w:p>
        </w:tc>
        <w:tc>
          <w:tcPr>
            <w:tcW w:w="846" w:type="dxa"/>
            <w:noWrap/>
            <w:vAlign w:val="center"/>
          </w:tcPr>
          <w:p w14:paraId="5BFDC257">
            <w:pPr>
              <w:jc w:val="center"/>
              <w:rPr>
                <w:color w:val="000000"/>
                <w:sz w:val="20"/>
                <w:szCs w:val="20"/>
              </w:rPr>
            </w:pPr>
            <w:r>
              <w:rPr>
                <w:color w:val="000000"/>
                <w:sz w:val="20"/>
                <w:szCs w:val="20"/>
              </w:rPr>
              <w:t>1</w:t>
            </w:r>
          </w:p>
        </w:tc>
        <w:tc>
          <w:tcPr>
            <w:tcW w:w="2578" w:type="dxa"/>
            <w:noWrap/>
            <w:vAlign w:val="center"/>
          </w:tcPr>
          <w:p w14:paraId="31156D55">
            <w:pPr>
              <w:jc w:val="center"/>
              <w:rPr>
                <w:color w:val="000000"/>
                <w:sz w:val="20"/>
                <w:szCs w:val="20"/>
              </w:rPr>
            </w:pPr>
            <w:r>
              <w:rPr>
                <w:color w:val="000000"/>
                <w:sz w:val="20"/>
                <w:szCs w:val="20"/>
              </w:rPr>
              <w:t>Mặt cắt 3-3</w:t>
            </w:r>
          </w:p>
        </w:tc>
        <w:tc>
          <w:tcPr>
            <w:tcW w:w="2393" w:type="dxa"/>
            <w:noWrap/>
            <w:vAlign w:val="center"/>
          </w:tcPr>
          <w:p w14:paraId="1E1014AC">
            <w:pPr>
              <w:jc w:val="center"/>
              <w:rPr>
                <w:color w:val="000000"/>
                <w:sz w:val="20"/>
                <w:szCs w:val="20"/>
              </w:rPr>
            </w:pPr>
            <w:r>
              <w:rPr>
                <w:color w:val="000000"/>
                <w:sz w:val="20"/>
                <w:szCs w:val="20"/>
              </w:rPr>
              <w:t>Một mặt tiền</w:t>
            </w:r>
          </w:p>
        </w:tc>
        <w:tc>
          <w:tcPr>
            <w:tcW w:w="1198" w:type="dxa"/>
            <w:noWrap/>
            <w:vAlign w:val="center"/>
          </w:tcPr>
          <w:p w14:paraId="69F5C633">
            <w:pPr>
              <w:jc w:val="center"/>
              <w:rPr>
                <w:color w:val="000000"/>
                <w:sz w:val="20"/>
                <w:szCs w:val="20"/>
              </w:rPr>
            </w:pPr>
            <w:r>
              <w:rPr>
                <w:color w:val="000000"/>
                <w:sz w:val="20"/>
                <w:szCs w:val="20"/>
              </w:rPr>
              <w:t>10.000.000</w:t>
            </w:r>
          </w:p>
        </w:tc>
        <w:tc>
          <w:tcPr>
            <w:tcW w:w="1236" w:type="dxa"/>
            <w:noWrap/>
            <w:vAlign w:val="center"/>
          </w:tcPr>
          <w:p w14:paraId="14C189D1">
            <w:pPr>
              <w:jc w:val="center"/>
              <w:rPr>
                <w:color w:val="000000"/>
                <w:sz w:val="20"/>
                <w:szCs w:val="20"/>
              </w:rPr>
            </w:pPr>
          </w:p>
        </w:tc>
        <w:tc>
          <w:tcPr>
            <w:tcW w:w="1252" w:type="dxa"/>
            <w:noWrap/>
            <w:vAlign w:val="center"/>
          </w:tcPr>
          <w:p w14:paraId="5FD0D0FE">
            <w:pPr>
              <w:jc w:val="center"/>
              <w:rPr>
                <w:color w:val="000000"/>
                <w:sz w:val="20"/>
                <w:szCs w:val="20"/>
              </w:rPr>
            </w:pPr>
            <w:r>
              <w:rPr>
                <w:color w:val="000000"/>
                <w:sz w:val="20"/>
                <w:szCs w:val="20"/>
              </w:rPr>
              <w:t>10.000.000</w:t>
            </w:r>
          </w:p>
        </w:tc>
        <w:tc>
          <w:tcPr>
            <w:tcW w:w="1848" w:type="dxa"/>
            <w:noWrap/>
            <w:vAlign w:val="center"/>
          </w:tcPr>
          <w:p w14:paraId="68EE97B5">
            <w:pPr>
              <w:jc w:val="center"/>
              <w:rPr>
                <w:color w:val="000000"/>
                <w:sz w:val="20"/>
                <w:szCs w:val="20"/>
              </w:rPr>
            </w:pPr>
            <w:r>
              <w:rPr>
                <w:color w:val="000000"/>
                <w:sz w:val="20"/>
                <w:szCs w:val="20"/>
              </w:rPr>
              <w:t>1.035.000.000</w:t>
            </w:r>
          </w:p>
        </w:tc>
      </w:tr>
      <w:tr w14:paraId="1285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C823975">
            <w:pPr>
              <w:jc w:val="center"/>
              <w:rPr>
                <w:b/>
                <w:bCs/>
                <w:color w:val="000000"/>
                <w:sz w:val="20"/>
                <w:szCs w:val="20"/>
              </w:rPr>
            </w:pPr>
            <w:r>
              <w:rPr>
                <w:b/>
                <w:bCs/>
                <w:color w:val="000000"/>
                <w:sz w:val="20"/>
                <w:szCs w:val="20"/>
              </w:rPr>
              <w:t>LK53</w:t>
            </w:r>
          </w:p>
        </w:tc>
        <w:tc>
          <w:tcPr>
            <w:tcW w:w="1802" w:type="dxa"/>
            <w:vAlign w:val="center"/>
          </w:tcPr>
          <w:p w14:paraId="4AE30642">
            <w:pPr>
              <w:jc w:val="center"/>
              <w:rPr>
                <w:color w:val="000000"/>
                <w:sz w:val="20"/>
                <w:szCs w:val="20"/>
              </w:rPr>
            </w:pPr>
            <w:r>
              <w:rPr>
                <w:color w:val="000000"/>
                <w:sz w:val="20"/>
                <w:szCs w:val="20"/>
              </w:rPr>
              <w:t>LK53:05</w:t>
            </w:r>
          </w:p>
        </w:tc>
        <w:tc>
          <w:tcPr>
            <w:tcW w:w="1033" w:type="dxa"/>
            <w:noWrap/>
            <w:vAlign w:val="center"/>
          </w:tcPr>
          <w:p w14:paraId="0273FA22">
            <w:pPr>
              <w:jc w:val="center"/>
              <w:rPr>
                <w:color w:val="000000"/>
                <w:sz w:val="20"/>
                <w:szCs w:val="20"/>
              </w:rPr>
            </w:pPr>
            <w:r>
              <w:rPr>
                <w:color w:val="000000"/>
                <w:sz w:val="20"/>
                <w:szCs w:val="20"/>
              </w:rPr>
              <w:t>103,50</w:t>
            </w:r>
          </w:p>
        </w:tc>
        <w:tc>
          <w:tcPr>
            <w:tcW w:w="846" w:type="dxa"/>
            <w:noWrap/>
            <w:vAlign w:val="center"/>
          </w:tcPr>
          <w:p w14:paraId="364F89E6">
            <w:pPr>
              <w:jc w:val="center"/>
              <w:rPr>
                <w:color w:val="000000"/>
                <w:sz w:val="20"/>
                <w:szCs w:val="20"/>
              </w:rPr>
            </w:pPr>
            <w:r>
              <w:rPr>
                <w:color w:val="000000"/>
                <w:sz w:val="20"/>
                <w:szCs w:val="20"/>
              </w:rPr>
              <w:t>1</w:t>
            </w:r>
          </w:p>
        </w:tc>
        <w:tc>
          <w:tcPr>
            <w:tcW w:w="2578" w:type="dxa"/>
            <w:noWrap/>
            <w:vAlign w:val="center"/>
          </w:tcPr>
          <w:p w14:paraId="246A0218">
            <w:pPr>
              <w:jc w:val="center"/>
              <w:rPr>
                <w:color w:val="000000"/>
                <w:sz w:val="20"/>
                <w:szCs w:val="20"/>
              </w:rPr>
            </w:pPr>
            <w:r>
              <w:rPr>
                <w:color w:val="000000"/>
                <w:sz w:val="20"/>
                <w:szCs w:val="20"/>
              </w:rPr>
              <w:t>Mặt cắt 3-3</w:t>
            </w:r>
          </w:p>
        </w:tc>
        <w:tc>
          <w:tcPr>
            <w:tcW w:w="2393" w:type="dxa"/>
            <w:noWrap/>
            <w:vAlign w:val="center"/>
          </w:tcPr>
          <w:p w14:paraId="11DF0C6B">
            <w:pPr>
              <w:jc w:val="center"/>
              <w:rPr>
                <w:color w:val="000000"/>
                <w:sz w:val="20"/>
                <w:szCs w:val="20"/>
              </w:rPr>
            </w:pPr>
            <w:r>
              <w:rPr>
                <w:color w:val="000000"/>
                <w:sz w:val="20"/>
                <w:szCs w:val="20"/>
              </w:rPr>
              <w:t>Một mặt tiền</w:t>
            </w:r>
          </w:p>
        </w:tc>
        <w:tc>
          <w:tcPr>
            <w:tcW w:w="1198" w:type="dxa"/>
            <w:noWrap/>
            <w:vAlign w:val="center"/>
          </w:tcPr>
          <w:p w14:paraId="34EC131A">
            <w:pPr>
              <w:jc w:val="center"/>
              <w:rPr>
                <w:color w:val="000000"/>
                <w:sz w:val="20"/>
                <w:szCs w:val="20"/>
              </w:rPr>
            </w:pPr>
            <w:r>
              <w:rPr>
                <w:color w:val="000000"/>
                <w:sz w:val="20"/>
                <w:szCs w:val="20"/>
              </w:rPr>
              <w:t>10.000.000</w:t>
            </w:r>
          </w:p>
        </w:tc>
        <w:tc>
          <w:tcPr>
            <w:tcW w:w="1236" w:type="dxa"/>
            <w:noWrap/>
            <w:vAlign w:val="center"/>
          </w:tcPr>
          <w:p w14:paraId="5FA5A90E">
            <w:pPr>
              <w:jc w:val="center"/>
              <w:rPr>
                <w:color w:val="000000"/>
                <w:sz w:val="20"/>
                <w:szCs w:val="20"/>
              </w:rPr>
            </w:pPr>
          </w:p>
        </w:tc>
        <w:tc>
          <w:tcPr>
            <w:tcW w:w="1252" w:type="dxa"/>
            <w:noWrap/>
            <w:vAlign w:val="center"/>
          </w:tcPr>
          <w:p w14:paraId="71536B67">
            <w:pPr>
              <w:jc w:val="center"/>
              <w:rPr>
                <w:color w:val="000000"/>
                <w:sz w:val="20"/>
                <w:szCs w:val="20"/>
              </w:rPr>
            </w:pPr>
            <w:r>
              <w:rPr>
                <w:color w:val="000000"/>
                <w:sz w:val="20"/>
                <w:szCs w:val="20"/>
              </w:rPr>
              <w:t>10.000.000</w:t>
            </w:r>
          </w:p>
        </w:tc>
        <w:tc>
          <w:tcPr>
            <w:tcW w:w="1848" w:type="dxa"/>
            <w:noWrap/>
            <w:vAlign w:val="center"/>
          </w:tcPr>
          <w:p w14:paraId="284C4F26">
            <w:pPr>
              <w:jc w:val="center"/>
              <w:rPr>
                <w:color w:val="000000"/>
                <w:sz w:val="20"/>
                <w:szCs w:val="20"/>
              </w:rPr>
            </w:pPr>
            <w:r>
              <w:rPr>
                <w:color w:val="000000"/>
                <w:sz w:val="20"/>
                <w:szCs w:val="20"/>
              </w:rPr>
              <w:t>1.035.000.000</w:t>
            </w:r>
          </w:p>
        </w:tc>
      </w:tr>
      <w:tr w14:paraId="5669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5D4FB1">
            <w:pPr>
              <w:jc w:val="center"/>
              <w:rPr>
                <w:b/>
                <w:bCs/>
                <w:color w:val="000000"/>
                <w:sz w:val="20"/>
                <w:szCs w:val="20"/>
              </w:rPr>
            </w:pPr>
            <w:r>
              <w:rPr>
                <w:b/>
                <w:bCs/>
                <w:color w:val="000000"/>
                <w:sz w:val="20"/>
                <w:szCs w:val="20"/>
              </w:rPr>
              <w:t>LK53</w:t>
            </w:r>
          </w:p>
        </w:tc>
        <w:tc>
          <w:tcPr>
            <w:tcW w:w="1802" w:type="dxa"/>
            <w:vAlign w:val="center"/>
          </w:tcPr>
          <w:p w14:paraId="71C701E7">
            <w:pPr>
              <w:jc w:val="center"/>
              <w:rPr>
                <w:color w:val="000000"/>
                <w:sz w:val="20"/>
                <w:szCs w:val="20"/>
              </w:rPr>
            </w:pPr>
            <w:r>
              <w:rPr>
                <w:color w:val="000000"/>
                <w:sz w:val="20"/>
                <w:szCs w:val="20"/>
              </w:rPr>
              <w:t>LK53:06</w:t>
            </w:r>
          </w:p>
        </w:tc>
        <w:tc>
          <w:tcPr>
            <w:tcW w:w="1033" w:type="dxa"/>
            <w:noWrap/>
            <w:vAlign w:val="center"/>
          </w:tcPr>
          <w:p w14:paraId="7AA0FB7E">
            <w:pPr>
              <w:jc w:val="center"/>
              <w:rPr>
                <w:color w:val="000000"/>
                <w:sz w:val="20"/>
                <w:szCs w:val="20"/>
              </w:rPr>
            </w:pPr>
            <w:r>
              <w:rPr>
                <w:color w:val="000000"/>
                <w:sz w:val="20"/>
                <w:szCs w:val="20"/>
              </w:rPr>
              <w:t>103,50</w:t>
            </w:r>
          </w:p>
        </w:tc>
        <w:tc>
          <w:tcPr>
            <w:tcW w:w="846" w:type="dxa"/>
            <w:noWrap/>
            <w:vAlign w:val="center"/>
          </w:tcPr>
          <w:p w14:paraId="0CDD054A">
            <w:pPr>
              <w:jc w:val="center"/>
              <w:rPr>
                <w:color w:val="000000"/>
                <w:sz w:val="20"/>
                <w:szCs w:val="20"/>
              </w:rPr>
            </w:pPr>
            <w:r>
              <w:rPr>
                <w:color w:val="000000"/>
                <w:sz w:val="20"/>
                <w:szCs w:val="20"/>
              </w:rPr>
              <w:t>1</w:t>
            </w:r>
          </w:p>
        </w:tc>
        <w:tc>
          <w:tcPr>
            <w:tcW w:w="2578" w:type="dxa"/>
            <w:noWrap/>
            <w:vAlign w:val="center"/>
          </w:tcPr>
          <w:p w14:paraId="1620ACBF">
            <w:pPr>
              <w:jc w:val="center"/>
              <w:rPr>
                <w:color w:val="000000"/>
                <w:sz w:val="20"/>
                <w:szCs w:val="20"/>
              </w:rPr>
            </w:pPr>
            <w:r>
              <w:rPr>
                <w:color w:val="000000"/>
                <w:sz w:val="20"/>
                <w:szCs w:val="20"/>
              </w:rPr>
              <w:t>Mặt cắt 3-3</w:t>
            </w:r>
          </w:p>
        </w:tc>
        <w:tc>
          <w:tcPr>
            <w:tcW w:w="2393" w:type="dxa"/>
            <w:noWrap/>
            <w:vAlign w:val="center"/>
          </w:tcPr>
          <w:p w14:paraId="7E8FCC16">
            <w:pPr>
              <w:jc w:val="center"/>
              <w:rPr>
                <w:color w:val="000000"/>
                <w:sz w:val="20"/>
                <w:szCs w:val="20"/>
              </w:rPr>
            </w:pPr>
            <w:r>
              <w:rPr>
                <w:color w:val="000000"/>
                <w:sz w:val="20"/>
                <w:szCs w:val="20"/>
              </w:rPr>
              <w:t>Một mặt tiền</w:t>
            </w:r>
          </w:p>
        </w:tc>
        <w:tc>
          <w:tcPr>
            <w:tcW w:w="1198" w:type="dxa"/>
            <w:noWrap/>
            <w:vAlign w:val="center"/>
          </w:tcPr>
          <w:p w14:paraId="6D956ABD">
            <w:pPr>
              <w:jc w:val="center"/>
              <w:rPr>
                <w:color w:val="000000"/>
                <w:sz w:val="20"/>
                <w:szCs w:val="20"/>
              </w:rPr>
            </w:pPr>
            <w:r>
              <w:rPr>
                <w:color w:val="000000"/>
                <w:sz w:val="20"/>
                <w:szCs w:val="20"/>
              </w:rPr>
              <w:t>10.000.000</w:t>
            </w:r>
          </w:p>
        </w:tc>
        <w:tc>
          <w:tcPr>
            <w:tcW w:w="1236" w:type="dxa"/>
            <w:noWrap/>
            <w:vAlign w:val="center"/>
          </w:tcPr>
          <w:p w14:paraId="182CD384">
            <w:pPr>
              <w:jc w:val="center"/>
              <w:rPr>
                <w:color w:val="000000"/>
                <w:sz w:val="20"/>
                <w:szCs w:val="20"/>
              </w:rPr>
            </w:pPr>
          </w:p>
        </w:tc>
        <w:tc>
          <w:tcPr>
            <w:tcW w:w="1252" w:type="dxa"/>
            <w:noWrap/>
            <w:vAlign w:val="center"/>
          </w:tcPr>
          <w:p w14:paraId="0ABB365D">
            <w:pPr>
              <w:jc w:val="center"/>
              <w:rPr>
                <w:color w:val="000000"/>
                <w:sz w:val="20"/>
                <w:szCs w:val="20"/>
              </w:rPr>
            </w:pPr>
            <w:r>
              <w:rPr>
                <w:color w:val="000000"/>
                <w:sz w:val="20"/>
                <w:szCs w:val="20"/>
              </w:rPr>
              <w:t>10.000.000</w:t>
            </w:r>
          </w:p>
        </w:tc>
        <w:tc>
          <w:tcPr>
            <w:tcW w:w="1848" w:type="dxa"/>
            <w:noWrap/>
            <w:vAlign w:val="center"/>
          </w:tcPr>
          <w:p w14:paraId="4B21453B">
            <w:pPr>
              <w:jc w:val="center"/>
              <w:rPr>
                <w:color w:val="000000"/>
                <w:sz w:val="20"/>
                <w:szCs w:val="20"/>
              </w:rPr>
            </w:pPr>
            <w:r>
              <w:rPr>
                <w:color w:val="000000"/>
                <w:sz w:val="20"/>
                <w:szCs w:val="20"/>
              </w:rPr>
              <w:t>1.035.000.000</w:t>
            </w:r>
          </w:p>
        </w:tc>
      </w:tr>
      <w:tr w14:paraId="1A33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4B02DAF">
            <w:pPr>
              <w:jc w:val="center"/>
              <w:rPr>
                <w:b/>
                <w:bCs/>
                <w:color w:val="000000"/>
                <w:sz w:val="20"/>
                <w:szCs w:val="20"/>
              </w:rPr>
            </w:pPr>
            <w:r>
              <w:rPr>
                <w:b/>
                <w:bCs/>
                <w:color w:val="000000"/>
                <w:sz w:val="20"/>
                <w:szCs w:val="20"/>
              </w:rPr>
              <w:t>LK53</w:t>
            </w:r>
          </w:p>
        </w:tc>
        <w:tc>
          <w:tcPr>
            <w:tcW w:w="1802" w:type="dxa"/>
            <w:vAlign w:val="center"/>
          </w:tcPr>
          <w:p w14:paraId="65D574A7">
            <w:pPr>
              <w:jc w:val="center"/>
              <w:rPr>
                <w:color w:val="000000"/>
                <w:sz w:val="20"/>
                <w:szCs w:val="20"/>
              </w:rPr>
            </w:pPr>
            <w:r>
              <w:rPr>
                <w:color w:val="000000"/>
                <w:sz w:val="20"/>
                <w:szCs w:val="20"/>
              </w:rPr>
              <w:t>LK53:07</w:t>
            </w:r>
          </w:p>
        </w:tc>
        <w:tc>
          <w:tcPr>
            <w:tcW w:w="1033" w:type="dxa"/>
            <w:noWrap/>
            <w:vAlign w:val="center"/>
          </w:tcPr>
          <w:p w14:paraId="48E921F4">
            <w:pPr>
              <w:jc w:val="center"/>
              <w:rPr>
                <w:color w:val="000000"/>
                <w:sz w:val="20"/>
                <w:szCs w:val="20"/>
              </w:rPr>
            </w:pPr>
            <w:r>
              <w:rPr>
                <w:color w:val="000000"/>
                <w:sz w:val="20"/>
                <w:szCs w:val="20"/>
              </w:rPr>
              <w:t>103,50</w:t>
            </w:r>
          </w:p>
        </w:tc>
        <w:tc>
          <w:tcPr>
            <w:tcW w:w="846" w:type="dxa"/>
            <w:noWrap/>
            <w:vAlign w:val="center"/>
          </w:tcPr>
          <w:p w14:paraId="32C86E13">
            <w:pPr>
              <w:jc w:val="center"/>
              <w:rPr>
                <w:color w:val="000000"/>
                <w:sz w:val="20"/>
                <w:szCs w:val="20"/>
              </w:rPr>
            </w:pPr>
            <w:r>
              <w:rPr>
                <w:color w:val="000000"/>
                <w:sz w:val="20"/>
                <w:szCs w:val="20"/>
              </w:rPr>
              <w:t>1</w:t>
            </w:r>
          </w:p>
        </w:tc>
        <w:tc>
          <w:tcPr>
            <w:tcW w:w="2578" w:type="dxa"/>
            <w:noWrap/>
            <w:vAlign w:val="center"/>
          </w:tcPr>
          <w:p w14:paraId="4E339FF9">
            <w:pPr>
              <w:jc w:val="center"/>
              <w:rPr>
                <w:color w:val="000000"/>
                <w:sz w:val="20"/>
                <w:szCs w:val="20"/>
              </w:rPr>
            </w:pPr>
            <w:r>
              <w:rPr>
                <w:color w:val="000000"/>
                <w:sz w:val="20"/>
                <w:szCs w:val="20"/>
              </w:rPr>
              <w:t>Mặt cắt 3-3</w:t>
            </w:r>
          </w:p>
        </w:tc>
        <w:tc>
          <w:tcPr>
            <w:tcW w:w="2393" w:type="dxa"/>
            <w:noWrap/>
            <w:vAlign w:val="center"/>
          </w:tcPr>
          <w:p w14:paraId="2D8D01D4">
            <w:pPr>
              <w:jc w:val="center"/>
              <w:rPr>
                <w:color w:val="000000"/>
                <w:sz w:val="20"/>
                <w:szCs w:val="20"/>
              </w:rPr>
            </w:pPr>
            <w:r>
              <w:rPr>
                <w:color w:val="000000"/>
                <w:sz w:val="20"/>
                <w:szCs w:val="20"/>
              </w:rPr>
              <w:t>Một mặt tiền</w:t>
            </w:r>
          </w:p>
        </w:tc>
        <w:tc>
          <w:tcPr>
            <w:tcW w:w="1198" w:type="dxa"/>
            <w:noWrap/>
            <w:vAlign w:val="center"/>
          </w:tcPr>
          <w:p w14:paraId="158BEAD9">
            <w:pPr>
              <w:jc w:val="center"/>
              <w:rPr>
                <w:color w:val="000000"/>
                <w:sz w:val="20"/>
                <w:szCs w:val="20"/>
              </w:rPr>
            </w:pPr>
            <w:r>
              <w:rPr>
                <w:color w:val="000000"/>
                <w:sz w:val="20"/>
                <w:szCs w:val="20"/>
              </w:rPr>
              <w:t>10.000.000</w:t>
            </w:r>
          </w:p>
        </w:tc>
        <w:tc>
          <w:tcPr>
            <w:tcW w:w="1236" w:type="dxa"/>
            <w:noWrap/>
            <w:vAlign w:val="center"/>
          </w:tcPr>
          <w:p w14:paraId="33BD4F97">
            <w:pPr>
              <w:jc w:val="center"/>
              <w:rPr>
                <w:color w:val="000000"/>
                <w:sz w:val="20"/>
                <w:szCs w:val="20"/>
              </w:rPr>
            </w:pPr>
          </w:p>
        </w:tc>
        <w:tc>
          <w:tcPr>
            <w:tcW w:w="1252" w:type="dxa"/>
            <w:noWrap/>
            <w:vAlign w:val="center"/>
          </w:tcPr>
          <w:p w14:paraId="00A315A6">
            <w:pPr>
              <w:jc w:val="center"/>
              <w:rPr>
                <w:color w:val="000000"/>
                <w:sz w:val="20"/>
                <w:szCs w:val="20"/>
              </w:rPr>
            </w:pPr>
            <w:r>
              <w:rPr>
                <w:color w:val="000000"/>
                <w:sz w:val="20"/>
                <w:szCs w:val="20"/>
              </w:rPr>
              <w:t>10.000.000</w:t>
            </w:r>
          </w:p>
        </w:tc>
        <w:tc>
          <w:tcPr>
            <w:tcW w:w="1848" w:type="dxa"/>
            <w:noWrap/>
            <w:vAlign w:val="center"/>
          </w:tcPr>
          <w:p w14:paraId="0B8220DA">
            <w:pPr>
              <w:jc w:val="center"/>
              <w:rPr>
                <w:color w:val="000000"/>
                <w:sz w:val="20"/>
                <w:szCs w:val="20"/>
              </w:rPr>
            </w:pPr>
            <w:r>
              <w:rPr>
                <w:color w:val="000000"/>
                <w:sz w:val="20"/>
                <w:szCs w:val="20"/>
              </w:rPr>
              <w:t>1.035.000.000</w:t>
            </w:r>
          </w:p>
        </w:tc>
      </w:tr>
      <w:tr w14:paraId="5E16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415AA7E">
            <w:pPr>
              <w:jc w:val="center"/>
              <w:rPr>
                <w:b/>
                <w:bCs/>
                <w:color w:val="000000"/>
                <w:sz w:val="20"/>
                <w:szCs w:val="20"/>
              </w:rPr>
            </w:pPr>
            <w:r>
              <w:rPr>
                <w:b/>
                <w:bCs/>
                <w:color w:val="000000"/>
                <w:sz w:val="20"/>
                <w:szCs w:val="20"/>
              </w:rPr>
              <w:t>LK53</w:t>
            </w:r>
          </w:p>
        </w:tc>
        <w:tc>
          <w:tcPr>
            <w:tcW w:w="1802" w:type="dxa"/>
            <w:vAlign w:val="center"/>
          </w:tcPr>
          <w:p w14:paraId="3E3A69B8">
            <w:pPr>
              <w:jc w:val="center"/>
              <w:rPr>
                <w:color w:val="000000"/>
                <w:sz w:val="20"/>
                <w:szCs w:val="20"/>
              </w:rPr>
            </w:pPr>
            <w:r>
              <w:rPr>
                <w:color w:val="000000"/>
                <w:sz w:val="20"/>
                <w:szCs w:val="20"/>
              </w:rPr>
              <w:t>LK53:08</w:t>
            </w:r>
          </w:p>
        </w:tc>
        <w:tc>
          <w:tcPr>
            <w:tcW w:w="1033" w:type="dxa"/>
            <w:noWrap/>
            <w:vAlign w:val="center"/>
          </w:tcPr>
          <w:p w14:paraId="61F6940B">
            <w:pPr>
              <w:jc w:val="center"/>
              <w:rPr>
                <w:color w:val="000000"/>
                <w:sz w:val="20"/>
                <w:szCs w:val="20"/>
              </w:rPr>
            </w:pPr>
            <w:r>
              <w:rPr>
                <w:color w:val="000000"/>
                <w:sz w:val="20"/>
                <w:szCs w:val="20"/>
              </w:rPr>
              <w:t>103,50</w:t>
            </w:r>
          </w:p>
        </w:tc>
        <w:tc>
          <w:tcPr>
            <w:tcW w:w="846" w:type="dxa"/>
            <w:noWrap/>
            <w:vAlign w:val="center"/>
          </w:tcPr>
          <w:p w14:paraId="4B9A4436">
            <w:pPr>
              <w:jc w:val="center"/>
              <w:rPr>
                <w:color w:val="000000"/>
                <w:sz w:val="20"/>
                <w:szCs w:val="20"/>
              </w:rPr>
            </w:pPr>
            <w:r>
              <w:rPr>
                <w:color w:val="000000"/>
                <w:sz w:val="20"/>
                <w:szCs w:val="20"/>
              </w:rPr>
              <w:t>1</w:t>
            </w:r>
          </w:p>
        </w:tc>
        <w:tc>
          <w:tcPr>
            <w:tcW w:w="2578" w:type="dxa"/>
            <w:noWrap/>
            <w:vAlign w:val="center"/>
          </w:tcPr>
          <w:p w14:paraId="783799C4">
            <w:pPr>
              <w:jc w:val="center"/>
              <w:rPr>
                <w:color w:val="000000"/>
                <w:sz w:val="20"/>
                <w:szCs w:val="20"/>
              </w:rPr>
            </w:pPr>
            <w:r>
              <w:rPr>
                <w:color w:val="000000"/>
                <w:sz w:val="20"/>
                <w:szCs w:val="20"/>
              </w:rPr>
              <w:t>Mặt cắt 3-3</w:t>
            </w:r>
          </w:p>
        </w:tc>
        <w:tc>
          <w:tcPr>
            <w:tcW w:w="2393" w:type="dxa"/>
            <w:noWrap/>
            <w:vAlign w:val="center"/>
          </w:tcPr>
          <w:p w14:paraId="0812DF5B">
            <w:pPr>
              <w:jc w:val="center"/>
              <w:rPr>
                <w:color w:val="000000"/>
                <w:sz w:val="20"/>
                <w:szCs w:val="20"/>
              </w:rPr>
            </w:pPr>
            <w:r>
              <w:rPr>
                <w:color w:val="000000"/>
                <w:sz w:val="20"/>
                <w:szCs w:val="20"/>
              </w:rPr>
              <w:t>Một mặt tiền</w:t>
            </w:r>
          </w:p>
        </w:tc>
        <w:tc>
          <w:tcPr>
            <w:tcW w:w="1198" w:type="dxa"/>
            <w:noWrap/>
            <w:vAlign w:val="center"/>
          </w:tcPr>
          <w:p w14:paraId="570F4FF1">
            <w:pPr>
              <w:jc w:val="center"/>
              <w:rPr>
                <w:color w:val="000000"/>
                <w:sz w:val="20"/>
                <w:szCs w:val="20"/>
              </w:rPr>
            </w:pPr>
            <w:r>
              <w:rPr>
                <w:color w:val="000000"/>
                <w:sz w:val="20"/>
                <w:szCs w:val="20"/>
              </w:rPr>
              <w:t>10.000.000</w:t>
            </w:r>
          </w:p>
        </w:tc>
        <w:tc>
          <w:tcPr>
            <w:tcW w:w="1236" w:type="dxa"/>
            <w:noWrap/>
            <w:vAlign w:val="center"/>
          </w:tcPr>
          <w:p w14:paraId="017ABF00">
            <w:pPr>
              <w:jc w:val="center"/>
              <w:rPr>
                <w:color w:val="000000"/>
                <w:sz w:val="20"/>
                <w:szCs w:val="20"/>
              </w:rPr>
            </w:pPr>
          </w:p>
        </w:tc>
        <w:tc>
          <w:tcPr>
            <w:tcW w:w="1252" w:type="dxa"/>
            <w:noWrap/>
            <w:vAlign w:val="center"/>
          </w:tcPr>
          <w:p w14:paraId="5CFE0C6F">
            <w:pPr>
              <w:jc w:val="center"/>
              <w:rPr>
                <w:color w:val="000000"/>
                <w:sz w:val="20"/>
                <w:szCs w:val="20"/>
              </w:rPr>
            </w:pPr>
            <w:r>
              <w:rPr>
                <w:color w:val="000000"/>
                <w:sz w:val="20"/>
                <w:szCs w:val="20"/>
              </w:rPr>
              <w:t>10.000.000</w:t>
            </w:r>
          </w:p>
        </w:tc>
        <w:tc>
          <w:tcPr>
            <w:tcW w:w="1848" w:type="dxa"/>
            <w:noWrap/>
            <w:vAlign w:val="center"/>
          </w:tcPr>
          <w:p w14:paraId="192FE953">
            <w:pPr>
              <w:jc w:val="center"/>
              <w:rPr>
                <w:color w:val="000000"/>
                <w:sz w:val="20"/>
                <w:szCs w:val="20"/>
              </w:rPr>
            </w:pPr>
            <w:r>
              <w:rPr>
                <w:color w:val="000000"/>
                <w:sz w:val="20"/>
                <w:szCs w:val="20"/>
              </w:rPr>
              <w:t>1.035.000.000</w:t>
            </w:r>
          </w:p>
        </w:tc>
      </w:tr>
      <w:tr w14:paraId="1D20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F06CD07">
            <w:pPr>
              <w:jc w:val="center"/>
              <w:rPr>
                <w:b/>
                <w:bCs/>
                <w:color w:val="000000"/>
                <w:sz w:val="20"/>
                <w:szCs w:val="20"/>
              </w:rPr>
            </w:pPr>
            <w:r>
              <w:rPr>
                <w:b/>
                <w:bCs/>
                <w:color w:val="000000"/>
                <w:sz w:val="20"/>
                <w:szCs w:val="20"/>
              </w:rPr>
              <w:t>LK55</w:t>
            </w:r>
          </w:p>
        </w:tc>
        <w:tc>
          <w:tcPr>
            <w:tcW w:w="1802" w:type="dxa"/>
            <w:vAlign w:val="center"/>
          </w:tcPr>
          <w:p w14:paraId="32F44C20">
            <w:pPr>
              <w:jc w:val="center"/>
              <w:rPr>
                <w:color w:val="000000"/>
                <w:sz w:val="20"/>
                <w:szCs w:val="20"/>
              </w:rPr>
            </w:pPr>
            <w:r>
              <w:rPr>
                <w:color w:val="000000"/>
                <w:sz w:val="20"/>
                <w:szCs w:val="20"/>
              </w:rPr>
              <w:t>LK55:02</w:t>
            </w:r>
          </w:p>
        </w:tc>
        <w:tc>
          <w:tcPr>
            <w:tcW w:w="1033" w:type="dxa"/>
            <w:noWrap/>
            <w:vAlign w:val="center"/>
          </w:tcPr>
          <w:p w14:paraId="61194582">
            <w:pPr>
              <w:jc w:val="center"/>
              <w:rPr>
                <w:color w:val="000000"/>
                <w:sz w:val="20"/>
                <w:szCs w:val="20"/>
              </w:rPr>
            </w:pPr>
            <w:r>
              <w:rPr>
                <w:color w:val="000000"/>
                <w:sz w:val="20"/>
                <w:szCs w:val="20"/>
              </w:rPr>
              <w:t>103,50</w:t>
            </w:r>
          </w:p>
        </w:tc>
        <w:tc>
          <w:tcPr>
            <w:tcW w:w="846" w:type="dxa"/>
            <w:noWrap/>
            <w:vAlign w:val="center"/>
          </w:tcPr>
          <w:p w14:paraId="218C7CEC">
            <w:pPr>
              <w:jc w:val="center"/>
              <w:rPr>
                <w:color w:val="000000"/>
                <w:sz w:val="20"/>
                <w:szCs w:val="20"/>
              </w:rPr>
            </w:pPr>
            <w:r>
              <w:rPr>
                <w:color w:val="000000"/>
                <w:sz w:val="20"/>
                <w:szCs w:val="20"/>
              </w:rPr>
              <w:t>1</w:t>
            </w:r>
          </w:p>
        </w:tc>
        <w:tc>
          <w:tcPr>
            <w:tcW w:w="2578" w:type="dxa"/>
            <w:noWrap/>
            <w:vAlign w:val="center"/>
          </w:tcPr>
          <w:p w14:paraId="25A12468">
            <w:pPr>
              <w:jc w:val="center"/>
              <w:rPr>
                <w:color w:val="000000"/>
                <w:sz w:val="20"/>
                <w:szCs w:val="20"/>
              </w:rPr>
            </w:pPr>
            <w:r>
              <w:rPr>
                <w:color w:val="000000"/>
                <w:sz w:val="20"/>
                <w:szCs w:val="20"/>
              </w:rPr>
              <w:t>Mặt cắt 3-3</w:t>
            </w:r>
          </w:p>
        </w:tc>
        <w:tc>
          <w:tcPr>
            <w:tcW w:w="2393" w:type="dxa"/>
            <w:noWrap/>
            <w:vAlign w:val="center"/>
          </w:tcPr>
          <w:p w14:paraId="31FE65E0">
            <w:pPr>
              <w:jc w:val="center"/>
              <w:rPr>
                <w:color w:val="000000"/>
                <w:sz w:val="20"/>
                <w:szCs w:val="20"/>
              </w:rPr>
            </w:pPr>
            <w:r>
              <w:rPr>
                <w:color w:val="000000"/>
                <w:sz w:val="20"/>
                <w:szCs w:val="20"/>
              </w:rPr>
              <w:t>Một mặt tiền</w:t>
            </w:r>
          </w:p>
        </w:tc>
        <w:tc>
          <w:tcPr>
            <w:tcW w:w="1198" w:type="dxa"/>
            <w:noWrap/>
            <w:vAlign w:val="center"/>
          </w:tcPr>
          <w:p w14:paraId="07970FC8">
            <w:pPr>
              <w:jc w:val="center"/>
              <w:rPr>
                <w:color w:val="000000"/>
                <w:sz w:val="20"/>
                <w:szCs w:val="20"/>
              </w:rPr>
            </w:pPr>
            <w:r>
              <w:rPr>
                <w:color w:val="000000"/>
                <w:sz w:val="20"/>
                <w:szCs w:val="20"/>
              </w:rPr>
              <w:t>10.000.000</w:t>
            </w:r>
          </w:p>
        </w:tc>
        <w:tc>
          <w:tcPr>
            <w:tcW w:w="1236" w:type="dxa"/>
            <w:noWrap/>
            <w:vAlign w:val="center"/>
          </w:tcPr>
          <w:p w14:paraId="4945111F">
            <w:pPr>
              <w:jc w:val="center"/>
              <w:rPr>
                <w:color w:val="000000"/>
                <w:sz w:val="20"/>
                <w:szCs w:val="20"/>
              </w:rPr>
            </w:pPr>
          </w:p>
        </w:tc>
        <w:tc>
          <w:tcPr>
            <w:tcW w:w="1252" w:type="dxa"/>
            <w:noWrap/>
            <w:vAlign w:val="center"/>
          </w:tcPr>
          <w:p w14:paraId="79AEA534">
            <w:pPr>
              <w:jc w:val="center"/>
              <w:rPr>
                <w:color w:val="000000"/>
                <w:sz w:val="20"/>
                <w:szCs w:val="20"/>
              </w:rPr>
            </w:pPr>
            <w:r>
              <w:rPr>
                <w:color w:val="000000"/>
                <w:sz w:val="20"/>
                <w:szCs w:val="20"/>
              </w:rPr>
              <w:t>10.000.000</w:t>
            </w:r>
          </w:p>
        </w:tc>
        <w:tc>
          <w:tcPr>
            <w:tcW w:w="1848" w:type="dxa"/>
            <w:noWrap/>
            <w:vAlign w:val="center"/>
          </w:tcPr>
          <w:p w14:paraId="3C04BF04">
            <w:pPr>
              <w:jc w:val="center"/>
              <w:rPr>
                <w:color w:val="000000"/>
                <w:sz w:val="20"/>
                <w:szCs w:val="20"/>
              </w:rPr>
            </w:pPr>
            <w:r>
              <w:rPr>
                <w:color w:val="000000"/>
                <w:sz w:val="20"/>
                <w:szCs w:val="20"/>
              </w:rPr>
              <w:t>1.035.000.000</w:t>
            </w:r>
          </w:p>
        </w:tc>
      </w:tr>
      <w:tr w14:paraId="534A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F11D533">
            <w:pPr>
              <w:jc w:val="center"/>
              <w:rPr>
                <w:b/>
                <w:bCs/>
                <w:color w:val="000000"/>
                <w:sz w:val="20"/>
                <w:szCs w:val="20"/>
              </w:rPr>
            </w:pPr>
            <w:r>
              <w:rPr>
                <w:b/>
                <w:bCs/>
                <w:color w:val="000000"/>
                <w:sz w:val="20"/>
                <w:szCs w:val="20"/>
              </w:rPr>
              <w:t>LK55</w:t>
            </w:r>
          </w:p>
        </w:tc>
        <w:tc>
          <w:tcPr>
            <w:tcW w:w="1802" w:type="dxa"/>
            <w:vAlign w:val="center"/>
          </w:tcPr>
          <w:p w14:paraId="3A2CB3C2">
            <w:pPr>
              <w:jc w:val="center"/>
              <w:rPr>
                <w:color w:val="000000"/>
                <w:sz w:val="20"/>
                <w:szCs w:val="20"/>
              </w:rPr>
            </w:pPr>
            <w:r>
              <w:rPr>
                <w:color w:val="000000"/>
                <w:sz w:val="20"/>
                <w:szCs w:val="20"/>
              </w:rPr>
              <w:t>LK55:03</w:t>
            </w:r>
          </w:p>
        </w:tc>
        <w:tc>
          <w:tcPr>
            <w:tcW w:w="1033" w:type="dxa"/>
            <w:noWrap/>
            <w:vAlign w:val="center"/>
          </w:tcPr>
          <w:p w14:paraId="5FF8F616">
            <w:pPr>
              <w:jc w:val="center"/>
              <w:rPr>
                <w:color w:val="000000"/>
                <w:sz w:val="20"/>
                <w:szCs w:val="20"/>
              </w:rPr>
            </w:pPr>
            <w:r>
              <w:rPr>
                <w:color w:val="000000"/>
                <w:sz w:val="20"/>
                <w:szCs w:val="20"/>
              </w:rPr>
              <w:t>103,50</w:t>
            </w:r>
          </w:p>
        </w:tc>
        <w:tc>
          <w:tcPr>
            <w:tcW w:w="846" w:type="dxa"/>
            <w:noWrap/>
            <w:vAlign w:val="center"/>
          </w:tcPr>
          <w:p w14:paraId="6D05974F">
            <w:pPr>
              <w:jc w:val="center"/>
              <w:rPr>
                <w:color w:val="000000"/>
                <w:sz w:val="20"/>
                <w:szCs w:val="20"/>
              </w:rPr>
            </w:pPr>
            <w:r>
              <w:rPr>
                <w:color w:val="000000"/>
                <w:sz w:val="20"/>
                <w:szCs w:val="20"/>
              </w:rPr>
              <w:t>1</w:t>
            </w:r>
          </w:p>
        </w:tc>
        <w:tc>
          <w:tcPr>
            <w:tcW w:w="2578" w:type="dxa"/>
            <w:noWrap/>
            <w:vAlign w:val="center"/>
          </w:tcPr>
          <w:p w14:paraId="0A8AB26E">
            <w:pPr>
              <w:jc w:val="center"/>
              <w:rPr>
                <w:color w:val="000000"/>
                <w:sz w:val="20"/>
                <w:szCs w:val="20"/>
              </w:rPr>
            </w:pPr>
            <w:r>
              <w:rPr>
                <w:color w:val="000000"/>
                <w:sz w:val="20"/>
                <w:szCs w:val="20"/>
              </w:rPr>
              <w:t>Mặt cắt 3-3</w:t>
            </w:r>
          </w:p>
        </w:tc>
        <w:tc>
          <w:tcPr>
            <w:tcW w:w="2393" w:type="dxa"/>
            <w:noWrap/>
            <w:vAlign w:val="center"/>
          </w:tcPr>
          <w:p w14:paraId="05EBDBD7">
            <w:pPr>
              <w:jc w:val="center"/>
              <w:rPr>
                <w:color w:val="000000"/>
                <w:sz w:val="20"/>
                <w:szCs w:val="20"/>
              </w:rPr>
            </w:pPr>
            <w:r>
              <w:rPr>
                <w:color w:val="000000"/>
                <w:sz w:val="20"/>
                <w:szCs w:val="20"/>
              </w:rPr>
              <w:t>Một mặt tiền</w:t>
            </w:r>
          </w:p>
        </w:tc>
        <w:tc>
          <w:tcPr>
            <w:tcW w:w="1198" w:type="dxa"/>
            <w:noWrap/>
            <w:vAlign w:val="center"/>
          </w:tcPr>
          <w:p w14:paraId="445D6B39">
            <w:pPr>
              <w:jc w:val="center"/>
              <w:rPr>
                <w:color w:val="000000"/>
                <w:sz w:val="20"/>
                <w:szCs w:val="20"/>
              </w:rPr>
            </w:pPr>
            <w:r>
              <w:rPr>
                <w:color w:val="000000"/>
                <w:sz w:val="20"/>
                <w:szCs w:val="20"/>
              </w:rPr>
              <w:t>10.000.000</w:t>
            </w:r>
          </w:p>
        </w:tc>
        <w:tc>
          <w:tcPr>
            <w:tcW w:w="1236" w:type="dxa"/>
            <w:noWrap/>
            <w:vAlign w:val="center"/>
          </w:tcPr>
          <w:p w14:paraId="4EE73250">
            <w:pPr>
              <w:jc w:val="center"/>
              <w:rPr>
                <w:color w:val="000000"/>
                <w:sz w:val="20"/>
                <w:szCs w:val="20"/>
              </w:rPr>
            </w:pPr>
          </w:p>
        </w:tc>
        <w:tc>
          <w:tcPr>
            <w:tcW w:w="1252" w:type="dxa"/>
            <w:noWrap/>
            <w:vAlign w:val="center"/>
          </w:tcPr>
          <w:p w14:paraId="16820147">
            <w:pPr>
              <w:jc w:val="center"/>
              <w:rPr>
                <w:color w:val="000000"/>
                <w:sz w:val="20"/>
                <w:szCs w:val="20"/>
              </w:rPr>
            </w:pPr>
            <w:r>
              <w:rPr>
                <w:color w:val="000000"/>
                <w:sz w:val="20"/>
                <w:szCs w:val="20"/>
              </w:rPr>
              <w:t>10.000.000</w:t>
            </w:r>
          </w:p>
        </w:tc>
        <w:tc>
          <w:tcPr>
            <w:tcW w:w="1848" w:type="dxa"/>
            <w:noWrap/>
            <w:vAlign w:val="center"/>
          </w:tcPr>
          <w:p w14:paraId="1477CEF2">
            <w:pPr>
              <w:jc w:val="center"/>
              <w:rPr>
                <w:color w:val="000000"/>
                <w:sz w:val="20"/>
                <w:szCs w:val="20"/>
              </w:rPr>
            </w:pPr>
            <w:r>
              <w:rPr>
                <w:color w:val="000000"/>
                <w:sz w:val="20"/>
                <w:szCs w:val="20"/>
              </w:rPr>
              <w:t>1.035.000.000</w:t>
            </w:r>
          </w:p>
        </w:tc>
      </w:tr>
      <w:tr w14:paraId="258F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A4E491F">
            <w:pPr>
              <w:jc w:val="center"/>
              <w:rPr>
                <w:b/>
                <w:bCs/>
                <w:color w:val="000000"/>
                <w:sz w:val="20"/>
                <w:szCs w:val="20"/>
              </w:rPr>
            </w:pPr>
            <w:r>
              <w:rPr>
                <w:b/>
                <w:bCs/>
                <w:color w:val="000000"/>
                <w:sz w:val="20"/>
                <w:szCs w:val="20"/>
              </w:rPr>
              <w:t>LK55</w:t>
            </w:r>
          </w:p>
        </w:tc>
        <w:tc>
          <w:tcPr>
            <w:tcW w:w="1802" w:type="dxa"/>
            <w:vAlign w:val="center"/>
          </w:tcPr>
          <w:p w14:paraId="28583122">
            <w:pPr>
              <w:jc w:val="center"/>
              <w:rPr>
                <w:color w:val="000000"/>
                <w:sz w:val="20"/>
                <w:szCs w:val="20"/>
              </w:rPr>
            </w:pPr>
            <w:r>
              <w:rPr>
                <w:color w:val="000000"/>
                <w:sz w:val="20"/>
                <w:szCs w:val="20"/>
              </w:rPr>
              <w:t>LK55:04</w:t>
            </w:r>
          </w:p>
        </w:tc>
        <w:tc>
          <w:tcPr>
            <w:tcW w:w="1033" w:type="dxa"/>
            <w:noWrap/>
            <w:vAlign w:val="center"/>
          </w:tcPr>
          <w:p w14:paraId="5A61BD64">
            <w:pPr>
              <w:jc w:val="center"/>
              <w:rPr>
                <w:color w:val="000000"/>
                <w:sz w:val="20"/>
                <w:szCs w:val="20"/>
              </w:rPr>
            </w:pPr>
            <w:r>
              <w:rPr>
                <w:color w:val="000000"/>
                <w:sz w:val="20"/>
                <w:szCs w:val="20"/>
              </w:rPr>
              <w:t>103,50</w:t>
            </w:r>
          </w:p>
        </w:tc>
        <w:tc>
          <w:tcPr>
            <w:tcW w:w="846" w:type="dxa"/>
            <w:noWrap/>
            <w:vAlign w:val="center"/>
          </w:tcPr>
          <w:p w14:paraId="72AB8F93">
            <w:pPr>
              <w:jc w:val="center"/>
              <w:rPr>
                <w:color w:val="000000"/>
                <w:sz w:val="20"/>
                <w:szCs w:val="20"/>
              </w:rPr>
            </w:pPr>
            <w:r>
              <w:rPr>
                <w:color w:val="000000"/>
                <w:sz w:val="20"/>
                <w:szCs w:val="20"/>
              </w:rPr>
              <w:t>1</w:t>
            </w:r>
          </w:p>
        </w:tc>
        <w:tc>
          <w:tcPr>
            <w:tcW w:w="2578" w:type="dxa"/>
            <w:noWrap/>
            <w:vAlign w:val="center"/>
          </w:tcPr>
          <w:p w14:paraId="3AAFE9F9">
            <w:pPr>
              <w:jc w:val="center"/>
              <w:rPr>
                <w:color w:val="000000"/>
                <w:sz w:val="20"/>
                <w:szCs w:val="20"/>
              </w:rPr>
            </w:pPr>
            <w:r>
              <w:rPr>
                <w:color w:val="000000"/>
                <w:sz w:val="20"/>
                <w:szCs w:val="20"/>
              </w:rPr>
              <w:t>Mặt cắt 3-3</w:t>
            </w:r>
          </w:p>
        </w:tc>
        <w:tc>
          <w:tcPr>
            <w:tcW w:w="2393" w:type="dxa"/>
            <w:noWrap/>
            <w:vAlign w:val="center"/>
          </w:tcPr>
          <w:p w14:paraId="09AFBAC5">
            <w:pPr>
              <w:jc w:val="center"/>
              <w:rPr>
                <w:color w:val="000000"/>
                <w:sz w:val="20"/>
                <w:szCs w:val="20"/>
              </w:rPr>
            </w:pPr>
            <w:r>
              <w:rPr>
                <w:color w:val="000000"/>
                <w:sz w:val="20"/>
                <w:szCs w:val="20"/>
              </w:rPr>
              <w:t>Một mặt tiền</w:t>
            </w:r>
          </w:p>
        </w:tc>
        <w:tc>
          <w:tcPr>
            <w:tcW w:w="1198" w:type="dxa"/>
            <w:noWrap/>
            <w:vAlign w:val="center"/>
          </w:tcPr>
          <w:p w14:paraId="359CCBB8">
            <w:pPr>
              <w:jc w:val="center"/>
              <w:rPr>
                <w:color w:val="000000"/>
                <w:sz w:val="20"/>
                <w:szCs w:val="20"/>
              </w:rPr>
            </w:pPr>
            <w:r>
              <w:rPr>
                <w:color w:val="000000"/>
                <w:sz w:val="20"/>
                <w:szCs w:val="20"/>
              </w:rPr>
              <w:t>10.000.000</w:t>
            </w:r>
          </w:p>
        </w:tc>
        <w:tc>
          <w:tcPr>
            <w:tcW w:w="1236" w:type="dxa"/>
            <w:noWrap/>
            <w:vAlign w:val="center"/>
          </w:tcPr>
          <w:p w14:paraId="5B401581">
            <w:pPr>
              <w:jc w:val="center"/>
              <w:rPr>
                <w:color w:val="000000"/>
                <w:sz w:val="20"/>
                <w:szCs w:val="20"/>
              </w:rPr>
            </w:pPr>
          </w:p>
        </w:tc>
        <w:tc>
          <w:tcPr>
            <w:tcW w:w="1252" w:type="dxa"/>
            <w:noWrap/>
            <w:vAlign w:val="center"/>
          </w:tcPr>
          <w:p w14:paraId="4485D087">
            <w:pPr>
              <w:jc w:val="center"/>
              <w:rPr>
                <w:color w:val="000000"/>
                <w:sz w:val="20"/>
                <w:szCs w:val="20"/>
              </w:rPr>
            </w:pPr>
            <w:r>
              <w:rPr>
                <w:color w:val="000000"/>
                <w:sz w:val="20"/>
                <w:szCs w:val="20"/>
              </w:rPr>
              <w:t>10.000.000</w:t>
            </w:r>
          </w:p>
        </w:tc>
        <w:tc>
          <w:tcPr>
            <w:tcW w:w="1848" w:type="dxa"/>
            <w:noWrap/>
            <w:vAlign w:val="center"/>
          </w:tcPr>
          <w:p w14:paraId="5C9D9CA3">
            <w:pPr>
              <w:jc w:val="center"/>
              <w:rPr>
                <w:color w:val="000000"/>
                <w:sz w:val="20"/>
                <w:szCs w:val="20"/>
              </w:rPr>
            </w:pPr>
            <w:r>
              <w:rPr>
                <w:color w:val="000000"/>
                <w:sz w:val="20"/>
                <w:szCs w:val="20"/>
              </w:rPr>
              <w:t>1.035.000.000</w:t>
            </w:r>
          </w:p>
        </w:tc>
      </w:tr>
      <w:tr w14:paraId="0642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CB25C58">
            <w:pPr>
              <w:jc w:val="center"/>
              <w:rPr>
                <w:b/>
                <w:bCs/>
                <w:color w:val="000000"/>
                <w:sz w:val="20"/>
                <w:szCs w:val="20"/>
              </w:rPr>
            </w:pPr>
            <w:r>
              <w:rPr>
                <w:b/>
                <w:bCs/>
                <w:color w:val="000000"/>
                <w:sz w:val="20"/>
                <w:szCs w:val="20"/>
              </w:rPr>
              <w:t>LK55</w:t>
            </w:r>
          </w:p>
        </w:tc>
        <w:tc>
          <w:tcPr>
            <w:tcW w:w="1802" w:type="dxa"/>
            <w:vAlign w:val="center"/>
          </w:tcPr>
          <w:p w14:paraId="618D8DB5">
            <w:pPr>
              <w:jc w:val="center"/>
              <w:rPr>
                <w:color w:val="000000"/>
                <w:sz w:val="20"/>
                <w:szCs w:val="20"/>
              </w:rPr>
            </w:pPr>
            <w:r>
              <w:rPr>
                <w:color w:val="000000"/>
                <w:sz w:val="20"/>
                <w:szCs w:val="20"/>
              </w:rPr>
              <w:t>LK55:05</w:t>
            </w:r>
          </w:p>
        </w:tc>
        <w:tc>
          <w:tcPr>
            <w:tcW w:w="1033" w:type="dxa"/>
            <w:noWrap/>
            <w:vAlign w:val="center"/>
          </w:tcPr>
          <w:p w14:paraId="0E824EC5">
            <w:pPr>
              <w:jc w:val="center"/>
              <w:rPr>
                <w:color w:val="000000"/>
                <w:sz w:val="20"/>
                <w:szCs w:val="20"/>
              </w:rPr>
            </w:pPr>
            <w:r>
              <w:rPr>
                <w:color w:val="000000"/>
                <w:sz w:val="20"/>
                <w:szCs w:val="20"/>
              </w:rPr>
              <w:t>103,50</w:t>
            </w:r>
          </w:p>
        </w:tc>
        <w:tc>
          <w:tcPr>
            <w:tcW w:w="846" w:type="dxa"/>
            <w:noWrap/>
            <w:vAlign w:val="center"/>
          </w:tcPr>
          <w:p w14:paraId="38149244">
            <w:pPr>
              <w:jc w:val="center"/>
              <w:rPr>
                <w:color w:val="000000"/>
                <w:sz w:val="20"/>
                <w:szCs w:val="20"/>
              </w:rPr>
            </w:pPr>
            <w:r>
              <w:rPr>
                <w:color w:val="000000"/>
                <w:sz w:val="20"/>
                <w:szCs w:val="20"/>
              </w:rPr>
              <w:t>1</w:t>
            </w:r>
          </w:p>
        </w:tc>
        <w:tc>
          <w:tcPr>
            <w:tcW w:w="2578" w:type="dxa"/>
            <w:noWrap/>
            <w:vAlign w:val="center"/>
          </w:tcPr>
          <w:p w14:paraId="083C051C">
            <w:pPr>
              <w:jc w:val="center"/>
              <w:rPr>
                <w:color w:val="000000"/>
                <w:sz w:val="20"/>
                <w:szCs w:val="20"/>
              </w:rPr>
            </w:pPr>
            <w:r>
              <w:rPr>
                <w:color w:val="000000"/>
                <w:sz w:val="20"/>
                <w:szCs w:val="20"/>
              </w:rPr>
              <w:t>Mặt cắt 3-3</w:t>
            </w:r>
          </w:p>
        </w:tc>
        <w:tc>
          <w:tcPr>
            <w:tcW w:w="2393" w:type="dxa"/>
            <w:noWrap/>
            <w:vAlign w:val="center"/>
          </w:tcPr>
          <w:p w14:paraId="019CC4D0">
            <w:pPr>
              <w:jc w:val="center"/>
              <w:rPr>
                <w:color w:val="000000"/>
                <w:sz w:val="20"/>
                <w:szCs w:val="20"/>
              </w:rPr>
            </w:pPr>
            <w:r>
              <w:rPr>
                <w:color w:val="000000"/>
                <w:sz w:val="20"/>
                <w:szCs w:val="20"/>
              </w:rPr>
              <w:t>Một mặt tiền</w:t>
            </w:r>
          </w:p>
        </w:tc>
        <w:tc>
          <w:tcPr>
            <w:tcW w:w="1198" w:type="dxa"/>
            <w:noWrap/>
            <w:vAlign w:val="center"/>
          </w:tcPr>
          <w:p w14:paraId="76371788">
            <w:pPr>
              <w:jc w:val="center"/>
              <w:rPr>
                <w:color w:val="000000"/>
                <w:sz w:val="20"/>
                <w:szCs w:val="20"/>
              </w:rPr>
            </w:pPr>
            <w:r>
              <w:rPr>
                <w:color w:val="000000"/>
                <w:sz w:val="20"/>
                <w:szCs w:val="20"/>
              </w:rPr>
              <w:t>10.000.000</w:t>
            </w:r>
          </w:p>
        </w:tc>
        <w:tc>
          <w:tcPr>
            <w:tcW w:w="1236" w:type="dxa"/>
            <w:noWrap/>
            <w:vAlign w:val="center"/>
          </w:tcPr>
          <w:p w14:paraId="3A8EB08C">
            <w:pPr>
              <w:jc w:val="center"/>
              <w:rPr>
                <w:color w:val="000000"/>
                <w:sz w:val="20"/>
                <w:szCs w:val="20"/>
              </w:rPr>
            </w:pPr>
          </w:p>
        </w:tc>
        <w:tc>
          <w:tcPr>
            <w:tcW w:w="1252" w:type="dxa"/>
            <w:noWrap/>
            <w:vAlign w:val="center"/>
          </w:tcPr>
          <w:p w14:paraId="0F17BEB5">
            <w:pPr>
              <w:jc w:val="center"/>
              <w:rPr>
                <w:color w:val="000000"/>
                <w:sz w:val="20"/>
                <w:szCs w:val="20"/>
              </w:rPr>
            </w:pPr>
            <w:r>
              <w:rPr>
                <w:color w:val="000000"/>
                <w:sz w:val="20"/>
                <w:szCs w:val="20"/>
              </w:rPr>
              <w:t>10.000.000</w:t>
            </w:r>
          </w:p>
        </w:tc>
        <w:tc>
          <w:tcPr>
            <w:tcW w:w="1848" w:type="dxa"/>
            <w:noWrap/>
            <w:vAlign w:val="center"/>
          </w:tcPr>
          <w:p w14:paraId="1CFBE30C">
            <w:pPr>
              <w:jc w:val="center"/>
              <w:rPr>
                <w:color w:val="000000"/>
                <w:sz w:val="20"/>
                <w:szCs w:val="20"/>
              </w:rPr>
            </w:pPr>
            <w:r>
              <w:rPr>
                <w:color w:val="000000"/>
                <w:sz w:val="20"/>
                <w:szCs w:val="20"/>
              </w:rPr>
              <w:t>1.035.000.000</w:t>
            </w:r>
          </w:p>
        </w:tc>
      </w:tr>
      <w:tr w14:paraId="358C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EFFDAE0">
            <w:pPr>
              <w:jc w:val="center"/>
              <w:rPr>
                <w:b/>
                <w:bCs/>
                <w:color w:val="000000"/>
                <w:sz w:val="20"/>
                <w:szCs w:val="20"/>
              </w:rPr>
            </w:pPr>
            <w:r>
              <w:rPr>
                <w:b/>
                <w:bCs/>
                <w:color w:val="000000"/>
                <w:sz w:val="20"/>
                <w:szCs w:val="20"/>
              </w:rPr>
              <w:t>LK55</w:t>
            </w:r>
          </w:p>
        </w:tc>
        <w:tc>
          <w:tcPr>
            <w:tcW w:w="1802" w:type="dxa"/>
            <w:vAlign w:val="center"/>
          </w:tcPr>
          <w:p w14:paraId="287C9C51">
            <w:pPr>
              <w:jc w:val="center"/>
              <w:rPr>
                <w:color w:val="000000"/>
                <w:sz w:val="20"/>
                <w:szCs w:val="20"/>
              </w:rPr>
            </w:pPr>
            <w:r>
              <w:rPr>
                <w:color w:val="000000"/>
                <w:sz w:val="20"/>
                <w:szCs w:val="20"/>
              </w:rPr>
              <w:t>LK55:06</w:t>
            </w:r>
          </w:p>
        </w:tc>
        <w:tc>
          <w:tcPr>
            <w:tcW w:w="1033" w:type="dxa"/>
            <w:noWrap/>
            <w:vAlign w:val="center"/>
          </w:tcPr>
          <w:p w14:paraId="4F859A34">
            <w:pPr>
              <w:jc w:val="center"/>
              <w:rPr>
                <w:color w:val="000000"/>
                <w:sz w:val="20"/>
                <w:szCs w:val="20"/>
              </w:rPr>
            </w:pPr>
            <w:r>
              <w:rPr>
                <w:color w:val="000000"/>
                <w:sz w:val="20"/>
                <w:szCs w:val="20"/>
              </w:rPr>
              <w:t>103,50</w:t>
            </w:r>
          </w:p>
        </w:tc>
        <w:tc>
          <w:tcPr>
            <w:tcW w:w="846" w:type="dxa"/>
            <w:noWrap/>
            <w:vAlign w:val="center"/>
          </w:tcPr>
          <w:p w14:paraId="5379A15E">
            <w:pPr>
              <w:jc w:val="center"/>
              <w:rPr>
                <w:color w:val="000000"/>
                <w:sz w:val="20"/>
                <w:szCs w:val="20"/>
              </w:rPr>
            </w:pPr>
            <w:r>
              <w:rPr>
                <w:color w:val="000000"/>
                <w:sz w:val="20"/>
                <w:szCs w:val="20"/>
              </w:rPr>
              <w:t>1</w:t>
            </w:r>
          </w:p>
        </w:tc>
        <w:tc>
          <w:tcPr>
            <w:tcW w:w="2578" w:type="dxa"/>
            <w:noWrap/>
            <w:vAlign w:val="center"/>
          </w:tcPr>
          <w:p w14:paraId="7C30833D">
            <w:pPr>
              <w:jc w:val="center"/>
              <w:rPr>
                <w:color w:val="000000"/>
                <w:sz w:val="20"/>
                <w:szCs w:val="20"/>
              </w:rPr>
            </w:pPr>
            <w:r>
              <w:rPr>
                <w:color w:val="000000"/>
                <w:sz w:val="20"/>
                <w:szCs w:val="20"/>
              </w:rPr>
              <w:t>Mặt cắt 3-3</w:t>
            </w:r>
          </w:p>
        </w:tc>
        <w:tc>
          <w:tcPr>
            <w:tcW w:w="2393" w:type="dxa"/>
            <w:noWrap/>
            <w:vAlign w:val="center"/>
          </w:tcPr>
          <w:p w14:paraId="6C27B12B">
            <w:pPr>
              <w:jc w:val="center"/>
              <w:rPr>
                <w:color w:val="000000"/>
                <w:sz w:val="20"/>
                <w:szCs w:val="20"/>
              </w:rPr>
            </w:pPr>
            <w:r>
              <w:rPr>
                <w:color w:val="000000"/>
                <w:sz w:val="20"/>
                <w:szCs w:val="20"/>
              </w:rPr>
              <w:t>Một mặt tiền</w:t>
            </w:r>
          </w:p>
        </w:tc>
        <w:tc>
          <w:tcPr>
            <w:tcW w:w="1198" w:type="dxa"/>
            <w:noWrap/>
            <w:vAlign w:val="center"/>
          </w:tcPr>
          <w:p w14:paraId="49C4C21F">
            <w:pPr>
              <w:jc w:val="center"/>
              <w:rPr>
                <w:color w:val="000000"/>
                <w:sz w:val="20"/>
                <w:szCs w:val="20"/>
              </w:rPr>
            </w:pPr>
            <w:r>
              <w:rPr>
                <w:color w:val="000000"/>
                <w:sz w:val="20"/>
                <w:szCs w:val="20"/>
              </w:rPr>
              <w:t>10.000.000</w:t>
            </w:r>
          </w:p>
        </w:tc>
        <w:tc>
          <w:tcPr>
            <w:tcW w:w="1236" w:type="dxa"/>
            <w:noWrap/>
            <w:vAlign w:val="center"/>
          </w:tcPr>
          <w:p w14:paraId="1C57F0B6">
            <w:pPr>
              <w:jc w:val="center"/>
              <w:rPr>
                <w:color w:val="000000"/>
                <w:sz w:val="20"/>
                <w:szCs w:val="20"/>
              </w:rPr>
            </w:pPr>
          </w:p>
        </w:tc>
        <w:tc>
          <w:tcPr>
            <w:tcW w:w="1252" w:type="dxa"/>
            <w:noWrap/>
            <w:vAlign w:val="center"/>
          </w:tcPr>
          <w:p w14:paraId="74BA3A99">
            <w:pPr>
              <w:jc w:val="center"/>
              <w:rPr>
                <w:color w:val="000000"/>
                <w:sz w:val="20"/>
                <w:szCs w:val="20"/>
              </w:rPr>
            </w:pPr>
            <w:r>
              <w:rPr>
                <w:color w:val="000000"/>
                <w:sz w:val="20"/>
                <w:szCs w:val="20"/>
              </w:rPr>
              <w:t>10.000.000</w:t>
            </w:r>
          </w:p>
        </w:tc>
        <w:tc>
          <w:tcPr>
            <w:tcW w:w="1848" w:type="dxa"/>
            <w:noWrap/>
            <w:vAlign w:val="center"/>
          </w:tcPr>
          <w:p w14:paraId="27670089">
            <w:pPr>
              <w:jc w:val="center"/>
              <w:rPr>
                <w:color w:val="000000"/>
                <w:sz w:val="20"/>
                <w:szCs w:val="20"/>
              </w:rPr>
            </w:pPr>
            <w:r>
              <w:rPr>
                <w:color w:val="000000"/>
                <w:sz w:val="20"/>
                <w:szCs w:val="20"/>
              </w:rPr>
              <w:t>1.035.000.000</w:t>
            </w:r>
          </w:p>
        </w:tc>
      </w:tr>
      <w:tr w14:paraId="218D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344C977">
            <w:pPr>
              <w:jc w:val="center"/>
              <w:rPr>
                <w:b/>
                <w:bCs/>
                <w:color w:val="000000"/>
                <w:sz w:val="20"/>
                <w:szCs w:val="20"/>
              </w:rPr>
            </w:pPr>
            <w:r>
              <w:rPr>
                <w:b/>
                <w:bCs/>
                <w:color w:val="000000"/>
                <w:sz w:val="20"/>
                <w:szCs w:val="20"/>
              </w:rPr>
              <w:t>LK55</w:t>
            </w:r>
          </w:p>
        </w:tc>
        <w:tc>
          <w:tcPr>
            <w:tcW w:w="1802" w:type="dxa"/>
            <w:vAlign w:val="center"/>
          </w:tcPr>
          <w:p w14:paraId="60F1CE71">
            <w:pPr>
              <w:jc w:val="center"/>
              <w:rPr>
                <w:color w:val="000000"/>
                <w:sz w:val="20"/>
                <w:szCs w:val="20"/>
              </w:rPr>
            </w:pPr>
            <w:r>
              <w:rPr>
                <w:color w:val="000000"/>
                <w:sz w:val="20"/>
                <w:szCs w:val="20"/>
              </w:rPr>
              <w:t>LK55:07</w:t>
            </w:r>
          </w:p>
        </w:tc>
        <w:tc>
          <w:tcPr>
            <w:tcW w:w="1033" w:type="dxa"/>
            <w:noWrap/>
            <w:vAlign w:val="center"/>
          </w:tcPr>
          <w:p w14:paraId="3789BAB0">
            <w:pPr>
              <w:jc w:val="center"/>
              <w:rPr>
                <w:color w:val="000000"/>
                <w:sz w:val="20"/>
                <w:szCs w:val="20"/>
              </w:rPr>
            </w:pPr>
            <w:r>
              <w:rPr>
                <w:color w:val="000000"/>
                <w:sz w:val="20"/>
                <w:szCs w:val="20"/>
              </w:rPr>
              <w:t>103,50</w:t>
            </w:r>
          </w:p>
        </w:tc>
        <w:tc>
          <w:tcPr>
            <w:tcW w:w="846" w:type="dxa"/>
            <w:noWrap/>
            <w:vAlign w:val="center"/>
          </w:tcPr>
          <w:p w14:paraId="39CBD285">
            <w:pPr>
              <w:jc w:val="center"/>
              <w:rPr>
                <w:color w:val="000000"/>
                <w:sz w:val="20"/>
                <w:szCs w:val="20"/>
              </w:rPr>
            </w:pPr>
            <w:r>
              <w:rPr>
                <w:color w:val="000000"/>
                <w:sz w:val="20"/>
                <w:szCs w:val="20"/>
              </w:rPr>
              <w:t>1</w:t>
            </w:r>
          </w:p>
        </w:tc>
        <w:tc>
          <w:tcPr>
            <w:tcW w:w="2578" w:type="dxa"/>
            <w:noWrap/>
            <w:vAlign w:val="center"/>
          </w:tcPr>
          <w:p w14:paraId="5B581753">
            <w:pPr>
              <w:jc w:val="center"/>
              <w:rPr>
                <w:color w:val="000000"/>
                <w:sz w:val="20"/>
                <w:szCs w:val="20"/>
              </w:rPr>
            </w:pPr>
            <w:r>
              <w:rPr>
                <w:color w:val="000000"/>
                <w:sz w:val="20"/>
                <w:szCs w:val="20"/>
              </w:rPr>
              <w:t>Mặt cắt 3-3</w:t>
            </w:r>
          </w:p>
        </w:tc>
        <w:tc>
          <w:tcPr>
            <w:tcW w:w="2393" w:type="dxa"/>
            <w:noWrap/>
            <w:vAlign w:val="center"/>
          </w:tcPr>
          <w:p w14:paraId="5D83B147">
            <w:pPr>
              <w:jc w:val="center"/>
              <w:rPr>
                <w:color w:val="000000"/>
                <w:sz w:val="20"/>
                <w:szCs w:val="20"/>
              </w:rPr>
            </w:pPr>
            <w:r>
              <w:rPr>
                <w:color w:val="000000"/>
                <w:sz w:val="20"/>
                <w:szCs w:val="20"/>
              </w:rPr>
              <w:t>Một mặt tiền</w:t>
            </w:r>
          </w:p>
        </w:tc>
        <w:tc>
          <w:tcPr>
            <w:tcW w:w="1198" w:type="dxa"/>
            <w:noWrap/>
            <w:vAlign w:val="center"/>
          </w:tcPr>
          <w:p w14:paraId="2034E0BD">
            <w:pPr>
              <w:jc w:val="center"/>
              <w:rPr>
                <w:color w:val="000000"/>
                <w:sz w:val="20"/>
                <w:szCs w:val="20"/>
              </w:rPr>
            </w:pPr>
            <w:r>
              <w:rPr>
                <w:color w:val="000000"/>
                <w:sz w:val="20"/>
                <w:szCs w:val="20"/>
              </w:rPr>
              <w:t>10.000.000</w:t>
            </w:r>
          </w:p>
        </w:tc>
        <w:tc>
          <w:tcPr>
            <w:tcW w:w="1236" w:type="dxa"/>
            <w:noWrap/>
            <w:vAlign w:val="center"/>
          </w:tcPr>
          <w:p w14:paraId="279E7460">
            <w:pPr>
              <w:jc w:val="center"/>
              <w:rPr>
                <w:color w:val="000000"/>
                <w:sz w:val="20"/>
                <w:szCs w:val="20"/>
              </w:rPr>
            </w:pPr>
          </w:p>
        </w:tc>
        <w:tc>
          <w:tcPr>
            <w:tcW w:w="1252" w:type="dxa"/>
            <w:noWrap/>
            <w:vAlign w:val="center"/>
          </w:tcPr>
          <w:p w14:paraId="04E345D2">
            <w:pPr>
              <w:jc w:val="center"/>
              <w:rPr>
                <w:color w:val="000000"/>
                <w:sz w:val="20"/>
                <w:szCs w:val="20"/>
              </w:rPr>
            </w:pPr>
            <w:r>
              <w:rPr>
                <w:color w:val="000000"/>
                <w:sz w:val="20"/>
                <w:szCs w:val="20"/>
              </w:rPr>
              <w:t>10.000.000</w:t>
            </w:r>
          </w:p>
        </w:tc>
        <w:tc>
          <w:tcPr>
            <w:tcW w:w="1848" w:type="dxa"/>
            <w:noWrap/>
            <w:vAlign w:val="center"/>
          </w:tcPr>
          <w:p w14:paraId="1DFA2C95">
            <w:pPr>
              <w:jc w:val="center"/>
              <w:rPr>
                <w:color w:val="000000"/>
                <w:sz w:val="20"/>
                <w:szCs w:val="20"/>
              </w:rPr>
            </w:pPr>
            <w:r>
              <w:rPr>
                <w:color w:val="000000"/>
                <w:sz w:val="20"/>
                <w:szCs w:val="20"/>
              </w:rPr>
              <w:t>1.035.000.000</w:t>
            </w:r>
          </w:p>
        </w:tc>
      </w:tr>
      <w:tr w14:paraId="6FEE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FD9E62">
            <w:pPr>
              <w:jc w:val="center"/>
              <w:rPr>
                <w:b/>
                <w:bCs/>
                <w:color w:val="000000"/>
                <w:sz w:val="20"/>
                <w:szCs w:val="20"/>
              </w:rPr>
            </w:pPr>
            <w:r>
              <w:rPr>
                <w:b/>
                <w:bCs/>
                <w:color w:val="000000"/>
                <w:sz w:val="20"/>
                <w:szCs w:val="20"/>
              </w:rPr>
              <w:t>LK55</w:t>
            </w:r>
          </w:p>
        </w:tc>
        <w:tc>
          <w:tcPr>
            <w:tcW w:w="1802" w:type="dxa"/>
            <w:vAlign w:val="center"/>
          </w:tcPr>
          <w:p w14:paraId="68B1DFA1">
            <w:pPr>
              <w:jc w:val="center"/>
              <w:rPr>
                <w:color w:val="000000"/>
                <w:sz w:val="20"/>
                <w:szCs w:val="20"/>
              </w:rPr>
            </w:pPr>
            <w:r>
              <w:rPr>
                <w:color w:val="000000"/>
                <w:sz w:val="20"/>
                <w:szCs w:val="20"/>
              </w:rPr>
              <w:t>LK55:08</w:t>
            </w:r>
          </w:p>
        </w:tc>
        <w:tc>
          <w:tcPr>
            <w:tcW w:w="1033" w:type="dxa"/>
            <w:noWrap/>
            <w:vAlign w:val="center"/>
          </w:tcPr>
          <w:p w14:paraId="0ADD0F04">
            <w:pPr>
              <w:jc w:val="center"/>
              <w:rPr>
                <w:color w:val="000000"/>
                <w:sz w:val="20"/>
                <w:szCs w:val="20"/>
              </w:rPr>
            </w:pPr>
            <w:r>
              <w:rPr>
                <w:color w:val="000000"/>
                <w:sz w:val="20"/>
                <w:szCs w:val="20"/>
              </w:rPr>
              <w:t>103,50</w:t>
            </w:r>
          </w:p>
        </w:tc>
        <w:tc>
          <w:tcPr>
            <w:tcW w:w="846" w:type="dxa"/>
            <w:noWrap/>
            <w:vAlign w:val="center"/>
          </w:tcPr>
          <w:p w14:paraId="5D95B2AA">
            <w:pPr>
              <w:jc w:val="center"/>
              <w:rPr>
                <w:color w:val="000000"/>
                <w:sz w:val="20"/>
                <w:szCs w:val="20"/>
              </w:rPr>
            </w:pPr>
            <w:r>
              <w:rPr>
                <w:color w:val="000000"/>
                <w:sz w:val="20"/>
                <w:szCs w:val="20"/>
              </w:rPr>
              <w:t>1</w:t>
            </w:r>
          </w:p>
        </w:tc>
        <w:tc>
          <w:tcPr>
            <w:tcW w:w="2578" w:type="dxa"/>
            <w:noWrap/>
            <w:vAlign w:val="center"/>
          </w:tcPr>
          <w:p w14:paraId="52F41606">
            <w:pPr>
              <w:jc w:val="center"/>
              <w:rPr>
                <w:color w:val="000000"/>
                <w:sz w:val="20"/>
                <w:szCs w:val="20"/>
              </w:rPr>
            </w:pPr>
            <w:r>
              <w:rPr>
                <w:color w:val="000000"/>
                <w:sz w:val="20"/>
                <w:szCs w:val="20"/>
              </w:rPr>
              <w:t>Mặt cắt 3-3</w:t>
            </w:r>
          </w:p>
        </w:tc>
        <w:tc>
          <w:tcPr>
            <w:tcW w:w="2393" w:type="dxa"/>
            <w:noWrap/>
            <w:vAlign w:val="center"/>
          </w:tcPr>
          <w:p w14:paraId="78FDBE17">
            <w:pPr>
              <w:jc w:val="center"/>
              <w:rPr>
                <w:color w:val="000000"/>
                <w:sz w:val="20"/>
                <w:szCs w:val="20"/>
              </w:rPr>
            </w:pPr>
            <w:r>
              <w:rPr>
                <w:color w:val="000000"/>
                <w:sz w:val="20"/>
                <w:szCs w:val="20"/>
              </w:rPr>
              <w:t>Một mặt tiền</w:t>
            </w:r>
          </w:p>
        </w:tc>
        <w:tc>
          <w:tcPr>
            <w:tcW w:w="1198" w:type="dxa"/>
            <w:noWrap/>
            <w:vAlign w:val="center"/>
          </w:tcPr>
          <w:p w14:paraId="3972775C">
            <w:pPr>
              <w:jc w:val="center"/>
              <w:rPr>
                <w:color w:val="000000"/>
                <w:sz w:val="20"/>
                <w:szCs w:val="20"/>
              </w:rPr>
            </w:pPr>
            <w:r>
              <w:rPr>
                <w:color w:val="000000"/>
                <w:sz w:val="20"/>
                <w:szCs w:val="20"/>
              </w:rPr>
              <w:t>10.000.000</w:t>
            </w:r>
          </w:p>
        </w:tc>
        <w:tc>
          <w:tcPr>
            <w:tcW w:w="1236" w:type="dxa"/>
            <w:noWrap/>
            <w:vAlign w:val="center"/>
          </w:tcPr>
          <w:p w14:paraId="7759D9C3">
            <w:pPr>
              <w:jc w:val="center"/>
              <w:rPr>
                <w:color w:val="000000"/>
                <w:sz w:val="20"/>
                <w:szCs w:val="20"/>
              </w:rPr>
            </w:pPr>
          </w:p>
        </w:tc>
        <w:tc>
          <w:tcPr>
            <w:tcW w:w="1252" w:type="dxa"/>
            <w:noWrap/>
            <w:vAlign w:val="center"/>
          </w:tcPr>
          <w:p w14:paraId="4D0409C5">
            <w:pPr>
              <w:jc w:val="center"/>
              <w:rPr>
                <w:color w:val="000000"/>
                <w:sz w:val="20"/>
                <w:szCs w:val="20"/>
              </w:rPr>
            </w:pPr>
            <w:r>
              <w:rPr>
                <w:color w:val="000000"/>
                <w:sz w:val="20"/>
                <w:szCs w:val="20"/>
              </w:rPr>
              <w:t>10.000.000</w:t>
            </w:r>
          </w:p>
        </w:tc>
        <w:tc>
          <w:tcPr>
            <w:tcW w:w="1848" w:type="dxa"/>
            <w:noWrap/>
            <w:vAlign w:val="center"/>
          </w:tcPr>
          <w:p w14:paraId="2EF7B531">
            <w:pPr>
              <w:jc w:val="center"/>
              <w:rPr>
                <w:color w:val="000000"/>
                <w:sz w:val="20"/>
                <w:szCs w:val="20"/>
              </w:rPr>
            </w:pPr>
            <w:r>
              <w:rPr>
                <w:color w:val="000000"/>
                <w:sz w:val="20"/>
                <w:szCs w:val="20"/>
              </w:rPr>
              <w:t>1.035.000.000</w:t>
            </w:r>
          </w:p>
        </w:tc>
      </w:tr>
      <w:tr w14:paraId="1D8E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9DA120A">
            <w:pPr>
              <w:jc w:val="center"/>
              <w:rPr>
                <w:b/>
                <w:bCs/>
                <w:color w:val="000000"/>
                <w:sz w:val="20"/>
                <w:szCs w:val="20"/>
              </w:rPr>
            </w:pPr>
            <w:r>
              <w:rPr>
                <w:b/>
                <w:bCs/>
                <w:color w:val="000000"/>
                <w:sz w:val="20"/>
                <w:szCs w:val="20"/>
              </w:rPr>
              <w:t>LK55</w:t>
            </w:r>
          </w:p>
        </w:tc>
        <w:tc>
          <w:tcPr>
            <w:tcW w:w="1802" w:type="dxa"/>
            <w:vAlign w:val="center"/>
          </w:tcPr>
          <w:p w14:paraId="7DF2DF1F">
            <w:pPr>
              <w:jc w:val="center"/>
              <w:rPr>
                <w:color w:val="000000"/>
                <w:sz w:val="20"/>
                <w:szCs w:val="20"/>
              </w:rPr>
            </w:pPr>
            <w:r>
              <w:rPr>
                <w:color w:val="000000"/>
                <w:sz w:val="20"/>
                <w:szCs w:val="20"/>
              </w:rPr>
              <w:t>LK55:09</w:t>
            </w:r>
          </w:p>
        </w:tc>
        <w:tc>
          <w:tcPr>
            <w:tcW w:w="1033" w:type="dxa"/>
            <w:noWrap/>
            <w:vAlign w:val="center"/>
          </w:tcPr>
          <w:p w14:paraId="6966B221">
            <w:pPr>
              <w:jc w:val="center"/>
              <w:rPr>
                <w:color w:val="000000"/>
                <w:sz w:val="20"/>
                <w:szCs w:val="20"/>
              </w:rPr>
            </w:pPr>
            <w:r>
              <w:rPr>
                <w:color w:val="000000"/>
                <w:sz w:val="20"/>
                <w:szCs w:val="20"/>
              </w:rPr>
              <w:t>103,50</w:t>
            </w:r>
          </w:p>
        </w:tc>
        <w:tc>
          <w:tcPr>
            <w:tcW w:w="846" w:type="dxa"/>
            <w:noWrap/>
            <w:vAlign w:val="center"/>
          </w:tcPr>
          <w:p w14:paraId="23CC7E39">
            <w:pPr>
              <w:jc w:val="center"/>
              <w:rPr>
                <w:color w:val="000000"/>
                <w:sz w:val="20"/>
                <w:szCs w:val="20"/>
              </w:rPr>
            </w:pPr>
            <w:r>
              <w:rPr>
                <w:color w:val="000000"/>
                <w:sz w:val="20"/>
                <w:szCs w:val="20"/>
              </w:rPr>
              <w:t>1</w:t>
            </w:r>
          </w:p>
        </w:tc>
        <w:tc>
          <w:tcPr>
            <w:tcW w:w="2578" w:type="dxa"/>
            <w:noWrap/>
            <w:vAlign w:val="center"/>
          </w:tcPr>
          <w:p w14:paraId="77130933">
            <w:pPr>
              <w:jc w:val="center"/>
              <w:rPr>
                <w:color w:val="000000"/>
                <w:sz w:val="20"/>
                <w:szCs w:val="20"/>
              </w:rPr>
            </w:pPr>
            <w:r>
              <w:rPr>
                <w:color w:val="000000"/>
                <w:sz w:val="20"/>
                <w:szCs w:val="20"/>
              </w:rPr>
              <w:t>Mặt cắt 3-3</w:t>
            </w:r>
          </w:p>
        </w:tc>
        <w:tc>
          <w:tcPr>
            <w:tcW w:w="2393" w:type="dxa"/>
            <w:noWrap/>
            <w:vAlign w:val="center"/>
          </w:tcPr>
          <w:p w14:paraId="3054E815">
            <w:pPr>
              <w:jc w:val="center"/>
              <w:rPr>
                <w:color w:val="000000"/>
                <w:sz w:val="20"/>
                <w:szCs w:val="20"/>
              </w:rPr>
            </w:pPr>
            <w:r>
              <w:rPr>
                <w:color w:val="000000"/>
                <w:sz w:val="20"/>
                <w:szCs w:val="20"/>
              </w:rPr>
              <w:t>Một mặt tiền</w:t>
            </w:r>
          </w:p>
        </w:tc>
        <w:tc>
          <w:tcPr>
            <w:tcW w:w="1198" w:type="dxa"/>
            <w:noWrap/>
            <w:vAlign w:val="center"/>
          </w:tcPr>
          <w:p w14:paraId="44583F87">
            <w:pPr>
              <w:jc w:val="center"/>
              <w:rPr>
                <w:color w:val="000000"/>
                <w:sz w:val="20"/>
                <w:szCs w:val="20"/>
              </w:rPr>
            </w:pPr>
            <w:r>
              <w:rPr>
                <w:color w:val="000000"/>
                <w:sz w:val="20"/>
                <w:szCs w:val="20"/>
              </w:rPr>
              <w:t>10.000.000</w:t>
            </w:r>
          </w:p>
        </w:tc>
        <w:tc>
          <w:tcPr>
            <w:tcW w:w="1236" w:type="dxa"/>
            <w:noWrap/>
            <w:vAlign w:val="center"/>
          </w:tcPr>
          <w:p w14:paraId="0889E5FA">
            <w:pPr>
              <w:jc w:val="center"/>
              <w:rPr>
                <w:color w:val="000000"/>
                <w:sz w:val="20"/>
                <w:szCs w:val="20"/>
              </w:rPr>
            </w:pPr>
          </w:p>
        </w:tc>
        <w:tc>
          <w:tcPr>
            <w:tcW w:w="1252" w:type="dxa"/>
            <w:noWrap/>
            <w:vAlign w:val="center"/>
          </w:tcPr>
          <w:p w14:paraId="2D4869AF">
            <w:pPr>
              <w:jc w:val="center"/>
              <w:rPr>
                <w:color w:val="000000"/>
                <w:sz w:val="20"/>
                <w:szCs w:val="20"/>
              </w:rPr>
            </w:pPr>
            <w:r>
              <w:rPr>
                <w:color w:val="000000"/>
                <w:sz w:val="20"/>
                <w:szCs w:val="20"/>
              </w:rPr>
              <w:t>10.000.000</w:t>
            </w:r>
          </w:p>
        </w:tc>
        <w:tc>
          <w:tcPr>
            <w:tcW w:w="1848" w:type="dxa"/>
            <w:noWrap/>
            <w:vAlign w:val="center"/>
          </w:tcPr>
          <w:p w14:paraId="4E0B2B73">
            <w:pPr>
              <w:jc w:val="center"/>
              <w:rPr>
                <w:color w:val="000000"/>
                <w:sz w:val="20"/>
                <w:szCs w:val="20"/>
              </w:rPr>
            </w:pPr>
            <w:r>
              <w:rPr>
                <w:color w:val="000000"/>
                <w:sz w:val="20"/>
                <w:szCs w:val="20"/>
              </w:rPr>
              <w:t>1.035.000.000</w:t>
            </w:r>
          </w:p>
        </w:tc>
      </w:tr>
      <w:tr w14:paraId="6894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8CA8B05">
            <w:pPr>
              <w:jc w:val="center"/>
              <w:rPr>
                <w:b/>
                <w:bCs/>
                <w:color w:val="000000"/>
                <w:sz w:val="20"/>
                <w:szCs w:val="20"/>
              </w:rPr>
            </w:pPr>
            <w:r>
              <w:rPr>
                <w:b/>
                <w:bCs/>
                <w:color w:val="000000"/>
                <w:sz w:val="20"/>
                <w:szCs w:val="20"/>
              </w:rPr>
              <w:t>LK55</w:t>
            </w:r>
          </w:p>
        </w:tc>
        <w:tc>
          <w:tcPr>
            <w:tcW w:w="1802" w:type="dxa"/>
            <w:vAlign w:val="center"/>
          </w:tcPr>
          <w:p w14:paraId="5D43F297">
            <w:pPr>
              <w:jc w:val="center"/>
              <w:rPr>
                <w:color w:val="000000"/>
                <w:sz w:val="20"/>
                <w:szCs w:val="20"/>
              </w:rPr>
            </w:pPr>
            <w:r>
              <w:rPr>
                <w:color w:val="000000"/>
                <w:sz w:val="20"/>
                <w:szCs w:val="20"/>
              </w:rPr>
              <w:t>LK55:10</w:t>
            </w:r>
          </w:p>
        </w:tc>
        <w:tc>
          <w:tcPr>
            <w:tcW w:w="1033" w:type="dxa"/>
            <w:noWrap/>
            <w:vAlign w:val="center"/>
          </w:tcPr>
          <w:p w14:paraId="12BE7867">
            <w:pPr>
              <w:jc w:val="center"/>
              <w:rPr>
                <w:color w:val="000000"/>
                <w:sz w:val="20"/>
                <w:szCs w:val="20"/>
              </w:rPr>
            </w:pPr>
            <w:r>
              <w:rPr>
                <w:color w:val="000000"/>
                <w:sz w:val="20"/>
                <w:szCs w:val="20"/>
              </w:rPr>
              <w:t>103,50</w:t>
            </w:r>
          </w:p>
        </w:tc>
        <w:tc>
          <w:tcPr>
            <w:tcW w:w="846" w:type="dxa"/>
            <w:noWrap/>
            <w:vAlign w:val="center"/>
          </w:tcPr>
          <w:p w14:paraId="301DD053">
            <w:pPr>
              <w:jc w:val="center"/>
              <w:rPr>
                <w:color w:val="000000"/>
                <w:sz w:val="20"/>
                <w:szCs w:val="20"/>
              </w:rPr>
            </w:pPr>
            <w:r>
              <w:rPr>
                <w:color w:val="000000"/>
                <w:sz w:val="20"/>
                <w:szCs w:val="20"/>
              </w:rPr>
              <w:t>1</w:t>
            </w:r>
          </w:p>
        </w:tc>
        <w:tc>
          <w:tcPr>
            <w:tcW w:w="2578" w:type="dxa"/>
            <w:noWrap/>
            <w:vAlign w:val="center"/>
          </w:tcPr>
          <w:p w14:paraId="02CDCFE1">
            <w:pPr>
              <w:jc w:val="center"/>
              <w:rPr>
                <w:color w:val="000000"/>
                <w:sz w:val="20"/>
                <w:szCs w:val="20"/>
              </w:rPr>
            </w:pPr>
            <w:r>
              <w:rPr>
                <w:color w:val="000000"/>
                <w:sz w:val="20"/>
                <w:szCs w:val="20"/>
              </w:rPr>
              <w:t>Mặt cắt 3-3</w:t>
            </w:r>
          </w:p>
        </w:tc>
        <w:tc>
          <w:tcPr>
            <w:tcW w:w="2393" w:type="dxa"/>
            <w:noWrap/>
            <w:vAlign w:val="center"/>
          </w:tcPr>
          <w:p w14:paraId="2CACA868">
            <w:pPr>
              <w:jc w:val="center"/>
              <w:rPr>
                <w:color w:val="000000"/>
                <w:sz w:val="20"/>
                <w:szCs w:val="20"/>
              </w:rPr>
            </w:pPr>
            <w:r>
              <w:rPr>
                <w:color w:val="000000"/>
                <w:sz w:val="20"/>
                <w:szCs w:val="20"/>
              </w:rPr>
              <w:t>Một mặt tiền</w:t>
            </w:r>
          </w:p>
        </w:tc>
        <w:tc>
          <w:tcPr>
            <w:tcW w:w="1198" w:type="dxa"/>
            <w:noWrap/>
            <w:vAlign w:val="center"/>
          </w:tcPr>
          <w:p w14:paraId="76C56410">
            <w:pPr>
              <w:jc w:val="center"/>
              <w:rPr>
                <w:color w:val="000000"/>
                <w:sz w:val="20"/>
                <w:szCs w:val="20"/>
              </w:rPr>
            </w:pPr>
            <w:r>
              <w:rPr>
                <w:color w:val="000000"/>
                <w:sz w:val="20"/>
                <w:szCs w:val="20"/>
              </w:rPr>
              <w:t>10.000.000</w:t>
            </w:r>
          </w:p>
        </w:tc>
        <w:tc>
          <w:tcPr>
            <w:tcW w:w="1236" w:type="dxa"/>
            <w:noWrap/>
            <w:vAlign w:val="center"/>
          </w:tcPr>
          <w:p w14:paraId="0D9CB932">
            <w:pPr>
              <w:jc w:val="center"/>
              <w:rPr>
                <w:color w:val="000000"/>
                <w:sz w:val="20"/>
                <w:szCs w:val="20"/>
              </w:rPr>
            </w:pPr>
          </w:p>
        </w:tc>
        <w:tc>
          <w:tcPr>
            <w:tcW w:w="1252" w:type="dxa"/>
            <w:noWrap/>
            <w:vAlign w:val="center"/>
          </w:tcPr>
          <w:p w14:paraId="50795E8C">
            <w:pPr>
              <w:jc w:val="center"/>
              <w:rPr>
                <w:color w:val="000000"/>
                <w:sz w:val="20"/>
                <w:szCs w:val="20"/>
              </w:rPr>
            </w:pPr>
            <w:r>
              <w:rPr>
                <w:color w:val="000000"/>
                <w:sz w:val="20"/>
                <w:szCs w:val="20"/>
              </w:rPr>
              <w:t>10.000.000</w:t>
            </w:r>
          </w:p>
        </w:tc>
        <w:tc>
          <w:tcPr>
            <w:tcW w:w="1848" w:type="dxa"/>
            <w:noWrap/>
            <w:vAlign w:val="center"/>
          </w:tcPr>
          <w:p w14:paraId="5B2D0137">
            <w:pPr>
              <w:jc w:val="center"/>
              <w:rPr>
                <w:color w:val="000000"/>
                <w:sz w:val="20"/>
                <w:szCs w:val="20"/>
              </w:rPr>
            </w:pPr>
            <w:r>
              <w:rPr>
                <w:color w:val="000000"/>
                <w:sz w:val="20"/>
                <w:szCs w:val="20"/>
              </w:rPr>
              <w:t>1.035.000.000</w:t>
            </w:r>
          </w:p>
        </w:tc>
      </w:tr>
      <w:tr w14:paraId="4DB3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5B686E8">
            <w:pPr>
              <w:jc w:val="center"/>
              <w:rPr>
                <w:b/>
                <w:bCs/>
                <w:color w:val="000000"/>
                <w:sz w:val="20"/>
                <w:szCs w:val="20"/>
              </w:rPr>
            </w:pPr>
            <w:r>
              <w:rPr>
                <w:b/>
                <w:bCs/>
                <w:color w:val="000000"/>
                <w:sz w:val="20"/>
                <w:szCs w:val="20"/>
              </w:rPr>
              <w:t>LK57</w:t>
            </w:r>
          </w:p>
        </w:tc>
        <w:tc>
          <w:tcPr>
            <w:tcW w:w="1802" w:type="dxa"/>
            <w:vAlign w:val="center"/>
          </w:tcPr>
          <w:p w14:paraId="66623ABC">
            <w:pPr>
              <w:jc w:val="center"/>
              <w:rPr>
                <w:color w:val="000000"/>
                <w:sz w:val="20"/>
                <w:szCs w:val="20"/>
              </w:rPr>
            </w:pPr>
            <w:r>
              <w:rPr>
                <w:color w:val="000000"/>
                <w:sz w:val="20"/>
                <w:szCs w:val="20"/>
              </w:rPr>
              <w:t>LK57:01</w:t>
            </w:r>
          </w:p>
        </w:tc>
        <w:tc>
          <w:tcPr>
            <w:tcW w:w="1033" w:type="dxa"/>
            <w:noWrap/>
            <w:vAlign w:val="center"/>
          </w:tcPr>
          <w:p w14:paraId="617430EF">
            <w:pPr>
              <w:jc w:val="center"/>
              <w:rPr>
                <w:color w:val="000000"/>
                <w:sz w:val="20"/>
                <w:szCs w:val="20"/>
              </w:rPr>
            </w:pPr>
            <w:r>
              <w:rPr>
                <w:color w:val="000000"/>
                <w:sz w:val="20"/>
                <w:szCs w:val="20"/>
              </w:rPr>
              <w:t>87,00</w:t>
            </w:r>
          </w:p>
        </w:tc>
        <w:tc>
          <w:tcPr>
            <w:tcW w:w="846" w:type="dxa"/>
            <w:noWrap/>
            <w:vAlign w:val="center"/>
          </w:tcPr>
          <w:p w14:paraId="41863D94">
            <w:pPr>
              <w:jc w:val="center"/>
              <w:rPr>
                <w:color w:val="000000"/>
                <w:sz w:val="20"/>
                <w:szCs w:val="20"/>
              </w:rPr>
            </w:pPr>
            <w:r>
              <w:rPr>
                <w:color w:val="000000"/>
                <w:sz w:val="20"/>
                <w:szCs w:val="20"/>
              </w:rPr>
              <w:t>1</w:t>
            </w:r>
          </w:p>
        </w:tc>
        <w:tc>
          <w:tcPr>
            <w:tcW w:w="2578" w:type="dxa"/>
            <w:noWrap/>
            <w:vAlign w:val="center"/>
          </w:tcPr>
          <w:p w14:paraId="55F5412A">
            <w:pPr>
              <w:jc w:val="center"/>
              <w:rPr>
                <w:color w:val="000000"/>
                <w:sz w:val="20"/>
                <w:szCs w:val="20"/>
              </w:rPr>
            </w:pPr>
            <w:r>
              <w:rPr>
                <w:color w:val="000000"/>
                <w:sz w:val="20"/>
                <w:szCs w:val="20"/>
              </w:rPr>
              <w:t>Mặt cắt 3-3</w:t>
            </w:r>
          </w:p>
        </w:tc>
        <w:tc>
          <w:tcPr>
            <w:tcW w:w="2393" w:type="dxa"/>
            <w:noWrap/>
            <w:vAlign w:val="center"/>
          </w:tcPr>
          <w:p w14:paraId="3CD1BF66">
            <w:pPr>
              <w:jc w:val="center"/>
              <w:rPr>
                <w:color w:val="000000"/>
                <w:sz w:val="20"/>
                <w:szCs w:val="20"/>
              </w:rPr>
            </w:pPr>
            <w:r>
              <w:rPr>
                <w:color w:val="000000"/>
                <w:sz w:val="20"/>
                <w:szCs w:val="20"/>
              </w:rPr>
              <w:t>Một mặt tiền</w:t>
            </w:r>
          </w:p>
        </w:tc>
        <w:tc>
          <w:tcPr>
            <w:tcW w:w="1198" w:type="dxa"/>
            <w:noWrap/>
            <w:vAlign w:val="center"/>
          </w:tcPr>
          <w:p w14:paraId="55A88F69">
            <w:pPr>
              <w:jc w:val="center"/>
              <w:rPr>
                <w:color w:val="000000"/>
                <w:sz w:val="20"/>
                <w:szCs w:val="20"/>
              </w:rPr>
            </w:pPr>
            <w:r>
              <w:rPr>
                <w:color w:val="000000"/>
                <w:sz w:val="20"/>
                <w:szCs w:val="20"/>
              </w:rPr>
              <w:t>10.000.000</w:t>
            </w:r>
          </w:p>
        </w:tc>
        <w:tc>
          <w:tcPr>
            <w:tcW w:w="1236" w:type="dxa"/>
            <w:noWrap/>
            <w:vAlign w:val="center"/>
          </w:tcPr>
          <w:p w14:paraId="3E928370">
            <w:pPr>
              <w:jc w:val="center"/>
              <w:rPr>
                <w:color w:val="000000"/>
                <w:sz w:val="20"/>
                <w:szCs w:val="20"/>
              </w:rPr>
            </w:pPr>
          </w:p>
        </w:tc>
        <w:tc>
          <w:tcPr>
            <w:tcW w:w="1252" w:type="dxa"/>
            <w:noWrap/>
            <w:vAlign w:val="center"/>
          </w:tcPr>
          <w:p w14:paraId="15C946CB">
            <w:pPr>
              <w:jc w:val="center"/>
              <w:rPr>
                <w:color w:val="000000"/>
                <w:sz w:val="20"/>
                <w:szCs w:val="20"/>
              </w:rPr>
            </w:pPr>
            <w:r>
              <w:rPr>
                <w:color w:val="000000"/>
                <w:sz w:val="20"/>
                <w:szCs w:val="20"/>
              </w:rPr>
              <w:t>10.000.000</w:t>
            </w:r>
          </w:p>
        </w:tc>
        <w:tc>
          <w:tcPr>
            <w:tcW w:w="1848" w:type="dxa"/>
            <w:noWrap/>
            <w:vAlign w:val="center"/>
          </w:tcPr>
          <w:p w14:paraId="65AD8AD2">
            <w:pPr>
              <w:jc w:val="center"/>
              <w:rPr>
                <w:color w:val="000000"/>
                <w:sz w:val="20"/>
                <w:szCs w:val="20"/>
              </w:rPr>
            </w:pPr>
            <w:r>
              <w:rPr>
                <w:color w:val="000000"/>
                <w:sz w:val="20"/>
                <w:szCs w:val="20"/>
              </w:rPr>
              <w:t>870.000.000</w:t>
            </w:r>
          </w:p>
        </w:tc>
      </w:tr>
      <w:tr w14:paraId="3D9B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E154720">
            <w:pPr>
              <w:jc w:val="center"/>
              <w:rPr>
                <w:b/>
                <w:bCs/>
                <w:color w:val="000000"/>
                <w:sz w:val="20"/>
                <w:szCs w:val="20"/>
              </w:rPr>
            </w:pPr>
            <w:r>
              <w:rPr>
                <w:b/>
                <w:bCs/>
                <w:color w:val="000000"/>
                <w:sz w:val="20"/>
                <w:szCs w:val="20"/>
              </w:rPr>
              <w:t>LK57</w:t>
            </w:r>
          </w:p>
        </w:tc>
        <w:tc>
          <w:tcPr>
            <w:tcW w:w="1802" w:type="dxa"/>
            <w:vAlign w:val="center"/>
          </w:tcPr>
          <w:p w14:paraId="11567F3A">
            <w:pPr>
              <w:jc w:val="center"/>
              <w:rPr>
                <w:color w:val="000000"/>
                <w:sz w:val="20"/>
                <w:szCs w:val="20"/>
              </w:rPr>
            </w:pPr>
            <w:r>
              <w:rPr>
                <w:color w:val="000000"/>
                <w:sz w:val="20"/>
                <w:szCs w:val="20"/>
              </w:rPr>
              <w:t>LK57:02</w:t>
            </w:r>
          </w:p>
        </w:tc>
        <w:tc>
          <w:tcPr>
            <w:tcW w:w="1033" w:type="dxa"/>
            <w:noWrap/>
            <w:vAlign w:val="center"/>
          </w:tcPr>
          <w:p w14:paraId="3E5B9D6D">
            <w:pPr>
              <w:jc w:val="center"/>
              <w:rPr>
                <w:color w:val="000000"/>
                <w:sz w:val="20"/>
                <w:szCs w:val="20"/>
              </w:rPr>
            </w:pPr>
            <w:r>
              <w:rPr>
                <w:color w:val="000000"/>
                <w:sz w:val="20"/>
                <w:szCs w:val="20"/>
              </w:rPr>
              <w:t>87,00</w:t>
            </w:r>
          </w:p>
        </w:tc>
        <w:tc>
          <w:tcPr>
            <w:tcW w:w="846" w:type="dxa"/>
            <w:noWrap/>
            <w:vAlign w:val="center"/>
          </w:tcPr>
          <w:p w14:paraId="5BB331C4">
            <w:pPr>
              <w:jc w:val="center"/>
              <w:rPr>
                <w:color w:val="000000"/>
                <w:sz w:val="20"/>
                <w:szCs w:val="20"/>
              </w:rPr>
            </w:pPr>
            <w:r>
              <w:rPr>
                <w:color w:val="000000"/>
                <w:sz w:val="20"/>
                <w:szCs w:val="20"/>
              </w:rPr>
              <w:t>1</w:t>
            </w:r>
          </w:p>
        </w:tc>
        <w:tc>
          <w:tcPr>
            <w:tcW w:w="2578" w:type="dxa"/>
            <w:noWrap/>
            <w:vAlign w:val="center"/>
          </w:tcPr>
          <w:p w14:paraId="04891DE0">
            <w:pPr>
              <w:jc w:val="center"/>
              <w:rPr>
                <w:color w:val="000000"/>
                <w:sz w:val="20"/>
                <w:szCs w:val="20"/>
              </w:rPr>
            </w:pPr>
            <w:r>
              <w:rPr>
                <w:color w:val="000000"/>
                <w:sz w:val="20"/>
                <w:szCs w:val="20"/>
              </w:rPr>
              <w:t>Mặt cắt 3-3</w:t>
            </w:r>
          </w:p>
        </w:tc>
        <w:tc>
          <w:tcPr>
            <w:tcW w:w="2393" w:type="dxa"/>
            <w:noWrap/>
            <w:vAlign w:val="center"/>
          </w:tcPr>
          <w:p w14:paraId="1B4BBC8B">
            <w:pPr>
              <w:jc w:val="center"/>
              <w:rPr>
                <w:color w:val="000000"/>
                <w:sz w:val="20"/>
                <w:szCs w:val="20"/>
              </w:rPr>
            </w:pPr>
            <w:r>
              <w:rPr>
                <w:color w:val="000000"/>
                <w:sz w:val="20"/>
                <w:szCs w:val="20"/>
              </w:rPr>
              <w:t>Một mặt tiền</w:t>
            </w:r>
          </w:p>
        </w:tc>
        <w:tc>
          <w:tcPr>
            <w:tcW w:w="1198" w:type="dxa"/>
            <w:noWrap/>
            <w:vAlign w:val="center"/>
          </w:tcPr>
          <w:p w14:paraId="438CF3BE">
            <w:pPr>
              <w:jc w:val="center"/>
              <w:rPr>
                <w:color w:val="000000"/>
                <w:sz w:val="20"/>
                <w:szCs w:val="20"/>
              </w:rPr>
            </w:pPr>
            <w:r>
              <w:rPr>
                <w:color w:val="000000"/>
                <w:sz w:val="20"/>
                <w:szCs w:val="20"/>
              </w:rPr>
              <w:t>10.000.000</w:t>
            </w:r>
          </w:p>
        </w:tc>
        <w:tc>
          <w:tcPr>
            <w:tcW w:w="1236" w:type="dxa"/>
            <w:noWrap/>
            <w:vAlign w:val="center"/>
          </w:tcPr>
          <w:p w14:paraId="116F924C">
            <w:pPr>
              <w:jc w:val="center"/>
              <w:rPr>
                <w:color w:val="000000"/>
                <w:sz w:val="20"/>
                <w:szCs w:val="20"/>
              </w:rPr>
            </w:pPr>
          </w:p>
        </w:tc>
        <w:tc>
          <w:tcPr>
            <w:tcW w:w="1252" w:type="dxa"/>
            <w:noWrap/>
            <w:vAlign w:val="center"/>
          </w:tcPr>
          <w:p w14:paraId="004C3206">
            <w:pPr>
              <w:jc w:val="center"/>
              <w:rPr>
                <w:color w:val="000000"/>
                <w:sz w:val="20"/>
                <w:szCs w:val="20"/>
              </w:rPr>
            </w:pPr>
            <w:r>
              <w:rPr>
                <w:color w:val="000000"/>
                <w:sz w:val="20"/>
                <w:szCs w:val="20"/>
              </w:rPr>
              <w:t>10.000.000</w:t>
            </w:r>
          </w:p>
        </w:tc>
        <w:tc>
          <w:tcPr>
            <w:tcW w:w="1848" w:type="dxa"/>
            <w:noWrap/>
            <w:vAlign w:val="center"/>
          </w:tcPr>
          <w:p w14:paraId="0627BD71">
            <w:pPr>
              <w:jc w:val="center"/>
              <w:rPr>
                <w:color w:val="000000"/>
                <w:sz w:val="20"/>
                <w:szCs w:val="20"/>
              </w:rPr>
            </w:pPr>
            <w:r>
              <w:rPr>
                <w:color w:val="000000"/>
                <w:sz w:val="20"/>
                <w:szCs w:val="20"/>
              </w:rPr>
              <w:t>870.000.000</w:t>
            </w:r>
          </w:p>
        </w:tc>
      </w:tr>
      <w:tr w14:paraId="39FB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803ED3B">
            <w:pPr>
              <w:jc w:val="center"/>
              <w:rPr>
                <w:b/>
                <w:bCs/>
                <w:color w:val="000000"/>
                <w:sz w:val="20"/>
                <w:szCs w:val="20"/>
              </w:rPr>
            </w:pPr>
            <w:r>
              <w:rPr>
                <w:b/>
                <w:bCs/>
                <w:color w:val="000000"/>
                <w:sz w:val="20"/>
                <w:szCs w:val="20"/>
              </w:rPr>
              <w:t>LK57</w:t>
            </w:r>
          </w:p>
        </w:tc>
        <w:tc>
          <w:tcPr>
            <w:tcW w:w="1802" w:type="dxa"/>
            <w:vAlign w:val="center"/>
          </w:tcPr>
          <w:p w14:paraId="19B0AA48">
            <w:pPr>
              <w:jc w:val="center"/>
              <w:rPr>
                <w:color w:val="000000"/>
                <w:sz w:val="20"/>
                <w:szCs w:val="20"/>
              </w:rPr>
            </w:pPr>
            <w:r>
              <w:rPr>
                <w:color w:val="000000"/>
                <w:sz w:val="20"/>
                <w:szCs w:val="20"/>
              </w:rPr>
              <w:t>LK57:03</w:t>
            </w:r>
          </w:p>
        </w:tc>
        <w:tc>
          <w:tcPr>
            <w:tcW w:w="1033" w:type="dxa"/>
            <w:noWrap/>
            <w:vAlign w:val="center"/>
          </w:tcPr>
          <w:p w14:paraId="29814853">
            <w:pPr>
              <w:jc w:val="center"/>
              <w:rPr>
                <w:color w:val="000000"/>
                <w:sz w:val="20"/>
                <w:szCs w:val="20"/>
              </w:rPr>
            </w:pPr>
            <w:r>
              <w:rPr>
                <w:color w:val="000000"/>
                <w:sz w:val="20"/>
                <w:szCs w:val="20"/>
              </w:rPr>
              <w:t>87,00</w:t>
            </w:r>
          </w:p>
        </w:tc>
        <w:tc>
          <w:tcPr>
            <w:tcW w:w="846" w:type="dxa"/>
            <w:noWrap/>
            <w:vAlign w:val="center"/>
          </w:tcPr>
          <w:p w14:paraId="5FC06C85">
            <w:pPr>
              <w:jc w:val="center"/>
              <w:rPr>
                <w:color w:val="000000"/>
                <w:sz w:val="20"/>
                <w:szCs w:val="20"/>
              </w:rPr>
            </w:pPr>
            <w:r>
              <w:rPr>
                <w:color w:val="000000"/>
                <w:sz w:val="20"/>
                <w:szCs w:val="20"/>
              </w:rPr>
              <w:t>1</w:t>
            </w:r>
          </w:p>
        </w:tc>
        <w:tc>
          <w:tcPr>
            <w:tcW w:w="2578" w:type="dxa"/>
            <w:noWrap/>
            <w:vAlign w:val="center"/>
          </w:tcPr>
          <w:p w14:paraId="74101862">
            <w:pPr>
              <w:jc w:val="center"/>
              <w:rPr>
                <w:color w:val="000000"/>
                <w:sz w:val="20"/>
                <w:szCs w:val="20"/>
              </w:rPr>
            </w:pPr>
            <w:r>
              <w:rPr>
                <w:color w:val="000000"/>
                <w:sz w:val="20"/>
                <w:szCs w:val="20"/>
              </w:rPr>
              <w:t>Mặt cắt 3-3</w:t>
            </w:r>
          </w:p>
        </w:tc>
        <w:tc>
          <w:tcPr>
            <w:tcW w:w="2393" w:type="dxa"/>
            <w:noWrap/>
            <w:vAlign w:val="center"/>
          </w:tcPr>
          <w:p w14:paraId="28846149">
            <w:pPr>
              <w:jc w:val="center"/>
              <w:rPr>
                <w:color w:val="000000"/>
                <w:sz w:val="20"/>
                <w:szCs w:val="20"/>
              </w:rPr>
            </w:pPr>
            <w:r>
              <w:rPr>
                <w:color w:val="000000"/>
                <w:sz w:val="20"/>
                <w:szCs w:val="20"/>
              </w:rPr>
              <w:t>Một mặt tiền</w:t>
            </w:r>
          </w:p>
        </w:tc>
        <w:tc>
          <w:tcPr>
            <w:tcW w:w="1198" w:type="dxa"/>
            <w:noWrap/>
            <w:vAlign w:val="center"/>
          </w:tcPr>
          <w:p w14:paraId="799506C2">
            <w:pPr>
              <w:jc w:val="center"/>
              <w:rPr>
                <w:color w:val="000000"/>
                <w:sz w:val="20"/>
                <w:szCs w:val="20"/>
              </w:rPr>
            </w:pPr>
            <w:r>
              <w:rPr>
                <w:color w:val="000000"/>
                <w:sz w:val="20"/>
                <w:szCs w:val="20"/>
              </w:rPr>
              <w:t>10.000.000</w:t>
            </w:r>
          </w:p>
        </w:tc>
        <w:tc>
          <w:tcPr>
            <w:tcW w:w="1236" w:type="dxa"/>
            <w:noWrap/>
            <w:vAlign w:val="center"/>
          </w:tcPr>
          <w:p w14:paraId="65312720">
            <w:pPr>
              <w:jc w:val="center"/>
              <w:rPr>
                <w:color w:val="000000"/>
                <w:sz w:val="20"/>
                <w:szCs w:val="20"/>
              </w:rPr>
            </w:pPr>
          </w:p>
        </w:tc>
        <w:tc>
          <w:tcPr>
            <w:tcW w:w="1252" w:type="dxa"/>
            <w:noWrap/>
            <w:vAlign w:val="center"/>
          </w:tcPr>
          <w:p w14:paraId="29B6F122">
            <w:pPr>
              <w:jc w:val="center"/>
              <w:rPr>
                <w:color w:val="000000"/>
                <w:sz w:val="20"/>
                <w:szCs w:val="20"/>
              </w:rPr>
            </w:pPr>
            <w:r>
              <w:rPr>
                <w:color w:val="000000"/>
                <w:sz w:val="20"/>
                <w:szCs w:val="20"/>
              </w:rPr>
              <w:t>10.000.000</w:t>
            </w:r>
          </w:p>
        </w:tc>
        <w:tc>
          <w:tcPr>
            <w:tcW w:w="1848" w:type="dxa"/>
            <w:noWrap/>
            <w:vAlign w:val="center"/>
          </w:tcPr>
          <w:p w14:paraId="6A4D7E84">
            <w:pPr>
              <w:jc w:val="center"/>
              <w:rPr>
                <w:color w:val="000000"/>
                <w:sz w:val="20"/>
                <w:szCs w:val="20"/>
              </w:rPr>
            </w:pPr>
            <w:r>
              <w:rPr>
                <w:color w:val="000000"/>
                <w:sz w:val="20"/>
                <w:szCs w:val="20"/>
              </w:rPr>
              <w:t>870.000.000</w:t>
            </w:r>
          </w:p>
        </w:tc>
      </w:tr>
      <w:tr w14:paraId="0A34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A9DE54">
            <w:pPr>
              <w:jc w:val="center"/>
              <w:rPr>
                <w:b/>
                <w:bCs/>
                <w:color w:val="000000"/>
                <w:sz w:val="20"/>
                <w:szCs w:val="20"/>
              </w:rPr>
            </w:pPr>
            <w:r>
              <w:rPr>
                <w:b/>
                <w:bCs/>
                <w:color w:val="000000"/>
                <w:sz w:val="20"/>
                <w:szCs w:val="20"/>
              </w:rPr>
              <w:t>LK57</w:t>
            </w:r>
          </w:p>
        </w:tc>
        <w:tc>
          <w:tcPr>
            <w:tcW w:w="1802" w:type="dxa"/>
            <w:vAlign w:val="center"/>
          </w:tcPr>
          <w:p w14:paraId="78C32DBB">
            <w:pPr>
              <w:jc w:val="center"/>
              <w:rPr>
                <w:color w:val="000000"/>
                <w:sz w:val="20"/>
                <w:szCs w:val="20"/>
              </w:rPr>
            </w:pPr>
            <w:r>
              <w:rPr>
                <w:color w:val="000000"/>
                <w:sz w:val="20"/>
                <w:szCs w:val="20"/>
              </w:rPr>
              <w:t>LK57:04</w:t>
            </w:r>
          </w:p>
        </w:tc>
        <w:tc>
          <w:tcPr>
            <w:tcW w:w="1033" w:type="dxa"/>
            <w:noWrap/>
            <w:vAlign w:val="center"/>
          </w:tcPr>
          <w:p w14:paraId="72BE4A74">
            <w:pPr>
              <w:jc w:val="center"/>
              <w:rPr>
                <w:color w:val="000000"/>
                <w:sz w:val="20"/>
                <w:szCs w:val="20"/>
              </w:rPr>
            </w:pPr>
            <w:r>
              <w:rPr>
                <w:color w:val="000000"/>
                <w:sz w:val="20"/>
                <w:szCs w:val="20"/>
              </w:rPr>
              <w:t>87,00</w:t>
            </w:r>
          </w:p>
        </w:tc>
        <w:tc>
          <w:tcPr>
            <w:tcW w:w="846" w:type="dxa"/>
            <w:noWrap/>
            <w:vAlign w:val="center"/>
          </w:tcPr>
          <w:p w14:paraId="093B3729">
            <w:pPr>
              <w:jc w:val="center"/>
              <w:rPr>
                <w:color w:val="000000"/>
                <w:sz w:val="20"/>
                <w:szCs w:val="20"/>
              </w:rPr>
            </w:pPr>
            <w:r>
              <w:rPr>
                <w:color w:val="000000"/>
                <w:sz w:val="20"/>
                <w:szCs w:val="20"/>
              </w:rPr>
              <w:t>1</w:t>
            </w:r>
          </w:p>
        </w:tc>
        <w:tc>
          <w:tcPr>
            <w:tcW w:w="2578" w:type="dxa"/>
            <w:noWrap/>
            <w:vAlign w:val="center"/>
          </w:tcPr>
          <w:p w14:paraId="3FBFCC7A">
            <w:pPr>
              <w:jc w:val="center"/>
              <w:rPr>
                <w:color w:val="000000"/>
                <w:sz w:val="20"/>
                <w:szCs w:val="20"/>
              </w:rPr>
            </w:pPr>
            <w:r>
              <w:rPr>
                <w:color w:val="000000"/>
                <w:sz w:val="20"/>
                <w:szCs w:val="20"/>
              </w:rPr>
              <w:t>Mặt cắt 3-3</w:t>
            </w:r>
          </w:p>
        </w:tc>
        <w:tc>
          <w:tcPr>
            <w:tcW w:w="2393" w:type="dxa"/>
            <w:noWrap/>
            <w:vAlign w:val="center"/>
          </w:tcPr>
          <w:p w14:paraId="3C144115">
            <w:pPr>
              <w:jc w:val="center"/>
              <w:rPr>
                <w:color w:val="000000"/>
                <w:sz w:val="20"/>
                <w:szCs w:val="20"/>
              </w:rPr>
            </w:pPr>
            <w:r>
              <w:rPr>
                <w:color w:val="000000"/>
                <w:sz w:val="20"/>
                <w:szCs w:val="20"/>
              </w:rPr>
              <w:t>Một mặt tiền</w:t>
            </w:r>
          </w:p>
        </w:tc>
        <w:tc>
          <w:tcPr>
            <w:tcW w:w="1198" w:type="dxa"/>
            <w:noWrap/>
            <w:vAlign w:val="center"/>
          </w:tcPr>
          <w:p w14:paraId="70119785">
            <w:pPr>
              <w:jc w:val="center"/>
              <w:rPr>
                <w:color w:val="000000"/>
                <w:sz w:val="20"/>
                <w:szCs w:val="20"/>
              </w:rPr>
            </w:pPr>
            <w:r>
              <w:rPr>
                <w:color w:val="000000"/>
                <w:sz w:val="20"/>
                <w:szCs w:val="20"/>
              </w:rPr>
              <w:t>10.000.000</w:t>
            </w:r>
          </w:p>
        </w:tc>
        <w:tc>
          <w:tcPr>
            <w:tcW w:w="1236" w:type="dxa"/>
            <w:noWrap/>
            <w:vAlign w:val="center"/>
          </w:tcPr>
          <w:p w14:paraId="6DEEC1CC">
            <w:pPr>
              <w:jc w:val="center"/>
              <w:rPr>
                <w:color w:val="000000"/>
                <w:sz w:val="20"/>
                <w:szCs w:val="20"/>
              </w:rPr>
            </w:pPr>
          </w:p>
        </w:tc>
        <w:tc>
          <w:tcPr>
            <w:tcW w:w="1252" w:type="dxa"/>
            <w:noWrap/>
            <w:vAlign w:val="center"/>
          </w:tcPr>
          <w:p w14:paraId="7B8DB24E">
            <w:pPr>
              <w:jc w:val="center"/>
              <w:rPr>
                <w:color w:val="000000"/>
                <w:sz w:val="20"/>
                <w:szCs w:val="20"/>
              </w:rPr>
            </w:pPr>
            <w:r>
              <w:rPr>
                <w:color w:val="000000"/>
                <w:sz w:val="20"/>
                <w:szCs w:val="20"/>
              </w:rPr>
              <w:t>10.000.000</w:t>
            </w:r>
          </w:p>
        </w:tc>
        <w:tc>
          <w:tcPr>
            <w:tcW w:w="1848" w:type="dxa"/>
            <w:noWrap/>
            <w:vAlign w:val="center"/>
          </w:tcPr>
          <w:p w14:paraId="05FE5CA4">
            <w:pPr>
              <w:jc w:val="center"/>
              <w:rPr>
                <w:color w:val="000000"/>
                <w:sz w:val="20"/>
                <w:szCs w:val="20"/>
              </w:rPr>
            </w:pPr>
            <w:r>
              <w:rPr>
                <w:color w:val="000000"/>
                <w:sz w:val="20"/>
                <w:szCs w:val="20"/>
              </w:rPr>
              <w:t>870.000.000</w:t>
            </w:r>
          </w:p>
        </w:tc>
      </w:tr>
      <w:tr w14:paraId="61CF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20DFA09">
            <w:pPr>
              <w:jc w:val="center"/>
              <w:rPr>
                <w:b/>
                <w:bCs/>
                <w:color w:val="000000"/>
                <w:sz w:val="20"/>
                <w:szCs w:val="20"/>
              </w:rPr>
            </w:pPr>
            <w:r>
              <w:rPr>
                <w:b/>
                <w:bCs/>
                <w:color w:val="000000"/>
                <w:sz w:val="20"/>
                <w:szCs w:val="20"/>
              </w:rPr>
              <w:t>LK57</w:t>
            </w:r>
          </w:p>
        </w:tc>
        <w:tc>
          <w:tcPr>
            <w:tcW w:w="1802" w:type="dxa"/>
            <w:vAlign w:val="center"/>
          </w:tcPr>
          <w:p w14:paraId="0D3DFFDE">
            <w:pPr>
              <w:jc w:val="center"/>
              <w:rPr>
                <w:color w:val="000000"/>
                <w:sz w:val="20"/>
                <w:szCs w:val="20"/>
              </w:rPr>
            </w:pPr>
            <w:r>
              <w:rPr>
                <w:color w:val="000000"/>
                <w:sz w:val="20"/>
                <w:szCs w:val="20"/>
              </w:rPr>
              <w:t>LK57:05</w:t>
            </w:r>
          </w:p>
        </w:tc>
        <w:tc>
          <w:tcPr>
            <w:tcW w:w="1033" w:type="dxa"/>
            <w:noWrap/>
            <w:vAlign w:val="center"/>
          </w:tcPr>
          <w:p w14:paraId="1E8D9DE6">
            <w:pPr>
              <w:jc w:val="center"/>
              <w:rPr>
                <w:color w:val="000000"/>
                <w:sz w:val="20"/>
                <w:szCs w:val="20"/>
              </w:rPr>
            </w:pPr>
            <w:r>
              <w:rPr>
                <w:color w:val="000000"/>
                <w:sz w:val="20"/>
                <w:szCs w:val="20"/>
              </w:rPr>
              <w:t>87,00</w:t>
            </w:r>
          </w:p>
        </w:tc>
        <w:tc>
          <w:tcPr>
            <w:tcW w:w="846" w:type="dxa"/>
            <w:noWrap/>
            <w:vAlign w:val="center"/>
          </w:tcPr>
          <w:p w14:paraId="39EF4783">
            <w:pPr>
              <w:jc w:val="center"/>
              <w:rPr>
                <w:color w:val="000000"/>
                <w:sz w:val="20"/>
                <w:szCs w:val="20"/>
              </w:rPr>
            </w:pPr>
            <w:r>
              <w:rPr>
                <w:color w:val="000000"/>
                <w:sz w:val="20"/>
                <w:szCs w:val="20"/>
              </w:rPr>
              <w:t>1</w:t>
            </w:r>
          </w:p>
        </w:tc>
        <w:tc>
          <w:tcPr>
            <w:tcW w:w="2578" w:type="dxa"/>
            <w:noWrap/>
            <w:vAlign w:val="center"/>
          </w:tcPr>
          <w:p w14:paraId="2B9746F4">
            <w:pPr>
              <w:jc w:val="center"/>
              <w:rPr>
                <w:color w:val="000000"/>
                <w:sz w:val="20"/>
                <w:szCs w:val="20"/>
              </w:rPr>
            </w:pPr>
            <w:r>
              <w:rPr>
                <w:color w:val="000000"/>
                <w:sz w:val="20"/>
                <w:szCs w:val="20"/>
              </w:rPr>
              <w:t>Mặt cắt 3-3</w:t>
            </w:r>
          </w:p>
        </w:tc>
        <w:tc>
          <w:tcPr>
            <w:tcW w:w="2393" w:type="dxa"/>
            <w:noWrap/>
            <w:vAlign w:val="center"/>
          </w:tcPr>
          <w:p w14:paraId="6589DABA">
            <w:pPr>
              <w:jc w:val="center"/>
              <w:rPr>
                <w:color w:val="000000"/>
                <w:sz w:val="20"/>
                <w:szCs w:val="20"/>
              </w:rPr>
            </w:pPr>
            <w:r>
              <w:rPr>
                <w:color w:val="000000"/>
                <w:sz w:val="20"/>
                <w:szCs w:val="20"/>
              </w:rPr>
              <w:t>Một mặt tiền</w:t>
            </w:r>
          </w:p>
        </w:tc>
        <w:tc>
          <w:tcPr>
            <w:tcW w:w="1198" w:type="dxa"/>
            <w:noWrap/>
            <w:vAlign w:val="center"/>
          </w:tcPr>
          <w:p w14:paraId="7498F479">
            <w:pPr>
              <w:jc w:val="center"/>
              <w:rPr>
                <w:color w:val="000000"/>
                <w:sz w:val="20"/>
                <w:szCs w:val="20"/>
              </w:rPr>
            </w:pPr>
            <w:r>
              <w:rPr>
                <w:color w:val="000000"/>
                <w:sz w:val="20"/>
                <w:szCs w:val="20"/>
              </w:rPr>
              <w:t>10.000.000</w:t>
            </w:r>
          </w:p>
        </w:tc>
        <w:tc>
          <w:tcPr>
            <w:tcW w:w="1236" w:type="dxa"/>
            <w:noWrap/>
            <w:vAlign w:val="center"/>
          </w:tcPr>
          <w:p w14:paraId="2AE7BD2B">
            <w:pPr>
              <w:jc w:val="center"/>
              <w:rPr>
                <w:color w:val="000000"/>
                <w:sz w:val="20"/>
                <w:szCs w:val="20"/>
              </w:rPr>
            </w:pPr>
          </w:p>
        </w:tc>
        <w:tc>
          <w:tcPr>
            <w:tcW w:w="1252" w:type="dxa"/>
            <w:noWrap/>
            <w:vAlign w:val="center"/>
          </w:tcPr>
          <w:p w14:paraId="1750F42A">
            <w:pPr>
              <w:jc w:val="center"/>
              <w:rPr>
                <w:color w:val="000000"/>
                <w:sz w:val="20"/>
                <w:szCs w:val="20"/>
              </w:rPr>
            </w:pPr>
            <w:r>
              <w:rPr>
                <w:color w:val="000000"/>
                <w:sz w:val="20"/>
                <w:szCs w:val="20"/>
              </w:rPr>
              <w:t>10.000.000</w:t>
            </w:r>
          </w:p>
        </w:tc>
        <w:tc>
          <w:tcPr>
            <w:tcW w:w="1848" w:type="dxa"/>
            <w:noWrap/>
            <w:vAlign w:val="center"/>
          </w:tcPr>
          <w:p w14:paraId="17B3A50F">
            <w:pPr>
              <w:jc w:val="center"/>
              <w:rPr>
                <w:color w:val="000000"/>
                <w:sz w:val="20"/>
                <w:szCs w:val="20"/>
              </w:rPr>
            </w:pPr>
            <w:r>
              <w:rPr>
                <w:color w:val="000000"/>
                <w:sz w:val="20"/>
                <w:szCs w:val="20"/>
              </w:rPr>
              <w:t>870.000.000</w:t>
            </w:r>
          </w:p>
        </w:tc>
      </w:tr>
      <w:tr w14:paraId="71A8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1CEF119">
            <w:pPr>
              <w:jc w:val="center"/>
              <w:rPr>
                <w:b/>
                <w:bCs/>
                <w:color w:val="000000"/>
                <w:sz w:val="20"/>
                <w:szCs w:val="20"/>
              </w:rPr>
            </w:pPr>
            <w:r>
              <w:rPr>
                <w:b/>
                <w:bCs/>
                <w:color w:val="000000"/>
                <w:sz w:val="20"/>
                <w:szCs w:val="20"/>
              </w:rPr>
              <w:t>LK57</w:t>
            </w:r>
          </w:p>
        </w:tc>
        <w:tc>
          <w:tcPr>
            <w:tcW w:w="1802" w:type="dxa"/>
            <w:vAlign w:val="center"/>
          </w:tcPr>
          <w:p w14:paraId="7B03FF8E">
            <w:pPr>
              <w:jc w:val="center"/>
              <w:rPr>
                <w:color w:val="000000"/>
                <w:sz w:val="20"/>
                <w:szCs w:val="20"/>
              </w:rPr>
            </w:pPr>
            <w:r>
              <w:rPr>
                <w:color w:val="000000"/>
                <w:sz w:val="20"/>
                <w:szCs w:val="20"/>
              </w:rPr>
              <w:t>LK57:06</w:t>
            </w:r>
          </w:p>
        </w:tc>
        <w:tc>
          <w:tcPr>
            <w:tcW w:w="1033" w:type="dxa"/>
            <w:noWrap/>
            <w:vAlign w:val="center"/>
          </w:tcPr>
          <w:p w14:paraId="636FE29F">
            <w:pPr>
              <w:jc w:val="center"/>
              <w:rPr>
                <w:color w:val="000000"/>
                <w:sz w:val="20"/>
                <w:szCs w:val="20"/>
              </w:rPr>
            </w:pPr>
            <w:r>
              <w:rPr>
                <w:color w:val="000000"/>
                <w:sz w:val="20"/>
                <w:szCs w:val="20"/>
              </w:rPr>
              <w:t>87,00</w:t>
            </w:r>
          </w:p>
        </w:tc>
        <w:tc>
          <w:tcPr>
            <w:tcW w:w="846" w:type="dxa"/>
            <w:noWrap/>
            <w:vAlign w:val="center"/>
          </w:tcPr>
          <w:p w14:paraId="5655DE3A">
            <w:pPr>
              <w:jc w:val="center"/>
              <w:rPr>
                <w:color w:val="000000"/>
                <w:sz w:val="20"/>
                <w:szCs w:val="20"/>
              </w:rPr>
            </w:pPr>
            <w:r>
              <w:rPr>
                <w:color w:val="000000"/>
                <w:sz w:val="20"/>
                <w:szCs w:val="20"/>
              </w:rPr>
              <w:t>1</w:t>
            </w:r>
          </w:p>
        </w:tc>
        <w:tc>
          <w:tcPr>
            <w:tcW w:w="2578" w:type="dxa"/>
            <w:noWrap/>
            <w:vAlign w:val="center"/>
          </w:tcPr>
          <w:p w14:paraId="373B4990">
            <w:pPr>
              <w:jc w:val="center"/>
              <w:rPr>
                <w:color w:val="000000"/>
                <w:sz w:val="20"/>
                <w:szCs w:val="20"/>
              </w:rPr>
            </w:pPr>
            <w:r>
              <w:rPr>
                <w:color w:val="000000"/>
                <w:sz w:val="20"/>
                <w:szCs w:val="20"/>
              </w:rPr>
              <w:t>Mặt cắt 3-3</w:t>
            </w:r>
          </w:p>
        </w:tc>
        <w:tc>
          <w:tcPr>
            <w:tcW w:w="2393" w:type="dxa"/>
            <w:noWrap/>
            <w:vAlign w:val="center"/>
          </w:tcPr>
          <w:p w14:paraId="7881E1C4">
            <w:pPr>
              <w:jc w:val="center"/>
              <w:rPr>
                <w:color w:val="000000"/>
                <w:sz w:val="20"/>
                <w:szCs w:val="20"/>
              </w:rPr>
            </w:pPr>
            <w:r>
              <w:rPr>
                <w:color w:val="000000"/>
                <w:sz w:val="20"/>
                <w:szCs w:val="20"/>
              </w:rPr>
              <w:t>Một mặt tiền</w:t>
            </w:r>
          </w:p>
        </w:tc>
        <w:tc>
          <w:tcPr>
            <w:tcW w:w="1198" w:type="dxa"/>
            <w:noWrap/>
            <w:vAlign w:val="center"/>
          </w:tcPr>
          <w:p w14:paraId="29BF0ED8">
            <w:pPr>
              <w:jc w:val="center"/>
              <w:rPr>
                <w:color w:val="000000"/>
                <w:sz w:val="20"/>
                <w:szCs w:val="20"/>
              </w:rPr>
            </w:pPr>
            <w:r>
              <w:rPr>
                <w:color w:val="000000"/>
                <w:sz w:val="20"/>
                <w:szCs w:val="20"/>
              </w:rPr>
              <w:t>10.000.000</w:t>
            </w:r>
          </w:p>
        </w:tc>
        <w:tc>
          <w:tcPr>
            <w:tcW w:w="1236" w:type="dxa"/>
            <w:noWrap/>
            <w:vAlign w:val="center"/>
          </w:tcPr>
          <w:p w14:paraId="21A94B03">
            <w:pPr>
              <w:jc w:val="center"/>
              <w:rPr>
                <w:color w:val="000000"/>
                <w:sz w:val="20"/>
                <w:szCs w:val="20"/>
              </w:rPr>
            </w:pPr>
          </w:p>
        </w:tc>
        <w:tc>
          <w:tcPr>
            <w:tcW w:w="1252" w:type="dxa"/>
            <w:noWrap/>
            <w:vAlign w:val="center"/>
          </w:tcPr>
          <w:p w14:paraId="76AF840F">
            <w:pPr>
              <w:jc w:val="center"/>
              <w:rPr>
                <w:color w:val="000000"/>
                <w:sz w:val="20"/>
                <w:szCs w:val="20"/>
              </w:rPr>
            </w:pPr>
            <w:r>
              <w:rPr>
                <w:color w:val="000000"/>
                <w:sz w:val="20"/>
                <w:szCs w:val="20"/>
              </w:rPr>
              <w:t>10.000.000</w:t>
            </w:r>
          </w:p>
        </w:tc>
        <w:tc>
          <w:tcPr>
            <w:tcW w:w="1848" w:type="dxa"/>
            <w:noWrap/>
            <w:vAlign w:val="center"/>
          </w:tcPr>
          <w:p w14:paraId="466A28B6">
            <w:pPr>
              <w:jc w:val="center"/>
              <w:rPr>
                <w:color w:val="000000"/>
                <w:sz w:val="20"/>
                <w:szCs w:val="20"/>
              </w:rPr>
            </w:pPr>
            <w:r>
              <w:rPr>
                <w:color w:val="000000"/>
                <w:sz w:val="20"/>
                <w:szCs w:val="20"/>
              </w:rPr>
              <w:t>870.000.000</w:t>
            </w:r>
          </w:p>
        </w:tc>
      </w:tr>
      <w:tr w14:paraId="5187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FCCE1D4">
            <w:pPr>
              <w:jc w:val="center"/>
              <w:rPr>
                <w:b/>
                <w:bCs/>
                <w:color w:val="000000"/>
                <w:sz w:val="20"/>
                <w:szCs w:val="20"/>
              </w:rPr>
            </w:pPr>
            <w:r>
              <w:rPr>
                <w:b/>
                <w:bCs/>
                <w:color w:val="000000"/>
                <w:sz w:val="20"/>
                <w:szCs w:val="20"/>
              </w:rPr>
              <w:t>LK57</w:t>
            </w:r>
          </w:p>
        </w:tc>
        <w:tc>
          <w:tcPr>
            <w:tcW w:w="1802" w:type="dxa"/>
            <w:vAlign w:val="center"/>
          </w:tcPr>
          <w:p w14:paraId="22006227">
            <w:pPr>
              <w:jc w:val="center"/>
              <w:rPr>
                <w:color w:val="000000"/>
                <w:sz w:val="20"/>
                <w:szCs w:val="20"/>
              </w:rPr>
            </w:pPr>
            <w:r>
              <w:rPr>
                <w:color w:val="000000"/>
                <w:sz w:val="20"/>
                <w:szCs w:val="20"/>
              </w:rPr>
              <w:t>LK57:07</w:t>
            </w:r>
          </w:p>
        </w:tc>
        <w:tc>
          <w:tcPr>
            <w:tcW w:w="1033" w:type="dxa"/>
            <w:noWrap/>
            <w:vAlign w:val="center"/>
          </w:tcPr>
          <w:p w14:paraId="03C22772">
            <w:pPr>
              <w:jc w:val="center"/>
              <w:rPr>
                <w:color w:val="000000"/>
                <w:sz w:val="20"/>
                <w:szCs w:val="20"/>
              </w:rPr>
            </w:pPr>
            <w:r>
              <w:rPr>
                <w:color w:val="000000"/>
                <w:sz w:val="20"/>
                <w:szCs w:val="20"/>
              </w:rPr>
              <w:t>87,00</w:t>
            </w:r>
          </w:p>
        </w:tc>
        <w:tc>
          <w:tcPr>
            <w:tcW w:w="846" w:type="dxa"/>
            <w:noWrap/>
            <w:vAlign w:val="center"/>
          </w:tcPr>
          <w:p w14:paraId="4A6FF982">
            <w:pPr>
              <w:jc w:val="center"/>
              <w:rPr>
                <w:color w:val="000000"/>
                <w:sz w:val="20"/>
                <w:szCs w:val="20"/>
              </w:rPr>
            </w:pPr>
            <w:r>
              <w:rPr>
                <w:color w:val="000000"/>
                <w:sz w:val="20"/>
                <w:szCs w:val="20"/>
              </w:rPr>
              <w:t>1</w:t>
            </w:r>
          </w:p>
        </w:tc>
        <w:tc>
          <w:tcPr>
            <w:tcW w:w="2578" w:type="dxa"/>
            <w:noWrap/>
            <w:vAlign w:val="center"/>
          </w:tcPr>
          <w:p w14:paraId="44C3D9CD">
            <w:pPr>
              <w:jc w:val="center"/>
              <w:rPr>
                <w:color w:val="000000"/>
                <w:sz w:val="20"/>
                <w:szCs w:val="20"/>
              </w:rPr>
            </w:pPr>
            <w:r>
              <w:rPr>
                <w:color w:val="000000"/>
                <w:sz w:val="20"/>
                <w:szCs w:val="20"/>
              </w:rPr>
              <w:t>Mặt cắt 3-3</w:t>
            </w:r>
          </w:p>
        </w:tc>
        <w:tc>
          <w:tcPr>
            <w:tcW w:w="2393" w:type="dxa"/>
            <w:noWrap/>
            <w:vAlign w:val="center"/>
          </w:tcPr>
          <w:p w14:paraId="288764B1">
            <w:pPr>
              <w:jc w:val="center"/>
              <w:rPr>
                <w:color w:val="000000"/>
                <w:sz w:val="20"/>
                <w:szCs w:val="20"/>
              </w:rPr>
            </w:pPr>
            <w:r>
              <w:rPr>
                <w:color w:val="000000"/>
                <w:sz w:val="20"/>
                <w:szCs w:val="20"/>
              </w:rPr>
              <w:t>Một mặt tiền</w:t>
            </w:r>
          </w:p>
        </w:tc>
        <w:tc>
          <w:tcPr>
            <w:tcW w:w="1198" w:type="dxa"/>
            <w:noWrap/>
            <w:vAlign w:val="center"/>
          </w:tcPr>
          <w:p w14:paraId="6D2E9E42">
            <w:pPr>
              <w:jc w:val="center"/>
              <w:rPr>
                <w:color w:val="000000"/>
                <w:sz w:val="20"/>
                <w:szCs w:val="20"/>
              </w:rPr>
            </w:pPr>
            <w:r>
              <w:rPr>
                <w:color w:val="000000"/>
                <w:sz w:val="20"/>
                <w:szCs w:val="20"/>
              </w:rPr>
              <w:t>10.000.000</w:t>
            </w:r>
          </w:p>
        </w:tc>
        <w:tc>
          <w:tcPr>
            <w:tcW w:w="1236" w:type="dxa"/>
            <w:noWrap/>
            <w:vAlign w:val="center"/>
          </w:tcPr>
          <w:p w14:paraId="307A4084">
            <w:pPr>
              <w:jc w:val="center"/>
              <w:rPr>
                <w:color w:val="000000"/>
                <w:sz w:val="20"/>
                <w:szCs w:val="20"/>
              </w:rPr>
            </w:pPr>
          </w:p>
        </w:tc>
        <w:tc>
          <w:tcPr>
            <w:tcW w:w="1252" w:type="dxa"/>
            <w:noWrap/>
            <w:vAlign w:val="center"/>
          </w:tcPr>
          <w:p w14:paraId="5D09C937">
            <w:pPr>
              <w:jc w:val="center"/>
              <w:rPr>
                <w:color w:val="000000"/>
                <w:sz w:val="20"/>
                <w:szCs w:val="20"/>
              </w:rPr>
            </w:pPr>
            <w:r>
              <w:rPr>
                <w:color w:val="000000"/>
                <w:sz w:val="20"/>
                <w:szCs w:val="20"/>
              </w:rPr>
              <w:t>10.000.000</w:t>
            </w:r>
          </w:p>
        </w:tc>
        <w:tc>
          <w:tcPr>
            <w:tcW w:w="1848" w:type="dxa"/>
            <w:noWrap/>
            <w:vAlign w:val="center"/>
          </w:tcPr>
          <w:p w14:paraId="5B7924D6">
            <w:pPr>
              <w:jc w:val="center"/>
              <w:rPr>
                <w:color w:val="000000"/>
                <w:sz w:val="20"/>
                <w:szCs w:val="20"/>
              </w:rPr>
            </w:pPr>
            <w:r>
              <w:rPr>
                <w:color w:val="000000"/>
                <w:sz w:val="20"/>
                <w:szCs w:val="20"/>
              </w:rPr>
              <w:t>870.000.000</w:t>
            </w:r>
          </w:p>
        </w:tc>
      </w:tr>
      <w:tr w14:paraId="37E2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44F7A0F">
            <w:pPr>
              <w:jc w:val="center"/>
              <w:rPr>
                <w:b/>
                <w:bCs/>
                <w:color w:val="000000"/>
                <w:sz w:val="20"/>
                <w:szCs w:val="20"/>
              </w:rPr>
            </w:pPr>
            <w:r>
              <w:rPr>
                <w:b/>
                <w:bCs/>
                <w:color w:val="000000"/>
                <w:sz w:val="20"/>
                <w:szCs w:val="20"/>
              </w:rPr>
              <w:t>LK57</w:t>
            </w:r>
          </w:p>
        </w:tc>
        <w:tc>
          <w:tcPr>
            <w:tcW w:w="1802" w:type="dxa"/>
            <w:vAlign w:val="center"/>
          </w:tcPr>
          <w:p w14:paraId="380A6166">
            <w:pPr>
              <w:jc w:val="center"/>
              <w:rPr>
                <w:color w:val="000000"/>
                <w:sz w:val="20"/>
                <w:szCs w:val="20"/>
              </w:rPr>
            </w:pPr>
            <w:r>
              <w:rPr>
                <w:color w:val="000000"/>
                <w:sz w:val="20"/>
                <w:szCs w:val="20"/>
              </w:rPr>
              <w:t>LK57:08</w:t>
            </w:r>
          </w:p>
        </w:tc>
        <w:tc>
          <w:tcPr>
            <w:tcW w:w="1033" w:type="dxa"/>
            <w:noWrap/>
            <w:vAlign w:val="center"/>
          </w:tcPr>
          <w:p w14:paraId="014758A1">
            <w:pPr>
              <w:jc w:val="center"/>
              <w:rPr>
                <w:color w:val="000000"/>
                <w:sz w:val="20"/>
                <w:szCs w:val="20"/>
              </w:rPr>
            </w:pPr>
            <w:r>
              <w:rPr>
                <w:color w:val="000000"/>
                <w:sz w:val="20"/>
                <w:szCs w:val="20"/>
              </w:rPr>
              <w:t>87,00</w:t>
            </w:r>
          </w:p>
        </w:tc>
        <w:tc>
          <w:tcPr>
            <w:tcW w:w="846" w:type="dxa"/>
            <w:noWrap/>
            <w:vAlign w:val="center"/>
          </w:tcPr>
          <w:p w14:paraId="291FD269">
            <w:pPr>
              <w:jc w:val="center"/>
              <w:rPr>
                <w:color w:val="000000"/>
                <w:sz w:val="20"/>
                <w:szCs w:val="20"/>
              </w:rPr>
            </w:pPr>
            <w:r>
              <w:rPr>
                <w:color w:val="000000"/>
                <w:sz w:val="20"/>
                <w:szCs w:val="20"/>
              </w:rPr>
              <w:t>1</w:t>
            </w:r>
          </w:p>
        </w:tc>
        <w:tc>
          <w:tcPr>
            <w:tcW w:w="2578" w:type="dxa"/>
            <w:noWrap/>
            <w:vAlign w:val="center"/>
          </w:tcPr>
          <w:p w14:paraId="44D7C948">
            <w:pPr>
              <w:jc w:val="center"/>
              <w:rPr>
                <w:color w:val="000000"/>
                <w:sz w:val="20"/>
                <w:szCs w:val="20"/>
              </w:rPr>
            </w:pPr>
            <w:r>
              <w:rPr>
                <w:color w:val="000000"/>
                <w:sz w:val="20"/>
                <w:szCs w:val="20"/>
              </w:rPr>
              <w:t>Mặt cắt 3-3</w:t>
            </w:r>
          </w:p>
        </w:tc>
        <w:tc>
          <w:tcPr>
            <w:tcW w:w="2393" w:type="dxa"/>
            <w:noWrap/>
            <w:vAlign w:val="center"/>
          </w:tcPr>
          <w:p w14:paraId="2551AAE8">
            <w:pPr>
              <w:jc w:val="center"/>
              <w:rPr>
                <w:color w:val="000000"/>
                <w:sz w:val="20"/>
                <w:szCs w:val="20"/>
              </w:rPr>
            </w:pPr>
            <w:r>
              <w:rPr>
                <w:color w:val="000000"/>
                <w:sz w:val="20"/>
                <w:szCs w:val="20"/>
              </w:rPr>
              <w:t>Một mặt tiền</w:t>
            </w:r>
          </w:p>
        </w:tc>
        <w:tc>
          <w:tcPr>
            <w:tcW w:w="1198" w:type="dxa"/>
            <w:noWrap/>
            <w:vAlign w:val="center"/>
          </w:tcPr>
          <w:p w14:paraId="49165D0C">
            <w:pPr>
              <w:jc w:val="center"/>
              <w:rPr>
                <w:color w:val="000000"/>
                <w:sz w:val="20"/>
                <w:szCs w:val="20"/>
              </w:rPr>
            </w:pPr>
            <w:r>
              <w:rPr>
                <w:color w:val="000000"/>
                <w:sz w:val="20"/>
                <w:szCs w:val="20"/>
              </w:rPr>
              <w:t>10.000.000</w:t>
            </w:r>
          </w:p>
        </w:tc>
        <w:tc>
          <w:tcPr>
            <w:tcW w:w="1236" w:type="dxa"/>
            <w:noWrap/>
            <w:vAlign w:val="center"/>
          </w:tcPr>
          <w:p w14:paraId="79FC7C3C">
            <w:pPr>
              <w:jc w:val="center"/>
              <w:rPr>
                <w:color w:val="000000"/>
                <w:sz w:val="20"/>
                <w:szCs w:val="20"/>
              </w:rPr>
            </w:pPr>
          </w:p>
        </w:tc>
        <w:tc>
          <w:tcPr>
            <w:tcW w:w="1252" w:type="dxa"/>
            <w:noWrap/>
            <w:vAlign w:val="center"/>
          </w:tcPr>
          <w:p w14:paraId="6636F2B2">
            <w:pPr>
              <w:jc w:val="center"/>
              <w:rPr>
                <w:color w:val="000000"/>
                <w:sz w:val="20"/>
                <w:szCs w:val="20"/>
              </w:rPr>
            </w:pPr>
            <w:r>
              <w:rPr>
                <w:color w:val="000000"/>
                <w:sz w:val="20"/>
                <w:szCs w:val="20"/>
              </w:rPr>
              <w:t>10.000.000</w:t>
            </w:r>
          </w:p>
        </w:tc>
        <w:tc>
          <w:tcPr>
            <w:tcW w:w="1848" w:type="dxa"/>
            <w:noWrap/>
            <w:vAlign w:val="center"/>
          </w:tcPr>
          <w:p w14:paraId="65097BE4">
            <w:pPr>
              <w:jc w:val="center"/>
              <w:rPr>
                <w:color w:val="000000"/>
                <w:sz w:val="20"/>
                <w:szCs w:val="20"/>
              </w:rPr>
            </w:pPr>
            <w:r>
              <w:rPr>
                <w:color w:val="000000"/>
                <w:sz w:val="20"/>
                <w:szCs w:val="20"/>
              </w:rPr>
              <w:t>870.000.000</w:t>
            </w:r>
          </w:p>
        </w:tc>
      </w:tr>
      <w:tr w14:paraId="3901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15AFE8B">
            <w:pPr>
              <w:jc w:val="center"/>
              <w:rPr>
                <w:b/>
                <w:bCs/>
                <w:color w:val="000000"/>
                <w:sz w:val="20"/>
                <w:szCs w:val="20"/>
              </w:rPr>
            </w:pPr>
            <w:r>
              <w:rPr>
                <w:b/>
                <w:bCs/>
                <w:color w:val="000000"/>
                <w:sz w:val="20"/>
                <w:szCs w:val="20"/>
              </w:rPr>
              <w:t>LK57</w:t>
            </w:r>
          </w:p>
        </w:tc>
        <w:tc>
          <w:tcPr>
            <w:tcW w:w="1802" w:type="dxa"/>
            <w:vAlign w:val="center"/>
          </w:tcPr>
          <w:p w14:paraId="6AE3D4F0">
            <w:pPr>
              <w:jc w:val="center"/>
              <w:rPr>
                <w:color w:val="000000"/>
                <w:sz w:val="20"/>
                <w:szCs w:val="20"/>
              </w:rPr>
            </w:pPr>
            <w:r>
              <w:rPr>
                <w:color w:val="000000"/>
                <w:sz w:val="20"/>
                <w:szCs w:val="20"/>
              </w:rPr>
              <w:t>LK57:09</w:t>
            </w:r>
          </w:p>
        </w:tc>
        <w:tc>
          <w:tcPr>
            <w:tcW w:w="1033" w:type="dxa"/>
            <w:noWrap/>
            <w:vAlign w:val="center"/>
          </w:tcPr>
          <w:p w14:paraId="416CEF1A">
            <w:pPr>
              <w:jc w:val="center"/>
              <w:rPr>
                <w:color w:val="000000"/>
                <w:sz w:val="20"/>
                <w:szCs w:val="20"/>
              </w:rPr>
            </w:pPr>
            <w:r>
              <w:rPr>
                <w:color w:val="000000"/>
                <w:sz w:val="20"/>
                <w:szCs w:val="20"/>
              </w:rPr>
              <w:t>87,00</w:t>
            </w:r>
          </w:p>
        </w:tc>
        <w:tc>
          <w:tcPr>
            <w:tcW w:w="846" w:type="dxa"/>
            <w:noWrap/>
            <w:vAlign w:val="center"/>
          </w:tcPr>
          <w:p w14:paraId="0B1D924A">
            <w:pPr>
              <w:jc w:val="center"/>
              <w:rPr>
                <w:color w:val="000000"/>
                <w:sz w:val="20"/>
                <w:szCs w:val="20"/>
              </w:rPr>
            </w:pPr>
            <w:r>
              <w:rPr>
                <w:color w:val="000000"/>
                <w:sz w:val="20"/>
                <w:szCs w:val="20"/>
              </w:rPr>
              <w:t>1</w:t>
            </w:r>
          </w:p>
        </w:tc>
        <w:tc>
          <w:tcPr>
            <w:tcW w:w="2578" w:type="dxa"/>
            <w:noWrap/>
            <w:vAlign w:val="center"/>
          </w:tcPr>
          <w:p w14:paraId="0881CC32">
            <w:pPr>
              <w:jc w:val="center"/>
              <w:rPr>
                <w:color w:val="000000"/>
                <w:sz w:val="20"/>
                <w:szCs w:val="20"/>
              </w:rPr>
            </w:pPr>
            <w:r>
              <w:rPr>
                <w:color w:val="000000"/>
                <w:sz w:val="20"/>
                <w:szCs w:val="20"/>
              </w:rPr>
              <w:t>Mặt cắt 3-3</w:t>
            </w:r>
          </w:p>
        </w:tc>
        <w:tc>
          <w:tcPr>
            <w:tcW w:w="2393" w:type="dxa"/>
            <w:noWrap/>
            <w:vAlign w:val="center"/>
          </w:tcPr>
          <w:p w14:paraId="76834D30">
            <w:pPr>
              <w:jc w:val="center"/>
              <w:rPr>
                <w:color w:val="000000"/>
                <w:sz w:val="20"/>
                <w:szCs w:val="20"/>
              </w:rPr>
            </w:pPr>
            <w:r>
              <w:rPr>
                <w:color w:val="000000"/>
                <w:sz w:val="20"/>
                <w:szCs w:val="20"/>
              </w:rPr>
              <w:t>Một mặt tiền</w:t>
            </w:r>
          </w:p>
        </w:tc>
        <w:tc>
          <w:tcPr>
            <w:tcW w:w="1198" w:type="dxa"/>
            <w:noWrap/>
            <w:vAlign w:val="center"/>
          </w:tcPr>
          <w:p w14:paraId="26351F07">
            <w:pPr>
              <w:jc w:val="center"/>
              <w:rPr>
                <w:color w:val="000000"/>
                <w:sz w:val="20"/>
                <w:szCs w:val="20"/>
              </w:rPr>
            </w:pPr>
            <w:r>
              <w:rPr>
                <w:color w:val="000000"/>
                <w:sz w:val="20"/>
                <w:szCs w:val="20"/>
              </w:rPr>
              <w:t>10.000.000</w:t>
            </w:r>
          </w:p>
        </w:tc>
        <w:tc>
          <w:tcPr>
            <w:tcW w:w="1236" w:type="dxa"/>
            <w:noWrap/>
            <w:vAlign w:val="center"/>
          </w:tcPr>
          <w:p w14:paraId="5EF41B4B">
            <w:pPr>
              <w:jc w:val="center"/>
              <w:rPr>
                <w:color w:val="000000"/>
                <w:sz w:val="20"/>
                <w:szCs w:val="20"/>
              </w:rPr>
            </w:pPr>
          </w:p>
        </w:tc>
        <w:tc>
          <w:tcPr>
            <w:tcW w:w="1252" w:type="dxa"/>
            <w:noWrap/>
            <w:vAlign w:val="center"/>
          </w:tcPr>
          <w:p w14:paraId="55C7FE96">
            <w:pPr>
              <w:jc w:val="center"/>
              <w:rPr>
                <w:color w:val="000000"/>
                <w:sz w:val="20"/>
                <w:szCs w:val="20"/>
              </w:rPr>
            </w:pPr>
            <w:r>
              <w:rPr>
                <w:color w:val="000000"/>
                <w:sz w:val="20"/>
                <w:szCs w:val="20"/>
              </w:rPr>
              <w:t>10.000.000</w:t>
            </w:r>
          </w:p>
        </w:tc>
        <w:tc>
          <w:tcPr>
            <w:tcW w:w="1848" w:type="dxa"/>
            <w:noWrap/>
            <w:vAlign w:val="center"/>
          </w:tcPr>
          <w:p w14:paraId="747EA15F">
            <w:pPr>
              <w:jc w:val="center"/>
              <w:rPr>
                <w:color w:val="000000"/>
                <w:sz w:val="20"/>
                <w:szCs w:val="20"/>
              </w:rPr>
            </w:pPr>
            <w:r>
              <w:rPr>
                <w:color w:val="000000"/>
                <w:sz w:val="20"/>
                <w:szCs w:val="20"/>
              </w:rPr>
              <w:t>870.000.000</w:t>
            </w:r>
          </w:p>
        </w:tc>
      </w:tr>
      <w:tr w14:paraId="4508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1725C56">
            <w:pPr>
              <w:jc w:val="center"/>
              <w:rPr>
                <w:b/>
                <w:bCs/>
                <w:color w:val="000000"/>
                <w:sz w:val="20"/>
                <w:szCs w:val="20"/>
              </w:rPr>
            </w:pPr>
            <w:r>
              <w:rPr>
                <w:b/>
                <w:bCs/>
                <w:color w:val="000000"/>
                <w:sz w:val="20"/>
                <w:szCs w:val="20"/>
              </w:rPr>
              <w:t>LK44</w:t>
            </w:r>
          </w:p>
        </w:tc>
        <w:tc>
          <w:tcPr>
            <w:tcW w:w="1802" w:type="dxa"/>
            <w:vAlign w:val="center"/>
          </w:tcPr>
          <w:p w14:paraId="6B4D1A51">
            <w:pPr>
              <w:jc w:val="center"/>
              <w:rPr>
                <w:color w:val="000000"/>
                <w:sz w:val="20"/>
                <w:szCs w:val="20"/>
              </w:rPr>
            </w:pPr>
            <w:r>
              <w:rPr>
                <w:color w:val="000000"/>
                <w:sz w:val="20"/>
                <w:szCs w:val="20"/>
              </w:rPr>
              <w:t>LK44:01</w:t>
            </w:r>
          </w:p>
        </w:tc>
        <w:tc>
          <w:tcPr>
            <w:tcW w:w="1033" w:type="dxa"/>
            <w:noWrap/>
            <w:vAlign w:val="center"/>
          </w:tcPr>
          <w:p w14:paraId="07F795C8">
            <w:pPr>
              <w:jc w:val="center"/>
              <w:rPr>
                <w:color w:val="000000"/>
                <w:sz w:val="20"/>
                <w:szCs w:val="20"/>
              </w:rPr>
            </w:pPr>
            <w:r>
              <w:rPr>
                <w:color w:val="000000"/>
                <w:sz w:val="20"/>
                <w:szCs w:val="20"/>
              </w:rPr>
              <w:t>84,24</w:t>
            </w:r>
          </w:p>
        </w:tc>
        <w:tc>
          <w:tcPr>
            <w:tcW w:w="846" w:type="dxa"/>
            <w:noWrap/>
            <w:vAlign w:val="center"/>
          </w:tcPr>
          <w:p w14:paraId="4039D2FA">
            <w:pPr>
              <w:jc w:val="center"/>
              <w:rPr>
                <w:color w:val="000000"/>
                <w:sz w:val="20"/>
                <w:szCs w:val="20"/>
              </w:rPr>
            </w:pPr>
            <w:r>
              <w:rPr>
                <w:color w:val="000000"/>
                <w:sz w:val="20"/>
                <w:szCs w:val="20"/>
              </w:rPr>
              <w:t>1</w:t>
            </w:r>
          </w:p>
        </w:tc>
        <w:tc>
          <w:tcPr>
            <w:tcW w:w="2578" w:type="dxa"/>
            <w:noWrap/>
            <w:vAlign w:val="center"/>
          </w:tcPr>
          <w:p w14:paraId="055F98F1">
            <w:pPr>
              <w:jc w:val="center"/>
              <w:rPr>
                <w:color w:val="000000"/>
                <w:sz w:val="20"/>
                <w:szCs w:val="20"/>
              </w:rPr>
            </w:pPr>
            <w:r>
              <w:rPr>
                <w:color w:val="000000"/>
                <w:sz w:val="20"/>
                <w:szCs w:val="20"/>
              </w:rPr>
              <w:t>Mặt cắt 3-3</w:t>
            </w:r>
          </w:p>
        </w:tc>
        <w:tc>
          <w:tcPr>
            <w:tcW w:w="2393" w:type="dxa"/>
            <w:noWrap/>
            <w:vAlign w:val="center"/>
          </w:tcPr>
          <w:p w14:paraId="3F7AFA0B">
            <w:pPr>
              <w:jc w:val="center"/>
              <w:rPr>
                <w:color w:val="000000"/>
                <w:sz w:val="20"/>
                <w:szCs w:val="20"/>
              </w:rPr>
            </w:pPr>
            <w:r>
              <w:rPr>
                <w:color w:val="000000"/>
                <w:sz w:val="20"/>
                <w:szCs w:val="20"/>
              </w:rPr>
              <w:t>Hai mặt tiền</w:t>
            </w:r>
          </w:p>
        </w:tc>
        <w:tc>
          <w:tcPr>
            <w:tcW w:w="1198" w:type="dxa"/>
            <w:noWrap/>
            <w:vAlign w:val="center"/>
          </w:tcPr>
          <w:p w14:paraId="6BD73D14">
            <w:pPr>
              <w:jc w:val="center"/>
              <w:rPr>
                <w:color w:val="000000"/>
                <w:sz w:val="20"/>
                <w:szCs w:val="20"/>
              </w:rPr>
            </w:pPr>
            <w:r>
              <w:rPr>
                <w:color w:val="000000"/>
                <w:sz w:val="20"/>
                <w:szCs w:val="20"/>
              </w:rPr>
              <w:t>11.500.000</w:t>
            </w:r>
          </w:p>
        </w:tc>
        <w:tc>
          <w:tcPr>
            <w:tcW w:w="1236" w:type="dxa"/>
            <w:noWrap/>
            <w:vAlign w:val="center"/>
          </w:tcPr>
          <w:p w14:paraId="3B4F143D">
            <w:pPr>
              <w:jc w:val="center"/>
              <w:rPr>
                <w:color w:val="000000"/>
                <w:sz w:val="20"/>
                <w:szCs w:val="20"/>
              </w:rPr>
            </w:pPr>
          </w:p>
        </w:tc>
        <w:tc>
          <w:tcPr>
            <w:tcW w:w="1252" w:type="dxa"/>
            <w:noWrap/>
            <w:vAlign w:val="center"/>
          </w:tcPr>
          <w:p w14:paraId="63C83842">
            <w:pPr>
              <w:jc w:val="center"/>
              <w:rPr>
                <w:color w:val="000000"/>
                <w:sz w:val="20"/>
                <w:szCs w:val="20"/>
              </w:rPr>
            </w:pPr>
            <w:r>
              <w:rPr>
                <w:color w:val="000000"/>
                <w:sz w:val="20"/>
                <w:szCs w:val="20"/>
              </w:rPr>
              <w:t>11.500.000</w:t>
            </w:r>
          </w:p>
        </w:tc>
        <w:tc>
          <w:tcPr>
            <w:tcW w:w="1848" w:type="dxa"/>
            <w:noWrap/>
            <w:vAlign w:val="center"/>
          </w:tcPr>
          <w:p w14:paraId="13231C7D">
            <w:pPr>
              <w:jc w:val="center"/>
              <w:rPr>
                <w:color w:val="000000"/>
                <w:sz w:val="20"/>
                <w:szCs w:val="20"/>
              </w:rPr>
            </w:pPr>
            <w:r>
              <w:rPr>
                <w:color w:val="000000"/>
                <w:sz w:val="20"/>
                <w:szCs w:val="20"/>
              </w:rPr>
              <w:t>968.760.000</w:t>
            </w:r>
          </w:p>
        </w:tc>
      </w:tr>
      <w:tr w14:paraId="1AFA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5E5CB3D">
            <w:pPr>
              <w:jc w:val="center"/>
              <w:rPr>
                <w:b/>
                <w:bCs/>
                <w:color w:val="000000"/>
                <w:sz w:val="20"/>
                <w:szCs w:val="20"/>
              </w:rPr>
            </w:pPr>
            <w:r>
              <w:rPr>
                <w:b/>
                <w:bCs/>
                <w:color w:val="000000"/>
                <w:sz w:val="20"/>
                <w:szCs w:val="20"/>
              </w:rPr>
              <w:t>LK44</w:t>
            </w:r>
          </w:p>
        </w:tc>
        <w:tc>
          <w:tcPr>
            <w:tcW w:w="1802" w:type="dxa"/>
            <w:vAlign w:val="center"/>
          </w:tcPr>
          <w:p w14:paraId="0BB2D2BB">
            <w:pPr>
              <w:jc w:val="center"/>
              <w:rPr>
                <w:color w:val="000000"/>
                <w:sz w:val="20"/>
                <w:szCs w:val="20"/>
              </w:rPr>
            </w:pPr>
            <w:r>
              <w:rPr>
                <w:color w:val="000000"/>
                <w:sz w:val="20"/>
                <w:szCs w:val="20"/>
              </w:rPr>
              <w:t>LK44:09</w:t>
            </w:r>
          </w:p>
        </w:tc>
        <w:tc>
          <w:tcPr>
            <w:tcW w:w="1033" w:type="dxa"/>
            <w:noWrap/>
            <w:vAlign w:val="center"/>
          </w:tcPr>
          <w:p w14:paraId="664B153E">
            <w:pPr>
              <w:jc w:val="center"/>
              <w:rPr>
                <w:color w:val="000000"/>
                <w:sz w:val="20"/>
                <w:szCs w:val="20"/>
              </w:rPr>
            </w:pPr>
            <w:r>
              <w:rPr>
                <w:color w:val="000000"/>
                <w:sz w:val="20"/>
                <w:szCs w:val="20"/>
              </w:rPr>
              <w:t>84,24</w:t>
            </w:r>
          </w:p>
        </w:tc>
        <w:tc>
          <w:tcPr>
            <w:tcW w:w="846" w:type="dxa"/>
            <w:noWrap/>
            <w:vAlign w:val="center"/>
          </w:tcPr>
          <w:p w14:paraId="697AC609">
            <w:pPr>
              <w:jc w:val="center"/>
              <w:rPr>
                <w:color w:val="000000"/>
                <w:sz w:val="20"/>
                <w:szCs w:val="20"/>
              </w:rPr>
            </w:pPr>
            <w:r>
              <w:rPr>
                <w:color w:val="000000"/>
                <w:sz w:val="20"/>
                <w:szCs w:val="20"/>
              </w:rPr>
              <w:t>1</w:t>
            </w:r>
          </w:p>
        </w:tc>
        <w:tc>
          <w:tcPr>
            <w:tcW w:w="2578" w:type="dxa"/>
            <w:noWrap/>
            <w:vAlign w:val="center"/>
          </w:tcPr>
          <w:p w14:paraId="260C314C">
            <w:pPr>
              <w:jc w:val="center"/>
              <w:rPr>
                <w:color w:val="000000"/>
                <w:sz w:val="20"/>
                <w:szCs w:val="20"/>
              </w:rPr>
            </w:pPr>
            <w:r>
              <w:rPr>
                <w:color w:val="000000"/>
                <w:sz w:val="20"/>
                <w:szCs w:val="20"/>
              </w:rPr>
              <w:t>Mặt cắt 3-3</w:t>
            </w:r>
          </w:p>
        </w:tc>
        <w:tc>
          <w:tcPr>
            <w:tcW w:w="2393" w:type="dxa"/>
            <w:noWrap/>
            <w:vAlign w:val="center"/>
          </w:tcPr>
          <w:p w14:paraId="3CCBE4E9">
            <w:pPr>
              <w:jc w:val="center"/>
              <w:rPr>
                <w:color w:val="000000"/>
                <w:sz w:val="20"/>
                <w:szCs w:val="20"/>
              </w:rPr>
            </w:pPr>
            <w:r>
              <w:rPr>
                <w:color w:val="000000"/>
                <w:sz w:val="20"/>
                <w:szCs w:val="20"/>
              </w:rPr>
              <w:t>Hai mặt tiền</w:t>
            </w:r>
          </w:p>
        </w:tc>
        <w:tc>
          <w:tcPr>
            <w:tcW w:w="1198" w:type="dxa"/>
            <w:noWrap/>
            <w:vAlign w:val="center"/>
          </w:tcPr>
          <w:p w14:paraId="7519903D">
            <w:pPr>
              <w:jc w:val="center"/>
              <w:rPr>
                <w:color w:val="000000"/>
                <w:sz w:val="20"/>
                <w:szCs w:val="20"/>
              </w:rPr>
            </w:pPr>
            <w:r>
              <w:rPr>
                <w:color w:val="000000"/>
                <w:sz w:val="20"/>
                <w:szCs w:val="20"/>
              </w:rPr>
              <w:t>11.500.000</w:t>
            </w:r>
          </w:p>
        </w:tc>
        <w:tc>
          <w:tcPr>
            <w:tcW w:w="1236" w:type="dxa"/>
            <w:noWrap/>
            <w:vAlign w:val="center"/>
          </w:tcPr>
          <w:p w14:paraId="70BF6CF1">
            <w:pPr>
              <w:jc w:val="center"/>
              <w:rPr>
                <w:color w:val="000000"/>
                <w:sz w:val="20"/>
                <w:szCs w:val="20"/>
              </w:rPr>
            </w:pPr>
          </w:p>
        </w:tc>
        <w:tc>
          <w:tcPr>
            <w:tcW w:w="1252" w:type="dxa"/>
            <w:noWrap/>
            <w:vAlign w:val="center"/>
          </w:tcPr>
          <w:p w14:paraId="7AC35242">
            <w:pPr>
              <w:jc w:val="center"/>
              <w:rPr>
                <w:color w:val="000000"/>
                <w:sz w:val="20"/>
                <w:szCs w:val="20"/>
              </w:rPr>
            </w:pPr>
            <w:r>
              <w:rPr>
                <w:color w:val="000000"/>
                <w:sz w:val="20"/>
                <w:szCs w:val="20"/>
              </w:rPr>
              <w:t>11.500.000</w:t>
            </w:r>
          </w:p>
        </w:tc>
        <w:tc>
          <w:tcPr>
            <w:tcW w:w="1848" w:type="dxa"/>
            <w:noWrap/>
            <w:vAlign w:val="center"/>
          </w:tcPr>
          <w:p w14:paraId="32379FCB">
            <w:pPr>
              <w:jc w:val="center"/>
              <w:rPr>
                <w:color w:val="000000"/>
                <w:sz w:val="20"/>
                <w:szCs w:val="20"/>
              </w:rPr>
            </w:pPr>
            <w:r>
              <w:rPr>
                <w:color w:val="000000"/>
                <w:sz w:val="20"/>
                <w:szCs w:val="20"/>
              </w:rPr>
              <w:t>968.760.000</w:t>
            </w:r>
          </w:p>
        </w:tc>
      </w:tr>
      <w:tr w14:paraId="208F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4A9B9DC">
            <w:pPr>
              <w:jc w:val="center"/>
              <w:rPr>
                <w:b/>
                <w:bCs/>
                <w:color w:val="000000"/>
                <w:sz w:val="20"/>
                <w:szCs w:val="20"/>
              </w:rPr>
            </w:pPr>
            <w:r>
              <w:rPr>
                <w:b/>
                <w:bCs/>
                <w:color w:val="000000"/>
                <w:sz w:val="20"/>
                <w:szCs w:val="20"/>
              </w:rPr>
              <w:t>LK46</w:t>
            </w:r>
          </w:p>
        </w:tc>
        <w:tc>
          <w:tcPr>
            <w:tcW w:w="1802" w:type="dxa"/>
            <w:vAlign w:val="center"/>
          </w:tcPr>
          <w:p w14:paraId="7E4BD574">
            <w:pPr>
              <w:jc w:val="center"/>
              <w:rPr>
                <w:color w:val="000000"/>
                <w:sz w:val="20"/>
                <w:szCs w:val="20"/>
              </w:rPr>
            </w:pPr>
            <w:r>
              <w:rPr>
                <w:color w:val="000000"/>
                <w:sz w:val="20"/>
                <w:szCs w:val="20"/>
              </w:rPr>
              <w:t>LK46:01</w:t>
            </w:r>
          </w:p>
        </w:tc>
        <w:tc>
          <w:tcPr>
            <w:tcW w:w="1033" w:type="dxa"/>
            <w:noWrap/>
            <w:vAlign w:val="center"/>
          </w:tcPr>
          <w:p w14:paraId="3E48CD9C">
            <w:pPr>
              <w:jc w:val="center"/>
              <w:rPr>
                <w:color w:val="000000"/>
                <w:sz w:val="20"/>
                <w:szCs w:val="20"/>
              </w:rPr>
            </w:pPr>
            <w:r>
              <w:rPr>
                <w:color w:val="000000"/>
                <w:sz w:val="20"/>
                <w:szCs w:val="20"/>
              </w:rPr>
              <w:t>136,50</w:t>
            </w:r>
          </w:p>
        </w:tc>
        <w:tc>
          <w:tcPr>
            <w:tcW w:w="846" w:type="dxa"/>
            <w:noWrap/>
            <w:vAlign w:val="center"/>
          </w:tcPr>
          <w:p w14:paraId="0A04A6ED">
            <w:pPr>
              <w:jc w:val="center"/>
              <w:rPr>
                <w:color w:val="000000"/>
                <w:sz w:val="20"/>
                <w:szCs w:val="20"/>
              </w:rPr>
            </w:pPr>
            <w:r>
              <w:rPr>
                <w:color w:val="000000"/>
                <w:sz w:val="20"/>
                <w:szCs w:val="20"/>
              </w:rPr>
              <w:t>1</w:t>
            </w:r>
          </w:p>
        </w:tc>
        <w:tc>
          <w:tcPr>
            <w:tcW w:w="2578" w:type="dxa"/>
            <w:noWrap/>
            <w:vAlign w:val="center"/>
          </w:tcPr>
          <w:p w14:paraId="6F848FFC">
            <w:pPr>
              <w:jc w:val="center"/>
              <w:rPr>
                <w:color w:val="000000"/>
                <w:sz w:val="20"/>
                <w:szCs w:val="20"/>
              </w:rPr>
            </w:pPr>
            <w:r>
              <w:rPr>
                <w:color w:val="000000"/>
                <w:sz w:val="20"/>
                <w:szCs w:val="20"/>
              </w:rPr>
              <w:t>Mặt cắt 3-3</w:t>
            </w:r>
          </w:p>
        </w:tc>
        <w:tc>
          <w:tcPr>
            <w:tcW w:w="2393" w:type="dxa"/>
            <w:noWrap/>
            <w:vAlign w:val="center"/>
          </w:tcPr>
          <w:p w14:paraId="4B94B819">
            <w:pPr>
              <w:jc w:val="center"/>
              <w:rPr>
                <w:color w:val="000000"/>
                <w:sz w:val="20"/>
                <w:szCs w:val="20"/>
              </w:rPr>
            </w:pPr>
            <w:r>
              <w:rPr>
                <w:color w:val="000000"/>
                <w:sz w:val="20"/>
                <w:szCs w:val="20"/>
              </w:rPr>
              <w:t>Hai mặt tiền</w:t>
            </w:r>
          </w:p>
        </w:tc>
        <w:tc>
          <w:tcPr>
            <w:tcW w:w="1198" w:type="dxa"/>
            <w:noWrap/>
            <w:vAlign w:val="center"/>
          </w:tcPr>
          <w:p w14:paraId="2367732C">
            <w:pPr>
              <w:jc w:val="center"/>
              <w:rPr>
                <w:color w:val="000000"/>
                <w:sz w:val="20"/>
                <w:szCs w:val="20"/>
              </w:rPr>
            </w:pPr>
            <w:r>
              <w:rPr>
                <w:color w:val="000000"/>
                <w:sz w:val="20"/>
                <w:szCs w:val="20"/>
              </w:rPr>
              <w:t>11.500.000</w:t>
            </w:r>
          </w:p>
        </w:tc>
        <w:tc>
          <w:tcPr>
            <w:tcW w:w="1236" w:type="dxa"/>
            <w:noWrap/>
            <w:vAlign w:val="center"/>
          </w:tcPr>
          <w:p w14:paraId="52BA1B87">
            <w:pPr>
              <w:jc w:val="center"/>
              <w:rPr>
                <w:color w:val="000000"/>
                <w:sz w:val="20"/>
                <w:szCs w:val="20"/>
              </w:rPr>
            </w:pPr>
          </w:p>
        </w:tc>
        <w:tc>
          <w:tcPr>
            <w:tcW w:w="1252" w:type="dxa"/>
            <w:noWrap/>
            <w:vAlign w:val="center"/>
          </w:tcPr>
          <w:p w14:paraId="48BEDAE4">
            <w:pPr>
              <w:jc w:val="center"/>
              <w:rPr>
                <w:color w:val="000000"/>
                <w:sz w:val="20"/>
                <w:szCs w:val="20"/>
              </w:rPr>
            </w:pPr>
            <w:r>
              <w:rPr>
                <w:color w:val="000000"/>
                <w:sz w:val="20"/>
                <w:szCs w:val="20"/>
              </w:rPr>
              <w:t>11.500.000</w:t>
            </w:r>
          </w:p>
        </w:tc>
        <w:tc>
          <w:tcPr>
            <w:tcW w:w="1848" w:type="dxa"/>
            <w:noWrap/>
            <w:vAlign w:val="center"/>
          </w:tcPr>
          <w:p w14:paraId="5CE0364B">
            <w:pPr>
              <w:jc w:val="center"/>
              <w:rPr>
                <w:color w:val="000000"/>
                <w:sz w:val="20"/>
                <w:szCs w:val="20"/>
              </w:rPr>
            </w:pPr>
            <w:r>
              <w:rPr>
                <w:color w:val="000000"/>
                <w:sz w:val="20"/>
                <w:szCs w:val="20"/>
              </w:rPr>
              <w:t>1.569.750.000</w:t>
            </w:r>
          </w:p>
        </w:tc>
      </w:tr>
      <w:tr w14:paraId="1302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370A6AF">
            <w:pPr>
              <w:jc w:val="center"/>
              <w:rPr>
                <w:b/>
                <w:bCs/>
                <w:color w:val="000000"/>
                <w:sz w:val="20"/>
                <w:szCs w:val="20"/>
              </w:rPr>
            </w:pPr>
            <w:r>
              <w:rPr>
                <w:b/>
                <w:bCs/>
                <w:color w:val="000000"/>
                <w:sz w:val="20"/>
                <w:szCs w:val="20"/>
              </w:rPr>
              <w:t>LK48</w:t>
            </w:r>
          </w:p>
        </w:tc>
        <w:tc>
          <w:tcPr>
            <w:tcW w:w="1802" w:type="dxa"/>
            <w:vAlign w:val="center"/>
          </w:tcPr>
          <w:p w14:paraId="53B753ED">
            <w:pPr>
              <w:jc w:val="center"/>
              <w:rPr>
                <w:color w:val="000000"/>
                <w:sz w:val="20"/>
                <w:szCs w:val="20"/>
              </w:rPr>
            </w:pPr>
            <w:r>
              <w:rPr>
                <w:color w:val="000000"/>
                <w:sz w:val="20"/>
                <w:szCs w:val="20"/>
              </w:rPr>
              <w:t>LK48:10</w:t>
            </w:r>
          </w:p>
        </w:tc>
        <w:tc>
          <w:tcPr>
            <w:tcW w:w="1033" w:type="dxa"/>
            <w:noWrap/>
            <w:vAlign w:val="center"/>
          </w:tcPr>
          <w:p w14:paraId="3B1B8875">
            <w:pPr>
              <w:jc w:val="center"/>
              <w:rPr>
                <w:color w:val="000000"/>
                <w:sz w:val="20"/>
                <w:szCs w:val="20"/>
              </w:rPr>
            </w:pPr>
            <w:r>
              <w:rPr>
                <w:color w:val="000000"/>
                <w:sz w:val="20"/>
                <w:szCs w:val="20"/>
              </w:rPr>
              <w:t>136,79</w:t>
            </w:r>
          </w:p>
        </w:tc>
        <w:tc>
          <w:tcPr>
            <w:tcW w:w="846" w:type="dxa"/>
            <w:noWrap/>
            <w:vAlign w:val="center"/>
          </w:tcPr>
          <w:p w14:paraId="2A4ED6C8">
            <w:pPr>
              <w:jc w:val="center"/>
              <w:rPr>
                <w:color w:val="000000"/>
                <w:sz w:val="20"/>
                <w:szCs w:val="20"/>
              </w:rPr>
            </w:pPr>
            <w:r>
              <w:rPr>
                <w:color w:val="000000"/>
                <w:sz w:val="20"/>
                <w:szCs w:val="20"/>
              </w:rPr>
              <w:t>1</w:t>
            </w:r>
          </w:p>
        </w:tc>
        <w:tc>
          <w:tcPr>
            <w:tcW w:w="2578" w:type="dxa"/>
            <w:noWrap/>
            <w:vAlign w:val="center"/>
          </w:tcPr>
          <w:p w14:paraId="2D928E2D">
            <w:pPr>
              <w:jc w:val="center"/>
              <w:rPr>
                <w:color w:val="000000"/>
                <w:sz w:val="20"/>
                <w:szCs w:val="20"/>
              </w:rPr>
            </w:pPr>
            <w:r>
              <w:rPr>
                <w:color w:val="000000"/>
                <w:sz w:val="20"/>
                <w:szCs w:val="20"/>
              </w:rPr>
              <w:t>Mặt cắt 3-3</w:t>
            </w:r>
          </w:p>
        </w:tc>
        <w:tc>
          <w:tcPr>
            <w:tcW w:w="2393" w:type="dxa"/>
            <w:noWrap/>
            <w:vAlign w:val="center"/>
          </w:tcPr>
          <w:p w14:paraId="6A650DD1">
            <w:pPr>
              <w:jc w:val="center"/>
              <w:rPr>
                <w:color w:val="000000"/>
                <w:sz w:val="20"/>
                <w:szCs w:val="20"/>
              </w:rPr>
            </w:pPr>
            <w:r>
              <w:rPr>
                <w:color w:val="000000"/>
                <w:sz w:val="20"/>
                <w:szCs w:val="20"/>
              </w:rPr>
              <w:t>Hai mặt tiền</w:t>
            </w:r>
          </w:p>
        </w:tc>
        <w:tc>
          <w:tcPr>
            <w:tcW w:w="1198" w:type="dxa"/>
            <w:noWrap/>
            <w:vAlign w:val="center"/>
          </w:tcPr>
          <w:p w14:paraId="41CFF0FA">
            <w:pPr>
              <w:jc w:val="center"/>
              <w:rPr>
                <w:color w:val="000000"/>
                <w:sz w:val="20"/>
                <w:szCs w:val="20"/>
              </w:rPr>
            </w:pPr>
            <w:r>
              <w:rPr>
                <w:color w:val="000000"/>
                <w:sz w:val="20"/>
                <w:szCs w:val="20"/>
              </w:rPr>
              <w:t>11.500.000</w:t>
            </w:r>
          </w:p>
        </w:tc>
        <w:tc>
          <w:tcPr>
            <w:tcW w:w="1236" w:type="dxa"/>
            <w:noWrap/>
            <w:vAlign w:val="center"/>
          </w:tcPr>
          <w:p w14:paraId="615C8FCB">
            <w:pPr>
              <w:jc w:val="center"/>
              <w:rPr>
                <w:color w:val="000000"/>
                <w:sz w:val="20"/>
                <w:szCs w:val="20"/>
              </w:rPr>
            </w:pPr>
          </w:p>
        </w:tc>
        <w:tc>
          <w:tcPr>
            <w:tcW w:w="1252" w:type="dxa"/>
            <w:noWrap/>
            <w:vAlign w:val="center"/>
          </w:tcPr>
          <w:p w14:paraId="37054AF2">
            <w:pPr>
              <w:jc w:val="center"/>
              <w:rPr>
                <w:color w:val="000000"/>
                <w:sz w:val="20"/>
                <w:szCs w:val="20"/>
              </w:rPr>
            </w:pPr>
            <w:r>
              <w:rPr>
                <w:color w:val="000000"/>
                <w:sz w:val="20"/>
                <w:szCs w:val="20"/>
              </w:rPr>
              <w:t>11.500.000</w:t>
            </w:r>
          </w:p>
        </w:tc>
        <w:tc>
          <w:tcPr>
            <w:tcW w:w="1848" w:type="dxa"/>
            <w:noWrap/>
            <w:vAlign w:val="center"/>
          </w:tcPr>
          <w:p w14:paraId="6118E47A">
            <w:pPr>
              <w:jc w:val="center"/>
              <w:rPr>
                <w:color w:val="000000"/>
                <w:sz w:val="20"/>
                <w:szCs w:val="20"/>
              </w:rPr>
            </w:pPr>
            <w:r>
              <w:rPr>
                <w:color w:val="000000"/>
                <w:sz w:val="20"/>
                <w:szCs w:val="20"/>
              </w:rPr>
              <w:t>1.573.085.000</w:t>
            </w:r>
          </w:p>
        </w:tc>
      </w:tr>
      <w:tr w14:paraId="690C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1274835">
            <w:pPr>
              <w:jc w:val="center"/>
              <w:rPr>
                <w:b/>
                <w:bCs/>
                <w:color w:val="000000"/>
                <w:sz w:val="20"/>
                <w:szCs w:val="20"/>
              </w:rPr>
            </w:pPr>
            <w:r>
              <w:rPr>
                <w:b/>
                <w:bCs/>
                <w:color w:val="000000"/>
                <w:sz w:val="20"/>
                <w:szCs w:val="20"/>
              </w:rPr>
              <w:t>LK53</w:t>
            </w:r>
          </w:p>
        </w:tc>
        <w:tc>
          <w:tcPr>
            <w:tcW w:w="1802" w:type="dxa"/>
            <w:vAlign w:val="center"/>
          </w:tcPr>
          <w:p w14:paraId="6B09F88F">
            <w:pPr>
              <w:jc w:val="center"/>
              <w:rPr>
                <w:color w:val="000000"/>
                <w:sz w:val="20"/>
                <w:szCs w:val="20"/>
              </w:rPr>
            </w:pPr>
            <w:r>
              <w:rPr>
                <w:color w:val="000000"/>
                <w:sz w:val="20"/>
                <w:szCs w:val="20"/>
              </w:rPr>
              <w:t>LK53:01</w:t>
            </w:r>
          </w:p>
        </w:tc>
        <w:tc>
          <w:tcPr>
            <w:tcW w:w="1033" w:type="dxa"/>
            <w:noWrap/>
            <w:vAlign w:val="center"/>
          </w:tcPr>
          <w:p w14:paraId="789187F2">
            <w:pPr>
              <w:jc w:val="center"/>
              <w:rPr>
                <w:color w:val="000000"/>
                <w:sz w:val="20"/>
                <w:szCs w:val="20"/>
              </w:rPr>
            </w:pPr>
            <w:r>
              <w:rPr>
                <w:color w:val="000000"/>
                <w:sz w:val="20"/>
                <w:szCs w:val="20"/>
              </w:rPr>
              <w:t>98,08</w:t>
            </w:r>
          </w:p>
        </w:tc>
        <w:tc>
          <w:tcPr>
            <w:tcW w:w="846" w:type="dxa"/>
            <w:noWrap/>
            <w:vAlign w:val="center"/>
          </w:tcPr>
          <w:p w14:paraId="021954D1">
            <w:pPr>
              <w:jc w:val="center"/>
              <w:rPr>
                <w:color w:val="000000"/>
                <w:sz w:val="20"/>
                <w:szCs w:val="20"/>
              </w:rPr>
            </w:pPr>
            <w:r>
              <w:rPr>
                <w:color w:val="000000"/>
                <w:sz w:val="20"/>
                <w:szCs w:val="20"/>
              </w:rPr>
              <w:t>1</w:t>
            </w:r>
          </w:p>
        </w:tc>
        <w:tc>
          <w:tcPr>
            <w:tcW w:w="2578" w:type="dxa"/>
            <w:noWrap/>
            <w:vAlign w:val="center"/>
          </w:tcPr>
          <w:p w14:paraId="20D779D2">
            <w:pPr>
              <w:jc w:val="center"/>
              <w:rPr>
                <w:color w:val="000000"/>
                <w:sz w:val="20"/>
                <w:szCs w:val="20"/>
              </w:rPr>
            </w:pPr>
            <w:r>
              <w:rPr>
                <w:color w:val="000000"/>
                <w:sz w:val="20"/>
                <w:szCs w:val="20"/>
              </w:rPr>
              <w:t>Mặt cắt 3-3</w:t>
            </w:r>
          </w:p>
        </w:tc>
        <w:tc>
          <w:tcPr>
            <w:tcW w:w="2393" w:type="dxa"/>
            <w:noWrap/>
            <w:vAlign w:val="center"/>
          </w:tcPr>
          <w:p w14:paraId="056920FF">
            <w:pPr>
              <w:jc w:val="center"/>
              <w:rPr>
                <w:color w:val="000000"/>
                <w:sz w:val="20"/>
                <w:szCs w:val="20"/>
              </w:rPr>
            </w:pPr>
            <w:r>
              <w:rPr>
                <w:color w:val="000000"/>
                <w:sz w:val="20"/>
                <w:szCs w:val="20"/>
              </w:rPr>
              <w:t>Hai mặt tiền</w:t>
            </w:r>
          </w:p>
        </w:tc>
        <w:tc>
          <w:tcPr>
            <w:tcW w:w="1198" w:type="dxa"/>
            <w:noWrap/>
            <w:vAlign w:val="center"/>
          </w:tcPr>
          <w:p w14:paraId="2D23877E">
            <w:pPr>
              <w:jc w:val="center"/>
              <w:rPr>
                <w:color w:val="000000"/>
                <w:sz w:val="20"/>
                <w:szCs w:val="20"/>
              </w:rPr>
            </w:pPr>
            <w:r>
              <w:rPr>
                <w:color w:val="000000"/>
                <w:sz w:val="20"/>
                <w:szCs w:val="20"/>
              </w:rPr>
              <w:t>11.500.000</w:t>
            </w:r>
          </w:p>
        </w:tc>
        <w:tc>
          <w:tcPr>
            <w:tcW w:w="1236" w:type="dxa"/>
            <w:noWrap/>
            <w:vAlign w:val="center"/>
          </w:tcPr>
          <w:p w14:paraId="4711B0BC">
            <w:pPr>
              <w:jc w:val="center"/>
              <w:rPr>
                <w:color w:val="000000"/>
                <w:sz w:val="20"/>
                <w:szCs w:val="20"/>
              </w:rPr>
            </w:pPr>
          </w:p>
        </w:tc>
        <w:tc>
          <w:tcPr>
            <w:tcW w:w="1252" w:type="dxa"/>
            <w:noWrap/>
            <w:vAlign w:val="center"/>
          </w:tcPr>
          <w:p w14:paraId="0CB5EC79">
            <w:pPr>
              <w:jc w:val="center"/>
              <w:rPr>
                <w:color w:val="000000"/>
                <w:sz w:val="20"/>
                <w:szCs w:val="20"/>
              </w:rPr>
            </w:pPr>
            <w:r>
              <w:rPr>
                <w:color w:val="000000"/>
                <w:sz w:val="20"/>
                <w:szCs w:val="20"/>
              </w:rPr>
              <w:t>11.500.000</w:t>
            </w:r>
          </w:p>
        </w:tc>
        <w:tc>
          <w:tcPr>
            <w:tcW w:w="1848" w:type="dxa"/>
            <w:noWrap/>
            <w:vAlign w:val="center"/>
          </w:tcPr>
          <w:p w14:paraId="3A3D9F12">
            <w:pPr>
              <w:jc w:val="center"/>
              <w:rPr>
                <w:color w:val="000000"/>
                <w:sz w:val="20"/>
                <w:szCs w:val="20"/>
              </w:rPr>
            </w:pPr>
            <w:r>
              <w:rPr>
                <w:color w:val="000000"/>
                <w:sz w:val="20"/>
                <w:szCs w:val="20"/>
              </w:rPr>
              <w:t>1.127.920.000</w:t>
            </w:r>
          </w:p>
        </w:tc>
      </w:tr>
      <w:tr w14:paraId="4454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6AF821">
            <w:pPr>
              <w:jc w:val="center"/>
              <w:rPr>
                <w:b/>
                <w:bCs/>
                <w:color w:val="000000"/>
                <w:sz w:val="20"/>
                <w:szCs w:val="20"/>
              </w:rPr>
            </w:pPr>
            <w:r>
              <w:rPr>
                <w:b/>
                <w:bCs/>
                <w:color w:val="000000"/>
                <w:sz w:val="20"/>
                <w:szCs w:val="20"/>
              </w:rPr>
              <w:t>LK53</w:t>
            </w:r>
          </w:p>
        </w:tc>
        <w:tc>
          <w:tcPr>
            <w:tcW w:w="1802" w:type="dxa"/>
            <w:vAlign w:val="center"/>
          </w:tcPr>
          <w:p w14:paraId="7DBDCFAB">
            <w:pPr>
              <w:jc w:val="center"/>
              <w:rPr>
                <w:color w:val="000000"/>
                <w:sz w:val="20"/>
                <w:szCs w:val="20"/>
              </w:rPr>
            </w:pPr>
            <w:r>
              <w:rPr>
                <w:color w:val="000000"/>
                <w:sz w:val="20"/>
                <w:szCs w:val="20"/>
              </w:rPr>
              <w:t>LK53:09</w:t>
            </w:r>
          </w:p>
        </w:tc>
        <w:tc>
          <w:tcPr>
            <w:tcW w:w="1033" w:type="dxa"/>
            <w:noWrap/>
            <w:vAlign w:val="center"/>
          </w:tcPr>
          <w:p w14:paraId="75D4D079">
            <w:pPr>
              <w:jc w:val="center"/>
              <w:rPr>
                <w:color w:val="000000"/>
                <w:sz w:val="20"/>
                <w:szCs w:val="20"/>
              </w:rPr>
            </w:pPr>
            <w:r>
              <w:rPr>
                <w:color w:val="000000"/>
                <w:sz w:val="20"/>
                <w:szCs w:val="20"/>
              </w:rPr>
              <w:t>98,08</w:t>
            </w:r>
          </w:p>
        </w:tc>
        <w:tc>
          <w:tcPr>
            <w:tcW w:w="846" w:type="dxa"/>
            <w:noWrap/>
            <w:vAlign w:val="center"/>
          </w:tcPr>
          <w:p w14:paraId="004EADD1">
            <w:pPr>
              <w:jc w:val="center"/>
              <w:rPr>
                <w:color w:val="000000"/>
                <w:sz w:val="20"/>
                <w:szCs w:val="20"/>
              </w:rPr>
            </w:pPr>
            <w:r>
              <w:rPr>
                <w:color w:val="000000"/>
                <w:sz w:val="20"/>
                <w:szCs w:val="20"/>
              </w:rPr>
              <w:t>1</w:t>
            </w:r>
          </w:p>
        </w:tc>
        <w:tc>
          <w:tcPr>
            <w:tcW w:w="2578" w:type="dxa"/>
            <w:noWrap/>
            <w:vAlign w:val="center"/>
          </w:tcPr>
          <w:p w14:paraId="656EE824">
            <w:pPr>
              <w:jc w:val="center"/>
              <w:rPr>
                <w:color w:val="000000"/>
                <w:sz w:val="20"/>
                <w:szCs w:val="20"/>
              </w:rPr>
            </w:pPr>
            <w:r>
              <w:rPr>
                <w:color w:val="000000"/>
                <w:sz w:val="20"/>
                <w:szCs w:val="20"/>
              </w:rPr>
              <w:t>Mặt cắt 3-3</w:t>
            </w:r>
          </w:p>
        </w:tc>
        <w:tc>
          <w:tcPr>
            <w:tcW w:w="2393" w:type="dxa"/>
            <w:noWrap/>
            <w:vAlign w:val="center"/>
          </w:tcPr>
          <w:p w14:paraId="6ACC9647">
            <w:pPr>
              <w:jc w:val="center"/>
              <w:rPr>
                <w:color w:val="000000"/>
                <w:sz w:val="20"/>
                <w:szCs w:val="20"/>
              </w:rPr>
            </w:pPr>
            <w:r>
              <w:rPr>
                <w:color w:val="000000"/>
                <w:sz w:val="20"/>
                <w:szCs w:val="20"/>
              </w:rPr>
              <w:t>Hai mặt tiền</w:t>
            </w:r>
          </w:p>
        </w:tc>
        <w:tc>
          <w:tcPr>
            <w:tcW w:w="1198" w:type="dxa"/>
            <w:noWrap/>
            <w:vAlign w:val="center"/>
          </w:tcPr>
          <w:p w14:paraId="45AE0AEB">
            <w:pPr>
              <w:jc w:val="center"/>
              <w:rPr>
                <w:color w:val="000000"/>
                <w:sz w:val="20"/>
                <w:szCs w:val="20"/>
              </w:rPr>
            </w:pPr>
            <w:r>
              <w:rPr>
                <w:color w:val="000000"/>
                <w:sz w:val="20"/>
                <w:szCs w:val="20"/>
              </w:rPr>
              <w:t>11.500.000</w:t>
            </w:r>
          </w:p>
        </w:tc>
        <w:tc>
          <w:tcPr>
            <w:tcW w:w="1236" w:type="dxa"/>
            <w:noWrap/>
            <w:vAlign w:val="center"/>
          </w:tcPr>
          <w:p w14:paraId="40E5AD37">
            <w:pPr>
              <w:jc w:val="center"/>
              <w:rPr>
                <w:color w:val="000000"/>
                <w:sz w:val="20"/>
                <w:szCs w:val="20"/>
              </w:rPr>
            </w:pPr>
          </w:p>
        </w:tc>
        <w:tc>
          <w:tcPr>
            <w:tcW w:w="1252" w:type="dxa"/>
            <w:noWrap/>
            <w:vAlign w:val="center"/>
          </w:tcPr>
          <w:p w14:paraId="4632FAA3">
            <w:pPr>
              <w:jc w:val="center"/>
              <w:rPr>
                <w:color w:val="000000"/>
                <w:sz w:val="20"/>
                <w:szCs w:val="20"/>
              </w:rPr>
            </w:pPr>
            <w:r>
              <w:rPr>
                <w:color w:val="000000"/>
                <w:sz w:val="20"/>
                <w:szCs w:val="20"/>
              </w:rPr>
              <w:t>11.500.000</w:t>
            </w:r>
          </w:p>
        </w:tc>
        <w:tc>
          <w:tcPr>
            <w:tcW w:w="1848" w:type="dxa"/>
            <w:noWrap/>
            <w:vAlign w:val="center"/>
          </w:tcPr>
          <w:p w14:paraId="2CC60905">
            <w:pPr>
              <w:jc w:val="center"/>
              <w:rPr>
                <w:color w:val="000000"/>
                <w:sz w:val="20"/>
                <w:szCs w:val="20"/>
              </w:rPr>
            </w:pPr>
            <w:r>
              <w:rPr>
                <w:color w:val="000000"/>
                <w:sz w:val="20"/>
                <w:szCs w:val="20"/>
              </w:rPr>
              <w:t>1.127.920.000</w:t>
            </w:r>
          </w:p>
        </w:tc>
      </w:tr>
      <w:tr w14:paraId="05F3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6730A45">
            <w:pPr>
              <w:jc w:val="center"/>
              <w:rPr>
                <w:b/>
                <w:bCs/>
                <w:color w:val="000000"/>
                <w:sz w:val="20"/>
                <w:szCs w:val="20"/>
              </w:rPr>
            </w:pPr>
            <w:r>
              <w:rPr>
                <w:b/>
                <w:bCs/>
                <w:color w:val="000000"/>
                <w:sz w:val="20"/>
                <w:szCs w:val="20"/>
              </w:rPr>
              <w:t>LK55</w:t>
            </w:r>
          </w:p>
        </w:tc>
        <w:tc>
          <w:tcPr>
            <w:tcW w:w="1802" w:type="dxa"/>
            <w:vAlign w:val="center"/>
          </w:tcPr>
          <w:p w14:paraId="065D9D7C">
            <w:pPr>
              <w:jc w:val="center"/>
              <w:rPr>
                <w:color w:val="000000"/>
                <w:sz w:val="20"/>
                <w:szCs w:val="20"/>
              </w:rPr>
            </w:pPr>
            <w:r>
              <w:rPr>
                <w:color w:val="000000"/>
                <w:sz w:val="20"/>
                <w:szCs w:val="20"/>
              </w:rPr>
              <w:t>LK55:01</w:t>
            </w:r>
          </w:p>
        </w:tc>
        <w:tc>
          <w:tcPr>
            <w:tcW w:w="1033" w:type="dxa"/>
            <w:noWrap/>
            <w:vAlign w:val="center"/>
          </w:tcPr>
          <w:p w14:paraId="506F5C29">
            <w:pPr>
              <w:jc w:val="center"/>
              <w:rPr>
                <w:color w:val="000000"/>
                <w:sz w:val="20"/>
                <w:szCs w:val="20"/>
              </w:rPr>
            </w:pPr>
            <w:r>
              <w:rPr>
                <w:color w:val="000000"/>
                <w:sz w:val="20"/>
                <w:szCs w:val="20"/>
              </w:rPr>
              <w:t>158,18</w:t>
            </w:r>
          </w:p>
        </w:tc>
        <w:tc>
          <w:tcPr>
            <w:tcW w:w="846" w:type="dxa"/>
            <w:noWrap/>
            <w:vAlign w:val="center"/>
          </w:tcPr>
          <w:p w14:paraId="5B2F80FC">
            <w:pPr>
              <w:jc w:val="center"/>
              <w:rPr>
                <w:color w:val="000000"/>
                <w:sz w:val="20"/>
                <w:szCs w:val="20"/>
              </w:rPr>
            </w:pPr>
            <w:r>
              <w:rPr>
                <w:color w:val="000000"/>
                <w:sz w:val="20"/>
                <w:szCs w:val="20"/>
              </w:rPr>
              <w:t>1</w:t>
            </w:r>
          </w:p>
        </w:tc>
        <w:tc>
          <w:tcPr>
            <w:tcW w:w="2578" w:type="dxa"/>
            <w:noWrap/>
            <w:vAlign w:val="center"/>
          </w:tcPr>
          <w:p w14:paraId="4874398F">
            <w:pPr>
              <w:jc w:val="center"/>
              <w:rPr>
                <w:color w:val="000000"/>
                <w:sz w:val="20"/>
                <w:szCs w:val="20"/>
              </w:rPr>
            </w:pPr>
            <w:r>
              <w:rPr>
                <w:color w:val="000000"/>
                <w:sz w:val="20"/>
                <w:szCs w:val="20"/>
              </w:rPr>
              <w:t>Mặt cắt 3-3</w:t>
            </w:r>
          </w:p>
        </w:tc>
        <w:tc>
          <w:tcPr>
            <w:tcW w:w="2393" w:type="dxa"/>
            <w:noWrap/>
            <w:vAlign w:val="center"/>
          </w:tcPr>
          <w:p w14:paraId="2DD10003">
            <w:pPr>
              <w:jc w:val="center"/>
              <w:rPr>
                <w:color w:val="000000"/>
                <w:sz w:val="20"/>
                <w:szCs w:val="20"/>
              </w:rPr>
            </w:pPr>
            <w:r>
              <w:rPr>
                <w:color w:val="000000"/>
                <w:sz w:val="20"/>
                <w:szCs w:val="20"/>
              </w:rPr>
              <w:t>Hai mặt tiền</w:t>
            </w:r>
          </w:p>
        </w:tc>
        <w:tc>
          <w:tcPr>
            <w:tcW w:w="1198" w:type="dxa"/>
            <w:noWrap/>
            <w:vAlign w:val="center"/>
          </w:tcPr>
          <w:p w14:paraId="45FA3D7E">
            <w:pPr>
              <w:jc w:val="center"/>
              <w:rPr>
                <w:color w:val="000000"/>
                <w:sz w:val="20"/>
                <w:szCs w:val="20"/>
              </w:rPr>
            </w:pPr>
            <w:r>
              <w:rPr>
                <w:color w:val="000000"/>
                <w:sz w:val="20"/>
                <w:szCs w:val="20"/>
              </w:rPr>
              <w:t>11.500.000</w:t>
            </w:r>
          </w:p>
        </w:tc>
        <w:tc>
          <w:tcPr>
            <w:tcW w:w="1236" w:type="dxa"/>
            <w:noWrap/>
            <w:vAlign w:val="center"/>
          </w:tcPr>
          <w:p w14:paraId="2C15F2C7">
            <w:pPr>
              <w:jc w:val="center"/>
              <w:rPr>
                <w:color w:val="000000"/>
                <w:sz w:val="20"/>
                <w:szCs w:val="20"/>
              </w:rPr>
            </w:pPr>
          </w:p>
        </w:tc>
        <w:tc>
          <w:tcPr>
            <w:tcW w:w="1252" w:type="dxa"/>
            <w:noWrap/>
            <w:vAlign w:val="center"/>
          </w:tcPr>
          <w:p w14:paraId="610F7443">
            <w:pPr>
              <w:jc w:val="center"/>
              <w:rPr>
                <w:color w:val="000000"/>
                <w:sz w:val="20"/>
                <w:szCs w:val="20"/>
              </w:rPr>
            </w:pPr>
            <w:r>
              <w:rPr>
                <w:color w:val="000000"/>
                <w:sz w:val="20"/>
                <w:szCs w:val="20"/>
              </w:rPr>
              <w:t>11.500.000</w:t>
            </w:r>
          </w:p>
        </w:tc>
        <w:tc>
          <w:tcPr>
            <w:tcW w:w="1848" w:type="dxa"/>
            <w:noWrap/>
            <w:vAlign w:val="center"/>
          </w:tcPr>
          <w:p w14:paraId="28EC227B">
            <w:pPr>
              <w:jc w:val="center"/>
              <w:rPr>
                <w:color w:val="000000"/>
                <w:sz w:val="20"/>
                <w:szCs w:val="20"/>
              </w:rPr>
            </w:pPr>
            <w:r>
              <w:rPr>
                <w:color w:val="000000"/>
                <w:sz w:val="20"/>
                <w:szCs w:val="20"/>
              </w:rPr>
              <w:t>1.819.070.000</w:t>
            </w:r>
          </w:p>
        </w:tc>
      </w:tr>
      <w:tr w14:paraId="1CAA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C0E1E9D">
            <w:pPr>
              <w:jc w:val="center"/>
              <w:rPr>
                <w:b/>
                <w:bCs/>
                <w:color w:val="000000"/>
                <w:sz w:val="20"/>
                <w:szCs w:val="20"/>
              </w:rPr>
            </w:pPr>
            <w:r>
              <w:rPr>
                <w:b/>
                <w:bCs/>
                <w:color w:val="000000"/>
                <w:sz w:val="20"/>
                <w:szCs w:val="20"/>
              </w:rPr>
              <w:t>LK57</w:t>
            </w:r>
          </w:p>
        </w:tc>
        <w:tc>
          <w:tcPr>
            <w:tcW w:w="1802" w:type="dxa"/>
            <w:vAlign w:val="center"/>
          </w:tcPr>
          <w:p w14:paraId="74B94BAB">
            <w:pPr>
              <w:jc w:val="center"/>
              <w:rPr>
                <w:color w:val="000000"/>
                <w:sz w:val="20"/>
                <w:szCs w:val="20"/>
              </w:rPr>
            </w:pPr>
            <w:r>
              <w:rPr>
                <w:color w:val="000000"/>
                <w:sz w:val="20"/>
                <w:szCs w:val="20"/>
              </w:rPr>
              <w:t>LK57:10</w:t>
            </w:r>
          </w:p>
        </w:tc>
        <w:tc>
          <w:tcPr>
            <w:tcW w:w="1033" w:type="dxa"/>
            <w:noWrap/>
            <w:vAlign w:val="center"/>
          </w:tcPr>
          <w:p w14:paraId="0398C8D9">
            <w:pPr>
              <w:jc w:val="center"/>
              <w:rPr>
                <w:color w:val="000000"/>
                <w:sz w:val="20"/>
                <w:szCs w:val="20"/>
              </w:rPr>
            </w:pPr>
            <w:r>
              <w:rPr>
                <w:color w:val="000000"/>
                <w:sz w:val="20"/>
                <w:szCs w:val="20"/>
              </w:rPr>
              <w:t>131,68</w:t>
            </w:r>
          </w:p>
        </w:tc>
        <w:tc>
          <w:tcPr>
            <w:tcW w:w="846" w:type="dxa"/>
            <w:noWrap/>
            <w:vAlign w:val="center"/>
          </w:tcPr>
          <w:p w14:paraId="175DEBB3">
            <w:pPr>
              <w:jc w:val="center"/>
              <w:rPr>
                <w:color w:val="000000"/>
                <w:sz w:val="20"/>
                <w:szCs w:val="20"/>
              </w:rPr>
            </w:pPr>
            <w:r>
              <w:rPr>
                <w:color w:val="000000"/>
                <w:sz w:val="20"/>
                <w:szCs w:val="20"/>
              </w:rPr>
              <w:t>1</w:t>
            </w:r>
          </w:p>
        </w:tc>
        <w:tc>
          <w:tcPr>
            <w:tcW w:w="2578" w:type="dxa"/>
            <w:noWrap/>
            <w:vAlign w:val="center"/>
          </w:tcPr>
          <w:p w14:paraId="0927F4B8">
            <w:pPr>
              <w:jc w:val="center"/>
              <w:rPr>
                <w:color w:val="000000"/>
                <w:sz w:val="20"/>
                <w:szCs w:val="20"/>
              </w:rPr>
            </w:pPr>
            <w:r>
              <w:rPr>
                <w:color w:val="000000"/>
                <w:sz w:val="20"/>
                <w:szCs w:val="20"/>
              </w:rPr>
              <w:t>Mặt cắt 3-3</w:t>
            </w:r>
          </w:p>
        </w:tc>
        <w:tc>
          <w:tcPr>
            <w:tcW w:w="2393" w:type="dxa"/>
            <w:noWrap/>
            <w:vAlign w:val="center"/>
          </w:tcPr>
          <w:p w14:paraId="5CE3DD48">
            <w:pPr>
              <w:jc w:val="center"/>
              <w:rPr>
                <w:color w:val="000000"/>
                <w:sz w:val="20"/>
                <w:szCs w:val="20"/>
              </w:rPr>
            </w:pPr>
            <w:r>
              <w:rPr>
                <w:color w:val="000000"/>
                <w:sz w:val="20"/>
                <w:szCs w:val="20"/>
              </w:rPr>
              <w:t>Hai mặt tiền, đối diện/tiếp giáp CX-MN</w:t>
            </w:r>
          </w:p>
        </w:tc>
        <w:tc>
          <w:tcPr>
            <w:tcW w:w="1198" w:type="dxa"/>
            <w:noWrap/>
            <w:vAlign w:val="center"/>
          </w:tcPr>
          <w:p w14:paraId="2CACF3F7">
            <w:pPr>
              <w:jc w:val="center"/>
              <w:rPr>
                <w:color w:val="000000"/>
                <w:sz w:val="20"/>
                <w:szCs w:val="20"/>
              </w:rPr>
            </w:pPr>
            <w:r>
              <w:rPr>
                <w:color w:val="000000"/>
                <w:sz w:val="20"/>
                <w:szCs w:val="20"/>
              </w:rPr>
              <w:t>12.000.000</w:t>
            </w:r>
          </w:p>
        </w:tc>
        <w:tc>
          <w:tcPr>
            <w:tcW w:w="1236" w:type="dxa"/>
            <w:noWrap/>
            <w:vAlign w:val="center"/>
          </w:tcPr>
          <w:p w14:paraId="02181849">
            <w:pPr>
              <w:jc w:val="center"/>
              <w:rPr>
                <w:color w:val="000000"/>
                <w:sz w:val="20"/>
                <w:szCs w:val="20"/>
              </w:rPr>
            </w:pPr>
          </w:p>
        </w:tc>
        <w:tc>
          <w:tcPr>
            <w:tcW w:w="1252" w:type="dxa"/>
            <w:noWrap/>
            <w:vAlign w:val="center"/>
          </w:tcPr>
          <w:p w14:paraId="71685BEB">
            <w:pPr>
              <w:jc w:val="center"/>
              <w:rPr>
                <w:color w:val="000000"/>
                <w:sz w:val="20"/>
                <w:szCs w:val="20"/>
              </w:rPr>
            </w:pPr>
            <w:r>
              <w:rPr>
                <w:color w:val="000000"/>
                <w:sz w:val="20"/>
                <w:szCs w:val="20"/>
              </w:rPr>
              <w:t>12.000.000</w:t>
            </w:r>
          </w:p>
        </w:tc>
        <w:tc>
          <w:tcPr>
            <w:tcW w:w="1848" w:type="dxa"/>
            <w:noWrap/>
            <w:vAlign w:val="center"/>
          </w:tcPr>
          <w:p w14:paraId="4B9B3771">
            <w:pPr>
              <w:jc w:val="center"/>
              <w:rPr>
                <w:color w:val="000000"/>
                <w:sz w:val="20"/>
                <w:szCs w:val="20"/>
              </w:rPr>
            </w:pPr>
            <w:r>
              <w:rPr>
                <w:color w:val="000000"/>
                <w:sz w:val="20"/>
                <w:szCs w:val="20"/>
              </w:rPr>
              <w:t>1.580.160.000</w:t>
            </w:r>
          </w:p>
        </w:tc>
      </w:tr>
      <w:tr w14:paraId="70F8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6967AC">
            <w:pPr>
              <w:jc w:val="center"/>
              <w:rPr>
                <w:color w:val="000000"/>
                <w:sz w:val="20"/>
                <w:szCs w:val="20"/>
              </w:rPr>
            </w:pPr>
          </w:p>
        </w:tc>
        <w:tc>
          <w:tcPr>
            <w:tcW w:w="14189" w:type="dxa"/>
            <w:gridSpan w:val="9"/>
            <w:vAlign w:val="center"/>
          </w:tcPr>
          <w:p w14:paraId="52BB27F2">
            <w:pPr>
              <w:jc w:val="center"/>
              <w:rPr>
                <w:b/>
                <w:bCs/>
                <w:color w:val="000000"/>
                <w:sz w:val="20"/>
                <w:szCs w:val="20"/>
              </w:rPr>
            </w:pPr>
            <w:r>
              <w:rPr>
                <w:b/>
                <w:bCs/>
                <w:color w:val="000000"/>
                <w:sz w:val="20"/>
                <w:szCs w:val="20"/>
              </w:rPr>
              <w:t>Mặt cắt 3-3 (làn 2 đường Đại Huề): rộng 13,5m lòng đường rộng 7,5m, vỉa hè 2 bên rộng 3m+3m</w:t>
            </w:r>
          </w:p>
        </w:tc>
      </w:tr>
      <w:tr w14:paraId="01AB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10BBA47">
            <w:pPr>
              <w:jc w:val="center"/>
              <w:rPr>
                <w:b/>
                <w:bCs/>
                <w:color w:val="000000"/>
                <w:sz w:val="20"/>
                <w:szCs w:val="20"/>
              </w:rPr>
            </w:pPr>
            <w:r>
              <w:rPr>
                <w:b/>
                <w:bCs/>
                <w:color w:val="000000"/>
                <w:sz w:val="20"/>
                <w:szCs w:val="20"/>
              </w:rPr>
              <w:t>LK01</w:t>
            </w:r>
          </w:p>
        </w:tc>
        <w:tc>
          <w:tcPr>
            <w:tcW w:w="1802" w:type="dxa"/>
            <w:vAlign w:val="center"/>
          </w:tcPr>
          <w:p w14:paraId="39F5F9C1">
            <w:pPr>
              <w:jc w:val="center"/>
              <w:rPr>
                <w:color w:val="000000"/>
                <w:sz w:val="20"/>
                <w:szCs w:val="20"/>
              </w:rPr>
            </w:pPr>
            <w:r>
              <w:rPr>
                <w:color w:val="000000"/>
                <w:sz w:val="20"/>
                <w:szCs w:val="20"/>
              </w:rPr>
              <w:t>LK01:01</w:t>
            </w:r>
          </w:p>
        </w:tc>
        <w:tc>
          <w:tcPr>
            <w:tcW w:w="1033" w:type="dxa"/>
            <w:noWrap/>
            <w:vAlign w:val="center"/>
          </w:tcPr>
          <w:p w14:paraId="2C7B314A">
            <w:pPr>
              <w:jc w:val="center"/>
              <w:rPr>
                <w:color w:val="000000"/>
                <w:sz w:val="20"/>
                <w:szCs w:val="20"/>
              </w:rPr>
            </w:pPr>
            <w:r>
              <w:rPr>
                <w:color w:val="000000"/>
                <w:sz w:val="20"/>
                <w:szCs w:val="20"/>
              </w:rPr>
              <w:t>97,50</w:t>
            </w:r>
          </w:p>
        </w:tc>
        <w:tc>
          <w:tcPr>
            <w:tcW w:w="846" w:type="dxa"/>
            <w:noWrap/>
            <w:vAlign w:val="center"/>
          </w:tcPr>
          <w:p w14:paraId="0D1EB077">
            <w:pPr>
              <w:jc w:val="center"/>
              <w:rPr>
                <w:color w:val="000000"/>
                <w:sz w:val="20"/>
                <w:szCs w:val="20"/>
              </w:rPr>
            </w:pPr>
            <w:r>
              <w:rPr>
                <w:color w:val="000000"/>
                <w:sz w:val="20"/>
                <w:szCs w:val="20"/>
              </w:rPr>
              <w:t>1</w:t>
            </w:r>
          </w:p>
        </w:tc>
        <w:tc>
          <w:tcPr>
            <w:tcW w:w="2578" w:type="dxa"/>
            <w:noWrap/>
            <w:vAlign w:val="center"/>
          </w:tcPr>
          <w:p w14:paraId="6D646AC4">
            <w:pPr>
              <w:jc w:val="center"/>
              <w:rPr>
                <w:color w:val="000000"/>
                <w:sz w:val="20"/>
                <w:szCs w:val="20"/>
              </w:rPr>
            </w:pPr>
            <w:r>
              <w:rPr>
                <w:color w:val="000000"/>
                <w:sz w:val="20"/>
                <w:szCs w:val="20"/>
              </w:rPr>
              <w:t>Mặt cắt 3-3</w:t>
            </w:r>
          </w:p>
        </w:tc>
        <w:tc>
          <w:tcPr>
            <w:tcW w:w="2393" w:type="dxa"/>
            <w:noWrap/>
            <w:vAlign w:val="center"/>
          </w:tcPr>
          <w:p w14:paraId="4060E17B">
            <w:pPr>
              <w:jc w:val="center"/>
              <w:rPr>
                <w:color w:val="000000"/>
                <w:sz w:val="20"/>
                <w:szCs w:val="20"/>
              </w:rPr>
            </w:pPr>
            <w:r>
              <w:rPr>
                <w:color w:val="000000"/>
                <w:sz w:val="20"/>
                <w:szCs w:val="20"/>
              </w:rPr>
              <w:t>Một mặt tiền, đối diện/tiếp giáp CX-MN</w:t>
            </w:r>
          </w:p>
        </w:tc>
        <w:tc>
          <w:tcPr>
            <w:tcW w:w="1198" w:type="dxa"/>
            <w:noWrap/>
            <w:vAlign w:val="center"/>
          </w:tcPr>
          <w:p w14:paraId="5FB70452">
            <w:pPr>
              <w:jc w:val="center"/>
              <w:rPr>
                <w:color w:val="000000"/>
                <w:sz w:val="20"/>
                <w:szCs w:val="20"/>
              </w:rPr>
            </w:pPr>
            <w:r>
              <w:rPr>
                <w:color w:val="000000"/>
                <w:sz w:val="20"/>
                <w:szCs w:val="20"/>
              </w:rPr>
              <w:t>11.340.000</w:t>
            </w:r>
          </w:p>
        </w:tc>
        <w:tc>
          <w:tcPr>
            <w:tcW w:w="1236" w:type="dxa"/>
            <w:noWrap/>
            <w:vAlign w:val="center"/>
          </w:tcPr>
          <w:p w14:paraId="0B2DB96D">
            <w:pPr>
              <w:jc w:val="center"/>
              <w:rPr>
                <w:color w:val="000000"/>
                <w:sz w:val="20"/>
                <w:szCs w:val="20"/>
              </w:rPr>
            </w:pPr>
          </w:p>
        </w:tc>
        <w:tc>
          <w:tcPr>
            <w:tcW w:w="1252" w:type="dxa"/>
            <w:noWrap/>
            <w:vAlign w:val="center"/>
          </w:tcPr>
          <w:p w14:paraId="742F32D5">
            <w:pPr>
              <w:jc w:val="center"/>
              <w:rPr>
                <w:color w:val="000000"/>
                <w:sz w:val="20"/>
                <w:szCs w:val="20"/>
              </w:rPr>
            </w:pPr>
            <w:r>
              <w:rPr>
                <w:color w:val="000000"/>
                <w:sz w:val="20"/>
                <w:szCs w:val="20"/>
              </w:rPr>
              <w:t>11.340.000</w:t>
            </w:r>
          </w:p>
        </w:tc>
        <w:tc>
          <w:tcPr>
            <w:tcW w:w="1848" w:type="dxa"/>
            <w:noWrap/>
            <w:vAlign w:val="center"/>
          </w:tcPr>
          <w:p w14:paraId="51BE03F9">
            <w:pPr>
              <w:jc w:val="center"/>
              <w:rPr>
                <w:color w:val="000000"/>
                <w:sz w:val="20"/>
                <w:szCs w:val="20"/>
              </w:rPr>
            </w:pPr>
            <w:r>
              <w:rPr>
                <w:color w:val="000000"/>
                <w:sz w:val="20"/>
                <w:szCs w:val="20"/>
              </w:rPr>
              <w:t>1.105.650.000</w:t>
            </w:r>
          </w:p>
        </w:tc>
      </w:tr>
      <w:tr w14:paraId="058C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28A4B8F">
            <w:pPr>
              <w:jc w:val="center"/>
              <w:rPr>
                <w:b/>
                <w:bCs/>
                <w:color w:val="000000"/>
                <w:sz w:val="20"/>
                <w:szCs w:val="20"/>
              </w:rPr>
            </w:pPr>
            <w:r>
              <w:rPr>
                <w:b/>
                <w:bCs/>
                <w:color w:val="000000"/>
                <w:sz w:val="20"/>
                <w:szCs w:val="20"/>
              </w:rPr>
              <w:t>LK01</w:t>
            </w:r>
          </w:p>
        </w:tc>
        <w:tc>
          <w:tcPr>
            <w:tcW w:w="1802" w:type="dxa"/>
            <w:vAlign w:val="center"/>
          </w:tcPr>
          <w:p w14:paraId="2E816FDD">
            <w:pPr>
              <w:jc w:val="center"/>
              <w:rPr>
                <w:color w:val="000000"/>
                <w:sz w:val="20"/>
                <w:szCs w:val="20"/>
              </w:rPr>
            </w:pPr>
            <w:r>
              <w:rPr>
                <w:color w:val="000000"/>
                <w:sz w:val="20"/>
                <w:szCs w:val="20"/>
              </w:rPr>
              <w:t>LK01:02</w:t>
            </w:r>
          </w:p>
        </w:tc>
        <w:tc>
          <w:tcPr>
            <w:tcW w:w="1033" w:type="dxa"/>
            <w:noWrap/>
            <w:vAlign w:val="center"/>
          </w:tcPr>
          <w:p w14:paraId="36AD43A2">
            <w:pPr>
              <w:jc w:val="center"/>
              <w:rPr>
                <w:color w:val="000000"/>
                <w:sz w:val="20"/>
                <w:szCs w:val="20"/>
              </w:rPr>
            </w:pPr>
            <w:r>
              <w:rPr>
                <w:color w:val="000000"/>
                <w:sz w:val="20"/>
                <w:szCs w:val="20"/>
              </w:rPr>
              <w:t>97,50</w:t>
            </w:r>
          </w:p>
        </w:tc>
        <w:tc>
          <w:tcPr>
            <w:tcW w:w="846" w:type="dxa"/>
            <w:noWrap/>
            <w:vAlign w:val="center"/>
          </w:tcPr>
          <w:p w14:paraId="3008693B">
            <w:pPr>
              <w:jc w:val="center"/>
              <w:rPr>
                <w:color w:val="000000"/>
                <w:sz w:val="20"/>
                <w:szCs w:val="20"/>
              </w:rPr>
            </w:pPr>
            <w:r>
              <w:rPr>
                <w:color w:val="000000"/>
                <w:sz w:val="20"/>
                <w:szCs w:val="20"/>
              </w:rPr>
              <w:t>1</w:t>
            </w:r>
          </w:p>
        </w:tc>
        <w:tc>
          <w:tcPr>
            <w:tcW w:w="2578" w:type="dxa"/>
            <w:noWrap/>
            <w:vAlign w:val="center"/>
          </w:tcPr>
          <w:p w14:paraId="4DB9CBEF">
            <w:pPr>
              <w:jc w:val="center"/>
              <w:rPr>
                <w:color w:val="000000"/>
                <w:sz w:val="20"/>
                <w:szCs w:val="20"/>
              </w:rPr>
            </w:pPr>
            <w:r>
              <w:rPr>
                <w:color w:val="000000"/>
                <w:sz w:val="20"/>
                <w:szCs w:val="20"/>
              </w:rPr>
              <w:t>Mặt cắt 3-3</w:t>
            </w:r>
          </w:p>
        </w:tc>
        <w:tc>
          <w:tcPr>
            <w:tcW w:w="2393" w:type="dxa"/>
            <w:noWrap/>
            <w:vAlign w:val="center"/>
          </w:tcPr>
          <w:p w14:paraId="6BD15EF2">
            <w:pPr>
              <w:jc w:val="center"/>
              <w:rPr>
                <w:color w:val="000000"/>
                <w:sz w:val="20"/>
                <w:szCs w:val="20"/>
              </w:rPr>
            </w:pPr>
            <w:r>
              <w:rPr>
                <w:color w:val="000000"/>
                <w:sz w:val="20"/>
                <w:szCs w:val="20"/>
              </w:rPr>
              <w:t>Một mặt tiền, đối diện/tiếp giáp CX-MN</w:t>
            </w:r>
          </w:p>
        </w:tc>
        <w:tc>
          <w:tcPr>
            <w:tcW w:w="1198" w:type="dxa"/>
            <w:noWrap/>
            <w:vAlign w:val="center"/>
          </w:tcPr>
          <w:p w14:paraId="5A3462EC">
            <w:pPr>
              <w:jc w:val="center"/>
              <w:rPr>
                <w:color w:val="000000"/>
                <w:sz w:val="20"/>
                <w:szCs w:val="20"/>
              </w:rPr>
            </w:pPr>
            <w:r>
              <w:rPr>
                <w:color w:val="000000"/>
                <w:sz w:val="20"/>
                <w:szCs w:val="20"/>
              </w:rPr>
              <w:t>11.340.000</w:t>
            </w:r>
          </w:p>
        </w:tc>
        <w:tc>
          <w:tcPr>
            <w:tcW w:w="1236" w:type="dxa"/>
            <w:noWrap/>
            <w:vAlign w:val="center"/>
          </w:tcPr>
          <w:p w14:paraId="26C3DF10">
            <w:pPr>
              <w:jc w:val="center"/>
              <w:rPr>
                <w:color w:val="000000"/>
                <w:sz w:val="20"/>
                <w:szCs w:val="20"/>
              </w:rPr>
            </w:pPr>
          </w:p>
        </w:tc>
        <w:tc>
          <w:tcPr>
            <w:tcW w:w="1252" w:type="dxa"/>
            <w:noWrap/>
            <w:vAlign w:val="center"/>
          </w:tcPr>
          <w:p w14:paraId="43512ECC">
            <w:pPr>
              <w:jc w:val="center"/>
              <w:rPr>
                <w:color w:val="000000"/>
                <w:sz w:val="20"/>
                <w:szCs w:val="20"/>
              </w:rPr>
            </w:pPr>
            <w:r>
              <w:rPr>
                <w:color w:val="000000"/>
                <w:sz w:val="20"/>
                <w:szCs w:val="20"/>
              </w:rPr>
              <w:t>11.340.000</w:t>
            </w:r>
          </w:p>
        </w:tc>
        <w:tc>
          <w:tcPr>
            <w:tcW w:w="1848" w:type="dxa"/>
            <w:noWrap/>
            <w:vAlign w:val="center"/>
          </w:tcPr>
          <w:p w14:paraId="1C7D149D">
            <w:pPr>
              <w:jc w:val="center"/>
              <w:rPr>
                <w:color w:val="000000"/>
                <w:sz w:val="20"/>
                <w:szCs w:val="20"/>
              </w:rPr>
            </w:pPr>
            <w:r>
              <w:rPr>
                <w:color w:val="000000"/>
                <w:sz w:val="20"/>
                <w:szCs w:val="20"/>
              </w:rPr>
              <w:t>1.105.650.000</w:t>
            </w:r>
          </w:p>
        </w:tc>
      </w:tr>
      <w:tr w14:paraId="51BD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C7BFB20">
            <w:pPr>
              <w:jc w:val="center"/>
              <w:rPr>
                <w:b/>
                <w:bCs/>
                <w:color w:val="000000"/>
                <w:sz w:val="20"/>
                <w:szCs w:val="20"/>
              </w:rPr>
            </w:pPr>
            <w:r>
              <w:rPr>
                <w:b/>
                <w:bCs/>
                <w:color w:val="000000"/>
                <w:sz w:val="20"/>
                <w:szCs w:val="20"/>
              </w:rPr>
              <w:t>LK01</w:t>
            </w:r>
          </w:p>
        </w:tc>
        <w:tc>
          <w:tcPr>
            <w:tcW w:w="1802" w:type="dxa"/>
            <w:vAlign w:val="center"/>
          </w:tcPr>
          <w:p w14:paraId="3B5DF941">
            <w:pPr>
              <w:jc w:val="center"/>
              <w:rPr>
                <w:color w:val="000000"/>
                <w:sz w:val="20"/>
                <w:szCs w:val="20"/>
              </w:rPr>
            </w:pPr>
            <w:r>
              <w:rPr>
                <w:color w:val="000000"/>
                <w:sz w:val="20"/>
                <w:szCs w:val="20"/>
              </w:rPr>
              <w:t>LK01:03</w:t>
            </w:r>
          </w:p>
        </w:tc>
        <w:tc>
          <w:tcPr>
            <w:tcW w:w="1033" w:type="dxa"/>
            <w:noWrap/>
            <w:vAlign w:val="center"/>
          </w:tcPr>
          <w:p w14:paraId="1F300B8E">
            <w:pPr>
              <w:jc w:val="center"/>
              <w:rPr>
                <w:color w:val="000000"/>
                <w:sz w:val="20"/>
                <w:szCs w:val="20"/>
              </w:rPr>
            </w:pPr>
            <w:r>
              <w:rPr>
                <w:color w:val="000000"/>
                <w:sz w:val="20"/>
                <w:szCs w:val="20"/>
              </w:rPr>
              <w:t>97,50</w:t>
            </w:r>
          </w:p>
        </w:tc>
        <w:tc>
          <w:tcPr>
            <w:tcW w:w="846" w:type="dxa"/>
            <w:noWrap/>
            <w:vAlign w:val="center"/>
          </w:tcPr>
          <w:p w14:paraId="1138115E">
            <w:pPr>
              <w:jc w:val="center"/>
              <w:rPr>
                <w:color w:val="000000"/>
                <w:sz w:val="20"/>
                <w:szCs w:val="20"/>
              </w:rPr>
            </w:pPr>
            <w:r>
              <w:rPr>
                <w:color w:val="000000"/>
                <w:sz w:val="20"/>
                <w:szCs w:val="20"/>
              </w:rPr>
              <w:t>1</w:t>
            </w:r>
          </w:p>
        </w:tc>
        <w:tc>
          <w:tcPr>
            <w:tcW w:w="2578" w:type="dxa"/>
            <w:noWrap/>
            <w:vAlign w:val="center"/>
          </w:tcPr>
          <w:p w14:paraId="2EFF0144">
            <w:pPr>
              <w:jc w:val="center"/>
              <w:rPr>
                <w:color w:val="000000"/>
                <w:sz w:val="20"/>
                <w:szCs w:val="20"/>
              </w:rPr>
            </w:pPr>
            <w:r>
              <w:rPr>
                <w:color w:val="000000"/>
                <w:sz w:val="20"/>
                <w:szCs w:val="20"/>
              </w:rPr>
              <w:t>Mặt cắt 3-3</w:t>
            </w:r>
          </w:p>
        </w:tc>
        <w:tc>
          <w:tcPr>
            <w:tcW w:w="2393" w:type="dxa"/>
            <w:noWrap/>
            <w:vAlign w:val="center"/>
          </w:tcPr>
          <w:p w14:paraId="07E05770">
            <w:pPr>
              <w:jc w:val="center"/>
              <w:rPr>
                <w:color w:val="000000"/>
                <w:sz w:val="20"/>
                <w:szCs w:val="20"/>
              </w:rPr>
            </w:pPr>
            <w:r>
              <w:rPr>
                <w:color w:val="000000"/>
                <w:sz w:val="20"/>
                <w:szCs w:val="20"/>
              </w:rPr>
              <w:t>Một mặt tiền, đối diện/tiếp giáp CX-MN</w:t>
            </w:r>
          </w:p>
        </w:tc>
        <w:tc>
          <w:tcPr>
            <w:tcW w:w="1198" w:type="dxa"/>
            <w:noWrap/>
            <w:vAlign w:val="center"/>
          </w:tcPr>
          <w:p w14:paraId="44870CF9">
            <w:pPr>
              <w:jc w:val="center"/>
              <w:rPr>
                <w:color w:val="000000"/>
                <w:sz w:val="20"/>
                <w:szCs w:val="20"/>
              </w:rPr>
            </w:pPr>
            <w:r>
              <w:rPr>
                <w:color w:val="000000"/>
                <w:sz w:val="20"/>
                <w:szCs w:val="20"/>
              </w:rPr>
              <w:t>11.340.000</w:t>
            </w:r>
          </w:p>
        </w:tc>
        <w:tc>
          <w:tcPr>
            <w:tcW w:w="1236" w:type="dxa"/>
            <w:noWrap/>
            <w:vAlign w:val="center"/>
          </w:tcPr>
          <w:p w14:paraId="0C098985">
            <w:pPr>
              <w:jc w:val="center"/>
              <w:rPr>
                <w:color w:val="000000"/>
                <w:sz w:val="20"/>
                <w:szCs w:val="20"/>
              </w:rPr>
            </w:pPr>
          </w:p>
        </w:tc>
        <w:tc>
          <w:tcPr>
            <w:tcW w:w="1252" w:type="dxa"/>
            <w:noWrap/>
            <w:vAlign w:val="center"/>
          </w:tcPr>
          <w:p w14:paraId="64ED7DB8">
            <w:pPr>
              <w:jc w:val="center"/>
              <w:rPr>
                <w:color w:val="000000"/>
                <w:sz w:val="20"/>
                <w:szCs w:val="20"/>
              </w:rPr>
            </w:pPr>
            <w:r>
              <w:rPr>
                <w:color w:val="000000"/>
                <w:sz w:val="20"/>
                <w:szCs w:val="20"/>
              </w:rPr>
              <w:t>11.340.000</w:t>
            </w:r>
          </w:p>
        </w:tc>
        <w:tc>
          <w:tcPr>
            <w:tcW w:w="1848" w:type="dxa"/>
            <w:noWrap/>
            <w:vAlign w:val="center"/>
          </w:tcPr>
          <w:p w14:paraId="05FCE3D9">
            <w:pPr>
              <w:jc w:val="center"/>
              <w:rPr>
                <w:color w:val="000000"/>
                <w:sz w:val="20"/>
                <w:szCs w:val="20"/>
              </w:rPr>
            </w:pPr>
            <w:r>
              <w:rPr>
                <w:color w:val="000000"/>
                <w:sz w:val="20"/>
                <w:szCs w:val="20"/>
              </w:rPr>
              <w:t>1.105.650.000</w:t>
            </w:r>
          </w:p>
        </w:tc>
      </w:tr>
      <w:tr w14:paraId="516D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5A7B39C">
            <w:pPr>
              <w:jc w:val="center"/>
              <w:rPr>
                <w:b/>
                <w:bCs/>
                <w:color w:val="000000"/>
                <w:sz w:val="20"/>
                <w:szCs w:val="20"/>
              </w:rPr>
            </w:pPr>
            <w:r>
              <w:rPr>
                <w:b/>
                <w:bCs/>
                <w:color w:val="000000"/>
                <w:sz w:val="20"/>
                <w:szCs w:val="20"/>
              </w:rPr>
              <w:t>LK01</w:t>
            </w:r>
          </w:p>
        </w:tc>
        <w:tc>
          <w:tcPr>
            <w:tcW w:w="1802" w:type="dxa"/>
            <w:vAlign w:val="center"/>
          </w:tcPr>
          <w:p w14:paraId="3DA25657">
            <w:pPr>
              <w:jc w:val="center"/>
              <w:rPr>
                <w:color w:val="000000"/>
                <w:sz w:val="20"/>
                <w:szCs w:val="20"/>
              </w:rPr>
            </w:pPr>
            <w:r>
              <w:rPr>
                <w:color w:val="000000"/>
                <w:sz w:val="20"/>
                <w:szCs w:val="20"/>
              </w:rPr>
              <w:t>LK01:04</w:t>
            </w:r>
          </w:p>
        </w:tc>
        <w:tc>
          <w:tcPr>
            <w:tcW w:w="1033" w:type="dxa"/>
            <w:noWrap/>
            <w:vAlign w:val="center"/>
          </w:tcPr>
          <w:p w14:paraId="17D72C63">
            <w:pPr>
              <w:jc w:val="center"/>
              <w:rPr>
                <w:color w:val="000000"/>
                <w:sz w:val="20"/>
                <w:szCs w:val="20"/>
              </w:rPr>
            </w:pPr>
            <w:r>
              <w:rPr>
                <w:color w:val="000000"/>
                <w:sz w:val="20"/>
                <w:szCs w:val="20"/>
              </w:rPr>
              <w:t>97,50</w:t>
            </w:r>
          </w:p>
        </w:tc>
        <w:tc>
          <w:tcPr>
            <w:tcW w:w="846" w:type="dxa"/>
            <w:noWrap/>
            <w:vAlign w:val="center"/>
          </w:tcPr>
          <w:p w14:paraId="34CE9135">
            <w:pPr>
              <w:jc w:val="center"/>
              <w:rPr>
                <w:color w:val="000000"/>
                <w:sz w:val="20"/>
                <w:szCs w:val="20"/>
              </w:rPr>
            </w:pPr>
            <w:r>
              <w:rPr>
                <w:color w:val="000000"/>
                <w:sz w:val="20"/>
                <w:szCs w:val="20"/>
              </w:rPr>
              <w:t>1</w:t>
            </w:r>
          </w:p>
        </w:tc>
        <w:tc>
          <w:tcPr>
            <w:tcW w:w="2578" w:type="dxa"/>
            <w:noWrap/>
            <w:vAlign w:val="center"/>
          </w:tcPr>
          <w:p w14:paraId="73A55D6A">
            <w:pPr>
              <w:jc w:val="center"/>
              <w:rPr>
                <w:color w:val="000000"/>
                <w:sz w:val="20"/>
                <w:szCs w:val="20"/>
              </w:rPr>
            </w:pPr>
            <w:r>
              <w:rPr>
                <w:color w:val="000000"/>
                <w:sz w:val="20"/>
                <w:szCs w:val="20"/>
              </w:rPr>
              <w:t>Mặt cắt 3-3</w:t>
            </w:r>
          </w:p>
        </w:tc>
        <w:tc>
          <w:tcPr>
            <w:tcW w:w="2393" w:type="dxa"/>
            <w:noWrap/>
            <w:vAlign w:val="center"/>
          </w:tcPr>
          <w:p w14:paraId="29FDB06F">
            <w:pPr>
              <w:jc w:val="center"/>
              <w:rPr>
                <w:color w:val="000000"/>
                <w:sz w:val="20"/>
                <w:szCs w:val="20"/>
              </w:rPr>
            </w:pPr>
            <w:r>
              <w:rPr>
                <w:color w:val="000000"/>
                <w:sz w:val="20"/>
                <w:szCs w:val="20"/>
              </w:rPr>
              <w:t>Một mặt tiền, đối diện/tiếp giáp CX-MN</w:t>
            </w:r>
          </w:p>
        </w:tc>
        <w:tc>
          <w:tcPr>
            <w:tcW w:w="1198" w:type="dxa"/>
            <w:noWrap/>
            <w:vAlign w:val="center"/>
          </w:tcPr>
          <w:p w14:paraId="04664ECC">
            <w:pPr>
              <w:jc w:val="center"/>
              <w:rPr>
                <w:color w:val="000000"/>
                <w:sz w:val="20"/>
                <w:szCs w:val="20"/>
              </w:rPr>
            </w:pPr>
            <w:r>
              <w:rPr>
                <w:color w:val="000000"/>
                <w:sz w:val="20"/>
                <w:szCs w:val="20"/>
              </w:rPr>
              <w:t>11.340.000</w:t>
            </w:r>
          </w:p>
        </w:tc>
        <w:tc>
          <w:tcPr>
            <w:tcW w:w="1236" w:type="dxa"/>
            <w:noWrap/>
            <w:vAlign w:val="center"/>
          </w:tcPr>
          <w:p w14:paraId="63E98BA0">
            <w:pPr>
              <w:jc w:val="center"/>
              <w:rPr>
                <w:color w:val="000000"/>
                <w:sz w:val="20"/>
                <w:szCs w:val="20"/>
              </w:rPr>
            </w:pPr>
          </w:p>
        </w:tc>
        <w:tc>
          <w:tcPr>
            <w:tcW w:w="1252" w:type="dxa"/>
            <w:noWrap/>
            <w:vAlign w:val="center"/>
          </w:tcPr>
          <w:p w14:paraId="119E56B7">
            <w:pPr>
              <w:jc w:val="center"/>
              <w:rPr>
                <w:color w:val="000000"/>
                <w:sz w:val="20"/>
                <w:szCs w:val="20"/>
              </w:rPr>
            </w:pPr>
            <w:r>
              <w:rPr>
                <w:color w:val="000000"/>
                <w:sz w:val="20"/>
                <w:szCs w:val="20"/>
              </w:rPr>
              <w:t>11.340.000</w:t>
            </w:r>
          </w:p>
        </w:tc>
        <w:tc>
          <w:tcPr>
            <w:tcW w:w="1848" w:type="dxa"/>
            <w:noWrap/>
            <w:vAlign w:val="center"/>
          </w:tcPr>
          <w:p w14:paraId="027158F1">
            <w:pPr>
              <w:jc w:val="center"/>
              <w:rPr>
                <w:color w:val="000000"/>
                <w:sz w:val="20"/>
                <w:szCs w:val="20"/>
              </w:rPr>
            </w:pPr>
            <w:r>
              <w:rPr>
                <w:color w:val="000000"/>
                <w:sz w:val="20"/>
                <w:szCs w:val="20"/>
              </w:rPr>
              <w:t>1.105.650.000</w:t>
            </w:r>
          </w:p>
        </w:tc>
      </w:tr>
      <w:tr w14:paraId="0587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9927C90">
            <w:pPr>
              <w:jc w:val="center"/>
              <w:rPr>
                <w:b/>
                <w:bCs/>
                <w:color w:val="000000"/>
                <w:sz w:val="20"/>
                <w:szCs w:val="20"/>
              </w:rPr>
            </w:pPr>
            <w:r>
              <w:rPr>
                <w:b/>
                <w:bCs/>
                <w:color w:val="000000"/>
                <w:sz w:val="20"/>
                <w:szCs w:val="20"/>
              </w:rPr>
              <w:t>LK01</w:t>
            </w:r>
          </w:p>
        </w:tc>
        <w:tc>
          <w:tcPr>
            <w:tcW w:w="1802" w:type="dxa"/>
            <w:vAlign w:val="center"/>
          </w:tcPr>
          <w:p w14:paraId="03C192CF">
            <w:pPr>
              <w:jc w:val="center"/>
              <w:rPr>
                <w:color w:val="000000"/>
                <w:sz w:val="20"/>
                <w:szCs w:val="20"/>
              </w:rPr>
            </w:pPr>
            <w:r>
              <w:rPr>
                <w:color w:val="000000"/>
                <w:sz w:val="20"/>
                <w:szCs w:val="20"/>
              </w:rPr>
              <w:t>LK01:05</w:t>
            </w:r>
          </w:p>
        </w:tc>
        <w:tc>
          <w:tcPr>
            <w:tcW w:w="1033" w:type="dxa"/>
            <w:noWrap/>
            <w:vAlign w:val="center"/>
          </w:tcPr>
          <w:p w14:paraId="3429B14B">
            <w:pPr>
              <w:jc w:val="center"/>
              <w:rPr>
                <w:color w:val="000000"/>
                <w:sz w:val="20"/>
                <w:szCs w:val="20"/>
              </w:rPr>
            </w:pPr>
            <w:r>
              <w:rPr>
                <w:color w:val="000000"/>
                <w:sz w:val="20"/>
                <w:szCs w:val="20"/>
              </w:rPr>
              <w:t>97,50</w:t>
            </w:r>
          </w:p>
        </w:tc>
        <w:tc>
          <w:tcPr>
            <w:tcW w:w="846" w:type="dxa"/>
            <w:noWrap/>
            <w:vAlign w:val="center"/>
          </w:tcPr>
          <w:p w14:paraId="3E835686">
            <w:pPr>
              <w:jc w:val="center"/>
              <w:rPr>
                <w:color w:val="000000"/>
                <w:sz w:val="20"/>
                <w:szCs w:val="20"/>
              </w:rPr>
            </w:pPr>
            <w:r>
              <w:rPr>
                <w:color w:val="000000"/>
                <w:sz w:val="20"/>
                <w:szCs w:val="20"/>
              </w:rPr>
              <w:t>1</w:t>
            </w:r>
          </w:p>
        </w:tc>
        <w:tc>
          <w:tcPr>
            <w:tcW w:w="2578" w:type="dxa"/>
            <w:noWrap/>
            <w:vAlign w:val="center"/>
          </w:tcPr>
          <w:p w14:paraId="4F9B2912">
            <w:pPr>
              <w:jc w:val="center"/>
              <w:rPr>
                <w:color w:val="000000"/>
                <w:sz w:val="20"/>
                <w:szCs w:val="20"/>
              </w:rPr>
            </w:pPr>
            <w:r>
              <w:rPr>
                <w:color w:val="000000"/>
                <w:sz w:val="20"/>
                <w:szCs w:val="20"/>
              </w:rPr>
              <w:t>Mặt cắt 3-3</w:t>
            </w:r>
          </w:p>
        </w:tc>
        <w:tc>
          <w:tcPr>
            <w:tcW w:w="2393" w:type="dxa"/>
            <w:noWrap/>
            <w:vAlign w:val="center"/>
          </w:tcPr>
          <w:p w14:paraId="0E8381F1">
            <w:pPr>
              <w:jc w:val="center"/>
              <w:rPr>
                <w:color w:val="000000"/>
                <w:sz w:val="20"/>
                <w:szCs w:val="20"/>
              </w:rPr>
            </w:pPr>
            <w:r>
              <w:rPr>
                <w:color w:val="000000"/>
                <w:sz w:val="20"/>
                <w:szCs w:val="20"/>
              </w:rPr>
              <w:t>Một mặt tiền, đối diện/tiếp giáp CX-MN</w:t>
            </w:r>
          </w:p>
        </w:tc>
        <w:tc>
          <w:tcPr>
            <w:tcW w:w="1198" w:type="dxa"/>
            <w:noWrap/>
            <w:vAlign w:val="center"/>
          </w:tcPr>
          <w:p w14:paraId="661CAB54">
            <w:pPr>
              <w:jc w:val="center"/>
              <w:rPr>
                <w:color w:val="000000"/>
                <w:sz w:val="20"/>
                <w:szCs w:val="20"/>
              </w:rPr>
            </w:pPr>
            <w:r>
              <w:rPr>
                <w:color w:val="000000"/>
                <w:sz w:val="20"/>
                <w:szCs w:val="20"/>
              </w:rPr>
              <w:t>11.340.000</w:t>
            </w:r>
          </w:p>
        </w:tc>
        <w:tc>
          <w:tcPr>
            <w:tcW w:w="1236" w:type="dxa"/>
            <w:noWrap/>
            <w:vAlign w:val="center"/>
          </w:tcPr>
          <w:p w14:paraId="74E598DE">
            <w:pPr>
              <w:jc w:val="center"/>
              <w:rPr>
                <w:color w:val="000000"/>
                <w:sz w:val="20"/>
                <w:szCs w:val="20"/>
              </w:rPr>
            </w:pPr>
          </w:p>
        </w:tc>
        <w:tc>
          <w:tcPr>
            <w:tcW w:w="1252" w:type="dxa"/>
            <w:noWrap/>
            <w:vAlign w:val="center"/>
          </w:tcPr>
          <w:p w14:paraId="2726774F">
            <w:pPr>
              <w:jc w:val="center"/>
              <w:rPr>
                <w:color w:val="000000"/>
                <w:sz w:val="20"/>
                <w:szCs w:val="20"/>
              </w:rPr>
            </w:pPr>
            <w:r>
              <w:rPr>
                <w:color w:val="000000"/>
                <w:sz w:val="20"/>
                <w:szCs w:val="20"/>
              </w:rPr>
              <w:t>11.340.000</w:t>
            </w:r>
          </w:p>
        </w:tc>
        <w:tc>
          <w:tcPr>
            <w:tcW w:w="1848" w:type="dxa"/>
            <w:noWrap/>
            <w:vAlign w:val="center"/>
          </w:tcPr>
          <w:p w14:paraId="09BBD284">
            <w:pPr>
              <w:jc w:val="center"/>
              <w:rPr>
                <w:color w:val="000000"/>
                <w:sz w:val="20"/>
                <w:szCs w:val="20"/>
              </w:rPr>
            </w:pPr>
            <w:r>
              <w:rPr>
                <w:color w:val="000000"/>
                <w:sz w:val="20"/>
                <w:szCs w:val="20"/>
              </w:rPr>
              <w:t>1.105.650.000</w:t>
            </w:r>
          </w:p>
        </w:tc>
      </w:tr>
      <w:tr w14:paraId="1EB2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55D36BE">
            <w:pPr>
              <w:jc w:val="center"/>
              <w:rPr>
                <w:b/>
                <w:bCs/>
                <w:color w:val="000000"/>
                <w:sz w:val="20"/>
                <w:szCs w:val="20"/>
              </w:rPr>
            </w:pPr>
            <w:r>
              <w:rPr>
                <w:b/>
                <w:bCs/>
                <w:color w:val="000000"/>
                <w:sz w:val="20"/>
                <w:szCs w:val="20"/>
              </w:rPr>
              <w:t>LK01</w:t>
            </w:r>
          </w:p>
        </w:tc>
        <w:tc>
          <w:tcPr>
            <w:tcW w:w="1802" w:type="dxa"/>
            <w:vAlign w:val="center"/>
          </w:tcPr>
          <w:p w14:paraId="240A0193">
            <w:pPr>
              <w:jc w:val="center"/>
              <w:rPr>
                <w:color w:val="000000"/>
                <w:sz w:val="20"/>
                <w:szCs w:val="20"/>
              </w:rPr>
            </w:pPr>
            <w:r>
              <w:rPr>
                <w:color w:val="000000"/>
                <w:sz w:val="20"/>
                <w:szCs w:val="20"/>
              </w:rPr>
              <w:t>LK01:06</w:t>
            </w:r>
          </w:p>
        </w:tc>
        <w:tc>
          <w:tcPr>
            <w:tcW w:w="1033" w:type="dxa"/>
            <w:noWrap/>
            <w:vAlign w:val="center"/>
          </w:tcPr>
          <w:p w14:paraId="2EEB231E">
            <w:pPr>
              <w:jc w:val="center"/>
              <w:rPr>
                <w:color w:val="000000"/>
                <w:sz w:val="20"/>
                <w:szCs w:val="20"/>
              </w:rPr>
            </w:pPr>
            <w:r>
              <w:rPr>
                <w:color w:val="000000"/>
                <w:sz w:val="20"/>
                <w:szCs w:val="20"/>
              </w:rPr>
              <w:t>97,50</w:t>
            </w:r>
          </w:p>
        </w:tc>
        <w:tc>
          <w:tcPr>
            <w:tcW w:w="846" w:type="dxa"/>
            <w:noWrap/>
            <w:vAlign w:val="center"/>
          </w:tcPr>
          <w:p w14:paraId="0DAF1104">
            <w:pPr>
              <w:jc w:val="center"/>
              <w:rPr>
                <w:color w:val="000000"/>
                <w:sz w:val="20"/>
                <w:szCs w:val="20"/>
              </w:rPr>
            </w:pPr>
            <w:r>
              <w:rPr>
                <w:color w:val="000000"/>
                <w:sz w:val="20"/>
                <w:szCs w:val="20"/>
              </w:rPr>
              <w:t>1</w:t>
            </w:r>
          </w:p>
        </w:tc>
        <w:tc>
          <w:tcPr>
            <w:tcW w:w="2578" w:type="dxa"/>
            <w:noWrap/>
            <w:vAlign w:val="center"/>
          </w:tcPr>
          <w:p w14:paraId="102C7523">
            <w:pPr>
              <w:jc w:val="center"/>
              <w:rPr>
                <w:color w:val="000000"/>
                <w:sz w:val="20"/>
                <w:szCs w:val="20"/>
              </w:rPr>
            </w:pPr>
            <w:r>
              <w:rPr>
                <w:color w:val="000000"/>
                <w:sz w:val="20"/>
                <w:szCs w:val="20"/>
              </w:rPr>
              <w:t>Mặt cắt 3-3</w:t>
            </w:r>
          </w:p>
        </w:tc>
        <w:tc>
          <w:tcPr>
            <w:tcW w:w="2393" w:type="dxa"/>
            <w:noWrap/>
            <w:vAlign w:val="center"/>
          </w:tcPr>
          <w:p w14:paraId="1496796A">
            <w:pPr>
              <w:jc w:val="center"/>
              <w:rPr>
                <w:color w:val="000000"/>
                <w:sz w:val="20"/>
                <w:szCs w:val="20"/>
              </w:rPr>
            </w:pPr>
            <w:r>
              <w:rPr>
                <w:color w:val="000000"/>
                <w:sz w:val="20"/>
                <w:szCs w:val="20"/>
              </w:rPr>
              <w:t>Một mặt tiền, đối diện/tiếp giáp CX-MN</w:t>
            </w:r>
          </w:p>
        </w:tc>
        <w:tc>
          <w:tcPr>
            <w:tcW w:w="1198" w:type="dxa"/>
            <w:noWrap/>
            <w:vAlign w:val="center"/>
          </w:tcPr>
          <w:p w14:paraId="6BBC85BC">
            <w:pPr>
              <w:jc w:val="center"/>
              <w:rPr>
                <w:color w:val="000000"/>
                <w:sz w:val="20"/>
                <w:szCs w:val="20"/>
              </w:rPr>
            </w:pPr>
            <w:r>
              <w:rPr>
                <w:color w:val="000000"/>
                <w:sz w:val="20"/>
                <w:szCs w:val="20"/>
              </w:rPr>
              <w:t>11.340.000</w:t>
            </w:r>
          </w:p>
        </w:tc>
        <w:tc>
          <w:tcPr>
            <w:tcW w:w="1236" w:type="dxa"/>
            <w:noWrap/>
            <w:vAlign w:val="center"/>
          </w:tcPr>
          <w:p w14:paraId="3A638046">
            <w:pPr>
              <w:jc w:val="center"/>
              <w:rPr>
                <w:color w:val="000000"/>
                <w:sz w:val="20"/>
                <w:szCs w:val="20"/>
              </w:rPr>
            </w:pPr>
          </w:p>
        </w:tc>
        <w:tc>
          <w:tcPr>
            <w:tcW w:w="1252" w:type="dxa"/>
            <w:noWrap/>
            <w:vAlign w:val="center"/>
          </w:tcPr>
          <w:p w14:paraId="163CC464">
            <w:pPr>
              <w:jc w:val="center"/>
              <w:rPr>
                <w:color w:val="000000"/>
                <w:sz w:val="20"/>
                <w:szCs w:val="20"/>
              </w:rPr>
            </w:pPr>
            <w:r>
              <w:rPr>
                <w:color w:val="000000"/>
                <w:sz w:val="20"/>
                <w:szCs w:val="20"/>
              </w:rPr>
              <w:t>11.340.000</w:t>
            </w:r>
          </w:p>
        </w:tc>
        <w:tc>
          <w:tcPr>
            <w:tcW w:w="1848" w:type="dxa"/>
            <w:noWrap/>
            <w:vAlign w:val="center"/>
          </w:tcPr>
          <w:p w14:paraId="3446E454">
            <w:pPr>
              <w:jc w:val="center"/>
              <w:rPr>
                <w:color w:val="000000"/>
                <w:sz w:val="20"/>
                <w:szCs w:val="20"/>
              </w:rPr>
            </w:pPr>
            <w:r>
              <w:rPr>
                <w:color w:val="000000"/>
                <w:sz w:val="20"/>
                <w:szCs w:val="20"/>
              </w:rPr>
              <w:t>1.105.650.000</w:t>
            </w:r>
          </w:p>
        </w:tc>
      </w:tr>
      <w:tr w14:paraId="2627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84B64DA">
            <w:pPr>
              <w:jc w:val="center"/>
              <w:rPr>
                <w:b/>
                <w:bCs/>
                <w:color w:val="000000"/>
                <w:sz w:val="20"/>
                <w:szCs w:val="20"/>
              </w:rPr>
            </w:pPr>
            <w:r>
              <w:rPr>
                <w:b/>
                <w:bCs/>
                <w:color w:val="000000"/>
                <w:sz w:val="20"/>
                <w:szCs w:val="20"/>
              </w:rPr>
              <w:t>LK01</w:t>
            </w:r>
          </w:p>
        </w:tc>
        <w:tc>
          <w:tcPr>
            <w:tcW w:w="1802" w:type="dxa"/>
            <w:vAlign w:val="center"/>
          </w:tcPr>
          <w:p w14:paraId="3F68D00B">
            <w:pPr>
              <w:jc w:val="center"/>
              <w:rPr>
                <w:color w:val="000000"/>
                <w:sz w:val="20"/>
                <w:szCs w:val="20"/>
              </w:rPr>
            </w:pPr>
            <w:r>
              <w:rPr>
                <w:color w:val="000000"/>
                <w:sz w:val="20"/>
                <w:szCs w:val="20"/>
              </w:rPr>
              <w:t>LK01:07</w:t>
            </w:r>
          </w:p>
        </w:tc>
        <w:tc>
          <w:tcPr>
            <w:tcW w:w="1033" w:type="dxa"/>
            <w:noWrap/>
            <w:vAlign w:val="center"/>
          </w:tcPr>
          <w:p w14:paraId="33020F76">
            <w:pPr>
              <w:jc w:val="center"/>
              <w:rPr>
                <w:color w:val="000000"/>
                <w:sz w:val="20"/>
                <w:szCs w:val="20"/>
              </w:rPr>
            </w:pPr>
            <w:r>
              <w:rPr>
                <w:color w:val="000000"/>
                <w:sz w:val="20"/>
                <w:szCs w:val="20"/>
              </w:rPr>
              <w:t>97,50</w:t>
            </w:r>
          </w:p>
        </w:tc>
        <w:tc>
          <w:tcPr>
            <w:tcW w:w="846" w:type="dxa"/>
            <w:noWrap/>
            <w:vAlign w:val="center"/>
          </w:tcPr>
          <w:p w14:paraId="7117F70F">
            <w:pPr>
              <w:jc w:val="center"/>
              <w:rPr>
                <w:color w:val="000000"/>
                <w:sz w:val="20"/>
                <w:szCs w:val="20"/>
              </w:rPr>
            </w:pPr>
            <w:r>
              <w:rPr>
                <w:color w:val="000000"/>
                <w:sz w:val="20"/>
                <w:szCs w:val="20"/>
              </w:rPr>
              <w:t>1</w:t>
            </w:r>
          </w:p>
        </w:tc>
        <w:tc>
          <w:tcPr>
            <w:tcW w:w="2578" w:type="dxa"/>
            <w:noWrap/>
            <w:vAlign w:val="center"/>
          </w:tcPr>
          <w:p w14:paraId="3F6DE872">
            <w:pPr>
              <w:jc w:val="center"/>
              <w:rPr>
                <w:color w:val="000000"/>
                <w:sz w:val="20"/>
                <w:szCs w:val="20"/>
              </w:rPr>
            </w:pPr>
            <w:r>
              <w:rPr>
                <w:color w:val="000000"/>
                <w:sz w:val="20"/>
                <w:szCs w:val="20"/>
              </w:rPr>
              <w:t>Mặt cắt 3-3</w:t>
            </w:r>
          </w:p>
        </w:tc>
        <w:tc>
          <w:tcPr>
            <w:tcW w:w="2393" w:type="dxa"/>
            <w:noWrap/>
            <w:vAlign w:val="center"/>
          </w:tcPr>
          <w:p w14:paraId="767B29C3">
            <w:pPr>
              <w:jc w:val="center"/>
              <w:rPr>
                <w:color w:val="000000"/>
                <w:sz w:val="20"/>
                <w:szCs w:val="20"/>
              </w:rPr>
            </w:pPr>
            <w:r>
              <w:rPr>
                <w:color w:val="000000"/>
                <w:sz w:val="20"/>
                <w:szCs w:val="20"/>
              </w:rPr>
              <w:t>Một mặt tiền, đối diện/tiếp giáp CX-MN</w:t>
            </w:r>
          </w:p>
        </w:tc>
        <w:tc>
          <w:tcPr>
            <w:tcW w:w="1198" w:type="dxa"/>
            <w:noWrap/>
            <w:vAlign w:val="center"/>
          </w:tcPr>
          <w:p w14:paraId="6DFE2190">
            <w:pPr>
              <w:jc w:val="center"/>
              <w:rPr>
                <w:color w:val="000000"/>
                <w:sz w:val="20"/>
                <w:szCs w:val="20"/>
              </w:rPr>
            </w:pPr>
            <w:r>
              <w:rPr>
                <w:color w:val="000000"/>
                <w:sz w:val="20"/>
                <w:szCs w:val="20"/>
              </w:rPr>
              <w:t>11.340.000</w:t>
            </w:r>
          </w:p>
        </w:tc>
        <w:tc>
          <w:tcPr>
            <w:tcW w:w="1236" w:type="dxa"/>
            <w:noWrap/>
            <w:vAlign w:val="center"/>
          </w:tcPr>
          <w:p w14:paraId="495A77BD">
            <w:pPr>
              <w:jc w:val="center"/>
              <w:rPr>
                <w:color w:val="000000"/>
                <w:sz w:val="20"/>
                <w:szCs w:val="20"/>
              </w:rPr>
            </w:pPr>
          </w:p>
        </w:tc>
        <w:tc>
          <w:tcPr>
            <w:tcW w:w="1252" w:type="dxa"/>
            <w:noWrap/>
            <w:vAlign w:val="center"/>
          </w:tcPr>
          <w:p w14:paraId="2EB07330">
            <w:pPr>
              <w:jc w:val="center"/>
              <w:rPr>
                <w:color w:val="000000"/>
                <w:sz w:val="20"/>
                <w:szCs w:val="20"/>
              </w:rPr>
            </w:pPr>
            <w:r>
              <w:rPr>
                <w:color w:val="000000"/>
                <w:sz w:val="20"/>
                <w:szCs w:val="20"/>
              </w:rPr>
              <w:t>11.340.000</w:t>
            </w:r>
          </w:p>
        </w:tc>
        <w:tc>
          <w:tcPr>
            <w:tcW w:w="1848" w:type="dxa"/>
            <w:noWrap/>
            <w:vAlign w:val="center"/>
          </w:tcPr>
          <w:p w14:paraId="423FD6FF">
            <w:pPr>
              <w:jc w:val="center"/>
              <w:rPr>
                <w:color w:val="000000"/>
                <w:sz w:val="20"/>
                <w:szCs w:val="20"/>
              </w:rPr>
            </w:pPr>
            <w:r>
              <w:rPr>
                <w:color w:val="000000"/>
                <w:sz w:val="20"/>
                <w:szCs w:val="20"/>
              </w:rPr>
              <w:t>1.105.650.000</w:t>
            </w:r>
          </w:p>
        </w:tc>
      </w:tr>
      <w:tr w14:paraId="0BBB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17C20BB">
            <w:pPr>
              <w:jc w:val="center"/>
              <w:rPr>
                <w:b/>
                <w:bCs/>
                <w:color w:val="000000"/>
                <w:sz w:val="20"/>
                <w:szCs w:val="20"/>
              </w:rPr>
            </w:pPr>
            <w:r>
              <w:rPr>
                <w:b/>
                <w:bCs/>
                <w:color w:val="000000"/>
                <w:sz w:val="20"/>
                <w:szCs w:val="20"/>
              </w:rPr>
              <w:t>LK01</w:t>
            </w:r>
          </w:p>
        </w:tc>
        <w:tc>
          <w:tcPr>
            <w:tcW w:w="1802" w:type="dxa"/>
            <w:vAlign w:val="center"/>
          </w:tcPr>
          <w:p w14:paraId="72008BC2">
            <w:pPr>
              <w:jc w:val="center"/>
              <w:rPr>
                <w:color w:val="000000"/>
                <w:sz w:val="20"/>
                <w:szCs w:val="20"/>
              </w:rPr>
            </w:pPr>
            <w:r>
              <w:rPr>
                <w:color w:val="000000"/>
                <w:sz w:val="20"/>
                <w:szCs w:val="20"/>
              </w:rPr>
              <w:t>LK01:08</w:t>
            </w:r>
          </w:p>
        </w:tc>
        <w:tc>
          <w:tcPr>
            <w:tcW w:w="1033" w:type="dxa"/>
            <w:noWrap/>
            <w:vAlign w:val="center"/>
          </w:tcPr>
          <w:p w14:paraId="19FE8BE9">
            <w:pPr>
              <w:jc w:val="center"/>
              <w:rPr>
                <w:color w:val="000000"/>
                <w:sz w:val="20"/>
                <w:szCs w:val="20"/>
              </w:rPr>
            </w:pPr>
            <w:r>
              <w:rPr>
                <w:color w:val="000000"/>
                <w:sz w:val="20"/>
                <w:szCs w:val="20"/>
              </w:rPr>
              <w:t>97,50</w:t>
            </w:r>
          </w:p>
        </w:tc>
        <w:tc>
          <w:tcPr>
            <w:tcW w:w="846" w:type="dxa"/>
            <w:noWrap/>
            <w:vAlign w:val="center"/>
          </w:tcPr>
          <w:p w14:paraId="554A3BFD">
            <w:pPr>
              <w:jc w:val="center"/>
              <w:rPr>
                <w:color w:val="000000"/>
                <w:sz w:val="20"/>
                <w:szCs w:val="20"/>
              </w:rPr>
            </w:pPr>
            <w:r>
              <w:rPr>
                <w:color w:val="000000"/>
                <w:sz w:val="20"/>
                <w:szCs w:val="20"/>
              </w:rPr>
              <w:t>1</w:t>
            </w:r>
          </w:p>
        </w:tc>
        <w:tc>
          <w:tcPr>
            <w:tcW w:w="2578" w:type="dxa"/>
            <w:noWrap/>
            <w:vAlign w:val="center"/>
          </w:tcPr>
          <w:p w14:paraId="1BEC4AA7">
            <w:pPr>
              <w:jc w:val="center"/>
              <w:rPr>
                <w:color w:val="000000"/>
                <w:sz w:val="20"/>
                <w:szCs w:val="20"/>
              </w:rPr>
            </w:pPr>
            <w:r>
              <w:rPr>
                <w:color w:val="000000"/>
                <w:sz w:val="20"/>
                <w:szCs w:val="20"/>
              </w:rPr>
              <w:t>Mặt cắt 3-3</w:t>
            </w:r>
          </w:p>
        </w:tc>
        <w:tc>
          <w:tcPr>
            <w:tcW w:w="2393" w:type="dxa"/>
            <w:noWrap/>
            <w:vAlign w:val="center"/>
          </w:tcPr>
          <w:p w14:paraId="52F8B82B">
            <w:pPr>
              <w:jc w:val="center"/>
              <w:rPr>
                <w:color w:val="000000"/>
                <w:sz w:val="20"/>
                <w:szCs w:val="20"/>
              </w:rPr>
            </w:pPr>
            <w:r>
              <w:rPr>
                <w:color w:val="000000"/>
                <w:sz w:val="20"/>
                <w:szCs w:val="20"/>
              </w:rPr>
              <w:t>Một mặt tiền, đối diện/tiếp giáp CX-MN</w:t>
            </w:r>
          </w:p>
        </w:tc>
        <w:tc>
          <w:tcPr>
            <w:tcW w:w="1198" w:type="dxa"/>
            <w:noWrap/>
            <w:vAlign w:val="center"/>
          </w:tcPr>
          <w:p w14:paraId="2ABE18BF">
            <w:pPr>
              <w:jc w:val="center"/>
              <w:rPr>
                <w:color w:val="000000"/>
                <w:sz w:val="20"/>
                <w:szCs w:val="20"/>
              </w:rPr>
            </w:pPr>
            <w:r>
              <w:rPr>
                <w:color w:val="000000"/>
                <w:sz w:val="20"/>
                <w:szCs w:val="20"/>
              </w:rPr>
              <w:t>11.340.000</w:t>
            </w:r>
          </w:p>
        </w:tc>
        <w:tc>
          <w:tcPr>
            <w:tcW w:w="1236" w:type="dxa"/>
            <w:noWrap/>
            <w:vAlign w:val="center"/>
          </w:tcPr>
          <w:p w14:paraId="59C82A08">
            <w:pPr>
              <w:jc w:val="center"/>
              <w:rPr>
                <w:color w:val="000000"/>
                <w:sz w:val="20"/>
                <w:szCs w:val="20"/>
              </w:rPr>
            </w:pPr>
          </w:p>
        </w:tc>
        <w:tc>
          <w:tcPr>
            <w:tcW w:w="1252" w:type="dxa"/>
            <w:noWrap/>
            <w:vAlign w:val="center"/>
          </w:tcPr>
          <w:p w14:paraId="6F015C28">
            <w:pPr>
              <w:jc w:val="center"/>
              <w:rPr>
                <w:color w:val="000000"/>
                <w:sz w:val="20"/>
                <w:szCs w:val="20"/>
              </w:rPr>
            </w:pPr>
            <w:r>
              <w:rPr>
                <w:color w:val="000000"/>
                <w:sz w:val="20"/>
                <w:szCs w:val="20"/>
              </w:rPr>
              <w:t>11.340.000</w:t>
            </w:r>
          </w:p>
        </w:tc>
        <w:tc>
          <w:tcPr>
            <w:tcW w:w="1848" w:type="dxa"/>
            <w:noWrap/>
            <w:vAlign w:val="center"/>
          </w:tcPr>
          <w:p w14:paraId="22394FE9">
            <w:pPr>
              <w:jc w:val="center"/>
              <w:rPr>
                <w:color w:val="000000"/>
                <w:sz w:val="20"/>
                <w:szCs w:val="20"/>
              </w:rPr>
            </w:pPr>
            <w:r>
              <w:rPr>
                <w:color w:val="000000"/>
                <w:sz w:val="20"/>
                <w:szCs w:val="20"/>
              </w:rPr>
              <w:t>1.105.650.000</w:t>
            </w:r>
          </w:p>
        </w:tc>
      </w:tr>
      <w:tr w14:paraId="34BF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84F17F">
            <w:pPr>
              <w:jc w:val="center"/>
              <w:rPr>
                <w:b/>
                <w:bCs/>
                <w:color w:val="000000"/>
                <w:sz w:val="20"/>
                <w:szCs w:val="20"/>
              </w:rPr>
            </w:pPr>
            <w:r>
              <w:rPr>
                <w:b/>
                <w:bCs/>
                <w:color w:val="000000"/>
                <w:sz w:val="20"/>
                <w:szCs w:val="20"/>
              </w:rPr>
              <w:t>LK01</w:t>
            </w:r>
          </w:p>
        </w:tc>
        <w:tc>
          <w:tcPr>
            <w:tcW w:w="1802" w:type="dxa"/>
            <w:vAlign w:val="center"/>
          </w:tcPr>
          <w:p w14:paraId="77317292">
            <w:pPr>
              <w:jc w:val="center"/>
              <w:rPr>
                <w:color w:val="000000"/>
                <w:sz w:val="20"/>
                <w:szCs w:val="20"/>
              </w:rPr>
            </w:pPr>
            <w:r>
              <w:rPr>
                <w:color w:val="000000"/>
                <w:sz w:val="20"/>
                <w:szCs w:val="20"/>
              </w:rPr>
              <w:t>LK01:09</w:t>
            </w:r>
          </w:p>
        </w:tc>
        <w:tc>
          <w:tcPr>
            <w:tcW w:w="1033" w:type="dxa"/>
            <w:noWrap/>
            <w:vAlign w:val="center"/>
          </w:tcPr>
          <w:p w14:paraId="3F053849">
            <w:pPr>
              <w:jc w:val="center"/>
              <w:rPr>
                <w:color w:val="000000"/>
                <w:sz w:val="20"/>
                <w:szCs w:val="20"/>
              </w:rPr>
            </w:pPr>
            <w:r>
              <w:rPr>
                <w:color w:val="000000"/>
                <w:sz w:val="20"/>
                <w:szCs w:val="20"/>
              </w:rPr>
              <w:t>97,50</w:t>
            </w:r>
          </w:p>
        </w:tc>
        <w:tc>
          <w:tcPr>
            <w:tcW w:w="846" w:type="dxa"/>
            <w:noWrap/>
            <w:vAlign w:val="center"/>
          </w:tcPr>
          <w:p w14:paraId="464D1C11">
            <w:pPr>
              <w:jc w:val="center"/>
              <w:rPr>
                <w:color w:val="000000"/>
                <w:sz w:val="20"/>
                <w:szCs w:val="20"/>
              </w:rPr>
            </w:pPr>
            <w:r>
              <w:rPr>
                <w:color w:val="000000"/>
                <w:sz w:val="20"/>
                <w:szCs w:val="20"/>
              </w:rPr>
              <w:t>1</w:t>
            </w:r>
          </w:p>
        </w:tc>
        <w:tc>
          <w:tcPr>
            <w:tcW w:w="2578" w:type="dxa"/>
            <w:noWrap/>
            <w:vAlign w:val="center"/>
          </w:tcPr>
          <w:p w14:paraId="173A7FF6">
            <w:pPr>
              <w:jc w:val="center"/>
              <w:rPr>
                <w:color w:val="000000"/>
                <w:sz w:val="20"/>
                <w:szCs w:val="20"/>
              </w:rPr>
            </w:pPr>
            <w:r>
              <w:rPr>
                <w:color w:val="000000"/>
                <w:sz w:val="20"/>
                <w:szCs w:val="20"/>
              </w:rPr>
              <w:t>Mặt cắt 3-3</w:t>
            </w:r>
          </w:p>
        </w:tc>
        <w:tc>
          <w:tcPr>
            <w:tcW w:w="2393" w:type="dxa"/>
            <w:noWrap/>
            <w:vAlign w:val="center"/>
          </w:tcPr>
          <w:p w14:paraId="3A4BB44B">
            <w:pPr>
              <w:jc w:val="center"/>
              <w:rPr>
                <w:color w:val="000000"/>
                <w:sz w:val="20"/>
                <w:szCs w:val="20"/>
              </w:rPr>
            </w:pPr>
            <w:r>
              <w:rPr>
                <w:color w:val="000000"/>
                <w:sz w:val="20"/>
                <w:szCs w:val="20"/>
              </w:rPr>
              <w:t>Một mặt tiền, đối diện/tiếp giáp CX-MN</w:t>
            </w:r>
          </w:p>
        </w:tc>
        <w:tc>
          <w:tcPr>
            <w:tcW w:w="1198" w:type="dxa"/>
            <w:noWrap/>
            <w:vAlign w:val="center"/>
          </w:tcPr>
          <w:p w14:paraId="0550765E">
            <w:pPr>
              <w:jc w:val="center"/>
              <w:rPr>
                <w:color w:val="000000"/>
                <w:sz w:val="20"/>
                <w:szCs w:val="20"/>
              </w:rPr>
            </w:pPr>
            <w:r>
              <w:rPr>
                <w:color w:val="000000"/>
                <w:sz w:val="20"/>
                <w:szCs w:val="20"/>
              </w:rPr>
              <w:t>11.340.000</w:t>
            </w:r>
          </w:p>
        </w:tc>
        <w:tc>
          <w:tcPr>
            <w:tcW w:w="1236" w:type="dxa"/>
            <w:noWrap/>
            <w:vAlign w:val="center"/>
          </w:tcPr>
          <w:p w14:paraId="7AD9B4CF">
            <w:pPr>
              <w:jc w:val="center"/>
              <w:rPr>
                <w:color w:val="000000"/>
                <w:sz w:val="20"/>
                <w:szCs w:val="20"/>
              </w:rPr>
            </w:pPr>
          </w:p>
        </w:tc>
        <w:tc>
          <w:tcPr>
            <w:tcW w:w="1252" w:type="dxa"/>
            <w:noWrap/>
            <w:vAlign w:val="center"/>
          </w:tcPr>
          <w:p w14:paraId="0CFA600A">
            <w:pPr>
              <w:jc w:val="center"/>
              <w:rPr>
                <w:color w:val="000000"/>
                <w:sz w:val="20"/>
                <w:szCs w:val="20"/>
              </w:rPr>
            </w:pPr>
            <w:r>
              <w:rPr>
                <w:color w:val="000000"/>
                <w:sz w:val="20"/>
                <w:szCs w:val="20"/>
              </w:rPr>
              <w:t>11.340.000</w:t>
            </w:r>
          </w:p>
        </w:tc>
        <w:tc>
          <w:tcPr>
            <w:tcW w:w="1848" w:type="dxa"/>
            <w:noWrap/>
            <w:vAlign w:val="center"/>
          </w:tcPr>
          <w:p w14:paraId="7C431667">
            <w:pPr>
              <w:jc w:val="center"/>
              <w:rPr>
                <w:color w:val="000000"/>
                <w:sz w:val="20"/>
                <w:szCs w:val="20"/>
              </w:rPr>
            </w:pPr>
            <w:r>
              <w:rPr>
                <w:color w:val="000000"/>
                <w:sz w:val="20"/>
                <w:szCs w:val="20"/>
              </w:rPr>
              <w:t>1.105.650.000</w:t>
            </w:r>
          </w:p>
        </w:tc>
      </w:tr>
      <w:tr w14:paraId="4096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D986D33">
            <w:pPr>
              <w:jc w:val="center"/>
              <w:rPr>
                <w:b/>
                <w:bCs/>
                <w:color w:val="000000"/>
                <w:sz w:val="20"/>
                <w:szCs w:val="20"/>
              </w:rPr>
            </w:pPr>
            <w:r>
              <w:rPr>
                <w:b/>
                <w:bCs/>
                <w:color w:val="000000"/>
                <w:sz w:val="20"/>
                <w:szCs w:val="20"/>
              </w:rPr>
              <w:t>LK01</w:t>
            </w:r>
          </w:p>
        </w:tc>
        <w:tc>
          <w:tcPr>
            <w:tcW w:w="1802" w:type="dxa"/>
            <w:vAlign w:val="center"/>
          </w:tcPr>
          <w:p w14:paraId="4BA203CF">
            <w:pPr>
              <w:jc w:val="center"/>
              <w:rPr>
                <w:color w:val="000000"/>
                <w:sz w:val="20"/>
                <w:szCs w:val="20"/>
              </w:rPr>
            </w:pPr>
            <w:r>
              <w:rPr>
                <w:color w:val="000000"/>
                <w:sz w:val="20"/>
                <w:szCs w:val="20"/>
              </w:rPr>
              <w:t>LK01:10</w:t>
            </w:r>
          </w:p>
        </w:tc>
        <w:tc>
          <w:tcPr>
            <w:tcW w:w="1033" w:type="dxa"/>
            <w:noWrap/>
            <w:vAlign w:val="center"/>
          </w:tcPr>
          <w:p w14:paraId="21790494">
            <w:pPr>
              <w:jc w:val="center"/>
              <w:rPr>
                <w:color w:val="000000"/>
                <w:sz w:val="20"/>
                <w:szCs w:val="20"/>
              </w:rPr>
            </w:pPr>
            <w:r>
              <w:rPr>
                <w:color w:val="000000"/>
                <w:sz w:val="20"/>
                <w:szCs w:val="20"/>
              </w:rPr>
              <w:t>97,50</w:t>
            </w:r>
          </w:p>
        </w:tc>
        <w:tc>
          <w:tcPr>
            <w:tcW w:w="846" w:type="dxa"/>
            <w:noWrap/>
            <w:vAlign w:val="center"/>
          </w:tcPr>
          <w:p w14:paraId="3AB15637">
            <w:pPr>
              <w:jc w:val="center"/>
              <w:rPr>
                <w:color w:val="000000"/>
                <w:sz w:val="20"/>
                <w:szCs w:val="20"/>
              </w:rPr>
            </w:pPr>
            <w:r>
              <w:rPr>
                <w:color w:val="000000"/>
                <w:sz w:val="20"/>
                <w:szCs w:val="20"/>
              </w:rPr>
              <w:t>1</w:t>
            </w:r>
          </w:p>
        </w:tc>
        <w:tc>
          <w:tcPr>
            <w:tcW w:w="2578" w:type="dxa"/>
            <w:noWrap/>
            <w:vAlign w:val="center"/>
          </w:tcPr>
          <w:p w14:paraId="40455B84">
            <w:pPr>
              <w:jc w:val="center"/>
              <w:rPr>
                <w:color w:val="000000"/>
                <w:sz w:val="20"/>
                <w:szCs w:val="20"/>
              </w:rPr>
            </w:pPr>
            <w:r>
              <w:rPr>
                <w:color w:val="000000"/>
                <w:sz w:val="20"/>
                <w:szCs w:val="20"/>
              </w:rPr>
              <w:t>Mặt cắt 3-3</w:t>
            </w:r>
          </w:p>
        </w:tc>
        <w:tc>
          <w:tcPr>
            <w:tcW w:w="2393" w:type="dxa"/>
            <w:noWrap/>
            <w:vAlign w:val="center"/>
          </w:tcPr>
          <w:p w14:paraId="3FD4A122">
            <w:pPr>
              <w:jc w:val="center"/>
              <w:rPr>
                <w:color w:val="000000"/>
                <w:sz w:val="20"/>
                <w:szCs w:val="20"/>
              </w:rPr>
            </w:pPr>
            <w:r>
              <w:rPr>
                <w:color w:val="000000"/>
                <w:sz w:val="20"/>
                <w:szCs w:val="20"/>
              </w:rPr>
              <w:t>Một mặt tiền, đối diện/tiếp giáp CX-MN</w:t>
            </w:r>
          </w:p>
        </w:tc>
        <w:tc>
          <w:tcPr>
            <w:tcW w:w="1198" w:type="dxa"/>
            <w:noWrap/>
            <w:vAlign w:val="center"/>
          </w:tcPr>
          <w:p w14:paraId="5B366872">
            <w:pPr>
              <w:jc w:val="center"/>
              <w:rPr>
                <w:color w:val="000000"/>
                <w:sz w:val="20"/>
                <w:szCs w:val="20"/>
              </w:rPr>
            </w:pPr>
            <w:r>
              <w:rPr>
                <w:color w:val="000000"/>
                <w:sz w:val="20"/>
                <w:szCs w:val="20"/>
              </w:rPr>
              <w:t>11.340.000</w:t>
            </w:r>
          </w:p>
        </w:tc>
        <w:tc>
          <w:tcPr>
            <w:tcW w:w="1236" w:type="dxa"/>
            <w:noWrap/>
            <w:vAlign w:val="center"/>
          </w:tcPr>
          <w:p w14:paraId="5151C81C">
            <w:pPr>
              <w:jc w:val="center"/>
              <w:rPr>
                <w:color w:val="000000"/>
                <w:sz w:val="20"/>
                <w:szCs w:val="20"/>
              </w:rPr>
            </w:pPr>
          </w:p>
        </w:tc>
        <w:tc>
          <w:tcPr>
            <w:tcW w:w="1252" w:type="dxa"/>
            <w:noWrap/>
            <w:vAlign w:val="center"/>
          </w:tcPr>
          <w:p w14:paraId="4976CD30">
            <w:pPr>
              <w:jc w:val="center"/>
              <w:rPr>
                <w:color w:val="000000"/>
                <w:sz w:val="20"/>
                <w:szCs w:val="20"/>
              </w:rPr>
            </w:pPr>
            <w:r>
              <w:rPr>
                <w:color w:val="000000"/>
                <w:sz w:val="20"/>
                <w:szCs w:val="20"/>
              </w:rPr>
              <w:t>11.340.000</w:t>
            </w:r>
          </w:p>
        </w:tc>
        <w:tc>
          <w:tcPr>
            <w:tcW w:w="1848" w:type="dxa"/>
            <w:noWrap/>
            <w:vAlign w:val="center"/>
          </w:tcPr>
          <w:p w14:paraId="6DAA7D4E">
            <w:pPr>
              <w:jc w:val="center"/>
              <w:rPr>
                <w:color w:val="000000"/>
                <w:sz w:val="20"/>
                <w:szCs w:val="20"/>
              </w:rPr>
            </w:pPr>
            <w:r>
              <w:rPr>
                <w:color w:val="000000"/>
                <w:sz w:val="20"/>
                <w:szCs w:val="20"/>
              </w:rPr>
              <w:t>1.105.650.000</w:t>
            </w:r>
          </w:p>
        </w:tc>
      </w:tr>
      <w:tr w14:paraId="5779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8C35BDD">
            <w:pPr>
              <w:jc w:val="center"/>
              <w:rPr>
                <w:b/>
                <w:bCs/>
                <w:color w:val="000000"/>
                <w:sz w:val="20"/>
                <w:szCs w:val="20"/>
              </w:rPr>
            </w:pPr>
            <w:r>
              <w:rPr>
                <w:b/>
                <w:bCs/>
                <w:color w:val="000000"/>
                <w:sz w:val="20"/>
                <w:szCs w:val="20"/>
              </w:rPr>
              <w:t>LK01</w:t>
            </w:r>
          </w:p>
        </w:tc>
        <w:tc>
          <w:tcPr>
            <w:tcW w:w="1802" w:type="dxa"/>
            <w:vAlign w:val="center"/>
          </w:tcPr>
          <w:p w14:paraId="59A80600">
            <w:pPr>
              <w:jc w:val="center"/>
              <w:rPr>
                <w:color w:val="000000"/>
                <w:sz w:val="20"/>
                <w:szCs w:val="20"/>
              </w:rPr>
            </w:pPr>
            <w:r>
              <w:rPr>
                <w:color w:val="000000"/>
                <w:sz w:val="20"/>
                <w:szCs w:val="20"/>
              </w:rPr>
              <w:t>LK01:11</w:t>
            </w:r>
          </w:p>
        </w:tc>
        <w:tc>
          <w:tcPr>
            <w:tcW w:w="1033" w:type="dxa"/>
            <w:noWrap/>
            <w:vAlign w:val="center"/>
          </w:tcPr>
          <w:p w14:paraId="1DFB0A3D">
            <w:pPr>
              <w:jc w:val="center"/>
              <w:rPr>
                <w:color w:val="000000"/>
                <w:sz w:val="20"/>
                <w:szCs w:val="20"/>
              </w:rPr>
            </w:pPr>
            <w:r>
              <w:rPr>
                <w:color w:val="000000"/>
                <w:sz w:val="20"/>
                <w:szCs w:val="20"/>
              </w:rPr>
              <w:t>97,50</w:t>
            </w:r>
          </w:p>
        </w:tc>
        <w:tc>
          <w:tcPr>
            <w:tcW w:w="846" w:type="dxa"/>
            <w:noWrap/>
            <w:vAlign w:val="center"/>
          </w:tcPr>
          <w:p w14:paraId="42C490A4">
            <w:pPr>
              <w:jc w:val="center"/>
              <w:rPr>
                <w:color w:val="000000"/>
                <w:sz w:val="20"/>
                <w:szCs w:val="20"/>
              </w:rPr>
            </w:pPr>
            <w:r>
              <w:rPr>
                <w:color w:val="000000"/>
                <w:sz w:val="20"/>
                <w:szCs w:val="20"/>
              </w:rPr>
              <w:t>1</w:t>
            </w:r>
          </w:p>
        </w:tc>
        <w:tc>
          <w:tcPr>
            <w:tcW w:w="2578" w:type="dxa"/>
            <w:noWrap/>
            <w:vAlign w:val="center"/>
          </w:tcPr>
          <w:p w14:paraId="09EDAC30">
            <w:pPr>
              <w:jc w:val="center"/>
              <w:rPr>
                <w:color w:val="000000"/>
                <w:sz w:val="20"/>
                <w:szCs w:val="20"/>
              </w:rPr>
            </w:pPr>
            <w:r>
              <w:rPr>
                <w:color w:val="000000"/>
                <w:sz w:val="20"/>
                <w:szCs w:val="20"/>
              </w:rPr>
              <w:t>Mặt cắt 3-3</w:t>
            </w:r>
          </w:p>
        </w:tc>
        <w:tc>
          <w:tcPr>
            <w:tcW w:w="2393" w:type="dxa"/>
            <w:noWrap/>
            <w:vAlign w:val="center"/>
          </w:tcPr>
          <w:p w14:paraId="7DF36149">
            <w:pPr>
              <w:jc w:val="center"/>
              <w:rPr>
                <w:color w:val="000000"/>
                <w:sz w:val="20"/>
                <w:szCs w:val="20"/>
              </w:rPr>
            </w:pPr>
            <w:r>
              <w:rPr>
                <w:color w:val="000000"/>
                <w:sz w:val="20"/>
                <w:szCs w:val="20"/>
              </w:rPr>
              <w:t>Một mặt tiền, đối diện/tiếp giáp CX-MN</w:t>
            </w:r>
          </w:p>
        </w:tc>
        <w:tc>
          <w:tcPr>
            <w:tcW w:w="1198" w:type="dxa"/>
            <w:noWrap/>
            <w:vAlign w:val="center"/>
          </w:tcPr>
          <w:p w14:paraId="7CE82208">
            <w:pPr>
              <w:jc w:val="center"/>
              <w:rPr>
                <w:color w:val="000000"/>
                <w:sz w:val="20"/>
                <w:szCs w:val="20"/>
              </w:rPr>
            </w:pPr>
            <w:r>
              <w:rPr>
                <w:color w:val="000000"/>
                <w:sz w:val="20"/>
                <w:szCs w:val="20"/>
              </w:rPr>
              <w:t>11.340.000</w:t>
            </w:r>
          </w:p>
        </w:tc>
        <w:tc>
          <w:tcPr>
            <w:tcW w:w="1236" w:type="dxa"/>
            <w:noWrap/>
            <w:vAlign w:val="center"/>
          </w:tcPr>
          <w:p w14:paraId="706E7820">
            <w:pPr>
              <w:jc w:val="center"/>
              <w:rPr>
                <w:color w:val="000000"/>
                <w:sz w:val="20"/>
                <w:szCs w:val="20"/>
              </w:rPr>
            </w:pPr>
          </w:p>
        </w:tc>
        <w:tc>
          <w:tcPr>
            <w:tcW w:w="1252" w:type="dxa"/>
            <w:noWrap/>
            <w:vAlign w:val="center"/>
          </w:tcPr>
          <w:p w14:paraId="59036121">
            <w:pPr>
              <w:jc w:val="center"/>
              <w:rPr>
                <w:color w:val="000000"/>
                <w:sz w:val="20"/>
                <w:szCs w:val="20"/>
              </w:rPr>
            </w:pPr>
            <w:r>
              <w:rPr>
                <w:color w:val="000000"/>
                <w:sz w:val="20"/>
                <w:szCs w:val="20"/>
              </w:rPr>
              <w:t>11.340.000</w:t>
            </w:r>
          </w:p>
        </w:tc>
        <w:tc>
          <w:tcPr>
            <w:tcW w:w="1848" w:type="dxa"/>
            <w:noWrap/>
            <w:vAlign w:val="center"/>
          </w:tcPr>
          <w:p w14:paraId="71B2126A">
            <w:pPr>
              <w:jc w:val="center"/>
              <w:rPr>
                <w:color w:val="000000"/>
                <w:sz w:val="20"/>
                <w:szCs w:val="20"/>
              </w:rPr>
            </w:pPr>
            <w:r>
              <w:rPr>
                <w:color w:val="000000"/>
                <w:sz w:val="20"/>
                <w:szCs w:val="20"/>
              </w:rPr>
              <w:t>1.105.650.000</w:t>
            </w:r>
          </w:p>
        </w:tc>
      </w:tr>
      <w:tr w14:paraId="0861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82F17B">
            <w:pPr>
              <w:jc w:val="center"/>
              <w:rPr>
                <w:b/>
                <w:bCs/>
                <w:color w:val="000000"/>
                <w:sz w:val="20"/>
                <w:szCs w:val="20"/>
              </w:rPr>
            </w:pPr>
            <w:r>
              <w:rPr>
                <w:b/>
                <w:bCs/>
                <w:color w:val="000000"/>
                <w:sz w:val="20"/>
                <w:szCs w:val="20"/>
              </w:rPr>
              <w:t>LK02</w:t>
            </w:r>
          </w:p>
        </w:tc>
        <w:tc>
          <w:tcPr>
            <w:tcW w:w="1802" w:type="dxa"/>
            <w:vAlign w:val="center"/>
          </w:tcPr>
          <w:p w14:paraId="0276E171">
            <w:pPr>
              <w:jc w:val="center"/>
              <w:rPr>
                <w:color w:val="000000"/>
                <w:sz w:val="20"/>
                <w:szCs w:val="20"/>
              </w:rPr>
            </w:pPr>
            <w:r>
              <w:rPr>
                <w:color w:val="000000"/>
                <w:sz w:val="20"/>
                <w:szCs w:val="20"/>
              </w:rPr>
              <w:t>LK02:01</w:t>
            </w:r>
          </w:p>
        </w:tc>
        <w:tc>
          <w:tcPr>
            <w:tcW w:w="1033" w:type="dxa"/>
            <w:noWrap/>
            <w:vAlign w:val="center"/>
          </w:tcPr>
          <w:p w14:paraId="25B352CA">
            <w:pPr>
              <w:jc w:val="center"/>
              <w:rPr>
                <w:color w:val="000000"/>
                <w:sz w:val="20"/>
                <w:szCs w:val="20"/>
              </w:rPr>
            </w:pPr>
            <w:r>
              <w:rPr>
                <w:color w:val="000000"/>
                <w:sz w:val="20"/>
                <w:szCs w:val="20"/>
              </w:rPr>
              <w:t>97,50</w:t>
            </w:r>
          </w:p>
        </w:tc>
        <w:tc>
          <w:tcPr>
            <w:tcW w:w="846" w:type="dxa"/>
            <w:noWrap/>
            <w:vAlign w:val="center"/>
          </w:tcPr>
          <w:p w14:paraId="6B7BE5B3">
            <w:pPr>
              <w:jc w:val="center"/>
              <w:rPr>
                <w:color w:val="000000"/>
                <w:sz w:val="20"/>
                <w:szCs w:val="20"/>
              </w:rPr>
            </w:pPr>
            <w:r>
              <w:rPr>
                <w:color w:val="000000"/>
                <w:sz w:val="20"/>
                <w:szCs w:val="20"/>
              </w:rPr>
              <w:t>1</w:t>
            </w:r>
          </w:p>
        </w:tc>
        <w:tc>
          <w:tcPr>
            <w:tcW w:w="2578" w:type="dxa"/>
            <w:noWrap/>
            <w:vAlign w:val="center"/>
          </w:tcPr>
          <w:p w14:paraId="0B27FE77">
            <w:pPr>
              <w:jc w:val="center"/>
              <w:rPr>
                <w:color w:val="000000"/>
                <w:sz w:val="20"/>
                <w:szCs w:val="20"/>
              </w:rPr>
            </w:pPr>
            <w:r>
              <w:rPr>
                <w:color w:val="000000"/>
                <w:sz w:val="20"/>
                <w:szCs w:val="20"/>
              </w:rPr>
              <w:t>Mặt cắt 3-3</w:t>
            </w:r>
          </w:p>
        </w:tc>
        <w:tc>
          <w:tcPr>
            <w:tcW w:w="2393" w:type="dxa"/>
            <w:noWrap/>
            <w:vAlign w:val="center"/>
          </w:tcPr>
          <w:p w14:paraId="1859C737">
            <w:pPr>
              <w:jc w:val="center"/>
              <w:rPr>
                <w:color w:val="000000"/>
                <w:sz w:val="20"/>
                <w:szCs w:val="20"/>
              </w:rPr>
            </w:pPr>
            <w:r>
              <w:rPr>
                <w:color w:val="000000"/>
                <w:sz w:val="20"/>
                <w:szCs w:val="20"/>
              </w:rPr>
              <w:t>Một mặt tiền, đối diện/tiếp giáp CX-MN</w:t>
            </w:r>
          </w:p>
        </w:tc>
        <w:tc>
          <w:tcPr>
            <w:tcW w:w="1198" w:type="dxa"/>
            <w:noWrap/>
            <w:vAlign w:val="center"/>
          </w:tcPr>
          <w:p w14:paraId="473C545C">
            <w:pPr>
              <w:jc w:val="center"/>
              <w:rPr>
                <w:color w:val="000000"/>
                <w:sz w:val="20"/>
                <w:szCs w:val="20"/>
              </w:rPr>
            </w:pPr>
            <w:r>
              <w:rPr>
                <w:color w:val="000000"/>
                <w:sz w:val="20"/>
                <w:szCs w:val="20"/>
              </w:rPr>
              <w:t>11.340.000</w:t>
            </w:r>
          </w:p>
        </w:tc>
        <w:tc>
          <w:tcPr>
            <w:tcW w:w="1236" w:type="dxa"/>
            <w:noWrap/>
            <w:vAlign w:val="center"/>
          </w:tcPr>
          <w:p w14:paraId="707D1CEB">
            <w:pPr>
              <w:jc w:val="center"/>
              <w:rPr>
                <w:color w:val="000000"/>
                <w:sz w:val="20"/>
                <w:szCs w:val="20"/>
              </w:rPr>
            </w:pPr>
          </w:p>
        </w:tc>
        <w:tc>
          <w:tcPr>
            <w:tcW w:w="1252" w:type="dxa"/>
            <w:noWrap/>
            <w:vAlign w:val="center"/>
          </w:tcPr>
          <w:p w14:paraId="0ACB58DD">
            <w:pPr>
              <w:jc w:val="center"/>
              <w:rPr>
                <w:color w:val="000000"/>
                <w:sz w:val="20"/>
                <w:szCs w:val="20"/>
              </w:rPr>
            </w:pPr>
            <w:r>
              <w:rPr>
                <w:color w:val="000000"/>
                <w:sz w:val="20"/>
                <w:szCs w:val="20"/>
              </w:rPr>
              <w:t>11.340.000</w:t>
            </w:r>
          </w:p>
        </w:tc>
        <w:tc>
          <w:tcPr>
            <w:tcW w:w="1848" w:type="dxa"/>
            <w:noWrap/>
            <w:vAlign w:val="center"/>
          </w:tcPr>
          <w:p w14:paraId="361CC292">
            <w:pPr>
              <w:jc w:val="center"/>
              <w:rPr>
                <w:color w:val="000000"/>
                <w:sz w:val="20"/>
                <w:szCs w:val="20"/>
              </w:rPr>
            </w:pPr>
            <w:r>
              <w:rPr>
                <w:color w:val="000000"/>
                <w:sz w:val="20"/>
                <w:szCs w:val="20"/>
              </w:rPr>
              <w:t>1.105.650.000</w:t>
            </w:r>
          </w:p>
        </w:tc>
      </w:tr>
      <w:tr w14:paraId="776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079387B">
            <w:pPr>
              <w:jc w:val="center"/>
              <w:rPr>
                <w:b/>
                <w:bCs/>
                <w:color w:val="000000"/>
                <w:sz w:val="20"/>
                <w:szCs w:val="20"/>
              </w:rPr>
            </w:pPr>
            <w:r>
              <w:rPr>
                <w:b/>
                <w:bCs/>
                <w:color w:val="000000"/>
                <w:sz w:val="20"/>
                <w:szCs w:val="20"/>
              </w:rPr>
              <w:t>LK02</w:t>
            </w:r>
          </w:p>
        </w:tc>
        <w:tc>
          <w:tcPr>
            <w:tcW w:w="1802" w:type="dxa"/>
            <w:vAlign w:val="center"/>
          </w:tcPr>
          <w:p w14:paraId="157870F2">
            <w:pPr>
              <w:jc w:val="center"/>
              <w:rPr>
                <w:color w:val="000000"/>
                <w:sz w:val="20"/>
                <w:szCs w:val="20"/>
              </w:rPr>
            </w:pPr>
            <w:r>
              <w:rPr>
                <w:color w:val="000000"/>
                <w:sz w:val="20"/>
                <w:szCs w:val="20"/>
              </w:rPr>
              <w:t>LK02:02</w:t>
            </w:r>
          </w:p>
        </w:tc>
        <w:tc>
          <w:tcPr>
            <w:tcW w:w="1033" w:type="dxa"/>
            <w:noWrap/>
            <w:vAlign w:val="center"/>
          </w:tcPr>
          <w:p w14:paraId="4891B879">
            <w:pPr>
              <w:jc w:val="center"/>
              <w:rPr>
                <w:color w:val="000000"/>
                <w:sz w:val="20"/>
                <w:szCs w:val="20"/>
              </w:rPr>
            </w:pPr>
            <w:r>
              <w:rPr>
                <w:color w:val="000000"/>
                <w:sz w:val="20"/>
                <w:szCs w:val="20"/>
              </w:rPr>
              <w:t>97,50</w:t>
            </w:r>
          </w:p>
        </w:tc>
        <w:tc>
          <w:tcPr>
            <w:tcW w:w="846" w:type="dxa"/>
            <w:noWrap/>
            <w:vAlign w:val="center"/>
          </w:tcPr>
          <w:p w14:paraId="195EDB84">
            <w:pPr>
              <w:jc w:val="center"/>
              <w:rPr>
                <w:color w:val="000000"/>
                <w:sz w:val="20"/>
                <w:szCs w:val="20"/>
              </w:rPr>
            </w:pPr>
            <w:r>
              <w:rPr>
                <w:color w:val="000000"/>
                <w:sz w:val="20"/>
                <w:szCs w:val="20"/>
              </w:rPr>
              <w:t>1</w:t>
            </w:r>
          </w:p>
        </w:tc>
        <w:tc>
          <w:tcPr>
            <w:tcW w:w="2578" w:type="dxa"/>
            <w:noWrap/>
            <w:vAlign w:val="center"/>
          </w:tcPr>
          <w:p w14:paraId="67181D75">
            <w:pPr>
              <w:jc w:val="center"/>
              <w:rPr>
                <w:color w:val="000000"/>
                <w:sz w:val="20"/>
                <w:szCs w:val="20"/>
              </w:rPr>
            </w:pPr>
            <w:r>
              <w:rPr>
                <w:color w:val="000000"/>
                <w:sz w:val="20"/>
                <w:szCs w:val="20"/>
              </w:rPr>
              <w:t>Mặt cắt 3-3</w:t>
            </w:r>
          </w:p>
        </w:tc>
        <w:tc>
          <w:tcPr>
            <w:tcW w:w="2393" w:type="dxa"/>
            <w:noWrap/>
            <w:vAlign w:val="center"/>
          </w:tcPr>
          <w:p w14:paraId="232F0EC9">
            <w:pPr>
              <w:jc w:val="center"/>
              <w:rPr>
                <w:color w:val="000000"/>
                <w:sz w:val="20"/>
                <w:szCs w:val="20"/>
              </w:rPr>
            </w:pPr>
            <w:r>
              <w:rPr>
                <w:color w:val="000000"/>
                <w:sz w:val="20"/>
                <w:szCs w:val="20"/>
              </w:rPr>
              <w:t>Một mặt tiền, đối diện/tiếp giáp CX-MN</w:t>
            </w:r>
          </w:p>
        </w:tc>
        <w:tc>
          <w:tcPr>
            <w:tcW w:w="1198" w:type="dxa"/>
            <w:noWrap/>
            <w:vAlign w:val="center"/>
          </w:tcPr>
          <w:p w14:paraId="5F570378">
            <w:pPr>
              <w:jc w:val="center"/>
              <w:rPr>
                <w:color w:val="000000"/>
                <w:sz w:val="20"/>
                <w:szCs w:val="20"/>
              </w:rPr>
            </w:pPr>
            <w:r>
              <w:rPr>
                <w:color w:val="000000"/>
                <w:sz w:val="20"/>
                <w:szCs w:val="20"/>
              </w:rPr>
              <w:t>11.340.000</w:t>
            </w:r>
          </w:p>
        </w:tc>
        <w:tc>
          <w:tcPr>
            <w:tcW w:w="1236" w:type="dxa"/>
            <w:noWrap/>
            <w:vAlign w:val="center"/>
          </w:tcPr>
          <w:p w14:paraId="282CF341">
            <w:pPr>
              <w:jc w:val="center"/>
              <w:rPr>
                <w:color w:val="000000"/>
                <w:sz w:val="20"/>
                <w:szCs w:val="20"/>
              </w:rPr>
            </w:pPr>
          </w:p>
        </w:tc>
        <w:tc>
          <w:tcPr>
            <w:tcW w:w="1252" w:type="dxa"/>
            <w:noWrap/>
            <w:vAlign w:val="center"/>
          </w:tcPr>
          <w:p w14:paraId="5F7CC43A">
            <w:pPr>
              <w:jc w:val="center"/>
              <w:rPr>
                <w:color w:val="000000"/>
                <w:sz w:val="20"/>
                <w:szCs w:val="20"/>
              </w:rPr>
            </w:pPr>
            <w:r>
              <w:rPr>
                <w:color w:val="000000"/>
                <w:sz w:val="20"/>
                <w:szCs w:val="20"/>
              </w:rPr>
              <w:t>11.340.000</w:t>
            </w:r>
          </w:p>
        </w:tc>
        <w:tc>
          <w:tcPr>
            <w:tcW w:w="1848" w:type="dxa"/>
            <w:noWrap/>
            <w:vAlign w:val="center"/>
          </w:tcPr>
          <w:p w14:paraId="5080C713">
            <w:pPr>
              <w:jc w:val="center"/>
              <w:rPr>
                <w:color w:val="000000"/>
                <w:sz w:val="20"/>
                <w:szCs w:val="20"/>
              </w:rPr>
            </w:pPr>
            <w:r>
              <w:rPr>
                <w:color w:val="000000"/>
                <w:sz w:val="20"/>
                <w:szCs w:val="20"/>
              </w:rPr>
              <w:t>1.105.650.000</w:t>
            </w:r>
          </w:p>
        </w:tc>
      </w:tr>
      <w:tr w14:paraId="2E0A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8AE8CE7">
            <w:pPr>
              <w:jc w:val="center"/>
              <w:rPr>
                <w:b/>
                <w:bCs/>
                <w:color w:val="000000"/>
                <w:sz w:val="20"/>
                <w:szCs w:val="20"/>
              </w:rPr>
            </w:pPr>
            <w:r>
              <w:rPr>
                <w:b/>
                <w:bCs/>
                <w:color w:val="000000"/>
                <w:sz w:val="20"/>
                <w:szCs w:val="20"/>
              </w:rPr>
              <w:t>LK02</w:t>
            </w:r>
          </w:p>
        </w:tc>
        <w:tc>
          <w:tcPr>
            <w:tcW w:w="1802" w:type="dxa"/>
            <w:vAlign w:val="center"/>
          </w:tcPr>
          <w:p w14:paraId="2B602467">
            <w:pPr>
              <w:jc w:val="center"/>
              <w:rPr>
                <w:color w:val="000000"/>
                <w:sz w:val="20"/>
                <w:szCs w:val="20"/>
              </w:rPr>
            </w:pPr>
            <w:r>
              <w:rPr>
                <w:color w:val="000000"/>
                <w:sz w:val="20"/>
                <w:szCs w:val="20"/>
              </w:rPr>
              <w:t>LK02:03</w:t>
            </w:r>
          </w:p>
        </w:tc>
        <w:tc>
          <w:tcPr>
            <w:tcW w:w="1033" w:type="dxa"/>
            <w:noWrap/>
            <w:vAlign w:val="center"/>
          </w:tcPr>
          <w:p w14:paraId="22615CE2">
            <w:pPr>
              <w:jc w:val="center"/>
              <w:rPr>
                <w:color w:val="000000"/>
                <w:sz w:val="20"/>
                <w:szCs w:val="20"/>
              </w:rPr>
            </w:pPr>
            <w:r>
              <w:rPr>
                <w:color w:val="000000"/>
                <w:sz w:val="20"/>
                <w:szCs w:val="20"/>
              </w:rPr>
              <w:t>97,50</w:t>
            </w:r>
          </w:p>
        </w:tc>
        <w:tc>
          <w:tcPr>
            <w:tcW w:w="846" w:type="dxa"/>
            <w:noWrap/>
            <w:vAlign w:val="center"/>
          </w:tcPr>
          <w:p w14:paraId="0C351F4C">
            <w:pPr>
              <w:jc w:val="center"/>
              <w:rPr>
                <w:color w:val="000000"/>
                <w:sz w:val="20"/>
                <w:szCs w:val="20"/>
              </w:rPr>
            </w:pPr>
            <w:r>
              <w:rPr>
                <w:color w:val="000000"/>
                <w:sz w:val="20"/>
                <w:szCs w:val="20"/>
              </w:rPr>
              <w:t>1</w:t>
            </w:r>
          </w:p>
        </w:tc>
        <w:tc>
          <w:tcPr>
            <w:tcW w:w="2578" w:type="dxa"/>
            <w:noWrap/>
            <w:vAlign w:val="center"/>
          </w:tcPr>
          <w:p w14:paraId="6CFE6E3D">
            <w:pPr>
              <w:jc w:val="center"/>
              <w:rPr>
                <w:color w:val="000000"/>
                <w:sz w:val="20"/>
                <w:szCs w:val="20"/>
              </w:rPr>
            </w:pPr>
            <w:r>
              <w:rPr>
                <w:color w:val="000000"/>
                <w:sz w:val="20"/>
                <w:szCs w:val="20"/>
              </w:rPr>
              <w:t>Mặt cắt 3-3</w:t>
            </w:r>
          </w:p>
        </w:tc>
        <w:tc>
          <w:tcPr>
            <w:tcW w:w="2393" w:type="dxa"/>
            <w:noWrap/>
            <w:vAlign w:val="center"/>
          </w:tcPr>
          <w:p w14:paraId="77D80CDF">
            <w:pPr>
              <w:jc w:val="center"/>
              <w:rPr>
                <w:color w:val="000000"/>
                <w:sz w:val="20"/>
                <w:szCs w:val="20"/>
              </w:rPr>
            </w:pPr>
            <w:r>
              <w:rPr>
                <w:color w:val="000000"/>
                <w:sz w:val="20"/>
                <w:szCs w:val="20"/>
              </w:rPr>
              <w:t>Một mặt tiền, đối diện/tiếp giáp CX-MN</w:t>
            </w:r>
          </w:p>
        </w:tc>
        <w:tc>
          <w:tcPr>
            <w:tcW w:w="1198" w:type="dxa"/>
            <w:noWrap/>
            <w:vAlign w:val="center"/>
          </w:tcPr>
          <w:p w14:paraId="3672CAD0">
            <w:pPr>
              <w:jc w:val="center"/>
              <w:rPr>
                <w:color w:val="000000"/>
                <w:sz w:val="20"/>
                <w:szCs w:val="20"/>
              </w:rPr>
            </w:pPr>
            <w:r>
              <w:rPr>
                <w:color w:val="000000"/>
                <w:sz w:val="20"/>
                <w:szCs w:val="20"/>
              </w:rPr>
              <w:t>11.340.000</w:t>
            </w:r>
          </w:p>
        </w:tc>
        <w:tc>
          <w:tcPr>
            <w:tcW w:w="1236" w:type="dxa"/>
            <w:noWrap/>
            <w:vAlign w:val="center"/>
          </w:tcPr>
          <w:p w14:paraId="6CDB5484">
            <w:pPr>
              <w:jc w:val="center"/>
              <w:rPr>
                <w:color w:val="000000"/>
                <w:sz w:val="20"/>
                <w:szCs w:val="20"/>
              </w:rPr>
            </w:pPr>
          </w:p>
        </w:tc>
        <w:tc>
          <w:tcPr>
            <w:tcW w:w="1252" w:type="dxa"/>
            <w:noWrap/>
            <w:vAlign w:val="center"/>
          </w:tcPr>
          <w:p w14:paraId="35464CAE">
            <w:pPr>
              <w:jc w:val="center"/>
              <w:rPr>
                <w:color w:val="000000"/>
                <w:sz w:val="20"/>
                <w:szCs w:val="20"/>
              </w:rPr>
            </w:pPr>
            <w:r>
              <w:rPr>
                <w:color w:val="000000"/>
                <w:sz w:val="20"/>
                <w:szCs w:val="20"/>
              </w:rPr>
              <w:t>11.340.000</w:t>
            </w:r>
          </w:p>
        </w:tc>
        <w:tc>
          <w:tcPr>
            <w:tcW w:w="1848" w:type="dxa"/>
            <w:noWrap/>
            <w:vAlign w:val="center"/>
          </w:tcPr>
          <w:p w14:paraId="64F88B72">
            <w:pPr>
              <w:jc w:val="center"/>
              <w:rPr>
                <w:color w:val="000000"/>
                <w:sz w:val="20"/>
                <w:szCs w:val="20"/>
              </w:rPr>
            </w:pPr>
            <w:r>
              <w:rPr>
                <w:color w:val="000000"/>
                <w:sz w:val="20"/>
                <w:szCs w:val="20"/>
              </w:rPr>
              <w:t>1.105.650.000</w:t>
            </w:r>
          </w:p>
        </w:tc>
      </w:tr>
      <w:tr w14:paraId="7E3E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4A6FD95">
            <w:pPr>
              <w:jc w:val="center"/>
              <w:rPr>
                <w:b/>
                <w:bCs/>
                <w:color w:val="000000"/>
                <w:sz w:val="20"/>
                <w:szCs w:val="20"/>
              </w:rPr>
            </w:pPr>
            <w:r>
              <w:rPr>
                <w:b/>
                <w:bCs/>
                <w:color w:val="000000"/>
                <w:sz w:val="20"/>
                <w:szCs w:val="20"/>
              </w:rPr>
              <w:t>LK02</w:t>
            </w:r>
          </w:p>
        </w:tc>
        <w:tc>
          <w:tcPr>
            <w:tcW w:w="1802" w:type="dxa"/>
            <w:vAlign w:val="center"/>
          </w:tcPr>
          <w:p w14:paraId="755B1757">
            <w:pPr>
              <w:jc w:val="center"/>
              <w:rPr>
                <w:color w:val="000000"/>
                <w:sz w:val="20"/>
                <w:szCs w:val="20"/>
              </w:rPr>
            </w:pPr>
            <w:r>
              <w:rPr>
                <w:color w:val="000000"/>
                <w:sz w:val="20"/>
                <w:szCs w:val="20"/>
              </w:rPr>
              <w:t>LK02:04</w:t>
            </w:r>
          </w:p>
        </w:tc>
        <w:tc>
          <w:tcPr>
            <w:tcW w:w="1033" w:type="dxa"/>
            <w:noWrap/>
            <w:vAlign w:val="center"/>
          </w:tcPr>
          <w:p w14:paraId="429B591E">
            <w:pPr>
              <w:jc w:val="center"/>
              <w:rPr>
                <w:color w:val="000000"/>
                <w:sz w:val="20"/>
                <w:szCs w:val="20"/>
              </w:rPr>
            </w:pPr>
            <w:r>
              <w:rPr>
                <w:color w:val="000000"/>
                <w:sz w:val="20"/>
                <w:szCs w:val="20"/>
              </w:rPr>
              <w:t>97,50</w:t>
            </w:r>
          </w:p>
        </w:tc>
        <w:tc>
          <w:tcPr>
            <w:tcW w:w="846" w:type="dxa"/>
            <w:noWrap/>
            <w:vAlign w:val="center"/>
          </w:tcPr>
          <w:p w14:paraId="5CB6BF1F">
            <w:pPr>
              <w:jc w:val="center"/>
              <w:rPr>
                <w:color w:val="000000"/>
                <w:sz w:val="20"/>
                <w:szCs w:val="20"/>
              </w:rPr>
            </w:pPr>
            <w:r>
              <w:rPr>
                <w:color w:val="000000"/>
                <w:sz w:val="20"/>
                <w:szCs w:val="20"/>
              </w:rPr>
              <w:t>1</w:t>
            </w:r>
          </w:p>
        </w:tc>
        <w:tc>
          <w:tcPr>
            <w:tcW w:w="2578" w:type="dxa"/>
            <w:noWrap/>
            <w:vAlign w:val="center"/>
          </w:tcPr>
          <w:p w14:paraId="69CEDF53">
            <w:pPr>
              <w:jc w:val="center"/>
              <w:rPr>
                <w:color w:val="000000"/>
                <w:sz w:val="20"/>
                <w:szCs w:val="20"/>
              </w:rPr>
            </w:pPr>
            <w:r>
              <w:rPr>
                <w:color w:val="000000"/>
                <w:sz w:val="20"/>
                <w:szCs w:val="20"/>
              </w:rPr>
              <w:t>Mặt cắt 3-3</w:t>
            </w:r>
          </w:p>
        </w:tc>
        <w:tc>
          <w:tcPr>
            <w:tcW w:w="2393" w:type="dxa"/>
            <w:noWrap/>
            <w:vAlign w:val="center"/>
          </w:tcPr>
          <w:p w14:paraId="405A75E7">
            <w:pPr>
              <w:jc w:val="center"/>
              <w:rPr>
                <w:color w:val="000000"/>
                <w:sz w:val="20"/>
                <w:szCs w:val="20"/>
              </w:rPr>
            </w:pPr>
            <w:r>
              <w:rPr>
                <w:color w:val="000000"/>
                <w:sz w:val="20"/>
                <w:szCs w:val="20"/>
              </w:rPr>
              <w:t>Một mặt tiền, đối diện/tiếp giáp CX-MN</w:t>
            </w:r>
          </w:p>
        </w:tc>
        <w:tc>
          <w:tcPr>
            <w:tcW w:w="1198" w:type="dxa"/>
            <w:noWrap/>
            <w:vAlign w:val="center"/>
          </w:tcPr>
          <w:p w14:paraId="6969F755">
            <w:pPr>
              <w:jc w:val="center"/>
              <w:rPr>
                <w:color w:val="000000"/>
                <w:sz w:val="20"/>
                <w:szCs w:val="20"/>
              </w:rPr>
            </w:pPr>
            <w:r>
              <w:rPr>
                <w:color w:val="000000"/>
                <w:sz w:val="20"/>
                <w:szCs w:val="20"/>
              </w:rPr>
              <w:t>11.340.000</w:t>
            </w:r>
          </w:p>
        </w:tc>
        <w:tc>
          <w:tcPr>
            <w:tcW w:w="1236" w:type="dxa"/>
            <w:noWrap/>
            <w:vAlign w:val="center"/>
          </w:tcPr>
          <w:p w14:paraId="21425E9C">
            <w:pPr>
              <w:jc w:val="center"/>
              <w:rPr>
                <w:color w:val="000000"/>
                <w:sz w:val="20"/>
                <w:szCs w:val="20"/>
              </w:rPr>
            </w:pPr>
          </w:p>
        </w:tc>
        <w:tc>
          <w:tcPr>
            <w:tcW w:w="1252" w:type="dxa"/>
            <w:noWrap/>
            <w:vAlign w:val="center"/>
          </w:tcPr>
          <w:p w14:paraId="0A343B46">
            <w:pPr>
              <w:jc w:val="center"/>
              <w:rPr>
                <w:color w:val="000000"/>
                <w:sz w:val="20"/>
                <w:szCs w:val="20"/>
              </w:rPr>
            </w:pPr>
            <w:r>
              <w:rPr>
                <w:color w:val="000000"/>
                <w:sz w:val="20"/>
                <w:szCs w:val="20"/>
              </w:rPr>
              <w:t>11.340.000</w:t>
            </w:r>
          </w:p>
        </w:tc>
        <w:tc>
          <w:tcPr>
            <w:tcW w:w="1848" w:type="dxa"/>
            <w:noWrap/>
            <w:vAlign w:val="center"/>
          </w:tcPr>
          <w:p w14:paraId="10D2B38A">
            <w:pPr>
              <w:jc w:val="center"/>
              <w:rPr>
                <w:color w:val="000000"/>
                <w:sz w:val="20"/>
                <w:szCs w:val="20"/>
              </w:rPr>
            </w:pPr>
            <w:r>
              <w:rPr>
                <w:color w:val="000000"/>
                <w:sz w:val="20"/>
                <w:szCs w:val="20"/>
              </w:rPr>
              <w:t>1.105.650.000</w:t>
            </w:r>
          </w:p>
        </w:tc>
      </w:tr>
      <w:tr w14:paraId="0518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D6AC162">
            <w:pPr>
              <w:jc w:val="center"/>
              <w:rPr>
                <w:b/>
                <w:bCs/>
                <w:color w:val="000000"/>
                <w:sz w:val="20"/>
                <w:szCs w:val="20"/>
              </w:rPr>
            </w:pPr>
            <w:r>
              <w:rPr>
                <w:b/>
                <w:bCs/>
                <w:color w:val="000000"/>
                <w:sz w:val="20"/>
                <w:szCs w:val="20"/>
              </w:rPr>
              <w:t>LK02</w:t>
            </w:r>
          </w:p>
        </w:tc>
        <w:tc>
          <w:tcPr>
            <w:tcW w:w="1802" w:type="dxa"/>
            <w:vAlign w:val="center"/>
          </w:tcPr>
          <w:p w14:paraId="4389B055">
            <w:pPr>
              <w:jc w:val="center"/>
              <w:rPr>
                <w:color w:val="000000"/>
                <w:sz w:val="20"/>
                <w:szCs w:val="20"/>
              </w:rPr>
            </w:pPr>
            <w:r>
              <w:rPr>
                <w:color w:val="000000"/>
                <w:sz w:val="20"/>
                <w:szCs w:val="20"/>
              </w:rPr>
              <w:t>LK02:05</w:t>
            </w:r>
          </w:p>
        </w:tc>
        <w:tc>
          <w:tcPr>
            <w:tcW w:w="1033" w:type="dxa"/>
            <w:noWrap/>
            <w:vAlign w:val="center"/>
          </w:tcPr>
          <w:p w14:paraId="143E7DA8">
            <w:pPr>
              <w:jc w:val="center"/>
              <w:rPr>
                <w:color w:val="000000"/>
                <w:sz w:val="20"/>
                <w:szCs w:val="20"/>
              </w:rPr>
            </w:pPr>
            <w:r>
              <w:rPr>
                <w:color w:val="000000"/>
                <w:sz w:val="20"/>
                <w:szCs w:val="20"/>
              </w:rPr>
              <w:t>97,50</w:t>
            </w:r>
          </w:p>
        </w:tc>
        <w:tc>
          <w:tcPr>
            <w:tcW w:w="846" w:type="dxa"/>
            <w:noWrap/>
            <w:vAlign w:val="center"/>
          </w:tcPr>
          <w:p w14:paraId="3C67422A">
            <w:pPr>
              <w:jc w:val="center"/>
              <w:rPr>
                <w:color w:val="000000"/>
                <w:sz w:val="20"/>
                <w:szCs w:val="20"/>
              </w:rPr>
            </w:pPr>
            <w:r>
              <w:rPr>
                <w:color w:val="000000"/>
                <w:sz w:val="20"/>
                <w:szCs w:val="20"/>
              </w:rPr>
              <w:t>1</w:t>
            </w:r>
          </w:p>
        </w:tc>
        <w:tc>
          <w:tcPr>
            <w:tcW w:w="2578" w:type="dxa"/>
            <w:noWrap/>
            <w:vAlign w:val="center"/>
          </w:tcPr>
          <w:p w14:paraId="60621E92">
            <w:pPr>
              <w:jc w:val="center"/>
              <w:rPr>
                <w:color w:val="000000"/>
                <w:sz w:val="20"/>
                <w:szCs w:val="20"/>
              </w:rPr>
            </w:pPr>
            <w:r>
              <w:rPr>
                <w:color w:val="000000"/>
                <w:sz w:val="20"/>
                <w:szCs w:val="20"/>
              </w:rPr>
              <w:t>Mặt cắt 3-3</w:t>
            </w:r>
          </w:p>
        </w:tc>
        <w:tc>
          <w:tcPr>
            <w:tcW w:w="2393" w:type="dxa"/>
            <w:noWrap/>
            <w:vAlign w:val="center"/>
          </w:tcPr>
          <w:p w14:paraId="2F3BB4A9">
            <w:pPr>
              <w:jc w:val="center"/>
              <w:rPr>
                <w:color w:val="000000"/>
                <w:sz w:val="20"/>
                <w:szCs w:val="20"/>
              </w:rPr>
            </w:pPr>
            <w:r>
              <w:rPr>
                <w:color w:val="000000"/>
                <w:sz w:val="20"/>
                <w:szCs w:val="20"/>
              </w:rPr>
              <w:t>Một mặt tiền, đối diện/tiếp giáp CX-MN</w:t>
            </w:r>
          </w:p>
        </w:tc>
        <w:tc>
          <w:tcPr>
            <w:tcW w:w="1198" w:type="dxa"/>
            <w:noWrap/>
            <w:vAlign w:val="center"/>
          </w:tcPr>
          <w:p w14:paraId="208E8745">
            <w:pPr>
              <w:jc w:val="center"/>
              <w:rPr>
                <w:color w:val="000000"/>
                <w:sz w:val="20"/>
                <w:szCs w:val="20"/>
              </w:rPr>
            </w:pPr>
            <w:r>
              <w:rPr>
                <w:color w:val="000000"/>
                <w:sz w:val="20"/>
                <w:szCs w:val="20"/>
              </w:rPr>
              <w:t>11.340.000</w:t>
            </w:r>
          </w:p>
        </w:tc>
        <w:tc>
          <w:tcPr>
            <w:tcW w:w="1236" w:type="dxa"/>
            <w:noWrap/>
            <w:vAlign w:val="center"/>
          </w:tcPr>
          <w:p w14:paraId="16E82DAC">
            <w:pPr>
              <w:jc w:val="center"/>
              <w:rPr>
                <w:color w:val="000000"/>
                <w:sz w:val="20"/>
                <w:szCs w:val="20"/>
              </w:rPr>
            </w:pPr>
          </w:p>
        </w:tc>
        <w:tc>
          <w:tcPr>
            <w:tcW w:w="1252" w:type="dxa"/>
            <w:noWrap/>
            <w:vAlign w:val="center"/>
          </w:tcPr>
          <w:p w14:paraId="642CDD86">
            <w:pPr>
              <w:jc w:val="center"/>
              <w:rPr>
                <w:color w:val="000000"/>
                <w:sz w:val="20"/>
                <w:szCs w:val="20"/>
              </w:rPr>
            </w:pPr>
            <w:r>
              <w:rPr>
                <w:color w:val="000000"/>
                <w:sz w:val="20"/>
                <w:szCs w:val="20"/>
              </w:rPr>
              <w:t>11.340.000</w:t>
            </w:r>
          </w:p>
        </w:tc>
        <w:tc>
          <w:tcPr>
            <w:tcW w:w="1848" w:type="dxa"/>
            <w:noWrap/>
            <w:vAlign w:val="center"/>
          </w:tcPr>
          <w:p w14:paraId="283B46CE">
            <w:pPr>
              <w:jc w:val="center"/>
              <w:rPr>
                <w:color w:val="000000"/>
                <w:sz w:val="20"/>
                <w:szCs w:val="20"/>
              </w:rPr>
            </w:pPr>
            <w:r>
              <w:rPr>
                <w:color w:val="000000"/>
                <w:sz w:val="20"/>
                <w:szCs w:val="20"/>
              </w:rPr>
              <w:t>1.105.650.000</w:t>
            </w:r>
          </w:p>
        </w:tc>
      </w:tr>
      <w:tr w14:paraId="0E7D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9A7B700">
            <w:pPr>
              <w:jc w:val="center"/>
              <w:rPr>
                <w:b/>
                <w:bCs/>
                <w:color w:val="000000"/>
                <w:sz w:val="20"/>
                <w:szCs w:val="20"/>
              </w:rPr>
            </w:pPr>
            <w:r>
              <w:rPr>
                <w:b/>
                <w:bCs/>
                <w:color w:val="000000"/>
                <w:sz w:val="20"/>
                <w:szCs w:val="20"/>
              </w:rPr>
              <w:t>LK02</w:t>
            </w:r>
          </w:p>
        </w:tc>
        <w:tc>
          <w:tcPr>
            <w:tcW w:w="1802" w:type="dxa"/>
            <w:vAlign w:val="center"/>
          </w:tcPr>
          <w:p w14:paraId="02242291">
            <w:pPr>
              <w:jc w:val="center"/>
              <w:rPr>
                <w:color w:val="000000"/>
                <w:sz w:val="20"/>
                <w:szCs w:val="20"/>
              </w:rPr>
            </w:pPr>
            <w:r>
              <w:rPr>
                <w:color w:val="000000"/>
                <w:sz w:val="20"/>
                <w:szCs w:val="20"/>
              </w:rPr>
              <w:t>LK02:06</w:t>
            </w:r>
          </w:p>
        </w:tc>
        <w:tc>
          <w:tcPr>
            <w:tcW w:w="1033" w:type="dxa"/>
            <w:noWrap/>
            <w:vAlign w:val="center"/>
          </w:tcPr>
          <w:p w14:paraId="3F4EC48E">
            <w:pPr>
              <w:jc w:val="center"/>
              <w:rPr>
                <w:color w:val="000000"/>
                <w:sz w:val="20"/>
                <w:szCs w:val="20"/>
              </w:rPr>
            </w:pPr>
            <w:r>
              <w:rPr>
                <w:color w:val="000000"/>
                <w:sz w:val="20"/>
                <w:szCs w:val="20"/>
              </w:rPr>
              <w:t>97,50</w:t>
            </w:r>
          </w:p>
        </w:tc>
        <w:tc>
          <w:tcPr>
            <w:tcW w:w="846" w:type="dxa"/>
            <w:noWrap/>
            <w:vAlign w:val="center"/>
          </w:tcPr>
          <w:p w14:paraId="4BD7580D">
            <w:pPr>
              <w:jc w:val="center"/>
              <w:rPr>
                <w:color w:val="000000"/>
                <w:sz w:val="20"/>
                <w:szCs w:val="20"/>
              </w:rPr>
            </w:pPr>
            <w:r>
              <w:rPr>
                <w:color w:val="000000"/>
                <w:sz w:val="20"/>
                <w:szCs w:val="20"/>
              </w:rPr>
              <w:t>1</w:t>
            </w:r>
          </w:p>
        </w:tc>
        <w:tc>
          <w:tcPr>
            <w:tcW w:w="2578" w:type="dxa"/>
            <w:noWrap/>
            <w:vAlign w:val="center"/>
          </w:tcPr>
          <w:p w14:paraId="1F59BAC0">
            <w:pPr>
              <w:jc w:val="center"/>
              <w:rPr>
                <w:color w:val="000000"/>
                <w:sz w:val="20"/>
                <w:szCs w:val="20"/>
              </w:rPr>
            </w:pPr>
            <w:r>
              <w:rPr>
                <w:color w:val="000000"/>
                <w:sz w:val="20"/>
                <w:szCs w:val="20"/>
              </w:rPr>
              <w:t>Mặt cắt 3-3</w:t>
            </w:r>
          </w:p>
        </w:tc>
        <w:tc>
          <w:tcPr>
            <w:tcW w:w="2393" w:type="dxa"/>
            <w:noWrap/>
            <w:vAlign w:val="center"/>
          </w:tcPr>
          <w:p w14:paraId="505E0AED">
            <w:pPr>
              <w:jc w:val="center"/>
              <w:rPr>
                <w:color w:val="000000"/>
                <w:sz w:val="20"/>
                <w:szCs w:val="20"/>
              </w:rPr>
            </w:pPr>
            <w:r>
              <w:rPr>
                <w:color w:val="000000"/>
                <w:sz w:val="20"/>
                <w:szCs w:val="20"/>
              </w:rPr>
              <w:t>Một mặt tiền, đối diện/tiếp giáp CX-MN</w:t>
            </w:r>
          </w:p>
        </w:tc>
        <w:tc>
          <w:tcPr>
            <w:tcW w:w="1198" w:type="dxa"/>
            <w:noWrap/>
            <w:vAlign w:val="center"/>
          </w:tcPr>
          <w:p w14:paraId="42D60242">
            <w:pPr>
              <w:jc w:val="center"/>
              <w:rPr>
                <w:color w:val="000000"/>
                <w:sz w:val="20"/>
                <w:szCs w:val="20"/>
              </w:rPr>
            </w:pPr>
            <w:r>
              <w:rPr>
                <w:color w:val="000000"/>
                <w:sz w:val="20"/>
                <w:szCs w:val="20"/>
              </w:rPr>
              <w:t>11.340.000</w:t>
            </w:r>
          </w:p>
        </w:tc>
        <w:tc>
          <w:tcPr>
            <w:tcW w:w="1236" w:type="dxa"/>
            <w:noWrap/>
            <w:vAlign w:val="center"/>
          </w:tcPr>
          <w:p w14:paraId="272187DA">
            <w:pPr>
              <w:jc w:val="center"/>
              <w:rPr>
                <w:color w:val="000000"/>
                <w:sz w:val="20"/>
                <w:szCs w:val="20"/>
              </w:rPr>
            </w:pPr>
          </w:p>
        </w:tc>
        <w:tc>
          <w:tcPr>
            <w:tcW w:w="1252" w:type="dxa"/>
            <w:noWrap/>
            <w:vAlign w:val="center"/>
          </w:tcPr>
          <w:p w14:paraId="4C6582EC">
            <w:pPr>
              <w:jc w:val="center"/>
              <w:rPr>
                <w:color w:val="000000"/>
                <w:sz w:val="20"/>
                <w:szCs w:val="20"/>
              </w:rPr>
            </w:pPr>
            <w:r>
              <w:rPr>
                <w:color w:val="000000"/>
                <w:sz w:val="20"/>
                <w:szCs w:val="20"/>
              </w:rPr>
              <w:t>11.340.000</w:t>
            </w:r>
          </w:p>
        </w:tc>
        <w:tc>
          <w:tcPr>
            <w:tcW w:w="1848" w:type="dxa"/>
            <w:noWrap/>
            <w:vAlign w:val="center"/>
          </w:tcPr>
          <w:p w14:paraId="6D5C7192">
            <w:pPr>
              <w:jc w:val="center"/>
              <w:rPr>
                <w:color w:val="000000"/>
                <w:sz w:val="20"/>
                <w:szCs w:val="20"/>
              </w:rPr>
            </w:pPr>
            <w:r>
              <w:rPr>
                <w:color w:val="000000"/>
                <w:sz w:val="20"/>
                <w:szCs w:val="20"/>
              </w:rPr>
              <w:t>1.105.650.000</w:t>
            </w:r>
          </w:p>
        </w:tc>
      </w:tr>
      <w:tr w14:paraId="30A4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EF04072">
            <w:pPr>
              <w:jc w:val="center"/>
              <w:rPr>
                <w:b/>
                <w:bCs/>
                <w:color w:val="000000"/>
                <w:sz w:val="20"/>
                <w:szCs w:val="20"/>
              </w:rPr>
            </w:pPr>
            <w:r>
              <w:rPr>
                <w:b/>
                <w:bCs/>
                <w:color w:val="000000"/>
                <w:sz w:val="20"/>
                <w:szCs w:val="20"/>
              </w:rPr>
              <w:t>LK02</w:t>
            </w:r>
          </w:p>
        </w:tc>
        <w:tc>
          <w:tcPr>
            <w:tcW w:w="1802" w:type="dxa"/>
            <w:vAlign w:val="center"/>
          </w:tcPr>
          <w:p w14:paraId="31E50B37">
            <w:pPr>
              <w:jc w:val="center"/>
              <w:rPr>
                <w:color w:val="000000"/>
                <w:sz w:val="20"/>
                <w:szCs w:val="20"/>
              </w:rPr>
            </w:pPr>
            <w:r>
              <w:rPr>
                <w:color w:val="000000"/>
                <w:sz w:val="20"/>
                <w:szCs w:val="20"/>
              </w:rPr>
              <w:t>LK02:07</w:t>
            </w:r>
          </w:p>
        </w:tc>
        <w:tc>
          <w:tcPr>
            <w:tcW w:w="1033" w:type="dxa"/>
            <w:noWrap/>
            <w:vAlign w:val="center"/>
          </w:tcPr>
          <w:p w14:paraId="3AEC007E">
            <w:pPr>
              <w:jc w:val="center"/>
              <w:rPr>
                <w:color w:val="000000"/>
                <w:sz w:val="20"/>
                <w:szCs w:val="20"/>
              </w:rPr>
            </w:pPr>
            <w:r>
              <w:rPr>
                <w:color w:val="000000"/>
                <w:sz w:val="20"/>
                <w:szCs w:val="20"/>
              </w:rPr>
              <w:t>97,50</w:t>
            </w:r>
          </w:p>
        </w:tc>
        <w:tc>
          <w:tcPr>
            <w:tcW w:w="846" w:type="dxa"/>
            <w:noWrap/>
            <w:vAlign w:val="center"/>
          </w:tcPr>
          <w:p w14:paraId="0ADBAE81">
            <w:pPr>
              <w:jc w:val="center"/>
              <w:rPr>
                <w:color w:val="000000"/>
                <w:sz w:val="20"/>
                <w:szCs w:val="20"/>
              </w:rPr>
            </w:pPr>
            <w:r>
              <w:rPr>
                <w:color w:val="000000"/>
                <w:sz w:val="20"/>
                <w:szCs w:val="20"/>
              </w:rPr>
              <w:t>1</w:t>
            </w:r>
          </w:p>
        </w:tc>
        <w:tc>
          <w:tcPr>
            <w:tcW w:w="2578" w:type="dxa"/>
            <w:noWrap/>
            <w:vAlign w:val="center"/>
          </w:tcPr>
          <w:p w14:paraId="28C23E57">
            <w:pPr>
              <w:jc w:val="center"/>
              <w:rPr>
                <w:color w:val="000000"/>
                <w:sz w:val="20"/>
                <w:szCs w:val="20"/>
              </w:rPr>
            </w:pPr>
            <w:r>
              <w:rPr>
                <w:color w:val="000000"/>
                <w:sz w:val="20"/>
                <w:szCs w:val="20"/>
              </w:rPr>
              <w:t>Mặt cắt 3-3</w:t>
            </w:r>
          </w:p>
        </w:tc>
        <w:tc>
          <w:tcPr>
            <w:tcW w:w="2393" w:type="dxa"/>
            <w:noWrap/>
            <w:vAlign w:val="center"/>
          </w:tcPr>
          <w:p w14:paraId="3EDE6147">
            <w:pPr>
              <w:jc w:val="center"/>
              <w:rPr>
                <w:color w:val="000000"/>
                <w:sz w:val="20"/>
                <w:szCs w:val="20"/>
              </w:rPr>
            </w:pPr>
            <w:r>
              <w:rPr>
                <w:color w:val="000000"/>
                <w:sz w:val="20"/>
                <w:szCs w:val="20"/>
              </w:rPr>
              <w:t>Một mặt tiền, đối diện/tiếp giáp CX-MN</w:t>
            </w:r>
          </w:p>
        </w:tc>
        <w:tc>
          <w:tcPr>
            <w:tcW w:w="1198" w:type="dxa"/>
            <w:noWrap/>
            <w:vAlign w:val="center"/>
          </w:tcPr>
          <w:p w14:paraId="7446BA2E">
            <w:pPr>
              <w:jc w:val="center"/>
              <w:rPr>
                <w:color w:val="000000"/>
                <w:sz w:val="20"/>
                <w:szCs w:val="20"/>
              </w:rPr>
            </w:pPr>
            <w:r>
              <w:rPr>
                <w:color w:val="000000"/>
                <w:sz w:val="20"/>
                <w:szCs w:val="20"/>
              </w:rPr>
              <w:t>11.340.000</w:t>
            </w:r>
          </w:p>
        </w:tc>
        <w:tc>
          <w:tcPr>
            <w:tcW w:w="1236" w:type="dxa"/>
            <w:noWrap/>
            <w:vAlign w:val="center"/>
          </w:tcPr>
          <w:p w14:paraId="58616B4C">
            <w:pPr>
              <w:jc w:val="center"/>
              <w:rPr>
                <w:color w:val="000000"/>
                <w:sz w:val="20"/>
                <w:szCs w:val="20"/>
              </w:rPr>
            </w:pPr>
          </w:p>
        </w:tc>
        <w:tc>
          <w:tcPr>
            <w:tcW w:w="1252" w:type="dxa"/>
            <w:noWrap/>
            <w:vAlign w:val="center"/>
          </w:tcPr>
          <w:p w14:paraId="2C5E34BA">
            <w:pPr>
              <w:jc w:val="center"/>
              <w:rPr>
                <w:color w:val="000000"/>
                <w:sz w:val="20"/>
                <w:szCs w:val="20"/>
              </w:rPr>
            </w:pPr>
            <w:r>
              <w:rPr>
                <w:color w:val="000000"/>
                <w:sz w:val="20"/>
                <w:szCs w:val="20"/>
              </w:rPr>
              <w:t>11.340.000</w:t>
            </w:r>
          </w:p>
        </w:tc>
        <w:tc>
          <w:tcPr>
            <w:tcW w:w="1848" w:type="dxa"/>
            <w:noWrap/>
            <w:vAlign w:val="center"/>
          </w:tcPr>
          <w:p w14:paraId="35198F8C">
            <w:pPr>
              <w:jc w:val="center"/>
              <w:rPr>
                <w:color w:val="000000"/>
                <w:sz w:val="20"/>
                <w:szCs w:val="20"/>
              </w:rPr>
            </w:pPr>
            <w:r>
              <w:rPr>
                <w:color w:val="000000"/>
                <w:sz w:val="20"/>
                <w:szCs w:val="20"/>
              </w:rPr>
              <w:t>1.105.650.000</w:t>
            </w:r>
          </w:p>
        </w:tc>
      </w:tr>
      <w:tr w14:paraId="3B74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D9C238B">
            <w:pPr>
              <w:jc w:val="center"/>
              <w:rPr>
                <w:b/>
                <w:bCs/>
                <w:color w:val="000000"/>
                <w:sz w:val="20"/>
                <w:szCs w:val="20"/>
              </w:rPr>
            </w:pPr>
            <w:r>
              <w:rPr>
                <w:b/>
                <w:bCs/>
                <w:color w:val="000000"/>
                <w:sz w:val="20"/>
                <w:szCs w:val="20"/>
              </w:rPr>
              <w:t>LK02</w:t>
            </w:r>
          </w:p>
        </w:tc>
        <w:tc>
          <w:tcPr>
            <w:tcW w:w="1802" w:type="dxa"/>
            <w:vAlign w:val="center"/>
          </w:tcPr>
          <w:p w14:paraId="2A0C6124">
            <w:pPr>
              <w:jc w:val="center"/>
              <w:rPr>
                <w:color w:val="000000"/>
                <w:sz w:val="20"/>
                <w:szCs w:val="20"/>
              </w:rPr>
            </w:pPr>
            <w:r>
              <w:rPr>
                <w:color w:val="000000"/>
                <w:sz w:val="20"/>
                <w:szCs w:val="20"/>
              </w:rPr>
              <w:t>LK02:08</w:t>
            </w:r>
          </w:p>
        </w:tc>
        <w:tc>
          <w:tcPr>
            <w:tcW w:w="1033" w:type="dxa"/>
            <w:noWrap/>
            <w:vAlign w:val="center"/>
          </w:tcPr>
          <w:p w14:paraId="37F76D28">
            <w:pPr>
              <w:jc w:val="center"/>
              <w:rPr>
                <w:color w:val="000000"/>
                <w:sz w:val="20"/>
                <w:szCs w:val="20"/>
              </w:rPr>
            </w:pPr>
            <w:r>
              <w:rPr>
                <w:color w:val="000000"/>
                <w:sz w:val="20"/>
                <w:szCs w:val="20"/>
              </w:rPr>
              <w:t>97,50</w:t>
            </w:r>
          </w:p>
        </w:tc>
        <w:tc>
          <w:tcPr>
            <w:tcW w:w="846" w:type="dxa"/>
            <w:noWrap/>
            <w:vAlign w:val="center"/>
          </w:tcPr>
          <w:p w14:paraId="2A237186">
            <w:pPr>
              <w:jc w:val="center"/>
              <w:rPr>
                <w:color w:val="000000"/>
                <w:sz w:val="20"/>
                <w:szCs w:val="20"/>
              </w:rPr>
            </w:pPr>
            <w:r>
              <w:rPr>
                <w:color w:val="000000"/>
                <w:sz w:val="20"/>
                <w:szCs w:val="20"/>
              </w:rPr>
              <w:t>1</w:t>
            </w:r>
          </w:p>
        </w:tc>
        <w:tc>
          <w:tcPr>
            <w:tcW w:w="2578" w:type="dxa"/>
            <w:noWrap/>
            <w:vAlign w:val="center"/>
          </w:tcPr>
          <w:p w14:paraId="2CC6DAED">
            <w:pPr>
              <w:jc w:val="center"/>
              <w:rPr>
                <w:color w:val="000000"/>
                <w:sz w:val="20"/>
                <w:szCs w:val="20"/>
              </w:rPr>
            </w:pPr>
            <w:r>
              <w:rPr>
                <w:color w:val="000000"/>
                <w:sz w:val="20"/>
                <w:szCs w:val="20"/>
              </w:rPr>
              <w:t>Mặt cắt 3-3</w:t>
            </w:r>
          </w:p>
        </w:tc>
        <w:tc>
          <w:tcPr>
            <w:tcW w:w="2393" w:type="dxa"/>
            <w:noWrap/>
            <w:vAlign w:val="center"/>
          </w:tcPr>
          <w:p w14:paraId="63C9873E">
            <w:pPr>
              <w:jc w:val="center"/>
              <w:rPr>
                <w:color w:val="000000"/>
                <w:sz w:val="20"/>
                <w:szCs w:val="20"/>
              </w:rPr>
            </w:pPr>
            <w:r>
              <w:rPr>
                <w:color w:val="000000"/>
                <w:sz w:val="20"/>
                <w:szCs w:val="20"/>
              </w:rPr>
              <w:t>Một mặt tiền, đối diện/tiếp giáp CX-MN</w:t>
            </w:r>
          </w:p>
        </w:tc>
        <w:tc>
          <w:tcPr>
            <w:tcW w:w="1198" w:type="dxa"/>
            <w:noWrap/>
            <w:vAlign w:val="center"/>
          </w:tcPr>
          <w:p w14:paraId="45564ADC">
            <w:pPr>
              <w:jc w:val="center"/>
              <w:rPr>
                <w:color w:val="000000"/>
                <w:sz w:val="20"/>
                <w:szCs w:val="20"/>
              </w:rPr>
            </w:pPr>
            <w:r>
              <w:rPr>
                <w:color w:val="000000"/>
                <w:sz w:val="20"/>
                <w:szCs w:val="20"/>
              </w:rPr>
              <w:t>11.340.000</w:t>
            </w:r>
          </w:p>
        </w:tc>
        <w:tc>
          <w:tcPr>
            <w:tcW w:w="1236" w:type="dxa"/>
            <w:noWrap/>
            <w:vAlign w:val="center"/>
          </w:tcPr>
          <w:p w14:paraId="1A82C4FF">
            <w:pPr>
              <w:jc w:val="center"/>
              <w:rPr>
                <w:color w:val="000000"/>
                <w:sz w:val="20"/>
                <w:szCs w:val="20"/>
              </w:rPr>
            </w:pPr>
          </w:p>
        </w:tc>
        <w:tc>
          <w:tcPr>
            <w:tcW w:w="1252" w:type="dxa"/>
            <w:noWrap/>
            <w:vAlign w:val="center"/>
          </w:tcPr>
          <w:p w14:paraId="25CC33C5">
            <w:pPr>
              <w:jc w:val="center"/>
              <w:rPr>
                <w:color w:val="000000"/>
                <w:sz w:val="20"/>
                <w:szCs w:val="20"/>
              </w:rPr>
            </w:pPr>
            <w:r>
              <w:rPr>
                <w:color w:val="000000"/>
                <w:sz w:val="20"/>
                <w:szCs w:val="20"/>
              </w:rPr>
              <w:t>11.340.000</w:t>
            </w:r>
          </w:p>
        </w:tc>
        <w:tc>
          <w:tcPr>
            <w:tcW w:w="1848" w:type="dxa"/>
            <w:noWrap/>
            <w:vAlign w:val="center"/>
          </w:tcPr>
          <w:p w14:paraId="25EACAD5">
            <w:pPr>
              <w:jc w:val="center"/>
              <w:rPr>
                <w:color w:val="000000"/>
                <w:sz w:val="20"/>
                <w:szCs w:val="20"/>
              </w:rPr>
            </w:pPr>
            <w:r>
              <w:rPr>
                <w:color w:val="000000"/>
                <w:sz w:val="20"/>
                <w:szCs w:val="20"/>
              </w:rPr>
              <w:t>1.105.650.000</w:t>
            </w:r>
          </w:p>
        </w:tc>
      </w:tr>
      <w:tr w14:paraId="0393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1BE04C3">
            <w:pPr>
              <w:jc w:val="center"/>
              <w:rPr>
                <w:b/>
                <w:bCs/>
                <w:color w:val="000000"/>
                <w:sz w:val="20"/>
                <w:szCs w:val="20"/>
              </w:rPr>
            </w:pPr>
            <w:r>
              <w:rPr>
                <w:b/>
                <w:bCs/>
                <w:color w:val="000000"/>
                <w:sz w:val="20"/>
                <w:szCs w:val="20"/>
              </w:rPr>
              <w:t>LK02</w:t>
            </w:r>
          </w:p>
        </w:tc>
        <w:tc>
          <w:tcPr>
            <w:tcW w:w="1802" w:type="dxa"/>
            <w:vAlign w:val="center"/>
          </w:tcPr>
          <w:p w14:paraId="21C9B104">
            <w:pPr>
              <w:jc w:val="center"/>
              <w:rPr>
                <w:color w:val="000000"/>
                <w:sz w:val="20"/>
                <w:szCs w:val="20"/>
              </w:rPr>
            </w:pPr>
            <w:r>
              <w:rPr>
                <w:color w:val="000000"/>
                <w:sz w:val="20"/>
                <w:szCs w:val="20"/>
              </w:rPr>
              <w:t>LK02:09</w:t>
            </w:r>
          </w:p>
        </w:tc>
        <w:tc>
          <w:tcPr>
            <w:tcW w:w="1033" w:type="dxa"/>
            <w:noWrap/>
            <w:vAlign w:val="center"/>
          </w:tcPr>
          <w:p w14:paraId="5198A9D0">
            <w:pPr>
              <w:jc w:val="center"/>
              <w:rPr>
                <w:color w:val="000000"/>
                <w:sz w:val="20"/>
                <w:szCs w:val="20"/>
              </w:rPr>
            </w:pPr>
            <w:r>
              <w:rPr>
                <w:color w:val="000000"/>
                <w:sz w:val="20"/>
                <w:szCs w:val="20"/>
              </w:rPr>
              <w:t>97,50</w:t>
            </w:r>
          </w:p>
        </w:tc>
        <w:tc>
          <w:tcPr>
            <w:tcW w:w="846" w:type="dxa"/>
            <w:noWrap/>
            <w:vAlign w:val="center"/>
          </w:tcPr>
          <w:p w14:paraId="68B775B7">
            <w:pPr>
              <w:jc w:val="center"/>
              <w:rPr>
                <w:color w:val="000000"/>
                <w:sz w:val="20"/>
                <w:szCs w:val="20"/>
              </w:rPr>
            </w:pPr>
            <w:r>
              <w:rPr>
                <w:color w:val="000000"/>
                <w:sz w:val="20"/>
                <w:szCs w:val="20"/>
              </w:rPr>
              <w:t>1</w:t>
            </w:r>
          </w:p>
        </w:tc>
        <w:tc>
          <w:tcPr>
            <w:tcW w:w="2578" w:type="dxa"/>
            <w:noWrap/>
            <w:vAlign w:val="center"/>
          </w:tcPr>
          <w:p w14:paraId="612BCF8F">
            <w:pPr>
              <w:jc w:val="center"/>
              <w:rPr>
                <w:color w:val="000000"/>
                <w:sz w:val="20"/>
                <w:szCs w:val="20"/>
              </w:rPr>
            </w:pPr>
            <w:r>
              <w:rPr>
                <w:color w:val="000000"/>
                <w:sz w:val="20"/>
                <w:szCs w:val="20"/>
              </w:rPr>
              <w:t>Mặt cắt 3-3</w:t>
            </w:r>
          </w:p>
        </w:tc>
        <w:tc>
          <w:tcPr>
            <w:tcW w:w="2393" w:type="dxa"/>
            <w:noWrap/>
            <w:vAlign w:val="center"/>
          </w:tcPr>
          <w:p w14:paraId="68C6983C">
            <w:pPr>
              <w:jc w:val="center"/>
              <w:rPr>
                <w:color w:val="000000"/>
                <w:sz w:val="20"/>
                <w:szCs w:val="20"/>
              </w:rPr>
            </w:pPr>
            <w:r>
              <w:rPr>
                <w:color w:val="000000"/>
                <w:sz w:val="20"/>
                <w:szCs w:val="20"/>
              </w:rPr>
              <w:t>Một mặt tiền, đối diện/tiếp giáp CX-MN</w:t>
            </w:r>
          </w:p>
        </w:tc>
        <w:tc>
          <w:tcPr>
            <w:tcW w:w="1198" w:type="dxa"/>
            <w:noWrap/>
            <w:vAlign w:val="center"/>
          </w:tcPr>
          <w:p w14:paraId="25CB163B">
            <w:pPr>
              <w:jc w:val="center"/>
              <w:rPr>
                <w:color w:val="000000"/>
                <w:sz w:val="20"/>
                <w:szCs w:val="20"/>
              </w:rPr>
            </w:pPr>
            <w:r>
              <w:rPr>
                <w:color w:val="000000"/>
                <w:sz w:val="20"/>
                <w:szCs w:val="20"/>
              </w:rPr>
              <w:t>11.340.000</w:t>
            </w:r>
          </w:p>
        </w:tc>
        <w:tc>
          <w:tcPr>
            <w:tcW w:w="1236" w:type="dxa"/>
            <w:noWrap/>
            <w:vAlign w:val="center"/>
          </w:tcPr>
          <w:p w14:paraId="7B20A681">
            <w:pPr>
              <w:jc w:val="center"/>
              <w:rPr>
                <w:color w:val="000000"/>
                <w:sz w:val="20"/>
                <w:szCs w:val="20"/>
              </w:rPr>
            </w:pPr>
          </w:p>
        </w:tc>
        <w:tc>
          <w:tcPr>
            <w:tcW w:w="1252" w:type="dxa"/>
            <w:noWrap/>
            <w:vAlign w:val="center"/>
          </w:tcPr>
          <w:p w14:paraId="2EA0913C">
            <w:pPr>
              <w:jc w:val="center"/>
              <w:rPr>
                <w:color w:val="000000"/>
                <w:sz w:val="20"/>
                <w:szCs w:val="20"/>
              </w:rPr>
            </w:pPr>
            <w:r>
              <w:rPr>
                <w:color w:val="000000"/>
                <w:sz w:val="20"/>
                <w:szCs w:val="20"/>
              </w:rPr>
              <w:t>11.340.000</w:t>
            </w:r>
          </w:p>
        </w:tc>
        <w:tc>
          <w:tcPr>
            <w:tcW w:w="1848" w:type="dxa"/>
            <w:noWrap/>
            <w:vAlign w:val="center"/>
          </w:tcPr>
          <w:p w14:paraId="60F073B3">
            <w:pPr>
              <w:jc w:val="center"/>
              <w:rPr>
                <w:color w:val="000000"/>
                <w:sz w:val="20"/>
                <w:szCs w:val="20"/>
              </w:rPr>
            </w:pPr>
            <w:r>
              <w:rPr>
                <w:color w:val="000000"/>
                <w:sz w:val="20"/>
                <w:szCs w:val="20"/>
              </w:rPr>
              <w:t>1.105.650.000</w:t>
            </w:r>
          </w:p>
        </w:tc>
      </w:tr>
      <w:tr w14:paraId="04CD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F0C8C90">
            <w:pPr>
              <w:jc w:val="center"/>
              <w:rPr>
                <w:b/>
                <w:bCs/>
                <w:color w:val="000000"/>
                <w:sz w:val="20"/>
                <w:szCs w:val="20"/>
              </w:rPr>
            </w:pPr>
            <w:r>
              <w:rPr>
                <w:b/>
                <w:bCs/>
                <w:color w:val="000000"/>
                <w:sz w:val="20"/>
                <w:szCs w:val="20"/>
              </w:rPr>
              <w:t>LK02</w:t>
            </w:r>
          </w:p>
        </w:tc>
        <w:tc>
          <w:tcPr>
            <w:tcW w:w="1802" w:type="dxa"/>
            <w:vAlign w:val="center"/>
          </w:tcPr>
          <w:p w14:paraId="2F795CF6">
            <w:pPr>
              <w:jc w:val="center"/>
              <w:rPr>
                <w:color w:val="000000"/>
                <w:sz w:val="20"/>
                <w:szCs w:val="20"/>
              </w:rPr>
            </w:pPr>
            <w:r>
              <w:rPr>
                <w:color w:val="000000"/>
                <w:sz w:val="20"/>
                <w:szCs w:val="20"/>
              </w:rPr>
              <w:t>LK02:10</w:t>
            </w:r>
          </w:p>
        </w:tc>
        <w:tc>
          <w:tcPr>
            <w:tcW w:w="1033" w:type="dxa"/>
            <w:noWrap/>
            <w:vAlign w:val="center"/>
          </w:tcPr>
          <w:p w14:paraId="5DF00B61">
            <w:pPr>
              <w:jc w:val="center"/>
              <w:rPr>
                <w:color w:val="000000"/>
                <w:sz w:val="20"/>
                <w:szCs w:val="20"/>
              </w:rPr>
            </w:pPr>
            <w:r>
              <w:rPr>
                <w:color w:val="000000"/>
                <w:sz w:val="20"/>
                <w:szCs w:val="20"/>
              </w:rPr>
              <w:t>97,50</w:t>
            </w:r>
          </w:p>
        </w:tc>
        <w:tc>
          <w:tcPr>
            <w:tcW w:w="846" w:type="dxa"/>
            <w:noWrap/>
            <w:vAlign w:val="center"/>
          </w:tcPr>
          <w:p w14:paraId="5CF1630D">
            <w:pPr>
              <w:jc w:val="center"/>
              <w:rPr>
                <w:color w:val="000000"/>
                <w:sz w:val="20"/>
                <w:szCs w:val="20"/>
              </w:rPr>
            </w:pPr>
            <w:r>
              <w:rPr>
                <w:color w:val="000000"/>
                <w:sz w:val="20"/>
                <w:szCs w:val="20"/>
              </w:rPr>
              <w:t>1</w:t>
            </w:r>
          </w:p>
        </w:tc>
        <w:tc>
          <w:tcPr>
            <w:tcW w:w="2578" w:type="dxa"/>
            <w:noWrap/>
            <w:vAlign w:val="center"/>
          </w:tcPr>
          <w:p w14:paraId="3371C942">
            <w:pPr>
              <w:jc w:val="center"/>
              <w:rPr>
                <w:color w:val="000000"/>
                <w:sz w:val="20"/>
                <w:szCs w:val="20"/>
              </w:rPr>
            </w:pPr>
            <w:r>
              <w:rPr>
                <w:color w:val="000000"/>
                <w:sz w:val="20"/>
                <w:szCs w:val="20"/>
              </w:rPr>
              <w:t>Mặt cắt 3-3</w:t>
            </w:r>
          </w:p>
        </w:tc>
        <w:tc>
          <w:tcPr>
            <w:tcW w:w="2393" w:type="dxa"/>
            <w:noWrap/>
            <w:vAlign w:val="center"/>
          </w:tcPr>
          <w:p w14:paraId="2F42B328">
            <w:pPr>
              <w:jc w:val="center"/>
              <w:rPr>
                <w:color w:val="000000"/>
                <w:sz w:val="20"/>
                <w:szCs w:val="20"/>
              </w:rPr>
            </w:pPr>
            <w:r>
              <w:rPr>
                <w:color w:val="000000"/>
                <w:sz w:val="20"/>
                <w:szCs w:val="20"/>
              </w:rPr>
              <w:t>Một mặt tiền, đối diện/tiếp giáp CX-MN</w:t>
            </w:r>
          </w:p>
        </w:tc>
        <w:tc>
          <w:tcPr>
            <w:tcW w:w="1198" w:type="dxa"/>
            <w:noWrap/>
            <w:vAlign w:val="center"/>
          </w:tcPr>
          <w:p w14:paraId="2CDFD8A1">
            <w:pPr>
              <w:jc w:val="center"/>
              <w:rPr>
                <w:color w:val="000000"/>
                <w:sz w:val="20"/>
                <w:szCs w:val="20"/>
              </w:rPr>
            </w:pPr>
            <w:r>
              <w:rPr>
                <w:color w:val="000000"/>
                <w:sz w:val="20"/>
                <w:szCs w:val="20"/>
              </w:rPr>
              <w:t>11.340.000</w:t>
            </w:r>
          </w:p>
        </w:tc>
        <w:tc>
          <w:tcPr>
            <w:tcW w:w="1236" w:type="dxa"/>
            <w:noWrap/>
            <w:vAlign w:val="center"/>
          </w:tcPr>
          <w:p w14:paraId="22865CD3">
            <w:pPr>
              <w:jc w:val="center"/>
              <w:rPr>
                <w:color w:val="000000"/>
                <w:sz w:val="20"/>
                <w:szCs w:val="20"/>
              </w:rPr>
            </w:pPr>
          </w:p>
        </w:tc>
        <w:tc>
          <w:tcPr>
            <w:tcW w:w="1252" w:type="dxa"/>
            <w:noWrap/>
            <w:vAlign w:val="center"/>
          </w:tcPr>
          <w:p w14:paraId="17A3D74F">
            <w:pPr>
              <w:jc w:val="center"/>
              <w:rPr>
                <w:color w:val="000000"/>
                <w:sz w:val="20"/>
                <w:szCs w:val="20"/>
              </w:rPr>
            </w:pPr>
            <w:r>
              <w:rPr>
                <w:color w:val="000000"/>
                <w:sz w:val="20"/>
                <w:szCs w:val="20"/>
              </w:rPr>
              <w:t>11.340.000</w:t>
            </w:r>
          </w:p>
        </w:tc>
        <w:tc>
          <w:tcPr>
            <w:tcW w:w="1848" w:type="dxa"/>
            <w:noWrap/>
            <w:vAlign w:val="center"/>
          </w:tcPr>
          <w:p w14:paraId="03879E36">
            <w:pPr>
              <w:jc w:val="center"/>
              <w:rPr>
                <w:color w:val="000000"/>
                <w:sz w:val="20"/>
                <w:szCs w:val="20"/>
              </w:rPr>
            </w:pPr>
            <w:r>
              <w:rPr>
                <w:color w:val="000000"/>
                <w:sz w:val="20"/>
                <w:szCs w:val="20"/>
              </w:rPr>
              <w:t>1.105.650.000</w:t>
            </w:r>
          </w:p>
        </w:tc>
      </w:tr>
      <w:tr w14:paraId="4ACE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E45FE60">
            <w:pPr>
              <w:jc w:val="center"/>
              <w:rPr>
                <w:b/>
                <w:bCs/>
                <w:color w:val="000000"/>
                <w:sz w:val="20"/>
                <w:szCs w:val="20"/>
              </w:rPr>
            </w:pPr>
            <w:r>
              <w:rPr>
                <w:b/>
                <w:bCs/>
                <w:color w:val="000000"/>
                <w:sz w:val="20"/>
                <w:szCs w:val="20"/>
              </w:rPr>
              <w:t>LK02</w:t>
            </w:r>
          </w:p>
        </w:tc>
        <w:tc>
          <w:tcPr>
            <w:tcW w:w="1802" w:type="dxa"/>
            <w:vAlign w:val="center"/>
          </w:tcPr>
          <w:p w14:paraId="6E3C7A9F">
            <w:pPr>
              <w:jc w:val="center"/>
              <w:rPr>
                <w:color w:val="000000"/>
                <w:sz w:val="20"/>
                <w:szCs w:val="20"/>
              </w:rPr>
            </w:pPr>
            <w:r>
              <w:rPr>
                <w:color w:val="000000"/>
                <w:sz w:val="20"/>
                <w:szCs w:val="20"/>
              </w:rPr>
              <w:t>LK02:11</w:t>
            </w:r>
          </w:p>
        </w:tc>
        <w:tc>
          <w:tcPr>
            <w:tcW w:w="1033" w:type="dxa"/>
            <w:noWrap/>
            <w:vAlign w:val="center"/>
          </w:tcPr>
          <w:p w14:paraId="2139061F">
            <w:pPr>
              <w:jc w:val="center"/>
              <w:rPr>
                <w:color w:val="000000"/>
                <w:sz w:val="20"/>
                <w:szCs w:val="20"/>
              </w:rPr>
            </w:pPr>
            <w:r>
              <w:rPr>
                <w:color w:val="000000"/>
                <w:sz w:val="20"/>
                <w:szCs w:val="20"/>
              </w:rPr>
              <w:t>97,50</w:t>
            </w:r>
          </w:p>
        </w:tc>
        <w:tc>
          <w:tcPr>
            <w:tcW w:w="846" w:type="dxa"/>
            <w:noWrap/>
            <w:vAlign w:val="center"/>
          </w:tcPr>
          <w:p w14:paraId="23AC9D85">
            <w:pPr>
              <w:jc w:val="center"/>
              <w:rPr>
                <w:color w:val="000000"/>
                <w:sz w:val="20"/>
                <w:szCs w:val="20"/>
              </w:rPr>
            </w:pPr>
            <w:r>
              <w:rPr>
                <w:color w:val="000000"/>
                <w:sz w:val="20"/>
                <w:szCs w:val="20"/>
              </w:rPr>
              <w:t>1</w:t>
            </w:r>
          </w:p>
        </w:tc>
        <w:tc>
          <w:tcPr>
            <w:tcW w:w="2578" w:type="dxa"/>
            <w:noWrap/>
            <w:vAlign w:val="center"/>
          </w:tcPr>
          <w:p w14:paraId="3023AB05">
            <w:pPr>
              <w:jc w:val="center"/>
              <w:rPr>
                <w:color w:val="000000"/>
                <w:sz w:val="20"/>
                <w:szCs w:val="20"/>
              </w:rPr>
            </w:pPr>
            <w:r>
              <w:rPr>
                <w:color w:val="000000"/>
                <w:sz w:val="20"/>
                <w:szCs w:val="20"/>
              </w:rPr>
              <w:t>Mặt cắt 3-3</w:t>
            </w:r>
          </w:p>
        </w:tc>
        <w:tc>
          <w:tcPr>
            <w:tcW w:w="2393" w:type="dxa"/>
            <w:noWrap/>
            <w:vAlign w:val="center"/>
          </w:tcPr>
          <w:p w14:paraId="63649F07">
            <w:pPr>
              <w:jc w:val="center"/>
              <w:rPr>
                <w:color w:val="000000"/>
                <w:sz w:val="20"/>
                <w:szCs w:val="20"/>
              </w:rPr>
            </w:pPr>
            <w:r>
              <w:rPr>
                <w:color w:val="000000"/>
                <w:sz w:val="20"/>
                <w:szCs w:val="20"/>
              </w:rPr>
              <w:t>Một mặt tiền, đối diện/tiếp giáp CX-MN</w:t>
            </w:r>
          </w:p>
        </w:tc>
        <w:tc>
          <w:tcPr>
            <w:tcW w:w="1198" w:type="dxa"/>
            <w:noWrap/>
            <w:vAlign w:val="center"/>
          </w:tcPr>
          <w:p w14:paraId="2635C2EF">
            <w:pPr>
              <w:jc w:val="center"/>
              <w:rPr>
                <w:color w:val="000000"/>
                <w:sz w:val="20"/>
                <w:szCs w:val="20"/>
              </w:rPr>
            </w:pPr>
            <w:r>
              <w:rPr>
                <w:color w:val="000000"/>
                <w:sz w:val="20"/>
                <w:szCs w:val="20"/>
              </w:rPr>
              <w:t>11.340.000</w:t>
            </w:r>
          </w:p>
        </w:tc>
        <w:tc>
          <w:tcPr>
            <w:tcW w:w="1236" w:type="dxa"/>
            <w:noWrap/>
            <w:vAlign w:val="center"/>
          </w:tcPr>
          <w:p w14:paraId="77841A2C">
            <w:pPr>
              <w:jc w:val="center"/>
              <w:rPr>
                <w:color w:val="000000"/>
                <w:sz w:val="20"/>
                <w:szCs w:val="20"/>
              </w:rPr>
            </w:pPr>
          </w:p>
        </w:tc>
        <w:tc>
          <w:tcPr>
            <w:tcW w:w="1252" w:type="dxa"/>
            <w:noWrap/>
            <w:vAlign w:val="center"/>
          </w:tcPr>
          <w:p w14:paraId="21ECF18A">
            <w:pPr>
              <w:jc w:val="center"/>
              <w:rPr>
                <w:color w:val="000000"/>
                <w:sz w:val="20"/>
                <w:szCs w:val="20"/>
              </w:rPr>
            </w:pPr>
            <w:r>
              <w:rPr>
                <w:color w:val="000000"/>
                <w:sz w:val="20"/>
                <w:szCs w:val="20"/>
              </w:rPr>
              <w:t>11.340.000</w:t>
            </w:r>
          </w:p>
        </w:tc>
        <w:tc>
          <w:tcPr>
            <w:tcW w:w="1848" w:type="dxa"/>
            <w:noWrap/>
            <w:vAlign w:val="center"/>
          </w:tcPr>
          <w:p w14:paraId="19FAEFCF">
            <w:pPr>
              <w:jc w:val="center"/>
              <w:rPr>
                <w:color w:val="000000"/>
                <w:sz w:val="20"/>
                <w:szCs w:val="20"/>
              </w:rPr>
            </w:pPr>
            <w:r>
              <w:rPr>
                <w:color w:val="000000"/>
                <w:sz w:val="20"/>
                <w:szCs w:val="20"/>
              </w:rPr>
              <w:t>1.105.650.000</w:t>
            </w:r>
          </w:p>
        </w:tc>
      </w:tr>
      <w:tr w14:paraId="778E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4CDAF9B">
            <w:pPr>
              <w:jc w:val="center"/>
              <w:rPr>
                <w:b/>
                <w:bCs/>
                <w:color w:val="000000"/>
                <w:sz w:val="20"/>
                <w:szCs w:val="20"/>
              </w:rPr>
            </w:pPr>
            <w:r>
              <w:rPr>
                <w:b/>
                <w:bCs/>
                <w:color w:val="000000"/>
                <w:sz w:val="20"/>
                <w:szCs w:val="20"/>
              </w:rPr>
              <w:t>LK03</w:t>
            </w:r>
          </w:p>
        </w:tc>
        <w:tc>
          <w:tcPr>
            <w:tcW w:w="1802" w:type="dxa"/>
            <w:vAlign w:val="center"/>
          </w:tcPr>
          <w:p w14:paraId="11D6C7E5">
            <w:pPr>
              <w:jc w:val="center"/>
              <w:rPr>
                <w:color w:val="000000"/>
                <w:sz w:val="20"/>
                <w:szCs w:val="20"/>
              </w:rPr>
            </w:pPr>
            <w:r>
              <w:rPr>
                <w:color w:val="000000"/>
                <w:sz w:val="20"/>
                <w:szCs w:val="20"/>
              </w:rPr>
              <w:t>LK03:01</w:t>
            </w:r>
          </w:p>
        </w:tc>
        <w:tc>
          <w:tcPr>
            <w:tcW w:w="1033" w:type="dxa"/>
            <w:noWrap/>
            <w:vAlign w:val="center"/>
          </w:tcPr>
          <w:p w14:paraId="77BF55F5">
            <w:pPr>
              <w:jc w:val="center"/>
              <w:rPr>
                <w:color w:val="000000"/>
                <w:sz w:val="20"/>
                <w:szCs w:val="20"/>
              </w:rPr>
            </w:pPr>
            <w:r>
              <w:rPr>
                <w:color w:val="000000"/>
                <w:sz w:val="20"/>
                <w:szCs w:val="20"/>
              </w:rPr>
              <w:t>97,50</w:t>
            </w:r>
          </w:p>
        </w:tc>
        <w:tc>
          <w:tcPr>
            <w:tcW w:w="846" w:type="dxa"/>
            <w:noWrap/>
            <w:vAlign w:val="center"/>
          </w:tcPr>
          <w:p w14:paraId="025199EF">
            <w:pPr>
              <w:jc w:val="center"/>
              <w:rPr>
                <w:color w:val="000000"/>
                <w:sz w:val="20"/>
                <w:szCs w:val="20"/>
              </w:rPr>
            </w:pPr>
            <w:r>
              <w:rPr>
                <w:color w:val="000000"/>
                <w:sz w:val="20"/>
                <w:szCs w:val="20"/>
              </w:rPr>
              <w:t>1</w:t>
            </w:r>
          </w:p>
        </w:tc>
        <w:tc>
          <w:tcPr>
            <w:tcW w:w="2578" w:type="dxa"/>
            <w:noWrap/>
            <w:vAlign w:val="center"/>
          </w:tcPr>
          <w:p w14:paraId="0F8B181B">
            <w:pPr>
              <w:jc w:val="center"/>
              <w:rPr>
                <w:color w:val="000000"/>
                <w:sz w:val="20"/>
                <w:szCs w:val="20"/>
              </w:rPr>
            </w:pPr>
            <w:r>
              <w:rPr>
                <w:color w:val="000000"/>
                <w:sz w:val="20"/>
                <w:szCs w:val="20"/>
              </w:rPr>
              <w:t>Mặt cắt 3-3</w:t>
            </w:r>
          </w:p>
        </w:tc>
        <w:tc>
          <w:tcPr>
            <w:tcW w:w="2393" w:type="dxa"/>
            <w:noWrap/>
            <w:vAlign w:val="center"/>
          </w:tcPr>
          <w:p w14:paraId="662872B7">
            <w:pPr>
              <w:jc w:val="center"/>
              <w:rPr>
                <w:color w:val="000000"/>
                <w:sz w:val="20"/>
                <w:szCs w:val="20"/>
              </w:rPr>
            </w:pPr>
            <w:r>
              <w:rPr>
                <w:color w:val="000000"/>
                <w:sz w:val="20"/>
                <w:szCs w:val="20"/>
              </w:rPr>
              <w:t>Một mặt tiền, đối diện/tiếp giáp CX-MN</w:t>
            </w:r>
          </w:p>
        </w:tc>
        <w:tc>
          <w:tcPr>
            <w:tcW w:w="1198" w:type="dxa"/>
            <w:noWrap/>
            <w:vAlign w:val="center"/>
          </w:tcPr>
          <w:p w14:paraId="38C5BC16">
            <w:pPr>
              <w:jc w:val="center"/>
              <w:rPr>
                <w:color w:val="000000"/>
                <w:sz w:val="20"/>
                <w:szCs w:val="20"/>
              </w:rPr>
            </w:pPr>
            <w:r>
              <w:rPr>
                <w:color w:val="000000"/>
                <w:sz w:val="20"/>
                <w:szCs w:val="20"/>
              </w:rPr>
              <w:t>11.340.000</w:t>
            </w:r>
          </w:p>
        </w:tc>
        <w:tc>
          <w:tcPr>
            <w:tcW w:w="1236" w:type="dxa"/>
            <w:noWrap/>
            <w:vAlign w:val="center"/>
          </w:tcPr>
          <w:p w14:paraId="14CD5729">
            <w:pPr>
              <w:jc w:val="center"/>
              <w:rPr>
                <w:color w:val="000000"/>
                <w:sz w:val="20"/>
                <w:szCs w:val="20"/>
              </w:rPr>
            </w:pPr>
          </w:p>
        </w:tc>
        <w:tc>
          <w:tcPr>
            <w:tcW w:w="1252" w:type="dxa"/>
            <w:noWrap/>
            <w:vAlign w:val="center"/>
          </w:tcPr>
          <w:p w14:paraId="24957818">
            <w:pPr>
              <w:jc w:val="center"/>
              <w:rPr>
                <w:color w:val="000000"/>
                <w:sz w:val="20"/>
                <w:szCs w:val="20"/>
              </w:rPr>
            </w:pPr>
            <w:r>
              <w:rPr>
                <w:color w:val="000000"/>
                <w:sz w:val="20"/>
                <w:szCs w:val="20"/>
              </w:rPr>
              <w:t>11.340.000</w:t>
            </w:r>
          </w:p>
        </w:tc>
        <w:tc>
          <w:tcPr>
            <w:tcW w:w="1848" w:type="dxa"/>
            <w:noWrap/>
            <w:vAlign w:val="center"/>
          </w:tcPr>
          <w:p w14:paraId="152CED0A">
            <w:pPr>
              <w:jc w:val="center"/>
              <w:rPr>
                <w:color w:val="000000"/>
                <w:sz w:val="20"/>
                <w:szCs w:val="20"/>
              </w:rPr>
            </w:pPr>
            <w:r>
              <w:rPr>
                <w:color w:val="000000"/>
                <w:sz w:val="20"/>
                <w:szCs w:val="20"/>
              </w:rPr>
              <w:t>1.105.650.000</w:t>
            </w:r>
          </w:p>
        </w:tc>
      </w:tr>
      <w:tr w14:paraId="2711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A4F713B">
            <w:pPr>
              <w:jc w:val="center"/>
              <w:rPr>
                <w:b/>
                <w:bCs/>
                <w:color w:val="000000"/>
                <w:sz w:val="20"/>
                <w:szCs w:val="20"/>
              </w:rPr>
            </w:pPr>
            <w:r>
              <w:rPr>
                <w:b/>
                <w:bCs/>
                <w:color w:val="000000"/>
                <w:sz w:val="20"/>
                <w:szCs w:val="20"/>
              </w:rPr>
              <w:t>LK03</w:t>
            </w:r>
          </w:p>
        </w:tc>
        <w:tc>
          <w:tcPr>
            <w:tcW w:w="1802" w:type="dxa"/>
            <w:vAlign w:val="center"/>
          </w:tcPr>
          <w:p w14:paraId="44B7B894">
            <w:pPr>
              <w:jc w:val="center"/>
              <w:rPr>
                <w:color w:val="000000"/>
                <w:sz w:val="20"/>
                <w:szCs w:val="20"/>
              </w:rPr>
            </w:pPr>
            <w:r>
              <w:rPr>
                <w:color w:val="000000"/>
                <w:sz w:val="20"/>
                <w:szCs w:val="20"/>
              </w:rPr>
              <w:t>LK03:02</w:t>
            </w:r>
          </w:p>
        </w:tc>
        <w:tc>
          <w:tcPr>
            <w:tcW w:w="1033" w:type="dxa"/>
            <w:noWrap/>
            <w:vAlign w:val="center"/>
          </w:tcPr>
          <w:p w14:paraId="5730DEEE">
            <w:pPr>
              <w:jc w:val="center"/>
              <w:rPr>
                <w:color w:val="000000"/>
                <w:sz w:val="20"/>
                <w:szCs w:val="20"/>
              </w:rPr>
            </w:pPr>
            <w:r>
              <w:rPr>
                <w:color w:val="000000"/>
                <w:sz w:val="20"/>
                <w:szCs w:val="20"/>
              </w:rPr>
              <w:t>97,50</w:t>
            </w:r>
          </w:p>
        </w:tc>
        <w:tc>
          <w:tcPr>
            <w:tcW w:w="846" w:type="dxa"/>
            <w:noWrap/>
            <w:vAlign w:val="center"/>
          </w:tcPr>
          <w:p w14:paraId="08E53026">
            <w:pPr>
              <w:jc w:val="center"/>
              <w:rPr>
                <w:color w:val="000000"/>
                <w:sz w:val="20"/>
                <w:szCs w:val="20"/>
              </w:rPr>
            </w:pPr>
            <w:r>
              <w:rPr>
                <w:color w:val="000000"/>
                <w:sz w:val="20"/>
                <w:szCs w:val="20"/>
              </w:rPr>
              <w:t>1</w:t>
            </w:r>
          </w:p>
        </w:tc>
        <w:tc>
          <w:tcPr>
            <w:tcW w:w="2578" w:type="dxa"/>
            <w:noWrap/>
            <w:vAlign w:val="center"/>
          </w:tcPr>
          <w:p w14:paraId="5B74D38E">
            <w:pPr>
              <w:jc w:val="center"/>
              <w:rPr>
                <w:color w:val="000000"/>
                <w:sz w:val="20"/>
                <w:szCs w:val="20"/>
              </w:rPr>
            </w:pPr>
            <w:r>
              <w:rPr>
                <w:color w:val="000000"/>
                <w:sz w:val="20"/>
                <w:szCs w:val="20"/>
              </w:rPr>
              <w:t>Mặt cắt 3-3</w:t>
            </w:r>
          </w:p>
        </w:tc>
        <w:tc>
          <w:tcPr>
            <w:tcW w:w="2393" w:type="dxa"/>
            <w:noWrap/>
            <w:vAlign w:val="center"/>
          </w:tcPr>
          <w:p w14:paraId="2BE4DFCE">
            <w:pPr>
              <w:jc w:val="center"/>
              <w:rPr>
                <w:color w:val="000000"/>
                <w:sz w:val="20"/>
                <w:szCs w:val="20"/>
              </w:rPr>
            </w:pPr>
            <w:r>
              <w:rPr>
                <w:color w:val="000000"/>
                <w:sz w:val="20"/>
                <w:szCs w:val="20"/>
              </w:rPr>
              <w:t>Một mặt tiền, đối diện/tiếp giáp CX-MN</w:t>
            </w:r>
          </w:p>
        </w:tc>
        <w:tc>
          <w:tcPr>
            <w:tcW w:w="1198" w:type="dxa"/>
            <w:noWrap/>
            <w:vAlign w:val="center"/>
          </w:tcPr>
          <w:p w14:paraId="066AA6EC">
            <w:pPr>
              <w:jc w:val="center"/>
              <w:rPr>
                <w:color w:val="000000"/>
                <w:sz w:val="20"/>
                <w:szCs w:val="20"/>
              </w:rPr>
            </w:pPr>
            <w:r>
              <w:rPr>
                <w:color w:val="000000"/>
                <w:sz w:val="20"/>
                <w:szCs w:val="20"/>
              </w:rPr>
              <w:t>11.340.000</w:t>
            </w:r>
          </w:p>
        </w:tc>
        <w:tc>
          <w:tcPr>
            <w:tcW w:w="1236" w:type="dxa"/>
            <w:noWrap/>
            <w:vAlign w:val="center"/>
          </w:tcPr>
          <w:p w14:paraId="44927158">
            <w:pPr>
              <w:jc w:val="center"/>
              <w:rPr>
                <w:color w:val="000000"/>
                <w:sz w:val="20"/>
                <w:szCs w:val="20"/>
              </w:rPr>
            </w:pPr>
          </w:p>
        </w:tc>
        <w:tc>
          <w:tcPr>
            <w:tcW w:w="1252" w:type="dxa"/>
            <w:noWrap/>
            <w:vAlign w:val="center"/>
          </w:tcPr>
          <w:p w14:paraId="41130CFE">
            <w:pPr>
              <w:jc w:val="center"/>
              <w:rPr>
                <w:color w:val="000000"/>
                <w:sz w:val="20"/>
                <w:szCs w:val="20"/>
              </w:rPr>
            </w:pPr>
            <w:r>
              <w:rPr>
                <w:color w:val="000000"/>
                <w:sz w:val="20"/>
                <w:szCs w:val="20"/>
              </w:rPr>
              <w:t>11.340.000</w:t>
            </w:r>
          </w:p>
        </w:tc>
        <w:tc>
          <w:tcPr>
            <w:tcW w:w="1848" w:type="dxa"/>
            <w:noWrap/>
            <w:vAlign w:val="center"/>
          </w:tcPr>
          <w:p w14:paraId="12E645D1">
            <w:pPr>
              <w:jc w:val="center"/>
              <w:rPr>
                <w:color w:val="000000"/>
                <w:sz w:val="20"/>
                <w:szCs w:val="20"/>
              </w:rPr>
            </w:pPr>
            <w:r>
              <w:rPr>
                <w:color w:val="000000"/>
                <w:sz w:val="20"/>
                <w:szCs w:val="20"/>
              </w:rPr>
              <w:t>1.105.650.000</w:t>
            </w:r>
          </w:p>
        </w:tc>
      </w:tr>
      <w:tr w14:paraId="37F5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EE5B14">
            <w:pPr>
              <w:jc w:val="center"/>
              <w:rPr>
                <w:b/>
                <w:bCs/>
                <w:color w:val="000000"/>
                <w:sz w:val="20"/>
                <w:szCs w:val="20"/>
              </w:rPr>
            </w:pPr>
            <w:r>
              <w:rPr>
                <w:b/>
                <w:bCs/>
                <w:color w:val="000000"/>
                <w:sz w:val="20"/>
                <w:szCs w:val="20"/>
              </w:rPr>
              <w:t>LK03</w:t>
            </w:r>
          </w:p>
        </w:tc>
        <w:tc>
          <w:tcPr>
            <w:tcW w:w="1802" w:type="dxa"/>
            <w:vAlign w:val="center"/>
          </w:tcPr>
          <w:p w14:paraId="3429015B">
            <w:pPr>
              <w:jc w:val="center"/>
              <w:rPr>
                <w:color w:val="000000"/>
                <w:sz w:val="20"/>
                <w:szCs w:val="20"/>
              </w:rPr>
            </w:pPr>
            <w:r>
              <w:rPr>
                <w:color w:val="000000"/>
                <w:sz w:val="20"/>
                <w:szCs w:val="20"/>
              </w:rPr>
              <w:t>LK03:03</w:t>
            </w:r>
          </w:p>
        </w:tc>
        <w:tc>
          <w:tcPr>
            <w:tcW w:w="1033" w:type="dxa"/>
            <w:noWrap/>
            <w:vAlign w:val="center"/>
          </w:tcPr>
          <w:p w14:paraId="2425D9E6">
            <w:pPr>
              <w:jc w:val="center"/>
              <w:rPr>
                <w:color w:val="000000"/>
                <w:sz w:val="20"/>
                <w:szCs w:val="20"/>
              </w:rPr>
            </w:pPr>
            <w:r>
              <w:rPr>
                <w:color w:val="000000"/>
                <w:sz w:val="20"/>
                <w:szCs w:val="20"/>
              </w:rPr>
              <w:t>97,50</w:t>
            </w:r>
          </w:p>
        </w:tc>
        <w:tc>
          <w:tcPr>
            <w:tcW w:w="846" w:type="dxa"/>
            <w:noWrap/>
            <w:vAlign w:val="center"/>
          </w:tcPr>
          <w:p w14:paraId="5B251E3A">
            <w:pPr>
              <w:jc w:val="center"/>
              <w:rPr>
                <w:color w:val="000000"/>
                <w:sz w:val="20"/>
                <w:szCs w:val="20"/>
              </w:rPr>
            </w:pPr>
            <w:r>
              <w:rPr>
                <w:color w:val="000000"/>
                <w:sz w:val="20"/>
                <w:szCs w:val="20"/>
              </w:rPr>
              <w:t>1</w:t>
            </w:r>
          </w:p>
        </w:tc>
        <w:tc>
          <w:tcPr>
            <w:tcW w:w="2578" w:type="dxa"/>
            <w:noWrap/>
            <w:vAlign w:val="center"/>
          </w:tcPr>
          <w:p w14:paraId="3A057076">
            <w:pPr>
              <w:jc w:val="center"/>
              <w:rPr>
                <w:color w:val="000000"/>
                <w:sz w:val="20"/>
                <w:szCs w:val="20"/>
              </w:rPr>
            </w:pPr>
            <w:r>
              <w:rPr>
                <w:color w:val="000000"/>
                <w:sz w:val="20"/>
                <w:szCs w:val="20"/>
              </w:rPr>
              <w:t>Mặt cắt 3-3</w:t>
            </w:r>
          </w:p>
        </w:tc>
        <w:tc>
          <w:tcPr>
            <w:tcW w:w="2393" w:type="dxa"/>
            <w:noWrap/>
            <w:vAlign w:val="center"/>
          </w:tcPr>
          <w:p w14:paraId="7DB82D17">
            <w:pPr>
              <w:jc w:val="center"/>
              <w:rPr>
                <w:color w:val="000000"/>
                <w:sz w:val="20"/>
                <w:szCs w:val="20"/>
              </w:rPr>
            </w:pPr>
            <w:r>
              <w:rPr>
                <w:color w:val="000000"/>
                <w:sz w:val="20"/>
                <w:szCs w:val="20"/>
              </w:rPr>
              <w:t>Một mặt tiền, đối diện/tiếp giáp CX-MN</w:t>
            </w:r>
          </w:p>
        </w:tc>
        <w:tc>
          <w:tcPr>
            <w:tcW w:w="1198" w:type="dxa"/>
            <w:noWrap/>
            <w:vAlign w:val="center"/>
          </w:tcPr>
          <w:p w14:paraId="1DA6BD79">
            <w:pPr>
              <w:jc w:val="center"/>
              <w:rPr>
                <w:color w:val="000000"/>
                <w:sz w:val="20"/>
                <w:szCs w:val="20"/>
              </w:rPr>
            </w:pPr>
            <w:r>
              <w:rPr>
                <w:color w:val="000000"/>
                <w:sz w:val="20"/>
                <w:szCs w:val="20"/>
              </w:rPr>
              <w:t>11.340.000</w:t>
            </w:r>
          </w:p>
        </w:tc>
        <w:tc>
          <w:tcPr>
            <w:tcW w:w="1236" w:type="dxa"/>
            <w:noWrap/>
            <w:vAlign w:val="center"/>
          </w:tcPr>
          <w:p w14:paraId="20BF9703">
            <w:pPr>
              <w:jc w:val="center"/>
              <w:rPr>
                <w:color w:val="000000"/>
                <w:sz w:val="20"/>
                <w:szCs w:val="20"/>
              </w:rPr>
            </w:pPr>
          </w:p>
        </w:tc>
        <w:tc>
          <w:tcPr>
            <w:tcW w:w="1252" w:type="dxa"/>
            <w:noWrap/>
            <w:vAlign w:val="center"/>
          </w:tcPr>
          <w:p w14:paraId="71110F93">
            <w:pPr>
              <w:jc w:val="center"/>
              <w:rPr>
                <w:color w:val="000000"/>
                <w:sz w:val="20"/>
                <w:szCs w:val="20"/>
              </w:rPr>
            </w:pPr>
            <w:r>
              <w:rPr>
                <w:color w:val="000000"/>
                <w:sz w:val="20"/>
                <w:szCs w:val="20"/>
              </w:rPr>
              <w:t>11.340.000</w:t>
            </w:r>
          </w:p>
        </w:tc>
        <w:tc>
          <w:tcPr>
            <w:tcW w:w="1848" w:type="dxa"/>
            <w:noWrap/>
            <w:vAlign w:val="center"/>
          </w:tcPr>
          <w:p w14:paraId="368F712A">
            <w:pPr>
              <w:jc w:val="center"/>
              <w:rPr>
                <w:color w:val="000000"/>
                <w:sz w:val="20"/>
                <w:szCs w:val="20"/>
              </w:rPr>
            </w:pPr>
            <w:r>
              <w:rPr>
                <w:color w:val="000000"/>
                <w:sz w:val="20"/>
                <w:szCs w:val="20"/>
              </w:rPr>
              <w:t>1.105.650.000</w:t>
            </w:r>
          </w:p>
        </w:tc>
      </w:tr>
      <w:tr w14:paraId="00CA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4000138">
            <w:pPr>
              <w:jc w:val="center"/>
              <w:rPr>
                <w:b/>
                <w:bCs/>
                <w:color w:val="000000"/>
                <w:sz w:val="20"/>
                <w:szCs w:val="20"/>
              </w:rPr>
            </w:pPr>
            <w:r>
              <w:rPr>
                <w:b/>
                <w:bCs/>
                <w:color w:val="000000"/>
                <w:sz w:val="20"/>
                <w:szCs w:val="20"/>
              </w:rPr>
              <w:t>LK03</w:t>
            </w:r>
          </w:p>
        </w:tc>
        <w:tc>
          <w:tcPr>
            <w:tcW w:w="1802" w:type="dxa"/>
            <w:vAlign w:val="center"/>
          </w:tcPr>
          <w:p w14:paraId="1F3BA8F9">
            <w:pPr>
              <w:jc w:val="center"/>
              <w:rPr>
                <w:color w:val="000000"/>
                <w:sz w:val="20"/>
                <w:szCs w:val="20"/>
              </w:rPr>
            </w:pPr>
            <w:r>
              <w:rPr>
                <w:color w:val="000000"/>
                <w:sz w:val="20"/>
                <w:szCs w:val="20"/>
              </w:rPr>
              <w:t>LK03:04</w:t>
            </w:r>
          </w:p>
        </w:tc>
        <w:tc>
          <w:tcPr>
            <w:tcW w:w="1033" w:type="dxa"/>
            <w:noWrap/>
            <w:vAlign w:val="center"/>
          </w:tcPr>
          <w:p w14:paraId="4ECE13F3">
            <w:pPr>
              <w:jc w:val="center"/>
              <w:rPr>
                <w:color w:val="000000"/>
                <w:sz w:val="20"/>
                <w:szCs w:val="20"/>
              </w:rPr>
            </w:pPr>
            <w:r>
              <w:rPr>
                <w:color w:val="000000"/>
                <w:sz w:val="20"/>
                <w:szCs w:val="20"/>
              </w:rPr>
              <w:t>97,50</w:t>
            </w:r>
          </w:p>
        </w:tc>
        <w:tc>
          <w:tcPr>
            <w:tcW w:w="846" w:type="dxa"/>
            <w:noWrap/>
            <w:vAlign w:val="center"/>
          </w:tcPr>
          <w:p w14:paraId="52E033A8">
            <w:pPr>
              <w:jc w:val="center"/>
              <w:rPr>
                <w:color w:val="000000"/>
                <w:sz w:val="20"/>
                <w:szCs w:val="20"/>
              </w:rPr>
            </w:pPr>
            <w:r>
              <w:rPr>
                <w:color w:val="000000"/>
                <w:sz w:val="20"/>
                <w:szCs w:val="20"/>
              </w:rPr>
              <w:t>1</w:t>
            </w:r>
          </w:p>
        </w:tc>
        <w:tc>
          <w:tcPr>
            <w:tcW w:w="2578" w:type="dxa"/>
            <w:noWrap/>
            <w:vAlign w:val="center"/>
          </w:tcPr>
          <w:p w14:paraId="7E2AA0D3">
            <w:pPr>
              <w:jc w:val="center"/>
              <w:rPr>
                <w:color w:val="000000"/>
                <w:sz w:val="20"/>
                <w:szCs w:val="20"/>
              </w:rPr>
            </w:pPr>
            <w:r>
              <w:rPr>
                <w:color w:val="000000"/>
                <w:sz w:val="20"/>
                <w:szCs w:val="20"/>
              </w:rPr>
              <w:t>Mặt cắt 3-3</w:t>
            </w:r>
          </w:p>
        </w:tc>
        <w:tc>
          <w:tcPr>
            <w:tcW w:w="2393" w:type="dxa"/>
            <w:noWrap/>
            <w:vAlign w:val="center"/>
          </w:tcPr>
          <w:p w14:paraId="4468B4F7">
            <w:pPr>
              <w:jc w:val="center"/>
              <w:rPr>
                <w:color w:val="000000"/>
                <w:sz w:val="20"/>
                <w:szCs w:val="20"/>
              </w:rPr>
            </w:pPr>
            <w:r>
              <w:rPr>
                <w:color w:val="000000"/>
                <w:sz w:val="20"/>
                <w:szCs w:val="20"/>
              </w:rPr>
              <w:t>Một mặt tiền, đối diện/tiếp giáp CX-MN</w:t>
            </w:r>
          </w:p>
        </w:tc>
        <w:tc>
          <w:tcPr>
            <w:tcW w:w="1198" w:type="dxa"/>
            <w:noWrap/>
            <w:vAlign w:val="center"/>
          </w:tcPr>
          <w:p w14:paraId="7FF33A5F">
            <w:pPr>
              <w:jc w:val="center"/>
              <w:rPr>
                <w:color w:val="000000"/>
                <w:sz w:val="20"/>
                <w:szCs w:val="20"/>
              </w:rPr>
            </w:pPr>
            <w:r>
              <w:rPr>
                <w:color w:val="000000"/>
                <w:sz w:val="20"/>
                <w:szCs w:val="20"/>
              </w:rPr>
              <w:t>11.340.000</w:t>
            </w:r>
          </w:p>
        </w:tc>
        <w:tc>
          <w:tcPr>
            <w:tcW w:w="1236" w:type="dxa"/>
            <w:noWrap/>
            <w:vAlign w:val="center"/>
          </w:tcPr>
          <w:p w14:paraId="31135C21">
            <w:pPr>
              <w:jc w:val="center"/>
              <w:rPr>
                <w:color w:val="000000"/>
                <w:sz w:val="20"/>
                <w:szCs w:val="20"/>
              </w:rPr>
            </w:pPr>
          </w:p>
        </w:tc>
        <w:tc>
          <w:tcPr>
            <w:tcW w:w="1252" w:type="dxa"/>
            <w:noWrap/>
            <w:vAlign w:val="center"/>
          </w:tcPr>
          <w:p w14:paraId="4EC21D27">
            <w:pPr>
              <w:jc w:val="center"/>
              <w:rPr>
                <w:color w:val="000000"/>
                <w:sz w:val="20"/>
                <w:szCs w:val="20"/>
              </w:rPr>
            </w:pPr>
            <w:r>
              <w:rPr>
                <w:color w:val="000000"/>
                <w:sz w:val="20"/>
                <w:szCs w:val="20"/>
              </w:rPr>
              <w:t>11.340.000</w:t>
            </w:r>
          </w:p>
        </w:tc>
        <w:tc>
          <w:tcPr>
            <w:tcW w:w="1848" w:type="dxa"/>
            <w:noWrap/>
            <w:vAlign w:val="center"/>
          </w:tcPr>
          <w:p w14:paraId="07E53FBB">
            <w:pPr>
              <w:jc w:val="center"/>
              <w:rPr>
                <w:color w:val="000000"/>
                <w:sz w:val="20"/>
                <w:szCs w:val="20"/>
              </w:rPr>
            </w:pPr>
            <w:r>
              <w:rPr>
                <w:color w:val="000000"/>
                <w:sz w:val="20"/>
                <w:szCs w:val="20"/>
              </w:rPr>
              <w:t>1.105.650.000</w:t>
            </w:r>
          </w:p>
        </w:tc>
      </w:tr>
      <w:tr w14:paraId="69B5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9326A8E">
            <w:pPr>
              <w:jc w:val="center"/>
              <w:rPr>
                <w:b/>
                <w:bCs/>
                <w:color w:val="000000"/>
                <w:sz w:val="20"/>
                <w:szCs w:val="20"/>
              </w:rPr>
            </w:pPr>
            <w:r>
              <w:rPr>
                <w:b/>
                <w:bCs/>
                <w:color w:val="000000"/>
                <w:sz w:val="20"/>
                <w:szCs w:val="20"/>
              </w:rPr>
              <w:t>LK03</w:t>
            </w:r>
          </w:p>
        </w:tc>
        <w:tc>
          <w:tcPr>
            <w:tcW w:w="1802" w:type="dxa"/>
            <w:vAlign w:val="center"/>
          </w:tcPr>
          <w:p w14:paraId="1E2EAF6B">
            <w:pPr>
              <w:jc w:val="center"/>
              <w:rPr>
                <w:color w:val="000000"/>
                <w:sz w:val="20"/>
                <w:szCs w:val="20"/>
              </w:rPr>
            </w:pPr>
            <w:r>
              <w:rPr>
                <w:color w:val="000000"/>
                <w:sz w:val="20"/>
                <w:szCs w:val="20"/>
              </w:rPr>
              <w:t>LK03:05</w:t>
            </w:r>
          </w:p>
        </w:tc>
        <w:tc>
          <w:tcPr>
            <w:tcW w:w="1033" w:type="dxa"/>
            <w:noWrap/>
            <w:vAlign w:val="center"/>
          </w:tcPr>
          <w:p w14:paraId="000C5532">
            <w:pPr>
              <w:jc w:val="center"/>
              <w:rPr>
                <w:color w:val="000000"/>
                <w:sz w:val="20"/>
                <w:szCs w:val="20"/>
              </w:rPr>
            </w:pPr>
            <w:r>
              <w:rPr>
                <w:color w:val="000000"/>
                <w:sz w:val="20"/>
                <w:szCs w:val="20"/>
              </w:rPr>
              <w:t>97,50</w:t>
            </w:r>
          </w:p>
        </w:tc>
        <w:tc>
          <w:tcPr>
            <w:tcW w:w="846" w:type="dxa"/>
            <w:noWrap/>
            <w:vAlign w:val="center"/>
          </w:tcPr>
          <w:p w14:paraId="742D10EA">
            <w:pPr>
              <w:jc w:val="center"/>
              <w:rPr>
                <w:color w:val="000000"/>
                <w:sz w:val="20"/>
                <w:szCs w:val="20"/>
              </w:rPr>
            </w:pPr>
            <w:r>
              <w:rPr>
                <w:color w:val="000000"/>
                <w:sz w:val="20"/>
                <w:szCs w:val="20"/>
              </w:rPr>
              <w:t>1</w:t>
            </w:r>
          </w:p>
        </w:tc>
        <w:tc>
          <w:tcPr>
            <w:tcW w:w="2578" w:type="dxa"/>
            <w:noWrap/>
            <w:vAlign w:val="center"/>
          </w:tcPr>
          <w:p w14:paraId="7FEED239">
            <w:pPr>
              <w:jc w:val="center"/>
              <w:rPr>
                <w:color w:val="000000"/>
                <w:sz w:val="20"/>
                <w:szCs w:val="20"/>
              </w:rPr>
            </w:pPr>
            <w:r>
              <w:rPr>
                <w:color w:val="000000"/>
                <w:sz w:val="20"/>
                <w:szCs w:val="20"/>
              </w:rPr>
              <w:t>Mặt cắt 3-3</w:t>
            </w:r>
          </w:p>
        </w:tc>
        <w:tc>
          <w:tcPr>
            <w:tcW w:w="2393" w:type="dxa"/>
            <w:noWrap/>
            <w:vAlign w:val="center"/>
          </w:tcPr>
          <w:p w14:paraId="0803CDDF">
            <w:pPr>
              <w:jc w:val="center"/>
              <w:rPr>
                <w:color w:val="000000"/>
                <w:sz w:val="20"/>
                <w:szCs w:val="20"/>
              </w:rPr>
            </w:pPr>
            <w:r>
              <w:rPr>
                <w:color w:val="000000"/>
                <w:sz w:val="20"/>
                <w:szCs w:val="20"/>
              </w:rPr>
              <w:t>Một mặt tiền, đối diện/tiếp giáp CX-MN</w:t>
            </w:r>
          </w:p>
        </w:tc>
        <w:tc>
          <w:tcPr>
            <w:tcW w:w="1198" w:type="dxa"/>
            <w:noWrap/>
            <w:vAlign w:val="center"/>
          </w:tcPr>
          <w:p w14:paraId="14FD8C8D">
            <w:pPr>
              <w:jc w:val="center"/>
              <w:rPr>
                <w:color w:val="000000"/>
                <w:sz w:val="20"/>
                <w:szCs w:val="20"/>
              </w:rPr>
            </w:pPr>
            <w:r>
              <w:rPr>
                <w:color w:val="000000"/>
                <w:sz w:val="20"/>
                <w:szCs w:val="20"/>
              </w:rPr>
              <w:t>11.340.000</w:t>
            </w:r>
          </w:p>
        </w:tc>
        <w:tc>
          <w:tcPr>
            <w:tcW w:w="1236" w:type="dxa"/>
            <w:noWrap/>
            <w:vAlign w:val="center"/>
          </w:tcPr>
          <w:p w14:paraId="5E05BAF6">
            <w:pPr>
              <w:jc w:val="center"/>
              <w:rPr>
                <w:color w:val="000000"/>
                <w:sz w:val="20"/>
                <w:szCs w:val="20"/>
              </w:rPr>
            </w:pPr>
          </w:p>
        </w:tc>
        <w:tc>
          <w:tcPr>
            <w:tcW w:w="1252" w:type="dxa"/>
            <w:noWrap/>
            <w:vAlign w:val="center"/>
          </w:tcPr>
          <w:p w14:paraId="1CE262FC">
            <w:pPr>
              <w:jc w:val="center"/>
              <w:rPr>
                <w:color w:val="000000"/>
                <w:sz w:val="20"/>
                <w:szCs w:val="20"/>
              </w:rPr>
            </w:pPr>
            <w:r>
              <w:rPr>
                <w:color w:val="000000"/>
                <w:sz w:val="20"/>
                <w:szCs w:val="20"/>
              </w:rPr>
              <w:t>11.340.000</w:t>
            </w:r>
          </w:p>
        </w:tc>
        <w:tc>
          <w:tcPr>
            <w:tcW w:w="1848" w:type="dxa"/>
            <w:noWrap/>
            <w:vAlign w:val="center"/>
          </w:tcPr>
          <w:p w14:paraId="33FC1B70">
            <w:pPr>
              <w:jc w:val="center"/>
              <w:rPr>
                <w:color w:val="000000"/>
                <w:sz w:val="20"/>
                <w:szCs w:val="20"/>
              </w:rPr>
            </w:pPr>
            <w:r>
              <w:rPr>
                <w:color w:val="000000"/>
                <w:sz w:val="20"/>
                <w:szCs w:val="20"/>
              </w:rPr>
              <w:t>1.105.650.000</w:t>
            </w:r>
          </w:p>
        </w:tc>
      </w:tr>
      <w:tr w14:paraId="3A5B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104D762">
            <w:pPr>
              <w:jc w:val="center"/>
              <w:rPr>
                <w:b/>
                <w:bCs/>
                <w:color w:val="000000"/>
                <w:sz w:val="20"/>
                <w:szCs w:val="20"/>
              </w:rPr>
            </w:pPr>
            <w:r>
              <w:rPr>
                <w:b/>
                <w:bCs/>
                <w:color w:val="000000"/>
                <w:sz w:val="20"/>
                <w:szCs w:val="20"/>
              </w:rPr>
              <w:t>LK03</w:t>
            </w:r>
          </w:p>
        </w:tc>
        <w:tc>
          <w:tcPr>
            <w:tcW w:w="1802" w:type="dxa"/>
            <w:vAlign w:val="center"/>
          </w:tcPr>
          <w:p w14:paraId="61C7CCE6">
            <w:pPr>
              <w:jc w:val="center"/>
              <w:rPr>
                <w:color w:val="000000"/>
                <w:sz w:val="20"/>
                <w:szCs w:val="20"/>
              </w:rPr>
            </w:pPr>
            <w:r>
              <w:rPr>
                <w:color w:val="000000"/>
                <w:sz w:val="20"/>
                <w:szCs w:val="20"/>
              </w:rPr>
              <w:t>LK03:06</w:t>
            </w:r>
          </w:p>
        </w:tc>
        <w:tc>
          <w:tcPr>
            <w:tcW w:w="1033" w:type="dxa"/>
            <w:noWrap/>
            <w:vAlign w:val="center"/>
          </w:tcPr>
          <w:p w14:paraId="490C8EF6">
            <w:pPr>
              <w:jc w:val="center"/>
              <w:rPr>
                <w:color w:val="000000"/>
                <w:sz w:val="20"/>
                <w:szCs w:val="20"/>
              </w:rPr>
            </w:pPr>
            <w:r>
              <w:rPr>
                <w:color w:val="000000"/>
                <w:sz w:val="20"/>
                <w:szCs w:val="20"/>
              </w:rPr>
              <w:t>97,50</w:t>
            </w:r>
          </w:p>
        </w:tc>
        <w:tc>
          <w:tcPr>
            <w:tcW w:w="846" w:type="dxa"/>
            <w:noWrap/>
            <w:vAlign w:val="center"/>
          </w:tcPr>
          <w:p w14:paraId="01D5536E">
            <w:pPr>
              <w:jc w:val="center"/>
              <w:rPr>
                <w:color w:val="000000"/>
                <w:sz w:val="20"/>
                <w:szCs w:val="20"/>
              </w:rPr>
            </w:pPr>
            <w:r>
              <w:rPr>
                <w:color w:val="000000"/>
                <w:sz w:val="20"/>
                <w:szCs w:val="20"/>
              </w:rPr>
              <w:t>1</w:t>
            </w:r>
          </w:p>
        </w:tc>
        <w:tc>
          <w:tcPr>
            <w:tcW w:w="2578" w:type="dxa"/>
            <w:noWrap/>
            <w:vAlign w:val="center"/>
          </w:tcPr>
          <w:p w14:paraId="6FEE5130">
            <w:pPr>
              <w:jc w:val="center"/>
              <w:rPr>
                <w:color w:val="000000"/>
                <w:sz w:val="20"/>
                <w:szCs w:val="20"/>
              </w:rPr>
            </w:pPr>
            <w:r>
              <w:rPr>
                <w:color w:val="000000"/>
                <w:sz w:val="20"/>
                <w:szCs w:val="20"/>
              </w:rPr>
              <w:t>Mặt cắt 3-3</w:t>
            </w:r>
          </w:p>
        </w:tc>
        <w:tc>
          <w:tcPr>
            <w:tcW w:w="2393" w:type="dxa"/>
            <w:noWrap/>
            <w:vAlign w:val="center"/>
          </w:tcPr>
          <w:p w14:paraId="24ADA16B">
            <w:pPr>
              <w:jc w:val="center"/>
              <w:rPr>
                <w:color w:val="000000"/>
                <w:sz w:val="20"/>
                <w:szCs w:val="20"/>
              </w:rPr>
            </w:pPr>
            <w:r>
              <w:rPr>
                <w:color w:val="000000"/>
                <w:sz w:val="20"/>
                <w:szCs w:val="20"/>
              </w:rPr>
              <w:t>Một mặt tiền, đối diện/tiếp giáp CX-MN</w:t>
            </w:r>
          </w:p>
        </w:tc>
        <w:tc>
          <w:tcPr>
            <w:tcW w:w="1198" w:type="dxa"/>
            <w:noWrap/>
            <w:vAlign w:val="center"/>
          </w:tcPr>
          <w:p w14:paraId="34163D8B">
            <w:pPr>
              <w:jc w:val="center"/>
              <w:rPr>
                <w:color w:val="000000"/>
                <w:sz w:val="20"/>
                <w:szCs w:val="20"/>
              </w:rPr>
            </w:pPr>
            <w:r>
              <w:rPr>
                <w:color w:val="000000"/>
                <w:sz w:val="20"/>
                <w:szCs w:val="20"/>
              </w:rPr>
              <w:t>11.340.000</w:t>
            </w:r>
          </w:p>
        </w:tc>
        <w:tc>
          <w:tcPr>
            <w:tcW w:w="1236" w:type="dxa"/>
            <w:noWrap/>
            <w:vAlign w:val="center"/>
          </w:tcPr>
          <w:p w14:paraId="5443D5C3">
            <w:pPr>
              <w:jc w:val="center"/>
              <w:rPr>
                <w:color w:val="000000"/>
                <w:sz w:val="20"/>
                <w:szCs w:val="20"/>
              </w:rPr>
            </w:pPr>
          </w:p>
        </w:tc>
        <w:tc>
          <w:tcPr>
            <w:tcW w:w="1252" w:type="dxa"/>
            <w:noWrap/>
            <w:vAlign w:val="center"/>
          </w:tcPr>
          <w:p w14:paraId="496C72A1">
            <w:pPr>
              <w:jc w:val="center"/>
              <w:rPr>
                <w:color w:val="000000"/>
                <w:sz w:val="20"/>
                <w:szCs w:val="20"/>
              </w:rPr>
            </w:pPr>
            <w:r>
              <w:rPr>
                <w:color w:val="000000"/>
                <w:sz w:val="20"/>
                <w:szCs w:val="20"/>
              </w:rPr>
              <w:t>11.340.000</w:t>
            </w:r>
          </w:p>
        </w:tc>
        <w:tc>
          <w:tcPr>
            <w:tcW w:w="1848" w:type="dxa"/>
            <w:noWrap/>
            <w:vAlign w:val="center"/>
          </w:tcPr>
          <w:p w14:paraId="60766DB1">
            <w:pPr>
              <w:jc w:val="center"/>
              <w:rPr>
                <w:color w:val="000000"/>
                <w:sz w:val="20"/>
                <w:szCs w:val="20"/>
              </w:rPr>
            </w:pPr>
            <w:r>
              <w:rPr>
                <w:color w:val="000000"/>
                <w:sz w:val="20"/>
                <w:szCs w:val="20"/>
              </w:rPr>
              <w:t>1.105.650.000</w:t>
            </w:r>
          </w:p>
        </w:tc>
      </w:tr>
      <w:tr w14:paraId="70A9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1E90B29">
            <w:pPr>
              <w:jc w:val="center"/>
              <w:rPr>
                <w:b/>
                <w:bCs/>
                <w:color w:val="000000"/>
                <w:sz w:val="20"/>
                <w:szCs w:val="20"/>
              </w:rPr>
            </w:pPr>
            <w:r>
              <w:rPr>
                <w:b/>
                <w:bCs/>
                <w:color w:val="000000"/>
                <w:sz w:val="20"/>
                <w:szCs w:val="20"/>
              </w:rPr>
              <w:t>LK03</w:t>
            </w:r>
          </w:p>
        </w:tc>
        <w:tc>
          <w:tcPr>
            <w:tcW w:w="1802" w:type="dxa"/>
            <w:vAlign w:val="center"/>
          </w:tcPr>
          <w:p w14:paraId="745DFA95">
            <w:pPr>
              <w:jc w:val="center"/>
              <w:rPr>
                <w:color w:val="000000"/>
                <w:sz w:val="20"/>
                <w:szCs w:val="20"/>
              </w:rPr>
            </w:pPr>
            <w:r>
              <w:rPr>
                <w:color w:val="000000"/>
                <w:sz w:val="20"/>
                <w:szCs w:val="20"/>
              </w:rPr>
              <w:t>LK03:07</w:t>
            </w:r>
          </w:p>
        </w:tc>
        <w:tc>
          <w:tcPr>
            <w:tcW w:w="1033" w:type="dxa"/>
            <w:noWrap/>
            <w:vAlign w:val="center"/>
          </w:tcPr>
          <w:p w14:paraId="54632C66">
            <w:pPr>
              <w:jc w:val="center"/>
              <w:rPr>
                <w:color w:val="000000"/>
                <w:sz w:val="20"/>
                <w:szCs w:val="20"/>
              </w:rPr>
            </w:pPr>
            <w:r>
              <w:rPr>
                <w:color w:val="000000"/>
                <w:sz w:val="20"/>
                <w:szCs w:val="20"/>
              </w:rPr>
              <w:t>97,50</w:t>
            </w:r>
          </w:p>
        </w:tc>
        <w:tc>
          <w:tcPr>
            <w:tcW w:w="846" w:type="dxa"/>
            <w:noWrap/>
            <w:vAlign w:val="center"/>
          </w:tcPr>
          <w:p w14:paraId="7BAB3212">
            <w:pPr>
              <w:jc w:val="center"/>
              <w:rPr>
                <w:color w:val="000000"/>
                <w:sz w:val="20"/>
                <w:szCs w:val="20"/>
              </w:rPr>
            </w:pPr>
            <w:r>
              <w:rPr>
                <w:color w:val="000000"/>
                <w:sz w:val="20"/>
                <w:szCs w:val="20"/>
              </w:rPr>
              <w:t>1</w:t>
            </w:r>
          </w:p>
        </w:tc>
        <w:tc>
          <w:tcPr>
            <w:tcW w:w="2578" w:type="dxa"/>
            <w:noWrap/>
            <w:vAlign w:val="center"/>
          </w:tcPr>
          <w:p w14:paraId="71ACE7C1">
            <w:pPr>
              <w:jc w:val="center"/>
              <w:rPr>
                <w:color w:val="000000"/>
                <w:sz w:val="20"/>
                <w:szCs w:val="20"/>
              </w:rPr>
            </w:pPr>
            <w:r>
              <w:rPr>
                <w:color w:val="000000"/>
                <w:sz w:val="20"/>
                <w:szCs w:val="20"/>
              </w:rPr>
              <w:t>Mặt cắt 3-3</w:t>
            </w:r>
          </w:p>
        </w:tc>
        <w:tc>
          <w:tcPr>
            <w:tcW w:w="2393" w:type="dxa"/>
            <w:noWrap/>
            <w:vAlign w:val="center"/>
          </w:tcPr>
          <w:p w14:paraId="1143C3D6">
            <w:pPr>
              <w:jc w:val="center"/>
              <w:rPr>
                <w:color w:val="000000"/>
                <w:sz w:val="20"/>
                <w:szCs w:val="20"/>
              </w:rPr>
            </w:pPr>
            <w:r>
              <w:rPr>
                <w:color w:val="000000"/>
                <w:sz w:val="20"/>
                <w:szCs w:val="20"/>
              </w:rPr>
              <w:t>Một mặt tiền, đối diện/tiếp giáp CX-MN</w:t>
            </w:r>
          </w:p>
        </w:tc>
        <w:tc>
          <w:tcPr>
            <w:tcW w:w="1198" w:type="dxa"/>
            <w:noWrap/>
            <w:vAlign w:val="center"/>
          </w:tcPr>
          <w:p w14:paraId="6FBCB1CB">
            <w:pPr>
              <w:jc w:val="center"/>
              <w:rPr>
                <w:color w:val="000000"/>
                <w:sz w:val="20"/>
                <w:szCs w:val="20"/>
              </w:rPr>
            </w:pPr>
            <w:r>
              <w:rPr>
                <w:color w:val="000000"/>
                <w:sz w:val="20"/>
                <w:szCs w:val="20"/>
              </w:rPr>
              <w:t>11.340.000</w:t>
            </w:r>
          </w:p>
        </w:tc>
        <w:tc>
          <w:tcPr>
            <w:tcW w:w="1236" w:type="dxa"/>
            <w:noWrap/>
            <w:vAlign w:val="center"/>
          </w:tcPr>
          <w:p w14:paraId="34FDBCC5">
            <w:pPr>
              <w:jc w:val="center"/>
              <w:rPr>
                <w:color w:val="000000"/>
                <w:sz w:val="20"/>
                <w:szCs w:val="20"/>
              </w:rPr>
            </w:pPr>
          </w:p>
        </w:tc>
        <w:tc>
          <w:tcPr>
            <w:tcW w:w="1252" w:type="dxa"/>
            <w:noWrap/>
            <w:vAlign w:val="center"/>
          </w:tcPr>
          <w:p w14:paraId="053FAD82">
            <w:pPr>
              <w:jc w:val="center"/>
              <w:rPr>
                <w:color w:val="000000"/>
                <w:sz w:val="20"/>
                <w:szCs w:val="20"/>
              </w:rPr>
            </w:pPr>
            <w:r>
              <w:rPr>
                <w:color w:val="000000"/>
                <w:sz w:val="20"/>
                <w:szCs w:val="20"/>
              </w:rPr>
              <w:t>11.340.000</w:t>
            </w:r>
          </w:p>
        </w:tc>
        <w:tc>
          <w:tcPr>
            <w:tcW w:w="1848" w:type="dxa"/>
            <w:noWrap/>
            <w:vAlign w:val="center"/>
          </w:tcPr>
          <w:p w14:paraId="76F002D4">
            <w:pPr>
              <w:jc w:val="center"/>
              <w:rPr>
                <w:color w:val="000000"/>
                <w:sz w:val="20"/>
                <w:szCs w:val="20"/>
              </w:rPr>
            </w:pPr>
            <w:r>
              <w:rPr>
                <w:color w:val="000000"/>
                <w:sz w:val="20"/>
                <w:szCs w:val="20"/>
              </w:rPr>
              <w:t>1.105.650.000</w:t>
            </w:r>
          </w:p>
        </w:tc>
      </w:tr>
      <w:tr w14:paraId="33CF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1659A63">
            <w:pPr>
              <w:jc w:val="center"/>
              <w:rPr>
                <w:b/>
                <w:bCs/>
                <w:color w:val="000000"/>
                <w:sz w:val="20"/>
                <w:szCs w:val="20"/>
              </w:rPr>
            </w:pPr>
            <w:r>
              <w:rPr>
                <w:b/>
                <w:bCs/>
                <w:color w:val="000000"/>
                <w:sz w:val="20"/>
                <w:szCs w:val="20"/>
              </w:rPr>
              <w:t>LK03</w:t>
            </w:r>
          </w:p>
        </w:tc>
        <w:tc>
          <w:tcPr>
            <w:tcW w:w="1802" w:type="dxa"/>
            <w:vAlign w:val="center"/>
          </w:tcPr>
          <w:p w14:paraId="21E084E2">
            <w:pPr>
              <w:jc w:val="center"/>
              <w:rPr>
                <w:color w:val="000000"/>
                <w:sz w:val="20"/>
                <w:szCs w:val="20"/>
              </w:rPr>
            </w:pPr>
            <w:r>
              <w:rPr>
                <w:color w:val="000000"/>
                <w:sz w:val="20"/>
                <w:szCs w:val="20"/>
              </w:rPr>
              <w:t>LK03:08</w:t>
            </w:r>
          </w:p>
        </w:tc>
        <w:tc>
          <w:tcPr>
            <w:tcW w:w="1033" w:type="dxa"/>
            <w:noWrap/>
            <w:vAlign w:val="center"/>
          </w:tcPr>
          <w:p w14:paraId="3D569F6E">
            <w:pPr>
              <w:jc w:val="center"/>
              <w:rPr>
                <w:color w:val="000000"/>
                <w:sz w:val="20"/>
                <w:szCs w:val="20"/>
              </w:rPr>
            </w:pPr>
            <w:r>
              <w:rPr>
                <w:color w:val="000000"/>
                <w:sz w:val="20"/>
                <w:szCs w:val="20"/>
              </w:rPr>
              <w:t>97,50</w:t>
            </w:r>
          </w:p>
        </w:tc>
        <w:tc>
          <w:tcPr>
            <w:tcW w:w="846" w:type="dxa"/>
            <w:noWrap/>
            <w:vAlign w:val="center"/>
          </w:tcPr>
          <w:p w14:paraId="3F2F03D2">
            <w:pPr>
              <w:jc w:val="center"/>
              <w:rPr>
                <w:color w:val="000000"/>
                <w:sz w:val="20"/>
                <w:szCs w:val="20"/>
              </w:rPr>
            </w:pPr>
            <w:r>
              <w:rPr>
                <w:color w:val="000000"/>
                <w:sz w:val="20"/>
                <w:szCs w:val="20"/>
              </w:rPr>
              <w:t>1</w:t>
            </w:r>
          </w:p>
        </w:tc>
        <w:tc>
          <w:tcPr>
            <w:tcW w:w="2578" w:type="dxa"/>
            <w:noWrap/>
            <w:vAlign w:val="center"/>
          </w:tcPr>
          <w:p w14:paraId="09B2665C">
            <w:pPr>
              <w:jc w:val="center"/>
              <w:rPr>
                <w:color w:val="000000"/>
                <w:sz w:val="20"/>
                <w:szCs w:val="20"/>
              </w:rPr>
            </w:pPr>
            <w:r>
              <w:rPr>
                <w:color w:val="000000"/>
                <w:sz w:val="20"/>
                <w:szCs w:val="20"/>
              </w:rPr>
              <w:t>Mặt cắt 3-3</w:t>
            </w:r>
          </w:p>
        </w:tc>
        <w:tc>
          <w:tcPr>
            <w:tcW w:w="2393" w:type="dxa"/>
            <w:noWrap/>
            <w:vAlign w:val="center"/>
          </w:tcPr>
          <w:p w14:paraId="1C0D8D73">
            <w:pPr>
              <w:jc w:val="center"/>
              <w:rPr>
                <w:color w:val="000000"/>
                <w:sz w:val="20"/>
                <w:szCs w:val="20"/>
              </w:rPr>
            </w:pPr>
            <w:r>
              <w:rPr>
                <w:color w:val="000000"/>
                <w:sz w:val="20"/>
                <w:szCs w:val="20"/>
              </w:rPr>
              <w:t>Một mặt tiền, đối diện/tiếp giáp CX-MN</w:t>
            </w:r>
          </w:p>
        </w:tc>
        <w:tc>
          <w:tcPr>
            <w:tcW w:w="1198" w:type="dxa"/>
            <w:noWrap/>
            <w:vAlign w:val="center"/>
          </w:tcPr>
          <w:p w14:paraId="4EF826D4">
            <w:pPr>
              <w:jc w:val="center"/>
              <w:rPr>
                <w:color w:val="000000"/>
                <w:sz w:val="20"/>
                <w:szCs w:val="20"/>
              </w:rPr>
            </w:pPr>
            <w:r>
              <w:rPr>
                <w:color w:val="000000"/>
                <w:sz w:val="20"/>
                <w:szCs w:val="20"/>
              </w:rPr>
              <w:t>11.340.000</w:t>
            </w:r>
          </w:p>
        </w:tc>
        <w:tc>
          <w:tcPr>
            <w:tcW w:w="1236" w:type="dxa"/>
            <w:noWrap/>
            <w:vAlign w:val="center"/>
          </w:tcPr>
          <w:p w14:paraId="20F679BF">
            <w:pPr>
              <w:jc w:val="center"/>
              <w:rPr>
                <w:color w:val="000000"/>
                <w:sz w:val="20"/>
                <w:szCs w:val="20"/>
              </w:rPr>
            </w:pPr>
          </w:p>
        </w:tc>
        <w:tc>
          <w:tcPr>
            <w:tcW w:w="1252" w:type="dxa"/>
            <w:noWrap/>
            <w:vAlign w:val="center"/>
          </w:tcPr>
          <w:p w14:paraId="2AA948FD">
            <w:pPr>
              <w:jc w:val="center"/>
              <w:rPr>
                <w:color w:val="000000"/>
                <w:sz w:val="20"/>
                <w:szCs w:val="20"/>
              </w:rPr>
            </w:pPr>
            <w:r>
              <w:rPr>
                <w:color w:val="000000"/>
                <w:sz w:val="20"/>
                <w:szCs w:val="20"/>
              </w:rPr>
              <w:t>11.340.000</w:t>
            </w:r>
          </w:p>
        </w:tc>
        <w:tc>
          <w:tcPr>
            <w:tcW w:w="1848" w:type="dxa"/>
            <w:noWrap/>
            <w:vAlign w:val="center"/>
          </w:tcPr>
          <w:p w14:paraId="3B61D905">
            <w:pPr>
              <w:jc w:val="center"/>
              <w:rPr>
                <w:color w:val="000000"/>
                <w:sz w:val="20"/>
                <w:szCs w:val="20"/>
              </w:rPr>
            </w:pPr>
            <w:r>
              <w:rPr>
                <w:color w:val="000000"/>
                <w:sz w:val="20"/>
                <w:szCs w:val="20"/>
              </w:rPr>
              <w:t>1.105.650.000</w:t>
            </w:r>
          </w:p>
        </w:tc>
      </w:tr>
      <w:tr w14:paraId="137C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43FFDF6">
            <w:pPr>
              <w:jc w:val="center"/>
              <w:rPr>
                <w:b/>
                <w:bCs/>
                <w:color w:val="000000"/>
                <w:sz w:val="20"/>
                <w:szCs w:val="20"/>
              </w:rPr>
            </w:pPr>
            <w:r>
              <w:rPr>
                <w:b/>
                <w:bCs/>
                <w:color w:val="000000"/>
                <w:sz w:val="20"/>
                <w:szCs w:val="20"/>
              </w:rPr>
              <w:t>LK04</w:t>
            </w:r>
          </w:p>
        </w:tc>
        <w:tc>
          <w:tcPr>
            <w:tcW w:w="1802" w:type="dxa"/>
            <w:vAlign w:val="center"/>
          </w:tcPr>
          <w:p w14:paraId="15FE83A9">
            <w:pPr>
              <w:jc w:val="center"/>
              <w:rPr>
                <w:color w:val="000000"/>
                <w:sz w:val="20"/>
                <w:szCs w:val="20"/>
              </w:rPr>
            </w:pPr>
            <w:r>
              <w:rPr>
                <w:color w:val="000000"/>
                <w:sz w:val="20"/>
                <w:szCs w:val="20"/>
              </w:rPr>
              <w:t>LK04:01</w:t>
            </w:r>
          </w:p>
        </w:tc>
        <w:tc>
          <w:tcPr>
            <w:tcW w:w="1033" w:type="dxa"/>
            <w:noWrap/>
            <w:vAlign w:val="center"/>
          </w:tcPr>
          <w:p w14:paraId="600DB433">
            <w:pPr>
              <w:jc w:val="center"/>
              <w:rPr>
                <w:color w:val="000000"/>
                <w:sz w:val="20"/>
                <w:szCs w:val="20"/>
              </w:rPr>
            </w:pPr>
            <w:r>
              <w:rPr>
                <w:color w:val="000000"/>
                <w:sz w:val="20"/>
                <w:szCs w:val="20"/>
              </w:rPr>
              <w:t>90,00</w:t>
            </w:r>
          </w:p>
        </w:tc>
        <w:tc>
          <w:tcPr>
            <w:tcW w:w="846" w:type="dxa"/>
            <w:noWrap/>
            <w:vAlign w:val="center"/>
          </w:tcPr>
          <w:p w14:paraId="08C6DF26">
            <w:pPr>
              <w:jc w:val="center"/>
              <w:rPr>
                <w:color w:val="000000"/>
                <w:sz w:val="20"/>
                <w:szCs w:val="20"/>
              </w:rPr>
            </w:pPr>
            <w:r>
              <w:rPr>
                <w:color w:val="000000"/>
                <w:sz w:val="20"/>
                <w:szCs w:val="20"/>
              </w:rPr>
              <w:t>1</w:t>
            </w:r>
          </w:p>
        </w:tc>
        <w:tc>
          <w:tcPr>
            <w:tcW w:w="2578" w:type="dxa"/>
            <w:noWrap/>
            <w:vAlign w:val="center"/>
          </w:tcPr>
          <w:p w14:paraId="506B6761">
            <w:pPr>
              <w:jc w:val="center"/>
              <w:rPr>
                <w:color w:val="000000"/>
                <w:sz w:val="20"/>
                <w:szCs w:val="20"/>
              </w:rPr>
            </w:pPr>
            <w:r>
              <w:rPr>
                <w:color w:val="000000"/>
                <w:sz w:val="20"/>
                <w:szCs w:val="20"/>
              </w:rPr>
              <w:t>Mặt cắt 3-3</w:t>
            </w:r>
          </w:p>
        </w:tc>
        <w:tc>
          <w:tcPr>
            <w:tcW w:w="2393" w:type="dxa"/>
            <w:noWrap/>
            <w:vAlign w:val="center"/>
          </w:tcPr>
          <w:p w14:paraId="4369E561">
            <w:pPr>
              <w:jc w:val="center"/>
              <w:rPr>
                <w:color w:val="000000"/>
                <w:sz w:val="20"/>
                <w:szCs w:val="20"/>
              </w:rPr>
            </w:pPr>
            <w:r>
              <w:rPr>
                <w:color w:val="000000"/>
                <w:sz w:val="20"/>
                <w:szCs w:val="20"/>
              </w:rPr>
              <w:t>Một mặt tiền</w:t>
            </w:r>
          </w:p>
        </w:tc>
        <w:tc>
          <w:tcPr>
            <w:tcW w:w="1198" w:type="dxa"/>
            <w:noWrap/>
            <w:vAlign w:val="center"/>
          </w:tcPr>
          <w:p w14:paraId="50919EB7">
            <w:pPr>
              <w:jc w:val="center"/>
              <w:rPr>
                <w:color w:val="000000"/>
                <w:sz w:val="20"/>
                <w:szCs w:val="20"/>
              </w:rPr>
            </w:pPr>
            <w:r>
              <w:rPr>
                <w:color w:val="000000"/>
                <w:sz w:val="20"/>
                <w:szCs w:val="20"/>
              </w:rPr>
              <w:t>10.800.000</w:t>
            </w:r>
          </w:p>
        </w:tc>
        <w:tc>
          <w:tcPr>
            <w:tcW w:w="1236" w:type="dxa"/>
            <w:noWrap/>
            <w:vAlign w:val="center"/>
          </w:tcPr>
          <w:p w14:paraId="7D82C292">
            <w:pPr>
              <w:jc w:val="center"/>
              <w:rPr>
                <w:color w:val="000000"/>
                <w:sz w:val="20"/>
                <w:szCs w:val="20"/>
              </w:rPr>
            </w:pPr>
          </w:p>
        </w:tc>
        <w:tc>
          <w:tcPr>
            <w:tcW w:w="1252" w:type="dxa"/>
            <w:noWrap/>
            <w:vAlign w:val="center"/>
          </w:tcPr>
          <w:p w14:paraId="1C6F510E">
            <w:pPr>
              <w:jc w:val="center"/>
              <w:rPr>
                <w:color w:val="000000"/>
                <w:sz w:val="20"/>
                <w:szCs w:val="20"/>
              </w:rPr>
            </w:pPr>
            <w:r>
              <w:rPr>
                <w:color w:val="000000"/>
                <w:sz w:val="20"/>
                <w:szCs w:val="20"/>
              </w:rPr>
              <w:t>10.800.000</w:t>
            </w:r>
          </w:p>
        </w:tc>
        <w:tc>
          <w:tcPr>
            <w:tcW w:w="1848" w:type="dxa"/>
            <w:noWrap/>
            <w:vAlign w:val="center"/>
          </w:tcPr>
          <w:p w14:paraId="75853CDB">
            <w:pPr>
              <w:jc w:val="center"/>
              <w:rPr>
                <w:color w:val="000000"/>
                <w:sz w:val="20"/>
                <w:szCs w:val="20"/>
              </w:rPr>
            </w:pPr>
            <w:r>
              <w:rPr>
                <w:color w:val="000000"/>
                <w:sz w:val="20"/>
                <w:szCs w:val="20"/>
              </w:rPr>
              <w:t>972.000.000</w:t>
            </w:r>
          </w:p>
        </w:tc>
      </w:tr>
      <w:tr w14:paraId="4596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D784247">
            <w:pPr>
              <w:jc w:val="center"/>
              <w:rPr>
                <w:b/>
                <w:bCs/>
                <w:color w:val="000000"/>
                <w:sz w:val="20"/>
                <w:szCs w:val="20"/>
              </w:rPr>
            </w:pPr>
            <w:r>
              <w:rPr>
                <w:b/>
                <w:bCs/>
                <w:color w:val="000000"/>
                <w:sz w:val="20"/>
                <w:szCs w:val="20"/>
              </w:rPr>
              <w:t>LK04</w:t>
            </w:r>
          </w:p>
        </w:tc>
        <w:tc>
          <w:tcPr>
            <w:tcW w:w="1802" w:type="dxa"/>
            <w:vAlign w:val="center"/>
          </w:tcPr>
          <w:p w14:paraId="79936413">
            <w:pPr>
              <w:jc w:val="center"/>
              <w:rPr>
                <w:color w:val="000000"/>
                <w:sz w:val="20"/>
                <w:szCs w:val="20"/>
              </w:rPr>
            </w:pPr>
            <w:r>
              <w:rPr>
                <w:color w:val="000000"/>
                <w:sz w:val="20"/>
                <w:szCs w:val="20"/>
              </w:rPr>
              <w:t>LK04:02</w:t>
            </w:r>
          </w:p>
        </w:tc>
        <w:tc>
          <w:tcPr>
            <w:tcW w:w="1033" w:type="dxa"/>
            <w:noWrap/>
            <w:vAlign w:val="center"/>
          </w:tcPr>
          <w:p w14:paraId="26731548">
            <w:pPr>
              <w:jc w:val="center"/>
              <w:rPr>
                <w:color w:val="000000"/>
                <w:sz w:val="20"/>
                <w:szCs w:val="20"/>
              </w:rPr>
            </w:pPr>
            <w:r>
              <w:rPr>
                <w:color w:val="000000"/>
                <w:sz w:val="20"/>
                <w:szCs w:val="20"/>
              </w:rPr>
              <w:t>90,00</w:t>
            </w:r>
          </w:p>
        </w:tc>
        <w:tc>
          <w:tcPr>
            <w:tcW w:w="846" w:type="dxa"/>
            <w:noWrap/>
            <w:vAlign w:val="center"/>
          </w:tcPr>
          <w:p w14:paraId="28041FAF">
            <w:pPr>
              <w:jc w:val="center"/>
              <w:rPr>
                <w:color w:val="000000"/>
                <w:sz w:val="20"/>
                <w:szCs w:val="20"/>
              </w:rPr>
            </w:pPr>
            <w:r>
              <w:rPr>
                <w:color w:val="000000"/>
                <w:sz w:val="20"/>
                <w:szCs w:val="20"/>
              </w:rPr>
              <w:t>1</w:t>
            </w:r>
          </w:p>
        </w:tc>
        <w:tc>
          <w:tcPr>
            <w:tcW w:w="2578" w:type="dxa"/>
            <w:noWrap/>
            <w:vAlign w:val="center"/>
          </w:tcPr>
          <w:p w14:paraId="41403CB7">
            <w:pPr>
              <w:jc w:val="center"/>
              <w:rPr>
                <w:color w:val="000000"/>
                <w:sz w:val="20"/>
                <w:szCs w:val="20"/>
              </w:rPr>
            </w:pPr>
            <w:r>
              <w:rPr>
                <w:color w:val="000000"/>
                <w:sz w:val="20"/>
                <w:szCs w:val="20"/>
              </w:rPr>
              <w:t>Mặt cắt 3-3</w:t>
            </w:r>
          </w:p>
        </w:tc>
        <w:tc>
          <w:tcPr>
            <w:tcW w:w="2393" w:type="dxa"/>
            <w:noWrap/>
            <w:vAlign w:val="center"/>
          </w:tcPr>
          <w:p w14:paraId="5865FE8A">
            <w:pPr>
              <w:jc w:val="center"/>
              <w:rPr>
                <w:color w:val="000000"/>
                <w:sz w:val="20"/>
                <w:szCs w:val="20"/>
              </w:rPr>
            </w:pPr>
            <w:r>
              <w:rPr>
                <w:color w:val="000000"/>
                <w:sz w:val="20"/>
                <w:szCs w:val="20"/>
              </w:rPr>
              <w:t>Một mặt tiền</w:t>
            </w:r>
          </w:p>
        </w:tc>
        <w:tc>
          <w:tcPr>
            <w:tcW w:w="1198" w:type="dxa"/>
            <w:noWrap/>
            <w:vAlign w:val="center"/>
          </w:tcPr>
          <w:p w14:paraId="5BE2C79A">
            <w:pPr>
              <w:jc w:val="center"/>
              <w:rPr>
                <w:color w:val="000000"/>
                <w:sz w:val="20"/>
                <w:szCs w:val="20"/>
              </w:rPr>
            </w:pPr>
            <w:r>
              <w:rPr>
                <w:color w:val="000000"/>
                <w:sz w:val="20"/>
                <w:szCs w:val="20"/>
              </w:rPr>
              <w:t>10.800.000</w:t>
            </w:r>
          </w:p>
        </w:tc>
        <w:tc>
          <w:tcPr>
            <w:tcW w:w="1236" w:type="dxa"/>
            <w:noWrap/>
            <w:vAlign w:val="center"/>
          </w:tcPr>
          <w:p w14:paraId="26104620">
            <w:pPr>
              <w:jc w:val="center"/>
              <w:rPr>
                <w:color w:val="000000"/>
                <w:sz w:val="20"/>
                <w:szCs w:val="20"/>
              </w:rPr>
            </w:pPr>
          </w:p>
        </w:tc>
        <w:tc>
          <w:tcPr>
            <w:tcW w:w="1252" w:type="dxa"/>
            <w:noWrap/>
            <w:vAlign w:val="center"/>
          </w:tcPr>
          <w:p w14:paraId="595EF1AC">
            <w:pPr>
              <w:jc w:val="center"/>
              <w:rPr>
                <w:color w:val="000000"/>
                <w:sz w:val="20"/>
                <w:szCs w:val="20"/>
              </w:rPr>
            </w:pPr>
            <w:r>
              <w:rPr>
                <w:color w:val="000000"/>
                <w:sz w:val="20"/>
                <w:szCs w:val="20"/>
              </w:rPr>
              <w:t>10.800.000</w:t>
            </w:r>
          </w:p>
        </w:tc>
        <w:tc>
          <w:tcPr>
            <w:tcW w:w="1848" w:type="dxa"/>
            <w:noWrap/>
            <w:vAlign w:val="center"/>
          </w:tcPr>
          <w:p w14:paraId="2A6A283B">
            <w:pPr>
              <w:jc w:val="center"/>
              <w:rPr>
                <w:color w:val="000000"/>
                <w:sz w:val="20"/>
                <w:szCs w:val="20"/>
              </w:rPr>
            </w:pPr>
            <w:r>
              <w:rPr>
                <w:color w:val="000000"/>
                <w:sz w:val="20"/>
                <w:szCs w:val="20"/>
              </w:rPr>
              <w:t>972.000.000</w:t>
            </w:r>
          </w:p>
        </w:tc>
      </w:tr>
      <w:tr w14:paraId="7C77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BE1497A">
            <w:pPr>
              <w:jc w:val="center"/>
              <w:rPr>
                <w:b/>
                <w:bCs/>
                <w:color w:val="000000"/>
                <w:sz w:val="20"/>
                <w:szCs w:val="20"/>
              </w:rPr>
            </w:pPr>
            <w:r>
              <w:rPr>
                <w:b/>
                <w:bCs/>
                <w:color w:val="000000"/>
                <w:sz w:val="20"/>
                <w:szCs w:val="20"/>
              </w:rPr>
              <w:t>LK04</w:t>
            </w:r>
          </w:p>
        </w:tc>
        <w:tc>
          <w:tcPr>
            <w:tcW w:w="1802" w:type="dxa"/>
            <w:vAlign w:val="center"/>
          </w:tcPr>
          <w:p w14:paraId="7CCCA86E">
            <w:pPr>
              <w:jc w:val="center"/>
              <w:rPr>
                <w:color w:val="000000"/>
                <w:sz w:val="20"/>
                <w:szCs w:val="20"/>
              </w:rPr>
            </w:pPr>
            <w:r>
              <w:rPr>
                <w:color w:val="000000"/>
                <w:sz w:val="20"/>
                <w:szCs w:val="20"/>
              </w:rPr>
              <w:t>LK04:03</w:t>
            </w:r>
          </w:p>
        </w:tc>
        <w:tc>
          <w:tcPr>
            <w:tcW w:w="1033" w:type="dxa"/>
            <w:noWrap/>
            <w:vAlign w:val="center"/>
          </w:tcPr>
          <w:p w14:paraId="52667F5E">
            <w:pPr>
              <w:jc w:val="center"/>
              <w:rPr>
                <w:color w:val="000000"/>
                <w:sz w:val="20"/>
                <w:szCs w:val="20"/>
              </w:rPr>
            </w:pPr>
            <w:r>
              <w:rPr>
                <w:color w:val="000000"/>
                <w:sz w:val="20"/>
                <w:szCs w:val="20"/>
              </w:rPr>
              <w:t>90,00</w:t>
            </w:r>
          </w:p>
        </w:tc>
        <w:tc>
          <w:tcPr>
            <w:tcW w:w="846" w:type="dxa"/>
            <w:noWrap/>
            <w:vAlign w:val="center"/>
          </w:tcPr>
          <w:p w14:paraId="41311948">
            <w:pPr>
              <w:jc w:val="center"/>
              <w:rPr>
                <w:color w:val="000000"/>
                <w:sz w:val="20"/>
                <w:szCs w:val="20"/>
              </w:rPr>
            </w:pPr>
            <w:r>
              <w:rPr>
                <w:color w:val="000000"/>
                <w:sz w:val="20"/>
                <w:szCs w:val="20"/>
              </w:rPr>
              <w:t>1</w:t>
            </w:r>
          </w:p>
        </w:tc>
        <w:tc>
          <w:tcPr>
            <w:tcW w:w="2578" w:type="dxa"/>
            <w:noWrap/>
            <w:vAlign w:val="center"/>
          </w:tcPr>
          <w:p w14:paraId="13A3BAB9">
            <w:pPr>
              <w:jc w:val="center"/>
              <w:rPr>
                <w:color w:val="000000"/>
                <w:sz w:val="20"/>
                <w:szCs w:val="20"/>
              </w:rPr>
            </w:pPr>
            <w:r>
              <w:rPr>
                <w:color w:val="000000"/>
                <w:sz w:val="20"/>
                <w:szCs w:val="20"/>
              </w:rPr>
              <w:t>Mặt cắt 3-3</w:t>
            </w:r>
          </w:p>
        </w:tc>
        <w:tc>
          <w:tcPr>
            <w:tcW w:w="2393" w:type="dxa"/>
            <w:noWrap/>
            <w:vAlign w:val="center"/>
          </w:tcPr>
          <w:p w14:paraId="0B3EFD56">
            <w:pPr>
              <w:jc w:val="center"/>
              <w:rPr>
                <w:color w:val="000000"/>
                <w:sz w:val="20"/>
                <w:szCs w:val="20"/>
              </w:rPr>
            </w:pPr>
            <w:r>
              <w:rPr>
                <w:color w:val="000000"/>
                <w:sz w:val="20"/>
                <w:szCs w:val="20"/>
              </w:rPr>
              <w:t>Một mặt tiền</w:t>
            </w:r>
          </w:p>
        </w:tc>
        <w:tc>
          <w:tcPr>
            <w:tcW w:w="1198" w:type="dxa"/>
            <w:noWrap/>
            <w:vAlign w:val="center"/>
          </w:tcPr>
          <w:p w14:paraId="0A899394">
            <w:pPr>
              <w:jc w:val="center"/>
              <w:rPr>
                <w:color w:val="000000"/>
                <w:sz w:val="20"/>
                <w:szCs w:val="20"/>
              </w:rPr>
            </w:pPr>
            <w:r>
              <w:rPr>
                <w:color w:val="000000"/>
                <w:sz w:val="20"/>
                <w:szCs w:val="20"/>
              </w:rPr>
              <w:t>10.800.000</w:t>
            </w:r>
          </w:p>
        </w:tc>
        <w:tc>
          <w:tcPr>
            <w:tcW w:w="1236" w:type="dxa"/>
            <w:noWrap/>
            <w:vAlign w:val="center"/>
          </w:tcPr>
          <w:p w14:paraId="5AEF453E">
            <w:pPr>
              <w:jc w:val="center"/>
              <w:rPr>
                <w:color w:val="000000"/>
                <w:sz w:val="20"/>
                <w:szCs w:val="20"/>
              </w:rPr>
            </w:pPr>
          </w:p>
        </w:tc>
        <w:tc>
          <w:tcPr>
            <w:tcW w:w="1252" w:type="dxa"/>
            <w:noWrap/>
            <w:vAlign w:val="center"/>
          </w:tcPr>
          <w:p w14:paraId="2840495F">
            <w:pPr>
              <w:jc w:val="center"/>
              <w:rPr>
                <w:color w:val="000000"/>
                <w:sz w:val="20"/>
                <w:szCs w:val="20"/>
              </w:rPr>
            </w:pPr>
            <w:r>
              <w:rPr>
                <w:color w:val="000000"/>
                <w:sz w:val="20"/>
                <w:szCs w:val="20"/>
              </w:rPr>
              <w:t>10.800.000</w:t>
            </w:r>
          </w:p>
        </w:tc>
        <w:tc>
          <w:tcPr>
            <w:tcW w:w="1848" w:type="dxa"/>
            <w:noWrap/>
            <w:vAlign w:val="center"/>
          </w:tcPr>
          <w:p w14:paraId="454B7FED">
            <w:pPr>
              <w:jc w:val="center"/>
              <w:rPr>
                <w:color w:val="000000"/>
                <w:sz w:val="20"/>
                <w:szCs w:val="20"/>
              </w:rPr>
            </w:pPr>
            <w:r>
              <w:rPr>
                <w:color w:val="000000"/>
                <w:sz w:val="20"/>
                <w:szCs w:val="20"/>
              </w:rPr>
              <w:t>972.000.000</w:t>
            </w:r>
          </w:p>
        </w:tc>
      </w:tr>
      <w:tr w14:paraId="41E1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15D948F">
            <w:pPr>
              <w:jc w:val="center"/>
              <w:rPr>
                <w:b/>
                <w:bCs/>
                <w:color w:val="000000"/>
                <w:sz w:val="20"/>
                <w:szCs w:val="20"/>
              </w:rPr>
            </w:pPr>
            <w:r>
              <w:rPr>
                <w:b/>
                <w:bCs/>
                <w:color w:val="000000"/>
                <w:sz w:val="20"/>
                <w:szCs w:val="20"/>
              </w:rPr>
              <w:t>LK04</w:t>
            </w:r>
          </w:p>
        </w:tc>
        <w:tc>
          <w:tcPr>
            <w:tcW w:w="1802" w:type="dxa"/>
            <w:vAlign w:val="center"/>
          </w:tcPr>
          <w:p w14:paraId="4E18EA38">
            <w:pPr>
              <w:jc w:val="center"/>
              <w:rPr>
                <w:color w:val="000000"/>
                <w:sz w:val="20"/>
                <w:szCs w:val="20"/>
              </w:rPr>
            </w:pPr>
            <w:r>
              <w:rPr>
                <w:color w:val="000000"/>
                <w:sz w:val="20"/>
                <w:szCs w:val="20"/>
              </w:rPr>
              <w:t>LK04:04</w:t>
            </w:r>
          </w:p>
        </w:tc>
        <w:tc>
          <w:tcPr>
            <w:tcW w:w="1033" w:type="dxa"/>
            <w:noWrap/>
            <w:vAlign w:val="center"/>
          </w:tcPr>
          <w:p w14:paraId="2CDE4FFE">
            <w:pPr>
              <w:jc w:val="center"/>
              <w:rPr>
                <w:color w:val="000000"/>
                <w:sz w:val="20"/>
                <w:szCs w:val="20"/>
              </w:rPr>
            </w:pPr>
            <w:r>
              <w:rPr>
                <w:color w:val="000000"/>
                <w:sz w:val="20"/>
                <w:szCs w:val="20"/>
              </w:rPr>
              <w:t>90,00</w:t>
            </w:r>
          </w:p>
        </w:tc>
        <w:tc>
          <w:tcPr>
            <w:tcW w:w="846" w:type="dxa"/>
            <w:noWrap/>
            <w:vAlign w:val="center"/>
          </w:tcPr>
          <w:p w14:paraId="67AFA175">
            <w:pPr>
              <w:jc w:val="center"/>
              <w:rPr>
                <w:color w:val="000000"/>
                <w:sz w:val="20"/>
                <w:szCs w:val="20"/>
              </w:rPr>
            </w:pPr>
            <w:r>
              <w:rPr>
                <w:color w:val="000000"/>
                <w:sz w:val="20"/>
                <w:szCs w:val="20"/>
              </w:rPr>
              <w:t>1</w:t>
            </w:r>
          </w:p>
        </w:tc>
        <w:tc>
          <w:tcPr>
            <w:tcW w:w="2578" w:type="dxa"/>
            <w:noWrap/>
            <w:vAlign w:val="center"/>
          </w:tcPr>
          <w:p w14:paraId="57D1EBB4">
            <w:pPr>
              <w:jc w:val="center"/>
              <w:rPr>
                <w:color w:val="000000"/>
                <w:sz w:val="20"/>
                <w:szCs w:val="20"/>
              </w:rPr>
            </w:pPr>
            <w:r>
              <w:rPr>
                <w:color w:val="000000"/>
                <w:sz w:val="20"/>
                <w:szCs w:val="20"/>
              </w:rPr>
              <w:t>Mặt cắt 3-3</w:t>
            </w:r>
          </w:p>
        </w:tc>
        <w:tc>
          <w:tcPr>
            <w:tcW w:w="2393" w:type="dxa"/>
            <w:noWrap/>
            <w:vAlign w:val="center"/>
          </w:tcPr>
          <w:p w14:paraId="2B4C4F4E">
            <w:pPr>
              <w:jc w:val="center"/>
              <w:rPr>
                <w:color w:val="000000"/>
                <w:sz w:val="20"/>
                <w:szCs w:val="20"/>
              </w:rPr>
            </w:pPr>
            <w:r>
              <w:rPr>
                <w:color w:val="000000"/>
                <w:sz w:val="20"/>
                <w:szCs w:val="20"/>
              </w:rPr>
              <w:t>Một mặt tiền</w:t>
            </w:r>
          </w:p>
        </w:tc>
        <w:tc>
          <w:tcPr>
            <w:tcW w:w="1198" w:type="dxa"/>
            <w:noWrap/>
            <w:vAlign w:val="center"/>
          </w:tcPr>
          <w:p w14:paraId="298B20EE">
            <w:pPr>
              <w:jc w:val="center"/>
              <w:rPr>
                <w:color w:val="000000"/>
                <w:sz w:val="20"/>
                <w:szCs w:val="20"/>
              </w:rPr>
            </w:pPr>
            <w:r>
              <w:rPr>
                <w:color w:val="000000"/>
                <w:sz w:val="20"/>
                <w:szCs w:val="20"/>
              </w:rPr>
              <w:t>10.800.000</w:t>
            </w:r>
          </w:p>
        </w:tc>
        <w:tc>
          <w:tcPr>
            <w:tcW w:w="1236" w:type="dxa"/>
            <w:noWrap/>
            <w:vAlign w:val="center"/>
          </w:tcPr>
          <w:p w14:paraId="597B09C6">
            <w:pPr>
              <w:jc w:val="center"/>
              <w:rPr>
                <w:color w:val="000000"/>
                <w:sz w:val="20"/>
                <w:szCs w:val="20"/>
              </w:rPr>
            </w:pPr>
          </w:p>
        </w:tc>
        <w:tc>
          <w:tcPr>
            <w:tcW w:w="1252" w:type="dxa"/>
            <w:noWrap/>
            <w:vAlign w:val="center"/>
          </w:tcPr>
          <w:p w14:paraId="6032DD6D">
            <w:pPr>
              <w:jc w:val="center"/>
              <w:rPr>
                <w:color w:val="000000"/>
                <w:sz w:val="20"/>
                <w:szCs w:val="20"/>
              </w:rPr>
            </w:pPr>
            <w:r>
              <w:rPr>
                <w:color w:val="000000"/>
                <w:sz w:val="20"/>
                <w:szCs w:val="20"/>
              </w:rPr>
              <w:t>10.800.000</w:t>
            </w:r>
          </w:p>
        </w:tc>
        <w:tc>
          <w:tcPr>
            <w:tcW w:w="1848" w:type="dxa"/>
            <w:noWrap/>
            <w:vAlign w:val="center"/>
          </w:tcPr>
          <w:p w14:paraId="1A65790A">
            <w:pPr>
              <w:jc w:val="center"/>
              <w:rPr>
                <w:color w:val="000000"/>
                <w:sz w:val="20"/>
                <w:szCs w:val="20"/>
              </w:rPr>
            </w:pPr>
            <w:r>
              <w:rPr>
                <w:color w:val="000000"/>
                <w:sz w:val="20"/>
                <w:szCs w:val="20"/>
              </w:rPr>
              <w:t>972.000.000</w:t>
            </w:r>
          </w:p>
        </w:tc>
      </w:tr>
      <w:tr w14:paraId="4894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72E1BEF">
            <w:pPr>
              <w:jc w:val="center"/>
              <w:rPr>
                <w:b/>
                <w:bCs/>
                <w:color w:val="000000"/>
                <w:sz w:val="20"/>
                <w:szCs w:val="20"/>
              </w:rPr>
            </w:pPr>
            <w:r>
              <w:rPr>
                <w:b/>
                <w:bCs/>
                <w:color w:val="000000"/>
                <w:sz w:val="20"/>
                <w:szCs w:val="20"/>
              </w:rPr>
              <w:t>LK04</w:t>
            </w:r>
          </w:p>
        </w:tc>
        <w:tc>
          <w:tcPr>
            <w:tcW w:w="1802" w:type="dxa"/>
            <w:vAlign w:val="center"/>
          </w:tcPr>
          <w:p w14:paraId="3EF29769">
            <w:pPr>
              <w:jc w:val="center"/>
              <w:rPr>
                <w:color w:val="000000"/>
                <w:sz w:val="20"/>
                <w:szCs w:val="20"/>
              </w:rPr>
            </w:pPr>
            <w:r>
              <w:rPr>
                <w:color w:val="000000"/>
                <w:sz w:val="20"/>
                <w:szCs w:val="20"/>
              </w:rPr>
              <w:t>LK04:05</w:t>
            </w:r>
          </w:p>
        </w:tc>
        <w:tc>
          <w:tcPr>
            <w:tcW w:w="1033" w:type="dxa"/>
            <w:noWrap/>
            <w:vAlign w:val="center"/>
          </w:tcPr>
          <w:p w14:paraId="7BA76D15">
            <w:pPr>
              <w:jc w:val="center"/>
              <w:rPr>
                <w:color w:val="000000"/>
                <w:sz w:val="20"/>
                <w:szCs w:val="20"/>
              </w:rPr>
            </w:pPr>
            <w:r>
              <w:rPr>
                <w:color w:val="000000"/>
                <w:sz w:val="20"/>
                <w:szCs w:val="20"/>
              </w:rPr>
              <w:t>90,00</w:t>
            </w:r>
          </w:p>
        </w:tc>
        <w:tc>
          <w:tcPr>
            <w:tcW w:w="846" w:type="dxa"/>
            <w:noWrap/>
            <w:vAlign w:val="center"/>
          </w:tcPr>
          <w:p w14:paraId="6110CBF1">
            <w:pPr>
              <w:jc w:val="center"/>
              <w:rPr>
                <w:color w:val="000000"/>
                <w:sz w:val="20"/>
                <w:szCs w:val="20"/>
              </w:rPr>
            </w:pPr>
            <w:r>
              <w:rPr>
                <w:color w:val="000000"/>
                <w:sz w:val="20"/>
                <w:szCs w:val="20"/>
              </w:rPr>
              <w:t>1</w:t>
            </w:r>
          </w:p>
        </w:tc>
        <w:tc>
          <w:tcPr>
            <w:tcW w:w="2578" w:type="dxa"/>
            <w:noWrap/>
            <w:vAlign w:val="center"/>
          </w:tcPr>
          <w:p w14:paraId="5C6CCC91">
            <w:pPr>
              <w:jc w:val="center"/>
              <w:rPr>
                <w:color w:val="000000"/>
                <w:sz w:val="20"/>
                <w:szCs w:val="20"/>
              </w:rPr>
            </w:pPr>
            <w:r>
              <w:rPr>
                <w:color w:val="000000"/>
                <w:sz w:val="20"/>
                <w:szCs w:val="20"/>
              </w:rPr>
              <w:t>Mặt cắt 3-3</w:t>
            </w:r>
          </w:p>
        </w:tc>
        <w:tc>
          <w:tcPr>
            <w:tcW w:w="2393" w:type="dxa"/>
            <w:noWrap/>
            <w:vAlign w:val="center"/>
          </w:tcPr>
          <w:p w14:paraId="54F0C5B8">
            <w:pPr>
              <w:jc w:val="center"/>
              <w:rPr>
                <w:color w:val="000000"/>
                <w:sz w:val="20"/>
                <w:szCs w:val="20"/>
              </w:rPr>
            </w:pPr>
            <w:r>
              <w:rPr>
                <w:color w:val="000000"/>
                <w:sz w:val="20"/>
                <w:szCs w:val="20"/>
              </w:rPr>
              <w:t>Một mặt tiền</w:t>
            </w:r>
          </w:p>
        </w:tc>
        <w:tc>
          <w:tcPr>
            <w:tcW w:w="1198" w:type="dxa"/>
            <w:noWrap/>
            <w:vAlign w:val="center"/>
          </w:tcPr>
          <w:p w14:paraId="33DE0507">
            <w:pPr>
              <w:jc w:val="center"/>
              <w:rPr>
                <w:color w:val="000000"/>
                <w:sz w:val="20"/>
                <w:szCs w:val="20"/>
              </w:rPr>
            </w:pPr>
            <w:r>
              <w:rPr>
                <w:color w:val="000000"/>
                <w:sz w:val="20"/>
                <w:szCs w:val="20"/>
              </w:rPr>
              <w:t>10.800.000</w:t>
            </w:r>
          </w:p>
        </w:tc>
        <w:tc>
          <w:tcPr>
            <w:tcW w:w="1236" w:type="dxa"/>
            <w:noWrap/>
            <w:vAlign w:val="center"/>
          </w:tcPr>
          <w:p w14:paraId="6773A792">
            <w:pPr>
              <w:jc w:val="center"/>
              <w:rPr>
                <w:color w:val="000000"/>
                <w:sz w:val="20"/>
                <w:szCs w:val="20"/>
              </w:rPr>
            </w:pPr>
          </w:p>
        </w:tc>
        <w:tc>
          <w:tcPr>
            <w:tcW w:w="1252" w:type="dxa"/>
            <w:noWrap/>
            <w:vAlign w:val="center"/>
          </w:tcPr>
          <w:p w14:paraId="5AF0778F">
            <w:pPr>
              <w:jc w:val="center"/>
              <w:rPr>
                <w:color w:val="000000"/>
                <w:sz w:val="20"/>
                <w:szCs w:val="20"/>
              </w:rPr>
            </w:pPr>
            <w:r>
              <w:rPr>
                <w:color w:val="000000"/>
                <w:sz w:val="20"/>
                <w:szCs w:val="20"/>
              </w:rPr>
              <w:t>10.800.000</w:t>
            </w:r>
          </w:p>
        </w:tc>
        <w:tc>
          <w:tcPr>
            <w:tcW w:w="1848" w:type="dxa"/>
            <w:noWrap/>
            <w:vAlign w:val="center"/>
          </w:tcPr>
          <w:p w14:paraId="56279BE3">
            <w:pPr>
              <w:jc w:val="center"/>
              <w:rPr>
                <w:color w:val="000000"/>
                <w:sz w:val="20"/>
                <w:szCs w:val="20"/>
              </w:rPr>
            </w:pPr>
            <w:r>
              <w:rPr>
                <w:color w:val="000000"/>
                <w:sz w:val="20"/>
                <w:szCs w:val="20"/>
              </w:rPr>
              <w:t>972.000.000</w:t>
            </w:r>
          </w:p>
        </w:tc>
      </w:tr>
      <w:tr w14:paraId="733C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B43F0D8">
            <w:pPr>
              <w:jc w:val="center"/>
              <w:rPr>
                <w:b/>
                <w:bCs/>
                <w:color w:val="000000"/>
                <w:sz w:val="20"/>
                <w:szCs w:val="20"/>
              </w:rPr>
            </w:pPr>
            <w:r>
              <w:rPr>
                <w:b/>
                <w:bCs/>
                <w:color w:val="000000"/>
                <w:sz w:val="20"/>
                <w:szCs w:val="20"/>
              </w:rPr>
              <w:t>LK04</w:t>
            </w:r>
          </w:p>
        </w:tc>
        <w:tc>
          <w:tcPr>
            <w:tcW w:w="1802" w:type="dxa"/>
            <w:vAlign w:val="center"/>
          </w:tcPr>
          <w:p w14:paraId="787B8D78">
            <w:pPr>
              <w:jc w:val="center"/>
              <w:rPr>
                <w:color w:val="000000"/>
                <w:sz w:val="20"/>
                <w:szCs w:val="20"/>
              </w:rPr>
            </w:pPr>
            <w:r>
              <w:rPr>
                <w:color w:val="000000"/>
                <w:sz w:val="20"/>
                <w:szCs w:val="20"/>
              </w:rPr>
              <w:t>LK04:06</w:t>
            </w:r>
          </w:p>
        </w:tc>
        <w:tc>
          <w:tcPr>
            <w:tcW w:w="1033" w:type="dxa"/>
            <w:noWrap/>
            <w:vAlign w:val="center"/>
          </w:tcPr>
          <w:p w14:paraId="36EF304D">
            <w:pPr>
              <w:jc w:val="center"/>
              <w:rPr>
                <w:color w:val="000000"/>
                <w:sz w:val="20"/>
                <w:szCs w:val="20"/>
              </w:rPr>
            </w:pPr>
            <w:r>
              <w:rPr>
                <w:color w:val="000000"/>
                <w:sz w:val="20"/>
                <w:szCs w:val="20"/>
              </w:rPr>
              <w:t>90,00</w:t>
            </w:r>
          </w:p>
        </w:tc>
        <w:tc>
          <w:tcPr>
            <w:tcW w:w="846" w:type="dxa"/>
            <w:noWrap/>
            <w:vAlign w:val="center"/>
          </w:tcPr>
          <w:p w14:paraId="111CCF9E">
            <w:pPr>
              <w:jc w:val="center"/>
              <w:rPr>
                <w:color w:val="000000"/>
                <w:sz w:val="20"/>
                <w:szCs w:val="20"/>
              </w:rPr>
            </w:pPr>
            <w:r>
              <w:rPr>
                <w:color w:val="000000"/>
                <w:sz w:val="20"/>
                <w:szCs w:val="20"/>
              </w:rPr>
              <w:t>1</w:t>
            </w:r>
          </w:p>
        </w:tc>
        <w:tc>
          <w:tcPr>
            <w:tcW w:w="2578" w:type="dxa"/>
            <w:noWrap/>
            <w:vAlign w:val="center"/>
          </w:tcPr>
          <w:p w14:paraId="1955AB7B">
            <w:pPr>
              <w:jc w:val="center"/>
              <w:rPr>
                <w:color w:val="000000"/>
                <w:sz w:val="20"/>
                <w:szCs w:val="20"/>
              </w:rPr>
            </w:pPr>
            <w:r>
              <w:rPr>
                <w:color w:val="000000"/>
                <w:sz w:val="20"/>
                <w:szCs w:val="20"/>
              </w:rPr>
              <w:t>Mặt cắt 3-3</w:t>
            </w:r>
          </w:p>
        </w:tc>
        <w:tc>
          <w:tcPr>
            <w:tcW w:w="2393" w:type="dxa"/>
            <w:noWrap/>
            <w:vAlign w:val="center"/>
          </w:tcPr>
          <w:p w14:paraId="06A04150">
            <w:pPr>
              <w:jc w:val="center"/>
              <w:rPr>
                <w:color w:val="000000"/>
                <w:sz w:val="20"/>
                <w:szCs w:val="20"/>
              </w:rPr>
            </w:pPr>
            <w:r>
              <w:rPr>
                <w:color w:val="000000"/>
                <w:sz w:val="20"/>
                <w:szCs w:val="20"/>
              </w:rPr>
              <w:t>Một mặt tiền</w:t>
            </w:r>
          </w:p>
        </w:tc>
        <w:tc>
          <w:tcPr>
            <w:tcW w:w="1198" w:type="dxa"/>
            <w:noWrap/>
            <w:vAlign w:val="center"/>
          </w:tcPr>
          <w:p w14:paraId="4CF6534F">
            <w:pPr>
              <w:jc w:val="center"/>
              <w:rPr>
                <w:color w:val="000000"/>
                <w:sz w:val="20"/>
                <w:szCs w:val="20"/>
              </w:rPr>
            </w:pPr>
            <w:r>
              <w:rPr>
                <w:color w:val="000000"/>
                <w:sz w:val="20"/>
                <w:szCs w:val="20"/>
              </w:rPr>
              <w:t>10.800.000</w:t>
            </w:r>
          </w:p>
        </w:tc>
        <w:tc>
          <w:tcPr>
            <w:tcW w:w="1236" w:type="dxa"/>
            <w:noWrap/>
            <w:vAlign w:val="center"/>
          </w:tcPr>
          <w:p w14:paraId="20E6CED9">
            <w:pPr>
              <w:jc w:val="center"/>
              <w:rPr>
                <w:color w:val="000000"/>
                <w:sz w:val="20"/>
                <w:szCs w:val="20"/>
              </w:rPr>
            </w:pPr>
          </w:p>
        </w:tc>
        <w:tc>
          <w:tcPr>
            <w:tcW w:w="1252" w:type="dxa"/>
            <w:noWrap/>
            <w:vAlign w:val="center"/>
          </w:tcPr>
          <w:p w14:paraId="519A29CE">
            <w:pPr>
              <w:jc w:val="center"/>
              <w:rPr>
                <w:color w:val="000000"/>
                <w:sz w:val="20"/>
                <w:szCs w:val="20"/>
              </w:rPr>
            </w:pPr>
            <w:r>
              <w:rPr>
                <w:color w:val="000000"/>
                <w:sz w:val="20"/>
                <w:szCs w:val="20"/>
              </w:rPr>
              <w:t>10.800.000</w:t>
            </w:r>
          </w:p>
        </w:tc>
        <w:tc>
          <w:tcPr>
            <w:tcW w:w="1848" w:type="dxa"/>
            <w:noWrap/>
            <w:vAlign w:val="center"/>
          </w:tcPr>
          <w:p w14:paraId="2242AEE9">
            <w:pPr>
              <w:jc w:val="center"/>
              <w:rPr>
                <w:color w:val="000000"/>
                <w:sz w:val="20"/>
                <w:szCs w:val="20"/>
              </w:rPr>
            </w:pPr>
            <w:r>
              <w:rPr>
                <w:color w:val="000000"/>
                <w:sz w:val="20"/>
                <w:szCs w:val="20"/>
              </w:rPr>
              <w:t>972.000.000</w:t>
            </w:r>
          </w:p>
        </w:tc>
      </w:tr>
      <w:tr w14:paraId="3665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2E13590">
            <w:pPr>
              <w:jc w:val="center"/>
              <w:rPr>
                <w:b/>
                <w:bCs/>
                <w:color w:val="000000"/>
                <w:sz w:val="20"/>
                <w:szCs w:val="20"/>
              </w:rPr>
            </w:pPr>
            <w:r>
              <w:rPr>
                <w:b/>
                <w:bCs/>
                <w:color w:val="000000"/>
                <w:sz w:val="20"/>
                <w:szCs w:val="20"/>
              </w:rPr>
              <w:t>LK04</w:t>
            </w:r>
          </w:p>
        </w:tc>
        <w:tc>
          <w:tcPr>
            <w:tcW w:w="1802" w:type="dxa"/>
            <w:vAlign w:val="center"/>
          </w:tcPr>
          <w:p w14:paraId="14D086B1">
            <w:pPr>
              <w:jc w:val="center"/>
              <w:rPr>
                <w:color w:val="000000"/>
                <w:sz w:val="20"/>
                <w:szCs w:val="20"/>
              </w:rPr>
            </w:pPr>
            <w:r>
              <w:rPr>
                <w:color w:val="000000"/>
                <w:sz w:val="20"/>
                <w:szCs w:val="20"/>
              </w:rPr>
              <w:t>LK04:07</w:t>
            </w:r>
          </w:p>
        </w:tc>
        <w:tc>
          <w:tcPr>
            <w:tcW w:w="1033" w:type="dxa"/>
            <w:noWrap/>
            <w:vAlign w:val="center"/>
          </w:tcPr>
          <w:p w14:paraId="1ECC02AE">
            <w:pPr>
              <w:jc w:val="center"/>
              <w:rPr>
                <w:color w:val="000000"/>
                <w:sz w:val="20"/>
                <w:szCs w:val="20"/>
              </w:rPr>
            </w:pPr>
            <w:r>
              <w:rPr>
                <w:color w:val="000000"/>
                <w:sz w:val="20"/>
                <w:szCs w:val="20"/>
              </w:rPr>
              <w:t>90,00</w:t>
            </w:r>
          </w:p>
        </w:tc>
        <w:tc>
          <w:tcPr>
            <w:tcW w:w="846" w:type="dxa"/>
            <w:noWrap/>
            <w:vAlign w:val="center"/>
          </w:tcPr>
          <w:p w14:paraId="138F978B">
            <w:pPr>
              <w:jc w:val="center"/>
              <w:rPr>
                <w:color w:val="000000"/>
                <w:sz w:val="20"/>
                <w:szCs w:val="20"/>
              </w:rPr>
            </w:pPr>
            <w:r>
              <w:rPr>
                <w:color w:val="000000"/>
                <w:sz w:val="20"/>
                <w:szCs w:val="20"/>
              </w:rPr>
              <w:t>1</w:t>
            </w:r>
          </w:p>
        </w:tc>
        <w:tc>
          <w:tcPr>
            <w:tcW w:w="2578" w:type="dxa"/>
            <w:noWrap/>
            <w:vAlign w:val="center"/>
          </w:tcPr>
          <w:p w14:paraId="06B56A2B">
            <w:pPr>
              <w:jc w:val="center"/>
              <w:rPr>
                <w:color w:val="000000"/>
                <w:sz w:val="20"/>
                <w:szCs w:val="20"/>
              </w:rPr>
            </w:pPr>
            <w:r>
              <w:rPr>
                <w:color w:val="000000"/>
                <w:sz w:val="20"/>
                <w:szCs w:val="20"/>
              </w:rPr>
              <w:t>Mặt cắt 3-3</w:t>
            </w:r>
          </w:p>
        </w:tc>
        <w:tc>
          <w:tcPr>
            <w:tcW w:w="2393" w:type="dxa"/>
            <w:noWrap/>
            <w:vAlign w:val="center"/>
          </w:tcPr>
          <w:p w14:paraId="78B6AFB6">
            <w:pPr>
              <w:jc w:val="center"/>
              <w:rPr>
                <w:color w:val="000000"/>
                <w:sz w:val="20"/>
                <w:szCs w:val="20"/>
              </w:rPr>
            </w:pPr>
            <w:r>
              <w:rPr>
                <w:color w:val="000000"/>
                <w:sz w:val="20"/>
                <w:szCs w:val="20"/>
              </w:rPr>
              <w:t>Một mặt tiền</w:t>
            </w:r>
          </w:p>
        </w:tc>
        <w:tc>
          <w:tcPr>
            <w:tcW w:w="1198" w:type="dxa"/>
            <w:noWrap/>
            <w:vAlign w:val="center"/>
          </w:tcPr>
          <w:p w14:paraId="137FCCE2">
            <w:pPr>
              <w:jc w:val="center"/>
              <w:rPr>
                <w:color w:val="000000"/>
                <w:sz w:val="20"/>
                <w:szCs w:val="20"/>
              </w:rPr>
            </w:pPr>
            <w:r>
              <w:rPr>
                <w:color w:val="000000"/>
                <w:sz w:val="20"/>
                <w:szCs w:val="20"/>
              </w:rPr>
              <w:t>10.800.000</w:t>
            </w:r>
          </w:p>
        </w:tc>
        <w:tc>
          <w:tcPr>
            <w:tcW w:w="1236" w:type="dxa"/>
            <w:noWrap/>
            <w:vAlign w:val="center"/>
          </w:tcPr>
          <w:p w14:paraId="28E3C601">
            <w:pPr>
              <w:jc w:val="center"/>
              <w:rPr>
                <w:color w:val="000000"/>
                <w:sz w:val="20"/>
                <w:szCs w:val="20"/>
              </w:rPr>
            </w:pPr>
          </w:p>
        </w:tc>
        <w:tc>
          <w:tcPr>
            <w:tcW w:w="1252" w:type="dxa"/>
            <w:noWrap/>
            <w:vAlign w:val="center"/>
          </w:tcPr>
          <w:p w14:paraId="452FEE47">
            <w:pPr>
              <w:jc w:val="center"/>
              <w:rPr>
                <w:color w:val="000000"/>
                <w:sz w:val="20"/>
                <w:szCs w:val="20"/>
              </w:rPr>
            </w:pPr>
            <w:r>
              <w:rPr>
                <w:color w:val="000000"/>
                <w:sz w:val="20"/>
                <w:szCs w:val="20"/>
              </w:rPr>
              <w:t>10.800.000</w:t>
            </w:r>
          </w:p>
        </w:tc>
        <w:tc>
          <w:tcPr>
            <w:tcW w:w="1848" w:type="dxa"/>
            <w:noWrap/>
            <w:vAlign w:val="center"/>
          </w:tcPr>
          <w:p w14:paraId="5AD4F26F">
            <w:pPr>
              <w:jc w:val="center"/>
              <w:rPr>
                <w:color w:val="000000"/>
                <w:sz w:val="20"/>
                <w:szCs w:val="20"/>
              </w:rPr>
            </w:pPr>
            <w:r>
              <w:rPr>
                <w:color w:val="000000"/>
                <w:sz w:val="20"/>
                <w:szCs w:val="20"/>
              </w:rPr>
              <w:t>972.000.000</w:t>
            </w:r>
          </w:p>
        </w:tc>
      </w:tr>
      <w:tr w14:paraId="1A0E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A5DD2D1">
            <w:pPr>
              <w:jc w:val="center"/>
              <w:rPr>
                <w:b/>
                <w:bCs/>
                <w:color w:val="000000"/>
                <w:sz w:val="20"/>
                <w:szCs w:val="20"/>
              </w:rPr>
            </w:pPr>
            <w:r>
              <w:rPr>
                <w:b/>
                <w:bCs/>
                <w:color w:val="000000"/>
                <w:sz w:val="20"/>
                <w:szCs w:val="20"/>
              </w:rPr>
              <w:t>LK04</w:t>
            </w:r>
          </w:p>
        </w:tc>
        <w:tc>
          <w:tcPr>
            <w:tcW w:w="1802" w:type="dxa"/>
            <w:vAlign w:val="center"/>
          </w:tcPr>
          <w:p w14:paraId="2C6D8A85">
            <w:pPr>
              <w:jc w:val="center"/>
              <w:rPr>
                <w:color w:val="000000"/>
                <w:sz w:val="20"/>
                <w:szCs w:val="20"/>
              </w:rPr>
            </w:pPr>
            <w:r>
              <w:rPr>
                <w:color w:val="000000"/>
                <w:sz w:val="20"/>
                <w:szCs w:val="20"/>
              </w:rPr>
              <w:t>LK04:08</w:t>
            </w:r>
          </w:p>
        </w:tc>
        <w:tc>
          <w:tcPr>
            <w:tcW w:w="1033" w:type="dxa"/>
            <w:noWrap/>
            <w:vAlign w:val="center"/>
          </w:tcPr>
          <w:p w14:paraId="0167EE0E">
            <w:pPr>
              <w:jc w:val="center"/>
              <w:rPr>
                <w:color w:val="000000"/>
                <w:sz w:val="20"/>
                <w:szCs w:val="20"/>
              </w:rPr>
            </w:pPr>
            <w:r>
              <w:rPr>
                <w:color w:val="000000"/>
                <w:sz w:val="20"/>
                <w:szCs w:val="20"/>
              </w:rPr>
              <w:t>126,00</w:t>
            </w:r>
          </w:p>
        </w:tc>
        <w:tc>
          <w:tcPr>
            <w:tcW w:w="846" w:type="dxa"/>
            <w:noWrap/>
            <w:vAlign w:val="center"/>
          </w:tcPr>
          <w:p w14:paraId="0B244B7B">
            <w:pPr>
              <w:jc w:val="center"/>
              <w:rPr>
                <w:color w:val="000000"/>
                <w:sz w:val="20"/>
                <w:szCs w:val="20"/>
              </w:rPr>
            </w:pPr>
            <w:r>
              <w:rPr>
                <w:color w:val="000000"/>
                <w:sz w:val="20"/>
                <w:szCs w:val="20"/>
              </w:rPr>
              <w:t>1</w:t>
            </w:r>
          </w:p>
        </w:tc>
        <w:tc>
          <w:tcPr>
            <w:tcW w:w="2578" w:type="dxa"/>
            <w:noWrap/>
            <w:vAlign w:val="center"/>
          </w:tcPr>
          <w:p w14:paraId="0A707099">
            <w:pPr>
              <w:jc w:val="center"/>
              <w:rPr>
                <w:color w:val="000000"/>
                <w:sz w:val="20"/>
                <w:szCs w:val="20"/>
              </w:rPr>
            </w:pPr>
            <w:r>
              <w:rPr>
                <w:color w:val="000000"/>
                <w:sz w:val="20"/>
                <w:szCs w:val="20"/>
              </w:rPr>
              <w:t>Mặt cắt 3-3</w:t>
            </w:r>
          </w:p>
        </w:tc>
        <w:tc>
          <w:tcPr>
            <w:tcW w:w="2393" w:type="dxa"/>
            <w:noWrap/>
            <w:vAlign w:val="center"/>
          </w:tcPr>
          <w:p w14:paraId="169C646E">
            <w:pPr>
              <w:jc w:val="center"/>
              <w:rPr>
                <w:color w:val="000000"/>
                <w:sz w:val="20"/>
                <w:szCs w:val="20"/>
              </w:rPr>
            </w:pPr>
            <w:r>
              <w:rPr>
                <w:color w:val="000000"/>
                <w:sz w:val="20"/>
                <w:szCs w:val="20"/>
              </w:rPr>
              <w:t>Một mặt tiền</w:t>
            </w:r>
          </w:p>
        </w:tc>
        <w:tc>
          <w:tcPr>
            <w:tcW w:w="1198" w:type="dxa"/>
            <w:noWrap/>
            <w:vAlign w:val="center"/>
          </w:tcPr>
          <w:p w14:paraId="08C58CB2">
            <w:pPr>
              <w:jc w:val="center"/>
              <w:rPr>
                <w:color w:val="000000"/>
                <w:sz w:val="20"/>
                <w:szCs w:val="20"/>
              </w:rPr>
            </w:pPr>
            <w:r>
              <w:rPr>
                <w:color w:val="000000"/>
                <w:sz w:val="20"/>
                <w:szCs w:val="20"/>
              </w:rPr>
              <w:t>10.800.000</w:t>
            </w:r>
          </w:p>
        </w:tc>
        <w:tc>
          <w:tcPr>
            <w:tcW w:w="1236" w:type="dxa"/>
            <w:noWrap/>
            <w:vAlign w:val="center"/>
          </w:tcPr>
          <w:p w14:paraId="1DB33164">
            <w:pPr>
              <w:jc w:val="center"/>
              <w:rPr>
                <w:color w:val="000000"/>
                <w:sz w:val="20"/>
                <w:szCs w:val="20"/>
              </w:rPr>
            </w:pPr>
          </w:p>
        </w:tc>
        <w:tc>
          <w:tcPr>
            <w:tcW w:w="1252" w:type="dxa"/>
            <w:noWrap/>
            <w:vAlign w:val="center"/>
          </w:tcPr>
          <w:p w14:paraId="7E7A854E">
            <w:pPr>
              <w:jc w:val="center"/>
              <w:rPr>
                <w:color w:val="000000"/>
                <w:sz w:val="20"/>
                <w:szCs w:val="20"/>
              </w:rPr>
            </w:pPr>
            <w:r>
              <w:rPr>
                <w:color w:val="000000"/>
                <w:sz w:val="20"/>
                <w:szCs w:val="20"/>
              </w:rPr>
              <w:t>10.800.000</w:t>
            </w:r>
          </w:p>
        </w:tc>
        <w:tc>
          <w:tcPr>
            <w:tcW w:w="1848" w:type="dxa"/>
            <w:noWrap/>
            <w:vAlign w:val="center"/>
          </w:tcPr>
          <w:p w14:paraId="3D58FDD4">
            <w:pPr>
              <w:jc w:val="center"/>
              <w:rPr>
                <w:color w:val="000000"/>
                <w:sz w:val="20"/>
                <w:szCs w:val="20"/>
              </w:rPr>
            </w:pPr>
            <w:r>
              <w:rPr>
                <w:color w:val="000000"/>
                <w:sz w:val="20"/>
                <w:szCs w:val="20"/>
              </w:rPr>
              <w:t>1.360.800.000</w:t>
            </w:r>
          </w:p>
        </w:tc>
      </w:tr>
      <w:tr w14:paraId="4B00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339A93">
            <w:pPr>
              <w:jc w:val="center"/>
              <w:rPr>
                <w:b/>
                <w:bCs/>
                <w:color w:val="000000"/>
                <w:sz w:val="20"/>
                <w:szCs w:val="20"/>
              </w:rPr>
            </w:pPr>
            <w:r>
              <w:rPr>
                <w:b/>
                <w:bCs/>
                <w:color w:val="000000"/>
                <w:sz w:val="20"/>
                <w:szCs w:val="20"/>
              </w:rPr>
              <w:t>LK05</w:t>
            </w:r>
          </w:p>
        </w:tc>
        <w:tc>
          <w:tcPr>
            <w:tcW w:w="1802" w:type="dxa"/>
            <w:vAlign w:val="center"/>
          </w:tcPr>
          <w:p w14:paraId="22BDC635">
            <w:pPr>
              <w:jc w:val="center"/>
              <w:rPr>
                <w:color w:val="000000"/>
                <w:sz w:val="20"/>
                <w:szCs w:val="20"/>
              </w:rPr>
            </w:pPr>
            <w:r>
              <w:rPr>
                <w:color w:val="000000"/>
                <w:sz w:val="20"/>
                <w:szCs w:val="20"/>
              </w:rPr>
              <w:t>LK05:01</w:t>
            </w:r>
          </w:p>
        </w:tc>
        <w:tc>
          <w:tcPr>
            <w:tcW w:w="1033" w:type="dxa"/>
            <w:noWrap/>
            <w:vAlign w:val="center"/>
          </w:tcPr>
          <w:p w14:paraId="656999B2">
            <w:pPr>
              <w:jc w:val="center"/>
              <w:rPr>
                <w:color w:val="000000"/>
                <w:sz w:val="20"/>
                <w:szCs w:val="20"/>
              </w:rPr>
            </w:pPr>
            <w:r>
              <w:rPr>
                <w:color w:val="000000"/>
                <w:sz w:val="20"/>
                <w:szCs w:val="20"/>
              </w:rPr>
              <w:t>102,58</w:t>
            </w:r>
          </w:p>
        </w:tc>
        <w:tc>
          <w:tcPr>
            <w:tcW w:w="846" w:type="dxa"/>
            <w:noWrap/>
            <w:vAlign w:val="center"/>
          </w:tcPr>
          <w:p w14:paraId="1F3A3595">
            <w:pPr>
              <w:jc w:val="center"/>
              <w:rPr>
                <w:color w:val="000000"/>
                <w:sz w:val="20"/>
                <w:szCs w:val="20"/>
              </w:rPr>
            </w:pPr>
            <w:r>
              <w:rPr>
                <w:color w:val="000000"/>
                <w:sz w:val="20"/>
                <w:szCs w:val="20"/>
              </w:rPr>
              <w:t>1</w:t>
            </w:r>
          </w:p>
        </w:tc>
        <w:tc>
          <w:tcPr>
            <w:tcW w:w="2578" w:type="dxa"/>
            <w:noWrap/>
            <w:vAlign w:val="center"/>
          </w:tcPr>
          <w:p w14:paraId="17264888">
            <w:pPr>
              <w:jc w:val="center"/>
              <w:rPr>
                <w:color w:val="000000"/>
                <w:sz w:val="20"/>
                <w:szCs w:val="20"/>
              </w:rPr>
            </w:pPr>
            <w:r>
              <w:rPr>
                <w:color w:val="000000"/>
                <w:sz w:val="20"/>
                <w:szCs w:val="20"/>
              </w:rPr>
              <w:t>Mặt cắt 3-3</w:t>
            </w:r>
          </w:p>
        </w:tc>
        <w:tc>
          <w:tcPr>
            <w:tcW w:w="2393" w:type="dxa"/>
            <w:noWrap/>
            <w:vAlign w:val="center"/>
          </w:tcPr>
          <w:p w14:paraId="32B9541C">
            <w:pPr>
              <w:jc w:val="center"/>
              <w:rPr>
                <w:color w:val="000000"/>
                <w:sz w:val="20"/>
                <w:szCs w:val="20"/>
              </w:rPr>
            </w:pPr>
            <w:r>
              <w:rPr>
                <w:color w:val="000000"/>
                <w:sz w:val="20"/>
                <w:szCs w:val="20"/>
              </w:rPr>
              <w:t>Một mặt tiền</w:t>
            </w:r>
          </w:p>
        </w:tc>
        <w:tc>
          <w:tcPr>
            <w:tcW w:w="1198" w:type="dxa"/>
            <w:noWrap/>
            <w:vAlign w:val="center"/>
          </w:tcPr>
          <w:p w14:paraId="0ADC93B0">
            <w:pPr>
              <w:jc w:val="center"/>
              <w:rPr>
                <w:color w:val="000000"/>
                <w:sz w:val="20"/>
                <w:szCs w:val="20"/>
              </w:rPr>
            </w:pPr>
            <w:r>
              <w:rPr>
                <w:color w:val="000000"/>
                <w:sz w:val="20"/>
                <w:szCs w:val="20"/>
              </w:rPr>
              <w:t>10.800.000</w:t>
            </w:r>
          </w:p>
        </w:tc>
        <w:tc>
          <w:tcPr>
            <w:tcW w:w="1236" w:type="dxa"/>
            <w:noWrap/>
            <w:vAlign w:val="center"/>
          </w:tcPr>
          <w:p w14:paraId="4B1A6E6D">
            <w:pPr>
              <w:jc w:val="center"/>
              <w:rPr>
                <w:color w:val="000000"/>
                <w:sz w:val="20"/>
                <w:szCs w:val="20"/>
              </w:rPr>
            </w:pPr>
          </w:p>
        </w:tc>
        <w:tc>
          <w:tcPr>
            <w:tcW w:w="1252" w:type="dxa"/>
            <w:noWrap/>
            <w:vAlign w:val="center"/>
          </w:tcPr>
          <w:p w14:paraId="500B1ADF">
            <w:pPr>
              <w:jc w:val="center"/>
              <w:rPr>
                <w:color w:val="000000"/>
                <w:sz w:val="20"/>
                <w:szCs w:val="20"/>
              </w:rPr>
            </w:pPr>
            <w:r>
              <w:rPr>
                <w:color w:val="000000"/>
                <w:sz w:val="20"/>
                <w:szCs w:val="20"/>
              </w:rPr>
              <w:t>10.800.000</w:t>
            </w:r>
          </w:p>
        </w:tc>
        <w:tc>
          <w:tcPr>
            <w:tcW w:w="1848" w:type="dxa"/>
            <w:noWrap/>
            <w:vAlign w:val="center"/>
          </w:tcPr>
          <w:p w14:paraId="5512BD98">
            <w:pPr>
              <w:jc w:val="center"/>
              <w:rPr>
                <w:color w:val="000000"/>
                <w:sz w:val="20"/>
                <w:szCs w:val="20"/>
              </w:rPr>
            </w:pPr>
            <w:r>
              <w:rPr>
                <w:color w:val="000000"/>
                <w:sz w:val="20"/>
                <w:szCs w:val="20"/>
              </w:rPr>
              <w:t>1.107.864.000</w:t>
            </w:r>
          </w:p>
        </w:tc>
      </w:tr>
      <w:tr w14:paraId="1FF0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5EC4A32">
            <w:pPr>
              <w:jc w:val="center"/>
              <w:rPr>
                <w:b/>
                <w:bCs/>
                <w:color w:val="000000"/>
                <w:sz w:val="20"/>
                <w:szCs w:val="20"/>
              </w:rPr>
            </w:pPr>
            <w:r>
              <w:rPr>
                <w:b/>
                <w:bCs/>
                <w:color w:val="000000"/>
                <w:sz w:val="20"/>
                <w:szCs w:val="20"/>
              </w:rPr>
              <w:t>LK05</w:t>
            </w:r>
          </w:p>
        </w:tc>
        <w:tc>
          <w:tcPr>
            <w:tcW w:w="1802" w:type="dxa"/>
            <w:vAlign w:val="center"/>
          </w:tcPr>
          <w:p w14:paraId="34E7501C">
            <w:pPr>
              <w:jc w:val="center"/>
              <w:rPr>
                <w:color w:val="000000"/>
                <w:sz w:val="20"/>
                <w:szCs w:val="20"/>
              </w:rPr>
            </w:pPr>
            <w:r>
              <w:rPr>
                <w:color w:val="000000"/>
                <w:sz w:val="20"/>
                <w:szCs w:val="20"/>
              </w:rPr>
              <w:t>LK05:02</w:t>
            </w:r>
          </w:p>
        </w:tc>
        <w:tc>
          <w:tcPr>
            <w:tcW w:w="1033" w:type="dxa"/>
            <w:noWrap/>
            <w:vAlign w:val="center"/>
          </w:tcPr>
          <w:p w14:paraId="28F903E3">
            <w:pPr>
              <w:jc w:val="center"/>
              <w:rPr>
                <w:color w:val="000000"/>
                <w:sz w:val="20"/>
                <w:szCs w:val="20"/>
              </w:rPr>
            </w:pPr>
            <w:r>
              <w:rPr>
                <w:color w:val="000000"/>
                <w:sz w:val="20"/>
                <w:szCs w:val="20"/>
              </w:rPr>
              <w:t>90,00</w:t>
            </w:r>
          </w:p>
        </w:tc>
        <w:tc>
          <w:tcPr>
            <w:tcW w:w="846" w:type="dxa"/>
            <w:noWrap/>
            <w:vAlign w:val="center"/>
          </w:tcPr>
          <w:p w14:paraId="7416DA67">
            <w:pPr>
              <w:jc w:val="center"/>
              <w:rPr>
                <w:color w:val="000000"/>
                <w:sz w:val="20"/>
                <w:szCs w:val="20"/>
              </w:rPr>
            </w:pPr>
            <w:r>
              <w:rPr>
                <w:color w:val="000000"/>
                <w:sz w:val="20"/>
                <w:szCs w:val="20"/>
              </w:rPr>
              <w:t>1</w:t>
            </w:r>
          </w:p>
        </w:tc>
        <w:tc>
          <w:tcPr>
            <w:tcW w:w="2578" w:type="dxa"/>
            <w:noWrap/>
            <w:vAlign w:val="center"/>
          </w:tcPr>
          <w:p w14:paraId="2BC59170">
            <w:pPr>
              <w:jc w:val="center"/>
              <w:rPr>
                <w:color w:val="000000"/>
                <w:sz w:val="20"/>
                <w:szCs w:val="20"/>
              </w:rPr>
            </w:pPr>
            <w:r>
              <w:rPr>
                <w:color w:val="000000"/>
                <w:sz w:val="20"/>
                <w:szCs w:val="20"/>
              </w:rPr>
              <w:t>Mặt cắt 3-3</w:t>
            </w:r>
          </w:p>
        </w:tc>
        <w:tc>
          <w:tcPr>
            <w:tcW w:w="2393" w:type="dxa"/>
            <w:noWrap/>
            <w:vAlign w:val="center"/>
          </w:tcPr>
          <w:p w14:paraId="55693E71">
            <w:pPr>
              <w:jc w:val="center"/>
              <w:rPr>
                <w:color w:val="000000"/>
                <w:sz w:val="20"/>
                <w:szCs w:val="20"/>
              </w:rPr>
            </w:pPr>
            <w:r>
              <w:rPr>
                <w:color w:val="000000"/>
                <w:sz w:val="20"/>
                <w:szCs w:val="20"/>
              </w:rPr>
              <w:t>Một mặt tiền</w:t>
            </w:r>
          </w:p>
        </w:tc>
        <w:tc>
          <w:tcPr>
            <w:tcW w:w="1198" w:type="dxa"/>
            <w:noWrap/>
            <w:vAlign w:val="center"/>
          </w:tcPr>
          <w:p w14:paraId="418D5D34">
            <w:pPr>
              <w:jc w:val="center"/>
              <w:rPr>
                <w:color w:val="000000"/>
                <w:sz w:val="20"/>
                <w:szCs w:val="20"/>
              </w:rPr>
            </w:pPr>
            <w:r>
              <w:rPr>
                <w:color w:val="000000"/>
                <w:sz w:val="20"/>
                <w:szCs w:val="20"/>
              </w:rPr>
              <w:t>10.800.000</w:t>
            </w:r>
          </w:p>
        </w:tc>
        <w:tc>
          <w:tcPr>
            <w:tcW w:w="1236" w:type="dxa"/>
            <w:noWrap/>
            <w:vAlign w:val="center"/>
          </w:tcPr>
          <w:p w14:paraId="673D59CC">
            <w:pPr>
              <w:jc w:val="center"/>
              <w:rPr>
                <w:color w:val="000000"/>
                <w:sz w:val="20"/>
                <w:szCs w:val="20"/>
              </w:rPr>
            </w:pPr>
          </w:p>
        </w:tc>
        <w:tc>
          <w:tcPr>
            <w:tcW w:w="1252" w:type="dxa"/>
            <w:noWrap/>
            <w:vAlign w:val="center"/>
          </w:tcPr>
          <w:p w14:paraId="37AAD302">
            <w:pPr>
              <w:jc w:val="center"/>
              <w:rPr>
                <w:color w:val="000000"/>
                <w:sz w:val="20"/>
                <w:szCs w:val="20"/>
              </w:rPr>
            </w:pPr>
            <w:r>
              <w:rPr>
                <w:color w:val="000000"/>
                <w:sz w:val="20"/>
                <w:szCs w:val="20"/>
              </w:rPr>
              <w:t>10.800.000</w:t>
            </w:r>
          </w:p>
        </w:tc>
        <w:tc>
          <w:tcPr>
            <w:tcW w:w="1848" w:type="dxa"/>
            <w:noWrap/>
            <w:vAlign w:val="center"/>
          </w:tcPr>
          <w:p w14:paraId="2F6DBCC8">
            <w:pPr>
              <w:jc w:val="center"/>
              <w:rPr>
                <w:color w:val="000000"/>
                <w:sz w:val="20"/>
                <w:szCs w:val="20"/>
              </w:rPr>
            </w:pPr>
            <w:r>
              <w:rPr>
                <w:color w:val="000000"/>
                <w:sz w:val="20"/>
                <w:szCs w:val="20"/>
              </w:rPr>
              <w:t>972.000.000</w:t>
            </w:r>
          </w:p>
        </w:tc>
      </w:tr>
      <w:tr w14:paraId="3F4E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A615936">
            <w:pPr>
              <w:jc w:val="center"/>
              <w:rPr>
                <w:b/>
                <w:bCs/>
                <w:color w:val="000000"/>
                <w:sz w:val="20"/>
                <w:szCs w:val="20"/>
              </w:rPr>
            </w:pPr>
            <w:r>
              <w:rPr>
                <w:b/>
                <w:bCs/>
                <w:color w:val="000000"/>
                <w:sz w:val="20"/>
                <w:szCs w:val="20"/>
              </w:rPr>
              <w:t>LK05</w:t>
            </w:r>
          </w:p>
        </w:tc>
        <w:tc>
          <w:tcPr>
            <w:tcW w:w="1802" w:type="dxa"/>
            <w:vAlign w:val="center"/>
          </w:tcPr>
          <w:p w14:paraId="63A85A03">
            <w:pPr>
              <w:jc w:val="center"/>
              <w:rPr>
                <w:color w:val="000000"/>
                <w:sz w:val="20"/>
                <w:szCs w:val="20"/>
              </w:rPr>
            </w:pPr>
            <w:r>
              <w:rPr>
                <w:color w:val="000000"/>
                <w:sz w:val="20"/>
                <w:szCs w:val="20"/>
              </w:rPr>
              <w:t>LK05:03</w:t>
            </w:r>
          </w:p>
        </w:tc>
        <w:tc>
          <w:tcPr>
            <w:tcW w:w="1033" w:type="dxa"/>
            <w:noWrap/>
            <w:vAlign w:val="center"/>
          </w:tcPr>
          <w:p w14:paraId="4C92066C">
            <w:pPr>
              <w:jc w:val="center"/>
              <w:rPr>
                <w:color w:val="000000"/>
                <w:sz w:val="20"/>
                <w:szCs w:val="20"/>
              </w:rPr>
            </w:pPr>
            <w:r>
              <w:rPr>
                <w:color w:val="000000"/>
                <w:sz w:val="20"/>
                <w:szCs w:val="20"/>
              </w:rPr>
              <w:t>90,00</w:t>
            </w:r>
          </w:p>
        </w:tc>
        <w:tc>
          <w:tcPr>
            <w:tcW w:w="846" w:type="dxa"/>
            <w:noWrap/>
            <w:vAlign w:val="center"/>
          </w:tcPr>
          <w:p w14:paraId="190D3534">
            <w:pPr>
              <w:jc w:val="center"/>
              <w:rPr>
                <w:color w:val="000000"/>
                <w:sz w:val="20"/>
                <w:szCs w:val="20"/>
              </w:rPr>
            </w:pPr>
            <w:r>
              <w:rPr>
                <w:color w:val="000000"/>
                <w:sz w:val="20"/>
                <w:szCs w:val="20"/>
              </w:rPr>
              <w:t>1</w:t>
            </w:r>
          </w:p>
        </w:tc>
        <w:tc>
          <w:tcPr>
            <w:tcW w:w="2578" w:type="dxa"/>
            <w:noWrap/>
            <w:vAlign w:val="center"/>
          </w:tcPr>
          <w:p w14:paraId="2ABEC8CF">
            <w:pPr>
              <w:jc w:val="center"/>
              <w:rPr>
                <w:color w:val="000000"/>
                <w:sz w:val="20"/>
                <w:szCs w:val="20"/>
              </w:rPr>
            </w:pPr>
            <w:r>
              <w:rPr>
                <w:color w:val="000000"/>
                <w:sz w:val="20"/>
                <w:szCs w:val="20"/>
              </w:rPr>
              <w:t>Mặt cắt 3-3</w:t>
            </w:r>
          </w:p>
        </w:tc>
        <w:tc>
          <w:tcPr>
            <w:tcW w:w="2393" w:type="dxa"/>
            <w:noWrap/>
            <w:vAlign w:val="center"/>
          </w:tcPr>
          <w:p w14:paraId="742A7A86">
            <w:pPr>
              <w:jc w:val="center"/>
              <w:rPr>
                <w:color w:val="000000"/>
                <w:sz w:val="20"/>
                <w:szCs w:val="20"/>
              </w:rPr>
            </w:pPr>
            <w:r>
              <w:rPr>
                <w:color w:val="000000"/>
                <w:sz w:val="20"/>
                <w:szCs w:val="20"/>
              </w:rPr>
              <w:t>Một mặt tiền</w:t>
            </w:r>
          </w:p>
        </w:tc>
        <w:tc>
          <w:tcPr>
            <w:tcW w:w="1198" w:type="dxa"/>
            <w:noWrap/>
            <w:vAlign w:val="center"/>
          </w:tcPr>
          <w:p w14:paraId="1CAB51E8">
            <w:pPr>
              <w:jc w:val="center"/>
              <w:rPr>
                <w:color w:val="000000"/>
                <w:sz w:val="20"/>
                <w:szCs w:val="20"/>
              </w:rPr>
            </w:pPr>
            <w:r>
              <w:rPr>
                <w:color w:val="000000"/>
                <w:sz w:val="20"/>
                <w:szCs w:val="20"/>
              </w:rPr>
              <w:t>10.800.000</w:t>
            </w:r>
          </w:p>
        </w:tc>
        <w:tc>
          <w:tcPr>
            <w:tcW w:w="1236" w:type="dxa"/>
            <w:noWrap/>
            <w:vAlign w:val="center"/>
          </w:tcPr>
          <w:p w14:paraId="7371E20F">
            <w:pPr>
              <w:jc w:val="center"/>
              <w:rPr>
                <w:color w:val="000000"/>
                <w:sz w:val="20"/>
                <w:szCs w:val="20"/>
              </w:rPr>
            </w:pPr>
          </w:p>
        </w:tc>
        <w:tc>
          <w:tcPr>
            <w:tcW w:w="1252" w:type="dxa"/>
            <w:noWrap/>
            <w:vAlign w:val="center"/>
          </w:tcPr>
          <w:p w14:paraId="72FA3CCD">
            <w:pPr>
              <w:jc w:val="center"/>
              <w:rPr>
                <w:color w:val="000000"/>
                <w:sz w:val="20"/>
                <w:szCs w:val="20"/>
              </w:rPr>
            </w:pPr>
            <w:r>
              <w:rPr>
                <w:color w:val="000000"/>
                <w:sz w:val="20"/>
                <w:szCs w:val="20"/>
              </w:rPr>
              <w:t>10.800.000</w:t>
            </w:r>
          </w:p>
        </w:tc>
        <w:tc>
          <w:tcPr>
            <w:tcW w:w="1848" w:type="dxa"/>
            <w:noWrap/>
            <w:vAlign w:val="center"/>
          </w:tcPr>
          <w:p w14:paraId="04FB7F49">
            <w:pPr>
              <w:jc w:val="center"/>
              <w:rPr>
                <w:color w:val="000000"/>
                <w:sz w:val="20"/>
                <w:szCs w:val="20"/>
              </w:rPr>
            </w:pPr>
            <w:r>
              <w:rPr>
                <w:color w:val="000000"/>
                <w:sz w:val="20"/>
                <w:szCs w:val="20"/>
              </w:rPr>
              <w:t>972.000.000</w:t>
            </w:r>
          </w:p>
        </w:tc>
      </w:tr>
      <w:tr w14:paraId="70D5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A8B8973">
            <w:pPr>
              <w:jc w:val="center"/>
              <w:rPr>
                <w:b/>
                <w:bCs/>
                <w:color w:val="000000"/>
                <w:sz w:val="20"/>
                <w:szCs w:val="20"/>
              </w:rPr>
            </w:pPr>
            <w:r>
              <w:rPr>
                <w:b/>
                <w:bCs/>
                <w:color w:val="000000"/>
                <w:sz w:val="20"/>
                <w:szCs w:val="20"/>
              </w:rPr>
              <w:t>LK05</w:t>
            </w:r>
          </w:p>
        </w:tc>
        <w:tc>
          <w:tcPr>
            <w:tcW w:w="1802" w:type="dxa"/>
            <w:vAlign w:val="center"/>
          </w:tcPr>
          <w:p w14:paraId="6624D645">
            <w:pPr>
              <w:jc w:val="center"/>
              <w:rPr>
                <w:color w:val="000000"/>
                <w:sz w:val="20"/>
                <w:szCs w:val="20"/>
              </w:rPr>
            </w:pPr>
            <w:r>
              <w:rPr>
                <w:color w:val="000000"/>
                <w:sz w:val="20"/>
                <w:szCs w:val="20"/>
              </w:rPr>
              <w:t>LK05:04</w:t>
            </w:r>
          </w:p>
        </w:tc>
        <w:tc>
          <w:tcPr>
            <w:tcW w:w="1033" w:type="dxa"/>
            <w:noWrap/>
            <w:vAlign w:val="center"/>
          </w:tcPr>
          <w:p w14:paraId="2E3CF893">
            <w:pPr>
              <w:jc w:val="center"/>
              <w:rPr>
                <w:color w:val="000000"/>
                <w:sz w:val="20"/>
                <w:szCs w:val="20"/>
              </w:rPr>
            </w:pPr>
            <w:r>
              <w:rPr>
                <w:color w:val="000000"/>
                <w:sz w:val="20"/>
                <w:szCs w:val="20"/>
              </w:rPr>
              <w:t>90,00</w:t>
            </w:r>
          </w:p>
        </w:tc>
        <w:tc>
          <w:tcPr>
            <w:tcW w:w="846" w:type="dxa"/>
            <w:noWrap/>
            <w:vAlign w:val="center"/>
          </w:tcPr>
          <w:p w14:paraId="7418DB44">
            <w:pPr>
              <w:jc w:val="center"/>
              <w:rPr>
                <w:color w:val="000000"/>
                <w:sz w:val="20"/>
                <w:szCs w:val="20"/>
              </w:rPr>
            </w:pPr>
            <w:r>
              <w:rPr>
                <w:color w:val="000000"/>
                <w:sz w:val="20"/>
                <w:szCs w:val="20"/>
              </w:rPr>
              <w:t>1</w:t>
            </w:r>
          </w:p>
        </w:tc>
        <w:tc>
          <w:tcPr>
            <w:tcW w:w="2578" w:type="dxa"/>
            <w:noWrap/>
            <w:vAlign w:val="center"/>
          </w:tcPr>
          <w:p w14:paraId="78A0C4EC">
            <w:pPr>
              <w:jc w:val="center"/>
              <w:rPr>
                <w:color w:val="000000"/>
                <w:sz w:val="20"/>
                <w:szCs w:val="20"/>
              </w:rPr>
            </w:pPr>
            <w:r>
              <w:rPr>
                <w:color w:val="000000"/>
                <w:sz w:val="20"/>
                <w:szCs w:val="20"/>
              </w:rPr>
              <w:t>Mặt cắt 3-3</w:t>
            </w:r>
          </w:p>
        </w:tc>
        <w:tc>
          <w:tcPr>
            <w:tcW w:w="2393" w:type="dxa"/>
            <w:noWrap/>
            <w:vAlign w:val="center"/>
          </w:tcPr>
          <w:p w14:paraId="4AAF9070">
            <w:pPr>
              <w:jc w:val="center"/>
              <w:rPr>
                <w:color w:val="000000"/>
                <w:sz w:val="20"/>
                <w:szCs w:val="20"/>
              </w:rPr>
            </w:pPr>
            <w:r>
              <w:rPr>
                <w:color w:val="000000"/>
                <w:sz w:val="20"/>
                <w:szCs w:val="20"/>
              </w:rPr>
              <w:t>Một mặt tiền</w:t>
            </w:r>
          </w:p>
        </w:tc>
        <w:tc>
          <w:tcPr>
            <w:tcW w:w="1198" w:type="dxa"/>
            <w:noWrap/>
            <w:vAlign w:val="center"/>
          </w:tcPr>
          <w:p w14:paraId="4C44F885">
            <w:pPr>
              <w:jc w:val="center"/>
              <w:rPr>
                <w:color w:val="000000"/>
                <w:sz w:val="20"/>
                <w:szCs w:val="20"/>
              </w:rPr>
            </w:pPr>
            <w:r>
              <w:rPr>
                <w:color w:val="000000"/>
                <w:sz w:val="20"/>
                <w:szCs w:val="20"/>
              </w:rPr>
              <w:t>10.800.000</w:t>
            </w:r>
          </w:p>
        </w:tc>
        <w:tc>
          <w:tcPr>
            <w:tcW w:w="1236" w:type="dxa"/>
            <w:noWrap/>
            <w:vAlign w:val="center"/>
          </w:tcPr>
          <w:p w14:paraId="0CFEEC5F">
            <w:pPr>
              <w:jc w:val="center"/>
              <w:rPr>
                <w:color w:val="000000"/>
                <w:sz w:val="20"/>
                <w:szCs w:val="20"/>
              </w:rPr>
            </w:pPr>
          </w:p>
        </w:tc>
        <w:tc>
          <w:tcPr>
            <w:tcW w:w="1252" w:type="dxa"/>
            <w:noWrap/>
            <w:vAlign w:val="center"/>
          </w:tcPr>
          <w:p w14:paraId="2ABEBB20">
            <w:pPr>
              <w:jc w:val="center"/>
              <w:rPr>
                <w:color w:val="000000"/>
                <w:sz w:val="20"/>
                <w:szCs w:val="20"/>
              </w:rPr>
            </w:pPr>
            <w:r>
              <w:rPr>
                <w:color w:val="000000"/>
                <w:sz w:val="20"/>
                <w:szCs w:val="20"/>
              </w:rPr>
              <w:t>10.800.000</w:t>
            </w:r>
          </w:p>
        </w:tc>
        <w:tc>
          <w:tcPr>
            <w:tcW w:w="1848" w:type="dxa"/>
            <w:noWrap/>
            <w:vAlign w:val="center"/>
          </w:tcPr>
          <w:p w14:paraId="721D8075">
            <w:pPr>
              <w:jc w:val="center"/>
              <w:rPr>
                <w:color w:val="000000"/>
                <w:sz w:val="20"/>
                <w:szCs w:val="20"/>
              </w:rPr>
            </w:pPr>
            <w:r>
              <w:rPr>
                <w:color w:val="000000"/>
                <w:sz w:val="20"/>
                <w:szCs w:val="20"/>
              </w:rPr>
              <w:t>972.000.000</w:t>
            </w:r>
          </w:p>
        </w:tc>
      </w:tr>
      <w:tr w14:paraId="4303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A028893">
            <w:pPr>
              <w:jc w:val="center"/>
              <w:rPr>
                <w:b/>
                <w:bCs/>
                <w:color w:val="000000"/>
                <w:sz w:val="20"/>
                <w:szCs w:val="20"/>
              </w:rPr>
            </w:pPr>
            <w:r>
              <w:rPr>
                <w:b/>
                <w:bCs/>
                <w:color w:val="000000"/>
                <w:sz w:val="20"/>
                <w:szCs w:val="20"/>
              </w:rPr>
              <w:t>LK05</w:t>
            </w:r>
          </w:p>
        </w:tc>
        <w:tc>
          <w:tcPr>
            <w:tcW w:w="1802" w:type="dxa"/>
            <w:vAlign w:val="center"/>
          </w:tcPr>
          <w:p w14:paraId="2E3E53BC">
            <w:pPr>
              <w:jc w:val="center"/>
              <w:rPr>
                <w:color w:val="000000"/>
                <w:sz w:val="20"/>
                <w:szCs w:val="20"/>
              </w:rPr>
            </w:pPr>
            <w:r>
              <w:rPr>
                <w:color w:val="000000"/>
                <w:sz w:val="20"/>
                <w:szCs w:val="20"/>
              </w:rPr>
              <w:t>LK05:05</w:t>
            </w:r>
          </w:p>
        </w:tc>
        <w:tc>
          <w:tcPr>
            <w:tcW w:w="1033" w:type="dxa"/>
            <w:noWrap/>
            <w:vAlign w:val="center"/>
          </w:tcPr>
          <w:p w14:paraId="281F0F17">
            <w:pPr>
              <w:jc w:val="center"/>
              <w:rPr>
                <w:color w:val="000000"/>
                <w:sz w:val="20"/>
                <w:szCs w:val="20"/>
              </w:rPr>
            </w:pPr>
            <w:r>
              <w:rPr>
                <w:color w:val="000000"/>
                <w:sz w:val="20"/>
                <w:szCs w:val="20"/>
              </w:rPr>
              <w:t>90,00</w:t>
            </w:r>
          </w:p>
        </w:tc>
        <w:tc>
          <w:tcPr>
            <w:tcW w:w="846" w:type="dxa"/>
            <w:noWrap/>
            <w:vAlign w:val="center"/>
          </w:tcPr>
          <w:p w14:paraId="4A92BD3F">
            <w:pPr>
              <w:jc w:val="center"/>
              <w:rPr>
                <w:color w:val="000000"/>
                <w:sz w:val="20"/>
                <w:szCs w:val="20"/>
              </w:rPr>
            </w:pPr>
            <w:r>
              <w:rPr>
                <w:color w:val="000000"/>
                <w:sz w:val="20"/>
                <w:szCs w:val="20"/>
              </w:rPr>
              <w:t>1</w:t>
            </w:r>
          </w:p>
        </w:tc>
        <w:tc>
          <w:tcPr>
            <w:tcW w:w="2578" w:type="dxa"/>
            <w:noWrap/>
            <w:vAlign w:val="center"/>
          </w:tcPr>
          <w:p w14:paraId="7A72F632">
            <w:pPr>
              <w:jc w:val="center"/>
              <w:rPr>
                <w:color w:val="000000"/>
                <w:sz w:val="20"/>
                <w:szCs w:val="20"/>
              </w:rPr>
            </w:pPr>
            <w:r>
              <w:rPr>
                <w:color w:val="000000"/>
                <w:sz w:val="20"/>
                <w:szCs w:val="20"/>
              </w:rPr>
              <w:t>Mặt cắt 3-3</w:t>
            </w:r>
          </w:p>
        </w:tc>
        <w:tc>
          <w:tcPr>
            <w:tcW w:w="2393" w:type="dxa"/>
            <w:noWrap/>
            <w:vAlign w:val="center"/>
          </w:tcPr>
          <w:p w14:paraId="275BD3FA">
            <w:pPr>
              <w:jc w:val="center"/>
              <w:rPr>
                <w:color w:val="000000"/>
                <w:sz w:val="20"/>
                <w:szCs w:val="20"/>
              </w:rPr>
            </w:pPr>
            <w:r>
              <w:rPr>
                <w:color w:val="000000"/>
                <w:sz w:val="20"/>
                <w:szCs w:val="20"/>
              </w:rPr>
              <w:t>Một mặt tiền</w:t>
            </w:r>
          </w:p>
        </w:tc>
        <w:tc>
          <w:tcPr>
            <w:tcW w:w="1198" w:type="dxa"/>
            <w:noWrap/>
            <w:vAlign w:val="center"/>
          </w:tcPr>
          <w:p w14:paraId="08DFE262">
            <w:pPr>
              <w:jc w:val="center"/>
              <w:rPr>
                <w:color w:val="000000"/>
                <w:sz w:val="20"/>
                <w:szCs w:val="20"/>
              </w:rPr>
            </w:pPr>
            <w:r>
              <w:rPr>
                <w:color w:val="000000"/>
                <w:sz w:val="20"/>
                <w:szCs w:val="20"/>
              </w:rPr>
              <w:t>10.800.000</w:t>
            </w:r>
          </w:p>
        </w:tc>
        <w:tc>
          <w:tcPr>
            <w:tcW w:w="1236" w:type="dxa"/>
            <w:noWrap/>
            <w:vAlign w:val="center"/>
          </w:tcPr>
          <w:p w14:paraId="0FFC84CC">
            <w:pPr>
              <w:jc w:val="center"/>
              <w:rPr>
                <w:color w:val="000000"/>
                <w:sz w:val="20"/>
                <w:szCs w:val="20"/>
              </w:rPr>
            </w:pPr>
          </w:p>
        </w:tc>
        <w:tc>
          <w:tcPr>
            <w:tcW w:w="1252" w:type="dxa"/>
            <w:noWrap/>
            <w:vAlign w:val="center"/>
          </w:tcPr>
          <w:p w14:paraId="657F4C9D">
            <w:pPr>
              <w:jc w:val="center"/>
              <w:rPr>
                <w:color w:val="000000"/>
                <w:sz w:val="20"/>
                <w:szCs w:val="20"/>
              </w:rPr>
            </w:pPr>
            <w:r>
              <w:rPr>
                <w:color w:val="000000"/>
                <w:sz w:val="20"/>
                <w:szCs w:val="20"/>
              </w:rPr>
              <w:t>10.800.000</w:t>
            </w:r>
          </w:p>
        </w:tc>
        <w:tc>
          <w:tcPr>
            <w:tcW w:w="1848" w:type="dxa"/>
            <w:noWrap/>
            <w:vAlign w:val="center"/>
          </w:tcPr>
          <w:p w14:paraId="5FAB2050">
            <w:pPr>
              <w:jc w:val="center"/>
              <w:rPr>
                <w:color w:val="000000"/>
                <w:sz w:val="20"/>
                <w:szCs w:val="20"/>
              </w:rPr>
            </w:pPr>
            <w:r>
              <w:rPr>
                <w:color w:val="000000"/>
                <w:sz w:val="20"/>
                <w:szCs w:val="20"/>
              </w:rPr>
              <w:t>972.000.000</w:t>
            </w:r>
          </w:p>
        </w:tc>
      </w:tr>
      <w:tr w14:paraId="1181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B001F07">
            <w:pPr>
              <w:jc w:val="center"/>
              <w:rPr>
                <w:b/>
                <w:bCs/>
                <w:color w:val="000000"/>
                <w:sz w:val="20"/>
                <w:szCs w:val="20"/>
              </w:rPr>
            </w:pPr>
            <w:r>
              <w:rPr>
                <w:b/>
                <w:bCs/>
                <w:color w:val="000000"/>
                <w:sz w:val="20"/>
                <w:szCs w:val="20"/>
              </w:rPr>
              <w:t>LK05</w:t>
            </w:r>
          </w:p>
        </w:tc>
        <w:tc>
          <w:tcPr>
            <w:tcW w:w="1802" w:type="dxa"/>
            <w:vAlign w:val="center"/>
          </w:tcPr>
          <w:p w14:paraId="4EB35BE2">
            <w:pPr>
              <w:jc w:val="center"/>
              <w:rPr>
                <w:color w:val="000000"/>
                <w:sz w:val="20"/>
                <w:szCs w:val="20"/>
              </w:rPr>
            </w:pPr>
            <w:r>
              <w:rPr>
                <w:color w:val="000000"/>
                <w:sz w:val="20"/>
                <w:szCs w:val="20"/>
              </w:rPr>
              <w:t>LK05:06</w:t>
            </w:r>
          </w:p>
        </w:tc>
        <w:tc>
          <w:tcPr>
            <w:tcW w:w="1033" w:type="dxa"/>
            <w:noWrap/>
            <w:vAlign w:val="center"/>
          </w:tcPr>
          <w:p w14:paraId="51D8CF2F">
            <w:pPr>
              <w:jc w:val="center"/>
              <w:rPr>
                <w:color w:val="000000"/>
                <w:sz w:val="20"/>
                <w:szCs w:val="20"/>
              </w:rPr>
            </w:pPr>
            <w:r>
              <w:rPr>
                <w:color w:val="000000"/>
                <w:sz w:val="20"/>
                <w:szCs w:val="20"/>
              </w:rPr>
              <w:t>90,00</w:t>
            </w:r>
          </w:p>
        </w:tc>
        <w:tc>
          <w:tcPr>
            <w:tcW w:w="846" w:type="dxa"/>
            <w:noWrap/>
            <w:vAlign w:val="center"/>
          </w:tcPr>
          <w:p w14:paraId="05910F00">
            <w:pPr>
              <w:jc w:val="center"/>
              <w:rPr>
                <w:color w:val="000000"/>
                <w:sz w:val="20"/>
                <w:szCs w:val="20"/>
              </w:rPr>
            </w:pPr>
            <w:r>
              <w:rPr>
                <w:color w:val="000000"/>
                <w:sz w:val="20"/>
                <w:szCs w:val="20"/>
              </w:rPr>
              <w:t>1</w:t>
            </w:r>
          </w:p>
        </w:tc>
        <w:tc>
          <w:tcPr>
            <w:tcW w:w="2578" w:type="dxa"/>
            <w:noWrap/>
            <w:vAlign w:val="center"/>
          </w:tcPr>
          <w:p w14:paraId="28F92D12">
            <w:pPr>
              <w:jc w:val="center"/>
              <w:rPr>
                <w:color w:val="000000"/>
                <w:sz w:val="20"/>
                <w:szCs w:val="20"/>
              </w:rPr>
            </w:pPr>
            <w:r>
              <w:rPr>
                <w:color w:val="000000"/>
                <w:sz w:val="20"/>
                <w:szCs w:val="20"/>
              </w:rPr>
              <w:t>Mặt cắt 3-3</w:t>
            </w:r>
          </w:p>
        </w:tc>
        <w:tc>
          <w:tcPr>
            <w:tcW w:w="2393" w:type="dxa"/>
            <w:noWrap/>
            <w:vAlign w:val="center"/>
          </w:tcPr>
          <w:p w14:paraId="7A42DC9C">
            <w:pPr>
              <w:jc w:val="center"/>
              <w:rPr>
                <w:color w:val="000000"/>
                <w:sz w:val="20"/>
                <w:szCs w:val="20"/>
              </w:rPr>
            </w:pPr>
            <w:r>
              <w:rPr>
                <w:color w:val="000000"/>
                <w:sz w:val="20"/>
                <w:szCs w:val="20"/>
              </w:rPr>
              <w:t>Một mặt tiền</w:t>
            </w:r>
          </w:p>
        </w:tc>
        <w:tc>
          <w:tcPr>
            <w:tcW w:w="1198" w:type="dxa"/>
            <w:noWrap/>
            <w:vAlign w:val="center"/>
          </w:tcPr>
          <w:p w14:paraId="72163B0A">
            <w:pPr>
              <w:jc w:val="center"/>
              <w:rPr>
                <w:color w:val="000000"/>
                <w:sz w:val="20"/>
                <w:szCs w:val="20"/>
              </w:rPr>
            </w:pPr>
            <w:r>
              <w:rPr>
                <w:color w:val="000000"/>
                <w:sz w:val="20"/>
                <w:szCs w:val="20"/>
              </w:rPr>
              <w:t>10.800.000</w:t>
            </w:r>
          </w:p>
        </w:tc>
        <w:tc>
          <w:tcPr>
            <w:tcW w:w="1236" w:type="dxa"/>
            <w:noWrap/>
            <w:vAlign w:val="center"/>
          </w:tcPr>
          <w:p w14:paraId="59E3DDE6">
            <w:pPr>
              <w:jc w:val="center"/>
              <w:rPr>
                <w:color w:val="000000"/>
                <w:sz w:val="20"/>
                <w:szCs w:val="20"/>
              </w:rPr>
            </w:pPr>
          </w:p>
        </w:tc>
        <w:tc>
          <w:tcPr>
            <w:tcW w:w="1252" w:type="dxa"/>
            <w:noWrap/>
            <w:vAlign w:val="center"/>
          </w:tcPr>
          <w:p w14:paraId="15C4B6B8">
            <w:pPr>
              <w:jc w:val="center"/>
              <w:rPr>
                <w:color w:val="000000"/>
                <w:sz w:val="20"/>
                <w:szCs w:val="20"/>
              </w:rPr>
            </w:pPr>
            <w:r>
              <w:rPr>
                <w:color w:val="000000"/>
                <w:sz w:val="20"/>
                <w:szCs w:val="20"/>
              </w:rPr>
              <w:t>10.800.000</w:t>
            </w:r>
          </w:p>
        </w:tc>
        <w:tc>
          <w:tcPr>
            <w:tcW w:w="1848" w:type="dxa"/>
            <w:noWrap/>
            <w:vAlign w:val="center"/>
          </w:tcPr>
          <w:p w14:paraId="36A2757B">
            <w:pPr>
              <w:jc w:val="center"/>
              <w:rPr>
                <w:color w:val="000000"/>
                <w:sz w:val="20"/>
                <w:szCs w:val="20"/>
              </w:rPr>
            </w:pPr>
            <w:r>
              <w:rPr>
                <w:color w:val="000000"/>
                <w:sz w:val="20"/>
                <w:szCs w:val="20"/>
              </w:rPr>
              <w:t>972.000.000</w:t>
            </w:r>
          </w:p>
        </w:tc>
      </w:tr>
      <w:tr w14:paraId="7F12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7909438">
            <w:pPr>
              <w:jc w:val="center"/>
              <w:rPr>
                <w:b/>
                <w:bCs/>
                <w:color w:val="000000"/>
                <w:sz w:val="20"/>
                <w:szCs w:val="20"/>
              </w:rPr>
            </w:pPr>
            <w:r>
              <w:rPr>
                <w:b/>
                <w:bCs/>
                <w:color w:val="000000"/>
                <w:sz w:val="20"/>
                <w:szCs w:val="20"/>
              </w:rPr>
              <w:t>LK05</w:t>
            </w:r>
          </w:p>
        </w:tc>
        <w:tc>
          <w:tcPr>
            <w:tcW w:w="1802" w:type="dxa"/>
            <w:vAlign w:val="center"/>
          </w:tcPr>
          <w:p w14:paraId="4092FFA3">
            <w:pPr>
              <w:jc w:val="center"/>
              <w:rPr>
                <w:color w:val="000000"/>
                <w:sz w:val="20"/>
                <w:szCs w:val="20"/>
              </w:rPr>
            </w:pPr>
            <w:r>
              <w:rPr>
                <w:color w:val="000000"/>
                <w:sz w:val="20"/>
                <w:szCs w:val="20"/>
              </w:rPr>
              <w:t>LK05:07</w:t>
            </w:r>
          </w:p>
        </w:tc>
        <w:tc>
          <w:tcPr>
            <w:tcW w:w="1033" w:type="dxa"/>
            <w:noWrap/>
            <w:vAlign w:val="center"/>
          </w:tcPr>
          <w:p w14:paraId="6265DB24">
            <w:pPr>
              <w:jc w:val="center"/>
              <w:rPr>
                <w:color w:val="000000"/>
                <w:sz w:val="20"/>
                <w:szCs w:val="20"/>
              </w:rPr>
            </w:pPr>
            <w:r>
              <w:rPr>
                <w:color w:val="000000"/>
                <w:sz w:val="20"/>
                <w:szCs w:val="20"/>
              </w:rPr>
              <w:t>90,00</w:t>
            </w:r>
          </w:p>
        </w:tc>
        <w:tc>
          <w:tcPr>
            <w:tcW w:w="846" w:type="dxa"/>
            <w:noWrap/>
            <w:vAlign w:val="center"/>
          </w:tcPr>
          <w:p w14:paraId="7894E67E">
            <w:pPr>
              <w:jc w:val="center"/>
              <w:rPr>
                <w:color w:val="000000"/>
                <w:sz w:val="20"/>
                <w:szCs w:val="20"/>
              </w:rPr>
            </w:pPr>
            <w:r>
              <w:rPr>
                <w:color w:val="000000"/>
                <w:sz w:val="20"/>
                <w:szCs w:val="20"/>
              </w:rPr>
              <w:t>1</w:t>
            </w:r>
          </w:p>
        </w:tc>
        <w:tc>
          <w:tcPr>
            <w:tcW w:w="2578" w:type="dxa"/>
            <w:noWrap/>
            <w:vAlign w:val="center"/>
          </w:tcPr>
          <w:p w14:paraId="035B57A1">
            <w:pPr>
              <w:jc w:val="center"/>
              <w:rPr>
                <w:color w:val="000000"/>
                <w:sz w:val="20"/>
                <w:szCs w:val="20"/>
              </w:rPr>
            </w:pPr>
            <w:r>
              <w:rPr>
                <w:color w:val="000000"/>
                <w:sz w:val="20"/>
                <w:szCs w:val="20"/>
              </w:rPr>
              <w:t>Mặt cắt 3-3</w:t>
            </w:r>
          </w:p>
        </w:tc>
        <w:tc>
          <w:tcPr>
            <w:tcW w:w="2393" w:type="dxa"/>
            <w:noWrap/>
            <w:vAlign w:val="center"/>
          </w:tcPr>
          <w:p w14:paraId="623D65AC">
            <w:pPr>
              <w:jc w:val="center"/>
              <w:rPr>
                <w:color w:val="000000"/>
                <w:sz w:val="20"/>
                <w:szCs w:val="20"/>
              </w:rPr>
            </w:pPr>
            <w:r>
              <w:rPr>
                <w:color w:val="000000"/>
                <w:sz w:val="20"/>
                <w:szCs w:val="20"/>
              </w:rPr>
              <w:t>Một mặt tiền</w:t>
            </w:r>
          </w:p>
        </w:tc>
        <w:tc>
          <w:tcPr>
            <w:tcW w:w="1198" w:type="dxa"/>
            <w:noWrap/>
            <w:vAlign w:val="center"/>
          </w:tcPr>
          <w:p w14:paraId="68725B70">
            <w:pPr>
              <w:jc w:val="center"/>
              <w:rPr>
                <w:color w:val="000000"/>
                <w:sz w:val="20"/>
                <w:szCs w:val="20"/>
              </w:rPr>
            </w:pPr>
            <w:r>
              <w:rPr>
                <w:color w:val="000000"/>
                <w:sz w:val="20"/>
                <w:szCs w:val="20"/>
              </w:rPr>
              <w:t>10.800.000</w:t>
            </w:r>
          </w:p>
        </w:tc>
        <w:tc>
          <w:tcPr>
            <w:tcW w:w="1236" w:type="dxa"/>
            <w:noWrap/>
            <w:vAlign w:val="center"/>
          </w:tcPr>
          <w:p w14:paraId="062ABD5E">
            <w:pPr>
              <w:jc w:val="center"/>
              <w:rPr>
                <w:color w:val="000000"/>
                <w:sz w:val="20"/>
                <w:szCs w:val="20"/>
              </w:rPr>
            </w:pPr>
          </w:p>
        </w:tc>
        <w:tc>
          <w:tcPr>
            <w:tcW w:w="1252" w:type="dxa"/>
            <w:noWrap/>
            <w:vAlign w:val="center"/>
          </w:tcPr>
          <w:p w14:paraId="30AF8548">
            <w:pPr>
              <w:jc w:val="center"/>
              <w:rPr>
                <w:color w:val="000000"/>
                <w:sz w:val="20"/>
                <w:szCs w:val="20"/>
              </w:rPr>
            </w:pPr>
            <w:r>
              <w:rPr>
                <w:color w:val="000000"/>
                <w:sz w:val="20"/>
                <w:szCs w:val="20"/>
              </w:rPr>
              <w:t>10.800.000</w:t>
            </w:r>
          </w:p>
        </w:tc>
        <w:tc>
          <w:tcPr>
            <w:tcW w:w="1848" w:type="dxa"/>
            <w:noWrap/>
            <w:vAlign w:val="center"/>
          </w:tcPr>
          <w:p w14:paraId="5898F598">
            <w:pPr>
              <w:jc w:val="center"/>
              <w:rPr>
                <w:color w:val="000000"/>
                <w:sz w:val="20"/>
                <w:szCs w:val="20"/>
              </w:rPr>
            </w:pPr>
            <w:r>
              <w:rPr>
                <w:color w:val="000000"/>
                <w:sz w:val="20"/>
                <w:szCs w:val="20"/>
              </w:rPr>
              <w:t>972.000.000</w:t>
            </w:r>
          </w:p>
        </w:tc>
      </w:tr>
      <w:tr w14:paraId="0671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A417B38">
            <w:pPr>
              <w:jc w:val="center"/>
              <w:rPr>
                <w:b/>
                <w:bCs/>
                <w:color w:val="000000"/>
                <w:sz w:val="20"/>
                <w:szCs w:val="20"/>
              </w:rPr>
            </w:pPr>
            <w:r>
              <w:rPr>
                <w:b/>
                <w:bCs/>
                <w:color w:val="000000"/>
                <w:sz w:val="20"/>
                <w:szCs w:val="20"/>
              </w:rPr>
              <w:t>LK05</w:t>
            </w:r>
          </w:p>
        </w:tc>
        <w:tc>
          <w:tcPr>
            <w:tcW w:w="1802" w:type="dxa"/>
            <w:vAlign w:val="center"/>
          </w:tcPr>
          <w:p w14:paraId="0D20BE48">
            <w:pPr>
              <w:jc w:val="center"/>
              <w:rPr>
                <w:color w:val="000000"/>
                <w:sz w:val="20"/>
                <w:szCs w:val="20"/>
              </w:rPr>
            </w:pPr>
            <w:r>
              <w:rPr>
                <w:color w:val="000000"/>
                <w:sz w:val="20"/>
                <w:szCs w:val="20"/>
              </w:rPr>
              <w:t>LK05:08</w:t>
            </w:r>
          </w:p>
        </w:tc>
        <w:tc>
          <w:tcPr>
            <w:tcW w:w="1033" w:type="dxa"/>
            <w:noWrap/>
            <w:vAlign w:val="center"/>
          </w:tcPr>
          <w:p w14:paraId="3C3086B4">
            <w:pPr>
              <w:jc w:val="center"/>
              <w:rPr>
                <w:color w:val="000000"/>
                <w:sz w:val="20"/>
                <w:szCs w:val="20"/>
              </w:rPr>
            </w:pPr>
            <w:r>
              <w:rPr>
                <w:color w:val="000000"/>
                <w:sz w:val="20"/>
                <w:szCs w:val="20"/>
              </w:rPr>
              <w:t>90,00</w:t>
            </w:r>
          </w:p>
        </w:tc>
        <w:tc>
          <w:tcPr>
            <w:tcW w:w="846" w:type="dxa"/>
            <w:noWrap/>
            <w:vAlign w:val="center"/>
          </w:tcPr>
          <w:p w14:paraId="2CAC8A39">
            <w:pPr>
              <w:jc w:val="center"/>
              <w:rPr>
                <w:color w:val="000000"/>
                <w:sz w:val="20"/>
                <w:szCs w:val="20"/>
              </w:rPr>
            </w:pPr>
            <w:r>
              <w:rPr>
                <w:color w:val="000000"/>
                <w:sz w:val="20"/>
                <w:szCs w:val="20"/>
              </w:rPr>
              <w:t>1</w:t>
            </w:r>
          </w:p>
        </w:tc>
        <w:tc>
          <w:tcPr>
            <w:tcW w:w="2578" w:type="dxa"/>
            <w:noWrap/>
            <w:vAlign w:val="center"/>
          </w:tcPr>
          <w:p w14:paraId="723F7695">
            <w:pPr>
              <w:jc w:val="center"/>
              <w:rPr>
                <w:color w:val="000000"/>
                <w:sz w:val="20"/>
                <w:szCs w:val="20"/>
              </w:rPr>
            </w:pPr>
            <w:r>
              <w:rPr>
                <w:color w:val="000000"/>
                <w:sz w:val="20"/>
                <w:szCs w:val="20"/>
              </w:rPr>
              <w:t>Mặt cắt 3-3</w:t>
            </w:r>
          </w:p>
        </w:tc>
        <w:tc>
          <w:tcPr>
            <w:tcW w:w="2393" w:type="dxa"/>
            <w:noWrap/>
            <w:vAlign w:val="center"/>
          </w:tcPr>
          <w:p w14:paraId="07B53615">
            <w:pPr>
              <w:jc w:val="center"/>
              <w:rPr>
                <w:color w:val="000000"/>
                <w:sz w:val="20"/>
                <w:szCs w:val="20"/>
              </w:rPr>
            </w:pPr>
            <w:r>
              <w:rPr>
                <w:color w:val="000000"/>
                <w:sz w:val="20"/>
                <w:szCs w:val="20"/>
              </w:rPr>
              <w:t>Một mặt tiền</w:t>
            </w:r>
          </w:p>
        </w:tc>
        <w:tc>
          <w:tcPr>
            <w:tcW w:w="1198" w:type="dxa"/>
            <w:noWrap/>
            <w:vAlign w:val="center"/>
          </w:tcPr>
          <w:p w14:paraId="4DE87229">
            <w:pPr>
              <w:jc w:val="center"/>
              <w:rPr>
                <w:color w:val="000000"/>
                <w:sz w:val="20"/>
                <w:szCs w:val="20"/>
              </w:rPr>
            </w:pPr>
            <w:r>
              <w:rPr>
                <w:color w:val="000000"/>
                <w:sz w:val="20"/>
                <w:szCs w:val="20"/>
              </w:rPr>
              <w:t>10.800.000</w:t>
            </w:r>
          </w:p>
        </w:tc>
        <w:tc>
          <w:tcPr>
            <w:tcW w:w="1236" w:type="dxa"/>
            <w:noWrap/>
            <w:vAlign w:val="center"/>
          </w:tcPr>
          <w:p w14:paraId="69706104">
            <w:pPr>
              <w:jc w:val="center"/>
              <w:rPr>
                <w:color w:val="000000"/>
                <w:sz w:val="20"/>
                <w:szCs w:val="20"/>
              </w:rPr>
            </w:pPr>
          </w:p>
        </w:tc>
        <w:tc>
          <w:tcPr>
            <w:tcW w:w="1252" w:type="dxa"/>
            <w:noWrap/>
            <w:vAlign w:val="center"/>
          </w:tcPr>
          <w:p w14:paraId="1746B34B">
            <w:pPr>
              <w:jc w:val="center"/>
              <w:rPr>
                <w:color w:val="000000"/>
                <w:sz w:val="20"/>
                <w:szCs w:val="20"/>
              </w:rPr>
            </w:pPr>
            <w:r>
              <w:rPr>
                <w:color w:val="000000"/>
                <w:sz w:val="20"/>
                <w:szCs w:val="20"/>
              </w:rPr>
              <w:t>10.800.000</w:t>
            </w:r>
          </w:p>
        </w:tc>
        <w:tc>
          <w:tcPr>
            <w:tcW w:w="1848" w:type="dxa"/>
            <w:noWrap/>
            <w:vAlign w:val="center"/>
          </w:tcPr>
          <w:p w14:paraId="0E58F9C0">
            <w:pPr>
              <w:jc w:val="center"/>
              <w:rPr>
                <w:color w:val="000000"/>
                <w:sz w:val="20"/>
                <w:szCs w:val="20"/>
              </w:rPr>
            </w:pPr>
            <w:r>
              <w:rPr>
                <w:color w:val="000000"/>
                <w:sz w:val="20"/>
                <w:szCs w:val="20"/>
              </w:rPr>
              <w:t>972.000.000</w:t>
            </w:r>
          </w:p>
        </w:tc>
      </w:tr>
      <w:tr w14:paraId="4776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A06CD2D">
            <w:pPr>
              <w:jc w:val="center"/>
              <w:rPr>
                <w:b/>
                <w:bCs/>
                <w:color w:val="000000"/>
                <w:sz w:val="20"/>
                <w:szCs w:val="20"/>
              </w:rPr>
            </w:pPr>
            <w:r>
              <w:rPr>
                <w:b/>
                <w:bCs/>
                <w:color w:val="000000"/>
                <w:sz w:val="20"/>
                <w:szCs w:val="20"/>
              </w:rPr>
              <w:t>LK05</w:t>
            </w:r>
          </w:p>
        </w:tc>
        <w:tc>
          <w:tcPr>
            <w:tcW w:w="1802" w:type="dxa"/>
            <w:vAlign w:val="center"/>
          </w:tcPr>
          <w:p w14:paraId="51FA0FB0">
            <w:pPr>
              <w:jc w:val="center"/>
              <w:rPr>
                <w:color w:val="000000"/>
                <w:sz w:val="20"/>
                <w:szCs w:val="20"/>
              </w:rPr>
            </w:pPr>
            <w:r>
              <w:rPr>
                <w:color w:val="000000"/>
                <w:sz w:val="20"/>
                <w:szCs w:val="20"/>
              </w:rPr>
              <w:t>LK05:09</w:t>
            </w:r>
          </w:p>
        </w:tc>
        <w:tc>
          <w:tcPr>
            <w:tcW w:w="1033" w:type="dxa"/>
            <w:noWrap/>
            <w:vAlign w:val="center"/>
          </w:tcPr>
          <w:p w14:paraId="0138B2B3">
            <w:pPr>
              <w:jc w:val="center"/>
              <w:rPr>
                <w:color w:val="000000"/>
                <w:sz w:val="20"/>
                <w:szCs w:val="20"/>
              </w:rPr>
            </w:pPr>
            <w:r>
              <w:rPr>
                <w:color w:val="000000"/>
                <w:sz w:val="20"/>
                <w:szCs w:val="20"/>
              </w:rPr>
              <w:t>90,00</w:t>
            </w:r>
          </w:p>
        </w:tc>
        <w:tc>
          <w:tcPr>
            <w:tcW w:w="846" w:type="dxa"/>
            <w:noWrap/>
            <w:vAlign w:val="center"/>
          </w:tcPr>
          <w:p w14:paraId="772C35BF">
            <w:pPr>
              <w:jc w:val="center"/>
              <w:rPr>
                <w:color w:val="000000"/>
                <w:sz w:val="20"/>
                <w:szCs w:val="20"/>
              </w:rPr>
            </w:pPr>
            <w:r>
              <w:rPr>
                <w:color w:val="000000"/>
                <w:sz w:val="20"/>
                <w:szCs w:val="20"/>
              </w:rPr>
              <w:t>1</w:t>
            </w:r>
          </w:p>
        </w:tc>
        <w:tc>
          <w:tcPr>
            <w:tcW w:w="2578" w:type="dxa"/>
            <w:noWrap/>
            <w:vAlign w:val="center"/>
          </w:tcPr>
          <w:p w14:paraId="7616CD7B">
            <w:pPr>
              <w:jc w:val="center"/>
              <w:rPr>
                <w:color w:val="000000"/>
                <w:sz w:val="20"/>
                <w:szCs w:val="20"/>
              </w:rPr>
            </w:pPr>
            <w:r>
              <w:rPr>
                <w:color w:val="000000"/>
                <w:sz w:val="20"/>
                <w:szCs w:val="20"/>
              </w:rPr>
              <w:t>Mặt cắt 3-3</w:t>
            </w:r>
          </w:p>
        </w:tc>
        <w:tc>
          <w:tcPr>
            <w:tcW w:w="2393" w:type="dxa"/>
            <w:noWrap/>
            <w:vAlign w:val="center"/>
          </w:tcPr>
          <w:p w14:paraId="63D5DF0B">
            <w:pPr>
              <w:jc w:val="center"/>
              <w:rPr>
                <w:color w:val="000000"/>
                <w:sz w:val="20"/>
                <w:szCs w:val="20"/>
              </w:rPr>
            </w:pPr>
            <w:r>
              <w:rPr>
                <w:color w:val="000000"/>
                <w:sz w:val="20"/>
                <w:szCs w:val="20"/>
              </w:rPr>
              <w:t>Một mặt tiền</w:t>
            </w:r>
          </w:p>
        </w:tc>
        <w:tc>
          <w:tcPr>
            <w:tcW w:w="1198" w:type="dxa"/>
            <w:noWrap/>
            <w:vAlign w:val="center"/>
          </w:tcPr>
          <w:p w14:paraId="1EDA9079">
            <w:pPr>
              <w:jc w:val="center"/>
              <w:rPr>
                <w:color w:val="000000"/>
                <w:sz w:val="20"/>
                <w:szCs w:val="20"/>
              </w:rPr>
            </w:pPr>
            <w:r>
              <w:rPr>
                <w:color w:val="000000"/>
                <w:sz w:val="20"/>
                <w:szCs w:val="20"/>
              </w:rPr>
              <w:t>10.800.000</w:t>
            </w:r>
          </w:p>
        </w:tc>
        <w:tc>
          <w:tcPr>
            <w:tcW w:w="1236" w:type="dxa"/>
            <w:noWrap/>
            <w:vAlign w:val="center"/>
          </w:tcPr>
          <w:p w14:paraId="41E545E0">
            <w:pPr>
              <w:jc w:val="center"/>
              <w:rPr>
                <w:color w:val="000000"/>
                <w:sz w:val="20"/>
                <w:szCs w:val="20"/>
              </w:rPr>
            </w:pPr>
          </w:p>
        </w:tc>
        <w:tc>
          <w:tcPr>
            <w:tcW w:w="1252" w:type="dxa"/>
            <w:noWrap/>
            <w:vAlign w:val="center"/>
          </w:tcPr>
          <w:p w14:paraId="13B68D00">
            <w:pPr>
              <w:jc w:val="center"/>
              <w:rPr>
                <w:color w:val="000000"/>
                <w:sz w:val="20"/>
                <w:szCs w:val="20"/>
              </w:rPr>
            </w:pPr>
            <w:r>
              <w:rPr>
                <w:color w:val="000000"/>
                <w:sz w:val="20"/>
                <w:szCs w:val="20"/>
              </w:rPr>
              <w:t>10.800.000</w:t>
            </w:r>
          </w:p>
        </w:tc>
        <w:tc>
          <w:tcPr>
            <w:tcW w:w="1848" w:type="dxa"/>
            <w:noWrap/>
            <w:vAlign w:val="center"/>
          </w:tcPr>
          <w:p w14:paraId="5D4BFEAF">
            <w:pPr>
              <w:jc w:val="center"/>
              <w:rPr>
                <w:color w:val="000000"/>
                <w:sz w:val="20"/>
                <w:szCs w:val="20"/>
              </w:rPr>
            </w:pPr>
            <w:r>
              <w:rPr>
                <w:color w:val="000000"/>
                <w:sz w:val="20"/>
                <w:szCs w:val="20"/>
              </w:rPr>
              <w:t>972.000.000</w:t>
            </w:r>
          </w:p>
        </w:tc>
      </w:tr>
      <w:tr w14:paraId="5C0B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1E3CE19">
            <w:pPr>
              <w:jc w:val="center"/>
              <w:rPr>
                <w:b/>
                <w:bCs/>
                <w:color w:val="000000"/>
                <w:sz w:val="20"/>
                <w:szCs w:val="20"/>
              </w:rPr>
            </w:pPr>
            <w:r>
              <w:rPr>
                <w:b/>
                <w:bCs/>
                <w:color w:val="000000"/>
                <w:sz w:val="20"/>
                <w:szCs w:val="20"/>
              </w:rPr>
              <w:t>LK05</w:t>
            </w:r>
          </w:p>
        </w:tc>
        <w:tc>
          <w:tcPr>
            <w:tcW w:w="1802" w:type="dxa"/>
            <w:vAlign w:val="center"/>
          </w:tcPr>
          <w:p w14:paraId="3B664B41">
            <w:pPr>
              <w:jc w:val="center"/>
              <w:rPr>
                <w:color w:val="000000"/>
                <w:sz w:val="20"/>
                <w:szCs w:val="20"/>
              </w:rPr>
            </w:pPr>
            <w:r>
              <w:rPr>
                <w:color w:val="000000"/>
                <w:sz w:val="20"/>
                <w:szCs w:val="20"/>
              </w:rPr>
              <w:t>LK05:10</w:t>
            </w:r>
          </w:p>
        </w:tc>
        <w:tc>
          <w:tcPr>
            <w:tcW w:w="1033" w:type="dxa"/>
            <w:noWrap/>
            <w:vAlign w:val="center"/>
          </w:tcPr>
          <w:p w14:paraId="5E61E2F7">
            <w:pPr>
              <w:jc w:val="center"/>
              <w:rPr>
                <w:color w:val="000000"/>
                <w:sz w:val="20"/>
                <w:szCs w:val="20"/>
              </w:rPr>
            </w:pPr>
            <w:r>
              <w:rPr>
                <w:color w:val="000000"/>
                <w:sz w:val="20"/>
                <w:szCs w:val="20"/>
              </w:rPr>
              <w:t>90,00</w:t>
            </w:r>
          </w:p>
        </w:tc>
        <w:tc>
          <w:tcPr>
            <w:tcW w:w="846" w:type="dxa"/>
            <w:noWrap/>
            <w:vAlign w:val="center"/>
          </w:tcPr>
          <w:p w14:paraId="6C4CFC36">
            <w:pPr>
              <w:jc w:val="center"/>
              <w:rPr>
                <w:color w:val="000000"/>
                <w:sz w:val="20"/>
                <w:szCs w:val="20"/>
              </w:rPr>
            </w:pPr>
            <w:r>
              <w:rPr>
                <w:color w:val="000000"/>
                <w:sz w:val="20"/>
                <w:szCs w:val="20"/>
              </w:rPr>
              <w:t>1</w:t>
            </w:r>
          </w:p>
        </w:tc>
        <w:tc>
          <w:tcPr>
            <w:tcW w:w="2578" w:type="dxa"/>
            <w:noWrap/>
            <w:vAlign w:val="center"/>
          </w:tcPr>
          <w:p w14:paraId="6074A5B1">
            <w:pPr>
              <w:jc w:val="center"/>
              <w:rPr>
                <w:color w:val="000000"/>
                <w:sz w:val="20"/>
                <w:szCs w:val="20"/>
              </w:rPr>
            </w:pPr>
            <w:r>
              <w:rPr>
                <w:color w:val="000000"/>
                <w:sz w:val="20"/>
                <w:szCs w:val="20"/>
              </w:rPr>
              <w:t>Mặt cắt 3-3</w:t>
            </w:r>
          </w:p>
        </w:tc>
        <w:tc>
          <w:tcPr>
            <w:tcW w:w="2393" w:type="dxa"/>
            <w:noWrap/>
            <w:vAlign w:val="center"/>
          </w:tcPr>
          <w:p w14:paraId="76055DBA">
            <w:pPr>
              <w:jc w:val="center"/>
              <w:rPr>
                <w:color w:val="000000"/>
                <w:sz w:val="20"/>
                <w:szCs w:val="20"/>
              </w:rPr>
            </w:pPr>
            <w:r>
              <w:rPr>
                <w:color w:val="000000"/>
                <w:sz w:val="20"/>
                <w:szCs w:val="20"/>
              </w:rPr>
              <w:t>Một mặt tiền</w:t>
            </w:r>
          </w:p>
        </w:tc>
        <w:tc>
          <w:tcPr>
            <w:tcW w:w="1198" w:type="dxa"/>
            <w:noWrap/>
            <w:vAlign w:val="center"/>
          </w:tcPr>
          <w:p w14:paraId="46E98E06">
            <w:pPr>
              <w:jc w:val="center"/>
              <w:rPr>
                <w:color w:val="000000"/>
                <w:sz w:val="20"/>
                <w:szCs w:val="20"/>
              </w:rPr>
            </w:pPr>
            <w:r>
              <w:rPr>
                <w:color w:val="000000"/>
                <w:sz w:val="20"/>
                <w:szCs w:val="20"/>
              </w:rPr>
              <w:t>10.800.000</w:t>
            </w:r>
          </w:p>
        </w:tc>
        <w:tc>
          <w:tcPr>
            <w:tcW w:w="1236" w:type="dxa"/>
            <w:noWrap/>
            <w:vAlign w:val="center"/>
          </w:tcPr>
          <w:p w14:paraId="08FA53ED">
            <w:pPr>
              <w:jc w:val="center"/>
              <w:rPr>
                <w:color w:val="000000"/>
                <w:sz w:val="20"/>
                <w:szCs w:val="20"/>
              </w:rPr>
            </w:pPr>
          </w:p>
        </w:tc>
        <w:tc>
          <w:tcPr>
            <w:tcW w:w="1252" w:type="dxa"/>
            <w:noWrap/>
            <w:vAlign w:val="center"/>
          </w:tcPr>
          <w:p w14:paraId="0672531D">
            <w:pPr>
              <w:jc w:val="center"/>
              <w:rPr>
                <w:color w:val="000000"/>
                <w:sz w:val="20"/>
                <w:szCs w:val="20"/>
              </w:rPr>
            </w:pPr>
            <w:r>
              <w:rPr>
                <w:color w:val="000000"/>
                <w:sz w:val="20"/>
                <w:szCs w:val="20"/>
              </w:rPr>
              <w:t>10.800.000</w:t>
            </w:r>
          </w:p>
        </w:tc>
        <w:tc>
          <w:tcPr>
            <w:tcW w:w="1848" w:type="dxa"/>
            <w:noWrap/>
            <w:vAlign w:val="center"/>
          </w:tcPr>
          <w:p w14:paraId="6AEB32DC">
            <w:pPr>
              <w:jc w:val="center"/>
              <w:rPr>
                <w:color w:val="000000"/>
                <w:sz w:val="20"/>
                <w:szCs w:val="20"/>
              </w:rPr>
            </w:pPr>
            <w:r>
              <w:rPr>
                <w:color w:val="000000"/>
                <w:sz w:val="20"/>
                <w:szCs w:val="20"/>
              </w:rPr>
              <w:t>972.000.000</w:t>
            </w:r>
          </w:p>
        </w:tc>
      </w:tr>
      <w:tr w14:paraId="2DD0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ED8FD73">
            <w:pPr>
              <w:jc w:val="center"/>
              <w:rPr>
                <w:b/>
                <w:bCs/>
                <w:color w:val="000000"/>
                <w:sz w:val="20"/>
                <w:szCs w:val="20"/>
              </w:rPr>
            </w:pPr>
            <w:r>
              <w:rPr>
                <w:b/>
                <w:bCs/>
                <w:color w:val="000000"/>
                <w:sz w:val="20"/>
                <w:szCs w:val="20"/>
              </w:rPr>
              <w:t>LK06</w:t>
            </w:r>
          </w:p>
        </w:tc>
        <w:tc>
          <w:tcPr>
            <w:tcW w:w="1802" w:type="dxa"/>
            <w:vAlign w:val="center"/>
          </w:tcPr>
          <w:p w14:paraId="557FF241">
            <w:pPr>
              <w:jc w:val="center"/>
              <w:rPr>
                <w:color w:val="000000"/>
                <w:sz w:val="20"/>
                <w:szCs w:val="20"/>
              </w:rPr>
            </w:pPr>
            <w:r>
              <w:rPr>
                <w:color w:val="000000"/>
                <w:sz w:val="20"/>
                <w:szCs w:val="20"/>
              </w:rPr>
              <w:t>LK06:01</w:t>
            </w:r>
          </w:p>
        </w:tc>
        <w:tc>
          <w:tcPr>
            <w:tcW w:w="1033" w:type="dxa"/>
            <w:noWrap/>
            <w:vAlign w:val="center"/>
          </w:tcPr>
          <w:p w14:paraId="287D7A69">
            <w:pPr>
              <w:jc w:val="center"/>
              <w:rPr>
                <w:color w:val="000000"/>
                <w:sz w:val="20"/>
                <w:szCs w:val="20"/>
              </w:rPr>
            </w:pPr>
            <w:r>
              <w:rPr>
                <w:color w:val="000000"/>
                <w:sz w:val="20"/>
                <w:szCs w:val="20"/>
              </w:rPr>
              <w:t>90,00</w:t>
            </w:r>
          </w:p>
        </w:tc>
        <w:tc>
          <w:tcPr>
            <w:tcW w:w="846" w:type="dxa"/>
            <w:noWrap/>
            <w:vAlign w:val="center"/>
          </w:tcPr>
          <w:p w14:paraId="70CDDCF7">
            <w:pPr>
              <w:jc w:val="center"/>
              <w:rPr>
                <w:color w:val="000000"/>
                <w:sz w:val="20"/>
                <w:szCs w:val="20"/>
              </w:rPr>
            </w:pPr>
            <w:r>
              <w:rPr>
                <w:color w:val="000000"/>
                <w:sz w:val="20"/>
                <w:szCs w:val="20"/>
              </w:rPr>
              <w:t>1</w:t>
            </w:r>
          </w:p>
        </w:tc>
        <w:tc>
          <w:tcPr>
            <w:tcW w:w="2578" w:type="dxa"/>
            <w:noWrap/>
            <w:vAlign w:val="center"/>
          </w:tcPr>
          <w:p w14:paraId="24A2F33B">
            <w:pPr>
              <w:jc w:val="center"/>
              <w:rPr>
                <w:color w:val="000000"/>
                <w:sz w:val="20"/>
                <w:szCs w:val="20"/>
              </w:rPr>
            </w:pPr>
            <w:r>
              <w:rPr>
                <w:color w:val="000000"/>
                <w:sz w:val="20"/>
                <w:szCs w:val="20"/>
              </w:rPr>
              <w:t>Mặt cắt 3-3</w:t>
            </w:r>
          </w:p>
        </w:tc>
        <w:tc>
          <w:tcPr>
            <w:tcW w:w="2393" w:type="dxa"/>
            <w:noWrap/>
            <w:vAlign w:val="center"/>
          </w:tcPr>
          <w:p w14:paraId="1A59EFE2">
            <w:pPr>
              <w:jc w:val="center"/>
              <w:rPr>
                <w:color w:val="000000"/>
                <w:sz w:val="20"/>
                <w:szCs w:val="20"/>
              </w:rPr>
            </w:pPr>
            <w:r>
              <w:rPr>
                <w:color w:val="000000"/>
                <w:sz w:val="20"/>
                <w:szCs w:val="20"/>
              </w:rPr>
              <w:t>Một mặt tiền</w:t>
            </w:r>
          </w:p>
        </w:tc>
        <w:tc>
          <w:tcPr>
            <w:tcW w:w="1198" w:type="dxa"/>
            <w:noWrap/>
            <w:vAlign w:val="center"/>
          </w:tcPr>
          <w:p w14:paraId="07547597">
            <w:pPr>
              <w:jc w:val="center"/>
              <w:rPr>
                <w:color w:val="000000"/>
                <w:sz w:val="20"/>
                <w:szCs w:val="20"/>
              </w:rPr>
            </w:pPr>
            <w:r>
              <w:rPr>
                <w:color w:val="000000"/>
                <w:sz w:val="20"/>
                <w:szCs w:val="20"/>
              </w:rPr>
              <w:t>10.800.000</w:t>
            </w:r>
          </w:p>
        </w:tc>
        <w:tc>
          <w:tcPr>
            <w:tcW w:w="1236" w:type="dxa"/>
            <w:noWrap/>
            <w:vAlign w:val="center"/>
          </w:tcPr>
          <w:p w14:paraId="4E2FD614">
            <w:pPr>
              <w:jc w:val="center"/>
              <w:rPr>
                <w:color w:val="000000"/>
                <w:sz w:val="20"/>
                <w:szCs w:val="20"/>
              </w:rPr>
            </w:pPr>
          </w:p>
        </w:tc>
        <w:tc>
          <w:tcPr>
            <w:tcW w:w="1252" w:type="dxa"/>
            <w:noWrap/>
            <w:vAlign w:val="center"/>
          </w:tcPr>
          <w:p w14:paraId="1C34AE43">
            <w:pPr>
              <w:jc w:val="center"/>
              <w:rPr>
                <w:color w:val="000000"/>
                <w:sz w:val="20"/>
                <w:szCs w:val="20"/>
              </w:rPr>
            </w:pPr>
            <w:r>
              <w:rPr>
                <w:color w:val="000000"/>
                <w:sz w:val="20"/>
                <w:szCs w:val="20"/>
              </w:rPr>
              <w:t>10.800.000</w:t>
            </w:r>
          </w:p>
        </w:tc>
        <w:tc>
          <w:tcPr>
            <w:tcW w:w="1848" w:type="dxa"/>
            <w:noWrap/>
            <w:vAlign w:val="center"/>
          </w:tcPr>
          <w:p w14:paraId="2C0DF085">
            <w:pPr>
              <w:jc w:val="center"/>
              <w:rPr>
                <w:color w:val="000000"/>
                <w:sz w:val="20"/>
                <w:szCs w:val="20"/>
              </w:rPr>
            </w:pPr>
            <w:r>
              <w:rPr>
                <w:color w:val="000000"/>
                <w:sz w:val="20"/>
                <w:szCs w:val="20"/>
              </w:rPr>
              <w:t>972.000.000</w:t>
            </w:r>
          </w:p>
        </w:tc>
      </w:tr>
      <w:tr w14:paraId="7686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39F15C8">
            <w:pPr>
              <w:jc w:val="center"/>
              <w:rPr>
                <w:b/>
                <w:bCs/>
                <w:color w:val="000000"/>
                <w:sz w:val="20"/>
                <w:szCs w:val="20"/>
              </w:rPr>
            </w:pPr>
            <w:r>
              <w:rPr>
                <w:b/>
                <w:bCs/>
                <w:color w:val="000000"/>
                <w:sz w:val="20"/>
                <w:szCs w:val="20"/>
              </w:rPr>
              <w:t>LK06</w:t>
            </w:r>
          </w:p>
        </w:tc>
        <w:tc>
          <w:tcPr>
            <w:tcW w:w="1802" w:type="dxa"/>
            <w:vAlign w:val="center"/>
          </w:tcPr>
          <w:p w14:paraId="49137DC3">
            <w:pPr>
              <w:jc w:val="center"/>
              <w:rPr>
                <w:color w:val="000000"/>
                <w:sz w:val="20"/>
                <w:szCs w:val="20"/>
              </w:rPr>
            </w:pPr>
            <w:r>
              <w:rPr>
                <w:color w:val="000000"/>
                <w:sz w:val="20"/>
                <w:szCs w:val="20"/>
              </w:rPr>
              <w:t>LK06:02</w:t>
            </w:r>
          </w:p>
        </w:tc>
        <w:tc>
          <w:tcPr>
            <w:tcW w:w="1033" w:type="dxa"/>
            <w:noWrap/>
            <w:vAlign w:val="center"/>
          </w:tcPr>
          <w:p w14:paraId="0BCC6F18">
            <w:pPr>
              <w:jc w:val="center"/>
              <w:rPr>
                <w:color w:val="000000"/>
                <w:sz w:val="20"/>
                <w:szCs w:val="20"/>
              </w:rPr>
            </w:pPr>
            <w:r>
              <w:rPr>
                <w:color w:val="000000"/>
                <w:sz w:val="20"/>
                <w:szCs w:val="20"/>
              </w:rPr>
              <w:t>90,00</w:t>
            </w:r>
          </w:p>
        </w:tc>
        <w:tc>
          <w:tcPr>
            <w:tcW w:w="846" w:type="dxa"/>
            <w:noWrap/>
            <w:vAlign w:val="center"/>
          </w:tcPr>
          <w:p w14:paraId="3CCEA99C">
            <w:pPr>
              <w:jc w:val="center"/>
              <w:rPr>
                <w:color w:val="000000"/>
                <w:sz w:val="20"/>
                <w:szCs w:val="20"/>
              </w:rPr>
            </w:pPr>
            <w:r>
              <w:rPr>
                <w:color w:val="000000"/>
                <w:sz w:val="20"/>
                <w:szCs w:val="20"/>
              </w:rPr>
              <w:t>1</w:t>
            </w:r>
          </w:p>
        </w:tc>
        <w:tc>
          <w:tcPr>
            <w:tcW w:w="2578" w:type="dxa"/>
            <w:noWrap/>
            <w:vAlign w:val="center"/>
          </w:tcPr>
          <w:p w14:paraId="5F4DA0DC">
            <w:pPr>
              <w:jc w:val="center"/>
              <w:rPr>
                <w:color w:val="000000"/>
                <w:sz w:val="20"/>
                <w:szCs w:val="20"/>
              </w:rPr>
            </w:pPr>
            <w:r>
              <w:rPr>
                <w:color w:val="000000"/>
                <w:sz w:val="20"/>
                <w:szCs w:val="20"/>
              </w:rPr>
              <w:t>Mặt cắt 3-3</w:t>
            </w:r>
          </w:p>
        </w:tc>
        <w:tc>
          <w:tcPr>
            <w:tcW w:w="2393" w:type="dxa"/>
            <w:noWrap/>
            <w:vAlign w:val="center"/>
          </w:tcPr>
          <w:p w14:paraId="4020F3EF">
            <w:pPr>
              <w:jc w:val="center"/>
              <w:rPr>
                <w:color w:val="000000"/>
                <w:sz w:val="20"/>
                <w:szCs w:val="20"/>
              </w:rPr>
            </w:pPr>
            <w:r>
              <w:rPr>
                <w:color w:val="000000"/>
                <w:sz w:val="20"/>
                <w:szCs w:val="20"/>
              </w:rPr>
              <w:t>Một mặt tiền</w:t>
            </w:r>
          </w:p>
        </w:tc>
        <w:tc>
          <w:tcPr>
            <w:tcW w:w="1198" w:type="dxa"/>
            <w:noWrap/>
            <w:vAlign w:val="center"/>
          </w:tcPr>
          <w:p w14:paraId="4B3AF3C3">
            <w:pPr>
              <w:jc w:val="center"/>
              <w:rPr>
                <w:color w:val="000000"/>
                <w:sz w:val="20"/>
                <w:szCs w:val="20"/>
              </w:rPr>
            </w:pPr>
            <w:r>
              <w:rPr>
                <w:color w:val="000000"/>
                <w:sz w:val="20"/>
                <w:szCs w:val="20"/>
              </w:rPr>
              <w:t>10.800.000</w:t>
            </w:r>
          </w:p>
        </w:tc>
        <w:tc>
          <w:tcPr>
            <w:tcW w:w="1236" w:type="dxa"/>
            <w:noWrap/>
            <w:vAlign w:val="center"/>
          </w:tcPr>
          <w:p w14:paraId="2FA654CF">
            <w:pPr>
              <w:jc w:val="center"/>
              <w:rPr>
                <w:color w:val="000000"/>
                <w:sz w:val="20"/>
                <w:szCs w:val="20"/>
              </w:rPr>
            </w:pPr>
          </w:p>
        </w:tc>
        <w:tc>
          <w:tcPr>
            <w:tcW w:w="1252" w:type="dxa"/>
            <w:noWrap/>
            <w:vAlign w:val="center"/>
          </w:tcPr>
          <w:p w14:paraId="1B10624B">
            <w:pPr>
              <w:jc w:val="center"/>
              <w:rPr>
                <w:color w:val="000000"/>
                <w:sz w:val="20"/>
                <w:szCs w:val="20"/>
              </w:rPr>
            </w:pPr>
            <w:r>
              <w:rPr>
                <w:color w:val="000000"/>
                <w:sz w:val="20"/>
                <w:szCs w:val="20"/>
              </w:rPr>
              <w:t>10.800.000</w:t>
            </w:r>
          </w:p>
        </w:tc>
        <w:tc>
          <w:tcPr>
            <w:tcW w:w="1848" w:type="dxa"/>
            <w:noWrap/>
            <w:vAlign w:val="center"/>
          </w:tcPr>
          <w:p w14:paraId="5E978999">
            <w:pPr>
              <w:jc w:val="center"/>
              <w:rPr>
                <w:color w:val="000000"/>
                <w:sz w:val="20"/>
                <w:szCs w:val="20"/>
              </w:rPr>
            </w:pPr>
            <w:r>
              <w:rPr>
                <w:color w:val="000000"/>
                <w:sz w:val="20"/>
                <w:szCs w:val="20"/>
              </w:rPr>
              <w:t>972.000.000</w:t>
            </w:r>
          </w:p>
        </w:tc>
      </w:tr>
      <w:tr w14:paraId="1AB5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321D8C5">
            <w:pPr>
              <w:jc w:val="center"/>
              <w:rPr>
                <w:b/>
                <w:bCs/>
                <w:color w:val="000000"/>
                <w:sz w:val="20"/>
                <w:szCs w:val="20"/>
              </w:rPr>
            </w:pPr>
            <w:r>
              <w:rPr>
                <w:b/>
                <w:bCs/>
                <w:color w:val="000000"/>
                <w:sz w:val="20"/>
                <w:szCs w:val="20"/>
              </w:rPr>
              <w:t>LK06</w:t>
            </w:r>
          </w:p>
        </w:tc>
        <w:tc>
          <w:tcPr>
            <w:tcW w:w="1802" w:type="dxa"/>
            <w:vAlign w:val="center"/>
          </w:tcPr>
          <w:p w14:paraId="6485C652">
            <w:pPr>
              <w:jc w:val="center"/>
              <w:rPr>
                <w:color w:val="000000"/>
                <w:sz w:val="20"/>
                <w:szCs w:val="20"/>
              </w:rPr>
            </w:pPr>
            <w:r>
              <w:rPr>
                <w:color w:val="000000"/>
                <w:sz w:val="20"/>
                <w:szCs w:val="20"/>
              </w:rPr>
              <w:t>LK06:03</w:t>
            </w:r>
          </w:p>
        </w:tc>
        <w:tc>
          <w:tcPr>
            <w:tcW w:w="1033" w:type="dxa"/>
            <w:noWrap/>
            <w:vAlign w:val="center"/>
          </w:tcPr>
          <w:p w14:paraId="7B161FF0">
            <w:pPr>
              <w:jc w:val="center"/>
              <w:rPr>
                <w:color w:val="000000"/>
                <w:sz w:val="20"/>
                <w:szCs w:val="20"/>
              </w:rPr>
            </w:pPr>
            <w:r>
              <w:rPr>
                <w:color w:val="000000"/>
                <w:sz w:val="20"/>
                <w:szCs w:val="20"/>
              </w:rPr>
              <w:t>90,00</w:t>
            </w:r>
          </w:p>
        </w:tc>
        <w:tc>
          <w:tcPr>
            <w:tcW w:w="846" w:type="dxa"/>
            <w:noWrap/>
            <w:vAlign w:val="center"/>
          </w:tcPr>
          <w:p w14:paraId="1AD42676">
            <w:pPr>
              <w:jc w:val="center"/>
              <w:rPr>
                <w:color w:val="000000"/>
                <w:sz w:val="20"/>
                <w:szCs w:val="20"/>
              </w:rPr>
            </w:pPr>
            <w:r>
              <w:rPr>
                <w:color w:val="000000"/>
                <w:sz w:val="20"/>
                <w:szCs w:val="20"/>
              </w:rPr>
              <w:t>1</w:t>
            </w:r>
          </w:p>
        </w:tc>
        <w:tc>
          <w:tcPr>
            <w:tcW w:w="2578" w:type="dxa"/>
            <w:noWrap/>
            <w:vAlign w:val="center"/>
          </w:tcPr>
          <w:p w14:paraId="57D44279">
            <w:pPr>
              <w:jc w:val="center"/>
              <w:rPr>
                <w:color w:val="000000"/>
                <w:sz w:val="20"/>
                <w:szCs w:val="20"/>
              </w:rPr>
            </w:pPr>
            <w:r>
              <w:rPr>
                <w:color w:val="000000"/>
                <w:sz w:val="20"/>
                <w:szCs w:val="20"/>
              </w:rPr>
              <w:t>Mặt cắt 3-3</w:t>
            </w:r>
          </w:p>
        </w:tc>
        <w:tc>
          <w:tcPr>
            <w:tcW w:w="2393" w:type="dxa"/>
            <w:noWrap/>
            <w:vAlign w:val="center"/>
          </w:tcPr>
          <w:p w14:paraId="05071259">
            <w:pPr>
              <w:jc w:val="center"/>
              <w:rPr>
                <w:color w:val="000000"/>
                <w:sz w:val="20"/>
                <w:szCs w:val="20"/>
              </w:rPr>
            </w:pPr>
            <w:r>
              <w:rPr>
                <w:color w:val="000000"/>
                <w:sz w:val="20"/>
                <w:szCs w:val="20"/>
              </w:rPr>
              <w:t>Một mặt tiền</w:t>
            </w:r>
          </w:p>
        </w:tc>
        <w:tc>
          <w:tcPr>
            <w:tcW w:w="1198" w:type="dxa"/>
            <w:noWrap/>
            <w:vAlign w:val="center"/>
          </w:tcPr>
          <w:p w14:paraId="7B579381">
            <w:pPr>
              <w:jc w:val="center"/>
              <w:rPr>
                <w:color w:val="000000"/>
                <w:sz w:val="20"/>
                <w:szCs w:val="20"/>
              </w:rPr>
            </w:pPr>
            <w:r>
              <w:rPr>
                <w:color w:val="000000"/>
                <w:sz w:val="20"/>
                <w:szCs w:val="20"/>
              </w:rPr>
              <w:t>10.800.000</w:t>
            </w:r>
          </w:p>
        </w:tc>
        <w:tc>
          <w:tcPr>
            <w:tcW w:w="1236" w:type="dxa"/>
            <w:noWrap/>
            <w:vAlign w:val="center"/>
          </w:tcPr>
          <w:p w14:paraId="69C2BE63">
            <w:pPr>
              <w:jc w:val="center"/>
              <w:rPr>
                <w:color w:val="000000"/>
                <w:sz w:val="20"/>
                <w:szCs w:val="20"/>
              </w:rPr>
            </w:pPr>
          </w:p>
        </w:tc>
        <w:tc>
          <w:tcPr>
            <w:tcW w:w="1252" w:type="dxa"/>
            <w:noWrap/>
            <w:vAlign w:val="center"/>
          </w:tcPr>
          <w:p w14:paraId="6F0EC5FC">
            <w:pPr>
              <w:jc w:val="center"/>
              <w:rPr>
                <w:color w:val="000000"/>
                <w:sz w:val="20"/>
                <w:szCs w:val="20"/>
              </w:rPr>
            </w:pPr>
            <w:r>
              <w:rPr>
                <w:color w:val="000000"/>
                <w:sz w:val="20"/>
                <w:szCs w:val="20"/>
              </w:rPr>
              <w:t>10.800.000</w:t>
            </w:r>
          </w:p>
        </w:tc>
        <w:tc>
          <w:tcPr>
            <w:tcW w:w="1848" w:type="dxa"/>
            <w:noWrap/>
            <w:vAlign w:val="center"/>
          </w:tcPr>
          <w:p w14:paraId="24CE5593">
            <w:pPr>
              <w:jc w:val="center"/>
              <w:rPr>
                <w:color w:val="000000"/>
                <w:sz w:val="20"/>
                <w:szCs w:val="20"/>
              </w:rPr>
            </w:pPr>
            <w:r>
              <w:rPr>
                <w:color w:val="000000"/>
                <w:sz w:val="20"/>
                <w:szCs w:val="20"/>
              </w:rPr>
              <w:t>972.000.000</w:t>
            </w:r>
          </w:p>
        </w:tc>
      </w:tr>
      <w:tr w14:paraId="446A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8B3242A">
            <w:pPr>
              <w:jc w:val="center"/>
              <w:rPr>
                <w:b/>
                <w:bCs/>
                <w:color w:val="000000"/>
                <w:sz w:val="20"/>
                <w:szCs w:val="20"/>
              </w:rPr>
            </w:pPr>
            <w:r>
              <w:rPr>
                <w:b/>
                <w:bCs/>
                <w:color w:val="000000"/>
                <w:sz w:val="20"/>
                <w:szCs w:val="20"/>
              </w:rPr>
              <w:t>LK06</w:t>
            </w:r>
          </w:p>
        </w:tc>
        <w:tc>
          <w:tcPr>
            <w:tcW w:w="1802" w:type="dxa"/>
            <w:vAlign w:val="center"/>
          </w:tcPr>
          <w:p w14:paraId="1B7F295D">
            <w:pPr>
              <w:jc w:val="center"/>
              <w:rPr>
                <w:color w:val="000000"/>
                <w:sz w:val="20"/>
                <w:szCs w:val="20"/>
              </w:rPr>
            </w:pPr>
            <w:r>
              <w:rPr>
                <w:color w:val="000000"/>
                <w:sz w:val="20"/>
                <w:szCs w:val="20"/>
              </w:rPr>
              <w:t>LK06:04</w:t>
            </w:r>
          </w:p>
        </w:tc>
        <w:tc>
          <w:tcPr>
            <w:tcW w:w="1033" w:type="dxa"/>
            <w:noWrap/>
            <w:vAlign w:val="center"/>
          </w:tcPr>
          <w:p w14:paraId="7862A0E9">
            <w:pPr>
              <w:jc w:val="center"/>
              <w:rPr>
                <w:color w:val="000000"/>
                <w:sz w:val="20"/>
                <w:szCs w:val="20"/>
              </w:rPr>
            </w:pPr>
            <w:r>
              <w:rPr>
                <w:color w:val="000000"/>
                <w:sz w:val="20"/>
                <w:szCs w:val="20"/>
              </w:rPr>
              <w:t>90,00</w:t>
            </w:r>
          </w:p>
        </w:tc>
        <w:tc>
          <w:tcPr>
            <w:tcW w:w="846" w:type="dxa"/>
            <w:noWrap/>
            <w:vAlign w:val="center"/>
          </w:tcPr>
          <w:p w14:paraId="7AC3F976">
            <w:pPr>
              <w:jc w:val="center"/>
              <w:rPr>
                <w:color w:val="000000"/>
                <w:sz w:val="20"/>
                <w:szCs w:val="20"/>
              </w:rPr>
            </w:pPr>
            <w:r>
              <w:rPr>
                <w:color w:val="000000"/>
                <w:sz w:val="20"/>
                <w:szCs w:val="20"/>
              </w:rPr>
              <w:t>1</w:t>
            </w:r>
          </w:p>
        </w:tc>
        <w:tc>
          <w:tcPr>
            <w:tcW w:w="2578" w:type="dxa"/>
            <w:noWrap/>
            <w:vAlign w:val="center"/>
          </w:tcPr>
          <w:p w14:paraId="4B461695">
            <w:pPr>
              <w:jc w:val="center"/>
              <w:rPr>
                <w:color w:val="000000"/>
                <w:sz w:val="20"/>
                <w:szCs w:val="20"/>
              </w:rPr>
            </w:pPr>
            <w:r>
              <w:rPr>
                <w:color w:val="000000"/>
                <w:sz w:val="20"/>
                <w:szCs w:val="20"/>
              </w:rPr>
              <w:t>Mặt cắt 3-3</w:t>
            </w:r>
          </w:p>
        </w:tc>
        <w:tc>
          <w:tcPr>
            <w:tcW w:w="2393" w:type="dxa"/>
            <w:noWrap/>
            <w:vAlign w:val="center"/>
          </w:tcPr>
          <w:p w14:paraId="5ADD2F90">
            <w:pPr>
              <w:jc w:val="center"/>
              <w:rPr>
                <w:color w:val="000000"/>
                <w:sz w:val="20"/>
                <w:szCs w:val="20"/>
              </w:rPr>
            </w:pPr>
            <w:r>
              <w:rPr>
                <w:color w:val="000000"/>
                <w:sz w:val="20"/>
                <w:szCs w:val="20"/>
              </w:rPr>
              <w:t>Một mặt tiền</w:t>
            </w:r>
          </w:p>
        </w:tc>
        <w:tc>
          <w:tcPr>
            <w:tcW w:w="1198" w:type="dxa"/>
            <w:noWrap/>
            <w:vAlign w:val="center"/>
          </w:tcPr>
          <w:p w14:paraId="7276948E">
            <w:pPr>
              <w:jc w:val="center"/>
              <w:rPr>
                <w:color w:val="000000"/>
                <w:sz w:val="20"/>
                <w:szCs w:val="20"/>
              </w:rPr>
            </w:pPr>
            <w:r>
              <w:rPr>
                <w:color w:val="000000"/>
                <w:sz w:val="20"/>
                <w:szCs w:val="20"/>
              </w:rPr>
              <w:t>10.800.000</w:t>
            </w:r>
          </w:p>
        </w:tc>
        <w:tc>
          <w:tcPr>
            <w:tcW w:w="1236" w:type="dxa"/>
            <w:noWrap/>
            <w:vAlign w:val="center"/>
          </w:tcPr>
          <w:p w14:paraId="4A2E0558">
            <w:pPr>
              <w:jc w:val="center"/>
              <w:rPr>
                <w:color w:val="000000"/>
                <w:sz w:val="20"/>
                <w:szCs w:val="20"/>
              </w:rPr>
            </w:pPr>
          </w:p>
        </w:tc>
        <w:tc>
          <w:tcPr>
            <w:tcW w:w="1252" w:type="dxa"/>
            <w:noWrap/>
            <w:vAlign w:val="center"/>
          </w:tcPr>
          <w:p w14:paraId="628FE140">
            <w:pPr>
              <w:jc w:val="center"/>
              <w:rPr>
                <w:color w:val="000000"/>
                <w:sz w:val="20"/>
                <w:szCs w:val="20"/>
              </w:rPr>
            </w:pPr>
            <w:r>
              <w:rPr>
                <w:color w:val="000000"/>
                <w:sz w:val="20"/>
                <w:szCs w:val="20"/>
              </w:rPr>
              <w:t>10.800.000</w:t>
            </w:r>
          </w:p>
        </w:tc>
        <w:tc>
          <w:tcPr>
            <w:tcW w:w="1848" w:type="dxa"/>
            <w:noWrap/>
            <w:vAlign w:val="center"/>
          </w:tcPr>
          <w:p w14:paraId="44C13DC0">
            <w:pPr>
              <w:jc w:val="center"/>
              <w:rPr>
                <w:color w:val="000000"/>
                <w:sz w:val="20"/>
                <w:szCs w:val="20"/>
              </w:rPr>
            </w:pPr>
            <w:r>
              <w:rPr>
                <w:color w:val="000000"/>
                <w:sz w:val="20"/>
                <w:szCs w:val="20"/>
              </w:rPr>
              <w:t>972.000.000</w:t>
            </w:r>
          </w:p>
        </w:tc>
      </w:tr>
      <w:tr w14:paraId="5778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E2E2B15">
            <w:pPr>
              <w:jc w:val="center"/>
              <w:rPr>
                <w:b/>
                <w:bCs/>
                <w:color w:val="000000"/>
                <w:sz w:val="20"/>
                <w:szCs w:val="20"/>
              </w:rPr>
            </w:pPr>
            <w:r>
              <w:rPr>
                <w:b/>
                <w:bCs/>
                <w:color w:val="000000"/>
                <w:sz w:val="20"/>
                <w:szCs w:val="20"/>
              </w:rPr>
              <w:t>LK06</w:t>
            </w:r>
          </w:p>
        </w:tc>
        <w:tc>
          <w:tcPr>
            <w:tcW w:w="1802" w:type="dxa"/>
            <w:vAlign w:val="center"/>
          </w:tcPr>
          <w:p w14:paraId="5C37946D">
            <w:pPr>
              <w:jc w:val="center"/>
              <w:rPr>
                <w:color w:val="000000"/>
                <w:sz w:val="20"/>
                <w:szCs w:val="20"/>
              </w:rPr>
            </w:pPr>
            <w:r>
              <w:rPr>
                <w:color w:val="000000"/>
                <w:sz w:val="20"/>
                <w:szCs w:val="20"/>
              </w:rPr>
              <w:t>LK06:05</w:t>
            </w:r>
          </w:p>
        </w:tc>
        <w:tc>
          <w:tcPr>
            <w:tcW w:w="1033" w:type="dxa"/>
            <w:noWrap/>
            <w:vAlign w:val="center"/>
          </w:tcPr>
          <w:p w14:paraId="5B460498">
            <w:pPr>
              <w:jc w:val="center"/>
              <w:rPr>
                <w:color w:val="000000"/>
                <w:sz w:val="20"/>
                <w:szCs w:val="20"/>
              </w:rPr>
            </w:pPr>
            <w:r>
              <w:rPr>
                <w:color w:val="000000"/>
                <w:sz w:val="20"/>
                <w:szCs w:val="20"/>
              </w:rPr>
              <w:t>90,00</w:t>
            </w:r>
          </w:p>
        </w:tc>
        <w:tc>
          <w:tcPr>
            <w:tcW w:w="846" w:type="dxa"/>
            <w:noWrap/>
            <w:vAlign w:val="center"/>
          </w:tcPr>
          <w:p w14:paraId="282B23BF">
            <w:pPr>
              <w:jc w:val="center"/>
              <w:rPr>
                <w:color w:val="000000"/>
                <w:sz w:val="20"/>
                <w:szCs w:val="20"/>
              </w:rPr>
            </w:pPr>
            <w:r>
              <w:rPr>
                <w:color w:val="000000"/>
                <w:sz w:val="20"/>
                <w:szCs w:val="20"/>
              </w:rPr>
              <w:t>1</w:t>
            </w:r>
          </w:p>
        </w:tc>
        <w:tc>
          <w:tcPr>
            <w:tcW w:w="2578" w:type="dxa"/>
            <w:noWrap/>
            <w:vAlign w:val="center"/>
          </w:tcPr>
          <w:p w14:paraId="1A0718C7">
            <w:pPr>
              <w:jc w:val="center"/>
              <w:rPr>
                <w:color w:val="000000"/>
                <w:sz w:val="20"/>
                <w:szCs w:val="20"/>
              </w:rPr>
            </w:pPr>
            <w:r>
              <w:rPr>
                <w:color w:val="000000"/>
                <w:sz w:val="20"/>
                <w:szCs w:val="20"/>
              </w:rPr>
              <w:t>Mặt cắt 3-3</w:t>
            </w:r>
          </w:p>
        </w:tc>
        <w:tc>
          <w:tcPr>
            <w:tcW w:w="2393" w:type="dxa"/>
            <w:noWrap/>
            <w:vAlign w:val="center"/>
          </w:tcPr>
          <w:p w14:paraId="1D4E3B39">
            <w:pPr>
              <w:jc w:val="center"/>
              <w:rPr>
                <w:color w:val="000000"/>
                <w:sz w:val="20"/>
                <w:szCs w:val="20"/>
              </w:rPr>
            </w:pPr>
            <w:r>
              <w:rPr>
                <w:color w:val="000000"/>
                <w:sz w:val="20"/>
                <w:szCs w:val="20"/>
              </w:rPr>
              <w:t>Một mặt tiền</w:t>
            </w:r>
          </w:p>
        </w:tc>
        <w:tc>
          <w:tcPr>
            <w:tcW w:w="1198" w:type="dxa"/>
            <w:noWrap/>
            <w:vAlign w:val="center"/>
          </w:tcPr>
          <w:p w14:paraId="5D42C4A2">
            <w:pPr>
              <w:jc w:val="center"/>
              <w:rPr>
                <w:color w:val="000000"/>
                <w:sz w:val="20"/>
                <w:szCs w:val="20"/>
              </w:rPr>
            </w:pPr>
            <w:r>
              <w:rPr>
                <w:color w:val="000000"/>
                <w:sz w:val="20"/>
                <w:szCs w:val="20"/>
              </w:rPr>
              <w:t>10.800.000</w:t>
            </w:r>
          </w:p>
        </w:tc>
        <w:tc>
          <w:tcPr>
            <w:tcW w:w="1236" w:type="dxa"/>
            <w:noWrap/>
            <w:vAlign w:val="center"/>
          </w:tcPr>
          <w:p w14:paraId="657E6D44">
            <w:pPr>
              <w:jc w:val="center"/>
              <w:rPr>
                <w:color w:val="000000"/>
                <w:sz w:val="20"/>
                <w:szCs w:val="20"/>
              </w:rPr>
            </w:pPr>
          </w:p>
        </w:tc>
        <w:tc>
          <w:tcPr>
            <w:tcW w:w="1252" w:type="dxa"/>
            <w:noWrap/>
            <w:vAlign w:val="center"/>
          </w:tcPr>
          <w:p w14:paraId="3E32B18E">
            <w:pPr>
              <w:jc w:val="center"/>
              <w:rPr>
                <w:color w:val="000000"/>
                <w:sz w:val="20"/>
                <w:szCs w:val="20"/>
              </w:rPr>
            </w:pPr>
            <w:r>
              <w:rPr>
                <w:color w:val="000000"/>
                <w:sz w:val="20"/>
                <w:szCs w:val="20"/>
              </w:rPr>
              <w:t>10.800.000</w:t>
            </w:r>
          </w:p>
        </w:tc>
        <w:tc>
          <w:tcPr>
            <w:tcW w:w="1848" w:type="dxa"/>
            <w:noWrap/>
            <w:vAlign w:val="center"/>
          </w:tcPr>
          <w:p w14:paraId="39D264FC">
            <w:pPr>
              <w:jc w:val="center"/>
              <w:rPr>
                <w:color w:val="000000"/>
                <w:sz w:val="20"/>
                <w:szCs w:val="20"/>
              </w:rPr>
            </w:pPr>
            <w:r>
              <w:rPr>
                <w:color w:val="000000"/>
                <w:sz w:val="20"/>
                <w:szCs w:val="20"/>
              </w:rPr>
              <w:t>972.000.000</w:t>
            </w:r>
          </w:p>
        </w:tc>
      </w:tr>
      <w:tr w14:paraId="414A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3E9B3B">
            <w:pPr>
              <w:jc w:val="center"/>
              <w:rPr>
                <w:b/>
                <w:bCs/>
                <w:color w:val="000000"/>
                <w:sz w:val="20"/>
                <w:szCs w:val="20"/>
              </w:rPr>
            </w:pPr>
            <w:r>
              <w:rPr>
                <w:b/>
                <w:bCs/>
                <w:color w:val="000000"/>
                <w:sz w:val="20"/>
                <w:szCs w:val="20"/>
              </w:rPr>
              <w:t>LK06</w:t>
            </w:r>
          </w:p>
        </w:tc>
        <w:tc>
          <w:tcPr>
            <w:tcW w:w="1802" w:type="dxa"/>
            <w:vAlign w:val="center"/>
          </w:tcPr>
          <w:p w14:paraId="5DD6122E">
            <w:pPr>
              <w:jc w:val="center"/>
              <w:rPr>
                <w:color w:val="000000"/>
                <w:sz w:val="20"/>
                <w:szCs w:val="20"/>
              </w:rPr>
            </w:pPr>
            <w:r>
              <w:rPr>
                <w:color w:val="000000"/>
                <w:sz w:val="20"/>
                <w:szCs w:val="20"/>
              </w:rPr>
              <w:t>LK06:06</w:t>
            </w:r>
          </w:p>
        </w:tc>
        <w:tc>
          <w:tcPr>
            <w:tcW w:w="1033" w:type="dxa"/>
            <w:noWrap/>
            <w:vAlign w:val="center"/>
          </w:tcPr>
          <w:p w14:paraId="78845031">
            <w:pPr>
              <w:jc w:val="center"/>
              <w:rPr>
                <w:color w:val="000000"/>
                <w:sz w:val="20"/>
                <w:szCs w:val="20"/>
              </w:rPr>
            </w:pPr>
            <w:r>
              <w:rPr>
                <w:color w:val="000000"/>
                <w:sz w:val="20"/>
                <w:szCs w:val="20"/>
              </w:rPr>
              <w:t>90,00</w:t>
            </w:r>
          </w:p>
        </w:tc>
        <w:tc>
          <w:tcPr>
            <w:tcW w:w="846" w:type="dxa"/>
            <w:noWrap/>
            <w:vAlign w:val="center"/>
          </w:tcPr>
          <w:p w14:paraId="07054DB5">
            <w:pPr>
              <w:jc w:val="center"/>
              <w:rPr>
                <w:color w:val="000000"/>
                <w:sz w:val="20"/>
                <w:szCs w:val="20"/>
              </w:rPr>
            </w:pPr>
            <w:r>
              <w:rPr>
                <w:color w:val="000000"/>
                <w:sz w:val="20"/>
                <w:szCs w:val="20"/>
              </w:rPr>
              <w:t>1</w:t>
            </w:r>
          </w:p>
        </w:tc>
        <w:tc>
          <w:tcPr>
            <w:tcW w:w="2578" w:type="dxa"/>
            <w:noWrap/>
            <w:vAlign w:val="center"/>
          </w:tcPr>
          <w:p w14:paraId="7182CD6D">
            <w:pPr>
              <w:jc w:val="center"/>
              <w:rPr>
                <w:color w:val="000000"/>
                <w:sz w:val="20"/>
                <w:szCs w:val="20"/>
              </w:rPr>
            </w:pPr>
            <w:r>
              <w:rPr>
                <w:color w:val="000000"/>
                <w:sz w:val="20"/>
                <w:szCs w:val="20"/>
              </w:rPr>
              <w:t>Mặt cắt 3-3</w:t>
            </w:r>
          </w:p>
        </w:tc>
        <w:tc>
          <w:tcPr>
            <w:tcW w:w="2393" w:type="dxa"/>
            <w:noWrap/>
            <w:vAlign w:val="center"/>
          </w:tcPr>
          <w:p w14:paraId="420FC309">
            <w:pPr>
              <w:jc w:val="center"/>
              <w:rPr>
                <w:color w:val="000000"/>
                <w:sz w:val="20"/>
                <w:szCs w:val="20"/>
              </w:rPr>
            </w:pPr>
            <w:r>
              <w:rPr>
                <w:color w:val="000000"/>
                <w:sz w:val="20"/>
                <w:szCs w:val="20"/>
              </w:rPr>
              <w:t>Một mặt tiền</w:t>
            </w:r>
          </w:p>
        </w:tc>
        <w:tc>
          <w:tcPr>
            <w:tcW w:w="1198" w:type="dxa"/>
            <w:noWrap/>
            <w:vAlign w:val="center"/>
          </w:tcPr>
          <w:p w14:paraId="71BA1499">
            <w:pPr>
              <w:jc w:val="center"/>
              <w:rPr>
                <w:color w:val="000000"/>
                <w:sz w:val="20"/>
                <w:szCs w:val="20"/>
              </w:rPr>
            </w:pPr>
            <w:r>
              <w:rPr>
                <w:color w:val="000000"/>
                <w:sz w:val="20"/>
                <w:szCs w:val="20"/>
              </w:rPr>
              <w:t>10.800.000</w:t>
            </w:r>
          </w:p>
        </w:tc>
        <w:tc>
          <w:tcPr>
            <w:tcW w:w="1236" w:type="dxa"/>
            <w:noWrap/>
            <w:vAlign w:val="center"/>
          </w:tcPr>
          <w:p w14:paraId="0AB513BE">
            <w:pPr>
              <w:jc w:val="center"/>
              <w:rPr>
                <w:color w:val="000000"/>
                <w:sz w:val="20"/>
                <w:szCs w:val="20"/>
              </w:rPr>
            </w:pPr>
          </w:p>
        </w:tc>
        <w:tc>
          <w:tcPr>
            <w:tcW w:w="1252" w:type="dxa"/>
            <w:noWrap/>
            <w:vAlign w:val="center"/>
          </w:tcPr>
          <w:p w14:paraId="5FC311B3">
            <w:pPr>
              <w:jc w:val="center"/>
              <w:rPr>
                <w:color w:val="000000"/>
                <w:sz w:val="20"/>
                <w:szCs w:val="20"/>
              </w:rPr>
            </w:pPr>
            <w:r>
              <w:rPr>
                <w:color w:val="000000"/>
                <w:sz w:val="20"/>
                <w:szCs w:val="20"/>
              </w:rPr>
              <w:t>10.800.000</w:t>
            </w:r>
          </w:p>
        </w:tc>
        <w:tc>
          <w:tcPr>
            <w:tcW w:w="1848" w:type="dxa"/>
            <w:noWrap/>
            <w:vAlign w:val="center"/>
          </w:tcPr>
          <w:p w14:paraId="598AEA46">
            <w:pPr>
              <w:jc w:val="center"/>
              <w:rPr>
                <w:color w:val="000000"/>
                <w:sz w:val="20"/>
                <w:szCs w:val="20"/>
              </w:rPr>
            </w:pPr>
            <w:r>
              <w:rPr>
                <w:color w:val="000000"/>
                <w:sz w:val="20"/>
                <w:szCs w:val="20"/>
              </w:rPr>
              <w:t>972.000.000</w:t>
            </w:r>
          </w:p>
        </w:tc>
      </w:tr>
      <w:tr w14:paraId="113E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F91183B">
            <w:pPr>
              <w:jc w:val="center"/>
              <w:rPr>
                <w:b/>
                <w:bCs/>
                <w:color w:val="000000"/>
                <w:sz w:val="20"/>
                <w:szCs w:val="20"/>
              </w:rPr>
            </w:pPr>
            <w:r>
              <w:rPr>
                <w:b/>
                <w:bCs/>
                <w:color w:val="000000"/>
                <w:sz w:val="20"/>
                <w:szCs w:val="20"/>
              </w:rPr>
              <w:t>LK06</w:t>
            </w:r>
          </w:p>
        </w:tc>
        <w:tc>
          <w:tcPr>
            <w:tcW w:w="1802" w:type="dxa"/>
            <w:vAlign w:val="center"/>
          </w:tcPr>
          <w:p w14:paraId="5C5B8957">
            <w:pPr>
              <w:jc w:val="center"/>
              <w:rPr>
                <w:color w:val="000000"/>
                <w:sz w:val="20"/>
                <w:szCs w:val="20"/>
              </w:rPr>
            </w:pPr>
            <w:r>
              <w:rPr>
                <w:color w:val="000000"/>
                <w:sz w:val="20"/>
                <w:szCs w:val="20"/>
              </w:rPr>
              <w:t>LK06:07</w:t>
            </w:r>
          </w:p>
        </w:tc>
        <w:tc>
          <w:tcPr>
            <w:tcW w:w="1033" w:type="dxa"/>
            <w:noWrap/>
            <w:vAlign w:val="center"/>
          </w:tcPr>
          <w:p w14:paraId="3EB0BCC0">
            <w:pPr>
              <w:jc w:val="center"/>
              <w:rPr>
                <w:color w:val="000000"/>
                <w:sz w:val="20"/>
                <w:szCs w:val="20"/>
              </w:rPr>
            </w:pPr>
            <w:r>
              <w:rPr>
                <w:color w:val="000000"/>
                <w:sz w:val="20"/>
                <w:szCs w:val="20"/>
              </w:rPr>
              <w:t>90,00</w:t>
            </w:r>
          </w:p>
        </w:tc>
        <w:tc>
          <w:tcPr>
            <w:tcW w:w="846" w:type="dxa"/>
            <w:noWrap/>
            <w:vAlign w:val="center"/>
          </w:tcPr>
          <w:p w14:paraId="1D45EC0B">
            <w:pPr>
              <w:jc w:val="center"/>
              <w:rPr>
                <w:color w:val="000000"/>
                <w:sz w:val="20"/>
                <w:szCs w:val="20"/>
              </w:rPr>
            </w:pPr>
            <w:r>
              <w:rPr>
                <w:color w:val="000000"/>
                <w:sz w:val="20"/>
                <w:szCs w:val="20"/>
              </w:rPr>
              <w:t>1</w:t>
            </w:r>
          </w:p>
        </w:tc>
        <w:tc>
          <w:tcPr>
            <w:tcW w:w="2578" w:type="dxa"/>
            <w:noWrap/>
            <w:vAlign w:val="center"/>
          </w:tcPr>
          <w:p w14:paraId="1E7D10C1">
            <w:pPr>
              <w:jc w:val="center"/>
              <w:rPr>
                <w:color w:val="000000"/>
                <w:sz w:val="20"/>
                <w:szCs w:val="20"/>
              </w:rPr>
            </w:pPr>
            <w:r>
              <w:rPr>
                <w:color w:val="000000"/>
                <w:sz w:val="20"/>
                <w:szCs w:val="20"/>
              </w:rPr>
              <w:t>Mặt cắt 3-3</w:t>
            </w:r>
          </w:p>
        </w:tc>
        <w:tc>
          <w:tcPr>
            <w:tcW w:w="2393" w:type="dxa"/>
            <w:noWrap/>
            <w:vAlign w:val="center"/>
          </w:tcPr>
          <w:p w14:paraId="3EF87CC7">
            <w:pPr>
              <w:jc w:val="center"/>
              <w:rPr>
                <w:color w:val="000000"/>
                <w:sz w:val="20"/>
                <w:szCs w:val="20"/>
              </w:rPr>
            </w:pPr>
            <w:r>
              <w:rPr>
                <w:color w:val="000000"/>
                <w:sz w:val="20"/>
                <w:szCs w:val="20"/>
              </w:rPr>
              <w:t>Một mặt tiền</w:t>
            </w:r>
          </w:p>
        </w:tc>
        <w:tc>
          <w:tcPr>
            <w:tcW w:w="1198" w:type="dxa"/>
            <w:noWrap/>
            <w:vAlign w:val="center"/>
          </w:tcPr>
          <w:p w14:paraId="5DD7AEC4">
            <w:pPr>
              <w:jc w:val="center"/>
              <w:rPr>
                <w:color w:val="000000"/>
                <w:sz w:val="20"/>
                <w:szCs w:val="20"/>
              </w:rPr>
            </w:pPr>
            <w:r>
              <w:rPr>
                <w:color w:val="000000"/>
                <w:sz w:val="20"/>
                <w:szCs w:val="20"/>
              </w:rPr>
              <w:t>10.800.000</w:t>
            </w:r>
          </w:p>
        </w:tc>
        <w:tc>
          <w:tcPr>
            <w:tcW w:w="1236" w:type="dxa"/>
            <w:noWrap/>
            <w:vAlign w:val="center"/>
          </w:tcPr>
          <w:p w14:paraId="36587231">
            <w:pPr>
              <w:jc w:val="center"/>
              <w:rPr>
                <w:color w:val="000000"/>
                <w:sz w:val="20"/>
                <w:szCs w:val="20"/>
              </w:rPr>
            </w:pPr>
          </w:p>
        </w:tc>
        <w:tc>
          <w:tcPr>
            <w:tcW w:w="1252" w:type="dxa"/>
            <w:noWrap/>
            <w:vAlign w:val="center"/>
          </w:tcPr>
          <w:p w14:paraId="7A21853C">
            <w:pPr>
              <w:jc w:val="center"/>
              <w:rPr>
                <w:color w:val="000000"/>
                <w:sz w:val="20"/>
                <w:szCs w:val="20"/>
              </w:rPr>
            </w:pPr>
            <w:r>
              <w:rPr>
                <w:color w:val="000000"/>
                <w:sz w:val="20"/>
                <w:szCs w:val="20"/>
              </w:rPr>
              <w:t>10.800.000</w:t>
            </w:r>
          </w:p>
        </w:tc>
        <w:tc>
          <w:tcPr>
            <w:tcW w:w="1848" w:type="dxa"/>
            <w:noWrap/>
            <w:vAlign w:val="center"/>
          </w:tcPr>
          <w:p w14:paraId="73013AEA">
            <w:pPr>
              <w:jc w:val="center"/>
              <w:rPr>
                <w:color w:val="000000"/>
                <w:sz w:val="20"/>
                <w:szCs w:val="20"/>
              </w:rPr>
            </w:pPr>
            <w:r>
              <w:rPr>
                <w:color w:val="000000"/>
                <w:sz w:val="20"/>
                <w:szCs w:val="20"/>
              </w:rPr>
              <w:t>972.000.000</w:t>
            </w:r>
          </w:p>
        </w:tc>
      </w:tr>
      <w:tr w14:paraId="3C58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87A9920">
            <w:pPr>
              <w:jc w:val="center"/>
              <w:rPr>
                <w:b/>
                <w:bCs/>
                <w:color w:val="000000"/>
                <w:sz w:val="20"/>
                <w:szCs w:val="20"/>
              </w:rPr>
            </w:pPr>
            <w:r>
              <w:rPr>
                <w:b/>
                <w:bCs/>
                <w:color w:val="000000"/>
                <w:sz w:val="20"/>
                <w:szCs w:val="20"/>
              </w:rPr>
              <w:t>LK06</w:t>
            </w:r>
          </w:p>
        </w:tc>
        <w:tc>
          <w:tcPr>
            <w:tcW w:w="1802" w:type="dxa"/>
            <w:vAlign w:val="center"/>
          </w:tcPr>
          <w:p w14:paraId="32511A05">
            <w:pPr>
              <w:jc w:val="center"/>
              <w:rPr>
                <w:color w:val="000000"/>
                <w:sz w:val="20"/>
                <w:szCs w:val="20"/>
              </w:rPr>
            </w:pPr>
            <w:r>
              <w:rPr>
                <w:color w:val="000000"/>
                <w:sz w:val="20"/>
                <w:szCs w:val="20"/>
              </w:rPr>
              <w:t>LK06:08</w:t>
            </w:r>
          </w:p>
        </w:tc>
        <w:tc>
          <w:tcPr>
            <w:tcW w:w="1033" w:type="dxa"/>
            <w:noWrap/>
            <w:vAlign w:val="center"/>
          </w:tcPr>
          <w:p w14:paraId="6C6010E6">
            <w:pPr>
              <w:jc w:val="center"/>
              <w:rPr>
                <w:color w:val="000000"/>
                <w:sz w:val="20"/>
                <w:szCs w:val="20"/>
              </w:rPr>
            </w:pPr>
            <w:r>
              <w:rPr>
                <w:color w:val="000000"/>
                <w:sz w:val="20"/>
                <w:szCs w:val="20"/>
              </w:rPr>
              <w:t>90,00</w:t>
            </w:r>
          </w:p>
        </w:tc>
        <w:tc>
          <w:tcPr>
            <w:tcW w:w="846" w:type="dxa"/>
            <w:noWrap/>
            <w:vAlign w:val="center"/>
          </w:tcPr>
          <w:p w14:paraId="3C7534A7">
            <w:pPr>
              <w:jc w:val="center"/>
              <w:rPr>
                <w:color w:val="000000"/>
                <w:sz w:val="20"/>
                <w:szCs w:val="20"/>
              </w:rPr>
            </w:pPr>
            <w:r>
              <w:rPr>
                <w:color w:val="000000"/>
                <w:sz w:val="20"/>
                <w:szCs w:val="20"/>
              </w:rPr>
              <w:t>1</w:t>
            </w:r>
          </w:p>
        </w:tc>
        <w:tc>
          <w:tcPr>
            <w:tcW w:w="2578" w:type="dxa"/>
            <w:noWrap/>
            <w:vAlign w:val="center"/>
          </w:tcPr>
          <w:p w14:paraId="7771B020">
            <w:pPr>
              <w:jc w:val="center"/>
              <w:rPr>
                <w:color w:val="000000"/>
                <w:sz w:val="20"/>
                <w:szCs w:val="20"/>
              </w:rPr>
            </w:pPr>
            <w:r>
              <w:rPr>
                <w:color w:val="000000"/>
                <w:sz w:val="20"/>
                <w:szCs w:val="20"/>
              </w:rPr>
              <w:t>Mặt cắt 3-3</w:t>
            </w:r>
          </w:p>
        </w:tc>
        <w:tc>
          <w:tcPr>
            <w:tcW w:w="2393" w:type="dxa"/>
            <w:noWrap/>
            <w:vAlign w:val="center"/>
          </w:tcPr>
          <w:p w14:paraId="5F7EA413">
            <w:pPr>
              <w:jc w:val="center"/>
              <w:rPr>
                <w:color w:val="000000"/>
                <w:sz w:val="20"/>
                <w:szCs w:val="20"/>
              </w:rPr>
            </w:pPr>
            <w:r>
              <w:rPr>
                <w:color w:val="000000"/>
                <w:sz w:val="20"/>
                <w:szCs w:val="20"/>
              </w:rPr>
              <w:t>Một mặt tiền</w:t>
            </w:r>
          </w:p>
        </w:tc>
        <w:tc>
          <w:tcPr>
            <w:tcW w:w="1198" w:type="dxa"/>
            <w:noWrap/>
            <w:vAlign w:val="center"/>
          </w:tcPr>
          <w:p w14:paraId="18694ED6">
            <w:pPr>
              <w:jc w:val="center"/>
              <w:rPr>
                <w:color w:val="000000"/>
                <w:sz w:val="20"/>
                <w:szCs w:val="20"/>
              </w:rPr>
            </w:pPr>
            <w:r>
              <w:rPr>
                <w:color w:val="000000"/>
                <w:sz w:val="20"/>
                <w:szCs w:val="20"/>
              </w:rPr>
              <w:t>10.800.000</w:t>
            </w:r>
          </w:p>
        </w:tc>
        <w:tc>
          <w:tcPr>
            <w:tcW w:w="1236" w:type="dxa"/>
            <w:noWrap/>
            <w:vAlign w:val="center"/>
          </w:tcPr>
          <w:p w14:paraId="1B022ABB">
            <w:pPr>
              <w:jc w:val="center"/>
              <w:rPr>
                <w:color w:val="000000"/>
                <w:sz w:val="20"/>
                <w:szCs w:val="20"/>
              </w:rPr>
            </w:pPr>
          </w:p>
        </w:tc>
        <w:tc>
          <w:tcPr>
            <w:tcW w:w="1252" w:type="dxa"/>
            <w:noWrap/>
            <w:vAlign w:val="center"/>
          </w:tcPr>
          <w:p w14:paraId="3D2E0A3F">
            <w:pPr>
              <w:jc w:val="center"/>
              <w:rPr>
                <w:color w:val="000000"/>
                <w:sz w:val="20"/>
                <w:szCs w:val="20"/>
              </w:rPr>
            </w:pPr>
            <w:r>
              <w:rPr>
                <w:color w:val="000000"/>
                <w:sz w:val="20"/>
                <w:szCs w:val="20"/>
              </w:rPr>
              <w:t>10.800.000</w:t>
            </w:r>
          </w:p>
        </w:tc>
        <w:tc>
          <w:tcPr>
            <w:tcW w:w="1848" w:type="dxa"/>
            <w:noWrap/>
            <w:vAlign w:val="center"/>
          </w:tcPr>
          <w:p w14:paraId="2A4BE336">
            <w:pPr>
              <w:jc w:val="center"/>
              <w:rPr>
                <w:color w:val="000000"/>
                <w:sz w:val="20"/>
                <w:szCs w:val="20"/>
              </w:rPr>
            </w:pPr>
            <w:r>
              <w:rPr>
                <w:color w:val="000000"/>
                <w:sz w:val="20"/>
                <w:szCs w:val="20"/>
              </w:rPr>
              <w:t>972.000.000</w:t>
            </w:r>
          </w:p>
        </w:tc>
      </w:tr>
      <w:tr w14:paraId="5500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50E34CD">
            <w:pPr>
              <w:jc w:val="center"/>
              <w:rPr>
                <w:b/>
                <w:bCs/>
                <w:color w:val="000000"/>
                <w:sz w:val="20"/>
                <w:szCs w:val="20"/>
              </w:rPr>
            </w:pPr>
            <w:r>
              <w:rPr>
                <w:b/>
                <w:bCs/>
                <w:color w:val="000000"/>
                <w:sz w:val="20"/>
                <w:szCs w:val="20"/>
              </w:rPr>
              <w:t>LK59</w:t>
            </w:r>
          </w:p>
        </w:tc>
        <w:tc>
          <w:tcPr>
            <w:tcW w:w="1802" w:type="dxa"/>
            <w:vAlign w:val="center"/>
          </w:tcPr>
          <w:p w14:paraId="2D0C617C">
            <w:pPr>
              <w:jc w:val="center"/>
              <w:rPr>
                <w:color w:val="000000"/>
                <w:sz w:val="20"/>
                <w:szCs w:val="20"/>
              </w:rPr>
            </w:pPr>
            <w:r>
              <w:rPr>
                <w:color w:val="000000"/>
                <w:sz w:val="20"/>
                <w:szCs w:val="20"/>
              </w:rPr>
              <w:t>LK59:02</w:t>
            </w:r>
          </w:p>
        </w:tc>
        <w:tc>
          <w:tcPr>
            <w:tcW w:w="1033" w:type="dxa"/>
            <w:noWrap/>
            <w:vAlign w:val="center"/>
          </w:tcPr>
          <w:p w14:paraId="4F0490B0">
            <w:pPr>
              <w:jc w:val="center"/>
              <w:rPr>
                <w:color w:val="000000"/>
                <w:sz w:val="20"/>
                <w:szCs w:val="20"/>
              </w:rPr>
            </w:pPr>
            <w:r>
              <w:rPr>
                <w:color w:val="000000"/>
                <w:sz w:val="20"/>
                <w:szCs w:val="20"/>
              </w:rPr>
              <w:t>90,00</w:t>
            </w:r>
          </w:p>
        </w:tc>
        <w:tc>
          <w:tcPr>
            <w:tcW w:w="846" w:type="dxa"/>
            <w:noWrap/>
            <w:vAlign w:val="center"/>
          </w:tcPr>
          <w:p w14:paraId="7D2F8414">
            <w:pPr>
              <w:jc w:val="center"/>
              <w:rPr>
                <w:color w:val="000000"/>
                <w:sz w:val="20"/>
                <w:szCs w:val="20"/>
              </w:rPr>
            </w:pPr>
            <w:r>
              <w:rPr>
                <w:color w:val="000000"/>
                <w:sz w:val="20"/>
                <w:szCs w:val="20"/>
              </w:rPr>
              <w:t>1</w:t>
            </w:r>
          </w:p>
        </w:tc>
        <w:tc>
          <w:tcPr>
            <w:tcW w:w="2578" w:type="dxa"/>
            <w:noWrap/>
            <w:vAlign w:val="center"/>
          </w:tcPr>
          <w:p w14:paraId="22EAF2CC">
            <w:pPr>
              <w:jc w:val="center"/>
              <w:rPr>
                <w:color w:val="000000"/>
                <w:sz w:val="20"/>
                <w:szCs w:val="20"/>
              </w:rPr>
            </w:pPr>
            <w:r>
              <w:rPr>
                <w:color w:val="000000"/>
                <w:sz w:val="20"/>
                <w:szCs w:val="20"/>
              </w:rPr>
              <w:t>Mặt cắt 3-3</w:t>
            </w:r>
          </w:p>
        </w:tc>
        <w:tc>
          <w:tcPr>
            <w:tcW w:w="2393" w:type="dxa"/>
            <w:noWrap/>
            <w:vAlign w:val="center"/>
          </w:tcPr>
          <w:p w14:paraId="2A713595">
            <w:pPr>
              <w:jc w:val="center"/>
              <w:rPr>
                <w:color w:val="000000"/>
                <w:sz w:val="20"/>
                <w:szCs w:val="20"/>
              </w:rPr>
            </w:pPr>
            <w:r>
              <w:rPr>
                <w:color w:val="000000"/>
                <w:sz w:val="20"/>
                <w:szCs w:val="20"/>
              </w:rPr>
              <w:t>Một mặt tiền</w:t>
            </w:r>
          </w:p>
        </w:tc>
        <w:tc>
          <w:tcPr>
            <w:tcW w:w="1198" w:type="dxa"/>
            <w:noWrap/>
            <w:vAlign w:val="center"/>
          </w:tcPr>
          <w:p w14:paraId="542154D1">
            <w:pPr>
              <w:jc w:val="center"/>
              <w:rPr>
                <w:color w:val="000000"/>
                <w:sz w:val="20"/>
                <w:szCs w:val="20"/>
              </w:rPr>
            </w:pPr>
            <w:r>
              <w:rPr>
                <w:color w:val="000000"/>
                <w:sz w:val="20"/>
                <w:szCs w:val="20"/>
              </w:rPr>
              <w:t>10.800.000</w:t>
            </w:r>
          </w:p>
        </w:tc>
        <w:tc>
          <w:tcPr>
            <w:tcW w:w="1236" w:type="dxa"/>
            <w:noWrap/>
            <w:vAlign w:val="center"/>
          </w:tcPr>
          <w:p w14:paraId="1DBFBEE7">
            <w:pPr>
              <w:jc w:val="center"/>
              <w:rPr>
                <w:color w:val="000000"/>
                <w:sz w:val="20"/>
                <w:szCs w:val="20"/>
              </w:rPr>
            </w:pPr>
          </w:p>
        </w:tc>
        <w:tc>
          <w:tcPr>
            <w:tcW w:w="1252" w:type="dxa"/>
            <w:noWrap/>
            <w:vAlign w:val="center"/>
          </w:tcPr>
          <w:p w14:paraId="600B69C0">
            <w:pPr>
              <w:jc w:val="center"/>
              <w:rPr>
                <w:color w:val="000000"/>
                <w:sz w:val="20"/>
                <w:szCs w:val="20"/>
              </w:rPr>
            </w:pPr>
            <w:r>
              <w:rPr>
                <w:color w:val="000000"/>
                <w:sz w:val="20"/>
                <w:szCs w:val="20"/>
              </w:rPr>
              <w:t>10.800.000</w:t>
            </w:r>
          </w:p>
        </w:tc>
        <w:tc>
          <w:tcPr>
            <w:tcW w:w="1848" w:type="dxa"/>
            <w:noWrap/>
            <w:vAlign w:val="center"/>
          </w:tcPr>
          <w:p w14:paraId="30E4CFAE">
            <w:pPr>
              <w:jc w:val="center"/>
              <w:rPr>
                <w:color w:val="000000"/>
                <w:sz w:val="20"/>
                <w:szCs w:val="20"/>
              </w:rPr>
            </w:pPr>
            <w:r>
              <w:rPr>
                <w:color w:val="000000"/>
                <w:sz w:val="20"/>
                <w:szCs w:val="20"/>
              </w:rPr>
              <w:t>972.000.000</w:t>
            </w:r>
          </w:p>
        </w:tc>
      </w:tr>
      <w:tr w14:paraId="36D5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EF49A3F">
            <w:pPr>
              <w:jc w:val="center"/>
              <w:rPr>
                <w:b/>
                <w:bCs/>
                <w:color w:val="000000"/>
                <w:sz w:val="20"/>
                <w:szCs w:val="20"/>
              </w:rPr>
            </w:pPr>
            <w:r>
              <w:rPr>
                <w:b/>
                <w:bCs/>
                <w:color w:val="000000"/>
                <w:sz w:val="20"/>
                <w:szCs w:val="20"/>
              </w:rPr>
              <w:t>LK59</w:t>
            </w:r>
          </w:p>
        </w:tc>
        <w:tc>
          <w:tcPr>
            <w:tcW w:w="1802" w:type="dxa"/>
            <w:vAlign w:val="center"/>
          </w:tcPr>
          <w:p w14:paraId="08CE6890">
            <w:pPr>
              <w:jc w:val="center"/>
              <w:rPr>
                <w:color w:val="000000"/>
                <w:sz w:val="20"/>
                <w:szCs w:val="20"/>
              </w:rPr>
            </w:pPr>
            <w:r>
              <w:rPr>
                <w:color w:val="000000"/>
                <w:sz w:val="20"/>
                <w:szCs w:val="20"/>
              </w:rPr>
              <w:t>LK59:03</w:t>
            </w:r>
          </w:p>
        </w:tc>
        <w:tc>
          <w:tcPr>
            <w:tcW w:w="1033" w:type="dxa"/>
            <w:noWrap/>
            <w:vAlign w:val="center"/>
          </w:tcPr>
          <w:p w14:paraId="718E1195">
            <w:pPr>
              <w:jc w:val="center"/>
              <w:rPr>
                <w:color w:val="000000"/>
                <w:sz w:val="20"/>
                <w:szCs w:val="20"/>
              </w:rPr>
            </w:pPr>
            <w:r>
              <w:rPr>
                <w:color w:val="000000"/>
                <w:sz w:val="20"/>
                <w:szCs w:val="20"/>
              </w:rPr>
              <w:t>90,00</w:t>
            </w:r>
          </w:p>
        </w:tc>
        <w:tc>
          <w:tcPr>
            <w:tcW w:w="846" w:type="dxa"/>
            <w:noWrap/>
            <w:vAlign w:val="center"/>
          </w:tcPr>
          <w:p w14:paraId="724586F3">
            <w:pPr>
              <w:jc w:val="center"/>
              <w:rPr>
                <w:color w:val="000000"/>
                <w:sz w:val="20"/>
                <w:szCs w:val="20"/>
              </w:rPr>
            </w:pPr>
            <w:r>
              <w:rPr>
                <w:color w:val="000000"/>
                <w:sz w:val="20"/>
                <w:szCs w:val="20"/>
              </w:rPr>
              <w:t>1</w:t>
            </w:r>
          </w:p>
        </w:tc>
        <w:tc>
          <w:tcPr>
            <w:tcW w:w="2578" w:type="dxa"/>
            <w:noWrap/>
            <w:vAlign w:val="center"/>
          </w:tcPr>
          <w:p w14:paraId="70570200">
            <w:pPr>
              <w:jc w:val="center"/>
              <w:rPr>
                <w:color w:val="000000"/>
                <w:sz w:val="20"/>
                <w:szCs w:val="20"/>
              </w:rPr>
            </w:pPr>
            <w:r>
              <w:rPr>
                <w:color w:val="000000"/>
                <w:sz w:val="20"/>
                <w:szCs w:val="20"/>
              </w:rPr>
              <w:t>Mặt cắt 3-3</w:t>
            </w:r>
          </w:p>
        </w:tc>
        <w:tc>
          <w:tcPr>
            <w:tcW w:w="2393" w:type="dxa"/>
            <w:noWrap/>
            <w:vAlign w:val="center"/>
          </w:tcPr>
          <w:p w14:paraId="54F49F3A">
            <w:pPr>
              <w:jc w:val="center"/>
              <w:rPr>
                <w:color w:val="000000"/>
                <w:sz w:val="20"/>
                <w:szCs w:val="20"/>
              </w:rPr>
            </w:pPr>
            <w:r>
              <w:rPr>
                <w:color w:val="000000"/>
                <w:sz w:val="20"/>
                <w:szCs w:val="20"/>
              </w:rPr>
              <w:t>Một mặt tiền</w:t>
            </w:r>
          </w:p>
        </w:tc>
        <w:tc>
          <w:tcPr>
            <w:tcW w:w="1198" w:type="dxa"/>
            <w:noWrap/>
            <w:vAlign w:val="center"/>
          </w:tcPr>
          <w:p w14:paraId="478D5D32">
            <w:pPr>
              <w:jc w:val="center"/>
              <w:rPr>
                <w:color w:val="000000"/>
                <w:sz w:val="20"/>
                <w:szCs w:val="20"/>
              </w:rPr>
            </w:pPr>
            <w:r>
              <w:rPr>
                <w:color w:val="000000"/>
                <w:sz w:val="20"/>
                <w:szCs w:val="20"/>
              </w:rPr>
              <w:t>10.800.000</w:t>
            </w:r>
          </w:p>
        </w:tc>
        <w:tc>
          <w:tcPr>
            <w:tcW w:w="1236" w:type="dxa"/>
            <w:noWrap/>
            <w:vAlign w:val="center"/>
          </w:tcPr>
          <w:p w14:paraId="153D1AF0">
            <w:pPr>
              <w:jc w:val="center"/>
              <w:rPr>
                <w:color w:val="000000"/>
                <w:sz w:val="20"/>
                <w:szCs w:val="20"/>
              </w:rPr>
            </w:pPr>
          </w:p>
        </w:tc>
        <w:tc>
          <w:tcPr>
            <w:tcW w:w="1252" w:type="dxa"/>
            <w:noWrap/>
            <w:vAlign w:val="center"/>
          </w:tcPr>
          <w:p w14:paraId="643F1F82">
            <w:pPr>
              <w:jc w:val="center"/>
              <w:rPr>
                <w:color w:val="000000"/>
                <w:sz w:val="20"/>
                <w:szCs w:val="20"/>
              </w:rPr>
            </w:pPr>
            <w:r>
              <w:rPr>
                <w:color w:val="000000"/>
                <w:sz w:val="20"/>
                <w:szCs w:val="20"/>
              </w:rPr>
              <w:t>10.800.000</w:t>
            </w:r>
          </w:p>
        </w:tc>
        <w:tc>
          <w:tcPr>
            <w:tcW w:w="1848" w:type="dxa"/>
            <w:noWrap/>
            <w:vAlign w:val="center"/>
          </w:tcPr>
          <w:p w14:paraId="64A8B283">
            <w:pPr>
              <w:jc w:val="center"/>
              <w:rPr>
                <w:color w:val="000000"/>
                <w:sz w:val="20"/>
                <w:szCs w:val="20"/>
              </w:rPr>
            </w:pPr>
            <w:r>
              <w:rPr>
                <w:color w:val="000000"/>
                <w:sz w:val="20"/>
                <w:szCs w:val="20"/>
              </w:rPr>
              <w:t>972.000.000</w:t>
            </w:r>
          </w:p>
        </w:tc>
      </w:tr>
      <w:tr w14:paraId="1984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F3F82A0">
            <w:pPr>
              <w:jc w:val="center"/>
              <w:rPr>
                <w:b/>
                <w:bCs/>
                <w:color w:val="000000"/>
                <w:sz w:val="20"/>
                <w:szCs w:val="20"/>
              </w:rPr>
            </w:pPr>
            <w:r>
              <w:rPr>
                <w:b/>
                <w:bCs/>
                <w:color w:val="000000"/>
                <w:sz w:val="20"/>
                <w:szCs w:val="20"/>
              </w:rPr>
              <w:t>LK59</w:t>
            </w:r>
          </w:p>
        </w:tc>
        <w:tc>
          <w:tcPr>
            <w:tcW w:w="1802" w:type="dxa"/>
            <w:vAlign w:val="center"/>
          </w:tcPr>
          <w:p w14:paraId="32831383">
            <w:pPr>
              <w:jc w:val="center"/>
              <w:rPr>
                <w:color w:val="000000"/>
                <w:sz w:val="20"/>
                <w:szCs w:val="20"/>
              </w:rPr>
            </w:pPr>
            <w:r>
              <w:rPr>
                <w:color w:val="000000"/>
                <w:sz w:val="20"/>
                <w:szCs w:val="20"/>
              </w:rPr>
              <w:t>LK59:04</w:t>
            </w:r>
          </w:p>
        </w:tc>
        <w:tc>
          <w:tcPr>
            <w:tcW w:w="1033" w:type="dxa"/>
            <w:noWrap/>
            <w:vAlign w:val="center"/>
          </w:tcPr>
          <w:p w14:paraId="699044D4">
            <w:pPr>
              <w:jc w:val="center"/>
              <w:rPr>
                <w:color w:val="000000"/>
                <w:sz w:val="20"/>
                <w:szCs w:val="20"/>
              </w:rPr>
            </w:pPr>
            <w:r>
              <w:rPr>
                <w:color w:val="000000"/>
                <w:sz w:val="20"/>
                <w:szCs w:val="20"/>
              </w:rPr>
              <w:t>90,00</w:t>
            </w:r>
          </w:p>
        </w:tc>
        <w:tc>
          <w:tcPr>
            <w:tcW w:w="846" w:type="dxa"/>
            <w:noWrap/>
            <w:vAlign w:val="center"/>
          </w:tcPr>
          <w:p w14:paraId="5EAD7AB7">
            <w:pPr>
              <w:jc w:val="center"/>
              <w:rPr>
                <w:color w:val="000000"/>
                <w:sz w:val="20"/>
                <w:szCs w:val="20"/>
              </w:rPr>
            </w:pPr>
            <w:r>
              <w:rPr>
                <w:color w:val="000000"/>
                <w:sz w:val="20"/>
                <w:szCs w:val="20"/>
              </w:rPr>
              <w:t>1</w:t>
            </w:r>
          </w:p>
        </w:tc>
        <w:tc>
          <w:tcPr>
            <w:tcW w:w="2578" w:type="dxa"/>
            <w:noWrap/>
            <w:vAlign w:val="center"/>
          </w:tcPr>
          <w:p w14:paraId="4049A86E">
            <w:pPr>
              <w:jc w:val="center"/>
              <w:rPr>
                <w:color w:val="000000"/>
                <w:sz w:val="20"/>
                <w:szCs w:val="20"/>
              </w:rPr>
            </w:pPr>
            <w:r>
              <w:rPr>
                <w:color w:val="000000"/>
                <w:sz w:val="20"/>
                <w:szCs w:val="20"/>
              </w:rPr>
              <w:t>Mặt cắt 3-3</w:t>
            </w:r>
          </w:p>
        </w:tc>
        <w:tc>
          <w:tcPr>
            <w:tcW w:w="2393" w:type="dxa"/>
            <w:noWrap/>
            <w:vAlign w:val="center"/>
          </w:tcPr>
          <w:p w14:paraId="64CF57A7">
            <w:pPr>
              <w:jc w:val="center"/>
              <w:rPr>
                <w:color w:val="000000"/>
                <w:sz w:val="20"/>
                <w:szCs w:val="20"/>
              </w:rPr>
            </w:pPr>
            <w:r>
              <w:rPr>
                <w:color w:val="000000"/>
                <w:sz w:val="20"/>
                <w:szCs w:val="20"/>
              </w:rPr>
              <w:t>Một mặt tiền</w:t>
            </w:r>
          </w:p>
        </w:tc>
        <w:tc>
          <w:tcPr>
            <w:tcW w:w="1198" w:type="dxa"/>
            <w:noWrap/>
            <w:vAlign w:val="center"/>
          </w:tcPr>
          <w:p w14:paraId="01629DC1">
            <w:pPr>
              <w:jc w:val="center"/>
              <w:rPr>
                <w:color w:val="000000"/>
                <w:sz w:val="20"/>
                <w:szCs w:val="20"/>
              </w:rPr>
            </w:pPr>
            <w:r>
              <w:rPr>
                <w:color w:val="000000"/>
                <w:sz w:val="20"/>
                <w:szCs w:val="20"/>
              </w:rPr>
              <w:t>10.800.000</w:t>
            </w:r>
          </w:p>
        </w:tc>
        <w:tc>
          <w:tcPr>
            <w:tcW w:w="1236" w:type="dxa"/>
            <w:noWrap/>
            <w:vAlign w:val="center"/>
          </w:tcPr>
          <w:p w14:paraId="3F4AA0CC">
            <w:pPr>
              <w:jc w:val="center"/>
              <w:rPr>
                <w:color w:val="000000"/>
                <w:sz w:val="20"/>
                <w:szCs w:val="20"/>
              </w:rPr>
            </w:pPr>
          </w:p>
        </w:tc>
        <w:tc>
          <w:tcPr>
            <w:tcW w:w="1252" w:type="dxa"/>
            <w:noWrap/>
            <w:vAlign w:val="center"/>
          </w:tcPr>
          <w:p w14:paraId="2D0787FB">
            <w:pPr>
              <w:jc w:val="center"/>
              <w:rPr>
                <w:color w:val="000000"/>
                <w:sz w:val="20"/>
                <w:szCs w:val="20"/>
              </w:rPr>
            </w:pPr>
            <w:r>
              <w:rPr>
                <w:color w:val="000000"/>
                <w:sz w:val="20"/>
                <w:szCs w:val="20"/>
              </w:rPr>
              <w:t>10.800.000</w:t>
            </w:r>
          </w:p>
        </w:tc>
        <w:tc>
          <w:tcPr>
            <w:tcW w:w="1848" w:type="dxa"/>
            <w:noWrap/>
            <w:vAlign w:val="center"/>
          </w:tcPr>
          <w:p w14:paraId="14F86D45">
            <w:pPr>
              <w:jc w:val="center"/>
              <w:rPr>
                <w:color w:val="000000"/>
                <w:sz w:val="20"/>
                <w:szCs w:val="20"/>
              </w:rPr>
            </w:pPr>
            <w:r>
              <w:rPr>
                <w:color w:val="000000"/>
                <w:sz w:val="20"/>
                <w:szCs w:val="20"/>
              </w:rPr>
              <w:t>972.000.000</w:t>
            </w:r>
          </w:p>
        </w:tc>
      </w:tr>
      <w:tr w14:paraId="1FAA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33A7DE0">
            <w:pPr>
              <w:jc w:val="center"/>
              <w:rPr>
                <w:b/>
                <w:bCs/>
                <w:color w:val="000000"/>
                <w:sz w:val="20"/>
                <w:szCs w:val="20"/>
              </w:rPr>
            </w:pPr>
            <w:r>
              <w:rPr>
                <w:b/>
                <w:bCs/>
                <w:color w:val="000000"/>
                <w:sz w:val="20"/>
                <w:szCs w:val="20"/>
              </w:rPr>
              <w:t>LK59</w:t>
            </w:r>
          </w:p>
        </w:tc>
        <w:tc>
          <w:tcPr>
            <w:tcW w:w="1802" w:type="dxa"/>
            <w:vAlign w:val="center"/>
          </w:tcPr>
          <w:p w14:paraId="45FBAD8D">
            <w:pPr>
              <w:jc w:val="center"/>
              <w:rPr>
                <w:color w:val="000000"/>
                <w:sz w:val="20"/>
                <w:szCs w:val="20"/>
              </w:rPr>
            </w:pPr>
            <w:r>
              <w:rPr>
                <w:color w:val="000000"/>
                <w:sz w:val="20"/>
                <w:szCs w:val="20"/>
              </w:rPr>
              <w:t>LK59:05</w:t>
            </w:r>
          </w:p>
        </w:tc>
        <w:tc>
          <w:tcPr>
            <w:tcW w:w="1033" w:type="dxa"/>
            <w:noWrap/>
            <w:vAlign w:val="center"/>
          </w:tcPr>
          <w:p w14:paraId="633DD662">
            <w:pPr>
              <w:jc w:val="center"/>
              <w:rPr>
                <w:color w:val="000000"/>
                <w:sz w:val="20"/>
                <w:szCs w:val="20"/>
              </w:rPr>
            </w:pPr>
            <w:r>
              <w:rPr>
                <w:color w:val="000000"/>
                <w:sz w:val="20"/>
                <w:szCs w:val="20"/>
              </w:rPr>
              <w:t>90,00</w:t>
            </w:r>
          </w:p>
        </w:tc>
        <w:tc>
          <w:tcPr>
            <w:tcW w:w="846" w:type="dxa"/>
            <w:noWrap/>
            <w:vAlign w:val="center"/>
          </w:tcPr>
          <w:p w14:paraId="56565779">
            <w:pPr>
              <w:jc w:val="center"/>
              <w:rPr>
                <w:color w:val="000000"/>
                <w:sz w:val="20"/>
                <w:szCs w:val="20"/>
              </w:rPr>
            </w:pPr>
            <w:r>
              <w:rPr>
                <w:color w:val="000000"/>
                <w:sz w:val="20"/>
                <w:szCs w:val="20"/>
              </w:rPr>
              <w:t>1</w:t>
            </w:r>
          </w:p>
        </w:tc>
        <w:tc>
          <w:tcPr>
            <w:tcW w:w="2578" w:type="dxa"/>
            <w:noWrap/>
            <w:vAlign w:val="center"/>
          </w:tcPr>
          <w:p w14:paraId="4966B00C">
            <w:pPr>
              <w:jc w:val="center"/>
              <w:rPr>
                <w:color w:val="000000"/>
                <w:sz w:val="20"/>
                <w:szCs w:val="20"/>
              </w:rPr>
            </w:pPr>
            <w:r>
              <w:rPr>
                <w:color w:val="000000"/>
                <w:sz w:val="20"/>
                <w:szCs w:val="20"/>
              </w:rPr>
              <w:t>Mặt cắt 3-3</w:t>
            </w:r>
          </w:p>
        </w:tc>
        <w:tc>
          <w:tcPr>
            <w:tcW w:w="2393" w:type="dxa"/>
            <w:noWrap/>
            <w:vAlign w:val="center"/>
          </w:tcPr>
          <w:p w14:paraId="037C9634">
            <w:pPr>
              <w:jc w:val="center"/>
              <w:rPr>
                <w:color w:val="000000"/>
                <w:sz w:val="20"/>
                <w:szCs w:val="20"/>
              </w:rPr>
            </w:pPr>
            <w:r>
              <w:rPr>
                <w:color w:val="000000"/>
                <w:sz w:val="20"/>
                <w:szCs w:val="20"/>
              </w:rPr>
              <w:t>Một mặt tiền</w:t>
            </w:r>
          </w:p>
        </w:tc>
        <w:tc>
          <w:tcPr>
            <w:tcW w:w="1198" w:type="dxa"/>
            <w:noWrap/>
            <w:vAlign w:val="center"/>
          </w:tcPr>
          <w:p w14:paraId="5D9AF433">
            <w:pPr>
              <w:jc w:val="center"/>
              <w:rPr>
                <w:color w:val="000000"/>
                <w:sz w:val="20"/>
                <w:szCs w:val="20"/>
              </w:rPr>
            </w:pPr>
            <w:r>
              <w:rPr>
                <w:color w:val="000000"/>
                <w:sz w:val="20"/>
                <w:szCs w:val="20"/>
              </w:rPr>
              <w:t>10.800.000</w:t>
            </w:r>
          </w:p>
        </w:tc>
        <w:tc>
          <w:tcPr>
            <w:tcW w:w="1236" w:type="dxa"/>
            <w:noWrap/>
            <w:vAlign w:val="center"/>
          </w:tcPr>
          <w:p w14:paraId="1C9721EB">
            <w:pPr>
              <w:jc w:val="center"/>
              <w:rPr>
                <w:color w:val="000000"/>
                <w:sz w:val="20"/>
                <w:szCs w:val="20"/>
              </w:rPr>
            </w:pPr>
          </w:p>
        </w:tc>
        <w:tc>
          <w:tcPr>
            <w:tcW w:w="1252" w:type="dxa"/>
            <w:noWrap/>
            <w:vAlign w:val="center"/>
          </w:tcPr>
          <w:p w14:paraId="6CFD0298">
            <w:pPr>
              <w:jc w:val="center"/>
              <w:rPr>
                <w:color w:val="000000"/>
                <w:sz w:val="20"/>
                <w:szCs w:val="20"/>
              </w:rPr>
            </w:pPr>
            <w:r>
              <w:rPr>
                <w:color w:val="000000"/>
                <w:sz w:val="20"/>
                <w:szCs w:val="20"/>
              </w:rPr>
              <w:t>10.800.000</w:t>
            </w:r>
          </w:p>
        </w:tc>
        <w:tc>
          <w:tcPr>
            <w:tcW w:w="1848" w:type="dxa"/>
            <w:noWrap/>
            <w:vAlign w:val="center"/>
          </w:tcPr>
          <w:p w14:paraId="41597356">
            <w:pPr>
              <w:jc w:val="center"/>
              <w:rPr>
                <w:color w:val="000000"/>
                <w:sz w:val="20"/>
                <w:szCs w:val="20"/>
              </w:rPr>
            </w:pPr>
            <w:r>
              <w:rPr>
                <w:color w:val="000000"/>
                <w:sz w:val="20"/>
                <w:szCs w:val="20"/>
              </w:rPr>
              <w:t>972.000.000</w:t>
            </w:r>
          </w:p>
        </w:tc>
      </w:tr>
      <w:tr w14:paraId="0EA6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9890318">
            <w:pPr>
              <w:jc w:val="center"/>
              <w:rPr>
                <w:b/>
                <w:bCs/>
                <w:color w:val="000000"/>
                <w:sz w:val="20"/>
                <w:szCs w:val="20"/>
              </w:rPr>
            </w:pPr>
            <w:r>
              <w:rPr>
                <w:b/>
                <w:bCs/>
                <w:color w:val="000000"/>
                <w:sz w:val="20"/>
                <w:szCs w:val="20"/>
              </w:rPr>
              <w:t>LK59</w:t>
            </w:r>
          </w:p>
        </w:tc>
        <w:tc>
          <w:tcPr>
            <w:tcW w:w="1802" w:type="dxa"/>
            <w:vAlign w:val="center"/>
          </w:tcPr>
          <w:p w14:paraId="4848A67B">
            <w:pPr>
              <w:jc w:val="center"/>
              <w:rPr>
                <w:color w:val="000000"/>
                <w:sz w:val="20"/>
                <w:szCs w:val="20"/>
              </w:rPr>
            </w:pPr>
            <w:r>
              <w:rPr>
                <w:color w:val="000000"/>
                <w:sz w:val="20"/>
                <w:szCs w:val="20"/>
              </w:rPr>
              <w:t>LK59:06</w:t>
            </w:r>
          </w:p>
        </w:tc>
        <w:tc>
          <w:tcPr>
            <w:tcW w:w="1033" w:type="dxa"/>
            <w:noWrap/>
            <w:vAlign w:val="center"/>
          </w:tcPr>
          <w:p w14:paraId="262792B4">
            <w:pPr>
              <w:jc w:val="center"/>
              <w:rPr>
                <w:color w:val="000000"/>
                <w:sz w:val="20"/>
                <w:szCs w:val="20"/>
              </w:rPr>
            </w:pPr>
            <w:r>
              <w:rPr>
                <w:color w:val="000000"/>
                <w:sz w:val="20"/>
                <w:szCs w:val="20"/>
              </w:rPr>
              <w:t>90,00</w:t>
            </w:r>
          </w:p>
        </w:tc>
        <w:tc>
          <w:tcPr>
            <w:tcW w:w="846" w:type="dxa"/>
            <w:noWrap/>
            <w:vAlign w:val="center"/>
          </w:tcPr>
          <w:p w14:paraId="5733CAF2">
            <w:pPr>
              <w:jc w:val="center"/>
              <w:rPr>
                <w:color w:val="000000"/>
                <w:sz w:val="20"/>
                <w:szCs w:val="20"/>
              </w:rPr>
            </w:pPr>
            <w:r>
              <w:rPr>
                <w:color w:val="000000"/>
                <w:sz w:val="20"/>
                <w:szCs w:val="20"/>
              </w:rPr>
              <w:t>1</w:t>
            </w:r>
          </w:p>
        </w:tc>
        <w:tc>
          <w:tcPr>
            <w:tcW w:w="2578" w:type="dxa"/>
            <w:noWrap/>
            <w:vAlign w:val="center"/>
          </w:tcPr>
          <w:p w14:paraId="78FD91A8">
            <w:pPr>
              <w:jc w:val="center"/>
              <w:rPr>
                <w:color w:val="000000"/>
                <w:sz w:val="20"/>
                <w:szCs w:val="20"/>
              </w:rPr>
            </w:pPr>
            <w:r>
              <w:rPr>
                <w:color w:val="000000"/>
                <w:sz w:val="20"/>
                <w:szCs w:val="20"/>
              </w:rPr>
              <w:t>Mặt cắt 3-3</w:t>
            </w:r>
          </w:p>
        </w:tc>
        <w:tc>
          <w:tcPr>
            <w:tcW w:w="2393" w:type="dxa"/>
            <w:noWrap/>
            <w:vAlign w:val="center"/>
          </w:tcPr>
          <w:p w14:paraId="32C9E1E1">
            <w:pPr>
              <w:jc w:val="center"/>
              <w:rPr>
                <w:color w:val="000000"/>
                <w:sz w:val="20"/>
                <w:szCs w:val="20"/>
              </w:rPr>
            </w:pPr>
            <w:r>
              <w:rPr>
                <w:color w:val="000000"/>
                <w:sz w:val="20"/>
                <w:szCs w:val="20"/>
              </w:rPr>
              <w:t>Một mặt tiền</w:t>
            </w:r>
          </w:p>
        </w:tc>
        <w:tc>
          <w:tcPr>
            <w:tcW w:w="1198" w:type="dxa"/>
            <w:noWrap/>
            <w:vAlign w:val="center"/>
          </w:tcPr>
          <w:p w14:paraId="05EB345B">
            <w:pPr>
              <w:jc w:val="center"/>
              <w:rPr>
                <w:color w:val="000000"/>
                <w:sz w:val="20"/>
                <w:szCs w:val="20"/>
              </w:rPr>
            </w:pPr>
            <w:r>
              <w:rPr>
                <w:color w:val="000000"/>
                <w:sz w:val="20"/>
                <w:szCs w:val="20"/>
              </w:rPr>
              <w:t>10.800.000</w:t>
            </w:r>
          </w:p>
        </w:tc>
        <w:tc>
          <w:tcPr>
            <w:tcW w:w="1236" w:type="dxa"/>
            <w:noWrap/>
            <w:vAlign w:val="center"/>
          </w:tcPr>
          <w:p w14:paraId="2B4442B4">
            <w:pPr>
              <w:jc w:val="center"/>
              <w:rPr>
                <w:color w:val="000000"/>
                <w:sz w:val="20"/>
                <w:szCs w:val="20"/>
              </w:rPr>
            </w:pPr>
          </w:p>
        </w:tc>
        <w:tc>
          <w:tcPr>
            <w:tcW w:w="1252" w:type="dxa"/>
            <w:noWrap/>
            <w:vAlign w:val="center"/>
          </w:tcPr>
          <w:p w14:paraId="74BFBD58">
            <w:pPr>
              <w:jc w:val="center"/>
              <w:rPr>
                <w:color w:val="000000"/>
                <w:sz w:val="20"/>
                <w:szCs w:val="20"/>
              </w:rPr>
            </w:pPr>
            <w:r>
              <w:rPr>
                <w:color w:val="000000"/>
                <w:sz w:val="20"/>
                <w:szCs w:val="20"/>
              </w:rPr>
              <w:t>10.800.000</w:t>
            </w:r>
          </w:p>
        </w:tc>
        <w:tc>
          <w:tcPr>
            <w:tcW w:w="1848" w:type="dxa"/>
            <w:noWrap/>
            <w:vAlign w:val="center"/>
          </w:tcPr>
          <w:p w14:paraId="7ACFBD85">
            <w:pPr>
              <w:jc w:val="center"/>
              <w:rPr>
                <w:color w:val="000000"/>
                <w:sz w:val="20"/>
                <w:szCs w:val="20"/>
              </w:rPr>
            </w:pPr>
            <w:r>
              <w:rPr>
                <w:color w:val="000000"/>
                <w:sz w:val="20"/>
                <w:szCs w:val="20"/>
              </w:rPr>
              <w:t>972.000.000</w:t>
            </w:r>
          </w:p>
        </w:tc>
      </w:tr>
      <w:tr w14:paraId="0926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6B6AA96">
            <w:pPr>
              <w:jc w:val="center"/>
              <w:rPr>
                <w:b/>
                <w:bCs/>
                <w:color w:val="000000"/>
                <w:sz w:val="20"/>
                <w:szCs w:val="20"/>
              </w:rPr>
            </w:pPr>
            <w:r>
              <w:rPr>
                <w:b/>
                <w:bCs/>
                <w:color w:val="000000"/>
                <w:sz w:val="20"/>
                <w:szCs w:val="20"/>
              </w:rPr>
              <w:t>LK60</w:t>
            </w:r>
          </w:p>
        </w:tc>
        <w:tc>
          <w:tcPr>
            <w:tcW w:w="1802" w:type="dxa"/>
            <w:vAlign w:val="center"/>
          </w:tcPr>
          <w:p w14:paraId="48BAF24A">
            <w:pPr>
              <w:jc w:val="center"/>
              <w:rPr>
                <w:color w:val="000000"/>
                <w:sz w:val="20"/>
                <w:szCs w:val="20"/>
              </w:rPr>
            </w:pPr>
            <w:r>
              <w:rPr>
                <w:color w:val="000000"/>
                <w:sz w:val="20"/>
                <w:szCs w:val="20"/>
              </w:rPr>
              <w:t>LK60:01</w:t>
            </w:r>
          </w:p>
        </w:tc>
        <w:tc>
          <w:tcPr>
            <w:tcW w:w="1033" w:type="dxa"/>
            <w:noWrap/>
            <w:vAlign w:val="center"/>
          </w:tcPr>
          <w:p w14:paraId="46EDEAC2">
            <w:pPr>
              <w:jc w:val="center"/>
              <w:rPr>
                <w:color w:val="000000"/>
                <w:sz w:val="20"/>
                <w:szCs w:val="20"/>
              </w:rPr>
            </w:pPr>
            <w:r>
              <w:rPr>
                <w:color w:val="000000"/>
                <w:sz w:val="20"/>
                <w:szCs w:val="20"/>
              </w:rPr>
              <w:t>90,00</w:t>
            </w:r>
          </w:p>
        </w:tc>
        <w:tc>
          <w:tcPr>
            <w:tcW w:w="846" w:type="dxa"/>
            <w:noWrap/>
            <w:vAlign w:val="center"/>
          </w:tcPr>
          <w:p w14:paraId="3053E134">
            <w:pPr>
              <w:jc w:val="center"/>
              <w:rPr>
                <w:color w:val="000000"/>
                <w:sz w:val="20"/>
                <w:szCs w:val="20"/>
              </w:rPr>
            </w:pPr>
            <w:r>
              <w:rPr>
                <w:color w:val="000000"/>
                <w:sz w:val="20"/>
                <w:szCs w:val="20"/>
              </w:rPr>
              <w:t>1</w:t>
            </w:r>
          </w:p>
        </w:tc>
        <w:tc>
          <w:tcPr>
            <w:tcW w:w="2578" w:type="dxa"/>
            <w:noWrap/>
            <w:vAlign w:val="center"/>
          </w:tcPr>
          <w:p w14:paraId="1CF361BB">
            <w:pPr>
              <w:jc w:val="center"/>
              <w:rPr>
                <w:color w:val="000000"/>
                <w:sz w:val="20"/>
                <w:szCs w:val="20"/>
              </w:rPr>
            </w:pPr>
            <w:r>
              <w:rPr>
                <w:color w:val="000000"/>
                <w:sz w:val="20"/>
                <w:szCs w:val="20"/>
              </w:rPr>
              <w:t>Mặt cắt 3-3</w:t>
            </w:r>
          </w:p>
        </w:tc>
        <w:tc>
          <w:tcPr>
            <w:tcW w:w="2393" w:type="dxa"/>
            <w:noWrap/>
            <w:vAlign w:val="center"/>
          </w:tcPr>
          <w:p w14:paraId="3FF9149B">
            <w:pPr>
              <w:jc w:val="center"/>
              <w:rPr>
                <w:color w:val="000000"/>
                <w:sz w:val="20"/>
                <w:szCs w:val="20"/>
              </w:rPr>
            </w:pPr>
            <w:r>
              <w:rPr>
                <w:color w:val="000000"/>
                <w:sz w:val="20"/>
                <w:szCs w:val="20"/>
              </w:rPr>
              <w:t>Một mặt tiền</w:t>
            </w:r>
          </w:p>
        </w:tc>
        <w:tc>
          <w:tcPr>
            <w:tcW w:w="1198" w:type="dxa"/>
            <w:noWrap/>
            <w:vAlign w:val="center"/>
          </w:tcPr>
          <w:p w14:paraId="519857B3">
            <w:pPr>
              <w:jc w:val="center"/>
              <w:rPr>
                <w:color w:val="000000"/>
                <w:sz w:val="20"/>
                <w:szCs w:val="20"/>
              </w:rPr>
            </w:pPr>
            <w:r>
              <w:rPr>
                <w:color w:val="000000"/>
                <w:sz w:val="20"/>
                <w:szCs w:val="20"/>
              </w:rPr>
              <w:t>10.800.000</w:t>
            </w:r>
          </w:p>
        </w:tc>
        <w:tc>
          <w:tcPr>
            <w:tcW w:w="1236" w:type="dxa"/>
            <w:noWrap/>
            <w:vAlign w:val="center"/>
          </w:tcPr>
          <w:p w14:paraId="5C693C40">
            <w:pPr>
              <w:jc w:val="center"/>
              <w:rPr>
                <w:color w:val="000000"/>
                <w:sz w:val="20"/>
                <w:szCs w:val="20"/>
              </w:rPr>
            </w:pPr>
          </w:p>
        </w:tc>
        <w:tc>
          <w:tcPr>
            <w:tcW w:w="1252" w:type="dxa"/>
            <w:noWrap/>
            <w:vAlign w:val="center"/>
          </w:tcPr>
          <w:p w14:paraId="4C39555E">
            <w:pPr>
              <w:jc w:val="center"/>
              <w:rPr>
                <w:color w:val="000000"/>
                <w:sz w:val="20"/>
                <w:szCs w:val="20"/>
              </w:rPr>
            </w:pPr>
            <w:r>
              <w:rPr>
                <w:color w:val="000000"/>
                <w:sz w:val="20"/>
                <w:szCs w:val="20"/>
              </w:rPr>
              <w:t>10.800.000</w:t>
            </w:r>
          </w:p>
        </w:tc>
        <w:tc>
          <w:tcPr>
            <w:tcW w:w="1848" w:type="dxa"/>
            <w:noWrap/>
            <w:vAlign w:val="center"/>
          </w:tcPr>
          <w:p w14:paraId="4E8CC320">
            <w:pPr>
              <w:jc w:val="center"/>
              <w:rPr>
                <w:color w:val="000000"/>
                <w:sz w:val="20"/>
                <w:szCs w:val="20"/>
              </w:rPr>
            </w:pPr>
            <w:r>
              <w:rPr>
                <w:color w:val="000000"/>
                <w:sz w:val="20"/>
                <w:szCs w:val="20"/>
              </w:rPr>
              <w:t>972.000.000</w:t>
            </w:r>
          </w:p>
        </w:tc>
      </w:tr>
      <w:tr w14:paraId="1DB5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58FE6BF">
            <w:pPr>
              <w:jc w:val="center"/>
              <w:rPr>
                <w:b/>
                <w:bCs/>
                <w:color w:val="000000"/>
                <w:sz w:val="20"/>
                <w:szCs w:val="20"/>
              </w:rPr>
            </w:pPr>
            <w:r>
              <w:rPr>
                <w:b/>
                <w:bCs/>
                <w:color w:val="000000"/>
                <w:sz w:val="20"/>
                <w:szCs w:val="20"/>
              </w:rPr>
              <w:t>LK60</w:t>
            </w:r>
          </w:p>
        </w:tc>
        <w:tc>
          <w:tcPr>
            <w:tcW w:w="1802" w:type="dxa"/>
            <w:vAlign w:val="center"/>
          </w:tcPr>
          <w:p w14:paraId="1C940308">
            <w:pPr>
              <w:jc w:val="center"/>
              <w:rPr>
                <w:color w:val="000000"/>
                <w:sz w:val="20"/>
                <w:szCs w:val="20"/>
              </w:rPr>
            </w:pPr>
            <w:r>
              <w:rPr>
                <w:color w:val="000000"/>
                <w:sz w:val="20"/>
                <w:szCs w:val="20"/>
              </w:rPr>
              <w:t>LK60:02</w:t>
            </w:r>
          </w:p>
        </w:tc>
        <w:tc>
          <w:tcPr>
            <w:tcW w:w="1033" w:type="dxa"/>
            <w:noWrap/>
            <w:vAlign w:val="center"/>
          </w:tcPr>
          <w:p w14:paraId="754514FB">
            <w:pPr>
              <w:jc w:val="center"/>
              <w:rPr>
                <w:color w:val="000000"/>
                <w:sz w:val="20"/>
                <w:szCs w:val="20"/>
              </w:rPr>
            </w:pPr>
            <w:r>
              <w:rPr>
                <w:color w:val="000000"/>
                <w:sz w:val="20"/>
                <w:szCs w:val="20"/>
              </w:rPr>
              <w:t>90,00</w:t>
            </w:r>
          </w:p>
        </w:tc>
        <w:tc>
          <w:tcPr>
            <w:tcW w:w="846" w:type="dxa"/>
            <w:noWrap/>
            <w:vAlign w:val="center"/>
          </w:tcPr>
          <w:p w14:paraId="7642E188">
            <w:pPr>
              <w:jc w:val="center"/>
              <w:rPr>
                <w:color w:val="000000"/>
                <w:sz w:val="20"/>
                <w:szCs w:val="20"/>
              </w:rPr>
            </w:pPr>
            <w:r>
              <w:rPr>
                <w:color w:val="000000"/>
                <w:sz w:val="20"/>
                <w:szCs w:val="20"/>
              </w:rPr>
              <w:t>1</w:t>
            </w:r>
          </w:p>
        </w:tc>
        <w:tc>
          <w:tcPr>
            <w:tcW w:w="2578" w:type="dxa"/>
            <w:noWrap/>
            <w:vAlign w:val="center"/>
          </w:tcPr>
          <w:p w14:paraId="7ED32473">
            <w:pPr>
              <w:jc w:val="center"/>
              <w:rPr>
                <w:color w:val="000000"/>
                <w:sz w:val="20"/>
                <w:szCs w:val="20"/>
              </w:rPr>
            </w:pPr>
            <w:r>
              <w:rPr>
                <w:color w:val="000000"/>
                <w:sz w:val="20"/>
                <w:szCs w:val="20"/>
              </w:rPr>
              <w:t>Mặt cắt 3-3</w:t>
            </w:r>
          </w:p>
        </w:tc>
        <w:tc>
          <w:tcPr>
            <w:tcW w:w="2393" w:type="dxa"/>
            <w:noWrap/>
            <w:vAlign w:val="center"/>
          </w:tcPr>
          <w:p w14:paraId="052A4E56">
            <w:pPr>
              <w:jc w:val="center"/>
              <w:rPr>
                <w:color w:val="000000"/>
                <w:sz w:val="20"/>
                <w:szCs w:val="20"/>
              </w:rPr>
            </w:pPr>
            <w:r>
              <w:rPr>
                <w:color w:val="000000"/>
                <w:sz w:val="20"/>
                <w:szCs w:val="20"/>
              </w:rPr>
              <w:t>Một mặt tiền</w:t>
            </w:r>
          </w:p>
        </w:tc>
        <w:tc>
          <w:tcPr>
            <w:tcW w:w="1198" w:type="dxa"/>
            <w:noWrap/>
            <w:vAlign w:val="center"/>
          </w:tcPr>
          <w:p w14:paraId="430BE4C7">
            <w:pPr>
              <w:jc w:val="center"/>
              <w:rPr>
                <w:color w:val="000000"/>
                <w:sz w:val="20"/>
                <w:szCs w:val="20"/>
              </w:rPr>
            </w:pPr>
            <w:r>
              <w:rPr>
                <w:color w:val="000000"/>
                <w:sz w:val="20"/>
                <w:szCs w:val="20"/>
              </w:rPr>
              <w:t>10.800.000</w:t>
            </w:r>
          </w:p>
        </w:tc>
        <w:tc>
          <w:tcPr>
            <w:tcW w:w="1236" w:type="dxa"/>
            <w:noWrap/>
            <w:vAlign w:val="center"/>
          </w:tcPr>
          <w:p w14:paraId="3A546E3A">
            <w:pPr>
              <w:jc w:val="center"/>
              <w:rPr>
                <w:color w:val="000000"/>
                <w:sz w:val="20"/>
                <w:szCs w:val="20"/>
              </w:rPr>
            </w:pPr>
          </w:p>
        </w:tc>
        <w:tc>
          <w:tcPr>
            <w:tcW w:w="1252" w:type="dxa"/>
            <w:noWrap/>
            <w:vAlign w:val="center"/>
          </w:tcPr>
          <w:p w14:paraId="541568EE">
            <w:pPr>
              <w:jc w:val="center"/>
              <w:rPr>
                <w:color w:val="000000"/>
                <w:sz w:val="20"/>
                <w:szCs w:val="20"/>
              </w:rPr>
            </w:pPr>
            <w:r>
              <w:rPr>
                <w:color w:val="000000"/>
                <w:sz w:val="20"/>
                <w:szCs w:val="20"/>
              </w:rPr>
              <w:t>10.800.000</w:t>
            </w:r>
          </w:p>
        </w:tc>
        <w:tc>
          <w:tcPr>
            <w:tcW w:w="1848" w:type="dxa"/>
            <w:noWrap/>
            <w:vAlign w:val="center"/>
          </w:tcPr>
          <w:p w14:paraId="546765B3">
            <w:pPr>
              <w:jc w:val="center"/>
              <w:rPr>
                <w:color w:val="000000"/>
                <w:sz w:val="20"/>
                <w:szCs w:val="20"/>
              </w:rPr>
            </w:pPr>
            <w:r>
              <w:rPr>
                <w:color w:val="000000"/>
                <w:sz w:val="20"/>
                <w:szCs w:val="20"/>
              </w:rPr>
              <w:t>972.000.000</w:t>
            </w:r>
          </w:p>
        </w:tc>
      </w:tr>
      <w:tr w14:paraId="1C22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3F58744">
            <w:pPr>
              <w:jc w:val="center"/>
              <w:rPr>
                <w:b/>
                <w:bCs/>
                <w:color w:val="000000"/>
                <w:sz w:val="20"/>
                <w:szCs w:val="20"/>
              </w:rPr>
            </w:pPr>
            <w:r>
              <w:rPr>
                <w:b/>
                <w:bCs/>
                <w:color w:val="000000"/>
                <w:sz w:val="20"/>
                <w:szCs w:val="20"/>
              </w:rPr>
              <w:t>LK60</w:t>
            </w:r>
          </w:p>
        </w:tc>
        <w:tc>
          <w:tcPr>
            <w:tcW w:w="1802" w:type="dxa"/>
            <w:vAlign w:val="center"/>
          </w:tcPr>
          <w:p w14:paraId="0D5315D8">
            <w:pPr>
              <w:jc w:val="center"/>
              <w:rPr>
                <w:color w:val="000000"/>
                <w:sz w:val="20"/>
                <w:szCs w:val="20"/>
              </w:rPr>
            </w:pPr>
            <w:r>
              <w:rPr>
                <w:color w:val="000000"/>
                <w:sz w:val="20"/>
                <w:szCs w:val="20"/>
              </w:rPr>
              <w:t>LK60:03</w:t>
            </w:r>
          </w:p>
        </w:tc>
        <w:tc>
          <w:tcPr>
            <w:tcW w:w="1033" w:type="dxa"/>
            <w:noWrap/>
            <w:vAlign w:val="center"/>
          </w:tcPr>
          <w:p w14:paraId="4779C6A7">
            <w:pPr>
              <w:jc w:val="center"/>
              <w:rPr>
                <w:color w:val="000000"/>
                <w:sz w:val="20"/>
                <w:szCs w:val="20"/>
              </w:rPr>
            </w:pPr>
            <w:r>
              <w:rPr>
                <w:color w:val="000000"/>
                <w:sz w:val="20"/>
                <w:szCs w:val="20"/>
              </w:rPr>
              <w:t>90,00</w:t>
            </w:r>
          </w:p>
        </w:tc>
        <w:tc>
          <w:tcPr>
            <w:tcW w:w="846" w:type="dxa"/>
            <w:noWrap/>
            <w:vAlign w:val="center"/>
          </w:tcPr>
          <w:p w14:paraId="25C6BD93">
            <w:pPr>
              <w:jc w:val="center"/>
              <w:rPr>
                <w:color w:val="000000"/>
                <w:sz w:val="20"/>
                <w:szCs w:val="20"/>
              </w:rPr>
            </w:pPr>
            <w:r>
              <w:rPr>
                <w:color w:val="000000"/>
                <w:sz w:val="20"/>
                <w:szCs w:val="20"/>
              </w:rPr>
              <w:t>1</w:t>
            </w:r>
          </w:p>
        </w:tc>
        <w:tc>
          <w:tcPr>
            <w:tcW w:w="2578" w:type="dxa"/>
            <w:noWrap/>
            <w:vAlign w:val="center"/>
          </w:tcPr>
          <w:p w14:paraId="54638020">
            <w:pPr>
              <w:jc w:val="center"/>
              <w:rPr>
                <w:color w:val="000000"/>
                <w:sz w:val="20"/>
                <w:szCs w:val="20"/>
              </w:rPr>
            </w:pPr>
            <w:r>
              <w:rPr>
                <w:color w:val="000000"/>
                <w:sz w:val="20"/>
                <w:szCs w:val="20"/>
              </w:rPr>
              <w:t>Mặt cắt 3-3</w:t>
            </w:r>
          </w:p>
        </w:tc>
        <w:tc>
          <w:tcPr>
            <w:tcW w:w="2393" w:type="dxa"/>
            <w:noWrap/>
            <w:vAlign w:val="center"/>
          </w:tcPr>
          <w:p w14:paraId="08372FA8">
            <w:pPr>
              <w:jc w:val="center"/>
              <w:rPr>
                <w:color w:val="000000"/>
                <w:sz w:val="20"/>
                <w:szCs w:val="20"/>
              </w:rPr>
            </w:pPr>
            <w:r>
              <w:rPr>
                <w:color w:val="000000"/>
                <w:sz w:val="20"/>
                <w:szCs w:val="20"/>
              </w:rPr>
              <w:t>Một mặt tiền</w:t>
            </w:r>
          </w:p>
        </w:tc>
        <w:tc>
          <w:tcPr>
            <w:tcW w:w="1198" w:type="dxa"/>
            <w:noWrap/>
            <w:vAlign w:val="center"/>
          </w:tcPr>
          <w:p w14:paraId="482C0650">
            <w:pPr>
              <w:jc w:val="center"/>
              <w:rPr>
                <w:color w:val="000000"/>
                <w:sz w:val="20"/>
                <w:szCs w:val="20"/>
              </w:rPr>
            </w:pPr>
            <w:r>
              <w:rPr>
                <w:color w:val="000000"/>
                <w:sz w:val="20"/>
                <w:szCs w:val="20"/>
              </w:rPr>
              <w:t>10.800.000</w:t>
            </w:r>
          </w:p>
        </w:tc>
        <w:tc>
          <w:tcPr>
            <w:tcW w:w="1236" w:type="dxa"/>
            <w:noWrap/>
            <w:vAlign w:val="center"/>
          </w:tcPr>
          <w:p w14:paraId="5BFB1370">
            <w:pPr>
              <w:jc w:val="center"/>
              <w:rPr>
                <w:color w:val="000000"/>
                <w:sz w:val="20"/>
                <w:szCs w:val="20"/>
              </w:rPr>
            </w:pPr>
          </w:p>
        </w:tc>
        <w:tc>
          <w:tcPr>
            <w:tcW w:w="1252" w:type="dxa"/>
            <w:noWrap/>
            <w:vAlign w:val="center"/>
          </w:tcPr>
          <w:p w14:paraId="4A258A80">
            <w:pPr>
              <w:jc w:val="center"/>
              <w:rPr>
                <w:color w:val="000000"/>
                <w:sz w:val="20"/>
                <w:szCs w:val="20"/>
              </w:rPr>
            </w:pPr>
            <w:r>
              <w:rPr>
                <w:color w:val="000000"/>
                <w:sz w:val="20"/>
                <w:szCs w:val="20"/>
              </w:rPr>
              <w:t>10.800.000</w:t>
            </w:r>
          </w:p>
        </w:tc>
        <w:tc>
          <w:tcPr>
            <w:tcW w:w="1848" w:type="dxa"/>
            <w:noWrap/>
            <w:vAlign w:val="center"/>
          </w:tcPr>
          <w:p w14:paraId="1D3F3009">
            <w:pPr>
              <w:jc w:val="center"/>
              <w:rPr>
                <w:color w:val="000000"/>
                <w:sz w:val="20"/>
                <w:szCs w:val="20"/>
              </w:rPr>
            </w:pPr>
            <w:r>
              <w:rPr>
                <w:color w:val="000000"/>
                <w:sz w:val="20"/>
                <w:szCs w:val="20"/>
              </w:rPr>
              <w:t>972.000.000</w:t>
            </w:r>
          </w:p>
        </w:tc>
      </w:tr>
      <w:tr w14:paraId="1EFA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57F75DF">
            <w:pPr>
              <w:jc w:val="center"/>
              <w:rPr>
                <w:b/>
                <w:bCs/>
                <w:color w:val="000000"/>
                <w:sz w:val="20"/>
                <w:szCs w:val="20"/>
              </w:rPr>
            </w:pPr>
            <w:r>
              <w:rPr>
                <w:b/>
                <w:bCs/>
                <w:color w:val="000000"/>
                <w:sz w:val="20"/>
                <w:szCs w:val="20"/>
              </w:rPr>
              <w:t>LK60</w:t>
            </w:r>
          </w:p>
        </w:tc>
        <w:tc>
          <w:tcPr>
            <w:tcW w:w="1802" w:type="dxa"/>
            <w:vAlign w:val="center"/>
          </w:tcPr>
          <w:p w14:paraId="35D9D6B6">
            <w:pPr>
              <w:jc w:val="center"/>
              <w:rPr>
                <w:color w:val="000000"/>
                <w:sz w:val="20"/>
                <w:szCs w:val="20"/>
              </w:rPr>
            </w:pPr>
            <w:r>
              <w:rPr>
                <w:color w:val="000000"/>
                <w:sz w:val="20"/>
                <w:szCs w:val="20"/>
              </w:rPr>
              <w:t>LK60:04</w:t>
            </w:r>
          </w:p>
        </w:tc>
        <w:tc>
          <w:tcPr>
            <w:tcW w:w="1033" w:type="dxa"/>
            <w:noWrap/>
            <w:vAlign w:val="center"/>
          </w:tcPr>
          <w:p w14:paraId="010ED0C6">
            <w:pPr>
              <w:jc w:val="center"/>
              <w:rPr>
                <w:color w:val="000000"/>
                <w:sz w:val="20"/>
                <w:szCs w:val="20"/>
              </w:rPr>
            </w:pPr>
            <w:r>
              <w:rPr>
                <w:color w:val="000000"/>
                <w:sz w:val="20"/>
                <w:szCs w:val="20"/>
              </w:rPr>
              <w:t>90,00</w:t>
            </w:r>
          </w:p>
        </w:tc>
        <w:tc>
          <w:tcPr>
            <w:tcW w:w="846" w:type="dxa"/>
            <w:noWrap/>
            <w:vAlign w:val="center"/>
          </w:tcPr>
          <w:p w14:paraId="306BE870">
            <w:pPr>
              <w:jc w:val="center"/>
              <w:rPr>
                <w:color w:val="000000"/>
                <w:sz w:val="20"/>
                <w:szCs w:val="20"/>
              </w:rPr>
            </w:pPr>
            <w:r>
              <w:rPr>
                <w:color w:val="000000"/>
                <w:sz w:val="20"/>
                <w:szCs w:val="20"/>
              </w:rPr>
              <w:t>1</w:t>
            </w:r>
          </w:p>
        </w:tc>
        <w:tc>
          <w:tcPr>
            <w:tcW w:w="2578" w:type="dxa"/>
            <w:noWrap/>
            <w:vAlign w:val="center"/>
          </w:tcPr>
          <w:p w14:paraId="36C0E67C">
            <w:pPr>
              <w:jc w:val="center"/>
              <w:rPr>
                <w:color w:val="000000"/>
                <w:sz w:val="20"/>
                <w:szCs w:val="20"/>
              </w:rPr>
            </w:pPr>
            <w:r>
              <w:rPr>
                <w:color w:val="000000"/>
                <w:sz w:val="20"/>
                <w:szCs w:val="20"/>
              </w:rPr>
              <w:t>Mặt cắt 3-3</w:t>
            </w:r>
          </w:p>
        </w:tc>
        <w:tc>
          <w:tcPr>
            <w:tcW w:w="2393" w:type="dxa"/>
            <w:noWrap/>
            <w:vAlign w:val="center"/>
          </w:tcPr>
          <w:p w14:paraId="2156E134">
            <w:pPr>
              <w:jc w:val="center"/>
              <w:rPr>
                <w:color w:val="000000"/>
                <w:sz w:val="20"/>
                <w:szCs w:val="20"/>
              </w:rPr>
            </w:pPr>
            <w:r>
              <w:rPr>
                <w:color w:val="000000"/>
                <w:sz w:val="20"/>
                <w:szCs w:val="20"/>
              </w:rPr>
              <w:t>Một mặt tiền</w:t>
            </w:r>
          </w:p>
        </w:tc>
        <w:tc>
          <w:tcPr>
            <w:tcW w:w="1198" w:type="dxa"/>
            <w:noWrap/>
            <w:vAlign w:val="center"/>
          </w:tcPr>
          <w:p w14:paraId="1D0A41E3">
            <w:pPr>
              <w:jc w:val="center"/>
              <w:rPr>
                <w:color w:val="000000"/>
                <w:sz w:val="20"/>
                <w:szCs w:val="20"/>
              </w:rPr>
            </w:pPr>
            <w:r>
              <w:rPr>
                <w:color w:val="000000"/>
                <w:sz w:val="20"/>
                <w:szCs w:val="20"/>
              </w:rPr>
              <w:t>10.800.000</w:t>
            </w:r>
          </w:p>
        </w:tc>
        <w:tc>
          <w:tcPr>
            <w:tcW w:w="1236" w:type="dxa"/>
            <w:noWrap/>
            <w:vAlign w:val="center"/>
          </w:tcPr>
          <w:p w14:paraId="2D8E6B92">
            <w:pPr>
              <w:jc w:val="center"/>
              <w:rPr>
                <w:color w:val="000000"/>
                <w:sz w:val="20"/>
                <w:szCs w:val="20"/>
              </w:rPr>
            </w:pPr>
          </w:p>
        </w:tc>
        <w:tc>
          <w:tcPr>
            <w:tcW w:w="1252" w:type="dxa"/>
            <w:noWrap/>
            <w:vAlign w:val="center"/>
          </w:tcPr>
          <w:p w14:paraId="4BC18C2A">
            <w:pPr>
              <w:jc w:val="center"/>
              <w:rPr>
                <w:color w:val="000000"/>
                <w:sz w:val="20"/>
                <w:szCs w:val="20"/>
              </w:rPr>
            </w:pPr>
            <w:r>
              <w:rPr>
                <w:color w:val="000000"/>
                <w:sz w:val="20"/>
                <w:szCs w:val="20"/>
              </w:rPr>
              <w:t>10.800.000</w:t>
            </w:r>
          </w:p>
        </w:tc>
        <w:tc>
          <w:tcPr>
            <w:tcW w:w="1848" w:type="dxa"/>
            <w:noWrap/>
            <w:vAlign w:val="center"/>
          </w:tcPr>
          <w:p w14:paraId="5B2B1613">
            <w:pPr>
              <w:jc w:val="center"/>
              <w:rPr>
                <w:color w:val="000000"/>
                <w:sz w:val="20"/>
                <w:szCs w:val="20"/>
              </w:rPr>
            </w:pPr>
            <w:r>
              <w:rPr>
                <w:color w:val="000000"/>
                <w:sz w:val="20"/>
                <w:szCs w:val="20"/>
              </w:rPr>
              <w:t>972.000.000</w:t>
            </w:r>
          </w:p>
        </w:tc>
      </w:tr>
      <w:tr w14:paraId="145F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612AFE4">
            <w:pPr>
              <w:jc w:val="center"/>
              <w:rPr>
                <w:b/>
                <w:bCs/>
                <w:color w:val="000000"/>
                <w:sz w:val="20"/>
                <w:szCs w:val="20"/>
              </w:rPr>
            </w:pPr>
            <w:r>
              <w:rPr>
                <w:b/>
                <w:bCs/>
                <w:color w:val="000000"/>
                <w:sz w:val="20"/>
                <w:szCs w:val="20"/>
              </w:rPr>
              <w:t>LK60</w:t>
            </w:r>
          </w:p>
        </w:tc>
        <w:tc>
          <w:tcPr>
            <w:tcW w:w="1802" w:type="dxa"/>
            <w:vAlign w:val="center"/>
          </w:tcPr>
          <w:p w14:paraId="65F281DC">
            <w:pPr>
              <w:jc w:val="center"/>
              <w:rPr>
                <w:color w:val="000000"/>
                <w:sz w:val="20"/>
                <w:szCs w:val="20"/>
              </w:rPr>
            </w:pPr>
            <w:r>
              <w:rPr>
                <w:color w:val="000000"/>
                <w:sz w:val="20"/>
                <w:szCs w:val="20"/>
              </w:rPr>
              <w:t>LK60:05</w:t>
            </w:r>
          </w:p>
        </w:tc>
        <w:tc>
          <w:tcPr>
            <w:tcW w:w="1033" w:type="dxa"/>
            <w:noWrap/>
            <w:vAlign w:val="center"/>
          </w:tcPr>
          <w:p w14:paraId="236CD26E">
            <w:pPr>
              <w:jc w:val="center"/>
              <w:rPr>
                <w:color w:val="000000"/>
                <w:sz w:val="20"/>
                <w:szCs w:val="20"/>
              </w:rPr>
            </w:pPr>
            <w:r>
              <w:rPr>
                <w:color w:val="000000"/>
                <w:sz w:val="20"/>
                <w:szCs w:val="20"/>
              </w:rPr>
              <w:t>90,00</w:t>
            </w:r>
          </w:p>
        </w:tc>
        <w:tc>
          <w:tcPr>
            <w:tcW w:w="846" w:type="dxa"/>
            <w:noWrap/>
            <w:vAlign w:val="center"/>
          </w:tcPr>
          <w:p w14:paraId="20D182F4">
            <w:pPr>
              <w:jc w:val="center"/>
              <w:rPr>
                <w:color w:val="000000"/>
                <w:sz w:val="20"/>
                <w:szCs w:val="20"/>
              </w:rPr>
            </w:pPr>
            <w:r>
              <w:rPr>
                <w:color w:val="000000"/>
                <w:sz w:val="20"/>
                <w:szCs w:val="20"/>
              </w:rPr>
              <w:t>1</w:t>
            </w:r>
          </w:p>
        </w:tc>
        <w:tc>
          <w:tcPr>
            <w:tcW w:w="2578" w:type="dxa"/>
            <w:noWrap/>
            <w:vAlign w:val="center"/>
          </w:tcPr>
          <w:p w14:paraId="20999EF0">
            <w:pPr>
              <w:jc w:val="center"/>
              <w:rPr>
                <w:color w:val="000000"/>
                <w:sz w:val="20"/>
                <w:szCs w:val="20"/>
              </w:rPr>
            </w:pPr>
            <w:r>
              <w:rPr>
                <w:color w:val="000000"/>
                <w:sz w:val="20"/>
                <w:szCs w:val="20"/>
              </w:rPr>
              <w:t>Mặt cắt 3-3</w:t>
            </w:r>
          </w:p>
        </w:tc>
        <w:tc>
          <w:tcPr>
            <w:tcW w:w="2393" w:type="dxa"/>
            <w:noWrap/>
            <w:vAlign w:val="center"/>
          </w:tcPr>
          <w:p w14:paraId="40731DED">
            <w:pPr>
              <w:jc w:val="center"/>
              <w:rPr>
                <w:color w:val="000000"/>
                <w:sz w:val="20"/>
                <w:szCs w:val="20"/>
              </w:rPr>
            </w:pPr>
            <w:r>
              <w:rPr>
                <w:color w:val="000000"/>
                <w:sz w:val="20"/>
                <w:szCs w:val="20"/>
              </w:rPr>
              <w:t>Một mặt tiền</w:t>
            </w:r>
          </w:p>
        </w:tc>
        <w:tc>
          <w:tcPr>
            <w:tcW w:w="1198" w:type="dxa"/>
            <w:noWrap/>
            <w:vAlign w:val="center"/>
          </w:tcPr>
          <w:p w14:paraId="1B4FE48B">
            <w:pPr>
              <w:jc w:val="center"/>
              <w:rPr>
                <w:color w:val="000000"/>
                <w:sz w:val="20"/>
                <w:szCs w:val="20"/>
              </w:rPr>
            </w:pPr>
            <w:r>
              <w:rPr>
                <w:color w:val="000000"/>
                <w:sz w:val="20"/>
                <w:szCs w:val="20"/>
              </w:rPr>
              <w:t>10.800.000</w:t>
            </w:r>
          </w:p>
        </w:tc>
        <w:tc>
          <w:tcPr>
            <w:tcW w:w="1236" w:type="dxa"/>
            <w:noWrap/>
            <w:vAlign w:val="center"/>
          </w:tcPr>
          <w:p w14:paraId="62FF5AFF">
            <w:pPr>
              <w:jc w:val="center"/>
              <w:rPr>
                <w:color w:val="000000"/>
                <w:sz w:val="20"/>
                <w:szCs w:val="20"/>
              </w:rPr>
            </w:pPr>
          </w:p>
        </w:tc>
        <w:tc>
          <w:tcPr>
            <w:tcW w:w="1252" w:type="dxa"/>
            <w:noWrap/>
            <w:vAlign w:val="center"/>
          </w:tcPr>
          <w:p w14:paraId="7952D2CF">
            <w:pPr>
              <w:jc w:val="center"/>
              <w:rPr>
                <w:color w:val="000000"/>
                <w:sz w:val="20"/>
                <w:szCs w:val="20"/>
              </w:rPr>
            </w:pPr>
            <w:r>
              <w:rPr>
                <w:color w:val="000000"/>
                <w:sz w:val="20"/>
                <w:szCs w:val="20"/>
              </w:rPr>
              <w:t>10.800.000</w:t>
            </w:r>
          </w:p>
        </w:tc>
        <w:tc>
          <w:tcPr>
            <w:tcW w:w="1848" w:type="dxa"/>
            <w:noWrap/>
            <w:vAlign w:val="center"/>
          </w:tcPr>
          <w:p w14:paraId="796E37CC">
            <w:pPr>
              <w:jc w:val="center"/>
              <w:rPr>
                <w:color w:val="000000"/>
                <w:sz w:val="20"/>
                <w:szCs w:val="20"/>
              </w:rPr>
            </w:pPr>
            <w:r>
              <w:rPr>
                <w:color w:val="000000"/>
                <w:sz w:val="20"/>
                <w:szCs w:val="20"/>
              </w:rPr>
              <w:t>972.000.000</w:t>
            </w:r>
          </w:p>
        </w:tc>
      </w:tr>
      <w:tr w14:paraId="7BEF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E44A443">
            <w:pPr>
              <w:jc w:val="center"/>
              <w:rPr>
                <w:b/>
                <w:bCs/>
                <w:color w:val="000000"/>
                <w:sz w:val="20"/>
                <w:szCs w:val="20"/>
              </w:rPr>
            </w:pPr>
            <w:r>
              <w:rPr>
                <w:b/>
                <w:bCs/>
                <w:color w:val="000000"/>
                <w:sz w:val="20"/>
                <w:szCs w:val="20"/>
              </w:rPr>
              <w:t>LK60</w:t>
            </w:r>
          </w:p>
        </w:tc>
        <w:tc>
          <w:tcPr>
            <w:tcW w:w="1802" w:type="dxa"/>
            <w:vAlign w:val="center"/>
          </w:tcPr>
          <w:p w14:paraId="1A5E709D">
            <w:pPr>
              <w:jc w:val="center"/>
              <w:rPr>
                <w:color w:val="000000"/>
                <w:sz w:val="20"/>
                <w:szCs w:val="20"/>
              </w:rPr>
            </w:pPr>
            <w:r>
              <w:rPr>
                <w:color w:val="000000"/>
                <w:sz w:val="20"/>
                <w:szCs w:val="20"/>
              </w:rPr>
              <w:t>LK60:06</w:t>
            </w:r>
          </w:p>
        </w:tc>
        <w:tc>
          <w:tcPr>
            <w:tcW w:w="1033" w:type="dxa"/>
            <w:noWrap/>
            <w:vAlign w:val="center"/>
          </w:tcPr>
          <w:p w14:paraId="3412FB72">
            <w:pPr>
              <w:jc w:val="center"/>
              <w:rPr>
                <w:color w:val="000000"/>
                <w:sz w:val="20"/>
                <w:szCs w:val="20"/>
              </w:rPr>
            </w:pPr>
            <w:r>
              <w:rPr>
                <w:color w:val="000000"/>
                <w:sz w:val="20"/>
                <w:szCs w:val="20"/>
              </w:rPr>
              <w:t>90,00</w:t>
            </w:r>
          </w:p>
        </w:tc>
        <w:tc>
          <w:tcPr>
            <w:tcW w:w="846" w:type="dxa"/>
            <w:noWrap/>
            <w:vAlign w:val="center"/>
          </w:tcPr>
          <w:p w14:paraId="57451808">
            <w:pPr>
              <w:jc w:val="center"/>
              <w:rPr>
                <w:color w:val="000000"/>
                <w:sz w:val="20"/>
                <w:szCs w:val="20"/>
              </w:rPr>
            </w:pPr>
            <w:r>
              <w:rPr>
                <w:color w:val="000000"/>
                <w:sz w:val="20"/>
                <w:szCs w:val="20"/>
              </w:rPr>
              <w:t>1</w:t>
            </w:r>
          </w:p>
        </w:tc>
        <w:tc>
          <w:tcPr>
            <w:tcW w:w="2578" w:type="dxa"/>
            <w:noWrap/>
            <w:vAlign w:val="center"/>
          </w:tcPr>
          <w:p w14:paraId="10B7E006">
            <w:pPr>
              <w:jc w:val="center"/>
              <w:rPr>
                <w:color w:val="000000"/>
                <w:sz w:val="20"/>
                <w:szCs w:val="20"/>
              </w:rPr>
            </w:pPr>
            <w:r>
              <w:rPr>
                <w:color w:val="000000"/>
                <w:sz w:val="20"/>
                <w:szCs w:val="20"/>
              </w:rPr>
              <w:t>Mặt cắt 3-3</w:t>
            </w:r>
          </w:p>
        </w:tc>
        <w:tc>
          <w:tcPr>
            <w:tcW w:w="2393" w:type="dxa"/>
            <w:noWrap/>
            <w:vAlign w:val="center"/>
          </w:tcPr>
          <w:p w14:paraId="7919F5FB">
            <w:pPr>
              <w:jc w:val="center"/>
              <w:rPr>
                <w:color w:val="000000"/>
                <w:sz w:val="20"/>
                <w:szCs w:val="20"/>
              </w:rPr>
            </w:pPr>
            <w:r>
              <w:rPr>
                <w:color w:val="000000"/>
                <w:sz w:val="20"/>
                <w:szCs w:val="20"/>
              </w:rPr>
              <w:t>Một mặt tiền</w:t>
            </w:r>
          </w:p>
        </w:tc>
        <w:tc>
          <w:tcPr>
            <w:tcW w:w="1198" w:type="dxa"/>
            <w:noWrap/>
            <w:vAlign w:val="center"/>
          </w:tcPr>
          <w:p w14:paraId="73FE9A0A">
            <w:pPr>
              <w:jc w:val="center"/>
              <w:rPr>
                <w:color w:val="000000"/>
                <w:sz w:val="20"/>
                <w:szCs w:val="20"/>
              </w:rPr>
            </w:pPr>
            <w:r>
              <w:rPr>
                <w:color w:val="000000"/>
                <w:sz w:val="20"/>
                <w:szCs w:val="20"/>
              </w:rPr>
              <w:t>10.800.000</w:t>
            </w:r>
          </w:p>
        </w:tc>
        <w:tc>
          <w:tcPr>
            <w:tcW w:w="1236" w:type="dxa"/>
            <w:noWrap/>
            <w:vAlign w:val="center"/>
          </w:tcPr>
          <w:p w14:paraId="09685537">
            <w:pPr>
              <w:jc w:val="center"/>
              <w:rPr>
                <w:color w:val="000000"/>
                <w:sz w:val="20"/>
                <w:szCs w:val="20"/>
              </w:rPr>
            </w:pPr>
          </w:p>
        </w:tc>
        <w:tc>
          <w:tcPr>
            <w:tcW w:w="1252" w:type="dxa"/>
            <w:noWrap/>
            <w:vAlign w:val="center"/>
          </w:tcPr>
          <w:p w14:paraId="0299E1E5">
            <w:pPr>
              <w:jc w:val="center"/>
              <w:rPr>
                <w:color w:val="000000"/>
                <w:sz w:val="20"/>
                <w:szCs w:val="20"/>
              </w:rPr>
            </w:pPr>
            <w:r>
              <w:rPr>
                <w:color w:val="000000"/>
                <w:sz w:val="20"/>
                <w:szCs w:val="20"/>
              </w:rPr>
              <w:t>10.800.000</w:t>
            </w:r>
          </w:p>
        </w:tc>
        <w:tc>
          <w:tcPr>
            <w:tcW w:w="1848" w:type="dxa"/>
            <w:noWrap/>
            <w:vAlign w:val="center"/>
          </w:tcPr>
          <w:p w14:paraId="647BC988">
            <w:pPr>
              <w:jc w:val="center"/>
              <w:rPr>
                <w:color w:val="000000"/>
                <w:sz w:val="20"/>
                <w:szCs w:val="20"/>
              </w:rPr>
            </w:pPr>
            <w:r>
              <w:rPr>
                <w:color w:val="000000"/>
                <w:sz w:val="20"/>
                <w:szCs w:val="20"/>
              </w:rPr>
              <w:t>972.000.000</w:t>
            </w:r>
          </w:p>
        </w:tc>
      </w:tr>
      <w:tr w14:paraId="3AF3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97160A9">
            <w:pPr>
              <w:jc w:val="center"/>
              <w:rPr>
                <w:b/>
                <w:bCs/>
                <w:color w:val="000000"/>
                <w:sz w:val="20"/>
                <w:szCs w:val="20"/>
              </w:rPr>
            </w:pPr>
            <w:r>
              <w:rPr>
                <w:b/>
                <w:bCs/>
                <w:color w:val="000000"/>
                <w:sz w:val="20"/>
                <w:szCs w:val="20"/>
              </w:rPr>
              <w:t>LK60</w:t>
            </w:r>
          </w:p>
        </w:tc>
        <w:tc>
          <w:tcPr>
            <w:tcW w:w="1802" w:type="dxa"/>
            <w:vAlign w:val="center"/>
          </w:tcPr>
          <w:p w14:paraId="7D95F999">
            <w:pPr>
              <w:jc w:val="center"/>
              <w:rPr>
                <w:color w:val="000000"/>
                <w:sz w:val="20"/>
                <w:szCs w:val="20"/>
              </w:rPr>
            </w:pPr>
            <w:r>
              <w:rPr>
                <w:color w:val="000000"/>
                <w:sz w:val="20"/>
                <w:szCs w:val="20"/>
              </w:rPr>
              <w:t>LK60:07</w:t>
            </w:r>
          </w:p>
        </w:tc>
        <w:tc>
          <w:tcPr>
            <w:tcW w:w="1033" w:type="dxa"/>
            <w:noWrap/>
            <w:vAlign w:val="center"/>
          </w:tcPr>
          <w:p w14:paraId="7D956A59">
            <w:pPr>
              <w:jc w:val="center"/>
              <w:rPr>
                <w:color w:val="000000"/>
                <w:sz w:val="20"/>
                <w:szCs w:val="20"/>
              </w:rPr>
            </w:pPr>
            <w:r>
              <w:rPr>
                <w:color w:val="000000"/>
                <w:sz w:val="20"/>
                <w:szCs w:val="20"/>
              </w:rPr>
              <w:t>90,00</w:t>
            </w:r>
          </w:p>
        </w:tc>
        <w:tc>
          <w:tcPr>
            <w:tcW w:w="846" w:type="dxa"/>
            <w:noWrap/>
            <w:vAlign w:val="center"/>
          </w:tcPr>
          <w:p w14:paraId="681DDDA1">
            <w:pPr>
              <w:jc w:val="center"/>
              <w:rPr>
                <w:color w:val="000000"/>
                <w:sz w:val="20"/>
                <w:szCs w:val="20"/>
              </w:rPr>
            </w:pPr>
            <w:r>
              <w:rPr>
                <w:color w:val="000000"/>
                <w:sz w:val="20"/>
                <w:szCs w:val="20"/>
              </w:rPr>
              <w:t>1</w:t>
            </w:r>
          </w:p>
        </w:tc>
        <w:tc>
          <w:tcPr>
            <w:tcW w:w="2578" w:type="dxa"/>
            <w:noWrap/>
            <w:vAlign w:val="center"/>
          </w:tcPr>
          <w:p w14:paraId="5CCC48B9">
            <w:pPr>
              <w:jc w:val="center"/>
              <w:rPr>
                <w:color w:val="000000"/>
                <w:sz w:val="20"/>
                <w:szCs w:val="20"/>
              </w:rPr>
            </w:pPr>
            <w:r>
              <w:rPr>
                <w:color w:val="000000"/>
                <w:sz w:val="20"/>
                <w:szCs w:val="20"/>
              </w:rPr>
              <w:t>Mặt cắt 3-3</w:t>
            </w:r>
          </w:p>
        </w:tc>
        <w:tc>
          <w:tcPr>
            <w:tcW w:w="2393" w:type="dxa"/>
            <w:noWrap/>
            <w:vAlign w:val="center"/>
          </w:tcPr>
          <w:p w14:paraId="240EB5E1">
            <w:pPr>
              <w:jc w:val="center"/>
              <w:rPr>
                <w:color w:val="000000"/>
                <w:sz w:val="20"/>
                <w:szCs w:val="20"/>
              </w:rPr>
            </w:pPr>
            <w:r>
              <w:rPr>
                <w:color w:val="000000"/>
                <w:sz w:val="20"/>
                <w:szCs w:val="20"/>
              </w:rPr>
              <w:t>Một mặt tiền</w:t>
            </w:r>
          </w:p>
        </w:tc>
        <w:tc>
          <w:tcPr>
            <w:tcW w:w="1198" w:type="dxa"/>
            <w:noWrap/>
            <w:vAlign w:val="center"/>
          </w:tcPr>
          <w:p w14:paraId="636435F4">
            <w:pPr>
              <w:jc w:val="center"/>
              <w:rPr>
                <w:color w:val="000000"/>
                <w:sz w:val="20"/>
                <w:szCs w:val="20"/>
              </w:rPr>
            </w:pPr>
            <w:r>
              <w:rPr>
                <w:color w:val="000000"/>
                <w:sz w:val="20"/>
                <w:szCs w:val="20"/>
              </w:rPr>
              <w:t>10.800.000</w:t>
            </w:r>
          </w:p>
        </w:tc>
        <w:tc>
          <w:tcPr>
            <w:tcW w:w="1236" w:type="dxa"/>
            <w:noWrap/>
            <w:vAlign w:val="center"/>
          </w:tcPr>
          <w:p w14:paraId="1676BAD8">
            <w:pPr>
              <w:jc w:val="center"/>
              <w:rPr>
                <w:color w:val="000000"/>
                <w:sz w:val="20"/>
                <w:szCs w:val="20"/>
              </w:rPr>
            </w:pPr>
          </w:p>
        </w:tc>
        <w:tc>
          <w:tcPr>
            <w:tcW w:w="1252" w:type="dxa"/>
            <w:noWrap/>
            <w:vAlign w:val="center"/>
          </w:tcPr>
          <w:p w14:paraId="63EAA4D7">
            <w:pPr>
              <w:jc w:val="center"/>
              <w:rPr>
                <w:color w:val="000000"/>
                <w:sz w:val="20"/>
                <w:szCs w:val="20"/>
              </w:rPr>
            </w:pPr>
            <w:r>
              <w:rPr>
                <w:color w:val="000000"/>
                <w:sz w:val="20"/>
                <w:szCs w:val="20"/>
              </w:rPr>
              <w:t>10.800.000</w:t>
            </w:r>
          </w:p>
        </w:tc>
        <w:tc>
          <w:tcPr>
            <w:tcW w:w="1848" w:type="dxa"/>
            <w:noWrap/>
            <w:vAlign w:val="center"/>
          </w:tcPr>
          <w:p w14:paraId="3BC2CB09">
            <w:pPr>
              <w:jc w:val="center"/>
              <w:rPr>
                <w:color w:val="000000"/>
                <w:sz w:val="20"/>
                <w:szCs w:val="20"/>
              </w:rPr>
            </w:pPr>
            <w:r>
              <w:rPr>
                <w:color w:val="000000"/>
                <w:sz w:val="20"/>
                <w:szCs w:val="20"/>
              </w:rPr>
              <w:t>972.000.000</w:t>
            </w:r>
          </w:p>
        </w:tc>
      </w:tr>
      <w:tr w14:paraId="7DD6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9E141C3">
            <w:pPr>
              <w:jc w:val="center"/>
              <w:rPr>
                <w:b/>
                <w:bCs/>
                <w:color w:val="000000"/>
                <w:sz w:val="20"/>
                <w:szCs w:val="20"/>
              </w:rPr>
            </w:pPr>
            <w:r>
              <w:rPr>
                <w:b/>
                <w:bCs/>
                <w:color w:val="000000"/>
                <w:sz w:val="20"/>
                <w:szCs w:val="20"/>
              </w:rPr>
              <w:t>LK60</w:t>
            </w:r>
          </w:p>
        </w:tc>
        <w:tc>
          <w:tcPr>
            <w:tcW w:w="1802" w:type="dxa"/>
            <w:vAlign w:val="center"/>
          </w:tcPr>
          <w:p w14:paraId="11A49DB3">
            <w:pPr>
              <w:jc w:val="center"/>
              <w:rPr>
                <w:color w:val="000000"/>
                <w:sz w:val="20"/>
                <w:szCs w:val="20"/>
              </w:rPr>
            </w:pPr>
            <w:r>
              <w:rPr>
                <w:color w:val="000000"/>
                <w:sz w:val="20"/>
                <w:szCs w:val="20"/>
              </w:rPr>
              <w:t>LK60:08</w:t>
            </w:r>
          </w:p>
        </w:tc>
        <w:tc>
          <w:tcPr>
            <w:tcW w:w="1033" w:type="dxa"/>
            <w:noWrap/>
            <w:vAlign w:val="center"/>
          </w:tcPr>
          <w:p w14:paraId="734296EB">
            <w:pPr>
              <w:jc w:val="center"/>
              <w:rPr>
                <w:color w:val="000000"/>
                <w:sz w:val="20"/>
                <w:szCs w:val="20"/>
              </w:rPr>
            </w:pPr>
            <w:r>
              <w:rPr>
                <w:color w:val="000000"/>
                <w:sz w:val="20"/>
                <w:szCs w:val="20"/>
              </w:rPr>
              <w:t>90,00</w:t>
            </w:r>
          </w:p>
        </w:tc>
        <w:tc>
          <w:tcPr>
            <w:tcW w:w="846" w:type="dxa"/>
            <w:noWrap/>
            <w:vAlign w:val="center"/>
          </w:tcPr>
          <w:p w14:paraId="5CA4ACBB">
            <w:pPr>
              <w:jc w:val="center"/>
              <w:rPr>
                <w:color w:val="000000"/>
                <w:sz w:val="20"/>
                <w:szCs w:val="20"/>
              </w:rPr>
            </w:pPr>
            <w:r>
              <w:rPr>
                <w:color w:val="000000"/>
                <w:sz w:val="20"/>
                <w:szCs w:val="20"/>
              </w:rPr>
              <w:t>1</w:t>
            </w:r>
          </w:p>
        </w:tc>
        <w:tc>
          <w:tcPr>
            <w:tcW w:w="2578" w:type="dxa"/>
            <w:noWrap/>
            <w:vAlign w:val="center"/>
          </w:tcPr>
          <w:p w14:paraId="34836969">
            <w:pPr>
              <w:jc w:val="center"/>
              <w:rPr>
                <w:color w:val="000000"/>
                <w:sz w:val="20"/>
                <w:szCs w:val="20"/>
              </w:rPr>
            </w:pPr>
            <w:r>
              <w:rPr>
                <w:color w:val="000000"/>
                <w:sz w:val="20"/>
                <w:szCs w:val="20"/>
              </w:rPr>
              <w:t>Mặt cắt 3-3</w:t>
            </w:r>
          </w:p>
        </w:tc>
        <w:tc>
          <w:tcPr>
            <w:tcW w:w="2393" w:type="dxa"/>
            <w:noWrap/>
            <w:vAlign w:val="center"/>
          </w:tcPr>
          <w:p w14:paraId="306FB511">
            <w:pPr>
              <w:jc w:val="center"/>
              <w:rPr>
                <w:color w:val="000000"/>
                <w:sz w:val="20"/>
                <w:szCs w:val="20"/>
              </w:rPr>
            </w:pPr>
            <w:r>
              <w:rPr>
                <w:color w:val="000000"/>
                <w:sz w:val="20"/>
                <w:szCs w:val="20"/>
              </w:rPr>
              <w:t>Một mặt tiền</w:t>
            </w:r>
          </w:p>
        </w:tc>
        <w:tc>
          <w:tcPr>
            <w:tcW w:w="1198" w:type="dxa"/>
            <w:noWrap/>
            <w:vAlign w:val="center"/>
          </w:tcPr>
          <w:p w14:paraId="4882116F">
            <w:pPr>
              <w:jc w:val="center"/>
              <w:rPr>
                <w:color w:val="000000"/>
                <w:sz w:val="20"/>
                <w:szCs w:val="20"/>
              </w:rPr>
            </w:pPr>
            <w:r>
              <w:rPr>
                <w:color w:val="000000"/>
                <w:sz w:val="20"/>
                <w:szCs w:val="20"/>
              </w:rPr>
              <w:t>10.800.000</w:t>
            </w:r>
          </w:p>
        </w:tc>
        <w:tc>
          <w:tcPr>
            <w:tcW w:w="1236" w:type="dxa"/>
            <w:noWrap/>
            <w:vAlign w:val="center"/>
          </w:tcPr>
          <w:p w14:paraId="40E3BB5F">
            <w:pPr>
              <w:jc w:val="center"/>
              <w:rPr>
                <w:color w:val="000000"/>
                <w:sz w:val="20"/>
                <w:szCs w:val="20"/>
              </w:rPr>
            </w:pPr>
          </w:p>
        </w:tc>
        <w:tc>
          <w:tcPr>
            <w:tcW w:w="1252" w:type="dxa"/>
            <w:noWrap/>
            <w:vAlign w:val="center"/>
          </w:tcPr>
          <w:p w14:paraId="7B980280">
            <w:pPr>
              <w:jc w:val="center"/>
              <w:rPr>
                <w:color w:val="000000"/>
                <w:sz w:val="20"/>
                <w:szCs w:val="20"/>
              </w:rPr>
            </w:pPr>
            <w:r>
              <w:rPr>
                <w:color w:val="000000"/>
                <w:sz w:val="20"/>
                <w:szCs w:val="20"/>
              </w:rPr>
              <w:t>10.800.000</w:t>
            </w:r>
          </w:p>
        </w:tc>
        <w:tc>
          <w:tcPr>
            <w:tcW w:w="1848" w:type="dxa"/>
            <w:noWrap/>
            <w:vAlign w:val="center"/>
          </w:tcPr>
          <w:p w14:paraId="11A4E449">
            <w:pPr>
              <w:jc w:val="center"/>
              <w:rPr>
                <w:color w:val="000000"/>
                <w:sz w:val="20"/>
                <w:szCs w:val="20"/>
              </w:rPr>
            </w:pPr>
            <w:r>
              <w:rPr>
                <w:color w:val="000000"/>
                <w:sz w:val="20"/>
                <w:szCs w:val="20"/>
              </w:rPr>
              <w:t>972.000.000</w:t>
            </w:r>
          </w:p>
        </w:tc>
      </w:tr>
      <w:tr w14:paraId="292F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82DBEA8">
            <w:pPr>
              <w:jc w:val="center"/>
              <w:rPr>
                <w:b/>
                <w:bCs/>
                <w:color w:val="000000"/>
                <w:sz w:val="20"/>
                <w:szCs w:val="20"/>
              </w:rPr>
            </w:pPr>
            <w:r>
              <w:rPr>
                <w:b/>
                <w:bCs/>
                <w:color w:val="000000"/>
                <w:sz w:val="20"/>
                <w:szCs w:val="20"/>
              </w:rPr>
              <w:t>LK61</w:t>
            </w:r>
          </w:p>
        </w:tc>
        <w:tc>
          <w:tcPr>
            <w:tcW w:w="1802" w:type="dxa"/>
            <w:vAlign w:val="center"/>
          </w:tcPr>
          <w:p w14:paraId="7DF7EB4D">
            <w:pPr>
              <w:jc w:val="center"/>
              <w:rPr>
                <w:color w:val="000000"/>
                <w:sz w:val="20"/>
                <w:szCs w:val="20"/>
              </w:rPr>
            </w:pPr>
            <w:r>
              <w:rPr>
                <w:color w:val="000000"/>
                <w:sz w:val="20"/>
                <w:szCs w:val="20"/>
              </w:rPr>
              <w:t>LK61:02</w:t>
            </w:r>
          </w:p>
        </w:tc>
        <w:tc>
          <w:tcPr>
            <w:tcW w:w="1033" w:type="dxa"/>
            <w:noWrap/>
            <w:vAlign w:val="center"/>
          </w:tcPr>
          <w:p w14:paraId="2B0AD2A0">
            <w:pPr>
              <w:jc w:val="center"/>
              <w:rPr>
                <w:color w:val="000000"/>
                <w:sz w:val="20"/>
                <w:szCs w:val="20"/>
              </w:rPr>
            </w:pPr>
            <w:r>
              <w:rPr>
                <w:color w:val="000000"/>
                <w:sz w:val="20"/>
                <w:szCs w:val="20"/>
              </w:rPr>
              <w:t>90,00</w:t>
            </w:r>
          </w:p>
        </w:tc>
        <w:tc>
          <w:tcPr>
            <w:tcW w:w="846" w:type="dxa"/>
            <w:noWrap/>
            <w:vAlign w:val="center"/>
          </w:tcPr>
          <w:p w14:paraId="593EFC18">
            <w:pPr>
              <w:jc w:val="center"/>
              <w:rPr>
                <w:color w:val="000000"/>
                <w:sz w:val="20"/>
                <w:szCs w:val="20"/>
              </w:rPr>
            </w:pPr>
            <w:r>
              <w:rPr>
                <w:color w:val="000000"/>
                <w:sz w:val="20"/>
                <w:szCs w:val="20"/>
              </w:rPr>
              <w:t>1</w:t>
            </w:r>
          </w:p>
        </w:tc>
        <w:tc>
          <w:tcPr>
            <w:tcW w:w="2578" w:type="dxa"/>
            <w:noWrap/>
            <w:vAlign w:val="center"/>
          </w:tcPr>
          <w:p w14:paraId="605A18DB">
            <w:pPr>
              <w:jc w:val="center"/>
              <w:rPr>
                <w:color w:val="000000"/>
                <w:sz w:val="20"/>
                <w:szCs w:val="20"/>
              </w:rPr>
            </w:pPr>
            <w:r>
              <w:rPr>
                <w:color w:val="000000"/>
                <w:sz w:val="20"/>
                <w:szCs w:val="20"/>
              </w:rPr>
              <w:t>Mặt cắt 3-3</w:t>
            </w:r>
          </w:p>
        </w:tc>
        <w:tc>
          <w:tcPr>
            <w:tcW w:w="2393" w:type="dxa"/>
            <w:noWrap/>
            <w:vAlign w:val="center"/>
          </w:tcPr>
          <w:p w14:paraId="7B787839">
            <w:pPr>
              <w:jc w:val="center"/>
              <w:rPr>
                <w:color w:val="000000"/>
                <w:sz w:val="20"/>
                <w:szCs w:val="20"/>
              </w:rPr>
            </w:pPr>
            <w:r>
              <w:rPr>
                <w:color w:val="000000"/>
                <w:sz w:val="20"/>
                <w:szCs w:val="20"/>
              </w:rPr>
              <w:t>Một mặt tiền</w:t>
            </w:r>
          </w:p>
        </w:tc>
        <w:tc>
          <w:tcPr>
            <w:tcW w:w="1198" w:type="dxa"/>
            <w:noWrap/>
            <w:vAlign w:val="center"/>
          </w:tcPr>
          <w:p w14:paraId="57A92DC6">
            <w:pPr>
              <w:jc w:val="center"/>
              <w:rPr>
                <w:color w:val="000000"/>
                <w:sz w:val="20"/>
                <w:szCs w:val="20"/>
              </w:rPr>
            </w:pPr>
            <w:r>
              <w:rPr>
                <w:color w:val="000000"/>
                <w:sz w:val="20"/>
                <w:szCs w:val="20"/>
              </w:rPr>
              <w:t>10.800.000</w:t>
            </w:r>
          </w:p>
        </w:tc>
        <w:tc>
          <w:tcPr>
            <w:tcW w:w="1236" w:type="dxa"/>
            <w:noWrap/>
            <w:vAlign w:val="center"/>
          </w:tcPr>
          <w:p w14:paraId="104DE391">
            <w:pPr>
              <w:jc w:val="center"/>
              <w:rPr>
                <w:color w:val="000000"/>
                <w:sz w:val="20"/>
                <w:szCs w:val="20"/>
              </w:rPr>
            </w:pPr>
          </w:p>
        </w:tc>
        <w:tc>
          <w:tcPr>
            <w:tcW w:w="1252" w:type="dxa"/>
            <w:noWrap/>
            <w:vAlign w:val="center"/>
          </w:tcPr>
          <w:p w14:paraId="171FF4F7">
            <w:pPr>
              <w:jc w:val="center"/>
              <w:rPr>
                <w:color w:val="000000"/>
                <w:sz w:val="20"/>
                <w:szCs w:val="20"/>
              </w:rPr>
            </w:pPr>
            <w:r>
              <w:rPr>
                <w:color w:val="000000"/>
                <w:sz w:val="20"/>
                <w:szCs w:val="20"/>
              </w:rPr>
              <w:t>10.800.000</w:t>
            </w:r>
          </w:p>
        </w:tc>
        <w:tc>
          <w:tcPr>
            <w:tcW w:w="1848" w:type="dxa"/>
            <w:noWrap/>
            <w:vAlign w:val="center"/>
          </w:tcPr>
          <w:p w14:paraId="40055F8D">
            <w:pPr>
              <w:jc w:val="center"/>
              <w:rPr>
                <w:color w:val="000000"/>
                <w:sz w:val="20"/>
                <w:szCs w:val="20"/>
              </w:rPr>
            </w:pPr>
            <w:r>
              <w:rPr>
                <w:color w:val="000000"/>
                <w:sz w:val="20"/>
                <w:szCs w:val="20"/>
              </w:rPr>
              <w:t>972.000.000</w:t>
            </w:r>
          </w:p>
        </w:tc>
      </w:tr>
      <w:tr w14:paraId="2C27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FDE4826">
            <w:pPr>
              <w:jc w:val="center"/>
              <w:rPr>
                <w:b/>
                <w:bCs/>
                <w:color w:val="000000"/>
                <w:sz w:val="20"/>
                <w:szCs w:val="20"/>
              </w:rPr>
            </w:pPr>
            <w:r>
              <w:rPr>
                <w:b/>
                <w:bCs/>
                <w:color w:val="000000"/>
                <w:sz w:val="20"/>
                <w:szCs w:val="20"/>
              </w:rPr>
              <w:t>LK61</w:t>
            </w:r>
          </w:p>
        </w:tc>
        <w:tc>
          <w:tcPr>
            <w:tcW w:w="1802" w:type="dxa"/>
            <w:vAlign w:val="center"/>
          </w:tcPr>
          <w:p w14:paraId="2D829766">
            <w:pPr>
              <w:jc w:val="center"/>
              <w:rPr>
                <w:color w:val="000000"/>
                <w:sz w:val="20"/>
                <w:szCs w:val="20"/>
              </w:rPr>
            </w:pPr>
            <w:r>
              <w:rPr>
                <w:color w:val="000000"/>
                <w:sz w:val="20"/>
                <w:szCs w:val="20"/>
              </w:rPr>
              <w:t>LK61:03</w:t>
            </w:r>
          </w:p>
        </w:tc>
        <w:tc>
          <w:tcPr>
            <w:tcW w:w="1033" w:type="dxa"/>
            <w:noWrap/>
            <w:vAlign w:val="center"/>
          </w:tcPr>
          <w:p w14:paraId="05F6E35F">
            <w:pPr>
              <w:jc w:val="center"/>
              <w:rPr>
                <w:color w:val="000000"/>
                <w:sz w:val="20"/>
                <w:szCs w:val="20"/>
              </w:rPr>
            </w:pPr>
            <w:r>
              <w:rPr>
                <w:color w:val="000000"/>
                <w:sz w:val="20"/>
                <w:szCs w:val="20"/>
              </w:rPr>
              <w:t>90,00</w:t>
            </w:r>
          </w:p>
        </w:tc>
        <w:tc>
          <w:tcPr>
            <w:tcW w:w="846" w:type="dxa"/>
            <w:noWrap/>
            <w:vAlign w:val="center"/>
          </w:tcPr>
          <w:p w14:paraId="6B7D79A4">
            <w:pPr>
              <w:jc w:val="center"/>
              <w:rPr>
                <w:color w:val="000000"/>
                <w:sz w:val="20"/>
                <w:szCs w:val="20"/>
              </w:rPr>
            </w:pPr>
            <w:r>
              <w:rPr>
                <w:color w:val="000000"/>
                <w:sz w:val="20"/>
                <w:szCs w:val="20"/>
              </w:rPr>
              <w:t>1</w:t>
            </w:r>
          </w:p>
        </w:tc>
        <w:tc>
          <w:tcPr>
            <w:tcW w:w="2578" w:type="dxa"/>
            <w:noWrap/>
            <w:vAlign w:val="center"/>
          </w:tcPr>
          <w:p w14:paraId="47B08961">
            <w:pPr>
              <w:jc w:val="center"/>
              <w:rPr>
                <w:color w:val="000000"/>
                <w:sz w:val="20"/>
                <w:szCs w:val="20"/>
              </w:rPr>
            </w:pPr>
            <w:r>
              <w:rPr>
                <w:color w:val="000000"/>
                <w:sz w:val="20"/>
                <w:szCs w:val="20"/>
              </w:rPr>
              <w:t>Mặt cắt 3-3</w:t>
            </w:r>
          </w:p>
        </w:tc>
        <w:tc>
          <w:tcPr>
            <w:tcW w:w="2393" w:type="dxa"/>
            <w:noWrap/>
            <w:vAlign w:val="center"/>
          </w:tcPr>
          <w:p w14:paraId="5A93315E">
            <w:pPr>
              <w:jc w:val="center"/>
              <w:rPr>
                <w:color w:val="000000"/>
                <w:sz w:val="20"/>
                <w:szCs w:val="20"/>
              </w:rPr>
            </w:pPr>
            <w:r>
              <w:rPr>
                <w:color w:val="000000"/>
                <w:sz w:val="20"/>
                <w:szCs w:val="20"/>
              </w:rPr>
              <w:t>Một mặt tiền</w:t>
            </w:r>
          </w:p>
        </w:tc>
        <w:tc>
          <w:tcPr>
            <w:tcW w:w="1198" w:type="dxa"/>
            <w:noWrap/>
            <w:vAlign w:val="center"/>
          </w:tcPr>
          <w:p w14:paraId="5BD9C8E6">
            <w:pPr>
              <w:jc w:val="center"/>
              <w:rPr>
                <w:color w:val="000000"/>
                <w:sz w:val="20"/>
                <w:szCs w:val="20"/>
              </w:rPr>
            </w:pPr>
            <w:r>
              <w:rPr>
                <w:color w:val="000000"/>
                <w:sz w:val="20"/>
                <w:szCs w:val="20"/>
              </w:rPr>
              <w:t>10.800.000</w:t>
            </w:r>
          </w:p>
        </w:tc>
        <w:tc>
          <w:tcPr>
            <w:tcW w:w="1236" w:type="dxa"/>
            <w:noWrap/>
            <w:vAlign w:val="center"/>
          </w:tcPr>
          <w:p w14:paraId="4CFD1305">
            <w:pPr>
              <w:jc w:val="center"/>
              <w:rPr>
                <w:color w:val="000000"/>
                <w:sz w:val="20"/>
                <w:szCs w:val="20"/>
              </w:rPr>
            </w:pPr>
          </w:p>
        </w:tc>
        <w:tc>
          <w:tcPr>
            <w:tcW w:w="1252" w:type="dxa"/>
            <w:noWrap/>
            <w:vAlign w:val="center"/>
          </w:tcPr>
          <w:p w14:paraId="23CF7D23">
            <w:pPr>
              <w:jc w:val="center"/>
              <w:rPr>
                <w:color w:val="000000"/>
                <w:sz w:val="20"/>
                <w:szCs w:val="20"/>
              </w:rPr>
            </w:pPr>
            <w:r>
              <w:rPr>
                <w:color w:val="000000"/>
                <w:sz w:val="20"/>
                <w:szCs w:val="20"/>
              </w:rPr>
              <w:t>10.800.000</w:t>
            </w:r>
          </w:p>
        </w:tc>
        <w:tc>
          <w:tcPr>
            <w:tcW w:w="1848" w:type="dxa"/>
            <w:noWrap/>
            <w:vAlign w:val="center"/>
          </w:tcPr>
          <w:p w14:paraId="6A0064C7">
            <w:pPr>
              <w:jc w:val="center"/>
              <w:rPr>
                <w:color w:val="000000"/>
                <w:sz w:val="20"/>
                <w:szCs w:val="20"/>
              </w:rPr>
            </w:pPr>
            <w:r>
              <w:rPr>
                <w:color w:val="000000"/>
                <w:sz w:val="20"/>
                <w:szCs w:val="20"/>
              </w:rPr>
              <w:t>972.000.000</w:t>
            </w:r>
          </w:p>
        </w:tc>
      </w:tr>
      <w:tr w14:paraId="1956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5334559">
            <w:pPr>
              <w:jc w:val="center"/>
              <w:rPr>
                <w:b/>
                <w:bCs/>
                <w:color w:val="000000"/>
                <w:sz w:val="20"/>
                <w:szCs w:val="20"/>
              </w:rPr>
            </w:pPr>
            <w:r>
              <w:rPr>
                <w:b/>
                <w:bCs/>
                <w:color w:val="000000"/>
                <w:sz w:val="20"/>
                <w:szCs w:val="20"/>
              </w:rPr>
              <w:t>LK61</w:t>
            </w:r>
          </w:p>
        </w:tc>
        <w:tc>
          <w:tcPr>
            <w:tcW w:w="1802" w:type="dxa"/>
            <w:vAlign w:val="center"/>
          </w:tcPr>
          <w:p w14:paraId="4AF86583">
            <w:pPr>
              <w:jc w:val="center"/>
              <w:rPr>
                <w:color w:val="000000"/>
                <w:sz w:val="20"/>
                <w:szCs w:val="20"/>
              </w:rPr>
            </w:pPr>
            <w:r>
              <w:rPr>
                <w:color w:val="000000"/>
                <w:sz w:val="20"/>
                <w:szCs w:val="20"/>
              </w:rPr>
              <w:t>LK61:04</w:t>
            </w:r>
          </w:p>
        </w:tc>
        <w:tc>
          <w:tcPr>
            <w:tcW w:w="1033" w:type="dxa"/>
            <w:noWrap/>
            <w:vAlign w:val="center"/>
          </w:tcPr>
          <w:p w14:paraId="365B27EF">
            <w:pPr>
              <w:jc w:val="center"/>
              <w:rPr>
                <w:color w:val="000000"/>
                <w:sz w:val="20"/>
                <w:szCs w:val="20"/>
              </w:rPr>
            </w:pPr>
            <w:r>
              <w:rPr>
                <w:color w:val="000000"/>
                <w:sz w:val="20"/>
                <w:szCs w:val="20"/>
              </w:rPr>
              <w:t>90,00</w:t>
            </w:r>
          </w:p>
        </w:tc>
        <w:tc>
          <w:tcPr>
            <w:tcW w:w="846" w:type="dxa"/>
            <w:noWrap/>
            <w:vAlign w:val="center"/>
          </w:tcPr>
          <w:p w14:paraId="6217D164">
            <w:pPr>
              <w:jc w:val="center"/>
              <w:rPr>
                <w:color w:val="000000"/>
                <w:sz w:val="20"/>
                <w:szCs w:val="20"/>
              </w:rPr>
            </w:pPr>
            <w:r>
              <w:rPr>
                <w:color w:val="000000"/>
                <w:sz w:val="20"/>
                <w:szCs w:val="20"/>
              </w:rPr>
              <w:t>1</w:t>
            </w:r>
          </w:p>
        </w:tc>
        <w:tc>
          <w:tcPr>
            <w:tcW w:w="2578" w:type="dxa"/>
            <w:noWrap/>
            <w:vAlign w:val="center"/>
          </w:tcPr>
          <w:p w14:paraId="46C8D3CD">
            <w:pPr>
              <w:jc w:val="center"/>
              <w:rPr>
                <w:color w:val="000000"/>
                <w:sz w:val="20"/>
                <w:szCs w:val="20"/>
              </w:rPr>
            </w:pPr>
            <w:r>
              <w:rPr>
                <w:color w:val="000000"/>
                <w:sz w:val="20"/>
                <w:szCs w:val="20"/>
              </w:rPr>
              <w:t>Mặt cắt 3-3</w:t>
            </w:r>
          </w:p>
        </w:tc>
        <w:tc>
          <w:tcPr>
            <w:tcW w:w="2393" w:type="dxa"/>
            <w:noWrap/>
            <w:vAlign w:val="center"/>
          </w:tcPr>
          <w:p w14:paraId="21723D96">
            <w:pPr>
              <w:jc w:val="center"/>
              <w:rPr>
                <w:color w:val="000000"/>
                <w:sz w:val="20"/>
                <w:szCs w:val="20"/>
              </w:rPr>
            </w:pPr>
            <w:r>
              <w:rPr>
                <w:color w:val="000000"/>
                <w:sz w:val="20"/>
                <w:szCs w:val="20"/>
              </w:rPr>
              <w:t>Một mặt tiền</w:t>
            </w:r>
          </w:p>
        </w:tc>
        <w:tc>
          <w:tcPr>
            <w:tcW w:w="1198" w:type="dxa"/>
            <w:noWrap/>
            <w:vAlign w:val="center"/>
          </w:tcPr>
          <w:p w14:paraId="36B15C5D">
            <w:pPr>
              <w:jc w:val="center"/>
              <w:rPr>
                <w:color w:val="000000"/>
                <w:sz w:val="20"/>
                <w:szCs w:val="20"/>
              </w:rPr>
            </w:pPr>
            <w:r>
              <w:rPr>
                <w:color w:val="000000"/>
                <w:sz w:val="20"/>
                <w:szCs w:val="20"/>
              </w:rPr>
              <w:t>10.800.000</w:t>
            </w:r>
          </w:p>
        </w:tc>
        <w:tc>
          <w:tcPr>
            <w:tcW w:w="1236" w:type="dxa"/>
            <w:noWrap/>
            <w:vAlign w:val="center"/>
          </w:tcPr>
          <w:p w14:paraId="4D313074">
            <w:pPr>
              <w:jc w:val="center"/>
              <w:rPr>
                <w:color w:val="000000"/>
                <w:sz w:val="20"/>
                <w:szCs w:val="20"/>
              </w:rPr>
            </w:pPr>
          </w:p>
        </w:tc>
        <w:tc>
          <w:tcPr>
            <w:tcW w:w="1252" w:type="dxa"/>
            <w:noWrap/>
            <w:vAlign w:val="center"/>
          </w:tcPr>
          <w:p w14:paraId="731CB5B8">
            <w:pPr>
              <w:jc w:val="center"/>
              <w:rPr>
                <w:color w:val="000000"/>
                <w:sz w:val="20"/>
                <w:szCs w:val="20"/>
              </w:rPr>
            </w:pPr>
            <w:r>
              <w:rPr>
                <w:color w:val="000000"/>
                <w:sz w:val="20"/>
                <w:szCs w:val="20"/>
              </w:rPr>
              <w:t>10.800.000</w:t>
            </w:r>
          </w:p>
        </w:tc>
        <w:tc>
          <w:tcPr>
            <w:tcW w:w="1848" w:type="dxa"/>
            <w:noWrap/>
            <w:vAlign w:val="center"/>
          </w:tcPr>
          <w:p w14:paraId="2F743D0B">
            <w:pPr>
              <w:jc w:val="center"/>
              <w:rPr>
                <w:color w:val="000000"/>
                <w:sz w:val="20"/>
                <w:szCs w:val="20"/>
              </w:rPr>
            </w:pPr>
            <w:r>
              <w:rPr>
                <w:color w:val="000000"/>
                <w:sz w:val="20"/>
                <w:szCs w:val="20"/>
              </w:rPr>
              <w:t>972.000.000</w:t>
            </w:r>
          </w:p>
        </w:tc>
      </w:tr>
      <w:tr w14:paraId="36CB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CBA69DD">
            <w:pPr>
              <w:jc w:val="center"/>
              <w:rPr>
                <w:b/>
                <w:bCs/>
                <w:color w:val="000000"/>
                <w:sz w:val="20"/>
                <w:szCs w:val="20"/>
              </w:rPr>
            </w:pPr>
            <w:r>
              <w:rPr>
                <w:b/>
                <w:bCs/>
                <w:color w:val="000000"/>
                <w:sz w:val="20"/>
                <w:szCs w:val="20"/>
              </w:rPr>
              <w:t>LK61</w:t>
            </w:r>
          </w:p>
        </w:tc>
        <w:tc>
          <w:tcPr>
            <w:tcW w:w="1802" w:type="dxa"/>
            <w:vAlign w:val="center"/>
          </w:tcPr>
          <w:p w14:paraId="067C1197">
            <w:pPr>
              <w:jc w:val="center"/>
              <w:rPr>
                <w:color w:val="000000"/>
                <w:sz w:val="20"/>
                <w:szCs w:val="20"/>
              </w:rPr>
            </w:pPr>
            <w:r>
              <w:rPr>
                <w:color w:val="000000"/>
                <w:sz w:val="20"/>
                <w:szCs w:val="20"/>
              </w:rPr>
              <w:t>LK61:05</w:t>
            </w:r>
          </w:p>
        </w:tc>
        <w:tc>
          <w:tcPr>
            <w:tcW w:w="1033" w:type="dxa"/>
            <w:noWrap/>
            <w:vAlign w:val="center"/>
          </w:tcPr>
          <w:p w14:paraId="60BB7A36">
            <w:pPr>
              <w:jc w:val="center"/>
              <w:rPr>
                <w:color w:val="000000"/>
                <w:sz w:val="20"/>
                <w:szCs w:val="20"/>
              </w:rPr>
            </w:pPr>
            <w:r>
              <w:rPr>
                <w:color w:val="000000"/>
                <w:sz w:val="20"/>
                <w:szCs w:val="20"/>
              </w:rPr>
              <w:t>90,00</w:t>
            </w:r>
          </w:p>
        </w:tc>
        <w:tc>
          <w:tcPr>
            <w:tcW w:w="846" w:type="dxa"/>
            <w:noWrap/>
            <w:vAlign w:val="center"/>
          </w:tcPr>
          <w:p w14:paraId="134C57D7">
            <w:pPr>
              <w:jc w:val="center"/>
              <w:rPr>
                <w:color w:val="000000"/>
                <w:sz w:val="20"/>
                <w:szCs w:val="20"/>
              </w:rPr>
            </w:pPr>
            <w:r>
              <w:rPr>
                <w:color w:val="000000"/>
                <w:sz w:val="20"/>
                <w:szCs w:val="20"/>
              </w:rPr>
              <w:t>1</w:t>
            </w:r>
          </w:p>
        </w:tc>
        <w:tc>
          <w:tcPr>
            <w:tcW w:w="2578" w:type="dxa"/>
            <w:noWrap/>
            <w:vAlign w:val="center"/>
          </w:tcPr>
          <w:p w14:paraId="72D28DFF">
            <w:pPr>
              <w:jc w:val="center"/>
              <w:rPr>
                <w:color w:val="000000"/>
                <w:sz w:val="20"/>
                <w:szCs w:val="20"/>
              </w:rPr>
            </w:pPr>
            <w:r>
              <w:rPr>
                <w:color w:val="000000"/>
                <w:sz w:val="20"/>
                <w:szCs w:val="20"/>
              </w:rPr>
              <w:t>Mặt cắt 3-3</w:t>
            </w:r>
          </w:p>
        </w:tc>
        <w:tc>
          <w:tcPr>
            <w:tcW w:w="2393" w:type="dxa"/>
            <w:noWrap/>
            <w:vAlign w:val="center"/>
          </w:tcPr>
          <w:p w14:paraId="129E6700">
            <w:pPr>
              <w:jc w:val="center"/>
              <w:rPr>
                <w:color w:val="000000"/>
                <w:sz w:val="20"/>
                <w:szCs w:val="20"/>
              </w:rPr>
            </w:pPr>
            <w:r>
              <w:rPr>
                <w:color w:val="000000"/>
                <w:sz w:val="20"/>
                <w:szCs w:val="20"/>
              </w:rPr>
              <w:t>Một mặt tiền</w:t>
            </w:r>
          </w:p>
        </w:tc>
        <w:tc>
          <w:tcPr>
            <w:tcW w:w="1198" w:type="dxa"/>
            <w:noWrap/>
            <w:vAlign w:val="center"/>
          </w:tcPr>
          <w:p w14:paraId="61E22C1C">
            <w:pPr>
              <w:jc w:val="center"/>
              <w:rPr>
                <w:color w:val="000000"/>
                <w:sz w:val="20"/>
                <w:szCs w:val="20"/>
              </w:rPr>
            </w:pPr>
            <w:r>
              <w:rPr>
                <w:color w:val="000000"/>
                <w:sz w:val="20"/>
                <w:szCs w:val="20"/>
              </w:rPr>
              <w:t>10.800.000</w:t>
            </w:r>
          </w:p>
        </w:tc>
        <w:tc>
          <w:tcPr>
            <w:tcW w:w="1236" w:type="dxa"/>
            <w:noWrap/>
            <w:vAlign w:val="center"/>
          </w:tcPr>
          <w:p w14:paraId="3CC32875">
            <w:pPr>
              <w:jc w:val="center"/>
              <w:rPr>
                <w:color w:val="000000"/>
                <w:sz w:val="20"/>
                <w:szCs w:val="20"/>
              </w:rPr>
            </w:pPr>
          </w:p>
        </w:tc>
        <w:tc>
          <w:tcPr>
            <w:tcW w:w="1252" w:type="dxa"/>
            <w:noWrap/>
            <w:vAlign w:val="center"/>
          </w:tcPr>
          <w:p w14:paraId="25F3D4C4">
            <w:pPr>
              <w:jc w:val="center"/>
              <w:rPr>
                <w:color w:val="000000"/>
                <w:sz w:val="20"/>
                <w:szCs w:val="20"/>
              </w:rPr>
            </w:pPr>
            <w:r>
              <w:rPr>
                <w:color w:val="000000"/>
                <w:sz w:val="20"/>
                <w:szCs w:val="20"/>
              </w:rPr>
              <w:t>10.800.000</w:t>
            </w:r>
          </w:p>
        </w:tc>
        <w:tc>
          <w:tcPr>
            <w:tcW w:w="1848" w:type="dxa"/>
            <w:noWrap/>
            <w:vAlign w:val="center"/>
          </w:tcPr>
          <w:p w14:paraId="163628E4">
            <w:pPr>
              <w:jc w:val="center"/>
              <w:rPr>
                <w:color w:val="000000"/>
                <w:sz w:val="20"/>
                <w:szCs w:val="20"/>
              </w:rPr>
            </w:pPr>
            <w:r>
              <w:rPr>
                <w:color w:val="000000"/>
                <w:sz w:val="20"/>
                <w:szCs w:val="20"/>
              </w:rPr>
              <w:t>972.000.000</w:t>
            </w:r>
          </w:p>
        </w:tc>
      </w:tr>
      <w:tr w14:paraId="1CB4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3B354EC">
            <w:pPr>
              <w:jc w:val="center"/>
              <w:rPr>
                <w:b/>
                <w:bCs/>
                <w:color w:val="000000"/>
                <w:sz w:val="20"/>
                <w:szCs w:val="20"/>
              </w:rPr>
            </w:pPr>
            <w:r>
              <w:rPr>
                <w:b/>
                <w:bCs/>
                <w:color w:val="000000"/>
                <w:sz w:val="20"/>
                <w:szCs w:val="20"/>
              </w:rPr>
              <w:t>LK61</w:t>
            </w:r>
          </w:p>
        </w:tc>
        <w:tc>
          <w:tcPr>
            <w:tcW w:w="1802" w:type="dxa"/>
            <w:vAlign w:val="center"/>
          </w:tcPr>
          <w:p w14:paraId="01CDBE46">
            <w:pPr>
              <w:jc w:val="center"/>
              <w:rPr>
                <w:color w:val="000000"/>
                <w:sz w:val="20"/>
                <w:szCs w:val="20"/>
              </w:rPr>
            </w:pPr>
            <w:r>
              <w:rPr>
                <w:color w:val="000000"/>
                <w:sz w:val="20"/>
                <w:szCs w:val="20"/>
              </w:rPr>
              <w:t>LK61:06</w:t>
            </w:r>
          </w:p>
        </w:tc>
        <w:tc>
          <w:tcPr>
            <w:tcW w:w="1033" w:type="dxa"/>
            <w:noWrap/>
            <w:vAlign w:val="center"/>
          </w:tcPr>
          <w:p w14:paraId="4D09436B">
            <w:pPr>
              <w:jc w:val="center"/>
              <w:rPr>
                <w:color w:val="000000"/>
                <w:sz w:val="20"/>
                <w:szCs w:val="20"/>
              </w:rPr>
            </w:pPr>
            <w:r>
              <w:rPr>
                <w:color w:val="000000"/>
                <w:sz w:val="20"/>
                <w:szCs w:val="20"/>
              </w:rPr>
              <w:t>90,00</w:t>
            </w:r>
          </w:p>
        </w:tc>
        <w:tc>
          <w:tcPr>
            <w:tcW w:w="846" w:type="dxa"/>
            <w:noWrap/>
            <w:vAlign w:val="center"/>
          </w:tcPr>
          <w:p w14:paraId="776C3E5B">
            <w:pPr>
              <w:jc w:val="center"/>
              <w:rPr>
                <w:color w:val="000000"/>
                <w:sz w:val="20"/>
                <w:szCs w:val="20"/>
              </w:rPr>
            </w:pPr>
            <w:r>
              <w:rPr>
                <w:color w:val="000000"/>
                <w:sz w:val="20"/>
                <w:szCs w:val="20"/>
              </w:rPr>
              <w:t>1</w:t>
            </w:r>
          </w:p>
        </w:tc>
        <w:tc>
          <w:tcPr>
            <w:tcW w:w="2578" w:type="dxa"/>
            <w:noWrap/>
            <w:vAlign w:val="center"/>
          </w:tcPr>
          <w:p w14:paraId="0EA11BC7">
            <w:pPr>
              <w:jc w:val="center"/>
              <w:rPr>
                <w:color w:val="000000"/>
                <w:sz w:val="20"/>
                <w:szCs w:val="20"/>
              </w:rPr>
            </w:pPr>
            <w:r>
              <w:rPr>
                <w:color w:val="000000"/>
                <w:sz w:val="20"/>
                <w:szCs w:val="20"/>
              </w:rPr>
              <w:t>Mặt cắt 3-3</w:t>
            </w:r>
          </w:p>
        </w:tc>
        <w:tc>
          <w:tcPr>
            <w:tcW w:w="2393" w:type="dxa"/>
            <w:noWrap/>
            <w:vAlign w:val="center"/>
          </w:tcPr>
          <w:p w14:paraId="55B3585D">
            <w:pPr>
              <w:jc w:val="center"/>
              <w:rPr>
                <w:color w:val="000000"/>
                <w:sz w:val="20"/>
                <w:szCs w:val="20"/>
              </w:rPr>
            </w:pPr>
            <w:r>
              <w:rPr>
                <w:color w:val="000000"/>
                <w:sz w:val="20"/>
                <w:szCs w:val="20"/>
              </w:rPr>
              <w:t>Một mặt tiền</w:t>
            </w:r>
          </w:p>
        </w:tc>
        <w:tc>
          <w:tcPr>
            <w:tcW w:w="1198" w:type="dxa"/>
            <w:noWrap/>
            <w:vAlign w:val="center"/>
          </w:tcPr>
          <w:p w14:paraId="5C51D507">
            <w:pPr>
              <w:jc w:val="center"/>
              <w:rPr>
                <w:color w:val="000000"/>
                <w:sz w:val="20"/>
                <w:szCs w:val="20"/>
              </w:rPr>
            </w:pPr>
            <w:r>
              <w:rPr>
                <w:color w:val="000000"/>
                <w:sz w:val="20"/>
                <w:szCs w:val="20"/>
              </w:rPr>
              <w:t>10.800.000</w:t>
            </w:r>
          </w:p>
        </w:tc>
        <w:tc>
          <w:tcPr>
            <w:tcW w:w="1236" w:type="dxa"/>
            <w:noWrap/>
            <w:vAlign w:val="center"/>
          </w:tcPr>
          <w:p w14:paraId="4A66674D">
            <w:pPr>
              <w:jc w:val="center"/>
              <w:rPr>
                <w:color w:val="000000"/>
                <w:sz w:val="20"/>
                <w:szCs w:val="20"/>
              </w:rPr>
            </w:pPr>
          </w:p>
        </w:tc>
        <w:tc>
          <w:tcPr>
            <w:tcW w:w="1252" w:type="dxa"/>
            <w:noWrap/>
            <w:vAlign w:val="center"/>
          </w:tcPr>
          <w:p w14:paraId="5595D52E">
            <w:pPr>
              <w:jc w:val="center"/>
              <w:rPr>
                <w:color w:val="000000"/>
                <w:sz w:val="20"/>
                <w:szCs w:val="20"/>
              </w:rPr>
            </w:pPr>
            <w:r>
              <w:rPr>
                <w:color w:val="000000"/>
                <w:sz w:val="20"/>
                <w:szCs w:val="20"/>
              </w:rPr>
              <w:t>10.800.000</w:t>
            </w:r>
          </w:p>
        </w:tc>
        <w:tc>
          <w:tcPr>
            <w:tcW w:w="1848" w:type="dxa"/>
            <w:noWrap/>
            <w:vAlign w:val="center"/>
          </w:tcPr>
          <w:p w14:paraId="7020283D">
            <w:pPr>
              <w:jc w:val="center"/>
              <w:rPr>
                <w:color w:val="000000"/>
                <w:sz w:val="20"/>
                <w:szCs w:val="20"/>
              </w:rPr>
            </w:pPr>
            <w:r>
              <w:rPr>
                <w:color w:val="000000"/>
                <w:sz w:val="20"/>
                <w:szCs w:val="20"/>
              </w:rPr>
              <w:t>972.000.000</w:t>
            </w:r>
          </w:p>
        </w:tc>
      </w:tr>
      <w:tr w14:paraId="7D7F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973670C">
            <w:pPr>
              <w:jc w:val="center"/>
              <w:rPr>
                <w:b/>
                <w:bCs/>
                <w:color w:val="000000"/>
                <w:sz w:val="20"/>
                <w:szCs w:val="20"/>
              </w:rPr>
            </w:pPr>
            <w:r>
              <w:rPr>
                <w:b/>
                <w:bCs/>
                <w:color w:val="000000"/>
                <w:sz w:val="20"/>
                <w:szCs w:val="20"/>
              </w:rPr>
              <w:t>LK61</w:t>
            </w:r>
          </w:p>
        </w:tc>
        <w:tc>
          <w:tcPr>
            <w:tcW w:w="1802" w:type="dxa"/>
            <w:vAlign w:val="center"/>
          </w:tcPr>
          <w:p w14:paraId="3B45189E">
            <w:pPr>
              <w:jc w:val="center"/>
              <w:rPr>
                <w:color w:val="000000"/>
                <w:sz w:val="20"/>
                <w:szCs w:val="20"/>
              </w:rPr>
            </w:pPr>
            <w:r>
              <w:rPr>
                <w:color w:val="000000"/>
                <w:sz w:val="20"/>
                <w:szCs w:val="20"/>
              </w:rPr>
              <w:t>LK61:07</w:t>
            </w:r>
          </w:p>
        </w:tc>
        <w:tc>
          <w:tcPr>
            <w:tcW w:w="1033" w:type="dxa"/>
            <w:noWrap/>
            <w:vAlign w:val="center"/>
          </w:tcPr>
          <w:p w14:paraId="64CE3665">
            <w:pPr>
              <w:jc w:val="center"/>
              <w:rPr>
                <w:color w:val="000000"/>
                <w:sz w:val="20"/>
                <w:szCs w:val="20"/>
              </w:rPr>
            </w:pPr>
            <w:r>
              <w:rPr>
                <w:color w:val="000000"/>
                <w:sz w:val="20"/>
                <w:szCs w:val="20"/>
              </w:rPr>
              <w:t>90,00</w:t>
            </w:r>
          </w:p>
        </w:tc>
        <w:tc>
          <w:tcPr>
            <w:tcW w:w="846" w:type="dxa"/>
            <w:noWrap/>
            <w:vAlign w:val="center"/>
          </w:tcPr>
          <w:p w14:paraId="5609A817">
            <w:pPr>
              <w:jc w:val="center"/>
              <w:rPr>
                <w:color w:val="000000"/>
                <w:sz w:val="20"/>
                <w:szCs w:val="20"/>
              </w:rPr>
            </w:pPr>
            <w:r>
              <w:rPr>
                <w:color w:val="000000"/>
                <w:sz w:val="20"/>
                <w:szCs w:val="20"/>
              </w:rPr>
              <w:t>1</w:t>
            </w:r>
          </w:p>
        </w:tc>
        <w:tc>
          <w:tcPr>
            <w:tcW w:w="2578" w:type="dxa"/>
            <w:noWrap/>
            <w:vAlign w:val="center"/>
          </w:tcPr>
          <w:p w14:paraId="4B826DAB">
            <w:pPr>
              <w:jc w:val="center"/>
              <w:rPr>
                <w:color w:val="000000"/>
                <w:sz w:val="20"/>
                <w:szCs w:val="20"/>
              </w:rPr>
            </w:pPr>
            <w:r>
              <w:rPr>
                <w:color w:val="000000"/>
                <w:sz w:val="20"/>
                <w:szCs w:val="20"/>
              </w:rPr>
              <w:t>Mặt cắt 3-3</w:t>
            </w:r>
          </w:p>
        </w:tc>
        <w:tc>
          <w:tcPr>
            <w:tcW w:w="2393" w:type="dxa"/>
            <w:noWrap/>
            <w:vAlign w:val="center"/>
          </w:tcPr>
          <w:p w14:paraId="65B627DD">
            <w:pPr>
              <w:jc w:val="center"/>
              <w:rPr>
                <w:color w:val="000000"/>
                <w:sz w:val="20"/>
                <w:szCs w:val="20"/>
              </w:rPr>
            </w:pPr>
            <w:r>
              <w:rPr>
                <w:color w:val="000000"/>
                <w:sz w:val="20"/>
                <w:szCs w:val="20"/>
              </w:rPr>
              <w:t>Một mặt tiền</w:t>
            </w:r>
          </w:p>
        </w:tc>
        <w:tc>
          <w:tcPr>
            <w:tcW w:w="1198" w:type="dxa"/>
            <w:noWrap/>
            <w:vAlign w:val="center"/>
          </w:tcPr>
          <w:p w14:paraId="182434F6">
            <w:pPr>
              <w:jc w:val="center"/>
              <w:rPr>
                <w:color w:val="000000"/>
                <w:sz w:val="20"/>
                <w:szCs w:val="20"/>
              </w:rPr>
            </w:pPr>
            <w:r>
              <w:rPr>
                <w:color w:val="000000"/>
                <w:sz w:val="20"/>
                <w:szCs w:val="20"/>
              </w:rPr>
              <w:t>10.800.000</w:t>
            </w:r>
          </w:p>
        </w:tc>
        <w:tc>
          <w:tcPr>
            <w:tcW w:w="1236" w:type="dxa"/>
            <w:noWrap/>
            <w:vAlign w:val="center"/>
          </w:tcPr>
          <w:p w14:paraId="40107585">
            <w:pPr>
              <w:jc w:val="center"/>
              <w:rPr>
                <w:color w:val="000000"/>
                <w:sz w:val="20"/>
                <w:szCs w:val="20"/>
              </w:rPr>
            </w:pPr>
          </w:p>
        </w:tc>
        <w:tc>
          <w:tcPr>
            <w:tcW w:w="1252" w:type="dxa"/>
            <w:noWrap/>
            <w:vAlign w:val="center"/>
          </w:tcPr>
          <w:p w14:paraId="527932FA">
            <w:pPr>
              <w:jc w:val="center"/>
              <w:rPr>
                <w:color w:val="000000"/>
                <w:sz w:val="20"/>
                <w:szCs w:val="20"/>
              </w:rPr>
            </w:pPr>
            <w:r>
              <w:rPr>
                <w:color w:val="000000"/>
                <w:sz w:val="20"/>
                <w:szCs w:val="20"/>
              </w:rPr>
              <w:t>10.800.000</w:t>
            </w:r>
          </w:p>
        </w:tc>
        <w:tc>
          <w:tcPr>
            <w:tcW w:w="1848" w:type="dxa"/>
            <w:noWrap/>
            <w:vAlign w:val="center"/>
          </w:tcPr>
          <w:p w14:paraId="0EA57B7D">
            <w:pPr>
              <w:jc w:val="center"/>
              <w:rPr>
                <w:color w:val="000000"/>
                <w:sz w:val="20"/>
                <w:szCs w:val="20"/>
              </w:rPr>
            </w:pPr>
            <w:r>
              <w:rPr>
                <w:color w:val="000000"/>
                <w:sz w:val="20"/>
                <w:szCs w:val="20"/>
              </w:rPr>
              <w:t>972.000.000</w:t>
            </w:r>
          </w:p>
        </w:tc>
      </w:tr>
      <w:tr w14:paraId="6DEA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F6E2D5E">
            <w:pPr>
              <w:jc w:val="center"/>
              <w:rPr>
                <w:b/>
                <w:bCs/>
                <w:color w:val="000000"/>
                <w:sz w:val="20"/>
                <w:szCs w:val="20"/>
              </w:rPr>
            </w:pPr>
            <w:r>
              <w:rPr>
                <w:b/>
                <w:bCs/>
                <w:color w:val="000000"/>
                <w:sz w:val="20"/>
                <w:szCs w:val="20"/>
              </w:rPr>
              <w:t>LK61</w:t>
            </w:r>
          </w:p>
        </w:tc>
        <w:tc>
          <w:tcPr>
            <w:tcW w:w="1802" w:type="dxa"/>
            <w:vAlign w:val="center"/>
          </w:tcPr>
          <w:p w14:paraId="10CF1B22">
            <w:pPr>
              <w:jc w:val="center"/>
              <w:rPr>
                <w:color w:val="000000"/>
                <w:sz w:val="20"/>
                <w:szCs w:val="20"/>
              </w:rPr>
            </w:pPr>
            <w:r>
              <w:rPr>
                <w:color w:val="000000"/>
                <w:sz w:val="20"/>
                <w:szCs w:val="20"/>
              </w:rPr>
              <w:t>LK61:08</w:t>
            </w:r>
          </w:p>
        </w:tc>
        <w:tc>
          <w:tcPr>
            <w:tcW w:w="1033" w:type="dxa"/>
            <w:noWrap/>
            <w:vAlign w:val="center"/>
          </w:tcPr>
          <w:p w14:paraId="7450B2BA">
            <w:pPr>
              <w:jc w:val="center"/>
              <w:rPr>
                <w:color w:val="000000"/>
                <w:sz w:val="20"/>
                <w:szCs w:val="20"/>
              </w:rPr>
            </w:pPr>
            <w:r>
              <w:rPr>
                <w:color w:val="000000"/>
                <w:sz w:val="20"/>
                <w:szCs w:val="20"/>
              </w:rPr>
              <w:t>90,00</w:t>
            </w:r>
          </w:p>
        </w:tc>
        <w:tc>
          <w:tcPr>
            <w:tcW w:w="846" w:type="dxa"/>
            <w:noWrap/>
            <w:vAlign w:val="center"/>
          </w:tcPr>
          <w:p w14:paraId="56E57F6E">
            <w:pPr>
              <w:jc w:val="center"/>
              <w:rPr>
                <w:color w:val="000000"/>
                <w:sz w:val="20"/>
                <w:szCs w:val="20"/>
              </w:rPr>
            </w:pPr>
            <w:r>
              <w:rPr>
                <w:color w:val="000000"/>
                <w:sz w:val="20"/>
                <w:szCs w:val="20"/>
              </w:rPr>
              <w:t>1</w:t>
            </w:r>
          </w:p>
        </w:tc>
        <w:tc>
          <w:tcPr>
            <w:tcW w:w="2578" w:type="dxa"/>
            <w:noWrap/>
            <w:vAlign w:val="center"/>
          </w:tcPr>
          <w:p w14:paraId="3D569486">
            <w:pPr>
              <w:jc w:val="center"/>
              <w:rPr>
                <w:color w:val="000000"/>
                <w:sz w:val="20"/>
                <w:szCs w:val="20"/>
              </w:rPr>
            </w:pPr>
            <w:r>
              <w:rPr>
                <w:color w:val="000000"/>
                <w:sz w:val="20"/>
                <w:szCs w:val="20"/>
              </w:rPr>
              <w:t>Mặt cắt 3-3</w:t>
            </w:r>
          </w:p>
        </w:tc>
        <w:tc>
          <w:tcPr>
            <w:tcW w:w="2393" w:type="dxa"/>
            <w:noWrap/>
            <w:vAlign w:val="center"/>
          </w:tcPr>
          <w:p w14:paraId="3D8CB24B">
            <w:pPr>
              <w:jc w:val="center"/>
              <w:rPr>
                <w:color w:val="000000"/>
                <w:sz w:val="20"/>
                <w:szCs w:val="20"/>
              </w:rPr>
            </w:pPr>
            <w:r>
              <w:rPr>
                <w:color w:val="000000"/>
                <w:sz w:val="20"/>
                <w:szCs w:val="20"/>
              </w:rPr>
              <w:t>Một mặt tiền</w:t>
            </w:r>
          </w:p>
        </w:tc>
        <w:tc>
          <w:tcPr>
            <w:tcW w:w="1198" w:type="dxa"/>
            <w:noWrap/>
            <w:vAlign w:val="center"/>
          </w:tcPr>
          <w:p w14:paraId="59A0CA60">
            <w:pPr>
              <w:jc w:val="center"/>
              <w:rPr>
                <w:color w:val="000000"/>
                <w:sz w:val="20"/>
                <w:szCs w:val="20"/>
              </w:rPr>
            </w:pPr>
            <w:r>
              <w:rPr>
                <w:color w:val="000000"/>
                <w:sz w:val="20"/>
                <w:szCs w:val="20"/>
              </w:rPr>
              <w:t>10.800.000</w:t>
            </w:r>
          </w:p>
        </w:tc>
        <w:tc>
          <w:tcPr>
            <w:tcW w:w="1236" w:type="dxa"/>
            <w:noWrap/>
            <w:vAlign w:val="center"/>
          </w:tcPr>
          <w:p w14:paraId="0880AAA2">
            <w:pPr>
              <w:jc w:val="center"/>
              <w:rPr>
                <w:color w:val="000000"/>
                <w:sz w:val="20"/>
                <w:szCs w:val="20"/>
              </w:rPr>
            </w:pPr>
          </w:p>
        </w:tc>
        <w:tc>
          <w:tcPr>
            <w:tcW w:w="1252" w:type="dxa"/>
            <w:noWrap/>
            <w:vAlign w:val="center"/>
          </w:tcPr>
          <w:p w14:paraId="4B1EAF97">
            <w:pPr>
              <w:jc w:val="center"/>
              <w:rPr>
                <w:color w:val="000000"/>
                <w:sz w:val="20"/>
                <w:szCs w:val="20"/>
              </w:rPr>
            </w:pPr>
            <w:r>
              <w:rPr>
                <w:color w:val="000000"/>
                <w:sz w:val="20"/>
                <w:szCs w:val="20"/>
              </w:rPr>
              <w:t>10.800.000</w:t>
            </w:r>
          </w:p>
        </w:tc>
        <w:tc>
          <w:tcPr>
            <w:tcW w:w="1848" w:type="dxa"/>
            <w:noWrap/>
            <w:vAlign w:val="center"/>
          </w:tcPr>
          <w:p w14:paraId="73430A2C">
            <w:pPr>
              <w:jc w:val="center"/>
              <w:rPr>
                <w:color w:val="000000"/>
                <w:sz w:val="20"/>
                <w:szCs w:val="20"/>
              </w:rPr>
            </w:pPr>
            <w:r>
              <w:rPr>
                <w:color w:val="000000"/>
                <w:sz w:val="20"/>
                <w:szCs w:val="20"/>
              </w:rPr>
              <w:t>972.000.000</w:t>
            </w:r>
          </w:p>
        </w:tc>
      </w:tr>
      <w:tr w14:paraId="5C04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97746D8">
            <w:pPr>
              <w:jc w:val="center"/>
              <w:rPr>
                <w:b/>
                <w:bCs/>
                <w:color w:val="000000"/>
                <w:sz w:val="20"/>
                <w:szCs w:val="20"/>
              </w:rPr>
            </w:pPr>
            <w:r>
              <w:rPr>
                <w:b/>
                <w:bCs/>
                <w:color w:val="000000"/>
                <w:sz w:val="20"/>
                <w:szCs w:val="20"/>
              </w:rPr>
              <w:t>LK62</w:t>
            </w:r>
          </w:p>
        </w:tc>
        <w:tc>
          <w:tcPr>
            <w:tcW w:w="1802" w:type="dxa"/>
            <w:vAlign w:val="center"/>
          </w:tcPr>
          <w:p w14:paraId="7FE5B67D">
            <w:pPr>
              <w:jc w:val="center"/>
              <w:rPr>
                <w:color w:val="000000"/>
                <w:sz w:val="20"/>
                <w:szCs w:val="20"/>
              </w:rPr>
            </w:pPr>
            <w:r>
              <w:rPr>
                <w:color w:val="000000"/>
                <w:sz w:val="20"/>
                <w:szCs w:val="20"/>
              </w:rPr>
              <w:t>LK62:01</w:t>
            </w:r>
          </w:p>
        </w:tc>
        <w:tc>
          <w:tcPr>
            <w:tcW w:w="1033" w:type="dxa"/>
            <w:noWrap/>
            <w:vAlign w:val="center"/>
          </w:tcPr>
          <w:p w14:paraId="2A96DA70">
            <w:pPr>
              <w:jc w:val="center"/>
              <w:rPr>
                <w:color w:val="000000"/>
                <w:sz w:val="20"/>
                <w:szCs w:val="20"/>
              </w:rPr>
            </w:pPr>
            <w:r>
              <w:rPr>
                <w:color w:val="000000"/>
                <w:sz w:val="20"/>
                <w:szCs w:val="20"/>
              </w:rPr>
              <w:t>90,00</w:t>
            </w:r>
          </w:p>
        </w:tc>
        <w:tc>
          <w:tcPr>
            <w:tcW w:w="846" w:type="dxa"/>
            <w:noWrap/>
            <w:vAlign w:val="center"/>
          </w:tcPr>
          <w:p w14:paraId="7846CC6E">
            <w:pPr>
              <w:jc w:val="center"/>
              <w:rPr>
                <w:color w:val="000000"/>
                <w:sz w:val="20"/>
                <w:szCs w:val="20"/>
              </w:rPr>
            </w:pPr>
            <w:r>
              <w:rPr>
                <w:color w:val="000000"/>
                <w:sz w:val="20"/>
                <w:szCs w:val="20"/>
              </w:rPr>
              <w:t>1</w:t>
            </w:r>
          </w:p>
        </w:tc>
        <w:tc>
          <w:tcPr>
            <w:tcW w:w="2578" w:type="dxa"/>
            <w:noWrap/>
            <w:vAlign w:val="center"/>
          </w:tcPr>
          <w:p w14:paraId="4F1D9EAE">
            <w:pPr>
              <w:jc w:val="center"/>
              <w:rPr>
                <w:color w:val="000000"/>
                <w:sz w:val="20"/>
                <w:szCs w:val="20"/>
              </w:rPr>
            </w:pPr>
            <w:r>
              <w:rPr>
                <w:color w:val="000000"/>
                <w:sz w:val="20"/>
                <w:szCs w:val="20"/>
              </w:rPr>
              <w:t>Mặt cắt 3-3</w:t>
            </w:r>
          </w:p>
        </w:tc>
        <w:tc>
          <w:tcPr>
            <w:tcW w:w="2393" w:type="dxa"/>
            <w:noWrap/>
            <w:vAlign w:val="center"/>
          </w:tcPr>
          <w:p w14:paraId="3E5D69D4">
            <w:pPr>
              <w:jc w:val="center"/>
              <w:rPr>
                <w:color w:val="000000"/>
                <w:sz w:val="20"/>
                <w:szCs w:val="20"/>
              </w:rPr>
            </w:pPr>
            <w:r>
              <w:rPr>
                <w:color w:val="000000"/>
                <w:sz w:val="20"/>
                <w:szCs w:val="20"/>
              </w:rPr>
              <w:t>Một mặt tiền</w:t>
            </w:r>
          </w:p>
        </w:tc>
        <w:tc>
          <w:tcPr>
            <w:tcW w:w="1198" w:type="dxa"/>
            <w:noWrap/>
            <w:vAlign w:val="center"/>
          </w:tcPr>
          <w:p w14:paraId="20B1C415">
            <w:pPr>
              <w:jc w:val="center"/>
              <w:rPr>
                <w:color w:val="000000"/>
                <w:sz w:val="20"/>
                <w:szCs w:val="20"/>
              </w:rPr>
            </w:pPr>
            <w:r>
              <w:rPr>
                <w:color w:val="000000"/>
                <w:sz w:val="20"/>
                <w:szCs w:val="20"/>
              </w:rPr>
              <w:t>10.800.000</w:t>
            </w:r>
          </w:p>
        </w:tc>
        <w:tc>
          <w:tcPr>
            <w:tcW w:w="1236" w:type="dxa"/>
            <w:noWrap/>
            <w:vAlign w:val="center"/>
          </w:tcPr>
          <w:p w14:paraId="5EBC19D7">
            <w:pPr>
              <w:jc w:val="center"/>
              <w:rPr>
                <w:color w:val="000000"/>
                <w:sz w:val="20"/>
                <w:szCs w:val="20"/>
              </w:rPr>
            </w:pPr>
          </w:p>
        </w:tc>
        <w:tc>
          <w:tcPr>
            <w:tcW w:w="1252" w:type="dxa"/>
            <w:noWrap/>
            <w:vAlign w:val="center"/>
          </w:tcPr>
          <w:p w14:paraId="7138407E">
            <w:pPr>
              <w:jc w:val="center"/>
              <w:rPr>
                <w:color w:val="000000"/>
                <w:sz w:val="20"/>
                <w:szCs w:val="20"/>
              </w:rPr>
            </w:pPr>
            <w:r>
              <w:rPr>
                <w:color w:val="000000"/>
                <w:sz w:val="20"/>
                <w:szCs w:val="20"/>
              </w:rPr>
              <w:t>10.800.000</w:t>
            </w:r>
          </w:p>
        </w:tc>
        <w:tc>
          <w:tcPr>
            <w:tcW w:w="1848" w:type="dxa"/>
            <w:noWrap/>
            <w:vAlign w:val="center"/>
          </w:tcPr>
          <w:p w14:paraId="160F177D">
            <w:pPr>
              <w:jc w:val="center"/>
              <w:rPr>
                <w:color w:val="000000"/>
                <w:sz w:val="20"/>
                <w:szCs w:val="20"/>
              </w:rPr>
            </w:pPr>
            <w:r>
              <w:rPr>
                <w:color w:val="000000"/>
                <w:sz w:val="20"/>
                <w:szCs w:val="20"/>
              </w:rPr>
              <w:t>972.000.000</w:t>
            </w:r>
          </w:p>
        </w:tc>
      </w:tr>
      <w:tr w14:paraId="7240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0D2C357">
            <w:pPr>
              <w:jc w:val="center"/>
              <w:rPr>
                <w:b/>
                <w:bCs/>
                <w:color w:val="000000"/>
                <w:sz w:val="20"/>
                <w:szCs w:val="20"/>
              </w:rPr>
            </w:pPr>
            <w:r>
              <w:rPr>
                <w:b/>
                <w:bCs/>
                <w:color w:val="000000"/>
                <w:sz w:val="20"/>
                <w:szCs w:val="20"/>
              </w:rPr>
              <w:t>LK62</w:t>
            </w:r>
          </w:p>
        </w:tc>
        <w:tc>
          <w:tcPr>
            <w:tcW w:w="1802" w:type="dxa"/>
            <w:vAlign w:val="center"/>
          </w:tcPr>
          <w:p w14:paraId="709CC2FC">
            <w:pPr>
              <w:jc w:val="center"/>
              <w:rPr>
                <w:color w:val="000000"/>
                <w:sz w:val="20"/>
                <w:szCs w:val="20"/>
              </w:rPr>
            </w:pPr>
            <w:r>
              <w:rPr>
                <w:color w:val="000000"/>
                <w:sz w:val="20"/>
                <w:szCs w:val="20"/>
              </w:rPr>
              <w:t>LK62:02</w:t>
            </w:r>
          </w:p>
        </w:tc>
        <w:tc>
          <w:tcPr>
            <w:tcW w:w="1033" w:type="dxa"/>
            <w:noWrap/>
            <w:vAlign w:val="center"/>
          </w:tcPr>
          <w:p w14:paraId="48F12A58">
            <w:pPr>
              <w:jc w:val="center"/>
              <w:rPr>
                <w:color w:val="000000"/>
                <w:sz w:val="20"/>
                <w:szCs w:val="20"/>
              </w:rPr>
            </w:pPr>
            <w:r>
              <w:rPr>
                <w:color w:val="000000"/>
                <w:sz w:val="20"/>
                <w:szCs w:val="20"/>
              </w:rPr>
              <w:t>90,00</w:t>
            </w:r>
          </w:p>
        </w:tc>
        <w:tc>
          <w:tcPr>
            <w:tcW w:w="846" w:type="dxa"/>
            <w:noWrap/>
            <w:vAlign w:val="center"/>
          </w:tcPr>
          <w:p w14:paraId="66F241EA">
            <w:pPr>
              <w:jc w:val="center"/>
              <w:rPr>
                <w:color w:val="000000"/>
                <w:sz w:val="20"/>
                <w:szCs w:val="20"/>
              </w:rPr>
            </w:pPr>
            <w:r>
              <w:rPr>
                <w:color w:val="000000"/>
                <w:sz w:val="20"/>
                <w:szCs w:val="20"/>
              </w:rPr>
              <w:t>1</w:t>
            </w:r>
          </w:p>
        </w:tc>
        <w:tc>
          <w:tcPr>
            <w:tcW w:w="2578" w:type="dxa"/>
            <w:noWrap/>
            <w:vAlign w:val="center"/>
          </w:tcPr>
          <w:p w14:paraId="76D7A6F0">
            <w:pPr>
              <w:jc w:val="center"/>
              <w:rPr>
                <w:color w:val="000000"/>
                <w:sz w:val="20"/>
                <w:szCs w:val="20"/>
              </w:rPr>
            </w:pPr>
            <w:r>
              <w:rPr>
                <w:color w:val="000000"/>
                <w:sz w:val="20"/>
                <w:szCs w:val="20"/>
              </w:rPr>
              <w:t>Mặt cắt 3-3</w:t>
            </w:r>
          </w:p>
        </w:tc>
        <w:tc>
          <w:tcPr>
            <w:tcW w:w="2393" w:type="dxa"/>
            <w:noWrap/>
            <w:vAlign w:val="center"/>
          </w:tcPr>
          <w:p w14:paraId="4A2C4BD5">
            <w:pPr>
              <w:jc w:val="center"/>
              <w:rPr>
                <w:color w:val="000000"/>
                <w:sz w:val="20"/>
                <w:szCs w:val="20"/>
              </w:rPr>
            </w:pPr>
            <w:r>
              <w:rPr>
                <w:color w:val="000000"/>
                <w:sz w:val="20"/>
                <w:szCs w:val="20"/>
              </w:rPr>
              <w:t>Một mặt tiền</w:t>
            </w:r>
          </w:p>
        </w:tc>
        <w:tc>
          <w:tcPr>
            <w:tcW w:w="1198" w:type="dxa"/>
            <w:noWrap/>
            <w:vAlign w:val="center"/>
          </w:tcPr>
          <w:p w14:paraId="206613F5">
            <w:pPr>
              <w:jc w:val="center"/>
              <w:rPr>
                <w:color w:val="000000"/>
                <w:sz w:val="20"/>
                <w:szCs w:val="20"/>
              </w:rPr>
            </w:pPr>
            <w:r>
              <w:rPr>
                <w:color w:val="000000"/>
                <w:sz w:val="20"/>
                <w:szCs w:val="20"/>
              </w:rPr>
              <w:t>10.800.000</w:t>
            </w:r>
          </w:p>
        </w:tc>
        <w:tc>
          <w:tcPr>
            <w:tcW w:w="1236" w:type="dxa"/>
            <w:noWrap/>
            <w:vAlign w:val="center"/>
          </w:tcPr>
          <w:p w14:paraId="07184EDC">
            <w:pPr>
              <w:jc w:val="center"/>
              <w:rPr>
                <w:color w:val="000000"/>
                <w:sz w:val="20"/>
                <w:szCs w:val="20"/>
              </w:rPr>
            </w:pPr>
          </w:p>
        </w:tc>
        <w:tc>
          <w:tcPr>
            <w:tcW w:w="1252" w:type="dxa"/>
            <w:noWrap/>
            <w:vAlign w:val="center"/>
          </w:tcPr>
          <w:p w14:paraId="4A9611E2">
            <w:pPr>
              <w:jc w:val="center"/>
              <w:rPr>
                <w:color w:val="000000"/>
                <w:sz w:val="20"/>
                <w:szCs w:val="20"/>
              </w:rPr>
            </w:pPr>
            <w:r>
              <w:rPr>
                <w:color w:val="000000"/>
                <w:sz w:val="20"/>
                <w:szCs w:val="20"/>
              </w:rPr>
              <w:t>10.800.000</w:t>
            </w:r>
          </w:p>
        </w:tc>
        <w:tc>
          <w:tcPr>
            <w:tcW w:w="1848" w:type="dxa"/>
            <w:noWrap/>
            <w:vAlign w:val="center"/>
          </w:tcPr>
          <w:p w14:paraId="7A38DB46">
            <w:pPr>
              <w:jc w:val="center"/>
              <w:rPr>
                <w:color w:val="000000"/>
                <w:sz w:val="20"/>
                <w:szCs w:val="20"/>
              </w:rPr>
            </w:pPr>
            <w:r>
              <w:rPr>
                <w:color w:val="000000"/>
                <w:sz w:val="20"/>
                <w:szCs w:val="20"/>
              </w:rPr>
              <w:t>972.000.000</w:t>
            </w:r>
          </w:p>
        </w:tc>
      </w:tr>
      <w:tr w14:paraId="06F7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0D9DF47">
            <w:pPr>
              <w:jc w:val="center"/>
              <w:rPr>
                <w:b/>
                <w:bCs/>
                <w:color w:val="000000"/>
                <w:sz w:val="20"/>
                <w:szCs w:val="20"/>
              </w:rPr>
            </w:pPr>
            <w:r>
              <w:rPr>
                <w:b/>
                <w:bCs/>
                <w:color w:val="000000"/>
                <w:sz w:val="20"/>
                <w:szCs w:val="20"/>
              </w:rPr>
              <w:t>LK62</w:t>
            </w:r>
          </w:p>
        </w:tc>
        <w:tc>
          <w:tcPr>
            <w:tcW w:w="1802" w:type="dxa"/>
            <w:vAlign w:val="center"/>
          </w:tcPr>
          <w:p w14:paraId="0157721A">
            <w:pPr>
              <w:jc w:val="center"/>
              <w:rPr>
                <w:color w:val="000000"/>
                <w:sz w:val="20"/>
                <w:szCs w:val="20"/>
              </w:rPr>
            </w:pPr>
            <w:r>
              <w:rPr>
                <w:color w:val="000000"/>
                <w:sz w:val="20"/>
                <w:szCs w:val="20"/>
              </w:rPr>
              <w:t>LK62:03</w:t>
            </w:r>
          </w:p>
        </w:tc>
        <w:tc>
          <w:tcPr>
            <w:tcW w:w="1033" w:type="dxa"/>
            <w:noWrap/>
            <w:vAlign w:val="center"/>
          </w:tcPr>
          <w:p w14:paraId="12C0F19E">
            <w:pPr>
              <w:jc w:val="center"/>
              <w:rPr>
                <w:color w:val="000000"/>
                <w:sz w:val="20"/>
                <w:szCs w:val="20"/>
              </w:rPr>
            </w:pPr>
            <w:r>
              <w:rPr>
                <w:color w:val="000000"/>
                <w:sz w:val="20"/>
                <w:szCs w:val="20"/>
              </w:rPr>
              <w:t>90,00</w:t>
            </w:r>
          </w:p>
        </w:tc>
        <w:tc>
          <w:tcPr>
            <w:tcW w:w="846" w:type="dxa"/>
            <w:noWrap/>
            <w:vAlign w:val="center"/>
          </w:tcPr>
          <w:p w14:paraId="0F01E749">
            <w:pPr>
              <w:jc w:val="center"/>
              <w:rPr>
                <w:color w:val="000000"/>
                <w:sz w:val="20"/>
                <w:szCs w:val="20"/>
              </w:rPr>
            </w:pPr>
            <w:r>
              <w:rPr>
                <w:color w:val="000000"/>
                <w:sz w:val="20"/>
                <w:szCs w:val="20"/>
              </w:rPr>
              <w:t>1</w:t>
            </w:r>
          </w:p>
        </w:tc>
        <w:tc>
          <w:tcPr>
            <w:tcW w:w="2578" w:type="dxa"/>
            <w:noWrap/>
            <w:vAlign w:val="center"/>
          </w:tcPr>
          <w:p w14:paraId="571292EE">
            <w:pPr>
              <w:jc w:val="center"/>
              <w:rPr>
                <w:color w:val="000000"/>
                <w:sz w:val="20"/>
                <w:szCs w:val="20"/>
              </w:rPr>
            </w:pPr>
            <w:r>
              <w:rPr>
                <w:color w:val="000000"/>
                <w:sz w:val="20"/>
                <w:szCs w:val="20"/>
              </w:rPr>
              <w:t>Mặt cắt 3-3</w:t>
            </w:r>
          </w:p>
        </w:tc>
        <w:tc>
          <w:tcPr>
            <w:tcW w:w="2393" w:type="dxa"/>
            <w:noWrap/>
            <w:vAlign w:val="center"/>
          </w:tcPr>
          <w:p w14:paraId="7E9B8784">
            <w:pPr>
              <w:jc w:val="center"/>
              <w:rPr>
                <w:color w:val="000000"/>
                <w:sz w:val="20"/>
                <w:szCs w:val="20"/>
              </w:rPr>
            </w:pPr>
            <w:r>
              <w:rPr>
                <w:color w:val="000000"/>
                <w:sz w:val="20"/>
                <w:szCs w:val="20"/>
              </w:rPr>
              <w:t>Một mặt tiền</w:t>
            </w:r>
          </w:p>
        </w:tc>
        <w:tc>
          <w:tcPr>
            <w:tcW w:w="1198" w:type="dxa"/>
            <w:noWrap/>
            <w:vAlign w:val="center"/>
          </w:tcPr>
          <w:p w14:paraId="2FAACD63">
            <w:pPr>
              <w:jc w:val="center"/>
              <w:rPr>
                <w:color w:val="000000"/>
                <w:sz w:val="20"/>
                <w:szCs w:val="20"/>
              </w:rPr>
            </w:pPr>
            <w:r>
              <w:rPr>
                <w:color w:val="000000"/>
                <w:sz w:val="20"/>
                <w:szCs w:val="20"/>
              </w:rPr>
              <w:t>10.800.000</w:t>
            </w:r>
          </w:p>
        </w:tc>
        <w:tc>
          <w:tcPr>
            <w:tcW w:w="1236" w:type="dxa"/>
            <w:noWrap/>
            <w:vAlign w:val="center"/>
          </w:tcPr>
          <w:p w14:paraId="46962150">
            <w:pPr>
              <w:jc w:val="center"/>
              <w:rPr>
                <w:color w:val="000000"/>
                <w:sz w:val="20"/>
                <w:szCs w:val="20"/>
              </w:rPr>
            </w:pPr>
          </w:p>
        </w:tc>
        <w:tc>
          <w:tcPr>
            <w:tcW w:w="1252" w:type="dxa"/>
            <w:noWrap/>
            <w:vAlign w:val="center"/>
          </w:tcPr>
          <w:p w14:paraId="0888C572">
            <w:pPr>
              <w:jc w:val="center"/>
              <w:rPr>
                <w:color w:val="000000"/>
                <w:sz w:val="20"/>
                <w:szCs w:val="20"/>
              </w:rPr>
            </w:pPr>
            <w:r>
              <w:rPr>
                <w:color w:val="000000"/>
                <w:sz w:val="20"/>
                <w:szCs w:val="20"/>
              </w:rPr>
              <w:t>10.800.000</w:t>
            </w:r>
          </w:p>
        </w:tc>
        <w:tc>
          <w:tcPr>
            <w:tcW w:w="1848" w:type="dxa"/>
            <w:noWrap/>
            <w:vAlign w:val="center"/>
          </w:tcPr>
          <w:p w14:paraId="020B4F8E">
            <w:pPr>
              <w:jc w:val="center"/>
              <w:rPr>
                <w:color w:val="000000"/>
                <w:sz w:val="20"/>
                <w:szCs w:val="20"/>
              </w:rPr>
            </w:pPr>
            <w:r>
              <w:rPr>
                <w:color w:val="000000"/>
                <w:sz w:val="20"/>
                <w:szCs w:val="20"/>
              </w:rPr>
              <w:t>972.000.000</w:t>
            </w:r>
          </w:p>
        </w:tc>
      </w:tr>
      <w:tr w14:paraId="12AA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5425FFA">
            <w:pPr>
              <w:jc w:val="center"/>
              <w:rPr>
                <w:b/>
                <w:bCs/>
                <w:color w:val="000000"/>
                <w:sz w:val="20"/>
                <w:szCs w:val="20"/>
              </w:rPr>
            </w:pPr>
            <w:r>
              <w:rPr>
                <w:b/>
                <w:bCs/>
                <w:color w:val="000000"/>
                <w:sz w:val="20"/>
                <w:szCs w:val="20"/>
              </w:rPr>
              <w:t>LK62</w:t>
            </w:r>
          </w:p>
        </w:tc>
        <w:tc>
          <w:tcPr>
            <w:tcW w:w="1802" w:type="dxa"/>
            <w:vAlign w:val="center"/>
          </w:tcPr>
          <w:p w14:paraId="3E68F811">
            <w:pPr>
              <w:jc w:val="center"/>
              <w:rPr>
                <w:color w:val="000000"/>
                <w:sz w:val="20"/>
                <w:szCs w:val="20"/>
              </w:rPr>
            </w:pPr>
            <w:r>
              <w:rPr>
                <w:color w:val="000000"/>
                <w:sz w:val="20"/>
                <w:szCs w:val="20"/>
              </w:rPr>
              <w:t>LK62:04</w:t>
            </w:r>
          </w:p>
        </w:tc>
        <w:tc>
          <w:tcPr>
            <w:tcW w:w="1033" w:type="dxa"/>
            <w:noWrap/>
            <w:vAlign w:val="center"/>
          </w:tcPr>
          <w:p w14:paraId="5C017133">
            <w:pPr>
              <w:jc w:val="center"/>
              <w:rPr>
                <w:color w:val="000000"/>
                <w:sz w:val="20"/>
                <w:szCs w:val="20"/>
              </w:rPr>
            </w:pPr>
            <w:r>
              <w:rPr>
                <w:color w:val="000000"/>
                <w:sz w:val="20"/>
                <w:szCs w:val="20"/>
              </w:rPr>
              <w:t>90,00</w:t>
            </w:r>
          </w:p>
        </w:tc>
        <w:tc>
          <w:tcPr>
            <w:tcW w:w="846" w:type="dxa"/>
            <w:noWrap/>
            <w:vAlign w:val="center"/>
          </w:tcPr>
          <w:p w14:paraId="3E60A73D">
            <w:pPr>
              <w:jc w:val="center"/>
              <w:rPr>
                <w:color w:val="000000"/>
                <w:sz w:val="20"/>
                <w:szCs w:val="20"/>
              </w:rPr>
            </w:pPr>
            <w:r>
              <w:rPr>
                <w:color w:val="000000"/>
                <w:sz w:val="20"/>
                <w:szCs w:val="20"/>
              </w:rPr>
              <w:t>1</w:t>
            </w:r>
          </w:p>
        </w:tc>
        <w:tc>
          <w:tcPr>
            <w:tcW w:w="2578" w:type="dxa"/>
            <w:noWrap/>
            <w:vAlign w:val="center"/>
          </w:tcPr>
          <w:p w14:paraId="1CFCB6B7">
            <w:pPr>
              <w:jc w:val="center"/>
              <w:rPr>
                <w:color w:val="000000"/>
                <w:sz w:val="20"/>
                <w:szCs w:val="20"/>
              </w:rPr>
            </w:pPr>
            <w:r>
              <w:rPr>
                <w:color w:val="000000"/>
                <w:sz w:val="20"/>
                <w:szCs w:val="20"/>
              </w:rPr>
              <w:t>Mặt cắt 3-3</w:t>
            </w:r>
          </w:p>
        </w:tc>
        <w:tc>
          <w:tcPr>
            <w:tcW w:w="2393" w:type="dxa"/>
            <w:noWrap/>
            <w:vAlign w:val="center"/>
          </w:tcPr>
          <w:p w14:paraId="25FA3F02">
            <w:pPr>
              <w:jc w:val="center"/>
              <w:rPr>
                <w:color w:val="000000"/>
                <w:sz w:val="20"/>
                <w:szCs w:val="20"/>
              </w:rPr>
            </w:pPr>
            <w:r>
              <w:rPr>
                <w:color w:val="000000"/>
                <w:sz w:val="20"/>
                <w:szCs w:val="20"/>
              </w:rPr>
              <w:t>Một mặt tiền</w:t>
            </w:r>
          </w:p>
        </w:tc>
        <w:tc>
          <w:tcPr>
            <w:tcW w:w="1198" w:type="dxa"/>
            <w:noWrap/>
            <w:vAlign w:val="center"/>
          </w:tcPr>
          <w:p w14:paraId="0C4FEFDE">
            <w:pPr>
              <w:jc w:val="center"/>
              <w:rPr>
                <w:color w:val="000000"/>
                <w:sz w:val="20"/>
                <w:szCs w:val="20"/>
              </w:rPr>
            </w:pPr>
            <w:r>
              <w:rPr>
                <w:color w:val="000000"/>
                <w:sz w:val="20"/>
                <w:szCs w:val="20"/>
              </w:rPr>
              <w:t>10.800.000</w:t>
            </w:r>
          </w:p>
        </w:tc>
        <w:tc>
          <w:tcPr>
            <w:tcW w:w="1236" w:type="dxa"/>
            <w:noWrap/>
            <w:vAlign w:val="center"/>
          </w:tcPr>
          <w:p w14:paraId="71B1DDB4">
            <w:pPr>
              <w:jc w:val="center"/>
              <w:rPr>
                <w:color w:val="000000"/>
                <w:sz w:val="20"/>
                <w:szCs w:val="20"/>
              </w:rPr>
            </w:pPr>
          </w:p>
        </w:tc>
        <w:tc>
          <w:tcPr>
            <w:tcW w:w="1252" w:type="dxa"/>
            <w:noWrap/>
            <w:vAlign w:val="center"/>
          </w:tcPr>
          <w:p w14:paraId="4F933C39">
            <w:pPr>
              <w:jc w:val="center"/>
              <w:rPr>
                <w:color w:val="000000"/>
                <w:sz w:val="20"/>
                <w:szCs w:val="20"/>
              </w:rPr>
            </w:pPr>
            <w:r>
              <w:rPr>
                <w:color w:val="000000"/>
                <w:sz w:val="20"/>
                <w:szCs w:val="20"/>
              </w:rPr>
              <w:t>10.800.000</w:t>
            </w:r>
          </w:p>
        </w:tc>
        <w:tc>
          <w:tcPr>
            <w:tcW w:w="1848" w:type="dxa"/>
            <w:noWrap/>
            <w:vAlign w:val="center"/>
          </w:tcPr>
          <w:p w14:paraId="5E7A3E08">
            <w:pPr>
              <w:jc w:val="center"/>
              <w:rPr>
                <w:color w:val="000000"/>
                <w:sz w:val="20"/>
                <w:szCs w:val="20"/>
              </w:rPr>
            </w:pPr>
            <w:r>
              <w:rPr>
                <w:color w:val="000000"/>
                <w:sz w:val="20"/>
                <w:szCs w:val="20"/>
              </w:rPr>
              <w:t>972.000.000</w:t>
            </w:r>
          </w:p>
        </w:tc>
      </w:tr>
      <w:tr w14:paraId="7FAD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7927B1E">
            <w:pPr>
              <w:jc w:val="center"/>
              <w:rPr>
                <w:b/>
                <w:bCs/>
                <w:color w:val="000000"/>
                <w:sz w:val="20"/>
                <w:szCs w:val="20"/>
              </w:rPr>
            </w:pPr>
            <w:r>
              <w:rPr>
                <w:b/>
                <w:bCs/>
                <w:color w:val="000000"/>
                <w:sz w:val="20"/>
                <w:szCs w:val="20"/>
              </w:rPr>
              <w:t>LK62</w:t>
            </w:r>
          </w:p>
        </w:tc>
        <w:tc>
          <w:tcPr>
            <w:tcW w:w="1802" w:type="dxa"/>
            <w:vAlign w:val="center"/>
          </w:tcPr>
          <w:p w14:paraId="0989F2D6">
            <w:pPr>
              <w:jc w:val="center"/>
              <w:rPr>
                <w:color w:val="000000"/>
                <w:sz w:val="20"/>
                <w:szCs w:val="20"/>
              </w:rPr>
            </w:pPr>
            <w:r>
              <w:rPr>
                <w:color w:val="000000"/>
                <w:sz w:val="20"/>
                <w:szCs w:val="20"/>
              </w:rPr>
              <w:t>LK62:05</w:t>
            </w:r>
          </w:p>
        </w:tc>
        <w:tc>
          <w:tcPr>
            <w:tcW w:w="1033" w:type="dxa"/>
            <w:noWrap/>
            <w:vAlign w:val="center"/>
          </w:tcPr>
          <w:p w14:paraId="0C35B36B">
            <w:pPr>
              <w:jc w:val="center"/>
              <w:rPr>
                <w:color w:val="000000"/>
                <w:sz w:val="20"/>
                <w:szCs w:val="20"/>
              </w:rPr>
            </w:pPr>
            <w:r>
              <w:rPr>
                <w:color w:val="000000"/>
                <w:sz w:val="20"/>
                <w:szCs w:val="20"/>
              </w:rPr>
              <w:t>90,00</w:t>
            </w:r>
          </w:p>
        </w:tc>
        <w:tc>
          <w:tcPr>
            <w:tcW w:w="846" w:type="dxa"/>
            <w:noWrap/>
            <w:vAlign w:val="center"/>
          </w:tcPr>
          <w:p w14:paraId="0330C1C7">
            <w:pPr>
              <w:jc w:val="center"/>
              <w:rPr>
                <w:color w:val="000000"/>
                <w:sz w:val="20"/>
                <w:szCs w:val="20"/>
              </w:rPr>
            </w:pPr>
            <w:r>
              <w:rPr>
                <w:color w:val="000000"/>
                <w:sz w:val="20"/>
                <w:szCs w:val="20"/>
              </w:rPr>
              <w:t>1</w:t>
            </w:r>
          </w:p>
        </w:tc>
        <w:tc>
          <w:tcPr>
            <w:tcW w:w="2578" w:type="dxa"/>
            <w:noWrap/>
            <w:vAlign w:val="center"/>
          </w:tcPr>
          <w:p w14:paraId="0086A1B9">
            <w:pPr>
              <w:jc w:val="center"/>
              <w:rPr>
                <w:color w:val="000000"/>
                <w:sz w:val="20"/>
                <w:szCs w:val="20"/>
              </w:rPr>
            </w:pPr>
            <w:r>
              <w:rPr>
                <w:color w:val="000000"/>
                <w:sz w:val="20"/>
                <w:szCs w:val="20"/>
              </w:rPr>
              <w:t>Mặt cắt 3-3</w:t>
            </w:r>
          </w:p>
        </w:tc>
        <w:tc>
          <w:tcPr>
            <w:tcW w:w="2393" w:type="dxa"/>
            <w:noWrap/>
            <w:vAlign w:val="center"/>
          </w:tcPr>
          <w:p w14:paraId="47F6F30D">
            <w:pPr>
              <w:jc w:val="center"/>
              <w:rPr>
                <w:color w:val="000000"/>
                <w:sz w:val="20"/>
                <w:szCs w:val="20"/>
              </w:rPr>
            </w:pPr>
            <w:r>
              <w:rPr>
                <w:color w:val="000000"/>
                <w:sz w:val="20"/>
                <w:szCs w:val="20"/>
              </w:rPr>
              <w:t>Một mặt tiền</w:t>
            </w:r>
          </w:p>
        </w:tc>
        <w:tc>
          <w:tcPr>
            <w:tcW w:w="1198" w:type="dxa"/>
            <w:noWrap/>
            <w:vAlign w:val="center"/>
          </w:tcPr>
          <w:p w14:paraId="67D71713">
            <w:pPr>
              <w:jc w:val="center"/>
              <w:rPr>
                <w:color w:val="000000"/>
                <w:sz w:val="20"/>
                <w:szCs w:val="20"/>
              </w:rPr>
            </w:pPr>
            <w:r>
              <w:rPr>
                <w:color w:val="000000"/>
                <w:sz w:val="20"/>
                <w:szCs w:val="20"/>
              </w:rPr>
              <w:t>10.800.000</w:t>
            </w:r>
          </w:p>
        </w:tc>
        <w:tc>
          <w:tcPr>
            <w:tcW w:w="1236" w:type="dxa"/>
            <w:noWrap/>
            <w:vAlign w:val="center"/>
          </w:tcPr>
          <w:p w14:paraId="419D2D70">
            <w:pPr>
              <w:jc w:val="center"/>
              <w:rPr>
                <w:color w:val="000000"/>
                <w:sz w:val="20"/>
                <w:szCs w:val="20"/>
              </w:rPr>
            </w:pPr>
          </w:p>
        </w:tc>
        <w:tc>
          <w:tcPr>
            <w:tcW w:w="1252" w:type="dxa"/>
            <w:noWrap/>
            <w:vAlign w:val="center"/>
          </w:tcPr>
          <w:p w14:paraId="45E4ECFE">
            <w:pPr>
              <w:jc w:val="center"/>
              <w:rPr>
                <w:color w:val="000000"/>
                <w:sz w:val="20"/>
                <w:szCs w:val="20"/>
              </w:rPr>
            </w:pPr>
            <w:r>
              <w:rPr>
                <w:color w:val="000000"/>
                <w:sz w:val="20"/>
                <w:szCs w:val="20"/>
              </w:rPr>
              <w:t>10.800.000</w:t>
            </w:r>
          </w:p>
        </w:tc>
        <w:tc>
          <w:tcPr>
            <w:tcW w:w="1848" w:type="dxa"/>
            <w:noWrap/>
            <w:vAlign w:val="center"/>
          </w:tcPr>
          <w:p w14:paraId="7A6494CD">
            <w:pPr>
              <w:jc w:val="center"/>
              <w:rPr>
                <w:color w:val="000000"/>
                <w:sz w:val="20"/>
                <w:szCs w:val="20"/>
              </w:rPr>
            </w:pPr>
            <w:r>
              <w:rPr>
                <w:color w:val="000000"/>
                <w:sz w:val="20"/>
                <w:szCs w:val="20"/>
              </w:rPr>
              <w:t>972.000.000</w:t>
            </w:r>
          </w:p>
        </w:tc>
      </w:tr>
      <w:tr w14:paraId="7933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97D5FA">
            <w:pPr>
              <w:jc w:val="center"/>
              <w:rPr>
                <w:b/>
                <w:bCs/>
                <w:color w:val="000000"/>
                <w:sz w:val="20"/>
                <w:szCs w:val="20"/>
              </w:rPr>
            </w:pPr>
            <w:r>
              <w:rPr>
                <w:b/>
                <w:bCs/>
                <w:color w:val="000000"/>
                <w:sz w:val="20"/>
                <w:szCs w:val="20"/>
              </w:rPr>
              <w:t>LK23</w:t>
            </w:r>
          </w:p>
        </w:tc>
        <w:tc>
          <w:tcPr>
            <w:tcW w:w="1802" w:type="dxa"/>
            <w:vAlign w:val="center"/>
          </w:tcPr>
          <w:p w14:paraId="27F8A346">
            <w:pPr>
              <w:jc w:val="center"/>
              <w:rPr>
                <w:color w:val="000000"/>
                <w:sz w:val="20"/>
                <w:szCs w:val="20"/>
              </w:rPr>
            </w:pPr>
            <w:r>
              <w:rPr>
                <w:color w:val="000000"/>
                <w:sz w:val="20"/>
                <w:szCs w:val="20"/>
              </w:rPr>
              <w:t>LK23:07</w:t>
            </w:r>
          </w:p>
        </w:tc>
        <w:tc>
          <w:tcPr>
            <w:tcW w:w="1033" w:type="dxa"/>
            <w:noWrap/>
            <w:vAlign w:val="center"/>
          </w:tcPr>
          <w:p w14:paraId="089C8AE7">
            <w:pPr>
              <w:jc w:val="center"/>
              <w:rPr>
                <w:color w:val="000000"/>
                <w:sz w:val="20"/>
                <w:szCs w:val="20"/>
              </w:rPr>
            </w:pPr>
            <w:r>
              <w:rPr>
                <w:color w:val="000000"/>
                <w:sz w:val="20"/>
                <w:szCs w:val="20"/>
              </w:rPr>
              <w:t>100,88</w:t>
            </w:r>
          </w:p>
        </w:tc>
        <w:tc>
          <w:tcPr>
            <w:tcW w:w="846" w:type="dxa"/>
            <w:noWrap/>
            <w:vAlign w:val="center"/>
          </w:tcPr>
          <w:p w14:paraId="7889648E">
            <w:pPr>
              <w:jc w:val="center"/>
              <w:rPr>
                <w:color w:val="000000"/>
                <w:sz w:val="20"/>
                <w:szCs w:val="20"/>
              </w:rPr>
            </w:pPr>
            <w:r>
              <w:rPr>
                <w:color w:val="000000"/>
                <w:sz w:val="20"/>
                <w:szCs w:val="20"/>
              </w:rPr>
              <w:t>1</w:t>
            </w:r>
          </w:p>
        </w:tc>
        <w:tc>
          <w:tcPr>
            <w:tcW w:w="2578" w:type="dxa"/>
            <w:noWrap/>
            <w:vAlign w:val="center"/>
          </w:tcPr>
          <w:p w14:paraId="49E394F8">
            <w:pPr>
              <w:jc w:val="center"/>
              <w:rPr>
                <w:color w:val="000000"/>
                <w:sz w:val="20"/>
                <w:szCs w:val="20"/>
              </w:rPr>
            </w:pPr>
            <w:r>
              <w:rPr>
                <w:color w:val="000000"/>
                <w:sz w:val="20"/>
                <w:szCs w:val="20"/>
              </w:rPr>
              <w:t>Mặt cắt 3-3</w:t>
            </w:r>
          </w:p>
        </w:tc>
        <w:tc>
          <w:tcPr>
            <w:tcW w:w="2393" w:type="dxa"/>
            <w:noWrap/>
            <w:vAlign w:val="center"/>
          </w:tcPr>
          <w:p w14:paraId="3AD6D1D3">
            <w:pPr>
              <w:jc w:val="center"/>
              <w:rPr>
                <w:color w:val="000000"/>
                <w:sz w:val="20"/>
                <w:szCs w:val="20"/>
              </w:rPr>
            </w:pPr>
            <w:r>
              <w:rPr>
                <w:color w:val="000000"/>
                <w:sz w:val="20"/>
                <w:szCs w:val="20"/>
              </w:rPr>
              <w:t>Hai mặt tiền</w:t>
            </w:r>
          </w:p>
        </w:tc>
        <w:tc>
          <w:tcPr>
            <w:tcW w:w="1198" w:type="dxa"/>
            <w:noWrap/>
            <w:vAlign w:val="center"/>
          </w:tcPr>
          <w:p w14:paraId="5E3C5C6C">
            <w:pPr>
              <w:jc w:val="center"/>
              <w:rPr>
                <w:color w:val="000000"/>
                <w:sz w:val="20"/>
                <w:szCs w:val="20"/>
              </w:rPr>
            </w:pPr>
            <w:r>
              <w:rPr>
                <w:color w:val="000000"/>
                <w:sz w:val="20"/>
                <w:szCs w:val="20"/>
              </w:rPr>
              <w:t>12.420.000</w:t>
            </w:r>
          </w:p>
        </w:tc>
        <w:tc>
          <w:tcPr>
            <w:tcW w:w="1236" w:type="dxa"/>
            <w:noWrap/>
            <w:vAlign w:val="center"/>
          </w:tcPr>
          <w:p w14:paraId="4CB29418">
            <w:pPr>
              <w:jc w:val="center"/>
              <w:rPr>
                <w:color w:val="000000"/>
                <w:sz w:val="20"/>
                <w:szCs w:val="20"/>
              </w:rPr>
            </w:pPr>
          </w:p>
        </w:tc>
        <w:tc>
          <w:tcPr>
            <w:tcW w:w="1252" w:type="dxa"/>
            <w:noWrap/>
            <w:vAlign w:val="center"/>
          </w:tcPr>
          <w:p w14:paraId="79E83608">
            <w:pPr>
              <w:jc w:val="center"/>
              <w:rPr>
                <w:color w:val="000000"/>
                <w:sz w:val="20"/>
                <w:szCs w:val="20"/>
              </w:rPr>
            </w:pPr>
            <w:r>
              <w:rPr>
                <w:color w:val="000000"/>
                <w:sz w:val="20"/>
                <w:szCs w:val="20"/>
              </w:rPr>
              <w:t>12.420.000</w:t>
            </w:r>
          </w:p>
        </w:tc>
        <w:tc>
          <w:tcPr>
            <w:tcW w:w="1848" w:type="dxa"/>
            <w:noWrap/>
            <w:vAlign w:val="center"/>
          </w:tcPr>
          <w:p w14:paraId="5C6DBE86">
            <w:pPr>
              <w:jc w:val="center"/>
              <w:rPr>
                <w:color w:val="000000"/>
                <w:sz w:val="20"/>
                <w:szCs w:val="20"/>
              </w:rPr>
            </w:pPr>
            <w:r>
              <w:rPr>
                <w:color w:val="000000"/>
                <w:sz w:val="20"/>
                <w:szCs w:val="20"/>
              </w:rPr>
              <w:t>1.252.966.860</w:t>
            </w:r>
          </w:p>
        </w:tc>
      </w:tr>
      <w:tr w14:paraId="466B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71FB2D8">
            <w:pPr>
              <w:jc w:val="center"/>
              <w:rPr>
                <w:b/>
                <w:bCs/>
                <w:color w:val="000000"/>
                <w:sz w:val="20"/>
                <w:szCs w:val="20"/>
              </w:rPr>
            </w:pPr>
            <w:r>
              <w:rPr>
                <w:b/>
                <w:bCs/>
                <w:color w:val="000000"/>
                <w:sz w:val="20"/>
                <w:szCs w:val="20"/>
              </w:rPr>
              <w:t>LK26</w:t>
            </w:r>
          </w:p>
        </w:tc>
        <w:tc>
          <w:tcPr>
            <w:tcW w:w="1802" w:type="dxa"/>
            <w:vAlign w:val="center"/>
          </w:tcPr>
          <w:p w14:paraId="561CE8E7">
            <w:pPr>
              <w:jc w:val="center"/>
              <w:rPr>
                <w:color w:val="000000"/>
                <w:sz w:val="20"/>
                <w:szCs w:val="20"/>
              </w:rPr>
            </w:pPr>
            <w:r>
              <w:rPr>
                <w:color w:val="000000"/>
                <w:sz w:val="20"/>
                <w:szCs w:val="20"/>
              </w:rPr>
              <w:t>LK26:10</w:t>
            </w:r>
          </w:p>
        </w:tc>
        <w:tc>
          <w:tcPr>
            <w:tcW w:w="1033" w:type="dxa"/>
            <w:noWrap/>
            <w:vAlign w:val="center"/>
          </w:tcPr>
          <w:p w14:paraId="2E1FB6FE">
            <w:pPr>
              <w:jc w:val="center"/>
              <w:rPr>
                <w:color w:val="000000"/>
                <w:sz w:val="20"/>
                <w:szCs w:val="20"/>
              </w:rPr>
            </w:pPr>
            <w:r>
              <w:rPr>
                <w:color w:val="000000"/>
                <w:sz w:val="20"/>
                <w:szCs w:val="20"/>
              </w:rPr>
              <w:t>136,50</w:t>
            </w:r>
          </w:p>
        </w:tc>
        <w:tc>
          <w:tcPr>
            <w:tcW w:w="846" w:type="dxa"/>
            <w:noWrap/>
            <w:vAlign w:val="center"/>
          </w:tcPr>
          <w:p w14:paraId="11BBF648">
            <w:pPr>
              <w:jc w:val="center"/>
              <w:rPr>
                <w:color w:val="000000"/>
                <w:sz w:val="20"/>
                <w:szCs w:val="20"/>
              </w:rPr>
            </w:pPr>
            <w:r>
              <w:rPr>
                <w:color w:val="000000"/>
                <w:sz w:val="20"/>
                <w:szCs w:val="20"/>
              </w:rPr>
              <w:t>1</w:t>
            </w:r>
          </w:p>
        </w:tc>
        <w:tc>
          <w:tcPr>
            <w:tcW w:w="2578" w:type="dxa"/>
            <w:noWrap/>
            <w:vAlign w:val="center"/>
          </w:tcPr>
          <w:p w14:paraId="72E3F0FC">
            <w:pPr>
              <w:jc w:val="center"/>
              <w:rPr>
                <w:color w:val="000000"/>
                <w:sz w:val="20"/>
                <w:szCs w:val="20"/>
              </w:rPr>
            </w:pPr>
            <w:r>
              <w:rPr>
                <w:color w:val="000000"/>
                <w:sz w:val="20"/>
                <w:szCs w:val="20"/>
              </w:rPr>
              <w:t>Mặt cắt 3-3</w:t>
            </w:r>
          </w:p>
        </w:tc>
        <w:tc>
          <w:tcPr>
            <w:tcW w:w="2393" w:type="dxa"/>
            <w:noWrap/>
            <w:vAlign w:val="center"/>
          </w:tcPr>
          <w:p w14:paraId="2DA0E2AB">
            <w:pPr>
              <w:jc w:val="center"/>
              <w:rPr>
                <w:color w:val="000000"/>
                <w:sz w:val="20"/>
                <w:szCs w:val="20"/>
              </w:rPr>
            </w:pPr>
            <w:r>
              <w:rPr>
                <w:color w:val="000000"/>
                <w:sz w:val="20"/>
                <w:szCs w:val="20"/>
              </w:rPr>
              <w:t>Hai mặt tiền</w:t>
            </w:r>
          </w:p>
        </w:tc>
        <w:tc>
          <w:tcPr>
            <w:tcW w:w="1198" w:type="dxa"/>
            <w:noWrap/>
            <w:vAlign w:val="center"/>
          </w:tcPr>
          <w:p w14:paraId="10247BFC">
            <w:pPr>
              <w:jc w:val="center"/>
              <w:rPr>
                <w:color w:val="000000"/>
                <w:sz w:val="20"/>
                <w:szCs w:val="20"/>
              </w:rPr>
            </w:pPr>
            <w:r>
              <w:rPr>
                <w:color w:val="000000"/>
                <w:sz w:val="20"/>
                <w:szCs w:val="20"/>
              </w:rPr>
              <w:t>12.420.000</w:t>
            </w:r>
          </w:p>
        </w:tc>
        <w:tc>
          <w:tcPr>
            <w:tcW w:w="1236" w:type="dxa"/>
            <w:noWrap/>
            <w:vAlign w:val="center"/>
          </w:tcPr>
          <w:p w14:paraId="62B53F6C">
            <w:pPr>
              <w:jc w:val="center"/>
              <w:rPr>
                <w:color w:val="000000"/>
                <w:sz w:val="20"/>
                <w:szCs w:val="20"/>
              </w:rPr>
            </w:pPr>
          </w:p>
        </w:tc>
        <w:tc>
          <w:tcPr>
            <w:tcW w:w="1252" w:type="dxa"/>
            <w:noWrap/>
            <w:vAlign w:val="center"/>
          </w:tcPr>
          <w:p w14:paraId="5E4EFA02">
            <w:pPr>
              <w:jc w:val="center"/>
              <w:rPr>
                <w:color w:val="000000"/>
                <w:sz w:val="20"/>
                <w:szCs w:val="20"/>
              </w:rPr>
            </w:pPr>
            <w:r>
              <w:rPr>
                <w:color w:val="000000"/>
                <w:sz w:val="20"/>
                <w:szCs w:val="20"/>
              </w:rPr>
              <w:t>12.420.000</w:t>
            </w:r>
          </w:p>
        </w:tc>
        <w:tc>
          <w:tcPr>
            <w:tcW w:w="1848" w:type="dxa"/>
            <w:noWrap/>
            <w:vAlign w:val="center"/>
          </w:tcPr>
          <w:p w14:paraId="16DA0E86">
            <w:pPr>
              <w:jc w:val="center"/>
              <w:rPr>
                <w:color w:val="000000"/>
                <w:sz w:val="20"/>
                <w:szCs w:val="20"/>
              </w:rPr>
            </w:pPr>
            <w:r>
              <w:rPr>
                <w:color w:val="000000"/>
                <w:sz w:val="20"/>
                <w:szCs w:val="20"/>
              </w:rPr>
              <w:t>1.695.330.000</w:t>
            </w:r>
          </w:p>
        </w:tc>
      </w:tr>
      <w:tr w14:paraId="4BF2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341F5B0">
            <w:pPr>
              <w:jc w:val="center"/>
              <w:rPr>
                <w:b/>
                <w:bCs/>
                <w:color w:val="000000"/>
                <w:sz w:val="20"/>
                <w:szCs w:val="20"/>
              </w:rPr>
            </w:pPr>
            <w:r>
              <w:rPr>
                <w:b/>
                <w:bCs/>
                <w:color w:val="000000"/>
                <w:sz w:val="20"/>
                <w:szCs w:val="20"/>
              </w:rPr>
              <w:t>LK27</w:t>
            </w:r>
          </w:p>
        </w:tc>
        <w:tc>
          <w:tcPr>
            <w:tcW w:w="1802" w:type="dxa"/>
            <w:vAlign w:val="center"/>
          </w:tcPr>
          <w:p w14:paraId="047B29D9">
            <w:pPr>
              <w:jc w:val="center"/>
              <w:rPr>
                <w:color w:val="000000"/>
                <w:sz w:val="20"/>
                <w:szCs w:val="20"/>
              </w:rPr>
            </w:pPr>
            <w:r>
              <w:rPr>
                <w:color w:val="000000"/>
                <w:sz w:val="20"/>
                <w:szCs w:val="20"/>
              </w:rPr>
              <w:t>LK27:10</w:t>
            </w:r>
          </w:p>
        </w:tc>
        <w:tc>
          <w:tcPr>
            <w:tcW w:w="1033" w:type="dxa"/>
            <w:noWrap/>
            <w:vAlign w:val="center"/>
          </w:tcPr>
          <w:p w14:paraId="04011332">
            <w:pPr>
              <w:jc w:val="center"/>
              <w:rPr>
                <w:color w:val="000000"/>
                <w:sz w:val="20"/>
                <w:szCs w:val="20"/>
              </w:rPr>
            </w:pPr>
            <w:r>
              <w:rPr>
                <w:color w:val="000000"/>
                <w:sz w:val="20"/>
                <w:szCs w:val="20"/>
              </w:rPr>
              <w:t>136,50</w:t>
            </w:r>
          </w:p>
        </w:tc>
        <w:tc>
          <w:tcPr>
            <w:tcW w:w="846" w:type="dxa"/>
            <w:noWrap/>
            <w:vAlign w:val="center"/>
          </w:tcPr>
          <w:p w14:paraId="384A22D5">
            <w:pPr>
              <w:jc w:val="center"/>
              <w:rPr>
                <w:color w:val="000000"/>
                <w:sz w:val="20"/>
                <w:szCs w:val="20"/>
              </w:rPr>
            </w:pPr>
            <w:r>
              <w:rPr>
                <w:color w:val="000000"/>
                <w:sz w:val="20"/>
                <w:szCs w:val="20"/>
              </w:rPr>
              <w:t>1</w:t>
            </w:r>
          </w:p>
        </w:tc>
        <w:tc>
          <w:tcPr>
            <w:tcW w:w="2578" w:type="dxa"/>
            <w:noWrap/>
            <w:vAlign w:val="center"/>
          </w:tcPr>
          <w:p w14:paraId="0F270BAA">
            <w:pPr>
              <w:jc w:val="center"/>
              <w:rPr>
                <w:color w:val="000000"/>
                <w:sz w:val="20"/>
                <w:szCs w:val="20"/>
              </w:rPr>
            </w:pPr>
            <w:r>
              <w:rPr>
                <w:color w:val="000000"/>
                <w:sz w:val="20"/>
                <w:szCs w:val="20"/>
              </w:rPr>
              <w:t>Mặt cắt 3-3</w:t>
            </w:r>
          </w:p>
        </w:tc>
        <w:tc>
          <w:tcPr>
            <w:tcW w:w="2393" w:type="dxa"/>
            <w:noWrap/>
            <w:vAlign w:val="center"/>
          </w:tcPr>
          <w:p w14:paraId="67F73AC4">
            <w:pPr>
              <w:jc w:val="center"/>
              <w:rPr>
                <w:color w:val="000000"/>
                <w:sz w:val="20"/>
                <w:szCs w:val="20"/>
              </w:rPr>
            </w:pPr>
            <w:r>
              <w:rPr>
                <w:color w:val="000000"/>
                <w:sz w:val="20"/>
                <w:szCs w:val="20"/>
              </w:rPr>
              <w:t>Hai mặt tiền, đối diện/tiếp giáp CX-MN</w:t>
            </w:r>
          </w:p>
        </w:tc>
        <w:tc>
          <w:tcPr>
            <w:tcW w:w="1198" w:type="dxa"/>
            <w:noWrap/>
            <w:vAlign w:val="center"/>
          </w:tcPr>
          <w:p w14:paraId="12967262">
            <w:pPr>
              <w:jc w:val="center"/>
              <w:rPr>
                <w:color w:val="000000"/>
                <w:sz w:val="20"/>
                <w:szCs w:val="20"/>
              </w:rPr>
            </w:pPr>
            <w:r>
              <w:rPr>
                <w:color w:val="000000"/>
                <w:sz w:val="20"/>
                <w:szCs w:val="20"/>
              </w:rPr>
              <w:t>12.960.000</w:t>
            </w:r>
          </w:p>
        </w:tc>
        <w:tc>
          <w:tcPr>
            <w:tcW w:w="1236" w:type="dxa"/>
            <w:noWrap/>
            <w:vAlign w:val="center"/>
          </w:tcPr>
          <w:p w14:paraId="30AED2C6">
            <w:pPr>
              <w:jc w:val="center"/>
              <w:rPr>
                <w:color w:val="000000"/>
                <w:sz w:val="20"/>
                <w:szCs w:val="20"/>
              </w:rPr>
            </w:pPr>
          </w:p>
        </w:tc>
        <w:tc>
          <w:tcPr>
            <w:tcW w:w="1252" w:type="dxa"/>
            <w:noWrap/>
            <w:vAlign w:val="center"/>
          </w:tcPr>
          <w:p w14:paraId="3DD8C01C">
            <w:pPr>
              <w:jc w:val="center"/>
              <w:rPr>
                <w:color w:val="000000"/>
                <w:sz w:val="20"/>
                <w:szCs w:val="20"/>
              </w:rPr>
            </w:pPr>
            <w:r>
              <w:rPr>
                <w:color w:val="000000"/>
                <w:sz w:val="20"/>
                <w:szCs w:val="20"/>
              </w:rPr>
              <w:t>12.960.000</w:t>
            </w:r>
          </w:p>
        </w:tc>
        <w:tc>
          <w:tcPr>
            <w:tcW w:w="1848" w:type="dxa"/>
            <w:noWrap/>
            <w:vAlign w:val="center"/>
          </w:tcPr>
          <w:p w14:paraId="3F4EC545">
            <w:pPr>
              <w:jc w:val="center"/>
              <w:rPr>
                <w:color w:val="000000"/>
                <w:sz w:val="20"/>
                <w:szCs w:val="20"/>
              </w:rPr>
            </w:pPr>
            <w:r>
              <w:rPr>
                <w:color w:val="000000"/>
                <w:sz w:val="20"/>
                <w:szCs w:val="20"/>
              </w:rPr>
              <w:t>1.769.040.000</w:t>
            </w:r>
          </w:p>
        </w:tc>
      </w:tr>
      <w:tr w14:paraId="7795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7CCB812">
            <w:pPr>
              <w:jc w:val="center"/>
              <w:rPr>
                <w:b/>
                <w:bCs/>
                <w:color w:val="000000"/>
                <w:sz w:val="20"/>
                <w:szCs w:val="20"/>
              </w:rPr>
            </w:pPr>
            <w:r>
              <w:rPr>
                <w:b/>
                <w:bCs/>
                <w:color w:val="000000"/>
                <w:sz w:val="20"/>
                <w:szCs w:val="20"/>
              </w:rPr>
              <w:t>LK30</w:t>
            </w:r>
          </w:p>
        </w:tc>
        <w:tc>
          <w:tcPr>
            <w:tcW w:w="1802" w:type="dxa"/>
            <w:vAlign w:val="center"/>
          </w:tcPr>
          <w:p w14:paraId="43BE5D69">
            <w:pPr>
              <w:jc w:val="center"/>
              <w:rPr>
                <w:color w:val="000000"/>
                <w:sz w:val="20"/>
                <w:szCs w:val="20"/>
              </w:rPr>
            </w:pPr>
            <w:r>
              <w:rPr>
                <w:color w:val="000000"/>
                <w:sz w:val="20"/>
                <w:szCs w:val="20"/>
              </w:rPr>
              <w:t>LK30:10</w:t>
            </w:r>
          </w:p>
        </w:tc>
        <w:tc>
          <w:tcPr>
            <w:tcW w:w="1033" w:type="dxa"/>
            <w:noWrap/>
            <w:vAlign w:val="center"/>
          </w:tcPr>
          <w:p w14:paraId="79125AEF">
            <w:pPr>
              <w:jc w:val="center"/>
              <w:rPr>
                <w:color w:val="000000"/>
                <w:sz w:val="20"/>
                <w:szCs w:val="20"/>
              </w:rPr>
            </w:pPr>
            <w:r>
              <w:rPr>
                <w:color w:val="000000"/>
                <w:sz w:val="20"/>
                <w:szCs w:val="20"/>
              </w:rPr>
              <w:t>136,50</w:t>
            </w:r>
          </w:p>
        </w:tc>
        <w:tc>
          <w:tcPr>
            <w:tcW w:w="846" w:type="dxa"/>
            <w:noWrap/>
            <w:vAlign w:val="center"/>
          </w:tcPr>
          <w:p w14:paraId="50378234">
            <w:pPr>
              <w:jc w:val="center"/>
              <w:rPr>
                <w:color w:val="000000"/>
                <w:sz w:val="20"/>
                <w:szCs w:val="20"/>
              </w:rPr>
            </w:pPr>
            <w:r>
              <w:rPr>
                <w:color w:val="000000"/>
                <w:sz w:val="20"/>
                <w:szCs w:val="20"/>
              </w:rPr>
              <w:t>1</w:t>
            </w:r>
          </w:p>
        </w:tc>
        <w:tc>
          <w:tcPr>
            <w:tcW w:w="2578" w:type="dxa"/>
            <w:noWrap/>
            <w:vAlign w:val="center"/>
          </w:tcPr>
          <w:p w14:paraId="7C8AD6A2">
            <w:pPr>
              <w:jc w:val="center"/>
              <w:rPr>
                <w:color w:val="000000"/>
                <w:sz w:val="20"/>
                <w:szCs w:val="20"/>
              </w:rPr>
            </w:pPr>
            <w:r>
              <w:rPr>
                <w:color w:val="000000"/>
                <w:sz w:val="20"/>
                <w:szCs w:val="20"/>
              </w:rPr>
              <w:t>Mặt cắt 3-3</w:t>
            </w:r>
          </w:p>
        </w:tc>
        <w:tc>
          <w:tcPr>
            <w:tcW w:w="2393" w:type="dxa"/>
            <w:noWrap/>
            <w:vAlign w:val="center"/>
          </w:tcPr>
          <w:p w14:paraId="75590B92">
            <w:pPr>
              <w:jc w:val="center"/>
              <w:rPr>
                <w:color w:val="000000"/>
                <w:sz w:val="20"/>
                <w:szCs w:val="20"/>
              </w:rPr>
            </w:pPr>
            <w:r>
              <w:rPr>
                <w:color w:val="000000"/>
                <w:sz w:val="20"/>
                <w:szCs w:val="20"/>
              </w:rPr>
              <w:t>Hai mặt tiền, đối diện/tiếp giáp CX-MN</w:t>
            </w:r>
          </w:p>
        </w:tc>
        <w:tc>
          <w:tcPr>
            <w:tcW w:w="1198" w:type="dxa"/>
            <w:noWrap/>
            <w:vAlign w:val="center"/>
          </w:tcPr>
          <w:p w14:paraId="741DD0A7">
            <w:pPr>
              <w:jc w:val="center"/>
              <w:rPr>
                <w:color w:val="000000"/>
                <w:sz w:val="20"/>
                <w:szCs w:val="20"/>
              </w:rPr>
            </w:pPr>
            <w:r>
              <w:rPr>
                <w:color w:val="000000"/>
                <w:sz w:val="20"/>
                <w:szCs w:val="20"/>
              </w:rPr>
              <w:t>12.960.000</w:t>
            </w:r>
          </w:p>
        </w:tc>
        <w:tc>
          <w:tcPr>
            <w:tcW w:w="1236" w:type="dxa"/>
            <w:noWrap/>
            <w:vAlign w:val="center"/>
          </w:tcPr>
          <w:p w14:paraId="36DA972C">
            <w:pPr>
              <w:jc w:val="center"/>
              <w:rPr>
                <w:color w:val="000000"/>
                <w:sz w:val="20"/>
                <w:szCs w:val="20"/>
              </w:rPr>
            </w:pPr>
          </w:p>
        </w:tc>
        <w:tc>
          <w:tcPr>
            <w:tcW w:w="1252" w:type="dxa"/>
            <w:noWrap/>
            <w:vAlign w:val="center"/>
          </w:tcPr>
          <w:p w14:paraId="7AE63A3D">
            <w:pPr>
              <w:jc w:val="center"/>
              <w:rPr>
                <w:color w:val="000000"/>
                <w:sz w:val="20"/>
                <w:szCs w:val="20"/>
              </w:rPr>
            </w:pPr>
            <w:r>
              <w:rPr>
                <w:color w:val="000000"/>
                <w:sz w:val="20"/>
                <w:szCs w:val="20"/>
              </w:rPr>
              <w:t>12.960.000</w:t>
            </w:r>
          </w:p>
        </w:tc>
        <w:tc>
          <w:tcPr>
            <w:tcW w:w="1848" w:type="dxa"/>
            <w:noWrap/>
            <w:vAlign w:val="center"/>
          </w:tcPr>
          <w:p w14:paraId="6D552C65">
            <w:pPr>
              <w:jc w:val="center"/>
              <w:rPr>
                <w:color w:val="000000"/>
                <w:sz w:val="20"/>
                <w:szCs w:val="20"/>
              </w:rPr>
            </w:pPr>
            <w:r>
              <w:rPr>
                <w:color w:val="000000"/>
                <w:sz w:val="20"/>
                <w:szCs w:val="20"/>
              </w:rPr>
              <w:t>1.769.040.000</w:t>
            </w:r>
          </w:p>
        </w:tc>
      </w:tr>
      <w:tr w14:paraId="4DD6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CB2A141">
            <w:pPr>
              <w:jc w:val="center"/>
              <w:rPr>
                <w:b/>
                <w:bCs/>
                <w:color w:val="000000"/>
                <w:sz w:val="20"/>
                <w:szCs w:val="20"/>
              </w:rPr>
            </w:pPr>
            <w:r>
              <w:rPr>
                <w:b/>
                <w:bCs/>
                <w:color w:val="000000"/>
                <w:sz w:val="20"/>
                <w:szCs w:val="20"/>
              </w:rPr>
              <w:t>LK31</w:t>
            </w:r>
          </w:p>
        </w:tc>
        <w:tc>
          <w:tcPr>
            <w:tcW w:w="1802" w:type="dxa"/>
            <w:vAlign w:val="center"/>
          </w:tcPr>
          <w:p w14:paraId="5BE0FC2D">
            <w:pPr>
              <w:jc w:val="center"/>
              <w:rPr>
                <w:color w:val="000000"/>
                <w:sz w:val="20"/>
                <w:szCs w:val="20"/>
              </w:rPr>
            </w:pPr>
            <w:r>
              <w:rPr>
                <w:color w:val="000000"/>
                <w:sz w:val="20"/>
                <w:szCs w:val="20"/>
              </w:rPr>
              <w:t>LK31:10</w:t>
            </w:r>
          </w:p>
        </w:tc>
        <w:tc>
          <w:tcPr>
            <w:tcW w:w="1033" w:type="dxa"/>
            <w:noWrap/>
            <w:vAlign w:val="center"/>
          </w:tcPr>
          <w:p w14:paraId="613721B6">
            <w:pPr>
              <w:jc w:val="center"/>
              <w:rPr>
                <w:color w:val="000000"/>
                <w:sz w:val="20"/>
                <w:szCs w:val="20"/>
              </w:rPr>
            </w:pPr>
            <w:r>
              <w:rPr>
                <w:color w:val="000000"/>
                <w:sz w:val="20"/>
                <w:szCs w:val="20"/>
              </w:rPr>
              <w:t>136,50</w:t>
            </w:r>
          </w:p>
        </w:tc>
        <w:tc>
          <w:tcPr>
            <w:tcW w:w="846" w:type="dxa"/>
            <w:noWrap/>
            <w:vAlign w:val="center"/>
          </w:tcPr>
          <w:p w14:paraId="1B153B61">
            <w:pPr>
              <w:jc w:val="center"/>
              <w:rPr>
                <w:color w:val="000000"/>
                <w:sz w:val="20"/>
                <w:szCs w:val="20"/>
              </w:rPr>
            </w:pPr>
            <w:r>
              <w:rPr>
                <w:color w:val="000000"/>
                <w:sz w:val="20"/>
                <w:szCs w:val="20"/>
              </w:rPr>
              <w:t>1</w:t>
            </w:r>
          </w:p>
        </w:tc>
        <w:tc>
          <w:tcPr>
            <w:tcW w:w="2578" w:type="dxa"/>
            <w:noWrap/>
            <w:vAlign w:val="center"/>
          </w:tcPr>
          <w:p w14:paraId="1893C02C">
            <w:pPr>
              <w:jc w:val="center"/>
              <w:rPr>
                <w:color w:val="000000"/>
                <w:sz w:val="20"/>
                <w:szCs w:val="20"/>
              </w:rPr>
            </w:pPr>
            <w:r>
              <w:rPr>
                <w:color w:val="000000"/>
                <w:sz w:val="20"/>
                <w:szCs w:val="20"/>
              </w:rPr>
              <w:t>Mặt cắt 3-3</w:t>
            </w:r>
          </w:p>
        </w:tc>
        <w:tc>
          <w:tcPr>
            <w:tcW w:w="2393" w:type="dxa"/>
            <w:noWrap/>
            <w:vAlign w:val="center"/>
          </w:tcPr>
          <w:p w14:paraId="774019D8">
            <w:pPr>
              <w:jc w:val="center"/>
              <w:rPr>
                <w:color w:val="000000"/>
                <w:sz w:val="20"/>
                <w:szCs w:val="20"/>
              </w:rPr>
            </w:pPr>
            <w:r>
              <w:rPr>
                <w:color w:val="000000"/>
                <w:sz w:val="20"/>
                <w:szCs w:val="20"/>
              </w:rPr>
              <w:t>Hai mặt tiền</w:t>
            </w:r>
          </w:p>
        </w:tc>
        <w:tc>
          <w:tcPr>
            <w:tcW w:w="1198" w:type="dxa"/>
            <w:noWrap/>
            <w:vAlign w:val="center"/>
          </w:tcPr>
          <w:p w14:paraId="712C66B5">
            <w:pPr>
              <w:jc w:val="center"/>
              <w:rPr>
                <w:color w:val="000000"/>
                <w:sz w:val="20"/>
                <w:szCs w:val="20"/>
              </w:rPr>
            </w:pPr>
            <w:r>
              <w:rPr>
                <w:color w:val="000000"/>
                <w:sz w:val="20"/>
                <w:szCs w:val="20"/>
              </w:rPr>
              <w:t>12.420.000</w:t>
            </w:r>
          </w:p>
        </w:tc>
        <w:tc>
          <w:tcPr>
            <w:tcW w:w="1236" w:type="dxa"/>
            <w:noWrap/>
            <w:vAlign w:val="center"/>
          </w:tcPr>
          <w:p w14:paraId="4F6D15AE">
            <w:pPr>
              <w:jc w:val="center"/>
              <w:rPr>
                <w:color w:val="000000"/>
                <w:sz w:val="20"/>
                <w:szCs w:val="20"/>
              </w:rPr>
            </w:pPr>
          </w:p>
        </w:tc>
        <w:tc>
          <w:tcPr>
            <w:tcW w:w="1252" w:type="dxa"/>
            <w:noWrap/>
            <w:vAlign w:val="center"/>
          </w:tcPr>
          <w:p w14:paraId="26E58BA7">
            <w:pPr>
              <w:jc w:val="center"/>
              <w:rPr>
                <w:color w:val="000000"/>
                <w:sz w:val="20"/>
                <w:szCs w:val="20"/>
              </w:rPr>
            </w:pPr>
            <w:r>
              <w:rPr>
                <w:color w:val="000000"/>
                <w:sz w:val="20"/>
                <w:szCs w:val="20"/>
              </w:rPr>
              <w:t>12.420.000</w:t>
            </w:r>
          </w:p>
        </w:tc>
        <w:tc>
          <w:tcPr>
            <w:tcW w:w="1848" w:type="dxa"/>
            <w:noWrap/>
            <w:vAlign w:val="center"/>
          </w:tcPr>
          <w:p w14:paraId="4F2B5E88">
            <w:pPr>
              <w:jc w:val="center"/>
              <w:rPr>
                <w:color w:val="000000"/>
                <w:sz w:val="20"/>
                <w:szCs w:val="20"/>
              </w:rPr>
            </w:pPr>
            <w:r>
              <w:rPr>
                <w:color w:val="000000"/>
                <w:sz w:val="20"/>
                <w:szCs w:val="20"/>
              </w:rPr>
              <w:t>1.695.330.000</w:t>
            </w:r>
          </w:p>
        </w:tc>
      </w:tr>
      <w:tr w14:paraId="15B4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6D0235E">
            <w:pPr>
              <w:jc w:val="center"/>
              <w:rPr>
                <w:b/>
                <w:bCs/>
                <w:color w:val="000000"/>
                <w:sz w:val="20"/>
                <w:szCs w:val="20"/>
              </w:rPr>
            </w:pPr>
            <w:r>
              <w:rPr>
                <w:b/>
                <w:bCs/>
                <w:color w:val="000000"/>
                <w:sz w:val="20"/>
                <w:szCs w:val="20"/>
              </w:rPr>
              <w:t>LK34</w:t>
            </w:r>
          </w:p>
        </w:tc>
        <w:tc>
          <w:tcPr>
            <w:tcW w:w="1802" w:type="dxa"/>
            <w:vAlign w:val="center"/>
          </w:tcPr>
          <w:p w14:paraId="69E99680">
            <w:pPr>
              <w:jc w:val="center"/>
              <w:rPr>
                <w:color w:val="000000"/>
                <w:sz w:val="20"/>
                <w:szCs w:val="20"/>
              </w:rPr>
            </w:pPr>
            <w:r>
              <w:rPr>
                <w:color w:val="000000"/>
                <w:sz w:val="20"/>
                <w:szCs w:val="20"/>
              </w:rPr>
              <w:t>LK34:10</w:t>
            </w:r>
          </w:p>
        </w:tc>
        <w:tc>
          <w:tcPr>
            <w:tcW w:w="1033" w:type="dxa"/>
            <w:noWrap/>
            <w:vAlign w:val="center"/>
          </w:tcPr>
          <w:p w14:paraId="413FA609">
            <w:pPr>
              <w:jc w:val="center"/>
              <w:rPr>
                <w:color w:val="000000"/>
                <w:sz w:val="20"/>
                <w:szCs w:val="20"/>
              </w:rPr>
            </w:pPr>
            <w:r>
              <w:rPr>
                <w:color w:val="000000"/>
                <w:sz w:val="20"/>
                <w:szCs w:val="20"/>
              </w:rPr>
              <w:t>136,50</w:t>
            </w:r>
          </w:p>
        </w:tc>
        <w:tc>
          <w:tcPr>
            <w:tcW w:w="846" w:type="dxa"/>
            <w:noWrap/>
            <w:vAlign w:val="center"/>
          </w:tcPr>
          <w:p w14:paraId="41D17293">
            <w:pPr>
              <w:jc w:val="center"/>
              <w:rPr>
                <w:color w:val="000000"/>
                <w:sz w:val="20"/>
                <w:szCs w:val="20"/>
              </w:rPr>
            </w:pPr>
            <w:r>
              <w:rPr>
                <w:color w:val="000000"/>
                <w:sz w:val="20"/>
                <w:szCs w:val="20"/>
              </w:rPr>
              <w:t>1</w:t>
            </w:r>
          </w:p>
        </w:tc>
        <w:tc>
          <w:tcPr>
            <w:tcW w:w="2578" w:type="dxa"/>
            <w:noWrap/>
            <w:vAlign w:val="center"/>
          </w:tcPr>
          <w:p w14:paraId="1B2539EF">
            <w:pPr>
              <w:jc w:val="center"/>
              <w:rPr>
                <w:color w:val="000000"/>
                <w:sz w:val="20"/>
                <w:szCs w:val="20"/>
              </w:rPr>
            </w:pPr>
            <w:r>
              <w:rPr>
                <w:color w:val="000000"/>
                <w:sz w:val="20"/>
                <w:szCs w:val="20"/>
              </w:rPr>
              <w:t>Mặt cắt 3-3</w:t>
            </w:r>
          </w:p>
        </w:tc>
        <w:tc>
          <w:tcPr>
            <w:tcW w:w="2393" w:type="dxa"/>
            <w:noWrap/>
            <w:vAlign w:val="center"/>
          </w:tcPr>
          <w:p w14:paraId="7E2C5911">
            <w:pPr>
              <w:jc w:val="center"/>
              <w:rPr>
                <w:color w:val="000000"/>
                <w:sz w:val="20"/>
                <w:szCs w:val="20"/>
              </w:rPr>
            </w:pPr>
            <w:r>
              <w:rPr>
                <w:color w:val="000000"/>
                <w:sz w:val="20"/>
                <w:szCs w:val="20"/>
              </w:rPr>
              <w:t>Hai mặt tiền</w:t>
            </w:r>
          </w:p>
        </w:tc>
        <w:tc>
          <w:tcPr>
            <w:tcW w:w="1198" w:type="dxa"/>
            <w:noWrap/>
            <w:vAlign w:val="center"/>
          </w:tcPr>
          <w:p w14:paraId="0661D9D0">
            <w:pPr>
              <w:jc w:val="center"/>
              <w:rPr>
                <w:color w:val="000000"/>
                <w:sz w:val="20"/>
                <w:szCs w:val="20"/>
              </w:rPr>
            </w:pPr>
            <w:r>
              <w:rPr>
                <w:color w:val="000000"/>
                <w:sz w:val="20"/>
                <w:szCs w:val="20"/>
              </w:rPr>
              <w:t>12.420.000</w:t>
            </w:r>
          </w:p>
        </w:tc>
        <w:tc>
          <w:tcPr>
            <w:tcW w:w="1236" w:type="dxa"/>
            <w:noWrap/>
            <w:vAlign w:val="center"/>
          </w:tcPr>
          <w:p w14:paraId="72EDC51E">
            <w:pPr>
              <w:jc w:val="center"/>
              <w:rPr>
                <w:color w:val="000000"/>
                <w:sz w:val="20"/>
                <w:szCs w:val="20"/>
              </w:rPr>
            </w:pPr>
          </w:p>
        </w:tc>
        <w:tc>
          <w:tcPr>
            <w:tcW w:w="1252" w:type="dxa"/>
            <w:noWrap/>
            <w:vAlign w:val="center"/>
          </w:tcPr>
          <w:p w14:paraId="26B017D2">
            <w:pPr>
              <w:jc w:val="center"/>
              <w:rPr>
                <w:color w:val="000000"/>
                <w:sz w:val="20"/>
                <w:szCs w:val="20"/>
              </w:rPr>
            </w:pPr>
            <w:r>
              <w:rPr>
                <w:color w:val="000000"/>
                <w:sz w:val="20"/>
                <w:szCs w:val="20"/>
              </w:rPr>
              <w:t>12.420.000</w:t>
            </w:r>
          </w:p>
        </w:tc>
        <w:tc>
          <w:tcPr>
            <w:tcW w:w="1848" w:type="dxa"/>
            <w:noWrap/>
            <w:vAlign w:val="center"/>
          </w:tcPr>
          <w:p w14:paraId="4C8E99F2">
            <w:pPr>
              <w:jc w:val="center"/>
              <w:rPr>
                <w:color w:val="000000"/>
                <w:sz w:val="20"/>
                <w:szCs w:val="20"/>
              </w:rPr>
            </w:pPr>
            <w:r>
              <w:rPr>
                <w:color w:val="000000"/>
                <w:sz w:val="20"/>
                <w:szCs w:val="20"/>
              </w:rPr>
              <w:t>1.695.330.000</w:t>
            </w:r>
          </w:p>
        </w:tc>
      </w:tr>
      <w:tr w14:paraId="4769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1E0F4C6">
            <w:pPr>
              <w:jc w:val="center"/>
              <w:rPr>
                <w:b/>
                <w:bCs/>
                <w:color w:val="000000"/>
                <w:sz w:val="20"/>
                <w:szCs w:val="20"/>
              </w:rPr>
            </w:pPr>
            <w:r>
              <w:rPr>
                <w:b/>
                <w:bCs/>
                <w:color w:val="000000"/>
                <w:sz w:val="20"/>
                <w:szCs w:val="20"/>
              </w:rPr>
              <w:t>LK42</w:t>
            </w:r>
          </w:p>
        </w:tc>
        <w:tc>
          <w:tcPr>
            <w:tcW w:w="1802" w:type="dxa"/>
            <w:vAlign w:val="center"/>
          </w:tcPr>
          <w:p w14:paraId="3E1B3156">
            <w:pPr>
              <w:jc w:val="center"/>
              <w:rPr>
                <w:color w:val="000000"/>
                <w:sz w:val="20"/>
                <w:szCs w:val="20"/>
              </w:rPr>
            </w:pPr>
            <w:r>
              <w:rPr>
                <w:color w:val="000000"/>
                <w:sz w:val="20"/>
                <w:szCs w:val="20"/>
              </w:rPr>
              <w:t>LK42:10</w:t>
            </w:r>
          </w:p>
        </w:tc>
        <w:tc>
          <w:tcPr>
            <w:tcW w:w="1033" w:type="dxa"/>
            <w:noWrap/>
            <w:vAlign w:val="center"/>
          </w:tcPr>
          <w:p w14:paraId="34408F2D">
            <w:pPr>
              <w:jc w:val="center"/>
              <w:rPr>
                <w:color w:val="000000"/>
                <w:sz w:val="20"/>
                <w:szCs w:val="20"/>
              </w:rPr>
            </w:pPr>
            <w:r>
              <w:rPr>
                <w:color w:val="000000"/>
                <w:sz w:val="20"/>
                <w:szCs w:val="20"/>
              </w:rPr>
              <w:t>136,50</w:t>
            </w:r>
          </w:p>
        </w:tc>
        <w:tc>
          <w:tcPr>
            <w:tcW w:w="846" w:type="dxa"/>
            <w:noWrap/>
            <w:vAlign w:val="center"/>
          </w:tcPr>
          <w:p w14:paraId="2BC19082">
            <w:pPr>
              <w:jc w:val="center"/>
              <w:rPr>
                <w:color w:val="000000"/>
                <w:sz w:val="20"/>
                <w:szCs w:val="20"/>
              </w:rPr>
            </w:pPr>
            <w:r>
              <w:rPr>
                <w:color w:val="000000"/>
                <w:sz w:val="20"/>
                <w:szCs w:val="20"/>
              </w:rPr>
              <w:t>1</w:t>
            </w:r>
          </w:p>
        </w:tc>
        <w:tc>
          <w:tcPr>
            <w:tcW w:w="2578" w:type="dxa"/>
            <w:noWrap/>
            <w:vAlign w:val="center"/>
          </w:tcPr>
          <w:p w14:paraId="3BD198EE">
            <w:pPr>
              <w:jc w:val="center"/>
              <w:rPr>
                <w:color w:val="000000"/>
                <w:sz w:val="20"/>
                <w:szCs w:val="20"/>
              </w:rPr>
            </w:pPr>
            <w:r>
              <w:rPr>
                <w:color w:val="000000"/>
                <w:sz w:val="20"/>
                <w:szCs w:val="20"/>
              </w:rPr>
              <w:t>Mặt cắt 3-3</w:t>
            </w:r>
          </w:p>
        </w:tc>
        <w:tc>
          <w:tcPr>
            <w:tcW w:w="2393" w:type="dxa"/>
            <w:noWrap/>
            <w:vAlign w:val="center"/>
          </w:tcPr>
          <w:p w14:paraId="72E4A3CC">
            <w:pPr>
              <w:jc w:val="center"/>
              <w:rPr>
                <w:color w:val="000000"/>
                <w:sz w:val="20"/>
                <w:szCs w:val="20"/>
              </w:rPr>
            </w:pPr>
            <w:r>
              <w:rPr>
                <w:color w:val="000000"/>
                <w:sz w:val="20"/>
                <w:szCs w:val="20"/>
              </w:rPr>
              <w:t>Hai mặt tiền</w:t>
            </w:r>
          </w:p>
        </w:tc>
        <w:tc>
          <w:tcPr>
            <w:tcW w:w="1198" w:type="dxa"/>
            <w:noWrap/>
            <w:vAlign w:val="center"/>
          </w:tcPr>
          <w:p w14:paraId="486CB1EF">
            <w:pPr>
              <w:jc w:val="center"/>
              <w:rPr>
                <w:color w:val="000000"/>
                <w:sz w:val="20"/>
                <w:szCs w:val="20"/>
              </w:rPr>
            </w:pPr>
            <w:r>
              <w:rPr>
                <w:color w:val="000000"/>
                <w:sz w:val="20"/>
                <w:szCs w:val="20"/>
              </w:rPr>
              <w:t>12.420.000</w:t>
            </w:r>
          </w:p>
        </w:tc>
        <w:tc>
          <w:tcPr>
            <w:tcW w:w="1236" w:type="dxa"/>
            <w:noWrap/>
            <w:vAlign w:val="center"/>
          </w:tcPr>
          <w:p w14:paraId="0CF2FC2A">
            <w:pPr>
              <w:jc w:val="center"/>
              <w:rPr>
                <w:color w:val="000000"/>
                <w:sz w:val="20"/>
                <w:szCs w:val="20"/>
              </w:rPr>
            </w:pPr>
          </w:p>
        </w:tc>
        <w:tc>
          <w:tcPr>
            <w:tcW w:w="1252" w:type="dxa"/>
            <w:noWrap/>
            <w:vAlign w:val="center"/>
          </w:tcPr>
          <w:p w14:paraId="60C07EAB">
            <w:pPr>
              <w:jc w:val="center"/>
              <w:rPr>
                <w:color w:val="000000"/>
                <w:sz w:val="20"/>
                <w:szCs w:val="20"/>
              </w:rPr>
            </w:pPr>
            <w:r>
              <w:rPr>
                <w:color w:val="000000"/>
                <w:sz w:val="20"/>
                <w:szCs w:val="20"/>
              </w:rPr>
              <w:t>12.420.000</w:t>
            </w:r>
          </w:p>
        </w:tc>
        <w:tc>
          <w:tcPr>
            <w:tcW w:w="1848" w:type="dxa"/>
            <w:noWrap/>
            <w:vAlign w:val="center"/>
          </w:tcPr>
          <w:p w14:paraId="53C854CA">
            <w:pPr>
              <w:jc w:val="center"/>
              <w:rPr>
                <w:color w:val="000000"/>
                <w:sz w:val="20"/>
                <w:szCs w:val="20"/>
              </w:rPr>
            </w:pPr>
            <w:r>
              <w:rPr>
                <w:color w:val="000000"/>
                <w:sz w:val="20"/>
                <w:szCs w:val="20"/>
              </w:rPr>
              <w:t>1.695.330.000</w:t>
            </w:r>
          </w:p>
        </w:tc>
      </w:tr>
      <w:tr w14:paraId="690E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4860A1">
            <w:pPr>
              <w:jc w:val="center"/>
              <w:rPr>
                <w:b/>
                <w:bCs/>
                <w:color w:val="000000"/>
                <w:sz w:val="20"/>
                <w:szCs w:val="20"/>
              </w:rPr>
            </w:pPr>
            <w:r>
              <w:rPr>
                <w:b/>
                <w:bCs/>
                <w:color w:val="000000"/>
                <w:sz w:val="20"/>
                <w:szCs w:val="20"/>
              </w:rPr>
              <w:t>LK47</w:t>
            </w:r>
          </w:p>
        </w:tc>
        <w:tc>
          <w:tcPr>
            <w:tcW w:w="1802" w:type="dxa"/>
            <w:vAlign w:val="center"/>
          </w:tcPr>
          <w:p w14:paraId="3FAFC3C6">
            <w:pPr>
              <w:jc w:val="center"/>
              <w:rPr>
                <w:color w:val="000000"/>
                <w:sz w:val="20"/>
                <w:szCs w:val="20"/>
              </w:rPr>
            </w:pPr>
            <w:r>
              <w:rPr>
                <w:color w:val="000000"/>
                <w:sz w:val="20"/>
                <w:szCs w:val="20"/>
              </w:rPr>
              <w:t>LK47:10</w:t>
            </w:r>
          </w:p>
        </w:tc>
        <w:tc>
          <w:tcPr>
            <w:tcW w:w="1033" w:type="dxa"/>
            <w:noWrap/>
            <w:vAlign w:val="center"/>
          </w:tcPr>
          <w:p w14:paraId="54F6611D">
            <w:pPr>
              <w:jc w:val="center"/>
              <w:rPr>
                <w:color w:val="000000"/>
                <w:sz w:val="20"/>
                <w:szCs w:val="20"/>
              </w:rPr>
            </w:pPr>
            <w:r>
              <w:rPr>
                <w:color w:val="000000"/>
                <w:sz w:val="20"/>
                <w:szCs w:val="20"/>
              </w:rPr>
              <w:t>136,50</w:t>
            </w:r>
          </w:p>
        </w:tc>
        <w:tc>
          <w:tcPr>
            <w:tcW w:w="846" w:type="dxa"/>
            <w:noWrap/>
            <w:vAlign w:val="center"/>
          </w:tcPr>
          <w:p w14:paraId="0AF87BBE">
            <w:pPr>
              <w:jc w:val="center"/>
              <w:rPr>
                <w:color w:val="000000"/>
                <w:sz w:val="20"/>
                <w:szCs w:val="20"/>
              </w:rPr>
            </w:pPr>
            <w:r>
              <w:rPr>
                <w:color w:val="000000"/>
                <w:sz w:val="20"/>
                <w:szCs w:val="20"/>
              </w:rPr>
              <w:t>1</w:t>
            </w:r>
          </w:p>
        </w:tc>
        <w:tc>
          <w:tcPr>
            <w:tcW w:w="2578" w:type="dxa"/>
            <w:noWrap/>
            <w:vAlign w:val="center"/>
          </w:tcPr>
          <w:p w14:paraId="79AFD234">
            <w:pPr>
              <w:jc w:val="center"/>
              <w:rPr>
                <w:color w:val="000000"/>
                <w:sz w:val="20"/>
                <w:szCs w:val="20"/>
              </w:rPr>
            </w:pPr>
            <w:r>
              <w:rPr>
                <w:color w:val="000000"/>
                <w:sz w:val="20"/>
                <w:szCs w:val="20"/>
              </w:rPr>
              <w:t>Mặt cắt 3-3</w:t>
            </w:r>
          </w:p>
        </w:tc>
        <w:tc>
          <w:tcPr>
            <w:tcW w:w="2393" w:type="dxa"/>
            <w:noWrap/>
            <w:vAlign w:val="center"/>
          </w:tcPr>
          <w:p w14:paraId="69201F35">
            <w:pPr>
              <w:jc w:val="center"/>
              <w:rPr>
                <w:color w:val="000000"/>
                <w:sz w:val="20"/>
                <w:szCs w:val="20"/>
              </w:rPr>
            </w:pPr>
            <w:r>
              <w:rPr>
                <w:color w:val="000000"/>
                <w:sz w:val="20"/>
                <w:szCs w:val="20"/>
              </w:rPr>
              <w:t>Hai mặt tiền</w:t>
            </w:r>
          </w:p>
        </w:tc>
        <w:tc>
          <w:tcPr>
            <w:tcW w:w="1198" w:type="dxa"/>
            <w:noWrap/>
            <w:vAlign w:val="center"/>
          </w:tcPr>
          <w:p w14:paraId="105A1A16">
            <w:pPr>
              <w:jc w:val="center"/>
              <w:rPr>
                <w:color w:val="000000"/>
                <w:sz w:val="20"/>
                <w:szCs w:val="20"/>
              </w:rPr>
            </w:pPr>
            <w:r>
              <w:rPr>
                <w:color w:val="000000"/>
                <w:sz w:val="20"/>
                <w:szCs w:val="20"/>
              </w:rPr>
              <w:t>12.420.000</w:t>
            </w:r>
          </w:p>
        </w:tc>
        <w:tc>
          <w:tcPr>
            <w:tcW w:w="1236" w:type="dxa"/>
            <w:noWrap/>
            <w:vAlign w:val="center"/>
          </w:tcPr>
          <w:p w14:paraId="6BA76BB2">
            <w:pPr>
              <w:jc w:val="center"/>
              <w:rPr>
                <w:color w:val="000000"/>
                <w:sz w:val="20"/>
                <w:szCs w:val="20"/>
              </w:rPr>
            </w:pPr>
          </w:p>
        </w:tc>
        <w:tc>
          <w:tcPr>
            <w:tcW w:w="1252" w:type="dxa"/>
            <w:noWrap/>
            <w:vAlign w:val="center"/>
          </w:tcPr>
          <w:p w14:paraId="10DB843A">
            <w:pPr>
              <w:jc w:val="center"/>
              <w:rPr>
                <w:color w:val="000000"/>
                <w:sz w:val="20"/>
                <w:szCs w:val="20"/>
              </w:rPr>
            </w:pPr>
            <w:r>
              <w:rPr>
                <w:color w:val="000000"/>
                <w:sz w:val="20"/>
                <w:szCs w:val="20"/>
              </w:rPr>
              <w:t>12.420.000</w:t>
            </w:r>
          </w:p>
        </w:tc>
        <w:tc>
          <w:tcPr>
            <w:tcW w:w="1848" w:type="dxa"/>
            <w:noWrap/>
            <w:vAlign w:val="center"/>
          </w:tcPr>
          <w:p w14:paraId="506C6296">
            <w:pPr>
              <w:jc w:val="center"/>
              <w:rPr>
                <w:color w:val="000000"/>
                <w:sz w:val="20"/>
                <w:szCs w:val="20"/>
              </w:rPr>
            </w:pPr>
            <w:r>
              <w:rPr>
                <w:color w:val="000000"/>
                <w:sz w:val="20"/>
                <w:szCs w:val="20"/>
              </w:rPr>
              <w:t>1.695.330.000</w:t>
            </w:r>
          </w:p>
        </w:tc>
      </w:tr>
      <w:tr w14:paraId="1210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94DC24">
            <w:pPr>
              <w:jc w:val="center"/>
              <w:rPr>
                <w:b/>
                <w:bCs/>
                <w:color w:val="000000"/>
                <w:sz w:val="20"/>
                <w:szCs w:val="20"/>
              </w:rPr>
            </w:pPr>
            <w:r>
              <w:rPr>
                <w:b/>
                <w:bCs/>
                <w:color w:val="000000"/>
                <w:sz w:val="20"/>
                <w:szCs w:val="20"/>
              </w:rPr>
              <w:t>LK60</w:t>
            </w:r>
          </w:p>
        </w:tc>
        <w:tc>
          <w:tcPr>
            <w:tcW w:w="1802" w:type="dxa"/>
            <w:vAlign w:val="center"/>
          </w:tcPr>
          <w:p w14:paraId="52CE5181">
            <w:pPr>
              <w:jc w:val="center"/>
              <w:rPr>
                <w:color w:val="000000"/>
                <w:sz w:val="20"/>
                <w:szCs w:val="20"/>
              </w:rPr>
            </w:pPr>
            <w:r>
              <w:rPr>
                <w:color w:val="000000"/>
                <w:sz w:val="20"/>
                <w:szCs w:val="20"/>
              </w:rPr>
              <w:t>LK60:09</w:t>
            </w:r>
          </w:p>
        </w:tc>
        <w:tc>
          <w:tcPr>
            <w:tcW w:w="1033" w:type="dxa"/>
            <w:noWrap/>
            <w:vAlign w:val="center"/>
          </w:tcPr>
          <w:p w14:paraId="5019A897">
            <w:pPr>
              <w:jc w:val="center"/>
              <w:rPr>
                <w:color w:val="000000"/>
                <w:sz w:val="20"/>
                <w:szCs w:val="20"/>
              </w:rPr>
            </w:pPr>
            <w:r>
              <w:rPr>
                <w:color w:val="000000"/>
                <w:sz w:val="20"/>
                <w:szCs w:val="20"/>
              </w:rPr>
              <w:t>99,58</w:t>
            </w:r>
          </w:p>
        </w:tc>
        <w:tc>
          <w:tcPr>
            <w:tcW w:w="846" w:type="dxa"/>
            <w:noWrap/>
            <w:vAlign w:val="center"/>
          </w:tcPr>
          <w:p w14:paraId="036583D3">
            <w:pPr>
              <w:jc w:val="center"/>
              <w:rPr>
                <w:color w:val="000000"/>
                <w:sz w:val="20"/>
                <w:szCs w:val="20"/>
              </w:rPr>
            </w:pPr>
            <w:r>
              <w:rPr>
                <w:color w:val="000000"/>
                <w:sz w:val="20"/>
                <w:szCs w:val="20"/>
              </w:rPr>
              <w:t>1</w:t>
            </w:r>
          </w:p>
        </w:tc>
        <w:tc>
          <w:tcPr>
            <w:tcW w:w="2578" w:type="dxa"/>
            <w:noWrap/>
            <w:vAlign w:val="center"/>
          </w:tcPr>
          <w:p w14:paraId="687ED665">
            <w:pPr>
              <w:jc w:val="center"/>
              <w:rPr>
                <w:color w:val="000000"/>
                <w:sz w:val="20"/>
                <w:szCs w:val="20"/>
              </w:rPr>
            </w:pPr>
            <w:r>
              <w:rPr>
                <w:color w:val="000000"/>
                <w:sz w:val="20"/>
                <w:szCs w:val="20"/>
              </w:rPr>
              <w:t>Mặt cắt 3-3</w:t>
            </w:r>
          </w:p>
        </w:tc>
        <w:tc>
          <w:tcPr>
            <w:tcW w:w="2393" w:type="dxa"/>
            <w:noWrap/>
            <w:vAlign w:val="center"/>
          </w:tcPr>
          <w:p w14:paraId="64F3C8FD">
            <w:pPr>
              <w:jc w:val="center"/>
              <w:rPr>
                <w:color w:val="000000"/>
                <w:sz w:val="20"/>
                <w:szCs w:val="20"/>
              </w:rPr>
            </w:pPr>
            <w:r>
              <w:rPr>
                <w:color w:val="000000"/>
                <w:sz w:val="20"/>
                <w:szCs w:val="20"/>
              </w:rPr>
              <w:t>Hai mặt tiền, đối diện/tiếp giáp CX-MN</w:t>
            </w:r>
          </w:p>
        </w:tc>
        <w:tc>
          <w:tcPr>
            <w:tcW w:w="1198" w:type="dxa"/>
            <w:noWrap/>
            <w:vAlign w:val="center"/>
          </w:tcPr>
          <w:p w14:paraId="77728C1D">
            <w:pPr>
              <w:jc w:val="center"/>
              <w:rPr>
                <w:color w:val="000000"/>
                <w:sz w:val="20"/>
                <w:szCs w:val="20"/>
              </w:rPr>
            </w:pPr>
            <w:r>
              <w:rPr>
                <w:color w:val="000000"/>
                <w:sz w:val="20"/>
                <w:szCs w:val="20"/>
              </w:rPr>
              <w:t>12.960.000</w:t>
            </w:r>
          </w:p>
        </w:tc>
        <w:tc>
          <w:tcPr>
            <w:tcW w:w="1236" w:type="dxa"/>
            <w:noWrap/>
            <w:vAlign w:val="center"/>
          </w:tcPr>
          <w:p w14:paraId="00763E8F">
            <w:pPr>
              <w:jc w:val="center"/>
              <w:rPr>
                <w:color w:val="000000"/>
                <w:sz w:val="20"/>
                <w:szCs w:val="20"/>
              </w:rPr>
            </w:pPr>
          </w:p>
        </w:tc>
        <w:tc>
          <w:tcPr>
            <w:tcW w:w="1252" w:type="dxa"/>
            <w:noWrap/>
            <w:vAlign w:val="center"/>
          </w:tcPr>
          <w:p w14:paraId="534A978A">
            <w:pPr>
              <w:jc w:val="center"/>
              <w:rPr>
                <w:color w:val="000000"/>
                <w:sz w:val="20"/>
                <w:szCs w:val="20"/>
              </w:rPr>
            </w:pPr>
            <w:r>
              <w:rPr>
                <w:color w:val="000000"/>
                <w:sz w:val="20"/>
                <w:szCs w:val="20"/>
              </w:rPr>
              <w:t>12.960.000</w:t>
            </w:r>
          </w:p>
        </w:tc>
        <w:tc>
          <w:tcPr>
            <w:tcW w:w="1848" w:type="dxa"/>
            <w:noWrap/>
            <w:vAlign w:val="center"/>
          </w:tcPr>
          <w:p w14:paraId="6FA46DAF">
            <w:pPr>
              <w:jc w:val="center"/>
              <w:rPr>
                <w:color w:val="000000"/>
                <w:sz w:val="20"/>
                <w:szCs w:val="20"/>
              </w:rPr>
            </w:pPr>
            <w:r>
              <w:rPr>
                <w:color w:val="000000"/>
                <w:sz w:val="20"/>
                <w:szCs w:val="20"/>
              </w:rPr>
              <w:t>1.290.556.800</w:t>
            </w:r>
          </w:p>
        </w:tc>
      </w:tr>
      <w:tr w14:paraId="7F0A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ACC0A1B">
            <w:pPr>
              <w:jc w:val="center"/>
              <w:rPr>
                <w:b/>
                <w:bCs/>
                <w:color w:val="000000"/>
                <w:sz w:val="20"/>
                <w:szCs w:val="20"/>
              </w:rPr>
            </w:pPr>
            <w:r>
              <w:rPr>
                <w:b/>
                <w:bCs/>
                <w:color w:val="000000"/>
                <w:sz w:val="20"/>
                <w:szCs w:val="20"/>
              </w:rPr>
              <w:t>LK61</w:t>
            </w:r>
          </w:p>
        </w:tc>
        <w:tc>
          <w:tcPr>
            <w:tcW w:w="1802" w:type="dxa"/>
            <w:vAlign w:val="center"/>
          </w:tcPr>
          <w:p w14:paraId="70AC8878">
            <w:pPr>
              <w:jc w:val="center"/>
              <w:rPr>
                <w:color w:val="000000"/>
                <w:sz w:val="20"/>
                <w:szCs w:val="20"/>
              </w:rPr>
            </w:pPr>
            <w:r>
              <w:rPr>
                <w:color w:val="000000"/>
                <w:sz w:val="20"/>
                <w:szCs w:val="20"/>
              </w:rPr>
              <w:t>LK61:01</w:t>
            </w:r>
          </w:p>
        </w:tc>
        <w:tc>
          <w:tcPr>
            <w:tcW w:w="1033" w:type="dxa"/>
            <w:noWrap/>
            <w:vAlign w:val="center"/>
          </w:tcPr>
          <w:p w14:paraId="25FC5B8E">
            <w:pPr>
              <w:jc w:val="center"/>
              <w:rPr>
                <w:color w:val="000000"/>
                <w:sz w:val="20"/>
                <w:szCs w:val="20"/>
              </w:rPr>
            </w:pPr>
            <w:r>
              <w:rPr>
                <w:color w:val="000000"/>
                <w:sz w:val="20"/>
                <w:szCs w:val="20"/>
              </w:rPr>
              <w:t>137,08</w:t>
            </w:r>
          </w:p>
        </w:tc>
        <w:tc>
          <w:tcPr>
            <w:tcW w:w="846" w:type="dxa"/>
            <w:noWrap/>
            <w:vAlign w:val="center"/>
          </w:tcPr>
          <w:p w14:paraId="5D512915">
            <w:pPr>
              <w:jc w:val="center"/>
              <w:rPr>
                <w:color w:val="000000"/>
                <w:sz w:val="20"/>
                <w:szCs w:val="20"/>
              </w:rPr>
            </w:pPr>
            <w:r>
              <w:rPr>
                <w:color w:val="000000"/>
                <w:sz w:val="20"/>
                <w:szCs w:val="20"/>
              </w:rPr>
              <w:t>1</w:t>
            </w:r>
          </w:p>
        </w:tc>
        <w:tc>
          <w:tcPr>
            <w:tcW w:w="2578" w:type="dxa"/>
            <w:noWrap/>
            <w:vAlign w:val="center"/>
          </w:tcPr>
          <w:p w14:paraId="0DA1E3F2">
            <w:pPr>
              <w:jc w:val="center"/>
              <w:rPr>
                <w:color w:val="000000"/>
                <w:sz w:val="20"/>
                <w:szCs w:val="20"/>
              </w:rPr>
            </w:pPr>
            <w:r>
              <w:rPr>
                <w:color w:val="000000"/>
                <w:sz w:val="20"/>
                <w:szCs w:val="20"/>
              </w:rPr>
              <w:t>Mặt cắt 3-3</w:t>
            </w:r>
          </w:p>
        </w:tc>
        <w:tc>
          <w:tcPr>
            <w:tcW w:w="2393" w:type="dxa"/>
            <w:noWrap/>
            <w:vAlign w:val="center"/>
          </w:tcPr>
          <w:p w14:paraId="16B2822C">
            <w:pPr>
              <w:jc w:val="center"/>
              <w:rPr>
                <w:color w:val="000000"/>
                <w:sz w:val="20"/>
                <w:szCs w:val="20"/>
              </w:rPr>
            </w:pPr>
            <w:r>
              <w:rPr>
                <w:color w:val="000000"/>
                <w:sz w:val="20"/>
                <w:szCs w:val="20"/>
              </w:rPr>
              <w:t>Hai mặt tiền, đối diện/tiếp giáp CX-MN</w:t>
            </w:r>
          </w:p>
        </w:tc>
        <w:tc>
          <w:tcPr>
            <w:tcW w:w="1198" w:type="dxa"/>
            <w:noWrap/>
            <w:vAlign w:val="center"/>
          </w:tcPr>
          <w:p w14:paraId="5938A1DB">
            <w:pPr>
              <w:jc w:val="center"/>
              <w:rPr>
                <w:color w:val="000000"/>
                <w:sz w:val="20"/>
                <w:szCs w:val="20"/>
              </w:rPr>
            </w:pPr>
            <w:r>
              <w:rPr>
                <w:color w:val="000000"/>
                <w:sz w:val="20"/>
                <w:szCs w:val="20"/>
              </w:rPr>
              <w:t>12.960.000</w:t>
            </w:r>
          </w:p>
        </w:tc>
        <w:tc>
          <w:tcPr>
            <w:tcW w:w="1236" w:type="dxa"/>
            <w:noWrap/>
            <w:vAlign w:val="center"/>
          </w:tcPr>
          <w:p w14:paraId="6CA64086">
            <w:pPr>
              <w:jc w:val="center"/>
              <w:rPr>
                <w:color w:val="000000"/>
                <w:sz w:val="20"/>
                <w:szCs w:val="20"/>
              </w:rPr>
            </w:pPr>
          </w:p>
        </w:tc>
        <w:tc>
          <w:tcPr>
            <w:tcW w:w="1252" w:type="dxa"/>
            <w:noWrap/>
            <w:vAlign w:val="center"/>
          </w:tcPr>
          <w:p w14:paraId="41063915">
            <w:pPr>
              <w:jc w:val="center"/>
              <w:rPr>
                <w:color w:val="000000"/>
                <w:sz w:val="20"/>
                <w:szCs w:val="20"/>
              </w:rPr>
            </w:pPr>
            <w:r>
              <w:rPr>
                <w:color w:val="000000"/>
                <w:sz w:val="20"/>
                <w:szCs w:val="20"/>
              </w:rPr>
              <w:t>12.960.000</w:t>
            </w:r>
          </w:p>
        </w:tc>
        <w:tc>
          <w:tcPr>
            <w:tcW w:w="1848" w:type="dxa"/>
            <w:noWrap/>
            <w:vAlign w:val="center"/>
          </w:tcPr>
          <w:p w14:paraId="26C8C3C1">
            <w:pPr>
              <w:jc w:val="center"/>
              <w:rPr>
                <w:color w:val="000000"/>
                <w:sz w:val="20"/>
                <w:szCs w:val="20"/>
              </w:rPr>
            </w:pPr>
            <w:r>
              <w:rPr>
                <w:color w:val="000000"/>
                <w:sz w:val="20"/>
                <w:szCs w:val="20"/>
              </w:rPr>
              <w:t>1.776.556.800</w:t>
            </w:r>
          </w:p>
        </w:tc>
      </w:tr>
      <w:tr w14:paraId="5DFA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44B38C9">
            <w:pPr>
              <w:jc w:val="center"/>
              <w:rPr>
                <w:b/>
                <w:bCs/>
                <w:color w:val="000000"/>
                <w:sz w:val="20"/>
                <w:szCs w:val="20"/>
              </w:rPr>
            </w:pPr>
          </w:p>
        </w:tc>
        <w:tc>
          <w:tcPr>
            <w:tcW w:w="14189" w:type="dxa"/>
            <w:gridSpan w:val="9"/>
            <w:vAlign w:val="center"/>
          </w:tcPr>
          <w:p w14:paraId="64CE6B62">
            <w:pPr>
              <w:jc w:val="center"/>
              <w:rPr>
                <w:b/>
                <w:bCs/>
                <w:color w:val="000000"/>
                <w:sz w:val="20"/>
                <w:szCs w:val="20"/>
              </w:rPr>
            </w:pPr>
            <w:r>
              <w:rPr>
                <w:b/>
                <w:bCs/>
                <w:color w:val="000000"/>
                <w:sz w:val="20"/>
                <w:szCs w:val="20"/>
              </w:rPr>
              <w:t>Mặt cắt 3-3 các đoạn còn lại: rộng 13,5m lòng đường rộng 7,5m, vỉa hè 2 bên rộng 3m+3m</w:t>
            </w:r>
          </w:p>
        </w:tc>
      </w:tr>
      <w:tr w14:paraId="4606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B06E2E7">
            <w:pPr>
              <w:jc w:val="center"/>
              <w:rPr>
                <w:b/>
                <w:bCs/>
                <w:color w:val="000000"/>
                <w:sz w:val="20"/>
                <w:szCs w:val="20"/>
              </w:rPr>
            </w:pPr>
            <w:r>
              <w:rPr>
                <w:b/>
                <w:bCs/>
                <w:color w:val="000000"/>
                <w:sz w:val="20"/>
                <w:szCs w:val="20"/>
              </w:rPr>
              <w:t>LK08</w:t>
            </w:r>
          </w:p>
        </w:tc>
        <w:tc>
          <w:tcPr>
            <w:tcW w:w="1802" w:type="dxa"/>
            <w:vAlign w:val="center"/>
          </w:tcPr>
          <w:p w14:paraId="023B97AE">
            <w:pPr>
              <w:jc w:val="center"/>
              <w:rPr>
                <w:color w:val="000000"/>
                <w:sz w:val="20"/>
                <w:szCs w:val="20"/>
              </w:rPr>
            </w:pPr>
            <w:r>
              <w:rPr>
                <w:color w:val="000000"/>
                <w:sz w:val="20"/>
                <w:szCs w:val="20"/>
              </w:rPr>
              <w:t>LK08:01</w:t>
            </w:r>
          </w:p>
        </w:tc>
        <w:tc>
          <w:tcPr>
            <w:tcW w:w="1033" w:type="dxa"/>
            <w:noWrap/>
            <w:vAlign w:val="center"/>
          </w:tcPr>
          <w:p w14:paraId="4336A715">
            <w:pPr>
              <w:jc w:val="center"/>
              <w:rPr>
                <w:color w:val="000000"/>
                <w:sz w:val="20"/>
                <w:szCs w:val="20"/>
              </w:rPr>
            </w:pPr>
            <w:r>
              <w:rPr>
                <w:color w:val="000000"/>
                <w:sz w:val="20"/>
                <w:szCs w:val="20"/>
              </w:rPr>
              <w:t>90,00</w:t>
            </w:r>
          </w:p>
        </w:tc>
        <w:tc>
          <w:tcPr>
            <w:tcW w:w="846" w:type="dxa"/>
            <w:noWrap/>
            <w:vAlign w:val="center"/>
          </w:tcPr>
          <w:p w14:paraId="22B4A54D">
            <w:pPr>
              <w:jc w:val="center"/>
              <w:rPr>
                <w:color w:val="000000"/>
                <w:sz w:val="20"/>
                <w:szCs w:val="20"/>
              </w:rPr>
            </w:pPr>
            <w:r>
              <w:rPr>
                <w:color w:val="000000"/>
                <w:sz w:val="20"/>
                <w:szCs w:val="20"/>
              </w:rPr>
              <w:t>1</w:t>
            </w:r>
          </w:p>
        </w:tc>
        <w:tc>
          <w:tcPr>
            <w:tcW w:w="2578" w:type="dxa"/>
            <w:noWrap/>
            <w:vAlign w:val="center"/>
          </w:tcPr>
          <w:p w14:paraId="07364F32">
            <w:pPr>
              <w:jc w:val="center"/>
              <w:rPr>
                <w:color w:val="000000"/>
                <w:sz w:val="20"/>
                <w:szCs w:val="20"/>
              </w:rPr>
            </w:pPr>
            <w:r>
              <w:rPr>
                <w:color w:val="000000"/>
                <w:sz w:val="20"/>
                <w:szCs w:val="20"/>
              </w:rPr>
              <w:t>Mặt cắt 3-3</w:t>
            </w:r>
          </w:p>
        </w:tc>
        <w:tc>
          <w:tcPr>
            <w:tcW w:w="2393" w:type="dxa"/>
            <w:noWrap/>
            <w:vAlign w:val="center"/>
          </w:tcPr>
          <w:p w14:paraId="4988EAEF">
            <w:pPr>
              <w:jc w:val="center"/>
              <w:rPr>
                <w:color w:val="000000"/>
                <w:sz w:val="20"/>
                <w:szCs w:val="20"/>
              </w:rPr>
            </w:pPr>
            <w:r>
              <w:rPr>
                <w:color w:val="000000"/>
                <w:sz w:val="20"/>
                <w:szCs w:val="20"/>
              </w:rPr>
              <w:t>Một mặt tiền</w:t>
            </w:r>
          </w:p>
        </w:tc>
        <w:tc>
          <w:tcPr>
            <w:tcW w:w="1198" w:type="dxa"/>
            <w:noWrap/>
            <w:vAlign w:val="center"/>
          </w:tcPr>
          <w:p w14:paraId="24A9AE63">
            <w:pPr>
              <w:jc w:val="center"/>
              <w:rPr>
                <w:color w:val="000000"/>
                <w:sz w:val="20"/>
                <w:szCs w:val="20"/>
              </w:rPr>
            </w:pPr>
            <w:r>
              <w:rPr>
                <w:color w:val="000000"/>
                <w:sz w:val="20"/>
                <w:szCs w:val="20"/>
              </w:rPr>
              <w:t>8.000.000</w:t>
            </w:r>
          </w:p>
        </w:tc>
        <w:tc>
          <w:tcPr>
            <w:tcW w:w="1236" w:type="dxa"/>
            <w:noWrap/>
            <w:vAlign w:val="center"/>
          </w:tcPr>
          <w:p w14:paraId="1C93E475">
            <w:pPr>
              <w:jc w:val="center"/>
              <w:rPr>
                <w:color w:val="000000"/>
                <w:sz w:val="20"/>
                <w:szCs w:val="20"/>
              </w:rPr>
            </w:pPr>
          </w:p>
        </w:tc>
        <w:tc>
          <w:tcPr>
            <w:tcW w:w="1252" w:type="dxa"/>
            <w:noWrap/>
            <w:vAlign w:val="center"/>
          </w:tcPr>
          <w:p w14:paraId="70B023D5">
            <w:pPr>
              <w:jc w:val="center"/>
              <w:rPr>
                <w:color w:val="000000"/>
                <w:sz w:val="20"/>
                <w:szCs w:val="20"/>
              </w:rPr>
            </w:pPr>
            <w:r>
              <w:rPr>
                <w:color w:val="000000"/>
                <w:sz w:val="20"/>
                <w:szCs w:val="20"/>
              </w:rPr>
              <w:t>8.000.000</w:t>
            </w:r>
          </w:p>
        </w:tc>
        <w:tc>
          <w:tcPr>
            <w:tcW w:w="1848" w:type="dxa"/>
            <w:noWrap/>
            <w:vAlign w:val="center"/>
          </w:tcPr>
          <w:p w14:paraId="305B9F96">
            <w:pPr>
              <w:jc w:val="center"/>
              <w:rPr>
                <w:color w:val="000000"/>
                <w:sz w:val="20"/>
                <w:szCs w:val="20"/>
              </w:rPr>
            </w:pPr>
            <w:r>
              <w:rPr>
                <w:color w:val="000000"/>
                <w:sz w:val="20"/>
                <w:szCs w:val="20"/>
              </w:rPr>
              <w:t>720.000.000</w:t>
            </w:r>
          </w:p>
        </w:tc>
      </w:tr>
      <w:tr w14:paraId="2550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FFC891B">
            <w:pPr>
              <w:jc w:val="center"/>
              <w:rPr>
                <w:b/>
                <w:bCs/>
                <w:color w:val="000000"/>
                <w:sz w:val="20"/>
                <w:szCs w:val="20"/>
              </w:rPr>
            </w:pPr>
            <w:r>
              <w:rPr>
                <w:b/>
                <w:bCs/>
                <w:color w:val="000000"/>
                <w:sz w:val="20"/>
                <w:szCs w:val="20"/>
              </w:rPr>
              <w:t>LK08</w:t>
            </w:r>
          </w:p>
        </w:tc>
        <w:tc>
          <w:tcPr>
            <w:tcW w:w="1802" w:type="dxa"/>
            <w:vAlign w:val="center"/>
          </w:tcPr>
          <w:p w14:paraId="4624B24A">
            <w:pPr>
              <w:jc w:val="center"/>
              <w:rPr>
                <w:color w:val="000000"/>
                <w:sz w:val="20"/>
                <w:szCs w:val="20"/>
              </w:rPr>
            </w:pPr>
            <w:r>
              <w:rPr>
                <w:color w:val="000000"/>
                <w:sz w:val="20"/>
                <w:szCs w:val="20"/>
              </w:rPr>
              <w:t>LK08:02</w:t>
            </w:r>
          </w:p>
        </w:tc>
        <w:tc>
          <w:tcPr>
            <w:tcW w:w="1033" w:type="dxa"/>
            <w:noWrap/>
            <w:vAlign w:val="center"/>
          </w:tcPr>
          <w:p w14:paraId="08D8A6DD">
            <w:pPr>
              <w:jc w:val="center"/>
              <w:rPr>
                <w:color w:val="000000"/>
                <w:sz w:val="20"/>
                <w:szCs w:val="20"/>
              </w:rPr>
            </w:pPr>
            <w:r>
              <w:rPr>
                <w:color w:val="000000"/>
                <w:sz w:val="20"/>
                <w:szCs w:val="20"/>
              </w:rPr>
              <w:t>90,00</w:t>
            </w:r>
          </w:p>
        </w:tc>
        <w:tc>
          <w:tcPr>
            <w:tcW w:w="846" w:type="dxa"/>
            <w:noWrap/>
            <w:vAlign w:val="center"/>
          </w:tcPr>
          <w:p w14:paraId="7A8627ED">
            <w:pPr>
              <w:jc w:val="center"/>
              <w:rPr>
                <w:color w:val="000000"/>
                <w:sz w:val="20"/>
                <w:szCs w:val="20"/>
              </w:rPr>
            </w:pPr>
            <w:r>
              <w:rPr>
                <w:color w:val="000000"/>
                <w:sz w:val="20"/>
                <w:szCs w:val="20"/>
              </w:rPr>
              <w:t>1</w:t>
            </w:r>
          </w:p>
        </w:tc>
        <w:tc>
          <w:tcPr>
            <w:tcW w:w="2578" w:type="dxa"/>
            <w:noWrap/>
            <w:vAlign w:val="center"/>
          </w:tcPr>
          <w:p w14:paraId="07B69F6B">
            <w:pPr>
              <w:jc w:val="center"/>
              <w:rPr>
                <w:color w:val="000000"/>
                <w:sz w:val="20"/>
                <w:szCs w:val="20"/>
              </w:rPr>
            </w:pPr>
            <w:r>
              <w:rPr>
                <w:color w:val="000000"/>
                <w:sz w:val="20"/>
                <w:szCs w:val="20"/>
              </w:rPr>
              <w:t>Mặt cắt 3-3</w:t>
            </w:r>
          </w:p>
        </w:tc>
        <w:tc>
          <w:tcPr>
            <w:tcW w:w="2393" w:type="dxa"/>
            <w:noWrap/>
            <w:vAlign w:val="center"/>
          </w:tcPr>
          <w:p w14:paraId="040E8A24">
            <w:pPr>
              <w:jc w:val="center"/>
              <w:rPr>
                <w:color w:val="000000"/>
                <w:sz w:val="20"/>
                <w:szCs w:val="20"/>
              </w:rPr>
            </w:pPr>
            <w:r>
              <w:rPr>
                <w:color w:val="000000"/>
                <w:sz w:val="20"/>
                <w:szCs w:val="20"/>
              </w:rPr>
              <w:t>Một mặt tiền</w:t>
            </w:r>
          </w:p>
        </w:tc>
        <w:tc>
          <w:tcPr>
            <w:tcW w:w="1198" w:type="dxa"/>
            <w:noWrap/>
            <w:vAlign w:val="center"/>
          </w:tcPr>
          <w:p w14:paraId="3CD63862">
            <w:pPr>
              <w:jc w:val="center"/>
              <w:rPr>
                <w:color w:val="000000"/>
                <w:sz w:val="20"/>
                <w:szCs w:val="20"/>
              </w:rPr>
            </w:pPr>
            <w:r>
              <w:rPr>
                <w:color w:val="000000"/>
                <w:sz w:val="20"/>
                <w:szCs w:val="20"/>
              </w:rPr>
              <w:t>8.000.000</w:t>
            </w:r>
          </w:p>
        </w:tc>
        <w:tc>
          <w:tcPr>
            <w:tcW w:w="1236" w:type="dxa"/>
            <w:noWrap/>
            <w:vAlign w:val="center"/>
          </w:tcPr>
          <w:p w14:paraId="013DCF03">
            <w:pPr>
              <w:jc w:val="center"/>
              <w:rPr>
                <w:color w:val="000000"/>
                <w:sz w:val="20"/>
                <w:szCs w:val="20"/>
              </w:rPr>
            </w:pPr>
          </w:p>
        </w:tc>
        <w:tc>
          <w:tcPr>
            <w:tcW w:w="1252" w:type="dxa"/>
            <w:noWrap/>
            <w:vAlign w:val="center"/>
          </w:tcPr>
          <w:p w14:paraId="3B3B5D8A">
            <w:pPr>
              <w:jc w:val="center"/>
              <w:rPr>
                <w:color w:val="000000"/>
                <w:sz w:val="20"/>
                <w:szCs w:val="20"/>
              </w:rPr>
            </w:pPr>
            <w:r>
              <w:rPr>
                <w:color w:val="000000"/>
                <w:sz w:val="20"/>
                <w:szCs w:val="20"/>
              </w:rPr>
              <w:t>8.000.000</w:t>
            </w:r>
          </w:p>
        </w:tc>
        <w:tc>
          <w:tcPr>
            <w:tcW w:w="1848" w:type="dxa"/>
            <w:noWrap/>
            <w:vAlign w:val="center"/>
          </w:tcPr>
          <w:p w14:paraId="6F803A7E">
            <w:pPr>
              <w:jc w:val="center"/>
              <w:rPr>
                <w:color w:val="000000"/>
                <w:sz w:val="20"/>
                <w:szCs w:val="20"/>
              </w:rPr>
            </w:pPr>
            <w:r>
              <w:rPr>
                <w:color w:val="000000"/>
                <w:sz w:val="20"/>
                <w:szCs w:val="20"/>
              </w:rPr>
              <w:t>720.000.000</w:t>
            </w:r>
          </w:p>
        </w:tc>
      </w:tr>
      <w:tr w14:paraId="4A0B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B56AA78">
            <w:pPr>
              <w:jc w:val="center"/>
              <w:rPr>
                <w:b/>
                <w:bCs/>
                <w:color w:val="000000"/>
                <w:sz w:val="20"/>
                <w:szCs w:val="20"/>
              </w:rPr>
            </w:pPr>
            <w:r>
              <w:rPr>
                <w:b/>
                <w:bCs/>
                <w:color w:val="000000"/>
                <w:sz w:val="20"/>
                <w:szCs w:val="20"/>
              </w:rPr>
              <w:t>LK08</w:t>
            </w:r>
          </w:p>
        </w:tc>
        <w:tc>
          <w:tcPr>
            <w:tcW w:w="1802" w:type="dxa"/>
            <w:vAlign w:val="center"/>
          </w:tcPr>
          <w:p w14:paraId="36D684C7">
            <w:pPr>
              <w:jc w:val="center"/>
              <w:rPr>
                <w:color w:val="000000"/>
                <w:sz w:val="20"/>
                <w:szCs w:val="20"/>
              </w:rPr>
            </w:pPr>
            <w:r>
              <w:rPr>
                <w:color w:val="000000"/>
                <w:sz w:val="20"/>
                <w:szCs w:val="20"/>
              </w:rPr>
              <w:t>LK08:03</w:t>
            </w:r>
          </w:p>
        </w:tc>
        <w:tc>
          <w:tcPr>
            <w:tcW w:w="1033" w:type="dxa"/>
            <w:noWrap/>
            <w:vAlign w:val="center"/>
          </w:tcPr>
          <w:p w14:paraId="5EB08F32">
            <w:pPr>
              <w:jc w:val="center"/>
              <w:rPr>
                <w:color w:val="000000"/>
                <w:sz w:val="20"/>
                <w:szCs w:val="20"/>
              </w:rPr>
            </w:pPr>
            <w:r>
              <w:rPr>
                <w:color w:val="000000"/>
                <w:sz w:val="20"/>
                <w:szCs w:val="20"/>
              </w:rPr>
              <w:t>90,00</w:t>
            </w:r>
          </w:p>
        </w:tc>
        <w:tc>
          <w:tcPr>
            <w:tcW w:w="846" w:type="dxa"/>
            <w:noWrap/>
            <w:vAlign w:val="center"/>
          </w:tcPr>
          <w:p w14:paraId="36726741">
            <w:pPr>
              <w:jc w:val="center"/>
              <w:rPr>
                <w:color w:val="000000"/>
                <w:sz w:val="20"/>
                <w:szCs w:val="20"/>
              </w:rPr>
            </w:pPr>
            <w:r>
              <w:rPr>
                <w:color w:val="000000"/>
                <w:sz w:val="20"/>
                <w:szCs w:val="20"/>
              </w:rPr>
              <w:t>1</w:t>
            </w:r>
          </w:p>
        </w:tc>
        <w:tc>
          <w:tcPr>
            <w:tcW w:w="2578" w:type="dxa"/>
            <w:noWrap/>
            <w:vAlign w:val="center"/>
          </w:tcPr>
          <w:p w14:paraId="5DEFE647">
            <w:pPr>
              <w:jc w:val="center"/>
              <w:rPr>
                <w:color w:val="000000"/>
                <w:sz w:val="20"/>
                <w:szCs w:val="20"/>
              </w:rPr>
            </w:pPr>
            <w:r>
              <w:rPr>
                <w:color w:val="000000"/>
                <w:sz w:val="20"/>
                <w:szCs w:val="20"/>
              </w:rPr>
              <w:t>Mặt cắt 3-3</w:t>
            </w:r>
          </w:p>
        </w:tc>
        <w:tc>
          <w:tcPr>
            <w:tcW w:w="2393" w:type="dxa"/>
            <w:noWrap/>
            <w:vAlign w:val="center"/>
          </w:tcPr>
          <w:p w14:paraId="57621E70">
            <w:pPr>
              <w:jc w:val="center"/>
              <w:rPr>
                <w:color w:val="000000"/>
                <w:sz w:val="20"/>
                <w:szCs w:val="20"/>
              </w:rPr>
            </w:pPr>
            <w:r>
              <w:rPr>
                <w:color w:val="000000"/>
                <w:sz w:val="20"/>
                <w:szCs w:val="20"/>
              </w:rPr>
              <w:t>Một mặt tiền</w:t>
            </w:r>
          </w:p>
        </w:tc>
        <w:tc>
          <w:tcPr>
            <w:tcW w:w="1198" w:type="dxa"/>
            <w:noWrap/>
            <w:vAlign w:val="center"/>
          </w:tcPr>
          <w:p w14:paraId="6A36970F">
            <w:pPr>
              <w:jc w:val="center"/>
              <w:rPr>
                <w:color w:val="000000"/>
                <w:sz w:val="20"/>
                <w:szCs w:val="20"/>
              </w:rPr>
            </w:pPr>
            <w:r>
              <w:rPr>
                <w:color w:val="000000"/>
                <w:sz w:val="20"/>
                <w:szCs w:val="20"/>
              </w:rPr>
              <w:t>8.000.000</w:t>
            </w:r>
          </w:p>
        </w:tc>
        <w:tc>
          <w:tcPr>
            <w:tcW w:w="1236" w:type="dxa"/>
            <w:noWrap/>
            <w:vAlign w:val="center"/>
          </w:tcPr>
          <w:p w14:paraId="4B4E1BA0">
            <w:pPr>
              <w:jc w:val="center"/>
              <w:rPr>
                <w:color w:val="000000"/>
                <w:sz w:val="20"/>
                <w:szCs w:val="20"/>
              </w:rPr>
            </w:pPr>
          </w:p>
        </w:tc>
        <w:tc>
          <w:tcPr>
            <w:tcW w:w="1252" w:type="dxa"/>
            <w:noWrap/>
            <w:vAlign w:val="center"/>
          </w:tcPr>
          <w:p w14:paraId="0E86A8A9">
            <w:pPr>
              <w:jc w:val="center"/>
              <w:rPr>
                <w:color w:val="000000"/>
                <w:sz w:val="20"/>
                <w:szCs w:val="20"/>
              </w:rPr>
            </w:pPr>
            <w:r>
              <w:rPr>
                <w:color w:val="000000"/>
                <w:sz w:val="20"/>
                <w:szCs w:val="20"/>
              </w:rPr>
              <w:t>8.000.000</w:t>
            </w:r>
          </w:p>
        </w:tc>
        <w:tc>
          <w:tcPr>
            <w:tcW w:w="1848" w:type="dxa"/>
            <w:noWrap/>
            <w:vAlign w:val="center"/>
          </w:tcPr>
          <w:p w14:paraId="5F012592">
            <w:pPr>
              <w:jc w:val="center"/>
              <w:rPr>
                <w:color w:val="000000"/>
                <w:sz w:val="20"/>
                <w:szCs w:val="20"/>
              </w:rPr>
            </w:pPr>
            <w:r>
              <w:rPr>
                <w:color w:val="000000"/>
                <w:sz w:val="20"/>
                <w:szCs w:val="20"/>
              </w:rPr>
              <w:t>720.000.000</w:t>
            </w:r>
          </w:p>
        </w:tc>
      </w:tr>
      <w:tr w14:paraId="18E3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E5C31D6">
            <w:pPr>
              <w:jc w:val="center"/>
              <w:rPr>
                <w:b/>
                <w:bCs/>
                <w:color w:val="000000"/>
                <w:sz w:val="20"/>
                <w:szCs w:val="20"/>
              </w:rPr>
            </w:pPr>
            <w:r>
              <w:rPr>
                <w:b/>
                <w:bCs/>
                <w:color w:val="000000"/>
                <w:sz w:val="20"/>
                <w:szCs w:val="20"/>
              </w:rPr>
              <w:t>LK08</w:t>
            </w:r>
          </w:p>
        </w:tc>
        <w:tc>
          <w:tcPr>
            <w:tcW w:w="1802" w:type="dxa"/>
            <w:vAlign w:val="center"/>
          </w:tcPr>
          <w:p w14:paraId="21F0AB65">
            <w:pPr>
              <w:jc w:val="center"/>
              <w:rPr>
                <w:color w:val="000000"/>
                <w:sz w:val="20"/>
                <w:szCs w:val="20"/>
              </w:rPr>
            </w:pPr>
            <w:r>
              <w:rPr>
                <w:color w:val="000000"/>
                <w:sz w:val="20"/>
                <w:szCs w:val="20"/>
              </w:rPr>
              <w:t>LK08:04</w:t>
            </w:r>
          </w:p>
        </w:tc>
        <w:tc>
          <w:tcPr>
            <w:tcW w:w="1033" w:type="dxa"/>
            <w:noWrap/>
            <w:vAlign w:val="center"/>
          </w:tcPr>
          <w:p w14:paraId="28EC1490">
            <w:pPr>
              <w:jc w:val="center"/>
              <w:rPr>
                <w:color w:val="000000"/>
                <w:sz w:val="20"/>
                <w:szCs w:val="20"/>
              </w:rPr>
            </w:pPr>
            <w:r>
              <w:rPr>
                <w:color w:val="000000"/>
                <w:sz w:val="20"/>
                <w:szCs w:val="20"/>
              </w:rPr>
              <w:t>90,00</w:t>
            </w:r>
          </w:p>
        </w:tc>
        <w:tc>
          <w:tcPr>
            <w:tcW w:w="846" w:type="dxa"/>
            <w:noWrap/>
            <w:vAlign w:val="center"/>
          </w:tcPr>
          <w:p w14:paraId="03DDAE1C">
            <w:pPr>
              <w:jc w:val="center"/>
              <w:rPr>
                <w:color w:val="000000"/>
                <w:sz w:val="20"/>
                <w:szCs w:val="20"/>
              </w:rPr>
            </w:pPr>
            <w:r>
              <w:rPr>
                <w:color w:val="000000"/>
                <w:sz w:val="20"/>
                <w:szCs w:val="20"/>
              </w:rPr>
              <w:t>1</w:t>
            </w:r>
          </w:p>
        </w:tc>
        <w:tc>
          <w:tcPr>
            <w:tcW w:w="2578" w:type="dxa"/>
            <w:noWrap/>
            <w:vAlign w:val="center"/>
          </w:tcPr>
          <w:p w14:paraId="6A6D1AD2">
            <w:pPr>
              <w:jc w:val="center"/>
              <w:rPr>
                <w:color w:val="000000"/>
                <w:sz w:val="20"/>
                <w:szCs w:val="20"/>
              </w:rPr>
            </w:pPr>
            <w:r>
              <w:rPr>
                <w:color w:val="000000"/>
                <w:sz w:val="20"/>
                <w:szCs w:val="20"/>
              </w:rPr>
              <w:t>Mặt cắt 3-3</w:t>
            </w:r>
          </w:p>
        </w:tc>
        <w:tc>
          <w:tcPr>
            <w:tcW w:w="2393" w:type="dxa"/>
            <w:noWrap/>
            <w:vAlign w:val="center"/>
          </w:tcPr>
          <w:p w14:paraId="76AAE265">
            <w:pPr>
              <w:jc w:val="center"/>
              <w:rPr>
                <w:color w:val="000000"/>
                <w:sz w:val="20"/>
                <w:szCs w:val="20"/>
              </w:rPr>
            </w:pPr>
            <w:r>
              <w:rPr>
                <w:color w:val="000000"/>
                <w:sz w:val="20"/>
                <w:szCs w:val="20"/>
              </w:rPr>
              <w:t>Một mặt tiền</w:t>
            </w:r>
          </w:p>
        </w:tc>
        <w:tc>
          <w:tcPr>
            <w:tcW w:w="1198" w:type="dxa"/>
            <w:noWrap/>
            <w:vAlign w:val="center"/>
          </w:tcPr>
          <w:p w14:paraId="14BC436A">
            <w:pPr>
              <w:jc w:val="center"/>
              <w:rPr>
                <w:color w:val="000000"/>
                <w:sz w:val="20"/>
                <w:szCs w:val="20"/>
              </w:rPr>
            </w:pPr>
            <w:r>
              <w:rPr>
                <w:color w:val="000000"/>
                <w:sz w:val="20"/>
                <w:szCs w:val="20"/>
              </w:rPr>
              <w:t>8.000.000</w:t>
            </w:r>
          </w:p>
        </w:tc>
        <w:tc>
          <w:tcPr>
            <w:tcW w:w="1236" w:type="dxa"/>
            <w:noWrap/>
            <w:vAlign w:val="center"/>
          </w:tcPr>
          <w:p w14:paraId="157303C4">
            <w:pPr>
              <w:jc w:val="center"/>
              <w:rPr>
                <w:color w:val="000000"/>
                <w:sz w:val="20"/>
                <w:szCs w:val="20"/>
              </w:rPr>
            </w:pPr>
          </w:p>
        </w:tc>
        <w:tc>
          <w:tcPr>
            <w:tcW w:w="1252" w:type="dxa"/>
            <w:noWrap/>
            <w:vAlign w:val="center"/>
          </w:tcPr>
          <w:p w14:paraId="786429E7">
            <w:pPr>
              <w:jc w:val="center"/>
              <w:rPr>
                <w:color w:val="000000"/>
                <w:sz w:val="20"/>
                <w:szCs w:val="20"/>
              </w:rPr>
            </w:pPr>
            <w:r>
              <w:rPr>
                <w:color w:val="000000"/>
                <w:sz w:val="20"/>
                <w:szCs w:val="20"/>
              </w:rPr>
              <w:t>8.000.000</w:t>
            </w:r>
          </w:p>
        </w:tc>
        <w:tc>
          <w:tcPr>
            <w:tcW w:w="1848" w:type="dxa"/>
            <w:noWrap/>
            <w:vAlign w:val="center"/>
          </w:tcPr>
          <w:p w14:paraId="35A8697F">
            <w:pPr>
              <w:jc w:val="center"/>
              <w:rPr>
                <w:color w:val="000000"/>
                <w:sz w:val="20"/>
                <w:szCs w:val="20"/>
              </w:rPr>
            </w:pPr>
            <w:r>
              <w:rPr>
                <w:color w:val="000000"/>
                <w:sz w:val="20"/>
                <w:szCs w:val="20"/>
              </w:rPr>
              <w:t>720.000.000</w:t>
            </w:r>
          </w:p>
        </w:tc>
      </w:tr>
      <w:tr w14:paraId="1925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03CC79">
            <w:pPr>
              <w:jc w:val="center"/>
              <w:rPr>
                <w:b/>
                <w:bCs/>
                <w:color w:val="000000"/>
                <w:sz w:val="20"/>
                <w:szCs w:val="20"/>
              </w:rPr>
            </w:pPr>
            <w:r>
              <w:rPr>
                <w:b/>
                <w:bCs/>
                <w:color w:val="000000"/>
                <w:sz w:val="20"/>
                <w:szCs w:val="20"/>
              </w:rPr>
              <w:t>LK08</w:t>
            </w:r>
          </w:p>
        </w:tc>
        <w:tc>
          <w:tcPr>
            <w:tcW w:w="1802" w:type="dxa"/>
            <w:vAlign w:val="center"/>
          </w:tcPr>
          <w:p w14:paraId="15C847C1">
            <w:pPr>
              <w:jc w:val="center"/>
              <w:rPr>
                <w:color w:val="000000"/>
                <w:sz w:val="20"/>
                <w:szCs w:val="20"/>
              </w:rPr>
            </w:pPr>
            <w:r>
              <w:rPr>
                <w:color w:val="000000"/>
                <w:sz w:val="20"/>
                <w:szCs w:val="20"/>
              </w:rPr>
              <w:t>LK08:05</w:t>
            </w:r>
          </w:p>
        </w:tc>
        <w:tc>
          <w:tcPr>
            <w:tcW w:w="1033" w:type="dxa"/>
            <w:noWrap/>
            <w:vAlign w:val="center"/>
          </w:tcPr>
          <w:p w14:paraId="3F756C17">
            <w:pPr>
              <w:jc w:val="center"/>
              <w:rPr>
                <w:color w:val="000000"/>
                <w:sz w:val="20"/>
                <w:szCs w:val="20"/>
              </w:rPr>
            </w:pPr>
            <w:r>
              <w:rPr>
                <w:color w:val="000000"/>
                <w:sz w:val="20"/>
                <w:szCs w:val="20"/>
              </w:rPr>
              <w:t>90,00</w:t>
            </w:r>
          </w:p>
        </w:tc>
        <w:tc>
          <w:tcPr>
            <w:tcW w:w="846" w:type="dxa"/>
            <w:noWrap/>
            <w:vAlign w:val="center"/>
          </w:tcPr>
          <w:p w14:paraId="16C071F2">
            <w:pPr>
              <w:jc w:val="center"/>
              <w:rPr>
                <w:color w:val="000000"/>
                <w:sz w:val="20"/>
                <w:szCs w:val="20"/>
              </w:rPr>
            </w:pPr>
            <w:r>
              <w:rPr>
                <w:color w:val="000000"/>
                <w:sz w:val="20"/>
                <w:szCs w:val="20"/>
              </w:rPr>
              <w:t>1</w:t>
            </w:r>
          </w:p>
        </w:tc>
        <w:tc>
          <w:tcPr>
            <w:tcW w:w="2578" w:type="dxa"/>
            <w:noWrap/>
            <w:vAlign w:val="center"/>
          </w:tcPr>
          <w:p w14:paraId="6FDFFE3E">
            <w:pPr>
              <w:jc w:val="center"/>
              <w:rPr>
                <w:color w:val="000000"/>
                <w:sz w:val="20"/>
                <w:szCs w:val="20"/>
              </w:rPr>
            </w:pPr>
            <w:r>
              <w:rPr>
                <w:color w:val="000000"/>
                <w:sz w:val="20"/>
                <w:szCs w:val="20"/>
              </w:rPr>
              <w:t>Mặt cắt 3-3</w:t>
            </w:r>
          </w:p>
        </w:tc>
        <w:tc>
          <w:tcPr>
            <w:tcW w:w="2393" w:type="dxa"/>
            <w:noWrap/>
            <w:vAlign w:val="center"/>
          </w:tcPr>
          <w:p w14:paraId="7F298C9A">
            <w:pPr>
              <w:jc w:val="center"/>
              <w:rPr>
                <w:color w:val="000000"/>
                <w:sz w:val="20"/>
                <w:szCs w:val="20"/>
              </w:rPr>
            </w:pPr>
            <w:r>
              <w:rPr>
                <w:color w:val="000000"/>
                <w:sz w:val="20"/>
                <w:szCs w:val="20"/>
              </w:rPr>
              <w:t>Một mặt tiền</w:t>
            </w:r>
          </w:p>
        </w:tc>
        <w:tc>
          <w:tcPr>
            <w:tcW w:w="1198" w:type="dxa"/>
            <w:noWrap/>
            <w:vAlign w:val="center"/>
          </w:tcPr>
          <w:p w14:paraId="7803E85A">
            <w:pPr>
              <w:jc w:val="center"/>
              <w:rPr>
                <w:color w:val="000000"/>
                <w:sz w:val="20"/>
                <w:szCs w:val="20"/>
              </w:rPr>
            </w:pPr>
            <w:r>
              <w:rPr>
                <w:color w:val="000000"/>
                <w:sz w:val="20"/>
                <w:szCs w:val="20"/>
              </w:rPr>
              <w:t>8.000.000</w:t>
            </w:r>
          </w:p>
        </w:tc>
        <w:tc>
          <w:tcPr>
            <w:tcW w:w="1236" w:type="dxa"/>
            <w:noWrap/>
            <w:vAlign w:val="center"/>
          </w:tcPr>
          <w:p w14:paraId="48F5C100">
            <w:pPr>
              <w:jc w:val="center"/>
              <w:rPr>
                <w:color w:val="000000"/>
                <w:sz w:val="20"/>
                <w:szCs w:val="20"/>
              </w:rPr>
            </w:pPr>
          </w:p>
        </w:tc>
        <w:tc>
          <w:tcPr>
            <w:tcW w:w="1252" w:type="dxa"/>
            <w:noWrap/>
            <w:vAlign w:val="center"/>
          </w:tcPr>
          <w:p w14:paraId="16FA0407">
            <w:pPr>
              <w:jc w:val="center"/>
              <w:rPr>
                <w:color w:val="000000"/>
                <w:sz w:val="20"/>
                <w:szCs w:val="20"/>
              </w:rPr>
            </w:pPr>
            <w:r>
              <w:rPr>
                <w:color w:val="000000"/>
                <w:sz w:val="20"/>
                <w:szCs w:val="20"/>
              </w:rPr>
              <w:t>8.000.000</w:t>
            </w:r>
          </w:p>
        </w:tc>
        <w:tc>
          <w:tcPr>
            <w:tcW w:w="1848" w:type="dxa"/>
            <w:noWrap/>
            <w:vAlign w:val="center"/>
          </w:tcPr>
          <w:p w14:paraId="10795105">
            <w:pPr>
              <w:jc w:val="center"/>
              <w:rPr>
                <w:color w:val="000000"/>
                <w:sz w:val="20"/>
                <w:szCs w:val="20"/>
              </w:rPr>
            </w:pPr>
            <w:r>
              <w:rPr>
                <w:color w:val="000000"/>
                <w:sz w:val="20"/>
                <w:szCs w:val="20"/>
              </w:rPr>
              <w:t>720.000.000</w:t>
            </w:r>
          </w:p>
        </w:tc>
      </w:tr>
      <w:tr w14:paraId="3C34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D93297C">
            <w:pPr>
              <w:jc w:val="center"/>
              <w:rPr>
                <w:b/>
                <w:bCs/>
                <w:color w:val="000000"/>
                <w:sz w:val="20"/>
                <w:szCs w:val="20"/>
              </w:rPr>
            </w:pPr>
            <w:r>
              <w:rPr>
                <w:b/>
                <w:bCs/>
                <w:color w:val="000000"/>
                <w:sz w:val="20"/>
                <w:szCs w:val="20"/>
              </w:rPr>
              <w:t>LK08</w:t>
            </w:r>
          </w:p>
        </w:tc>
        <w:tc>
          <w:tcPr>
            <w:tcW w:w="1802" w:type="dxa"/>
            <w:vAlign w:val="center"/>
          </w:tcPr>
          <w:p w14:paraId="71AB662A">
            <w:pPr>
              <w:jc w:val="center"/>
              <w:rPr>
                <w:color w:val="000000"/>
                <w:sz w:val="20"/>
                <w:szCs w:val="20"/>
              </w:rPr>
            </w:pPr>
            <w:r>
              <w:rPr>
                <w:color w:val="000000"/>
                <w:sz w:val="20"/>
                <w:szCs w:val="20"/>
              </w:rPr>
              <w:t>LK08:06</w:t>
            </w:r>
          </w:p>
        </w:tc>
        <w:tc>
          <w:tcPr>
            <w:tcW w:w="1033" w:type="dxa"/>
            <w:noWrap/>
            <w:vAlign w:val="center"/>
          </w:tcPr>
          <w:p w14:paraId="577B5D95">
            <w:pPr>
              <w:jc w:val="center"/>
              <w:rPr>
                <w:color w:val="000000"/>
                <w:sz w:val="20"/>
                <w:szCs w:val="20"/>
              </w:rPr>
            </w:pPr>
            <w:r>
              <w:rPr>
                <w:color w:val="000000"/>
                <w:sz w:val="20"/>
                <w:szCs w:val="20"/>
              </w:rPr>
              <w:t>90,00</w:t>
            </w:r>
          </w:p>
        </w:tc>
        <w:tc>
          <w:tcPr>
            <w:tcW w:w="846" w:type="dxa"/>
            <w:noWrap/>
            <w:vAlign w:val="center"/>
          </w:tcPr>
          <w:p w14:paraId="32C1EE94">
            <w:pPr>
              <w:jc w:val="center"/>
              <w:rPr>
                <w:color w:val="000000"/>
                <w:sz w:val="20"/>
                <w:szCs w:val="20"/>
              </w:rPr>
            </w:pPr>
            <w:r>
              <w:rPr>
                <w:color w:val="000000"/>
                <w:sz w:val="20"/>
                <w:szCs w:val="20"/>
              </w:rPr>
              <w:t>1</w:t>
            </w:r>
          </w:p>
        </w:tc>
        <w:tc>
          <w:tcPr>
            <w:tcW w:w="2578" w:type="dxa"/>
            <w:noWrap/>
            <w:vAlign w:val="center"/>
          </w:tcPr>
          <w:p w14:paraId="54EA6840">
            <w:pPr>
              <w:jc w:val="center"/>
              <w:rPr>
                <w:color w:val="000000"/>
                <w:sz w:val="20"/>
                <w:szCs w:val="20"/>
              </w:rPr>
            </w:pPr>
            <w:r>
              <w:rPr>
                <w:color w:val="000000"/>
                <w:sz w:val="20"/>
                <w:szCs w:val="20"/>
              </w:rPr>
              <w:t>Mặt cắt 3-3</w:t>
            </w:r>
          </w:p>
        </w:tc>
        <w:tc>
          <w:tcPr>
            <w:tcW w:w="2393" w:type="dxa"/>
            <w:noWrap/>
            <w:vAlign w:val="center"/>
          </w:tcPr>
          <w:p w14:paraId="3FAE39D7">
            <w:pPr>
              <w:jc w:val="center"/>
              <w:rPr>
                <w:color w:val="000000"/>
                <w:sz w:val="20"/>
                <w:szCs w:val="20"/>
              </w:rPr>
            </w:pPr>
            <w:r>
              <w:rPr>
                <w:color w:val="000000"/>
                <w:sz w:val="20"/>
                <w:szCs w:val="20"/>
              </w:rPr>
              <w:t>Một mặt tiền</w:t>
            </w:r>
          </w:p>
        </w:tc>
        <w:tc>
          <w:tcPr>
            <w:tcW w:w="1198" w:type="dxa"/>
            <w:noWrap/>
            <w:vAlign w:val="center"/>
          </w:tcPr>
          <w:p w14:paraId="19EDB7BD">
            <w:pPr>
              <w:jc w:val="center"/>
              <w:rPr>
                <w:color w:val="000000"/>
                <w:sz w:val="20"/>
                <w:szCs w:val="20"/>
              </w:rPr>
            </w:pPr>
            <w:r>
              <w:rPr>
                <w:color w:val="000000"/>
                <w:sz w:val="20"/>
                <w:szCs w:val="20"/>
              </w:rPr>
              <w:t>8.000.000</w:t>
            </w:r>
          </w:p>
        </w:tc>
        <w:tc>
          <w:tcPr>
            <w:tcW w:w="1236" w:type="dxa"/>
            <w:noWrap/>
            <w:vAlign w:val="center"/>
          </w:tcPr>
          <w:p w14:paraId="4FAE7DD7">
            <w:pPr>
              <w:jc w:val="center"/>
              <w:rPr>
                <w:color w:val="000000"/>
                <w:sz w:val="20"/>
                <w:szCs w:val="20"/>
              </w:rPr>
            </w:pPr>
          </w:p>
        </w:tc>
        <w:tc>
          <w:tcPr>
            <w:tcW w:w="1252" w:type="dxa"/>
            <w:noWrap/>
            <w:vAlign w:val="center"/>
          </w:tcPr>
          <w:p w14:paraId="741E7313">
            <w:pPr>
              <w:jc w:val="center"/>
              <w:rPr>
                <w:color w:val="000000"/>
                <w:sz w:val="20"/>
                <w:szCs w:val="20"/>
              </w:rPr>
            </w:pPr>
            <w:r>
              <w:rPr>
                <w:color w:val="000000"/>
                <w:sz w:val="20"/>
                <w:szCs w:val="20"/>
              </w:rPr>
              <w:t>8.000.000</w:t>
            </w:r>
          </w:p>
        </w:tc>
        <w:tc>
          <w:tcPr>
            <w:tcW w:w="1848" w:type="dxa"/>
            <w:noWrap/>
            <w:vAlign w:val="center"/>
          </w:tcPr>
          <w:p w14:paraId="4F31952A">
            <w:pPr>
              <w:jc w:val="center"/>
              <w:rPr>
                <w:color w:val="000000"/>
                <w:sz w:val="20"/>
                <w:szCs w:val="20"/>
              </w:rPr>
            </w:pPr>
            <w:r>
              <w:rPr>
                <w:color w:val="000000"/>
                <w:sz w:val="20"/>
                <w:szCs w:val="20"/>
              </w:rPr>
              <w:t>720.000.000</w:t>
            </w:r>
          </w:p>
        </w:tc>
      </w:tr>
      <w:tr w14:paraId="79E0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DFEACE8">
            <w:pPr>
              <w:jc w:val="center"/>
              <w:rPr>
                <w:b/>
                <w:bCs/>
                <w:color w:val="000000"/>
                <w:sz w:val="20"/>
                <w:szCs w:val="20"/>
              </w:rPr>
            </w:pPr>
            <w:r>
              <w:rPr>
                <w:b/>
                <w:bCs/>
                <w:color w:val="000000"/>
                <w:sz w:val="20"/>
                <w:szCs w:val="20"/>
              </w:rPr>
              <w:t>LK08</w:t>
            </w:r>
          </w:p>
        </w:tc>
        <w:tc>
          <w:tcPr>
            <w:tcW w:w="1802" w:type="dxa"/>
            <w:vAlign w:val="center"/>
          </w:tcPr>
          <w:p w14:paraId="6E3C2069">
            <w:pPr>
              <w:jc w:val="center"/>
              <w:rPr>
                <w:color w:val="000000"/>
                <w:sz w:val="20"/>
                <w:szCs w:val="20"/>
              </w:rPr>
            </w:pPr>
            <w:r>
              <w:rPr>
                <w:color w:val="000000"/>
                <w:sz w:val="20"/>
                <w:szCs w:val="20"/>
              </w:rPr>
              <w:t>LK08:07</w:t>
            </w:r>
          </w:p>
        </w:tc>
        <w:tc>
          <w:tcPr>
            <w:tcW w:w="1033" w:type="dxa"/>
            <w:noWrap/>
            <w:vAlign w:val="center"/>
          </w:tcPr>
          <w:p w14:paraId="13B45E13">
            <w:pPr>
              <w:jc w:val="center"/>
              <w:rPr>
                <w:color w:val="000000"/>
                <w:sz w:val="20"/>
                <w:szCs w:val="20"/>
              </w:rPr>
            </w:pPr>
            <w:r>
              <w:rPr>
                <w:color w:val="000000"/>
                <w:sz w:val="20"/>
                <w:szCs w:val="20"/>
              </w:rPr>
              <w:t>90,00</w:t>
            </w:r>
          </w:p>
        </w:tc>
        <w:tc>
          <w:tcPr>
            <w:tcW w:w="846" w:type="dxa"/>
            <w:noWrap/>
            <w:vAlign w:val="center"/>
          </w:tcPr>
          <w:p w14:paraId="0989B12F">
            <w:pPr>
              <w:jc w:val="center"/>
              <w:rPr>
                <w:color w:val="000000"/>
                <w:sz w:val="20"/>
                <w:szCs w:val="20"/>
              </w:rPr>
            </w:pPr>
            <w:r>
              <w:rPr>
                <w:color w:val="000000"/>
                <w:sz w:val="20"/>
                <w:szCs w:val="20"/>
              </w:rPr>
              <w:t>1</w:t>
            </w:r>
          </w:p>
        </w:tc>
        <w:tc>
          <w:tcPr>
            <w:tcW w:w="2578" w:type="dxa"/>
            <w:noWrap/>
            <w:vAlign w:val="center"/>
          </w:tcPr>
          <w:p w14:paraId="025F06FC">
            <w:pPr>
              <w:jc w:val="center"/>
              <w:rPr>
                <w:color w:val="000000"/>
                <w:sz w:val="20"/>
                <w:szCs w:val="20"/>
              </w:rPr>
            </w:pPr>
            <w:r>
              <w:rPr>
                <w:color w:val="000000"/>
                <w:sz w:val="20"/>
                <w:szCs w:val="20"/>
              </w:rPr>
              <w:t>Mặt cắt 3-3</w:t>
            </w:r>
          </w:p>
        </w:tc>
        <w:tc>
          <w:tcPr>
            <w:tcW w:w="2393" w:type="dxa"/>
            <w:noWrap/>
            <w:vAlign w:val="center"/>
          </w:tcPr>
          <w:p w14:paraId="129B99C9">
            <w:pPr>
              <w:jc w:val="center"/>
              <w:rPr>
                <w:color w:val="000000"/>
                <w:sz w:val="20"/>
                <w:szCs w:val="20"/>
              </w:rPr>
            </w:pPr>
            <w:r>
              <w:rPr>
                <w:color w:val="000000"/>
                <w:sz w:val="20"/>
                <w:szCs w:val="20"/>
              </w:rPr>
              <w:t>Một mặt tiền</w:t>
            </w:r>
          </w:p>
        </w:tc>
        <w:tc>
          <w:tcPr>
            <w:tcW w:w="1198" w:type="dxa"/>
            <w:noWrap/>
            <w:vAlign w:val="center"/>
          </w:tcPr>
          <w:p w14:paraId="76677C40">
            <w:pPr>
              <w:jc w:val="center"/>
              <w:rPr>
                <w:color w:val="000000"/>
                <w:sz w:val="20"/>
                <w:szCs w:val="20"/>
              </w:rPr>
            </w:pPr>
            <w:r>
              <w:rPr>
                <w:color w:val="000000"/>
                <w:sz w:val="20"/>
                <w:szCs w:val="20"/>
              </w:rPr>
              <w:t>8.000.000</w:t>
            </w:r>
          </w:p>
        </w:tc>
        <w:tc>
          <w:tcPr>
            <w:tcW w:w="1236" w:type="dxa"/>
            <w:noWrap/>
            <w:vAlign w:val="center"/>
          </w:tcPr>
          <w:p w14:paraId="7B1697FC">
            <w:pPr>
              <w:jc w:val="center"/>
              <w:rPr>
                <w:color w:val="000000"/>
                <w:sz w:val="20"/>
                <w:szCs w:val="20"/>
              </w:rPr>
            </w:pPr>
          </w:p>
        </w:tc>
        <w:tc>
          <w:tcPr>
            <w:tcW w:w="1252" w:type="dxa"/>
            <w:noWrap/>
            <w:vAlign w:val="center"/>
          </w:tcPr>
          <w:p w14:paraId="2CD19EC0">
            <w:pPr>
              <w:jc w:val="center"/>
              <w:rPr>
                <w:color w:val="000000"/>
                <w:sz w:val="20"/>
                <w:szCs w:val="20"/>
              </w:rPr>
            </w:pPr>
            <w:r>
              <w:rPr>
                <w:color w:val="000000"/>
                <w:sz w:val="20"/>
                <w:szCs w:val="20"/>
              </w:rPr>
              <w:t>8.000.000</w:t>
            </w:r>
          </w:p>
        </w:tc>
        <w:tc>
          <w:tcPr>
            <w:tcW w:w="1848" w:type="dxa"/>
            <w:noWrap/>
            <w:vAlign w:val="center"/>
          </w:tcPr>
          <w:p w14:paraId="00C3FD80">
            <w:pPr>
              <w:jc w:val="center"/>
              <w:rPr>
                <w:color w:val="000000"/>
                <w:sz w:val="20"/>
                <w:szCs w:val="20"/>
              </w:rPr>
            </w:pPr>
            <w:r>
              <w:rPr>
                <w:color w:val="000000"/>
                <w:sz w:val="20"/>
                <w:szCs w:val="20"/>
              </w:rPr>
              <w:t>720.000.000</w:t>
            </w:r>
          </w:p>
        </w:tc>
      </w:tr>
      <w:tr w14:paraId="3DA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0D1BF3E">
            <w:pPr>
              <w:jc w:val="center"/>
              <w:rPr>
                <w:b/>
                <w:bCs/>
                <w:color w:val="000000"/>
                <w:sz w:val="20"/>
                <w:szCs w:val="20"/>
              </w:rPr>
            </w:pPr>
            <w:r>
              <w:rPr>
                <w:b/>
                <w:bCs/>
                <w:color w:val="000000"/>
                <w:sz w:val="20"/>
                <w:szCs w:val="20"/>
              </w:rPr>
              <w:t>LK09</w:t>
            </w:r>
          </w:p>
        </w:tc>
        <w:tc>
          <w:tcPr>
            <w:tcW w:w="1802" w:type="dxa"/>
            <w:vAlign w:val="center"/>
          </w:tcPr>
          <w:p w14:paraId="49A28544">
            <w:pPr>
              <w:jc w:val="center"/>
              <w:rPr>
                <w:color w:val="000000"/>
                <w:sz w:val="20"/>
                <w:szCs w:val="20"/>
              </w:rPr>
            </w:pPr>
            <w:r>
              <w:rPr>
                <w:color w:val="000000"/>
                <w:sz w:val="20"/>
                <w:szCs w:val="20"/>
              </w:rPr>
              <w:t>LK09:01</w:t>
            </w:r>
          </w:p>
        </w:tc>
        <w:tc>
          <w:tcPr>
            <w:tcW w:w="1033" w:type="dxa"/>
            <w:noWrap/>
            <w:vAlign w:val="center"/>
          </w:tcPr>
          <w:p w14:paraId="7ADF5013">
            <w:pPr>
              <w:jc w:val="center"/>
              <w:rPr>
                <w:color w:val="000000"/>
                <w:sz w:val="20"/>
                <w:szCs w:val="20"/>
              </w:rPr>
            </w:pPr>
            <w:r>
              <w:rPr>
                <w:color w:val="000000"/>
                <w:sz w:val="20"/>
                <w:szCs w:val="20"/>
              </w:rPr>
              <w:t>90,00</w:t>
            </w:r>
          </w:p>
        </w:tc>
        <w:tc>
          <w:tcPr>
            <w:tcW w:w="846" w:type="dxa"/>
            <w:noWrap/>
            <w:vAlign w:val="center"/>
          </w:tcPr>
          <w:p w14:paraId="640FE8F4">
            <w:pPr>
              <w:jc w:val="center"/>
              <w:rPr>
                <w:color w:val="000000"/>
                <w:sz w:val="20"/>
                <w:szCs w:val="20"/>
              </w:rPr>
            </w:pPr>
            <w:r>
              <w:rPr>
                <w:color w:val="000000"/>
                <w:sz w:val="20"/>
                <w:szCs w:val="20"/>
              </w:rPr>
              <w:t>1</w:t>
            </w:r>
          </w:p>
        </w:tc>
        <w:tc>
          <w:tcPr>
            <w:tcW w:w="2578" w:type="dxa"/>
            <w:noWrap/>
            <w:vAlign w:val="center"/>
          </w:tcPr>
          <w:p w14:paraId="5168C2D0">
            <w:pPr>
              <w:jc w:val="center"/>
              <w:rPr>
                <w:color w:val="000000"/>
                <w:sz w:val="20"/>
                <w:szCs w:val="20"/>
              </w:rPr>
            </w:pPr>
            <w:r>
              <w:rPr>
                <w:color w:val="000000"/>
                <w:sz w:val="20"/>
                <w:szCs w:val="20"/>
              </w:rPr>
              <w:t>Mặt cắt 3-3</w:t>
            </w:r>
          </w:p>
        </w:tc>
        <w:tc>
          <w:tcPr>
            <w:tcW w:w="2393" w:type="dxa"/>
            <w:noWrap/>
            <w:vAlign w:val="center"/>
          </w:tcPr>
          <w:p w14:paraId="3B068E2A">
            <w:pPr>
              <w:jc w:val="center"/>
              <w:rPr>
                <w:color w:val="000000"/>
                <w:sz w:val="20"/>
                <w:szCs w:val="20"/>
              </w:rPr>
            </w:pPr>
            <w:r>
              <w:rPr>
                <w:color w:val="000000"/>
                <w:sz w:val="20"/>
                <w:szCs w:val="20"/>
              </w:rPr>
              <w:t>Một mặt tiền, đối diện/tiếp giáp CX-MN</w:t>
            </w:r>
          </w:p>
        </w:tc>
        <w:tc>
          <w:tcPr>
            <w:tcW w:w="1198" w:type="dxa"/>
            <w:noWrap/>
            <w:vAlign w:val="center"/>
          </w:tcPr>
          <w:p w14:paraId="0588AA9E">
            <w:pPr>
              <w:jc w:val="center"/>
              <w:rPr>
                <w:color w:val="000000"/>
                <w:sz w:val="20"/>
                <w:szCs w:val="20"/>
              </w:rPr>
            </w:pPr>
            <w:r>
              <w:rPr>
                <w:color w:val="000000"/>
                <w:sz w:val="20"/>
                <w:szCs w:val="20"/>
              </w:rPr>
              <w:t>8.400.000</w:t>
            </w:r>
          </w:p>
        </w:tc>
        <w:tc>
          <w:tcPr>
            <w:tcW w:w="1236" w:type="dxa"/>
            <w:noWrap/>
            <w:vAlign w:val="center"/>
          </w:tcPr>
          <w:p w14:paraId="67061C34">
            <w:pPr>
              <w:jc w:val="center"/>
              <w:rPr>
                <w:color w:val="000000"/>
                <w:sz w:val="20"/>
                <w:szCs w:val="20"/>
              </w:rPr>
            </w:pPr>
          </w:p>
        </w:tc>
        <w:tc>
          <w:tcPr>
            <w:tcW w:w="1252" w:type="dxa"/>
            <w:noWrap/>
            <w:vAlign w:val="center"/>
          </w:tcPr>
          <w:p w14:paraId="7074E88E">
            <w:pPr>
              <w:jc w:val="center"/>
              <w:rPr>
                <w:color w:val="000000"/>
                <w:sz w:val="20"/>
                <w:szCs w:val="20"/>
              </w:rPr>
            </w:pPr>
            <w:r>
              <w:rPr>
                <w:color w:val="000000"/>
                <w:sz w:val="20"/>
                <w:szCs w:val="20"/>
              </w:rPr>
              <w:t>8.400.000</w:t>
            </w:r>
          </w:p>
        </w:tc>
        <w:tc>
          <w:tcPr>
            <w:tcW w:w="1848" w:type="dxa"/>
            <w:noWrap/>
            <w:vAlign w:val="center"/>
          </w:tcPr>
          <w:p w14:paraId="500A7E7B">
            <w:pPr>
              <w:jc w:val="center"/>
              <w:rPr>
                <w:color w:val="000000"/>
                <w:sz w:val="20"/>
                <w:szCs w:val="20"/>
              </w:rPr>
            </w:pPr>
            <w:r>
              <w:rPr>
                <w:color w:val="000000"/>
                <w:sz w:val="20"/>
                <w:szCs w:val="20"/>
              </w:rPr>
              <w:t>756.000.000</w:t>
            </w:r>
          </w:p>
        </w:tc>
      </w:tr>
      <w:tr w14:paraId="6239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27407BC">
            <w:pPr>
              <w:jc w:val="center"/>
              <w:rPr>
                <w:b/>
                <w:bCs/>
                <w:color w:val="000000"/>
                <w:sz w:val="20"/>
                <w:szCs w:val="20"/>
              </w:rPr>
            </w:pPr>
            <w:r>
              <w:rPr>
                <w:b/>
                <w:bCs/>
                <w:color w:val="000000"/>
                <w:sz w:val="20"/>
                <w:szCs w:val="20"/>
              </w:rPr>
              <w:t>LK09</w:t>
            </w:r>
          </w:p>
        </w:tc>
        <w:tc>
          <w:tcPr>
            <w:tcW w:w="1802" w:type="dxa"/>
            <w:vAlign w:val="center"/>
          </w:tcPr>
          <w:p w14:paraId="28597BB5">
            <w:pPr>
              <w:jc w:val="center"/>
              <w:rPr>
                <w:color w:val="000000"/>
                <w:sz w:val="20"/>
                <w:szCs w:val="20"/>
              </w:rPr>
            </w:pPr>
            <w:r>
              <w:rPr>
                <w:color w:val="000000"/>
                <w:sz w:val="20"/>
                <w:szCs w:val="20"/>
              </w:rPr>
              <w:t>LK09:02</w:t>
            </w:r>
          </w:p>
        </w:tc>
        <w:tc>
          <w:tcPr>
            <w:tcW w:w="1033" w:type="dxa"/>
            <w:noWrap/>
            <w:vAlign w:val="center"/>
          </w:tcPr>
          <w:p w14:paraId="0BEBA261">
            <w:pPr>
              <w:jc w:val="center"/>
              <w:rPr>
                <w:color w:val="000000"/>
                <w:sz w:val="20"/>
                <w:szCs w:val="20"/>
              </w:rPr>
            </w:pPr>
            <w:r>
              <w:rPr>
                <w:color w:val="000000"/>
                <w:sz w:val="20"/>
                <w:szCs w:val="20"/>
              </w:rPr>
              <w:t>90,00</w:t>
            </w:r>
          </w:p>
        </w:tc>
        <w:tc>
          <w:tcPr>
            <w:tcW w:w="846" w:type="dxa"/>
            <w:noWrap/>
            <w:vAlign w:val="center"/>
          </w:tcPr>
          <w:p w14:paraId="69C10B9F">
            <w:pPr>
              <w:jc w:val="center"/>
              <w:rPr>
                <w:color w:val="000000"/>
                <w:sz w:val="20"/>
                <w:szCs w:val="20"/>
              </w:rPr>
            </w:pPr>
            <w:r>
              <w:rPr>
                <w:color w:val="000000"/>
                <w:sz w:val="20"/>
                <w:szCs w:val="20"/>
              </w:rPr>
              <w:t>1</w:t>
            </w:r>
          </w:p>
        </w:tc>
        <w:tc>
          <w:tcPr>
            <w:tcW w:w="2578" w:type="dxa"/>
            <w:noWrap/>
            <w:vAlign w:val="center"/>
          </w:tcPr>
          <w:p w14:paraId="2DE7CF4B">
            <w:pPr>
              <w:jc w:val="center"/>
              <w:rPr>
                <w:color w:val="000000"/>
                <w:sz w:val="20"/>
                <w:szCs w:val="20"/>
              </w:rPr>
            </w:pPr>
            <w:r>
              <w:rPr>
                <w:color w:val="000000"/>
                <w:sz w:val="20"/>
                <w:szCs w:val="20"/>
              </w:rPr>
              <w:t>Mặt cắt 3-3</w:t>
            </w:r>
          </w:p>
        </w:tc>
        <w:tc>
          <w:tcPr>
            <w:tcW w:w="2393" w:type="dxa"/>
            <w:noWrap/>
            <w:vAlign w:val="center"/>
          </w:tcPr>
          <w:p w14:paraId="310845BE">
            <w:pPr>
              <w:jc w:val="center"/>
              <w:rPr>
                <w:color w:val="000000"/>
                <w:sz w:val="20"/>
                <w:szCs w:val="20"/>
              </w:rPr>
            </w:pPr>
            <w:r>
              <w:rPr>
                <w:color w:val="000000"/>
                <w:sz w:val="20"/>
                <w:szCs w:val="20"/>
              </w:rPr>
              <w:t>Một mặt tiền, đối diện/tiếp giáp CX-MN</w:t>
            </w:r>
          </w:p>
        </w:tc>
        <w:tc>
          <w:tcPr>
            <w:tcW w:w="1198" w:type="dxa"/>
            <w:noWrap/>
            <w:vAlign w:val="center"/>
          </w:tcPr>
          <w:p w14:paraId="2568472B">
            <w:pPr>
              <w:jc w:val="center"/>
              <w:rPr>
                <w:color w:val="000000"/>
                <w:sz w:val="20"/>
                <w:szCs w:val="20"/>
              </w:rPr>
            </w:pPr>
            <w:r>
              <w:rPr>
                <w:color w:val="000000"/>
                <w:sz w:val="20"/>
                <w:szCs w:val="20"/>
              </w:rPr>
              <w:t>8.400.000</w:t>
            </w:r>
          </w:p>
        </w:tc>
        <w:tc>
          <w:tcPr>
            <w:tcW w:w="1236" w:type="dxa"/>
            <w:noWrap/>
            <w:vAlign w:val="center"/>
          </w:tcPr>
          <w:p w14:paraId="2C7EF87E">
            <w:pPr>
              <w:jc w:val="center"/>
              <w:rPr>
                <w:color w:val="000000"/>
                <w:sz w:val="20"/>
                <w:szCs w:val="20"/>
              </w:rPr>
            </w:pPr>
          </w:p>
        </w:tc>
        <w:tc>
          <w:tcPr>
            <w:tcW w:w="1252" w:type="dxa"/>
            <w:noWrap/>
            <w:vAlign w:val="center"/>
          </w:tcPr>
          <w:p w14:paraId="1E0FB246">
            <w:pPr>
              <w:jc w:val="center"/>
              <w:rPr>
                <w:color w:val="000000"/>
                <w:sz w:val="20"/>
                <w:szCs w:val="20"/>
              </w:rPr>
            </w:pPr>
            <w:r>
              <w:rPr>
                <w:color w:val="000000"/>
                <w:sz w:val="20"/>
                <w:szCs w:val="20"/>
              </w:rPr>
              <w:t>8.400.000</w:t>
            </w:r>
          </w:p>
        </w:tc>
        <w:tc>
          <w:tcPr>
            <w:tcW w:w="1848" w:type="dxa"/>
            <w:noWrap/>
            <w:vAlign w:val="center"/>
          </w:tcPr>
          <w:p w14:paraId="5B36D941">
            <w:pPr>
              <w:jc w:val="center"/>
              <w:rPr>
                <w:color w:val="000000"/>
                <w:sz w:val="20"/>
                <w:szCs w:val="20"/>
              </w:rPr>
            </w:pPr>
            <w:r>
              <w:rPr>
                <w:color w:val="000000"/>
                <w:sz w:val="20"/>
                <w:szCs w:val="20"/>
              </w:rPr>
              <w:t>756.000.000</w:t>
            </w:r>
          </w:p>
        </w:tc>
      </w:tr>
      <w:tr w14:paraId="344B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48E9B6F">
            <w:pPr>
              <w:jc w:val="center"/>
              <w:rPr>
                <w:b/>
                <w:bCs/>
                <w:color w:val="000000"/>
                <w:sz w:val="20"/>
                <w:szCs w:val="20"/>
              </w:rPr>
            </w:pPr>
            <w:r>
              <w:rPr>
                <w:b/>
                <w:bCs/>
                <w:color w:val="000000"/>
                <w:sz w:val="20"/>
                <w:szCs w:val="20"/>
              </w:rPr>
              <w:t>LK09</w:t>
            </w:r>
          </w:p>
        </w:tc>
        <w:tc>
          <w:tcPr>
            <w:tcW w:w="1802" w:type="dxa"/>
            <w:vAlign w:val="center"/>
          </w:tcPr>
          <w:p w14:paraId="7DEDDDAB">
            <w:pPr>
              <w:jc w:val="center"/>
              <w:rPr>
                <w:color w:val="000000"/>
                <w:sz w:val="20"/>
                <w:szCs w:val="20"/>
              </w:rPr>
            </w:pPr>
            <w:r>
              <w:rPr>
                <w:color w:val="000000"/>
                <w:sz w:val="20"/>
                <w:szCs w:val="20"/>
              </w:rPr>
              <w:t>LK09:03</w:t>
            </w:r>
          </w:p>
        </w:tc>
        <w:tc>
          <w:tcPr>
            <w:tcW w:w="1033" w:type="dxa"/>
            <w:noWrap/>
            <w:vAlign w:val="center"/>
          </w:tcPr>
          <w:p w14:paraId="295DDBFD">
            <w:pPr>
              <w:jc w:val="center"/>
              <w:rPr>
                <w:color w:val="000000"/>
                <w:sz w:val="20"/>
                <w:szCs w:val="20"/>
              </w:rPr>
            </w:pPr>
            <w:r>
              <w:rPr>
                <w:color w:val="000000"/>
                <w:sz w:val="20"/>
                <w:szCs w:val="20"/>
              </w:rPr>
              <w:t>90,00</w:t>
            </w:r>
          </w:p>
        </w:tc>
        <w:tc>
          <w:tcPr>
            <w:tcW w:w="846" w:type="dxa"/>
            <w:noWrap/>
            <w:vAlign w:val="center"/>
          </w:tcPr>
          <w:p w14:paraId="10CD3DEC">
            <w:pPr>
              <w:jc w:val="center"/>
              <w:rPr>
                <w:color w:val="000000"/>
                <w:sz w:val="20"/>
                <w:szCs w:val="20"/>
              </w:rPr>
            </w:pPr>
            <w:r>
              <w:rPr>
                <w:color w:val="000000"/>
                <w:sz w:val="20"/>
                <w:szCs w:val="20"/>
              </w:rPr>
              <w:t>1</w:t>
            </w:r>
          </w:p>
        </w:tc>
        <w:tc>
          <w:tcPr>
            <w:tcW w:w="2578" w:type="dxa"/>
            <w:noWrap/>
            <w:vAlign w:val="center"/>
          </w:tcPr>
          <w:p w14:paraId="2CCD4560">
            <w:pPr>
              <w:jc w:val="center"/>
              <w:rPr>
                <w:color w:val="000000"/>
                <w:sz w:val="20"/>
                <w:szCs w:val="20"/>
              </w:rPr>
            </w:pPr>
            <w:r>
              <w:rPr>
                <w:color w:val="000000"/>
                <w:sz w:val="20"/>
                <w:szCs w:val="20"/>
              </w:rPr>
              <w:t>Mặt cắt 3-3</w:t>
            </w:r>
          </w:p>
        </w:tc>
        <w:tc>
          <w:tcPr>
            <w:tcW w:w="2393" w:type="dxa"/>
            <w:noWrap/>
            <w:vAlign w:val="center"/>
          </w:tcPr>
          <w:p w14:paraId="59EB4805">
            <w:pPr>
              <w:jc w:val="center"/>
              <w:rPr>
                <w:color w:val="000000"/>
                <w:sz w:val="20"/>
                <w:szCs w:val="20"/>
              </w:rPr>
            </w:pPr>
            <w:r>
              <w:rPr>
                <w:color w:val="000000"/>
                <w:sz w:val="20"/>
                <w:szCs w:val="20"/>
              </w:rPr>
              <w:t>Một mặt tiền, đối diện/tiếp giáp CX-MN</w:t>
            </w:r>
          </w:p>
        </w:tc>
        <w:tc>
          <w:tcPr>
            <w:tcW w:w="1198" w:type="dxa"/>
            <w:noWrap/>
            <w:vAlign w:val="center"/>
          </w:tcPr>
          <w:p w14:paraId="3236C0FB">
            <w:pPr>
              <w:jc w:val="center"/>
              <w:rPr>
                <w:color w:val="000000"/>
                <w:sz w:val="20"/>
                <w:szCs w:val="20"/>
              </w:rPr>
            </w:pPr>
            <w:r>
              <w:rPr>
                <w:color w:val="000000"/>
                <w:sz w:val="20"/>
                <w:szCs w:val="20"/>
              </w:rPr>
              <w:t>8.400.000</w:t>
            </w:r>
          </w:p>
        </w:tc>
        <w:tc>
          <w:tcPr>
            <w:tcW w:w="1236" w:type="dxa"/>
            <w:noWrap/>
            <w:vAlign w:val="center"/>
          </w:tcPr>
          <w:p w14:paraId="79963CDD">
            <w:pPr>
              <w:jc w:val="center"/>
              <w:rPr>
                <w:color w:val="000000"/>
                <w:sz w:val="20"/>
                <w:szCs w:val="20"/>
              </w:rPr>
            </w:pPr>
          </w:p>
        </w:tc>
        <w:tc>
          <w:tcPr>
            <w:tcW w:w="1252" w:type="dxa"/>
            <w:noWrap/>
            <w:vAlign w:val="center"/>
          </w:tcPr>
          <w:p w14:paraId="13A9E8C4">
            <w:pPr>
              <w:jc w:val="center"/>
              <w:rPr>
                <w:color w:val="000000"/>
                <w:sz w:val="20"/>
                <w:szCs w:val="20"/>
              </w:rPr>
            </w:pPr>
            <w:r>
              <w:rPr>
                <w:color w:val="000000"/>
                <w:sz w:val="20"/>
                <w:szCs w:val="20"/>
              </w:rPr>
              <w:t>8.400.000</w:t>
            </w:r>
          </w:p>
        </w:tc>
        <w:tc>
          <w:tcPr>
            <w:tcW w:w="1848" w:type="dxa"/>
            <w:noWrap/>
            <w:vAlign w:val="center"/>
          </w:tcPr>
          <w:p w14:paraId="7853720E">
            <w:pPr>
              <w:jc w:val="center"/>
              <w:rPr>
                <w:color w:val="000000"/>
                <w:sz w:val="20"/>
                <w:szCs w:val="20"/>
              </w:rPr>
            </w:pPr>
            <w:r>
              <w:rPr>
                <w:color w:val="000000"/>
                <w:sz w:val="20"/>
                <w:szCs w:val="20"/>
              </w:rPr>
              <w:t>756.000.000</w:t>
            </w:r>
          </w:p>
        </w:tc>
      </w:tr>
      <w:tr w14:paraId="164C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CDC4387">
            <w:pPr>
              <w:jc w:val="center"/>
              <w:rPr>
                <w:b/>
                <w:bCs/>
                <w:color w:val="000000"/>
                <w:sz w:val="20"/>
                <w:szCs w:val="20"/>
              </w:rPr>
            </w:pPr>
            <w:r>
              <w:rPr>
                <w:b/>
                <w:bCs/>
                <w:color w:val="000000"/>
                <w:sz w:val="20"/>
                <w:szCs w:val="20"/>
              </w:rPr>
              <w:t>LK09</w:t>
            </w:r>
          </w:p>
        </w:tc>
        <w:tc>
          <w:tcPr>
            <w:tcW w:w="1802" w:type="dxa"/>
            <w:vAlign w:val="center"/>
          </w:tcPr>
          <w:p w14:paraId="39177001">
            <w:pPr>
              <w:jc w:val="center"/>
              <w:rPr>
                <w:color w:val="000000"/>
                <w:sz w:val="20"/>
                <w:szCs w:val="20"/>
              </w:rPr>
            </w:pPr>
            <w:r>
              <w:rPr>
                <w:color w:val="000000"/>
                <w:sz w:val="20"/>
                <w:szCs w:val="20"/>
              </w:rPr>
              <w:t>LK09:04</w:t>
            </w:r>
          </w:p>
        </w:tc>
        <w:tc>
          <w:tcPr>
            <w:tcW w:w="1033" w:type="dxa"/>
            <w:noWrap/>
            <w:vAlign w:val="center"/>
          </w:tcPr>
          <w:p w14:paraId="5330A7A9">
            <w:pPr>
              <w:jc w:val="center"/>
              <w:rPr>
                <w:color w:val="000000"/>
                <w:sz w:val="20"/>
                <w:szCs w:val="20"/>
              </w:rPr>
            </w:pPr>
            <w:r>
              <w:rPr>
                <w:color w:val="000000"/>
                <w:sz w:val="20"/>
                <w:szCs w:val="20"/>
              </w:rPr>
              <w:t>90,00</w:t>
            </w:r>
          </w:p>
        </w:tc>
        <w:tc>
          <w:tcPr>
            <w:tcW w:w="846" w:type="dxa"/>
            <w:noWrap/>
            <w:vAlign w:val="center"/>
          </w:tcPr>
          <w:p w14:paraId="0C9CDB4F">
            <w:pPr>
              <w:jc w:val="center"/>
              <w:rPr>
                <w:color w:val="000000"/>
                <w:sz w:val="20"/>
                <w:szCs w:val="20"/>
              </w:rPr>
            </w:pPr>
            <w:r>
              <w:rPr>
                <w:color w:val="000000"/>
                <w:sz w:val="20"/>
                <w:szCs w:val="20"/>
              </w:rPr>
              <w:t>1</w:t>
            </w:r>
          </w:p>
        </w:tc>
        <w:tc>
          <w:tcPr>
            <w:tcW w:w="2578" w:type="dxa"/>
            <w:noWrap/>
            <w:vAlign w:val="center"/>
          </w:tcPr>
          <w:p w14:paraId="7896222A">
            <w:pPr>
              <w:jc w:val="center"/>
              <w:rPr>
                <w:color w:val="000000"/>
                <w:sz w:val="20"/>
                <w:szCs w:val="20"/>
              </w:rPr>
            </w:pPr>
            <w:r>
              <w:rPr>
                <w:color w:val="000000"/>
                <w:sz w:val="20"/>
                <w:szCs w:val="20"/>
              </w:rPr>
              <w:t>Mặt cắt 3-3</w:t>
            </w:r>
          </w:p>
        </w:tc>
        <w:tc>
          <w:tcPr>
            <w:tcW w:w="2393" w:type="dxa"/>
            <w:noWrap/>
            <w:vAlign w:val="center"/>
          </w:tcPr>
          <w:p w14:paraId="32A99580">
            <w:pPr>
              <w:jc w:val="center"/>
              <w:rPr>
                <w:color w:val="000000"/>
                <w:sz w:val="20"/>
                <w:szCs w:val="20"/>
              </w:rPr>
            </w:pPr>
            <w:r>
              <w:rPr>
                <w:color w:val="000000"/>
                <w:sz w:val="20"/>
                <w:szCs w:val="20"/>
              </w:rPr>
              <w:t>Một mặt tiền, đối diện/tiếp giáp CX-MN</w:t>
            </w:r>
          </w:p>
        </w:tc>
        <w:tc>
          <w:tcPr>
            <w:tcW w:w="1198" w:type="dxa"/>
            <w:noWrap/>
            <w:vAlign w:val="center"/>
          </w:tcPr>
          <w:p w14:paraId="2ED92D3D">
            <w:pPr>
              <w:jc w:val="center"/>
              <w:rPr>
                <w:color w:val="000000"/>
                <w:sz w:val="20"/>
                <w:szCs w:val="20"/>
              </w:rPr>
            </w:pPr>
            <w:r>
              <w:rPr>
                <w:color w:val="000000"/>
                <w:sz w:val="20"/>
                <w:szCs w:val="20"/>
              </w:rPr>
              <w:t>8.400.000</w:t>
            </w:r>
          </w:p>
        </w:tc>
        <w:tc>
          <w:tcPr>
            <w:tcW w:w="1236" w:type="dxa"/>
            <w:noWrap/>
            <w:vAlign w:val="center"/>
          </w:tcPr>
          <w:p w14:paraId="5CA9398D">
            <w:pPr>
              <w:jc w:val="center"/>
              <w:rPr>
                <w:color w:val="000000"/>
                <w:sz w:val="20"/>
                <w:szCs w:val="20"/>
              </w:rPr>
            </w:pPr>
          </w:p>
        </w:tc>
        <w:tc>
          <w:tcPr>
            <w:tcW w:w="1252" w:type="dxa"/>
            <w:noWrap/>
            <w:vAlign w:val="center"/>
          </w:tcPr>
          <w:p w14:paraId="6311BF7F">
            <w:pPr>
              <w:jc w:val="center"/>
              <w:rPr>
                <w:color w:val="000000"/>
                <w:sz w:val="20"/>
                <w:szCs w:val="20"/>
              </w:rPr>
            </w:pPr>
            <w:r>
              <w:rPr>
                <w:color w:val="000000"/>
                <w:sz w:val="20"/>
                <w:szCs w:val="20"/>
              </w:rPr>
              <w:t>8.400.000</w:t>
            </w:r>
          </w:p>
        </w:tc>
        <w:tc>
          <w:tcPr>
            <w:tcW w:w="1848" w:type="dxa"/>
            <w:noWrap/>
            <w:vAlign w:val="center"/>
          </w:tcPr>
          <w:p w14:paraId="3AEC4CD8">
            <w:pPr>
              <w:jc w:val="center"/>
              <w:rPr>
                <w:color w:val="000000"/>
                <w:sz w:val="20"/>
                <w:szCs w:val="20"/>
              </w:rPr>
            </w:pPr>
            <w:r>
              <w:rPr>
                <w:color w:val="000000"/>
                <w:sz w:val="20"/>
                <w:szCs w:val="20"/>
              </w:rPr>
              <w:t>756.000.000</w:t>
            </w:r>
          </w:p>
        </w:tc>
      </w:tr>
      <w:tr w14:paraId="311C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BAAB5AF">
            <w:pPr>
              <w:jc w:val="center"/>
              <w:rPr>
                <w:b/>
                <w:bCs/>
                <w:color w:val="000000"/>
                <w:sz w:val="20"/>
                <w:szCs w:val="20"/>
              </w:rPr>
            </w:pPr>
            <w:r>
              <w:rPr>
                <w:b/>
                <w:bCs/>
                <w:color w:val="000000"/>
                <w:sz w:val="20"/>
                <w:szCs w:val="20"/>
              </w:rPr>
              <w:t>LK09</w:t>
            </w:r>
          </w:p>
        </w:tc>
        <w:tc>
          <w:tcPr>
            <w:tcW w:w="1802" w:type="dxa"/>
            <w:vAlign w:val="center"/>
          </w:tcPr>
          <w:p w14:paraId="7F08C9C5">
            <w:pPr>
              <w:jc w:val="center"/>
              <w:rPr>
                <w:color w:val="000000"/>
                <w:sz w:val="20"/>
                <w:szCs w:val="20"/>
              </w:rPr>
            </w:pPr>
            <w:r>
              <w:rPr>
                <w:color w:val="000000"/>
                <w:sz w:val="20"/>
                <w:szCs w:val="20"/>
              </w:rPr>
              <w:t>LK09:05</w:t>
            </w:r>
          </w:p>
        </w:tc>
        <w:tc>
          <w:tcPr>
            <w:tcW w:w="1033" w:type="dxa"/>
            <w:noWrap/>
            <w:vAlign w:val="center"/>
          </w:tcPr>
          <w:p w14:paraId="0F318A8C">
            <w:pPr>
              <w:jc w:val="center"/>
              <w:rPr>
                <w:color w:val="000000"/>
                <w:sz w:val="20"/>
                <w:szCs w:val="20"/>
              </w:rPr>
            </w:pPr>
            <w:r>
              <w:rPr>
                <w:color w:val="000000"/>
                <w:sz w:val="20"/>
                <w:szCs w:val="20"/>
              </w:rPr>
              <w:t>90,00</w:t>
            </w:r>
          </w:p>
        </w:tc>
        <w:tc>
          <w:tcPr>
            <w:tcW w:w="846" w:type="dxa"/>
            <w:noWrap/>
            <w:vAlign w:val="center"/>
          </w:tcPr>
          <w:p w14:paraId="7A9CD99F">
            <w:pPr>
              <w:jc w:val="center"/>
              <w:rPr>
                <w:color w:val="000000"/>
                <w:sz w:val="20"/>
                <w:szCs w:val="20"/>
              </w:rPr>
            </w:pPr>
            <w:r>
              <w:rPr>
                <w:color w:val="000000"/>
                <w:sz w:val="20"/>
                <w:szCs w:val="20"/>
              </w:rPr>
              <w:t>1</w:t>
            </w:r>
          </w:p>
        </w:tc>
        <w:tc>
          <w:tcPr>
            <w:tcW w:w="2578" w:type="dxa"/>
            <w:noWrap/>
            <w:vAlign w:val="center"/>
          </w:tcPr>
          <w:p w14:paraId="6E55B4E0">
            <w:pPr>
              <w:jc w:val="center"/>
              <w:rPr>
                <w:color w:val="000000"/>
                <w:sz w:val="20"/>
                <w:szCs w:val="20"/>
              </w:rPr>
            </w:pPr>
            <w:r>
              <w:rPr>
                <w:color w:val="000000"/>
                <w:sz w:val="20"/>
                <w:szCs w:val="20"/>
              </w:rPr>
              <w:t>Mặt cắt 3-3</w:t>
            </w:r>
          </w:p>
        </w:tc>
        <w:tc>
          <w:tcPr>
            <w:tcW w:w="2393" w:type="dxa"/>
            <w:noWrap/>
            <w:vAlign w:val="center"/>
          </w:tcPr>
          <w:p w14:paraId="6908E8FD">
            <w:pPr>
              <w:jc w:val="center"/>
              <w:rPr>
                <w:color w:val="000000"/>
                <w:sz w:val="20"/>
                <w:szCs w:val="20"/>
              </w:rPr>
            </w:pPr>
            <w:r>
              <w:rPr>
                <w:color w:val="000000"/>
                <w:sz w:val="20"/>
                <w:szCs w:val="20"/>
              </w:rPr>
              <w:t>Một mặt tiền, đối diện/tiếp giáp CX-MN</w:t>
            </w:r>
          </w:p>
        </w:tc>
        <w:tc>
          <w:tcPr>
            <w:tcW w:w="1198" w:type="dxa"/>
            <w:noWrap/>
            <w:vAlign w:val="center"/>
          </w:tcPr>
          <w:p w14:paraId="15DF163E">
            <w:pPr>
              <w:jc w:val="center"/>
              <w:rPr>
                <w:color w:val="000000"/>
                <w:sz w:val="20"/>
                <w:szCs w:val="20"/>
              </w:rPr>
            </w:pPr>
            <w:r>
              <w:rPr>
                <w:color w:val="000000"/>
                <w:sz w:val="20"/>
                <w:szCs w:val="20"/>
              </w:rPr>
              <w:t>8.400.000</w:t>
            </w:r>
          </w:p>
        </w:tc>
        <w:tc>
          <w:tcPr>
            <w:tcW w:w="1236" w:type="dxa"/>
            <w:noWrap/>
            <w:vAlign w:val="center"/>
          </w:tcPr>
          <w:p w14:paraId="2A650451">
            <w:pPr>
              <w:jc w:val="center"/>
              <w:rPr>
                <w:color w:val="000000"/>
                <w:sz w:val="20"/>
                <w:szCs w:val="20"/>
              </w:rPr>
            </w:pPr>
          </w:p>
        </w:tc>
        <w:tc>
          <w:tcPr>
            <w:tcW w:w="1252" w:type="dxa"/>
            <w:noWrap/>
            <w:vAlign w:val="center"/>
          </w:tcPr>
          <w:p w14:paraId="00636F52">
            <w:pPr>
              <w:jc w:val="center"/>
              <w:rPr>
                <w:color w:val="000000"/>
                <w:sz w:val="20"/>
                <w:szCs w:val="20"/>
              </w:rPr>
            </w:pPr>
            <w:r>
              <w:rPr>
                <w:color w:val="000000"/>
                <w:sz w:val="20"/>
                <w:szCs w:val="20"/>
              </w:rPr>
              <w:t>8.400.000</w:t>
            </w:r>
          </w:p>
        </w:tc>
        <w:tc>
          <w:tcPr>
            <w:tcW w:w="1848" w:type="dxa"/>
            <w:noWrap/>
            <w:vAlign w:val="center"/>
          </w:tcPr>
          <w:p w14:paraId="01B252BE">
            <w:pPr>
              <w:jc w:val="center"/>
              <w:rPr>
                <w:color w:val="000000"/>
                <w:sz w:val="20"/>
                <w:szCs w:val="20"/>
              </w:rPr>
            </w:pPr>
            <w:r>
              <w:rPr>
                <w:color w:val="000000"/>
                <w:sz w:val="20"/>
                <w:szCs w:val="20"/>
              </w:rPr>
              <w:t>756.000.000</w:t>
            </w:r>
          </w:p>
        </w:tc>
      </w:tr>
      <w:tr w14:paraId="6833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DE77B08">
            <w:pPr>
              <w:jc w:val="center"/>
              <w:rPr>
                <w:b/>
                <w:bCs/>
                <w:color w:val="000000"/>
                <w:sz w:val="20"/>
                <w:szCs w:val="20"/>
              </w:rPr>
            </w:pPr>
            <w:r>
              <w:rPr>
                <w:b/>
                <w:bCs/>
                <w:color w:val="000000"/>
                <w:sz w:val="20"/>
                <w:szCs w:val="20"/>
              </w:rPr>
              <w:t>LK09</w:t>
            </w:r>
          </w:p>
        </w:tc>
        <w:tc>
          <w:tcPr>
            <w:tcW w:w="1802" w:type="dxa"/>
            <w:vAlign w:val="center"/>
          </w:tcPr>
          <w:p w14:paraId="7467B7CF">
            <w:pPr>
              <w:jc w:val="center"/>
              <w:rPr>
                <w:color w:val="000000"/>
                <w:sz w:val="20"/>
                <w:szCs w:val="20"/>
              </w:rPr>
            </w:pPr>
            <w:r>
              <w:rPr>
                <w:color w:val="000000"/>
                <w:sz w:val="20"/>
                <w:szCs w:val="20"/>
              </w:rPr>
              <w:t>LK09:06</w:t>
            </w:r>
          </w:p>
        </w:tc>
        <w:tc>
          <w:tcPr>
            <w:tcW w:w="1033" w:type="dxa"/>
            <w:noWrap/>
            <w:vAlign w:val="center"/>
          </w:tcPr>
          <w:p w14:paraId="4A0376E3">
            <w:pPr>
              <w:jc w:val="center"/>
              <w:rPr>
                <w:color w:val="000000"/>
                <w:sz w:val="20"/>
                <w:szCs w:val="20"/>
              </w:rPr>
            </w:pPr>
            <w:r>
              <w:rPr>
                <w:color w:val="000000"/>
                <w:sz w:val="20"/>
                <w:szCs w:val="20"/>
              </w:rPr>
              <w:t>90,00</w:t>
            </w:r>
          </w:p>
        </w:tc>
        <w:tc>
          <w:tcPr>
            <w:tcW w:w="846" w:type="dxa"/>
            <w:noWrap/>
            <w:vAlign w:val="center"/>
          </w:tcPr>
          <w:p w14:paraId="01F4B185">
            <w:pPr>
              <w:jc w:val="center"/>
              <w:rPr>
                <w:color w:val="000000"/>
                <w:sz w:val="20"/>
                <w:szCs w:val="20"/>
              </w:rPr>
            </w:pPr>
            <w:r>
              <w:rPr>
                <w:color w:val="000000"/>
                <w:sz w:val="20"/>
                <w:szCs w:val="20"/>
              </w:rPr>
              <w:t>1</w:t>
            </w:r>
          </w:p>
        </w:tc>
        <w:tc>
          <w:tcPr>
            <w:tcW w:w="2578" w:type="dxa"/>
            <w:noWrap/>
            <w:vAlign w:val="center"/>
          </w:tcPr>
          <w:p w14:paraId="234AE0A2">
            <w:pPr>
              <w:jc w:val="center"/>
              <w:rPr>
                <w:color w:val="000000"/>
                <w:sz w:val="20"/>
                <w:szCs w:val="20"/>
              </w:rPr>
            </w:pPr>
            <w:r>
              <w:rPr>
                <w:color w:val="000000"/>
                <w:sz w:val="20"/>
                <w:szCs w:val="20"/>
              </w:rPr>
              <w:t>Mặt cắt 3-3</w:t>
            </w:r>
          </w:p>
        </w:tc>
        <w:tc>
          <w:tcPr>
            <w:tcW w:w="2393" w:type="dxa"/>
            <w:noWrap/>
            <w:vAlign w:val="center"/>
          </w:tcPr>
          <w:p w14:paraId="0A986BDE">
            <w:pPr>
              <w:jc w:val="center"/>
              <w:rPr>
                <w:color w:val="000000"/>
                <w:sz w:val="20"/>
                <w:szCs w:val="20"/>
              </w:rPr>
            </w:pPr>
            <w:r>
              <w:rPr>
                <w:color w:val="000000"/>
                <w:sz w:val="20"/>
                <w:szCs w:val="20"/>
              </w:rPr>
              <w:t>Một mặt tiền, đối diện/tiếp giáp CX-MN</w:t>
            </w:r>
          </w:p>
        </w:tc>
        <w:tc>
          <w:tcPr>
            <w:tcW w:w="1198" w:type="dxa"/>
            <w:noWrap/>
            <w:vAlign w:val="center"/>
          </w:tcPr>
          <w:p w14:paraId="146ED2EE">
            <w:pPr>
              <w:jc w:val="center"/>
              <w:rPr>
                <w:color w:val="000000"/>
                <w:sz w:val="20"/>
                <w:szCs w:val="20"/>
              </w:rPr>
            </w:pPr>
            <w:r>
              <w:rPr>
                <w:color w:val="000000"/>
                <w:sz w:val="20"/>
                <w:szCs w:val="20"/>
              </w:rPr>
              <w:t>8.400.000</w:t>
            </w:r>
          </w:p>
        </w:tc>
        <w:tc>
          <w:tcPr>
            <w:tcW w:w="1236" w:type="dxa"/>
            <w:noWrap/>
            <w:vAlign w:val="center"/>
          </w:tcPr>
          <w:p w14:paraId="7A9EBF89">
            <w:pPr>
              <w:jc w:val="center"/>
              <w:rPr>
                <w:color w:val="000000"/>
                <w:sz w:val="20"/>
                <w:szCs w:val="20"/>
              </w:rPr>
            </w:pPr>
          </w:p>
        </w:tc>
        <w:tc>
          <w:tcPr>
            <w:tcW w:w="1252" w:type="dxa"/>
            <w:noWrap/>
            <w:vAlign w:val="center"/>
          </w:tcPr>
          <w:p w14:paraId="3726EB1F">
            <w:pPr>
              <w:jc w:val="center"/>
              <w:rPr>
                <w:color w:val="000000"/>
                <w:sz w:val="20"/>
                <w:szCs w:val="20"/>
              </w:rPr>
            </w:pPr>
            <w:r>
              <w:rPr>
                <w:color w:val="000000"/>
                <w:sz w:val="20"/>
                <w:szCs w:val="20"/>
              </w:rPr>
              <w:t>8.400.000</w:t>
            </w:r>
          </w:p>
        </w:tc>
        <w:tc>
          <w:tcPr>
            <w:tcW w:w="1848" w:type="dxa"/>
            <w:noWrap/>
            <w:vAlign w:val="center"/>
          </w:tcPr>
          <w:p w14:paraId="6B16E3F1">
            <w:pPr>
              <w:jc w:val="center"/>
              <w:rPr>
                <w:color w:val="000000"/>
                <w:sz w:val="20"/>
                <w:szCs w:val="20"/>
              </w:rPr>
            </w:pPr>
            <w:r>
              <w:rPr>
                <w:color w:val="000000"/>
                <w:sz w:val="20"/>
                <w:szCs w:val="20"/>
              </w:rPr>
              <w:t>756.000.000</w:t>
            </w:r>
          </w:p>
        </w:tc>
      </w:tr>
      <w:tr w14:paraId="6E5D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D9C64C3">
            <w:pPr>
              <w:jc w:val="center"/>
              <w:rPr>
                <w:b/>
                <w:bCs/>
                <w:color w:val="000000"/>
                <w:sz w:val="20"/>
                <w:szCs w:val="20"/>
              </w:rPr>
            </w:pPr>
            <w:r>
              <w:rPr>
                <w:b/>
                <w:bCs/>
                <w:color w:val="000000"/>
                <w:sz w:val="20"/>
                <w:szCs w:val="20"/>
              </w:rPr>
              <w:t>LK09</w:t>
            </w:r>
          </w:p>
        </w:tc>
        <w:tc>
          <w:tcPr>
            <w:tcW w:w="1802" w:type="dxa"/>
            <w:vAlign w:val="center"/>
          </w:tcPr>
          <w:p w14:paraId="13D251ED">
            <w:pPr>
              <w:jc w:val="center"/>
              <w:rPr>
                <w:color w:val="000000"/>
                <w:sz w:val="20"/>
                <w:szCs w:val="20"/>
              </w:rPr>
            </w:pPr>
            <w:r>
              <w:rPr>
                <w:color w:val="000000"/>
                <w:sz w:val="20"/>
                <w:szCs w:val="20"/>
              </w:rPr>
              <w:t>LK09:07</w:t>
            </w:r>
          </w:p>
        </w:tc>
        <w:tc>
          <w:tcPr>
            <w:tcW w:w="1033" w:type="dxa"/>
            <w:noWrap/>
            <w:vAlign w:val="center"/>
          </w:tcPr>
          <w:p w14:paraId="069DB6B6">
            <w:pPr>
              <w:jc w:val="center"/>
              <w:rPr>
                <w:color w:val="000000"/>
                <w:sz w:val="20"/>
                <w:szCs w:val="20"/>
              </w:rPr>
            </w:pPr>
            <w:r>
              <w:rPr>
                <w:color w:val="000000"/>
                <w:sz w:val="20"/>
                <w:szCs w:val="20"/>
              </w:rPr>
              <w:t>90,01</w:t>
            </w:r>
          </w:p>
        </w:tc>
        <w:tc>
          <w:tcPr>
            <w:tcW w:w="846" w:type="dxa"/>
            <w:noWrap/>
            <w:vAlign w:val="center"/>
          </w:tcPr>
          <w:p w14:paraId="6B770DC6">
            <w:pPr>
              <w:jc w:val="center"/>
              <w:rPr>
                <w:color w:val="000000"/>
                <w:sz w:val="20"/>
                <w:szCs w:val="20"/>
              </w:rPr>
            </w:pPr>
            <w:r>
              <w:rPr>
                <w:color w:val="000000"/>
                <w:sz w:val="20"/>
                <w:szCs w:val="20"/>
              </w:rPr>
              <w:t>1</w:t>
            </w:r>
          </w:p>
        </w:tc>
        <w:tc>
          <w:tcPr>
            <w:tcW w:w="2578" w:type="dxa"/>
            <w:noWrap/>
            <w:vAlign w:val="center"/>
          </w:tcPr>
          <w:p w14:paraId="515864D5">
            <w:pPr>
              <w:jc w:val="center"/>
              <w:rPr>
                <w:color w:val="000000"/>
                <w:sz w:val="20"/>
                <w:szCs w:val="20"/>
              </w:rPr>
            </w:pPr>
            <w:r>
              <w:rPr>
                <w:color w:val="000000"/>
                <w:sz w:val="20"/>
                <w:szCs w:val="20"/>
              </w:rPr>
              <w:t>Mặt cắt 3-3</w:t>
            </w:r>
          </w:p>
        </w:tc>
        <w:tc>
          <w:tcPr>
            <w:tcW w:w="2393" w:type="dxa"/>
            <w:noWrap/>
            <w:vAlign w:val="center"/>
          </w:tcPr>
          <w:p w14:paraId="47211B9E">
            <w:pPr>
              <w:jc w:val="center"/>
              <w:rPr>
                <w:color w:val="000000"/>
                <w:sz w:val="20"/>
                <w:szCs w:val="20"/>
              </w:rPr>
            </w:pPr>
            <w:r>
              <w:rPr>
                <w:color w:val="000000"/>
                <w:sz w:val="20"/>
                <w:szCs w:val="20"/>
              </w:rPr>
              <w:t>Một mặt tiền, đối diện/tiếp giáp CX-MN</w:t>
            </w:r>
          </w:p>
        </w:tc>
        <w:tc>
          <w:tcPr>
            <w:tcW w:w="1198" w:type="dxa"/>
            <w:noWrap/>
            <w:vAlign w:val="center"/>
          </w:tcPr>
          <w:p w14:paraId="5C2D46E0">
            <w:pPr>
              <w:jc w:val="center"/>
              <w:rPr>
                <w:color w:val="000000"/>
                <w:sz w:val="20"/>
                <w:szCs w:val="20"/>
              </w:rPr>
            </w:pPr>
            <w:r>
              <w:rPr>
                <w:color w:val="000000"/>
                <w:sz w:val="20"/>
                <w:szCs w:val="20"/>
              </w:rPr>
              <w:t>8.400.000</w:t>
            </w:r>
          </w:p>
        </w:tc>
        <w:tc>
          <w:tcPr>
            <w:tcW w:w="1236" w:type="dxa"/>
            <w:noWrap/>
            <w:vAlign w:val="center"/>
          </w:tcPr>
          <w:p w14:paraId="5004EE58">
            <w:pPr>
              <w:jc w:val="center"/>
              <w:rPr>
                <w:color w:val="000000"/>
                <w:sz w:val="20"/>
                <w:szCs w:val="20"/>
              </w:rPr>
            </w:pPr>
          </w:p>
        </w:tc>
        <w:tc>
          <w:tcPr>
            <w:tcW w:w="1252" w:type="dxa"/>
            <w:noWrap/>
            <w:vAlign w:val="center"/>
          </w:tcPr>
          <w:p w14:paraId="6838802E">
            <w:pPr>
              <w:jc w:val="center"/>
              <w:rPr>
                <w:color w:val="000000"/>
                <w:sz w:val="20"/>
                <w:szCs w:val="20"/>
              </w:rPr>
            </w:pPr>
            <w:r>
              <w:rPr>
                <w:color w:val="000000"/>
                <w:sz w:val="20"/>
                <w:szCs w:val="20"/>
              </w:rPr>
              <w:t>8.400.000</w:t>
            </w:r>
          </w:p>
        </w:tc>
        <w:tc>
          <w:tcPr>
            <w:tcW w:w="1848" w:type="dxa"/>
            <w:noWrap/>
            <w:vAlign w:val="center"/>
          </w:tcPr>
          <w:p w14:paraId="5A9A5939">
            <w:pPr>
              <w:jc w:val="center"/>
              <w:rPr>
                <w:color w:val="000000"/>
                <w:sz w:val="20"/>
                <w:szCs w:val="20"/>
              </w:rPr>
            </w:pPr>
            <w:r>
              <w:rPr>
                <w:color w:val="000000"/>
                <w:sz w:val="20"/>
                <w:szCs w:val="20"/>
              </w:rPr>
              <w:t>756.084.000</w:t>
            </w:r>
          </w:p>
        </w:tc>
      </w:tr>
      <w:tr w14:paraId="5821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F3C03A9">
            <w:pPr>
              <w:jc w:val="center"/>
              <w:rPr>
                <w:b/>
                <w:bCs/>
                <w:color w:val="000000"/>
                <w:sz w:val="20"/>
                <w:szCs w:val="20"/>
              </w:rPr>
            </w:pPr>
            <w:r>
              <w:rPr>
                <w:b/>
                <w:bCs/>
                <w:color w:val="000000"/>
                <w:sz w:val="20"/>
                <w:szCs w:val="20"/>
              </w:rPr>
              <w:t>LK09</w:t>
            </w:r>
          </w:p>
        </w:tc>
        <w:tc>
          <w:tcPr>
            <w:tcW w:w="1802" w:type="dxa"/>
            <w:vAlign w:val="center"/>
          </w:tcPr>
          <w:p w14:paraId="5C65249D">
            <w:pPr>
              <w:jc w:val="center"/>
              <w:rPr>
                <w:color w:val="000000"/>
                <w:sz w:val="20"/>
                <w:szCs w:val="20"/>
              </w:rPr>
            </w:pPr>
            <w:r>
              <w:rPr>
                <w:color w:val="000000"/>
                <w:sz w:val="20"/>
                <w:szCs w:val="20"/>
              </w:rPr>
              <w:t>LK09:08</w:t>
            </w:r>
          </w:p>
        </w:tc>
        <w:tc>
          <w:tcPr>
            <w:tcW w:w="1033" w:type="dxa"/>
            <w:noWrap/>
            <w:vAlign w:val="center"/>
          </w:tcPr>
          <w:p w14:paraId="2F3A7A0C">
            <w:pPr>
              <w:jc w:val="center"/>
              <w:rPr>
                <w:color w:val="000000"/>
                <w:sz w:val="20"/>
                <w:szCs w:val="20"/>
              </w:rPr>
            </w:pPr>
            <w:r>
              <w:rPr>
                <w:color w:val="000000"/>
                <w:sz w:val="20"/>
                <w:szCs w:val="20"/>
              </w:rPr>
              <w:t>136,61</w:t>
            </w:r>
          </w:p>
        </w:tc>
        <w:tc>
          <w:tcPr>
            <w:tcW w:w="846" w:type="dxa"/>
            <w:noWrap/>
            <w:vAlign w:val="center"/>
          </w:tcPr>
          <w:p w14:paraId="7168DE1F">
            <w:pPr>
              <w:jc w:val="center"/>
              <w:rPr>
                <w:color w:val="000000"/>
                <w:sz w:val="20"/>
                <w:szCs w:val="20"/>
              </w:rPr>
            </w:pPr>
            <w:r>
              <w:rPr>
                <w:color w:val="000000"/>
                <w:sz w:val="20"/>
                <w:szCs w:val="20"/>
              </w:rPr>
              <w:t>1</w:t>
            </w:r>
          </w:p>
        </w:tc>
        <w:tc>
          <w:tcPr>
            <w:tcW w:w="2578" w:type="dxa"/>
            <w:noWrap/>
            <w:vAlign w:val="center"/>
          </w:tcPr>
          <w:p w14:paraId="5F1E3B34">
            <w:pPr>
              <w:jc w:val="center"/>
              <w:rPr>
                <w:color w:val="000000"/>
                <w:sz w:val="20"/>
                <w:szCs w:val="20"/>
              </w:rPr>
            </w:pPr>
            <w:r>
              <w:rPr>
                <w:color w:val="000000"/>
                <w:sz w:val="20"/>
                <w:szCs w:val="20"/>
              </w:rPr>
              <w:t>Mặt cắt 3-3</w:t>
            </w:r>
          </w:p>
        </w:tc>
        <w:tc>
          <w:tcPr>
            <w:tcW w:w="2393" w:type="dxa"/>
            <w:noWrap/>
            <w:vAlign w:val="center"/>
          </w:tcPr>
          <w:p w14:paraId="25D2221E">
            <w:pPr>
              <w:jc w:val="center"/>
              <w:rPr>
                <w:color w:val="000000"/>
                <w:sz w:val="20"/>
                <w:szCs w:val="20"/>
              </w:rPr>
            </w:pPr>
            <w:r>
              <w:rPr>
                <w:color w:val="000000"/>
                <w:sz w:val="20"/>
                <w:szCs w:val="20"/>
              </w:rPr>
              <w:t>Một mặt tiền, đối diện/tiếp giáp CX-MN</w:t>
            </w:r>
          </w:p>
        </w:tc>
        <w:tc>
          <w:tcPr>
            <w:tcW w:w="1198" w:type="dxa"/>
            <w:noWrap/>
            <w:vAlign w:val="center"/>
          </w:tcPr>
          <w:p w14:paraId="0973A5C7">
            <w:pPr>
              <w:jc w:val="center"/>
              <w:rPr>
                <w:color w:val="000000"/>
                <w:sz w:val="20"/>
                <w:szCs w:val="20"/>
              </w:rPr>
            </w:pPr>
            <w:r>
              <w:rPr>
                <w:color w:val="000000"/>
                <w:sz w:val="20"/>
                <w:szCs w:val="20"/>
              </w:rPr>
              <w:t>8.400.000</w:t>
            </w:r>
          </w:p>
        </w:tc>
        <w:tc>
          <w:tcPr>
            <w:tcW w:w="1236" w:type="dxa"/>
            <w:noWrap/>
            <w:vAlign w:val="center"/>
          </w:tcPr>
          <w:p w14:paraId="34AB84B5">
            <w:pPr>
              <w:jc w:val="center"/>
              <w:rPr>
                <w:color w:val="000000"/>
                <w:sz w:val="20"/>
                <w:szCs w:val="20"/>
              </w:rPr>
            </w:pPr>
          </w:p>
        </w:tc>
        <w:tc>
          <w:tcPr>
            <w:tcW w:w="1252" w:type="dxa"/>
            <w:noWrap/>
            <w:vAlign w:val="center"/>
          </w:tcPr>
          <w:p w14:paraId="330EDD2F">
            <w:pPr>
              <w:jc w:val="center"/>
              <w:rPr>
                <w:color w:val="000000"/>
                <w:sz w:val="20"/>
                <w:szCs w:val="20"/>
              </w:rPr>
            </w:pPr>
            <w:r>
              <w:rPr>
                <w:color w:val="000000"/>
                <w:sz w:val="20"/>
                <w:szCs w:val="20"/>
              </w:rPr>
              <w:t>8.400.000</w:t>
            </w:r>
          </w:p>
        </w:tc>
        <w:tc>
          <w:tcPr>
            <w:tcW w:w="1848" w:type="dxa"/>
            <w:noWrap/>
            <w:vAlign w:val="center"/>
          </w:tcPr>
          <w:p w14:paraId="5C482E36">
            <w:pPr>
              <w:jc w:val="center"/>
              <w:rPr>
                <w:color w:val="000000"/>
                <w:sz w:val="20"/>
                <w:szCs w:val="20"/>
              </w:rPr>
            </w:pPr>
            <w:r>
              <w:rPr>
                <w:color w:val="000000"/>
                <w:sz w:val="20"/>
                <w:szCs w:val="20"/>
              </w:rPr>
              <w:t>1.147.524.000</w:t>
            </w:r>
          </w:p>
        </w:tc>
      </w:tr>
      <w:tr w14:paraId="1648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116032A">
            <w:pPr>
              <w:jc w:val="center"/>
              <w:rPr>
                <w:b/>
                <w:bCs/>
                <w:color w:val="000000"/>
                <w:sz w:val="20"/>
                <w:szCs w:val="20"/>
              </w:rPr>
            </w:pPr>
            <w:r>
              <w:rPr>
                <w:b/>
                <w:bCs/>
                <w:color w:val="000000"/>
                <w:sz w:val="20"/>
                <w:szCs w:val="20"/>
              </w:rPr>
              <w:t>LK09</w:t>
            </w:r>
          </w:p>
        </w:tc>
        <w:tc>
          <w:tcPr>
            <w:tcW w:w="1802" w:type="dxa"/>
            <w:vAlign w:val="center"/>
          </w:tcPr>
          <w:p w14:paraId="648431FB">
            <w:pPr>
              <w:jc w:val="center"/>
              <w:rPr>
                <w:color w:val="000000"/>
                <w:sz w:val="20"/>
                <w:szCs w:val="20"/>
              </w:rPr>
            </w:pPr>
            <w:r>
              <w:rPr>
                <w:color w:val="000000"/>
                <w:sz w:val="20"/>
                <w:szCs w:val="20"/>
              </w:rPr>
              <w:t>LK09:09</w:t>
            </w:r>
          </w:p>
        </w:tc>
        <w:tc>
          <w:tcPr>
            <w:tcW w:w="1033" w:type="dxa"/>
            <w:noWrap/>
            <w:vAlign w:val="center"/>
          </w:tcPr>
          <w:p w14:paraId="3E7E4E37">
            <w:pPr>
              <w:jc w:val="center"/>
              <w:rPr>
                <w:color w:val="000000"/>
                <w:sz w:val="20"/>
                <w:szCs w:val="20"/>
              </w:rPr>
            </w:pPr>
            <w:r>
              <w:rPr>
                <w:color w:val="000000"/>
                <w:sz w:val="20"/>
                <w:szCs w:val="20"/>
              </w:rPr>
              <w:t>170,54</w:t>
            </w:r>
          </w:p>
        </w:tc>
        <w:tc>
          <w:tcPr>
            <w:tcW w:w="846" w:type="dxa"/>
            <w:noWrap/>
            <w:vAlign w:val="center"/>
          </w:tcPr>
          <w:p w14:paraId="0E8B5A44">
            <w:pPr>
              <w:jc w:val="center"/>
              <w:rPr>
                <w:color w:val="000000"/>
                <w:sz w:val="20"/>
                <w:szCs w:val="20"/>
              </w:rPr>
            </w:pPr>
            <w:r>
              <w:rPr>
                <w:color w:val="000000"/>
                <w:sz w:val="20"/>
                <w:szCs w:val="20"/>
              </w:rPr>
              <w:t>1</w:t>
            </w:r>
          </w:p>
        </w:tc>
        <w:tc>
          <w:tcPr>
            <w:tcW w:w="2578" w:type="dxa"/>
            <w:noWrap/>
            <w:vAlign w:val="center"/>
          </w:tcPr>
          <w:p w14:paraId="1312A4B8">
            <w:pPr>
              <w:jc w:val="center"/>
              <w:rPr>
                <w:color w:val="000000"/>
                <w:sz w:val="20"/>
                <w:szCs w:val="20"/>
              </w:rPr>
            </w:pPr>
            <w:r>
              <w:rPr>
                <w:color w:val="000000"/>
                <w:sz w:val="20"/>
                <w:szCs w:val="20"/>
              </w:rPr>
              <w:t>Mặt cắt 3-3</w:t>
            </w:r>
          </w:p>
        </w:tc>
        <w:tc>
          <w:tcPr>
            <w:tcW w:w="2393" w:type="dxa"/>
            <w:noWrap/>
            <w:vAlign w:val="center"/>
          </w:tcPr>
          <w:p w14:paraId="4D45DB4B">
            <w:pPr>
              <w:jc w:val="center"/>
              <w:rPr>
                <w:color w:val="000000"/>
                <w:sz w:val="20"/>
                <w:szCs w:val="20"/>
              </w:rPr>
            </w:pPr>
            <w:r>
              <w:rPr>
                <w:color w:val="000000"/>
                <w:sz w:val="20"/>
                <w:szCs w:val="20"/>
              </w:rPr>
              <w:t>Một mặt tiền, đối diện/tiếp giáp CX-MN</w:t>
            </w:r>
          </w:p>
        </w:tc>
        <w:tc>
          <w:tcPr>
            <w:tcW w:w="1198" w:type="dxa"/>
            <w:noWrap/>
            <w:vAlign w:val="center"/>
          </w:tcPr>
          <w:p w14:paraId="0BFAABC8">
            <w:pPr>
              <w:jc w:val="center"/>
              <w:rPr>
                <w:color w:val="000000"/>
                <w:sz w:val="20"/>
                <w:szCs w:val="20"/>
              </w:rPr>
            </w:pPr>
            <w:r>
              <w:rPr>
                <w:color w:val="000000"/>
                <w:sz w:val="20"/>
                <w:szCs w:val="20"/>
              </w:rPr>
              <w:t>8.400.000</w:t>
            </w:r>
          </w:p>
        </w:tc>
        <w:tc>
          <w:tcPr>
            <w:tcW w:w="1236" w:type="dxa"/>
            <w:noWrap/>
            <w:vAlign w:val="center"/>
          </w:tcPr>
          <w:p w14:paraId="2A9CE1D6">
            <w:pPr>
              <w:jc w:val="center"/>
              <w:rPr>
                <w:color w:val="000000"/>
                <w:sz w:val="20"/>
                <w:szCs w:val="20"/>
              </w:rPr>
            </w:pPr>
          </w:p>
        </w:tc>
        <w:tc>
          <w:tcPr>
            <w:tcW w:w="1252" w:type="dxa"/>
            <w:noWrap/>
            <w:vAlign w:val="center"/>
          </w:tcPr>
          <w:p w14:paraId="5F90A1D6">
            <w:pPr>
              <w:jc w:val="center"/>
              <w:rPr>
                <w:color w:val="000000"/>
                <w:sz w:val="20"/>
                <w:szCs w:val="20"/>
              </w:rPr>
            </w:pPr>
            <w:r>
              <w:rPr>
                <w:color w:val="000000"/>
                <w:sz w:val="20"/>
                <w:szCs w:val="20"/>
              </w:rPr>
              <w:t>8.400.000</w:t>
            </w:r>
          </w:p>
        </w:tc>
        <w:tc>
          <w:tcPr>
            <w:tcW w:w="1848" w:type="dxa"/>
            <w:noWrap/>
            <w:vAlign w:val="center"/>
          </w:tcPr>
          <w:p w14:paraId="4A9D7971">
            <w:pPr>
              <w:jc w:val="center"/>
              <w:rPr>
                <w:color w:val="000000"/>
                <w:sz w:val="20"/>
                <w:szCs w:val="20"/>
              </w:rPr>
            </w:pPr>
            <w:r>
              <w:rPr>
                <w:color w:val="000000"/>
                <w:sz w:val="20"/>
                <w:szCs w:val="20"/>
              </w:rPr>
              <w:t>1.432.536.000</w:t>
            </w:r>
          </w:p>
        </w:tc>
      </w:tr>
      <w:tr w14:paraId="363B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AFBC42">
            <w:pPr>
              <w:jc w:val="center"/>
              <w:rPr>
                <w:b/>
                <w:bCs/>
                <w:color w:val="000000"/>
                <w:sz w:val="20"/>
                <w:szCs w:val="20"/>
              </w:rPr>
            </w:pPr>
            <w:r>
              <w:rPr>
                <w:b/>
                <w:bCs/>
                <w:color w:val="000000"/>
                <w:sz w:val="20"/>
                <w:szCs w:val="20"/>
              </w:rPr>
              <w:t>LK09</w:t>
            </w:r>
          </w:p>
        </w:tc>
        <w:tc>
          <w:tcPr>
            <w:tcW w:w="1802" w:type="dxa"/>
            <w:vAlign w:val="center"/>
          </w:tcPr>
          <w:p w14:paraId="59D62C22">
            <w:pPr>
              <w:jc w:val="center"/>
              <w:rPr>
                <w:color w:val="000000"/>
                <w:sz w:val="20"/>
                <w:szCs w:val="20"/>
              </w:rPr>
            </w:pPr>
            <w:r>
              <w:rPr>
                <w:color w:val="000000"/>
                <w:sz w:val="20"/>
                <w:szCs w:val="20"/>
              </w:rPr>
              <w:t>LK09:10</w:t>
            </w:r>
          </w:p>
        </w:tc>
        <w:tc>
          <w:tcPr>
            <w:tcW w:w="1033" w:type="dxa"/>
            <w:noWrap/>
            <w:vAlign w:val="center"/>
          </w:tcPr>
          <w:p w14:paraId="0867ED72">
            <w:pPr>
              <w:jc w:val="center"/>
              <w:rPr>
                <w:color w:val="000000"/>
                <w:sz w:val="20"/>
                <w:szCs w:val="20"/>
              </w:rPr>
            </w:pPr>
            <w:r>
              <w:rPr>
                <w:color w:val="000000"/>
                <w:sz w:val="20"/>
                <w:szCs w:val="20"/>
              </w:rPr>
              <w:t>133,59</w:t>
            </w:r>
          </w:p>
        </w:tc>
        <w:tc>
          <w:tcPr>
            <w:tcW w:w="846" w:type="dxa"/>
            <w:noWrap/>
            <w:vAlign w:val="center"/>
          </w:tcPr>
          <w:p w14:paraId="160CE0C5">
            <w:pPr>
              <w:jc w:val="center"/>
              <w:rPr>
                <w:color w:val="000000"/>
                <w:sz w:val="20"/>
                <w:szCs w:val="20"/>
              </w:rPr>
            </w:pPr>
            <w:r>
              <w:rPr>
                <w:color w:val="000000"/>
                <w:sz w:val="20"/>
                <w:szCs w:val="20"/>
              </w:rPr>
              <w:t>1</w:t>
            </w:r>
          </w:p>
        </w:tc>
        <w:tc>
          <w:tcPr>
            <w:tcW w:w="2578" w:type="dxa"/>
            <w:noWrap/>
            <w:vAlign w:val="center"/>
          </w:tcPr>
          <w:p w14:paraId="07179B72">
            <w:pPr>
              <w:jc w:val="center"/>
              <w:rPr>
                <w:color w:val="000000"/>
                <w:sz w:val="20"/>
                <w:szCs w:val="20"/>
              </w:rPr>
            </w:pPr>
            <w:r>
              <w:rPr>
                <w:color w:val="000000"/>
                <w:sz w:val="20"/>
                <w:szCs w:val="20"/>
              </w:rPr>
              <w:t>Mặt cắt 3-3</w:t>
            </w:r>
          </w:p>
        </w:tc>
        <w:tc>
          <w:tcPr>
            <w:tcW w:w="2393" w:type="dxa"/>
            <w:noWrap/>
            <w:vAlign w:val="center"/>
          </w:tcPr>
          <w:p w14:paraId="2FB30888">
            <w:pPr>
              <w:jc w:val="center"/>
              <w:rPr>
                <w:color w:val="000000"/>
                <w:sz w:val="20"/>
                <w:szCs w:val="20"/>
              </w:rPr>
            </w:pPr>
            <w:r>
              <w:rPr>
                <w:color w:val="000000"/>
                <w:sz w:val="20"/>
                <w:szCs w:val="20"/>
              </w:rPr>
              <w:t>Một mặt tiền, đối diện/tiếp giáp CX-MN</w:t>
            </w:r>
          </w:p>
        </w:tc>
        <w:tc>
          <w:tcPr>
            <w:tcW w:w="1198" w:type="dxa"/>
            <w:noWrap/>
            <w:vAlign w:val="center"/>
          </w:tcPr>
          <w:p w14:paraId="025B1204">
            <w:pPr>
              <w:jc w:val="center"/>
              <w:rPr>
                <w:color w:val="000000"/>
                <w:sz w:val="20"/>
                <w:szCs w:val="20"/>
              </w:rPr>
            </w:pPr>
            <w:r>
              <w:rPr>
                <w:color w:val="000000"/>
                <w:sz w:val="20"/>
                <w:szCs w:val="20"/>
              </w:rPr>
              <w:t>8.400.000</w:t>
            </w:r>
          </w:p>
        </w:tc>
        <w:tc>
          <w:tcPr>
            <w:tcW w:w="1236" w:type="dxa"/>
            <w:noWrap/>
            <w:vAlign w:val="center"/>
          </w:tcPr>
          <w:p w14:paraId="7ACED74D">
            <w:pPr>
              <w:jc w:val="center"/>
              <w:rPr>
                <w:color w:val="000000"/>
                <w:sz w:val="20"/>
                <w:szCs w:val="20"/>
              </w:rPr>
            </w:pPr>
          </w:p>
        </w:tc>
        <w:tc>
          <w:tcPr>
            <w:tcW w:w="1252" w:type="dxa"/>
            <w:noWrap/>
            <w:vAlign w:val="center"/>
          </w:tcPr>
          <w:p w14:paraId="6C26997C">
            <w:pPr>
              <w:jc w:val="center"/>
              <w:rPr>
                <w:color w:val="000000"/>
                <w:sz w:val="20"/>
                <w:szCs w:val="20"/>
              </w:rPr>
            </w:pPr>
            <w:r>
              <w:rPr>
                <w:color w:val="000000"/>
                <w:sz w:val="20"/>
                <w:szCs w:val="20"/>
              </w:rPr>
              <w:t>8.400.000</w:t>
            </w:r>
          </w:p>
        </w:tc>
        <w:tc>
          <w:tcPr>
            <w:tcW w:w="1848" w:type="dxa"/>
            <w:noWrap/>
            <w:vAlign w:val="center"/>
          </w:tcPr>
          <w:p w14:paraId="1FDB2C33">
            <w:pPr>
              <w:jc w:val="center"/>
              <w:rPr>
                <w:color w:val="000000"/>
                <w:sz w:val="20"/>
                <w:szCs w:val="20"/>
              </w:rPr>
            </w:pPr>
            <w:r>
              <w:rPr>
                <w:color w:val="000000"/>
                <w:sz w:val="20"/>
                <w:szCs w:val="20"/>
              </w:rPr>
              <w:t>1.122.156.000</w:t>
            </w:r>
          </w:p>
        </w:tc>
      </w:tr>
      <w:tr w14:paraId="617E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0039A27">
            <w:pPr>
              <w:jc w:val="center"/>
              <w:rPr>
                <w:b/>
                <w:bCs/>
                <w:color w:val="000000"/>
                <w:sz w:val="20"/>
                <w:szCs w:val="20"/>
              </w:rPr>
            </w:pPr>
            <w:r>
              <w:rPr>
                <w:b/>
                <w:bCs/>
                <w:color w:val="000000"/>
                <w:sz w:val="20"/>
                <w:szCs w:val="20"/>
              </w:rPr>
              <w:t>LK10</w:t>
            </w:r>
          </w:p>
        </w:tc>
        <w:tc>
          <w:tcPr>
            <w:tcW w:w="1802" w:type="dxa"/>
            <w:vAlign w:val="center"/>
          </w:tcPr>
          <w:p w14:paraId="453D9E03">
            <w:pPr>
              <w:jc w:val="center"/>
              <w:rPr>
                <w:color w:val="000000"/>
                <w:sz w:val="20"/>
                <w:szCs w:val="20"/>
              </w:rPr>
            </w:pPr>
            <w:r>
              <w:rPr>
                <w:color w:val="000000"/>
                <w:sz w:val="20"/>
                <w:szCs w:val="20"/>
              </w:rPr>
              <w:t>LK10:02</w:t>
            </w:r>
          </w:p>
        </w:tc>
        <w:tc>
          <w:tcPr>
            <w:tcW w:w="1033" w:type="dxa"/>
            <w:noWrap/>
            <w:vAlign w:val="center"/>
          </w:tcPr>
          <w:p w14:paraId="67E3BCBE">
            <w:pPr>
              <w:jc w:val="center"/>
              <w:rPr>
                <w:color w:val="000000"/>
                <w:sz w:val="20"/>
                <w:szCs w:val="20"/>
              </w:rPr>
            </w:pPr>
            <w:r>
              <w:rPr>
                <w:color w:val="000000"/>
                <w:sz w:val="20"/>
                <w:szCs w:val="20"/>
              </w:rPr>
              <w:t>90,00</w:t>
            </w:r>
          </w:p>
        </w:tc>
        <w:tc>
          <w:tcPr>
            <w:tcW w:w="846" w:type="dxa"/>
            <w:noWrap/>
            <w:vAlign w:val="center"/>
          </w:tcPr>
          <w:p w14:paraId="26CCB531">
            <w:pPr>
              <w:jc w:val="center"/>
              <w:rPr>
                <w:color w:val="000000"/>
                <w:sz w:val="20"/>
                <w:szCs w:val="20"/>
              </w:rPr>
            </w:pPr>
            <w:r>
              <w:rPr>
                <w:color w:val="000000"/>
                <w:sz w:val="20"/>
                <w:szCs w:val="20"/>
              </w:rPr>
              <w:t>1</w:t>
            </w:r>
          </w:p>
        </w:tc>
        <w:tc>
          <w:tcPr>
            <w:tcW w:w="2578" w:type="dxa"/>
            <w:noWrap/>
            <w:vAlign w:val="center"/>
          </w:tcPr>
          <w:p w14:paraId="164FEF6C">
            <w:pPr>
              <w:jc w:val="center"/>
              <w:rPr>
                <w:color w:val="000000"/>
                <w:sz w:val="20"/>
                <w:szCs w:val="20"/>
              </w:rPr>
            </w:pPr>
            <w:r>
              <w:rPr>
                <w:color w:val="000000"/>
                <w:sz w:val="20"/>
                <w:szCs w:val="20"/>
              </w:rPr>
              <w:t>Mặt cắt 3-3</w:t>
            </w:r>
          </w:p>
        </w:tc>
        <w:tc>
          <w:tcPr>
            <w:tcW w:w="2393" w:type="dxa"/>
            <w:noWrap/>
            <w:vAlign w:val="center"/>
          </w:tcPr>
          <w:p w14:paraId="13A0B4D0">
            <w:pPr>
              <w:jc w:val="center"/>
              <w:rPr>
                <w:color w:val="000000"/>
                <w:sz w:val="20"/>
                <w:szCs w:val="20"/>
              </w:rPr>
            </w:pPr>
            <w:r>
              <w:rPr>
                <w:color w:val="000000"/>
                <w:sz w:val="20"/>
                <w:szCs w:val="20"/>
              </w:rPr>
              <w:t>Một mặt tiền</w:t>
            </w:r>
          </w:p>
        </w:tc>
        <w:tc>
          <w:tcPr>
            <w:tcW w:w="1198" w:type="dxa"/>
            <w:noWrap/>
            <w:vAlign w:val="center"/>
          </w:tcPr>
          <w:p w14:paraId="17455A58">
            <w:pPr>
              <w:jc w:val="center"/>
              <w:rPr>
                <w:color w:val="000000"/>
                <w:sz w:val="20"/>
                <w:szCs w:val="20"/>
              </w:rPr>
            </w:pPr>
            <w:r>
              <w:rPr>
                <w:color w:val="000000"/>
                <w:sz w:val="20"/>
                <w:szCs w:val="20"/>
              </w:rPr>
              <w:t>8.000.000</w:t>
            </w:r>
          </w:p>
        </w:tc>
        <w:tc>
          <w:tcPr>
            <w:tcW w:w="1236" w:type="dxa"/>
            <w:noWrap/>
            <w:vAlign w:val="center"/>
          </w:tcPr>
          <w:p w14:paraId="5AA7A015">
            <w:pPr>
              <w:jc w:val="center"/>
              <w:rPr>
                <w:color w:val="000000"/>
                <w:sz w:val="20"/>
                <w:szCs w:val="20"/>
              </w:rPr>
            </w:pPr>
          </w:p>
        </w:tc>
        <w:tc>
          <w:tcPr>
            <w:tcW w:w="1252" w:type="dxa"/>
            <w:noWrap/>
            <w:vAlign w:val="center"/>
          </w:tcPr>
          <w:p w14:paraId="6BB535B8">
            <w:pPr>
              <w:jc w:val="center"/>
              <w:rPr>
                <w:color w:val="000000"/>
                <w:sz w:val="20"/>
                <w:szCs w:val="20"/>
              </w:rPr>
            </w:pPr>
            <w:r>
              <w:rPr>
                <w:color w:val="000000"/>
                <w:sz w:val="20"/>
                <w:szCs w:val="20"/>
              </w:rPr>
              <w:t>8.000.000</w:t>
            </w:r>
          </w:p>
        </w:tc>
        <w:tc>
          <w:tcPr>
            <w:tcW w:w="1848" w:type="dxa"/>
            <w:noWrap/>
            <w:vAlign w:val="center"/>
          </w:tcPr>
          <w:p w14:paraId="21DAC9DC">
            <w:pPr>
              <w:jc w:val="center"/>
              <w:rPr>
                <w:color w:val="000000"/>
                <w:sz w:val="20"/>
                <w:szCs w:val="20"/>
              </w:rPr>
            </w:pPr>
            <w:r>
              <w:rPr>
                <w:color w:val="000000"/>
                <w:sz w:val="20"/>
                <w:szCs w:val="20"/>
              </w:rPr>
              <w:t>720.000.000</w:t>
            </w:r>
          </w:p>
        </w:tc>
      </w:tr>
      <w:tr w14:paraId="4EF1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4C08509">
            <w:pPr>
              <w:jc w:val="center"/>
              <w:rPr>
                <w:b/>
                <w:bCs/>
                <w:color w:val="000000"/>
                <w:sz w:val="20"/>
                <w:szCs w:val="20"/>
              </w:rPr>
            </w:pPr>
            <w:r>
              <w:rPr>
                <w:b/>
                <w:bCs/>
                <w:color w:val="000000"/>
                <w:sz w:val="20"/>
                <w:szCs w:val="20"/>
              </w:rPr>
              <w:t>LK10</w:t>
            </w:r>
          </w:p>
        </w:tc>
        <w:tc>
          <w:tcPr>
            <w:tcW w:w="1802" w:type="dxa"/>
            <w:vAlign w:val="center"/>
          </w:tcPr>
          <w:p w14:paraId="78BC8E25">
            <w:pPr>
              <w:jc w:val="center"/>
              <w:rPr>
                <w:color w:val="000000"/>
                <w:sz w:val="20"/>
                <w:szCs w:val="20"/>
              </w:rPr>
            </w:pPr>
            <w:r>
              <w:rPr>
                <w:color w:val="000000"/>
                <w:sz w:val="20"/>
                <w:szCs w:val="20"/>
              </w:rPr>
              <w:t>LK10:03</w:t>
            </w:r>
          </w:p>
        </w:tc>
        <w:tc>
          <w:tcPr>
            <w:tcW w:w="1033" w:type="dxa"/>
            <w:noWrap/>
            <w:vAlign w:val="center"/>
          </w:tcPr>
          <w:p w14:paraId="74A62683">
            <w:pPr>
              <w:jc w:val="center"/>
              <w:rPr>
                <w:color w:val="000000"/>
                <w:sz w:val="20"/>
                <w:szCs w:val="20"/>
              </w:rPr>
            </w:pPr>
            <w:r>
              <w:rPr>
                <w:color w:val="000000"/>
                <w:sz w:val="20"/>
                <w:szCs w:val="20"/>
              </w:rPr>
              <w:t>90,00</w:t>
            </w:r>
          </w:p>
        </w:tc>
        <w:tc>
          <w:tcPr>
            <w:tcW w:w="846" w:type="dxa"/>
            <w:noWrap/>
            <w:vAlign w:val="center"/>
          </w:tcPr>
          <w:p w14:paraId="25206036">
            <w:pPr>
              <w:jc w:val="center"/>
              <w:rPr>
                <w:color w:val="000000"/>
                <w:sz w:val="20"/>
                <w:szCs w:val="20"/>
              </w:rPr>
            </w:pPr>
            <w:r>
              <w:rPr>
                <w:color w:val="000000"/>
                <w:sz w:val="20"/>
                <w:szCs w:val="20"/>
              </w:rPr>
              <w:t>1</w:t>
            </w:r>
          </w:p>
        </w:tc>
        <w:tc>
          <w:tcPr>
            <w:tcW w:w="2578" w:type="dxa"/>
            <w:noWrap/>
            <w:vAlign w:val="center"/>
          </w:tcPr>
          <w:p w14:paraId="6617AB64">
            <w:pPr>
              <w:jc w:val="center"/>
              <w:rPr>
                <w:color w:val="000000"/>
                <w:sz w:val="20"/>
                <w:szCs w:val="20"/>
              </w:rPr>
            </w:pPr>
            <w:r>
              <w:rPr>
                <w:color w:val="000000"/>
                <w:sz w:val="20"/>
                <w:szCs w:val="20"/>
              </w:rPr>
              <w:t>Mặt cắt 3-3</w:t>
            </w:r>
          </w:p>
        </w:tc>
        <w:tc>
          <w:tcPr>
            <w:tcW w:w="2393" w:type="dxa"/>
            <w:noWrap/>
            <w:vAlign w:val="center"/>
          </w:tcPr>
          <w:p w14:paraId="351708E0">
            <w:pPr>
              <w:jc w:val="center"/>
              <w:rPr>
                <w:color w:val="000000"/>
                <w:sz w:val="20"/>
                <w:szCs w:val="20"/>
              </w:rPr>
            </w:pPr>
            <w:r>
              <w:rPr>
                <w:color w:val="000000"/>
                <w:sz w:val="20"/>
                <w:szCs w:val="20"/>
              </w:rPr>
              <w:t>Một mặt tiền</w:t>
            </w:r>
          </w:p>
        </w:tc>
        <w:tc>
          <w:tcPr>
            <w:tcW w:w="1198" w:type="dxa"/>
            <w:noWrap/>
            <w:vAlign w:val="center"/>
          </w:tcPr>
          <w:p w14:paraId="4FBC4248">
            <w:pPr>
              <w:jc w:val="center"/>
              <w:rPr>
                <w:color w:val="000000"/>
                <w:sz w:val="20"/>
                <w:szCs w:val="20"/>
              </w:rPr>
            </w:pPr>
            <w:r>
              <w:rPr>
                <w:color w:val="000000"/>
                <w:sz w:val="20"/>
                <w:szCs w:val="20"/>
              </w:rPr>
              <w:t>8.000.000</w:t>
            </w:r>
          </w:p>
        </w:tc>
        <w:tc>
          <w:tcPr>
            <w:tcW w:w="1236" w:type="dxa"/>
            <w:noWrap/>
            <w:vAlign w:val="center"/>
          </w:tcPr>
          <w:p w14:paraId="044793E2">
            <w:pPr>
              <w:jc w:val="center"/>
              <w:rPr>
                <w:color w:val="000000"/>
                <w:sz w:val="20"/>
                <w:szCs w:val="20"/>
              </w:rPr>
            </w:pPr>
          </w:p>
        </w:tc>
        <w:tc>
          <w:tcPr>
            <w:tcW w:w="1252" w:type="dxa"/>
            <w:noWrap/>
            <w:vAlign w:val="center"/>
          </w:tcPr>
          <w:p w14:paraId="490102C4">
            <w:pPr>
              <w:jc w:val="center"/>
              <w:rPr>
                <w:color w:val="000000"/>
                <w:sz w:val="20"/>
                <w:szCs w:val="20"/>
              </w:rPr>
            </w:pPr>
            <w:r>
              <w:rPr>
                <w:color w:val="000000"/>
                <w:sz w:val="20"/>
                <w:szCs w:val="20"/>
              </w:rPr>
              <w:t>8.000.000</w:t>
            </w:r>
          </w:p>
        </w:tc>
        <w:tc>
          <w:tcPr>
            <w:tcW w:w="1848" w:type="dxa"/>
            <w:noWrap/>
            <w:vAlign w:val="center"/>
          </w:tcPr>
          <w:p w14:paraId="46D405D9">
            <w:pPr>
              <w:jc w:val="center"/>
              <w:rPr>
                <w:color w:val="000000"/>
                <w:sz w:val="20"/>
                <w:szCs w:val="20"/>
              </w:rPr>
            </w:pPr>
            <w:r>
              <w:rPr>
                <w:color w:val="000000"/>
                <w:sz w:val="20"/>
                <w:szCs w:val="20"/>
              </w:rPr>
              <w:t>720.000.000</w:t>
            </w:r>
          </w:p>
        </w:tc>
      </w:tr>
      <w:tr w14:paraId="4136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EC5212">
            <w:pPr>
              <w:jc w:val="center"/>
              <w:rPr>
                <w:b/>
                <w:bCs/>
                <w:color w:val="000000"/>
                <w:sz w:val="20"/>
                <w:szCs w:val="20"/>
              </w:rPr>
            </w:pPr>
            <w:r>
              <w:rPr>
                <w:b/>
                <w:bCs/>
                <w:color w:val="000000"/>
                <w:sz w:val="20"/>
                <w:szCs w:val="20"/>
              </w:rPr>
              <w:t>LK10</w:t>
            </w:r>
          </w:p>
        </w:tc>
        <w:tc>
          <w:tcPr>
            <w:tcW w:w="1802" w:type="dxa"/>
            <w:vAlign w:val="center"/>
          </w:tcPr>
          <w:p w14:paraId="601535B5">
            <w:pPr>
              <w:jc w:val="center"/>
              <w:rPr>
                <w:color w:val="000000"/>
                <w:sz w:val="20"/>
                <w:szCs w:val="20"/>
              </w:rPr>
            </w:pPr>
            <w:r>
              <w:rPr>
                <w:color w:val="000000"/>
                <w:sz w:val="20"/>
                <w:szCs w:val="20"/>
              </w:rPr>
              <w:t>LK10:04</w:t>
            </w:r>
          </w:p>
        </w:tc>
        <w:tc>
          <w:tcPr>
            <w:tcW w:w="1033" w:type="dxa"/>
            <w:noWrap/>
            <w:vAlign w:val="center"/>
          </w:tcPr>
          <w:p w14:paraId="28BA514C">
            <w:pPr>
              <w:jc w:val="center"/>
              <w:rPr>
                <w:color w:val="000000"/>
                <w:sz w:val="20"/>
                <w:szCs w:val="20"/>
              </w:rPr>
            </w:pPr>
            <w:r>
              <w:rPr>
                <w:color w:val="000000"/>
                <w:sz w:val="20"/>
                <w:szCs w:val="20"/>
              </w:rPr>
              <w:t>90,00</w:t>
            </w:r>
          </w:p>
        </w:tc>
        <w:tc>
          <w:tcPr>
            <w:tcW w:w="846" w:type="dxa"/>
            <w:noWrap/>
            <w:vAlign w:val="center"/>
          </w:tcPr>
          <w:p w14:paraId="0ECDA3B5">
            <w:pPr>
              <w:jc w:val="center"/>
              <w:rPr>
                <w:color w:val="000000"/>
                <w:sz w:val="20"/>
                <w:szCs w:val="20"/>
              </w:rPr>
            </w:pPr>
            <w:r>
              <w:rPr>
                <w:color w:val="000000"/>
                <w:sz w:val="20"/>
                <w:szCs w:val="20"/>
              </w:rPr>
              <w:t>1</w:t>
            </w:r>
          </w:p>
        </w:tc>
        <w:tc>
          <w:tcPr>
            <w:tcW w:w="2578" w:type="dxa"/>
            <w:noWrap/>
            <w:vAlign w:val="center"/>
          </w:tcPr>
          <w:p w14:paraId="020E1B18">
            <w:pPr>
              <w:jc w:val="center"/>
              <w:rPr>
                <w:color w:val="000000"/>
                <w:sz w:val="20"/>
                <w:szCs w:val="20"/>
              </w:rPr>
            </w:pPr>
            <w:r>
              <w:rPr>
                <w:color w:val="000000"/>
                <w:sz w:val="20"/>
                <w:szCs w:val="20"/>
              </w:rPr>
              <w:t>Mặt cắt 3-3</w:t>
            </w:r>
          </w:p>
        </w:tc>
        <w:tc>
          <w:tcPr>
            <w:tcW w:w="2393" w:type="dxa"/>
            <w:noWrap/>
            <w:vAlign w:val="center"/>
          </w:tcPr>
          <w:p w14:paraId="72320E01">
            <w:pPr>
              <w:jc w:val="center"/>
              <w:rPr>
                <w:color w:val="000000"/>
                <w:sz w:val="20"/>
                <w:szCs w:val="20"/>
              </w:rPr>
            </w:pPr>
            <w:r>
              <w:rPr>
                <w:color w:val="000000"/>
                <w:sz w:val="20"/>
                <w:szCs w:val="20"/>
              </w:rPr>
              <w:t>Một mặt tiền</w:t>
            </w:r>
          </w:p>
        </w:tc>
        <w:tc>
          <w:tcPr>
            <w:tcW w:w="1198" w:type="dxa"/>
            <w:noWrap/>
            <w:vAlign w:val="center"/>
          </w:tcPr>
          <w:p w14:paraId="0550359A">
            <w:pPr>
              <w:jc w:val="center"/>
              <w:rPr>
                <w:color w:val="000000"/>
                <w:sz w:val="20"/>
                <w:szCs w:val="20"/>
              </w:rPr>
            </w:pPr>
            <w:r>
              <w:rPr>
                <w:color w:val="000000"/>
                <w:sz w:val="20"/>
                <w:szCs w:val="20"/>
              </w:rPr>
              <w:t>8.000.000</w:t>
            </w:r>
          </w:p>
        </w:tc>
        <w:tc>
          <w:tcPr>
            <w:tcW w:w="1236" w:type="dxa"/>
            <w:noWrap/>
            <w:vAlign w:val="center"/>
          </w:tcPr>
          <w:p w14:paraId="71251B73">
            <w:pPr>
              <w:jc w:val="center"/>
              <w:rPr>
                <w:color w:val="000000"/>
                <w:sz w:val="20"/>
                <w:szCs w:val="20"/>
              </w:rPr>
            </w:pPr>
          </w:p>
        </w:tc>
        <w:tc>
          <w:tcPr>
            <w:tcW w:w="1252" w:type="dxa"/>
            <w:noWrap/>
            <w:vAlign w:val="center"/>
          </w:tcPr>
          <w:p w14:paraId="379B080F">
            <w:pPr>
              <w:jc w:val="center"/>
              <w:rPr>
                <w:color w:val="000000"/>
                <w:sz w:val="20"/>
                <w:szCs w:val="20"/>
              </w:rPr>
            </w:pPr>
            <w:r>
              <w:rPr>
                <w:color w:val="000000"/>
                <w:sz w:val="20"/>
                <w:szCs w:val="20"/>
              </w:rPr>
              <w:t>8.000.000</w:t>
            </w:r>
          </w:p>
        </w:tc>
        <w:tc>
          <w:tcPr>
            <w:tcW w:w="1848" w:type="dxa"/>
            <w:noWrap/>
            <w:vAlign w:val="center"/>
          </w:tcPr>
          <w:p w14:paraId="5190F5E6">
            <w:pPr>
              <w:jc w:val="center"/>
              <w:rPr>
                <w:color w:val="000000"/>
                <w:sz w:val="20"/>
                <w:szCs w:val="20"/>
              </w:rPr>
            </w:pPr>
            <w:r>
              <w:rPr>
                <w:color w:val="000000"/>
                <w:sz w:val="20"/>
                <w:szCs w:val="20"/>
              </w:rPr>
              <w:t>720.000.000</w:t>
            </w:r>
          </w:p>
        </w:tc>
      </w:tr>
      <w:tr w14:paraId="0ECC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D095298">
            <w:pPr>
              <w:jc w:val="center"/>
              <w:rPr>
                <w:b/>
                <w:bCs/>
                <w:color w:val="000000"/>
                <w:sz w:val="20"/>
                <w:szCs w:val="20"/>
              </w:rPr>
            </w:pPr>
            <w:r>
              <w:rPr>
                <w:b/>
                <w:bCs/>
                <w:color w:val="000000"/>
                <w:sz w:val="20"/>
                <w:szCs w:val="20"/>
              </w:rPr>
              <w:t>LK10</w:t>
            </w:r>
          </w:p>
        </w:tc>
        <w:tc>
          <w:tcPr>
            <w:tcW w:w="1802" w:type="dxa"/>
            <w:vAlign w:val="center"/>
          </w:tcPr>
          <w:p w14:paraId="49B2733A">
            <w:pPr>
              <w:jc w:val="center"/>
              <w:rPr>
                <w:color w:val="000000"/>
                <w:sz w:val="20"/>
                <w:szCs w:val="20"/>
              </w:rPr>
            </w:pPr>
            <w:r>
              <w:rPr>
                <w:color w:val="000000"/>
                <w:sz w:val="20"/>
                <w:szCs w:val="20"/>
              </w:rPr>
              <w:t>LK10:05</w:t>
            </w:r>
          </w:p>
        </w:tc>
        <w:tc>
          <w:tcPr>
            <w:tcW w:w="1033" w:type="dxa"/>
            <w:noWrap/>
            <w:vAlign w:val="center"/>
          </w:tcPr>
          <w:p w14:paraId="5DFB4206">
            <w:pPr>
              <w:jc w:val="center"/>
              <w:rPr>
                <w:color w:val="000000"/>
                <w:sz w:val="20"/>
                <w:szCs w:val="20"/>
              </w:rPr>
            </w:pPr>
            <w:r>
              <w:rPr>
                <w:color w:val="000000"/>
                <w:sz w:val="20"/>
                <w:szCs w:val="20"/>
              </w:rPr>
              <w:t>90,00</w:t>
            </w:r>
          </w:p>
        </w:tc>
        <w:tc>
          <w:tcPr>
            <w:tcW w:w="846" w:type="dxa"/>
            <w:noWrap/>
            <w:vAlign w:val="center"/>
          </w:tcPr>
          <w:p w14:paraId="0B20C4BD">
            <w:pPr>
              <w:jc w:val="center"/>
              <w:rPr>
                <w:color w:val="000000"/>
                <w:sz w:val="20"/>
                <w:szCs w:val="20"/>
              </w:rPr>
            </w:pPr>
            <w:r>
              <w:rPr>
                <w:color w:val="000000"/>
                <w:sz w:val="20"/>
                <w:szCs w:val="20"/>
              </w:rPr>
              <w:t>1</w:t>
            </w:r>
          </w:p>
        </w:tc>
        <w:tc>
          <w:tcPr>
            <w:tcW w:w="2578" w:type="dxa"/>
            <w:noWrap/>
            <w:vAlign w:val="center"/>
          </w:tcPr>
          <w:p w14:paraId="03283100">
            <w:pPr>
              <w:jc w:val="center"/>
              <w:rPr>
                <w:color w:val="000000"/>
                <w:sz w:val="20"/>
                <w:szCs w:val="20"/>
              </w:rPr>
            </w:pPr>
            <w:r>
              <w:rPr>
                <w:color w:val="000000"/>
                <w:sz w:val="20"/>
                <w:szCs w:val="20"/>
              </w:rPr>
              <w:t>Mặt cắt 3-3</w:t>
            </w:r>
          </w:p>
        </w:tc>
        <w:tc>
          <w:tcPr>
            <w:tcW w:w="2393" w:type="dxa"/>
            <w:noWrap/>
            <w:vAlign w:val="center"/>
          </w:tcPr>
          <w:p w14:paraId="37EC722A">
            <w:pPr>
              <w:jc w:val="center"/>
              <w:rPr>
                <w:color w:val="000000"/>
                <w:sz w:val="20"/>
                <w:szCs w:val="20"/>
              </w:rPr>
            </w:pPr>
            <w:r>
              <w:rPr>
                <w:color w:val="000000"/>
                <w:sz w:val="20"/>
                <w:szCs w:val="20"/>
              </w:rPr>
              <w:t>Một mặt tiền</w:t>
            </w:r>
          </w:p>
        </w:tc>
        <w:tc>
          <w:tcPr>
            <w:tcW w:w="1198" w:type="dxa"/>
            <w:noWrap/>
            <w:vAlign w:val="center"/>
          </w:tcPr>
          <w:p w14:paraId="04E492B3">
            <w:pPr>
              <w:jc w:val="center"/>
              <w:rPr>
                <w:color w:val="000000"/>
                <w:sz w:val="20"/>
                <w:szCs w:val="20"/>
              </w:rPr>
            </w:pPr>
            <w:r>
              <w:rPr>
                <w:color w:val="000000"/>
                <w:sz w:val="20"/>
                <w:szCs w:val="20"/>
              </w:rPr>
              <w:t>8.000.000</w:t>
            </w:r>
          </w:p>
        </w:tc>
        <w:tc>
          <w:tcPr>
            <w:tcW w:w="1236" w:type="dxa"/>
            <w:noWrap/>
            <w:vAlign w:val="center"/>
          </w:tcPr>
          <w:p w14:paraId="4FDC948C">
            <w:pPr>
              <w:jc w:val="center"/>
              <w:rPr>
                <w:color w:val="000000"/>
                <w:sz w:val="20"/>
                <w:szCs w:val="20"/>
              </w:rPr>
            </w:pPr>
          </w:p>
        </w:tc>
        <w:tc>
          <w:tcPr>
            <w:tcW w:w="1252" w:type="dxa"/>
            <w:noWrap/>
            <w:vAlign w:val="center"/>
          </w:tcPr>
          <w:p w14:paraId="5C3BAF8D">
            <w:pPr>
              <w:jc w:val="center"/>
              <w:rPr>
                <w:color w:val="000000"/>
                <w:sz w:val="20"/>
                <w:szCs w:val="20"/>
              </w:rPr>
            </w:pPr>
            <w:r>
              <w:rPr>
                <w:color w:val="000000"/>
                <w:sz w:val="20"/>
                <w:szCs w:val="20"/>
              </w:rPr>
              <w:t>8.000.000</w:t>
            </w:r>
          </w:p>
        </w:tc>
        <w:tc>
          <w:tcPr>
            <w:tcW w:w="1848" w:type="dxa"/>
            <w:noWrap/>
            <w:vAlign w:val="center"/>
          </w:tcPr>
          <w:p w14:paraId="78CA9540">
            <w:pPr>
              <w:jc w:val="center"/>
              <w:rPr>
                <w:color w:val="000000"/>
                <w:sz w:val="20"/>
                <w:szCs w:val="20"/>
              </w:rPr>
            </w:pPr>
            <w:r>
              <w:rPr>
                <w:color w:val="000000"/>
                <w:sz w:val="20"/>
                <w:szCs w:val="20"/>
              </w:rPr>
              <w:t>720.000.000</w:t>
            </w:r>
          </w:p>
        </w:tc>
      </w:tr>
      <w:tr w14:paraId="07D1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0179D17">
            <w:pPr>
              <w:jc w:val="center"/>
              <w:rPr>
                <w:b/>
                <w:bCs/>
                <w:color w:val="000000"/>
                <w:sz w:val="20"/>
                <w:szCs w:val="20"/>
              </w:rPr>
            </w:pPr>
            <w:r>
              <w:rPr>
                <w:b/>
                <w:bCs/>
                <w:color w:val="000000"/>
                <w:sz w:val="20"/>
                <w:szCs w:val="20"/>
              </w:rPr>
              <w:t>LK10</w:t>
            </w:r>
          </w:p>
        </w:tc>
        <w:tc>
          <w:tcPr>
            <w:tcW w:w="1802" w:type="dxa"/>
            <w:vAlign w:val="center"/>
          </w:tcPr>
          <w:p w14:paraId="04F25520">
            <w:pPr>
              <w:jc w:val="center"/>
              <w:rPr>
                <w:color w:val="000000"/>
                <w:sz w:val="20"/>
                <w:szCs w:val="20"/>
              </w:rPr>
            </w:pPr>
            <w:r>
              <w:rPr>
                <w:color w:val="000000"/>
                <w:sz w:val="20"/>
                <w:szCs w:val="20"/>
              </w:rPr>
              <w:t>LK10:06</w:t>
            </w:r>
          </w:p>
        </w:tc>
        <w:tc>
          <w:tcPr>
            <w:tcW w:w="1033" w:type="dxa"/>
            <w:noWrap/>
            <w:vAlign w:val="center"/>
          </w:tcPr>
          <w:p w14:paraId="5FB850F7">
            <w:pPr>
              <w:jc w:val="center"/>
              <w:rPr>
                <w:color w:val="000000"/>
                <w:sz w:val="20"/>
                <w:szCs w:val="20"/>
              </w:rPr>
            </w:pPr>
            <w:r>
              <w:rPr>
                <w:color w:val="000000"/>
                <w:sz w:val="20"/>
                <w:szCs w:val="20"/>
              </w:rPr>
              <w:t>90,00</w:t>
            </w:r>
          </w:p>
        </w:tc>
        <w:tc>
          <w:tcPr>
            <w:tcW w:w="846" w:type="dxa"/>
            <w:noWrap/>
            <w:vAlign w:val="center"/>
          </w:tcPr>
          <w:p w14:paraId="3D06F13E">
            <w:pPr>
              <w:jc w:val="center"/>
              <w:rPr>
                <w:color w:val="000000"/>
                <w:sz w:val="20"/>
                <w:szCs w:val="20"/>
              </w:rPr>
            </w:pPr>
            <w:r>
              <w:rPr>
                <w:color w:val="000000"/>
                <w:sz w:val="20"/>
                <w:szCs w:val="20"/>
              </w:rPr>
              <w:t>1</w:t>
            </w:r>
          </w:p>
        </w:tc>
        <w:tc>
          <w:tcPr>
            <w:tcW w:w="2578" w:type="dxa"/>
            <w:noWrap/>
            <w:vAlign w:val="center"/>
          </w:tcPr>
          <w:p w14:paraId="4E61A560">
            <w:pPr>
              <w:jc w:val="center"/>
              <w:rPr>
                <w:color w:val="000000"/>
                <w:sz w:val="20"/>
                <w:szCs w:val="20"/>
              </w:rPr>
            </w:pPr>
            <w:r>
              <w:rPr>
                <w:color w:val="000000"/>
                <w:sz w:val="20"/>
                <w:szCs w:val="20"/>
              </w:rPr>
              <w:t>Mặt cắt 3-3</w:t>
            </w:r>
          </w:p>
        </w:tc>
        <w:tc>
          <w:tcPr>
            <w:tcW w:w="2393" w:type="dxa"/>
            <w:noWrap/>
            <w:vAlign w:val="center"/>
          </w:tcPr>
          <w:p w14:paraId="13122327">
            <w:pPr>
              <w:jc w:val="center"/>
              <w:rPr>
                <w:color w:val="000000"/>
                <w:sz w:val="20"/>
                <w:szCs w:val="20"/>
              </w:rPr>
            </w:pPr>
            <w:r>
              <w:rPr>
                <w:color w:val="000000"/>
                <w:sz w:val="20"/>
                <w:szCs w:val="20"/>
              </w:rPr>
              <w:t>Một mặt tiền</w:t>
            </w:r>
          </w:p>
        </w:tc>
        <w:tc>
          <w:tcPr>
            <w:tcW w:w="1198" w:type="dxa"/>
            <w:noWrap/>
            <w:vAlign w:val="center"/>
          </w:tcPr>
          <w:p w14:paraId="39DB4963">
            <w:pPr>
              <w:jc w:val="center"/>
              <w:rPr>
                <w:color w:val="000000"/>
                <w:sz w:val="20"/>
                <w:szCs w:val="20"/>
              </w:rPr>
            </w:pPr>
            <w:r>
              <w:rPr>
                <w:color w:val="000000"/>
                <w:sz w:val="20"/>
                <w:szCs w:val="20"/>
              </w:rPr>
              <w:t>8.000.000</w:t>
            </w:r>
          </w:p>
        </w:tc>
        <w:tc>
          <w:tcPr>
            <w:tcW w:w="1236" w:type="dxa"/>
            <w:noWrap/>
            <w:vAlign w:val="center"/>
          </w:tcPr>
          <w:p w14:paraId="2C9B39FA">
            <w:pPr>
              <w:jc w:val="center"/>
              <w:rPr>
                <w:color w:val="000000"/>
                <w:sz w:val="20"/>
                <w:szCs w:val="20"/>
              </w:rPr>
            </w:pPr>
          </w:p>
        </w:tc>
        <w:tc>
          <w:tcPr>
            <w:tcW w:w="1252" w:type="dxa"/>
            <w:noWrap/>
            <w:vAlign w:val="center"/>
          </w:tcPr>
          <w:p w14:paraId="5A0BEB95">
            <w:pPr>
              <w:jc w:val="center"/>
              <w:rPr>
                <w:color w:val="000000"/>
                <w:sz w:val="20"/>
                <w:szCs w:val="20"/>
              </w:rPr>
            </w:pPr>
            <w:r>
              <w:rPr>
                <w:color w:val="000000"/>
                <w:sz w:val="20"/>
                <w:szCs w:val="20"/>
              </w:rPr>
              <w:t>8.000.000</w:t>
            </w:r>
          </w:p>
        </w:tc>
        <w:tc>
          <w:tcPr>
            <w:tcW w:w="1848" w:type="dxa"/>
            <w:noWrap/>
            <w:vAlign w:val="center"/>
          </w:tcPr>
          <w:p w14:paraId="1659A313">
            <w:pPr>
              <w:jc w:val="center"/>
              <w:rPr>
                <w:color w:val="000000"/>
                <w:sz w:val="20"/>
                <w:szCs w:val="20"/>
              </w:rPr>
            </w:pPr>
            <w:r>
              <w:rPr>
                <w:color w:val="000000"/>
                <w:sz w:val="20"/>
                <w:szCs w:val="20"/>
              </w:rPr>
              <w:t>720.000.000</w:t>
            </w:r>
          </w:p>
        </w:tc>
      </w:tr>
      <w:tr w14:paraId="01FA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635957">
            <w:pPr>
              <w:jc w:val="center"/>
              <w:rPr>
                <w:b/>
                <w:bCs/>
                <w:color w:val="000000"/>
                <w:sz w:val="20"/>
                <w:szCs w:val="20"/>
              </w:rPr>
            </w:pPr>
            <w:r>
              <w:rPr>
                <w:b/>
                <w:bCs/>
                <w:color w:val="000000"/>
                <w:sz w:val="20"/>
                <w:szCs w:val="20"/>
              </w:rPr>
              <w:t>LK10</w:t>
            </w:r>
          </w:p>
        </w:tc>
        <w:tc>
          <w:tcPr>
            <w:tcW w:w="1802" w:type="dxa"/>
            <w:vAlign w:val="center"/>
          </w:tcPr>
          <w:p w14:paraId="59672842">
            <w:pPr>
              <w:jc w:val="center"/>
              <w:rPr>
                <w:color w:val="000000"/>
                <w:sz w:val="20"/>
                <w:szCs w:val="20"/>
              </w:rPr>
            </w:pPr>
            <w:r>
              <w:rPr>
                <w:color w:val="000000"/>
                <w:sz w:val="20"/>
                <w:szCs w:val="20"/>
              </w:rPr>
              <w:t>LK10:07</w:t>
            </w:r>
          </w:p>
        </w:tc>
        <w:tc>
          <w:tcPr>
            <w:tcW w:w="1033" w:type="dxa"/>
            <w:noWrap/>
            <w:vAlign w:val="center"/>
          </w:tcPr>
          <w:p w14:paraId="65805B05">
            <w:pPr>
              <w:jc w:val="center"/>
              <w:rPr>
                <w:color w:val="000000"/>
                <w:sz w:val="20"/>
                <w:szCs w:val="20"/>
              </w:rPr>
            </w:pPr>
            <w:r>
              <w:rPr>
                <w:color w:val="000000"/>
                <w:sz w:val="20"/>
                <w:szCs w:val="20"/>
              </w:rPr>
              <w:t>90,00</w:t>
            </w:r>
          </w:p>
        </w:tc>
        <w:tc>
          <w:tcPr>
            <w:tcW w:w="846" w:type="dxa"/>
            <w:noWrap/>
            <w:vAlign w:val="center"/>
          </w:tcPr>
          <w:p w14:paraId="0830B001">
            <w:pPr>
              <w:jc w:val="center"/>
              <w:rPr>
                <w:color w:val="000000"/>
                <w:sz w:val="20"/>
                <w:szCs w:val="20"/>
              </w:rPr>
            </w:pPr>
            <w:r>
              <w:rPr>
                <w:color w:val="000000"/>
                <w:sz w:val="20"/>
                <w:szCs w:val="20"/>
              </w:rPr>
              <w:t>1</w:t>
            </w:r>
          </w:p>
        </w:tc>
        <w:tc>
          <w:tcPr>
            <w:tcW w:w="2578" w:type="dxa"/>
            <w:noWrap/>
            <w:vAlign w:val="center"/>
          </w:tcPr>
          <w:p w14:paraId="4EDCBA07">
            <w:pPr>
              <w:jc w:val="center"/>
              <w:rPr>
                <w:color w:val="000000"/>
                <w:sz w:val="20"/>
                <w:szCs w:val="20"/>
              </w:rPr>
            </w:pPr>
            <w:r>
              <w:rPr>
                <w:color w:val="000000"/>
                <w:sz w:val="20"/>
                <w:szCs w:val="20"/>
              </w:rPr>
              <w:t>Mặt cắt 3-3</w:t>
            </w:r>
          </w:p>
        </w:tc>
        <w:tc>
          <w:tcPr>
            <w:tcW w:w="2393" w:type="dxa"/>
            <w:noWrap/>
            <w:vAlign w:val="center"/>
          </w:tcPr>
          <w:p w14:paraId="04D98A12">
            <w:pPr>
              <w:jc w:val="center"/>
              <w:rPr>
                <w:color w:val="000000"/>
                <w:sz w:val="20"/>
                <w:szCs w:val="20"/>
              </w:rPr>
            </w:pPr>
            <w:r>
              <w:rPr>
                <w:color w:val="000000"/>
                <w:sz w:val="20"/>
                <w:szCs w:val="20"/>
              </w:rPr>
              <w:t>Một mặt tiền</w:t>
            </w:r>
          </w:p>
        </w:tc>
        <w:tc>
          <w:tcPr>
            <w:tcW w:w="1198" w:type="dxa"/>
            <w:noWrap/>
            <w:vAlign w:val="center"/>
          </w:tcPr>
          <w:p w14:paraId="28927AC1">
            <w:pPr>
              <w:jc w:val="center"/>
              <w:rPr>
                <w:color w:val="000000"/>
                <w:sz w:val="20"/>
                <w:szCs w:val="20"/>
              </w:rPr>
            </w:pPr>
            <w:r>
              <w:rPr>
                <w:color w:val="000000"/>
                <w:sz w:val="20"/>
                <w:szCs w:val="20"/>
              </w:rPr>
              <w:t>8.000.000</w:t>
            </w:r>
          </w:p>
        </w:tc>
        <w:tc>
          <w:tcPr>
            <w:tcW w:w="1236" w:type="dxa"/>
            <w:noWrap/>
            <w:vAlign w:val="center"/>
          </w:tcPr>
          <w:p w14:paraId="167C0A05">
            <w:pPr>
              <w:jc w:val="center"/>
              <w:rPr>
                <w:color w:val="000000"/>
                <w:sz w:val="20"/>
                <w:szCs w:val="20"/>
              </w:rPr>
            </w:pPr>
          </w:p>
        </w:tc>
        <w:tc>
          <w:tcPr>
            <w:tcW w:w="1252" w:type="dxa"/>
            <w:noWrap/>
            <w:vAlign w:val="center"/>
          </w:tcPr>
          <w:p w14:paraId="2F99155E">
            <w:pPr>
              <w:jc w:val="center"/>
              <w:rPr>
                <w:color w:val="000000"/>
                <w:sz w:val="20"/>
                <w:szCs w:val="20"/>
              </w:rPr>
            </w:pPr>
            <w:r>
              <w:rPr>
                <w:color w:val="000000"/>
                <w:sz w:val="20"/>
                <w:szCs w:val="20"/>
              </w:rPr>
              <w:t>8.000.000</w:t>
            </w:r>
          </w:p>
        </w:tc>
        <w:tc>
          <w:tcPr>
            <w:tcW w:w="1848" w:type="dxa"/>
            <w:noWrap/>
            <w:vAlign w:val="center"/>
          </w:tcPr>
          <w:p w14:paraId="1ED58FCA">
            <w:pPr>
              <w:jc w:val="center"/>
              <w:rPr>
                <w:color w:val="000000"/>
                <w:sz w:val="20"/>
                <w:szCs w:val="20"/>
              </w:rPr>
            </w:pPr>
            <w:r>
              <w:rPr>
                <w:color w:val="000000"/>
                <w:sz w:val="20"/>
                <w:szCs w:val="20"/>
              </w:rPr>
              <w:t>720.000.000</w:t>
            </w:r>
          </w:p>
        </w:tc>
      </w:tr>
      <w:tr w14:paraId="4327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0EA8E44">
            <w:pPr>
              <w:jc w:val="center"/>
              <w:rPr>
                <w:b/>
                <w:bCs/>
                <w:color w:val="000000"/>
                <w:sz w:val="20"/>
                <w:szCs w:val="20"/>
              </w:rPr>
            </w:pPr>
            <w:r>
              <w:rPr>
                <w:b/>
                <w:bCs/>
                <w:color w:val="000000"/>
                <w:sz w:val="20"/>
                <w:szCs w:val="20"/>
              </w:rPr>
              <w:t>LK10</w:t>
            </w:r>
          </w:p>
        </w:tc>
        <w:tc>
          <w:tcPr>
            <w:tcW w:w="1802" w:type="dxa"/>
            <w:vAlign w:val="center"/>
          </w:tcPr>
          <w:p w14:paraId="7160B54C">
            <w:pPr>
              <w:jc w:val="center"/>
              <w:rPr>
                <w:color w:val="000000"/>
                <w:sz w:val="20"/>
                <w:szCs w:val="20"/>
              </w:rPr>
            </w:pPr>
            <w:r>
              <w:rPr>
                <w:color w:val="000000"/>
                <w:sz w:val="20"/>
                <w:szCs w:val="20"/>
              </w:rPr>
              <w:t>LK10:08</w:t>
            </w:r>
          </w:p>
        </w:tc>
        <w:tc>
          <w:tcPr>
            <w:tcW w:w="1033" w:type="dxa"/>
            <w:noWrap/>
            <w:vAlign w:val="center"/>
          </w:tcPr>
          <w:p w14:paraId="2618196D">
            <w:pPr>
              <w:jc w:val="center"/>
              <w:rPr>
                <w:color w:val="000000"/>
                <w:sz w:val="20"/>
                <w:szCs w:val="20"/>
              </w:rPr>
            </w:pPr>
            <w:r>
              <w:rPr>
                <w:color w:val="000000"/>
                <w:sz w:val="20"/>
                <w:szCs w:val="20"/>
              </w:rPr>
              <w:t>90,00</w:t>
            </w:r>
          </w:p>
        </w:tc>
        <w:tc>
          <w:tcPr>
            <w:tcW w:w="846" w:type="dxa"/>
            <w:noWrap/>
            <w:vAlign w:val="center"/>
          </w:tcPr>
          <w:p w14:paraId="059424F8">
            <w:pPr>
              <w:jc w:val="center"/>
              <w:rPr>
                <w:color w:val="000000"/>
                <w:sz w:val="20"/>
                <w:szCs w:val="20"/>
              </w:rPr>
            </w:pPr>
            <w:r>
              <w:rPr>
                <w:color w:val="000000"/>
                <w:sz w:val="20"/>
                <w:szCs w:val="20"/>
              </w:rPr>
              <w:t>1</w:t>
            </w:r>
          </w:p>
        </w:tc>
        <w:tc>
          <w:tcPr>
            <w:tcW w:w="2578" w:type="dxa"/>
            <w:noWrap/>
            <w:vAlign w:val="center"/>
          </w:tcPr>
          <w:p w14:paraId="1F5B04AE">
            <w:pPr>
              <w:jc w:val="center"/>
              <w:rPr>
                <w:color w:val="000000"/>
                <w:sz w:val="20"/>
                <w:szCs w:val="20"/>
              </w:rPr>
            </w:pPr>
            <w:r>
              <w:rPr>
                <w:color w:val="000000"/>
                <w:sz w:val="20"/>
                <w:szCs w:val="20"/>
              </w:rPr>
              <w:t>Mặt cắt 3-3</w:t>
            </w:r>
          </w:p>
        </w:tc>
        <w:tc>
          <w:tcPr>
            <w:tcW w:w="2393" w:type="dxa"/>
            <w:noWrap/>
            <w:vAlign w:val="center"/>
          </w:tcPr>
          <w:p w14:paraId="01CF3EBD">
            <w:pPr>
              <w:jc w:val="center"/>
              <w:rPr>
                <w:color w:val="000000"/>
                <w:sz w:val="20"/>
                <w:szCs w:val="20"/>
              </w:rPr>
            </w:pPr>
            <w:r>
              <w:rPr>
                <w:color w:val="000000"/>
                <w:sz w:val="20"/>
                <w:szCs w:val="20"/>
              </w:rPr>
              <w:t>Một mặt tiền, đối diện/tiếp giáp CX-MN</w:t>
            </w:r>
          </w:p>
        </w:tc>
        <w:tc>
          <w:tcPr>
            <w:tcW w:w="1198" w:type="dxa"/>
            <w:noWrap/>
            <w:vAlign w:val="center"/>
          </w:tcPr>
          <w:p w14:paraId="06A67CA1">
            <w:pPr>
              <w:jc w:val="center"/>
              <w:rPr>
                <w:color w:val="000000"/>
                <w:sz w:val="20"/>
                <w:szCs w:val="20"/>
              </w:rPr>
            </w:pPr>
            <w:r>
              <w:rPr>
                <w:color w:val="000000"/>
                <w:sz w:val="20"/>
                <w:szCs w:val="20"/>
              </w:rPr>
              <w:t>8.400.000</w:t>
            </w:r>
          </w:p>
        </w:tc>
        <w:tc>
          <w:tcPr>
            <w:tcW w:w="1236" w:type="dxa"/>
            <w:noWrap/>
            <w:vAlign w:val="center"/>
          </w:tcPr>
          <w:p w14:paraId="3C07E729">
            <w:pPr>
              <w:jc w:val="center"/>
              <w:rPr>
                <w:color w:val="000000"/>
                <w:sz w:val="20"/>
                <w:szCs w:val="20"/>
              </w:rPr>
            </w:pPr>
          </w:p>
        </w:tc>
        <w:tc>
          <w:tcPr>
            <w:tcW w:w="1252" w:type="dxa"/>
            <w:noWrap/>
            <w:vAlign w:val="center"/>
          </w:tcPr>
          <w:p w14:paraId="163BE2FC">
            <w:pPr>
              <w:jc w:val="center"/>
              <w:rPr>
                <w:color w:val="000000"/>
                <w:sz w:val="20"/>
                <w:szCs w:val="20"/>
              </w:rPr>
            </w:pPr>
            <w:r>
              <w:rPr>
                <w:color w:val="000000"/>
                <w:sz w:val="20"/>
                <w:szCs w:val="20"/>
              </w:rPr>
              <w:t>8.400.000</w:t>
            </w:r>
          </w:p>
        </w:tc>
        <w:tc>
          <w:tcPr>
            <w:tcW w:w="1848" w:type="dxa"/>
            <w:noWrap/>
            <w:vAlign w:val="center"/>
          </w:tcPr>
          <w:p w14:paraId="127F9299">
            <w:pPr>
              <w:jc w:val="center"/>
              <w:rPr>
                <w:color w:val="000000"/>
                <w:sz w:val="20"/>
                <w:szCs w:val="20"/>
              </w:rPr>
            </w:pPr>
            <w:r>
              <w:rPr>
                <w:color w:val="000000"/>
                <w:sz w:val="20"/>
                <w:szCs w:val="20"/>
              </w:rPr>
              <w:t>756.000.000</w:t>
            </w:r>
          </w:p>
        </w:tc>
      </w:tr>
      <w:tr w14:paraId="5038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74F8849">
            <w:pPr>
              <w:jc w:val="center"/>
              <w:rPr>
                <w:b/>
                <w:bCs/>
                <w:color w:val="000000"/>
                <w:sz w:val="20"/>
                <w:szCs w:val="20"/>
              </w:rPr>
            </w:pPr>
            <w:r>
              <w:rPr>
                <w:b/>
                <w:bCs/>
                <w:color w:val="000000"/>
                <w:sz w:val="20"/>
                <w:szCs w:val="20"/>
              </w:rPr>
              <w:t>LK10</w:t>
            </w:r>
          </w:p>
        </w:tc>
        <w:tc>
          <w:tcPr>
            <w:tcW w:w="1802" w:type="dxa"/>
            <w:vAlign w:val="center"/>
          </w:tcPr>
          <w:p w14:paraId="712C54F9">
            <w:pPr>
              <w:jc w:val="center"/>
              <w:rPr>
                <w:color w:val="000000"/>
                <w:sz w:val="20"/>
                <w:szCs w:val="20"/>
              </w:rPr>
            </w:pPr>
            <w:r>
              <w:rPr>
                <w:color w:val="000000"/>
                <w:sz w:val="20"/>
                <w:szCs w:val="20"/>
              </w:rPr>
              <w:t>LK10:09</w:t>
            </w:r>
          </w:p>
        </w:tc>
        <w:tc>
          <w:tcPr>
            <w:tcW w:w="1033" w:type="dxa"/>
            <w:noWrap/>
            <w:vAlign w:val="center"/>
          </w:tcPr>
          <w:p w14:paraId="4CC4C958">
            <w:pPr>
              <w:jc w:val="center"/>
              <w:rPr>
                <w:color w:val="000000"/>
                <w:sz w:val="20"/>
                <w:szCs w:val="20"/>
              </w:rPr>
            </w:pPr>
            <w:r>
              <w:rPr>
                <w:color w:val="000000"/>
                <w:sz w:val="20"/>
                <w:szCs w:val="20"/>
              </w:rPr>
              <w:t>90,00</w:t>
            </w:r>
          </w:p>
        </w:tc>
        <w:tc>
          <w:tcPr>
            <w:tcW w:w="846" w:type="dxa"/>
            <w:noWrap/>
            <w:vAlign w:val="center"/>
          </w:tcPr>
          <w:p w14:paraId="346D1C98">
            <w:pPr>
              <w:jc w:val="center"/>
              <w:rPr>
                <w:color w:val="000000"/>
                <w:sz w:val="20"/>
                <w:szCs w:val="20"/>
              </w:rPr>
            </w:pPr>
            <w:r>
              <w:rPr>
                <w:color w:val="000000"/>
                <w:sz w:val="20"/>
                <w:szCs w:val="20"/>
              </w:rPr>
              <w:t>1</w:t>
            </w:r>
          </w:p>
        </w:tc>
        <w:tc>
          <w:tcPr>
            <w:tcW w:w="2578" w:type="dxa"/>
            <w:noWrap/>
            <w:vAlign w:val="center"/>
          </w:tcPr>
          <w:p w14:paraId="58EED513">
            <w:pPr>
              <w:jc w:val="center"/>
              <w:rPr>
                <w:color w:val="000000"/>
                <w:sz w:val="20"/>
                <w:szCs w:val="20"/>
              </w:rPr>
            </w:pPr>
            <w:r>
              <w:rPr>
                <w:color w:val="000000"/>
                <w:sz w:val="20"/>
                <w:szCs w:val="20"/>
              </w:rPr>
              <w:t>Mặt cắt 3-3</w:t>
            </w:r>
          </w:p>
        </w:tc>
        <w:tc>
          <w:tcPr>
            <w:tcW w:w="2393" w:type="dxa"/>
            <w:noWrap/>
            <w:vAlign w:val="center"/>
          </w:tcPr>
          <w:p w14:paraId="5D711C48">
            <w:pPr>
              <w:jc w:val="center"/>
              <w:rPr>
                <w:color w:val="000000"/>
                <w:sz w:val="20"/>
                <w:szCs w:val="20"/>
              </w:rPr>
            </w:pPr>
            <w:r>
              <w:rPr>
                <w:color w:val="000000"/>
                <w:sz w:val="20"/>
                <w:szCs w:val="20"/>
              </w:rPr>
              <w:t>Một mặt tiền, đối diện/tiếp giáp CX-MN</w:t>
            </w:r>
          </w:p>
        </w:tc>
        <w:tc>
          <w:tcPr>
            <w:tcW w:w="1198" w:type="dxa"/>
            <w:noWrap/>
            <w:vAlign w:val="center"/>
          </w:tcPr>
          <w:p w14:paraId="5756E2F3">
            <w:pPr>
              <w:jc w:val="center"/>
              <w:rPr>
                <w:color w:val="000000"/>
                <w:sz w:val="20"/>
                <w:szCs w:val="20"/>
              </w:rPr>
            </w:pPr>
            <w:r>
              <w:rPr>
                <w:color w:val="000000"/>
                <w:sz w:val="20"/>
                <w:szCs w:val="20"/>
              </w:rPr>
              <w:t>8.400.000</w:t>
            </w:r>
          </w:p>
        </w:tc>
        <w:tc>
          <w:tcPr>
            <w:tcW w:w="1236" w:type="dxa"/>
            <w:noWrap/>
            <w:vAlign w:val="center"/>
          </w:tcPr>
          <w:p w14:paraId="3B4D7A97">
            <w:pPr>
              <w:jc w:val="center"/>
              <w:rPr>
                <w:color w:val="000000"/>
                <w:sz w:val="20"/>
                <w:szCs w:val="20"/>
              </w:rPr>
            </w:pPr>
          </w:p>
        </w:tc>
        <w:tc>
          <w:tcPr>
            <w:tcW w:w="1252" w:type="dxa"/>
            <w:noWrap/>
            <w:vAlign w:val="center"/>
          </w:tcPr>
          <w:p w14:paraId="2664C56E">
            <w:pPr>
              <w:jc w:val="center"/>
              <w:rPr>
                <w:color w:val="000000"/>
                <w:sz w:val="20"/>
                <w:szCs w:val="20"/>
              </w:rPr>
            </w:pPr>
            <w:r>
              <w:rPr>
                <w:color w:val="000000"/>
                <w:sz w:val="20"/>
                <w:szCs w:val="20"/>
              </w:rPr>
              <w:t>8.400.000</w:t>
            </w:r>
          </w:p>
        </w:tc>
        <w:tc>
          <w:tcPr>
            <w:tcW w:w="1848" w:type="dxa"/>
            <w:noWrap/>
            <w:vAlign w:val="center"/>
          </w:tcPr>
          <w:p w14:paraId="02F6C6E2">
            <w:pPr>
              <w:jc w:val="center"/>
              <w:rPr>
                <w:color w:val="000000"/>
                <w:sz w:val="20"/>
                <w:szCs w:val="20"/>
              </w:rPr>
            </w:pPr>
            <w:r>
              <w:rPr>
                <w:color w:val="000000"/>
                <w:sz w:val="20"/>
                <w:szCs w:val="20"/>
              </w:rPr>
              <w:t>756.000.000</w:t>
            </w:r>
          </w:p>
        </w:tc>
      </w:tr>
      <w:tr w14:paraId="4626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4DBE76A">
            <w:pPr>
              <w:jc w:val="center"/>
              <w:rPr>
                <w:b/>
                <w:bCs/>
                <w:color w:val="000000"/>
                <w:sz w:val="20"/>
                <w:szCs w:val="20"/>
              </w:rPr>
            </w:pPr>
            <w:r>
              <w:rPr>
                <w:b/>
                <w:bCs/>
                <w:color w:val="000000"/>
                <w:sz w:val="20"/>
                <w:szCs w:val="20"/>
              </w:rPr>
              <w:t>LK10</w:t>
            </w:r>
          </w:p>
        </w:tc>
        <w:tc>
          <w:tcPr>
            <w:tcW w:w="1802" w:type="dxa"/>
            <w:vAlign w:val="center"/>
          </w:tcPr>
          <w:p w14:paraId="2349863B">
            <w:pPr>
              <w:jc w:val="center"/>
              <w:rPr>
                <w:color w:val="000000"/>
                <w:sz w:val="20"/>
                <w:szCs w:val="20"/>
              </w:rPr>
            </w:pPr>
            <w:r>
              <w:rPr>
                <w:color w:val="000000"/>
                <w:sz w:val="20"/>
                <w:szCs w:val="20"/>
              </w:rPr>
              <w:t>LK10:10</w:t>
            </w:r>
          </w:p>
        </w:tc>
        <w:tc>
          <w:tcPr>
            <w:tcW w:w="1033" w:type="dxa"/>
            <w:noWrap/>
            <w:vAlign w:val="center"/>
          </w:tcPr>
          <w:p w14:paraId="56AF4C2A">
            <w:pPr>
              <w:jc w:val="center"/>
              <w:rPr>
                <w:color w:val="000000"/>
                <w:sz w:val="20"/>
                <w:szCs w:val="20"/>
              </w:rPr>
            </w:pPr>
            <w:r>
              <w:rPr>
                <w:color w:val="000000"/>
                <w:sz w:val="20"/>
                <w:szCs w:val="20"/>
              </w:rPr>
              <w:t>90,00</w:t>
            </w:r>
          </w:p>
        </w:tc>
        <w:tc>
          <w:tcPr>
            <w:tcW w:w="846" w:type="dxa"/>
            <w:noWrap/>
            <w:vAlign w:val="center"/>
          </w:tcPr>
          <w:p w14:paraId="1E09D315">
            <w:pPr>
              <w:jc w:val="center"/>
              <w:rPr>
                <w:color w:val="000000"/>
                <w:sz w:val="20"/>
                <w:szCs w:val="20"/>
              </w:rPr>
            </w:pPr>
            <w:r>
              <w:rPr>
                <w:color w:val="000000"/>
                <w:sz w:val="20"/>
                <w:szCs w:val="20"/>
              </w:rPr>
              <w:t>1</w:t>
            </w:r>
          </w:p>
        </w:tc>
        <w:tc>
          <w:tcPr>
            <w:tcW w:w="2578" w:type="dxa"/>
            <w:noWrap/>
            <w:vAlign w:val="center"/>
          </w:tcPr>
          <w:p w14:paraId="79F38EB6">
            <w:pPr>
              <w:jc w:val="center"/>
              <w:rPr>
                <w:color w:val="000000"/>
                <w:sz w:val="20"/>
                <w:szCs w:val="20"/>
              </w:rPr>
            </w:pPr>
            <w:r>
              <w:rPr>
                <w:color w:val="000000"/>
                <w:sz w:val="20"/>
                <w:szCs w:val="20"/>
              </w:rPr>
              <w:t>Mặt cắt 3-3</w:t>
            </w:r>
          </w:p>
        </w:tc>
        <w:tc>
          <w:tcPr>
            <w:tcW w:w="2393" w:type="dxa"/>
            <w:noWrap/>
            <w:vAlign w:val="center"/>
          </w:tcPr>
          <w:p w14:paraId="0FB6E444">
            <w:pPr>
              <w:jc w:val="center"/>
              <w:rPr>
                <w:color w:val="000000"/>
                <w:sz w:val="20"/>
                <w:szCs w:val="20"/>
              </w:rPr>
            </w:pPr>
            <w:r>
              <w:rPr>
                <w:color w:val="000000"/>
                <w:sz w:val="20"/>
                <w:szCs w:val="20"/>
              </w:rPr>
              <w:t>Một mặt tiền, đối diện/tiếp giáp CX-MN</w:t>
            </w:r>
          </w:p>
        </w:tc>
        <w:tc>
          <w:tcPr>
            <w:tcW w:w="1198" w:type="dxa"/>
            <w:noWrap/>
            <w:vAlign w:val="center"/>
          </w:tcPr>
          <w:p w14:paraId="765FB9D3">
            <w:pPr>
              <w:jc w:val="center"/>
              <w:rPr>
                <w:color w:val="000000"/>
                <w:sz w:val="20"/>
                <w:szCs w:val="20"/>
              </w:rPr>
            </w:pPr>
            <w:r>
              <w:rPr>
                <w:color w:val="000000"/>
                <w:sz w:val="20"/>
                <w:szCs w:val="20"/>
              </w:rPr>
              <w:t>8.400.000</w:t>
            </w:r>
          </w:p>
        </w:tc>
        <w:tc>
          <w:tcPr>
            <w:tcW w:w="1236" w:type="dxa"/>
            <w:noWrap/>
            <w:vAlign w:val="center"/>
          </w:tcPr>
          <w:p w14:paraId="5168CB89">
            <w:pPr>
              <w:jc w:val="center"/>
              <w:rPr>
                <w:color w:val="000000"/>
                <w:sz w:val="20"/>
                <w:szCs w:val="20"/>
              </w:rPr>
            </w:pPr>
          </w:p>
        </w:tc>
        <w:tc>
          <w:tcPr>
            <w:tcW w:w="1252" w:type="dxa"/>
            <w:noWrap/>
            <w:vAlign w:val="center"/>
          </w:tcPr>
          <w:p w14:paraId="3C553896">
            <w:pPr>
              <w:jc w:val="center"/>
              <w:rPr>
                <w:color w:val="000000"/>
                <w:sz w:val="20"/>
                <w:szCs w:val="20"/>
              </w:rPr>
            </w:pPr>
            <w:r>
              <w:rPr>
                <w:color w:val="000000"/>
                <w:sz w:val="20"/>
                <w:szCs w:val="20"/>
              </w:rPr>
              <w:t>8.400.000</w:t>
            </w:r>
          </w:p>
        </w:tc>
        <w:tc>
          <w:tcPr>
            <w:tcW w:w="1848" w:type="dxa"/>
            <w:noWrap/>
            <w:vAlign w:val="center"/>
          </w:tcPr>
          <w:p w14:paraId="2C68A8F6">
            <w:pPr>
              <w:jc w:val="center"/>
              <w:rPr>
                <w:color w:val="000000"/>
                <w:sz w:val="20"/>
                <w:szCs w:val="20"/>
              </w:rPr>
            </w:pPr>
            <w:r>
              <w:rPr>
                <w:color w:val="000000"/>
                <w:sz w:val="20"/>
                <w:szCs w:val="20"/>
              </w:rPr>
              <w:t>756.000.000</w:t>
            </w:r>
          </w:p>
        </w:tc>
      </w:tr>
      <w:tr w14:paraId="3D8F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48FF88">
            <w:pPr>
              <w:jc w:val="center"/>
              <w:rPr>
                <w:b/>
                <w:bCs/>
                <w:color w:val="000000"/>
                <w:sz w:val="20"/>
                <w:szCs w:val="20"/>
              </w:rPr>
            </w:pPr>
            <w:r>
              <w:rPr>
                <w:b/>
                <w:bCs/>
                <w:color w:val="000000"/>
                <w:sz w:val="20"/>
                <w:szCs w:val="20"/>
              </w:rPr>
              <w:t>LK10</w:t>
            </w:r>
          </w:p>
        </w:tc>
        <w:tc>
          <w:tcPr>
            <w:tcW w:w="1802" w:type="dxa"/>
            <w:vAlign w:val="center"/>
          </w:tcPr>
          <w:p w14:paraId="6C7FE822">
            <w:pPr>
              <w:jc w:val="center"/>
              <w:rPr>
                <w:color w:val="000000"/>
                <w:sz w:val="20"/>
                <w:szCs w:val="20"/>
              </w:rPr>
            </w:pPr>
            <w:r>
              <w:rPr>
                <w:color w:val="000000"/>
                <w:sz w:val="20"/>
                <w:szCs w:val="20"/>
              </w:rPr>
              <w:t>LK10:11</w:t>
            </w:r>
          </w:p>
        </w:tc>
        <w:tc>
          <w:tcPr>
            <w:tcW w:w="1033" w:type="dxa"/>
            <w:noWrap/>
            <w:vAlign w:val="center"/>
          </w:tcPr>
          <w:p w14:paraId="01F9577E">
            <w:pPr>
              <w:jc w:val="center"/>
              <w:rPr>
                <w:color w:val="000000"/>
                <w:sz w:val="20"/>
                <w:szCs w:val="20"/>
              </w:rPr>
            </w:pPr>
            <w:r>
              <w:rPr>
                <w:color w:val="000000"/>
                <w:sz w:val="20"/>
                <w:szCs w:val="20"/>
              </w:rPr>
              <w:t>90,00</w:t>
            </w:r>
          </w:p>
        </w:tc>
        <w:tc>
          <w:tcPr>
            <w:tcW w:w="846" w:type="dxa"/>
            <w:noWrap/>
            <w:vAlign w:val="center"/>
          </w:tcPr>
          <w:p w14:paraId="559E290E">
            <w:pPr>
              <w:jc w:val="center"/>
              <w:rPr>
                <w:color w:val="000000"/>
                <w:sz w:val="20"/>
                <w:szCs w:val="20"/>
              </w:rPr>
            </w:pPr>
            <w:r>
              <w:rPr>
                <w:color w:val="000000"/>
                <w:sz w:val="20"/>
                <w:szCs w:val="20"/>
              </w:rPr>
              <w:t>1</w:t>
            </w:r>
          </w:p>
        </w:tc>
        <w:tc>
          <w:tcPr>
            <w:tcW w:w="2578" w:type="dxa"/>
            <w:noWrap/>
            <w:vAlign w:val="center"/>
          </w:tcPr>
          <w:p w14:paraId="2F99E557">
            <w:pPr>
              <w:jc w:val="center"/>
              <w:rPr>
                <w:color w:val="000000"/>
                <w:sz w:val="20"/>
                <w:szCs w:val="20"/>
              </w:rPr>
            </w:pPr>
            <w:r>
              <w:rPr>
                <w:color w:val="000000"/>
                <w:sz w:val="20"/>
                <w:szCs w:val="20"/>
              </w:rPr>
              <w:t>Mặt cắt 3-3</w:t>
            </w:r>
          </w:p>
        </w:tc>
        <w:tc>
          <w:tcPr>
            <w:tcW w:w="2393" w:type="dxa"/>
            <w:noWrap/>
            <w:vAlign w:val="center"/>
          </w:tcPr>
          <w:p w14:paraId="3E0010A0">
            <w:pPr>
              <w:jc w:val="center"/>
              <w:rPr>
                <w:color w:val="000000"/>
                <w:sz w:val="20"/>
                <w:szCs w:val="20"/>
              </w:rPr>
            </w:pPr>
            <w:r>
              <w:rPr>
                <w:color w:val="000000"/>
                <w:sz w:val="20"/>
                <w:szCs w:val="20"/>
              </w:rPr>
              <w:t>Một mặt tiền, đối diện/tiếp giáp CX-MN</w:t>
            </w:r>
          </w:p>
        </w:tc>
        <w:tc>
          <w:tcPr>
            <w:tcW w:w="1198" w:type="dxa"/>
            <w:noWrap/>
            <w:vAlign w:val="center"/>
          </w:tcPr>
          <w:p w14:paraId="238A91AF">
            <w:pPr>
              <w:jc w:val="center"/>
              <w:rPr>
                <w:color w:val="000000"/>
                <w:sz w:val="20"/>
                <w:szCs w:val="20"/>
              </w:rPr>
            </w:pPr>
            <w:r>
              <w:rPr>
                <w:color w:val="000000"/>
                <w:sz w:val="20"/>
                <w:szCs w:val="20"/>
              </w:rPr>
              <w:t>8.400.000</w:t>
            </w:r>
          </w:p>
        </w:tc>
        <w:tc>
          <w:tcPr>
            <w:tcW w:w="1236" w:type="dxa"/>
            <w:noWrap/>
            <w:vAlign w:val="center"/>
          </w:tcPr>
          <w:p w14:paraId="1603ABF6">
            <w:pPr>
              <w:jc w:val="center"/>
              <w:rPr>
                <w:color w:val="000000"/>
                <w:sz w:val="20"/>
                <w:szCs w:val="20"/>
              </w:rPr>
            </w:pPr>
          </w:p>
        </w:tc>
        <w:tc>
          <w:tcPr>
            <w:tcW w:w="1252" w:type="dxa"/>
            <w:noWrap/>
            <w:vAlign w:val="center"/>
          </w:tcPr>
          <w:p w14:paraId="25E8B77D">
            <w:pPr>
              <w:jc w:val="center"/>
              <w:rPr>
                <w:color w:val="000000"/>
                <w:sz w:val="20"/>
                <w:szCs w:val="20"/>
              </w:rPr>
            </w:pPr>
            <w:r>
              <w:rPr>
                <w:color w:val="000000"/>
                <w:sz w:val="20"/>
                <w:szCs w:val="20"/>
              </w:rPr>
              <w:t>8.400.000</w:t>
            </w:r>
          </w:p>
        </w:tc>
        <w:tc>
          <w:tcPr>
            <w:tcW w:w="1848" w:type="dxa"/>
            <w:noWrap/>
            <w:vAlign w:val="center"/>
          </w:tcPr>
          <w:p w14:paraId="6BD3F5F2">
            <w:pPr>
              <w:jc w:val="center"/>
              <w:rPr>
                <w:color w:val="000000"/>
                <w:sz w:val="20"/>
                <w:szCs w:val="20"/>
              </w:rPr>
            </w:pPr>
            <w:r>
              <w:rPr>
                <w:color w:val="000000"/>
                <w:sz w:val="20"/>
                <w:szCs w:val="20"/>
              </w:rPr>
              <w:t>756.000.000</w:t>
            </w:r>
          </w:p>
        </w:tc>
      </w:tr>
      <w:tr w14:paraId="1978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895F94">
            <w:pPr>
              <w:jc w:val="center"/>
              <w:rPr>
                <w:b/>
                <w:bCs/>
                <w:color w:val="000000"/>
                <w:sz w:val="20"/>
                <w:szCs w:val="20"/>
              </w:rPr>
            </w:pPr>
            <w:r>
              <w:rPr>
                <w:b/>
                <w:bCs/>
                <w:color w:val="000000"/>
                <w:sz w:val="20"/>
                <w:szCs w:val="20"/>
              </w:rPr>
              <w:t>LK11</w:t>
            </w:r>
          </w:p>
        </w:tc>
        <w:tc>
          <w:tcPr>
            <w:tcW w:w="1802" w:type="dxa"/>
            <w:vAlign w:val="center"/>
          </w:tcPr>
          <w:p w14:paraId="7D24758C">
            <w:pPr>
              <w:jc w:val="center"/>
              <w:rPr>
                <w:color w:val="000000"/>
                <w:sz w:val="20"/>
                <w:szCs w:val="20"/>
              </w:rPr>
            </w:pPr>
            <w:r>
              <w:rPr>
                <w:color w:val="000000"/>
                <w:sz w:val="20"/>
                <w:szCs w:val="20"/>
              </w:rPr>
              <w:t>LK11:01</w:t>
            </w:r>
          </w:p>
        </w:tc>
        <w:tc>
          <w:tcPr>
            <w:tcW w:w="1033" w:type="dxa"/>
            <w:noWrap/>
            <w:vAlign w:val="center"/>
          </w:tcPr>
          <w:p w14:paraId="7ABE7251">
            <w:pPr>
              <w:jc w:val="center"/>
              <w:rPr>
                <w:color w:val="000000"/>
                <w:sz w:val="20"/>
                <w:szCs w:val="20"/>
              </w:rPr>
            </w:pPr>
            <w:r>
              <w:rPr>
                <w:color w:val="000000"/>
                <w:sz w:val="20"/>
                <w:szCs w:val="20"/>
              </w:rPr>
              <w:t>96,61</w:t>
            </w:r>
          </w:p>
        </w:tc>
        <w:tc>
          <w:tcPr>
            <w:tcW w:w="846" w:type="dxa"/>
            <w:noWrap/>
            <w:vAlign w:val="center"/>
          </w:tcPr>
          <w:p w14:paraId="7734945E">
            <w:pPr>
              <w:jc w:val="center"/>
              <w:rPr>
                <w:color w:val="000000"/>
                <w:sz w:val="20"/>
                <w:szCs w:val="20"/>
              </w:rPr>
            </w:pPr>
            <w:r>
              <w:rPr>
                <w:color w:val="000000"/>
                <w:sz w:val="20"/>
                <w:szCs w:val="20"/>
              </w:rPr>
              <w:t>1</w:t>
            </w:r>
          </w:p>
        </w:tc>
        <w:tc>
          <w:tcPr>
            <w:tcW w:w="2578" w:type="dxa"/>
            <w:noWrap/>
            <w:vAlign w:val="center"/>
          </w:tcPr>
          <w:p w14:paraId="372CDF99">
            <w:pPr>
              <w:jc w:val="center"/>
              <w:rPr>
                <w:color w:val="000000"/>
                <w:sz w:val="20"/>
                <w:szCs w:val="20"/>
              </w:rPr>
            </w:pPr>
            <w:r>
              <w:rPr>
                <w:color w:val="000000"/>
                <w:sz w:val="20"/>
                <w:szCs w:val="20"/>
              </w:rPr>
              <w:t>Mặt cắt 3-3</w:t>
            </w:r>
          </w:p>
        </w:tc>
        <w:tc>
          <w:tcPr>
            <w:tcW w:w="2393" w:type="dxa"/>
            <w:noWrap/>
            <w:vAlign w:val="center"/>
          </w:tcPr>
          <w:p w14:paraId="4F8AB763">
            <w:pPr>
              <w:jc w:val="center"/>
              <w:rPr>
                <w:color w:val="000000"/>
                <w:sz w:val="20"/>
                <w:szCs w:val="20"/>
              </w:rPr>
            </w:pPr>
            <w:r>
              <w:rPr>
                <w:color w:val="000000"/>
                <w:sz w:val="20"/>
                <w:szCs w:val="20"/>
              </w:rPr>
              <w:t>Một mặt tiền, đối diện/tiếp giáp CX-MN</w:t>
            </w:r>
          </w:p>
        </w:tc>
        <w:tc>
          <w:tcPr>
            <w:tcW w:w="1198" w:type="dxa"/>
            <w:noWrap/>
            <w:vAlign w:val="center"/>
          </w:tcPr>
          <w:p w14:paraId="17AA43C2">
            <w:pPr>
              <w:jc w:val="center"/>
              <w:rPr>
                <w:color w:val="000000"/>
                <w:sz w:val="20"/>
                <w:szCs w:val="20"/>
              </w:rPr>
            </w:pPr>
            <w:r>
              <w:rPr>
                <w:color w:val="000000"/>
                <w:sz w:val="20"/>
                <w:szCs w:val="20"/>
              </w:rPr>
              <w:t>8.400.000</w:t>
            </w:r>
          </w:p>
        </w:tc>
        <w:tc>
          <w:tcPr>
            <w:tcW w:w="1236" w:type="dxa"/>
            <w:noWrap/>
            <w:vAlign w:val="center"/>
          </w:tcPr>
          <w:p w14:paraId="79F62770">
            <w:pPr>
              <w:jc w:val="center"/>
              <w:rPr>
                <w:color w:val="000000"/>
                <w:sz w:val="20"/>
                <w:szCs w:val="20"/>
              </w:rPr>
            </w:pPr>
          </w:p>
        </w:tc>
        <w:tc>
          <w:tcPr>
            <w:tcW w:w="1252" w:type="dxa"/>
            <w:noWrap/>
            <w:vAlign w:val="center"/>
          </w:tcPr>
          <w:p w14:paraId="7353FC34">
            <w:pPr>
              <w:jc w:val="center"/>
              <w:rPr>
                <w:color w:val="000000"/>
                <w:sz w:val="20"/>
                <w:szCs w:val="20"/>
              </w:rPr>
            </w:pPr>
            <w:r>
              <w:rPr>
                <w:color w:val="000000"/>
                <w:sz w:val="20"/>
                <w:szCs w:val="20"/>
              </w:rPr>
              <w:t>8.400.000</w:t>
            </w:r>
          </w:p>
        </w:tc>
        <w:tc>
          <w:tcPr>
            <w:tcW w:w="1848" w:type="dxa"/>
            <w:noWrap/>
            <w:vAlign w:val="center"/>
          </w:tcPr>
          <w:p w14:paraId="77FF554B">
            <w:pPr>
              <w:jc w:val="center"/>
              <w:rPr>
                <w:color w:val="000000"/>
                <w:sz w:val="20"/>
                <w:szCs w:val="20"/>
              </w:rPr>
            </w:pPr>
            <w:r>
              <w:rPr>
                <w:color w:val="000000"/>
                <w:sz w:val="20"/>
                <w:szCs w:val="20"/>
              </w:rPr>
              <w:t>811.524.000</w:t>
            </w:r>
          </w:p>
        </w:tc>
      </w:tr>
      <w:tr w14:paraId="5BE3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CED994A">
            <w:pPr>
              <w:jc w:val="center"/>
              <w:rPr>
                <w:b/>
                <w:bCs/>
                <w:color w:val="000000"/>
                <w:sz w:val="20"/>
                <w:szCs w:val="20"/>
              </w:rPr>
            </w:pPr>
            <w:r>
              <w:rPr>
                <w:b/>
                <w:bCs/>
                <w:color w:val="000000"/>
                <w:sz w:val="20"/>
                <w:szCs w:val="20"/>
              </w:rPr>
              <w:t>LK11</w:t>
            </w:r>
          </w:p>
        </w:tc>
        <w:tc>
          <w:tcPr>
            <w:tcW w:w="1802" w:type="dxa"/>
            <w:vAlign w:val="center"/>
          </w:tcPr>
          <w:p w14:paraId="321E73F7">
            <w:pPr>
              <w:jc w:val="center"/>
              <w:rPr>
                <w:color w:val="000000"/>
                <w:sz w:val="20"/>
                <w:szCs w:val="20"/>
              </w:rPr>
            </w:pPr>
            <w:r>
              <w:rPr>
                <w:color w:val="000000"/>
                <w:sz w:val="20"/>
                <w:szCs w:val="20"/>
              </w:rPr>
              <w:t>LK11:02</w:t>
            </w:r>
          </w:p>
        </w:tc>
        <w:tc>
          <w:tcPr>
            <w:tcW w:w="1033" w:type="dxa"/>
            <w:noWrap/>
            <w:vAlign w:val="center"/>
          </w:tcPr>
          <w:p w14:paraId="55539A87">
            <w:pPr>
              <w:jc w:val="center"/>
              <w:rPr>
                <w:color w:val="000000"/>
                <w:sz w:val="20"/>
                <w:szCs w:val="20"/>
              </w:rPr>
            </w:pPr>
            <w:r>
              <w:rPr>
                <w:color w:val="000000"/>
                <w:sz w:val="20"/>
                <w:szCs w:val="20"/>
              </w:rPr>
              <w:t>89,99</w:t>
            </w:r>
          </w:p>
        </w:tc>
        <w:tc>
          <w:tcPr>
            <w:tcW w:w="846" w:type="dxa"/>
            <w:noWrap/>
            <w:vAlign w:val="center"/>
          </w:tcPr>
          <w:p w14:paraId="035C180B">
            <w:pPr>
              <w:jc w:val="center"/>
              <w:rPr>
                <w:color w:val="000000"/>
                <w:sz w:val="20"/>
                <w:szCs w:val="20"/>
              </w:rPr>
            </w:pPr>
            <w:r>
              <w:rPr>
                <w:color w:val="000000"/>
                <w:sz w:val="20"/>
                <w:szCs w:val="20"/>
              </w:rPr>
              <w:t>1</w:t>
            </w:r>
          </w:p>
        </w:tc>
        <w:tc>
          <w:tcPr>
            <w:tcW w:w="2578" w:type="dxa"/>
            <w:noWrap/>
            <w:vAlign w:val="center"/>
          </w:tcPr>
          <w:p w14:paraId="7F132027">
            <w:pPr>
              <w:jc w:val="center"/>
              <w:rPr>
                <w:color w:val="000000"/>
                <w:sz w:val="20"/>
                <w:szCs w:val="20"/>
              </w:rPr>
            </w:pPr>
            <w:r>
              <w:rPr>
                <w:color w:val="000000"/>
                <w:sz w:val="20"/>
                <w:szCs w:val="20"/>
              </w:rPr>
              <w:t>Mặt cắt 3-3</w:t>
            </w:r>
          </w:p>
        </w:tc>
        <w:tc>
          <w:tcPr>
            <w:tcW w:w="2393" w:type="dxa"/>
            <w:noWrap/>
            <w:vAlign w:val="center"/>
          </w:tcPr>
          <w:p w14:paraId="1BC58749">
            <w:pPr>
              <w:jc w:val="center"/>
              <w:rPr>
                <w:color w:val="000000"/>
                <w:sz w:val="20"/>
                <w:szCs w:val="20"/>
              </w:rPr>
            </w:pPr>
            <w:r>
              <w:rPr>
                <w:color w:val="000000"/>
                <w:sz w:val="20"/>
                <w:szCs w:val="20"/>
              </w:rPr>
              <w:t>Một mặt tiền, đối diện/tiếp giáp CX-MN</w:t>
            </w:r>
          </w:p>
        </w:tc>
        <w:tc>
          <w:tcPr>
            <w:tcW w:w="1198" w:type="dxa"/>
            <w:noWrap/>
            <w:vAlign w:val="center"/>
          </w:tcPr>
          <w:p w14:paraId="03E3AC9A">
            <w:pPr>
              <w:jc w:val="center"/>
              <w:rPr>
                <w:color w:val="000000"/>
                <w:sz w:val="20"/>
                <w:szCs w:val="20"/>
              </w:rPr>
            </w:pPr>
            <w:r>
              <w:rPr>
                <w:color w:val="000000"/>
                <w:sz w:val="20"/>
                <w:szCs w:val="20"/>
              </w:rPr>
              <w:t>8.400.000</w:t>
            </w:r>
          </w:p>
        </w:tc>
        <w:tc>
          <w:tcPr>
            <w:tcW w:w="1236" w:type="dxa"/>
            <w:noWrap/>
            <w:vAlign w:val="center"/>
          </w:tcPr>
          <w:p w14:paraId="50614272">
            <w:pPr>
              <w:jc w:val="center"/>
              <w:rPr>
                <w:color w:val="000000"/>
                <w:sz w:val="20"/>
                <w:szCs w:val="20"/>
              </w:rPr>
            </w:pPr>
          </w:p>
        </w:tc>
        <w:tc>
          <w:tcPr>
            <w:tcW w:w="1252" w:type="dxa"/>
            <w:noWrap/>
            <w:vAlign w:val="center"/>
          </w:tcPr>
          <w:p w14:paraId="3E3EF996">
            <w:pPr>
              <w:jc w:val="center"/>
              <w:rPr>
                <w:color w:val="000000"/>
                <w:sz w:val="20"/>
                <w:szCs w:val="20"/>
              </w:rPr>
            </w:pPr>
            <w:r>
              <w:rPr>
                <w:color w:val="000000"/>
                <w:sz w:val="20"/>
                <w:szCs w:val="20"/>
              </w:rPr>
              <w:t>8.400.000</w:t>
            </w:r>
          </w:p>
        </w:tc>
        <w:tc>
          <w:tcPr>
            <w:tcW w:w="1848" w:type="dxa"/>
            <w:noWrap/>
            <w:vAlign w:val="center"/>
          </w:tcPr>
          <w:p w14:paraId="10F9D818">
            <w:pPr>
              <w:jc w:val="center"/>
              <w:rPr>
                <w:color w:val="000000"/>
                <w:sz w:val="20"/>
                <w:szCs w:val="20"/>
              </w:rPr>
            </w:pPr>
            <w:r>
              <w:rPr>
                <w:color w:val="000000"/>
                <w:sz w:val="20"/>
                <w:szCs w:val="20"/>
              </w:rPr>
              <w:t>755.916.000</w:t>
            </w:r>
          </w:p>
        </w:tc>
      </w:tr>
      <w:tr w14:paraId="3636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F31DE12">
            <w:pPr>
              <w:jc w:val="center"/>
              <w:rPr>
                <w:b/>
                <w:bCs/>
                <w:color w:val="000000"/>
                <w:sz w:val="20"/>
                <w:szCs w:val="20"/>
              </w:rPr>
            </w:pPr>
            <w:r>
              <w:rPr>
                <w:b/>
                <w:bCs/>
                <w:color w:val="000000"/>
                <w:sz w:val="20"/>
                <w:szCs w:val="20"/>
              </w:rPr>
              <w:t>LK11</w:t>
            </w:r>
          </w:p>
        </w:tc>
        <w:tc>
          <w:tcPr>
            <w:tcW w:w="1802" w:type="dxa"/>
            <w:vAlign w:val="center"/>
          </w:tcPr>
          <w:p w14:paraId="47214A35">
            <w:pPr>
              <w:jc w:val="center"/>
              <w:rPr>
                <w:color w:val="000000"/>
                <w:sz w:val="20"/>
                <w:szCs w:val="20"/>
              </w:rPr>
            </w:pPr>
            <w:r>
              <w:rPr>
                <w:color w:val="000000"/>
                <w:sz w:val="20"/>
                <w:szCs w:val="20"/>
              </w:rPr>
              <w:t>LK11:03</w:t>
            </w:r>
          </w:p>
        </w:tc>
        <w:tc>
          <w:tcPr>
            <w:tcW w:w="1033" w:type="dxa"/>
            <w:noWrap/>
            <w:vAlign w:val="center"/>
          </w:tcPr>
          <w:p w14:paraId="63289BC8">
            <w:pPr>
              <w:jc w:val="center"/>
              <w:rPr>
                <w:color w:val="000000"/>
                <w:sz w:val="20"/>
                <w:szCs w:val="20"/>
              </w:rPr>
            </w:pPr>
            <w:r>
              <w:rPr>
                <w:color w:val="000000"/>
                <w:sz w:val="20"/>
                <w:szCs w:val="20"/>
              </w:rPr>
              <w:t>89,99</w:t>
            </w:r>
          </w:p>
        </w:tc>
        <w:tc>
          <w:tcPr>
            <w:tcW w:w="846" w:type="dxa"/>
            <w:noWrap/>
            <w:vAlign w:val="center"/>
          </w:tcPr>
          <w:p w14:paraId="27ED4144">
            <w:pPr>
              <w:jc w:val="center"/>
              <w:rPr>
                <w:color w:val="000000"/>
                <w:sz w:val="20"/>
                <w:szCs w:val="20"/>
              </w:rPr>
            </w:pPr>
            <w:r>
              <w:rPr>
                <w:color w:val="000000"/>
                <w:sz w:val="20"/>
                <w:szCs w:val="20"/>
              </w:rPr>
              <w:t>1</w:t>
            </w:r>
          </w:p>
        </w:tc>
        <w:tc>
          <w:tcPr>
            <w:tcW w:w="2578" w:type="dxa"/>
            <w:noWrap/>
            <w:vAlign w:val="center"/>
          </w:tcPr>
          <w:p w14:paraId="53ED9FF9">
            <w:pPr>
              <w:jc w:val="center"/>
              <w:rPr>
                <w:color w:val="000000"/>
                <w:sz w:val="20"/>
                <w:szCs w:val="20"/>
              </w:rPr>
            </w:pPr>
            <w:r>
              <w:rPr>
                <w:color w:val="000000"/>
                <w:sz w:val="20"/>
                <w:szCs w:val="20"/>
              </w:rPr>
              <w:t>Mặt cắt 3-3</w:t>
            </w:r>
          </w:p>
        </w:tc>
        <w:tc>
          <w:tcPr>
            <w:tcW w:w="2393" w:type="dxa"/>
            <w:noWrap/>
            <w:vAlign w:val="center"/>
          </w:tcPr>
          <w:p w14:paraId="5E1EFE3A">
            <w:pPr>
              <w:jc w:val="center"/>
              <w:rPr>
                <w:color w:val="000000"/>
                <w:sz w:val="20"/>
                <w:szCs w:val="20"/>
              </w:rPr>
            </w:pPr>
            <w:r>
              <w:rPr>
                <w:color w:val="000000"/>
                <w:sz w:val="20"/>
                <w:szCs w:val="20"/>
              </w:rPr>
              <w:t>Một mặt tiền, đối diện/tiếp giáp CX-MN</w:t>
            </w:r>
          </w:p>
        </w:tc>
        <w:tc>
          <w:tcPr>
            <w:tcW w:w="1198" w:type="dxa"/>
            <w:noWrap/>
            <w:vAlign w:val="center"/>
          </w:tcPr>
          <w:p w14:paraId="660BF10D">
            <w:pPr>
              <w:jc w:val="center"/>
              <w:rPr>
                <w:color w:val="000000"/>
                <w:sz w:val="20"/>
                <w:szCs w:val="20"/>
              </w:rPr>
            </w:pPr>
            <w:r>
              <w:rPr>
                <w:color w:val="000000"/>
                <w:sz w:val="20"/>
                <w:szCs w:val="20"/>
              </w:rPr>
              <w:t>8.400.000</w:t>
            </w:r>
          </w:p>
        </w:tc>
        <w:tc>
          <w:tcPr>
            <w:tcW w:w="1236" w:type="dxa"/>
            <w:noWrap/>
            <w:vAlign w:val="center"/>
          </w:tcPr>
          <w:p w14:paraId="732B74D5">
            <w:pPr>
              <w:jc w:val="center"/>
              <w:rPr>
                <w:color w:val="000000"/>
                <w:sz w:val="20"/>
                <w:szCs w:val="20"/>
              </w:rPr>
            </w:pPr>
          </w:p>
        </w:tc>
        <w:tc>
          <w:tcPr>
            <w:tcW w:w="1252" w:type="dxa"/>
            <w:noWrap/>
            <w:vAlign w:val="center"/>
          </w:tcPr>
          <w:p w14:paraId="652E0BE8">
            <w:pPr>
              <w:jc w:val="center"/>
              <w:rPr>
                <w:color w:val="000000"/>
                <w:sz w:val="20"/>
                <w:szCs w:val="20"/>
              </w:rPr>
            </w:pPr>
            <w:r>
              <w:rPr>
                <w:color w:val="000000"/>
                <w:sz w:val="20"/>
                <w:szCs w:val="20"/>
              </w:rPr>
              <w:t>8.400.000</w:t>
            </w:r>
          </w:p>
        </w:tc>
        <w:tc>
          <w:tcPr>
            <w:tcW w:w="1848" w:type="dxa"/>
            <w:noWrap/>
            <w:vAlign w:val="center"/>
          </w:tcPr>
          <w:p w14:paraId="328BBF4A">
            <w:pPr>
              <w:jc w:val="center"/>
              <w:rPr>
                <w:color w:val="000000"/>
                <w:sz w:val="20"/>
                <w:szCs w:val="20"/>
              </w:rPr>
            </w:pPr>
            <w:r>
              <w:rPr>
                <w:color w:val="000000"/>
                <w:sz w:val="20"/>
                <w:szCs w:val="20"/>
              </w:rPr>
              <w:t>755.916.000</w:t>
            </w:r>
          </w:p>
        </w:tc>
      </w:tr>
      <w:tr w14:paraId="649A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B006B5B">
            <w:pPr>
              <w:jc w:val="center"/>
              <w:rPr>
                <w:b/>
                <w:bCs/>
                <w:color w:val="000000"/>
                <w:sz w:val="20"/>
                <w:szCs w:val="20"/>
              </w:rPr>
            </w:pPr>
            <w:r>
              <w:rPr>
                <w:b/>
                <w:bCs/>
                <w:color w:val="000000"/>
                <w:sz w:val="20"/>
                <w:szCs w:val="20"/>
              </w:rPr>
              <w:t>LK11</w:t>
            </w:r>
          </w:p>
        </w:tc>
        <w:tc>
          <w:tcPr>
            <w:tcW w:w="1802" w:type="dxa"/>
            <w:vAlign w:val="center"/>
          </w:tcPr>
          <w:p w14:paraId="3A2361AB">
            <w:pPr>
              <w:jc w:val="center"/>
              <w:rPr>
                <w:color w:val="000000"/>
                <w:sz w:val="20"/>
                <w:szCs w:val="20"/>
              </w:rPr>
            </w:pPr>
            <w:r>
              <w:rPr>
                <w:color w:val="000000"/>
                <w:sz w:val="20"/>
                <w:szCs w:val="20"/>
              </w:rPr>
              <w:t>LK11:04</w:t>
            </w:r>
          </w:p>
        </w:tc>
        <w:tc>
          <w:tcPr>
            <w:tcW w:w="1033" w:type="dxa"/>
            <w:noWrap/>
            <w:vAlign w:val="center"/>
          </w:tcPr>
          <w:p w14:paraId="7A66AE44">
            <w:pPr>
              <w:jc w:val="center"/>
              <w:rPr>
                <w:color w:val="000000"/>
                <w:sz w:val="20"/>
                <w:szCs w:val="20"/>
              </w:rPr>
            </w:pPr>
            <w:r>
              <w:rPr>
                <w:color w:val="000000"/>
                <w:sz w:val="20"/>
                <w:szCs w:val="20"/>
              </w:rPr>
              <w:t>89,99</w:t>
            </w:r>
          </w:p>
        </w:tc>
        <w:tc>
          <w:tcPr>
            <w:tcW w:w="846" w:type="dxa"/>
            <w:noWrap/>
            <w:vAlign w:val="center"/>
          </w:tcPr>
          <w:p w14:paraId="50385C0A">
            <w:pPr>
              <w:jc w:val="center"/>
              <w:rPr>
                <w:color w:val="000000"/>
                <w:sz w:val="20"/>
                <w:szCs w:val="20"/>
              </w:rPr>
            </w:pPr>
            <w:r>
              <w:rPr>
                <w:color w:val="000000"/>
                <w:sz w:val="20"/>
                <w:szCs w:val="20"/>
              </w:rPr>
              <w:t>1</w:t>
            </w:r>
          </w:p>
        </w:tc>
        <w:tc>
          <w:tcPr>
            <w:tcW w:w="2578" w:type="dxa"/>
            <w:noWrap/>
            <w:vAlign w:val="center"/>
          </w:tcPr>
          <w:p w14:paraId="1D2FD6DC">
            <w:pPr>
              <w:jc w:val="center"/>
              <w:rPr>
                <w:color w:val="000000"/>
                <w:sz w:val="20"/>
                <w:szCs w:val="20"/>
              </w:rPr>
            </w:pPr>
            <w:r>
              <w:rPr>
                <w:color w:val="000000"/>
                <w:sz w:val="20"/>
                <w:szCs w:val="20"/>
              </w:rPr>
              <w:t>Mặt cắt 3-3</w:t>
            </w:r>
          </w:p>
        </w:tc>
        <w:tc>
          <w:tcPr>
            <w:tcW w:w="2393" w:type="dxa"/>
            <w:noWrap/>
            <w:vAlign w:val="center"/>
          </w:tcPr>
          <w:p w14:paraId="4F5266A0">
            <w:pPr>
              <w:jc w:val="center"/>
              <w:rPr>
                <w:color w:val="000000"/>
                <w:sz w:val="20"/>
                <w:szCs w:val="20"/>
              </w:rPr>
            </w:pPr>
            <w:r>
              <w:rPr>
                <w:color w:val="000000"/>
                <w:sz w:val="20"/>
                <w:szCs w:val="20"/>
              </w:rPr>
              <w:t>Một mặt tiền, đối diện/tiếp giáp CX-MN</w:t>
            </w:r>
          </w:p>
        </w:tc>
        <w:tc>
          <w:tcPr>
            <w:tcW w:w="1198" w:type="dxa"/>
            <w:noWrap/>
            <w:vAlign w:val="center"/>
          </w:tcPr>
          <w:p w14:paraId="2737E483">
            <w:pPr>
              <w:jc w:val="center"/>
              <w:rPr>
                <w:color w:val="000000"/>
                <w:sz w:val="20"/>
                <w:szCs w:val="20"/>
              </w:rPr>
            </w:pPr>
            <w:r>
              <w:rPr>
                <w:color w:val="000000"/>
                <w:sz w:val="20"/>
                <w:szCs w:val="20"/>
              </w:rPr>
              <w:t>8.400.000</w:t>
            </w:r>
          </w:p>
        </w:tc>
        <w:tc>
          <w:tcPr>
            <w:tcW w:w="1236" w:type="dxa"/>
            <w:noWrap/>
            <w:vAlign w:val="center"/>
          </w:tcPr>
          <w:p w14:paraId="26464E02">
            <w:pPr>
              <w:jc w:val="center"/>
              <w:rPr>
                <w:color w:val="000000"/>
                <w:sz w:val="20"/>
                <w:szCs w:val="20"/>
              </w:rPr>
            </w:pPr>
          </w:p>
        </w:tc>
        <w:tc>
          <w:tcPr>
            <w:tcW w:w="1252" w:type="dxa"/>
            <w:noWrap/>
            <w:vAlign w:val="center"/>
          </w:tcPr>
          <w:p w14:paraId="722B6316">
            <w:pPr>
              <w:jc w:val="center"/>
              <w:rPr>
                <w:color w:val="000000"/>
                <w:sz w:val="20"/>
                <w:szCs w:val="20"/>
              </w:rPr>
            </w:pPr>
            <w:r>
              <w:rPr>
                <w:color w:val="000000"/>
                <w:sz w:val="20"/>
                <w:szCs w:val="20"/>
              </w:rPr>
              <w:t>8.400.000</w:t>
            </w:r>
          </w:p>
        </w:tc>
        <w:tc>
          <w:tcPr>
            <w:tcW w:w="1848" w:type="dxa"/>
            <w:noWrap/>
            <w:vAlign w:val="center"/>
          </w:tcPr>
          <w:p w14:paraId="05854453">
            <w:pPr>
              <w:jc w:val="center"/>
              <w:rPr>
                <w:color w:val="000000"/>
                <w:sz w:val="20"/>
                <w:szCs w:val="20"/>
              </w:rPr>
            </w:pPr>
            <w:r>
              <w:rPr>
                <w:color w:val="000000"/>
                <w:sz w:val="20"/>
                <w:szCs w:val="20"/>
              </w:rPr>
              <w:t>755.916.000</w:t>
            </w:r>
          </w:p>
        </w:tc>
      </w:tr>
      <w:tr w14:paraId="3884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0862D3C">
            <w:pPr>
              <w:jc w:val="center"/>
              <w:rPr>
                <w:b/>
                <w:bCs/>
                <w:color w:val="000000"/>
                <w:sz w:val="20"/>
                <w:szCs w:val="20"/>
              </w:rPr>
            </w:pPr>
            <w:r>
              <w:rPr>
                <w:b/>
                <w:bCs/>
                <w:color w:val="000000"/>
                <w:sz w:val="20"/>
                <w:szCs w:val="20"/>
              </w:rPr>
              <w:t>LK11</w:t>
            </w:r>
          </w:p>
        </w:tc>
        <w:tc>
          <w:tcPr>
            <w:tcW w:w="1802" w:type="dxa"/>
            <w:vAlign w:val="center"/>
          </w:tcPr>
          <w:p w14:paraId="56822266">
            <w:pPr>
              <w:jc w:val="center"/>
              <w:rPr>
                <w:color w:val="000000"/>
                <w:sz w:val="20"/>
                <w:szCs w:val="20"/>
              </w:rPr>
            </w:pPr>
            <w:r>
              <w:rPr>
                <w:color w:val="000000"/>
                <w:sz w:val="20"/>
                <w:szCs w:val="20"/>
              </w:rPr>
              <w:t>LK11:05</w:t>
            </w:r>
          </w:p>
        </w:tc>
        <w:tc>
          <w:tcPr>
            <w:tcW w:w="1033" w:type="dxa"/>
            <w:noWrap/>
            <w:vAlign w:val="center"/>
          </w:tcPr>
          <w:p w14:paraId="596E8775">
            <w:pPr>
              <w:jc w:val="center"/>
              <w:rPr>
                <w:color w:val="000000"/>
                <w:sz w:val="20"/>
                <w:szCs w:val="20"/>
              </w:rPr>
            </w:pPr>
            <w:r>
              <w:rPr>
                <w:color w:val="000000"/>
                <w:sz w:val="20"/>
                <w:szCs w:val="20"/>
              </w:rPr>
              <w:t>89,99</w:t>
            </w:r>
          </w:p>
        </w:tc>
        <w:tc>
          <w:tcPr>
            <w:tcW w:w="846" w:type="dxa"/>
            <w:noWrap/>
            <w:vAlign w:val="center"/>
          </w:tcPr>
          <w:p w14:paraId="004F7CA2">
            <w:pPr>
              <w:jc w:val="center"/>
              <w:rPr>
                <w:color w:val="000000"/>
                <w:sz w:val="20"/>
                <w:szCs w:val="20"/>
              </w:rPr>
            </w:pPr>
            <w:r>
              <w:rPr>
                <w:color w:val="000000"/>
                <w:sz w:val="20"/>
                <w:szCs w:val="20"/>
              </w:rPr>
              <w:t>1</w:t>
            </w:r>
          </w:p>
        </w:tc>
        <w:tc>
          <w:tcPr>
            <w:tcW w:w="2578" w:type="dxa"/>
            <w:noWrap/>
            <w:vAlign w:val="center"/>
          </w:tcPr>
          <w:p w14:paraId="046D0043">
            <w:pPr>
              <w:jc w:val="center"/>
              <w:rPr>
                <w:color w:val="000000"/>
                <w:sz w:val="20"/>
                <w:szCs w:val="20"/>
              </w:rPr>
            </w:pPr>
            <w:r>
              <w:rPr>
                <w:color w:val="000000"/>
                <w:sz w:val="20"/>
                <w:szCs w:val="20"/>
              </w:rPr>
              <w:t>Mặt cắt 3-3</w:t>
            </w:r>
          </w:p>
        </w:tc>
        <w:tc>
          <w:tcPr>
            <w:tcW w:w="2393" w:type="dxa"/>
            <w:noWrap/>
            <w:vAlign w:val="center"/>
          </w:tcPr>
          <w:p w14:paraId="64AFC0AA">
            <w:pPr>
              <w:jc w:val="center"/>
              <w:rPr>
                <w:color w:val="000000"/>
                <w:sz w:val="20"/>
                <w:szCs w:val="20"/>
              </w:rPr>
            </w:pPr>
            <w:r>
              <w:rPr>
                <w:color w:val="000000"/>
                <w:sz w:val="20"/>
                <w:szCs w:val="20"/>
              </w:rPr>
              <w:t>Một mặt tiền, đối diện/tiếp giáp CX-MN</w:t>
            </w:r>
          </w:p>
        </w:tc>
        <w:tc>
          <w:tcPr>
            <w:tcW w:w="1198" w:type="dxa"/>
            <w:noWrap/>
            <w:vAlign w:val="center"/>
          </w:tcPr>
          <w:p w14:paraId="457F160E">
            <w:pPr>
              <w:jc w:val="center"/>
              <w:rPr>
                <w:color w:val="000000"/>
                <w:sz w:val="20"/>
                <w:szCs w:val="20"/>
              </w:rPr>
            </w:pPr>
            <w:r>
              <w:rPr>
                <w:color w:val="000000"/>
                <w:sz w:val="20"/>
                <w:szCs w:val="20"/>
              </w:rPr>
              <w:t>8.400.000</w:t>
            </w:r>
          </w:p>
        </w:tc>
        <w:tc>
          <w:tcPr>
            <w:tcW w:w="1236" w:type="dxa"/>
            <w:noWrap/>
            <w:vAlign w:val="center"/>
          </w:tcPr>
          <w:p w14:paraId="377DF80B">
            <w:pPr>
              <w:jc w:val="center"/>
              <w:rPr>
                <w:color w:val="000000"/>
                <w:sz w:val="20"/>
                <w:szCs w:val="20"/>
              </w:rPr>
            </w:pPr>
          </w:p>
        </w:tc>
        <w:tc>
          <w:tcPr>
            <w:tcW w:w="1252" w:type="dxa"/>
            <w:noWrap/>
            <w:vAlign w:val="center"/>
          </w:tcPr>
          <w:p w14:paraId="76A1997B">
            <w:pPr>
              <w:jc w:val="center"/>
              <w:rPr>
                <w:color w:val="000000"/>
                <w:sz w:val="20"/>
                <w:szCs w:val="20"/>
              </w:rPr>
            </w:pPr>
            <w:r>
              <w:rPr>
                <w:color w:val="000000"/>
                <w:sz w:val="20"/>
                <w:szCs w:val="20"/>
              </w:rPr>
              <w:t>8.400.000</w:t>
            </w:r>
          </w:p>
        </w:tc>
        <w:tc>
          <w:tcPr>
            <w:tcW w:w="1848" w:type="dxa"/>
            <w:noWrap/>
            <w:vAlign w:val="center"/>
          </w:tcPr>
          <w:p w14:paraId="3089FB92">
            <w:pPr>
              <w:jc w:val="center"/>
              <w:rPr>
                <w:color w:val="000000"/>
                <w:sz w:val="20"/>
                <w:szCs w:val="20"/>
              </w:rPr>
            </w:pPr>
            <w:r>
              <w:rPr>
                <w:color w:val="000000"/>
                <w:sz w:val="20"/>
                <w:szCs w:val="20"/>
              </w:rPr>
              <w:t>755.916.000</w:t>
            </w:r>
          </w:p>
        </w:tc>
      </w:tr>
      <w:tr w14:paraId="57B3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BE5473D">
            <w:pPr>
              <w:jc w:val="center"/>
              <w:rPr>
                <w:b/>
                <w:bCs/>
                <w:color w:val="000000"/>
                <w:sz w:val="20"/>
                <w:szCs w:val="20"/>
              </w:rPr>
            </w:pPr>
            <w:r>
              <w:rPr>
                <w:b/>
                <w:bCs/>
                <w:color w:val="000000"/>
                <w:sz w:val="20"/>
                <w:szCs w:val="20"/>
              </w:rPr>
              <w:t>LK11</w:t>
            </w:r>
          </w:p>
        </w:tc>
        <w:tc>
          <w:tcPr>
            <w:tcW w:w="1802" w:type="dxa"/>
            <w:vAlign w:val="center"/>
          </w:tcPr>
          <w:p w14:paraId="05EAE088">
            <w:pPr>
              <w:jc w:val="center"/>
              <w:rPr>
                <w:color w:val="000000"/>
                <w:sz w:val="20"/>
                <w:szCs w:val="20"/>
              </w:rPr>
            </w:pPr>
            <w:r>
              <w:rPr>
                <w:color w:val="000000"/>
                <w:sz w:val="20"/>
                <w:szCs w:val="20"/>
              </w:rPr>
              <w:t>LK11:06</w:t>
            </w:r>
          </w:p>
        </w:tc>
        <w:tc>
          <w:tcPr>
            <w:tcW w:w="1033" w:type="dxa"/>
            <w:noWrap/>
            <w:vAlign w:val="center"/>
          </w:tcPr>
          <w:p w14:paraId="1EB46E11">
            <w:pPr>
              <w:jc w:val="center"/>
              <w:rPr>
                <w:color w:val="000000"/>
                <w:sz w:val="20"/>
                <w:szCs w:val="20"/>
              </w:rPr>
            </w:pPr>
            <w:r>
              <w:rPr>
                <w:color w:val="000000"/>
                <w:sz w:val="20"/>
                <w:szCs w:val="20"/>
              </w:rPr>
              <w:t>90,00</w:t>
            </w:r>
          </w:p>
        </w:tc>
        <w:tc>
          <w:tcPr>
            <w:tcW w:w="846" w:type="dxa"/>
            <w:noWrap/>
            <w:vAlign w:val="center"/>
          </w:tcPr>
          <w:p w14:paraId="0AEF3F8C">
            <w:pPr>
              <w:jc w:val="center"/>
              <w:rPr>
                <w:color w:val="000000"/>
                <w:sz w:val="20"/>
                <w:szCs w:val="20"/>
              </w:rPr>
            </w:pPr>
            <w:r>
              <w:rPr>
                <w:color w:val="000000"/>
                <w:sz w:val="20"/>
                <w:szCs w:val="20"/>
              </w:rPr>
              <w:t>1</w:t>
            </w:r>
          </w:p>
        </w:tc>
        <w:tc>
          <w:tcPr>
            <w:tcW w:w="2578" w:type="dxa"/>
            <w:noWrap/>
            <w:vAlign w:val="center"/>
          </w:tcPr>
          <w:p w14:paraId="17658846">
            <w:pPr>
              <w:jc w:val="center"/>
              <w:rPr>
                <w:color w:val="000000"/>
                <w:sz w:val="20"/>
                <w:szCs w:val="20"/>
              </w:rPr>
            </w:pPr>
            <w:r>
              <w:rPr>
                <w:color w:val="000000"/>
                <w:sz w:val="20"/>
                <w:szCs w:val="20"/>
              </w:rPr>
              <w:t>Mặt cắt 3-3</w:t>
            </w:r>
          </w:p>
        </w:tc>
        <w:tc>
          <w:tcPr>
            <w:tcW w:w="2393" w:type="dxa"/>
            <w:noWrap/>
            <w:vAlign w:val="center"/>
          </w:tcPr>
          <w:p w14:paraId="2D299190">
            <w:pPr>
              <w:jc w:val="center"/>
              <w:rPr>
                <w:color w:val="000000"/>
                <w:sz w:val="20"/>
                <w:szCs w:val="20"/>
              </w:rPr>
            </w:pPr>
            <w:r>
              <w:rPr>
                <w:color w:val="000000"/>
                <w:sz w:val="20"/>
                <w:szCs w:val="20"/>
              </w:rPr>
              <w:t>Một mặt tiền, đối diện/tiếp giáp CX-MN</w:t>
            </w:r>
          </w:p>
        </w:tc>
        <w:tc>
          <w:tcPr>
            <w:tcW w:w="1198" w:type="dxa"/>
            <w:noWrap/>
            <w:vAlign w:val="center"/>
          </w:tcPr>
          <w:p w14:paraId="2EC21AA1">
            <w:pPr>
              <w:jc w:val="center"/>
              <w:rPr>
                <w:color w:val="000000"/>
                <w:sz w:val="20"/>
                <w:szCs w:val="20"/>
              </w:rPr>
            </w:pPr>
            <w:r>
              <w:rPr>
                <w:color w:val="000000"/>
                <w:sz w:val="20"/>
                <w:szCs w:val="20"/>
              </w:rPr>
              <w:t>8.400.000</w:t>
            </w:r>
          </w:p>
        </w:tc>
        <w:tc>
          <w:tcPr>
            <w:tcW w:w="1236" w:type="dxa"/>
            <w:noWrap/>
            <w:vAlign w:val="center"/>
          </w:tcPr>
          <w:p w14:paraId="678459BE">
            <w:pPr>
              <w:jc w:val="center"/>
              <w:rPr>
                <w:color w:val="000000"/>
                <w:sz w:val="20"/>
                <w:szCs w:val="20"/>
              </w:rPr>
            </w:pPr>
          </w:p>
        </w:tc>
        <w:tc>
          <w:tcPr>
            <w:tcW w:w="1252" w:type="dxa"/>
            <w:noWrap/>
            <w:vAlign w:val="center"/>
          </w:tcPr>
          <w:p w14:paraId="5B73C442">
            <w:pPr>
              <w:jc w:val="center"/>
              <w:rPr>
                <w:color w:val="000000"/>
                <w:sz w:val="20"/>
                <w:szCs w:val="20"/>
              </w:rPr>
            </w:pPr>
            <w:r>
              <w:rPr>
                <w:color w:val="000000"/>
                <w:sz w:val="20"/>
                <w:szCs w:val="20"/>
              </w:rPr>
              <w:t>8.400.000</w:t>
            </w:r>
          </w:p>
        </w:tc>
        <w:tc>
          <w:tcPr>
            <w:tcW w:w="1848" w:type="dxa"/>
            <w:noWrap/>
            <w:vAlign w:val="center"/>
          </w:tcPr>
          <w:p w14:paraId="033D09F2">
            <w:pPr>
              <w:jc w:val="center"/>
              <w:rPr>
                <w:color w:val="000000"/>
                <w:sz w:val="20"/>
                <w:szCs w:val="20"/>
              </w:rPr>
            </w:pPr>
            <w:r>
              <w:rPr>
                <w:color w:val="000000"/>
                <w:sz w:val="20"/>
                <w:szCs w:val="20"/>
              </w:rPr>
              <w:t>756.000.000</w:t>
            </w:r>
          </w:p>
        </w:tc>
      </w:tr>
      <w:tr w14:paraId="48E2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3B5E7C5">
            <w:pPr>
              <w:jc w:val="center"/>
              <w:rPr>
                <w:b/>
                <w:bCs/>
                <w:color w:val="000000"/>
                <w:sz w:val="20"/>
                <w:szCs w:val="20"/>
              </w:rPr>
            </w:pPr>
            <w:r>
              <w:rPr>
                <w:b/>
                <w:bCs/>
                <w:color w:val="000000"/>
                <w:sz w:val="20"/>
                <w:szCs w:val="20"/>
              </w:rPr>
              <w:t>LK11</w:t>
            </w:r>
          </w:p>
        </w:tc>
        <w:tc>
          <w:tcPr>
            <w:tcW w:w="1802" w:type="dxa"/>
            <w:vAlign w:val="center"/>
          </w:tcPr>
          <w:p w14:paraId="448934FA">
            <w:pPr>
              <w:jc w:val="center"/>
              <w:rPr>
                <w:color w:val="000000"/>
                <w:sz w:val="20"/>
                <w:szCs w:val="20"/>
              </w:rPr>
            </w:pPr>
            <w:r>
              <w:rPr>
                <w:color w:val="000000"/>
                <w:sz w:val="20"/>
                <w:szCs w:val="20"/>
              </w:rPr>
              <w:t>LK11:07</w:t>
            </w:r>
          </w:p>
        </w:tc>
        <w:tc>
          <w:tcPr>
            <w:tcW w:w="1033" w:type="dxa"/>
            <w:noWrap/>
            <w:vAlign w:val="center"/>
          </w:tcPr>
          <w:p w14:paraId="5EC22E70">
            <w:pPr>
              <w:jc w:val="center"/>
              <w:rPr>
                <w:color w:val="000000"/>
                <w:sz w:val="20"/>
                <w:szCs w:val="20"/>
              </w:rPr>
            </w:pPr>
            <w:r>
              <w:rPr>
                <w:color w:val="000000"/>
                <w:sz w:val="20"/>
                <w:szCs w:val="20"/>
              </w:rPr>
              <w:t>90,00</w:t>
            </w:r>
          </w:p>
        </w:tc>
        <w:tc>
          <w:tcPr>
            <w:tcW w:w="846" w:type="dxa"/>
            <w:noWrap/>
            <w:vAlign w:val="center"/>
          </w:tcPr>
          <w:p w14:paraId="5A7C73CD">
            <w:pPr>
              <w:jc w:val="center"/>
              <w:rPr>
                <w:color w:val="000000"/>
                <w:sz w:val="20"/>
                <w:szCs w:val="20"/>
              </w:rPr>
            </w:pPr>
            <w:r>
              <w:rPr>
                <w:color w:val="000000"/>
                <w:sz w:val="20"/>
                <w:szCs w:val="20"/>
              </w:rPr>
              <w:t>1</w:t>
            </w:r>
          </w:p>
        </w:tc>
        <w:tc>
          <w:tcPr>
            <w:tcW w:w="2578" w:type="dxa"/>
            <w:noWrap/>
            <w:vAlign w:val="center"/>
          </w:tcPr>
          <w:p w14:paraId="737355A3">
            <w:pPr>
              <w:jc w:val="center"/>
              <w:rPr>
                <w:color w:val="000000"/>
                <w:sz w:val="20"/>
                <w:szCs w:val="20"/>
              </w:rPr>
            </w:pPr>
            <w:r>
              <w:rPr>
                <w:color w:val="000000"/>
                <w:sz w:val="20"/>
                <w:szCs w:val="20"/>
              </w:rPr>
              <w:t>Mặt cắt 3-3</w:t>
            </w:r>
          </w:p>
        </w:tc>
        <w:tc>
          <w:tcPr>
            <w:tcW w:w="2393" w:type="dxa"/>
            <w:noWrap/>
            <w:vAlign w:val="center"/>
          </w:tcPr>
          <w:p w14:paraId="2AA94A13">
            <w:pPr>
              <w:jc w:val="center"/>
              <w:rPr>
                <w:color w:val="000000"/>
                <w:sz w:val="20"/>
                <w:szCs w:val="20"/>
              </w:rPr>
            </w:pPr>
            <w:r>
              <w:rPr>
                <w:color w:val="000000"/>
                <w:sz w:val="20"/>
                <w:szCs w:val="20"/>
              </w:rPr>
              <w:t>Một mặt tiền, đối diện/tiếp giáp CX-MN</w:t>
            </w:r>
          </w:p>
        </w:tc>
        <w:tc>
          <w:tcPr>
            <w:tcW w:w="1198" w:type="dxa"/>
            <w:noWrap/>
            <w:vAlign w:val="center"/>
          </w:tcPr>
          <w:p w14:paraId="3B8B781F">
            <w:pPr>
              <w:jc w:val="center"/>
              <w:rPr>
                <w:color w:val="000000"/>
                <w:sz w:val="20"/>
                <w:szCs w:val="20"/>
              </w:rPr>
            </w:pPr>
            <w:r>
              <w:rPr>
                <w:color w:val="000000"/>
                <w:sz w:val="20"/>
                <w:szCs w:val="20"/>
              </w:rPr>
              <w:t>8.400.000</w:t>
            </w:r>
          </w:p>
        </w:tc>
        <w:tc>
          <w:tcPr>
            <w:tcW w:w="1236" w:type="dxa"/>
            <w:noWrap/>
            <w:vAlign w:val="center"/>
          </w:tcPr>
          <w:p w14:paraId="708C0018">
            <w:pPr>
              <w:jc w:val="center"/>
              <w:rPr>
                <w:color w:val="000000"/>
                <w:sz w:val="20"/>
                <w:szCs w:val="20"/>
              </w:rPr>
            </w:pPr>
          </w:p>
        </w:tc>
        <w:tc>
          <w:tcPr>
            <w:tcW w:w="1252" w:type="dxa"/>
            <w:noWrap/>
            <w:vAlign w:val="center"/>
          </w:tcPr>
          <w:p w14:paraId="45EC99D2">
            <w:pPr>
              <w:jc w:val="center"/>
              <w:rPr>
                <w:color w:val="000000"/>
                <w:sz w:val="20"/>
                <w:szCs w:val="20"/>
              </w:rPr>
            </w:pPr>
            <w:r>
              <w:rPr>
                <w:color w:val="000000"/>
                <w:sz w:val="20"/>
                <w:szCs w:val="20"/>
              </w:rPr>
              <w:t>8.400.000</w:t>
            </w:r>
          </w:p>
        </w:tc>
        <w:tc>
          <w:tcPr>
            <w:tcW w:w="1848" w:type="dxa"/>
            <w:noWrap/>
            <w:vAlign w:val="center"/>
          </w:tcPr>
          <w:p w14:paraId="20D5E5EE">
            <w:pPr>
              <w:jc w:val="center"/>
              <w:rPr>
                <w:color w:val="000000"/>
                <w:sz w:val="20"/>
                <w:szCs w:val="20"/>
              </w:rPr>
            </w:pPr>
            <w:r>
              <w:rPr>
                <w:color w:val="000000"/>
                <w:sz w:val="20"/>
                <w:szCs w:val="20"/>
              </w:rPr>
              <w:t>756.000.000</w:t>
            </w:r>
          </w:p>
        </w:tc>
      </w:tr>
      <w:tr w14:paraId="182C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BA2C489">
            <w:pPr>
              <w:jc w:val="center"/>
              <w:rPr>
                <w:b/>
                <w:bCs/>
                <w:color w:val="000000"/>
                <w:sz w:val="20"/>
                <w:szCs w:val="20"/>
              </w:rPr>
            </w:pPr>
            <w:r>
              <w:rPr>
                <w:b/>
                <w:bCs/>
                <w:color w:val="000000"/>
                <w:sz w:val="20"/>
                <w:szCs w:val="20"/>
              </w:rPr>
              <w:t>LK11</w:t>
            </w:r>
          </w:p>
        </w:tc>
        <w:tc>
          <w:tcPr>
            <w:tcW w:w="1802" w:type="dxa"/>
            <w:vAlign w:val="center"/>
          </w:tcPr>
          <w:p w14:paraId="6E5A83FF">
            <w:pPr>
              <w:jc w:val="center"/>
              <w:rPr>
                <w:color w:val="000000"/>
                <w:sz w:val="20"/>
                <w:szCs w:val="20"/>
              </w:rPr>
            </w:pPr>
            <w:r>
              <w:rPr>
                <w:color w:val="000000"/>
                <w:sz w:val="20"/>
                <w:szCs w:val="20"/>
              </w:rPr>
              <w:t>LK11:08</w:t>
            </w:r>
          </w:p>
        </w:tc>
        <w:tc>
          <w:tcPr>
            <w:tcW w:w="1033" w:type="dxa"/>
            <w:noWrap/>
            <w:vAlign w:val="center"/>
          </w:tcPr>
          <w:p w14:paraId="2186D1BD">
            <w:pPr>
              <w:jc w:val="center"/>
              <w:rPr>
                <w:color w:val="000000"/>
                <w:sz w:val="20"/>
                <w:szCs w:val="20"/>
              </w:rPr>
            </w:pPr>
            <w:r>
              <w:rPr>
                <w:color w:val="000000"/>
                <w:sz w:val="20"/>
                <w:szCs w:val="20"/>
              </w:rPr>
              <w:t>90,00</w:t>
            </w:r>
          </w:p>
        </w:tc>
        <w:tc>
          <w:tcPr>
            <w:tcW w:w="846" w:type="dxa"/>
            <w:noWrap/>
            <w:vAlign w:val="center"/>
          </w:tcPr>
          <w:p w14:paraId="4C28FC20">
            <w:pPr>
              <w:jc w:val="center"/>
              <w:rPr>
                <w:color w:val="000000"/>
                <w:sz w:val="20"/>
                <w:szCs w:val="20"/>
              </w:rPr>
            </w:pPr>
            <w:r>
              <w:rPr>
                <w:color w:val="000000"/>
                <w:sz w:val="20"/>
                <w:szCs w:val="20"/>
              </w:rPr>
              <w:t>1</w:t>
            </w:r>
          </w:p>
        </w:tc>
        <w:tc>
          <w:tcPr>
            <w:tcW w:w="2578" w:type="dxa"/>
            <w:noWrap/>
            <w:vAlign w:val="center"/>
          </w:tcPr>
          <w:p w14:paraId="5B5D47DE">
            <w:pPr>
              <w:jc w:val="center"/>
              <w:rPr>
                <w:color w:val="000000"/>
                <w:sz w:val="20"/>
                <w:szCs w:val="20"/>
              </w:rPr>
            </w:pPr>
            <w:r>
              <w:rPr>
                <w:color w:val="000000"/>
                <w:sz w:val="20"/>
                <w:szCs w:val="20"/>
              </w:rPr>
              <w:t>Mặt cắt 3-3</w:t>
            </w:r>
          </w:p>
        </w:tc>
        <w:tc>
          <w:tcPr>
            <w:tcW w:w="2393" w:type="dxa"/>
            <w:noWrap/>
            <w:vAlign w:val="center"/>
          </w:tcPr>
          <w:p w14:paraId="249AED3C">
            <w:pPr>
              <w:jc w:val="center"/>
              <w:rPr>
                <w:color w:val="000000"/>
                <w:sz w:val="20"/>
                <w:szCs w:val="20"/>
              </w:rPr>
            </w:pPr>
            <w:r>
              <w:rPr>
                <w:color w:val="000000"/>
                <w:sz w:val="20"/>
                <w:szCs w:val="20"/>
              </w:rPr>
              <w:t>Một mặt tiền, đối diện/tiếp giáp CX-MN</w:t>
            </w:r>
          </w:p>
        </w:tc>
        <w:tc>
          <w:tcPr>
            <w:tcW w:w="1198" w:type="dxa"/>
            <w:noWrap/>
            <w:vAlign w:val="center"/>
          </w:tcPr>
          <w:p w14:paraId="668BEB9D">
            <w:pPr>
              <w:jc w:val="center"/>
              <w:rPr>
                <w:color w:val="000000"/>
                <w:sz w:val="20"/>
                <w:szCs w:val="20"/>
              </w:rPr>
            </w:pPr>
            <w:r>
              <w:rPr>
                <w:color w:val="000000"/>
                <w:sz w:val="20"/>
                <w:szCs w:val="20"/>
              </w:rPr>
              <w:t>8.400.000</w:t>
            </w:r>
          </w:p>
        </w:tc>
        <w:tc>
          <w:tcPr>
            <w:tcW w:w="1236" w:type="dxa"/>
            <w:noWrap/>
            <w:vAlign w:val="center"/>
          </w:tcPr>
          <w:p w14:paraId="20DAD78E">
            <w:pPr>
              <w:jc w:val="center"/>
              <w:rPr>
                <w:color w:val="000000"/>
                <w:sz w:val="20"/>
                <w:szCs w:val="20"/>
              </w:rPr>
            </w:pPr>
          </w:p>
        </w:tc>
        <w:tc>
          <w:tcPr>
            <w:tcW w:w="1252" w:type="dxa"/>
            <w:noWrap/>
            <w:vAlign w:val="center"/>
          </w:tcPr>
          <w:p w14:paraId="068C1D2F">
            <w:pPr>
              <w:jc w:val="center"/>
              <w:rPr>
                <w:color w:val="000000"/>
                <w:sz w:val="20"/>
                <w:szCs w:val="20"/>
              </w:rPr>
            </w:pPr>
            <w:r>
              <w:rPr>
                <w:color w:val="000000"/>
                <w:sz w:val="20"/>
                <w:szCs w:val="20"/>
              </w:rPr>
              <w:t>8.400.000</w:t>
            </w:r>
          </w:p>
        </w:tc>
        <w:tc>
          <w:tcPr>
            <w:tcW w:w="1848" w:type="dxa"/>
            <w:noWrap/>
            <w:vAlign w:val="center"/>
          </w:tcPr>
          <w:p w14:paraId="48484933">
            <w:pPr>
              <w:jc w:val="center"/>
              <w:rPr>
                <w:color w:val="000000"/>
                <w:sz w:val="20"/>
                <w:szCs w:val="20"/>
              </w:rPr>
            </w:pPr>
            <w:r>
              <w:rPr>
                <w:color w:val="000000"/>
                <w:sz w:val="20"/>
                <w:szCs w:val="20"/>
              </w:rPr>
              <w:t>756.000.000</w:t>
            </w:r>
          </w:p>
        </w:tc>
      </w:tr>
      <w:tr w14:paraId="0C5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0A7ED2E">
            <w:pPr>
              <w:jc w:val="center"/>
              <w:rPr>
                <w:b/>
                <w:bCs/>
                <w:color w:val="000000"/>
                <w:sz w:val="20"/>
                <w:szCs w:val="20"/>
              </w:rPr>
            </w:pPr>
            <w:r>
              <w:rPr>
                <w:b/>
                <w:bCs/>
                <w:color w:val="000000"/>
                <w:sz w:val="20"/>
                <w:szCs w:val="20"/>
              </w:rPr>
              <w:t>LK13</w:t>
            </w:r>
          </w:p>
        </w:tc>
        <w:tc>
          <w:tcPr>
            <w:tcW w:w="1802" w:type="dxa"/>
            <w:vAlign w:val="center"/>
          </w:tcPr>
          <w:p w14:paraId="1542ADD1">
            <w:pPr>
              <w:jc w:val="center"/>
              <w:rPr>
                <w:color w:val="000000"/>
                <w:sz w:val="20"/>
                <w:szCs w:val="20"/>
              </w:rPr>
            </w:pPr>
            <w:r>
              <w:rPr>
                <w:color w:val="000000"/>
                <w:sz w:val="20"/>
                <w:szCs w:val="20"/>
              </w:rPr>
              <w:t>LK13:02</w:t>
            </w:r>
          </w:p>
        </w:tc>
        <w:tc>
          <w:tcPr>
            <w:tcW w:w="1033" w:type="dxa"/>
            <w:noWrap/>
            <w:vAlign w:val="center"/>
          </w:tcPr>
          <w:p w14:paraId="3A12F5EE">
            <w:pPr>
              <w:jc w:val="center"/>
              <w:rPr>
                <w:color w:val="000000"/>
                <w:sz w:val="20"/>
                <w:szCs w:val="20"/>
              </w:rPr>
            </w:pPr>
            <w:r>
              <w:rPr>
                <w:color w:val="000000"/>
                <w:sz w:val="20"/>
                <w:szCs w:val="20"/>
              </w:rPr>
              <w:t>90,00</w:t>
            </w:r>
          </w:p>
        </w:tc>
        <w:tc>
          <w:tcPr>
            <w:tcW w:w="846" w:type="dxa"/>
            <w:noWrap/>
            <w:vAlign w:val="center"/>
          </w:tcPr>
          <w:p w14:paraId="04717E7C">
            <w:pPr>
              <w:jc w:val="center"/>
              <w:rPr>
                <w:color w:val="000000"/>
                <w:sz w:val="20"/>
                <w:szCs w:val="20"/>
              </w:rPr>
            </w:pPr>
            <w:r>
              <w:rPr>
                <w:color w:val="000000"/>
                <w:sz w:val="20"/>
                <w:szCs w:val="20"/>
              </w:rPr>
              <w:t>1</w:t>
            </w:r>
          </w:p>
        </w:tc>
        <w:tc>
          <w:tcPr>
            <w:tcW w:w="2578" w:type="dxa"/>
            <w:noWrap/>
            <w:vAlign w:val="center"/>
          </w:tcPr>
          <w:p w14:paraId="110E186B">
            <w:pPr>
              <w:jc w:val="center"/>
              <w:rPr>
                <w:color w:val="000000"/>
                <w:sz w:val="20"/>
                <w:szCs w:val="20"/>
              </w:rPr>
            </w:pPr>
            <w:r>
              <w:rPr>
                <w:color w:val="000000"/>
                <w:sz w:val="20"/>
                <w:szCs w:val="20"/>
              </w:rPr>
              <w:t>Mặt cắt 3-3</w:t>
            </w:r>
          </w:p>
        </w:tc>
        <w:tc>
          <w:tcPr>
            <w:tcW w:w="2393" w:type="dxa"/>
            <w:noWrap/>
            <w:vAlign w:val="center"/>
          </w:tcPr>
          <w:p w14:paraId="64CB6B47">
            <w:pPr>
              <w:jc w:val="center"/>
              <w:rPr>
                <w:color w:val="000000"/>
                <w:sz w:val="20"/>
                <w:szCs w:val="20"/>
              </w:rPr>
            </w:pPr>
            <w:r>
              <w:rPr>
                <w:color w:val="000000"/>
                <w:sz w:val="20"/>
                <w:szCs w:val="20"/>
              </w:rPr>
              <w:t>Một mặt tiền, đối diện trường học</w:t>
            </w:r>
          </w:p>
        </w:tc>
        <w:tc>
          <w:tcPr>
            <w:tcW w:w="1198" w:type="dxa"/>
            <w:noWrap/>
            <w:vAlign w:val="center"/>
          </w:tcPr>
          <w:p w14:paraId="6ADF7BA6">
            <w:pPr>
              <w:jc w:val="center"/>
              <w:rPr>
                <w:color w:val="000000"/>
                <w:sz w:val="20"/>
                <w:szCs w:val="20"/>
              </w:rPr>
            </w:pPr>
            <w:r>
              <w:rPr>
                <w:color w:val="000000"/>
                <w:sz w:val="20"/>
                <w:szCs w:val="20"/>
              </w:rPr>
              <w:t>8.400.000</w:t>
            </w:r>
          </w:p>
        </w:tc>
        <w:tc>
          <w:tcPr>
            <w:tcW w:w="1236" w:type="dxa"/>
            <w:noWrap/>
            <w:vAlign w:val="center"/>
          </w:tcPr>
          <w:p w14:paraId="1A978EFC">
            <w:pPr>
              <w:jc w:val="center"/>
              <w:rPr>
                <w:color w:val="000000"/>
                <w:sz w:val="20"/>
                <w:szCs w:val="20"/>
              </w:rPr>
            </w:pPr>
          </w:p>
        </w:tc>
        <w:tc>
          <w:tcPr>
            <w:tcW w:w="1252" w:type="dxa"/>
            <w:noWrap/>
            <w:vAlign w:val="center"/>
          </w:tcPr>
          <w:p w14:paraId="435520CE">
            <w:pPr>
              <w:jc w:val="center"/>
              <w:rPr>
                <w:color w:val="000000"/>
                <w:sz w:val="20"/>
                <w:szCs w:val="20"/>
              </w:rPr>
            </w:pPr>
            <w:r>
              <w:rPr>
                <w:color w:val="000000"/>
                <w:sz w:val="20"/>
                <w:szCs w:val="20"/>
              </w:rPr>
              <w:t>8.400.000</w:t>
            </w:r>
          </w:p>
        </w:tc>
        <w:tc>
          <w:tcPr>
            <w:tcW w:w="1848" w:type="dxa"/>
            <w:noWrap/>
            <w:vAlign w:val="center"/>
          </w:tcPr>
          <w:p w14:paraId="33D84EB6">
            <w:pPr>
              <w:jc w:val="center"/>
              <w:rPr>
                <w:color w:val="000000"/>
                <w:sz w:val="20"/>
                <w:szCs w:val="20"/>
              </w:rPr>
            </w:pPr>
            <w:r>
              <w:rPr>
                <w:color w:val="000000"/>
                <w:sz w:val="20"/>
                <w:szCs w:val="20"/>
              </w:rPr>
              <w:t>756.000.000</w:t>
            </w:r>
          </w:p>
        </w:tc>
      </w:tr>
      <w:tr w14:paraId="46A6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3A7E240">
            <w:pPr>
              <w:jc w:val="center"/>
              <w:rPr>
                <w:b/>
                <w:bCs/>
                <w:color w:val="000000"/>
                <w:sz w:val="20"/>
                <w:szCs w:val="20"/>
              </w:rPr>
            </w:pPr>
            <w:r>
              <w:rPr>
                <w:b/>
                <w:bCs/>
                <w:color w:val="000000"/>
                <w:sz w:val="20"/>
                <w:szCs w:val="20"/>
              </w:rPr>
              <w:t>LK13</w:t>
            </w:r>
          </w:p>
        </w:tc>
        <w:tc>
          <w:tcPr>
            <w:tcW w:w="1802" w:type="dxa"/>
            <w:vAlign w:val="center"/>
          </w:tcPr>
          <w:p w14:paraId="5A9F7403">
            <w:pPr>
              <w:jc w:val="center"/>
              <w:rPr>
                <w:color w:val="000000"/>
                <w:sz w:val="20"/>
                <w:szCs w:val="20"/>
              </w:rPr>
            </w:pPr>
            <w:r>
              <w:rPr>
                <w:color w:val="000000"/>
                <w:sz w:val="20"/>
                <w:szCs w:val="20"/>
              </w:rPr>
              <w:t>LK13:03</w:t>
            </w:r>
          </w:p>
        </w:tc>
        <w:tc>
          <w:tcPr>
            <w:tcW w:w="1033" w:type="dxa"/>
            <w:noWrap/>
            <w:vAlign w:val="center"/>
          </w:tcPr>
          <w:p w14:paraId="32326ADC">
            <w:pPr>
              <w:jc w:val="center"/>
              <w:rPr>
                <w:color w:val="000000"/>
                <w:sz w:val="20"/>
                <w:szCs w:val="20"/>
              </w:rPr>
            </w:pPr>
            <w:r>
              <w:rPr>
                <w:color w:val="000000"/>
                <w:sz w:val="20"/>
                <w:szCs w:val="20"/>
              </w:rPr>
              <w:t>90,01</w:t>
            </w:r>
          </w:p>
        </w:tc>
        <w:tc>
          <w:tcPr>
            <w:tcW w:w="846" w:type="dxa"/>
            <w:noWrap/>
            <w:vAlign w:val="center"/>
          </w:tcPr>
          <w:p w14:paraId="533A569B">
            <w:pPr>
              <w:jc w:val="center"/>
              <w:rPr>
                <w:color w:val="000000"/>
                <w:sz w:val="20"/>
                <w:szCs w:val="20"/>
              </w:rPr>
            </w:pPr>
            <w:r>
              <w:rPr>
                <w:color w:val="000000"/>
                <w:sz w:val="20"/>
                <w:szCs w:val="20"/>
              </w:rPr>
              <w:t>1</w:t>
            </w:r>
          </w:p>
        </w:tc>
        <w:tc>
          <w:tcPr>
            <w:tcW w:w="2578" w:type="dxa"/>
            <w:noWrap/>
            <w:vAlign w:val="center"/>
          </w:tcPr>
          <w:p w14:paraId="00196C9A">
            <w:pPr>
              <w:jc w:val="center"/>
              <w:rPr>
                <w:color w:val="000000"/>
                <w:sz w:val="20"/>
                <w:szCs w:val="20"/>
              </w:rPr>
            </w:pPr>
            <w:r>
              <w:rPr>
                <w:color w:val="000000"/>
                <w:sz w:val="20"/>
                <w:szCs w:val="20"/>
              </w:rPr>
              <w:t>Mặt cắt 3-3</w:t>
            </w:r>
          </w:p>
        </w:tc>
        <w:tc>
          <w:tcPr>
            <w:tcW w:w="2393" w:type="dxa"/>
            <w:noWrap/>
            <w:vAlign w:val="center"/>
          </w:tcPr>
          <w:p w14:paraId="6A67FFD2">
            <w:pPr>
              <w:jc w:val="center"/>
              <w:rPr>
                <w:color w:val="000000"/>
                <w:sz w:val="20"/>
                <w:szCs w:val="20"/>
              </w:rPr>
            </w:pPr>
            <w:r>
              <w:rPr>
                <w:color w:val="000000"/>
                <w:sz w:val="20"/>
                <w:szCs w:val="20"/>
              </w:rPr>
              <w:t>Một mặt tiền, đối diện trường học</w:t>
            </w:r>
          </w:p>
        </w:tc>
        <w:tc>
          <w:tcPr>
            <w:tcW w:w="1198" w:type="dxa"/>
            <w:noWrap/>
            <w:vAlign w:val="center"/>
          </w:tcPr>
          <w:p w14:paraId="32CE1E1E">
            <w:pPr>
              <w:jc w:val="center"/>
              <w:rPr>
                <w:color w:val="000000"/>
                <w:sz w:val="20"/>
                <w:szCs w:val="20"/>
              </w:rPr>
            </w:pPr>
            <w:r>
              <w:rPr>
                <w:color w:val="000000"/>
                <w:sz w:val="20"/>
                <w:szCs w:val="20"/>
              </w:rPr>
              <w:t>8.400.000</w:t>
            </w:r>
          </w:p>
        </w:tc>
        <w:tc>
          <w:tcPr>
            <w:tcW w:w="1236" w:type="dxa"/>
            <w:noWrap/>
            <w:vAlign w:val="center"/>
          </w:tcPr>
          <w:p w14:paraId="28662B8F">
            <w:pPr>
              <w:jc w:val="center"/>
              <w:rPr>
                <w:color w:val="000000"/>
                <w:sz w:val="20"/>
                <w:szCs w:val="20"/>
              </w:rPr>
            </w:pPr>
          </w:p>
        </w:tc>
        <w:tc>
          <w:tcPr>
            <w:tcW w:w="1252" w:type="dxa"/>
            <w:noWrap/>
            <w:vAlign w:val="center"/>
          </w:tcPr>
          <w:p w14:paraId="72A1CB70">
            <w:pPr>
              <w:jc w:val="center"/>
              <w:rPr>
                <w:color w:val="000000"/>
                <w:sz w:val="20"/>
                <w:szCs w:val="20"/>
              </w:rPr>
            </w:pPr>
            <w:r>
              <w:rPr>
                <w:color w:val="000000"/>
                <w:sz w:val="20"/>
                <w:szCs w:val="20"/>
              </w:rPr>
              <w:t>8.400.000</w:t>
            </w:r>
          </w:p>
        </w:tc>
        <w:tc>
          <w:tcPr>
            <w:tcW w:w="1848" w:type="dxa"/>
            <w:noWrap/>
            <w:vAlign w:val="center"/>
          </w:tcPr>
          <w:p w14:paraId="44067442">
            <w:pPr>
              <w:jc w:val="center"/>
              <w:rPr>
                <w:color w:val="000000"/>
                <w:sz w:val="20"/>
                <w:szCs w:val="20"/>
              </w:rPr>
            </w:pPr>
            <w:r>
              <w:rPr>
                <w:color w:val="000000"/>
                <w:sz w:val="20"/>
                <w:szCs w:val="20"/>
              </w:rPr>
              <w:t>756.084.000</w:t>
            </w:r>
          </w:p>
        </w:tc>
      </w:tr>
      <w:tr w14:paraId="621F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C571369">
            <w:pPr>
              <w:jc w:val="center"/>
              <w:rPr>
                <w:b/>
                <w:bCs/>
                <w:color w:val="000000"/>
                <w:sz w:val="20"/>
                <w:szCs w:val="20"/>
              </w:rPr>
            </w:pPr>
            <w:r>
              <w:rPr>
                <w:b/>
                <w:bCs/>
                <w:color w:val="000000"/>
                <w:sz w:val="20"/>
                <w:szCs w:val="20"/>
              </w:rPr>
              <w:t>LK13</w:t>
            </w:r>
          </w:p>
        </w:tc>
        <w:tc>
          <w:tcPr>
            <w:tcW w:w="1802" w:type="dxa"/>
            <w:vAlign w:val="center"/>
          </w:tcPr>
          <w:p w14:paraId="039057D3">
            <w:pPr>
              <w:jc w:val="center"/>
              <w:rPr>
                <w:color w:val="000000"/>
                <w:sz w:val="20"/>
                <w:szCs w:val="20"/>
              </w:rPr>
            </w:pPr>
            <w:r>
              <w:rPr>
                <w:color w:val="000000"/>
                <w:sz w:val="20"/>
                <w:szCs w:val="20"/>
              </w:rPr>
              <w:t>LK13:04</w:t>
            </w:r>
          </w:p>
        </w:tc>
        <w:tc>
          <w:tcPr>
            <w:tcW w:w="1033" w:type="dxa"/>
            <w:noWrap/>
            <w:vAlign w:val="center"/>
          </w:tcPr>
          <w:p w14:paraId="5385E15D">
            <w:pPr>
              <w:jc w:val="center"/>
              <w:rPr>
                <w:color w:val="000000"/>
                <w:sz w:val="20"/>
                <w:szCs w:val="20"/>
              </w:rPr>
            </w:pPr>
            <w:r>
              <w:rPr>
                <w:color w:val="000000"/>
                <w:sz w:val="20"/>
                <w:szCs w:val="20"/>
              </w:rPr>
              <w:t>90,01</w:t>
            </w:r>
          </w:p>
        </w:tc>
        <w:tc>
          <w:tcPr>
            <w:tcW w:w="846" w:type="dxa"/>
            <w:noWrap/>
            <w:vAlign w:val="center"/>
          </w:tcPr>
          <w:p w14:paraId="522390F7">
            <w:pPr>
              <w:jc w:val="center"/>
              <w:rPr>
                <w:color w:val="000000"/>
                <w:sz w:val="20"/>
                <w:szCs w:val="20"/>
              </w:rPr>
            </w:pPr>
            <w:r>
              <w:rPr>
                <w:color w:val="000000"/>
                <w:sz w:val="20"/>
                <w:szCs w:val="20"/>
              </w:rPr>
              <w:t>1</w:t>
            </w:r>
          </w:p>
        </w:tc>
        <w:tc>
          <w:tcPr>
            <w:tcW w:w="2578" w:type="dxa"/>
            <w:noWrap/>
            <w:vAlign w:val="center"/>
          </w:tcPr>
          <w:p w14:paraId="397D27F3">
            <w:pPr>
              <w:jc w:val="center"/>
              <w:rPr>
                <w:color w:val="000000"/>
                <w:sz w:val="20"/>
                <w:szCs w:val="20"/>
              </w:rPr>
            </w:pPr>
            <w:r>
              <w:rPr>
                <w:color w:val="000000"/>
                <w:sz w:val="20"/>
                <w:szCs w:val="20"/>
              </w:rPr>
              <w:t>Mặt cắt 3-3</w:t>
            </w:r>
          </w:p>
        </w:tc>
        <w:tc>
          <w:tcPr>
            <w:tcW w:w="2393" w:type="dxa"/>
            <w:noWrap/>
            <w:vAlign w:val="center"/>
          </w:tcPr>
          <w:p w14:paraId="1172756A">
            <w:pPr>
              <w:jc w:val="center"/>
              <w:rPr>
                <w:color w:val="000000"/>
                <w:sz w:val="20"/>
                <w:szCs w:val="20"/>
              </w:rPr>
            </w:pPr>
            <w:r>
              <w:rPr>
                <w:color w:val="000000"/>
                <w:sz w:val="20"/>
                <w:szCs w:val="20"/>
              </w:rPr>
              <w:t>Một mặt tiền, đối diện trường học</w:t>
            </w:r>
          </w:p>
        </w:tc>
        <w:tc>
          <w:tcPr>
            <w:tcW w:w="1198" w:type="dxa"/>
            <w:noWrap/>
            <w:vAlign w:val="center"/>
          </w:tcPr>
          <w:p w14:paraId="6F0F18B4">
            <w:pPr>
              <w:jc w:val="center"/>
              <w:rPr>
                <w:color w:val="000000"/>
                <w:sz w:val="20"/>
                <w:szCs w:val="20"/>
              </w:rPr>
            </w:pPr>
            <w:r>
              <w:rPr>
                <w:color w:val="000000"/>
                <w:sz w:val="20"/>
                <w:szCs w:val="20"/>
              </w:rPr>
              <w:t>8.400.000</w:t>
            </w:r>
          </w:p>
        </w:tc>
        <w:tc>
          <w:tcPr>
            <w:tcW w:w="1236" w:type="dxa"/>
            <w:noWrap/>
            <w:vAlign w:val="center"/>
          </w:tcPr>
          <w:p w14:paraId="3133B03F">
            <w:pPr>
              <w:jc w:val="center"/>
              <w:rPr>
                <w:color w:val="000000"/>
                <w:sz w:val="20"/>
                <w:szCs w:val="20"/>
              </w:rPr>
            </w:pPr>
          </w:p>
        </w:tc>
        <w:tc>
          <w:tcPr>
            <w:tcW w:w="1252" w:type="dxa"/>
            <w:noWrap/>
            <w:vAlign w:val="center"/>
          </w:tcPr>
          <w:p w14:paraId="26FD284C">
            <w:pPr>
              <w:jc w:val="center"/>
              <w:rPr>
                <w:color w:val="000000"/>
                <w:sz w:val="20"/>
                <w:szCs w:val="20"/>
              </w:rPr>
            </w:pPr>
            <w:r>
              <w:rPr>
                <w:color w:val="000000"/>
                <w:sz w:val="20"/>
                <w:szCs w:val="20"/>
              </w:rPr>
              <w:t>8.400.000</w:t>
            </w:r>
          </w:p>
        </w:tc>
        <w:tc>
          <w:tcPr>
            <w:tcW w:w="1848" w:type="dxa"/>
            <w:noWrap/>
            <w:vAlign w:val="center"/>
          </w:tcPr>
          <w:p w14:paraId="58FFA30E">
            <w:pPr>
              <w:jc w:val="center"/>
              <w:rPr>
                <w:color w:val="000000"/>
                <w:sz w:val="20"/>
                <w:szCs w:val="20"/>
              </w:rPr>
            </w:pPr>
            <w:r>
              <w:rPr>
                <w:color w:val="000000"/>
                <w:sz w:val="20"/>
                <w:szCs w:val="20"/>
              </w:rPr>
              <w:t>756.084.000</w:t>
            </w:r>
          </w:p>
        </w:tc>
      </w:tr>
      <w:tr w14:paraId="02D4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2F99F5A">
            <w:pPr>
              <w:jc w:val="center"/>
              <w:rPr>
                <w:b/>
                <w:bCs/>
                <w:color w:val="000000"/>
                <w:sz w:val="20"/>
                <w:szCs w:val="20"/>
              </w:rPr>
            </w:pPr>
            <w:r>
              <w:rPr>
                <w:b/>
                <w:bCs/>
                <w:color w:val="000000"/>
                <w:sz w:val="20"/>
                <w:szCs w:val="20"/>
              </w:rPr>
              <w:t>LK13</w:t>
            </w:r>
          </w:p>
        </w:tc>
        <w:tc>
          <w:tcPr>
            <w:tcW w:w="1802" w:type="dxa"/>
            <w:vAlign w:val="center"/>
          </w:tcPr>
          <w:p w14:paraId="1D6321C7">
            <w:pPr>
              <w:jc w:val="center"/>
              <w:rPr>
                <w:color w:val="000000"/>
                <w:sz w:val="20"/>
                <w:szCs w:val="20"/>
              </w:rPr>
            </w:pPr>
            <w:r>
              <w:rPr>
                <w:color w:val="000000"/>
                <w:sz w:val="20"/>
                <w:szCs w:val="20"/>
              </w:rPr>
              <w:t>LK13:05</w:t>
            </w:r>
          </w:p>
        </w:tc>
        <w:tc>
          <w:tcPr>
            <w:tcW w:w="1033" w:type="dxa"/>
            <w:noWrap/>
            <w:vAlign w:val="center"/>
          </w:tcPr>
          <w:p w14:paraId="7F13A036">
            <w:pPr>
              <w:jc w:val="center"/>
              <w:rPr>
                <w:color w:val="000000"/>
                <w:sz w:val="20"/>
                <w:szCs w:val="20"/>
              </w:rPr>
            </w:pPr>
            <w:r>
              <w:rPr>
                <w:color w:val="000000"/>
                <w:sz w:val="20"/>
                <w:szCs w:val="20"/>
              </w:rPr>
              <w:t>90,01</w:t>
            </w:r>
          </w:p>
        </w:tc>
        <w:tc>
          <w:tcPr>
            <w:tcW w:w="846" w:type="dxa"/>
            <w:noWrap/>
            <w:vAlign w:val="center"/>
          </w:tcPr>
          <w:p w14:paraId="2EF63E6A">
            <w:pPr>
              <w:jc w:val="center"/>
              <w:rPr>
                <w:color w:val="000000"/>
                <w:sz w:val="20"/>
                <w:szCs w:val="20"/>
              </w:rPr>
            </w:pPr>
            <w:r>
              <w:rPr>
                <w:color w:val="000000"/>
                <w:sz w:val="20"/>
                <w:szCs w:val="20"/>
              </w:rPr>
              <w:t>1</w:t>
            </w:r>
          </w:p>
        </w:tc>
        <w:tc>
          <w:tcPr>
            <w:tcW w:w="2578" w:type="dxa"/>
            <w:noWrap/>
            <w:vAlign w:val="center"/>
          </w:tcPr>
          <w:p w14:paraId="37C539A8">
            <w:pPr>
              <w:jc w:val="center"/>
              <w:rPr>
                <w:color w:val="000000"/>
                <w:sz w:val="20"/>
                <w:szCs w:val="20"/>
              </w:rPr>
            </w:pPr>
            <w:r>
              <w:rPr>
                <w:color w:val="000000"/>
                <w:sz w:val="20"/>
                <w:szCs w:val="20"/>
              </w:rPr>
              <w:t>Mặt cắt 3-3</w:t>
            </w:r>
          </w:p>
        </w:tc>
        <w:tc>
          <w:tcPr>
            <w:tcW w:w="2393" w:type="dxa"/>
            <w:noWrap/>
            <w:vAlign w:val="center"/>
          </w:tcPr>
          <w:p w14:paraId="2441B102">
            <w:pPr>
              <w:jc w:val="center"/>
              <w:rPr>
                <w:color w:val="000000"/>
                <w:sz w:val="20"/>
                <w:szCs w:val="20"/>
              </w:rPr>
            </w:pPr>
            <w:r>
              <w:rPr>
                <w:color w:val="000000"/>
                <w:sz w:val="20"/>
                <w:szCs w:val="20"/>
              </w:rPr>
              <w:t>Một mặt tiền, đối diện trường học</w:t>
            </w:r>
          </w:p>
        </w:tc>
        <w:tc>
          <w:tcPr>
            <w:tcW w:w="1198" w:type="dxa"/>
            <w:noWrap/>
            <w:vAlign w:val="center"/>
          </w:tcPr>
          <w:p w14:paraId="07305E71">
            <w:pPr>
              <w:jc w:val="center"/>
              <w:rPr>
                <w:color w:val="000000"/>
                <w:sz w:val="20"/>
                <w:szCs w:val="20"/>
              </w:rPr>
            </w:pPr>
            <w:r>
              <w:rPr>
                <w:color w:val="000000"/>
                <w:sz w:val="20"/>
                <w:szCs w:val="20"/>
              </w:rPr>
              <w:t>8.400.000</w:t>
            </w:r>
          </w:p>
        </w:tc>
        <w:tc>
          <w:tcPr>
            <w:tcW w:w="1236" w:type="dxa"/>
            <w:noWrap/>
            <w:vAlign w:val="center"/>
          </w:tcPr>
          <w:p w14:paraId="65A3B7D1">
            <w:pPr>
              <w:jc w:val="center"/>
              <w:rPr>
                <w:color w:val="000000"/>
                <w:sz w:val="20"/>
                <w:szCs w:val="20"/>
              </w:rPr>
            </w:pPr>
          </w:p>
        </w:tc>
        <w:tc>
          <w:tcPr>
            <w:tcW w:w="1252" w:type="dxa"/>
            <w:noWrap/>
            <w:vAlign w:val="center"/>
          </w:tcPr>
          <w:p w14:paraId="54CFB18E">
            <w:pPr>
              <w:jc w:val="center"/>
              <w:rPr>
                <w:color w:val="000000"/>
                <w:sz w:val="20"/>
                <w:szCs w:val="20"/>
              </w:rPr>
            </w:pPr>
            <w:r>
              <w:rPr>
                <w:color w:val="000000"/>
                <w:sz w:val="20"/>
                <w:szCs w:val="20"/>
              </w:rPr>
              <w:t>8.400.000</w:t>
            </w:r>
          </w:p>
        </w:tc>
        <w:tc>
          <w:tcPr>
            <w:tcW w:w="1848" w:type="dxa"/>
            <w:noWrap/>
            <w:vAlign w:val="center"/>
          </w:tcPr>
          <w:p w14:paraId="3EDB6C41">
            <w:pPr>
              <w:jc w:val="center"/>
              <w:rPr>
                <w:color w:val="000000"/>
                <w:sz w:val="20"/>
                <w:szCs w:val="20"/>
              </w:rPr>
            </w:pPr>
            <w:r>
              <w:rPr>
                <w:color w:val="000000"/>
                <w:sz w:val="20"/>
                <w:szCs w:val="20"/>
              </w:rPr>
              <w:t>756.084.000</w:t>
            </w:r>
          </w:p>
        </w:tc>
      </w:tr>
      <w:tr w14:paraId="1FDD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6FDBAA1">
            <w:pPr>
              <w:jc w:val="center"/>
              <w:rPr>
                <w:b/>
                <w:bCs/>
                <w:color w:val="000000"/>
                <w:sz w:val="20"/>
                <w:szCs w:val="20"/>
              </w:rPr>
            </w:pPr>
            <w:r>
              <w:rPr>
                <w:b/>
                <w:bCs/>
                <w:color w:val="000000"/>
                <w:sz w:val="20"/>
                <w:szCs w:val="20"/>
              </w:rPr>
              <w:t>LK13</w:t>
            </w:r>
          </w:p>
        </w:tc>
        <w:tc>
          <w:tcPr>
            <w:tcW w:w="1802" w:type="dxa"/>
            <w:vAlign w:val="center"/>
          </w:tcPr>
          <w:p w14:paraId="3EED75DA">
            <w:pPr>
              <w:jc w:val="center"/>
              <w:rPr>
                <w:color w:val="000000"/>
                <w:sz w:val="20"/>
                <w:szCs w:val="20"/>
              </w:rPr>
            </w:pPr>
            <w:r>
              <w:rPr>
                <w:color w:val="000000"/>
                <w:sz w:val="20"/>
                <w:szCs w:val="20"/>
              </w:rPr>
              <w:t>LK13:06</w:t>
            </w:r>
          </w:p>
        </w:tc>
        <w:tc>
          <w:tcPr>
            <w:tcW w:w="1033" w:type="dxa"/>
            <w:noWrap/>
            <w:vAlign w:val="center"/>
          </w:tcPr>
          <w:p w14:paraId="36CF01FD">
            <w:pPr>
              <w:jc w:val="center"/>
              <w:rPr>
                <w:color w:val="000000"/>
                <w:sz w:val="20"/>
                <w:szCs w:val="20"/>
              </w:rPr>
            </w:pPr>
            <w:r>
              <w:rPr>
                <w:color w:val="000000"/>
                <w:sz w:val="20"/>
                <w:szCs w:val="20"/>
              </w:rPr>
              <w:t>90,01</w:t>
            </w:r>
          </w:p>
        </w:tc>
        <w:tc>
          <w:tcPr>
            <w:tcW w:w="846" w:type="dxa"/>
            <w:noWrap/>
            <w:vAlign w:val="center"/>
          </w:tcPr>
          <w:p w14:paraId="3E8C1FED">
            <w:pPr>
              <w:jc w:val="center"/>
              <w:rPr>
                <w:color w:val="000000"/>
                <w:sz w:val="20"/>
                <w:szCs w:val="20"/>
              </w:rPr>
            </w:pPr>
            <w:r>
              <w:rPr>
                <w:color w:val="000000"/>
                <w:sz w:val="20"/>
                <w:szCs w:val="20"/>
              </w:rPr>
              <w:t>1</w:t>
            </w:r>
          </w:p>
        </w:tc>
        <w:tc>
          <w:tcPr>
            <w:tcW w:w="2578" w:type="dxa"/>
            <w:noWrap/>
            <w:vAlign w:val="center"/>
          </w:tcPr>
          <w:p w14:paraId="20B198D9">
            <w:pPr>
              <w:jc w:val="center"/>
              <w:rPr>
                <w:color w:val="000000"/>
                <w:sz w:val="20"/>
                <w:szCs w:val="20"/>
              </w:rPr>
            </w:pPr>
            <w:r>
              <w:rPr>
                <w:color w:val="000000"/>
                <w:sz w:val="20"/>
                <w:szCs w:val="20"/>
              </w:rPr>
              <w:t>Mặt cắt 3-3</w:t>
            </w:r>
          </w:p>
        </w:tc>
        <w:tc>
          <w:tcPr>
            <w:tcW w:w="2393" w:type="dxa"/>
            <w:noWrap/>
            <w:vAlign w:val="center"/>
          </w:tcPr>
          <w:p w14:paraId="584176D3">
            <w:pPr>
              <w:jc w:val="center"/>
              <w:rPr>
                <w:color w:val="000000"/>
                <w:sz w:val="20"/>
                <w:szCs w:val="20"/>
              </w:rPr>
            </w:pPr>
            <w:r>
              <w:rPr>
                <w:color w:val="000000"/>
                <w:sz w:val="20"/>
                <w:szCs w:val="20"/>
              </w:rPr>
              <w:t>Một mặt tiền, đối diện trường học</w:t>
            </w:r>
          </w:p>
        </w:tc>
        <w:tc>
          <w:tcPr>
            <w:tcW w:w="1198" w:type="dxa"/>
            <w:noWrap/>
            <w:vAlign w:val="center"/>
          </w:tcPr>
          <w:p w14:paraId="62786D1E">
            <w:pPr>
              <w:jc w:val="center"/>
              <w:rPr>
                <w:color w:val="000000"/>
                <w:sz w:val="20"/>
                <w:szCs w:val="20"/>
              </w:rPr>
            </w:pPr>
            <w:r>
              <w:rPr>
                <w:color w:val="000000"/>
                <w:sz w:val="20"/>
                <w:szCs w:val="20"/>
              </w:rPr>
              <w:t>8.400.000</w:t>
            </w:r>
          </w:p>
        </w:tc>
        <w:tc>
          <w:tcPr>
            <w:tcW w:w="1236" w:type="dxa"/>
            <w:noWrap/>
            <w:vAlign w:val="center"/>
          </w:tcPr>
          <w:p w14:paraId="40FF0A64">
            <w:pPr>
              <w:jc w:val="center"/>
              <w:rPr>
                <w:color w:val="000000"/>
                <w:sz w:val="20"/>
                <w:szCs w:val="20"/>
              </w:rPr>
            </w:pPr>
          </w:p>
        </w:tc>
        <w:tc>
          <w:tcPr>
            <w:tcW w:w="1252" w:type="dxa"/>
            <w:noWrap/>
            <w:vAlign w:val="center"/>
          </w:tcPr>
          <w:p w14:paraId="133E66C9">
            <w:pPr>
              <w:jc w:val="center"/>
              <w:rPr>
                <w:color w:val="000000"/>
                <w:sz w:val="20"/>
                <w:szCs w:val="20"/>
              </w:rPr>
            </w:pPr>
            <w:r>
              <w:rPr>
                <w:color w:val="000000"/>
                <w:sz w:val="20"/>
                <w:szCs w:val="20"/>
              </w:rPr>
              <w:t>8.400.000</w:t>
            </w:r>
          </w:p>
        </w:tc>
        <w:tc>
          <w:tcPr>
            <w:tcW w:w="1848" w:type="dxa"/>
            <w:noWrap/>
            <w:vAlign w:val="center"/>
          </w:tcPr>
          <w:p w14:paraId="5BF9F94C">
            <w:pPr>
              <w:jc w:val="center"/>
              <w:rPr>
                <w:color w:val="000000"/>
                <w:sz w:val="20"/>
                <w:szCs w:val="20"/>
              </w:rPr>
            </w:pPr>
            <w:r>
              <w:rPr>
                <w:color w:val="000000"/>
                <w:sz w:val="20"/>
                <w:szCs w:val="20"/>
              </w:rPr>
              <w:t>756.084.000</w:t>
            </w:r>
          </w:p>
        </w:tc>
      </w:tr>
      <w:tr w14:paraId="69C2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68F7D67">
            <w:pPr>
              <w:jc w:val="center"/>
              <w:rPr>
                <w:b/>
                <w:bCs/>
                <w:color w:val="000000"/>
                <w:sz w:val="20"/>
                <w:szCs w:val="20"/>
              </w:rPr>
            </w:pPr>
            <w:r>
              <w:rPr>
                <w:b/>
                <w:bCs/>
                <w:color w:val="000000"/>
                <w:sz w:val="20"/>
                <w:szCs w:val="20"/>
              </w:rPr>
              <w:t>LK13</w:t>
            </w:r>
          </w:p>
        </w:tc>
        <w:tc>
          <w:tcPr>
            <w:tcW w:w="1802" w:type="dxa"/>
            <w:vAlign w:val="center"/>
          </w:tcPr>
          <w:p w14:paraId="19CA8933">
            <w:pPr>
              <w:jc w:val="center"/>
              <w:rPr>
                <w:color w:val="000000"/>
                <w:sz w:val="20"/>
                <w:szCs w:val="20"/>
              </w:rPr>
            </w:pPr>
            <w:r>
              <w:rPr>
                <w:color w:val="000000"/>
                <w:sz w:val="20"/>
                <w:szCs w:val="20"/>
              </w:rPr>
              <w:t>LK13:07</w:t>
            </w:r>
          </w:p>
        </w:tc>
        <w:tc>
          <w:tcPr>
            <w:tcW w:w="1033" w:type="dxa"/>
            <w:noWrap/>
            <w:vAlign w:val="center"/>
          </w:tcPr>
          <w:p w14:paraId="09FE2686">
            <w:pPr>
              <w:jc w:val="center"/>
              <w:rPr>
                <w:color w:val="000000"/>
                <w:sz w:val="20"/>
                <w:szCs w:val="20"/>
              </w:rPr>
            </w:pPr>
            <w:r>
              <w:rPr>
                <w:color w:val="000000"/>
                <w:sz w:val="20"/>
                <w:szCs w:val="20"/>
              </w:rPr>
              <w:t>90,01</w:t>
            </w:r>
          </w:p>
        </w:tc>
        <w:tc>
          <w:tcPr>
            <w:tcW w:w="846" w:type="dxa"/>
            <w:noWrap/>
            <w:vAlign w:val="center"/>
          </w:tcPr>
          <w:p w14:paraId="7618909C">
            <w:pPr>
              <w:jc w:val="center"/>
              <w:rPr>
                <w:color w:val="000000"/>
                <w:sz w:val="20"/>
                <w:szCs w:val="20"/>
              </w:rPr>
            </w:pPr>
            <w:r>
              <w:rPr>
                <w:color w:val="000000"/>
                <w:sz w:val="20"/>
                <w:szCs w:val="20"/>
              </w:rPr>
              <w:t>1</w:t>
            </w:r>
          </w:p>
        </w:tc>
        <w:tc>
          <w:tcPr>
            <w:tcW w:w="2578" w:type="dxa"/>
            <w:noWrap/>
            <w:vAlign w:val="center"/>
          </w:tcPr>
          <w:p w14:paraId="277097C6">
            <w:pPr>
              <w:jc w:val="center"/>
              <w:rPr>
                <w:color w:val="000000"/>
                <w:sz w:val="20"/>
                <w:szCs w:val="20"/>
              </w:rPr>
            </w:pPr>
            <w:r>
              <w:rPr>
                <w:color w:val="000000"/>
                <w:sz w:val="20"/>
                <w:szCs w:val="20"/>
              </w:rPr>
              <w:t>Mặt cắt 3-3</w:t>
            </w:r>
          </w:p>
        </w:tc>
        <w:tc>
          <w:tcPr>
            <w:tcW w:w="2393" w:type="dxa"/>
            <w:noWrap/>
            <w:vAlign w:val="center"/>
          </w:tcPr>
          <w:p w14:paraId="257B5E5F">
            <w:pPr>
              <w:jc w:val="center"/>
              <w:rPr>
                <w:color w:val="000000"/>
                <w:sz w:val="20"/>
                <w:szCs w:val="20"/>
              </w:rPr>
            </w:pPr>
            <w:r>
              <w:rPr>
                <w:color w:val="000000"/>
                <w:sz w:val="20"/>
                <w:szCs w:val="20"/>
              </w:rPr>
              <w:t>Một mặt tiền, đối diện trường học</w:t>
            </w:r>
          </w:p>
        </w:tc>
        <w:tc>
          <w:tcPr>
            <w:tcW w:w="1198" w:type="dxa"/>
            <w:noWrap/>
            <w:vAlign w:val="center"/>
          </w:tcPr>
          <w:p w14:paraId="08E03B61">
            <w:pPr>
              <w:jc w:val="center"/>
              <w:rPr>
                <w:color w:val="000000"/>
                <w:sz w:val="20"/>
                <w:szCs w:val="20"/>
              </w:rPr>
            </w:pPr>
            <w:r>
              <w:rPr>
                <w:color w:val="000000"/>
                <w:sz w:val="20"/>
                <w:szCs w:val="20"/>
              </w:rPr>
              <w:t>8.400.000</w:t>
            </w:r>
          </w:p>
        </w:tc>
        <w:tc>
          <w:tcPr>
            <w:tcW w:w="1236" w:type="dxa"/>
            <w:noWrap/>
            <w:vAlign w:val="center"/>
          </w:tcPr>
          <w:p w14:paraId="1D52BC0D">
            <w:pPr>
              <w:jc w:val="center"/>
              <w:rPr>
                <w:color w:val="000000"/>
                <w:sz w:val="20"/>
                <w:szCs w:val="20"/>
              </w:rPr>
            </w:pPr>
          </w:p>
        </w:tc>
        <w:tc>
          <w:tcPr>
            <w:tcW w:w="1252" w:type="dxa"/>
            <w:noWrap/>
            <w:vAlign w:val="center"/>
          </w:tcPr>
          <w:p w14:paraId="0A0500F6">
            <w:pPr>
              <w:jc w:val="center"/>
              <w:rPr>
                <w:color w:val="000000"/>
                <w:sz w:val="20"/>
                <w:szCs w:val="20"/>
              </w:rPr>
            </w:pPr>
            <w:r>
              <w:rPr>
                <w:color w:val="000000"/>
                <w:sz w:val="20"/>
                <w:szCs w:val="20"/>
              </w:rPr>
              <w:t>8.400.000</w:t>
            </w:r>
          </w:p>
        </w:tc>
        <w:tc>
          <w:tcPr>
            <w:tcW w:w="1848" w:type="dxa"/>
            <w:noWrap/>
            <w:vAlign w:val="center"/>
          </w:tcPr>
          <w:p w14:paraId="7D02A6B8">
            <w:pPr>
              <w:jc w:val="center"/>
              <w:rPr>
                <w:color w:val="000000"/>
                <w:sz w:val="20"/>
                <w:szCs w:val="20"/>
              </w:rPr>
            </w:pPr>
            <w:r>
              <w:rPr>
                <w:color w:val="000000"/>
                <w:sz w:val="20"/>
                <w:szCs w:val="20"/>
              </w:rPr>
              <w:t>756.084.000</w:t>
            </w:r>
          </w:p>
        </w:tc>
      </w:tr>
      <w:tr w14:paraId="09B9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4086B0">
            <w:pPr>
              <w:jc w:val="center"/>
              <w:rPr>
                <w:b/>
                <w:bCs/>
                <w:color w:val="000000"/>
                <w:sz w:val="20"/>
                <w:szCs w:val="20"/>
              </w:rPr>
            </w:pPr>
            <w:r>
              <w:rPr>
                <w:b/>
                <w:bCs/>
                <w:color w:val="000000"/>
                <w:sz w:val="20"/>
                <w:szCs w:val="20"/>
              </w:rPr>
              <w:t>LK13</w:t>
            </w:r>
          </w:p>
        </w:tc>
        <w:tc>
          <w:tcPr>
            <w:tcW w:w="1802" w:type="dxa"/>
            <w:vAlign w:val="center"/>
          </w:tcPr>
          <w:p w14:paraId="0D7C0AC5">
            <w:pPr>
              <w:jc w:val="center"/>
              <w:rPr>
                <w:color w:val="000000"/>
                <w:sz w:val="20"/>
                <w:szCs w:val="20"/>
              </w:rPr>
            </w:pPr>
            <w:r>
              <w:rPr>
                <w:color w:val="000000"/>
                <w:sz w:val="20"/>
                <w:szCs w:val="20"/>
              </w:rPr>
              <w:t>LK13:08</w:t>
            </w:r>
          </w:p>
        </w:tc>
        <w:tc>
          <w:tcPr>
            <w:tcW w:w="1033" w:type="dxa"/>
            <w:noWrap/>
            <w:vAlign w:val="center"/>
          </w:tcPr>
          <w:p w14:paraId="6AB5F2B8">
            <w:pPr>
              <w:jc w:val="center"/>
              <w:rPr>
                <w:color w:val="000000"/>
                <w:sz w:val="20"/>
                <w:szCs w:val="20"/>
              </w:rPr>
            </w:pPr>
            <w:r>
              <w:rPr>
                <w:color w:val="000000"/>
                <w:sz w:val="20"/>
                <w:szCs w:val="20"/>
              </w:rPr>
              <w:t>90,01</w:t>
            </w:r>
          </w:p>
        </w:tc>
        <w:tc>
          <w:tcPr>
            <w:tcW w:w="846" w:type="dxa"/>
            <w:noWrap/>
            <w:vAlign w:val="center"/>
          </w:tcPr>
          <w:p w14:paraId="612D5DCD">
            <w:pPr>
              <w:jc w:val="center"/>
              <w:rPr>
                <w:color w:val="000000"/>
                <w:sz w:val="20"/>
                <w:szCs w:val="20"/>
              </w:rPr>
            </w:pPr>
            <w:r>
              <w:rPr>
                <w:color w:val="000000"/>
                <w:sz w:val="20"/>
                <w:szCs w:val="20"/>
              </w:rPr>
              <w:t>1</w:t>
            </w:r>
          </w:p>
        </w:tc>
        <w:tc>
          <w:tcPr>
            <w:tcW w:w="2578" w:type="dxa"/>
            <w:noWrap/>
            <w:vAlign w:val="center"/>
          </w:tcPr>
          <w:p w14:paraId="24745CF6">
            <w:pPr>
              <w:jc w:val="center"/>
              <w:rPr>
                <w:color w:val="000000"/>
                <w:sz w:val="20"/>
                <w:szCs w:val="20"/>
              </w:rPr>
            </w:pPr>
            <w:r>
              <w:rPr>
                <w:color w:val="000000"/>
                <w:sz w:val="20"/>
                <w:szCs w:val="20"/>
              </w:rPr>
              <w:t>Mặt cắt 3-3</w:t>
            </w:r>
          </w:p>
        </w:tc>
        <w:tc>
          <w:tcPr>
            <w:tcW w:w="2393" w:type="dxa"/>
            <w:noWrap/>
            <w:vAlign w:val="center"/>
          </w:tcPr>
          <w:p w14:paraId="1F1F1AE4">
            <w:pPr>
              <w:jc w:val="center"/>
              <w:rPr>
                <w:color w:val="000000"/>
                <w:sz w:val="20"/>
                <w:szCs w:val="20"/>
              </w:rPr>
            </w:pPr>
            <w:r>
              <w:rPr>
                <w:color w:val="000000"/>
                <w:sz w:val="20"/>
                <w:szCs w:val="20"/>
              </w:rPr>
              <w:t>Một mặt tiền, đối diện trường học</w:t>
            </w:r>
          </w:p>
        </w:tc>
        <w:tc>
          <w:tcPr>
            <w:tcW w:w="1198" w:type="dxa"/>
            <w:noWrap/>
            <w:vAlign w:val="center"/>
          </w:tcPr>
          <w:p w14:paraId="07576849">
            <w:pPr>
              <w:jc w:val="center"/>
              <w:rPr>
                <w:color w:val="000000"/>
                <w:sz w:val="20"/>
                <w:szCs w:val="20"/>
              </w:rPr>
            </w:pPr>
            <w:r>
              <w:rPr>
                <w:color w:val="000000"/>
                <w:sz w:val="20"/>
                <w:szCs w:val="20"/>
              </w:rPr>
              <w:t>8.400.000</w:t>
            </w:r>
          </w:p>
        </w:tc>
        <w:tc>
          <w:tcPr>
            <w:tcW w:w="1236" w:type="dxa"/>
            <w:noWrap/>
            <w:vAlign w:val="center"/>
          </w:tcPr>
          <w:p w14:paraId="3F4868A0">
            <w:pPr>
              <w:jc w:val="center"/>
              <w:rPr>
                <w:color w:val="000000"/>
                <w:sz w:val="20"/>
                <w:szCs w:val="20"/>
              </w:rPr>
            </w:pPr>
          </w:p>
        </w:tc>
        <w:tc>
          <w:tcPr>
            <w:tcW w:w="1252" w:type="dxa"/>
            <w:noWrap/>
            <w:vAlign w:val="center"/>
          </w:tcPr>
          <w:p w14:paraId="57E28D21">
            <w:pPr>
              <w:jc w:val="center"/>
              <w:rPr>
                <w:color w:val="000000"/>
                <w:sz w:val="20"/>
                <w:szCs w:val="20"/>
              </w:rPr>
            </w:pPr>
            <w:r>
              <w:rPr>
                <w:color w:val="000000"/>
                <w:sz w:val="20"/>
                <w:szCs w:val="20"/>
              </w:rPr>
              <w:t>8.400.000</w:t>
            </w:r>
          </w:p>
        </w:tc>
        <w:tc>
          <w:tcPr>
            <w:tcW w:w="1848" w:type="dxa"/>
            <w:noWrap/>
            <w:vAlign w:val="center"/>
          </w:tcPr>
          <w:p w14:paraId="294CFE03">
            <w:pPr>
              <w:jc w:val="center"/>
              <w:rPr>
                <w:color w:val="000000"/>
                <w:sz w:val="20"/>
                <w:szCs w:val="20"/>
              </w:rPr>
            </w:pPr>
            <w:r>
              <w:rPr>
                <w:color w:val="000000"/>
                <w:sz w:val="20"/>
                <w:szCs w:val="20"/>
              </w:rPr>
              <w:t>756.084.000</w:t>
            </w:r>
          </w:p>
        </w:tc>
      </w:tr>
      <w:tr w14:paraId="3F3E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B023747">
            <w:pPr>
              <w:jc w:val="center"/>
              <w:rPr>
                <w:b/>
                <w:bCs/>
                <w:color w:val="000000"/>
                <w:sz w:val="20"/>
                <w:szCs w:val="20"/>
              </w:rPr>
            </w:pPr>
            <w:r>
              <w:rPr>
                <w:b/>
                <w:bCs/>
                <w:color w:val="000000"/>
                <w:sz w:val="20"/>
                <w:szCs w:val="20"/>
              </w:rPr>
              <w:t>LK13</w:t>
            </w:r>
          </w:p>
        </w:tc>
        <w:tc>
          <w:tcPr>
            <w:tcW w:w="1802" w:type="dxa"/>
            <w:vAlign w:val="center"/>
          </w:tcPr>
          <w:p w14:paraId="0F0F714B">
            <w:pPr>
              <w:jc w:val="center"/>
              <w:rPr>
                <w:color w:val="000000"/>
                <w:sz w:val="20"/>
                <w:szCs w:val="20"/>
              </w:rPr>
            </w:pPr>
            <w:r>
              <w:rPr>
                <w:color w:val="000000"/>
                <w:sz w:val="20"/>
                <w:szCs w:val="20"/>
              </w:rPr>
              <w:t>LK13:09</w:t>
            </w:r>
          </w:p>
        </w:tc>
        <w:tc>
          <w:tcPr>
            <w:tcW w:w="1033" w:type="dxa"/>
            <w:noWrap/>
            <w:vAlign w:val="center"/>
          </w:tcPr>
          <w:p w14:paraId="5E79FD32">
            <w:pPr>
              <w:jc w:val="center"/>
              <w:rPr>
                <w:color w:val="000000"/>
                <w:sz w:val="20"/>
                <w:szCs w:val="20"/>
              </w:rPr>
            </w:pPr>
            <w:r>
              <w:rPr>
                <w:color w:val="000000"/>
                <w:sz w:val="20"/>
                <w:szCs w:val="20"/>
              </w:rPr>
              <w:t>83,37</w:t>
            </w:r>
          </w:p>
        </w:tc>
        <w:tc>
          <w:tcPr>
            <w:tcW w:w="846" w:type="dxa"/>
            <w:noWrap/>
            <w:vAlign w:val="center"/>
          </w:tcPr>
          <w:p w14:paraId="08F354CA">
            <w:pPr>
              <w:jc w:val="center"/>
              <w:rPr>
                <w:color w:val="000000"/>
                <w:sz w:val="20"/>
                <w:szCs w:val="20"/>
              </w:rPr>
            </w:pPr>
            <w:r>
              <w:rPr>
                <w:color w:val="000000"/>
                <w:sz w:val="20"/>
                <w:szCs w:val="20"/>
              </w:rPr>
              <w:t>1</w:t>
            </w:r>
          </w:p>
        </w:tc>
        <w:tc>
          <w:tcPr>
            <w:tcW w:w="2578" w:type="dxa"/>
            <w:noWrap/>
            <w:vAlign w:val="center"/>
          </w:tcPr>
          <w:p w14:paraId="7A0872E4">
            <w:pPr>
              <w:jc w:val="center"/>
              <w:rPr>
                <w:color w:val="000000"/>
                <w:sz w:val="20"/>
                <w:szCs w:val="20"/>
              </w:rPr>
            </w:pPr>
            <w:r>
              <w:rPr>
                <w:color w:val="000000"/>
                <w:sz w:val="20"/>
                <w:szCs w:val="20"/>
              </w:rPr>
              <w:t>Mặt cắt 3-3</w:t>
            </w:r>
          </w:p>
        </w:tc>
        <w:tc>
          <w:tcPr>
            <w:tcW w:w="2393" w:type="dxa"/>
            <w:noWrap/>
            <w:vAlign w:val="center"/>
          </w:tcPr>
          <w:p w14:paraId="312C86CC">
            <w:pPr>
              <w:jc w:val="center"/>
              <w:rPr>
                <w:color w:val="000000"/>
                <w:sz w:val="20"/>
                <w:szCs w:val="20"/>
              </w:rPr>
            </w:pPr>
            <w:r>
              <w:rPr>
                <w:color w:val="000000"/>
                <w:sz w:val="20"/>
                <w:szCs w:val="20"/>
              </w:rPr>
              <w:t>Một mặt tiền, đối diện trường học</w:t>
            </w:r>
          </w:p>
        </w:tc>
        <w:tc>
          <w:tcPr>
            <w:tcW w:w="1198" w:type="dxa"/>
            <w:noWrap/>
            <w:vAlign w:val="center"/>
          </w:tcPr>
          <w:p w14:paraId="143BFE3A">
            <w:pPr>
              <w:jc w:val="center"/>
              <w:rPr>
                <w:color w:val="000000"/>
                <w:sz w:val="20"/>
                <w:szCs w:val="20"/>
              </w:rPr>
            </w:pPr>
            <w:r>
              <w:rPr>
                <w:color w:val="000000"/>
                <w:sz w:val="20"/>
                <w:szCs w:val="20"/>
              </w:rPr>
              <w:t>8.400.000</w:t>
            </w:r>
          </w:p>
        </w:tc>
        <w:tc>
          <w:tcPr>
            <w:tcW w:w="1236" w:type="dxa"/>
            <w:noWrap/>
            <w:vAlign w:val="center"/>
          </w:tcPr>
          <w:p w14:paraId="5C94C0CC">
            <w:pPr>
              <w:jc w:val="center"/>
              <w:rPr>
                <w:color w:val="000000"/>
                <w:sz w:val="20"/>
                <w:szCs w:val="20"/>
              </w:rPr>
            </w:pPr>
          </w:p>
        </w:tc>
        <w:tc>
          <w:tcPr>
            <w:tcW w:w="1252" w:type="dxa"/>
            <w:noWrap/>
            <w:vAlign w:val="center"/>
          </w:tcPr>
          <w:p w14:paraId="51B5481F">
            <w:pPr>
              <w:jc w:val="center"/>
              <w:rPr>
                <w:color w:val="000000"/>
                <w:sz w:val="20"/>
                <w:szCs w:val="20"/>
              </w:rPr>
            </w:pPr>
            <w:r>
              <w:rPr>
                <w:color w:val="000000"/>
                <w:sz w:val="20"/>
                <w:szCs w:val="20"/>
              </w:rPr>
              <w:t>8.400.000</w:t>
            </w:r>
          </w:p>
        </w:tc>
        <w:tc>
          <w:tcPr>
            <w:tcW w:w="1848" w:type="dxa"/>
            <w:noWrap/>
            <w:vAlign w:val="center"/>
          </w:tcPr>
          <w:p w14:paraId="329CAA53">
            <w:pPr>
              <w:jc w:val="center"/>
              <w:rPr>
                <w:color w:val="000000"/>
                <w:sz w:val="20"/>
                <w:szCs w:val="20"/>
              </w:rPr>
            </w:pPr>
            <w:r>
              <w:rPr>
                <w:color w:val="000000"/>
                <w:sz w:val="20"/>
                <w:szCs w:val="20"/>
              </w:rPr>
              <w:t>700.308.000</w:t>
            </w:r>
          </w:p>
        </w:tc>
      </w:tr>
      <w:tr w14:paraId="3F92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E6BBB95">
            <w:pPr>
              <w:jc w:val="center"/>
              <w:rPr>
                <w:b/>
                <w:bCs/>
                <w:color w:val="000000"/>
                <w:sz w:val="20"/>
                <w:szCs w:val="20"/>
              </w:rPr>
            </w:pPr>
            <w:r>
              <w:rPr>
                <w:b/>
                <w:bCs/>
                <w:color w:val="000000"/>
                <w:sz w:val="20"/>
                <w:szCs w:val="20"/>
              </w:rPr>
              <w:t>LK15</w:t>
            </w:r>
          </w:p>
        </w:tc>
        <w:tc>
          <w:tcPr>
            <w:tcW w:w="1802" w:type="dxa"/>
            <w:vAlign w:val="center"/>
          </w:tcPr>
          <w:p w14:paraId="360847D4">
            <w:pPr>
              <w:jc w:val="center"/>
              <w:rPr>
                <w:color w:val="000000"/>
                <w:sz w:val="20"/>
                <w:szCs w:val="20"/>
              </w:rPr>
            </w:pPr>
            <w:r>
              <w:rPr>
                <w:color w:val="000000"/>
                <w:sz w:val="20"/>
                <w:szCs w:val="20"/>
              </w:rPr>
              <w:t>LK15:02</w:t>
            </w:r>
          </w:p>
        </w:tc>
        <w:tc>
          <w:tcPr>
            <w:tcW w:w="1033" w:type="dxa"/>
            <w:noWrap/>
            <w:vAlign w:val="center"/>
          </w:tcPr>
          <w:p w14:paraId="76B85DDD">
            <w:pPr>
              <w:jc w:val="center"/>
              <w:rPr>
                <w:color w:val="000000"/>
                <w:sz w:val="20"/>
                <w:szCs w:val="20"/>
              </w:rPr>
            </w:pPr>
            <w:r>
              <w:rPr>
                <w:color w:val="000000"/>
                <w:sz w:val="20"/>
                <w:szCs w:val="20"/>
              </w:rPr>
              <w:t>90,00</w:t>
            </w:r>
          </w:p>
        </w:tc>
        <w:tc>
          <w:tcPr>
            <w:tcW w:w="846" w:type="dxa"/>
            <w:noWrap/>
            <w:vAlign w:val="center"/>
          </w:tcPr>
          <w:p w14:paraId="19F5DCED">
            <w:pPr>
              <w:jc w:val="center"/>
              <w:rPr>
                <w:color w:val="000000"/>
                <w:sz w:val="20"/>
                <w:szCs w:val="20"/>
              </w:rPr>
            </w:pPr>
            <w:r>
              <w:rPr>
                <w:color w:val="000000"/>
                <w:sz w:val="20"/>
                <w:szCs w:val="20"/>
              </w:rPr>
              <w:t>1</w:t>
            </w:r>
          </w:p>
        </w:tc>
        <w:tc>
          <w:tcPr>
            <w:tcW w:w="2578" w:type="dxa"/>
            <w:noWrap/>
            <w:vAlign w:val="center"/>
          </w:tcPr>
          <w:p w14:paraId="08292A78">
            <w:pPr>
              <w:jc w:val="center"/>
              <w:rPr>
                <w:color w:val="000000"/>
                <w:sz w:val="20"/>
                <w:szCs w:val="20"/>
              </w:rPr>
            </w:pPr>
            <w:r>
              <w:rPr>
                <w:color w:val="000000"/>
                <w:sz w:val="20"/>
                <w:szCs w:val="20"/>
              </w:rPr>
              <w:t>Mặt cắt 3-3</w:t>
            </w:r>
          </w:p>
        </w:tc>
        <w:tc>
          <w:tcPr>
            <w:tcW w:w="2393" w:type="dxa"/>
            <w:noWrap/>
            <w:vAlign w:val="center"/>
          </w:tcPr>
          <w:p w14:paraId="2E4F042D">
            <w:pPr>
              <w:jc w:val="center"/>
              <w:rPr>
                <w:color w:val="000000"/>
                <w:sz w:val="20"/>
                <w:szCs w:val="20"/>
              </w:rPr>
            </w:pPr>
            <w:r>
              <w:rPr>
                <w:color w:val="000000"/>
                <w:sz w:val="20"/>
                <w:szCs w:val="20"/>
              </w:rPr>
              <w:t>Một mặt tiền, đối diện trường học</w:t>
            </w:r>
          </w:p>
        </w:tc>
        <w:tc>
          <w:tcPr>
            <w:tcW w:w="1198" w:type="dxa"/>
            <w:noWrap/>
            <w:vAlign w:val="center"/>
          </w:tcPr>
          <w:p w14:paraId="2860103C">
            <w:pPr>
              <w:jc w:val="center"/>
              <w:rPr>
                <w:color w:val="000000"/>
                <w:sz w:val="20"/>
                <w:szCs w:val="20"/>
              </w:rPr>
            </w:pPr>
            <w:r>
              <w:rPr>
                <w:color w:val="000000"/>
                <w:sz w:val="20"/>
                <w:szCs w:val="20"/>
              </w:rPr>
              <w:t>8.400.000</w:t>
            </w:r>
          </w:p>
        </w:tc>
        <w:tc>
          <w:tcPr>
            <w:tcW w:w="1236" w:type="dxa"/>
            <w:noWrap/>
            <w:vAlign w:val="center"/>
          </w:tcPr>
          <w:p w14:paraId="085B9821">
            <w:pPr>
              <w:jc w:val="center"/>
              <w:rPr>
                <w:color w:val="000000"/>
                <w:sz w:val="20"/>
                <w:szCs w:val="20"/>
              </w:rPr>
            </w:pPr>
          </w:p>
        </w:tc>
        <w:tc>
          <w:tcPr>
            <w:tcW w:w="1252" w:type="dxa"/>
            <w:noWrap/>
            <w:vAlign w:val="center"/>
          </w:tcPr>
          <w:p w14:paraId="3CE7E4A8">
            <w:pPr>
              <w:jc w:val="center"/>
              <w:rPr>
                <w:color w:val="000000"/>
                <w:sz w:val="20"/>
                <w:szCs w:val="20"/>
              </w:rPr>
            </w:pPr>
            <w:r>
              <w:rPr>
                <w:color w:val="000000"/>
                <w:sz w:val="20"/>
                <w:szCs w:val="20"/>
              </w:rPr>
              <w:t>8.400.000</w:t>
            </w:r>
          </w:p>
        </w:tc>
        <w:tc>
          <w:tcPr>
            <w:tcW w:w="1848" w:type="dxa"/>
            <w:noWrap/>
            <w:vAlign w:val="center"/>
          </w:tcPr>
          <w:p w14:paraId="273BE37D">
            <w:pPr>
              <w:jc w:val="center"/>
              <w:rPr>
                <w:color w:val="000000"/>
                <w:sz w:val="20"/>
                <w:szCs w:val="20"/>
              </w:rPr>
            </w:pPr>
            <w:r>
              <w:rPr>
                <w:color w:val="000000"/>
                <w:sz w:val="20"/>
                <w:szCs w:val="20"/>
              </w:rPr>
              <w:t>756.000.000</w:t>
            </w:r>
          </w:p>
        </w:tc>
      </w:tr>
      <w:tr w14:paraId="30C8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56C9A65">
            <w:pPr>
              <w:jc w:val="center"/>
              <w:rPr>
                <w:b/>
                <w:bCs/>
                <w:color w:val="000000"/>
                <w:sz w:val="20"/>
                <w:szCs w:val="20"/>
              </w:rPr>
            </w:pPr>
            <w:r>
              <w:rPr>
                <w:b/>
                <w:bCs/>
                <w:color w:val="000000"/>
                <w:sz w:val="20"/>
                <w:szCs w:val="20"/>
              </w:rPr>
              <w:t>LK15</w:t>
            </w:r>
          </w:p>
        </w:tc>
        <w:tc>
          <w:tcPr>
            <w:tcW w:w="1802" w:type="dxa"/>
            <w:vAlign w:val="center"/>
          </w:tcPr>
          <w:p w14:paraId="326BC146">
            <w:pPr>
              <w:jc w:val="center"/>
              <w:rPr>
                <w:color w:val="000000"/>
                <w:sz w:val="20"/>
                <w:szCs w:val="20"/>
              </w:rPr>
            </w:pPr>
            <w:r>
              <w:rPr>
                <w:color w:val="000000"/>
                <w:sz w:val="20"/>
                <w:szCs w:val="20"/>
              </w:rPr>
              <w:t>LK15:03</w:t>
            </w:r>
          </w:p>
        </w:tc>
        <w:tc>
          <w:tcPr>
            <w:tcW w:w="1033" w:type="dxa"/>
            <w:noWrap/>
            <w:vAlign w:val="center"/>
          </w:tcPr>
          <w:p w14:paraId="6AE27730">
            <w:pPr>
              <w:jc w:val="center"/>
              <w:rPr>
                <w:color w:val="000000"/>
                <w:sz w:val="20"/>
                <w:szCs w:val="20"/>
              </w:rPr>
            </w:pPr>
            <w:r>
              <w:rPr>
                <w:color w:val="000000"/>
                <w:sz w:val="20"/>
                <w:szCs w:val="20"/>
              </w:rPr>
              <w:t>90,00</w:t>
            </w:r>
          </w:p>
        </w:tc>
        <w:tc>
          <w:tcPr>
            <w:tcW w:w="846" w:type="dxa"/>
            <w:noWrap/>
            <w:vAlign w:val="center"/>
          </w:tcPr>
          <w:p w14:paraId="0D0367B3">
            <w:pPr>
              <w:jc w:val="center"/>
              <w:rPr>
                <w:color w:val="000000"/>
                <w:sz w:val="20"/>
                <w:szCs w:val="20"/>
              </w:rPr>
            </w:pPr>
            <w:r>
              <w:rPr>
                <w:color w:val="000000"/>
                <w:sz w:val="20"/>
                <w:szCs w:val="20"/>
              </w:rPr>
              <w:t>1</w:t>
            </w:r>
          </w:p>
        </w:tc>
        <w:tc>
          <w:tcPr>
            <w:tcW w:w="2578" w:type="dxa"/>
            <w:noWrap/>
            <w:vAlign w:val="center"/>
          </w:tcPr>
          <w:p w14:paraId="56ADE9DC">
            <w:pPr>
              <w:jc w:val="center"/>
              <w:rPr>
                <w:color w:val="000000"/>
                <w:sz w:val="20"/>
                <w:szCs w:val="20"/>
              </w:rPr>
            </w:pPr>
            <w:r>
              <w:rPr>
                <w:color w:val="000000"/>
                <w:sz w:val="20"/>
                <w:szCs w:val="20"/>
              </w:rPr>
              <w:t>Mặt cắt 3-3</w:t>
            </w:r>
          </w:p>
        </w:tc>
        <w:tc>
          <w:tcPr>
            <w:tcW w:w="2393" w:type="dxa"/>
            <w:noWrap/>
            <w:vAlign w:val="center"/>
          </w:tcPr>
          <w:p w14:paraId="68F180B9">
            <w:pPr>
              <w:jc w:val="center"/>
              <w:rPr>
                <w:color w:val="000000"/>
                <w:sz w:val="20"/>
                <w:szCs w:val="20"/>
              </w:rPr>
            </w:pPr>
            <w:r>
              <w:rPr>
                <w:color w:val="000000"/>
                <w:sz w:val="20"/>
                <w:szCs w:val="20"/>
              </w:rPr>
              <w:t>Một mặt tiền, đối diện trường học</w:t>
            </w:r>
          </w:p>
        </w:tc>
        <w:tc>
          <w:tcPr>
            <w:tcW w:w="1198" w:type="dxa"/>
            <w:noWrap/>
            <w:vAlign w:val="center"/>
          </w:tcPr>
          <w:p w14:paraId="13E43750">
            <w:pPr>
              <w:jc w:val="center"/>
              <w:rPr>
                <w:color w:val="000000"/>
                <w:sz w:val="20"/>
                <w:szCs w:val="20"/>
              </w:rPr>
            </w:pPr>
            <w:r>
              <w:rPr>
                <w:color w:val="000000"/>
                <w:sz w:val="20"/>
                <w:szCs w:val="20"/>
              </w:rPr>
              <w:t>8.400.000</w:t>
            </w:r>
          </w:p>
        </w:tc>
        <w:tc>
          <w:tcPr>
            <w:tcW w:w="1236" w:type="dxa"/>
            <w:noWrap/>
            <w:vAlign w:val="center"/>
          </w:tcPr>
          <w:p w14:paraId="352AC670">
            <w:pPr>
              <w:jc w:val="center"/>
              <w:rPr>
                <w:color w:val="000000"/>
                <w:sz w:val="20"/>
                <w:szCs w:val="20"/>
              </w:rPr>
            </w:pPr>
          </w:p>
        </w:tc>
        <w:tc>
          <w:tcPr>
            <w:tcW w:w="1252" w:type="dxa"/>
            <w:noWrap/>
            <w:vAlign w:val="center"/>
          </w:tcPr>
          <w:p w14:paraId="450B9060">
            <w:pPr>
              <w:jc w:val="center"/>
              <w:rPr>
                <w:color w:val="000000"/>
                <w:sz w:val="20"/>
                <w:szCs w:val="20"/>
              </w:rPr>
            </w:pPr>
            <w:r>
              <w:rPr>
                <w:color w:val="000000"/>
                <w:sz w:val="20"/>
                <w:szCs w:val="20"/>
              </w:rPr>
              <w:t>8.400.000</w:t>
            </w:r>
          </w:p>
        </w:tc>
        <w:tc>
          <w:tcPr>
            <w:tcW w:w="1848" w:type="dxa"/>
            <w:noWrap/>
            <w:vAlign w:val="center"/>
          </w:tcPr>
          <w:p w14:paraId="67AE9CF9">
            <w:pPr>
              <w:jc w:val="center"/>
              <w:rPr>
                <w:color w:val="000000"/>
                <w:sz w:val="20"/>
                <w:szCs w:val="20"/>
              </w:rPr>
            </w:pPr>
            <w:r>
              <w:rPr>
                <w:color w:val="000000"/>
                <w:sz w:val="20"/>
                <w:szCs w:val="20"/>
              </w:rPr>
              <w:t>756.000.000</w:t>
            </w:r>
          </w:p>
        </w:tc>
      </w:tr>
      <w:tr w14:paraId="69DF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4FCE5D5">
            <w:pPr>
              <w:jc w:val="center"/>
              <w:rPr>
                <w:b/>
                <w:bCs/>
                <w:color w:val="000000"/>
                <w:sz w:val="20"/>
                <w:szCs w:val="20"/>
              </w:rPr>
            </w:pPr>
            <w:r>
              <w:rPr>
                <w:b/>
                <w:bCs/>
                <w:color w:val="000000"/>
                <w:sz w:val="20"/>
                <w:szCs w:val="20"/>
              </w:rPr>
              <w:t>LK15</w:t>
            </w:r>
          </w:p>
        </w:tc>
        <w:tc>
          <w:tcPr>
            <w:tcW w:w="1802" w:type="dxa"/>
            <w:vAlign w:val="center"/>
          </w:tcPr>
          <w:p w14:paraId="1509EF2D">
            <w:pPr>
              <w:jc w:val="center"/>
              <w:rPr>
                <w:color w:val="000000"/>
                <w:sz w:val="20"/>
                <w:szCs w:val="20"/>
              </w:rPr>
            </w:pPr>
            <w:r>
              <w:rPr>
                <w:color w:val="000000"/>
                <w:sz w:val="20"/>
                <w:szCs w:val="20"/>
              </w:rPr>
              <w:t>LK15:04</w:t>
            </w:r>
          </w:p>
        </w:tc>
        <w:tc>
          <w:tcPr>
            <w:tcW w:w="1033" w:type="dxa"/>
            <w:noWrap/>
            <w:vAlign w:val="center"/>
          </w:tcPr>
          <w:p w14:paraId="3929602C">
            <w:pPr>
              <w:jc w:val="center"/>
              <w:rPr>
                <w:color w:val="000000"/>
                <w:sz w:val="20"/>
                <w:szCs w:val="20"/>
              </w:rPr>
            </w:pPr>
            <w:r>
              <w:rPr>
                <w:color w:val="000000"/>
                <w:sz w:val="20"/>
                <w:szCs w:val="20"/>
              </w:rPr>
              <w:t>90,00</w:t>
            </w:r>
          </w:p>
        </w:tc>
        <w:tc>
          <w:tcPr>
            <w:tcW w:w="846" w:type="dxa"/>
            <w:noWrap/>
            <w:vAlign w:val="center"/>
          </w:tcPr>
          <w:p w14:paraId="035B5520">
            <w:pPr>
              <w:jc w:val="center"/>
              <w:rPr>
                <w:color w:val="000000"/>
                <w:sz w:val="20"/>
                <w:szCs w:val="20"/>
              </w:rPr>
            </w:pPr>
            <w:r>
              <w:rPr>
                <w:color w:val="000000"/>
                <w:sz w:val="20"/>
                <w:szCs w:val="20"/>
              </w:rPr>
              <w:t>1</w:t>
            </w:r>
          </w:p>
        </w:tc>
        <w:tc>
          <w:tcPr>
            <w:tcW w:w="2578" w:type="dxa"/>
            <w:noWrap/>
            <w:vAlign w:val="center"/>
          </w:tcPr>
          <w:p w14:paraId="61DD57A2">
            <w:pPr>
              <w:jc w:val="center"/>
              <w:rPr>
                <w:color w:val="000000"/>
                <w:sz w:val="20"/>
                <w:szCs w:val="20"/>
              </w:rPr>
            </w:pPr>
            <w:r>
              <w:rPr>
                <w:color w:val="000000"/>
                <w:sz w:val="20"/>
                <w:szCs w:val="20"/>
              </w:rPr>
              <w:t>Mặt cắt 3-3</w:t>
            </w:r>
          </w:p>
        </w:tc>
        <w:tc>
          <w:tcPr>
            <w:tcW w:w="2393" w:type="dxa"/>
            <w:noWrap/>
            <w:vAlign w:val="center"/>
          </w:tcPr>
          <w:p w14:paraId="0377C5BC">
            <w:pPr>
              <w:jc w:val="center"/>
              <w:rPr>
                <w:color w:val="000000"/>
                <w:sz w:val="20"/>
                <w:szCs w:val="20"/>
              </w:rPr>
            </w:pPr>
            <w:r>
              <w:rPr>
                <w:color w:val="000000"/>
                <w:sz w:val="20"/>
                <w:szCs w:val="20"/>
              </w:rPr>
              <w:t>Một mặt tiền, đối diện trường học</w:t>
            </w:r>
          </w:p>
        </w:tc>
        <w:tc>
          <w:tcPr>
            <w:tcW w:w="1198" w:type="dxa"/>
            <w:noWrap/>
            <w:vAlign w:val="center"/>
          </w:tcPr>
          <w:p w14:paraId="24E975A5">
            <w:pPr>
              <w:jc w:val="center"/>
              <w:rPr>
                <w:color w:val="000000"/>
                <w:sz w:val="20"/>
                <w:szCs w:val="20"/>
              </w:rPr>
            </w:pPr>
            <w:r>
              <w:rPr>
                <w:color w:val="000000"/>
                <w:sz w:val="20"/>
                <w:szCs w:val="20"/>
              </w:rPr>
              <w:t>8.400.000</w:t>
            </w:r>
          </w:p>
        </w:tc>
        <w:tc>
          <w:tcPr>
            <w:tcW w:w="1236" w:type="dxa"/>
            <w:noWrap/>
            <w:vAlign w:val="center"/>
          </w:tcPr>
          <w:p w14:paraId="2B530532">
            <w:pPr>
              <w:jc w:val="center"/>
              <w:rPr>
                <w:color w:val="000000"/>
                <w:sz w:val="20"/>
                <w:szCs w:val="20"/>
              </w:rPr>
            </w:pPr>
          </w:p>
        </w:tc>
        <w:tc>
          <w:tcPr>
            <w:tcW w:w="1252" w:type="dxa"/>
            <w:noWrap/>
            <w:vAlign w:val="center"/>
          </w:tcPr>
          <w:p w14:paraId="2AFB293B">
            <w:pPr>
              <w:jc w:val="center"/>
              <w:rPr>
                <w:color w:val="000000"/>
                <w:sz w:val="20"/>
                <w:szCs w:val="20"/>
              </w:rPr>
            </w:pPr>
            <w:r>
              <w:rPr>
                <w:color w:val="000000"/>
                <w:sz w:val="20"/>
                <w:szCs w:val="20"/>
              </w:rPr>
              <w:t>8.400.000</w:t>
            </w:r>
          </w:p>
        </w:tc>
        <w:tc>
          <w:tcPr>
            <w:tcW w:w="1848" w:type="dxa"/>
            <w:noWrap/>
            <w:vAlign w:val="center"/>
          </w:tcPr>
          <w:p w14:paraId="00697CA7">
            <w:pPr>
              <w:jc w:val="center"/>
              <w:rPr>
                <w:color w:val="000000"/>
                <w:sz w:val="20"/>
                <w:szCs w:val="20"/>
              </w:rPr>
            </w:pPr>
            <w:r>
              <w:rPr>
                <w:color w:val="000000"/>
                <w:sz w:val="20"/>
                <w:szCs w:val="20"/>
              </w:rPr>
              <w:t>756.000.000</w:t>
            </w:r>
          </w:p>
        </w:tc>
      </w:tr>
      <w:tr w14:paraId="0B29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6D5C13B">
            <w:pPr>
              <w:jc w:val="center"/>
              <w:rPr>
                <w:b/>
                <w:bCs/>
                <w:color w:val="000000"/>
                <w:sz w:val="20"/>
                <w:szCs w:val="20"/>
              </w:rPr>
            </w:pPr>
            <w:r>
              <w:rPr>
                <w:b/>
                <w:bCs/>
                <w:color w:val="000000"/>
                <w:sz w:val="20"/>
                <w:szCs w:val="20"/>
              </w:rPr>
              <w:t>LK15</w:t>
            </w:r>
          </w:p>
        </w:tc>
        <w:tc>
          <w:tcPr>
            <w:tcW w:w="1802" w:type="dxa"/>
            <w:vAlign w:val="center"/>
          </w:tcPr>
          <w:p w14:paraId="1162C403">
            <w:pPr>
              <w:jc w:val="center"/>
              <w:rPr>
                <w:color w:val="000000"/>
                <w:sz w:val="20"/>
                <w:szCs w:val="20"/>
              </w:rPr>
            </w:pPr>
            <w:r>
              <w:rPr>
                <w:color w:val="000000"/>
                <w:sz w:val="20"/>
                <w:szCs w:val="20"/>
              </w:rPr>
              <w:t>LK15:05</w:t>
            </w:r>
          </w:p>
        </w:tc>
        <w:tc>
          <w:tcPr>
            <w:tcW w:w="1033" w:type="dxa"/>
            <w:noWrap/>
            <w:vAlign w:val="center"/>
          </w:tcPr>
          <w:p w14:paraId="150656D2">
            <w:pPr>
              <w:jc w:val="center"/>
              <w:rPr>
                <w:color w:val="000000"/>
                <w:sz w:val="20"/>
                <w:szCs w:val="20"/>
              </w:rPr>
            </w:pPr>
            <w:r>
              <w:rPr>
                <w:color w:val="000000"/>
                <w:sz w:val="20"/>
                <w:szCs w:val="20"/>
              </w:rPr>
              <w:t>90,00</w:t>
            </w:r>
          </w:p>
        </w:tc>
        <w:tc>
          <w:tcPr>
            <w:tcW w:w="846" w:type="dxa"/>
            <w:noWrap/>
            <w:vAlign w:val="center"/>
          </w:tcPr>
          <w:p w14:paraId="2F3D84D1">
            <w:pPr>
              <w:jc w:val="center"/>
              <w:rPr>
                <w:color w:val="000000"/>
                <w:sz w:val="20"/>
                <w:szCs w:val="20"/>
              </w:rPr>
            </w:pPr>
            <w:r>
              <w:rPr>
                <w:color w:val="000000"/>
                <w:sz w:val="20"/>
                <w:szCs w:val="20"/>
              </w:rPr>
              <w:t>1</w:t>
            </w:r>
          </w:p>
        </w:tc>
        <w:tc>
          <w:tcPr>
            <w:tcW w:w="2578" w:type="dxa"/>
            <w:noWrap/>
            <w:vAlign w:val="center"/>
          </w:tcPr>
          <w:p w14:paraId="661D0730">
            <w:pPr>
              <w:jc w:val="center"/>
              <w:rPr>
                <w:color w:val="000000"/>
                <w:sz w:val="20"/>
                <w:szCs w:val="20"/>
              </w:rPr>
            </w:pPr>
            <w:r>
              <w:rPr>
                <w:color w:val="000000"/>
                <w:sz w:val="20"/>
                <w:szCs w:val="20"/>
              </w:rPr>
              <w:t>Mặt cắt 3-3</w:t>
            </w:r>
          </w:p>
        </w:tc>
        <w:tc>
          <w:tcPr>
            <w:tcW w:w="2393" w:type="dxa"/>
            <w:noWrap/>
            <w:vAlign w:val="center"/>
          </w:tcPr>
          <w:p w14:paraId="02A99E4C">
            <w:pPr>
              <w:jc w:val="center"/>
              <w:rPr>
                <w:color w:val="000000"/>
                <w:sz w:val="20"/>
                <w:szCs w:val="20"/>
              </w:rPr>
            </w:pPr>
            <w:r>
              <w:rPr>
                <w:color w:val="000000"/>
                <w:sz w:val="20"/>
                <w:szCs w:val="20"/>
              </w:rPr>
              <w:t>Một mặt tiền, đối diện trường học</w:t>
            </w:r>
          </w:p>
        </w:tc>
        <w:tc>
          <w:tcPr>
            <w:tcW w:w="1198" w:type="dxa"/>
            <w:noWrap/>
            <w:vAlign w:val="center"/>
          </w:tcPr>
          <w:p w14:paraId="402A85A1">
            <w:pPr>
              <w:jc w:val="center"/>
              <w:rPr>
                <w:color w:val="000000"/>
                <w:sz w:val="20"/>
                <w:szCs w:val="20"/>
              </w:rPr>
            </w:pPr>
            <w:r>
              <w:rPr>
                <w:color w:val="000000"/>
                <w:sz w:val="20"/>
                <w:szCs w:val="20"/>
              </w:rPr>
              <w:t>8.400.000</w:t>
            </w:r>
          </w:p>
        </w:tc>
        <w:tc>
          <w:tcPr>
            <w:tcW w:w="1236" w:type="dxa"/>
            <w:noWrap/>
            <w:vAlign w:val="center"/>
          </w:tcPr>
          <w:p w14:paraId="3A5537ED">
            <w:pPr>
              <w:jc w:val="center"/>
              <w:rPr>
                <w:color w:val="000000"/>
                <w:sz w:val="20"/>
                <w:szCs w:val="20"/>
              </w:rPr>
            </w:pPr>
          </w:p>
        </w:tc>
        <w:tc>
          <w:tcPr>
            <w:tcW w:w="1252" w:type="dxa"/>
            <w:noWrap/>
            <w:vAlign w:val="center"/>
          </w:tcPr>
          <w:p w14:paraId="724F3FAF">
            <w:pPr>
              <w:jc w:val="center"/>
              <w:rPr>
                <w:color w:val="000000"/>
                <w:sz w:val="20"/>
                <w:szCs w:val="20"/>
              </w:rPr>
            </w:pPr>
            <w:r>
              <w:rPr>
                <w:color w:val="000000"/>
                <w:sz w:val="20"/>
                <w:szCs w:val="20"/>
              </w:rPr>
              <w:t>8.400.000</w:t>
            </w:r>
          </w:p>
        </w:tc>
        <w:tc>
          <w:tcPr>
            <w:tcW w:w="1848" w:type="dxa"/>
            <w:noWrap/>
            <w:vAlign w:val="center"/>
          </w:tcPr>
          <w:p w14:paraId="654B0C71">
            <w:pPr>
              <w:jc w:val="center"/>
              <w:rPr>
                <w:color w:val="000000"/>
                <w:sz w:val="20"/>
                <w:szCs w:val="20"/>
              </w:rPr>
            </w:pPr>
            <w:r>
              <w:rPr>
                <w:color w:val="000000"/>
                <w:sz w:val="20"/>
                <w:szCs w:val="20"/>
              </w:rPr>
              <w:t>756.000.000</w:t>
            </w:r>
          </w:p>
        </w:tc>
      </w:tr>
      <w:tr w14:paraId="2335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592C3D3">
            <w:pPr>
              <w:jc w:val="center"/>
              <w:rPr>
                <w:b/>
                <w:bCs/>
                <w:color w:val="000000"/>
                <w:sz w:val="20"/>
                <w:szCs w:val="20"/>
              </w:rPr>
            </w:pPr>
            <w:r>
              <w:rPr>
                <w:b/>
                <w:bCs/>
                <w:color w:val="000000"/>
                <w:sz w:val="20"/>
                <w:szCs w:val="20"/>
              </w:rPr>
              <w:t>LK15</w:t>
            </w:r>
          </w:p>
        </w:tc>
        <w:tc>
          <w:tcPr>
            <w:tcW w:w="1802" w:type="dxa"/>
            <w:vAlign w:val="center"/>
          </w:tcPr>
          <w:p w14:paraId="2A6F612D">
            <w:pPr>
              <w:jc w:val="center"/>
              <w:rPr>
                <w:color w:val="000000"/>
                <w:sz w:val="20"/>
                <w:szCs w:val="20"/>
              </w:rPr>
            </w:pPr>
            <w:r>
              <w:rPr>
                <w:color w:val="000000"/>
                <w:sz w:val="20"/>
                <w:szCs w:val="20"/>
              </w:rPr>
              <w:t>LK15:06</w:t>
            </w:r>
          </w:p>
        </w:tc>
        <w:tc>
          <w:tcPr>
            <w:tcW w:w="1033" w:type="dxa"/>
            <w:noWrap/>
            <w:vAlign w:val="center"/>
          </w:tcPr>
          <w:p w14:paraId="0DEFC7EE">
            <w:pPr>
              <w:jc w:val="center"/>
              <w:rPr>
                <w:color w:val="000000"/>
                <w:sz w:val="20"/>
                <w:szCs w:val="20"/>
              </w:rPr>
            </w:pPr>
            <w:r>
              <w:rPr>
                <w:color w:val="000000"/>
                <w:sz w:val="20"/>
                <w:szCs w:val="20"/>
              </w:rPr>
              <w:t>90,00</w:t>
            </w:r>
          </w:p>
        </w:tc>
        <w:tc>
          <w:tcPr>
            <w:tcW w:w="846" w:type="dxa"/>
            <w:noWrap/>
            <w:vAlign w:val="center"/>
          </w:tcPr>
          <w:p w14:paraId="42D59B00">
            <w:pPr>
              <w:jc w:val="center"/>
              <w:rPr>
                <w:color w:val="000000"/>
                <w:sz w:val="20"/>
                <w:szCs w:val="20"/>
              </w:rPr>
            </w:pPr>
            <w:r>
              <w:rPr>
                <w:color w:val="000000"/>
                <w:sz w:val="20"/>
                <w:szCs w:val="20"/>
              </w:rPr>
              <w:t>1</w:t>
            </w:r>
          </w:p>
        </w:tc>
        <w:tc>
          <w:tcPr>
            <w:tcW w:w="2578" w:type="dxa"/>
            <w:noWrap/>
            <w:vAlign w:val="center"/>
          </w:tcPr>
          <w:p w14:paraId="17A828EB">
            <w:pPr>
              <w:jc w:val="center"/>
              <w:rPr>
                <w:color w:val="000000"/>
                <w:sz w:val="20"/>
                <w:szCs w:val="20"/>
              </w:rPr>
            </w:pPr>
            <w:r>
              <w:rPr>
                <w:color w:val="000000"/>
                <w:sz w:val="20"/>
                <w:szCs w:val="20"/>
              </w:rPr>
              <w:t>Mặt cắt 3-3</w:t>
            </w:r>
          </w:p>
        </w:tc>
        <w:tc>
          <w:tcPr>
            <w:tcW w:w="2393" w:type="dxa"/>
            <w:noWrap/>
            <w:vAlign w:val="center"/>
          </w:tcPr>
          <w:p w14:paraId="293671A6">
            <w:pPr>
              <w:jc w:val="center"/>
              <w:rPr>
                <w:color w:val="000000"/>
                <w:sz w:val="20"/>
                <w:szCs w:val="20"/>
              </w:rPr>
            </w:pPr>
            <w:r>
              <w:rPr>
                <w:color w:val="000000"/>
                <w:sz w:val="20"/>
                <w:szCs w:val="20"/>
              </w:rPr>
              <w:t>Một mặt tiền, đối diện trường học</w:t>
            </w:r>
          </w:p>
        </w:tc>
        <w:tc>
          <w:tcPr>
            <w:tcW w:w="1198" w:type="dxa"/>
            <w:noWrap/>
            <w:vAlign w:val="center"/>
          </w:tcPr>
          <w:p w14:paraId="28B2C293">
            <w:pPr>
              <w:jc w:val="center"/>
              <w:rPr>
                <w:color w:val="000000"/>
                <w:sz w:val="20"/>
                <w:szCs w:val="20"/>
              </w:rPr>
            </w:pPr>
            <w:r>
              <w:rPr>
                <w:color w:val="000000"/>
                <w:sz w:val="20"/>
                <w:szCs w:val="20"/>
              </w:rPr>
              <w:t>8.400.000</w:t>
            </w:r>
          </w:p>
        </w:tc>
        <w:tc>
          <w:tcPr>
            <w:tcW w:w="1236" w:type="dxa"/>
            <w:noWrap/>
            <w:vAlign w:val="center"/>
          </w:tcPr>
          <w:p w14:paraId="6CDF5000">
            <w:pPr>
              <w:jc w:val="center"/>
              <w:rPr>
                <w:color w:val="000000"/>
                <w:sz w:val="20"/>
                <w:szCs w:val="20"/>
              </w:rPr>
            </w:pPr>
          </w:p>
        </w:tc>
        <w:tc>
          <w:tcPr>
            <w:tcW w:w="1252" w:type="dxa"/>
            <w:noWrap/>
            <w:vAlign w:val="center"/>
          </w:tcPr>
          <w:p w14:paraId="4E0CFE98">
            <w:pPr>
              <w:jc w:val="center"/>
              <w:rPr>
                <w:color w:val="000000"/>
                <w:sz w:val="20"/>
                <w:szCs w:val="20"/>
              </w:rPr>
            </w:pPr>
            <w:r>
              <w:rPr>
                <w:color w:val="000000"/>
                <w:sz w:val="20"/>
                <w:szCs w:val="20"/>
              </w:rPr>
              <w:t>8.400.000</w:t>
            </w:r>
          </w:p>
        </w:tc>
        <w:tc>
          <w:tcPr>
            <w:tcW w:w="1848" w:type="dxa"/>
            <w:noWrap/>
            <w:vAlign w:val="center"/>
          </w:tcPr>
          <w:p w14:paraId="638FEAF4">
            <w:pPr>
              <w:jc w:val="center"/>
              <w:rPr>
                <w:color w:val="000000"/>
                <w:sz w:val="20"/>
                <w:szCs w:val="20"/>
              </w:rPr>
            </w:pPr>
            <w:r>
              <w:rPr>
                <w:color w:val="000000"/>
                <w:sz w:val="20"/>
                <w:szCs w:val="20"/>
              </w:rPr>
              <w:t>756.000.000</w:t>
            </w:r>
          </w:p>
        </w:tc>
      </w:tr>
      <w:tr w14:paraId="4726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4E58CF7">
            <w:pPr>
              <w:jc w:val="center"/>
              <w:rPr>
                <w:b/>
                <w:bCs/>
                <w:color w:val="000000"/>
                <w:sz w:val="20"/>
                <w:szCs w:val="20"/>
              </w:rPr>
            </w:pPr>
            <w:r>
              <w:rPr>
                <w:b/>
                <w:bCs/>
                <w:color w:val="000000"/>
                <w:sz w:val="20"/>
                <w:szCs w:val="20"/>
              </w:rPr>
              <w:t>LK15</w:t>
            </w:r>
          </w:p>
        </w:tc>
        <w:tc>
          <w:tcPr>
            <w:tcW w:w="1802" w:type="dxa"/>
            <w:vAlign w:val="center"/>
          </w:tcPr>
          <w:p w14:paraId="055DC171">
            <w:pPr>
              <w:jc w:val="center"/>
              <w:rPr>
                <w:color w:val="000000"/>
                <w:sz w:val="20"/>
                <w:szCs w:val="20"/>
              </w:rPr>
            </w:pPr>
            <w:r>
              <w:rPr>
                <w:color w:val="000000"/>
                <w:sz w:val="20"/>
                <w:szCs w:val="20"/>
              </w:rPr>
              <w:t>LK15:07</w:t>
            </w:r>
          </w:p>
        </w:tc>
        <w:tc>
          <w:tcPr>
            <w:tcW w:w="1033" w:type="dxa"/>
            <w:noWrap/>
            <w:vAlign w:val="center"/>
          </w:tcPr>
          <w:p w14:paraId="78D2BA21">
            <w:pPr>
              <w:jc w:val="center"/>
              <w:rPr>
                <w:color w:val="000000"/>
                <w:sz w:val="20"/>
                <w:szCs w:val="20"/>
              </w:rPr>
            </w:pPr>
            <w:r>
              <w:rPr>
                <w:color w:val="000000"/>
                <w:sz w:val="20"/>
                <w:szCs w:val="20"/>
              </w:rPr>
              <w:t>90,00</w:t>
            </w:r>
          </w:p>
        </w:tc>
        <w:tc>
          <w:tcPr>
            <w:tcW w:w="846" w:type="dxa"/>
            <w:noWrap/>
            <w:vAlign w:val="center"/>
          </w:tcPr>
          <w:p w14:paraId="473B7907">
            <w:pPr>
              <w:jc w:val="center"/>
              <w:rPr>
                <w:color w:val="000000"/>
                <w:sz w:val="20"/>
                <w:szCs w:val="20"/>
              </w:rPr>
            </w:pPr>
            <w:r>
              <w:rPr>
                <w:color w:val="000000"/>
                <w:sz w:val="20"/>
                <w:szCs w:val="20"/>
              </w:rPr>
              <w:t>1</w:t>
            </w:r>
          </w:p>
        </w:tc>
        <w:tc>
          <w:tcPr>
            <w:tcW w:w="2578" w:type="dxa"/>
            <w:noWrap/>
            <w:vAlign w:val="center"/>
          </w:tcPr>
          <w:p w14:paraId="4F9ED0E4">
            <w:pPr>
              <w:jc w:val="center"/>
              <w:rPr>
                <w:color w:val="000000"/>
                <w:sz w:val="20"/>
                <w:szCs w:val="20"/>
              </w:rPr>
            </w:pPr>
            <w:r>
              <w:rPr>
                <w:color w:val="000000"/>
                <w:sz w:val="20"/>
                <w:szCs w:val="20"/>
              </w:rPr>
              <w:t>Mặt cắt 3-3</w:t>
            </w:r>
          </w:p>
        </w:tc>
        <w:tc>
          <w:tcPr>
            <w:tcW w:w="2393" w:type="dxa"/>
            <w:noWrap/>
            <w:vAlign w:val="center"/>
          </w:tcPr>
          <w:p w14:paraId="1AC0A262">
            <w:pPr>
              <w:jc w:val="center"/>
              <w:rPr>
                <w:color w:val="000000"/>
                <w:sz w:val="20"/>
                <w:szCs w:val="20"/>
              </w:rPr>
            </w:pPr>
            <w:r>
              <w:rPr>
                <w:color w:val="000000"/>
                <w:sz w:val="20"/>
                <w:szCs w:val="20"/>
              </w:rPr>
              <w:t>Một mặt tiền, đối diện trường học</w:t>
            </w:r>
          </w:p>
        </w:tc>
        <w:tc>
          <w:tcPr>
            <w:tcW w:w="1198" w:type="dxa"/>
            <w:noWrap/>
            <w:vAlign w:val="center"/>
          </w:tcPr>
          <w:p w14:paraId="6B223E20">
            <w:pPr>
              <w:jc w:val="center"/>
              <w:rPr>
                <w:color w:val="000000"/>
                <w:sz w:val="20"/>
                <w:szCs w:val="20"/>
              </w:rPr>
            </w:pPr>
            <w:r>
              <w:rPr>
                <w:color w:val="000000"/>
                <w:sz w:val="20"/>
                <w:szCs w:val="20"/>
              </w:rPr>
              <w:t>8.400.000</w:t>
            </w:r>
          </w:p>
        </w:tc>
        <w:tc>
          <w:tcPr>
            <w:tcW w:w="1236" w:type="dxa"/>
            <w:noWrap/>
            <w:vAlign w:val="center"/>
          </w:tcPr>
          <w:p w14:paraId="1BB63821">
            <w:pPr>
              <w:jc w:val="center"/>
              <w:rPr>
                <w:color w:val="000000"/>
                <w:sz w:val="20"/>
                <w:szCs w:val="20"/>
              </w:rPr>
            </w:pPr>
          </w:p>
        </w:tc>
        <w:tc>
          <w:tcPr>
            <w:tcW w:w="1252" w:type="dxa"/>
            <w:noWrap/>
            <w:vAlign w:val="center"/>
          </w:tcPr>
          <w:p w14:paraId="3894100C">
            <w:pPr>
              <w:jc w:val="center"/>
              <w:rPr>
                <w:color w:val="000000"/>
                <w:sz w:val="20"/>
                <w:szCs w:val="20"/>
              </w:rPr>
            </w:pPr>
            <w:r>
              <w:rPr>
                <w:color w:val="000000"/>
                <w:sz w:val="20"/>
                <w:szCs w:val="20"/>
              </w:rPr>
              <w:t>8.400.000</w:t>
            </w:r>
          </w:p>
        </w:tc>
        <w:tc>
          <w:tcPr>
            <w:tcW w:w="1848" w:type="dxa"/>
            <w:noWrap/>
            <w:vAlign w:val="center"/>
          </w:tcPr>
          <w:p w14:paraId="23386FD5">
            <w:pPr>
              <w:jc w:val="center"/>
              <w:rPr>
                <w:color w:val="000000"/>
                <w:sz w:val="20"/>
                <w:szCs w:val="20"/>
              </w:rPr>
            </w:pPr>
            <w:r>
              <w:rPr>
                <w:color w:val="000000"/>
                <w:sz w:val="20"/>
                <w:szCs w:val="20"/>
              </w:rPr>
              <w:t>756.000.000</w:t>
            </w:r>
          </w:p>
        </w:tc>
      </w:tr>
      <w:tr w14:paraId="79B7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E18D936">
            <w:pPr>
              <w:jc w:val="center"/>
              <w:rPr>
                <w:b/>
                <w:bCs/>
                <w:color w:val="000000"/>
                <w:sz w:val="20"/>
                <w:szCs w:val="20"/>
              </w:rPr>
            </w:pPr>
            <w:r>
              <w:rPr>
                <w:b/>
                <w:bCs/>
                <w:color w:val="000000"/>
                <w:sz w:val="20"/>
                <w:szCs w:val="20"/>
              </w:rPr>
              <w:t>LK15</w:t>
            </w:r>
          </w:p>
        </w:tc>
        <w:tc>
          <w:tcPr>
            <w:tcW w:w="1802" w:type="dxa"/>
            <w:vAlign w:val="center"/>
          </w:tcPr>
          <w:p w14:paraId="5A51C15C">
            <w:pPr>
              <w:jc w:val="center"/>
              <w:rPr>
                <w:color w:val="000000"/>
                <w:sz w:val="20"/>
                <w:szCs w:val="20"/>
              </w:rPr>
            </w:pPr>
            <w:r>
              <w:rPr>
                <w:color w:val="000000"/>
                <w:sz w:val="20"/>
                <w:szCs w:val="20"/>
              </w:rPr>
              <w:t>LK15:08</w:t>
            </w:r>
          </w:p>
        </w:tc>
        <w:tc>
          <w:tcPr>
            <w:tcW w:w="1033" w:type="dxa"/>
            <w:noWrap/>
            <w:vAlign w:val="center"/>
          </w:tcPr>
          <w:p w14:paraId="0D73D0F9">
            <w:pPr>
              <w:jc w:val="center"/>
              <w:rPr>
                <w:color w:val="000000"/>
                <w:sz w:val="20"/>
                <w:szCs w:val="20"/>
              </w:rPr>
            </w:pPr>
            <w:r>
              <w:rPr>
                <w:color w:val="000000"/>
                <w:sz w:val="20"/>
                <w:szCs w:val="20"/>
              </w:rPr>
              <w:t>90,00</w:t>
            </w:r>
          </w:p>
        </w:tc>
        <w:tc>
          <w:tcPr>
            <w:tcW w:w="846" w:type="dxa"/>
            <w:noWrap/>
            <w:vAlign w:val="center"/>
          </w:tcPr>
          <w:p w14:paraId="2F249F2C">
            <w:pPr>
              <w:jc w:val="center"/>
              <w:rPr>
                <w:color w:val="000000"/>
                <w:sz w:val="20"/>
                <w:szCs w:val="20"/>
              </w:rPr>
            </w:pPr>
            <w:r>
              <w:rPr>
                <w:color w:val="000000"/>
                <w:sz w:val="20"/>
                <w:szCs w:val="20"/>
              </w:rPr>
              <w:t>1</w:t>
            </w:r>
          </w:p>
        </w:tc>
        <w:tc>
          <w:tcPr>
            <w:tcW w:w="2578" w:type="dxa"/>
            <w:noWrap/>
            <w:vAlign w:val="center"/>
          </w:tcPr>
          <w:p w14:paraId="2AFB3619">
            <w:pPr>
              <w:jc w:val="center"/>
              <w:rPr>
                <w:color w:val="000000"/>
                <w:sz w:val="20"/>
                <w:szCs w:val="20"/>
              </w:rPr>
            </w:pPr>
            <w:r>
              <w:rPr>
                <w:color w:val="000000"/>
                <w:sz w:val="20"/>
                <w:szCs w:val="20"/>
              </w:rPr>
              <w:t>Mặt cắt 3-3</w:t>
            </w:r>
          </w:p>
        </w:tc>
        <w:tc>
          <w:tcPr>
            <w:tcW w:w="2393" w:type="dxa"/>
            <w:noWrap/>
            <w:vAlign w:val="center"/>
          </w:tcPr>
          <w:p w14:paraId="02573221">
            <w:pPr>
              <w:jc w:val="center"/>
              <w:rPr>
                <w:color w:val="000000"/>
                <w:sz w:val="20"/>
                <w:szCs w:val="20"/>
              </w:rPr>
            </w:pPr>
            <w:r>
              <w:rPr>
                <w:color w:val="000000"/>
                <w:sz w:val="20"/>
                <w:szCs w:val="20"/>
              </w:rPr>
              <w:t>Một mặt tiền, đối diện trường học</w:t>
            </w:r>
          </w:p>
        </w:tc>
        <w:tc>
          <w:tcPr>
            <w:tcW w:w="1198" w:type="dxa"/>
            <w:noWrap/>
            <w:vAlign w:val="center"/>
          </w:tcPr>
          <w:p w14:paraId="662AD5AE">
            <w:pPr>
              <w:jc w:val="center"/>
              <w:rPr>
                <w:color w:val="000000"/>
                <w:sz w:val="20"/>
                <w:szCs w:val="20"/>
              </w:rPr>
            </w:pPr>
            <w:r>
              <w:rPr>
                <w:color w:val="000000"/>
                <w:sz w:val="20"/>
                <w:szCs w:val="20"/>
              </w:rPr>
              <w:t>8.400.000</w:t>
            </w:r>
          </w:p>
        </w:tc>
        <w:tc>
          <w:tcPr>
            <w:tcW w:w="1236" w:type="dxa"/>
            <w:noWrap/>
            <w:vAlign w:val="center"/>
          </w:tcPr>
          <w:p w14:paraId="14546F2C">
            <w:pPr>
              <w:jc w:val="center"/>
              <w:rPr>
                <w:color w:val="000000"/>
                <w:sz w:val="20"/>
                <w:szCs w:val="20"/>
              </w:rPr>
            </w:pPr>
          </w:p>
        </w:tc>
        <w:tc>
          <w:tcPr>
            <w:tcW w:w="1252" w:type="dxa"/>
            <w:noWrap/>
            <w:vAlign w:val="center"/>
          </w:tcPr>
          <w:p w14:paraId="0639B83D">
            <w:pPr>
              <w:jc w:val="center"/>
              <w:rPr>
                <w:color w:val="000000"/>
                <w:sz w:val="20"/>
                <w:szCs w:val="20"/>
              </w:rPr>
            </w:pPr>
            <w:r>
              <w:rPr>
                <w:color w:val="000000"/>
                <w:sz w:val="20"/>
                <w:szCs w:val="20"/>
              </w:rPr>
              <w:t>8.400.000</w:t>
            </w:r>
          </w:p>
        </w:tc>
        <w:tc>
          <w:tcPr>
            <w:tcW w:w="1848" w:type="dxa"/>
            <w:noWrap/>
            <w:vAlign w:val="center"/>
          </w:tcPr>
          <w:p w14:paraId="6F5DBA0C">
            <w:pPr>
              <w:jc w:val="center"/>
              <w:rPr>
                <w:color w:val="000000"/>
                <w:sz w:val="20"/>
                <w:szCs w:val="20"/>
              </w:rPr>
            </w:pPr>
            <w:r>
              <w:rPr>
                <w:color w:val="000000"/>
                <w:sz w:val="20"/>
                <w:szCs w:val="20"/>
              </w:rPr>
              <w:t>756.000.000</w:t>
            </w:r>
          </w:p>
        </w:tc>
      </w:tr>
      <w:tr w14:paraId="2FE0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AE749BC">
            <w:pPr>
              <w:jc w:val="center"/>
              <w:rPr>
                <w:b/>
                <w:bCs/>
                <w:color w:val="000000"/>
                <w:sz w:val="20"/>
                <w:szCs w:val="20"/>
              </w:rPr>
            </w:pPr>
            <w:r>
              <w:rPr>
                <w:b/>
                <w:bCs/>
                <w:color w:val="000000"/>
                <w:sz w:val="20"/>
                <w:szCs w:val="20"/>
              </w:rPr>
              <w:t>LK15</w:t>
            </w:r>
          </w:p>
        </w:tc>
        <w:tc>
          <w:tcPr>
            <w:tcW w:w="1802" w:type="dxa"/>
            <w:vAlign w:val="center"/>
          </w:tcPr>
          <w:p w14:paraId="66046DE9">
            <w:pPr>
              <w:jc w:val="center"/>
              <w:rPr>
                <w:color w:val="000000"/>
                <w:sz w:val="20"/>
                <w:szCs w:val="20"/>
              </w:rPr>
            </w:pPr>
            <w:r>
              <w:rPr>
                <w:color w:val="000000"/>
                <w:sz w:val="20"/>
                <w:szCs w:val="20"/>
              </w:rPr>
              <w:t>LK15:09</w:t>
            </w:r>
          </w:p>
        </w:tc>
        <w:tc>
          <w:tcPr>
            <w:tcW w:w="1033" w:type="dxa"/>
            <w:noWrap/>
            <w:vAlign w:val="center"/>
          </w:tcPr>
          <w:p w14:paraId="52F981D3">
            <w:pPr>
              <w:jc w:val="center"/>
              <w:rPr>
                <w:color w:val="000000"/>
                <w:sz w:val="20"/>
                <w:szCs w:val="20"/>
              </w:rPr>
            </w:pPr>
            <w:r>
              <w:rPr>
                <w:color w:val="000000"/>
                <w:sz w:val="20"/>
                <w:szCs w:val="20"/>
              </w:rPr>
              <w:t>90,00</w:t>
            </w:r>
          </w:p>
        </w:tc>
        <w:tc>
          <w:tcPr>
            <w:tcW w:w="846" w:type="dxa"/>
            <w:noWrap/>
            <w:vAlign w:val="center"/>
          </w:tcPr>
          <w:p w14:paraId="48F650FF">
            <w:pPr>
              <w:jc w:val="center"/>
              <w:rPr>
                <w:color w:val="000000"/>
                <w:sz w:val="20"/>
                <w:szCs w:val="20"/>
              </w:rPr>
            </w:pPr>
            <w:r>
              <w:rPr>
                <w:color w:val="000000"/>
                <w:sz w:val="20"/>
                <w:szCs w:val="20"/>
              </w:rPr>
              <w:t>1</w:t>
            </w:r>
          </w:p>
        </w:tc>
        <w:tc>
          <w:tcPr>
            <w:tcW w:w="2578" w:type="dxa"/>
            <w:noWrap/>
            <w:vAlign w:val="center"/>
          </w:tcPr>
          <w:p w14:paraId="2C8E1C35">
            <w:pPr>
              <w:jc w:val="center"/>
              <w:rPr>
                <w:color w:val="000000"/>
                <w:sz w:val="20"/>
                <w:szCs w:val="20"/>
              </w:rPr>
            </w:pPr>
            <w:r>
              <w:rPr>
                <w:color w:val="000000"/>
                <w:sz w:val="20"/>
                <w:szCs w:val="20"/>
              </w:rPr>
              <w:t>Mặt cắt 3-3</w:t>
            </w:r>
          </w:p>
        </w:tc>
        <w:tc>
          <w:tcPr>
            <w:tcW w:w="2393" w:type="dxa"/>
            <w:noWrap/>
            <w:vAlign w:val="center"/>
          </w:tcPr>
          <w:p w14:paraId="62DCE15D">
            <w:pPr>
              <w:jc w:val="center"/>
              <w:rPr>
                <w:color w:val="000000"/>
                <w:sz w:val="20"/>
                <w:szCs w:val="20"/>
              </w:rPr>
            </w:pPr>
            <w:r>
              <w:rPr>
                <w:color w:val="000000"/>
                <w:sz w:val="20"/>
                <w:szCs w:val="20"/>
              </w:rPr>
              <w:t>Một mặt tiền, đối diện trường học</w:t>
            </w:r>
          </w:p>
        </w:tc>
        <w:tc>
          <w:tcPr>
            <w:tcW w:w="1198" w:type="dxa"/>
            <w:noWrap/>
            <w:vAlign w:val="center"/>
          </w:tcPr>
          <w:p w14:paraId="4EBE8AE5">
            <w:pPr>
              <w:jc w:val="center"/>
              <w:rPr>
                <w:color w:val="000000"/>
                <w:sz w:val="20"/>
                <w:szCs w:val="20"/>
              </w:rPr>
            </w:pPr>
            <w:r>
              <w:rPr>
                <w:color w:val="000000"/>
                <w:sz w:val="20"/>
                <w:szCs w:val="20"/>
              </w:rPr>
              <w:t>8.400.000</w:t>
            </w:r>
          </w:p>
        </w:tc>
        <w:tc>
          <w:tcPr>
            <w:tcW w:w="1236" w:type="dxa"/>
            <w:noWrap/>
            <w:vAlign w:val="center"/>
          </w:tcPr>
          <w:p w14:paraId="7EE3526C">
            <w:pPr>
              <w:jc w:val="center"/>
              <w:rPr>
                <w:color w:val="000000"/>
                <w:sz w:val="20"/>
                <w:szCs w:val="20"/>
              </w:rPr>
            </w:pPr>
          </w:p>
        </w:tc>
        <w:tc>
          <w:tcPr>
            <w:tcW w:w="1252" w:type="dxa"/>
            <w:noWrap/>
            <w:vAlign w:val="center"/>
          </w:tcPr>
          <w:p w14:paraId="71DDF444">
            <w:pPr>
              <w:jc w:val="center"/>
              <w:rPr>
                <w:color w:val="000000"/>
                <w:sz w:val="20"/>
                <w:szCs w:val="20"/>
              </w:rPr>
            </w:pPr>
            <w:r>
              <w:rPr>
                <w:color w:val="000000"/>
                <w:sz w:val="20"/>
                <w:szCs w:val="20"/>
              </w:rPr>
              <w:t>8.400.000</w:t>
            </w:r>
          </w:p>
        </w:tc>
        <w:tc>
          <w:tcPr>
            <w:tcW w:w="1848" w:type="dxa"/>
            <w:noWrap/>
            <w:vAlign w:val="center"/>
          </w:tcPr>
          <w:p w14:paraId="6AF0B86E">
            <w:pPr>
              <w:jc w:val="center"/>
              <w:rPr>
                <w:color w:val="000000"/>
                <w:sz w:val="20"/>
                <w:szCs w:val="20"/>
              </w:rPr>
            </w:pPr>
            <w:r>
              <w:rPr>
                <w:color w:val="000000"/>
                <w:sz w:val="20"/>
                <w:szCs w:val="20"/>
              </w:rPr>
              <w:t>756.000.000</w:t>
            </w:r>
          </w:p>
        </w:tc>
      </w:tr>
      <w:tr w14:paraId="377E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AB0B086">
            <w:pPr>
              <w:jc w:val="center"/>
              <w:rPr>
                <w:b/>
                <w:bCs/>
                <w:color w:val="000000"/>
                <w:sz w:val="20"/>
                <w:szCs w:val="20"/>
              </w:rPr>
            </w:pPr>
            <w:r>
              <w:rPr>
                <w:b/>
                <w:bCs/>
                <w:color w:val="000000"/>
                <w:sz w:val="20"/>
                <w:szCs w:val="20"/>
              </w:rPr>
              <w:t>LK16</w:t>
            </w:r>
          </w:p>
        </w:tc>
        <w:tc>
          <w:tcPr>
            <w:tcW w:w="1802" w:type="dxa"/>
            <w:vAlign w:val="center"/>
          </w:tcPr>
          <w:p w14:paraId="7770E0D7">
            <w:pPr>
              <w:jc w:val="center"/>
              <w:rPr>
                <w:color w:val="000000"/>
                <w:sz w:val="20"/>
                <w:szCs w:val="20"/>
              </w:rPr>
            </w:pPr>
            <w:r>
              <w:rPr>
                <w:color w:val="000000"/>
                <w:sz w:val="20"/>
                <w:szCs w:val="20"/>
              </w:rPr>
              <w:t>LK16:01</w:t>
            </w:r>
          </w:p>
        </w:tc>
        <w:tc>
          <w:tcPr>
            <w:tcW w:w="1033" w:type="dxa"/>
            <w:noWrap/>
            <w:vAlign w:val="center"/>
          </w:tcPr>
          <w:p w14:paraId="406E81FB">
            <w:pPr>
              <w:jc w:val="center"/>
              <w:rPr>
                <w:color w:val="000000"/>
                <w:sz w:val="20"/>
                <w:szCs w:val="20"/>
              </w:rPr>
            </w:pPr>
            <w:r>
              <w:rPr>
                <w:color w:val="000000"/>
                <w:sz w:val="20"/>
                <w:szCs w:val="20"/>
              </w:rPr>
              <w:t>90,00</w:t>
            </w:r>
          </w:p>
        </w:tc>
        <w:tc>
          <w:tcPr>
            <w:tcW w:w="846" w:type="dxa"/>
            <w:noWrap/>
            <w:vAlign w:val="center"/>
          </w:tcPr>
          <w:p w14:paraId="6A7D46FC">
            <w:pPr>
              <w:jc w:val="center"/>
              <w:rPr>
                <w:color w:val="000000"/>
                <w:sz w:val="20"/>
                <w:szCs w:val="20"/>
              </w:rPr>
            </w:pPr>
            <w:r>
              <w:rPr>
                <w:color w:val="000000"/>
                <w:sz w:val="20"/>
                <w:szCs w:val="20"/>
              </w:rPr>
              <w:t>1</w:t>
            </w:r>
          </w:p>
        </w:tc>
        <w:tc>
          <w:tcPr>
            <w:tcW w:w="2578" w:type="dxa"/>
            <w:noWrap/>
            <w:vAlign w:val="center"/>
          </w:tcPr>
          <w:p w14:paraId="6319125A">
            <w:pPr>
              <w:jc w:val="center"/>
              <w:rPr>
                <w:color w:val="000000"/>
                <w:sz w:val="20"/>
                <w:szCs w:val="20"/>
              </w:rPr>
            </w:pPr>
            <w:r>
              <w:rPr>
                <w:color w:val="000000"/>
                <w:sz w:val="20"/>
                <w:szCs w:val="20"/>
              </w:rPr>
              <w:t>Mặt cắt 3-3</w:t>
            </w:r>
          </w:p>
        </w:tc>
        <w:tc>
          <w:tcPr>
            <w:tcW w:w="2393" w:type="dxa"/>
            <w:noWrap/>
            <w:vAlign w:val="center"/>
          </w:tcPr>
          <w:p w14:paraId="53E1FA9C">
            <w:pPr>
              <w:jc w:val="center"/>
              <w:rPr>
                <w:color w:val="000000"/>
                <w:sz w:val="20"/>
                <w:szCs w:val="20"/>
              </w:rPr>
            </w:pPr>
            <w:r>
              <w:rPr>
                <w:color w:val="000000"/>
                <w:sz w:val="20"/>
                <w:szCs w:val="20"/>
              </w:rPr>
              <w:t>Một mặt tiền</w:t>
            </w:r>
          </w:p>
        </w:tc>
        <w:tc>
          <w:tcPr>
            <w:tcW w:w="1198" w:type="dxa"/>
            <w:noWrap/>
            <w:vAlign w:val="center"/>
          </w:tcPr>
          <w:p w14:paraId="1F580C70">
            <w:pPr>
              <w:jc w:val="center"/>
              <w:rPr>
                <w:color w:val="000000"/>
                <w:sz w:val="20"/>
                <w:szCs w:val="20"/>
              </w:rPr>
            </w:pPr>
            <w:r>
              <w:rPr>
                <w:color w:val="000000"/>
                <w:sz w:val="20"/>
                <w:szCs w:val="20"/>
              </w:rPr>
              <w:t>8.000.000</w:t>
            </w:r>
          </w:p>
        </w:tc>
        <w:tc>
          <w:tcPr>
            <w:tcW w:w="1236" w:type="dxa"/>
            <w:noWrap/>
            <w:vAlign w:val="center"/>
          </w:tcPr>
          <w:p w14:paraId="0FE1EF65">
            <w:pPr>
              <w:jc w:val="center"/>
              <w:rPr>
                <w:color w:val="000000"/>
                <w:sz w:val="20"/>
                <w:szCs w:val="20"/>
              </w:rPr>
            </w:pPr>
          </w:p>
        </w:tc>
        <w:tc>
          <w:tcPr>
            <w:tcW w:w="1252" w:type="dxa"/>
            <w:noWrap/>
            <w:vAlign w:val="center"/>
          </w:tcPr>
          <w:p w14:paraId="69A9ACD6">
            <w:pPr>
              <w:jc w:val="center"/>
              <w:rPr>
                <w:color w:val="000000"/>
                <w:sz w:val="20"/>
                <w:szCs w:val="20"/>
              </w:rPr>
            </w:pPr>
            <w:r>
              <w:rPr>
                <w:color w:val="000000"/>
                <w:sz w:val="20"/>
                <w:szCs w:val="20"/>
              </w:rPr>
              <w:t>8.000.000</w:t>
            </w:r>
          </w:p>
        </w:tc>
        <w:tc>
          <w:tcPr>
            <w:tcW w:w="1848" w:type="dxa"/>
            <w:noWrap/>
            <w:vAlign w:val="center"/>
          </w:tcPr>
          <w:p w14:paraId="2D5881F5">
            <w:pPr>
              <w:jc w:val="center"/>
              <w:rPr>
                <w:color w:val="000000"/>
                <w:sz w:val="20"/>
                <w:szCs w:val="20"/>
              </w:rPr>
            </w:pPr>
            <w:r>
              <w:rPr>
                <w:color w:val="000000"/>
                <w:sz w:val="20"/>
                <w:szCs w:val="20"/>
              </w:rPr>
              <w:t>720.000.000</w:t>
            </w:r>
          </w:p>
        </w:tc>
      </w:tr>
      <w:tr w14:paraId="4A34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6B37B61">
            <w:pPr>
              <w:jc w:val="center"/>
              <w:rPr>
                <w:b/>
                <w:bCs/>
                <w:color w:val="000000"/>
                <w:sz w:val="20"/>
                <w:szCs w:val="20"/>
              </w:rPr>
            </w:pPr>
            <w:r>
              <w:rPr>
                <w:b/>
                <w:bCs/>
                <w:color w:val="000000"/>
                <w:sz w:val="20"/>
                <w:szCs w:val="20"/>
              </w:rPr>
              <w:t>LK16</w:t>
            </w:r>
          </w:p>
        </w:tc>
        <w:tc>
          <w:tcPr>
            <w:tcW w:w="1802" w:type="dxa"/>
            <w:vAlign w:val="center"/>
          </w:tcPr>
          <w:p w14:paraId="2E90F0E3">
            <w:pPr>
              <w:jc w:val="center"/>
              <w:rPr>
                <w:color w:val="000000"/>
                <w:sz w:val="20"/>
                <w:szCs w:val="20"/>
              </w:rPr>
            </w:pPr>
            <w:r>
              <w:rPr>
                <w:color w:val="000000"/>
                <w:sz w:val="20"/>
                <w:szCs w:val="20"/>
              </w:rPr>
              <w:t>LK16:02</w:t>
            </w:r>
          </w:p>
        </w:tc>
        <w:tc>
          <w:tcPr>
            <w:tcW w:w="1033" w:type="dxa"/>
            <w:noWrap/>
            <w:vAlign w:val="center"/>
          </w:tcPr>
          <w:p w14:paraId="0975F43C">
            <w:pPr>
              <w:jc w:val="center"/>
              <w:rPr>
                <w:color w:val="000000"/>
                <w:sz w:val="20"/>
                <w:szCs w:val="20"/>
              </w:rPr>
            </w:pPr>
            <w:r>
              <w:rPr>
                <w:color w:val="000000"/>
                <w:sz w:val="20"/>
                <w:szCs w:val="20"/>
              </w:rPr>
              <w:t>90,00</w:t>
            </w:r>
          </w:p>
        </w:tc>
        <w:tc>
          <w:tcPr>
            <w:tcW w:w="846" w:type="dxa"/>
            <w:noWrap/>
            <w:vAlign w:val="center"/>
          </w:tcPr>
          <w:p w14:paraId="0D274504">
            <w:pPr>
              <w:jc w:val="center"/>
              <w:rPr>
                <w:color w:val="000000"/>
                <w:sz w:val="20"/>
                <w:szCs w:val="20"/>
              </w:rPr>
            </w:pPr>
            <w:r>
              <w:rPr>
                <w:color w:val="000000"/>
                <w:sz w:val="20"/>
                <w:szCs w:val="20"/>
              </w:rPr>
              <w:t>1</w:t>
            </w:r>
          </w:p>
        </w:tc>
        <w:tc>
          <w:tcPr>
            <w:tcW w:w="2578" w:type="dxa"/>
            <w:noWrap/>
            <w:vAlign w:val="center"/>
          </w:tcPr>
          <w:p w14:paraId="368F6C2B">
            <w:pPr>
              <w:jc w:val="center"/>
              <w:rPr>
                <w:color w:val="000000"/>
                <w:sz w:val="20"/>
                <w:szCs w:val="20"/>
              </w:rPr>
            </w:pPr>
            <w:r>
              <w:rPr>
                <w:color w:val="000000"/>
                <w:sz w:val="20"/>
                <w:szCs w:val="20"/>
              </w:rPr>
              <w:t>Mặt cắt 3-3</w:t>
            </w:r>
          </w:p>
        </w:tc>
        <w:tc>
          <w:tcPr>
            <w:tcW w:w="2393" w:type="dxa"/>
            <w:noWrap/>
            <w:vAlign w:val="center"/>
          </w:tcPr>
          <w:p w14:paraId="37356C90">
            <w:pPr>
              <w:jc w:val="center"/>
              <w:rPr>
                <w:color w:val="000000"/>
                <w:sz w:val="20"/>
                <w:szCs w:val="20"/>
              </w:rPr>
            </w:pPr>
            <w:r>
              <w:rPr>
                <w:color w:val="000000"/>
                <w:sz w:val="20"/>
                <w:szCs w:val="20"/>
              </w:rPr>
              <w:t>Một mặt tiền</w:t>
            </w:r>
          </w:p>
        </w:tc>
        <w:tc>
          <w:tcPr>
            <w:tcW w:w="1198" w:type="dxa"/>
            <w:noWrap/>
            <w:vAlign w:val="center"/>
          </w:tcPr>
          <w:p w14:paraId="179299F8">
            <w:pPr>
              <w:jc w:val="center"/>
              <w:rPr>
                <w:color w:val="000000"/>
                <w:sz w:val="20"/>
                <w:szCs w:val="20"/>
              </w:rPr>
            </w:pPr>
            <w:r>
              <w:rPr>
                <w:color w:val="000000"/>
                <w:sz w:val="20"/>
                <w:szCs w:val="20"/>
              </w:rPr>
              <w:t>8.000.000</w:t>
            </w:r>
          </w:p>
        </w:tc>
        <w:tc>
          <w:tcPr>
            <w:tcW w:w="1236" w:type="dxa"/>
            <w:noWrap/>
            <w:vAlign w:val="center"/>
          </w:tcPr>
          <w:p w14:paraId="6E2987C6">
            <w:pPr>
              <w:jc w:val="center"/>
              <w:rPr>
                <w:color w:val="000000"/>
                <w:sz w:val="20"/>
                <w:szCs w:val="20"/>
              </w:rPr>
            </w:pPr>
          </w:p>
        </w:tc>
        <w:tc>
          <w:tcPr>
            <w:tcW w:w="1252" w:type="dxa"/>
            <w:noWrap/>
            <w:vAlign w:val="center"/>
          </w:tcPr>
          <w:p w14:paraId="4A4A981D">
            <w:pPr>
              <w:jc w:val="center"/>
              <w:rPr>
                <w:color w:val="000000"/>
                <w:sz w:val="20"/>
                <w:szCs w:val="20"/>
              </w:rPr>
            </w:pPr>
            <w:r>
              <w:rPr>
                <w:color w:val="000000"/>
                <w:sz w:val="20"/>
                <w:szCs w:val="20"/>
              </w:rPr>
              <w:t>8.000.000</w:t>
            </w:r>
          </w:p>
        </w:tc>
        <w:tc>
          <w:tcPr>
            <w:tcW w:w="1848" w:type="dxa"/>
            <w:noWrap/>
            <w:vAlign w:val="center"/>
          </w:tcPr>
          <w:p w14:paraId="2ABA5AA4">
            <w:pPr>
              <w:jc w:val="center"/>
              <w:rPr>
                <w:color w:val="000000"/>
                <w:sz w:val="20"/>
                <w:szCs w:val="20"/>
              </w:rPr>
            </w:pPr>
            <w:r>
              <w:rPr>
                <w:color w:val="000000"/>
                <w:sz w:val="20"/>
                <w:szCs w:val="20"/>
              </w:rPr>
              <w:t>720.000.000</w:t>
            </w:r>
          </w:p>
        </w:tc>
      </w:tr>
      <w:tr w14:paraId="6D64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A981536">
            <w:pPr>
              <w:jc w:val="center"/>
              <w:rPr>
                <w:b/>
                <w:bCs/>
                <w:color w:val="000000"/>
                <w:sz w:val="20"/>
                <w:szCs w:val="20"/>
              </w:rPr>
            </w:pPr>
            <w:r>
              <w:rPr>
                <w:b/>
                <w:bCs/>
                <w:color w:val="000000"/>
                <w:sz w:val="20"/>
                <w:szCs w:val="20"/>
              </w:rPr>
              <w:t>LK16</w:t>
            </w:r>
          </w:p>
        </w:tc>
        <w:tc>
          <w:tcPr>
            <w:tcW w:w="1802" w:type="dxa"/>
            <w:vAlign w:val="center"/>
          </w:tcPr>
          <w:p w14:paraId="477284E5">
            <w:pPr>
              <w:jc w:val="center"/>
              <w:rPr>
                <w:color w:val="000000"/>
                <w:sz w:val="20"/>
                <w:szCs w:val="20"/>
              </w:rPr>
            </w:pPr>
            <w:r>
              <w:rPr>
                <w:color w:val="000000"/>
                <w:sz w:val="20"/>
                <w:szCs w:val="20"/>
              </w:rPr>
              <w:t>LK16:03</w:t>
            </w:r>
          </w:p>
        </w:tc>
        <w:tc>
          <w:tcPr>
            <w:tcW w:w="1033" w:type="dxa"/>
            <w:noWrap/>
            <w:vAlign w:val="center"/>
          </w:tcPr>
          <w:p w14:paraId="0F611B96">
            <w:pPr>
              <w:jc w:val="center"/>
              <w:rPr>
                <w:color w:val="000000"/>
                <w:sz w:val="20"/>
                <w:szCs w:val="20"/>
              </w:rPr>
            </w:pPr>
            <w:r>
              <w:rPr>
                <w:color w:val="000000"/>
                <w:sz w:val="20"/>
                <w:szCs w:val="20"/>
              </w:rPr>
              <w:t>90,00</w:t>
            </w:r>
          </w:p>
        </w:tc>
        <w:tc>
          <w:tcPr>
            <w:tcW w:w="846" w:type="dxa"/>
            <w:noWrap/>
            <w:vAlign w:val="center"/>
          </w:tcPr>
          <w:p w14:paraId="1B6C0D88">
            <w:pPr>
              <w:jc w:val="center"/>
              <w:rPr>
                <w:color w:val="000000"/>
                <w:sz w:val="20"/>
                <w:szCs w:val="20"/>
              </w:rPr>
            </w:pPr>
            <w:r>
              <w:rPr>
                <w:color w:val="000000"/>
                <w:sz w:val="20"/>
                <w:szCs w:val="20"/>
              </w:rPr>
              <w:t>1</w:t>
            </w:r>
          </w:p>
        </w:tc>
        <w:tc>
          <w:tcPr>
            <w:tcW w:w="2578" w:type="dxa"/>
            <w:noWrap/>
            <w:vAlign w:val="center"/>
          </w:tcPr>
          <w:p w14:paraId="1B4FCB30">
            <w:pPr>
              <w:jc w:val="center"/>
              <w:rPr>
                <w:color w:val="000000"/>
                <w:sz w:val="20"/>
                <w:szCs w:val="20"/>
              </w:rPr>
            </w:pPr>
            <w:r>
              <w:rPr>
                <w:color w:val="000000"/>
                <w:sz w:val="20"/>
                <w:szCs w:val="20"/>
              </w:rPr>
              <w:t>Mặt cắt 3-3</w:t>
            </w:r>
          </w:p>
        </w:tc>
        <w:tc>
          <w:tcPr>
            <w:tcW w:w="2393" w:type="dxa"/>
            <w:noWrap/>
            <w:vAlign w:val="center"/>
          </w:tcPr>
          <w:p w14:paraId="5F32AD6D">
            <w:pPr>
              <w:jc w:val="center"/>
              <w:rPr>
                <w:color w:val="000000"/>
                <w:sz w:val="20"/>
                <w:szCs w:val="20"/>
              </w:rPr>
            </w:pPr>
            <w:r>
              <w:rPr>
                <w:color w:val="000000"/>
                <w:sz w:val="20"/>
                <w:szCs w:val="20"/>
              </w:rPr>
              <w:t>Một mặt tiền</w:t>
            </w:r>
          </w:p>
        </w:tc>
        <w:tc>
          <w:tcPr>
            <w:tcW w:w="1198" w:type="dxa"/>
            <w:noWrap/>
            <w:vAlign w:val="center"/>
          </w:tcPr>
          <w:p w14:paraId="36342942">
            <w:pPr>
              <w:jc w:val="center"/>
              <w:rPr>
                <w:color w:val="000000"/>
                <w:sz w:val="20"/>
                <w:szCs w:val="20"/>
              </w:rPr>
            </w:pPr>
            <w:r>
              <w:rPr>
                <w:color w:val="000000"/>
                <w:sz w:val="20"/>
                <w:szCs w:val="20"/>
              </w:rPr>
              <w:t>8.000.000</w:t>
            </w:r>
          </w:p>
        </w:tc>
        <w:tc>
          <w:tcPr>
            <w:tcW w:w="1236" w:type="dxa"/>
            <w:noWrap/>
            <w:vAlign w:val="center"/>
          </w:tcPr>
          <w:p w14:paraId="0A1F89B8">
            <w:pPr>
              <w:jc w:val="center"/>
              <w:rPr>
                <w:color w:val="000000"/>
                <w:sz w:val="20"/>
                <w:szCs w:val="20"/>
              </w:rPr>
            </w:pPr>
          </w:p>
        </w:tc>
        <w:tc>
          <w:tcPr>
            <w:tcW w:w="1252" w:type="dxa"/>
            <w:noWrap/>
            <w:vAlign w:val="center"/>
          </w:tcPr>
          <w:p w14:paraId="76F308EB">
            <w:pPr>
              <w:jc w:val="center"/>
              <w:rPr>
                <w:color w:val="000000"/>
                <w:sz w:val="20"/>
                <w:szCs w:val="20"/>
              </w:rPr>
            </w:pPr>
            <w:r>
              <w:rPr>
                <w:color w:val="000000"/>
                <w:sz w:val="20"/>
                <w:szCs w:val="20"/>
              </w:rPr>
              <w:t>8.000.000</w:t>
            </w:r>
          </w:p>
        </w:tc>
        <w:tc>
          <w:tcPr>
            <w:tcW w:w="1848" w:type="dxa"/>
            <w:noWrap/>
            <w:vAlign w:val="center"/>
          </w:tcPr>
          <w:p w14:paraId="64AA1E99">
            <w:pPr>
              <w:jc w:val="center"/>
              <w:rPr>
                <w:color w:val="000000"/>
                <w:sz w:val="20"/>
                <w:szCs w:val="20"/>
              </w:rPr>
            </w:pPr>
            <w:r>
              <w:rPr>
                <w:color w:val="000000"/>
                <w:sz w:val="20"/>
                <w:szCs w:val="20"/>
              </w:rPr>
              <w:t>720.000.000</w:t>
            </w:r>
          </w:p>
        </w:tc>
      </w:tr>
      <w:tr w14:paraId="2B60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CD63D74">
            <w:pPr>
              <w:jc w:val="center"/>
              <w:rPr>
                <w:b/>
                <w:bCs/>
                <w:color w:val="000000"/>
                <w:sz w:val="20"/>
                <w:szCs w:val="20"/>
              </w:rPr>
            </w:pPr>
            <w:r>
              <w:rPr>
                <w:b/>
                <w:bCs/>
                <w:color w:val="000000"/>
                <w:sz w:val="20"/>
                <w:szCs w:val="20"/>
              </w:rPr>
              <w:t>LK16</w:t>
            </w:r>
          </w:p>
        </w:tc>
        <w:tc>
          <w:tcPr>
            <w:tcW w:w="1802" w:type="dxa"/>
            <w:vAlign w:val="center"/>
          </w:tcPr>
          <w:p w14:paraId="520072C4">
            <w:pPr>
              <w:jc w:val="center"/>
              <w:rPr>
                <w:color w:val="000000"/>
                <w:sz w:val="20"/>
                <w:szCs w:val="20"/>
              </w:rPr>
            </w:pPr>
            <w:r>
              <w:rPr>
                <w:color w:val="000000"/>
                <w:sz w:val="20"/>
                <w:szCs w:val="20"/>
              </w:rPr>
              <w:t>LK16:04</w:t>
            </w:r>
          </w:p>
        </w:tc>
        <w:tc>
          <w:tcPr>
            <w:tcW w:w="1033" w:type="dxa"/>
            <w:noWrap/>
            <w:vAlign w:val="center"/>
          </w:tcPr>
          <w:p w14:paraId="763FAB0E">
            <w:pPr>
              <w:jc w:val="center"/>
              <w:rPr>
                <w:color w:val="000000"/>
                <w:sz w:val="20"/>
                <w:szCs w:val="20"/>
              </w:rPr>
            </w:pPr>
            <w:r>
              <w:rPr>
                <w:color w:val="000000"/>
                <w:sz w:val="20"/>
                <w:szCs w:val="20"/>
              </w:rPr>
              <w:t>90,00</w:t>
            </w:r>
          </w:p>
        </w:tc>
        <w:tc>
          <w:tcPr>
            <w:tcW w:w="846" w:type="dxa"/>
            <w:noWrap/>
            <w:vAlign w:val="center"/>
          </w:tcPr>
          <w:p w14:paraId="039240D6">
            <w:pPr>
              <w:jc w:val="center"/>
              <w:rPr>
                <w:color w:val="000000"/>
                <w:sz w:val="20"/>
                <w:szCs w:val="20"/>
              </w:rPr>
            </w:pPr>
            <w:r>
              <w:rPr>
                <w:color w:val="000000"/>
                <w:sz w:val="20"/>
                <w:szCs w:val="20"/>
              </w:rPr>
              <w:t>1</w:t>
            </w:r>
          </w:p>
        </w:tc>
        <w:tc>
          <w:tcPr>
            <w:tcW w:w="2578" w:type="dxa"/>
            <w:noWrap/>
            <w:vAlign w:val="center"/>
          </w:tcPr>
          <w:p w14:paraId="1CCDF1E4">
            <w:pPr>
              <w:jc w:val="center"/>
              <w:rPr>
                <w:color w:val="000000"/>
                <w:sz w:val="20"/>
                <w:szCs w:val="20"/>
              </w:rPr>
            </w:pPr>
            <w:r>
              <w:rPr>
                <w:color w:val="000000"/>
                <w:sz w:val="20"/>
                <w:szCs w:val="20"/>
              </w:rPr>
              <w:t>Mặt cắt 3-3</w:t>
            </w:r>
          </w:p>
        </w:tc>
        <w:tc>
          <w:tcPr>
            <w:tcW w:w="2393" w:type="dxa"/>
            <w:noWrap/>
            <w:vAlign w:val="center"/>
          </w:tcPr>
          <w:p w14:paraId="23C56862">
            <w:pPr>
              <w:jc w:val="center"/>
              <w:rPr>
                <w:color w:val="000000"/>
                <w:sz w:val="20"/>
                <w:szCs w:val="20"/>
              </w:rPr>
            </w:pPr>
            <w:r>
              <w:rPr>
                <w:color w:val="000000"/>
                <w:sz w:val="20"/>
                <w:szCs w:val="20"/>
              </w:rPr>
              <w:t>Một mặt tiền</w:t>
            </w:r>
          </w:p>
        </w:tc>
        <w:tc>
          <w:tcPr>
            <w:tcW w:w="1198" w:type="dxa"/>
            <w:noWrap/>
            <w:vAlign w:val="center"/>
          </w:tcPr>
          <w:p w14:paraId="6742460D">
            <w:pPr>
              <w:jc w:val="center"/>
              <w:rPr>
                <w:color w:val="000000"/>
                <w:sz w:val="20"/>
                <w:szCs w:val="20"/>
              </w:rPr>
            </w:pPr>
            <w:r>
              <w:rPr>
                <w:color w:val="000000"/>
                <w:sz w:val="20"/>
                <w:szCs w:val="20"/>
              </w:rPr>
              <w:t>8.000.000</w:t>
            </w:r>
          </w:p>
        </w:tc>
        <w:tc>
          <w:tcPr>
            <w:tcW w:w="1236" w:type="dxa"/>
            <w:noWrap/>
            <w:vAlign w:val="center"/>
          </w:tcPr>
          <w:p w14:paraId="74864161">
            <w:pPr>
              <w:jc w:val="center"/>
              <w:rPr>
                <w:color w:val="000000"/>
                <w:sz w:val="20"/>
                <w:szCs w:val="20"/>
              </w:rPr>
            </w:pPr>
          </w:p>
        </w:tc>
        <w:tc>
          <w:tcPr>
            <w:tcW w:w="1252" w:type="dxa"/>
            <w:noWrap/>
            <w:vAlign w:val="center"/>
          </w:tcPr>
          <w:p w14:paraId="5D870C37">
            <w:pPr>
              <w:jc w:val="center"/>
              <w:rPr>
                <w:color w:val="000000"/>
                <w:sz w:val="20"/>
                <w:szCs w:val="20"/>
              </w:rPr>
            </w:pPr>
            <w:r>
              <w:rPr>
                <w:color w:val="000000"/>
                <w:sz w:val="20"/>
                <w:szCs w:val="20"/>
              </w:rPr>
              <w:t>8.000.000</w:t>
            </w:r>
          </w:p>
        </w:tc>
        <w:tc>
          <w:tcPr>
            <w:tcW w:w="1848" w:type="dxa"/>
            <w:noWrap/>
            <w:vAlign w:val="center"/>
          </w:tcPr>
          <w:p w14:paraId="20EC7C10">
            <w:pPr>
              <w:jc w:val="center"/>
              <w:rPr>
                <w:color w:val="000000"/>
                <w:sz w:val="20"/>
                <w:szCs w:val="20"/>
              </w:rPr>
            </w:pPr>
            <w:r>
              <w:rPr>
                <w:color w:val="000000"/>
                <w:sz w:val="20"/>
                <w:szCs w:val="20"/>
              </w:rPr>
              <w:t>720.000.000</w:t>
            </w:r>
          </w:p>
        </w:tc>
      </w:tr>
      <w:tr w14:paraId="2977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6ED06BB">
            <w:pPr>
              <w:jc w:val="center"/>
              <w:rPr>
                <w:b/>
                <w:bCs/>
                <w:color w:val="000000"/>
                <w:sz w:val="20"/>
                <w:szCs w:val="20"/>
              </w:rPr>
            </w:pPr>
            <w:r>
              <w:rPr>
                <w:b/>
                <w:bCs/>
                <w:color w:val="000000"/>
                <w:sz w:val="20"/>
                <w:szCs w:val="20"/>
              </w:rPr>
              <w:t>LK16</w:t>
            </w:r>
          </w:p>
        </w:tc>
        <w:tc>
          <w:tcPr>
            <w:tcW w:w="1802" w:type="dxa"/>
            <w:vAlign w:val="center"/>
          </w:tcPr>
          <w:p w14:paraId="6E280501">
            <w:pPr>
              <w:jc w:val="center"/>
              <w:rPr>
                <w:color w:val="000000"/>
                <w:sz w:val="20"/>
                <w:szCs w:val="20"/>
              </w:rPr>
            </w:pPr>
            <w:r>
              <w:rPr>
                <w:color w:val="000000"/>
                <w:sz w:val="20"/>
                <w:szCs w:val="20"/>
              </w:rPr>
              <w:t>LK16:05</w:t>
            </w:r>
          </w:p>
        </w:tc>
        <w:tc>
          <w:tcPr>
            <w:tcW w:w="1033" w:type="dxa"/>
            <w:noWrap/>
            <w:vAlign w:val="center"/>
          </w:tcPr>
          <w:p w14:paraId="1054E5BC">
            <w:pPr>
              <w:jc w:val="center"/>
              <w:rPr>
                <w:color w:val="000000"/>
                <w:sz w:val="20"/>
                <w:szCs w:val="20"/>
              </w:rPr>
            </w:pPr>
            <w:r>
              <w:rPr>
                <w:color w:val="000000"/>
                <w:sz w:val="20"/>
                <w:szCs w:val="20"/>
              </w:rPr>
              <w:t>90,00</w:t>
            </w:r>
          </w:p>
        </w:tc>
        <w:tc>
          <w:tcPr>
            <w:tcW w:w="846" w:type="dxa"/>
            <w:noWrap/>
            <w:vAlign w:val="center"/>
          </w:tcPr>
          <w:p w14:paraId="23FE2634">
            <w:pPr>
              <w:jc w:val="center"/>
              <w:rPr>
                <w:color w:val="000000"/>
                <w:sz w:val="20"/>
                <w:szCs w:val="20"/>
              </w:rPr>
            </w:pPr>
            <w:r>
              <w:rPr>
                <w:color w:val="000000"/>
                <w:sz w:val="20"/>
                <w:szCs w:val="20"/>
              </w:rPr>
              <w:t>1</w:t>
            </w:r>
          </w:p>
        </w:tc>
        <w:tc>
          <w:tcPr>
            <w:tcW w:w="2578" w:type="dxa"/>
            <w:noWrap/>
            <w:vAlign w:val="center"/>
          </w:tcPr>
          <w:p w14:paraId="680C689D">
            <w:pPr>
              <w:jc w:val="center"/>
              <w:rPr>
                <w:color w:val="000000"/>
                <w:sz w:val="20"/>
                <w:szCs w:val="20"/>
              </w:rPr>
            </w:pPr>
            <w:r>
              <w:rPr>
                <w:color w:val="000000"/>
                <w:sz w:val="20"/>
                <w:szCs w:val="20"/>
              </w:rPr>
              <w:t>Mặt cắt 3-3</w:t>
            </w:r>
          </w:p>
        </w:tc>
        <w:tc>
          <w:tcPr>
            <w:tcW w:w="2393" w:type="dxa"/>
            <w:noWrap/>
            <w:vAlign w:val="center"/>
          </w:tcPr>
          <w:p w14:paraId="3F163311">
            <w:pPr>
              <w:jc w:val="center"/>
              <w:rPr>
                <w:color w:val="000000"/>
                <w:sz w:val="20"/>
                <w:szCs w:val="20"/>
              </w:rPr>
            </w:pPr>
            <w:r>
              <w:rPr>
                <w:color w:val="000000"/>
                <w:sz w:val="20"/>
                <w:szCs w:val="20"/>
              </w:rPr>
              <w:t>Một mặt tiền</w:t>
            </w:r>
          </w:p>
        </w:tc>
        <w:tc>
          <w:tcPr>
            <w:tcW w:w="1198" w:type="dxa"/>
            <w:noWrap/>
            <w:vAlign w:val="center"/>
          </w:tcPr>
          <w:p w14:paraId="51B1D975">
            <w:pPr>
              <w:jc w:val="center"/>
              <w:rPr>
                <w:color w:val="000000"/>
                <w:sz w:val="20"/>
                <w:szCs w:val="20"/>
              </w:rPr>
            </w:pPr>
            <w:r>
              <w:rPr>
                <w:color w:val="000000"/>
                <w:sz w:val="20"/>
                <w:szCs w:val="20"/>
              </w:rPr>
              <w:t>8.000.000</w:t>
            </w:r>
          </w:p>
        </w:tc>
        <w:tc>
          <w:tcPr>
            <w:tcW w:w="1236" w:type="dxa"/>
            <w:noWrap/>
            <w:vAlign w:val="center"/>
          </w:tcPr>
          <w:p w14:paraId="2EF045E1">
            <w:pPr>
              <w:jc w:val="center"/>
              <w:rPr>
                <w:color w:val="000000"/>
                <w:sz w:val="20"/>
                <w:szCs w:val="20"/>
              </w:rPr>
            </w:pPr>
          </w:p>
        </w:tc>
        <w:tc>
          <w:tcPr>
            <w:tcW w:w="1252" w:type="dxa"/>
            <w:noWrap/>
            <w:vAlign w:val="center"/>
          </w:tcPr>
          <w:p w14:paraId="52B5A38D">
            <w:pPr>
              <w:jc w:val="center"/>
              <w:rPr>
                <w:color w:val="000000"/>
                <w:sz w:val="20"/>
                <w:szCs w:val="20"/>
              </w:rPr>
            </w:pPr>
            <w:r>
              <w:rPr>
                <w:color w:val="000000"/>
                <w:sz w:val="20"/>
                <w:szCs w:val="20"/>
              </w:rPr>
              <w:t>8.000.000</w:t>
            </w:r>
          </w:p>
        </w:tc>
        <w:tc>
          <w:tcPr>
            <w:tcW w:w="1848" w:type="dxa"/>
            <w:noWrap/>
            <w:vAlign w:val="center"/>
          </w:tcPr>
          <w:p w14:paraId="1D5037C2">
            <w:pPr>
              <w:jc w:val="center"/>
              <w:rPr>
                <w:color w:val="000000"/>
                <w:sz w:val="20"/>
                <w:szCs w:val="20"/>
              </w:rPr>
            </w:pPr>
            <w:r>
              <w:rPr>
                <w:color w:val="000000"/>
                <w:sz w:val="20"/>
                <w:szCs w:val="20"/>
              </w:rPr>
              <w:t>720.000.000</w:t>
            </w:r>
          </w:p>
        </w:tc>
      </w:tr>
      <w:tr w14:paraId="7FFD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5991B20">
            <w:pPr>
              <w:jc w:val="center"/>
              <w:rPr>
                <w:b/>
                <w:bCs/>
                <w:color w:val="000000"/>
                <w:sz w:val="20"/>
                <w:szCs w:val="20"/>
              </w:rPr>
            </w:pPr>
            <w:r>
              <w:rPr>
                <w:b/>
                <w:bCs/>
                <w:color w:val="000000"/>
                <w:sz w:val="20"/>
                <w:szCs w:val="20"/>
              </w:rPr>
              <w:t>LK16</w:t>
            </w:r>
          </w:p>
        </w:tc>
        <w:tc>
          <w:tcPr>
            <w:tcW w:w="1802" w:type="dxa"/>
            <w:vAlign w:val="center"/>
          </w:tcPr>
          <w:p w14:paraId="0DB28554">
            <w:pPr>
              <w:jc w:val="center"/>
              <w:rPr>
                <w:color w:val="000000"/>
                <w:sz w:val="20"/>
                <w:szCs w:val="20"/>
              </w:rPr>
            </w:pPr>
            <w:r>
              <w:rPr>
                <w:color w:val="000000"/>
                <w:sz w:val="20"/>
                <w:szCs w:val="20"/>
              </w:rPr>
              <w:t>LK16:06</w:t>
            </w:r>
          </w:p>
        </w:tc>
        <w:tc>
          <w:tcPr>
            <w:tcW w:w="1033" w:type="dxa"/>
            <w:noWrap/>
            <w:vAlign w:val="center"/>
          </w:tcPr>
          <w:p w14:paraId="14B18DCF">
            <w:pPr>
              <w:jc w:val="center"/>
              <w:rPr>
                <w:color w:val="000000"/>
                <w:sz w:val="20"/>
                <w:szCs w:val="20"/>
              </w:rPr>
            </w:pPr>
            <w:r>
              <w:rPr>
                <w:color w:val="000000"/>
                <w:sz w:val="20"/>
                <w:szCs w:val="20"/>
              </w:rPr>
              <w:t>90,00</w:t>
            </w:r>
          </w:p>
        </w:tc>
        <w:tc>
          <w:tcPr>
            <w:tcW w:w="846" w:type="dxa"/>
            <w:noWrap/>
            <w:vAlign w:val="center"/>
          </w:tcPr>
          <w:p w14:paraId="7A99EAB4">
            <w:pPr>
              <w:jc w:val="center"/>
              <w:rPr>
                <w:color w:val="000000"/>
                <w:sz w:val="20"/>
                <w:szCs w:val="20"/>
              </w:rPr>
            </w:pPr>
            <w:r>
              <w:rPr>
                <w:color w:val="000000"/>
                <w:sz w:val="20"/>
                <w:szCs w:val="20"/>
              </w:rPr>
              <w:t>1</w:t>
            </w:r>
          </w:p>
        </w:tc>
        <w:tc>
          <w:tcPr>
            <w:tcW w:w="2578" w:type="dxa"/>
            <w:noWrap/>
            <w:vAlign w:val="center"/>
          </w:tcPr>
          <w:p w14:paraId="7DCDF78B">
            <w:pPr>
              <w:jc w:val="center"/>
              <w:rPr>
                <w:color w:val="000000"/>
                <w:sz w:val="20"/>
                <w:szCs w:val="20"/>
              </w:rPr>
            </w:pPr>
            <w:r>
              <w:rPr>
                <w:color w:val="000000"/>
                <w:sz w:val="20"/>
                <w:szCs w:val="20"/>
              </w:rPr>
              <w:t>Mặt cắt 3-3</w:t>
            </w:r>
          </w:p>
        </w:tc>
        <w:tc>
          <w:tcPr>
            <w:tcW w:w="2393" w:type="dxa"/>
            <w:noWrap/>
            <w:vAlign w:val="center"/>
          </w:tcPr>
          <w:p w14:paraId="619E8EF3">
            <w:pPr>
              <w:jc w:val="center"/>
              <w:rPr>
                <w:color w:val="000000"/>
                <w:sz w:val="20"/>
                <w:szCs w:val="20"/>
              </w:rPr>
            </w:pPr>
            <w:r>
              <w:rPr>
                <w:color w:val="000000"/>
                <w:sz w:val="20"/>
                <w:szCs w:val="20"/>
              </w:rPr>
              <w:t>Một mặt tiền</w:t>
            </w:r>
          </w:p>
        </w:tc>
        <w:tc>
          <w:tcPr>
            <w:tcW w:w="1198" w:type="dxa"/>
            <w:noWrap/>
            <w:vAlign w:val="center"/>
          </w:tcPr>
          <w:p w14:paraId="1ADED912">
            <w:pPr>
              <w:jc w:val="center"/>
              <w:rPr>
                <w:color w:val="000000"/>
                <w:sz w:val="20"/>
                <w:szCs w:val="20"/>
              </w:rPr>
            </w:pPr>
            <w:r>
              <w:rPr>
                <w:color w:val="000000"/>
                <w:sz w:val="20"/>
                <w:szCs w:val="20"/>
              </w:rPr>
              <w:t>8.000.000</w:t>
            </w:r>
          </w:p>
        </w:tc>
        <w:tc>
          <w:tcPr>
            <w:tcW w:w="1236" w:type="dxa"/>
            <w:noWrap/>
            <w:vAlign w:val="center"/>
          </w:tcPr>
          <w:p w14:paraId="723A4461">
            <w:pPr>
              <w:jc w:val="center"/>
              <w:rPr>
                <w:color w:val="000000"/>
                <w:sz w:val="20"/>
                <w:szCs w:val="20"/>
              </w:rPr>
            </w:pPr>
          </w:p>
        </w:tc>
        <w:tc>
          <w:tcPr>
            <w:tcW w:w="1252" w:type="dxa"/>
            <w:noWrap/>
            <w:vAlign w:val="center"/>
          </w:tcPr>
          <w:p w14:paraId="405E29F6">
            <w:pPr>
              <w:jc w:val="center"/>
              <w:rPr>
                <w:color w:val="000000"/>
                <w:sz w:val="20"/>
                <w:szCs w:val="20"/>
              </w:rPr>
            </w:pPr>
            <w:r>
              <w:rPr>
                <w:color w:val="000000"/>
                <w:sz w:val="20"/>
                <w:szCs w:val="20"/>
              </w:rPr>
              <w:t>8.000.000</w:t>
            </w:r>
          </w:p>
        </w:tc>
        <w:tc>
          <w:tcPr>
            <w:tcW w:w="1848" w:type="dxa"/>
            <w:noWrap/>
            <w:vAlign w:val="center"/>
          </w:tcPr>
          <w:p w14:paraId="777C8B6B">
            <w:pPr>
              <w:jc w:val="center"/>
              <w:rPr>
                <w:color w:val="000000"/>
                <w:sz w:val="20"/>
                <w:szCs w:val="20"/>
              </w:rPr>
            </w:pPr>
            <w:r>
              <w:rPr>
                <w:color w:val="000000"/>
                <w:sz w:val="20"/>
                <w:szCs w:val="20"/>
              </w:rPr>
              <w:t>720.000.000</w:t>
            </w:r>
          </w:p>
        </w:tc>
      </w:tr>
      <w:tr w14:paraId="1468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ECAC21">
            <w:pPr>
              <w:jc w:val="center"/>
              <w:rPr>
                <w:b/>
                <w:bCs/>
                <w:color w:val="000000"/>
                <w:sz w:val="20"/>
                <w:szCs w:val="20"/>
              </w:rPr>
            </w:pPr>
            <w:r>
              <w:rPr>
                <w:b/>
                <w:bCs/>
                <w:color w:val="000000"/>
                <w:sz w:val="20"/>
                <w:szCs w:val="20"/>
              </w:rPr>
              <w:t>LK16</w:t>
            </w:r>
          </w:p>
        </w:tc>
        <w:tc>
          <w:tcPr>
            <w:tcW w:w="1802" w:type="dxa"/>
            <w:vAlign w:val="center"/>
          </w:tcPr>
          <w:p w14:paraId="5E944308">
            <w:pPr>
              <w:jc w:val="center"/>
              <w:rPr>
                <w:color w:val="000000"/>
                <w:sz w:val="20"/>
                <w:szCs w:val="20"/>
              </w:rPr>
            </w:pPr>
            <w:r>
              <w:rPr>
                <w:color w:val="000000"/>
                <w:sz w:val="20"/>
                <w:szCs w:val="20"/>
              </w:rPr>
              <w:t>LK16:07</w:t>
            </w:r>
          </w:p>
        </w:tc>
        <w:tc>
          <w:tcPr>
            <w:tcW w:w="1033" w:type="dxa"/>
            <w:noWrap/>
            <w:vAlign w:val="center"/>
          </w:tcPr>
          <w:p w14:paraId="78DC69F6">
            <w:pPr>
              <w:jc w:val="center"/>
              <w:rPr>
                <w:color w:val="000000"/>
                <w:sz w:val="20"/>
                <w:szCs w:val="20"/>
              </w:rPr>
            </w:pPr>
            <w:r>
              <w:rPr>
                <w:color w:val="000000"/>
                <w:sz w:val="20"/>
                <w:szCs w:val="20"/>
              </w:rPr>
              <w:t>90,00</w:t>
            </w:r>
          </w:p>
        </w:tc>
        <w:tc>
          <w:tcPr>
            <w:tcW w:w="846" w:type="dxa"/>
            <w:noWrap/>
            <w:vAlign w:val="center"/>
          </w:tcPr>
          <w:p w14:paraId="3AD9FD53">
            <w:pPr>
              <w:jc w:val="center"/>
              <w:rPr>
                <w:color w:val="000000"/>
                <w:sz w:val="20"/>
                <w:szCs w:val="20"/>
              </w:rPr>
            </w:pPr>
            <w:r>
              <w:rPr>
                <w:color w:val="000000"/>
                <w:sz w:val="20"/>
                <w:szCs w:val="20"/>
              </w:rPr>
              <w:t>1</w:t>
            </w:r>
          </w:p>
        </w:tc>
        <w:tc>
          <w:tcPr>
            <w:tcW w:w="2578" w:type="dxa"/>
            <w:noWrap/>
            <w:vAlign w:val="center"/>
          </w:tcPr>
          <w:p w14:paraId="57D835D6">
            <w:pPr>
              <w:jc w:val="center"/>
              <w:rPr>
                <w:color w:val="000000"/>
                <w:sz w:val="20"/>
                <w:szCs w:val="20"/>
              </w:rPr>
            </w:pPr>
            <w:r>
              <w:rPr>
                <w:color w:val="000000"/>
                <w:sz w:val="20"/>
                <w:szCs w:val="20"/>
              </w:rPr>
              <w:t>Mặt cắt 3-3</w:t>
            </w:r>
          </w:p>
        </w:tc>
        <w:tc>
          <w:tcPr>
            <w:tcW w:w="2393" w:type="dxa"/>
            <w:noWrap/>
            <w:vAlign w:val="center"/>
          </w:tcPr>
          <w:p w14:paraId="1C964709">
            <w:pPr>
              <w:jc w:val="center"/>
              <w:rPr>
                <w:color w:val="000000"/>
                <w:sz w:val="20"/>
                <w:szCs w:val="20"/>
              </w:rPr>
            </w:pPr>
            <w:r>
              <w:rPr>
                <w:color w:val="000000"/>
                <w:sz w:val="20"/>
                <w:szCs w:val="20"/>
              </w:rPr>
              <w:t>Một mặt tiền</w:t>
            </w:r>
          </w:p>
        </w:tc>
        <w:tc>
          <w:tcPr>
            <w:tcW w:w="1198" w:type="dxa"/>
            <w:noWrap/>
            <w:vAlign w:val="center"/>
          </w:tcPr>
          <w:p w14:paraId="4C2FD426">
            <w:pPr>
              <w:jc w:val="center"/>
              <w:rPr>
                <w:color w:val="000000"/>
                <w:sz w:val="20"/>
                <w:szCs w:val="20"/>
              </w:rPr>
            </w:pPr>
            <w:r>
              <w:rPr>
                <w:color w:val="000000"/>
                <w:sz w:val="20"/>
                <w:szCs w:val="20"/>
              </w:rPr>
              <w:t>8.000.000</w:t>
            </w:r>
          </w:p>
        </w:tc>
        <w:tc>
          <w:tcPr>
            <w:tcW w:w="1236" w:type="dxa"/>
            <w:noWrap/>
            <w:vAlign w:val="center"/>
          </w:tcPr>
          <w:p w14:paraId="61EA9244">
            <w:pPr>
              <w:jc w:val="center"/>
              <w:rPr>
                <w:color w:val="000000"/>
                <w:sz w:val="20"/>
                <w:szCs w:val="20"/>
              </w:rPr>
            </w:pPr>
          </w:p>
        </w:tc>
        <w:tc>
          <w:tcPr>
            <w:tcW w:w="1252" w:type="dxa"/>
            <w:noWrap/>
            <w:vAlign w:val="center"/>
          </w:tcPr>
          <w:p w14:paraId="7EFA1A15">
            <w:pPr>
              <w:jc w:val="center"/>
              <w:rPr>
                <w:color w:val="000000"/>
                <w:sz w:val="20"/>
                <w:szCs w:val="20"/>
              </w:rPr>
            </w:pPr>
            <w:r>
              <w:rPr>
                <w:color w:val="000000"/>
                <w:sz w:val="20"/>
                <w:szCs w:val="20"/>
              </w:rPr>
              <w:t>8.000.000</w:t>
            </w:r>
          </w:p>
        </w:tc>
        <w:tc>
          <w:tcPr>
            <w:tcW w:w="1848" w:type="dxa"/>
            <w:noWrap/>
            <w:vAlign w:val="center"/>
          </w:tcPr>
          <w:p w14:paraId="5BC7A099">
            <w:pPr>
              <w:jc w:val="center"/>
              <w:rPr>
                <w:color w:val="000000"/>
                <w:sz w:val="20"/>
                <w:szCs w:val="20"/>
              </w:rPr>
            </w:pPr>
            <w:r>
              <w:rPr>
                <w:color w:val="000000"/>
                <w:sz w:val="20"/>
                <w:szCs w:val="20"/>
              </w:rPr>
              <w:t>720.000.000</w:t>
            </w:r>
          </w:p>
        </w:tc>
      </w:tr>
      <w:tr w14:paraId="5FC1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BC6953">
            <w:pPr>
              <w:jc w:val="center"/>
              <w:rPr>
                <w:b/>
                <w:bCs/>
                <w:color w:val="000000"/>
                <w:sz w:val="20"/>
                <w:szCs w:val="20"/>
              </w:rPr>
            </w:pPr>
            <w:r>
              <w:rPr>
                <w:b/>
                <w:bCs/>
                <w:color w:val="000000"/>
                <w:sz w:val="20"/>
                <w:szCs w:val="20"/>
              </w:rPr>
              <w:t>LK16</w:t>
            </w:r>
          </w:p>
        </w:tc>
        <w:tc>
          <w:tcPr>
            <w:tcW w:w="1802" w:type="dxa"/>
            <w:vAlign w:val="center"/>
          </w:tcPr>
          <w:p w14:paraId="3221427C">
            <w:pPr>
              <w:jc w:val="center"/>
              <w:rPr>
                <w:color w:val="000000"/>
                <w:sz w:val="20"/>
                <w:szCs w:val="20"/>
              </w:rPr>
            </w:pPr>
            <w:r>
              <w:rPr>
                <w:color w:val="000000"/>
                <w:sz w:val="20"/>
                <w:szCs w:val="20"/>
              </w:rPr>
              <w:t>LK16:08</w:t>
            </w:r>
          </w:p>
        </w:tc>
        <w:tc>
          <w:tcPr>
            <w:tcW w:w="1033" w:type="dxa"/>
            <w:noWrap/>
            <w:vAlign w:val="center"/>
          </w:tcPr>
          <w:p w14:paraId="410064C4">
            <w:pPr>
              <w:jc w:val="center"/>
              <w:rPr>
                <w:color w:val="000000"/>
                <w:sz w:val="20"/>
                <w:szCs w:val="20"/>
              </w:rPr>
            </w:pPr>
            <w:r>
              <w:rPr>
                <w:color w:val="000000"/>
                <w:sz w:val="20"/>
                <w:szCs w:val="20"/>
              </w:rPr>
              <w:t>131,83</w:t>
            </w:r>
          </w:p>
        </w:tc>
        <w:tc>
          <w:tcPr>
            <w:tcW w:w="846" w:type="dxa"/>
            <w:noWrap/>
            <w:vAlign w:val="center"/>
          </w:tcPr>
          <w:p w14:paraId="47268540">
            <w:pPr>
              <w:jc w:val="center"/>
              <w:rPr>
                <w:color w:val="000000"/>
                <w:sz w:val="20"/>
                <w:szCs w:val="20"/>
              </w:rPr>
            </w:pPr>
            <w:r>
              <w:rPr>
                <w:color w:val="000000"/>
                <w:sz w:val="20"/>
                <w:szCs w:val="20"/>
              </w:rPr>
              <w:t>1</w:t>
            </w:r>
          </w:p>
        </w:tc>
        <w:tc>
          <w:tcPr>
            <w:tcW w:w="2578" w:type="dxa"/>
            <w:noWrap/>
            <w:vAlign w:val="center"/>
          </w:tcPr>
          <w:p w14:paraId="2BD2BE1F">
            <w:pPr>
              <w:jc w:val="center"/>
              <w:rPr>
                <w:color w:val="000000"/>
                <w:sz w:val="20"/>
                <w:szCs w:val="20"/>
              </w:rPr>
            </w:pPr>
            <w:r>
              <w:rPr>
                <w:color w:val="000000"/>
                <w:sz w:val="20"/>
                <w:szCs w:val="20"/>
              </w:rPr>
              <w:t>Mặt cắt 3-3</w:t>
            </w:r>
          </w:p>
        </w:tc>
        <w:tc>
          <w:tcPr>
            <w:tcW w:w="2393" w:type="dxa"/>
            <w:noWrap/>
            <w:vAlign w:val="center"/>
          </w:tcPr>
          <w:p w14:paraId="4ED464E2">
            <w:pPr>
              <w:jc w:val="center"/>
              <w:rPr>
                <w:color w:val="000000"/>
                <w:sz w:val="20"/>
                <w:szCs w:val="20"/>
              </w:rPr>
            </w:pPr>
            <w:r>
              <w:rPr>
                <w:color w:val="000000"/>
                <w:sz w:val="20"/>
                <w:szCs w:val="20"/>
              </w:rPr>
              <w:t>Một mặt tiền</w:t>
            </w:r>
          </w:p>
        </w:tc>
        <w:tc>
          <w:tcPr>
            <w:tcW w:w="1198" w:type="dxa"/>
            <w:noWrap/>
            <w:vAlign w:val="center"/>
          </w:tcPr>
          <w:p w14:paraId="452EFFBA">
            <w:pPr>
              <w:jc w:val="center"/>
              <w:rPr>
                <w:color w:val="000000"/>
                <w:sz w:val="20"/>
                <w:szCs w:val="20"/>
              </w:rPr>
            </w:pPr>
            <w:r>
              <w:rPr>
                <w:color w:val="000000"/>
                <w:sz w:val="20"/>
                <w:szCs w:val="20"/>
              </w:rPr>
              <w:t>8.000.000</w:t>
            </w:r>
          </w:p>
        </w:tc>
        <w:tc>
          <w:tcPr>
            <w:tcW w:w="1236" w:type="dxa"/>
            <w:noWrap/>
            <w:vAlign w:val="center"/>
          </w:tcPr>
          <w:p w14:paraId="3715634E">
            <w:pPr>
              <w:jc w:val="center"/>
              <w:rPr>
                <w:color w:val="000000"/>
                <w:sz w:val="20"/>
                <w:szCs w:val="20"/>
              </w:rPr>
            </w:pPr>
          </w:p>
        </w:tc>
        <w:tc>
          <w:tcPr>
            <w:tcW w:w="1252" w:type="dxa"/>
            <w:noWrap/>
            <w:vAlign w:val="center"/>
          </w:tcPr>
          <w:p w14:paraId="4A8F6DEB">
            <w:pPr>
              <w:jc w:val="center"/>
              <w:rPr>
                <w:color w:val="000000"/>
                <w:sz w:val="20"/>
                <w:szCs w:val="20"/>
              </w:rPr>
            </w:pPr>
            <w:r>
              <w:rPr>
                <w:color w:val="000000"/>
                <w:sz w:val="20"/>
                <w:szCs w:val="20"/>
              </w:rPr>
              <w:t>8.000.000</w:t>
            </w:r>
          </w:p>
        </w:tc>
        <w:tc>
          <w:tcPr>
            <w:tcW w:w="1848" w:type="dxa"/>
            <w:noWrap/>
            <w:vAlign w:val="center"/>
          </w:tcPr>
          <w:p w14:paraId="7B78AE41">
            <w:pPr>
              <w:jc w:val="center"/>
              <w:rPr>
                <w:color w:val="000000"/>
                <w:sz w:val="20"/>
                <w:szCs w:val="20"/>
              </w:rPr>
            </w:pPr>
            <w:r>
              <w:rPr>
                <w:color w:val="000000"/>
                <w:sz w:val="20"/>
                <w:szCs w:val="20"/>
              </w:rPr>
              <w:t>1.054.640.000</w:t>
            </w:r>
          </w:p>
        </w:tc>
      </w:tr>
      <w:tr w14:paraId="1AEE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C60655F">
            <w:pPr>
              <w:jc w:val="center"/>
              <w:rPr>
                <w:b/>
                <w:bCs/>
                <w:color w:val="000000"/>
                <w:sz w:val="20"/>
                <w:szCs w:val="20"/>
              </w:rPr>
            </w:pPr>
            <w:r>
              <w:rPr>
                <w:b/>
                <w:bCs/>
                <w:color w:val="000000"/>
                <w:sz w:val="20"/>
                <w:szCs w:val="20"/>
              </w:rPr>
              <w:t>LK19</w:t>
            </w:r>
          </w:p>
        </w:tc>
        <w:tc>
          <w:tcPr>
            <w:tcW w:w="1802" w:type="dxa"/>
            <w:vAlign w:val="center"/>
          </w:tcPr>
          <w:p w14:paraId="091DA99C">
            <w:pPr>
              <w:jc w:val="center"/>
              <w:rPr>
                <w:color w:val="000000"/>
                <w:sz w:val="20"/>
                <w:szCs w:val="20"/>
              </w:rPr>
            </w:pPr>
            <w:r>
              <w:rPr>
                <w:color w:val="000000"/>
                <w:sz w:val="20"/>
                <w:szCs w:val="20"/>
              </w:rPr>
              <w:t>LK19:02</w:t>
            </w:r>
          </w:p>
        </w:tc>
        <w:tc>
          <w:tcPr>
            <w:tcW w:w="1033" w:type="dxa"/>
            <w:noWrap/>
            <w:vAlign w:val="center"/>
          </w:tcPr>
          <w:p w14:paraId="52006CB5">
            <w:pPr>
              <w:jc w:val="center"/>
              <w:rPr>
                <w:color w:val="000000"/>
                <w:sz w:val="20"/>
                <w:szCs w:val="20"/>
              </w:rPr>
            </w:pPr>
            <w:r>
              <w:rPr>
                <w:color w:val="000000"/>
                <w:sz w:val="20"/>
                <w:szCs w:val="20"/>
              </w:rPr>
              <w:t>90,00</w:t>
            </w:r>
          </w:p>
        </w:tc>
        <w:tc>
          <w:tcPr>
            <w:tcW w:w="846" w:type="dxa"/>
            <w:noWrap/>
            <w:vAlign w:val="center"/>
          </w:tcPr>
          <w:p w14:paraId="75574DF1">
            <w:pPr>
              <w:jc w:val="center"/>
              <w:rPr>
                <w:color w:val="000000"/>
                <w:sz w:val="20"/>
                <w:szCs w:val="20"/>
              </w:rPr>
            </w:pPr>
            <w:r>
              <w:rPr>
                <w:color w:val="000000"/>
                <w:sz w:val="20"/>
                <w:szCs w:val="20"/>
              </w:rPr>
              <w:t>1</w:t>
            </w:r>
          </w:p>
        </w:tc>
        <w:tc>
          <w:tcPr>
            <w:tcW w:w="2578" w:type="dxa"/>
            <w:noWrap/>
            <w:vAlign w:val="center"/>
          </w:tcPr>
          <w:p w14:paraId="31560FDC">
            <w:pPr>
              <w:jc w:val="center"/>
              <w:rPr>
                <w:color w:val="000000"/>
                <w:sz w:val="20"/>
                <w:szCs w:val="20"/>
              </w:rPr>
            </w:pPr>
            <w:r>
              <w:rPr>
                <w:color w:val="000000"/>
                <w:sz w:val="20"/>
                <w:szCs w:val="20"/>
              </w:rPr>
              <w:t>Mặt cắt 3-3</w:t>
            </w:r>
          </w:p>
        </w:tc>
        <w:tc>
          <w:tcPr>
            <w:tcW w:w="2393" w:type="dxa"/>
            <w:noWrap/>
            <w:vAlign w:val="center"/>
          </w:tcPr>
          <w:p w14:paraId="4DAB47C2">
            <w:pPr>
              <w:jc w:val="center"/>
              <w:rPr>
                <w:color w:val="000000"/>
                <w:sz w:val="20"/>
                <w:szCs w:val="20"/>
              </w:rPr>
            </w:pPr>
            <w:r>
              <w:rPr>
                <w:color w:val="000000"/>
                <w:sz w:val="20"/>
                <w:szCs w:val="20"/>
              </w:rPr>
              <w:t>Một mặt tiền</w:t>
            </w:r>
          </w:p>
        </w:tc>
        <w:tc>
          <w:tcPr>
            <w:tcW w:w="1198" w:type="dxa"/>
            <w:noWrap/>
            <w:vAlign w:val="center"/>
          </w:tcPr>
          <w:p w14:paraId="3EECB957">
            <w:pPr>
              <w:jc w:val="center"/>
              <w:rPr>
                <w:color w:val="000000"/>
                <w:sz w:val="20"/>
                <w:szCs w:val="20"/>
              </w:rPr>
            </w:pPr>
            <w:r>
              <w:rPr>
                <w:color w:val="000000"/>
                <w:sz w:val="20"/>
                <w:szCs w:val="20"/>
              </w:rPr>
              <w:t>8.000.000</w:t>
            </w:r>
          </w:p>
        </w:tc>
        <w:tc>
          <w:tcPr>
            <w:tcW w:w="1236" w:type="dxa"/>
            <w:noWrap/>
            <w:vAlign w:val="center"/>
          </w:tcPr>
          <w:p w14:paraId="1A8F0C9C">
            <w:pPr>
              <w:jc w:val="center"/>
              <w:rPr>
                <w:color w:val="000000"/>
                <w:sz w:val="20"/>
                <w:szCs w:val="20"/>
              </w:rPr>
            </w:pPr>
          </w:p>
        </w:tc>
        <w:tc>
          <w:tcPr>
            <w:tcW w:w="1252" w:type="dxa"/>
            <w:noWrap/>
            <w:vAlign w:val="center"/>
          </w:tcPr>
          <w:p w14:paraId="7CE37384">
            <w:pPr>
              <w:jc w:val="center"/>
              <w:rPr>
                <w:color w:val="000000"/>
                <w:sz w:val="20"/>
                <w:szCs w:val="20"/>
              </w:rPr>
            </w:pPr>
            <w:r>
              <w:rPr>
                <w:color w:val="000000"/>
                <w:sz w:val="20"/>
                <w:szCs w:val="20"/>
              </w:rPr>
              <w:t>8.000.000</w:t>
            </w:r>
          </w:p>
        </w:tc>
        <w:tc>
          <w:tcPr>
            <w:tcW w:w="1848" w:type="dxa"/>
            <w:noWrap/>
            <w:vAlign w:val="center"/>
          </w:tcPr>
          <w:p w14:paraId="3CD38DA8">
            <w:pPr>
              <w:jc w:val="center"/>
              <w:rPr>
                <w:color w:val="000000"/>
                <w:sz w:val="20"/>
                <w:szCs w:val="20"/>
              </w:rPr>
            </w:pPr>
            <w:r>
              <w:rPr>
                <w:color w:val="000000"/>
                <w:sz w:val="20"/>
                <w:szCs w:val="20"/>
              </w:rPr>
              <w:t>720.000.000</w:t>
            </w:r>
          </w:p>
        </w:tc>
      </w:tr>
      <w:tr w14:paraId="7D95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1FB1556">
            <w:pPr>
              <w:jc w:val="center"/>
              <w:rPr>
                <w:b/>
                <w:bCs/>
                <w:color w:val="000000"/>
                <w:sz w:val="20"/>
                <w:szCs w:val="20"/>
              </w:rPr>
            </w:pPr>
            <w:r>
              <w:rPr>
                <w:b/>
                <w:bCs/>
                <w:color w:val="000000"/>
                <w:sz w:val="20"/>
                <w:szCs w:val="20"/>
              </w:rPr>
              <w:t>LK19</w:t>
            </w:r>
          </w:p>
        </w:tc>
        <w:tc>
          <w:tcPr>
            <w:tcW w:w="1802" w:type="dxa"/>
            <w:vAlign w:val="center"/>
          </w:tcPr>
          <w:p w14:paraId="586E6D37">
            <w:pPr>
              <w:jc w:val="center"/>
              <w:rPr>
                <w:color w:val="000000"/>
                <w:sz w:val="20"/>
                <w:szCs w:val="20"/>
              </w:rPr>
            </w:pPr>
            <w:r>
              <w:rPr>
                <w:color w:val="000000"/>
                <w:sz w:val="20"/>
                <w:szCs w:val="20"/>
              </w:rPr>
              <w:t>LK19:03</w:t>
            </w:r>
          </w:p>
        </w:tc>
        <w:tc>
          <w:tcPr>
            <w:tcW w:w="1033" w:type="dxa"/>
            <w:noWrap/>
            <w:vAlign w:val="center"/>
          </w:tcPr>
          <w:p w14:paraId="1F60C32E">
            <w:pPr>
              <w:jc w:val="center"/>
              <w:rPr>
                <w:color w:val="000000"/>
                <w:sz w:val="20"/>
                <w:szCs w:val="20"/>
              </w:rPr>
            </w:pPr>
            <w:r>
              <w:rPr>
                <w:color w:val="000000"/>
                <w:sz w:val="20"/>
                <w:szCs w:val="20"/>
              </w:rPr>
              <w:t>90,00</w:t>
            </w:r>
          </w:p>
        </w:tc>
        <w:tc>
          <w:tcPr>
            <w:tcW w:w="846" w:type="dxa"/>
            <w:noWrap/>
            <w:vAlign w:val="center"/>
          </w:tcPr>
          <w:p w14:paraId="5E2C7A46">
            <w:pPr>
              <w:jc w:val="center"/>
              <w:rPr>
                <w:color w:val="000000"/>
                <w:sz w:val="20"/>
                <w:szCs w:val="20"/>
              </w:rPr>
            </w:pPr>
            <w:r>
              <w:rPr>
                <w:color w:val="000000"/>
                <w:sz w:val="20"/>
                <w:szCs w:val="20"/>
              </w:rPr>
              <w:t>1</w:t>
            </w:r>
          </w:p>
        </w:tc>
        <w:tc>
          <w:tcPr>
            <w:tcW w:w="2578" w:type="dxa"/>
            <w:noWrap/>
            <w:vAlign w:val="center"/>
          </w:tcPr>
          <w:p w14:paraId="6B5BC2F7">
            <w:pPr>
              <w:jc w:val="center"/>
              <w:rPr>
                <w:color w:val="000000"/>
                <w:sz w:val="20"/>
                <w:szCs w:val="20"/>
              </w:rPr>
            </w:pPr>
            <w:r>
              <w:rPr>
                <w:color w:val="000000"/>
                <w:sz w:val="20"/>
                <w:szCs w:val="20"/>
              </w:rPr>
              <w:t>Mặt cắt 3-3</w:t>
            </w:r>
          </w:p>
        </w:tc>
        <w:tc>
          <w:tcPr>
            <w:tcW w:w="2393" w:type="dxa"/>
            <w:noWrap/>
            <w:vAlign w:val="center"/>
          </w:tcPr>
          <w:p w14:paraId="3A538161">
            <w:pPr>
              <w:jc w:val="center"/>
              <w:rPr>
                <w:color w:val="000000"/>
                <w:sz w:val="20"/>
                <w:szCs w:val="20"/>
              </w:rPr>
            </w:pPr>
            <w:r>
              <w:rPr>
                <w:color w:val="000000"/>
                <w:sz w:val="20"/>
                <w:szCs w:val="20"/>
              </w:rPr>
              <w:t>Một mặt tiền</w:t>
            </w:r>
          </w:p>
        </w:tc>
        <w:tc>
          <w:tcPr>
            <w:tcW w:w="1198" w:type="dxa"/>
            <w:noWrap/>
            <w:vAlign w:val="center"/>
          </w:tcPr>
          <w:p w14:paraId="309745A0">
            <w:pPr>
              <w:jc w:val="center"/>
              <w:rPr>
                <w:color w:val="000000"/>
                <w:sz w:val="20"/>
                <w:szCs w:val="20"/>
              </w:rPr>
            </w:pPr>
            <w:r>
              <w:rPr>
                <w:color w:val="000000"/>
                <w:sz w:val="20"/>
                <w:szCs w:val="20"/>
              </w:rPr>
              <w:t>8.000.000</w:t>
            </w:r>
          </w:p>
        </w:tc>
        <w:tc>
          <w:tcPr>
            <w:tcW w:w="1236" w:type="dxa"/>
            <w:noWrap/>
            <w:vAlign w:val="center"/>
          </w:tcPr>
          <w:p w14:paraId="3656C75E">
            <w:pPr>
              <w:jc w:val="center"/>
              <w:rPr>
                <w:color w:val="000000"/>
                <w:sz w:val="20"/>
                <w:szCs w:val="20"/>
              </w:rPr>
            </w:pPr>
          </w:p>
        </w:tc>
        <w:tc>
          <w:tcPr>
            <w:tcW w:w="1252" w:type="dxa"/>
            <w:noWrap/>
            <w:vAlign w:val="center"/>
          </w:tcPr>
          <w:p w14:paraId="3A2B3C7D">
            <w:pPr>
              <w:jc w:val="center"/>
              <w:rPr>
                <w:color w:val="000000"/>
                <w:sz w:val="20"/>
                <w:szCs w:val="20"/>
              </w:rPr>
            </w:pPr>
            <w:r>
              <w:rPr>
                <w:color w:val="000000"/>
                <w:sz w:val="20"/>
                <w:szCs w:val="20"/>
              </w:rPr>
              <w:t>8.000.000</w:t>
            </w:r>
          </w:p>
        </w:tc>
        <w:tc>
          <w:tcPr>
            <w:tcW w:w="1848" w:type="dxa"/>
            <w:noWrap/>
            <w:vAlign w:val="center"/>
          </w:tcPr>
          <w:p w14:paraId="27BC4AFF">
            <w:pPr>
              <w:jc w:val="center"/>
              <w:rPr>
                <w:color w:val="000000"/>
                <w:sz w:val="20"/>
                <w:szCs w:val="20"/>
              </w:rPr>
            </w:pPr>
            <w:r>
              <w:rPr>
                <w:color w:val="000000"/>
                <w:sz w:val="20"/>
                <w:szCs w:val="20"/>
              </w:rPr>
              <w:t>720.000.000</w:t>
            </w:r>
          </w:p>
        </w:tc>
      </w:tr>
      <w:tr w14:paraId="6C60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B984E98">
            <w:pPr>
              <w:jc w:val="center"/>
              <w:rPr>
                <w:b/>
                <w:bCs/>
                <w:color w:val="000000"/>
                <w:sz w:val="20"/>
                <w:szCs w:val="20"/>
              </w:rPr>
            </w:pPr>
            <w:r>
              <w:rPr>
                <w:b/>
                <w:bCs/>
                <w:color w:val="000000"/>
                <w:sz w:val="20"/>
                <w:szCs w:val="20"/>
              </w:rPr>
              <w:t>LK19</w:t>
            </w:r>
          </w:p>
        </w:tc>
        <w:tc>
          <w:tcPr>
            <w:tcW w:w="1802" w:type="dxa"/>
            <w:vAlign w:val="center"/>
          </w:tcPr>
          <w:p w14:paraId="1D0C15A2">
            <w:pPr>
              <w:jc w:val="center"/>
              <w:rPr>
                <w:color w:val="000000"/>
                <w:sz w:val="20"/>
                <w:szCs w:val="20"/>
              </w:rPr>
            </w:pPr>
            <w:r>
              <w:rPr>
                <w:color w:val="000000"/>
                <w:sz w:val="20"/>
                <w:szCs w:val="20"/>
              </w:rPr>
              <w:t>LK19:04</w:t>
            </w:r>
          </w:p>
        </w:tc>
        <w:tc>
          <w:tcPr>
            <w:tcW w:w="1033" w:type="dxa"/>
            <w:noWrap/>
            <w:vAlign w:val="center"/>
          </w:tcPr>
          <w:p w14:paraId="73A6976E">
            <w:pPr>
              <w:jc w:val="center"/>
              <w:rPr>
                <w:color w:val="000000"/>
                <w:sz w:val="20"/>
                <w:szCs w:val="20"/>
              </w:rPr>
            </w:pPr>
            <w:r>
              <w:rPr>
                <w:color w:val="000000"/>
                <w:sz w:val="20"/>
                <w:szCs w:val="20"/>
              </w:rPr>
              <w:t>90,00</w:t>
            </w:r>
          </w:p>
        </w:tc>
        <w:tc>
          <w:tcPr>
            <w:tcW w:w="846" w:type="dxa"/>
            <w:noWrap/>
            <w:vAlign w:val="center"/>
          </w:tcPr>
          <w:p w14:paraId="590C3DE9">
            <w:pPr>
              <w:jc w:val="center"/>
              <w:rPr>
                <w:color w:val="000000"/>
                <w:sz w:val="20"/>
                <w:szCs w:val="20"/>
              </w:rPr>
            </w:pPr>
            <w:r>
              <w:rPr>
                <w:color w:val="000000"/>
                <w:sz w:val="20"/>
                <w:szCs w:val="20"/>
              </w:rPr>
              <w:t>1</w:t>
            </w:r>
          </w:p>
        </w:tc>
        <w:tc>
          <w:tcPr>
            <w:tcW w:w="2578" w:type="dxa"/>
            <w:noWrap/>
            <w:vAlign w:val="center"/>
          </w:tcPr>
          <w:p w14:paraId="45B003AA">
            <w:pPr>
              <w:jc w:val="center"/>
              <w:rPr>
                <w:color w:val="000000"/>
                <w:sz w:val="20"/>
                <w:szCs w:val="20"/>
              </w:rPr>
            </w:pPr>
            <w:r>
              <w:rPr>
                <w:color w:val="000000"/>
                <w:sz w:val="20"/>
                <w:szCs w:val="20"/>
              </w:rPr>
              <w:t>Mặt cắt 3-3</w:t>
            </w:r>
          </w:p>
        </w:tc>
        <w:tc>
          <w:tcPr>
            <w:tcW w:w="2393" w:type="dxa"/>
            <w:noWrap/>
            <w:vAlign w:val="center"/>
          </w:tcPr>
          <w:p w14:paraId="0C895971">
            <w:pPr>
              <w:jc w:val="center"/>
              <w:rPr>
                <w:color w:val="000000"/>
                <w:sz w:val="20"/>
                <w:szCs w:val="20"/>
              </w:rPr>
            </w:pPr>
            <w:r>
              <w:rPr>
                <w:color w:val="000000"/>
                <w:sz w:val="20"/>
                <w:szCs w:val="20"/>
              </w:rPr>
              <w:t>Một mặt tiền</w:t>
            </w:r>
          </w:p>
        </w:tc>
        <w:tc>
          <w:tcPr>
            <w:tcW w:w="1198" w:type="dxa"/>
            <w:noWrap/>
            <w:vAlign w:val="center"/>
          </w:tcPr>
          <w:p w14:paraId="0C38FEDF">
            <w:pPr>
              <w:jc w:val="center"/>
              <w:rPr>
                <w:color w:val="000000"/>
                <w:sz w:val="20"/>
                <w:szCs w:val="20"/>
              </w:rPr>
            </w:pPr>
            <w:r>
              <w:rPr>
                <w:color w:val="000000"/>
                <w:sz w:val="20"/>
                <w:szCs w:val="20"/>
              </w:rPr>
              <w:t>8.000.000</w:t>
            </w:r>
          </w:p>
        </w:tc>
        <w:tc>
          <w:tcPr>
            <w:tcW w:w="1236" w:type="dxa"/>
            <w:noWrap/>
            <w:vAlign w:val="center"/>
          </w:tcPr>
          <w:p w14:paraId="01967B0C">
            <w:pPr>
              <w:jc w:val="center"/>
              <w:rPr>
                <w:color w:val="000000"/>
                <w:sz w:val="20"/>
                <w:szCs w:val="20"/>
              </w:rPr>
            </w:pPr>
          </w:p>
        </w:tc>
        <w:tc>
          <w:tcPr>
            <w:tcW w:w="1252" w:type="dxa"/>
            <w:noWrap/>
            <w:vAlign w:val="center"/>
          </w:tcPr>
          <w:p w14:paraId="04FB1A29">
            <w:pPr>
              <w:jc w:val="center"/>
              <w:rPr>
                <w:color w:val="000000"/>
                <w:sz w:val="20"/>
                <w:szCs w:val="20"/>
              </w:rPr>
            </w:pPr>
            <w:r>
              <w:rPr>
                <w:color w:val="000000"/>
                <w:sz w:val="20"/>
                <w:szCs w:val="20"/>
              </w:rPr>
              <w:t>8.000.000</w:t>
            </w:r>
          </w:p>
        </w:tc>
        <w:tc>
          <w:tcPr>
            <w:tcW w:w="1848" w:type="dxa"/>
            <w:noWrap/>
            <w:vAlign w:val="center"/>
          </w:tcPr>
          <w:p w14:paraId="30273D1C">
            <w:pPr>
              <w:jc w:val="center"/>
              <w:rPr>
                <w:color w:val="000000"/>
                <w:sz w:val="20"/>
                <w:szCs w:val="20"/>
              </w:rPr>
            </w:pPr>
            <w:r>
              <w:rPr>
                <w:color w:val="000000"/>
                <w:sz w:val="20"/>
                <w:szCs w:val="20"/>
              </w:rPr>
              <w:t>720.000.000</w:t>
            </w:r>
          </w:p>
        </w:tc>
      </w:tr>
      <w:tr w14:paraId="1ABC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180EBF6">
            <w:pPr>
              <w:jc w:val="center"/>
              <w:rPr>
                <w:b/>
                <w:bCs/>
                <w:color w:val="000000"/>
                <w:sz w:val="20"/>
                <w:szCs w:val="20"/>
              </w:rPr>
            </w:pPr>
            <w:r>
              <w:rPr>
                <w:b/>
                <w:bCs/>
                <w:color w:val="000000"/>
                <w:sz w:val="20"/>
                <w:szCs w:val="20"/>
              </w:rPr>
              <w:t>LK19</w:t>
            </w:r>
          </w:p>
        </w:tc>
        <w:tc>
          <w:tcPr>
            <w:tcW w:w="1802" w:type="dxa"/>
            <w:vAlign w:val="center"/>
          </w:tcPr>
          <w:p w14:paraId="09E9013B">
            <w:pPr>
              <w:jc w:val="center"/>
              <w:rPr>
                <w:color w:val="000000"/>
                <w:sz w:val="20"/>
                <w:szCs w:val="20"/>
              </w:rPr>
            </w:pPr>
            <w:r>
              <w:rPr>
                <w:color w:val="000000"/>
                <w:sz w:val="20"/>
                <w:szCs w:val="20"/>
              </w:rPr>
              <w:t>LK19:05</w:t>
            </w:r>
          </w:p>
        </w:tc>
        <w:tc>
          <w:tcPr>
            <w:tcW w:w="1033" w:type="dxa"/>
            <w:noWrap/>
            <w:vAlign w:val="center"/>
          </w:tcPr>
          <w:p w14:paraId="4AE0E523">
            <w:pPr>
              <w:jc w:val="center"/>
              <w:rPr>
                <w:color w:val="000000"/>
                <w:sz w:val="20"/>
                <w:szCs w:val="20"/>
              </w:rPr>
            </w:pPr>
            <w:r>
              <w:rPr>
                <w:color w:val="000000"/>
                <w:sz w:val="20"/>
                <w:szCs w:val="20"/>
              </w:rPr>
              <w:t>90,00</w:t>
            </w:r>
          </w:p>
        </w:tc>
        <w:tc>
          <w:tcPr>
            <w:tcW w:w="846" w:type="dxa"/>
            <w:noWrap/>
            <w:vAlign w:val="center"/>
          </w:tcPr>
          <w:p w14:paraId="30C34C1A">
            <w:pPr>
              <w:jc w:val="center"/>
              <w:rPr>
                <w:color w:val="000000"/>
                <w:sz w:val="20"/>
                <w:szCs w:val="20"/>
              </w:rPr>
            </w:pPr>
            <w:r>
              <w:rPr>
                <w:color w:val="000000"/>
                <w:sz w:val="20"/>
                <w:szCs w:val="20"/>
              </w:rPr>
              <w:t>1</w:t>
            </w:r>
          </w:p>
        </w:tc>
        <w:tc>
          <w:tcPr>
            <w:tcW w:w="2578" w:type="dxa"/>
            <w:noWrap/>
            <w:vAlign w:val="center"/>
          </w:tcPr>
          <w:p w14:paraId="4F4B59DC">
            <w:pPr>
              <w:jc w:val="center"/>
              <w:rPr>
                <w:color w:val="000000"/>
                <w:sz w:val="20"/>
                <w:szCs w:val="20"/>
              </w:rPr>
            </w:pPr>
            <w:r>
              <w:rPr>
                <w:color w:val="000000"/>
                <w:sz w:val="20"/>
                <w:szCs w:val="20"/>
              </w:rPr>
              <w:t>Mặt cắt 3-3</w:t>
            </w:r>
          </w:p>
        </w:tc>
        <w:tc>
          <w:tcPr>
            <w:tcW w:w="2393" w:type="dxa"/>
            <w:noWrap/>
            <w:vAlign w:val="center"/>
          </w:tcPr>
          <w:p w14:paraId="18C333A7">
            <w:pPr>
              <w:jc w:val="center"/>
              <w:rPr>
                <w:color w:val="000000"/>
                <w:sz w:val="20"/>
                <w:szCs w:val="20"/>
              </w:rPr>
            </w:pPr>
            <w:r>
              <w:rPr>
                <w:color w:val="000000"/>
                <w:sz w:val="20"/>
                <w:szCs w:val="20"/>
              </w:rPr>
              <w:t>Một mặt tiền</w:t>
            </w:r>
          </w:p>
        </w:tc>
        <w:tc>
          <w:tcPr>
            <w:tcW w:w="1198" w:type="dxa"/>
            <w:noWrap/>
            <w:vAlign w:val="center"/>
          </w:tcPr>
          <w:p w14:paraId="13A14245">
            <w:pPr>
              <w:jc w:val="center"/>
              <w:rPr>
                <w:color w:val="000000"/>
                <w:sz w:val="20"/>
                <w:szCs w:val="20"/>
              </w:rPr>
            </w:pPr>
            <w:r>
              <w:rPr>
                <w:color w:val="000000"/>
                <w:sz w:val="20"/>
                <w:szCs w:val="20"/>
              </w:rPr>
              <w:t>8.000.000</w:t>
            </w:r>
          </w:p>
        </w:tc>
        <w:tc>
          <w:tcPr>
            <w:tcW w:w="1236" w:type="dxa"/>
            <w:noWrap/>
            <w:vAlign w:val="center"/>
          </w:tcPr>
          <w:p w14:paraId="2C78182D">
            <w:pPr>
              <w:jc w:val="center"/>
              <w:rPr>
                <w:color w:val="000000"/>
                <w:sz w:val="20"/>
                <w:szCs w:val="20"/>
              </w:rPr>
            </w:pPr>
          </w:p>
        </w:tc>
        <w:tc>
          <w:tcPr>
            <w:tcW w:w="1252" w:type="dxa"/>
            <w:noWrap/>
            <w:vAlign w:val="center"/>
          </w:tcPr>
          <w:p w14:paraId="1644384A">
            <w:pPr>
              <w:jc w:val="center"/>
              <w:rPr>
                <w:color w:val="000000"/>
                <w:sz w:val="20"/>
                <w:szCs w:val="20"/>
              </w:rPr>
            </w:pPr>
            <w:r>
              <w:rPr>
                <w:color w:val="000000"/>
                <w:sz w:val="20"/>
                <w:szCs w:val="20"/>
              </w:rPr>
              <w:t>8.000.000</w:t>
            </w:r>
          </w:p>
        </w:tc>
        <w:tc>
          <w:tcPr>
            <w:tcW w:w="1848" w:type="dxa"/>
            <w:noWrap/>
            <w:vAlign w:val="center"/>
          </w:tcPr>
          <w:p w14:paraId="52301C5D">
            <w:pPr>
              <w:jc w:val="center"/>
              <w:rPr>
                <w:color w:val="000000"/>
                <w:sz w:val="20"/>
                <w:szCs w:val="20"/>
              </w:rPr>
            </w:pPr>
            <w:r>
              <w:rPr>
                <w:color w:val="000000"/>
                <w:sz w:val="20"/>
                <w:szCs w:val="20"/>
              </w:rPr>
              <w:t>720.000.000</w:t>
            </w:r>
          </w:p>
        </w:tc>
      </w:tr>
      <w:tr w14:paraId="16D0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FA05BDB">
            <w:pPr>
              <w:jc w:val="center"/>
              <w:rPr>
                <w:b/>
                <w:bCs/>
                <w:color w:val="000000"/>
                <w:sz w:val="20"/>
                <w:szCs w:val="20"/>
              </w:rPr>
            </w:pPr>
            <w:r>
              <w:rPr>
                <w:b/>
                <w:bCs/>
                <w:color w:val="000000"/>
                <w:sz w:val="20"/>
                <w:szCs w:val="20"/>
              </w:rPr>
              <w:t>LK19</w:t>
            </w:r>
          </w:p>
        </w:tc>
        <w:tc>
          <w:tcPr>
            <w:tcW w:w="1802" w:type="dxa"/>
            <w:vAlign w:val="center"/>
          </w:tcPr>
          <w:p w14:paraId="25F0B72D">
            <w:pPr>
              <w:jc w:val="center"/>
              <w:rPr>
                <w:color w:val="000000"/>
                <w:sz w:val="20"/>
                <w:szCs w:val="20"/>
              </w:rPr>
            </w:pPr>
            <w:r>
              <w:rPr>
                <w:color w:val="000000"/>
                <w:sz w:val="20"/>
                <w:szCs w:val="20"/>
              </w:rPr>
              <w:t>LK19:06</w:t>
            </w:r>
          </w:p>
        </w:tc>
        <w:tc>
          <w:tcPr>
            <w:tcW w:w="1033" w:type="dxa"/>
            <w:noWrap/>
            <w:vAlign w:val="center"/>
          </w:tcPr>
          <w:p w14:paraId="1EB0124A">
            <w:pPr>
              <w:jc w:val="center"/>
              <w:rPr>
                <w:color w:val="000000"/>
                <w:sz w:val="20"/>
                <w:szCs w:val="20"/>
              </w:rPr>
            </w:pPr>
            <w:r>
              <w:rPr>
                <w:color w:val="000000"/>
                <w:sz w:val="20"/>
                <w:szCs w:val="20"/>
              </w:rPr>
              <w:t>90,00</w:t>
            </w:r>
          </w:p>
        </w:tc>
        <w:tc>
          <w:tcPr>
            <w:tcW w:w="846" w:type="dxa"/>
            <w:noWrap/>
            <w:vAlign w:val="center"/>
          </w:tcPr>
          <w:p w14:paraId="63BA6BA9">
            <w:pPr>
              <w:jc w:val="center"/>
              <w:rPr>
                <w:color w:val="000000"/>
                <w:sz w:val="20"/>
                <w:szCs w:val="20"/>
              </w:rPr>
            </w:pPr>
            <w:r>
              <w:rPr>
                <w:color w:val="000000"/>
                <w:sz w:val="20"/>
                <w:szCs w:val="20"/>
              </w:rPr>
              <w:t>1</w:t>
            </w:r>
          </w:p>
        </w:tc>
        <w:tc>
          <w:tcPr>
            <w:tcW w:w="2578" w:type="dxa"/>
            <w:noWrap/>
            <w:vAlign w:val="center"/>
          </w:tcPr>
          <w:p w14:paraId="01C116E1">
            <w:pPr>
              <w:jc w:val="center"/>
              <w:rPr>
                <w:color w:val="000000"/>
                <w:sz w:val="20"/>
                <w:szCs w:val="20"/>
              </w:rPr>
            </w:pPr>
            <w:r>
              <w:rPr>
                <w:color w:val="000000"/>
                <w:sz w:val="20"/>
                <w:szCs w:val="20"/>
              </w:rPr>
              <w:t>Mặt cắt 3-3</w:t>
            </w:r>
          </w:p>
        </w:tc>
        <w:tc>
          <w:tcPr>
            <w:tcW w:w="2393" w:type="dxa"/>
            <w:noWrap/>
            <w:vAlign w:val="center"/>
          </w:tcPr>
          <w:p w14:paraId="6797591A">
            <w:pPr>
              <w:jc w:val="center"/>
              <w:rPr>
                <w:color w:val="000000"/>
                <w:sz w:val="20"/>
                <w:szCs w:val="20"/>
              </w:rPr>
            </w:pPr>
            <w:r>
              <w:rPr>
                <w:color w:val="000000"/>
                <w:sz w:val="20"/>
                <w:szCs w:val="20"/>
              </w:rPr>
              <w:t>Một mặt tiền</w:t>
            </w:r>
          </w:p>
        </w:tc>
        <w:tc>
          <w:tcPr>
            <w:tcW w:w="1198" w:type="dxa"/>
            <w:noWrap/>
            <w:vAlign w:val="center"/>
          </w:tcPr>
          <w:p w14:paraId="34423076">
            <w:pPr>
              <w:jc w:val="center"/>
              <w:rPr>
                <w:color w:val="000000"/>
                <w:sz w:val="20"/>
                <w:szCs w:val="20"/>
              </w:rPr>
            </w:pPr>
            <w:r>
              <w:rPr>
                <w:color w:val="000000"/>
                <w:sz w:val="20"/>
                <w:szCs w:val="20"/>
              </w:rPr>
              <w:t>8.000.000</w:t>
            </w:r>
          </w:p>
        </w:tc>
        <w:tc>
          <w:tcPr>
            <w:tcW w:w="1236" w:type="dxa"/>
            <w:noWrap/>
            <w:vAlign w:val="center"/>
          </w:tcPr>
          <w:p w14:paraId="6A49EC91">
            <w:pPr>
              <w:jc w:val="center"/>
              <w:rPr>
                <w:color w:val="000000"/>
                <w:sz w:val="20"/>
                <w:szCs w:val="20"/>
              </w:rPr>
            </w:pPr>
          </w:p>
        </w:tc>
        <w:tc>
          <w:tcPr>
            <w:tcW w:w="1252" w:type="dxa"/>
            <w:noWrap/>
            <w:vAlign w:val="center"/>
          </w:tcPr>
          <w:p w14:paraId="31055E61">
            <w:pPr>
              <w:jc w:val="center"/>
              <w:rPr>
                <w:color w:val="000000"/>
                <w:sz w:val="20"/>
                <w:szCs w:val="20"/>
              </w:rPr>
            </w:pPr>
            <w:r>
              <w:rPr>
                <w:color w:val="000000"/>
                <w:sz w:val="20"/>
                <w:szCs w:val="20"/>
              </w:rPr>
              <w:t>8.000.000</w:t>
            </w:r>
          </w:p>
        </w:tc>
        <w:tc>
          <w:tcPr>
            <w:tcW w:w="1848" w:type="dxa"/>
            <w:noWrap/>
            <w:vAlign w:val="center"/>
          </w:tcPr>
          <w:p w14:paraId="360271B3">
            <w:pPr>
              <w:jc w:val="center"/>
              <w:rPr>
                <w:color w:val="000000"/>
                <w:sz w:val="20"/>
                <w:szCs w:val="20"/>
              </w:rPr>
            </w:pPr>
            <w:r>
              <w:rPr>
                <w:color w:val="000000"/>
                <w:sz w:val="20"/>
                <w:szCs w:val="20"/>
              </w:rPr>
              <w:t>720.000.000</w:t>
            </w:r>
          </w:p>
        </w:tc>
      </w:tr>
      <w:tr w14:paraId="31CC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120E3B0">
            <w:pPr>
              <w:jc w:val="center"/>
              <w:rPr>
                <w:b/>
                <w:bCs/>
                <w:color w:val="000000"/>
                <w:sz w:val="20"/>
                <w:szCs w:val="20"/>
              </w:rPr>
            </w:pPr>
            <w:r>
              <w:rPr>
                <w:b/>
                <w:bCs/>
                <w:color w:val="000000"/>
                <w:sz w:val="20"/>
                <w:szCs w:val="20"/>
              </w:rPr>
              <w:t>LK21</w:t>
            </w:r>
          </w:p>
        </w:tc>
        <w:tc>
          <w:tcPr>
            <w:tcW w:w="1802" w:type="dxa"/>
            <w:vAlign w:val="center"/>
          </w:tcPr>
          <w:p w14:paraId="45CBC9BA">
            <w:pPr>
              <w:jc w:val="center"/>
              <w:rPr>
                <w:color w:val="000000"/>
                <w:sz w:val="20"/>
                <w:szCs w:val="20"/>
              </w:rPr>
            </w:pPr>
            <w:r>
              <w:rPr>
                <w:color w:val="000000"/>
                <w:sz w:val="20"/>
                <w:szCs w:val="20"/>
              </w:rPr>
              <w:t>LK21:01</w:t>
            </w:r>
          </w:p>
        </w:tc>
        <w:tc>
          <w:tcPr>
            <w:tcW w:w="1033" w:type="dxa"/>
            <w:noWrap/>
            <w:vAlign w:val="center"/>
          </w:tcPr>
          <w:p w14:paraId="3606C8E6">
            <w:pPr>
              <w:jc w:val="center"/>
              <w:rPr>
                <w:color w:val="000000"/>
                <w:sz w:val="20"/>
                <w:szCs w:val="20"/>
              </w:rPr>
            </w:pPr>
            <w:r>
              <w:rPr>
                <w:color w:val="000000"/>
                <w:sz w:val="20"/>
                <w:szCs w:val="20"/>
              </w:rPr>
              <w:t>90,00</w:t>
            </w:r>
          </w:p>
        </w:tc>
        <w:tc>
          <w:tcPr>
            <w:tcW w:w="846" w:type="dxa"/>
            <w:noWrap/>
            <w:vAlign w:val="center"/>
          </w:tcPr>
          <w:p w14:paraId="3D5601B6">
            <w:pPr>
              <w:jc w:val="center"/>
              <w:rPr>
                <w:color w:val="000000"/>
                <w:sz w:val="20"/>
                <w:szCs w:val="20"/>
              </w:rPr>
            </w:pPr>
            <w:r>
              <w:rPr>
                <w:color w:val="000000"/>
                <w:sz w:val="20"/>
                <w:szCs w:val="20"/>
              </w:rPr>
              <w:t>1</w:t>
            </w:r>
          </w:p>
        </w:tc>
        <w:tc>
          <w:tcPr>
            <w:tcW w:w="2578" w:type="dxa"/>
            <w:noWrap/>
            <w:vAlign w:val="center"/>
          </w:tcPr>
          <w:p w14:paraId="278C7B03">
            <w:pPr>
              <w:jc w:val="center"/>
              <w:rPr>
                <w:color w:val="000000"/>
                <w:sz w:val="20"/>
                <w:szCs w:val="20"/>
              </w:rPr>
            </w:pPr>
            <w:r>
              <w:rPr>
                <w:color w:val="000000"/>
                <w:sz w:val="20"/>
                <w:szCs w:val="20"/>
              </w:rPr>
              <w:t>Mặt cắt 3-3</w:t>
            </w:r>
          </w:p>
        </w:tc>
        <w:tc>
          <w:tcPr>
            <w:tcW w:w="2393" w:type="dxa"/>
            <w:noWrap/>
            <w:vAlign w:val="center"/>
          </w:tcPr>
          <w:p w14:paraId="5357D80A">
            <w:pPr>
              <w:jc w:val="center"/>
              <w:rPr>
                <w:color w:val="000000"/>
                <w:sz w:val="20"/>
                <w:szCs w:val="20"/>
              </w:rPr>
            </w:pPr>
            <w:r>
              <w:rPr>
                <w:color w:val="000000"/>
                <w:sz w:val="20"/>
                <w:szCs w:val="20"/>
              </w:rPr>
              <w:t>Một mặt tiền</w:t>
            </w:r>
          </w:p>
        </w:tc>
        <w:tc>
          <w:tcPr>
            <w:tcW w:w="1198" w:type="dxa"/>
            <w:noWrap/>
            <w:vAlign w:val="center"/>
          </w:tcPr>
          <w:p w14:paraId="6C07C914">
            <w:pPr>
              <w:jc w:val="center"/>
              <w:rPr>
                <w:color w:val="000000"/>
                <w:sz w:val="20"/>
                <w:szCs w:val="20"/>
              </w:rPr>
            </w:pPr>
            <w:r>
              <w:rPr>
                <w:color w:val="000000"/>
                <w:sz w:val="20"/>
                <w:szCs w:val="20"/>
              </w:rPr>
              <w:t>8.000.000</w:t>
            </w:r>
          </w:p>
        </w:tc>
        <w:tc>
          <w:tcPr>
            <w:tcW w:w="1236" w:type="dxa"/>
            <w:noWrap/>
            <w:vAlign w:val="center"/>
          </w:tcPr>
          <w:p w14:paraId="01B9EF1E">
            <w:pPr>
              <w:jc w:val="center"/>
              <w:rPr>
                <w:color w:val="000000"/>
                <w:sz w:val="20"/>
                <w:szCs w:val="20"/>
              </w:rPr>
            </w:pPr>
          </w:p>
        </w:tc>
        <w:tc>
          <w:tcPr>
            <w:tcW w:w="1252" w:type="dxa"/>
            <w:noWrap/>
            <w:vAlign w:val="center"/>
          </w:tcPr>
          <w:p w14:paraId="55170646">
            <w:pPr>
              <w:jc w:val="center"/>
              <w:rPr>
                <w:color w:val="000000"/>
                <w:sz w:val="20"/>
                <w:szCs w:val="20"/>
              </w:rPr>
            </w:pPr>
            <w:r>
              <w:rPr>
                <w:color w:val="000000"/>
                <w:sz w:val="20"/>
                <w:szCs w:val="20"/>
              </w:rPr>
              <w:t>8.000.000</w:t>
            </w:r>
          </w:p>
        </w:tc>
        <w:tc>
          <w:tcPr>
            <w:tcW w:w="1848" w:type="dxa"/>
            <w:noWrap/>
            <w:vAlign w:val="center"/>
          </w:tcPr>
          <w:p w14:paraId="6F5883FF">
            <w:pPr>
              <w:jc w:val="center"/>
              <w:rPr>
                <w:color w:val="000000"/>
                <w:sz w:val="20"/>
                <w:szCs w:val="20"/>
              </w:rPr>
            </w:pPr>
            <w:r>
              <w:rPr>
                <w:color w:val="000000"/>
                <w:sz w:val="20"/>
                <w:szCs w:val="20"/>
              </w:rPr>
              <w:t>720.000.000</w:t>
            </w:r>
          </w:p>
        </w:tc>
      </w:tr>
      <w:tr w14:paraId="2748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4F99135">
            <w:pPr>
              <w:jc w:val="center"/>
              <w:rPr>
                <w:b/>
                <w:bCs/>
                <w:color w:val="000000"/>
                <w:sz w:val="20"/>
                <w:szCs w:val="20"/>
              </w:rPr>
            </w:pPr>
            <w:r>
              <w:rPr>
                <w:b/>
                <w:bCs/>
                <w:color w:val="000000"/>
                <w:sz w:val="20"/>
                <w:szCs w:val="20"/>
              </w:rPr>
              <w:t>LK21</w:t>
            </w:r>
          </w:p>
        </w:tc>
        <w:tc>
          <w:tcPr>
            <w:tcW w:w="1802" w:type="dxa"/>
            <w:vAlign w:val="center"/>
          </w:tcPr>
          <w:p w14:paraId="454466EF">
            <w:pPr>
              <w:jc w:val="center"/>
              <w:rPr>
                <w:color w:val="000000"/>
                <w:sz w:val="20"/>
                <w:szCs w:val="20"/>
              </w:rPr>
            </w:pPr>
            <w:r>
              <w:rPr>
                <w:color w:val="000000"/>
                <w:sz w:val="20"/>
                <w:szCs w:val="20"/>
              </w:rPr>
              <w:t>LK21:02</w:t>
            </w:r>
          </w:p>
        </w:tc>
        <w:tc>
          <w:tcPr>
            <w:tcW w:w="1033" w:type="dxa"/>
            <w:noWrap/>
            <w:vAlign w:val="center"/>
          </w:tcPr>
          <w:p w14:paraId="6C2DC001">
            <w:pPr>
              <w:jc w:val="center"/>
              <w:rPr>
                <w:color w:val="000000"/>
                <w:sz w:val="20"/>
                <w:szCs w:val="20"/>
              </w:rPr>
            </w:pPr>
            <w:r>
              <w:rPr>
                <w:color w:val="000000"/>
                <w:sz w:val="20"/>
                <w:szCs w:val="20"/>
              </w:rPr>
              <w:t>90,00</w:t>
            </w:r>
          </w:p>
        </w:tc>
        <w:tc>
          <w:tcPr>
            <w:tcW w:w="846" w:type="dxa"/>
            <w:noWrap/>
            <w:vAlign w:val="center"/>
          </w:tcPr>
          <w:p w14:paraId="322BD6C2">
            <w:pPr>
              <w:jc w:val="center"/>
              <w:rPr>
                <w:color w:val="000000"/>
                <w:sz w:val="20"/>
                <w:szCs w:val="20"/>
              </w:rPr>
            </w:pPr>
            <w:r>
              <w:rPr>
                <w:color w:val="000000"/>
                <w:sz w:val="20"/>
                <w:szCs w:val="20"/>
              </w:rPr>
              <w:t>1</w:t>
            </w:r>
          </w:p>
        </w:tc>
        <w:tc>
          <w:tcPr>
            <w:tcW w:w="2578" w:type="dxa"/>
            <w:noWrap/>
            <w:vAlign w:val="center"/>
          </w:tcPr>
          <w:p w14:paraId="56DA95A2">
            <w:pPr>
              <w:jc w:val="center"/>
              <w:rPr>
                <w:color w:val="000000"/>
                <w:sz w:val="20"/>
                <w:szCs w:val="20"/>
              </w:rPr>
            </w:pPr>
            <w:r>
              <w:rPr>
                <w:color w:val="000000"/>
                <w:sz w:val="20"/>
                <w:szCs w:val="20"/>
              </w:rPr>
              <w:t>Mặt cắt 3-3</w:t>
            </w:r>
          </w:p>
        </w:tc>
        <w:tc>
          <w:tcPr>
            <w:tcW w:w="2393" w:type="dxa"/>
            <w:noWrap/>
            <w:vAlign w:val="center"/>
          </w:tcPr>
          <w:p w14:paraId="1AAB5ACB">
            <w:pPr>
              <w:jc w:val="center"/>
              <w:rPr>
                <w:color w:val="000000"/>
                <w:sz w:val="20"/>
                <w:szCs w:val="20"/>
              </w:rPr>
            </w:pPr>
            <w:r>
              <w:rPr>
                <w:color w:val="000000"/>
                <w:sz w:val="20"/>
                <w:szCs w:val="20"/>
              </w:rPr>
              <w:t>Một mặt tiền</w:t>
            </w:r>
          </w:p>
        </w:tc>
        <w:tc>
          <w:tcPr>
            <w:tcW w:w="1198" w:type="dxa"/>
            <w:noWrap/>
            <w:vAlign w:val="center"/>
          </w:tcPr>
          <w:p w14:paraId="3AC6E9A6">
            <w:pPr>
              <w:jc w:val="center"/>
              <w:rPr>
                <w:color w:val="000000"/>
                <w:sz w:val="20"/>
                <w:szCs w:val="20"/>
              </w:rPr>
            </w:pPr>
            <w:r>
              <w:rPr>
                <w:color w:val="000000"/>
                <w:sz w:val="20"/>
                <w:szCs w:val="20"/>
              </w:rPr>
              <w:t>8.000.000</w:t>
            </w:r>
          </w:p>
        </w:tc>
        <w:tc>
          <w:tcPr>
            <w:tcW w:w="1236" w:type="dxa"/>
            <w:noWrap/>
            <w:vAlign w:val="center"/>
          </w:tcPr>
          <w:p w14:paraId="7BFE5F37">
            <w:pPr>
              <w:jc w:val="center"/>
              <w:rPr>
                <w:color w:val="000000"/>
                <w:sz w:val="20"/>
                <w:szCs w:val="20"/>
              </w:rPr>
            </w:pPr>
          </w:p>
        </w:tc>
        <w:tc>
          <w:tcPr>
            <w:tcW w:w="1252" w:type="dxa"/>
            <w:noWrap/>
            <w:vAlign w:val="center"/>
          </w:tcPr>
          <w:p w14:paraId="6897BFFB">
            <w:pPr>
              <w:jc w:val="center"/>
              <w:rPr>
                <w:color w:val="000000"/>
                <w:sz w:val="20"/>
                <w:szCs w:val="20"/>
              </w:rPr>
            </w:pPr>
            <w:r>
              <w:rPr>
                <w:color w:val="000000"/>
                <w:sz w:val="20"/>
                <w:szCs w:val="20"/>
              </w:rPr>
              <w:t>8.000.000</w:t>
            </w:r>
          </w:p>
        </w:tc>
        <w:tc>
          <w:tcPr>
            <w:tcW w:w="1848" w:type="dxa"/>
            <w:noWrap/>
            <w:vAlign w:val="center"/>
          </w:tcPr>
          <w:p w14:paraId="20ACFBE4">
            <w:pPr>
              <w:jc w:val="center"/>
              <w:rPr>
                <w:color w:val="000000"/>
                <w:sz w:val="20"/>
                <w:szCs w:val="20"/>
              </w:rPr>
            </w:pPr>
            <w:r>
              <w:rPr>
                <w:color w:val="000000"/>
                <w:sz w:val="20"/>
                <w:szCs w:val="20"/>
              </w:rPr>
              <w:t>720.000.000</w:t>
            </w:r>
          </w:p>
        </w:tc>
      </w:tr>
      <w:tr w14:paraId="6715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4F202B">
            <w:pPr>
              <w:jc w:val="center"/>
              <w:rPr>
                <w:b/>
                <w:bCs/>
                <w:color w:val="000000"/>
                <w:sz w:val="20"/>
                <w:szCs w:val="20"/>
              </w:rPr>
            </w:pPr>
            <w:r>
              <w:rPr>
                <w:b/>
                <w:bCs/>
                <w:color w:val="000000"/>
                <w:sz w:val="20"/>
                <w:szCs w:val="20"/>
              </w:rPr>
              <w:t>LK21</w:t>
            </w:r>
          </w:p>
        </w:tc>
        <w:tc>
          <w:tcPr>
            <w:tcW w:w="1802" w:type="dxa"/>
            <w:vAlign w:val="center"/>
          </w:tcPr>
          <w:p w14:paraId="5191C95E">
            <w:pPr>
              <w:jc w:val="center"/>
              <w:rPr>
                <w:color w:val="000000"/>
                <w:sz w:val="20"/>
                <w:szCs w:val="20"/>
              </w:rPr>
            </w:pPr>
            <w:r>
              <w:rPr>
                <w:color w:val="000000"/>
                <w:sz w:val="20"/>
                <w:szCs w:val="20"/>
              </w:rPr>
              <w:t>LK21:03</w:t>
            </w:r>
          </w:p>
        </w:tc>
        <w:tc>
          <w:tcPr>
            <w:tcW w:w="1033" w:type="dxa"/>
            <w:noWrap/>
            <w:vAlign w:val="center"/>
          </w:tcPr>
          <w:p w14:paraId="60E6FA61">
            <w:pPr>
              <w:jc w:val="center"/>
              <w:rPr>
                <w:color w:val="000000"/>
                <w:sz w:val="20"/>
                <w:szCs w:val="20"/>
              </w:rPr>
            </w:pPr>
            <w:r>
              <w:rPr>
                <w:color w:val="000000"/>
                <w:sz w:val="20"/>
                <w:szCs w:val="20"/>
              </w:rPr>
              <w:t>90,00</w:t>
            </w:r>
          </w:p>
        </w:tc>
        <w:tc>
          <w:tcPr>
            <w:tcW w:w="846" w:type="dxa"/>
            <w:noWrap/>
            <w:vAlign w:val="center"/>
          </w:tcPr>
          <w:p w14:paraId="18205646">
            <w:pPr>
              <w:jc w:val="center"/>
              <w:rPr>
                <w:color w:val="000000"/>
                <w:sz w:val="20"/>
                <w:szCs w:val="20"/>
              </w:rPr>
            </w:pPr>
            <w:r>
              <w:rPr>
                <w:color w:val="000000"/>
                <w:sz w:val="20"/>
                <w:szCs w:val="20"/>
              </w:rPr>
              <w:t>1</w:t>
            </w:r>
          </w:p>
        </w:tc>
        <w:tc>
          <w:tcPr>
            <w:tcW w:w="2578" w:type="dxa"/>
            <w:noWrap/>
            <w:vAlign w:val="center"/>
          </w:tcPr>
          <w:p w14:paraId="2B9A78A6">
            <w:pPr>
              <w:jc w:val="center"/>
              <w:rPr>
                <w:color w:val="000000"/>
                <w:sz w:val="20"/>
                <w:szCs w:val="20"/>
              </w:rPr>
            </w:pPr>
            <w:r>
              <w:rPr>
                <w:color w:val="000000"/>
                <w:sz w:val="20"/>
                <w:szCs w:val="20"/>
              </w:rPr>
              <w:t>Mặt cắt 3-3</w:t>
            </w:r>
          </w:p>
        </w:tc>
        <w:tc>
          <w:tcPr>
            <w:tcW w:w="2393" w:type="dxa"/>
            <w:noWrap/>
            <w:vAlign w:val="center"/>
          </w:tcPr>
          <w:p w14:paraId="60133B24">
            <w:pPr>
              <w:jc w:val="center"/>
              <w:rPr>
                <w:color w:val="000000"/>
                <w:sz w:val="20"/>
                <w:szCs w:val="20"/>
              </w:rPr>
            </w:pPr>
            <w:r>
              <w:rPr>
                <w:color w:val="000000"/>
                <w:sz w:val="20"/>
                <w:szCs w:val="20"/>
              </w:rPr>
              <w:t>Một mặt tiền</w:t>
            </w:r>
          </w:p>
        </w:tc>
        <w:tc>
          <w:tcPr>
            <w:tcW w:w="1198" w:type="dxa"/>
            <w:noWrap/>
            <w:vAlign w:val="center"/>
          </w:tcPr>
          <w:p w14:paraId="5CD0AED1">
            <w:pPr>
              <w:jc w:val="center"/>
              <w:rPr>
                <w:color w:val="000000"/>
                <w:sz w:val="20"/>
                <w:szCs w:val="20"/>
              </w:rPr>
            </w:pPr>
            <w:r>
              <w:rPr>
                <w:color w:val="000000"/>
                <w:sz w:val="20"/>
                <w:szCs w:val="20"/>
              </w:rPr>
              <w:t>8.000.000</w:t>
            </w:r>
          </w:p>
        </w:tc>
        <w:tc>
          <w:tcPr>
            <w:tcW w:w="1236" w:type="dxa"/>
            <w:noWrap/>
            <w:vAlign w:val="center"/>
          </w:tcPr>
          <w:p w14:paraId="4CCF607E">
            <w:pPr>
              <w:jc w:val="center"/>
              <w:rPr>
                <w:color w:val="000000"/>
                <w:sz w:val="20"/>
                <w:szCs w:val="20"/>
              </w:rPr>
            </w:pPr>
          </w:p>
        </w:tc>
        <w:tc>
          <w:tcPr>
            <w:tcW w:w="1252" w:type="dxa"/>
            <w:noWrap/>
            <w:vAlign w:val="center"/>
          </w:tcPr>
          <w:p w14:paraId="4AB59013">
            <w:pPr>
              <w:jc w:val="center"/>
              <w:rPr>
                <w:color w:val="000000"/>
                <w:sz w:val="20"/>
                <w:szCs w:val="20"/>
              </w:rPr>
            </w:pPr>
            <w:r>
              <w:rPr>
                <w:color w:val="000000"/>
                <w:sz w:val="20"/>
                <w:szCs w:val="20"/>
              </w:rPr>
              <w:t>8.000.000</w:t>
            </w:r>
          </w:p>
        </w:tc>
        <w:tc>
          <w:tcPr>
            <w:tcW w:w="1848" w:type="dxa"/>
            <w:noWrap/>
            <w:vAlign w:val="center"/>
          </w:tcPr>
          <w:p w14:paraId="3264FBA0">
            <w:pPr>
              <w:jc w:val="center"/>
              <w:rPr>
                <w:color w:val="000000"/>
                <w:sz w:val="20"/>
                <w:szCs w:val="20"/>
              </w:rPr>
            </w:pPr>
            <w:r>
              <w:rPr>
                <w:color w:val="000000"/>
                <w:sz w:val="20"/>
                <w:szCs w:val="20"/>
              </w:rPr>
              <w:t>720.000.000</w:t>
            </w:r>
          </w:p>
        </w:tc>
      </w:tr>
      <w:tr w14:paraId="5532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FCAAE71">
            <w:pPr>
              <w:jc w:val="center"/>
              <w:rPr>
                <w:b/>
                <w:bCs/>
                <w:color w:val="000000"/>
                <w:sz w:val="20"/>
                <w:szCs w:val="20"/>
              </w:rPr>
            </w:pPr>
            <w:r>
              <w:rPr>
                <w:b/>
                <w:bCs/>
                <w:color w:val="000000"/>
                <w:sz w:val="20"/>
                <w:szCs w:val="20"/>
              </w:rPr>
              <w:t>LK21</w:t>
            </w:r>
          </w:p>
        </w:tc>
        <w:tc>
          <w:tcPr>
            <w:tcW w:w="1802" w:type="dxa"/>
            <w:vAlign w:val="center"/>
          </w:tcPr>
          <w:p w14:paraId="2D92F60D">
            <w:pPr>
              <w:jc w:val="center"/>
              <w:rPr>
                <w:color w:val="000000"/>
                <w:sz w:val="20"/>
                <w:szCs w:val="20"/>
              </w:rPr>
            </w:pPr>
            <w:r>
              <w:rPr>
                <w:color w:val="000000"/>
                <w:sz w:val="20"/>
                <w:szCs w:val="20"/>
              </w:rPr>
              <w:t>LK21:04</w:t>
            </w:r>
          </w:p>
        </w:tc>
        <w:tc>
          <w:tcPr>
            <w:tcW w:w="1033" w:type="dxa"/>
            <w:noWrap/>
            <w:vAlign w:val="center"/>
          </w:tcPr>
          <w:p w14:paraId="79F611C2">
            <w:pPr>
              <w:jc w:val="center"/>
              <w:rPr>
                <w:color w:val="000000"/>
                <w:sz w:val="20"/>
                <w:szCs w:val="20"/>
              </w:rPr>
            </w:pPr>
            <w:r>
              <w:rPr>
                <w:color w:val="000000"/>
                <w:sz w:val="20"/>
                <w:szCs w:val="20"/>
              </w:rPr>
              <w:t>90,00</w:t>
            </w:r>
          </w:p>
        </w:tc>
        <w:tc>
          <w:tcPr>
            <w:tcW w:w="846" w:type="dxa"/>
            <w:noWrap/>
            <w:vAlign w:val="center"/>
          </w:tcPr>
          <w:p w14:paraId="701432CA">
            <w:pPr>
              <w:jc w:val="center"/>
              <w:rPr>
                <w:color w:val="000000"/>
                <w:sz w:val="20"/>
                <w:szCs w:val="20"/>
              </w:rPr>
            </w:pPr>
            <w:r>
              <w:rPr>
                <w:color w:val="000000"/>
                <w:sz w:val="20"/>
                <w:szCs w:val="20"/>
              </w:rPr>
              <w:t>1</w:t>
            </w:r>
          </w:p>
        </w:tc>
        <w:tc>
          <w:tcPr>
            <w:tcW w:w="2578" w:type="dxa"/>
            <w:noWrap/>
            <w:vAlign w:val="center"/>
          </w:tcPr>
          <w:p w14:paraId="51ED5E33">
            <w:pPr>
              <w:jc w:val="center"/>
              <w:rPr>
                <w:color w:val="000000"/>
                <w:sz w:val="20"/>
                <w:szCs w:val="20"/>
              </w:rPr>
            </w:pPr>
            <w:r>
              <w:rPr>
                <w:color w:val="000000"/>
                <w:sz w:val="20"/>
                <w:szCs w:val="20"/>
              </w:rPr>
              <w:t>Mặt cắt 3-3</w:t>
            </w:r>
          </w:p>
        </w:tc>
        <w:tc>
          <w:tcPr>
            <w:tcW w:w="2393" w:type="dxa"/>
            <w:noWrap/>
            <w:vAlign w:val="center"/>
          </w:tcPr>
          <w:p w14:paraId="1A43BD3F">
            <w:pPr>
              <w:jc w:val="center"/>
              <w:rPr>
                <w:color w:val="000000"/>
                <w:sz w:val="20"/>
                <w:szCs w:val="20"/>
              </w:rPr>
            </w:pPr>
            <w:r>
              <w:rPr>
                <w:color w:val="000000"/>
                <w:sz w:val="20"/>
                <w:szCs w:val="20"/>
              </w:rPr>
              <w:t>Một mặt tiền</w:t>
            </w:r>
          </w:p>
        </w:tc>
        <w:tc>
          <w:tcPr>
            <w:tcW w:w="1198" w:type="dxa"/>
            <w:noWrap/>
            <w:vAlign w:val="center"/>
          </w:tcPr>
          <w:p w14:paraId="33BFD0E3">
            <w:pPr>
              <w:jc w:val="center"/>
              <w:rPr>
                <w:color w:val="000000"/>
                <w:sz w:val="20"/>
                <w:szCs w:val="20"/>
              </w:rPr>
            </w:pPr>
            <w:r>
              <w:rPr>
                <w:color w:val="000000"/>
                <w:sz w:val="20"/>
                <w:szCs w:val="20"/>
              </w:rPr>
              <w:t>8.000.000</w:t>
            </w:r>
          </w:p>
        </w:tc>
        <w:tc>
          <w:tcPr>
            <w:tcW w:w="1236" w:type="dxa"/>
            <w:noWrap/>
            <w:vAlign w:val="center"/>
          </w:tcPr>
          <w:p w14:paraId="60BD5461">
            <w:pPr>
              <w:jc w:val="center"/>
              <w:rPr>
                <w:color w:val="000000"/>
                <w:sz w:val="20"/>
                <w:szCs w:val="20"/>
              </w:rPr>
            </w:pPr>
          </w:p>
        </w:tc>
        <w:tc>
          <w:tcPr>
            <w:tcW w:w="1252" w:type="dxa"/>
            <w:noWrap/>
            <w:vAlign w:val="center"/>
          </w:tcPr>
          <w:p w14:paraId="5A5AE4C1">
            <w:pPr>
              <w:jc w:val="center"/>
              <w:rPr>
                <w:color w:val="000000"/>
                <w:sz w:val="20"/>
                <w:szCs w:val="20"/>
              </w:rPr>
            </w:pPr>
            <w:r>
              <w:rPr>
                <w:color w:val="000000"/>
                <w:sz w:val="20"/>
                <w:szCs w:val="20"/>
              </w:rPr>
              <w:t>8.000.000</w:t>
            </w:r>
          </w:p>
        </w:tc>
        <w:tc>
          <w:tcPr>
            <w:tcW w:w="1848" w:type="dxa"/>
            <w:noWrap/>
            <w:vAlign w:val="center"/>
          </w:tcPr>
          <w:p w14:paraId="6C069FF2">
            <w:pPr>
              <w:jc w:val="center"/>
              <w:rPr>
                <w:color w:val="000000"/>
                <w:sz w:val="20"/>
                <w:szCs w:val="20"/>
              </w:rPr>
            </w:pPr>
            <w:r>
              <w:rPr>
                <w:color w:val="000000"/>
                <w:sz w:val="20"/>
                <w:szCs w:val="20"/>
              </w:rPr>
              <w:t>720.000.000</w:t>
            </w:r>
          </w:p>
        </w:tc>
      </w:tr>
      <w:tr w14:paraId="5CB7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DB9A8DB">
            <w:pPr>
              <w:jc w:val="center"/>
              <w:rPr>
                <w:b/>
                <w:bCs/>
                <w:color w:val="000000"/>
                <w:sz w:val="20"/>
                <w:szCs w:val="20"/>
              </w:rPr>
            </w:pPr>
            <w:r>
              <w:rPr>
                <w:b/>
                <w:bCs/>
                <w:color w:val="000000"/>
                <w:sz w:val="20"/>
                <w:szCs w:val="20"/>
              </w:rPr>
              <w:t>LK21</w:t>
            </w:r>
          </w:p>
        </w:tc>
        <w:tc>
          <w:tcPr>
            <w:tcW w:w="1802" w:type="dxa"/>
            <w:vAlign w:val="center"/>
          </w:tcPr>
          <w:p w14:paraId="768FAD53">
            <w:pPr>
              <w:jc w:val="center"/>
              <w:rPr>
                <w:color w:val="000000"/>
                <w:sz w:val="20"/>
                <w:szCs w:val="20"/>
              </w:rPr>
            </w:pPr>
            <w:r>
              <w:rPr>
                <w:color w:val="000000"/>
                <w:sz w:val="20"/>
                <w:szCs w:val="20"/>
              </w:rPr>
              <w:t>LK21:05</w:t>
            </w:r>
          </w:p>
        </w:tc>
        <w:tc>
          <w:tcPr>
            <w:tcW w:w="1033" w:type="dxa"/>
            <w:noWrap/>
            <w:vAlign w:val="center"/>
          </w:tcPr>
          <w:p w14:paraId="00F94C35">
            <w:pPr>
              <w:jc w:val="center"/>
              <w:rPr>
                <w:color w:val="000000"/>
                <w:sz w:val="20"/>
                <w:szCs w:val="20"/>
              </w:rPr>
            </w:pPr>
            <w:r>
              <w:rPr>
                <w:color w:val="000000"/>
                <w:sz w:val="20"/>
                <w:szCs w:val="20"/>
              </w:rPr>
              <w:t>90,00</w:t>
            </w:r>
          </w:p>
        </w:tc>
        <w:tc>
          <w:tcPr>
            <w:tcW w:w="846" w:type="dxa"/>
            <w:noWrap/>
            <w:vAlign w:val="center"/>
          </w:tcPr>
          <w:p w14:paraId="76ED34E3">
            <w:pPr>
              <w:jc w:val="center"/>
              <w:rPr>
                <w:color w:val="000000"/>
                <w:sz w:val="20"/>
                <w:szCs w:val="20"/>
              </w:rPr>
            </w:pPr>
            <w:r>
              <w:rPr>
                <w:color w:val="000000"/>
                <w:sz w:val="20"/>
                <w:szCs w:val="20"/>
              </w:rPr>
              <w:t>1</w:t>
            </w:r>
          </w:p>
        </w:tc>
        <w:tc>
          <w:tcPr>
            <w:tcW w:w="2578" w:type="dxa"/>
            <w:noWrap/>
            <w:vAlign w:val="center"/>
          </w:tcPr>
          <w:p w14:paraId="0512EC0B">
            <w:pPr>
              <w:jc w:val="center"/>
              <w:rPr>
                <w:color w:val="000000"/>
                <w:sz w:val="20"/>
                <w:szCs w:val="20"/>
              </w:rPr>
            </w:pPr>
            <w:r>
              <w:rPr>
                <w:color w:val="000000"/>
                <w:sz w:val="20"/>
                <w:szCs w:val="20"/>
              </w:rPr>
              <w:t>Mặt cắt 3-3</w:t>
            </w:r>
          </w:p>
        </w:tc>
        <w:tc>
          <w:tcPr>
            <w:tcW w:w="2393" w:type="dxa"/>
            <w:noWrap/>
            <w:vAlign w:val="center"/>
          </w:tcPr>
          <w:p w14:paraId="41F61F83">
            <w:pPr>
              <w:jc w:val="center"/>
              <w:rPr>
                <w:color w:val="000000"/>
                <w:sz w:val="20"/>
                <w:szCs w:val="20"/>
              </w:rPr>
            </w:pPr>
            <w:r>
              <w:rPr>
                <w:color w:val="000000"/>
                <w:sz w:val="20"/>
                <w:szCs w:val="20"/>
              </w:rPr>
              <w:t>Một mặt tiền</w:t>
            </w:r>
          </w:p>
        </w:tc>
        <w:tc>
          <w:tcPr>
            <w:tcW w:w="1198" w:type="dxa"/>
            <w:noWrap/>
            <w:vAlign w:val="center"/>
          </w:tcPr>
          <w:p w14:paraId="1A23C34D">
            <w:pPr>
              <w:jc w:val="center"/>
              <w:rPr>
                <w:color w:val="000000"/>
                <w:sz w:val="20"/>
                <w:szCs w:val="20"/>
              </w:rPr>
            </w:pPr>
            <w:r>
              <w:rPr>
                <w:color w:val="000000"/>
                <w:sz w:val="20"/>
                <w:szCs w:val="20"/>
              </w:rPr>
              <w:t>8.000.000</w:t>
            </w:r>
          </w:p>
        </w:tc>
        <w:tc>
          <w:tcPr>
            <w:tcW w:w="1236" w:type="dxa"/>
            <w:noWrap/>
            <w:vAlign w:val="center"/>
          </w:tcPr>
          <w:p w14:paraId="69082B39">
            <w:pPr>
              <w:jc w:val="center"/>
              <w:rPr>
                <w:color w:val="000000"/>
                <w:sz w:val="20"/>
                <w:szCs w:val="20"/>
              </w:rPr>
            </w:pPr>
          </w:p>
        </w:tc>
        <w:tc>
          <w:tcPr>
            <w:tcW w:w="1252" w:type="dxa"/>
            <w:noWrap/>
            <w:vAlign w:val="center"/>
          </w:tcPr>
          <w:p w14:paraId="796F2A22">
            <w:pPr>
              <w:jc w:val="center"/>
              <w:rPr>
                <w:color w:val="000000"/>
                <w:sz w:val="20"/>
                <w:szCs w:val="20"/>
              </w:rPr>
            </w:pPr>
            <w:r>
              <w:rPr>
                <w:color w:val="000000"/>
                <w:sz w:val="20"/>
                <w:szCs w:val="20"/>
              </w:rPr>
              <w:t>8.000.000</w:t>
            </w:r>
          </w:p>
        </w:tc>
        <w:tc>
          <w:tcPr>
            <w:tcW w:w="1848" w:type="dxa"/>
            <w:noWrap/>
            <w:vAlign w:val="center"/>
          </w:tcPr>
          <w:p w14:paraId="38B040EE">
            <w:pPr>
              <w:jc w:val="center"/>
              <w:rPr>
                <w:color w:val="000000"/>
                <w:sz w:val="20"/>
                <w:szCs w:val="20"/>
              </w:rPr>
            </w:pPr>
            <w:r>
              <w:rPr>
                <w:color w:val="000000"/>
                <w:sz w:val="20"/>
                <w:szCs w:val="20"/>
              </w:rPr>
              <w:t>720.000.000</w:t>
            </w:r>
          </w:p>
        </w:tc>
      </w:tr>
      <w:tr w14:paraId="08D3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F09E5A2">
            <w:pPr>
              <w:jc w:val="center"/>
              <w:rPr>
                <w:b/>
                <w:bCs/>
                <w:color w:val="000000"/>
                <w:sz w:val="20"/>
                <w:szCs w:val="20"/>
              </w:rPr>
            </w:pPr>
            <w:r>
              <w:rPr>
                <w:b/>
                <w:bCs/>
                <w:color w:val="000000"/>
                <w:sz w:val="20"/>
                <w:szCs w:val="20"/>
              </w:rPr>
              <w:t>LK21</w:t>
            </w:r>
          </w:p>
        </w:tc>
        <w:tc>
          <w:tcPr>
            <w:tcW w:w="1802" w:type="dxa"/>
            <w:vAlign w:val="center"/>
          </w:tcPr>
          <w:p w14:paraId="09BB34EC">
            <w:pPr>
              <w:jc w:val="center"/>
              <w:rPr>
                <w:color w:val="000000"/>
                <w:sz w:val="20"/>
                <w:szCs w:val="20"/>
              </w:rPr>
            </w:pPr>
            <w:r>
              <w:rPr>
                <w:color w:val="000000"/>
                <w:sz w:val="20"/>
                <w:szCs w:val="20"/>
              </w:rPr>
              <w:t>LK21:06</w:t>
            </w:r>
          </w:p>
        </w:tc>
        <w:tc>
          <w:tcPr>
            <w:tcW w:w="1033" w:type="dxa"/>
            <w:noWrap/>
            <w:vAlign w:val="center"/>
          </w:tcPr>
          <w:p w14:paraId="6DE9F6A2">
            <w:pPr>
              <w:jc w:val="center"/>
              <w:rPr>
                <w:color w:val="000000"/>
                <w:sz w:val="20"/>
                <w:szCs w:val="20"/>
              </w:rPr>
            </w:pPr>
            <w:r>
              <w:rPr>
                <w:color w:val="000000"/>
                <w:sz w:val="20"/>
                <w:szCs w:val="20"/>
              </w:rPr>
              <w:t>90,00</w:t>
            </w:r>
          </w:p>
        </w:tc>
        <w:tc>
          <w:tcPr>
            <w:tcW w:w="846" w:type="dxa"/>
            <w:noWrap/>
            <w:vAlign w:val="center"/>
          </w:tcPr>
          <w:p w14:paraId="43A787D5">
            <w:pPr>
              <w:jc w:val="center"/>
              <w:rPr>
                <w:color w:val="000000"/>
                <w:sz w:val="20"/>
                <w:szCs w:val="20"/>
              </w:rPr>
            </w:pPr>
            <w:r>
              <w:rPr>
                <w:color w:val="000000"/>
                <w:sz w:val="20"/>
                <w:szCs w:val="20"/>
              </w:rPr>
              <w:t>1</w:t>
            </w:r>
          </w:p>
        </w:tc>
        <w:tc>
          <w:tcPr>
            <w:tcW w:w="2578" w:type="dxa"/>
            <w:noWrap/>
            <w:vAlign w:val="center"/>
          </w:tcPr>
          <w:p w14:paraId="0D12CE46">
            <w:pPr>
              <w:jc w:val="center"/>
              <w:rPr>
                <w:color w:val="000000"/>
                <w:sz w:val="20"/>
                <w:szCs w:val="20"/>
              </w:rPr>
            </w:pPr>
            <w:r>
              <w:rPr>
                <w:color w:val="000000"/>
                <w:sz w:val="20"/>
                <w:szCs w:val="20"/>
              </w:rPr>
              <w:t>Mặt cắt 3-3</w:t>
            </w:r>
          </w:p>
        </w:tc>
        <w:tc>
          <w:tcPr>
            <w:tcW w:w="2393" w:type="dxa"/>
            <w:noWrap/>
            <w:vAlign w:val="center"/>
          </w:tcPr>
          <w:p w14:paraId="25800961">
            <w:pPr>
              <w:jc w:val="center"/>
              <w:rPr>
                <w:color w:val="000000"/>
                <w:sz w:val="20"/>
                <w:szCs w:val="20"/>
              </w:rPr>
            </w:pPr>
            <w:r>
              <w:rPr>
                <w:color w:val="000000"/>
                <w:sz w:val="20"/>
                <w:szCs w:val="20"/>
              </w:rPr>
              <w:t>Một mặt tiền</w:t>
            </w:r>
          </w:p>
        </w:tc>
        <w:tc>
          <w:tcPr>
            <w:tcW w:w="1198" w:type="dxa"/>
            <w:noWrap/>
            <w:vAlign w:val="center"/>
          </w:tcPr>
          <w:p w14:paraId="3BF49FB0">
            <w:pPr>
              <w:jc w:val="center"/>
              <w:rPr>
                <w:color w:val="000000"/>
                <w:sz w:val="20"/>
                <w:szCs w:val="20"/>
              </w:rPr>
            </w:pPr>
            <w:r>
              <w:rPr>
                <w:color w:val="000000"/>
                <w:sz w:val="20"/>
                <w:szCs w:val="20"/>
              </w:rPr>
              <w:t>8.000.000</w:t>
            </w:r>
          </w:p>
        </w:tc>
        <w:tc>
          <w:tcPr>
            <w:tcW w:w="1236" w:type="dxa"/>
            <w:noWrap/>
            <w:vAlign w:val="center"/>
          </w:tcPr>
          <w:p w14:paraId="329EE76C">
            <w:pPr>
              <w:jc w:val="center"/>
              <w:rPr>
                <w:color w:val="000000"/>
                <w:sz w:val="20"/>
                <w:szCs w:val="20"/>
              </w:rPr>
            </w:pPr>
          </w:p>
        </w:tc>
        <w:tc>
          <w:tcPr>
            <w:tcW w:w="1252" w:type="dxa"/>
            <w:noWrap/>
            <w:vAlign w:val="center"/>
          </w:tcPr>
          <w:p w14:paraId="1520F4D3">
            <w:pPr>
              <w:jc w:val="center"/>
              <w:rPr>
                <w:color w:val="000000"/>
                <w:sz w:val="20"/>
                <w:szCs w:val="20"/>
              </w:rPr>
            </w:pPr>
            <w:r>
              <w:rPr>
                <w:color w:val="000000"/>
                <w:sz w:val="20"/>
                <w:szCs w:val="20"/>
              </w:rPr>
              <w:t>8.000.000</w:t>
            </w:r>
          </w:p>
        </w:tc>
        <w:tc>
          <w:tcPr>
            <w:tcW w:w="1848" w:type="dxa"/>
            <w:noWrap/>
            <w:vAlign w:val="center"/>
          </w:tcPr>
          <w:p w14:paraId="2C5D0D48">
            <w:pPr>
              <w:jc w:val="center"/>
              <w:rPr>
                <w:color w:val="000000"/>
                <w:sz w:val="20"/>
                <w:szCs w:val="20"/>
              </w:rPr>
            </w:pPr>
            <w:r>
              <w:rPr>
                <w:color w:val="000000"/>
                <w:sz w:val="20"/>
                <w:szCs w:val="20"/>
              </w:rPr>
              <w:t>720.000.000</w:t>
            </w:r>
          </w:p>
        </w:tc>
      </w:tr>
      <w:tr w14:paraId="0D57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F24FA00">
            <w:pPr>
              <w:jc w:val="center"/>
              <w:rPr>
                <w:b/>
                <w:bCs/>
                <w:color w:val="000000"/>
                <w:sz w:val="20"/>
                <w:szCs w:val="20"/>
              </w:rPr>
            </w:pPr>
            <w:r>
              <w:rPr>
                <w:b/>
                <w:bCs/>
                <w:color w:val="000000"/>
                <w:sz w:val="20"/>
                <w:szCs w:val="20"/>
              </w:rPr>
              <w:t>LK21</w:t>
            </w:r>
          </w:p>
        </w:tc>
        <w:tc>
          <w:tcPr>
            <w:tcW w:w="1802" w:type="dxa"/>
            <w:vAlign w:val="center"/>
          </w:tcPr>
          <w:p w14:paraId="3897A0E6">
            <w:pPr>
              <w:jc w:val="center"/>
              <w:rPr>
                <w:color w:val="000000"/>
                <w:sz w:val="20"/>
                <w:szCs w:val="20"/>
              </w:rPr>
            </w:pPr>
            <w:r>
              <w:rPr>
                <w:color w:val="000000"/>
                <w:sz w:val="20"/>
                <w:szCs w:val="20"/>
              </w:rPr>
              <w:t>LK21:07</w:t>
            </w:r>
          </w:p>
        </w:tc>
        <w:tc>
          <w:tcPr>
            <w:tcW w:w="1033" w:type="dxa"/>
            <w:noWrap/>
            <w:vAlign w:val="center"/>
          </w:tcPr>
          <w:p w14:paraId="2C047BA9">
            <w:pPr>
              <w:jc w:val="center"/>
              <w:rPr>
                <w:color w:val="000000"/>
                <w:sz w:val="20"/>
                <w:szCs w:val="20"/>
              </w:rPr>
            </w:pPr>
            <w:r>
              <w:rPr>
                <w:color w:val="000000"/>
                <w:sz w:val="20"/>
                <w:szCs w:val="20"/>
              </w:rPr>
              <w:t>108,88</w:t>
            </w:r>
          </w:p>
        </w:tc>
        <w:tc>
          <w:tcPr>
            <w:tcW w:w="846" w:type="dxa"/>
            <w:noWrap/>
            <w:vAlign w:val="center"/>
          </w:tcPr>
          <w:p w14:paraId="4308CFA5">
            <w:pPr>
              <w:jc w:val="center"/>
              <w:rPr>
                <w:color w:val="000000"/>
                <w:sz w:val="20"/>
                <w:szCs w:val="20"/>
              </w:rPr>
            </w:pPr>
            <w:r>
              <w:rPr>
                <w:color w:val="000000"/>
                <w:sz w:val="20"/>
                <w:szCs w:val="20"/>
              </w:rPr>
              <w:t>1</w:t>
            </w:r>
          </w:p>
        </w:tc>
        <w:tc>
          <w:tcPr>
            <w:tcW w:w="2578" w:type="dxa"/>
            <w:noWrap/>
            <w:vAlign w:val="center"/>
          </w:tcPr>
          <w:p w14:paraId="4412D132">
            <w:pPr>
              <w:jc w:val="center"/>
              <w:rPr>
                <w:color w:val="000000"/>
                <w:sz w:val="20"/>
                <w:szCs w:val="20"/>
              </w:rPr>
            </w:pPr>
            <w:r>
              <w:rPr>
                <w:color w:val="000000"/>
                <w:sz w:val="20"/>
                <w:szCs w:val="20"/>
              </w:rPr>
              <w:t>Mặt cắt 3-3</w:t>
            </w:r>
          </w:p>
        </w:tc>
        <w:tc>
          <w:tcPr>
            <w:tcW w:w="2393" w:type="dxa"/>
            <w:noWrap/>
            <w:vAlign w:val="center"/>
          </w:tcPr>
          <w:p w14:paraId="20F0465B">
            <w:pPr>
              <w:jc w:val="center"/>
              <w:rPr>
                <w:color w:val="000000"/>
                <w:sz w:val="20"/>
                <w:szCs w:val="20"/>
              </w:rPr>
            </w:pPr>
            <w:r>
              <w:rPr>
                <w:color w:val="000000"/>
                <w:sz w:val="20"/>
                <w:szCs w:val="20"/>
              </w:rPr>
              <w:t>Một mặt tiền</w:t>
            </w:r>
          </w:p>
        </w:tc>
        <w:tc>
          <w:tcPr>
            <w:tcW w:w="1198" w:type="dxa"/>
            <w:noWrap/>
            <w:vAlign w:val="center"/>
          </w:tcPr>
          <w:p w14:paraId="3CC7C6B5">
            <w:pPr>
              <w:jc w:val="center"/>
              <w:rPr>
                <w:color w:val="000000"/>
                <w:sz w:val="20"/>
                <w:szCs w:val="20"/>
              </w:rPr>
            </w:pPr>
            <w:r>
              <w:rPr>
                <w:color w:val="000000"/>
                <w:sz w:val="20"/>
                <w:szCs w:val="20"/>
              </w:rPr>
              <w:t>8.000.000</w:t>
            </w:r>
          </w:p>
        </w:tc>
        <w:tc>
          <w:tcPr>
            <w:tcW w:w="1236" w:type="dxa"/>
            <w:noWrap/>
            <w:vAlign w:val="center"/>
          </w:tcPr>
          <w:p w14:paraId="571EE9B1">
            <w:pPr>
              <w:jc w:val="center"/>
              <w:rPr>
                <w:color w:val="000000"/>
                <w:sz w:val="20"/>
                <w:szCs w:val="20"/>
              </w:rPr>
            </w:pPr>
          </w:p>
        </w:tc>
        <w:tc>
          <w:tcPr>
            <w:tcW w:w="1252" w:type="dxa"/>
            <w:noWrap/>
            <w:vAlign w:val="center"/>
          </w:tcPr>
          <w:p w14:paraId="57F80045">
            <w:pPr>
              <w:jc w:val="center"/>
              <w:rPr>
                <w:color w:val="000000"/>
                <w:sz w:val="20"/>
                <w:szCs w:val="20"/>
              </w:rPr>
            </w:pPr>
            <w:r>
              <w:rPr>
                <w:color w:val="000000"/>
                <w:sz w:val="20"/>
                <w:szCs w:val="20"/>
              </w:rPr>
              <w:t>8.000.000</w:t>
            </w:r>
          </w:p>
        </w:tc>
        <w:tc>
          <w:tcPr>
            <w:tcW w:w="1848" w:type="dxa"/>
            <w:noWrap/>
            <w:vAlign w:val="center"/>
          </w:tcPr>
          <w:p w14:paraId="602F3028">
            <w:pPr>
              <w:jc w:val="center"/>
              <w:rPr>
                <w:color w:val="000000"/>
                <w:sz w:val="20"/>
                <w:szCs w:val="20"/>
              </w:rPr>
            </w:pPr>
            <w:r>
              <w:rPr>
                <w:color w:val="000000"/>
                <w:sz w:val="20"/>
                <w:szCs w:val="20"/>
              </w:rPr>
              <w:t>871.040.000</w:t>
            </w:r>
          </w:p>
        </w:tc>
      </w:tr>
      <w:tr w14:paraId="3150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55181F">
            <w:pPr>
              <w:jc w:val="center"/>
              <w:rPr>
                <w:b/>
                <w:bCs/>
                <w:color w:val="000000"/>
                <w:sz w:val="20"/>
                <w:szCs w:val="20"/>
              </w:rPr>
            </w:pPr>
            <w:r>
              <w:rPr>
                <w:b/>
                <w:bCs/>
                <w:color w:val="000000"/>
                <w:sz w:val="20"/>
                <w:szCs w:val="20"/>
              </w:rPr>
              <w:t>LK23</w:t>
            </w:r>
          </w:p>
        </w:tc>
        <w:tc>
          <w:tcPr>
            <w:tcW w:w="1802" w:type="dxa"/>
            <w:vAlign w:val="center"/>
          </w:tcPr>
          <w:p w14:paraId="238B4E1B">
            <w:pPr>
              <w:jc w:val="center"/>
              <w:rPr>
                <w:color w:val="000000"/>
                <w:sz w:val="20"/>
                <w:szCs w:val="20"/>
              </w:rPr>
            </w:pPr>
            <w:r>
              <w:rPr>
                <w:color w:val="000000"/>
                <w:sz w:val="20"/>
                <w:szCs w:val="20"/>
              </w:rPr>
              <w:t>LK23:01</w:t>
            </w:r>
          </w:p>
        </w:tc>
        <w:tc>
          <w:tcPr>
            <w:tcW w:w="1033" w:type="dxa"/>
            <w:noWrap/>
            <w:vAlign w:val="center"/>
          </w:tcPr>
          <w:p w14:paraId="32402A6A">
            <w:pPr>
              <w:jc w:val="center"/>
              <w:rPr>
                <w:color w:val="000000"/>
                <w:sz w:val="20"/>
                <w:szCs w:val="20"/>
              </w:rPr>
            </w:pPr>
            <w:r>
              <w:rPr>
                <w:color w:val="000000"/>
                <w:sz w:val="20"/>
                <w:szCs w:val="20"/>
              </w:rPr>
              <w:t>90,00</w:t>
            </w:r>
          </w:p>
        </w:tc>
        <w:tc>
          <w:tcPr>
            <w:tcW w:w="846" w:type="dxa"/>
            <w:noWrap/>
            <w:vAlign w:val="center"/>
          </w:tcPr>
          <w:p w14:paraId="62A7FEB8">
            <w:pPr>
              <w:jc w:val="center"/>
              <w:rPr>
                <w:color w:val="000000"/>
                <w:sz w:val="20"/>
                <w:szCs w:val="20"/>
              </w:rPr>
            </w:pPr>
            <w:r>
              <w:rPr>
                <w:color w:val="000000"/>
                <w:sz w:val="20"/>
                <w:szCs w:val="20"/>
              </w:rPr>
              <w:t>1</w:t>
            </w:r>
          </w:p>
        </w:tc>
        <w:tc>
          <w:tcPr>
            <w:tcW w:w="2578" w:type="dxa"/>
            <w:noWrap/>
            <w:vAlign w:val="center"/>
          </w:tcPr>
          <w:p w14:paraId="61E3CD5B">
            <w:pPr>
              <w:jc w:val="center"/>
              <w:rPr>
                <w:color w:val="000000"/>
                <w:sz w:val="20"/>
                <w:szCs w:val="20"/>
              </w:rPr>
            </w:pPr>
            <w:r>
              <w:rPr>
                <w:color w:val="000000"/>
                <w:sz w:val="20"/>
                <w:szCs w:val="20"/>
              </w:rPr>
              <w:t>Mặt cắt 3-3</w:t>
            </w:r>
          </w:p>
        </w:tc>
        <w:tc>
          <w:tcPr>
            <w:tcW w:w="2393" w:type="dxa"/>
            <w:noWrap/>
            <w:vAlign w:val="center"/>
          </w:tcPr>
          <w:p w14:paraId="7B4A0734">
            <w:pPr>
              <w:jc w:val="center"/>
              <w:rPr>
                <w:color w:val="000000"/>
                <w:sz w:val="20"/>
                <w:szCs w:val="20"/>
              </w:rPr>
            </w:pPr>
            <w:r>
              <w:rPr>
                <w:color w:val="000000"/>
                <w:sz w:val="20"/>
                <w:szCs w:val="20"/>
              </w:rPr>
              <w:t>Một mặt tiền</w:t>
            </w:r>
          </w:p>
        </w:tc>
        <w:tc>
          <w:tcPr>
            <w:tcW w:w="1198" w:type="dxa"/>
            <w:noWrap/>
            <w:vAlign w:val="center"/>
          </w:tcPr>
          <w:p w14:paraId="62034C5A">
            <w:pPr>
              <w:jc w:val="center"/>
              <w:rPr>
                <w:color w:val="000000"/>
                <w:sz w:val="20"/>
                <w:szCs w:val="20"/>
              </w:rPr>
            </w:pPr>
            <w:r>
              <w:rPr>
                <w:color w:val="000000"/>
                <w:sz w:val="20"/>
                <w:szCs w:val="20"/>
              </w:rPr>
              <w:t>8.000.000</w:t>
            </w:r>
          </w:p>
        </w:tc>
        <w:tc>
          <w:tcPr>
            <w:tcW w:w="1236" w:type="dxa"/>
            <w:noWrap/>
            <w:vAlign w:val="center"/>
          </w:tcPr>
          <w:p w14:paraId="3394F947">
            <w:pPr>
              <w:jc w:val="center"/>
              <w:rPr>
                <w:color w:val="000000"/>
                <w:sz w:val="20"/>
                <w:szCs w:val="20"/>
              </w:rPr>
            </w:pPr>
          </w:p>
        </w:tc>
        <w:tc>
          <w:tcPr>
            <w:tcW w:w="1252" w:type="dxa"/>
            <w:noWrap/>
            <w:vAlign w:val="center"/>
          </w:tcPr>
          <w:p w14:paraId="752BF7CD">
            <w:pPr>
              <w:jc w:val="center"/>
              <w:rPr>
                <w:color w:val="000000"/>
                <w:sz w:val="20"/>
                <w:szCs w:val="20"/>
              </w:rPr>
            </w:pPr>
            <w:r>
              <w:rPr>
                <w:color w:val="000000"/>
                <w:sz w:val="20"/>
                <w:szCs w:val="20"/>
              </w:rPr>
              <w:t>8.000.000</w:t>
            </w:r>
          </w:p>
        </w:tc>
        <w:tc>
          <w:tcPr>
            <w:tcW w:w="1848" w:type="dxa"/>
            <w:noWrap/>
            <w:vAlign w:val="center"/>
          </w:tcPr>
          <w:p w14:paraId="32CE599A">
            <w:pPr>
              <w:jc w:val="center"/>
              <w:rPr>
                <w:color w:val="000000"/>
                <w:sz w:val="20"/>
                <w:szCs w:val="20"/>
              </w:rPr>
            </w:pPr>
            <w:r>
              <w:rPr>
                <w:color w:val="000000"/>
                <w:sz w:val="20"/>
                <w:szCs w:val="20"/>
              </w:rPr>
              <w:t>720.000.000</w:t>
            </w:r>
          </w:p>
        </w:tc>
      </w:tr>
      <w:tr w14:paraId="540B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CB206A0">
            <w:pPr>
              <w:jc w:val="center"/>
              <w:rPr>
                <w:b/>
                <w:bCs/>
                <w:color w:val="000000"/>
                <w:sz w:val="20"/>
                <w:szCs w:val="20"/>
              </w:rPr>
            </w:pPr>
            <w:r>
              <w:rPr>
                <w:b/>
                <w:bCs/>
                <w:color w:val="000000"/>
                <w:sz w:val="20"/>
                <w:szCs w:val="20"/>
              </w:rPr>
              <w:t>LK23</w:t>
            </w:r>
          </w:p>
        </w:tc>
        <w:tc>
          <w:tcPr>
            <w:tcW w:w="1802" w:type="dxa"/>
            <w:vAlign w:val="center"/>
          </w:tcPr>
          <w:p w14:paraId="04B50950">
            <w:pPr>
              <w:jc w:val="center"/>
              <w:rPr>
                <w:color w:val="000000"/>
                <w:sz w:val="20"/>
                <w:szCs w:val="20"/>
              </w:rPr>
            </w:pPr>
            <w:r>
              <w:rPr>
                <w:color w:val="000000"/>
                <w:sz w:val="20"/>
                <w:szCs w:val="20"/>
              </w:rPr>
              <w:t>LK23:02</w:t>
            </w:r>
          </w:p>
        </w:tc>
        <w:tc>
          <w:tcPr>
            <w:tcW w:w="1033" w:type="dxa"/>
            <w:noWrap/>
            <w:vAlign w:val="center"/>
          </w:tcPr>
          <w:p w14:paraId="3032E5CE">
            <w:pPr>
              <w:jc w:val="center"/>
              <w:rPr>
                <w:color w:val="000000"/>
                <w:sz w:val="20"/>
                <w:szCs w:val="20"/>
              </w:rPr>
            </w:pPr>
            <w:r>
              <w:rPr>
                <w:color w:val="000000"/>
                <w:sz w:val="20"/>
                <w:szCs w:val="20"/>
              </w:rPr>
              <w:t>90,00</w:t>
            </w:r>
          </w:p>
        </w:tc>
        <w:tc>
          <w:tcPr>
            <w:tcW w:w="846" w:type="dxa"/>
            <w:noWrap/>
            <w:vAlign w:val="center"/>
          </w:tcPr>
          <w:p w14:paraId="2BA6DBF7">
            <w:pPr>
              <w:jc w:val="center"/>
              <w:rPr>
                <w:color w:val="000000"/>
                <w:sz w:val="20"/>
                <w:szCs w:val="20"/>
              </w:rPr>
            </w:pPr>
            <w:r>
              <w:rPr>
                <w:color w:val="000000"/>
                <w:sz w:val="20"/>
                <w:szCs w:val="20"/>
              </w:rPr>
              <w:t>1</w:t>
            </w:r>
          </w:p>
        </w:tc>
        <w:tc>
          <w:tcPr>
            <w:tcW w:w="2578" w:type="dxa"/>
            <w:noWrap/>
            <w:vAlign w:val="center"/>
          </w:tcPr>
          <w:p w14:paraId="3B515B30">
            <w:pPr>
              <w:jc w:val="center"/>
              <w:rPr>
                <w:color w:val="000000"/>
                <w:sz w:val="20"/>
                <w:szCs w:val="20"/>
              </w:rPr>
            </w:pPr>
            <w:r>
              <w:rPr>
                <w:color w:val="000000"/>
                <w:sz w:val="20"/>
                <w:szCs w:val="20"/>
              </w:rPr>
              <w:t>Mặt cắt 3-3</w:t>
            </w:r>
          </w:p>
        </w:tc>
        <w:tc>
          <w:tcPr>
            <w:tcW w:w="2393" w:type="dxa"/>
            <w:noWrap/>
            <w:vAlign w:val="center"/>
          </w:tcPr>
          <w:p w14:paraId="3B240CB7">
            <w:pPr>
              <w:jc w:val="center"/>
              <w:rPr>
                <w:color w:val="000000"/>
                <w:sz w:val="20"/>
                <w:szCs w:val="20"/>
              </w:rPr>
            </w:pPr>
            <w:r>
              <w:rPr>
                <w:color w:val="000000"/>
                <w:sz w:val="20"/>
                <w:szCs w:val="20"/>
              </w:rPr>
              <w:t>Một mặt tiền</w:t>
            </w:r>
          </w:p>
        </w:tc>
        <w:tc>
          <w:tcPr>
            <w:tcW w:w="1198" w:type="dxa"/>
            <w:noWrap/>
            <w:vAlign w:val="center"/>
          </w:tcPr>
          <w:p w14:paraId="71089EDF">
            <w:pPr>
              <w:jc w:val="center"/>
              <w:rPr>
                <w:color w:val="000000"/>
                <w:sz w:val="20"/>
                <w:szCs w:val="20"/>
              </w:rPr>
            </w:pPr>
            <w:r>
              <w:rPr>
                <w:color w:val="000000"/>
                <w:sz w:val="20"/>
                <w:szCs w:val="20"/>
              </w:rPr>
              <w:t>8.000.000</w:t>
            </w:r>
          </w:p>
        </w:tc>
        <w:tc>
          <w:tcPr>
            <w:tcW w:w="1236" w:type="dxa"/>
            <w:noWrap/>
            <w:vAlign w:val="center"/>
          </w:tcPr>
          <w:p w14:paraId="72C3BB68">
            <w:pPr>
              <w:jc w:val="center"/>
              <w:rPr>
                <w:color w:val="000000"/>
                <w:sz w:val="20"/>
                <w:szCs w:val="20"/>
              </w:rPr>
            </w:pPr>
          </w:p>
        </w:tc>
        <w:tc>
          <w:tcPr>
            <w:tcW w:w="1252" w:type="dxa"/>
            <w:noWrap/>
            <w:vAlign w:val="center"/>
          </w:tcPr>
          <w:p w14:paraId="59F98249">
            <w:pPr>
              <w:jc w:val="center"/>
              <w:rPr>
                <w:color w:val="000000"/>
                <w:sz w:val="20"/>
                <w:szCs w:val="20"/>
              </w:rPr>
            </w:pPr>
            <w:r>
              <w:rPr>
                <w:color w:val="000000"/>
                <w:sz w:val="20"/>
                <w:szCs w:val="20"/>
              </w:rPr>
              <w:t>8.000.000</w:t>
            </w:r>
          </w:p>
        </w:tc>
        <w:tc>
          <w:tcPr>
            <w:tcW w:w="1848" w:type="dxa"/>
            <w:noWrap/>
            <w:vAlign w:val="center"/>
          </w:tcPr>
          <w:p w14:paraId="54080DF3">
            <w:pPr>
              <w:jc w:val="center"/>
              <w:rPr>
                <w:color w:val="000000"/>
                <w:sz w:val="20"/>
                <w:szCs w:val="20"/>
              </w:rPr>
            </w:pPr>
            <w:r>
              <w:rPr>
                <w:color w:val="000000"/>
                <w:sz w:val="20"/>
                <w:szCs w:val="20"/>
              </w:rPr>
              <w:t>720.000.000</w:t>
            </w:r>
          </w:p>
        </w:tc>
      </w:tr>
      <w:tr w14:paraId="14FF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B30D71C">
            <w:pPr>
              <w:jc w:val="center"/>
              <w:rPr>
                <w:b/>
                <w:bCs/>
                <w:color w:val="000000"/>
                <w:sz w:val="20"/>
                <w:szCs w:val="20"/>
              </w:rPr>
            </w:pPr>
            <w:r>
              <w:rPr>
                <w:b/>
                <w:bCs/>
                <w:color w:val="000000"/>
                <w:sz w:val="20"/>
                <w:szCs w:val="20"/>
              </w:rPr>
              <w:t>LK23</w:t>
            </w:r>
          </w:p>
        </w:tc>
        <w:tc>
          <w:tcPr>
            <w:tcW w:w="1802" w:type="dxa"/>
            <w:vAlign w:val="center"/>
          </w:tcPr>
          <w:p w14:paraId="4BB94B5A">
            <w:pPr>
              <w:jc w:val="center"/>
              <w:rPr>
                <w:color w:val="000000"/>
                <w:sz w:val="20"/>
                <w:szCs w:val="20"/>
              </w:rPr>
            </w:pPr>
            <w:r>
              <w:rPr>
                <w:color w:val="000000"/>
                <w:sz w:val="20"/>
                <w:szCs w:val="20"/>
              </w:rPr>
              <w:t>LK23:03</w:t>
            </w:r>
          </w:p>
        </w:tc>
        <w:tc>
          <w:tcPr>
            <w:tcW w:w="1033" w:type="dxa"/>
            <w:noWrap/>
            <w:vAlign w:val="center"/>
          </w:tcPr>
          <w:p w14:paraId="1E8C910A">
            <w:pPr>
              <w:jc w:val="center"/>
              <w:rPr>
                <w:color w:val="000000"/>
                <w:sz w:val="20"/>
                <w:szCs w:val="20"/>
              </w:rPr>
            </w:pPr>
            <w:r>
              <w:rPr>
                <w:color w:val="000000"/>
                <w:sz w:val="20"/>
                <w:szCs w:val="20"/>
              </w:rPr>
              <w:t>90,00</w:t>
            </w:r>
          </w:p>
        </w:tc>
        <w:tc>
          <w:tcPr>
            <w:tcW w:w="846" w:type="dxa"/>
            <w:noWrap/>
            <w:vAlign w:val="center"/>
          </w:tcPr>
          <w:p w14:paraId="11A50234">
            <w:pPr>
              <w:jc w:val="center"/>
              <w:rPr>
                <w:color w:val="000000"/>
                <w:sz w:val="20"/>
                <w:szCs w:val="20"/>
              </w:rPr>
            </w:pPr>
            <w:r>
              <w:rPr>
                <w:color w:val="000000"/>
                <w:sz w:val="20"/>
                <w:szCs w:val="20"/>
              </w:rPr>
              <w:t>1</w:t>
            </w:r>
          </w:p>
        </w:tc>
        <w:tc>
          <w:tcPr>
            <w:tcW w:w="2578" w:type="dxa"/>
            <w:noWrap/>
            <w:vAlign w:val="center"/>
          </w:tcPr>
          <w:p w14:paraId="02524901">
            <w:pPr>
              <w:jc w:val="center"/>
              <w:rPr>
                <w:color w:val="000000"/>
                <w:sz w:val="20"/>
                <w:szCs w:val="20"/>
              </w:rPr>
            </w:pPr>
            <w:r>
              <w:rPr>
                <w:color w:val="000000"/>
                <w:sz w:val="20"/>
                <w:szCs w:val="20"/>
              </w:rPr>
              <w:t>Mặt cắt 3-3</w:t>
            </w:r>
          </w:p>
        </w:tc>
        <w:tc>
          <w:tcPr>
            <w:tcW w:w="2393" w:type="dxa"/>
            <w:noWrap/>
            <w:vAlign w:val="center"/>
          </w:tcPr>
          <w:p w14:paraId="29C7631D">
            <w:pPr>
              <w:jc w:val="center"/>
              <w:rPr>
                <w:color w:val="000000"/>
                <w:sz w:val="20"/>
                <w:szCs w:val="20"/>
              </w:rPr>
            </w:pPr>
            <w:r>
              <w:rPr>
                <w:color w:val="000000"/>
                <w:sz w:val="20"/>
                <w:szCs w:val="20"/>
              </w:rPr>
              <w:t>Một mặt tiền</w:t>
            </w:r>
          </w:p>
        </w:tc>
        <w:tc>
          <w:tcPr>
            <w:tcW w:w="1198" w:type="dxa"/>
            <w:noWrap/>
            <w:vAlign w:val="center"/>
          </w:tcPr>
          <w:p w14:paraId="61320868">
            <w:pPr>
              <w:jc w:val="center"/>
              <w:rPr>
                <w:color w:val="000000"/>
                <w:sz w:val="20"/>
                <w:szCs w:val="20"/>
              </w:rPr>
            </w:pPr>
            <w:r>
              <w:rPr>
                <w:color w:val="000000"/>
                <w:sz w:val="20"/>
                <w:szCs w:val="20"/>
              </w:rPr>
              <w:t>8.000.000</w:t>
            </w:r>
          </w:p>
        </w:tc>
        <w:tc>
          <w:tcPr>
            <w:tcW w:w="1236" w:type="dxa"/>
            <w:noWrap/>
            <w:vAlign w:val="center"/>
          </w:tcPr>
          <w:p w14:paraId="57796974">
            <w:pPr>
              <w:jc w:val="center"/>
              <w:rPr>
                <w:color w:val="000000"/>
                <w:sz w:val="20"/>
                <w:szCs w:val="20"/>
              </w:rPr>
            </w:pPr>
          </w:p>
        </w:tc>
        <w:tc>
          <w:tcPr>
            <w:tcW w:w="1252" w:type="dxa"/>
            <w:noWrap/>
            <w:vAlign w:val="center"/>
          </w:tcPr>
          <w:p w14:paraId="67CF61A7">
            <w:pPr>
              <w:jc w:val="center"/>
              <w:rPr>
                <w:color w:val="000000"/>
                <w:sz w:val="20"/>
                <w:szCs w:val="20"/>
              </w:rPr>
            </w:pPr>
            <w:r>
              <w:rPr>
                <w:color w:val="000000"/>
                <w:sz w:val="20"/>
                <w:szCs w:val="20"/>
              </w:rPr>
              <w:t>8.000.000</w:t>
            </w:r>
          </w:p>
        </w:tc>
        <w:tc>
          <w:tcPr>
            <w:tcW w:w="1848" w:type="dxa"/>
            <w:noWrap/>
            <w:vAlign w:val="center"/>
          </w:tcPr>
          <w:p w14:paraId="19E22DB2">
            <w:pPr>
              <w:jc w:val="center"/>
              <w:rPr>
                <w:color w:val="000000"/>
                <w:sz w:val="20"/>
                <w:szCs w:val="20"/>
              </w:rPr>
            </w:pPr>
            <w:r>
              <w:rPr>
                <w:color w:val="000000"/>
                <w:sz w:val="20"/>
                <w:szCs w:val="20"/>
              </w:rPr>
              <w:t>720.000.000</w:t>
            </w:r>
          </w:p>
        </w:tc>
      </w:tr>
      <w:tr w14:paraId="0E52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18E0A54">
            <w:pPr>
              <w:jc w:val="center"/>
              <w:rPr>
                <w:b/>
                <w:bCs/>
                <w:color w:val="000000"/>
                <w:sz w:val="20"/>
                <w:szCs w:val="20"/>
              </w:rPr>
            </w:pPr>
            <w:r>
              <w:rPr>
                <w:b/>
                <w:bCs/>
                <w:color w:val="000000"/>
                <w:sz w:val="20"/>
                <w:szCs w:val="20"/>
              </w:rPr>
              <w:t>LK23</w:t>
            </w:r>
          </w:p>
        </w:tc>
        <w:tc>
          <w:tcPr>
            <w:tcW w:w="1802" w:type="dxa"/>
            <w:vAlign w:val="center"/>
          </w:tcPr>
          <w:p w14:paraId="312F0AF0">
            <w:pPr>
              <w:jc w:val="center"/>
              <w:rPr>
                <w:color w:val="000000"/>
                <w:sz w:val="20"/>
                <w:szCs w:val="20"/>
              </w:rPr>
            </w:pPr>
            <w:r>
              <w:rPr>
                <w:color w:val="000000"/>
                <w:sz w:val="20"/>
                <w:szCs w:val="20"/>
              </w:rPr>
              <w:t>LK23:04</w:t>
            </w:r>
          </w:p>
        </w:tc>
        <w:tc>
          <w:tcPr>
            <w:tcW w:w="1033" w:type="dxa"/>
            <w:noWrap/>
            <w:vAlign w:val="center"/>
          </w:tcPr>
          <w:p w14:paraId="74C36B88">
            <w:pPr>
              <w:jc w:val="center"/>
              <w:rPr>
                <w:color w:val="000000"/>
                <w:sz w:val="20"/>
                <w:szCs w:val="20"/>
              </w:rPr>
            </w:pPr>
            <w:r>
              <w:rPr>
                <w:color w:val="000000"/>
                <w:sz w:val="20"/>
                <w:szCs w:val="20"/>
              </w:rPr>
              <w:t>90,00</w:t>
            </w:r>
          </w:p>
        </w:tc>
        <w:tc>
          <w:tcPr>
            <w:tcW w:w="846" w:type="dxa"/>
            <w:noWrap/>
            <w:vAlign w:val="center"/>
          </w:tcPr>
          <w:p w14:paraId="08013227">
            <w:pPr>
              <w:jc w:val="center"/>
              <w:rPr>
                <w:color w:val="000000"/>
                <w:sz w:val="20"/>
                <w:szCs w:val="20"/>
              </w:rPr>
            </w:pPr>
            <w:r>
              <w:rPr>
                <w:color w:val="000000"/>
                <w:sz w:val="20"/>
                <w:szCs w:val="20"/>
              </w:rPr>
              <w:t>1</w:t>
            </w:r>
          </w:p>
        </w:tc>
        <w:tc>
          <w:tcPr>
            <w:tcW w:w="2578" w:type="dxa"/>
            <w:noWrap/>
            <w:vAlign w:val="center"/>
          </w:tcPr>
          <w:p w14:paraId="30EDAB74">
            <w:pPr>
              <w:jc w:val="center"/>
              <w:rPr>
                <w:color w:val="000000"/>
                <w:sz w:val="20"/>
                <w:szCs w:val="20"/>
              </w:rPr>
            </w:pPr>
            <w:r>
              <w:rPr>
                <w:color w:val="000000"/>
                <w:sz w:val="20"/>
                <w:szCs w:val="20"/>
              </w:rPr>
              <w:t>Mặt cắt 3-3</w:t>
            </w:r>
          </w:p>
        </w:tc>
        <w:tc>
          <w:tcPr>
            <w:tcW w:w="2393" w:type="dxa"/>
            <w:noWrap/>
            <w:vAlign w:val="center"/>
          </w:tcPr>
          <w:p w14:paraId="28D75E34">
            <w:pPr>
              <w:jc w:val="center"/>
              <w:rPr>
                <w:color w:val="000000"/>
                <w:sz w:val="20"/>
                <w:szCs w:val="20"/>
              </w:rPr>
            </w:pPr>
            <w:r>
              <w:rPr>
                <w:color w:val="000000"/>
                <w:sz w:val="20"/>
                <w:szCs w:val="20"/>
              </w:rPr>
              <w:t>Một mặt tiền</w:t>
            </w:r>
          </w:p>
        </w:tc>
        <w:tc>
          <w:tcPr>
            <w:tcW w:w="1198" w:type="dxa"/>
            <w:noWrap/>
            <w:vAlign w:val="center"/>
          </w:tcPr>
          <w:p w14:paraId="6945BB4B">
            <w:pPr>
              <w:jc w:val="center"/>
              <w:rPr>
                <w:color w:val="000000"/>
                <w:sz w:val="20"/>
                <w:szCs w:val="20"/>
              </w:rPr>
            </w:pPr>
            <w:r>
              <w:rPr>
                <w:color w:val="000000"/>
                <w:sz w:val="20"/>
                <w:szCs w:val="20"/>
              </w:rPr>
              <w:t>8.000.000</w:t>
            </w:r>
          </w:p>
        </w:tc>
        <w:tc>
          <w:tcPr>
            <w:tcW w:w="1236" w:type="dxa"/>
            <w:noWrap/>
            <w:vAlign w:val="center"/>
          </w:tcPr>
          <w:p w14:paraId="332F143F">
            <w:pPr>
              <w:jc w:val="center"/>
              <w:rPr>
                <w:color w:val="000000"/>
                <w:sz w:val="20"/>
                <w:szCs w:val="20"/>
              </w:rPr>
            </w:pPr>
          </w:p>
        </w:tc>
        <w:tc>
          <w:tcPr>
            <w:tcW w:w="1252" w:type="dxa"/>
            <w:noWrap/>
            <w:vAlign w:val="center"/>
          </w:tcPr>
          <w:p w14:paraId="30289339">
            <w:pPr>
              <w:jc w:val="center"/>
              <w:rPr>
                <w:color w:val="000000"/>
                <w:sz w:val="20"/>
                <w:szCs w:val="20"/>
              </w:rPr>
            </w:pPr>
            <w:r>
              <w:rPr>
                <w:color w:val="000000"/>
                <w:sz w:val="20"/>
                <w:szCs w:val="20"/>
              </w:rPr>
              <w:t>8.000.000</w:t>
            </w:r>
          </w:p>
        </w:tc>
        <w:tc>
          <w:tcPr>
            <w:tcW w:w="1848" w:type="dxa"/>
            <w:noWrap/>
            <w:vAlign w:val="center"/>
          </w:tcPr>
          <w:p w14:paraId="1FA4BF7C">
            <w:pPr>
              <w:jc w:val="center"/>
              <w:rPr>
                <w:color w:val="000000"/>
                <w:sz w:val="20"/>
                <w:szCs w:val="20"/>
              </w:rPr>
            </w:pPr>
            <w:r>
              <w:rPr>
                <w:color w:val="000000"/>
                <w:sz w:val="20"/>
                <w:szCs w:val="20"/>
              </w:rPr>
              <w:t>720.000.000</w:t>
            </w:r>
          </w:p>
        </w:tc>
      </w:tr>
      <w:tr w14:paraId="1A6C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AA2167">
            <w:pPr>
              <w:jc w:val="center"/>
              <w:rPr>
                <w:b/>
                <w:bCs/>
                <w:color w:val="000000"/>
                <w:sz w:val="20"/>
                <w:szCs w:val="20"/>
              </w:rPr>
            </w:pPr>
            <w:r>
              <w:rPr>
                <w:b/>
                <w:bCs/>
                <w:color w:val="000000"/>
                <w:sz w:val="20"/>
                <w:szCs w:val="20"/>
              </w:rPr>
              <w:t>LK23</w:t>
            </w:r>
          </w:p>
        </w:tc>
        <w:tc>
          <w:tcPr>
            <w:tcW w:w="1802" w:type="dxa"/>
            <w:vAlign w:val="center"/>
          </w:tcPr>
          <w:p w14:paraId="74D024B0">
            <w:pPr>
              <w:jc w:val="center"/>
              <w:rPr>
                <w:color w:val="000000"/>
                <w:sz w:val="20"/>
                <w:szCs w:val="20"/>
              </w:rPr>
            </w:pPr>
            <w:r>
              <w:rPr>
                <w:color w:val="000000"/>
                <w:sz w:val="20"/>
                <w:szCs w:val="20"/>
              </w:rPr>
              <w:t>LK23:05</w:t>
            </w:r>
          </w:p>
        </w:tc>
        <w:tc>
          <w:tcPr>
            <w:tcW w:w="1033" w:type="dxa"/>
            <w:noWrap/>
            <w:vAlign w:val="center"/>
          </w:tcPr>
          <w:p w14:paraId="701C5D95">
            <w:pPr>
              <w:jc w:val="center"/>
              <w:rPr>
                <w:color w:val="000000"/>
                <w:sz w:val="20"/>
                <w:szCs w:val="20"/>
              </w:rPr>
            </w:pPr>
            <w:r>
              <w:rPr>
                <w:color w:val="000000"/>
                <w:sz w:val="20"/>
                <w:szCs w:val="20"/>
              </w:rPr>
              <w:t>90,00</w:t>
            </w:r>
          </w:p>
        </w:tc>
        <w:tc>
          <w:tcPr>
            <w:tcW w:w="846" w:type="dxa"/>
            <w:noWrap/>
            <w:vAlign w:val="center"/>
          </w:tcPr>
          <w:p w14:paraId="0B3F21D5">
            <w:pPr>
              <w:jc w:val="center"/>
              <w:rPr>
                <w:color w:val="000000"/>
                <w:sz w:val="20"/>
                <w:szCs w:val="20"/>
              </w:rPr>
            </w:pPr>
            <w:r>
              <w:rPr>
                <w:color w:val="000000"/>
                <w:sz w:val="20"/>
                <w:szCs w:val="20"/>
              </w:rPr>
              <w:t>1</w:t>
            </w:r>
          </w:p>
        </w:tc>
        <w:tc>
          <w:tcPr>
            <w:tcW w:w="2578" w:type="dxa"/>
            <w:noWrap/>
            <w:vAlign w:val="center"/>
          </w:tcPr>
          <w:p w14:paraId="10018FDF">
            <w:pPr>
              <w:jc w:val="center"/>
              <w:rPr>
                <w:color w:val="000000"/>
                <w:sz w:val="20"/>
                <w:szCs w:val="20"/>
              </w:rPr>
            </w:pPr>
            <w:r>
              <w:rPr>
                <w:color w:val="000000"/>
                <w:sz w:val="20"/>
                <w:szCs w:val="20"/>
              </w:rPr>
              <w:t>Mặt cắt 3-3</w:t>
            </w:r>
          </w:p>
        </w:tc>
        <w:tc>
          <w:tcPr>
            <w:tcW w:w="2393" w:type="dxa"/>
            <w:noWrap/>
            <w:vAlign w:val="center"/>
          </w:tcPr>
          <w:p w14:paraId="26F906ED">
            <w:pPr>
              <w:jc w:val="center"/>
              <w:rPr>
                <w:color w:val="000000"/>
                <w:sz w:val="20"/>
                <w:szCs w:val="20"/>
              </w:rPr>
            </w:pPr>
            <w:r>
              <w:rPr>
                <w:color w:val="000000"/>
                <w:sz w:val="20"/>
                <w:szCs w:val="20"/>
              </w:rPr>
              <w:t>Một mặt tiền</w:t>
            </w:r>
          </w:p>
        </w:tc>
        <w:tc>
          <w:tcPr>
            <w:tcW w:w="1198" w:type="dxa"/>
            <w:noWrap/>
            <w:vAlign w:val="center"/>
          </w:tcPr>
          <w:p w14:paraId="3A8B6C51">
            <w:pPr>
              <w:jc w:val="center"/>
              <w:rPr>
                <w:color w:val="000000"/>
                <w:sz w:val="20"/>
                <w:szCs w:val="20"/>
              </w:rPr>
            </w:pPr>
            <w:r>
              <w:rPr>
                <w:color w:val="000000"/>
                <w:sz w:val="20"/>
                <w:szCs w:val="20"/>
              </w:rPr>
              <w:t>8.000.000</w:t>
            </w:r>
          </w:p>
        </w:tc>
        <w:tc>
          <w:tcPr>
            <w:tcW w:w="1236" w:type="dxa"/>
            <w:noWrap/>
            <w:vAlign w:val="center"/>
          </w:tcPr>
          <w:p w14:paraId="11C73E70">
            <w:pPr>
              <w:jc w:val="center"/>
              <w:rPr>
                <w:color w:val="000000"/>
                <w:sz w:val="20"/>
                <w:szCs w:val="20"/>
              </w:rPr>
            </w:pPr>
          </w:p>
        </w:tc>
        <w:tc>
          <w:tcPr>
            <w:tcW w:w="1252" w:type="dxa"/>
            <w:noWrap/>
            <w:vAlign w:val="center"/>
          </w:tcPr>
          <w:p w14:paraId="23B30E74">
            <w:pPr>
              <w:jc w:val="center"/>
              <w:rPr>
                <w:color w:val="000000"/>
                <w:sz w:val="20"/>
                <w:szCs w:val="20"/>
              </w:rPr>
            </w:pPr>
            <w:r>
              <w:rPr>
                <w:color w:val="000000"/>
                <w:sz w:val="20"/>
                <w:szCs w:val="20"/>
              </w:rPr>
              <w:t>8.000.000</w:t>
            </w:r>
          </w:p>
        </w:tc>
        <w:tc>
          <w:tcPr>
            <w:tcW w:w="1848" w:type="dxa"/>
            <w:noWrap/>
            <w:vAlign w:val="center"/>
          </w:tcPr>
          <w:p w14:paraId="273E41B9">
            <w:pPr>
              <w:jc w:val="center"/>
              <w:rPr>
                <w:color w:val="000000"/>
                <w:sz w:val="20"/>
                <w:szCs w:val="20"/>
              </w:rPr>
            </w:pPr>
            <w:r>
              <w:rPr>
                <w:color w:val="000000"/>
                <w:sz w:val="20"/>
                <w:szCs w:val="20"/>
              </w:rPr>
              <w:t>720.000.000</w:t>
            </w:r>
          </w:p>
        </w:tc>
      </w:tr>
      <w:tr w14:paraId="659B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FDE77AD">
            <w:pPr>
              <w:jc w:val="center"/>
              <w:rPr>
                <w:b/>
                <w:bCs/>
                <w:color w:val="000000"/>
                <w:sz w:val="20"/>
                <w:szCs w:val="20"/>
              </w:rPr>
            </w:pPr>
            <w:r>
              <w:rPr>
                <w:b/>
                <w:bCs/>
                <w:color w:val="000000"/>
                <w:sz w:val="20"/>
                <w:szCs w:val="20"/>
              </w:rPr>
              <w:t>LK23</w:t>
            </w:r>
          </w:p>
        </w:tc>
        <w:tc>
          <w:tcPr>
            <w:tcW w:w="1802" w:type="dxa"/>
            <w:vAlign w:val="center"/>
          </w:tcPr>
          <w:p w14:paraId="54A1F180">
            <w:pPr>
              <w:jc w:val="center"/>
              <w:rPr>
                <w:color w:val="000000"/>
                <w:sz w:val="20"/>
                <w:szCs w:val="20"/>
              </w:rPr>
            </w:pPr>
            <w:r>
              <w:rPr>
                <w:color w:val="000000"/>
                <w:sz w:val="20"/>
                <w:szCs w:val="20"/>
              </w:rPr>
              <w:t>LK23:06</w:t>
            </w:r>
          </w:p>
        </w:tc>
        <w:tc>
          <w:tcPr>
            <w:tcW w:w="1033" w:type="dxa"/>
            <w:noWrap/>
            <w:vAlign w:val="center"/>
          </w:tcPr>
          <w:p w14:paraId="63BAAA8B">
            <w:pPr>
              <w:jc w:val="center"/>
              <w:rPr>
                <w:color w:val="000000"/>
                <w:sz w:val="20"/>
                <w:szCs w:val="20"/>
              </w:rPr>
            </w:pPr>
            <w:r>
              <w:rPr>
                <w:color w:val="000000"/>
                <w:sz w:val="20"/>
                <w:szCs w:val="20"/>
              </w:rPr>
              <w:t>90,00</w:t>
            </w:r>
          </w:p>
        </w:tc>
        <w:tc>
          <w:tcPr>
            <w:tcW w:w="846" w:type="dxa"/>
            <w:noWrap/>
            <w:vAlign w:val="center"/>
          </w:tcPr>
          <w:p w14:paraId="0B2D77AE">
            <w:pPr>
              <w:jc w:val="center"/>
              <w:rPr>
                <w:color w:val="000000"/>
                <w:sz w:val="20"/>
                <w:szCs w:val="20"/>
              </w:rPr>
            </w:pPr>
            <w:r>
              <w:rPr>
                <w:color w:val="000000"/>
                <w:sz w:val="20"/>
                <w:szCs w:val="20"/>
              </w:rPr>
              <w:t>1</w:t>
            </w:r>
          </w:p>
        </w:tc>
        <w:tc>
          <w:tcPr>
            <w:tcW w:w="2578" w:type="dxa"/>
            <w:noWrap/>
            <w:vAlign w:val="center"/>
          </w:tcPr>
          <w:p w14:paraId="6A55183D">
            <w:pPr>
              <w:jc w:val="center"/>
              <w:rPr>
                <w:color w:val="000000"/>
                <w:sz w:val="20"/>
                <w:szCs w:val="20"/>
              </w:rPr>
            </w:pPr>
            <w:r>
              <w:rPr>
                <w:color w:val="000000"/>
                <w:sz w:val="20"/>
                <w:szCs w:val="20"/>
              </w:rPr>
              <w:t>Mặt cắt 3-3</w:t>
            </w:r>
          </w:p>
        </w:tc>
        <w:tc>
          <w:tcPr>
            <w:tcW w:w="2393" w:type="dxa"/>
            <w:noWrap/>
            <w:vAlign w:val="center"/>
          </w:tcPr>
          <w:p w14:paraId="5D8FC7AE">
            <w:pPr>
              <w:jc w:val="center"/>
              <w:rPr>
                <w:color w:val="000000"/>
                <w:sz w:val="20"/>
                <w:szCs w:val="20"/>
              </w:rPr>
            </w:pPr>
            <w:r>
              <w:rPr>
                <w:color w:val="000000"/>
                <w:sz w:val="20"/>
                <w:szCs w:val="20"/>
              </w:rPr>
              <w:t>Một mặt tiền</w:t>
            </w:r>
          </w:p>
        </w:tc>
        <w:tc>
          <w:tcPr>
            <w:tcW w:w="1198" w:type="dxa"/>
            <w:noWrap/>
            <w:vAlign w:val="center"/>
          </w:tcPr>
          <w:p w14:paraId="6FEC5126">
            <w:pPr>
              <w:jc w:val="center"/>
              <w:rPr>
                <w:color w:val="000000"/>
                <w:sz w:val="20"/>
                <w:szCs w:val="20"/>
              </w:rPr>
            </w:pPr>
            <w:r>
              <w:rPr>
                <w:color w:val="000000"/>
                <w:sz w:val="20"/>
                <w:szCs w:val="20"/>
              </w:rPr>
              <w:t>8.000.000</w:t>
            </w:r>
          </w:p>
        </w:tc>
        <w:tc>
          <w:tcPr>
            <w:tcW w:w="1236" w:type="dxa"/>
            <w:noWrap/>
            <w:vAlign w:val="center"/>
          </w:tcPr>
          <w:p w14:paraId="57F21112">
            <w:pPr>
              <w:jc w:val="center"/>
              <w:rPr>
                <w:color w:val="000000"/>
                <w:sz w:val="20"/>
                <w:szCs w:val="20"/>
              </w:rPr>
            </w:pPr>
          </w:p>
        </w:tc>
        <w:tc>
          <w:tcPr>
            <w:tcW w:w="1252" w:type="dxa"/>
            <w:noWrap/>
            <w:vAlign w:val="center"/>
          </w:tcPr>
          <w:p w14:paraId="7C85B986">
            <w:pPr>
              <w:jc w:val="center"/>
              <w:rPr>
                <w:color w:val="000000"/>
                <w:sz w:val="20"/>
                <w:szCs w:val="20"/>
              </w:rPr>
            </w:pPr>
            <w:r>
              <w:rPr>
                <w:color w:val="000000"/>
                <w:sz w:val="20"/>
                <w:szCs w:val="20"/>
              </w:rPr>
              <w:t>8.000.000</w:t>
            </w:r>
          </w:p>
        </w:tc>
        <w:tc>
          <w:tcPr>
            <w:tcW w:w="1848" w:type="dxa"/>
            <w:noWrap/>
            <w:vAlign w:val="center"/>
          </w:tcPr>
          <w:p w14:paraId="312B4FA7">
            <w:pPr>
              <w:jc w:val="center"/>
              <w:rPr>
                <w:color w:val="000000"/>
                <w:sz w:val="20"/>
                <w:szCs w:val="20"/>
              </w:rPr>
            </w:pPr>
            <w:r>
              <w:rPr>
                <w:color w:val="000000"/>
                <w:sz w:val="20"/>
                <w:szCs w:val="20"/>
              </w:rPr>
              <w:t>720.000.000</w:t>
            </w:r>
          </w:p>
        </w:tc>
      </w:tr>
      <w:tr w14:paraId="49AF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B2942E7">
            <w:pPr>
              <w:jc w:val="center"/>
              <w:rPr>
                <w:b/>
                <w:bCs/>
                <w:color w:val="000000"/>
                <w:sz w:val="20"/>
                <w:szCs w:val="20"/>
              </w:rPr>
            </w:pPr>
            <w:r>
              <w:rPr>
                <w:b/>
                <w:bCs/>
                <w:color w:val="000000"/>
                <w:sz w:val="20"/>
                <w:szCs w:val="20"/>
              </w:rPr>
              <w:t>LK24</w:t>
            </w:r>
          </w:p>
        </w:tc>
        <w:tc>
          <w:tcPr>
            <w:tcW w:w="1802" w:type="dxa"/>
            <w:vAlign w:val="center"/>
          </w:tcPr>
          <w:p w14:paraId="18F85CA1">
            <w:pPr>
              <w:jc w:val="center"/>
              <w:rPr>
                <w:color w:val="000000"/>
                <w:sz w:val="20"/>
                <w:szCs w:val="20"/>
              </w:rPr>
            </w:pPr>
            <w:r>
              <w:rPr>
                <w:color w:val="000000"/>
                <w:sz w:val="20"/>
                <w:szCs w:val="20"/>
              </w:rPr>
              <w:t>LK24:02</w:t>
            </w:r>
          </w:p>
        </w:tc>
        <w:tc>
          <w:tcPr>
            <w:tcW w:w="1033" w:type="dxa"/>
            <w:noWrap/>
            <w:vAlign w:val="center"/>
          </w:tcPr>
          <w:p w14:paraId="0B06559F">
            <w:pPr>
              <w:jc w:val="center"/>
              <w:rPr>
                <w:color w:val="000000"/>
                <w:sz w:val="20"/>
                <w:szCs w:val="20"/>
              </w:rPr>
            </w:pPr>
            <w:r>
              <w:rPr>
                <w:color w:val="000000"/>
                <w:sz w:val="20"/>
                <w:szCs w:val="20"/>
              </w:rPr>
              <w:t>90,00</w:t>
            </w:r>
          </w:p>
        </w:tc>
        <w:tc>
          <w:tcPr>
            <w:tcW w:w="846" w:type="dxa"/>
            <w:noWrap/>
            <w:vAlign w:val="center"/>
          </w:tcPr>
          <w:p w14:paraId="0D0F7308">
            <w:pPr>
              <w:jc w:val="center"/>
              <w:rPr>
                <w:color w:val="000000"/>
                <w:sz w:val="20"/>
                <w:szCs w:val="20"/>
              </w:rPr>
            </w:pPr>
            <w:r>
              <w:rPr>
                <w:color w:val="000000"/>
                <w:sz w:val="20"/>
                <w:szCs w:val="20"/>
              </w:rPr>
              <w:t>1</w:t>
            </w:r>
          </w:p>
        </w:tc>
        <w:tc>
          <w:tcPr>
            <w:tcW w:w="2578" w:type="dxa"/>
            <w:noWrap/>
            <w:vAlign w:val="center"/>
          </w:tcPr>
          <w:p w14:paraId="24BCAB36">
            <w:pPr>
              <w:jc w:val="center"/>
              <w:rPr>
                <w:color w:val="000000"/>
                <w:sz w:val="20"/>
                <w:szCs w:val="20"/>
              </w:rPr>
            </w:pPr>
            <w:r>
              <w:rPr>
                <w:color w:val="000000"/>
                <w:sz w:val="20"/>
                <w:szCs w:val="20"/>
              </w:rPr>
              <w:t>Mặt cắt 3-3</w:t>
            </w:r>
          </w:p>
        </w:tc>
        <w:tc>
          <w:tcPr>
            <w:tcW w:w="2393" w:type="dxa"/>
            <w:noWrap/>
            <w:vAlign w:val="center"/>
          </w:tcPr>
          <w:p w14:paraId="7500FE05">
            <w:pPr>
              <w:jc w:val="center"/>
              <w:rPr>
                <w:color w:val="000000"/>
                <w:sz w:val="20"/>
                <w:szCs w:val="20"/>
              </w:rPr>
            </w:pPr>
            <w:r>
              <w:rPr>
                <w:color w:val="000000"/>
                <w:sz w:val="20"/>
                <w:szCs w:val="20"/>
              </w:rPr>
              <w:t>Một mặt tiền</w:t>
            </w:r>
          </w:p>
        </w:tc>
        <w:tc>
          <w:tcPr>
            <w:tcW w:w="1198" w:type="dxa"/>
            <w:noWrap/>
            <w:vAlign w:val="center"/>
          </w:tcPr>
          <w:p w14:paraId="421E09FD">
            <w:pPr>
              <w:jc w:val="center"/>
              <w:rPr>
                <w:color w:val="000000"/>
                <w:sz w:val="20"/>
                <w:szCs w:val="20"/>
              </w:rPr>
            </w:pPr>
            <w:r>
              <w:rPr>
                <w:color w:val="000000"/>
                <w:sz w:val="20"/>
                <w:szCs w:val="20"/>
              </w:rPr>
              <w:t>8.000.000</w:t>
            </w:r>
          </w:p>
        </w:tc>
        <w:tc>
          <w:tcPr>
            <w:tcW w:w="1236" w:type="dxa"/>
            <w:noWrap/>
            <w:vAlign w:val="center"/>
          </w:tcPr>
          <w:p w14:paraId="157218A3">
            <w:pPr>
              <w:jc w:val="center"/>
              <w:rPr>
                <w:color w:val="000000"/>
                <w:sz w:val="20"/>
                <w:szCs w:val="20"/>
              </w:rPr>
            </w:pPr>
          </w:p>
        </w:tc>
        <w:tc>
          <w:tcPr>
            <w:tcW w:w="1252" w:type="dxa"/>
            <w:noWrap/>
            <w:vAlign w:val="center"/>
          </w:tcPr>
          <w:p w14:paraId="5527E401">
            <w:pPr>
              <w:jc w:val="center"/>
              <w:rPr>
                <w:color w:val="000000"/>
                <w:sz w:val="20"/>
                <w:szCs w:val="20"/>
              </w:rPr>
            </w:pPr>
            <w:r>
              <w:rPr>
                <w:color w:val="000000"/>
                <w:sz w:val="20"/>
                <w:szCs w:val="20"/>
              </w:rPr>
              <w:t>8.000.000</w:t>
            </w:r>
          </w:p>
        </w:tc>
        <w:tc>
          <w:tcPr>
            <w:tcW w:w="1848" w:type="dxa"/>
            <w:noWrap/>
            <w:vAlign w:val="center"/>
          </w:tcPr>
          <w:p w14:paraId="7662DC71">
            <w:pPr>
              <w:jc w:val="center"/>
              <w:rPr>
                <w:color w:val="000000"/>
                <w:sz w:val="20"/>
                <w:szCs w:val="20"/>
              </w:rPr>
            </w:pPr>
            <w:r>
              <w:rPr>
                <w:color w:val="000000"/>
                <w:sz w:val="20"/>
                <w:szCs w:val="20"/>
              </w:rPr>
              <w:t>720.000.000</w:t>
            </w:r>
          </w:p>
        </w:tc>
      </w:tr>
      <w:tr w14:paraId="1467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9250DAC">
            <w:pPr>
              <w:jc w:val="center"/>
              <w:rPr>
                <w:b/>
                <w:bCs/>
                <w:color w:val="000000"/>
                <w:sz w:val="20"/>
                <w:szCs w:val="20"/>
              </w:rPr>
            </w:pPr>
            <w:r>
              <w:rPr>
                <w:b/>
                <w:bCs/>
                <w:color w:val="000000"/>
                <w:sz w:val="20"/>
                <w:szCs w:val="20"/>
              </w:rPr>
              <w:t>LK24</w:t>
            </w:r>
          </w:p>
        </w:tc>
        <w:tc>
          <w:tcPr>
            <w:tcW w:w="1802" w:type="dxa"/>
            <w:vAlign w:val="center"/>
          </w:tcPr>
          <w:p w14:paraId="1D8A76EC">
            <w:pPr>
              <w:jc w:val="center"/>
              <w:rPr>
                <w:color w:val="000000"/>
                <w:sz w:val="20"/>
                <w:szCs w:val="20"/>
              </w:rPr>
            </w:pPr>
            <w:r>
              <w:rPr>
                <w:color w:val="000000"/>
                <w:sz w:val="20"/>
                <w:szCs w:val="20"/>
              </w:rPr>
              <w:t>LK24:03</w:t>
            </w:r>
          </w:p>
        </w:tc>
        <w:tc>
          <w:tcPr>
            <w:tcW w:w="1033" w:type="dxa"/>
            <w:noWrap/>
            <w:vAlign w:val="center"/>
          </w:tcPr>
          <w:p w14:paraId="640103E3">
            <w:pPr>
              <w:jc w:val="center"/>
              <w:rPr>
                <w:color w:val="000000"/>
                <w:sz w:val="20"/>
                <w:szCs w:val="20"/>
              </w:rPr>
            </w:pPr>
            <w:r>
              <w:rPr>
                <w:color w:val="000000"/>
                <w:sz w:val="20"/>
                <w:szCs w:val="20"/>
              </w:rPr>
              <w:t>90,00</w:t>
            </w:r>
          </w:p>
        </w:tc>
        <w:tc>
          <w:tcPr>
            <w:tcW w:w="846" w:type="dxa"/>
            <w:noWrap/>
            <w:vAlign w:val="center"/>
          </w:tcPr>
          <w:p w14:paraId="15FF1899">
            <w:pPr>
              <w:jc w:val="center"/>
              <w:rPr>
                <w:color w:val="000000"/>
                <w:sz w:val="20"/>
                <w:szCs w:val="20"/>
              </w:rPr>
            </w:pPr>
            <w:r>
              <w:rPr>
                <w:color w:val="000000"/>
                <w:sz w:val="20"/>
                <w:szCs w:val="20"/>
              </w:rPr>
              <w:t>1</w:t>
            </w:r>
          </w:p>
        </w:tc>
        <w:tc>
          <w:tcPr>
            <w:tcW w:w="2578" w:type="dxa"/>
            <w:noWrap/>
            <w:vAlign w:val="center"/>
          </w:tcPr>
          <w:p w14:paraId="765F6618">
            <w:pPr>
              <w:jc w:val="center"/>
              <w:rPr>
                <w:color w:val="000000"/>
                <w:sz w:val="20"/>
                <w:szCs w:val="20"/>
              </w:rPr>
            </w:pPr>
            <w:r>
              <w:rPr>
                <w:color w:val="000000"/>
                <w:sz w:val="20"/>
                <w:szCs w:val="20"/>
              </w:rPr>
              <w:t>Mặt cắt 3-3</w:t>
            </w:r>
          </w:p>
        </w:tc>
        <w:tc>
          <w:tcPr>
            <w:tcW w:w="2393" w:type="dxa"/>
            <w:noWrap/>
            <w:vAlign w:val="center"/>
          </w:tcPr>
          <w:p w14:paraId="44DC8F9E">
            <w:pPr>
              <w:jc w:val="center"/>
              <w:rPr>
                <w:color w:val="000000"/>
                <w:sz w:val="20"/>
                <w:szCs w:val="20"/>
              </w:rPr>
            </w:pPr>
            <w:r>
              <w:rPr>
                <w:color w:val="000000"/>
                <w:sz w:val="20"/>
                <w:szCs w:val="20"/>
              </w:rPr>
              <w:t>Một mặt tiền</w:t>
            </w:r>
          </w:p>
        </w:tc>
        <w:tc>
          <w:tcPr>
            <w:tcW w:w="1198" w:type="dxa"/>
            <w:noWrap/>
            <w:vAlign w:val="center"/>
          </w:tcPr>
          <w:p w14:paraId="5C7E85A0">
            <w:pPr>
              <w:jc w:val="center"/>
              <w:rPr>
                <w:color w:val="000000"/>
                <w:sz w:val="20"/>
                <w:szCs w:val="20"/>
              </w:rPr>
            </w:pPr>
            <w:r>
              <w:rPr>
                <w:color w:val="000000"/>
                <w:sz w:val="20"/>
                <w:szCs w:val="20"/>
              </w:rPr>
              <w:t>8.000.000</w:t>
            </w:r>
          </w:p>
        </w:tc>
        <w:tc>
          <w:tcPr>
            <w:tcW w:w="1236" w:type="dxa"/>
            <w:noWrap/>
            <w:vAlign w:val="center"/>
          </w:tcPr>
          <w:p w14:paraId="7CD9342C">
            <w:pPr>
              <w:jc w:val="center"/>
              <w:rPr>
                <w:color w:val="000000"/>
                <w:sz w:val="20"/>
                <w:szCs w:val="20"/>
              </w:rPr>
            </w:pPr>
          </w:p>
        </w:tc>
        <w:tc>
          <w:tcPr>
            <w:tcW w:w="1252" w:type="dxa"/>
            <w:noWrap/>
            <w:vAlign w:val="center"/>
          </w:tcPr>
          <w:p w14:paraId="33B36F26">
            <w:pPr>
              <w:jc w:val="center"/>
              <w:rPr>
                <w:color w:val="000000"/>
                <w:sz w:val="20"/>
                <w:szCs w:val="20"/>
              </w:rPr>
            </w:pPr>
            <w:r>
              <w:rPr>
                <w:color w:val="000000"/>
                <w:sz w:val="20"/>
                <w:szCs w:val="20"/>
              </w:rPr>
              <w:t>8.000.000</w:t>
            </w:r>
          </w:p>
        </w:tc>
        <w:tc>
          <w:tcPr>
            <w:tcW w:w="1848" w:type="dxa"/>
            <w:noWrap/>
            <w:vAlign w:val="center"/>
          </w:tcPr>
          <w:p w14:paraId="05BBE5B1">
            <w:pPr>
              <w:jc w:val="center"/>
              <w:rPr>
                <w:color w:val="000000"/>
                <w:sz w:val="20"/>
                <w:szCs w:val="20"/>
              </w:rPr>
            </w:pPr>
            <w:r>
              <w:rPr>
                <w:color w:val="000000"/>
                <w:sz w:val="20"/>
                <w:szCs w:val="20"/>
              </w:rPr>
              <w:t>720.000.000</w:t>
            </w:r>
          </w:p>
        </w:tc>
      </w:tr>
      <w:tr w14:paraId="37FE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DAC0F25">
            <w:pPr>
              <w:jc w:val="center"/>
              <w:rPr>
                <w:b/>
                <w:bCs/>
                <w:color w:val="000000"/>
                <w:sz w:val="20"/>
                <w:szCs w:val="20"/>
              </w:rPr>
            </w:pPr>
            <w:r>
              <w:rPr>
                <w:b/>
                <w:bCs/>
                <w:color w:val="000000"/>
                <w:sz w:val="20"/>
                <w:szCs w:val="20"/>
              </w:rPr>
              <w:t>LK24</w:t>
            </w:r>
          </w:p>
        </w:tc>
        <w:tc>
          <w:tcPr>
            <w:tcW w:w="1802" w:type="dxa"/>
            <w:vAlign w:val="center"/>
          </w:tcPr>
          <w:p w14:paraId="2CCDEFE2">
            <w:pPr>
              <w:jc w:val="center"/>
              <w:rPr>
                <w:color w:val="000000"/>
                <w:sz w:val="20"/>
                <w:szCs w:val="20"/>
              </w:rPr>
            </w:pPr>
            <w:r>
              <w:rPr>
                <w:color w:val="000000"/>
                <w:sz w:val="20"/>
                <w:szCs w:val="20"/>
              </w:rPr>
              <w:t>LK24:04</w:t>
            </w:r>
          </w:p>
        </w:tc>
        <w:tc>
          <w:tcPr>
            <w:tcW w:w="1033" w:type="dxa"/>
            <w:noWrap/>
            <w:vAlign w:val="center"/>
          </w:tcPr>
          <w:p w14:paraId="73788B16">
            <w:pPr>
              <w:jc w:val="center"/>
              <w:rPr>
                <w:color w:val="000000"/>
                <w:sz w:val="20"/>
                <w:szCs w:val="20"/>
              </w:rPr>
            </w:pPr>
            <w:r>
              <w:rPr>
                <w:color w:val="000000"/>
                <w:sz w:val="20"/>
                <w:szCs w:val="20"/>
              </w:rPr>
              <w:t>90,00</w:t>
            </w:r>
          </w:p>
        </w:tc>
        <w:tc>
          <w:tcPr>
            <w:tcW w:w="846" w:type="dxa"/>
            <w:noWrap/>
            <w:vAlign w:val="center"/>
          </w:tcPr>
          <w:p w14:paraId="727CD0F6">
            <w:pPr>
              <w:jc w:val="center"/>
              <w:rPr>
                <w:color w:val="000000"/>
                <w:sz w:val="20"/>
                <w:szCs w:val="20"/>
              </w:rPr>
            </w:pPr>
            <w:r>
              <w:rPr>
                <w:color w:val="000000"/>
                <w:sz w:val="20"/>
                <w:szCs w:val="20"/>
              </w:rPr>
              <w:t>1</w:t>
            </w:r>
          </w:p>
        </w:tc>
        <w:tc>
          <w:tcPr>
            <w:tcW w:w="2578" w:type="dxa"/>
            <w:noWrap/>
            <w:vAlign w:val="center"/>
          </w:tcPr>
          <w:p w14:paraId="396964E1">
            <w:pPr>
              <w:jc w:val="center"/>
              <w:rPr>
                <w:color w:val="000000"/>
                <w:sz w:val="20"/>
                <w:szCs w:val="20"/>
              </w:rPr>
            </w:pPr>
            <w:r>
              <w:rPr>
                <w:color w:val="000000"/>
                <w:sz w:val="20"/>
                <w:szCs w:val="20"/>
              </w:rPr>
              <w:t>Mặt cắt 3-3</w:t>
            </w:r>
          </w:p>
        </w:tc>
        <w:tc>
          <w:tcPr>
            <w:tcW w:w="2393" w:type="dxa"/>
            <w:noWrap/>
            <w:vAlign w:val="center"/>
          </w:tcPr>
          <w:p w14:paraId="1B4FDACA">
            <w:pPr>
              <w:jc w:val="center"/>
              <w:rPr>
                <w:color w:val="000000"/>
                <w:sz w:val="20"/>
                <w:szCs w:val="20"/>
              </w:rPr>
            </w:pPr>
            <w:r>
              <w:rPr>
                <w:color w:val="000000"/>
                <w:sz w:val="20"/>
                <w:szCs w:val="20"/>
              </w:rPr>
              <w:t>Một mặt tiền</w:t>
            </w:r>
          </w:p>
        </w:tc>
        <w:tc>
          <w:tcPr>
            <w:tcW w:w="1198" w:type="dxa"/>
            <w:noWrap/>
            <w:vAlign w:val="center"/>
          </w:tcPr>
          <w:p w14:paraId="6189430F">
            <w:pPr>
              <w:jc w:val="center"/>
              <w:rPr>
                <w:color w:val="000000"/>
                <w:sz w:val="20"/>
                <w:szCs w:val="20"/>
              </w:rPr>
            </w:pPr>
            <w:r>
              <w:rPr>
                <w:color w:val="000000"/>
                <w:sz w:val="20"/>
                <w:szCs w:val="20"/>
              </w:rPr>
              <w:t>8.000.000</w:t>
            </w:r>
          </w:p>
        </w:tc>
        <w:tc>
          <w:tcPr>
            <w:tcW w:w="1236" w:type="dxa"/>
            <w:noWrap/>
            <w:vAlign w:val="center"/>
          </w:tcPr>
          <w:p w14:paraId="69DE81D2">
            <w:pPr>
              <w:jc w:val="center"/>
              <w:rPr>
                <w:color w:val="000000"/>
                <w:sz w:val="20"/>
                <w:szCs w:val="20"/>
              </w:rPr>
            </w:pPr>
          </w:p>
        </w:tc>
        <w:tc>
          <w:tcPr>
            <w:tcW w:w="1252" w:type="dxa"/>
            <w:noWrap/>
            <w:vAlign w:val="center"/>
          </w:tcPr>
          <w:p w14:paraId="18273A4C">
            <w:pPr>
              <w:jc w:val="center"/>
              <w:rPr>
                <w:color w:val="000000"/>
                <w:sz w:val="20"/>
                <w:szCs w:val="20"/>
              </w:rPr>
            </w:pPr>
            <w:r>
              <w:rPr>
                <w:color w:val="000000"/>
                <w:sz w:val="20"/>
                <w:szCs w:val="20"/>
              </w:rPr>
              <w:t>8.000.000</w:t>
            </w:r>
          </w:p>
        </w:tc>
        <w:tc>
          <w:tcPr>
            <w:tcW w:w="1848" w:type="dxa"/>
            <w:noWrap/>
            <w:vAlign w:val="center"/>
          </w:tcPr>
          <w:p w14:paraId="33F42364">
            <w:pPr>
              <w:jc w:val="center"/>
              <w:rPr>
                <w:color w:val="000000"/>
                <w:sz w:val="20"/>
                <w:szCs w:val="20"/>
              </w:rPr>
            </w:pPr>
            <w:r>
              <w:rPr>
                <w:color w:val="000000"/>
                <w:sz w:val="20"/>
                <w:szCs w:val="20"/>
              </w:rPr>
              <w:t>720.000.000</w:t>
            </w:r>
          </w:p>
        </w:tc>
      </w:tr>
      <w:tr w14:paraId="1908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B609D75">
            <w:pPr>
              <w:jc w:val="center"/>
              <w:rPr>
                <w:b/>
                <w:bCs/>
                <w:color w:val="000000"/>
                <w:sz w:val="20"/>
                <w:szCs w:val="20"/>
              </w:rPr>
            </w:pPr>
            <w:r>
              <w:rPr>
                <w:b/>
                <w:bCs/>
                <w:color w:val="000000"/>
                <w:sz w:val="20"/>
                <w:szCs w:val="20"/>
              </w:rPr>
              <w:t>LK24</w:t>
            </w:r>
          </w:p>
        </w:tc>
        <w:tc>
          <w:tcPr>
            <w:tcW w:w="1802" w:type="dxa"/>
            <w:vAlign w:val="center"/>
          </w:tcPr>
          <w:p w14:paraId="048569A0">
            <w:pPr>
              <w:jc w:val="center"/>
              <w:rPr>
                <w:color w:val="000000"/>
                <w:sz w:val="20"/>
                <w:szCs w:val="20"/>
              </w:rPr>
            </w:pPr>
            <w:r>
              <w:rPr>
                <w:color w:val="000000"/>
                <w:sz w:val="20"/>
                <w:szCs w:val="20"/>
              </w:rPr>
              <w:t>LK24:05</w:t>
            </w:r>
          </w:p>
        </w:tc>
        <w:tc>
          <w:tcPr>
            <w:tcW w:w="1033" w:type="dxa"/>
            <w:noWrap/>
            <w:vAlign w:val="center"/>
          </w:tcPr>
          <w:p w14:paraId="0D31C39E">
            <w:pPr>
              <w:jc w:val="center"/>
              <w:rPr>
                <w:color w:val="000000"/>
                <w:sz w:val="20"/>
                <w:szCs w:val="20"/>
              </w:rPr>
            </w:pPr>
            <w:r>
              <w:rPr>
                <w:color w:val="000000"/>
                <w:sz w:val="20"/>
                <w:szCs w:val="20"/>
              </w:rPr>
              <w:t>90,00</w:t>
            </w:r>
          </w:p>
        </w:tc>
        <w:tc>
          <w:tcPr>
            <w:tcW w:w="846" w:type="dxa"/>
            <w:noWrap/>
            <w:vAlign w:val="center"/>
          </w:tcPr>
          <w:p w14:paraId="492A497B">
            <w:pPr>
              <w:jc w:val="center"/>
              <w:rPr>
                <w:color w:val="000000"/>
                <w:sz w:val="20"/>
                <w:szCs w:val="20"/>
              </w:rPr>
            </w:pPr>
            <w:r>
              <w:rPr>
                <w:color w:val="000000"/>
                <w:sz w:val="20"/>
                <w:szCs w:val="20"/>
              </w:rPr>
              <w:t>1</w:t>
            </w:r>
          </w:p>
        </w:tc>
        <w:tc>
          <w:tcPr>
            <w:tcW w:w="2578" w:type="dxa"/>
            <w:noWrap/>
            <w:vAlign w:val="center"/>
          </w:tcPr>
          <w:p w14:paraId="7651DFA7">
            <w:pPr>
              <w:jc w:val="center"/>
              <w:rPr>
                <w:color w:val="000000"/>
                <w:sz w:val="20"/>
                <w:szCs w:val="20"/>
              </w:rPr>
            </w:pPr>
            <w:r>
              <w:rPr>
                <w:color w:val="000000"/>
                <w:sz w:val="20"/>
                <w:szCs w:val="20"/>
              </w:rPr>
              <w:t>Mặt cắt 3-3</w:t>
            </w:r>
          </w:p>
        </w:tc>
        <w:tc>
          <w:tcPr>
            <w:tcW w:w="2393" w:type="dxa"/>
            <w:noWrap/>
            <w:vAlign w:val="center"/>
          </w:tcPr>
          <w:p w14:paraId="3DFE000E">
            <w:pPr>
              <w:jc w:val="center"/>
              <w:rPr>
                <w:color w:val="000000"/>
                <w:sz w:val="20"/>
                <w:szCs w:val="20"/>
              </w:rPr>
            </w:pPr>
            <w:r>
              <w:rPr>
                <w:color w:val="000000"/>
                <w:sz w:val="20"/>
                <w:szCs w:val="20"/>
              </w:rPr>
              <w:t>Một mặt tiền</w:t>
            </w:r>
          </w:p>
        </w:tc>
        <w:tc>
          <w:tcPr>
            <w:tcW w:w="1198" w:type="dxa"/>
            <w:noWrap/>
            <w:vAlign w:val="center"/>
          </w:tcPr>
          <w:p w14:paraId="5454F2A0">
            <w:pPr>
              <w:jc w:val="center"/>
              <w:rPr>
                <w:color w:val="000000"/>
                <w:sz w:val="20"/>
                <w:szCs w:val="20"/>
              </w:rPr>
            </w:pPr>
            <w:r>
              <w:rPr>
                <w:color w:val="000000"/>
                <w:sz w:val="20"/>
                <w:szCs w:val="20"/>
              </w:rPr>
              <w:t>8.000.000</w:t>
            </w:r>
          </w:p>
        </w:tc>
        <w:tc>
          <w:tcPr>
            <w:tcW w:w="1236" w:type="dxa"/>
            <w:noWrap/>
            <w:vAlign w:val="center"/>
          </w:tcPr>
          <w:p w14:paraId="59ECC049">
            <w:pPr>
              <w:jc w:val="center"/>
              <w:rPr>
                <w:color w:val="000000"/>
                <w:sz w:val="20"/>
                <w:szCs w:val="20"/>
              </w:rPr>
            </w:pPr>
          </w:p>
        </w:tc>
        <w:tc>
          <w:tcPr>
            <w:tcW w:w="1252" w:type="dxa"/>
            <w:noWrap/>
            <w:vAlign w:val="center"/>
          </w:tcPr>
          <w:p w14:paraId="6A999A64">
            <w:pPr>
              <w:jc w:val="center"/>
              <w:rPr>
                <w:color w:val="000000"/>
                <w:sz w:val="20"/>
                <w:szCs w:val="20"/>
              </w:rPr>
            </w:pPr>
            <w:r>
              <w:rPr>
                <w:color w:val="000000"/>
                <w:sz w:val="20"/>
                <w:szCs w:val="20"/>
              </w:rPr>
              <w:t>8.000.000</w:t>
            </w:r>
          </w:p>
        </w:tc>
        <w:tc>
          <w:tcPr>
            <w:tcW w:w="1848" w:type="dxa"/>
            <w:noWrap/>
            <w:vAlign w:val="center"/>
          </w:tcPr>
          <w:p w14:paraId="21C4E16C">
            <w:pPr>
              <w:jc w:val="center"/>
              <w:rPr>
                <w:color w:val="000000"/>
                <w:sz w:val="20"/>
                <w:szCs w:val="20"/>
              </w:rPr>
            </w:pPr>
            <w:r>
              <w:rPr>
                <w:color w:val="000000"/>
                <w:sz w:val="20"/>
                <w:szCs w:val="20"/>
              </w:rPr>
              <w:t>720.000.000</w:t>
            </w:r>
          </w:p>
        </w:tc>
      </w:tr>
      <w:tr w14:paraId="6081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AE3DAC9">
            <w:pPr>
              <w:jc w:val="center"/>
              <w:rPr>
                <w:b/>
                <w:bCs/>
                <w:color w:val="000000"/>
                <w:sz w:val="20"/>
                <w:szCs w:val="20"/>
              </w:rPr>
            </w:pPr>
            <w:r>
              <w:rPr>
                <w:b/>
                <w:bCs/>
                <w:color w:val="000000"/>
                <w:sz w:val="20"/>
                <w:szCs w:val="20"/>
              </w:rPr>
              <w:t>LK24</w:t>
            </w:r>
          </w:p>
        </w:tc>
        <w:tc>
          <w:tcPr>
            <w:tcW w:w="1802" w:type="dxa"/>
            <w:vAlign w:val="center"/>
          </w:tcPr>
          <w:p w14:paraId="124D50C6">
            <w:pPr>
              <w:jc w:val="center"/>
              <w:rPr>
                <w:color w:val="000000"/>
                <w:sz w:val="20"/>
                <w:szCs w:val="20"/>
              </w:rPr>
            </w:pPr>
            <w:r>
              <w:rPr>
                <w:color w:val="000000"/>
                <w:sz w:val="20"/>
                <w:szCs w:val="20"/>
              </w:rPr>
              <w:t>LK24:06</w:t>
            </w:r>
          </w:p>
        </w:tc>
        <w:tc>
          <w:tcPr>
            <w:tcW w:w="1033" w:type="dxa"/>
            <w:noWrap/>
            <w:vAlign w:val="center"/>
          </w:tcPr>
          <w:p w14:paraId="3B208A3B">
            <w:pPr>
              <w:jc w:val="center"/>
              <w:rPr>
                <w:color w:val="000000"/>
                <w:sz w:val="20"/>
                <w:szCs w:val="20"/>
              </w:rPr>
            </w:pPr>
            <w:r>
              <w:rPr>
                <w:color w:val="000000"/>
                <w:sz w:val="20"/>
                <w:szCs w:val="20"/>
              </w:rPr>
              <w:t>90,00</w:t>
            </w:r>
          </w:p>
        </w:tc>
        <w:tc>
          <w:tcPr>
            <w:tcW w:w="846" w:type="dxa"/>
            <w:noWrap/>
            <w:vAlign w:val="center"/>
          </w:tcPr>
          <w:p w14:paraId="6A63CC27">
            <w:pPr>
              <w:jc w:val="center"/>
              <w:rPr>
                <w:color w:val="000000"/>
                <w:sz w:val="20"/>
                <w:szCs w:val="20"/>
              </w:rPr>
            </w:pPr>
            <w:r>
              <w:rPr>
                <w:color w:val="000000"/>
                <w:sz w:val="20"/>
                <w:szCs w:val="20"/>
              </w:rPr>
              <w:t>1</w:t>
            </w:r>
          </w:p>
        </w:tc>
        <w:tc>
          <w:tcPr>
            <w:tcW w:w="2578" w:type="dxa"/>
            <w:noWrap/>
            <w:vAlign w:val="center"/>
          </w:tcPr>
          <w:p w14:paraId="119BE264">
            <w:pPr>
              <w:jc w:val="center"/>
              <w:rPr>
                <w:color w:val="000000"/>
                <w:sz w:val="20"/>
                <w:szCs w:val="20"/>
              </w:rPr>
            </w:pPr>
            <w:r>
              <w:rPr>
                <w:color w:val="000000"/>
                <w:sz w:val="20"/>
                <w:szCs w:val="20"/>
              </w:rPr>
              <w:t>Mặt cắt 3-3</w:t>
            </w:r>
          </w:p>
        </w:tc>
        <w:tc>
          <w:tcPr>
            <w:tcW w:w="2393" w:type="dxa"/>
            <w:noWrap/>
            <w:vAlign w:val="center"/>
          </w:tcPr>
          <w:p w14:paraId="2448D139">
            <w:pPr>
              <w:jc w:val="center"/>
              <w:rPr>
                <w:color w:val="000000"/>
                <w:sz w:val="20"/>
                <w:szCs w:val="20"/>
              </w:rPr>
            </w:pPr>
            <w:r>
              <w:rPr>
                <w:color w:val="000000"/>
                <w:sz w:val="20"/>
                <w:szCs w:val="20"/>
              </w:rPr>
              <w:t>Một mặt tiền</w:t>
            </w:r>
          </w:p>
        </w:tc>
        <w:tc>
          <w:tcPr>
            <w:tcW w:w="1198" w:type="dxa"/>
            <w:noWrap/>
            <w:vAlign w:val="center"/>
          </w:tcPr>
          <w:p w14:paraId="188F48B5">
            <w:pPr>
              <w:jc w:val="center"/>
              <w:rPr>
                <w:color w:val="000000"/>
                <w:sz w:val="20"/>
                <w:szCs w:val="20"/>
              </w:rPr>
            </w:pPr>
            <w:r>
              <w:rPr>
                <w:color w:val="000000"/>
                <w:sz w:val="20"/>
                <w:szCs w:val="20"/>
              </w:rPr>
              <w:t>8.000.000</w:t>
            </w:r>
          </w:p>
        </w:tc>
        <w:tc>
          <w:tcPr>
            <w:tcW w:w="1236" w:type="dxa"/>
            <w:noWrap/>
            <w:vAlign w:val="center"/>
          </w:tcPr>
          <w:p w14:paraId="4BE508CB">
            <w:pPr>
              <w:jc w:val="center"/>
              <w:rPr>
                <w:color w:val="000000"/>
                <w:sz w:val="20"/>
                <w:szCs w:val="20"/>
              </w:rPr>
            </w:pPr>
          </w:p>
        </w:tc>
        <w:tc>
          <w:tcPr>
            <w:tcW w:w="1252" w:type="dxa"/>
            <w:noWrap/>
            <w:vAlign w:val="center"/>
          </w:tcPr>
          <w:p w14:paraId="2C8F20B3">
            <w:pPr>
              <w:jc w:val="center"/>
              <w:rPr>
                <w:color w:val="000000"/>
                <w:sz w:val="20"/>
                <w:szCs w:val="20"/>
              </w:rPr>
            </w:pPr>
            <w:r>
              <w:rPr>
                <w:color w:val="000000"/>
                <w:sz w:val="20"/>
                <w:szCs w:val="20"/>
              </w:rPr>
              <w:t>8.000.000</w:t>
            </w:r>
          </w:p>
        </w:tc>
        <w:tc>
          <w:tcPr>
            <w:tcW w:w="1848" w:type="dxa"/>
            <w:noWrap/>
            <w:vAlign w:val="center"/>
          </w:tcPr>
          <w:p w14:paraId="09E63B69">
            <w:pPr>
              <w:jc w:val="center"/>
              <w:rPr>
                <w:color w:val="000000"/>
                <w:sz w:val="20"/>
                <w:szCs w:val="20"/>
              </w:rPr>
            </w:pPr>
            <w:r>
              <w:rPr>
                <w:color w:val="000000"/>
                <w:sz w:val="20"/>
                <w:szCs w:val="20"/>
              </w:rPr>
              <w:t>720.000.000</w:t>
            </w:r>
          </w:p>
        </w:tc>
      </w:tr>
      <w:tr w14:paraId="71A6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F26CA7">
            <w:pPr>
              <w:jc w:val="center"/>
              <w:rPr>
                <w:b/>
                <w:bCs/>
                <w:color w:val="000000"/>
                <w:sz w:val="20"/>
                <w:szCs w:val="20"/>
              </w:rPr>
            </w:pPr>
            <w:r>
              <w:rPr>
                <w:b/>
                <w:bCs/>
                <w:color w:val="000000"/>
                <w:sz w:val="20"/>
                <w:szCs w:val="20"/>
              </w:rPr>
              <w:t>LK24</w:t>
            </w:r>
          </w:p>
        </w:tc>
        <w:tc>
          <w:tcPr>
            <w:tcW w:w="1802" w:type="dxa"/>
            <w:vAlign w:val="center"/>
          </w:tcPr>
          <w:p w14:paraId="363F2CB1">
            <w:pPr>
              <w:jc w:val="center"/>
              <w:rPr>
                <w:color w:val="000000"/>
                <w:sz w:val="20"/>
                <w:szCs w:val="20"/>
              </w:rPr>
            </w:pPr>
            <w:r>
              <w:rPr>
                <w:color w:val="000000"/>
                <w:sz w:val="20"/>
                <w:szCs w:val="20"/>
              </w:rPr>
              <w:t>LK24:07</w:t>
            </w:r>
          </w:p>
        </w:tc>
        <w:tc>
          <w:tcPr>
            <w:tcW w:w="1033" w:type="dxa"/>
            <w:noWrap/>
            <w:vAlign w:val="center"/>
          </w:tcPr>
          <w:p w14:paraId="30A25D0A">
            <w:pPr>
              <w:jc w:val="center"/>
              <w:rPr>
                <w:color w:val="000000"/>
                <w:sz w:val="20"/>
                <w:szCs w:val="20"/>
              </w:rPr>
            </w:pPr>
            <w:r>
              <w:rPr>
                <w:color w:val="000000"/>
                <w:sz w:val="20"/>
                <w:szCs w:val="20"/>
              </w:rPr>
              <w:t>90,00</w:t>
            </w:r>
          </w:p>
        </w:tc>
        <w:tc>
          <w:tcPr>
            <w:tcW w:w="846" w:type="dxa"/>
            <w:noWrap/>
            <w:vAlign w:val="center"/>
          </w:tcPr>
          <w:p w14:paraId="5FD82132">
            <w:pPr>
              <w:jc w:val="center"/>
              <w:rPr>
                <w:color w:val="000000"/>
                <w:sz w:val="20"/>
                <w:szCs w:val="20"/>
              </w:rPr>
            </w:pPr>
            <w:r>
              <w:rPr>
                <w:color w:val="000000"/>
                <w:sz w:val="20"/>
                <w:szCs w:val="20"/>
              </w:rPr>
              <w:t>1</w:t>
            </w:r>
          </w:p>
        </w:tc>
        <w:tc>
          <w:tcPr>
            <w:tcW w:w="2578" w:type="dxa"/>
            <w:noWrap/>
            <w:vAlign w:val="center"/>
          </w:tcPr>
          <w:p w14:paraId="017E6FD5">
            <w:pPr>
              <w:jc w:val="center"/>
              <w:rPr>
                <w:color w:val="000000"/>
                <w:sz w:val="20"/>
                <w:szCs w:val="20"/>
              </w:rPr>
            </w:pPr>
            <w:r>
              <w:rPr>
                <w:color w:val="000000"/>
                <w:sz w:val="20"/>
                <w:szCs w:val="20"/>
              </w:rPr>
              <w:t>Mặt cắt 3-3</w:t>
            </w:r>
          </w:p>
        </w:tc>
        <w:tc>
          <w:tcPr>
            <w:tcW w:w="2393" w:type="dxa"/>
            <w:noWrap/>
            <w:vAlign w:val="center"/>
          </w:tcPr>
          <w:p w14:paraId="6A94EABC">
            <w:pPr>
              <w:jc w:val="center"/>
              <w:rPr>
                <w:color w:val="000000"/>
                <w:sz w:val="20"/>
                <w:szCs w:val="20"/>
              </w:rPr>
            </w:pPr>
            <w:r>
              <w:rPr>
                <w:color w:val="000000"/>
                <w:sz w:val="20"/>
                <w:szCs w:val="20"/>
              </w:rPr>
              <w:t>Một mặt tiền</w:t>
            </w:r>
          </w:p>
        </w:tc>
        <w:tc>
          <w:tcPr>
            <w:tcW w:w="1198" w:type="dxa"/>
            <w:noWrap/>
            <w:vAlign w:val="center"/>
          </w:tcPr>
          <w:p w14:paraId="6DFE1C84">
            <w:pPr>
              <w:jc w:val="center"/>
              <w:rPr>
                <w:color w:val="000000"/>
                <w:sz w:val="20"/>
                <w:szCs w:val="20"/>
              </w:rPr>
            </w:pPr>
            <w:r>
              <w:rPr>
                <w:color w:val="000000"/>
                <w:sz w:val="20"/>
                <w:szCs w:val="20"/>
              </w:rPr>
              <w:t>8.000.000</w:t>
            </w:r>
          </w:p>
        </w:tc>
        <w:tc>
          <w:tcPr>
            <w:tcW w:w="1236" w:type="dxa"/>
            <w:noWrap/>
            <w:vAlign w:val="center"/>
          </w:tcPr>
          <w:p w14:paraId="4898E0AD">
            <w:pPr>
              <w:jc w:val="center"/>
              <w:rPr>
                <w:color w:val="000000"/>
                <w:sz w:val="20"/>
                <w:szCs w:val="20"/>
              </w:rPr>
            </w:pPr>
          </w:p>
        </w:tc>
        <w:tc>
          <w:tcPr>
            <w:tcW w:w="1252" w:type="dxa"/>
            <w:noWrap/>
            <w:vAlign w:val="center"/>
          </w:tcPr>
          <w:p w14:paraId="2BF015E7">
            <w:pPr>
              <w:jc w:val="center"/>
              <w:rPr>
                <w:color w:val="000000"/>
                <w:sz w:val="20"/>
                <w:szCs w:val="20"/>
              </w:rPr>
            </w:pPr>
            <w:r>
              <w:rPr>
                <w:color w:val="000000"/>
                <w:sz w:val="20"/>
                <w:szCs w:val="20"/>
              </w:rPr>
              <w:t>8.000.000</w:t>
            </w:r>
          </w:p>
        </w:tc>
        <w:tc>
          <w:tcPr>
            <w:tcW w:w="1848" w:type="dxa"/>
            <w:noWrap/>
            <w:vAlign w:val="center"/>
          </w:tcPr>
          <w:p w14:paraId="34851C94">
            <w:pPr>
              <w:jc w:val="center"/>
              <w:rPr>
                <w:color w:val="000000"/>
                <w:sz w:val="20"/>
                <w:szCs w:val="20"/>
              </w:rPr>
            </w:pPr>
            <w:r>
              <w:rPr>
                <w:color w:val="000000"/>
                <w:sz w:val="20"/>
                <w:szCs w:val="20"/>
              </w:rPr>
              <w:t>720.000.000</w:t>
            </w:r>
          </w:p>
        </w:tc>
      </w:tr>
      <w:tr w14:paraId="7D09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0614F9F">
            <w:pPr>
              <w:jc w:val="center"/>
              <w:rPr>
                <w:b/>
                <w:bCs/>
                <w:color w:val="000000"/>
                <w:sz w:val="20"/>
                <w:szCs w:val="20"/>
              </w:rPr>
            </w:pPr>
            <w:r>
              <w:rPr>
                <w:b/>
                <w:bCs/>
                <w:color w:val="000000"/>
                <w:sz w:val="20"/>
                <w:szCs w:val="20"/>
              </w:rPr>
              <w:t>LK24</w:t>
            </w:r>
          </w:p>
        </w:tc>
        <w:tc>
          <w:tcPr>
            <w:tcW w:w="1802" w:type="dxa"/>
            <w:vAlign w:val="center"/>
          </w:tcPr>
          <w:p w14:paraId="003841BC">
            <w:pPr>
              <w:jc w:val="center"/>
              <w:rPr>
                <w:color w:val="000000"/>
                <w:sz w:val="20"/>
                <w:szCs w:val="20"/>
              </w:rPr>
            </w:pPr>
            <w:r>
              <w:rPr>
                <w:color w:val="000000"/>
                <w:sz w:val="20"/>
                <w:szCs w:val="20"/>
              </w:rPr>
              <w:t>LK24:08</w:t>
            </w:r>
          </w:p>
        </w:tc>
        <w:tc>
          <w:tcPr>
            <w:tcW w:w="1033" w:type="dxa"/>
            <w:noWrap/>
            <w:vAlign w:val="center"/>
          </w:tcPr>
          <w:p w14:paraId="093E7AE7">
            <w:pPr>
              <w:jc w:val="center"/>
              <w:rPr>
                <w:color w:val="000000"/>
                <w:sz w:val="20"/>
                <w:szCs w:val="20"/>
              </w:rPr>
            </w:pPr>
            <w:r>
              <w:rPr>
                <w:color w:val="000000"/>
                <w:sz w:val="20"/>
                <w:szCs w:val="20"/>
              </w:rPr>
              <w:t>90,00</w:t>
            </w:r>
          </w:p>
        </w:tc>
        <w:tc>
          <w:tcPr>
            <w:tcW w:w="846" w:type="dxa"/>
            <w:noWrap/>
            <w:vAlign w:val="center"/>
          </w:tcPr>
          <w:p w14:paraId="3CFDACD6">
            <w:pPr>
              <w:jc w:val="center"/>
              <w:rPr>
                <w:color w:val="000000"/>
                <w:sz w:val="20"/>
                <w:szCs w:val="20"/>
              </w:rPr>
            </w:pPr>
            <w:r>
              <w:rPr>
                <w:color w:val="000000"/>
                <w:sz w:val="20"/>
                <w:szCs w:val="20"/>
              </w:rPr>
              <w:t>1</w:t>
            </w:r>
          </w:p>
        </w:tc>
        <w:tc>
          <w:tcPr>
            <w:tcW w:w="2578" w:type="dxa"/>
            <w:noWrap/>
            <w:vAlign w:val="center"/>
          </w:tcPr>
          <w:p w14:paraId="6ADC6971">
            <w:pPr>
              <w:jc w:val="center"/>
              <w:rPr>
                <w:color w:val="000000"/>
                <w:sz w:val="20"/>
                <w:szCs w:val="20"/>
              </w:rPr>
            </w:pPr>
            <w:r>
              <w:rPr>
                <w:color w:val="000000"/>
                <w:sz w:val="20"/>
                <w:szCs w:val="20"/>
              </w:rPr>
              <w:t>Mặt cắt 3-3</w:t>
            </w:r>
          </w:p>
        </w:tc>
        <w:tc>
          <w:tcPr>
            <w:tcW w:w="2393" w:type="dxa"/>
            <w:noWrap/>
            <w:vAlign w:val="center"/>
          </w:tcPr>
          <w:p w14:paraId="24C6118F">
            <w:pPr>
              <w:jc w:val="center"/>
              <w:rPr>
                <w:color w:val="000000"/>
                <w:sz w:val="20"/>
                <w:szCs w:val="20"/>
              </w:rPr>
            </w:pPr>
            <w:r>
              <w:rPr>
                <w:color w:val="000000"/>
                <w:sz w:val="20"/>
                <w:szCs w:val="20"/>
              </w:rPr>
              <w:t>Một mặt tiền</w:t>
            </w:r>
          </w:p>
        </w:tc>
        <w:tc>
          <w:tcPr>
            <w:tcW w:w="1198" w:type="dxa"/>
            <w:noWrap/>
            <w:vAlign w:val="center"/>
          </w:tcPr>
          <w:p w14:paraId="5D9C5804">
            <w:pPr>
              <w:jc w:val="center"/>
              <w:rPr>
                <w:color w:val="000000"/>
                <w:sz w:val="20"/>
                <w:szCs w:val="20"/>
              </w:rPr>
            </w:pPr>
            <w:r>
              <w:rPr>
                <w:color w:val="000000"/>
                <w:sz w:val="20"/>
                <w:szCs w:val="20"/>
              </w:rPr>
              <w:t>8.000.000</w:t>
            </w:r>
          </w:p>
        </w:tc>
        <w:tc>
          <w:tcPr>
            <w:tcW w:w="1236" w:type="dxa"/>
            <w:noWrap/>
            <w:vAlign w:val="center"/>
          </w:tcPr>
          <w:p w14:paraId="51E96CB7">
            <w:pPr>
              <w:jc w:val="center"/>
              <w:rPr>
                <w:color w:val="000000"/>
                <w:sz w:val="20"/>
                <w:szCs w:val="20"/>
              </w:rPr>
            </w:pPr>
          </w:p>
        </w:tc>
        <w:tc>
          <w:tcPr>
            <w:tcW w:w="1252" w:type="dxa"/>
            <w:noWrap/>
            <w:vAlign w:val="center"/>
          </w:tcPr>
          <w:p w14:paraId="02FC8B77">
            <w:pPr>
              <w:jc w:val="center"/>
              <w:rPr>
                <w:color w:val="000000"/>
                <w:sz w:val="20"/>
                <w:szCs w:val="20"/>
              </w:rPr>
            </w:pPr>
            <w:r>
              <w:rPr>
                <w:color w:val="000000"/>
                <w:sz w:val="20"/>
                <w:szCs w:val="20"/>
              </w:rPr>
              <w:t>8.000.000</w:t>
            </w:r>
          </w:p>
        </w:tc>
        <w:tc>
          <w:tcPr>
            <w:tcW w:w="1848" w:type="dxa"/>
            <w:noWrap/>
            <w:vAlign w:val="center"/>
          </w:tcPr>
          <w:p w14:paraId="2D7F05AF">
            <w:pPr>
              <w:jc w:val="center"/>
              <w:rPr>
                <w:color w:val="000000"/>
                <w:sz w:val="20"/>
                <w:szCs w:val="20"/>
              </w:rPr>
            </w:pPr>
            <w:r>
              <w:rPr>
                <w:color w:val="000000"/>
                <w:sz w:val="20"/>
                <w:szCs w:val="20"/>
              </w:rPr>
              <w:t>720.000.000</w:t>
            </w:r>
          </w:p>
        </w:tc>
      </w:tr>
      <w:tr w14:paraId="2912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EE026F0">
            <w:pPr>
              <w:jc w:val="center"/>
              <w:rPr>
                <w:b/>
                <w:bCs/>
                <w:color w:val="000000"/>
                <w:sz w:val="20"/>
                <w:szCs w:val="20"/>
              </w:rPr>
            </w:pPr>
            <w:r>
              <w:rPr>
                <w:b/>
                <w:bCs/>
                <w:color w:val="000000"/>
                <w:sz w:val="20"/>
                <w:szCs w:val="20"/>
              </w:rPr>
              <w:t>LK24</w:t>
            </w:r>
          </w:p>
        </w:tc>
        <w:tc>
          <w:tcPr>
            <w:tcW w:w="1802" w:type="dxa"/>
            <w:vAlign w:val="center"/>
          </w:tcPr>
          <w:p w14:paraId="7842CD08">
            <w:pPr>
              <w:jc w:val="center"/>
              <w:rPr>
                <w:color w:val="000000"/>
                <w:sz w:val="20"/>
                <w:szCs w:val="20"/>
              </w:rPr>
            </w:pPr>
            <w:r>
              <w:rPr>
                <w:color w:val="000000"/>
                <w:sz w:val="20"/>
                <w:szCs w:val="20"/>
              </w:rPr>
              <w:t>LK24:09</w:t>
            </w:r>
          </w:p>
        </w:tc>
        <w:tc>
          <w:tcPr>
            <w:tcW w:w="1033" w:type="dxa"/>
            <w:noWrap/>
            <w:vAlign w:val="center"/>
          </w:tcPr>
          <w:p w14:paraId="35C091E2">
            <w:pPr>
              <w:jc w:val="center"/>
              <w:rPr>
                <w:color w:val="000000"/>
                <w:sz w:val="20"/>
                <w:szCs w:val="20"/>
              </w:rPr>
            </w:pPr>
            <w:r>
              <w:rPr>
                <w:color w:val="000000"/>
                <w:sz w:val="20"/>
                <w:szCs w:val="20"/>
              </w:rPr>
              <w:t>90,00</w:t>
            </w:r>
          </w:p>
        </w:tc>
        <w:tc>
          <w:tcPr>
            <w:tcW w:w="846" w:type="dxa"/>
            <w:noWrap/>
            <w:vAlign w:val="center"/>
          </w:tcPr>
          <w:p w14:paraId="37A96D2F">
            <w:pPr>
              <w:jc w:val="center"/>
              <w:rPr>
                <w:color w:val="000000"/>
                <w:sz w:val="20"/>
                <w:szCs w:val="20"/>
              </w:rPr>
            </w:pPr>
            <w:r>
              <w:rPr>
                <w:color w:val="000000"/>
                <w:sz w:val="20"/>
                <w:szCs w:val="20"/>
              </w:rPr>
              <w:t>1</w:t>
            </w:r>
          </w:p>
        </w:tc>
        <w:tc>
          <w:tcPr>
            <w:tcW w:w="2578" w:type="dxa"/>
            <w:noWrap/>
            <w:vAlign w:val="center"/>
          </w:tcPr>
          <w:p w14:paraId="79CE74FE">
            <w:pPr>
              <w:jc w:val="center"/>
              <w:rPr>
                <w:color w:val="000000"/>
                <w:sz w:val="20"/>
                <w:szCs w:val="20"/>
              </w:rPr>
            </w:pPr>
            <w:r>
              <w:rPr>
                <w:color w:val="000000"/>
                <w:sz w:val="20"/>
                <w:szCs w:val="20"/>
              </w:rPr>
              <w:t>Mặt cắt 3-3</w:t>
            </w:r>
          </w:p>
        </w:tc>
        <w:tc>
          <w:tcPr>
            <w:tcW w:w="2393" w:type="dxa"/>
            <w:noWrap/>
            <w:vAlign w:val="center"/>
          </w:tcPr>
          <w:p w14:paraId="006B3B13">
            <w:pPr>
              <w:jc w:val="center"/>
              <w:rPr>
                <w:color w:val="000000"/>
                <w:sz w:val="20"/>
                <w:szCs w:val="20"/>
              </w:rPr>
            </w:pPr>
            <w:r>
              <w:rPr>
                <w:color w:val="000000"/>
                <w:sz w:val="20"/>
                <w:szCs w:val="20"/>
              </w:rPr>
              <w:t>Một mặt tiền</w:t>
            </w:r>
          </w:p>
        </w:tc>
        <w:tc>
          <w:tcPr>
            <w:tcW w:w="1198" w:type="dxa"/>
            <w:noWrap/>
            <w:vAlign w:val="center"/>
          </w:tcPr>
          <w:p w14:paraId="2CC5F2B0">
            <w:pPr>
              <w:jc w:val="center"/>
              <w:rPr>
                <w:color w:val="000000"/>
                <w:sz w:val="20"/>
                <w:szCs w:val="20"/>
              </w:rPr>
            </w:pPr>
            <w:r>
              <w:rPr>
                <w:color w:val="000000"/>
                <w:sz w:val="20"/>
                <w:szCs w:val="20"/>
              </w:rPr>
              <w:t>8.000.000</w:t>
            </w:r>
          </w:p>
        </w:tc>
        <w:tc>
          <w:tcPr>
            <w:tcW w:w="1236" w:type="dxa"/>
            <w:noWrap/>
            <w:vAlign w:val="center"/>
          </w:tcPr>
          <w:p w14:paraId="40FC18EA">
            <w:pPr>
              <w:jc w:val="center"/>
              <w:rPr>
                <w:color w:val="000000"/>
                <w:sz w:val="20"/>
                <w:szCs w:val="20"/>
              </w:rPr>
            </w:pPr>
          </w:p>
        </w:tc>
        <w:tc>
          <w:tcPr>
            <w:tcW w:w="1252" w:type="dxa"/>
            <w:noWrap/>
            <w:vAlign w:val="center"/>
          </w:tcPr>
          <w:p w14:paraId="22549938">
            <w:pPr>
              <w:jc w:val="center"/>
              <w:rPr>
                <w:color w:val="000000"/>
                <w:sz w:val="20"/>
                <w:szCs w:val="20"/>
              </w:rPr>
            </w:pPr>
            <w:r>
              <w:rPr>
                <w:color w:val="000000"/>
                <w:sz w:val="20"/>
                <w:szCs w:val="20"/>
              </w:rPr>
              <w:t>8.000.000</w:t>
            </w:r>
          </w:p>
        </w:tc>
        <w:tc>
          <w:tcPr>
            <w:tcW w:w="1848" w:type="dxa"/>
            <w:noWrap/>
            <w:vAlign w:val="center"/>
          </w:tcPr>
          <w:p w14:paraId="2286D129">
            <w:pPr>
              <w:jc w:val="center"/>
              <w:rPr>
                <w:color w:val="000000"/>
                <w:sz w:val="20"/>
                <w:szCs w:val="20"/>
              </w:rPr>
            </w:pPr>
            <w:r>
              <w:rPr>
                <w:color w:val="000000"/>
                <w:sz w:val="20"/>
                <w:szCs w:val="20"/>
              </w:rPr>
              <w:t>720.000.000</w:t>
            </w:r>
          </w:p>
        </w:tc>
      </w:tr>
      <w:tr w14:paraId="230A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3DE4BA">
            <w:pPr>
              <w:jc w:val="center"/>
              <w:rPr>
                <w:b/>
                <w:bCs/>
                <w:color w:val="000000"/>
                <w:sz w:val="20"/>
                <w:szCs w:val="20"/>
              </w:rPr>
            </w:pPr>
            <w:r>
              <w:rPr>
                <w:b/>
                <w:bCs/>
                <w:color w:val="000000"/>
                <w:sz w:val="20"/>
                <w:szCs w:val="20"/>
              </w:rPr>
              <w:t>LK24</w:t>
            </w:r>
          </w:p>
        </w:tc>
        <w:tc>
          <w:tcPr>
            <w:tcW w:w="1802" w:type="dxa"/>
            <w:vAlign w:val="center"/>
          </w:tcPr>
          <w:p w14:paraId="427C9E0B">
            <w:pPr>
              <w:jc w:val="center"/>
              <w:rPr>
                <w:color w:val="000000"/>
                <w:sz w:val="20"/>
                <w:szCs w:val="20"/>
              </w:rPr>
            </w:pPr>
            <w:r>
              <w:rPr>
                <w:color w:val="000000"/>
                <w:sz w:val="20"/>
                <w:szCs w:val="20"/>
              </w:rPr>
              <w:t>LK24:10</w:t>
            </w:r>
          </w:p>
        </w:tc>
        <w:tc>
          <w:tcPr>
            <w:tcW w:w="1033" w:type="dxa"/>
            <w:noWrap/>
            <w:vAlign w:val="center"/>
          </w:tcPr>
          <w:p w14:paraId="41C7EA1B">
            <w:pPr>
              <w:jc w:val="center"/>
              <w:rPr>
                <w:color w:val="000000"/>
                <w:sz w:val="20"/>
                <w:szCs w:val="20"/>
              </w:rPr>
            </w:pPr>
            <w:r>
              <w:rPr>
                <w:color w:val="000000"/>
                <w:sz w:val="20"/>
                <w:szCs w:val="20"/>
              </w:rPr>
              <w:t>90,00</w:t>
            </w:r>
          </w:p>
        </w:tc>
        <w:tc>
          <w:tcPr>
            <w:tcW w:w="846" w:type="dxa"/>
            <w:noWrap/>
            <w:vAlign w:val="center"/>
          </w:tcPr>
          <w:p w14:paraId="2D6CED0B">
            <w:pPr>
              <w:jc w:val="center"/>
              <w:rPr>
                <w:color w:val="000000"/>
                <w:sz w:val="20"/>
                <w:szCs w:val="20"/>
              </w:rPr>
            </w:pPr>
            <w:r>
              <w:rPr>
                <w:color w:val="000000"/>
                <w:sz w:val="20"/>
                <w:szCs w:val="20"/>
              </w:rPr>
              <w:t>1</w:t>
            </w:r>
          </w:p>
        </w:tc>
        <w:tc>
          <w:tcPr>
            <w:tcW w:w="2578" w:type="dxa"/>
            <w:noWrap/>
            <w:vAlign w:val="center"/>
          </w:tcPr>
          <w:p w14:paraId="46CE93AA">
            <w:pPr>
              <w:jc w:val="center"/>
              <w:rPr>
                <w:color w:val="000000"/>
                <w:sz w:val="20"/>
                <w:szCs w:val="20"/>
              </w:rPr>
            </w:pPr>
            <w:r>
              <w:rPr>
                <w:color w:val="000000"/>
                <w:sz w:val="20"/>
                <w:szCs w:val="20"/>
              </w:rPr>
              <w:t>Mặt cắt 3-3</w:t>
            </w:r>
          </w:p>
        </w:tc>
        <w:tc>
          <w:tcPr>
            <w:tcW w:w="2393" w:type="dxa"/>
            <w:noWrap/>
            <w:vAlign w:val="center"/>
          </w:tcPr>
          <w:p w14:paraId="7E03C456">
            <w:pPr>
              <w:jc w:val="center"/>
              <w:rPr>
                <w:color w:val="000000"/>
                <w:sz w:val="20"/>
                <w:szCs w:val="20"/>
              </w:rPr>
            </w:pPr>
            <w:r>
              <w:rPr>
                <w:color w:val="000000"/>
                <w:sz w:val="20"/>
                <w:szCs w:val="20"/>
              </w:rPr>
              <w:t>Một mặt tiền</w:t>
            </w:r>
          </w:p>
        </w:tc>
        <w:tc>
          <w:tcPr>
            <w:tcW w:w="1198" w:type="dxa"/>
            <w:noWrap/>
            <w:vAlign w:val="center"/>
          </w:tcPr>
          <w:p w14:paraId="71900070">
            <w:pPr>
              <w:jc w:val="center"/>
              <w:rPr>
                <w:color w:val="000000"/>
                <w:sz w:val="20"/>
                <w:szCs w:val="20"/>
              </w:rPr>
            </w:pPr>
            <w:r>
              <w:rPr>
                <w:color w:val="000000"/>
                <w:sz w:val="20"/>
                <w:szCs w:val="20"/>
              </w:rPr>
              <w:t>8.000.000</w:t>
            </w:r>
          </w:p>
        </w:tc>
        <w:tc>
          <w:tcPr>
            <w:tcW w:w="1236" w:type="dxa"/>
            <w:noWrap/>
            <w:vAlign w:val="center"/>
          </w:tcPr>
          <w:p w14:paraId="3C6DC9CA">
            <w:pPr>
              <w:jc w:val="center"/>
              <w:rPr>
                <w:color w:val="000000"/>
                <w:sz w:val="20"/>
                <w:szCs w:val="20"/>
              </w:rPr>
            </w:pPr>
          </w:p>
        </w:tc>
        <w:tc>
          <w:tcPr>
            <w:tcW w:w="1252" w:type="dxa"/>
            <w:noWrap/>
            <w:vAlign w:val="center"/>
          </w:tcPr>
          <w:p w14:paraId="5AE32306">
            <w:pPr>
              <w:jc w:val="center"/>
              <w:rPr>
                <w:color w:val="000000"/>
                <w:sz w:val="20"/>
                <w:szCs w:val="20"/>
              </w:rPr>
            </w:pPr>
            <w:r>
              <w:rPr>
                <w:color w:val="000000"/>
                <w:sz w:val="20"/>
                <w:szCs w:val="20"/>
              </w:rPr>
              <w:t>8.000.000</w:t>
            </w:r>
          </w:p>
        </w:tc>
        <w:tc>
          <w:tcPr>
            <w:tcW w:w="1848" w:type="dxa"/>
            <w:noWrap/>
            <w:vAlign w:val="center"/>
          </w:tcPr>
          <w:p w14:paraId="56C37272">
            <w:pPr>
              <w:jc w:val="center"/>
              <w:rPr>
                <w:color w:val="000000"/>
                <w:sz w:val="20"/>
                <w:szCs w:val="20"/>
              </w:rPr>
            </w:pPr>
            <w:r>
              <w:rPr>
                <w:color w:val="000000"/>
                <w:sz w:val="20"/>
                <w:szCs w:val="20"/>
              </w:rPr>
              <w:t>720.000.000</w:t>
            </w:r>
          </w:p>
        </w:tc>
      </w:tr>
      <w:tr w14:paraId="7C27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31F7578">
            <w:pPr>
              <w:jc w:val="center"/>
              <w:rPr>
                <w:b/>
                <w:bCs/>
                <w:color w:val="000000"/>
                <w:sz w:val="20"/>
                <w:szCs w:val="20"/>
              </w:rPr>
            </w:pPr>
            <w:r>
              <w:rPr>
                <w:b/>
                <w:bCs/>
                <w:color w:val="000000"/>
                <w:sz w:val="20"/>
                <w:szCs w:val="20"/>
              </w:rPr>
              <w:t>LK25</w:t>
            </w:r>
          </w:p>
        </w:tc>
        <w:tc>
          <w:tcPr>
            <w:tcW w:w="1802" w:type="dxa"/>
            <w:vAlign w:val="center"/>
          </w:tcPr>
          <w:p w14:paraId="48EA5A54">
            <w:pPr>
              <w:jc w:val="center"/>
              <w:rPr>
                <w:color w:val="000000"/>
                <w:sz w:val="20"/>
                <w:szCs w:val="20"/>
              </w:rPr>
            </w:pPr>
            <w:r>
              <w:rPr>
                <w:color w:val="000000"/>
                <w:sz w:val="20"/>
                <w:szCs w:val="20"/>
              </w:rPr>
              <w:t>LK25:02</w:t>
            </w:r>
          </w:p>
        </w:tc>
        <w:tc>
          <w:tcPr>
            <w:tcW w:w="1033" w:type="dxa"/>
            <w:noWrap/>
            <w:vAlign w:val="center"/>
          </w:tcPr>
          <w:p w14:paraId="61982B45">
            <w:pPr>
              <w:jc w:val="center"/>
              <w:rPr>
                <w:color w:val="000000"/>
                <w:sz w:val="20"/>
                <w:szCs w:val="20"/>
              </w:rPr>
            </w:pPr>
            <w:r>
              <w:rPr>
                <w:color w:val="000000"/>
                <w:sz w:val="20"/>
                <w:szCs w:val="20"/>
              </w:rPr>
              <w:t>90,00</w:t>
            </w:r>
          </w:p>
        </w:tc>
        <w:tc>
          <w:tcPr>
            <w:tcW w:w="846" w:type="dxa"/>
            <w:noWrap/>
            <w:vAlign w:val="center"/>
          </w:tcPr>
          <w:p w14:paraId="25C0DF58">
            <w:pPr>
              <w:jc w:val="center"/>
              <w:rPr>
                <w:color w:val="000000"/>
                <w:sz w:val="20"/>
                <w:szCs w:val="20"/>
              </w:rPr>
            </w:pPr>
            <w:r>
              <w:rPr>
                <w:color w:val="000000"/>
                <w:sz w:val="20"/>
                <w:szCs w:val="20"/>
              </w:rPr>
              <w:t>1</w:t>
            </w:r>
          </w:p>
        </w:tc>
        <w:tc>
          <w:tcPr>
            <w:tcW w:w="2578" w:type="dxa"/>
            <w:noWrap/>
            <w:vAlign w:val="center"/>
          </w:tcPr>
          <w:p w14:paraId="7344EE4F">
            <w:pPr>
              <w:jc w:val="center"/>
              <w:rPr>
                <w:color w:val="000000"/>
                <w:sz w:val="20"/>
                <w:szCs w:val="20"/>
              </w:rPr>
            </w:pPr>
            <w:r>
              <w:rPr>
                <w:color w:val="000000"/>
                <w:sz w:val="20"/>
                <w:szCs w:val="20"/>
              </w:rPr>
              <w:t>Mặt cắt 3-3</w:t>
            </w:r>
          </w:p>
        </w:tc>
        <w:tc>
          <w:tcPr>
            <w:tcW w:w="2393" w:type="dxa"/>
            <w:noWrap/>
            <w:vAlign w:val="center"/>
          </w:tcPr>
          <w:p w14:paraId="36774782">
            <w:pPr>
              <w:jc w:val="center"/>
              <w:rPr>
                <w:color w:val="000000"/>
                <w:sz w:val="20"/>
                <w:szCs w:val="20"/>
              </w:rPr>
            </w:pPr>
            <w:r>
              <w:rPr>
                <w:color w:val="000000"/>
                <w:sz w:val="20"/>
                <w:szCs w:val="20"/>
              </w:rPr>
              <w:t>Một mặt tiền, đối diện/tiếp giáp CX-MN</w:t>
            </w:r>
          </w:p>
        </w:tc>
        <w:tc>
          <w:tcPr>
            <w:tcW w:w="1198" w:type="dxa"/>
            <w:noWrap/>
            <w:vAlign w:val="center"/>
          </w:tcPr>
          <w:p w14:paraId="18FF14FB">
            <w:pPr>
              <w:jc w:val="center"/>
              <w:rPr>
                <w:color w:val="000000"/>
                <w:sz w:val="20"/>
                <w:szCs w:val="20"/>
              </w:rPr>
            </w:pPr>
            <w:r>
              <w:rPr>
                <w:color w:val="000000"/>
                <w:sz w:val="20"/>
                <w:szCs w:val="20"/>
              </w:rPr>
              <w:t>8.400.000</w:t>
            </w:r>
          </w:p>
        </w:tc>
        <w:tc>
          <w:tcPr>
            <w:tcW w:w="1236" w:type="dxa"/>
            <w:noWrap/>
            <w:vAlign w:val="center"/>
          </w:tcPr>
          <w:p w14:paraId="0CD490FE">
            <w:pPr>
              <w:jc w:val="center"/>
              <w:rPr>
                <w:color w:val="000000"/>
                <w:sz w:val="20"/>
                <w:szCs w:val="20"/>
              </w:rPr>
            </w:pPr>
          </w:p>
        </w:tc>
        <w:tc>
          <w:tcPr>
            <w:tcW w:w="1252" w:type="dxa"/>
            <w:noWrap/>
            <w:vAlign w:val="center"/>
          </w:tcPr>
          <w:p w14:paraId="51CB0F67">
            <w:pPr>
              <w:jc w:val="center"/>
              <w:rPr>
                <w:color w:val="000000"/>
                <w:sz w:val="20"/>
                <w:szCs w:val="20"/>
              </w:rPr>
            </w:pPr>
            <w:r>
              <w:rPr>
                <w:color w:val="000000"/>
                <w:sz w:val="20"/>
                <w:szCs w:val="20"/>
              </w:rPr>
              <w:t>8.400.000</w:t>
            </w:r>
          </w:p>
        </w:tc>
        <w:tc>
          <w:tcPr>
            <w:tcW w:w="1848" w:type="dxa"/>
            <w:noWrap/>
            <w:vAlign w:val="center"/>
          </w:tcPr>
          <w:p w14:paraId="761AC5EB">
            <w:pPr>
              <w:jc w:val="center"/>
              <w:rPr>
                <w:color w:val="000000"/>
                <w:sz w:val="20"/>
                <w:szCs w:val="20"/>
              </w:rPr>
            </w:pPr>
            <w:r>
              <w:rPr>
                <w:color w:val="000000"/>
                <w:sz w:val="20"/>
                <w:szCs w:val="20"/>
              </w:rPr>
              <w:t>756.000.000</w:t>
            </w:r>
          </w:p>
        </w:tc>
      </w:tr>
      <w:tr w14:paraId="3CFC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E8872AB">
            <w:pPr>
              <w:jc w:val="center"/>
              <w:rPr>
                <w:b/>
                <w:bCs/>
                <w:color w:val="000000"/>
                <w:sz w:val="20"/>
                <w:szCs w:val="20"/>
              </w:rPr>
            </w:pPr>
            <w:r>
              <w:rPr>
                <w:b/>
                <w:bCs/>
                <w:color w:val="000000"/>
                <w:sz w:val="20"/>
                <w:szCs w:val="20"/>
              </w:rPr>
              <w:t>LK25</w:t>
            </w:r>
          </w:p>
        </w:tc>
        <w:tc>
          <w:tcPr>
            <w:tcW w:w="1802" w:type="dxa"/>
            <w:vAlign w:val="center"/>
          </w:tcPr>
          <w:p w14:paraId="73A3C2FD">
            <w:pPr>
              <w:jc w:val="center"/>
              <w:rPr>
                <w:color w:val="000000"/>
                <w:sz w:val="20"/>
                <w:szCs w:val="20"/>
              </w:rPr>
            </w:pPr>
            <w:r>
              <w:rPr>
                <w:color w:val="000000"/>
                <w:sz w:val="20"/>
                <w:szCs w:val="20"/>
              </w:rPr>
              <w:t>LK25:03</w:t>
            </w:r>
          </w:p>
        </w:tc>
        <w:tc>
          <w:tcPr>
            <w:tcW w:w="1033" w:type="dxa"/>
            <w:noWrap/>
            <w:vAlign w:val="center"/>
          </w:tcPr>
          <w:p w14:paraId="6C7C5EF1">
            <w:pPr>
              <w:jc w:val="center"/>
              <w:rPr>
                <w:color w:val="000000"/>
                <w:sz w:val="20"/>
                <w:szCs w:val="20"/>
              </w:rPr>
            </w:pPr>
            <w:r>
              <w:rPr>
                <w:color w:val="000000"/>
                <w:sz w:val="20"/>
                <w:szCs w:val="20"/>
              </w:rPr>
              <w:t>90,00</w:t>
            </w:r>
          </w:p>
        </w:tc>
        <w:tc>
          <w:tcPr>
            <w:tcW w:w="846" w:type="dxa"/>
            <w:noWrap/>
            <w:vAlign w:val="center"/>
          </w:tcPr>
          <w:p w14:paraId="7A532747">
            <w:pPr>
              <w:jc w:val="center"/>
              <w:rPr>
                <w:color w:val="000000"/>
                <w:sz w:val="20"/>
                <w:szCs w:val="20"/>
              </w:rPr>
            </w:pPr>
            <w:r>
              <w:rPr>
                <w:color w:val="000000"/>
                <w:sz w:val="20"/>
                <w:szCs w:val="20"/>
              </w:rPr>
              <w:t>1</w:t>
            </w:r>
          </w:p>
        </w:tc>
        <w:tc>
          <w:tcPr>
            <w:tcW w:w="2578" w:type="dxa"/>
            <w:noWrap/>
            <w:vAlign w:val="center"/>
          </w:tcPr>
          <w:p w14:paraId="6316C601">
            <w:pPr>
              <w:jc w:val="center"/>
              <w:rPr>
                <w:color w:val="000000"/>
                <w:sz w:val="20"/>
                <w:szCs w:val="20"/>
              </w:rPr>
            </w:pPr>
            <w:r>
              <w:rPr>
                <w:color w:val="000000"/>
                <w:sz w:val="20"/>
                <w:szCs w:val="20"/>
              </w:rPr>
              <w:t>Mặt cắt 3-3</w:t>
            </w:r>
          </w:p>
        </w:tc>
        <w:tc>
          <w:tcPr>
            <w:tcW w:w="2393" w:type="dxa"/>
            <w:noWrap/>
            <w:vAlign w:val="center"/>
          </w:tcPr>
          <w:p w14:paraId="7BB6EDE6">
            <w:pPr>
              <w:jc w:val="center"/>
              <w:rPr>
                <w:color w:val="000000"/>
                <w:sz w:val="20"/>
                <w:szCs w:val="20"/>
              </w:rPr>
            </w:pPr>
            <w:r>
              <w:rPr>
                <w:color w:val="000000"/>
                <w:sz w:val="20"/>
                <w:szCs w:val="20"/>
              </w:rPr>
              <w:t>Một mặt tiền, đối diện/tiếp giáp CX-MN</w:t>
            </w:r>
          </w:p>
        </w:tc>
        <w:tc>
          <w:tcPr>
            <w:tcW w:w="1198" w:type="dxa"/>
            <w:noWrap/>
            <w:vAlign w:val="center"/>
          </w:tcPr>
          <w:p w14:paraId="33D19315">
            <w:pPr>
              <w:jc w:val="center"/>
              <w:rPr>
                <w:color w:val="000000"/>
                <w:sz w:val="20"/>
                <w:szCs w:val="20"/>
              </w:rPr>
            </w:pPr>
            <w:r>
              <w:rPr>
                <w:color w:val="000000"/>
                <w:sz w:val="20"/>
                <w:szCs w:val="20"/>
              </w:rPr>
              <w:t>8.400.000</w:t>
            </w:r>
          </w:p>
        </w:tc>
        <w:tc>
          <w:tcPr>
            <w:tcW w:w="1236" w:type="dxa"/>
            <w:noWrap/>
            <w:vAlign w:val="center"/>
          </w:tcPr>
          <w:p w14:paraId="0A04504B">
            <w:pPr>
              <w:jc w:val="center"/>
              <w:rPr>
                <w:color w:val="000000"/>
                <w:sz w:val="20"/>
                <w:szCs w:val="20"/>
              </w:rPr>
            </w:pPr>
          </w:p>
        </w:tc>
        <w:tc>
          <w:tcPr>
            <w:tcW w:w="1252" w:type="dxa"/>
            <w:noWrap/>
            <w:vAlign w:val="center"/>
          </w:tcPr>
          <w:p w14:paraId="6289018B">
            <w:pPr>
              <w:jc w:val="center"/>
              <w:rPr>
                <w:color w:val="000000"/>
                <w:sz w:val="20"/>
                <w:szCs w:val="20"/>
              </w:rPr>
            </w:pPr>
            <w:r>
              <w:rPr>
                <w:color w:val="000000"/>
                <w:sz w:val="20"/>
                <w:szCs w:val="20"/>
              </w:rPr>
              <w:t>8.400.000</w:t>
            </w:r>
          </w:p>
        </w:tc>
        <w:tc>
          <w:tcPr>
            <w:tcW w:w="1848" w:type="dxa"/>
            <w:noWrap/>
            <w:vAlign w:val="center"/>
          </w:tcPr>
          <w:p w14:paraId="3D0D2975">
            <w:pPr>
              <w:jc w:val="center"/>
              <w:rPr>
                <w:color w:val="000000"/>
                <w:sz w:val="20"/>
                <w:szCs w:val="20"/>
              </w:rPr>
            </w:pPr>
            <w:r>
              <w:rPr>
                <w:color w:val="000000"/>
                <w:sz w:val="20"/>
                <w:szCs w:val="20"/>
              </w:rPr>
              <w:t>756.000.000</w:t>
            </w:r>
          </w:p>
        </w:tc>
      </w:tr>
      <w:tr w14:paraId="7016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42D3972">
            <w:pPr>
              <w:jc w:val="center"/>
              <w:rPr>
                <w:b/>
                <w:bCs/>
                <w:color w:val="000000"/>
                <w:sz w:val="20"/>
                <w:szCs w:val="20"/>
              </w:rPr>
            </w:pPr>
            <w:r>
              <w:rPr>
                <w:b/>
                <w:bCs/>
                <w:color w:val="000000"/>
                <w:sz w:val="20"/>
                <w:szCs w:val="20"/>
              </w:rPr>
              <w:t>LK25</w:t>
            </w:r>
          </w:p>
        </w:tc>
        <w:tc>
          <w:tcPr>
            <w:tcW w:w="1802" w:type="dxa"/>
            <w:vAlign w:val="center"/>
          </w:tcPr>
          <w:p w14:paraId="460195CB">
            <w:pPr>
              <w:jc w:val="center"/>
              <w:rPr>
                <w:color w:val="000000"/>
                <w:sz w:val="20"/>
                <w:szCs w:val="20"/>
              </w:rPr>
            </w:pPr>
            <w:r>
              <w:rPr>
                <w:color w:val="000000"/>
                <w:sz w:val="20"/>
                <w:szCs w:val="20"/>
              </w:rPr>
              <w:t>LK25:04</w:t>
            </w:r>
          </w:p>
        </w:tc>
        <w:tc>
          <w:tcPr>
            <w:tcW w:w="1033" w:type="dxa"/>
            <w:noWrap/>
            <w:vAlign w:val="center"/>
          </w:tcPr>
          <w:p w14:paraId="45DC5C3F">
            <w:pPr>
              <w:jc w:val="center"/>
              <w:rPr>
                <w:color w:val="000000"/>
                <w:sz w:val="20"/>
                <w:szCs w:val="20"/>
              </w:rPr>
            </w:pPr>
            <w:r>
              <w:rPr>
                <w:color w:val="000000"/>
                <w:sz w:val="20"/>
                <w:szCs w:val="20"/>
              </w:rPr>
              <w:t>90,00</w:t>
            </w:r>
          </w:p>
        </w:tc>
        <w:tc>
          <w:tcPr>
            <w:tcW w:w="846" w:type="dxa"/>
            <w:noWrap/>
            <w:vAlign w:val="center"/>
          </w:tcPr>
          <w:p w14:paraId="31CBAC03">
            <w:pPr>
              <w:jc w:val="center"/>
              <w:rPr>
                <w:color w:val="000000"/>
                <w:sz w:val="20"/>
                <w:szCs w:val="20"/>
              </w:rPr>
            </w:pPr>
            <w:r>
              <w:rPr>
                <w:color w:val="000000"/>
                <w:sz w:val="20"/>
                <w:szCs w:val="20"/>
              </w:rPr>
              <w:t>1</w:t>
            </w:r>
          </w:p>
        </w:tc>
        <w:tc>
          <w:tcPr>
            <w:tcW w:w="2578" w:type="dxa"/>
            <w:noWrap/>
            <w:vAlign w:val="center"/>
          </w:tcPr>
          <w:p w14:paraId="6D92C1BC">
            <w:pPr>
              <w:jc w:val="center"/>
              <w:rPr>
                <w:color w:val="000000"/>
                <w:sz w:val="20"/>
                <w:szCs w:val="20"/>
              </w:rPr>
            </w:pPr>
            <w:r>
              <w:rPr>
                <w:color w:val="000000"/>
                <w:sz w:val="20"/>
                <w:szCs w:val="20"/>
              </w:rPr>
              <w:t>Mặt cắt 3-3</w:t>
            </w:r>
          </w:p>
        </w:tc>
        <w:tc>
          <w:tcPr>
            <w:tcW w:w="2393" w:type="dxa"/>
            <w:noWrap/>
            <w:vAlign w:val="center"/>
          </w:tcPr>
          <w:p w14:paraId="321F308D">
            <w:pPr>
              <w:jc w:val="center"/>
              <w:rPr>
                <w:color w:val="000000"/>
                <w:sz w:val="20"/>
                <w:szCs w:val="20"/>
              </w:rPr>
            </w:pPr>
            <w:r>
              <w:rPr>
                <w:color w:val="000000"/>
                <w:sz w:val="20"/>
                <w:szCs w:val="20"/>
              </w:rPr>
              <w:t>Một mặt tiền, đối diện/tiếp giáp CX-MN</w:t>
            </w:r>
          </w:p>
        </w:tc>
        <w:tc>
          <w:tcPr>
            <w:tcW w:w="1198" w:type="dxa"/>
            <w:noWrap/>
            <w:vAlign w:val="center"/>
          </w:tcPr>
          <w:p w14:paraId="71965062">
            <w:pPr>
              <w:jc w:val="center"/>
              <w:rPr>
                <w:color w:val="000000"/>
                <w:sz w:val="20"/>
                <w:szCs w:val="20"/>
              </w:rPr>
            </w:pPr>
            <w:r>
              <w:rPr>
                <w:color w:val="000000"/>
                <w:sz w:val="20"/>
                <w:szCs w:val="20"/>
              </w:rPr>
              <w:t>8.400.000</w:t>
            </w:r>
          </w:p>
        </w:tc>
        <w:tc>
          <w:tcPr>
            <w:tcW w:w="1236" w:type="dxa"/>
            <w:noWrap/>
            <w:vAlign w:val="center"/>
          </w:tcPr>
          <w:p w14:paraId="2E96C487">
            <w:pPr>
              <w:jc w:val="center"/>
              <w:rPr>
                <w:color w:val="000000"/>
                <w:sz w:val="20"/>
                <w:szCs w:val="20"/>
              </w:rPr>
            </w:pPr>
          </w:p>
        </w:tc>
        <w:tc>
          <w:tcPr>
            <w:tcW w:w="1252" w:type="dxa"/>
            <w:noWrap/>
            <w:vAlign w:val="center"/>
          </w:tcPr>
          <w:p w14:paraId="68FE2B82">
            <w:pPr>
              <w:jc w:val="center"/>
              <w:rPr>
                <w:color w:val="000000"/>
                <w:sz w:val="20"/>
                <w:szCs w:val="20"/>
              </w:rPr>
            </w:pPr>
            <w:r>
              <w:rPr>
                <w:color w:val="000000"/>
                <w:sz w:val="20"/>
                <w:szCs w:val="20"/>
              </w:rPr>
              <w:t>8.400.000</w:t>
            </w:r>
          </w:p>
        </w:tc>
        <w:tc>
          <w:tcPr>
            <w:tcW w:w="1848" w:type="dxa"/>
            <w:noWrap/>
            <w:vAlign w:val="center"/>
          </w:tcPr>
          <w:p w14:paraId="79D80A77">
            <w:pPr>
              <w:jc w:val="center"/>
              <w:rPr>
                <w:color w:val="000000"/>
                <w:sz w:val="20"/>
                <w:szCs w:val="20"/>
              </w:rPr>
            </w:pPr>
            <w:r>
              <w:rPr>
                <w:color w:val="000000"/>
                <w:sz w:val="20"/>
                <w:szCs w:val="20"/>
              </w:rPr>
              <w:t>756.000.000</w:t>
            </w:r>
          </w:p>
        </w:tc>
      </w:tr>
      <w:tr w14:paraId="3A70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980689B">
            <w:pPr>
              <w:jc w:val="center"/>
              <w:rPr>
                <w:b/>
                <w:bCs/>
                <w:color w:val="000000"/>
                <w:sz w:val="20"/>
                <w:szCs w:val="20"/>
              </w:rPr>
            </w:pPr>
            <w:r>
              <w:rPr>
                <w:b/>
                <w:bCs/>
                <w:color w:val="000000"/>
                <w:sz w:val="20"/>
                <w:szCs w:val="20"/>
              </w:rPr>
              <w:t>LK25</w:t>
            </w:r>
          </w:p>
        </w:tc>
        <w:tc>
          <w:tcPr>
            <w:tcW w:w="1802" w:type="dxa"/>
            <w:vAlign w:val="center"/>
          </w:tcPr>
          <w:p w14:paraId="3E39D481">
            <w:pPr>
              <w:jc w:val="center"/>
              <w:rPr>
                <w:color w:val="000000"/>
                <w:sz w:val="20"/>
                <w:szCs w:val="20"/>
              </w:rPr>
            </w:pPr>
            <w:r>
              <w:rPr>
                <w:color w:val="000000"/>
                <w:sz w:val="20"/>
                <w:szCs w:val="20"/>
              </w:rPr>
              <w:t>LK25:05</w:t>
            </w:r>
          </w:p>
        </w:tc>
        <w:tc>
          <w:tcPr>
            <w:tcW w:w="1033" w:type="dxa"/>
            <w:noWrap/>
            <w:vAlign w:val="center"/>
          </w:tcPr>
          <w:p w14:paraId="4B9A3CAB">
            <w:pPr>
              <w:jc w:val="center"/>
              <w:rPr>
                <w:color w:val="000000"/>
                <w:sz w:val="20"/>
                <w:szCs w:val="20"/>
              </w:rPr>
            </w:pPr>
            <w:r>
              <w:rPr>
                <w:color w:val="000000"/>
                <w:sz w:val="20"/>
                <w:szCs w:val="20"/>
              </w:rPr>
              <w:t>90,00</w:t>
            </w:r>
          </w:p>
        </w:tc>
        <w:tc>
          <w:tcPr>
            <w:tcW w:w="846" w:type="dxa"/>
            <w:noWrap/>
            <w:vAlign w:val="center"/>
          </w:tcPr>
          <w:p w14:paraId="771643DC">
            <w:pPr>
              <w:jc w:val="center"/>
              <w:rPr>
                <w:color w:val="000000"/>
                <w:sz w:val="20"/>
                <w:szCs w:val="20"/>
              </w:rPr>
            </w:pPr>
            <w:r>
              <w:rPr>
                <w:color w:val="000000"/>
                <w:sz w:val="20"/>
                <w:szCs w:val="20"/>
              </w:rPr>
              <w:t>1</w:t>
            </w:r>
          </w:p>
        </w:tc>
        <w:tc>
          <w:tcPr>
            <w:tcW w:w="2578" w:type="dxa"/>
            <w:noWrap/>
            <w:vAlign w:val="center"/>
          </w:tcPr>
          <w:p w14:paraId="2C3643A9">
            <w:pPr>
              <w:jc w:val="center"/>
              <w:rPr>
                <w:color w:val="000000"/>
                <w:sz w:val="20"/>
                <w:szCs w:val="20"/>
              </w:rPr>
            </w:pPr>
            <w:r>
              <w:rPr>
                <w:color w:val="000000"/>
                <w:sz w:val="20"/>
                <w:szCs w:val="20"/>
              </w:rPr>
              <w:t>Mặt cắt 3-3</w:t>
            </w:r>
          </w:p>
        </w:tc>
        <w:tc>
          <w:tcPr>
            <w:tcW w:w="2393" w:type="dxa"/>
            <w:noWrap/>
            <w:vAlign w:val="center"/>
          </w:tcPr>
          <w:p w14:paraId="38CE843C">
            <w:pPr>
              <w:jc w:val="center"/>
              <w:rPr>
                <w:color w:val="000000"/>
                <w:sz w:val="20"/>
                <w:szCs w:val="20"/>
              </w:rPr>
            </w:pPr>
            <w:r>
              <w:rPr>
                <w:color w:val="000000"/>
                <w:sz w:val="20"/>
                <w:szCs w:val="20"/>
              </w:rPr>
              <w:t>Một mặt tiền, đối diện/tiếp giáp CX-MN</w:t>
            </w:r>
          </w:p>
        </w:tc>
        <w:tc>
          <w:tcPr>
            <w:tcW w:w="1198" w:type="dxa"/>
            <w:noWrap/>
            <w:vAlign w:val="center"/>
          </w:tcPr>
          <w:p w14:paraId="65B3C377">
            <w:pPr>
              <w:jc w:val="center"/>
              <w:rPr>
                <w:color w:val="000000"/>
                <w:sz w:val="20"/>
                <w:szCs w:val="20"/>
              </w:rPr>
            </w:pPr>
            <w:r>
              <w:rPr>
                <w:color w:val="000000"/>
                <w:sz w:val="20"/>
                <w:szCs w:val="20"/>
              </w:rPr>
              <w:t>8.400.000</w:t>
            </w:r>
          </w:p>
        </w:tc>
        <w:tc>
          <w:tcPr>
            <w:tcW w:w="1236" w:type="dxa"/>
            <w:noWrap/>
            <w:vAlign w:val="center"/>
          </w:tcPr>
          <w:p w14:paraId="3C5EABFC">
            <w:pPr>
              <w:jc w:val="center"/>
              <w:rPr>
                <w:color w:val="000000"/>
                <w:sz w:val="20"/>
                <w:szCs w:val="20"/>
              </w:rPr>
            </w:pPr>
          </w:p>
        </w:tc>
        <w:tc>
          <w:tcPr>
            <w:tcW w:w="1252" w:type="dxa"/>
            <w:noWrap/>
            <w:vAlign w:val="center"/>
          </w:tcPr>
          <w:p w14:paraId="16F8B0C6">
            <w:pPr>
              <w:jc w:val="center"/>
              <w:rPr>
                <w:color w:val="000000"/>
                <w:sz w:val="20"/>
                <w:szCs w:val="20"/>
              </w:rPr>
            </w:pPr>
            <w:r>
              <w:rPr>
                <w:color w:val="000000"/>
                <w:sz w:val="20"/>
                <w:szCs w:val="20"/>
              </w:rPr>
              <w:t>8.400.000</w:t>
            </w:r>
          </w:p>
        </w:tc>
        <w:tc>
          <w:tcPr>
            <w:tcW w:w="1848" w:type="dxa"/>
            <w:noWrap/>
            <w:vAlign w:val="center"/>
          </w:tcPr>
          <w:p w14:paraId="5DA267AE">
            <w:pPr>
              <w:jc w:val="center"/>
              <w:rPr>
                <w:color w:val="000000"/>
                <w:sz w:val="20"/>
                <w:szCs w:val="20"/>
              </w:rPr>
            </w:pPr>
            <w:r>
              <w:rPr>
                <w:color w:val="000000"/>
                <w:sz w:val="20"/>
                <w:szCs w:val="20"/>
              </w:rPr>
              <w:t>756.000.000</w:t>
            </w:r>
          </w:p>
        </w:tc>
      </w:tr>
      <w:tr w14:paraId="13DD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69AB21C">
            <w:pPr>
              <w:jc w:val="center"/>
              <w:rPr>
                <w:b/>
                <w:bCs/>
                <w:color w:val="000000"/>
                <w:sz w:val="20"/>
                <w:szCs w:val="20"/>
              </w:rPr>
            </w:pPr>
            <w:r>
              <w:rPr>
                <w:b/>
                <w:bCs/>
                <w:color w:val="000000"/>
                <w:sz w:val="20"/>
                <w:szCs w:val="20"/>
              </w:rPr>
              <w:t>LK25</w:t>
            </w:r>
          </w:p>
        </w:tc>
        <w:tc>
          <w:tcPr>
            <w:tcW w:w="1802" w:type="dxa"/>
            <w:vAlign w:val="center"/>
          </w:tcPr>
          <w:p w14:paraId="77AF8A53">
            <w:pPr>
              <w:jc w:val="center"/>
              <w:rPr>
                <w:color w:val="000000"/>
                <w:sz w:val="20"/>
                <w:szCs w:val="20"/>
              </w:rPr>
            </w:pPr>
            <w:r>
              <w:rPr>
                <w:color w:val="000000"/>
                <w:sz w:val="20"/>
                <w:szCs w:val="20"/>
              </w:rPr>
              <w:t>LK25:06</w:t>
            </w:r>
          </w:p>
        </w:tc>
        <w:tc>
          <w:tcPr>
            <w:tcW w:w="1033" w:type="dxa"/>
            <w:noWrap/>
            <w:vAlign w:val="center"/>
          </w:tcPr>
          <w:p w14:paraId="245A8E29">
            <w:pPr>
              <w:jc w:val="center"/>
              <w:rPr>
                <w:color w:val="000000"/>
                <w:sz w:val="20"/>
                <w:szCs w:val="20"/>
              </w:rPr>
            </w:pPr>
            <w:r>
              <w:rPr>
                <w:color w:val="000000"/>
                <w:sz w:val="20"/>
                <w:szCs w:val="20"/>
              </w:rPr>
              <w:t>90,00</w:t>
            </w:r>
          </w:p>
        </w:tc>
        <w:tc>
          <w:tcPr>
            <w:tcW w:w="846" w:type="dxa"/>
            <w:noWrap/>
            <w:vAlign w:val="center"/>
          </w:tcPr>
          <w:p w14:paraId="410C860C">
            <w:pPr>
              <w:jc w:val="center"/>
              <w:rPr>
                <w:color w:val="000000"/>
                <w:sz w:val="20"/>
                <w:szCs w:val="20"/>
              </w:rPr>
            </w:pPr>
            <w:r>
              <w:rPr>
                <w:color w:val="000000"/>
                <w:sz w:val="20"/>
                <w:szCs w:val="20"/>
              </w:rPr>
              <w:t>1</w:t>
            </w:r>
          </w:p>
        </w:tc>
        <w:tc>
          <w:tcPr>
            <w:tcW w:w="2578" w:type="dxa"/>
            <w:noWrap/>
            <w:vAlign w:val="center"/>
          </w:tcPr>
          <w:p w14:paraId="187F5B52">
            <w:pPr>
              <w:jc w:val="center"/>
              <w:rPr>
                <w:color w:val="000000"/>
                <w:sz w:val="20"/>
                <w:szCs w:val="20"/>
              </w:rPr>
            </w:pPr>
            <w:r>
              <w:rPr>
                <w:color w:val="000000"/>
                <w:sz w:val="20"/>
                <w:szCs w:val="20"/>
              </w:rPr>
              <w:t>Mặt cắt 3-3</w:t>
            </w:r>
          </w:p>
        </w:tc>
        <w:tc>
          <w:tcPr>
            <w:tcW w:w="2393" w:type="dxa"/>
            <w:noWrap/>
            <w:vAlign w:val="center"/>
          </w:tcPr>
          <w:p w14:paraId="68DF0DE9">
            <w:pPr>
              <w:jc w:val="center"/>
              <w:rPr>
                <w:color w:val="000000"/>
                <w:sz w:val="20"/>
                <w:szCs w:val="20"/>
              </w:rPr>
            </w:pPr>
            <w:r>
              <w:rPr>
                <w:color w:val="000000"/>
                <w:sz w:val="20"/>
                <w:szCs w:val="20"/>
              </w:rPr>
              <w:t>Một mặt tiền, đối diện/tiếp giáp CX-MN</w:t>
            </w:r>
          </w:p>
        </w:tc>
        <w:tc>
          <w:tcPr>
            <w:tcW w:w="1198" w:type="dxa"/>
            <w:noWrap/>
            <w:vAlign w:val="center"/>
          </w:tcPr>
          <w:p w14:paraId="50259B87">
            <w:pPr>
              <w:jc w:val="center"/>
              <w:rPr>
                <w:color w:val="000000"/>
                <w:sz w:val="20"/>
                <w:szCs w:val="20"/>
              </w:rPr>
            </w:pPr>
            <w:r>
              <w:rPr>
                <w:color w:val="000000"/>
                <w:sz w:val="20"/>
                <w:szCs w:val="20"/>
              </w:rPr>
              <w:t>8.400.000</w:t>
            </w:r>
          </w:p>
        </w:tc>
        <w:tc>
          <w:tcPr>
            <w:tcW w:w="1236" w:type="dxa"/>
            <w:noWrap/>
            <w:vAlign w:val="center"/>
          </w:tcPr>
          <w:p w14:paraId="4DCC7BDC">
            <w:pPr>
              <w:jc w:val="center"/>
              <w:rPr>
                <w:color w:val="000000"/>
                <w:sz w:val="20"/>
                <w:szCs w:val="20"/>
              </w:rPr>
            </w:pPr>
          </w:p>
        </w:tc>
        <w:tc>
          <w:tcPr>
            <w:tcW w:w="1252" w:type="dxa"/>
            <w:noWrap/>
            <w:vAlign w:val="center"/>
          </w:tcPr>
          <w:p w14:paraId="38B87D64">
            <w:pPr>
              <w:jc w:val="center"/>
              <w:rPr>
                <w:color w:val="000000"/>
                <w:sz w:val="20"/>
                <w:szCs w:val="20"/>
              </w:rPr>
            </w:pPr>
            <w:r>
              <w:rPr>
                <w:color w:val="000000"/>
                <w:sz w:val="20"/>
                <w:szCs w:val="20"/>
              </w:rPr>
              <w:t>8.400.000</w:t>
            </w:r>
          </w:p>
        </w:tc>
        <w:tc>
          <w:tcPr>
            <w:tcW w:w="1848" w:type="dxa"/>
            <w:noWrap/>
            <w:vAlign w:val="center"/>
          </w:tcPr>
          <w:p w14:paraId="18AF3056">
            <w:pPr>
              <w:jc w:val="center"/>
              <w:rPr>
                <w:color w:val="000000"/>
                <w:sz w:val="20"/>
                <w:szCs w:val="20"/>
              </w:rPr>
            </w:pPr>
            <w:r>
              <w:rPr>
                <w:color w:val="000000"/>
                <w:sz w:val="20"/>
                <w:szCs w:val="20"/>
              </w:rPr>
              <w:t>756.000.000</w:t>
            </w:r>
          </w:p>
        </w:tc>
      </w:tr>
      <w:tr w14:paraId="71D3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6AEFE49">
            <w:pPr>
              <w:jc w:val="center"/>
              <w:rPr>
                <w:b/>
                <w:bCs/>
                <w:color w:val="000000"/>
                <w:sz w:val="20"/>
                <w:szCs w:val="20"/>
              </w:rPr>
            </w:pPr>
            <w:r>
              <w:rPr>
                <w:b/>
                <w:bCs/>
                <w:color w:val="000000"/>
                <w:sz w:val="20"/>
                <w:szCs w:val="20"/>
              </w:rPr>
              <w:t>LK25</w:t>
            </w:r>
          </w:p>
        </w:tc>
        <w:tc>
          <w:tcPr>
            <w:tcW w:w="1802" w:type="dxa"/>
            <w:vAlign w:val="center"/>
          </w:tcPr>
          <w:p w14:paraId="425E074B">
            <w:pPr>
              <w:jc w:val="center"/>
              <w:rPr>
                <w:color w:val="000000"/>
                <w:sz w:val="20"/>
                <w:szCs w:val="20"/>
              </w:rPr>
            </w:pPr>
            <w:r>
              <w:rPr>
                <w:color w:val="000000"/>
                <w:sz w:val="20"/>
                <w:szCs w:val="20"/>
              </w:rPr>
              <w:t>LK25:07</w:t>
            </w:r>
          </w:p>
        </w:tc>
        <w:tc>
          <w:tcPr>
            <w:tcW w:w="1033" w:type="dxa"/>
            <w:noWrap/>
            <w:vAlign w:val="center"/>
          </w:tcPr>
          <w:p w14:paraId="2C4A9ABE">
            <w:pPr>
              <w:jc w:val="center"/>
              <w:rPr>
                <w:color w:val="000000"/>
                <w:sz w:val="20"/>
                <w:szCs w:val="20"/>
              </w:rPr>
            </w:pPr>
            <w:r>
              <w:rPr>
                <w:color w:val="000000"/>
                <w:sz w:val="20"/>
                <w:szCs w:val="20"/>
              </w:rPr>
              <w:t>90,00</w:t>
            </w:r>
          </w:p>
        </w:tc>
        <w:tc>
          <w:tcPr>
            <w:tcW w:w="846" w:type="dxa"/>
            <w:noWrap/>
            <w:vAlign w:val="center"/>
          </w:tcPr>
          <w:p w14:paraId="451F4457">
            <w:pPr>
              <w:jc w:val="center"/>
              <w:rPr>
                <w:color w:val="000000"/>
                <w:sz w:val="20"/>
                <w:szCs w:val="20"/>
              </w:rPr>
            </w:pPr>
            <w:r>
              <w:rPr>
                <w:color w:val="000000"/>
                <w:sz w:val="20"/>
                <w:szCs w:val="20"/>
              </w:rPr>
              <w:t>1</w:t>
            </w:r>
          </w:p>
        </w:tc>
        <w:tc>
          <w:tcPr>
            <w:tcW w:w="2578" w:type="dxa"/>
            <w:noWrap/>
            <w:vAlign w:val="center"/>
          </w:tcPr>
          <w:p w14:paraId="5B8D84DC">
            <w:pPr>
              <w:jc w:val="center"/>
              <w:rPr>
                <w:color w:val="000000"/>
                <w:sz w:val="20"/>
                <w:szCs w:val="20"/>
              </w:rPr>
            </w:pPr>
            <w:r>
              <w:rPr>
                <w:color w:val="000000"/>
                <w:sz w:val="20"/>
                <w:szCs w:val="20"/>
              </w:rPr>
              <w:t>Mặt cắt 3-3</w:t>
            </w:r>
          </w:p>
        </w:tc>
        <w:tc>
          <w:tcPr>
            <w:tcW w:w="2393" w:type="dxa"/>
            <w:noWrap/>
            <w:vAlign w:val="center"/>
          </w:tcPr>
          <w:p w14:paraId="5F2EE228">
            <w:pPr>
              <w:jc w:val="center"/>
              <w:rPr>
                <w:color w:val="000000"/>
                <w:sz w:val="20"/>
                <w:szCs w:val="20"/>
              </w:rPr>
            </w:pPr>
            <w:r>
              <w:rPr>
                <w:color w:val="000000"/>
                <w:sz w:val="20"/>
                <w:szCs w:val="20"/>
              </w:rPr>
              <w:t>Một mặt tiền, đối diện/tiếp giáp CX-MN</w:t>
            </w:r>
          </w:p>
        </w:tc>
        <w:tc>
          <w:tcPr>
            <w:tcW w:w="1198" w:type="dxa"/>
            <w:noWrap/>
            <w:vAlign w:val="center"/>
          </w:tcPr>
          <w:p w14:paraId="24A70A80">
            <w:pPr>
              <w:jc w:val="center"/>
              <w:rPr>
                <w:color w:val="000000"/>
                <w:sz w:val="20"/>
                <w:szCs w:val="20"/>
              </w:rPr>
            </w:pPr>
            <w:r>
              <w:rPr>
                <w:color w:val="000000"/>
                <w:sz w:val="20"/>
                <w:szCs w:val="20"/>
              </w:rPr>
              <w:t>8.400.000</w:t>
            </w:r>
          </w:p>
        </w:tc>
        <w:tc>
          <w:tcPr>
            <w:tcW w:w="1236" w:type="dxa"/>
            <w:noWrap/>
            <w:vAlign w:val="center"/>
          </w:tcPr>
          <w:p w14:paraId="374A8E8B">
            <w:pPr>
              <w:jc w:val="center"/>
              <w:rPr>
                <w:color w:val="000000"/>
                <w:sz w:val="20"/>
                <w:szCs w:val="20"/>
              </w:rPr>
            </w:pPr>
          </w:p>
        </w:tc>
        <w:tc>
          <w:tcPr>
            <w:tcW w:w="1252" w:type="dxa"/>
            <w:noWrap/>
            <w:vAlign w:val="center"/>
          </w:tcPr>
          <w:p w14:paraId="424B2D42">
            <w:pPr>
              <w:jc w:val="center"/>
              <w:rPr>
                <w:color w:val="000000"/>
                <w:sz w:val="20"/>
                <w:szCs w:val="20"/>
              </w:rPr>
            </w:pPr>
            <w:r>
              <w:rPr>
                <w:color w:val="000000"/>
                <w:sz w:val="20"/>
                <w:szCs w:val="20"/>
              </w:rPr>
              <w:t>8.400.000</w:t>
            </w:r>
          </w:p>
        </w:tc>
        <w:tc>
          <w:tcPr>
            <w:tcW w:w="1848" w:type="dxa"/>
            <w:noWrap/>
            <w:vAlign w:val="center"/>
          </w:tcPr>
          <w:p w14:paraId="591410BF">
            <w:pPr>
              <w:jc w:val="center"/>
              <w:rPr>
                <w:color w:val="000000"/>
                <w:sz w:val="20"/>
                <w:szCs w:val="20"/>
              </w:rPr>
            </w:pPr>
            <w:r>
              <w:rPr>
                <w:color w:val="000000"/>
                <w:sz w:val="20"/>
                <w:szCs w:val="20"/>
              </w:rPr>
              <w:t>756.000.000</w:t>
            </w:r>
          </w:p>
        </w:tc>
      </w:tr>
      <w:tr w14:paraId="30F6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21A42D4">
            <w:pPr>
              <w:jc w:val="center"/>
              <w:rPr>
                <w:b/>
                <w:bCs/>
                <w:color w:val="000000"/>
                <w:sz w:val="20"/>
                <w:szCs w:val="20"/>
              </w:rPr>
            </w:pPr>
            <w:r>
              <w:rPr>
                <w:b/>
                <w:bCs/>
                <w:color w:val="000000"/>
                <w:sz w:val="20"/>
                <w:szCs w:val="20"/>
              </w:rPr>
              <w:t>LK25</w:t>
            </w:r>
          </w:p>
        </w:tc>
        <w:tc>
          <w:tcPr>
            <w:tcW w:w="1802" w:type="dxa"/>
            <w:vAlign w:val="center"/>
          </w:tcPr>
          <w:p w14:paraId="54829542">
            <w:pPr>
              <w:jc w:val="center"/>
              <w:rPr>
                <w:color w:val="000000"/>
                <w:sz w:val="20"/>
                <w:szCs w:val="20"/>
              </w:rPr>
            </w:pPr>
            <w:r>
              <w:rPr>
                <w:color w:val="000000"/>
                <w:sz w:val="20"/>
                <w:szCs w:val="20"/>
              </w:rPr>
              <w:t>LK25:08</w:t>
            </w:r>
          </w:p>
        </w:tc>
        <w:tc>
          <w:tcPr>
            <w:tcW w:w="1033" w:type="dxa"/>
            <w:noWrap/>
            <w:vAlign w:val="center"/>
          </w:tcPr>
          <w:p w14:paraId="30A4E170">
            <w:pPr>
              <w:jc w:val="center"/>
              <w:rPr>
                <w:color w:val="000000"/>
                <w:sz w:val="20"/>
                <w:szCs w:val="20"/>
              </w:rPr>
            </w:pPr>
            <w:r>
              <w:rPr>
                <w:color w:val="000000"/>
                <w:sz w:val="20"/>
                <w:szCs w:val="20"/>
              </w:rPr>
              <w:t>90,00</w:t>
            </w:r>
          </w:p>
        </w:tc>
        <w:tc>
          <w:tcPr>
            <w:tcW w:w="846" w:type="dxa"/>
            <w:noWrap/>
            <w:vAlign w:val="center"/>
          </w:tcPr>
          <w:p w14:paraId="40696512">
            <w:pPr>
              <w:jc w:val="center"/>
              <w:rPr>
                <w:color w:val="000000"/>
                <w:sz w:val="20"/>
                <w:szCs w:val="20"/>
              </w:rPr>
            </w:pPr>
            <w:r>
              <w:rPr>
                <w:color w:val="000000"/>
                <w:sz w:val="20"/>
                <w:szCs w:val="20"/>
              </w:rPr>
              <w:t>1</w:t>
            </w:r>
          </w:p>
        </w:tc>
        <w:tc>
          <w:tcPr>
            <w:tcW w:w="2578" w:type="dxa"/>
            <w:noWrap/>
            <w:vAlign w:val="center"/>
          </w:tcPr>
          <w:p w14:paraId="26574626">
            <w:pPr>
              <w:jc w:val="center"/>
              <w:rPr>
                <w:color w:val="000000"/>
                <w:sz w:val="20"/>
                <w:szCs w:val="20"/>
              </w:rPr>
            </w:pPr>
            <w:r>
              <w:rPr>
                <w:color w:val="000000"/>
                <w:sz w:val="20"/>
                <w:szCs w:val="20"/>
              </w:rPr>
              <w:t>Mặt cắt 3-3</w:t>
            </w:r>
          </w:p>
        </w:tc>
        <w:tc>
          <w:tcPr>
            <w:tcW w:w="2393" w:type="dxa"/>
            <w:noWrap/>
            <w:vAlign w:val="center"/>
          </w:tcPr>
          <w:p w14:paraId="7D2AD4C7">
            <w:pPr>
              <w:jc w:val="center"/>
              <w:rPr>
                <w:color w:val="000000"/>
                <w:sz w:val="20"/>
                <w:szCs w:val="20"/>
              </w:rPr>
            </w:pPr>
            <w:r>
              <w:rPr>
                <w:color w:val="000000"/>
                <w:sz w:val="20"/>
                <w:szCs w:val="20"/>
              </w:rPr>
              <w:t>Một mặt tiền, đối diện/tiếp giáp CX-MN</w:t>
            </w:r>
          </w:p>
        </w:tc>
        <w:tc>
          <w:tcPr>
            <w:tcW w:w="1198" w:type="dxa"/>
            <w:noWrap/>
            <w:vAlign w:val="center"/>
          </w:tcPr>
          <w:p w14:paraId="6F31C03D">
            <w:pPr>
              <w:jc w:val="center"/>
              <w:rPr>
                <w:color w:val="000000"/>
                <w:sz w:val="20"/>
                <w:szCs w:val="20"/>
              </w:rPr>
            </w:pPr>
            <w:r>
              <w:rPr>
                <w:color w:val="000000"/>
                <w:sz w:val="20"/>
                <w:szCs w:val="20"/>
              </w:rPr>
              <w:t>8.400.000</w:t>
            </w:r>
          </w:p>
        </w:tc>
        <w:tc>
          <w:tcPr>
            <w:tcW w:w="1236" w:type="dxa"/>
            <w:noWrap/>
            <w:vAlign w:val="center"/>
          </w:tcPr>
          <w:p w14:paraId="62A8DE5E">
            <w:pPr>
              <w:jc w:val="center"/>
              <w:rPr>
                <w:color w:val="000000"/>
                <w:sz w:val="20"/>
                <w:szCs w:val="20"/>
              </w:rPr>
            </w:pPr>
          </w:p>
        </w:tc>
        <w:tc>
          <w:tcPr>
            <w:tcW w:w="1252" w:type="dxa"/>
            <w:noWrap/>
            <w:vAlign w:val="center"/>
          </w:tcPr>
          <w:p w14:paraId="03679FE2">
            <w:pPr>
              <w:jc w:val="center"/>
              <w:rPr>
                <w:color w:val="000000"/>
                <w:sz w:val="20"/>
                <w:szCs w:val="20"/>
              </w:rPr>
            </w:pPr>
            <w:r>
              <w:rPr>
                <w:color w:val="000000"/>
                <w:sz w:val="20"/>
                <w:szCs w:val="20"/>
              </w:rPr>
              <w:t>8.400.000</w:t>
            </w:r>
          </w:p>
        </w:tc>
        <w:tc>
          <w:tcPr>
            <w:tcW w:w="1848" w:type="dxa"/>
            <w:noWrap/>
            <w:vAlign w:val="center"/>
          </w:tcPr>
          <w:p w14:paraId="396D4B83">
            <w:pPr>
              <w:jc w:val="center"/>
              <w:rPr>
                <w:color w:val="000000"/>
                <w:sz w:val="20"/>
                <w:szCs w:val="20"/>
              </w:rPr>
            </w:pPr>
            <w:r>
              <w:rPr>
                <w:color w:val="000000"/>
                <w:sz w:val="20"/>
                <w:szCs w:val="20"/>
              </w:rPr>
              <w:t>756.000.000</w:t>
            </w:r>
          </w:p>
        </w:tc>
      </w:tr>
      <w:tr w14:paraId="3472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3412C50">
            <w:pPr>
              <w:jc w:val="center"/>
              <w:rPr>
                <w:b/>
                <w:bCs/>
                <w:color w:val="000000"/>
                <w:sz w:val="20"/>
                <w:szCs w:val="20"/>
              </w:rPr>
            </w:pPr>
            <w:r>
              <w:rPr>
                <w:b/>
                <w:bCs/>
                <w:color w:val="000000"/>
                <w:sz w:val="20"/>
                <w:szCs w:val="20"/>
              </w:rPr>
              <w:t>LK25</w:t>
            </w:r>
          </w:p>
        </w:tc>
        <w:tc>
          <w:tcPr>
            <w:tcW w:w="1802" w:type="dxa"/>
            <w:vAlign w:val="center"/>
          </w:tcPr>
          <w:p w14:paraId="764D99F4">
            <w:pPr>
              <w:jc w:val="center"/>
              <w:rPr>
                <w:color w:val="000000"/>
                <w:sz w:val="20"/>
                <w:szCs w:val="20"/>
              </w:rPr>
            </w:pPr>
            <w:r>
              <w:rPr>
                <w:color w:val="000000"/>
                <w:sz w:val="20"/>
                <w:szCs w:val="20"/>
              </w:rPr>
              <w:t>LK25:09</w:t>
            </w:r>
          </w:p>
        </w:tc>
        <w:tc>
          <w:tcPr>
            <w:tcW w:w="1033" w:type="dxa"/>
            <w:noWrap/>
            <w:vAlign w:val="center"/>
          </w:tcPr>
          <w:p w14:paraId="1A181BE2">
            <w:pPr>
              <w:jc w:val="center"/>
              <w:rPr>
                <w:color w:val="000000"/>
                <w:sz w:val="20"/>
                <w:szCs w:val="20"/>
              </w:rPr>
            </w:pPr>
            <w:r>
              <w:rPr>
                <w:color w:val="000000"/>
                <w:sz w:val="20"/>
                <w:szCs w:val="20"/>
              </w:rPr>
              <w:t>90,00</w:t>
            </w:r>
          </w:p>
        </w:tc>
        <w:tc>
          <w:tcPr>
            <w:tcW w:w="846" w:type="dxa"/>
            <w:noWrap/>
            <w:vAlign w:val="center"/>
          </w:tcPr>
          <w:p w14:paraId="29F2696C">
            <w:pPr>
              <w:jc w:val="center"/>
              <w:rPr>
                <w:color w:val="000000"/>
                <w:sz w:val="20"/>
                <w:szCs w:val="20"/>
              </w:rPr>
            </w:pPr>
            <w:r>
              <w:rPr>
                <w:color w:val="000000"/>
                <w:sz w:val="20"/>
                <w:szCs w:val="20"/>
              </w:rPr>
              <w:t>1</w:t>
            </w:r>
          </w:p>
        </w:tc>
        <w:tc>
          <w:tcPr>
            <w:tcW w:w="2578" w:type="dxa"/>
            <w:noWrap/>
            <w:vAlign w:val="center"/>
          </w:tcPr>
          <w:p w14:paraId="53C3102D">
            <w:pPr>
              <w:jc w:val="center"/>
              <w:rPr>
                <w:color w:val="000000"/>
                <w:sz w:val="20"/>
                <w:szCs w:val="20"/>
              </w:rPr>
            </w:pPr>
            <w:r>
              <w:rPr>
                <w:color w:val="000000"/>
                <w:sz w:val="20"/>
                <w:szCs w:val="20"/>
              </w:rPr>
              <w:t>Mặt cắt 3-3</w:t>
            </w:r>
          </w:p>
        </w:tc>
        <w:tc>
          <w:tcPr>
            <w:tcW w:w="2393" w:type="dxa"/>
            <w:noWrap/>
            <w:vAlign w:val="center"/>
          </w:tcPr>
          <w:p w14:paraId="7D50742C">
            <w:pPr>
              <w:jc w:val="center"/>
              <w:rPr>
                <w:color w:val="000000"/>
                <w:sz w:val="20"/>
                <w:szCs w:val="20"/>
              </w:rPr>
            </w:pPr>
            <w:r>
              <w:rPr>
                <w:color w:val="000000"/>
                <w:sz w:val="20"/>
                <w:szCs w:val="20"/>
              </w:rPr>
              <w:t>Một mặt tiền, đối diện/tiếp giáp CX-MN</w:t>
            </w:r>
          </w:p>
        </w:tc>
        <w:tc>
          <w:tcPr>
            <w:tcW w:w="1198" w:type="dxa"/>
            <w:noWrap/>
            <w:vAlign w:val="center"/>
          </w:tcPr>
          <w:p w14:paraId="1285B66C">
            <w:pPr>
              <w:jc w:val="center"/>
              <w:rPr>
                <w:color w:val="000000"/>
                <w:sz w:val="20"/>
                <w:szCs w:val="20"/>
              </w:rPr>
            </w:pPr>
            <w:r>
              <w:rPr>
                <w:color w:val="000000"/>
                <w:sz w:val="20"/>
                <w:szCs w:val="20"/>
              </w:rPr>
              <w:t>8.400.000</w:t>
            </w:r>
          </w:p>
        </w:tc>
        <w:tc>
          <w:tcPr>
            <w:tcW w:w="1236" w:type="dxa"/>
            <w:noWrap/>
            <w:vAlign w:val="center"/>
          </w:tcPr>
          <w:p w14:paraId="2EB3F938">
            <w:pPr>
              <w:jc w:val="center"/>
              <w:rPr>
                <w:color w:val="000000"/>
                <w:sz w:val="20"/>
                <w:szCs w:val="20"/>
              </w:rPr>
            </w:pPr>
          </w:p>
        </w:tc>
        <w:tc>
          <w:tcPr>
            <w:tcW w:w="1252" w:type="dxa"/>
            <w:noWrap/>
            <w:vAlign w:val="center"/>
          </w:tcPr>
          <w:p w14:paraId="496CA4B9">
            <w:pPr>
              <w:jc w:val="center"/>
              <w:rPr>
                <w:color w:val="000000"/>
                <w:sz w:val="20"/>
                <w:szCs w:val="20"/>
              </w:rPr>
            </w:pPr>
            <w:r>
              <w:rPr>
                <w:color w:val="000000"/>
                <w:sz w:val="20"/>
                <w:szCs w:val="20"/>
              </w:rPr>
              <w:t>8.400.000</w:t>
            </w:r>
          </w:p>
        </w:tc>
        <w:tc>
          <w:tcPr>
            <w:tcW w:w="1848" w:type="dxa"/>
            <w:noWrap/>
            <w:vAlign w:val="center"/>
          </w:tcPr>
          <w:p w14:paraId="67F81CB4">
            <w:pPr>
              <w:jc w:val="center"/>
              <w:rPr>
                <w:color w:val="000000"/>
                <w:sz w:val="20"/>
                <w:szCs w:val="20"/>
              </w:rPr>
            </w:pPr>
            <w:r>
              <w:rPr>
                <w:color w:val="000000"/>
                <w:sz w:val="20"/>
                <w:szCs w:val="20"/>
              </w:rPr>
              <w:t>756.000.000</w:t>
            </w:r>
          </w:p>
        </w:tc>
      </w:tr>
      <w:tr w14:paraId="4EE4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87DFC63">
            <w:pPr>
              <w:jc w:val="center"/>
              <w:rPr>
                <w:b/>
                <w:bCs/>
                <w:color w:val="000000"/>
                <w:sz w:val="20"/>
                <w:szCs w:val="20"/>
              </w:rPr>
            </w:pPr>
            <w:r>
              <w:rPr>
                <w:b/>
                <w:bCs/>
                <w:color w:val="000000"/>
                <w:sz w:val="20"/>
                <w:szCs w:val="20"/>
              </w:rPr>
              <w:t>LK25</w:t>
            </w:r>
          </w:p>
        </w:tc>
        <w:tc>
          <w:tcPr>
            <w:tcW w:w="1802" w:type="dxa"/>
            <w:vAlign w:val="center"/>
          </w:tcPr>
          <w:p w14:paraId="344822DB">
            <w:pPr>
              <w:jc w:val="center"/>
              <w:rPr>
                <w:color w:val="000000"/>
                <w:sz w:val="20"/>
                <w:szCs w:val="20"/>
              </w:rPr>
            </w:pPr>
            <w:r>
              <w:rPr>
                <w:color w:val="000000"/>
                <w:sz w:val="20"/>
                <w:szCs w:val="20"/>
              </w:rPr>
              <w:t>LK25:10</w:t>
            </w:r>
          </w:p>
        </w:tc>
        <w:tc>
          <w:tcPr>
            <w:tcW w:w="1033" w:type="dxa"/>
            <w:noWrap/>
            <w:vAlign w:val="center"/>
          </w:tcPr>
          <w:p w14:paraId="4E6DEA93">
            <w:pPr>
              <w:jc w:val="center"/>
              <w:rPr>
                <w:color w:val="000000"/>
                <w:sz w:val="20"/>
                <w:szCs w:val="20"/>
              </w:rPr>
            </w:pPr>
            <w:r>
              <w:rPr>
                <w:color w:val="000000"/>
                <w:sz w:val="20"/>
                <w:szCs w:val="20"/>
              </w:rPr>
              <w:t>90,00</w:t>
            </w:r>
          </w:p>
        </w:tc>
        <w:tc>
          <w:tcPr>
            <w:tcW w:w="846" w:type="dxa"/>
            <w:noWrap/>
            <w:vAlign w:val="center"/>
          </w:tcPr>
          <w:p w14:paraId="69CCDA06">
            <w:pPr>
              <w:jc w:val="center"/>
              <w:rPr>
                <w:color w:val="000000"/>
                <w:sz w:val="20"/>
                <w:szCs w:val="20"/>
              </w:rPr>
            </w:pPr>
            <w:r>
              <w:rPr>
                <w:color w:val="000000"/>
                <w:sz w:val="20"/>
                <w:szCs w:val="20"/>
              </w:rPr>
              <w:t>1</w:t>
            </w:r>
          </w:p>
        </w:tc>
        <w:tc>
          <w:tcPr>
            <w:tcW w:w="2578" w:type="dxa"/>
            <w:noWrap/>
            <w:vAlign w:val="center"/>
          </w:tcPr>
          <w:p w14:paraId="72D50319">
            <w:pPr>
              <w:jc w:val="center"/>
              <w:rPr>
                <w:color w:val="000000"/>
                <w:sz w:val="20"/>
                <w:szCs w:val="20"/>
              </w:rPr>
            </w:pPr>
            <w:r>
              <w:rPr>
                <w:color w:val="000000"/>
                <w:sz w:val="20"/>
                <w:szCs w:val="20"/>
              </w:rPr>
              <w:t>Mặt cắt 3-3</w:t>
            </w:r>
          </w:p>
        </w:tc>
        <w:tc>
          <w:tcPr>
            <w:tcW w:w="2393" w:type="dxa"/>
            <w:noWrap/>
            <w:vAlign w:val="center"/>
          </w:tcPr>
          <w:p w14:paraId="70E4DE00">
            <w:pPr>
              <w:jc w:val="center"/>
              <w:rPr>
                <w:color w:val="000000"/>
                <w:sz w:val="20"/>
                <w:szCs w:val="20"/>
              </w:rPr>
            </w:pPr>
            <w:r>
              <w:rPr>
                <w:color w:val="000000"/>
                <w:sz w:val="20"/>
                <w:szCs w:val="20"/>
              </w:rPr>
              <w:t>Một mặt tiền, đối diện/tiếp giáp CX-MN</w:t>
            </w:r>
          </w:p>
        </w:tc>
        <w:tc>
          <w:tcPr>
            <w:tcW w:w="1198" w:type="dxa"/>
            <w:noWrap/>
            <w:vAlign w:val="center"/>
          </w:tcPr>
          <w:p w14:paraId="17259306">
            <w:pPr>
              <w:jc w:val="center"/>
              <w:rPr>
                <w:color w:val="000000"/>
                <w:sz w:val="20"/>
                <w:szCs w:val="20"/>
              </w:rPr>
            </w:pPr>
            <w:r>
              <w:rPr>
                <w:color w:val="000000"/>
                <w:sz w:val="20"/>
                <w:szCs w:val="20"/>
              </w:rPr>
              <w:t>8.400.000</w:t>
            </w:r>
          </w:p>
        </w:tc>
        <w:tc>
          <w:tcPr>
            <w:tcW w:w="1236" w:type="dxa"/>
            <w:noWrap/>
            <w:vAlign w:val="center"/>
          </w:tcPr>
          <w:p w14:paraId="17860BBF">
            <w:pPr>
              <w:jc w:val="center"/>
              <w:rPr>
                <w:color w:val="000000"/>
                <w:sz w:val="20"/>
                <w:szCs w:val="20"/>
              </w:rPr>
            </w:pPr>
          </w:p>
        </w:tc>
        <w:tc>
          <w:tcPr>
            <w:tcW w:w="1252" w:type="dxa"/>
            <w:noWrap/>
            <w:vAlign w:val="center"/>
          </w:tcPr>
          <w:p w14:paraId="0C7D6B91">
            <w:pPr>
              <w:jc w:val="center"/>
              <w:rPr>
                <w:color w:val="000000"/>
                <w:sz w:val="20"/>
                <w:szCs w:val="20"/>
              </w:rPr>
            </w:pPr>
            <w:r>
              <w:rPr>
                <w:color w:val="000000"/>
                <w:sz w:val="20"/>
                <w:szCs w:val="20"/>
              </w:rPr>
              <w:t>8.400.000</w:t>
            </w:r>
          </w:p>
        </w:tc>
        <w:tc>
          <w:tcPr>
            <w:tcW w:w="1848" w:type="dxa"/>
            <w:noWrap/>
            <w:vAlign w:val="center"/>
          </w:tcPr>
          <w:p w14:paraId="42945099">
            <w:pPr>
              <w:jc w:val="center"/>
              <w:rPr>
                <w:color w:val="000000"/>
                <w:sz w:val="20"/>
                <w:szCs w:val="20"/>
              </w:rPr>
            </w:pPr>
            <w:r>
              <w:rPr>
                <w:color w:val="000000"/>
                <w:sz w:val="20"/>
                <w:szCs w:val="20"/>
              </w:rPr>
              <w:t>756.000.000</w:t>
            </w:r>
          </w:p>
        </w:tc>
      </w:tr>
      <w:tr w14:paraId="01DD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FAF277">
            <w:pPr>
              <w:jc w:val="center"/>
              <w:rPr>
                <w:b/>
                <w:bCs/>
                <w:color w:val="000000"/>
                <w:sz w:val="20"/>
                <w:szCs w:val="20"/>
              </w:rPr>
            </w:pPr>
            <w:r>
              <w:rPr>
                <w:b/>
                <w:bCs/>
                <w:color w:val="000000"/>
                <w:sz w:val="20"/>
                <w:szCs w:val="20"/>
              </w:rPr>
              <w:t>LK26</w:t>
            </w:r>
          </w:p>
        </w:tc>
        <w:tc>
          <w:tcPr>
            <w:tcW w:w="1802" w:type="dxa"/>
            <w:vAlign w:val="center"/>
          </w:tcPr>
          <w:p w14:paraId="02349EB1">
            <w:pPr>
              <w:jc w:val="center"/>
              <w:rPr>
                <w:color w:val="000000"/>
                <w:sz w:val="20"/>
                <w:szCs w:val="20"/>
              </w:rPr>
            </w:pPr>
            <w:r>
              <w:rPr>
                <w:color w:val="000000"/>
                <w:sz w:val="20"/>
                <w:szCs w:val="20"/>
              </w:rPr>
              <w:t>LK26:01</w:t>
            </w:r>
          </w:p>
        </w:tc>
        <w:tc>
          <w:tcPr>
            <w:tcW w:w="1033" w:type="dxa"/>
            <w:noWrap/>
            <w:vAlign w:val="center"/>
          </w:tcPr>
          <w:p w14:paraId="37B8AF83">
            <w:pPr>
              <w:jc w:val="center"/>
              <w:rPr>
                <w:color w:val="000000"/>
                <w:sz w:val="20"/>
                <w:szCs w:val="20"/>
              </w:rPr>
            </w:pPr>
            <w:r>
              <w:rPr>
                <w:color w:val="000000"/>
                <w:sz w:val="20"/>
                <w:szCs w:val="20"/>
              </w:rPr>
              <w:t>90,00</w:t>
            </w:r>
          </w:p>
        </w:tc>
        <w:tc>
          <w:tcPr>
            <w:tcW w:w="846" w:type="dxa"/>
            <w:noWrap/>
            <w:vAlign w:val="center"/>
          </w:tcPr>
          <w:p w14:paraId="43320BCF">
            <w:pPr>
              <w:jc w:val="center"/>
              <w:rPr>
                <w:color w:val="000000"/>
                <w:sz w:val="20"/>
                <w:szCs w:val="20"/>
              </w:rPr>
            </w:pPr>
            <w:r>
              <w:rPr>
                <w:color w:val="000000"/>
                <w:sz w:val="20"/>
                <w:szCs w:val="20"/>
              </w:rPr>
              <w:t>1</w:t>
            </w:r>
          </w:p>
        </w:tc>
        <w:tc>
          <w:tcPr>
            <w:tcW w:w="2578" w:type="dxa"/>
            <w:noWrap/>
            <w:vAlign w:val="center"/>
          </w:tcPr>
          <w:p w14:paraId="71FBDF29">
            <w:pPr>
              <w:jc w:val="center"/>
              <w:rPr>
                <w:color w:val="000000"/>
                <w:sz w:val="20"/>
                <w:szCs w:val="20"/>
              </w:rPr>
            </w:pPr>
            <w:r>
              <w:rPr>
                <w:color w:val="000000"/>
                <w:sz w:val="20"/>
                <w:szCs w:val="20"/>
              </w:rPr>
              <w:t>Mặt cắt 3-3</w:t>
            </w:r>
          </w:p>
        </w:tc>
        <w:tc>
          <w:tcPr>
            <w:tcW w:w="2393" w:type="dxa"/>
            <w:noWrap/>
            <w:vAlign w:val="center"/>
          </w:tcPr>
          <w:p w14:paraId="66AD155D">
            <w:pPr>
              <w:jc w:val="center"/>
              <w:rPr>
                <w:color w:val="000000"/>
                <w:sz w:val="20"/>
                <w:szCs w:val="20"/>
              </w:rPr>
            </w:pPr>
            <w:r>
              <w:rPr>
                <w:color w:val="000000"/>
                <w:sz w:val="20"/>
                <w:szCs w:val="20"/>
              </w:rPr>
              <w:t>Một mặt tiền</w:t>
            </w:r>
          </w:p>
        </w:tc>
        <w:tc>
          <w:tcPr>
            <w:tcW w:w="1198" w:type="dxa"/>
            <w:noWrap/>
            <w:vAlign w:val="center"/>
          </w:tcPr>
          <w:p w14:paraId="1919792A">
            <w:pPr>
              <w:jc w:val="center"/>
              <w:rPr>
                <w:color w:val="000000"/>
                <w:sz w:val="20"/>
                <w:szCs w:val="20"/>
              </w:rPr>
            </w:pPr>
            <w:r>
              <w:rPr>
                <w:color w:val="000000"/>
                <w:sz w:val="20"/>
                <w:szCs w:val="20"/>
              </w:rPr>
              <w:t>8.000.000</w:t>
            </w:r>
          </w:p>
        </w:tc>
        <w:tc>
          <w:tcPr>
            <w:tcW w:w="1236" w:type="dxa"/>
            <w:noWrap/>
            <w:vAlign w:val="center"/>
          </w:tcPr>
          <w:p w14:paraId="0149F4B6">
            <w:pPr>
              <w:jc w:val="center"/>
              <w:rPr>
                <w:color w:val="000000"/>
                <w:sz w:val="20"/>
                <w:szCs w:val="20"/>
              </w:rPr>
            </w:pPr>
          </w:p>
        </w:tc>
        <w:tc>
          <w:tcPr>
            <w:tcW w:w="1252" w:type="dxa"/>
            <w:noWrap/>
            <w:vAlign w:val="center"/>
          </w:tcPr>
          <w:p w14:paraId="0D3DA34A">
            <w:pPr>
              <w:jc w:val="center"/>
              <w:rPr>
                <w:color w:val="000000"/>
                <w:sz w:val="20"/>
                <w:szCs w:val="20"/>
              </w:rPr>
            </w:pPr>
            <w:r>
              <w:rPr>
                <w:color w:val="000000"/>
                <w:sz w:val="20"/>
                <w:szCs w:val="20"/>
              </w:rPr>
              <w:t>8.000.000</w:t>
            </w:r>
          </w:p>
        </w:tc>
        <w:tc>
          <w:tcPr>
            <w:tcW w:w="1848" w:type="dxa"/>
            <w:noWrap/>
            <w:vAlign w:val="center"/>
          </w:tcPr>
          <w:p w14:paraId="10AE1811">
            <w:pPr>
              <w:jc w:val="center"/>
              <w:rPr>
                <w:color w:val="000000"/>
                <w:sz w:val="20"/>
                <w:szCs w:val="20"/>
              </w:rPr>
            </w:pPr>
            <w:r>
              <w:rPr>
                <w:color w:val="000000"/>
                <w:sz w:val="20"/>
                <w:szCs w:val="20"/>
              </w:rPr>
              <w:t>720.000.000</w:t>
            </w:r>
          </w:p>
        </w:tc>
      </w:tr>
      <w:tr w14:paraId="0EC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291B21">
            <w:pPr>
              <w:jc w:val="center"/>
              <w:rPr>
                <w:b/>
                <w:bCs/>
                <w:color w:val="000000"/>
                <w:sz w:val="20"/>
                <w:szCs w:val="20"/>
              </w:rPr>
            </w:pPr>
            <w:r>
              <w:rPr>
                <w:b/>
                <w:bCs/>
                <w:color w:val="000000"/>
                <w:sz w:val="20"/>
                <w:szCs w:val="20"/>
              </w:rPr>
              <w:t>LK26</w:t>
            </w:r>
          </w:p>
        </w:tc>
        <w:tc>
          <w:tcPr>
            <w:tcW w:w="1802" w:type="dxa"/>
            <w:vAlign w:val="center"/>
          </w:tcPr>
          <w:p w14:paraId="10028E0F">
            <w:pPr>
              <w:jc w:val="center"/>
              <w:rPr>
                <w:color w:val="000000"/>
                <w:sz w:val="20"/>
                <w:szCs w:val="20"/>
              </w:rPr>
            </w:pPr>
            <w:r>
              <w:rPr>
                <w:color w:val="000000"/>
                <w:sz w:val="20"/>
                <w:szCs w:val="20"/>
              </w:rPr>
              <w:t>LK26:02</w:t>
            </w:r>
          </w:p>
        </w:tc>
        <w:tc>
          <w:tcPr>
            <w:tcW w:w="1033" w:type="dxa"/>
            <w:noWrap/>
            <w:vAlign w:val="center"/>
          </w:tcPr>
          <w:p w14:paraId="4D1085B4">
            <w:pPr>
              <w:jc w:val="center"/>
              <w:rPr>
                <w:color w:val="000000"/>
                <w:sz w:val="20"/>
                <w:szCs w:val="20"/>
              </w:rPr>
            </w:pPr>
            <w:r>
              <w:rPr>
                <w:color w:val="000000"/>
                <w:sz w:val="20"/>
                <w:szCs w:val="20"/>
              </w:rPr>
              <w:t>90,00</w:t>
            </w:r>
          </w:p>
        </w:tc>
        <w:tc>
          <w:tcPr>
            <w:tcW w:w="846" w:type="dxa"/>
            <w:noWrap/>
            <w:vAlign w:val="center"/>
          </w:tcPr>
          <w:p w14:paraId="0DE62355">
            <w:pPr>
              <w:jc w:val="center"/>
              <w:rPr>
                <w:color w:val="000000"/>
                <w:sz w:val="20"/>
                <w:szCs w:val="20"/>
              </w:rPr>
            </w:pPr>
            <w:r>
              <w:rPr>
                <w:color w:val="000000"/>
                <w:sz w:val="20"/>
                <w:szCs w:val="20"/>
              </w:rPr>
              <w:t>1</w:t>
            </w:r>
          </w:p>
        </w:tc>
        <w:tc>
          <w:tcPr>
            <w:tcW w:w="2578" w:type="dxa"/>
            <w:noWrap/>
            <w:vAlign w:val="center"/>
          </w:tcPr>
          <w:p w14:paraId="50E63EA8">
            <w:pPr>
              <w:jc w:val="center"/>
              <w:rPr>
                <w:color w:val="000000"/>
                <w:sz w:val="20"/>
                <w:szCs w:val="20"/>
              </w:rPr>
            </w:pPr>
            <w:r>
              <w:rPr>
                <w:color w:val="000000"/>
                <w:sz w:val="20"/>
                <w:szCs w:val="20"/>
              </w:rPr>
              <w:t>Mặt cắt 3-3</w:t>
            </w:r>
          </w:p>
        </w:tc>
        <w:tc>
          <w:tcPr>
            <w:tcW w:w="2393" w:type="dxa"/>
            <w:noWrap/>
            <w:vAlign w:val="center"/>
          </w:tcPr>
          <w:p w14:paraId="2BFE9783">
            <w:pPr>
              <w:jc w:val="center"/>
              <w:rPr>
                <w:color w:val="000000"/>
                <w:sz w:val="20"/>
                <w:szCs w:val="20"/>
              </w:rPr>
            </w:pPr>
            <w:r>
              <w:rPr>
                <w:color w:val="000000"/>
                <w:sz w:val="20"/>
                <w:szCs w:val="20"/>
              </w:rPr>
              <w:t>Một mặt tiền</w:t>
            </w:r>
          </w:p>
        </w:tc>
        <w:tc>
          <w:tcPr>
            <w:tcW w:w="1198" w:type="dxa"/>
            <w:noWrap/>
            <w:vAlign w:val="center"/>
          </w:tcPr>
          <w:p w14:paraId="61074651">
            <w:pPr>
              <w:jc w:val="center"/>
              <w:rPr>
                <w:color w:val="000000"/>
                <w:sz w:val="20"/>
                <w:szCs w:val="20"/>
              </w:rPr>
            </w:pPr>
            <w:r>
              <w:rPr>
                <w:color w:val="000000"/>
                <w:sz w:val="20"/>
                <w:szCs w:val="20"/>
              </w:rPr>
              <w:t>8.000.000</w:t>
            </w:r>
          </w:p>
        </w:tc>
        <w:tc>
          <w:tcPr>
            <w:tcW w:w="1236" w:type="dxa"/>
            <w:noWrap/>
            <w:vAlign w:val="center"/>
          </w:tcPr>
          <w:p w14:paraId="6F21876F">
            <w:pPr>
              <w:jc w:val="center"/>
              <w:rPr>
                <w:color w:val="000000"/>
                <w:sz w:val="20"/>
                <w:szCs w:val="20"/>
              </w:rPr>
            </w:pPr>
          </w:p>
        </w:tc>
        <w:tc>
          <w:tcPr>
            <w:tcW w:w="1252" w:type="dxa"/>
            <w:noWrap/>
            <w:vAlign w:val="center"/>
          </w:tcPr>
          <w:p w14:paraId="7455B0BF">
            <w:pPr>
              <w:jc w:val="center"/>
              <w:rPr>
                <w:color w:val="000000"/>
                <w:sz w:val="20"/>
                <w:szCs w:val="20"/>
              </w:rPr>
            </w:pPr>
            <w:r>
              <w:rPr>
                <w:color w:val="000000"/>
                <w:sz w:val="20"/>
                <w:szCs w:val="20"/>
              </w:rPr>
              <w:t>8.000.000</w:t>
            </w:r>
          </w:p>
        </w:tc>
        <w:tc>
          <w:tcPr>
            <w:tcW w:w="1848" w:type="dxa"/>
            <w:noWrap/>
            <w:vAlign w:val="center"/>
          </w:tcPr>
          <w:p w14:paraId="166A804E">
            <w:pPr>
              <w:jc w:val="center"/>
              <w:rPr>
                <w:color w:val="000000"/>
                <w:sz w:val="20"/>
                <w:szCs w:val="20"/>
              </w:rPr>
            </w:pPr>
            <w:r>
              <w:rPr>
                <w:color w:val="000000"/>
                <w:sz w:val="20"/>
                <w:szCs w:val="20"/>
              </w:rPr>
              <w:t>720.000.000</w:t>
            </w:r>
          </w:p>
        </w:tc>
      </w:tr>
      <w:tr w14:paraId="245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011439B">
            <w:pPr>
              <w:jc w:val="center"/>
              <w:rPr>
                <w:b/>
                <w:bCs/>
                <w:color w:val="000000"/>
                <w:sz w:val="20"/>
                <w:szCs w:val="20"/>
              </w:rPr>
            </w:pPr>
            <w:r>
              <w:rPr>
                <w:b/>
                <w:bCs/>
                <w:color w:val="000000"/>
                <w:sz w:val="20"/>
                <w:szCs w:val="20"/>
              </w:rPr>
              <w:t>LK26</w:t>
            </w:r>
          </w:p>
        </w:tc>
        <w:tc>
          <w:tcPr>
            <w:tcW w:w="1802" w:type="dxa"/>
            <w:vAlign w:val="center"/>
          </w:tcPr>
          <w:p w14:paraId="415B8213">
            <w:pPr>
              <w:jc w:val="center"/>
              <w:rPr>
                <w:color w:val="000000"/>
                <w:sz w:val="20"/>
                <w:szCs w:val="20"/>
              </w:rPr>
            </w:pPr>
            <w:r>
              <w:rPr>
                <w:color w:val="000000"/>
                <w:sz w:val="20"/>
                <w:szCs w:val="20"/>
              </w:rPr>
              <w:t>LK26:03</w:t>
            </w:r>
          </w:p>
        </w:tc>
        <w:tc>
          <w:tcPr>
            <w:tcW w:w="1033" w:type="dxa"/>
            <w:noWrap/>
            <w:vAlign w:val="center"/>
          </w:tcPr>
          <w:p w14:paraId="6E99FAE6">
            <w:pPr>
              <w:jc w:val="center"/>
              <w:rPr>
                <w:color w:val="000000"/>
                <w:sz w:val="20"/>
                <w:szCs w:val="20"/>
              </w:rPr>
            </w:pPr>
            <w:r>
              <w:rPr>
                <w:color w:val="000000"/>
                <w:sz w:val="20"/>
                <w:szCs w:val="20"/>
              </w:rPr>
              <w:t>90,00</w:t>
            </w:r>
          </w:p>
        </w:tc>
        <w:tc>
          <w:tcPr>
            <w:tcW w:w="846" w:type="dxa"/>
            <w:noWrap/>
            <w:vAlign w:val="center"/>
          </w:tcPr>
          <w:p w14:paraId="243B4E41">
            <w:pPr>
              <w:jc w:val="center"/>
              <w:rPr>
                <w:color w:val="000000"/>
                <w:sz w:val="20"/>
                <w:szCs w:val="20"/>
              </w:rPr>
            </w:pPr>
            <w:r>
              <w:rPr>
                <w:color w:val="000000"/>
                <w:sz w:val="20"/>
                <w:szCs w:val="20"/>
              </w:rPr>
              <w:t>1</w:t>
            </w:r>
          </w:p>
        </w:tc>
        <w:tc>
          <w:tcPr>
            <w:tcW w:w="2578" w:type="dxa"/>
            <w:noWrap/>
            <w:vAlign w:val="center"/>
          </w:tcPr>
          <w:p w14:paraId="1235E178">
            <w:pPr>
              <w:jc w:val="center"/>
              <w:rPr>
                <w:color w:val="000000"/>
                <w:sz w:val="20"/>
                <w:szCs w:val="20"/>
              </w:rPr>
            </w:pPr>
            <w:r>
              <w:rPr>
                <w:color w:val="000000"/>
                <w:sz w:val="20"/>
                <w:szCs w:val="20"/>
              </w:rPr>
              <w:t>Mặt cắt 3-3</w:t>
            </w:r>
          </w:p>
        </w:tc>
        <w:tc>
          <w:tcPr>
            <w:tcW w:w="2393" w:type="dxa"/>
            <w:noWrap/>
            <w:vAlign w:val="center"/>
          </w:tcPr>
          <w:p w14:paraId="38176181">
            <w:pPr>
              <w:jc w:val="center"/>
              <w:rPr>
                <w:color w:val="000000"/>
                <w:sz w:val="20"/>
                <w:szCs w:val="20"/>
              </w:rPr>
            </w:pPr>
            <w:r>
              <w:rPr>
                <w:color w:val="000000"/>
                <w:sz w:val="20"/>
                <w:szCs w:val="20"/>
              </w:rPr>
              <w:t>Một mặt tiền</w:t>
            </w:r>
          </w:p>
        </w:tc>
        <w:tc>
          <w:tcPr>
            <w:tcW w:w="1198" w:type="dxa"/>
            <w:noWrap/>
            <w:vAlign w:val="center"/>
          </w:tcPr>
          <w:p w14:paraId="74047271">
            <w:pPr>
              <w:jc w:val="center"/>
              <w:rPr>
                <w:color w:val="000000"/>
                <w:sz w:val="20"/>
                <w:szCs w:val="20"/>
              </w:rPr>
            </w:pPr>
            <w:r>
              <w:rPr>
                <w:color w:val="000000"/>
                <w:sz w:val="20"/>
                <w:szCs w:val="20"/>
              </w:rPr>
              <w:t>8.000.000</w:t>
            </w:r>
          </w:p>
        </w:tc>
        <w:tc>
          <w:tcPr>
            <w:tcW w:w="1236" w:type="dxa"/>
            <w:noWrap/>
            <w:vAlign w:val="center"/>
          </w:tcPr>
          <w:p w14:paraId="69A75E6C">
            <w:pPr>
              <w:jc w:val="center"/>
              <w:rPr>
                <w:color w:val="000000"/>
                <w:sz w:val="20"/>
                <w:szCs w:val="20"/>
              </w:rPr>
            </w:pPr>
          </w:p>
        </w:tc>
        <w:tc>
          <w:tcPr>
            <w:tcW w:w="1252" w:type="dxa"/>
            <w:noWrap/>
            <w:vAlign w:val="center"/>
          </w:tcPr>
          <w:p w14:paraId="54DE3B5C">
            <w:pPr>
              <w:jc w:val="center"/>
              <w:rPr>
                <w:color w:val="000000"/>
                <w:sz w:val="20"/>
                <w:szCs w:val="20"/>
              </w:rPr>
            </w:pPr>
            <w:r>
              <w:rPr>
                <w:color w:val="000000"/>
                <w:sz w:val="20"/>
                <w:szCs w:val="20"/>
              </w:rPr>
              <w:t>8.000.000</w:t>
            </w:r>
          </w:p>
        </w:tc>
        <w:tc>
          <w:tcPr>
            <w:tcW w:w="1848" w:type="dxa"/>
            <w:noWrap/>
            <w:vAlign w:val="center"/>
          </w:tcPr>
          <w:p w14:paraId="6C98285D">
            <w:pPr>
              <w:jc w:val="center"/>
              <w:rPr>
                <w:color w:val="000000"/>
                <w:sz w:val="20"/>
                <w:szCs w:val="20"/>
              </w:rPr>
            </w:pPr>
            <w:r>
              <w:rPr>
                <w:color w:val="000000"/>
                <w:sz w:val="20"/>
                <w:szCs w:val="20"/>
              </w:rPr>
              <w:t>720.000.000</w:t>
            </w:r>
          </w:p>
        </w:tc>
      </w:tr>
      <w:tr w14:paraId="1081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0D7604C">
            <w:pPr>
              <w:jc w:val="center"/>
              <w:rPr>
                <w:b/>
                <w:bCs/>
                <w:color w:val="000000"/>
                <w:sz w:val="20"/>
                <w:szCs w:val="20"/>
              </w:rPr>
            </w:pPr>
            <w:r>
              <w:rPr>
                <w:b/>
                <w:bCs/>
                <w:color w:val="000000"/>
                <w:sz w:val="20"/>
                <w:szCs w:val="20"/>
              </w:rPr>
              <w:t>LK26</w:t>
            </w:r>
          </w:p>
        </w:tc>
        <w:tc>
          <w:tcPr>
            <w:tcW w:w="1802" w:type="dxa"/>
            <w:vAlign w:val="center"/>
          </w:tcPr>
          <w:p w14:paraId="41963A99">
            <w:pPr>
              <w:jc w:val="center"/>
              <w:rPr>
                <w:color w:val="000000"/>
                <w:sz w:val="20"/>
                <w:szCs w:val="20"/>
              </w:rPr>
            </w:pPr>
            <w:r>
              <w:rPr>
                <w:color w:val="000000"/>
                <w:sz w:val="20"/>
                <w:szCs w:val="20"/>
              </w:rPr>
              <w:t>LK26:04</w:t>
            </w:r>
          </w:p>
        </w:tc>
        <w:tc>
          <w:tcPr>
            <w:tcW w:w="1033" w:type="dxa"/>
            <w:noWrap/>
            <w:vAlign w:val="center"/>
          </w:tcPr>
          <w:p w14:paraId="3B52C424">
            <w:pPr>
              <w:jc w:val="center"/>
              <w:rPr>
                <w:color w:val="000000"/>
                <w:sz w:val="20"/>
                <w:szCs w:val="20"/>
              </w:rPr>
            </w:pPr>
            <w:r>
              <w:rPr>
                <w:color w:val="000000"/>
                <w:sz w:val="20"/>
                <w:szCs w:val="20"/>
              </w:rPr>
              <w:t>90,00</w:t>
            </w:r>
          </w:p>
        </w:tc>
        <w:tc>
          <w:tcPr>
            <w:tcW w:w="846" w:type="dxa"/>
            <w:noWrap/>
            <w:vAlign w:val="center"/>
          </w:tcPr>
          <w:p w14:paraId="713B7AA2">
            <w:pPr>
              <w:jc w:val="center"/>
              <w:rPr>
                <w:color w:val="000000"/>
                <w:sz w:val="20"/>
                <w:szCs w:val="20"/>
              </w:rPr>
            </w:pPr>
            <w:r>
              <w:rPr>
                <w:color w:val="000000"/>
                <w:sz w:val="20"/>
                <w:szCs w:val="20"/>
              </w:rPr>
              <w:t>1</w:t>
            </w:r>
          </w:p>
        </w:tc>
        <w:tc>
          <w:tcPr>
            <w:tcW w:w="2578" w:type="dxa"/>
            <w:noWrap/>
            <w:vAlign w:val="center"/>
          </w:tcPr>
          <w:p w14:paraId="11DC85BA">
            <w:pPr>
              <w:jc w:val="center"/>
              <w:rPr>
                <w:color w:val="000000"/>
                <w:sz w:val="20"/>
                <w:szCs w:val="20"/>
              </w:rPr>
            </w:pPr>
            <w:r>
              <w:rPr>
                <w:color w:val="000000"/>
                <w:sz w:val="20"/>
                <w:szCs w:val="20"/>
              </w:rPr>
              <w:t>Mặt cắt 3-3</w:t>
            </w:r>
          </w:p>
        </w:tc>
        <w:tc>
          <w:tcPr>
            <w:tcW w:w="2393" w:type="dxa"/>
            <w:noWrap/>
            <w:vAlign w:val="center"/>
          </w:tcPr>
          <w:p w14:paraId="5402E133">
            <w:pPr>
              <w:jc w:val="center"/>
              <w:rPr>
                <w:color w:val="000000"/>
                <w:sz w:val="20"/>
                <w:szCs w:val="20"/>
              </w:rPr>
            </w:pPr>
            <w:r>
              <w:rPr>
                <w:color w:val="000000"/>
                <w:sz w:val="20"/>
                <w:szCs w:val="20"/>
              </w:rPr>
              <w:t>Một mặt tiền</w:t>
            </w:r>
          </w:p>
        </w:tc>
        <w:tc>
          <w:tcPr>
            <w:tcW w:w="1198" w:type="dxa"/>
            <w:noWrap/>
            <w:vAlign w:val="center"/>
          </w:tcPr>
          <w:p w14:paraId="0D8636F3">
            <w:pPr>
              <w:jc w:val="center"/>
              <w:rPr>
                <w:color w:val="000000"/>
                <w:sz w:val="20"/>
                <w:szCs w:val="20"/>
              </w:rPr>
            </w:pPr>
            <w:r>
              <w:rPr>
                <w:color w:val="000000"/>
                <w:sz w:val="20"/>
                <w:szCs w:val="20"/>
              </w:rPr>
              <w:t>8.000.000</w:t>
            </w:r>
          </w:p>
        </w:tc>
        <w:tc>
          <w:tcPr>
            <w:tcW w:w="1236" w:type="dxa"/>
            <w:noWrap/>
            <w:vAlign w:val="center"/>
          </w:tcPr>
          <w:p w14:paraId="70F6BE73">
            <w:pPr>
              <w:jc w:val="center"/>
              <w:rPr>
                <w:color w:val="000000"/>
                <w:sz w:val="20"/>
                <w:szCs w:val="20"/>
              </w:rPr>
            </w:pPr>
          </w:p>
        </w:tc>
        <w:tc>
          <w:tcPr>
            <w:tcW w:w="1252" w:type="dxa"/>
            <w:noWrap/>
            <w:vAlign w:val="center"/>
          </w:tcPr>
          <w:p w14:paraId="44F52821">
            <w:pPr>
              <w:jc w:val="center"/>
              <w:rPr>
                <w:color w:val="000000"/>
                <w:sz w:val="20"/>
                <w:szCs w:val="20"/>
              </w:rPr>
            </w:pPr>
            <w:r>
              <w:rPr>
                <w:color w:val="000000"/>
                <w:sz w:val="20"/>
                <w:szCs w:val="20"/>
              </w:rPr>
              <w:t>8.000.000</w:t>
            </w:r>
          </w:p>
        </w:tc>
        <w:tc>
          <w:tcPr>
            <w:tcW w:w="1848" w:type="dxa"/>
            <w:noWrap/>
            <w:vAlign w:val="center"/>
          </w:tcPr>
          <w:p w14:paraId="0C1158A0">
            <w:pPr>
              <w:jc w:val="center"/>
              <w:rPr>
                <w:color w:val="000000"/>
                <w:sz w:val="20"/>
                <w:szCs w:val="20"/>
              </w:rPr>
            </w:pPr>
            <w:r>
              <w:rPr>
                <w:color w:val="000000"/>
                <w:sz w:val="20"/>
                <w:szCs w:val="20"/>
              </w:rPr>
              <w:t>720.000.000</w:t>
            </w:r>
          </w:p>
        </w:tc>
      </w:tr>
      <w:tr w14:paraId="3DEB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B195B54">
            <w:pPr>
              <w:jc w:val="center"/>
              <w:rPr>
                <w:b/>
                <w:bCs/>
                <w:color w:val="000000"/>
                <w:sz w:val="20"/>
                <w:szCs w:val="20"/>
              </w:rPr>
            </w:pPr>
            <w:r>
              <w:rPr>
                <w:b/>
                <w:bCs/>
                <w:color w:val="000000"/>
                <w:sz w:val="20"/>
                <w:szCs w:val="20"/>
              </w:rPr>
              <w:t>LK26</w:t>
            </w:r>
          </w:p>
        </w:tc>
        <w:tc>
          <w:tcPr>
            <w:tcW w:w="1802" w:type="dxa"/>
            <w:vAlign w:val="center"/>
          </w:tcPr>
          <w:p w14:paraId="76D18BB7">
            <w:pPr>
              <w:jc w:val="center"/>
              <w:rPr>
                <w:color w:val="000000"/>
                <w:sz w:val="20"/>
                <w:szCs w:val="20"/>
              </w:rPr>
            </w:pPr>
            <w:r>
              <w:rPr>
                <w:color w:val="000000"/>
                <w:sz w:val="20"/>
                <w:szCs w:val="20"/>
              </w:rPr>
              <w:t>LK26:05</w:t>
            </w:r>
          </w:p>
        </w:tc>
        <w:tc>
          <w:tcPr>
            <w:tcW w:w="1033" w:type="dxa"/>
            <w:noWrap/>
            <w:vAlign w:val="center"/>
          </w:tcPr>
          <w:p w14:paraId="5FE9E264">
            <w:pPr>
              <w:jc w:val="center"/>
              <w:rPr>
                <w:color w:val="000000"/>
                <w:sz w:val="20"/>
                <w:szCs w:val="20"/>
              </w:rPr>
            </w:pPr>
            <w:r>
              <w:rPr>
                <w:color w:val="000000"/>
                <w:sz w:val="20"/>
                <w:szCs w:val="20"/>
              </w:rPr>
              <w:t>90,00</w:t>
            </w:r>
          </w:p>
        </w:tc>
        <w:tc>
          <w:tcPr>
            <w:tcW w:w="846" w:type="dxa"/>
            <w:noWrap/>
            <w:vAlign w:val="center"/>
          </w:tcPr>
          <w:p w14:paraId="2A9EFA5C">
            <w:pPr>
              <w:jc w:val="center"/>
              <w:rPr>
                <w:color w:val="000000"/>
                <w:sz w:val="20"/>
                <w:szCs w:val="20"/>
              </w:rPr>
            </w:pPr>
            <w:r>
              <w:rPr>
                <w:color w:val="000000"/>
                <w:sz w:val="20"/>
                <w:szCs w:val="20"/>
              </w:rPr>
              <w:t>1</w:t>
            </w:r>
          </w:p>
        </w:tc>
        <w:tc>
          <w:tcPr>
            <w:tcW w:w="2578" w:type="dxa"/>
            <w:noWrap/>
            <w:vAlign w:val="center"/>
          </w:tcPr>
          <w:p w14:paraId="2FF761B5">
            <w:pPr>
              <w:jc w:val="center"/>
              <w:rPr>
                <w:color w:val="000000"/>
                <w:sz w:val="20"/>
                <w:szCs w:val="20"/>
              </w:rPr>
            </w:pPr>
            <w:r>
              <w:rPr>
                <w:color w:val="000000"/>
                <w:sz w:val="20"/>
                <w:szCs w:val="20"/>
              </w:rPr>
              <w:t>Mặt cắt 3-3</w:t>
            </w:r>
          </w:p>
        </w:tc>
        <w:tc>
          <w:tcPr>
            <w:tcW w:w="2393" w:type="dxa"/>
            <w:noWrap/>
            <w:vAlign w:val="center"/>
          </w:tcPr>
          <w:p w14:paraId="406C1EC4">
            <w:pPr>
              <w:jc w:val="center"/>
              <w:rPr>
                <w:color w:val="000000"/>
                <w:sz w:val="20"/>
                <w:szCs w:val="20"/>
              </w:rPr>
            </w:pPr>
            <w:r>
              <w:rPr>
                <w:color w:val="000000"/>
                <w:sz w:val="20"/>
                <w:szCs w:val="20"/>
              </w:rPr>
              <w:t>Một mặt tiền</w:t>
            </w:r>
          </w:p>
        </w:tc>
        <w:tc>
          <w:tcPr>
            <w:tcW w:w="1198" w:type="dxa"/>
            <w:noWrap/>
            <w:vAlign w:val="center"/>
          </w:tcPr>
          <w:p w14:paraId="0EE52005">
            <w:pPr>
              <w:jc w:val="center"/>
              <w:rPr>
                <w:color w:val="000000"/>
                <w:sz w:val="20"/>
                <w:szCs w:val="20"/>
              </w:rPr>
            </w:pPr>
            <w:r>
              <w:rPr>
                <w:color w:val="000000"/>
                <w:sz w:val="20"/>
                <w:szCs w:val="20"/>
              </w:rPr>
              <w:t>8.000.000</w:t>
            </w:r>
          </w:p>
        </w:tc>
        <w:tc>
          <w:tcPr>
            <w:tcW w:w="1236" w:type="dxa"/>
            <w:noWrap/>
            <w:vAlign w:val="center"/>
          </w:tcPr>
          <w:p w14:paraId="070A18FE">
            <w:pPr>
              <w:jc w:val="center"/>
              <w:rPr>
                <w:color w:val="000000"/>
                <w:sz w:val="20"/>
                <w:szCs w:val="20"/>
              </w:rPr>
            </w:pPr>
          </w:p>
        </w:tc>
        <w:tc>
          <w:tcPr>
            <w:tcW w:w="1252" w:type="dxa"/>
            <w:noWrap/>
            <w:vAlign w:val="center"/>
          </w:tcPr>
          <w:p w14:paraId="296D6C17">
            <w:pPr>
              <w:jc w:val="center"/>
              <w:rPr>
                <w:color w:val="000000"/>
                <w:sz w:val="20"/>
                <w:szCs w:val="20"/>
              </w:rPr>
            </w:pPr>
            <w:r>
              <w:rPr>
                <w:color w:val="000000"/>
                <w:sz w:val="20"/>
                <w:szCs w:val="20"/>
              </w:rPr>
              <w:t>8.000.000</w:t>
            </w:r>
          </w:p>
        </w:tc>
        <w:tc>
          <w:tcPr>
            <w:tcW w:w="1848" w:type="dxa"/>
            <w:noWrap/>
            <w:vAlign w:val="center"/>
          </w:tcPr>
          <w:p w14:paraId="65D88173">
            <w:pPr>
              <w:jc w:val="center"/>
              <w:rPr>
                <w:color w:val="000000"/>
                <w:sz w:val="20"/>
                <w:szCs w:val="20"/>
              </w:rPr>
            </w:pPr>
            <w:r>
              <w:rPr>
                <w:color w:val="000000"/>
                <w:sz w:val="20"/>
                <w:szCs w:val="20"/>
              </w:rPr>
              <w:t>720.000.000</w:t>
            </w:r>
          </w:p>
        </w:tc>
      </w:tr>
      <w:tr w14:paraId="0476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BF12BF8">
            <w:pPr>
              <w:jc w:val="center"/>
              <w:rPr>
                <w:b/>
                <w:bCs/>
                <w:color w:val="000000"/>
                <w:sz w:val="20"/>
                <w:szCs w:val="20"/>
              </w:rPr>
            </w:pPr>
            <w:r>
              <w:rPr>
                <w:b/>
                <w:bCs/>
                <w:color w:val="000000"/>
                <w:sz w:val="20"/>
                <w:szCs w:val="20"/>
              </w:rPr>
              <w:t>LK26</w:t>
            </w:r>
          </w:p>
        </w:tc>
        <w:tc>
          <w:tcPr>
            <w:tcW w:w="1802" w:type="dxa"/>
            <w:vAlign w:val="center"/>
          </w:tcPr>
          <w:p w14:paraId="6E30C253">
            <w:pPr>
              <w:jc w:val="center"/>
              <w:rPr>
                <w:color w:val="000000"/>
                <w:sz w:val="20"/>
                <w:szCs w:val="20"/>
              </w:rPr>
            </w:pPr>
            <w:r>
              <w:rPr>
                <w:color w:val="000000"/>
                <w:sz w:val="20"/>
                <w:szCs w:val="20"/>
              </w:rPr>
              <w:t>LK26:06</w:t>
            </w:r>
          </w:p>
        </w:tc>
        <w:tc>
          <w:tcPr>
            <w:tcW w:w="1033" w:type="dxa"/>
            <w:noWrap/>
            <w:vAlign w:val="center"/>
          </w:tcPr>
          <w:p w14:paraId="5F9BE675">
            <w:pPr>
              <w:jc w:val="center"/>
              <w:rPr>
                <w:color w:val="000000"/>
                <w:sz w:val="20"/>
                <w:szCs w:val="20"/>
              </w:rPr>
            </w:pPr>
            <w:r>
              <w:rPr>
                <w:color w:val="000000"/>
                <w:sz w:val="20"/>
                <w:szCs w:val="20"/>
              </w:rPr>
              <w:t>90,00</w:t>
            </w:r>
          </w:p>
        </w:tc>
        <w:tc>
          <w:tcPr>
            <w:tcW w:w="846" w:type="dxa"/>
            <w:noWrap/>
            <w:vAlign w:val="center"/>
          </w:tcPr>
          <w:p w14:paraId="7AE4FD87">
            <w:pPr>
              <w:jc w:val="center"/>
              <w:rPr>
                <w:color w:val="000000"/>
                <w:sz w:val="20"/>
                <w:szCs w:val="20"/>
              </w:rPr>
            </w:pPr>
            <w:r>
              <w:rPr>
                <w:color w:val="000000"/>
                <w:sz w:val="20"/>
                <w:szCs w:val="20"/>
              </w:rPr>
              <w:t>1</w:t>
            </w:r>
          </w:p>
        </w:tc>
        <w:tc>
          <w:tcPr>
            <w:tcW w:w="2578" w:type="dxa"/>
            <w:noWrap/>
            <w:vAlign w:val="center"/>
          </w:tcPr>
          <w:p w14:paraId="3DDF1AE1">
            <w:pPr>
              <w:jc w:val="center"/>
              <w:rPr>
                <w:color w:val="000000"/>
                <w:sz w:val="20"/>
                <w:szCs w:val="20"/>
              </w:rPr>
            </w:pPr>
            <w:r>
              <w:rPr>
                <w:color w:val="000000"/>
                <w:sz w:val="20"/>
                <w:szCs w:val="20"/>
              </w:rPr>
              <w:t>Mặt cắt 3-3</w:t>
            </w:r>
          </w:p>
        </w:tc>
        <w:tc>
          <w:tcPr>
            <w:tcW w:w="2393" w:type="dxa"/>
            <w:noWrap/>
            <w:vAlign w:val="center"/>
          </w:tcPr>
          <w:p w14:paraId="331706E0">
            <w:pPr>
              <w:jc w:val="center"/>
              <w:rPr>
                <w:color w:val="000000"/>
                <w:sz w:val="20"/>
                <w:szCs w:val="20"/>
              </w:rPr>
            </w:pPr>
            <w:r>
              <w:rPr>
                <w:color w:val="000000"/>
                <w:sz w:val="20"/>
                <w:szCs w:val="20"/>
              </w:rPr>
              <w:t>Một mặt tiền</w:t>
            </w:r>
          </w:p>
        </w:tc>
        <w:tc>
          <w:tcPr>
            <w:tcW w:w="1198" w:type="dxa"/>
            <w:noWrap/>
            <w:vAlign w:val="center"/>
          </w:tcPr>
          <w:p w14:paraId="156F90C0">
            <w:pPr>
              <w:jc w:val="center"/>
              <w:rPr>
                <w:color w:val="000000"/>
                <w:sz w:val="20"/>
                <w:szCs w:val="20"/>
              </w:rPr>
            </w:pPr>
            <w:r>
              <w:rPr>
                <w:color w:val="000000"/>
                <w:sz w:val="20"/>
                <w:szCs w:val="20"/>
              </w:rPr>
              <w:t>8.000.000</w:t>
            </w:r>
          </w:p>
        </w:tc>
        <w:tc>
          <w:tcPr>
            <w:tcW w:w="1236" w:type="dxa"/>
            <w:noWrap/>
            <w:vAlign w:val="center"/>
          </w:tcPr>
          <w:p w14:paraId="7410D343">
            <w:pPr>
              <w:jc w:val="center"/>
              <w:rPr>
                <w:color w:val="000000"/>
                <w:sz w:val="20"/>
                <w:szCs w:val="20"/>
              </w:rPr>
            </w:pPr>
          </w:p>
        </w:tc>
        <w:tc>
          <w:tcPr>
            <w:tcW w:w="1252" w:type="dxa"/>
            <w:noWrap/>
            <w:vAlign w:val="center"/>
          </w:tcPr>
          <w:p w14:paraId="4485B66A">
            <w:pPr>
              <w:jc w:val="center"/>
              <w:rPr>
                <w:color w:val="000000"/>
                <w:sz w:val="20"/>
                <w:szCs w:val="20"/>
              </w:rPr>
            </w:pPr>
            <w:r>
              <w:rPr>
                <w:color w:val="000000"/>
                <w:sz w:val="20"/>
                <w:szCs w:val="20"/>
              </w:rPr>
              <w:t>8.000.000</w:t>
            </w:r>
          </w:p>
        </w:tc>
        <w:tc>
          <w:tcPr>
            <w:tcW w:w="1848" w:type="dxa"/>
            <w:noWrap/>
            <w:vAlign w:val="center"/>
          </w:tcPr>
          <w:p w14:paraId="58B3CAC3">
            <w:pPr>
              <w:jc w:val="center"/>
              <w:rPr>
                <w:color w:val="000000"/>
                <w:sz w:val="20"/>
                <w:szCs w:val="20"/>
              </w:rPr>
            </w:pPr>
            <w:r>
              <w:rPr>
                <w:color w:val="000000"/>
                <w:sz w:val="20"/>
                <w:szCs w:val="20"/>
              </w:rPr>
              <w:t>720.000.000</w:t>
            </w:r>
          </w:p>
        </w:tc>
      </w:tr>
      <w:tr w14:paraId="138C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F6FA87F">
            <w:pPr>
              <w:jc w:val="center"/>
              <w:rPr>
                <w:b/>
                <w:bCs/>
                <w:color w:val="000000"/>
                <w:sz w:val="20"/>
                <w:szCs w:val="20"/>
              </w:rPr>
            </w:pPr>
            <w:r>
              <w:rPr>
                <w:b/>
                <w:bCs/>
                <w:color w:val="000000"/>
                <w:sz w:val="20"/>
                <w:szCs w:val="20"/>
              </w:rPr>
              <w:t>LK26</w:t>
            </w:r>
          </w:p>
        </w:tc>
        <w:tc>
          <w:tcPr>
            <w:tcW w:w="1802" w:type="dxa"/>
            <w:vAlign w:val="center"/>
          </w:tcPr>
          <w:p w14:paraId="099FDD2B">
            <w:pPr>
              <w:jc w:val="center"/>
              <w:rPr>
                <w:color w:val="000000"/>
                <w:sz w:val="20"/>
                <w:szCs w:val="20"/>
              </w:rPr>
            </w:pPr>
            <w:r>
              <w:rPr>
                <w:color w:val="000000"/>
                <w:sz w:val="20"/>
                <w:szCs w:val="20"/>
              </w:rPr>
              <w:t>LK26:07</w:t>
            </w:r>
          </w:p>
        </w:tc>
        <w:tc>
          <w:tcPr>
            <w:tcW w:w="1033" w:type="dxa"/>
            <w:noWrap/>
            <w:vAlign w:val="center"/>
          </w:tcPr>
          <w:p w14:paraId="54F4639B">
            <w:pPr>
              <w:jc w:val="center"/>
              <w:rPr>
                <w:color w:val="000000"/>
                <w:sz w:val="20"/>
                <w:szCs w:val="20"/>
              </w:rPr>
            </w:pPr>
            <w:r>
              <w:rPr>
                <w:color w:val="000000"/>
                <w:sz w:val="20"/>
                <w:szCs w:val="20"/>
              </w:rPr>
              <w:t>90,00</w:t>
            </w:r>
          </w:p>
        </w:tc>
        <w:tc>
          <w:tcPr>
            <w:tcW w:w="846" w:type="dxa"/>
            <w:noWrap/>
            <w:vAlign w:val="center"/>
          </w:tcPr>
          <w:p w14:paraId="3E9E18DC">
            <w:pPr>
              <w:jc w:val="center"/>
              <w:rPr>
                <w:color w:val="000000"/>
                <w:sz w:val="20"/>
                <w:szCs w:val="20"/>
              </w:rPr>
            </w:pPr>
            <w:r>
              <w:rPr>
                <w:color w:val="000000"/>
                <w:sz w:val="20"/>
                <w:szCs w:val="20"/>
              </w:rPr>
              <w:t>1</w:t>
            </w:r>
          </w:p>
        </w:tc>
        <w:tc>
          <w:tcPr>
            <w:tcW w:w="2578" w:type="dxa"/>
            <w:noWrap/>
            <w:vAlign w:val="center"/>
          </w:tcPr>
          <w:p w14:paraId="522C8ACF">
            <w:pPr>
              <w:jc w:val="center"/>
              <w:rPr>
                <w:color w:val="000000"/>
                <w:sz w:val="20"/>
                <w:szCs w:val="20"/>
              </w:rPr>
            </w:pPr>
            <w:r>
              <w:rPr>
                <w:color w:val="000000"/>
                <w:sz w:val="20"/>
                <w:szCs w:val="20"/>
              </w:rPr>
              <w:t>Mặt cắt 3-3</w:t>
            </w:r>
          </w:p>
        </w:tc>
        <w:tc>
          <w:tcPr>
            <w:tcW w:w="2393" w:type="dxa"/>
            <w:noWrap/>
            <w:vAlign w:val="center"/>
          </w:tcPr>
          <w:p w14:paraId="11D60DB4">
            <w:pPr>
              <w:jc w:val="center"/>
              <w:rPr>
                <w:color w:val="000000"/>
                <w:sz w:val="20"/>
                <w:szCs w:val="20"/>
              </w:rPr>
            </w:pPr>
            <w:r>
              <w:rPr>
                <w:color w:val="000000"/>
                <w:sz w:val="20"/>
                <w:szCs w:val="20"/>
              </w:rPr>
              <w:t>Một mặt tiền</w:t>
            </w:r>
          </w:p>
        </w:tc>
        <w:tc>
          <w:tcPr>
            <w:tcW w:w="1198" w:type="dxa"/>
            <w:noWrap/>
            <w:vAlign w:val="center"/>
          </w:tcPr>
          <w:p w14:paraId="5BD87872">
            <w:pPr>
              <w:jc w:val="center"/>
              <w:rPr>
                <w:color w:val="000000"/>
                <w:sz w:val="20"/>
                <w:szCs w:val="20"/>
              </w:rPr>
            </w:pPr>
            <w:r>
              <w:rPr>
                <w:color w:val="000000"/>
                <w:sz w:val="20"/>
                <w:szCs w:val="20"/>
              </w:rPr>
              <w:t>8.000.000</w:t>
            </w:r>
          </w:p>
        </w:tc>
        <w:tc>
          <w:tcPr>
            <w:tcW w:w="1236" w:type="dxa"/>
            <w:noWrap/>
            <w:vAlign w:val="center"/>
          </w:tcPr>
          <w:p w14:paraId="1A91A740">
            <w:pPr>
              <w:jc w:val="center"/>
              <w:rPr>
                <w:color w:val="000000"/>
                <w:sz w:val="20"/>
                <w:szCs w:val="20"/>
              </w:rPr>
            </w:pPr>
          </w:p>
        </w:tc>
        <w:tc>
          <w:tcPr>
            <w:tcW w:w="1252" w:type="dxa"/>
            <w:noWrap/>
            <w:vAlign w:val="center"/>
          </w:tcPr>
          <w:p w14:paraId="60CA0310">
            <w:pPr>
              <w:jc w:val="center"/>
              <w:rPr>
                <w:color w:val="000000"/>
                <w:sz w:val="20"/>
                <w:szCs w:val="20"/>
              </w:rPr>
            </w:pPr>
            <w:r>
              <w:rPr>
                <w:color w:val="000000"/>
                <w:sz w:val="20"/>
                <w:szCs w:val="20"/>
              </w:rPr>
              <w:t>8.000.000</w:t>
            </w:r>
          </w:p>
        </w:tc>
        <w:tc>
          <w:tcPr>
            <w:tcW w:w="1848" w:type="dxa"/>
            <w:noWrap/>
            <w:vAlign w:val="center"/>
          </w:tcPr>
          <w:p w14:paraId="40E45B39">
            <w:pPr>
              <w:jc w:val="center"/>
              <w:rPr>
                <w:color w:val="000000"/>
                <w:sz w:val="20"/>
                <w:szCs w:val="20"/>
              </w:rPr>
            </w:pPr>
            <w:r>
              <w:rPr>
                <w:color w:val="000000"/>
                <w:sz w:val="20"/>
                <w:szCs w:val="20"/>
              </w:rPr>
              <w:t>720.000.000</w:t>
            </w:r>
          </w:p>
        </w:tc>
      </w:tr>
      <w:tr w14:paraId="7340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D761C54">
            <w:pPr>
              <w:jc w:val="center"/>
              <w:rPr>
                <w:b/>
                <w:bCs/>
                <w:color w:val="000000"/>
                <w:sz w:val="20"/>
                <w:szCs w:val="20"/>
              </w:rPr>
            </w:pPr>
            <w:r>
              <w:rPr>
                <w:b/>
                <w:bCs/>
                <w:color w:val="000000"/>
                <w:sz w:val="20"/>
                <w:szCs w:val="20"/>
              </w:rPr>
              <w:t>LK26</w:t>
            </w:r>
          </w:p>
        </w:tc>
        <w:tc>
          <w:tcPr>
            <w:tcW w:w="1802" w:type="dxa"/>
            <w:vAlign w:val="center"/>
          </w:tcPr>
          <w:p w14:paraId="0729813C">
            <w:pPr>
              <w:jc w:val="center"/>
              <w:rPr>
                <w:color w:val="000000"/>
                <w:sz w:val="20"/>
                <w:szCs w:val="20"/>
              </w:rPr>
            </w:pPr>
            <w:r>
              <w:rPr>
                <w:color w:val="000000"/>
                <w:sz w:val="20"/>
                <w:szCs w:val="20"/>
              </w:rPr>
              <w:t>LK26:08</w:t>
            </w:r>
          </w:p>
        </w:tc>
        <w:tc>
          <w:tcPr>
            <w:tcW w:w="1033" w:type="dxa"/>
            <w:noWrap/>
            <w:vAlign w:val="center"/>
          </w:tcPr>
          <w:p w14:paraId="5E4F8F8B">
            <w:pPr>
              <w:jc w:val="center"/>
              <w:rPr>
                <w:color w:val="000000"/>
                <w:sz w:val="20"/>
                <w:szCs w:val="20"/>
              </w:rPr>
            </w:pPr>
            <w:r>
              <w:rPr>
                <w:color w:val="000000"/>
                <w:sz w:val="20"/>
                <w:szCs w:val="20"/>
              </w:rPr>
              <w:t>90,00</w:t>
            </w:r>
          </w:p>
        </w:tc>
        <w:tc>
          <w:tcPr>
            <w:tcW w:w="846" w:type="dxa"/>
            <w:noWrap/>
            <w:vAlign w:val="center"/>
          </w:tcPr>
          <w:p w14:paraId="2D42C2E8">
            <w:pPr>
              <w:jc w:val="center"/>
              <w:rPr>
                <w:color w:val="000000"/>
                <w:sz w:val="20"/>
                <w:szCs w:val="20"/>
              </w:rPr>
            </w:pPr>
            <w:r>
              <w:rPr>
                <w:color w:val="000000"/>
                <w:sz w:val="20"/>
                <w:szCs w:val="20"/>
              </w:rPr>
              <w:t>1</w:t>
            </w:r>
          </w:p>
        </w:tc>
        <w:tc>
          <w:tcPr>
            <w:tcW w:w="2578" w:type="dxa"/>
            <w:noWrap/>
            <w:vAlign w:val="center"/>
          </w:tcPr>
          <w:p w14:paraId="753BF7F9">
            <w:pPr>
              <w:jc w:val="center"/>
              <w:rPr>
                <w:color w:val="000000"/>
                <w:sz w:val="20"/>
                <w:szCs w:val="20"/>
              </w:rPr>
            </w:pPr>
            <w:r>
              <w:rPr>
                <w:color w:val="000000"/>
                <w:sz w:val="20"/>
                <w:szCs w:val="20"/>
              </w:rPr>
              <w:t>Mặt cắt 3-3</w:t>
            </w:r>
          </w:p>
        </w:tc>
        <w:tc>
          <w:tcPr>
            <w:tcW w:w="2393" w:type="dxa"/>
            <w:noWrap/>
            <w:vAlign w:val="center"/>
          </w:tcPr>
          <w:p w14:paraId="18A5066B">
            <w:pPr>
              <w:jc w:val="center"/>
              <w:rPr>
                <w:color w:val="000000"/>
                <w:sz w:val="20"/>
                <w:szCs w:val="20"/>
              </w:rPr>
            </w:pPr>
            <w:r>
              <w:rPr>
                <w:color w:val="000000"/>
                <w:sz w:val="20"/>
                <w:szCs w:val="20"/>
              </w:rPr>
              <w:t>Một mặt tiền</w:t>
            </w:r>
          </w:p>
        </w:tc>
        <w:tc>
          <w:tcPr>
            <w:tcW w:w="1198" w:type="dxa"/>
            <w:noWrap/>
            <w:vAlign w:val="center"/>
          </w:tcPr>
          <w:p w14:paraId="0DF3ED33">
            <w:pPr>
              <w:jc w:val="center"/>
              <w:rPr>
                <w:color w:val="000000"/>
                <w:sz w:val="20"/>
                <w:szCs w:val="20"/>
              </w:rPr>
            </w:pPr>
            <w:r>
              <w:rPr>
                <w:color w:val="000000"/>
                <w:sz w:val="20"/>
                <w:szCs w:val="20"/>
              </w:rPr>
              <w:t>8.000.000</w:t>
            </w:r>
          </w:p>
        </w:tc>
        <w:tc>
          <w:tcPr>
            <w:tcW w:w="1236" w:type="dxa"/>
            <w:noWrap/>
            <w:vAlign w:val="center"/>
          </w:tcPr>
          <w:p w14:paraId="61DF6516">
            <w:pPr>
              <w:jc w:val="center"/>
              <w:rPr>
                <w:color w:val="000000"/>
                <w:sz w:val="20"/>
                <w:szCs w:val="20"/>
              </w:rPr>
            </w:pPr>
          </w:p>
        </w:tc>
        <w:tc>
          <w:tcPr>
            <w:tcW w:w="1252" w:type="dxa"/>
            <w:noWrap/>
            <w:vAlign w:val="center"/>
          </w:tcPr>
          <w:p w14:paraId="5235F999">
            <w:pPr>
              <w:jc w:val="center"/>
              <w:rPr>
                <w:color w:val="000000"/>
                <w:sz w:val="20"/>
                <w:szCs w:val="20"/>
              </w:rPr>
            </w:pPr>
            <w:r>
              <w:rPr>
                <w:color w:val="000000"/>
                <w:sz w:val="20"/>
                <w:szCs w:val="20"/>
              </w:rPr>
              <w:t>8.000.000</w:t>
            </w:r>
          </w:p>
        </w:tc>
        <w:tc>
          <w:tcPr>
            <w:tcW w:w="1848" w:type="dxa"/>
            <w:noWrap/>
            <w:vAlign w:val="center"/>
          </w:tcPr>
          <w:p w14:paraId="7BB53F0A">
            <w:pPr>
              <w:jc w:val="center"/>
              <w:rPr>
                <w:color w:val="000000"/>
                <w:sz w:val="20"/>
                <w:szCs w:val="20"/>
              </w:rPr>
            </w:pPr>
            <w:r>
              <w:rPr>
                <w:color w:val="000000"/>
                <w:sz w:val="20"/>
                <w:szCs w:val="20"/>
              </w:rPr>
              <w:t>720.000.000</w:t>
            </w:r>
          </w:p>
        </w:tc>
      </w:tr>
      <w:tr w14:paraId="70EE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8F133EC">
            <w:pPr>
              <w:jc w:val="center"/>
              <w:rPr>
                <w:b/>
                <w:bCs/>
                <w:color w:val="000000"/>
                <w:sz w:val="20"/>
                <w:szCs w:val="20"/>
              </w:rPr>
            </w:pPr>
            <w:r>
              <w:rPr>
                <w:b/>
                <w:bCs/>
                <w:color w:val="000000"/>
                <w:sz w:val="20"/>
                <w:szCs w:val="20"/>
              </w:rPr>
              <w:t>LK26</w:t>
            </w:r>
          </w:p>
        </w:tc>
        <w:tc>
          <w:tcPr>
            <w:tcW w:w="1802" w:type="dxa"/>
            <w:vAlign w:val="center"/>
          </w:tcPr>
          <w:p w14:paraId="2861A0C1">
            <w:pPr>
              <w:jc w:val="center"/>
              <w:rPr>
                <w:color w:val="000000"/>
                <w:sz w:val="20"/>
                <w:szCs w:val="20"/>
              </w:rPr>
            </w:pPr>
            <w:r>
              <w:rPr>
                <w:color w:val="000000"/>
                <w:sz w:val="20"/>
                <w:szCs w:val="20"/>
              </w:rPr>
              <w:t>LK26:09</w:t>
            </w:r>
          </w:p>
        </w:tc>
        <w:tc>
          <w:tcPr>
            <w:tcW w:w="1033" w:type="dxa"/>
            <w:noWrap/>
            <w:vAlign w:val="center"/>
          </w:tcPr>
          <w:p w14:paraId="4460D28C">
            <w:pPr>
              <w:jc w:val="center"/>
              <w:rPr>
                <w:color w:val="000000"/>
                <w:sz w:val="20"/>
                <w:szCs w:val="20"/>
              </w:rPr>
            </w:pPr>
            <w:r>
              <w:rPr>
                <w:color w:val="000000"/>
                <w:sz w:val="20"/>
                <w:szCs w:val="20"/>
              </w:rPr>
              <w:t>90,00</w:t>
            </w:r>
          </w:p>
        </w:tc>
        <w:tc>
          <w:tcPr>
            <w:tcW w:w="846" w:type="dxa"/>
            <w:noWrap/>
            <w:vAlign w:val="center"/>
          </w:tcPr>
          <w:p w14:paraId="517A14CF">
            <w:pPr>
              <w:jc w:val="center"/>
              <w:rPr>
                <w:color w:val="000000"/>
                <w:sz w:val="20"/>
                <w:szCs w:val="20"/>
              </w:rPr>
            </w:pPr>
            <w:r>
              <w:rPr>
                <w:color w:val="000000"/>
                <w:sz w:val="20"/>
                <w:szCs w:val="20"/>
              </w:rPr>
              <w:t>1</w:t>
            </w:r>
          </w:p>
        </w:tc>
        <w:tc>
          <w:tcPr>
            <w:tcW w:w="2578" w:type="dxa"/>
            <w:noWrap/>
            <w:vAlign w:val="center"/>
          </w:tcPr>
          <w:p w14:paraId="537D1BC5">
            <w:pPr>
              <w:jc w:val="center"/>
              <w:rPr>
                <w:color w:val="000000"/>
                <w:sz w:val="20"/>
                <w:szCs w:val="20"/>
              </w:rPr>
            </w:pPr>
            <w:r>
              <w:rPr>
                <w:color w:val="000000"/>
                <w:sz w:val="20"/>
                <w:szCs w:val="20"/>
              </w:rPr>
              <w:t>Mặt cắt 3-3</w:t>
            </w:r>
          </w:p>
        </w:tc>
        <w:tc>
          <w:tcPr>
            <w:tcW w:w="2393" w:type="dxa"/>
            <w:noWrap/>
            <w:vAlign w:val="center"/>
          </w:tcPr>
          <w:p w14:paraId="019F34DA">
            <w:pPr>
              <w:jc w:val="center"/>
              <w:rPr>
                <w:color w:val="000000"/>
                <w:sz w:val="20"/>
                <w:szCs w:val="20"/>
              </w:rPr>
            </w:pPr>
            <w:r>
              <w:rPr>
                <w:color w:val="000000"/>
                <w:sz w:val="20"/>
                <w:szCs w:val="20"/>
              </w:rPr>
              <w:t>Một mặt tiền</w:t>
            </w:r>
          </w:p>
        </w:tc>
        <w:tc>
          <w:tcPr>
            <w:tcW w:w="1198" w:type="dxa"/>
            <w:noWrap/>
            <w:vAlign w:val="center"/>
          </w:tcPr>
          <w:p w14:paraId="53BB5255">
            <w:pPr>
              <w:jc w:val="center"/>
              <w:rPr>
                <w:color w:val="000000"/>
                <w:sz w:val="20"/>
                <w:szCs w:val="20"/>
              </w:rPr>
            </w:pPr>
            <w:r>
              <w:rPr>
                <w:color w:val="000000"/>
                <w:sz w:val="20"/>
                <w:szCs w:val="20"/>
              </w:rPr>
              <w:t>8.000.000</w:t>
            </w:r>
          </w:p>
        </w:tc>
        <w:tc>
          <w:tcPr>
            <w:tcW w:w="1236" w:type="dxa"/>
            <w:noWrap/>
            <w:vAlign w:val="center"/>
          </w:tcPr>
          <w:p w14:paraId="54525721">
            <w:pPr>
              <w:jc w:val="center"/>
              <w:rPr>
                <w:color w:val="000000"/>
                <w:sz w:val="20"/>
                <w:szCs w:val="20"/>
              </w:rPr>
            </w:pPr>
          </w:p>
        </w:tc>
        <w:tc>
          <w:tcPr>
            <w:tcW w:w="1252" w:type="dxa"/>
            <w:noWrap/>
            <w:vAlign w:val="center"/>
          </w:tcPr>
          <w:p w14:paraId="75E56088">
            <w:pPr>
              <w:jc w:val="center"/>
              <w:rPr>
                <w:color w:val="000000"/>
                <w:sz w:val="20"/>
                <w:szCs w:val="20"/>
              </w:rPr>
            </w:pPr>
            <w:r>
              <w:rPr>
                <w:color w:val="000000"/>
                <w:sz w:val="20"/>
                <w:szCs w:val="20"/>
              </w:rPr>
              <w:t>8.000.000</w:t>
            </w:r>
          </w:p>
        </w:tc>
        <w:tc>
          <w:tcPr>
            <w:tcW w:w="1848" w:type="dxa"/>
            <w:noWrap/>
            <w:vAlign w:val="center"/>
          </w:tcPr>
          <w:p w14:paraId="7BB52F8C">
            <w:pPr>
              <w:jc w:val="center"/>
              <w:rPr>
                <w:color w:val="000000"/>
                <w:sz w:val="20"/>
                <w:szCs w:val="20"/>
              </w:rPr>
            </w:pPr>
            <w:r>
              <w:rPr>
                <w:color w:val="000000"/>
                <w:sz w:val="20"/>
                <w:szCs w:val="20"/>
              </w:rPr>
              <w:t>720.000.000</w:t>
            </w:r>
          </w:p>
        </w:tc>
      </w:tr>
      <w:tr w14:paraId="1CF2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7B54C86">
            <w:pPr>
              <w:jc w:val="center"/>
              <w:rPr>
                <w:b/>
                <w:bCs/>
                <w:color w:val="000000"/>
                <w:sz w:val="20"/>
                <w:szCs w:val="20"/>
              </w:rPr>
            </w:pPr>
            <w:r>
              <w:rPr>
                <w:b/>
                <w:bCs/>
                <w:color w:val="000000"/>
                <w:sz w:val="20"/>
                <w:szCs w:val="20"/>
              </w:rPr>
              <w:t>LK27</w:t>
            </w:r>
          </w:p>
        </w:tc>
        <w:tc>
          <w:tcPr>
            <w:tcW w:w="1802" w:type="dxa"/>
            <w:vAlign w:val="center"/>
          </w:tcPr>
          <w:p w14:paraId="01459683">
            <w:pPr>
              <w:jc w:val="center"/>
              <w:rPr>
                <w:color w:val="000000"/>
                <w:sz w:val="20"/>
                <w:szCs w:val="20"/>
              </w:rPr>
            </w:pPr>
            <w:r>
              <w:rPr>
                <w:color w:val="000000"/>
                <w:sz w:val="20"/>
                <w:szCs w:val="20"/>
              </w:rPr>
              <w:t>LK27:01</w:t>
            </w:r>
          </w:p>
        </w:tc>
        <w:tc>
          <w:tcPr>
            <w:tcW w:w="1033" w:type="dxa"/>
            <w:noWrap/>
            <w:vAlign w:val="center"/>
          </w:tcPr>
          <w:p w14:paraId="65ABCD5E">
            <w:pPr>
              <w:jc w:val="center"/>
              <w:rPr>
                <w:color w:val="000000"/>
                <w:sz w:val="20"/>
                <w:szCs w:val="20"/>
              </w:rPr>
            </w:pPr>
            <w:r>
              <w:rPr>
                <w:color w:val="000000"/>
                <w:sz w:val="20"/>
                <w:szCs w:val="20"/>
              </w:rPr>
              <w:t>90,00</w:t>
            </w:r>
          </w:p>
        </w:tc>
        <w:tc>
          <w:tcPr>
            <w:tcW w:w="846" w:type="dxa"/>
            <w:noWrap/>
            <w:vAlign w:val="center"/>
          </w:tcPr>
          <w:p w14:paraId="0AF28EAE">
            <w:pPr>
              <w:jc w:val="center"/>
              <w:rPr>
                <w:color w:val="000000"/>
                <w:sz w:val="20"/>
                <w:szCs w:val="20"/>
              </w:rPr>
            </w:pPr>
            <w:r>
              <w:rPr>
                <w:color w:val="000000"/>
                <w:sz w:val="20"/>
                <w:szCs w:val="20"/>
              </w:rPr>
              <w:t>1</w:t>
            </w:r>
          </w:p>
        </w:tc>
        <w:tc>
          <w:tcPr>
            <w:tcW w:w="2578" w:type="dxa"/>
            <w:noWrap/>
            <w:vAlign w:val="center"/>
          </w:tcPr>
          <w:p w14:paraId="16586DFF">
            <w:pPr>
              <w:jc w:val="center"/>
              <w:rPr>
                <w:color w:val="000000"/>
                <w:sz w:val="20"/>
                <w:szCs w:val="20"/>
              </w:rPr>
            </w:pPr>
            <w:r>
              <w:rPr>
                <w:color w:val="000000"/>
                <w:sz w:val="20"/>
                <w:szCs w:val="20"/>
              </w:rPr>
              <w:t>Mặt cắt 3-3</w:t>
            </w:r>
          </w:p>
        </w:tc>
        <w:tc>
          <w:tcPr>
            <w:tcW w:w="2393" w:type="dxa"/>
            <w:noWrap/>
            <w:vAlign w:val="center"/>
          </w:tcPr>
          <w:p w14:paraId="59809FBC">
            <w:pPr>
              <w:jc w:val="center"/>
              <w:rPr>
                <w:color w:val="000000"/>
                <w:sz w:val="20"/>
                <w:szCs w:val="20"/>
              </w:rPr>
            </w:pPr>
            <w:r>
              <w:rPr>
                <w:color w:val="000000"/>
                <w:sz w:val="20"/>
                <w:szCs w:val="20"/>
              </w:rPr>
              <w:t>Một mặt tiền, đối diện/tiếp giáp CX-MN</w:t>
            </w:r>
          </w:p>
        </w:tc>
        <w:tc>
          <w:tcPr>
            <w:tcW w:w="1198" w:type="dxa"/>
            <w:noWrap/>
            <w:vAlign w:val="center"/>
          </w:tcPr>
          <w:p w14:paraId="367CCFCE">
            <w:pPr>
              <w:jc w:val="center"/>
              <w:rPr>
                <w:color w:val="000000"/>
                <w:sz w:val="20"/>
                <w:szCs w:val="20"/>
              </w:rPr>
            </w:pPr>
            <w:r>
              <w:rPr>
                <w:color w:val="000000"/>
                <w:sz w:val="20"/>
                <w:szCs w:val="20"/>
              </w:rPr>
              <w:t>8.400.000</w:t>
            </w:r>
          </w:p>
        </w:tc>
        <w:tc>
          <w:tcPr>
            <w:tcW w:w="1236" w:type="dxa"/>
            <w:noWrap/>
            <w:vAlign w:val="center"/>
          </w:tcPr>
          <w:p w14:paraId="6D3CE9E0">
            <w:pPr>
              <w:jc w:val="center"/>
              <w:rPr>
                <w:color w:val="000000"/>
                <w:sz w:val="20"/>
                <w:szCs w:val="20"/>
              </w:rPr>
            </w:pPr>
          </w:p>
        </w:tc>
        <w:tc>
          <w:tcPr>
            <w:tcW w:w="1252" w:type="dxa"/>
            <w:noWrap/>
            <w:vAlign w:val="center"/>
          </w:tcPr>
          <w:p w14:paraId="54E5209F">
            <w:pPr>
              <w:jc w:val="center"/>
              <w:rPr>
                <w:color w:val="000000"/>
                <w:sz w:val="20"/>
                <w:szCs w:val="20"/>
              </w:rPr>
            </w:pPr>
            <w:r>
              <w:rPr>
                <w:color w:val="000000"/>
                <w:sz w:val="20"/>
                <w:szCs w:val="20"/>
              </w:rPr>
              <w:t>8.400.000</w:t>
            </w:r>
          </w:p>
        </w:tc>
        <w:tc>
          <w:tcPr>
            <w:tcW w:w="1848" w:type="dxa"/>
            <w:noWrap/>
            <w:vAlign w:val="center"/>
          </w:tcPr>
          <w:p w14:paraId="7521637A">
            <w:pPr>
              <w:jc w:val="center"/>
              <w:rPr>
                <w:color w:val="000000"/>
                <w:sz w:val="20"/>
                <w:szCs w:val="20"/>
              </w:rPr>
            </w:pPr>
            <w:r>
              <w:rPr>
                <w:color w:val="000000"/>
                <w:sz w:val="20"/>
                <w:szCs w:val="20"/>
              </w:rPr>
              <w:t>756.000.000</w:t>
            </w:r>
          </w:p>
        </w:tc>
      </w:tr>
      <w:tr w14:paraId="6C69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37BF504">
            <w:pPr>
              <w:jc w:val="center"/>
              <w:rPr>
                <w:b/>
                <w:bCs/>
                <w:color w:val="000000"/>
                <w:sz w:val="20"/>
                <w:szCs w:val="20"/>
              </w:rPr>
            </w:pPr>
            <w:r>
              <w:rPr>
                <w:b/>
                <w:bCs/>
                <w:color w:val="000000"/>
                <w:sz w:val="20"/>
                <w:szCs w:val="20"/>
              </w:rPr>
              <w:t>LK27</w:t>
            </w:r>
          </w:p>
        </w:tc>
        <w:tc>
          <w:tcPr>
            <w:tcW w:w="1802" w:type="dxa"/>
            <w:vAlign w:val="center"/>
          </w:tcPr>
          <w:p w14:paraId="15734A8F">
            <w:pPr>
              <w:jc w:val="center"/>
              <w:rPr>
                <w:color w:val="000000"/>
                <w:sz w:val="20"/>
                <w:szCs w:val="20"/>
              </w:rPr>
            </w:pPr>
            <w:r>
              <w:rPr>
                <w:color w:val="000000"/>
                <w:sz w:val="20"/>
                <w:szCs w:val="20"/>
              </w:rPr>
              <w:t>LK27:02</w:t>
            </w:r>
          </w:p>
        </w:tc>
        <w:tc>
          <w:tcPr>
            <w:tcW w:w="1033" w:type="dxa"/>
            <w:noWrap/>
            <w:vAlign w:val="center"/>
          </w:tcPr>
          <w:p w14:paraId="03001AF5">
            <w:pPr>
              <w:jc w:val="center"/>
              <w:rPr>
                <w:color w:val="000000"/>
                <w:sz w:val="20"/>
                <w:szCs w:val="20"/>
              </w:rPr>
            </w:pPr>
            <w:r>
              <w:rPr>
                <w:color w:val="000000"/>
                <w:sz w:val="20"/>
                <w:szCs w:val="20"/>
              </w:rPr>
              <w:t>90,00</w:t>
            </w:r>
          </w:p>
        </w:tc>
        <w:tc>
          <w:tcPr>
            <w:tcW w:w="846" w:type="dxa"/>
            <w:noWrap/>
            <w:vAlign w:val="center"/>
          </w:tcPr>
          <w:p w14:paraId="3616D5A9">
            <w:pPr>
              <w:jc w:val="center"/>
              <w:rPr>
                <w:color w:val="000000"/>
                <w:sz w:val="20"/>
                <w:szCs w:val="20"/>
              </w:rPr>
            </w:pPr>
            <w:r>
              <w:rPr>
                <w:color w:val="000000"/>
                <w:sz w:val="20"/>
                <w:szCs w:val="20"/>
              </w:rPr>
              <w:t>1</w:t>
            </w:r>
          </w:p>
        </w:tc>
        <w:tc>
          <w:tcPr>
            <w:tcW w:w="2578" w:type="dxa"/>
            <w:noWrap/>
            <w:vAlign w:val="center"/>
          </w:tcPr>
          <w:p w14:paraId="250F9821">
            <w:pPr>
              <w:jc w:val="center"/>
              <w:rPr>
                <w:color w:val="000000"/>
                <w:sz w:val="20"/>
                <w:szCs w:val="20"/>
              </w:rPr>
            </w:pPr>
            <w:r>
              <w:rPr>
                <w:color w:val="000000"/>
                <w:sz w:val="20"/>
                <w:szCs w:val="20"/>
              </w:rPr>
              <w:t>Mặt cắt 3-3</w:t>
            </w:r>
          </w:p>
        </w:tc>
        <w:tc>
          <w:tcPr>
            <w:tcW w:w="2393" w:type="dxa"/>
            <w:noWrap/>
            <w:vAlign w:val="center"/>
          </w:tcPr>
          <w:p w14:paraId="624BEB66">
            <w:pPr>
              <w:jc w:val="center"/>
              <w:rPr>
                <w:color w:val="000000"/>
                <w:sz w:val="20"/>
                <w:szCs w:val="20"/>
              </w:rPr>
            </w:pPr>
            <w:r>
              <w:rPr>
                <w:color w:val="000000"/>
                <w:sz w:val="20"/>
                <w:szCs w:val="20"/>
              </w:rPr>
              <w:t>Một mặt tiền, đối diện/tiếp giáp CX-MN</w:t>
            </w:r>
          </w:p>
        </w:tc>
        <w:tc>
          <w:tcPr>
            <w:tcW w:w="1198" w:type="dxa"/>
            <w:noWrap/>
            <w:vAlign w:val="center"/>
          </w:tcPr>
          <w:p w14:paraId="159297DA">
            <w:pPr>
              <w:jc w:val="center"/>
              <w:rPr>
                <w:color w:val="000000"/>
                <w:sz w:val="20"/>
                <w:szCs w:val="20"/>
              </w:rPr>
            </w:pPr>
            <w:r>
              <w:rPr>
                <w:color w:val="000000"/>
                <w:sz w:val="20"/>
                <w:szCs w:val="20"/>
              </w:rPr>
              <w:t>8.400.000</w:t>
            </w:r>
          </w:p>
        </w:tc>
        <w:tc>
          <w:tcPr>
            <w:tcW w:w="1236" w:type="dxa"/>
            <w:noWrap/>
            <w:vAlign w:val="center"/>
          </w:tcPr>
          <w:p w14:paraId="33D839F9">
            <w:pPr>
              <w:jc w:val="center"/>
              <w:rPr>
                <w:color w:val="000000"/>
                <w:sz w:val="20"/>
                <w:szCs w:val="20"/>
              </w:rPr>
            </w:pPr>
          </w:p>
        </w:tc>
        <w:tc>
          <w:tcPr>
            <w:tcW w:w="1252" w:type="dxa"/>
            <w:noWrap/>
            <w:vAlign w:val="center"/>
          </w:tcPr>
          <w:p w14:paraId="0934CCA5">
            <w:pPr>
              <w:jc w:val="center"/>
              <w:rPr>
                <w:color w:val="000000"/>
                <w:sz w:val="20"/>
                <w:szCs w:val="20"/>
              </w:rPr>
            </w:pPr>
            <w:r>
              <w:rPr>
                <w:color w:val="000000"/>
                <w:sz w:val="20"/>
                <w:szCs w:val="20"/>
              </w:rPr>
              <w:t>8.400.000</w:t>
            </w:r>
          </w:p>
        </w:tc>
        <w:tc>
          <w:tcPr>
            <w:tcW w:w="1848" w:type="dxa"/>
            <w:noWrap/>
            <w:vAlign w:val="center"/>
          </w:tcPr>
          <w:p w14:paraId="499B787C">
            <w:pPr>
              <w:jc w:val="center"/>
              <w:rPr>
                <w:color w:val="000000"/>
                <w:sz w:val="20"/>
                <w:szCs w:val="20"/>
              </w:rPr>
            </w:pPr>
            <w:r>
              <w:rPr>
                <w:color w:val="000000"/>
                <w:sz w:val="20"/>
                <w:szCs w:val="20"/>
              </w:rPr>
              <w:t>756.000.000</w:t>
            </w:r>
          </w:p>
        </w:tc>
      </w:tr>
      <w:tr w14:paraId="449B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912F599">
            <w:pPr>
              <w:jc w:val="center"/>
              <w:rPr>
                <w:b/>
                <w:bCs/>
                <w:color w:val="000000"/>
                <w:sz w:val="20"/>
                <w:szCs w:val="20"/>
              </w:rPr>
            </w:pPr>
            <w:r>
              <w:rPr>
                <w:b/>
                <w:bCs/>
                <w:color w:val="000000"/>
                <w:sz w:val="20"/>
                <w:szCs w:val="20"/>
              </w:rPr>
              <w:t>LK27</w:t>
            </w:r>
          </w:p>
        </w:tc>
        <w:tc>
          <w:tcPr>
            <w:tcW w:w="1802" w:type="dxa"/>
            <w:vAlign w:val="center"/>
          </w:tcPr>
          <w:p w14:paraId="2764B4F1">
            <w:pPr>
              <w:jc w:val="center"/>
              <w:rPr>
                <w:color w:val="000000"/>
                <w:sz w:val="20"/>
                <w:szCs w:val="20"/>
              </w:rPr>
            </w:pPr>
            <w:r>
              <w:rPr>
                <w:color w:val="000000"/>
                <w:sz w:val="20"/>
                <w:szCs w:val="20"/>
              </w:rPr>
              <w:t>LK27:03</w:t>
            </w:r>
          </w:p>
        </w:tc>
        <w:tc>
          <w:tcPr>
            <w:tcW w:w="1033" w:type="dxa"/>
            <w:noWrap/>
            <w:vAlign w:val="center"/>
          </w:tcPr>
          <w:p w14:paraId="5D7E4A88">
            <w:pPr>
              <w:jc w:val="center"/>
              <w:rPr>
                <w:color w:val="000000"/>
                <w:sz w:val="20"/>
                <w:szCs w:val="20"/>
              </w:rPr>
            </w:pPr>
            <w:r>
              <w:rPr>
                <w:color w:val="000000"/>
                <w:sz w:val="20"/>
                <w:szCs w:val="20"/>
              </w:rPr>
              <w:t>90,00</w:t>
            </w:r>
          </w:p>
        </w:tc>
        <w:tc>
          <w:tcPr>
            <w:tcW w:w="846" w:type="dxa"/>
            <w:noWrap/>
            <w:vAlign w:val="center"/>
          </w:tcPr>
          <w:p w14:paraId="50FE1A19">
            <w:pPr>
              <w:jc w:val="center"/>
              <w:rPr>
                <w:color w:val="000000"/>
                <w:sz w:val="20"/>
                <w:szCs w:val="20"/>
              </w:rPr>
            </w:pPr>
            <w:r>
              <w:rPr>
                <w:color w:val="000000"/>
                <w:sz w:val="20"/>
                <w:szCs w:val="20"/>
              </w:rPr>
              <w:t>1</w:t>
            </w:r>
          </w:p>
        </w:tc>
        <w:tc>
          <w:tcPr>
            <w:tcW w:w="2578" w:type="dxa"/>
            <w:noWrap/>
            <w:vAlign w:val="center"/>
          </w:tcPr>
          <w:p w14:paraId="3F3C10FE">
            <w:pPr>
              <w:jc w:val="center"/>
              <w:rPr>
                <w:color w:val="000000"/>
                <w:sz w:val="20"/>
                <w:szCs w:val="20"/>
              </w:rPr>
            </w:pPr>
            <w:r>
              <w:rPr>
                <w:color w:val="000000"/>
                <w:sz w:val="20"/>
                <w:szCs w:val="20"/>
              </w:rPr>
              <w:t>Mặt cắt 3-3</w:t>
            </w:r>
          </w:p>
        </w:tc>
        <w:tc>
          <w:tcPr>
            <w:tcW w:w="2393" w:type="dxa"/>
            <w:noWrap/>
            <w:vAlign w:val="center"/>
          </w:tcPr>
          <w:p w14:paraId="7E64A6ED">
            <w:pPr>
              <w:jc w:val="center"/>
              <w:rPr>
                <w:color w:val="000000"/>
                <w:sz w:val="20"/>
                <w:szCs w:val="20"/>
              </w:rPr>
            </w:pPr>
            <w:r>
              <w:rPr>
                <w:color w:val="000000"/>
                <w:sz w:val="20"/>
                <w:szCs w:val="20"/>
              </w:rPr>
              <w:t>Một mặt tiền, đối diện/tiếp giáp CX-MN</w:t>
            </w:r>
          </w:p>
        </w:tc>
        <w:tc>
          <w:tcPr>
            <w:tcW w:w="1198" w:type="dxa"/>
            <w:noWrap/>
            <w:vAlign w:val="center"/>
          </w:tcPr>
          <w:p w14:paraId="7664DD50">
            <w:pPr>
              <w:jc w:val="center"/>
              <w:rPr>
                <w:color w:val="000000"/>
                <w:sz w:val="20"/>
                <w:szCs w:val="20"/>
              </w:rPr>
            </w:pPr>
            <w:r>
              <w:rPr>
                <w:color w:val="000000"/>
                <w:sz w:val="20"/>
                <w:szCs w:val="20"/>
              </w:rPr>
              <w:t>8.400.000</w:t>
            </w:r>
          </w:p>
        </w:tc>
        <w:tc>
          <w:tcPr>
            <w:tcW w:w="1236" w:type="dxa"/>
            <w:noWrap/>
            <w:vAlign w:val="center"/>
          </w:tcPr>
          <w:p w14:paraId="168B32C9">
            <w:pPr>
              <w:jc w:val="center"/>
              <w:rPr>
                <w:color w:val="000000"/>
                <w:sz w:val="20"/>
                <w:szCs w:val="20"/>
              </w:rPr>
            </w:pPr>
          </w:p>
        </w:tc>
        <w:tc>
          <w:tcPr>
            <w:tcW w:w="1252" w:type="dxa"/>
            <w:noWrap/>
            <w:vAlign w:val="center"/>
          </w:tcPr>
          <w:p w14:paraId="75281212">
            <w:pPr>
              <w:jc w:val="center"/>
              <w:rPr>
                <w:color w:val="000000"/>
                <w:sz w:val="20"/>
                <w:szCs w:val="20"/>
              </w:rPr>
            </w:pPr>
            <w:r>
              <w:rPr>
                <w:color w:val="000000"/>
                <w:sz w:val="20"/>
                <w:szCs w:val="20"/>
              </w:rPr>
              <w:t>8.400.000</w:t>
            </w:r>
          </w:p>
        </w:tc>
        <w:tc>
          <w:tcPr>
            <w:tcW w:w="1848" w:type="dxa"/>
            <w:noWrap/>
            <w:vAlign w:val="center"/>
          </w:tcPr>
          <w:p w14:paraId="1D4A4091">
            <w:pPr>
              <w:jc w:val="center"/>
              <w:rPr>
                <w:color w:val="000000"/>
                <w:sz w:val="20"/>
                <w:szCs w:val="20"/>
              </w:rPr>
            </w:pPr>
            <w:r>
              <w:rPr>
                <w:color w:val="000000"/>
                <w:sz w:val="20"/>
                <w:szCs w:val="20"/>
              </w:rPr>
              <w:t>756.000.000</w:t>
            </w:r>
          </w:p>
        </w:tc>
      </w:tr>
      <w:tr w14:paraId="7C80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3C55C39">
            <w:pPr>
              <w:jc w:val="center"/>
              <w:rPr>
                <w:b/>
                <w:bCs/>
                <w:color w:val="000000"/>
                <w:sz w:val="20"/>
                <w:szCs w:val="20"/>
              </w:rPr>
            </w:pPr>
            <w:r>
              <w:rPr>
                <w:b/>
                <w:bCs/>
                <w:color w:val="000000"/>
                <w:sz w:val="20"/>
                <w:szCs w:val="20"/>
              </w:rPr>
              <w:t>LK27</w:t>
            </w:r>
          </w:p>
        </w:tc>
        <w:tc>
          <w:tcPr>
            <w:tcW w:w="1802" w:type="dxa"/>
            <w:vAlign w:val="center"/>
          </w:tcPr>
          <w:p w14:paraId="656FA96E">
            <w:pPr>
              <w:jc w:val="center"/>
              <w:rPr>
                <w:color w:val="000000"/>
                <w:sz w:val="20"/>
                <w:szCs w:val="20"/>
              </w:rPr>
            </w:pPr>
            <w:r>
              <w:rPr>
                <w:color w:val="000000"/>
                <w:sz w:val="20"/>
                <w:szCs w:val="20"/>
              </w:rPr>
              <w:t>LK27:04</w:t>
            </w:r>
          </w:p>
        </w:tc>
        <w:tc>
          <w:tcPr>
            <w:tcW w:w="1033" w:type="dxa"/>
            <w:noWrap/>
            <w:vAlign w:val="center"/>
          </w:tcPr>
          <w:p w14:paraId="07C3E00B">
            <w:pPr>
              <w:jc w:val="center"/>
              <w:rPr>
                <w:color w:val="000000"/>
                <w:sz w:val="20"/>
                <w:szCs w:val="20"/>
              </w:rPr>
            </w:pPr>
            <w:r>
              <w:rPr>
                <w:color w:val="000000"/>
                <w:sz w:val="20"/>
                <w:szCs w:val="20"/>
              </w:rPr>
              <w:t>90,00</w:t>
            </w:r>
          </w:p>
        </w:tc>
        <w:tc>
          <w:tcPr>
            <w:tcW w:w="846" w:type="dxa"/>
            <w:noWrap/>
            <w:vAlign w:val="center"/>
          </w:tcPr>
          <w:p w14:paraId="0076BBE0">
            <w:pPr>
              <w:jc w:val="center"/>
              <w:rPr>
                <w:color w:val="000000"/>
                <w:sz w:val="20"/>
                <w:szCs w:val="20"/>
              </w:rPr>
            </w:pPr>
            <w:r>
              <w:rPr>
                <w:color w:val="000000"/>
                <w:sz w:val="20"/>
                <w:szCs w:val="20"/>
              </w:rPr>
              <w:t>1</w:t>
            </w:r>
          </w:p>
        </w:tc>
        <w:tc>
          <w:tcPr>
            <w:tcW w:w="2578" w:type="dxa"/>
            <w:noWrap/>
            <w:vAlign w:val="center"/>
          </w:tcPr>
          <w:p w14:paraId="6612247D">
            <w:pPr>
              <w:jc w:val="center"/>
              <w:rPr>
                <w:color w:val="000000"/>
                <w:sz w:val="20"/>
                <w:szCs w:val="20"/>
              </w:rPr>
            </w:pPr>
            <w:r>
              <w:rPr>
                <w:color w:val="000000"/>
                <w:sz w:val="20"/>
                <w:szCs w:val="20"/>
              </w:rPr>
              <w:t>Mặt cắt 3-3</w:t>
            </w:r>
          </w:p>
        </w:tc>
        <w:tc>
          <w:tcPr>
            <w:tcW w:w="2393" w:type="dxa"/>
            <w:noWrap/>
            <w:vAlign w:val="center"/>
          </w:tcPr>
          <w:p w14:paraId="610EBE61">
            <w:pPr>
              <w:jc w:val="center"/>
              <w:rPr>
                <w:color w:val="000000"/>
                <w:sz w:val="20"/>
                <w:szCs w:val="20"/>
              </w:rPr>
            </w:pPr>
            <w:r>
              <w:rPr>
                <w:color w:val="000000"/>
                <w:sz w:val="20"/>
                <w:szCs w:val="20"/>
              </w:rPr>
              <w:t>Một mặt tiền, đối diện/tiếp giáp CX-MN</w:t>
            </w:r>
          </w:p>
        </w:tc>
        <w:tc>
          <w:tcPr>
            <w:tcW w:w="1198" w:type="dxa"/>
            <w:noWrap/>
            <w:vAlign w:val="center"/>
          </w:tcPr>
          <w:p w14:paraId="0DAA74EB">
            <w:pPr>
              <w:jc w:val="center"/>
              <w:rPr>
                <w:color w:val="000000"/>
                <w:sz w:val="20"/>
                <w:szCs w:val="20"/>
              </w:rPr>
            </w:pPr>
            <w:r>
              <w:rPr>
                <w:color w:val="000000"/>
                <w:sz w:val="20"/>
                <w:szCs w:val="20"/>
              </w:rPr>
              <w:t>8.400.000</w:t>
            </w:r>
          </w:p>
        </w:tc>
        <w:tc>
          <w:tcPr>
            <w:tcW w:w="1236" w:type="dxa"/>
            <w:noWrap/>
            <w:vAlign w:val="center"/>
          </w:tcPr>
          <w:p w14:paraId="5F542181">
            <w:pPr>
              <w:jc w:val="center"/>
              <w:rPr>
                <w:color w:val="000000"/>
                <w:sz w:val="20"/>
                <w:szCs w:val="20"/>
              </w:rPr>
            </w:pPr>
          </w:p>
        </w:tc>
        <w:tc>
          <w:tcPr>
            <w:tcW w:w="1252" w:type="dxa"/>
            <w:noWrap/>
            <w:vAlign w:val="center"/>
          </w:tcPr>
          <w:p w14:paraId="39962C4D">
            <w:pPr>
              <w:jc w:val="center"/>
              <w:rPr>
                <w:color w:val="000000"/>
                <w:sz w:val="20"/>
                <w:szCs w:val="20"/>
              </w:rPr>
            </w:pPr>
            <w:r>
              <w:rPr>
                <w:color w:val="000000"/>
                <w:sz w:val="20"/>
                <w:szCs w:val="20"/>
              </w:rPr>
              <w:t>8.400.000</w:t>
            </w:r>
          </w:p>
        </w:tc>
        <w:tc>
          <w:tcPr>
            <w:tcW w:w="1848" w:type="dxa"/>
            <w:noWrap/>
            <w:vAlign w:val="center"/>
          </w:tcPr>
          <w:p w14:paraId="512E6907">
            <w:pPr>
              <w:jc w:val="center"/>
              <w:rPr>
                <w:color w:val="000000"/>
                <w:sz w:val="20"/>
                <w:szCs w:val="20"/>
              </w:rPr>
            </w:pPr>
            <w:r>
              <w:rPr>
                <w:color w:val="000000"/>
                <w:sz w:val="20"/>
                <w:szCs w:val="20"/>
              </w:rPr>
              <w:t>756.000.000</w:t>
            </w:r>
          </w:p>
        </w:tc>
      </w:tr>
      <w:tr w14:paraId="056E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7FF37BD">
            <w:pPr>
              <w:jc w:val="center"/>
              <w:rPr>
                <w:b/>
                <w:bCs/>
                <w:color w:val="000000"/>
                <w:sz w:val="20"/>
                <w:szCs w:val="20"/>
              </w:rPr>
            </w:pPr>
            <w:r>
              <w:rPr>
                <w:b/>
                <w:bCs/>
                <w:color w:val="000000"/>
                <w:sz w:val="20"/>
                <w:szCs w:val="20"/>
              </w:rPr>
              <w:t>LK27</w:t>
            </w:r>
          </w:p>
        </w:tc>
        <w:tc>
          <w:tcPr>
            <w:tcW w:w="1802" w:type="dxa"/>
            <w:vAlign w:val="center"/>
          </w:tcPr>
          <w:p w14:paraId="750A239A">
            <w:pPr>
              <w:jc w:val="center"/>
              <w:rPr>
                <w:color w:val="000000"/>
                <w:sz w:val="20"/>
                <w:szCs w:val="20"/>
              </w:rPr>
            </w:pPr>
            <w:r>
              <w:rPr>
                <w:color w:val="000000"/>
                <w:sz w:val="20"/>
                <w:szCs w:val="20"/>
              </w:rPr>
              <w:t>LK27:05</w:t>
            </w:r>
          </w:p>
        </w:tc>
        <w:tc>
          <w:tcPr>
            <w:tcW w:w="1033" w:type="dxa"/>
            <w:noWrap/>
            <w:vAlign w:val="center"/>
          </w:tcPr>
          <w:p w14:paraId="2104B1E6">
            <w:pPr>
              <w:jc w:val="center"/>
              <w:rPr>
                <w:color w:val="000000"/>
                <w:sz w:val="20"/>
                <w:szCs w:val="20"/>
              </w:rPr>
            </w:pPr>
            <w:r>
              <w:rPr>
                <w:color w:val="000000"/>
                <w:sz w:val="20"/>
                <w:szCs w:val="20"/>
              </w:rPr>
              <w:t>90,00</w:t>
            </w:r>
          </w:p>
        </w:tc>
        <w:tc>
          <w:tcPr>
            <w:tcW w:w="846" w:type="dxa"/>
            <w:noWrap/>
            <w:vAlign w:val="center"/>
          </w:tcPr>
          <w:p w14:paraId="4C298E35">
            <w:pPr>
              <w:jc w:val="center"/>
              <w:rPr>
                <w:color w:val="000000"/>
                <w:sz w:val="20"/>
                <w:szCs w:val="20"/>
              </w:rPr>
            </w:pPr>
            <w:r>
              <w:rPr>
                <w:color w:val="000000"/>
                <w:sz w:val="20"/>
                <w:szCs w:val="20"/>
              </w:rPr>
              <w:t>1</w:t>
            </w:r>
          </w:p>
        </w:tc>
        <w:tc>
          <w:tcPr>
            <w:tcW w:w="2578" w:type="dxa"/>
            <w:noWrap/>
            <w:vAlign w:val="center"/>
          </w:tcPr>
          <w:p w14:paraId="7141764C">
            <w:pPr>
              <w:jc w:val="center"/>
              <w:rPr>
                <w:color w:val="000000"/>
                <w:sz w:val="20"/>
                <w:szCs w:val="20"/>
              </w:rPr>
            </w:pPr>
            <w:r>
              <w:rPr>
                <w:color w:val="000000"/>
                <w:sz w:val="20"/>
                <w:szCs w:val="20"/>
              </w:rPr>
              <w:t>Mặt cắt 3-3</w:t>
            </w:r>
          </w:p>
        </w:tc>
        <w:tc>
          <w:tcPr>
            <w:tcW w:w="2393" w:type="dxa"/>
            <w:noWrap/>
            <w:vAlign w:val="center"/>
          </w:tcPr>
          <w:p w14:paraId="776422CA">
            <w:pPr>
              <w:jc w:val="center"/>
              <w:rPr>
                <w:color w:val="000000"/>
                <w:sz w:val="20"/>
                <w:szCs w:val="20"/>
              </w:rPr>
            </w:pPr>
            <w:r>
              <w:rPr>
                <w:color w:val="000000"/>
                <w:sz w:val="20"/>
                <w:szCs w:val="20"/>
              </w:rPr>
              <w:t>Một mặt tiền, đối diện/tiếp giáp CX-MN</w:t>
            </w:r>
          </w:p>
        </w:tc>
        <w:tc>
          <w:tcPr>
            <w:tcW w:w="1198" w:type="dxa"/>
            <w:noWrap/>
            <w:vAlign w:val="center"/>
          </w:tcPr>
          <w:p w14:paraId="57978FD9">
            <w:pPr>
              <w:jc w:val="center"/>
              <w:rPr>
                <w:color w:val="000000"/>
                <w:sz w:val="20"/>
                <w:szCs w:val="20"/>
              </w:rPr>
            </w:pPr>
            <w:r>
              <w:rPr>
                <w:color w:val="000000"/>
                <w:sz w:val="20"/>
                <w:szCs w:val="20"/>
              </w:rPr>
              <w:t>8.400.000</w:t>
            </w:r>
          </w:p>
        </w:tc>
        <w:tc>
          <w:tcPr>
            <w:tcW w:w="1236" w:type="dxa"/>
            <w:noWrap/>
            <w:vAlign w:val="center"/>
          </w:tcPr>
          <w:p w14:paraId="6C766A65">
            <w:pPr>
              <w:jc w:val="center"/>
              <w:rPr>
                <w:color w:val="000000"/>
                <w:sz w:val="20"/>
                <w:szCs w:val="20"/>
              </w:rPr>
            </w:pPr>
          </w:p>
        </w:tc>
        <w:tc>
          <w:tcPr>
            <w:tcW w:w="1252" w:type="dxa"/>
            <w:noWrap/>
            <w:vAlign w:val="center"/>
          </w:tcPr>
          <w:p w14:paraId="15DC9A7B">
            <w:pPr>
              <w:jc w:val="center"/>
              <w:rPr>
                <w:color w:val="000000"/>
                <w:sz w:val="20"/>
                <w:szCs w:val="20"/>
              </w:rPr>
            </w:pPr>
            <w:r>
              <w:rPr>
                <w:color w:val="000000"/>
                <w:sz w:val="20"/>
                <w:szCs w:val="20"/>
              </w:rPr>
              <w:t>8.400.000</w:t>
            </w:r>
          </w:p>
        </w:tc>
        <w:tc>
          <w:tcPr>
            <w:tcW w:w="1848" w:type="dxa"/>
            <w:noWrap/>
            <w:vAlign w:val="center"/>
          </w:tcPr>
          <w:p w14:paraId="4B1F28D7">
            <w:pPr>
              <w:jc w:val="center"/>
              <w:rPr>
                <w:color w:val="000000"/>
                <w:sz w:val="20"/>
                <w:szCs w:val="20"/>
              </w:rPr>
            </w:pPr>
            <w:r>
              <w:rPr>
                <w:color w:val="000000"/>
                <w:sz w:val="20"/>
                <w:szCs w:val="20"/>
              </w:rPr>
              <w:t>756.000.000</w:t>
            </w:r>
          </w:p>
        </w:tc>
      </w:tr>
      <w:tr w14:paraId="2B0C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E9ECFE3">
            <w:pPr>
              <w:jc w:val="center"/>
              <w:rPr>
                <w:b/>
                <w:bCs/>
                <w:color w:val="000000"/>
                <w:sz w:val="20"/>
                <w:szCs w:val="20"/>
              </w:rPr>
            </w:pPr>
            <w:r>
              <w:rPr>
                <w:b/>
                <w:bCs/>
                <w:color w:val="000000"/>
                <w:sz w:val="20"/>
                <w:szCs w:val="20"/>
              </w:rPr>
              <w:t>LK27</w:t>
            </w:r>
          </w:p>
        </w:tc>
        <w:tc>
          <w:tcPr>
            <w:tcW w:w="1802" w:type="dxa"/>
            <w:vAlign w:val="center"/>
          </w:tcPr>
          <w:p w14:paraId="2D9A205E">
            <w:pPr>
              <w:jc w:val="center"/>
              <w:rPr>
                <w:color w:val="000000"/>
                <w:sz w:val="20"/>
                <w:szCs w:val="20"/>
              </w:rPr>
            </w:pPr>
            <w:r>
              <w:rPr>
                <w:color w:val="000000"/>
                <w:sz w:val="20"/>
                <w:szCs w:val="20"/>
              </w:rPr>
              <w:t>LK27:06</w:t>
            </w:r>
          </w:p>
        </w:tc>
        <w:tc>
          <w:tcPr>
            <w:tcW w:w="1033" w:type="dxa"/>
            <w:noWrap/>
            <w:vAlign w:val="center"/>
          </w:tcPr>
          <w:p w14:paraId="0CD87504">
            <w:pPr>
              <w:jc w:val="center"/>
              <w:rPr>
                <w:color w:val="000000"/>
                <w:sz w:val="20"/>
                <w:szCs w:val="20"/>
              </w:rPr>
            </w:pPr>
            <w:r>
              <w:rPr>
                <w:color w:val="000000"/>
                <w:sz w:val="20"/>
                <w:szCs w:val="20"/>
              </w:rPr>
              <w:t>90,00</w:t>
            </w:r>
          </w:p>
        </w:tc>
        <w:tc>
          <w:tcPr>
            <w:tcW w:w="846" w:type="dxa"/>
            <w:noWrap/>
            <w:vAlign w:val="center"/>
          </w:tcPr>
          <w:p w14:paraId="670DDD23">
            <w:pPr>
              <w:jc w:val="center"/>
              <w:rPr>
                <w:color w:val="000000"/>
                <w:sz w:val="20"/>
                <w:szCs w:val="20"/>
              </w:rPr>
            </w:pPr>
            <w:r>
              <w:rPr>
                <w:color w:val="000000"/>
                <w:sz w:val="20"/>
                <w:szCs w:val="20"/>
              </w:rPr>
              <w:t>1</w:t>
            </w:r>
          </w:p>
        </w:tc>
        <w:tc>
          <w:tcPr>
            <w:tcW w:w="2578" w:type="dxa"/>
            <w:noWrap/>
            <w:vAlign w:val="center"/>
          </w:tcPr>
          <w:p w14:paraId="19E97AE2">
            <w:pPr>
              <w:jc w:val="center"/>
              <w:rPr>
                <w:color w:val="000000"/>
                <w:sz w:val="20"/>
                <w:szCs w:val="20"/>
              </w:rPr>
            </w:pPr>
            <w:r>
              <w:rPr>
                <w:color w:val="000000"/>
                <w:sz w:val="20"/>
                <w:szCs w:val="20"/>
              </w:rPr>
              <w:t>Mặt cắt 3-3</w:t>
            </w:r>
          </w:p>
        </w:tc>
        <w:tc>
          <w:tcPr>
            <w:tcW w:w="2393" w:type="dxa"/>
            <w:noWrap/>
            <w:vAlign w:val="center"/>
          </w:tcPr>
          <w:p w14:paraId="2D1BEA8C">
            <w:pPr>
              <w:jc w:val="center"/>
              <w:rPr>
                <w:color w:val="000000"/>
                <w:sz w:val="20"/>
                <w:szCs w:val="20"/>
              </w:rPr>
            </w:pPr>
            <w:r>
              <w:rPr>
                <w:color w:val="000000"/>
                <w:sz w:val="20"/>
                <w:szCs w:val="20"/>
              </w:rPr>
              <w:t>Một mặt tiền, đối diện/tiếp giáp CX-MN</w:t>
            </w:r>
          </w:p>
        </w:tc>
        <w:tc>
          <w:tcPr>
            <w:tcW w:w="1198" w:type="dxa"/>
            <w:noWrap/>
            <w:vAlign w:val="center"/>
          </w:tcPr>
          <w:p w14:paraId="2301CA6A">
            <w:pPr>
              <w:jc w:val="center"/>
              <w:rPr>
                <w:color w:val="000000"/>
                <w:sz w:val="20"/>
                <w:szCs w:val="20"/>
              </w:rPr>
            </w:pPr>
            <w:r>
              <w:rPr>
                <w:color w:val="000000"/>
                <w:sz w:val="20"/>
                <w:szCs w:val="20"/>
              </w:rPr>
              <w:t>8.400.000</w:t>
            </w:r>
          </w:p>
        </w:tc>
        <w:tc>
          <w:tcPr>
            <w:tcW w:w="1236" w:type="dxa"/>
            <w:noWrap/>
            <w:vAlign w:val="center"/>
          </w:tcPr>
          <w:p w14:paraId="16BEF7E9">
            <w:pPr>
              <w:jc w:val="center"/>
              <w:rPr>
                <w:color w:val="000000"/>
                <w:sz w:val="20"/>
                <w:szCs w:val="20"/>
              </w:rPr>
            </w:pPr>
          </w:p>
        </w:tc>
        <w:tc>
          <w:tcPr>
            <w:tcW w:w="1252" w:type="dxa"/>
            <w:noWrap/>
            <w:vAlign w:val="center"/>
          </w:tcPr>
          <w:p w14:paraId="37397059">
            <w:pPr>
              <w:jc w:val="center"/>
              <w:rPr>
                <w:color w:val="000000"/>
                <w:sz w:val="20"/>
                <w:szCs w:val="20"/>
              </w:rPr>
            </w:pPr>
            <w:r>
              <w:rPr>
                <w:color w:val="000000"/>
                <w:sz w:val="20"/>
                <w:szCs w:val="20"/>
              </w:rPr>
              <w:t>8.400.000</w:t>
            </w:r>
          </w:p>
        </w:tc>
        <w:tc>
          <w:tcPr>
            <w:tcW w:w="1848" w:type="dxa"/>
            <w:noWrap/>
            <w:vAlign w:val="center"/>
          </w:tcPr>
          <w:p w14:paraId="3197E3D8">
            <w:pPr>
              <w:jc w:val="center"/>
              <w:rPr>
                <w:color w:val="000000"/>
                <w:sz w:val="20"/>
                <w:szCs w:val="20"/>
              </w:rPr>
            </w:pPr>
            <w:r>
              <w:rPr>
                <w:color w:val="000000"/>
                <w:sz w:val="20"/>
                <w:szCs w:val="20"/>
              </w:rPr>
              <w:t>756.000.000</w:t>
            </w:r>
          </w:p>
        </w:tc>
      </w:tr>
      <w:tr w14:paraId="3974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EE25011">
            <w:pPr>
              <w:jc w:val="center"/>
              <w:rPr>
                <w:b/>
                <w:bCs/>
                <w:color w:val="000000"/>
                <w:sz w:val="20"/>
                <w:szCs w:val="20"/>
              </w:rPr>
            </w:pPr>
            <w:r>
              <w:rPr>
                <w:b/>
                <w:bCs/>
                <w:color w:val="000000"/>
                <w:sz w:val="20"/>
                <w:szCs w:val="20"/>
              </w:rPr>
              <w:t>LK27</w:t>
            </w:r>
          </w:p>
        </w:tc>
        <w:tc>
          <w:tcPr>
            <w:tcW w:w="1802" w:type="dxa"/>
            <w:vAlign w:val="center"/>
          </w:tcPr>
          <w:p w14:paraId="6B265665">
            <w:pPr>
              <w:jc w:val="center"/>
              <w:rPr>
                <w:color w:val="000000"/>
                <w:sz w:val="20"/>
                <w:szCs w:val="20"/>
              </w:rPr>
            </w:pPr>
            <w:r>
              <w:rPr>
                <w:color w:val="000000"/>
                <w:sz w:val="20"/>
                <w:szCs w:val="20"/>
              </w:rPr>
              <w:t>LK27:07</w:t>
            </w:r>
          </w:p>
        </w:tc>
        <w:tc>
          <w:tcPr>
            <w:tcW w:w="1033" w:type="dxa"/>
            <w:noWrap/>
            <w:vAlign w:val="center"/>
          </w:tcPr>
          <w:p w14:paraId="38CD3FB4">
            <w:pPr>
              <w:jc w:val="center"/>
              <w:rPr>
                <w:color w:val="000000"/>
                <w:sz w:val="20"/>
                <w:szCs w:val="20"/>
              </w:rPr>
            </w:pPr>
            <w:r>
              <w:rPr>
                <w:color w:val="000000"/>
                <w:sz w:val="20"/>
                <w:szCs w:val="20"/>
              </w:rPr>
              <w:t>90,00</w:t>
            </w:r>
          </w:p>
        </w:tc>
        <w:tc>
          <w:tcPr>
            <w:tcW w:w="846" w:type="dxa"/>
            <w:noWrap/>
            <w:vAlign w:val="center"/>
          </w:tcPr>
          <w:p w14:paraId="35119C28">
            <w:pPr>
              <w:jc w:val="center"/>
              <w:rPr>
                <w:color w:val="000000"/>
                <w:sz w:val="20"/>
                <w:szCs w:val="20"/>
              </w:rPr>
            </w:pPr>
            <w:r>
              <w:rPr>
                <w:color w:val="000000"/>
                <w:sz w:val="20"/>
                <w:szCs w:val="20"/>
              </w:rPr>
              <w:t>1</w:t>
            </w:r>
          </w:p>
        </w:tc>
        <w:tc>
          <w:tcPr>
            <w:tcW w:w="2578" w:type="dxa"/>
            <w:noWrap/>
            <w:vAlign w:val="center"/>
          </w:tcPr>
          <w:p w14:paraId="7FA0741B">
            <w:pPr>
              <w:jc w:val="center"/>
              <w:rPr>
                <w:color w:val="000000"/>
                <w:sz w:val="20"/>
                <w:szCs w:val="20"/>
              </w:rPr>
            </w:pPr>
            <w:r>
              <w:rPr>
                <w:color w:val="000000"/>
                <w:sz w:val="20"/>
                <w:szCs w:val="20"/>
              </w:rPr>
              <w:t>Mặt cắt 3-3</w:t>
            </w:r>
          </w:p>
        </w:tc>
        <w:tc>
          <w:tcPr>
            <w:tcW w:w="2393" w:type="dxa"/>
            <w:noWrap/>
            <w:vAlign w:val="center"/>
          </w:tcPr>
          <w:p w14:paraId="49933E3F">
            <w:pPr>
              <w:jc w:val="center"/>
              <w:rPr>
                <w:color w:val="000000"/>
                <w:sz w:val="20"/>
                <w:szCs w:val="20"/>
              </w:rPr>
            </w:pPr>
            <w:r>
              <w:rPr>
                <w:color w:val="000000"/>
                <w:sz w:val="20"/>
                <w:szCs w:val="20"/>
              </w:rPr>
              <w:t>Một mặt tiền, đối diện/tiếp giáp CX-MN</w:t>
            </w:r>
          </w:p>
        </w:tc>
        <w:tc>
          <w:tcPr>
            <w:tcW w:w="1198" w:type="dxa"/>
            <w:noWrap/>
            <w:vAlign w:val="center"/>
          </w:tcPr>
          <w:p w14:paraId="30C7DC44">
            <w:pPr>
              <w:jc w:val="center"/>
              <w:rPr>
                <w:color w:val="000000"/>
                <w:sz w:val="20"/>
                <w:szCs w:val="20"/>
              </w:rPr>
            </w:pPr>
            <w:r>
              <w:rPr>
                <w:color w:val="000000"/>
                <w:sz w:val="20"/>
                <w:szCs w:val="20"/>
              </w:rPr>
              <w:t>8.400.000</w:t>
            </w:r>
          </w:p>
        </w:tc>
        <w:tc>
          <w:tcPr>
            <w:tcW w:w="1236" w:type="dxa"/>
            <w:noWrap/>
            <w:vAlign w:val="center"/>
          </w:tcPr>
          <w:p w14:paraId="7E59ED53">
            <w:pPr>
              <w:jc w:val="center"/>
              <w:rPr>
                <w:color w:val="000000"/>
                <w:sz w:val="20"/>
                <w:szCs w:val="20"/>
              </w:rPr>
            </w:pPr>
          </w:p>
        </w:tc>
        <w:tc>
          <w:tcPr>
            <w:tcW w:w="1252" w:type="dxa"/>
            <w:noWrap/>
            <w:vAlign w:val="center"/>
          </w:tcPr>
          <w:p w14:paraId="5AF27413">
            <w:pPr>
              <w:jc w:val="center"/>
              <w:rPr>
                <w:color w:val="000000"/>
                <w:sz w:val="20"/>
                <w:szCs w:val="20"/>
              </w:rPr>
            </w:pPr>
            <w:r>
              <w:rPr>
                <w:color w:val="000000"/>
                <w:sz w:val="20"/>
                <w:szCs w:val="20"/>
              </w:rPr>
              <w:t>8.400.000</w:t>
            </w:r>
          </w:p>
        </w:tc>
        <w:tc>
          <w:tcPr>
            <w:tcW w:w="1848" w:type="dxa"/>
            <w:noWrap/>
            <w:vAlign w:val="center"/>
          </w:tcPr>
          <w:p w14:paraId="225BDE89">
            <w:pPr>
              <w:jc w:val="center"/>
              <w:rPr>
                <w:color w:val="000000"/>
                <w:sz w:val="20"/>
                <w:szCs w:val="20"/>
              </w:rPr>
            </w:pPr>
            <w:r>
              <w:rPr>
                <w:color w:val="000000"/>
                <w:sz w:val="20"/>
                <w:szCs w:val="20"/>
              </w:rPr>
              <w:t>756.000.000</w:t>
            </w:r>
          </w:p>
        </w:tc>
      </w:tr>
      <w:tr w14:paraId="0F34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7D772AE">
            <w:pPr>
              <w:jc w:val="center"/>
              <w:rPr>
                <w:b/>
                <w:bCs/>
                <w:color w:val="000000"/>
                <w:sz w:val="20"/>
                <w:szCs w:val="20"/>
              </w:rPr>
            </w:pPr>
            <w:r>
              <w:rPr>
                <w:b/>
                <w:bCs/>
                <w:color w:val="000000"/>
                <w:sz w:val="20"/>
                <w:szCs w:val="20"/>
              </w:rPr>
              <w:t>LK27</w:t>
            </w:r>
          </w:p>
        </w:tc>
        <w:tc>
          <w:tcPr>
            <w:tcW w:w="1802" w:type="dxa"/>
            <w:vAlign w:val="center"/>
          </w:tcPr>
          <w:p w14:paraId="7F577265">
            <w:pPr>
              <w:jc w:val="center"/>
              <w:rPr>
                <w:color w:val="000000"/>
                <w:sz w:val="20"/>
                <w:szCs w:val="20"/>
              </w:rPr>
            </w:pPr>
            <w:r>
              <w:rPr>
                <w:color w:val="000000"/>
                <w:sz w:val="20"/>
                <w:szCs w:val="20"/>
              </w:rPr>
              <w:t>LK27:08</w:t>
            </w:r>
          </w:p>
        </w:tc>
        <w:tc>
          <w:tcPr>
            <w:tcW w:w="1033" w:type="dxa"/>
            <w:noWrap/>
            <w:vAlign w:val="center"/>
          </w:tcPr>
          <w:p w14:paraId="58CC9030">
            <w:pPr>
              <w:jc w:val="center"/>
              <w:rPr>
                <w:color w:val="000000"/>
                <w:sz w:val="20"/>
                <w:szCs w:val="20"/>
              </w:rPr>
            </w:pPr>
            <w:r>
              <w:rPr>
                <w:color w:val="000000"/>
                <w:sz w:val="20"/>
                <w:szCs w:val="20"/>
              </w:rPr>
              <w:t>90,00</w:t>
            </w:r>
          </w:p>
        </w:tc>
        <w:tc>
          <w:tcPr>
            <w:tcW w:w="846" w:type="dxa"/>
            <w:noWrap/>
            <w:vAlign w:val="center"/>
          </w:tcPr>
          <w:p w14:paraId="3AC47940">
            <w:pPr>
              <w:jc w:val="center"/>
              <w:rPr>
                <w:color w:val="000000"/>
                <w:sz w:val="20"/>
                <w:szCs w:val="20"/>
              </w:rPr>
            </w:pPr>
            <w:r>
              <w:rPr>
                <w:color w:val="000000"/>
                <w:sz w:val="20"/>
                <w:szCs w:val="20"/>
              </w:rPr>
              <w:t>1</w:t>
            </w:r>
          </w:p>
        </w:tc>
        <w:tc>
          <w:tcPr>
            <w:tcW w:w="2578" w:type="dxa"/>
            <w:noWrap/>
            <w:vAlign w:val="center"/>
          </w:tcPr>
          <w:p w14:paraId="1E6C50BD">
            <w:pPr>
              <w:jc w:val="center"/>
              <w:rPr>
                <w:color w:val="000000"/>
                <w:sz w:val="20"/>
                <w:szCs w:val="20"/>
              </w:rPr>
            </w:pPr>
            <w:r>
              <w:rPr>
                <w:color w:val="000000"/>
                <w:sz w:val="20"/>
                <w:szCs w:val="20"/>
              </w:rPr>
              <w:t>Mặt cắt 3-3</w:t>
            </w:r>
          </w:p>
        </w:tc>
        <w:tc>
          <w:tcPr>
            <w:tcW w:w="2393" w:type="dxa"/>
            <w:noWrap/>
            <w:vAlign w:val="center"/>
          </w:tcPr>
          <w:p w14:paraId="3C6216E3">
            <w:pPr>
              <w:jc w:val="center"/>
              <w:rPr>
                <w:color w:val="000000"/>
                <w:sz w:val="20"/>
                <w:szCs w:val="20"/>
              </w:rPr>
            </w:pPr>
            <w:r>
              <w:rPr>
                <w:color w:val="000000"/>
                <w:sz w:val="20"/>
                <w:szCs w:val="20"/>
              </w:rPr>
              <w:t>Một mặt tiền, đối diện/tiếp giáp CX-MN</w:t>
            </w:r>
          </w:p>
        </w:tc>
        <w:tc>
          <w:tcPr>
            <w:tcW w:w="1198" w:type="dxa"/>
            <w:noWrap/>
            <w:vAlign w:val="center"/>
          </w:tcPr>
          <w:p w14:paraId="1A14CD19">
            <w:pPr>
              <w:jc w:val="center"/>
              <w:rPr>
                <w:color w:val="000000"/>
                <w:sz w:val="20"/>
                <w:szCs w:val="20"/>
              </w:rPr>
            </w:pPr>
            <w:r>
              <w:rPr>
                <w:color w:val="000000"/>
                <w:sz w:val="20"/>
                <w:szCs w:val="20"/>
              </w:rPr>
              <w:t>8.400.000</w:t>
            </w:r>
          </w:p>
        </w:tc>
        <w:tc>
          <w:tcPr>
            <w:tcW w:w="1236" w:type="dxa"/>
            <w:noWrap/>
            <w:vAlign w:val="center"/>
          </w:tcPr>
          <w:p w14:paraId="2B0CE843">
            <w:pPr>
              <w:jc w:val="center"/>
              <w:rPr>
                <w:color w:val="000000"/>
                <w:sz w:val="20"/>
                <w:szCs w:val="20"/>
              </w:rPr>
            </w:pPr>
          </w:p>
        </w:tc>
        <w:tc>
          <w:tcPr>
            <w:tcW w:w="1252" w:type="dxa"/>
            <w:noWrap/>
            <w:vAlign w:val="center"/>
          </w:tcPr>
          <w:p w14:paraId="29372450">
            <w:pPr>
              <w:jc w:val="center"/>
              <w:rPr>
                <w:color w:val="000000"/>
                <w:sz w:val="20"/>
                <w:szCs w:val="20"/>
              </w:rPr>
            </w:pPr>
            <w:r>
              <w:rPr>
                <w:color w:val="000000"/>
                <w:sz w:val="20"/>
                <w:szCs w:val="20"/>
              </w:rPr>
              <w:t>8.400.000</w:t>
            </w:r>
          </w:p>
        </w:tc>
        <w:tc>
          <w:tcPr>
            <w:tcW w:w="1848" w:type="dxa"/>
            <w:noWrap/>
            <w:vAlign w:val="center"/>
          </w:tcPr>
          <w:p w14:paraId="4378DFF6">
            <w:pPr>
              <w:jc w:val="center"/>
              <w:rPr>
                <w:color w:val="000000"/>
                <w:sz w:val="20"/>
                <w:szCs w:val="20"/>
              </w:rPr>
            </w:pPr>
            <w:r>
              <w:rPr>
                <w:color w:val="000000"/>
                <w:sz w:val="20"/>
                <w:szCs w:val="20"/>
              </w:rPr>
              <w:t>756.000.000</w:t>
            </w:r>
          </w:p>
        </w:tc>
      </w:tr>
      <w:tr w14:paraId="4A6E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6622335">
            <w:pPr>
              <w:jc w:val="center"/>
              <w:rPr>
                <w:b/>
                <w:bCs/>
                <w:color w:val="000000"/>
                <w:sz w:val="20"/>
                <w:szCs w:val="20"/>
              </w:rPr>
            </w:pPr>
            <w:r>
              <w:rPr>
                <w:b/>
                <w:bCs/>
                <w:color w:val="000000"/>
                <w:sz w:val="20"/>
                <w:szCs w:val="20"/>
              </w:rPr>
              <w:t>LK27</w:t>
            </w:r>
          </w:p>
        </w:tc>
        <w:tc>
          <w:tcPr>
            <w:tcW w:w="1802" w:type="dxa"/>
            <w:vAlign w:val="center"/>
          </w:tcPr>
          <w:p w14:paraId="2DED8C82">
            <w:pPr>
              <w:jc w:val="center"/>
              <w:rPr>
                <w:color w:val="000000"/>
                <w:sz w:val="20"/>
                <w:szCs w:val="20"/>
              </w:rPr>
            </w:pPr>
            <w:r>
              <w:rPr>
                <w:color w:val="000000"/>
                <w:sz w:val="20"/>
                <w:szCs w:val="20"/>
              </w:rPr>
              <w:t>LK27:09</w:t>
            </w:r>
          </w:p>
        </w:tc>
        <w:tc>
          <w:tcPr>
            <w:tcW w:w="1033" w:type="dxa"/>
            <w:noWrap/>
            <w:vAlign w:val="center"/>
          </w:tcPr>
          <w:p w14:paraId="0D343291">
            <w:pPr>
              <w:jc w:val="center"/>
              <w:rPr>
                <w:color w:val="000000"/>
                <w:sz w:val="20"/>
                <w:szCs w:val="20"/>
              </w:rPr>
            </w:pPr>
            <w:r>
              <w:rPr>
                <w:color w:val="000000"/>
                <w:sz w:val="20"/>
                <w:szCs w:val="20"/>
              </w:rPr>
              <w:t>90,00</w:t>
            </w:r>
          </w:p>
        </w:tc>
        <w:tc>
          <w:tcPr>
            <w:tcW w:w="846" w:type="dxa"/>
            <w:noWrap/>
            <w:vAlign w:val="center"/>
          </w:tcPr>
          <w:p w14:paraId="2684A843">
            <w:pPr>
              <w:jc w:val="center"/>
              <w:rPr>
                <w:color w:val="000000"/>
                <w:sz w:val="20"/>
                <w:szCs w:val="20"/>
              </w:rPr>
            </w:pPr>
            <w:r>
              <w:rPr>
                <w:color w:val="000000"/>
                <w:sz w:val="20"/>
                <w:szCs w:val="20"/>
              </w:rPr>
              <w:t>1</w:t>
            </w:r>
          </w:p>
        </w:tc>
        <w:tc>
          <w:tcPr>
            <w:tcW w:w="2578" w:type="dxa"/>
            <w:noWrap/>
            <w:vAlign w:val="center"/>
          </w:tcPr>
          <w:p w14:paraId="4A37E609">
            <w:pPr>
              <w:jc w:val="center"/>
              <w:rPr>
                <w:color w:val="000000"/>
                <w:sz w:val="20"/>
                <w:szCs w:val="20"/>
              </w:rPr>
            </w:pPr>
            <w:r>
              <w:rPr>
                <w:color w:val="000000"/>
                <w:sz w:val="20"/>
                <w:szCs w:val="20"/>
              </w:rPr>
              <w:t>Mặt cắt 3-3</w:t>
            </w:r>
          </w:p>
        </w:tc>
        <w:tc>
          <w:tcPr>
            <w:tcW w:w="2393" w:type="dxa"/>
            <w:noWrap/>
            <w:vAlign w:val="center"/>
          </w:tcPr>
          <w:p w14:paraId="5D80BCFC">
            <w:pPr>
              <w:jc w:val="center"/>
              <w:rPr>
                <w:color w:val="000000"/>
                <w:sz w:val="20"/>
                <w:szCs w:val="20"/>
              </w:rPr>
            </w:pPr>
            <w:r>
              <w:rPr>
                <w:color w:val="000000"/>
                <w:sz w:val="20"/>
                <w:szCs w:val="20"/>
              </w:rPr>
              <w:t>Một mặt tiền, đối diện/tiếp giáp CX-MN</w:t>
            </w:r>
          </w:p>
        </w:tc>
        <w:tc>
          <w:tcPr>
            <w:tcW w:w="1198" w:type="dxa"/>
            <w:noWrap/>
            <w:vAlign w:val="center"/>
          </w:tcPr>
          <w:p w14:paraId="2EDF07F5">
            <w:pPr>
              <w:jc w:val="center"/>
              <w:rPr>
                <w:color w:val="000000"/>
                <w:sz w:val="20"/>
                <w:szCs w:val="20"/>
              </w:rPr>
            </w:pPr>
            <w:r>
              <w:rPr>
                <w:color w:val="000000"/>
                <w:sz w:val="20"/>
                <w:szCs w:val="20"/>
              </w:rPr>
              <w:t>8.400.000</w:t>
            </w:r>
          </w:p>
        </w:tc>
        <w:tc>
          <w:tcPr>
            <w:tcW w:w="1236" w:type="dxa"/>
            <w:noWrap/>
            <w:vAlign w:val="center"/>
          </w:tcPr>
          <w:p w14:paraId="3D4117DF">
            <w:pPr>
              <w:jc w:val="center"/>
              <w:rPr>
                <w:color w:val="000000"/>
                <w:sz w:val="20"/>
                <w:szCs w:val="20"/>
              </w:rPr>
            </w:pPr>
          </w:p>
        </w:tc>
        <w:tc>
          <w:tcPr>
            <w:tcW w:w="1252" w:type="dxa"/>
            <w:noWrap/>
            <w:vAlign w:val="center"/>
          </w:tcPr>
          <w:p w14:paraId="053DA600">
            <w:pPr>
              <w:jc w:val="center"/>
              <w:rPr>
                <w:color w:val="000000"/>
                <w:sz w:val="20"/>
                <w:szCs w:val="20"/>
              </w:rPr>
            </w:pPr>
            <w:r>
              <w:rPr>
                <w:color w:val="000000"/>
                <w:sz w:val="20"/>
                <w:szCs w:val="20"/>
              </w:rPr>
              <w:t>8.400.000</w:t>
            </w:r>
          </w:p>
        </w:tc>
        <w:tc>
          <w:tcPr>
            <w:tcW w:w="1848" w:type="dxa"/>
            <w:noWrap/>
            <w:vAlign w:val="center"/>
          </w:tcPr>
          <w:p w14:paraId="2915F544">
            <w:pPr>
              <w:jc w:val="center"/>
              <w:rPr>
                <w:color w:val="000000"/>
                <w:sz w:val="20"/>
                <w:szCs w:val="20"/>
              </w:rPr>
            </w:pPr>
            <w:r>
              <w:rPr>
                <w:color w:val="000000"/>
                <w:sz w:val="20"/>
                <w:szCs w:val="20"/>
              </w:rPr>
              <w:t>756.000.000</w:t>
            </w:r>
          </w:p>
        </w:tc>
      </w:tr>
      <w:tr w14:paraId="3332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C635B7D">
            <w:pPr>
              <w:jc w:val="center"/>
              <w:rPr>
                <w:b/>
                <w:bCs/>
                <w:color w:val="000000"/>
                <w:sz w:val="20"/>
                <w:szCs w:val="20"/>
              </w:rPr>
            </w:pPr>
            <w:r>
              <w:rPr>
                <w:b/>
                <w:bCs/>
                <w:color w:val="000000"/>
                <w:sz w:val="20"/>
                <w:szCs w:val="20"/>
              </w:rPr>
              <w:t>LK28</w:t>
            </w:r>
          </w:p>
        </w:tc>
        <w:tc>
          <w:tcPr>
            <w:tcW w:w="1802" w:type="dxa"/>
            <w:vAlign w:val="center"/>
          </w:tcPr>
          <w:p w14:paraId="2AB981EF">
            <w:pPr>
              <w:jc w:val="center"/>
              <w:rPr>
                <w:color w:val="000000"/>
                <w:sz w:val="20"/>
                <w:szCs w:val="20"/>
              </w:rPr>
            </w:pPr>
            <w:r>
              <w:rPr>
                <w:color w:val="000000"/>
                <w:sz w:val="20"/>
                <w:szCs w:val="20"/>
              </w:rPr>
              <w:t>LK28:02</w:t>
            </w:r>
          </w:p>
        </w:tc>
        <w:tc>
          <w:tcPr>
            <w:tcW w:w="1033" w:type="dxa"/>
            <w:noWrap/>
            <w:vAlign w:val="center"/>
          </w:tcPr>
          <w:p w14:paraId="29BA7828">
            <w:pPr>
              <w:jc w:val="center"/>
              <w:rPr>
                <w:color w:val="000000"/>
                <w:sz w:val="20"/>
                <w:szCs w:val="20"/>
              </w:rPr>
            </w:pPr>
            <w:r>
              <w:rPr>
                <w:color w:val="000000"/>
                <w:sz w:val="20"/>
                <w:szCs w:val="20"/>
              </w:rPr>
              <w:t>90,00</w:t>
            </w:r>
          </w:p>
        </w:tc>
        <w:tc>
          <w:tcPr>
            <w:tcW w:w="846" w:type="dxa"/>
            <w:noWrap/>
            <w:vAlign w:val="center"/>
          </w:tcPr>
          <w:p w14:paraId="71A05133">
            <w:pPr>
              <w:jc w:val="center"/>
              <w:rPr>
                <w:color w:val="000000"/>
                <w:sz w:val="20"/>
                <w:szCs w:val="20"/>
              </w:rPr>
            </w:pPr>
            <w:r>
              <w:rPr>
                <w:color w:val="000000"/>
                <w:sz w:val="20"/>
                <w:szCs w:val="20"/>
              </w:rPr>
              <w:t>1</w:t>
            </w:r>
          </w:p>
        </w:tc>
        <w:tc>
          <w:tcPr>
            <w:tcW w:w="2578" w:type="dxa"/>
            <w:noWrap/>
            <w:vAlign w:val="center"/>
          </w:tcPr>
          <w:p w14:paraId="2E57F3FC">
            <w:pPr>
              <w:jc w:val="center"/>
              <w:rPr>
                <w:color w:val="000000"/>
                <w:sz w:val="20"/>
                <w:szCs w:val="20"/>
              </w:rPr>
            </w:pPr>
            <w:r>
              <w:rPr>
                <w:color w:val="000000"/>
                <w:sz w:val="20"/>
                <w:szCs w:val="20"/>
              </w:rPr>
              <w:t>Mặt cắt 3-3</w:t>
            </w:r>
          </w:p>
        </w:tc>
        <w:tc>
          <w:tcPr>
            <w:tcW w:w="2393" w:type="dxa"/>
            <w:noWrap/>
            <w:vAlign w:val="center"/>
          </w:tcPr>
          <w:p w14:paraId="7F37D818">
            <w:pPr>
              <w:jc w:val="center"/>
              <w:rPr>
                <w:color w:val="000000"/>
                <w:sz w:val="20"/>
                <w:szCs w:val="20"/>
              </w:rPr>
            </w:pPr>
            <w:r>
              <w:rPr>
                <w:color w:val="000000"/>
                <w:sz w:val="20"/>
                <w:szCs w:val="20"/>
              </w:rPr>
              <w:t>Một mặt tiền, đối diện/tiếp giáp CX-MN</w:t>
            </w:r>
          </w:p>
        </w:tc>
        <w:tc>
          <w:tcPr>
            <w:tcW w:w="1198" w:type="dxa"/>
            <w:noWrap/>
            <w:vAlign w:val="center"/>
          </w:tcPr>
          <w:p w14:paraId="1C6A10D9">
            <w:pPr>
              <w:jc w:val="center"/>
              <w:rPr>
                <w:color w:val="000000"/>
                <w:sz w:val="20"/>
                <w:szCs w:val="20"/>
              </w:rPr>
            </w:pPr>
            <w:r>
              <w:rPr>
                <w:color w:val="000000"/>
                <w:sz w:val="20"/>
                <w:szCs w:val="20"/>
              </w:rPr>
              <w:t>8.400.000</w:t>
            </w:r>
          </w:p>
        </w:tc>
        <w:tc>
          <w:tcPr>
            <w:tcW w:w="1236" w:type="dxa"/>
            <w:noWrap/>
            <w:vAlign w:val="center"/>
          </w:tcPr>
          <w:p w14:paraId="2C151FB0">
            <w:pPr>
              <w:jc w:val="center"/>
              <w:rPr>
                <w:color w:val="000000"/>
                <w:sz w:val="20"/>
                <w:szCs w:val="20"/>
              </w:rPr>
            </w:pPr>
          </w:p>
        </w:tc>
        <w:tc>
          <w:tcPr>
            <w:tcW w:w="1252" w:type="dxa"/>
            <w:noWrap/>
            <w:vAlign w:val="center"/>
          </w:tcPr>
          <w:p w14:paraId="416D6806">
            <w:pPr>
              <w:jc w:val="center"/>
              <w:rPr>
                <w:color w:val="000000"/>
                <w:sz w:val="20"/>
                <w:szCs w:val="20"/>
              </w:rPr>
            </w:pPr>
            <w:r>
              <w:rPr>
                <w:color w:val="000000"/>
                <w:sz w:val="20"/>
                <w:szCs w:val="20"/>
              </w:rPr>
              <w:t>8.400.000</w:t>
            </w:r>
          </w:p>
        </w:tc>
        <w:tc>
          <w:tcPr>
            <w:tcW w:w="1848" w:type="dxa"/>
            <w:noWrap/>
            <w:vAlign w:val="center"/>
          </w:tcPr>
          <w:p w14:paraId="1D3C73CA">
            <w:pPr>
              <w:jc w:val="center"/>
              <w:rPr>
                <w:color w:val="000000"/>
                <w:sz w:val="20"/>
                <w:szCs w:val="20"/>
              </w:rPr>
            </w:pPr>
            <w:r>
              <w:rPr>
                <w:color w:val="000000"/>
                <w:sz w:val="20"/>
                <w:szCs w:val="20"/>
              </w:rPr>
              <w:t>756.000.000</w:t>
            </w:r>
          </w:p>
        </w:tc>
      </w:tr>
      <w:tr w14:paraId="42C9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13E5B52">
            <w:pPr>
              <w:jc w:val="center"/>
              <w:rPr>
                <w:b/>
                <w:bCs/>
                <w:color w:val="000000"/>
                <w:sz w:val="20"/>
                <w:szCs w:val="20"/>
              </w:rPr>
            </w:pPr>
            <w:r>
              <w:rPr>
                <w:b/>
                <w:bCs/>
                <w:color w:val="000000"/>
                <w:sz w:val="20"/>
                <w:szCs w:val="20"/>
              </w:rPr>
              <w:t>LK28</w:t>
            </w:r>
          </w:p>
        </w:tc>
        <w:tc>
          <w:tcPr>
            <w:tcW w:w="1802" w:type="dxa"/>
            <w:vAlign w:val="center"/>
          </w:tcPr>
          <w:p w14:paraId="104234F4">
            <w:pPr>
              <w:jc w:val="center"/>
              <w:rPr>
                <w:color w:val="000000"/>
                <w:sz w:val="20"/>
                <w:szCs w:val="20"/>
              </w:rPr>
            </w:pPr>
            <w:r>
              <w:rPr>
                <w:color w:val="000000"/>
                <w:sz w:val="20"/>
                <w:szCs w:val="20"/>
              </w:rPr>
              <w:t>LK28:03</w:t>
            </w:r>
          </w:p>
        </w:tc>
        <w:tc>
          <w:tcPr>
            <w:tcW w:w="1033" w:type="dxa"/>
            <w:noWrap/>
            <w:vAlign w:val="center"/>
          </w:tcPr>
          <w:p w14:paraId="56F63826">
            <w:pPr>
              <w:jc w:val="center"/>
              <w:rPr>
                <w:color w:val="000000"/>
                <w:sz w:val="20"/>
                <w:szCs w:val="20"/>
              </w:rPr>
            </w:pPr>
            <w:r>
              <w:rPr>
                <w:color w:val="000000"/>
                <w:sz w:val="20"/>
                <w:szCs w:val="20"/>
              </w:rPr>
              <w:t>90,00</w:t>
            </w:r>
          </w:p>
        </w:tc>
        <w:tc>
          <w:tcPr>
            <w:tcW w:w="846" w:type="dxa"/>
            <w:noWrap/>
            <w:vAlign w:val="center"/>
          </w:tcPr>
          <w:p w14:paraId="3ED4FCE5">
            <w:pPr>
              <w:jc w:val="center"/>
              <w:rPr>
                <w:color w:val="000000"/>
                <w:sz w:val="20"/>
                <w:szCs w:val="20"/>
              </w:rPr>
            </w:pPr>
            <w:r>
              <w:rPr>
                <w:color w:val="000000"/>
                <w:sz w:val="20"/>
                <w:szCs w:val="20"/>
              </w:rPr>
              <w:t>1</w:t>
            </w:r>
          </w:p>
        </w:tc>
        <w:tc>
          <w:tcPr>
            <w:tcW w:w="2578" w:type="dxa"/>
            <w:noWrap/>
            <w:vAlign w:val="center"/>
          </w:tcPr>
          <w:p w14:paraId="0BF6B709">
            <w:pPr>
              <w:jc w:val="center"/>
              <w:rPr>
                <w:color w:val="000000"/>
                <w:sz w:val="20"/>
                <w:szCs w:val="20"/>
              </w:rPr>
            </w:pPr>
            <w:r>
              <w:rPr>
                <w:color w:val="000000"/>
                <w:sz w:val="20"/>
                <w:szCs w:val="20"/>
              </w:rPr>
              <w:t>Mặt cắt 3-3</w:t>
            </w:r>
          </w:p>
        </w:tc>
        <w:tc>
          <w:tcPr>
            <w:tcW w:w="2393" w:type="dxa"/>
            <w:noWrap/>
            <w:vAlign w:val="center"/>
          </w:tcPr>
          <w:p w14:paraId="12D87F95">
            <w:pPr>
              <w:jc w:val="center"/>
              <w:rPr>
                <w:color w:val="000000"/>
                <w:sz w:val="20"/>
                <w:szCs w:val="20"/>
              </w:rPr>
            </w:pPr>
            <w:r>
              <w:rPr>
                <w:color w:val="000000"/>
                <w:sz w:val="20"/>
                <w:szCs w:val="20"/>
              </w:rPr>
              <w:t>Một mặt tiền, đối diện/tiếp giáp CX-MN</w:t>
            </w:r>
          </w:p>
        </w:tc>
        <w:tc>
          <w:tcPr>
            <w:tcW w:w="1198" w:type="dxa"/>
            <w:noWrap/>
            <w:vAlign w:val="center"/>
          </w:tcPr>
          <w:p w14:paraId="16A32A28">
            <w:pPr>
              <w:jc w:val="center"/>
              <w:rPr>
                <w:color w:val="000000"/>
                <w:sz w:val="20"/>
                <w:szCs w:val="20"/>
              </w:rPr>
            </w:pPr>
            <w:r>
              <w:rPr>
                <w:color w:val="000000"/>
                <w:sz w:val="20"/>
                <w:szCs w:val="20"/>
              </w:rPr>
              <w:t>8.400.000</w:t>
            </w:r>
          </w:p>
        </w:tc>
        <w:tc>
          <w:tcPr>
            <w:tcW w:w="1236" w:type="dxa"/>
            <w:noWrap/>
            <w:vAlign w:val="center"/>
          </w:tcPr>
          <w:p w14:paraId="0C950EC3">
            <w:pPr>
              <w:jc w:val="center"/>
              <w:rPr>
                <w:color w:val="000000"/>
                <w:sz w:val="20"/>
                <w:szCs w:val="20"/>
              </w:rPr>
            </w:pPr>
          </w:p>
        </w:tc>
        <w:tc>
          <w:tcPr>
            <w:tcW w:w="1252" w:type="dxa"/>
            <w:noWrap/>
            <w:vAlign w:val="center"/>
          </w:tcPr>
          <w:p w14:paraId="4D63F43B">
            <w:pPr>
              <w:jc w:val="center"/>
              <w:rPr>
                <w:color w:val="000000"/>
                <w:sz w:val="20"/>
                <w:szCs w:val="20"/>
              </w:rPr>
            </w:pPr>
            <w:r>
              <w:rPr>
                <w:color w:val="000000"/>
                <w:sz w:val="20"/>
                <w:szCs w:val="20"/>
              </w:rPr>
              <w:t>8.400.000</w:t>
            </w:r>
          </w:p>
        </w:tc>
        <w:tc>
          <w:tcPr>
            <w:tcW w:w="1848" w:type="dxa"/>
            <w:noWrap/>
            <w:vAlign w:val="center"/>
          </w:tcPr>
          <w:p w14:paraId="0E9D476A">
            <w:pPr>
              <w:jc w:val="center"/>
              <w:rPr>
                <w:color w:val="000000"/>
                <w:sz w:val="20"/>
                <w:szCs w:val="20"/>
              </w:rPr>
            </w:pPr>
            <w:r>
              <w:rPr>
                <w:color w:val="000000"/>
                <w:sz w:val="20"/>
                <w:szCs w:val="20"/>
              </w:rPr>
              <w:t>756.000.000</w:t>
            </w:r>
          </w:p>
        </w:tc>
      </w:tr>
      <w:tr w14:paraId="6E60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3A8A910">
            <w:pPr>
              <w:jc w:val="center"/>
              <w:rPr>
                <w:b/>
                <w:bCs/>
                <w:color w:val="000000"/>
                <w:sz w:val="20"/>
                <w:szCs w:val="20"/>
              </w:rPr>
            </w:pPr>
            <w:r>
              <w:rPr>
                <w:b/>
                <w:bCs/>
                <w:color w:val="000000"/>
                <w:sz w:val="20"/>
                <w:szCs w:val="20"/>
              </w:rPr>
              <w:t>LK28</w:t>
            </w:r>
          </w:p>
        </w:tc>
        <w:tc>
          <w:tcPr>
            <w:tcW w:w="1802" w:type="dxa"/>
            <w:vAlign w:val="center"/>
          </w:tcPr>
          <w:p w14:paraId="386AA075">
            <w:pPr>
              <w:jc w:val="center"/>
              <w:rPr>
                <w:color w:val="000000"/>
                <w:sz w:val="20"/>
                <w:szCs w:val="20"/>
              </w:rPr>
            </w:pPr>
            <w:r>
              <w:rPr>
                <w:color w:val="000000"/>
                <w:sz w:val="20"/>
                <w:szCs w:val="20"/>
              </w:rPr>
              <w:t>LK28:04</w:t>
            </w:r>
          </w:p>
        </w:tc>
        <w:tc>
          <w:tcPr>
            <w:tcW w:w="1033" w:type="dxa"/>
            <w:noWrap/>
            <w:vAlign w:val="center"/>
          </w:tcPr>
          <w:p w14:paraId="6D9A7394">
            <w:pPr>
              <w:jc w:val="center"/>
              <w:rPr>
                <w:color w:val="000000"/>
                <w:sz w:val="20"/>
                <w:szCs w:val="20"/>
              </w:rPr>
            </w:pPr>
            <w:r>
              <w:rPr>
                <w:color w:val="000000"/>
                <w:sz w:val="20"/>
                <w:szCs w:val="20"/>
              </w:rPr>
              <w:t>90,00</w:t>
            </w:r>
          </w:p>
        </w:tc>
        <w:tc>
          <w:tcPr>
            <w:tcW w:w="846" w:type="dxa"/>
            <w:noWrap/>
            <w:vAlign w:val="center"/>
          </w:tcPr>
          <w:p w14:paraId="5950F51E">
            <w:pPr>
              <w:jc w:val="center"/>
              <w:rPr>
                <w:color w:val="000000"/>
                <w:sz w:val="20"/>
                <w:szCs w:val="20"/>
              </w:rPr>
            </w:pPr>
            <w:r>
              <w:rPr>
                <w:color w:val="000000"/>
                <w:sz w:val="20"/>
                <w:szCs w:val="20"/>
              </w:rPr>
              <w:t>1</w:t>
            </w:r>
          </w:p>
        </w:tc>
        <w:tc>
          <w:tcPr>
            <w:tcW w:w="2578" w:type="dxa"/>
            <w:noWrap/>
            <w:vAlign w:val="center"/>
          </w:tcPr>
          <w:p w14:paraId="11D85F96">
            <w:pPr>
              <w:jc w:val="center"/>
              <w:rPr>
                <w:color w:val="000000"/>
                <w:sz w:val="20"/>
                <w:szCs w:val="20"/>
              </w:rPr>
            </w:pPr>
            <w:r>
              <w:rPr>
                <w:color w:val="000000"/>
                <w:sz w:val="20"/>
                <w:szCs w:val="20"/>
              </w:rPr>
              <w:t>Mặt cắt 3-3</w:t>
            </w:r>
          </w:p>
        </w:tc>
        <w:tc>
          <w:tcPr>
            <w:tcW w:w="2393" w:type="dxa"/>
            <w:noWrap/>
            <w:vAlign w:val="center"/>
          </w:tcPr>
          <w:p w14:paraId="34D7AF3F">
            <w:pPr>
              <w:jc w:val="center"/>
              <w:rPr>
                <w:color w:val="000000"/>
                <w:sz w:val="20"/>
                <w:szCs w:val="20"/>
              </w:rPr>
            </w:pPr>
            <w:r>
              <w:rPr>
                <w:color w:val="000000"/>
                <w:sz w:val="20"/>
                <w:szCs w:val="20"/>
              </w:rPr>
              <w:t>Một mặt tiền, đối diện/tiếp giáp CX-MN</w:t>
            </w:r>
          </w:p>
        </w:tc>
        <w:tc>
          <w:tcPr>
            <w:tcW w:w="1198" w:type="dxa"/>
            <w:noWrap/>
            <w:vAlign w:val="center"/>
          </w:tcPr>
          <w:p w14:paraId="516ACEBD">
            <w:pPr>
              <w:jc w:val="center"/>
              <w:rPr>
                <w:color w:val="000000"/>
                <w:sz w:val="20"/>
                <w:szCs w:val="20"/>
              </w:rPr>
            </w:pPr>
            <w:r>
              <w:rPr>
                <w:color w:val="000000"/>
                <w:sz w:val="20"/>
                <w:szCs w:val="20"/>
              </w:rPr>
              <w:t>8.400.000</w:t>
            </w:r>
          </w:p>
        </w:tc>
        <w:tc>
          <w:tcPr>
            <w:tcW w:w="1236" w:type="dxa"/>
            <w:noWrap/>
            <w:vAlign w:val="center"/>
          </w:tcPr>
          <w:p w14:paraId="098A141C">
            <w:pPr>
              <w:jc w:val="center"/>
              <w:rPr>
                <w:color w:val="000000"/>
                <w:sz w:val="20"/>
                <w:szCs w:val="20"/>
              </w:rPr>
            </w:pPr>
          </w:p>
        </w:tc>
        <w:tc>
          <w:tcPr>
            <w:tcW w:w="1252" w:type="dxa"/>
            <w:noWrap/>
            <w:vAlign w:val="center"/>
          </w:tcPr>
          <w:p w14:paraId="11323BC9">
            <w:pPr>
              <w:jc w:val="center"/>
              <w:rPr>
                <w:color w:val="000000"/>
                <w:sz w:val="20"/>
                <w:szCs w:val="20"/>
              </w:rPr>
            </w:pPr>
            <w:r>
              <w:rPr>
                <w:color w:val="000000"/>
                <w:sz w:val="20"/>
                <w:szCs w:val="20"/>
              </w:rPr>
              <w:t>8.400.000</w:t>
            </w:r>
          </w:p>
        </w:tc>
        <w:tc>
          <w:tcPr>
            <w:tcW w:w="1848" w:type="dxa"/>
            <w:noWrap/>
            <w:vAlign w:val="center"/>
          </w:tcPr>
          <w:p w14:paraId="4F2C37AE">
            <w:pPr>
              <w:jc w:val="center"/>
              <w:rPr>
                <w:color w:val="000000"/>
                <w:sz w:val="20"/>
                <w:szCs w:val="20"/>
              </w:rPr>
            </w:pPr>
            <w:r>
              <w:rPr>
                <w:color w:val="000000"/>
                <w:sz w:val="20"/>
                <w:szCs w:val="20"/>
              </w:rPr>
              <w:t>756.000.000</w:t>
            </w:r>
          </w:p>
        </w:tc>
      </w:tr>
      <w:tr w14:paraId="717F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6A78CEA">
            <w:pPr>
              <w:jc w:val="center"/>
              <w:rPr>
                <w:b/>
                <w:bCs/>
                <w:color w:val="000000"/>
                <w:sz w:val="20"/>
                <w:szCs w:val="20"/>
              </w:rPr>
            </w:pPr>
            <w:r>
              <w:rPr>
                <w:b/>
                <w:bCs/>
                <w:color w:val="000000"/>
                <w:sz w:val="20"/>
                <w:szCs w:val="20"/>
              </w:rPr>
              <w:t>LK28</w:t>
            </w:r>
          </w:p>
        </w:tc>
        <w:tc>
          <w:tcPr>
            <w:tcW w:w="1802" w:type="dxa"/>
            <w:vAlign w:val="center"/>
          </w:tcPr>
          <w:p w14:paraId="34D5B0AB">
            <w:pPr>
              <w:jc w:val="center"/>
              <w:rPr>
                <w:color w:val="000000"/>
                <w:sz w:val="20"/>
                <w:szCs w:val="20"/>
              </w:rPr>
            </w:pPr>
            <w:r>
              <w:rPr>
                <w:color w:val="000000"/>
                <w:sz w:val="20"/>
                <w:szCs w:val="20"/>
              </w:rPr>
              <w:t>LK28:05</w:t>
            </w:r>
          </w:p>
        </w:tc>
        <w:tc>
          <w:tcPr>
            <w:tcW w:w="1033" w:type="dxa"/>
            <w:noWrap/>
            <w:vAlign w:val="center"/>
          </w:tcPr>
          <w:p w14:paraId="04E76ACA">
            <w:pPr>
              <w:jc w:val="center"/>
              <w:rPr>
                <w:color w:val="000000"/>
                <w:sz w:val="20"/>
                <w:szCs w:val="20"/>
              </w:rPr>
            </w:pPr>
            <w:r>
              <w:rPr>
                <w:color w:val="000000"/>
                <w:sz w:val="20"/>
                <w:szCs w:val="20"/>
              </w:rPr>
              <w:t>90,00</w:t>
            </w:r>
          </w:p>
        </w:tc>
        <w:tc>
          <w:tcPr>
            <w:tcW w:w="846" w:type="dxa"/>
            <w:noWrap/>
            <w:vAlign w:val="center"/>
          </w:tcPr>
          <w:p w14:paraId="3CF8729E">
            <w:pPr>
              <w:jc w:val="center"/>
              <w:rPr>
                <w:color w:val="000000"/>
                <w:sz w:val="20"/>
                <w:szCs w:val="20"/>
              </w:rPr>
            </w:pPr>
            <w:r>
              <w:rPr>
                <w:color w:val="000000"/>
                <w:sz w:val="20"/>
                <w:szCs w:val="20"/>
              </w:rPr>
              <w:t>1</w:t>
            </w:r>
          </w:p>
        </w:tc>
        <w:tc>
          <w:tcPr>
            <w:tcW w:w="2578" w:type="dxa"/>
            <w:noWrap/>
            <w:vAlign w:val="center"/>
          </w:tcPr>
          <w:p w14:paraId="2251E9D2">
            <w:pPr>
              <w:jc w:val="center"/>
              <w:rPr>
                <w:color w:val="000000"/>
                <w:sz w:val="20"/>
                <w:szCs w:val="20"/>
              </w:rPr>
            </w:pPr>
            <w:r>
              <w:rPr>
                <w:color w:val="000000"/>
                <w:sz w:val="20"/>
                <w:szCs w:val="20"/>
              </w:rPr>
              <w:t>Mặt cắt 3-3</w:t>
            </w:r>
          </w:p>
        </w:tc>
        <w:tc>
          <w:tcPr>
            <w:tcW w:w="2393" w:type="dxa"/>
            <w:noWrap/>
            <w:vAlign w:val="center"/>
          </w:tcPr>
          <w:p w14:paraId="3B83EFA3">
            <w:pPr>
              <w:jc w:val="center"/>
              <w:rPr>
                <w:color w:val="000000"/>
                <w:sz w:val="20"/>
                <w:szCs w:val="20"/>
              </w:rPr>
            </w:pPr>
            <w:r>
              <w:rPr>
                <w:color w:val="000000"/>
                <w:sz w:val="20"/>
                <w:szCs w:val="20"/>
              </w:rPr>
              <w:t>Một mặt tiền, đối diện/tiếp giáp CX-MN</w:t>
            </w:r>
          </w:p>
        </w:tc>
        <w:tc>
          <w:tcPr>
            <w:tcW w:w="1198" w:type="dxa"/>
            <w:noWrap/>
            <w:vAlign w:val="center"/>
          </w:tcPr>
          <w:p w14:paraId="4F8D0B98">
            <w:pPr>
              <w:jc w:val="center"/>
              <w:rPr>
                <w:color w:val="000000"/>
                <w:sz w:val="20"/>
                <w:szCs w:val="20"/>
              </w:rPr>
            </w:pPr>
            <w:r>
              <w:rPr>
                <w:color w:val="000000"/>
                <w:sz w:val="20"/>
                <w:szCs w:val="20"/>
              </w:rPr>
              <w:t>8.400.000</w:t>
            </w:r>
          </w:p>
        </w:tc>
        <w:tc>
          <w:tcPr>
            <w:tcW w:w="1236" w:type="dxa"/>
            <w:noWrap/>
            <w:vAlign w:val="center"/>
          </w:tcPr>
          <w:p w14:paraId="710295B7">
            <w:pPr>
              <w:jc w:val="center"/>
              <w:rPr>
                <w:color w:val="000000"/>
                <w:sz w:val="20"/>
                <w:szCs w:val="20"/>
              </w:rPr>
            </w:pPr>
          </w:p>
        </w:tc>
        <w:tc>
          <w:tcPr>
            <w:tcW w:w="1252" w:type="dxa"/>
            <w:noWrap/>
            <w:vAlign w:val="center"/>
          </w:tcPr>
          <w:p w14:paraId="0B3682F9">
            <w:pPr>
              <w:jc w:val="center"/>
              <w:rPr>
                <w:color w:val="000000"/>
                <w:sz w:val="20"/>
                <w:szCs w:val="20"/>
              </w:rPr>
            </w:pPr>
            <w:r>
              <w:rPr>
                <w:color w:val="000000"/>
                <w:sz w:val="20"/>
                <w:szCs w:val="20"/>
              </w:rPr>
              <w:t>8.400.000</w:t>
            </w:r>
          </w:p>
        </w:tc>
        <w:tc>
          <w:tcPr>
            <w:tcW w:w="1848" w:type="dxa"/>
            <w:noWrap/>
            <w:vAlign w:val="center"/>
          </w:tcPr>
          <w:p w14:paraId="454B36BD">
            <w:pPr>
              <w:jc w:val="center"/>
              <w:rPr>
                <w:color w:val="000000"/>
                <w:sz w:val="20"/>
                <w:szCs w:val="20"/>
              </w:rPr>
            </w:pPr>
            <w:r>
              <w:rPr>
                <w:color w:val="000000"/>
                <w:sz w:val="20"/>
                <w:szCs w:val="20"/>
              </w:rPr>
              <w:t>756.000.000</w:t>
            </w:r>
          </w:p>
        </w:tc>
      </w:tr>
      <w:tr w14:paraId="461B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08AEB06">
            <w:pPr>
              <w:jc w:val="center"/>
              <w:rPr>
                <w:b/>
                <w:bCs/>
                <w:color w:val="000000"/>
                <w:sz w:val="20"/>
                <w:szCs w:val="20"/>
              </w:rPr>
            </w:pPr>
            <w:r>
              <w:rPr>
                <w:b/>
                <w:bCs/>
                <w:color w:val="000000"/>
                <w:sz w:val="20"/>
                <w:szCs w:val="20"/>
              </w:rPr>
              <w:t>LK28</w:t>
            </w:r>
          </w:p>
        </w:tc>
        <w:tc>
          <w:tcPr>
            <w:tcW w:w="1802" w:type="dxa"/>
            <w:vAlign w:val="center"/>
          </w:tcPr>
          <w:p w14:paraId="7C6715E0">
            <w:pPr>
              <w:jc w:val="center"/>
              <w:rPr>
                <w:color w:val="000000"/>
                <w:sz w:val="20"/>
                <w:szCs w:val="20"/>
              </w:rPr>
            </w:pPr>
            <w:r>
              <w:rPr>
                <w:color w:val="000000"/>
                <w:sz w:val="20"/>
                <w:szCs w:val="20"/>
              </w:rPr>
              <w:t>LK28:06</w:t>
            </w:r>
          </w:p>
        </w:tc>
        <w:tc>
          <w:tcPr>
            <w:tcW w:w="1033" w:type="dxa"/>
            <w:noWrap/>
            <w:vAlign w:val="center"/>
          </w:tcPr>
          <w:p w14:paraId="19BF2445">
            <w:pPr>
              <w:jc w:val="center"/>
              <w:rPr>
                <w:color w:val="000000"/>
                <w:sz w:val="20"/>
                <w:szCs w:val="20"/>
              </w:rPr>
            </w:pPr>
            <w:r>
              <w:rPr>
                <w:color w:val="000000"/>
                <w:sz w:val="20"/>
                <w:szCs w:val="20"/>
              </w:rPr>
              <w:t>90,00</w:t>
            </w:r>
          </w:p>
        </w:tc>
        <w:tc>
          <w:tcPr>
            <w:tcW w:w="846" w:type="dxa"/>
            <w:noWrap/>
            <w:vAlign w:val="center"/>
          </w:tcPr>
          <w:p w14:paraId="54DF2223">
            <w:pPr>
              <w:jc w:val="center"/>
              <w:rPr>
                <w:color w:val="000000"/>
                <w:sz w:val="20"/>
                <w:szCs w:val="20"/>
              </w:rPr>
            </w:pPr>
            <w:r>
              <w:rPr>
                <w:color w:val="000000"/>
                <w:sz w:val="20"/>
                <w:szCs w:val="20"/>
              </w:rPr>
              <w:t>1</w:t>
            </w:r>
          </w:p>
        </w:tc>
        <w:tc>
          <w:tcPr>
            <w:tcW w:w="2578" w:type="dxa"/>
            <w:noWrap/>
            <w:vAlign w:val="center"/>
          </w:tcPr>
          <w:p w14:paraId="0F2D85F7">
            <w:pPr>
              <w:jc w:val="center"/>
              <w:rPr>
                <w:color w:val="000000"/>
                <w:sz w:val="20"/>
                <w:szCs w:val="20"/>
              </w:rPr>
            </w:pPr>
            <w:r>
              <w:rPr>
                <w:color w:val="000000"/>
                <w:sz w:val="20"/>
                <w:szCs w:val="20"/>
              </w:rPr>
              <w:t>Mặt cắt 3-3</w:t>
            </w:r>
          </w:p>
        </w:tc>
        <w:tc>
          <w:tcPr>
            <w:tcW w:w="2393" w:type="dxa"/>
            <w:noWrap/>
            <w:vAlign w:val="center"/>
          </w:tcPr>
          <w:p w14:paraId="607901C3">
            <w:pPr>
              <w:jc w:val="center"/>
              <w:rPr>
                <w:color w:val="000000"/>
                <w:sz w:val="20"/>
                <w:szCs w:val="20"/>
              </w:rPr>
            </w:pPr>
            <w:r>
              <w:rPr>
                <w:color w:val="000000"/>
                <w:sz w:val="20"/>
                <w:szCs w:val="20"/>
              </w:rPr>
              <w:t>Một mặt tiền, đối diện/tiếp giáp CX-MN</w:t>
            </w:r>
          </w:p>
        </w:tc>
        <w:tc>
          <w:tcPr>
            <w:tcW w:w="1198" w:type="dxa"/>
            <w:noWrap/>
            <w:vAlign w:val="center"/>
          </w:tcPr>
          <w:p w14:paraId="1D45760D">
            <w:pPr>
              <w:jc w:val="center"/>
              <w:rPr>
                <w:color w:val="000000"/>
                <w:sz w:val="20"/>
                <w:szCs w:val="20"/>
              </w:rPr>
            </w:pPr>
            <w:r>
              <w:rPr>
                <w:color w:val="000000"/>
                <w:sz w:val="20"/>
                <w:szCs w:val="20"/>
              </w:rPr>
              <w:t>8.400.000</w:t>
            </w:r>
          </w:p>
        </w:tc>
        <w:tc>
          <w:tcPr>
            <w:tcW w:w="1236" w:type="dxa"/>
            <w:noWrap/>
            <w:vAlign w:val="center"/>
          </w:tcPr>
          <w:p w14:paraId="0CCE8CE5">
            <w:pPr>
              <w:jc w:val="center"/>
              <w:rPr>
                <w:color w:val="000000"/>
                <w:sz w:val="20"/>
                <w:szCs w:val="20"/>
              </w:rPr>
            </w:pPr>
          </w:p>
        </w:tc>
        <w:tc>
          <w:tcPr>
            <w:tcW w:w="1252" w:type="dxa"/>
            <w:noWrap/>
            <w:vAlign w:val="center"/>
          </w:tcPr>
          <w:p w14:paraId="6AFFDB32">
            <w:pPr>
              <w:jc w:val="center"/>
              <w:rPr>
                <w:color w:val="000000"/>
                <w:sz w:val="20"/>
                <w:szCs w:val="20"/>
              </w:rPr>
            </w:pPr>
            <w:r>
              <w:rPr>
                <w:color w:val="000000"/>
                <w:sz w:val="20"/>
                <w:szCs w:val="20"/>
              </w:rPr>
              <w:t>8.400.000</w:t>
            </w:r>
          </w:p>
        </w:tc>
        <w:tc>
          <w:tcPr>
            <w:tcW w:w="1848" w:type="dxa"/>
            <w:noWrap/>
            <w:vAlign w:val="center"/>
          </w:tcPr>
          <w:p w14:paraId="7488FB3B">
            <w:pPr>
              <w:jc w:val="center"/>
              <w:rPr>
                <w:color w:val="000000"/>
                <w:sz w:val="20"/>
                <w:szCs w:val="20"/>
              </w:rPr>
            </w:pPr>
            <w:r>
              <w:rPr>
                <w:color w:val="000000"/>
                <w:sz w:val="20"/>
                <w:szCs w:val="20"/>
              </w:rPr>
              <w:t>756.000.000</w:t>
            </w:r>
          </w:p>
        </w:tc>
      </w:tr>
      <w:tr w14:paraId="526D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4E33816">
            <w:pPr>
              <w:jc w:val="center"/>
              <w:rPr>
                <w:b/>
                <w:bCs/>
                <w:color w:val="000000"/>
                <w:sz w:val="20"/>
                <w:szCs w:val="20"/>
              </w:rPr>
            </w:pPr>
            <w:r>
              <w:rPr>
                <w:b/>
                <w:bCs/>
                <w:color w:val="000000"/>
                <w:sz w:val="20"/>
                <w:szCs w:val="20"/>
              </w:rPr>
              <w:t>LK28</w:t>
            </w:r>
          </w:p>
        </w:tc>
        <w:tc>
          <w:tcPr>
            <w:tcW w:w="1802" w:type="dxa"/>
            <w:vAlign w:val="center"/>
          </w:tcPr>
          <w:p w14:paraId="6BEB6720">
            <w:pPr>
              <w:jc w:val="center"/>
              <w:rPr>
                <w:color w:val="000000"/>
                <w:sz w:val="20"/>
                <w:szCs w:val="20"/>
              </w:rPr>
            </w:pPr>
            <w:r>
              <w:rPr>
                <w:color w:val="000000"/>
                <w:sz w:val="20"/>
                <w:szCs w:val="20"/>
              </w:rPr>
              <w:t>LK28:07</w:t>
            </w:r>
          </w:p>
        </w:tc>
        <w:tc>
          <w:tcPr>
            <w:tcW w:w="1033" w:type="dxa"/>
            <w:noWrap/>
            <w:vAlign w:val="center"/>
          </w:tcPr>
          <w:p w14:paraId="40E02D3D">
            <w:pPr>
              <w:jc w:val="center"/>
              <w:rPr>
                <w:color w:val="000000"/>
                <w:sz w:val="20"/>
                <w:szCs w:val="20"/>
              </w:rPr>
            </w:pPr>
            <w:r>
              <w:rPr>
                <w:color w:val="000000"/>
                <w:sz w:val="20"/>
                <w:szCs w:val="20"/>
              </w:rPr>
              <w:t>90,00</w:t>
            </w:r>
          </w:p>
        </w:tc>
        <w:tc>
          <w:tcPr>
            <w:tcW w:w="846" w:type="dxa"/>
            <w:noWrap/>
            <w:vAlign w:val="center"/>
          </w:tcPr>
          <w:p w14:paraId="73344550">
            <w:pPr>
              <w:jc w:val="center"/>
              <w:rPr>
                <w:color w:val="000000"/>
                <w:sz w:val="20"/>
                <w:szCs w:val="20"/>
              </w:rPr>
            </w:pPr>
            <w:r>
              <w:rPr>
                <w:color w:val="000000"/>
                <w:sz w:val="20"/>
                <w:szCs w:val="20"/>
              </w:rPr>
              <w:t>1</w:t>
            </w:r>
          </w:p>
        </w:tc>
        <w:tc>
          <w:tcPr>
            <w:tcW w:w="2578" w:type="dxa"/>
            <w:noWrap/>
            <w:vAlign w:val="center"/>
          </w:tcPr>
          <w:p w14:paraId="37540B32">
            <w:pPr>
              <w:jc w:val="center"/>
              <w:rPr>
                <w:color w:val="000000"/>
                <w:sz w:val="20"/>
                <w:szCs w:val="20"/>
              </w:rPr>
            </w:pPr>
            <w:r>
              <w:rPr>
                <w:color w:val="000000"/>
                <w:sz w:val="20"/>
                <w:szCs w:val="20"/>
              </w:rPr>
              <w:t>Mặt cắt 3-3</w:t>
            </w:r>
          </w:p>
        </w:tc>
        <w:tc>
          <w:tcPr>
            <w:tcW w:w="2393" w:type="dxa"/>
            <w:noWrap/>
            <w:vAlign w:val="center"/>
          </w:tcPr>
          <w:p w14:paraId="2E3E3DD4">
            <w:pPr>
              <w:jc w:val="center"/>
              <w:rPr>
                <w:color w:val="000000"/>
                <w:sz w:val="20"/>
                <w:szCs w:val="20"/>
              </w:rPr>
            </w:pPr>
            <w:r>
              <w:rPr>
                <w:color w:val="000000"/>
                <w:sz w:val="20"/>
                <w:szCs w:val="20"/>
              </w:rPr>
              <w:t>Một mặt tiền, đối diện/tiếp giáp CX-MN</w:t>
            </w:r>
          </w:p>
        </w:tc>
        <w:tc>
          <w:tcPr>
            <w:tcW w:w="1198" w:type="dxa"/>
            <w:noWrap/>
            <w:vAlign w:val="center"/>
          </w:tcPr>
          <w:p w14:paraId="24D6BE7E">
            <w:pPr>
              <w:jc w:val="center"/>
              <w:rPr>
                <w:color w:val="000000"/>
                <w:sz w:val="20"/>
                <w:szCs w:val="20"/>
              </w:rPr>
            </w:pPr>
            <w:r>
              <w:rPr>
                <w:color w:val="000000"/>
                <w:sz w:val="20"/>
                <w:szCs w:val="20"/>
              </w:rPr>
              <w:t>8.400.000</w:t>
            </w:r>
          </w:p>
        </w:tc>
        <w:tc>
          <w:tcPr>
            <w:tcW w:w="1236" w:type="dxa"/>
            <w:noWrap/>
            <w:vAlign w:val="center"/>
          </w:tcPr>
          <w:p w14:paraId="5D569E65">
            <w:pPr>
              <w:jc w:val="center"/>
              <w:rPr>
                <w:color w:val="000000"/>
                <w:sz w:val="20"/>
                <w:szCs w:val="20"/>
              </w:rPr>
            </w:pPr>
          </w:p>
        </w:tc>
        <w:tc>
          <w:tcPr>
            <w:tcW w:w="1252" w:type="dxa"/>
            <w:noWrap/>
            <w:vAlign w:val="center"/>
          </w:tcPr>
          <w:p w14:paraId="5F07727D">
            <w:pPr>
              <w:jc w:val="center"/>
              <w:rPr>
                <w:color w:val="000000"/>
                <w:sz w:val="20"/>
                <w:szCs w:val="20"/>
              </w:rPr>
            </w:pPr>
            <w:r>
              <w:rPr>
                <w:color w:val="000000"/>
                <w:sz w:val="20"/>
                <w:szCs w:val="20"/>
              </w:rPr>
              <w:t>8.400.000</w:t>
            </w:r>
          </w:p>
        </w:tc>
        <w:tc>
          <w:tcPr>
            <w:tcW w:w="1848" w:type="dxa"/>
            <w:noWrap/>
            <w:vAlign w:val="center"/>
          </w:tcPr>
          <w:p w14:paraId="3BC01188">
            <w:pPr>
              <w:jc w:val="center"/>
              <w:rPr>
                <w:color w:val="000000"/>
                <w:sz w:val="20"/>
                <w:szCs w:val="20"/>
              </w:rPr>
            </w:pPr>
            <w:r>
              <w:rPr>
                <w:color w:val="000000"/>
                <w:sz w:val="20"/>
                <w:szCs w:val="20"/>
              </w:rPr>
              <w:t>756.000.000</w:t>
            </w:r>
          </w:p>
        </w:tc>
      </w:tr>
      <w:tr w14:paraId="1AC9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AE32372">
            <w:pPr>
              <w:jc w:val="center"/>
              <w:rPr>
                <w:b/>
                <w:bCs/>
                <w:color w:val="000000"/>
                <w:sz w:val="20"/>
                <w:szCs w:val="20"/>
              </w:rPr>
            </w:pPr>
            <w:r>
              <w:rPr>
                <w:b/>
                <w:bCs/>
                <w:color w:val="000000"/>
                <w:sz w:val="20"/>
                <w:szCs w:val="20"/>
              </w:rPr>
              <w:t>LK28</w:t>
            </w:r>
          </w:p>
        </w:tc>
        <w:tc>
          <w:tcPr>
            <w:tcW w:w="1802" w:type="dxa"/>
            <w:vAlign w:val="center"/>
          </w:tcPr>
          <w:p w14:paraId="06D3A954">
            <w:pPr>
              <w:jc w:val="center"/>
              <w:rPr>
                <w:color w:val="000000"/>
                <w:sz w:val="20"/>
                <w:szCs w:val="20"/>
              </w:rPr>
            </w:pPr>
            <w:r>
              <w:rPr>
                <w:color w:val="000000"/>
                <w:sz w:val="20"/>
                <w:szCs w:val="20"/>
              </w:rPr>
              <w:t>LK28:08</w:t>
            </w:r>
          </w:p>
        </w:tc>
        <w:tc>
          <w:tcPr>
            <w:tcW w:w="1033" w:type="dxa"/>
            <w:noWrap/>
            <w:vAlign w:val="center"/>
          </w:tcPr>
          <w:p w14:paraId="0113B7FD">
            <w:pPr>
              <w:jc w:val="center"/>
              <w:rPr>
                <w:color w:val="000000"/>
                <w:sz w:val="20"/>
                <w:szCs w:val="20"/>
              </w:rPr>
            </w:pPr>
            <w:r>
              <w:rPr>
                <w:color w:val="000000"/>
                <w:sz w:val="20"/>
                <w:szCs w:val="20"/>
              </w:rPr>
              <w:t>90,00</w:t>
            </w:r>
          </w:p>
        </w:tc>
        <w:tc>
          <w:tcPr>
            <w:tcW w:w="846" w:type="dxa"/>
            <w:noWrap/>
            <w:vAlign w:val="center"/>
          </w:tcPr>
          <w:p w14:paraId="6C86086C">
            <w:pPr>
              <w:jc w:val="center"/>
              <w:rPr>
                <w:color w:val="000000"/>
                <w:sz w:val="20"/>
                <w:szCs w:val="20"/>
              </w:rPr>
            </w:pPr>
            <w:r>
              <w:rPr>
                <w:color w:val="000000"/>
                <w:sz w:val="20"/>
                <w:szCs w:val="20"/>
              </w:rPr>
              <w:t>1</w:t>
            </w:r>
          </w:p>
        </w:tc>
        <w:tc>
          <w:tcPr>
            <w:tcW w:w="2578" w:type="dxa"/>
            <w:noWrap/>
            <w:vAlign w:val="center"/>
          </w:tcPr>
          <w:p w14:paraId="6CFE1B2F">
            <w:pPr>
              <w:jc w:val="center"/>
              <w:rPr>
                <w:color w:val="000000"/>
                <w:sz w:val="20"/>
                <w:szCs w:val="20"/>
              </w:rPr>
            </w:pPr>
            <w:r>
              <w:rPr>
                <w:color w:val="000000"/>
                <w:sz w:val="20"/>
                <w:szCs w:val="20"/>
              </w:rPr>
              <w:t>Mặt cắt 3-3</w:t>
            </w:r>
          </w:p>
        </w:tc>
        <w:tc>
          <w:tcPr>
            <w:tcW w:w="2393" w:type="dxa"/>
            <w:noWrap/>
            <w:vAlign w:val="center"/>
          </w:tcPr>
          <w:p w14:paraId="6B65BA81">
            <w:pPr>
              <w:jc w:val="center"/>
              <w:rPr>
                <w:color w:val="000000"/>
                <w:sz w:val="20"/>
                <w:szCs w:val="20"/>
              </w:rPr>
            </w:pPr>
            <w:r>
              <w:rPr>
                <w:color w:val="000000"/>
                <w:sz w:val="20"/>
                <w:szCs w:val="20"/>
              </w:rPr>
              <w:t>Một mặt tiền, đối diện/tiếp giáp CX-MN</w:t>
            </w:r>
          </w:p>
        </w:tc>
        <w:tc>
          <w:tcPr>
            <w:tcW w:w="1198" w:type="dxa"/>
            <w:noWrap/>
            <w:vAlign w:val="center"/>
          </w:tcPr>
          <w:p w14:paraId="38B0DE60">
            <w:pPr>
              <w:jc w:val="center"/>
              <w:rPr>
                <w:color w:val="000000"/>
                <w:sz w:val="20"/>
                <w:szCs w:val="20"/>
              </w:rPr>
            </w:pPr>
            <w:r>
              <w:rPr>
                <w:color w:val="000000"/>
                <w:sz w:val="20"/>
                <w:szCs w:val="20"/>
              </w:rPr>
              <w:t>8.400.000</w:t>
            </w:r>
          </w:p>
        </w:tc>
        <w:tc>
          <w:tcPr>
            <w:tcW w:w="1236" w:type="dxa"/>
            <w:noWrap/>
            <w:vAlign w:val="center"/>
          </w:tcPr>
          <w:p w14:paraId="744FD7EC">
            <w:pPr>
              <w:jc w:val="center"/>
              <w:rPr>
                <w:color w:val="000000"/>
                <w:sz w:val="20"/>
                <w:szCs w:val="20"/>
              </w:rPr>
            </w:pPr>
          </w:p>
        </w:tc>
        <w:tc>
          <w:tcPr>
            <w:tcW w:w="1252" w:type="dxa"/>
            <w:noWrap/>
            <w:vAlign w:val="center"/>
          </w:tcPr>
          <w:p w14:paraId="361B6AC7">
            <w:pPr>
              <w:jc w:val="center"/>
              <w:rPr>
                <w:color w:val="000000"/>
                <w:sz w:val="20"/>
                <w:szCs w:val="20"/>
              </w:rPr>
            </w:pPr>
            <w:r>
              <w:rPr>
                <w:color w:val="000000"/>
                <w:sz w:val="20"/>
                <w:szCs w:val="20"/>
              </w:rPr>
              <w:t>8.400.000</w:t>
            </w:r>
          </w:p>
        </w:tc>
        <w:tc>
          <w:tcPr>
            <w:tcW w:w="1848" w:type="dxa"/>
            <w:noWrap/>
            <w:vAlign w:val="center"/>
          </w:tcPr>
          <w:p w14:paraId="54DC1973">
            <w:pPr>
              <w:jc w:val="center"/>
              <w:rPr>
                <w:color w:val="000000"/>
                <w:sz w:val="20"/>
                <w:szCs w:val="20"/>
              </w:rPr>
            </w:pPr>
            <w:r>
              <w:rPr>
                <w:color w:val="000000"/>
                <w:sz w:val="20"/>
                <w:szCs w:val="20"/>
              </w:rPr>
              <w:t>756.000.000</w:t>
            </w:r>
          </w:p>
        </w:tc>
      </w:tr>
      <w:tr w14:paraId="3267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637B5BF">
            <w:pPr>
              <w:jc w:val="center"/>
              <w:rPr>
                <w:b/>
                <w:bCs/>
                <w:color w:val="000000"/>
                <w:sz w:val="20"/>
                <w:szCs w:val="20"/>
              </w:rPr>
            </w:pPr>
            <w:r>
              <w:rPr>
                <w:b/>
                <w:bCs/>
                <w:color w:val="000000"/>
                <w:sz w:val="20"/>
                <w:szCs w:val="20"/>
              </w:rPr>
              <w:t>LK28</w:t>
            </w:r>
          </w:p>
        </w:tc>
        <w:tc>
          <w:tcPr>
            <w:tcW w:w="1802" w:type="dxa"/>
            <w:vAlign w:val="center"/>
          </w:tcPr>
          <w:p w14:paraId="12443A4E">
            <w:pPr>
              <w:jc w:val="center"/>
              <w:rPr>
                <w:color w:val="000000"/>
                <w:sz w:val="20"/>
                <w:szCs w:val="20"/>
              </w:rPr>
            </w:pPr>
            <w:r>
              <w:rPr>
                <w:color w:val="000000"/>
                <w:sz w:val="20"/>
                <w:szCs w:val="20"/>
              </w:rPr>
              <w:t>LK28:09</w:t>
            </w:r>
          </w:p>
        </w:tc>
        <w:tc>
          <w:tcPr>
            <w:tcW w:w="1033" w:type="dxa"/>
            <w:noWrap/>
            <w:vAlign w:val="center"/>
          </w:tcPr>
          <w:p w14:paraId="5E7D749C">
            <w:pPr>
              <w:jc w:val="center"/>
              <w:rPr>
                <w:color w:val="000000"/>
                <w:sz w:val="20"/>
                <w:szCs w:val="20"/>
              </w:rPr>
            </w:pPr>
            <w:r>
              <w:rPr>
                <w:color w:val="000000"/>
                <w:sz w:val="20"/>
                <w:szCs w:val="20"/>
              </w:rPr>
              <w:t>90,00</w:t>
            </w:r>
          </w:p>
        </w:tc>
        <w:tc>
          <w:tcPr>
            <w:tcW w:w="846" w:type="dxa"/>
            <w:noWrap/>
            <w:vAlign w:val="center"/>
          </w:tcPr>
          <w:p w14:paraId="0DEF804F">
            <w:pPr>
              <w:jc w:val="center"/>
              <w:rPr>
                <w:color w:val="000000"/>
                <w:sz w:val="20"/>
                <w:szCs w:val="20"/>
              </w:rPr>
            </w:pPr>
            <w:r>
              <w:rPr>
                <w:color w:val="000000"/>
                <w:sz w:val="20"/>
                <w:szCs w:val="20"/>
              </w:rPr>
              <w:t>1</w:t>
            </w:r>
          </w:p>
        </w:tc>
        <w:tc>
          <w:tcPr>
            <w:tcW w:w="2578" w:type="dxa"/>
            <w:noWrap/>
            <w:vAlign w:val="center"/>
          </w:tcPr>
          <w:p w14:paraId="3819FEF0">
            <w:pPr>
              <w:jc w:val="center"/>
              <w:rPr>
                <w:color w:val="000000"/>
                <w:sz w:val="20"/>
                <w:szCs w:val="20"/>
              </w:rPr>
            </w:pPr>
            <w:r>
              <w:rPr>
                <w:color w:val="000000"/>
                <w:sz w:val="20"/>
                <w:szCs w:val="20"/>
              </w:rPr>
              <w:t>Mặt cắt 3-3</w:t>
            </w:r>
          </w:p>
        </w:tc>
        <w:tc>
          <w:tcPr>
            <w:tcW w:w="2393" w:type="dxa"/>
            <w:noWrap/>
            <w:vAlign w:val="center"/>
          </w:tcPr>
          <w:p w14:paraId="5856056B">
            <w:pPr>
              <w:jc w:val="center"/>
              <w:rPr>
                <w:color w:val="000000"/>
                <w:sz w:val="20"/>
                <w:szCs w:val="20"/>
              </w:rPr>
            </w:pPr>
            <w:r>
              <w:rPr>
                <w:color w:val="000000"/>
                <w:sz w:val="20"/>
                <w:szCs w:val="20"/>
              </w:rPr>
              <w:t>Một mặt tiền, đối diện/tiếp giáp CX-MN</w:t>
            </w:r>
          </w:p>
        </w:tc>
        <w:tc>
          <w:tcPr>
            <w:tcW w:w="1198" w:type="dxa"/>
            <w:noWrap/>
            <w:vAlign w:val="center"/>
          </w:tcPr>
          <w:p w14:paraId="771AB79A">
            <w:pPr>
              <w:jc w:val="center"/>
              <w:rPr>
                <w:color w:val="000000"/>
                <w:sz w:val="20"/>
                <w:szCs w:val="20"/>
              </w:rPr>
            </w:pPr>
            <w:r>
              <w:rPr>
                <w:color w:val="000000"/>
                <w:sz w:val="20"/>
                <w:szCs w:val="20"/>
              </w:rPr>
              <w:t>8.400.000</w:t>
            </w:r>
          </w:p>
        </w:tc>
        <w:tc>
          <w:tcPr>
            <w:tcW w:w="1236" w:type="dxa"/>
            <w:noWrap/>
            <w:vAlign w:val="center"/>
          </w:tcPr>
          <w:p w14:paraId="57029810">
            <w:pPr>
              <w:jc w:val="center"/>
              <w:rPr>
                <w:color w:val="000000"/>
                <w:sz w:val="20"/>
                <w:szCs w:val="20"/>
              </w:rPr>
            </w:pPr>
          </w:p>
        </w:tc>
        <w:tc>
          <w:tcPr>
            <w:tcW w:w="1252" w:type="dxa"/>
            <w:noWrap/>
            <w:vAlign w:val="center"/>
          </w:tcPr>
          <w:p w14:paraId="1990873D">
            <w:pPr>
              <w:jc w:val="center"/>
              <w:rPr>
                <w:color w:val="000000"/>
                <w:sz w:val="20"/>
                <w:szCs w:val="20"/>
              </w:rPr>
            </w:pPr>
            <w:r>
              <w:rPr>
                <w:color w:val="000000"/>
                <w:sz w:val="20"/>
                <w:szCs w:val="20"/>
              </w:rPr>
              <w:t>8.400.000</w:t>
            </w:r>
          </w:p>
        </w:tc>
        <w:tc>
          <w:tcPr>
            <w:tcW w:w="1848" w:type="dxa"/>
            <w:noWrap/>
            <w:vAlign w:val="center"/>
          </w:tcPr>
          <w:p w14:paraId="58A0F870">
            <w:pPr>
              <w:jc w:val="center"/>
              <w:rPr>
                <w:color w:val="000000"/>
                <w:sz w:val="20"/>
                <w:szCs w:val="20"/>
              </w:rPr>
            </w:pPr>
            <w:r>
              <w:rPr>
                <w:color w:val="000000"/>
                <w:sz w:val="20"/>
                <w:szCs w:val="20"/>
              </w:rPr>
              <w:t>756.000.000</w:t>
            </w:r>
          </w:p>
        </w:tc>
      </w:tr>
      <w:tr w14:paraId="4743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4203409">
            <w:pPr>
              <w:jc w:val="center"/>
              <w:rPr>
                <w:b/>
                <w:bCs/>
                <w:color w:val="000000"/>
                <w:sz w:val="20"/>
                <w:szCs w:val="20"/>
              </w:rPr>
            </w:pPr>
            <w:r>
              <w:rPr>
                <w:b/>
                <w:bCs/>
                <w:color w:val="000000"/>
                <w:sz w:val="20"/>
                <w:szCs w:val="20"/>
              </w:rPr>
              <w:t>LK28</w:t>
            </w:r>
          </w:p>
        </w:tc>
        <w:tc>
          <w:tcPr>
            <w:tcW w:w="1802" w:type="dxa"/>
            <w:vAlign w:val="center"/>
          </w:tcPr>
          <w:p w14:paraId="72792BC9">
            <w:pPr>
              <w:jc w:val="center"/>
              <w:rPr>
                <w:color w:val="000000"/>
                <w:sz w:val="20"/>
                <w:szCs w:val="20"/>
              </w:rPr>
            </w:pPr>
            <w:r>
              <w:rPr>
                <w:color w:val="000000"/>
                <w:sz w:val="20"/>
                <w:szCs w:val="20"/>
              </w:rPr>
              <w:t>LK28:10</w:t>
            </w:r>
          </w:p>
        </w:tc>
        <w:tc>
          <w:tcPr>
            <w:tcW w:w="1033" w:type="dxa"/>
            <w:noWrap/>
            <w:vAlign w:val="center"/>
          </w:tcPr>
          <w:p w14:paraId="2D91BB27">
            <w:pPr>
              <w:jc w:val="center"/>
              <w:rPr>
                <w:color w:val="000000"/>
                <w:sz w:val="20"/>
                <w:szCs w:val="20"/>
              </w:rPr>
            </w:pPr>
            <w:r>
              <w:rPr>
                <w:color w:val="000000"/>
                <w:sz w:val="20"/>
                <w:szCs w:val="20"/>
              </w:rPr>
              <w:t>90,00</w:t>
            </w:r>
          </w:p>
        </w:tc>
        <w:tc>
          <w:tcPr>
            <w:tcW w:w="846" w:type="dxa"/>
            <w:noWrap/>
            <w:vAlign w:val="center"/>
          </w:tcPr>
          <w:p w14:paraId="4AC587D5">
            <w:pPr>
              <w:jc w:val="center"/>
              <w:rPr>
                <w:color w:val="000000"/>
                <w:sz w:val="20"/>
                <w:szCs w:val="20"/>
              </w:rPr>
            </w:pPr>
            <w:r>
              <w:rPr>
                <w:color w:val="000000"/>
                <w:sz w:val="20"/>
                <w:szCs w:val="20"/>
              </w:rPr>
              <w:t>1</w:t>
            </w:r>
          </w:p>
        </w:tc>
        <w:tc>
          <w:tcPr>
            <w:tcW w:w="2578" w:type="dxa"/>
            <w:noWrap/>
            <w:vAlign w:val="center"/>
          </w:tcPr>
          <w:p w14:paraId="16F8C6DB">
            <w:pPr>
              <w:jc w:val="center"/>
              <w:rPr>
                <w:color w:val="000000"/>
                <w:sz w:val="20"/>
                <w:szCs w:val="20"/>
              </w:rPr>
            </w:pPr>
            <w:r>
              <w:rPr>
                <w:color w:val="000000"/>
                <w:sz w:val="20"/>
                <w:szCs w:val="20"/>
              </w:rPr>
              <w:t>Mặt cắt 3-3</w:t>
            </w:r>
          </w:p>
        </w:tc>
        <w:tc>
          <w:tcPr>
            <w:tcW w:w="2393" w:type="dxa"/>
            <w:noWrap/>
            <w:vAlign w:val="center"/>
          </w:tcPr>
          <w:p w14:paraId="60F1762E">
            <w:pPr>
              <w:jc w:val="center"/>
              <w:rPr>
                <w:color w:val="000000"/>
                <w:sz w:val="20"/>
                <w:szCs w:val="20"/>
              </w:rPr>
            </w:pPr>
            <w:r>
              <w:rPr>
                <w:color w:val="000000"/>
                <w:sz w:val="20"/>
                <w:szCs w:val="20"/>
              </w:rPr>
              <w:t>Một mặt tiền, đối diện/tiếp giáp CX-MN</w:t>
            </w:r>
          </w:p>
        </w:tc>
        <w:tc>
          <w:tcPr>
            <w:tcW w:w="1198" w:type="dxa"/>
            <w:noWrap/>
            <w:vAlign w:val="center"/>
          </w:tcPr>
          <w:p w14:paraId="2A4FAC83">
            <w:pPr>
              <w:jc w:val="center"/>
              <w:rPr>
                <w:color w:val="000000"/>
                <w:sz w:val="20"/>
                <w:szCs w:val="20"/>
              </w:rPr>
            </w:pPr>
            <w:r>
              <w:rPr>
                <w:color w:val="000000"/>
                <w:sz w:val="20"/>
                <w:szCs w:val="20"/>
              </w:rPr>
              <w:t>8.400.000</w:t>
            </w:r>
          </w:p>
        </w:tc>
        <w:tc>
          <w:tcPr>
            <w:tcW w:w="1236" w:type="dxa"/>
            <w:noWrap/>
            <w:vAlign w:val="center"/>
          </w:tcPr>
          <w:p w14:paraId="4D99E359">
            <w:pPr>
              <w:jc w:val="center"/>
              <w:rPr>
                <w:color w:val="000000"/>
                <w:sz w:val="20"/>
                <w:szCs w:val="20"/>
              </w:rPr>
            </w:pPr>
          </w:p>
        </w:tc>
        <w:tc>
          <w:tcPr>
            <w:tcW w:w="1252" w:type="dxa"/>
            <w:noWrap/>
            <w:vAlign w:val="center"/>
          </w:tcPr>
          <w:p w14:paraId="23B3AB4B">
            <w:pPr>
              <w:jc w:val="center"/>
              <w:rPr>
                <w:color w:val="000000"/>
                <w:sz w:val="20"/>
                <w:szCs w:val="20"/>
              </w:rPr>
            </w:pPr>
            <w:r>
              <w:rPr>
                <w:color w:val="000000"/>
                <w:sz w:val="20"/>
                <w:szCs w:val="20"/>
              </w:rPr>
              <w:t>8.400.000</w:t>
            </w:r>
          </w:p>
        </w:tc>
        <w:tc>
          <w:tcPr>
            <w:tcW w:w="1848" w:type="dxa"/>
            <w:noWrap/>
            <w:vAlign w:val="center"/>
          </w:tcPr>
          <w:p w14:paraId="3EBF2D8B">
            <w:pPr>
              <w:jc w:val="center"/>
              <w:rPr>
                <w:color w:val="000000"/>
                <w:sz w:val="20"/>
                <w:szCs w:val="20"/>
              </w:rPr>
            </w:pPr>
            <w:r>
              <w:rPr>
                <w:color w:val="000000"/>
                <w:sz w:val="20"/>
                <w:szCs w:val="20"/>
              </w:rPr>
              <w:t>756.000.000</w:t>
            </w:r>
          </w:p>
        </w:tc>
      </w:tr>
      <w:tr w14:paraId="4BA9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1F31A9C">
            <w:pPr>
              <w:jc w:val="center"/>
              <w:rPr>
                <w:b/>
                <w:bCs/>
                <w:color w:val="000000"/>
                <w:sz w:val="20"/>
                <w:szCs w:val="20"/>
              </w:rPr>
            </w:pPr>
            <w:r>
              <w:rPr>
                <w:b/>
                <w:bCs/>
                <w:color w:val="000000"/>
                <w:sz w:val="20"/>
                <w:szCs w:val="20"/>
              </w:rPr>
              <w:t>LK29</w:t>
            </w:r>
          </w:p>
        </w:tc>
        <w:tc>
          <w:tcPr>
            <w:tcW w:w="1802" w:type="dxa"/>
            <w:vAlign w:val="center"/>
          </w:tcPr>
          <w:p w14:paraId="1650C2EB">
            <w:pPr>
              <w:jc w:val="center"/>
              <w:rPr>
                <w:color w:val="000000"/>
                <w:sz w:val="20"/>
                <w:szCs w:val="20"/>
              </w:rPr>
            </w:pPr>
            <w:r>
              <w:rPr>
                <w:color w:val="000000"/>
                <w:sz w:val="20"/>
                <w:szCs w:val="20"/>
              </w:rPr>
              <w:t>LK29:02</w:t>
            </w:r>
          </w:p>
        </w:tc>
        <w:tc>
          <w:tcPr>
            <w:tcW w:w="1033" w:type="dxa"/>
            <w:noWrap/>
            <w:vAlign w:val="center"/>
          </w:tcPr>
          <w:p w14:paraId="335268BF">
            <w:pPr>
              <w:jc w:val="center"/>
              <w:rPr>
                <w:color w:val="000000"/>
                <w:sz w:val="20"/>
                <w:szCs w:val="20"/>
              </w:rPr>
            </w:pPr>
            <w:r>
              <w:rPr>
                <w:color w:val="000000"/>
                <w:sz w:val="20"/>
                <w:szCs w:val="20"/>
              </w:rPr>
              <w:t>90,00</w:t>
            </w:r>
          </w:p>
        </w:tc>
        <w:tc>
          <w:tcPr>
            <w:tcW w:w="846" w:type="dxa"/>
            <w:noWrap/>
            <w:vAlign w:val="center"/>
          </w:tcPr>
          <w:p w14:paraId="7B8923C7">
            <w:pPr>
              <w:jc w:val="center"/>
              <w:rPr>
                <w:color w:val="000000"/>
                <w:sz w:val="20"/>
                <w:szCs w:val="20"/>
              </w:rPr>
            </w:pPr>
            <w:r>
              <w:rPr>
                <w:color w:val="000000"/>
                <w:sz w:val="20"/>
                <w:szCs w:val="20"/>
              </w:rPr>
              <w:t>1</w:t>
            </w:r>
          </w:p>
        </w:tc>
        <w:tc>
          <w:tcPr>
            <w:tcW w:w="2578" w:type="dxa"/>
            <w:noWrap/>
            <w:vAlign w:val="center"/>
          </w:tcPr>
          <w:p w14:paraId="572E7291">
            <w:pPr>
              <w:jc w:val="center"/>
              <w:rPr>
                <w:color w:val="000000"/>
                <w:sz w:val="20"/>
                <w:szCs w:val="20"/>
              </w:rPr>
            </w:pPr>
            <w:r>
              <w:rPr>
                <w:color w:val="000000"/>
                <w:sz w:val="20"/>
                <w:szCs w:val="20"/>
              </w:rPr>
              <w:t>Mặt cắt 3-3</w:t>
            </w:r>
          </w:p>
        </w:tc>
        <w:tc>
          <w:tcPr>
            <w:tcW w:w="2393" w:type="dxa"/>
            <w:noWrap/>
            <w:vAlign w:val="center"/>
          </w:tcPr>
          <w:p w14:paraId="2BEE0675">
            <w:pPr>
              <w:jc w:val="center"/>
              <w:rPr>
                <w:color w:val="000000"/>
                <w:sz w:val="20"/>
                <w:szCs w:val="20"/>
              </w:rPr>
            </w:pPr>
            <w:r>
              <w:rPr>
                <w:color w:val="000000"/>
                <w:sz w:val="20"/>
                <w:szCs w:val="20"/>
              </w:rPr>
              <w:t>Một mặt tiền</w:t>
            </w:r>
          </w:p>
        </w:tc>
        <w:tc>
          <w:tcPr>
            <w:tcW w:w="1198" w:type="dxa"/>
            <w:noWrap/>
            <w:vAlign w:val="center"/>
          </w:tcPr>
          <w:p w14:paraId="657A91EA">
            <w:pPr>
              <w:jc w:val="center"/>
              <w:rPr>
                <w:color w:val="000000"/>
                <w:sz w:val="20"/>
                <w:szCs w:val="20"/>
              </w:rPr>
            </w:pPr>
            <w:r>
              <w:rPr>
                <w:color w:val="000000"/>
                <w:sz w:val="20"/>
                <w:szCs w:val="20"/>
              </w:rPr>
              <w:t>8.000.000</w:t>
            </w:r>
          </w:p>
        </w:tc>
        <w:tc>
          <w:tcPr>
            <w:tcW w:w="1236" w:type="dxa"/>
            <w:noWrap/>
            <w:vAlign w:val="center"/>
          </w:tcPr>
          <w:p w14:paraId="2A3CAEED">
            <w:pPr>
              <w:jc w:val="center"/>
              <w:rPr>
                <w:color w:val="000000"/>
                <w:sz w:val="20"/>
                <w:szCs w:val="20"/>
              </w:rPr>
            </w:pPr>
          </w:p>
        </w:tc>
        <w:tc>
          <w:tcPr>
            <w:tcW w:w="1252" w:type="dxa"/>
            <w:noWrap/>
            <w:vAlign w:val="center"/>
          </w:tcPr>
          <w:p w14:paraId="750F89AB">
            <w:pPr>
              <w:jc w:val="center"/>
              <w:rPr>
                <w:color w:val="000000"/>
                <w:sz w:val="20"/>
                <w:szCs w:val="20"/>
              </w:rPr>
            </w:pPr>
            <w:r>
              <w:rPr>
                <w:color w:val="000000"/>
                <w:sz w:val="20"/>
                <w:szCs w:val="20"/>
              </w:rPr>
              <w:t>8.000.000</w:t>
            </w:r>
          </w:p>
        </w:tc>
        <w:tc>
          <w:tcPr>
            <w:tcW w:w="1848" w:type="dxa"/>
            <w:noWrap/>
            <w:vAlign w:val="center"/>
          </w:tcPr>
          <w:p w14:paraId="70216193">
            <w:pPr>
              <w:jc w:val="center"/>
              <w:rPr>
                <w:color w:val="000000"/>
                <w:sz w:val="20"/>
                <w:szCs w:val="20"/>
              </w:rPr>
            </w:pPr>
            <w:r>
              <w:rPr>
                <w:color w:val="000000"/>
                <w:sz w:val="20"/>
                <w:szCs w:val="20"/>
              </w:rPr>
              <w:t>720.000.000</w:t>
            </w:r>
          </w:p>
        </w:tc>
      </w:tr>
      <w:tr w14:paraId="7A75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60A9375">
            <w:pPr>
              <w:jc w:val="center"/>
              <w:rPr>
                <w:b/>
                <w:bCs/>
                <w:color w:val="000000"/>
                <w:sz w:val="20"/>
                <w:szCs w:val="20"/>
              </w:rPr>
            </w:pPr>
            <w:r>
              <w:rPr>
                <w:b/>
                <w:bCs/>
                <w:color w:val="000000"/>
                <w:sz w:val="20"/>
                <w:szCs w:val="20"/>
              </w:rPr>
              <w:t>LK29</w:t>
            </w:r>
          </w:p>
        </w:tc>
        <w:tc>
          <w:tcPr>
            <w:tcW w:w="1802" w:type="dxa"/>
            <w:vAlign w:val="center"/>
          </w:tcPr>
          <w:p w14:paraId="4EC7ADD8">
            <w:pPr>
              <w:jc w:val="center"/>
              <w:rPr>
                <w:color w:val="000000"/>
                <w:sz w:val="20"/>
                <w:szCs w:val="20"/>
              </w:rPr>
            </w:pPr>
            <w:r>
              <w:rPr>
                <w:color w:val="000000"/>
                <w:sz w:val="20"/>
                <w:szCs w:val="20"/>
              </w:rPr>
              <w:t>LK29:03</w:t>
            </w:r>
          </w:p>
        </w:tc>
        <w:tc>
          <w:tcPr>
            <w:tcW w:w="1033" w:type="dxa"/>
            <w:noWrap/>
            <w:vAlign w:val="center"/>
          </w:tcPr>
          <w:p w14:paraId="5D65161A">
            <w:pPr>
              <w:jc w:val="center"/>
              <w:rPr>
                <w:color w:val="000000"/>
                <w:sz w:val="20"/>
                <w:szCs w:val="20"/>
              </w:rPr>
            </w:pPr>
            <w:r>
              <w:rPr>
                <w:color w:val="000000"/>
                <w:sz w:val="20"/>
                <w:szCs w:val="20"/>
              </w:rPr>
              <w:t>90,00</w:t>
            </w:r>
          </w:p>
        </w:tc>
        <w:tc>
          <w:tcPr>
            <w:tcW w:w="846" w:type="dxa"/>
            <w:noWrap/>
            <w:vAlign w:val="center"/>
          </w:tcPr>
          <w:p w14:paraId="0A0DCD19">
            <w:pPr>
              <w:jc w:val="center"/>
              <w:rPr>
                <w:color w:val="000000"/>
                <w:sz w:val="20"/>
                <w:szCs w:val="20"/>
              </w:rPr>
            </w:pPr>
            <w:r>
              <w:rPr>
                <w:color w:val="000000"/>
                <w:sz w:val="20"/>
                <w:szCs w:val="20"/>
              </w:rPr>
              <w:t>1</w:t>
            </w:r>
          </w:p>
        </w:tc>
        <w:tc>
          <w:tcPr>
            <w:tcW w:w="2578" w:type="dxa"/>
            <w:noWrap/>
            <w:vAlign w:val="center"/>
          </w:tcPr>
          <w:p w14:paraId="4E81EFE7">
            <w:pPr>
              <w:jc w:val="center"/>
              <w:rPr>
                <w:color w:val="000000"/>
                <w:sz w:val="20"/>
                <w:szCs w:val="20"/>
              </w:rPr>
            </w:pPr>
            <w:r>
              <w:rPr>
                <w:color w:val="000000"/>
                <w:sz w:val="20"/>
                <w:szCs w:val="20"/>
              </w:rPr>
              <w:t>Mặt cắt 3-3</w:t>
            </w:r>
          </w:p>
        </w:tc>
        <w:tc>
          <w:tcPr>
            <w:tcW w:w="2393" w:type="dxa"/>
            <w:noWrap/>
            <w:vAlign w:val="center"/>
          </w:tcPr>
          <w:p w14:paraId="69DD571E">
            <w:pPr>
              <w:jc w:val="center"/>
              <w:rPr>
                <w:color w:val="000000"/>
                <w:sz w:val="20"/>
                <w:szCs w:val="20"/>
              </w:rPr>
            </w:pPr>
            <w:r>
              <w:rPr>
                <w:color w:val="000000"/>
                <w:sz w:val="20"/>
                <w:szCs w:val="20"/>
              </w:rPr>
              <w:t>Một mặt tiền</w:t>
            </w:r>
          </w:p>
        </w:tc>
        <w:tc>
          <w:tcPr>
            <w:tcW w:w="1198" w:type="dxa"/>
            <w:noWrap/>
            <w:vAlign w:val="center"/>
          </w:tcPr>
          <w:p w14:paraId="6B6410CF">
            <w:pPr>
              <w:jc w:val="center"/>
              <w:rPr>
                <w:color w:val="000000"/>
                <w:sz w:val="20"/>
                <w:szCs w:val="20"/>
              </w:rPr>
            </w:pPr>
            <w:r>
              <w:rPr>
                <w:color w:val="000000"/>
                <w:sz w:val="20"/>
                <w:szCs w:val="20"/>
              </w:rPr>
              <w:t>8.000.000</w:t>
            </w:r>
          </w:p>
        </w:tc>
        <w:tc>
          <w:tcPr>
            <w:tcW w:w="1236" w:type="dxa"/>
            <w:noWrap/>
            <w:vAlign w:val="center"/>
          </w:tcPr>
          <w:p w14:paraId="78E5B927">
            <w:pPr>
              <w:jc w:val="center"/>
              <w:rPr>
                <w:color w:val="000000"/>
                <w:sz w:val="20"/>
                <w:szCs w:val="20"/>
              </w:rPr>
            </w:pPr>
          </w:p>
        </w:tc>
        <w:tc>
          <w:tcPr>
            <w:tcW w:w="1252" w:type="dxa"/>
            <w:noWrap/>
            <w:vAlign w:val="center"/>
          </w:tcPr>
          <w:p w14:paraId="1FFCF2FF">
            <w:pPr>
              <w:jc w:val="center"/>
              <w:rPr>
                <w:color w:val="000000"/>
                <w:sz w:val="20"/>
                <w:szCs w:val="20"/>
              </w:rPr>
            </w:pPr>
            <w:r>
              <w:rPr>
                <w:color w:val="000000"/>
                <w:sz w:val="20"/>
                <w:szCs w:val="20"/>
              </w:rPr>
              <w:t>8.000.000</w:t>
            </w:r>
          </w:p>
        </w:tc>
        <w:tc>
          <w:tcPr>
            <w:tcW w:w="1848" w:type="dxa"/>
            <w:noWrap/>
            <w:vAlign w:val="center"/>
          </w:tcPr>
          <w:p w14:paraId="4602F4C8">
            <w:pPr>
              <w:jc w:val="center"/>
              <w:rPr>
                <w:color w:val="000000"/>
                <w:sz w:val="20"/>
                <w:szCs w:val="20"/>
              </w:rPr>
            </w:pPr>
            <w:r>
              <w:rPr>
                <w:color w:val="000000"/>
                <w:sz w:val="20"/>
                <w:szCs w:val="20"/>
              </w:rPr>
              <w:t>720.000.000</w:t>
            </w:r>
          </w:p>
        </w:tc>
      </w:tr>
      <w:tr w14:paraId="7A5D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735D8FA">
            <w:pPr>
              <w:jc w:val="center"/>
              <w:rPr>
                <w:b/>
                <w:bCs/>
                <w:color w:val="000000"/>
                <w:sz w:val="20"/>
                <w:szCs w:val="20"/>
              </w:rPr>
            </w:pPr>
            <w:r>
              <w:rPr>
                <w:b/>
                <w:bCs/>
                <w:color w:val="000000"/>
                <w:sz w:val="20"/>
                <w:szCs w:val="20"/>
              </w:rPr>
              <w:t>LK29</w:t>
            </w:r>
          </w:p>
        </w:tc>
        <w:tc>
          <w:tcPr>
            <w:tcW w:w="1802" w:type="dxa"/>
            <w:vAlign w:val="center"/>
          </w:tcPr>
          <w:p w14:paraId="37D1A0A6">
            <w:pPr>
              <w:jc w:val="center"/>
              <w:rPr>
                <w:color w:val="000000"/>
                <w:sz w:val="20"/>
                <w:szCs w:val="20"/>
              </w:rPr>
            </w:pPr>
            <w:r>
              <w:rPr>
                <w:color w:val="000000"/>
                <w:sz w:val="20"/>
                <w:szCs w:val="20"/>
              </w:rPr>
              <w:t>LK29:04</w:t>
            </w:r>
          </w:p>
        </w:tc>
        <w:tc>
          <w:tcPr>
            <w:tcW w:w="1033" w:type="dxa"/>
            <w:noWrap/>
            <w:vAlign w:val="center"/>
          </w:tcPr>
          <w:p w14:paraId="000CD221">
            <w:pPr>
              <w:jc w:val="center"/>
              <w:rPr>
                <w:color w:val="000000"/>
                <w:sz w:val="20"/>
                <w:szCs w:val="20"/>
              </w:rPr>
            </w:pPr>
            <w:r>
              <w:rPr>
                <w:color w:val="000000"/>
                <w:sz w:val="20"/>
                <w:szCs w:val="20"/>
              </w:rPr>
              <w:t>90,00</w:t>
            </w:r>
          </w:p>
        </w:tc>
        <w:tc>
          <w:tcPr>
            <w:tcW w:w="846" w:type="dxa"/>
            <w:noWrap/>
            <w:vAlign w:val="center"/>
          </w:tcPr>
          <w:p w14:paraId="06E5FCF4">
            <w:pPr>
              <w:jc w:val="center"/>
              <w:rPr>
                <w:color w:val="000000"/>
                <w:sz w:val="20"/>
                <w:szCs w:val="20"/>
              </w:rPr>
            </w:pPr>
            <w:r>
              <w:rPr>
                <w:color w:val="000000"/>
                <w:sz w:val="20"/>
                <w:szCs w:val="20"/>
              </w:rPr>
              <w:t>1</w:t>
            </w:r>
          </w:p>
        </w:tc>
        <w:tc>
          <w:tcPr>
            <w:tcW w:w="2578" w:type="dxa"/>
            <w:noWrap/>
            <w:vAlign w:val="center"/>
          </w:tcPr>
          <w:p w14:paraId="4025E2A0">
            <w:pPr>
              <w:jc w:val="center"/>
              <w:rPr>
                <w:color w:val="000000"/>
                <w:sz w:val="20"/>
                <w:szCs w:val="20"/>
              </w:rPr>
            </w:pPr>
            <w:r>
              <w:rPr>
                <w:color w:val="000000"/>
                <w:sz w:val="20"/>
                <w:szCs w:val="20"/>
              </w:rPr>
              <w:t>Mặt cắt 3-3</w:t>
            </w:r>
          </w:p>
        </w:tc>
        <w:tc>
          <w:tcPr>
            <w:tcW w:w="2393" w:type="dxa"/>
            <w:noWrap/>
            <w:vAlign w:val="center"/>
          </w:tcPr>
          <w:p w14:paraId="0873EE49">
            <w:pPr>
              <w:jc w:val="center"/>
              <w:rPr>
                <w:color w:val="000000"/>
                <w:sz w:val="20"/>
                <w:szCs w:val="20"/>
              </w:rPr>
            </w:pPr>
            <w:r>
              <w:rPr>
                <w:color w:val="000000"/>
                <w:sz w:val="20"/>
                <w:szCs w:val="20"/>
              </w:rPr>
              <w:t>Một mặt tiền</w:t>
            </w:r>
          </w:p>
        </w:tc>
        <w:tc>
          <w:tcPr>
            <w:tcW w:w="1198" w:type="dxa"/>
            <w:noWrap/>
            <w:vAlign w:val="center"/>
          </w:tcPr>
          <w:p w14:paraId="628925D5">
            <w:pPr>
              <w:jc w:val="center"/>
              <w:rPr>
                <w:color w:val="000000"/>
                <w:sz w:val="20"/>
                <w:szCs w:val="20"/>
              </w:rPr>
            </w:pPr>
            <w:r>
              <w:rPr>
                <w:color w:val="000000"/>
                <w:sz w:val="20"/>
                <w:szCs w:val="20"/>
              </w:rPr>
              <w:t>8.000.000</w:t>
            </w:r>
          </w:p>
        </w:tc>
        <w:tc>
          <w:tcPr>
            <w:tcW w:w="1236" w:type="dxa"/>
            <w:noWrap/>
            <w:vAlign w:val="center"/>
          </w:tcPr>
          <w:p w14:paraId="427D48E0">
            <w:pPr>
              <w:jc w:val="center"/>
              <w:rPr>
                <w:color w:val="000000"/>
                <w:sz w:val="20"/>
                <w:szCs w:val="20"/>
              </w:rPr>
            </w:pPr>
          </w:p>
        </w:tc>
        <w:tc>
          <w:tcPr>
            <w:tcW w:w="1252" w:type="dxa"/>
            <w:noWrap/>
            <w:vAlign w:val="center"/>
          </w:tcPr>
          <w:p w14:paraId="5B6193D0">
            <w:pPr>
              <w:jc w:val="center"/>
              <w:rPr>
                <w:color w:val="000000"/>
                <w:sz w:val="20"/>
                <w:szCs w:val="20"/>
              </w:rPr>
            </w:pPr>
            <w:r>
              <w:rPr>
                <w:color w:val="000000"/>
                <w:sz w:val="20"/>
                <w:szCs w:val="20"/>
              </w:rPr>
              <w:t>8.000.000</w:t>
            </w:r>
          </w:p>
        </w:tc>
        <w:tc>
          <w:tcPr>
            <w:tcW w:w="1848" w:type="dxa"/>
            <w:noWrap/>
            <w:vAlign w:val="center"/>
          </w:tcPr>
          <w:p w14:paraId="4970759E">
            <w:pPr>
              <w:jc w:val="center"/>
              <w:rPr>
                <w:color w:val="000000"/>
                <w:sz w:val="20"/>
                <w:szCs w:val="20"/>
              </w:rPr>
            </w:pPr>
            <w:r>
              <w:rPr>
                <w:color w:val="000000"/>
                <w:sz w:val="20"/>
                <w:szCs w:val="20"/>
              </w:rPr>
              <w:t>720.000.000</w:t>
            </w:r>
          </w:p>
        </w:tc>
      </w:tr>
      <w:tr w14:paraId="3F8F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ECF954C">
            <w:pPr>
              <w:jc w:val="center"/>
              <w:rPr>
                <w:b/>
                <w:bCs/>
                <w:color w:val="000000"/>
                <w:sz w:val="20"/>
                <w:szCs w:val="20"/>
              </w:rPr>
            </w:pPr>
            <w:r>
              <w:rPr>
                <w:b/>
                <w:bCs/>
                <w:color w:val="000000"/>
                <w:sz w:val="20"/>
                <w:szCs w:val="20"/>
              </w:rPr>
              <w:t>LK29</w:t>
            </w:r>
          </w:p>
        </w:tc>
        <w:tc>
          <w:tcPr>
            <w:tcW w:w="1802" w:type="dxa"/>
            <w:vAlign w:val="center"/>
          </w:tcPr>
          <w:p w14:paraId="5C9F5A8D">
            <w:pPr>
              <w:jc w:val="center"/>
              <w:rPr>
                <w:color w:val="000000"/>
                <w:sz w:val="20"/>
                <w:szCs w:val="20"/>
              </w:rPr>
            </w:pPr>
            <w:r>
              <w:rPr>
                <w:color w:val="000000"/>
                <w:sz w:val="20"/>
                <w:szCs w:val="20"/>
              </w:rPr>
              <w:t>LK29:05</w:t>
            </w:r>
          </w:p>
        </w:tc>
        <w:tc>
          <w:tcPr>
            <w:tcW w:w="1033" w:type="dxa"/>
            <w:noWrap/>
            <w:vAlign w:val="center"/>
          </w:tcPr>
          <w:p w14:paraId="6861BA2C">
            <w:pPr>
              <w:jc w:val="center"/>
              <w:rPr>
                <w:color w:val="000000"/>
                <w:sz w:val="20"/>
                <w:szCs w:val="20"/>
              </w:rPr>
            </w:pPr>
            <w:r>
              <w:rPr>
                <w:color w:val="000000"/>
                <w:sz w:val="20"/>
                <w:szCs w:val="20"/>
              </w:rPr>
              <w:t>90,00</w:t>
            </w:r>
          </w:p>
        </w:tc>
        <w:tc>
          <w:tcPr>
            <w:tcW w:w="846" w:type="dxa"/>
            <w:noWrap/>
            <w:vAlign w:val="center"/>
          </w:tcPr>
          <w:p w14:paraId="083019DB">
            <w:pPr>
              <w:jc w:val="center"/>
              <w:rPr>
                <w:color w:val="000000"/>
                <w:sz w:val="20"/>
                <w:szCs w:val="20"/>
              </w:rPr>
            </w:pPr>
            <w:r>
              <w:rPr>
                <w:color w:val="000000"/>
                <w:sz w:val="20"/>
                <w:szCs w:val="20"/>
              </w:rPr>
              <w:t>1</w:t>
            </w:r>
          </w:p>
        </w:tc>
        <w:tc>
          <w:tcPr>
            <w:tcW w:w="2578" w:type="dxa"/>
            <w:noWrap/>
            <w:vAlign w:val="center"/>
          </w:tcPr>
          <w:p w14:paraId="385CA14E">
            <w:pPr>
              <w:jc w:val="center"/>
              <w:rPr>
                <w:color w:val="000000"/>
                <w:sz w:val="20"/>
                <w:szCs w:val="20"/>
              </w:rPr>
            </w:pPr>
            <w:r>
              <w:rPr>
                <w:color w:val="000000"/>
                <w:sz w:val="20"/>
                <w:szCs w:val="20"/>
              </w:rPr>
              <w:t>Mặt cắt 3-3</w:t>
            </w:r>
          </w:p>
        </w:tc>
        <w:tc>
          <w:tcPr>
            <w:tcW w:w="2393" w:type="dxa"/>
            <w:noWrap/>
            <w:vAlign w:val="center"/>
          </w:tcPr>
          <w:p w14:paraId="54A4F065">
            <w:pPr>
              <w:jc w:val="center"/>
              <w:rPr>
                <w:color w:val="000000"/>
                <w:sz w:val="20"/>
                <w:szCs w:val="20"/>
              </w:rPr>
            </w:pPr>
            <w:r>
              <w:rPr>
                <w:color w:val="000000"/>
                <w:sz w:val="20"/>
                <w:szCs w:val="20"/>
              </w:rPr>
              <w:t>Một mặt tiền</w:t>
            </w:r>
          </w:p>
        </w:tc>
        <w:tc>
          <w:tcPr>
            <w:tcW w:w="1198" w:type="dxa"/>
            <w:noWrap/>
            <w:vAlign w:val="center"/>
          </w:tcPr>
          <w:p w14:paraId="56A74255">
            <w:pPr>
              <w:jc w:val="center"/>
              <w:rPr>
                <w:color w:val="000000"/>
                <w:sz w:val="20"/>
                <w:szCs w:val="20"/>
              </w:rPr>
            </w:pPr>
            <w:r>
              <w:rPr>
                <w:color w:val="000000"/>
                <w:sz w:val="20"/>
                <w:szCs w:val="20"/>
              </w:rPr>
              <w:t>8.000.000</w:t>
            </w:r>
          </w:p>
        </w:tc>
        <w:tc>
          <w:tcPr>
            <w:tcW w:w="1236" w:type="dxa"/>
            <w:noWrap/>
            <w:vAlign w:val="center"/>
          </w:tcPr>
          <w:p w14:paraId="69A8A971">
            <w:pPr>
              <w:jc w:val="center"/>
              <w:rPr>
                <w:color w:val="000000"/>
                <w:sz w:val="20"/>
                <w:szCs w:val="20"/>
              </w:rPr>
            </w:pPr>
          </w:p>
        </w:tc>
        <w:tc>
          <w:tcPr>
            <w:tcW w:w="1252" w:type="dxa"/>
            <w:noWrap/>
            <w:vAlign w:val="center"/>
          </w:tcPr>
          <w:p w14:paraId="067949D8">
            <w:pPr>
              <w:jc w:val="center"/>
              <w:rPr>
                <w:color w:val="000000"/>
                <w:sz w:val="20"/>
                <w:szCs w:val="20"/>
              </w:rPr>
            </w:pPr>
            <w:r>
              <w:rPr>
                <w:color w:val="000000"/>
                <w:sz w:val="20"/>
                <w:szCs w:val="20"/>
              </w:rPr>
              <w:t>8.000.000</w:t>
            </w:r>
          </w:p>
        </w:tc>
        <w:tc>
          <w:tcPr>
            <w:tcW w:w="1848" w:type="dxa"/>
            <w:noWrap/>
            <w:vAlign w:val="center"/>
          </w:tcPr>
          <w:p w14:paraId="76128542">
            <w:pPr>
              <w:jc w:val="center"/>
              <w:rPr>
                <w:color w:val="000000"/>
                <w:sz w:val="20"/>
                <w:szCs w:val="20"/>
              </w:rPr>
            </w:pPr>
            <w:r>
              <w:rPr>
                <w:color w:val="000000"/>
                <w:sz w:val="20"/>
                <w:szCs w:val="20"/>
              </w:rPr>
              <w:t>720.000.000</w:t>
            </w:r>
          </w:p>
        </w:tc>
      </w:tr>
      <w:tr w14:paraId="4A6D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821CD5">
            <w:pPr>
              <w:jc w:val="center"/>
              <w:rPr>
                <w:b/>
                <w:bCs/>
                <w:color w:val="000000"/>
                <w:sz w:val="20"/>
                <w:szCs w:val="20"/>
              </w:rPr>
            </w:pPr>
            <w:r>
              <w:rPr>
                <w:b/>
                <w:bCs/>
                <w:color w:val="000000"/>
                <w:sz w:val="20"/>
                <w:szCs w:val="20"/>
              </w:rPr>
              <w:t>LK29</w:t>
            </w:r>
          </w:p>
        </w:tc>
        <w:tc>
          <w:tcPr>
            <w:tcW w:w="1802" w:type="dxa"/>
            <w:vAlign w:val="center"/>
          </w:tcPr>
          <w:p w14:paraId="61990E37">
            <w:pPr>
              <w:jc w:val="center"/>
              <w:rPr>
                <w:color w:val="000000"/>
                <w:sz w:val="20"/>
                <w:szCs w:val="20"/>
              </w:rPr>
            </w:pPr>
            <w:r>
              <w:rPr>
                <w:color w:val="000000"/>
                <w:sz w:val="20"/>
                <w:szCs w:val="20"/>
              </w:rPr>
              <w:t>LK29:06</w:t>
            </w:r>
          </w:p>
        </w:tc>
        <w:tc>
          <w:tcPr>
            <w:tcW w:w="1033" w:type="dxa"/>
            <w:noWrap/>
            <w:vAlign w:val="center"/>
          </w:tcPr>
          <w:p w14:paraId="47C3311E">
            <w:pPr>
              <w:jc w:val="center"/>
              <w:rPr>
                <w:color w:val="000000"/>
                <w:sz w:val="20"/>
                <w:szCs w:val="20"/>
              </w:rPr>
            </w:pPr>
            <w:r>
              <w:rPr>
                <w:color w:val="000000"/>
                <w:sz w:val="20"/>
                <w:szCs w:val="20"/>
              </w:rPr>
              <w:t>90,00</w:t>
            </w:r>
          </w:p>
        </w:tc>
        <w:tc>
          <w:tcPr>
            <w:tcW w:w="846" w:type="dxa"/>
            <w:noWrap/>
            <w:vAlign w:val="center"/>
          </w:tcPr>
          <w:p w14:paraId="26401D46">
            <w:pPr>
              <w:jc w:val="center"/>
              <w:rPr>
                <w:color w:val="000000"/>
                <w:sz w:val="20"/>
                <w:szCs w:val="20"/>
              </w:rPr>
            </w:pPr>
            <w:r>
              <w:rPr>
                <w:color w:val="000000"/>
                <w:sz w:val="20"/>
                <w:szCs w:val="20"/>
              </w:rPr>
              <w:t>1</w:t>
            </w:r>
          </w:p>
        </w:tc>
        <w:tc>
          <w:tcPr>
            <w:tcW w:w="2578" w:type="dxa"/>
            <w:noWrap/>
            <w:vAlign w:val="center"/>
          </w:tcPr>
          <w:p w14:paraId="04AFC3F3">
            <w:pPr>
              <w:jc w:val="center"/>
              <w:rPr>
                <w:color w:val="000000"/>
                <w:sz w:val="20"/>
                <w:szCs w:val="20"/>
              </w:rPr>
            </w:pPr>
            <w:r>
              <w:rPr>
                <w:color w:val="000000"/>
                <w:sz w:val="20"/>
                <w:szCs w:val="20"/>
              </w:rPr>
              <w:t>Mặt cắt 3-3</w:t>
            </w:r>
          </w:p>
        </w:tc>
        <w:tc>
          <w:tcPr>
            <w:tcW w:w="2393" w:type="dxa"/>
            <w:noWrap/>
            <w:vAlign w:val="center"/>
          </w:tcPr>
          <w:p w14:paraId="65FCF99F">
            <w:pPr>
              <w:jc w:val="center"/>
              <w:rPr>
                <w:color w:val="000000"/>
                <w:sz w:val="20"/>
                <w:szCs w:val="20"/>
              </w:rPr>
            </w:pPr>
            <w:r>
              <w:rPr>
                <w:color w:val="000000"/>
                <w:sz w:val="20"/>
                <w:szCs w:val="20"/>
              </w:rPr>
              <w:t>Một mặt tiền</w:t>
            </w:r>
          </w:p>
        </w:tc>
        <w:tc>
          <w:tcPr>
            <w:tcW w:w="1198" w:type="dxa"/>
            <w:noWrap/>
            <w:vAlign w:val="center"/>
          </w:tcPr>
          <w:p w14:paraId="35013961">
            <w:pPr>
              <w:jc w:val="center"/>
              <w:rPr>
                <w:color w:val="000000"/>
                <w:sz w:val="20"/>
                <w:szCs w:val="20"/>
              </w:rPr>
            </w:pPr>
            <w:r>
              <w:rPr>
                <w:color w:val="000000"/>
                <w:sz w:val="20"/>
                <w:szCs w:val="20"/>
              </w:rPr>
              <w:t>8.000.000</w:t>
            </w:r>
          </w:p>
        </w:tc>
        <w:tc>
          <w:tcPr>
            <w:tcW w:w="1236" w:type="dxa"/>
            <w:noWrap/>
            <w:vAlign w:val="center"/>
          </w:tcPr>
          <w:p w14:paraId="0B03184E">
            <w:pPr>
              <w:jc w:val="center"/>
              <w:rPr>
                <w:color w:val="000000"/>
                <w:sz w:val="20"/>
                <w:szCs w:val="20"/>
              </w:rPr>
            </w:pPr>
          </w:p>
        </w:tc>
        <w:tc>
          <w:tcPr>
            <w:tcW w:w="1252" w:type="dxa"/>
            <w:noWrap/>
            <w:vAlign w:val="center"/>
          </w:tcPr>
          <w:p w14:paraId="10C8288D">
            <w:pPr>
              <w:jc w:val="center"/>
              <w:rPr>
                <w:color w:val="000000"/>
                <w:sz w:val="20"/>
                <w:szCs w:val="20"/>
              </w:rPr>
            </w:pPr>
            <w:r>
              <w:rPr>
                <w:color w:val="000000"/>
                <w:sz w:val="20"/>
                <w:szCs w:val="20"/>
              </w:rPr>
              <w:t>8.000.000</w:t>
            </w:r>
          </w:p>
        </w:tc>
        <w:tc>
          <w:tcPr>
            <w:tcW w:w="1848" w:type="dxa"/>
            <w:noWrap/>
            <w:vAlign w:val="center"/>
          </w:tcPr>
          <w:p w14:paraId="69C8763F">
            <w:pPr>
              <w:jc w:val="center"/>
              <w:rPr>
                <w:color w:val="000000"/>
                <w:sz w:val="20"/>
                <w:szCs w:val="20"/>
              </w:rPr>
            </w:pPr>
            <w:r>
              <w:rPr>
                <w:color w:val="000000"/>
                <w:sz w:val="20"/>
                <w:szCs w:val="20"/>
              </w:rPr>
              <w:t>720.000.000</w:t>
            </w:r>
          </w:p>
        </w:tc>
      </w:tr>
      <w:tr w14:paraId="680C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ED8922">
            <w:pPr>
              <w:jc w:val="center"/>
              <w:rPr>
                <w:b/>
                <w:bCs/>
                <w:color w:val="000000"/>
                <w:sz w:val="20"/>
                <w:szCs w:val="20"/>
              </w:rPr>
            </w:pPr>
            <w:r>
              <w:rPr>
                <w:b/>
                <w:bCs/>
                <w:color w:val="000000"/>
                <w:sz w:val="20"/>
                <w:szCs w:val="20"/>
              </w:rPr>
              <w:t>LK29</w:t>
            </w:r>
          </w:p>
        </w:tc>
        <w:tc>
          <w:tcPr>
            <w:tcW w:w="1802" w:type="dxa"/>
            <w:vAlign w:val="center"/>
          </w:tcPr>
          <w:p w14:paraId="1FB2B83E">
            <w:pPr>
              <w:jc w:val="center"/>
              <w:rPr>
                <w:color w:val="000000"/>
                <w:sz w:val="20"/>
                <w:szCs w:val="20"/>
              </w:rPr>
            </w:pPr>
            <w:r>
              <w:rPr>
                <w:color w:val="000000"/>
                <w:sz w:val="20"/>
                <w:szCs w:val="20"/>
              </w:rPr>
              <w:t>LK29:07</w:t>
            </w:r>
          </w:p>
        </w:tc>
        <w:tc>
          <w:tcPr>
            <w:tcW w:w="1033" w:type="dxa"/>
            <w:noWrap/>
            <w:vAlign w:val="center"/>
          </w:tcPr>
          <w:p w14:paraId="2652E2AA">
            <w:pPr>
              <w:jc w:val="center"/>
              <w:rPr>
                <w:color w:val="000000"/>
                <w:sz w:val="20"/>
                <w:szCs w:val="20"/>
              </w:rPr>
            </w:pPr>
            <w:r>
              <w:rPr>
                <w:color w:val="000000"/>
                <w:sz w:val="20"/>
                <w:szCs w:val="20"/>
              </w:rPr>
              <w:t>90,00</w:t>
            </w:r>
          </w:p>
        </w:tc>
        <w:tc>
          <w:tcPr>
            <w:tcW w:w="846" w:type="dxa"/>
            <w:noWrap/>
            <w:vAlign w:val="center"/>
          </w:tcPr>
          <w:p w14:paraId="54CE59D1">
            <w:pPr>
              <w:jc w:val="center"/>
              <w:rPr>
                <w:color w:val="000000"/>
                <w:sz w:val="20"/>
                <w:szCs w:val="20"/>
              </w:rPr>
            </w:pPr>
            <w:r>
              <w:rPr>
                <w:color w:val="000000"/>
                <w:sz w:val="20"/>
                <w:szCs w:val="20"/>
              </w:rPr>
              <w:t>1</w:t>
            </w:r>
          </w:p>
        </w:tc>
        <w:tc>
          <w:tcPr>
            <w:tcW w:w="2578" w:type="dxa"/>
            <w:noWrap/>
            <w:vAlign w:val="center"/>
          </w:tcPr>
          <w:p w14:paraId="0B587A66">
            <w:pPr>
              <w:jc w:val="center"/>
              <w:rPr>
                <w:color w:val="000000"/>
                <w:sz w:val="20"/>
                <w:szCs w:val="20"/>
              </w:rPr>
            </w:pPr>
            <w:r>
              <w:rPr>
                <w:color w:val="000000"/>
                <w:sz w:val="20"/>
                <w:szCs w:val="20"/>
              </w:rPr>
              <w:t>Mặt cắt 3-3</w:t>
            </w:r>
          </w:p>
        </w:tc>
        <w:tc>
          <w:tcPr>
            <w:tcW w:w="2393" w:type="dxa"/>
            <w:noWrap/>
            <w:vAlign w:val="center"/>
          </w:tcPr>
          <w:p w14:paraId="5C5C5BDE">
            <w:pPr>
              <w:jc w:val="center"/>
              <w:rPr>
                <w:color w:val="000000"/>
                <w:sz w:val="20"/>
                <w:szCs w:val="20"/>
              </w:rPr>
            </w:pPr>
            <w:r>
              <w:rPr>
                <w:color w:val="000000"/>
                <w:sz w:val="20"/>
                <w:szCs w:val="20"/>
              </w:rPr>
              <w:t>Một mặt tiền</w:t>
            </w:r>
          </w:p>
        </w:tc>
        <w:tc>
          <w:tcPr>
            <w:tcW w:w="1198" w:type="dxa"/>
            <w:noWrap/>
            <w:vAlign w:val="center"/>
          </w:tcPr>
          <w:p w14:paraId="5E3D320E">
            <w:pPr>
              <w:jc w:val="center"/>
              <w:rPr>
                <w:color w:val="000000"/>
                <w:sz w:val="20"/>
                <w:szCs w:val="20"/>
              </w:rPr>
            </w:pPr>
            <w:r>
              <w:rPr>
                <w:color w:val="000000"/>
                <w:sz w:val="20"/>
                <w:szCs w:val="20"/>
              </w:rPr>
              <w:t>8.000.000</w:t>
            </w:r>
          </w:p>
        </w:tc>
        <w:tc>
          <w:tcPr>
            <w:tcW w:w="1236" w:type="dxa"/>
            <w:noWrap/>
            <w:vAlign w:val="center"/>
          </w:tcPr>
          <w:p w14:paraId="6CB63E31">
            <w:pPr>
              <w:jc w:val="center"/>
              <w:rPr>
                <w:color w:val="000000"/>
                <w:sz w:val="20"/>
                <w:szCs w:val="20"/>
              </w:rPr>
            </w:pPr>
          </w:p>
        </w:tc>
        <w:tc>
          <w:tcPr>
            <w:tcW w:w="1252" w:type="dxa"/>
            <w:noWrap/>
            <w:vAlign w:val="center"/>
          </w:tcPr>
          <w:p w14:paraId="267CC85A">
            <w:pPr>
              <w:jc w:val="center"/>
              <w:rPr>
                <w:color w:val="000000"/>
                <w:sz w:val="20"/>
                <w:szCs w:val="20"/>
              </w:rPr>
            </w:pPr>
            <w:r>
              <w:rPr>
                <w:color w:val="000000"/>
                <w:sz w:val="20"/>
                <w:szCs w:val="20"/>
              </w:rPr>
              <w:t>8.000.000</w:t>
            </w:r>
          </w:p>
        </w:tc>
        <w:tc>
          <w:tcPr>
            <w:tcW w:w="1848" w:type="dxa"/>
            <w:noWrap/>
            <w:vAlign w:val="center"/>
          </w:tcPr>
          <w:p w14:paraId="1C1EE390">
            <w:pPr>
              <w:jc w:val="center"/>
              <w:rPr>
                <w:color w:val="000000"/>
                <w:sz w:val="20"/>
                <w:szCs w:val="20"/>
              </w:rPr>
            </w:pPr>
            <w:r>
              <w:rPr>
                <w:color w:val="000000"/>
                <w:sz w:val="20"/>
                <w:szCs w:val="20"/>
              </w:rPr>
              <w:t>720.000.000</w:t>
            </w:r>
          </w:p>
        </w:tc>
      </w:tr>
      <w:tr w14:paraId="77B4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E47A2CD">
            <w:pPr>
              <w:jc w:val="center"/>
              <w:rPr>
                <w:b/>
                <w:bCs/>
                <w:color w:val="000000"/>
                <w:sz w:val="20"/>
                <w:szCs w:val="20"/>
              </w:rPr>
            </w:pPr>
            <w:r>
              <w:rPr>
                <w:b/>
                <w:bCs/>
                <w:color w:val="000000"/>
                <w:sz w:val="20"/>
                <w:szCs w:val="20"/>
              </w:rPr>
              <w:t>LK29</w:t>
            </w:r>
          </w:p>
        </w:tc>
        <w:tc>
          <w:tcPr>
            <w:tcW w:w="1802" w:type="dxa"/>
            <w:vAlign w:val="center"/>
          </w:tcPr>
          <w:p w14:paraId="2D3D7348">
            <w:pPr>
              <w:jc w:val="center"/>
              <w:rPr>
                <w:color w:val="000000"/>
                <w:sz w:val="20"/>
                <w:szCs w:val="20"/>
              </w:rPr>
            </w:pPr>
            <w:r>
              <w:rPr>
                <w:color w:val="000000"/>
                <w:sz w:val="20"/>
                <w:szCs w:val="20"/>
              </w:rPr>
              <w:t>LK29:08</w:t>
            </w:r>
          </w:p>
        </w:tc>
        <w:tc>
          <w:tcPr>
            <w:tcW w:w="1033" w:type="dxa"/>
            <w:noWrap/>
            <w:vAlign w:val="center"/>
          </w:tcPr>
          <w:p w14:paraId="297C5EB5">
            <w:pPr>
              <w:jc w:val="center"/>
              <w:rPr>
                <w:color w:val="000000"/>
                <w:sz w:val="20"/>
                <w:szCs w:val="20"/>
              </w:rPr>
            </w:pPr>
            <w:r>
              <w:rPr>
                <w:color w:val="000000"/>
                <w:sz w:val="20"/>
                <w:szCs w:val="20"/>
              </w:rPr>
              <w:t>90,00</w:t>
            </w:r>
          </w:p>
        </w:tc>
        <w:tc>
          <w:tcPr>
            <w:tcW w:w="846" w:type="dxa"/>
            <w:noWrap/>
            <w:vAlign w:val="center"/>
          </w:tcPr>
          <w:p w14:paraId="234A1F85">
            <w:pPr>
              <w:jc w:val="center"/>
              <w:rPr>
                <w:color w:val="000000"/>
                <w:sz w:val="20"/>
                <w:szCs w:val="20"/>
              </w:rPr>
            </w:pPr>
            <w:r>
              <w:rPr>
                <w:color w:val="000000"/>
                <w:sz w:val="20"/>
                <w:szCs w:val="20"/>
              </w:rPr>
              <w:t>1</w:t>
            </w:r>
          </w:p>
        </w:tc>
        <w:tc>
          <w:tcPr>
            <w:tcW w:w="2578" w:type="dxa"/>
            <w:noWrap/>
            <w:vAlign w:val="center"/>
          </w:tcPr>
          <w:p w14:paraId="6DA7FC04">
            <w:pPr>
              <w:jc w:val="center"/>
              <w:rPr>
                <w:color w:val="000000"/>
                <w:sz w:val="20"/>
                <w:szCs w:val="20"/>
              </w:rPr>
            </w:pPr>
            <w:r>
              <w:rPr>
                <w:color w:val="000000"/>
                <w:sz w:val="20"/>
                <w:szCs w:val="20"/>
              </w:rPr>
              <w:t>Mặt cắt 3-3</w:t>
            </w:r>
          </w:p>
        </w:tc>
        <w:tc>
          <w:tcPr>
            <w:tcW w:w="2393" w:type="dxa"/>
            <w:noWrap/>
            <w:vAlign w:val="center"/>
          </w:tcPr>
          <w:p w14:paraId="607C2953">
            <w:pPr>
              <w:jc w:val="center"/>
              <w:rPr>
                <w:color w:val="000000"/>
                <w:sz w:val="20"/>
                <w:szCs w:val="20"/>
              </w:rPr>
            </w:pPr>
            <w:r>
              <w:rPr>
                <w:color w:val="000000"/>
                <w:sz w:val="20"/>
                <w:szCs w:val="20"/>
              </w:rPr>
              <w:t>Một mặt tiền</w:t>
            </w:r>
          </w:p>
        </w:tc>
        <w:tc>
          <w:tcPr>
            <w:tcW w:w="1198" w:type="dxa"/>
            <w:noWrap/>
            <w:vAlign w:val="center"/>
          </w:tcPr>
          <w:p w14:paraId="164A495E">
            <w:pPr>
              <w:jc w:val="center"/>
              <w:rPr>
                <w:color w:val="000000"/>
                <w:sz w:val="20"/>
                <w:szCs w:val="20"/>
              </w:rPr>
            </w:pPr>
            <w:r>
              <w:rPr>
                <w:color w:val="000000"/>
                <w:sz w:val="20"/>
                <w:szCs w:val="20"/>
              </w:rPr>
              <w:t>8.000.000</w:t>
            </w:r>
          </w:p>
        </w:tc>
        <w:tc>
          <w:tcPr>
            <w:tcW w:w="1236" w:type="dxa"/>
            <w:noWrap/>
            <w:vAlign w:val="center"/>
          </w:tcPr>
          <w:p w14:paraId="3AED6A6C">
            <w:pPr>
              <w:jc w:val="center"/>
              <w:rPr>
                <w:color w:val="000000"/>
                <w:sz w:val="20"/>
                <w:szCs w:val="20"/>
              </w:rPr>
            </w:pPr>
          </w:p>
        </w:tc>
        <w:tc>
          <w:tcPr>
            <w:tcW w:w="1252" w:type="dxa"/>
            <w:noWrap/>
            <w:vAlign w:val="center"/>
          </w:tcPr>
          <w:p w14:paraId="411891D1">
            <w:pPr>
              <w:jc w:val="center"/>
              <w:rPr>
                <w:color w:val="000000"/>
                <w:sz w:val="20"/>
                <w:szCs w:val="20"/>
              </w:rPr>
            </w:pPr>
            <w:r>
              <w:rPr>
                <w:color w:val="000000"/>
                <w:sz w:val="20"/>
                <w:szCs w:val="20"/>
              </w:rPr>
              <w:t>8.000.000</w:t>
            </w:r>
          </w:p>
        </w:tc>
        <w:tc>
          <w:tcPr>
            <w:tcW w:w="1848" w:type="dxa"/>
            <w:noWrap/>
            <w:vAlign w:val="center"/>
          </w:tcPr>
          <w:p w14:paraId="669EDDEF">
            <w:pPr>
              <w:jc w:val="center"/>
              <w:rPr>
                <w:color w:val="000000"/>
                <w:sz w:val="20"/>
                <w:szCs w:val="20"/>
              </w:rPr>
            </w:pPr>
            <w:r>
              <w:rPr>
                <w:color w:val="000000"/>
                <w:sz w:val="20"/>
                <w:szCs w:val="20"/>
              </w:rPr>
              <w:t>720.000.000</w:t>
            </w:r>
          </w:p>
        </w:tc>
      </w:tr>
      <w:tr w14:paraId="3046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5CBFD38">
            <w:pPr>
              <w:jc w:val="center"/>
              <w:rPr>
                <w:b/>
                <w:bCs/>
                <w:color w:val="000000"/>
                <w:sz w:val="20"/>
                <w:szCs w:val="20"/>
              </w:rPr>
            </w:pPr>
            <w:r>
              <w:rPr>
                <w:b/>
                <w:bCs/>
                <w:color w:val="000000"/>
                <w:sz w:val="20"/>
                <w:szCs w:val="20"/>
              </w:rPr>
              <w:t>LK29</w:t>
            </w:r>
          </w:p>
        </w:tc>
        <w:tc>
          <w:tcPr>
            <w:tcW w:w="1802" w:type="dxa"/>
            <w:vAlign w:val="center"/>
          </w:tcPr>
          <w:p w14:paraId="2DBE3592">
            <w:pPr>
              <w:jc w:val="center"/>
              <w:rPr>
                <w:color w:val="000000"/>
                <w:sz w:val="20"/>
                <w:szCs w:val="20"/>
              </w:rPr>
            </w:pPr>
            <w:r>
              <w:rPr>
                <w:color w:val="000000"/>
                <w:sz w:val="20"/>
                <w:szCs w:val="20"/>
              </w:rPr>
              <w:t>LK29:09</w:t>
            </w:r>
          </w:p>
        </w:tc>
        <w:tc>
          <w:tcPr>
            <w:tcW w:w="1033" w:type="dxa"/>
            <w:noWrap/>
            <w:vAlign w:val="center"/>
          </w:tcPr>
          <w:p w14:paraId="7519EEFD">
            <w:pPr>
              <w:jc w:val="center"/>
              <w:rPr>
                <w:color w:val="000000"/>
                <w:sz w:val="20"/>
                <w:szCs w:val="20"/>
              </w:rPr>
            </w:pPr>
            <w:r>
              <w:rPr>
                <w:color w:val="000000"/>
                <w:sz w:val="20"/>
                <w:szCs w:val="20"/>
              </w:rPr>
              <w:t>90,00</w:t>
            </w:r>
          </w:p>
        </w:tc>
        <w:tc>
          <w:tcPr>
            <w:tcW w:w="846" w:type="dxa"/>
            <w:noWrap/>
            <w:vAlign w:val="center"/>
          </w:tcPr>
          <w:p w14:paraId="7EF24EA7">
            <w:pPr>
              <w:jc w:val="center"/>
              <w:rPr>
                <w:color w:val="000000"/>
                <w:sz w:val="20"/>
                <w:szCs w:val="20"/>
              </w:rPr>
            </w:pPr>
            <w:r>
              <w:rPr>
                <w:color w:val="000000"/>
                <w:sz w:val="20"/>
                <w:szCs w:val="20"/>
              </w:rPr>
              <w:t>1</w:t>
            </w:r>
          </w:p>
        </w:tc>
        <w:tc>
          <w:tcPr>
            <w:tcW w:w="2578" w:type="dxa"/>
            <w:noWrap/>
            <w:vAlign w:val="center"/>
          </w:tcPr>
          <w:p w14:paraId="30C0487E">
            <w:pPr>
              <w:jc w:val="center"/>
              <w:rPr>
                <w:color w:val="000000"/>
                <w:sz w:val="20"/>
                <w:szCs w:val="20"/>
              </w:rPr>
            </w:pPr>
            <w:r>
              <w:rPr>
                <w:color w:val="000000"/>
                <w:sz w:val="20"/>
                <w:szCs w:val="20"/>
              </w:rPr>
              <w:t>Mặt cắt 3-3</w:t>
            </w:r>
          </w:p>
        </w:tc>
        <w:tc>
          <w:tcPr>
            <w:tcW w:w="2393" w:type="dxa"/>
            <w:noWrap/>
            <w:vAlign w:val="center"/>
          </w:tcPr>
          <w:p w14:paraId="5BA9CBEF">
            <w:pPr>
              <w:jc w:val="center"/>
              <w:rPr>
                <w:color w:val="000000"/>
                <w:sz w:val="20"/>
                <w:szCs w:val="20"/>
              </w:rPr>
            </w:pPr>
            <w:r>
              <w:rPr>
                <w:color w:val="000000"/>
                <w:sz w:val="20"/>
                <w:szCs w:val="20"/>
              </w:rPr>
              <w:t>Một mặt tiền</w:t>
            </w:r>
          </w:p>
        </w:tc>
        <w:tc>
          <w:tcPr>
            <w:tcW w:w="1198" w:type="dxa"/>
            <w:noWrap/>
            <w:vAlign w:val="center"/>
          </w:tcPr>
          <w:p w14:paraId="1C017894">
            <w:pPr>
              <w:jc w:val="center"/>
              <w:rPr>
                <w:color w:val="000000"/>
                <w:sz w:val="20"/>
                <w:szCs w:val="20"/>
              </w:rPr>
            </w:pPr>
            <w:r>
              <w:rPr>
                <w:color w:val="000000"/>
                <w:sz w:val="20"/>
                <w:szCs w:val="20"/>
              </w:rPr>
              <w:t>8.000.000</w:t>
            </w:r>
          </w:p>
        </w:tc>
        <w:tc>
          <w:tcPr>
            <w:tcW w:w="1236" w:type="dxa"/>
            <w:noWrap/>
            <w:vAlign w:val="center"/>
          </w:tcPr>
          <w:p w14:paraId="7F7B76B1">
            <w:pPr>
              <w:jc w:val="center"/>
              <w:rPr>
                <w:color w:val="000000"/>
                <w:sz w:val="20"/>
                <w:szCs w:val="20"/>
              </w:rPr>
            </w:pPr>
          </w:p>
        </w:tc>
        <w:tc>
          <w:tcPr>
            <w:tcW w:w="1252" w:type="dxa"/>
            <w:noWrap/>
            <w:vAlign w:val="center"/>
          </w:tcPr>
          <w:p w14:paraId="3E855598">
            <w:pPr>
              <w:jc w:val="center"/>
              <w:rPr>
                <w:color w:val="000000"/>
                <w:sz w:val="20"/>
                <w:szCs w:val="20"/>
              </w:rPr>
            </w:pPr>
            <w:r>
              <w:rPr>
                <w:color w:val="000000"/>
                <w:sz w:val="20"/>
                <w:szCs w:val="20"/>
              </w:rPr>
              <w:t>8.000.000</w:t>
            </w:r>
          </w:p>
        </w:tc>
        <w:tc>
          <w:tcPr>
            <w:tcW w:w="1848" w:type="dxa"/>
            <w:noWrap/>
            <w:vAlign w:val="center"/>
          </w:tcPr>
          <w:p w14:paraId="1C317446">
            <w:pPr>
              <w:jc w:val="center"/>
              <w:rPr>
                <w:color w:val="000000"/>
                <w:sz w:val="20"/>
                <w:szCs w:val="20"/>
              </w:rPr>
            </w:pPr>
            <w:r>
              <w:rPr>
                <w:color w:val="000000"/>
                <w:sz w:val="20"/>
                <w:szCs w:val="20"/>
              </w:rPr>
              <w:t>720.000.000</w:t>
            </w:r>
          </w:p>
        </w:tc>
      </w:tr>
      <w:tr w14:paraId="60FB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4DA1C6">
            <w:pPr>
              <w:jc w:val="center"/>
              <w:rPr>
                <w:b/>
                <w:bCs/>
                <w:color w:val="000000"/>
                <w:sz w:val="20"/>
                <w:szCs w:val="20"/>
              </w:rPr>
            </w:pPr>
            <w:r>
              <w:rPr>
                <w:b/>
                <w:bCs/>
                <w:color w:val="000000"/>
                <w:sz w:val="20"/>
                <w:szCs w:val="20"/>
              </w:rPr>
              <w:t>LK29</w:t>
            </w:r>
          </w:p>
        </w:tc>
        <w:tc>
          <w:tcPr>
            <w:tcW w:w="1802" w:type="dxa"/>
            <w:vAlign w:val="center"/>
          </w:tcPr>
          <w:p w14:paraId="1843D896">
            <w:pPr>
              <w:jc w:val="center"/>
              <w:rPr>
                <w:color w:val="000000"/>
                <w:sz w:val="20"/>
                <w:szCs w:val="20"/>
              </w:rPr>
            </w:pPr>
            <w:r>
              <w:rPr>
                <w:color w:val="000000"/>
                <w:sz w:val="20"/>
                <w:szCs w:val="20"/>
              </w:rPr>
              <w:t>LK29:10</w:t>
            </w:r>
          </w:p>
        </w:tc>
        <w:tc>
          <w:tcPr>
            <w:tcW w:w="1033" w:type="dxa"/>
            <w:noWrap/>
            <w:vAlign w:val="center"/>
          </w:tcPr>
          <w:p w14:paraId="7DD8BA0C">
            <w:pPr>
              <w:jc w:val="center"/>
              <w:rPr>
                <w:color w:val="000000"/>
                <w:sz w:val="20"/>
                <w:szCs w:val="20"/>
              </w:rPr>
            </w:pPr>
            <w:r>
              <w:rPr>
                <w:color w:val="000000"/>
                <w:sz w:val="20"/>
                <w:szCs w:val="20"/>
              </w:rPr>
              <w:t>90,00</w:t>
            </w:r>
          </w:p>
        </w:tc>
        <w:tc>
          <w:tcPr>
            <w:tcW w:w="846" w:type="dxa"/>
            <w:noWrap/>
            <w:vAlign w:val="center"/>
          </w:tcPr>
          <w:p w14:paraId="7E664A1A">
            <w:pPr>
              <w:jc w:val="center"/>
              <w:rPr>
                <w:color w:val="000000"/>
                <w:sz w:val="20"/>
                <w:szCs w:val="20"/>
              </w:rPr>
            </w:pPr>
            <w:r>
              <w:rPr>
                <w:color w:val="000000"/>
                <w:sz w:val="20"/>
                <w:szCs w:val="20"/>
              </w:rPr>
              <w:t>1</w:t>
            </w:r>
          </w:p>
        </w:tc>
        <w:tc>
          <w:tcPr>
            <w:tcW w:w="2578" w:type="dxa"/>
            <w:noWrap/>
            <w:vAlign w:val="center"/>
          </w:tcPr>
          <w:p w14:paraId="3535CF71">
            <w:pPr>
              <w:jc w:val="center"/>
              <w:rPr>
                <w:color w:val="000000"/>
                <w:sz w:val="20"/>
                <w:szCs w:val="20"/>
              </w:rPr>
            </w:pPr>
            <w:r>
              <w:rPr>
                <w:color w:val="000000"/>
                <w:sz w:val="20"/>
                <w:szCs w:val="20"/>
              </w:rPr>
              <w:t>Mặt cắt 3-3</w:t>
            </w:r>
          </w:p>
        </w:tc>
        <w:tc>
          <w:tcPr>
            <w:tcW w:w="2393" w:type="dxa"/>
            <w:noWrap/>
            <w:vAlign w:val="center"/>
          </w:tcPr>
          <w:p w14:paraId="6C63EF99">
            <w:pPr>
              <w:jc w:val="center"/>
              <w:rPr>
                <w:color w:val="000000"/>
                <w:sz w:val="20"/>
                <w:szCs w:val="20"/>
              </w:rPr>
            </w:pPr>
            <w:r>
              <w:rPr>
                <w:color w:val="000000"/>
                <w:sz w:val="20"/>
                <w:szCs w:val="20"/>
              </w:rPr>
              <w:t>Một mặt tiền</w:t>
            </w:r>
          </w:p>
        </w:tc>
        <w:tc>
          <w:tcPr>
            <w:tcW w:w="1198" w:type="dxa"/>
            <w:noWrap/>
            <w:vAlign w:val="center"/>
          </w:tcPr>
          <w:p w14:paraId="50EBC0B5">
            <w:pPr>
              <w:jc w:val="center"/>
              <w:rPr>
                <w:color w:val="000000"/>
                <w:sz w:val="20"/>
                <w:szCs w:val="20"/>
              </w:rPr>
            </w:pPr>
            <w:r>
              <w:rPr>
                <w:color w:val="000000"/>
                <w:sz w:val="20"/>
                <w:szCs w:val="20"/>
              </w:rPr>
              <w:t>8.000.000</w:t>
            </w:r>
          </w:p>
        </w:tc>
        <w:tc>
          <w:tcPr>
            <w:tcW w:w="1236" w:type="dxa"/>
            <w:noWrap/>
            <w:vAlign w:val="center"/>
          </w:tcPr>
          <w:p w14:paraId="7F4CD0F8">
            <w:pPr>
              <w:jc w:val="center"/>
              <w:rPr>
                <w:color w:val="000000"/>
                <w:sz w:val="20"/>
                <w:szCs w:val="20"/>
              </w:rPr>
            </w:pPr>
          </w:p>
        </w:tc>
        <w:tc>
          <w:tcPr>
            <w:tcW w:w="1252" w:type="dxa"/>
            <w:noWrap/>
            <w:vAlign w:val="center"/>
          </w:tcPr>
          <w:p w14:paraId="40F9A58B">
            <w:pPr>
              <w:jc w:val="center"/>
              <w:rPr>
                <w:color w:val="000000"/>
                <w:sz w:val="20"/>
                <w:szCs w:val="20"/>
              </w:rPr>
            </w:pPr>
            <w:r>
              <w:rPr>
                <w:color w:val="000000"/>
                <w:sz w:val="20"/>
                <w:szCs w:val="20"/>
              </w:rPr>
              <w:t>8.000.000</w:t>
            </w:r>
          </w:p>
        </w:tc>
        <w:tc>
          <w:tcPr>
            <w:tcW w:w="1848" w:type="dxa"/>
            <w:noWrap/>
            <w:vAlign w:val="center"/>
          </w:tcPr>
          <w:p w14:paraId="44508B41">
            <w:pPr>
              <w:jc w:val="center"/>
              <w:rPr>
                <w:color w:val="000000"/>
                <w:sz w:val="20"/>
                <w:szCs w:val="20"/>
              </w:rPr>
            </w:pPr>
            <w:r>
              <w:rPr>
                <w:color w:val="000000"/>
                <w:sz w:val="20"/>
                <w:szCs w:val="20"/>
              </w:rPr>
              <w:t>720.000.000</w:t>
            </w:r>
          </w:p>
        </w:tc>
      </w:tr>
      <w:tr w14:paraId="3D4A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C374AB4">
            <w:pPr>
              <w:jc w:val="center"/>
              <w:rPr>
                <w:b/>
                <w:bCs/>
                <w:color w:val="000000"/>
                <w:sz w:val="20"/>
                <w:szCs w:val="20"/>
              </w:rPr>
            </w:pPr>
            <w:r>
              <w:rPr>
                <w:b/>
                <w:bCs/>
                <w:color w:val="000000"/>
                <w:sz w:val="20"/>
                <w:szCs w:val="20"/>
              </w:rPr>
              <w:t>LK30</w:t>
            </w:r>
          </w:p>
        </w:tc>
        <w:tc>
          <w:tcPr>
            <w:tcW w:w="1802" w:type="dxa"/>
            <w:vAlign w:val="center"/>
          </w:tcPr>
          <w:p w14:paraId="103991F1">
            <w:pPr>
              <w:jc w:val="center"/>
              <w:rPr>
                <w:color w:val="000000"/>
                <w:sz w:val="20"/>
                <w:szCs w:val="20"/>
              </w:rPr>
            </w:pPr>
            <w:r>
              <w:rPr>
                <w:color w:val="000000"/>
                <w:sz w:val="20"/>
                <w:szCs w:val="20"/>
              </w:rPr>
              <w:t>LK30:01</w:t>
            </w:r>
          </w:p>
        </w:tc>
        <w:tc>
          <w:tcPr>
            <w:tcW w:w="1033" w:type="dxa"/>
            <w:noWrap/>
            <w:vAlign w:val="center"/>
          </w:tcPr>
          <w:p w14:paraId="0BA08705">
            <w:pPr>
              <w:jc w:val="center"/>
              <w:rPr>
                <w:color w:val="000000"/>
                <w:sz w:val="20"/>
                <w:szCs w:val="20"/>
              </w:rPr>
            </w:pPr>
            <w:r>
              <w:rPr>
                <w:color w:val="000000"/>
                <w:sz w:val="20"/>
                <w:szCs w:val="20"/>
              </w:rPr>
              <w:t>90,00</w:t>
            </w:r>
          </w:p>
        </w:tc>
        <w:tc>
          <w:tcPr>
            <w:tcW w:w="846" w:type="dxa"/>
            <w:noWrap/>
            <w:vAlign w:val="center"/>
          </w:tcPr>
          <w:p w14:paraId="286894B3">
            <w:pPr>
              <w:jc w:val="center"/>
              <w:rPr>
                <w:color w:val="000000"/>
                <w:sz w:val="20"/>
                <w:szCs w:val="20"/>
              </w:rPr>
            </w:pPr>
            <w:r>
              <w:rPr>
                <w:color w:val="000000"/>
                <w:sz w:val="20"/>
                <w:szCs w:val="20"/>
              </w:rPr>
              <w:t>1</w:t>
            </w:r>
          </w:p>
        </w:tc>
        <w:tc>
          <w:tcPr>
            <w:tcW w:w="2578" w:type="dxa"/>
            <w:noWrap/>
            <w:vAlign w:val="center"/>
          </w:tcPr>
          <w:p w14:paraId="4F1D4E40">
            <w:pPr>
              <w:jc w:val="center"/>
              <w:rPr>
                <w:color w:val="000000"/>
                <w:sz w:val="20"/>
                <w:szCs w:val="20"/>
              </w:rPr>
            </w:pPr>
            <w:r>
              <w:rPr>
                <w:color w:val="000000"/>
                <w:sz w:val="20"/>
                <w:szCs w:val="20"/>
              </w:rPr>
              <w:t>Mặt cắt 3-3</w:t>
            </w:r>
          </w:p>
        </w:tc>
        <w:tc>
          <w:tcPr>
            <w:tcW w:w="2393" w:type="dxa"/>
            <w:noWrap/>
            <w:vAlign w:val="center"/>
          </w:tcPr>
          <w:p w14:paraId="324FC212">
            <w:pPr>
              <w:jc w:val="center"/>
              <w:rPr>
                <w:color w:val="000000"/>
                <w:sz w:val="20"/>
                <w:szCs w:val="20"/>
              </w:rPr>
            </w:pPr>
            <w:r>
              <w:rPr>
                <w:color w:val="000000"/>
                <w:sz w:val="20"/>
                <w:szCs w:val="20"/>
              </w:rPr>
              <w:t>Một mặt tiền, đối diện/tiếp giáp CX-MN</w:t>
            </w:r>
          </w:p>
        </w:tc>
        <w:tc>
          <w:tcPr>
            <w:tcW w:w="1198" w:type="dxa"/>
            <w:noWrap/>
            <w:vAlign w:val="center"/>
          </w:tcPr>
          <w:p w14:paraId="38D4F7B1">
            <w:pPr>
              <w:jc w:val="center"/>
              <w:rPr>
                <w:color w:val="000000"/>
                <w:sz w:val="20"/>
                <w:szCs w:val="20"/>
              </w:rPr>
            </w:pPr>
            <w:r>
              <w:rPr>
                <w:color w:val="000000"/>
                <w:sz w:val="20"/>
                <w:szCs w:val="20"/>
              </w:rPr>
              <w:t>8.400.000</w:t>
            </w:r>
          </w:p>
        </w:tc>
        <w:tc>
          <w:tcPr>
            <w:tcW w:w="1236" w:type="dxa"/>
            <w:noWrap/>
            <w:vAlign w:val="center"/>
          </w:tcPr>
          <w:p w14:paraId="5D2F2242">
            <w:pPr>
              <w:jc w:val="center"/>
              <w:rPr>
                <w:color w:val="000000"/>
                <w:sz w:val="20"/>
                <w:szCs w:val="20"/>
              </w:rPr>
            </w:pPr>
          </w:p>
        </w:tc>
        <w:tc>
          <w:tcPr>
            <w:tcW w:w="1252" w:type="dxa"/>
            <w:noWrap/>
            <w:vAlign w:val="center"/>
          </w:tcPr>
          <w:p w14:paraId="74421976">
            <w:pPr>
              <w:jc w:val="center"/>
              <w:rPr>
                <w:color w:val="000000"/>
                <w:sz w:val="20"/>
                <w:szCs w:val="20"/>
              </w:rPr>
            </w:pPr>
            <w:r>
              <w:rPr>
                <w:color w:val="000000"/>
                <w:sz w:val="20"/>
                <w:szCs w:val="20"/>
              </w:rPr>
              <w:t>8.400.000</w:t>
            </w:r>
          </w:p>
        </w:tc>
        <w:tc>
          <w:tcPr>
            <w:tcW w:w="1848" w:type="dxa"/>
            <w:noWrap/>
            <w:vAlign w:val="center"/>
          </w:tcPr>
          <w:p w14:paraId="26D7BBC1">
            <w:pPr>
              <w:jc w:val="center"/>
              <w:rPr>
                <w:color w:val="000000"/>
                <w:sz w:val="20"/>
                <w:szCs w:val="20"/>
              </w:rPr>
            </w:pPr>
            <w:r>
              <w:rPr>
                <w:color w:val="000000"/>
                <w:sz w:val="20"/>
                <w:szCs w:val="20"/>
              </w:rPr>
              <w:t>756.000.000</w:t>
            </w:r>
          </w:p>
        </w:tc>
      </w:tr>
      <w:tr w14:paraId="71F5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E4DF24">
            <w:pPr>
              <w:jc w:val="center"/>
              <w:rPr>
                <w:b/>
                <w:bCs/>
                <w:color w:val="000000"/>
                <w:sz w:val="20"/>
                <w:szCs w:val="20"/>
              </w:rPr>
            </w:pPr>
            <w:r>
              <w:rPr>
                <w:b/>
                <w:bCs/>
                <w:color w:val="000000"/>
                <w:sz w:val="20"/>
                <w:szCs w:val="20"/>
              </w:rPr>
              <w:t>LK30</w:t>
            </w:r>
          </w:p>
        </w:tc>
        <w:tc>
          <w:tcPr>
            <w:tcW w:w="1802" w:type="dxa"/>
            <w:vAlign w:val="center"/>
          </w:tcPr>
          <w:p w14:paraId="2E515972">
            <w:pPr>
              <w:jc w:val="center"/>
              <w:rPr>
                <w:color w:val="000000"/>
                <w:sz w:val="20"/>
                <w:szCs w:val="20"/>
              </w:rPr>
            </w:pPr>
            <w:r>
              <w:rPr>
                <w:color w:val="000000"/>
                <w:sz w:val="20"/>
                <w:szCs w:val="20"/>
              </w:rPr>
              <w:t>LK30:02</w:t>
            </w:r>
          </w:p>
        </w:tc>
        <w:tc>
          <w:tcPr>
            <w:tcW w:w="1033" w:type="dxa"/>
            <w:noWrap/>
            <w:vAlign w:val="center"/>
          </w:tcPr>
          <w:p w14:paraId="01E13D83">
            <w:pPr>
              <w:jc w:val="center"/>
              <w:rPr>
                <w:color w:val="000000"/>
                <w:sz w:val="20"/>
                <w:szCs w:val="20"/>
              </w:rPr>
            </w:pPr>
            <w:r>
              <w:rPr>
                <w:color w:val="000000"/>
                <w:sz w:val="20"/>
                <w:szCs w:val="20"/>
              </w:rPr>
              <w:t>90,00</w:t>
            </w:r>
          </w:p>
        </w:tc>
        <w:tc>
          <w:tcPr>
            <w:tcW w:w="846" w:type="dxa"/>
            <w:noWrap/>
            <w:vAlign w:val="center"/>
          </w:tcPr>
          <w:p w14:paraId="39018EED">
            <w:pPr>
              <w:jc w:val="center"/>
              <w:rPr>
                <w:color w:val="000000"/>
                <w:sz w:val="20"/>
                <w:szCs w:val="20"/>
              </w:rPr>
            </w:pPr>
            <w:r>
              <w:rPr>
                <w:color w:val="000000"/>
                <w:sz w:val="20"/>
                <w:szCs w:val="20"/>
              </w:rPr>
              <w:t>1</w:t>
            </w:r>
          </w:p>
        </w:tc>
        <w:tc>
          <w:tcPr>
            <w:tcW w:w="2578" w:type="dxa"/>
            <w:noWrap/>
            <w:vAlign w:val="center"/>
          </w:tcPr>
          <w:p w14:paraId="0BD4E6C1">
            <w:pPr>
              <w:jc w:val="center"/>
              <w:rPr>
                <w:color w:val="000000"/>
                <w:sz w:val="20"/>
                <w:szCs w:val="20"/>
              </w:rPr>
            </w:pPr>
            <w:r>
              <w:rPr>
                <w:color w:val="000000"/>
                <w:sz w:val="20"/>
                <w:szCs w:val="20"/>
              </w:rPr>
              <w:t>Mặt cắt 3-3</w:t>
            </w:r>
          </w:p>
        </w:tc>
        <w:tc>
          <w:tcPr>
            <w:tcW w:w="2393" w:type="dxa"/>
            <w:noWrap/>
            <w:vAlign w:val="center"/>
          </w:tcPr>
          <w:p w14:paraId="01A53DA1">
            <w:pPr>
              <w:jc w:val="center"/>
              <w:rPr>
                <w:color w:val="000000"/>
                <w:sz w:val="20"/>
                <w:szCs w:val="20"/>
              </w:rPr>
            </w:pPr>
            <w:r>
              <w:rPr>
                <w:color w:val="000000"/>
                <w:sz w:val="20"/>
                <w:szCs w:val="20"/>
              </w:rPr>
              <w:t>Một mặt tiền, đối diện/tiếp giáp CX-MN</w:t>
            </w:r>
          </w:p>
        </w:tc>
        <w:tc>
          <w:tcPr>
            <w:tcW w:w="1198" w:type="dxa"/>
            <w:noWrap/>
            <w:vAlign w:val="center"/>
          </w:tcPr>
          <w:p w14:paraId="3B39EFDA">
            <w:pPr>
              <w:jc w:val="center"/>
              <w:rPr>
                <w:color w:val="000000"/>
                <w:sz w:val="20"/>
                <w:szCs w:val="20"/>
              </w:rPr>
            </w:pPr>
            <w:r>
              <w:rPr>
                <w:color w:val="000000"/>
                <w:sz w:val="20"/>
                <w:szCs w:val="20"/>
              </w:rPr>
              <w:t>8.400.000</w:t>
            </w:r>
          </w:p>
        </w:tc>
        <w:tc>
          <w:tcPr>
            <w:tcW w:w="1236" w:type="dxa"/>
            <w:noWrap/>
            <w:vAlign w:val="center"/>
          </w:tcPr>
          <w:p w14:paraId="38B35809">
            <w:pPr>
              <w:jc w:val="center"/>
              <w:rPr>
                <w:color w:val="000000"/>
                <w:sz w:val="20"/>
                <w:szCs w:val="20"/>
              </w:rPr>
            </w:pPr>
          </w:p>
        </w:tc>
        <w:tc>
          <w:tcPr>
            <w:tcW w:w="1252" w:type="dxa"/>
            <w:noWrap/>
            <w:vAlign w:val="center"/>
          </w:tcPr>
          <w:p w14:paraId="53452E68">
            <w:pPr>
              <w:jc w:val="center"/>
              <w:rPr>
                <w:color w:val="000000"/>
                <w:sz w:val="20"/>
                <w:szCs w:val="20"/>
              </w:rPr>
            </w:pPr>
            <w:r>
              <w:rPr>
                <w:color w:val="000000"/>
                <w:sz w:val="20"/>
                <w:szCs w:val="20"/>
              </w:rPr>
              <w:t>8.400.000</w:t>
            </w:r>
          </w:p>
        </w:tc>
        <w:tc>
          <w:tcPr>
            <w:tcW w:w="1848" w:type="dxa"/>
            <w:noWrap/>
            <w:vAlign w:val="center"/>
          </w:tcPr>
          <w:p w14:paraId="20121D28">
            <w:pPr>
              <w:jc w:val="center"/>
              <w:rPr>
                <w:color w:val="000000"/>
                <w:sz w:val="20"/>
                <w:szCs w:val="20"/>
              </w:rPr>
            </w:pPr>
            <w:r>
              <w:rPr>
                <w:color w:val="000000"/>
                <w:sz w:val="20"/>
                <w:szCs w:val="20"/>
              </w:rPr>
              <w:t>756.000.000</w:t>
            </w:r>
          </w:p>
        </w:tc>
      </w:tr>
      <w:tr w14:paraId="2A29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966BC11">
            <w:pPr>
              <w:jc w:val="center"/>
              <w:rPr>
                <w:b/>
                <w:bCs/>
                <w:color w:val="000000"/>
                <w:sz w:val="20"/>
                <w:szCs w:val="20"/>
              </w:rPr>
            </w:pPr>
            <w:r>
              <w:rPr>
                <w:b/>
                <w:bCs/>
                <w:color w:val="000000"/>
                <w:sz w:val="20"/>
                <w:szCs w:val="20"/>
              </w:rPr>
              <w:t>LK30</w:t>
            </w:r>
          </w:p>
        </w:tc>
        <w:tc>
          <w:tcPr>
            <w:tcW w:w="1802" w:type="dxa"/>
            <w:vAlign w:val="center"/>
          </w:tcPr>
          <w:p w14:paraId="2549C8CC">
            <w:pPr>
              <w:jc w:val="center"/>
              <w:rPr>
                <w:color w:val="000000"/>
                <w:sz w:val="20"/>
                <w:szCs w:val="20"/>
              </w:rPr>
            </w:pPr>
            <w:r>
              <w:rPr>
                <w:color w:val="000000"/>
                <w:sz w:val="20"/>
                <w:szCs w:val="20"/>
              </w:rPr>
              <w:t>LK30:03</w:t>
            </w:r>
          </w:p>
        </w:tc>
        <w:tc>
          <w:tcPr>
            <w:tcW w:w="1033" w:type="dxa"/>
            <w:noWrap/>
            <w:vAlign w:val="center"/>
          </w:tcPr>
          <w:p w14:paraId="1AA8EDD0">
            <w:pPr>
              <w:jc w:val="center"/>
              <w:rPr>
                <w:color w:val="000000"/>
                <w:sz w:val="20"/>
                <w:szCs w:val="20"/>
              </w:rPr>
            </w:pPr>
            <w:r>
              <w:rPr>
                <w:color w:val="000000"/>
                <w:sz w:val="20"/>
                <w:szCs w:val="20"/>
              </w:rPr>
              <w:t>90,00</w:t>
            </w:r>
          </w:p>
        </w:tc>
        <w:tc>
          <w:tcPr>
            <w:tcW w:w="846" w:type="dxa"/>
            <w:noWrap/>
            <w:vAlign w:val="center"/>
          </w:tcPr>
          <w:p w14:paraId="5DB804C6">
            <w:pPr>
              <w:jc w:val="center"/>
              <w:rPr>
                <w:color w:val="000000"/>
                <w:sz w:val="20"/>
                <w:szCs w:val="20"/>
              </w:rPr>
            </w:pPr>
            <w:r>
              <w:rPr>
                <w:color w:val="000000"/>
                <w:sz w:val="20"/>
                <w:szCs w:val="20"/>
              </w:rPr>
              <w:t>1</w:t>
            </w:r>
          </w:p>
        </w:tc>
        <w:tc>
          <w:tcPr>
            <w:tcW w:w="2578" w:type="dxa"/>
            <w:noWrap/>
            <w:vAlign w:val="center"/>
          </w:tcPr>
          <w:p w14:paraId="779C1351">
            <w:pPr>
              <w:jc w:val="center"/>
              <w:rPr>
                <w:color w:val="000000"/>
                <w:sz w:val="20"/>
                <w:szCs w:val="20"/>
              </w:rPr>
            </w:pPr>
            <w:r>
              <w:rPr>
                <w:color w:val="000000"/>
                <w:sz w:val="20"/>
                <w:szCs w:val="20"/>
              </w:rPr>
              <w:t>Mặt cắt 3-3</w:t>
            </w:r>
          </w:p>
        </w:tc>
        <w:tc>
          <w:tcPr>
            <w:tcW w:w="2393" w:type="dxa"/>
            <w:noWrap/>
            <w:vAlign w:val="center"/>
          </w:tcPr>
          <w:p w14:paraId="399E0024">
            <w:pPr>
              <w:jc w:val="center"/>
              <w:rPr>
                <w:color w:val="000000"/>
                <w:sz w:val="20"/>
                <w:szCs w:val="20"/>
              </w:rPr>
            </w:pPr>
            <w:r>
              <w:rPr>
                <w:color w:val="000000"/>
                <w:sz w:val="20"/>
                <w:szCs w:val="20"/>
              </w:rPr>
              <w:t>Một mặt tiền, đối diện/tiếp giáp CX-MN</w:t>
            </w:r>
          </w:p>
        </w:tc>
        <w:tc>
          <w:tcPr>
            <w:tcW w:w="1198" w:type="dxa"/>
            <w:noWrap/>
            <w:vAlign w:val="center"/>
          </w:tcPr>
          <w:p w14:paraId="7D782656">
            <w:pPr>
              <w:jc w:val="center"/>
              <w:rPr>
                <w:color w:val="000000"/>
                <w:sz w:val="20"/>
                <w:szCs w:val="20"/>
              </w:rPr>
            </w:pPr>
            <w:r>
              <w:rPr>
                <w:color w:val="000000"/>
                <w:sz w:val="20"/>
                <w:szCs w:val="20"/>
              </w:rPr>
              <w:t>8.400.000</w:t>
            </w:r>
          </w:p>
        </w:tc>
        <w:tc>
          <w:tcPr>
            <w:tcW w:w="1236" w:type="dxa"/>
            <w:noWrap/>
            <w:vAlign w:val="center"/>
          </w:tcPr>
          <w:p w14:paraId="0563B977">
            <w:pPr>
              <w:jc w:val="center"/>
              <w:rPr>
                <w:color w:val="000000"/>
                <w:sz w:val="20"/>
                <w:szCs w:val="20"/>
              </w:rPr>
            </w:pPr>
          </w:p>
        </w:tc>
        <w:tc>
          <w:tcPr>
            <w:tcW w:w="1252" w:type="dxa"/>
            <w:noWrap/>
            <w:vAlign w:val="center"/>
          </w:tcPr>
          <w:p w14:paraId="5DCEC665">
            <w:pPr>
              <w:jc w:val="center"/>
              <w:rPr>
                <w:color w:val="000000"/>
                <w:sz w:val="20"/>
                <w:szCs w:val="20"/>
              </w:rPr>
            </w:pPr>
            <w:r>
              <w:rPr>
                <w:color w:val="000000"/>
                <w:sz w:val="20"/>
                <w:szCs w:val="20"/>
              </w:rPr>
              <w:t>8.400.000</w:t>
            </w:r>
          </w:p>
        </w:tc>
        <w:tc>
          <w:tcPr>
            <w:tcW w:w="1848" w:type="dxa"/>
            <w:noWrap/>
            <w:vAlign w:val="center"/>
          </w:tcPr>
          <w:p w14:paraId="609E0B6C">
            <w:pPr>
              <w:jc w:val="center"/>
              <w:rPr>
                <w:color w:val="000000"/>
                <w:sz w:val="20"/>
                <w:szCs w:val="20"/>
              </w:rPr>
            </w:pPr>
            <w:r>
              <w:rPr>
                <w:color w:val="000000"/>
                <w:sz w:val="20"/>
                <w:szCs w:val="20"/>
              </w:rPr>
              <w:t>756.000.000</w:t>
            </w:r>
          </w:p>
        </w:tc>
      </w:tr>
      <w:tr w14:paraId="498B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62FAFA9">
            <w:pPr>
              <w:jc w:val="center"/>
              <w:rPr>
                <w:b/>
                <w:bCs/>
                <w:color w:val="000000"/>
                <w:sz w:val="20"/>
                <w:szCs w:val="20"/>
              </w:rPr>
            </w:pPr>
            <w:r>
              <w:rPr>
                <w:b/>
                <w:bCs/>
                <w:color w:val="000000"/>
                <w:sz w:val="20"/>
                <w:szCs w:val="20"/>
              </w:rPr>
              <w:t>LK30</w:t>
            </w:r>
          </w:p>
        </w:tc>
        <w:tc>
          <w:tcPr>
            <w:tcW w:w="1802" w:type="dxa"/>
            <w:vAlign w:val="center"/>
          </w:tcPr>
          <w:p w14:paraId="6E729945">
            <w:pPr>
              <w:jc w:val="center"/>
              <w:rPr>
                <w:color w:val="000000"/>
                <w:sz w:val="20"/>
                <w:szCs w:val="20"/>
              </w:rPr>
            </w:pPr>
            <w:r>
              <w:rPr>
                <w:color w:val="000000"/>
                <w:sz w:val="20"/>
                <w:szCs w:val="20"/>
              </w:rPr>
              <w:t>LK30:04</w:t>
            </w:r>
          </w:p>
        </w:tc>
        <w:tc>
          <w:tcPr>
            <w:tcW w:w="1033" w:type="dxa"/>
            <w:noWrap/>
            <w:vAlign w:val="center"/>
          </w:tcPr>
          <w:p w14:paraId="3D6ED2B8">
            <w:pPr>
              <w:jc w:val="center"/>
              <w:rPr>
                <w:color w:val="000000"/>
                <w:sz w:val="20"/>
                <w:szCs w:val="20"/>
              </w:rPr>
            </w:pPr>
            <w:r>
              <w:rPr>
                <w:color w:val="000000"/>
                <w:sz w:val="20"/>
                <w:szCs w:val="20"/>
              </w:rPr>
              <w:t>90,00</w:t>
            </w:r>
          </w:p>
        </w:tc>
        <w:tc>
          <w:tcPr>
            <w:tcW w:w="846" w:type="dxa"/>
            <w:noWrap/>
            <w:vAlign w:val="center"/>
          </w:tcPr>
          <w:p w14:paraId="5F96B0FD">
            <w:pPr>
              <w:jc w:val="center"/>
              <w:rPr>
                <w:color w:val="000000"/>
                <w:sz w:val="20"/>
                <w:szCs w:val="20"/>
              </w:rPr>
            </w:pPr>
            <w:r>
              <w:rPr>
                <w:color w:val="000000"/>
                <w:sz w:val="20"/>
                <w:szCs w:val="20"/>
              </w:rPr>
              <w:t>1</w:t>
            </w:r>
          </w:p>
        </w:tc>
        <w:tc>
          <w:tcPr>
            <w:tcW w:w="2578" w:type="dxa"/>
            <w:noWrap/>
            <w:vAlign w:val="center"/>
          </w:tcPr>
          <w:p w14:paraId="3310B313">
            <w:pPr>
              <w:jc w:val="center"/>
              <w:rPr>
                <w:color w:val="000000"/>
                <w:sz w:val="20"/>
                <w:szCs w:val="20"/>
              </w:rPr>
            </w:pPr>
            <w:r>
              <w:rPr>
                <w:color w:val="000000"/>
                <w:sz w:val="20"/>
                <w:szCs w:val="20"/>
              </w:rPr>
              <w:t>Mặt cắt 3-3</w:t>
            </w:r>
          </w:p>
        </w:tc>
        <w:tc>
          <w:tcPr>
            <w:tcW w:w="2393" w:type="dxa"/>
            <w:noWrap/>
            <w:vAlign w:val="center"/>
          </w:tcPr>
          <w:p w14:paraId="22B2BF96">
            <w:pPr>
              <w:jc w:val="center"/>
              <w:rPr>
                <w:color w:val="000000"/>
                <w:sz w:val="20"/>
                <w:szCs w:val="20"/>
              </w:rPr>
            </w:pPr>
            <w:r>
              <w:rPr>
                <w:color w:val="000000"/>
                <w:sz w:val="20"/>
                <w:szCs w:val="20"/>
              </w:rPr>
              <w:t>Một mặt tiền, đối diện/tiếp giáp CX-MN</w:t>
            </w:r>
          </w:p>
        </w:tc>
        <w:tc>
          <w:tcPr>
            <w:tcW w:w="1198" w:type="dxa"/>
            <w:noWrap/>
            <w:vAlign w:val="center"/>
          </w:tcPr>
          <w:p w14:paraId="3E6CB59C">
            <w:pPr>
              <w:jc w:val="center"/>
              <w:rPr>
                <w:color w:val="000000"/>
                <w:sz w:val="20"/>
                <w:szCs w:val="20"/>
              </w:rPr>
            </w:pPr>
            <w:r>
              <w:rPr>
                <w:color w:val="000000"/>
                <w:sz w:val="20"/>
                <w:szCs w:val="20"/>
              </w:rPr>
              <w:t>8.400.000</w:t>
            </w:r>
          </w:p>
        </w:tc>
        <w:tc>
          <w:tcPr>
            <w:tcW w:w="1236" w:type="dxa"/>
            <w:noWrap/>
            <w:vAlign w:val="center"/>
          </w:tcPr>
          <w:p w14:paraId="6B7FEC86">
            <w:pPr>
              <w:jc w:val="center"/>
              <w:rPr>
                <w:color w:val="000000"/>
                <w:sz w:val="20"/>
                <w:szCs w:val="20"/>
              </w:rPr>
            </w:pPr>
          </w:p>
        </w:tc>
        <w:tc>
          <w:tcPr>
            <w:tcW w:w="1252" w:type="dxa"/>
            <w:noWrap/>
            <w:vAlign w:val="center"/>
          </w:tcPr>
          <w:p w14:paraId="25A1BC21">
            <w:pPr>
              <w:jc w:val="center"/>
              <w:rPr>
                <w:color w:val="000000"/>
                <w:sz w:val="20"/>
                <w:szCs w:val="20"/>
              </w:rPr>
            </w:pPr>
            <w:r>
              <w:rPr>
                <w:color w:val="000000"/>
                <w:sz w:val="20"/>
                <w:szCs w:val="20"/>
              </w:rPr>
              <w:t>8.400.000</w:t>
            </w:r>
          </w:p>
        </w:tc>
        <w:tc>
          <w:tcPr>
            <w:tcW w:w="1848" w:type="dxa"/>
            <w:noWrap/>
            <w:vAlign w:val="center"/>
          </w:tcPr>
          <w:p w14:paraId="48BB03BF">
            <w:pPr>
              <w:jc w:val="center"/>
              <w:rPr>
                <w:color w:val="000000"/>
                <w:sz w:val="20"/>
                <w:szCs w:val="20"/>
              </w:rPr>
            </w:pPr>
            <w:r>
              <w:rPr>
                <w:color w:val="000000"/>
                <w:sz w:val="20"/>
                <w:szCs w:val="20"/>
              </w:rPr>
              <w:t>756.000.000</w:t>
            </w:r>
          </w:p>
        </w:tc>
      </w:tr>
      <w:tr w14:paraId="77D2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AC6EBA2">
            <w:pPr>
              <w:jc w:val="center"/>
              <w:rPr>
                <w:b/>
                <w:bCs/>
                <w:color w:val="000000"/>
                <w:sz w:val="20"/>
                <w:szCs w:val="20"/>
              </w:rPr>
            </w:pPr>
            <w:r>
              <w:rPr>
                <w:b/>
                <w:bCs/>
                <w:color w:val="000000"/>
                <w:sz w:val="20"/>
                <w:szCs w:val="20"/>
              </w:rPr>
              <w:t>LK30</w:t>
            </w:r>
          </w:p>
        </w:tc>
        <w:tc>
          <w:tcPr>
            <w:tcW w:w="1802" w:type="dxa"/>
            <w:vAlign w:val="center"/>
          </w:tcPr>
          <w:p w14:paraId="0C4A5C67">
            <w:pPr>
              <w:jc w:val="center"/>
              <w:rPr>
                <w:color w:val="000000"/>
                <w:sz w:val="20"/>
                <w:szCs w:val="20"/>
              </w:rPr>
            </w:pPr>
            <w:r>
              <w:rPr>
                <w:color w:val="000000"/>
                <w:sz w:val="20"/>
                <w:szCs w:val="20"/>
              </w:rPr>
              <w:t>LK30:05</w:t>
            </w:r>
          </w:p>
        </w:tc>
        <w:tc>
          <w:tcPr>
            <w:tcW w:w="1033" w:type="dxa"/>
            <w:noWrap/>
            <w:vAlign w:val="center"/>
          </w:tcPr>
          <w:p w14:paraId="1BC797E3">
            <w:pPr>
              <w:jc w:val="center"/>
              <w:rPr>
                <w:color w:val="000000"/>
                <w:sz w:val="20"/>
                <w:szCs w:val="20"/>
              </w:rPr>
            </w:pPr>
            <w:r>
              <w:rPr>
                <w:color w:val="000000"/>
                <w:sz w:val="20"/>
                <w:szCs w:val="20"/>
              </w:rPr>
              <w:t>90,00</w:t>
            </w:r>
          </w:p>
        </w:tc>
        <w:tc>
          <w:tcPr>
            <w:tcW w:w="846" w:type="dxa"/>
            <w:noWrap/>
            <w:vAlign w:val="center"/>
          </w:tcPr>
          <w:p w14:paraId="531AA958">
            <w:pPr>
              <w:jc w:val="center"/>
              <w:rPr>
                <w:color w:val="000000"/>
                <w:sz w:val="20"/>
                <w:szCs w:val="20"/>
              </w:rPr>
            </w:pPr>
            <w:r>
              <w:rPr>
                <w:color w:val="000000"/>
                <w:sz w:val="20"/>
                <w:szCs w:val="20"/>
              </w:rPr>
              <w:t>1</w:t>
            </w:r>
          </w:p>
        </w:tc>
        <w:tc>
          <w:tcPr>
            <w:tcW w:w="2578" w:type="dxa"/>
            <w:noWrap/>
            <w:vAlign w:val="center"/>
          </w:tcPr>
          <w:p w14:paraId="40DF728E">
            <w:pPr>
              <w:jc w:val="center"/>
              <w:rPr>
                <w:color w:val="000000"/>
                <w:sz w:val="20"/>
                <w:szCs w:val="20"/>
              </w:rPr>
            </w:pPr>
            <w:r>
              <w:rPr>
                <w:color w:val="000000"/>
                <w:sz w:val="20"/>
                <w:szCs w:val="20"/>
              </w:rPr>
              <w:t>Mặt cắt 3-3</w:t>
            </w:r>
          </w:p>
        </w:tc>
        <w:tc>
          <w:tcPr>
            <w:tcW w:w="2393" w:type="dxa"/>
            <w:noWrap/>
            <w:vAlign w:val="center"/>
          </w:tcPr>
          <w:p w14:paraId="573A8667">
            <w:pPr>
              <w:jc w:val="center"/>
              <w:rPr>
                <w:color w:val="000000"/>
                <w:sz w:val="20"/>
                <w:szCs w:val="20"/>
              </w:rPr>
            </w:pPr>
            <w:r>
              <w:rPr>
                <w:color w:val="000000"/>
                <w:sz w:val="20"/>
                <w:szCs w:val="20"/>
              </w:rPr>
              <w:t>Một mặt tiền, đối diện/tiếp giáp CX-MN</w:t>
            </w:r>
          </w:p>
        </w:tc>
        <w:tc>
          <w:tcPr>
            <w:tcW w:w="1198" w:type="dxa"/>
            <w:noWrap/>
            <w:vAlign w:val="center"/>
          </w:tcPr>
          <w:p w14:paraId="7B430EEE">
            <w:pPr>
              <w:jc w:val="center"/>
              <w:rPr>
                <w:color w:val="000000"/>
                <w:sz w:val="20"/>
                <w:szCs w:val="20"/>
              </w:rPr>
            </w:pPr>
            <w:r>
              <w:rPr>
                <w:color w:val="000000"/>
                <w:sz w:val="20"/>
                <w:szCs w:val="20"/>
              </w:rPr>
              <w:t>8.400.000</w:t>
            </w:r>
          </w:p>
        </w:tc>
        <w:tc>
          <w:tcPr>
            <w:tcW w:w="1236" w:type="dxa"/>
            <w:noWrap/>
            <w:vAlign w:val="center"/>
          </w:tcPr>
          <w:p w14:paraId="56A0C7C8">
            <w:pPr>
              <w:jc w:val="center"/>
              <w:rPr>
                <w:color w:val="000000"/>
                <w:sz w:val="20"/>
                <w:szCs w:val="20"/>
              </w:rPr>
            </w:pPr>
          </w:p>
        </w:tc>
        <w:tc>
          <w:tcPr>
            <w:tcW w:w="1252" w:type="dxa"/>
            <w:noWrap/>
            <w:vAlign w:val="center"/>
          </w:tcPr>
          <w:p w14:paraId="711D1F4A">
            <w:pPr>
              <w:jc w:val="center"/>
              <w:rPr>
                <w:color w:val="000000"/>
                <w:sz w:val="20"/>
                <w:szCs w:val="20"/>
              </w:rPr>
            </w:pPr>
            <w:r>
              <w:rPr>
                <w:color w:val="000000"/>
                <w:sz w:val="20"/>
                <w:szCs w:val="20"/>
              </w:rPr>
              <w:t>8.400.000</w:t>
            </w:r>
          </w:p>
        </w:tc>
        <w:tc>
          <w:tcPr>
            <w:tcW w:w="1848" w:type="dxa"/>
            <w:noWrap/>
            <w:vAlign w:val="center"/>
          </w:tcPr>
          <w:p w14:paraId="05465FB5">
            <w:pPr>
              <w:jc w:val="center"/>
              <w:rPr>
                <w:color w:val="000000"/>
                <w:sz w:val="20"/>
                <w:szCs w:val="20"/>
              </w:rPr>
            </w:pPr>
            <w:r>
              <w:rPr>
                <w:color w:val="000000"/>
                <w:sz w:val="20"/>
                <w:szCs w:val="20"/>
              </w:rPr>
              <w:t>756.000.000</w:t>
            </w:r>
          </w:p>
        </w:tc>
      </w:tr>
      <w:tr w14:paraId="0803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DA44BB0">
            <w:pPr>
              <w:jc w:val="center"/>
              <w:rPr>
                <w:b/>
                <w:bCs/>
                <w:color w:val="000000"/>
                <w:sz w:val="20"/>
                <w:szCs w:val="20"/>
              </w:rPr>
            </w:pPr>
            <w:r>
              <w:rPr>
                <w:b/>
                <w:bCs/>
                <w:color w:val="000000"/>
                <w:sz w:val="20"/>
                <w:szCs w:val="20"/>
              </w:rPr>
              <w:t>LK30</w:t>
            </w:r>
          </w:p>
        </w:tc>
        <w:tc>
          <w:tcPr>
            <w:tcW w:w="1802" w:type="dxa"/>
            <w:vAlign w:val="center"/>
          </w:tcPr>
          <w:p w14:paraId="02F8812C">
            <w:pPr>
              <w:jc w:val="center"/>
              <w:rPr>
                <w:color w:val="000000"/>
                <w:sz w:val="20"/>
                <w:szCs w:val="20"/>
              </w:rPr>
            </w:pPr>
            <w:r>
              <w:rPr>
                <w:color w:val="000000"/>
                <w:sz w:val="20"/>
                <w:szCs w:val="20"/>
              </w:rPr>
              <w:t>LK30:06</w:t>
            </w:r>
          </w:p>
        </w:tc>
        <w:tc>
          <w:tcPr>
            <w:tcW w:w="1033" w:type="dxa"/>
            <w:noWrap/>
            <w:vAlign w:val="center"/>
          </w:tcPr>
          <w:p w14:paraId="12802D7C">
            <w:pPr>
              <w:jc w:val="center"/>
              <w:rPr>
                <w:color w:val="000000"/>
                <w:sz w:val="20"/>
                <w:szCs w:val="20"/>
              </w:rPr>
            </w:pPr>
            <w:r>
              <w:rPr>
                <w:color w:val="000000"/>
                <w:sz w:val="20"/>
                <w:szCs w:val="20"/>
              </w:rPr>
              <w:t>90,00</w:t>
            </w:r>
          </w:p>
        </w:tc>
        <w:tc>
          <w:tcPr>
            <w:tcW w:w="846" w:type="dxa"/>
            <w:noWrap/>
            <w:vAlign w:val="center"/>
          </w:tcPr>
          <w:p w14:paraId="5A5D9FE0">
            <w:pPr>
              <w:jc w:val="center"/>
              <w:rPr>
                <w:color w:val="000000"/>
                <w:sz w:val="20"/>
                <w:szCs w:val="20"/>
              </w:rPr>
            </w:pPr>
            <w:r>
              <w:rPr>
                <w:color w:val="000000"/>
                <w:sz w:val="20"/>
                <w:szCs w:val="20"/>
              </w:rPr>
              <w:t>1</w:t>
            </w:r>
          </w:p>
        </w:tc>
        <w:tc>
          <w:tcPr>
            <w:tcW w:w="2578" w:type="dxa"/>
            <w:noWrap/>
            <w:vAlign w:val="center"/>
          </w:tcPr>
          <w:p w14:paraId="54CB3D33">
            <w:pPr>
              <w:jc w:val="center"/>
              <w:rPr>
                <w:color w:val="000000"/>
                <w:sz w:val="20"/>
                <w:szCs w:val="20"/>
              </w:rPr>
            </w:pPr>
            <w:r>
              <w:rPr>
                <w:color w:val="000000"/>
                <w:sz w:val="20"/>
                <w:szCs w:val="20"/>
              </w:rPr>
              <w:t>Mặt cắt 3-3</w:t>
            </w:r>
          </w:p>
        </w:tc>
        <w:tc>
          <w:tcPr>
            <w:tcW w:w="2393" w:type="dxa"/>
            <w:noWrap/>
            <w:vAlign w:val="center"/>
          </w:tcPr>
          <w:p w14:paraId="13F7ABCA">
            <w:pPr>
              <w:jc w:val="center"/>
              <w:rPr>
                <w:color w:val="000000"/>
                <w:sz w:val="20"/>
                <w:szCs w:val="20"/>
              </w:rPr>
            </w:pPr>
            <w:r>
              <w:rPr>
                <w:color w:val="000000"/>
                <w:sz w:val="20"/>
                <w:szCs w:val="20"/>
              </w:rPr>
              <w:t>Một mặt tiền, đối diện/tiếp giáp CX-MN</w:t>
            </w:r>
          </w:p>
        </w:tc>
        <w:tc>
          <w:tcPr>
            <w:tcW w:w="1198" w:type="dxa"/>
            <w:noWrap/>
            <w:vAlign w:val="center"/>
          </w:tcPr>
          <w:p w14:paraId="1F862B31">
            <w:pPr>
              <w:jc w:val="center"/>
              <w:rPr>
                <w:color w:val="000000"/>
                <w:sz w:val="20"/>
                <w:szCs w:val="20"/>
              </w:rPr>
            </w:pPr>
            <w:r>
              <w:rPr>
                <w:color w:val="000000"/>
                <w:sz w:val="20"/>
                <w:szCs w:val="20"/>
              </w:rPr>
              <w:t>8.400.000</w:t>
            </w:r>
          </w:p>
        </w:tc>
        <w:tc>
          <w:tcPr>
            <w:tcW w:w="1236" w:type="dxa"/>
            <w:noWrap/>
            <w:vAlign w:val="center"/>
          </w:tcPr>
          <w:p w14:paraId="7933C339">
            <w:pPr>
              <w:jc w:val="center"/>
              <w:rPr>
                <w:color w:val="000000"/>
                <w:sz w:val="20"/>
                <w:szCs w:val="20"/>
              </w:rPr>
            </w:pPr>
          </w:p>
        </w:tc>
        <w:tc>
          <w:tcPr>
            <w:tcW w:w="1252" w:type="dxa"/>
            <w:noWrap/>
            <w:vAlign w:val="center"/>
          </w:tcPr>
          <w:p w14:paraId="51D56C66">
            <w:pPr>
              <w:jc w:val="center"/>
              <w:rPr>
                <w:color w:val="000000"/>
                <w:sz w:val="20"/>
                <w:szCs w:val="20"/>
              </w:rPr>
            </w:pPr>
            <w:r>
              <w:rPr>
                <w:color w:val="000000"/>
                <w:sz w:val="20"/>
                <w:szCs w:val="20"/>
              </w:rPr>
              <w:t>8.400.000</w:t>
            </w:r>
          </w:p>
        </w:tc>
        <w:tc>
          <w:tcPr>
            <w:tcW w:w="1848" w:type="dxa"/>
            <w:noWrap/>
            <w:vAlign w:val="center"/>
          </w:tcPr>
          <w:p w14:paraId="03AC674A">
            <w:pPr>
              <w:jc w:val="center"/>
              <w:rPr>
                <w:color w:val="000000"/>
                <w:sz w:val="20"/>
                <w:szCs w:val="20"/>
              </w:rPr>
            </w:pPr>
            <w:r>
              <w:rPr>
                <w:color w:val="000000"/>
                <w:sz w:val="20"/>
                <w:szCs w:val="20"/>
              </w:rPr>
              <w:t>756.000.000</w:t>
            </w:r>
          </w:p>
        </w:tc>
      </w:tr>
      <w:tr w14:paraId="0C96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EE3736D">
            <w:pPr>
              <w:jc w:val="center"/>
              <w:rPr>
                <w:b/>
                <w:bCs/>
                <w:color w:val="000000"/>
                <w:sz w:val="20"/>
                <w:szCs w:val="20"/>
              </w:rPr>
            </w:pPr>
            <w:r>
              <w:rPr>
                <w:b/>
                <w:bCs/>
                <w:color w:val="000000"/>
                <w:sz w:val="20"/>
                <w:szCs w:val="20"/>
              </w:rPr>
              <w:t>LK30</w:t>
            </w:r>
          </w:p>
        </w:tc>
        <w:tc>
          <w:tcPr>
            <w:tcW w:w="1802" w:type="dxa"/>
            <w:vAlign w:val="center"/>
          </w:tcPr>
          <w:p w14:paraId="76D014C8">
            <w:pPr>
              <w:jc w:val="center"/>
              <w:rPr>
                <w:color w:val="000000"/>
                <w:sz w:val="20"/>
                <w:szCs w:val="20"/>
              </w:rPr>
            </w:pPr>
            <w:r>
              <w:rPr>
                <w:color w:val="000000"/>
                <w:sz w:val="20"/>
                <w:szCs w:val="20"/>
              </w:rPr>
              <w:t>LK30:07</w:t>
            </w:r>
          </w:p>
        </w:tc>
        <w:tc>
          <w:tcPr>
            <w:tcW w:w="1033" w:type="dxa"/>
            <w:noWrap/>
            <w:vAlign w:val="center"/>
          </w:tcPr>
          <w:p w14:paraId="27BA23FC">
            <w:pPr>
              <w:jc w:val="center"/>
              <w:rPr>
                <w:color w:val="000000"/>
                <w:sz w:val="20"/>
                <w:szCs w:val="20"/>
              </w:rPr>
            </w:pPr>
            <w:r>
              <w:rPr>
                <w:color w:val="000000"/>
                <w:sz w:val="20"/>
                <w:szCs w:val="20"/>
              </w:rPr>
              <w:t>90,00</w:t>
            </w:r>
          </w:p>
        </w:tc>
        <w:tc>
          <w:tcPr>
            <w:tcW w:w="846" w:type="dxa"/>
            <w:noWrap/>
            <w:vAlign w:val="center"/>
          </w:tcPr>
          <w:p w14:paraId="2B03409B">
            <w:pPr>
              <w:jc w:val="center"/>
              <w:rPr>
                <w:color w:val="000000"/>
                <w:sz w:val="20"/>
                <w:szCs w:val="20"/>
              </w:rPr>
            </w:pPr>
            <w:r>
              <w:rPr>
                <w:color w:val="000000"/>
                <w:sz w:val="20"/>
                <w:szCs w:val="20"/>
              </w:rPr>
              <w:t>1</w:t>
            </w:r>
          </w:p>
        </w:tc>
        <w:tc>
          <w:tcPr>
            <w:tcW w:w="2578" w:type="dxa"/>
            <w:noWrap/>
            <w:vAlign w:val="center"/>
          </w:tcPr>
          <w:p w14:paraId="36D24DC8">
            <w:pPr>
              <w:jc w:val="center"/>
              <w:rPr>
                <w:color w:val="000000"/>
                <w:sz w:val="20"/>
                <w:szCs w:val="20"/>
              </w:rPr>
            </w:pPr>
            <w:r>
              <w:rPr>
                <w:color w:val="000000"/>
                <w:sz w:val="20"/>
                <w:szCs w:val="20"/>
              </w:rPr>
              <w:t>Mặt cắt 3-3</w:t>
            </w:r>
          </w:p>
        </w:tc>
        <w:tc>
          <w:tcPr>
            <w:tcW w:w="2393" w:type="dxa"/>
            <w:noWrap/>
            <w:vAlign w:val="center"/>
          </w:tcPr>
          <w:p w14:paraId="3CFEB278">
            <w:pPr>
              <w:jc w:val="center"/>
              <w:rPr>
                <w:color w:val="000000"/>
                <w:sz w:val="20"/>
                <w:szCs w:val="20"/>
              </w:rPr>
            </w:pPr>
            <w:r>
              <w:rPr>
                <w:color w:val="000000"/>
                <w:sz w:val="20"/>
                <w:szCs w:val="20"/>
              </w:rPr>
              <w:t>Một mặt tiền, đối diện/tiếp giáp CX-MN</w:t>
            </w:r>
          </w:p>
        </w:tc>
        <w:tc>
          <w:tcPr>
            <w:tcW w:w="1198" w:type="dxa"/>
            <w:noWrap/>
            <w:vAlign w:val="center"/>
          </w:tcPr>
          <w:p w14:paraId="12118402">
            <w:pPr>
              <w:jc w:val="center"/>
              <w:rPr>
                <w:color w:val="000000"/>
                <w:sz w:val="20"/>
                <w:szCs w:val="20"/>
              </w:rPr>
            </w:pPr>
            <w:r>
              <w:rPr>
                <w:color w:val="000000"/>
                <w:sz w:val="20"/>
                <w:szCs w:val="20"/>
              </w:rPr>
              <w:t>8.400.000</w:t>
            </w:r>
          </w:p>
        </w:tc>
        <w:tc>
          <w:tcPr>
            <w:tcW w:w="1236" w:type="dxa"/>
            <w:noWrap/>
            <w:vAlign w:val="center"/>
          </w:tcPr>
          <w:p w14:paraId="4501EF1B">
            <w:pPr>
              <w:jc w:val="center"/>
              <w:rPr>
                <w:color w:val="000000"/>
                <w:sz w:val="20"/>
                <w:szCs w:val="20"/>
              </w:rPr>
            </w:pPr>
          </w:p>
        </w:tc>
        <w:tc>
          <w:tcPr>
            <w:tcW w:w="1252" w:type="dxa"/>
            <w:noWrap/>
            <w:vAlign w:val="center"/>
          </w:tcPr>
          <w:p w14:paraId="763EC95B">
            <w:pPr>
              <w:jc w:val="center"/>
              <w:rPr>
                <w:color w:val="000000"/>
                <w:sz w:val="20"/>
                <w:szCs w:val="20"/>
              </w:rPr>
            </w:pPr>
            <w:r>
              <w:rPr>
                <w:color w:val="000000"/>
                <w:sz w:val="20"/>
                <w:szCs w:val="20"/>
              </w:rPr>
              <w:t>8.400.000</w:t>
            </w:r>
          </w:p>
        </w:tc>
        <w:tc>
          <w:tcPr>
            <w:tcW w:w="1848" w:type="dxa"/>
            <w:noWrap/>
            <w:vAlign w:val="center"/>
          </w:tcPr>
          <w:p w14:paraId="61BF8D23">
            <w:pPr>
              <w:jc w:val="center"/>
              <w:rPr>
                <w:color w:val="000000"/>
                <w:sz w:val="20"/>
                <w:szCs w:val="20"/>
              </w:rPr>
            </w:pPr>
            <w:r>
              <w:rPr>
                <w:color w:val="000000"/>
                <w:sz w:val="20"/>
                <w:szCs w:val="20"/>
              </w:rPr>
              <w:t>756.000.000</w:t>
            </w:r>
          </w:p>
        </w:tc>
      </w:tr>
      <w:tr w14:paraId="7CD6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F743ED">
            <w:pPr>
              <w:jc w:val="center"/>
              <w:rPr>
                <w:b/>
                <w:bCs/>
                <w:color w:val="000000"/>
                <w:sz w:val="20"/>
                <w:szCs w:val="20"/>
              </w:rPr>
            </w:pPr>
            <w:r>
              <w:rPr>
                <w:b/>
                <w:bCs/>
                <w:color w:val="000000"/>
                <w:sz w:val="20"/>
                <w:szCs w:val="20"/>
              </w:rPr>
              <w:t>LK30</w:t>
            </w:r>
          </w:p>
        </w:tc>
        <w:tc>
          <w:tcPr>
            <w:tcW w:w="1802" w:type="dxa"/>
            <w:vAlign w:val="center"/>
          </w:tcPr>
          <w:p w14:paraId="11F5DD67">
            <w:pPr>
              <w:jc w:val="center"/>
              <w:rPr>
                <w:color w:val="000000"/>
                <w:sz w:val="20"/>
                <w:szCs w:val="20"/>
              </w:rPr>
            </w:pPr>
            <w:r>
              <w:rPr>
                <w:color w:val="000000"/>
                <w:sz w:val="20"/>
                <w:szCs w:val="20"/>
              </w:rPr>
              <w:t>LK30:08</w:t>
            </w:r>
          </w:p>
        </w:tc>
        <w:tc>
          <w:tcPr>
            <w:tcW w:w="1033" w:type="dxa"/>
            <w:noWrap/>
            <w:vAlign w:val="center"/>
          </w:tcPr>
          <w:p w14:paraId="203B671A">
            <w:pPr>
              <w:jc w:val="center"/>
              <w:rPr>
                <w:color w:val="000000"/>
                <w:sz w:val="20"/>
                <w:szCs w:val="20"/>
              </w:rPr>
            </w:pPr>
            <w:r>
              <w:rPr>
                <w:color w:val="000000"/>
                <w:sz w:val="20"/>
                <w:szCs w:val="20"/>
              </w:rPr>
              <w:t>90,00</w:t>
            </w:r>
          </w:p>
        </w:tc>
        <w:tc>
          <w:tcPr>
            <w:tcW w:w="846" w:type="dxa"/>
            <w:noWrap/>
            <w:vAlign w:val="center"/>
          </w:tcPr>
          <w:p w14:paraId="21EF0A24">
            <w:pPr>
              <w:jc w:val="center"/>
              <w:rPr>
                <w:color w:val="000000"/>
                <w:sz w:val="20"/>
                <w:szCs w:val="20"/>
              </w:rPr>
            </w:pPr>
            <w:r>
              <w:rPr>
                <w:color w:val="000000"/>
                <w:sz w:val="20"/>
                <w:szCs w:val="20"/>
              </w:rPr>
              <w:t>1</w:t>
            </w:r>
          </w:p>
        </w:tc>
        <w:tc>
          <w:tcPr>
            <w:tcW w:w="2578" w:type="dxa"/>
            <w:noWrap/>
            <w:vAlign w:val="center"/>
          </w:tcPr>
          <w:p w14:paraId="6A64DBAB">
            <w:pPr>
              <w:jc w:val="center"/>
              <w:rPr>
                <w:color w:val="000000"/>
                <w:sz w:val="20"/>
                <w:szCs w:val="20"/>
              </w:rPr>
            </w:pPr>
            <w:r>
              <w:rPr>
                <w:color w:val="000000"/>
                <w:sz w:val="20"/>
                <w:szCs w:val="20"/>
              </w:rPr>
              <w:t>Mặt cắt 3-3</w:t>
            </w:r>
          </w:p>
        </w:tc>
        <w:tc>
          <w:tcPr>
            <w:tcW w:w="2393" w:type="dxa"/>
            <w:noWrap/>
            <w:vAlign w:val="center"/>
          </w:tcPr>
          <w:p w14:paraId="3A4C3219">
            <w:pPr>
              <w:jc w:val="center"/>
              <w:rPr>
                <w:color w:val="000000"/>
                <w:sz w:val="20"/>
                <w:szCs w:val="20"/>
              </w:rPr>
            </w:pPr>
            <w:r>
              <w:rPr>
                <w:color w:val="000000"/>
                <w:sz w:val="20"/>
                <w:szCs w:val="20"/>
              </w:rPr>
              <w:t>Một mặt tiền, đối diện/tiếp giáp CX-MN</w:t>
            </w:r>
          </w:p>
        </w:tc>
        <w:tc>
          <w:tcPr>
            <w:tcW w:w="1198" w:type="dxa"/>
            <w:noWrap/>
            <w:vAlign w:val="center"/>
          </w:tcPr>
          <w:p w14:paraId="182AB00B">
            <w:pPr>
              <w:jc w:val="center"/>
              <w:rPr>
                <w:color w:val="000000"/>
                <w:sz w:val="20"/>
                <w:szCs w:val="20"/>
              </w:rPr>
            </w:pPr>
            <w:r>
              <w:rPr>
                <w:color w:val="000000"/>
                <w:sz w:val="20"/>
                <w:szCs w:val="20"/>
              </w:rPr>
              <w:t>8.400.000</w:t>
            </w:r>
          </w:p>
        </w:tc>
        <w:tc>
          <w:tcPr>
            <w:tcW w:w="1236" w:type="dxa"/>
            <w:noWrap/>
            <w:vAlign w:val="center"/>
          </w:tcPr>
          <w:p w14:paraId="38B049FF">
            <w:pPr>
              <w:jc w:val="center"/>
              <w:rPr>
                <w:color w:val="000000"/>
                <w:sz w:val="20"/>
                <w:szCs w:val="20"/>
              </w:rPr>
            </w:pPr>
          </w:p>
        </w:tc>
        <w:tc>
          <w:tcPr>
            <w:tcW w:w="1252" w:type="dxa"/>
            <w:noWrap/>
            <w:vAlign w:val="center"/>
          </w:tcPr>
          <w:p w14:paraId="5E1397B9">
            <w:pPr>
              <w:jc w:val="center"/>
              <w:rPr>
                <w:color w:val="000000"/>
                <w:sz w:val="20"/>
                <w:szCs w:val="20"/>
              </w:rPr>
            </w:pPr>
            <w:r>
              <w:rPr>
                <w:color w:val="000000"/>
                <w:sz w:val="20"/>
                <w:szCs w:val="20"/>
              </w:rPr>
              <w:t>8.400.000</w:t>
            </w:r>
          </w:p>
        </w:tc>
        <w:tc>
          <w:tcPr>
            <w:tcW w:w="1848" w:type="dxa"/>
            <w:noWrap/>
            <w:vAlign w:val="center"/>
          </w:tcPr>
          <w:p w14:paraId="30B0771D">
            <w:pPr>
              <w:jc w:val="center"/>
              <w:rPr>
                <w:color w:val="000000"/>
                <w:sz w:val="20"/>
                <w:szCs w:val="20"/>
              </w:rPr>
            </w:pPr>
            <w:r>
              <w:rPr>
                <w:color w:val="000000"/>
                <w:sz w:val="20"/>
                <w:szCs w:val="20"/>
              </w:rPr>
              <w:t>756.000.000</w:t>
            </w:r>
          </w:p>
        </w:tc>
      </w:tr>
      <w:tr w14:paraId="4148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7D5DD11">
            <w:pPr>
              <w:jc w:val="center"/>
              <w:rPr>
                <w:b/>
                <w:bCs/>
                <w:color w:val="000000"/>
                <w:sz w:val="20"/>
                <w:szCs w:val="20"/>
              </w:rPr>
            </w:pPr>
            <w:r>
              <w:rPr>
                <w:b/>
                <w:bCs/>
                <w:color w:val="000000"/>
                <w:sz w:val="20"/>
                <w:szCs w:val="20"/>
              </w:rPr>
              <w:t>LK30</w:t>
            </w:r>
          </w:p>
        </w:tc>
        <w:tc>
          <w:tcPr>
            <w:tcW w:w="1802" w:type="dxa"/>
            <w:vAlign w:val="center"/>
          </w:tcPr>
          <w:p w14:paraId="728EAA84">
            <w:pPr>
              <w:jc w:val="center"/>
              <w:rPr>
                <w:color w:val="000000"/>
                <w:sz w:val="20"/>
                <w:szCs w:val="20"/>
              </w:rPr>
            </w:pPr>
            <w:r>
              <w:rPr>
                <w:color w:val="000000"/>
                <w:sz w:val="20"/>
                <w:szCs w:val="20"/>
              </w:rPr>
              <w:t>LK30:09</w:t>
            </w:r>
          </w:p>
        </w:tc>
        <w:tc>
          <w:tcPr>
            <w:tcW w:w="1033" w:type="dxa"/>
            <w:noWrap/>
            <w:vAlign w:val="center"/>
          </w:tcPr>
          <w:p w14:paraId="663085E2">
            <w:pPr>
              <w:jc w:val="center"/>
              <w:rPr>
                <w:color w:val="000000"/>
                <w:sz w:val="20"/>
                <w:szCs w:val="20"/>
              </w:rPr>
            </w:pPr>
            <w:r>
              <w:rPr>
                <w:color w:val="000000"/>
                <w:sz w:val="20"/>
                <w:szCs w:val="20"/>
              </w:rPr>
              <w:t>90,00</w:t>
            </w:r>
          </w:p>
        </w:tc>
        <w:tc>
          <w:tcPr>
            <w:tcW w:w="846" w:type="dxa"/>
            <w:noWrap/>
            <w:vAlign w:val="center"/>
          </w:tcPr>
          <w:p w14:paraId="6E8D19B9">
            <w:pPr>
              <w:jc w:val="center"/>
              <w:rPr>
                <w:color w:val="000000"/>
                <w:sz w:val="20"/>
                <w:szCs w:val="20"/>
              </w:rPr>
            </w:pPr>
            <w:r>
              <w:rPr>
                <w:color w:val="000000"/>
                <w:sz w:val="20"/>
                <w:szCs w:val="20"/>
              </w:rPr>
              <w:t>1</w:t>
            </w:r>
          </w:p>
        </w:tc>
        <w:tc>
          <w:tcPr>
            <w:tcW w:w="2578" w:type="dxa"/>
            <w:noWrap/>
            <w:vAlign w:val="center"/>
          </w:tcPr>
          <w:p w14:paraId="3620BA41">
            <w:pPr>
              <w:jc w:val="center"/>
              <w:rPr>
                <w:color w:val="000000"/>
                <w:sz w:val="20"/>
                <w:szCs w:val="20"/>
              </w:rPr>
            </w:pPr>
            <w:r>
              <w:rPr>
                <w:color w:val="000000"/>
                <w:sz w:val="20"/>
                <w:szCs w:val="20"/>
              </w:rPr>
              <w:t>Mặt cắt 3-3</w:t>
            </w:r>
          </w:p>
        </w:tc>
        <w:tc>
          <w:tcPr>
            <w:tcW w:w="2393" w:type="dxa"/>
            <w:noWrap/>
            <w:vAlign w:val="center"/>
          </w:tcPr>
          <w:p w14:paraId="209626C2">
            <w:pPr>
              <w:jc w:val="center"/>
              <w:rPr>
                <w:color w:val="000000"/>
                <w:sz w:val="20"/>
                <w:szCs w:val="20"/>
              </w:rPr>
            </w:pPr>
            <w:r>
              <w:rPr>
                <w:color w:val="000000"/>
                <w:sz w:val="20"/>
                <w:szCs w:val="20"/>
              </w:rPr>
              <w:t>Một mặt tiền, đối diện/tiếp giáp CX-MN</w:t>
            </w:r>
          </w:p>
        </w:tc>
        <w:tc>
          <w:tcPr>
            <w:tcW w:w="1198" w:type="dxa"/>
            <w:noWrap/>
            <w:vAlign w:val="center"/>
          </w:tcPr>
          <w:p w14:paraId="3B599D78">
            <w:pPr>
              <w:jc w:val="center"/>
              <w:rPr>
                <w:color w:val="000000"/>
                <w:sz w:val="20"/>
                <w:szCs w:val="20"/>
              </w:rPr>
            </w:pPr>
            <w:r>
              <w:rPr>
                <w:color w:val="000000"/>
                <w:sz w:val="20"/>
                <w:szCs w:val="20"/>
              </w:rPr>
              <w:t>8.400.000</w:t>
            </w:r>
          </w:p>
        </w:tc>
        <w:tc>
          <w:tcPr>
            <w:tcW w:w="1236" w:type="dxa"/>
            <w:noWrap/>
            <w:vAlign w:val="center"/>
          </w:tcPr>
          <w:p w14:paraId="77FAD8E3">
            <w:pPr>
              <w:jc w:val="center"/>
              <w:rPr>
                <w:color w:val="000000"/>
                <w:sz w:val="20"/>
                <w:szCs w:val="20"/>
              </w:rPr>
            </w:pPr>
          </w:p>
        </w:tc>
        <w:tc>
          <w:tcPr>
            <w:tcW w:w="1252" w:type="dxa"/>
            <w:noWrap/>
            <w:vAlign w:val="center"/>
          </w:tcPr>
          <w:p w14:paraId="6D5F6390">
            <w:pPr>
              <w:jc w:val="center"/>
              <w:rPr>
                <w:color w:val="000000"/>
                <w:sz w:val="20"/>
                <w:szCs w:val="20"/>
              </w:rPr>
            </w:pPr>
            <w:r>
              <w:rPr>
                <w:color w:val="000000"/>
                <w:sz w:val="20"/>
                <w:szCs w:val="20"/>
              </w:rPr>
              <w:t>8.400.000</w:t>
            </w:r>
          </w:p>
        </w:tc>
        <w:tc>
          <w:tcPr>
            <w:tcW w:w="1848" w:type="dxa"/>
            <w:noWrap/>
            <w:vAlign w:val="center"/>
          </w:tcPr>
          <w:p w14:paraId="7F7B891D">
            <w:pPr>
              <w:jc w:val="center"/>
              <w:rPr>
                <w:color w:val="000000"/>
                <w:sz w:val="20"/>
                <w:szCs w:val="20"/>
              </w:rPr>
            </w:pPr>
            <w:r>
              <w:rPr>
                <w:color w:val="000000"/>
                <w:sz w:val="20"/>
                <w:szCs w:val="20"/>
              </w:rPr>
              <w:t>756.000.000</w:t>
            </w:r>
          </w:p>
        </w:tc>
      </w:tr>
      <w:tr w14:paraId="57E1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6872EF6">
            <w:pPr>
              <w:jc w:val="center"/>
              <w:rPr>
                <w:b/>
                <w:bCs/>
                <w:color w:val="000000"/>
                <w:sz w:val="20"/>
                <w:szCs w:val="20"/>
              </w:rPr>
            </w:pPr>
            <w:r>
              <w:rPr>
                <w:b/>
                <w:bCs/>
                <w:color w:val="000000"/>
                <w:sz w:val="20"/>
                <w:szCs w:val="20"/>
              </w:rPr>
              <w:t>LK31</w:t>
            </w:r>
          </w:p>
        </w:tc>
        <w:tc>
          <w:tcPr>
            <w:tcW w:w="1802" w:type="dxa"/>
            <w:vAlign w:val="center"/>
          </w:tcPr>
          <w:p w14:paraId="0B215874">
            <w:pPr>
              <w:jc w:val="center"/>
              <w:rPr>
                <w:color w:val="000000"/>
                <w:sz w:val="20"/>
                <w:szCs w:val="20"/>
              </w:rPr>
            </w:pPr>
            <w:r>
              <w:rPr>
                <w:color w:val="000000"/>
                <w:sz w:val="20"/>
                <w:szCs w:val="20"/>
              </w:rPr>
              <w:t>LK31:01</w:t>
            </w:r>
          </w:p>
        </w:tc>
        <w:tc>
          <w:tcPr>
            <w:tcW w:w="1033" w:type="dxa"/>
            <w:noWrap/>
            <w:vAlign w:val="center"/>
          </w:tcPr>
          <w:p w14:paraId="194B1FC0">
            <w:pPr>
              <w:jc w:val="center"/>
              <w:rPr>
                <w:color w:val="000000"/>
                <w:sz w:val="20"/>
                <w:szCs w:val="20"/>
              </w:rPr>
            </w:pPr>
            <w:r>
              <w:rPr>
                <w:color w:val="000000"/>
                <w:sz w:val="20"/>
                <w:szCs w:val="20"/>
              </w:rPr>
              <w:t>90,00</w:t>
            </w:r>
          </w:p>
        </w:tc>
        <w:tc>
          <w:tcPr>
            <w:tcW w:w="846" w:type="dxa"/>
            <w:noWrap/>
            <w:vAlign w:val="center"/>
          </w:tcPr>
          <w:p w14:paraId="720DD8C5">
            <w:pPr>
              <w:jc w:val="center"/>
              <w:rPr>
                <w:color w:val="000000"/>
                <w:sz w:val="20"/>
                <w:szCs w:val="20"/>
              </w:rPr>
            </w:pPr>
            <w:r>
              <w:rPr>
                <w:color w:val="000000"/>
                <w:sz w:val="20"/>
                <w:szCs w:val="20"/>
              </w:rPr>
              <w:t>1</w:t>
            </w:r>
          </w:p>
        </w:tc>
        <w:tc>
          <w:tcPr>
            <w:tcW w:w="2578" w:type="dxa"/>
            <w:noWrap/>
            <w:vAlign w:val="center"/>
          </w:tcPr>
          <w:p w14:paraId="1841FD79">
            <w:pPr>
              <w:jc w:val="center"/>
              <w:rPr>
                <w:color w:val="000000"/>
                <w:sz w:val="20"/>
                <w:szCs w:val="20"/>
              </w:rPr>
            </w:pPr>
            <w:r>
              <w:rPr>
                <w:color w:val="000000"/>
                <w:sz w:val="20"/>
                <w:szCs w:val="20"/>
              </w:rPr>
              <w:t>Mặt cắt 3-3</w:t>
            </w:r>
          </w:p>
        </w:tc>
        <w:tc>
          <w:tcPr>
            <w:tcW w:w="2393" w:type="dxa"/>
            <w:noWrap/>
            <w:vAlign w:val="center"/>
          </w:tcPr>
          <w:p w14:paraId="36A5C0D5">
            <w:pPr>
              <w:jc w:val="center"/>
              <w:rPr>
                <w:color w:val="000000"/>
                <w:sz w:val="20"/>
                <w:szCs w:val="20"/>
              </w:rPr>
            </w:pPr>
            <w:r>
              <w:rPr>
                <w:color w:val="000000"/>
                <w:sz w:val="20"/>
                <w:szCs w:val="20"/>
              </w:rPr>
              <w:t>Một mặt tiền</w:t>
            </w:r>
          </w:p>
        </w:tc>
        <w:tc>
          <w:tcPr>
            <w:tcW w:w="1198" w:type="dxa"/>
            <w:noWrap/>
            <w:vAlign w:val="center"/>
          </w:tcPr>
          <w:p w14:paraId="0FE375DC">
            <w:pPr>
              <w:jc w:val="center"/>
              <w:rPr>
                <w:color w:val="000000"/>
                <w:sz w:val="20"/>
                <w:szCs w:val="20"/>
              </w:rPr>
            </w:pPr>
            <w:r>
              <w:rPr>
                <w:color w:val="000000"/>
                <w:sz w:val="20"/>
                <w:szCs w:val="20"/>
              </w:rPr>
              <w:t>8.000.000</w:t>
            </w:r>
          </w:p>
        </w:tc>
        <w:tc>
          <w:tcPr>
            <w:tcW w:w="1236" w:type="dxa"/>
            <w:noWrap/>
            <w:vAlign w:val="center"/>
          </w:tcPr>
          <w:p w14:paraId="242D4188">
            <w:pPr>
              <w:jc w:val="center"/>
              <w:rPr>
                <w:color w:val="000000"/>
                <w:sz w:val="20"/>
                <w:szCs w:val="20"/>
              </w:rPr>
            </w:pPr>
          </w:p>
        </w:tc>
        <w:tc>
          <w:tcPr>
            <w:tcW w:w="1252" w:type="dxa"/>
            <w:noWrap/>
            <w:vAlign w:val="center"/>
          </w:tcPr>
          <w:p w14:paraId="7737B241">
            <w:pPr>
              <w:jc w:val="center"/>
              <w:rPr>
                <w:color w:val="000000"/>
                <w:sz w:val="20"/>
                <w:szCs w:val="20"/>
              </w:rPr>
            </w:pPr>
            <w:r>
              <w:rPr>
                <w:color w:val="000000"/>
                <w:sz w:val="20"/>
                <w:szCs w:val="20"/>
              </w:rPr>
              <w:t>8.000.000</w:t>
            </w:r>
          </w:p>
        </w:tc>
        <w:tc>
          <w:tcPr>
            <w:tcW w:w="1848" w:type="dxa"/>
            <w:noWrap/>
            <w:vAlign w:val="center"/>
          </w:tcPr>
          <w:p w14:paraId="2EBE5C21">
            <w:pPr>
              <w:jc w:val="center"/>
              <w:rPr>
                <w:color w:val="000000"/>
                <w:sz w:val="20"/>
                <w:szCs w:val="20"/>
              </w:rPr>
            </w:pPr>
            <w:r>
              <w:rPr>
                <w:color w:val="000000"/>
                <w:sz w:val="20"/>
                <w:szCs w:val="20"/>
              </w:rPr>
              <w:t>720.000.000</w:t>
            </w:r>
          </w:p>
        </w:tc>
      </w:tr>
      <w:tr w14:paraId="686B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02B5E5">
            <w:pPr>
              <w:jc w:val="center"/>
              <w:rPr>
                <w:b/>
                <w:bCs/>
                <w:color w:val="000000"/>
                <w:sz w:val="20"/>
                <w:szCs w:val="20"/>
              </w:rPr>
            </w:pPr>
            <w:r>
              <w:rPr>
                <w:b/>
                <w:bCs/>
                <w:color w:val="000000"/>
                <w:sz w:val="20"/>
                <w:szCs w:val="20"/>
              </w:rPr>
              <w:t>LK31</w:t>
            </w:r>
          </w:p>
        </w:tc>
        <w:tc>
          <w:tcPr>
            <w:tcW w:w="1802" w:type="dxa"/>
            <w:vAlign w:val="center"/>
          </w:tcPr>
          <w:p w14:paraId="4A0914F1">
            <w:pPr>
              <w:jc w:val="center"/>
              <w:rPr>
                <w:color w:val="000000"/>
                <w:sz w:val="20"/>
                <w:szCs w:val="20"/>
              </w:rPr>
            </w:pPr>
            <w:r>
              <w:rPr>
                <w:color w:val="000000"/>
                <w:sz w:val="20"/>
                <w:szCs w:val="20"/>
              </w:rPr>
              <w:t>LK31:02</w:t>
            </w:r>
          </w:p>
        </w:tc>
        <w:tc>
          <w:tcPr>
            <w:tcW w:w="1033" w:type="dxa"/>
            <w:noWrap/>
            <w:vAlign w:val="center"/>
          </w:tcPr>
          <w:p w14:paraId="59753A0A">
            <w:pPr>
              <w:jc w:val="center"/>
              <w:rPr>
                <w:color w:val="000000"/>
                <w:sz w:val="20"/>
                <w:szCs w:val="20"/>
              </w:rPr>
            </w:pPr>
            <w:r>
              <w:rPr>
                <w:color w:val="000000"/>
                <w:sz w:val="20"/>
                <w:szCs w:val="20"/>
              </w:rPr>
              <w:t>90,00</w:t>
            </w:r>
          </w:p>
        </w:tc>
        <w:tc>
          <w:tcPr>
            <w:tcW w:w="846" w:type="dxa"/>
            <w:noWrap/>
            <w:vAlign w:val="center"/>
          </w:tcPr>
          <w:p w14:paraId="01407F55">
            <w:pPr>
              <w:jc w:val="center"/>
              <w:rPr>
                <w:color w:val="000000"/>
                <w:sz w:val="20"/>
                <w:szCs w:val="20"/>
              </w:rPr>
            </w:pPr>
            <w:r>
              <w:rPr>
                <w:color w:val="000000"/>
                <w:sz w:val="20"/>
                <w:szCs w:val="20"/>
              </w:rPr>
              <w:t>1</w:t>
            </w:r>
          </w:p>
        </w:tc>
        <w:tc>
          <w:tcPr>
            <w:tcW w:w="2578" w:type="dxa"/>
            <w:noWrap/>
            <w:vAlign w:val="center"/>
          </w:tcPr>
          <w:p w14:paraId="2261905C">
            <w:pPr>
              <w:jc w:val="center"/>
              <w:rPr>
                <w:color w:val="000000"/>
                <w:sz w:val="20"/>
                <w:szCs w:val="20"/>
              </w:rPr>
            </w:pPr>
            <w:r>
              <w:rPr>
                <w:color w:val="000000"/>
                <w:sz w:val="20"/>
                <w:szCs w:val="20"/>
              </w:rPr>
              <w:t>Mặt cắt 3-3</w:t>
            </w:r>
          </w:p>
        </w:tc>
        <w:tc>
          <w:tcPr>
            <w:tcW w:w="2393" w:type="dxa"/>
            <w:noWrap/>
            <w:vAlign w:val="center"/>
          </w:tcPr>
          <w:p w14:paraId="13EBE0E8">
            <w:pPr>
              <w:jc w:val="center"/>
              <w:rPr>
                <w:color w:val="000000"/>
                <w:sz w:val="20"/>
                <w:szCs w:val="20"/>
              </w:rPr>
            </w:pPr>
            <w:r>
              <w:rPr>
                <w:color w:val="000000"/>
                <w:sz w:val="20"/>
                <w:szCs w:val="20"/>
              </w:rPr>
              <w:t>Một mặt tiền</w:t>
            </w:r>
          </w:p>
        </w:tc>
        <w:tc>
          <w:tcPr>
            <w:tcW w:w="1198" w:type="dxa"/>
            <w:noWrap/>
            <w:vAlign w:val="center"/>
          </w:tcPr>
          <w:p w14:paraId="5B1FEE32">
            <w:pPr>
              <w:jc w:val="center"/>
              <w:rPr>
                <w:color w:val="000000"/>
                <w:sz w:val="20"/>
                <w:szCs w:val="20"/>
              </w:rPr>
            </w:pPr>
            <w:r>
              <w:rPr>
                <w:color w:val="000000"/>
                <w:sz w:val="20"/>
                <w:szCs w:val="20"/>
              </w:rPr>
              <w:t>8.000.000</w:t>
            </w:r>
          </w:p>
        </w:tc>
        <w:tc>
          <w:tcPr>
            <w:tcW w:w="1236" w:type="dxa"/>
            <w:noWrap/>
            <w:vAlign w:val="center"/>
          </w:tcPr>
          <w:p w14:paraId="7301E86A">
            <w:pPr>
              <w:jc w:val="center"/>
              <w:rPr>
                <w:color w:val="000000"/>
                <w:sz w:val="20"/>
                <w:szCs w:val="20"/>
              </w:rPr>
            </w:pPr>
          </w:p>
        </w:tc>
        <w:tc>
          <w:tcPr>
            <w:tcW w:w="1252" w:type="dxa"/>
            <w:noWrap/>
            <w:vAlign w:val="center"/>
          </w:tcPr>
          <w:p w14:paraId="2B3E1069">
            <w:pPr>
              <w:jc w:val="center"/>
              <w:rPr>
                <w:color w:val="000000"/>
                <w:sz w:val="20"/>
                <w:szCs w:val="20"/>
              </w:rPr>
            </w:pPr>
            <w:r>
              <w:rPr>
                <w:color w:val="000000"/>
                <w:sz w:val="20"/>
                <w:szCs w:val="20"/>
              </w:rPr>
              <w:t>8.000.000</w:t>
            </w:r>
          </w:p>
        </w:tc>
        <w:tc>
          <w:tcPr>
            <w:tcW w:w="1848" w:type="dxa"/>
            <w:noWrap/>
            <w:vAlign w:val="center"/>
          </w:tcPr>
          <w:p w14:paraId="07086730">
            <w:pPr>
              <w:jc w:val="center"/>
              <w:rPr>
                <w:color w:val="000000"/>
                <w:sz w:val="20"/>
                <w:szCs w:val="20"/>
              </w:rPr>
            </w:pPr>
            <w:r>
              <w:rPr>
                <w:color w:val="000000"/>
                <w:sz w:val="20"/>
                <w:szCs w:val="20"/>
              </w:rPr>
              <w:t>720.000.000</w:t>
            </w:r>
          </w:p>
        </w:tc>
      </w:tr>
      <w:tr w14:paraId="0E4B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62249FB">
            <w:pPr>
              <w:jc w:val="center"/>
              <w:rPr>
                <w:b/>
                <w:bCs/>
                <w:color w:val="000000"/>
                <w:sz w:val="20"/>
                <w:szCs w:val="20"/>
              </w:rPr>
            </w:pPr>
            <w:r>
              <w:rPr>
                <w:b/>
                <w:bCs/>
                <w:color w:val="000000"/>
                <w:sz w:val="20"/>
                <w:szCs w:val="20"/>
              </w:rPr>
              <w:t>LK31</w:t>
            </w:r>
          </w:p>
        </w:tc>
        <w:tc>
          <w:tcPr>
            <w:tcW w:w="1802" w:type="dxa"/>
            <w:vAlign w:val="center"/>
          </w:tcPr>
          <w:p w14:paraId="1C7D1CC5">
            <w:pPr>
              <w:jc w:val="center"/>
              <w:rPr>
                <w:color w:val="000000"/>
                <w:sz w:val="20"/>
                <w:szCs w:val="20"/>
              </w:rPr>
            </w:pPr>
            <w:r>
              <w:rPr>
                <w:color w:val="000000"/>
                <w:sz w:val="20"/>
                <w:szCs w:val="20"/>
              </w:rPr>
              <w:t>LK31:03</w:t>
            </w:r>
          </w:p>
        </w:tc>
        <w:tc>
          <w:tcPr>
            <w:tcW w:w="1033" w:type="dxa"/>
            <w:noWrap/>
            <w:vAlign w:val="center"/>
          </w:tcPr>
          <w:p w14:paraId="06C56B57">
            <w:pPr>
              <w:jc w:val="center"/>
              <w:rPr>
                <w:color w:val="000000"/>
                <w:sz w:val="20"/>
                <w:szCs w:val="20"/>
              </w:rPr>
            </w:pPr>
            <w:r>
              <w:rPr>
                <w:color w:val="000000"/>
                <w:sz w:val="20"/>
                <w:szCs w:val="20"/>
              </w:rPr>
              <w:t>90,00</w:t>
            </w:r>
          </w:p>
        </w:tc>
        <w:tc>
          <w:tcPr>
            <w:tcW w:w="846" w:type="dxa"/>
            <w:noWrap/>
            <w:vAlign w:val="center"/>
          </w:tcPr>
          <w:p w14:paraId="5EB39DCE">
            <w:pPr>
              <w:jc w:val="center"/>
              <w:rPr>
                <w:color w:val="000000"/>
                <w:sz w:val="20"/>
                <w:szCs w:val="20"/>
              </w:rPr>
            </w:pPr>
            <w:r>
              <w:rPr>
                <w:color w:val="000000"/>
                <w:sz w:val="20"/>
                <w:szCs w:val="20"/>
              </w:rPr>
              <w:t>1</w:t>
            </w:r>
          </w:p>
        </w:tc>
        <w:tc>
          <w:tcPr>
            <w:tcW w:w="2578" w:type="dxa"/>
            <w:noWrap/>
            <w:vAlign w:val="center"/>
          </w:tcPr>
          <w:p w14:paraId="2BB9C054">
            <w:pPr>
              <w:jc w:val="center"/>
              <w:rPr>
                <w:color w:val="000000"/>
                <w:sz w:val="20"/>
                <w:szCs w:val="20"/>
              </w:rPr>
            </w:pPr>
            <w:r>
              <w:rPr>
                <w:color w:val="000000"/>
                <w:sz w:val="20"/>
                <w:szCs w:val="20"/>
              </w:rPr>
              <w:t>Mặt cắt 3-3</w:t>
            </w:r>
          </w:p>
        </w:tc>
        <w:tc>
          <w:tcPr>
            <w:tcW w:w="2393" w:type="dxa"/>
            <w:noWrap/>
            <w:vAlign w:val="center"/>
          </w:tcPr>
          <w:p w14:paraId="10141DDA">
            <w:pPr>
              <w:jc w:val="center"/>
              <w:rPr>
                <w:color w:val="000000"/>
                <w:sz w:val="20"/>
                <w:szCs w:val="20"/>
              </w:rPr>
            </w:pPr>
            <w:r>
              <w:rPr>
                <w:color w:val="000000"/>
                <w:sz w:val="20"/>
                <w:szCs w:val="20"/>
              </w:rPr>
              <w:t>Một mặt tiền</w:t>
            </w:r>
          </w:p>
        </w:tc>
        <w:tc>
          <w:tcPr>
            <w:tcW w:w="1198" w:type="dxa"/>
            <w:noWrap/>
            <w:vAlign w:val="center"/>
          </w:tcPr>
          <w:p w14:paraId="6EC9E4AC">
            <w:pPr>
              <w:jc w:val="center"/>
              <w:rPr>
                <w:color w:val="000000"/>
                <w:sz w:val="20"/>
                <w:szCs w:val="20"/>
              </w:rPr>
            </w:pPr>
            <w:r>
              <w:rPr>
                <w:color w:val="000000"/>
                <w:sz w:val="20"/>
                <w:szCs w:val="20"/>
              </w:rPr>
              <w:t>8.000.000</w:t>
            </w:r>
          </w:p>
        </w:tc>
        <w:tc>
          <w:tcPr>
            <w:tcW w:w="1236" w:type="dxa"/>
            <w:noWrap/>
            <w:vAlign w:val="center"/>
          </w:tcPr>
          <w:p w14:paraId="52568854">
            <w:pPr>
              <w:jc w:val="center"/>
              <w:rPr>
                <w:color w:val="000000"/>
                <w:sz w:val="20"/>
                <w:szCs w:val="20"/>
              </w:rPr>
            </w:pPr>
          </w:p>
        </w:tc>
        <w:tc>
          <w:tcPr>
            <w:tcW w:w="1252" w:type="dxa"/>
            <w:noWrap/>
            <w:vAlign w:val="center"/>
          </w:tcPr>
          <w:p w14:paraId="5CB8E371">
            <w:pPr>
              <w:jc w:val="center"/>
              <w:rPr>
                <w:color w:val="000000"/>
                <w:sz w:val="20"/>
                <w:szCs w:val="20"/>
              </w:rPr>
            </w:pPr>
            <w:r>
              <w:rPr>
                <w:color w:val="000000"/>
                <w:sz w:val="20"/>
                <w:szCs w:val="20"/>
              </w:rPr>
              <w:t>8.000.000</w:t>
            </w:r>
          </w:p>
        </w:tc>
        <w:tc>
          <w:tcPr>
            <w:tcW w:w="1848" w:type="dxa"/>
            <w:noWrap/>
            <w:vAlign w:val="center"/>
          </w:tcPr>
          <w:p w14:paraId="3BFA5997">
            <w:pPr>
              <w:jc w:val="center"/>
              <w:rPr>
                <w:color w:val="000000"/>
                <w:sz w:val="20"/>
                <w:szCs w:val="20"/>
              </w:rPr>
            </w:pPr>
            <w:r>
              <w:rPr>
                <w:color w:val="000000"/>
                <w:sz w:val="20"/>
                <w:szCs w:val="20"/>
              </w:rPr>
              <w:t>720.000.000</w:t>
            </w:r>
          </w:p>
        </w:tc>
      </w:tr>
      <w:tr w14:paraId="3CF3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DEFEB64">
            <w:pPr>
              <w:jc w:val="center"/>
              <w:rPr>
                <w:b/>
                <w:bCs/>
                <w:color w:val="000000"/>
                <w:sz w:val="20"/>
                <w:szCs w:val="20"/>
              </w:rPr>
            </w:pPr>
            <w:r>
              <w:rPr>
                <w:b/>
                <w:bCs/>
                <w:color w:val="000000"/>
                <w:sz w:val="20"/>
                <w:szCs w:val="20"/>
              </w:rPr>
              <w:t>LK31</w:t>
            </w:r>
          </w:p>
        </w:tc>
        <w:tc>
          <w:tcPr>
            <w:tcW w:w="1802" w:type="dxa"/>
            <w:vAlign w:val="center"/>
          </w:tcPr>
          <w:p w14:paraId="4826109A">
            <w:pPr>
              <w:jc w:val="center"/>
              <w:rPr>
                <w:color w:val="000000"/>
                <w:sz w:val="20"/>
                <w:szCs w:val="20"/>
              </w:rPr>
            </w:pPr>
            <w:r>
              <w:rPr>
                <w:color w:val="000000"/>
                <w:sz w:val="20"/>
                <w:szCs w:val="20"/>
              </w:rPr>
              <w:t>LK31:04</w:t>
            </w:r>
          </w:p>
        </w:tc>
        <w:tc>
          <w:tcPr>
            <w:tcW w:w="1033" w:type="dxa"/>
            <w:noWrap/>
            <w:vAlign w:val="center"/>
          </w:tcPr>
          <w:p w14:paraId="7757C367">
            <w:pPr>
              <w:jc w:val="center"/>
              <w:rPr>
                <w:color w:val="000000"/>
                <w:sz w:val="20"/>
                <w:szCs w:val="20"/>
              </w:rPr>
            </w:pPr>
            <w:r>
              <w:rPr>
                <w:color w:val="000000"/>
                <w:sz w:val="20"/>
                <w:szCs w:val="20"/>
              </w:rPr>
              <w:t>90,00</w:t>
            </w:r>
          </w:p>
        </w:tc>
        <w:tc>
          <w:tcPr>
            <w:tcW w:w="846" w:type="dxa"/>
            <w:noWrap/>
            <w:vAlign w:val="center"/>
          </w:tcPr>
          <w:p w14:paraId="7CF02FFD">
            <w:pPr>
              <w:jc w:val="center"/>
              <w:rPr>
                <w:color w:val="000000"/>
                <w:sz w:val="20"/>
                <w:szCs w:val="20"/>
              </w:rPr>
            </w:pPr>
            <w:r>
              <w:rPr>
                <w:color w:val="000000"/>
                <w:sz w:val="20"/>
                <w:szCs w:val="20"/>
              </w:rPr>
              <w:t>1</w:t>
            </w:r>
          </w:p>
        </w:tc>
        <w:tc>
          <w:tcPr>
            <w:tcW w:w="2578" w:type="dxa"/>
            <w:noWrap/>
            <w:vAlign w:val="center"/>
          </w:tcPr>
          <w:p w14:paraId="256DFA91">
            <w:pPr>
              <w:jc w:val="center"/>
              <w:rPr>
                <w:color w:val="000000"/>
                <w:sz w:val="20"/>
                <w:szCs w:val="20"/>
              </w:rPr>
            </w:pPr>
            <w:r>
              <w:rPr>
                <w:color w:val="000000"/>
                <w:sz w:val="20"/>
                <w:szCs w:val="20"/>
              </w:rPr>
              <w:t>Mặt cắt 3-3</w:t>
            </w:r>
          </w:p>
        </w:tc>
        <w:tc>
          <w:tcPr>
            <w:tcW w:w="2393" w:type="dxa"/>
            <w:noWrap/>
            <w:vAlign w:val="center"/>
          </w:tcPr>
          <w:p w14:paraId="073257AF">
            <w:pPr>
              <w:jc w:val="center"/>
              <w:rPr>
                <w:color w:val="000000"/>
                <w:sz w:val="20"/>
                <w:szCs w:val="20"/>
              </w:rPr>
            </w:pPr>
            <w:r>
              <w:rPr>
                <w:color w:val="000000"/>
                <w:sz w:val="20"/>
                <w:szCs w:val="20"/>
              </w:rPr>
              <w:t>Một mặt tiền</w:t>
            </w:r>
          </w:p>
        </w:tc>
        <w:tc>
          <w:tcPr>
            <w:tcW w:w="1198" w:type="dxa"/>
            <w:noWrap/>
            <w:vAlign w:val="center"/>
          </w:tcPr>
          <w:p w14:paraId="315A813C">
            <w:pPr>
              <w:jc w:val="center"/>
              <w:rPr>
                <w:color w:val="000000"/>
                <w:sz w:val="20"/>
                <w:szCs w:val="20"/>
              </w:rPr>
            </w:pPr>
            <w:r>
              <w:rPr>
                <w:color w:val="000000"/>
                <w:sz w:val="20"/>
                <w:szCs w:val="20"/>
              </w:rPr>
              <w:t>8.000.000</w:t>
            </w:r>
          </w:p>
        </w:tc>
        <w:tc>
          <w:tcPr>
            <w:tcW w:w="1236" w:type="dxa"/>
            <w:noWrap/>
            <w:vAlign w:val="center"/>
          </w:tcPr>
          <w:p w14:paraId="781C9829">
            <w:pPr>
              <w:jc w:val="center"/>
              <w:rPr>
                <w:color w:val="000000"/>
                <w:sz w:val="20"/>
                <w:szCs w:val="20"/>
              </w:rPr>
            </w:pPr>
          </w:p>
        </w:tc>
        <w:tc>
          <w:tcPr>
            <w:tcW w:w="1252" w:type="dxa"/>
            <w:noWrap/>
            <w:vAlign w:val="center"/>
          </w:tcPr>
          <w:p w14:paraId="7C065407">
            <w:pPr>
              <w:jc w:val="center"/>
              <w:rPr>
                <w:color w:val="000000"/>
                <w:sz w:val="20"/>
                <w:szCs w:val="20"/>
              </w:rPr>
            </w:pPr>
            <w:r>
              <w:rPr>
                <w:color w:val="000000"/>
                <w:sz w:val="20"/>
                <w:szCs w:val="20"/>
              </w:rPr>
              <w:t>8.000.000</w:t>
            </w:r>
          </w:p>
        </w:tc>
        <w:tc>
          <w:tcPr>
            <w:tcW w:w="1848" w:type="dxa"/>
            <w:noWrap/>
            <w:vAlign w:val="center"/>
          </w:tcPr>
          <w:p w14:paraId="19D2898E">
            <w:pPr>
              <w:jc w:val="center"/>
              <w:rPr>
                <w:color w:val="000000"/>
                <w:sz w:val="20"/>
                <w:szCs w:val="20"/>
              </w:rPr>
            </w:pPr>
            <w:r>
              <w:rPr>
                <w:color w:val="000000"/>
                <w:sz w:val="20"/>
                <w:szCs w:val="20"/>
              </w:rPr>
              <w:t>720.000.000</w:t>
            </w:r>
          </w:p>
        </w:tc>
      </w:tr>
      <w:tr w14:paraId="793C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0216034">
            <w:pPr>
              <w:jc w:val="center"/>
              <w:rPr>
                <w:b/>
                <w:bCs/>
                <w:color w:val="000000"/>
                <w:sz w:val="20"/>
                <w:szCs w:val="20"/>
              </w:rPr>
            </w:pPr>
            <w:r>
              <w:rPr>
                <w:b/>
                <w:bCs/>
                <w:color w:val="000000"/>
                <w:sz w:val="20"/>
                <w:szCs w:val="20"/>
              </w:rPr>
              <w:t>LK31</w:t>
            </w:r>
          </w:p>
        </w:tc>
        <w:tc>
          <w:tcPr>
            <w:tcW w:w="1802" w:type="dxa"/>
            <w:vAlign w:val="center"/>
          </w:tcPr>
          <w:p w14:paraId="4B749DC1">
            <w:pPr>
              <w:jc w:val="center"/>
              <w:rPr>
                <w:color w:val="000000"/>
                <w:sz w:val="20"/>
                <w:szCs w:val="20"/>
              </w:rPr>
            </w:pPr>
            <w:r>
              <w:rPr>
                <w:color w:val="000000"/>
                <w:sz w:val="20"/>
                <w:szCs w:val="20"/>
              </w:rPr>
              <w:t>LK31:05</w:t>
            </w:r>
          </w:p>
        </w:tc>
        <w:tc>
          <w:tcPr>
            <w:tcW w:w="1033" w:type="dxa"/>
            <w:noWrap/>
            <w:vAlign w:val="center"/>
          </w:tcPr>
          <w:p w14:paraId="53D4E07C">
            <w:pPr>
              <w:jc w:val="center"/>
              <w:rPr>
                <w:color w:val="000000"/>
                <w:sz w:val="20"/>
                <w:szCs w:val="20"/>
              </w:rPr>
            </w:pPr>
            <w:r>
              <w:rPr>
                <w:color w:val="000000"/>
                <w:sz w:val="20"/>
                <w:szCs w:val="20"/>
              </w:rPr>
              <w:t>90,00</w:t>
            </w:r>
          </w:p>
        </w:tc>
        <w:tc>
          <w:tcPr>
            <w:tcW w:w="846" w:type="dxa"/>
            <w:noWrap/>
            <w:vAlign w:val="center"/>
          </w:tcPr>
          <w:p w14:paraId="28B4DA0D">
            <w:pPr>
              <w:jc w:val="center"/>
              <w:rPr>
                <w:color w:val="000000"/>
                <w:sz w:val="20"/>
                <w:szCs w:val="20"/>
              </w:rPr>
            </w:pPr>
            <w:r>
              <w:rPr>
                <w:color w:val="000000"/>
                <w:sz w:val="20"/>
                <w:szCs w:val="20"/>
              </w:rPr>
              <w:t>1</w:t>
            </w:r>
          </w:p>
        </w:tc>
        <w:tc>
          <w:tcPr>
            <w:tcW w:w="2578" w:type="dxa"/>
            <w:noWrap/>
            <w:vAlign w:val="center"/>
          </w:tcPr>
          <w:p w14:paraId="3D1DF8DE">
            <w:pPr>
              <w:jc w:val="center"/>
              <w:rPr>
                <w:color w:val="000000"/>
                <w:sz w:val="20"/>
                <w:szCs w:val="20"/>
              </w:rPr>
            </w:pPr>
            <w:r>
              <w:rPr>
                <w:color w:val="000000"/>
                <w:sz w:val="20"/>
                <w:szCs w:val="20"/>
              </w:rPr>
              <w:t>Mặt cắt 3-3</w:t>
            </w:r>
          </w:p>
        </w:tc>
        <w:tc>
          <w:tcPr>
            <w:tcW w:w="2393" w:type="dxa"/>
            <w:noWrap/>
            <w:vAlign w:val="center"/>
          </w:tcPr>
          <w:p w14:paraId="41E135D0">
            <w:pPr>
              <w:jc w:val="center"/>
              <w:rPr>
                <w:color w:val="000000"/>
                <w:sz w:val="20"/>
                <w:szCs w:val="20"/>
              </w:rPr>
            </w:pPr>
            <w:r>
              <w:rPr>
                <w:color w:val="000000"/>
                <w:sz w:val="20"/>
                <w:szCs w:val="20"/>
              </w:rPr>
              <w:t>Một mặt tiền</w:t>
            </w:r>
          </w:p>
        </w:tc>
        <w:tc>
          <w:tcPr>
            <w:tcW w:w="1198" w:type="dxa"/>
            <w:noWrap/>
            <w:vAlign w:val="center"/>
          </w:tcPr>
          <w:p w14:paraId="77DA4C3E">
            <w:pPr>
              <w:jc w:val="center"/>
              <w:rPr>
                <w:color w:val="000000"/>
                <w:sz w:val="20"/>
                <w:szCs w:val="20"/>
              </w:rPr>
            </w:pPr>
            <w:r>
              <w:rPr>
                <w:color w:val="000000"/>
                <w:sz w:val="20"/>
                <w:szCs w:val="20"/>
              </w:rPr>
              <w:t>8.000.000</w:t>
            </w:r>
          </w:p>
        </w:tc>
        <w:tc>
          <w:tcPr>
            <w:tcW w:w="1236" w:type="dxa"/>
            <w:noWrap/>
            <w:vAlign w:val="center"/>
          </w:tcPr>
          <w:p w14:paraId="0CABE501">
            <w:pPr>
              <w:jc w:val="center"/>
              <w:rPr>
                <w:color w:val="000000"/>
                <w:sz w:val="20"/>
                <w:szCs w:val="20"/>
              </w:rPr>
            </w:pPr>
          </w:p>
        </w:tc>
        <w:tc>
          <w:tcPr>
            <w:tcW w:w="1252" w:type="dxa"/>
            <w:noWrap/>
            <w:vAlign w:val="center"/>
          </w:tcPr>
          <w:p w14:paraId="397D2238">
            <w:pPr>
              <w:jc w:val="center"/>
              <w:rPr>
                <w:color w:val="000000"/>
                <w:sz w:val="20"/>
                <w:szCs w:val="20"/>
              </w:rPr>
            </w:pPr>
            <w:r>
              <w:rPr>
                <w:color w:val="000000"/>
                <w:sz w:val="20"/>
                <w:szCs w:val="20"/>
              </w:rPr>
              <w:t>8.000.000</w:t>
            </w:r>
          </w:p>
        </w:tc>
        <w:tc>
          <w:tcPr>
            <w:tcW w:w="1848" w:type="dxa"/>
            <w:noWrap/>
            <w:vAlign w:val="center"/>
          </w:tcPr>
          <w:p w14:paraId="1096836E">
            <w:pPr>
              <w:jc w:val="center"/>
              <w:rPr>
                <w:color w:val="000000"/>
                <w:sz w:val="20"/>
                <w:szCs w:val="20"/>
              </w:rPr>
            </w:pPr>
            <w:r>
              <w:rPr>
                <w:color w:val="000000"/>
                <w:sz w:val="20"/>
                <w:szCs w:val="20"/>
              </w:rPr>
              <w:t>720.000.000</w:t>
            </w:r>
          </w:p>
        </w:tc>
      </w:tr>
      <w:tr w14:paraId="258B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E4D2910">
            <w:pPr>
              <w:jc w:val="center"/>
              <w:rPr>
                <w:b/>
                <w:bCs/>
                <w:color w:val="000000"/>
                <w:sz w:val="20"/>
                <w:szCs w:val="20"/>
              </w:rPr>
            </w:pPr>
            <w:r>
              <w:rPr>
                <w:b/>
                <w:bCs/>
                <w:color w:val="000000"/>
                <w:sz w:val="20"/>
                <w:szCs w:val="20"/>
              </w:rPr>
              <w:t>LK31</w:t>
            </w:r>
          </w:p>
        </w:tc>
        <w:tc>
          <w:tcPr>
            <w:tcW w:w="1802" w:type="dxa"/>
            <w:vAlign w:val="center"/>
          </w:tcPr>
          <w:p w14:paraId="612D245A">
            <w:pPr>
              <w:jc w:val="center"/>
              <w:rPr>
                <w:color w:val="000000"/>
                <w:sz w:val="20"/>
                <w:szCs w:val="20"/>
              </w:rPr>
            </w:pPr>
            <w:r>
              <w:rPr>
                <w:color w:val="000000"/>
                <w:sz w:val="20"/>
                <w:szCs w:val="20"/>
              </w:rPr>
              <w:t>LK31:06</w:t>
            </w:r>
          </w:p>
        </w:tc>
        <w:tc>
          <w:tcPr>
            <w:tcW w:w="1033" w:type="dxa"/>
            <w:noWrap/>
            <w:vAlign w:val="center"/>
          </w:tcPr>
          <w:p w14:paraId="1BD86CDC">
            <w:pPr>
              <w:jc w:val="center"/>
              <w:rPr>
                <w:color w:val="000000"/>
                <w:sz w:val="20"/>
                <w:szCs w:val="20"/>
              </w:rPr>
            </w:pPr>
            <w:r>
              <w:rPr>
                <w:color w:val="000000"/>
                <w:sz w:val="20"/>
                <w:szCs w:val="20"/>
              </w:rPr>
              <w:t>90,00</w:t>
            </w:r>
          </w:p>
        </w:tc>
        <w:tc>
          <w:tcPr>
            <w:tcW w:w="846" w:type="dxa"/>
            <w:noWrap/>
            <w:vAlign w:val="center"/>
          </w:tcPr>
          <w:p w14:paraId="58D4F76E">
            <w:pPr>
              <w:jc w:val="center"/>
              <w:rPr>
                <w:color w:val="000000"/>
                <w:sz w:val="20"/>
                <w:szCs w:val="20"/>
              </w:rPr>
            </w:pPr>
            <w:r>
              <w:rPr>
                <w:color w:val="000000"/>
                <w:sz w:val="20"/>
                <w:szCs w:val="20"/>
              </w:rPr>
              <w:t>1</w:t>
            </w:r>
          </w:p>
        </w:tc>
        <w:tc>
          <w:tcPr>
            <w:tcW w:w="2578" w:type="dxa"/>
            <w:noWrap/>
            <w:vAlign w:val="center"/>
          </w:tcPr>
          <w:p w14:paraId="7D252A0C">
            <w:pPr>
              <w:jc w:val="center"/>
              <w:rPr>
                <w:color w:val="000000"/>
                <w:sz w:val="20"/>
                <w:szCs w:val="20"/>
              </w:rPr>
            </w:pPr>
            <w:r>
              <w:rPr>
                <w:color w:val="000000"/>
                <w:sz w:val="20"/>
                <w:szCs w:val="20"/>
              </w:rPr>
              <w:t>Mặt cắt 3-3</w:t>
            </w:r>
          </w:p>
        </w:tc>
        <w:tc>
          <w:tcPr>
            <w:tcW w:w="2393" w:type="dxa"/>
            <w:noWrap/>
            <w:vAlign w:val="center"/>
          </w:tcPr>
          <w:p w14:paraId="15CB0E91">
            <w:pPr>
              <w:jc w:val="center"/>
              <w:rPr>
                <w:color w:val="000000"/>
                <w:sz w:val="20"/>
                <w:szCs w:val="20"/>
              </w:rPr>
            </w:pPr>
            <w:r>
              <w:rPr>
                <w:color w:val="000000"/>
                <w:sz w:val="20"/>
                <w:szCs w:val="20"/>
              </w:rPr>
              <w:t>Một mặt tiền</w:t>
            </w:r>
          </w:p>
        </w:tc>
        <w:tc>
          <w:tcPr>
            <w:tcW w:w="1198" w:type="dxa"/>
            <w:noWrap/>
            <w:vAlign w:val="center"/>
          </w:tcPr>
          <w:p w14:paraId="29FA7C10">
            <w:pPr>
              <w:jc w:val="center"/>
              <w:rPr>
                <w:color w:val="000000"/>
                <w:sz w:val="20"/>
                <w:szCs w:val="20"/>
              </w:rPr>
            </w:pPr>
            <w:r>
              <w:rPr>
                <w:color w:val="000000"/>
                <w:sz w:val="20"/>
                <w:szCs w:val="20"/>
              </w:rPr>
              <w:t>8.000.000</w:t>
            </w:r>
          </w:p>
        </w:tc>
        <w:tc>
          <w:tcPr>
            <w:tcW w:w="1236" w:type="dxa"/>
            <w:noWrap/>
            <w:vAlign w:val="center"/>
          </w:tcPr>
          <w:p w14:paraId="09762BD0">
            <w:pPr>
              <w:jc w:val="center"/>
              <w:rPr>
                <w:color w:val="000000"/>
                <w:sz w:val="20"/>
                <w:szCs w:val="20"/>
              </w:rPr>
            </w:pPr>
          </w:p>
        </w:tc>
        <w:tc>
          <w:tcPr>
            <w:tcW w:w="1252" w:type="dxa"/>
            <w:noWrap/>
            <w:vAlign w:val="center"/>
          </w:tcPr>
          <w:p w14:paraId="157B6E4E">
            <w:pPr>
              <w:jc w:val="center"/>
              <w:rPr>
                <w:color w:val="000000"/>
                <w:sz w:val="20"/>
                <w:szCs w:val="20"/>
              </w:rPr>
            </w:pPr>
            <w:r>
              <w:rPr>
                <w:color w:val="000000"/>
                <w:sz w:val="20"/>
                <w:szCs w:val="20"/>
              </w:rPr>
              <w:t>8.000.000</w:t>
            </w:r>
          </w:p>
        </w:tc>
        <w:tc>
          <w:tcPr>
            <w:tcW w:w="1848" w:type="dxa"/>
            <w:noWrap/>
            <w:vAlign w:val="center"/>
          </w:tcPr>
          <w:p w14:paraId="3B437277">
            <w:pPr>
              <w:jc w:val="center"/>
              <w:rPr>
                <w:color w:val="000000"/>
                <w:sz w:val="20"/>
                <w:szCs w:val="20"/>
              </w:rPr>
            </w:pPr>
            <w:r>
              <w:rPr>
                <w:color w:val="000000"/>
                <w:sz w:val="20"/>
                <w:szCs w:val="20"/>
              </w:rPr>
              <w:t>720.000.000</w:t>
            </w:r>
          </w:p>
        </w:tc>
      </w:tr>
      <w:tr w14:paraId="7F98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1B2B736">
            <w:pPr>
              <w:jc w:val="center"/>
              <w:rPr>
                <w:b/>
                <w:bCs/>
                <w:color w:val="000000"/>
                <w:sz w:val="20"/>
                <w:szCs w:val="20"/>
              </w:rPr>
            </w:pPr>
            <w:r>
              <w:rPr>
                <w:b/>
                <w:bCs/>
                <w:color w:val="000000"/>
                <w:sz w:val="20"/>
                <w:szCs w:val="20"/>
              </w:rPr>
              <w:t>LK31</w:t>
            </w:r>
          </w:p>
        </w:tc>
        <w:tc>
          <w:tcPr>
            <w:tcW w:w="1802" w:type="dxa"/>
            <w:vAlign w:val="center"/>
          </w:tcPr>
          <w:p w14:paraId="202B8F60">
            <w:pPr>
              <w:jc w:val="center"/>
              <w:rPr>
                <w:color w:val="000000"/>
                <w:sz w:val="20"/>
                <w:szCs w:val="20"/>
              </w:rPr>
            </w:pPr>
            <w:r>
              <w:rPr>
                <w:color w:val="000000"/>
                <w:sz w:val="20"/>
                <w:szCs w:val="20"/>
              </w:rPr>
              <w:t>LK31:07</w:t>
            </w:r>
          </w:p>
        </w:tc>
        <w:tc>
          <w:tcPr>
            <w:tcW w:w="1033" w:type="dxa"/>
            <w:noWrap/>
            <w:vAlign w:val="center"/>
          </w:tcPr>
          <w:p w14:paraId="422819E9">
            <w:pPr>
              <w:jc w:val="center"/>
              <w:rPr>
                <w:color w:val="000000"/>
                <w:sz w:val="20"/>
                <w:szCs w:val="20"/>
              </w:rPr>
            </w:pPr>
            <w:r>
              <w:rPr>
                <w:color w:val="000000"/>
                <w:sz w:val="20"/>
                <w:szCs w:val="20"/>
              </w:rPr>
              <w:t>90,00</w:t>
            </w:r>
          </w:p>
        </w:tc>
        <w:tc>
          <w:tcPr>
            <w:tcW w:w="846" w:type="dxa"/>
            <w:noWrap/>
            <w:vAlign w:val="center"/>
          </w:tcPr>
          <w:p w14:paraId="1776D6CA">
            <w:pPr>
              <w:jc w:val="center"/>
              <w:rPr>
                <w:color w:val="000000"/>
                <w:sz w:val="20"/>
                <w:szCs w:val="20"/>
              </w:rPr>
            </w:pPr>
            <w:r>
              <w:rPr>
                <w:color w:val="000000"/>
                <w:sz w:val="20"/>
                <w:szCs w:val="20"/>
              </w:rPr>
              <w:t>1</w:t>
            </w:r>
          </w:p>
        </w:tc>
        <w:tc>
          <w:tcPr>
            <w:tcW w:w="2578" w:type="dxa"/>
            <w:noWrap/>
            <w:vAlign w:val="center"/>
          </w:tcPr>
          <w:p w14:paraId="451AC060">
            <w:pPr>
              <w:jc w:val="center"/>
              <w:rPr>
                <w:color w:val="000000"/>
                <w:sz w:val="20"/>
                <w:szCs w:val="20"/>
              </w:rPr>
            </w:pPr>
            <w:r>
              <w:rPr>
                <w:color w:val="000000"/>
                <w:sz w:val="20"/>
                <w:szCs w:val="20"/>
              </w:rPr>
              <w:t>Mặt cắt 3-3</w:t>
            </w:r>
          </w:p>
        </w:tc>
        <w:tc>
          <w:tcPr>
            <w:tcW w:w="2393" w:type="dxa"/>
            <w:noWrap/>
            <w:vAlign w:val="center"/>
          </w:tcPr>
          <w:p w14:paraId="2E52F72C">
            <w:pPr>
              <w:jc w:val="center"/>
              <w:rPr>
                <w:color w:val="000000"/>
                <w:sz w:val="20"/>
                <w:szCs w:val="20"/>
              </w:rPr>
            </w:pPr>
            <w:r>
              <w:rPr>
                <w:color w:val="000000"/>
                <w:sz w:val="20"/>
                <w:szCs w:val="20"/>
              </w:rPr>
              <w:t>Một mặt tiền</w:t>
            </w:r>
          </w:p>
        </w:tc>
        <w:tc>
          <w:tcPr>
            <w:tcW w:w="1198" w:type="dxa"/>
            <w:noWrap/>
            <w:vAlign w:val="center"/>
          </w:tcPr>
          <w:p w14:paraId="3FE113B9">
            <w:pPr>
              <w:jc w:val="center"/>
              <w:rPr>
                <w:color w:val="000000"/>
                <w:sz w:val="20"/>
                <w:szCs w:val="20"/>
              </w:rPr>
            </w:pPr>
            <w:r>
              <w:rPr>
                <w:color w:val="000000"/>
                <w:sz w:val="20"/>
                <w:szCs w:val="20"/>
              </w:rPr>
              <w:t>8.000.000</w:t>
            </w:r>
          </w:p>
        </w:tc>
        <w:tc>
          <w:tcPr>
            <w:tcW w:w="1236" w:type="dxa"/>
            <w:noWrap/>
            <w:vAlign w:val="center"/>
          </w:tcPr>
          <w:p w14:paraId="38BE77A6">
            <w:pPr>
              <w:jc w:val="center"/>
              <w:rPr>
                <w:color w:val="000000"/>
                <w:sz w:val="20"/>
                <w:szCs w:val="20"/>
              </w:rPr>
            </w:pPr>
          </w:p>
        </w:tc>
        <w:tc>
          <w:tcPr>
            <w:tcW w:w="1252" w:type="dxa"/>
            <w:noWrap/>
            <w:vAlign w:val="center"/>
          </w:tcPr>
          <w:p w14:paraId="7E00F42B">
            <w:pPr>
              <w:jc w:val="center"/>
              <w:rPr>
                <w:color w:val="000000"/>
                <w:sz w:val="20"/>
                <w:szCs w:val="20"/>
              </w:rPr>
            </w:pPr>
            <w:r>
              <w:rPr>
                <w:color w:val="000000"/>
                <w:sz w:val="20"/>
                <w:szCs w:val="20"/>
              </w:rPr>
              <w:t>8.000.000</w:t>
            </w:r>
          </w:p>
        </w:tc>
        <w:tc>
          <w:tcPr>
            <w:tcW w:w="1848" w:type="dxa"/>
            <w:noWrap/>
            <w:vAlign w:val="center"/>
          </w:tcPr>
          <w:p w14:paraId="05A3FFCC">
            <w:pPr>
              <w:jc w:val="center"/>
              <w:rPr>
                <w:color w:val="000000"/>
                <w:sz w:val="20"/>
                <w:szCs w:val="20"/>
              </w:rPr>
            </w:pPr>
            <w:r>
              <w:rPr>
                <w:color w:val="000000"/>
                <w:sz w:val="20"/>
                <w:szCs w:val="20"/>
              </w:rPr>
              <w:t>720.000.000</w:t>
            </w:r>
          </w:p>
        </w:tc>
      </w:tr>
      <w:tr w14:paraId="14E5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A58BA8F">
            <w:pPr>
              <w:jc w:val="center"/>
              <w:rPr>
                <w:b/>
                <w:bCs/>
                <w:color w:val="000000"/>
                <w:sz w:val="20"/>
                <w:szCs w:val="20"/>
              </w:rPr>
            </w:pPr>
            <w:r>
              <w:rPr>
                <w:b/>
                <w:bCs/>
                <w:color w:val="000000"/>
                <w:sz w:val="20"/>
                <w:szCs w:val="20"/>
              </w:rPr>
              <w:t>LK31</w:t>
            </w:r>
          </w:p>
        </w:tc>
        <w:tc>
          <w:tcPr>
            <w:tcW w:w="1802" w:type="dxa"/>
            <w:vAlign w:val="center"/>
          </w:tcPr>
          <w:p w14:paraId="28F9CF00">
            <w:pPr>
              <w:jc w:val="center"/>
              <w:rPr>
                <w:color w:val="000000"/>
                <w:sz w:val="20"/>
                <w:szCs w:val="20"/>
              </w:rPr>
            </w:pPr>
            <w:r>
              <w:rPr>
                <w:color w:val="000000"/>
                <w:sz w:val="20"/>
                <w:szCs w:val="20"/>
              </w:rPr>
              <w:t>LK31:08</w:t>
            </w:r>
          </w:p>
        </w:tc>
        <w:tc>
          <w:tcPr>
            <w:tcW w:w="1033" w:type="dxa"/>
            <w:noWrap/>
            <w:vAlign w:val="center"/>
          </w:tcPr>
          <w:p w14:paraId="1286FEAE">
            <w:pPr>
              <w:jc w:val="center"/>
              <w:rPr>
                <w:color w:val="000000"/>
                <w:sz w:val="20"/>
                <w:szCs w:val="20"/>
              </w:rPr>
            </w:pPr>
            <w:r>
              <w:rPr>
                <w:color w:val="000000"/>
                <w:sz w:val="20"/>
                <w:szCs w:val="20"/>
              </w:rPr>
              <w:t>90,00</w:t>
            </w:r>
          </w:p>
        </w:tc>
        <w:tc>
          <w:tcPr>
            <w:tcW w:w="846" w:type="dxa"/>
            <w:noWrap/>
            <w:vAlign w:val="center"/>
          </w:tcPr>
          <w:p w14:paraId="5FE51E38">
            <w:pPr>
              <w:jc w:val="center"/>
              <w:rPr>
                <w:color w:val="000000"/>
                <w:sz w:val="20"/>
                <w:szCs w:val="20"/>
              </w:rPr>
            </w:pPr>
            <w:r>
              <w:rPr>
                <w:color w:val="000000"/>
                <w:sz w:val="20"/>
                <w:szCs w:val="20"/>
              </w:rPr>
              <w:t>1</w:t>
            </w:r>
          </w:p>
        </w:tc>
        <w:tc>
          <w:tcPr>
            <w:tcW w:w="2578" w:type="dxa"/>
            <w:noWrap/>
            <w:vAlign w:val="center"/>
          </w:tcPr>
          <w:p w14:paraId="73C52F58">
            <w:pPr>
              <w:jc w:val="center"/>
              <w:rPr>
                <w:color w:val="000000"/>
                <w:sz w:val="20"/>
                <w:szCs w:val="20"/>
              </w:rPr>
            </w:pPr>
            <w:r>
              <w:rPr>
                <w:color w:val="000000"/>
                <w:sz w:val="20"/>
                <w:szCs w:val="20"/>
              </w:rPr>
              <w:t>Mặt cắt 3-3</w:t>
            </w:r>
          </w:p>
        </w:tc>
        <w:tc>
          <w:tcPr>
            <w:tcW w:w="2393" w:type="dxa"/>
            <w:noWrap/>
            <w:vAlign w:val="center"/>
          </w:tcPr>
          <w:p w14:paraId="6EB63D79">
            <w:pPr>
              <w:jc w:val="center"/>
              <w:rPr>
                <w:color w:val="000000"/>
                <w:sz w:val="20"/>
                <w:szCs w:val="20"/>
              </w:rPr>
            </w:pPr>
            <w:r>
              <w:rPr>
                <w:color w:val="000000"/>
                <w:sz w:val="20"/>
                <w:szCs w:val="20"/>
              </w:rPr>
              <w:t>Một mặt tiền</w:t>
            </w:r>
          </w:p>
        </w:tc>
        <w:tc>
          <w:tcPr>
            <w:tcW w:w="1198" w:type="dxa"/>
            <w:noWrap/>
            <w:vAlign w:val="center"/>
          </w:tcPr>
          <w:p w14:paraId="60614A8F">
            <w:pPr>
              <w:jc w:val="center"/>
              <w:rPr>
                <w:color w:val="000000"/>
                <w:sz w:val="20"/>
                <w:szCs w:val="20"/>
              </w:rPr>
            </w:pPr>
            <w:r>
              <w:rPr>
                <w:color w:val="000000"/>
                <w:sz w:val="20"/>
                <w:szCs w:val="20"/>
              </w:rPr>
              <w:t>8.000.000</w:t>
            </w:r>
          </w:p>
        </w:tc>
        <w:tc>
          <w:tcPr>
            <w:tcW w:w="1236" w:type="dxa"/>
            <w:noWrap/>
            <w:vAlign w:val="center"/>
          </w:tcPr>
          <w:p w14:paraId="0F7636AE">
            <w:pPr>
              <w:jc w:val="center"/>
              <w:rPr>
                <w:color w:val="000000"/>
                <w:sz w:val="20"/>
                <w:szCs w:val="20"/>
              </w:rPr>
            </w:pPr>
          </w:p>
        </w:tc>
        <w:tc>
          <w:tcPr>
            <w:tcW w:w="1252" w:type="dxa"/>
            <w:noWrap/>
            <w:vAlign w:val="center"/>
          </w:tcPr>
          <w:p w14:paraId="451C65D0">
            <w:pPr>
              <w:jc w:val="center"/>
              <w:rPr>
                <w:color w:val="000000"/>
                <w:sz w:val="20"/>
                <w:szCs w:val="20"/>
              </w:rPr>
            </w:pPr>
            <w:r>
              <w:rPr>
                <w:color w:val="000000"/>
                <w:sz w:val="20"/>
                <w:szCs w:val="20"/>
              </w:rPr>
              <w:t>8.000.000</w:t>
            </w:r>
          </w:p>
        </w:tc>
        <w:tc>
          <w:tcPr>
            <w:tcW w:w="1848" w:type="dxa"/>
            <w:noWrap/>
            <w:vAlign w:val="center"/>
          </w:tcPr>
          <w:p w14:paraId="6D7AA3AB">
            <w:pPr>
              <w:jc w:val="center"/>
              <w:rPr>
                <w:color w:val="000000"/>
                <w:sz w:val="20"/>
                <w:szCs w:val="20"/>
              </w:rPr>
            </w:pPr>
            <w:r>
              <w:rPr>
                <w:color w:val="000000"/>
                <w:sz w:val="20"/>
                <w:szCs w:val="20"/>
              </w:rPr>
              <w:t>720.000.000</w:t>
            </w:r>
          </w:p>
        </w:tc>
      </w:tr>
      <w:tr w14:paraId="47D6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CED6614">
            <w:pPr>
              <w:jc w:val="center"/>
              <w:rPr>
                <w:b/>
                <w:bCs/>
                <w:color w:val="000000"/>
                <w:sz w:val="20"/>
                <w:szCs w:val="20"/>
              </w:rPr>
            </w:pPr>
            <w:r>
              <w:rPr>
                <w:b/>
                <w:bCs/>
                <w:color w:val="000000"/>
                <w:sz w:val="20"/>
                <w:szCs w:val="20"/>
              </w:rPr>
              <w:t>LK31</w:t>
            </w:r>
          </w:p>
        </w:tc>
        <w:tc>
          <w:tcPr>
            <w:tcW w:w="1802" w:type="dxa"/>
            <w:vAlign w:val="center"/>
          </w:tcPr>
          <w:p w14:paraId="4A71F0EC">
            <w:pPr>
              <w:jc w:val="center"/>
              <w:rPr>
                <w:color w:val="000000"/>
                <w:sz w:val="20"/>
                <w:szCs w:val="20"/>
              </w:rPr>
            </w:pPr>
            <w:r>
              <w:rPr>
                <w:color w:val="000000"/>
                <w:sz w:val="20"/>
                <w:szCs w:val="20"/>
              </w:rPr>
              <w:t>LK31:09</w:t>
            </w:r>
          </w:p>
        </w:tc>
        <w:tc>
          <w:tcPr>
            <w:tcW w:w="1033" w:type="dxa"/>
            <w:noWrap/>
            <w:vAlign w:val="center"/>
          </w:tcPr>
          <w:p w14:paraId="1034578B">
            <w:pPr>
              <w:jc w:val="center"/>
              <w:rPr>
                <w:color w:val="000000"/>
                <w:sz w:val="20"/>
                <w:szCs w:val="20"/>
              </w:rPr>
            </w:pPr>
            <w:r>
              <w:rPr>
                <w:color w:val="000000"/>
                <w:sz w:val="20"/>
                <w:szCs w:val="20"/>
              </w:rPr>
              <w:t>90,00</w:t>
            </w:r>
          </w:p>
        </w:tc>
        <w:tc>
          <w:tcPr>
            <w:tcW w:w="846" w:type="dxa"/>
            <w:noWrap/>
            <w:vAlign w:val="center"/>
          </w:tcPr>
          <w:p w14:paraId="430F1FC0">
            <w:pPr>
              <w:jc w:val="center"/>
              <w:rPr>
                <w:color w:val="000000"/>
                <w:sz w:val="20"/>
                <w:szCs w:val="20"/>
              </w:rPr>
            </w:pPr>
            <w:r>
              <w:rPr>
                <w:color w:val="000000"/>
                <w:sz w:val="20"/>
                <w:szCs w:val="20"/>
              </w:rPr>
              <w:t>1</w:t>
            </w:r>
          </w:p>
        </w:tc>
        <w:tc>
          <w:tcPr>
            <w:tcW w:w="2578" w:type="dxa"/>
            <w:noWrap/>
            <w:vAlign w:val="center"/>
          </w:tcPr>
          <w:p w14:paraId="3641E1B1">
            <w:pPr>
              <w:jc w:val="center"/>
              <w:rPr>
                <w:color w:val="000000"/>
                <w:sz w:val="20"/>
                <w:szCs w:val="20"/>
              </w:rPr>
            </w:pPr>
            <w:r>
              <w:rPr>
                <w:color w:val="000000"/>
                <w:sz w:val="20"/>
                <w:szCs w:val="20"/>
              </w:rPr>
              <w:t>Mặt cắt 3-3</w:t>
            </w:r>
          </w:p>
        </w:tc>
        <w:tc>
          <w:tcPr>
            <w:tcW w:w="2393" w:type="dxa"/>
            <w:noWrap/>
            <w:vAlign w:val="center"/>
          </w:tcPr>
          <w:p w14:paraId="187C0E15">
            <w:pPr>
              <w:jc w:val="center"/>
              <w:rPr>
                <w:color w:val="000000"/>
                <w:sz w:val="20"/>
                <w:szCs w:val="20"/>
              </w:rPr>
            </w:pPr>
            <w:r>
              <w:rPr>
                <w:color w:val="000000"/>
                <w:sz w:val="20"/>
                <w:szCs w:val="20"/>
              </w:rPr>
              <w:t>Một mặt tiền</w:t>
            </w:r>
          </w:p>
        </w:tc>
        <w:tc>
          <w:tcPr>
            <w:tcW w:w="1198" w:type="dxa"/>
            <w:noWrap/>
            <w:vAlign w:val="center"/>
          </w:tcPr>
          <w:p w14:paraId="6A34F9BE">
            <w:pPr>
              <w:jc w:val="center"/>
              <w:rPr>
                <w:color w:val="000000"/>
                <w:sz w:val="20"/>
                <w:szCs w:val="20"/>
              </w:rPr>
            </w:pPr>
            <w:r>
              <w:rPr>
                <w:color w:val="000000"/>
                <w:sz w:val="20"/>
                <w:szCs w:val="20"/>
              </w:rPr>
              <w:t>8.000.000</w:t>
            </w:r>
          </w:p>
        </w:tc>
        <w:tc>
          <w:tcPr>
            <w:tcW w:w="1236" w:type="dxa"/>
            <w:noWrap/>
            <w:vAlign w:val="center"/>
          </w:tcPr>
          <w:p w14:paraId="0D5DDE1F">
            <w:pPr>
              <w:jc w:val="center"/>
              <w:rPr>
                <w:color w:val="000000"/>
                <w:sz w:val="20"/>
                <w:szCs w:val="20"/>
              </w:rPr>
            </w:pPr>
          </w:p>
        </w:tc>
        <w:tc>
          <w:tcPr>
            <w:tcW w:w="1252" w:type="dxa"/>
            <w:noWrap/>
            <w:vAlign w:val="center"/>
          </w:tcPr>
          <w:p w14:paraId="651EF48C">
            <w:pPr>
              <w:jc w:val="center"/>
              <w:rPr>
                <w:color w:val="000000"/>
                <w:sz w:val="20"/>
                <w:szCs w:val="20"/>
              </w:rPr>
            </w:pPr>
            <w:r>
              <w:rPr>
                <w:color w:val="000000"/>
                <w:sz w:val="20"/>
                <w:szCs w:val="20"/>
              </w:rPr>
              <w:t>8.000.000</w:t>
            </w:r>
          </w:p>
        </w:tc>
        <w:tc>
          <w:tcPr>
            <w:tcW w:w="1848" w:type="dxa"/>
            <w:noWrap/>
            <w:vAlign w:val="center"/>
          </w:tcPr>
          <w:p w14:paraId="6F987BEB">
            <w:pPr>
              <w:jc w:val="center"/>
              <w:rPr>
                <w:color w:val="000000"/>
                <w:sz w:val="20"/>
                <w:szCs w:val="20"/>
              </w:rPr>
            </w:pPr>
            <w:r>
              <w:rPr>
                <w:color w:val="000000"/>
                <w:sz w:val="20"/>
                <w:szCs w:val="20"/>
              </w:rPr>
              <w:t>720.000.000</w:t>
            </w:r>
          </w:p>
        </w:tc>
      </w:tr>
      <w:tr w14:paraId="28EF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80841CB">
            <w:pPr>
              <w:jc w:val="center"/>
              <w:rPr>
                <w:b/>
                <w:bCs/>
                <w:color w:val="000000"/>
                <w:sz w:val="20"/>
                <w:szCs w:val="20"/>
              </w:rPr>
            </w:pPr>
            <w:r>
              <w:rPr>
                <w:b/>
                <w:bCs/>
                <w:color w:val="000000"/>
                <w:sz w:val="20"/>
                <w:szCs w:val="20"/>
              </w:rPr>
              <w:t>LK32</w:t>
            </w:r>
          </w:p>
        </w:tc>
        <w:tc>
          <w:tcPr>
            <w:tcW w:w="1802" w:type="dxa"/>
            <w:vAlign w:val="center"/>
          </w:tcPr>
          <w:p w14:paraId="0FD0C7B0">
            <w:pPr>
              <w:jc w:val="center"/>
              <w:rPr>
                <w:color w:val="000000"/>
                <w:sz w:val="20"/>
                <w:szCs w:val="20"/>
              </w:rPr>
            </w:pPr>
            <w:r>
              <w:rPr>
                <w:color w:val="000000"/>
                <w:sz w:val="20"/>
                <w:szCs w:val="20"/>
              </w:rPr>
              <w:t>LK32:02</w:t>
            </w:r>
          </w:p>
        </w:tc>
        <w:tc>
          <w:tcPr>
            <w:tcW w:w="1033" w:type="dxa"/>
            <w:noWrap/>
            <w:vAlign w:val="center"/>
          </w:tcPr>
          <w:p w14:paraId="57897497">
            <w:pPr>
              <w:jc w:val="center"/>
              <w:rPr>
                <w:color w:val="000000"/>
                <w:sz w:val="20"/>
                <w:szCs w:val="20"/>
              </w:rPr>
            </w:pPr>
            <w:r>
              <w:rPr>
                <w:color w:val="000000"/>
                <w:sz w:val="20"/>
                <w:szCs w:val="20"/>
              </w:rPr>
              <w:t>90,00</w:t>
            </w:r>
          </w:p>
        </w:tc>
        <w:tc>
          <w:tcPr>
            <w:tcW w:w="846" w:type="dxa"/>
            <w:noWrap/>
            <w:vAlign w:val="center"/>
          </w:tcPr>
          <w:p w14:paraId="4F4AB3E6">
            <w:pPr>
              <w:jc w:val="center"/>
              <w:rPr>
                <w:color w:val="000000"/>
                <w:sz w:val="20"/>
                <w:szCs w:val="20"/>
              </w:rPr>
            </w:pPr>
            <w:r>
              <w:rPr>
                <w:color w:val="000000"/>
                <w:sz w:val="20"/>
                <w:szCs w:val="20"/>
              </w:rPr>
              <w:t>1</w:t>
            </w:r>
          </w:p>
        </w:tc>
        <w:tc>
          <w:tcPr>
            <w:tcW w:w="2578" w:type="dxa"/>
            <w:noWrap/>
            <w:vAlign w:val="center"/>
          </w:tcPr>
          <w:p w14:paraId="7FE45FBC">
            <w:pPr>
              <w:jc w:val="center"/>
              <w:rPr>
                <w:color w:val="000000"/>
                <w:sz w:val="20"/>
                <w:szCs w:val="20"/>
              </w:rPr>
            </w:pPr>
            <w:r>
              <w:rPr>
                <w:color w:val="000000"/>
                <w:sz w:val="20"/>
                <w:szCs w:val="20"/>
              </w:rPr>
              <w:t>Mặt cắt 3-3</w:t>
            </w:r>
          </w:p>
        </w:tc>
        <w:tc>
          <w:tcPr>
            <w:tcW w:w="2393" w:type="dxa"/>
            <w:noWrap/>
            <w:vAlign w:val="center"/>
          </w:tcPr>
          <w:p w14:paraId="77399FB0">
            <w:pPr>
              <w:jc w:val="center"/>
              <w:rPr>
                <w:color w:val="000000"/>
                <w:sz w:val="20"/>
                <w:szCs w:val="20"/>
              </w:rPr>
            </w:pPr>
            <w:r>
              <w:rPr>
                <w:color w:val="000000"/>
                <w:sz w:val="20"/>
                <w:szCs w:val="20"/>
              </w:rPr>
              <w:t>Một mặt tiền</w:t>
            </w:r>
          </w:p>
        </w:tc>
        <w:tc>
          <w:tcPr>
            <w:tcW w:w="1198" w:type="dxa"/>
            <w:noWrap/>
            <w:vAlign w:val="center"/>
          </w:tcPr>
          <w:p w14:paraId="78B00E75">
            <w:pPr>
              <w:jc w:val="center"/>
              <w:rPr>
                <w:color w:val="000000"/>
                <w:sz w:val="20"/>
                <w:szCs w:val="20"/>
              </w:rPr>
            </w:pPr>
            <w:r>
              <w:rPr>
                <w:color w:val="000000"/>
                <w:sz w:val="20"/>
                <w:szCs w:val="20"/>
              </w:rPr>
              <w:t>8.000.000</w:t>
            </w:r>
          </w:p>
        </w:tc>
        <w:tc>
          <w:tcPr>
            <w:tcW w:w="1236" w:type="dxa"/>
            <w:noWrap/>
            <w:vAlign w:val="center"/>
          </w:tcPr>
          <w:p w14:paraId="15279186">
            <w:pPr>
              <w:jc w:val="center"/>
              <w:rPr>
                <w:color w:val="000000"/>
                <w:sz w:val="20"/>
                <w:szCs w:val="20"/>
              </w:rPr>
            </w:pPr>
          </w:p>
        </w:tc>
        <w:tc>
          <w:tcPr>
            <w:tcW w:w="1252" w:type="dxa"/>
            <w:noWrap/>
            <w:vAlign w:val="center"/>
          </w:tcPr>
          <w:p w14:paraId="2A066E44">
            <w:pPr>
              <w:jc w:val="center"/>
              <w:rPr>
                <w:color w:val="000000"/>
                <w:sz w:val="20"/>
                <w:szCs w:val="20"/>
              </w:rPr>
            </w:pPr>
            <w:r>
              <w:rPr>
                <w:color w:val="000000"/>
                <w:sz w:val="20"/>
                <w:szCs w:val="20"/>
              </w:rPr>
              <w:t>8.000.000</w:t>
            </w:r>
          </w:p>
        </w:tc>
        <w:tc>
          <w:tcPr>
            <w:tcW w:w="1848" w:type="dxa"/>
            <w:noWrap/>
            <w:vAlign w:val="center"/>
          </w:tcPr>
          <w:p w14:paraId="53C0DD1A">
            <w:pPr>
              <w:jc w:val="center"/>
              <w:rPr>
                <w:color w:val="000000"/>
                <w:sz w:val="20"/>
                <w:szCs w:val="20"/>
              </w:rPr>
            </w:pPr>
            <w:r>
              <w:rPr>
                <w:color w:val="000000"/>
                <w:sz w:val="20"/>
                <w:szCs w:val="20"/>
              </w:rPr>
              <w:t>720.000.000</w:t>
            </w:r>
          </w:p>
        </w:tc>
      </w:tr>
      <w:tr w14:paraId="13AC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45FF2B9">
            <w:pPr>
              <w:jc w:val="center"/>
              <w:rPr>
                <w:b/>
                <w:bCs/>
                <w:color w:val="000000"/>
                <w:sz w:val="20"/>
                <w:szCs w:val="20"/>
              </w:rPr>
            </w:pPr>
            <w:r>
              <w:rPr>
                <w:b/>
                <w:bCs/>
                <w:color w:val="000000"/>
                <w:sz w:val="20"/>
                <w:szCs w:val="20"/>
              </w:rPr>
              <w:t>LK32</w:t>
            </w:r>
          </w:p>
        </w:tc>
        <w:tc>
          <w:tcPr>
            <w:tcW w:w="1802" w:type="dxa"/>
            <w:vAlign w:val="center"/>
          </w:tcPr>
          <w:p w14:paraId="1FEFA669">
            <w:pPr>
              <w:jc w:val="center"/>
              <w:rPr>
                <w:color w:val="000000"/>
                <w:sz w:val="20"/>
                <w:szCs w:val="20"/>
              </w:rPr>
            </w:pPr>
            <w:r>
              <w:rPr>
                <w:color w:val="000000"/>
                <w:sz w:val="20"/>
                <w:szCs w:val="20"/>
              </w:rPr>
              <w:t>LK32:03</w:t>
            </w:r>
          </w:p>
        </w:tc>
        <w:tc>
          <w:tcPr>
            <w:tcW w:w="1033" w:type="dxa"/>
            <w:noWrap/>
            <w:vAlign w:val="center"/>
          </w:tcPr>
          <w:p w14:paraId="47CFBFB8">
            <w:pPr>
              <w:jc w:val="center"/>
              <w:rPr>
                <w:color w:val="000000"/>
                <w:sz w:val="20"/>
                <w:szCs w:val="20"/>
              </w:rPr>
            </w:pPr>
            <w:r>
              <w:rPr>
                <w:color w:val="000000"/>
                <w:sz w:val="20"/>
                <w:szCs w:val="20"/>
              </w:rPr>
              <w:t>90,00</w:t>
            </w:r>
          </w:p>
        </w:tc>
        <w:tc>
          <w:tcPr>
            <w:tcW w:w="846" w:type="dxa"/>
            <w:noWrap/>
            <w:vAlign w:val="center"/>
          </w:tcPr>
          <w:p w14:paraId="07FACAD1">
            <w:pPr>
              <w:jc w:val="center"/>
              <w:rPr>
                <w:color w:val="000000"/>
                <w:sz w:val="20"/>
                <w:szCs w:val="20"/>
              </w:rPr>
            </w:pPr>
            <w:r>
              <w:rPr>
                <w:color w:val="000000"/>
                <w:sz w:val="20"/>
                <w:szCs w:val="20"/>
              </w:rPr>
              <w:t>1</w:t>
            </w:r>
          </w:p>
        </w:tc>
        <w:tc>
          <w:tcPr>
            <w:tcW w:w="2578" w:type="dxa"/>
            <w:noWrap/>
            <w:vAlign w:val="center"/>
          </w:tcPr>
          <w:p w14:paraId="3B4366A7">
            <w:pPr>
              <w:jc w:val="center"/>
              <w:rPr>
                <w:color w:val="000000"/>
                <w:sz w:val="20"/>
                <w:szCs w:val="20"/>
              </w:rPr>
            </w:pPr>
            <w:r>
              <w:rPr>
                <w:color w:val="000000"/>
                <w:sz w:val="20"/>
                <w:szCs w:val="20"/>
              </w:rPr>
              <w:t>Mặt cắt 3-3</w:t>
            </w:r>
          </w:p>
        </w:tc>
        <w:tc>
          <w:tcPr>
            <w:tcW w:w="2393" w:type="dxa"/>
            <w:noWrap/>
            <w:vAlign w:val="center"/>
          </w:tcPr>
          <w:p w14:paraId="23C5ED63">
            <w:pPr>
              <w:jc w:val="center"/>
              <w:rPr>
                <w:color w:val="000000"/>
                <w:sz w:val="20"/>
                <w:szCs w:val="20"/>
              </w:rPr>
            </w:pPr>
            <w:r>
              <w:rPr>
                <w:color w:val="000000"/>
                <w:sz w:val="20"/>
                <w:szCs w:val="20"/>
              </w:rPr>
              <w:t>Một mặt tiền</w:t>
            </w:r>
          </w:p>
        </w:tc>
        <w:tc>
          <w:tcPr>
            <w:tcW w:w="1198" w:type="dxa"/>
            <w:noWrap/>
            <w:vAlign w:val="center"/>
          </w:tcPr>
          <w:p w14:paraId="7B30A4D6">
            <w:pPr>
              <w:jc w:val="center"/>
              <w:rPr>
                <w:color w:val="000000"/>
                <w:sz w:val="20"/>
                <w:szCs w:val="20"/>
              </w:rPr>
            </w:pPr>
            <w:r>
              <w:rPr>
                <w:color w:val="000000"/>
                <w:sz w:val="20"/>
                <w:szCs w:val="20"/>
              </w:rPr>
              <w:t>8.000.000</w:t>
            </w:r>
          </w:p>
        </w:tc>
        <w:tc>
          <w:tcPr>
            <w:tcW w:w="1236" w:type="dxa"/>
            <w:noWrap/>
            <w:vAlign w:val="center"/>
          </w:tcPr>
          <w:p w14:paraId="14309696">
            <w:pPr>
              <w:jc w:val="center"/>
              <w:rPr>
                <w:color w:val="000000"/>
                <w:sz w:val="20"/>
                <w:szCs w:val="20"/>
              </w:rPr>
            </w:pPr>
          </w:p>
        </w:tc>
        <w:tc>
          <w:tcPr>
            <w:tcW w:w="1252" w:type="dxa"/>
            <w:noWrap/>
            <w:vAlign w:val="center"/>
          </w:tcPr>
          <w:p w14:paraId="270DC140">
            <w:pPr>
              <w:jc w:val="center"/>
              <w:rPr>
                <w:color w:val="000000"/>
                <w:sz w:val="20"/>
                <w:szCs w:val="20"/>
              </w:rPr>
            </w:pPr>
            <w:r>
              <w:rPr>
                <w:color w:val="000000"/>
                <w:sz w:val="20"/>
                <w:szCs w:val="20"/>
              </w:rPr>
              <w:t>8.000.000</w:t>
            </w:r>
          </w:p>
        </w:tc>
        <w:tc>
          <w:tcPr>
            <w:tcW w:w="1848" w:type="dxa"/>
            <w:noWrap/>
            <w:vAlign w:val="center"/>
          </w:tcPr>
          <w:p w14:paraId="55BB7609">
            <w:pPr>
              <w:jc w:val="center"/>
              <w:rPr>
                <w:color w:val="000000"/>
                <w:sz w:val="20"/>
                <w:szCs w:val="20"/>
              </w:rPr>
            </w:pPr>
            <w:r>
              <w:rPr>
                <w:color w:val="000000"/>
                <w:sz w:val="20"/>
                <w:szCs w:val="20"/>
              </w:rPr>
              <w:t>720.000.000</w:t>
            </w:r>
          </w:p>
        </w:tc>
      </w:tr>
      <w:tr w14:paraId="25EE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DDC5107">
            <w:pPr>
              <w:jc w:val="center"/>
              <w:rPr>
                <w:b/>
                <w:bCs/>
                <w:color w:val="000000"/>
                <w:sz w:val="20"/>
                <w:szCs w:val="20"/>
              </w:rPr>
            </w:pPr>
            <w:r>
              <w:rPr>
                <w:b/>
                <w:bCs/>
                <w:color w:val="000000"/>
                <w:sz w:val="20"/>
                <w:szCs w:val="20"/>
              </w:rPr>
              <w:t>LK32</w:t>
            </w:r>
          </w:p>
        </w:tc>
        <w:tc>
          <w:tcPr>
            <w:tcW w:w="1802" w:type="dxa"/>
            <w:vAlign w:val="center"/>
          </w:tcPr>
          <w:p w14:paraId="181D68F7">
            <w:pPr>
              <w:jc w:val="center"/>
              <w:rPr>
                <w:color w:val="000000"/>
                <w:sz w:val="20"/>
                <w:szCs w:val="20"/>
              </w:rPr>
            </w:pPr>
            <w:r>
              <w:rPr>
                <w:color w:val="000000"/>
                <w:sz w:val="20"/>
                <w:szCs w:val="20"/>
              </w:rPr>
              <w:t>LK32:04</w:t>
            </w:r>
          </w:p>
        </w:tc>
        <w:tc>
          <w:tcPr>
            <w:tcW w:w="1033" w:type="dxa"/>
            <w:noWrap/>
            <w:vAlign w:val="center"/>
          </w:tcPr>
          <w:p w14:paraId="3B508307">
            <w:pPr>
              <w:jc w:val="center"/>
              <w:rPr>
                <w:color w:val="000000"/>
                <w:sz w:val="20"/>
                <w:szCs w:val="20"/>
              </w:rPr>
            </w:pPr>
            <w:r>
              <w:rPr>
                <w:color w:val="000000"/>
                <w:sz w:val="20"/>
                <w:szCs w:val="20"/>
              </w:rPr>
              <w:t>90,00</w:t>
            </w:r>
          </w:p>
        </w:tc>
        <w:tc>
          <w:tcPr>
            <w:tcW w:w="846" w:type="dxa"/>
            <w:noWrap/>
            <w:vAlign w:val="center"/>
          </w:tcPr>
          <w:p w14:paraId="1ABF7F55">
            <w:pPr>
              <w:jc w:val="center"/>
              <w:rPr>
                <w:color w:val="000000"/>
                <w:sz w:val="20"/>
                <w:szCs w:val="20"/>
              </w:rPr>
            </w:pPr>
            <w:r>
              <w:rPr>
                <w:color w:val="000000"/>
                <w:sz w:val="20"/>
                <w:szCs w:val="20"/>
              </w:rPr>
              <w:t>1</w:t>
            </w:r>
          </w:p>
        </w:tc>
        <w:tc>
          <w:tcPr>
            <w:tcW w:w="2578" w:type="dxa"/>
            <w:noWrap/>
            <w:vAlign w:val="center"/>
          </w:tcPr>
          <w:p w14:paraId="3F84A6E9">
            <w:pPr>
              <w:jc w:val="center"/>
              <w:rPr>
                <w:color w:val="000000"/>
                <w:sz w:val="20"/>
                <w:szCs w:val="20"/>
              </w:rPr>
            </w:pPr>
            <w:r>
              <w:rPr>
                <w:color w:val="000000"/>
                <w:sz w:val="20"/>
                <w:szCs w:val="20"/>
              </w:rPr>
              <w:t>Mặt cắt 3-3</w:t>
            </w:r>
          </w:p>
        </w:tc>
        <w:tc>
          <w:tcPr>
            <w:tcW w:w="2393" w:type="dxa"/>
            <w:noWrap/>
            <w:vAlign w:val="center"/>
          </w:tcPr>
          <w:p w14:paraId="5F0419FA">
            <w:pPr>
              <w:jc w:val="center"/>
              <w:rPr>
                <w:color w:val="000000"/>
                <w:sz w:val="20"/>
                <w:szCs w:val="20"/>
              </w:rPr>
            </w:pPr>
            <w:r>
              <w:rPr>
                <w:color w:val="000000"/>
                <w:sz w:val="20"/>
                <w:szCs w:val="20"/>
              </w:rPr>
              <w:t>Một mặt tiền</w:t>
            </w:r>
          </w:p>
        </w:tc>
        <w:tc>
          <w:tcPr>
            <w:tcW w:w="1198" w:type="dxa"/>
            <w:noWrap/>
            <w:vAlign w:val="center"/>
          </w:tcPr>
          <w:p w14:paraId="3B6563C9">
            <w:pPr>
              <w:jc w:val="center"/>
              <w:rPr>
                <w:color w:val="000000"/>
                <w:sz w:val="20"/>
                <w:szCs w:val="20"/>
              </w:rPr>
            </w:pPr>
            <w:r>
              <w:rPr>
                <w:color w:val="000000"/>
                <w:sz w:val="20"/>
                <w:szCs w:val="20"/>
              </w:rPr>
              <w:t>8.000.000</w:t>
            </w:r>
          </w:p>
        </w:tc>
        <w:tc>
          <w:tcPr>
            <w:tcW w:w="1236" w:type="dxa"/>
            <w:noWrap/>
            <w:vAlign w:val="center"/>
          </w:tcPr>
          <w:p w14:paraId="3BB1F94D">
            <w:pPr>
              <w:jc w:val="center"/>
              <w:rPr>
                <w:color w:val="000000"/>
                <w:sz w:val="20"/>
                <w:szCs w:val="20"/>
              </w:rPr>
            </w:pPr>
          </w:p>
        </w:tc>
        <w:tc>
          <w:tcPr>
            <w:tcW w:w="1252" w:type="dxa"/>
            <w:noWrap/>
            <w:vAlign w:val="center"/>
          </w:tcPr>
          <w:p w14:paraId="35B5CC4D">
            <w:pPr>
              <w:jc w:val="center"/>
              <w:rPr>
                <w:color w:val="000000"/>
                <w:sz w:val="20"/>
                <w:szCs w:val="20"/>
              </w:rPr>
            </w:pPr>
            <w:r>
              <w:rPr>
                <w:color w:val="000000"/>
                <w:sz w:val="20"/>
                <w:szCs w:val="20"/>
              </w:rPr>
              <w:t>8.000.000</w:t>
            </w:r>
          </w:p>
        </w:tc>
        <w:tc>
          <w:tcPr>
            <w:tcW w:w="1848" w:type="dxa"/>
            <w:noWrap/>
            <w:vAlign w:val="center"/>
          </w:tcPr>
          <w:p w14:paraId="1A6B6AD6">
            <w:pPr>
              <w:jc w:val="center"/>
              <w:rPr>
                <w:color w:val="000000"/>
                <w:sz w:val="20"/>
                <w:szCs w:val="20"/>
              </w:rPr>
            </w:pPr>
            <w:r>
              <w:rPr>
                <w:color w:val="000000"/>
                <w:sz w:val="20"/>
                <w:szCs w:val="20"/>
              </w:rPr>
              <w:t>720.000.000</w:t>
            </w:r>
          </w:p>
        </w:tc>
      </w:tr>
      <w:tr w14:paraId="2EAA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0C4A5CD">
            <w:pPr>
              <w:jc w:val="center"/>
              <w:rPr>
                <w:b/>
                <w:bCs/>
                <w:color w:val="000000"/>
                <w:sz w:val="20"/>
                <w:szCs w:val="20"/>
              </w:rPr>
            </w:pPr>
            <w:r>
              <w:rPr>
                <w:b/>
                <w:bCs/>
                <w:color w:val="000000"/>
                <w:sz w:val="20"/>
                <w:szCs w:val="20"/>
              </w:rPr>
              <w:t>LK32</w:t>
            </w:r>
          </w:p>
        </w:tc>
        <w:tc>
          <w:tcPr>
            <w:tcW w:w="1802" w:type="dxa"/>
            <w:vAlign w:val="center"/>
          </w:tcPr>
          <w:p w14:paraId="531981E3">
            <w:pPr>
              <w:jc w:val="center"/>
              <w:rPr>
                <w:color w:val="000000"/>
                <w:sz w:val="20"/>
                <w:szCs w:val="20"/>
              </w:rPr>
            </w:pPr>
            <w:r>
              <w:rPr>
                <w:color w:val="000000"/>
                <w:sz w:val="20"/>
                <w:szCs w:val="20"/>
              </w:rPr>
              <w:t>LK32:05</w:t>
            </w:r>
          </w:p>
        </w:tc>
        <w:tc>
          <w:tcPr>
            <w:tcW w:w="1033" w:type="dxa"/>
            <w:noWrap/>
            <w:vAlign w:val="center"/>
          </w:tcPr>
          <w:p w14:paraId="1498C832">
            <w:pPr>
              <w:jc w:val="center"/>
              <w:rPr>
                <w:color w:val="000000"/>
                <w:sz w:val="20"/>
                <w:szCs w:val="20"/>
              </w:rPr>
            </w:pPr>
            <w:r>
              <w:rPr>
                <w:color w:val="000000"/>
                <w:sz w:val="20"/>
                <w:szCs w:val="20"/>
              </w:rPr>
              <w:t>90,00</w:t>
            </w:r>
          </w:p>
        </w:tc>
        <w:tc>
          <w:tcPr>
            <w:tcW w:w="846" w:type="dxa"/>
            <w:noWrap/>
            <w:vAlign w:val="center"/>
          </w:tcPr>
          <w:p w14:paraId="4444DAC4">
            <w:pPr>
              <w:jc w:val="center"/>
              <w:rPr>
                <w:color w:val="000000"/>
                <w:sz w:val="20"/>
                <w:szCs w:val="20"/>
              </w:rPr>
            </w:pPr>
            <w:r>
              <w:rPr>
                <w:color w:val="000000"/>
                <w:sz w:val="20"/>
                <w:szCs w:val="20"/>
              </w:rPr>
              <w:t>1</w:t>
            </w:r>
          </w:p>
        </w:tc>
        <w:tc>
          <w:tcPr>
            <w:tcW w:w="2578" w:type="dxa"/>
            <w:noWrap/>
            <w:vAlign w:val="center"/>
          </w:tcPr>
          <w:p w14:paraId="20895850">
            <w:pPr>
              <w:jc w:val="center"/>
              <w:rPr>
                <w:color w:val="000000"/>
                <w:sz w:val="20"/>
                <w:szCs w:val="20"/>
              </w:rPr>
            </w:pPr>
            <w:r>
              <w:rPr>
                <w:color w:val="000000"/>
                <w:sz w:val="20"/>
                <w:szCs w:val="20"/>
              </w:rPr>
              <w:t>Mặt cắt 3-3</w:t>
            </w:r>
          </w:p>
        </w:tc>
        <w:tc>
          <w:tcPr>
            <w:tcW w:w="2393" w:type="dxa"/>
            <w:noWrap/>
            <w:vAlign w:val="center"/>
          </w:tcPr>
          <w:p w14:paraId="500DB700">
            <w:pPr>
              <w:jc w:val="center"/>
              <w:rPr>
                <w:color w:val="000000"/>
                <w:sz w:val="20"/>
                <w:szCs w:val="20"/>
              </w:rPr>
            </w:pPr>
            <w:r>
              <w:rPr>
                <w:color w:val="000000"/>
                <w:sz w:val="20"/>
                <w:szCs w:val="20"/>
              </w:rPr>
              <w:t>Một mặt tiền</w:t>
            </w:r>
          </w:p>
        </w:tc>
        <w:tc>
          <w:tcPr>
            <w:tcW w:w="1198" w:type="dxa"/>
            <w:noWrap/>
            <w:vAlign w:val="center"/>
          </w:tcPr>
          <w:p w14:paraId="39324ED8">
            <w:pPr>
              <w:jc w:val="center"/>
              <w:rPr>
                <w:color w:val="000000"/>
                <w:sz w:val="20"/>
                <w:szCs w:val="20"/>
              </w:rPr>
            </w:pPr>
            <w:r>
              <w:rPr>
                <w:color w:val="000000"/>
                <w:sz w:val="20"/>
                <w:szCs w:val="20"/>
              </w:rPr>
              <w:t>8.000.000</w:t>
            </w:r>
          </w:p>
        </w:tc>
        <w:tc>
          <w:tcPr>
            <w:tcW w:w="1236" w:type="dxa"/>
            <w:noWrap/>
            <w:vAlign w:val="center"/>
          </w:tcPr>
          <w:p w14:paraId="5A07981F">
            <w:pPr>
              <w:jc w:val="center"/>
              <w:rPr>
                <w:color w:val="000000"/>
                <w:sz w:val="20"/>
                <w:szCs w:val="20"/>
              </w:rPr>
            </w:pPr>
          </w:p>
        </w:tc>
        <w:tc>
          <w:tcPr>
            <w:tcW w:w="1252" w:type="dxa"/>
            <w:noWrap/>
            <w:vAlign w:val="center"/>
          </w:tcPr>
          <w:p w14:paraId="7063CD6D">
            <w:pPr>
              <w:jc w:val="center"/>
              <w:rPr>
                <w:color w:val="000000"/>
                <w:sz w:val="20"/>
                <w:szCs w:val="20"/>
              </w:rPr>
            </w:pPr>
            <w:r>
              <w:rPr>
                <w:color w:val="000000"/>
                <w:sz w:val="20"/>
                <w:szCs w:val="20"/>
              </w:rPr>
              <w:t>8.000.000</w:t>
            </w:r>
          </w:p>
        </w:tc>
        <w:tc>
          <w:tcPr>
            <w:tcW w:w="1848" w:type="dxa"/>
            <w:noWrap/>
            <w:vAlign w:val="center"/>
          </w:tcPr>
          <w:p w14:paraId="3FCCCB94">
            <w:pPr>
              <w:jc w:val="center"/>
              <w:rPr>
                <w:color w:val="000000"/>
                <w:sz w:val="20"/>
                <w:szCs w:val="20"/>
              </w:rPr>
            </w:pPr>
            <w:r>
              <w:rPr>
                <w:color w:val="000000"/>
                <w:sz w:val="20"/>
                <w:szCs w:val="20"/>
              </w:rPr>
              <w:t>720.000.000</w:t>
            </w:r>
          </w:p>
        </w:tc>
      </w:tr>
      <w:tr w14:paraId="22C3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6F7B88">
            <w:pPr>
              <w:jc w:val="center"/>
              <w:rPr>
                <w:b/>
                <w:bCs/>
                <w:color w:val="000000"/>
                <w:sz w:val="20"/>
                <w:szCs w:val="20"/>
              </w:rPr>
            </w:pPr>
            <w:r>
              <w:rPr>
                <w:b/>
                <w:bCs/>
                <w:color w:val="000000"/>
                <w:sz w:val="20"/>
                <w:szCs w:val="20"/>
              </w:rPr>
              <w:t>LK32</w:t>
            </w:r>
          </w:p>
        </w:tc>
        <w:tc>
          <w:tcPr>
            <w:tcW w:w="1802" w:type="dxa"/>
            <w:vAlign w:val="center"/>
          </w:tcPr>
          <w:p w14:paraId="17E2F4E3">
            <w:pPr>
              <w:jc w:val="center"/>
              <w:rPr>
                <w:color w:val="000000"/>
                <w:sz w:val="20"/>
                <w:szCs w:val="20"/>
              </w:rPr>
            </w:pPr>
            <w:r>
              <w:rPr>
                <w:color w:val="000000"/>
                <w:sz w:val="20"/>
                <w:szCs w:val="20"/>
              </w:rPr>
              <w:t>LK32:06</w:t>
            </w:r>
          </w:p>
        </w:tc>
        <w:tc>
          <w:tcPr>
            <w:tcW w:w="1033" w:type="dxa"/>
            <w:noWrap/>
            <w:vAlign w:val="center"/>
          </w:tcPr>
          <w:p w14:paraId="78D97231">
            <w:pPr>
              <w:jc w:val="center"/>
              <w:rPr>
                <w:color w:val="000000"/>
                <w:sz w:val="20"/>
                <w:szCs w:val="20"/>
              </w:rPr>
            </w:pPr>
            <w:r>
              <w:rPr>
                <w:color w:val="000000"/>
                <w:sz w:val="20"/>
                <w:szCs w:val="20"/>
              </w:rPr>
              <w:t>90,00</w:t>
            </w:r>
          </w:p>
        </w:tc>
        <w:tc>
          <w:tcPr>
            <w:tcW w:w="846" w:type="dxa"/>
            <w:noWrap/>
            <w:vAlign w:val="center"/>
          </w:tcPr>
          <w:p w14:paraId="48FEB7D0">
            <w:pPr>
              <w:jc w:val="center"/>
              <w:rPr>
                <w:color w:val="000000"/>
                <w:sz w:val="20"/>
                <w:szCs w:val="20"/>
              </w:rPr>
            </w:pPr>
            <w:r>
              <w:rPr>
                <w:color w:val="000000"/>
                <w:sz w:val="20"/>
                <w:szCs w:val="20"/>
              </w:rPr>
              <w:t>1</w:t>
            </w:r>
          </w:p>
        </w:tc>
        <w:tc>
          <w:tcPr>
            <w:tcW w:w="2578" w:type="dxa"/>
            <w:noWrap/>
            <w:vAlign w:val="center"/>
          </w:tcPr>
          <w:p w14:paraId="6EDE83B2">
            <w:pPr>
              <w:jc w:val="center"/>
              <w:rPr>
                <w:color w:val="000000"/>
                <w:sz w:val="20"/>
                <w:szCs w:val="20"/>
              </w:rPr>
            </w:pPr>
            <w:r>
              <w:rPr>
                <w:color w:val="000000"/>
                <w:sz w:val="20"/>
                <w:szCs w:val="20"/>
              </w:rPr>
              <w:t>Mặt cắt 3-3</w:t>
            </w:r>
          </w:p>
        </w:tc>
        <w:tc>
          <w:tcPr>
            <w:tcW w:w="2393" w:type="dxa"/>
            <w:noWrap/>
            <w:vAlign w:val="center"/>
          </w:tcPr>
          <w:p w14:paraId="696F3B66">
            <w:pPr>
              <w:jc w:val="center"/>
              <w:rPr>
                <w:color w:val="000000"/>
                <w:sz w:val="20"/>
                <w:szCs w:val="20"/>
              </w:rPr>
            </w:pPr>
            <w:r>
              <w:rPr>
                <w:color w:val="000000"/>
                <w:sz w:val="20"/>
                <w:szCs w:val="20"/>
              </w:rPr>
              <w:t>Một mặt tiền</w:t>
            </w:r>
          </w:p>
        </w:tc>
        <w:tc>
          <w:tcPr>
            <w:tcW w:w="1198" w:type="dxa"/>
            <w:noWrap/>
            <w:vAlign w:val="center"/>
          </w:tcPr>
          <w:p w14:paraId="6B469C15">
            <w:pPr>
              <w:jc w:val="center"/>
              <w:rPr>
                <w:color w:val="000000"/>
                <w:sz w:val="20"/>
                <w:szCs w:val="20"/>
              </w:rPr>
            </w:pPr>
            <w:r>
              <w:rPr>
                <w:color w:val="000000"/>
                <w:sz w:val="20"/>
                <w:szCs w:val="20"/>
              </w:rPr>
              <w:t>8.000.000</w:t>
            </w:r>
          </w:p>
        </w:tc>
        <w:tc>
          <w:tcPr>
            <w:tcW w:w="1236" w:type="dxa"/>
            <w:noWrap/>
            <w:vAlign w:val="center"/>
          </w:tcPr>
          <w:p w14:paraId="0EDEBE47">
            <w:pPr>
              <w:jc w:val="center"/>
              <w:rPr>
                <w:color w:val="000000"/>
                <w:sz w:val="20"/>
                <w:szCs w:val="20"/>
              </w:rPr>
            </w:pPr>
          </w:p>
        </w:tc>
        <w:tc>
          <w:tcPr>
            <w:tcW w:w="1252" w:type="dxa"/>
            <w:noWrap/>
            <w:vAlign w:val="center"/>
          </w:tcPr>
          <w:p w14:paraId="12366BF5">
            <w:pPr>
              <w:jc w:val="center"/>
              <w:rPr>
                <w:color w:val="000000"/>
                <w:sz w:val="20"/>
                <w:szCs w:val="20"/>
              </w:rPr>
            </w:pPr>
            <w:r>
              <w:rPr>
                <w:color w:val="000000"/>
                <w:sz w:val="20"/>
                <w:szCs w:val="20"/>
              </w:rPr>
              <w:t>8.000.000</w:t>
            </w:r>
          </w:p>
        </w:tc>
        <w:tc>
          <w:tcPr>
            <w:tcW w:w="1848" w:type="dxa"/>
            <w:noWrap/>
            <w:vAlign w:val="center"/>
          </w:tcPr>
          <w:p w14:paraId="4CD85864">
            <w:pPr>
              <w:jc w:val="center"/>
              <w:rPr>
                <w:color w:val="000000"/>
                <w:sz w:val="20"/>
                <w:szCs w:val="20"/>
              </w:rPr>
            </w:pPr>
            <w:r>
              <w:rPr>
                <w:color w:val="000000"/>
                <w:sz w:val="20"/>
                <w:szCs w:val="20"/>
              </w:rPr>
              <w:t>720.000.000</w:t>
            </w:r>
          </w:p>
        </w:tc>
      </w:tr>
      <w:tr w14:paraId="72BF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C675DB1">
            <w:pPr>
              <w:jc w:val="center"/>
              <w:rPr>
                <w:b/>
                <w:bCs/>
                <w:color w:val="000000"/>
                <w:sz w:val="20"/>
                <w:szCs w:val="20"/>
              </w:rPr>
            </w:pPr>
            <w:r>
              <w:rPr>
                <w:b/>
                <w:bCs/>
                <w:color w:val="000000"/>
                <w:sz w:val="20"/>
                <w:szCs w:val="20"/>
              </w:rPr>
              <w:t>LK32</w:t>
            </w:r>
          </w:p>
        </w:tc>
        <w:tc>
          <w:tcPr>
            <w:tcW w:w="1802" w:type="dxa"/>
            <w:vAlign w:val="center"/>
          </w:tcPr>
          <w:p w14:paraId="34821B5B">
            <w:pPr>
              <w:jc w:val="center"/>
              <w:rPr>
                <w:color w:val="000000"/>
                <w:sz w:val="20"/>
                <w:szCs w:val="20"/>
              </w:rPr>
            </w:pPr>
            <w:r>
              <w:rPr>
                <w:color w:val="000000"/>
                <w:sz w:val="20"/>
                <w:szCs w:val="20"/>
              </w:rPr>
              <w:t>LK32:07</w:t>
            </w:r>
          </w:p>
        </w:tc>
        <w:tc>
          <w:tcPr>
            <w:tcW w:w="1033" w:type="dxa"/>
            <w:noWrap/>
            <w:vAlign w:val="center"/>
          </w:tcPr>
          <w:p w14:paraId="7E60338B">
            <w:pPr>
              <w:jc w:val="center"/>
              <w:rPr>
                <w:color w:val="000000"/>
                <w:sz w:val="20"/>
                <w:szCs w:val="20"/>
              </w:rPr>
            </w:pPr>
            <w:r>
              <w:rPr>
                <w:color w:val="000000"/>
                <w:sz w:val="20"/>
                <w:szCs w:val="20"/>
              </w:rPr>
              <w:t>90,00</w:t>
            </w:r>
          </w:p>
        </w:tc>
        <w:tc>
          <w:tcPr>
            <w:tcW w:w="846" w:type="dxa"/>
            <w:noWrap/>
            <w:vAlign w:val="center"/>
          </w:tcPr>
          <w:p w14:paraId="4BA65242">
            <w:pPr>
              <w:jc w:val="center"/>
              <w:rPr>
                <w:color w:val="000000"/>
                <w:sz w:val="20"/>
                <w:szCs w:val="20"/>
              </w:rPr>
            </w:pPr>
            <w:r>
              <w:rPr>
                <w:color w:val="000000"/>
                <w:sz w:val="20"/>
                <w:szCs w:val="20"/>
              </w:rPr>
              <w:t>1</w:t>
            </w:r>
          </w:p>
        </w:tc>
        <w:tc>
          <w:tcPr>
            <w:tcW w:w="2578" w:type="dxa"/>
            <w:noWrap/>
            <w:vAlign w:val="center"/>
          </w:tcPr>
          <w:p w14:paraId="46AE8412">
            <w:pPr>
              <w:jc w:val="center"/>
              <w:rPr>
                <w:color w:val="000000"/>
                <w:sz w:val="20"/>
                <w:szCs w:val="20"/>
              </w:rPr>
            </w:pPr>
            <w:r>
              <w:rPr>
                <w:color w:val="000000"/>
                <w:sz w:val="20"/>
                <w:szCs w:val="20"/>
              </w:rPr>
              <w:t>Mặt cắt 3-3</w:t>
            </w:r>
          </w:p>
        </w:tc>
        <w:tc>
          <w:tcPr>
            <w:tcW w:w="2393" w:type="dxa"/>
            <w:noWrap/>
            <w:vAlign w:val="center"/>
          </w:tcPr>
          <w:p w14:paraId="300D7511">
            <w:pPr>
              <w:jc w:val="center"/>
              <w:rPr>
                <w:color w:val="000000"/>
                <w:sz w:val="20"/>
                <w:szCs w:val="20"/>
              </w:rPr>
            </w:pPr>
            <w:r>
              <w:rPr>
                <w:color w:val="000000"/>
                <w:sz w:val="20"/>
                <w:szCs w:val="20"/>
              </w:rPr>
              <w:t>Một mặt tiền</w:t>
            </w:r>
          </w:p>
        </w:tc>
        <w:tc>
          <w:tcPr>
            <w:tcW w:w="1198" w:type="dxa"/>
            <w:noWrap/>
            <w:vAlign w:val="center"/>
          </w:tcPr>
          <w:p w14:paraId="0F50CE71">
            <w:pPr>
              <w:jc w:val="center"/>
              <w:rPr>
                <w:color w:val="000000"/>
                <w:sz w:val="20"/>
                <w:szCs w:val="20"/>
              </w:rPr>
            </w:pPr>
            <w:r>
              <w:rPr>
                <w:color w:val="000000"/>
                <w:sz w:val="20"/>
                <w:szCs w:val="20"/>
              </w:rPr>
              <w:t>8.000.000</w:t>
            </w:r>
          </w:p>
        </w:tc>
        <w:tc>
          <w:tcPr>
            <w:tcW w:w="1236" w:type="dxa"/>
            <w:noWrap/>
            <w:vAlign w:val="center"/>
          </w:tcPr>
          <w:p w14:paraId="2A0C808C">
            <w:pPr>
              <w:jc w:val="center"/>
              <w:rPr>
                <w:color w:val="000000"/>
                <w:sz w:val="20"/>
                <w:szCs w:val="20"/>
              </w:rPr>
            </w:pPr>
          </w:p>
        </w:tc>
        <w:tc>
          <w:tcPr>
            <w:tcW w:w="1252" w:type="dxa"/>
            <w:noWrap/>
            <w:vAlign w:val="center"/>
          </w:tcPr>
          <w:p w14:paraId="3CAC36E1">
            <w:pPr>
              <w:jc w:val="center"/>
              <w:rPr>
                <w:color w:val="000000"/>
                <w:sz w:val="20"/>
                <w:szCs w:val="20"/>
              </w:rPr>
            </w:pPr>
            <w:r>
              <w:rPr>
                <w:color w:val="000000"/>
                <w:sz w:val="20"/>
                <w:szCs w:val="20"/>
              </w:rPr>
              <w:t>8.000.000</w:t>
            </w:r>
          </w:p>
        </w:tc>
        <w:tc>
          <w:tcPr>
            <w:tcW w:w="1848" w:type="dxa"/>
            <w:noWrap/>
            <w:vAlign w:val="center"/>
          </w:tcPr>
          <w:p w14:paraId="35C21C2C">
            <w:pPr>
              <w:jc w:val="center"/>
              <w:rPr>
                <w:color w:val="000000"/>
                <w:sz w:val="20"/>
                <w:szCs w:val="20"/>
              </w:rPr>
            </w:pPr>
            <w:r>
              <w:rPr>
                <w:color w:val="000000"/>
                <w:sz w:val="20"/>
                <w:szCs w:val="20"/>
              </w:rPr>
              <w:t>720.000.000</w:t>
            </w:r>
          </w:p>
        </w:tc>
      </w:tr>
      <w:tr w14:paraId="767B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A9B0A65">
            <w:pPr>
              <w:jc w:val="center"/>
              <w:rPr>
                <w:b/>
                <w:bCs/>
                <w:color w:val="000000"/>
                <w:sz w:val="20"/>
                <w:szCs w:val="20"/>
              </w:rPr>
            </w:pPr>
            <w:r>
              <w:rPr>
                <w:b/>
                <w:bCs/>
                <w:color w:val="000000"/>
                <w:sz w:val="20"/>
                <w:szCs w:val="20"/>
              </w:rPr>
              <w:t>LK32</w:t>
            </w:r>
          </w:p>
        </w:tc>
        <w:tc>
          <w:tcPr>
            <w:tcW w:w="1802" w:type="dxa"/>
            <w:vAlign w:val="center"/>
          </w:tcPr>
          <w:p w14:paraId="68EAA51F">
            <w:pPr>
              <w:jc w:val="center"/>
              <w:rPr>
                <w:color w:val="000000"/>
                <w:sz w:val="20"/>
                <w:szCs w:val="20"/>
              </w:rPr>
            </w:pPr>
            <w:r>
              <w:rPr>
                <w:color w:val="000000"/>
                <w:sz w:val="20"/>
                <w:szCs w:val="20"/>
              </w:rPr>
              <w:t>LK32:08</w:t>
            </w:r>
          </w:p>
        </w:tc>
        <w:tc>
          <w:tcPr>
            <w:tcW w:w="1033" w:type="dxa"/>
            <w:noWrap/>
            <w:vAlign w:val="center"/>
          </w:tcPr>
          <w:p w14:paraId="0CCD8DB3">
            <w:pPr>
              <w:jc w:val="center"/>
              <w:rPr>
                <w:color w:val="000000"/>
                <w:sz w:val="20"/>
                <w:szCs w:val="20"/>
              </w:rPr>
            </w:pPr>
            <w:r>
              <w:rPr>
                <w:color w:val="000000"/>
                <w:sz w:val="20"/>
                <w:szCs w:val="20"/>
              </w:rPr>
              <w:t>90,00</w:t>
            </w:r>
          </w:p>
        </w:tc>
        <w:tc>
          <w:tcPr>
            <w:tcW w:w="846" w:type="dxa"/>
            <w:noWrap/>
            <w:vAlign w:val="center"/>
          </w:tcPr>
          <w:p w14:paraId="44C1D409">
            <w:pPr>
              <w:jc w:val="center"/>
              <w:rPr>
                <w:color w:val="000000"/>
                <w:sz w:val="20"/>
                <w:szCs w:val="20"/>
              </w:rPr>
            </w:pPr>
            <w:r>
              <w:rPr>
                <w:color w:val="000000"/>
                <w:sz w:val="20"/>
                <w:szCs w:val="20"/>
              </w:rPr>
              <w:t>1</w:t>
            </w:r>
          </w:p>
        </w:tc>
        <w:tc>
          <w:tcPr>
            <w:tcW w:w="2578" w:type="dxa"/>
            <w:noWrap/>
            <w:vAlign w:val="center"/>
          </w:tcPr>
          <w:p w14:paraId="5AF02619">
            <w:pPr>
              <w:jc w:val="center"/>
              <w:rPr>
                <w:color w:val="000000"/>
                <w:sz w:val="20"/>
                <w:szCs w:val="20"/>
              </w:rPr>
            </w:pPr>
            <w:r>
              <w:rPr>
                <w:color w:val="000000"/>
                <w:sz w:val="20"/>
                <w:szCs w:val="20"/>
              </w:rPr>
              <w:t>Mặt cắt 3-3</w:t>
            </w:r>
          </w:p>
        </w:tc>
        <w:tc>
          <w:tcPr>
            <w:tcW w:w="2393" w:type="dxa"/>
            <w:noWrap/>
            <w:vAlign w:val="center"/>
          </w:tcPr>
          <w:p w14:paraId="49F27C33">
            <w:pPr>
              <w:jc w:val="center"/>
              <w:rPr>
                <w:color w:val="000000"/>
                <w:sz w:val="20"/>
                <w:szCs w:val="20"/>
              </w:rPr>
            </w:pPr>
            <w:r>
              <w:rPr>
                <w:color w:val="000000"/>
                <w:sz w:val="20"/>
                <w:szCs w:val="20"/>
              </w:rPr>
              <w:t>Một mặt tiền</w:t>
            </w:r>
          </w:p>
        </w:tc>
        <w:tc>
          <w:tcPr>
            <w:tcW w:w="1198" w:type="dxa"/>
            <w:noWrap/>
            <w:vAlign w:val="center"/>
          </w:tcPr>
          <w:p w14:paraId="769398AD">
            <w:pPr>
              <w:jc w:val="center"/>
              <w:rPr>
                <w:color w:val="000000"/>
                <w:sz w:val="20"/>
                <w:szCs w:val="20"/>
              </w:rPr>
            </w:pPr>
            <w:r>
              <w:rPr>
                <w:color w:val="000000"/>
                <w:sz w:val="20"/>
                <w:szCs w:val="20"/>
              </w:rPr>
              <w:t>8.000.000</w:t>
            </w:r>
          </w:p>
        </w:tc>
        <w:tc>
          <w:tcPr>
            <w:tcW w:w="1236" w:type="dxa"/>
            <w:noWrap/>
            <w:vAlign w:val="center"/>
          </w:tcPr>
          <w:p w14:paraId="1755111F">
            <w:pPr>
              <w:jc w:val="center"/>
              <w:rPr>
                <w:color w:val="000000"/>
                <w:sz w:val="20"/>
                <w:szCs w:val="20"/>
              </w:rPr>
            </w:pPr>
          </w:p>
        </w:tc>
        <w:tc>
          <w:tcPr>
            <w:tcW w:w="1252" w:type="dxa"/>
            <w:noWrap/>
            <w:vAlign w:val="center"/>
          </w:tcPr>
          <w:p w14:paraId="357E97DF">
            <w:pPr>
              <w:jc w:val="center"/>
              <w:rPr>
                <w:color w:val="000000"/>
                <w:sz w:val="20"/>
                <w:szCs w:val="20"/>
              </w:rPr>
            </w:pPr>
            <w:r>
              <w:rPr>
                <w:color w:val="000000"/>
                <w:sz w:val="20"/>
                <w:szCs w:val="20"/>
              </w:rPr>
              <w:t>8.000.000</w:t>
            </w:r>
          </w:p>
        </w:tc>
        <w:tc>
          <w:tcPr>
            <w:tcW w:w="1848" w:type="dxa"/>
            <w:noWrap/>
            <w:vAlign w:val="center"/>
          </w:tcPr>
          <w:p w14:paraId="54951609">
            <w:pPr>
              <w:jc w:val="center"/>
              <w:rPr>
                <w:color w:val="000000"/>
                <w:sz w:val="20"/>
                <w:szCs w:val="20"/>
              </w:rPr>
            </w:pPr>
            <w:r>
              <w:rPr>
                <w:color w:val="000000"/>
                <w:sz w:val="20"/>
                <w:szCs w:val="20"/>
              </w:rPr>
              <w:t>720.000.000</w:t>
            </w:r>
          </w:p>
        </w:tc>
      </w:tr>
      <w:tr w14:paraId="1358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F0C515C">
            <w:pPr>
              <w:jc w:val="center"/>
              <w:rPr>
                <w:b/>
                <w:bCs/>
                <w:color w:val="000000"/>
                <w:sz w:val="20"/>
                <w:szCs w:val="20"/>
              </w:rPr>
            </w:pPr>
            <w:r>
              <w:rPr>
                <w:b/>
                <w:bCs/>
                <w:color w:val="000000"/>
                <w:sz w:val="20"/>
                <w:szCs w:val="20"/>
              </w:rPr>
              <w:t>LK32</w:t>
            </w:r>
          </w:p>
        </w:tc>
        <w:tc>
          <w:tcPr>
            <w:tcW w:w="1802" w:type="dxa"/>
            <w:vAlign w:val="center"/>
          </w:tcPr>
          <w:p w14:paraId="469A2072">
            <w:pPr>
              <w:jc w:val="center"/>
              <w:rPr>
                <w:color w:val="000000"/>
                <w:sz w:val="20"/>
                <w:szCs w:val="20"/>
              </w:rPr>
            </w:pPr>
            <w:r>
              <w:rPr>
                <w:color w:val="000000"/>
                <w:sz w:val="20"/>
                <w:szCs w:val="20"/>
              </w:rPr>
              <w:t>LK32:09</w:t>
            </w:r>
          </w:p>
        </w:tc>
        <w:tc>
          <w:tcPr>
            <w:tcW w:w="1033" w:type="dxa"/>
            <w:noWrap/>
            <w:vAlign w:val="center"/>
          </w:tcPr>
          <w:p w14:paraId="21DB9028">
            <w:pPr>
              <w:jc w:val="center"/>
              <w:rPr>
                <w:color w:val="000000"/>
                <w:sz w:val="20"/>
                <w:szCs w:val="20"/>
              </w:rPr>
            </w:pPr>
            <w:r>
              <w:rPr>
                <w:color w:val="000000"/>
                <w:sz w:val="20"/>
                <w:szCs w:val="20"/>
              </w:rPr>
              <w:t>90,00</w:t>
            </w:r>
          </w:p>
        </w:tc>
        <w:tc>
          <w:tcPr>
            <w:tcW w:w="846" w:type="dxa"/>
            <w:noWrap/>
            <w:vAlign w:val="center"/>
          </w:tcPr>
          <w:p w14:paraId="7F3600BB">
            <w:pPr>
              <w:jc w:val="center"/>
              <w:rPr>
                <w:color w:val="000000"/>
                <w:sz w:val="20"/>
                <w:szCs w:val="20"/>
              </w:rPr>
            </w:pPr>
            <w:r>
              <w:rPr>
                <w:color w:val="000000"/>
                <w:sz w:val="20"/>
                <w:szCs w:val="20"/>
              </w:rPr>
              <w:t>1</w:t>
            </w:r>
          </w:p>
        </w:tc>
        <w:tc>
          <w:tcPr>
            <w:tcW w:w="2578" w:type="dxa"/>
            <w:noWrap/>
            <w:vAlign w:val="center"/>
          </w:tcPr>
          <w:p w14:paraId="55C6FA99">
            <w:pPr>
              <w:jc w:val="center"/>
              <w:rPr>
                <w:color w:val="000000"/>
                <w:sz w:val="20"/>
                <w:szCs w:val="20"/>
              </w:rPr>
            </w:pPr>
            <w:r>
              <w:rPr>
                <w:color w:val="000000"/>
                <w:sz w:val="20"/>
                <w:szCs w:val="20"/>
              </w:rPr>
              <w:t>Mặt cắt 3-3</w:t>
            </w:r>
          </w:p>
        </w:tc>
        <w:tc>
          <w:tcPr>
            <w:tcW w:w="2393" w:type="dxa"/>
            <w:noWrap/>
            <w:vAlign w:val="center"/>
          </w:tcPr>
          <w:p w14:paraId="4D889261">
            <w:pPr>
              <w:jc w:val="center"/>
              <w:rPr>
                <w:color w:val="000000"/>
                <w:sz w:val="20"/>
                <w:szCs w:val="20"/>
              </w:rPr>
            </w:pPr>
            <w:r>
              <w:rPr>
                <w:color w:val="000000"/>
                <w:sz w:val="20"/>
                <w:szCs w:val="20"/>
              </w:rPr>
              <w:t>Một mặt tiền</w:t>
            </w:r>
          </w:p>
        </w:tc>
        <w:tc>
          <w:tcPr>
            <w:tcW w:w="1198" w:type="dxa"/>
            <w:noWrap/>
            <w:vAlign w:val="center"/>
          </w:tcPr>
          <w:p w14:paraId="0B646211">
            <w:pPr>
              <w:jc w:val="center"/>
              <w:rPr>
                <w:color w:val="000000"/>
                <w:sz w:val="20"/>
                <w:szCs w:val="20"/>
              </w:rPr>
            </w:pPr>
            <w:r>
              <w:rPr>
                <w:color w:val="000000"/>
                <w:sz w:val="20"/>
                <w:szCs w:val="20"/>
              </w:rPr>
              <w:t>8.000.000</w:t>
            </w:r>
          </w:p>
        </w:tc>
        <w:tc>
          <w:tcPr>
            <w:tcW w:w="1236" w:type="dxa"/>
            <w:noWrap/>
            <w:vAlign w:val="center"/>
          </w:tcPr>
          <w:p w14:paraId="2512DCF3">
            <w:pPr>
              <w:jc w:val="center"/>
              <w:rPr>
                <w:color w:val="000000"/>
                <w:sz w:val="20"/>
                <w:szCs w:val="20"/>
              </w:rPr>
            </w:pPr>
          </w:p>
        </w:tc>
        <w:tc>
          <w:tcPr>
            <w:tcW w:w="1252" w:type="dxa"/>
            <w:noWrap/>
            <w:vAlign w:val="center"/>
          </w:tcPr>
          <w:p w14:paraId="5FB327A6">
            <w:pPr>
              <w:jc w:val="center"/>
              <w:rPr>
                <w:color w:val="000000"/>
                <w:sz w:val="20"/>
                <w:szCs w:val="20"/>
              </w:rPr>
            </w:pPr>
            <w:r>
              <w:rPr>
                <w:color w:val="000000"/>
                <w:sz w:val="20"/>
                <w:szCs w:val="20"/>
              </w:rPr>
              <w:t>8.000.000</w:t>
            </w:r>
          </w:p>
        </w:tc>
        <w:tc>
          <w:tcPr>
            <w:tcW w:w="1848" w:type="dxa"/>
            <w:noWrap/>
            <w:vAlign w:val="center"/>
          </w:tcPr>
          <w:p w14:paraId="7704EF2E">
            <w:pPr>
              <w:jc w:val="center"/>
              <w:rPr>
                <w:color w:val="000000"/>
                <w:sz w:val="20"/>
                <w:szCs w:val="20"/>
              </w:rPr>
            </w:pPr>
            <w:r>
              <w:rPr>
                <w:color w:val="000000"/>
                <w:sz w:val="20"/>
                <w:szCs w:val="20"/>
              </w:rPr>
              <w:t>720.000.000</w:t>
            </w:r>
          </w:p>
        </w:tc>
      </w:tr>
      <w:tr w14:paraId="066B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E4F3546">
            <w:pPr>
              <w:jc w:val="center"/>
              <w:rPr>
                <w:b/>
                <w:bCs/>
                <w:color w:val="000000"/>
                <w:sz w:val="20"/>
                <w:szCs w:val="20"/>
              </w:rPr>
            </w:pPr>
            <w:r>
              <w:rPr>
                <w:b/>
                <w:bCs/>
                <w:color w:val="000000"/>
                <w:sz w:val="20"/>
                <w:szCs w:val="20"/>
              </w:rPr>
              <w:t>LK32</w:t>
            </w:r>
          </w:p>
        </w:tc>
        <w:tc>
          <w:tcPr>
            <w:tcW w:w="1802" w:type="dxa"/>
            <w:vAlign w:val="center"/>
          </w:tcPr>
          <w:p w14:paraId="4FBB987E">
            <w:pPr>
              <w:jc w:val="center"/>
              <w:rPr>
                <w:color w:val="000000"/>
                <w:sz w:val="20"/>
                <w:szCs w:val="20"/>
              </w:rPr>
            </w:pPr>
            <w:r>
              <w:rPr>
                <w:color w:val="000000"/>
                <w:sz w:val="20"/>
                <w:szCs w:val="20"/>
              </w:rPr>
              <w:t>LK32:10</w:t>
            </w:r>
          </w:p>
        </w:tc>
        <w:tc>
          <w:tcPr>
            <w:tcW w:w="1033" w:type="dxa"/>
            <w:noWrap/>
            <w:vAlign w:val="center"/>
          </w:tcPr>
          <w:p w14:paraId="6AD60059">
            <w:pPr>
              <w:jc w:val="center"/>
              <w:rPr>
                <w:color w:val="000000"/>
                <w:sz w:val="20"/>
                <w:szCs w:val="20"/>
              </w:rPr>
            </w:pPr>
            <w:r>
              <w:rPr>
                <w:color w:val="000000"/>
                <w:sz w:val="20"/>
                <w:szCs w:val="20"/>
              </w:rPr>
              <w:t>90,00</w:t>
            </w:r>
          </w:p>
        </w:tc>
        <w:tc>
          <w:tcPr>
            <w:tcW w:w="846" w:type="dxa"/>
            <w:noWrap/>
            <w:vAlign w:val="center"/>
          </w:tcPr>
          <w:p w14:paraId="2ED849B9">
            <w:pPr>
              <w:jc w:val="center"/>
              <w:rPr>
                <w:color w:val="000000"/>
                <w:sz w:val="20"/>
                <w:szCs w:val="20"/>
              </w:rPr>
            </w:pPr>
            <w:r>
              <w:rPr>
                <w:color w:val="000000"/>
                <w:sz w:val="20"/>
                <w:szCs w:val="20"/>
              </w:rPr>
              <w:t>1</w:t>
            </w:r>
          </w:p>
        </w:tc>
        <w:tc>
          <w:tcPr>
            <w:tcW w:w="2578" w:type="dxa"/>
            <w:noWrap/>
            <w:vAlign w:val="center"/>
          </w:tcPr>
          <w:p w14:paraId="3A910D8F">
            <w:pPr>
              <w:jc w:val="center"/>
              <w:rPr>
                <w:color w:val="000000"/>
                <w:sz w:val="20"/>
                <w:szCs w:val="20"/>
              </w:rPr>
            </w:pPr>
            <w:r>
              <w:rPr>
                <w:color w:val="000000"/>
                <w:sz w:val="20"/>
                <w:szCs w:val="20"/>
              </w:rPr>
              <w:t>Mặt cắt 3-3</w:t>
            </w:r>
          </w:p>
        </w:tc>
        <w:tc>
          <w:tcPr>
            <w:tcW w:w="2393" w:type="dxa"/>
            <w:noWrap/>
            <w:vAlign w:val="center"/>
          </w:tcPr>
          <w:p w14:paraId="69C1E822">
            <w:pPr>
              <w:jc w:val="center"/>
              <w:rPr>
                <w:color w:val="000000"/>
                <w:sz w:val="20"/>
                <w:szCs w:val="20"/>
              </w:rPr>
            </w:pPr>
            <w:r>
              <w:rPr>
                <w:color w:val="000000"/>
                <w:sz w:val="20"/>
                <w:szCs w:val="20"/>
              </w:rPr>
              <w:t>Một mặt tiền</w:t>
            </w:r>
          </w:p>
        </w:tc>
        <w:tc>
          <w:tcPr>
            <w:tcW w:w="1198" w:type="dxa"/>
            <w:noWrap/>
            <w:vAlign w:val="center"/>
          </w:tcPr>
          <w:p w14:paraId="4EF3619A">
            <w:pPr>
              <w:jc w:val="center"/>
              <w:rPr>
                <w:color w:val="000000"/>
                <w:sz w:val="20"/>
                <w:szCs w:val="20"/>
              </w:rPr>
            </w:pPr>
            <w:r>
              <w:rPr>
                <w:color w:val="000000"/>
                <w:sz w:val="20"/>
                <w:szCs w:val="20"/>
              </w:rPr>
              <w:t>8.000.000</w:t>
            </w:r>
          </w:p>
        </w:tc>
        <w:tc>
          <w:tcPr>
            <w:tcW w:w="1236" w:type="dxa"/>
            <w:noWrap/>
            <w:vAlign w:val="center"/>
          </w:tcPr>
          <w:p w14:paraId="69F43772">
            <w:pPr>
              <w:jc w:val="center"/>
              <w:rPr>
                <w:color w:val="000000"/>
                <w:sz w:val="20"/>
                <w:szCs w:val="20"/>
              </w:rPr>
            </w:pPr>
          </w:p>
        </w:tc>
        <w:tc>
          <w:tcPr>
            <w:tcW w:w="1252" w:type="dxa"/>
            <w:noWrap/>
            <w:vAlign w:val="center"/>
          </w:tcPr>
          <w:p w14:paraId="58FFFCD6">
            <w:pPr>
              <w:jc w:val="center"/>
              <w:rPr>
                <w:color w:val="000000"/>
                <w:sz w:val="20"/>
                <w:szCs w:val="20"/>
              </w:rPr>
            </w:pPr>
            <w:r>
              <w:rPr>
                <w:color w:val="000000"/>
                <w:sz w:val="20"/>
                <w:szCs w:val="20"/>
              </w:rPr>
              <w:t>8.000.000</w:t>
            </w:r>
          </w:p>
        </w:tc>
        <w:tc>
          <w:tcPr>
            <w:tcW w:w="1848" w:type="dxa"/>
            <w:noWrap/>
            <w:vAlign w:val="center"/>
          </w:tcPr>
          <w:p w14:paraId="6F937136">
            <w:pPr>
              <w:jc w:val="center"/>
              <w:rPr>
                <w:color w:val="000000"/>
                <w:sz w:val="20"/>
                <w:szCs w:val="20"/>
              </w:rPr>
            </w:pPr>
            <w:r>
              <w:rPr>
                <w:color w:val="000000"/>
                <w:sz w:val="20"/>
                <w:szCs w:val="20"/>
              </w:rPr>
              <w:t>720.000.000</w:t>
            </w:r>
          </w:p>
        </w:tc>
      </w:tr>
      <w:tr w14:paraId="68B2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3B0493B">
            <w:pPr>
              <w:jc w:val="center"/>
              <w:rPr>
                <w:b/>
                <w:bCs/>
                <w:color w:val="000000"/>
                <w:sz w:val="20"/>
                <w:szCs w:val="20"/>
              </w:rPr>
            </w:pPr>
            <w:r>
              <w:rPr>
                <w:b/>
                <w:bCs/>
                <w:color w:val="000000"/>
                <w:sz w:val="20"/>
                <w:szCs w:val="20"/>
              </w:rPr>
              <w:t>LK34</w:t>
            </w:r>
          </w:p>
        </w:tc>
        <w:tc>
          <w:tcPr>
            <w:tcW w:w="1802" w:type="dxa"/>
            <w:vAlign w:val="center"/>
          </w:tcPr>
          <w:p w14:paraId="2CF63826">
            <w:pPr>
              <w:jc w:val="center"/>
              <w:rPr>
                <w:color w:val="000000"/>
                <w:sz w:val="20"/>
                <w:szCs w:val="20"/>
              </w:rPr>
            </w:pPr>
            <w:r>
              <w:rPr>
                <w:color w:val="000000"/>
                <w:sz w:val="20"/>
                <w:szCs w:val="20"/>
              </w:rPr>
              <w:t>LK34:01</w:t>
            </w:r>
          </w:p>
        </w:tc>
        <w:tc>
          <w:tcPr>
            <w:tcW w:w="1033" w:type="dxa"/>
            <w:noWrap/>
            <w:vAlign w:val="center"/>
          </w:tcPr>
          <w:p w14:paraId="7CD4C9DD">
            <w:pPr>
              <w:jc w:val="center"/>
              <w:rPr>
                <w:color w:val="000000"/>
                <w:sz w:val="20"/>
                <w:szCs w:val="20"/>
              </w:rPr>
            </w:pPr>
            <w:r>
              <w:rPr>
                <w:color w:val="000000"/>
                <w:sz w:val="20"/>
                <w:szCs w:val="20"/>
              </w:rPr>
              <w:t>90,00</w:t>
            </w:r>
          </w:p>
        </w:tc>
        <w:tc>
          <w:tcPr>
            <w:tcW w:w="846" w:type="dxa"/>
            <w:noWrap/>
            <w:vAlign w:val="center"/>
          </w:tcPr>
          <w:p w14:paraId="0A512F1B">
            <w:pPr>
              <w:jc w:val="center"/>
              <w:rPr>
                <w:color w:val="000000"/>
                <w:sz w:val="20"/>
                <w:szCs w:val="20"/>
              </w:rPr>
            </w:pPr>
            <w:r>
              <w:rPr>
                <w:color w:val="000000"/>
                <w:sz w:val="20"/>
                <w:szCs w:val="20"/>
              </w:rPr>
              <w:t>1</w:t>
            </w:r>
          </w:p>
        </w:tc>
        <w:tc>
          <w:tcPr>
            <w:tcW w:w="2578" w:type="dxa"/>
            <w:noWrap/>
            <w:vAlign w:val="center"/>
          </w:tcPr>
          <w:p w14:paraId="6788D02F">
            <w:pPr>
              <w:jc w:val="center"/>
              <w:rPr>
                <w:color w:val="000000"/>
                <w:sz w:val="20"/>
                <w:szCs w:val="20"/>
              </w:rPr>
            </w:pPr>
            <w:r>
              <w:rPr>
                <w:color w:val="000000"/>
                <w:sz w:val="20"/>
                <w:szCs w:val="20"/>
              </w:rPr>
              <w:t>Mặt cắt 3-3</w:t>
            </w:r>
          </w:p>
        </w:tc>
        <w:tc>
          <w:tcPr>
            <w:tcW w:w="2393" w:type="dxa"/>
            <w:noWrap/>
            <w:vAlign w:val="center"/>
          </w:tcPr>
          <w:p w14:paraId="06A78FD1">
            <w:pPr>
              <w:jc w:val="center"/>
              <w:rPr>
                <w:color w:val="000000"/>
                <w:sz w:val="20"/>
                <w:szCs w:val="20"/>
              </w:rPr>
            </w:pPr>
            <w:r>
              <w:rPr>
                <w:color w:val="000000"/>
                <w:sz w:val="20"/>
                <w:szCs w:val="20"/>
              </w:rPr>
              <w:t>Một mặt tiền</w:t>
            </w:r>
          </w:p>
        </w:tc>
        <w:tc>
          <w:tcPr>
            <w:tcW w:w="1198" w:type="dxa"/>
            <w:noWrap/>
            <w:vAlign w:val="center"/>
          </w:tcPr>
          <w:p w14:paraId="6544F840">
            <w:pPr>
              <w:jc w:val="center"/>
              <w:rPr>
                <w:color w:val="000000"/>
                <w:sz w:val="20"/>
                <w:szCs w:val="20"/>
              </w:rPr>
            </w:pPr>
            <w:r>
              <w:rPr>
                <w:color w:val="000000"/>
                <w:sz w:val="20"/>
                <w:szCs w:val="20"/>
              </w:rPr>
              <w:t>8.000.000</w:t>
            </w:r>
          </w:p>
        </w:tc>
        <w:tc>
          <w:tcPr>
            <w:tcW w:w="1236" w:type="dxa"/>
            <w:noWrap/>
            <w:vAlign w:val="center"/>
          </w:tcPr>
          <w:p w14:paraId="21F4995A">
            <w:pPr>
              <w:jc w:val="center"/>
              <w:rPr>
                <w:color w:val="000000"/>
                <w:sz w:val="20"/>
                <w:szCs w:val="20"/>
              </w:rPr>
            </w:pPr>
          </w:p>
        </w:tc>
        <w:tc>
          <w:tcPr>
            <w:tcW w:w="1252" w:type="dxa"/>
            <w:noWrap/>
            <w:vAlign w:val="center"/>
          </w:tcPr>
          <w:p w14:paraId="3FABCCF7">
            <w:pPr>
              <w:jc w:val="center"/>
              <w:rPr>
                <w:color w:val="000000"/>
                <w:sz w:val="20"/>
                <w:szCs w:val="20"/>
              </w:rPr>
            </w:pPr>
            <w:r>
              <w:rPr>
                <w:color w:val="000000"/>
                <w:sz w:val="20"/>
                <w:szCs w:val="20"/>
              </w:rPr>
              <w:t>8.000.000</w:t>
            </w:r>
          </w:p>
        </w:tc>
        <w:tc>
          <w:tcPr>
            <w:tcW w:w="1848" w:type="dxa"/>
            <w:noWrap/>
            <w:vAlign w:val="center"/>
          </w:tcPr>
          <w:p w14:paraId="3CE2ED35">
            <w:pPr>
              <w:jc w:val="center"/>
              <w:rPr>
                <w:color w:val="000000"/>
                <w:sz w:val="20"/>
                <w:szCs w:val="20"/>
              </w:rPr>
            </w:pPr>
            <w:r>
              <w:rPr>
                <w:color w:val="000000"/>
                <w:sz w:val="20"/>
                <w:szCs w:val="20"/>
              </w:rPr>
              <w:t>720.000.000</w:t>
            </w:r>
          </w:p>
        </w:tc>
      </w:tr>
      <w:tr w14:paraId="37A0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D70A8C">
            <w:pPr>
              <w:jc w:val="center"/>
              <w:rPr>
                <w:b/>
                <w:bCs/>
                <w:color w:val="000000"/>
                <w:sz w:val="20"/>
                <w:szCs w:val="20"/>
              </w:rPr>
            </w:pPr>
            <w:r>
              <w:rPr>
                <w:b/>
                <w:bCs/>
                <w:color w:val="000000"/>
                <w:sz w:val="20"/>
                <w:szCs w:val="20"/>
              </w:rPr>
              <w:t>LK34</w:t>
            </w:r>
          </w:p>
        </w:tc>
        <w:tc>
          <w:tcPr>
            <w:tcW w:w="1802" w:type="dxa"/>
            <w:vAlign w:val="center"/>
          </w:tcPr>
          <w:p w14:paraId="44BC79FF">
            <w:pPr>
              <w:jc w:val="center"/>
              <w:rPr>
                <w:color w:val="000000"/>
                <w:sz w:val="20"/>
                <w:szCs w:val="20"/>
              </w:rPr>
            </w:pPr>
            <w:r>
              <w:rPr>
                <w:color w:val="000000"/>
                <w:sz w:val="20"/>
                <w:szCs w:val="20"/>
              </w:rPr>
              <w:t>LK34:02</w:t>
            </w:r>
          </w:p>
        </w:tc>
        <w:tc>
          <w:tcPr>
            <w:tcW w:w="1033" w:type="dxa"/>
            <w:noWrap/>
            <w:vAlign w:val="center"/>
          </w:tcPr>
          <w:p w14:paraId="0DA0FD03">
            <w:pPr>
              <w:jc w:val="center"/>
              <w:rPr>
                <w:color w:val="000000"/>
                <w:sz w:val="20"/>
                <w:szCs w:val="20"/>
              </w:rPr>
            </w:pPr>
            <w:r>
              <w:rPr>
                <w:color w:val="000000"/>
                <w:sz w:val="20"/>
                <w:szCs w:val="20"/>
              </w:rPr>
              <w:t>90,00</w:t>
            </w:r>
          </w:p>
        </w:tc>
        <w:tc>
          <w:tcPr>
            <w:tcW w:w="846" w:type="dxa"/>
            <w:noWrap/>
            <w:vAlign w:val="center"/>
          </w:tcPr>
          <w:p w14:paraId="7417199A">
            <w:pPr>
              <w:jc w:val="center"/>
              <w:rPr>
                <w:color w:val="000000"/>
                <w:sz w:val="20"/>
                <w:szCs w:val="20"/>
              </w:rPr>
            </w:pPr>
            <w:r>
              <w:rPr>
                <w:color w:val="000000"/>
                <w:sz w:val="20"/>
                <w:szCs w:val="20"/>
              </w:rPr>
              <w:t>1</w:t>
            </w:r>
          </w:p>
        </w:tc>
        <w:tc>
          <w:tcPr>
            <w:tcW w:w="2578" w:type="dxa"/>
            <w:noWrap/>
            <w:vAlign w:val="center"/>
          </w:tcPr>
          <w:p w14:paraId="353E2E05">
            <w:pPr>
              <w:jc w:val="center"/>
              <w:rPr>
                <w:color w:val="000000"/>
                <w:sz w:val="20"/>
                <w:szCs w:val="20"/>
              </w:rPr>
            </w:pPr>
            <w:r>
              <w:rPr>
                <w:color w:val="000000"/>
                <w:sz w:val="20"/>
                <w:szCs w:val="20"/>
              </w:rPr>
              <w:t>Mặt cắt 3-3</w:t>
            </w:r>
          </w:p>
        </w:tc>
        <w:tc>
          <w:tcPr>
            <w:tcW w:w="2393" w:type="dxa"/>
            <w:noWrap/>
            <w:vAlign w:val="center"/>
          </w:tcPr>
          <w:p w14:paraId="2D784012">
            <w:pPr>
              <w:jc w:val="center"/>
              <w:rPr>
                <w:color w:val="000000"/>
                <w:sz w:val="20"/>
                <w:szCs w:val="20"/>
              </w:rPr>
            </w:pPr>
            <w:r>
              <w:rPr>
                <w:color w:val="000000"/>
                <w:sz w:val="20"/>
                <w:szCs w:val="20"/>
              </w:rPr>
              <w:t>Một mặt tiền</w:t>
            </w:r>
          </w:p>
        </w:tc>
        <w:tc>
          <w:tcPr>
            <w:tcW w:w="1198" w:type="dxa"/>
            <w:noWrap/>
            <w:vAlign w:val="center"/>
          </w:tcPr>
          <w:p w14:paraId="793ECC9A">
            <w:pPr>
              <w:jc w:val="center"/>
              <w:rPr>
                <w:color w:val="000000"/>
                <w:sz w:val="20"/>
                <w:szCs w:val="20"/>
              </w:rPr>
            </w:pPr>
            <w:r>
              <w:rPr>
                <w:color w:val="000000"/>
                <w:sz w:val="20"/>
                <w:szCs w:val="20"/>
              </w:rPr>
              <w:t>8.000.000</w:t>
            </w:r>
          </w:p>
        </w:tc>
        <w:tc>
          <w:tcPr>
            <w:tcW w:w="1236" w:type="dxa"/>
            <w:noWrap/>
            <w:vAlign w:val="center"/>
          </w:tcPr>
          <w:p w14:paraId="793C1685">
            <w:pPr>
              <w:jc w:val="center"/>
              <w:rPr>
                <w:color w:val="000000"/>
                <w:sz w:val="20"/>
                <w:szCs w:val="20"/>
              </w:rPr>
            </w:pPr>
          </w:p>
        </w:tc>
        <w:tc>
          <w:tcPr>
            <w:tcW w:w="1252" w:type="dxa"/>
            <w:noWrap/>
            <w:vAlign w:val="center"/>
          </w:tcPr>
          <w:p w14:paraId="1138DFC9">
            <w:pPr>
              <w:jc w:val="center"/>
              <w:rPr>
                <w:color w:val="000000"/>
                <w:sz w:val="20"/>
                <w:szCs w:val="20"/>
              </w:rPr>
            </w:pPr>
            <w:r>
              <w:rPr>
                <w:color w:val="000000"/>
                <w:sz w:val="20"/>
                <w:szCs w:val="20"/>
              </w:rPr>
              <w:t>8.000.000</w:t>
            </w:r>
          </w:p>
        </w:tc>
        <w:tc>
          <w:tcPr>
            <w:tcW w:w="1848" w:type="dxa"/>
            <w:noWrap/>
            <w:vAlign w:val="center"/>
          </w:tcPr>
          <w:p w14:paraId="4DEDD20C">
            <w:pPr>
              <w:jc w:val="center"/>
              <w:rPr>
                <w:color w:val="000000"/>
                <w:sz w:val="20"/>
                <w:szCs w:val="20"/>
              </w:rPr>
            </w:pPr>
            <w:r>
              <w:rPr>
                <w:color w:val="000000"/>
                <w:sz w:val="20"/>
                <w:szCs w:val="20"/>
              </w:rPr>
              <w:t>720.000.000</w:t>
            </w:r>
          </w:p>
        </w:tc>
      </w:tr>
      <w:tr w14:paraId="3535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049E99F">
            <w:pPr>
              <w:jc w:val="center"/>
              <w:rPr>
                <w:b/>
                <w:bCs/>
                <w:color w:val="000000"/>
                <w:sz w:val="20"/>
                <w:szCs w:val="20"/>
              </w:rPr>
            </w:pPr>
            <w:r>
              <w:rPr>
                <w:b/>
                <w:bCs/>
                <w:color w:val="000000"/>
                <w:sz w:val="20"/>
                <w:szCs w:val="20"/>
              </w:rPr>
              <w:t>LK34</w:t>
            </w:r>
          </w:p>
        </w:tc>
        <w:tc>
          <w:tcPr>
            <w:tcW w:w="1802" w:type="dxa"/>
            <w:vAlign w:val="center"/>
          </w:tcPr>
          <w:p w14:paraId="7E9435C0">
            <w:pPr>
              <w:jc w:val="center"/>
              <w:rPr>
                <w:color w:val="000000"/>
                <w:sz w:val="20"/>
                <w:szCs w:val="20"/>
              </w:rPr>
            </w:pPr>
            <w:r>
              <w:rPr>
                <w:color w:val="000000"/>
                <w:sz w:val="20"/>
                <w:szCs w:val="20"/>
              </w:rPr>
              <w:t>LK34:03</w:t>
            </w:r>
          </w:p>
        </w:tc>
        <w:tc>
          <w:tcPr>
            <w:tcW w:w="1033" w:type="dxa"/>
            <w:noWrap/>
            <w:vAlign w:val="center"/>
          </w:tcPr>
          <w:p w14:paraId="16DF0169">
            <w:pPr>
              <w:jc w:val="center"/>
              <w:rPr>
                <w:color w:val="000000"/>
                <w:sz w:val="20"/>
                <w:szCs w:val="20"/>
              </w:rPr>
            </w:pPr>
            <w:r>
              <w:rPr>
                <w:color w:val="000000"/>
                <w:sz w:val="20"/>
                <w:szCs w:val="20"/>
              </w:rPr>
              <w:t>90,00</w:t>
            </w:r>
          </w:p>
        </w:tc>
        <w:tc>
          <w:tcPr>
            <w:tcW w:w="846" w:type="dxa"/>
            <w:noWrap/>
            <w:vAlign w:val="center"/>
          </w:tcPr>
          <w:p w14:paraId="0445D9F6">
            <w:pPr>
              <w:jc w:val="center"/>
              <w:rPr>
                <w:color w:val="000000"/>
                <w:sz w:val="20"/>
                <w:szCs w:val="20"/>
              </w:rPr>
            </w:pPr>
            <w:r>
              <w:rPr>
                <w:color w:val="000000"/>
                <w:sz w:val="20"/>
                <w:szCs w:val="20"/>
              </w:rPr>
              <w:t>1</w:t>
            </w:r>
          </w:p>
        </w:tc>
        <w:tc>
          <w:tcPr>
            <w:tcW w:w="2578" w:type="dxa"/>
            <w:noWrap/>
            <w:vAlign w:val="center"/>
          </w:tcPr>
          <w:p w14:paraId="06C76A6B">
            <w:pPr>
              <w:jc w:val="center"/>
              <w:rPr>
                <w:color w:val="000000"/>
                <w:sz w:val="20"/>
                <w:szCs w:val="20"/>
              </w:rPr>
            </w:pPr>
            <w:r>
              <w:rPr>
                <w:color w:val="000000"/>
                <w:sz w:val="20"/>
                <w:szCs w:val="20"/>
              </w:rPr>
              <w:t>Mặt cắt 3-3</w:t>
            </w:r>
          </w:p>
        </w:tc>
        <w:tc>
          <w:tcPr>
            <w:tcW w:w="2393" w:type="dxa"/>
            <w:noWrap/>
            <w:vAlign w:val="center"/>
          </w:tcPr>
          <w:p w14:paraId="2B4A3941">
            <w:pPr>
              <w:jc w:val="center"/>
              <w:rPr>
                <w:color w:val="000000"/>
                <w:sz w:val="20"/>
                <w:szCs w:val="20"/>
              </w:rPr>
            </w:pPr>
            <w:r>
              <w:rPr>
                <w:color w:val="000000"/>
                <w:sz w:val="20"/>
                <w:szCs w:val="20"/>
              </w:rPr>
              <w:t>Một mặt tiền</w:t>
            </w:r>
          </w:p>
        </w:tc>
        <w:tc>
          <w:tcPr>
            <w:tcW w:w="1198" w:type="dxa"/>
            <w:noWrap/>
            <w:vAlign w:val="center"/>
          </w:tcPr>
          <w:p w14:paraId="598336CC">
            <w:pPr>
              <w:jc w:val="center"/>
              <w:rPr>
                <w:color w:val="000000"/>
                <w:sz w:val="20"/>
                <w:szCs w:val="20"/>
              </w:rPr>
            </w:pPr>
            <w:r>
              <w:rPr>
                <w:color w:val="000000"/>
                <w:sz w:val="20"/>
                <w:szCs w:val="20"/>
              </w:rPr>
              <w:t>8.000.000</w:t>
            </w:r>
          </w:p>
        </w:tc>
        <w:tc>
          <w:tcPr>
            <w:tcW w:w="1236" w:type="dxa"/>
            <w:noWrap/>
            <w:vAlign w:val="center"/>
          </w:tcPr>
          <w:p w14:paraId="19DA1531">
            <w:pPr>
              <w:jc w:val="center"/>
              <w:rPr>
                <w:color w:val="000000"/>
                <w:sz w:val="20"/>
                <w:szCs w:val="20"/>
              </w:rPr>
            </w:pPr>
          </w:p>
        </w:tc>
        <w:tc>
          <w:tcPr>
            <w:tcW w:w="1252" w:type="dxa"/>
            <w:noWrap/>
            <w:vAlign w:val="center"/>
          </w:tcPr>
          <w:p w14:paraId="5E6BAD8C">
            <w:pPr>
              <w:jc w:val="center"/>
              <w:rPr>
                <w:color w:val="000000"/>
                <w:sz w:val="20"/>
                <w:szCs w:val="20"/>
              </w:rPr>
            </w:pPr>
            <w:r>
              <w:rPr>
                <w:color w:val="000000"/>
                <w:sz w:val="20"/>
                <w:szCs w:val="20"/>
              </w:rPr>
              <w:t>8.000.000</w:t>
            </w:r>
          </w:p>
        </w:tc>
        <w:tc>
          <w:tcPr>
            <w:tcW w:w="1848" w:type="dxa"/>
            <w:noWrap/>
            <w:vAlign w:val="center"/>
          </w:tcPr>
          <w:p w14:paraId="63EDCF44">
            <w:pPr>
              <w:jc w:val="center"/>
              <w:rPr>
                <w:color w:val="000000"/>
                <w:sz w:val="20"/>
                <w:szCs w:val="20"/>
              </w:rPr>
            </w:pPr>
            <w:r>
              <w:rPr>
                <w:color w:val="000000"/>
                <w:sz w:val="20"/>
                <w:szCs w:val="20"/>
              </w:rPr>
              <w:t>720.000.000</w:t>
            </w:r>
          </w:p>
        </w:tc>
      </w:tr>
      <w:tr w14:paraId="1864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775646F">
            <w:pPr>
              <w:jc w:val="center"/>
              <w:rPr>
                <w:b/>
                <w:bCs/>
                <w:color w:val="000000"/>
                <w:sz w:val="20"/>
                <w:szCs w:val="20"/>
              </w:rPr>
            </w:pPr>
            <w:r>
              <w:rPr>
                <w:b/>
                <w:bCs/>
                <w:color w:val="000000"/>
                <w:sz w:val="20"/>
                <w:szCs w:val="20"/>
              </w:rPr>
              <w:t>LK34</w:t>
            </w:r>
          </w:p>
        </w:tc>
        <w:tc>
          <w:tcPr>
            <w:tcW w:w="1802" w:type="dxa"/>
            <w:vAlign w:val="center"/>
          </w:tcPr>
          <w:p w14:paraId="4D9AD2EF">
            <w:pPr>
              <w:jc w:val="center"/>
              <w:rPr>
                <w:color w:val="000000"/>
                <w:sz w:val="20"/>
                <w:szCs w:val="20"/>
              </w:rPr>
            </w:pPr>
            <w:r>
              <w:rPr>
                <w:color w:val="000000"/>
                <w:sz w:val="20"/>
                <w:szCs w:val="20"/>
              </w:rPr>
              <w:t>LK34:04</w:t>
            </w:r>
          </w:p>
        </w:tc>
        <w:tc>
          <w:tcPr>
            <w:tcW w:w="1033" w:type="dxa"/>
            <w:noWrap/>
            <w:vAlign w:val="center"/>
          </w:tcPr>
          <w:p w14:paraId="479B0825">
            <w:pPr>
              <w:jc w:val="center"/>
              <w:rPr>
                <w:color w:val="000000"/>
                <w:sz w:val="20"/>
                <w:szCs w:val="20"/>
              </w:rPr>
            </w:pPr>
            <w:r>
              <w:rPr>
                <w:color w:val="000000"/>
                <w:sz w:val="20"/>
                <w:szCs w:val="20"/>
              </w:rPr>
              <w:t>90,00</w:t>
            </w:r>
          </w:p>
        </w:tc>
        <w:tc>
          <w:tcPr>
            <w:tcW w:w="846" w:type="dxa"/>
            <w:noWrap/>
            <w:vAlign w:val="center"/>
          </w:tcPr>
          <w:p w14:paraId="21944DCF">
            <w:pPr>
              <w:jc w:val="center"/>
              <w:rPr>
                <w:color w:val="000000"/>
                <w:sz w:val="20"/>
                <w:szCs w:val="20"/>
              </w:rPr>
            </w:pPr>
            <w:r>
              <w:rPr>
                <w:color w:val="000000"/>
                <w:sz w:val="20"/>
                <w:szCs w:val="20"/>
              </w:rPr>
              <w:t>1</w:t>
            </w:r>
          </w:p>
        </w:tc>
        <w:tc>
          <w:tcPr>
            <w:tcW w:w="2578" w:type="dxa"/>
            <w:noWrap/>
            <w:vAlign w:val="center"/>
          </w:tcPr>
          <w:p w14:paraId="5179B3EC">
            <w:pPr>
              <w:jc w:val="center"/>
              <w:rPr>
                <w:color w:val="000000"/>
                <w:sz w:val="20"/>
                <w:szCs w:val="20"/>
              </w:rPr>
            </w:pPr>
            <w:r>
              <w:rPr>
                <w:color w:val="000000"/>
                <w:sz w:val="20"/>
                <w:szCs w:val="20"/>
              </w:rPr>
              <w:t>Mặt cắt 3-3</w:t>
            </w:r>
          </w:p>
        </w:tc>
        <w:tc>
          <w:tcPr>
            <w:tcW w:w="2393" w:type="dxa"/>
            <w:noWrap/>
            <w:vAlign w:val="center"/>
          </w:tcPr>
          <w:p w14:paraId="44F847A4">
            <w:pPr>
              <w:jc w:val="center"/>
              <w:rPr>
                <w:color w:val="000000"/>
                <w:sz w:val="20"/>
                <w:szCs w:val="20"/>
              </w:rPr>
            </w:pPr>
            <w:r>
              <w:rPr>
                <w:color w:val="000000"/>
                <w:sz w:val="20"/>
                <w:szCs w:val="20"/>
              </w:rPr>
              <w:t>Một mặt tiền</w:t>
            </w:r>
          </w:p>
        </w:tc>
        <w:tc>
          <w:tcPr>
            <w:tcW w:w="1198" w:type="dxa"/>
            <w:noWrap/>
            <w:vAlign w:val="center"/>
          </w:tcPr>
          <w:p w14:paraId="03E12F6E">
            <w:pPr>
              <w:jc w:val="center"/>
              <w:rPr>
                <w:color w:val="000000"/>
                <w:sz w:val="20"/>
                <w:szCs w:val="20"/>
              </w:rPr>
            </w:pPr>
            <w:r>
              <w:rPr>
                <w:color w:val="000000"/>
                <w:sz w:val="20"/>
                <w:szCs w:val="20"/>
              </w:rPr>
              <w:t>8.000.000</w:t>
            </w:r>
          </w:p>
        </w:tc>
        <w:tc>
          <w:tcPr>
            <w:tcW w:w="1236" w:type="dxa"/>
            <w:noWrap/>
            <w:vAlign w:val="center"/>
          </w:tcPr>
          <w:p w14:paraId="70E5420F">
            <w:pPr>
              <w:jc w:val="center"/>
              <w:rPr>
                <w:color w:val="000000"/>
                <w:sz w:val="20"/>
                <w:szCs w:val="20"/>
              </w:rPr>
            </w:pPr>
          </w:p>
        </w:tc>
        <w:tc>
          <w:tcPr>
            <w:tcW w:w="1252" w:type="dxa"/>
            <w:noWrap/>
            <w:vAlign w:val="center"/>
          </w:tcPr>
          <w:p w14:paraId="26243502">
            <w:pPr>
              <w:jc w:val="center"/>
              <w:rPr>
                <w:color w:val="000000"/>
                <w:sz w:val="20"/>
                <w:szCs w:val="20"/>
              </w:rPr>
            </w:pPr>
            <w:r>
              <w:rPr>
                <w:color w:val="000000"/>
                <w:sz w:val="20"/>
                <w:szCs w:val="20"/>
              </w:rPr>
              <w:t>8.000.000</w:t>
            </w:r>
          </w:p>
        </w:tc>
        <w:tc>
          <w:tcPr>
            <w:tcW w:w="1848" w:type="dxa"/>
            <w:noWrap/>
            <w:vAlign w:val="center"/>
          </w:tcPr>
          <w:p w14:paraId="5612556F">
            <w:pPr>
              <w:jc w:val="center"/>
              <w:rPr>
                <w:color w:val="000000"/>
                <w:sz w:val="20"/>
                <w:szCs w:val="20"/>
              </w:rPr>
            </w:pPr>
            <w:r>
              <w:rPr>
                <w:color w:val="000000"/>
                <w:sz w:val="20"/>
                <w:szCs w:val="20"/>
              </w:rPr>
              <w:t>720.000.000</w:t>
            </w:r>
          </w:p>
        </w:tc>
      </w:tr>
      <w:tr w14:paraId="720B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5CD12E">
            <w:pPr>
              <w:jc w:val="center"/>
              <w:rPr>
                <w:b/>
                <w:bCs/>
                <w:color w:val="000000"/>
                <w:sz w:val="20"/>
                <w:szCs w:val="20"/>
              </w:rPr>
            </w:pPr>
            <w:r>
              <w:rPr>
                <w:b/>
                <w:bCs/>
                <w:color w:val="000000"/>
                <w:sz w:val="20"/>
                <w:szCs w:val="20"/>
              </w:rPr>
              <w:t>LK34</w:t>
            </w:r>
          </w:p>
        </w:tc>
        <w:tc>
          <w:tcPr>
            <w:tcW w:w="1802" w:type="dxa"/>
            <w:vAlign w:val="center"/>
          </w:tcPr>
          <w:p w14:paraId="6FD1B85C">
            <w:pPr>
              <w:jc w:val="center"/>
              <w:rPr>
                <w:color w:val="000000"/>
                <w:sz w:val="20"/>
                <w:szCs w:val="20"/>
              </w:rPr>
            </w:pPr>
            <w:r>
              <w:rPr>
                <w:color w:val="000000"/>
                <w:sz w:val="20"/>
                <w:szCs w:val="20"/>
              </w:rPr>
              <w:t>LK34:05</w:t>
            </w:r>
          </w:p>
        </w:tc>
        <w:tc>
          <w:tcPr>
            <w:tcW w:w="1033" w:type="dxa"/>
            <w:noWrap/>
            <w:vAlign w:val="center"/>
          </w:tcPr>
          <w:p w14:paraId="5B9A9BC7">
            <w:pPr>
              <w:jc w:val="center"/>
              <w:rPr>
                <w:color w:val="000000"/>
                <w:sz w:val="20"/>
                <w:szCs w:val="20"/>
              </w:rPr>
            </w:pPr>
            <w:r>
              <w:rPr>
                <w:color w:val="000000"/>
                <w:sz w:val="20"/>
                <w:szCs w:val="20"/>
              </w:rPr>
              <w:t>90,00</w:t>
            </w:r>
          </w:p>
        </w:tc>
        <w:tc>
          <w:tcPr>
            <w:tcW w:w="846" w:type="dxa"/>
            <w:noWrap/>
            <w:vAlign w:val="center"/>
          </w:tcPr>
          <w:p w14:paraId="555712F5">
            <w:pPr>
              <w:jc w:val="center"/>
              <w:rPr>
                <w:color w:val="000000"/>
                <w:sz w:val="20"/>
                <w:szCs w:val="20"/>
              </w:rPr>
            </w:pPr>
            <w:r>
              <w:rPr>
                <w:color w:val="000000"/>
                <w:sz w:val="20"/>
                <w:szCs w:val="20"/>
              </w:rPr>
              <w:t>1</w:t>
            </w:r>
          </w:p>
        </w:tc>
        <w:tc>
          <w:tcPr>
            <w:tcW w:w="2578" w:type="dxa"/>
            <w:noWrap/>
            <w:vAlign w:val="center"/>
          </w:tcPr>
          <w:p w14:paraId="087F2FE7">
            <w:pPr>
              <w:jc w:val="center"/>
              <w:rPr>
                <w:color w:val="000000"/>
                <w:sz w:val="20"/>
                <w:szCs w:val="20"/>
              </w:rPr>
            </w:pPr>
            <w:r>
              <w:rPr>
                <w:color w:val="000000"/>
                <w:sz w:val="20"/>
                <w:szCs w:val="20"/>
              </w:rPr>
              <w:t>Mặt cắt 3-3</w:t>
            </w:r>
          </w:p>
        </w:tc>
        <w:tc>
          <w:tcPr>
            <w:tcW w:w="2393" w:type="dxa"/>
            <w:noWrap/>
            <w:vAlign w:val="center"/>
          </w:tcPr>
          <w:p w14:paraId="125D5DCE">
            <w:pPr>
              <w:jc w:val="center"/>
              <w:rPr>
                <w:color w:val="000000"/>
                <w:sz w:val="20"/>
                <w:szCs w:val="20"/>
              </w:rPr>
            </w:pPr>
            <w:r>
              <w:rPr>
                <w:color w:val="000000"/>
                <w:sz w:val="20"/>
                <w:szCs w:val="20"/>
              </w:rPr>
              <w:t>Một mặt tiền</w:t>
            </w:r>
          </w:p>
        </w:tc>
        <w:tc>
          <w:tcPr>
            <w:tcW w:w="1198" w:type="dxa"/>
            <w:noWrap/>
            <w:vAlign w:val="center"/>
          </w:tcPr>
          <w:p w14:paraId="22E453BF">
            <w:pPr>
              <w:jc w:val="center"/>
              <w:rPr>
                <w:color w:val="000000"/>
                <w:sz w:val="20"/>
                <w:szCs w:val="20"/>
              </w:rPr>
            </w:pPr>
            <w:r>
              <w:rPr>
                <w:color w:val="000000"/>
                <w:sz w:val="20"/>
                <w:szCs w:val="20"/>
              </w:rPr>
              <w:t>8.000.000</w:t>
            </w:r>
          </w:p>
        </w:tc>
        <w:tc>
          <w:tcPr>
            <w:tcW w:w="1236" w:type="dxa"/>
            <w:noWrap/>
            <w:vAlign w:val="center"/>
          </w:tcPr>
          <w:p w14:paraId="2C6D8ACC">
            <w:pPr>
              <w:jc w:val="center"/>
              <w:rPr>
                <w:color w:val="000000"/>
                <w:sz w:val="20"/>
                <w:szCs w:val="20"/>
              </w:rPr>
            </w:pPr>
          </w:p>
        </w:tc>
        <w:tc>
          <w:tcPr>
            <w:tcW w:w="1252" w:type="dxa"/>
            <w:noWrap/>
            <w:vAlign w:val="center"/>
          </w:tcPr>
          <w:p w14:paraId="017287BC">
            <w:pPr>
              <w:jc w:val="center"/>
              <w:rPr>
                <w:color w:val="000000"/>
                <w:sz w:val="20"/>
                <w:szCs w:val="20"/>
              </w:rPr>
            </w:pPr>
            <w:r>
              <w:rPr>
                <w:color w:val="000000"/>
                <w:sz w:val="20"/>
                <w:szCs w:val="20"/>
              </w:rPr>
              <w:t>8.000.000</w:t>
            </w:r>
          </w:p>
        </w:tc>
        <w:tc>
          <w:tcPr>
            <w:tcW w:w="1848" w:type="dxa"/>
            <w:noWrap/>
            <w:vAlign w:val="center"/>
          </w:tcPr>
          <w:p w14:paraId="21CDDFAF">
            <w:pPr>
              <w:jc w:val="center"/>
              <w:rPr>
                <w:color w:val="000000"/>
                <w:sz w:val="20"/>
                <w:szCs w:val="20"/>
              </w:rPr>
            </w:pPr>
            <w:r>
              <w:rPr>
                <w:color w:val="000000"/>
                <w:sz w:val="20"/>
                <w:szCs w:val="20"/>
              </w:rPr>
              <w:t>720.000.000</w:t>
            </w:r>
          </w:p>
        </w:tc>
      </w:tr>
      <w:tr w14:paraId="1EBC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DDAE405">
            <w:pPr>
              <w:jc w:val="center"/>
              <w:rPr>
                <w:b/>
                <w:bCs/>
                <w:color w:val="000000"/>
                <w:sz w:val="20"/>
                <w:szCs w:val="20"/>
              </w:rPr>
            </w:pPr>
            <w:r>
              <w:rPr>
                <w:b/>
                <w:bCs/>
                <w:color w:val="000000"/>
                <w:sz w:val="20"/>
                <w:szCs w:val="20"/>
              </w:rPr>
              <w:t>LK34</w:t>
            </w:r>
          </w:p>
        </w:tc>
        <w:tc>
          <w:tcPr>
            <w:tcW w:w="1802" w:type="dxa"/>
            <w:vAlign w:val="center"/>
          </w:tcPr>
          <w:p w14:paraId="416A5FB8">
            <w:pPr>
              <w:jc w:val="center"/>
              <w:rPr>
                <w:color w:val="000000"/>
                <w:sz w:val="20"/>
                <w:szCs w:val="20"/>
              </w:rPr>
            </w:pPr>
            <w:r>
              <w:rPr>
                <w:color w:val="000000"/>
                <w:sz w:val="20"/>
                <w:szCs w:val="20"/>
              </w:rPr>
              <w:t>LK34:06</w:t>
            </w:r>
          </w:p>
        </w:tc>
        <w:tc>
          <w:tcPr>
            <w:tcW w:w="1033" w:type="dxa"/>
            <w:noWrap/>
            <w:vAlign w:val="center"/>
          </w:tcPr>
          <w:p w14:paraId="28E6EFC2">
            <w:pPr>
              <w:jc w:val="center"/>
              <w:rPr>
                <w:color w:val="000000"/>
                <w:sz w:val="20"/>
                <w:szCs w:val="20"/>
              </w:rPr>
            </w:pPr>
            <w:r>
              <w:rPr>
                <w:color w:val="000000"/>
                <w:sz w:val="20"/>
                <w:szCs w:val="20"/>
              </w:rPr>
              <w:t>90,00</w:t>
            </w:r>
          </w:p>
        </w:tc>
        <w:tc>
          <w:tcPr>
            <w:tcW w:w="846" w:type="dxa"/>
            <w:noWrap/>
            <w:vAlign w:val="center"/>
          </w:tcPr>
          <w:p w14:paraId="3E88BE1E">
            <w:pPr>
              <w:jc w:val="center"/>
              <w:rPr>
                <w:color w:val="000000"/>
                <w:sz w:val="20"/>
                <w:szCs w:val="20"/>
              </w:rPr>
            </w:pPr>
            <w:r>
              <w:rPr>
                <w:color w:val="000000"/>
                <w:sz w:val="20"/>
                <w:szCs w:val="20"/>
              </w:rPr>
              <w:t>1</w:t>
            </w:r>
          </w:p>
        </w:tc>
        <w:tc>
          <w:tcPr>
            <w:tcW w:w="2578" w:type="dxa"/>
            <w:noWrap/>
            <w:vAlign w:val="center"/>
          </w:tcPr>
          <w:p w14:paraId="1EF25A2B">
            <w:pPr>
              <w:jc w:val="center"/>
              <w:rPr>
                <w:color w:val="000000"/>
                <w:sz w:val="20"/>
                <w:szCs w:val="20"/>
              </w:rPr>
            </w:pPr>
            <w:r>
              <w:rPr>
                <w:color w:val="000000"/>
                <w:sz w:val="20"/>
                <w:szCs w:val="20"/>
              </w:rPr>
              <w:t>Mặt cắt 3-3</w:t>
            </w:r>
          </w:p>
        </w:tc>
        <w:tc>
          <w:tcPr>
            <w:tcW w:w="2393" w:type="dxa"/>
            <w:noWrap/>
            <w:vAlign w:val="center"/>
          </w:tcPr>
          <w:p w14:paraId="5279F238">
            <w:pPr>
              <w:jc w:val="center"/>
              <w:rPr>
                <w:color w:val="000000"/>
                <w:sz w:val="20"/>
                <w:szCs w:val="20"/>
              </w:rPr>
            </w:pPr>
            <w:r>
              <w:rPr>
                <w:color w:val="000000"/>
                <w:sz w:val="20"/>
                <w:szCs w:val="20"/>
              </w:rPr>
              <w:t>Một mặt tiền</w:t>
            </w:r>
          </w:p>
        </w:tc>
        <w:tc>
          <w:tcPr>
            <w:tcW w:w="1198" w:type="dxa"/>
            <w:noWrap/>
            <w:vAlign w:val="center"/>
          </w:tcPr>
          <w:p w14:paraId="2B4E3CF1">
            <w:pPr>
              <w:jc w:val="center"/>
              <w:rPr>
                <w:color w:val="000000"/>
                <w:sz w:val="20"/>
                <w:szCs w:val="20"/>
              </w:rPr>
            </w:pPr>
            <w:r>
              <w:rPr>
                <w:color w:val="000000"/>
                <w:sz w:val="20"/>
                <w:szCs w:val="20"/>
              </w:rPr>
              <w:t>8.000.000</w:t>
            </w:r>
          </w:p>
        </w:tc>
        <w:tc>
          <w:tcPr>
            <w:tcW w:w="1236" w:type="dxa"/>
            <w:noWrap/>
            <w:vAlign w:val="center"/>
          </w:tcPr>
          <w:p w14:paraId="7384A0EC">
            <w:pPr>
              <w:jc w:val="center"/>
              <w:rPr>
                <w:color w:val="000000"/>
                <w:sz w:val="20"/>
                <w:szCs w:val="20"/>
              </w:rPr>
            </w:pPr>
          </w:p>
        </w:tc>
        <w:tc>
          <w:tcPr>
            <w:tcW w:w="1252" w:type="dxa"/>
            <w:noWrap/>
            <w:vAlign w:val="center"/>
          </w:tcPr>
          <w:p w14:paraId="421E607D">
            <w:pPr>
              <w:jc w:val="center"/>
              <w:rPr>
                <w:color w:val="000000"/>
                <w:sz w:val="20"/>
                <w:szCs w:val="20"/>
              </w:rPr>
            </w:pPr>
            <w:r>
              <w:rPr>
                <w:color w:val="000000"/>
                <w:sz w:val="20"/>
                <w:szCs w:val="20"/>
              </w:rPr>
              <w:t>8.000.000</w:t>
            </w:r>
          </w:p>
        </w:tc>
        <w:tc>
          <w:tcPr>
            <w:tcW w:w="1848" w:type="dxa"/>
            <w:noWrap/>
            <w:vAlign w:val="center"/>
          </w:tcPr>
          <w:p w14:paraId="226884D6">
            <w:pPr>
              <w:jc w:val="center"/>
              <w:rPr>
                <w:color w:val="000000"/>
                <w:sz w:val="20"/>
                <w:szCs w:val="20"/>
              </w:rPr>
            </w:pPr>
            <w:r>
              <w:rPr>
                <w:color w:val="000000"/>
                <w:sz w:val="20"/>
                <w:szCs w:val="20"/>
              </w:rPr>
              <w:t>720.000.000</w:t>
            </w:r>
          </w:p>
        </w:tc>
      </w:tr>
      <w:tr w14:paraId="1AC9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C5EE562">
            <w:pPr>
              <w:jc w:val="center"/>
              <w:rPr>
                <w:b/>
                <w:bCs/>
                <w:color w:val="000000"/>
                <w:sz w:val="20"/>
                <w:szCs w:val="20"/>
              </w:rPr>
            </w:pPr>
            <w:r>
              <w:rPr>
                <w:b/>
                <w:bCs/>
                <w:color w:val="000000"/>
                <w:sz w:val="20"/>
                <w:szCs w:val="20"/>
              </w:rPr>
              <w:t>LK34</w:t>
            </w:r>
          </w:p>
        </w:tc>
        <w:tc>
          <w:tcPr>
            <w:tcW w:w="1802" w:type="dxa"/>
            <w:vAlign w:val="center"/>
          </w:tcPr>
          <w:p w14:paraId="6F92B006">
            <w:pPr>
              <w:jc w:val="center"/>
              <w:rPr>
                <w:color w:val="000000"/>
                <w:sz w:val="20"/>
                <w:szCs w:val="20"/>
              </w:rPr>
            </w:pPr>
            <w:r>
              <w:rPr>
                <w:color w:val="000000"/>
                <w:sz w:val="20"/>
                <w:szCs w:val="20"/>
              </w:rPr>
              <w:t>LK34:07</w:t>
            </w:r>
          </w:p>
        </w:tc>
        <w:tc>
          <w:tcPr>
            <w:tcW w:w="1033" w:type="dxa"/>
            <w:noWrap/>
            <w:vAlign w:val="center"/>
          </w:tcPr>
          <w:p w14:paraId="6977C4B2">
            <w:pPr>
              <w:jc w:val="center"/>
              <w:rPr>
                <w:color w:val="000000"/>
                <w:sz w:val="20"/>
                <w:szCs w:val="20"/>
              </w:rPr>
            </w:pPr>
            <w:r>
              <w:rPr>
                <w:color w:val="000000"/>
                <w:sz w:val="20"/>
                <w:szCs w:val="20"/>
              </w:rPr>
              <w:t>90,00</w:t>
            </w:r>
          </w:p>
        </w:tc>
        <w:tc>
          <w:tcPr>
            <w:tcW w:w="846" w:type="dxa"/>
            <w:noWrap/>
            <w:vAlign w:val="center"/>
          </w:tcPr>
          <w:p w14:paraId="32C1DDDF">
            <w:pPr>
              <w:jc w:val="center"/>
              <w:rPr>
                <w:color w:val="000000"/>
                <w:sz w:val="20"/>
                <w:szCs w:val="20"/>
              </w:rPr>
            </w:pPr>
            <w:r>
              <w:rPr>
                <w:color w:val="000000"/>
                <w:sz w:val="20"/>
                <w:szCs w:val="20"/>
              </w:rPr>
              <w:t>1</w:t>
            </w:r>
          </w:p>
        </w:tc>
        <w:tc>
          <w:tcPr>
            <w:tcW w:w="2578" w:type="dxa"/>
            <w:noWrap/>
            <w:vAlign w:val="center"/>
          </w:tcPr>
          <w:p w14:paraId="52697B7E">
            <w:pPr>
              <w:jc w:val="center"/>
              <w:rPr>
                <w:color w:val="000000"/>
                <w:sz w:val="20"/>
                <w:szCs w:val="20"/>
              </w:rPr>
            </w:pPr>
            <w:r>
              <w:rPr>
                <w:color w:val="000000"/>
                <w:sz w:val="20"/>
                <w:szCs w:val="20"/>
              </w:rPr>
              <w:t>Mặt cắt 3-3</w:t>
            </w:r>
          </w:p>
        </w:tc>
        <w:tc>
          <w:tcPr>
            <w:tcW w:w="2393" w:type="dxa"/>
            <w:noWrap/>
            <w:vAlign w:val="center"/>
          </w:tcPr>
          <w:p w14:paraId="33B3758E">
            <w:pPr>
              <w:jc w:val="center"/>
              <w:rPr>
                <w:color w:val="000000"/>
                <w:sz w:val="20"/>
                <w:szCs w:val="20"/>
              </w:rPr>
            </w:pPr>
            <w:r>
              <w:rPr>
                <w:color w:val="000000"/>
                <w:sz w:val="20"/>
                <w:szCs w:val="20"/>
              </w:rPr>
              <w:t>Một mặt tiền</w:t>
            </w:r>
          </w:p>
        </w:tc>
        <w:tc>
          <w:tcPr>
            <w:tcW w:w="1198" w:type="dxa"/>
            <w:noWrap/>
            <w:vAlign w:val="center"/>
          </w:tcPr>
          <w:p w14:paraId="06B187D4">
            <w:pPr>
              <w:jc w:val="center"/>
              <w:rPr>
                <w:color w:val="000000"/>
                <w:sz w:val="20"/>
                <w:szCs w:val="20"/>
              </w:rPr>
            </w:pPr>
            <w:r>
              <w:rPr>
                <w:color w:val="000000"/>
                <w:sz w:val="20"/>
                <w:szCs w:val="20"/>
              </w:rPr>
              <w:t>8.000.000</w:t>
            </w:r>
          </w:p>
        </w:tc>
        <w:tc>
          <w:tcPr>
            <w:tcW w:w="1236" w:type="dxa"/>
            <w:noWrap/>
            <w:vAlign w:val="center"/>
          </w:tcPr>
          <w:p w14:paraId="63B48F2E">
            <w:pPr>
              <w:jc w:val="center"/>
              <w:rPr>
                <w:color w:val="000000"/>
                <w:sz w:val="20"/>
                <w:szCs w:val="20"/>
              </w:rPr>
            </w:pPr>
          </w:p>
        </w:tc>
        <w:tc>
          <w:tcPr>
            <w:tcW w:w="1252" w:type="dxa"/>
            <w:noWrap/>
            <w:vAlign w:val="center"/>
          </w:tcPr>
          <w:p w14:paraId="20E5B646">
            <w:pPr>
              <w:jc w:val="center"/>
              <w:rPr>
                <w:color w:val="000000"/>
                <w:sz w:val="20"/>
                <w:szCs w:val="20"/>
              </w:rPr>
            </w:pPr>
            <w:r>
              <w:rPr>
                <w:color w:val="000000"/>
                <w:sz w:val="20"/>
                <w:szCs w:val="20"/>
              </w:rPr>
              <w:t>8.000.000</w:t>
            </w:r>
          </w:p>
        </w:tc>
        <w:tc>
          <w:tcPr>
            <w:tcW w:w="1848" w:type="dxa"/>
            <w:noWrap/>
            <w:vAlign w:val="center"/>
          </w:tcPr>
          <w:p w14:paraId="278E57C0">
            <w:pPr>
              <w:jc w:val="center"/>
              <w:rPr>
                <w:color w:val="000000"/>
                <w:sz w:val="20"/>
                <w:szCs w:val="20"/>
              </w:rPr>
            </w:pPr>
            <w:r>
              <w:rPr>
                <w:color w:val="000000"/>
                <w:sz w:val="20"/>
                <w:szCs w:val="20"/>
              </w:rPr>
              <w:t>720.000.000</w:t>
            </w:r>
          </w:p>
        </w:tc>
      </w:tr>
      <w:tr w14:paraId="63E8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5E9821">
            <w:pPr>
              <w:jc w:val="center"/>
              <w:rPr>
                <w:b/>
                <w:bCs/>
                <w:color w:val="000000"/>
                <w:sz w:val="20"/>
                <w:szCs w:val="20"/>
              </w:rPr>
            </w:pPr>
            <w:r>
              <w:rPr>
                <w:b/>
                <w:bCs/>
                <w:color w:val="000000"/>
                <w:sz w:val="20"/>
                <w:szCs w:val="20"/>
              </w:rPr>
              <w:t>LK34</w:t>
            </w:r>
          </w:p>
        </w:tc>
        <w:tc>
          <w:tcPr>
            <w:tcW w:w="1802" w:type="dxa"/>
            <w:vAlign w:val="center"/>
          </w:tcPr>
          <w:p w14:paraId="37FEFE0F">
            <w:pPr>
              <w:jc w:val="center"/>
              <w:rPr>
                <w:color w:val="000000"/>
                <w:sz w:val="20"/>
                <w:szCs w:val="20"/>
              </w:rPr>
            </w:pPr>
            <w:r>
              <w:rPr>
                <w:color w:val="000000"/>
                <w:sz w:val="20"/>
                <w:szCs w:val="20"/>
              </w:rPr>
              <w:t>LK34:08</w:t>
            </w:r>
          </w:p>
        </w:tc>
        <w:tc>
          <w:tcPr>
            <w:tcW w:w="1033" w:type="dxa"/>
            <w:noWrap/>
            <w:vAlign w:val="center"/>
          </w:tcPr>
          <w:p w14:paraId="4C6557A5">
            <w:pPr>
              <w:jc w:val="center"/>
              <w:rPr>
                <w:color w:val="000000"/>
                <w:sz w:val="20"/>
                <w:szCs w:val="20"/>
              </w:rPr>
            </w:pPr>
            <w:r>
              <w:rPr>
                <w:color w:val="000000"/>
                <w:sz w:val="20"/>
                <w:szCs w:val="20"/>
              </w:rPr>
              <w:t>90,00</w:t>
            </w:r>
          </w:p>
        </w:tc>
        <w:tc>
          <w:tcPr>
            <w:tcW w:w="846" w:type="dxa"/>
            <w:noWrap/>
            <w:vAlign w:val="center"/>
          </w:tcPr>
          <w:p w14:paraId="66E038BE">
            <w:pPr>
              <w:jc w:val="center"/>
              <w:rPr>
                <w:color w:val="000000"/>
                <w:sz w:val="20"/>
                <w:szCs w:val="20"/>
              </w:rPr>
            </w:pPr>
            <w:r>
              <w:rPr>
                <w:color w:val="000000"/>
                <w:sz w:val="20"/>
                <w:szCs w:val="20"/>
              </w:rPr>
              <w:t>1</w:t>
            </w:r>
          </w:p>
        </w:tc>
        <w:tc>
          <w:tcPr>
            <w:tcW w:w="2578" w:type="dxa"/>
            <w:noWrap/>
            <w:vAlign w:val="center"/>
          </w:tcPr>
          <w:p w14:paraId="42EDCF21">
            <w:pPr>
              <w:jc w:val="center"/>
              <w:rPr>
                <w:color w:val="000000"/>
                <w:sz w:val="20"/>
                <w:szCs w:val="20"/>
              </w:rPr>
            </w:pPr>
            <w:r>
              <w:rPr>
                <w:color w:val="000000"/>
                <w:sz w:val="20"/>
                <w:szCs w:val="20"/>
              </w:rPr>
              <w:t>Mặt cắt 3-3</w:t>
            </w:r>
          </w:p>
        </w:tc>
        <w:tc>
          <w:tcPr>
            <w:tcW w:w="2393" w:type="dxa"/>
            <w:noWrap/>
            <w:vAlign w:val="center"/>
          </w:tcPr>
          <w:p w14:paraId="382FF35D">
            <w:pPr>
              <w:jc w:val="center"/>
              <w:rPr>
                <w:color w:val="000000"/>
                <w:sz w:val="20"/>
                <w:szCs w:val="20"/>
              </w:rPr>
            </w:pPr>
            <w:r>
              <w:rPr>
                <w:color w:val="000000"/>
                <w:sz w:val="20"/>
                <w:szCs w:val="20"/>
              </w:rPr>
              <w:t>Một mặt tiền</w:t>
            </w:r>
          </w:p>
        </w:tc>
        <w:tc>
          <w:tcPr>
            <w:tcW w:w="1198" w:type="dxa"/>
            <w:noWrap/>
            <w:vAlign w:val="center"/>
          </w:tcPr>
          <w:p w14:paraId="2298107A">
            <w:pPr>
              <w:jc w:val="center"/>
              <w:rPr>
                <w:color w:val="000000"/>
                <w:sz w:val="20"/>
                <w:szCs w:val="20"/>
              </w:rPr>
            </w:pPr>
            <w:r>
              <w:rPr>
                <w:color w:val="000000"/>
                <w:sz w:val="20"/>
                <w:szCs w:val="20"/>
              </w:rPr>
              <w:t>8.000.000</w:t>
            </w:r>
          </w:p>
        </w:tc>
        <w:tc>
          <w:tcPr>
            <w:tcW w:w="1236" w:type="dxa"/>
            <w:noWrap/>
            <w:vAlign w:val="center"/>
          </w:tcPr>
          <w:p w14:paraId="3EBCDC0E">
            <w:pPr>
              <w:jc w:val="center"/>
              <w:rPr>
                <w:color w:val="000000"/>
                <w:sz w:val="20"/>
                <w:szCs w:val="20"/>
              </w:rPr>
            </w:pPr>
          </w:p>
        </w:tc>
        <w:tc>
          <w:tcPr>
            <w:tcW w:w="1252" w:type="dxa"/>
            <w:noWrap/>
            <w:vAlign w:val="center"/>
          </w:tcPr>
          <w:p w14:paraId="6E52E6B7">
            <w:pPr>
              <w:jc w:val="center"/>
              <w:rPr>
                <w:color w:val="000000"/>
                <w:sz w:val="20"/>
                <w:szCs w:val="20"/>
              </w:rPr>
            </w:pPr>
            <w:r>
              <w:rPr>
                <w:color w:val="000000"/>
                <w:sz w:val="20"/>
                <w:szCs w:val="20"/>
              </w:rPr>
              <w:t>8.000.000</w:t>
            </w:r>
          </w:p>
        </w:tc>
        <w:tc>
          <w:tcPr>
            <w:tcW w:w="1848" w:type="dxa"/>
            <w:noWrap/>
            <w:vAlign w:val="center"/>
          </w:tcPr>
          <w:p w14:paraId="7D69EE51">
            <w:pPr>
              <w:jc w:val="center"/>
              <w:rPr>
                <w:color w:val="000000"/>
                <w:sz w:val="20"/>
                <w:szCs w:val="20"/>
              </w:rPr>
            </w:pPr>
            <w:r>
              <w:rPr>
                <w:color w:val="000000"/>
                <w:sz w:val="20"/>
                <w:szCs w:val="20"/>
              </w:rPr>
              <w:t>720.000.000</w:t>
            </w:r>
          </w:p>
        </w:tc>
      </w:tr>
      <w:tr w14:paraId="104E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C521321">
            <w:pPr>
              <w:jc w:val="center"/>
              <w:rPr>
                <w:b/>
                <w:bCs/>
                <w:color w:val="000000"/>
                <w:sz w:val="20"/>
                <w:szCs w:val="20"/>
              </w:rPr>
            </w:pPr>
            <w:r>
              <w:rPr>
                <w:b/>
                <w:bCs/>
                <w:color w:val="000000"/>
                <w:sz w:val="20"/>
                <w:szCs w:val="20"/>
              </w:rPr>
              <w:t>LK34</w:t>
            </w:r>
          </w:p>
        </w:tc>
        <w:tc>
          <w:tcPr>
            <w:tcW w:w="1802" w:type="dxa"/>
            <w:vAlign w:val="center"/>
          </w:tcPr>
          <w:p w14:paraId="23B4DB37">
            <w:pPr>
              <w:jc w:val="center"/>
              <w:rPr>
                <w:color w:val="000000"/>
                <w:sz w:val="20"/>
                <w:szCs w:val="20"/>
              </w:rPr>
            </w:pPr>
            <w:r>
              <w:rPr>
                <w:color w:val="000000"/>
                <w:sz w:val="20"/>
                <w:szCs w:val="20"/>
              </w:rPr>
              <w:t>LK34:09</w:t>
            </w:r>
          </w:p>
        </w:tc>
        <w:tc>
          <w:tcPr>
            <w:tcW w:w="1033" w:type="dxa"/>
            <w:noWrap/>
            <w:vAlign w:val="center"/>
          </w:tcPr>
          <w:p w14:paraId="6C4A9B21">
            <w:pPr>
              <w:jc w:val="center"/>
              <w:rPr>
                <w:color w:val="000000"/>
                <w:sz w:val="20"/>
                <w:szCs w:val="20"/>
              </w:rPr>
            </w:pPr>
            <w:r>
              <w:rPr>
                <w:color w:val="000000"/>
                <w:sz w:val="20"/>
                <w:szCs w:val="20"/>
              </w:rPr>
              <w:t>90,00</w:t>
            </w:r>
          </w:p>
        </w:tc>
        <w:tc>
          <w:tcPr>
            <w:tcW w:w="846" w:type="dxa"/>
            <w:noWrap/>
            <w:vAlign w:val="center"/>
          </w:tcPr>
          <w:p w14:paraId="052E2C24">
            <w:pPr>
              <w:jc w:val="center"/>
              <w:rPr>
                <w:color w:val="000000"/>
                <w:sz w:val="20"/>
                <w:szCs w:val="20"/>
              </w:rPr>
            </w:pPr>
            <w:r>
              <w:rPr>
                <w:color w:val="000000"/>
                <w:sz w:val="20"/>
                <w:szCs w:val="20"/>
              </w:rPr>
              <w:t>1</w:t>
            </w:r>
          </w:p>
        </w:tc>
        <w:tc>
          <w:tcPr>
            <w:tcW w:w="2578" w:type="dxa"/>
            <w:noWrap/>
            <w:vAlign w:val="center"/>
          </w:tcPr>
          <w:p w14:paraId="57600AF6">
            <w:pPr>
              <w:jc w:val="center"/>
              <w:rPr>
                <w:color w:val="000000"/>
                <w:sz w:val="20"/>
                <w:szCs w:val="20"/>
              </w:rPr>
            </w:pPr>
            <w:r>
              <w:rPr>
                <w:color w:val="000000"/>
                <w:sz w:val="20"/>
                <w:szCs w:val="20"/>
              </w:rPr>
              <w:t>Mặt cắt 3-3</w:t>
            </w:r>
          </w:p>
        </w:tc>
        <w:tc>
          <w:tcPr>
            <w:tcW w:w="2393" w:type="dxa"/>
            <w:noWrap/>
            <w:vAlign w:val="center"/>
          </w:tcPr>
          <w:p w14:paraId="1A916DD0">
            <w:pPr>
              <w:jc w:val="center"/>
              <w:rPr>
                <w:color w:val="000000"/>
                <w:sz w:val="20"/>
                <w:szCs w:val="20"/>
              </w:rPr>
            </w:pPr>
            <w:r>
              <w:rPr>
                <w:color w:val="000000"/>
                <w:sz w:val="20"/>
                <w:szCs w:val="20"/>
              </w:rPr>
              <w:t>Một mặt tiền</w:t>
            </w:r>
          </w:p>
        </w:tc>
        <w:tc>
          <w:tcPr>
            <w:tcW w:w="1198" w:type="dxa"/>
            <w:noWrap/>
            <w:vAlign w:val="center"/>
          </w:tcPr>
          <w:p w14:paraId="582E945C">
            <w:pPr>
              <w:jc w:val="center"/>
              <w:rPr>
                <w:color w:val="000000"/>
                <w:sz w:val="20"/>
                <w:szCs w:val="20"/>
              </w:rPr>
            </w:pPr>
            <w:r>
              <w:rPr>
                <w:color w:val="000000"/>
                <w:sz w:val="20"/>
                <w:szCs w:val="20"/>
              </w:rPr>
              <w:t>8.000.000</w:t>
            </w:r>
          </w:p>
        </w:tc>
        <w:tc>
          <w:tcPr>
            <w:tcW w:w="1236" w:type="dxa"/>
            <w:noWrap/>
            <w:vAlign w:val="center"/>
          </w:tcPr>
          <w:p w14:paraId="0DFE786C">
            <w:pPr>
              <w:jc w:val="center"/>
              <w:rPr>
                <w:color w:val="000000"/>
                <w:sz w:val="20"/>
                <w:szCs w:val="20"/>
              </w:rPr>
            </w:pPr>
          </w:p>
        </w:tc>
        <w:tc>
          <w:tcPr>
            <w:tcW w:w="1252" w:type="dxa"/>
            <w:noWrap/>
            <w:vAlign w:val="center"/>
          </w:tcPr>
          <w:p w14:paraId="765E8965">
            <w:pPr>
              <w:jc w:val="center"/>
              <w:rPr>
                <w:color w:val="000000"/>
                <w:sz w:val="20"/>
                <w:szCs w:val="20"/>
              </w:rPr>
            </w:pPr>
            <w:r>
              <w:rPr>
                <w:color w:val="000000"/>
                <w:sz w:val="20"/>
                <w:szCs w:val="20"/>
              </w:rPr>
              <w:t>8.000.000</w:t>
            </w:r>
          </w:p>
        </w:tc>
        <w:tc>
          <w:tcPr>
            <w:tcW w:w="1848" w:type="dxa"/>
            <w:noWrap/>
            <w:vAlign w:val="center"/>
          </w:tcPr>
          <w:p w14:paraId="23C9D071">
            <w:pPr>
              <w:jc w:val="center"/>
              <w:rPr>
                <w:color w:val="000000"/>
                <w:sz w:val="20"/>
                <w:szCs w:val="20"/>
              </w:rPr>
            </w:pPr>
            <w:r>
              <w:rPr>
                <w:color w:val="000000"/>
                <w:sz w:val="20"/>
                <w:szCs w:val="20"/>
              </w:rPr>
              <w:t>720.000.000</w:t>
            </w:r>
          </w:p>
        </w:tc>
      </w:tr>
      <w:tr w14:paraId="3EF4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858F8A4">
            <w:pPr>
              <w:jc w:val="center"/>
              <w:rPr>
                <w:b/>
                <w:bCs/>
                <w:color w:val="000000"/>
                <w:sz w:val="20"/>
                <w:szCs w:val="20"/>
              </w:rPr>
            </w:pPr>
            <w:r>
              <w:rPr>
                <w:b/>
                <w:bCs/>
                <w:color w:val="000000"/>
                <w:sz w:val="20"/>
                <w:szCs w:val="20"/>
              </w:rPr>
              <w:t>LK38</w:t>
            </w:r>
          </w:p>
        </w:tc>
        <w:tc>
          <w:tcPr>
            <w:tcW w:w="1802" w:type="dxa"/>
            <w:vAlign w:val="center"/>
          </w:tcPr>
          <w:p w14:paraId="78476F63">
            <w:pPr>
              <w:jc w:val="center"/>
              <w:rPr>
                <w:color w:val="000000"/>
                <w:sz w:val="20"/>
                <w:szCs w:val="20"/>
              </w:rPr>
            </w:pPr>
            <w:r>
              <w:rPr>
                <w:color w:val="000000"/>
                <w:sz w:val="20"/>
                <w:szCs w:val="20"/>
              </w:rPr>
              <w:t>LK38:02</w:t>
            </w:r>
          </w:p>
        </w:tc>
        <w:tc>
          <w:tcPr>
            <w:tcW w:w="1033" w:type="dxa"/>
            <w:noWrap/>
            <w:vAlign w:val="center"/>
          </w:tcPr>
          <w:p w14:paraId="67891190">
            <w:pPr>
              <w:jc w:val="center"/>
              <w:rPr>
                <w:color w:val="000000"/>
                <w:sz w:val="20"/>
                <w:szCs w:val="20"/>
              </w:rPr>
            </w:pPr>
            <w:r>
              <w:rPr>
                <w:color w:val="000000"/>
                <w:sz w:val="20"/>
                <w:szCs w:val="20"/>
              </w:rPr>
              <w:t>90,00</w:t>
            </w:r>
          </w:p>
        </w:tc>
        <w:tc>
          <w:tcPr>
            <w:tcW w:w="846" w:type="dxa"/>
            <w:noWrap/>
            <w:vAlign w:val="center"/>
          </w:tcPr>
          <w:p w14:paraId="1073B109">
            <w:pPr>
              <w:jc w:val="center"/>
              <w:rPr>
                <w:color w:val="000000"/>
                <w:sz w:val="20"/>
                <w:szCs w:val="20"/>
              </w:rPr>
            </w:pPr>
            <w:r>
              <w:rPr>
                <w:color w:val="000000"/>
                <w:sz w:val="20"/>
                <w:szCs w:val="20"/>
              </w:rPr>
              <w:t>1</w:t>
            </w:r>
          </w:p>
        </w:tc>
        <w:tc>
          <w:tcPr>
            <w:tcW w:w="2578" w:type="dxa"/>
            <w:noWrap/>
            <w:vAlign w:val="center"/>
          </w:tcPr>
          <w:p w14:paraId="415B5314">
            <w:pPr>
              <w:jc w:val="center"/>
              <w:rPr>
                <w:color w:val="000000"/>
                <w:sz w:val="20"/>
                <w:szCs w:val="20"/>
              </w:rPr>
            </w:pPr>
            <w:r>
              <w:rPr>
                <w:color w:val="000000"/>
                <w:sz w:val="20"/>
                <w:szCs w:val="20"/>
              </w:rPr>
              <w:t>Mặt cắt 3-3</w:t>
            </w:r>
          </w:p>
        </w:tc>
        <w:tc>
          <w:tcPr>
            <w:tcW w:w="2393" w:type="dxa"/>
            <w:noWrap/>
            <w:vAlign w:val="center"/>
          </w:tcPr>
          <w:p w14:paraId="678EF191">
            <w:pPr>
              <w:jc w:val="center"/>
              <w:rPr>
                <w:color w:val="000000"/>
                <w:sz w:val="20"/>
                <w:szCs w:val="20"/>
              </w:rPr>
            </w:pPr>
            <w:r>
              <w:rPr>
                <w:color w:val="000000"/>
                <w:sz w:val="20"/>
                <w:szCs w:val="20"/>
              </w:rPr>
              <w:t>Một mặt tiền</w:t>
            </w:r>
          </w:p>
        </w:tc>
        <w:tc>
          <w:tcPr>
            <w:tcW w:w="1198" w:type="dxa"/>
            <w:noWrap/>
            <w:vAlign w:val="center"/>
          </w:tcPr>
          <w:p w14:paraId="71D63691">
            <w:pPr>
              <w:jc w:val="center"/>
              <w:rPr>
                <w:color w:val="000000"/>
                <w:sz w:val="20"/>
                <w:szCs w:val="20"/>
              </w:rPr>
            </w:pPr>
            <w:r>
              <w:rPr>
                <w:color w:val="000000"/>
                <w:sz w:val="20"/>
                <w:szCs w:val="20"/>
              </w:rPr>
              <w:t>8.000.000</w:t>
            </w:r>
          </w:p>
        </w:tc>
        <w:tc>
          <w:tcPr>
            <w:tcW w:w="1236" w:type="dxa"/>
            <w:noWrap/>
            <w:vAlign w:val="center"/>
          </w:tcPr>
          <w:p w14:paraId="41F85249">
            <w:pPr>
              <w:jc w:val="center"/>
              <w:rPr>
                <w:color w:val="000000"/>
                <w:sz w:val="20"/>
                <w:szCs w:val="20"/>
              </w:rPr>
            </w:pPr>
          </w:p>
        </w:tc>
        <w:tc>
          <w:tcPr>
            <w:tcW w:w="1252" w:type="dxa"/>
            <w:noWrap/>
            <w:vAlign w:val="center"/>
          </w:tcPr>
          <w:p w14:paraId="6E798CDD">
            <w:pPr>
              <w:jc w:val="center"/>
              <w:rPr>
                <w:color w:val="000000"/>
                <w:sz w:val="20"/>
                <w:szCs w:val="20"/>
              </w:rPr>
            </w:pPr>
            <w:r>
              <w:rPr>
                <w:color w:val="000000"/>
                <w:sz w:val="20"/>
                <w:szCs w:val="20"/>
              </w:rPr>
              <w:t>8.000.000</w:t>
            </w:r>
          </w:p>
        </w:tc>
        <w:tc>
          <w:tcPr>
            <w:tcW w:w="1848" w:type="dxa"/>
            <w:noWrap/>
            <w:vAlign w:val="center"/>
          </w:tcPr>
          <w:p w14:paraId="481DEC07">
            <w:pPr>
              <w:jc w:val="center"/>
              <w:rPr>
                <w:color w:val="000000"/>
                <w:sz w:val="20"/>
                <w:szCs w:val="20"/>
              </w:rPr>
            </w:pPr>
            <w:r>
              <w:rPr>
                <w:color w:val="000000"/>
                <w:sz w:val="20"/>
                <w:szCs w:val="20"/>
              </w:rPr>
              <w:t>720.000.000</w:t>
            </w:r>
          </w:p>
        </w:tc>
      </w:tr>
      <w:tr w14:paraId="152C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87F6CDD">
            <w:pPr>
              <w:jc w:val="center"/>
              <w:rPr>
                <w:b/>
                <w:bCs/>
                <w:color w:val="000000"/>
                <w:sz w:val="20"/>
                <w:szCs w:val="20"/>
              </w:rPr>
            </w:pPr>
            <w:r>
              <w:rPr>
                <w:b/>
                <w:bCs/>
                <w:color w:val="000000"/>
                <w:sz w:val="20"/>
                <w:szCs w:val="20"/>
              </w:rPr>
              <w:t>LK38</w:t>
            </w:r>
          </w:p>
        </w:tc>
        <w:tc>
          <w:tcPr>
            <w:tcW w:w="1802" w:type="dxa"/>
            <w:vAlign w:val="center"/>
          </w:tcPr>
          <w:p w14:paraId="5B8024B0">
            <w:pPr>
              <w:jc w:val="center"/>
              <w:rPr>
                <w:color w:val="000000"/>
                <w:sz w:val="20"/>
                <w:szCs w:val="20"/>
              </w:rPr>
            </w:pPr>
            <w:r>
              <w:rPr>
                <w:color w:val="000000"/>
                <w:sz w:val="20"/>
                <w:szCs w:val="20"/>
              </w:rPr>
              <w:t>LK38:03</w:t>
            </w:r>
          </w:p>
        </w:tc>
        <w:tc>
          <w:tcPr>
            <w:tcW w:w="1033" w:type="dxa"/>
            <w:noWrap/>
            <w:vAlign w:val="center"/>
          </w:tcPr>
          <w:p w14:paraId="5E0C5BF0">
            <w:pPr>
              <w:jc w:val="center"/>
              <w:rPr>
                <w:color w:val="000000"/>
                <w:sz w:val="20"/>
                <w:szCs w:val="20"/>
              </w:rPr>
            </w:pPr>
            <w:r>
              <w:rPr>
                <w:color w:val="000000"/>
                <w:sz w:val="20"/>
                <w:szCs w:val="20"/>
              </w:rPr>
              <w:t>90,00</w:t>
            </w:r>
          </w:p>
        </w:tc>
        <w:tc>
          <w:tcPr>
            <w:tcW w:w="846" w:type="dxa"/>
            <w:noWrap/>
            <w:vAlign w:val="center"/>
          </w:tcPr>
          <w:p w14:paraId="1B2FE486">
            <w:pPr>
              <w:jc w:val="center"/>
              <w:rPr>
                <w:color w:val="000000"/>
                <w:sz w:val="20"/>
                <w:szCs w:val="20"/>
              </w:rPr>
            </w:pPr>
            <w:r>
              <w:rPr>
                <w:color w:val="000000"/>
                <w:sz w:val="20"/>
                <w:szCs w:val="20"/>
              </w:rPr>
              <w:t>1</w:t>
            </w:r>
          </w:p>
        </w:tc>
        <w:tc>
          <w:tcPr>
            <w:tcW w:w="2578" w:type="dxa"/>
            <w:noWrap/>
            <w:vAlign w:val="center"/>
          </w:tcPr>
          <w:p w14:paraId="175EB675">
            <w:pPr>
              <w:jc w:val="center"/>
              <w:rPr>
                <w:color w:val="000000"/>
                <w:sz w:val="20"/>
                <w:szCs w:val="20"/>
              </w:rPr>
            </w:pPr>
            <w:r>
              <w:rPr>
                <w:color w:val="000000"/>
                <w:sz w:val="20"/>
                <w:szCs w:val="20"/>
              </w:rPr>
              <w:t>Mặt cắt 3-3</w:t>
            </w:r>
          </w:p>
        </w:tc>
        <w:tc>
          <w:tcPr>
            <w:tcW w:w="2393" w:type="dxa"/>
            <w:noWrap/>
            <w:vAlign w:val="center"/>
          </w:tcPr>
          <w:p w14:paraId="278A6ED0">
            <w:pPr>
              <w:jc w:val="center"/>
              <w:rPr>
                <w:color w:val="000000"/>
                <w:sz w:val="20"/>
                <w:szCs w:val="20"/>
              </w:rPr>
            </w:pPr>
            <w:r>
              <w:rPr>
                <w:color w:val="000000"/>
                <w:sz w:val="20"/>
                <w:szCs w:val="20"/>
              </w:rPr>
              <w:t>Một mặt tiền</w:t>
            </w:r>
          </w:p>
        </w:tc>
        <w:tc>
          <w:tcPr>
            <w:tcW w:w="1198" w:type="dxa"/>
            <w:noWrap/>
            <w:vAlign w:val="center"/>
          </w:tcPr>
          <w:p w14:paraId="04C9DFE8">
            <w:pPr>
              <w:jc w:val="center"/>
              <w:rPr>
                <w:color w:val="000000"/>
                <w:sz w:val="20"/>
                <w:szCs w:val="20"/>
              </w:rPr>
            </w:pPr>
            <w:r>
              <w:rPr>
                <w:color w:val="000000"/>
                <w:sz w:val="20"/>
                <w:szCs w:val="20"/>
              </w:rPr>
              <w:t>8.000.000</w:t>
            </w:r>
          </w:p>
        </w:tc>
        <w:tc>
          <w:tcPr>
            <w:tcW w:w="1236" w:type="dxa"/>
            <w:noWrap/>
            <w:vAlign w:val="center"/>
          </w:tcPr>
          <w:p w14:paraId="4F9F7F8D">
            <w:pPr>
              <w:jc w:val="center"/>
              <w:rPr>
                <w:color w:val="000000"/>
                <w:sz w:val="20"/>
                <w:szCs w:val="20"/>
              </w:rPr>
            </w:pPr>
          </w:p>
        </w:tc>
        <w:tc>
          <w:tcPr>
            <w:tcW w:w="1252" w:type="dxa"/>
            <w:noWrap/>
            <w:vAlign w:val="center"/>
          </w:tcPr>
          <w:p w14:paraId="34ED2DDF">
            <w:pPr>
              <w:jc w:val="center"/>
              <w:rPr>
                <w:color w:val="000000"/>
                <w:sz w:val="20"/>
                <w:szCs w:val="20"/>
              </w:rPr>
            </w:pPr>
            <w:r>
              <w:rPr>
                <w:color w:val="000000"/>
                <w:sz w:val="20"/>
                <w:szCs w:val="20"/>
              </w:rPr>
              <w:t>8.000.000</w:t>
            </w:r>
          </w:p>
        </w:tc>
        <w:tc>
          <w:tcPr>
            <w:tcW w:w="1848" w:type="dxa"/>
            <w:noWrap/>
            <w:vAlign w:val="center"/>
          </w:tcPr>
          <w:p w14:paraId="0A05A233">
            <w:pPr>
              <w:jc w:val="center"/>
              <w:rPr>
                <w:color w:val="000000"/>
                <w:sz w:val="20"/>
                <w:szCs w:val="20"/>
              </w:rPr>
            </w:pPr>
            <w:r>
              <w:rPr>
                <w:color w:val="000000"/>
                <w:sz w:val="20"/>
                <w:szCs w:val="20"/>
              </w:rPr>
              <w:t>720.000.000</w:t>
            </w:r>
          </w:p>
        </w:tc>
      </w:tr>
      <w:tr w14:paraId="6404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D616CB2">
            <w:pPr>
              <w:jc w:val="center"/>
              <w:rPr>
                <w:b/>
                <w:bCs/>
                <w:color w:val="000000"/>
                <w:sz w:val="20"/>
                <w:szCs w:val="20"/>
              </w:rPr>
            </w:pPr>
            <w:r>
              <w:rPr>
                <w:b/>
                <w:bCs/>
                <w:color w:val="000000"/>
                <w:sz w:val="20"/>
                <w:szCs w:val="20"/>
              </w:rPr>
              <w:t>LK38</w:t>
            </w:r>
          </w:p>
        </w:tc>
        <w:tc>
          <w:tcPr>
            <w:tcW w:w="1802" w:type="dxa"/>
            <w:vAlign w:val="center"/>
          </w:tcPr>
          <w:p w14:paraId="7D93CC9D">
            <w:pPr>
              <w:jc w:val="center"/>
              <w:rPr>
                <w:color w:val="000000"/>
                <w:sz w:val="20"/>
                <w:szCs w:val="20"/>
              </w:rPr>
            </w:pPr>
            <w:r>
              <w:rPr>
                <w:color w:val="000000"/>
                <w:sz w:val="20"/>
                <w:szCs w:val="20"/>
              </w:rPr>
              <w:t>LK38:04</w:t>
            </w:r>
          </w:p>
        </w:tc>
        <w:tc>
          <w:tcPr>
            <w:tcW w:w="1033" w:type="dxa"/>
            <w:noWrap/>
            <w:vAlign w:val="center"/>
          </w:tcPr>
          <w:p w14:paraId="2A1DAF14">
            <w:pPr>
              <w:jc w:val="center"/>
              <w:rPr>
                <w:color w:val="000000"/>
                <w:sz w:val="20"/>
                <w:szCs w:val="20"/>
              </w:rPr>
            </w:pPr>
            <w:r>
              <w:rPr>
                <w:color w:val="000000"/>
                <w:sz w:val="20"/>
                <w:szCs w:val="20"/>
              </w:rPr>
              <w:t>90,00</w:t>
            </w:r>
          </w:p>
        </w:tc>
        <w:tc>
          <w:tcPr>
            <w:tcW w:w="846" w:type="dxa"/>
            <w:noWrap/>
            <w:vAlign w:val="center"/>
          </w:tcPr>
          <w:p w14:paraId="4FD25879">
            <w:pPr>
              <w:jc w:val="center"/>
              <w:rPr>
                <w:color w:val="000000"/>
                <w:sz w:val="20"/>
                <w:szCs w:val="20"/>
              </w:rPr>
            </w:pPr>
            <w:r>
              <w:rPr>
                <w:color w:val="000000"/>
                <w:sz w:val="20"/>
                <w:szCs w:val="20"/>
              </w:rPr>
              <w:t>1</w:t>
            </w:r>
          </w:p>
        </w:tc>
        <w:tc>
          <w:tcPr>
            <w:tcW w:w="2578" w:type="dxa"/>
            <w:noWrap/>
            <w:vAlign w:val="center"/>
          </w:tcPr>
          <w:p w14:paraId="5398FB5D">
            <w:pPr>
              <w:jc w:val="center"/>
              <w:rPr>
                <w:color w:val="000000"/>
                <w:sz w:val="20"/>
                <w:szCs w:val="20"/>
              </w:rPr>
            </w:pPr>
            <w:r>
              <w:rPr>
                <w:color w:val="000000"/>
                <w:sz w:val="20"/>
                <w:szCs w:val="20"/>
              </w:rPr>
              <w:t>Mặt cắt 3-3</w:t>
            </w:r>
          </w:p>
        </w:tc>
        <w:tc>
          <w:tcPr>
            <w:tcW w:w="2393" w:type="dxa"/>
            <w:noWrap/>
            <w:vAlign w:val="center"/>
          </w:tcPr>
          <w:p w14:paraId="2EEFFDB8">
            <w:pPr>
              <w:jc w:val="center"/>
              <w:rPr>
                <w:color w:val="000000"/>
                <w:sz w:val="20"/>
                <w:szCs w:val="20"/>
              </w:rPr>
            </w:pPr>
            <w:r>
              <w:rPr>
                <w:color w:val="000000"/>
                <w:sz w:val="20"/>
                <w:szCs w:val="20"/>
              </w:rPr>
              <w:t>Một mặt tiền</w:t>
            </w:r>
          </w:p>
        </w:tc>
        <w:tc>
          <w:tcPr>
            <w:tcW w:w="1198" w:type="dxa"/>
            <w:noWrap/>
            <w:vAlign w:val="center"/>
          </w:tcPr>
          <w:p w14:paraId="47E55B01">
            <w:pPr>
              <w:jc w:val="center"/>
              <w:rPr>
                <w:color w:val="000000"/>
                <w:sz w:val="20"/>
                <w:szCs w:val="20"/>
              </w:rPr>
            </w:pPr>
            <w:r>
              <w:rPr>
                <w:color w:val="000000"/>
                <w:sz w:val="20"/>
                <w:szCs w:val="20"/>
              </w:rPr>
              <w:t>8.000.000</w:t>
            </w:r>
          </w:p>
        </w:tc>
        <w:tc>
          <w:tcPr>
            <w:tcW w:w="1236" w:type="dxa"/>
            <w:noWrap/>
            <w:vAlign w:val="center"/>
          </w:tcPr>
          <w:p w14:paraId="44E10310">
            <w:pPr>
              <w:jc w:val="center"/>
              <w:rPr>
                <w:color w:val="000000"/>
                <w:sz w:val="20"/>
                <w:szCs w:val="20"/>
              </w:rPr>
            </w:pPr>
          </w:p>
        </w:tc>
        <w:tc>
          <w:tcPr>
            <w:tcW w:w="1252" w:type="dxa"/>
            <w:noWrap/>
            <w:vAlign w:val="center"/>
          </w:tcPr>
          <w:p w14:paraId="073F6484">
            <w:pPr>
              <w:jc w:val="center"/>
              <w:rPr>
                <w:color w:val="000000"/>
                <w:sz w:val="20"/>
                <w:szCs w:val="20"/>
              </w:rPr>
            </w:pPr>
            <w:r>
              <w:rPr>
                <w:color w:val="000000"/>
                <w:sz w:val="20"/>
                <w:szCs w:val="20"/>
              </w:rPr>
              <w:t>8.000.000</w:t>
            </w:r>
          </w:p>
        </w:tc>
        <w:tc>
          <w:tcPr>
            <w:tcW w:w="1848" w:type="dxa"/>
            <w:noWrap/>
            <w:vAlign w:val="center"/>
          </w:tcPr>
          <w:p w14:paraId="25FFDE6B">
            <w:pPr>
              <w:jc w:val="center"/>
              <w:rPr>
                <w:color w:val="000000"/>
                <w:sz w:val="20"/>
                <w:szCs w:val="20"/>
              </w:rPr>
            </w:pPr>
            <w:r>
              <w:rPr>
                <w:color w:val="000000"/>
                <w:sz w:val="20"/>
                <w:szCs w:val="20"/>
              </w:rPr>
              <w:t>720.000.000</w:t>
            </w:r>
          </w:p>
        </w:tc>
      </w:tr>
      <w:tr w14:paraId="403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E75A60">
            <w:pPr>
              <w:jc w:val="center"/>
              <w:rPr>
                <w:b/>
                <w:bCs/>
                <w:color w:val="000000"/>
                <w:sz w:val="20"/>
                <w:szCs w:val="20"/>
              </w:rPr>
            </w:pPr>
            <w:r>
              <w:rPr>
                <w:b/>
                <w:bCs/>
                <w:color w:val="000000"/>
                <w:sz w:val="20"/>
                <w:szCs w:val="20"/>
              </w:rPr>
              <w:t>LK38</w:t>
            </w:r>
          </w:p>
        </w:tc>
        <w:tc>
          <w:tcPr>
            <w:tcW w:w="1802" w:type="dxa"/>
            <w:vAlign w:val="center"/>
          </w:tcPr>
          <w:p w14:paraId="2182E14E">
            <w:pPr>
              <w:jc w:val="center"/>
              <w:rPr>
                <w:color w:val="000000"/>
                <w:sz w:val="20"/>
                <w:szCs w:val="20"/>
              </w:rPr>
            </w:pPr>
            <w:r>
              <w:rPr>
                <w:color w:val="000000"/>
                <w:sz w:val="20"/>
                <w:szCs w:val="20"/>
              </w:rPr>
              <w:t>LK38:05</w:t>
            </w:r>
          </w:p>
        </w:tc>
        <w:tc>
          <w:tcPr>
            <w:tcW w:w="1033" w:type="dxa"/>
            <w:noWrap/>
            <w:vAlign w:val="center"/>
          </w:tcPr>
          <w:p w14:paraId="350A2B4D">
            <w:pPr>
              <w:jc w:val="center"/>
              <w:rPr>
                <w:color w:val="000000"/>
                <w:sz w:val="20"/>
                <w:szCs w:val="20"/>
              </w:rPr>
            </w:pPr>
            <w:r>
              <w:rPr>
                <w:color w:val="000000"/>
                <w:sz w:val="20"/>
                <w:szCs w:val="20"/>
              </w:rPr>
              <w:t>90,00</w:t>
            </w:r>
          </w:p>
        </w:tc>
        <w:tc>
          <w:tcPr>
            <w:tcW w:w="846" w:type="dxa"/>
            <w:noWrap/>
            <w:vAlign w:val="center"/>
          </w:tcPr>
          <w:p w14:paraId="622C0B21">
            <w:pPr>
              <w:jc w:val="center"/>
              <w:rPr>
                <w:color w:val="000000"/>
                <w:sz w:val="20"/>
                <w:szCs w:val="20"/>
              </w:rPr>
            </w:pPr>
            <w:r>
              <w:rPr>
                <w:color w:val="000000"/>
                <w:sz w:val="20"/>
                <w:szCs w:val="20"/>
              </w:rPr>
              <w:t>1</w:t>
            </w:r>
          </w:p>
        </w:tc>
        <w:tc>
          <w:tcPr>
            <w:tcW w:w="2578" w:type="dxa"/>
            <w:noWrap/>
            <w:vAlign w:val="center"/>
          </w:tcPr>
          <w:p w14:paraId="4EB3C8E1">
            <w:pPr>
              <w:jc w:val="center"/>
              <w:rPr>
                <w:color w:val="000000"/>
                <w:sz w:val="20"/>
                <w:szCs w:val="20"/>
              </w:rPr>
            </w:pPr>
            <w:r>
              <w:rPr>
                <w:color w:val="000000"/>
                <w:sz w:val="20"/>
                <w:szCs w:val="20"/>
              </w:rPr>
              <w:t>Mặt cắt 3-3</w:t>
            </w:r>
          </w:p>
        </w:tc>
        <w:tc>
          <w:tcPr>
            <w:tcW w:w="2393" w:type="dxa"/>
            <w:noWrap/>
            <w:vAlign w:val="center"/>
          </w:tcPr>
          <w:p w14:paraId="622E3C0C">
            <w:pPr>
              <w:jc w:val="center"/>
              <w:rPr>
                <w:color w:val="000000"/>
                <w:sz w:val="20"/>
                <w:szCs w:val="20"/>
              </w:rPr>
            </w:pPr>
            <w:r>
              <w:rPr>
                <w:color w:val="000000"/>
                <w:sz w:val="20"/>
                <w:szCs w:val="20"/>
              </w:rPr>
              <w:t>Một mặt tiền</w:t>
            </w:r>
          </w:p>
        </w:tc>
        <w:tc>
          <w:tcPr>
            <w:tcW w:w="1198" w:type="dxa"/>
            <w:noWrap/>
            <w:vAlign w:val="center"/>
          </w:tcPr>
          <w:p w14:paraId="22C2902C">
            <w:pPr>
              <w:jc w:val="center"/>
              <w:rPr>
                <w:color w:val="000000"/>
                <w:sz w:val="20"/>
                <w:szCs w:val="20"/>
              </w:rPr>
            </w:pPr>
            <w:r>
              <w:rPr>
                <w:color w:val="000000"/>
                <w:sz w:val="20"/>
                <w:szCs w:val="20"/>
              </w:rPr>
              <w:t>8.000.000</w:t>
            </w:r>
          </w:p>
        </w:tc>
        <w:tc>
          <w:tcPr>
            <w:tcW w:w="1236" w:type="dxa"/>
            <w:noWrap/>
            <w:vAlign w:val="center"/>
          </w:tcPr>
          <w:p w14:paraId="1D21AC79">
            <w:pPr>
              <w:jc w:val="center"/>
              <w:rPr>
                <w:color w:val="000000"/>
                <w:sz w:val="20"/>
                <w:szCs w:val="20"/>
              </w:rPr>
            </w:pPr>
          </w:p>
        </w:tc>
        <w:tc>
          <w:tcPr>
            <w:tcW w:w="1252" w:type="dxa"/>
            <w:noWrap/>
            <w:vAlign w:val="center"/>
          </w:tcPr>
          <w:p w14:paraId="2FE2522F">
            <w:pPr>
              <w:jc w:val="center"/>
              <w:rPr>
                <w:color w:val="000000"/>
                <w:sz w:val="20"/>
                <w:szCs w:val="20"/>
              </w:rPr>
            </w:pPr>
            <w:r>
              <w:rPr>
                <w:color w:val="000000"/>
                <w:sz w:val="20"/>
                <w:szCs w:val="20"/>
              </w:rPr>
              <w:t>8.000.000</w:t>
            </w:r>
          </w:p>
        </w:tc>
        <w:tc>
          <w:tcPr>
            <w:tcW w:w="1848" w:type="dxa"/>
            <w:noWrap/>
            <w:vAlign w:val="center"/>
          </w:tcPr>
          <w:p w14:paraId="18779FB5">
            <w:pPr>
              <w:jc w:val="center"/>
              <w:rPr>
                <w:color w:val="000000"/>
                <w:sz w:val="20"/>
                <w:szCs w:val="20"/>
              </w:rPr>
            </w:pPr>
            <w:r>
              <w:rPr>
                <w:color w:val="000000"/>
                <w:sz w:val="20"/>
                <w:szCs w:val="20"/>
              </w:rPr>
              <w:t>720.000.000</w:t>
            </w:r>
          </w:p>
        </w:tc>
      </w:tr>
      <w:tr w14:paraId="6C12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8AFACCD">
            <w:pPr>
              <w:jc w:val="center"/>
              <w:rPr>
                <w:b/>
                <w:bCs/>
                <w:color w:val="000000"/>
                <w:sz w:val="20"/>
                <w:szCs w:val="20"/>
              </w:rPr>
            </w:pPr>
            <w:r>
              <w:rPr>
                <w:b/>
                <w:bCs/>
                <w:color w:val="000000"/>
                <w:sz w:val="20"/>
                <w:szCs w:val="20"/>
              </w:rPr>
              <w:t>LK38</w:t>
            </w:r>
          </w:p>
        </w:tc>
        <w:tc>
          <w:tcPr>
            <w:tcW w:w="1802" w:type="dxa"/>
            <w:vAlign w:val="center"/>
          </w:tcPr>
          <w:p w14:paraId="5684DD02">
            <w:pPr>
              <w:jc w:val="center"/>
              <w:rPr>
                <w:color w:val="000000"/>
                <w:sz w:val="20"/>
                <w:szCs w:val="20"/>
              </w:rPr>
            </w:pPr>
            <w:r>
              <w:rPr>
                <w:color w:val="000000"/>
                <w:sz w:val="20"/>
                <w:szCs w:val="20"/>
              </w:rPr>
              <w:t>LK38:06</w:t>
            </w:r>
          </w:p>
        </w:tc>
        <w:tc>
          <w:tcPr>
            <w:tcW w:w="1033" w:type="dxa"/>
            <w:noWrap/>
            <w:vAlign w:val="center"/>
          </w:tcPr>
          <w:p w14:paraId="421F79D5">
            <w:pPr>
              <w:jc w:val="center"/>
              <w:rPr>
                <w:color w:val="000000"/>
                <w:sz w:val="20"/>
                <w:szCs w:val="20"/>
              </w:rPr>
            </w:pPr>
            <w:r>
              <w:rPr>
                <w:color w:val="000000"/>
                <w:sz w:val="20"/>
                <w:szCs w:val="20"/>
              </w:rPr>
              <w:t>90,00</w:t>
            </w:r>
          </w:p>
        </w:tc>
        <w:tc>
          <w:tcPr>
            <w:tcW w:w="846" w:type="dxa"/>
            <w:noWrap/>
            <w:vAlign w:val="center"/>
          </w:tcPr>
          <w:p w14:paraId="4C91ADA1">
            <w:pPr>
              <w:jc w:val="center"/>
              <w:rPr>
                <w:color w:val="000000"/>
                <w:sz w:val="20"/>
                <w:szCs w:val="20"/>
              </w:rPr>
            </w:pPr>
            <w:r>
              <w:rPr>
                <w:color w:val="000000"/>
                <w:sz w:val="20"/>
                <w:szCs w:val="20"/>
              </w:rPr>
              <w:t>1</w:t>
            </w:r>
          </w:p>
        </w:tc>
        <w:tc>
          <w:tcPr>
            <w:tcW w:w="2578" w:type="dxa"/>
            <w:noWrap/>
            <w:vAlign w:val="center"/>
          </w:tcPr>
          <w:p w14:paraId="0BBEDDBF">
            <w:pPr>
              <w:jc w:val="center"/>
              <w:rPr>
                <w:color w:val="000000"/>
                <w:sz w:val="20"/>
                <w:szCs w:val="20"/>
              </w:rPr>
            </w:pPr>
            <w:r>
              <w:rPr>
                <w:color w:val="000000"/>
                <w:sz w:val="20"/>
                <w:szCs w:val="20"/>
              </w:rPr>
              <w:t>Mặt cắt 3-3</w:t>
            </w:r>
          </w:p>
        </w:tc>
        <w:tc>
          <w:tcPr>
            <w:tcW w:w="2393" w:type="dxa"/>
            <w:noWrap/>
            <w:vAlign w:val="center"/>
          </w:tcPr>
          <w:p w14:paraId="344D9D36">
            <w:pPr>
              <w:jc w:val="center"/>
              <w:rPr>
                <w:color w:val="000000"/>
                <w:sz w:val="20"/>
                <w:szCs w:val="20"/>
              </w:rPr>
            </w:pPr>
            <w:r>
              <w:rPr>
                <w:color w:val="000000"/>
                <w:sz w:val="20"/>
                <w:szCs w:val="20"/>
              </w:rPr>
              <w:t>Một mặt tiền</w:t>
            </w:r>
          </w:p>
        </w:tc>
        <w:tc>
          <w:tcPr>
            <w:tcW w:w="1198" w:type="dxa"/>
            <w:noWrap/>
            <w:vAlign w:val="center"/>
          </w:tcPr>
          <w:p w14:paraId="2094FCA2">
            <w:pPr>
              <w:jc w:val="center"/>
              <w:rPr>
                <w:color w:val="000000"/>
                <w:sz w:val="20"/>
                <w:szCs w:val="20"/>
              </w:rPr>
            </w:pPr>
            <w:r>
              <w:rPr>
                <w:color w:val="000000"/>
                <w:sz w:val="20"/>
                <w:szCs w:val="20"/>
              </w:rPr>
              <w:t>8.000.000</w:t>
            </w:r>
          </w:p>
        </w:tc>
        <w:tc>
          <w:tcPr>
            <w:tcW w:w="1236" w:type="dxa"/>
            <w:noWrap/>
            <w:vAlign w:val="center"/>
          </w:tcPr>
          <w:p w14:paraId="0EAC886E">
            <w:pPr>
              <w:jc w:val="center"/>
              <w:rPr>
                <w:color w:val="000000"/>
                <w:sz w:val="20"/>
                <w:szCs w:val="20"/>
              </w:rPr>
            </w:pPr>
          </w:p>
        </w:tc>
        <w:tc>
          <w:tcPr>
            <w:tcW w:w="1252" w:type="dxa"/>
            <w:noWrap/>
            <w:vAlign w:val="center"/>
          </w:tcPr>
          <w:p w14:paraId="0BFA9292">
            <w:pPr>
              <w:jc w:val="center"/>
              <w:rPr>
                <w:color w:val="000000"/>
                <w:sz w:val="20"/>
                <w:szCs w:val="20"/>
              </w:rPr>
            </w:pPr>
            <w:r>
              <w:rPr>
                <w:color w:val="000000"/>
                <w:sz w:val="20"/>
                <w:szCs w:val="20"/>
              </w:rPr>
              <w:t>8.000.000</w:t>
            </w:r>
          </w:p>
        </w:tc>
        <w:tc>
          <w:tcPr>
            <w:tcW w:w="1848" w:type="dxa"/>
            <w:noWrap/>
            <w:vAlign w:val="center"/>
          </w:tcPr>
          <w:p w14:paraId="26D59DC4">
            <w:pPr>
              <w:jc w:val="center"/>
              <w:rPr>
                <w:color w:val="000000"/>
                <w:sz w:val="20"/>
                <w:szCs w:val="20"/>
              </w:rPr>
            </w:pPr>
            <w:r>
              <w:rPr>
                <w:color w:val="000000"/>
                <w:sz w:val="20"/>
                <w:szCs w:val="20"/>
              </w:rPr>
              <w:t>720.000.000</w:t>
            </w:r>
          </w:p>
        </w:tc>
      </w:tr>
      <w:tr w14:paraId="4212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351539C">
            <w:pPr>
              <w:jc w:val="center"/>
              <w:rPr>
                <w:b/>
                <w:bCs/>
                <w:color w:val="000000"/>
                <w:sz w:val="20"/>
                <w:szCs w:val="20"/>
              </w:rPr>
            </w:pPr>
            <w:r>
              <w:rPr>
                <w:b/>
                <w:bCs/>
                <w:color w:val="000000"/>
                <w:sz w:val="20"/>
                <w:szCs w:val="20"/>
              </w:rPr>
              <w:t>LK38</w:t>
            </w:r>
          </w:p>
        </w:tc>
        <w:tc>
          <w:tcPr>
            <w:tcW w:w="1802" w:type="dxa"/>
            <w:vAlign w:val="center"/>
          </w:tcPr>
          <w:p w14:paraId="3201523A">
            <w:pPr>
              <w:jc w:val="center"/>
              <w:rPr>
                <w:color w:val="000000"/>
                <w:sz w:val="20"/>
                <w:szCs w:val="20"/>
              </w:rPr>
            </w:pPr>
            <w:r>
              <w:rPr>
                <w:color w:val="000000"/>
                <w:sz w:val="20"/>
                <w:szCs w:val="20"/>
              </w:rPr>
              <w:t>LK38:07</w:t>
            </w:r>
          </w:p>
        </w:tc>
        <w:tc>
          <w:tcPr>
            <w:tcW w:w="1033" w:type="dxa"/>
            <w:noWrap/>
            <w:vAlign w:val="center"/>
          </w:tcPr>
          <w:p w14:paraId="77BC4AA4">
            <w:pPr>
              <w:jc w:val="center"/>
              <w:rPr>
                <w:color w:val="000000"/>
                <w:sz w:val="20"/>
                <w:szCs w:val="20"/>
              </w:rPr>
            </w:pPr>
            <w:r>
              <w:rPr>
                <w:color w:val="000000"/>
                <w:sz w:val="20"/>
                <w:szCs w:val="20"/>
              </w:rPr>
              <w:t>90,00</w:t>
            </w:r>
          </w:p>
        </w:tc>
        <w:tc>
          <w:tcPr>
            <w:tcW w:w="846" w:type="dxa"/>
            <w:noWrap/>
            <w:vAlign w:val="center"/>
          </w:tcPr>
          <w:p w14:paraId="0D88720A">
            <w:pPr>
              <w:jc w:val="center"/>
              <w:rPr>
                <w:color w:val="000000"/>
                <w:sz w:val="20"/>
                <w:szCs w:val="20"/>
              </w:rPr>
            </w:pPr>
            <w:r>
              <w:rPr>
                <w:color w:val="000000"/>
                <w:sz w:val="20"/>
                <w:szCs w:val="20"/>
              </w:rPr>
              <w:t>1</w:t>
            </w:r>
          </w:p>
        </w:tc>
        <w:tc>
          <w:tcPr>
            <w:tcW w:w="2578" w:type="dxa"/>
            <w:noWrap/>
            <w:vAlign w:val="center"/>
          </w:tcPr>
          <w:p w14:paraId="468B91DF">
            <w:pPr>
              <w:jc w:val="center"/>
              <w:rPr>
                <w:color w:val="000000"/>
                <w:sz w:val="20"/>
                <w:szCs w:val="20"/>
              </w:rPr>
            </w:pPr>
            <w:r>
              <w:rPr>
                <w:color w:val="000000"/>
                <w:sz w:val="20"/>
                <w:szCs w:val="20"/>
              </w:rPr>
              <w:t>Mặt cắt 3-3</w:t>
            </w:r>
          </w:p>
        </w:tc>
        <w:tc>
          <w:tcPr>
            <w:tcW w:w="2393" w:type="dxa"/>
            <w:noWrap/>
            <w:vAlign w:val="center"/>
          </w:tcPr>
          <w:p w14:paraId="7367E03D">
            <w:pPr>
              <w:jc w:val="center"/>
              <w:rPr>
                <w:color w:val="000000"/>
                <w:sz w:val="20"/>
                <w:szCs w:val="20"/>
              </w:rPr>
            </w:pPr>
            <w:r>
              <w:rPr>
                <w:color w:val="000000"/>
                <w:sz w:val="20"/>
                <w:szCs w:val="20"/>
              </w:rPr>
              <w:t>Một mặt tiền</w:t>
            </w:r>
          </w:p>
        </w:tc>
        <w:tc>
          <w:tcPr>
            <w:tcW w:w="1198" w:type="dxa"/>
            <w:noWrap/>
            <w:vAlign w:val="center"/>
          </w:tcPr>
          <w:p w14:paraId="73128842">
            <w:pPr>
              <w:jc w:val="center"/>
              <w:rPr>
                <w:color w:val="000000"/>
                <w:sz w:val="20"/>
                <w:szCs w:val="20"/>
              </w:rPr>
            </w:pPr>
            <w:r>
              <w:rPr>
                <w:color w:val="000000"/>
                <w:sz w:val="20"/>
                <w:szCs w:val="20"/>
              </w:rPr>
              <w:t>8.000.000</w:t>
            </w:r>
          </w:p>
        </w:tc>
        <w:tc>
          <w:tcPr>
            <w:tcW w:w="1236" w:type="dxa"/>
            <w:noWrap/>
            <w:vAlign w:val="center"/>
          </w:tcPr>
          <w:p w14:paraId="29022ECF">
            <w:pPr>
              <w:jc w:val="center"/>
              <w:rPr>
                <w:color w:val="000000"/>
                <w:sz w:val="20"/>
                <w:szCs w:val="20"/>
              </w:rPr>
            </w:pPr>
          </w:p>
        </w:tc>
        <w:tc>
          <w:tcPr>
            <w:tcW w:w="1252" w:type="dxa"/>
            <w:noWrap/>
            <w:vAlign w:val="center"/>
          </w:tcPr>
          <w:p w14:paraId="53CA8527">
            <w:pPr>
              <w:jc w:val="center"/>
              <w:rPr>
                <w:color w:val="000000"/>
                <w:sz w:val="20"/>
                <w:szCs w:val="20"/>
              </w:rPr>
            </w:pPr>
            <w:r>
              <w:rPr>
                <w:color w:val="000000"/>
                <w:sz w:val="20"/>
                <w:szCs w:val="20"/>
              </w:rPr>
              <w:t>8.000.000</w:t>
            </w:r>
          </w:p>
        </w:tc>
        <w:tc>
          <w:tcPr>
            <w:tcW w:w="1848" w:type="dxa"/>
            <w:noWrap/>
            <w:vAlign w:val="center"/>
          </w:tcPr>
          <w:p w14:paraId="1B630DB9">
            <w:pPr>
              <w:jc w:val="center"/>
              <w:rPr>
                <w:color w:val="000000"/>
                <w:sz w:val="20"/>
                <w:szCs w:val="20"/>
              </w:rPr>
            </w:pPr>
            <w:r>
              <w:rPr>
                <w:color w:val="000000"/>
                <w:sz w:val="20"/>
                <w:szCs w:val="20"/>
              </w:rPr>
              <w:t>720.000.000</w:t>
            </w:r>
          </w:p>
        </w:tc>
      </w:tr>
      <w:tr w14:paraId="29C4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19D89CF">
            <w:pPr>
              <w:jc w:val="center"/>
              <w:rPr>
                <w:b/>
                <w:bCs/>
                <w:color w:val="000000"/>
                <w:sz w:val="20"/>
                <w:szCs w:val="20"/>
              </w:rPr>
            </w:pPr>
            <w:r>
              <w:rPr>
                <w:b/>
                <w:bCs/>
                <w:color w:val="000000"/>
                <w:sz w:val="20"/>
                <w:szCs w:val="20"/>
              </w:rPr>
              <w:t>LK38</w:t>
            </w:r>
          </w:p>
        </w:tc>
        <w:tc>
          <w:tcPr>
            <w:tcW w:w="1802" w:type="dxa"/>
            <w:vAlign w:val="center"/>
          </w:tcPr>
          <w:p w14:paraId="23BCA7A3">
            <w:pPr>
              <w:jc w:val="center"/>
              <w:rPr>
                <w:color w:val="000000"/>
                <w:sz w:val="20"/>
                <w:szCs w:val="20"/>
              </w:rPr>
            </w:pPr>
            <w:r>
              <w:rPr>
                <w:color w:val="000000"/>
                <w:sz w:val="20"/>
                <w:szCs w:val="20"/>
              </w:rPr>
              <w:t>LK38:08</w:t>
            </w:r>
          </w:p>
        </w:tc>
        <w:tc>
          <w:tcPr>
            <w:tcW w:w="1033" w:type="dxa"/>
            <w:noWrap/>
            <w:vAlign w:val="center"/>
          </w:tcPr>
          <w:p w14:paraId="1777DF1A">
            <w:pPr>
              <w:jc w:val="center"/>
              <w:rPr>
                <w:color w:val="000000"/>
                <w:sz w:val="20"/>
                <w:szCs w:val="20"/>
              </w:rPr>
            </w:pPr>
            <w:r>
              <w:rPr>
                <w:color w:val="000000"/>
                <w:sz w:val="20"/>
                <w:szCs w:val="20"/>
              </w:rPr>
              <w:t>90,00</w:t>
            </w:r>
          </w:p>
        </w:tc>
        <w:tc>
          <w:tcPr>
            <w:tcW w:w="846" w:type="dxa"/>
            <w:noWrap/>
            <w:vAlign w:val="center"/>
          </w:tcPr>
          <w:p w14:paraId="6CB6957A">
            <w:pPr>
              <w:jc w:val="center"/>
              <w:rPr>
                <w:color w:val="000000"/>
                <w:sz w:val="20"/>
                <w:szCs w:val="20"/>
              </w:rPr>
            </w:pPr>
            <w:r>
              <w:rPr>
                <w:color w:val="000000"/>
                <w:sz w:val="20"/>
                <w:szCs w:val="20"/>
              </w:rPr>
              <w:t>1</w:t>
            </w:r>
          </w:p>
        </w:tc>
        <w:tc>
          <w:tcPr>
            <w:tcW w:w="2578" w:type="dxa"/>
            <w:noWrap/>
            <w:vAlign w:val="center"/>
          </w:tcPr>
          <w:p w14:paraId="33914988">
            <w:pPr>
              <w:jc w:val="center"/>
              <w:rPr>
                <w:color w:val="000000"/>
                <w:sz w:val="20"/>
                <w:szCs w:val="20"/>
              </w:rPr>
            </w:pPr>
            <w:r>
              <w:rPr>
                <w:color w:val="000000"/>
                <w:sz w:val="20"/>
                <w:szCs w:val="20"/>
              </w:rPr>
              <w:t>Mặt cắt 3-3</w:t>
            </w:r>
          </w:p>
        </w:tc>
        <w:tc>
          <w:tcPr>
            <w:tcW w:w="2393" w:type="dxa"/>
            <w:noWrap/>
            <w:vAlign w:val="center"/>
          </w:tcPr>
          <w:p w14:paraId="67BEA292">
            <w:pPr>
              <w:jc w:val="center"/>
              <w:rPr>
                <w:color w:val="000000"/>
                <w:sz w:val="20"/>
                <w:szCs w:val="20"/>
              </w:rPr>
            </w:pPr>
            <w:r>
              <w:rPr>
                <w:color w:val="000000"/>
                <w:sz w:val="20"/>
                <w:szCs w:val="20"/>
              </w:rPr>
              <w:t>Một mặt tiền</w:t>
            </w:r>
          </w:p>
        </w:tc>
        <w:tc>
          <w:tcPr>
            <w:tcW w:w="1198" w:type="dxa"/>
            <w:noWrap/>
            <w:vAlign w:val="center"/>
          </w:tcPr>
          <w:p w14:paraId="176FB5C6">
            <w:pPr>
              <w:jc w:val="center"/>
              <w:rPr>
                <w:color w:val="000000"/>
                <w:sz w:val="20"/>
                <w:szCs w:val="20"/>
              </w:rPr>
            </w:pPr>
            <w:r>
              <w:rPr>
                <w:color w:val="000000"/>
                <w:sz w:val="20"/>
                <w:szCs w:val="20"/>
              </w:rPr>
              <w:t>8.000.000</w:t>
            </w:r>
          </w:p>
        </w:tc>
        <w:tc>
          <w:tcPr>
            <w:tcW w:w="1236" w:type="dxa"/>
            <w:noWrap/>
            <w:vAlign w:val="center"/>
          </w:tcPr>
          <w:p w14:paraId="339D34A3">
            <w:pPr>
              <w:jc w:val="center"/>
              <w:rPr>
                <w:color w:val="000000"/>
                <w:sz w:val="20"/>
                <w:szCs w:val="20"/>
              </w:rPr>
            </w:pPr>
          </w:p>
        </w:tc>
        <w:tc>
          <w:tcPr>
            <w:tcW w:w="1252" w:type="dxa"/>
            <w:noWrap/>
            <w:vAlign w:val="center"/>
          </w:tcPr>
          <w:p w14:paraId="30F92489">
            <w:pPr>
              <w:jc w:val="center"/>
              <w:rPr>
                <w:color w:val="000000"/>
                <w:sz w:val="20"/>
                <w:szCs w:val="20"/>
              </w:rPr>
            </w:pPr>
            <w:r>
              <w:rPr>
                <w:color w:val="000000"/>
                <w:sz w:val="20"/>
                <w:szCs w:val="20"/>
              </w:rPr>
              <w:t>8.000.000</w:t>
            </w:r>
          </w:p>
        </w:tc>
        <w:tc>
          <w:tcPr>
            <w:tcW w:w="1848" w:type="dxa"/>
            <w:noWrap/>
            <w:vAlign w:val="center"/>
          </w:tcPr>
          <w:p w14:paraId="60FB7502">
            <w:pPr>
              <w:jc w:val="center"/>
              <w:rPr>
                <w:color w:val="000000"/>
                <w:sz w:val="20"/>
                <w:szCs w:val="20"/>
              </w:rPr>
            </w:pPr>
            <w:r>
              <w:rPr>
                <w:color w:val="000000"/>
                <w:sz w:val="20"/>
                <w:szCs w:val="20"/>
              </w:rPr>
              <w:t>720.000.000</w:t>
            </w:r>
          </w:p>
        </w:tc>
      </w:tr>
      <w:tr w14:paraId="27AF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A48C13B">
            <w:pPr>
              <w:jc w:val="center"/>
              <w:rPr>
                <w:b/>
                <w:bCs/>
                <w:color w:val="000000"/>
                <w:sz w:val="20"/>
                <w:szCs w:val="20"/>
              </w:rPr>
            </w:pPr>
            <w:r>
              <w:rPr>
                <w:b/>
                <w:bCs/>
                <w:color w:val="000000"/>
                <w:sz w:val="20"/>
                <w:szCs w:val="20"/>
              </w:rPr>
              <w:t>LK40</w:t>
            </w:r>
          </w:p>
        </w:tc>
        <w:tc>
          <w:tcPr>
            <w:tcW w:w="1802" w:type="dxa"/>
            <w:vAlign w:val="center"/>
          </w:tcPr>
          <w:p w14:paraId="5429E606">
            <w:pPr>
              <w:jc w:val="center"/>
              <w:rPr>
                <w:color w:val="000000"/>
                <w:sz w:val="20"/>
                <w:szCs w:val="20"/>
              </w:rPr>
            </w:pPr>
            <w:r>
              <w:rPr>
                <w:color w:val="000000"/>
                <w:sz w:val="20"/>
                <w:szCs w:val="20"/>
              </w:rPr>
              <w:t>LK40:02</w:t>
            </w:r>
          </w:p>
        </w:tc>
        <w:tc>
          <w:tcPr>
            <w:tcW w:w="1033" w:type="dxa"/>
            <w:noWrap/>
            <w:vAlign w:val="center"/>
          </w:tcPr>
          <w:p w14:paraId="666A5C1A">
            <w:pPr>
              <w:jc w:val="center"/>
              <w:rPr>
                <w:color w:val="000000"/>
                <w:sz w:val="20"/>
                <w:szCs w:val="20"/>
              </w:rPr>
            </w:pPr>
            <w:r>
              <w:rPr>
                <w:color w:val="000000"/>
                <w:sz w:val="20"/>
                <w:szCs w:val="20"/>
              </w:rPr>
              <w:t>90,00</w:t>
            </w:r>
          </w:p>
        </w:tc>
        <w:tc>
          <w:tcPr>
            <w:tcW w:w="846" w:type="dxa"/>
            <w:noWrap/>
            <w:vAlign w:val="center"/>
          </w:tcPr>
          <w:p w14:paraId="195C4F2D">
            <w:pPr>
              <w:jc w:val="center"/>
              <w:rPr>
                <w:color w:val="000000"/>
                <w:sz w:val="20"/>
                <w:szCs w:val="20"/>
              </w:rPr>
            </w:pPr>
            <w:r>
              <w:rPr>
                <w:color w:val="000000"/>
                <w:sz w:val="20"/>
                <w:szCs w:val="20"/>
              </w:rPr>
              <w:t>1</w:t>
            </w:r>
          </w:p>
        </w:tc>
        <w:tc>
          <w:tcPr>
            <w:tcW w:w="2578" w:type="dxa"/>
            <w:noWrap/>
            <w:vAlign w:val="center"/>
          </w:tcPr>
          <w:p w14:paraId="05564340">
            <w:pPr>
              <w:jc w:val="center"/>
              <w:rPr>
                <w:color w:val="000000"/>
                <w:sz w:val="20"/>
                <w:szCs w:val="20"/>
              </w:rPr>
            </w:pPr>
            <w:r>
              <w:rPr>
                <w:color w:val="000000"/>
                <w:sz w:val="20"/>
                <w:szCs w:val="20"/>
              </w:rPr>
              <w:t>Mặt cắt 3-3</w:t>
            </w:r>
          </w:p>
        </w:tc>
        <w:tc>
          <w:tcPr>
            <w:tcW w:w="2393" w:type="dxa"/>
            <w:noWrap/>
            <w:vAlign w:val="center"/>
          </w:tcPr>
          <w:p w14:paraId="595E8FD1">
            <w:pPr>
              <w:jc w:val="center"/>
              <w:rPr>
                <w:color w:val="000000"/>
                <w:sz w:val="20"/>
                <w:szCs w:val="20"/>
              </w:rPr>
            </w:pPr>
            <w:r>
              <w:rPr>
                <w:color w:val="000000"/>
                <w:sz w:val="20"/>
                <w:szCs w:val="20"/>
              </w:rPr>
              <w:t>Một mặt tiền</w:t>
            </w:r>
          </w:p>
        </w:tc>
        <w:tc>
          <w:tcPr>
            <w:tcW w:w="1198" w:type="dxa"/>
            <w:noWrap/>
            <w:vAlign w:val="center"/>
          </w:tcPr>
          <w:p w14:paraId="1BC02D27">
            <w:pPr>
              <w:jc w:val="center"/>
              <w:rPr>
                <w:color w:val="000000"/>
                <w:sz w:val="20"/>
                <w:szCs w:val="20"/>
              </w:rPr>
            </w:pPr>
            <w:r>
              <w:rPr>
                <w:color w:val="000000"/>
                <w:sz w:val="20"/>
                <w:szCs w:val="20"/>
              </w:rPr>
              <w:t>8.000.000</w:t>
            </w:r>
          </w:p>
        </w:tc>
        <w:tc>
          <w:tcPr>
            <w:tcW w:w="1236" w:type="dxa"/>
            <w:noWrap/>
            <w:vAlign w:val="center"/>
          </w:tcPr>
          <w:p w14:paraId="3690FE0C">
            <w:pPr>
              <w:jc w:val="center"/>
              <w:rPr>
                <w:color w:val="000000"/>
                <w:sz w:val="20"/>
                <w:szCs w:val="20"/>
              </w:rPr>
            </w:pPr>
          </w:p>
        </w:tc>
        <w:tc>
          <w:tcPr>
            <w:tcW w:w="1252" w:type="dxa"/>
            <w:noWrap/>
            <w:vAlign w:val="center"/>
          </w:tcPr>
          <w:p w14:paraId="736ED3C5">
            <w:pPr>
              <w:jc w:val="center"/>
              <w:rPr>
                <w:color w:val="000000"/>
                <w:sz w:val="20"/>
                <w:szCs w:val="20"/>
              </w:rPr>
            </w:pPr>
            <w:r>
              <w:rPr>
                <w:color w:val="000000"/>
                <w:sz w:val="20"/>
                <w:szCs w:val="20"/>
              </w:rPr>
              <w:t>8.000.000</w:t>
            </w:r>
          </w:p>
        </w:tc>
        <w:tc>
          <w:tcPr>
            <w:tcW w:w="1848" w:type="dxa"/>
            <w:noWrap/>
            <w:vAlign w:val="center"/>
          </w:tcPr>
          <w:p w14:paraId="7DBF1C5B">
            <w:pPr>
              <w:jc w:val="center"/>
              <w:rPr>
                <w:color w:val="000000"/>
                <w:sz w:val="20"/>
                <w:szCs w:val="20"/>
              </w:rPr>
            </w:pPr>
            <w:r>
              <w:rPr>
                <w:color w:val="000000"/>
                <w:sz w:val="20"/>
                <w:szCs w:val="20"/>
              </w:rPr>
              <w:t>720.000.000</w:t>
            </w:r>
          </w:p>
        </w:tc>
      </w:tr>
      <w:tr w14:paraId="7FA0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EBA8E92">
            <w:pPr>
              <w:jc w:val="center"/>
              <w:rPr>
                <w:b/>
                <w:bCs/>
                <w:color w:val="000000"/>
                <w:sz w:val="20"/>
                <w:szCs w:val="20"/>
              </w:rPr>
            </w:pPr>
            <w:r>
              <w:rPr>
                <w:b/>
                <w:bCs/>
                <w:color w:val="000000"/>
                <w:sz w:val="20"/>
                <w:szCs w:val="20"/>
              </w:rPr>
              <w:t>LK40</w:t>
            </w:r>
          </w:p>
        </w:tc>
        <w:tc>
          <w:tcPr>
            <w:tcW w:w="1802" w:type="dxa"/>
            <w:vAlign w:val="center"/>
          </w:tcPr>
          <w:p w14:paraId="75FC46E9">
            <w:pPr>
              <w:jc w:val="center"/>
              <w:rPr>
                <w:color w:val="000000"/>
                <w:sz w:val="20"/>
                <w:szCs w:val="20"/>
              </w:rPr>
            </w:pPr>
            <w:r>
              <w:rPr>
                <w:color w:val="000000"/>
                <w:sz w:val="20"/>
                <w:szCs w:val="20"/>
              </w:rPr>
              <w:t>LK40:03</w:t>
            </w:r>
          </w:p>
        </w:tc>
        <w:tc>
          <w:tcPr>
            <w:tcW w:w="1033" w:type="dxa"/>
            <w:noWrap/>
            <w:vAlign w:val="center"/>
          </w:tcPr>
          <w:p w14:paraId="6A394A9C">
            <w:pPr>
              <w:jc w:val="center"/>
              <w:rPr>
                <w:color w:val="000000"/>
                <w:sz w:val="20"/>
                <w:szCs w:val="20"/>
              </w:rPr>
            </w:pPr>
            <w:r>
              <w:rPr>
                <w:color w:val="000000"/>
                <w:sz w:val="20"/>
                <w:szCs w:val="20"/>
              </w:rPr>
              <w:t>90,00</w:t>
            </w:r>
          </w:p>
        </w:tc>
        <w:tc>
          <w:tcPr>
            <w:tcW w:w="846" w:type="dxa"/>
            <w:noWrap/>
            <w:vAlign w:val="center"/>
          </w:tcPr>
          <w:p w14:paraId="32F02727">
            <w:pPr>
              <w:jc w:val="center"/>
              <w:rPr>
                <w:color w:val="000000"/>
                <w:sz w:val="20"/>
                <w:szCs w:val="20"/>
              </w:rPr>
            </w:pPr>
            <w:r>
              <w:rPr>
                <w:color w:val="000000"/>
                <w:sz w:val="20"/>
                <w:szCs w:val="20"/>
              </w:rPr>
              <w:t>1</w:t>
            </w:r>
          </w:p>
        </w:tc>
        <w:tc>
          <w:tcPr>
            <w:tcW w:w="2578" w:type="dxa"/>
            <w:noWrap/>
            <w:vAlign w:val="center"/>
          </w:tcPr>
          <w:p w14:paraId="421ACCE6">
            <w:pPr>
              <w:jc w:val="center"/>
              <w:rPr>
                <w:color w:val="000000"/>
                <w:sz w:val="20"/>
                <w:szCs w:val="20"/>
              </w:rPr>
            </w:pPr>
            <w:r>
              <w:rPr>
                <w:color w:val="000000"/>
                <w:sz w:val="20"/>
                <w:szCs w:val="20"/>
              </w:rPr>
              <w:t>Mặt cắt 3-3</w:t>
            </w:r>
          </w:p>
        </w:tc>
        <w:tc>
          <w:tcPr>
            <w:tcW w:w="2393" w:type="dxa"/>
            <w:noWrap/>
            <w:vAlign w:val="center"/>
          </w:tcPr>
          <w:p w14:paraId="19336335">
            <w:pPr>
              <w:jc w:val="center"/>
              <w:rPr>
                <w:color w:val="000000"/>
                <w:sz w:val="20"/>
                <w:szCs w:val="20"/>
              </w:rPr>
            </w:pPr>
            <w:r>
              <w:rPr>
                <w:color w:val="000000"/>
                <w:sz w:val="20"/>
                <w:szCs w:val="20"/>
              </w:rPr>
              <w:t>Một mặt tiền</w:t>
            </w:r>
          </w:p>
        </w:tc>
        <w:tc>
          <w:tcPr>
            <w:tcW w:w="1198" w:type="dxa"/>
            <w:noWrap/>
            <w:vAlign w:val="center"/>
          </w:tcPr>
          <w:p w14:paraId="63719EF3">
            <w:pPr>
              <w:jc w:val="center"/>
              <w:rPr>
                <w:color w:val="000000"/>
                <w:sz w:val="20"/>
                <w:szCs w:val="20"/>
              </w:rPr>
            </w:pPr>
            <w:r>
              <w:rPr>
                <w:color w:val="000000"/>
                <w:sz w:val="20"/>
                <w:szCs w:val="20"/>
              </w:rPr>
              <w:t>8.000.000</w:t>
            </w:r>
          </w:p>
        </w:tc>
        <w:tc>
          <w:tcPr>
            <w:tcW w:w="1236" w:type="dxa"/>
            <w:noWrap/>
            <w:vAlign w:val="center"/>
          </w:tcPr>
          <w:p w14:paraId="18EBC10C">
            <w:pPr>
              <w:jc w:val="center"/>
              <w:rPr>
                <w:color w:val="000000"/>
                <w:sz w:val="20"/>
                <w:szCs w:val="20"/>
              </w:rPr>
            </w:pPr>
          </w:p>
        </w:tc>
        <w:tc>
          <w:tcPr>
            <w:tcW w:w="1252" w:type="dxa"/>
            <w:noWrap/>
            <w:vAlign w:val="center"/>
          </w:tcPr>
          <w:p w14:paraId="2759AB00">
            <w:pPr>
              <w:jc w:val="center"/>
              <w:rPr>
                <w:color w:val="000000"/>
                <w:sz w:val="20"/>
                <w:szCs w:val="20"/>
              </w:rPr>
            </w:pPr>
            <w:r>
              <w:rPr>
                <w:color w:val="000000"/>
                <w:sz w:val="20"/>
                <w:szCs w:val="20"/>
              </w:rPr>
              <w:t>8.000.000</w:t>
            </w:r>
          </w:p>
        </w:tc>
        <w:tc>
          <w:tcPr>
            <w:tcW w:w="1848" w:type="dxa"/>
            <w:noWrap/>
            <w:vAlign w:val="center"/>
          </w:tcPr>
          <w:p w14:paraId="3601D6F9">
            <w:pPr>
              <w:jc w:val="center"/>
              <w:rPr>
                <w:color w:val="000000"/>
                <w:sz w:val="20"/>
                <w:szCs w:val="20"/>
              </w:rPr>
            </w:pPr>
            <w:r>
              <w:rPr>
                <w:color w:val="000000"/>
                <w:sz w:val="20"/>
                <w:szCs w:val="20"/>
              </w:rPr>
              <w:t>720.000.000</w:t>
            </w:r>
          </w:p>
        </w:tc>
      </w:tr>
      <w:tr w14:paraId="58E5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92DB21A">
            <w:pPr>
              <w:jc w:val="center"/>
              <w:rPr>
                <w:b/>
                <w:bCs/>
                <w:color w:val="000000"/>
                <w:sz w:val="20"/>
                <w:szCs w:val="20"/>
              </w:rPr>
            </w:pPr>
            <w:r>
              <w:rPr>
                <w:b/>
                <w:bCs/>
                <w:color w:val="000000"/>
                <w:sz w:val="20"/>
                <w:szCs w:val="20"/>
              </w:rPr>
              <w:t>LK40</w:t>
            </w:r>
          </w:p>
        </w:tc>
        <w:tc>
          <w:tcPr>
            <w:tcW w:w="1802" w:type="dxa"/>
            <w:vAlign w:val="center"/>
          </w:tcPr>
          <w:p w14:paraId="49167439">
            <w:pPr>
              <w:jc w:val="center"/>
              <w:rPr>
                <w:color w:val="000000"/>
                <w:sz w:val="20"/>
                <w:szCs w:val="20"/>
              </w:rPr>
            </w:pPr>
            <w:r>
              <w:rPr>
                <w:color w:val="000000"/>
                <w:sz w:val="20"/>
                <w:szCs w:val="20"/>
              </w:rPr>
              <w:t>LK40:04</w:t>
            </w:r>
          </w:p>
        </w:tc>
        <w:tc>
          <w:tcPr>
            <w:tcW w:w="1033" w:type="dxa"/>
            <w:noWrap/>
            <w:vAlign w:val="center"/>
          </w:tcPr>
          <w:p w14:paraId="7D75944E">
            <w:pPr>
              <w:jc w:val="center"/>
              <w:rPr>
                <w:color w:val="000000"/>
                <w:sz w:val="20"/>
                <w:szCs w:val="20"/>
              </w:rPr>
            </w:pPr>
            <w:r>
              <w:rPr>
                <w:color w:val="000000"/>
                <w:sz w:val="20"/>
                <w:szCs w:val="20"/>
              </w:rPr>
              <w:t>90,00</w:t>
            </w:r>
          </w:p>
        </w:tc>
        <w:tc>
          <w:tcPr>
            <w:tcW w:w="846" w:type="dxa"/>
            <w:noWrap/>
            <w:vAlign w:val="center"/>
          </w:tcPr>
          <w:p w14:paraId="22C7803B">
            <w:pPr>
              <w:jc w:val="center"/>
              <w:rPr>
                <w:color w:val="000000"/>
                <w:sz w:val="20"/>
                <w:szCs w:val="20"/>
              </w:rPr>
            </w:pPr>
            <w:r>
              <w:rPr>
                <w:color w:val="000000"/>
                <w:sz w:val="20"/>
                <w:szCs w:val="20"/>
              </w:rPr>
              <w:t>1</w:t>
            </w:r>
          </w:p>
        </w:tc>
        <w:tc>
          <w:tcPr>
            <w:tcW w:w="2578" w:type="dxa"/>
            <w:noWrap/>
            <w:vAlign w:val="center"/>
          </w:tcPr>
          <w:p w14:paraId="5A8F0FB4">
            <w:pPr>
              <w:jc w:val="center"/>
              <w:rPr>
                <w:color w:val="000000"/>
                <w:sz w:val="20"/>
                <w:szCs w:val="20"/>
              </w:rPr>
            </w:pPr>
            <w:r>
              <w:rPr>
                <w:color w:val="000000"/>
                <w:sz w:val="20"/>
                <w:szCs w:val="20"/>
              </w:rPr>
              <w:t>Mặt cắt 3-3</w:t>
            </w:r>
          </w:p>
        </w:tc>
        <w:tc>
          <w:tcPr>
            <w:tcW w:w="2393" w:type="dxa"/>
            <w:noWrap/>
            <w:vAlign w:val="center"/>
          </w:tcPr>
          <w:p w14:paraId="3D5A560A">
            <w:pPr>
              <w:jc w:val="center"/>
              <w:rPr>
                <w:color w:val="000000"/>
                <w:sz w:val="20"/>
                <w:szCs w:val="20"/>
              </w:rPr>
            </w:pPr>
            <w:r>
              <w:rPr>
                <w:color w:val="000000"/>
                <w:sz w:val="20"/>
                <w:szCs w:val="20"/>
              </w:rPr>
              <w:t>Một mặt tiền</w:t>
            </w:r>
          </w:p>
        </w:tc>
        <w:tc>
          <w:tcPr>
            <w:tcW w:w="1198" w:type="dxa"/>
            <w:noWrap/>
            <w:vAlign w:val="center"/>
          </w:tcPr>
          <w:p w14:paraId="4DA39BD1">
            <w:pPr>
              <w:jc w:val="center"/>
              <w:rPr>
                <w:color w:val="000000"/>
                <w:sz w:val="20"/>
                <w:szCs w:val="20"/>
              </w:rPr>
            </w:pPr>
            <w:r>
              <w:rPr>
                <w:color w:val="000000"/>
                <w:sz w:val="20"/>
                <w:szCs w:val="20"/>
              </w:rPr>
              <w:t>8.000.000</w:t>
            </w:r>
          </w:p>
        </w:tc>
        <w:tc>
          <w:tcPr>
            <w:tcW w:w="1236" w:type="dxa"/>
            <w:noWrap/>
            <w:vAlign w:val="center"/>
          </w:tcPr>
          <w:p w14:paraId="189D8721">
            <w:pPr>
              <w:jc w:val="center"/>
              <w:rPr>
                <w:color w:val="000000"/>
                <w:sz w:val="20"/>
                <w:szCs w:val="20"/>
              </w:rPr>
            </w:pPr>
          </w:p>
        </w:tc>
        <w:tc>
          <w:tcPr>
            <w:tcW w:w="1252" w:type="dxa"/>
            <w:noWrap/>
            <w:vAlign w:val="center"/>
          </w:tcPr>
          <w:p w14:paraId="6E55CD89">
            <w:pPr>
              <w:jc w:val="center"/>
              <w:rPr>
                <w:color w:val="000000"/>
                <w:sz w:val="20"/>
                <w:szCs w:val="20"/>
              </w:rPr>
            </w:pPr>
            <w:r>
              <w:rPr>
                <w:color w:val="000000"/>
                <w:sz w:val="20"/>
                <w:szCs w:val="20"/>
              </w:rPr>
              <w:t>8.000.000</w:t>
            </w:r>
          </w:p>
        </w:tc>
        <w:tc>
          <w:tcPr>
            <w:tcW w:w="1848" w:type="dxa"/>
            <w:noWrap/>
            <w:vAlign w:val="center"/>
          </w:tcPr>
          <w:p w14:paraId="6CBAE4B9">
            <w:pPr>
              <w:jc w:val="center"/>
              <w:rPr>
                <w:color w:val="000000"/>
                <w:sz w:val="20"/>
                <w:szCs w:val="20"/>
              </w:rPr>
            </w:pPr>
            <w:r>
              <w:rPr>
                <w:color w:val="000000"/>
                <w:sz w:val="20"/>
                <w:szCs w:val="20"/>
              </w:rPr>
              <w:t>720.000.000</w:t>
            </w:r>
          </w:p>
        </w:tc>
      </w:tr>
      <w:tr w14:paraId="599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57AF469">
            <w:pPr>
              <w:jc w:val="center"/>
              <w:rPr>
                <w:b/>
                <w:bCs/>
                <w:color w:val="000000"/>
                <w:sz w:val="20"/>
                <w:szCs w:val="20"/>
              </w:rPr>
            </w:pPr>
            <w:r>
              <w:rPr>
                <w:b/>
                <w:bCs/>
                <w:color w:val="000000"/>
                <w:sz w:val="20"/>
                <w:szCs w:val="20"/>
              </w:rPr>
              <w:t>LK40</w:t>
            </w:r>
          </w:p>
        </w:tc>
        <w:tc>
          <w:tcPr>
            <w:tcW w:w="1802" w:type="dxa"/>
            <w:vAlign w:val="center"/>
          </w:tcPr>
          <w:p w14:paraId="08FF5FAD">
            <w:pPr>
              <w:jc w:val="center"/>
              <w:rPr>
                <w:color w:val="000000"/>
                <w:sz w:val="20"/>
                <w:szCs w:val="20"/>
              </w:rPr>
            </w:pPr>
            <w:r>
              <w:rPr>
                <w:color w:val="000000"/>
                <w:sz w:val="20"/>
                <w:szCs w:val="20"/>
              </w:rPr>
              <w:t>LK40:05</w:t>
            </w:r>
          </w:p>
        </w:tc>
        <w:tc>
          <w:tcPr>
            <w:tcW w:w="1033" w:type="dxa"/>
            <w:noWrap/>
            <w:vAlign w:val="center"/>
          </w:tcPr>
          <w:p w14:paraId="48062951">
            <w:pPr>
              <w:jc w:val="center"/>
              <w:rPr>
                <w:color w:val="000000"/>
                <w:sz w:val="20"/>
                <w:szCs w:val="20"/>
              </w:rPr>
            </w:pPr>
            <w:r>
              <w:rPr>
                <w:color w:val="000000"/>
                <w:sz w:val="20"/>
                <w:szCs w:val="20"/>
              </w:rPr>
              <w:t>90,00</w:t>
            </w:r>
          </w:p>
        </w:tc>
        <w:tc>
          <w:tcPr>
            <w:tcW w:w="846" w:type="dxa"/>
            <w:noWrap/>
            <w:vAlign w:val="center"/>
          </w:tcPr>
          <w:p w14:paraId="2F6BEE7B">
            <w:pPr>
              <w:jc w:val="center"/>
              <w:rPr>
                <w:color w:val="000000"/>
                <w:sz w:val="20"/>
                <w:szCs w:val="20"/>
              </w:rPr>
            </w:pPr>
            <w:r>
              <w:rPr>
                <w:color w:val="000000"/>
                <w:sz w:val="20"/>
                <w:szCs w:val="20"/>
              </w:rPr>
              <w:t>1</w:t>
            </w:r>
          </w:p>
        </w:tc>
        <w:tc>
          <w:tcPr>
            <w:tcW w:w="2578" w:type="dxa"/>
            <w:noWrap/>
            <w:vAlign w:val="center"/>
          </w:tcPr>
          <w:p w14:paraId="5AA8A74B">
            <w:pPr>
              <w:jc w:val="center"/>
              <w:rPr>
                <w:color w:val="000000"/>
                <w:sz w:val="20"/>
                <w:szCs w:val="20"/>
              </w:rPr>
            </w:pPr>
            <w:r>
              <w:rPr>
                <w:color w:val="000000"/>
                <w:sz w:val="20"/>
                <w:szCs w:val="20"/>
              </w:rPr>
              <w:t>Mặt cắt 3-3</w:t>
            </w:r>
          </w:p>
        </w:tc>
        <w:tc>
          <w:tcPr>
            <w:tcW w:w="2393" w:type="dxa"/>
            <w:noWrap/>
            <w:vAlign w:val="center"/>
          </w:tcPr>
          <w:p w14:paraId="1326D472">
            <w:pPr>
              <w:jc w:val="center"/>
              <w:rPr>
                <w:color w:val="000000"/>
                <w:sz w:val="20"/>
                <w:szCs w:val="20"/>
              </w:rPr>
            </w:pPr>
            <w:r>
              <w:rPr>
                <w:color w:val="000000"/>
                <w:sz w:val="20"/>
                <w:szCs w:val="20"/>
              </w:rPr>
              <w:t>Một mặt tiền</w:t>
            </w:r>
          </w:p>
        </w:tc>
        <w:tc>
          <w:tcPr>
            <w:tcW w:w="1198" w:type="dxa"/>
            <w:noWrap/>
            <w:vAlign w:val="center"/>
          </w:tcPr>
          <w:p w14:paraId="53B0D7FA">
            <w:pPr>
              <w:jc w:val="center"/>
              <w:rPr>
                <w:color w:val="000000"/>
                <w:sz w:val="20"/>
                <w:szCs w:val="20"/>
              </w:rPr>
            </w:pPr>
            <w:r>
              <w:rPr>
                <w:color w:val="000000"/>
                <w:sz w:val="20"/>
                <w:szCs w:val="20"/>
              </w:rPr>
              <w:t>8.000.000</w:t>
            </w:r>
          </w:p>
        </w:tc>
        <w:tc>
          <w:tcPr>
            <w:tcW w:w="1236" w:type="dxa"/>
            <w:noWrap/>
            <w:vAlign w:val="center"/>
          </w:tcPr>
          <w:p w14:paraId="425A855C">
            <w:pPr>
              <w:jc w:val="center"/>
              <w:rPr>
                <w:color w:val="000000"/>
                <w:sz w:val="20"/>
                <w:szCs w:val="20"/>
              </w:rPr>
            </w:pPr>
          </w:p>
        </w:tc>
        <w:tc>
          <w:tcPr>
            <w:tcW w:w="1252" w:type="dxa"/>
            <w:noWrap/>
            <w:vAlign w:val="center"/>
          </w:tcPr>
          <w:p w14:paraId="25BAF7B6">
            <w:pPr>
              <w:jc w:val="center"/>
              <w:rPr>
                <w:color w:val="000000"/>
                <w:sz w:val="20"/>
                <w:szCs w:val="20"/>
              </w:rPr>
            </w:pPr>
            <w:r>
              <w:rPr>
                <w:color w:val="000000"/>
                <w:sz w:val="20"/>
                <w:szCs w:val="20"/>
              </w:rPr>
              <w:t>8.000.000</w:t>
            </w:r>
          </w:p>
        </w:tc>
        <w:tc>
          <w:tcPr>
            <w:tcW w:w="1848" w:type="dxa"/>
            <w:noWrap/>
            <w:vAlign w:val="center"/>
          </w:tcPr>
          <w:p w14:paraId="10BDBA11">
            <w:pPr>
              <w:jc w:val="center"/>
              <w:rPr>
                <w:color w:val="000000"/>
                <w:sz w:val="20"/>
                <w:szCs w:val="20"/>
              </w:rPr>
            </w:pPr>
            <w:r>
              <w:rPr>
                <w:color w:val="000000"/>
                <w:sz w:val="20"/>
                <w:szCs w:val="20"/>
              </w:rPr>
              <w:t>720.000.000</w:t>
            </w:r>
          </w:p>
        </w:tc>
      </w:tr>
      <w:tr w14:paraId="4565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97C23D">
            <w:pPr>
              <w:jc w:val="center"/>
              <w:rPr>
                <w:b/>
                <w:bCs/>
                <w:color w:val="000000"/>
                <w:sz w:val="20"/>
                <w:szCs w:val="20"/>
              </w:rPr>
            </w:pPr>
            <w:r>
              <w:rPr>
                <w:b/>
                <w:bCs/>
                <w:color w:val="000000"/>
                <w:sz w:val="20"/>
                <w:szCs w:val="20"/>
              </w:rPr>
              <w:t>LK40</w:t>
            </w:r>
          </w:p>
        </w:tc>
        <w:tc>
          <w:tcPr>
            <w:tcW w:w="1802" w:type="dxa"/>
            <w:vAlign w:val="center"/>
          </w:tcPr>
          <w:p w14:paraId="4903615F">
            <w:pPr>
              <w:jc w:val="center"/>
              <w:rPr>
                <w:color w:val="000000"/>
                <w:sz w:val="20"/>
                <w:szCs w:val="20"/>
              </w:rPr>
            </w:pPr>
            <w:r>
              <w:rPr>
                <w:color w:val="000000"/>
                <w:sz w:val="20"/>
                <w:szCs w:val="20"/>
              </w:rPr>
              <w:t>LK40:06</w:t>
            </w:r>
          </w:p>
        </w:tc>
        <w:tc>
          <w:tcPr>
            <w:tcW w:w="1033" w:type="dxa"/>
            <w:noWrap/>
            <w:vAlign w:val="center"/>
          </w:tcPr>
          <w:p w14:paraId="21BB50BB">
            <w:pPr>
              <w:jc w:val="center"/>
              <w:rPr>
                <w:color w:val="000000"/>
                <w:sz w:val="20"/>
                <w:szCs w:val="20"/>
              </w:rPr>
            </w:pPr>
            <w:r>
              <w:rPr>
                <w:color w:val="000000"/>
                <w:sz w:val="20"/>
                <w:szCs w:val="20"/>
              </w:rPr>
              <w:t>90,00</w:t>
            </w:r>
          </w:p>
        </w:tc>
        <w:tc>
          <w:tcPr>
            <w:tcW w:w="846" w:type="dxa"/>
            <w:noWrap/>
            <w:vAlign w:val="center"/>
          </w:tcPr>
          <w:p w14:paraId="2A14D9E5">
            <w:pPr>
              <w:jc w:val="center"/>
              <w:rPr>
                <w:color w:val="000000"/>
                <w:sz w:val="20"/>
                <w:szCs w:val="20"/>
              </w:rPr>
            </w:pPr>
            <w:r>
              <w:rPr>
                <w:color w:val="000000"/>
                <w:sz w:val="20"/>
                <w:szCs w:val="20"/>
              </w:rPr>
              <w:t>1</w:t>
            </w:r>
          </w:p>
        </w:tc>
        <w:tc>
          <w:tcPr>
            <w:tcW w:w="2578" w:type="dxa"/>
            <w:noWrap/>
            <w:vAlign w:val="center"/>
          </w:tcPr>
          <w:p w14:paraId="7CF7F65C">
            <w:pPr>
              <w:jc w:val="center"/>
              <w:rPr>
                <w:color w:val="000000"/>
                <w:sz w:val="20"/>
                <w:szCs w:val="20"/>
              </w:rPr>
            </w:pPr>
            <w:r>
              <w:rPr>
                <w:color w:val="000000"/>
                <w:sz w:val="20"/>
                <w:szCs w:val="20"/>
              </w:rPr>
              <w:t>Mặt cắt 3-3</w:t>
            </w:r>
          </w:p>
        </w:tc>
        <w:tc>
          <w:tcPr>
            <w:tcW w:w="2393" w:type="dxa"/>
            <w:noWrap/>
            <w:vAlign w:val="center"/>
          </w:tcPr>
          <w:p w14:paraId="4FB33543">
            <w:pPr>
              <w:jc w:val="center"/>
              <w:rPr>
                <w:color w:val="000000"/>
                <w:sz w:val="20"/>
                <w:szCs w:val="20"/>
              </w:rPr>
            </w:pPr>
            <w:r>
              <w:rPr>
                <w:color w:val="000000"/>
                <w:sz w:val="20"/>
                <w:szCs w:val="20"/>
              </w:rPr>
              <w:t>Một mặt tiền</w:t>
            </w:r>
          </w:p>
        </w:tc>
        <w:tc>
          <w:tcPr>
            <w:tcW w:w="1198" w:type="dxa"/>
            <w:noWrap/>
            <w:vAlign w:val="center"/>
          </w:tcPr>
          <w:p w14:paraId="290F1F56">
            <w:pPr>
              <w:jc w:val="center"/>
              <w:rPr>
                <w:color w:val="000000"/>
                <w:sz w:val="20"/>
                <w:szCs w:val="20"/>
              </w:rPr>
            </w:pPr>
            <w:r>
              <w:rPr>
                <w:color w:val="000000"/>
                <w:sz w:val="20"/>
                <w:szCs w:val="20"/>
              </w:rPr>
              <w:t>8.000.000</w:t>
            </w:r>
          </w:p>
        </w:tc>
        <w:tc>
          <w:tcPr>
            <w:tcW w:w="1236" w:type="dxa"/>
            <w:noWrap/>
            <w:vAlign w:val="center"/>
          </w:tcPr>
          <w:p w14:paraId="4431F178">
            <w:pPr>
              <w:jc w:val="center"/>
              <w:rPr>
                <w:color w:val="000000"/>
                <w:sz w:val="20"/>
                <w:szCs w:val="20"/>
              </w:rPr>
            </w:pPr>
          </w:p>
        </w:tc>
        <w:tc>
          <w:tcPr>
            <w:tcW w:w="1252" w:type="dxa"/>
            <w:noWrap/>
            <w:vAlign w:val="center"/>
          </w:tcPr>
          <w:p w14:paraId="4B097085">
            <w:pPr>
              <w:jc w:val="center"/>
              <w:rPr>
                <w:color w:val="000000"/>
                <w:sz w:val="20"/>
                <w:szCs w:val="20"/>
              </w:rPr>
            </w:pPr>
            <w:r>
              <w:rPr>
                <w:color w:val="000000"/>
                <w:sz w:val="20"/>
                <w:szCs w:val="20"/>
              </w:rPr>
              <w:t>8.000.000</w:t>
            </w:r>
          </w:p>
        </w:tc>
        <w:tc>
          <w:tcPr>
            <w:tcW w:w="1848" w:type="dxa"/>
            <w:noWrap/>
            <w:vAlign w:val="center"/>
          </w:tcPr>
          <w:p w14:paraId="442E75AF">
            <w:pPr>
              <w:jc w:val="center"/>
              <w:rPr>
                <w:color w:val="000000"/>
                <w:sz w:val="20"/>
                <w:szCs w:val="20"/>
              </w:rPr>
            </w:pPr>
            <w:r>
              <w:rPr>
                <w:color w:val="000000"/>
                <w:sz w:val="20"/>
                <w:szCs w:val="20"/>
              </w:rPr>
              <w:t>720.000.000</w:t>
            </w:r>
          </w:p>
        </w:tc>
      </w:tr>
      <w:tr w14:paraId="34A3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3CAC5E3">
            <w:pPr>
              <w:jc w:val="center"/>
              <w:rPr>
                <w:b/>
                <w:bCs/>
                <w:color w:val="000000"/>
                <w:sz w:val="20"/>
                <w:szCs w:val="20"/>
              </w:rPr>
            </w:pPr>
            <w:r>
              <w:rPr>
                <w:b/>
                <w:bCs/>
                <w:color w:val="000000"/>
                <w:sz w:val="20"/>
                <w:szCs w:val="20"/>
              </w:rPr>
              <w:t>LK40</w:t>
            </w:r>
          </w:p>
        </w:tc>
        <w:tc>
          <w:tcPr>
            <w:tcW w:w="1802" w:type="dxa"/>
            <w:vAlign w:val="center"/>
          </w:tcPr>
          <w:p w14:paraId="75167DB0">
            <w:pPr>
              <w:jc w:val="center"/>
              <w:rPr>
                <w:color w:val="000000"/>
                <w:sz w:val="20"/>
                <w:szCs w:val="20"/>
              </w:rPr>
            </w:pPr>
            <w:r>
              <w:rPr>
                <w:color w:val="000000"/>
                <w:sz w:val="20"/>
                <w:szCs w:val="20"/>
              </w:rPr>
              <w:t>LK40:07</w:t>
            </w:r>
          </w:p>
        </w:tc>
        <w:tc>
          <w:tcPr>
            <w:tcW w:w="1033" w:type="dxa"/>
            <w:noWrap/>
            <w:vAlign w:val="center"/>
          </w:tcPr>
          <w:p w14:paraId="7AE0BC2D">
            <w:pPr>
              <w:jc w:val="center"/>
              <w:rPr>
                <w:color w:val="000000"/>
                <w:sz w:val="20"/>
                <w:szCs w:val="20"/>
              </w:rPr>
            </w:pPr>
            <w:r>
              <w:rPr>
                <w:color w:val="000000"/>
                <w:sz w:val="20"/>
                <w:szCs w:val="20"/>
              </w:rPr>
              <w:t>90,00</w:t>
            </w:r>
          </w:p>
        </w:tc>
        <w:tc>
          <w:tcPr>
            <w:tcW w:w="846" w:type="dxa"/>
            <w:noWrap/>
            <w:vAlign w:val="center"/>
          </w:tcPr>
          <w:p w14:paraId="1A9FF247">
            <w:pPr>
              <w:jc w:val="center"/>
              <w:rPr>
                <w:color w:val="000000"/>
                <w:sz w:val="20"/>
                <w:szCs w:val="20"/>
              </w:rPr>
            </w:pPr>
            <w:r>
              <w:rPr>
                <w:color w:val="000000"/>
                <w:sz w:val="20"/>
                <w:szCs w:val="20"/>
              </w:rPr>
              <w:t>1</w:t>
            </w:r>
          </w:p>
        </w:tc>
        <w:tc>
          <w:tcPr>
            <w:tcW w:w="2578" w:type="dxa"/>
            <w:noWrap/>
            <w:vAlign w:val="center"/>
          </w:tcPr>
          <w:p w14:paraId="051E3EE0">
            <w:pPr>
              <w:jc w:val="center"/>
              <w:rPr>
                <w:color w:val="000000"/>
                <w:sz w:val="20"/>
                <w:szCs w:val="20"/>
              </w:rPr>
            </w:pPr>
            <w:r>
              <w:rPr>
                <w:color w:val="000000"/>
                <w:sz w:val="20"/>
                <w:szCs w:val="20"/>
              </w:rPr>
              <w:t>Mặt cắt 3-3</w:t>
            </w:r>
          </w:p>
        </w:tc>
        <w:tc>
          <w:tcPr>
            <w:tcW w:w="2393" w:type="dxa"/>
            <w:noWrap/>
            <w:vAlign w:val="center"/>
          </w:tcPr>
          <w:p w14:paraId="745EC9E0">
            <w:pPr>
              <w:jc w:val="center"/>
              <w:rPr>
                <w:color w:val="000000"/>
                <w:sz w:val="20"/>
                <w:szCs w:val="20"/>
              </w:rPr>
            </w:pPr>
            <w:r>
              <w:rPr>
                <w:color w:val="000000"/>
                <w:sz w:val="20"/>
                <w:szCs w:val="20"/>
              </w:rPr>
              <w:t>Một mặt tiền</w:t>
            </w:r>
          </w:p>
        </w:tc>
        <w:tc>
          <w:tcPr>
            <w:tcW w:w="1198" w:type="dxa"/>
            <w:noWrap/>
            <w:vAlign w:val="center"/>
          </w:tcPr>
          <w:p w14:paraId="7373808C">
            <w:pPr>
              <w:jc w:val="center"/>
              <w:rPr>
                <w:color w:val="000000"/>
                <w:sz w:val="20"/>
                <w:szCs w:val="20"/>
              </w:rPr>
            </w:pPr>
            <w:r>
              <w:rPr>
                <w:color w:val="000000"/>
                <w:sz w:val="20"/>
                <w:szCs w:val="20"/>
              </w:rPr>
              <w:t>8.000.000</w:t>
            </w:r>
          </w:p>
        </w:tc>
        <w:tc>
          <w:tcPr>
            <w:tcW w:w="1236" w:type="dxa"/>
            <w:noWrap/>
            <w:vAlign w:val="center"/>
          </w:tcPr>
          <w:p w14:paraId="31176389">
            <w:pPr>
              <w:jc w:val="center"/>
              <w:rPr>
                <w:color w:val="000000"/>
                <w:sz w:val="20"/>
                <w:szCs w:val="20"/>
              </w:rPr>
            </w:pPr>
          </w:p>
        </w:tc>
        <w:tc>
          <w:tcPr>
            <w:tcW w:w="1252" w:type="dxa"/>
            <w:noWrap/>
            <w:vAlign w:val="center"/>
          </w:tcPr>
          <w:p w14:paraId="69524F2A">
            <w:pPr>
              <w:jc w:val="center"/>
              <w:rPr>
                <w:color w:val="000000"/>
                <w:sz w:val="20"/>
                <w:szCs w:val="20"/>
              </w:rPr>
            </w:pPr>
            <w:r>
              <w:rPr>
                <w:color w:val="000000"/>
                <w:sz w:val="20"/>
                <w:szCs w:val="20"/>
              </w:rPr>
              <w:t>8.000.000</w:t>
            </w:r>
          </w:p>
        </w:tc>
        <w:tc>
          <w:tcPr>
            <w:tcW w:w="1848" w:type="dxa"/>
            <w:noWrap/>
            <w:vAlign w:val="center"/>
          </w:tcPr>
          <w:p w14:paraId="15B3FAA4">
            <w:pPr>
              <w:jc w:val="center"/>
              <w:rPr>
                <w:color w:val="000000"/>
                <w:sz w:val="20"/>
                <w:szCs w:val="20"/>
              </w:rPr>
            </w:pPr>
            <w:r>
              <w:rPr>
                <w:color w:val="000000"/>
                <w:sz w:val="20"/>
                <w:szCs w:val="20"/>
              </w:rPr>
              <w:t>720.000.000</w:t>
            </w:r>
          </w:p>
        </w:tc>
      </w:tr>
      <w:tr w14:paraId="1F75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3075D18">
            <w:pPr>
              <w:jc w:val="center"/>
              <w:rPr>
                <w:b/>
                <w:bCs/>
                <w:color w:val="000000"/>
                <w:sz w:val="20"/>
                <w:szCs w:val="20"/>
              </w:rPr>
            </w:pPr>
            <w:r>
              <w:rPr>
                <w:b/>
                <w:bCs/>
                <w:color w:val="000000"/>
                <w:sz w:val="20"/>
                <w:szCs w:val="20"/>
              </w:rPr>
              <w:t>LK40</w:t>
            </w:r>
          </w:p>
        </w:tc>
        <w:tc>
          <w:tcPr>
            <w:tcW w:w="1802" w:type="dxa"/>
            <w:vAlign w:val="center"/>
          </w:tcPr>
          <w:p w14:paraId="7C8B698F">
            <w:pPr>
              <w:jc w:val="center"/>
              <w:rPr>
                <w:color w:val="000000"/>
                <w:sz w:val="20"/>
                <w:szCs w:val="20"/>
              </w:rPr>
            </w:pPr>
            <w:r>
              <w:rPr>
                <w:color w:val="000000"/>
                <w:sz w:val="20"/>
                <w:szCs w:val="20"/>
              </w:rPr>
              <w:t>LK40:08</w:t>
            </w:r>
          </w:p>
        </w:tc>
        <w:tc>
          <w:tcPr>
            <w:tcW w:w="1033" w:type="dxa"/>
            <w:noWrap/>
            <w:vAlign w:val="center"/>
          </w:tcPr>
          <w:p w14:paraId="0B5D9F4B">
            <w:pPr>
              <w:jc w:val="center"/>
              <w:rPr>
                <w:color w:val="000000"/>
                <w:sz w:val="20"/>
                <w:szCs w:val="20"/>
              </w:rPr>
            </w:pPr>
            <w:r>
              <w:rPr>
                <w:color w:val="000000"/>
                <w:sz w:val="20"/>
                <w:szCs w:val="20"/>
              </w:rPr>
              <w:t>90,00</w:t>
            </w:r>
          </w:p>
        </w:tc>
        <w:tc>
          <w:tcPr>
            <w:tcW w:w="846" w:type="dxa"/>
            <w:noWrap/>
            <w:vAlign w:val="center"/>
          </w:tcPr>
          <w:p w14:paraId="21B4BBF7">
            <w:pPr>
              <w:jc w:val="center"/>
              <w:rPr>
                <w:color w:val="000000"/>
                <w:sz w:val="20"/>
                <w:szCs w:val="20"/>
              </w:rPr>
            </w:pPr>
            <w:r>
              <w:rPr>
                <w:color w:val="000000"/>
                <w:sz w:val="20"/>
                <w:szCs w:val="20"/>
              </w:rPr>
              <w:t>1</w:t>
            </w:r>
          </w:p>
        </w:tc>
        <w:tc>
          <w:tcPr>
            <w:tcW w:w="2578" w:type="dxa"/>
            <w:noWrap/>
            <w:vAlign w:val="center"/>
          </w:tcPr>
          <w:p w14:paraId="2D9BC3A8">
            <w:pPr>
              <w:jc w:val="center"/>
              <w:rPr>
                <w:color w:val="000000"/>
                <w:sz w:val="20"/>
                <w:szCs w:val="20"/>
              </w:rPr>
            </w:pPr>
            <w:r>
              <w:rPr>
                <w:color w:val="000000"/>
                <w:sz w:val="20"/>
                <w:szCs w:val="20"/>
              </w:rPr>
              <w:t>Mặt cắt 3-3</w:t>
            </w:r>
          </w:p>
        </w:tc>
        <w:tc>
          <w:tcPr>
            <w:tcW w:w="2393" w:type="dxa"/>
            <w:noWrap/>
            <w:vAlign w:val="center"/>
          </w:tcPr>
          <w:p w14:paraId="4BADBE1A">
            <w:pPr>
              <w:jc w:val="center"/>
              <w:rPr>
                <w:color w:val="000000"/>
                <w:sz w:val="20"/>
                <w:szCs w:val="20"/>
              </w:rPr>
            </w:pPr>
            <w:r>
              <w:rPr>
                <w:color w:val="000000"/>
                <w:sz w:val="20"/>
                <w:szCs w:val="20"/>
              </w:rPr>
              <w:t>Một mặt tiền</w:t>
            </w:r>
          </w:p>
        </w:tc>
        <w:tc>
          <w:tcPr>
            <w:tcW w:w="1198" w:type="dxa"/>
            <w:noWrap/>
            <w:vAlign w:val="center"/>
          </w:tcPr>
          <w:p w14:paraId="6362BC84">
            <w:pPr>
              <w:jc w:val="center"/>
              <w:rPr>
                <w:color w:val="000000"/>
                <w:sz w:val="20"/>
                <w:szCs w:val="20"/>
              </w:rPr>
            </w:pPr>
            <w:r>
              <w:rPr>
                <w:color w:val="000000"/>
                <w:sz w:val="20"/>
                <w:szCs w:val="20"/>
              </w:rPr>
              <w:t>8.000.000</w:t>
            </w:r>
          </w:p>
        </w:tc>
        <w:tc>
          <w:tcPr>
            <w:tcW w:w="1236" w:type="dxa"/>
            <w:noWrap/>
            <w:vAlign w:val="center"/>
          </w:tcPr>
          <w:p w14:paraId="5DE70252">
            <w:pPr>
              <w:jc w:val="center"/>
              <w:rPr>
                <w:color w:val="000000"/>
                <w:sz w:val="20"/>
                <w:szCs w:val="20"/>
              </w:rPr>
            </w:pPr>
          </w:p>
        </w:tc>
        <w:tc>
          <w:tcPr>
            <w:tcW w:w="1252" w:type="dxa"/>
            <w:noWrap/>
            <w:vAlign w:val="center"/>
          </w:tcPr>
          <w:p w14:paraId="0250F2FD">
            <w:pPr>
              <w:jc w:val="center"/>
              <w:rPr>
                <w:color w:val="000000"/>
                <w:sz w:val="20"/>
                <w:szCs w:val="20"/>
              </w:rPr>
            </w:pPr>
            <w:r>
              <w:rPr>
                <w:color w:val="000000"/>
                <w:sz w:val="20"/>
                <w:szCs w:val="20"/>
              </w:rPr>
              <w:t>8.000.000</w:t>
            </w:r>
          </w:p>
        </w:tc>
        <w:tc>
          <w:tcPr>
            <w:tcW w:w="1848" w:type="dxa"/>
            <w:noWrap/>
            <w:vAlign w:val="center"/>
          </w:tcPr>
          <w:p w14:paraId="7686764D">
            <w:pPr>
              <w:jc w:val="center"/>
              <w:rPr>
                <w:color w:val="000000"/>
                <w:sz w:val="20"/>
                <w:szCs w:val="20"/>
              </w:rPr>
            </w:pPr>
            <w:r>
              <w:rPr>
                <w:color w:val="000000"/>
                <w:sz w:val="20"/>
                <w:szCs w:val="20"/>
              </w:rPr>
              <w:t>720.000.000</w:t>
            </w:r>
          </w:p>
        </w:tc>
      </w:tr>
      <w:tr w14:paraId="5D76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28FB89C">
            <w:pPr>
              <w:jc w:val="center"/>
              <w:rPr>
                <w:b/>
                <w:bCs/>
                <w:color w:val="000000"/>
                <w:sz w:val="20"/>
                <w:szCs w:val="20"/>
              </w:rPr>
            </w:pPr>
            <w:r>
              <w:rPr>
                <w:b/>
                <w:bCs/>
                <w:color w:val="000000"/>
                <w:sz w:val="20"/>
                <w:szCs w:val="20"/>
              </w:rPr>
              <w:t>LK40</w:t>
            </w:r>
          </w:p>
        </w:tc>
        <w:tc>
          <w:tcPr>
            <w:tcW w:w="1802" w:type="dxa"/>
            <w:vAlign w:val="center"/>
          </w:tcPr>
          <w:p w14:paraId="0EAA2279">
            <w:pPr>
              <w:jc w:val="center"/>
              <w:rPr>
                <w:color w:val="000000"/>
                <w:sz w:val="20"/>
                <w:szCs w:val="20"/>
              </w:rPr>
            </w:pPr>
            <w:r>
              <w:rPr>
                <w:color w:val="000000"/>
                <w:sz w:val="20"/>
                <w:szCs w:val="20"/>
              </w:rPr>
              <w:t>LK40:09</w:t>
            </w:r>
          </w:p>
        </w:tc>
        <w:tc>
          <w:tcPr>
            <w:tcW w:w="1033" w:type="dxa"/>
            <w:noWrap/>
            <w:vAlign w:val="center"/>
          </w:tcPr>
          <w:p w14:paraId="2FF941B7">
            <w:pPr>
              <w:jc w:val="center"/>
              <w:rPr>
                <w:color w:val="000000"/>
                <w:sz w:val="20"/>
                <w:szCs w:val="20"/>
              </w:rPr>
            </w:pPr>
            <w:r>
              <w:rPr>
                <w:color w:val="000000"/>
                <w:sz w:val="20"/>
                <w:szCs w:val="20"/>
              </w:rPr>
              <w:t>90,00</w:t>
            </w:r>
          </w:p>
        </w:tc>
        <w:tc>
          <w:tcPr>
            <w:tcW w:w="846" w:type="dxa"/>
            <w:noWrap/>
            <w:vAlign w:val="center"/>
          </w:tcPr>
          <w:p w14:paraId="085AE772">
            <w:pPr>
              <w:jc w:val="center"/>
              <w:rPr>
                <w:color w:val="000000"/>
                <w:sz w:val="20"/>
                <w:szCs w:val="20"/>
              </w:rPr>
            </w:pPr>
            <w:r>
              <w:rPr>
                <w:color w:val="000000"/>
                <w:sz w:val="20"/>
                <w:szCs w:val="20"/>
              </w:rPr>
              <w:t>1</w:t>
            </w:r>
          </w:p>
        </w:tc>
        <w:tc>
          <w:tcPr>
            <w:tcW w:w="2578" w:type="dxa"/>
            <w:noWrap/>
            <w:vAlign w:val="center"/>
          </w:tcPr>
          <w:p w14:paraId="226DAB5A">
            <w:pPr>
              <w:jc w:val="center"/>
              <w:rPr>
                <w:color w:val="000000"/>
                <w:sz w:val="20"/>
                <w:szCs w:val="20"/>
              </w:rPr>
            </w:pPr>
            <w:r>
              <w:rPr>
                <w:color w:val="000000"/>
                <w:sz w:val="20"/>
                <w:szCs w:val="20"/>
              </w:rPr>
              <w:t>Mặt cắt 3-3</w:t>
            </w:r>
          </w:p>
        </w:tc>
        <w:tc>
          <w:tcPr>
            <w:tcW w:w="2393" w:type="dxa"/>
            <w:noWrap/>
            <w:vAlign w:val="center"/>
          </w:tcPr>
          <w:p w14:paraId="6453523E">
            <w:pPr>
              <w:jc w:val="center"/>
              <w:rPr>
                <w:color w:val="000000"/>
                <w:sz w:val="20"/>
                <w:szCs w:val="20"/>
              </w:rPr>
            </w:pPr>
            <w:r>
              <w:rPr>
                <w:color w:val="000000"/>
                <w:sz w:val="20"/>
                <w:szCs w:val="20"/>
              </w:rPr>
              <w:t>Một mặt tiền</w:t>
            </w:r>
          </w:p>
        </w:tc>
        <w:tc>
          <w:tcPr>
            <w:tcW w:w="1198" w:type="dxa"/>
            <w:noWrap/>
            <w:vAlign w:val="center"/>
          </w:tcPr>
          <w:p w14:paraId="6B86F75A">
            <w:pPr>
              <w:jc w:val="center"/>
              <w:rPr>
                <w:color w:val="000000"/>
                <w:sz w:val="20"/>
                <w:szCs w:val="20"/>
              </w:rPr>
            </w:pPr>
            <w:r>
              <w:rPr>
                <w:color w:val="000000"/>
                <w:sz w:val="20"/>
                <w:szCs w:val="20"/>
              </w:rPr>
              <w:t>8.000.000</w:t>
            </w:r>
          </w:p>
        </w:tc>
        <w:tc>
          <w:tcPr>
            <w:tcW w:w="1236" w:type="dxa"/>
            <w:noWrap/>
            <w:vAlign w:val="center"/>
          </w:tcPr>
          <w:p w14:paraId="33CC27F0">
            <w:pPr>
              <w:jc w:val="center"/>
              <w:rPr>
                <w:color w:val="000000"/>
                <w:sz w:val="20"/>
                <w:szCs w:val="20"/>
              </w:rPr>
            </w:pPr>
          </w:p>
        </w:tc>
        <w:tc>
          <w:tcPr>
            <w:tcW w:w="1252" w:type="dxa"/>
            <w:noWrap/>
            <w:vAlign w:val="center"/>
          </w:tcPr>
          <w:p w14:paraId="3A24FFEC">
            <w:pPr>
              <w:jc w:val="center"/>
              <w:rPr>
                <w:color w:val="000000"/>
                <w:sz w:val="20"/>
                <w:szCs w:val="20"/>
              </w:rPr>
            </w:pPr>
            <w:r>
              <w:rPr>
                <w:color w:val="000000"/>
                <w:sz w:val="20"/>
                <w:szCs w:val="20"/>
              </w:rPr>
              <w:t>8.000.000</w:t>
            </w:r>
          </w:p>
        </w:tc>
        <w:tc>
          <w:tcPr>
            <w:tcW w:w="1848" w:type="dxa"/>
            <w:noWrap/>
            <w:vAlign w:val="center"/>
          </w:tcPr>
          <w:p w14:paraId="387AE37E">
            <w:pPr>
              <w:jc w:val="center"/>
              <w:rPr>
                <w:color w:val="000000"/>
                <w:sz w:val="20"/>
                <w:szCs w:val="20"/>
              </w:rPr>
            </w:pPr>
            <w:r>
              <w:rPr>
                <w:color w:val="000000"/>
                <w:sz w:val="20"/>
                <w:szCs w:val="20"/>
              </w:rPr>
              <w:t>720.000.000</w:t>
            </w:r>
          </w:p>
        </w:tc>
      </w:tr>
      <w:tr w14:paraId="389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710EA49">
            <w:pPr>
              <w:jc w:val="center"/>
              <w:rPr>
                <w:b/>
                <w:bCs/>
                <w:color w:val="000000"/>
                <w:sz w:val="20"/>
                <w:szCs w:val="20"/>
              </w:rPr>
            </w:pPr>
            <w:r>
              <w:rPr>
                <w:b/>
                <w:bCs/>
                <w:color w:val="000000"/>
                <w:sz w:val="20"/>
                <w:szCs w:val="20"/>
              </w:rPr>
              <w:t>LK40</w:t>
            </w:r>
          </w:p>
        </w:tc>
        <w:tc>
          <w:tcPr>
            <w:tcW w:w="1802" w:type="dxa"/>
            <w:vAlign w:val="center"/>
          </w:tcPr>
          <w:p w14:paraId="7EF8A099">
            <w:pPr>
              <w:jc w:val="center"/>
              <w:rPr>
                <w:color w:val="000000"/>
                <w:sz w:val="20"/>
                <w:szCs w:val="20"/>
              </w:rPr>
            </w:pPr>
            <w:r>
              <w:rPr>
                <w:color w:val="000000"/>
                <w:sz w:val="20"/>
                <w:szCs w:val="20"/>
              </w:rPr>
              <w:t>LK40:10</w:t>
            </w:r>
          </w:p>
        </w:tc>
        <w:tc>
          <w:tcPr>
            <w:tcW w:w="1033" w:type="dxa"/>
            <w:noWrap/>
            <w:vAlign w:val="center"/>
          </w:tcPr>
          <w:p w14:paraId="2336029F">
            <w:pPr>
              <w:jc w:val="center"/>
              <w:rPr>
                <w:color w:val="000000"/>
                <w:sz w:val="20"/>
                <w:szCs w:val="20"/>
              </w:rPr>
            </w:pPr>
            <w:r>
              <w:rPr>
                <w:color w:val="000000"/>
                <w:sz w:val="20"/>
                <w:szCs w:val="20"/>
              </w:rPr>
              <w:t>90,00</w:t>
            </w:r>
          </w:p>
        </w:tc>
        <w:tc>
          <w:tcPr>
            <w:tcW w:w="846" w:type="dxa"/>
            <w:noWrap/>
            <w:vAlign w:val="center"/>
          </w:tcPr>
          <w:p w14:paraId="6A0F5D1C">
            <w:pPr>
              <w:jc w:val="center"/>
              <w:rPr>
                <w:color w:val="000000"/>
                <w:sz w:val="20"/>
                <w:szCs w:val="20"/>
              </w:rPr>
            </w:pPr>
            <w:r>
              <w:rPr>
                <w:color w:val="000000"/>
                <w:sz w:val="20"/>
                <w:szCs w:val="20"/>
              </w:rPr>
              <w:t>1</w:t>
            </w:r>
          </w:p>
        </w:tc>
        <w:tc>
          <w:tcPr>
            <w:tcW w:w="2578" w:type="dxa"/>
            <w:noWrap/>
            <w:vAlign w:val="center"/>
          </w:tcPr>
          <w:p w14:paraId="6A73E2B8">
            <w:pPr>
              <w:jc w:val="center"/>
              <w:rPr>
                <w:color w:val="000000"/>
                <w:sz w:val="20"/>
                <w:szCs w:val="20"/>
              </w:rPr>
            </w:pPr>
            <w:r>
              <w:rPr>
                <w:color w:val="000000"/>
                <w:sz w:val="20"/>
                <w:szCs w:val="20"/>
              </w:rPr>
              <w:t>Mặt cắt 3-3</w:t>
            </w:r>
          </w:p>
        </w:tc>
        <w:tc>
          <w:tcPr>
            <w:tcW w:w="2393" w:type="dxa"/>
            <w:noWrap/>
            <w:vAlign w:val="center"/>
          </w:tcPr>
          <w:p w14:paraId="7ACDAE17">
            <w:pPr>
              <w:jc w:val="center"/>
              <w:rPr>
                <w:color w:val="000000"/>
                <w:sz w:val="20"/>
                <w:szCs w:val="20"/>
              </w:rPr>
            </w:pPr>
            <w:r>
              <w:rPr>
                <w:color w:val="000000"/>
                <w:sz w:val="20"/>
                <w:szCs w:val="20"/>
              </w:rPr>
              <w:t>Một mặt tiền</w:t>
            </w:r>
          </w:p>
        </w:tc>
        <w:tc>
          <w:tcPr>
            <w:tcW w:w="1198" w:type="dxa"/>
            <w:noWrap/>
            <w:vAlign w:val="center"/>
          </w:tcPr>
          <w:p w14:paraId="3F9CB539">
            <w:pPr>
              <w:jc w:val="center"/>
              <w:rPr>
                <w:color w:val="000000"/>
                <w:sz w:val="20"/>
                <w:szCs w:val="20"/>
              </w:rPr>
            </w:pPr>
            <w:r>
              <w:rPr>
                <w:color w:val="000000"/>
                <w:sz w:val="20"/>
                <w:szCs w:val="20"/>
              </w:rPr>
              <w:t>8.000.000</w:t>
            </w:r>
          </w:p>
        </w:tc>
        <w:tc>
          <w:tcPr>
            <w:tcW w:w="1236" w:type="dxa"/>
            <w:noWrap/>
            <w:vAlign w:val="center"/>
          </w:tcPr>
          <w:p w14:paraId="79E111C3">
            <w:pPr>
              <w:jc w:val="center"/>
              <w:rPr>
                <w:color w:val="000000"/>
                <w:sz w:val="20"/>
                <w:szCs w:val="20"/>
              </w:rPr>
            </w:pPr>
          </w:p>
        </w:tc>
        <w:tc>
          <w:tcPr>
            <w:tcW w:w="1252" w:type="dxa"/>
            <w:noWrap/>
            <w:vAlign w:val="center"/>
          </w:tcPr>
          <w:p w14:paraId="4A735FAC">
            <w:pPr>
              <w:jc w:val="center"/>
              <w:rPr>
                <w:color w:val="000000"/>
                <w:sz w:val="20"/>
                <w:szCs w:val="20"/>
              </w:rPr>
            </w:pPr>
            <w:r>
              <w:rPr>
                <w:color w:val="000000"/>
                <w:sz w:val="20"/>
                <w:szCs w:val="20"/>
              </w:rPr>
              <w:t>8.000.000</w:t>
            </w:r>
          </w:p>
        </w:tc>
        <w:tc>
          <w:tcPr>
            <w:tcW w:w="1848" w:type="dxa"/>
            <w:noWrap/>
            <w:vAlign w:val="center"/>
          </w:tcPr>
          <w:p w14:paraId="472A30CF">
            <w:pPr>
              <w:jc w:val="center"/>
              <w:rPr>
                <w:color w:val="000000"/>
                <w:sz w:val="20"/>
                <w:szCs w:val="20"/>
              </w:rPr>
            </w:pPr>
            <w:r>
              <w:rPr>
                <w:color w:val="000000"/>
                <w:sz w:val="20"/>
                <w:szCs w:val="20"/>
              </w:rPr>
              <w:t>720.000.000</w:t>
            </w:r>
          </w:p>
        </w:tc>
      </w:tr>
      <w:tr w14:paraId="6239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6E045C">
            <w:pPr>
              <w:jc w:val="center"/>
              <w:rPr>
                <w:b/>
                <w:bCs/>
                <w:color w:val="000000"/>
                <w:sz w:val="20"/>
                <w:szCs w:val="20"/>
              </w:rPr>
            </w:pPr>
            <w:r>
              <w:rPr>
                <w:b/>
                <w:bCs/>
                <w:color w:val="000000"/>
                <w:sz w:val="20"/>
                <w:szCs w:val="20"/>
              </w:rPr>
              <w:t>LK42</w:t>
            </w:r>
          </w:p>
        </w:tc>
        <w:tc>
          <w:tcPr>
            <w:tcW w:w="1802" w:type="dxa"/>
            <w:vAlign w:val="center"/>
          </w:tcPr>
          <w:p w14:paraId="78AA28B7">
            <w:pPr>
              <w:jc w:val="center"/>
              <w:rPr>
                <w:color w:val="000000"/>
                <w:sz w:val="20"/>
                <w:szCs w:val="20"/>
              </w:rPr>
            </w:pPr>
            <w:r>
              <w:rPr>
                <w:color w:val="000000"/>
                <w:sz w:val="20"/>
                <w:szCs w:val="20"/>
              </w:rPr>
              <w:t>LK42:01</w:t>
            </w:r>
          </w:p>
        </w:tc>
        <w:tc>
          <w:tcPr>
            <w:tcW w:w="1033" w:type="dxa"/>
            <w:noWrap/>
            <w:vAlign w:val="center"/>
          </w:tcPr>
          <w:p w14:paraId="32E8F8E1">
            <w:pPr>
              <w:jc w:val="center"/>
              <w:rPr>
                <w:color w:val="000000"/>
                <w:sz w:val="20"/>
                <w:szCs w:val="20"/>
              </w:rPr>
            </w:pPr>
            <w:r>
              <w:rPr>
                <w:color w:val="000000"/>
                <w:sz w:val="20"/>
                <w:szCs w:val="20"/>
              </w:rPr>
              <w:t>90,00</w:t>
            </w:r>
          </w:p>
        </w:tc>
        <w:tc>
          <w:tcPr>
            <w:tcW w:w="846" w:type="dxa"/>
            <w:noWrap/>
            <w:vAlign w:val="center"/>
          </w:tcPr>
          <w:p w14:paraId="2EA0A815">
            <w:pPr>
              <w:jc w:val="center"/>
              <w:rPr>
                <w:color w:val="000000"/>
                <w:sz w:val="20"/>
                <w:szCs w:val="20"/>
              </w:rPr>
            </w:pPr>
            <w:r>
              <w:rPr>
                <w:color w:val="000000"/>
                <w:sz w:val="20"/>
                <w:szCs w:val="20"/>
              </w:rPr>
              <w:t>1</w:t>
            </w:r>
          </w:p>
        </w:tc>
        <w:tc>
          <w:tcPr>
            <w:tcW w:w="2578" w:type="dxa"/>
            <w:noWrap/>
            <w:vAlign w:val="center"/>
          </w:tcPr>
          <w:p w14:paraId="645CE706">
            <w:pPr>
              <w:jc w:val="center"/>
              <w:rPr>
                <w:color w:val="000000"/>
                <w:sz w:val="20"/>
                <w:szCs w:val="20"/>
              </w:rPr>
            </w:pPr>
            <w:r>
              <w:rPr>
                <w:color w:val="000000"/>
                <w:sz w:val="20"/>
                <w:szCs w:val="20"/>
              </w:rPr>
              <w:t>Mặt cắt 3-3</w:t>
            </w:r>
          </w:p>
        </w:tc>
        <w:tc>
          <w:tcPr>
            <w:tcW w:w="2393" w:type="dxa"/>
            <w:noWrap/>
            <w:vAlign w:val="center"/>
          </w:tcPr>
          <w:p w14:paraId="5B17B043">
            <w:pPr>
              <w:jc w:val="center"/>
              <w:rPr>
                <w:color w:val="000000"/>
                <w:sz w:val="20"/>
                <w:szCs w:val="20"/>
              </w:rPr>
            </w:pPr>
            <w:r>
              <w:rPr>
                <w:color w:val="000000"/>
                <w:sz w:val="20"/>
                <w:szCs w:val="20"/>
              </w:rPr>
              <w:t>Một mặt tiền</w:t>
            </w:r>
          </w:p>
        </w:tc>
        <w:tc>
          <w:tcPr>
            <w:tcW w:w="1198" w:type="dxa"/>
            <w:noWrap/>
            <w:vAlign w:val="center"/>
          </w:tcPr>
          <w:p w14:paraId="36D1E770">
            <w:pPr>
              <w:jc w:val="center"/>
              <w:rPr>
                <w:color w:val="000000"/>
                <w:sz w:val="20"/>
                <w:szCs w:val="20"/>
              </w:rPr>
            </w:pPr>
            <w:r>
              <w:rPr>
                <w:color w:val="000000"/>
                <w:sz w:val="20"/>
                <w:szCs w:val="20"/>
              </w:rPr>
              <w:t>8.000.000</w:t>
            </w:r>
          </w:p>
        </w:tc>
        <w:tc>
          <w:tcPr>
            <w:tcW w:w="1236" w:type="dxa"/>
            <w:noWrap/>
            <w:vAlign w:val="center"/>
          </w:tcPr>
          <w:p w14:paraId="2DA87926">
            <w:pPr>
              <w:jc w:val="center"/>
              <w:rPr>
                <w:color w:val="000000"/>
                <w:sz w:val="20"/>
                <w:szCs w:val="20"/>
              </w:rPr>
            </w:pPr>
          </w:p>
        </w:tc>
        <w:tc>
          <w:tcPr>
            <w:tcW w:w="1252" w:type="dxa"/>
            <w:noWrap/>
            <w:vAlign w:val="center"/>
          </w:tcPr>
          <w:p w14:paraId="333C68E4">
            <w:pPr>
              <w:jc w:val="center"/>
              <w:rPr>
                <w:color w:val="000000"/>
                <w:sz w:val="20"/>
                <w:szCs w:val="20"/>
              </w:rPr>
            </w:pPr>
            <w:r>
              <w:rPr>
                <w:color w:val="000000"/>
                <w:sz w:val="20"/>
                <w:szCs w:val="20"/>
              </w:rPr>
              <w:t>8.000.000</w:t>
            </w:r>
          </w:p>
        </w:tc>
        <w:tc>
          <w:tcPr>
            <w:tcW w:w="1848" w:type="dxa"/>
            <w:noWrap/>
            <w:vAlign w:val="center"/>
          </w:tcPr>
          <w:p w14:paraId="2F90D49C">
            <w:pPr>
              <w:jc w:val="center"/>
              <w:rPr>
                <w:color w:val="000000"/>
                <w:sz w:val="20"/>
                <w:szCs w:val="20"/>
              </w:rPr>
            </w:pPr>
            <w:r>
              <w:rPr>
                <w:color w:val="000000"/>
                <w:sz w:val="20"/>
                <w:szCs w:val="20"/>
              </w:rPr>
              <w:t>720.000.000</w:t>
            </w:r>
          </w:p>
        </w:tc>
      </w:tr>
      <w:tr w14:paraId="5E15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95C568C">
            <w:pPr>
              <w:jc w:val="center"/>
              <w:rPr>
                <w:b/>
                <w:bCs/>
                <w:color w:val="000000"/>
                <w:sz w:val="20"/>
                <w:szCs w:val="20"/>
              </w:rPr>
            </w:pPr>
            <w:r>
              <w:rPr>
                <w:b/>
                <w:bCs/>
                <w:color w:val="000000"/>
                <w:sz w:val="20"/>
                <w:szCs w:val="20"/>
              </w:rPr>
              <w:t>LK42</w:t>
            </w:r>
          </w:p>
        </w:tc>
        <w:tc>
          <w:tcPr>
            <w:tcW w:w="1802" w:type="dxa"/>
            <w:vAlign w:val="center"/>
          </w:tcPr>
          <w:p w14:paraId="7671086E">
            <w:pPr>
              <w:jc w:val="center"/>
              <w:rPr>
                <w:color w:val="000000"/>
                <w:sz w:val="20"/>
                <w:szCs w:val="20"/>
              </w:rPr>
            </w:pPr>
            <w:r>
              <w:rPr>
                <w:color w:val="000000"/>
                <w:sz w:val="20"/>
                <w:szCs w:val="20"/>
              </w:rPr>
              <w:t>LK42:02</w:t>
            </w:r>
          </w:p>
        </w:tc>
        <w:tc>
          <w:tcPr>
            <w:tcW w:w="1033" w:type="dxa"/>
            <w:noWrap/>
            <w:vAlign w:val="center"/>
          </w:tcPr>
          <w:p w14:paraId="695D606A">
            <w:pPr>
              <w:jc w:val="center"/>
              <w:rPr>
                <w:color w:val="000000"/>
                <w:sz w:val="20"/>
                <w:szCs w:val="20"/>
              </w:rPr>
            </w:pPr>
            <w:r>
              <w:rPr>
                <w:color w:val="000000"/>
                <w:sz w:val="20"/>
                <w:szCs w:val="20"/>
              </w:rPr>
              <w:t>90,00</w:t>
            </w:r>
          </w:p>
        </w:tc>
        <w:tc>
          <w:tcPr>
            <w:tcW w:w="846" w:type="dxa"/>
            <w:noWrap/>
            <w:vAlign w:val="center"/>
          </w:tcPr>
          <w:p w14:paraId="3E48B779">
            <w:pPr>
              <w:jc w:val="center"/>
              <w:rPr>
                <w:color w:val="000000"/>
                <w:sz w:val="20"/>
                <w:szCs w:val="20"/>
              </w:rPr>
            </w:pPr>
            <w:r>
              <w:rPr>
                <w:color w:val="000000"/>
                <w:sz w:val="20"/>
                <w:szCs w:val="20"/>
              </w:rPr>
              <w:t>1</w:t>
            </w:r>
          </w:p>
        </w:tc>
        <w:tc>
          <w:tcPr>
            <w:tcW w:w="2578" w:type="dxa"/>
            <w:noWrap/>
            <w:vAlign w:val="center"/>
          </w:tcPr>
          <w:p w14:paraId="06B36531">
            <w:pPr>
              <w:jc w:val="center"/>
              <w:rPr>
                <w:color w:val="000000"/>
                <w:sz w:val="20"/>
                <w:szCs w:val="20"/>
              </w:rPr>
            </w:pPr>
            <w:r>
              <w:rPr>
                <w:color w:val="000000"/>
                <w:sz w:val="20"/>
                <w:szCs w:val="20"/>
              </w:rPr>
              <w:t>Mặt cắt 3-3</w:t>
            </w:r>
          </w:p>
        </w:tc>
        <w:tc>
          <w:tcPr>
            <w:tcW w:w="2393" w:type="dxa"/>
            <w:noWrap/>
            <w:vAlign w:val="center"/>
          </w:tcPr>
          <w:p w14:paraId="2B3DC02D">
            <w:pPr>
              <w:jc w:val="center"/>
              <w:rPr>
                <w:color w:val="000000"/>
                <w:sz w:val="20"/>
                <w:szCs w:val="20"/>
              </w:rPr>
            </w:pPr>
            <w:r>
              <w:rPr>
                <w:color w:val="000000"/>
                <w:sz w:val="20"/>
                <w:szCs w:val="20"/>
              </w:rPr>
              <w:t>Một mặt tiền</w:t>
            </w:r>
          </w:p>
        </w:tc>
        <w:tc>
          <w:tcPr>
            <w:tcW w:w="1198" w:type="dxa"/>
            <w:noWrap/>
            <w:vAlign w:val="center"/>
          </w:tcPr>
          <w:p w14:paraId="7B023ABD">
            <w:pPr>
              <w:jc w:val="center"/>
              <w:rPr>
                <w:color w:val="000000"/>
                <w:sz w:val="20"/>
                <w:szCs w:val="20"/>
              </w:rPr>
            </w:pPr>
            <w:r>
              <w:rPr>
                <w:color w:val="000000"/>
                <w:sz w:val="20"/>
                <w:szCs w:val="20"/>
              </w:rPr>
              <w:t>8.000.000</w:t>
            </w:r>
          </w:p>
        </w:tc>
        <w:tc>
          <w:tcPr>
            <w:tcW w:w="1236" w:type="dxa"/>
            <w:noWrap/>
            <w:vAlign w:val="center"/>
          </w:tcPr>
          <w:p w14:paraId="1F944DF0">
            <w:pPr>
              <w:jc w:val="center"/>
              <w:rPr>
                <w:color w:val="000000"/>
                <w:sz w:val="20"/>
                <w:szCs w:val="20"/>
              </w:rPr>
            </w:pPr>
          </w:p>
        </w:tc>
        <w:tc>
          <w:tcPr>
            <w:tcW w:w="1252" w:type="dxa"/>
            <w:noWrap/>
            <w:vAlign w:val="center"/>
          </w:tcPr>
          <w:p w14:paraId="177EAB9C">
            <w:pPr>
              <w:jc w:val="center"/>
              <w:rPr>
                <w:color w:val="000000"/>
                <w:sz w:val="20"/>
                <w:szCs w:val="20"/>
              </w:rPr>
            </w:pPr>
            <w:r>
              <w:rPr>
                <w:color w:val="000000"/>
                <w:sz w:val="20"/>
                <w:szCs w:val="20"/>
              </w:rPr>
              <w:t>8.000.000</w:t>
            </w:r>
          </w:p>
        </w:tc>
        <w:tc>
          <w:tcPr>
            <w:tcW w:w="1848" w:type="dxa"/>
            <w:noWrap/>
            <w:vAlign w:val="center"/>
          </w:tcPr>
          <w:p w14:paraId="718A34B8">
            <w:pPr>
              <w:jc w:val="center"/>
              <w:rPr>
                <w:color w:val="000000"/>
                <w:sz w:val="20"/>
                <w:szCs w:val="20"/>
              </w:rPr>
            </w:pPr>
            <w:r>
              <w:rPr>
                <w:color w:val="000000"/>
                <w:sz w:val="20"/>
                <w:szCs w:val="20"/>
              </w:rPr>
              <w:t>720.000.000</w:t>
            </w:r>
          </w:p>
        </w:tc>
      </w:tr>
      <w:tr w14:paraId="3825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63A737C">
            <w:pPr>
              <w:jc w:val="center"/>
              <w:rPr>
                <w:b/>
                <w:bCs/>
                <w:color w:val="000000"/>
                <w:sz w:val="20"/>
                <w:szCs w:val="20"/>
              </w:rPr>
            </w:pPr>
            <w:r>
              <w:rPr>
                <w:b/>
                <w:bCs/>
                <w:color w:val="000000"/>
                <w:sz w:val="20"/>
                <w:szCs w:val="20"/>
              </w:rPr>
              <w:t>LK42</w:t>
            </w:r>
          </w:p>
        </w:tc>
        <w:tc>
          <w:tcPr>
            <w:tcW w:w="1802" w:type="dxa"/>
            <w:vAlign w:val="center"/>
          </w:tcPr>
          <w:p w14:paraId="3B6D5F79">
            <w:pPr>
              <w:jc w:val="center"/>
              <w:rPr>
                <w:color w:val="000000"/>
                <w:sz w:val="20"/>
                <w:szCs w:val="20"/>
              </w:rPr>
            </w:pPr>
            <w:r>
              <w:rPr>
                <w:color w:val="000000"/>
                <w:sz w:val="20"/>
                <w:szCs w:val="20"/>
              </w:rPr>
              <w:t>LK42:03</w:t>
            </w:r>
          </w:p>
        </w:tc>
        <w:tc>
          <w:tcPr>
            <w:tcW w:w="1033" w:type="dxa"/>
            <w:noWrap/>
            <w:vAlign w:val="center"/>
          </w:tcPr>
          <w:p w14:paraId="6DF46F82">
            <w:pPr>
              <w:jc w:val="center"/>
              <w:rPr>
                <w:color w:val="000000"/>
                <w:sz w:val="20"/>
                <w:szCs w:val="20"/>
              </w:rPr>
            </w:pPr>
            <w:r>
              <w:rPr>
                <w:color w:val="000000"/>
                <w:sz w:val="20"/>
                <w:szCs w:val="20"/>
              </w:rPr>
              <w:t>90,00</w:t>
            </w:r>
          </w:p>
        </w:tc>
        <w:tc>
          <w:tcPr>
            <w:tcW w:w="846" w:type="dxa"/>
            <w:noWrap/>
            <w:vAlign w:val="center"/>
          </w:tcPr>
          <w:p w14:paraId="5566C42A">
            <w:pPr>
              <w:jc w:val="center"/>
              <w:rPr>
                <w:color w:val="000000"/>
                <w:sz w:val="20"/>
                <w:szCs w:val="20"/>
              </w:rPr>
            </w:pPr>
            <w:r>
              <w:rPr>
                <w:color w:val="000000"/>
                <w:sz w:val="20"/>
                <w:szCs w:val="20"/>
              </w:rPr>
              <w:t>1</w:t>
            </w:r>
          </w:p>
        </w:tc>
        <w:tc>
          <w:tcPr>
            <w:tcW w:w="2578" w:type="dxa"/>
            <w:noWrap/>
            <w:vAlign w:val="center"/>
          </w:tcPr>
          <w:p w14:paraId="62805580">
            <w:pPr>
              <w:jc w:val="center"/>
              <w:rPr>
                <w:color w:val="000000"/>
                <w:sz w:val="20"/>
                <w:szCs w:val="20"/>
              </w:rPr>
            </w:pPr>
            <w:r>
              <w:rPr>
                <w:color w:val="000000"/>
                <w:sz w:val="20"/>
                <w:szCs w:val="20"/>
              </w:rPr>
              <w:t>Mặt cắt 3-3</w:t>
            </w:r>
          </w:p>
        </w:tc>
        <w:tc>
          <w:tcPr>
            <w:tcW w:w="2393" w:type="dxa"/>
            <w:noWrap/>
            <w:vAlign w:val="center"/>
          </w:tcPr>
          <w:p w14:paraId="705CEBF5">
            <w:pPr>
              <w:jc w:val="center"/>
              <w:rPr>
                <w:color w:val="000000"/>
                <w:sz w:val="20"/>
                <w:szCs w:val="20"/>
              </w:rPr>
            </w:pPr>
            <w:r>
              <w:rPr>
                <w:color w:val="000000"/>
                <w:sz w:val="20"/>
                <w:szCs w:val="20"/>
              </w:rPr>
              <w:t>Một mặt tiền</w:t>
            </w:r>
          </w:p>
        </w:tc>
        <w:tc>
          <w:tcPr>
            <w:tcW w:w="1198" w:type="dxa"/>
            <w:noWrap/>
            <w:vAlign w:val="center"/>
          </w:tcPr>
          <w:p w14:paraId="37D51BC0">
            <w:pPr>
              <w:jc w:val="center"/>
              <w:rPr>
                <w:color w:val="000000"/>
                <w:sz w:val="20"/>
                <w:szCs w:val="20"/>
              </w:rPr>
            </w:pPr>
            <w:r>
              <w:rPr>
                <w:color w:val="000000"/>
                <w:sz w:val="20"/>
                <w:szCs w:val="20"/>
              </w:rPr>
              <w:t>8.000.000</w:t>
            </w:r>
          </w:p>
        </w:tc>
        <w:tc>
          <w:tcPr>
            <w:tcW w:w="1236" w:type="dxa"/>
            <w:noWrap/>
            <w:vAlign w:val="center"/>
          </w:tcPr>
          <w:p w14:paraId="0596776F">
            <w:pPr>
              <w:jc w:val="center"/>
              <w:rPr>
                <w:color w:val="000000"/>
                <w:sz w:val="20"/>
                <w:szCs w:val="20"/>
              </w:rPr>
            </w:pPr>
          </w:p>
        </w:tc>
        <w:tc>
          <w:tcPr>
            <w:tcW w:w="1252" w:type="dxa"/>
            <w:noWrap/>
            <w:vAlign w:val="center"/>
          </w:tcPr>
          <w:p w14:paraId="78709944">
            <w:pPr>
              <w:jc w:val="center"/>
              <w:rPr>
                <w:color w:val="000000"/>
                <w:sz w:val="20"/>
                <w:szCs w:val="20"/>
              </w:rPr>
            </w:pPr>
            <w:r>
              <w:rPr>
                <w:color w:val="000000"/>
                <w:sz w:val="20"/>
                <w:szCs w:val="20"/>
              </w:rPr>
              <w:t>8.000.000</w:t>
            </w:r>
          </w:p>
        </w:tc>
        <w:tc>
          <w:tcPr>
            <w:tcW w:w="1848" w:type="dxa"/>
            <w:noWrap/>
            <w:vAlign w:val="center"/>
          </w:tcPr>
          <w:p w14:paraId="12B4AB89">
            <w:pPr>
              <w:jc w:val="center"/>
              <w:rPr>
                <w:color w:val="000000"/>
                <w:sz w:val="20"/>
                <w:szCs w:val="20"/>
              </w:rPr>
            </w:pPr>
            <w:r>
              <w:rPr>
                <w:color w:val="000000"/>
                <w:sz w:val="20"/>
                <w:szCs w:val="20"/>
              </w:rPr>
              <w:t>720.000.000</w:t>
            </w:r>
          </w:p>
        </w:tc>
      </w:tr>
      <w:tr w14:paraId="500B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B297E64">
            <w:pPr>
              <w:jc w:val="center"/>
              <w:rPr>
                <w:b/>
                <w:bCs/>
                <w:color w:val="000000"/>
                <w:sz w:val="20"/>
                <w:szCs w:val="20"/>
              </w:rPr>
            </w:pPr>
            <w:r>
              <w:rPr>
                <w:b/>
                <w:bCs/>
                <w:color w:val="000000"/>
                <w:sz w:val="20"/>
                <w:szCs w:val="20"/>
              </w:rPr>
              <w:t>LK42</w:t>
            </w:r>
          </w:p>
        </w:tc>
        <w:tc>
          <w:tcPr>
            <w:tcW w:w="1802" w:type="dxa"/>
            <w:vAlign w:val="center"/>
          </w:tcPr>
          <w:p w14:paraId="51E27BA6">
            <w:pPr>
              <w:jc w:val="center"/>
              <w:rPr>
                <w:color w:val="000000"/>
                <w:sz w:val="20"/>
                <w:szCs w:val="20"/>
              </w:rPr>
            </w:pPr>
            <w:r>
              <w:rPr>
                <w:color w:val="000000"/>
                <w:sz w:val="20"/>
                <w:szCs w:val="20"/>
              </w:rPr>
              <w:t>LK42:04</w:t>
            </w:r>
          </w:p>
        </w:tc>
        <w:tc>
          <w:tcPr>
            <w:tcW w:w="1033" w:type="dxa"/>
            <w:noWrap/>
            <w:vAlign w:val="center"/>
          </w:tcPr>
          <w:p w14:paraId="78AE676B">
            <w:pPr>
              <w:jc w:val="center"/>
              <w:rPr>
                <w:color w:val="000000"/>
                <w:sz w:val="20"/>
                <w:szCs w:val="20"/>
              </w:rPr>
            </w:pPr>
            <w:r>
              <w:rPr>
                <w:color w:val="000000"/>
                <w:sz w:val="20"/>
                <w:szCs w:val="20"/>
              </w:rPr>
              <w:t>90,00</w:t>
            </w:r>
          </w:p>
        </w:tc>
        <w:tc>
          <w:tcPr>
            <w:tcW w:w="846" w:type="dxa"/>
            <w:noWrap/>
            <w:vAlign w:val="center"/>
          </w:tcPr>
          <w:p w14:paraId="55C26516">
            <w:pPr>
              <w:jc w:val="center"/>
              <w:rPr>
                <w:color w:val="000000"/>
                <w:sz w:val="20"/>
                <w:szCs w:val="20"/>
              </w:rPr>
            </w:pPr>
            <w:r>
              <w:rPr>
                <w:color w:val="000000"/>
                <w:sz w:val="20"/>
                <w:szCs w:val="20"/>
              </w:rPr>
              <w:t>1</w:t>
            </w:r>
          </w:p>
        </w:tc>
        <w:tc>
          <w:tcPr>
            <w:tcW w:w="2578" w:type="dxa"/>
            <w:noWrap/>
            <w:vAlign w:val="center"/>
          </w:tcPr>
          <w:p w14:paraId="1DACE884">
            <w:pPr>
              <w:jc w:val="center"/>
              <w:rPr>
                <w:color w:val="000000"/>
                <w:sz w:val="20"/>
                <w:szCs w:val="20"/>
              </w:rPr>
            </w:pPr>
            <w:r>
              <w:rPr>
                <w:color w:val="000000"/>
                <w:sz w:val="20"/>
                <w:szCs w:val="20"/>
              </w:rPr>
              <w:t>Mặt cắt 3-3</w:t>
            </w:r>
          </w:p>
        </w:tc>
        <w:tc>
          <w:tcPr>
            <w:tcW w:w="2393" w:type="dxa"/>
            <w:noWrap/>
            <w:vAlign w:val="center"/>
          </w:tcPr>
          <w:p w14:paraId="0D60DC89">
            <w:pPr>
              <w:jc w:val="center"/>
              <w:rPr>
                <w:color w:val="000000"/>
                <w:sz w:val="20"/>
                <w:szCs w:val="20"/>
              </w:rPr>
            </w:pPr>
            <w:r>
              <w:rPr>
                <w:color w:val="000000"/>
                <w:sz w:val="20"/>
                <w:szCs w:val="20"/>
              </w:rPr>
              <w:t>Một mặt tiền</w:t>
            </w:r>
          </w:p>
        </w:tc>
        <w:tc>
          <w:tcPr>
            <w:tcW w:w="1198" w:type="dxa"/>
            <w:noWrap/>
            <w:vAlign w:val="center"/>
          </w:tcPr>
          <w:p w14:paraId="57F9194F">
            <w:pPr>
              <w:jc w:val="center"/>
              <w:rPr>
                <w:color w:val="000000"/>
                <w:sz w:val="20"/>
                <w:szCs w:val="20"/>
              </w:rPr>
            </w:pPr>
            <w:r>
              <w:rPr>
                <w:color w:val="000000"/>
                <w:sz w:val="20"/>
                <w:szCs w:val="20"/>
              </w:rPr>
              <w:t>8.000.000</w:t>
            </w:r>
          </w:p>
        </w:tc>
        <w:tc>
          <w:tcPr>
            <w:tcW w:w="1236" w:type="dxa"/>
            <w:noWrap/>
            <w:vAlign w:val="center"/>
          </w:tcPr>
          <w:p w14:paraId="0A4CC59E">
            <w:pPr>
              <w:jc w:val="center"/>
              <w:rPr>
                <w:color w:val="000000"/>
                <w:sz w:val="20"/>
                <w:szCs w:val="20"/>
              </w:rPr>
            </w:pPr>
          </w:p>
        </w:tc>
        <w:tc>
          <w:tcPr>
            <w:tcW w:w="1252" w:type="dxa"/>
            <w:noWrap/>
            <w:vAlign w:val="center"/>
          </w:tcPr>
          <w:p w14:paraId="3E45F0AD">
            <w:pPr>
              <w:jc w:val="center"/>
              <w:rPr>
                <w:color w:val="000000"/>
                <w:sz w:val="20"/>
                <w:szCs w:val="20"/>
              </w:rPr>
            </w:pPr>
            <w:r>
              <w:rPr>
                <w:color w:val="000000"/>
                <w:sz w:val="20"/>
                <w:szCs w:val="20"/>
              </w:rPr>
              <w:t>8.000.000</w:t>
            </w:r>
          </w:p>
        </w:tc>
        <w:tc>
          <w:tcPr>
            <w:tcW w:w="1848" w:type="dxa"/>
            <w:noWrap/>
            <w:vAlign w:val="center"/>
          </w:tcPr>
          <w:p w14:paraId="1C2EF21E">
            <w:pPr>
              <w:jc w:val="center"/>
              <w:rPr>
                <w:color w:val="000000"/>
                <w:sz w:val="20"/>
                <w:szCs w:val="20"/>
              </w:rPr>
            </w:pPr>
            <w:r>
              <w:rPr>
                <w:color w:val="000000"/>
                <w:sz w:val="20"/>
                <w:szCs w:val="20"/>
              </w:rPr>
              <w:t>720.000.000</w:t>
            </w:r>
          </w:p>
        </w:tc>
      </w:tr>
      <w:tr w14:paraId="7E7A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95CF1BB">
            <w:pPr>
              <w:jc w:val="center"/>
              <w:rPr>
                <w:b/>
                <w:bCs/>
                <w:color w:val="000000"/>
                <w:sz w:val="20"/>
                <w:szCs w:val="20"/>
              </w:rPr>
            </w:pPr>
            <w:r>
              <w:rPr>
                <w:b/>
                <w:bCs/>
                <w:color w:val="000000"/>
                <w:sz w:val="20"/>
                <w:szCs w:val="20"/>
              </w:rPr>
              <w:t>LK42</w:t>
            </w:r>
          </w:p>
        </w:tc>
        <w:tc>
          <w:tcPr>
            <w:tcW w:w="1802" w:type="dxa"/>
            <w:vAlign w:val="center"/>
          </w:tcPr>
          <w:p w14:paraId="5DB270AB">
            <w:pPr>
              <w:jc w:val="center"/>
              <w:rPr>
                <w:color w:val="000000"/>
                <w:sz w:val="20"/>
                <w:szCs w:val="20"/>
              </w:rPr>
            </w:pPr>
            <w:r>
              <w:rPr>
                <w:color w:val="000000"/>
                <w:sz w:val="20"/>
                <w:szCs w:val="20"/>
              </w:rPr>
              <w:t>LK42:05</w:t>
            </w:r>
          </w:p>
        </w:tc>
        <w:tc>
          <w:tcPr>
            <w:tcW w:w="1033" w:type="dxa"/>
            <w:noWrap/>
            <w:vAlign w:val="center"/>
          </w:tcPr>
          <w:p w14:paraId="219932E1">
            <w:pPr>
              <w:jc w:val="center"/>
              <w:rPr>
                <w:color w:val="000000"/>
                <w:sz w:val="20"/>
                <w:szCs w:val="20"/>
              </w:rPr>
            </w:pPr>
            <w:r>
              <w:rPr>
                <w:color w:val="000000"/>
                <w:sz w:val="20"/>
                <w:szCs w:val="20"/>
              </w:rPr>
              <w:t>90,00</w:t>
            </w:r>
          </w:p>
        </w:tc>
        <w:tc>
          <w:tcPr>
            <w:tcW w:w="846" w:type="dxa"/>
            <w:noWrap/>
            <w:vAlign w:val="center"/>
          </w:tcPr>
          <w:p w14:paraId="0D41A4A7">
            <w:pPr>
              <w:jc w:val="center"/>
              <w:rPr>
                <w:color w:val="000000"/>
                <w:sz w:val="20"/>
                <w:szCs w:val="20"/>
              </w:rPr>
            </w:pPr>
            <w:r>
              <w:rPr>
                <w:color w:val="000000"/>
                <w:sz w:val="20"/>
                <w:szCs w:val="20"/>
              </w:rPr>
              <w:t>1</w:t>
            </w:r>
          </w:p>
        </w:tc>
        <w:tc>
          <w:tcPr>
            <w:tcW w:w="2578" w:type="dxa"/>
            <w:noWrap/>
            <w:vAlign w:val="center"/>
          </w:tcPr>
          <w:p w14:paraId="2A565603">
            <w:pPr>
              <w:jc w:val="center"/>
              <w:rPr>
                <w:color w:val="000000"/>
                <w:sz w:val="20"/>
                <w:szCs w:val="20"/>
              </w:rPr>
            </w:pPr>
            <w:r>
              <w:rPr>
                <w:color w:val="000000"/>
                <w:sz w:val="20"/>
                <w:szCs w:val="20"/>
              </w:rPr>
              <w:t>Mặt cắt 3-3</w:t>
            </w:r>
          </w:p>
        </w:tc>
        <w:tc>
          <w:tcPr>
            <w:tcW w:w="2393" w:type="dxa"/>
            <w:noWrap/>
            <w:vAlign w:val="center"/>
          </w:tcPr>
          <w:p w14:paraId="4D2E8589">
            <w:pPr>
              <w:jc w:val="center"/>
              <w:rPr>
                <w:color w:val="000000"/>
                <w:sz w:val="20"/>
                <w:szCs w:val="20"/>
              </w:rPr>
            </w:pPr>
            <w:r>
              <w:rPr>
                <w:color w:val="000000"/>
                <w:sz w:val="20"/>
                <w:szCs w:val="20"/>
              </w:rPr>
              <w:t>Một mặt tiền</w:t>
            </w:r>
          </w:p>
        </w:tc>
        <w:tc>
          <w:tcPr>
            <w:tcW w:w="1198" w:type="dxa"/>
            <w:noWrap/>
            <w:vAlign w:val="center"/>
          </w:tcPr>
          <w:p w14:paraId="0CC5A773">
            <w:pPr>
              <w:jc w:val="center"/>
              <w:rPr>
                <w:color w:val="000000"/>
                <w:sz w:val="20"/>
                <w:szCs w:val="20"/>
              </w:rPr>
            </w:pPr>
            <w:r>
              <w:rPr>
                <w:color w:val="000000"/>
                <w:sz w:val="20"/>
                <w:szCs w:val="20"/>
              </w:rPr>
              <w:t>8.000.000</w:t>
            </w:r>
          </w:p>
        </w:tc>
        <w:tc>
          <w:tcPr>
            <w:tcW w:w="1236" w:type="dxa"/>
            <w:noWrap/>
            <w:vAlign w:val="center"/>
          </w:tcPr>
          <w:p w14:paraId="15B58F9E">
            <w:pPr>
              <w:jc w:val="center"/>
              <w:rPr>
                <w:color w:val="000000"/>
                <w:sz w:val="20"/>
                <w:szCs w:val="20"/>
              </w:rPr>
            </w:pPr>
          </w:p>
        </w:tc>
        <w:tc>
          <w:tcPr>
            <w:tcW w:w="1252" w:type="dxa"/>
            <w:noWrap/>
            <w:vAlign w:val="center"/>
          </w:tcPr>
          <w:p w14:paraId="715353A6">
            <w:pPr>
              <w:jc w:val="center"/>
              <w:rPr>
                <w:color w:val="000000"/>
                <w:sz w:val="20"/>
                <w:szCs w:val="20"/>
              </w:rPr>
            </w:pPr>
            <w:r>
              <w:rPr>
                <w:color w:val="000000"/>
                <w:sz w:val="20"/>
                <w:szCs w:val="20"/>
              </w:rPr>
              <w:t>8.000.000</w:t>
            </w:r>
          </w:p>
        </w:tc>
        <w:tc>
          <w:tcPr>
            <w:tcW w:w="1848" w:type="dxa"/>
            <w:noWrap/>
            <w:vAlign w:val="center"/>
          </w:tcPr>
          <w:p w14:paraId="24BCEA70">
            <w:pPr>
              <w:jc w:val="center"/>
              <w:rPr>
                <w:color w:val="000000"/>
                <w:sz w:val="20"/>
                <w:szCs w:val="20"/>
              </w:rPr>
            </w:pPr>
            <w:r>
              <w:rPr>
                <w:color w:val="000000"/>
                <w:sz w:val="20"/>
                <w:szCs w:val="20"/>
              </w:rPr>
              <w:t>720.000.000</w:t>
            </w:r>
          </w:p>
        </w:tc>
      </w:tr>
      <w:tr w14:paraId="24FB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E12CE3D">
            <w:pPr>
              <w:jc w:val="center"/>
              <w:rPr>
                <w:b/>
                <w:bCs/>
                <w:color w:val="000000"/>
                <w:sz w:val="20"/>
                <w:szCs w:val="20"/>
              </w:rPr>
            </w:pPr>
            <w:r>
              <w:rPr>
                <w:b/>
                <w:bCs/>
                <w:color w:val="000000"/>
                <w:sz w:val="20"/>
                <w:szCs w:val="20"/>
              </w:rPr>
              <w:t>LK42</w:t>
            </w:r>
          </w:p>
        </w:tc>
        <w:tc>
          <w:tcPr>
            <w:tcW w:w="1802" w:type="dxa"/>
            <w:vAlign w:val="center"/>
          </w:tcPr>
          <w:p w14:paraId="727ECC81">
            <w:pPr>
              <w:jc w:val="center"/>
              <w:rPr>
                <w:color w:val="000000"/>
                <w:sz w:val="20"/>
                <w:szCs w:val="20"/>
              </w:rPr>
            </w:pPr>
            <w:r>
              <w:rPr>
                <w:color w:val="000000"/>
                <w:sz w:val="20"/>
                <w:szCs w:val="20"/>
              </w:rPr>
              <w:t>LK42:06</w:t>
            </w:r>
          </w:p>
        </w:tc>
        <w:tc>
          <w:tcPr>
            <w:tcW w:w="1033" w:type="dxa"/>
            <w:noWrap/>
            <w:vAlign w:val="center"/>
          </w:tcPr>
          <w:p w14:paraId="0578629C">
            <w:pPr>
              <w:jc w:val="center"/>
              <w:rPr>
                <w:color w:val="000000"/>
                <w:sz w:val="20"/>
                <w:szCs w:val="20"/>
              </w:rPr>
            </w:pPr>
            <w:r>
              <w:rPr>
                <w:color w:val="000000"/>
                <w:sz w:val="20"/>
                <w:szCs w:val="20"/>
              </w:rPr>
              <w:t>90,00</w:t>
            </w:r>
          </w:p>
        </w:tc>
        <w:tc>
          <w:tcPr>
            <w:tcW w:w="846" w:type="dxa"/>
            <w:noWrap/>
            <w:vAlign w:val="center"/>
          </w:tcPr>
          <w:p w14:paraId="766BA3F4">
            <w:pPr>
              <w:jc w:val="center"/>
              <w:rPr>
                <w:color w:val="000000"/>
                <w:sz w:val="20"/>
                <w:szCs w:val="20"/>
              </w:rPr>
            </w:pPr>
            <w:r>
              <w:rPr>
                <w:color w:val="000000"/>
                <w:sz w:val="20"/>
                <w:szCs w:val="20"/>
              </w:rPr>
              <w:t>1</w:t>
            </w:r>
          </w:p>
        </w:tc>
        <w:tc>
          <w:tcPr>
            <w:tcW w:w="2578" w:type="dxa"/>
            <w:noWrap/>
            <w:vAlign w:val="center"/>
          </w:tcPr>
          <w:p w14:paraId="1A7DCB11">
            <w:pPr>
              <w:jc w:val="center"/>
              <w:rPr>
                <w:color w:val="000000"/>
                <w:sz w:val="20"/>
                <w:szCs w:val="20"/>
              </w:rPr>
            </w:pPr>
            <w:r>
              <w:rPr>
                <w:color w:val="000000"/>
                <w:sz w:val="20"/>
                <w:szCs w:val="20"/>
              </w:rPr>
              <w:t>Mặt cắt 3-3</w:t>
            </w:r>
          </w:p>
        </w:tc>
        <w:tc>
          <w:tcPr>
            <w:tcW w:w="2393" w:type="dxa"/>
            <w:noWrap/>
            <w:vAlign w:val="center"/>
          </w:tcPr>
          <w:p w14:paraId="66E415BA">
            <w:pPr>
              <w:jc w:val="center"/>
              <w:rPr>
                <w:color w:val="000000"/>
                <w:sz w:val="20"/>
                <w:szCs w:val="20"/>
              </w:rPr>
            </w:pPr>
            <w:r>
              <w:rPr>
                <w:color w:val="000000"/>
                <w:sz w:val="20"/>
                <w:szCs w:val="20"/>
              </w:rPr>
              <w:t>Một mặt tiền</w:t>
            </w:r>
          </w:p>
        </w:tc>
        <w:tc>
          <w:tcPr>
            <w:tcW w:w="1198" w:type="dxa"/>
            <w:noWrap/>
            <w:vAlign w:val="center"/>
          </w:tcPr>
          <w:p w14:paraId="57227682">
            <w:pPr>
              <w:jc w:val="center"/>
              <w:rPr>
                <w:color w:val="000000"/>
                <w:sz w:val="20"/>
                <w:szCs w:val="20"/>
              </w:rPr>
            </w:pPr>
            <w:r>
              <w:rPr>
                <w:color w:val="000000"/>
                <w:sz w:val="20"/>
                <w:szCs w:val="20"/>
              </w:rPr>
              <w:t>8.000.000</w:t>
            </w:r>
          </w:p>
        </w:tc>
        <w:tc>
          <w:tcPr>
            <w:tcW w:w="1236" w:type="dxa"/>
            <w:noWrap/>
            <w:vAlign w:val="center"/>
          </w:tcPr>
          <w:p w14:paraId="60292F51">
            <w:pPr>
              <w:jc w:val="center"/>
              <w:rPr>
                <w:color w:val="000000"/>
                <w:sz w:val="20"/>
                <w:szCs w:val="20"/>
              </w:rPr>
            </w:pPr>
          </w:p>
        </w:tc>
        <w:tc>
          <w:tcPr>
            <w:tcW w:w="1252" w:type="dxa"/>
            <w:noWrap/>
            <w:vAlign w:val="center"/>
          </w:tcPr>
          <w:p w14:paraId="27092B51">
            <w:pPr>
              <w:jc w:val="center"/>
              <w:rPr>
                <w:color w:val="000000"/>
                <w:sz w:val="20"/>
                <w:szCs w:val="20"/>
              </w:rPr>
            </w:pPr>
            <w:r>
              <w:rPr>
                <w:color w:val="000000"/>
                <w:sz w:val="20"/>
                <w:szCs w:val="20"/>
              </w:rPr>
              <w:t>8.000.000</w:t>
            </w:r>
          </w:p>
        </w:tc>
        <w:tc>
          <w:tcPr>
            <w:tcW w:w="1848" w:type="dxa"/>
            <w:noWrap/>
            <w:vAlign w:val="center"/>
          </w:tcPr>
          <w:p w14:paraId="25CF83B1">
            <w:pPr>
              <w:jc w:val="center"/>
              <w:rPr>
                <w:color w:val="000000"/>
                <w:sz w:val="20"/>
                <w:szCs w:val="20"/>
              </w:rPr>
            </w:pPr>
            <w:r>
              <w:rPr>
                <w:color w:val="000000"/>
                <w:sz w:val="20"/>
                <w:szCs w:val="20"/>
              </w:rPr>
              <w:t>720.000.000</w:t>
            </w:r>
          </w:p>
        </w:tc>
      </w:tr>
      <w:tr w14:paraId="104C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CB8C620">
            <w:pPr>
              <w:jc w:val="center"/>
              <w:rPr>
                <w:b/>
                <w:bCs/>
                <w:color w:val="000000"/>
                <w:sz w:val="20"/>
                <w:szCs w:val="20"/>
              </w:rPr>
            </w:pPr>
            <w:r>
              <w:rPr>
                <w:b/>
                <w:bCs/>
                <w:color w:val="000000"/>
                <w:sz w:val="20"/>
                <w:szCs w:val="20"/>
              </w:rPr>
              <w:t>LK42</w:t>
            </w:r>
          </w:p>
        </w:tc>
        <w:tc>
          <w:tcPr>
            <w:tcW w:w="1802" w:type="dxa"/>
            <w:vAlign w:val="center"/>
          </w:tcPr>
          <w:p w14:paraId="0795A66D">
            <w:pPr>
              <w:jc w:val="center"/>
              <w:rPr>
                <w:color w:val="000000"/>
                <w:sz w:val="20"/>
                <w:szCs w:val="20"/>
              </w:rPr>
            </w:pPr>
            <w:r>
              <w:rPr>
                <w:color w:val="000000"/>
                <w:sz w:val="20"/>
                <w:szCs w:val="20"/>
              </w:rPr>
              <w:t>LK42:07</w:t>
            </w:r>
          </w:p>
        </w:tc>
        <w:tc>
          <w:tcPr>
            <w:tcW w:w="1033" w:type="dxa"/>
            <w:noWrap/>
            <w:vAlign w:val="center"/>
          </w:tcPr>
          <w:p w14:paraId="131E4D30">
            <w:pPr>
              <w:jc w:val="center"/>
              <w:rPr>
                <w:color w:val="000000"/>
                <w:sz w:val="20"/>
                <w:szCs w:val="20"/>
              </w:rPr>
            </w:pPr>
            <w:r>
              <w:rPr>
                <w:color w:val="000000"/>
                <w:sz w:val="20"/>
                <w:szCs w:val="20"/>
              </w:rPr>
              <w:t>90,00</w:t>
            </w:r>
          </w:p>
        </w:tc>
        <w:tc>
          <w:tcPr>
            <w:tcW w:w="846" w:type="dxa"/>
            <w:noWrap/>
            <w:vAlign w:val="center"/>
          </w:tcPr>
          <w:p w14:paraId="0C83D6A6">
            <w:pPr>
              <w:jc w:val="center"/>
              <w:rPr>
                <w:color w:val="000000"/>
                <w:sz w:val="20"/>
                <w:szCs w:val="20"/>
              </w:rPr>
            </w:pPr>
            <w:r>
              <w:rPr>
                <w:color w:val="000000"/>
                <w:sz w:val="20"/>
                <w:szCs w:val="20"/>
              </w:rPr>
              <w:t>1</w:t>
            </w:r>
          </w:p>
        </w:tc>
        <w:tc>
          <w:tcPr>
            <w:tcW w:w="2578" w:type="dxa"/>
            <w:noWrap/>
            <w:vAlign w:val="center"/>
          </w:tcPr>
          <w:p w14:paraId="38CE583A">
            <w:pPr>
              <w:jc w:val="center"/>
              <w:rPr>
                <w:color w:val="000000"/>
                <w:sz w:val="20"/>
                <w:szCs w:val="20"/>
              </w:rPr>
            </w:pPr>
            <w:r>
              <w:rPr>
                <w:color w:val="000000"/>
                <w:sz w:val="20"/>
                <w:szCs w:val="20"/>
              </w:rPr>
              <w:t>Mặt cắt 3-3</w:t>
            </w:r>
          </w:p>
        </w:tc>
        <w:tc>
          <w:tcPr>
            <w:tcW w:w="2393" w:type="dxa"/>
            <w:noWrap/>
            <w:vAlign w:val="center"/>
          </w:tcPr>
          <w:p w14:paraId="5F1B6C34">
            <w:pPr>
              <w:jc w:val="center"/>
              <w:rPr>
                <w:color w:val="000000"/>
                <w:sz w:val="20"/>
                <w:szCs w:val="20"/>
              </w:rPr>
            </w:pPr>
            <w:r>
              <w:rPr>
                <w:color w:val="000000"/>
                <w:sz w:val="20"/>
                <w:szCs w:val="20"/>
              </w:rPr>
              <w:t>Một mặt tiền</w:t>
            </w:r>
          </w:p>
        </w:tc>
        <w:tc>
          <w:tcPr>
            <w:tcW w:w="1198" w:type="dxa"/>
            <w:noWrap/>
            <w:vAlign w:val="center"/>
          </w:tcPr>
          <w:p w14:paraId="3A12FD81">
            <w:pPr>
              <w:jc w:val="center"/>
              <w:rPr>
                <w:color w:val="000000"/>
                <w:sz w:val="20"/>
                <w:szCs w:val="20"/>
              </w:rPr>
            </w:pPr>
            <w:r>
              <w:rPr>
                <w:color w:val="000000"/>
                <w:sz w:val="20"/>
                <w:szCs w:val="20"/>
              </w:rPr>
              <w:t>8.000.000</w:t>
            </w:r>
          </w:p>
        </w:tc>
        <w:tc>
          <w:tcPr>
            <w:tcW w:w="1236" w:type="dxa"/>
            <w:noWrap/>
            <w:vAlign w:val="center"/>
          </w:tcPr>
          <w:p w14:paraId="059405F3">
            <w:pPr>
              <w:jc w:val="center"/>
              <w:rPr>
                <w:color w:val="000000"/>
                <w:sz w:val="20"/>
                <w:szCs w:val="20"/>
              </w:rPr>
            </w:pPr>
          </w:p>
        </w:tc>
        <w:tc>
          <w:tcPr>
            <w:tcW w:w="1252" w:type="dxa"/>
            <w:noWrap/>
            <w:vAlign w:val="center"/>
          </w:tcPr>
          <w:p w14:paraId="1AB4E4B7">
            <w:pPr>
              <w:jc w:val="center"/>
              <w:rPr>
                <w:color w:val="000000"/>
                <w:sz w:val="20"/>
                <w:szCs w:val="20"/>
              </w:rPr>
            </w:pPr>
            <w:r>
              <w:rPr>
                <w:color w:val="000000"/>
                <w:sz w:val="20"/>
                <w:szCs w:val="20"/>
              </w:rPr>
              <w:t>8.000.000</w:t>
            </w:r>
          </w:p>
        </w:tc>
        <w:tc>
          <w:tcPr>
            <w:tcW w:w="1848" w:type="dxa"/>
            <w:noWrap/>
            <w:vAlign w:val="center"/>
          </w:tcPr>
          <w:p w14:paraId="28B7051E">
            <w:pPr>
              <w:jc w:val="center"/>
              <w:rPr>
                <w:color w:val="000000"/>
                <w:sz w:val="20"/>
                <w:szCs w:val="20"/>
              </w:rPr>
            </w:pPr>
            <w:r>
              <w:rPr>
                <w:color w:val="000000"/>
                <w:sz w:val="20"/>
                <w:szCs w:val="20"/>
              </w:rPr>
              <w:t>720.000.000</w:t>
            </w:r>
          </w:p>
        </w:tc>
      </w:tr>
      <w:tr w14:paraId="2F55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15DB233">
            <w:pPr>
              <w:jc w:val="center"/>
              <w:rPr>
                <w:b/>
                <w:bCs/>
                <w:color w:val="000000"/>
                <w:sz w:val="20"/>
                <w:szCs w:val="20"/>
              </w:rPr>
            </w:pPr>
            <w:r>
              <w:rPr>
                <w:b/>
                <w:bCs/>
                <w:color w:val="000000"/>
                <w:sz w:val="20"/>
                <w:szCs w:val="20"/>
              </w:rPr>
              <w:t>LK42</w:t>
            </w:r>
          </w:p>
        </w:tc>
        <w:tc>
          <w:tcPr>
            <w:tcW w:w="1802" w:type="dxa"/>
            <w:vAlign w:val="center"/>
          </w:tcPr>
          <w:p w14:paraId="128A25D2">
            <w:pPr>
              <w:jc w:val="center"/>
              <w:rPr>
                <w:color w:val="000000"/>
                <w:sz w:val="20"/>
                <w:szCs w:val="20"/>
              </w:rPr>
            </w:pPr>
            <w:r>
              <w:rPr>
                <w:color w:val="000000"/>
                <w:sz w:val="20"/>
                <w:szCs w:val="20"/>
              </w:rPr>
              <w:t>LK42:08</w:t>
            </w:r>
          </w:p>
        </w:tc>
        <w:tc>
          <w:tcPr>
            <w:tcW w:w="1033" w:type="dxa"/>
            <w:noWrap/>
            <w:vAlign w:val="center"/>
          </w:tcPr>
          <w:p w14:paraId="58D9B437">
            <w:pPr>
              <w:jc w:val="center"/>
              <w:rPr>
                <w:color w:val="000000"/>
                <w:sz w:val="20"/>
                <w:szCs w:val="20"/>
              </w:rPr>
            </w:pPr>
            <w:r>
              <w:rPr>
                <w:color w:val="000000"/>
                <w:sz w:val="20"/>
                <w:szCs w:val="20"/>
              </w:rPr>
              <w:t>90,00</w:t>
            </w:r>
          </w:p>
        </w:tc>
        <w:tc>
          <w:tcPr>
            <w:tcW w:w="846" w:type="dxa"/>
            <w:noWrap/>
            <w:vAlign w:val="center"/>
          </w:tcPr>
          <w:p w14:paraId="32E39466">
            <w:pPr>
              <w:jc w:val="center"/>
              <w:rPr>
                <w:color w:val="000000"/>
                <w:sz w:val="20"/>
                <w:szCs w:val="20"/>
              </w:rPr>
            </w:pPr>
            <w:r>
              <w:rPr>
                <w:color w:val="000000"/>
                <w:sz w:val="20"/>
                <w:szCs w:val="20"/>
              </w:rPr>
              <w:t>1</w:t>
            </w:r>
          </w:p>
        </w:tc>
        <w:tc>
          <w:tcPr>
            <w:tcW w:w="2578" w:type="dxa"/>
            <w:noWrap/>
            <w:vAlign w:val="center"/>
          </w:tcPr>
          <w:p w14:paraId="5FC0CE8A">
            <w:pPr>
              <w:jc w:val="center"/>
              <w:rPr>
                <w:color w:val="000000"/>
                <w:sz w:val="20"/>
                <w:szCs w:val="20"/>
              </w:rPr>
            </w:pPr>
            <w:r>
              <w:rPr>
                <w:color w:val="000000"/>
                <w:sz w:val="20"/>
                <w:szCs w:val="20"/>
              </w:rPr>
              <w:t>Mặt cắt 3-3</w:t>
            </w:r>
          </w:p>
        </w:tc>
        <w:tc>
          <w:tcPr>
            <w:tcW w:w="2393" w:type="dxa"/>
            <w:noWrap/>
            <w:vAlign w:val="center"/>
          </w:tcPr>
          <w:p w14:paraId="02C07AE6">
            <w:pPr>
              <w:jc w:val="center"/>
              <w:rPr>
                <w:color w:val="000000"/>
                <w:sz w:val="20"/>
                <w:szCs w:val="20"/>
              </w:rPr>
            </w:pPr>
            <w:r>
              <w:rPr>
                <w:color w:val="000000"/>
                <w:sz w:val="20"/>
                <w:szCs w:val="20"/>
              </w:rPr>
              <w:t>Một mặt tiền</w:t>
            </w:r>
          </w:p>
        </w:tc>
        <w:tc>
          <w:tcPr>
            <w:tcW w:w="1198" w:type="dxa"/>
            <w:noWrap/>
            <w:vAlign w:val="center"/>
          </w:tcPr>
          <w:p w14:paraId="2D377936">
            <w:pPr>
              <w:jc w:val="center"/>
              <w:rPr>
                <w:color w:val="000000"/>
                <w:sz w:val="20"/>
                <w:szCs w:val="20"/>
              </w:rPr>
            </w:pPr>
            <w:r>
              <w:rPr>
                <w:color w:val="000000"/>
                <w:sz w:val="20"/>
                <w:szCs w:val="20"/>
              </w:rPr>
              <w:t>8.000.000</w:t>
            </w:r>
          </w:p>
        </w:tc>
        <w:tc>
          <w:tcPr>
            <w:tcW w:w="1236" w:type="dxa"/>
            <w:noWrap/>
            <w:vAlign w:val="center"/>
          </w:tcPr>
          <w:p w14:paraId="4431D42D">
            <w:pPr>
              <w:jc w:val="center"/>
              <w:rPr>
                <w:color w:val="000000"/>
                <w:sz w:val="20"/>
                <w:szCs w:val="20"/>
              </w:rPr>
            </w:pPr>
          </w:p>
        </w:tc>
        <w:tc>
          <w:tcPr>
            <w:tcW w:w="1252" w:type="dxa"/>
            <w:noWrap/>
            <w:vAlign w:val="center"/>
          </w:tcPr>
          <w:p w14:paraId="46A59EBC">
            <w:pPr>
              <w:jc w:val="center"/>
              <w:rPr>
                <w:color w:val="000000"/>
                <w:sz w:val="20"/>
                <w:szCs w:val="20"/>
              </w:rPr>
            </w:pPr>
            <w:r>
              <w:rPr>
                <w:color w:val="000000"/>
                <w:sz w:val="20"/>
                <w:szCs w:val="20"/>
              </w:rPr>
              <w:t>8.000.000</w:t>
            </w:r>
          </w:p>
        </w:tc>
        <w:tc>
          <w:tcPr>
            <w:tcW w:w="1848" w:type="dxa"/>
            <w:noWrap/>
            <w:vAlign w:val="center"/>
          </w:tcPr>
          <w:p w14:paraId="5AC76AB6">
            <w:pPr>
              <w:jc w:val="center"/>
              <w:rPr>
                <w:color w:val="000000"/>
                <w:sz w:val="20"/>
                <w:szCs w:val="20"/>
              </w:rPr>
            </w:pPr>
            <w:r>
              <w:rPr>
                <w:color w:val="000000"/>
                <w:sz w:val="20"/>
                <w:szCs w:val="20"/>
              </w:rPr>
              <w:t>720.000.000</w:t>
            </w:r>
          </w:p>
        </w:tc>
      </w:tr>
      <w:tr w14:paraId="72E0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5216F70">
            <w:pPr>
              <w:jc w:val="center"/>
              <w:rPr>
                <w:b/>
                <w:bCs/>
                <w:color w:val="000000"/>
                <w:sz w:val="20"/>
                <w:szCs w:val="20"/>
              </w:rPr>
            </w:pPr>
            <w:r>
              <w:rPr>
                <w:b/>
                <w:bCs/>
                <w:color w:val="000000"/>
                <w:sz w:val="20"/>
                <w:szCs w:val="20"/>
              </w:rPr>
              <w:t>LK42</w:t>
            </w:r>
          </w:p>
        </w:tc>
        <w:tc>
          <w:tcPr>
            <w:tcW w:w="1802" w:type="dxa"/>
            <w:vAlign w:val="center"/>
          </w:tcPr>
          <w:p w14:paraId="6EBCBC6E">
            <w:pPr>
              <w:jc w:val="center"/>
              <w:rPr>
                <w:color w:val="000000"/>
                <w:sz w:val="20"/>
                <w:szCs w:val="20"/>
              </w:rPr>
            </w:pPr>
            <w:r>
              <w:rPr>
                <w:color w:val="000000"/>
                <w:sz w:val="20"/>
                <w:szCs w:val="20"/>
              </w:rPr>
              <w:t>LK42:09</w:t>
            </w:r>
          </w:p>
        </w:tc>
        <w:tc>
          <w:tcPr>
            <w:tcW w:w="1033" w:type="dxa"/>
            <w:noWrap/>
            <w:vAlign w:val="center"/>
          </w:tcPr>
          <w:p w14:paraId="5995B043">
            <w:pPr>
              <w:jc w:val="center"/>
              <w:rPr>
                <w:color w:val="000000"/>
                <w:sz w:val="20"/>
                <w:szCs w:val="20"/>
              </w:rPr>
            </w:pPr>
            <w:r>
              <w:rPr>
                <w:color w:val="000000"/>
                <w:sz w:val="20"/>
                <w:szCs w:val="20"/>
              </w:rPr>
              <w:t>90,00</w:t>
            </w:r>
          </w:p>
        </w:tc>
        <w:tc>
          <w:tcPr>
            <w:tcW w:w="846" w:type="dxa"/>
            <w:noWrap/>
            <w:vAlign w:val="center"/>
          </w:tcPr>
          <w:p w14:paraId="5E97CE2F">
            <w:pPr>
              <w:jc w:val="center"/>
              <w:rPr>
                <w:color w:val="000000"/>
                <w:sz w:val="20"/>
                <w:szCs w:val="20"/>
              </w:rPr>
            </w:pPr>
            <w:r>
              <w:rPr>
                <w:color w:val="000000"/>
                <w:sz w:val="20"/>
                <w:szCs w:val="20"/>
              </w:rPr>
              <w:t>1</w:t>
            </w:r>
          </w:p>
        </w:tc>
        <w:tc>
          <w:tcPr>
            <w:tcW w:w="2578" w:type="dxa"/>
            <w:noWrap/>
            <w:vAlign w:val="center"/>
          </w:tcPr>
          <w:p w14:paraId="00CDC4BC">
            <w:pPr>
              <w:jc w:val="center"/>
              <w:rPr>
                <w:color w:val="000000"/>
                <w:sz w:val="20"/>
                <w:szCs w:val="20"/>
              </w:rPr>
            </w:pPr>
            <w:r>
              <w:rPr>
                <w:color w:val="000000"/>
                <w:sz w:val="20"/>
                <w:szCs w:val="20"/>
              </w:rPr>
              <w:t>Mặt cắt 3-3</w:t>
            </w:r>
          </w:p>
        </w:tc>
        <w:tc>
          <w:tcPr>
            <w:tcW w:w="2393" w:type="dxa"/>
            <w:noWrap/>
            <w:vAlign w:val="center"/>
          </w:tcPr>
          <w:p w14:paraId="710103BC">
            <w:pPr>
              <w:jc w:val="center"/>
              <w:rPr>
                <w:color w:val="000000"/>
                <w:sz w:val="20"/>
                <w:szCs w:val="20"/>
              </w:rPr>
            </w:pPr>
            <w:r>
              <w:rPr>
                <w:color w:val="000000"/>
                <w:sz w:val="20"/>
                <w:szCs w:val="20"/>
              </w:rPr>
              <w:t>Một mặt tiền</w:t>
            </w:r>
          </w:p>
        </w:tc>
        <w:tc>
          <w:tcPr>
            <w:tcW w:w="1198" w:type="dxa"/>
            <w:noWrap/>
            <w:vAlign w:val="center"/>
          </w:tcPr>
          <w:p w14:paraId="4EF94047">
            <w:pPr>
              <w:jc w:val="center"/>
              <w:rPr>
                <w:color w:val="000000"/>
                <w:sz w:val="20"/>
                <w:szCs w:val="20"/>
              </w:rPr>
            </w:pPr>
            <w:r>
              <w:rPr>
                <w:color w:val="000000"/>
                <w:sz w:val="20"/>
                <w:szCs w:val="20"/>
              </w:rPr>
              <w:t>8.000.000</w:t>
            </w:r>
          </w:p>
        </w:tc>
        <w:tc>
          <w:tcPr>
            <w:tcW w:w="1236" w:type="dxa"/>
            <w:noWrap/>
            <w:vAlign w:val="center"/>
          </w:tcPr>
          <w:p w14:paraId="4B23C845">
            <w:pPr>
              <w:jc w:val="center"/>
              <w:rPr>
                <w:color w:val="000000"/>
                <w:sz w:val="20"/>
                <w:szCs w:val="20"/>
              </w:rPr>
            </w:pPr>
          </w:p>
        </w:tc>
        <w:tc>
          <w:tcPr>
            <w:tcW w:w="1252" w:type="dxa"/>
            <w:noWrap/>
            <w:vAlign w:val="center"/>
          </w:tcPr>
          <w:p w14:paraId="36C6EF29">
            <w:pPr>
              <w:jc w:val="center"/>
              <w:rPr>
                <w:color w:val="000000"/>
                <w:sz w:val="20"/>
                <w:szCs w:val="20"/>
              </w:rPr>
            </w:pPr>
            <w:r>
              <w:rPr>
                <w:color w:val="000000"/>
                <w:sz w:val="20"/>
                <w:szCs w:val="20"/>
              </w:rPr>
              <w:t>8.000.000</w:t>
            </w:r>
          </w:p>
        </w:tc>
        <w:tc>
          <w:tcPr>
            <w:tcW w:w="1848" w:type="dxa"/>
            <w:noWrap/>
            <w:vAlign w:val="center"/>
          </w:tcPr>
          <w:p w14:paraId="08D1C78C">
            <w:pPr>
              <w:jc w:val="center"/>
              <w:rPr>
                <w:color w:val="000000"/>
                <w:sz w:val="20"/>
                <w:szCs w:val="20"/>
              </w:rPr>
            </w:pPr>
            <w:r>
              <w:rPr>
                <w:color w:val="000000"/>
                <w:sz w:val="20"/>
                <w:szCs w:val="20"/>
              </w:rPr>
              <w:t>720.000.000</w:t>
            </w:r>
          </w:p>
        </w:tc>
      </w:tr>
      <w:tr w14:paraId="0871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C45C45B">
            <w:pPr>
              <w:jc w:val="center"/>
              <w:rPr>
                <w:b/>
                <w:bCs/>
                <w:color w:val="000000"/>
                <w:sz w:val="20"/>
                <w:szCs w:val="20"/>
              </w:rPr>
            </w:pPr>
            <w:r>
              <w:rPr>
                <w:b/>
                <w:bCs/>
                <w:color w:val="000000"/>
                <w:sz w:val="20"/>
                <w:szCs w:val="20"/>
              </w:rPr>
              <w:t>LK43</w:t>
            </w:r>
          </w:p>
        </w:tc>
        <w:tc>
          <w:tcPr>
            <w:tcW w:w="1802" w:type="dxa"/>
            <w:vAlign w:val="center"/>
          </w:tcPr>
          <w:p w14:paraId="5B8A98C5">
            <w:pPr>
              <w:jc w:val="center"/>
              <w:rPr>
                <w:color w:val="000000"/>
                <w:sz w:val="20"/>
                <w:szCs w:val="20"/>
              </w:rPr>
            </w:pPr>
            <w:r>
              <w:rPr>
                <w:color w:val="000000"/>
                <w:sz w:val="20"/>
                <w:szCs w:val="20"/>
              </w:rPr>
              <w:t>LK43:02</w:t>
            </w:r>
          </w:p>
        </w:tc>
        <w:tc>
          <w:tcPr>
            <w:tcW w:w="1033" w:type="dxa"/>
            <w:noWrap/>
            <w:vAlign w:val="center"/>
          </w:tcPr>
          <w:p w14:paraId="6F13A2DE">
            <w:pPr>
              <w:jc w:val="center"/>
              <w:rPr>
                <w:color w:val="000000"/>
                <w:sz w:val="20"/>
                <w:szCs w:val="20"/>
              </w:rPr>
            </w:pPr>
            <w:r>
              <w:rPr>
                <w:color w:val="000000"/>
                <w:sz w:val="20"/>
                <w:szCs w:val="20"/>
              </w:rPr>
              <w:t>90,00</w:t>
            </w:r>
          </w:p>
        </w:tc>
        <w:tc>
          <w:tcPr>
            <w:tcW w:w="846" w:type="dxa"/>
            <w:noWrap/>
            <w:vAlign w:val="center"/>
          </w:tcPr>
          <w:p w14:paraId="5F5C0EAA">
            <w:pPr>
              <w:jc w:val="center"/>
              <w:rPr>
                <w:color w:val="000000"/>
                <w:sz w:val="20"/>
                <w:szCs w:val="20"/>
              </w:rPr>
            </w:pPr>
            <w:r>
              <w:rPr>
                <w:color w:val="000000"/>
                <w:sz w:val="20"/>
                <w:szCs w:val="20"/>
              </w:rPr>
              <w:t>1</w:t>
            </w:r>
          </w:p>
        </w:tc>
        <w:tc>
          <w:tcPr>
            <w:tcW w:w="2578" w:type="dxa"/>
            <w:noWrap/>
            <w:vAlign w:val="center"/>
          </w:tcPr>
          <w:p w14:paraId="69AB7EE0">
            <w:pPr>
              <w:jc w:val="center"/>
              <w:rPr>
                <w:color w:val="000000"/>
                <w:sz w:val="20"/>
                <w:szCs w:val="20"/>
              </w:rPr>
            </w:pPr>
            <w:r>
              <w:rPr>
                <w:color w:val="000000"/>
                <w:sz w:val="20"/>
                <w:szCs w:val="20"/>
              </w:rPr>
              <w:t>Mặt cắt 3-3</w:t>
            </w:r>
          </w:p>
        </w:tc>
        <w:tc>
          <w:tcPr>
            <w:tcW w:w="2393" w:type="dxa"/>
            <w:noWrap/>
            <w:vAlign w:val="center"/>
          </w:tcPr>
          <w:p w14:paraId="732F3F86">
            <w:pPr>
              <w:jc w:val="center"/>
              <w:rPr>
                <w:color w:val="000000"/>
                <w:sz w:val="20"/>
                <w:szCs w:val="20"/>
              </w:rPr>
            </w:pPr>
            <w:r>
              <w:rPr>
                <w:color w:val="000000"/>
                <w:sz w:val="20"/>
                <w:szCs w:val="20"/>
              </w:rPr>
              <w:t>Một mặt tiền</w:t>
            </w:r>
          </w:p>
        </w:tc>
        <w:tc>
          <w:tcPr>
            <w:tcW w:w="1198" w:type="dxa"/>
            <w:noWrap/>
            <w:vAlign w:val="center"/>
          </w:tcPr>
          <w:p w14:paraId="76A4E3F3">
            <w:pPr>
              <w:jc w:val="center"/>
              <w:rPr>
                <w:color w:val="000000"/>
                <w:sz w:val="20"/>
                <w:szCs w:val="20"/>
              </w:rPr>
            </w:pPr>
            <w:r>
              <w:rPr>
                <w:color w:val="000000"/>
                <w:sz w:val="20"/>
                <w:szCs w:val="20"/>
              </w:rPr>
              <w:t>8.000.000</w:t>
            </w:r>
          </w:p>
        </w:tc>
        <w:tc>
          <w:tcPr>
            <w:tcW w:w="1236" w:type="dxa"/>
            <w:noWrap/>
            <w:vAlign w:val="center"/>
          </w:tcPr>
          <w:p w14:paraId="2EC9CD40">
            <w:pPr>
              <w:jc w:val="center"/>
              <w:rPr>
                <w:color w:val="000000"/>
                <w:sz w:val="20"/>
                <w:szCs w:val="20"/>
              </w:rPr>
            </w:pPr>
          </w:p>
        </w:tc>
        <w:tc>
          <w:tcPr>
            <w:tcW w:w="1252" w:type="dxa"/>
            <w:noWrap/>
            <w:vAlign w:val="center"/>
          </w:tcPr>
          <w:p w14:paraId="0ED3E05A">
            <w:pPr>
              <w:jc w:val="center"/>
              <w:rPr>
                <w:color w:val="000000"/>
                <w:sz w:val="20"/>
                <w:szCs w:val="20"/>
              </w:rPr>
            </w:pPr>
            <w:r>
              <w:rPr>
                <w:color w:val="000000"/>
                <w:sz w:val="20"/>
                <w:szCs w:val="20"/>
              </w:rPr>
              <w:t>8.000.000</w:t>
            </w:r>
          </w:p>
        </w:tc>
        <w:tc>
          <w:tcPr>
            <w:tcW w:w="1848" w:type="dxa"/>
            <w:noWrap/>
            <w:vAlign w:val="center"/>
          </w:tcPr>
          <w:p w14:paraId="715296D6">
            <w:pPr>
              <w:jc w:val="center"/>
              <w:rPr>
                <w:color w:val="000000"/>
                <w:sz w:val="20"/>
                <w:szCs w:val="20"/>
              </w:rPr>
            </w:pPr>
            <w:r>
              <w:rPr>
                <w:color w:val="000000"/>
                <w:sz w:val="20"/>
                <w:szCs w:val="20"/>
              </w:rPr>
              <w:t>720.000.000</w:t>
            </w:r>
          </w:p>
        </w:tc>
      </w:tr>
      <w:tr w14:paraId="0146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7670BC5">
            <w:pPr>
              <w:jc w:val="center"/>
              <w:rPr>
                <w:b/>
                <w:bCs/>
                <w:color w:val="000000"/>
                <w:sz w:val="20"/>
                <w:szCs w:val="20"/>
              </w:rPr>
            </w:pPr>
            <w:r>
              <w:rPr>
                <w:b/>
                <w:bCs/>
                <w:color w:val="000000"/>
                <w:sz w:val="20"/>
                <w:szCs w:val="20"/>
              </w:rPr>
              <w:t>LK43</w:t>
            </w:r>
          </w:p>
        </w:tc>
        <w:tc>
          <w:tcPr>
            <w:tcW w:w="1802" w:type="dxa"/>
            <w:vAlign w:val="center"/>
          </w:tcPr>
          <w:p w14:paraId="173B2E61">
            <w:pPr>
              <w:jc w:val="center"/>
              <w:rPr>
                <w:color w:val="000000"/>
                <w:sz w:val="20"/>
                <w:szCs w:val="20"/>
              </w:rPr>
            </w:pPr>
            <w:r>
              <w:rPr>
                <w:color w:val="000000"/>
                <w:sz w:val="20"/>
                <w:szCs w:val="20"/>
              </w:rPr>
              <w:t>LK43:03</w:t>
            </w:r>
          </w:p>
        </w:tc>
        <w:tc>
          <w:tcPr>
            <w:tcW w:w="1033" w:type="dxa"/>
            <w:noWrap/>
            <w:vAlign w:val="center"/>
          </w:tcPr>
          <w:p w14:paraId="546F005A">
            <w:pPr>
              <w:jc w:val="center"/>
              <w:rPr>
                <w:color w:val="000000"/>
                <w:sz w:val="20"/>
                <w:szCs w:val="20"/>
              </w:rPr>
            </w:pPr>
            <w:r>
              <w:rPr>
                <w:color w:val="000000"/>
                <w:sz w:val="20"/>
                <w:szCs w:val="20"/>
              </w:rPr>
              <w:t>90,00</w:t>
            </w:r>
          </w:p>
        </w:tc>
        <w:tc>
          <w:tcPr>
            <w:tcW w:w="846" w:type="dxa"/>
            <w:noWrap/>
            <w:vAlign w:val="center"/>
          </w:tcPr>
          <w:p w14:paraId="416D509E">
            <w:pPr>
              <w:jc w:val="center"/>
              <w:rPr>
                <w:color w:val="000000"/>
                <w:sz w:val="20"/>
                <w:szCs w:val="20"/>
              </w:rPr>
            </w:pPr>
            <w:r>
              <w:rPr>
                <w:color w:val="000000"/>
                <w:sz w:val="20"/>
                <w:szCs w:val="20"/>
              </w:rPr>
              <w:t>1</w:t>
            </w:r>
          </w:p>
        </w:tc>
        <w:tc>
          <w:tcPr>
            <w:tcW w:w="2578" w:type="dxa"/>
            <w:noWrap/>
            <w:vAlign w:val="center"/>
          </w:tcPr>
          <w:p w14:paraId="19BA81A9">
            <w:pPr>
              <w:jc w:val="center"/>
              <w:rPr>
                <w:color w:val="000000"/>
                <w:sz w:val="20"/>
                <w:szCs w:val="20"/>
              </w:rPr>
            </w:pPr>
            <w:r>
              <w:rPr>
                <w:color w:val="000000"/>
                <w:sz w:val="20"/>
                <w:szCs w:val="20"/>
              </w:rPr>
              <w:t>Mặt cắt 3-3</w:t>
            </w:r>
          </w:p>
        </w:tc>
        <w:tc>
          <w:tcPr>
            <w:tcW w:w="2393" w:type="dxa"/>
            <w:noWrap/>
            <w:vAlign w:val="center"/>
          </w:tcPr>
          <w:p w14:paraId="230CF614">
            <w:pPr>
              <w:jc w:val="center"/>
              <w:rPr>
                <w:color w:val="000000"/>
                <w:sz w:val="20"/>
                <w:szCs w:val="20"/>
              </w:rPr>
            </w:pPr>
            <w:r>
              <w:rPr>
                <w:color w:val="000000"/>
                <w:sz w:val="20"/>
                <w:szCs w:val="20"/>
              </w:rPr>
              <w:t>Một mặt tiền</w:t>
            </w:r>
          </w:p>
        </w:tc>
        <w:tc>
          <w:tcPr>
            <w:tcW w:w="1198" w:type="dxa"/>
            <w:noWrap/>
            <w:vAlign w:val="center"/>
          </w:tcPr>
          <w:p w14:paraId="43493442">
            <w:pPr>
              <w:jc w:val="center"/>
              <w:rPr>
                <w:color w:val="000000"/>
                <w:sz w:val="20"/>
                <w:szCs w:val="20"/>
              </w:rPr>
            </w:pPr>
            <w:r>
              <w:rPr>
                <w:color w:val="000000"/>
                <w:sz w:val="20"/>
                <w:szCs w:val="20"/>
              </w:rPr>
              <w:t>8.000.000</w:t>
            </w:r>
          </w:p>
        </w:tc>
        <w:tc>
          <w:tcPr>
            <w:tcW w:w="1236" w:type="dxa"/>
            <w:noWrap/>
            <w:vAlign w:val="center"/>
          </w:tcPr>
          <w:p w14:paraId="6A669D64">
            <w:pPr>
              <w:jc w:val="center"/>
              <w:rPr>
                <w:color w:val="000000"/>
                <w:sz w:val="20"/>
                <w:szCs w:val="20"/>
              </w:rPr>
            </w:pPr>
          </w:p>
        </w:tc>
        <w:tc>
          <w:tcPr>
            <w:tcW w:w="1252" w:type="dxa"/>
            <w:noWrap/>
            <w:vAlign w:val="center"/>
          </w:tcPr>
          <w:p w14:paraId="7DB10839">
            <w:pPr>
              <w:jc w:val="center"/>
              <w:rPr>
                <w:color w:val="000000"/>
                <w:sz w:val="20"/>
                <w:szCs w:val="20"/>
              </w:rPr>
            </w:pPr>
            <w:r>
              <w:rPr>
                <w:color w:val="000000"/>
                <w:sz w:val="20"/>
                <w:szCs w:val="20"/>
              </w:rPr>
              <w:t>8.000.000</w:t>
            </w:r>
          </w:p>
        </w:tc>
        <w:tc>
          <w:tcPr>
            <w:tcW w:w="1848" w:type="dxa"/>
            <w:noWrap/>
            <w:vAlign w:val="center"/>
          </w:tcPr>
          <w:p w14:paraId="0B957F6D">
            <w:pPr>
              <w:jc w:val="center"/>
              <w:rPr>
                <w:color w:val="000000"/>
                <w:sz w:val="20"/>
                <w:szCs w:val="20"/>
              </w:rPr>
            </w:pPr>
            <w:r>
              <w:rPr>
                <w:color w:val="000000"/>
                <w:sz w:val="20"/>
                <w:szCs w:val="20"/>
              </w:rPr>
              <w:t>720.000.000</w:t>
            </w:r>
          </w:p>
        </w:tc>
      </w:tr>
      <w:tr w14:paraId="695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CCD9E4B">
            <w:pPr>
              <w:jc w:val="center"/>
              <w:rPr>
                <w:b/>
                <w:bCs/>
                <w:color w:val="000000"/>
                <w:sz w:val="20"/>
                <w:szCs w:val="20"/>
              </w:rPr>
            </w:pPr>
            <w:r>
              <w:rPr>
                <w:b/>
                <w:bCs/>
                <w:color w:val="000000"/>
                <w:sz w:val="20"/>
                <w:szCs w:val="20"/>
              </w:rPr>
              <w:t>LK43</w:t>
            </w:r>
          </w:p>
        </w:tc>
        <w:tc>
          <w:tcPr>
            <w:tcW w:w="1802" w:type="dxa"/>
            <w:vAlign w:val="center"/>
          </w:tcPr>
          <w:p w14:paraId="773EA7CB">
            <w:pPr>
              <w:jc w:val="center"/>
              <w:rPr>
                <w:color w:val="000000"/>
                <w:sz w:val="20"/>
                <w:szCs w:val="20"/>
              </w:rPr>
            </w:pPr>
            <w:r>
              <w:rPr>
                <w:color w:val="000000"/>
                <w:sz w:val="20"/>
                <w:szCs w:val="20"/>
              </w:rPr>
              <w:t>LK43:04</w:t>
            </w:r>
          </w:p>
        </w:tc>
        <w:tc>
          <w:tcPr>
            <w:tcW w:w="1033" w:type="dxa"/>
            <w:noWrap/>
            <w:vAlign w:val="center"/>
          </w:tcPr>
          <w:p w14:paraId="39B80890">
            <w:pPr>
              <w:jc w:val="center"/>
              <w:rPr>
                <w:color w:val="000000"/>
                <w:sz w:val="20"/>
                <w:szCs w:val="20"/>
              </w:rPr>
            </w:pPr>
            <w:r>
              <w:rPr>
                <w:color w:val="000000"/>
                <w:sz w:val="20"/>
                <w:szCs w:val="20"/>
              </w:rPr>
              <w:t>90,00</w:t>
            </w:r>
          </w:p>
        </w:tc>
        <w:tc>
          <w:tcPr>
            <w:tcW w:w="846" w:type="dxa"/>
            <w:noWrap/>
            <w:vAlign w:val="center"/>
          </w:tcPr>
          <w:p w14:paraId="642D52DA">
            <w:pPr>
              <w:jc w:val="center"/>
              <w:rPr>
                <w:color w:val="000000"/>
                <w:sz w:val="20"/>
                <w:szCs w:val="20"/>
              </w:rPr>
            </w:pPr>
            <w:r>
              <w:rPr>
                <w:color w:val="000000"/>
                <w:sz w:val="20"/>
                <w:szCs w:val="20"/>
              </w:rPr>
              <w:t>1</w:t>
            </w:r>
          </w:p>
        </w:tc>
        <w:tc>
          <w:tcPr>
            <w:tcW w:w="2578" w:type="dxa"/>
            <w:noWrap/>
            <w:vAlign w:val="center"/>
          </w:tcPr>
          <w:p w14:paraId="39D06D88">
            <w:pPr>
              <w:jc w:val="center"/>
              <w:rPr>
                <w:color w:val="000000"/>
                <w:sz w:val="20"/>
                <w:szCs w:val="20"/>
              </w:rPr>
            </w:pPr>
            <w:r>
              <w:rPr>
                <w:color w:val="000000"/>
                <w:sz w:val="20"/>
                <w:szCs w:val="20"/>
              </w:rPr>
              <w:t>Mặt cắt 3-3</w:t>
            </w:r>
          </w:p>
        </w:tc>
        <w:tc>
          <w:tcPr>
            <w:tcW w:w="2393" w:type="dxa"/>
            <w:noWrap/>
            <w:vAlign w:val="center"/>
          </w:tcPr>
          <w:p w14:paraId="0C06C94F">
            <w:pPr>
              <w:jc w:val="center"/>
              <w:rPr>
                <w:color w:val="000000"/>
                <w:sz w:val="20"/>
                <w:szCs w:val="20"/>
              </w:rPr>
            </w:pPr>
            <w:r>
              <w:rPr>
                <w:color w:val="000000"/>
                <w:sz w:val="20"/>
                <w:szCs w:val="20"/>
              </w:rPr>
              <w:t>Một mặt tiền</w:t>
            </w:r>
          </w:p>
        </w:tc>
        <w:tc>
          <w:tcPr>
            <w:tcW w:w="1198" w:type="dxa"/>
            <w:noWrap/>
            <w:vAlign w:val="center"/>
          </w:tcPr>
          <w:p w14:paraId="7B659970">
            <w:pPr>
              <w:jc w:val="center"/>
              <w:rPr>
                <w:color w:val="000000"/>
                <w:sz w:val="20"/>
                <w:szCs w:val="20"/>
              </w:rPr>
            </w:pPr>
            <w:r>
              <w:rPr>
                <w:color w:val="000000"/>
                <w:sz w:val="20"/>
                <w:szCs w:val="20"/>
              </w:rPr>
              <w:t>8.000.000</w:t>
            </w:r>
          </w:p>
        </w:tc>
        <w:tc>
          <w:tcPr>
            <w:tcW w:w="1236" w:type="dxa"/>
            <w:noWrap/>
            <w:vAlign w:val="center"/>
          </w:tcPr>
          <w:p w14:paraId="03BC514E">
            <w:pPr>
              <w:jc w:val="center"/>
              <w:rPr>
                <w:color w:val="000000"/>
                <w:sz w:val="20"/>
                <w:szCs w:val="20"/>
              </w:rPr>
            </w:pPr>
          </w:p>
        </w:tc>
        <w:tc>
          <w:tcPr>
            <w:tcW w:w="1252" w:type="dxa"/>
            <w:noWrap/>
            <w:vAlign w:val="center"/>
          </w:tcPr>
          <w:p w14:paraId="6A87DB4D">
            <w:pPr>
              <w:jc w:val="center"/>
              <w:rPr>
                <w:color w:val="000000"/>
                <w:sz w:val="20"/>
                <w:szCs w:val="20"/>
              </w:rPr>
            </w:pPr>
            <w:r>
              <w:rPr>
                <w:color w:val="000000"/>
                <w:sz w:val="20"/>
                <w:szCs w:val="20"/>
              </w:rPr>
              <w:t>8.000.000</w:t>
            </w:r>
          </w:p>
        </w:tc>
        <w:tc>
          <w:tcPr>
            <w:tcW w:w="1848" w:type="dxa"/>
            <w:noWrap/>
            <w:vAlign w:val="center"/>
          </w:tcPr>
          <w:p w14:paraId="78F4FB20">
            <w:pPr>
              <w:jc w:val="center"/>
              <w:rPr>
                <w:color w:val="000000"/>
                <w:sz w:val="20"/>
                <w:szCs w:val="20"/>
              </w:rPr>
            </w:pPr>
            <w:r>
              <w:rPr>
                <w:color w:val="000000"/>
                <w:sz w:val="20"/>
                <w:szCs w:val="20"/>
              </w:rPr>
              <w:t>720.000.000</w:t>
            </w:r>
          </w:p>
        </w:tc>
      </w:tr>
      <w:tr w14:paraId="0813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F22AC20">
            <w:pPr>
              <w:jc w:val="center"/>
              <w:rPr>
                <w:b/>
                <w:bCs/>
                <w:color w:val="000000"/>
                <w:sz w:val="20"/>
                <w:szCs w:val="20"/>
              </w:rPr>
            </w:pPr>
            <w:r>
              <w:rPr>
                <w:b/>
                <w:bCs/>
                <w:color w:val="000000"/>
                <w:sz w:val="20"/>
                <w:szCs w:val="20"/>
              </w:rPr>
              <w:t>LK43</w:t>
            </w:r>
          </w:p>
        </w:tc>
        <w:tc>
          <w:tcPr>
            <w:tcW w:w="1802" w:type="dxa"/>
            <w:vAlign w:val="center"/>
          </w:tcPr>
          <w:p w14:paraId="6032200A">
            <w:pPr>
              <w:jc w:val="center"/>
              <w:rPr>
                <w:color w:val="000000"/>
                <w:sz w:val="20"/>
                <w:szCs w:val="20"/>
              </w:rPr>
            </w:pPr>
            <w:r>
              <w:rPr>
                <w:color w:val="000000"/>
                <w:sz w:val="20"/>
                <w:szCs w:val="20"/>
              </w:rPr>
              <w:t>LK43:05</w:t>
            </w:r>
          </w:p>
        </w:tc>
        <w:tc>
          <w:tcPr>
            <w:tcW w:w="1033" w:type="dxa"/>
            <w:noWrap/>
            <w:vAlign w:val="center"/>
          </w:tcPr>
          <w:p w14:paraId="7E04065B">
            <w:pPr>
              <w:jc w:val="center"/>
              <w:rPr>
                <w:color w:val="000000"/>
                <w:sz w:val="20"/>
                <w:szCs w:val="20"/>
              </w:rPr>
            </w:pPr>
            <w:r>
              <w:rPr>
                <w:color w:val="000000"/>
                <w:sz w:val="20"/>
                <w:szCs w:val="20"/>
              </w:rPr>
              <w:t>90,00</w:t>
            </w:r>
          </w:p>
        </w:tc>
        <w:tc>
          <w:tcPr>
            <w:tcW w:w="846" w:type="dxa"/>
            <w:noWrap/>
            <w:vAlign w:val="center"/>
          </w:tcPr>
          <w:p w14:paraId="7B74D262">
            <w:pPr>
              <w:jc w:val="center"/>
              <w:rPr>
                <w:color w:val="000000"/>
                <w:sz w:val="20"/>
                <w:szCs w:val="20"/>
              </w:rPr>
            </w:pPr>
            <w:r>
              <w:rPr>
                <w:color w:val="000000"/>
                <w:sz w:val="20"/>
                <w:szCs w:val="20"/>
              </w:rPr>
              <w:t>1</w:t>
            </w:r>
          </w:p>
        </w:tc>
        <w:tc>
          <w:tcPr>
            <w:tcW w:w="2578" w:type="dxa"/>
            <w:noWrap/>
            <w:vAlign w:val="center"/>
          </w:tcPr>
          <w:p w14:paraId="4BB7E739">
            <w:pPr>
              <w:jc w:val="center"/>
              <w:rPr>
                <w:color w:val="000000"/>
                <w:sz w:val="20"/>
                <w:szCs w:val="20"/>
              </w:rPr>
            </w:pPr>
            <w:r>
              <w:rPr>
                <w:color w:val="000000"/>
                <w:sz w:val="20"/>
                <w:szCs w:val="20"/>
              </w:rPr>
              <w:t>Mặt cắt 3-3</w:t>
            </w:r>
          </w:p>
        </w:tc>
        <w:tc>
          <w:tcPr>
            <w:tcW w:w="2393" w:type="dxa"/>
            <w:noWrap/>
            <w:vAlign w:val="center"/>
          </w:tcPr>
          <w:p w14:paraId="692E45A7">
            <w:pPr>
              <w:jc w:val="center"/>
              <w:rPr>
                <w:color w:val="000000"/>
                <w:sz w:val="20"/>
                <w:szCs w:val="20"/>
              </w:rPr>
            </w:pPr>
            <w:r>
              <w:rPr>
                <w:color w:val="000000"/>
                <w:sz w:val="20"/>
                <w:szCs w:val="20"/>
              </w:rPr>
              <w:t>Một mặt tiền</w:t>
            </w:r>
          </w:p>
        </w:tc>
        <w:tc>
          <w:tcPr>
            <w:tcW w:w="1198" w:type="dxa"/>
            <w:noWrap/>
            <w:vAlign w:val="center"/>
          </w:tcPr>
          <w:p w14:paraId="2F33109B">
            <w:pPr>
              <w:jc w:val="center"/>
              <w:rPr>
                <w:color w:val="000000"/>
                <w:sz w:val="20"/>
                <w:szCs w:val="20"/>
              </w:rPr>
            </w:pPr>
            <w:r>
              <w:rPr>
                <w:color w:val="000000"/>
                <w:sz w:val="20"/>
                <w:szCs w:val="20"/>
              </w:rPr>
              <w:t>8.000.000</w:t>
            </w:r>
          </w:p>
        </w:tc>
        <w:tc>
          <w:tcPr>
            <w:tcW w:w="1236" w:type="dxa"/>
            <w:noWrap/>
            <w:vAlign w:val="center"/>
          </w:tcPr>
          <w:p w14:paraId="5510C43A">
            <w:pPr>
              <w:jc w:val="center"/>
              <w:rPr>
                <w:color w:val="000000"/>
                <w:sz w:val="20"/>
                <w:szCs w:val="20"/>
              </w:rPr>
            </w:pPr>
          </w:p>
        </w:tc>
        <w:tc>
          <w:tcPr>
            <w:tcW w:w="1252" w:type="dxa"/>
            <w:noWrap/>
            <w:vAlign w:val="center"/>
          </w:tcPr>
          <w:p w14:paraId="7F44CE91">
            <w:pPr>
              <w:jc w:val="center"/>
              <w:rPr>
                <w:color w:val="000000"/>
                <w:sz w:val="20"/>
                <w:szCs w:val="20"/>
              </w:rPr>
            </w:pPr>
            <w:r>
              <w:rPr>
                <w:color w:val="000000"/>
                <w:sz w:val="20"/>
                <w:szCs w:val="20"/>
              </w:rPr>
              <w:t>8.000.000</w:t>
            </w:r>
          </w:p>
        </w:tc>
        <w:tc>
          <w:tcPr>
            <w:tcW w:w="1848" w:type="dxa"/>
            <w:noWrap/>
            <w:vAlign w:val="center"/>
          </w:tcPr>
          <w:p w14:paraId="0DB5874A">
            <w:pPr>
              <w:jc w:val="center"/>
              <w:rPr>
                <w:color w:val="000000"/>
                <w:sz w:val="20"/>
                <w:szCs w:val="20"/>
              </w:rPr>
            </w:pPr>
            <w:r>
              <w:rPr>
                <w:color w:val="000000"/>
                <w:sz w:val="20"/>
                <w:szCs w:val="20"/>
              </w:rPr>
              <w:t>720.000.000</w:t>
            </w:r>
          </w:p>
        </w:tc>
      </w:tr>
      <w:tr w14:paraId="10A1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F065865">
            <w:pPr>
              <w:jc w:val="center"/>
              <w:rPr>
                <w:b/>
                <w:bCs/>
                <w:color w:val="000000"/>
                <w:sz w:val="20"/>
                <w:szCs w:val="20"/>
              </w:rPr>
            </w:pPr>
            <w:r>
              <w:rPr>
                <w:b/>
                <w:bCs/>
                <w:color w:val="000000"/>
                <w:sz w:val="20"/>
                <w:szCs w:val="20"/>
              </w:rPr>
              <w:t>LK43</w:t>
            </w:r>
          </w:p>
        </w:tc>
        <w:tc>
          <w:tcPr>
            <w:tcW w:w="1802" w:type="dxa"/>
            <w:vAlign w:val="center"/>
          </w:tcPr>
          <w:p w14:paraId="317A27EF">
            <w:pPr>
              <w:jc w:val="center"/>
              <w:rPr>
                <w:color w:val="000000"/>
                <w:sz w:val="20"/>
                <w:szCs w:val="20"/>
              </w:rPr>
            </w:pPr>
            <w:r>
              <w:rPr>
                <w:color w:val="000000"/>
                <w:sz w:val="20"/>
                <w:szCs w:val="20"/>
              </w:rPr>
              <w:t>LK43:06</w:t>
            </w:r>
          </w:p>
        </w:tc>
        <w:tc>
          <w:tcPr>
            <w:tcW w:w="1033" w:type="dxa"/>
            <w:noWrap/>
            <w:vAlign w:val="center"/>
          </w:tcPr>
          <w:p w14:paraId="365ABE70">
            <w:pPr>
              <w:jc w:val="center"/>
              <w:rPr>
                <w:color w:val="000000"/>
                <w:sz w:val="20"/>
                <w:szCs w:val="20"/>
              </w:rPr>
            </w:pPr>
            <w:r>
              <w:rPr>
                <w:color w:val="000000"/>
                <w:sz w:val="20"/>
                <w:szCs w:val="20"/>
              </w:rPr>
              <w:t>90,00</w:t>
            </w:r>
          </w:p>
        </w:tc>
        <w:tc>
          <w:tcPr>
            <w:tcW w:w="846" w:type="dxa"/>
            <w:noWrap/>
            <w:vAlign w:val="center"/>
          </w:tcPr>
          <w:p w14:paraId="52489485">
            <w:pPr>
              <w:jc w:val="center"/>
              <w:rPr>
                <w:color w:val="000000"/>
                <w:sz w:val="20"/>
                <w:szCs w:val="20"/>
              </w:rPr>
            </w:pPr>
            <w:r>
              <w:rPr>
                <w:color w:val="000000"/>
                <w:sz w:val="20"/>
                <w:szCs w:val="20"/>
              </w:rPr>
              <w:t>1</w:t>
            </w:r>
          </w:p>
        </w:tc>
        <w:tc>
          <w:tcPr>
            <w:tcW w:w="2578" w:type="dxa"/>
            <w:noWrap/>
            <w:vAlign w:val="center"/>
          </w:tcPr>
          <w:p w14:paraId="4576973F">
            <w:pPr>
              <w:jc w:val="center"/>
              <w:rPr>
                <w:color w:val="000000"/>
                <w:sz w:val="20"/>
                <w:szCs w:val="20"/>
              </w:rPr>
            </w:pPr>
            <w:r>
              <w:rPr>
                <w:color w:val="000000"/>
                <w:sz w:val="20"/>
                <w:szCs w:val="20"/>
              </w:rPr>
              <w:t>Mặt cắt 3-3</w:t>
            </w:r>
          </w:p>
        </w:tc>
        <w:tc>
          <w:tcPr>
            <w:tcW w:w="2393" w:type="dxa"/>
            <w:noWrap/>
            <w:vAlign w:val="center"/>
          </w:tcPr>
          <w:p w14:paraId="7195190F">
            <w:pPr>
              <w:jc w:val="center"/>
              <w:rPr>
                <w:color w:val="000000"/>
                <w:sz w:val="20"/>
                <w:szCs w:val="20"/>
              </w:rPr>
            </w:pPr>
            <w:r>
              <w:rPr>
                <w:color w:val="000000"/>
                <w:sz w:val="20"/>
                <w:szCs w:val="20"/>
              </w:rPr>
              <w:t>Một mặt tiền</w:t>
            </w:r>
          </w:p>
        </w:tc>
        <w:tc>
          <w:tcPr>
            <w:tcW w:w="1198" w:type="dxa"/>
            <w:noWrap/>
            <w:vAlign w:val="center"/>
          </w:tcPr>
          <w:p w14:paraId="7FEF5818">
            <w:pPr>
              <w:jc w:val="center"/>
              <w:rPr>
                <w:color w:val="000000"/>
                <w:sz w:val="20"/>
                <w:szCs w:val="20"/>
              </w:rPr>
            </w:pPr>
            <w:r>
              <w:rPr>
                <w:color w:val="000000"/>
                <w:sz w:val="20"/>
                <w:szCs w:val="20"/>
              </w:rPr>
              <w:t>8.000.000</w:t>
            </w:r>
          </w:p>
        </w:tc>
        <w:tc>
          <w:tcPr>
            <w:tcW w:w="1236" w:type="dxa"/>
            <w:noWrap/>
            <w:vAlign w:val="center"/>
          </w:tcPr>
          <w:p w14:paraId="1C139678">
            <w:pPr>
              <w:jc w:val="center"/>
              <w:rPr>
                <w:color w:val="000000"/>
                <w:sz w:val="20"/>
                <w:szCs w:val="20"/>
              </w:rPr>
            </w:pPr>
          </w:p>
        </w:tc>
        <w:tc>
          <w:tcPr>
            <w:tcW w:w="1252" w:type="dxa"/>
            <w:noWrap/>
            <w:vAlign w:val="center"/>
          </w:tcPr>
          <w:p w14:paraId="368035E9">
            <w:pPr>
              <w:jc w:val="center"/>
              <w:rPr>
                <w:color w:val="000000"/>
                <w:sz w:val="20"/>
                <w:szCs w:val="20"/>
              </w:rPr>
            </w:pPr>
            <w:r>
              <w:rPr>
                <w:color w:val="000000"/>
                <w:sz w:val="20"/>
                <w:szCs w:val="20"/>
              </w:rPr>
              <w:t>8.000.000</w:t>
            </w:r>
          </w:p>
        </w:tc>
        <w:tc>
          <w:tcPr>
            <w:tcW w:w="1848" w:type="dxa"/>
            <w:noWrap/>
            <w:vAlign w:val="center"/>
          </w:tcPr>
          <w:p w14:paraId="6FA10DF3">
            <w:pPr>
              <w:jc w:val="center"/>
              <w:rPr>
                <w:color w:val="000000"/>
                <w:sz w:val="20"/>
                <w:szCs w:val="20"/>
              </w:rPr>
            </w:pPr>
            <w:r>
              <w:rPr>
                <w:color w:val="000000"/>
                <w:sz w:val="20"/>
                <w:szCs w:val="20"/>
              </w:rPr>
              <w:t>720.000.000</w:t>
            </w:r>
          </w:p>
        </w:tc>
      </w:tr>
      <w:tr w14:paraId="7B82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CE724F5">
            <w:pPr>
              <w:jc w:val="center"/>
              <w:rPr>
                <w:b/>
                <w:bCs/>
                <w:color w:val="000000"/>
                <w:sz w:val="20"/>
                <w:szCs w:val="20"/>
              </w:rPr>
            </w:pPr>
            <w:r>
              <w:rPr>
                <w:b/>
                <w:bCs/>
                <w:color w:val="000000"/>
                <w:sz w:val="20"/>
                <w:szCs w:val="20"/>
              </w:rPr>
              <w:t>LK43</w:t>
            </w:r>
          </w:p>
        </w:tc>
        <w:tc>
          <w:tcPr>
            <w:tcW w:w="1802" w:type="dxa"/>
            <w:vAlign w:val="center"/>
          </w:tcPr>
          <w:p w14:paraId="1A817DCF">
            <w:pPr>
              <w:jc w:val="center"/>
              <w:rPr>
                <w:color w:val="000000"/>
                <w:sz w:val="20"/>
                <w:szCs w:val="20"/>
              </w:rPr>
            </w:pPr>
            <w:r>
              <w:rPr>
                <w:color w:val="000000"/>
                <w:sz w:val="20"/>
                <w:szCs w:val="20"/>
              </w:rPr>
              <w:t>LK43:07</w:t>
            </w:r>
          </w:p>
        </w:tc>
        <w:tc>
          <w:tcPr>
            <w:tcW w:w="1033" w:type="dxa"/>
            <w:noWrap/>
            <w:vAlign w:val="center"/>
          </w:tcPr>
          <w:p w14:paraId="74C42784">
            <w:pPr>
              <w:jc w:val="center"/>
              <w:rPr>
                <w:color w:val="000000"/>
                <w:sz w:val="20"/>
                <w:szCs w:val="20"/>
              </w:rPr>
            </w:pPr>
            <w:r>
              <w:rPr>
                <w:color w:val="000000"/>
                <w:sz w:val="20"/>
                <w:szCs w:val="20"/>
              </w:rPr>
              <w:t>90,00</w:t>
            </w:r>
          </w:p>
        </w:tc>
        <w:tc>
          <w:tcPr>
            <w:tcW w:w="846" w:type="dxa"/>
            <w:noWrap/>
            <w:vAlign w:val="center"/>
          </w:tcPr>
          <w:p w14:paraId="242CF16F">
            <w:pPr>
              <w:jc w:val="center"/>
              <w:rPr>
                <w:color w:val="000000"/>
                <w:sz w:val="20"/>
                <w:szCs w:val="20"/>
              </w:rPr>
            </w:pPr>
            <w:r>
              <w:rPr>
                <w:color w:val="000000"/>
                <w:sz w:val="20"/>
                <w:szCs w:val="20"/>
              </w:rPr>
              <w:t>1</w:t>
            </w:r>
          </w:p>
        </w:tc>
        <w:tc>
          <w:tcPr>
            <w:tcW w:w="2578" w:type="dxa"/>
            <w:noWrap/>
            <w:vAlign w:val="center"/>
          </w:tcPr>
          <w:p w14:paraId="6B36FA2D">
            <w:pPr>
              <w:jc w:val="center"/>
              <w:rPr>
                <w:color w:val="000000"/>
                <w:sz w:val="20"/>
                <w:szCs w:val="20"/>
              </w:rPr>
            </w:pPr>
            <w:r>
              <w:rPr>
                <w:color w:val="000000"/>
                <w:sz w:val="20"/>
                <w:szCs w:val="20"/>
              </w:rPr>
              <w:t>Mặt cắt 3-3</w:t>
            </w:r>
          </w:p>
        </w:tc>
        <w:tc>
          <w:tcPr>
            <w:tcW w:w="2393" w:type="dxa"/>
            <w:noWrap/>
            <w:vAlign w:val="center"/>
          </w:tcPr>
          <w:p w14:paraId="37287BCC">
            <w:pPr>
              <w:jc w:val="center"/>
              <w:rPr>
                <w:color w:val="000000"/>
                <w:sz w:val="20"/>
                <w:szCs w:val="20"/>
              </w:rPr>
            </w:pPr>
            <w:r>
              <w:rPr>
                <w:color w:val="000000"/>
                <w:sz w:val="20"/>
                <w:szCs w:val="20"/>
              </w:rPr>
              <w:t>Một mặt tiền</w:t>
            </w:r>
          </w:p>
        </w:tc>
        <w:tc>
          <w:tcPr>
            <w:tcW w:w="1198" w:type="dxa"/>
            <w:noWrap/>
            <w:vAlign w:val="center"/>
          </w:tcPr>
          <w:p w14:paraId="272206DF">
            <w:pPr>
              <w:jc w:val="center"/>
              <w:rPr>
                <w:color w:val="000000"/>
                <w:sz w:val="20"/>
                <w:szCs w:val="20"/>
              </w:rPr>
            </w:pPr>
            <w:r>
              <w:rPr>
                <w:color w:val="000000"/>
                <w:sz w:val="20"/>
                <w:szCs w:val="20"/>
              </w:rPr>
              <w:t>8.000.000</w:t>
            </w:r>
          </w:p>
        </w:tc>
        <w:tc>
          <w:tcPr>
            <w:tcW w:w="1236" w:type="dxa"/>
            <w:noWrap/>
            <w:vAlign w:val="center"/>
          </w:tcPr>
          <w:p w14:paraId="5F6E509B">
            <w:pPr>
              <w:jc w:val="center"/>
              <w:rPr>
                <w:color w:val="000000"/>
                <w:sz w:val="20"/>
                <w:szCs w:val="20"/>
              </w:rPr>
            </w:pPr>
          </w:p>
        </w:tc>
        <w:tc>
          <w:tcPr>
            <w:tcW w:w="1252" w:type="dxa"/>
            <w:noWrap/>
            <w:vAlign w:val="center"/>
          </w:tcPr>
          <w:p w14:paraId="261741F9">
            <w:pPr>
              <w:jc w:val="center"/>
              <w:rPr>
                <w:color w:val="000000"/>
                <w:sz w:val="20"/>
                <w:szCs w:val="20"/>
              </w:rPr>
            </w:pPr>
            <w:r>
              <w:rPr>
                <w:color w:val="000000"/>
                <w:sz w:val="20"/>
                <w:szCs w:val="20"/>
              </w:rPr>
              <w:t>8.000.000</w:t>
            </w:r>
          </w:p>
        </w:tc>
        <w:tc>
          <w:tcPr>
            <w:tcW w:w="1848" w:type="dxa"/>
            <w:noWrap/>
            <w:vAlign w:val="center"/>
          </w:tcPr>
          <w:p w14:paraId="654AA401">
            <w:pPr>
              <w:jc w:val="center"/>
              <w:rPr>
                <w:color w:val="000000"/>
                <w:sz w:val="20"/>
                <w:szCs w:val="20"/>
              </w:rPr>
            </w:pPr>
            <w:r>
              <w:rPr>
                <w:color w:val="000000"/>
                <w:sz w:val="20"/>
                <w:szCs w:val="20"/>
              </w:rPr>
              <w:t>720.000.000</w:t>
            </w:r>
          </w:p>
        </w:tc>
      </w:tr>
      <w:tr w14:paraId="7EEC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D5510B">
            <w:pPr>
              <w:jc w:val="center"/>
              <w:rPr>
                <w:b/>
                <w:bCs/>
                <w:color w:val="000000"/>
                <w:sz w:val="20"/>
                <w:szCs w:val="20"/>
              </w:rPr>
            </w:pPr>
            <w:r>
              <w:rPr>
                <w:b/>
                <w:bCs/>
                <w:color w:val="000000"/>
                <w:sz w:val="20"/>
                <w:szCs w:val="20"/>
              </w:rPr>
              <w:t>LK43</w:t>
            </w:r>
          </w:p>
        </w:tc>
        <w:tc>
          <w:tcPr>
            <w:tcW w:w="1802" w:type="dxa"/>
            <w:vAlign w:val="center"/>
          </w:tcPr>
          <w:p w14:paraId="7E92F0BA">
            <w:pPr>
              <w:jc w:val="center"/>
              <w:rPr>
                <w:color w:val="000000"/>
                <w:sz w:val="20"/>
                <w:szCs w:val="20"/>
              </w:rPr>
            </w:pPr>
            <w:r>
              <w:rPr>
                <w:color w:val="000000"/>
                <w:sz w:val="20"/>
                <w:szCs w:val="20"/>
              </w:rPr>
              <w:t>LK43:08</w:t>
            </w:r>
          </w:p>
        </w:tc>
        <w:tc>
          <w:tcPr>
            <w:tcW w:w="1033" w:type="dxa"/>
            <w:noWrap/>
            <w:vAlign w:val="center"/>
          </w:tcPr>
          <w:p w14:paraId="662A18B0">
            <w:pPr>
              <w:jc w:val="center"/>
              <w:rPr>
                <w:color w:val="000000"/>
                <w:sz w:val="20"/>
                <w:szCs w:val="20"/>
              </w:rPr>
            </w:pPr>
            <w:r>
              <w:rPr>
                <w:color w:val="000000"/>
                <w:sz w:val="20"/>
                <w:szCs w:val="20"/>
              </w:rPr>
              <w:t>90,00</w:t>
            </w:r>
          </w:p>
        </w:tc>
        <w:tc>
          <w:tcPr>
            <w:tcW w:w="846" w:type="dxa"/>
            <w:noWrap/>
            <w:vAlign w:val="center"/>
          </w:tcPr>
          <w:p w14:paraId="7802015C">
            <w:pPr>
              <w:jc w:val="center"/>
              <w:rPr>
                <w:color w:val="000000"/>
                <w:sz w:val="20"/>
                <w:szCs w:val="20"/>
              </w:rPr>
            </w:pPr>
            <w:r>
              <w:rPr>
                <w:color w:val="000000"/>
                <w:sz w:val="20"/>
                <w:szCs w:val="20"/>
              </w:rPr>
              <w:t>1</w:t>
            </w:r>
          </w:p>
        </w:tc>
        <w:tc>
          <w:tcPr>
            <w:tcW w:w="2578" w:type="dxa"/>
            <w:noWrap/>
            <w:vAlign w:val="center"/>
          </w:tcPr>
          <w:p w14:paraId="7FFB1610">
            <w:pPr>
              <w:jc w:val="center"/>
              <w:rPr>
                <w:color w:val="000000"/>
                <w:sz w:val="20"/>
                <w:szCs w:val="20"/>
              </w:rPr>
            </w:pPr>
            <w:r>
              <w:rPr>
                <w:color w:val="000000"/>
                <w:sz w:val="20"/>
                <w:szCs w:val="20"/>
              </w:rPr>
              <w:t>Mặt cắt 3-3</w:t>
            </w:r>
          </w:p>
        </w:tc>
        <w:tc>
          <w:tcPr>
            <w:tcW w:w="2393" w:type="dxa"/>
            <w:noWrap/>
            <w:vAlign w:val="center"/>
          </w:tcPr>
          <w:p w14:paraId="5E8A5687">
            <w:pPr>
              <w:jc w:val="center"/>
              <w:rPr>
                <w:color w:val="000000"/>
                <w:sz w:val="20"/>
                <w:szCs w:val="20"/>
              </w:rPr>
            </w:pPr>
            <w:r>
              <w:rPr>
                <w:color w:val="000000"/>
                <w:sz w:val="20"/>
                <w:szCs w:val="20"/>
              </w:rPr>
              <w:t>Một mặt tiền</w:t>
            </w:r>
          </w:p>
        </w:tc>
        <w:tc>
          <w:tcPr>
            <w:tcW w:w="1198" w:type="dxa"/>
            <w:noWrap/>
            <w:vAlign w:val="center"/>
          </w:tcPr>
          <w:p w14:paraId="7C26567A">
            <w:pPr>
              <w:jc w:val="center"/>
              <w:rPr>
                <w:color w:val="000000"/>
                <w:sz w:val="20"/>
                <w:szCs w:val="20"/>
              </w:rPr>
            </w:pPr>
            <w:r>
              <w:rPr>
                <w:color w:val="000000"/>
                <w:sz w:val="20"/>
                <w:szCs w:val="20"/>
              </w:rPr>
              <w:t>8.000.000</w:t>
            </w:r>
          </w:p>
        </w:tc>
        <w:tc>
          <w:tcPr>
            <w:tcW w:w="1236" w:type="dxa"/>
            <w:noWrap/>
            <w:vAlign w:val="center"/>
          </w:tcPr>
          <w:p w14:paraId="65D07390">
            <w:pPr>
              <w:jc w:val="center"/>
              <w:rPr>
                <w:color w:val="000000"/>
                <w:sz w:val="20"/>
                <w:szCs w:val="20"/>
              </w:rPr>
            </w:pPr>
          </w:p>
        </w:tc>
        <w:tc>
          <w:tcPr>
            <w:tcW w:w="1252" w:type="dxa"/>
            <w:noWrap/>
            <w:vAlign w:val="center"/>
          </w:tcPr>
          <w:p w14:paraId="08EE5539">
            <w:pPr>
              <w:jc w:val="center"/>
              <w:rPr>
                <w:color w:val="000000"/>
                <w:sz w:val="20"/>
                <w:szCs w:val="20"/>
              </w:rPr>
            </w:pPr>
            <w:r>
              <w:rPr>
                <w:color w:val="000000"/>
                <w:sz w:val="20"/>
                <w:szCs w:val="20"/>
              </w:rPr>
              <w:t>8.000.000</w:t>
            </w:r>
          </w:p>
        </w:tc>
        <w:tc>
          <w:tcPr>
            <w:tcW w:w="1848" w:type="dxa"/>
            <w:noWrap/>
            <w:vAlign w:val="center"/>
          </w:tcPr>
          <w:p w14:paraId="3A48337D">
            <w:pPr>
              <w:jc w:val="center"/>
              <w:rPr>
                <w:color w:val="000000"/>
                <w:sz w:val="20"/>
                <w:szCs w:val="20"/>
              </w:rPr>
            </w:pPr>
            <w:r>
              <w:rPr>
                <w:color w:val="000000"/>
                <w:sz w:val="20"/>
                <w:szCs w:val="20"/>
              </w:rPr>
              <w:t>720.000.000</w:t>
            </w:r>
          </w:p>
        </w:tc>
      </w:tr>
      <w:tr w14:paraId="7439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315D425">
            <w:pPr>
              <w:jc w:val="center"/>
              <w:rPr>
                <w:b/>
                <w:bCs/>
                <w:color w:val="000000"/>
                <w:sz w:val="20"/>
                <w:szCs w:val="20"/>
              </w:rPr>
            </w:pPr>
            <w:r>
              <w:rPr>
                <w:b/>
                <w:bCs/>
                <w:color w:val="000000"/>
                <w:sz w:val="20"/>
                <w:szCs w:val="20"/>
              </w:rPr>
              <w:t>LK45</w:t>
            </w:r>
          </w:p>
        </w:tc>
        <w:tc>
          <w:tcPr>
            <w:tcW w:w="1802" w:type="dxa"/>
            <w:vAlign w:val="center"/>
          </w:tcPr>
          <w:p w14:paraId="37787678">
            <w:pPr>
              <w:jc w:val="center"/>
              <w:rPr>
                <w:color w:val="000000"/>
                <w:sz w:val="20"/>
                <w:szCs w:val="20"/>
              </w:rPr>
            </w:pPr>
            <w:r>
              <w:rPr>
                <w:color w:val="000000"/>
                <w:sz w:val="20"/>
                <w:szCs w:val="20"/>
              </w:rPr>
              <w:t>LK45:02</w:t>
            </w:r>
          </w:p>
        </w:tc>
        <w:tc>
          <w:tcPr>
            <w:tcW w:w="1033" w:type="dxa"/>
            <w:noWrap/>
            <w:vAlign w:val="center"/>
          </w:tcPr>
          <w:p w14:paraId="2365AA12">
            <w:pPr>
              <w:jc w:val="center"/>
              <w:rPr>
                <w:color w:val="000000"/>
                <w:sz w:val="20"/>
                <w:szCs w:val="20"/>
              </w:rPr>
            </w:pPr>
            <w:r>
              <w:rPr>
                <w:color w:val="000000"/>
                <w:sz w:val="20"/>
                <w:szCs w:val="20"/>
              </w:rPr>
              <w:t>90,00</w:t>
            </w:r>
          </w:p>
        </w:tc>
        <w:tc>
          <w:tcPr>
            <w:tcW w:w="846" w:type="dxa"/>
            <w:noWrap/>
            <w:vAlign w:val="center"/>
          </w:tcPr>
          <w:p w14:paraId="0E3A2B2A">
            <w:pPr>
              <w:jc w:val="center"/>
              <w:rPr>
                <w:color w:val="000000"/>
                <w:sz w:val="20"/>
                <w:szCs w:val="20"/>
              </w:rPr>
            </w:pPr>
            <w:r>
              <w:rPr>
                <w:color w:val="000000"/>
                <w:sz w:val="20"/>
                <w:szCs w:val="20"/>
              </w:rPr>
              <w:t>1</w:t>
            </w:r>
          </w:p>
        </w:tc>
        <w:tc>
          <w:tcPr>
            <w:tcW w:w="2578" w:type="dxa"/>
            <w:noWrap/>
            <w:vAlign w:val="center"/>
          </w:tcPr>
          <w:p w14:paraId="6896ADB1">
            <w:pPr>
              <w:jc w:val="center"/>
              <w:rPr>
                <w:color w:val="000000"/>
                <w:sz w:val="20"/>
                <w:szCs w:val="20"/>
              </w:rPr>
            </w:pPr>
            <w:r>
              <w:rPr>
                <w:color w:val="000000"/>
                <w:sz w:val="20"/>
                <w:szCs w:val="20"/>
              </w:rPr>
              <w:t>Mặt cắt 3-3</w:t>
            </w:r>
          </w:p>
        </w:tc>
        <w:tc>
          <w:tcPr>
            <w:tcW w:w="2393" w:type="dxa"/>
            <w:noWrap/>
            <w:vAlign w:val="center"/>
          </w:tcPr>
          <w:p w14:paraId="77924B6B">
            <w:pPr>
              <w:jc w:val="center"/>
              <w:rPr>
                <w:color w:val="000000"/>
                <w:sz w:val="20"/>
                <w:szCs w:val="20"/>
              </w:rPr>
            </w:pPr>
            <w:r>
              <w:rPr>
                <w:color w:val="000000"/>
                <w:sz w:val="20"/>
                <w:szCs w:val="20"/>
              </w:rPr>
              <w:t>Một mặt tiền</w:t>
            </w:r>
          </w:p>
        </w:tc>
        <w:tc>
          <w:tcPr>
            <w:tcW w:w="1198" w:type="dxa"/>
            <w:noWrap/>
            <w:vAlign w:val="center"/>
          </w:tcPr>
          <w:p w14:paraId="42644C32">
            <w:pPr>
              <w:jc w:val="center"/>
              <w:rPr>
                <w:color w:val="000000"/>
                <w:sz w:val="20"/>
                <w:szCs w:val="20"/>
              </w:rPr>
            </w:pPr>
            <w:r>
              <w:rPr>
                <w:color w:val="000000"/>
                <w:sz w:val="20"/>
                <w:szCs w:val="20"/>
              </w:rPr>
              <w:t>8.000.000</w:t>
            </w:r>
          </w:p>
        </w:tc>
        <w:tc>
          <w:tcPr>
            <w:tcW w:w="1236" w:type="dxa"/>
            <w:noWrap/>
            <w:vAlign w:val="center"/>
          </w:tcPr>
          <w:p w14:paraId="1CCBEB9D">
            <w:pPr>
              <w:jc w:val="center"/>
              <w:rPr>
                <w:color w:val="000000"/>
                <w:sz w:val="20"/>
                <w:szCs w:val="20"/>
              </w:rPr>
            </w:pPr>
          </w:p>
        </w:tc>
        <w:tc>
          <w:tcPr>
            <w:tcW w:w="1252" w:type="dxa"/>
            <w:noWrap/>
            <w:vAlign w:val="center"/>
          </w:tcPr>
          <w:p w14:paraId="561AAA85">
            <w:pPr>
              <w:jc w:val="center"/>
              <w:rPr>
                <w:color w:val="000000"/>
                <w:sz w:val="20"/>
                <w:szCs w:val="20"/>
              </w:rPr>
            </w:pPr>
            <w:r>
              <w:rPr>
                <w:color w:val="000000"/>
                <w:sz w:val="20"/>
                <w:szCs w:val="20"/>
              </w:rPr>
              <w:t>8.000.000</w:t>
            </w:r>
          </w:p>
        </w:tc>
        <w:tc>
          <w:tcPr>
            <w:tcW w:w="1848" w:type="dxa"/>
            <w:noWrap/>
            <w:vAlign w:val="center"/>
          </w:tcPr>
          <w:p w14:paraId="580C8AE7">
            <w:pPr>
              <w:jc w:val="center"/>
              <w:rPr>
                <w:color w:val="000000"/>
                <w:sz w:val="20"/>
                <w:szCs w:val="20"/>
              </w:rPr>
            </w:pPr>
            <w:r>
              <w:rPr>
                <w:color w:val="000000"/>
                <w:sz w:val="20"/>
                <w:szCs w:val="20"/>
              </w:rPr>
              <w:t>720.000.000</w:t>
            </w:r>
          </w:p>
        </w:tc>
      </w:tr>
      <w:tr w14:paraId="4BFC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444B12F">
            <w:pPr>
              <w:jc w:val="center"/>
              <w:rPr>
                <w:b/>
                <w:bCs/>
                <w:color w:val="000000"/>
                <w:sz w:val="20"/>
                <w:szCs w:val="20"/>
              </w:rPr>
            </w:pPr>
            <w:r>
              <w:rPr>
                <w:b/>
                <w:bCs/>
                <w:color w:val="000000"/>
                <w:sz w:val="20"/>
                <w:szCs w:val="20"/>
              </w:rPr>
              <w:t>LK45</w:t>
            </w:r>
          </w:p>
        </w:tc>
        <w:tc>
          <w:tcPr>
            <w:tcW w:w="1802" w:type="dxa"/>
            <w:vAlign w:val="center"/>
          </w:tcPr>
          <w:p w14:paraId="3A4E507C">
            <w:pPr>
              <w:jc w:val="center"/>
              <w:rPr>
                <w:color w:val="000000"/>
                <w:sz w:val="20"/>
                <w:szCs w:val="20"/>
              </w:rPr>
            </w:pPr>
            <w:r>
              <w:rPr>
                <w:color w:val="000000"/>
                <w:sz w:val="20"/>
                <w:szCs w:val="20"/>
              </w:rPr>
              <w:t>LK45:03</w:t>
            </w:r>
          </w:p>
        </w:tc>
        <w:tc>
          <w:tcPr>
            <w:tcW w:w="1033" w:type="dxa"/>
            <w:noWrap/>
            <w:vAlign w:val="center"/>
          </w:tcPr>
          <w:p w14:paraId="69727AEA">
            <w:pPr>
              <w:jc w:val="center"/>
              <w:rPr>
                <w:color w:val="000000"/>
                <w:sz w:val="20"/>
                <w:szCs w:val="20"/>
              </w:rPr>
            </w:pPr>
            <w:r>
              <w:rPr>
                <w:color w:val="000000"/>
                <w:sz w:val="20"/>
                <w:szCs w:val="20"/>
              </w:rPr>
              <w:t>90,00</w:t>
            </w:r>
          </w:p>
        </w:tc>
        <w:tc>
          <w:tcPr>
            <w:tcW w:w="846" w:type="dxa"/>
            <w:noWrap/>
            <w:vAlign w:val="center"/>
          </w:tcPr>
          <w:p w14:paraId="67E242FD">
            <w:pPr>
              <w:jc w:val="center"/>
              <w:rPr>
                <w:color w:val="000000"/>
                <w:sz w:val="20"/>
                <w:szCs w:val="20"/>
              </w:rPr>
            </w:pPr>
            <w:r>
              <w:rPr>
                <w:color w:val="000000"/>
                <w:sz w:val="20"/>
                <w:szCs w:val="20"/>
              </w:rPr>
              <w:t>1</w:t>
            </w:r>
          </w:p>
        </w:tc>
        <w:tc>
          <w:tcPr>
            <w:tcW w:w="2578" w:type="dxa"/>
            <w:noWrap/>
            <w:vAlign w:val="center"/>
          </w:tcPr>
          <w:p w14:paraId="6E30D7E6">
            <w:pPr>
              <w:jc w:val="center"/>
              <w:rPr>
                <w:color w:val="000000"/>
                <w:sz w:val="20"/>
                <w:szCs w:val="20"/>
              </w:rPr>
            </w:pPr>
            <w:r>
              <w:rPr>
                <w:color w:val="000000"/>
                <w:sz w:val="20"/>
                <w:szCs w:val="20"/>
              </w:rPr>
              <w:t>Mặt cắt 3-3</w:t>
            </w:r>
          </w:p>
        </w:tc>
        <w:tc>
          <w:tcPr>
            <w:tcW w:w="2393" w:type="dxa"/>
            <w:noWrap/>
            <w:vAlign w:val="center"/>
          </w:tcPr>
          <w:p w14:paraId="62D77349">
            <w:pPr>
              <w:jc w:val="center"/>
              <w:rPr>
                <w:color w:val="000000"/>
                <w:sz w:val="20"/>
                <w:szCs w:val="20"/>
              </w:rPr>
            </w:pPr>
            <w:r>
              <w:rPr>
                <w:color w:val="000000"/>
                <w:sz w:val="20"/>
                <w:szCs w:val="20"/>
              </w:rPr>
              <w:t>Một mặt tiền</w:t>
            </w:r>
          </w:p>
        </w:tc>
        <w:tc>
          <w:tcPr>
            <w:tcW w:w="1198" w:type="dxa"/>
            <w:noWrap/>
            <w:vAlign w:val="center"/>
          </w:tcPr>
          <w:p w14:paraId="7E6EA489">
            <w:pPr>
              <w:jc w:val="center"/>
              <w:rPr>
                <w:color w:val="000000"/>
                <w:sz w:val="20"/>
                <w:szCs w:val="20"/>
              </w:rPr>
            </w:pPr>
            <w:r>
              <w:rPr>
                <w:color w:val="000000"/>
                <w:sz w:val="20"/>
                <w:szCs w:val="20"/>
              </w:rPr>
              <w:t>8.000.000</w:t>
            </w:r>
          </w:p>
        </w:tc>
        <w:tc>
          <w:tcPr>
            <w:tcW w:w="1236" w:type="dxa"/>
            <w:noWrap/>
            <w:vAlign w:val="center"/>
          </w:tcPr>
          <w:p w14:paraId="75AB26FC">
            <w:pPr>
              <w:jc w:val="center"/>
              <w:rPr>
                <w:color w:val="000000"/>
                <w:sz w:val="20"/>
                <w:szCs w:val="20"/>
              </w:rPr>
            </w:pPr>
          </w:p>
        </w:tc>
        <w:tc>
          <w:tcPr>
            <w:tcW w:w="1252" w:type="dxa"/>
            <w:noWrap/>
            <w:vAlign w:val="center"/>
          </w:tcPr>
          <w:p w14:paraId="42037E45">
            <w:pPr>
              <w:jc w:val="center"/>
              <w:rPr>
                <w:color w:val="000000"/>
                <w:sz w:val="20"/>
                <w:szCs w:val="20"/>
              </w:rPr>
            </w:pPr>
            <w:r>
              <w:rPr>
                <w:color w:val="000000"/>
                <w:sz w:val="20"/>
                <w:szCs w:val="20"/>
              </w:rPr>
              <w:t>8.000.000</w:t>
            </w:r>
          </w:p>
        </w:tc>
        <w:tc>
          <w:tcPr>
            <w:tcW w:w="1848" w:type="dxa"/>
            <w:noWrap/>
            <w:vAlign w:val="center"/>
          </w:tcPr>
          <w:p w14:paraId="1B0FE620">
            <w:pPr>
              <w:jc w:val="center"/>
              <w:rPr>
                <w:color w:val="000000"/>
                <w:sz w:val="20"/>
                <w:szCs w:val="20"/>
              </w:rPr>
            </w:pPr>
            <w:r>
              <w:rPr>
                <w:color w:val="000000"/>
                <w:sz w:val="20"/>
                <w:szCs w:val="20"/>
              </w:rPr>
              <w:t>720.000.000</w:t>
            </w:r>
          </w:p>
        </w:tc>
      </w:tr>
      <w:tr w14:paraId="6A9A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0220986">
            <w:pPr>
              <w:jc w:val="center"/>
              <w:rPr>
                <w:b/>
                <w:bCs/>
                <w:color w:val="000000"/>
                <w:sz w:val="20"/>
                <w:szCs w:val="20"/>
              </w:rPr>
            </w:pPr>
            <w:r>
              <w:rPr>
                <w:b/>
                <w:bCs/>
                <w:color w:val="000000"/>
                <w:sz w:val="20"/>
                <w:szCs w:val="20"/>
              </w:rPr>
              <w:t>LK45</w:t>
            </w:r>
          </w:p>
        </w:tc>
        <w:tc>
          <w:tcPr>
            <w:tcW w:w="1802" w:type="dxa"/>
            <w:vAlign w:val="center"/>
          </w:tcPr>
          <w:p w14:paraId="54D420B6">
            <w:pPr>
              <w:jc w:val="center"/>
              <w:rPr>
                <w:color w:val="000000"/>
                <w:sz w:val="20"/>
                <w:szCs w:val="20"/>
              </w:rPr>
            </w:pPr>
            <w:r>
              <w:rPr>
                <w:color w:val="000000"/>
                <w:sz w:val="20"/>
                <w:szCs w:val="20"/>
              </w:rPr>
              <w:t>LK45:04</w:t>
            </w:r>
          </w:p>
        </w:tc>
        <w:tc>
          <w:tcPr>
            <w:tcW w:w="1033" w:type="dxa"/>
            <w:noWrap/>
            <w:vAlign w:val="center"/>
          </w:tcPr>
          <w:p w14:paraId="68F7C772">
            <w:pPr>
              <w:jc w:val="center"/>
              <w:rPr>
                <w:color w:val="000000"/>
                <w:sz w:val="20"/>
                <w:szCs w:val="20"/>
              </w:rPr>
            </w:pPr>
            <w:r>
              <w:rPr>
                <w:color w:val="000000"/>
                <w:sz w:val="20"/>
                <w:szCs w:val="20"/>
              </w:rPr>
              <w:t>90,00</w:t>
            </w:r>
          </w:p>
        </w:tc>
        <w:tc>
          <w:tcPr>
            <w:tcW w:w="846" w:type="dxa"/>
            <w:noWrap/>
            <w:vAlign w:val="center"/>
          </w:tcPr>
          <w:p w14:paraId="04AB5EBF">
            <w:pPr>
              <w:jc w:val="center"/>
              <w:rPr>
                <w:color w:val="000000"/>
                <w:sz w:val="20"/>
                <w:szCs w:val="20"/>
              </w:rPr>
            </w:pPr>
            <w:r>
              <w:rPr>
                <w:color w:val="000000"/>
                <w:sz w:val="20"/>
                <w:szCs w:val="20"/>
              </w:rPr>
              <w:t>1</w:t>
            </w:r>
          </w:p>
        </w:tc>
        <w:tc>
          <w:tcPr>
            <w:tcW w:w="2578" w:type="dxa"/>
            <w:noWrap/>
            <w:vAlign w:val="center"/>
          </w:tcPr>
          <w:p w14:paraId="3D5E824E">
            <w:pPr>
              <w:jc w:val="center"/>
              <w:rPr>
                <w:color w:val="000000"/>
                <w:sz w:val="20"/>
                <w:szCs w:val="20"/>
              </w:rPr>
            </w:pPr>
            <w:r>
              <w:rPr>
                <w:color w:val="000000"/>
                <w:sz w:val="20"/>
                <w:szCs w:val="20"/>
              </w:rPr>
              <w:t>Mặt cắt 3-3</w:t>
            </w:r>
          </w:p>
        </w:tc>
        <w:tc>
          <w:tcPr>
            <w:tcW w:w="2393" w:type="dxa"/>
            <w:noWrap/>
            <w:vAlign w:val="center"/>
          </w:tcPr>
          <w:p w14:paraId="6DB9B7A9">
            <w:pPr>
              <w:jc w:val="center"/>
              <w:rPr>
                <w:color w:val="000000"/>
                <w:sz w:val="20"/>
                <w:szCs w:val="20"/>
              </w:rPr>
            </w:pPr>
            <w:r>
              <w:rPr>
                <w:color w:val="000000"/>
                <w:sz w:val="20"/>
                <w:szCs w:val="20"/>
              </w:rPr>
              <w:t>Một mặt tiền</w:t>
            </w:r>
          </w:p>
        </w:tc>
        <w:tc>
          <w:tcPr>
            <w:tcW w:w="1198" w:type="dxa"/>
            <w:noWrap/>
            <w:vAlign w:val="center"/>
          </w:tcPr>
          <w:p w14:paraId="08C7B99F">
            <w:pPr>
              <w:jc w:val="center"/>
              <w:rPr>
                <w:color w:val="000000"/>
                <w:sz w:val="20"/>
                <w:szCs w:val="20"/>
              </w:rPr>
            </w:pPr>
            <w:r>
              <w:rPr>
                <w:color w:val="000000"/>
                <w:sz w:val="20"/>
                <w:szCs w:val="20"/>
              </w:rPr>
              <w:t>8.000.000</w:t>
            </w:r>
          </w:p>
        </w:tc>
        <w:tc>
          <w:tcPr>
            <w:tcW w:w="1236" w:type="dxa"/>
            <w:noWrap/>
            <w:vAlign w:val="center"/>
          </w:tcPr>
          <w:p w14:paraId="7128B98A">
            <w:pPr>
              <w:jc w:val="center"/>
              <w:rPr>
                <w:color w:val="000000"/>
                <w:sz w:val="20"/>
                <w:szCs w:val="20"/>
              </w:rPr>
            </w:pPr>
          </w:p>
        </w:tc>
        <w:tc>
          <w:tcPr>
            <w:tcW w:w="1252" w:type="dxa"/>
            <w:noWrap/>
            <w:vAlign w:val="center"/>
          </w:tcPr>
          <w:p w14:paraId="4262C67D">
            <w:pPr>
              <w:jc w:val="center"/>
              <w:rPr>
                <w:color w:val="000000"/>
                <w:sz w:val="20"/>
                <w:szCs w:val="20"/>
              </w:rPr>
            </w:pPr>
            <w:r>
              <w:rPr>
                <w:color w:val="000000"/>
                <w:sz w:val="20"/>
                <w:szCs w:val="20"/>
              </w:rPr>
              <w:t>8.000.000</w:t>
            </w:r>
          </w:p>
        </w:tc>
        <w:tc>
          <w:tcPr>
            <w:tcW w:w="1848" w:type="dxa"/>
            <w:noWrap/>
            <w:vAlign w:val="center"/>
          </w:tcPr>
          <w:p w14:paraId="62657DDA">
            <w:pPr>
              <w:jc w:val="center"/>
              <w:rPr>
                <w:color w:val="000000"/>
                <w:sz w:val="20"/>
                <w:szCs w:val="20"/>
              </w:rPr>
            </w:pPr>
            <w:r>
              <w:rPr>
                <w:color w:val="000000"/>
                <w:sz w:val="20"/>
                <w:szCs w:val="20"/>
              </w:rPr>
              <w:t>720.000.000</w:t>
            </w:r>
          </w:p>
        </w:tc>
      </w:tr>
      <w:tr w14:paraId="721C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26111FF">
            <w:pPr>
              <w:jc w:val="center"/>
              <w:rPr>
                <w:b/>
                <w:bCs/>
                <w:color w:val="000000"/>
                <w:sz w:val="20"/>
                <w:szCs w:val="20"/>
              </w:rPr>
            </w:pPr>
            <w:r>
              <w:rPr>
                <w:b/>
                <w:bCs/>
                <w:color w:val="000000"/>
                <w:sz w:val="20"/>
                <w:szCs w:val="20"/>
              </w:rPr>
              <w:t>LK45</w:t>
            </w:r>
          </w:p>
        </w:tc>
        <w:tc>
          <w:tcPr>
            <w:tcW w:w="1802" w:type="dxa"/>
            <w:vAlign w:val="center"/>
          </w:tcPr>
          <w:p w14:paraId="50FC3D40">
            <w:pPr>
              <w:jc w:val="center"/>
              <w:rPr>
                <w:color w:val="000000"/>
                <w:sz w:val="20"/>
                <w:szCs w:val="20"/>
              </w:rPr>
            </w:pPr>
            <w:r>
              <w:rPr>
                <w:color w:val="000000"/>
                <w:sz w:val="20"/>
                <w:szCs w:val="20"/>
              </w:rPr>
              <w:t>LK45:05</w:t>
            </w:r>
          </w:p>
        </w:tc>
        <w:tc>
          <w:tcPr>
            <w:tcW w:w="1033" w:type="dxa"/>
            <w:noWrap/>
            <w:vAlign w:val="center"/>
          </w:tcPr>
          <w:p w14:paraId="77C6A361">
            <w:pPr>
              <w:jc w:val="center"/>
              <w:rPr>
                <w:color w:val="000000"/>
                <w:sz w:val="20"/>
                <w:szCs w:val="20"/>
              </w:rPr>
            </w:pPr>
            <w:r>
              <w:rPr>
                <w:color w:val="000000"/>
                <w:sz w:val="20"/>
                <w:szCs w:val="20"/>
              </w:rPr>
              <w:t>90,00</w:t>
            </w:r>
          </w:p>
        </w:tc>
        <w:tc>
          <w:tcPr>
            <w:tcW w:w="846" w:type="dxa"/>
            <w:noWrap/>
            <w:vAlign w:val="center"/>
          </w:tcPr>
          <w:p w14:paraId="1A76A5FE">
            <w:pPr>
              <w:jc w:val="center"/>
              <w:rPr>
                <w:color w:val="000000"/>
                <w:sz w:val="20"/>
                <w:szCs w:val="20"/>
              </w:rPr>
            </w:pPr>
            <w:r>
              <w:rPr>
                <w:color w:val="000000"/>
                <w:sz w:val="20"/>
                <w:szCs w:val="20"/>
              </w:rPr>
              <w:t>1</w:t>
            </w:r>
          </w:p>
        </w:tc>
        <w:tc>
          <w:tcPr>
            <w:tcW w:w="2578" w:type="dxa"/>
            <w:noWrap/>
            <w:vAlign w:val="center"/>
          </w:tcPr>
          <w:p w14:paraId="54CACE86">
            <w:pPr>
              <w:jc w:val="center"/>
              <w:rPr>
                <w:color w:val="000000"/>
                <w:sz w:val="20"/>
                <w:szCs w:val="20"/>
              </w:rPr>
            </w:pPr>
            <w:r>
              <w:rPr>
                <w:color w:val="000000"/>
                <w:sz w:val="20"/>
                <w:szCs w:val="20"/>
              </w:rPr>
              <w:t>Mặt cắt 3-3</w:t>
            </w:r>
          </w:p>
        </w:tc>
        <w:tc>
          <w:tcPr>
            <w:tcW w:w="2393" w:type="dxa"/>
            <w:noWrap/>
            <w:vAlign w:val="center"/>
          </w:tcPr>
          <w:p w14:paraId="0361CEF0">
            <w:pPr>
              <w:jc w:val="center"/>
              <w:rPr>
                <w:color w:val="000000"/>
                <w:sz w:val="20"/>
                <w:szCs w:val="20"/>
              </w:rPr>
            </w:pPr>
            <w:r>
              <w:rPr>
                <w:color w:val="000000"/>
                <w:sz w:val="20"/>
                <w:szCs w:val="20"/>
              </w:rPr>
              <w:t>Một mặt tiền</w:t>
            </w:r>
          </w:p>
        </w:tc>
        <w:tc>
          <w:tcPr>
            <w:tcW w:w="1198" w:type="dxa"/>
            <w:noWrap/>
            <w:vAlign w:val="center"/>
          </w:tcPr>
          <w:p w14:paraId="5A4C8203">
            <w:pPr>
              <w:jc w:val="center"/>
              <w:rPr>
                <w:color w:val="000000"/>
                <w:sz w:val="20"/>
                <w:szCs w:val="20"/>
              </w:rPr>
            </w:pPr>
            <w:r>
              <w:rPr>
                <w:color w:val="000000"/>
                <w:sz w:val="20"/>
                <w:szCs w:val="20"/>
              </w:rPr>
              <w:t>8.000.000</w:t>
            </w:r>
          </w:p>
        </w:tc>
        <w:tc>
          <w:tcPr>
            <w:tcW w:w="1236" w:type="dxa"/>
            <w:noWrap/>
            <w:vAlign w:val="center"/>
          </w:tcPr>
          <w:p w14:paraId="4424891A">
            <w:pPr>
              <w:jc w:val="center"/>
              <w:rPr>
                <w:color w:val="000000"/>
                <w:sz w:val="20"/>
                <w:szCs w:val="20"/>
              </w:rPr>
            </w:pPr>
          </w:p>
        </w:tc>
        <w:tc>
          <w:tcPr>
            <w:tcW w:w="1252" w:type="dxa"/>
            <w:noWrap/>
            <w:vAlign w:val="center"/>
          </w:tcPr>
          <w:p w14:paraId="48AC8662">
            <w:pPr>
              <w:jc w:val="center"/>
              <w:rPr>
                <w:color w:val="000000"/>
                <w:sz w:val="20"/>
                <w:szCs w:val="20"/>
              </w:rPr>
            </w:pPr>
            <w:r>
              <w:rPr>
                <w:color w:val="000000"/>
                <w:sz w:val="20"/>
                <w:szCs w:val="20"/>
              </w:rPr>
              <w:t>8.000.000</w:t>
            </w:r>
          </w:p>
        </w:tc>
        <w:tc>
          <w:tcPr>
            <w:tcW w:w="1848" w:type="dxa"/>
            <w:noWrap/>
            <w:vAlign w:val="center"/>
          </w:tcPr>
          <w:p w14:paraId="1DAC3293">
            <w:pPr>
              <w:jc w:val="center"/>
              <w:rPr>
                <w:color w:val="000000"/>
                <w:sz w:val="20"/>
                <w:szCs w:val="20"/>
              </w:rPr>
            </w:pPr>
            <w:r>
              <w:rPr>
                <w:color w:val="000000"/>
                <w:sz w:val="20"/>
                <w:szCs w:val="20"/>
              </w:rPr>
              <w:t>720.000.000</w:t>
            </w:r>
          </w:p>
        </w:tc>
      </w:tr>
      <w:tr w14:paraId="7E20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9689EB4">
            <w:pPr>
              <w:jc w:val="center"/>
              <w:rPr>
                <w:b/>
                <w:bCs/>
                <w:color w:val="000000"/>
                <w:sz w:val="20"/>
                <w:szCs w:val="20"/>
              </w:rPr>
            </w:pPr>
            <w:r>
              <w:rPr>
                <w:b/>
                <w:bCs/>
                <w:color w:val="000000"/>
                <w:sz w:val="20"/>
                <w:szCs w:val="20"/>
              </w:rPr>
              <w:t>LK45</w:t>
            </w:r>
          </w:p>
        </w:tc>
        <w:tc>
          <w:tcPr>
            <w:tcW w:w="1802" w:type="dxa"/>
            <w:vAlign w:val="center"/>
          </w:tcPr>
          <w:p w14:paraId="1D9D3BA1">
            <w:pPr>
              <w:jc w:val="center"/>
              <w:rPr>
                <w:color w:val="000000"/>
                <w:sz w:val="20"/>
                <w:szCs w:val="20"/>
              </w:rPr>
            </w:pPr>
            <w:r>
              <w:rPr>
                <w:color w:val="000000"/>
                <w:sz w:val="20"/>
                <w:szCs w:val="20"/>
              </w:rPr>
              <w:t>LK45:06</w:t>
            </w:r>
          </w:p>
        </w:tc>
        <w:tc>
          <w:tcPr>
            <w:tcW w:w="1033" w:type="dxa"/>
            <w:noWrap/>
            <w:vAlign w:val="center"/>
          </w:tcPr>
          <w:p w14:paraId="340559F8">
            <w:pPr>
              <w:jc w:val="center"/>
              <w:rPr>
                <w:color w:val="000000"/>
                <w:sz w:val="20"/>
                <w:szCs w:val="20"/>
              </w:rPr>
            </w:pPr>
            <w:r>
              <w:rPr>
                <w:color w:val="000000"/>
                <w:sz w:val="20"/>
                <w:szCs w:val="20"/>
              </w:rPr>
              <w:t>90,00</w:t>
            </w:r>
          </w:p>
        </w:tc>
        <w:tc>
          <w:tcPr>
            <w:tcW w:w="846" w:type="dxa"/>
            <w:noWrap/>
            <w:vAlign w:val="center"/>
          </w:tcPr>
          <w:p w14:paraId="4C5947B3">
            <w:pPr>
              <w:jc w:val="center"/>
              <w:rPr>
                <w:color w:val="000000"/>
                <w:sz w:val="20"/>
                <w:szCs w:val="20"/>
              </w:rPr>
            </w:pPr>
            <w:r>
              <w:rPr>
                <w:color w:val="000000"/>
                <w:sz w:val="20"/>
                <w:szCs w:val="20"/>
              </w:rPr>
              <w:t>1</w:t>
            </w:r>
          </w:p>
        </w:tc>
        <w:tc>
          <w:tcPr>
            <w:tcW w:w="2578" w:type="dxa"/>
            <w:noWrap/>
            <w:vAlign w:val="center"/>
          </w:tcPr>
          <w:p w14:paraId="1820783E">
            <w:pPr>
              <w:jc w:val="center"/>
              <w:rPr>
                <w:color w:val="000000"/>
                <w:sz w:val="20"/>
                <w:szCs w:val="20"/>
              </w:rPr>
            </w:pPr>
            <w:r>
              <w:rPr>
                <w:color w:val="000000"/>
                <w:sz w:val="20"/>
                <w:szCs w:val="20"/>
              </w:rPr>
              <w:t>Mặt cắt 3-3</w:t>
            </w:r>
          </w:p>
        </w:tc>
        <w:tc>
          <w:tcPr>
            <w:tcW w:w="2393" w:type="dxa"/>
            <w:noWrap/>
            <w:vAlign w:val="center"/>
          </w:tcPr>
          <w:p w14:paraId="30B1B0AD">
            <w:pPr>
              <w:jc w:val="center"/>
              <w:rPr>
                <w:color w:val="000000"/>
                <w:sz w:val="20"/>
                <w:szCs w:val="20"/>
              </w:rPr>
            </w:pPr>
            <w:r>
              <w:rPr>
                <w:color w:val="000000"/>
                <w:sz w:val="20"/>
                <w:szCs w:val="20"/>
              </w:rPr>
              <w:t>Một mặt tiền</w:t>
            </w:r>
          </w:p>
        </w:tc>
        <w:tc>
          <w:tcPr>
            <w:tcW w:w="1198" w:type="dxa"/>
            <w:noWrap/>
            <w:vAlign w:val="center"/>
          </w:tcPr>
          <w:p w14:paraId="2BD3A1A2">
            <w:pPr>
              <w:jc w:val="center"/>
              <w:rPr>
                <w:color w:val="000000"/>
                <w:sz w:val="20"/>
                <w:szCs w:val="20"/>
              </w:rPr>
            </w:pPr>
            <w:r>
              <w:rPr>
                <w:color w:val="000000"/>
                <w:sz w:val="20"/>
                <w:szCs w:val="20"/>
              </w:rPr>
              <w:t>8.000.000</w:t>
            </w:r>
          </w:p>
        </w:tc>
        <w:tc>
          <w:tcPr>
            <w:tcW w:w="1236" w:type="dxa"/>
            <w:noWrap/>
            <w:vAlign w:val="center"/>
          </w:tcPr>
          <w:p w14:paraId="70EC93F2">
            <w:pPr>
              <w:jc w:val="center"/>
              <w:rPr>
                <w:color w:val="000000"/>
                <w:sz w:val="20"/>
                <w:szCs w:val="20"/>
              </w:rPr>
            </w:pPr>
          </w:p>
        </w:tc>
        <w:tc>
          <w:tcPr>
            <w:tcW w:w="1252" w:type="dxa"/>
            <w:noWrap/>
            <w:vAlign w:val="center"/>
          </w:tcPr>
          <w:p w14:paraId="3EF4B1C9">
            <w:pPr>
              <w:jc w:val="center"/>
              <w:rPr>
                <w:color w:val="000000"/>
                <w:sz w:val="20"/>
                <w:szCs w:val="20"/>
              </w:rPr>
            </w:pPr>
            <w:r>
              <w:rPr>
                <w:color w:val="000000"/>
                <w:sz w:val="20"/>
                <w:szCs w:val="20"/>
              </w:rPr>
              <w:t>8.000.000</w:t>
            </w:r>
          </w:p>
        </w:tc>
        <w:tc>
          <w:tcPr>
            <w:tcW w:w="1848" w:type="dxa"/>
            <w:noWrap/>
            <w:vAlign w:val="center"/>
          </w:tcPr>
          <w:p w14:paraId="4C55440F">
            <w:pPr>
              <w:jc w:val="center"/>
              <w:rPr>
                <w:color w:val="000000"/>
                <w:sz w:val="20"/>
                <w:szCs w:val="20"/>
              </w:rPr>
            </w:pPr>
            <w:r>
              <w:rPr>
                <w:color w:val="000000"/>
                <w:sz w:val="20"/>
                <w:szCs w:val="20"/>
              </w:rPr>
              <w:t>720.000.000</w:t>
            </w:r>
          </w:p>
        </w:tc>
      </w:tr>
      <w:tr w14:paraId="73D1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DE5E53B">
            <w:pPr>
              <w:jc w:val="center"/>
              <w:rPr>
                <w:b/>
                <w:bCs/>
                <w:color w:val="000000"/>
                <w:sz w:val="20"/>
                <w:szCs w:val="20"/>
              </w:rPr>
            </w:pPr>
            <w:r>
              <w:rPr>
                <w:b/>
                <w:bCs/>
                <w:color w:val="000000"/>
                <w:sz w:val="20"/>
                <w:szCs w:val="20"/>
              </w:rPr>
              <w:t>LK45</w:t>
            </w:r>
          </w:p>
        </w:tc>
        <w:tc>
          <w:tcPr>
            <w:tcW w:w="1802" w:type="dxa"/>
            <w:vAlign w:val="center"/>
          </w:tcPr>
          <w:p w14:paraId="0797F41C">
            <w:pPr>
              <w:jc w:val="center"/>
              <w:rPr>
                <w:color w:val="000000"/>
                <w:sz w:val="20"/>
                <w:szCs w:val="20"/>
              </w:rPr>
            </w:pPr>
            <w:r>
              <w:rPr>
                <w:color w:val="000000"/>
                <w:sz w:val="20"/>
                <w:szCs w:val="20"/>
              </w:rPr>
              <w:t>LK45:07</w:t>
            </w:r>
          </w:p>
        </w:tc>
        <w:tc>
          <w:tcPr>
            <w:tcW w:w="1033" w:type="dxa"/>
            <w:noWrap/>
            <w:vAlign w:val="center"/>
          </w:tcPr>
          <w:p w14:paraId="6B7C8A52">
            <w:pPr>
              <w:jc w:val="center"/>
              <w:rPr>
                <w:color w:val="000000"/>
                <w:sz w:val="20"/>
                <w:szCs w:val="20"/>
              </w:rPr>
            </w:pPr>
            <w:r>
              <w:rPr>
                <w:color w:val="000000"/>
                <w:sz w:val="20"/>
                <w:szCs w:val="20"/>
              </w:rPr>
              <w:t>90,00</w:t>
            </w:r>
          </w:p>
        </w:tc>
        <w:tc>
          <w:tcPr>
            <w:tcW w:w="846" w:type="dxa"/>
            <w:noWrap/>
            <w:vAlign w:val="center"/>
          </w:tcPr>
          <w:p w14:paraId="23D355D1">
            <w:pPr>
              <w:jc w:val="center"/>
              <w:rPr>
                <w:color w:val="000000"/>
                <w:sz w:val="20"/>
                <w:szCs w:val="20"/>
              </w:rPr>
            </w:pPr>
            <w:r>
              <w:rPr>
                <w:color w:val="000000"/>
                <w:sz w:val="20"/>
                <w:szCs w:val="20"/>
              </w:rPr>
              <w:t>1</w:t>
            </w:r>
          </w:p>
        </w:tc>
        <w:tc>
          <w:tcPr>
            <w:tcW w:w="2578" w:type="dxa"/>
            <w:noWrap/>
            <w:vAlign w:val="center"/>
          </w:tcPr>
          <w:p w14:paraId="7D8FE74C">
            <w:pPr>
              <w:jc w:val="center"/>
              <w:rPr>
                <w:color w:val="000000"/>
                <w:sz w:val="20"/>
                <w:szCs w:val="20"/>
              </w:rPr>
            </w:pPr>
            <w:r>
              <w:rPr>
                <w:color w:val="000000"/>
                <w:sz w:val="20"/>
                <w:szCs w:val="20"/>
              </w:rPr>
              <w:t>Mặt cắt 3-3</w:t>
            </w:r>
          </w:p>
        </w:tc>
        <w:tc>
          <w:tcPr>
            <w:tcW w:w="2393" w:type="dxa"/>
            <w:noWrap/>
            <w:vAlign w:val="center"/>
          </w:tcPr>
          <w:p w14:paraId="14A94D8A">
            <w:pPr>
              <w:jc w:val="center"/>
              <w:rPr>
                <w:color w:val="000000"/>
                <w:sz w:val="20"/>
                <w:szCs w:val="20"/>
              </w:rPr>
            </w:pPr>
            <w:r>
              <w:rPr>
                <w:color w:val="000000"/>
                <w:sz w:val="20"/>
                <w:szCs w:val="20"/>
              </w:rPr>
              <w:t>Một mặt tiền</w:t>
            </w:r>
          </w:p>
        </w:tc>
        <w:tc>
          <w:tcPr>
            <w:tcW w:w="1198" w:type="dxa"/>
            <w:noWrap/>
            <w:vAlign w:val="center"/>
          </w:tcPr>
          <w:p w14:paraId="3E107595">
            <w:pPr>
              <w:jc w:val="center"/>
              <w:rPr>
                <w:color w:val="000000"/>
                <w:sz w:val="20"/>
                <w:szCs w:val="20"/>
              </w:rPr>
            </w:pPr>
            <w:r>
              <w:rPr>
                <w:color w:val="000000"/>
                <w:sz w:val="20"/>
                <w:szCs w:val="20"/>
              </w:rPr>
              <w:t>8.000.000</w:t>
            </w:r>
          </w:p>
        </w:tc>
        <w:tc>
          <w:tcPr>
            <w:tcW w:w="1236" w:type="dxa"/>
            <w:noWrap/>
            <w:vAlign w:val="center"/>
          </w:tcPr>
          <w:p w14:paraId="187BB5CA">
            <w:pPr>
              <w:jc w:val="center"/>
              <w:rPr>
                <w:color w:val="000000"/>
                <w:sz w:val="20"/>
                <w:szCs w:val="20"/>
              </w:rPr>
            </w:pPr>
          </w:p>
        </w:tc>
        <w:tc>
          <w:tcPr>
            <w:tcW w:w="1252" w:type="dxa"/>
            <w:noWrap/>
            <w:vAlign w:val="center"/>
          </w:tcPr>
          <w:p w14:paraId="5CF9C5FF">
            <w:pPr>
              <w:jc w:val="center"/>
              <w:rPr>
                <w:color w:val="000000"/>
                <w:sz w:val="20"/>
                <w:szCs w:val="20"/>
              </w:rPr>
            </w:pPr>
            <w:r>
              <w:rPr>
                <w:color w:val="000000"/>
                <w:sz w:val="20"/>
                <w:szCs w:val="20"/>
              </w:rPr>
              <w:t>8.000.000</w:t>
            </w:r>
          </w:p>
        </w:tc>
        <w:tc>
          <w:tcPr>
            <w:tcW w:w="1848" w:type="dxa"/>
            <w:noWrap/>
            <w:vAlign w:val="center"/>
          </w:tcPr>
          <w:p w14:paraId="752DA9A4">
            <w:pPr>
              <w:jc w:val="center"/>
              <w:rPr>
                <w:color w:val="000000"/>
                <w:sz w:val="20"/>
                <w:szCs w:val="20"/>
              </w:rPr>
            </w:pPr>
            <w:r>
              <w:rPr>
                <w:color w:val="000000"/>
                <w:sz w:val="20"/>
                <w:szCs w:val="20"/>
              </w:rPr>
              <w:t>720.000.000</w:t>
            </w:r>
          </w:p>
        </w:tc>
      </w:tr>
      <w:tr w14:paraId="5780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6E07DD2">
            <w:pPr>
              <w:jc w:val="center"/>
              <w:rPr>
                <w:b/>
                <w:bCs/>
                <w:color w:val="000000"/>
                <w:sz w:val="20"/>
                <w:szCs w:val="20"/>
              </w:rPr>
            </w:pPr>
            <w:r>
              <w:rPr>
                <w:b/>
                <w:bCs/>
                <w:color w:val="000000"/>
                <w:sz w:val="20"/>
                <w:szCs w:val="20"/>
              </w:rPr>
              <w:t>LK45</w:t>
            </w:r>
          </w:p>
        </w:tc>
        <w:tc>
          <w:tcPr>
            <w:tcW w:w="1802" w:type="dxa"/>
            <w:vAlign w:val="center"/>
          </w:tcPr>
          <w:p w14:paraId="7D47B907">
            <w:pPr>
              <w:jc w:val="center"/>
              <w:rPr>
                <w:color w:val="000000"/>
                <w:sz w:val="20"/>
                <w:szCs w:val="20"/>
              </w:rPr>
            </w:pPr>
            <w:r>
              <w:rPr>
                <w:color w:val="000000"/>
                <w:sz w:val="20"/>
                <w:szCs w:val="20"/>
              </w:rPr>
              <w:t>LK45:08</w:t>
            </w:r>
          </w:p>
        </w:tc>
        <w:tc>
          <w:tcPr>
            <w:tcW w:w="1033" w:type="dxa"/>
            <w:noWrap/>
            <w:vAlign w:val="center"/>
          </w:tcPr>
          <w:p w14:paraId="43923648">
            <w:pPr>
              <w:jc w:val="center"/>
              <w:rPr>
                <w:color w:val="000000"/>
                <w:sz w:val="20"/>
                <w:szCs w:val="20"/>
              </w:rPr>
            </w:pPr>
            <w:r>
              <w:rPr>
                <w:color w:val="000000"/>
                <w:sz w:val="20"/>
                <w:szCs w:val="20"/>
              </w:rPr>
              <w:t>90,00</w:t>
            </w:r>
          </w:p>
        </w:tc>
        <w:tc>
          <w:tcPr>
            <w:tcW w:w="846" w:type="dxa"/>
            <w:noWrap/>
            <w:vAlign w:val="center"/>
          </w:tcPr>
          <w:p w14:paraId="5B3941FE">
            <w:pPr>
              <w:jc w:val="center"/>
              <w:rPr>
                <w:color w:val="000000"/>
                <w:sz w:val="20"/>
                <w:szCs w:val="20"/>
              </w:rPr>
            </w:pPr>
            <w:r>
              <w:rPr>
                <w:color w:val="000000"/>
                <w:sz w:val="20"/>
                <w:szCs w:val="20"/>
              </w:rPr>
              <w:t>1</w:t>
            </w:r>
          </w:p>
        </w:tc>
        <w:tc>
          <w:tcPr>
            <w:tcW w:w="2578" w:type="dxa"/>
            <w:noWrap/>
            <w:vAlign w:val="center"/>
          </w:tcPr>
          <w:p w14:paraId="3EA5A54F">
            <w:pPr>
              <w:jc w:val="center"/>
              <w:rPr>
                <w:color w:val="000000"/>
                <w:sz w:val="20"/>
                <w:szCs w:val="20"/>
              </w:rPr>
            </w:pPr>
            <w:r>
              <w:rPr>
                <w:color w:val="000000"/>
                <w:sz w:val="20"/>
                <w:szCs w:val="20"/>
              </w:rPr>
              <w:t>Mặt cắt 3-3</w:t>
            </w:r>
          </w:p>
        </w:tc>
        <w:tc>
          <w:tcPr>
            <w:tcW w:w="2393" w:type="dxa"/>
            <w:noWrap/>
            <w:vAlign w:val="center"/>
          </w:tcPr>
          <w:p w14:paraId="73C3A116">
            <w:pPr>
              <w:jc w:val="center"/>
              <w:rPr>
                <w:color w:val="000000"/>
                <w:sz w:val="20"/>
                <w:szCs w:val="20"/>
              </w:rPr>
            </w:pPr>
            <w:r>
              <w:rPr>
                <w:color w:val="000000"/>
                <w:sz w:val="20"/>
                <w:szCs w:val="20"/>
              </w:rPr>
              <w:t>Một mặt tiền</w:t>
            </w:r>
          </w:p>
        </w:tc>
        <w:tc>
          <w:tcPr>
            <w:tcW w:w="1198" w:type="dxa"/>
            <w:noWrap/>
            <w:vAlign w:val="center"/>
          </w:tcPr>
          <w:p w14:paraId="3307BD95">
            <w:pPr>
              <w:jc w:val="center"/>
              <w:rPr>
                <w:color w:val="000000"/>
                <w:sz w:val="20"/>
                <w:szCs w:val="20"/>
              </w:rPr>
            </w:pPr>
            <w:r>
              <w:rPr>
                <w:color w:val="000000"/>
                <w:sz w:val="20"/>
                <w:szCs w:val="20"/>
              </w:rPr>
              <w:t>8.000.000</w:t>
            </w:r>
          </w:p>
        </w:tc>
        <w:tc>
          <w:tcPr>
            <w:tcW w:w="1236" w:type="dxa"/>
            <w:noWrap/>
            <w:vAlign w:val="center"/>
          </w:tcPr>
          <w:p w14:paraId="4B00C8E2">
            <w:pPr>
              <w:jc w:val="center"/>
              <w:rPr>
                <w:color w:val="000000"/>
                <w:sz w:val="20"/>
                <w:szCs w:val="20"/>
              </w:rPr>
            </w:pPr>
          </w:p>
        </w:tc>
        <w:tc>
          <w:tcPr>
            <w:tcW w:w="1252" w:type="dxa"/>
            <w:noWrap/>
            <w:vAlign w:val="center"/>
          </w:tcPr>
          <w:p w14:paraId="78275213">
            <w:pPr>
              <w:jc w:val="center"/>
              <w:rPr>
                <w:color w:val="000000"/>
                <w:sz w:val="20"/>
                <w:szCs w:val="20"/>
              </w:rPr>
            </w:pPr>
            <w:r>
              <w:rPr>
                <w:color w:val="000000"/>
                <w:sz w:val="20"/>
                <w:szCs w:val="20"/>
              </w:rPr>
              <w:t>8.000.000</w:t>
            </w:r>
          </w:p>
        </w:tc>
        <w:tc>
          <w:tcPr>
            <w:tcW w:w="1848" w:type="dxa"/>
            <w:noWrap/>
            <w:vAlign w:val="center"/>
          </w:tcPr>
          <w:p w14:paraId="1784AA27">
            <w:pPr>
              <w:jc w:val="center"/>
              <w:rPr>
                <w:color w:val="000000"/>
                <w:sz w:val="20"/>
                <w:szCs w:val="20"/>
              </w:rPr>
            </w:pPr>
            <w:r>
              <w:rPr>
                <w:color w:val="000000"/>
                <w:sz w:val="20"/>
                <w:szCs w:val="20"/>
              </w:rPr>
              <w:t>720.000.000</w:t>
            </w:r>
          </w:p>
        </w:tc>
      </w:tr>
      <w:tr w14:paraId="1470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F664DAA">
            <w:pPr>
              <w:jc w:val="center"/>
              <w:rPr>
                <w:b/>
                <w:bCs/>
                <w:color w:val="000000"/>
                <w:sz w:val="20"/>
                <w:szCs w:val="20"/>
              </w:rPr>
            </w:pPr>
            <w:r>
              <w:rPr>
                <w:b/>
                <w:bCs/>
                <w:color w:val="000000"/>
                <w:sz w:val="20"/>
                <w:szCs w:val="20"/>
              </w:rPr>
              <w:t>LK45</w:t>
            </w:r>
          </w:p>
        </w:tc>
        <w:tc>
          <w:tcPr>
            <w:tcW w:w="1802" w:type="dxa"/>
            <w:vAlign w:val="center"/>
          </w:tcPr>
          <w:p w14:paraId="42BE6014">
            <w:pPr>
              <w:jc w:val="center"/>
              <w:rPr>
                <w:color w:val="000000"/>
                <w:sz w:val="20"/>
                <w:szCs w:val="20"/>
              </w:rPr>
            </w:pPr>
            <w:r>
              <w:rPr>
                <w:color w:val="000000"/>
                <w:sz w:val="20"/>
                <w:szCs w:val="20"/>
              </w:rPr>
              <w:t>LK45:09</w:t>
            </w:r>
          </w:p>
        </w:tc>
        <w:tc>
          <w:tcPr>
            <w:tcW w:w="1033" w:type="dxa"/>
            <w:noWrap/>
            <w:vAlign w:val="center"/>
          </w:tcPr>
          <w:p w14:paraId="1C78B9B5">
            <w:pPr>
              <w:jc w:val="center"/>
              <w:rPr>
                <w:color w:val="000000"/>
                <w:sz w:val="20"/>
                <w:szCs w:val="20"/>
              </w:rPr>
            </w:pPr>
            <w:r>
              <w:rPr>
                <w:color w:val="000000"/>
                <w:sz w:val="20"/>
                <w:szCs w:val="20"/>
              </w:rPr>
              <w:t>90,00</w:t>
            </w:r>
          </w:p>
        </w:tc>
        <w:tc>
          <w:tcPr>
            <w:tcW w:w="846" w:type="dxa"/>
            <w:noWrap/>
            <w:vAlign w:val="center"/>
          </w:tcPr>
          <w:p w14:paraId="5E791172">
            <w:pPr>
              <w:jc w:val="center"/>
              <w:rPr>
                <w:color w:val="000000"/>
                <w:sz w:val="20"/>
                <w:szCs w:val="20"/>
              </w:rPr>
            </w:pPr>
            <w:r>
              <w:rPr>
                <w:color w:val="000000"/>
                <w:sz w:val="20"/>
                <w:szCs w:val="20"/>
              </w:rPr>
              <w:t>1</w:t>
            </w:r>
          </w:p>
        </w:tc>
        <w:tc>
          <w:tcPr>
            <w:tcW w:w="2578" w:type="dxa"/>
            <w:noWrap/>
            <w:vAlign w:val="center"/>
          </w:tcPr>
          <w:p w14:paraId="659F2132">
            <w:pPr>
              <w:jc w:val="center"/>
              <w:rPr>
                <w:color w:val="000000"/>
                <w:sz w:val="20"/>
                <w:szCs w:val="20"/>
              </w:rPr>
            </w:pPr>
            <w:r>
              <w:rPr>
                <w:color w:val="000000"/>
                <w:sz w:val="20"/>
                <w:szCs w:val="20"/>
              </w:rPr>
              <w:t>Mặt cắt 3-3</w:t>
            </w:r>
          </w:p>
        </w:tc>
        <w:tc>
          <w:tcPr>
            <w:tcW w:w="2393" w:type="dxa"/>
            <w:noWrap/>
            <w:vAlign w:val="center"/>
          </w:tcPr>
          <w:p w14:paraId="24C972C0">
            <w:pPr>
              <w:jc w:val="center"/>
              <w:rPr>
                <w:color w:val="000000"/>
                <w:sz w:val="20"/>
                <w:szCs w:val="20"/>
              </w:rPr>
            </w:pPr>
            <w:r>
              <w:rPr>
                <w:color w:val="000000"/>
                <w:sz w:val="20"/>
                <w:szCs w:val="20"/>
              </w:rPr>
              <w:t>Một mặt tiền</w:t>
            </w:r>
          </w:p>
        </w:tc>
        <w:tc>
          <w:tcPr>
            <w:tcW w:w="1198" w:type="dxa"/>
            <w:noWrap/>
            <w:vAlign w:val="center"/>
          </w:tcPr>
          <w:p w14:paraId="5F4405B1">
            <w:pPr>
              <w:jc w:val="center"/>
              <w:rPr>
                <w:color w:val="000000"/>
                <w:sz w:val="20"/>
                <w:szCs w:val="20"/>
              </w:rPr>
            </w:pPr>
            <w:r>
              <w:rPr>
                <w:color w:val="000000"/>
                <w:sz w:val="20"/>
                <w:szCs w:val="20"/>
              </w:rPr>
              <w:t>8.000.000</w:t>
            </w:r>
          </w:p>
        </w:tc>
        <w:tc>
          <w:tcPr>
            <w:tcW w:w="1236" w:type="dxa"/>
            <w:noWrap/>
            <w:vAlign w:val="center"/>
          </w:tcPr>
          <w:p w14:paraId="4F9B3E40">
            <w:pPr>
              <w:jc w:val="center"/>
              <w:rPr>
                <w:color w:val="000000"/>
                <w:sz w:val="20"/>
                <w:szCs w:val="20"/>
              </w:rPr>
            </w:pPr>
          </w:p>
        </w:tc>
        <w:tc>
          <w:tcPr>
            <w:tcW w:w="1252" w:type="dxa"/>
            <w:noWrap/>
            <w:vAlign w:val="center"/>
          </w:tcPr>
          <w:p w14:paraId="11B00D1F">
            <w:pPr>
              <w:jc w:val="center"/>
              <w:rPr>
                <w:color w:val="000000"/>
                <w:sz w:val="20"/>
                <w:szCs w:val="20"/>
              </w:rPr>
            </w:pPr>
            <w:r>
              <w:rPr>
                <w:color w:val="000000"/>
                <w:sz w:val="20"/>
                <w:szCs w:val="20"/>
              </w:rPr>
              <w:t>8.000.000</w:t>
            </w:r>
          </w:p>
        </w:tc>
        <w:tc>
          <w:tcPr>
            <w:tcW w:w="1848" w:type="dxa"/>
            <w:noWrap/>
            <w:vAlign w:val="center"/>
          </w:tcPr>
          <w:p w14:paraId="29F41902">
            <w:pPr>
              <w:jc w:val="center"/>
              <w:rPr>
                <w:color w:val="000000"/>
                <w:sz w:val="20"/>
                <w:szCs w:val="20"/>
              </w:rPr>
            </w:pPr>
            <w:r>
              <w:rPr>
                <w:color w:val="000000"/>
                <w:sz w:val="20"/>
                <w:szCs w:val="20"/>
              </w:rPr>
              <w:t>720.000.000</w:t>
            </w:r>
          </w:p>
        </w:tc>
      </w:tr>
      <w:tr w14:paraId="3EE8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D4022AA">
            <w:pPr>
              <w:jc w:val="center"/>
              <w:rPr>
                <w:b/>
                <w:bCs/>
                <w:color w:val="000000"/>
                <w:sz w:val="20"/>
                <w:szCs w:val="20"/>
              </w:rPr>
            </w:pPr>
            <w:r>
              <w:rPr>
                <w:b/>
                <w:bCs/>
                <w:color w:val="000000"/>
                <w:sz w:val="20"/>
                <w:szCs w:val="20"/>
              </w:rPr>
              <w:t>LK45</w:t>
            </w:r>
          </w:p>
        </w:tc>
        <w:tc>
          <w:tcPr>
            <w:tcW w:w="1802" w:type="dxa"/>
            <w:vAlign w:val="center"/>
          </w:tcPr>
          <w:p w14:paraId="107E9FF7">
            <w:pPr>
              <w:jc w:val="center"/>
              <w:rPr>
                <w:color w:val="000000"/>
                <w:sz w:val="20"/>
                <w:szCs w:val="20"/>
              </w:rPr>
            </w:pPr>
            <w:r>
              <w:rPr>
                <w:color w:val="000000"/>
                <w:sz w:val="20"/>
                <w:szCs w:val="20"/>
              </w:rPr>
              <w:t>LK45:10</w:t>
            </w:r>
          </w:p>
        </w:tc>
        <w:tc>
          <w:tcPr>
            <w:tcW w:w="1033" w:type="dxa"/>
            <w:noWrap/>
            <w:vAlign w:val="center"/>
          </w:tcPr>
          <w:p w14:paraId="64CB6FCA">
            <w:pPr>
              <w:jc w:val="center"/>
              <w:rPr>
                <w:color w:val="000000"/>
                <w:sz w:val="20"/>
                <w:szCs w:val="20"/>
              </w:rPr>
            </w:pPr>
            <w:r>
              <w:rPr>
                <w:color w:val="000000"/>
                <w:sz w:val="20"/>
                <w:szCs w:val="20"/>
              </w:rPr>
              <w:t>90,00</w:t>
            </w:r>
          </w:p>
        </w:tc>
        <w:tc>
          <w:tcPr>
            <w:tcW w:w="846" w:type="dxa"/>
            <w:noWrap/>
            <w:vAlign w:val="center"/>
          </w:tcPr>
          <w:p w14:paraId="6B8C86E6">
            <w:pPr>
              <w:jc w:val="center"/>
              <w:rPr>
                <w:color w:val="000000"/>
                <w:sz w:val="20"/>
                <w:szCs w:val="20"/>
              </w:rPr>
            </w:pPr>
            <w:r>
              <w:rPr>
                <w:color w:val="000000"/>
                <w:sz w:val="20"/>
                <w:szCs w:val="20"/>
              </w:rPr>
              <w:t>1</w:t>
            </w:r>
          </w:p>
        </w:tc>
        <w:tc>
          <w:tcPr>
            <w:tcW w:w="2578" w:type="dxa"/>
            <w:noWrap/>
            <w:vAlign w:val="center"/>
          </w:tcPr>
          <w:p w14:paraId="092022B0">
            <w:pPr>
              <w:jc w:val="center"/>
              <w:rPr>
                <w:color w:val="000000"/>
                <w:sz w:val="20"/>
                <w:szCs w:val="20"/>
              </w:rPr>
            </w:pPr>
            <w:r>
              <w:rPr>
                <w:color w:val="000000"/>
                <w:sz w:val="20"/>
                <w:szCs w:val="20"/>
              </w:rPr>
              <w:t>Mặt cắt 3-3</w:t>
            </w:r>
          </w:p>
        </w:tc>
        <w:tc>
          <w:tcPr>
            <w:tcW w:w="2393" w:type="dxa"/>
            <w:noWrap/>
            <w:vAlign w:val="center"/>
          </w:tcPr>
          <w:p w14:paraId="30DF7A9A">
            <w:pPr>
              <w:jc w:val="center"/>
              <w:rPr>
                <w:color w:val="000000"/>
                <w:sz w:val="20"/>
                <w:szCs w:val="20"/>
              </w:rPr>
            </w:pPr>
            <w:r>
              <w:rPr>
                <w:color w:val="000000"/>
                <w:sz w:val="20"/>
                <w:szCs w:val="20"/>
              </w:rPr>
              <w:t>Một mặt tiền</w:t>
            </w:r>
          </w:p>
        </w:tc>
        <w:tc>
          <w:tcPr>
            <w:tcW w:w="1198" w:type="dxa"/>
            <w:noWrap/>
            <w:vAlign w:val="center"/>
          </w:tcPr>
          <w:p w14:paraId="086F366C">
            <w:pPr>
              <w:jc w:val="center"/>
              <w:rPr>
                <w:color w:val="000000"/>
                <w:sz w:val="20"/>
                <w:szCs w:val="20"/>
              </w:rPr>
            </w:pPr>
            <w:r>
              <w:rPr>
                <w:color w:val="000000"/>
                <w:sz w:val="20"/>
                <w:szCs w:val="20"/>
              </w:rPr>
              <w:t>8.000.000</w:t>
            </w:r>
          </w:p>
        </w:tc>
        <w:tc>
          <w:tcPr>
            <w:tcW w:w="1236" w:type="dxa"/>
            <w:noWrap/>
            <w:vAlign w:val="center"/>
          </w:tcPr>
          <w:p w14:paraId="2D8783DC">
            <w:pPr>
              <w:jc w:val="center"/>
              <w:rPr>
                <w:color w:val="000000"/>
                <w:sz w:val="20"/>
                <w:szCs w:val="20"/>
              </w:rPr>
            </w:pPr>
          </w:p>
        </w:tc>
        <w:tc>
          <w:tcPr>
            <w:tcW w:w="1252" w:type="dxa"/>
            <w:noWrap/>
            <w:vAlign w:val="center"/>
          </w:tcPr>
          <w:p w14:paraId="42DA525C">
            <w:pPr>
              <w:jc w:val="center"/>
              <w:rPr>
                <w:color w:val="000000"/>
                <w:sz w:val="20"/>
                <w:szCs w:val="20"/>
              </w:rPr>
            </w:pPr>
            <w:r>
              <w:rPr>
                <w:color w:val="000000"/>
                <w:sz w:val="20"/>
                <w:szCs w:val="20"/>
              </w:rPr>
              <w:t>8.000.000</w:t>
            </w:r>
          </w:p>
        </w:tc>
        <w:tc>
          <w:tcPr>
            <w:tcW w:w="1848" w:type="dxa"/>
            <w:noWrap/>
            <w:vAlign w:val="center"/>
          </w:tcPr>
          <w:p w14:paraId="4C96592E">
            <w:pPr>
              <w:jc w:val="center"/>
              <w:rPr>
                <w:color w:val="000000"/>
                <w:sz w:val="20"/>
                <w:szCs w:val="20"/>
              </w:rPr>
            </w:pPr>
            <w:r>
              <w:rPr>
                <w:color w:val="000000"/>
                <w:sz w:val="20"/>
                <w:szCs w:val="20"/>
              </w:rPr>
              <w:t>720.000.000</w:t>
            </w:r>
          </w:p>
        </w:tc>
      </w:tr>
      <w:tr w14:paraId="08E4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E0F2C8">
            <w:pPr>
              <w:jc w:val="center"/>
              <w:rPr>
                <w:b/>
                <w:bCs/>
                <w:color w:val="000000"/>
                <w:sz w:val="20"/>
                <w:szCs w:val="20"/>
              </w:rPr>
            </w:pPr>
            <w:r>
              <w:rPr>
                <w:b/>
                <w:bCs/>
                <w:color w:val="000000"/>
                <w:sz w:val="20"/>
                <w:szCs w:val="20"/>
              </w:rPr>
              <w:t>LK47</w:t>
            </w:r>
          </w:p>
        </w:tc>
        <w:tc>
          <w:tcPr>
            <w:tcW w:w="1802" w:type="dxa"/>
            <w:vAlign w:val="center"/>
          </w:tcPr>
          <w:p w14:paraId="18CEBF92">
            <w:pPr>
              <w:jc w:val="center"/>
              <w:rPr>
                <w:color w:val="000000"/>
                <w:sz w:val="20"/>
                <w:szCs w:val="20"/>
              </w:rPr>
            </w:pPr>
            <w:r>
              <w:rPr>
                <w:color w:val="000000"/>
                <w:sz w:val="20"/>
                <w:szCs w:val="20"/>
              </w:rPr>
              <w:t>LK47:01</w:t>
            </w:r>
          </w:p>
        </w:tc>
        <w:tc>
          <w:tcPr>
            <w:tcW w:w="1033" w:type="dxa"/>
            <w:noWrap/>
            <w:vAlign w:val="center"/>
          </w:tcPr>
          <w:p w14:paraId="4E980081">
            <w:pPr>
              <w:jc w:val="center"/>
              <w:rPr>
                <w:color w:val="000000"/>
                <w:sz w:val="20"/>
                <w:szCs w:val="20"/>
              </w:rPr>
            </w:pPr>
            <w:r>
              <w:rPr>
                <w:color w:val="000000"/>
                <w:sz w:val="20"/>
                <w:szCs w:val="20"/>
              </w:rPr>
              <w:t>90,00</w:t>
            </w:r>
          </w:p>
        </w:tc>
        <w:tc>
          <w:tcPr>
            <w:tcW w:w="846" w:type="dxa"/>
            <w:noWrap/>
            <w:vAlign w:val="center"/>
          </w:tcPr>
          <w:p w14:paraId="3858451B">
            <w:pPr>
              <w:jc w:val="center"/>
              <w:rPr>
                <w:color w:val="000000"/>
                <w:sz w:val="20"/>
                <w:szCs w:val="20"/>
              </w:rPr>
            </w:pPr>
            <w:r>
              <w:rPr>
                <w:color w:val="000000"/>
                <w:sz w:val="20"/>
                <w:szCs w:val="20"/>
              </w:rPr>
              <w:t>1</w:t>
            </w:r>
          </w:p>
        </w:tc>
        <w:tc>
          <w:tcPr>
            <w:tcW w:w="2578" w:type="dxa"/>
            <w:noWrap/>
            <w:vAlign w:val="center"/>
          </w:tcPr>
          <w:p w14:paraId="2D5FFA65">
            <w:pPr>
              <w:jc w:val="center"/>
              <w:rPr>
                <w:color w:val="000000"/>
                <w:sz w:val="20"/>
                <w:szCs w:val="20"/>
              </w:rPr>
            </w:pPr>
            <w:r>
              <w:rPr>
                <w:color w:val="000000"/>
                <w:sz w:val="20"/>
                <w:szCs w:val="20"/>
              </w:rPr>
              <w:t>Mặt cắt 3-3</w:t>
            </w:r>
          </w:p>
        </w:tc>
        <w:tc>
          <w:tcPr>
            <w:tcW w:w="2393" w:type="dxa"/>
            <w:noWrap/>
            <w:vAlign w:val="center"/>
          </w:tcPr>
          <w:p w14:paraId="5615C982">
            <w:pPr>
              <w:jc w:val="center"/>
              <w:rPr>
                <w:color w:val="000000"/>
                <w:sz w:val="20"/>
                <w:szCs w:val="20"/>
              </w:rPr>
            </w:pPr>
            <w:r>
              <w:rPr>
                <w:color w:val="000000"/>
                <w:sz w:val="20"/>
                <w:szCs w:val="20"/>
              </w:rPr>
              <w:t>Một mặt tiền</w:t>
            </w:r>
          </w:p>
        </w:tc>
        <w:tc>
          <w:tcPr>
            <w:tcW w:w="1198" w:type="dxa"/>
            <w:noWrap/>
            <w:vAlign w:val="center"/>
          </w:tcPr>
          <w:p w14:paraId="1CE071BF">
            <w:pPr>
              <w:jc w:val="center"/>
              <w:rPr>
                <w:color w:val="000000"/>
                <w:sz w:val="20"/>
                <w:szCs w:val="20"/>
              </w:rPr>
            </w:pPr>
            <w:r>
              <w:rPr>
                <w:color w:val="000000"/>
                <w:sz w:val="20"/>
                <w:szCs w:val="20"/>
              </w:rPr>
              <w:t>8.000.000</w:t>
            </w:r>
          </w:p>
        </w:tc>
        <w:tc>
          <w:tcPr>
            <w:tcW w:w="1236" w:type="dxa"/>
            <w:noWrap/>
            <w:vAlign w:val="center"/>
          </w:tcPr>
          <w:p w14:paraId="697866FA">
            <w:pPr>
              <w:jc w:val="center"/>
              <w:rPr>
                <w:color w:val="000000"/>
                <w:sz w:val="20"/>
                <w:szCs w:val="20"/>
              </w:rPr>
            </w:pPr>
          </w:p>
        </w:tc>
        <w:tc>
          <w:tcPr>
            <w:tcW w:w="1252" w:type="dxa"/>
            <w:noWrap/>
            <w:vAlign w:val="center"/>
          </w:tcPr>
          <w:p w14:paraId="4B1386AC">
            <w:pPr>
              <w:jc w:val="center"/>
              <w:rPr>
                <w:color w:val="000000"/>
                <w:sz w:val="20"/>
                <w:szCs w:val="20"/>
              </w:rPr>
            </w:pPr>
            <w:r>
              <w:rPr>
                <w:color w:val="000000"/>
                <w:sz w:val="20"/>
                <w:szCs w:val="20"/>
              </w:rPr>
              <w:t>8.000.000</w:t>
            </w:r>
          </w:p>
        </w:tc>
        <w:tc>
          <w:tcPr>
            <w:tcW w:w="1848" w:type="dxa"/>
            <w:noWrap/>
            <w:vAlign w:val="center"/>
          </w:tcPr>
          <w:p w14:paraId="47224602">
            <w:pPr>
              <w:jc w:val="center"/>
              <w:rPr>
                <w:color w:val="000000"/>
                <w:sz w:val="20"/>
                <w:szCs w:val="20"/>
              </w:rPr>
            </w:pPr>
            <w:r>
              <w:rPr>
                <w:color w:val="000000"/>
                <w:sz w:val="20"/>
                <w:szCs w:val="20"/>
              </w:rPr>
              <w:t>720.000.000</w:t>
            </w:r>
          </w:p>
        </w:tc>
      </w:tr>
      <w:tr w14:paraId="6987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1FC692E">
            <w:pPr>
              <w:jc w:val="center"/>
              <w:rPr>
                <w:b/>
                <w:bCs/>
                <w:color w:val="000000"/>
                <w:sz w:val="20"/>
                <w:szCs w:val="20"/>
              </w:rPr>
            </w:pPr>
            <w:r>
              <w:rPr>
                <w:b/>
                <w:bCs/>
                <w:color w:val="000000"/>
                <w:sz w:val="20"/>
                <w:szCs w:val="20"/>
              </w:rPr>
              <w:t>LK47</w:t>
            </w:r>
          </w:p>
        </w:tc>
        <w:tc>
          <w:tcPr>
            <w:tcW w:w="1802" w:type="dxa"/>
            <w:vAlign w:val="center"/>
          </w:tcPr>
          <w:p w14:paraId="0B5BD4B8">
            <w:pPr>
              <w:jc w:val="center"/>
              <w:rPr>
                <w:color w:val="000000"/>
                <w:sz w:val="20"/>
                <w:szCs w:val="20"/>
              </w:rPr>
            </w:pPr>
            <w:r>
              <w:rPr>
                <w:color w:val="000000"/>
                <w:sz w:val="20"/>
                <w:szCs w:val="20"/>
              </w:rPr>
              <w:t>LK47:02</w:t>
            </w:r>
          </w:p>
        </w:tc>
        <w:tc>
          <w:tcPr>
            <w:tcW w:w="1033" w:type="dxa"/>
            <w:noWrap/>
            <w:vAlign w:val="center"/>
          </w:tcPr>
          <w:p w14:paraId="5CFC4380">
            <w:pPr>
              <w:jc w:val="center"/>
              <w:rPr>
                <w:color w:val="000000"/>
                <w:sz w:val="20"/>
                <w:szCs w:val="20"/>
              </w:rPr>
            </w:pPr>
            <w:r>
              <w:rPr>
                <w:color w:val="000000"/>
                <w:sz w:val="20"/>
                <w:szCs w:val="20"/>
              </w:rPr>
              <w:t>90,00</w:t>
            </w:r>
          </w:p>
        </w:tc>
        <w:tc>
          <w:tcPr>
            <w:tcW w:w="846" w:type="dxa"/>
            <w:noWrap/>
            <w:vAlign w:val="center"/>
          </w:tcPr>
          <w:p w14:paraId="54B6693B">
            <w:pPr>
              <w:jc w:val="center"/>
              <w:rPr>
                <w:color w:val="000000"/>
                <w:sz w:val="20"/>
                <w:szCs w:val="20"/>
              </w:rPr>
            </w:pPr>
            <w:r>
              <w:rPr>
                <w:color w:val="000000"/>
                <w:sz w:val="20"/>
                <w:szCs w:val="20"/>
              </w:rPr>
              <w:t>1</w:t>
            </w:r>
          </w:p>
        </w:tc>
        <w:tc>
          <w:tcPr>
            <w:tcW w:w="2578" w:type="dxa"/>
            <w:noWrap/>
            <w:vAlign w:val="center"/>
          </w:tcPr>
          <w:p w14:paraId="74EFCD34">
            <w:pPr>
              <w:jc w:val="center"/>
              <w:rPr>
                <w:color w:val="000000"/>
                <w:sz w:val="20"/>
                <w:szCs w:val="20"/>
              </w:rPr>
            </w:pPr>
            <w:r>
              <w:rPr>
                <w:color w:val="000000"/>
                <w:sz w:val="20"/>
                <w:szCs w:val="20"/>
              </w:rPr>
              <w:t>Mặt cắt 3-3</w:t>
            </w:r>
          </w:p>
        </w:tc>
        <w:tc>
          <w:tcPr>
            <w:tcW w:w="2393" w:type="dxa"/>
            <w:noWrap/>
            <w:vAlign w:val="center"/>
          </w:tcPr>
          <w:p w14:paraId="2EA03CC0">
            <w:pPr>
              <w:jc w:val="center"/>
              <w:rPr>
                <w:color w:val="000000"/>
                <w:sz w:val="20"/>
                <w:szCs w:val="20"/>
              </w:rPr>
            </w:pPr>
            <w:r>
              <w:rPr>
                <w:color w:val="000000"/>
                <w:sz w:val="20"/>
                <w:szCs w:val="20"/>
              </w:rPr>
              <w:t>Một mặt tiền</w:t>
            </w:r>
          </w:p>
        </w:tc>
        <w:tc>
          <w:tcPr>
            <w:tcW w:w="1198" w:type="dxa"/>
            <w:noWrap/>
            <w:vAlign w:val="center"/>
          </w:tcPr>
          <w:p w14:paraId="54476B23">
            <w:pPr>
              <w:jc w:val="center"/>
              <w:rPr>
                <w:color w:val="000000"/>
                <w:sz w:val="20"/>
                <w:szCs w:val="20"/>
              </w:rPr>
            </w:pPr>
            <w:r>
              <w:rPr>
                <w:color w:val="000000"/>
                <w:sz w:val="20"/>
                <w:szCs w:val="20"/>
              </w:rPr>
              <w:t>8.000.000</w:t>
            </w:r>
          </w:p>
        </w:tc>
        <w:tc>
          <w:tcPr>
            <w:tcW w:w="1236" w:type="dxa"/>
            <w:noWrap/>
            <w:vAlign w:val="center"/>
          </w:tcPr>
          <w:p w14:paraId="52E6124D">
            <w:pPr>
              <w:jc w:val="center"/>
              <w:rPr>
                <w:color w:val="000000"/>
                <w:sz w:val="20"/>
                <w:szCs w:val="20"/>
              </w:rPr>
            </w:pPr>
          </w:p>
        </w:tc>
        <w:tc>
          <w:tcPr>
            <w:tcW w:w="1252" w:type="dxa"/>
            <w:noWrap/>
            <w:vAlign w:val="center"/>
          </w:tcPr>
          <w:p w14:paraId="5F590616">
            <w:pPr>
              <w:jc w:val="center"/>
              <w:rPr>
                <w:color w:val="000000"/>
                <w:sz w:val="20"/>
                <w:szCs w:val="20"/>
              </w:rPr>
            </w:pPr>
            <w:r>
              <w:rPr>
                <w:color w:val="000000"/>
                <w:sz w:val="20"/>
                <w:szCs w:val="20"/>
              </w:rPr>
              <w:t>8.000.000</w:t>
            </w:r>
          </w:p>
        </w:tc>
        <w:tc>
          <w:tcPr>
            <w:tcW w:w="1848" w:type="dxa"/>
            <w:noWrap/>
            <w:vAlign w:val="center"/>
          </w:tcPr>
          <w:p w14:paraId="754B6C54">
            <w:pPr>
              <w:jc w:val="center"/>
              <w:rPr>
                <w:color w:val="000000"/>
                <w:sz w:val="20"/>
                <w:szCs w:val="20"/>
              </w:rPr>
            </w:pPr>
            <w:r>
              <w:rPr>
                <w:color w:val="000000"/>
                <w:sz w:val="20"/>
                <w:szCs w:val="20"/>
              </w:rPr>
              <w:t>720.000.000</w:t>
            </w:r>
          </w:p>
        </w:tc>
      </w:tr>
      <w:tr w14:paraId="623C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BB9E270">
            <w:pPr>
              <w:jc w:val="center"/>
              <w:rPr>
                <w:b/>
                <w:bCs/>
                <w:color w:val="000000"/>
                <w:sz w:val="20"/>
                <w:szCs w:val="20"/>
              </w:rPr>
            </w:pPr>
            <w:r>
              <w:rPr>
                <w:b/>
                <w:bCs/>
                <w:color w:val="000000"/>
                <w:sz w:val="20"/>
                <w:szCs w:val="20"/>
              </w:rPr>
              <w:t>LK47</w:t>
            </w:r>
          </w:p>
        </w:tc>
        <w:tc>
          <w:tcPr>
            <w:tcW w:w="1802" w:type="dxa"/>
            <w:vAlign w:val="center"/>
          </w:tcPr>
          <w:p w14:paraId="453098F0">
            <w:pPr>
              <w:jc w:val="center"/>
              <w:rPr>
                <w:color w:val="000000"/>
                <w:sz w:val="20"/>
                <w:szCs w:val="20"/>
              </w:rPr>
            </w:pPr>
            <w:r>
              <w:rPr>
                <w:color w:val="000000"/>
                <w:sz w:val="20"/>
                <w:szCs w:val="20"/>
              </w:rPr>
              <w:t>LK47:03</w:t>
            </w:r>
          </w:p>
        </w:tc>
        <w:tc>
          <w:tcPr>
            <w:tcW w:w="1033" w:type="dxa"/>
            <w:noWrap/>
            <w:vAlign w:val="center"/>
          </w:tcPr>
          <w:p w14:paraId="7467F624">
            <w:pPr>
              <w:jc w:val="center"/>
              <w:rPr>
                <w:color w:val="000000"/>
                <w:sz w:val="20"/>
                <w:szCs w:val="20"/>
              </w:rPr>
            </w:pPr>
            <w:r>
              <w:rPr>
                <w:color w:val="000000"/>
                <w:sz w:val="20"/>
                <w:szCs w:val="20"/>
              </w:rPr>
              <w:t>90,00</w:t>
            </w:r>
          </w:p>
        </w:tc>
        <w:tc>
          <w:tcPr>
            <w:tcW w:w="846" w:type="dxa"/>
            <w:noWrap/>
            <w:vAlign w:val="center"/>
          </w:tcPr>
          <w:p w14:paraId="535AC3CE">
            <w:pPr>
              <w:jc w:val="center"/>
              <w:rPr>
                <w:color w:val="000000"/>
                <w:sz w:val="20"/>
                <w:szCs w:val="20"/>
              </w:rPr>
            </w:pPr>
            <w:r>
              <w:rPr>
                <w:color w:val="000000"/>
                <w:sz w:val="20"/>
                <w:szCs w:val="20"/>
              </w:rPr>
              <w:t>1</w:t>
            </w:r>
          </w:p>
        </w:tc>
        <w:tc>
          <w:tcPr>
            <w:tcW w:w="2578" w:type="dxa"/>
            <w:noWrap/>
            <w:vAlign w:val="center"/>
          </w:tcPr>
          <w:p w14:paraId="5C169212">
            <w:pPr>
              <w:jc w:val="center"/>
              <w:rPr>
                <w:color w:val="000000"/>
                <w:sz w:val="20"/>
                <w:szCs w:val="20"/>
              </w:rPr>
            </w:pPr>
            <w:r>
              <w:rPr>
                <w:color w:val="000000"/>
                <w:sz w:val="20"/>
                <w:szCs w:val="20"/>
              </w:rPr>
              <w:t>Mặt cắt 3-3</w:t>
            </w:r>
          </w:p>
        </w:tc>
        <w:tc>
          <w:tcPr>
            <w:tcW w:w="2393" w:type="dxa"/>
            <w:noWrap/>
            <w:vAlign w:val="center"/>
          </w:tcPr>
          <w:p w14:paraId="68EEAD61">
            <w:pPr>
              <w:jc w:val="center"/>
              <w:rPr>
                <w:color w:val="000000"/>
                <w:sz w:val="20"/>
                <w:szCs w:val="20"/>
              </w:rPr>
            </w:pPr>
            <w:r>
              <w:rPr>
                <w:color w:val="000000"/>
                <w:sz w:val="20"/>
                <w:szCs w:val="20"/>
              </w:rPr>
              <w:t>Một mặt tiền</w:t>
            </w:r>
          </w:p>
        </w:tc>
        <w:tc>
          <w:tcPr>
            <w:tcW w:w="1198" w:type="dxa"/>
            <w:noWrap/>
            <w:vAlign w:val="center"/>
          </w:tcPr>
          <w:p w14:paraId="277E5135">
            <w:pPr>
              <w:jc w:val="center"/>
              <w:rPr>
                <w:color w:val="000000"/>
                <w:sz w:val="20"/>
                <w:szCs w:val="20"/>
              </w:rPr>
            </w:pPr>
            <w:r>
              <w:rPr>
                <w:color w:val="000000"/>
                <w:sz w:val="20"/>
                <w:szCs w:val="20"/>
              </w:rPr>
              <w:t>8.000.000</w:t>
            </w:r>
          </w:p>
        </w:tc>
        <w:tc>
          <w:tcPr>
            <w:tcW w:w="1236" w:type="dxa"/>
            <w:noWrap/>
            <w:vAlign w:val="center"/>
          </w:tcPr>
          <w:p w14:paraId="33FE3878">
            <w:pPr>
              <w:jc w:val="center"/>
              <w:rPr>
                <w:color w:val="000000"/>
                <w:sz w:val="20"/>
                <w:szCs w:val="20"/>
              </w:rPr>
            </w:pPr>
          </w:p>
        </w:tc>
        <w:tc>
          <w:tcPr>
            <w:tcW w:w="1252" w:type="dxa"/>
            <w:noWrap/>
            <w:vAlign w:val="center"/>
          </w:tcPr>
          <w:p w14:paraId="3AC921BF">
            <w:pPr>
              <w:jc w:val="center"/>
              <w:rPr>
                <w:color w:val="000000"/>
                <w:sz w:val="20"/>
                <w:szCs w:val="20"/>
              </w:rPr>
            </w:pPr>
            <w:r>
              <w:rPr>
                <w:color w:val="000000"/>
                <w:sz w:val="20"/>
                <w:szCs w:val="20"/>
              </w:rPr>
              <w:t>8.000.000</w:t>
            </w:r>
          </w:p>
        </w:tc>
        <w:tc>
          <w:tcPr>
            <w:tcW w:w="1848" w:type="dxa"/>
            <w:noWrap/>
            <w:vAlign w:val="center"/>
          </w:tcPr>
          <w:p w14:paraId="5120612C">
            <w:pPr>
              <w:jc w:val="center"/>
              <w:rPr>
                <w:color w:val="000000"/>
                <w:sz w:val="20"/>
                <w:szCs w:val="20"/>
              </w:rPr>
            </w:pPr>
            <w:r>
              <w:rPr>
                <w:color w:val="000000"/>
                <w:sz w:val="20"/>
                <w:szCs w:val="20"/>
              </w:rPr>
              <w:t>720.000.000</w:t>
            </w:r>
          </w:p>
        </w:tc>
      </w:tr>
      <w:tr w14:paraId="55DB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B95F723">
            <w:pPr>
              <w:jc w:val="center"/>
              <w:rPr>
                <w:b/>
                <w:bCs/>
                <w:color w:val="000000"/>
                <w:sz w:val="20"/>
                <w:szCs w:val="20"/>
              </w:rPr>
            </w:pPr>
            <w:r>
              <w:rPr>
                <w:b/>
                <w:bCs/>
                <w:color w:val="000000"/>
                <w:sz w:val="20"/>
                <w:szCs w:val="20"/>
              </w:rPr>
              <w:t>LK47</w:t>
            </w:r>
          </w:p>
        </w:tc>
        <w:tc>
          <w:tcPr>
            <w:tcW w:w="1802" w:type="dxa"/>
            <w:vAlign w:val="center"/>
          </w:tcPr>
          <w:p w14:paraId="5336D1C1">
            <w:pPr>
              <w:jc w:val="center"/>
              <w:rPr>
                <w:color w:val="000000"/>
                <w:sz w:val="20"/>
                <w:szCs w:val="20"/>
              </w:rPr>
            </w:pPr>
            <w:r>
              <w:rPr>
                <w:color w:val="000000"/>
                <w:sz w:val="20"/>
                <w:szCs w:val="20"/>
              </w:rPr>
              <w:t>LK47:04</w:t>
            </w:r>
          </w:p>
        </w:tc>
        <w:tc>
          <w:tcPr>
            <w:tcW w:w="1033" w:type="dxa"/>
            <w:noWrap/>
            <w:vAlign w:val="center"/>
          </w:tcPr>
          <w:p w14:paraId="7919C35C">
            <w:pPr>
              <w:jc w:val="center"/>
              <w:rPr>
                <w:color w:val="000000"/>
                <w:sz w:val="20"/>
                <w:szCs w:val="20"/>
              </w:rPr>
            </w:pPr>
            <w:r>
              <w:rPr>
                <w:color w:val="000000"/>
                <w:sz w:val="20"/>
                <w:szCs w:val="20"/>
              </w:rPr>
              <w:t>90,00</w:t>
            </w:r>
          </w:p>
        </w:tc>
        <w:tc>
          <w:tcPr>
            <w:tcW w:w="846" w:type="dxa"/>
            <w:noWrap/>
            <w:vAlign w:val="center"/>
          </w:tcPr>
          <w:p w14:paraId="6C688FFD">
            <w:pPr>
              <w:jc w:val="center"/>
              <w:rPr>
                <w:color w:val="000000"/>
                <w:sz w:val="20"/>
                <w:szCs w:val="20"/>
              </w:rPr>
            </w:pPr>
            <w:r>
              <w:rPr>
                <w:color w:val="000000"/>
                <w:sz w:val="20"/>
                <w:szCs w:val="20"/>
              </w:rPr>
              <w:t>1</w:t>
            </w:r>
          </w:p>
        </w:tc>
        <w:tc>
          <w:tcPr>
            <w:tcW w:w="2578" w:type="dxa"/>
            <w:noWrap/>
            <w:vAlign w:val="center"/>
          </w:tcPr>
          <w:p w14:paraId="0268C896">
            <w:pPr>
              <w:jc w:val="center"/>
              <w:rPr>
                <w:color w:val="000000"/>
                <w:sz w:val="20"/>
                <w:szCs w:val="20"/>
              </w:rPr>
            </w:pPr>
            <w:r>
              <w:rPr>
                <w:color w:val="000000"/>
                <w:sz w:val="20"/>
                <w:szCs w:val="20"/>
              </w:rPr>
              <w:t>Mặt cắt 3-3</w:t>
            </w:r>
          </w:p>
        </w:tc>
        <w:tc>
          <w:tcPr>
            <w:tcW w:w="2393" w:type="dxa"/>
            <w:noWrap/>
            <w:vAlign w:val="center"/>
          </w:tcPr>
          <w:p w14:paraId="08E3D6B9">
            <w:pPr>
              <w:jc w:val="center"/>
              <w:rPr>
                <w:color w:val="000000"/>
                <w:sz w:val="20"/>
                <w:szCs w:val="20"/>
              </w:rPr>
            </w:pPr>
            <w:r>
              <w:rPr>
                <w:color w:val="000000"/>
                <w:sz w:val="20"/>
                <w:szCs w:val="20"/>
              </w:rPr>
              <w:t>Một mặt tiền</w:t>
            </w:r>
          </w:p>
        </w:tc>
        <w:tc>
          <w:tcPr>
            <w:tcW w:w="1198" w:type="dxa"/>
            <w:noWrap/>
            <w:vAlign w:val="center"/>
          </w:tcPr>
          <w:p w14:paraId="27B11B7A">
            <w:pPr>
              <w:jc w:val="center"/>
              <w:rPr>
                <w:color w:val="000000"/>
                <w:sz w:val="20"/>
                <w:szCs w:val="20"/>
              </w:rPr>
            </w:pPr>
            <w:r>
              <w:rPr>
                <w:color w:val="000000"/>
                <w:sz w:val="20"/>
                <w:szCs w:val="20"/>
              </w:rPr>
              <w:t>8.000.000</w:t>
            </w:r>
          </w:p>
        </w:tc>
        <w:tc>
          <w:tcPr>
            <w:tcW w:w="1236" w:type="dxa"/>
            <w:noWrap/>
            <w:vAlign w:val="center"/>
          </w:tcPr>
          <w:p w14:paraId="5077DE7E">
            <w:pPr>
              <w:jc w:val="center"/>
              <w:rPr>
                <w:color w:val="000000"/>
                <w:sz w:val="20"/>
                <w:szCs w:val="20"/>
              </w:rPr>
            </w:pPr>
          </w:p>
        </w:tc>
        <w:tc>
          <w:tcPr>
            <w:tcW w:w="1252" w:type="dxa"/>
            <w:noWrap/>
            <w:vAlign w:val="center"/>
          </w:tcPr>
          <w:p w14:paraId="219F67CC">
            <w:pPr>
              <w:jc w:val="center"/>
              <w:rPr>
                <w:color w:val="000000"/>
                <w:sz w:val="20"/>
                <w:szCs w:val="20"/>
              </w:rPr>
            </w:pPr>
            <w:r>
              <w:rPr>
                <w:color w:val="000000"/>
                <w:sz w:val="20"/>
                <w:szCs w:val="20"/>
              </w:rPr>
              <w:t>8.000.000</w:t>
            </w:r>
          </w:p>
        </w:tc>
        <w:tc>
          <w:tcPr>
            <w:tcW w:w="1848" w:type="dxa"/>
            <w:noWrap/>
            <w:vAlign w:val="center"/>
          </w:tcPr>
          <w:p w14:paraId="7B5DBAFF">
            <w:pPr>
              <w:jc w:val="center"/>
              <w:rPr>
                <w:color w:val="000000"/>
                <w:sz w:val="20"/>
                <w:szCs w:val="20"/>
              </w:rPr>
            </w:pPr>
            <w:r>
              <w:rPr>
                <w:color w:val="000000"/>
                <w:sz w:val="20"/>
                <w:szCs w:val="20"/>
              </w:rPr>
              <w:t>720.000.000</w:t>
            </w:r>
          </w:p>
        </w:tc>
      </w:tr>
      <w:tr w14:paraId="7D4A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BE86F86">
            <w:pPr>
              <w:jc w:val="center"/>
              <w:rPr>
                <w:b/>
                <w:bCs/>
                <w:color w:val="000000"/>
                <w:sz w:val="20"/>
                <w:szCs w:val="20"/>
              </w:rPr>
            </w:pPr>
            <w:r>
              <w:rPr>
                <w:b/>
                <w:bCs/>
                <w:color w:val="000000"/>
                <w:sz w:val="20"/>
                <w:szCs w:val="20"/>
              </w:rPr>
              <w:t>LK47</w:t>
            </w:r>
          </w:p>
        </w:tc>
        <w:tc>
          <w:tcPr>
            <w:tcW w:w="1802" w:type="dxa"/>
            <w:vAlign w:val="center"/>
          </w:tcPr>
          <w:p w14:paraId="4F0B4A96">
            <w:pPr>
              <w:jc w:val="center"/>
              <w:rPr>
                <w:color w:val="000000"/>
                <w:sz w:val="20"/>
                <w:szCs w:val="20"/>
              </w:rPr>
            </w:pPr>
            <w:r>
              <w:rPr>
                <w:color w:val="000000"/>
                <w:sz w:val="20"/>
                <w:szCs w:val="20"/>
              </w:rPr>
              <w:t>LK47:05</w:t>
            </w:r>
          </w:p>
        </w:tc>
        <w:tc>
          <w:tcPr>
            <w:tcW w:w="1033" w:type="dxa"/>
            <w:noWrap/>
            <w:vAlign w:val="center"/>
          </w:tcPr>
          <w:p w14:paraId="7F392D56">
            <w:pPr>
              <w:jc w:val="center"/>
              <w:rPr>
                <w:color w:val="000000"/>
                <w:sz w:val="20"/>
                <w:szCs w:val="20"/>
              </w:rPr>
            </w:pPr>
            <w:r>
              <w:rPr>
                <w:color w:val="000000"/>
                <w:sz w:val="20"/>
                <w:szCs w:val="20"/>
              </w:rPr>
              <w:t>90,00</w:t>
            </w:r>
          </w:p>
        </w:tc>
        <w:tc>
          <w:tcPr>
            <w:tcW w:w="846" w:type="dxa"/>
            <w:noWrap/>
            <w:vAlign w:val="center"/>
          </w:tcPr>
          <w:p w14:paraId="4F8D3C12">
            <w:pPr>
              <w:jc w:val="center"/>
              <w:rPr>
                <w:color w:val="000000"/>
                <w:sz w:val="20"/>
                <w:szCs w:val="20"/>
              </w:rPr>
            </w:pPr>
            <w:r>
              <w:rPr>
                <w:color w:val="000000"/>
                <w:sz w:val="20"/>
                <w:szCs w:val="20"/>
              </w:rPr>
              <w:t>1</w:t>
            </w:r>
          </w:p>
        </w:tc>
        <w:tc>
          <w:tcPr>
            <w:tcW w:w="2578" w:type="dxa"/>
            <w:noWrap/>
            <w:vAlign w:val="center"/>
          </w:tcPr>
          <w:p w14:paraId="784653E1">
            <w:pPr>
              <w:jc w:val="center"/>
              <w:rPr>
                <w:color w:val="000000"/>
                <w:sz w:val="20"/>
                <w:szCs w:val="20"/>
              </w:rPr>
            </w:pPr>
            <w:r>
              <w:rPr>
                <w:color w:val="000000"/>
                <w:sz w:val="20"/>
                <w:szCs w:val="20"/>
              </w:rPr>
              <w:t>Mặt cắt 3-3</w:t>
            </w:r>
          </w:p>
        </w:tc>
        <w:tc>
          <w:tcPr>
            <w:tcW w:w="2393" w:type="dxa"/>
            <w:noWrap/>
            <w:vAlign w:val="center"/>
          </w:tcPr>
          <w:p w14:paraId="3D0CDAAC">
            <w:pPr>
              <w:jc w:val="center"/>
              <w:rPr>
                <w:color w:val="000000"/>
                <w:sz w:val="20"/>
                <w:szCs w:val="20"/>
              </w:rPr>
            </w:pPr>
            <w:r>
              <w:rPr>
                <w:color w:val="000000"/>
                <w:sz w:val="20"/>
                <w:szCs w:val="20"/>
              </w:rPr>
              <w:t>Một mặt tiền</w:t>
            </w:r>
          </w:p>
        </w:tc>
        <w:tc>
          <w:tcPr>
            <w:tcW w:w="1198" w:type="dxa"/>
            <w:noWrap/>
            <w:vAlign w:val="center"/>
          </w:tcPr>
          <w:p w14:paraId="312DBCBF">
            <w:pPr>
              <w:jc w:val="center"/>
              <w:rPr>
                <w:color w:val="000000"/>
                <w:sz w:val="20"/>
                <w:szCs w:val="20"/>
              </w:rPr>
            </w:pPr>
            <w:r>
              <w:rPr>
                <w:color w:val="000000"/>
                <w:sz w:val="20"/>
                <w:szCs w:val="20"/>
              </w:rPr>
              <w:t>8.000.000</w:t>
            </w:r>
          </w:p>
        </w:tc>
        <w:tc>
          <w:tcPr>
            <w:tcW w:w="1236" w:type="dxa"/>
            <w:noWrap/>
            <w:vAlign w:val="center"/>
          </w:tcPr>
          <w:p w14:paraId="42AEB112">
            <w:pPr>
              <w:jc w:val="center"/>
              <w:rPr>
                <w:color w:val="000000"/>
                <w:sz w:val="20"/>
                <w:szCs w:val="20"/>
              </w:rPr>
            </w:pPr>
          </w:p>
        </w:tc>
        <w:tc>
          <w:tcPr>
            <w:tcW w:w="1252" w:type="dxa"/>
            <w:noWrap/>
            <w:vAlign w:val="center"/>
          </w:tcPr>
          <w:p w14:paraId="42CBD688">
            <w:pPr>
              <w:jc w:val="center"/>
              <w:rPr>
                <w:color w:val="000000"/>
                <w:sz w:val="20"/>
                <w:szCs w:val="20"/>
              </w:rPr>
            </w:pPr>
            <w:r>
              <w:rPr>
                <w:color w:val="000000"/>
                <w:sz w:val="20"/>
                <w:szCs w:val="20"/>
              </w:rPr>
              <w:t>8.000.000</w:t>
            </w:r>
          </w:p>
        </w:tc>
        <w:tc>
          <w:tcPr>
            <w:tcW w:w="1848" w:type="dxa"/>
            <w:noWrap/>
            <w:vAlign w:val="center"/>
          </w:tcPr>
          <w:p w14:paraId="20F1F4D4">
            <w:pPr>
              <w:jc w:val="center"/>
              <w:rPr>
                <w:color w:val="000000"/>
                <w:sz w:val="20"/>
                <w:szCs w:val="20"/>
              </w:rPr>
            </w:pPr>
            <w:r>
              <w:rPr>
                <w:color w:val="000000"/>
                <w:sz w:val="20"/>
                <w:szCs w:val="20"/>
              </w:rPr>
              <w:t>720.000.000</w:t>
            </w:r>
          </w:p>
        </w:tc>
      </w:tr>
      <w:tr w14:paraId="540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F9B5ACB">
            <w:pPr>
              <w:jc w:val="center"/>
              <w:rPr>
                <w:b/>
                <w:bCs/>
                <w:color w:val="000000"/>
                <w:sz w:val="20"/>
                <w:szCs w:val="20"/>
              </w:rPr>
            </w:pPr>
            <w:r>
              <w:rPr>
                <w:b/>
                <w:bCs/>
                <w:color w:val="000000"/>
                <w:sz w:val="20"/>
                <w:szCs w:val="20"/>
              </w:rPr>
              <w:t>LK47</w:t>
            </w:r>
          </w:p>
        </w:tc>
        <w:tc>
          <w:tcPr>
            <w:tcW w:w="1802" w:type="dxa"/>
            <w:vAlign w:val="center"/>
          </w:tcPr>
          <w:p w14:paraId="25F6D605">
            <w:pPr>
              <w:jc w:val="center"/>
              <w:rPr>
                <w:color w:val="000000"/>
                <w:sz w:val="20"/>
                <w:szCs w:val="20"/>
              </w:rPr>
            </w:pPr>
            <w:r>
              <w:rPr>
                <w:color w:val="000000"/>
                <w:sz w:val="20"/>
                <w:szCs w:val="20"/>
              </w:rPr>
              <w:t>LK47:06</w:t>
            </w:r>
          </w:p>
        </w:tc>
        <w:tc>
          <w:tcPr>
            <w:tcW w:w="1033" w:type="dxa"/>
            <w:noWrap/>
            <w:vAlign w:val="center"/>
          </w:tcPr>
          <w:p w14:paraId="097D411B">
            <w:pPr>
              <w:jc w:val="center"/>
              <w:rPr>
                <w:color w:val="000000"/>
                <w:sz w:val="20"/>
                <w:szCs w:val="20"/>
              </w:rPr>
            </w:pPr>
            <w:r>
              <w:rPr>
                <w:color w:val="000000"/>
                <w:sz w:val="20"/>
                <w:szCs w:val="20"/>
              </w:rPr>
              <w:t>90,00</w:t>
            </w:r>
          </w:p>
        </w:tc>
        <w:tc>
          <w:tcPr>
            <w:tcW w:w="846" w:type="dxa"/>
            <w:noWrap/>
            <w:vAlign w:val="center"/>
          </w:tcPr>
          <w:p w14:paraId="253760A2">
            <w:pPr>
              <w:jc w:val="center"/>
              <w:rPr>
                <w:color w:val="000000"/>
                <w:sz w:val="20"/>
                <w:szCs w:val="20"/>
              </w:rPr>
            </w:pPr>
            <w:r>
              <w:rPr>
                <w:color w:val="000000"/>
                <w:sz w:val="20"/>
                <w:szCs w:val="20"/>
              </w:rPr>
              <w:t>1</w:t>
            </w:r>
          </w:p>
        </w:tc>
        <w:tc>
          <w:tcPr>
            <w:tcW w:w="2578" w:type="dxa"/>
            <w:noWrap/>
            <w:vAlign w:val="center"/>
          </w:tcPr>
          <w:p w14:paraId="5882E6B0">
            <w:pPr>
              <w:jc w:val="center"/>
              <w:rPr>
                <w:color w:val="000000"/>
                <w:sz w:val="20"/>
                <w:szCs w:val="20"/>
              </w:rPr>
            </w:pPr>
            <w:r>
              <w:rPr>
                <w:color w:val="000000"/>
                <w:sz w:val="20"/>
                <w:szCs w:val="20"/>
              </w:rPr>
              <w:t>Mặt cắt 3-3</w:t>
            </w:r>
          </w:p>
        </w:tc>
        <w:tc>
          <w:tcPr>
            <w:tcW w:w="2393" w:type="dxa"/>
            <w:noWrap/>
            <w:vAlign w:val="center"/>
          </w:tcPr>
          <w:p w14:paraId="30D8E4DA">
            <w:pPr>
              <w:jc w:val="center"/>
              <w:rPr>
                <w:color w:val="000000"/>
                <w:sz w:val="20"/>
                <w:szCs w:val="20"/>
              </w:rPr>
            </w:pPr>
            <w:r>
              <w:rPr>
                <w:color w:val="000000"/>
                <w:sz w:val="20"/>
                <w:szCs w:val="20"/>
              </w:rPr>
              <w:t>Một mặt tiền</w:t>
            </w:r>
          </w:p>
        </w:tc>
        <w:tc>
          <w:tcPr>
            <w:tcW w:w="1198" w:type="dxa"/>
            <w:noWrap/>
            <w:vAlign w:val="center"/>
          </w:tcPr>
          <w:p w14:paraId="0BD03CCA">
            <w:pPr>
              <w:jc w:val="center"/>
              <w:rPr>
                <w:color w:val="000000"/>
                <w:sz w:val="20"/>
                <w:szCs w:val="20"/>
              </w:rPr>
            </w:pPr>
            <w:r>
              <w:rPr>
                <w:color w:val="000000"/>
                <w:sz w:val="20"/>
                <w:szCs w:val="20"/>
              </w:rPr>
              <w:t>8.000.000</w:t>
            </w:r>
          </w:p>
        </w:tc>
        <w:tc>
          <w:tcPr>
            <w:tcW w:w="1236" w:type="dxa"/>
            <w:noWrap/>
            <w:vAlign w:val="center"/>
          </w:tcPr>
          <w:p w14:paraId="4EB8D0B2">
            <w:pPr>
              <w:jc w:val="center"/>
              <w:rPr>
                <w:color w:val="000000"/>
                <w:sz w:val="20"/>
                <w:szCs w:val="20"/>
              </w:rPr>
            </w:pPr>
          </w:p>
        </w:tc>
        <w:tc>
          <w:tcPr>
            <w:tcW w:w="1252" w:type="dxa"/>
            <w:noWrap/>
            <w:vAlign w:val="center"/>
          </w:tcPr>
          <w:p w14:paraId="232B292A">
            <w:pPr>
              <w:jc w:val="center"/>
              <w:rPr>
                <w:color w:val="000000"/>
                <w:sz w:val="20"/>
                <w:szCs w:val="20"/>
              </w:rPr>
            </w:pPr>
            <w:r>
              <w:rPr>
                <w:color w:val="000000"/>
                <w:sz w:val="20"/>
                <w:szCs w:val="20"/>
              </w:rPr>
              <w:t>8.000.000</w:t>
            </w:r>
          </w:p>
        </w:tc>
        <w:tc>
          <w:tcPr>
            <w:tcW w:w="1848" w:type="dxa"/>
            <w:noWrap/>
            <w:vAlign w:val="center"/>
          </w:tcPr>
          <w:p w14:paraId="49D6E455">
            <w:pPr>
              <w:jc w:val="center"/>
              <w:rPr>
                <w:color w:val="000000"/>
                <w:sz w:val="20"/>
                <w:szCs w:val="20"/>
              </w:rPr>
            </w:pPr>
            <w:r>
              <w:rPr>
                <w:color w:val="000000"/>
                <w:sz w:val="20"/>
                <w:szCs w:val="20"/>
              </w:rPr>
              <w:t>720.000.000</w:t>
            </w:r>
          </w:p>
        </w:tc>
      </w:tr>
      <w:tr w14:paraId="4D79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D26769B">
            <w:pPr>
              <w:jc w:val="center"/>
              <w:rPr>
                <w:b/>
                <w:bCs/>
                <w:color w:val="000000"/>
                <w:sz w:val="20"/>
                <w:szCs w:val="20"/>
              </w:rPr>
            </w:pPr>
            <w:r>
              <w:rPr>
                <w:b/>
                <w:bCs/>
                <w:color w:val="000000"/>
                <w:sz w:val="20"/>
                <w:szCs w:val="20"/>
              </w:rPr>
              <w:t>LK47</w:t>
            </w:r>
          </w:p>
        </w:tc>
        <w:tc>
          <w:tcPr>
            <w:tcW w:w="1802" w:type="dxa"/>
            <w:vAlign w:val="center"/>
          </w:tcPr>
          <w:p w14:paraId="47A10FE5">
            <w:pPr>
              <w:jc w:val="center"/>
              <w:rPr>
                <w:color w:val="000000"/>
                <w:sz w:val="20"/>
                <w:szCs w:val="20"/>
              </w:rPr>
            </w:pPr>
            <w:r>
              <w:rPr>
                <w:color w:val="000000"/>
                <w:sz w:val="20"/>
                <w:szCs w:val="20"/>
              </w:rPr>
              <w:t>LK47:07</w:t>
            </w:r>
          </w:p>
        </w:tc>
        <w:tc>
          <w:tcPr>
            <w:tcW w:w="1033" w:type="dxa"/>
            <w:noWrap/>
            <w:vAlign w:val="center"/>
          </w:tcPr>
          <w:p w14:paraId="08EB9A23">
            <w:pPr>
              <w:jc w:val="center"/>
              <w:rPr>
                <w:color w:val="000000"/>
                <w:sz w:val="20"/>
                <w:szCs w:val="20"/>
              </w:rPr>
            </w:pPr>
            <w:r>
              <w:rPr>
                <w:color w:val="000000"/>
                <w:sz w:val="20"/>
                <w:szCs w:val="20"/>
              </w:rPr>
              <w:t>90,00</w:t>
            </w:r>
          </w:p>
        </w:tc>
        <w:tc>
          <w:tcPr>
            <w:tcW w:w="846" w:type="dxa"/>
            <w:noWrap/>
            <w:vAlign w:val="center"/>
          </w:tcPr>
          <w:p w14:paraId="5184F14D">
            <w:pPr>
              <w:jc w:val="center"/>
              <w:rPr>
                <w:color w:val="000000"/>
                <w:sz w:val="20"/>
                <w:szCs w:val="20"/>
              </w:rPr>
            </w:pPr>
            <w:r>
              <w:rPr>
                <w:color w:val="000000"/>
                <w:sz w:val="20"/>
                <w:szCs w:val="20"/>
              </w:rPr>
              <w:t>1</w:t>
            </w:r>
          </w:p>
        </w:tc>
        <w:tc>
          <w:tcPr>
            <w:tcW w:w="2578" w:type="dxa"/>
            <w:noWrap/>
            <w:vAlign w:val="center"/>
          </w:tcPr>
          <w:p w14:paraId="742A06D6">
            <w:pPr>
              <w:jc w:val="center"/>
              <w:rPr>
                <w:color w:val="000000"/>
                <w:sz w:val="20"/>
                <w:szCs w:val="20"/>
              </w:rPr>
            </w:pPr>
            <w:r>
              <w:rPr>
                <w:color w:val="000000"/>
                <w:sz w:val="20"/>
                <w:szCs w:val="20"/>
              </w:rPr>
              <w:t>Mặt cắt 3-3</w:t>
            </w:r>
          </w:p>
        </w:tc>
        <w:tc>
          <w:tcPr>
            <w:tcW w:w="2393" w:type="dxa"/>
            <w:noWrap/>
            <w:vAlign w:val="center"/>
          </w:tcPr>
          <w:p w14:paraId="0B554737">
            <w:pPr>
              <w:jc w:val="center"/>
              <w:rPr>
                <w:color w:val="000000"/>
                <w:sz w:val="20"/>
                <w:szCs w:val="20"/>
              </w:rPr>
            </w:pPr>
            <w:r>
              <w:rPr>
                <w:color w:val="000000"/>
                <w:sz w:val="20"/>
                <w:szCs w:val="20"/>
              </w:rPr>
              <w:t>Một mặt tiền</w:t>
            </w:r>
          </w:p>
        </w:tc>
        <w:tc>
          <w:tcPr>
            <w:tcW w:w="1198" w:type="dxa"/>
            <w:noWrap/>
            <w:vAlign w:val="center"/>
          </w:tcPr>
          <w:p w14:paraId="6199CC0A">
            <w:pPr>
              <w:jc w:val="center"/>
              <w:rPr>
                <w:color w:val="000000"/>
                <w:sz w:val="20"/>
                <w:szCs w:val="20"/>
              </w:rPr>
            </w:pPr>
            <w:r>
              <w:rPr>
                <w:color w:val="000000"/>
                <w:sz w:val="20"/>
                <w:szCs w:val="20"/>
              </w:rPr>
              <w:t>8.000.000</w:t>
            </w:r>
          </w:p>
        </w:tc>
        <w:tc>
          <w:tcPr>
            <w:tcW w:w="1236" w:type="dxa"/>
            <w:noWrap/>
            <w:vAlign w:val="center"/>
          </w:tcPr>
          <w:p w14:paraId="64358B46">
            <w:pPr>
              <w:jc w:val="center"/>
              <w:rPr>
                <w:color w:val="000000"/>
                <w:sz w:val="20"/>
                <w:szCs w:val="20"/>
              </w:rPr>
            </w:pPr>
          </w:p>
        </w:tc>
        <w:tc>
          <w:tcPr>
            <w:tcW w:w="1252" w:type="dxa"/>
            <w:noWrap/>
            <w:vAlign w:val="center"/>
          </w:tcPr>
          <w:p w14:paraId="752CEEFE">
            <w:pPr>
              <w:jc w:val="center"/>
              <w:rPr>
                <w:color w:val="000000"/>
                <w:sz w:val="20"/>
                <w:szCs w:val="20"/>
              </w:rPr>
            </w:pPr>
            <w:r>
              <w:rPr>
                <w:color w:val="000000"/>
                <w:sz w:val="20"/>
                <w:szCs w:val="20"/>
              </w:rPr>
              <w:t>8.000.000</w:t>
            </w:r>
          </w:p>
        </w:tc>
        <w:tc>
          <w:tcPr>
            <w:tcW w:w="1848" w:type="dxa"/>
            <w:noWrap/>
            <w:vAlign w:val="center"/>
          </w:tcPr>
          <w:p w14:paraId="57D97C0F">
            <w:pPr>
              <w:jc w:val="center"/>
              <w:rPr>
                <w:color w:val="000000"/>
                <w:sz w:val="20"/>
                <w:szCs w:val="20"/>
              </w:rPr>
            </w:pPr>
            <w:r>
              <w:rPr>
                <w:color w:val="000000"/>
                <w:sz w:val="20"/>
                <w:szCs w:val="20"/>
              </w:rPr>
              <w:t>720.000.000</w:t>
            </w:r>
          </w:p>
        </w:tc>
      </w:tr>
      <w:tr w14:paraId="1C16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EB1B5DC">
            <w:pPr>
              <w:jc w:val="center"/>
              <w:rPr>
                <w:b/>
                <w:bCs/>
                <w:color w:val="000000"/>
                <w:sz w:val="20"/>
                <w:szCs w:val="20"/>
              </w:rPr>
            </w:pPr>
            <w:r>
              <w:rPr>
                <w:b/>
                <w:bCs/>
                <w:color w:val="000000"/>
                <w:sz w:val="20"/>
                <w:szCs w:val="20"/>
              </w:rPr>
              <w:t>LK47</w:t>
            </w:r>
          </w:p>
        </w:tc>
        <w:tc>
          <w:tcPr>
            <w:tcW w:w="1802" w:type="dxa"/>
            <w:vAlign w:val="center"/>
          </w:tcPr>
          <w:p w14:paraId="429A9FCC">
            <w:pPr>
              <w:jc w:val="center"/>
              <w:rPr>
                <w:color w:val="000000"/>
                <w:sz w:val="20"/>
                <w:szCs w:val="20"/>
              </w:rPr>
            </w:pPr>
            <w:r>
              <w:rPr>
                <w:color w:val="000000"/>
                <w:sz w:val="20"/>
                <w:szCs w:val="20"/>
              </w:rPr>
              <w:t>LK47:08</w:t>
            </w:r>
          </w:p>
        </w:tc>
        <w:tc>
          <w:tcPr>
            <w:tcW w:w="1033" w:type="dxa"/>
            <w:noWrap/>
            <w:vAlign w:val="center"/>
          </w:tcPr>
          <w:p w14:paraId="40F13E02">
            <w:pPr>
              <w:jc w:val="center"/>
              <w:rPr>
                <w:color w:val="000000"/>
                <w:sz w:val="20"/>
                <w:szCs w:val="20"/>
              </w:rPr>
            </w:pPr>
            <w:r>
              <w:rPr>
                <w:color w:val="000000"/>
                <w:sz w:val="20"/>
                <w:szCs w:val="20"/>
              </w:rPr>
              <w:t>90,00</w:t>
            </w:r>
          </w:p>
        </w:tc>
        <w:tc>
          <w:tcPr>
            <w:tcW w:w="846" w:type="dxa"/>
            <w:noWrap/>
            <w:vAlign w:val="center"/>
          </w:tcPr>
          <w:p w14:paraId="01E4B7F5">
            <w:pPr>
              <w:jc w:val="center"/>
              <w:rPr>
                <w:color w:val="000000"/>
                <w:sz w:val="20"/>
                <w:szCs w:val="20"/>
              </w:rPr>
            </w:pPr>
            <w:r>
              <w:rPr>
                <w:color w:val="000000"/>
                <w:sz w:val="20"/>
                <w:szCs w:val="20"/>
              </w:rPr>
              <w:t>1</w:t>
            </w:r>
          </w:p>
        </w:tc>
        <w:tc>
          <w:tcPr>
            <w:tcW w:w="2578" w:type="dxa"/>
            <w:noWrap/>
            <w:vAlign w:val="center"/>
          </w:tcPr>
          <w:p w14:paraId="3E71F4B1">
            <w:pPr>
              <w:jc w:val="center"/>
              <w:rPr>
                <w:color w:val="000000"/>
                <w:sz w:val="20"/>
                <w:szCs w:val="20"/>
              </w:rPr>
            </w:pPr>
            <w:r>
              <w:rPr>
                <w:color w:val="000000"/>
                <w:sz w:val="20"/>
                <w:szCs w:val="20"/>
              </w:rPr>
              <w:t>Mặt cắt 3-3</w:t>
            </w:r>
          </w:p>
        </w:tc>
        <w:tc>
          <w:tcPr>
            <w:tcW w:w="2393" w:type="dxa"/>
            <w:noWrap/>
            <w:vAlign w:val="center"/>
          </w:tcPr>
          <w:p w14:paraId="34C4F71B">
            <w:pPr>
              <w:jc w:val="center"/>
              <w:rPr>
                <w:color w:val="000000"/>
                <w:sz w:val="20"/>
                <w:szCs w:val="20"/>
              </w:rPr>
            </w:pPr>
            <w:r>
              <w:rPr>
                <w:color w:val="000000"/>
                <w:sz w:val="20"/>
                <w:szCs w:val="20"/>
              </w:rPr>
              <w:t>Một mặt tiền</w:t>
            </w:r>
          </w:p>
        </w:tc>
        <w:tc>
          <w:tcPr>
            <w:tcW w:w="1198" w:type="dxa"/>
            <w:noWrap/>
            <w:vAlign w:val="center"/>
          </w:tcPr>
          <w:p w14:paraId="03489842">
            <w:pPr>
              <w:jc w:val="center"/>
              <w:rPr>
                <w:color w:val="000000"/>
                <w:sz w:val="20"/>
                <w:szCs w:val="20"/>
              </w:rPr>
            </w:pPr>
            <w:r>
              <w:rPr>
                <w:color w:val="000000"/>
                <w:sz w:val="20"/>
                <w:szCs w:val="20"/>
              </w:rPr>
              <w:t>8.000.000</w:t>
            </w:r>
          </w:p>
        </w:tc>
        <w:tc>
          <w:tcPr>
            <w:tcW w:w="1236" w:type="dxa"/>
            <w:noWrap/>
            <w:vAlign w:val="center"/>
          </w:tcPr>
          <w:p w14:paraId="1305E077">
            <w:pPr>
              <w:jc w:val="center"/>
              <w:rPr>
                <w:color w:val="000000"/>
                <w:sz w:val="20"/>
                <w:szCs w:val="20"/>
              </w:rPr>
            </w:pPr>
          </w:p>
        </w:tc>
        <w:tc>
          <w:tcPr>
            <w:tcW w:w="1252" w:type="dxa"/>
            <w:noWrap/>
            <w:vAlign w:val="center"/>
          </w:tcPr>
          <w:p w14:paraId="6380E975">
            <w:pPr>
              <w:jc w:val="center"/>
              <w:rPr>
                <w:color w:val="000000"/>
                <w:sz w:val="20"/>
                <w:szCs w:val="20"/>
              </w:rPr>
            </w:pPr>
            <w:r>
              <w:rPr>
                <w:color w:val="000000"/>
                <w:sz w:val="20"/>
                <w:szCs w:val="20"/>
              </w:rPr>
              <w:t>8.000.000</w:t>
            </w:r>
          </w:p>
        </w:tc>
        <w:tc>
          <w:tcPr>
            <w:tcW w:w="1848" w:type="dxa"/>
            <w:noWrap/>
            <w:vAlign w:val="center"/>
          </w:tcPr>
          <w:p w14:paraId="63890F22">
            <w:pPr>
              <w:jc w:val="center"/>
              <w:rPr>
                <w:color w:val="000000"/>
                <w:sz w:val="20"/>
                <w:szCs w:val="20"/>
              </w:rPr>
            </w:pPr>
            <w:r>
              <w:rPr>
                <w:color w:val="000000"/>
                <w:sz w:val="20"/>
                <w:szCs w:val="20"/>
              </w:rPr>
              <w:t>720.000.000</w:t>
            </w:r>
          </w:p>
        </w:tc>
      </w:tr>
      <w:tr w14:paraId="144C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61A4D99">
            <w:pPr>
              <w:jc w:val="center"/>
              <w:rPr>
                <w:b/>
                <w:bCs/>
                <w:color w:val="000000"/>
                <w:sz w:val="20"/>
                <w:szCs w:val="20"/>
              </w:rPr>
            </w:pPr>
            <w:r>
              <w:rPr>
                <w:b/>
                <w:bCs/>
                <w:color w:val="000000"/>
                <w:sz w:val="20"/>
                <w:szCs w:val="20"/>
              </w:rPr>
              <w:t>LK47</w:t>
            </w:r>
          </w:p>
        </w:tc>
        <w:tc>
          <w:tcPr>
            <w:tcW w:w="1802" w:type="dxa"/>
            <w:vAlign w:val="center"/>
          </w:tcPr>
          <w:p w14:paraId="5A1FB568">
            <w:pPr>
              <w:jc w:val="center"/>
              <w:rPr>
                <w:color w:val="000000"/>
                <w:sz w:val="20"/>
                <w:szCs w:val="20"/>
              </w:rPr>
            </w:pPr>
            <w:r>
              <w:rPr>
                <w:color w:val="000000"/>
                <w:sz w:val="20"/>
                <w:szCs w:val="20"/>
              </w:rPr>
              <w:t>LK47:09</w:t>
            </w:r>
          </w:p>
        </w:tc>
        <w:tc>
          <w:tcPr>
            <w:tcW w:w="1033" w:type="dxa"/>
            <w:noWrap/>
            <w:vAlign w:val="center"/>
          </w:tcPr>
          <w:p w14:paraId="0D7F33EC">
            <w:pPr>
              <w:jc w:val="center"/>
              <w:rPr>
                <w:color w:val="000000"/>
                <w:sz w:val="20"/>
                <w:szCs w:val="20"/>
              </w:rPr>
            </w:pPr>
            <w:r>
              <w:rPr>
                <w:color w:val="000000"/>
                <w:sz w:val="20"/>
                <w:szCs w:val="20"/>
              </w:rPr>
              <w:t>90,00</w:t>
            </w:r>
          </w:p>
        </w:tc>
        <w:tc>
          <w:tcPr>
            <w:tcW w:w="846" w:type="dxa"/>
            <w:noWrap/>
            <w:vAlign w:val="center"/>
          </w:tcPr>
          <w:p w14:paraId="63F78FBE">
            <w:pPr>
              <w:jc w:val="center"/>
              <w:rPr>
                <w:color w:val="000000"/>
                <w:sz w:val="20"/>
                <w:szCs w:val="20"/>
              </w:rPr>
            </w:pPr>
            <w:r>
              <w:rPr>
                <w:color w:val="000000"/>
                <w:sz w:val="20"/>
                <w:szCs w:val="20"/>
              </w:rPr>
              <w:t>1</w:t>
            </w:r>
          </w:p>
        </w:tc>
        <w:tc>
          <w:tcPr>
            <w:tcW w:w="2578" w:type="dxa"/>
            <w:noWrap/>
            <w:vAlign w:val="center"/>
          </w:tcPr>
          <w:p w14:paraId="2B524FE8">
            <w:pPr>
              <w:jc w:val="center"/>
              <w:rPr>
                <w:color w:val="000000"/>
                <w:sz w:val="20"/>
                <w:szCs w:val="20"/>
              </w:rPr>
            </w:pPr>
            <w:r>
              <w:rPr>
                <w:color w:val="000000"/>
                <w:sz w:val="20"/>
                <w:szCs w:val="20"/>
              </w:rPr>
              <w:t>Mặt cắt 3-3</w:t>
            </w:r>
          </w:p>
        </w:tc>
        <w:tc>
          <w:tcPr>
            <w:tcW w:w="2393" w:type="dxa"/>
            <w:noWrap/>
            <w:vAlign w:val="center"/>
          </w:tcPr>
          <w:p w14:paraId="0FD02FA1">
            <w:pPr>
              <w:jc w:val="center"/>
              <w:rPr>
                <w:color w:val="000000"/>
                <w:sz w:val="20"/>
                <w:szCs w:val="20"/>
              </w:rPr>
            </w:pPr>
            <w:r>
              <w:rPr>
                <w:color w:val="000000"/>
                <w:sz w:val="20"/>
                <w:szCs w:val="20"/>
              </w:rPr>
              <w:t>Một mặt tiền</w:t>
            </w:r>
          </w:p>
        </w:tc>
        <w:tc>
          <w:tcPr>
            <w:tcW w:w="1198" w:type="dxa"/>
            <w:noWrap/>
            <w:vAlign w:val="center"/>
          </w:tcPr>
          <w:p w14:paraId="40BFFDBE">
            <w:pPr>
              <w:jc w:val="center"/>
              <w:rPr>
                <w:color w:val="000000"/>
                <w:sz w:val="20"/>
                <w:szCs w:val="20"/>
              </w:rPr>
            </w:pPr>
            <w:r>
              <w:rPr>
                <w:color w:val="000000"/>
                <w:sz w:val="20"/>
                <w:szCs w:val="20"/>
              </w:rPr>
              <w:t>8.000.000</w:t>
            </w:r>
          </w:p>
        </w:tc>
        <w:tc>
          <w:tcPr>
            <w:tcW w:w="1236" w:type="dxa"/>
            <w:noWrap/>
            <w:vAlign w:val="center"/>
          </w:tcPr>
          <w:p w14:paraId="20763C17">
            <w:pPr>
              <w:jc w:val="center"/>
              <w:rPr>
                <w:color w:val="000000"/>
                <w:sz w:val="20"/>
                <w:szCs w:val="20"/>
              </w:rPr>
            </w:pPr>
          </w:p>
        </w:tc>
        <w:tc>
          <w:tcPr>
            <w:tcW w:w="1252" w:type="dxa"/>
            <w:noWrap/>
            <w:vAlign w:val="center"/>
          </w:tcPr>
          <w:p w14:paraId="72EBFE91">
            <w:pPr>
              <w:jc w:val="center"/>
              <w:rPr>
                <w:color w:val="000000"/>
                <w:sz w:val="20"/>
                <w:szCs w:val="20"/>
              </w:rPr>
            </w:pPr>
            <w:r>
              <w:rPr>
                <w:color w:val="000000"/>
                <w:sz w:val="20"/>
                <w:szCs w:val="20"/>
              </w:rPr>
              <w:t>8.000.000</w:t>
            </w:r>
          </w:p>
        </w:tc>
        <w:tc>
          <w:tcPr>
            <w:tcW w:w="1848" w:type="dxa"/>
            <w:noWrap/>
            <w:vAlign w:val="center"/>
          </w:tcPr>
          <w:p w14:paraId="6291F410">
            <w:pPr>
              <w:jc w:val="center"/>
              <w:rPr>
                <w:color w:val="000000"/>
                <w:sz w:val="20"/>
                <w:szCs w:val="20"/>
              </w:rPr>
            </w:pPr>
            <w:r>
              <w:rPr>
                <w:color w:val="000000"/>
                <w:sz w:val="20"/>
                <w:szCs w:val="20"/>
              </w:rPr>
              <w:t>720.000.000</w:t>
            </w:r>
          </w:p>
        </w:tc>
      </w:tr>
      <w:tr w14:paraId="21F8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8F39F3A">
            <w:pPr>
              <w:jc w:val="center"/>
              <w:rPr>
                <w:b/>
                <w:bCs/>
                <w:color w:val="000000"/>
                <w:sz w:val="20"/>
                <w:szCs w:val="20"/>
              </w:rPr>
            </w:pPr>
            <w:r>
              <w:rPr>
                <w:b/>
                <w:bCs/>
                <w:color w:val="000000"/>
                <w:sz w:val="20"/>
                <w:szCs w:val="20"/>
              </w:rPr>
              <w:t>LK10</w:t>
            </w:r>
          </w:p>
        </w:tc>
        <w:tc>
          <w:tcPr>
            <w:tcW w:w="1802" w:type="dxa"/>
            <w:vAlign w:val="center"/>
          </w:tcPr>
          <w:p w14:paraId="65307552">
            <w:pPr>
              <w:jc w:val="center"/>
              <w:rPr>
                <w:color w:val="000000"/>
                <w:sz w:val="20"/>
                <w:szCs w:val="20"/>
              </w:rPr>
            </w:pPr>
            <w:r>
              <w:rPr>
                <w:color w:val="000000"/>
                <w:sz w:val="20"/>
                <w:szCs w:val="20"/>
              </w:rPr>
              <w:t>LK10:01</w:t>
            </w:r>
          </w:p>
        </w:tc>
        <w:tc>
          <w:tcPr>
            <w:tcW w:w="1033" w:type="dxa"/>
            <w:noWrap/>
            <w:vAlign w:val="center"/>
          </w:tcPr>
          <w:p w14:paraId="0F11B14B">
            <w:pPr>
              <w:jc w:val="center"/>
              <w:rPr>
                <w:color w:val="000000"/>
                <w:sz w:val="20"/>
                <w:szCs w:val="20"/>
              </w:rPr>
            </w:pPr>
            <w:r>
              <w:rPr>
                <w:color w:val="000000"/>
                <w:sz w:val="20"/>
                <w:szCs w:val="20"/>
              </w:rPr>
              <w:t>100,00</w:t>
            </w:r>
          </w:p>
        </w:tc>
        <w:tc>
          <w:tcPr>
            <w:tcW w:w="846" w:type="dxa"/>
            <w:noWrap/>
            <w:vAlign w:val="center"/>
          </w:tcPr>
          <w:p w14:paraId="34CB504E">
            <w:pPr>
              <w:jc w:val="center"/>
              <w:rPr>
                <w:color w:val="000000"/>
                <w:sz w:val="20"/>
                <w:szCs w:val="20"/>
              </w:rPr>
            </w:pPr>
            <w:r>
              <w:rPr>
                <w:color w:val="000000"/>
                <w:sz w:val="20"/>
                <w:szCs w:val="20"/>
              </w:rPr>
              <w:t>1</w:t>
            </w:r>
          </w:p>
        </w:tc>
        <w:tc>
          <w:tcPr>
            <w:tcW w:w="2578" w:type="dxa"/>
            <w:noWrap/>
            <w:vAlign w:val="center"/>
          </w:tcPr>
          <w:p w14:paraId="76D493CE">
            <w:pPr>
              <w:jc w:val="center"/>
              <w:rPr>
                <w:color w:val="000000"/>
                <w:sz w:val="20"/>
                <w:szCs w:val="20"/>
              </w:rPr>
            </w:pPr>
            <w:r>
              <w:rPr>
                <w:color w:val="000000"/>
                <w:sz w:val="20"/>
                <w:szCs w:val="20"/>
              </w:rPr>
              <w:t>Mặt cắt 3-3</w:t>
            </w:r>
          </w:p>
        </w:tc>
        <w:tc>
          <w:tcPr>
            <w:tcW w:w="2393" w:type="dxa"/>
            <w:noWrap/>
            <w:vAlign w:val="center"/>
          </w:tcPr>
          <w:p w14:paraId="54372D03">
            <w:pPr>
              <w:jc w:val="center"/>
              <w:rPr>
                <w:color w:val="000000"/>
                <w:sz w:val="20"/>
                <w:szCs w:val="20"/>
              </w:rPr>
            </w:pPr>
            <w:r>
              <w:rPr>
                <w:color w:val="000000"/>
                <w:sz w:val="20"/>
                <w:szCs w:val="20"/>
              </w:rPr>
              <w:t>Hai mặt tiền</w:t>
            </w:r>
          </w:p>
        </w:tc>
        <w:tc>
          <w:tcPr>
            <w:tcW w:w="1198" w:type="dxa"/>
            <w:noWrap/>
            <w:vAlign w:val="center"/>
          </w:tcPr>
          <w:p w14:paraId="63C6AA93">
            <w:pPr>
              <w:jc w:val="center"/>
              <w:rPr>
                <w:color w:val="000000"/>
                <w:sz w:val="20"/>
                <w:szCs w:val="20"/>
              </w:rPr>
            </w:pPr>
            <w:r>
              <w:rPr>
                <w:color w:val="000000"/>
                <w:sz w:val="20"/>
                <w:szCs w:val="20"/>
              </w:rPr>
              <w:t>9.200.000</w:t>
            </w:r>
          </w:p>
        </w:tc>
        <w:tc>
          <w:tcPr>
            <w:tcW w:w="1236" w:type="dxa"/>
            <w:noWrap/>
            <w:vAlign w:val="center"/>
          </w:tcPr>
          <w:p w14:paraId="578AA51D">
            <w:pPr>
              <w:jc w:val="center"/>
              <w:rPr>
                <w:color w:val="000000"/>
                <w:sz w:val="20"/>
                <w:szCs w:val="20"/>
              </w:rPr>
            </w:pPr>
          </w:p>
        </w:tc>
        <w:tc>
          <w:tcPr>
            <w:tcW w:w="1252" w:type="dxa"/>
            <w:noWrap/>
            <w:vAlign w:val="center"/>
          </w:tcPr>
          <w:p w14:paraId="7CED2FF5">
            <w:pPr>
              <w:jc w:val="center"/>
              <w:rPr>
                <w:color w:val="000000"/>
                <w:sz w:val="20"/>
                <w:szCs w:val="20"/>
              </w:rPr>
            </w:pPr>
            <w:r>
              <w:rPr>
                <w:color w:val="000000"/>
                <w:sz w:val="20"/>
                <w:szCs w:val="20"/>
              </w:rPr>
              <w:t>9.200.000</w:t>
            </w:r>
          </w:p>
        </w:tc>
        <w:tc>
          <w:tcPr>
            <w:tcW w:w="1848" w:type="dxa"/>
            <w:noWrap/>
            <w:vAlign w:val="center"/>
          </w:tcPr>
          <w:p w14:paraId="3255D5D2">
            <w:pPr>
              <w:jc w:val="center"/>
              <w:rPr>
                <w:color w:val="000000"/>
                <w:sz w:val="20"/>
                <w:szCs w:val="20"/>
              </w:rPr>
            </w:pPr>
            <w:r>
              <w:rPr>
                <w:color w:val="000000"/>
                <w:sz w:val="20"/>
                <w:szCs w:val="20"/>
              </w:rPr>
              <w:t>920.000.000</w:t>
            </w:r>
          </w:p>
        </w:tc>
      </w:tr>
      <w:tr w14:paraId="5D3C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CAC4E48">
            <w:pPr>
              <w:jc w:val="center"/>
              <w:rPr>
                <w:b/>
                <w:bCs/>
                <w:color w:val="000000"/>
                <w:sz w:val="20"/>
                <w:szCs w:val="20"/>
              </w:rPr>
            </w:pPr>
            <w:r>
              <w:rPr>
                <w:b/>
                <w:bCs/>
                <w:color w:val="000000"/>
                <w:sz w:val="20"/>
                <w:szCs w:val="20"/>
              </w:rPr>
              <w:t>LK11</w:t>
            </w:r>
          </w:p>
        </w:tc>
        <w:tc>
          <w:tcPr>
            <w:tcW w:w="1802" w:type="dxa"/>
            <w:vAlign w:val="center"/>
          </w:tcPr>
          <w:p w14:paraId="5943F9D8">
            <w:pPr>
              <w:jc w:val="center"/>
              <w:rPr>
                <w:color w:val="000000"/>
                <w:sz w:val="20"/>
                <w:szCs w:val="20"/>
              </w:rPr>
            </w:pPr>
            <w:r>
              <w:rPr>
                <w:color w:val="000000"/>
                <w:sz w:val="20"/>
                <w:szCs w:val="20"/>
              </w:rPr>
              <w:t>LK11:09</w:t>
            </w:r>
          </w:p>
        </w:tc>
        <w:tc>
          <w:tcPr>
            <w:tcW w:w="1033" w:type="dxa"/>
            <w:noWrap/>
            <w:vAlign w:val="center"/>
          </w:tcPr>
          <w:p w14:paraId="1FD4BD92">
            <w:pPr>
              <w:jc w:val="center"/>
              <w:rPr>
                <w:color w:val="000000"/>
                <w:sz w:val="20"/>
                <w:szCs w:val="20"/>
              </w:rPr>
            </w:pPr>
            <w:r>
              <w:rPr>
                <w:color w:val="000000"/>
                <w:sz w:val="20"/>
                <w:szCs w:val="20"/>
              </w:rPr>
              <w:t>125,49</w:t>
            </w:r>
          </w:p>
        </w:tc>
        <w:tc>
          <w:tcPr>
            <w:tcW w:w="846" w:type="dxa"/>
            <w:noWrap/>
            <w:vAlign w:val="center"/>
          </w:tcPr>
          <w:p w14:paraId="3F79454F">
            <w:pPr>
              <w:jc w:val="center"/>
              <w:rPr>
                <w:color w:val="000000"/>
                <w:sz w:val="20"/>
                <w:szCs w:val="20"/>
              </w:rPr>
            </w:pPr>
            <w:r>
              <w:rPr>
                <w:color w:val="000000"/>
                <w:sz w:val="20"/>
                <w:szCs w:val="20"/>
              </w:rPr>
              <w:t>1</w:t>
            </w:r>
          </w:p>
        </w:tc>
        <w:tc>
          <w:tcPr>
            <w:tcW w:w="2578" w:type="dxa"/>
            <w:noWrap/>
            <w:vAlign w:val="center"/>
          </w:tcPr>
          <w:p w14:paraId="2A64B52D">
            <w:pPr>
              <w:jc w:val="center"/>
              <w:rPr>
                <w:color w:val="000000"/>
                <w:sz w:val="20"/>
                <w:szCs w:val="20"/>
              </w:rPr>
            </w:pPr>
            <w:r>
              <w:rPr>
                <w:color w:val="000000"/>
                <w:sz w:val="20"/>
                <w:szCs w:val="20"/>
              </w:rPr>
              <w:t>Mặt cắt 3-3</w:t>
            </w:r>
          </w:p>
        </w:tc>
        <w:tc>
          <w:tcPr>
            <w:tcW w:w="2393" w:type="dxa"/>
            <w:noWrap/>
            <w:vAlign w:val="center"/>
          </w:tcPr>
          <w:p w14:paraId="74875224">
            <w:pPr>
              <w:jc w:val="center"/>
              <w:rPr>
                <w:color w:val="000000"/>
                <w:sz w:val="20"/>
                <w:szCs w:val="20"/>
              </w:rPr>
            </w:pPr>
            <w:r>
              <w:rPr>
                <w:color w:val="000000"/>
                <w:sz w:val="20"/>
                <w:szCs w:val="20"/>
              </w:rPr>
              <w:t>Hai mặt tiền, đối diện/tiếp giáp CX-MN</w:t>
            </w:r>
          </w:p>
        </w:tc>
        <w:tc>
          <w:tcPr>
            <w:tcW w:w="1198" w:type="dxa"/>
            <w:noWrap/>
            <w:vAlign w:val="center"/>
          </w:tcPr>
          <w:p w14:paraId="06672445">
            <w:pPr>
              <w:jc w:val="center"/>
              <w:rPr>
                <w:color w:val="000000"/>
                <w:sz w:val="20"/>
                <w:szCs w:val="20"/>
              </w:rPr>
            </w:pPr>
            <w:r>
              <w:rPr>
                <w:color w:val="000000"/>
                <w:sz w:val="20"/>
                <w:szCs w:val="20"/>
              </w:rPr>
              <w:t>9.600.000</w:t>
            </w:r>
          </w:p>
        </w:tc>
        <w:tc>
          <w:tcPr>
            <w:tcW w:w="1236" w:type="dxa"/>
            <w:noWrap/>
            <w:vAlign w:val="center"/>
          </w:tcPr>
          <w:p w14:paraId="3DE721D7">
            <w:pPr>
              <w:jc w:val="center"/>
              <w:rPr>
                <w:color w:val="000000"/>
                <w:sz w:val="20"/>
                <w:szCs w:val="20"/>
              </w:rPr>
            </w:pPr>
          </w:p>
        </w:tc>
        <w:tc>
          <w:tcPr>
            <w:tcW w:w="1252" w:type="dxa"/>
            <w:noWrap/>
            <w:vAlign w:val="center"/>
          </w:tcPr>
          <w:p w14:paraId="670A067A">
            <w:pPr>
              <w:jc w:val="center"/>
              <w:rPr>
                <w:color w:val="000000"/>
                <w:sz w:val="20"/>
                <w:szCs w:val="20"/>
              </w:rPr>
            </w:pPr>
            <w:r>
              <w:rPr>
                <w:color w:val="000000"/>
                <w:sz w:val="20"/>
                <w:szCs w:val="20"/>
              </w:rPr>
              <w:t>9.600.000</w:t>
            </w:r>
          </w:p>
        </w:tc>
        <w:tc>
          <w:tcPr>
            <w:tcW w:w="1848" w:type="dxa"/>
            <w:noWrap/>
            <w:vAlign w:val="center"/>
          </w:tcPr>
          <w:p w14:paraId="06A75A34">
            <w:pPr>
              <w:jc w:val="center"/>
              <w:rPr>
                <w:color w:val="000000"/>
                <w:sz w:val="20"/>
                <w:szCs w:val="20"/>
              </w:rPr>
            </w:pPr>
            <w:r>
              <w:rPr>
                <w:color w:val="000000"/>
                <w:sz w:val="20"/>
                <w:szCs w:val="20"/>
              </w:rPr>
              <w:t>1.204.704.000</w:t>
            </w:r>
          </w:p>
        </w:tc>
      </w:tr>
      <w:tr w14:paraId="5691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9D32F69">
            <w:pPr>
              <w:jc w:val="center"/>
              <w:rPr>
                <w:b/>
                <w:bCs/>
                <w:color w:val="000000"/>
                <w:sz w:val="20"/>
                <w:szCs w:val="20"/>
              </w:rPr>
            </w:pPr>
            <w:r>
              <w:rPr>
                <w:b/>
                <w:bCs/>
                <w:color w:val="000000"/>
                <w:sz w:val="20"/>
                <w:szCs w:val="20"/>
              </w:rPr>
              <w:t>LK13</w:t>
            </w:r>
          </w:p>
        </w:tc>
        <w:tc>
          <w:tcPr>
            <w:tcW w:w="1802" w:type="dxa"/>
            <w:vAlign w:val="center"/>
          </w:tcPr>
          <w:p w14:paraId="65CECF92">
            <w:pPr>
              <w:jc w:val="center"/>
              <w:rPr>
                <w:color w:val="000000"/>
                <w:sz w:val="20"/>
                <w:szCs w:val="20"/>
              </w:rPr>
            </w:pPr>
            <w:r>
              <w:rPr>
                <w:color w:val="000000"/>
                <w:sz w:val="20"/>
                <w:szCs w:val="20"/>
              </w:rPr>
              <w:t>LK13:01</w:t>
            </w:r>
          </w:p>
        </w:tc>
        <w:tc>
          <w:tcPr>
            <w:tcW w:w="1033" w:type="dxa"/>
            <w:noWrap/>
            <w:vAlign w:val="center"/>
          </w:tcPr>
          <w:p w14:paraId="49FDFA9E">
            <w:pPr>
              <w:jc w:val="center"/>
              <w:rPr>
                <w:color w:val="000000"/>
                <w:sz w:val="20"/>
                <w:szCs w:val="20"/>
              </w:rPr>
            </w:pPr>
            <w:r>
              <w:rPr>
                <w:color w:val="000000"/>
                <w:sz w:val="20"/>
                <w:szCs w:val="20"/>
              </w:rPr>
              <w:t>142,89</w:t>
            </w:r>
          </w:p>
        </w:tc>
        <w:tc>
          <w:tcPr>
            <w:tcW w:w="846" w:type="dxa"/>
            <w:noWrap/>
            <w:vAlign w:val="center"/>
          </w:tcPr>
          <w:p w14:paraId="2F844C6D">
            <w:pPr>
              <w:jc w:val="center"/>
              <w:rPr>
                <w:color w:val="000000"/>
                <w:sz w:val="20"/>
                <w:szCs w:val="20"/>
              </w:rPr>
            </w:pPr>
            <w:r>
              <w:rPr>
                <w:color w:val="000000"/>
                <w:sz w:val="20"/>
                <w:szCs w:val="20"/>
              </w:rPr>
              <w:t>1</w:t>
            </w:r>
          </w:p>
        </w:tc>
        <w:tc>
          <w:tcPr>
            <w:tcW w:w="2578" w:type="dxa"/>
            <w:noWrap/>
            <w:vAlign w:val="center"/>
          </w:tcPr>
          <w:p w14:paraId="0174C0F3">
            <w:pPr>
              <w:jc w:val="center"/>
              <w:rPr>
                <w:color w:val="000000"/>
                <w:sz w:val="20"/>
                <w:szCs w:val="20"/>
              </w:rPr>
            </w:pPr>
            <w:r>
              <w:rPr>
                <w:color w:val="000000"/>
                <w:sz w:val="20"/>
                <w:szCs w:val="20"/>
              </w:rPr>
              <w:t>Mặt cắt 3-3</w:t>
            </w:r>
          </w:p>
        </w:tc>
        <w:tc>
          <w:tcPr>
            <w:tcW w:w="2393" w:type="dxa"/>
            <w:noWrap/>
            <w:vAlign w:val="center"/>
          </w:tcPr>
          <w:p w14:paraId="771AEB76">
            <w:pPr>
              <w:jc w:val="center"/>
              <w:rPr>
                <w:color w:val="000000"/>
                <w:sz w:val="20"/>
                <w:szCs w:val="20"/>
              </w:rPr>
            </w:pPr>
            <w:r>
              <w:rPr>
                <w:color w:val="000000"/>
                <w:sz w:val="20"/>
                <w:szCs w:val="20"/>
              </w:rPr>
              <w:t>Hai mặt tiền, đối diện lô đất QH trường học</w:t>
            </w:r>
          </w:p>
        </w:tc>
        <w:tc>
          <w:tcPr>
            <w:tcW w:w="1198" w:type="dxa"/>
            <w:noWrap/>
            <w:vAlign w:val="center"/>
          </w:tcPr>
          <w:p w14:paraId="5EC80F1E">
            <w:pPr>
              <w:jc w:val="center"/>
              <w:rPr>
                <w:color w:val="000000"/>
                <w:sz w:val="20"/>
                <w:szCs w:val="20"/>
              </w:rPr>
            </w:pPr>
            <w:r>
              <w:rPr>
                <w:color w:val="000000"/>
                <w:sz w:val="20"/>
                <w:szCs w:val="20"/>
              </w:rPr>
              <w:t>9.600.000</w:t>
            </w:r>
          </w:p>
        </w:tc>
        <w:tc>
          <w:tcPr>
            <w:tcW w:w="1236" w:type="dxa"/>
            <w:noWrap/>
            <w:vAlign w:val="center"/>
          </w:tcPr>
          <w:p w14:paraId="3BF8E404">
            <w:pPr>
              <w:jc w:val="center"/>
              <w:rPr>
                <w:color w:val="000000"/>
                <w:sz w:val="20"/>
                <w:szCs w:val="20"/>
              </w:rPr>
            </w:pPr>
          </w:p>
        </w:tc>
        <w:tc>
          <w:tcPr>
            <w:tcW w:w="1252" w:type="dxa"/>
            <w:noWrap/>
            <w:vAlign w:val="center"/>
          </w:tcPr>
          <w:p w14:paraId="5650396E">
            <w:pPr>
              <w:jc w:val="center"/>
              <w:rPr>
                <w:color w:val="000000"/>
                <w:sz w:val="20"/>
                <w:szCs w:val="20"/>
              </w:rPr>
            </w:pPr>
            <w:r>
              <w:rPr>
                <w:color w:val="000000"/>
                <w:sz w:val="20"/>
                <w:szCs w:val="20"/>
              </w:rPr>
              <w:t>9.600.000</w:t>
            </w:r>
          </w:p>
        </w:tc>
        <w:tc>
          <w:tcPr>
            <w:tcW w:w="1848" w:type="dxa"/>
            <w:noWrap/>
            <w:vAlign w:val="center"/>
          </w:tcPr>
          <w:p w14:paraId="5EB811D7">
            <w:pPr>
              <w:jc w:val="center"/>
              <w:rPr>
                <w:color w:val="000000"/>
                <w:sz w:val="20"/>
                <w:szCs w:val="20"/>
              </w:rPr>
            </w:pPr>
            <w:r>
              <w:rPr>
                <w:color w:val="000000"/>
                <w:sz w:val="20"/>
                <w:szCs w:val="20"/>
              </w:rPr>
              <w:t>1.371.744.000</w:t>
            </w:r>
          </w:p>
        </w:tc>
      </w:tr>
      <w:tr w14:paraId="6029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21C428E">
            <w:pPr>
              <w:jc w:val="center"/>
              <w:rPr>
                <w:b/>
                <w:bCs/>
                <w:color w:val="000000"/>
                <w:sz w:val="20"/>
                <w:szCs w:val="20"/>
              </w:rPr>
            </w:pPr>
            <w:r>
              <w:rPr>
                <w:b/>
                <w:bCs/>
                <w:color w:val="000000"/>
                <w:sz w:val="20"/>
                <w:szCs w:val="20"/>
              </w:rPr>
              <w:t>LK15</w:t>
            </w:r>
          </w:p>
        </w:tc>
        <w:tc>
          <w:tcPr>
            <w:tcW w:w="1802" w:type="dxa"/>
            <w:vAlign w:val="center"/>
          </w:tcPr>
          <w:p w14:paraId="31320CAA">
            <w:pPr>
              <w:jc w:val="center"/>
              <w:rPr>
                <w:color w:val="000000"/>
                <w:sz w:val="20"/>
                <w:szCs w:val="20"/>
              </w:rPr>
            </w:pPr>
            <w:r>
              <w:rPr>
                <w:color w:val="000000"/>
                <w:sz w:val="20"/>
                <w:szCs w:val="20"/>
              </w:rPr>
              <w:t>LK15:01</w:t>
            </w:r>
          </w:p>
        </w:tc>
        <w:tc>
          <w:tcPr>
            <w:tcW w:w="1033" w:type="dxa"/>
            <w:noWrap/>
            <w:vAlign w:val="center"/>
          </w:tcPr>
          <w:p w14:paraId="681CAFBF">
            <w:pPr>
              <w:jc w:val="center"/>
              <w:rPr>
                <w:color w:val="000000"/>
                <w:sz w:val="20"/>
                <w:szCs w:val="20"/>
              </w:rPr>
            </w:pPr>
            <w:r>
              <w:rPr>
                <w:color w:val="000000"/>
                <w:sz w:val="20"/>
                <w:szCs w:val="20"/>
              </w:rPr>
              <w:t>183,85</w:t>
            </w:r>
          </w:p>
        </w:tc>
        <w:tc>
          <w:tcPr>
            <w:tcW w:w="846" w:type="dxa"/>
            <w:noWrap/>
            <w:vAlign w:val="center"/>
          </w:tcPr>
          <w:p w14:paraId="2F8F11FF">
            <w:pPr>
              <w:jc w:val="center"/>
              <w:rPr>
                <w:color w:val="000000"/>
                <w:sz w:val="20"/>
                <w:szCs w:val="20"/>
              </w:rPr>
            </w:pPr>
            <w:r>
              <w:rPr>
                <w:color w:val="000000"/>
                <w:sz w:val="20"/>
                <w:szCs w:val="20"/>
              </w:rPr>
              <w:t>1</w:t>
            </w:r>
          </w:p>
        </w:tc>
        <w:tc>
          <w:tcPr>
            <w:tcW w:w="2578" w:type="dxa"/>
            <w:noWrap/>
            <w:vAlign w:val="center"/>
          </w:tcPr>
          <w:p w14:paraId="1EB234C9">
            <w:pPr>
              <w:jc w:val="center"/>
              <w:rPr>
                <w:color w:val="000000"/>
                <w:sz w:val="20"/>
                <w:szCs w:val="20"/>
              </w:rPr>
            </w:pPr>
            <w:r>
              <w:rPr>
                <w:color w:val="000000"/>
                <w:sz w:val="20"/>
                <w:szCs w:val="20"/>
              </w:rPr>
              <w:t>Mặt cắt 3-3</w:t>
            </w:r>
          </w:p>
        </w:tc>
        <w:tc>
          <w:tcPr>
            <w:tcW w:w="2393" w:type="dxa"/>
            <w:noWrap/>
            <w:vAlign w:val="center"/>
          </w:tcPr>
          <w:p w14:paraId="359FD1FF">
            <w:pPr>
              <w:jc w:val="center"/>
              <w:rPr>
                <w:color w:val="000000"/>
                <w:sz w:val="20"/>
                <w:szCs w:val="20"/>
              </w:rPr>
            </w:pPr>
            <w:r>
              <w:rPr>
                <w:color w:val="000000"/>
                <w:sz w:val="20"/>
                <w:szCs w:val="20"/>
              </w:rPr>
              <w:t>Hai mặt tiền, đối diện lô đất QH trường học</w:t>
            </w:r>
          </w:p>
        </w:tc>
        <w:tc>
          <w:tcPr>
            <w:tcW w:w="1198" w:type="dxa"/>
            <w:noWrap/>
            <w:vAlign w:val="center"/>
          </w:tcPr>
          <w:p w14:paraId="4F47E858">
            <w:pPr>
              <w:jc w:val="center"/>
              <w:rPr>
                <w:color w:val="000000"/>
                <w:sz w:val="20"/>
                <w:szCs w:val="20"/>
              </w:rPr>
            </w:pPr>
            <w:r>
              <w:rPr>
                <w:color w:val="000000"/>
                <w:sz w:val="20"/>
                <w:szCs w:val="20"/>
              </w:rPr>
              <w:t>9.600.000</w:t>
            </w:r>
          </w:p>
        </w:tc>
        <w:tc>
          <w:tcPr>
            <w:tcW w:w="1236" w:type="dxa"/>
            <w:noWrap/>
            <w:vAlign w:val="center"/>
          </w:tcPr>
          <w:p w14:paraId="14A96777">
            <w:pPr>
              <w:jc w:val="center"/>
              <w:rPr>
                <w:color w:val="000000"/>
                <w:sz w:val="20"/>
                <w:szCs w:val="20"/>
              </w:rPr>
            </w:pPr>
          </w:p>
        </w:tc>
        <w:tc>
          <w:tcPr>
            <w:tcW w:w="1252" w:type="dxa"/>
            <w:noWrap/>
            <w:vAlign w:val="center"/>
          </w:tcPr>
          <w:p w14:paraId="41F2FE7F">
            <w:pPr>
              <w:jc w:val="center"/>
              <w:rPr>
                <w:color w:val="000000"/>
                <w:sz w:val="20"/>
                <w:szCs w:val="20"/>
              </w:rPr>
            </w:pPr>
            <w:r>
              <w:rPr>
                <w:color w:val="000000"/>
                <w:sz w:val="20"/>
                <w:szCs w:val="20"/>
              </w:rPr>
              <w:t>9.600.000</w:t>
            </w:r>
          </w:p>
        </w:tc>
        <w:tc>
          <w:tcPr>
            <w:tcW w:w="1848" w:type="dxa"/>
            <w:noWrap/>
            <w:vAlign w:val="center"/>
          </w:tcPr>
          <w:p w14:paraId="221A25CE">
            <w:pPr>
              <w:jc w:val="center"/>
              <w:rPr>
                <w:color w:val="000000"/>
                <w:sz w:val="20"/>
                <w:szCs w:val="20"/>
              </w:rPr>
            </w:pPr>
            <w:r>
              <w:rPr>
                <w:color w:val="000000"/>
                <w:sz w:val="20"/>
                <w:szCs w:val="20"/>
              </w:rPr>
              <w:t>1.764.960.000</w:t>
            </w:r>
          </w:p>
        </w:tc>
      </w:tr>
      <w:tr w14:paraId="0C4B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36D8356">
            <w:pPr>
              <w:jc w:val="center"/>
              <w:rPr>
                <w:b/>
                <w:bCs/>
                <w:color w:val="000000"/>
                <w:sz w:val="20"/>
                <w:szCs w:val="20"/>
              </w:rPr>
            </w:pPr>
            <w:r>
              <w:rPr>
                <w:b/>
                <w:bCs/>
                <w:color w:val="000000"/>
                <w:sz w:val="20"/>
                <w:szCs w:val="20"/>
              </w:rPr>
              <w:t>LK19</w:t>
            </w:r>
          </w:p>
        </w:tc>
        <w:tc>
          <w:tcPr>
            <w:tcW w:w="1802" w:type="dxa"/>
            <w:vAlign w:val="center"/>
          </w:tcPr>
          <w:p w14:paraId="3B543D9A">
            <w:pPr>
              <w:jc w:val="center"/>
              <w:rPr>
                <w:color w:val="000000"/>
                <w:sz w:val="20"/>
                <w:szCs w:val="20"/>
              </w:rPr>
            </w:pPr>
            <w:r>
              <w:rPr>
                <w:color w:val="000000"/>
                <w:sz w:val="20"/>
                <w:szCs w:val="20"/>
              </w:rPr>
              <w:t>LK19:01</w:t>
            </w:r>
          </w:p>
        </w:tc>
        <w:tc>
          <w:tcPr>
            <w:tcW w:w="1033" w:type="dxa"/>
            <w:noWrap/>
            <w:vAlign w:val="center"/>
          </w:tcPr>
          <w:p w14:paraId="29CC221A">
            <w:pPr>
              <w:jc w:val="center"/>
              <w:rPr>
                <w:color w:val="000000"/>
                <w:sz w:val="20"/>
                <w:szCs w:val="20"/>
              </w:rPr>
            </w:pPr>
            <w:r>
              <w:rPr>
                <w:color w:val="000000"/>
                <w:sz w:val="20"/>
                <w:szCs w:val="20"/>
              </w:rPr>
              <w:t>93,25</w:t>
            </w:r>
          </w:p>
        </w:tc>
        <w:tc>
          <w:tcPr>
            <w:tcW w:w="846" w:type="dxa"/>
            <w:noWrap/>
            <w:vAlign w:val="center"/>
          </w:tcPr>
          <w:p w14:paraId="1744FB2A">
            <w:pPr>
              <w:jc w:val="center"/>
              <w:rPr>
                <w:color w:val="000000"/>
                <w:sz w:val="20"/>
                <w:szCs w:val="20"/>
              </w:rPr>
            </w:pPr>
            <w:r>
              <w:rPr>
                <w:color w:val="000000"/>
                <w:sz w:val="20"/>
                <w:szCs w:val="20"/>
              </w:rPr>
              <w:t>1</w:t>
            </w:r>
          </w:p>
        </w:tc>
        <w:tc>
          <w:tcPr>
            <w:tcW w:w="2578" w:type="dxa"/>
            <w:noWrap/>
            <w:vAlign w:val="center"/>
          </w:tcPr>
          <w:p w14:paraId="4C644B2E">
            <w:pPr>
              <w:jc w:val="center"/>
              <w:rPr>
                <w:color w:val="000000"/>
                <w:sz w:val="20"/>
                <w:szCs w:val="20"/>
              </w:rPr>
            </w:pPr>
            <w:r>
              <w:rPr>
                <w:color w:val="000000"/>
                <w:sz w:val="20"/>
                <w:szCs w:val="20"/>
              </w:rPr>
              <w:t>Mặt cắt 3-3</w:t>
            </w:r>
          </w:p>
        </w:tc>
        <w:tc>
          <w:tcPr>
            <w:tcW w:w="2393" w:type="dxa"/>
            <w:noWrap/>
            <w:vAlign w:val="center"/>
          </w:tcPr>
          <w:p w14:paraId="3EA50425">
            <w:pPr>
              <w:jc w:val="center"/>
              <w:rPr>
                <w:color w:val="000000"/>
                <w:sz w:val="20"/>
                <w:szCs w:val="20"/>
              </w:rPr>
            </w:pPr>
            <w:r>
              <w:rPr>
                <w:color w:val="000000"/>
                <w:sz w:val="20"/>
                <w:szCs w:val="20"/>
              </w:rPr>
              <w:t>Hai mặt tiền, đối diện/tiếp giáp CX-MN</w:t>
            </w:r>
          </w:p>
        </w:tc>
        <w:tc>
          <w:tcPr>
            <w:tcW w:w="1198" w:type="dxa"/>
            <w:noWrap/>
            <w:vAlign w:val="center"/>
          </w:tcPr>
          <w:p w14:paraId="5B9CD083">
            <w:pPr>
              <w:jc w:val="center"/>
              <w:rPr>
                <w:color w:val="000000"/>
                <w:sz w:val="20"/>
                <w:szCs w:val="20"/>
              </w:rPr>
            </w:pPr>
            <w:r>
              <w:rPr>
                <w:color w:val="000000"/>
                <w:sz w:val="20"/>
                <w:szCs w:val="20"/>
              </w:rPr>
              <w:t>9.600.000</w:t>
            </w:r>
          </w:p>
        </w:tc>
        <w:tc>
          <w:tcPr>
            <w:tcW w:w="1236" w:type="dxa"/>
            <w:noWrap/>
            <w:vAlign w:val="center"/>
          </w:tcPr>
          <w:p w14:paraId="29F81FF6">
            <w:pPr>
              <w:jc w:val="center"/>
              <w:rPr>
                <w:color w:val="000000"/>
                <w:sz w:val="20"/>
                <w:szCs w:val="20"/>
              </w:rPr>
            </w:pPr>
          </w:p>
        </w:tc>
        <w:tc>
          <w:tcPr>
            <w:tcW w:w="1252" w:type="dxa"/>
            <w:noWrap/>
            <w:vAlign w:val="center"/>
          </w:tcPr>
          <w:p w14:paraId="2EEEE933">
            <w:pPr>
              <w:jc w:val="center"/>
              <w:rPr>
                <w:color w:val="000000"/>
                <w:sz w:val="20"/>
                <w:szCs w:val="20"/>
              </w:rPr>
            </w:pPr>
            <w:r>
              <w:rPr>
                <w:color w:val="000000"/>
                <w:sz w:val="20"/>
                <w:szCs w:val="20"/>
              </w:rPr>
              <w:t>9.600.000</w:t>
            </w:r>
          </w:p>
        </w:tc>
        <w:tc>
          <w:tcPr>
            <w:tcW w:w="1848" w:type="dxa"/>
            <w:noWrap/>
            <w:vAlign w:val="center"/>
          </w:tcPr>
          <w:p w14:paraId="1E751249">
            <w:pPr>
              <w:jc w:val="center"/>
              <w:rPr>
                <w:color w:val="000000"/>
                <w:sz w:val="20"/>
                <w:szCs w:val="20"/>
              </w:rPr>
            </w:pPr>
            <w:r>
              <w:rPr>
                <w:color w:val="000000"/>
                <w:sz w:val="20"/>
                <w:szCs w:val="20"/>
              </w:rPr>
              <w:t>895.200.000</w:t>
            </w:r>
          </w:p>
        </w:tc>
      </w:tr>
      <w:tr w14:paraId="0002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D55689C">
            <w:pPr>
              <w:jc w:val="center"/>
              <w:rPr>
                <w:b/>
                <w:bCs/>
                <w:color w:val="000000"/>
                <w:sz w:val="20"/>
                <w:szCs w:val="20"/>
              </w:rPr>
            </w:pPr>
            <w:r>
              <w:rPr>
                <w:b/>
                <w:bCs/>
                <w:color w:val="000000"/>
                <w:sz w:val="20"/>
                <w:szCs w:val="20"/>
              </w:rPr>
              <w:t>LK24</w:t>
            </w:r>
          </w:p>
        </w:tc>
        <w:tc>
          <w:tcPr>
            <w:tcW w:w="1802" w:type="dxa"/>
            <w:vAlign w:val="center"/>
          </w:tcPr>
          <w:p w14:paraId="109AEE35">
            <w:pPr>
              <w:jc w:val="center"/>
              <w:rPr>
                <w:color w:val="000000"/>
                <w:sz w:val="20"/>
                <w:szCs w:val="20"/>
              </w:rPr>
            </w:pPr>
            <w:r>
              <w:rPr>
                <w:color w:val="000000"/>
                <w:sz w:val="20"/>
                <w:szCs w:val="20"/>
              </w:rPr>
              <w:t>LK24:01</w:t>
            </w:r>
          </w:p>
        </w:tc>
        <w:tc>
          <w:tcPr>
            <w:tcW w:w="1033" w:type="dxa"/>
            <w:noWrap/>
            <w:vAlign w:val="center"/>
          </w:tcPr>
          <w:p w14:paraId="22B13050">
            <w:pPr>
              <w:jc w:val="center"/>
              <w:rPr>
                <w:color w:val="000000"/>
                <w:sz w:val="20"/>
                <w:szCs w:val="20"/>
              </w:rPr>
            </w:pPr>
            <w:r>
              <w:rPr>
                <w:color w:val="000000"/>
                <w:sz w:val="20"/>
                <w:szCs w:val="20"/>
              </w:rPr>
              <w:t>136,50</w:t>
            </w:r>
          </w:p>
        </w:tc>
        <w:tc>
          <w:tcPr>
            <w:tcW w:w="846" w:type="dxa"/>
            <w:noWrap/>
            <w:vAlign w:val="center"/>
          </w:tcPr>
          <w:p w14:paraId="0297245D">
            <w:pPr>
              <w:jc w:val="center"/>
              <w:rPr>
                <w:color w:val="000000"/>
                <w:sz w:val="20"/>
                <w:szCs w:val="20"/>
              </w:rPr>
            </w:pPr>
            <w:r>
              <w:rPr>
                <w:color w:val="000000"/>
                <w:sz w:val="20"/>
                <w:szCs w:val="20"/>
              </w:rPr>
              <w:t>1</w:t>
            </w:r>
          </w:p>
        </w:tc>
        <w:tc>
          <w:tcPr>
            <w:tcW w:w="2578" w:type="dxa"/>
            <w:noWrap/>
            <w:vAlign w:val="center"/>
          </w:tcPr>
          <w:p w14:paraId="7B5AB935">
            <w:pPr>
              <w:jc w:val="center"/>
              <w:rPr>
                <w:color w:val="000000"/>
                <w:sz w:val="20"/>
                <w:szCs w:val="20"/>
              </w:rPr>
            </w:pPr>
            <w:r>
              <w:rPr>
                <w:color w:val="000000"/>
                <w:sz w:val="20"/>
                <w:szCs w:val="20"/>
              </w:rPr>
              <w:t>Mặt cắt 3-3</w:t>
            </w:r>
          </w:p>
        </w:tc>
        <w:tc>
          <w:tcPr>
            <w:tcW w:w="2393" w:type="dxa"/>
            <w:noWrap/>
            <w:vAlign w:val="center"/>
          </w:tcPr>
          <w:p w14:paraId="628013A6">
            <w:pPr>
              <w:jc w:val="center"/>
              <w:rPr>
                <w:color w:val="000000"/>
                <w:sz w:val="20"/>
                <w:szCs w:val="20"/>
              </w:rPr>
            </w:pPr>
            <w:r>
              <w:rPr>
                <w:color w:val="000000"/>
                <w:sz w:val="20"/>
                <w:szCs w:val="20"/>
              </w:rPr>
              <w:t>Hai mặt tiền, đối diện/tiếp giáp CX-MN</w:t>
            </w:r>
          </w:p>
        </w:tc>
        <w:tc>
          <w:tcPr>
            <w:tcW w:w="1198" w:type="dxa"/>
            <w:noWrap/>
            <w:vAlign w:val="center"/>
          </w:tcPr>
          <w:p w14:paraId="667EBFB6">
            <w:pPr>
              <w:jc w:val="center"/>
              <w:rPr>
                <w:color w:val="000000"/>
                <w:sz w:val="20"/>
                <w:szCs w:val="20"/>
              </w:rPr>
            </w:pPr>
            <w:r>
              <w:rPr>
                <w:color w:val="000000"/>
                <w:sz w:val="20"/>
                <w:szCs w:val="20"/>
              </w:rPr>
              <w:t>9.600.000</w:t>
            </w:r>
          </w:p>
        </w:tc>
        <w:tc>
          <w:tcPr>
            <w:tcW w:w="1236" w:type="dxa"/>
            <w:noWrap/>
            <w:vAlign w:val="center"/>
          </w:tcPr>
          <w:p w14:paraId="278DA55A">
            <w:pPr>
              <w:jc w:val="center"/>
              <w:rPr>
                <w:color w:val="000000"/>
                <w:sz w:val="20"/>
                <w:szCs w:val="20"/>
              </w:rPr>
            </w:pPr>
          </w:p>
        </w:tc>
        <w:tc>
          <w:tcPr>
            <w:tcW w:w="1252" w:type="dxa"/>
            <w:noWrap/>
            <w:vAlign w:val="center"/>
          </w:tcPr>
          <w:p w14:paraId="000D2752">
            <w:pPr>
              <w:jc w:val="center"/>
              <w:rPr>
                <w:color w:val="000000"/>
                <w:sz w:val="20"/>
                <w:szCs w:val="20"/>
              </w:rPr>
            </w:pPr>
            <w:r>
              <w:rPr>
                <w:color w:val="000000"/>
                <w:sz w:val="20"/>
                <w:szCs w:val="20"/>
              </w:rPr>
              <w:t>9.600.000</w:t>
            </w:r>
          </w:p>
        </w:tc>
        <w:tc>
          <w:tcPr>
            <w:tcW w:w="1848" w:type="dxa"/>
            <w:noWrap/>
            <w:vAlign w:val="center"/>
          </w:tcPr>
          <w:p w14:paraId="13AA1C0E">
            <w:pPr>
              <w:jc w:val="center"/>
              <w:rPr>
                <w:color w:val="000000"/>
                <w:sz w:val="20"/>
                <w:szCs w:val="20"/>
              </w:rPr>
            </w:pPr>
            <w:r>
              <w:rPr>
                <w:color w:val="000000"/>
                <w:sz w:val="20"/>
                <w:szCs w:val="20"/>
              </w:rPr>
              <w:t>1.310.400.000</w:t>
            </w:r>
          </w:p>
        </w:tc>
      </w:tr>
      <w:tr w14:paraId="41AD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E0EFFBF">
            <w:pPr>
              <w:jc w:val="center"/>
              <w:rPr>
                <w:b/>
                <w:bCs/>
                <w:color w:val="000000"/>
                <w:sz w:val="20"/>
                <w:szCs w:val="20"/>
              </w:rPr>
            </w:pPr>
            <w:r>
              <w:rPr>
                <w:b/>
                <w:bCs/>
                <w:color w:val="000000"/>
                <w:sz w:val="20"/>
                <w:szCs w:val="20"/>
              </w:rPr>
              <w:t>LK25</w:t>
            </w:r>
          </w:p>
        </w:tc>
        <w:tc>
          <w:tcPr>
            <w:tcW w:w="1802" w:type="dxa"/>
            <w:vAlign w:val="center"/>
          </w:tcPr>
          <w:p w14:paraId="7075F44E">
            <w:pPr>
              <w:jc w:val="center"/>
              <w:rPr>
                <w:color w:val="000000"/>
                <w:sz w:val="20"/>
                <w:szCs w:val="20"/>
              </w:rPr>
            </w:pPr>
            <w:r>
              <w:rPr>
                <w:color w:val="000000"/>
                <w:sz w:val="20"/>
                <w:szCs w:val="20"/>
              </w:rPr>
              <w:t>LK25:01</w:t>
            </w:r>
          </w:p>
        </w:tc>
        <w:tc>
          <w:tcPr>
            <w:tcW w:w="1033" w:type="dxa"/>
            <w:noWrap/>
            <w:vAlign w:val="center"/>
          </w:tcPr>
          <w:p w14:paraId="782A5976">
            <w:pPr>
              <w:jc w:val="center"/>
              <w:rPr>
                <w:color w:val="000000"/>
                <w:sz w:val="20"/>
                <w:szCs w:val="20"/>
              </w:rPr>
            </w:pPr>
            <w:r>
              <w:rPr>
                <w:color w:val="000000"/>
                <w:sz w:val="20"/>
                <w:szCs w:val="20"/>
              </w:rPr>
              <w:t>136,50</w:t>
            </w:r>
          </w:p>
        </w:tc>
        <w:tc>
          <w:tcPr>
            <w:tcW w:w="846" w:type="dxa"/>
            <w:noWrap/>
            <w:vAlign w:val="center"/>
          </w:tcPr>
          <w:p w14:paraId="0BB70353">
            <w:pPr>
              <w:jc w:val="center"/>
              <w:rPr>
                <w:color w:val="000000"/>
                <w:sz w:val="20"/>
                <w:szCs w:val="20"/>
              </w:rPr>
            </w:pPr>
            <w:r>
              <w:rPr>
                <w:color w:val="000000"/>
                <w:sz w:val="20"/>
                <w:szCs w:val="20"/>
              </w:rPr>
              <w:t>1</w:t>
            </w:r>
          </w:p>
        </w:tc>
        <w:tc>
          <w:tcPr>
            <w:tcW w:w="2578" w:type="dxa"/>
            <w:noWrap/>
            <w:vAlign w:val="center"/>
          </w:tcPr>
          <w:p w14:paraId="07073995">
            <w:pPr>
              <w:jc w:val="center"/>
              <w:rPr>
                <w:color w:val="000000"/>
                <w:sz w:val="20"/>
                <w:szCs w:val="20"/>
              </w:rPr>
            </w:pPr>
            <w:r>
              <w:rPr>
                <w:color w:val="000000"/>
                <w:sz w:val="20"/>
                <w:szCs w:val="20"/>
              </w:rPr>
              <w:t>Mặt cắt 3-3</w:t>
            </w:r>
          </w:p>
        </w:tc>
        <w:tc>
          <w:tcPr>
            <w:tcW w:w="2393" w:type="dxa"/>
            <w:noWrap/>
            <w:vAlign w:val="center"/>
          </w:tcPr>
          <w:p w14:paraId="3B38C5F9">
            <w:pPr>
              <w:jc w:val="center"/>
              <w:rPr>
                <w:color w:val="000000"/>
                <w:sz w:val="20"/>
                <w:szCs w:val="20"/>
              </w:rPr>
            </w:pPr>
            <w:r>
              <w:rPr>
                <w:color w:val="000000"/>
                <w:sz w:val="20"/>
                <w:szCs w:val="20"/>
              </w:rPr>
              <w:t>Hai mặt tiền, đối diện/tiếp giáp CX-MN</w:t>
            </w:r>
          </w:p>
        </w:tc>
        <w:tc>
          <w:tcPr>
            <w:tcW w:w="1198" w:type="dxa"/>
            <w:noWrap/>
            <w:vAlign w:val="center"/>
          </w:tcPr>
          <w:p w14:paraId="0C0FA7D1">
            <w:pPr>
              <w:jc w:val="center"/>
              <w:rPr>
                <w:color w:val="000000"/>
                <w:sz w:val="20"/>
                <w:szCs w:val="20"/>
              </w:rPr>
            </w:pPr>
            <w:r>
              <w:rPr>
                <w:color w:val="000000"/>
                <w:sz w:val="20"/>
                <w:szCs w:val="20"/>
              </w:rPr>
              <w:t>9.600.000</w:t>
            </w:r>
          </w:p>
        </w:tc>
        <w:tc>
          <w:tcPr>
            <w:tcW w:w="1236" w:type="dxa"/>
            <w:noWrap/>
            <w:vAlign w:val="center"/>
          </w:tcPr>
          <w:p w14:paraId="4FA5C5E8">
            <w:pPr>
              <w:jc w:val="center"/>
              <w:rPr>
                <w:color w:val="000000"/>
                <w:sz w:val="20"/>
                <w:szCs w:val="20"/>
              </w:rPr>
            </w:pPr>
          </w:p>
        </w:tc>
        <w:tc>
          <w:tcPr>
            <w:tcW w:w="1252" w:type="dxa"/>
            <w:noWrap/>
            <w:vAlign w:val="center"/>
          </w:tcPr>
          <w:p w14:paraId="25A62BFA">
            <w:pPr>
              <w:jc w:val="center"/>
              <w:rPr>
                <w:color w:val="000000"/>
                <w:sz w:val="20"/>
                <w:szCs w:val="20"/>
              </w:rPr>
            </w:pPr>
            <w:r>
              <w:rPr>
                <w:color w:val="000000"/>
                <w:sz w:val="20"/>
                <w:szCs w:val="20"/>
              </w:rPr>
              <w:t>9.600.000</w:t>
            </w:r>
          </w:p>
        </w:tc>
        <w:tc>
          <w:tcPr>
            <w:tcW w:w="1848" w:type="dxa"/>
            <w:noWrap/>
            <w:vAlign w:val="center"/>
          </w:tcPr>
          <w:p w14:paraId="72F1CF5D">
            <w:pPr>
              <w:jc w:val="center"/>
              <w:rPr>
                <w:color w:val="000000"/>
                <w:sz w:val="20"/>
                <w:szCs w:val="20"/>
              </w:rPr>
            </w:pPr>
            <w:r>
              <w:rPr>
                <w:color w:val="000000"/>
                <w:sz w:val="20"/>
                <w:szCs w:val="20"/>
              </w:rPr>
              <w:t>1.310.400.000</w:t>
            </w:r>
          </w:p>
        </w:tc>
      </w:tr>
      <w:tr w14:paraId="4226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74436C4">
            <w:pPr>
              <w:jc w:val="center"/>
              <w:rPr>
                <w:b/>
                <w:bCs/>
                <w:color w:val="000000"/>
                <w:sz w:val="20"/>
                <w:szCs w:val="20"/>
              </w:rPr>
            </w:pPr>
            <w:r>
              <w:rPr>
                <w:b/>
                <w:bCs/>
                <w:color w:val="000000"/>
                <w:sz w:val="20"/>
                <w:szCs w:val="20"/>
              </w:rPr>
              <w:t>LK28</w:t>
            </w:r>
          </w:p>
        </w:tc>
        <w:tc>
          <w:tcPr>
            <w:tcW w:w="1802" w:type="dxa"/>
            <w:vAlign w:val="center"/>
          </w:tcPr>
          <w:p w14:paraId="7EF5CA60">
            <w:pPr>
              <w:jc w:val="center"/>
              <w:rPr>
                <w:color w:val="000000"/>
                <w:sz w:val="20"/>
                <w:szCs w:val="20"/>
              </w:rPr>
            </w:pPr>
            <w:r>
              <w:rPr>
                <w:color w:val="000000"/>
                <w:sz w:val="20"/>
                <w:szCs w:val="20"/>
              </w:rPr>
              <w:t>LK28:01</w:t>
            </w:r>
          </w:p>
        </w:tc>
        <w:tc>
          <w:tcPr>
            <w:tcW w:w="1033" w:type="dxa"/>
            <w:noWrap/>
            <w:vAlign w:val="center"/>
          </w:tcPr>
          <w:p w14:paraId="3661C886">
            <w:pPr>
              <w:jc w:val="center"/>
              <w:rPr>
                <w:color w:val="000000"/>
                <w:sz w:val="20"/>
                <w:szCs w:val="20"/>
              </w:rPr>
            </w:pPr>
            <w:r>
              <w:rPr>
                <w:color w:val="000000"/>
                <w:sz w:val="20"/>
                <w:szCs w:val="20"/>
              </w:rPr>
              <w:t>136,50</w:t>
            </w:r>
          </w:p>
        </w:tc>
        <w:tc>
          <w:tcPr>
            <w:tcW w:w="846" w:type="dxa"/>
            <w:noWrap/>
            <w:vAlign w:val="center"/>
          </w:tcPr>
          <w:p w14:paraId="60569C10">
            <w:pPr>
              <w:jc w:val="center"/>
              <w:rPr>
                <w:color w:val="000000"/>
                <w:sz w:val="20"/>
                <w:szCs w:val="20"/>
              </w:rPr>
            </w:pPr>
            <w:r>
              <w:rPr>
                <w:color w:val="000000"/>
                <w:sz w:val="20"/>
                <w:szCs w:val="20"/>
              </w:rPr>
              <w:t>1</w:t>
            </w:r>
          </w:p>
        </w:tc>
        <w:tc>
          <w:tcPr>
            <w:tcW w:w="2578" w:type="dxa"/>
            <w:noWrap/>
            <w:vAlign w:val="center"/>
          </w:tcPr>
          <w:p w14:paraId="75ADF46A">
            <w:pPr>
              <w:jc w:val="center"/>
              <w:rPr>
                <w:color w:val="000000"/>
                <w:sz w:val="20"/>
                <w:szCs w:val="20"/>
              </w:rPr>
            </w:pPr>
            <w:r>
              <w:rPr>
                <w:color w:val="000000"/>
                <w:sz w:val="20"/>
                <w:szCs w:val="20"/>
              </w:rPr>
              <w:t>Mặt cắt 3-3</w:t>
            </w:r>
          </w:p>
        </w:tc>
        <w:tc>
          <w:tcPr>
            <w:tcW w:w="2393" w:type="dxa"/>
            <w:noWrap/>
            <w:vAlign w:val="center"/>
          </w:tcPr>
          <w:p w14:paraId="2D868836">
            <w:pPr>
              <w:jc w:val="center"/>
              <w:rPr>
                <w:color w:val="000000"/>
                <w:sz w:val="20"/>
                <w:szCs w:val="20"/>
              </w:rPr>
            </w:pPr>
            <w:r>
              <w:rPr>
                <w:color w:val="000000"/>
                <w:sz w:val="20"/>
                <w:szCs w:val="20"/>
              </w:rPr>
              <w:t>Hai mặt tiền, đối diện/tiếp giáp CX-MN</w:t>
            </w:r>
          </w:p>
        </w:tc>
        <w:tc>
          <w:tcPr>
            <w:tcW w:w="1198" w:type="dxa"/>
            <w:noWrap/>
            <w:vAlign w:val="center"/>
          </w:tcPr>
          <w:p w14:paraId="1D244348">
            <w:pPr>
              <w:jc w:val="center"/>
              <w:rPr>
                <w:color w:val="000000"/>
                <w:sz w:val="20"/>
                <w:szCs w:val="20"/>
              </w:rPr>
            </w:pPr>
            <w:r>
              <w:rPr>
                <w:color w:val="000000"/>
                <w:sz w:val="20"/>
                <w:szCs w:val="20"/>
              </w:rPr>
              <w:t>9.600.000</w:t>
            </w:r>
          </w:p>
        </w:tc>
        <w:tc>
          <w:tcPr>
            <w:tcW w:w="1236" w:type="dxa"/>
            <w:noWrap/>
            <w:vAlign w:val="center"/>
          </w:tcPr>
          <w:p w14:paraId="1335D576">
            <w:pPr>
              <w:jc w:val="center"/>
              <w:rPr>
                <w:color w:val="000000"/>
                <w:sz w:val="20"/>
                <w:szCs w:val="20"/>
              </w:rPr>
            </w:pPr>
          </w:p>
        </w:tc>
        <w:tc>
          <w:tcPr>
            <w:tcW w:w="1252" w:type="dxa"/>
            <w:noWrap/>
            <w:vAlign w:val="center"/>
          </w:tcPr>
          <w:p w14:paraId="134ABB1B">
            <w:pPr>
              <w:jc w:val="center"/>
              <w:rPr>
                <w:color w:val="000000"/>
                <w:sz w:val="20"/>
                <w:szCs w:val="20"/>
              </w:rPr>
            </w:pPr>
            <w:r>
              <w:rPr>
                <w:color w:val="000000"/>
                <w:sz w:val="20"/>
                <w:szCs w:val="20"/>
              </w:rPr>
              <w:t>9.600.000</w:t>
            </w:r>
          </w:p>
        </w:tc>
        <w:tc>
          <w:tcPr>
            <w:tcW w:w="1848" w:type="dxa"/>
            <w:noWrap/>
            <w:vAlign w:val="center"/>
          </w:tcPr>
          <w:p w14:paraId="34F8A6DE">
            <w:pPr>
              <w:jc w:val="center"/>
              <w:rPr>
                <w:color w:val="000000"/>
                <w:sz w:val="20"/>
                <w:szCs w:val="20"/>
              </w:rPr>
            </w:pPr>
            <w:r>
              <w:rPr>
                <w:color w:val="000000"/>
                <w:sz w:val="20"/>
                <w:szCs w:val="20"/>
              </w:rPr>
              <w:t>1.310.400.000</w:t>
            </w:r>
          </w:p>
        </w:tc>
      </w:tr>
      <w:tr w14:paraId="78AB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FD5603">
            <w:pPr>
              <w:jc w:val="center"/>
              <w:rPr>
                <w:b/>
                <w:bCs/>
                <w:color w:val="000000"/>
                <w:sz w:val="20"/>
                <w:szCs w:val="20"/>
              </w:rPr>
            </w:pPr>
            <w:r>
              <w:rPr>
                <w:b/>
                <w:bCs/>
                <w:color w:val="000000"/>
                <w:sz w:val="20"/>
                <w:szCs w:val="20"/>
              </w:rPr>
              <w:t>LK29</w:t>
            </w:r>
          </w:p>
        </w:tc>
        <w:tc>
          <w:tcPr>
            <w:tcW w:w="1802" w:type="dxa"/>
            <w:vAlign w:val="center"/>
          </w:tcPr>
          <w:p w14:paraId="72D9A6F3">
            <w:pPr>
              <w:jc w:val="center"/>
              <w:rPr>
                <w:color w:val="000000"/>
                <w:sz w:val="20"/>
                <w:szCs w:val="20"/>
              </w:rPr>
            </w:pPr>
            <w:r>
              <w:rPr>
                <w:color w:val="000000"/>
                <w:sz w:val="20"/>
                <w:szCs w:val="20"/>
              </w:rPr>
              <w:t>LK29:01</w:t>
            </w:r>
          </w:p>
        </w:tc>
        <w:tc>
          <w:tcPr>
            <w:tcW w:w="1033" w:type="dxa"/>
            <w:noWrap/>
            <w:vAlign w:val="center"/>
          </w:tcPr>
          <w:p w14:paraId="22E6ADC4">
            <w:pPr>
              <w:jc w:val="center"/>
              <w:rPr>
                <w:color w:val="000000"/>
                <w:sz w:val="20"/>
                <w:szCs w:val="20"/>
              </w:rPr>
            </w:pPr>
            <w:r>
              <w:rPr>
                <w:color w:val="000000"/>
                <w:sz w:val="20"/>
                <w:szCs w:val="20"/>
              </w:rPr>
              <w:t>136,50</w:t>
            </w:r>
          </w:p>
        </w:tc>
        <w:tc>
          <w:tcPr>
            <w:tcW w:w="846" w:type="dxa"/>
            <w:noWrap/>
            <w:vAlign w:val="center"/>
          </w:tcPr>
          <w:p w14:paraId="06A50ADA">
            <w:pPr>
              <w:jc w:val="center"/>
              <w:rPr>
                <w:color w:val="000000"/>
                <w:sz w:val="20"/>
                <w:szCs w:val="20"/>
              </w:rPr>
            </w:pPr>
            <w:r>
              <w:rPr>
                <w:color w:val="000000"/>
                <w:sz w:val="20"/>
                <w:szCs w:val="20"/>
              </w:rPr>
              <w:t>1</w:t>
            </w:r>
          </w:p>
        </w:tc>
        <w:tc>
          <w:tcPr>
            <w:tcW w:w="2578" w:type="dxa"/>
            <w:noWrap/>
            <w:vAlign w:val="center"/>
          </w:tcPr>
          <w:p w14:paraId="049E0E16">
            <w:pPr>
              <w:jc w:val="center"/>
              <w:rPr>
                <w:color w:val="000000"/>
                <w:sz w:val="20"/>
                <w:szCs w:val="20"/>
              </w:rPr>
            </w:pPr>
            <w:r>
              <w:rPr>
                <w:color w:val="000000"/>
                <w:sz w:val="20"/>
                <w:szCs w:val="20"/>
              </w:rPr>
              <w:t>Mặt cắt 3-3</w:t>
            </w:r>
          </w:p>
        </w:tc>
        <w:tc>
          <w:tcPr>
            <w:tcW w:w="2393" w:type="dxa"/>
            <w:noWrap/>
            <w:vAlign w:val="center"/>
          </w:tcPr>
          <w:p w14:paraId="3E8F2102">
            <w:pPr>
              <w:jc w:val="center"/>
              <w:rPr>
                <w:color w:val="000000"/>
                <w:sz w:val="20"/>
                <w:szCs w:val="20"/>
              </w:rPr>
            </w:pPr>
            <w:r>
              <w:rPr>
                <w:color w:val="000000"/>
                <w:sz w:val="20"/>
                <w:szCs w:val="20"/>
              </w:rPr>
              <w:t>Hai mặt tiền, đối diện/tiếp giáp CX-MN</w:t>
            </w:r>
          </w:p>
        </w:tc>
        <w:tc>
          <w:tcPr>
            <w:tcW w:w="1198" w:type="dxa"/>
            <w:noWrap/>
            <w:vAlign w:val="center"/>
          </w:tcPr>
          <w:p w14:paraId="13F21A5A">
            <w:pPr>
              <w:jc w:val="center"/>
              <w:rPr>
                <w:color w:val="000000"/>
                <w:sz w:val="20"/>
                <w:szCs w:val="20"/>
              </w:rPr>
            </w:pPr>
            <w:r>
              <w:rPr>
                <w:color w:val="000000"/>
                <w:sz w:val="20"/>
                <w:szCs w:val="20"/>
              </w:rPr>
              <w:t>9.600.000</w:t>
            </w:r>
          </w:p>
        </w:tc>
        <w:tc>
          <w:tcPr>
            <w:tcW w:w="1236" w:type="dxa"/>
            <w:noWrap/>
            <w:vAlign w:val="center"/>
          </w:tcPr>
          <w:p w14:paraId="49E9B341">
            <w:pPr>
              <w:jc w:val="center"/>
              <w:rPr>
                <w:color w:val="000000"/>
                <w:sz w:val="20"/>
                <w:szCs w:val="20"/>
              </w:rPr>
            </w:pPr>
          </w:p>
        </w:tc>
        <w:tc>
          <w:tcPr>
            <w:tcW w:w="1252" w:type="dxa"/>
            <w:noWrap/>
            <w:vAlign w:val="center"/>
          </w:tcPr>
          <w:p w14:paraId="258EA62C">
            <w:pPr>
              <w:jc w:val="center"/>
              <w:rPr>
                <w:color w:val="000000"/>
                <w:sz w:val="20"/>
                <w:szCs w:val="20"/>
              </w:rPr>
            </w:pPr>
            <w:r>
              <w:rPr>
                <w:color w:val="000000"/>
                <w:sz w:val="20"/>
                <w:szCs w:val="20"/>
              </w:rPr>
              <w:t>9.600.000</w:t>
            </w:r>
          </w:p>
        </w:tc>
        <w:tc>
          <w:tcPr>
            <w:tcW w:w="1848" w:type="dxa"/>
            <w:noWrap/>
            <w:vAlign w:val="center"/>
          </w:tcPr>
          <w:p w14:paraId="6C89AC7D">
            <w:pPr>
              <w:jc w:val="center"/>
              <w:rPr>
                <w:color w:val="000000"/>
                <w:sz w:val="20"/>
                <w:szCs w:val="20"/>
              </w:rPr>
            </w:pPr>
            <w:r>
              <w:rPr>
                <w:color w:val="000000"/>
                <w:sz w:val="20"/>
                <w:szCs w:val="20"/>
              </w:rPr>
              <w:t>1.310.400.000</w:t>
            </w:r>
          </w:p>
        </w:tc>
      </w:tr>
      <w:tr w14:paraId="2FC6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B1138C0">
            <w:pPr>
              <w:jc w:val="center"/>
              <w:rPr>
                <w:b/>
                <w:bCs/>
                <w:color w:val="000000"/>
                <w:sz w:val="20"/>
                <w:szCs w:val="20"/>
              </w:rPr>
            </w:pPr>
            <w:r>
              <w:rPr>
                <w:b/>
                <w:bCs/>
                <w:color w:val="000000"/>
                <w:sz w:val="20"/>
                <w:szCs w:val="20"/>
              </w:rPr>
              <w:t>LK32</w:t>
            </w:r>
          </w:p>
        </w:tc>
        <w:tc>
          <w:tcPr>
            <w:tcW w:w="1802" w:type="dxa"/>
            <w:vAlign w:val="center"/>
          </w:tcPr>
          <w:p w14:paraId="3EBAFE7C">
            <w:pPr>
              <w:jc w:val="center"/>
              <w:rPr>
                <w:color w:val="000000"/>
                <w:sz w:val="20"/>
                <w:szCs w:val="20"/>
              </w:rPr>
            </w:pPr>
            <w:r>
              <w:rPr>
                <w:color w:val="000000"/>
                <w:sz w:val="20"/>
                <w:szCs w:val="20"/>
              </w:rPr>
              <w:t>LK32:01</w:t>
            </w:r>
          </w:p>
        </w:tc>
        <w:tc>
          <w:tcPr>
            <w:tcW w:w="1033" w:type="dxa"/>
            <w:noWrap/>
            <w:vAlign w:val="center"/>
          </w:tcPr>
          <w:p w14:paraId="26C1A1A2">
            <w:pPr>
              <w:jc w:val="center"/>
              <w:rPr>
                <w:color w:val="000000"/>
                <w:sz w:val="20"/>
                <w:szCs w:val="20"/>
              </w:rPr>
            </w:pPr>
            <w:r>
              <w:rPr>
                <w:color w:val="000000"/>
                <w:sz w:val="20"/>
                <w:szCs w:val="20"/>
              </w:rPr>
              <w:t>136,50</w:t>
            </w:r>
          </w:p>
        </w:tc>
        <w:tc>
          <w:tcPr>
            <w:tcW w:w="846" w:type="dxa"/>
            <w:noWrap/>
            <w:vAlign w:val="center"/>
          </w:tcPr>
          <w:p w14:paraId="6D627B5F">
            <w:pPr>
              <w:jc w:val="center"/>
              <w:rPr>
                <w:color w:val="000000"/>
                <w:sz w:val="20"/>
                <w:szCs w:val="20"/>
              </w:rPr>
            </w:pPr>
            <w:r>
              <w:rPr>
                <w:color w:val="000000"/>
                <w:sz w:val="20"/>
                <w:szCs w:val="20"/>
              </w:rPr>
              <w:t>1</w:t>
            </w:r>
          </w:p>
        </w:tc>
        <w:tc>
          <w:tcPr>
            <w:tcW w:w="2578" w:type="dxa"/>
            <w:noWrap/>
            <w:vAlign w:val="center"/>
          </w:tcPr>
          <w:p w14:paraId="7623DC33">
            <w:pPr>
              <w:jc w:val="center"/>
              <w:rPr>
                <w:color w:val="000000"/>
                <w:sz w:val="20"/>
                <w:szCs w:val="20"/>
              </w:rPr>
            </w:pPr>
            <w:r>
              <w:rPr>
                <w:color w:val="000000"/>
                <w:sz w:val="20"/>
                <w:szCs w:val="20"/>
              </w:rPr>
              <w:t>Mặt cắt 3-3</w:t>
            </w:r>
          </w:p>
        </w:tc>
        <w:tc>
          <w:tcPr>
            <w:tcW w:w="2393" w:type="dxa"/>
            <w:noWrap/>
            <w:vAlign w:val="center"/>
          </w:tcPr>
          <w:p w14:paraId="58C397EC">
            <w:pPr>
              <w:jc w:val="center"/>
              <w:rPr>
                <w:color w:val="000000"/>
                <w:sz w:val="20"/>
                <w:szCs w:val="20"/>
              </w:rPr>
            </w:pPr>
            <w:r>
              <w:rPr>
                <w:color w:val="000000"/>
                <w:sz w:val="20"/>
                <w:szCs w:val="20"/>
              </w:rPr>
              <w:t>Hai mặt tiền, đối diện/tiếp giáp CX-MN</w:t>
            </w:r>
          </w:p>
        </w:tc>
        <w:tc>
          <w:tcPr>
            <w:tcW w:w="1198" w:type="dxa"/>
            <w:noWrap/>
            <w:vAlign w:val="center"/>
          </w:tcPr>
          <w:p w14:paraId="62A81B43">
            <w:pPr>
              <w:jc w:val="center"/>
              <w:rPr>
                <w:color w:val="000000"/>
                <w:sz w:val="20"/>
                <w:szCs w:val="20"/>
              </w:rPr>
            </w:pPr>
            <w:r>
              <w:rPr>
                <w:color w:val="000000"/>
                <w:sz w:val="20"/>
                <w:szCs w:val="20"/>
              </w:rPr>
              <w:t>9.600.000</w:t>
            </w:r>
          </w:p>
        </w:tc>
        <w:tc>
          <w:tcPr>
            <w:tcW w:w="1236" w:type="dxa"/>
            <w:noWrap/>
            <w:vAlign w:val="center"/>
          </w:tcPr>
          <w:p w14:paraId="662AD412">
            <w:pPr>
              <w:jc w:val="center"/>
              <w:rPr>
                <w:color w:val="000000"/>
                <w:sz w:val="20"/>
                <w:szCs w:val="20"/>
              </w:rPr>
            </w:pPr>
          </w:p>
        </w:tc>
        <w:tc>
          <w:tcPr>
            <w:tcW w:w="1252" w:type="dxa"/>
            <w:noWrap/>
            <w:vAlign w:val="center"/>
          </w:tcPr>
          <w:p w14:paraId="1416A49D">
            <w:pPr>
              <w:jc w:val="center"/>
              <w:rPr>
                <w:color w:val="000000"/>
                <w:sz w:val="20"/>
                <w:szCs w:val="20"/>
              </w:rPr>
            </w:pPr>
            <w:r>
              <w:rPr>
                <w:color w:val="000000"/>
                <w:sz w:val="20"/>
                <w:szCs w:val="20"/>
              </w:rPr>
              <w:t>9.600.000</w:t>
            </w:r>
          </w:p>
        </w:tc>
        <w:tc>
          <w:tcPr>
            <w:tcW w:w="1848" w:type="dxa"/>
            <w:noWrap/>
            <w:vAlign w:val="center"/>
          </w:tcPr>
          <w:p w14:paraId="43B5C7FE">
            <w:pPr>
              <w:jc w:val="center"/>
              <w:rPr>
                <w:color w:val="000000"/>
                <w:sz w:val="20"/>
                <w:szCs w:val="20"/>
              </w:rPr>
            </w:pPr>
            <w:r>
              <w:rPr>
                <w:color w:val="000000"/>
                <w:sz w:val="20"/>
                <w:szCs w:val="20"/>
              </w:rPr>
              <w:t>1.310.400.000</w:t>
            </w:r>
          </w:p>
        </w:tc>
      </w:tr>
      <w:tr w14:paraId="4F03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1D96C3D">
            <w:pPr>
              <w:jc w:val="center"/>
              <w:rPr>
                <w:b/>
                <w:bCs/>
                <w:color w:val="000000"/>
                <w:sz w:val="20"/>
                <w:szCs w:val="20"/>
              </w:rPr>
            </w:pPr>
            <w:r>
              <w:rPr>
                <w:b/>
                <w:bCs/>
                <w:color w:val="000000"/>
                <w:sz w:val="20"/>
                <w:szCs w:val="20"/>
              </w:rPr>
              <w:t>LK38</w:t>
            </w:r>
          </w:p>
        </w:tc>
        <w:tc>
          <w:tcPr>
            <w:tcW w:w="1802" w:type="dxa"/>
            <w:vAlign w:val="center"/>
          </w:tcPr>
          <w:p w14:paraId="6D1A5A84">
            <w:pPr>
              <w:jc w:val="center"/>
              <w:rPr>
                <w:color w:val="000000"/>
                <w:sz w:val="20"/>
                <w:szCs w:val="20"/>
              </w:rPr>
            </w:pPr>
            <w:r>
              <w:rPr>
                <w:color w:val="000000"/>
                <w:sz w:val="20"/>
                <w:szCs w:val="20"/>
              </w:rPr>
              <w:t>LK38:01</w:t>
            </w:r>
          </w:p>
        </w:tc>
        <w:tc>
          <w:tcPr>
            <w:tcW w:w="1033" w:type="dxa"/>
            <w:noWrap/>
            <w:vAlign w:val="center"/>
          </w:tcPr>
          <w:p w14:paraId="270F6B8C">
            <w:pPr>
              <w:jc w:val="center"/>
              <w:rPr>
                <w:color w:val="000000"/>
                <w:sz w:val="20"/>
                <w:szCs w:val="20"/>
              </w:rPr>
            </w:pPr>
            <w:r>
              <w:rPr>
                <w:color w:val="000000"/>
                <w:sz w:val="20"/>
                <w:szCs w:val="20"/>
              </w:rPr>
              <w:t>84,24</w:t>
            </w:r>
          </w:p>
        </w:tc>
        <w:tc>
          <w:tcPr>
            <w:tcW w:w="846" w:type="dxa"/>
            <w:noWrap/>
            <w:vAlign w:val="center"/>
          </w:tcPr>
          <w:p w14:paraId="159D9B6D">
            <w:pPr>
              <w:jc w:val="center"/>
              <w:rPr>
                <w:color w:val="000000"/>
                <w:sz w:val="20"/>
                <w:szCs w:val="20"/>
              </w:rPr>
            </w:pPr>
            <w:r>
              <w:rPr>
                <w:color w:val="000000"/>
                <w:sz w:val="20"/>
                <w:szCs w:val="20"/>
              </w:rPr>
              <w:t>1</w:t>
            </w:r>
          </w:p>
        </w:tc>
        <w:tc>
          <w:tcPr>
            <w:tcW w:w="2578" w:type="dxa"/>
            <w:noWrap/>
            <w:vAlign w:val="center"/>
          </w:tcPr>
          <w:p w14:paraId="5A605599">
            <w:pPr>
              <w:jc w:val="center"/>
              <w:rPr>
                <w:color w:val="000000"/>
                <w:sz w:val="20"/>
                <w:szCs w:val="20"/>
              </w:rPr>
            </w:pPr>
            <w:r>
              <w:rPr>
                <w:color w:val="000000"/>
                <w:sz w:val="20"/>
                <w:szCs w:val="20"/>
              </w:rPr>
              <w:t>Mặt cắt 3-3</w:t>
            </w:r>
          </w:p>
        </w:tc>
        <w:tc>
          <w:tcPr>
            <w:tcW w:w="2393" w:type="dxa"/>
            <w:noWrap/>
            <w:vAlign w:val="center"/>
          </w:tcPr>
          <w:p w14:paraId="3CC0C6D8">
            <w:pPr>
              <w:jc w:val="center"/>
              <w:rPr>
                <w:color w:val="000000"/>
                <w:sz w:val="20"/>
                <w:szCs w:val="20"/>
              </w:rPr>
            </w:pPr>
            <w:r>
              <w:rPr>
                <w:color w:val="000000"/>
                <w:sz w:val="20"/>
                <w:szCs w:val="20"/>
              </w:rPr>
              <w:t>Hai mặt tiền</w:t>
            </w:r>
          </w:p>
        </w:tc>
        <w:tc>
          <w:tcPr>
            <w:tcW w:w="1198" w:type="dxa"/>
            <w:noWrap/>
            <w:vAlign w:val="center"/>
          </w:tcPr>
          <w:p w14:paraId="4A991466">
            <w:pPr>
              <w:jc w:val="center"/>
              <w:rPr>
                <w:color w:val="000000"/>
                <w:sz w:val="20"/>
                <w:szCs w:val="20"/>
              </w:rPr>
            </w:pPr>
            <w:r>
              <w:rPr>
                <w:color w:val="000000"/>
                <w:sz w:val="20"/>
                <w:szCs w:val="20"/>
              </w:rPr>
              <w:t>9.200.000</w:t>
            </w:r>
          </w:p>
        </w:tc>
        <w:tc>
          <w:tcPr>
            <w:tcW w:w="1236" w:type="dxa"/>
            <w:noWrap/>
            <w:vAlign w:val="center"/>
          </w:tcPr>
          <w:p w14:paraId="6DB07547">
            <w:pPr>
              <w:jc w:val="center"/>
              <w:rPr>
                <w:color w:val="000000"/>
                <w:sz w:val="20"/>
                <w:szCs w:val="20"/>
              </w:rPr>
            </w:pPr>
          </w:p>
        </w:tc>
        <w:tc>
          <w:tcPr>
            <w:tcW w:w="1252" w:type="dxa"/>
            <w:noWrap/>
            <w:vAlign w:val="center"/>
          </w:tcPr>
          <w:p w14:paraId="25901809">
            <w:pPr>
              <w:jc w:val="center"/>
              <w:rPr>
                <w:color w:val="000000"/>
                <w:sz w:val="20"/>
                <w:szCs w:val="20"/>
              </w:rPr>
            </w:pPr>
            <w:r>
              <w:rPr>
                <w:color w:val="000000"/>
                <w:sz w:val="20"/>
                <w:szCs w:val="20"/>
              </w:rPr>
              <w:t>9.200.000</w:t>
            </w:r>
          </w:p>
        </w:tc>
        <w:tc>
          <w:tcPr>
            <w:tcW w:w="1848" w:type="dxa"/>
            <w:noWrap/>
            <w:vAlign w:val="center"/>
          </w:tcPr>
          <w:p w14:paraId="23F6D2D5">
            <w:pPr>
              <w:jc w:val="center"/>
              <w:rPr>
                <w:color w:val="000000"/>
                <w:sz w:val="20"/>
                <w:szCs w:val="20"/>
              </w:rPr>
            </w:pPr>
            <w:r>
              <w:rPr>
                <w:color w:val="000000"/>
                <w:sz w:val="20"/>
                <w:szCs w:val="20"/>
              </w:rPr>
              <w:t>775.008.000</w:t>
            </w:r>
          </w:p>
        </w:tc>
      </w:tr>
      <w:tr w14:paraId="6079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30CCD49">
            <w:pPr>
              <w:jc w:val="center"/>
              <w:rPr>
                <w:b/>
                <w:bCs/>
                <w:color w:val="000000"/>
                <w:sz w:val="20"/>
                <w:szCs w:val="20"/>
              </w:rPr>
            </w:pPr>
            <w:r>
              <w:rPr>
                <w:b/>
                <w:bCs/>
                <w:color w:val="000000"/>
                <w:sz w:val="20"/>
                <w:szCs w:val="20"/>
              </w:rPr>
              <w:t>LK38</w:t>
            </w:r>
          </w:p>
        </w:tc>
        <w:tc>
          <w:tcPr>
            <w:tcW w:w="1802" w:type="dxa"/>
            <w:vAlign w:val="center"/>
          </w:tcPr>
          <w:p w14:paraId="5D2C3173">
            <w:pPr>
              <w:jc w:val="center"/>
              <w:rPr>
                <w:color w:val="000000"/>
                <w:sz w:val="20"/>
                <w:szCs w:val="20"/>
              </w:rPr>
            </w:pPr>
            <w:r>
              <w:rPr>
                <w:color w:val="000000"/>
                <w:sz w:val="20"/>
                <w:szCs w:val="20"/>
              </w:rPr>
              <w:t>LK38:09</w:t>
            </w:r>
          </w:p>
        </w:tc>
        <w:tc>
          <w:tcPr>
            <w:tcW w:w="1033" w:type="dxa"/>
            <w:noWrap/>
            <w:vAlign w:val="center"/>
          </w:tcPr>
          <w:p w14:paraId="0371F102">
            <w:pPr>
              <w:jc w:val="center"/>
              <w:rPr>
                <w:color w:val="000000"/>
                <w:sz w:val="20"/>
                <w:szCs w:val="20"/>
              </w:rPr>
            </w:pPr>
            <w:r>
              <w:rPr>
                <w:color w:val="000000"/>
                <w:sz w:val="20"/>
                <w:szCs w:val="20"/>
              </w:rPr>
              <w:t>84,24</w:t>
            </w:r>
          </w:p>
        </w:tc>
        <w:tc>
          <w:tcPr>
            <w:tcW w:w="846" w:type="dxa"/>
            <w:noWrap/>
            <w:vAlign w:val="center"/>
          </w:tcPr>
          <w:p w14:paraId="4537803D">
            <w:pPr>
              <w:jc w:val="center"/>
              <w:rPr>
                <w:color w:val="000000"/>
                <w:sz w:val="20"/>
                <w:szCs w:val="20"/>
              </w:rPr>
            </w:pPr>
            <w:r>
              <w:rPr>
                <w:color w:val="000000"/>
                <w:sz w:val="20"/>
                <w:szCs w:val="20"/>
              </w:rPr>
              <w:t>1</w:t>
            </w:r>
          </w:p>
        </w:tc>
        <w:tc>
          <w:tcPr>
            <w:tcW w:w="2578" w:type="dxa"/>
            <w:noWrap/>
            <w:vAlign w:val="center"/>
          </w:tcPr>
          <w:p w14:paraId="7D3F8BEF">
            <w:pPr>
              <w:jc w:val="center"/>
              <w:rPr>
                <w:color w:val="000000"/>
                <w:sz w:val="20"/>
                <w:szCs w:val="20"/>
              </w:rPr>
            </w:pPr>
            <w:r>
              <w:rPr>
                <w:color w:val="000000"/>
                <w:sz w:val="20"/>
                <w:szCs w:val="20"/>
              </w:rPr>
              <w:t>Mặt cắt 3-3</w:t>
            </w:r>
          </w:p>
        </w:tc>
        <w:tc>
          <w:tcPr>
            <w:tcW w:w="2393" w:type="dxa"/>
            <w:noWrap/>
            <w:vAlign w:val="center"/>
          </w:tcPr>
          <w:p w14:paraId="09E83F9F">
            <w:pPr>
              <w:jc w:val="center"/>
              <w:rPr>
                <w:color w:val="000000"/>
                <w:sz w:val="20"/>
                <w:szCs w:val="20"/>
              </w:rPr>
            </w:pPr>
            <w:r>
              <w:rPr>
                <w:color w:val="000000"/>
                <w:sz w:val="20"/>
                <w:szCs w:val="20"/>
              </w:rPr>
              <w:t>Hai mặt tiền</w:t>
            </w:r>
          </w:p>
        </w:tc>
        <w:tc>
          <w:tcPr>
            <w:tcW w:w="1198" w:type="dxa"/>
            <w:noWrap/>
            <w:vAlign w:val="center"/>
          </w:tcPr>
          <w:p w14:paraId="2DDD6A8A">
            <w:pPr>
              <w:jc w:val="center"/>
              <w:rPr>
                <w:color w:val="000000"/>
                <w:sz w:val="20"/>
                <w:szCs w:val="20"/>
              </w:rPr>
            </w:pPr>
            <w:r>
              <w:rPr>
                <w:color w:val="000000"/>
                <w:sz w:val="20"/>
                <w:szCs w:val="20"/>
              </w:rPr>
              <w:t>9.200.000</w:t>
            </w:r>
          </w:p>
        </w:tc>
        <w:tc>
          <w:tcPr>
            <w:tcW w:w="1236" w:type="dxa"/>
            <w:noWrap/>
            <w:vAlign w:val="center"/>
          </w:tcPr>
          <w:p w14:paraId="224CF751">
            <w:pPr>
              <w:jc w:val="center"/>
              <w:rPr>
                <w:color w:val="000000"/>
                <w:sz w:val="20"/>
                <w:szCs w:val="20"/>
              </w:rPr>
            </w:pPr>
          </w:p>
        </w:tc>
        <w:tc>
          <w:tcPr>
            <w:tcW w:w="1252" w:type="dxa"/>
            <w:noWrap/>
            <w:vAlign w:val="center"/>
          </w:tcPr>
          <w:p w14:paraId="7DB8A754">
            <w:pPr>
              <w:jc w:val="center"/>
              <w:rPr>
                <w:color w:val="000000"/>
                <w:sz w:val="20"/>
                <w:szCs w:val="20"/>
              </w:rPr>
            </w:pPr>
            <w:r>
              <w:rPr>
                <w:color w:val="000000"/>
                <w:sz w:val="20"/>
                <w:szCs w:val="20"/>
              </w:rPr>
              <w:t>9.200.000</w:t>
            </w:r>
          </w:p>
        </w:tc>
        <w:tc>
          <w:tcPr>
            <w:tcW w:w="1848" w:type="dxa"/>
            <w:noWrap/>
            <w:vAlign w:val="center"/>
          </w:tcPr>
          <w:p w14:paraId="2FF8379B">
            <w:pPr>
              <w:jc w:val="center"/>
              <w:rPr>
                <w:color w:val="000000"/>
                <w:sz w:val="20"/>
                <w:szCs w:val="20"/>
              </w:rPr>
            </w:pPr>
            <w:r>
              <w:rPr>
                <w:color w:val="000000"/>
                <w:sz w:val="20"/>
                <w:szCs w:val="20"/>
              </w:rPr>
              <w:t>775.008.000</w:t>
            </w:r>
          </w:p>
        </w:tc>
      </w:tr>
      <w:tr w14:paraId="78AA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16B271A">
            <w:pPr>
              <w:jc w:val="center"/>
              <w:rPr>
                <w:b/>
                <w:bCs/>
                <w:color w:val="000000"/>
                <w:sz w:val="20"/>
                <w:szCs w:val="20"/>
              </w:rPr>
            </w:pPr>
            <w:r>
              <w:rPr>
                <w:b/>
                <w:bCs/>
                <w:color w:val="000000"/>
                <w:sz w:val="20"/>
                <w:szCs w:val="20"/>
              </w:rPr>
              <w:t>LK40</w:t>
            </w:r>
          </w:p>
        </w:tc>
        <w:tc>
          <w:tcPr>
            <w:tcW w:w="1802" w:type="dxa"/>
            <w:vAlign w:val="center"/>
          </w:tcPr>
          <w:p w14:paraId="46C7F8D2">
            <w:pPr>
              <w:jc w:val="center"/>
              <w:rPr>
                <w:color w:val="000000"/>
                <w:sz w:val="20"/>
                <w:szCs w:val="20"/>
              </w:rPr>
            </w:pPr>
            <w:r>
              <w:rPr>
                <w:color w:val="000000"/>
                <w:sz w:val="20"/>
                <w:szCs w:val="20"/>
              </w:rPr>
              <w:t>LK40:01</w:t>
            </w:r>
          </w:p>
        </w:tc>
        <w:tc>
          <w:tcPr>
            <w:tcW w:w="1033" w:type="dxa"/>
            <w:noWrap/>
            <w:vAlign w:val="center"/>
          </w:tcPr>
          <w:p w14:paraId="00A16B1B">
            <w:pPr>
              <w:jc w:val="center"/>
              <w:rPr>
                <w:color w:val="000000"/>
                <w:sz w:val="20"/>
                <w:szCs w:val="20"/>
              </w:rPr>
            </w:pPr>
            <w:r>
              <w:rPr>
                <w:color w:val="000000"/>
                <w:sz w:val="20"/>
                <w:szCs w:val="20"/>
              </w:rPr>
              <w:t>136,50</w:t>
            </w:r>
          </w:p>
        </w:tc>
        <w:tc>
          <w:tcPr>
            <w:tcW w:w="846" w:type="dxa"/>
            <w:noWrap/>
            <w:vAlign w:val="center"/>
          </w:tcPr>
          <w:p w14:paraId="4B96A3FA">
            <w:pPr>
              <w:jc w:val="center"/>
              <w:rPr>
                <w:color w:val="000000"/>
                <w:sz w:val="20"/>
                <w:szCs w:val="20"/>
              </w:rPr>
            </w:pPr>
            <w:r>
              <w:rPr>
                <w:color w:val="000000"/>
                <w:sz w:val="20"/>
                <w:szCs w:val="20"/>
              </w:rPr>
              <w:t>1</w:t>
            </w:r>
          </w:p>
        </w:tc>
        <w:tc>
          <w:tcPr>
            <w:tcW w:w="2578" w:type="dxa"/>
            <w:noWrap/>
            <w:vAlign w:val="center"/>
          </w:tcPr>
          <w:p w14:paraId="6D1D9E5D">
            <w:pPr>
              <w:jc w:val="center"/>
              <w:rPr>
                <w:color w:val="000000"/>
                <w:sz w:val="20"/>
                <w:szCs w:val="20"/>
              </w:rPr>
            </w:pPr>
            <w:r>
              <w:rPr>
                <w:color w:val="000000"/>
                <w:sz w:val="20"/>
                <w:szCs w:val="20"/>
              </w:rPr>
              <w:t>Mặt cắt 3-3</w:t>
            </w:r>
          </w:p>
        </w:tc>
        <w:tc>
          <w:tcPr>
            <w:tcW w:w="2393" w:type="dxa"/>
            <w:noWrap/>
            <w:vAlign w:val="center"/>
          </w:tcPr>
          <w:p w14:paraId="24513459">
            <w:pPr>
              <w:jc w:val="center"/>
              <w:rPr>
                <w:color w:val="000000"/>
                <w:sz w:val="20"/>
                <w:szCs w:val="20"/>
              </w:rPr>
            </w:pPr>
            <w:r>
              <w:rPr>
                <w:color w:val="000000"/>
                <w:sz w:val="20"/>
                <w:szCs w:val="20"/>
              </w:rPr>
              <w:t>Hai mặt tiền</w:t>
            </w:r>
          </w:p>
        </w:tc>
        <w:tc>
          <w:tcPr>
            <w:tcW w:w="1198" w:type="dxa"/>
            <w:noWrap/>
            <w:vAlign w:val="center"/>
          </w:tcPr>
          <w:p w14:paraId="5A51F6CC">
            <w:pPr>
              <w:jc w:val="center"/>
              <w:rPr>
                <w:color w:val="000000"/>
                <w:sz w:val="20"/>
                <w:szCs w:val="20"/>
              </w:rPr>
            </w:pPr>
            <w:r>
              <w:rPr>
                <w:color w:val="000000"/>
                <w:sz w:val="20"/>
                <w:szCs w:val="20"/>
              </w:rPr>
              <w:t>9.200.000</w:t>
            </w:r>
          </w:p>
        </w:tc>
        <w:tc>
          <w:tcPr>
            <w:tcW w:w="1236" w:type="dxa"/>
            <w:noWrap/>
            <w:vAlign w:val="center"/>
          </w:tcPr>
          <w:p w14:paraId="1575E05B">
            <w:pPr>
              <w:jc w:val="center"/>
              <w:rPr>
                <w:color w:val="000000"/>
                <w:sz w:val="20"/>
                <w:szCs w:val="20"/>
              </w:rPr>
            </w:pPr>
          </w:p>
        </w:tc>
        <w:tc>
          <w:tcPr>
            <w:tcW w:w="1252" w:type="dxa"/>
            <w:noWrap/>
            <w:vAlign w:val="center"/>
          </w:tcPr>
          <w:p w14:paraId="662CBA47">
            <w:pPr>
              <w:jc w:val="center"/>
              <w:rPr>
                <w:color w:val="000000"/>
                <w:sz w:val="20"/>
                <w:szCs w:val="20"/>
              </w:rPr>
            </w:pPr>
            <w:r>
              <w:rPr>
                <w:color w:val="000000"/>
                <w:sz w:val="20"/>
                <w:szCs w:val="20"/>
              </w:rPr>
              <w:t>9.200.000</w:t>
            </w:r>
          </w:p>
        </w:tc>
        <w:tc>
          <w:tcPr>
            <w:tcW w:w="1848" w:type="dxa"/>
            <w:noWrap/>
            <w:vAlign w:val="center"/>
          </w:tcPr>
          <w:p w14:paraId="5CF330F9">
            <w:pPr>
              <w:jc w:val="center"/>
              <w:rPr>
                <w:color w:val="000000"/>
                <w:sz w:val="20"/>
                <w:szCs w:val="20"/>
              </w:rPr>
            </w:pPr>
            <w:r>
              <w:rPr>
                <w:color w:val="000000"/>
                <w:sz w:val="20"/>
                <w:szCs w:val="20"/>
              </w:rPr>
              <w:t>1.255.800.000</w:t>
            </w:r>
          </w:p>
        </w:tc>
      </w:tr>
      <w:tr w14:paraId="4D2E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77A7E6A">
            <w:pPr>
              <w:jc w:val="center"/>
              <w:rPr>
                <w:b/>
                <w:bCs/>
                <w:color w:val="000000"/>
                <w:sz w:val="20"/>
                <w:szCs w:val="20"/>
              </w:rPr>
            </w:pPr>
            <w:r>
              <w:rPr>
                <w:b/>
                <w:bCs/>
                <w:color w:val="000000"/>
                <w:sz w:val="20"/>
                <w:szCs w:val="20"/>
              </w:rPr>
              <w:t>LK43</w:t>
            </w:r>
          </w:p>
        </w:tc>
        <w:tc>
          <w:tcPr>
            <w:tcW w:w="1802" w:type="dxa"/>
            <w:vAlign w:val="center"/>
          </w:tcPr>
          <w:p w14:paraId="41508425">
            <w:pPr>
              <w:jc w:val="center"/>
              <w:rPr>
                <w:color w:val="000000"/>
                <w:sz w:val="20"/>
                <w:szCs w:val="20"/>
              </w:rPr>
            </w:pPr>
            <w:r>
              <w:rPr>
                <w:color w:val="000000"/>
                <w:sz w:val="20"/>
                <w:szCs w:val="20"/>
              </w:rPr>
              <w:t>LK43:01</w:t>
            </w:r>
          </w:p>
        </w:tc>
        <w:tc>
          <w:tcPr>
            <w:tcW w:w="1033" w:type="dxa"/>
            <w:noWrap/>
            <w:vAlign w:val="center"/>
          </w:tcPr>
          <w:p w14:paraId="48EA5EE6">
            <w:pPr>
              <w:jc w:val="center"/>
              <w:rPr>
                <w:color w:val="000000"/>
                <w:sz w:val="20"/>
                <w:szCs w:val="20"/>
              </w:rPr>
            </w:pPr>
            <w:r>
              <w:rPr>
                <w:color w:val="000000"/>
                <w:sz w:val="20"/>
                <w:szCs w:val="20"/>
              </w:rPr>
              <w:t>84,24</w:t>
            </w:r>
          </w:p>
        </w:tc>
        <w:tc>
          <w:tcPr>
            <w:tcW w:w="846" w:type="dxa"/>
            <w:noWrap/>
            <w:vAlign w:val="center"/>
          </w:tcPr>
          <w:p w14:paraId="62478720">
            <w:pPr>
              <w:jc w:val="center"/>
              <w:rPr>
                <w:color w:val="000000"/>
                <w:sz w:val="20"/>
                <w:szCs w:val="20"/>
              </w:rPr>
            </w:pPr>
            <w:r>
              <w:rPr>
                <w:color w:val="000000"/>
                <w:sz w:val="20"/>
                <w:szCs w:val="20"/>
              </w:rPr>
              <w:t>1</w:t>
            </w:r>
          </w:p>
        </w:tc>
        <w:tc>
          <w:tcPr>
            <w:tcW w:w="2578" w:type="dxa"/>
            <w:noWrap/>
            <w:vAlign w:val="center"/>
          </w:tcPr>
          <w:p w14:paraId="6D17D434">
            <w:pPr>
              <w:jc w:val="center"/>
              <w:rPr>
                <w:color w:val="000000"/>
                <w:sz w:val="20"/>
                <w:szCs w:val="20"/>
              </w:rPr>
            </w:pPr>
            <w:r>
              <w:rPr>
                <w:color w:val="000000"/>
                <w:sz w:val="20"/>
                <w:szCs w:val="20"/>
              </w:rPr>
              <w:t>Mặt cắt 3-3</w:t>
            </w:r>
          </w:p>
        </w:tc>
        <w:tc>
          <w:tcPr>
            <w:tcW w:w="2393" w:type="dxa"/>
            <w:noWrap/>
            <w:vAlign w:val="center"/>
          </w:tcPr>
          <w:p w14:paraId="4634B937">
            <w:pPr>
              <w:jc w:val="center"/>
              <w:rPr>
                <w:color w:val="000000"/>
                <w:sz w:val="20"/>
                <w:szCs w:val="20"/>
              </w:rPr>
            </w:pPr>
            <w:r>
              <w:rPr>
                <w:color w:val="000000"/>
                <w:sz w:val="20"/>
                <w:szCs w:val="20"/>
              </w:rPr>
              <w:t>Hai mặt tiền</w:t>
            </w:r>
          </w:p>
        </w:tc>
        <w:tc>
          <w:tcPr>
            <w:tcW w:w="1198" w:type="dxa"/>
            <w:noWrap/>
            <w:vAlign w:val="center"/>
          </w:tcPr>
          <w:p w14:paraId="6FB2433A">
            <w:pPr>
              <w:jc w:val="center"/>
              <w:rPr>
                <w:color w:val="000000"/>
                <w:sz w:val="20"/>
                <w:szCs w:val="20"/>
              </w:rPr>
            </w:pPr>
            <w:r>
              <w:rPr>
                <w:color w:val="000000"/>
                <w:sz w:val="20"/>
                <w:szCs w:val="20"/>
              </w:rPr>
              <w:t>9.200.000</w:t>
            </w:r>
          </w:p>
        </w:tc>
        <w:tc>
          <w:tcPr>
            <w:tcW w:w="1236" w:type="dxa"/>
            <w:noWrap/>
            <w:vAlign w:val="center"/>
          </w:tcPr>
          <w:p w14:paraId="24C9F684">
            <w:pPr>
              <w:jc w:val="center"/>
              <w:rPr>
                <w:color w:val="000000"/>
                <w:sz w:val="20"/>
                <w:szCs w:val="20"/>
              </w:rPr>
            </w:pPr>
          </w:p>
        </w:tc>
        <w:tc>
          <w:tcPr>
            <w:tcW w:w="1252" w:type="dxa"/>
            <w:noWrap/>
            <w:vAlign w:val="center"/>
          </w:tcPr>
          <w:p w14:paraId="7302F5E6">
            <w:pPr>
              <w:jc w:val="center"/>
              <w:rPr>
                <w:color w:val="000000"/>
                <w:sz w:val="20"/>
                <w:szCs w:val="20"/>
              </w:rPr>
            </w:pPr>
            <w:r>
              <w:rPr>
                <w:color w:val="000000"/>
                <w:sz w:val="20"/>
                <w:szCs w:val="20"/>
              </w:rPr>
              <w:t>9.200.000</w:t>
            </w:r>
          </w:p>
        </w:tc>
        <w:tc>
          <w:tcPr>
            <w:tcW w:w="1848" w:type="dxa"/>
            <w:noWrap/>
            <w:vAlign w:val="center"/>
          </w:tcPr>
          <w:p w14:paraId="53A0717D">
            <w:pPr>
              <w:jc w:val="center"/>
              <w:rPr>
                <w:color w:val="000000"/>
                <w:sz w:val="20"/>
                <w:szCs w:val="20"/>
              </w:rPr>
            </w:pPr>
            <w:r>
              <w:rPr>
                <w:color w:val="000000"/>
                <w:sz w:val="20"/>
                <w:szCs w:val="20"/>
              </w:rPr>
              <w:t>775.008.000</w:t>
            </w:r>
          </w:p>
        </w:tc>
      </w:tr>
      <w:tr w14:paraId="7669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210378B">
            <w:pPr>
              <w:jc w:val="center"/>
              <w:rPr>
                <w:b/>
                <w:bCs/>
                <w:color w:val="000000"/>
                <w:sz w:val="20"/>
                <w:szCs w:val="20"/>
              </w:rPr>
            </w:pPr>
            <w:r>
              <w:rPr>
                <w:b/>
                <w:bCs/>
                <w:color w:val="000000"/>
                <w:sz w:val="20"/>
                <w:szCs w:val="20"/>
              </w:rPr>
              <w:t>LK43</w:t>
            </w:r>
          </w:p>
        </w:tc>
        <w:tc>
          <w:tcPr>
            <w:tcW w:w="1802" w:type="dxa"/>
            <w:vAlign w:val="center"/>
          </w:tcPr>
          <w:p w14:paraId="132F9781">
            <w:pPr>
              <w:jc w:val="center"/>
              <w:rPr>
                <w:color w:val="000000"/>
                <w:sz w:val="20"/>
                <w:szCs w:val="20"/>
              </w:rPr>
            </w:pPr>
            <w:r>
              <w:rPr>
                <w:color w:val="000000"/>
                <w:sz w:val="20"/>
                <w:szCs w:val="20"/>
              </w:rPr>
              <w:t>LK43:09</w:t>
            </w:r>
          </w:p>
        </w:tc>
        <w:tc>
          <w:tcPr>
            <w:tcW w:w="1033" w:type="dxa"/>
            <w:noWrap/>
            <w:vAlign w:val="center"/>
          </w:tcPr>
          <w:p w14:paraId="23D3F8B2">
            <w:pPr>
              <w:jc w:val="center"/>
              <w:rPr>
                <w:color w:val="000000"/>
                <w:sz w:val="20"/>
                <w:szCs w:val="20"/>
              </w:rPr>
            </w:pPr>
            <w:r>
              <w:rPr>
                <w:color w:val="000000"/>
                <w:sz w:val="20"/>
                <w:szCs w:val="20"/>
              </w:rPr>
              <w:t>84,24</w:t>
            </w:r>
          </w:p>
        </w:tc>
        <w:tc>
          <w:tcPr>
            <w:tcW w:w="846" w:type="dxa"/>
            <w:noWrap/>
            <w:vAlign w:val="center"/>
          </w:tcPr>
          <w:p w14:paraId="15F88D6C">
            <w:pPr>
              <w:jc w:val="center"/>
              <w:rPr>
                <w:color w:val="000000"/>
                <w:sz w:val="20"/>
                <w:szCs w:val="20"/>
              </w:rPr>
            </w:pPr>
            <w:r>
              <w:rPr>
                <w:color w:val="000000"/>
                <w:sz w:val="20"/>
                <w:szCs w:val="20"/>
              </w:rPr>
              <w:t>1</w:t>
            </w:r>
          </w:p>
        </w:tc>
        <w:tc>
          <w:tcPr>
            <w:tcW w:w="2578" w:type="dxa"/>
            <w:noWrap/>
            <w:vAlign w:val="center"/>
          </w:tcPr>
          <w:p w14:paraId="7B562A05">
            <w:pPr>
              <w:jc w:val="center"/>
              <w:rPr>
                <w:color w:val="000000"/>
                <w:sz w:val="20"/>
                <w:szCs w:val="20"/>
              </w:rPr>
            </w:pPr>
            <w:r>
              <w:rPr>
                <w:color w:val="000000"/>
                <w:sz w:val="20"/>
                <w:szCs w:val="20"/>
              </w:rPr>
              <w:t>Mặt cắt 3-3</w:t>
            </w:r>
          </w:p>
        </w:tc>
        <w:tc>
          <w:tcPr>
            <w:tcW w:w="2393" w:type="dxa"/>
            <w:noWrap/>
            <w:vAlign w:val="center"/>
          </w:tcPr>
          <w:p w14:paraId="3396EE17">
            <w:pPr>
              <w:jc w:val="center"/>
              <w:rPr>
                <w:color w:val="000000"/>
                <w:sz w:val="20"/>
                <w:szCs w:val="20"/>
              </w:rPr>
            </w:pPr>
            <w:r>
              <w:rPr>
                <w:color w:val="000000"/>
                <w:sz w:val="20"/>
                <w:szCs w:val="20"/>
              </w:rPr>
              <w:t>Hai mặt tiền</w:t>
            </w:r>
          </w:p>
        </w:tc>
        <w:tc>
          <w:tcPr>
            <w:tcW w:w="1198" w:type="dxa"/>
            <w:noWrap/>
            <w:vAlign w:val="center"/>
          </w:tcPr>
          <w:p w14:paraId="4038ADF7">
            <w:pPr>
              <w:jc w:val="center"/>
              <w:rPr>
                <w:color w:val="000000"/>
                <w:sz w:val="20"/>
                <w:szCs w:val="20"/>
              </w:rPr>
            </w:pPr>
            <w:r>
              <w:rPr>
                <w:color w:val="000000"/>
                <w:sz w:val="20"/>
                <w:szCs w:val="20"/>
              </w:rPr>
              <w:t>9.200.000</w:t>
            </w:r>
          </w:p>
        </w:tc>
        <w:tc>
          <w:tcPr>
            <w:tcW w:w="1236" w:type="dxa"/>
            <w:noWrap/>
            <w:vAlign w:val="center"/>
          </w:tcPr>
          <w:p w14:paraId="5976ACC1">
            <w:pPr>
              <w:jc w:val="center"/>
              <w:rPr>
                <w:color w:val="000000"/>
                <w:sz w:val="20"/>
                <w:szCs w:val="20"/>
              </w:rPr>
            </w:pPr>
          </w:p>
        </w:tc>
        <w:tc>
          <w:tcPr>
            <w:tcW w:w="1252" w:type="dxa"/>
            <w:noWrap/>
            <w:vAlign w:val="center"/>
          </w:tcPr>
          <w:p w14:paraId="38CE41A7">
            <w:pPr>
              <w:jc w:val="center"/>
              <w:rPr>
                <w:color w:val="000000"/>
                <w:sz w:val="20"/>
                <w:szCs w:val="20"/>
              </w:rPr>
            </w:pPr>
            <w:r>
              <w:rPr>
                <w:color w:val="000000"/>
                <w:sz w:val="20"/>
                <w:szCs w:val="20"/>
              </w:rPr>
              <w:t>9.200.000</w:t>
            </w:r>
          </w:p>
        </w:tc>
        <w:tc>
          <w:tcPr>
            <w:tcW w:w="1848" w:type="dxa"/>
            <w:noWrap/>
            <w:vAlign w:val="center"/>
          </w:tcPr>
          <w:p w14:paraId="5BB97FD4">
            <w:pPr>
              <w:jc w:val="center"/>
              <w:rPr>
                <w:color w:val="000000"/>
                <w:sz w:val="20"/>
                <w:szCs w:val="20"/>
              </w:rPr>
            </w:pPr>
            <w:r>
              <w:rPr>
                <w:color w:val="000000"/>
                <w:sz w:val="20"/>
                <w:szCs w:val="20"/>
              </w:rPr>
              <w:t>775.008.000</w:t>
            </w:r>
          </w:p>
        </w:tc>
      </w:tr>
      <w:tr w14:paraId="0BEF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4A5E48E">
            <w:pPr>
              <w:jc w:val="center"/>
              <w:rPr>
                <w:b/>
                <w:bCs/>
                <w:color w:val="000000"/>
                <w:sz w:val="20"/>
                <w:szCs w:val="20"/>
              </w:rPr>
            </w:pPr>
            <w:r>
              <w:rPr>
                <w:b/>
                <w:bCs/>
                <w:color w:val="000000"/>
                <w:sz w:val="20"/>
                <w:szCs w:val="20"/>
              </w:rPr>
              <w:t>LK45</w:t>
            </w:r>
          </w:p>
        </w:tc>
        <w:tc>
          <w:tcPr>
            <w:tcW w:w="1802" w:type="dxa"/>
            <w:vAlign w:val="center"/>
          </w:tcPr>
          <w:p w14:paraId="7B3DF56C">
            <w:pPr>
              <w:jc w:val="center"/>
              <w:rPr>
                <w:color w:val="000000"/>
                <w:sz w:val="20"/>
                <w:szCs w:val="20"/>
              </w:rPr>
            </w:pPr>
            <w:r>
              <w:rPr>
                <w:color w:val="000000"/>
                <w:sz w:val="20"/>
                <w:szCs w:val="20"/>
              </w:rPr>
              <w:t>LK45:01</w:t>
            </w:r>
          </w:p>
        </w:tc>
        <w:tc>
          <w:tcPr>
            <w:tcW w:w="1033" w:type="dxa"/>
            <w:noWrap/>
            <w:vAlign w:val="center"/>
          </w:tcPr>
          <w:p w14:paraId="12FD2846">
            <w:pPr>
              <w:jc w:val="center"/>
              <w:rPr>
                <w:color w:val="000000"/>
                <w:sz w:val="20"/>
                <w:szCs w:val="20"/>
              </w:rPr>
            </w:pPr>
            <w:r>
              <w:rPr>
                <w:color w:val="000000"/>
                <w:sz w:val="20"/>
                <w:szCs w:val="20"/>
              </w:rPr>
              <w:t>136,50</w:t>
            </w:r>
          </w:p>
        </w:tc>
        <w:tc>
          <w:tcPr>
            <w:tcW w:w="846" w:type="dxa"/>
            <w:noWrap/>
            <w:vAlign w:val="center"/>
          </w:tcPr>
          <w:p w14:paraId="14FEB89C">
            <w:pPr>
              <w:jc w:val="center"/>
              <w:rPr>
                <w:color w:val="000000"/>
                <w:sz w:val="20"/>
                <w:szCs w:val="20"/>
              </w:rPr>
            </w:pPr>
            <w:r>
              <w:rPr>
                <w:color w:val="000000"/>
                <w:sz w:val="20"/>
                <w:szCs w:val="20"/>
              </w:rPr>
              <w:t>1</w:t>
            </w:r>
          </w:p>
        </w:tc>
        <w:tc>
          <w:tcPr>
            <w:tcW w:w="2578" w:type="dxa"/>
            <w:noWrap/>
            <w:vAlign w:val="center"/>
          </w:tcPr>
          <w:p w14:paraId="0AFCEE79">
            <w:pPr>
              <w:jc w:val="center"/>
              <w:rPr>
                <w:color w:val="000000"/>
                <w:sz w:val="20"/>
                <w:szCs w:val="20"/>
              </w:rPr>
            </w:pPr>
            <w:r>
              <w:rPr>
                <w:color w:val="000000"/>
                <w:sz w:val="20"/>
                <w:szCs w:val="20"/>
              </w:rPr>
              <w:t>Mặt cắt 3-3</w:t>
            </w:r>
          </w:p>
        </w:tc>
        <w:tc>
          <w:tcPr>
            <w:tcW w:w="2393" w:type="dxa"/>
            <w:noWrap/>
            <w:vAlign w:val="center"/>
          </w:tcPr>
          <w:p w14:paraId="24555B78">
            <w:pPr>
              <w:jc w:val="center"/>
              <w:rPr>
                <w:color w:val="000000"/>
                <w:sz w:val="20"/>
                <w:szCs w:val="20"/>
              </w:rPr>
            </w:pPr>
            <w:r>
              <w:rPr>
                <w:color w:val="000000"/>
                <w:sz w:val="20"/>
                <w:szCs w:val="20"/>
              </w:rPr>
              <w:t>Hai mặt tiền</w:t>
            </w:r>
          </w:p>
        </w:tc>
        <w:tc>
          <w:tcPr>
            <w:tcW w:w="1198" w:type="dxa"/>
            <w:noWrap/>
            <w:vAlign w:val="center"/>
          </w:tcPr>
          <w:p w14:paraId="79A2D751">
            <w:pPr>
              <w:jc w:val="center"/>
              <w:rPr>
                <w:color w:val="000000"/>
                <w:sz w:val="20"/>
                <w:szCs w:val="20"/>
              </w:rPr>
            </w:pPr>
            <w:r>
              <w:rPr>
                <w:color w:val="000000"/>
                <w:sz w:val="20"/>
                <w:szCs w:val="20"/>
              </w:rPr>
              <w:t>9.200.000</w:t>
            </w:r>
          </w:p>
        </w:tc>
        <w:tc>
          <w:tcPr>
            <w:tcW w:w="1236" w:type="dxa"/>
            <w:noWrap/>
            <w:vAlign w:val="center"/>
          </w:tcPr>
          <w:p w14:paraId="772B3EA0">
            <w:pPr>
              <w:jc w:val="center"/>
              <w:rPr>
                <w:color w:val="000000"/>
                <w:sz w:val="20"/>
                <w:szCs w:val="20"/>
              </w:rPr>
            </w:pPr>
          </w:p>
        </w:tc>
        <w:tc>
          <w:tcPr>
            <w:tcW w:w="1252" w:type="dxa"/>
            <w:noWrap/>
            <w:vAlign w:val="center"/>
          </w:tcPr>
          <w:p w14:paraId="510E783C">
            <w:pPr>
              <w:jc w:val="center"/>
              <w:rPr>
                <w:color w:val="000000"/>
                <w:sz w:val="20"/>
                <w:szCs w:val="20"/>
              </w:rPr>
            </w:pPr>
            <w:r>
              <w:rPr>
                <w:color w:val="000000"/>
                <w:sz w:val="20"/>
                <w:szCs w:val="20"/>
              </w:rPr>
              <w:t>9.200.000</w:t>
            </w:r>
          </w:p>
        </w:tc>
        <w:tc>
          <w:tcPr>
            <w:tcW w:w="1848" w:type="dxa"/>
            <w:noWrap/>
            <w:vAlign w:val="center"/>
          </w:tcPr>
          <w:p w14:paraId="3327763B">
            <w:pPr>
              <w:jc w:val="center"/>
              <w:rPr>
                <w:color w:val="000000"/>
                <w:sz w:val="20"/>
                <w:szCs w:val="20"/>
              </w:rPr>
            </w:pPr>
            <w:r>
              <w:rPr>
                <w:color w:val="000000"/>
                <w:sz w:val="20"/>
                <w:szCs w:val="20"/>
              </w:rPr>
              <w:t>1.255.800.000</w:t>
            </w:r>
          </w:p>
        </w:tc>
      </w:tr>
      <w:tr w14:paraId="169B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F07F13B">
            <w:pPr>
              <w:jc w:val="center"/>
              <w:rPr>
                <w:color w:val="000000"/>
                <w:sz w:val="20"/>
                <w:szCs w:val="20"/>
              </w:rPr>
            </w:pPr>
          </w:p>
        </w:tc>
        <w:tc>
          <w:tcPr>
            <w:tcW w:w="14189" w:type="dxa"/>
            <w:gridSpan w:val="9"/>
            <w:vAlign w:val="center"/>
          </w:tcPr>
          <w:p w14:paraId="6EBE53A0">
            <w:pPr>
              <w:jc w:val="center"/>
              <w:rPr>
                <w:b/>
                <w:bCs/>
                <w:color w:val="000000"/>
                <w:sz w:val="20"/>
                <w:szCs w:val="20"/>
              </w:rPr>
            </w:pPr>
            <w:r>
              <w:rPr>
                <w:b/>
                <w:bCs/>
                <w:color w:val="000000"/>
                <w:sz w:val="20"/>
                <w:szCs w:val="20"/>
              </w:rPr>
              <w:t>Mặt cắt 4-4: rộng 10m lòng đường rộng 6m, vỉa hè 2 bên rộng 2m+2m. Làn 2 đường gom QL1A</w:t>
            </w:r>
          </w:p>
        </w:tc>
      </w:tr>
      <w:tr w14:paraId="2B90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5CB02BF">
            <w:pPr>
              <w:jc w:val="center"/>
              <w:rPr>
                <w:b/>
                <w:bCs/>
                <w:color w:val="000000"/>
                <w:sz w:val="20"/>
                <w:szCs w:val="20"/>
              </w:rPr>
            </w:pPr>
            <w:r>
              <w:rPr>
                <w:b/>
                <w:bCs/>
                <w:color w:val="000000"/>
                <w:sz w:val="20"/>
                <w:szCs w:val="20"/>
              </w:rPr>
              <w:t>LK49</w:t>
            </w:r>
          </w:p>
        </w:tc>
        <w:tc>
          <w:tcPr>
            <w:tcW w:w="1802" w:type="dxa"/>
            <w:vAlign w:val="center"/>
          </w:tcPr>
          <w:p w14:paraId="68354CA0">
            <w:pPr>
              <w:jc w:val="center"/>
              <w:rPr>
                <w:color w:val="000000"/>
                <w:sz w:val="20"/>
                <w:szCs w:val="20"/>
              </w:rPr>
            </w:pPr>
            <w:r>
              <w:rPr>
                <w:color w:val="000000"/>
                <w:sz w:val="20"/>
                <w:szCs w:val="20"/>
              </w:rPr>
              <w:t>LK49:02</w:t>
            </w:r>
          </w:p>
        </w:tc>
        <w:tc>
          <w:tcPr>
            <w:tcW w:w="1033" w:type="dxa"/>
            <w:noWrap/>
            <w:vAlign w:val="center"/>
          </w:tcPr>
          <w:p w14:paraId="5FC97DE6">
            <w:pPr>
              <w:jc w:val="center"/>
              <w:rPr>
                <w:color w:val="000000"/>
                <w:sz w:val="20"/>
                <w:szCs w:val="20"/>
              </w:rPr>
            </w:pPr>
            <w:r>
              <w:rPr>
                <w:color w:val="000000"/>
                <w:sz w:val="20"/>
                <w:szCs w:val="20"/>
              </w:rPr>
              <w:t>88,51</w:t>
            </w:r>
          </w:p>
        </w:tc>
        <w:tc>
          <w:tcPr>
            <w:tcW w:w="846" w:type="dxa"/>
            <w:noWrap/>
            <w:vAlign w:val="center"/>
          </w:tcPr>
          <w:p w14:paraId="4FEFD059">
            <w:pPr>
              <w:jc w:val="center"/>
              <w:rPr>
                <w:color w:val="000000"/>
                <w:sz w:val="20"/>
                <w:szCs w:val="20"/>
              </w:rPr>
            </w:pPr>
            <w:r>
              <w:rPr>
                <w:color w:val="000000"/>
                <w:sz w:val="20"/>
                <w:szCs w:val="20"/>
              </w:rPr>
              <w:t>1</w:t>
            </w:r>
          </w:p>
        </w:tc>
        <w:tc>
          <w:tcPr>
            <w:tcW w:w="2578" w:type="dxa"/>
            <w:noWrap/>
            <w:vAlign w:val="center"/>
          </w:tcPr>
          <w:p w14:paraId="3E18C079">
            <w:pPr>
              <w:jc w:val="center"/>
              <w:rPr>
                <w:color w:val="000000"/>
                <w:sz w:val="20"/>
                <w:szCs w:val="20"/>
              </w:rPr>
            </w:pPr>
            <w:r>
              <w:rPr>
                <w:color w:val="000000"/>
                <w:sz w:val="20"/>
                <w:szCs w:val="20"/>
              </w:rPr>
              <w:t>Mặt cắt 4-4</w:t>
            </w:r>
          </w:p>
        </w:tc>
        <w:tc>
          <w:tcPr>
            <w:tcW w:w="2393" w:type="dxa"/>
            <w:noWrap/>
            <w:vAlign w:val="center"/>
          </w:tcPr>
          <w:p w14:paraId="569CA923">
            <w:pPr>
              <w:jc w:val="center"/>
              <w:rPr>
                <w:color w:val="000000"/>
                <w:sz w:val="20"/>
                <w:szCs w:val="20"/>
              </w:rPr>
            </w:pPr>
            <w:r>
              <w:rPr>
                <w:color w:val="000000"/>
                <w:sz w:val="20"/>
                <w:szCs w:val="20"/>
              </w:rPr>
              <w:t>Một mặt tiền</w:t>
            </w:r>
          </w:p>
        </w:tc>
        <w:tc>
          <w:tcPr>
            <w:tcW w:w="1198" w:type="dxa"/>
            <w:noWrap/>
            <w:vAlign w:val="center"/>
          </w:tcPr>
          <w:p w14:paraId="531192FC">
            <w:pPr>
              <w:jc w:val="center"/>
              <w:rPr>
                <w:color w:val="000000"/>
                <w:sz w:val="20"/>
                <w:szCs w:val="20"/>
              </w:rPr>
            </w:pPr>
            <w:r>
              <w:rPr>
                <w:color w:val="000000"/>
                <w:sz w:val="20"/>
                <w:szCs w:val="20"/>
              </w:rPr>
              <w:t>10.000.000</w:t>
            </w:r>
          </w:p>
        </w:tc>
        <w:tc>
          <w:tcPr>
            <w:tcW w:w="1236" w:type="dxa"/>
            <w:noWrap/>
            <w:vAlign w:val="center"/>
          </w:tcPr>
          <w:p w14:paraId="64409D45">
            <w:pPr>
              <w:jc w:val="center"/>
              <w:rPr>
                <w:color w:val="000000"/>
                <w:sz w:val="20"/>
                <w:szCs w:val="20"/>
              </w:rPr>
            </w:pPr>
          </w:p>
        </w:tc>
        <w:tc>
          <w:tcPr>
            <w:tcW w:w="1252" w:type="dxa"/>
            <w:noWrap/>
            <w:vAlign w:val="center"/>
          </w:tcPr>
          <w:p w14:paraId="1DDE4419">
            <w:pPr>
              <w:jc w:val="center"/>
              <w:rPr>
                <w:color w:val="000000"/>
                <w:sz w:val="20"/>
                <w:szCs w:val="20"/>
              </w:rPr>
            </w:pPr>
            <w:r>
              <w:rPr>
                <w:color w:val="000000"/>
                <w:sz w:val="20"/>
                <w:szCs w:val="20"/>
              </w:rPr>
              <w:t>10.000.000</w:t>
            </w:r>
          </w:p>
        </w:tc>
        <w:tc>
          <w:tcPr>
            <w:tcW w:w="1848" w:type="dxa"/>
            <w:noWrap/>
            <w:vAlign w:val="center"/>
          </w:tcPr>
          <w:p w14:paraId="72E7395D">
            <w:pPr>
              <w:jc w:val="center"/>
              <w:rPr>
                <w:color w:val="000000"/>
                <w:sz w:val="20"/>
                <w:szCs w:val="20"/>
              </w:rPr>
            </w:pPr>
            <w:r>
              <w:rPr>
                <w:color w:val="000000"/>
                <w:sz w:val="20"/>
                <w:szCs w:val="20"/>
              </w:rPr>
              <w:t>885.100.000</w:t>
            </w:r>
          </w:p>
        </w:tc>
      </w:tr>
      <w:tr w14:paraId="4555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38438C8">
            <w:pPr>
              <w:jc w:val="center"/>
              <w:rPr>
                <w:b/>
                <w:bCs/>
                <w:color w:val="000000"/>
                <w:sz w:val="20"/>
                <w:szCs w:val="20"/>
              </w:rPr>
            </w:pPr>
            <w:r>
              <w:rPr>
                <w:b/>
                <w:bCs/>
                <w:color w:val="000000"/>
                <w:sz w:val="20"/>
                <w:szCs w:val="20"/>
              </w:rPr>
              <w:t>LK49</w:t>
            </w:r>
          </w:p>
        </w:tc>
        <w:tc>
          <w:tcPr>
            <w:tcW w:w="1802" w:type="dxa"/>
            <w:vAlign w:val="center"/>
          </w:tcPr>
          <w:p w14:paraId="62833728">
            <w:pPr>
              <w:jc w:val="center"/>
              <w:rPr>
                <w:color w:val="000000"/>
                <w:sz w:val="20"/>
                <w:szCs w:val="20"/>
              </w:rPr>
            </w:pPr>
            <w:r>
              <w:rPr>
                <w:color w:val="000000"/>
                <w:sz w:val="20"/>
                <w:szCs w:val="20"/>
              </w:rPr>
              <w:t>LK49:03</w:t>
            </w:r>
          </w:p>
        </w:tc>
        <w:tc>
          <w:tcPr>
            <w:tcW w:w="1033" w:type="dxa"/>
            <w:noWrap/>
            <w:vAlign w:val="center"/>
          </w:tcPr>
          <w:p w14:paraId="5EE7E5F3">
            <w:pPr>
              <w:jc w:val="center"/>
              <w:rPr>
                <w:color w:val="000000"/>
                <w:sz w:val="20"/>
                <w:szCs w:val="20"/>
              </w:rPr>
            </w:pPr>
            <w:r>
              <w:rPr>
                <w:color w:val="000000"/>
                <w:sz w:val="20"/>
                <w:szCs w:val="20"/>
              </w:rPr>
              <w:t>88,50</w:t>
            </w:r>
          </w:p>
        </w:tc>
        <w:tc>
          <w:tcPr>
            <w:tcW w:w="846" w:type="dxa"/>
            <w:noWrap/>
            <w:vAlign w:val="center"/>
          </w:tcPr>
          <w:p w14:paraId="016D951D">
            <w:pPr>
              <w:jc w:val="center"/>
              <w:rPr>
                <w:color w:val="000000"/>
                <w:sz w:val="20"/>
                <w:szCs w:val="20"/>
              </w:rPr>
            </w:pPr>
            <w:r>
              <w:rPr>
                <w:color w:val="000000"/>
                <w:sz w:val="20"/>
                <w:szCs w:val="20"/>
              </w:rPr>
              <w:t>1</w:t>
            </w:r>
          </w:p>
        </w:tc>
        <w:tc>
          <w:tcPr>
            <w:tcW w:w="2578" w:type="dxa"/>
            <w:noWrap/>
            <w:vAlign w:val="center"/>
          </w:tcPr>
          <w:p w14:paraId="63FE3A59">
            <w:pPr>
              <w:jc w:val="center"/>
              <w:rPr>
                <w:color w:val="000000"/>
                <w:sz w:val="20"/>
                <w:szCs w:val="20"/>
              </w:rPr>
            </w:pPr>
            <w:r>
              <w:rPr>
                <w:color w:val="000000"/>
                <w:sz w:val="20"/>
                <w:szCs w:val="20"/>
              </w:rPr>
              <w:t>Mặt cắt 4-4</w:t>
            </w:r>
          </w:p>
        </w:tc>
        <w:tc>
          <w:tcPr>
            <w:tcW w:w="2393" w:type="dxa"/>
            <w:noWrap/>
            <w:vAlign w:val="center"/>
          </w:tcPr>
          <w:p w14:paraId="2B1146BF">
            <w:pPr>
              <w:jc w:val="center"/>
              <w:rPr>
                <w:color w:val="000000"/>
                <w:sz w:val="20"/>
                <w:szCs w:val="20"/>
              </w:rPr>
            </w:pPr>
            <w:r>
              <w:rPr>
                <w:color w:val="000000"/>
                <w:sz w:val="20"/>
                <w:szCs w:val="20"/>
              </w:rPr>
              <w:t>Một mặt tiền</w:t>
            </w:r>
          </w:p>
        </w:tc>
        <w:tc>
          <w:tcPr>
            <w:tcW w:w="1198" w:type="dxa"/>
            <w:noWrap/>
            <w:vAlign w:val="center"/>
          </w:tcPr>
          <w:p w14:paraId="50D3C73B">
            <w:pPr>
              <w:jc w:val="center"/>
              <w:rPr>
                <w:color w:val="000000"/>
                <w:sz w:val="20"/>
                <w:szCs w:val="20"/>
              </w:rPr>
            </w:pPr>
            <w:r>
              <w:rPr>
                <w:color w:val="000000"/>
                <w:sz w:val="20"/>
                <w:szCs w:val="20"/>
              </w:rPr>
              <w:t>10.000.000</w:t>
            </w:r>
          </w:p>
        </w:tc>
        <w:tc>
          <w:tcPr>
            <w:tcW w:w="1236" w:type="dxa"/>
            <w:noWrap/>
            <w:vAlign w:val="center"/>
          </w:tcPr>
          <w:p w14:paraId="678F04F6">
            <w:pPr>
              <w:jc w:val="center"/>
              <w:rPr>
                <w:color w:val="000000"/>
                <w:sz w:val="20"/>
                <w:szCs w:val="20"/>
              </w:rPr>
            </w:pPr>
          </w:p>
        </w:tc>
        <w:tc>
          <w:tcPr>
            <w:tcW w:w="1252" w:type="dxa"/>
            <w:noWrap/>
            <w:vAlign w:val="center"/>
          </w:tcPr>
          <w:p w14:paraId="74BE4C19">
            <w:pPr>
              <w:jc w:val="center"/>
              <w:rPr>
                <w:color w:val="000000"/>
                <w:sz w:val="20"/>
                <w:szCs w:val="20"/>
              </w:rPr>
            </w:pPr>
            <w:r>
              <w:rPr>
                <w:color w:val="000000"/>
                <w:sz w:val="20"/>
                <w:szCs w:val="20"/>
              </w:rPr>
              <w:t>10.000.000</w:t>
            </w:r>
          </w:p>
        </w:tc>
        <w:tc>
          <w:tcPr>
            <w:tcW w:w="1848" w:type="dxa"/>
            <w:noWrap/>
            <w:vAlign w:val="center"/>
          </w:tcPr>
          <w:p w14:paraId="437A4927">
            <w:pPr>
              <w:jc w:val="center"/>
              <w:rPr>
                <w:color w:val="000000"/>
                <w:sz w:val="20"/>
                <w:szCs w:val="20"/>
              </w:rPr>
            </w:pPr>
            <w:r>
              <w:rPr>
                <w:color w:val="000000"/>
                <w:sz w:val="20"/>
                <w:szCs w:val="20"/>
              </w:rPr>
              <w:t>885.000.000</w:t>
            </w:r>
          </w:p>
        </w:tc>
      </w:tr>
      <w:tr w14:paraId="524F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034E485">
            <w:pPr>
              <w:jc w:val="center"/>
              <w:rPr>
                <w:b/>
                <w:bCs/>
                <w:color w:val="000000"/>
                <w:sz w:val="20"/>
                <w:szCs w:val="20"/>
              </w:rPr>
            </w:pPr>
            <w:r>
              <w:rPr>
                <w:b/>
                <w:bCs/>
                <w:color w:val="000000"/>
                <w:sz w:val="20"/>
                <w:szCs w:val="20"/>
              </w:rPr>
              <w:t>LK49</w:t>
            </w:r>
          </w:p>
        </w:tc>
        <w:tc>
          <w:tcPr>
            <w:tcW w:w="1802" w:type="dxa"/>
            <w:vAlign w:val="center"/>
          </w:tcPr>
          <w:p w14:paraId="382FA4D9">
            <w:pPr>
              <w:jc w:val="center"/>
              <w:rPr>
                <w:color w:val="000000"/>
                <w:sz w:val="20"/>
                <w:szCs w:val="20"/>
              </w:rPr>
            </w:pPr>
            <w:r>
              <w:rPr>
                <w:color w:val="000000"/>
                <w:sz w:val="20"/>
                <w:szCs w:val="20"/>
              </w:rPr>
              <w:t>LK49:04</w:t>
            </w:r>
          </w:p>
        </w:tc>
        <w:tc>
          <w:tcPr>
            <w:tcW w:w="1033" w:type="dxa"/>
            <w:noWrap/>
            <w:vAlign w:val="center"/>
          </w:tcPr>
          <w:p w14:paraId="16D3ED47">
            <w:pPr>
              <w:jc w:val="center"/>
              <w:rPr>
                <w:color w:val="000000"/>
                <w:sz w:val="20"/>
                <w:szCs w:val="20"/>
              </w:rPr>
            </w:pPr>
            <w:r>
              <w:rPr>
                <w:color w:val="000000"/>
                <w:sz w:val="20"/>
                <w:szCs w:val="20"/>
              </w:rPr>
              <w:t>88,50</w:t>
            </w:r>
          </w:p>
        </w:tc>
        <w:tc>
          <w:tcPr>
            <w:tcW w:w="846" w:type="dxa"/>
            <w:noWrap/>
            <w:vAlign w:val="center"/>
          </w:tcPr>
          <w:p w14:paraId="5B428B77">
            <w:pPr>
              <w:jc w:val="center"/>
              <w:rPr>
                <w:color w:val="000000"/>
                <w:sz w:val="20"/>
                <w:szCs w:val="20"/>
              </w:rPr>
            </w:pPr>
            <w:r>
              <w:rPr>
                <w:color w:val="000000"/>
                <w:sz w:val="20"/>
                <w:szCs w:val="20"/>
              </w:rPr>
              <w:t>1</w:t>
            </w:r>
          </w:p>
        </w:tc>
        <w:tc>
          <w:tcPr>
            <w:tcW w:w="2578" w:type="dxa"/>
            <w:noWrap/>
            <w:vAlign w:val="center"/>
          </w:tcPr>
          <w:p w14:paraId="22ED49CC">
            <w:pPr>
              <w:jc w:val="center"/>
              <w:rPr>
                <w:color w:val="000000"/>
                <w:sz w:val="20"/>
                <w:szCs w:val="20"/>
              </w:rPr>
            </w:pPr>
            <w:r>
              <w:rPr>
                <w:color w:val="000000"/>
                <w:sz w:val="20"/>
                <w:szCs w:val="20"/>
              </w:rPr>
              <w:t>Mặt cắt 4-4</w:t>
            </w:r>
          </w:p>
        </w:tc>
        <w:tc>
          <w:tcPr>
            <w:tcW w:w="2393" w:type="dxa"/>
            <w:noWrap/>
            <w:vAlign w:val="center"/>
          </w:tcPr>
          <w:p w14:paraId="0434CA5D">
            <w:pPr>
              <w:jc w:val="center"/>
              <w:rPr>
                <w:color w:val="000000"/>
                <w:sz w:val="20"/>
                <w:szCs w:val="20"/>
              </w:rPr>
            </w:pPr>
            <w:r>
              <w:rPr>
                <w:color w:val="000000"/>
                <w:sz w:val="20"/>
                <w:szCs w:val="20"/>
              </w:rPr>
              <w:t>Một mặt tiền</w:t>
            </w:r>
          </w:p>
        </w:tc>
        <w:tc>
          <w:tcPr>
            <w:tcW w:w="1198" w:type="dxa"/>
            <w:noWrap/>
            <w:vAlign w:val="center"/>
          </w:tcPr>
          <w:p w14:paraId="78440E8D">
            <w:pPr>
              <w:jc w:val="center"/>
              <w:rPr>
                <w:color w:val="000000"/>
                <w:sz w:val="20"/>
                <w:szCs w:val="20"/>
              </w:rPr>
            </w:pPr>
            <w:r>
              <w:rPr>
                <w:color w:val="000000"/>
                <w:sz w:val="20"/>
                <w:szCs w:val="20"/>
              </w:rPr>
              <w:t>10.000.000</w:t>
            </w:r>
          </w:p>
        </w:tc>
        <w:tc>
          <w:tcPr>
            <w:tcW w:w="1236" w:type="dxa"/>
            <w:noWrap/>
            <w:vAlign w:val="center"/>
          </w:tcPr>
          <w:p w14:paraId="65EF1CF9">
            <w:pPr>
              <w:jc w:val="center"/>
              <w:rPr>
                <w:color w:val="000000"/>
                <w:sz w:val="20"/>
                <w:szCs w:val="20"/>
              </w:rPr>
            </w:pPr>
          </w:p>
        </w:tc>
        <w:tc>
          <w:tcPr>
            <w:tcW w:w="1252" w:type="dxa"/>
            <w:noWrap/>
            <w:vAlign w:val="center"/>
          </w:tcPr>
          <w:p w14:paraId="21377013">
            <w:pPr>
              <w:jc w:val="center"/>
              <w:rPr>
                <w:color w:val="000000"/>
                <w:sz w:val="20"/>
                <w:szCs w:val="20"/>
              </w:rPr>
            </w:pPr>
            <w:r>
              <w:rPr>
                <w:color w:val="000000"/>
                <w:sz w:val="20"/>
                <w:szCs w:val="20"/>
              </w:rPr>
              <w:t>10.000.000</w:t>
            </w:r>
          </w:p>
        </w:tc>
        <w:tc>
          <w:tcPr>
            <w:tcW w:w="1848" w:type="dxa"/>
            <w:noWrap/>
            <w:vAlign w:val="center"/>
          </w:tcPr>
          <w:p w14:paraId="66D346CB">
            <w:pPr>
              <w:jc w:val="center"/>
              <w:rPr>
                <w:color w:val="000000"/>
                <w:sz w:val="20"/>
                <w:szCs w:val="20"/>
              </w:rPr>
            </w:pPr>
            <w:r>
              <w:rPr>
                <w:color w:val="000000"/>
                <w:sz w:val="20"/>
                <w:szCs w:val="20"/>
              </w:rPr>
              <w:t>885.000.000</w:t>
            </w:r>
          </w:p>
        </w:tc>
      </w:tr>
      <w:tr w14:paraId="0F2E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56DD10D6">
            <w:pPr>
              <w:jc w:val="center"/>
              <w:rPr>
                <w:b/>
                <w:bCs/>
                <w:color w:val="000000"/>
                <w:sz w:val="20"/>
                <w:szCs w:val="20"/>
              </w:rPr>
            </w:pPr>
            <w:r>
              <w:rPr>
                <w:b/>
                <w:bCs/>
                <w:color w:val="000000"/>
                <w:sz w:val="20"/>
                <w:szCs w:val="20"/>
              </w:rPr>
              <w:t>LK49</w:t>
            </w:r>
          </w:p>
        </w:tc>
        <w:tc>
          <w:tcPr>
            <w:tcW w:w="1802" w:type="dxa"/>
            <w:vAlign w:val="center"/>
          </w:tcPr>
          <w:p w14:paraId="79DBBDAD">
            <w:pPr>
              <w:jc w:val="center"/>
              <w:rPr>
                <w:color w:val="000000"/>
                <w:sz w:val="20"/>
                <w:szCs w:val="20"/>
              </w:rPr>
            </w:pPr>
            <w:r>
              <w:rPr>
                <w:color w:val="000000"/>
                <w:sz w:val="20"/>
                <w:szCs w:val="20"/>
              </w:rPr>
              <w:t>LK49:05</w:t>
            </w:r>
          </w:p>
        </w:tc>
        <w:tc>
          <w:tcPr>
            <w:tcW w:w="1033" w:type="dxa"/>
            <w:noWrap/>
            <w:vAlign w:val="center"/>
          </w:tcPr>
          <w:p w14:paraId="7E08912D">
            <w:pPr>
              <w:jc w:val="center"/>
              <w:rPr>
                <w:color w:val="000000"/>
                <w:sz w:val="20"/>
                <w:szCs w:val="20"/>
              </w:rPr>
            </w:pPr>
            <w:r>
              <w:rPr>
                <w:color w:val="000000"/>
                <w:sz w:val="20"/>
                <w:szCs w:val="20"/>
              </w:rPr>
              <w:t>90,04</w:t>
            </w:r>
          </w:p>
        </w:tc>
        <w:tc>
          <w:tcPr>
            <w:tcW w:w="846" w:type="dxa"/>
            <w:noWrap/>
            <w:vAlign w:val="center"/>
          </w:tcPr>
          <w:p w14:paraId="29B66AF4">
            <w:pPr>
              <w:jc w:val="center"/>
              <w:rPr>
                <w:color w:val="000000"/>
                <w:sz w:val="20"/>
                <w:szCs w:val="20"/>
              </w:rPr>
            </w:pPr>
            <w:r>
              <w:rPr>
                <w:color w:val="000000"/>
                <w:sz w:val="20"/>
                <w:szCs w:val="20"/>
              </w:rPr>
              <w:t>1</w:t>
            </w:r>
          </w:p>
        </w:tc>
        <w:tc>
          <w:tcPr>
            <w:tcW w:w="2578" w:type="dxa"/>
            <w:noWrap/>
            <w:vAlign w:val="center"/>
          </w:tcPr>
          <w:p w14:paraId="5631D301">
            <w:pPr>
              <w:jc w:val="center"/>
              <w:rPr>
                <w:color w:val="000000"/>
                <w:sz w:val="20"/>
                <w:szCs w:val="20"/>
              </w:rPr>
            </w:pPr>
            <w:r>
              <w:rPr>
                <w:color w:val="000000"/>
                <w:sz w:val="20"/>
                <w:szCs w:val="20"/>
              </w:rPr>
              <w:t>Mặt cắt 4-4</w:t>
            </w:r>
          </w:p>
        </w:tc>
        <w:tc>
          <w:tcPr>
            <w:tcW w:w="2393" w:type="dxa"/>
            <w:noWrap/>
            <w:vAlign w:val="center"/>
          </w:tcPr>
          <w:p w14:paraId="5078A853">
            <w:pPr>
              <w:jc w:val="center"/>
              <w:rPr>
                <w:color w:val="000000"/>
                <w:sz w:val="20"/>
                <w:szCs w:val="20"/>
              </w:rPr>
            </w:pPr>
            <w:r>
              <w:rPr>
                <w:color w:val="000000"/>
                <w:sz w:val="20"/>
                <w:szCs w:val="20"/>
              </w:rPr>
              <w:t>Một mặt tiền</w:t>
            </w:r>
          </w:p>
        </w:tc>
        <w:tc>
          <w:tcPr>
            <w:tcW w:w="1198" w:type="dxa"/>
            <w:noWrap/>
            <w:vAlign w:val="center"/>
          </w:tcPr>
          <w:p w14:paraId="3FDE659F">
            <w:pPr>
              <w:jc w:val="center"/>
              <w:rPr>
                <w:color w:val="000000"/>
                <w:sz w:val="20"/>
                <w:szCs w:val="20"/>
              </w:rPr>
            </w:pPr>
            <w:r>
              <w:rPr>
                <w:color w:val="000000"/>
                <w:sz w:val="20"/>
                <w:szCs w:val="20"/>
              </w:rPr>
              <w:t>10.000.000</w:t>
            </w:r>
          </w:p>
        </w:tc>
        <w:tc>
          <w:tcPr>
            <w:tcW w:w="1236" w:type="dxa"/>
            <w:noWrap/>
            <w:vAlign w:val="center"/>
          </w:tcPr>
          <w:p w14:paraId="51ED6D10">
            <w:pPr>
              <w:jc w:val="center"/>
              <w:rPr>
                <w:color w:val="000000"/>
                <w:sz w:val="20"/>
                <w:szCs w:val="20"/>
              </w:rPr>
            </w:pPr>
          </w:p>
        </w:tc>
        <w:tc>
          <w:tcPr>
            <w:tcW w:w="1252" w:type="dxa"/>
            <w:noWrap/>
            <w:vAlign w:val="center"/>
          </w:tcPr>
          <w:p w14:paraId="1C7DD2A9">
            <w:pPr>
              <w:jc w:val="center"/>
              <w:rPr>
                <w:color w:val="000000"/>
                <w:sz w:val="20"/>
                <w:szCs w:val="20"/>
              </w:rPr>
            </w:pPr>
            <w:r>
              <w:rPr>
                <w:color w:val="000000"/>
                <w:sz w:val="20"/>
                <w:szCs w:val="20"/>
              </w:rPr>
              <w:t>10.000.000</w:t>
            </w:r>
          </w:p>
        </w:tc>
        <w:tc>
          <w:tcPr>
            <w:tcW w:w="1848" w:type="dxa"/>
            <w:noWrap/>
            <w:vAlign w:val="center"/>
          </w:tcPr>
          <w:p w14:paraId="22075AB0">
            <w:pPr>
              <w:jc w:val="center"/>
              <w:rPr>
                <w:color w:val="000000"/>
                <w:sz w:val="20"/>
                <w:szCs w:val="20"/>
              </w:rPr>
            </w:pPr>
            <w:r>
              <w:rPr>
                <w:color w:val="000000"/>
                <w:sz w:val="20"/>
                <w:szCs w:val="20"/>
              </w:rPr>
              <w:t>900.400.000</w:t>
            </w:r>
          </w:p>
        </w:tc>
      </w:tr>
      <w:tr w14:paraId="5DC5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3B0DEA5">
            <w:pPr>
              <w:jc w:val="center"/>
              <w:rPr>
                <w:b/>
                <w:bCs/>
                <w:color w:val="000000"/>
                <w:sz w:val="20"/>
                <w:szCs w:val="20"/>
              </w:rPr>
            </w:pPr>
            <w:r>
              <w:rPr>
                <w:b/>
                <w:bCs/>
                <w:color w:val="000000"/>
                <w:sz w:val="20"/>
                <w:szCs w:val="20"/>
              </w:rPr>
              <w:t>LK49</w:t>
            </w:r>
          </w:p>
        </w:tc>
        <w:tc>
          <w:tcPr>
            <w:tcW w:w="1802" w:type="dxa"/>
            <w:vAlign w:val="center"/>
          </w:tcPr>
          <w:p w14:paraId="035A1286">
            <w:pPr>
              <w:jc w:val="center"/>
              <w:rPr>
                <w:color w:val="000000"/>
                <w:sz w:val="20"/>
                <w:szCs w:val="20"/>
              </w:rPr>
            </w:pPr>
            <w:r>
              <w:rPr>
                <w:color w:val="000000"/>
                <w:sz w:val="20"/>
                <w:szCs w:val="20"/>
              </w:rPr>
              <w:t>LK49:06</w:t>
            </w:r>
          </w:p>
        </w:tc>
        <w:tc>
          <w:tcPr>
            <w:tcW w:w="1033" w:type="dxa"/>
            <w:noWrap/>
            <w:vAlign w:val="center"/>
          </w:tcPr>
          <w:p w14:paraId="31854319">
            <w:pPr>
              <w:jc w:val="center"/>
              <w:rPr>
                <w:color w:val="000000"/>
                <w:sz w:val="20"/>
                <w:szCs w:val="20"/>
              </w:rPr>
            </w:pPr>
            <w:r>
              <w:rPr>
                <w:color w:val="000000"/>
                <w:sz w:val="20"/>
                <w:szCs w:val="20"/>
              </w:rPr>
              <w:t>87,00</w:t>
            </w:r>
          </w:p>
        </w:tc>
        <w:tc>
          <w:tcPr>
            <w:tcW w:w="846" w:type="dxa"/>
            <w:noWrap/>
            <w:vAlign w:val="center"/>
          </w:tcPr>
          <w:p w14:paraId="606BD432">
            <w:pPr>
              <w:jc w:val="center"/>
              <w:rPr>
                <w:color w:val="000000"/>
                <w:sz w:val="20"/>
                <w:szCs w:val="20"/>
              </w:rPr>
            </w:pPr>
            <w:r>
              <w:rPr>
                <w:color w:val="000000"/>
                <w:sz w:val="20"/>
                <w:szCs w:val="20"/>
              </w:rPr>
              <w:t>1</w:t>
            </w:r>
          </w:p>
        </w:tc>
        <w:tc>
          <w:tcPr>
            <w:tcW w:w="2578" w:type="dxa"/>
            <w:noWrap/>
            <w:vAlign w:val="center"/>
          </w:tcPr>
          <w:p w14:paraId="23B87242">
            <w:pPr>
              <w:jc w:val="center"/>
              <w:rPr>
                <w:color w:val="000000"/>
                <w:sz w:val="20"/>
                <w:szCs w:val="20"/>
              </w:rPr>
            </w:pPr>
            <w:r>
              <w:rPr>
                <w:color w:val="000000"/>
                <w:sz w:val="20"/>
                <w:szCs w:val="20"/>
              </w:rPr>
              <w:t>Mặt cắt 4-4</w:t>
            </w:r>
          </w:p>
        </w:tc>
        <w:tc>
          <w:tcPr>
            <w:tcW w:w="2393" w:type="dxa"/>
            <w:noWrap/>
            <w:vAlign w:val="center"/>
          </w:tcPr>
          <w:p w14:paraId="76041D9F">
            <w:pPr>
              <w:jc w:val="center"/>
              <w:rPr>
                <w:color w:val="000000"/>
                <w:sz w:val="20"/>
                <w:szCs w:val="20"/>
              </w:rPr>
            </w:pPr>
            <w:r>
              <w:rPr>
                <w:color w:val="000000"/>
                <w:sz w:val="20"/>
                <w:szCs w:val="20"/>
              </w:rPr>
              <w:t>Một mặt tiền</w:t>
            </w:r>
          </w:p>
        </w:tc>
        <w:tc>
          <w:tcPr>
            <w:tcW w:w="1198" w:type="dxa"/>
            <w:noWrap/>
            <w:vAlign w:val="center"/>
          </w:tcPr>
          <w:p w14:paraId="16F16030">
            <w:pPr>
              <w:jc w:val="center"/>
              <w:rPr>
                <w:color w:val="000000"/>
                <w:sz w:val="20"/>
                <w:szCs w:val="20"/>
              </w:rPr>
            </w:pPr>
            <w:r>
              <w:rPr>
                <w:color w:val="000000"/>
                <w:sz w:val="20"/>
                <w:szCs w:val="20"/>
              </w:rPr>
              <w:t>10.000.000</w:t>
            </w:r>
          </w:p>
        </w:tc>
        <w:tc>
          <w:tcPr>
            <w:tcW w:w="1236" w:type="dxa"/>
            <w:noWrap/>
            <w:vAlign w:val="center"/>
          </w:tcPr>
          <w:p w14:paraId="4503DBFE">
            <w:pPr>
              <w:jc w:val="center"/>
              <w:rPr>
                <w:color w:val="000000"/>
                <w:sz w:val="20"/>
                <w:szCs w:val="20"/>
              </w:rPr>
            </w:pPr>
          </w:p>
        </w:tc>
        <w:tc>
          <w:tcPr>
            <w:tcW w:w="1252" w:type="dxa"/>
            <w:noWrap/>
            <w:vAlign w:val="center"/>
          </w:tcPr>
          <w:p w14:paraId="401B6ED9">
            <w:pPr>
              <w:jc w:val="center"/>
              <w:rPr>
                <w:color w:val="000000"/>
                <w:sz w:val="20"/>
                <w:szCs w:val="20"/>
              </w:rPr>
            </w:pPr>
            <w:r>
              <w:rPr>
                <w:color w:val="000000"/>
                <w:sz w:val="20"/>
                <w:szCs w:val="20"/>
              </w:rPr>
              <w:t>10.000.000</w:t>
            </w:r>
          </w:p>
        </w:tc>
        <w:tc>
          <w:tcPr>
            <w:tcW w:w="1848" w:type="dxa"/>
            <w:noWrap/>
            <w:vAlign w:val="center"/>
          </w:tcPr>
          <w:p w14:paraId="777850EC">
            <w:pPr>
              <w:jc w:val="center"/>
              <w:rPr>
                <w:color w:val="000000"/>
                <w:sz w:val="20"/>
                <w:szCs w:val="20"/>
              </w:rPr>
            </w:pPr>
            <w:r>
              <w:rPr>
                <w:color w:val="000000"/>
                <w:sz w:val="20"/>
                <w:szCs w:val="20"/>
              </w:rPr>
              <w:t>870.000.000</w:t>
            </w:r>
          </w:p>
        </w:tc>
      </w:tr>
      <w:tr w14:paraId="273D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8655562">
            <w:pPr>
              <w:jc w:val="center"/>
              <w:rPr>
                <w:b/>
                <w:bCs/>
                <w:color w:val="000000"/>
                <w:sz w:val="20"/>
                <w:szCs w:val="20"/>
              </w:rPr>
            </w:pPr>
            <w:r>
              <w:rPr>
                <w:b/>
                <w:bCs/>
                <w:color w:val="000000"/>
                <w:sz w:val="20"/>
                <w:szCs w:val="20"/>
              </w:rPr>
              <w:t>LK49</w:t>
            </w:r>
          </w:p>
        </w:tc>
        <w:tc>
          <w:tcPr>
            <w:tcW w:w="1802" w:type="dxa"/>
            <w:vAlign w:val="center"/>
          </w:tcPr>
          <w:p w14:paraId="628998D2">
            <w:pPr>
              <w:jc w:val="center"/>
              <w:rPr>
                <w:color w:val="000000"/>
                <w:sz w:val="20"/>
                <w:szCs w:val="20"/>
              </w:rPr>
            </w:pPr>
            <w:r>
              <w:rPr>
                <w:color w:val="000000"/>
                <w:sz w:val="20"/>
                <w:szCs w:val="20"/>
              </w:rPr>
              <w:t>LK49:07</w:t>
            </w:r>
          </w:p>
        </w:tc>
        <w:tc>
          <w:tcPr>
            <w:tcW w:w="1033" w:type="dxa"/>
            <w:noWrap/>
            <w:vAlign w:val="center"/>
          </w:tcPr>
          <w:p w14:paraId="53B892D2">
            <w:pPr>
              <w:jc w:val="center"/>
              <w:rPr>
                <w:color w:val="000000"/>
                <w:sz w:val="20"/>
                <w:szCs w:val="20"/>
              </w:rPr>
            </w:pPr>
            <w:r>
              <w:rPr>
                <w:color w:val="000000"/>
                <w:sz w:val="20"/>
                <w:szCs w:val="20"/>
              </w:rPr>
              <w:t>88,50</w:t>
            </w:r>
          </w:p>
        </w:tc>
        <w:tc>
          <w:tcPr>
            <w:tcW w:w="846" w:type="dxa"/>
            <w:noWrap/>
            <w:vAlign w:val="center"/>
          </w:tcPr>
          <w:p w14:paraId="6AE556A8">
            <w:pPr>
              <w:jc w:val="center"/>
              <w:rPr>
                <w:color w:val="000000"/>
                <w:sz w:val="20"/>
                <w:szCs w:val="20"/>
              </w:rPr>
            </w:pPr>
            <w:r>
              <w:rPr>
                <w:color w:val="000000"/>
                <w:sz w:val="20"/>
                <w:szCs w:val="20"/>
              </w:rPr>
              <w:t>1</w:t>
            </w:r>
          </w:p>
        </w:tc>
        <w:tc>
          <w:tcPr>
            <w:tcW w:w="2578" w:type="dxa"/>
            <w:noWrap/>
            <w:vAlign w:val="center"/>
          </w:tcPr>
          <w:p w14:paraId="7B3A5919">
            <w:pPr>
              <w:jc w:val="center"/>
              <w:rPr>
                <w:color w:val="000000"/>
                <w:sz w:val="20"/>
                <w:szCs w:val="20"/>
              </w:rPr>
            </w:pPr>
            <w:r>
              <w:rPr>
                <w:color w:val="000000"/>
                <w:sz w:val="20"/>
                <w:szCs w:val="20"/>
              </w:rPr>
              <w:t>Mặt cắt 4-4</w:t>
            </w:r>
          </w:p>
        </w:tc>
        <w:tc>
          <w:tcPr>
            <w:tcW w:w="2393" w:type="dxa"/>
            <w:noWrap/>
            <w:vAlign w:val="center"/>
          </w:tcPr>
          <w:p w14:paraId="08790DD8">
            <w:pPr>
              <w:jc w:val="center"/>
              <w:rPr>
                <w:color w:val="000000"/>
                <w:sz w:val="20"/>
                <w:szCs w:val="20"/>
              </w:rPr>
            </w:pPr>
            <w:r>
              <w:rPr>
                <w:color w:val="000000"/>
                <w:sz w:val="20"/>
                <w:szCs w:val="20"/>
              </w:rPr>
              <w:t>Một mặt tiền</w:t>
            </w:r>
          </w:p>
        </w:tc>
        <w:tc>
          <w:tcPr>
            <w:tcW w:w="1198" w:type="dxa"/>
            <w:noWrap/>
            <w:vAlign w:val="center"/>
          </w:tcPr>
          <w:p w14:paraId="2714D164">
            <w:pPr>
              <w:jc w:val="center"/>
              <w:rPr>
                <w:color w:val="000000"/>
                <w:sz w:val="20"/>
                <w:szCs w:val="20"/>
              </w:rPr>
            </w:pPr>
            <w:r>
              <w:rPr>
                <w:color w:val="000000"/>
                <w:sz w:val="20"/>
                <w:szCs w:val="20"/>
              </w:rPr>
              <w:t>10.000.000</w:t>
            </w:r>
          </w:p>
        </w:tc>
        <w:tc>
          <w:tcPr>
            <w:tcW w:w="1236" w:type="dxa"/>
            <w:noWrap/>
            <w:vAlign w:val="center"/>
          </w:tcPr>
          <w:p w14:paraId="64B1AC76">
            <w:pPr>
              <w:jc w:val="center"/>
              <w:rPr>
                <w:color w:val="000000"/>
                <w:sz w:val="20"/>
                <w:szCs w:val="20"/>
              </w:rPr>
            </w:pPr>
          </w:p>
        </w:tc>
        <w:tc>
          <w:tcPr>
            <w:tcW w:w="1252" w:type="dxa"/>
            <w:noWrap/>
            <w:vAlign w:val="center"/>
          </w:tcPr>
          <w:p w14:paraId="0F32217B">
            <w:pPr>
              <w:jc w:val="center"/>
              <w:rPr>
                <w:color w:val="000000"/>
                <w:sz w:val="20"/>
                <w:szCs w:val="20"/>
              </w:rPr>
            </w:pPr>
            <w:r>
              <w:rPr>
                <w:color w:val="000000"/>
                <w:sz w:val="20"/>
                <w:szCs w:val="20"/>
              </w:rPr>
              <w:t>10.000.000</w:t>
            </w:r>
          </w:p>
        </w:tc>
        <w:tc>
          <w:tcPr>
            <w:tcW w:w="1848" w:type="dxa"/>
            <w:noWrap/>
            <w:vAlign w:val="center"/>
          </w:tcPr>
          <w:p w14:paraId="113B33C5">
            <w:pPr>
              <w:jc w:val="center"/>
              <w:rPr>
                <w:color w:val="000000"/>
                <w:sz w:val="20"/>
                <w:szCs w:val="20"/>
              </w:rPr>
            </w:pPr>
            <w:r>
              <w:rPr>
                <w:color w:val="000000"/>
                <w:sz w:val="20"/>
                <w:szCs w:val="20"/>
              </w:rPr>
              <w:t>885.000.000</w:t>
            </w:r>
          </w:p>
        </w:tc>
      </w:tr>
      <w:tr w14:paraId="5977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57C0900">
            <w:pPr>
              <w:jc w:val="center"/>
              <w:rPr>
                <w:b/>
                <w:bCs/>
                <w:color w:val="000000"/>
                <w:sz w:val="20"/>
                <w:szCs w:val="20"/>
              </w:rPr>
            </w:pPr>
            <w:r>
              <w:rPr>
                <w:b/>
                <w:bCs/>
                <w:color w:val="000000"/>
                <w:sz w:val="20"/>
                <w:szCs w:val="20"/>
              </w:rPr>
              <w:t>LK49</w:t>
            </w:r>
          </w:p>
        </w:tc>
        <w:tc>
          <w:tcPr>
            <w:tcW w:w="1802" w:type="dxa"/>
            <w:vAlign w:val="center"/>
          </w:tcPr>
          <w:p w14:paraId="0272072A">
            <w:pPr>
              <w:jc w:val="center"/>
              <w:rPr>
                <w:color w:val="000000"/>
                <w:sz w:val="20"/>
                <w:szCs w:val="20"/>
              </w:rPr>
            </w:pPr>
            <w:r>
              <w:rPr>
                <w:color w:val="000000"/>
                <w:sz w:val="20"/>
                <w:szCs w:val="20"/>
              </w:rPr>
              <w:t>LK49:08</w:t>
            </w:r>
          </w:p>
        </w:tc>
        <w:tc>
          <w:tcPr>
            <w:tcW w:w="1033" w:type="dxa"/>
            <w:noWrap/>
            <w:vAlign w:val="center"/>
          </w:tcPr>
          <w:p w14:paraId="6B8998A4">
            <w:pPr>
              <w:jc w:val="center"/>
              <w:rPr>
                <w:color w:val="000000"/>
                <w:sz w:val="20"/>
                <w:szCs w:val="20"/>
              </w:rPr>
            </w:pPr>
            <w:r>
              <w:rPr>
                <w:color w:val="000000"/>
                <w:sz w:val="20"/>
                <w:szCs w:val="20"/>
              </w:rPr>
              <w:t>88,50</w:t>
            </w:r>
          </w:p>
        </w:tc>
        <w:tc>
          <w:tcPr>
            <w:tcW w:w="846" w:type="dxa"/>
            <w:noWrap/>
            <w:vAlign w:val="center"/>
          </w:tcPr>
          <w:p w14:paraId="18B1C93D">
            <w:pPr>
              <w:jc w:val="center"/>
              <w:rPr>
                <w:color w:val="000000"/>
                <w:sz w:val="20"/>
                <w:szCs w:val="20"/>
              </w:rPr>
            </w:pPr>
            <w:r>
              <w:rPr>
                <w:color w:val="000000"/>
                <w:sz w:val="20"/>
                <w:szCs w:val="20"/>
              </w:rPr>
              <w:t>1</w:t>
            </w:r>
          </w:p>
        </w:tc>
        <w:tc>
          <w:tcPr>
            <w:tcW w:w="2578" w:type="dxa"/>
            <w:noWrap/>
            <w:vAlign w:val="center"/>
          </w:tcPr>
          <w:p w14:paraId="7781E4BA">
            <w:pPr>
              <w:jc w:val="center"/>
              <w:rPr>
                <w:color w:val="000000"/>
                <w:sz w:val="20"/>
                <w:szCs w:val="20"/>
              </w:rPr>
            </w:pPr>
            <w:r>
              <w:rPr>
                <w:color w:val="000000"/>
                <w:sz w:val="20"/>
                <w:szCs w:val="20"/>
              </w:rPr>
              <w:t>Mặt cắt 4-4</w:t>
            </w:r>
          </w:p>
        </w:tc>
        <w:tc>
          <w:tcPr>
            <w:tcW w:w="2393" w:type="dxa"/>
            <w:noWrap/>
            <w:vAlign w:val="center"/>
          </w:tcPr>
          <w:p w14:paraId="4D309CEB">
            <w:pPr>
              <w:jc w:val="center"/>
              <w:rPr>
                <w:color w:val="000000"/>
                <w:sz w:val="20"/>
                <w:szCs w:val="20"/>
              </w:rPr>
            </w:pPr>
            <w:r>
              <w:rPr>
                <w:color w:val="000000"/>
                <w:sz w:val="20"/>
                <w:szCs w:val="20"/>
              </w:rPr>
              <w:t>Một mặt tiền</w:t>
            </w:r>
          </w:p>
        </w:tc>
        <w:tc>
          <w:tcPr>
            <w:tcW w:w="1198" w:type="dxa"/>
            <w:noWrap/>
            <w:vAlign w:val="center"/>
          </w:tcPr>
          <w:p w14:paraId="5D00CC32">
            <w:pPr>
              <w:jc w:val="center"/>
              <w:rPr>
                <w:color w:val="000000"/>
                <w:sz w:val="20"/>
                <w:szCs w:val="20"/>
              </w:rPr>
            </w:pPr>
            <w:r>
              <w:rPr>
                <w:color w:val="000000"/>
                <w:sz w:val="20"/>
                <w:szCs w:val="20"/>
              </w:rPr>
              <w:t>10.000.000</w:t>
            </w:r>
          </w:p>
        </w:tc>
        <w:tc>
          <w:tcPr>
            <w:tcW w:w="1236" w:type="dxa"/>
            <w:noWrap/>
            <w:vAlign w:val="center"/>
          </w:tcPr>
          <w:p w14:paraId="02A6786E">
            <w:pPr>
              <w:jc w:val="center"/>
              <w:rPr>
                <w:color w:val="000000"/>
                <w:sz w:val="20"/>
                <w:szCs w:val="20"/>
              </w:rPr>
            </w:pPr>
          </w:p>
        </w:tc>
        <w:tc>
          <w:tcPr>
            <w:tcW w:w="1252" w:type="dxa"/>
            <w:noWrap/>
            <w:vAlign w:val="center"/>
          </w:tcPr>
          <w:p w14:paraId="4766B468">
            <w:pPr>
              <w:jc w:val="center"/>
              <w:rPr>
                <w:color w:val="000000"/>
                <w:sz w:val="20"/>
                <w:szCs w:val="20"/>
              </w:rPr>
            </w:pPr>
            <w:r>
              <w:rPr>
                <w:color w:val="000000"/>
                <w:sz w:val="20"/>
                <w:szCs w:val="20"/>
              </w:rPr>
              <w:t>10.000.000</w:t>
            </w:r>
          </w:p>
        </w:tc>
        <w:tc>
          <w:tcPr>
            <w:tcW w:w="1848" w:type="dxa"/>
            <w:noWrap/>
            <w:vAlign w:val="center"/>
          </w:tcPr>
          <w:p w14:paraId="4A23C636">
            <w:pPr>
              <w:jc w:val="center"/>
              <w:rPr>
                <w:color w:val="000000"/>
                <w:sz w:val="20"/>
                <w:szCs w:val="20"/>
              </w:rPr>
            </w:pPr>
            <w:r>
              <w:rPr>
                <w:color w:val="000000"/>
                <w:sz w:val="20"/>
                <w:szCs w:val="20"/>
              </w:rPr>
              <w:t>885.000.000</w:t>
            </w:r>
          </w:p>
        </w:tc>
      </w:tr>
      <w:tr w14:paraId="3E84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66098594">
            <w:pPr>
              <w:jc w:val="center"/>
              <w:rPr>
                <w:b/>
                <w:bCs/>
                <w:color w:val="000000"/>
                <w:sz w:val="20"/>
                <w:szCs w:val="20"/>
              </w:rPr>
            </w:pPr>
            <w:r>
              <w:rPr>
                <w:b/>
                <w:bCs/>
                <w:color w:val="000000"/>
                <w:sz w:val="20"/>
                <w:szCs w:val="20"/>
              </w:rPr>
              <w:t>LK49</w:t>
            </w:r>
          </w:p>
        </w:tc>
        <w:tc>
          <w:tcPr>
            <w:tcW w:w="1802" w:type="dxa"/>
            <w:vAlign w:val="center"/>
          </w:tcPr>
          <w:p w14:paraId="16567DD9">
            <w:pPr>
              <w:jc w:val="center"/>
              <w:rPr>
                <w:color w:val="000000"/>
                <w:sz w:val="20"/>
                <w:szCs w:val="20"/>
              </w:rPr>
            </w:pPr>
            <w:r>
              <w:rPr>
                <w:color w:val="000000"/>
                <w:sz w:val="20"/>
                <w:szCs w:val="20"/>
              </w:rPr>
              <w:t>LK49:09</w:t>
            </w:r>
          </w:p>
        </w:tc>
        <w:tc>
          <w:tcPr>
            <w:tcW w:w="1033" w:type="dxa"/>
            <w:noWrap/>
            <w:vAlign w:val="center"/>
          </w:tcPr>
          <w:p w14:paraId="0F26A3B5">
            <w:pPr>
              <w:jc w:val="center"/>
              <w:rPr>
                <w:color w:val="000000"/>
                <w:sz w:val="20"/>
                <w:szCs w:val="20"/>
              </w:rPr>
            </w:pPr>
            <w:r>
              <w:rPr>
                <w:color w:val="000000"/>
                <w:sz w:val="20"/>
                <w:szCs w:val="20"/>
              </w:rPr>
              <w:t>89,53</w:t>
            </w:r>
          </w:p>
        </w:tc>
        <w:tc>
          <w:tcPr>
            <w:tcW w:w="846" w:type="dxa"/>
            <w:noWrap/>
            <w:vAlign w:val="center"/>
          </w:tcPr>
          <w:p w14:paraId="5863213B">
            <w:pPr>
              <w:jc w:val="center"/>
              <w:rPr>
                <w:color w:val="000000"/>
                <w:sz w:val="20"/>
                <w:szCs w:val="20"/>
              </w:rPr>
            </w:pPr>
            <w:r>
              <w:rPr>
                <w:color w:val="000000"/>
                <w:sz w:val="20"/>
                <w:szCs w:val="20"/>
              </w:rPr>
              <w:t>1</w:t>
            </w:r>
          </w:p>
        </w:tc>
        <w:tc>
          <w:tcPr>
            <w:tcW w:w="2578" w:type="dxa"/>
            <w:noWrap/>
            <w:vAlign w:val="center"/>
          </w:tcPr>
          <w:p w14:paraId="6DFEC366">
            <w:pPr>
              <w:jc w:val="center"/>
              <w:rPr>
                <w:color w:val="000000"/>
                <w:sz w:val="20"/>
                <w:szCs w:val="20"/>
              </w:rPr>
            </w:pPr>
            <w:r>
              <w:rPr>
                <w:color w:val="000000"/>
                <w:sz w:val="20"/>
                <w:szCs w:val="20"/>
              </w:rPr>
              <w:t>Mặt cắt 4-4</w:t>
            </w:r>
          </w:p>
        </w:tc>
        <w:tc>
          <w:tcPr>
            <w:tcW w:w="2393" w:type="dxa"/>
            <w:noWrap/>
            <w:vAlign w:val="center"/>
          </w:tcPr>
          <w:p w14:paraId="619B20A1">
            <w:pPr>
              <w:jc w:val="center"/>
              <w:rPr>
                <w:color w:val="000000"/>
                <w:sz w:val="20"/>
                <w:szCs w:val="20"/>
              </w:rPr>
            </w:pPr>
            <w:r>
              <w:rPr>
                <w:color w:val="000000"/>
                <w:sz w:val="20"/>
                <w:szCs w:val="20"/>
              </w:rPr>
              <w:t>Một mặt tiền</w:t>
            </w:r>
          </w:p>
        </w:tc>
        <w:tc>
          <w:tcPr>
            <w:tcW w:w="1198" w:type="dxa"/>
            <w:noWrap/>
            <w:vAlign w:val="center"/>
          </w:tcPr>
          <w:p w14:paraId="173FB501">
            <w:pPr>
              <w:jc w:val="center"/>
              <w:rPr>
                <w:color w:val="000000"/>
                <w:sz w:val="20"/>
                <w:szCs w:val="20"/>
              </w:rPr>
            </w:pPr>
            <w:r>
              <w:rPr>
                <w:color w:val="000000"/>
                <w:sz w:val="20"/>
                <w:szCs w:val="20"/>
              </w:rPr>
              <w:t>10.000.000</w:t>
            </w:r>
          </w:p>
        </w:tc>
        <w:tc>
          <w:tcPr>
            <w:tcW w:w="1236" w:type="dxa"/>
            <w:noWrap/>
            <w:vAlign w:val="center"/>
          </w:tcPr>
          <w:p w14:paraId="020FAC27">
            <w:pPr>
              <w:jc w:val="center"/>
              <w:rPr>
                <w:color w:val="000000"/>
                <w:sz w:val="20"/>
                <w:szCs w:val="20"/>
              </w:rPr>
            </w:pPr>
          </w:p>
        </w:tc>
        <w:tc>
          <w:tcPr>
            <w:tcW w:w="1252" w:type="dxa"/>
            <w:noWrap/>
            <w:vAlign w:val="center"/>
          </w:tcPr>
          <w:p w14:paraId="2E4BFDE8">
            <w:pPr>
              <w:jc w:val="center"/>
              <w:rPr>
                <w:color w:val="000000"/>
                <w:sz w:val="20"/>
                <w:szCs w:val="20"/>
              </w:rPr>
            </w:pPr>
            <w:r>
              <w:rPr>
                <w:color w:val="000000"/>
                <w:sz w:val="20"/>
                <w:szCs w:val="20"/>
              </w:rPr>
              <w:t>10.000.000</w:t>
            </w:r>
          </w:p>
        </w:tc>
        <w:tc>
          <w:tcPr>
            <w:tcW w:w="1848" w:type="dxa"/>
            <w:noWrap/>
            <w:vAlign w:val="center"/>
          </w:tcPr>
          <w:p w14:paraId="3458676E">
            <w:pPr>
              <w:jc w:val="center"/>
              <w:rPr>
                <w:color w:val="000000"/>
                <w:sz w:val="20"/>
                <w:szCs w:val="20"/>
              </w:rPr>
            </w:pPr>
            <w:r>
              <w:rPr>
                <w:color w:val="000000"/>
                <w:sz w:val="20"/>
                <w:szCs w:val="20"/>
              </w:rPr>
              <w:t>895.300.000</w:t>
            </w:r>
          </w:p>
        </w:tc>
      </w:tr>
      <w:tr w14:paraId="3356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35307C4">
            <w:pPr>
              <w:jc w:val="center"/>
              <w:rPr>
                <w:b/>
                <w:bCs/>
                <w:color w:val="000000"/>
                <w:sz w:val="20"/>
                <w:szCs w:val="20"/>
              </w:rPr>
            </w:pPr>
            <w:r>
              <w:rPr>
                <w:b/>
                <w:bCs/>
                <w:color w:val="000000"/>
                <w:sz w:val="20"/>
                <w:szCs w:val="20"/>
              </w:rPr>
              <w:t>LK51</w:t>
            </w:r>
          </w:p>
        </w:tc>
        <w:tc>
          <w:tcPr>
            <w:tcW w:w="1802" w:type="dxa"/>
            <w:vAlign w:val="center"/>
          </w:tcPr>
          <w:p w14:paraId="235D8DDF">
            <w:pPr>
              <w:jc w:val="center"/>
              <w:rPr>
                <w:color w:val="000000"/>
                <w:sz w:val="20"/>
                <w:szCs w:val="20"/>
              </w:rPr>
            </w:pPr>
            <w:r>
              <w:rPr>
                <w:color w:val="000000"/>
                <w:sz w:val="20"/>
                <w:szCs w:val="20"/>
              </w:rPr>
              <w:t>LK51:01</w:t>
            </w:r>
          </w:p>
        </w:tc>
        <w:tc>
          <w:tcPr>
            <w:tcW w:w="1033" w:type="dxa"/>
            <w:noWrap/>
            <w:vAlign w:val="center"/>
          </w:tcPr>
          <w:p w14:paraId="5718692C">
            <w:pPr>
              <w:jc w:val="center"/>
              <w:rPr>
                <w:color w:val="000000"/>
                <w:sz w:val="20"/>
                <w:szCs w:val="20"/>
              </w:rPr>
            </w:pPr>
            <w:r>
              <w:rPr>
                <w:color w:val="000000"/>
                <w:sz w:val="20"/>
                <w:szCs w:val="20"/>
              </w:rPr>
              <w:t>87,00</w:t>
            </w:r>
          </w:p>
        </w:tc>
        <w:tc>
          <w:tcPr>
            <w:tcW w:w="846" w:type="dxa"/>
            <w:noWrap/>
            <w:vAlign w:val="center"/>
          </w:tcPr>
          <w:p w14:paraId="5E87A090">
            <w:pPr>
              <w:jc w:val="center"/>
              <w:rPr>
                <w:color w:val="000000"/>
                <w:sz w:val="20"/>
                <w:szCs w:val="20"/>
              </w:rPr>
            </w:pPr>
            <w:r>
              <w:rPr>
                <w:color w:val="000000"/>
                <w:sz w:val="20"/>
                <w:szCs w:val="20"/>
              </w:rPr>
              <w:t>1</w:t>
            </w:r>
          </w:p>
        </w:tc>
        <w:tc>
          <w:tcPr>
            <w:tcW w:w="2578" w:type="dxa"/>
            <w:noWrap/>
            <w:vAlign w:val="center"/>
          </w:tcPr>
          <w:p w14:paraId="14279D84">
            <w:pPr>
              <w:jc w:val="center"/>
              <w:rPr>
                <w:color w:val="000000"/>
                <w:sz w:val="20"/>
                <w:szCs w:val="20"/>
              </w:rPr>
            </w:pPr>
            <w:r>
              <w:rPr>
                <w:color w:val="000000"/>
                <w:sz w:val="20"/>
                <w:szCs w:val="20"/>
              </w:rPr>
              <w:t>Mặt cắt 4-4</w:t>
            </w:r>
          </w:p>
        </w:tc>
        <w:tc>
          <w:tcPr>
            <w:tcW w:w="2393" w:type="dxa"/>
            <w:noWrap/>
            <w:vAlign w:val="center"/>
          </w:tcPr>
          <w:p w14:paraId="4ED28554">
            <w:pPr>
              <w:jc w:val="center"/>
              <w:rPr>
                <w:color w:val="000000"/>
                <w:sz w:val="20"/>
                <w:szCs w:val="20"/>
              </w:rPr>
            </w:pPr>
            <w:r>
              <w:rPr>
                <w:color w:val="000000"/>
                <w:sz w:val="20"/>
                <w:szCs w:val="20"/>
              </w:rPr>
              <w:t>Một mặt tiền</w:t>
            </w:r>
          </w:p>
        </w:tc>
        <w:tc>
          <w:tcPr>
            <w:tcW w:w="1198" w:type="dxa"/>
            <w:noWrap/>
            <w:vAlign w:val="center"/>
          </w:tcPr>
          <w:p w14:paraId="7D51C014">
            <w:pPr>
              <w:jc w:val="center"/>
              <w:rPr>
                <w:color w:val="000000"/>
                <w:sz w:val="20"/>
                <w:szCs w:val="20"/>
              </w:rPr>
            </w:pPr>
            <w:r>
              <w:rPr>
                <w:color w:val="000000"/>
                <w:sz w:val="20"/>
                <w:szCs w:val="20"/>
              </w:rPr>
              <w:t>10.000.000</w:t>
            </w:r>
          </w:p>
        </w:tc>
        <w:tc>
          <w:tcPr>
            <w:tcW w:w="1236" w:type="dxa"/>
            <w:noWrap/>
            <w:vAlign w:val="center"/>
          </w:tcPr>
          <w:p w14:paraId="4442B3EE">
            <w:pPr>
              <w:jc w:val="center"/>
              <w:rPr>
                <w:color w:val="000000"/>
                <w:sz w:val="20"/>
                <w:szCs w:val="20"/>
              </w:rPr>
            </w:pPr>
          </w:p>
        </w:tc>
        <w:tc>
          <w:tcPr>
            <w:tcW w:w="1252" w:type="dxa"/>
            <w:noWrap/>
            <w:vAlign w:val="center"/>
          </w:tcPr>
          <w:p w14:paraId="4DFD8442">
            <w:pPr>
              <w:jc w:val="center"/>
              <w:rPr>
                <w:color w:val="000000"/>
                <w:sz w:val="20"/>
                <w:szCs w:val="20"/>
              </w:rPr>
            </w:pPr>
            <w:r>
              <w:rPr>
                <w:color w:val="000000"/>
                <w:sz w:val="20"/>
                <w:szCs w:val="20"/>
              </w:rPr>
              <w:t>10.000.000</w:t>
            </w:r>
          </w:p>
        </w:tc>
        <w:tc>
          <w:tcPr>
            <w:tcW w:w="1848" w:type="dxa"/>
            <w:noWrap/>
            <w:vAlign w:val="center"/>
          </w:tcPr>
          <w:p w14:paraId="11C7A6CE">
            <w:pPr>
              <w:jc w:val="center"/>
              <w:rPr>
                <w:color w:val="000000"/>
                <w:sz w:val="20"/>
                <w:szCs w:val="20"/>
              </w:rPr>
            </w:pPr>
            <w:r>
              <w:rPr>
                <w:color w:val="000000"/>
                <w:sz w:val="20"/>
                <w:szCs w:val="20"/>
              </w:rPr>
              <w:t>870.000.000</w:t>
            </w:r>
          </w:p>
        </w:tc>
      </w:tr>
      <w:tr w14:paraId="3D5F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766A90C">
            <w:pPr>
              <w:jc w:val="center"/>
              <w:rPr>
                <w:b/>
                <w:bCs/>
                <w:color w:val="000000"/>
                <w:sz w:val="20"/>
                <w:szCs w:val="20"/>
              </w:rPr>
            </w:pPr>
            <w:r>
              <w:rPr>
                <w:b/>
                <w:bCs/>
                <w:color w:val="000000"/>
                <w:sz w:val="20"/>
                <w:szCs w:val="20"/>
              </w:rPr>
              <w:t>LK51</w:t>
            </w:r>
          </w:p>
        </w:tc>
        <w:tc>
          <w:tcPr>
            <w:tcW w:w="1802" w:type="dxa"/>
            <w:vAlign w:val="center"/>
          </w:tcPr>
          <w:p w14:paraId="286FEEE1">
            <w:pPr>
              <w:jc w:val="center"/>
              <w:rPr>
                <w:color w:val="000000"/>
                <w:sz w:val="20"/>
                <w:szCs w:val="20"/>
              </w:rPr>
            </w:pPr>
            <w:r>
              <w:rPr>
                <w:color w:val="000000"/>
                <w:sz w:val="20"/>
                <w:szCs w:val="20"/>
              </w:rPr>
              <w:t>LK51:02</w:t>
            </w:r>
          </w:p>
        </w:tc>
        <w:tc>
          <w:tcPr>
            <w:tcW w:w="1033" w:type="dxa"/>
            <w:noWrap/>
            <w:vAlign w:val="center"/>
          </w:tcPr>
          <w:p w14:paraId="692BE615">
            <w:pPr>
              <w:jc w:val="center"/>
              <w:rPr>
                <w:color w:val="000000"/>
                <w:sz w:val="20"/>
                <w:szCs w:val="20"/>
              </w:rPr>
            </w:pPr>
            <w:r>
              <w:rPr>
                <w:color w:val="000000"/>
                <w:sz w:val="20"/>
                <w:szCs w:val="20"/>
              </w:rPr>
              <w:t>90,04</w:t>
            </w:r>
          </w:p>
        </w:tc>
        <w:tc>
          <w:tcPr>
            <w:tcW w:w="846" w:type="dxa"/>
            <w:noWrap/>
            <w:vAlign w:val="center"/>
          </w:tcPr>
          <w:p w14:paraId="5426A43F">
            <w:pPr>
              <w:jc w:val="center"/>
              <w:rPr>
                <w:color w:val="000000"/>
                <w:sz w:val="20"/>
                <w:szCs w:val="20"/>
              </w:rPr>
            </w:pPr>
            <w:r>
              <w:rPr>
                <w:color w:val="000000"/>
                <w:sz w:val="20"/>
                <w:szCs w:val="20"/>
              </w:rPr>
              <w:t>1</w:t>
            </w:r>
          </w:p>
        </w:tc>
        <w:tc>
          <w:tcPr>
            <w:tcW w:w="2578" w:type="dxa"/>
            <w:noWrap/>
            <w:vAlign w:val="center"/>
          </w:tcPr>
          <w:p w14:paraId="6977DEF3">
            <w:pPr>
              <w:jc w:val="center"/>
              <w:rPr>
                <w:color w:val="000000"/>
                <w:sz w:val="20"/>
                <w:szCs w:val="20"/>
              </w:rPr>
            </w:pPr>
            <w:r>
              <w:rPr>
                <w:color w:val="000000"/>
                <w:sz w:val="20"/>
                <w:szCs w:val="20"/>
              </w:rPr>
              <w:t>Mặt cắt 4-4</w:t>
            </w:r>
          </w:p>
        </w:tc>
        <w:tc>
          <w:tcPr>
            <w:tcW w:w="2393" w:type="dxa"/>
            <w:noWrap/>
            <w:vAlign w:val="center"/>
          </w:tcPr>
          <w:p w14:paraId="36B0F6DB">
            <w:pPr>
              <w:jc w:val="center"/>
              <w:rPr>
                <w:color w:val="000000"/>
                <w:sz w:val="20"/>
                <w:szCs w:val="20"/>
              </w:rPr>
            </w:pPr>
            <w:r>
              <w:rPr>
                <w:color w:val="000000"/>
                <w:sz w:val="20"/>
                <w:szCs w:val="20"/>
              </w:rPr>
              <w:t>Một mặt tiền</w:t>
            </w:r>
          </w:p>
        </w:tc>
        <w:tc>
          <w:tcPr>
            <w:tcW w:w="1198" w:type="dxa"/>
            <w:noWrap/>
            <w:vAlign w:val="center"/>
          </w:tcPr>
          <w:p w14:paraId="3DFAFC96">
            <w:pPr>
              <w:jc w:val="center"/>
              <w:rPr>
                <w:color w:val="000000"/>
                <w:sz w:val="20"/>
                <w:szCs w:val="20"/>
              </w:rPr>
            </w:pPr>
            <w:r>
              <w:rPr>
                <w:color w:val="000000"/>
                <w:sz w:val="20"/>
                <w:szCs w:val="20"/>
              </w:rPr>
              <w:t>10.000.000</w:t>
            </w:r>
          </w:p>
        </w:tc>
        <w:tc>
          <w:tcPr>
            <w:tcW w:w="1236" w:type="dxa"/>
            <w:noWrap/>
            <w:vAlign w:val="center"/>
          </w:tcPr>
          <w:p w14:paraId="60B8D5D7">
            <w:pPr>
              <w:jc w:val="center"/>
              <w:rPr>
                <w:color w:val="000000"/>
                <w:sz w:val="20"/>
                <w:szCs w:val="20"/>
              </w:rPr>
            </w:pPr>
          </w:p>
        </w:tc>
        <w:tc>
          <w:tcPr>
            <w:tcW w:w="1252" w:type="dxa"/>
            <w:noWrap/>
            <w:vAlign w:val="center"/>
          </w:tcPr>
          <w:p w14:paraId="2DF080A8">
            <w:pPr>
              <w:jc w:val="center"/>
              <w:rPr>
                <w:color w:val="000000"/>
                <w:sz w:val="20"/>
                <w:szCs w:val="20"/>
              </w:rPr>
            </w:pPr>
            <w:r>
              <w:rPr>
                <w:color w:val="000000"/>
                <w:sz w:val="20"/>
                <w:szCs w:val="20"/>
              </w:rPr>
              <w:t>10.000.000</w:t>
            </w:r>
          </w:p>
        </w:tc>
        <w:tc>
          <w:tcPr>
            <w:tcW w:w="1848" w:type="dxa"/>
            <w:noWrap/>
            <w:vAlign w:val="center"/>
          </w:tcPr>
          <w:p w14:paraId="7E8487EA">
            <w:pPr>
              <w:jc w:val="center"/>
              <w:rPr>
                <w:color w:val="000000"/>
                <w:sz w:val="20"/>
                <w:szCs w:val="20"/>
              </w:rPr>
            </w:pPr>
            <w:r>
              <w:rPr>
                <w:color w:val="000000"/>
                <w:sz w:val="20"/>
                <w:szCs w:val="20"/>
              </w:rPr>
              <w:t>900.400.000</w:t>
            </w:r>
          </w:p>
        </w:tc>
      </w:tr>
      <w:tr w14:paraId="6B5F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06AFDF70">
            <w:pPr>
              <w:jc w:val="center"/>
              <w:rPr>
                <w:b/>
                <w:bCs/>
                <w:color w:val="000000"/>
                <w:sz w:val="20"/>
                <w:szCs w:val="20"/>
              </w:rPr>
            </w:pPr>
            <w:r>
              <w:rPr>
                <w:b/>
                <w:bCs/>
                <w:color w:val="000000"/>
                <w:sz w:val="20"/>
                <w:szCs w:val="20"/>
              </w:rPr>
              <w:t>LK51</w:t>
            </w:r>
          </w:p>
        </w:tc>
        <w:tc>
          <w:tcPr>
            <w:tcW w:w="1802" w:type="dxa"/>
            <w:vAlign w:val="center"/>
          </w:tcPr>
          <w:p w14:paraId="241B78CC">
            <w:pPr>
              <w:jc w:val="center"/>
              <w:rPr>
                <w:color w:val="000000"/>
                <w:sz w:val="20"/>
                <w:szCs w:val="20"/>
              </w:rPr>
            </w:pPr>
            <w:r>
              <w:rPr>
                <w:color w:val="000000"/>
                <w:sz w:val="20"/>
                <w:szCs w:val="20"/>
              </w:rPr>
              <w:t>LK51:03</w:t>
            </w:r>
          </w:p>
        </w:tc>
        <w:tc>
          <w:tcPr>
            <w:tcW w:w="1033" w:type="dxa"/>
            <w:noWrap/>
            <w:vAlign w:val="center"/>
          </w:tcPr>
          <w:p w14:paraId="4CF5EAEC">
            <w:pPr>
              <w:jc w:val="center"/>
              <w:rPr>
                <w:color w:val="000000"/>
                <w:sz w:val="20"/>
                <w:szCs w:val="20"/>
              </w:rPr>
            </w:pPr>
            <w:r>
              <w:rPr>
                <w:color w:val="000000"/>
                <w:sz w:val="20"/>
                <w:szCs w:val="20"/>
              </w:rPr>
              <w:t>87,00</w:t>
            </w:r>
          </w:p>
        </w:tc>
        <w:tc>
          <w:tcPr>
            <w:tcW w:w="846" w:type="dxa"/>
            <w:noWrap/>
            <w:vAlign w:val="center"/>
          </w:tcPr>
          <w:p w14:paraId="11423E26">
            <w:pPr>
              <w:jc w:val="center"/>
              <w:rPr>
                <w:color w:val="000000"/>
                <w:sz w:val="20"/>
                <w:szCs w:val="20"/>
              </w:rPr>
            </w:pPr>
            <w:r>
              <w:rPr>
                <w:color w:val="000000"/>
                <w:sz w:val="20"/>
                <w:szCs w:val="20"/>
              </w:rPr>
              <w:t>1</w:t>
            </w:r>
          </w:p>
        </w:tc>
        <w:tc>
          <w:tcPr>
            <w:tcW w:w="2578" w:type="dxa"/>
            <w:noWrap/>
            <w:vAlign w:val="center"/>
          </w:tcPr>
          <w:p w14:paraId="3556E630">
            <w:pPr>
              <w:jc w:val="center"/>
              <w:rPr>
                <w:color w:val="000000"/>
                <w:sz w:val="20"/>
                <w:szCs w:val="20"/>
              </w:rPr>
            </w:pPr>
            <w:r>
              <w:rPr>
                <w:color w:val="000000"/>
                <w:sz w:val="20"/>
                <w:szCs w:val="20"/>
              </w:rPr>
              <w:t>Mặt cắt 4-4</w:t>
            </w:r>
          </w:p>
        </w:tc>
        <w:tc>
          <w:tcPr>
            <w:tcW w:w="2393" w:type="dxa"/>
            <w:noWrap/>
            <w:vAlign w:val="center"/>
          </w:tcPr>
          <w:p w14:paraId="61C9839F">
            <w:pPr>
              <w:jc w:val="center"/>
              <w:rPr>
                <w:color w:val="000000"/>
                <w:sz w:val="20"/>
                <w:szCs w:val="20"/>
              </w:rPr>
            </w:pPr>
            <w:r>
              <w:rPr>
                <w:color w:val="000000"/>
                <w:sz w:val="20"/>
                <w:szCs w:val="20"/>
              </w:rPr>
              <w:t>Một mặt tiền</w:t>
            </w:r>
          </w:p>
        </w:tc>
        <w:tc>
          <w:tcPr>
            <w:tcW w:w="1198" w:type="dxa"/>
            <w:noWrap/>
            <w:vAlign w:val="center"/>
          </w:tcPr>
          <w:p w14:paraId="0ACB4FD8">
            <w:pPr>
              <w:jc w:val="center"/>
              <w:rPr>
                <w:color w:val="000000"/>
                <w:sz w:val="20"/>
                <w:szCs w:val="20"/>
              </w:rPr>
            </w:pPr>
            <w:r>
              <w:rPr>
                <w:color w:val="000000"/>
                <w:sz w:val="20"/>
                <w:szCs w:val="20"/>
              </w:rPr>
              <w:t>10.000.000</w:t>
            </w:r>
          </w:p>
        </w:tc>
        <w:tc>
          <w:tcPr>
            <w:tcW w:w="1236" w:type="dxa"/>
            <w:noWrap/>
            <w:vAlign w:val="center"/>
          </w:tcPr>
          <w:p w14:paraId="34C2C638">
            <w:pPr>
              <w:jc w:val="center"/>
              <w:rPr>
                <w:color w:val="000000"/>
                <w:sz w:val="20"/>
                <w:szCs w:val="20"/>
              </w:rPr>
            </w:pPr>
          </w:p>
        </w:tc>
        <w:tc>
          <w:tcPr>
            <w:tcW w:w="1252" w:type="dxa"/>
            <w:noWrap/>
            <w:vAlign w:val="center"/>
          </w:tcPr>
          <w:p w14:paraId="2F3B2764">
            <w:pPr>
              <w:jc w:val="center"/>
              <w:rPr>
                <w:color w:val="000000"/>
                <w:sz w:val="20"/>
                <w:szCs w:val="20"/>
              </w:rPr>
            </w:pPr>
            <w:r>
              <w:rPr>
                <w:color w:val="000000"/>
                <w:sz w:val="20"/>
                <w:szCs w:val="20"/>
              </w:rPr>
              <w:t>10.000.000</w:t>
            </w:r>
          </w:p>
        </w:tc>
        <w:tc>
          <w:tcPr>
            <w:tcW w:w="1848" w:type="dxa"/>
            <w:noWrap/>
            <w:vAlign w:val="center"/>
          </w:tcPr>
          <w:p w14:paraId="0B62E107">
            <w:pPr>
              <w:jc w:val="center"/>
              <w:rPr>
                <w:color w:val="000000"/>
                <w:sz w:val="20"/>
                <w:szCs w:val="20"/>
              </w:rPr>
            </w:pPr>
            <w:r>
              <w:rPr>
                <w:color w:val="000000"/>
                <w:sz w:val="20"/>
                <w:szCs w:val="20"/>
              </w:rPr>
              <w:t>870.000.000</w:t>
            </w:r>
          </w:p>
        </w:tc>
      </w:tr>
      <w:tr w14:paraId="29A3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4882C38A">
            <w:pPr>
              <w:jc w:val="center"/>
              <w:rPr>
                <w:b/>
                <w:bCs/>
                <w:color w:val="000000"/>
                <w:sz w:val="20"/>
                <w:szCs w:val="20"/>
              </w:rPr>
            </w:pPr>
            <w:r>
              <w:rPr>
                <w:b/>
                <w:bCs/>
                <w:color w:val="000000"/>
                <w:sz w:val="20"/>
                <w:szCs w:val="20"/>
              </w:rPr>
              <w:t>LK51</w:t>
            </w:r>
          </w:p>
        </w:tc>
        <w:tc>
          <w:tcPr>
            <w:tcW w:w="1802" w:type="dxa"/>
            <w:vAlign w:val="center"/>
          </w:tcPr>
          <w:p w14:paraId="5B947274">
            <w:pPr>
              <w:jc w:val="center"/>
              <w:rPr>
                <w:color w:val="000000"/>
                <w:sz w:val="20"/>
                <w:szCs w:val="20"/>
              </w:rPr>
            </w:pPr>
            <w:r>
              <w:rPr>
                <w:color w:val="000000"/>
                <w:sz w:val="20"/>
                <w:szCs w:val="20"/>
              </w:rPr>
              <w:t>LK51:04</w:t>
            </w:r>
          </w:p>
        </w:tc>
        <w:tc>
          <w:tcPr>
            <w:tcW w:w="1033" w:type="dxa"/>
            <w:noWrap/>
            <w:vAlign w:val="center"/>
          </w:tcPr>
          <w:p w14:paraId="68F7A681">
            <w:pPr>
              <w:jc w:val="center"/>
              <w:rPr>
                <w:color w:val="000000"/>
                <w:sz w:val="20"/>
                <w:szCs w:val="20"/>
              </w:rPr>
            </w:pPr>
            <w:r>
              <w:rPr>
                <w:color w:val="000000"/>
                <w:sz w:val="20"/>
                <w:szCs w:val="20"/>
              </w:rPr>
              <w:t>93,45</w:t>
            </w:r>
          </w:p>
        </w:tc>
        <w:tc>
          <w:tcPr>
            <w:tcW w:w="846" w:type="dxa"/>
            <w:noWrap/>
            <w:vAlign w:val="center"/>
          </w:tcPr>
          <w:p w14:paraId="7FBB7EF2">
            <w:pPr>
              <w:jc w:val="center"/>
              <w:rPr>
                <w:color w:val="000000"/>
                <w:sz w:val="20"/>
                <w:szCs w:val="20"/>
              </w:rPr>
            </w:pPr>
            <w:r>
              <w:rPr>
                <w:color w:val="000000"/>
                <w:sz w:val="20"/>
                <w:szCs w:val="20"/>
              </w:rPr>
              <w:t>1</w:t>
            </w:r>
          </w:p>
        </w:tc>
        <w:tc>
          <w:tcPr>
            <w:tcW w:w="2578" w:type="dxa"/>
            <w:noWrap/>
            <w:vAlign w:val="center"/>
          </w:tcPr>
          <w:p w14:paraId="5702132E">
            <w:pPr>
              <w:jc w:val="center"/>
              <w:rPr>
                <w:color w:val="000000"/>
                <w:sz w:val="20"/>
                <w:szCs w:val="20"/>
              </w:rPr>
            </w:pPr>
            <w:r>
              <w:rPr>
                <w:color w:val="000000"/>
                <w:sz w:val="20"/>
                <w:szCs w:val="20"/>
              </w:rPr>
              <w:t>Mặt cắt 4-4</w:t>
            </w:r>
          </w:p>
        </w:tc>
        <w:tc>
          <w:tcPr>
            <w:tcW w:w="2393" w:type="dxa"/>
            <w:noWrap/>
            <w:vAlign w:val="center"/>
          </w:tcPr>
          <w:p w14:paraId="05A6C2ED">
            <w:pPr>
              <w:jc w:val="center"/>
              <w:rPr>
                <w:color w:val="000000"/>
                <w:sz w:val="20"/>
                <w:szCs w:val="20"/>
              </w:rPr>
            </w:pPr>
            <w:r>
              <w:rPr>
                <w:color w:val="000000"/>
                <w:sz w:val="20"/>
                <w:szCs w:val="20"/>
              </w:rPr>
              <w:t>Một mặt tiền</w:t>
            </w:r>
          </w:p>
        </w:tc>
        <w:tc>
          <w:tcPr>
            <w:tcW w:w="1198" w:type="dxa"/>
            <w:noWrap/>
            <w:vAlign w:val="center"/>
          </w:tcPr>
          <w:p w14:paraId="6990B132">
            <w:pPr>
              <w:jc w:val="center"/>
              <w:rPr>
                <w:color w:val="000000"/>
                <w:sz w:val="20"/>
                <w:szCs w:val="20"/>
              </w:rPr>
            </w:pPr>
            <w:r>
              <w:rPr>
                <w:color w:val="000000"/>
                <w:sz w:val="20"/>
                <w:szCs w:val="20"/>
              </w:rPr>
              <w:t>10.000.000</w:t>
            </w:r>
          </w:p>
        </w:tc>
        <w:tc>
          <w:tcPr>
            <w:tcW w:w="1236" w:type="dxa"/>
            <w:noWrap/>
            <w:vAlign w:val="center"/>
          </w:tcPr>
          <w:p w14:paraId="6EEAC6B8">
            <w:pPr>
              <w:jc w:val="center"/>
              <w:rPr>
                <w:color w:val="000000"/>
                <w:sz w:val="20"/>
                <w:szCs w:val="20"/>
              </w:rPr>
            </w:pPr>
          </w:p>
        </w:tc>
        <w:tc>
          <w:tcPr>
            <w:tcW w:w="1252" w:type="dxa"/>
            <w:noWrap/>
            <w:vAlign w:val="center"/>
          </w:tcPr>
          <w:p w14:paraId="3FD66ED7">
            <w:pPr>
              <w:jc w:val="center"/>
              <w:rPr>
                <w:color w:val="000000"/>
                <w:sz w:val="20"/>
                <w:szCs w:val="20"/>
              </w:rPr>
            </w:pPr>
            <w:r>
              <w:rPr>
                <w:color w:val="000000"/>
                <w:sz w:val="20"/>
                <w:szCs w:val="20"/>
              </w:rPr>
              <w:t>10.000.000</w:t>
            </w:r>
          </w:p>
        </w:tc>
        <w:tc>
          <w:tcPr>
            <w:tcW w:w="1848" w:type="dxa"/>
            <w:noWrap/>
            <w:vAlign w:val="center"/>
          </w:tcPr>
          <w:p w14:paraId="2066FA76">
            <w:pPr>
              <w:jc w:val="center"/>
              <w:rPr>
                <w:color w:val="000000"/>
                <w:sz w:val="20"/>
                <w:szCs w:val="20"/>
              </w:rPr>
            </w:pPr>
            <w:r>
              <w:rPr>
                <w:color w:val="000000"/>
                <w:sz w:val="20"/>
                <w:szCs w:val="20"/>
              </w:rPr>
              <w:t>934.500.000</w:t>
            </w:r>
          </w:p>
        </w:tc>
      </w:tr>
      <w:tr w14:paraId="3E93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75A2FF8F">
            <w:pPr>
              <w:jc w:val="center"/>
              <w:rPr>
                <w:b/>
                <w:bCs/>
                <w:color w:val="000000"/>
                <w:sz w:val="20"/>
                <w:szCs w:val="20"/>
              </w:rPr>
            </w:pPr>
            <w:r>
              <w:rPr>
                <w:b/>
                <w:bCs/>
                <w:color w:val="000000"/>
                <w:sz w:val="20"/>
                <w:szCs w:val="20"/>
              </w:rPr>
              <w:t>LK51</w:t>
            </w:r>
          </w:p>
        </w:tc>
        <w:tc>
          <w:tcPr>
            <w:tcW w:w="1802" w:type="dxa"/>
            <w:vAlign w:val="center"/>
          </w:tcPr>
          <w:p w14:paraId="09330ED5">
            <w:pPr>
              <w:jc w:val="center"/>
              <w:rPr>
                <w:color w:val="000000"/>
                <w:sz w:val="20"/>
                <w:szCs w:val="20"/>
              </w:rPr>
            </w:pPr>
            <w:r>
              <w:rPr>
                <w:color w:val="000000"/>
                <w:sz w:val="20"/>
                <w:szCs w:val="20"/>
              </w:rPr>
              <w:t>LK51:05</w:t>
            </w:r>
          </w:p>
        </w:tc>
        <w:tc>
          <w:tcPr>
            <w:tcW w:w="1033" w:type="dxa"/>
            <w:noWrap/>
            <w:vAlign w:val="center"/>
          </w:tcPr>
          <w:p w14:paraId="06CCBADA">
            <w:pPr>
              <w:jc w:val="center"/>
              <w:rPr>
                <w:color w:val="000000"/>
                <w:sz w:val="20"/>
                <w:szCs w:val="20"/>
              </w:rPr>
            </w:pPr>
            <w:r>
              <w:rPr>
                <w:color w:val="000000"/>
                <w:sz w:val="20"/>
                <w:szCs w:val="20"/>
              </w:rPr>
              <w:t>94,31</w:t>
            </w:r>
          </w:p>
        </w:tc>
        <w:tc>
          <w:tcPr>
            <w:tcW w:w="846" w:type="dxa"/>
            <w:noWrap/>
            <w:vAlign w:val="center"/>
          </w:tcPr>
          <w:p w14:paraId="7728FCE2">
            <w:pPr>
              <w:jc w:val="center"/>
              <w:rPr>
                <w:color w:val="000000"/>
                <w:sz w:val="20"/>
                <w:szCs w:val="20"/>
              </w:rPr>
            </w:pPr>
            <w:r>
              <w:rPr>
                <w:color w:val="000000"/>
                <w:sz w:val="20"/>
                <w:szCs w:val="20"/>
              </w:rPr>
              <w:t>1</w:t>
            </w:r>
          </w:p>
        </w:tc>
        <w:tc>
          <w:tcPr>
            <w:tcW w:w="2578" w:type="dxa"/>
            <w:noWrap/>
            <w:vAlign w:val="center"/>
          </w:tcPr>
          <w:p w14:paraId="7A7A5313">
            <w:pPr>
              <w:jc w:val="center"/>
              <w:rPr>
                <w:color w:val="000000"/>
                <w:sz w:val="20"/>
                <w:szCs w:val="20"/>
              </w:rPr>
            </w:pPr>
            <w:r>
              <w:rPr>
                <w:color w:val="000000"/>
                <w:sz w:val="20"/>
                <w:szCs w:val="20"/>
              </w:rPr>
              <w:t>Mặt cắt 4-4</w:t>
            </w:r>
          </w:p>
        </w:tc>
        <w:tc>
          <w:tcPr>
            <w:tcW w:w="2393" w:type="dxa"/>
            <w:noWrap/>
            <w:vAlign w:val="center"/>
          </w:tcPr>
          <w:p w14:paraId="41D1EC2D">
            <w:pPr>
              <w:jc w:val="center"/>
              <w:rPr>
                <w:color w:val="000000"/>
                <w:sz w:val="20"/>
                <w:szCs w:val="20"/>
              </w:rPr>
            </w:pPr>
            <w:r>
              <w:rPr>
                <w:color w:val="000000"/>
                <w:sz w:val="20"/>
                <w:szCs w:val="20"/>
              </w:rPr>
              <w:t>Một mặt tiền</w:t>
            </w:r>
          </w:p>
        </w:tc>
        <w:tc>
          <w:tcPr>
            <w:tcW w:w="1198" w:type="dxa"/>
            <w:noWrap/>
            <w:vAlign w:val="center"/>
          </w:tcPr>
          <w:p w14:paraId="2D5E3FF5">
            <w:pPr>
              <w:jc w:val="center"/>
              <w:rPr>
                <w:color w:val="000000"/>
                <w:sz w:val="20"/>
                <w:szCs w:val="20"/>
              </w:rPr>
            </w:pPr>
            <w:r>
              <w:rPr>
                <w:color w:val="000000"/>
                <w:sz w:val="20"/>
                <w:szCs w:val="20"/>
              </w:rPr>
              <w:t>10.000.000</w:t>
            </w:r>
          </w:p>
        </w:tc>
        <w:tc>
          <w:tcPr>
            <w:tcW w:w="1236" w:type="dxa"/>
            <w:noWrap/>
            <w:vAlign w:val="center"/>
          </w:tcPr>
          <w:p w14:paraId="13C86A08">
            <w:pPr>
              <w:jc w:val="center"/>
              <w:rPr>
                <w:color w:val="000000"/>
                <w:sz w:val="20"/>
                <w:szCs w:val="20"/>
              </w:rPr>
            </w:pPr>
          </w:p>
        </w:tc>
        <w:tc>
          <w:tcPr>
            <w:tcW w:w="1252" w:type="dxa"/>
            <w:noWrap/>
            <w:vAlign w:val="center"/>
          </w:tcPr>
          <w:p w14:paraId="0A986816">
            <w:pPr>
              <w:jc w:val="center"/>
              <w:rPr>
                <w:color w:val="000000"/>
                <w:sz w:val="20"/>
                <w:szCs w:val="20"/>
              </w:rPr>
            </w:pPr>
            <w:r>
              <w:rPr>
                <w:color w:val="000000"/>
                <w:sz w:val="20"/>
                <w:szCs w:val="20"/>
              </w:rPr>
              <w:t>10.000.000</w:t>
            </w:r>
          </w:p>
        </w:tc>
        <w:tc>
          <w:tcPr>
            <w:tcW w:w="1848" w:type="dxa"/>
            <w:noWrap/>
            <w:vAlign w:val="center"/>
          </w:tcPr>
          <w:p w14:paraId="13DDC9CB">
            <w:pPr>
              <w:jc w:val="center"/>
              <w:rPr>
                <w:color w:val="000000"/>
                <w:sz w:val="20"/>
                <w:szCs w:val="20"/>
              </w:rPr>
            </w:pPr>
            <w:r>
              <w:rPr>
                <w:color w:val="000000"/>
                <w:sz w:val="20"/>
                <w:szCs w:val="20"/>
              </w:rPr>
              <w:t>943.100.000</w:t>
            </w:r>
          </w:p>
        </w:tc>
      </w:tr>
      <w:tr w14:paraId="7891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304894B4">
            <w:pPr>
              <w:jc w:val="center"/>
              <w:rPr>
                <w:b/>
                <w:bCs/>
                <w:color w:val="000000"/>
                <w:sz w:val="20"/>
                <w:szCs w:val="20"/>
              </w:rPr>
            </w:pPr>
            <w:r>
              <w:rPr>
                <w:b/>
                <w:bCs/>
                <w:color w:val="000000"/>
                <w:sz w:val="20"/>
                <w:szCs w:val="20"/>
              </w:rPr>
              <w:t>LK51</w:t>
            </w:r>
          </w:p>
        </w:tc>
        <w:tc>
          <w:tcPr>
            <w:tcW w:w="1802" w:type="dxa"/>
            <w:vAlign w:val="center"/>
          </w:tcPr>
          <w:p w14:paraId="6B7D973A">
            <w:pPr>
              <w:jc w:val="center"/>
              <w:rPr>
                <w:color w:val="000000"/>
                <w:sz w:val="20"/>
                <w:szCs w:val="20"/>
              </w:rPr>
            </w:pPr>
            <w:r>
              <w:rPr>
                <w:color w:val="000000"/>
                <w:sz w:val="20"/>
                <w:szCs w:val="20"/>
              </w:rPr>
              <w:t>LK51:06</w:t>
            </w:r>
          </w:p>
        </w:tc>
        <w:tc>
          <w:tcPr>
            <w:tcW w:w="1033" w:type="dxa"/>
            <w:noWrap/>
            <w:vAlign w:val="center"/>
          </w:tcPr>
          <w:p w14:paraId="4C1F841B">
            <w:pPr>
              <w:jc w:val="center"/>
              <w:rPr>
                <w:color w:val="000000"/>
                <w:sz w:val="20"/>
                <w:szCs w:val="20"/>
              </w:rPr>
            </w:pPr>
            <w:r>
              <w:rPr>
                <w:color w:val="000000"/>
                <w:sz w:val="20"/>
                <w:szCs w:val="20"/>
              </w:rPr>
              <w:t>94,31</w:t>
            </w:r>
          </w:p>
        </w:tc>
        <w:tc>
          <w:tcPr>
            <w:tcW w:w="846" w:type="dxa"/>
            <w:noWrap/>
            <w:vAlign w:val="center"/>
          </w:tcPr>
          <w:p w14:paraId="701BD958">
            <w:pPr>
              <w:jc w:val="center"/>
              <w:rPr>
                <w:color w:val="000000"/>
                <w:sz w:val="20"/>
                <w:szCs w:val="20"/>
              </w:rPr>
            </w:pPr>
            <w:r>
              <w:rPr>
                <w:color w:val="000000"/>
                <w:sz w:val="20"/>
                <w:szCs w:val="20"/>
              </w:rPr>
              <w:t>1</w:t>
            </w:r>
          </w:p>
        </w:tc>
        <w:tc>
          <w:tcPr>
            <w:tcW w:w="2578" w:type="dxa"/>
            <w:noWrap/>
            <w:vAlign w:val="center"/>
          </w:tcPr>
          <w:p w14:paraId="776E077E">
            <w:pPr>
              <w:jc w:val="center"/>
              <w:rPr>
                <w:color w:val="000000"/>
                <w:sz w:val="20"/>
                <w:szCs w:val="20"/>
              </w:rPr>
            </w:pPr>
            <w:r>
              <w:rPr>
                <w:color w:val="000000"/>
                <w:sz w:val="20"/>
                <w:szCs w:val="20"/>
              </w:rPr>
              <w:t>Mặt cắt 4-4</w:t>
            </w:r>
          </w:p>
        </w:tc>
        <w:tc>
          <w:tcPr>
            <w:tcW w:w="2393" w:type="dxa"/>
            <w:noWrap/>
            <w:vAlign w:val="center"/>
          </w:tcPr>
          <w:p w14:paraId="532256CC">
            <w:pPr>
              <w:jc w:val="center"/>
              <w:rPr>
                <w:color w:val="000000"/>
                <w:sz w:val="20"/>
                <w:szCs w:val="20"/>
              </w:rPr>
            </w:pPr>
            <w:r>
              <w:rPr>
                <w:color w:val="000000"/>
                <w:sz w:val="20"/>
                <w:szCs w:val="20"/>
              </w:rPr>
              <w:t>Một mặt tiền</w:t>
            </w:r>
          </w:p>
        </w:tc>
        <w:tc>
          <w:tcPr>
            <w:tcW w:w="1198" w:type="dxa"/>
            <w:noWrap/>
            <w:vAlign w:val="center"/>
          </w:tcPr>
          <w:p w14:paraId="6768AAD8">
            <w:pPr>
              <w:jc w:val="center"/>
              <w:rPr>
                <w:color w:val="000000"/>
                <w:sz w:val="20"/>
                <w:szCs w:val="20"/>
              </w:rPr>
            </w:pPr>
            <w:r>
              <w:rPr>
                <w:color w:val="000000"/>
                <w:sz w:val="20"/>
                <w:szCs w:val="20"/>
              </w:rPr>
              <w:t>10.000.000</w:t>
            </w:r>
          </w:p>
        </w:tc>
        <w:tc>
          <w:tcPr>
            <w:tcW w:w="1236" w:type="dxa"/>
            <w:noWrap/>
            <w:vAlign w:val="center"/>
          </w:tcPr>
          <w:p w14:paraId="356F1F66">
            <w:pPr>
              <w:jc w:val="center"/>
              <w:rPr>
                <w:color w:val="000000"/>
                <w:sz w:val="20"/>
                <w:szCs w:val="20"/>
              </w:rPr>
            </w:pPr>
          </w:p>
        </w:tc>
        <w:tc>
          <w:tcPr>
            <w:tcW w:w="1252" w:type="dxa"/>
            <w:noWrap/>
            <w:vAlign w:val="center"/>
          </w:tcPr>
          <w:p w14:paraId="03145A5C">
            <w:pPr>
              <w:jc w:val="center"/>
              <w:rPr>
                <w:color w:val="000000"/>
                <w:sz w:val="20"/>
                <w:szCs w:val="20"/>
              </w:rPr>
            </w:pPr>
            <w:r>
              <w:rPr>
                <w:color w:val="000000"/>
                <w:sz w:val="20"/>
                <w:szCs w:val="20"/>
              </w:rPr>
              <w:t>10.000.000</w:t>
            </w:r>
          </w:p>
        </w:tc>
        <w:tc>
          <w:tcPr>
            <w:tcW w:w="1848" w:type="dxa"/>
            <w:noWrap/>
            <w:vAlign w:val="center"/>
          </w:tcPr>
          <w:p w14:paraId="3EDB27C8">
            <w:pPr>
              <w:jc w:val="center"/>
              <w:rPr>
                <w:color w:val="000000"/>
                <w:sz w:val="20"/>
                <w:szCs w:val="20"/>
              </w:rPr>
            </w:pPr>
            <w:r>
              <w:rPr>
                <w:color w:val="000000"/>
                <w:sz w:val="20"/>
                <w:szCs w:val="20"/>
              </w:rPr>
              <w:t>943.100.000</w:t>
            </w:r>
          </w:p>
        </w:tc>
      </w:tr>
      <w:tr w14:paraId="1592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1104F8DA">
            <w:pPr>
              <w:jc w:val="center"/>
              <w:rPr>
                <w:b/>
                <w:bCs/>
                <w:color w:val="000000"/>
                <w:sz w:val="20"/>
                <w:szCs w:val="20"/>
              </w:rPr>
            </w:pPr>
            <w:r>
              <w:rPr>
                <w:b/>
                <w:bCs/>
                <w:color w:val="000000"/>
                <w:sz w:val="20"/>
                <w:szCs w:val="20"/>
              </w:rPr>
              <w:t>LK51</w:t>
            </w:r>
          </w:p>
        </w:tc>
        <w:tc>
          <w:tcPr>
            <w:tcW w:w="1802" w:type="dxa"/>
            <w:vAlign w:val="center"/>
          </w:tcPr>
          <w:p w14:paraId="06CB8B35">
            <w:pPr>
              <w:jc w:val="center"/>
              <w:rPr>
                <w:color w:val="000000"/>
                <w:sz w:val="20"/>
                <w:szCs w:val="20"/>
              </w:rPr>
            </w:pPr>
            <w:r>
              <w:rPr>
                <w:color w:val="000000"/>
                <w:sz w:val="20"/>
                <w:szCs w:val="20"/>
              </w:rPr>
              <w:t>LK51:07</w:t>
            </w:r>
          </w:p>
        </w:tc>
        <w:tc>
          <w:tcPr>
            <w:tcW w:w="1033" w:type="dxa"/>
            <w:noWrap/>
            <w:vAlign w:val="center"/>
          </w:tcPr>
          <w:p w14:paraId="49A812B8">
            <w:pPr>
              <w:jc w:val="center"/>
              <w:rPr>
                <w:color w:val="000000"/>
                <w:sz w:val="20"/>
                <w:szCs w:val="20"/>
              </w:rPr>
            </w:pPr>
            <w:r>
              <w:rPr>
                <w:color w:val="000000"/>
                <w:sz w:val="20"/>
                <w:szCs w:val="20"/>
              </w:rPr>
              <w:t>94,31</w:t>
            </w:r>
          </w:p>
        </w:tc>
        <w:tc>
          <w:tcPr>
            <w:tcW w:w="846" w:type="dxa"/>
            <w:noWrap/>
            <w:vAlign w:val="center"/>
          </w:tcPr>
          <w:p w14:paraId="4FE30BF6">
            <w:pPr>
              <w:jc w:val="center"/>
              <w:rPr>
                <w:color w:val="000000"/>
                <w:sz w:val="20"/>
                <w:szCs w:val="20"/>
              </w:rPr>
            </w:pPr>
            <w:r>
              <w:rPr>
                <w:color w:val="000000"/>
                <w:sz w:val="20"/>
                <w:szCs w:val="20"/>
              </w:rPr>
              <w:t>1</w:t>
            </w:r>
          </w:p>
        </w:tc>
        <w:tc>
          <w:tcPr>
            <w:tcW w:w="2578" w:type="dxa"/>
            <w:noWrap/>
            <w:vAlign w:val="center"/>
          </w:tcPr>
          <w:p w14:paraId="544EC484">
            <w:pPr>
              <w:jc w:val="center"/>
              <w:rPr>
                <w:color w:val="000000"/>
                <w:sz w:val="20"/>
                <w:szCs w:val="20"/>
              </w:rPr>
            </w:pPr>
            <w:r>
              <w:rPr>
                <w:color w:val="000000"/>
                <w:sz w:val="20"/>
                <w:szCs w:val="20"/>
              </w:rPr>
              <w:t>Mặt cắt 4-4</w:t>
            </w:r>
          </w:p>
        </w:tc>
        <w:tc>
          <w:tcPr>
            <w:tcW w:w="2393" w:type="dxa"/>
            <w:noWrap/>
            <w:vAlign w:val="center"/>
          </w:tcPr>
          <w:p w14:paraId="6CD5E839">
            <w:pPr>
              <w:jc w:val="center"/>
              <w:rPr>
                <w:color w:val="000000"/>
                <w:sz w:val="20"/>
                <w:szCs w:val="20"/>
              </w:rPr>
            </w:pPr>
            <w:r>
              <w:rPr>
                <w:color w:val="000000"/>
                <w:sz w:val="20"/>
                <w:szCs w:val="20"/>
              </w:rPr>
              <w:t>Một mặt tiền</w:t>
            </w:r>
          </w:p>
        </w:tc>
        <w:tc>
          <w:tcPr>
            <w:tcW w:w="1198" w:type="dxa"/>
            <w:noWrap/>
            <w:vAlign w:val="center"/>
          </w:tcPr>
          <w:p w14:paraId="653ABE9A">
            <w:pPr>
              <w:jc w:val="center"/>
              <w:rPr>
                <w:color w:val="000000"/>
                <w:sz w:val="20"/>
                <w:szCs w:val="20"/>
              </w:rPr>
            </w:pPr>
            <w:r>
              <w:rPr>
                <w:color w:val="000000"/>
                <w:sz w:val="20"/>
                <w:szCs w:val="20"/>
              </w:rPr>
              <w:t>10.000.000</w:t>
            </w:r>
          </w:p>
        </w:tc>
        <w:tc>
          <w:tcPr>
            <w:tcW w:w="1236" w:type="dxa"/>
            <w:noWrap/>
            <w:vAlign w:val="center"/>
          </w:tcPr>
          <w:p w14:paraId="19AF095E">
            <w:pPr>
              <w:jc w:val="center"/>
              <w:rPr>
                <w:color w:val="000000"/>
                <w:sz w:val="20"/>
                <w:szCs w:val="20"/>
              </w:rPr>
            </w:pPr>
          </w:p>
        </w:tc>
        <w:tc>
          <w:tcPr>
            <w:tcW w:w="1252" w:type="dxa"/>
            <w:noWrap/>
            <w:vAlign w:val="center"/>
          </w:tcPr>
          <w:p w14:paraId="6B071271">
            <w:pPr>
              <w:jc w:val="center"/>
              <w:rPr>
                <w:color w:val="000000"/>
                <w:sz w:val="20"/>
                <w:szCs w:val="20"/>
              </w:rPr>
            </w:pPr>
            <w:r>
              <w:rPr>
                <w:color w:val="000000"/>
                <w:sz w:val="20"/>
                <w:szCs w:val="20"/>
              </w:rPr>
              <w:t>10.000.000</w:t>
            </w:r>
          </w:p>
        </w:tc>
        <w:tc>
          <w:tcPr>
            <w:tcW w:w="1848" w:type="dxa"/>
            <w:noWrap/>
            <w:vAlign w:val="center"/>
          </w:tcPr>
          <w:p w14:paraId="095B7B34">
            <w:pPr>
              <w:jc w:val="center"/>
              <w:rPr>
                <w:color w:val="000000"/>
                <w:sz w:val="20"/>
                <w:szCs w:val="20"/>
              </w:rPr>
            </w:pPr>
            <w:r>
              <w:rPr>
                <w:color w:val="000000"/>
                <w:sz w:val="20"/>
                <w:szCs w:val="20"/>
              </w:rPr>
              <w:t>943.100.000</w:t>
            </w:r>
          </w:p>
        </w:tc>
      </w:tr>
      <w:tr w14:paraId="60D6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6D45EF0">
            <w:pPr>
              <w:jc w:val="center"/>
              <w:rPr>
                <w:b/>
                <w:bCs/>
                <w:color w:val="000000"/>
                <w:sz w:val="20"/>
                <w:szCs w:val="20"/>
              </w:rPr>
            </w:pPr>
            <w:r>
              <w:rPr>
                <w:b/>
                <w:bCs/>
                <w:color w:val="000000"/>
                <w:sz w:val="20"/>
                <w:szCs w:val="20"/>
              </w:rPr>
              <w:t>LK49</w:t>
            </w:r>
          </w:p>
        </w:tc>
        <w:tc>
          <w:tcPr>
            <w:tcW w:w="1802" w:type="dxa"/>
            <w:vAlign w:val="center"/>
          </w:tcPr>
          <w:p w14:paraId="3C4AF108">
            <w:pPr>
              <w:jc w:val="center"/>
              <w:rPr>
                <w:color w:val="000000"/>
                <w:sz w:val="20"/>
                <w:szCs w:val="20"/>
              </w:rPr>
            </w:pPr>
            <w:r>
              <w:rPr>
                <w:color w:val="000000"/>
                <w:sz w:val="20"/>
                <w:szCs w:val="20"/>
              </w:rPr>
              <w:t>LK49:01</w:t>
            </w:r>
          </w:p>
        </w:tc>
        <w:tc>
          <w:tcPr>
            <w:tcW w:w="1033" w:type="dxa"/>
            <w:noWrap/>
            <w:vAlign w:val="center"/>
          </w:tcPr>
          <w:p w14:paraId="220DA390">
            <w:pPr>
              <w:jc w:val="center"/>
              <w:rPr>
                <w:color w:val="000000"/>
                <w:sz w:val="20"/>
                <w:szCs w:val="20"/>
              </w:rPr>
            </w:pPr>
            <w:r>
              <w:rPr>
                <w:color w:val="000000"/>
                <w:sz w:val="20"/>
                <w:szCs w:val="20"/>
              </w:rPr>
              <w:t>136,93</w:t>
            </w:r>
          </w:p>
        </w:tc>
        <w:tc>
          <w:tcPr>
            <w:tcW w:w="846" w:type="dxa"/>
            <w:noWrap/>
            <w:vAlign w:val="center"/>
          </w:tcPr>
          <w:p w14:paraId="0048951F">
            <w:pPr>
              <w:jc w:val="center"/>
              <w:rPr>
                <w:color w:val="000000"/>
                <w:sz w:val="20"/>
                <w:szCs w:val="20"/>
              </w:rPr>
            </w:pPr>
            <w:r>
              <w:rPr>
                <w:color w:val="000000"/>
                <w:sz w:val="20"/>
                <w:szCs w:val="20"/>
              </w:rPr>
              <w:t>1</w:t>
            </w:r>
          </w:p>
        </w:tc>
        <w:tc>
          <w:tcPr>
            <w:tcW w:w="2578" w:type="dxa"/>
            <w:noWrap/>
            <w:vAlign w:val="center"/>
          </w:tcPr>
          <w:p w14:paraId="7B8D7683">
            <w:pPr>
              <w:jc w:val="center"/>
              <w:rPr>
                <w:color w:val="000000"/>
                <w:sz w:val="20"/>
                <w:szCs w:val="20"/>
              </w:rPr>
            </w:pPr>
            <w:r>
              <w:rPr>
                <w:color w:val="000000"/>
                <w:sz w:val="20"/>
                <w:szCs w:val="20"/>
              </w:rPr>
              <w:t>Mặt cắt 4-4</w:t>
            </w:r>
          </w:p>
        </w:tc>
        <w:tc>
          <w:tcPr>
            <w:tcW w:w="2393" w:type="dxa"/>
            <w:noWrap/>
            <w:vAlign w:val="center"/>
          </w:tcPr>
          <w:p w14:paraId="7D087EE4">
            <w:pPr>
              <w:jc w:val="center"/>
              <w:rPr>
                <w:color w:val="000000"/>
                <w:sz w:val="20"/>
                <w:szCs w:val="20"/>
              </w:rPr>
            </w:pPr>
            <w:r>
              <w:rPr>
                <w:color w:val="000000"/>
                <w:sz w:val="20"/>
                <w:szCs w:val="20"/>
              </w:rPr>
              <w:t>Hai mặt tiền</w:t>
            </w:r>
          </w:p>
        </w:tc>
        <w:tc>
          <w:tcPr>
            <w:tcW w:w="1198" w:type="dxa"/>
            <w:noWrap/>
            <w:vAlign w:val="center"/>
          </w:tcPr>
          <w:p w14:paraId="49F8F06E">
            <w:pPr>
              <w:jc w:val="center"/>
              <w:rPr>
                <w:color w:val="000000"/>
                <w:sz w:val="20"/>
                <w:szCs w:val="20"/>
              </w:rPr>
            </w:pPr>
            <w:r>
              <w:rPr>
                <w:color w:val="000000"/>
                <w:sz w:val="20"/>
                <w:szCs w:val="20"/>
              </w:rPr>
              <w:t>11.500.000</w:t>
            </w:r>
          </w:p>
        </w:tc>
        <w:tc>
          <w:tcPr>
            <w:tcW w:w="1236" w:type="dxa"/>
            <w:noWrap/>
            <w:vAlign w:val="center"/>
          </w:tcPr>
          <w:p w14:paraId="6E2C92AF">
            <w:pPr>
              <w:jc w:val="center"/>
              <w:rPr>
                <w:color w:val="000000"/>
                <w:sz w:val="20"/>
                <w:szCs w:val="20"/>
              </w:rPr>
            </w:pPr>
          </w:p>
        </w:tc>
        <w:tc>
          <w:tcPr>
            <w:tcW w:w="1252" w:type="dxa"/>
            <w:noWrap/>
            <w:vAlign w:val="center"/>
          </w:tcPr>
          <w:p w14:paraId="3F0444E7">
            <w:pPr>
              <w:jc w:val="center"/>
              <w:rPr>
                <w:color w:val="000000"/>
                <w:sz w:val="20"/>
                <w:szCs w:val="20"/>
              </w:rPr>
            </w:pPr>
            <w:r>
              <w:rPr>
                <w:color w:val="000000"/>
                <w:sz w:val="20"/>
                <w:szCs w:val="20"/>
              </w:rPr>
              <w:t>11.500.000</w:t>
            </w:r>
          </w:p>
        </w:tc>
        <w:tc>
          <w:tcPr>
            <w:tcW w:w="1848" w:type="dxa"/>
            <w:noWrap/>
            <w:vAlign w:val="center"/>
          </w:tcPr>
          <w:p w14:paraId="21D4192D">
            <w:pPr>
              <w:jc w:val="center"/>
              <w:rPr>
                <w:color w:val="000000"/>
                <w:sz w:val="20"/>
                <w:szCs w:val="20"/>
              </w:rPr>
            </w:pPr>
            <w:r>
              <w:rPr>
                <w:color w:val="000000"/>
                <w:sz w:val="20"/>
                <w:szCs w:val="20"/>
              </w:rPr>
              <w:t>1.574.695.000</w:t>
            </w:r>
          </w:p>
        </w:tc>
      </w:tr>
      <w:tr w14:paraId="4ECC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noWrap/>
            <w:vAlign w:val="center"/>
          </w:tcPr>
          <w:p w14:paraId="25408D50">
            <w:pPr>
              <w:jc w:val="center"/>
              <w:rPr>
                <w:b/>
                <w:bCs/>
                <w:color w:val="000000"/>
                <w:sz w:val="20"/>
                <w:szCs w:val="20"/>
              </w:rPr>
            </w:pPr>
            <w:r>
              <w:rPr>
                <w:b/>
                <w:bCs/>
                <w:color w:val="000000"/>
                <w:sz w:val="20"/>
                <w:szCs w:val="20"/>
              </w:rPr>
              <w:t>LK51</w:t>
            </w:r>
          </w:p>
        </w:tc>
        <w:tc>
          <w:tcPr>
            <w:tcW w:w="1802" w:type="dxa"/>
            <w:vAlign w:val="center"/>
          </w:tcPr>
          <w:p w14:paraId="3879F41B">
            <w:pPr>
              <w:jc w:val="center"/>
              <w:rPr>
                <w:color w:val="000000"/>
                <w:sz w:val="20"/>
                <w:szCs w:val="20"/>
              </w:rPr>
            </w:pPr>
            <w:r>
              <w:rPr>
                <w:color w:val="000000"/>
                <w:sz w:val="20"/>
                <w:szCs w:val="20"/>
              </w:rPr>
              <w:t>LK51:08</w:t>
            </w:r>
          </w:p>
        </w:tc>
        <w:tc>
          <w:tcPr>
            <w:tcW w:w="1033" w:type="dxa"/>
            <w:noWrap/>
            <w:vAlign w:val="center"/>
          </w:tcPr>
          <w:p w14:paraId="39967292">
            <w:pPr>
              <w:jc w:val="center"/>
              <w:rPr>
                <w:color w:val="000000"/>
                <w:sz w:val="20"/>
                <w:szCs w:val="20"/>
              </w:rPr>
            </w:pPr>
            <w:r>
              <w:rPr>
                <w:color w:val="000000"/>
                <w:sz w:val="20"/>
                <w:szCs w:val="20"/>
              </w:rPr>
              <w:t>159,54</w:t>
            </w:r>
          </w:p>
        </w:tc>
        <w:tc>
          <w:tcPr>
            <w:tcW w:w="846" w:type="dxa"/>
            <w:noWrap/>
            <w:vAlign w:val="center"/>
          </w:tcPr>
          <w:p w14:paraId="5BB61ECF">
            <w:pPr>
              <w:jc w:val="center"/>
              <w:rPr>
                <w:color w:val="000000"/>
                <w:sz w:val="20"/>
                <w:szCs w:val="20"/>
              </w:rPr>
            </w:pPr>
            <w:r>
              <w:rPr>
                <w:color w:val="000000"/>
                <w:sz w:val="20"/>
                <w:szCs w:val="20"/>
              </w:rPr>
              <w:t>1</w:t>
            </w:r>
          </w:p>
        </w:tc>
        <w:tc>
          <w:tcPr>
            <w:tcW w:w="2578" w:type="dxa"/>
            <w:noWrap/>
            <w:vAlign w:val="center"/>
          </w:tcPr>
          <w:p w14:paraId="74C8C7E2">
            <w:pPr>
              <w:jc w:val="center"/>
              <w:rPr>
                <w:color w:val="000000"/>
                <w:sz w:val="20"/>
                <w:szCs w:val="20"/>
              </w:rPr>
            </w:pPr>
            <w:r>
              <w:rPr>
                <w:color w:val="000000"/>
                <w:sz w:val="20"/>
                <w:szCs w:val="20"/>
              </w:rPr>
              <w:t>Mặt cắt 4-4</w:t>
            </w:r>
          </w:p>
        </w:tc>
        <w:tc>
          <w:tcPr>
            <w:tcW w:w="2393" w:type="dxa"/>
            <w:noWrap/>
            <w:vAlign w:val="center"/>
          </w:tcPr>
          <w:p w14:paraId="55A91D64">
            <w:pPr>
              <w:jc w:val="center"/>
              <w:rPr>
                <w:color w:val="000000"/>
                <w:sz w:val="20"/>
                <w:szCs w:val="20"/>
              </w:rPr>
            </w:pPr>
            <w:r>
              <w:rPr>
                <w:color w:val="000000"/>
                <w:sz w:val="20"/>
                <w:szCs w:val="20"/>
              </w:rPr>
              <w:t>Hai mặt tiền</w:t>
            </w:r>
          </w:p>
        </w:tc>
        <w:tc>
          <w:tcPr>
            <w:tcW w:w="1198" w:type="dxa"/>
            <w:noWrap/>
            <w:vAlign w:val="center"/>
          </w:tcPr>
          <w:p w14:paraId="53D95B92">
            <w:pPr>
              <w:jc w:val="center"/>
              <w:rPr>
                <w:color w:val="000000"/>
                <w:sz w:val="20"/>
                <w:szCs w:val="20"/>
              </w:rPr>
            </w:pPr>
            <w:r>
              <w:rPr>
                <w:color w:val="000000"/>
                <w:sz w:val="20"/>
                <w:szCs w:val="20"/>
              </w:rPr>
              <w:t>11.500.000</w:t>
            </w:r>
          </w:p>
        </w:tc>
        <w:tc>
          <w:tcPr>
            <w:tcW w:w="1236" w:type="dxa"/>
            <w:noWrap/>
            <w:vAlign w:val="center"/>
          </w:tcPr>
          <w:p w14:paraId="549ACC80">
            <w:pPr>
              <w:jc w:val="center"/>
              <w:rPr>
                <w:color w:val="000000"/>
                <w:sz w:val="20"/>
                <w:szCs w:val="20"/>
              </w:rPr>
            </w:pPr>
          </w:p>
        </w:tc>
        <w:tc>
          <w:tcPr>
            <w:tcW w:w="1252" w:type="dxa"/>
            <w:noWrap/>
            <w:vAlign w:val="center"/>
          </w:tcPr>
          <w:p w14:paraId="51A429E2">
            <w:pPr>
              <w:jc w:val="center"/>
              <w:rPr>
                <w:color w:val="000000"/>
                <w:sz w:val="20"/>
                <w:szCs w:val="20"/>
              </w:rPr>
            </w:pPr>
            <w:r>
              <w:rPr>
                <w:color w:val="000000"/>
                <w:sz w:val="20"/>
                <w:szCs w:val="20"/>
              </w:rPr>
              <w:t>11.500.000</w:t>
            </w:r>
          </w:p>
        </w:tc>
        <w:tc>
          <w:tcPr>
            <w:tcW w:w="1848" w:type="dxa"/>
            <w:noWrap/>
            <w:vAlign w:val="center"/>
          </w:tcPr>
          <w:p w14:paraId="21E7A5B6">
            <w:pPr>
              <w:jc w:val="center"/>
              <w:rPr>
                <w:color w:val="000000"/>
                <w:sz w:val="20"/>
                <w:szCs w:val="20"/>
              </w:rPr>
            </w:pPr>
            <w:r>
              <w:rPr>
                <w:color w:val="000000"/>
                <w:sz w:val="20"/>
                <w:szCs w:val="20"/>
              </w:rPr>
              <w:t>1.834.710.000</w:t>
            </w:r>
          </w:p>
        </w:tc>
      </w:tr>
    </w:tbl>
    <w:p w14:paraId="25CA51E2">
      <w:pPr>
        <w:spacing w:before="120" w:after="120"/>
        <w:jc w:val="both"/>
        <w:rPr>
          <w:b/>
          <w:color w:val="000000" w:themeColor="text1"/>
          <w:sz w:val="26"/>
          <w:szCs w:val="26"/>
          <w14:textFill>
            <w14:solidFill>
              <w14:schemeClr w14:val="tx1"/>
            </w14:solidFill>
          </w14:textFill>
        </w:rPr>
      </w:pPr>
    </w:p>
    <w:p w14:paraId="4B47421C">
      <w:pPr>
        <w:spacing w:before="120" w:after="120"/>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=&gt;</w:t>
      </w:r>
      <w:r>
        <w:rPr>
          <w:b/>
          <w:color w:val="000000" w:themeColor="text1"/>
          <w:sz w:val="26"/>
          <w:szCs w:val="26"/>
          <w:lang w:val="vi-VN"/>
          <w14:textFill>
            <w14:solidFill>
              <w14:schemeClr w14:val="tx1"/>
            </w14:solidFill>
          </w14:textFill>
        </w:rPr>
        <w:t xml:space="preserve"> Tổng doanh thu chuyển nhượng đất ở bao gồm nhà xây thô</w:t>
      </w:r>
      <w:r>
        <w:rPr>
          <w:b/>
          <w:color w:val="000000" w:themeColor="text1"/>
          <w:sz w:val="26"/>
          <w:szCs w:val="26"/>
          <w14:textFill>
            <w14:solidFill>
              <w14:schemeClr w14:val="tx1"/>
            </w14:solidFill>
          </w14:textFill>
        </w:rPr>
        <w:t xml:space="preserve"> của đất nhà ở biệt thự và đất nhà ở liền kề</w:t>
      </w:r>
      <w:r>
        <w:rPr>
          <w:b/>
          <w:color w:val="000000" w:themeColor="text1"/>
          <w:sz w:val="26"/>
          <w:szCs w:val="26"/>
          <w:lang w:val="vi-VN"/>
          <w14:textFill>
            <w14:solidFill>
              <w14:schemeClr w14:val="tx1"/>
            </w14:solidFill>
          </w14:textFill>
        </w:rPr>
        <w:t xml:space="preserve"> tại thời điểm định giá theo các vị trí, mặt cắt đường:</w:t>
      </w:r>
      <w:r>
        <w:rPr>
          <w:b/>
          <w:bCs/>
          <w:color w:val="000000" w:themeColor="text1"/>
          <w:sz w:val="26"/>
          <w:szCs w:val="26"/>
          <w14:textFill>
            <w14:solidFill>
              <w14:schemeClr w14:val="tx1"/>
            </w14:solidFill>
          </w14:textFill>
        </w:rPr>
        <w:t xml:space="preserve"> </w:t>
      </w:r>
      <w:r>
        <w:rPr>
          <w:b/>
          <w:bCs/>
          <w:color w:val="000000"/>
          <w:sz w:val="26"/>
          <w:szCs w:val="26"/>
        </w:rPr>
        <w:t xml:space="preserve">789.635.619.022 </w:t>
      </w:r>
      <w:r>
        <w:rPr>
          <w:b/>
          <w:color w:val="000000" w:themeColor="text1"/>
          <w:sz w:val="26"/>
          <w:szCs w:val="26"/>
          <w:lang w:val="vi-VN"/>
          <w14:textFill>
            <w14:solidFill>
              <w14:schemeClr w14:val="tx1"/>
            </w14:solidFill>
          </w14:textFill>
        </w:rPr>
        <w:t>đồng</w:t>
      </w:r>
      <w:r>
        <w:rPr>
          <w:b/>
          <w:color w:val="000000" w:themeColor="text1"/>
          <w:sz w:val="26"/>
          <w:szCs w:val="26"/>
          <w14:textFill>
            <w14:solidFill>
              <w14:schemeClr w14:val="tx1"/>
            </w14:solidFill>
          </w14:textFill>
        </w:rPr>
        <w:t>;</w:t>
      </w:r>
    </w:p>
    <w:p w14:paraId="2B455C20">
      <w:pPr>
        <w:spacing w:before="120" w:after="120" w:line="360" w:lineRule="exact"/>
        <w:jc w:val="both"/>
        <w:rPr>
          <w:b/>
          <w:color w:val="000000" w:themeColor="text1"/>
          <w:spacing w:val="-4"/>
          <w:sz w:val="26"/>
          <w:szCs w:val="26"/>
          <w14:textFill>
            <w14:solidFill>
              <w14:schemeClr w14:val="tx1"/>
            </w14:solidFill>
          </w14:textFill>
        </w:rPr>
        <w:sectPr>
          <w:pgSz w:w="16838" w:h="11905" w:orient="landscape"/>
          <w:pgMar w:top="1134" w:right="1134" w:bottom="1134" w:left="1134" w:header="720" w:footer="720" w:gutter="0"/>
          <w:cols w:space="0" w:num="1"/>
          <w:docGrid w:linePitch="367" w:charSpace="0"/>
        </w:sectPr>
      </w:pPr>
    </w:p>
    <w:p w14:paraId="24E25D0B">
      <w:pPr>
        <w:spacing w:before="120" w:after="120" w:line="360" w:lineRule="exact"/>
        <w:ind w:firstLine="567"/>
        <w:jc w:val="both"/>
        <w:rPr>
          <w:b/>
          <w:color w:val="000000" w:themeColor="text1"/>
          <w:spacing w:val="-4"/>
          <w:sz w:val="26"/>
          <w:szCs w:val="26"/>
          <w:lang w:val="vi-VN"/>
          <w14:textFill>
            <w14:solidFill>
              <w14:schemeClr w14:val="tx1"/>
            </w14:solidFill>
          </w14:textFill>
        </w:rPr>
      </w:pPr>
      <w:r>
        <w:rPr>
          <w:b/>
          <w:color w:val="000000" w:themeColor="text1"/>
          <w:spacing w:val="-4"/>
          <w:sz w:val="26"/>
          <w:szCs w:val="26"/>
          <w:lang w:val="vi-VN"/>
          <w14:textFill>
            <w14:solidFill>
              <w14:schemeClr w14:val="tx1"/>
            </w14:solidFill>
          </w14:textFill>
        </w:rPr>
        <w:t>1.5. Thời gian bán hàng, thời điểm bắt đầu bán hàng, tỷ lệ bán hàng:</w:t>
      </w:r>
    </w:p>
    <w:p w14:paraId="1B18331C">
      <w:pPr>
        <w:widowControl w:val="0"/>
        <w:spacing w:before="120" w:after="120" w:line="360" w:lineRule="exact"/>
        <w:ind w:firstLine="567"/>
        <w:jc w:val="both"/>
        <w:rPr>
          <w:rFonts w:eastAsia="Tahoma"/>
          <w:color w:val="000000" w:themeColor="text1"/>
          <w:spacing w:val="-2"/>
          <w:sz w:val="26"/>
          <w:szCs w:val="26"/>
          <w:lang w:val="vi-VN"/>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xml:space="preserve">- Căn cứ Điều </w:t>
      </w:r>
      <w:r>
        <w:rPr>
          <w:rFonts w:eastAsia="Tahoma"/>
          <w:color w:val="000000" w:themeColor="text1"/>
          <w:spacing w:val="-2"/>
          <w:sz w:val="26"/>
          <w:szCs w:val="26"/>
          <w14:textFill>
            <w14:solidFill>
              <w14:schemeClr w14:val="tx1"/>
            </w14:solidFill>
          </w14:textFill>
        </w:rPr>
        <w:t>6</w:t>
      </w:r>
      <w:r>
        <w:rPr>
          <w:rFonts w:eastAsia="Tahoma"/>
          <w:color w:val="000000" w:themeColor="text1"/>
          <w:spacing w:val="-2"/>
          <w:sz w:val="26"/>
          <w:szCs w:val="26"/>
          <w:lang w:val="vi-VN"/>
          <w14:textFill>
            <w14:solidFill>
              <w14:schemeClr w14:val="tx1"/>
            </w14:solidFill>
          </w14:textFill>
        </w:rPr>
        <w:t xml:space="preserve">, Nghị định 71/2024/NĐ-CP ngày 27 tháng 06 năm 2024 của Chính Phủ quy định: </w:t>
      </w:r>
    </w:p>
    <w:p w14:paraId="0A6D70EC">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xml:space="preserve">“đ) Căn cứ tình hình thực tế tại địa phương, Sở Nông nghiệp và Môi trường chủ trì, phối </w:t>
      </w:r>
      <w:r>
        <w:rPr>
          <w:rFonts w:eastAsia="Tahoma"/>
          <w:color w:val="000000" w:themeColor="text1"/>
          <w:spacing w:val="-2"/>
          <w:sz w:val="26"/>
          <w:szCs w:val="26"/>
          <w14:textFill>
            <w14:solidFill>
              <w14:schemeClr w14:val="tx1"/>
            </w14:solidFill>
          </w14:textFill>
        </w:rPr>
        <w:t>s</w:t>
      </w:r>
      <w:r>
        <w:rPr>
          <w:rFonts w:eastAsia="Tahoma"/>
          <w:color w:val="000000" w:themeColor="text1"/>
          <w:spacing w:val="-2"/>
          <w:sz w:val="26"/>
          <w:szCs w:val="26"/>
          <w:lang w:val="vi-VN"/>
          <w14:textFill>
            <w14:solidFill>
              <w14:schemeClr w14:val="tx1"/>
            </w14:solidFill>
          </w14:textFill>
        </w:rPr>
        <w:t>hợp với các Sở, ngành có liên quan tham mưu, trình Ủy ban nhân dân cấp tỉnh quy định cụ thể tỷ lệ bán hàng, tỷ lệ lấp đầy để áp dụng chậm nhất từ ngày 01 tháng 01 năm 2025. Trong trường hợp cần thiết, Ủy ban nhân dân cấp tỉnh điều chỉnh để phù hợp với tình hình thực tế của địa phương.</w:t>
      </w:r>
    </w:p>
    <w:p w14:paraId="2391C69B">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Trong thời gian Ủy ban nhân dân cấp tỉnh chưa quy định tỷ lệ bán hàng, tỷ lệ lấp đầy thì tổ chức thực hiện định giá đất căn cứ số liệu thực tế của 03 dự án đầu tư cùng mục đích sử dụng đất chính có khoảng cách gần nhất đến thửa đất, khu đất cần định giá để đề xuất trong báo cáo thuyết minh xây dựng phương án giá đất đối với từng dự án để Hội đồng thẩm định giá đất xem xét, quyết định.</w:t>
      </w:r>
    </w:p>
    <w:p w14:paraId="7745E44F">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Đối với thời gian bán hàng, thời điểm bắt đầu bán hàng, kinh doanh sản phẩm, dịch vụ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thì 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p>
    <w:p w14:paraId="1801E667">
      <w:pPr>
        <w:widowControl w:val="0"/>
        <w:spacing w:before="120" w:after="120" w:line="360" w:lineRule="exact"/>
        <w:ind w:firstLine="567"/>
        <w:jc w:val="both"/>
        <w:rPr>
          <w:color w:val="000000" w:themeColor="text1"/>
          <w:spacing w:val="-4"/>
          <w:sz w:val="26"/>
          <w:szCs w:val="26"/>
          <w:lang w:val="da-DK"/>
          <w14:textFill>
            <w14:solidFill>
              <w14:schemeClr w14:val="tx1"/>
            </w14:solidFill>
          </w14:textFill>
        </w:rPr>
      </w:pPr>
      <w:bookmarkStart w:id="34" w:name="_Hlk192315465"/>
      <w:r>
        <w:rPr>
          <w:color w:val="000000" w:themeColor="text1"/>
          <w:spacing w:val="-4"/>
          <w:sz w:val="26"/>
          <w:szCs w:val="26"/>
          <w:lang w:val="da-DK"/>
          <w14:textFill>
            <w14:solidFill>
              <w14:schemeClr w14:val="tx1"/>
            </w14:solidFill>
          </w14:textFill>
        </w:rPr>
        <w:t>- Tại Quyết định số 1328/QĐ-UBND ngày 05/7/2021 của UBND tỉnh quyết định chấp thuận chủ trương đầu tư đồng thời chấp thuận nhà đầu tư:</w:t>
      </w:r>
    </w:p>
    <w:p w14:paraId="1364572D">
      <w:pPr>
        <w:widowControl w:val="0"/>
        <w:spacing w:before="120" w:after="120" w:line="360" w:lineRule="exact"/>
        <w:ind w:firstLine="567"/>
        <w:jc w:val="both"/>
        <w:rPr>
          <w:color w:val="000000" w:themeColor="text1"/>
          <w:spacing w:val="-4"/>
          <w:sz w:val="26"/>
          <w:szCs w:val="26"/>
          <w14:textFill>
            <w14:solidFill>
              <w14:schemeClr w14:val="tx1"/>
            </w14:solidFill>
          </w14:textFill>
        </w:rPr>
      </w:pPr>
      <w:r>
        <w:rPr>
          <w:color w:val="000000" w:themeColor="text1"/>
          <w:spacing w:val="-4"/>
          <w:sz w:val="26"/>
          <w:szCs w:val="26"/>
          <w14:textFill>
            <w14:solidFill>
              <w14:schemeClr w14:val="tx1"/>
            </w14:solidFill>
          </w14:textFill>
        </w:rPr>
        <w:t>“8. Tiến độ thực hiện dự án: 07 năm (trong đó dự kiến 01 năm chuẩn bị đầu tư, 04 năm triển khai xây dựng dự án, 02 năm tổ chức kinh doanh bán hàng).</w:t>
      </w:r>
    </w:p>
    <w:p w14:paraId="0B71166B">
      <w:pPr>
        <w:widowControl w:val="0"/>
        <w:spacing w:before="120" w:after="120" w:line="360" w:lineRule="exact"/>
        <w:ind w:firstLine="567"/>
        <w:jc w:val="both"/>
        <w:rPr>
          <w:color w:val="000000" w:themeColor="text1"/>
          <w:spacing w:val="-4"/>
          <w:sz w:val="26"/>
          <w:szCs w:val="26"/>
          <w14:textFill>
            <w14:solidFill>
              <w14:schemeClr w14:val="tx1"/>
            </w14:solidFill>
          </w14:textFill>
        </w:rPr>
      </w:pPr>
      <w:r>
        <w:rPr>
          <w:color w:val="000000" w:themeColor="text1"/>
          <w:spacing w:val="-4"/>
          <w:sz w:val="26"/>
          <w:szCs w:val="26"/>
          <w14:textFill>
            <w14:solidFill>
              <w14:schemeClr w14:val="tx1"/>
            </w14:solidFill>
          </w14:textFill>
        </w:rPr>
        <w:t>- Công tác chuẩn bị đầu tư (Giải phóng mặt bằng, thực hiện các thủ tục về đất đai, xây dựng, môi trường): Quý III/2021 – Quý III/2022.</w:t>
      </w:r>
    </w:p>
    <w:p w14:paraId="0C75BBC6">
      <w:pPr>
        <w:widowControl w:val="0"/>
        <w:spacing w:before="120" w:after="120" w:line="360" w:lineRule="exact"/>
        <w:ind w:firstLine="567"/>
        <w:jc w:val="both"/>
        <w:rPr>
          <w:color w:val="000000" w:themeColor="text1"/>
          <w:spacing w:val="-4"/>
          <w:sz w:val="26"/>
          <w:szCs w:val="26"/>
          <w14:textFill>
            <w14:solidFill>
              <w14:schemeClr w14:val="tx1"/>
            </w14:solidFill>
          </w14:textFill>
        </w:rPr>
      </w:pPr>
      <w:r>
        <w:rPr>
          <w:color w:val="000000" w:themeColor="text1"/>
          <w:spacing w:val="-4"/>
          <w:sz w:val="26"/>
          <w:szCs w:val="26"/>
          <w14:textFill>
            <w14:solidFill>
              <w14:schemeClr w14:val="tx1"/>
            </w14:solidFill>
          </w14:textFill>
        </w:rPr>
        <w:t>- Thi công hạ tầng kỹ thuật và công trình trên đất, nghiệm thu hoàn thành: Quý IV/2022 – Quý IV/2026.</w:t>
      </w:r>
    </w:p>
    <w:p w14:paraId="1BB1578D">
      <w:pPr>
        <w:widowControl w:val="0"/>
        <w:spacing w:before="120" w:after="120" w:line="360" w:lineRule="exact"/>
        <w:ind w:firstLine="567"/>
        <w:jc w:val="both"/>
        <w:rPr>
          <w:color w:val="000000" w:themeColor="text1"/>
          <w:spacing w:val="-4"/>
          <w:sz w:val="26"/>
          <w:szCs w:val="26"/>
          <w14:textFill>
            <w14:solidFill>
              <w14:schemeClr w14:val="tx1"/>
            </w14:solidFill>
          </w14:textFill>
        </w:rPr>
      </w:pPr>
      <w:r>
        <w:rPr>
          <w:color w:val="000000" w:themeColor="text1"/>
          <w:spacing w:val="-4"/>
          <w:sz w:val="26"/>
          <w:szCs w:val="26"/>
          <w14:textFill>
            <w14:solidFill>
              <w14:schemeClr w14:val="tx1"/>
            </w14:solidFill>
          </w14:textFill>
        </w:rPr>
        <w:t>- Tổ chức kinh doanh, bán hàng: Quý I/2027 – Quý IV/2028.</w:t>
      </w:r>
    </w:p>
    <w:p w14:paraId="2DAF8495">
      <w:pPr>
        <w:widowControl w:val="0"/>
        <w:spacing w:before="120" w:after="120" w:line="360" w:lineRule="exact"/>
        <w:ind w:firstLine="567"/>
        <w:jc w:val="both"/>
        <w:rPr>
          <w:color w:val="000000" w:themeColor="text1"/>
          <w:spacing w:val="-4"/>
          <w:sz w:val="26"/>
          <w:szCs w:val="26"/>
          <w:lang w:val="da-DK"/>
          <w14:textFill>
            <w14:solidFill>
              <w14:schemeClr w14:val="tx1"/>
            </w14:solidFill>
          </w14:textFill>
        </w:rPr>
      </w:pPr>
      <w:r>
        <w:rPr>
          <w:color w:val="000000" w:themeColor="text1"/>
          <w:spacing w:val="-4"/>
          <w:sz w:val="26"/>
          <w:szCs w:val="26"/>
          <w14:textFill>
            <w14:solidFill>
              <w14:schemeClr w14:val="tx1"/>
            </w14:solidFill>
          </w14:textFill>
        </w:rPr>
        <w:t>- Quyết toán, bàn giao cơ quan quản lý nhà nước: Quý IV/2028”.</w:t>
      </w:r>
    </w:p>
    <w:p w14:paraId="122242CA">
      <w:pPr>
        <w:widowControl w:val="0"/>
        <w:spacing w:before="120" w:after="120" w:line="340" w:lineRule="exact"/>
        <w:ind w:firstLine="567"/>
        <w:jc w:val="both"/>
        <w:rPr>
          <w:spacing w:val="-2"/>
          <w:sz w:val="26"/>
          <w:szCs w:val="26"/>
          <w:lang w:val="vi-VN"/>
        </w:rPr>
      </w:pPr>
      <w:r>
        <w:rPr>
          <w:spacing w:val="-2"/>
          <w:sz w:val="26"/>
          <w:szCs w:val="26"/>
          <w:lang w:val="vi-VN"/>
        </w:rPr>
        <w:t xml:space="preserve">=&gt; </w:t>
      </w:r>
      <w:r>
        <w:rPr>
          <w:spacing w:val="-2"/>
          <w:sz w:val="26"/>
          <w:szCs w:val="26"/>
        </w:rPr>
        <w:t>C</w:t>
      </w:r>
      <w:r>
        <w:rPr>
          <w:spacing w:val="-2"/>
          <w:sz w:val="26"/>
          <w:szCs w:val="26"/>
          <w:lang w:val="vi-VN"/>
        </w:rPr>
        <w:t>hưa quy định</w:t>
      </w:r>
      <w:r>
        <w:rPr>
          <w:spacing w:val="-2"/>
          <w:sz w:val="26"/>
          <w:szCs w:val="26"/>
        </w:rPr>
        <w:t xml:space="preserve"> chi tiết</w:t>
      </w:r>
      <w:r>
        <w:rPr>
          <w:spacing w:val="-2"/>
          <w:sz w:val="26"/>
          <w:szCs w:val="26"/>
          <w:lang w:val="vi-VN"/>
        </w:rPr>
        <w:t xml:space="preserve"> đối với thời điểm bắt đầu bán hàng</w:t>
      </w:r>
      <w:r>
        <w:rPr>
          <w:spacing w:val="-2"/>
          <w:sz w:val="26"/>
          <w:szCs w:val="26"/>
        </w:rPr>
        <w:t xml:space="preserve"> và tiến độ bán hàng</w:t>
      </w:r>
      <w:r>
        <w:rPr>
          <w:spacing w:val="-2"/>
          <w:sz w:val="26"/>
          <w:szCs w:val="26"/>
          <w:lang w:val="vi-VN"/>
        </w:rPr>
        <w:t>.</w:t>
      </w:r>
    </w:p>
    <w:p w14:paraId="4768F0AF">
      <w:pPr>
        <w:widowControl w:val="0"/>
        <w:spacing w:before="120" w:after="120" w:line="34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Căn cứ Khoản 5, Điều 4, Quyết định số 47/2024/QĐ-UBND ngày 30 tháng 10 năm 2024 của UBND nhân dân tỉnh Lạng Sơn về việc Ban hành Quy định một số chỉ tiêu cụ thể để áp dụng phương pháp định giá đất trên địa bàn tỉnh Lạng Sơn:</w:t>
      </w:r>
    </w:p>
    <w:p w14:paraId="2754843D">
      <w:pPr>
        <w:widowControl w:val="0"/>
        <w:spacing w:before="120" w:after="120" w:line="34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“5. Thời gian xây dựng, tiến độ xây dựng, thời điểm bắt đầu bán hàng, thời gian bán hàng, tỷ lệ bán hàng</w:t>
      </w:r>
    </w:p>
    <w:p w14:paraId="4104DBD8">
      <w:pPr>
        <w:widowControl w:val="0"/>
        <w:spacing w:before="120" w:after="120" w:line="34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xml:space="preserve">Đối với thời gian xây dựng, tiến độ xây dựng, thời điểm bắt đầu bán hàng, thời gian bán hàng, tỷ lệ bán hàng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đủ các chỉ tiêu về thời gian xây dựng, tiến độ xây dựng, thời điểm bắt đầu bán hàng, thời gian bán hàng, tỷ lệ bán hàng thì thực hiện như sau: </w:t>
      </w:r>
    </w:p>
    <w:p w14:paraId="3547168C">
      <w:pPr>
        <w:widowControl w:val="0"/>
        <w:spacing w:before="120" w:after="120" w:line="34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xml:space="preserve">Thời gian xây dựng: được tính kể từ ngày có Quyết định giao đất, cho thuê đất, cho phép chuyển mục đích sử dụng đất. </w:t>
      </w:r>
    </w:p>
    <w:p w14:paraId="1A8D3553">
      <w:pPr>
        <w:widowControl w:val="0"/>
        <w:spacing w:before="120" w:after="120" w:line="34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Thời gian bán hàng: được tính kể từ thời điểm bắt đầu bán hàng.</w:t>
      </w:r>
    </w:p>
    <w:p w14:paraId="372E60BC">
      <w:pPr>
        <w:pStyle w:val="38"/>
        <w:widowControl w:val="0"/>
        <w:numPr>
          <w:ilvl w:val="0"/>
          <w:numId w:val="1"/>
        </w:numPr>
        <w:spacing w:before="120" w:after="120" w:line="340" w:lineRule="exact"/>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Đối với dự án sử dụng đất để xây dựng khu đô thị, khu nhà ở, biệt thự, đất ở liền kề: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279"/>
        <w:gridCol w:w="1289"/>
        <w:gridCol w:w="1289"/>
        <w:gridCol w:w="1289"/>
        <w:gridCol w:w="1289"/>
        <w:gridCol w:w="1287"/>
      </w:tblGrid>
      <w:tr w14:paraId="658D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Align w:val="center"/>
          </w:tcPr>
          <w:p w14:paraId="567D3145">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Quy mô dự án</w:t>
            </w:r>
          </w:p>
        </w:tc>
        <w:tc>
          <w:tcPr>
            <w:tcW w:w="1279" w:type="dxa"/>
            <w:vMerge w:val="restart"/>
            <w:vAlign w:val="center"/>
          </w:tcPr>
          <w:p w14:paraId="1BD80E3E">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Thời gian xây dựng</w:t>
            </w:r>
          </w:p>
        </w:tc>
        <w:tc>
          <w:tcPr>
            <w:tcW w:w="2578" w:type="dxa"/>
            <w:gridSpan w:val="2"/>
            <w:vAlign w:val="center"/>
          </w:tcPr>
          <w:p w14:paraId="4AA722C2">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Tiến độ xây dựng </w:t>
            </w:r>
            <w:r>
              <w:rPr>
                <w:color w:val="000000" w:themeColor="text1"/>
                <w14:textFill>
                  <w14:solidFill>
                    <w14:schemeClr w14:val="tx1"/>
                  </w14:solidFill>
                </w14:textFill>
              </w:rPr>
              <w:t>(% lần lượt theo từng năm)</w:t>
            </w:r>
          </w:p>
        </w:tc>
        <w:tc>
          <w:tcPr>
            <w:tcW w:w="1289" w:type="dxa"/>
            <w:vMerge w:val="restart"/>
            <w:vAlign w:val="center"/>
          </w:tcPr>
          <w:p w14:paraId="08ED5C33">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Thời điểm bắt đầu bán hàng</w:t>
            </w:r>
          </w:p>
        </w:tc>
        <w:tc>
          <w:tcPr>
            <w:tcW w:w="1289" w:type="dxa"/>
            <w:vMerge w:val="restart"/>
            <w:vAlign w:val="center"/>
          </w:tcPr>
          <w:p w14:paraId="14F6BD56">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Thời gian bán hàng</w:t>
            </w:r>
          </w:p>
        </w:tc>
        <w:tc>
          <w:tcPr>
            <w:tcW w:w="1287" w:type="dxa"/>
            <w:vMerge w:val="restart"/>
            <w:vAlign w:val="center"/>
          </w:tcPr>
          <w:p w14:paraId="58CA578B">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Tỷ lệ bán hàng </w:t>
            </w:r>
            <w:r>
              <w:rPr>
                <w:color w:val="000000" w:themeColor="text1"/>
                <w14:textFill>
                  <w14:solidFill>
                    <w14:schemeClr w14:val="tx1"/>
                  </w14:solidFill>
                </w14:textFill>
              </w:rPr>
              <w:t>(% lần lượt theo từng năm)</w:t>
            </w:r>
          </w:p>
        </w:tc>
      </w:tr>
      <w:tr w14:paraId="3971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Align w:val="center"/>
          </w:tcPr>
          <w:p w14:paraId="7B6AF592">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Dự án</w:t>
            </w:r>
          </w:p>
        </w:tc>
        <w:tc>
          <w:tcPr>
            <w:tcW w:w="1279" w:type="dxa"/>
            <w:vMerge w:val="continue"/>
            <w:vAlign w:val="center"/>
          </w:tcPr>
          <w:p w14:paraId="515BDAAC">
            <w:pPr>
              <w:jc w:val="center"/>
              <w:rPr>
                <w:b/>
                <w:bCs/>
                <w:color w:val="000000" w:themeColor="text1"/>
                <w14:textFill>
                  <w14:solidFill>
                    <w14:schemeClr w14:val="tx1"/>
                  </w14:solidFill>
                </w14:textFill>
              </w:rPr>
            </w:pPr>
          </w:p>
        </w:tc>
        <w:tc>
          <w:tcPr>
            <w:tcW w:w="1289" w:type="dxa"/>
            <w:vAlign w:val="center"/>
          </w:tcPr>
          <w:p w14:paraId="4BE0E368">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Hạ tầng kỹ thuật</w:t>
            </w:r>
          </w:p>
        </w:tc>
        <w:tc>
          <w:tcPr>
            <w:tcW w:w="1289" w:type="dxa"/>
            <w:vAlign w:val="center"/>
          </w:tcPr>
          <w:p w14:paraId="0D80EE57">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Nhà xây thô</w:t>
            </w:r>
          </w:p>
        </w:tc>
        <w:tc>
          <w:tcPr>
            <w:tcW w:w="1289" w:type="dxa"/>
            <w:vMerge w:val="continue"/>
            <w:vAlign w:val="center"/>
          </w:tcPr>
          <w:p w14:paraId="2644461D">
            <w:pPr>
              <w:jc w:val="center"/>
              <w:rPr>
                <w:b/>
                <w:bCs/>
                <w:color w:val="000000" w:themeColor="text1"/>
                <w14:textFill>
                  <w14:solidFill>
                    <w14:schemeClr w14:val="tx1"/>
                  </w14:solidFill>
                </w14:textFill>
              </w:rPr>
            </w:pPr>
          </w:p>
        </w:tc>
        <w:tc>
          <w:tcPr>
            <w:tcW w:w="1289" w:type="dxa"/>
            <w:vMerge w:val="continue"/>
            <w:vAlign w:val="center"/>
          </w:tcPr>
          <w:p w14:paraId="24429D74">
            <w:pPr>
              <w:jc w:val="center"/>
              <w:rPr>
                <w:b/>
                <w:bCs/>
                <w:color w:val="000000" w:themeColor="text1"/>
                <w14:textFill>
                  <w14:solidFill>
                    <w14:schemeClr w14:val="tx1"/>
                  </w14:solidFill>
                </w14:textFill>
              </w:rPr>
            </w:pPr>
          </w:p>
        </w:tc>
        <w:tc>
          <w:tcPr>
            <w:tcW w:w="1287" w:type="dxa"/>
            <w:vMerge w:val="continue"/>
            <w:vAlign w:val="center"/>
          </w:tcPr>
          <w:p w14:paraId="2A9F3998">
            <w:pPr>
              <w:jc w:val="center"/>
              <w:rPr>
                <w:b/>
                <w:bCs/>
                <w:color w:val="000000" w:themeColor="text1"/>
                <w14:textFill>
                  <w14:solidFill>
                    <w14:schemeClr w14:val="tx1"/>
                  </w14:solidFill>
                </w14:textFill>
              </w:rPr>
            </w:pPr>
          </w:p>
        </w:tc>
      </w:tr>
      <w:tr w14:paraId="5A5F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Merge w:val="restart"/>
            <w:vAlign w:val="center"/>
          </w:tcPr>
          <w:p w14:paraId="47452591">
            <w:pPr>
              <w:jc w:val="center"/>
              <w:rPr>
                <w:color w:val="000000" w:themeColor="text1"/>
                <w14:textFill>
                  <w14:solidFill>
                    <w14:schemeClr w14:val="tx1"/>
                  </w14:solidFill>
                </w14:textFill>
              </w:rPr>
            </w:pPr>
            <w:r>
              <w:rPr>
                <w:color w:val="000000" w:themeColor="text1"/>
                <w14:textFill>
                  <w14:solidFill>
                    <w14:schemeClr w14:val="tx1"/>
                  </w14:solidFill>
                </w14:textFill>
              </w:rPr>
              <w:t>Dưới 10 ha</w:t>
            </w:r>
          </w:p>
        </w:tc>
        <w:tc>
          <w:tcPr>
            <w:tcW w:w="1279" w:type="dxa"/>
            <w:vMerge w:val="restart"/>
            <w:vAlign w:val="center"/>
          </w:tcPr>
          <w:p w14:paraId="42BF0DAF">
            <w:pPr>
              <w:jc w:val="center"/>
              <w:rPr>
                <w:color w:val="000000" w:themeColor="text1"/>
                <w14:textFill>
                  <w14:solidFill>
                    <w14:schemeClr w14:val="tx1"/>
                  </w14:solidFill>
                </w14:textFill>
              </w:rPr>
            </w:pPr>
            <w:r>
              <w:rPr>
                <w:color w:val="000000" w:themeColor="text1"/>
                <w14:textFill>
                  <w14:solidFill>
                    <w14:schemeClr w14:val="tx1"/>
                  </w14:solidFill>
                </w14:textFill>
              </w:rPr>
              <w:t>3 năm</w:t>
            </w:r>
          </w:p>
        </w:tc>
        <w:tc>
          <w:tcPr>
            <w:tcW w:w="1289" w:type="dxa"/>
            <w:vMerge w:val="restart"/>
            <w:vAlign w:val="center"/>
          </w:tcPr>
          <w:p w14:paraId="367CBC88">
            <w:pPr>
              <w:jc w:val="center"/>
              <w:rPr>
                <w:color w:val="000000" w:themeColor="text1"/>
                <w14:textFill>
                  <w14:solidFill>
                    <w14:schemeClr w14:val="tx1"/>
                  </w14:solidFill>
                </w14:textFill>
              </w:rPr>
            </w:pPr>
            <w:r>
              <w:rPr>
                <w:color w:val="000000" w:themeColor="text1"/>
                <w14:textFill>
                  <w14:solidFill>
                    <w14:schemeClr w14:val="tx1"/>
                  </w14:solidFill>
                </w14:textFill>
              </w:rPr>
              <w:t>50-50</w:t>
            </w:r>
          </w:p>
        </w:tc>
        <w:tc>
          <w:tcPr>
            <w:tcW w:w="1289" w:type="dxa"/>
            <w:vMerge w:val="restart"/>
            <w:vAlign w:val="center"/>
          </w:tcPr>
          <w:p w14:paraId="6A596B98">
            <w:pPr>
              <w:jc w:val="center"/>
              <w:rPr>
                <w:color w:val="000000" w:themeColor="text1"/>
                <w14:textFill>
                  <w14:solidFill>
                    <w14:schemeClr w14:val="tx1"/>
                  </w14:solidFill>
                </w14:textFill>
              </w:rPr>
            </w:pPr>
            <w:r>
              <w:rPr>
                <w:color w:val="000000" w:themeColor="text1"/>
                <w14:textFill>
                  <w14:solidFill>
                    <w14:schemeClr w14:val="tx1"/>
                  </w14:solidFill>
                </w14:textFill>
              </w:rPr>
              <w:t>35-35-30</w:t>
            </w:r>
          </w:p>
        </w:tc>
        <w:tc>
          <w:tcPr>
            <w:tcW w:w="1289" w:type="dxa"/>
            <w:vAlign w:val="center"/>
          </w:tcPr>
          <w:p w14:paraId="03819D49">
            <w:pPr>
              <w:jc w:val="center"/>
              <w:rPr>
                <w:color w:val="000000" w:themeColor="text1"/>
                <w14:textFill>
                  <w14:solidFill>
                    <w14:schemeClr w14:val="tx1"/>
                  </w14:solidFill>
                </w14:textFill>
              </w:rPr>
            </w:pPr>
            <w:r>
              <w:rPr>
                <w:color w:val="000000" w:themeColor="text1"/>
                <w14:textFill>
                  <w14:solidFill>
                    <w14:schemeClr w14:val="tx1"/>
                  </w14:solidFill>
                </w14:textFill>
              </w:rPr>
              <w:t>Từ năm</w:t>
            </w:r>
          </w:p>
        </w:tc>
        <w:tc>
          <w:tcPr>
            <w:tcW w:w="1289" w:type="dxa"/>
            <w:vMerge w:val="restart"/>
            <w:vAlign w:val="center"/>
          </w:tcPr>
          <w:p w14:paraId="1E7B9EB0">
            <w:pPr>
              <w:jc w:val="center"/>
              <w:rPr>
                <w:color w:val="000000" w:themeColor="text1"/>
                <w14:textFill>
                  <w14:solidFill>
                    <w14:schemeClr w14:val="tx1"/>
                  </w14:solidFill>
                </w14:textFill>
              </w:rPr>
            </w:pPr>
            <w:r>
              <w:rPr>
                <w:color w:val="000000" w:themeColor="text1"/>
                <w14:textFill>
                  <w14:solidFill>
                    <w14:schemeClr w14:val="tx1"/>
                  </w14:solidFill>
                </w14:textFill>
              </w:rPr>
              <w:t>2 năm</w:t>
            </w:r>
          </w:p>
        </w:tc>
        <w:tc>
          <w:tcPr>
            <w:tcW w:w="1287" w:type="dxa"/>
            <w:vMerge w:val="restart"/>
            <w:vAlign w:val="center"/>
          </w:tcPr>
          <w:p w14:paraId="07837D03">
            <w:pPr>
              <w:jc w:val="center"/>
              <w:rPr>
                <w:color w:val="000000" w:themeColor="text1"/>
                <w14:textFill>
                  <w14:solidFill>
                    <w14:schemeClr w14:val="tx1"/>
                  </w14:solidFill>
                </w14:textFill>
              </w:rPr>
            </w:pPr>
            <w:r>
              <w:rPr>
                <w:color w:val="000000" w:themeColor="text1"/>
                <w14:textFill>
                  <w14:solidFill>
                    <w14:schemeClr w14:val="tx1"/>
                  </w14:solidFill>
                </w14:textFill>
              </w:rPr>
              <w:t>50-50</w:t>
            </w:r>
          </w:p>
        </w:tc>
      </w:tr>
      <w:tr w14:paraId="03AB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Merge w:val="continue"/>
            <w:vAlign w:val="center"/>
          </w:tcPr>
          <w:p w14:paraId="21FBFDDB">
            <w:pPr>
              <w:jc w:val="center"/>
              <w:rPr>
                <w:color w:val="000000" w:themeColor="text1"/>
                <w14:textFill>
                  <w14:solidFill>
                    <w14:schemeClr w14:val="tx1"/>
                  </w14:solidFill>
                </w14:textFill>
              </w:rPr>
            </w:pPr>
          </w:p>
        </w:tc>
        <w:tc>
          <w:tcPr>
            <w:tcW w:w="1279" w:type="dxa"/>
            <w:vMerge w:val="continue"/>
            <w:vAlign w:val="center"/>
          </w:tcPr>
          <w:p w14:paraId="5B467467">
            <w:pPr>
              <w:jc w:val="center"/>
              <w:rPr>
                <w:color w:val="000000" w:themeColor="text1"/>
                <w14:textFill>
                  <w14:solidFill>
                    <w14:schemeClr w14:val="tx1"/>
                  </w14:solidFill>
                </w14:textFill>
              </w:rPr>
            </w:pPr>
          </w:p>
        </w:tc>
        <w:tc>
          <w:tcPr>
            <w:tcW w:w="1289" w:type="dxa"/>
            <w:vMerge w:val="continue"/>
            <w:vAlign w:val="center"/>
          </w:tcPr>
          <w:p w14:paraId="38EC75F3">
            <w:pPr>
              <w:jc w:val="center"/>
              <w:rPr>
                <w:color w:val="000000" w:themeColor="text1"/>
                <w14:textFill>
                  <w14:solidFill>
                    <w14:schemeClr w14:val="tx1"/>
                  </w14:solidFill>
                </w14:textFill>
              </w:rPr>
            </w:pPr>
          </w:p>
        </w:tc>
        <w:tc>
          <w:tcPr>
            <w:tcW w:w="1289" w:type="dxa"/>
            <w:vMerge w:val="continue"/>
            <w:vAlign w:val="center"/>
          </w:tcPr>
          <w:p w14:paraId="6275BFA5">
            <w:pPr>
              <w:jc w:val="center"/>
              <w:rPr>
                <w:color w:val="000000" w:themeColor="text1"/>
                <w14:textFill>
                  <w14:solidFill>
                    <w14:schemeClr w14:val="tx1"/>
                  </w14:solidFill>
                </w14:textFill>
              </w:rPr>
            </w:pPr>
          </w:p>
        </w:tc>
        <w:tc>
          <w:tcPr>
            <w:tcW w:w="1289" w:type="dxa"/>
            <w:vAlign w:val="center"/>
          </w:tcPr>
          <w:p w14:paraId="5A460B03">
            <w:pPr>
              <w:jc w:val="center"/>
              <w:rPr>
                <w:color w:val="000000" w:themeColor="text1"/>
                <w14:textFill>
                  <w14:solidFill>
                    <w14:schemeClr w14:val="tx1"/>
                  </w14:solidFill>
                </w14:textFill>
              </w:rPr>
            </w:pPr>
            <w:r>
              <w:rPr>
                <w:color w:val="000000" w:themeColor="text1"/>
                <w14:textFill>
                  <w14:solidFill>
                    <w14:schemeClr w14:val="tx1"/>
                  </w14:solidFill>
                </w14:textFill>
              </w:rPr>
              <w:t>thứ hai</w:t>
            </w:r>
          </w:p>
        </w:tc>
        <w:tc>
          <w:tcPr>
            <w:tcW w:w="1289" w:type="dxa"/>
            <w:vMerge w:val="continue"/>
            <w:vAlign w:val="center"/>
          </w:tcPr>
          <w:p w14:paraId="4C214569">
            <w:pPr>
              <w:jc w:val="center"/>
              <w:rPr>
                <w:color w:val="000000" w:themeColor="text1"/>
                <w14:textFill>
                  <w14:solidFill>
                    <w14:schemeClr w14:val="tx1"/>
                  </w14:solidFill>
                </w14:textFill>
              </w:rPr>
            </w:pPr>
          </w:p>
        </w:tc>
        <w:tc>
          <w:tcPr>
            <w:tcW w:w="1287" w:type="dxa"/>
            <w:vMerge w:val="continue"/>
            <w:vAlign w:val="center"/>
          </w:tcPr>
          <w:p w14:paraId="3370A663">
            <w:pPr>
              <w:jc w:val="center"/>
              <w:rPr>
                <w:color w:val="000000" w:themeColor="text1"/>
                <w14:textFill>
                  <w14:solidFill>
                    <w14:schemeClr w14:val="tx1"/>
                  </w14:solidFill>
                </w14:textFill>
              </w:rPr>
            </w:pPr>
          </w:p>
        </w:tc>
      </w:tr>
      <w:tr w14:paraId="0484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Merge w:val="restart"/>
            <w:vAlign w:val="center"/>
          </w:tcPr>
          <w:p w14:paraId="7460659B">
            <w:pPr>
              <w:jc w:val="center"/>
              <w:rPr>
                <w:color w:val="000000" w:themeColor="text1"/>
                <w14:textFill>
                  <w14:solidFill>
                    <w14:schemeClr w14:val="tx1"/>
                  </w14:solidFill>
                </w14:textFill>
              </w:rPr>
            </w:pPr>
            <w:r>
              <w:rPr>
                <w:color w:val="000000" w:themeColor="text1"/>
                <w14:textFill>
                  <w14:solidFill>
                    <w14:schemeClr w14:val="tx1"/>
                  </w14:solidFill>
                </w14:textFill>
              </w:rPr>
              <w:t>Từ 10 ha đến dưới 20 ha</w:t>
            </w:r>
          </w:p>
        </w:tc>
        <w:tc>
          <w:tcPr>
            <w:tcW w:w="1279" w:type="dxa"/>
            <w:vMerge w:val="restart"/>
            <w:vAlign w:val="center"/>
          </w:tcPr>
          <w:p w14:paraId="3126DCE7">
            <w:pPr>
              <w:jc w:val="center"/>
              <w:rPr>
                <w:color w:val="000000" w:themeColor="text1"/>
                <w14:textFill>
                  <w14:solidFill>
                    <w14:schemeClr w14:val="tx1"/>
                  </w14:solidFill>
                </w14:textFill>
              </w:rPr>
            </w:pPr>
            <w:r>
              <w:rPr>
                <w:color w:val="000000" w:themeColor="text1"/>
                <w14:textFill>
                  <w14:solidFill>
                    <w14:schemeClr w14:val="tx1"/>
                  </w14:solidFill>
                </w14:textFill>
              </w:rPr>
              <w:t>4 năm</w:t>
            </w:r>
          </w:p>
        </w:tc>
        <w:tc>
          <w:tcPr>
            <w:tcW w:w="1289" w:type="dxa"/>
            <w:vMerge w:val="restart"/>
            <w:vAlign w:val="center"/>
          </w:tcPr>
          <w:p w14:paraId="3AF54B7B">
            <w:pPr>
              <w:jc w:val="center"/>
              <w:rPr>
                <w:color w:val="000000" w:themeColor="text1"/>
                <w14:textFill>
                  <w14:solidFill>
                    <w14:schemeClr w14:val="tx1"/>
                  </w14:solidFill>
                </w14:textFill>
              </w:rPr>
            </w:pPr>
            <w:r>
              <w:rPr>
                <w:color w:val="000000" w:themeColor="text1"/>
                <w14:textFill>
                  <w14:solidFill>
                    <w14:schemeClr w14:val="tx1"/>
                  </w14:solidFill>
                </w14:textFill>
              </w:rPr>
              <w:t>35-35-30</w:t>
            </w:r>
          </w:p>
        </w:tc>
        <w:tc>
          <w:tcPr>
            <w:tcW w:w="1289" w:type="dxa"/>
            <w:vMerge w:val="restart"/>
            <w:vAlign w:val="center"/>
          </w:tcPr>
          <w:p w14:paraId="6F5D850C">
            <w:pPr>
              <w:jc w:val="center"/>
              <w:rPr>
                <w:color w:val="000000" w:themeColor="text1"/>
                <w14:textFill>
                  <w14:solidFill>
                    <w14:schemeClr w14:val="tx1"/>
                  </w14:solidFill>
                </w14:textFill>
              </w:rPr>
            </w:pPr>
            <w:r>
              <w:rPr>
                <w:color w:val="000000" w:themeColor="text1"/>
                <w14:textFill>
                  <w14:solidFill>
                    <w14:schemeClr w14:val="tx1"/>
                  </w14:solidFill>
                </w14:textFill>
              </w:rPr>
              <w:t>25-25-25-25</w:t>
            </w:r>
          </w:p>
        </w:tc>
        <w:tc>
          <w:tcPr>
            <w:tcW w:w="1289" w:type="dxa"/>
            <w:vAlign w:val="center"/>
          </w:tcPr>
          <w:p w14:paraId="71C6159E">
            <w:pPr>
              <w:jc w:val="center"/>
              <w:rPr>
                <w:color w:val="000000" w:themeColor="text1"/>
                <w14:textFill>
                  <w14:solidFill>
                    <w14:schemeClr w14:val="tx1"/>
                  </w14:solidFill>
                </w14:textFill>
              </w:rPr>
            </w:pPr>
            <w:r>
              <w:rPr>
                <w:color w:val="000000" w:themeColor="text1"/>
                <w14:textFill>
                  <w14:solidFill>
                    <w14:schemeClr w14:val="tx1"/>
                  </w14:solidFill>
                </w14:textFill>
              </w:rPr>
              <w:t>Từ năm</w:t>
            </w:r>
          </w:p>
        </w:tc>
        <w:tc>
          <w:tcPr>
            <w:tcW w:w="1289" w:type="dxa"/>
            <w:vMerge w:val="restart"/>
            <w:vAlign w:val="center"/>
          </w:tcPr>
          <w:p w14:paraId="57383CC4">
            <w:pPr>
              <w:jc w:val="center"/>
              <w:rPr>
                <w:color w:val="000000" w:themeColor="text1"/>
                <w14:textFill>
                  <w14:solidFill>
                    <w14:schemeClr w14:val="tx1"/>
                  </w14:solidFill>
                </w14:textFill>
              </w:rPr>
            </w:pPr>
            <w:r>
              <w:rPr>
                <w:color w:val="000000" w:themeColor="text1"/>
                <w14:textFill>
                  <w14:solidFill>
                    <w14:schemeClr w14:val="tx1"/>
                  </w14:solidFill>
                </w14:textFill>
              </w:rPr>
              <w:t>3 năm</w:t>
            </w:r>
          </w:p>
        </w:tc>
        <w:tc>
          <w:tcPr>
            <w:tcW w:w="1287" w:type="dxa"/>
            <w:vMerge w:val="restart"/>
            <w:vAlign w:val="center"/>
          </w:tcPr>
          <w:p w14:paraId="23801A79">
            <w:pPr>
              <w:jc w:val="center"/>
              <w:rPr>
                <w:color w:val="000000" w:themeColor="text1"/>
                <w14:textFill>
                  <w14:solidFill>
                    <w14:schemeClr w14:val="tx1"/>
                  </w14:solidFill>
                </w14:textFill>
              </w:rPr>
            </w:pPr>
            <w:r>
              <w:rPr>
                <w:color w:val="000000" w:themeColor="text1"/>
                <w14:textFill>
                  <w14:solidFill>
                    <w14:schemeClr w14:val="tx1"/>
                  </w14:solidFill>
                </w14:textFill>
              </w:rPr>
              <w:t>35-35-30</w:t>
            </w:r>
          </w:p>
        </w:tc>
      </w:tr>
      <w:tr w14:paraId="08E6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Merge w:val="continue"/>
            <w:vAlign w:val="center"/>
          </w:tcPr>
          <w:p w14:paraId="65F0EE3D">
            <w:pPr>
              <w:jc w:val="center"/>
              <w:rPr>
                <w:color w:val="000000" w:themeColor="text1"/>
                <w14:textFill>
                  <w14:solidFill>
                    <w14:schemeClr w14:val="tx1"/>
                  </w14:solidFill>
                </w14:textFill>
              </w:rPr>
            </w:pPr>
          </w:p>
        </w:tc>
        <w:tc>
          <w:tcPr>
            <w:tcW w:w="1279" w:type="dxa"/>
            <w:vMerge w:val="continue"/>
            <w:vAlign w:val="center"/>
          </w:tcPr>
          <w:p w14:paraId="66F086CE">
            <w:pPr>
              <w:jc w:val="center"/>
              <w:rPr>
                <w:color w:val="000000" w:themeColor="text1"/>
                <w14:textFill>
                  <w14:solidFill>
                    <w14:schemeClr w14:val="tx1"/>
                  </w14:solidFill>
                </w14:textFill>
              </w:rPr>
            </w:pPr>
          </w:p>
        </w:tc>
        <w:tc>
          <w:tcPr>
            <w:tcW w:w="1289" w:type="dxa"/>
            <w:vMerge w:val="continue"/>
            <w:vAlign w:val="center"/>
          </w:tcPr>
          <w:p w14:paraId="34707536">
            <w:pPr>
              <w:jc w:val="center"/>
              <w:rPr>
                <w:color w:val="000000" w:themeColor="text1"/>
                <w14:textFill>
                  <w14:solidFill>
                    <w14:schemeClr w14:val="tx1"/>
                  </w14:solidFill>
                </w14:textFill>
              </w:rPr>
            </w:pPr>
          </w:p>
        </w:tc>
        <w:tc>
          <w:tcPr>
            <w:tcW w:w="1289" w:type="dxa"/>
            <w:vMerge w:val="continue"/>
            <w:vAlign w:val="center"/>
          </w:tcPr>
          <w:p w14:paraId="594D736E">
            <w:pPr>
              <w:jc w:val="center"/>
              <w:rPr>
                <w:color w:val="000000" w:themeColor="text1"/>
                <w14:textFill>
                  <w14:solidFill>
                    <w14:schemeClr w14:val="tx1"/>
                  </w14:solidFill>
                </w14:textFill>
              </w:rPr>
            </w:pPr>
          </w:p>
        </w:tc>
        <w:tc>
          <w:tcPr>
            <w:tcW w:w="1289" w:type="dxa"/>
            <w:vAlign w:val="center"/>
          </w:tcPr>
          <w:p w14:paraId="0B522280">
            <w:pPr>
              <w:jc w:val="center"/>
              <w:rPr>
                <w:color w:val="000000" w:themeColor="text1"/>
                <w14:textFill>
                  <w14:solidFill>
                    <w14:schemeClr w14:val="tx1"/>
                  </w14:solidFill>
                </w14:textFill>
              </w:rPr>
            </w:pPr>
            <w:r>
              <w:rPr>
                <w:color w:val="000000" w:themeColor="text1"/>
                <w14:textFill>
                  <w14:solidFill>
                    <w14:schemeClr w14:val="tx1"/>
                  </w14:solidFill>
                </w14:textFill>
              </w:rPr>
              <w:t>thứ hai</w:t>
            </w:r>
          </w:p>
        </w:tc>
        <w:tc>
          <w:tcPr>
            <w:tcW w:w="1289" w:type="dxa"/>
            <w:vMerge w:val="continue"/>
            <w:vAlign w:val="center"/>
          </w:tcPr>
          <w:p w14:paraId="69022C50">
            <w:pPr>
              <w:jc w:val="center"/>
              <w:rPr>
                <w:color w:val="000000" w:themeColor="text1"/>
                <w14:textFill>
                  <w14:solidFill>
                    <w14:schemeClr w14:val="tx1"/>
                  </w14:solidFill>
                </w14:textFill>
              </w:rPr>
            </w:pPr>
          </w:p>
        </w:tc>
        <w:tc>
          <w:tcPr>
            <w:tcW w:w="1287" w:type="dxa"/>
            <w:vMerge w:val="continue"/>
            <w:vAlign w:val="center"/>
          </w:tcPr>
          <w:p w14:paraId="136AF286">
            <w:pPr>
              <w:jc w:val="center"/>
              <w:rPr>
                <w:color w:val="000000" w:themeColor="text1"/>
                <w14:textFill>
                  <w14:solidFill>
                    <w14:schemeClr w14:val="tx1"/>
                  </w14:solidFill>
                </w14:textFill>
              </w:rPr>
            </w:pPr>
          </w:p>
        </w:tc>
      </w:tr>
      <w:tr w14:paraId="5F00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Merge w:val="restart"/>
            <w:vAlign w:val="center"/>
          </w:tcPr>
          <w:p w14:paraId="17D43D1C">
            <w:pPr>
              <w:jc w:val="center"/>
              <w:rPr>
                <w:color w:val="000000" w:themeColor="text1"/>
                <w14:textFill>
                  <w14:solidFill>
                    <w14:schemeClr w14:val="tx1"/>
                  </w14:solidFill>
                </w14:textFill>
              </w:rPr>
            </w:pPr>
            <w:r>
              <w:rPr>
                <w:color w:val="000000" w:themeColor="text1"/>
                <w14:textFill>
                  <w14:solidFill>
                    <w14:schemeClr w14:val="tx1"/>
                  </w14:solidFill>
                </w14:textFill>
              </w:rPr>
              <w:t>Từ 20 ha đến dưới 30 ha</w:t>
            </w:r>
          </w:p>
        </w:tc>
        <w:tc>
          <w:tcPr>
            <w:tcW w:w="1279" w:type="dxa"/>
            <w:vMerge w:val="restart"/>
            <w:vAlign w:val="center"/>
          </w:tcPr>
          <w:p w14:paraId="443907AE">
            <w:pPr>
              <w:jc w:val="center"/>
              <w:rPr>
                <w:color w:val="000000" w:themeColor="text1"/>
                <w14:textFill>
                  <w14:solidFill>
                    <w14:schemeClr w14:val="tx1"/>
                  </w14:solidFill>
                </w14:textFill>
              </w:rPr>
            </w:pPr>
            <w:r>
              <w:rPr>
                <w:color w:val="000000" w:themeColor="text1"/>
                <w14:textFill>
                  <w14:solidFill>
                    <w14:schemeClr w14:val="tx1"/>
                  </w14:solidFill>
                </w14:textFill>
              </w:rPr>
              <w:t>5 năm</w:t>
            </w:r>
          </w:p>
        </w:tc>
        <w:tc>
          <w:tcPr>
            <w:tcW w:w="1289" w:type="dxa"/>
            <w:vMerge w:val="restart"/>
            <w:vAlign w:val="center"/>
          </w:tcPr>
          <w:p w14:paraId="5AE87401">
            <w:pPr>
              <w:jc w:val="center"/>
              <w:rPr>
                <w:color w:val="000000" w:themeColor="text1"/>
                <w14:textFill>
                  <w14:solidFill>
                    <w14:schemeClr w14:val="tx1"/>
                  </w14:solidFill>
                </w14:textFill>
              </w:rPr>
            </w:pPr>
            <w:r>
              <w:rPr>
                <w:color w:val="000000" w:themeColor="text1"/>
                <w14:textFill>
                  <w14:solidFill>
                    <w14:schemeClr w14:val="tx1"/>
                  </w14:solidFill>
                </w14:textFill>
              </w:rPr>
              <w:t>25-25-25-25</w:t>
            </w:r>
          </w:p>
        </w:tc>
        <w:tc>
          <w:tcPr>
            <w:tcW w:w="1289" w:type="dxa"/>
            <w:vMerge w:val="restart"/>
            <w:vAlign w:val="center"/>
          </w:tcPr>
          <w:p w14:paraId="22B72361">
            <w:pPr>
              <w:jc w:val="center"/>
              <w:rPr>
                <w:color w:val="000000" w:themeColor="text1"/>
                <w14:textFill>
                  <w14:solidFill>
                    <w14:schemeClr w14:val="tx1"/>
                  </w14:solidFill>
                </w14:textFill>
              </w:rPr>
            </w:pPr>
            <w:r>
              <w:rPr>
                <w:color w:val="000000" w:themeColor="text1"/>
                <w14:textFill>
                  <w14:solidFill>
                    <w14:schemeClr w14:val="tx1"/>
                  </w14:solidFill>
                </w14:textFill>
              </w:rPr>
              <w:t>20-20-20-20-20</w:t>
            </w:r>
          </w:p>
        </w:tc>
        <w:tc>
          <w:tcPr>
            <w:tcW w:w="1289" w:type="dxa"/>
            <w:vAlign w:val="center"/>
          </w:tcPr>
          <w:p w14:paraId="66D511FC">
            <w:pPr>
              <w:jc w:val="center"/>
              <w:rPr>
                <w:color w:val="000000" w:themeColor="text1"/>
                <w14:textFill>
                  <w14:solidFill>
                    <w14:schemeClr w14:val="tx1"/>
                  </w14:solidFill>
                </w14:textFill>
              </w:rPr>
            </w:pPr>
            <w:r>
              <w:rPr>
                <w:color w:val="000000" w:themeColor="text1"/>
                <w14:textFill>
                  <w14:solidFill>
                    <w14:schemeClr w14:val="tx1"/>
                  </w14:solidFill>
                </w14:textFill>
              </w:rPr>
              <w:t>Từ năm</w:t>
            </w:r>
          </w:p>
        </w:tc>
        <w:tc>
          <w:tcPr>
            <w:tcW w:w="1289" w:type="dxa"/>
            <w:vMerge w:val="restart"/>
            <w:vAlign w:val="center"/>
          </w:tcPr>
          <w:p w14:paraId="171FD0E8">
            <w:pPr>
              <w:jc w:val="center"/>
              <w:rPr>
                <w:color w:val="000000" w:themeColor="text1"/>
                <w14:textFill>
                  <w14:solidFill>
                    <w14:schemeClr w14:val="tx1"/>
                  </w14:solidFill>
                </w14:textFill>
              </w:rPr>
            </w:pPr>
            <w:r>
              <w:rPr>
                <w:color w:val="000000" w:themeColor="text1"/>
                <w14:textFill>
                  <w14:solidFill>
                    <w14:schemeClr w14:val="tx1"/>
                  </w14:solidFill>
                </w14:textFill>
              </w:rPr>
              <w:t>4 năm</w:t>
            </w:r>
          </w:p>
        </w:tc>
        <w:tc>
          <w:tcPr>
            <w:tcW w:w="1287" w:type="dxa"/>
            <w:vAlign w:val="center"/>
          </w:tcPr>
          <w:p w14:paraId="3A9E1E63">
            <w:pPr>
              <w:jc w:val="center"/>
              <w:rPr>
                <w:color w:val="000000" w:themeColor="text1"/>
                <w14:textFill>
                  <w14:solidFill>
                    <w14:schemeClr w14:val="tx1"/>
                  </w14:solidFill>
                </w14:textFill>
              </w:rPr>
            </w:pPr>
            <w:r>
              <w:rPr>
                <w:color w:val="000000" w:themeColor="text1"/>
                <w14:textFill>
                  <w14:solidFill>
                    <w14:schemeClr w14:val="tx1"/>
                  </w14:solidFill>
                </w14:textFill>
              </w:rPr>
              <w:t>25-25-25-25</w:t>
            </w:r>
          </w:p>
        </w:tc>
      </w:tr>
      <w:tr w14:paraId="4804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Merge w:val="continue"/>
            <w:vAlign w:val="center"/>
          </w:tcPr>
          <w:p w14:paraId="3271C92D">
            <w:pPr>
              <w:jc w:val="center"/>
              <w:rPr>
                <w:color w:val="000000" w:themeColor="text1"/>
                <w14:textFill>
                  <w14:solidFill>
                    <w14:schemeClr w14:val="tx1"/>
                  </w14:solidFill>
                </w14:textFill>
              </w:rPr>
            </w:pPr>
          </w:p>
        </w:tc>
        <w:tc>
          <w:tcPr>
            <w:tcW w:w="1279" w:type="dxa"/>
            <w:vMerge w:val="continue"/>
            <w:vAlign w:val="center"/>
          </w:tcPr>
          <w:p w14:paraId="523F8FA0">
            <w:pPr>
              <w:jc w:val="center"/>
              <w:rPr>
                <w:color w:val="000000" w:themeColor="text1"/>
                <w14:textFill>
                  <w14:solidFill>
                    <w14:schemeClr w14:val="tx1"/>
                  </w14:solidFill>
                </w14:textFill>
              </w:rPr>
            </w:pPr>
          </w:p>
        </w:tc>
        <w:tc>
          <w:tcPr>
            <w:tcW w:w="1289" w:type="dxa"/>
            <w:vMerge w:val="continue"/>
            <w:vAlign w:val="center"/>
          </w:tcPr>
          <w:p w14:paraId="6B75C384">
            <w:pPr>
              <w:jc w:val="center"/>
              <w:rPr>
                <w:color w:val="000000" w:themeColor="text1"/>
                <w14:textFill>
                  <w14:solidFill>
                    <w14:schemeClr w14:val="tx1"/>
                  </w14:solidFill>
                </w14:textFill>
              </w:rPr>
            </w:pPr>
          </w:p>
        </w:tc>
        <w:tc>
          <w:tcPr>
            <w:tcW w:w="1289" w:type="dxa"/>
            <w:vMerge w:val="continue"/>
            <w:vAlign w:val="center"/>
          </w:tcPr>
          <w:p w14:paraId="1FDA895B">
            <w:pPr>
              <w:jc w:val="center"/>
              <w:rPr>
                <w:color w:val="000000" w:themeColor="text1"/>
                <w14:textFill>
                  <w14:solidFill>
                    <w14:schemeClr w14:val="tx1"/>
                  </w14:solidFill>
                </w14:textFill>
              </w:rPr>
            </w:pPr>
          </w:p>
        </w:tc>
        <w:tc>
          <w:tcPr>
            <w:tcW w:w="1289" w:type="dxa"/>
            <w:vAlign w:val="center"/>
          </w:tcPr>
          <w:p w14:paraId="1DD418D7">
            <w:pPr>
              <w:jc w:val="center"/>
              <w:rPr>
                <w:color w:val="000000" w:themeColor="text1"/>
                <w14:textFill>
                  <w14:solidFill>
                    <w14:schemeClr w14:val="tx1"/>
                  </w14:solidFill>
                </w14:textFill>
              </w:rPr>
            </w:pPr>
            <w:r>
              <w:rPr>
                <w:color w:val="000000" w:themeColor="text1"/>
                <w14:textFill>
                  <w14:solidFill>
                    <w14:schemeClr w14:val="tx1"/>
                  </w14:solidFill>
                </w14:textFill>
              </w:rPr>
              <w:t>thứ hai</w:t>
            </w:r>
          </w:p>
        </w:tc>
        <w:tc>
          <w:tcPr>
            <w:tcW w:w="1289" w:type="dxa"/>
            <w:vMerge w:val="continue"/>
            <w:vAlign w:val="center"/>
          </w:tcPr>
          <w:p w14:paraId="6CC9AD18">
            <w:pPr>
              <w:jc w:val="center"/>
              <w:rPr>
                <w:color w:val="000000" w:themeColor="text1"/>
                <w14:textFill>
                  <w14:solidFill>
                    <w14:schemeClr w14:val="tx1"/>
                  </w14:solidFill>
                </w14:textFill>
              </w:rPr>
            </w:pPr>
          </w:p>
        </w:tc>
        <w:tc>
          <w:tcPr>
            <w:tcW w:w="1287" w:type="dxa"/>
            <w:vAlign w:val="center"/>
          </w:tcPr>
          <w:p w14:paraId="10026C61">
            <w:pPr>
              <w:jc w:val="center"/>
              <w:rPr>
                <w:color w:val="000000" w:themeColor="text1"/>
                <w14:textFill>
                  <w14:solidFill>
                    <w14:schemeClr w14:val="tx1"/>
                  </w14:solidFill>
                </w14:textFill>
              </w:rPr>
            </w:pPr>
          </w:p>
        </w:tc>
      </w:tr>
      <w:tr w14:paraId="3B7F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Align w:val="center"/>
          </w:tcPr>
          <w:p w14:paraId="70977F21">
            <w:pPr>
              <w:jc w:val="center"/>
              <w:rPr>
                <w:color w:val="000000" w:themeColor="text1"/>
                <w14:textFill>
                  <w14:solidFill>
                    <w14:schemeClr w14:val="tx1"/>
                  </w14:solidFill>
                </w14:textFill>
              </w:rPr>
            </w:pPr>
            <w:r>
              <w:rPr>
                <w:color w:val="000000" w:themeColor="text1"/>
                <w14:textFill>
                  <w14:solidFill>
                    <w14:schemeClr w14:val="tx1"/>
                  </w14:solidFill>
                </w14:textFill>
              </w:rPr>
              <w:t>Từ 30 ha</w:t>
            </w:r>
          </w:p>
        </w:tc>
        <w:tc>
          <w:tcPr>
            <w:tcW w:w="1279" w:type="dxa"/>
            <w:vMerge w:val="restart"/>
            <w:vAlign w:val="center"/>
          </w:tcPr>
          <w:p w14:paraId="7EF51018">
            <w:pPr>
              <w:jc w:val="center"/>
              <w:rPr>
                <w:color w:val="000000" w:themeColor="text1"/>
                <w14:textFill>
                  <w14:solidFill>
                    <w14:schemeClr w14:val="tx1"/>
                  </w14:solidFill>
                </w14:textFill>
              </w:rPr>
            </w:pPr>
            <w:r>
              <w:rPr>
                <w:color w:val="000000" w:themeColor="text1"/>
                <w14:textFill>
                  <w14:solidFill>
                    <w14:schemeClr w14:val="tx1"/>
                  </w14:solidFill>
                </w14:textFill>
              </w:rPr>
              <w:t>6 năm</w:t>
            </w:r>
          </w:p>
        </w:tc>
        <w:tc>
          <w:tcPr>
            <w:tcW w:w="1289" w:type="dxa"/>
            <w:vAlign w:val="center"/>
          </w:tcPr>
          <w:p w14:paraId="1A775358">
            <w:pPr>
              <w:jc w:val="center"/>
              <w:rPr>
                <w:color w:val="000000" w:themeColor="text1"/>
                <w14:textFill>
                  <w14:solidFill>
                    <w14:schemeClr w14:val="tx1"/>
                  </w14:solidFill>
                </w14:textFill>
              </w:rPr>
            </w:pPr>
            <w:r>
              <w:rPr>
                <w:color w:val="000000" w:themeColor="text1"/>
                <w14:textFill>
                  <w14:solidFill>
                    <w14:schemeClr w14:val="tx1"/>
                  </w14:solidFill>
                </w14:textFill>
              </w:rPr>
              <w:t>20-20-20-20-20</w:t>
            </w:r>
          </w:p>
        </w:tc>
        <w:tc>
          <w:tcPr>
            <w:tcW w:w="1289" w:type="dxa"/>
            <w:vMerge w:val="restart"/>
            <w:vAlign w:val="center"/>
          </w:tcPr>
          <w:p w14:paraId="6EC51CB9">
            <w:pPr>
              <w:jc w:val="center"/>
              <w:rPr>
                <w:color w:val="000000" w:themeColor="text1"/>
                <w14:textFill>
                  <w14:solidFill>
                    <w14:schemeClr w14:val="tx1"/>
                  </w14:solidFill>
                </w14:textFill>
              </w:rPr>
            </w:pPr>
            <w:r>
              <w:rPr>
                <w:color w:val="000000" w:themeColor="text1"/>
                <w14:textFill>
                  <w14:solidFill>
                    <w14:schemeClr w14:val="tx1"/>
                  </w14:solidFill>
                </w14:textFill>
              </w:rPr>
              <w:t>20-20-20-20-10-10</w:t>
            </w:r>
          </w:p>
        </w:tc>
        <w:tc>
          <w:tcPr>
            <w:tcW w:w="1289" w:type="dxa"/>
            <w:vAlign w:val="center"/>
          </w:tcPr>
          <w:p w14:paraId="1AEBE988">
            <w:pPr>
              <w:jc w:val="center"/>
              <w:rPr>
                <w:color w:val="000000" w:themeColor="text1"/>
                <w14:textFill>
                  <w14:solidFill>
                    <w14:schemeClr w14:val="tx1"/>
                  </w14:solidFill>
                </w14:textFill>
              </w:rPr>
            </w:pPr>
            <w:r>
              <w:rPr>
                <w:color w:val="000000" w:themeColor="text1"/>
                <w14:textFill>
                  <w14:solidFill>
                    <w14:schemeClr w14:val="tx1"/>
                  </w14:solidFill>
                </w14:textFill>
              </w:rPr>
              <w:t>Từ năm</w:t>
            </w:r>
          </w:p>
        </w:tc>
        <w:tc>
          <w:tcPr>
            <w:tcW w:w="1289" w:type="dxa"/>
            <w:vMerge w:val="restart"/>
            <w:vAlign w:val="center"/>
          </w:tcPr>
          <w:p w14:paraId="676AD7DA">
            <w:pPr>
              <w:jc w:val="center"/>
              <w:rPr>
                <w:color w:val="000000" w:themeColor="text1"/>
                <w14:textFill>
                  <w14:solidFill>
                    <w14:schemeClr w14:val="tx1"/>
                  </w14:solidFill>
                </w14:textFill>
              </w:rPr>
            </w:pPr>
            <w:r>
              <w:rPr>
                <w:color w:val="000000" w:themeColor="text1"/>
                <w14:textFill>
                  <w14:solidFill>
                    <w14:schemeClr w14:val="tx1"/>
                  </w14:solidFill>
                </w14:textFill>
              </w:rPr>
              <w:t>5 năm</w:t>
            </w:r>
          </w:p>
        </w:tc>
        <w:tc>
          <w:tcPr>
            <w:tcW w:w="1287" w:type="dxa"/>
            <w:vMerge w:val="restart"/>
            <w:vAlign w:val="center"/>
          </w:tcPr>
          <w:p w14:paraId="08E7B10C">
            <w:pPr>
              <w:jc w:val="center"/>
              <w:rPr>
                <w:color w:val="000000" w:themeColor="text1"/>
                <w14:textFill>
                  <w14:solidFill>
                    <w14:schemeClr w14:val="tx1"/>
                  </w14:solidFill>
                </w14:textFill>
              </w:rPr>
            </w:pPr>
            <w:r>
              <w:rPr>
                <w:color w:val="000000" w:themeColor="text1"/>
                <w14:textFill>
                  <w14:solidFill>
                    <w14:schemeClr w14:val="tx1"/>
                  </w14:solidFill>
                </w14:textFill>
              </w:rPr>
              <w:t>20-20-20-20-20</w:t>
            </w:r>
          </w:p>
        </w:tc>
      </w:tr>
      <w:tr w14:paraId="4246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vAlign w:val="center"/>
          </w:tcPr>
          <w:p w14:paraId="30FEBE1F">
            <w:pPr>
              <w:jc w:val="center"/>
              <w:rPr>
                <w:color w:val="000000" w:themeColor="text1"/>
                <w14:textFill>
                  <w14:solidFill>
                    <w14:schemeClr w14:val="tx1"/>
                  </w14:solidFill>
                </w14:textFill>
              </w:rPr>
            </w:pPr>
            <w:r>
              <w:rPr>
                <w:color w:val="000000" w:themeColor="text1"/>
                <w:lang w:val="vi-VN"/>
                <w14:textFill>
                  <w14:solidFill>
                    <w14:schemeClr w14:val="tx1"/>
                  </w14:solidFill>
                </w14:textFill>
              </w:rPr>
              <w:t>trở lên</w:t>
            </w:r>
          </w:p>
        </w:tc>
        <w:tc>
          <w:tcPr>
            <w:tcW w:w="1279" w:type="dxa"/>
            <w:vMerge w:val="continue"/>
            <w:vAlign w:val="center"/>
          </w:tcPr>
          <w:p w14:paraId="37D081CE">
            <w:pPr>
              <w:jc w:val="center"/>
              <w:rPr>
                <w:color w:val="000000" w:themeColor="text1"/>
                <w14:textFill>
                  <w14:solidFill>
                    <w14:schemeClr w14:val="tx1"/>
                  </w14:solidFill>
                </w14:textFill>
              </w:rPr>
            </w:pPr>
          </w:p>
        </w:tc>
        <w:tc>
          <w:tcPr>
            <w:tcW w:w="1289" w:type="dxa"/>
            <w:vAlign w:val="center"/>
          </w:tcPr>
          <w:p w14:paraId="55108DCE">
            <w:pPr>
              <w:jc w:val="center"/>
              <w:rPr>
                <w:color w:val="000000" w:themeColor="text1"/>
                <w14:textFill>
                  <w14:solidFill>
                    <w14:schemeClr w14:val="tx1"/>
                  </w14:solidFill>
                </w14:textFill>
              </w:rPr>
            </w:pPr>
          </w:p>
        </w:tc>
        <w:tc>
          <w:tcPr>
            <w:tcW w:w="1289" w:type="dxa"/>
            <w:vMerge w:val="continue"/>
            <w:vAlign w:val="center"/>
          </w:tcPr>
          <w:p w14:paraId="771D0D18">
            <w:pPr>
              <w:jc w:val="center"/>
              <w:rPr>
                <w:color w:val="000000" w:themeColor="text1"/>
                <w14:textFill>
                  <w14:solidFill>
                    <w14:schemeClr w14:val="tx1"/>
                  </w14:solidFill>
                </w14:textFill>
              </w:rPr>
            </w:pPr>
          </w:p>
        </w:tc>
        <w:tc>
          <w:tcPr>
            <w:tcW w:w="1289" w:type="dxa"/>
            <w:vAlign w:val="center"/>
          </w:tcPr>
          <w:p w14:paraId="308C5C30">
            <w:pPr>
              <w:jc w:val="center"/>
              <w:rPr>
                <w:color w:val="000000" w:themeColor="text1"/>
                <w14:textFill>
                  <w14:solidFill>
                    <w14:schemeClr w14:val="tx1"/>
                  </w14:solidFill>
                </w14:textFill>
              </w:rPr>
            </w:pPr>
            <w:r>
              <w:rPr>
                <w:color w:val="000000" w:themeColor="text1"/>
                <w14:textFill>
                  <w14:solidFill>
                    <w14:schemeClr w14:val="tx1"/>
                  </w14:solidFill>
                </w14:textFill>
              </w:rPr>
              <w:t>thứ hai</w:t>
            </w:r>
          </w:p>
        </w:tc>
        <w:tc>
          <w:tcPr>
            <w:tcW w:w="1289" w:type="dxa"/>
            <w:vMerge w:val="continue"/>
            <w:vAlign w:val="center"/>
          </w:tcPr>
          <w:p w14:paraId="13B96AB1">
            <w:pPr>
              <w:jc w:val="center"/>
              <w:rPr>
                <w:color w:val="000000" w:themeColor="text1"/>
                <w14:textFill>
                  <w14:solidFill>
                    <w14:schemeClr w14:val="tx1"/>
                  </w14:solidFill>
                </w14:textFill>
              </w:rPr>
            </w:pPr>
          </w:p>
        </w:tc>
        <w:tc>
          <w:tcPr>
            <w:tcW w:w="1287" w:type="dxa"/>
            <w:vMerge w:val="continue"/>
            <w:vAlign w:val="center"/>
          </w:tcPr>
          <w:p w14:paraId="4B3EC631">
            <w:pPr>
              <w:jc w:val="center"/>
              <w:rPr>
                <w:color w:val="000000" w:themeColor="text1"/>
                <w14:textFill>
                  <w14:solidFill>
                    <w14:schemeClr w14:val="tx1"/>
                  </w14:solidFill>
                </w14:textFill>
              </w:rPr>
            </w:pPr>
          </w:p>
        </w:tc>
      </w:tr>
    </w:tbl>
    <w:p w14:paraId="1FEDB444">
      <w:pPr>
        <w:widowControl w:val="0"/>
        <w:spacing w:before="120" w:after="120" w:line="320" w:lineRule="exact"/>
        <w:ind w:firstLine="567"/>
        <w:jc w:val="both"/>
        <w:rPr>
          <w:bCs/>
          <w:color w:val="000000" w:themeColor="text1"/>
          <w:spacing w:val="-4"/>
          <w:sz w:val="26"/>
          <w:szCs w:val="26"/>
          <w14:textFill>
            <w14:solidFill>
              <w14:schemeClr w14:val="tx1"/>
            </w14:solidFill>
          </w14:textFill>
        </w:rPr>
      </w:pPr>
      <w:r>
        <w:rPr>
          <w:bCs/>
          <w:color w:val="000000" w:themeColor="text1"/>
          <w:spacing w:val="-4"/>
          <w:sz w:val="26"/>
          <w:szCs w:val="26"/>
          <w14:textFill>
            <w14:solidFill>
              <w14:schemeClr w14:val="tx1"/>
            </w14:solidFill>
          </w14:textFill>
        </w:rPr>
        <w:t>=&gt; Như vậy Khu đô thị phía Đông Nam thị trấn Đồng Mỏ (nay là xã Chi Lăng, tỉnh Lạng Sơn) có quy mô 19,82 ha, thuộc trường hợp trường hợp dự án có xây dựng nhà xây thô, quy mô sử dụng đất từ 10 ha đến dưới 20ha.</w:t>
      </w:r>
    </w:p>
    <w:bookmarkEnd w:id="34"/>
    <w:p w14:paraId="7D296326">
      <w:pPr>
        <w:widowControl w:val="0"/>
        <w:spacing w:before="120" w:after="120" w:line="320" w:lineRule="exact"/>
        <w:ind w:firstLine="567"/>
        <w:jc w:val="both"/>
        <w:rPr>
          <w:bCs/>
          <w:color w:val="000000" w:themeColor="text1"/>
          <w:spacing w:val="-4"/>
          <w:sz w:val="26"/>
          <w:szCs w:val="26"/>
          <w:lang w:val="vi-VN"/>
          <w14:textFill>
            <w14:solidFill>
              <w14:schemeClr w14:val="tx1"/>
            </w14:solidFill>
          </w14:textFill>
        </w:rPr>
      </w:pPr>
      <w:r>
        <w:rPr>
          <w:b/>
          <w:color w:val="000000" w:themeColor="text1"/>
          <w:spacing w:val="-4"/>
          <w:sz w:val="26"/>
          <w:szCs w:val="26"/>
          <w:lang w:val="vi-VN"/>
          <w14:textFill>
            <w14:solidFill>
              <w14:schemeClr w14:val="tx1"/>
            </w14:solidFill>
          </w14:textFill>
        </w:rPr>
        <w:t>a. Thời gian bán hàng:</w:t>
      </w:r>
      <w:r>
        <w:rPr>
          <w:bCs/>
          <w:color w:val="000000" w:themeColor="text1"/>
          <w:spacing w:val="-4"/>
          <w:sz w:val="26"/>
          <w:szCs w:val="26"/>
          <w:lang w:val="vi-VN"/>
          <w14:textFill>
            <w14:solidFill>
              <w14:schemeClr w14:val="tx1"/>
            </w14:solidFill>
          </w14:textFill>
        </w:rPr>
        <w:t xml:space="preserve"> Dự án Khu đô thị phía Đông Nam thị trấn Đồng Mỏ</w:t>
      </w:r>
      <w:r>
        <w:rPr>
          <w:bCs/>
          <w:color w:val="000000" w:themeColor="text1"/>
          <w:spacing w:val="-4"/>
          <w:sz w:val="26"/>
          <w:szCs w:val="26"/>
          <w14:textFill>
            <w14:solidFill>
              <w14:schemeClr w14:val="tx1"/>
            </w14:solidFill>
          </w14:textFill>
        </w:rPr>
        <w:t xml:space="preserve"> </w:t>
      </w:r>
      <w:r>
        <w:rPr>
          <w:bCs/>
          <w:color w:val="000000" w:themeColor="text1"/>
          <w:spacing w:val="-4"/>
          <w:sz w:val="26"/>
          <w:szCs w:val="26"/>
          <w:lang w:val="vi-VN"/>
          <w14:textFill>
            <w14:solidFill>
              <w14:schemeClr w14:val="tx1"/>
            </w14:solidFill>
          </w14:textFill>
        </w:rPr>
        <w:t xml:space="preserve">có quy mô </w:t>
      </w:r>
      <w:r>
        <w:rPr>
          <w:b/>
          <w:color w:val="000000" w:themeColor="text1"/>
          <w:spacing w:val="-4"/>
          <w:sz w:val="26"/>
          <w:szCs w:val="26"/>
          <w14:textFill>
            <w14:solidFill>
              <w14:schemeClr w14:val="tx1"/>
            </w14:solidFill>
          </w14:textFill>
        </w:rPr>
        <w:t>19,82</w:t>
      </w:r>
      <w:r>
        <w:rPr>
          <w:b/>
          <w:color w:val="000000" w:themeColor="text1"/>
          <w:spacing w:val="-4"/>
          <w:sz w:val="26"/>
          <w:szCs w:val="26"/>
          <w:lang w:val="vi-VN"/>
          <w14:textFill>
            <w14:solidFill>
              <w14:schemeClr w14:val="tx1"/>
            </w14:solidFill>
          </w14:textFill>
        </w:rPr>
        <w:t xml:space="preserve"> ha</w:t>
      </w:r>
      <w:r>
        <w:rPr>
          <w:bCs/>
          <w:color w:val="000000" w:themeColor="text1"/>
          <w:spacing w:val="-4"/>
          <w:sz w:val="26"/>
          <w:szCs w:val="26"/>
          <w:lang w:val="vi-VN"/>
          <w14:textFill>
            <w14:solidFill>
              <w14:schemeClr w14:val="tx1"/>
            </w14:solidFill>
          </w14:textFill>
        </w:rPr>
        <w:t>,  thời gian bán hàng trong 0</w:t>
      </w:r>
      <w:r>
        <w:rPr>
          <w:bCs/>
          <w:color w:val="000000" w:themeColor="text1"/>
          <w:spacing w:val="-4"/>
          <w:sz w:val="26"/>
          <w:szCs w:val="26"/>
          <w14:textFill>
            <w14:solidFill>
              <w14:schemeClr w14:val="tx1"/>
            </w14:solidFill>
          </w14:textFill>
        </w:rPr>
        <w:t>3</w:t>
      </w:r>
      <w:r>
        <w:rPr>
          <w:bCs/>
          <w:color w:val="000000" w:themeColor="text1"/>
          <w:spacing w:val="-4"/>
          <w:sz w:val="26"/>
          <w:szCs w:val="26"/>
          <w:lang w:val="vi-VN"/>
          <w14:textFill>
            <w14:solidFill>
              <w14:schemeClr w14:val="tx1"/>
            </w14:solidFill>
          </w14:textFill>
        </w:rPr>
        <w:t xml:space="preserve"> năm</w:t>
      </w:r>
      <w:r>
        <w:rPr>
          <w:bCs/>
          <w:color w:val="000000" w:themeColor="text1"/>
          <w:spacing w:val="-4"/>
          <w:sz w:val="26"/>
          <w:szCs w:val="26"/>
          <w14:textFill>
            <w14:solidFill>
              <w14:schemeClr w14:val="tx1"/>
            </w14:solidFill>
          </w14:textFill>
        </w:rPr>
        <w:t xml:space="preserve"> (n=3)</w:t>
      </w:r>
      <w:r>
        <w:rPr>
          <w:bCs/>
          <w:color w:val="000000" w:themeColor="text1"/>
          <w:spacing w:val="-4"/>
          <w:sz w:val="26"/>
          <w:szCs w:val="26"/>
          <w:lang w:val="vi-VN"/>
          <w14:textFill>
            <w14:solidFill>
              <w14:schemeClr w14:val="tx1"/>
            </w14:solidFill>
          </w14:textFill>
        </w:rPr>
        <w:t>.</w:t>
      </w:r>
    </w:p>
    <w:p w14:paraId="21B4C55C">
      <w:pPr>
        <w:widowControl w:val="0"/>
        <w:spacing w:before="120" w:after="120" w:line="320" w:lineRule="exact"/>
        <w:ind w:firstLine="567"/>
        <w:jc w:val="both"/>
        <w:rPr>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b. Thời điểm bắt đầu bán hàng:</w:t>
      </w:r>
      <w:r>
        <w:rPr>
          <w:bCs/>
          <w:color w:val="000000" w:themeColor="text1"/>
          <w:sz w:val="26"/>
          <w:szCs w:val="26"/>
          <w:lang w:val="vi-VN"/>
          <w14:textFill>
            <w14:solidFill>
              <w14:schemeClr w14:val="tx1"/>
            </w14:solidFill>
          </w14:textFill>
        </w:rPr>
        <w:t xml:space="preserve"> </w:t>
      </w:r>
    </w:p>
    <w:p w14:paraId="37CDAFD4">
      <w:pPr>
        <w:widowControl w:val="0"/>
        <w:spacing w:before="120" w:after="120" w:line="320" w:lineRule="exact"/>
        <w:ind w:firstLine="567"/>
        <w:jc w:val="both"/>
        <w:rPr>
          <w:bCs/>
          <w:color w:val="000000" w:themeColor="text1"/>
          <w:sz w:val="26"/>
          <w:szCs w:val="26"/>
          <w14:textFill>
            <w14:solidFill>
              <w14:schemeClr w14:val="tx1"/>
            </w14:solidFill>
          </w14:textFill>
        </w:rPr>
      </w:pPr>
      <w:r>
        <w:rPr>
          <w:bCs/>
          <w:color w:val="000000" w:themeColor="text1"/>
          <w:sz w:val="26"/>
          <w:szCs w:val="26"/>
          <w:lang w:val="vi-VN"/>
          <w14:textFill>
            <w14:solidFill>
              <w14:schemeClr w14:val="tx1"/>
            </w14:solidFill>
          </w14:textFill>
        </w:rPr>
        <w:t xml:space="preserve">Thời điểm bắt đầu bán hàng từ năm thứ </w:t>
      </w:r>
      <w:r>
        <w:rPr>
          <w:bCs/>
          <w:color w:val="000000" w:themeColor="text1"/>
          <w:sz w:val="26"/>
          <w:szCs w:val="26"/>
          <w14:textFill>
            <w14:solidFill>
              <w14:schemeClr w14:val="tx1"/>
            </w14:solidFill>
          </w14:textFill>
        </w:rPr>
        <w:t>hai.</w:t>
      </w:r>
    </w:p>
    <w:p w14:paraId="68DF17C7">
      <w:pPr>
        <w:widowControl w:val="0"/>
        <w:spacing w:before="120" w:after="120" w:line="320" w:lineRule="exact"/>
        <w:ind w:firstLine="567"/>
        <w:jc w:val="both"/>
        <w:rPr>
          <w:rFonts w:eastAsia="Tahoma"/>
          <w:bCs/>
          <w:color w:val="000000" w:themeColor="text1"/>
          <w:spacing w:val="-4"/>
          <w:sz w:val="26"/>
          <w:szCs w:val="26"/>
          <w14:textFill>
            <w14:solidFill>
              <w14:schemeClr w14:val="tx1"/>
            </w14:solidFill>
          </w14:textFill>
        </w:rPr>
      </w:pPr>
      <w:r>
        <w:rPr>
          <w:b/>
          <w:color w:val="000000" w:themeColor="text1"/>
          <w:spacing w:val="-4"/>
          <w:sz w:val="26"/>
          <w:szCs w:val="26"/>
          <w:lang w:val="vi-VN"/>
          <w14:textFill>
            <w14:solidFill>
              <w14:schemeClr w14:val="tx1"/>
            </w14:solidFill>
          </w14:textFill>
        </w:rPr>
        <w:t>c. Tỷ lệ bán hàng:</w:t>
      </w:r>
      <w:r>
        <w:rPr>
          <w:bCs/>
          <w:color w:val="000000" w:themeColor="text1"/>
          <w:spacing w:val="-4"/>
          <w:sz w:val="26"/>
          <w:szCs w:val="26"/>
          <w:lang w:val="vi-VN"/>
          <w14:textFill>
            <w14:solidFill>
              <w14:schemeClr w14:val="tx1"/>
            </w14:solidFill>
          </w14:textFill>
        </w:rPr>
        <w:t xml:space="preserve"> Được </w:t>
      </w:r>
      <w:r>
        <w:rPr>
          <w:bCs/>
          <w:color w:val="000000" w:themeColor="text1"/>
          <w:spacing w:val="-4"/>
          <w:sz w:val="26"/>
          <w:szCs w:val="26"/>
          <w14:textFill>
            <w14:solidFill>
              <w14:schemeClr w14:val="tx1"/>
            </w14:solidFill>
          </w14:textFill>
        </w:rPr>
        <w:t>phân bổ đều trong 3</w:t>
      </w:r>
      <w:r>
        <w:rPr>
          <w:bCs/>
          <w:color w:val="000000" w:themeColor="text1"/>
          <w:spacing w:val="-4"/>
          <w:sz w:val="26"/>
          <w:szCs w:val="26"/>
          <w:lang w:val="vi-VN"/>
          <w14:textFill>
            <w14:solidFill>
              <w14:schemeClr w14:val="tx1"/>
            </w14:solidFill>
          </w14:textFill>
        </w:rPr>
        <w:t xml:space="preserve"> năm bán hàng đạt tỷ lệ</w:t>
      </w:r>
      <w:r>
        <w:rPr>
          <w:bCs/>
          <w:color w:val="000000" w:themeColor="text1"/>
          <w:spacing w:val="-4"/>
          <w:sz w:val="26"/>
          <w:szCs w:val="26"/>
          <w14:textFill>
            <w14:solidFill>
              <w14:schemeClr w14:val="tx1"/>
            </w14:solidFill>
          </w14:textFill>
        </w:rPr>
        <w:t xml:space="preserve"> 35%/ năm 2; 35% / năm 3; 30%/ năm 4</w:t>
      </w:r>
      <w:r>
        <w:rPr>
          <w:rFonts w:eastAsia="Tahoma"/>
          <w:bCs/>
          <w:color w:val="000000" w:themeColor="text1"/>
          <w:spacing w:val="-4"/>
          <w:sz w:val="26"/>
          <w:szCs w:val="26"/>
          <w14:textFill>
            <w14:solidFill>
              <w14:schemeClr w14:val="tx1"/>
            </w14:solidFill>
          </w14:textFill>
        </w:rPr>
        <w:t>.</w:t>
      </w:r>
    </w:p>
    <w:p w14:paraId="51A01D3C">
      <w:pPr>
        <w:widowControl w:val="0"/>
        <w:spacing w:before="120" w:after="120" w:line="320" w:lineRule="exact"/>
        <w:ind w:firstLine="567"/>
        <w:jc w:val="both"/>
        <w:rPr>
          <w:rFonts w:eastAsia="Tahoma"/>
          <w:b/>
          <w:color w:val="000000" w:themeColor="text1"/>
          <w:spacing w:val="-4"/>
          <w:sz w:val="26"/>
          <w:szCs w:val="26"/>
          <w:lang w:val="vi-VN"/>
          <w14:textFill>
            <w14:solidFill>
              <w14:schemeClr w14:val="tx1"/>
            </w14:solidFill>
          </w14:textFill>
        </w:rPr>
      </w:pPr>
      <w:r>
        <w:rPr>
          <w:rFonts w:eastAsia="Tahoma"/>
          <w:b/>
          <w:color w:val="000000" w:themeColor="text1"/>
          <w:spacing w:val="-4"/>
          <w:sz w:val="26"/>
          <w:szCs w:val="26"/>
          <w:lang w:val="vi-VN"/>
          <w14:textFill>
            <w14:solidFill>
              <w14:schemeClr w14:val="tx1"/>
            </w14:solidFill>
          </w14:textFill>
        </w:rPr>
        <w:t xml:space="preserve">d. </w:t>
      </w:r>
      <w:r>
        <w:rPr>
          <w:rFonts w:eastAsia="Tahoma"/>
          <w:b/>
          <w:color w:val="000000" w:themeColor="text1"/>
          <w:spacing w:val="-4"/>
          <w:sz w:val="26"/>
          <w:szCs w:val="26"/>
          <w14:textFill>
            <w14:solidFill>
              <w14:schemeClr w14:val="tx1"/>
            </w14:solidFill>
          </w14:textFill>
        </w:rPr>
        <w:t>M</w:t>
      </w:r>
      <w:r>
        <w:rPr>
          <w:rFonts w:eastAsia="Tahoma"/>
          <w:b/>
          <w:color w:val="000000" w:themeColor="text1"/>
          <w:spacing w:val="-4"/>
          <w:sz w:val="26"/>
          <w:szCs w:val="26"/>
          <w:lang w:val="vi-VN"/>
          <w14:textFill>
            <w14:solidFill>
              <w14:schemeClr w14:val="tx1"/>
            </w14:solidFill>
          </w14:textFill>
        </w:rPr>
        <w:t xml:space="preserve">ức biến động của giá chuyển nhượng: </w:t>
      </w:r>
    </w:p>
    <w:p w14:paraId="068E6EE0">
      <w:pPr>
        <w:widowControl w:val="0"/>
        <w:spacing w:before="120" w:after="120" w:line="320" w:lineRule="exact"/>
        <w:ind w:firstLine="567"/>
        <w:jc w:val="both"/>
        <w:rPr>
          <w:color w:val="000000" w:themeColor="text1"/>
          <w:spacing w:val="-4"/>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 xml:space="preserve">- Căn cứ tiết d) mục 2, Điều </w:t>
      </w:r>
      <w:r>
        <w:rPr>
          <w:color w:val="000000" w:themeColor="text1"/>
          <w:spacing w:val="-4"/>
          <w:sz w:val="26"/>
          <w:szCs w:val="26"/>
          <w14:textFill>
            <w14:solidFill>
              <w14:schemeClr w14:val="tx1"/>
            </w14:solidFill>
          </w14:textFill>
        </w:rPr>
        <w:t>6</w:t>
      </w:r>
      <w:r>
        <w:rPr>
          <w:color w:val="000000" w:themeColor="text1"/>
          <w:spacing w:val="-4"/>
          <w:sz w:val="26"/>
          <w:szCs w:val="26"/>
          <w:lang w:val="vi-VN"/>
          <w14:textFill>
            <w14:solidFill>
              <w14:schemeClr w14:val="tx1"/>
            </w14:solidFill>
          </w14:textFill>
        </w:rPr>
        <w:t xml:space="preserve"> Nghị định số 71/2024/NĐ-CP ngày 27/06/2024 của Chính Phủ: “d) Việc xác định mức biến động của giá chuyển nhượng, giá thuê đất, giá thuê mặt bằng, giá kinh doanh sản phẩm, dịch vụ căn cứ vào số liệu của cơ quan thống kê hoặc cơ quan quản lý thị trường bất động sản. Trường hợp không có số liệu của cơ quan thống kê hoặc cơ quan quản lý thị trường bất động sản thì thực hiện như sau:</w:t>
      </w:r>
    </w:p>
    <w:p w14:paraId="21404651">
      <w:pPr>
        <w:widowControl w:val="0"/>
        <w:spacing w:before="120" w:after="120" w:line="320" w:lineRule="exact"/>
        <w:ind w:firstLine="567"/>
        <w:jc w:val="both"/>
        <w:rPr>
          <w:color w:val="000000" w:themeColor="text1"/>
          <w:spacing w:val="-2"/>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Đối với trường hợp xác định mức biến động của giá chuyển nhượng thì căn cứ theo chỉ số giá tiêu dùng nhóm nhà ở và vật liệu xây dựng bình quân 03 năm liên kế trước thời điểm định giá đất do cơ quan nhà nước có thẩm quyền công bố áp dụng trên địa bàn hành chính cấp tỉnh, trường hợp địa phương không công bố chỉ số giá tiêu dùng nhóm nhà ở và vật liệu xây dựng thì lấy theo chỉ số giá tiêu dùng nhóm nhà ở và vật liệu xây dựng của cả nước</w:t>
      </w:r>
      <w:r>
        <w:rPr>
          <w:color w:val="000000" w:themeColor="text1"/>
          <w:spacing w:val="-2"/>
          <w:sz w:val="26"/>
          <w:szCs w:val="26"/>
          <w:lang w:val="vi-VN"/>
          <w14:textFill>
            <w14:solidFill>
              <w14:schemeClr w14:val="tx1"/>
            </w14:solidFill>
          </w14:textFill>
        </w:rPr>
        <w:t xml:space="preserve">. Công ty VCVS tiến hành điều chỉnh </w:t>
      </w:r>
      <w:r>
        <w:rPr>
          <w:color w:val="000000" w:themeColor="text1"/>
          <w:spacing w:val="-2"/>
          <w:sz w:val="26"/>
          <w:szCs w:val="26"/>
          <w14:textFill>
            <w14:solidFill>
              <w14:schemeClr w14:val="tx1"/>
            </w14:solidFill>
          </w14:textFill>
        </w:rPr>
        <w:t xml:space="preserve">mức biến động </w:t>
      </w:r>
      <w:r>
        <w:rPr>
          <w:color w:val="000000" w:themeColor="text1"/>
          <w:spacing w:val="-2"/>
          <w:sz w:val="26"/>
          <w:szCs w:val="26"/>
          <w:lang w:val="vi-VN"/>
          <w14:textFill>
            <w14:solidFill>
              <w14:schemeClr w14:val="tx1"/>
            </w14:solidFill>
          </w14:textFill>
        </w:rPr>
        <w:t xml:space="preserve">giá chuyển nhượng căn cứ theo giá trị lũy kế chỉ số biến động bình quân của chỉ số giá tiêu dùng CPI tỉnh </w:t>
      </w:r>
      <w:r>
        <w:rPr>
          <w:color w:val="000000" w:themeColor="text1"/>
          <w:spacing w:val="-2"/>
          <w:sz w:val="26"/>
          <w:szCs w:val="26"/>
          <w14:textFill>
            <w14:solidFill>
              <w14:schemeClr w14:val="tx1"/>
            </w14:solidFill>
          </w14:textFill>
        </w:rPr>
        <w:t>Lạng Sơn</w:t>
      </w:r>
      <w:r>
        <w:rPr>
          <w:color w:val="000000" w:themeColor="text1"/>
          <w:spacing w:val="-2"/>
          <w:sz w:val="26"/>
          <w:szCs w:val="26"/>
          <w:lang w:val="vi-VN"/>
          <w14:textFill>
            <w14:solidFill>
              <w14:schemeClr w14:val="tx1"/>
            </w14:solidFill>
          </w14:textFill>
        </w:rPr>
        <w:t xml:space="preserve"> bình quân 3 năm liên tục – nhóm nhà ở, điện nước, chất đốt và VLXD.</w:t>
      </w:r>
    </w:p>
    <w:p w14:paraId="3CD2D2F3">
      <w:pPr>
        <w:widowControl w:val="0"/>
        <w:spacing w:before="120" w:after="120" w:line="340" w:lineRule="exact"/>
        <w:ind w:firstLine="567"/>
        <w:jc w:val="center"/>
        <w:rPr>
          <w:b/>
          <w:bCs/>
          <w:color w:val="000000" w:themeColor="text1"/>
          <w:spacing w:val="-4"/>
          <w:sz w:val="26"/>
          <w:szCs w:val="26"/>
          <w14:textFill>
            <w14:solidFill>
              <w14:schemeClr w14:val="tx1"/>
            </w14:solidFill>
          </w14:textFill>
        </w:rPr>
      </w:pPr>
      <w:r>
        <w:rPr>
          <w:b/>
          <w:bCs/>
          <w:color w:val="000000" w:themeColor="text1"/>
          <w:spacing w:val="-4"/>
          <w:sz w:val="26"/>
          <w:szCs w:val="26"/>
          <w14:textFill>
            <w14:solidFill>
              <w14:schemeClr w14:val="tx1"/>
            </w14:solidFill>
          </w14:textFill>
        </w:rPr>
        <w:t>Chỉ số giá tiêu dùng các năm  2022, 2023, 2024 của cục thống kê tỉnh Lạng Sơn bình quân 3 năm</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931"/>
        <w:gridCol w:w="1456"/>
        <w:gridCol w:w="1501"/>
        <w:gridCol w:w="1425"/>
        <w:gridCol w:w="1423"/>
      </w:tblGrid>
      <w:tr w14:paraId="705E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14:paraId="791F023B">
            <w:pPr>
              <w:jc w:val="center"/>
              <w:rPr>
                <w:b/>
                <w:bCs/>
                <w:color w:val="000000"/>
              </w:rPr>
            </w:pPr>
            <w:r>
              <w:rPr>
                <w:b/>
                <w:bCs/>
                <w:color w:val="000000"/>
              </w:rPr>
              <w:t>TT</w:t>
            </w:r>
          </w:p>
        </w:tc>
        <w:tc>
          <w:tcPr>
            <w:tcW w:w="1578" w:type="pct"/>
            <w:vAlign w:val="center"/>
          </w:tcPr>
          <w:p w14:paraId="35A57BC2">
            <w:pPr>
              <w:jc w:val="center"/>
              <w:rPr>
                <w:b/>
                <w:bCs/>
                <w:color w:val="000000"/>
              </w:rPr>
            </w:pPr>
            <w:r>
              <w:rPr>
                <w:b/>
                <w:bCs/>
                <w:color w:val="000000"/>
              </w:rPr>
              <w:t>DANH MỤC</w:t>
            </w:r>
          </w:p>
        </w:tc>
        <w:tc>
          <w:tcPr>
            <w:tcW w:w="784" w:type="pct"/>
            <w:vAlign w:val="center"/>
          </w:tcPr>
          <w:p w14:paraId="40A854A7">
            <w:pPr>
              <w:jc w:val="center"/>
              <w:rPr>
                <w:b/>
                <w:bCs/>
                <w:color w:val="000000"/>
              </w:rPr>
            </w:pPr>
            <w:r>
              <w:rPr>
                <w:b/>
                <w:bCs/>
                <w:color w:val="000000"/>
              </w:rPr>
              <w:t>Năm 2022 so với năm 2021</w:t>
            </w:r>
          </w:p>
        </w:tc>
        <w:tc>
          <w:tcPr>
            <w:tcW w:w="808" w:type="pct"/>
            <w:vAlign w:val="center"/>
          </w:tcPr>
          <w:p w14:paraId="14C45A78">
            <w:pPr>
              <w:jc w:val="center"/>
              <w:rPr>
                <w:b/>
                <w:bCs/>
                <w:color w:val="000000"/>
              </w:rPr>
            </w:pPr>
            <w:r>
              <w:rPr>
                <w:b/>
                <w:bCs/>
                <w:color w:val="000000"/>
              </w:rPr>
              <w:t>Năm 2023 so với năm 2022</w:t>
            </w:r>
          </w:p>
        </w:tc>
        <w:tc>
          <w:tcPr>
            <w:tcW w:w="767" w:type="pct"/>
            <w:vAlign w:val="center"/>
          </w:tcPr>
          <w:p w14:paraId="4BCF723A">
            <w:pPr>
              <w:jc w:val="center"/>
              <w:rPr>
                <w:b/>
                <w:bCs/>
                <w:color w:val="000000"/>
              </w:rPr>
            </w:pPr>
            <w:r>
              <w:rPr>
                <w:b/>
                <w:bCs/>
                <w:color w:val="000000"/>
              </w:rPr>
              <w:t>Năm 2024 so với năm 2023</w:t>
            </w:r>
          </w:p>
        </w:tc>
        <w:tc>
          <w:tcPr>
            <w:tcW w:w="766" w:type="pct"/>
            <w:vAlign w:val="center"/>
          </w:tcPr>
          <w:p w14:paraId="45E27892">
            <w:pPr>
              <w:jc w:val="center"/>
              <w:rPr>
                <w:b/>
                <w:bCs/>
                <w:color w:val="000000"/>
              </w:rPr>
            </w:pPr>
            <w:r>
              <w:rPr>
                <w:b/>
                <w:bCs/>
                <w:color w:val="000000"/>
              </w:rPr>
              <w:t>Bình quân</w:t>
            </w:r>
          </w:p>
        </w:tc>
      </w:tr>
      <w:tr w14:paraId="5E86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14:paraId="61BCC6F7">
            <w:pPr>
              <w:jc w:val="center"/>
              <w:rPr>
                <w:b/>
                <w:bCs/>
                <w:color w:val="000000"/>
              </w:rPr>
            </w:pPr>
            <w:r>
              <w:rPr>
                <w:b/>
                <w:bCs/>
                <w:color w:val="000000"/>
              </w:rPr>
              <w:t>1</w:t>
            </w:r>
          </w:p>
        </w:tc>
        <w:tc>
          <w:tcPr>
            <w:tcW w:w="1578" w:type="pct"/>
            <w:vAlign w:val="center"/>
          </w:tcPr>
          <w:p w14:paraId="2229EF8A">
            <w:pPr>
              <w:jc w:val="center"/>
              <w:rPr>
                <w:b/>
                <w:bCs/>
                <w:color w:val="000000"/>
              </w:rPr>
            </w:pPr>
            <w:r>
              <w:rPr>
                <w:b/>
                <w:bCs/>
                <w:color w:val="000000"/>
              </w:rPr>
              <w:t>Chỉ số giá tiêu dùng Lạng Sơn nhóm nhà ở và VLXD</w:t>
            </w:r>
          </w:p>
        </w:tc>
        <w:tc>
          <w:tcPr>
            <w:tcW w:w="784" w:type="pct"/>
            <w:vAlign w:val="center"/>
          </w:tcPr>
          <w:p w14:paraId="03E4B807">
            <w:pPr>
              <w:jc w:val="center"/>
              <w:rPr>
                <w:color w:val="000000"/>
              </w:rPr>
            </w:pPr>
            <w:r>
              <w:rPr>
                <w:color w:val="000000"/>
              </w:rPr>
              <w:t>101,98%</w:t>
            </w:r>
          </w:p>
        </w:tc>
        <w:tc>
          <w:tcPr>
            <w:tcW w:w="808" w:type="pct"/>
            <w:vAlign w:val="center"/>
          </w:tcPr>
          <w:p w14:paraId="7874A6C7">
            <w:pPr>
              <w:jc w:val="center"/>
              <w:rPr>
                <w:color w:val="000000"/>
              </w:rPr>
            </w:pPr>
            <w:r>
              <w:rPr>
                <w:color w:val="000000"/>
              </w:rPr>
              <w:t>101,50%</w:t>
            </w:r>
          </w:p>
        </w:tc>
        <w:tc>
          <w:tcPr>
            <w:tcW w:w="767" w:type="pct"/>
            <w:vAlign w:val="center"/>
          </w:tcPr>
          <w:p w14:paraId="2E2F1003">
            <w:pPr>
              <w:jc w:val="center"/>
              <w:rPr>
                <w:color w:val="000000"/>
              </w:rPr>
            </w:pPr>
            <w:r>
              <w:rPr>
                <w:color w:val="000000"/>
              </w:rPr>
              <w:t>103,51%</w:t>
            </w:r>
          </w:p>
        </w:tc>
        <w:tc>
          <w:tcPr>
            <w:tcW w:w="766" w:type="pct"/>
            <w:vAlign w:val="center"/>
          </w:tcPr>
          <w:p w14:paraId="3612C775">
            <w:pPr>
              <w:jc w:val="center"/>
              <w:rPr>
                <w:color w:val="000000"/>
              </w:rPr>
            </w:pPr>
            <w:r>
              <w:rPr>
                <w:color w:val="000000"/>
              </w:rPr>
              <w:t>102,33%</w:t>
            </w:r>
          </w:p>
        </w:tc>
      </w:tr>
      <w:tr w14:paraId="457A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14:paraId="5913B383">
            <w:pPr>
              <w:jc w:val="center"/>
              <w:rPr>
                <w:color w:val="000000"/>
              </w:rPr>
            </w:pPr>
          </w:p>
        </w:tc>
        <w:tc>
          <w:tcPr>
            <w:tcW w:w="1578" w:type="pct"/>
            <w:noWrap/>
            <w:vAlign w:val="center"/>
          </w:tcPr>
          <w:p w14:paraId="63DA935C">
            <w:pPr>
              <w:jc w:val="center"/>
              <w:rPr>
                <w:b/>
                <w:bCs/>
                <w:color w:val="000000"/>
              </w:rPr>
            </w:pPr>
            <w:r>
              <w:rPr>
                <w:b/>
                <w:bCs/>
                <w:color w:val="000000"/>
              </w:rPr>
              <w:t>TRUNG BÌNH</w:t>
            </w:r>
          </w:p>
        </w:tc>
        <w:tc>
          <w:tcPr>
            <w:tcW w:w="784" w:type="pct"/>
            <w:vAlign w:val="center"/>
          </w:tcPr>
          <w:p w14:paraId="5EEBA688">
            <w:pPr>
              <w:jc w:val="center"/>
              <w:rPr>
                <w:color w:val="000000"/>
              </w:rPr>
            </w:pPr>
            <w:r>
              <w:rPr>
                <w:color w:val="000000"/>
              </w:rPr>
              <w:t>1,98%</w:t>
            </w:r>
          </w:p>
        </w:tc>
        <w:tc>
          <w:tcPr>
            <w:tcW w:w="808" w:type="pct"/>
            <w:vAlign w:val="center"/>
          </w:tcPr>
          <w:p w14:paraId="11608594">
            <w:pPr>
              <w:jc w:val="center"/>
              <w:rPr>
                <w:color w:val="000000"/>
              </w:rPr>
            </w:pPr>
            <w:r>
              <w:rPr>
                <w:color w:val="000000"/>
              </w:rPr>
              <w:t>1,50%</w:t>
            </w:r>
          </w:p>
        </w:tc>
        <w:tc>
          <w:tcPr>
            <w:tcW w:w="767" w:type="pct"/>
            <w:vAlign w:val="center"/>
          </w:tcPr>
          <w:p w14:paraId="3EF12DE5">
            <w:pPr>
              <w:jc w:val="center"/>
              <w:rPr>
                <w:color w:val="000000"/>
              </w:rPr>
            </w:pPr>
            <w:r>
              <w:rPr>
                <w:color w:val="000000"/>
              </w:rPr>
              <w:t>3,51%</w:t>
            </w:r>
          </w:p>
        </w:tc>
        <w:tc>
          <w:tcPr>
            <w:tcW w:w="766" w:type="pct"/>
            <w:vAlign w:val="center"/>
          </w:tcPr>
          <w:p w14:paraId="40451291">
            <w:pPr>
              <w:jc w:val="center"/>
              <w:rPr>
                <w:color w:val="000000"/>
              </w:rPr>
            </w:pPr>
            <w:r>
              <w:rPr>
                <w:color w:val="000000"/>
              </w:rPr>
              <w:t>2,33%</w:t>
            </w:r>
          </w:p>
        </w:tc>
      </w:tr>
    </w:tbl>
    <w:p w14:paraId="4BB1C746">
      <w:pPr>
        <w:pStyle w:val="38"/>
        <w:widowControl w:val="0"/>
        <w:spacing w:before="120" w:after="120" w:line="340" w:lineRule="exact"/>
        <w:jc w:val="both"/>
        <w:rPr>
          <w:b/>
          <w:i/>
          <w:i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=&gt; Mức biến động của giá chuyển nhượng hàng năm: </w:t>
      </w:r>
      <w:r>
        <w:rPr>
          <w:b/>
          <w:i/>
          <w:iCs/>
          <w:color w:val="000000" w:themeColor="text1"/>
          <w:sz w:val="26"/>
          <w:szCs w:val="26"/>
          <w14:textFill>
            <w14:solidFill>
              <w14:schemeClr w14:val="tx1"/>
            </w14:solidFill>
          </w14:textFill>
        </w:rPr>
        <w:t>102,33%năm</w:t>
      </w:r>
    </w:p>
    <w:p w14:paraId="45E72634">
      <w:pPr>
        <w:widowControl w:val="0"/>
        <w:spacing w:before="120" w:after="120" w:line="340" w:lineRule="exact"/>
        <w:ind w:firstLine="567"/>
        <w:jc w:val="both"/>
        <w:rPr>
          <w:bCs/>
          <w:color w:val="000000" w:themeColor="text1"/>
          <w:spacing w:val="-2"/>
          <w:sz w:val="26"/>
          <w:szCs w:val="26"/>
          <w14:textFill>
            <w14:solidFill>
              <w14:schemeClr w14:val="tx1"/>
            </w14:solidFill>
          </w14:textFill>
        </w:rPr>
      </w:pPr>
      <w:r>
        <w:rPr>
          <w:bCs/>
          <w:color w:val="000000" w:themeColor="text1"/>
          <w:spacing w:val="-2"/>
          <w:sz w:val="26"/>
          <w:szCs w:val="26"/>
          <w14:textFill>
            <w14:solidFill>
              <w14:schemeClr w14:val="tx1"/>
            </w14:solidFill>
          </w14:textFill>
        </w:rPr>
        <w:t xml:space="preserve">Số năm bán hàng được xác định từ thời điểm giao đất, đối với những dự án mà thời điểm giao đất cách xa thời điểm khảo sát, lập chứng thư, đơn vị tư vấn khảo sát thị trường thời gian từ thời điểm giao đất đến thời điểm lập chứng thư mà thị trường BĐS không có sự biến động hoặc trầm lắng, giảm cả về giao dịch và giá bán thì cần đánh giá kỹ lưỡng yếu tố thị trường trong việc xác định tỷ lệ tăng giá bán từ năm thứ mấy bán hàng. </w:t>
      </w:r>
    </w:p>
    <w:p w14:paraId="6753ABB9">
      <w:pPr>
        <w:widowControl w:val="0"/>
        <w:spacing w:before="120" w:after="120" w:line="340" w:lineRule="exact"/>
        <w:ind w:firstLine="567"/>
        <w:jc w:val="both"/>
        <w:rPr>
          <w:bCs/>
          <w:color w:val="000000" w:themeColor="text1"/>
          <w:spacing w:val="-2"/>
          <w:sz w:val="26"/>
          <w:szCs w:val="26"/>
          <w14:textFill>
            <w14:solidFill>
              <w14:schemeClr w14:val="tx1"/>
            </w14:solidFill>
          </w14:textFill>
        </w:rPr>
      </w:pPr>
      <w:r>
        <w:rPr>
          <w:bCs/>
          <w:color w:val="000000" w:themeColor="text1"/>
          <w:spacing w:val="-2"/>
          <w:sz w:val="26"/>
          <w:szCs w:val="26"/>
          <w14:textFill>
            <w14:solidFill>
              <w14:schemeClr w14:val="tx1"/>
            </w14:solidFill>
          </w14:textFill>
        </w:rPr>
        <w:t xml:space="preserve">Dự án Khu đô thị </w:t>
      </w:r>
      <w:r>
        <w:rPr>
          <w:bCs/>
          <w:color w:val="000000" w:themeColor="text1"/>
          <w:spacing w:val="-2"/>
          <w:sz w:val="26"/>
          <w:szCs w:val="26"/>
          <w:lang w:val="vi-VN"/>
          <w14:textFill>
            <w14:solidFill>
              <w14:schemeClr w14:val="tx1"/>
            </w14:solidFill>
          </w14:textFill>
        </w:rPr>
        <w:t>phía Đông Nam thị trấn Đồng Mỏ</w:t>
      </w:r>
      <w:r>
        <w:rPr>
          <w:bCs/>
          <w:color w:val="000000" w:themeColor="text1"/>
          <w:spacing w:val="-2"/>
          <w:sz w:val="26"/>
          <w:szCs w:val="26"/>
          <w14:textFill>
            <w14:solidFill>
              <w14:schemeClr w14:val="tx1"/>
            </w14:solidFill>
          </w14:textFill>
        </w:rPr>
        <w:t xml:space="preserve"> (nay là xã Chi Lăng, tỉnh Lạng Sơn) được giao đất tại thời điểm tháng 01/2025, thời điểm bắt đầu tiến hành khảo sát thực hiện định giá là tháng 2/2025, thời điểm lập dự thảo chứng thư tháng 07/2025 (có tiến hành khảo sát lại). Qua đánh giá về tình hình kinh tế xã hội, động lực phát triển, có dấu hiệu biến động tăng nhẹ của thị trường bất động sản, do dự án nằm trên địa bàn huyện Chi Lăng, gần dự án Khu đô thị phía Đông thị trấn Đồng Mỏ; có ảnh hưởng bởi các thông tin liên quan tiềm năng từ 2 dự án và thông tin sáp nhập hành chính xã, thị trấn. Đơn vị tư vấn đề xuất xác định tỷ lệ tăng giá bán bắt đầu từ năm thứ 2. </w:t>
      </w:r>
    </w:p>
    <w:p w14:paraId="30F6F45D">
      <w:pPr>
        <w:widowControl w:val="0"/>
        <w:spacing w:before="120" w:after="120" w:line="340" w:lineRule="exact"/>
        <w:ind w:firstLine="567"/>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Công ty VCVS căn cứ chỉ số giá tiêu dùng (CPI) của cục thống kê tỉnh Lạng Sơn bình quân 3 năm từ năm 2022 đến 2024 với tỷ lệ 2,33%năm để điều chỉnh tăng giá chuyển nhượng. Theo quy định thì năm 1 chưa phát sinh doanh thu, tỷ lệ tăng giá 0%; năm thứ 2 bắt đầu phát sinh doanh thu, tỷ lệ tăng giá là  2,33%; năm thứ 3 tỷ lệ biến động tăng giá bán là 4,71%, năm thứ 4 tỷ lệ biến động là 107,15%.</w:t>
      </w:r>
    </w:p>
    <w:p w14:paraId="413E1926">
      <w:pPr>
        <w:widowControl w:val="0"/>
        <w:spacing w:before="120" w:after="120" w:line="340" w:lineRule="exact"/>
        <w:ind w:firstLine="567"/>
        <w:jc w:val="both"/>
        <w:rPr>
          <w:bCs/>
          <w:color w:val="000000" w:themeColor="text1"/>
          <w:sz w:val="26"/>
          <w:szCs w:val="26"/>
          <w14:textFill>
            <w14:solidFill>
              <w14:schemeClr w14:val="tx1"/>
            </w14:solidFill>
          </w14:textFill>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1684"/>
        <w:gridCol w:w="1820"/>
        <w:gridCol w:w="1803"/>
        <w:gridCol w:w="1802"/>
      </w:tblGrid>
      <w:tr w14:paraId="6C78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72" w:type="pct"/>
            <w:vAlign w:val="center"/>
          </w:tcPr>
          <w:p w14:paraId="7E36B632">
            <w:pPr>
              <w:jc w:val="center"/>
              <w:rPr>
                <w:color w:val="000000" w:themeColor="text1"/>
                <w14:textFill>
                  <w14:solidFill>
                    <w14:schemeClr w14:val="tx1"/>
                  </w14:solidFill>
                </w14:textFill>
              </w:rPr>
            </w:pPr>
            <w:r>
              <w:rPr>
                <w:color w:val="000000" w:themeColor="text1"/>
                <w14:textFill>
                  <w14:solidFill>
                    <w14:schemeClr w14:val="tx1"/>
                  </w14:solidFill>
                </w14:textFill>
              </w:rPr>
              <w:t>Năm</w:t>
            </w:r>
          </w:p>
        </w:tc>
        <w:tc>
          <w:tcPr>
            <w:tcW w:w="907" w:type="pct"/>
            <w:vAlign w:val="center"/>
          </w:tcPr>
          <w:p w14:paraId="13F8A057">
            <w:pPr>
              <w:jc w:val="center"/>
              <w:rPr>
                <w:color w:val="000000" w:themeColor="text1"/>
                <w14:textFill>
                  <w14:solidFill>
                    <w14:schemeClr w14:val="tx1"/>
                  </w14:solidFill>
                </w14:textFill>
              </w:rPr>
            </w:pPr>
            <w:r>
              <w:rPr>
                <w:color w:val="000000" w:themeColor="text1"/>
                <w14:textFill>
                  <w14:solidFill>
                    <w14:schemeClr w14:val="tx1"/>
                  </w14:solidFill>
                </w14:textFill>
              </w:rPr>
              <w:t>Năm 1</w:t>
            </w:r>
          </w:p>
        </w:tc>
        <w:tc>
          <w:tcPr>
            <w:tcW w:w="980" w:type="pct"/>
          </w:tcPr>
          <w:p w14:paraId="442BECF7">
            <w:pPr>
              <w:jc w:val="center"/>
              <w:rPr>
                <w:color w:val="000000" w:themeColor="text1"/>
                <w14:textFill>
                  <w14:solidFill>
                    <w14:schemeClr w14:val="tx1"/>
                  </w14:solidFill>
                </w14:textFill>
              </w:rPr>
            </w:pPr>
            <w:r>
              <w:rPr>
                <w:color w:val="000000" w:themeColor="text1"/>
                <w14:textFill>
                  <w14:solidFill>
                    <w14:schemeClr w14:val="tx1"/>
                  </w14:solidFill>
                </w14:textFill>
              </w:rPr>
              <w:t>Năm 2</w:t>
            </w:r>
          </w:p>
        </w:tc>
        <w:tc>
          <w:tcPr>
            <w:tcW w:w="971" w:type="pct"/>
            <w:vAlign w:val="center"/>
          </w:tcPr>
          <w:p w14:paraId="642EA4E2">
            <w:pPr>
              <w:jc w:val="center"/>
              <w:rPr>
                <w:color w:val="000000" w:themeColor="text1"/>
                <w14:textFill>
                  <w14:solidFill>
                    <w14:schemeClr w14:val="tx1"/>
                  </w14:solidFill>
                </w14:textFill>
              </w:rPr>
            </w:pPr>
            <w:r>
              <w:rPr>
                <w:color w:val="000000" w:themeColor="text1"/>
                <w14:textFill>
                  <w14:solidFill>
                    <w14:schemeClr w14:val="tx1"/>
                  </w14:solidFill>
                </w14:textFill>
              </w:rPr>
              <w:t>Năm 3</w:t>
            </w:r>
          </w:p>
        </w:tc>
        <w:tc>
          <w:tcPr>
            <w:tcW w:w="970" w:type="pct"/>
            <w:vAlign w:val="center"/>
          </w:tcPr>
          <w:p w14:paraId="76A19CE6">
            <w:pPr>
              <w:jc w:val="center"/>
              <w:rPr>
                <w:color w:val="000000" w:themeColor="text1"/>
                <w14:textFill>
                  <w14:solidFill>
                    <w14:schemeClr w14:val="tx1"/>
                  </w14:solidFill>
                </w14:textFill>
              </w:rPr>
            </w:pPr>
            <w:r>
              <w:rPr>
                <w:color w:val="000000" w:themeColor="text1"/>
                <w14:textFill>
                  <w14:solidFill>
                    <w14:schemeClr w14:val="tx1"/>
                  </w14:solidFill>
                </w14:textFill>
              </w:rPr>
              <w:t>Năm 4</w:t>
            </w:r>
          </w:p>
        </w:tc>
      </w:tr>
      <w:tr w14:paraId="0B3D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72" w:type="pct"/>
            <w:vAlign w:val="center"/>
          </w:tcPr>
          <w:p w14:paraId="5F425FFF">
            <w:pPr>
              <w:jc w:val="center"/>
              <w:rPr>
                <w:color w:val="000000" w:themeColor="text1"/>
                <w14:textFill>
                  <w14:solidFill>
                    <w14:schemeClr w14:val="tx1"/>
                  </w14:solidFill>
                </w14:textFill>
              </w:rPr>
            </w:pPr>
            <w:r>
              <w:rPr>
                <w:color w:val="000000" w:themeColor="text1"/>
                <w14:textFill>
                  <w14:solidFill>
                    <w14:schemeClr w14:val="tx1"/>
                  </w14:solidFill>
                </w14:textFill>
              </w:rPr>
              <w:t>Tỷ lệ tăng giá hàng năm</w:t>
            </w:r>
          </w:p>
        </w:tc>
        <w:tc>
          <w:tcPr>
            <w:tcW w:w="907" w:type="pct"/>
            <w:vAlign w:val="center"/>
          </w:tcPr>
          <w:p w14:paraId="10699A13">
            <w:pPr>
              <w:jc w:val="center"/>
              <w:rPr>
                <w:color w:val="000000" w:themeColor="text1"/>
                <w14:textFill>
                  <w14:solidFill>
                    <w14:schemeClr w14:val="tx1"/>
                  </w14:solidFill>
                </w14:textFill>
              </w:rPr>
            </w:pPr>
            <w:r>
              <w:rPr>
                <w:color w:val="000000" w:themeColor="text1"/>
                <w14:textFill>
                  <w14:solidFill>
                    <w14:schemeClr w14:val="tx1"/>
                  </w14:solidFill>
                </w14:textFill>
              </w:rPr>
              <w:t>0%</w:t>
            </w:r>
          </w:p>
        </w:tc>
        <w:tc>
          <w:tcPr>
            <w:tcW w:w="980" w:type="pct"/>
            <w:vAlign w:val="center"/>
          </w:tcPr>
          <w:p w14:paraId="3E48759D">
            <w:pPr>
              <w:jc w:val="center"/>
              <w:rPr>
                <w:color w:val="000000" w:themeColor="text1"/>
                <w14:textFill>
                  <w14:solidFill>
                    <w14:schemeClr w14:val="tx1"/>
                  </w14:solidFill>
                </w14:textFill>
              </w:rPr>
            </w:pPr>
            <w:r>
              <w:rPr>
                <w:color w:val="000000" w:themeColor="text1"/>
                <w14:textFill>
                  <w14:solidFill>
                    <w14:schemeClr w14:val="tx1"/>
                  </w14:solidFill>
                </w14:textFill>
              </w:rPr>
              <w:t>102,33%</w:t>
            </w:r>
          </w:p>
        </w:tc>
        <w:tc>
          <w:tcPr>
            <w:tcW w:w="971" w:type="pct"/>
            <w:vAlign w:val="center"/>
          </w:tcPr>
          <w:p w14:paraId="7CD4D00A">
            <w:pPr>
              <w:jc w:val="center"/>
              <w:rPr>
                <w:color w:val="000000" w:themeColor="text1"/>
                <w14:textFill>
                  <w14:solidFill>
                    <w14:schemeClr w14:val="tx1"/>
                  </w14:solidFill>
                </w14:textFill>
              </w:rPr>
            </w:pPr>
            <w:r>
              <w:rPr>
                <w:color w:val="000000" w:themeColor="text1"/>
                <w14:textFill>
                  <w14:solidFill>
                    <w14:schemeClr w14:val="tx1"/>
                  </w14:solidFill>
                </w14:textFill>
              </w:rPr>
              <w:t>104,71%</w:t>
            </w:r>
          </w:p>
        </w:tc>
        <w:tc>
          <w:tcPr>
            <w:tcW w:w="970" w:type="pct"/>
            <w:vAlign w:val="center"/>
          </w:tcPr>
          <w:p w14:paraId="6177ABE8">
            <w:pPr>
              <w:jc w:val="center"/>
              <w:rPr>
                <w:color w:val="000000" w:themeColor="text1"/>
                <w14:textFill>
                  <w14:solidFill>
                    <w14:schemeClr w14:val="tx1"/>
                  </w14:solidFill>
                </w14:textFill>
              </w:rPr>
            </w:pPr>
            <w:r>
              <w:rPr>
                <w:color w:val="000000" w:themeColor="text1"/>
                <w14:textFill>
                  <w14:solidFill>
                    <w14:schemeClr w14:val="tx1"/>
                  </w14:solidFill>
                </w14:textFill>
              </w:rPr>
              <w:t>107,15%</w:t>
            </w:r>
          </w:p>
        </w:tc>
      </w:tr>
    </w:tbl>
    <w:p w14:paraId="6EF3CE64">
      <w:pPr>
        <w:widowControl w:val="0"/>
        <w:spacing w:before="120" w:after="120" w:line="340" w:lineRule="exact"/>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w:t>
      </w:r>
      <w:r>
        <w:rPr>
          <w:b/>
          <w:color w:val="000000" w:themeColor="text1"/>
          <w:sz w:val="26"/>
          <w:szCs w:val="26"/>
          <w:lang w:val="vi-VN"/>
          <w14:textFill>
            <w14:solidFill>
              <w14:schemeClr w14:val="tx1"/>
            </w14:solidFill>
          </w14:textFill>
        </w:rPr>
        <w:t>Bảng tổng hợp giá trị doanh thu phân bổ qua các năm của dự án:</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798"/>
        <w:gridCol w:w="1566"/>
        <w:gridCol w:w="628"/>
        <w:gridCol w:w="1566"/>
        <w:gridCol w:w="1566"/>
        <w:gridCol w:w="1567"/>
      </w:tblGrid>
      <w:tr w14:paraId="6679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 w:type="pct"/>
            <w:vMerge w:val="restart"/>
            <w:vAlign w:val="center"/>
          </w:tcPr>
          <w:p w14:paraId="5B1D3191">
            <w:pPr>
              <w:jc w:val="center"/>
              <w:rPr>
                <w:b/>
                <w:bCs/>
                <w:sz w:val="20"/>
                <w:szCs w:val="20"/>
              </w:rPr>
            </w:pPr>
            <w:bookmarkStart w:id="35" w:name="_Hlk24056679"/>
            <w:r>
              <w:rPr>
                <w:b/>
                <w:bCs/>
                <w:sz w:val="20"/>
                <w:szCs w:val="20"/>
              </w:rPr>
              <w:t>STT</w:t>
            </w:r>
          </w:p>
        </w:tc>
        <w:tc>
          <w:tcPr>
            <w:tcW w:w="1427" w:type="pct"/>
            <w:vMerge w:val="restart"/>
            <w:vAlign w:val="center"/>
          </w:tcPr>
          <w:p w14:paraId="0A035F92">
            <w:pPr>
              <w:jc w:val="center"/>
              <w:rPr>
                <w:b/>
                <w:bCs/>
                <w:sz w:val="20"/>
                <w:szCs w:val="20"/>
              </w:rPr>
            </w:pPr>
            <w:r>
              <w:rPr>
                <w:b/>
                <w:bCs/>
                <w:sz w:val="20"/>
                <w:szCs w:val="20"/>
              </w:rPr>
              <w:t>Diễn giải</w:t>
            </w:r>
          </w:p>
        </w:tc>
        <w:tc>
          <w:tcPr>
            <w:tcW w:w="691" w:type="pct"/>
            <w:vMerge w:val="restart"/>
            <w:vAlign w:val="center"/>
          </w:tcPr>
          <w:p w14:paraId="3E7619FD">
            <w:pPr>
              <w:jc w:val="center"/>
              <w:rPr>
                <w:b/>
                <w:bCs/>
                <w:sz w:val="20"/>
                <w:szCs w:val="20"/>
              </w:rPr>
            </w:pPr>
            <w:r>
              <w:rPr>
                <w:b/>
                <w:bCs/>
                <w:sz w:val="20"/>
                <w:szCs w:val="20"/>
              </w:rPr>
              <w:t>Thành tiền</w:t>
            </w:r>
          </w:p>
        </w:tc>
        <w:tc>
          <w:tcPr>
            <w:tcW w:w="2693" w:type="pct"/>
            <w:gridSpan w:val="4"/>
            <w:vAlign w:val="center"/>
          </w:tcPr>
          <w:p w14:paraId="53CFD05B">
            <w:pPr>
              <w:jc w:val="center"/>
              <w:rPr>
                <w:b/>
                <w:bCs/>
                <w:sz w:val="20"/>
                <w:szCs w:val="20"/>
              </w:rPr>
            </w:pPr>
            <w:r>
              <w:rPr>
                <w:b/>
                <w:bCs/>
                <w:sz w:val="20"/>
                <w:szCs w:val="20"/>
              </w:rPr>
              <w:t>Năm kinh doanh và tỷ lệ % giá trị chuyển nhượng đất dự án</w:t>
            </w:r>
          </w:p>
        </w:tc>
      </w:tr>
      <w:tr w14:paraId="61AC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 w:type="pct"/>
            <w:vMerge w:val="continue"/>
            <w:vAlign w:val="center"/>
          </w:tcPr>
          <w:p w14:paraId="4F7D27DE">
            <w:pPr>
              <w:jc w:val="center"/>
              <w:rPr>
                <w:b/>
                <w:bCs/>
                <w:sz w:val="20"/>
                <w:szCs w:val="20"/>
              </w:rPr>
            </w:pPr>
          </w:p>
        </w:tc>
        <w:tc>
          <w:tcPr>
            <w:tcW w:w="1427" w:type="pct"/>
            <w:vMerge w:val="continue"/>
            <w:vAlign w:val="center"/>
          </w:tcPr>
          <w:p w14:paraId="0F6F60A5">
            <w:pPr>
              <w:jc w:val="center"/>
              <w:rPr>
                <w:b/>
                <w:bCs/>
                <w:sz w:val="20"/>
                <w:szCs w:val="20"/>
              </w:rPr>
            </w:pPr>
          </w:p>
        </w:tc>
        <w:tc>
          <w:tcPr>
            <w:tcW w:w="691" w:type="pct"/>
            <w:vMerge w:val="continue"/>
            <w:vAlign w:val="center"/>
          </w:tcPr>
          <w:p w14:paraId="3EDB4A1F">
            <w:pPr>
              <w:jc w:val="center"/>
              <w:rPr>
                <w:b/>
                <w:bCs/>
                <w:sz w:val="20"/>
                <w:szCs w:val="20"/>
              </w:rPr>
            </w:pPr>
          </w:p>
        </w:tc>
        <w:tc>
          <w:tcPr>
            <w:tcW w:w="657" w:type="pct"/>
            <w:vAlign w:val="center"/>
          </w:tcPr>
          <w:p w14:paraId="7DB7593B">
            <w:pPr>
              <w:jc w:val="center"/>
              <w:rPr>
                <w:b/>
                <w:bCs/>
                <w:sz w:val="20"/>
                <w:szCs w:val="20"/>
              </w:rPr>
            </w:pPr>
            <w:r>
              <w:rPr>
                <w:b/>
                <w:bCs/>
                <w:sz w:val="20"/>
                <w:szCs w:val="20"/>
              </w:rPr>
              <w:t>Năm 1</w:t>
            </w:r>
          </w:p>
        </w:tc>
        <w:tc>
          <w:tcPr>
            <w:tcW w:w="691" w:type="pct"/>
            <w:vAlign w:val="center"/>
          </w:tcPr>
          <w:p w14:paraId="7DE721B1">
            <w:pPr>
              <w:jc w:val="center"/>
              <w:rPr>
                <w:b/>
                <w:bCs/>
                <w:sz w:val="20"/>
                <w:szCs w:val="20"/>
              </w:rPr>
            </w:pPr>
            <w:r>
              <w:rPr>
                <w:b/>
                <w:bCs/>
                <w:sz w:val="20"/>
                <w:szCs w:val="20"/>
              </w:rPr>
              <w:t>Năm 2</w:t>
            </w:r>
          </w:p>
        </w:tc>
        <w:tc>
          <w:tcPr>
            <w:tcW w:w="691" w:type="pct"/>
            <w:vAlign w:val="center"/>
          </w:tcPr>
          <w:p w14:paraId="27048DD8">
            <w:pPr>
              <w:jc w:val="center"/>
              <w:rPr>
                <w:b/>
                <w:bCs/>
                <w:sz w:val="20"/>
                <w:szCs w:val="20"/>
              </w:rPr>
            </w:pPr>
            <w:r>
              <w:rPr>
                <w:b/>
                <w:bCs/>
                <w:sz w:val="20"/>
                <w:szCs w:val="20"/>
              </w:rPr>
              <w:t>Năm 3</w:t>
            </w:r>
          </w:p>
        </w:tc>
        <w:tc>
          <w:tcPr>
            <w:tcW w:w="653" w:type="pct"/>
            <w:vAlign w:val="center"/>
          </w:tcPr>
          <w:p w14:paraId="74C26BC3">
            <w:pPr>
              <w:jc w:val="center"/>
              <w:rPr>
                <w:b/>
                <w:bCs/>
                <w:sz w:val="20"/>
                <w:szCs w:val="20"/>
              </w:rPr>
            </w:pPr>
            <w:r>
              <w:rPr>
                <w:b/>
                <w:bCs/>
                <w:sz w:val="20"/>
                <w:szCs w:val="20"/>
              </w:rPr>
              <w:t>Năm 4</w:t>
            </w:r>
          </w:p>
        </w:tc>
      </w:tr>
      <w:tr w14:paraId="568B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6" w:type="pct"/>
            <w:gridSpan w:val="2"/>
            <w:vAlign w:val="center"/>
          </w:tcPr>
          <w:p w14:paraId="44BD3AFE">
            <w:pPr>
              <w:jc w:val="center"/>
              <w:rPr>
                <w:b/>
                <w:bCs/>
                <w:i/>
                <w:iCs/>
                <w:sz w:val="20"/>
                <w:szCs w:val="20"/>
              </w:rPr>
            </w:pPr>
            <w:r>
              <w:rPr>
                <w:b/>
                <w:bCs/>
                <w:i/>
                <w:iCs/>
                <w:sz w:val="20"/>
                <w:szCs w:val="20"/>
              </w:rPr>
              <w:t>Tiến độ bán</w:t>
            </w:r>
          </w:p>
        </w:tc>
        <w:tc>
          <w:tcPr>
            <w:tcW w:w="691" w:type="pct"/>
            <w:vAlign w:val="center"/>
          </w:tcPr>
          <w:p w14:paraId="2A8CFB24">
            <w:pPr>
              <w:jc w:val="center"/>
              <w:rPr>
                <w:b/>
                <w:bCs/>
                <w:i/>
                <w:iCs/>
                <w:sz w:val="20"/>
                <w:szCs w:val="20"/>
              </w:rPr>
            </w:pPr>
            <w:r>
              <w:rPr>
                <w:b/>
                <w:bCs/>
                <w:i/>
                <w:iCs/>
                <w:sz w:val="20"/>
                <w:szCs w:val="20"/>
              </w:rPr>
              <w:t>100%</w:t>
            </w:r>
          </w:p>
        </w:tc>
        <w:tc>
          <w:tcPr>
            <w:tcW w:w="657" w:type="pct"/>
            <w:vAlign w:val="center"/>
          </w:tcPr>
          <w:p w14:paraId="7D8B57E3">
            <w:pPr>
              <w:jc w:val="center"/>
              <w:rPr>
                <w:b/>
                <w:bCs/>
                <w:i/>
                <w:iCs/>
                <w:sz w:val="20"/>
                <w:szCs w:val="20"/>
              </w:rPr>
            </w:pPr>
            <w:r>
              <w:rPr>
                <w:b/>
                <w:bCs/>
                <w:i/>
                <w:iCs/>
                <w:sz w:val="20"/>
                <w:szCs w:val="20"/>
              </w:rPr>
              <w:t>0%</w:t>
            </w:r>
          </w:p>
        </w:tc>
        <w:tc>
          <w:tcPr>
            <w:tcW w:w="691" w:type="pct"/>
            <w:vAlign w:val="center"/>
          </w:tcPr>
          <w:p w14:paraId="65B78810">
            <w:pPr>
              <w:jc w:val="center"/>
              <w:rPr>
                <w:b/>
                <w:bCs/>
                <w:i/>
                <w:iCs/>
                <w:sz w:val="20"/>
                <w:szCs w:val="20"/>
              </w:rPr>
            </w:pPr>
            <w:r>
              <w:rPr>
                <w:b/>
                <w:bCs/>
                <w:i/>
                <w:iCs/>
                <w:sz w:val="20"/>
                <w:szCs w:val="20"/>
              </w:rPr>
              <w:t>35,00%</w:t>
            </w:r>
          </w:p>
        </w:tc>
        <w:tc>
          <w:tcPr>
            <w:tcW w:w="691" w:type="pct"/>
            <w:vAlign w:val="center"/>
          </w:tcPr>
          <w:p w14:paraId="4CEBBD88">
            <w:pPr>
              <w:jc w:val="center"/>
              <w:rPr>
                <w:b/>
                <w:bCs/>
                <w:i/>
                <w:iCs/>
                <w:sz w:val="20"/>
                <w:szCs w:val="20"/>
              </w:rPr>
            </w:pPr>
            <w:r>
              <w:rPr>
                <w:b/>
                <w:bCs/>
                <w:i/>
                <w:iCs/>
                <w:sz w:val="20"/>
                <w:szCs w:val="20"/>
              </w:rPr>
              <w:t>35,00%</w:t>
            </w:r>
          </w:p>
        </w:tc>
        <w:tc>
          <w:tcPr>
            <w:tcW w:w="653" w:type="pct"/>
            <w:vAlign w:val="center"/>
          </w:tcPr>
          <w:p w14:paraId="0AD2DD95">
            <w:pPr>
              <w:jc w:val="center"/>
              <w:rPr>
                <w:b/>
                <w:bCs/>
                <w:i/>
                <w:iCs/>
                <w:sz w:val="20"/>
                <w:szCs w:val="20"/>
              </w:rPr>
            </w:pPr>
            <w:r>
              <w:rPr>
                <w:b/>
                <w:bCs/>
                <w:i/>
                <w:iCs/>
                <w:sz w:val="20"/>
                <w:szCs w:val="20"/>
              </w:rPr>
              <w:t>30,00%</w:t>
            </w:r>
          </w:p>
        </w:tc>
      </w:tr>
      <w:tr w14:paraId="3C2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 w:type="pct"/>
            <w:shd w:val="clear" w:color="000000" w:fill="FFFFFF"/>
            <w:vAlign w:val="center"/>
          </w:tcPr>
          <w:p w14:paraId="37727512">
            <w:pPr>
              <w:jc w:val="center"/>
              <w:rPr>
                <w:sz w:val="20"/>
                <w:szCs w:val="20"/>
              </w:rPr>
            </w:pPr>
            <w:r>
              <w:rPr>
                <w:sz w:val="20"/>
                <w:szCs w:val="20"/>
              </w:rPr>
              <w:t>1</w:t>
            </w:r>
          </w:p>
        </w:tc>
        <w:tc>
          <w:tcPr>
            <w:tcW w:w="1427" w:type="pct"/>
            <w:shd w:val="clear" w:color="000000" w:fill="FFFFFF"/>
            <w:vAlign w:val="center"/>
          </w:tcPr>
          <w:p w14:paraId="3D0206C9">
            <w:pPr>
              <w:jc w:val="center"/>
              <w:rPr>
                <w:sz w:val="20"/>
                <w:szCs w:val="20"/>
              </w:rPr>
            </w:pPr>
            <w:r>
              <w:rPr>
                <w:sz w:val="20"/>
                <w:szCs w:val="20"/>
              </w:rPr>
              <w:t>Doanh thu bán đất ở biệt thự (đất và nhà xây thô)</w:t>
            </w:r>
          </w:p>
        </w:tc>
        <w:tc>
          <w:tcPr>
            <w:tcW w:w="691" w:type="pct"/>
            <w:vAlign w:val="center"/>
          </w:tcPr>
          <w:p w14:paraId="11CB1F4B">
            <w:pPr>
              <w:jc w:val="center"/>
              <w:rPr>
                <w:i/>
                <w:iCs/>
                <w:sz w:val="20"/>
                <w:szCs w:val="20"/>
              </w:rPr>
            </w:pPr>
            <w:r>
              <w:rPr>
                <w:i/>
                <w:iCs/>
                <w:sz w:val="20"/>
                <w:szCs w:val="20"/>
              </w:rPr>
              <w:t>44.711.099.833</w:t>
            </w:r>
          </w:p>
        </w:tc>
        <w:tc>
          <w:tcPr>
            <w:tcW w:w="657" w:type="pct"/>
            <w:vAlign w:val="center"/>
          </w:tcPr>
          <w:p w14:paraId="387C44A8">
            <w:pPr>
              <w:jc w:val="center"/>
              <w:rPr>
                <w:i/>
                <w:iCs/>
                <w:sz w:val="20"/>
                <w:szCs w:val="20"/>
              </w:rPr>
            </w:pPr>
            <w:r>
              <w:rPr>
                <w:i/>
                <w:iCs/>
                <w:sz w:val="20"/>
                <w:szCs w:val="20"/>
              </w:rPr>
              <w:t>0</w:t>
            </w:r>
          </w:p>
        </w:tc>
        <w:tc>
          <w:tcPr>
            <w:tcW w:w="691" w:type="pct"/>
            <w:vAlign w:val="center"/>
          </w:tcPr>
          <w:p w14:paraId="1262B4A8">
            <w:pPr>
              <w:jc w:val="center"/>
              <w:rPr>
                <w:i/>
                <w:iCs/>
                <w:sz w:val="20"/>
                <w:szCs w:val="20"/>
              </w:rPr>
            </w:pPr>
            <w:r>
              <w:rPr>
                <w:i/>
                <w:iCs/>
                <w:sz w:val="20"/>
                <w:szCs w:val="20"/>
              </w:rPr>
              <w:t>15.307.559.026</w:t>
            </w:r>
          </w:p>
        </w:tc>
        <w:tc>
          <w:tcPr>
            <w:tcW w:w="691" w:type="pct"/>
            <w:vAlign w:val="center"/>
          </w:tcPr>
          <w:p w14:paraId="6FB9396A">
            <w:pPr>
              <w:jc w:val="center"/>
              <w:rPr>
                <w:i/>
                <w:iCs/>
                <w:sz w:val="20"/>
                <w:szCs w:val="20"/>
              </w:rPr>
            </w:pPr>
            <w:r>
              <w:rPr>
                <w:i/>
                <w:iCs/>
                <w:sz w:val="20"/>
                <w:szCs w:val="20"/>
              </w:rPr>
              <w:t>15.664.225.152</w:t>
            </w:r>
          </w:p>
        </w:tc>
        <w:tc>
          <w:tcPr>
            <w:tcW w:w="653" w:type="pct"/>
            <w:vAlign w:val="center"/>
          </w:tcPr>
          <w:p w14:paraId="2FDC940A">
            <w:pPr>
              <w:jc w:val="center"/>
              <w:rPr>
                <w:i/>
                <w:iCs/>
                <w:sz w:val="20"/>
                <w:szCs w:val="20"/>
              </w:rPr>
            </w:pPr>
            <w:r>
              <w:rPr>
                <w:i/>
                <w:iCs/>
                <w:sz w:val="20"/>
                <w:szCs w:val="20"/>
              </w:rPr>
              <w:t>13.739.315.655</w:t>
            </w:r>
          </w:p>
        </w:tc>
      </w:tr>
      <w:tr w14:paraId="2DE5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 w:type="pct"/>
            <w:shd w:val="clear" w:color="000000" w:fill="FFFFFF"/>
            <w:vAlign w:val="center"/>
          </w:tcPr>
          <w:p w14:paraId="695E83DE">
            <w:pPr>
              <w:jc w:val="center"/>
              <w:rPr>
                <w:sz w:val="20"/>
                <w:szCs w:val="20"/>
              </w:rPr>
            </w:pPr>
            <w:r>
              <w:rPr>
                <w:sz w:val="20"/>
                <w:szCs w:val="20"/>
              </w:rPr>
              <w:t>2</w:t>
            </w:r>
          </w:p>
        </w:tc>
        <w:tc>
          <w:tcPr>
            <w:tcW w:w="1427" w:type="pct"/>
            <w:shd w:val="clear" w:color="000000" w:fill="FFFFFF"/>
            <w:vAlign w:val="center"/>
          </w:tcPr>
          <w:p w14:paraId="69F5DC00">
            <w:pPr>
              <w:jc w:val="center"/>
              <w:rPr>
                <w:sz w:val="20"/>
                <w:szCs w:val="20"/>
              </w:rPr>
            </w:pPr>
            <w:r>
              <w:rPr>
                <w:sz w:val="20"/>
                <w:szCs w:val="20"/>
              </w:rPr>
              <w:t>Doanh thu bán đất ở liền kề</w:t>
            </w:r>
          </w:p>
        </w:tc>
        <w:tc>
          <w:tcPr>
            <w:tcW w:w="691" w:type="pct"/>
            <w:vAlign w:val="center"/>
          </w:tcPr>
          <w:p w14:paraId="1805CB9C">
            <w:pPr>
              <w:jc w:val="center"/>
              <w:rPr>
                <w:i/>
                <w:iCs/>
                <w:sz w:val="20"/>
                <w:szCs w:val="20"/>
              </w:rPr>
            </w:pPr>
            <w:r>
              <w:rPr>
                <w:i/>
                <w:iCs/>
                <w:sz w:val="20"/>
                <w:szCs w:val="20"/>
              </w:rPr>
              <w:t>781.340.466.651</w:t>
            </w:r>
          </w:p>
        </w:tc>
        <w:tc>
          <w:tcPr>
            <w:tcW w:w="657" w:type="pct"/>
            <w:vAlign w:val="center"/>
          </w:tcPr>
          <w:p w14:paraId="3160F0D2">
            <w:pPr>
              <w:jc w:val="center"/>
              <w:rPr>
                <w:i/>
                <w:iCs/>
                <w:sz w:val="20"/>
                <w:szCs w:val="20"/>
              </w:rPr>
            </w:pPr>
            <w:r>
              <w:rPr>
                <w:i/>
                <w:iCs/>
                <w:sz w:val="20"/>
                <w:szCs w:val="20"/>
              </w:rPr>
              <w:t>0</w:t>
            </w:r>
          </w:p>
        </w:tc>
        <w:tc>
          <w:tcPr>
            <w:tcW w:w="691" w:type="pct"/>
            <w:vAlign w:val="center"/>
          </w:tcPr>
          <w:p w14:paraId="6F037743">
            <w:pPr>
              <w:jc w:val="center"/>
              <w:rPr>
                <w:i/>
                <w:iCs/>
                <w:sz w:val="20"/>
                <w:szCs w:val="20"/>
              </w:rPr>
            </w:pPr>
            <w:r>
              <w:rPr>
                <w:i/>
                <w:iCs/>
                <w:sz w:val="20"/>
                <w:szCs w:val="20"/>
              </w:rPr>
              <w:t>267.504.386.105</w:t>
            </w:r>
          </w:p>
        </w:tc>
        <w:tc>
          <w:tcPr>
            <w:tcW w:w="691" w:type="pct"/>
            <w:vAlign w:val="center"/>
          </w:tcPr>
          <w:p w14:paraId="73033069">
            <w:pPr>
              <w:jc w:val="center"/>
              <w:rPr>
                <w:i/>
                <w:iCs/>
                <w:sz w:val="20"/>
                <w:szCs w:val="20"/>
              </w:rPr>
            </w:pPr>
            <w:r>
              <w:rPr>
                <w:i/>
                <w:iCs/>
                <w:sz w:val="20"/>
                <w:szCs w:val="20"/>
              </w:rPr>
              <w:t>273.737.238.301</w:t>
            </w:r>
          </w:p>
        </w:tc>
        <w:tc>
          <w:tcPr>
            <w:tcW w:w="653" w:type="pct"/>
            <w:vAlign w:val="center"/>
          </w:tcPr>
          <w:p w14:paraId="5C651BB6">
            <w:pPr>
              <w:jc w:val="center"/>
              <w:rPr>
                <w:i/>
                <w:iCs/>
                <w:sz w:val="20"/>
                <w:szCs w:val="20"/>
              </w:rPr>
            </w:pPr>
            <w:r>
              <w:rPr>
                <w:i/>
                <w:iCs/>
                <w:sz w:val="20"/>
                <w:szCs w:val="20"/>
              </w:rPr>
              <w:t>240.098.842.246</w:t>
            </w:r>
          </w:p>
        </w:tc>
      </w:tr>
      <w:tr w14:paraId="4A20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6" w:type="pct"/>
            <w:gridSpan w:val="2"/>
            <w:vAlign w:val="center"/>
          </w:tcPr>
          <w:p w14:paraId="455C1FE5">
            <w:pPr>
              <w:jc w:val="center"/>
              <w:rPr>
                <w:b/>
                <w:bCs/>
                <w:sz w:val="20"/>
                <w:szCs w:val="20"/>
              </w:rPr>
            </w:pPr>
            <w:r>
              <w:rPr>
                <w:b/>
                <w:bCs/>
                <w:sz w:val="20"/>
                <w:szCs w:val="20"/>
              </w:rPr>
              <w:t>Tổng giá trị sau điều chỉnh biến động chuyển nhượng</w:t>
            </w:r>
          </w:p>
        </w:tc>
        <w:tc>
          <w:tcPr>
            <w:tcW w:w="691" w:type="pct"/>
            <w:vAlign w:val="center"/>
          </w:tcPr>
          <w:p w14:paraId="7A407E36">
            <w:pPr>
              <w:jc w:val="center"/>
              <w:rPr>
                <w:b/>
                <w:bCs/>
                <w:sz w:val="20"/>
                <w:szCs w:val="20"/>
              </w:rPr>
            </w:pPr>
            <w:r>
              <w:rPr>
                <w:b/>
                <w:bCs/>
                <w:sz w:val="20"/>
                <w:szCs w:val="20"/>
              </w:rPr>
              <w:t>826.051.566.484</w:t>
            </w:r>
          </w:p>
        </w:tc>
        <w:tc>
          <w:tcPr>
            <w:tcW w:w="657" w:type="pct"/>
            <w:vAlign w:val="center"/>
          </w:tcPr>
          <w:p w14:paraId="1736DEA6">
            <w:pPr>
              <w:jc w:val="center"/>
              <w:rPr>
                <w:b/>
                <w:bCs/>
                <w:sz w:val="20"/>
                <w:szCs w:val="20"/>
              </w:rPr>
            </w:pPr>
            <w:r>
              <w:rPr>
                <w:b/>
                <w:bCs/>
                <w:sz w:val="20"/>
                <w:szCs w:val="20"/>
              </w:rPr>
              <w:t>0</w:t>
            </w:r>
          </w:p>
        </w:tc>
        <w:tc>
          <w:tcPr>
            <w:tcW w:w="691" w:type="pct"/>
            <w:vAlign w:val="center"/>
          </w:tcPr>
          <w:p w14:paraId="2F0831B1">
            <w:pPr>
              <w:jc w:val="center"/>
              <w:rPr>
                <w:b/>
                <w:bCs/>
                <w:sz w:val="20"/>
                <w:szCs w:val="20"/>
              </w:rPr>
            </w:pPr>
            <w:r>
              <w:rPr>
                <w:b/>
                <w:bCs/>
                <w:sz w:val="20"/>
                <w:szCs w:val="20"/>
              </w:rPr>
              <w:t>282.811.945.131</w:t>
            </w:r>
          </w:p>
        </w:tc>
        <w:tc>
          <w:tcPr>
            <w:tcW w:w="691" w:type="pct"/>
            <w:vAlign w:val="center"/>
          </w:tcPr>
          <w:p w14:paraId="68670D4B">
            <w:pPr>
              <w:jc w:val="center"/>
              <w:rPr>
                <w:b/>
                <w:bCs/>
                <w:sz w:val="20"/>
                <w:szCs w:val="20"/>
              </w:rPr>
            </w:pPr>
            <w:r>
              <w:rPr>
                <w:b/>
                <w:bCs/>
                <w:sz w:val="20"/>
                <w:szCs w:val="20"/>
              </w:rPr>
              <w:t>289.401.463.452</w:t>
            </w:r>
          </w:p>
        </w:tc>
        <w:tc>
          <w:tcPr>
            <w:tcW w:w="653" w:type="pct"/>
            <w:vAlign w:val="center"/>
          </w:tcPr>
          <w:p w14:paraId="5475E6B6">
            <w:pPr>
              <w:jc w:val="center"/>
              <w:rPr>
                <w:b/>
                <w:bCs/>
                <w:sz w:val="20"/>
                <w:szCs w:val="20"/>
              </w:rPr>
            </w:pPr>
            <w:r>
              <w:rPr>
                <w:b/>
                <w:bCs/>
                <w:sz w:val="20"/>
                <w:szCs w:val="20"/>
              </w:rPr>
              <w:t>253.838.157.901</w:t>
            </w:r>
          </w:p>
        </w:tc>
      </w:tr>
    </w:tbl>
    <w:p w14:paraId="5C8181A0">
      <w:pPr>
        <w:widowControl w:val="0"/>
        <w:spacing w:before="120" w:after="120" w:line="320" w:lineRule="exact"/>
        <w:ind w:firstLine="567"/>
        <w:jc w:val="both"/>
        <w:rPr>
          <w:b/>
          <w:iCs/>
          <w:color w:val="000000" w:themeColor="text1"/>
          <w:sz w:val="26"/>
          <w:szCs w:val="26"/>
          <w:lang w:val="vi-VN"/>
          <w14:textFill>
            <w14:solidFill>
              <w14:schemeClr w14:val="tx1"/>
            </w14:solidFill>
          </w14:textFill>
        </w:rPr>
      </w:pPr>
      <w:r>
        <w:rPr>
          <w:b/>
          <w:iCs/>
          <w:color w:val="000000" w:themeColor="text1"/>
          <w:sz w:val="26"/>
          <w:szCs w:val="26"/>
          <w:lang w:val="vi-VN"/>
          <w14:textFill>
            <w14:solidFill>
              <w14:schemeClr w14:val="tx1"/>
            </w14:solidFill>
          </w14:textFill>
        </w:rPr>
        <w:t xml:space="preserve"> * Tỷ </w:t>
      </w:r>
      <w:r>
        <w:rPr>
          <w:b/>
          <w:iCs/>
          <w:color w:val="000000" w:themeColor="text1"/>
          <w:sz w:val="26"/>
          <w:szCs w:val="26"/>
          <w14:textFill>
            <w14:solidFill>
              <w14:schemeClr w14:val="tx1"/>
            </w14:solidFill>
          </w14:textFill>
        </w:rPr>
        <w:t xml:space="preserve">lệ </w:t>
      </w:r>
      <w:r>
        <w:rPr>
          <w:b/>
          <w:iCs/>
          <w:color w:val="000000" w:themeColor="text1"/>
          <w:sz w:val="26"/>
          <w:szCs w:val="26"/>
          <w:lang w:val="vi-VN"/>
          <w14:textFill>
            <w14:solidFill>
              <w14:schemeClr w14:val="tx1"/>
            </w14:solidFill>
          </w14:textFill>
        </w:rPr>
        <w:t>chiết khấu (r).</w:t>
      </w:r>
    </w:p>
    <w:p w14:paraId="6F56BBAD">
      <w:pPr>
        <w:widowControl w:val="0"/>
        <w:spacing w:before="120" w:after="120" w:line="320" w:lineRule="exact"/>
        <w:ind w:firstLine="567"/>
        <w:jc w:val="both"/>
        <w:rPr>
          <w:bCs/>
          <w:color w:val="000000" w:themeColor="text1"/>
          <w:spacing w:val="-2"/>
          <w:sz w:val="26"/>
          <w:szCs w:val="26"/>
          <w14:textFill>
            <w14:solidFill>
              <w14:schemeClr w14:val="tx1"/>
            </w14:solidFill>
          </w14:textFill>
        </w:rPr>
      </w:pPr>
      <w:r>
        <w:rPr>
          <w:bCs/>
          <w:color w:val="000000" w:themeColor="text1"/>
          <w:spacing w:val="-2"/>
          <w:sz w:val="26"/>
          <w:szCs w:val="26"/>
          <w:lang w:val="vi-VN"/>
          <w14:textFill>
            <w14:solidFill>
              <w14:schemeClr w14:val="tx1"/>
            </w14:solidFill>
          </w14:textFill>
        </w:rPr>
        <w:t>Căn cứ</w:t>
      </w:r>
      <w:r>
        <w:rPr>
          <w:bCs/>
          <w:color w:val="000000" w:themeColor="text1"/>
          <w:spacing w:val="-2"/>
          <w:sz w:val="26"/>
          <w:szCs w:val="26"/>
          <w14:textFill>
            <w14:solidFill>
              <w14:schemeClr w14:val="tx1"/>
            </w14:solidFill>
          </w14:textFill>
        </w:rPr>
        <w:t xml:space="preserve"> </w:t>
      </w:r>
      <w:bookmarkStart w:id="36" w:name="_Hlk176534091"/>
      <w:r>
        <w:rPr>
          <w:bCs/>
          <w:color w:val="000000" w:themeColor="text1"/>
          <w:spacing w:val="-2"/>
          <w:sz w:val="26"/>
          <w:szCs w:val="26"/>
          <w14:textFill>
            <w14:solidFill>
              <w14:schemeClr w14:val="tx1"/>
            </w14:solidFill>
          </w14:textFill>
        </w:rPr>
        <w:t>Khoản 5,</w:t>
      </w:r>
      <w:r>
        <w:rPr>
          <w:bCs/>
          <w:color w:val="000000" w:themeColor="text1"/>
          <w:spacing w:val="-2"/>
          <w:sz w:val="26"/>
          <w:szCs w:val="26"/>
          <w:lang w:val="vi-VN"/>
          <w14:textFill>
            <w14:solidFill>
              <w14:schemeClr w14:val="tx1"/>
            </w14:solidFill>
          </w14:textFill>
        </w:rPr>
        <w:t xml:space="preserve"> Điều </w:t>
      </w:r>
      <w:r>
        <w:rPr>
          <w:bCs/>
          <w:color w:val="000000" w:themeColor="text1"/>
          <w:spacing w:val="-2"/>
          <w:sz w:val="26"/>
          <w:szCs w:val="26"/>
          <w14:textFill>
            <w14:solidFill>
              <w14:schemeClr w14:val="tx1"/>
            </w14:solidFill>
          </w14:textFill>
        </w:rPr>
        <w:t>6</w:t>
      </w:r>
      <w:r>
        <w:rPr>
          <w:bCs/>
          <w:color w:val="000000" w:themeColor="text1"/>
          <w:spacing w:val="-2"/>
          <w:sz w:val="26"/>
          <w:szCs w:val="26"/>
          <w:lang w:val="vi-VN"/>
          <w14:textFill>
            <w14:solidFill>
              <w14:schemeClr w14:val="tx1"/>
            </w14:solidFill>
          </w14:textFill>
        </w:rPr>
        <w:t xml:space="preserve"> Nghị định số 71/2024/NĐ-CP ngày 27/06/2024 của Chính Phủ</w:t>
      </w:r>
      <w:bookmarkEnd w:id="36"/>
      <w:r>
        <w:rPr>
          <w:bCs/>
          <w:color w:val="000000" w:themeColor="text1"/>
          <w:spacing w:val="-2"/>
          <w:sz w:val="26"/>
          <w:szCs w:val="26"/>
          <w:lang w:val="vi-VN"/>
          <w14:textFill>
            <w14:solidFill>
              <w14:schemeClr w14:val="tx1"/>
            </w14:solidFill>
          </w14:textFill>
        </w:rPr>
        <w:t>: Tỷ lệ chiết khấu tính theo lãi suất cho vay trung hạn (từ 01 năm đến 03 năm) bình quân bằng tiền Việt Nam đối với dự án đầu tư, kinh doanh bất động sản của các ngân hàng thương mại nhà nước của năm liên kế tính đến hết quý gần nhất có số liệu trước thời điểm định giá;</w:t>
      </w:r>
    </w:p>
    <w:p w14:paraId="7B062026">
      <w:pPr>
        <w:widowControl w:val="0"/>
        <w:spacing w:before="120" w:after="120" w:line="320" w:lineRule="exact"/>
        <w:ind w:firstLine="567"/>
        <w:jc w:val="both"/>
        <w:rPr>
          <w:bCs/>
          <w:color w:val="000000" w:themeColor="text1"/>
          <w:spacing w:val="-2"/>
          <w:sz w:val="26"/>
          <w:szCs w:val="26"/>
          <w14:textFill>
            <w14:solidFill>
              <w14:schemeClr w14:val="tx1"/>
            </w14:solidFill>
          </w14:textFill>
        </w:rPr>
      </w:pPr>
      <w:r>
        <w:rPr>
          <w:bCs/>
          <w:color w:val="000000" w:themeColor="text1"/>
          <w:spacing w:val="-2"/>
          <w:sz w:val="26"/>
          <w:szCs w:val="26"/>
          <w14:textFill>
            <w14:solidFill>
              <w14:schemeClr w14:val="tx1"/>
            </w14:solidFill>
          </w14:textFill>
        </w:rPr>
        <w:t xml:space="preserve">Sở Nông nghiệp và Môi trường tỉnh Lạng Sơn gửi công văn tới Ngân hàng Nông nghiệp và PTNT Việt Nam, Chi nhánh Lạng Sơn (AgriBank); Ngân hàng Công thương Việt Nam, Chi nhánh Lạng Sơn (VietinBank); Ngân hàng Thương mại cổ phần Đầu tư và Phát triển, Chi nhánh Lạng Sơn (BIDV); Ngân hàng Ngoại thương Vietcombank chi nhánh Lạng Sơn (VietcomBank) về việc đề nghị cung cấp thông tin lãi suất tiền gửi tiết kiệm và lãi suất cho vay trung hạn để phục vụ công tác xác định giá đất cụ thể. </w:t>
      </w:r>
    </w:p>
    <w:p w14:paraId="670C29D8">
      <w:pPr>
        <w:widowControl w:val="0"/>
        <w:spacing w:before="120" w:after="120" w:line="320" w:lineRule="exact"/>
        <w:ind w:firstLine="567"/>
        <w:jc w:val="both"/>
        <w:rPr>
          <w:bCs/>
          <w:color w:val="000000" w:themeColor="text1"/>
          <w:spacing w:val="-4"/>
          <w:sz w:val="26"/>
          <w:szCs w:val="26"/>
          <w:lang w:val="da-DK"/>
          <w14:textFill>
            <w14:solidFill>
              <w14:schemeClr w14:val="tx1"/>
            </w14:solidFill>
          </w14:textFill>
        </w:rPr>
      </w:pPr>
      <w:r>
        <w:rPr>
          <w:bCs/>
          <w:color w:val="000000" w:themeColor="text1"/>
          <w:spacing w:val="-4"/>
          <w:sz w:val="26"/>
          <w:szCs w:val="26"/>
          <w:lang w:val="da-DK"/>
          <w14:textFill>
            <w14:solidFill>
              <w14:schemeClr w14:val="tx1"/>
            </w14:solidFill>
          </w14:textFill>
        </w:rPr>
        <w:t>Các ngân hàng đã có công văn phản hồi về lãi suất như sau:</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662"/>
        <w:gridCol w:w="1725"/>
        <w:gridCol w:w="1790"/>
        <w:gridCol w:w="1280"/>
        <w:gridCol w:w="1343"/>
      </w:tblGrid>
      <w:tr w14:paraId="4BFC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000" w:type="pct"/>
            <w:gridSpan w:val="6"/>
            <w:vAlign w:val="center"/>
          </w:tcPr>
          <w:p w14:paraId="5E10F7BA">
            <w:pPr>
              <w:jc w:val="center"/>
              <w:rPr>
                <w:b/>
                <w:bCs/>
                <w:color w:val="000000"/>
                <w:sz w:val="22"/>
                <w:szCs w:val="22"/>
              </w:rPr>
            </w:pPr>
            <w:r>
              <w:rPr>
                <w:b/>
                <w:bCs/>
                <w:color w:val="000000"/>
                <w:sz w:val="22"/>
                <w:szCs w:val="22"/>
              </w:rPr>
              <w:t>Ngân hàng TMCP đầu tư và phát triển Việt Nam - Chi nhánh Lạng Sơn (BIDV Lạng Sơn) (Thông báo số 1203/TB-BIDV.LS ngày 01/10/2024 và số 106/TB-BIDV.LS ngày 14/01/2025)</w:t>
            </w:r>
          </w:p>
        </w:tc>
      </w:tr>
      <w:tr w14:paraId="2F72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0" w:type="pct"/>
            <w:vMerge w:val="restart"/>
            <w:vAlign w:val="center"/>
          </w:tcPr>
          <w:p w14:paraId="30ED9C17">
            <w:pPr>
              <w:jc w:val="center"/>
              <w:rPr>
                <w:b/>
                <w:bCs/>
                <w:color w:val="000000"/>
                <w:sz w:val="22"/>
                <w:szCs w:val="22"/>
              </w:rPr>
            </w:pPr>
            <w:r>
              <w:rPr>
                <w:b/>
                <w:bCs/>
                <w:color w:val="000000"/>
                <w:sz w:val="22"/>
                <w:szCs w:val="22"/>
              </w:rPr>
              <w:t>Năm</w:t>
            </w:r>
          </w:p>
        </w:tc>
        <w:tc>
          <w:tcPr>
            <w:tcW w:w="3477" w:type="pct"/>
            <w:gridSpan w:val="4"/>
            <w:vAlign w:val="center"/>
          </w:tcPr>
          <w:p w14:paraId="2689F5F3">
            <w:pPr>
              <w:jc w:val="center"/>
              <w:rPr>
                <w:b/>
                <w:bCs/>
                <w:color w:val="000000"/>
                <w:sz w:val="22"/>
                <w:szCs w:val="22"/>
              </w:rPr>
            </w:pPr>
            <w:r>
              <w:rPr>
                <w:b/>
                <w:bCs/>
                <w:color w:val="000000"/>
                <w:sz w:val="22"/>
                <w:szCs w:val="22"/>
              </w:rPr>
              <w:t>Lãi suất cho vay trung hạn bình quân tiền VNĐ (04 quý) để thực hiện dự án đầu tư, kinh doanh BĐS</w:t>
            </w:r>
          </w:p>
        </w:tc>
        <w:tc>
          <w:tcPr>
            <w:tcW w:w="723" w:type="pct"/>
            <w:vAlign w:val="center"/>
          </w:tcPr>
          <w:p w14:paraId="15AD2BB8">
            <w:pPr>
              <w:jc w:val="center"/>
              <w:rPr>
                <w:b/>
                <w:bCs/>
                <w:color w:val="000000"/>
                <w:sz w:val="22"/>
                <w:szCs w:val="22"/>
              </w:rPr>
            </w:pPr>
            <w:r>
              <w:rPr>
                <w:b/>
                <w:bCs/>
                <w:color w:val="000000"/>
                <w:sz w:val="22"/>
                <w:szCs w:val="22"/>
              </w:rPr>
              <w:t>Bình quân 04 quý</w:t>
            </w:r>
          </w:p>
        </w:tc>
      </w:tr>
      <w:tr w14:paraId="28BE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Merge w:val="continue"/>
            <w:vAlign w:val="center"/>
          </w:tcPr>
          <w:p w14:paraId="670ABE7E">
            <w:pPr>
              <w:rPr>
                <w:b/>
                <w:bCs/>
                <w:color w:val="000000"/>
                <w:sz w:val="22"/>
                <w:szCs w:val="22"/>
              </w:rPr>
            </w:pPr>
          </w:p>
        </w:tc>
        <w:tc>
          <w:tcPr>
            <w:tcW w:w="895" w:type="pct"/>
            <w:vAlign w:val="center"/>
          </w:tcPr>
          <w:p w14:paraId="223AD073">
            <w:pPr>
              <w:jc w:val="center"/>
              <w:rPr>
                <w:b/>
                <w:bCs/>
                <w:color w:val="000000"/>
                <w:sz w:val="22"/>
                <w:szCs w:val="22"/>
              </w:rPr>
            </w:pPr>
            <w:r>
              <w:rPr>
                <w:b/>
                <w:bCs/>
                <w:color w:val="000000"/>
                <w:sz w:val="22"/>
                <w:szCs w:val="22"/>
              </w:rPr>
              <w:t>Quý I</w:t>
            </w:r>
          </w:p>
        </w:tc>
        <w:tc>
          <w:tcPr>
            <w:tcW w:w="929" w:type="pct"/>
            <w:vAlign w:val="center"/>
          </w:tcPr>
          <w:p w14:paraId="455B9C1A">
            <w:pPr>
              <w:jc w:val="center"/>
              <w:rPr>
                <w:b/>
                <w:bCs/>
                <w:color w:val="000000"/>
                <w:sz w:val="22"/>
                <w:szCs w:val="22"/>
              </w:rPr>
            </w:pPr>
            <w:r>
              <w:rPr>
                <w:b/>
                <w:bCs/>
                <w:color w:val="000000"/>
                <w:sz w:val="22"/>
                <w:szCs w:val="22"/>
              </w:rPr>
              <w:t>Quý II</w:t>
            </w:r>
          </w:p>
        </w:tc>
        <w:tc>
          <w:tcPr>
            <w:tcW w:w="964" w:type="pct"/>
            <w:vAlign w:val="center"/>
          </w:tcPr>
          <w:p w14:paraId="6680607E">
            <w:pPr>
              <w:jc w:val="center"/>
              <w:rPr>
                <w:b/>
                <w:bCs/>
                <w:color w:val="000000"/>
                <w:sz w:val="22"/>
                <w:szCs w:val="22"/>
              </w:rPr>
            </w:pPr>
            <w:r>
              <w:rPr>
                <w:b/>
                <w:bCs/>
                <w:color w:val="000000"/>
                <w:sz w:val="22"/>
                <w:szCs w:val="22"/>
              </w:rPr>
              <w:t>Quý III</w:t>
            </w:r>
          </w:p>
        </w:tc>
        <w:tc>
          <w:tcPr>
            <w:tcW w:w="689" w:type="pct"/>
            <w:vAlign w:val="center"/>
          </w:tcPr>
          <w:p w14:paraId="6602B3D0">
            <w:pPr>
              <w:jc w:val="center"/>
              <w:rPr>
                <w:b/>
                <w:bCs/>
                <w:color w:val="000000"/>
                <w:sz w:val="22"/>
                <w:szCs w:val="22"/>
              </w:rPr>
            </w:pPr>
            <w:r>
              <w:rPr>
                <w:b/>
                <w:bCs/>
                <w:color w:val="000000"/>
                <w:sz w:val="22"/>
                <w:szCs w:val="22"/>
              </w:rPr>
              <w:t>Quý IV</w:t>
            </w:r>
          </w:p>
        </w:tc>
        <w:tc>
          <w:tcPr>
            <w:tcW w:w="723" w:type="pct"/>
            <w:vAlign w:val="center"/>
          </w:tcPr>
          <w:p w14:paraId="10B91DF0">
            <w:pPr>
              <w:jc w:val="center"/>
              <w:rPr>
                <w:b/>
                <w:bCs/>
                <w:color w:val="000000"/>
                <w:sz w:val="22"/>
                <w:szCs w:val="22"/>
              </w:rPr>
            </w:pPr>
            <w:r>
              <w:rPr>
                <w:b/>
                <w:bCs/>
                <w:color w:val="000000"/>
                <w:sz w:val="22"/>
                <w:szCs w:val="22"/>
              </w:rPr>
              <w:t> </w:t>
            </w:r>
          </w:p>
        </w:tc>
      </w:tr>
      <w:tr w14:paraId="229B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257D1F29">
            <w:pPr>
              <w:jc w:val="center"/>
              <w:rPr>
                <w:b/>
                <w:bCs/>
                <w:color w:val="000000"/>
                <w:sz w:val="22"/>
                <w:szCs w:val="22"/>
              </w:rPr>
            </w:pPr>
            <w:r>
              <w:rPr>
                <w:b/>
                <w:bCs/>
                <w:color w:val="000000"/>
                <w:sz w:val="22"/>
                <w:szCs w:val="22"/>
              </w:rPr>
              <w:t>2023</w:t>
            </w:r>
          </w:p>
        </w:tc>
        <w:tc>
          <w:tcPr>
            <w:tcW w:w="895" w:type="pct"/>
            <w:vAlign w:val="center"/>
          </w:tcPr>
          <w:p w14:paraId="4C21410F">
            <w:pPr>
              <w:jc w:val="center"/>
              <w:rPr>
                <w:color w:val="000000"/>
                <w:sz w:val="22"/>
                <w:szCs w:val="22"/>
              </w:rPr>
            </w:pPr>
            <w:r>
              <w:rPr>
                <w:color w:val="000000"/>
                <w:sz w:val="22"/>
                <w:szCs w:val="22"/>
              </w:rPr>
              <w:t>11,50%</w:t>
            </w:r>
          </w:p>
        </w:tc>
        <w:tc>
          <w:tcPr>
            <w:tcW w:w="929" w:type="pct"/>
            <w:vAlign w:val="center"/>
          </w:tcPr>
          <w:p w14:paraId="32C9BC22">
            <w:pPr>
              <w:jc w:val="center"/>
              <w:rPr>
                <w:color w:val="000000"/>
                <w:sz w:val="22"/>
                <w:szCs w:val="22"/>
              </w:rPr>
            </w:pPr>
            <w:r>
              <w:rPr>
                <w:color w:val="000000"/>
                <w:sz w:val="22"/>
                <w:szCs w:val="22"/>
              </w:rPr>
              <w:t>11,40%</w:t>
            </w:r>
          </w:p>
        </w:tc>
        <w:tc>
          <w:tcPr>
            <w:tcW w:w="964" w:type="pct"/>
            <w:vAlign w:val="center"/>
          </w:tcPr>
          <w:p w14:paraId="00433C79">
            <w:pPr>
              <w:jc w:val="center"/>
              <w:rPr>
                <w:color w:val="000000"/>
                <w:sz w:val="22"/>
                <w:szCs w:val="22"/>
              </w:rPr>
            </w:pPr>
            <w:r>
              <w:rPr>
                <w:color w:val="000000"/>
                <w:sz w:val="22"/>
                <w:szCs w:val="22"/>
              </w:rPr>
              <w:t>11,20%</w:t>
            </w:r>
          </w:p>
        </w:tc>
        <w:tc>
          <w:tcPr>
            <w:tcW w:w="689" w:type="pct"/>
            <w:vAlign w:val="center"/>
          </w:tcPr>
          <w:p w14:paraId="2E739273">
            <w:pPr>
              <w:jc w:val="center"/>
              <w:rPr>
                <w:color w:val="000000"/>
                <w:sz w:val="22"/>
                <w:szCs w:val="22"/>
              </w:rPr>
            </w:pPr>
            <w:r>
              <w:rPr>
                <w:color w:val="000000"/>
                <w:sz w:val="22"/>
                <w:szCs w:val="22"/>
              </w:rPr>
              <w:t>10,90%</w:t>
            </w:r>
          </w:p>
        </w:tc>
        <w:tc>
          <w:tcPr>
            <w:tcW w:w="723" w:type="pct"/>
            <w:noWrap/>
            <w:vAlign w:val="center"/>
          </w:tcPr>
          <w:p w14:paraId="22C60ADD">
            <w:pPr>
              <w:jc w:val="right"/>
              <w:rPr>
                <w:b/>
                <w:bCs/>
                <w:color w:val="000000"/>
                <w:sz w:val="22"/>
                <w:szCs w:val="22"/>
              </w:rPr>
            </w:pPr>
          </w:p>
        </w:tc>
      </w:tr>
      <w:tr w14:paraId="067D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45945962">
            <w:pPr>
              <w:jc w:val="center"/>
              <w:rPr>
                <w:b/>
                <w:bCs/>
                <w:color w:val="000000"/>
                <w:sz w:val="22"/>
                <w:szCs w:val="22"/>
              </w:rPr>
            </w:pPr>
            <w:r>
              <w:rPr>
                <w:b/>
                <w:bCs/>
                <w:color w:val="000000"/>
                <w:sz w:val="22"/>
                <w:szCs w:val="22"/>
              </w:rPr>
              <w:t>2024</w:t>
            </w:r>
          </w:p>
        </w:tc>
        <w:tc>
          <w:tcPr>
            <w:tcW w:w="895" w:type="pct"/>
            <w:vAlign w:val="center"/>
          </w:tcPr>
          <w:p w14:paraId="6735EC86">
            <w:pPr>
              <w:jc w:val="center"/>
              <w:rPr>
                <w:color w:val="000000"/>
                <w:sz w:val="22"/>
                <w:szCs w:val="22"/>
              </w:rPr>
            </w:pPr>
            <w:r>
              <w:rPr>
                <w:color w:val="000000"/>
                <w:sz w:val="22"/>
                <w:szCs w:val="22"/>
              </w:rPr>
              <w:t>9,10%</w:t>
            </w:r>
          </w:p>
        </w:tc>
        <w:tc>
          <w:tcPr>
            <w:tcW w:w="929" w:type="pct"/>
            <w:vAlign w:val="center"/>
          </w:tcPr>
          <w:p w14:paraId="1ABFCE69">
            <w:pPr>
              <w:jc w:val="center"/>
              <w:rPr>
                <w:color w:val="000000"/>
                <w:sz w:val="22"/>
                <w:szCs w:val="22"/>
              </w:rPr>
            </w:pPr>
            <w:r>
              <w:rPr>
                <w:color w:val="000000"/>
                <w:sz w:val="22"/>
                <w:szCs w:val="22"/>
              </w:rPr>
              <w:t>9,10%</w:t>
            </w:r>
          </w:p>
        </w:tc>
        <w:tc>
          <w:tcPr>
            <w:tcW w:w="964" w:type="pct"/>
            <w:vAlign w:val="center"/>
          </w:tcPr>
          <w:p w14:paraId="4B5E640A">
            <w:pPr>
              <w:jc w:val="center"/>
              <w:rPr>
                <w:color w:val="000000"/>
                <w:sz w:val="22"/>
                <w:szCs w:val="22"/>
              </w:rPr>
            </w:pPr>
            <w:r>
              <w:rPr>
                <w:color w:val="000000"/>
                <w:sz w:val="22"/>
                <w:szCs w:val="22"/>
              </w:rPr>
              <w:t>9,00%</w:t>
            </w:r>
          </w:p>
        </w:tc>
        <w:tc>
          <w:tcPr>
            <w:tcW w:w="689" w:type="pct"/>
            <w:vAlign w:val="center"/>
          </w:tcPr>
          <w:p w14:paraId="7F30C1EC">
            <w:pPr>
              <w:jc w:val="center"/>
              <w:rPr>
                <w:color w:val="000000"/>
                <w:sz w:val="22"/>
                <w:szCs w:val="22"/>
              </w:rPr>
            </w:pPr>
            <w:r>
              <w:rPr>
                <w:color w:val="000000"/>
                <w:sz w:val="22"/>
                <w:szCs w:val="22"/>
              </w:rPr>
              <w:t>8,54%</w:t>
            </w:r>
          </w:p>
        </w:tc>
        <w:tc>
          <w:tcPr>
            <w:tcW w:w="723" w:type="pct"/>
            <w:noWrap/>
            <w:vAlign w:val="center"/>
          </w:tcPr>
          <w:p w14:paraId="0C8C8954">
            <w:pPr>
              <w:jc w:val="right"/>
              <w:rPr>
                <w:b/>
                <w:bCs/>
                <w:color w:val="000000"/>
                <w:sz w:val="22"/>
                <w:szCs w:val="22"/>
              </w:rPr>
            </w:pPr>
            <w:r>
              <w:rPr>
                <w:b/>
                <w:bCs/>
                <w:color w:val="000000"/>
                <w:sz w:val="22"/>
                <w:szCs w:val="22"/>
              </w:rPr>
              <w:t>8,94%</w:t>
            </w:r>
          </w:p>
        </w:tc>
      </w:tr>
      <w:tr w14:paraId="7A6A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6"/>
            <w:vAlign w:val="center"/>
          </w:tcPr>
          <w:p w14:paraId="7DC7F0B8">
            <w:pPr>
              <w:jc w:val="center"/>
              <w:rPr>
                <w:b/>
                <w:bCs/>
                <w:color w:val="000000"/>
                <w:sz w:val="22"/>
                <w:szCs w:val="22"/>
              </w:rPr>
            </w:pPr>
            <w:r>
              <w:rPr>
                <w:b/>
                <w:bCs/>
                <w:color w:val="000000"/>
                <w:sz w:val="22"/>
                <w:szCs w:val="22"/>
              </w:rPr>
              <w:t>Ngân hàng TMCP Công Thương Việt Nam - Chi nhánh Lạng Sơn (Vietinbank Lạng Sơn ) (Văn bản số 188/NHCTLS-PTH ngày 30/10/2024 và số 04/NHCTLS-PTH ngày 17/01/2025)</w:t>
            </w:r>
          </w:p>
        </w:tc>
      </w:tr>
      <w:tr w14:paraId="3EC3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00" w:type="pct"/>
            <w:vMerge w:val="restart"/>
            <w:vAlign w:val="center"/>
          </w:tcPr>
          <w:p w14:paraId="6ABB6CB2">
            <w:pPr>
              <w:jc w:val="center"/>
              <w:rPr>
                <w:b/>
                <w:bCs/>
                <w:color w:val="000000"/>
                <w:sz w:val="22"/>
                <w:szCs w:val="22"/>
              </w:rPr>
            </w:pPr>
            <w:r>
              <w:rPr>
                <w:b/>
                <w:bCs/>
                <w:color w:val="000000"/>
                <w:sz w:val="22"/>
                <w:szCs w:val="22"/>
              </w:rPr>
              <w:t>Năm</w:t>
            </w:r>
          </w:p>
        </w:tc>
        <w:tc>
          <w:tcPr>
            <w:tcW w:w="3477" w:type="pct"/>
            <w:gridSpan w:val="4"/>
            <w:vAlign w:val="center"/>
          </w:tcPr>
          <w:p w14:paraId="3345DB61">
            <w:pPr>
              <w:jc w:val="center"/>
              <w:rPr>
                <w:b/>
                <w:bCs/>
                <w:color w:val="000000"/>
                <w:sz w:val="22"/>
                <w:szCs w:val="22"/>
              </w:rPr>
            </w:pPr>
            <w:r>
              <w:rPr>
                <w:b/>
                <w:bCs/>
                <w:color w:val="000000"/>
                <w:sz w:val="22"/>
                <w:szCs w:val="22"/>
              </w:rPr>
              <w:t>Lãi suất cho vay trung hạn bình quân tiền VNĐ (04 quý) để thực hiện dự án đầu tư, kinh doanh BĐS</w:t>
            </w:r>
          </w:p>
        </w:tc>
        <w:tc>
          <w:tcPr>
            <w:tcW w:w="723" w:type="pct"/>
            <w:vAlign w:val="center"/>
          </w:tcPr>
          <w:p w14:paraId="19FDF59A">
            <w:pPr>
              <w:jc w:val="center"/>
              <w:rPr>
                <w:b/>
                <w:bCs/>
                <w:color w:val="000000"/>
                <w:sz w:val="22"/>
                <w:szCs w:val="22"/>
              </w:rPr>
            </w:pPr>
            <w:r>
              <w:rPr>
                <w:b/>
                <w:bCs/>
                <w:color w:val="000000"/>
                <w:sz w:val="22"/>
                <w:szCs w:val="22"/>
              </w:rPr>
              <w:t>Bình quân 04 quý</w:t>
            </w:r>
          </w:p>
        </w:tc>
      </w:tr>
      <w:tr w14:paraId="1FA3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Merge w:val="continue"/>
            <w:vAlign w:val="center"/>
          </w:tcPr>
          <w:p w14:paraId="79C9D36F">
            <w:pPr>
              <w:rPr>
                <w:b/>
                <w:bCs/>
                <w:color w:val="000000"/>
                <w:sz w:val="22"/>
                <w:szCs w:val="22"/>
              </w:rPr>
            </w:pPr>
          </w:p>
        </w:tc>
        <w:tc>
          <w:tcPr>
            <w:tcW w:w="895" w:type="pct"/>
            <w:vAlign w:val="center"/>
          </w:tcPr>
          <w:p w14:paraId="4EC14F85">
            <w:pPr>
              <w:jc w:val="center"/>
              <w:rPr>
                <w:b/>
                <w:bCs/>
                <w:color w:val="000000"/>
                <w:sz w:val="22"/>
                <w:szCs w:val="22"/>
              </w:rPr>
            </w:pPr>
            <w:r>
              <w:rPr>
                <w:b/>
                <w:bCs/>
                <w:color w:val="000000"/>
                <w:sz w:val="22"/>
                <w:szCs w:val="22"/>
              </w:rPr>
              <w:t>Quý I</w:t>
            </w:r>
          </w:p>
        </w:tc>
        <w:tc>
          <w:tcPr>
            <w:tcW w:w="929" w:type="pct"/>
            <w:vAlign w:val="center"/>
          </w:tcPr>
          <w:p w14:paraId="69148771">
            <w:pPr>
              <w:jc w:val="center"/>
              <w:rPr>
                <w:b/>
                <w:bCs/>
                <w:color w:val="000000"/>
                <w:sz w:val="22"/>
                <w:szCs w:val="22"/>
              </w:rPr>
            </w:pPr>
            <w:r>
              <w:rPr>
                <w:b/>
                <w:bCs/>
                <w:color w:val="000000"/>
                <w:sz w:val="22"/>
                <w:szCs w:val="22"/>
              </w:rPr>
              <w:t>Quý II</w:t>
            </w:r>
          </w:p>
        </w:tc>
        <w:tc>
          <w:tcPr>
            <w:tcW w:w="964" w:type="pct"/>
            <w:vAlign w:val="center"/>
          </w:tcPr>
          <w:p w14:paraId="539CE9FE">
            <w:pPr>
              <w:jc w:val="center"/>
              <w:rPr>
                <w:b/>
                <w:bCs/>
                <w:color w:val="000000"/>
                <w:sz w:val="22"/>
                <w:szCs w:val="22"/>
              </w:rPr>
            </w:pPr>
            <w:r>
              <w:rPr>
                <w:b/>
                <w:bCs/>
                <w:color w:val="000000"/>
                <w:sz w:val="22"/>
                <w:szCs w:val="22"/>
              </w:rPr>
              <w:t>Quý III</w:t>
            </w:r>
          </w:p>
        </w:tc>
        <w:tc>
          <w:tcPr>
            <w:tcW w:w="689" w:type="pct"/>
            <w:vAlign w:val="center"/>
          </w:tcPr>
          <w:p w14:paraId="45C99D59">
            <w:pPr>
              <w:jc w:val="center"/>
              <w:rPr>
                <w:b/>
                <w:bCs/>
                <w:color w:val="000000"/>
                <w:sz w:val="22"/>
                <w:szCs w:val="22"/>
              </w:rPr>
            </w:pPr>
            <w:r>
              <w:rPr>
                <w:b/>
                <w:bCs/>
                <w:color w:val="000000"/>
                <w:sz w:val="22"/>
                <w:szCs w:val="22"/>
              </w:rPr>
              <w:t>Quý IV</w:t>
            </w:r>
          </w:p>
        </w:tc>
        <w:tc>
          <w:tcPr>
            <w:tcW w:w="723" w:type="pct"/>
            <w:vAlign w:val="center"/>
          </w:tcPr>
          <w:p w14:paraId="62A644A2">
            <w:pPr>
              <w:jc w:val="center"/>
              <w:rPr>
                <w:b/>
                <w:bCs/>
                <w:color w:val="000000"/>
                <w:sz w:val="22"/>
                <w:szCs w:val="22"/>
              </w:rPr>
            </w:pPr>
            <w:r>
              <w:rPr>
                <w:b/>
                <w:bCs/>
                <w:color w:val="000000"/>
                <w:sz w:val="22"/>
                <w:szCs w:val="22"/>
              </w:rPr>
              <w:t> </w:t>
            </w:r>
          </w:p>
        </w:tc>
      </w:tr>
      <w:tr w14:paraId="0344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6E7635B1">
            <w:pPr>
              <w:jc w:val="center"/>
              <w:rPr>
                <w:b/>
                <w:bCs/>
                <w:color w:val="000000"/>
                <w:sz w:val="22"/>
                <w:szCs w:val="22"/>
              </w:rPr>
            </w:pPr>
            <w:r>
              <w:rPr>
                <w:b/>
                <w:bCs/>
                <w:color w:val="000000"/>
                <w:sz w:val="22"/>
                <w:szCs w:val="22"/>
              </w:rPr>
              <w:t>2022</w:t>
            </w:r>
          </w:p>
        </w:tc>
        <w:tc>
          <w:tcPr>
            <w:tcW w:w="895" w:type="pct"/>
            <w:vAlign w:val="center"/>
          </w:tcPr>
          <w:p w14:paraId="47F6A87C">
            <w:pPr>
              <w:jc w:val="center"/>
              <w:rPr>
                <w:b/>
                <w:bCs/>
                <w:color w:val="000000"/>
                <w:sz w:val="22"/>
                <w:szCs w:val="22"/>
              </w:rPr>
            </w:pPr>
            <w:r>
              <w:rPr>
                <w:b/>
                <w:bCs/>
                <w:color w:val="000000"/>
                <w:sz w:val="22"/>
                <w:szCs w:val="22"/>
              </w:rPr>
              <w:t> </w:t>
            </w:r>
          </w:p>
        </w:tc>
        <w:tc>
          <w:tcPr>
            <w:tcW w:w="929" w:type="pct"/>
            <w:vAlign w:val="center"/>
          </w:tcPr>
          <w:p w14:paraId="5CAA6726">
            <w:pPr>
              <w:jc w:val="center"/>
              <w:rPr>
                <w:b/>
                <w:bCs/>
                <w:color w:val="000000"/>
                <w:sz w:val="22"/>
                <w:szCs w:val="22"/>
              </w:rPr>
            </w:pPr>
            <w:r>
              <w:rPr>
                <w:b/>
                <w:bCs/>
                <w:color w:val="000000"/>
                <w:sz w:val="22"/>
                <w:szCs w:val="22"/>
              </w:rPr>
              <w:t> </w:t>
            </w:r>
          </w:p>
        </w:tc>
        <w:tc>
          <w:tcPr>
            <w:tcW w:w="964" w:type="pct"/>
            <w:vAlign w:val="center"/>
          </w:tcPr>
          <w:p w14:paraId="10440F4C">
            <w:pPr>
              <w:jc w:val="center"/>
              <w:rPr>
                <w:b/>
                <w:bCs/>
                <w:color w:val="000000"/>
                <w:sz w:val="22"/>
                <w:szCs w:val="22"/>
              </w:rPr>
            </w:pPr>
            <w:r>
              <w:rPr>
                <w:b/>
                <w:bCs/>
                <w:color w:val="000000"/>
                <w:sz w:val="22"/>
                <w:szCs w:val="22"/>
              </w:rPr>
              <w:t> </w:t>
            </w:r>
          </w:p>
        </w:tc>
        <w:tc>
          <w:tcPr>
            <w:tcW w:w="689" w:type="pct"/>
            <w:vAlign w:val="center"/>
          </w:tcPr>
          <w:p w14:paraId="1E0B9F11">
            <w:pPr>
              <w:jc w:val="center"/>
              <w:rPr>
                <w:color w:val="000000"/>
                <w:sz w:val="22"/>
                <w:szCs w:val="22"/>
              </w:rPr>
            </w:pPr>
            <w:r>
              <w:rPr>
                <w:color w:val="000000"/>
                <w:sz w:val="22"/>
                <w:szCs w:val="22"/>
              </w:rPr>
              <w:t>14,00%</w:t>
            </w:r>
          </w:p>
        </w:tc>
        <w:tc>
          <w:tcPr>
            <w:tcW w:w="723" w:type="pct"/>
            <w:vAlign w:val="center"/>
          </w:tcPr>
          <w:p w14:paraId="3EE21B74">
            <w:pPr>
              <w:jc w:val="center"/>
              <w:rPr>
                <w:b/>
                <w:bCs/>
                <w:color w:val="000000"/>
                <w:sz w:val="22"/>
                <w:szCs w:val="22"/>
              </w:rPr>
            </w:pPr>
            <w:r>
              <w:rPr>
                <w:b/>
                <w:bCs/>
                <w:color w:val="000000"/>
                <w:sz w:val="22"/>
                <w:szCs w:val="22"/>
              </w:rPr>
              <w:t> </w:t>
            </w:r>
          </w:p>
        </w:tc>
      </w:tr>
      <w:tr w14:paraId="4479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63E1D6CD">
            <w:pPr>
              <w:jc w:val="center"/>
              <w:rPr>
                <w:b/>
                <w:bCs/>
                <w:color w:val="000000"/>
                <w:sz w:val="22"/>
                <w:szCs w:val="22"/>
              </w:rPr>
            </w:pPr>
            <w:r>
              <w:rPr>
                <w:b/>
                <w:bCs/>
                <w:color w:val="000000"/>
                <w:sz w:val="22"/>
                <w:szCs w:val="22"/>
              </w:rPr>
              <w:t>2023</w:t>
            </w:r>
          </w:p>
        </w:tc>
        <w:tc>
          <w:tcPr>
            <w:tcW w:w="895" w:type="pct"/>
            <w:vAlign w:val="center"/>
          </w:tcPr>
          <w:p w14:paraId="69FA73FA">
            <w:pPr>
              <w:jc w:val="center"/>
              <w:rPr>
                <w:color w:val="000000"/>
                <w:sz w:val="22"/>
                <w:szCs w:val="22"/>
              </w:rPr>
            </w:pPr>
            <w:r>
              <w:rPr>
                <w:color w:val="000000"/>
                <w:sz w:val="22"/>
                <w:szCs w:val="22"/>
              </w:rPr>
              <w:t>14,00%</w:t>
            </w:r>
          </w:p>
        </w:tc>
        <w:tc>
          <w:tcPr>
            <w:tcW w:w="929" w:type="pct"/>
            <w:vAlign w:val="center"/>
          </w:tcPr>
          <w:p w14:paraId="4840382E">
            <w:pPr>
              <w:jc w:val="center"/>
              <w:rPr>
                <w:color w:val="000000"/>
                <w:sz w:val="22"/>
                <w:szCs w:val="22"/>
              </w:rPr>
            </w:pPr>
            <w:r>
              <w:rPr>
                <w:color w:val="000000"/>
                <w:sz w:val="22"/>
                <w:szCs w:val="22"/>
              </w:rPr>
              <w:t>14,00%</w:t>
            </w:r>
          </w:p>
        </w:tc>
        <w:tc>
          <w:tcPr>
            <w:tcW w:w="964" w:type="pct"/>
            <w:vAlign w:val="center"/>
          </w:tcPr>
          <w:p w14:paraId="62B807F0">
            <w:pPr>
              <w:jc w:val="center"/>
              <w:rPr>
                <w:color w:val="000000"/>
                <w:sz w:val="22"/>
                <w:szCs w:val="22"/>
              </w:rPr>
            </w:pPr>
            <w:r>
              <w:rPr>
                <w:color w:val="000000"/>
                <w:sz w:val="22"/>
                <w:szCs w:val="22"/>
              </w:rPr>
              <w:t>14,00%</w:t>
            </w:r>
          </w:p>
        </w:tc>
        <w:tc>
          <w:tcPr>
            <w:tcW w:w="689" w:type="pct"/>
            <w:vAlign w:val="center"/>
          </w:tcPr>
          <w:p w14:paraId="49156A1D">
            <w:pPr>
              <w:jc w:val="center"/>
              <w:rPr>
                <w:color w:val="000000"/>
                <w:sz w:val="22"/>
                <w:szCs w:val="22"/>
              </w:rPr>
            </w:pPr>
            <w:r>
              <w:rPr>
                <w:color w:val="000000"/>
                <w:sz w:val="22"/>
                <w:szCs w:val="22"/>
              </w:rPr>
              <w:t>14,00%</w:t>
            </w:r>
          </w:p>
        </w:tc>
        <w:tc>
          <w:tcPr>
            <w:tcW w:w="723" w:type="pct"/>
            <w:noWrap/>
            <w:vAlign w:val="center"/>
          </w:tcPr>
          <w:p w14:paraId="5594B1E7">
            <w:pPr>
              <w:jc w:val="right"/>
              <w:rPr>
                <w:b/>
                <w:bCs/>
                <w:color w:val="000000"/>
                <w:sz w:val="22"/>
                <w:szCs w:val="22"/>
              </w:rPr>
            </w:pPr>
          </w:p>
        </w:tc>
      </w:tr>
      <w:tr w14:paraId="70C5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0D4D65DC">
            <w:pPr>
              <w:jc w:val="center"/>
              <w:rPr>
                <w:b/>
                <w:bCs/>
                <w:color w:val="000000"/>
                <w:sz w:val="22"/>
                <w:szCs w:val="22"/>
              </w:rPr>
            </w:pPr>
            <w:r>
              <w:rPr>
                <w:b/>
                <w:bCs/>
                <w:color w:val="000000"/>
                <w:sz w:val="22"/>
                <w:szCs w:val="22"/>
              </w:rPr>
              <w:t>2024</w:t>
            </w:r>
          </w:p>
        </w:tc>
        <w:tc>
          <w:tcPr>
            <w:tcW w:w="895" w:type="pct"/>
            <w:vAlign w:val="center"/>
          </w:tcPr>
          <w:p w14:paraId="6D496AC8">
            <w:pPr>
              <w:jc w:val="center"/>
              <w:rPr>
                <w:color w:val="000000"/>
                <w:sz w:val="22"/>
                <w:szCs w:val="22"/>
              </w:rPr>
            </w:pPr>
            <w:r>
              <w:rPr>
                <w:color w:val="000000"/>
                <w:sz w:val="22"/>
                <w:szCs w:val="22"/>
              </w:rPr>
              <w:t>14,00%</w:t>
            </w:r>
          </w:p>
        </w:tc>
        <w:tc>
          <w:tcPr>
            <w:tcW w:w="929" w:type="pct"/>
            <w:vAlign w:val="center"/>
          </w:tcPr>
          <w:p w14:paraId="34926DE6">
            <w:pPr>
              <w:jc w:val="center"/>
              <w:rPr>
                <w:color w:val="000000"/>
                <w:sz w:val="22"/>
                <w:szCs w:val="22"/>
              </w:rPr>
            </w:pPr>
            <w:r>
              <w:rPr>
                <w:color w:val="000000"/>
                <w:sz w:val="22"/>
                <w:szCs w:val="22"/>
              </w:rPr>
              <w:t>14,00%</w:t>
            </w:r>
          </w:p>
        </w:tc>
        <w:tc>
          <w:tcPr>
            <w:tcW w:w="964" w:type="pct"/>
            <w:vAlign w:val="center"/>
          </w:tcPr>
          <w:p w14:paraId="708ED21D">
            <w:pPr>
              <w:jc w:val="center"/>
              <w:rPr>
                <w:color w:val="000000"/>
                <w:sz w:val="22"/>
                <w:szCs w:val="22"/>
              </w:rPr>
            </w:pPr>
            <w:r>
              <w:rPr>
                <w:color w:val="000000"/>
                <w:sz w:val="22"/>
                <w:szCs w:val="22"/>
              </w:rPr>
              <w:t>14,00%</w:t>
            </w:r>
          </w:p>
        </w:tc>
        <w:tc>
          <w:tcPr>
            <w:tcW w:w="689" w:type="pct"/>
            <w:vAlign w:val="center"/>
          </w:tcPr>
          <w:p w14:paraId="321FA044">
            <w:pPr>
              <w:jc w:val="center"/>
              <w:rPr>
                <w:color w:val="000000"/>
                <w:sz w:val="22"/>
                <w:szCs w:val="22"/>
              </w:rPr>
            </w:pPr>
            <w:r>
              <w:rPr>
                <w:color w:val="000000"/>
                <w:sz w:val="22"/>
                <w:szCs w:val="22"/>
              </w:rPr>
              <w:t>14,00%</w:t>
            </w:r>
          </w:p>
        </w:tc>
        <w:tc>
          <w:tcPr>
            <w:tcW w:w="723" w:type="pct"/>
            <w:noWrap/>
            <w:vAlign w:val="center"/>
          </w:tcPr>
          <w:p w14:paraId="025422C1">
            <w:pPr>
              <w:jc w:val="right"/>
              <w:rPr>
                <w:b/>
                <w:bCs/>
                <w:color w:val="000000"/>
                <w:sz w:val="22"/>
                <w:szCs w:val="22"/>
              </w:rPr>
            </w:pPr>
            <w:r>
              <w:rPr>
                <w:b/>
                <w:bCs/>
                <w:color w:val="000000"/>
                <w:sz w:val="22"/>
                <w:szCs w:val="22"/>
              </w:rPr>
              <w:t>14,00%</w:t>
            </w:r>
          </w:p>
        </w:tc>
      </w:tr>
      <w:tr w14:paraId="6717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00" w:type="pct"/>
            <w:gridSpan w:val="6"/>
            <w:vAlign w:val="center"/>
          </w:tcPr>
          <w:p w14:paraId="4AB0436E">
            <w:pPr>
              <w:jc w:val="center"/>
              <w:rPr>
                <w:b/>
                <w:bCs/>
                <w:color w:val="000000"/>
                <w:sz w:val="22"/>
                <w:szCs w:val="22"/>
              </w:rPr>
            </w:pPr>
            <w:r>
              <w:rPr>
                <w:b/>
                <w:bCs/>
                <w:color w:val="000000"/>
                <w:sz w:val="22"/>
                <w:szCs w:val="22"/>
              </w:rPr>
              <w:t>Ngân hàng Nông nghiệp và Phát triển Nông thôn Việt Nam - Chi nhánh Lạng Sơn (Agribank Lạng Sơn ) (Văn bản số 2712/NHNo.LS-TH ngày 04/12/2024)</w:t>
            </w:r>
          </w:p>
        </w:tc>
      </w:tr>
      <w:tr w14:paraId="2781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 w:type="pct"/>
            <w:vMerge w:val="restart"/>
            <w:vAlign w:val="center"/>
          </w:tcPr>
          <w:p w14:paraId="1144920C">
            <w:pPr>
              <w:jc w:val="center"/>
              <w:rPr>
                <w:b/>
                <w:bCs/>
                <w:color w:val="000000"/>
                <w:sz w:val="22"/>
                <w:szCs w:val="22"/>
              </w:rPr>
            </w:pPr>
            <w:r>
              <w:rPr>
                <w:b/>
                <w:bCs/>
                <w:color w:val="000000"/>
                <w:sz w:val="22"/>
                <w:szCs w:val="22"/>
              </w:rPr>
              <w:t>Năm</w:t>
            </w:r>
          </w:p>
        </w:tc>
        <w:tc>
          <w:tcPr>
            <w:tcW w:w="3477" w:type="pct"/>
            <w:gridSpan w:val="4"/>
            <w:vAlign w:val="center"/>
          </w:tcPr>
          <w:p w14:paraId="0EA384E5">
            <w:pPr>
              <w:jc w:val="center"/>
              <w:rPr>
                <w:b/>
                <w:bCs/>
                <w:color w:val="000000"/>
                <w:sz w:val="22"/>
                <w:szCs w:val="22"/>
              </w:rPr>
            </w:pPr>
            <w:r>
              <w:rPr>
                <w:b/>
                <w:bCs/>
                <w:color w:val="000000"/>
                <w:sz w:val="22"/>
                <w:szCs w:val="22"/>
              </w:rPr>
              <w:t>Lãi suất cho vay trung hạn bình quân tiền VNĐ (04 quý) để thực hiện dự án đầu tư, kinh doanh BĐS</w:t>
            </w:r>
          </w:p>
        </w:tc>
        <w:tc>
          <w:tcPr>
            <w:tcW w:w="723" w:type="pct"/>
            <w:vAlign w:val="center"/>
          </w:tcPr>
          <w:p w14:paraId="322DF0F3">
            <w:pPr>
              <w:jc w:val="center"/>
              <w:rPr>
                <w:b/>
                <w:bCs/>
                <w:color w:val="000000"/>
                <w:sz w:val="22"/>
                <w:szCs w:val="22"/>
              </w:rPr>
            </w:pPr>
            <w:r>
              <w:rPr>
                <w:b/>
                <w:bCs/>
                <w:color w:val="000000"/>
                <w:sz w:val="22"/>
                <w:szCs w:val="22"/>
              </w:rPr>
              <w:t>Bình quân 04 quý</w:t>
            </w:r>
          </w:p>
        </w:tc>
      </w:tr>
      <w:tr w14:paraId="21D6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Merge w:val="continue"/>
            <w:vAlign w:val="center"/>
          </w:tcPr>
          <w:p w14:paraId="2CC36F66">
            <w:pPr>
              <w:rPr>
                <w:b/>
                <w:bCs/>
                <w:color w:val="000000"/>
                <w:sz w:val="22"/>
                <w:szCs w:val="22"/>
              </w:rPr>
            </w:pPr>
          </w:p>
        </w:tc>
        <w:tc>
          <w:tcPr>
            <w:tcW w:w="895" w:type="pct"/>
            <w:vAlign w:val="center"/>
          </w:tcPr>
          <w:p w14:paraId="60956A0E">
            <w:pPr>
              <w:jc w:val="center"/>
              <w:rPr>
                <w:b/>
                <w:bCs/>
                <w:color w:val="000000"/>
                <w:sz w:val="22"/>
                <w:szCs w:val="22"/>
              </w:rPr>
            </w:pPr>
            <w:r>
              <w:rPr>
                <w:b/>
                <w:bCs/>
                <w:color w:val="000000"/>
                <w:sz w:val="22"/>
                <w:szCs w:val="22"/>
              </w:rPr>
              <w:t>Quý I</w:t>
            </w:r>
          </w:p>
        </w:tc>
        <w:tc>
          <w:tcPr>
            <w:tcW w:w="929" w:type="pct"/>
            <w:vAlign w:val="center"/>
          </w:tcPr>
          <w:p w14:paraId="5F12784C">
            <w:pPr>
              <w:jc w:val="center"/>
              <w:rPr>
                <w:b/>
                <w:bCs/>
                <w:color w:val="000000"/>
                <w:sz w:val="22"/>
                <w:szCs w:val="22"/>
              </w:rPr>
            </w:pPr>
            <w:r>
              <w:rPr>
                <w:b/>
                <w:bCs/>
                <w:color w:val="000000"/>
                <w:sz w:val="22"/>
                <w:szCs w:val="22"/>
              </w:rPr>
              <w:t>Quý II</w:t>
            </w:r>
          </w:p>
        </w:tc>
        <w:tc>
          <w:tcPr>
            <w:tcW w:w="964" w:type="pct"/>
            <w:vAlign w:val="center"/>
          </w:tcPr>
          <w:p w14:paraId="629DD3F3">
            <w:pPr>
              <w:jc w:val="center"/>
              <w:rPr>
                <w:b/>
                <w:bCs/>
                <w:color w:val="000000"/>
                <w:sz w:val="22"/>
                <w:szCs w:val="22"/>
              </w:rPr>
            </w:pPr>
            <w:r>
              <w:rPr>
                <w:b/>
                <w:bCs/>
                <w:color w:val="000000"/>
                <w:sz w:val="22"/>
                <w:szCs w:val="22"/>
              </w:rPr>
              <w:t>Quý III</w:t>
            </w:r>
          </w:p>
        </w:tc>
        <w:tc>
          <w:tcPr>
            <w:tcW w:w="689" w:type="pct"/>
            <w:vAlign w:val="center"/>
          </w:tcPr>
          <w:p w14:paraId="5BD8F109">
            <w:pPr>
              <w:jc w:val="center"/>
              <w:rPr>
                <w:b/>
                <w:bCs/>
                <w:color w:val="000000"/>
                <w:sz w:val="22"/>
                <w:szCs w:val="22"/>
              </w:rPr>
            </w:pPr>
            <w:r>
              <w:rPr>
                <w:b/>
                <w:bCs/>
                <w:color w:val="000000"/>
                <w:sz w:val="22"/>
                <w:szCs w:val="22"/>
              </w:rPr>
              <w:t>Quý IV</w:t>
            </w:r>
          </w:p>
        </w:tc>
        <w:tc>
          <w:tcPr>
            <w:tcW w:w="723" w:type="pct"/>
            <w:vAlign w:val="center"/>
          </w:tcPr>
          <w:p w14:paraId="2CA3C55B">
            <w:pPr>
              <w:jc w:val="center"/>
              <w:rPr>
                <w:b/>
                <w:bCs/>
                <w:color w:val="000000"/>
                <w:sz w:val="22"/>
                <w:szCs w:val="22"/>
              </w:rPr>
            </w:pPr>
            <w:r>
              <w:rPr>
                <w:b/>
                <w:bCs/>
                <w:color w:val="000000"/>
                <w:sz w:val="22"/>
                <w:szCs w:val="22"/>
              </w:rPr>
              <w:t> </w:t>
            </w:r>
          </w:p>
        </w:tc>
      </w:tr>
      <w:tr w14:paraId="0243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4F600334">
            <w:pPr>
              <w:jc w:val="center"/>
              <w:rPr>
                <w:b/>
                <w:bCs/>
                <w:color w:val="000000"/>
                <w:sz w:val="22"/>
                <w:szCs w:val="22"/>
              </w:rPr>
            </w:pPr>
            <w:r>
              <w:rPr>
                <w:b/>
                <w:bCs/>
                <w:color w:val="000000"/>
                <w:sz w:val="22"/>
                <w:szCs w:val="22"/>
              </w:rPr>
              <w:t>2022</w:t>
            </w:r>
          </w:p>
        </w:tc>
        <w:tc>
          <w:tcPr>
            <w:tcW w:w="895" w:type="pct"/>
            <w:vAlign w:val="center"/>
          </w:tcPr>
          <w:p w14:paraId="3167CA58">
            <w:pPr>
              <w:jc w:val="center"/>
              <w:rPr>
                <w:b/>
                <w:bCs/>
                <w:color w:val="000000"/>
                <w:sz w:val="22"/>
                <w:szCs w:val="22"/>
              </w:rPr>
            </w:pPr>
            <w:r>
              <w:rPr>
                <w:b/>
                <w:bCs/>
                <w:color w:val="000000"/>
                <w:sz w:val="22"/>
                <w:szCs w:val="22"/>
              </w:rPr>
              <w:t> </w:t>
            </w:r>
          </w:p>
        </w:tc>
        <w:tc>
          <w:tcPr>
            <w:tcW w:w="929" w:type="pct"/>
            <w:vAlign w:val="center"/>
          </w:tcPr>
          <w:p w14:paraId="75CA4D62">
            <w:pPr>
              <w:jc w:val="center"/>
              <w:rPr>
                <w:b/>
                <w:bCs/>
                <w:color w:val="000000"/>
                <w:sz w:val="22"/>
                <w:szCs w:val="22"/>
              </w:rPr>
            </w:pPr>
            <w:r>
              <w:rPr>
                <w:b/>
                <w:bCs/>
                <w:color w:val="000000"/>
                <w:sz w:val="22"/>
                <w:szCs w:val="22"/>
              </w:rPr>
              <w:t> </w:t>
            </w:r>
          </w:p>
        </w:tc>
        <w:tc>
          <w:tcPr>
            <w:tcW w:w="964" w:type="pct"/>
            <w:vAlign w:val="center"/>
          </w:tcPr>
          <w:p w14:paraId="6D07AA60">
            <w:pPr>
              <w:jc w:val="center"/>
              <w:rPr>
                <w:b/>
                <w:bCs/>
                <w:color w:val="000000"/>
                <w:sz w:val="22"/>
                <w:szCs w:val="22"/>
              </w:rPr>
            </w:pPr>
            <w:r>
              <w:rPr>
                <w:b/>
                <w:bCs/>
                <w:color w:val="000000"/>
                <w:sz w:val="22"/>
                <w:szCs w:val="22"/>
              </w:rPr>
              <w:t> </w:t>
            </w:r>
          </w:p>
        </w:tc>
        <w:tc>
          <w:tcPr>
            <w:tcW w:w="689" w:type="pct"/>
            <w:vAlign w:val="center"/>
          </w:tcPr>
          <w:p w14:paraId="5A2015CA">
            <w:pPr>
              <w:jc w:val="center"/>
              <w:rPr>
                <w:color w:val="000000"/>
                <w:sz w:val="22"/>
                <w:szCs w:val="22"/>
              </w:rPr>
            </w:pPr>
            <w:r>
              <w:rPr>
                <w:color w:val="000000"/>
                <w:sz w:val="22"/>
                <w:szCs w:val="22"/>
              </w:rPr>
              <w:t>12,50%</w:t>
            </w:r>
          </w:p>
        </w:tc>
        <w:tc>
          <w:tcPr>
            <w:tcW w:w="723" w:type="pct"/>
            <w:vAlign w:val="center"/>
          </w:tcPr>
          <w:p w14:paraId="1BF0DC66">
            <w:pPr>
              <w:jc w:val="center"/>
              <w:rPr>
                <w:b/>
                <w:bCs/>
                <w:color w:val="000000"/>
                <w:sz w:val="22"/>
                <w:szCs w:val="22"/>
              </w:rPr>
            </w:pPr>
            <w:r>
              <w:rPr>
                <w:b/>
                <w:bCs/>
                <w:color w:val="000000"/>
                <w:sz w:val="22"/>
                <w:szCs w:val="22"/>
              </w:rPr>
              <w:t> </w:t>
            </w:r>
          </w:p>
        </w:tc>
      </w:tr>
      <w:tr w14:paraId="3658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02B81585">
            <w:pPr>
              <w:jc w:val="center"/>
              <w:rPr>
                <w:b/>
                <w:bCs/>
                <w:color w:val="000000"/>
                <w:sz w:val="22"/>
                <w:szCs w:val="22"/>
              </w:rPr>
            </w:pPr>
            <w:r>
              <w:rPr>
                <w:b/>
                <w:bCs/>
                <w:color w:val="000000"/>
                <w:sz w:val="22"/>
                <w:szCs w:val="22"/>
              </w:rPr>
              <w:t>2023</w:t>
            </w:r>
          </w:p>
        </w:tc>
        <w:tc>
          <w:tcPr>
            <w:tcW w:w="895" w:type="pct"/>
            <w:vAlign w:val="center"/>
          </w:tcPr>
          <w:p w14:paraId="6B1E50F4">
            <w:pPr>
              <w:jc w:val="center"/>
              <w:rPr>
                <w:color w:val="000000"/>
                <w:sz w:val="22"/>
                <w:szCs w:val="22"/>
              </w:rPr>
            </w:pPr>
            <w:r>
              <w:rPr>
                <w:color w:val="000000"/>
                <w:sz w:val="22"/>
                <w:szCs w:val="22"/>
              </w:rPr>
              <w:t>11,50%</w:t>
            </w:r>
          </w:p>
        </w:tc>
        <w:tc>
          <w:tcPr>
            <w:tcW w:w="929" w:type="pct"/>
            <w:vAlign w:val="center"/>
          </w:tcPr>
          <w:p w14:paraId="051495FA">
            <w:pPr>
              <w:jc w:val="center"/>
              <w:rPr>
                <w:color w:val="000000"/>
                <w:sz w:val="22"/>
                <w:szCs w:val="22"/>
              </w:rPr>
            </w:pPr>
            <w:r>
              <w:rPr>
                <w:color w:val="000000"/>
                <w:sz w:val="22"/>
                <w:szCs w:val="22"/>
              </w:rPr>
              <w:t>11,00%</w:t>
            </w:r>
          </w:p>
        </w:tc>
        <w:tc>
          <w:tcPr>
            <w:tcW w:w="964" w:type="pct"/>
            <w:vAlign w:val="center"/>
          </w:tcPr>
          <w:p w14:paraId="01CA550A">
            <w:pPr>
              <w:jc w:val="center"/>
              <w:rPr>
                <w:color w:val="000000"/>
                <w:sz w:val="22"/>
                <w:szCs w:val="22"/>
              </w:rPr>
            </w:pPr>
            <w:r>
              <w:rPr>
                <w:color w:val="000000"/>
                <w:sz w:val="22"/>
                <w:szCs w:val="22"/>
              </w:rPr>
              <w:t>11,00%</w:t>
            </w:r>
          </w:p>
        </w:tc>
        <w:tc>
          <w:tcPr>
            <w:tcW w:w="689" w:type="pct"/>
            <w:vAlign w:val="center"/>
          </w:tcPr>
          <w:p w14:paraId="4A2D2378">
            <w:pPr>
              <w:jc w:val="center"/>
              <w:rPr>
                <w:color w:val="000000"/>
                <w:sz w:val="22"/>
                <w:szCs w:val="22"/>
              </w:rPr>
            </w:pPr>
            <w:r>
              <w:rPr>
                <w:color w:val="000000"/>
                <w:sz w:val="22"/>
                <w:szCs w:val="22"/>
              </w:rPr>
              <w:t>11,00%</w:t>
            </w:r>
          </w:p>
        </w:tc>
        <w:tc>
          <w:tcPr>
            <w:tcW w:w="723" w:type="pct"/>
            <w:noWrap/>
            <w:vAlign w:val="center"/>
          </w:tcPr>
          <w:p w14:paraId="40B68D56">
            <w:pPr>
              <w:jc w:val="right"/>
              <w:rPr>
                <w:b/>
                <w:bCs/>
                <w:color w:val="000000"/>
                <w:sz w:val="22"/>
                <w:szCs w:val="22"/>
              </w:rPr>
            </w:pPr>
          </w:p>
        </w:tc>
      </w:tr>
      <w:tr w14:paraId="1314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0B673204">
            <w:pPr>
              <w:jc w:val="center"/>
              <w:rPr>
                <w:b/>
                <w:bCs/>
                <w:color w:val="000000"/>
                <w:sz w:val="22"/>
                <w:szCs w:val="22"/>
              </w:rPr>
            </w:pPr>
            <w:r>
              <w:rPr>
                <w:b/>
                <w:bCs/>
                <w:color w:val="000000"/>
                <w:sz w:val="22"/>
                <w:szCs w:val="22"/>
              </w:rPr>
              <w:t>2024</w:t>
            </w:r>
          </w:p>
        </w:tc>
        <w:tc>
          <w:tcPr>
            <w:tcW w:w="895" w:type="pct"/>
            <w:vAlign w:val="center"/>
          </w:tcPr>
          <w:p w14:paraId="10F670A3">
            <w:pPr>
              <w:jc w:val="center"/>
              <w:rPr>
                <w:color w:val="000000"/>
                <w:sz w:val="22"/>
                <w:szCs w:val="22"/>
              </w:rPr>
            </w:pPr>
            <w:r>
              <w:rPr>
                <w:color w:val="000000"/>
                <w:sz w:val="22"/>
                <w:szCs w:val="22"/>
              </w:rPr>
              <w:t>11,00%</w:t>
            </w:r>
          </w:p>
        </w:tc>
        <w:tc>
          <w:tcPr>
            <w:tcW w:w="929" w:type="pct"/>
            <w:vAlign w:val="center"/>
          </w:tcPr>
          <w:p w14:paraId="594BE4FF">
            <w:pPr>
              <w:jc w:val="center"/>
              <w:rPr>
                <w:color w:val="000000"/>
                <w:sz w:val="22"/>
                <w:szCs w:val="22"/>
              </w:rPr>
            </w:pPr>
            <w:r>
              <w:rPr>
                <w:color w:val="000000"/>
                <w:sz w:val="22"/>
                <w:szCs w:val="22"/>
              </w:rPr>
              <w:t>11,00%</w:t>
            </w:r>
          </w:p>
        </w:tc>
        <w:tc>
          <w:tcPr>
            <w:tcW w:w="964" w:type="pct"/>
            <w:vAlign w:val="center"/>
          </w:tcPr>
          <w:p w14:paraId="4F9CE4ED">
            <w:pPr>
              <w:jc w:val="center"/>
              <w:rPr>
                <w:color w:val="000000"/>
                <w:sz w:val="22"/>
                <w:szCs w:val="22"/>
              </w:rPr>
            </w:pPr>
            <w:r>
              <w:rPr>
                <w:color w:val="000000"/>
                <w:sz w:val="22"/>
                <w:szCs w:val="22"/>
              </w:rPr>
              <w:t>7,50%</w:t>
            </w:r>
          </w:p>
        </w:tc>
        <w:tc>
          <w:tcPr>
            <w:tcW w:w="689" w:type="pct"/>
            <w:vAlign w:val="center"/>
          </w:tcPr>
          <w:p w14:paraId="51072D37">
            <w:pPr>
              <w:jc w:val="center"/>
              <w:rPr>
                <w:color w:val="000000"/>
                <w:sz w:val="22"/>
                <w:szCs w:val="22"/>
              </w:rPr>
            </w:pPr>
            <w:r>
              <w:rPr>
                <w:color w:val="000000"/>
                <w:sz w:val="22"/>
                <w:szCs w:val="22"/>
              </w:rPr>
              <w:t>7,50%</w:t>
            </w:r>
          </w:p>
        </w:tc>
        <w:tc>
          <w:tcPr>
            <w:tcW w:w="723" w:type="pct"/>
            <w:noWrap/>
            <w:vAlign w:val="center"/>
          </w:tcPr>
          <w:p w14:paraId="1B5E7E02">
            <w:pPr>
              <w:jc w:val="right"/>
              <w:rPr>
                <w:b/>
                <w:bCs/>
                <w:color w:val="000000"/>
                <w:sz w:val="22"/>
                <w:szCs w:val="22"/>
              </w:rPr>
            </w:pPr>
            <w:r>
              <w:rPr>
                <w:b/>
                <w:bCs/>
                <w:color w:val="000000"/>
                <w:sz w:val="22"/>
                <w:szCs w:val="22"/>
              </w:rPr>
              <w:t>9,25%</w:t>
            </w:r>
          </w:p>
        </w:tc>
      </w:tr>
      <w:tr w14:paraId="3A80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noWrap/>
            <w:vAlign w:val="bottom"/>
          </w:tcPr>
          <w:p w14:paraId="235CF884">
            <w:pPr>
              <w:jc w:val="right"/>
              <w:rPr>
                <w:b/>
                <w:bCs/>
                <w:color w:val="000000"/>
                <w:sz w:val="22"/>
                <w:szCs w:val="22"/>
              </w:rPr>
            </w:pPr>
          </w:p>
        </w:tc>
        <w:tc>
          <w:tcPr>
            <w:tcW w:w="895" w:type="pct"/>
            <w:noWrap/>
            <w:vAlign w:val="bottom"/>
          </w:tcPr>
          <w:p w14:paraId="40B6A364">
            <w:pPr>
              <w:rPr>
                <w:sz w:val="22"/>
                <w:szCs w:val="22"/>
              </w:rPr>
            </w:pPr>
          </w:p>
        </w:tc>
        <w:tc>
          <w:tcPr>
            <w:tcW w:w="929" w:type="pct"/>
            <w:noWrap/>
            <w:vAlign w:val="bottom"/>
          </w:tcPr>
          <w:p w14:paraId="39A6F916">
            <w:pPr>
              <w:rPr>
                <w:sz w:val="22"/>
                <w:szCs w:val="22"/>
              </w:rPr>
            </w:pPr>
          </w:p>
        </w:tc>
        <w:tc>
          <w:tcPr>
            <w:tcW w:w="964" w:type="pct"/>
            <w:noWrap/>
            <w:vAlign w:val="bottom"/>
          </w:tcPr>
          <w:p w14:paraId="55AE9EF4">
            <w:pPr>
              <w:rPr>
                <w:sz w:val="22"/>
                <w:szCs w:val="22"/>
              </w:rPr>
            </w:pPr>
          </w:p>
        </w:tc>
        <w:tc>
          <w:tcPr>
            <w:tcW w:w="689" w:type="pct"/>
            <w:noWrap/>
            <w:vAlign w:val="bottom"/>
          </w:tcPr>
          <w:p w14:paraId="2714C7F1">
            <w:pPr>
              <w:rPr>
                <w:sz w:val="22"/>
                <w:szCs w:val="22"/>
              </w:rPr>
            </w:pPr>
          </w:p>
        </w:tc>
        <w:tc>
          <w:tcPr>
            <w:tcW w:w="723" w:type="pct"/>
            <w:noWrap/>
            <w:vAlign w:val="bottom"/>
          </w:tcPr>
          <w:p w14:paraId="63471F19">
            <w:pPr>
              <w:rPr>
                <w:sz w:val="22"/>
                <w:szCs w:val="22"/>
              </w:rPr>
            </w:pPr>
          </w:p>
        </w:tc>
      </w:tr>
      <w:tr w14:paraId="4974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000" w:type="pct"/>
            <w:gridSpan w:val="6"/>
            <w:vAlign w:val="center"/>
          </w:tcPr>
          <w:p w14:paraId="7DDAAEE2">
            <w:pPr>
              <w:jc w:val="center"/>
              <w:rPr>
                <w:b/>
                <w:bCs/>
                <w:color w:val="000000"/>
                <w:sz w:val="22"/>
                <w:szCs w:val="22"/>
              </w:rPr>
            </w:pPr>
            <w:r>
              <w:rPr>
                <w:b/>
                <w:bCs/>
                <w:color w:val="000000"/>
                <w:sz w:val="22"/>
                <w:szCs w:val="22"/>
              </w:rPr>
              <w:t>Ngân hàng TMCP Ngoại thương Việt Nam - Chi nhánh Lạng Sơn (Vietcombank Lạng Sơn ) (Văn bản số 545/LSO-KT ngày 01/10/2024 và văn bản số 84/LSO-KT ngày 12/02/2025)</w:t>
            </w:r>
          </w:p>
        </w:tc>
      </w:tr>
      <w:tr w14:paraId="1BBA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0" w:type="pct"/>
            <w:vMerge w:val="restart"/>
            <w:vAlign w:val="center"/>
          </w:tcPr>
          <w:p w14:paraId="05CB7F9F">
            <w:pPr>
              <w:jc w:val="center"/>
              <w:rPr>
                <w:b/>
                <w:bCs/>
                <w:color w:val="000000"/>
                <w:sz w:val="22"/>
                <w:szCs w:val="22"/>
              </w:rPr>
            </w:pPr>
            <w:r>
              <w:rPr>
                <w:b/>
                <w:bCs/>
                <w:color w:val="000000"/>
                <w:sz w:val="22"/>
                <w:szCs w:val="22"/>
              </w:rPr>
              <w:t>Năm</w:t>
            </w:r>
          </w:p>
        </w:tc>
        <w:tc>
          <w:tcPr>
            <w:tcW w:w="3477" w:type="pct"/>
            <w:gridSpan w:val="4"/>
            <w:vAlign w:val="center"/>
          </w:tcPr>
          <w:p w14:paraId="6AEBA284">
            <w:pPr>
              <w:jc w:val="center"/>
              <w:rPr>
                <w:b/>
                <w:bCs/>
                <w:color w:val="000000"/>
                <w:sz w:val="22"/>
                <w:szCs w:val="22"/>
              </w:rPr>
            </w:pPr>
            <w:r>
              <w:rPr>
                <w:b/>
                <w:bCs/>
                <w:color w:val="000000"/>
                <w:sz w:val="22"/>
                <w:szCs w:val="22"/>
              </w:rPr>
              <w:t>Lãi suất cho vay trung hạn bình quân tiền VNĐ (04 quý) để thực hiện dự án đầu tư, kinh doanh BĐS</w:t>
            </w:r>
          </w:p>
        </w:tc>
        <w:tc>
          <w:tcPr>
            <w:tcW w:w="723" w:type="pct"/>
            <w:vAlign w:val="center"/>
          </w:tcPr>
          <w:p w14:paraId="6CC6A526">
            <w:pPr>
              <w:jc w:val="center"/>
              <w:rPr>
                <w:b/>
                <w:bCs/>
                <w:color w:val="000000"/>
                <w:sz w:val="22"/>
                <w:szCs w:val="22"/>
              </w:rPr>
            </w:pPr>
            <w:r>
              <w:rPr>
                <w:b/>
                <w:bCs/>
                <w:color w:val="000000"/>
                <w:sz w:val="22"/>
                <w:szCs w:val="22"/>
              </w:rPr>
              <w:t>Bình quân 04 quý</w:t>
            </w:r>
          </w:p>
        </w:tc>
      </w:tr>
      <w:tr w14:paraId="3C58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Merge w:val="continue"/>
            <w:vAlign w:val="center"/>
          </w:tcPr>
          <w:p w14:paraId="625CD1DA">
            <w:pPr>
              <w:rPr>
                <w:b/>
                <w:bCs/>
                <w:color w:val="000000"/>
                <w:sz w:val="22"/>
                <w:szCs w:val="22"/>
              </w:rPr>
            </w:pPr>
          </w:p>
        </w:tc>
        <w:tc>
          <w:tcPr>
            <w:tcW w:w="895" w:type="pct"/>
            <w:vAlign w:val="center"/>
          </w:tcPr>
          <w:p w14:paraId="1DEB7841">
            <w:pPr>
              <w:jc w:val="center"/>
              <w:rPr>
                <w:b/>
                <w:bCs/>
                <w:color w:val="000000"/>
                <w:sz w:val="22"/>
                <w:szCs w:val="22"/>
              </w:rPr>
            </w:pPr>
            <w:r>
              <w:rPr>
                <w:b/>
                <w:bCs/>
                <w:color w:val="000000"/>
                <w:sz w:val="22"/>
                <w:szCs w:val="22"/>
              </w:rPr>
              <w:t>Quý I</w:t>
            </w:r>
          </w:p>
        </w:tc>
        <w:tc>
          <w:tcPr>
            <w:tcW w:w="929" w:type="pct"/>
            <w:vAlign w:val="center"/>
          </w:tcPr>
          <w:p w14:paraId="6D712A34">
            <w:pPr>
              <w:jc w:val="center"/>
              <w:rPr>
                <w:b/>
                <w:bCs/>
                <w:color w:val="000000"/>
                <w:sz w:val="22"/>
                <w:szCs w:val="22"/>
              </w:rPr>
            </w:pPr>
            <w:r>
              <w:rPr>
                <w:b/>
                <w:bCs/>
                <w:color w:val="000000"/>
                <w:sz w:val="22"/>
                <w:szCs w:val="22"/>
              </w:rPr>
              <w:t>Quý II</w:t>
            </w:r>
          </w:p>
        </w:tc>
        <w:tc>
          <w:tcPr>
            <w:tcW w:w="964" w:type="pct"/>
            <w:vAlign w:val="center"/>
          </w:tcPr>
          <w:p w14:paraId="296D0FDE">
            <w:pPr>
              <w:jc w:val="center"/>
              <w:rPr>
                <w:b/>
                <w:bCs/>
                <w:color w:val="000000"/>
                <w:sz w:val="22"/>
                <w:szCs w:val="22"/>
              </w:rPr>
            </w:pPr>
            <w:r>
              <w:rPr>
                <w:b/>
                <w:bCs/>
                <w:color w:val="000000"/>
                <w:sz w:val="22"/>
                <w:szCs w:val="22"/>
              </w:rPr>
              <w:t>Quý III</w:t>
            </w:r>
          </w:p>
        </w:tc>
        <w:tc>
          <w:tcPr>
            <w:tcW w:w="689" w:type="pct"/>
            <w:vAlign w:val="center"/>
          </w:tcPr>
          <w:p w14:paraId="58067E9B">
            <w:pPr>
              <w:jc w:val="center"/>
              <w:rPr>
                <w:b/>
                <w:bCs/>
                <w:color w:val="000000"/>
                <w:sz w:val="22"/>
                <w:szCs w:val="22"/>
              </w:rPr>
            </w:pPr>
            <w:r>
              <w:rPr>
                <w:b/>
                <w:bCs/>
                <w:color w:val="000000"/>
                <w:sz w:val="22"/>
                <w:szCs w:val="22"/>
              </w:rPr>
              <w:t>Quý IV</w:t>
            </w:r>
          </w:p>
        </w:tc>
        <w:tc>
          <w:tcPr>
            <w:tcW w:w="723" w:type="pct"/>
            <w:vAlign w:val="center"/>
          </w:tcPr>
          <w:p w14:paraId="0C33DAAD">
            <w:pPr>
              <w:jc w:val="center"/>
              <w:rPr>
                <w:b/>
                <w:bCs/>
                <w:color w:val="000000"/>
                <w:sz w:val="22"/>
                <w:szCs w:val="22"/>
              </w:rPr>
            </w:pPr>
            <w:r>
              <w:rPr>
                <w:b/>
                <w:bCs/>
                <w:color w:val="000000"/>
                <w:sz w:val="22"/>
                <w:szCs w:val="22"/>
              </w:rPr>
              <w:t> </w:t>
            </w:r>
          </w:p>
        </w:tc>
      </w:tr>
      <w:tr w14:paraId="7677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36DFC7F2">
            <w:pPr>
              <w:jc w:val="center"/>
              <w:rPr>
                <w:b/>
                <w:bCs/>
                <w:color w:val="000000"/>
                <w:sz w:val="22"/>
                <w:szCs w:val="22"/>
              </w:rPr>
            </w:pPr>
            <w:r>
              <w:rPr>
                <w:b/>
                <w:bCs/>
                <w:color w:val="000000"/>
                <w:sz w:val="22"/>
                <w:szCs w:val="22"/>
              </w:rPr>
              <w:t>2022</w:t>
            </w:r>
          </w:p>
        </w:tc>
        <w:tc>
          <w:tcPr>
            <w:tcW w:w="895" w:type="pct"/>
            <w:vAlign w:val="center"/>
          </w:tcPr>
          <w:p w14:paraId="42065FC3">
            <w:pPr>
              <w:jc w:val="center"/>
              <w:rPr>
                <w:b/>
                <w:bCs/>
                <w:color w:val="000000"/>
                <w:sz w:val="22"/>
                <w:szCs w:val="22"/>
              </w:rPr>
            </w:pPr>
            <w:r>
              <w:rPr>
                <w:b/>
                <w:bCs/>
                <w:color w:val="000000"/>
                <w:sz w:val="22"/>
                <w:szCs w:val="22"/>
              </w:rPr>
              <w:t> </w:t>
            </w:r>
          </w:p>
        </w:tc>
        <w:tc>
          <w:tcPr>
            <w:tcW w:w="929" w:type="pct"/>
            <w:vAlign w:val="center"/>
          </w:tcPr>
          <w:p w14:paraId="0994954F">
            <w:pPr>
              <w:jc w:val="center"/>
              <w:rPr>
                <w:b/>
                <w:bCs/>
                <w:color w:val="000000"/>
                <w:sz w:val="22"/>
                <w:szCs w:val="22"/>
              </w:rPr>
            </w:pPr>
            <w:r>
              <w:rPr>
                <w:b/>
                <w:bCs/>
                <w:color w:val="000000"/>
                <w:sz w:val="22"/>
                <w:szCs w:val="22"/>
              </w:rPr>
              <w:t> </w:t>
            </w:r>
          </w:p>
        </w:tc>
        <w:tc>
          <w:tcPr>
            <w:tcW w:w="964" w:type="pct"/>
            <w:vAlign w:val="center"/>
          </w:tcPr>
          <w:p w14:paraId="2430A688">
            <w:pPr>
              <w:jc w:val="center"/>
              <w:rPr>
                <w:b/>
                <w:bCs/>
                <w:color w:val="000000"/>
                <w:sz w:val="22"/>
                <w:szCs w:val="22"/>
              </w:rPr>
            </w:pPr>
            <w:r>
              <w:rPr>
                <w:b/>
                <w:bCs/>
                <w:color w:val="000000"/>
                <w:sz w:val="22"/>
                <w:szCs w:val="22"/>
              </w:rPr>
              <w:t> </w:t>
            </w:r>
          </w:p>
        </w:tc>
        <w:tc>
          <w:tcPr>
            <w:tcW w:w="689" w:type="pct"/>
            <w:vAlign w:val="center"/>
          </w:tcPr>
          <w:p w14:paraId="79717709">
            <w:pPr>
              <w:jc w:val="center"/>
              <w:rPr>
                <w:color w:val="000000"/>
                <w:sz w:val="22"/>
                <w:szCs w:val="22"/>
              </w:rPr>
            </w:pPr>
            <w:r>
              <w:rPr>
                <w:color w:val="000000"/>
                <w:sz w:val="22"/>
                <w:szCs w:val="22"/>
              </w:rPr>
              <w:t>12,00%</w:t>
            </w:r>
          </w:p>
        </w:tc>
        <w:tc>
          <w:tcPr>
            <w:tcW w:w="723" w:type="pct"/>
            <w:vAlign w:val="center"/>
          </w:tcPr>
          <w:p w14:paraId="10F086FD">
            <w:pPr>
              <w:jc w:val="center"/>
              <w:rPr>
                <w:b/>
                <w:bCs/>
                <w:color w:val="000000"/>
                <w:sz w:val="22"/>
                <w:szCs w:val="22"/>
              </w:rPr>
            </w:pPr>
            <w:r>
              <w:rPr>
                <w:b/>
                <w:bCs/>
                <w:color w:val="000000"/>
                <w:sz w:val="22"/>
                <w:szCs w:val="22"/>
              </w:rPr>
              <w:t> </w:t>
            </w:r>
          </w:p>
        </w:tc>
      </w:tr>
      <w:tr w14:paraId="1239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5A1DE06E">
            <w:pPr>
              <w:jc w:val="center"/>
              <w:rPr>
                <w:b/>
                <w:bCs/>
                <w:color w:val="000000"/>
                <w:sz w:val="22"/>
                <w:szCs w:val="22"/>
              </w:rPr>
            </w:pPr>
            <w:r>
              <w:rPr>
                <w:b/>
                <w:bCs/>
                <w:color w:val="000000"/>
                <w:sz w:val="22"/>
                <w:szCs w:val="22"/>
              </w:rPr>
              <w:t>2023</w:t>
            </w:r>
          </w:p>
        </w:tc>
        <w:tc>
          <w:tcPr>
            <w:tcW w:w="895" w:type="pct"/>
            <w:vAlign w:val="center"/>
          </w:tcPr>
          <w:p w14:paraId="4737AF82">
            <w:pPr>
              <w:jc w:val="center"/>
              <w:rPr>
                <w:color w:val="000000"/>
                <w:sz w:val="22"/>
                <w:szCs w:val="22"/>
              </w:rPr>
            </w:pPr>
            <w:r>
              <w:rPr>
                <w:color w:val="000000"/>
                <w:sz w:val="22"/>
                <w:szCs w:val="22"/>
              </w:rPr>
              <w:t>13,10%</w:t>
            </w:r>
          </w:p>
        </w:tc>
        <w:tc>
          <w:tcPr>
            <w:tcW w:w="929" w:type="pct"/>
            <w:vAlign w:val="center"/>
          </w:tcPr>
          <w:p w14:paraId="3E54D602">
            <w:pPr>
              <w:jc w:val="center"/>
              <w:rPr>
                <w:color w:val="000000"/>
                <w:sz w:val="22"/>
                <w:szCs w:val="22"/>
              </w:rPr>
            </w:pPr>
            <w:r>
              <w:rPr>
                <w:color w:val="000000"/>
                <w:sz w:val="22"/>
                <w:szCs w:val="22"/>
              </w:rPr>
              <w:t>11,70%</w:t>
            </w:r>
          </w:p>
        </w:tc>
        <w:tc>
          <w:tcPr>
            <w:tcW w:w="964" w:type="pct"/>
            <w:vAlign w:val="center"/>
          </w:tcPr>
          <w:p w14:paraId="57A2E504">
            <w:pPr>
              <w:jc w:val="center"/>
              <w:rPr>
                <w:color w:val="000000"/>
                <w:sz w:val="22"/>
                <w:szCs w:val="22"/>
              </w:rPr>
            </w:pPr>
            <w:r>
              <w:rPr>
                <w:color w:val="000000"/>
                <w:sz w:val="22"/>
                <w:szCs w:val="22"/>
              </w:rPr>
              <w:t>10,80%</w:t>
            </w:r>
          </w:p>
        </w:tc>
        <w:tc>
          <w:tcPr>
            <w:tcW w:w="689" w:type="pct"/>
            <w:vAlign w:val="center"/>
          </w:tcPr>
          <w:p w14:paraId="1F389F93">
            <w:pPr>
              <w:jc w:val="center"/>
              <w:rPr>
                <w:color w:val="000000"/>
                <w:sz w:val="22"/>
                <w:szCs w:val="22"/>
              </w:rPr>
            </w:pPr>
            <w:r>
              <w:rPr>
                <w:color w:val="000000"/>
                <w:sz w:val="22"/>
                <w:szCs w:val="22"/>
              </w:rPr>
              <w:t>9,70%</w:t>
            </w:r>
          </w:p>
        </w:tc>
        <w:tc>
          <w:tcPr>
            <w:tcW w:w="723" w:type="pct"/>
            <w:noWrap/>
            <w:vAlign w:val="center"/>
          </w:tcPr>
          <w:p w14:paraId="5A4E8B10">
            <w:pPr>
              <w:jc w:val="right"/>
              <w:rPr>
                <w:b/>
                <w:bCs/>
                <w:color w:val="000000"/>
                <w:sz w:val="22"/>
                <w:szCs w:val="22"/>
              </w:rPr>
            </w:pPr>
          </w:p>
        </w:tc>
      </w:tr>
      <w:tr w14:paraId="3901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00" w:type="pct"/>
            <w:vAlign w:val="center"/>
          </w:tcPr>
          <w:p w14:paraId="50AC4C4A">
            <w:pPr>
              <w:jc w:val="center"/>
              <w:rPr>
                <w:b/>
                <w:bCs/>
                <w:color w:val="000000"/>
                <w:sz w:val="22"/>
                <w:szCs w:val="22"/>
              </w:rPr>
            </w:pPr>
            <w:r>
              <w:rPr>
                <w:b/>
                <w:bCs/>
                <w:color w:val="000000"/>
                <w:sz w:val="22"/>
                <w:szCs w:val="22"/>
              </w:rPr>
              <w:t>2024</w:t>
            </w:r>
          </w:p>
        </w:tc>
        <w:tc>
          <w:tcPr>
            <w:tcW w:w="895" w:type="pct"/>
            <w:vAlign w:val="center"/>
          </w:tcPr>
          <w:p w14:paraId="7CF79CAE">
            <w:pPr>
              <w:jc w:val="center"/>
              <w:rPr>
                <w:color w:val="000000"/>
                <w:sz w:val="22"/>
                <w:szCs w:val="22"/>
              </w:rPr>
            </w:pPr>
            <w:r>
              <w:rPr>
                <w:color w:val="000000"/>
                <w:sz w:val="22"/>
                <w:szCs w:val="22"/>
              </w:rPr>
              <w:t>9,50%</w:t>
            </w:r>
          </w:p>
        </w:tc>
        <w:tc>
          <w:tcPr>
            <w:tcW w:w="929" w:type="pct"/>
            <w:vAlign w:val="center"/>
          </w:tcPr>
          <w:p w14:paraId="4242AB55">
            <w:pPr>
              <w:jc w:val="center"/>
              <w:rPr>
                <w:color w:val="000000"/>
                <w:sz w:val="22"/>
                <w:szCs w:val="22"/>
              </w:rPr>
            </w:pPr>
            <w:r>
              <w:rPr>
                <w:color w:val="000000"/>
                <w:sz w:val="22"/>
                <w:szCs w:val="22"/>
              </w:rPr>
              <w:t>9,50%</w:t>
            </w:r>
          </w:p>
        </w:tc>
        <w:tc>
          <w:tcPr>
            <w:tcW w:w="964" w:type="pct"/>
            <w:vAlign w:val="center"/>
          </w:tcPr>
          <w:p w14:paraId="12B3B9EB">
            <w:pPr>
              <w:jc w:val="center"/>
              <w:rPr>
                <w:color w:val="000000"/>
                <w:sz w:val="22"/>
                <w:szCs w:val="22"/>
              </w:rPr>
            </w:pPr>
            <w:r>
              <w:rPr>
                <w:color w:val="000000"/>
                <w:sz w:val="22"/>
                <w:szCs w:val="22"/>
              </w:rPr>
              <w:t>9,50%</w:t>
            </w:r>
          </w:p>
        </w:tc>
        <w:tc>
          <w:tcPr>
            <w:tcW w:w="689" w:type="pct"/>
            <w:vAlign w:val="center"/>
          </w:tcPr>
          <w:p w14:paraId="13F01E47">
            <w:pPr>
              <w:jc w:val="center"/>
              <w:rPr>
                <w:color w:val="000000"/>
                <w:sz w:val="22"/>
                <w:szCs w:val="22"/>
              </w:rPr>
            </w:pPr>
            <w:r>
              <w:rPr>
                <w:color w:val="000000"/>
                <w:sz w:val="22"/>
                <w:szCs w:val="22"/>
              </w:rPr>
              <w:t>8,00%</w:t>
            </w:r>
          </w:p>
        </w:tc>
        <w:tc>
          <w:tcPr>
            <w:tcW w:w="723" w:type="pct"/>
            <w:noWrap/>
            <w:vAlign w:val="center"/>
          </w:tcPr>
          <w:p w14:paraId="7DC63C37">
            <w:pPr>
              <w:jc w:val="right"/>
              <w:rPr>
                <w:b/>
                <w:bCs/>
                <w:color w:val="000000"/>
                <w:sz w:val="22"/>
                <w:szCs w:val="22"/>
              </w:rPr>
            </w:pPr>
            <w:r>
              <w:rPr>
                <w:b/>
                <w:bCs/>
                <w:color w:val="000000"/>
                <w:sz w:val="22"/>
                <w:szCs w:val="22"/>
              </w:rPr>
              <w:t>9,13%</w:t>
            </w:r>
          </w:p>
        </w:tc>
      </w:tr>
    </w:tbl>
    <w:p w14:paraId="0066D4F8">
      <w:pPr>
        <w:widowControl w:val="0"/>
        <w:spacing w:before="120" w:after="120"/>
        <w:ind w:firstLine="567"/>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Căn cứ </w:t>
      </w:r>
      <w:r>
        <w:rPr>
          <w:color w:val="000000" w:themeColor="text1"/>
          <w:sz w:val="26"/>
          <w:szCs w:val="26"/>
          <w:lang w:val="vi-VN"/>
          <w14:textFill>
            <w14:solidFill>
              <w14:schemeClr w14:val="tx1"/>
            </w14:solidFill>
          </w14:textFill>
        </w:rPr>
        <w:t xml:space="preserve">Quyết định </w:t>
      </w:r>
      <w:r>
        <w:rPr>
          <w:bCs/>
          <w:iCs/>
          <w:spacing w:val="-6"/>
          <w:sz w:val="26"/>
          <w:szCs w:val="26"/>
          <w:lang w:val="vi-VN"/>
        </w:rPr>
        <w:t xml:space="preserve">số </w:t>
      </w:r>
      <w:r>
        <w:rPr>
          <w:bCs/>
          <w:iCs/>
          <w:spacing w:val="-6"/>
          <w:sz w:val="26"/>
          <w:szCs w:val="26"/>
        </w:rPr>
        <w:t>8</w:t>
      </w:r>
      <w:r>
        <w:rPr>
          <w:bCs/>
          <w:iCs/>
          <w:spacing w:val="-6"/>
          <w:sz w:val="26"/>
          <w:szCs w:val="26"/>
          <w:lang w:val="vi-VN"/>
        </w:rPr>
        <w:t xml:space="preserve">6/QĐ-UBND ngày </w:t>
      </w:r>
      <w:r>
        <w:rPr>
          <w:bCs/>
          <w:iCs/>
          <w:spacing w:val="-6"/>
          <w:sz w:val="26"/>
          <w:szCs w:val="26"/>
        </w:rPr>
        <w:t>09</w:t>
      </w:r>
      <w:r>
        <w:rPr>
          <w:bCs/>
          <w:iCs/>
          <w:spacing w:val="-6"/>
          <w:sz w:val="26"/>
          <w:szCs w:val="26"/>
          <w:lang w:val="vi-VN"/>
        </w:rPr>
        <w:t xml:space="preserve"> tháng </w:t>
      </w:r>
      <w:r>
        <w:rPr>
          <w:bCs/>
          <w:iCs/>
          <w:spacing w:val="-6"/>
          <w:sz w:val="26"/>
          <w:szCs w:val="26"/>
        </w:rPr>
        <w:t>01</w:t>
      </w:r>
      <w:r>
        <w:rPr>
          <w:bCs/>
          <w:iCs/>
          <w:spacing w:val="-6"/>
          <w:sz w:val="26"/>
          <w:szCs w:val="26"/>
          <w:lang w:val="vi-VN"/>
        </w:rPr>
        <w:t xml:space="preserve"> năm 202</w:t>
      </w:r>
      <w:r>
        <w:rPr>
          <w:bCs/>
          <w:iCs/>
          <w:spacing w:val="-6"/>
          <w:sz w:val="26"/>
          <w:szCs w:val="26"/>
        </w:rPr>
        <w:t>5</w:t>
      </w:r>
      <w:r>
        <w:rPr>
          <w:bCs/>
          <w:iCs/>
          <w:spacing w:val="-6"/>
          <w:sz w:val="26"/>
          <w:szCs w:val="26"/>
          <w:lang w:val="vi-VN"/>
        </w:rPr>
        <w:t xml:space="preserve"> của UBND tỉnh Lạng Sơn Về việc giao đất cho Liên danh Công ty Cổ phần Đầu tư xây dựng hạ tầng Chi Lăng và Công ty Cổ phần Tập đoàn BGI để thực hiện dự án Khu đô thị </w:t>
      </w:r>
      <w:r>
        <w:rPr>
          <w:bCs/>
          <w:iCs/>
          <w:spacing w:val="-6"/>
          <w:sz w:val="26"/>
          <w:szCs w:val="26"/>
        </w:rPr>
        <w:t>phía Đông Nam, thị trấn Đồng Mỏ</w:t>
      </w:r>
      <w:r>
        <w:rPr>
          <w:color w:val="000000" w:themeColor="text1"/>
          <w:sz w:val="26"/>
          <w:szCs w:val="26"/>
          <w14:textFill>
            <w14:solidFill>
              <w14:schemeClr w14:val="tx1"/>
            </w14:solidFill>
          </w14:textFill>
        </w:rPr>
        <w:t>. Do đó đơn vị tư vấn xác định quý gần nhất có số liệu trước thời điểm định giá là quý IV năm 2024, vì thời điểm giao đất là tháng 01/2025. Thời gian tham chiếu tối đa là 04 quý kể từ quý gần nhất trước thời điểm định giá trở về trước, đảm bảo theo quy định tại Khoản 5, Điều 6 Nghị định số 71/2024/NĐ-CP ngày 27/06/2024 của Chính Phủ (từ 1 đến 3 năm).</w:t>
      </w:r>
    </w:p>
    <w:p w14:paraId="0458555F">
      <w:pPr>
        <w:pStyle w:val="38"/>
        <w:widowControl w:val="0"/>
        <w:numPr>
          <w:ilvl w:val="0"/>
          <w:numId w:val="2"/>
        </w:numPr>
        <w:spacing w:before="120" w:after="120" w:line="320" w:lineRule="exact"/>
        <w:jc w:val="both"/>
        <w:rPr>
          <w:bCs/>
          <w:color w:val="000000" w:themeColor="text1"/>
          <w:spacing w:val="-4"/>
          <w:sz w:val="26"/>
          <w:szCs w:val="26"/>
          <w14:textFill>
            <w14:solidFill>
              <w14:schemeClr w14:val="tx1"/>
            </w14:solidFill>
          </w14:textFill>
        </w:rPr>
      </w:pPr>
      <w:r>
        <w:rPr>
          <w:bCs/>
          <w:color w:val="000000" w:themeColor="text1"/>
          <w:spacing w:val="-4"/>
          <w:sz w:val="26"/>
          <w:szCs w:val="26"/>
          <w14:textFill>
            <w14:solidFill>
              <w14:schemeClr w14:val="tx1"/>
            </w14:solidFill>
          </w14:textFill>
        </w:rPr>
        <w:t xml:space="preserve">Bình quân lãi suất cho vay trung hạn (bình quân 4 quý của 4 ngân hàng) là: </w:t>
      </w:r>
    </w:p>
    <w:p w14:paraId="067AA2E0">
      <w:pPr>
        <w:pStyle w:val="38"/>
        <w:widowControl w:val="0"/>
        <w:spacing w:before="120" w:after="120" w:line="320" w:lineRule="exact"/>
        <w:ind w:left="927"/>
        <w:jc w:val="both"/>
        <w:rPr>
          <w:bCs/>
          <w:color w:val="000000" w:themeColor="text1"/>
          <w:spacing w:val="-4"/>
          <w:sz w:val="26"/>
          <w:szCs w:val="26"/>
          <w14:textFill>
            <w14:solidFill>
              <w14:schemeClr w14:val="tx1"/>
            </w14:solidFill>
          </w14:textFill>
        </w:rPr>
      </w:pPr>
      <w:r>
        <w:rPr>
          <w:bCs/>
          <w:color w:val="000000" w:themeColor="text1"/>
          <w:spacing w:val="-4"/>
          <w:sz w:val="26"/>
          <w:szCs w:val="26"/>
          <w14:textFill>
            <w14:solidFill>
              <w14:schemeClr w14:val="tx1"/>
            </w14:solidFill>
          </w14:textFill>
        </w:rPr>
        <w:t xml:space="preserve">(8,94% + 14,00% + 9,25% + 9,13%)/4 = </w:t>
      </w:r>
      <w:r>
        <w:rPr>
          <w:b/>
          <w:color w:val="000000" w:themeColor="text1"/>
          <w:spacing w:val="-4"/>
          <w:sz w:val="26"/>
          <w:szCs w:val="26"/>
          <w14:textFill>
            <w14:solidFill>
              <w14:schemeClr w14:val="tx1"/>
            </w14:solidFill>
          </w14:textFill>
        </w:rPr>
        <w:t>10,33%.</w:t>
      </w:r>
    </w:p>
    <w:p w14:paraId="00C4E717">
      <w:pPr>
        <w:widowControl w:val="0"/>
        <w:spacing w:before="120" w:after="120" w:line="320" w:lineRule="exact"/>
        <w:ind w:firstLine="567"/>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Thực tế thì đ</w:t>
      </w:r>
      <w:r>
        <w:rPr>
          <w:bCs/>
          <w:color w:val="000000" w:themeColor="text1"/>
          <w:sz w:val="26"/>
          <w:szCs w:val="26"/>
          <w:lang w:val="da-DK"/>
          <w14:textFill>
            <w14:solidFill>
              <w14:schemeClr w14:val="tx1"/>
            </w14:solidFill>
          </w14:textFill>
        </w:rPr>
        <w:t>ối với lĩnh vực đầu tư bất động sản có mức lãi suất cho vay trung hạn, khác nhau tùy vào từng gói đầu tư bất động sản khách hàng được hưởng các mức lãi suất ưu đãi khác nhau</w:t>
      </w:r>
      <w:r>
        <w:rPr>
          <w:bCs/>
          <w:color w:val="000000" w:themeColor="text1"/>
          <w:sz w:val="26"/>
          <w:szCs w:val="26"/>
          <w:lang w:val="vi-VN"/>
          <w14:textFill>
            <w14:solidFill>
              <w14:schemeClr w14:val="tx1"/>
            </w14:solidFill>
          </w14:textFill>
        </w:rPr>
        <w:t>.</w:t>
      </w:r>
    </w:p>
    <w:p w14:paraId="6487311A">
      <w:pPr>
        <w:widowControl w:val="0"/>
        <w:spacing w:before="120" w:after="120"/>
        <w:ind w:firstLine="567"/>
        <w:jc w:val="both"/>
        <w:rPr>
          <w:bCs/>
          <w:color w:val="000000" w:themeColor="text1"/>
          <w:spacing w:val="-2"/>
          <w:sz w:val="26"/>
          <w:szCs w:val="26"/>
          <w:lang w:val="da-DK"/>
          <w14:textFill>
            <w14:solidFill>
              <w14:schemeClr w14:val="tx1"/>
            </w14:solidFill>
          </w14:textFill>
        </w:rPr>
      </w:pPr>
      <w:r>
        <w:rPr>
          <w:b/>
          <w:bCs/>
          <w:i/>
          <w:color w:val="000000" w:themeColor="text1"/>
          <w:spacing w:val="-2"/>
          <w:sz w:val="26"/>
          <w:szCs w:val="26"/>
          <w:lang w:val="da-DK"/>
          <w14:textFill>
            <w14:solidFill>
              <w14:schemeClr w14:val="tx1"/>
            </w14:solidFill>
          </w14:textFill>
        </w:rPr>
        <w:t xml:space="preserve">=&gt; r = 10,33%/năm  </w:t>
      </w:r>
      <w:r>
        <w:rPr>
          <w:bCs/>
          <w:color w:val="000000" w:themeColor="text1"/>
          <w:spacing w:val="-2"/>
          <w:sz w:val="26"/>
          <w:szCs w:val="26"/>
          <w:lang w:val="da-DK"/>
          <w14:textFill>
            <w14:solidFill>
              <w14:schemeClr w14:val="tx1"/>
            </w14:solidFill>
          </w14:textFill>
        </w:rPr>
        <w:t>là tỷ lệ chiết khấu phù hợp được sử dụng đối với dự án “Khu đô thị phía Đông Nam thị trấn Đồng Mỏ” (nay là xã Chi Lăng, tỉnh Lạng Sơn) tại thời điểm định giá.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891"/>
        <w:gridCol w:w="2537"/>
        <w:gridCol w:w="2856"/>
        <w:gridCol w:w="2138"/>
      </w:tblGrid>
      <w:tr w14:paraId="3953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5" w:type="pct"/>
            <w:vAlign w:val="center"/>
          </w:tcPr>
          <w:p w14:paraId="68ED5ECB">
            <w:pPr>
              <w:jc w:val="center"/>
              <w:rPr>
                <w:b/>
                <w:bCs/>
              </w:rPr>
            </w:pPr>
            <w:r>
              <w:rPr>
                <w:b/>
                <w:bCs/>
              </w:rPr>
              <w:t>STT</w:t>
            </w:r>
          </w:p>
        </w:tc>
        <w:tc>
          <w:tcPr>
            <w:tcW w:w="480" w:type="pct"/>
            <w:vAlign w:val="center"/>
          </w:tcPr>
          <w:p w14:paraId="755A72B3">
            <w:pPr>
              <w:jc w:val="center"/>
              <w:rPr>
                <w:b/>
                <w:bCs/>
              </w:rPr>
            </w:pPr>
            <w:r>
              <w:rPr>
                <w:b/>
                <w:bCs/>
              </w:rPr>
              <w:t>Năm</w:t>
            </w:r>
          </w:p>
        </w:tc>
        <w:tc>
          <w:tcPr>
            <w:tcW w:w="1366" w:type="pct"/>
            <w:vAlign w:val="center"/>
          </w:tcPr>
          <w:p w14:paraId="29EF3EE1">
            <w:pPr>
              <w:jc w:val="center"/>
              <w:rPr>
                <w:b/>
                <w:bCs/>
              </w:rPr>
            </w:pPr>
            <w:r>
              <w:rPr>
                <w:b/>
                <w:bCs/>
              </w:rPr>
              <w:t>Doanh Thu bán đất và nhà ở thấp tầng (biệt thự và liền kề)</w:t>
            </w:r>
          </w:p>
        </w:tc>
        <w:tc>
          <w:tcPr>
            <w:tcW w:w="1538" w:type="pct"/>
            <w:vAlign w:val="center"/>
          </w:tcPr>
          <w:p w14:paraId="0225D41C">
            <w:pPr>
              <w:jc w:val="center"/>
              <w:rPr>
                <w:b/>
                <w:bCs/>
              </w:rPr>
            </w:pPr>
            <w:r>
              <w:rPr>
                <w:b/>
                <w:bCs/>
              </w:rPr>
              <w:t>Hệ số chiết khấu theo lãi vay ngân hàng (r =10,33%/năm)</w:t>
            </w:r>
          </w:p>
        </w:tc>
        <w:tc>
          <w:tcPr>
            <w:tcW w:w="1152" w:type="pct"/>
            <w:vAlign w:val="center"/>
          </w:tcPr>
          <w:p w14:paraId="0046DB31">
            <w:pPr>
              <w:jc w:val="center"/>
              <w:rPr>
                <w:b/>
                <w:bCs/>
              </w:rPr>
            </w:pPr>
            <w:r>
              <w:rPr>
                <w:b/>
                <w:bCs/>
              </w:rPr>
              <w:t>Doanh thu quy về hiện tại</w:t>
            </w:r>
          </w:p>
        </w:tc>
      </w:tr>
      <w:tr w14:paraId="2742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5" w:type="pct"/>
            <w:noWrap/>
            <w:vAlign w:val="center"/>
          </w:tcPr>
          <w:p w14:paraId="55C5D04F">
            <w:pPr>
              <w:jc w:val="center"/>
            </w:pPr>
            <w:r>
              <w:t>1</w:t>
            </w:r>
          </w:p>
        </w:tc>
        <w:tc>
          <w:tcPr>
            <w:tcW w:w="480" w:type="pct"/>
            <w:vAlign w:val="center"/>
          </w:tcPr>
          <w:p w14:paraId="20D54663">
            <w:pPr>
              <w:jc w:val="center"/>
            </w:pPr>
            <w:r>
              <w:t>Năm 1</w:t>
            </w:r>
          </w:p>
        </w:tc>
        <w:tc>
          <w:tcPr>
            <w:tcW w:w="1366" w:type="pct"/>
            <w:vAlign w:val="center"/>
          </w:tcPr>
          <w:p w14:paraId="30F9F5B8">
            <w:pPr>
              <w:jc w:val="center"/>
            </w:pPr>
            <w:r>
              <w:t>0</w:t>
            </w:r>
          </w:p>
        </w:tc>
        <w:tc>
          <w:tcPr>
            <w:tcW w:w="1538" w:type="pct"/>
            <w:vAlign w:val="center"/>
          </w:tcPr>
          <w:p w14:paraId="06A72426">
            <w:pPr>
              <w:jc w:val="center"/>
            </w:pPr>
            <w:r>
              <w:t>0,91</w:t>
            </w:r>
          </w:p>
        </w:tc>
        <w:tc>
          <w:tcPr>
            <w:tcW w:w="1152" w:type="pct"/>
            <w:noWrap/>
            <w:vAlign w:val="center"/>
          </w:tcPr>
          <w:p w14:paraId="55227DDA">
            <w:pPr>
              <w:jc w:val="center"/>
            </w:pPr>
            <w:r>
              <w:t>0</w:t>
            </w:r>
          </w:p>
        </w:tc>
      </w:tr>
      <w:tr w14:paraId="53FA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5" w:type="pct"/>
            <w:noWrap/>
            <w:vAlign w:val="center"/>
          </w:tcPr>
          <w:p w14:paraId="4CEF29BC">
            <w:pPr>
              <w:jc w:val="center"/>
            </w:pPr>
            <w:r>
              <w:t>2</w:t>
            </w:r>
          </w:p>
        </w:tc>
        <w:tc>
          <w:tcPr>
            <w:tcW w:w="480" w:type="pct"/>
            <w:vAlign w:val="center"/>
          </w:tcPr>
          <w:p w14:paraId="0E20F661">
            <w:pPr>
              <w:jc w:val="center"/>
            </w:pPr>
            <w:r>
              <w:t>Năm 2</w:t>
            </w:r>
          </w:p>
        </w:tc>
        <w:tc>
          <w:tcPr>
            <w:tcW w:w="1366" w:type="pct"/>
            <w:vAlign w:val="center"/>
          </w:tcPr>
          <w:p w14:paraId="21989BFD">
            <w:pPr>
              <w:jc w:val="center"/>
            </w:pPr>
            <w:r>
              <w:t>282.811.945.131</w:t>
            </w:r>
          </w:p>
        </w:tc>
        <w:tc>
          <w:tcPr>
            <w:tcW w:w="1538" w:type="pct"/>
            <w:vAlign w:val="center"/>
          </w:tcPr>
          <w:p w14:paraId="07ED8CC6">
            <w:pPr>
              <w:jc w:val="center"/>
            </w:pPr>
            <w:r>
              <w:t>0,82</w:t>
            </w:r>
          </w:p>
        </w:tc>
        <w:tc>
          <w:tcPr>
            <w:tcW w:w="1152" w:type="pct"/>
            <w:noWrap/>
            <w:vAlign w:val="center"/>
          </w:tcPr>
          <w:p w14:paraId="3F3E4C1D">
            <w:pPr>
              <w:jc w:val="center"/>
            </w:pPr>
            <w:r>
              <w:t>232.343.321.876</w:t>
            </w:r>
          </w:p>
        </w:tc>
      </w:tr>
      <w:tr w14:paraId="7448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5" w:type="pct"/>
            <w:noWrap/>
            <w:vAlign w:val="center"/>
          </w:tcPr>
          <w:p w14:paraId="597B3726">
            <w:pPr>
              <w:jc w:val="center"/>
            </w:pPr>
            <w:r>
              <w:t>3</w:t>
            </w:r>
          </w:p>
        </w:tc>
        <w:tc>
          <w:tcPr>
            <w:tcW w:w="480" w:type="pct"/>
            <w:vAlign w:val="center"/>
          </w:tcPr>
          <w:p w14:paraId="66FF81D9">
            <w:pPr>
              <w:jc w:val="center"/>
            </w:pPr>
            <w:r>
              <w:t>Năm 3</w:t>
            </w:r>
          </w:p>
        </w:tc>
        <w:tc>
          <w:tcPr>
            <w:tcW w:w="1366" w:type="pct"/>
            <w:vAlign w:val="center"/>
          </w:tcPr>
          <w:p w14:paraId="732541E3">
            <w:pPr>
              <w:jc w:val="center"/>
            </w:pPr>
            <w:r>
              <w:t>289.401.463.452</w:t>
            </w:r>
          </w:p>
        </w:tc>
        <w:tc>
          <w:tcPr>
            <w:tcW w:w="1538" w:type="pct"/>
            <w:vAlign w:val="center"/>
          </w:tcPr>
          <w:p w14:paraId="7D0AA6BB">
            <w:pPr>
              <w:jc w:val="center"/>
            </w:pPr>
            <w:r>
              <w:t>0,74</w:t>
            </w:r>
          </w:p>
        </w:tc>
        <w:tc>
          <w:tcPr>
            <w:tcW w:w="1152" w:type="pct"/>
            <w:noWrap/>
            <w:vAlign w:val="center"/>
          </w:tcPr>
          <w:p w14:paraId="1CAB5783">
            <w:pPr>
              <w:jc w:val="center"/>
            </w:pPr>
            <w:r>
              <w:t>215.501.050.305</w:t>
            </w:r>
          </w:p>
        </w:tc>
      </w:tr>
      <w:tr w14:paraId="3194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5" w:type="pct"/>
            <w:noWrap/>
            <w:vAlign w:val="center"/>
          </w:tcPr>
          <w:p w14:paraId="2CF51070">
            <w:pPr>
              <w:jc w:val="center"/>
            </w:pPr>
            <w:r>
              <w:t>4</w:t>
            </w:r>
          </w:p>
        </w:tc>
        <w:tc>
          <w:tcPr>
            <w:tcW w:w="480" w:type="pct"/>
            <w:vAlign w:val="center"/>
          </w:tcPr>
          <w:p w14:paraId="5084518F">
            <w:pPr>
              <w:jc w:val="center"/>
            </w:pPr>
            <w:r>
              <w:t>Năm 4</w:t>
            </w:r>
          </w:p>
        </w:tc>
        <w:tc>
          <w:tcPr>
            <w:tcW w:w="1366" w:type="pct"/>
            <w:vAlign w:val="center"/>
          </w:tcPr>
          <w:p w14:paraId="7F39AF9D">
            <w:pPr>
              <w:jc w:val="center"/>
            </w:pPr>
            <w:r>
              <w:t>253.838.157.901</w:t>
            </w:r>
          </w:p>
        </w:tc>
        <w:tc>
          <w:tcPr>
            <w:tcW w:w="1538" w:type="pct"/>
            <w:vAlign w:val="center"/>
          </w:tcPr>
          <w:p w14:paraId="7E7AD56C">
            <w:pPr>
              <w:jc w:val="center"/>
            </w:pPr>
            <w:r>
              <w:t>0,67</w:t>
            </w:r>
          </w:p>
        </w:tc>
        <w:tc>
          <w:tcPr>
            <w:tcW w:w="1152" w:type="pct"/>
            <w:noWrap/>
            <w:vAlign w:val="center"/>
          </w:tcPr>
          <w:p w14:paraId="495A8B0B">
            <w:pPr>
              <w:jc w:val="center"/>
            </w:pPr>
            <w:r>
              <w:t>171.325.417.334</w:t>
            </w:r>
          </w:p>
        </w:tc>
      </w:tr>
      <w:tr w14:paraId="31BD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4" w:type="pct"/>
            <w:gridSpan w:val="2"/>
            <w:noWrap/>
            <w:vAlign w:val="center"/>
          </w:tcPr>
          <w:p w14:paraId="3A57BC8E">
            <w:pPr>
              <w:jc w:val="center"/>
              <w:rPr>
                <w:b/>
                <w:bCs/>
              </w:rPr>
            </w:pPr>
            <w:r>
              <w:rPr>
                <w:b/>
                <w:bCs/>
              </w:rPr>
              <w:t>Tổng cộng</w:t>
            </w:r>
          </w:p>
        </w:tc>
        <w:tc>
          <w:tcPr>
            <w:tcW w:w="1366" w:type="pct"/>
            <w:vAlign w:val="center"/>
          </w:tcPr>
          <w:p w14:paraId="52E96914">
            <w:pPr>
              <w:jc w:val="center"/>
              <w:rPr>
                <w:b/>
                <w:bCs/>
              </w:rPr>
            </w:pPr>
            <w:r>
              <w:rPr>
                <w:b/>
                <w:bCs/>
              </w:rPr>
              <w:t>826.051.566.484</w:t>
            </w:r>
          </w:p>
        </w:tc>
        <w:tc>
          <w:tcPr>
            <w:tcW w:w="1538" w:type="pct"/>
            <w:vAlign w:val="center"/>
          </w:tcPr>
          <w:p w14:paraId="5FC65AF8">
            <w:pPr>
              <w:jc w:val="center"/>
              <w:rPr>
                <w:b/>
                <w:bCs/>
              </w:rPr>
            </w:pPr>
          </w:p>
        </w:tc>
        <w:tc>
          <w:tcPr>
            <w:tcW w:w="1152" w:type="pct"/>
            <w:vAlign w:val="center"/>
          </w:tcPr>
          <w:p w14:paraId="579CB449">
            <w:pPr>
              <w:jc w:val="center"/>
              <w:rPr>
                <w:b/>
                <w:bCs/>
              </w:rPr>
            </w:pPr>
            <w:r>
              <w:rPr>
                <w:b/>
                <w:bCs/>
              </w:rPr>
              <w:t>619.169.789.514</w:t>
            </w:r>
          </w:p>
        </w:tc>
      </w:tr>
    </w:tbl>
    <w:p w14:paraId="57C04E27">
      <w:pPr>
        <w:widowControl w:val="0"/>
        <w:spacing w:before="120" w:after="120"/>
        <w:jc w:val="both"/>
        <w:rPr>
          <w:b/>
          <w:bCs/>
          <w:color w:val="000000" w:themeColor="text1"/>
          <w:spacing w:val="-4"/>
          <w:sz w:val="26"/>
          <w:szCs w:val="26"/>
          <w:lang w:val="da-DK"/>
          <w14:textFill>
            <w14:solidFill>
              <w14:schemeClr w14:val="tx1"/>
            </w14:solidFill>
          </w14:textFill>
        </w:rPr>
      </w:pPr>
    </w:p>
    <w:p w14:paraId="3173A4B6">
      <w:pPr>
        <w:widowControl w:val="0"/>
        <w:spacing w:before="120" w:after="120"/>
        <w:ind w:firstLine="567"/>
        <w:jc w:val="both"/>
        <w:rPr>
          <w:b/>
          <w:bCs/>
          <w:color w:val="000000" w:themeColor="text1"/>
          <w:spacing w:val="-4"/>
          <w:sz w:val="26"/>
          <w:szCs w:val="26"/>
          <w:lang w:val="da-DK"/>
          <w14:textFill>
            <w14:solidFill>
              <w14:schemeClr w14:val="tx1"/>
            </w14:solidFill>
          </w14:textFill>
        </w:rPr>
      </w:pPr>
      <w:r>
        <w:rPr>
          <w:b/>
          <w:bCs/>
          <w:color w:val="000000" w:themeColor="text1"/>
          <w:spacing w:val="-4"/>
          <w:sz w:val="26"/>
          <w:szCs w:val="26"/>
          <w:lang w:val="da-DK"/>
          <w14:textFill>
            <w14:solidFill>
              <w14:schemeClr w14:val="tx1"/>
            </w14:solidFill>
          </w14:textFill>
        </w:rPr>
        <w:t xml:space="preserve"> Vậy tổng doanh thu dự án quy về thời điểm hiện tại (DTo):</w:t>
      </w:r>
    </w:p>
    <w:tbl>
      <w:tblPr>
        <w:tblStyle w:val="32"/>
        <w:tblW w:w="6662" w:type="dxa"/>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9"/>
        <w:gridCol w:w="1598"/>
        <w:gridCol w:w="3695"/>
      </w:tblGrid>
      <w:tr w14:paraId="1587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9" w:type="dxa"/>
            <w:vAlign w:val="center"/>
          </w:tcPr>
          <w:p w14:paraId="1289C667">
            <w:pPr>
              <w:widowControl w:val="0"/>
              <w:spacing w:before="120" w:after="120"/>
              <w:jc w:val="center"/>
              <w:rPr>
                <w:b/>
                <w:bCs/>
                <w:color w:val="000000" w:themeColor="text1"/>
                <w:spacing w:val="-4"/>
                <w:sz w:val="26"/>
                <w:szCs w:val="26"/>
                <w:lang w:val="da-DK"/>
                <w14:textFill>
                  <w14:solidFill>
                    <w14:schemeClr w14:val="tx1"/>
                  </w14:solidFill>
                </w14:textFill>
              </w:rPr>
            </w:pPr>
            <w:r>
              <w:rPr>
                <w:b/>
                <w:bCs/>
                <w:color w:val="000000" w:themeColor="text1"/>
                <w:spacing w:val="-4"/>
                <w:sz w:val="26"/>
                <w:szCs w:val="26"/>
                <w:lang w:val="da-DK"/>
                <w14:textFill>
                  <w14:solidFill>
                    <w14:schemeClr w14:val="tx1"/>
                  </w14:solidFill>
                </w14:textFill>
              </w:rPr>
              <w:t>DTo =</w:t>
            </w:r>
          </w:p>
        </w:tc>
        <w:tc>
          <w:tcPr>
            <w:tcW w:w="1598" w:type="dxa"/>
            <w:vAlign w:val="center"/>
          </w:tcPr>
          <w:p w14:paraId="4A8D21AD">
            <w:pPr>
              <w:widowControl w:val="0"/>
              <w:spacing w:before="120" w:after="120"/>
              <w:jc w:val="center"/>
              <w:rPr>
                <w:b/>
                <w:bCs/>
                <w:color w:val="000000" w:themeColor="text1"/>
                <w:spacing w:val="-4"/>
                <w:sz w:val="26"/>
                <w:szCs w:val="26"/>
                <w:lang w:val="da-DK"/>
                <w14:textFill>
                  <w14:solidFill>
                    <w14:schemeClr w14:val="tx1"/>
                  </w14:solidFill>
                </w14:textFill>
              </w:rPr>
            </w:pPr>
            <w:r>
              <w:rPr>
                <w:color w:val="000000" w:themeColor="text1"/>
                <w:sz w:val="26"/>
                <w:szCs w:val="26"/>
                <w14:textFill>
                  <w14:solidFill>
                    <w14:schemeClr w14:val="tx1"/>
                  </w14:solidFill>
                </w14:textFill>
              </w:rPr>
              <w:drawing>
                <wp:inline distT="0" distB="0" distL="0" distR="0">
                  <wp:extent cx="877570" cy="576580"/>
                  <wp:effectExtent l="0" t="0" r="0" b="0"/>
                  <wp:docPr id="144665635" name="Picture 14466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5635" name="Picture 1446656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0706" cy="578750"/>
                          </a:xfrm>
                          <a:prstGeom prst="rect">
                            <a:avLst/>
                          </a:prstGeom>
                          <a:noFill/>
                          <a:ln>
                            <a:noFill/>
                          </a:ln>
                        </pic:spPr>
                      </pic:pic>
                    </a:graphicData>
                  </a:graphic>
                </wp:inline>
              </w:drawing>
            </w:r>
          </w:p>
        </w:tc>
        <w:tc>
          <w:tcPr>
            <w:tcW w:w="3695" w:type="dxa"/>
            <w:vAlign w:val="center"/>
          </w:tcPr>
          <w:p w14:paraId="2351D5E5">
            <w:pPr>
              <w:widowControl w:val="0"/>
              <w:spacing w:before="120" w:after="120"/>
              <w:rPr>
                <w:b/>
                <w:bCs/>
                <w:color w:val="000000" w:themeColor="text1"/>
                <w:spacing w:val="-4"/>
                <w:sz w:val="26"/>
                <w:szCs w:val="26"/>
                <w:lang w:val="vi-VN"/>
                <w14:textFill>
                  <w14:solidFill>
                    <w14:schemeClr w14:val="tx1"/>
                  </w14:solidFill>
                </w14:textFill>
              </w:rPr>
            </w:pPr>
            <w:r>
              <w:rPr>
                <w:b/>
                <w:bCs/>
                <w:color w:val="000000" w:themeColor="text1"/>
                <w:spacing w:val="-4"/>
                <w:sz w:val="26"/>
                <w:szCs w:val="26"/>
                <w:lang w:val="da-DK"/>
                <w14:textFill>
                  <w14:solidFill>
                    <w14:schemeClr w14:val="tx1"/>
                  </w14:solidFill>
                </w14:textFill>
              </w:rPr>
              <w:t xml:space="preserve">=  </w:t>
            </w:r>
            <w:r>
              <w:rPr>
                <w:b/>
                <w:bCs/>
              </w:rPr>
              <w:t xml:space="preserve">619.169.789.514 </w:t>
            </w:r>
            <w:r>
              <w:rPr>
                <w:b/>
                <w:bCs/>
                <w:color w:val="000000" w:themeColor="text1"/>
                <w:spacing w:val="-4"/>
                <w:sz w:val="26"/>
                <w:szCs w:val="26"/>
                <w14:textFill>
                  <w14:solidFill>
                    <w14:schemeClr w14:val="tx1"/>
                  </w14:solidFill>
                </w14:textFill>
              </w:rPr>
              <w:t>đồng</w:t>
            </w:r>
            <w:r>
              <w:rPr>
                <w:b/>
                <w:bCs/>
                <w:color w:val="000000" w:themeColor="text1"/>
                <w:spacing w:val="-4"/>
                <w:sz w:val="26"/>
                <w:szCs w:val="26"/>
                <w:lang w:val="vi-VN"/>
                <w14:textFill>
                  <w14:solidFill>
                    <w14:schemeClr w14:val="tx1"/>
                  </w14:solidFill>
                </w14:textFill>
              </w:rPr>
              <w:t xml:space="preserve"> </w:t>
            </w:r>
          </w:p>
        </w:tc>
      </w:tr>
      <w:bookmarkEnd w:id="35"/>
    </w:tbl>
    <w:p w14:paraId="0C99C04E">
      <w:pPr>
        <w:widowControl w:val="0"/>
        <w:spacing w:before="120" w:after="120" w:line="360" w:lineRule="exact"/>
        <w:ind w:firstLine="562"/>
        <w:jc w:val="both"/>
        <w:rPr>
          <w:b/>
          <w:bCs/>
          <w:color w:val="000000" w:themeColor="text1"/>
          <w:spacing w:val="-4"/>
          <w:sz w:val="26"/>
          <w:szCs w:val="26"/>
          <w:lang w:val="vi-VN"/>
          <w14:textFill>
            <w14:solidFill>
              <w14:schemeClr w14:val="tx1"/>
            </w14:solidFill>
          </w14:textFill>
        </w:rPr>
      </w:pPr>
      <w:r>
        <w:rPr>
          <w:b/>
          <w:bCs/>
          <w:color w:val="000000" w:themeColor="text1"/>
          <w:spacing w:val="-4"/>
          <w:sz w:val="26"/>
          <w:szCs w:val="26"/>
          <w:lang w:val="vi-VN"/>
          <w14:textFill>
            <w14:solidFill>
              <w14:schemeClr w14:val="tx1"/>
            </w14:solidFill>
          </w14:textFill>
        </w:rPr>
        <w:t xml:space="preserve">2. </w:t>
      </w:r>
      <w:r>
        <w:rPr>
          <w:b/>
          <w:color w:val="000000" w:themeColor="text1"/>
          <w:sz w:val="26"/>
          <w:szCs w:val="26"/>
          <w:lang w:val="vi-VN"/>
          <w14:textFill>
            <w14:solidFill>
              <w14:schemeClr w14:val="tx1"/>
            </w14:solidFill>
          </w14:textFill>
        </w:rPr>
        <w:t>Ước tính tổng chi phí phát triển của dự án (CP)</w:t>
      </w:r>
    </w:p>
    <w:p w14:paraId="47CCA3B5">
      <w:pPr>
        <w:widowControl w:val="0"/>
        <w:spacing w:before="120" w:after="120" w:line="360" w:lineRule="exact"/>
        <w:ind w:firstLine="562"/>
        <w:jc w:val="both"/>
        <w:rPr>
          <w:b/>
          <w:iCs/>
          <w:color w:val="000000" w:themeColor="text1"/>
          <w:sz w:val="26"/>
          <w:szCs w:val="26"/>
          <w:lang w:val="vi-VN"/>
          <w14:textFill>
            <w14:solidFill>
              <w14:schemeClr w14:val="tx1"/>
            </w14:solidFill>
          </w14:textFill>
        </w:rPr>
      </w:pPr>
      <w:r>
        <w:rPr>
          <w:b/>
          <w:iCs/>
          <w:color w:val="000000" w:themeColor="text1"/>
          <w:sz w:val="26"/>
          <w:szCs w:val="26"/>
          <w:lang w:val="vi-VN"/>
          <w14:textFill>
            <w14:solidFill>
              <w14:schemeClr w14:val="tx1"/>
            </w14:solidFill>
          </w14:textFill>
        </w:rPr>
        <w:t>2.1. Chi phí đầu tư xây dựng hạ tầng đô thị (CPHT).</w:t>
      </w:r>
    </w:p>
    <w:p w14:paraId="3613C8C1">
      <w:pPr>
        <w:widowControl w:val="0"/>
        <w:spacing w:before="120" w:after="120" w:line="360" w:lineRule="exact"/>
        <w:ind w:firstLine="567"/>
        <w:jc w:val="both"/>
        <w:rPr>
          <w:rFonts w:eastAsia="Tahoma"/>
          <w:color w:val="000000" w:themeColor="text1"/>
          <w:spacing w:val="-10"/>
          <w:sz w:val="26"/>
          <w:szCs w:val="26"/>
          <w:lang w:val="vi-VN"/>
          <w14:textFill>
            <w14:solidFill>
              <w14:schemeClr w14:val="tx1"/>
            </w14:solidFill>
          </w14:textFill>
        </w:rPr>
      </w:pPr>
      <w:r>
        <w:rPr>
          <w:rFonts w:eastAsia="Tahoma"/>
          <w:color w:val="000000" w:themeColor="text1"/>
          <w:spacing w:val="-10"/>
          <w:sz w:val="26"/>
          <w:szCs w:val="26"/>
          <w:lang w:val="vi-VN"/>
          <w14:textFill>
            <w14:solidFill>
              <w14:schemeClr w14:val="tx1"/>
            </w14:solidFill>
          </w14:textFill>
        </w:rPr>
        <w:t xml:space="preserve">*Căn cứ Điều </w:t>
      </w:r>
      <w:r>
        <w:rPr>
          <w:rFonts w:eastAsia="Tahoma"/>
          <w:color w:val="000000" w:themeColor="text1"/>
          <w:spacing w:val="-10"/>
          <w:sz w:val="26"/>
          <w:szCs w:val="26"/>
          <w14:textFill>
            <w14:solidFill>
              <w14:schemeClr w14:val="tx1"/>
            </w14:solidFill>
          </w14:textFill>
        </w:rPr>
        <w:t>6</w:t>
      </w:r>
      <w:r>
        <w:rPr>
          <w:rFonts w:eastAsia="Tahoma"/>
          <w:color w:val="000000" w:themeColor="text1"/>
          <w:spacing w:val="-10"/>
          <w:sz w:val="26"/>
          <w:szCs w:val="26"/>
          <w:lang w:val="vi-VN"/>
          <w14:textFill>
            <w14:solidFill>
              <w14:schemeClr w14:val="tx1"/>
            </w14:solidFill>
          </w14:textFill>
        </w:rPr>
        <w:t xml:space="preserve"> Nghị định số 71/2024/NĐ-CP ngày 27/06/2024 của Chính Phủ quy định:</w:t>
      </w:r>
    </w:p>
    <w:p w14:paraId="30096137">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“3. Ước tính tổng chi phí phát triển của thửa đất, khu đất</w:t>
      </w:r>
    </w:p>
    <w:p w14:paraId="72E3514C">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a) Các chi phí đầu tư xây dựng để xác định giá đất trong Nghị định này bao gồm:</w:t>
      </w:r>
    </w:p>
    <w:p w14:paraId="15B2B40B">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Chi phí xây dựng các công trình, hạng mục công trình của dự án (có tính đến chi phí dự phòng cho yếu tố trượt giá);</w:t>
      </w:r>
    </w:p>
    <w:p w14:paraId="03B1BEF9">
      <w:pPr>
        <w:widowControl w:val="0"/>
        <w:spacing w:before="120" w:after="120" w:line="360" w:lineRule="exact"/>
        <w:ind w:firstLine="567"/>
        <w:jc w:val="both"/>
        <w:rPr>
          <w:rFonts w:eastAsia="Tahoma"/>
          <w:color w:val="000000" w:themeColor="text1"/>
          <w:spacing w:val="-4"/>
          <w:sz w:val="26"/>
          <w:szCs w:val="26"/>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 Chi phí xây dựng các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tái định cư;</w:t>
      </w:r>
    </w:p>
    <w:p w14:paraId="54F81A0B">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Chi phí thiết bị;</w:t>
      </w:r>
    </w:p>
    <w:p w14:paraId="4D0BEBB1">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Chi phí quản lý dự án;</w:t>
      </w:r>
    </w:p>
    <w:p w14:paraId="5D5DBB04">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Chi phí tư vấn đầu tư xây dựng;</w:t>
      </w:r>
    </w:p>
    <w:p w14:paraId="6FDC80DC">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Chi phí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quyết định…</w:t>
      </w:r>
      <w:r>
        <w:rPr>
          <w:rFonts w:eastAsia="Tahoma"/>
          <w:color w:val="000000" w:themeColor="text1"/>
          <w:spacing w:val="-2"/>
          <w:sz w:val="26"/>
          <w:szCs w:val="26"/>
          <w14:textFill>
            <w14:solidFill>
              <w14:schemeClr w14:val="tx1"/>
            </w14:solidFill>
          </w14:textFill>
        </w:rPr>
        <w:t>…………</w:t>
      </w:r>
    </w:p>
    <w:p w14:paraId="6B9CDC4C">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4. Việc ước tính tổng chi phí đầu tư xây dựng được thực hiện như sau:</w:t>
      </w:r>
    </w:p>
    <w:p w14:paraId="7BBC519B">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a) Chi phí đầu tư xây dựng được ước tính theo quy hoạch chi tiết xây dựng hoặc quy hoạch tổng mặt bằng hoặc hồ sơ thiết kế cơ sở hoặc hồ sơ thiết kế thi công được cơ quan có thẩm quyền thẩm định, phê duyệt. Việc ước tính chi phí đầu tư xây dựng quy định tại điểm này thực hiện theo quy định của pháp luật về xây dựng;</w:t>
      </w:r>
    </w:p>
    <w:p w14:paraId="0293AD36">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b) Việc ước tính tổng chi phí đầu tư xây dựng căn cứ theo thứ tự ưu tiên như sau:</w:t>
      </w:r>
    </w:p>
    <w:p w14:paraId="76689481">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Dự toán xây dựng đã được cơ quan chuyên môn về xây dựng thẩm định theo quy định của pháp luật về xây dựng;</w:t>
      </w:r>
    </w:p>
    <w:p w14:paraId="2516194B">
      <w:pPr>
        <w:widowControl w:val="0"/>
        <w:spacing w:before="120" w:after="120" w:line="360" w:lineRule="exact"/>
        <w:ind w:firstLine="567"/>
        <w:jc w:val="both"/>
        <w:rPr>
          <w:rFonts w:eastAsia="Tahoma"/>
          <w:color w:val="000000" w:themeColor="text1"/>
          <w:spacing w:val="-4"/>
          <w:sz w:val="26"/>
          <w:szCs w:val="26"/>
          <w14:textFill>
            <w14:solidFill>
              <w14:schemeClr w14:val="tx1"/>
            </w14:solidFill>
          </w14:textFill>
        </w:rPr>
      </w:pPr>
      <w:r>
        <w:rPr>
          <w:rFonts w:eastAsia="Tahoma"/>
          <w:color w:val="000000" w:themeColor="text1"/>
          <w:spacing w:val="-4"/>
          <w:sz w:val="26"/>
          <w:szCs w:val="26"/>
          <w:lang w:val="vi-VN"/>
          <w14:textFill>
            <w14:solidFill>
              <w14:schemeClr w14:val="tx1"/>
            </w14:solidFill>
          </w14:textFill>
        </w:rPr>
        <w:t>- Dự toán xây dựng dựa trên định mức, đơn giá do cơ quan nhà nước có thẩm quyền ban hành, công bố và đã được cơ quan, tổ chức tư vấn thẩm định hoặc thẩm tra độc lập. Cơ quan, tổ chức tư vấn thẩm định hoặc thẩm tra độc lập chịu trách nhiệm trước pháp luật về kết quả thẩm định hoặc thẩm tra đối với dự toán xây dựng mà mình đã thực hiện;</w:t>
      </w:r>
    </w:p>
    <w:p w14:paraId="22FAB5D9">
      <w:pPr>
        <w:widowControl w:val="0"/>
        <w:spacing w:before="120" w:after="120" w:line="36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2"/>
          <w:sz w:val="26"/>
          <w:szCs w:val="26"/>
          <w:lang w:val="vi-VN"/>
          <w14:textFill>
            <w14:solidFill>
              <w14:schemeClr w14:val="tx1"/>
            </w14:solidFill>
          </w14:textFill>
        </w:rPr>
        <w:t>- Suất vốn đầu tư xây dựng do Bộ Xây dựng công bố;</w:t>
      </w:r>
    </w:p>
    <w:p w14:paraId="725C7371">
      <w:pPr>
        <w:widowControl w:val="0"/>
        <w:spacing w:before="120" w:after="120" w:line="380" w:lineRule="exact"/>
        <w:ind w:firstLine="567"/>
        <w:jc w:val="both"/>
        <w:rPr>
          <w:rFonts w:eastAsia="Tahoma"/>
          <w:spacing w:val="-4"/>
          <w:sz w:val="26"/>
          <w:szCs w:val="26"/>
        </w:rPr>
      </w:pPr>
      <w:r>
        <w:rPr>
          <w:rFonts w:eastAsia="Tahoma"/>
          <w:color w:val="000000"/>
          <w:spacing w:val="-4"/>
          <w:sz w:val="26"/>
          <w:szCs w:val="26"/>
          <w:lang w:val="vi-VN"/>
        </w:rPr>
        <w:t xml:space="preserve">- </w:t>
      </w:r>
      <w:r>
        <w:rPr>
          <w:rFonts w:eastAsia="Tahoma"/>
          <w:spacing w:val="-4"/>
          <w:sz w:val="26"/>
          <w:szCs w:val="26"/>
          <w:lang w:val="vi-VN"/>
        </w:rPr>
        <w:t xml:space="preserve">Căn cứ công văn số </w:t>
      </w:r>
      <w:r>
        <w:rPr>
          <w:rFonts w:eastAsia="Tahoma"/>
          <w:spacing w:val="-4"/>
          <w:sz w:val="26"/>
          <w:szCs w:val="26"/>
        </w:rPr>
        <w:t xml:space="preserve">3160/SXD-HTKT&amp;VLXD </w:t>
      </w:r>
      <w:r>
        <w:rPr>
          <w:rFonts w:eastAsia="Tahoma"/>
          <w:spacing w:val="-4"/>
          <w:sz w:val="26"/>
          <w:szCs w:val="26"/>
          <w:lang w:val="vi-VN"/>
        </w:rPr>
        <w:t xml:space="preserve">ngày </w:t>
      </w:r>
      <w:r>
        <w:rPr>
          <w:rFonts w:eastAsia="Tahoma"/>
          <w:spacing w:val="-4"/>
          <w:sz w:val="26"/>
          <w:szCs w:val="26"/>
        </w:rPr>
        <w:t>25</w:t>
      </w:r>
      <w:r>
        <w:rPr>
          <w:rFonts w:eastAsia="Tahoma"/>
          <w:spacing w:val="-4"/>
          <w:sz w:val="26"/>
          <w:szCs w:val="26"/>
          <w:lang w:val="vi-VN"/>
        </w:rPr>
        <w:t xml:space="preserve"> tháng </w:t>
      </w:r>
      <w:r>
        <w:rPr>
          <w:rFonts w:eastAsia="Tahoma"/>
          <w:spacing w:val="-4"/>
          <w:sz w:val="26"/>
          <w:szCs w:val="26"/>
        </w:rPr>
        <w:t>12</w:t>
      </w:r>
      <w:r>
        <w:rPr>
          <w:rFonts w:eastAsia="Tahoma"/>
          <w:spacing w:val="-4"/>
          <w:sz w:val="26"/>
          <w:szCs w:val="26"/>
          <w:lang w:val="vi-VN"/>
        </w:rPr>
        <w:t xml:space="preserve"> năm 202</w:t>
      </w:r>
      <w:r>
        <w:rPr>
          <w:rFonts w:eastAsia="Tahoma"/>
          <w:spacing w:val="-4"/>
          <w:sz w:val="26"/>
          <w:szCs w:val="26"/>
        </w:rPr>
        <w:t>4</w:t>
      </w:r>
      <w:r>
        <w:rPr>
          <w:rFonts w:eastAsia="Tahoma"/>
          <w:spacing w:val="-4"/>
          <w:sz w:val="26"/>
          <w:szCs w:val="26"/>
          <w:lang w:val="vi-VN"/>
        </w:rPr>
        <w:t xml:space="preserve"> của Sở Xây dựng tỉnh </w:t>
      </w:r>
      <w:r>
        <w:rPr>
          <w:rFonts w:eastAsia="Tahoma"/>
          <w:spacing w:val="-4"/>
          <w:sz w:val="26"/>
          <w:szCs w:val="26"/>
        </w:rPr>
        <w:t>Lạng Sơn</w:t>
      </w:r>
      <w:r>
        <w:rPr>
          <w:rFonts w:eastAsia="Tahoma"/>
          <w:spacing w:val="-4"/>
          <w:sz w:val="26"/>
          <w:szCs w:val="26"/>
          <w:lang w:val="vi-VN"/>
        </w:rPr>
        <w:t xml:space="preserve"> </w:t>
      </w:r>
      <w:r>
        <w:rPr>
          <w:rFonts w:eastAsia="Tahoma"/>
          <w:spacing w:val="-4"/>
          <w:sz w:val="26"/>
          <w:szCs w:val="26"/>
        </w:rPr>
        <w:t xml:space="preserve">V/v tham gia ý kiến về dự toán xây dựng công trình dự án Khu đô thị phía Đông Nam, thị trấn Đồng Mỏ để phục vụ công tác xác định giá đất cụ thể, </w:t>
      </w:r>
      <w:r>
        <w:rPr>
          <w:rFonts w:eastAsia="Tahoma"/>
          <w:spacing w:val="-4"/>
          <w:sz w:val="26"/>
          <w:szCs w:val="26"/>
          <w:lang w:val="vi-VN"/>
        </w:rPr>
        <w:t xml:space="preserve">đã trả lời </w:t>
      </w:r>
      <w:r>
        <w:rPr>
          <w:rFonts w:eastAsia="Tahoma"/>
          <w:spacing w:val="-4"/>
          <w:sz w:val="26"/>
          <w:szCs w:val="26"/>
        </w:rPr>
        <w:t xml:space="preserve">3780/STNMT-KHTC ngày 19/12/2024 của Sở Tài nguyên và Môi trường về việc đề nghị cung cấp, cho ý kiến về dự toán xây dựng để phục vụ công tác xác định giá đất cụ thể (hồ sơ gửi kèm theo gồm: hồ sơ dự toán (01 tập), Báo cáo kết quả thẩm tra hồ sơ dự toán xây dựng công trình số 05/BCTTr ngày 07/12/2024 của Công ty TNHH MTV Tư vấn đầu tư xây dựng Sơn Nam; chứng chỉ hành nghề hoạt động xây dựng ông Vũ Văn Quỳnh và ông Lã Duy Hiếu) </w:t>
      </w:r>
      <w:r>
        <w:rPr>
          <w:rFonts w:eastAsia="Tahoma"/>
          <w:spacing w:val="-4"/>
          <w:sz w:val="26"/>
          <w:szCs w:val="26"/>
          <w:lang w:val="vi-VN"/>
        </w:rPr>
        <w:t xml:space="preserve">như sau: </w:t>
      </w:r>
    </w:p>
    <w:p w14:paraId="5FC5997B">
      <w:pPr>
        <w:widowControl w:val="0"/>
        <w:spacing w:before="120" w:after="120" w:line="380" w:lineRule="exact"/>
        <w:ind w:firstLine="567"/>
        <w:jc w:val="both"/>
        <w:rPr>
          <w:rFonts w:eastAsia="Tahoma"/>
          <w:spacing w:val="-4"/>
          <w:sz w:val="26"/>
          <w:szCs w:val="26"/>
        </w:rPr>
      </w:pPr>
      <w:r>
        <w:rPr>
          <w:rFonts w:eastAsia="Tahoma"/>
          <w:spacing w:val="-4"/>
          <w:sz w:val="26"/>
          <w:szCs w:val="26"/>
          <w:lang w:val="vi-VN"/>
        </w:rPr>
        <w:t>“</w:t>
      </w:r>
      <w:r>
        <w:rPr>
          <w:rFonts w:eastAsia="Tahoma"/>
          <w:spacing w:val="-4"/>
          <w:sz w:val="26"/>
          <w:szCs w:val="26"/>
        </w:rPr>
        <w:t>1. Theo quy định tại của pháp luật về xây dựng cơ quan chuyên môn về xây dựng thực hiện thẩm định đối với dự án đầu tư xây dựng sử dụng vốn khác theo quy định tại khoản 4 Điều 36 Nghị định số 15/2021/NĐ-CP ngày 03/3/2021 của Chính phủ. Qua rà soát, vị trí, địa điểm thực hiện dự án đã được UBND huyện Chi Lăng phê duyệt Đồ án Quy hoạch chi tiết tỷ lệ 1/500 Khu đô thị mới hai bên đường Quốc lộ 1 phía Đông Nam thị trấn Đồng Mỏ tại Quyết định số 2483/QĐ-UBND ngày 26/6/2020, do vậy cơ quan chuyên môn về xây dựng không thực hiện thẩm định thiết kế triển khai sau thiết kế cơ sở. Thiết kế xây dựng triển khai sau thiết kế cơ sở (bao gồm cả dự toán xây dựng công trình) do Chủ đầu tư tổ chức thẩm định theo quy định tại khoản 1 Điều 35 Nghị định số 15/2021/NĐ-CP</w:t>
      </w:r>
    </w:p>
    <w:p w14:paraId="3A9DDF06">
      <w:pPr>
        <w:widowControl w:val="0"/>
        <w:spacing w:before="120" w:after="120" w:line="380" w:lineRule="exact"/>
        <w:ind w:firstLine="567"/>
        <w:jc w:val="both"/>
        <w:rPr>
          <w:rFonts w:eastAsia="Tahoma"/>
          <w:b/>
          <w:bCs/>
          <w:spacing w:val="-6"/>
          <w:sz w:val="26"/>
          <w:szCs w:val="26"/>
        </w:rPr>
      </w:pPr>
      <w:r>
        <w:rPr>
          <w:rFonts w:eastAsia="Tahoma"/>
          <w:b/>
          <w:bCs/>
          <w:spacing w:val="-6"/>
          <w:sz w:val="26"/>
          <w:szCs w:val="26"/>
          <w:lang w:val="vi-VN"/>
        </w:rPr>
        <w:t xml:space="preserve">=&gt; Dự án </w:t>
      </w:r>
      <w:r>
        <w:rPr>
          <w:rFonts w:eastAsia="Tahoma"/>
          <w:b/>
          <w:bCs/>
          <w:spacing w:val="-4"/>
          <w:sz w:val="26"/>
          <w:szCs w:val="26"/>
        </w:rPr>
        <w:t>Khu đô thị phía Đông Nam, thị trấn Đồng Mỏ</w:t>
      </w:r>
      <w:r>
        <w:rPr>
          <w:rFonts w:eastAsia="Tahoma"/>
          <w:b/>
          <w:bCs/>
          <w:spacing w:val="-6"/>
          <w:sz w:val="26"/>
          <w:szCs w:val="26"/>
          <w:lang w:val="vi-VN"/>
        </w:rPr>
        <w:t xml:space="preserve"> thuộc trường hợp không được cơ quan chuyên môn về xây dựng thẩm định theo quy định của pháp luật về xây dựng;</w:t>
      </w:r>
    </w:p>
    <w:p w14:paraId="5581ACC4">
      <w:pPr>
        <w:widowControl w:val="0"/>
        <w:spacing w:before="120" w:after="120" w:line="380" w:lineRule="exact"/>
        <w:ind w:firstLine="567"/>
        <w:jc w:val="both"/>
        <w:rPr>
          <w:rFonts w:eastAsia="Tahoma"/>
          <w:spacing w:val="-2"/>
          <w:sz w:val="26"/>
          <w:szCs w:val="26"/>
        </w:rPr>
      </w:pPr>
      <w:r>
        <w:rPr>
          <w:rFonts w:eastAsia="Tahoma"/>
          <w:color w:val="000000"/>
          <w:spacing w:val="-4"/>
          <w:sz w:val="26"/>
          <w:szCs w:val="26"/>
          <w:lang w:val="vi-VN"/>
        </w:rPr>
        <w:t xml:space="preserve">- </w:t>
      </w:r>
      <w:r>
        <w:rPr>
          <w:rFonts w:eastAsia="Tahoma"/>
          <w:spacing w:val="-4"/>
          <w:sz w:val="26"/>
          <w:szCs w:val="26"/>
          <w:lang w:val="vi-VN"/>
        </w:rPr>
        <w:t xml:space="preserve">Căn cứ công văn số </w:t>
      </w:r>
      <w:r>
        <w:rPr>
          <w:rFonts w:eastAsia="Tahoma"/>
          <w:spacing w:val="-4"/>
          <w:sz w:val="26"/>
          <w:szCs w:val="26"/>
        </w:rPr>
        <w:t xml:space="preserve">3160/SXD-HTKT&amp;VLXD </w:t>
      </w:r>
      <w:r>
        <w:rPr>
          <w:rFonts w:eastAsia="Tahoma"/>
          <w:spacing w:val="-4"/>
          <w:sz w:val="26"/>
          <w:szCs w:val="26"/>
          <w:lang w:val="vi-VN"/>
        </w:rPr>
        <w:t xml:space="preserve">ngày </w:t>
      </w:r>
      <w:r>
        <w:rPr>
          <w:rFonts w:eastAsia="Tahoma"/>
          <w:spacing w:val="-4"/>
          <w:sz w:val="26"/>
          <w:szCs w:val="26"/>
        </w:rPr>
        <w:t>25</w:t>
      </w:r>
      <w:r>
        <w:rPr>
          <w:rFonts w:eastAsia="Tahoma"/>
          <w:spacing w:val="-4"/>
          <w:sz w:val="26"/>
          <w:szCs w:val="26"/>
          <w:lang w:val="vi-VN"/>
        </w:rPr>
        <w:t xml:space="preserve"> tháng </w:t>
      </w:r>
      <w:r>
        <w:rPr>
          <w:rFonts w:eastAsia="Tahoma"/>
          <w:spacing w:val="-4"/>
          <w:sz w:val="26"/>
          <w:szCs w:val="26"/>
        </w:rPr>
        <w:t>12</w:t>
      </w:r>
      <w:r>
        <w:rPr>
          <w:rFonts w:eastAsia="Tahoma"/>
          <w:spacing w:val="-4"/>
          <w:sz w:val="26"/>
          <w:szCs w:val="26"/>
          <w:lang w:val="vi-VN"/>
        </w:rPr>
        <w:t xml:space="preserve"> năm 202</w:t>
      </w:r>
      <w:r>
        <w:rPr>
          <w:rFonts w:eastAsia="Tahoma"/>
          <w:spacing w:val="-4"/>
          <w:sz w:val="26"/>
          <w:szCs w:val="26"/>
        </w:rPr>
        <w:t>4</w:t>
      </w:r>
      <w:r>
        <w:rPr>
          <w:rFonts w:eastAsia="Tahoma"/>
          <w:spacing w:val="-4"/>
          <w:sz w:val="26"/>
          <w:szCs w:val="26"/>
          <w:lang w:val="vi-VN"/>
        </w:rPr>
        <w:t xml:space="preserve"> của Sở Xây dựng tỉnh </w:t>
      </w:r>
      <w:r>
        <w:rPr>
          <w:rFonts w:eastAsia="Tahoma"/>
          <w:spacing w:val="-4"/>
          <w:sz w:val="26"/>
          <w:szCs w:val="26"/>
        </w:rPr>
        <w:t>Lạng Sơn:</w:t>
      </w:r>
    </w:p>
    <w:p w14:paraId="6ACDAEE5">
      <w:pPr>
        <w:widowControl w:val="0"/>
        <w:spacing w:before="120" w:after="120" w:line="380" w:lineRule="exact"/>
        <w:ind w:firstLine="567"/>
        <w:jc w:val="both"/>
        <w:rPr>
          <w:rFonts w:eastAsia="Tahoma"/>
          <w:spacing w:val="-2"/>
          <w:sz w:val="26"/>
          <w:szCs w:val="26"/>
        </w:rPr>
      </w:pPr>
      <w:r>
        <w:rPr>
          <w:rFonts w:eastAsia="Tahoma"/>
          <w:spacing w:val="-2"/>
          <w:sz w:val="26"/>
          <w:szCs w:val="26"/>
        </w:rPr>
        <w:t>“2. Về hồ sơ dự toán xây dựng công trình dự án Khu đô thị phía Đông Nam, thị trấn Đồng Mỏ</w:t>
      </w:r>
    </w:p>
    <w:p w14:paraId="6FBB8345">
      <w:pPr>
        <w:widowControl w:val="0"/>
        <w:spacing w:before="120" w:after="120" w:line="380" w:lineRule="exact"/>
        <w:ind w:firstLine="567"/>
        <w:jc w:val="both"/>
        <w:rPr>
          <w:rFonts w:eastAsia="Tahoma"/>
          <w:spacing w:val="-2"/>
          <w:sz w:val="26"/>
          <w:szCs w:val="26"/>
        </w:rPr>
      </w:pPr>
      <w:r>
        <w:rPr>
          <w:rFonts w:eastAsia="Tahoma"/>
          <w:spacing w:val="-2"/>
          <w:sz w:val="26"/>
          <w:szCs w:val="26"/>
        </w:rPr>
        <w:t>- Hồ sơ dự toán xây dựng công trình dự án Khu đô thị phía Đông Nam, thị trấn Đồng Mỏ được Công ty TNHH Xây dựng và Thương mại Song Gia (lập dự toán xây dựng các hạng mục: san nền; cấp thoát nước; bãi đỗ xe; điện sinh hoạt và chiếu sáng); Công ty TNHH MTV Danh Gia Vũ (lập dự toán xây dựng các hạng mục: đường giao thông và nhà xây thô) và Báo cáo kết quả thẩm tra dự toán xây dựng số 05/BCTTr ngày 07/12/2024 của Công ty TNHH MTV Tư vấn đầu tư xây dựng Sơn Nam thể hiện thời điểm lập tháng 12 năm 2024.</w:t>
      </w:r>
    </w:p>
    <w:p w14:paraId="07A7E67B">
      <w:pPr>
        <w:widowControl w:val="0"/>
        <w:spacing w:before="120" w:after="120" w:line="380" w:lineRule="exact"/>
        <w:ind w:firstLine="567"/>
        <w:jc w:val="both"/>
        <w:rPr>
          <w:rFonts w:eastAsia="Tahoma"/>
          <w:spacing w:val="-2"/>
          <w:sz w:val="26"/>
          <w:szCs w:val="26"/>
        </w:rPr>
      </w:pPr>
      <w:r>
        <w:rPr>
          <w:rFonts w:eastAsia="Tahoma"/>
          <w:spacing w:val="-2"/>
          <w:sz w:val="26"/>
          <w:szCs w:val="26"/>
        </w:rPr>
        <w:t xml:space="preserve">- Hồ sơ dự toán xây dựng công trình dự án Khu đô thị phía Đông Nam, thị trấn Đồng Mỏ do đơn vị tư vấn lập và thẩm tra cơ bản đã áp dụng định mức xây dựng, đơn giá nhân công xây dựng do cơ quan nhà nước có thẩm quyền ban hành, công bố tại thời điểm tháng 12 năm 2024. Tuy nhiên, qua xem xét, xác minh thông tin liên quan đến dự án cho thấy: dự án đã được </w:t>
      </w:r>
      <w:r>
        <w:rPr>
          <w:rFonts w:eastAsia="Tahoma"/>
          <w:b/>
          <w:bCs/>
          <w:spacing w:val="-2"/>
          <w:sz w:val="26"/>
          <w:szCs w:val="26"/>
        </w:rPr>
        <w:t>khởi công từ tháng 9 năm 2023, do vậy đ</w:t>
      </w:r>
      <w:r>
        <w:rPr>
          <w:rFonts w:eastAsia="Tahoma"/>
          <w:spacing w:val="-2"/>
          <w:sz w:val="26"/>
          <w:szCs w:val="26"/>
        </w:rPr>
        <w:t>ề nghị soát, phân khai khối lượng thi công của dự án theo từng thời điểm thi công để xác định chi phí đầu tư của dự án cho phù hợp với tình hình triển khai thực hiện của dự án.</w:t>
      </w:r>
    </w:p>
    <w:p w14:paraId="4F41AC43">
      <w:pPr>
        <w:widowControl w:val="0"/>
        <w:spacing w:before="120" w:after="120" w:line="380" w:lineRule="exact"/>
        <w:ind w:firstLine="567"/>
        <w:jc w:val="both"/>
        <w:rPr>
          <w:rFonts w:eastAsia="Tahoma"/>
          <w:spacing w:val="-2"/>
          <w:sz w:val="26"/>
          <w:szCs w:val="26"/>
        </w:rPr>
      </w:pPr>
      <w:r>
        <w:rPr>
          <w:rFonts w:eastAsia="Tahoma"/>
          <w:spacing w:val="-2"/>
          <w:sz w:val="26"/>
          <w:szCs w:val="26"/>
        </w:rPr>
        <w:t>- Hồ sơ dự toán xây dựng công trình dự án Khu đô thị phía Đông Nam, thị trấn Đồng Mỏ gửi kèm theo Công văn số 3780/STNMT-KHTC ngày 19/12/2024 của Sở Tài nguyên và Môi trường đã được Công ty TNHH MTV Tư vấn đầu tư xây dựng Sơn Nam thẩm tra và ban hành kết quả thẩm tra tại Văn bản số 05/BCTTr ngày 07/12/2024, do đó Công ty TNHH MTV Tư vấn đầu tư xây dựng Sơn Nam chịu trách nhiệm trước pháp luật về kết quả thẩm tra đối với dự toán xây dựng do đơn vị đã thực hiện theo quy định tại điểm b khoản 4 Điều 6 Nghị định số 71/2024/NĐ-CP ngày 27/6/2024 của Chính phủ quy định về giá đất”.</w:t>
      </w:r>
    </w:p>
    <w:p w14:paraId="257A6D4B">
      <w:pPr>
        <w:widowControl w:val="0"/>
        <w:spacing w:before="120" w:after="120" w:line="380" w:lineRule="exact"/>
        <w:ind w:firstLine="567"/>
        <w:jc w:val="both"/>
        <w:rPr>
          <w:spacing w:val="-8"/>
          <w:sz w:val="26"/>
          <w:szCs w:val="26"/>
        </w:rPr>
      </w:pPr>
      <w:r>
        <w:rPr>
          <w:spacing w:val="-8"/>
          <w:sz w:val="26"/>
          <w:szCs w:val="26"/>
        </w:rPr>
        <w:t xml:space="preserve">- Căn cứ Công văn </w:t>
      </w:r>
      <w:r>
        <w:rPr>
          <w:bCs/>
          <w:iCs/>
          <w:spacing w:val="-8"/>
          <w:sz w:val="26"/>
          <w:szCs w:val="26"/>
          <w:lang w:val="vi-VN"/>
        </w:rPr>
        <w:t xml:space="preserve">số </w:t>
      </w:r>
      <w:r>
        <w:rPr>
          <w:bCs/>
          <w:iCs/>
          <w:spacing w:val="-8"/>
          <w:sz w:val="26"/>
          <w:szCs w:val="26"/>
        </w:rPr>
        <w:t xml:space="preserve">678/SNNMT-KHTC </w:t>
      </w:r>
      <w:r>
        <w:rPr>
          <w:bCs/>
          <w:iCs/>
          <w:spacing w:val="-8"/>
          <w:sz w:val="26"/>
          <w:szCs w:val="26"/>
          <w:lang w:val="vi-VN"/>
        </w:rPr>
        <w:t xml:space="preserve"> ngày </w:t>
      </w:r>
      <w:r>
        <w:rPr>
          <w:bCs/>
          <w:iCs/>
          <w:spacing w:val="-8"/>
          <w:sz w:val="26"/>
          <w:szCs w:val="26"/>
        </w:rPr>
        <w:t>10</w:t>
      </w:r>
      <w:r>
        <w:rPr>
          <w:bCs/>
          <w:iCs/>
          <w:spacing w:val="-8"/>
          <w:sz w:val="26"/>
          <w:szCs w:val="26"/>
          <w:lang w:val="vi-VN"/>
        </w:rPr>
        <w:t xml:space="preserve"> tháng </w:t>
      </w:r>
      <w:r>
        <w:rPr>
          <w:bCs/>
          <w:iCs/>
          <w:spacing w:val="-8"/>
          <w:sz w:val="26"/>
          <w:szCs w:val="26"/>
        </w:rPr>
        <w:t>4</w:t>
      </w:r>
      <w:r>
        <w:rPr>
          <w:bCs/>
          <w:iCs/>
          <w:spacing w:val="-8"/>
          <w:sz w:val="26"/>
          <w:szCs w:val="26"/>
          <w:lang w:val="vi-VN"/>
        </w:rPr>
        <w:t xml:space="preserve"> năm 202</w:t>
      </w:r>
      <w:r>
        <w:rPr>
          <w:bCs/>
          <w:iCs/>
          <w:spacing w:val="-8"/>
          <w:sz w:val="26"/>
          <w:szCs w:val="26"/>
        </w:rPr>
        <w:t>5</w:t>
      </w:r>
      <w:r>
        <w:rPr>
          <w:bCs/>
          <w:iCs/>
          <w:spacing w:val="-8"/>
          <w:sz w:val="26"/>
          <w:szCs w:val="26"/>
          <w:lang w:val="vi-VN"/>
        </w:rPr>
        <w:t xml:space="preserve"> của Sở </w:t>
      </w:r>
      <w:r>
        <w:rPr>
          <w:bCs/>
          <w:iCs/>
          <w:spacing w:val="-8"/>
          <w:sz w:val="26"/>
          <w:szCs w:val="26"/>
        </w:rPr>
        <w:t>Nông nghiệp và Môi trường</w:t>
      </w:r>
      <w:r>
        <w:rPr>
          <w:bCs/>
          <w:iCs/>
          <w:spacing w:val="-8"/>
          <w:sz w:val="26"/>
          <w:szCs w:val="26"/>
          <w:lang w:val="vi-VN"/>
        </w:rPr>
        <w:t xml:space="preserve"> tỉnh Lạng Sơn </w:t>
      </w:r>
      <w:r>
        <w:rPr>
          <w:bCs/>
          <w:iCs/>
          <w:spacing w:val="-8"/>
          <w:sz w:val="26"/>
          <w:szCs w:val="26"/>
        </w:rPr>
        <w:t>v/v đề nghị rà soát, hoàn thiện dự toán xây dựng phục vụ định giá đất cụ thể dự án Khu đô thị phía Đông Nam, thị trấn Đồng Mỏ</w:t>
      </w:r>
      <w:r>
        <w:rPr>
          <w:spacing w:val="-8"/>
          <w:sz w:val="26"/>
          <w:szCs w:val="26"/>
        </w:rPr>
        <w:t xml:space="preserve">. Nội dung văn bản: </w:t>
      </w:r>
    </w:p>
    <w:p w14:paraId="64BF9FC0">
      <w:pPr>
        <w:widowControl w:val="0"/>
        <w:spacing w:before="120" w:after="120" w:line="380" w:lineRule="exact"/>
        <w:ind w:firstLine="567"/>
        <w:jc w:val="both"/>
        <w:rPr>
          <w:spacing w:val="-4"/>
          <w:sz w:val="26"/>
          <w:szCs w:val="26"/>
        </w:rPr>
      </w:pPr>
      <w:r>
        <w:rPr>
          <w:spacing w:val="-4"/>
          <w:sz w:val="26"/>
          <w:szCs w:val="26"/>
        </w:rPr>
        <w:t>“Sau khi xem xét, Sở Nông nghiệp và Môi trường đề nghị Liên danh Công ty Cổ phần Đầu tư xây dựng hạ tầng Chi Lăng và Công ty Cổ phần Tập đoàn BGI rà soát dự toán và cung cấp các tài liệu theo nội dung văn bản số 755/SXDQLHT ngày 25/3/2025 của Sở Xây dựng, cụ thể: "Dự toán đã chỉnh sửa theo ý kiến tại công văn số 3610/SXD-HTKT&amp;VLXD ngày 25/12/2024 của Sở Xây dựng, đã bóc tách khối lượng san nền của dự án từ tháng 12/2023 đến hết tháng 12/2024 đối với khối lượng đã thực hiện thi công; tuy nhiên thiếu các tài liệu làm căn cứ xác định, đề nghị Chủ đầu tư bổ sung các hồ sơ, tài liệu, biên bản nghiệm thu khối lượng hoàn thành, các tài liệu chứng minh khối lượng đã thi công hoàn thành theo từng thời điểm, theo từng tháng từ tháng 12/2023 đến hết tháng 12/2024, bổ sung tài liệu xác định vị trí, địa điểm đổ đất thải làm cơ sở tính toán cự ly vận chuyển.</w:t>
      </w:r>
    </w:p>
    <w:p w14:paraId="266069DC">
      <w:pPr>
        <w:widowControl w:val="0"/>
        <w:spacing w:before="120" w:after="120" w:line="380" w:lineRule="exact"/>
        <w:ind w:firstLine="567"/>
        <w:jc w:val="both"/>
        <w:rPr>
          <w:spacing w:val="-4"/>
          <w:sz w:val="26"/>
          <w:szCs w:val="26"/>
        </w:rPr>
      </w:pPr>
      <w:r>
        <w:rPr>
          <w:spacing w:val="-4"/>
          <w:sz w:val="26"/>
          <w:szCs w:val="26"/>
        </w:rPr>
        <w:t xml:space="preserve">Đối với các hạng mục, công trình chưa thi công của dự án thời điểm từ tháng 01/2025 đề nghị áp dụng theo định mức xây dựng, đơn giá xây dựng công trình, đơn giá nhân công, đơn giá ca máy và thiết bị thi công, công bố giá vật liệu xây dựng do cơ quan nhà nước có thẩm quyền ban hành, công bố tại thời điểm tháng 01/2025 đảm bảo dự toán được lập phù hợp với các quy định hiện hành của Nhà nước (hồ sơ thể hiện áp dụng đơn giá đơn giá xây dựng công trình trên địa bàn tỉnh Lạng Sơn được công bố tại Quyết định số 353/QĐ-UBND ngày 21/01/2021 của UBND tỉnh là không phù hợp, do hiện nay đã có bộ đơn giá mới được UBND tỉnh công bố tại Quyết định số 1842/QĐ-UBND ngày 25/10/2024)". </w:t>
      </w:r>
    </w:p>
    <w:p w14:paraId="5BC9DFFB">
      <w:pPr>
        <w:widowControl w:val="0"/>
        <w:spacing w:before="120" w:after="120" w:line="380" w:lineRule="exact"/>
        <w:ind w:firstLine="567"/>
        <w:jc w:val="both"/>
        <w:rPr>
          <w:bCs/>
          <w:iCs/>
          <w:spacing w:val="-6"/>
          <w:sz w:val="26"/>
          <w:szCs w:val="26"/>
        </w:rPr>
      </w:pPr>
      <w:r>
        <w:rPr>
          <w:bCs/>
          <w:iCs/>
          <w:spacing w:val="-6"/>
          <w:sz w:val="26"/>
          <w:szCs w:val="26"/>
        </w:rPr>
        <w:t xml:space="preserve">- </w:t>
      </w:r>
      <w:r>
        <w:rPr>
          <w:bCs/>
          <w:iCs/>
          <w:spacing w:val="-6"/>
          <w:sz w:val="26"/>
          <w:szCs w:val="26"/>
          <w:lang w:val="vi-VN"/>
        </w:rPr>
        <w:t xml:space="preserve">Công văn số </w:t>
      </w:r>
      <w:r>
        <w:rPr>
          <w:bCs/>
          <w:iCs/>
          <w:spacing w:val="-6"/>
          <w:sz w:val="26"/>
          <w:szCs w:val="26"/>
        </w:rPr>
        <w:t>1182</w:t>
      </w:r>
      <w:r>
        <w:rPr>
          <w:bCs/>
          <w:iCs/>
          <w:spacing w:val="-6"/>
          <w:sz w:val="26"/>
          <w:szCs w:val="26"/>
          <w:lang w:val="vi-VN"/>
        </w:rPr>
        <w:t>/</w:t>
      </w:r>
      <w:r>
        <w:rPr>
          <w:bCs/>
          <w:iCs/>
          <w:spacing w:val="-10"/>
          <w:sz w:val="26"/>
          <w:szCs w:val="26"/>
          <w:lang w:val="vi-VN"/>
        </w:rPr>
        <w:t xml:space="preserve"> SXD-</w:t>
      </w:r>
      <w:r>
        <w:rPr>
          <w:bCs/>
          <w:iCs/>
          <w:spacing w:val="-10"/>
          <w:sz w:val="26"/>
          <w:szCs w:val="26"/>
        </w:rPr>
        <w:t>QLHT</w:t>
      </w:r>
      <w:r>
        <w:rPr>
          <w:bCs/>
          <w:iCs/>
          <w:spacing w:val="-10"/>
          <w:sz w:val="26"/>
          <w:szCs w:val="26"/>
          <w:lang w:val="vi-VN"/>
        </w:rPr>
        <w:t xml:space="preserve"> </w:t>
      </w:r>
      <w:r>
        <w:rPr>
          <w:bCs/>
          <w:iCs/>
          <w:spacing w:val="-6"/>
          <w:sz w:val="26"/>
          <w:szCs w:val="26"/>
          <w:lang w:val="vi-VN"/>
        </w:rPr>
        <w:t xml:space="preserve">ngày </w:t>
      </w:r>
      <w:r>
        <w:rPr>
          <w:bCs/>
          <w:iCs/>
          <w:spacing w:val="-6"/>
          <w:sz w:val="26"/>
          <w:szCs w:val="26"/>
        </w:rPr>
        <w:t>26</w:t>
      </w:r>
      <w:r>
        <w:rPr>
          <w:bCs/>
          <w:iCs/>
          <w:spacing w:val="-6"/>
          <w:sz w:val="26"/>
          <w:szCs w:val="26"/>
          <w:lang w:val="vi-VN"/>
        </w:rPr>
        <w:t xml:space="preserve"> tháng </w:t>
      </w:r>
      <w:r>
        <w:rPr>
          <w:bCs/>
          <w:iCs/>
          <w:spacing w:val="-6"/>
          <w:sz w:val="26"/>
          <w:szCs w:val="26"/>
        </w:rPr>
        <w:t>4</w:t>
      </w:r>
      <w:r>
        <w:rPr>
          <w:bCs/>
          <w:iCs/>
          <w:spacing w:val="-6"/>
          <w:sz w:val="26"/>
          <w:szCs w:val="26"/>
          <w:lang w:val="vi-VN"/>
        </w:rPr>
        <w:t xml:space="preserve"> năm 202</w:t>
      </w:r>
      <w:r>
        <w:rPr>
          <w:bCs/>
          <w:iCs/>
          <w:spacing w:val="-6"/>
          <w:sz w:val="26"/>
          <w:szCs w:val="26"/>
        </w:rPr>
        <w:t>5</w:t>
      </w:r>
      <w:r>
        <w:rPr>
          <w:bCs/>
          <w:iCs/>
          <w:spacing w:val="-6"/>
          <w:sz w:val="26"/>
          <w:szCs w:val="26"/>
          <w:lang w:val="vi-VN"/>
        </w:rPr>
        <w:t xml:space="preserve"> của Sở </w:t>
      </w:r>
      <w:r>
        <w:rPr>
          <w:bCs/>
          <w:iCs/>
          <w:spacing w:val="-6"/>
          <w:sz w:val="26"/>
          <w:szCs w:val="26"/>
        </w:rPr>
        <w:t>Xây dựng</w:t>
      </w:r>
      <w:r>
        <w:rPr>
          <w:bCs/>
          <w:iCs/>
          <w:spacing w:val="-6"/>
          <w:sz w:val="26"/>
          <w:szCs w:val="26"/>
          <w:lang w:val="vi-VN"/>
        </w:rPr>
        <w:t xml:space="preserve"> tỉnh Lạng Sơn V/</w:t>
      </w:r>
      <w:r>
        <w:rPr>
          <w:bCs/>
          <w:iCs/>
          <w:spacing w:val="-6"/>
          <w:sz w:val="26"/>
          <w:szCs w:val="26"/>
        </w:rPr>
        <w:t>v tham gia</w:t>
      </w:r>
      <w:r>
        <w:rPr>
          <w:bCs/>
          <w:iCs/>
          <w:spacing w:val="-6"/>
          <w:sz w:val="26"/>
          <w:szCs w:val="26"/>
          <w:lang w:val="vi-VN"/>
        </w:rPr>
        <w:t xml:space="preserve"> ý kiến về dự toán xây dựng </w:t>
      </w:r>
      <w:r>
        <w:rPr>
          <w:bCs/>
          <w:iCs/>
          <w:spacing w:val="-6"/>
          <w:sz w:val="26"/>
          <w:szCs w:val="26"/>
        </w:rPr>
        <w:t xml:space="preserve">để thực hiện xác định giá đất cụ thể dự án Khu đô thị phía Đông Nam, thị trấn Đồng Mỏ </w:t>
      </w:r>
      <w:r>
        <w:rPr>
          <w:bCs/>
          <w:iCs/>
          <w:spacing w:val="-6"/>
          <w:sz w:val="26"/>
          <w:szCs w:val="26"/>
          <w:lang w:val="vi-VN"/>
        </w:rPr>
        <w:t>để phục vụ công tác xác định giá đất cụ thể</w:t>
      </w:r>
      <w:r>
        <w:rPr>
          <w:bCs/>
          <w:iCs/>
          <w:spacing w:val="-6"/>
          <w:sz w:val="26"/>
          <w:szCs w:val="26"/>
        </w:rPr>
        <w:t>, nội dung văn bản như sau:</w:t>
      </w:r>
    </w:p>
    <w:p w14:paraId="6AA28FD3">
      <w:pPr>
        <w:widowControl w:val="0"/>
        <w:spacing w:before="120" w:after="120" w:line="380" w:lineRule="exact"/>
        <w:ind w:firstLine="567"/>
        <w:jc w:val="both"/>
        <w:rPr>
          <w:bCs/>
          <w:iCs/>
          <w:spacing w:val="-6"/>
          <w:sz w:val="26"/>
          <w:szCs w:val="26"/>
        </w:rPr>
      </w:pPr>
      <w:r>
        <w:rPr>
          <w:bCs/>
          <w:iCs/>
          <w:spacing w:val="-6"/>
          <w:sz w:val="26"/>
          <w:szCs w:val="26"/>
        </w:rPr>
        <w:t>“2. Kiểm tra nội dung chỉnh sửa khác phụ theo Văn bản 755/SXD-QLHT ngày 25/3/2025 của Sở Xây dựng</w:t>
      </w:r>
    </w:p>
    <w:p w14:paraId="79748437">
      <w:pPr>
        <w:widowControl w:val="0"/>
        <w:spacing w:before="120" w:after="120" w:line="380" w:lineRule="exact"/>
        <w:ind w:firstLine="567"/>
        <w:jc w:val="both"/>
        <w:rPr>
          <w:bCs/>
          <w:i/>
          <w:iCs/>
          <w:spacing w:val="-6"/>
          <w:sz w:val="26"/>
          <w:szCs w:val="26"/>
        </w:rPr>
      </w:pPr>
      <w:r>
        <w:rPr>
          <w:bCs/>
          <w:iCs/>
          <w:spacing w:val="-6"/>
          <w:sz w:val="26"/>
          <w:szCs w:val="26"/>
        </w:rPr>
        <w:t xml:space="preserve">- Về nội dung </w:t>
      </w:r>
      <w:r>
        <w:rPr>
          <w:bCs/>
          <w:i/>
          <w:iCs/>
          <w:spacing w:val="-6"/>
          <w:sz w:val="26"/>
          <w:szCs w:val="26"/>
        </w:rPr>
        <w:t>“Đề nghị Chủ đầu tư bổ sung các hồ sơ, tài liệu, biên bản nghiệm thu khối lượng hoàn thành, các tài liệu chứng minh khối lượng đã thi công hoàn thành theo từng thời điểm, theo từng tháng từ tháng 12/2023 đến hết tháng 12/2024, bổ sung tài liệu xác định vị trí, địa điểm đổ đất thải làm cơ sở tính toán cự ly vận chuyển”</w:t>
      </w:r>
    </w:p>
    <w:p w14:paraId="060127C6">
      <w:pPr>
        <w:widowControl w:val="0"/>
        <w:spacing w:before="120" w:after="120" w:line="380" w:lineRule="exact"/>
        <w:ind w:firstLine="567"/>
        <w:jc w:val="both"/>
        <w:rPr>
          <w:bCs/>
          <w:iCs/>
          <w:spacing w:val="-6"/>
          <w:sz w:val="26"/>
          <w:szCs w:val="26"/>
        </w:rPr>
      </w:pPr>
      <w:r>
        <w:rPr>
          <w:bCs/>
          <w:iCs/>
          <w:spacing w:val="-6"/>
          <w:sz w:val="26"/>
          <w:szCs w:val="26"/>
        </w:rPr>
        <w:t>Qua rà soát chủ đầu tư đã bổ sung các biên bản nhiệm thu khối lượng thời điểm từ tháng 12/2023 đến tháng 12/2024 làm cơ sở tính dự toán theo từng thời điểm từ tháng 12/2023 đến hết tháng 12/2024. Tuy nhiên chủ đầu tư vẫn chưa cung cấp tài liệu xác định vị trí, địa điểm đổ đất thải làm cơ sở tính toán cự ly vận chuyển đổ thải.</w:t>
      </w:r>
    </w:p>
    <w:p w14:paraId="755F78B8">
      <w:pPr>
        <w:widowControl w:val="0"/>
        <w:spacing w:before="120" w:after="120" w:line="380" w:lineRule="exact"/>
        <w:ind w:firstLine="567"/>
        <w:jc w:val="both"/>
        <w:rPr>
          <w:bCs/>
          <w:i/>
          <w:iCs/>
          <w:spacing w:val="-6"/>
          <w:sz w:val="26"/>
          <w:szCs w:val="26"/>
        </w:rPr>
      </w:pPr>
      <w:r>
        <w:rPr>
          <w:bCs/>
          <w:iCs/>
          <w:spacing w:val="-6"/>
          <w:sz w:val="26"/>
          <w:szCs w:val="26"/>
        </w:rPr>
        <w:t>- Về nội dung “</w:t>
      </w:r>
      <w:r>
        <w:rPr>
          <w:bCs/>
          <w:i/>
          <w:iCs/>
          <w:spacing w:val="-6"/>
          <w:sz w:val="26"/>
          <w:szCs w:val="26"/>
        </w:rPr>
        <w:t xml:space="preserve">Đối với các hạng mục, công trình chưa thi công của dự án thời điểm từ tháng 01/2025 đề nghị áp dụng theo định mức xây dựng, đơn giá xây dựng công trình, đơn giá nhân công, đơn giá ca máy và thiết bị thi công, công bố giá vật liệu xây dựng do cơ quan nhà nước có thẩm quyền ban hành, công bố tại thời điểm tháng 01/2025 đảm bảo dự toán được lập phù hợp với các quy định hiện hành của Nhà nước (hồ sơ thể hiện áp dụng đơn giá đơn giá xây dựng công trình trên địa bàn tỉnh Lạng Sơn được công bố tại Quyết định số 353/QĐ-UBND ngày 21/01/2021 của UBND tỉnh </w:t>
      </w:r>
      <w:r>
        <w:rPr>
          <w:b/>
          <w:bCs/>
          <w:i/>
          <w:iCs/>
          <w:spacing w:val="-6"/>
          <w:sz w:val="26"/>
          <w:szCs w:val="26"/>
        </w:rPr>
        <w:t>là không phù hợp</w:t>
      </w:r>
      <w:r>
        <w:rPr>
          <w:bCs/>
          <w:i/>
          <w:iCs/>
          <w:spacing w:val="-6"/>
          <w:sz w:val="26"/>
          <w:szCs w:val="26"/>
        </w:rPr>
        <w:t>, do hiện nay đã có bộ đơn giá mới được UBND tỉnh công bố tại Quyết định số 1842/QĐ- UBND ngày 25/10/2024)”</w:t>
      </w:r>
    </w:p>
    <w:p w14:paraId="6AA727F9">
      <w:pPr>
        <w:widowControl w:val="0"/>
        <w:spacing w:before="120" w:after="120" w:line="380" w:lineRule="exact"/>
        <w:ind w:firstLine="567"/>
        <w:jc w:val="both"/>
        <w:rPr>
          <w:bCs/>
          <w:iCs/>
          <w:spacing w:val="-6"/>
          <w:sz w:val="26"/>
          <w:szCs w:val="26"/>
        </w:rPr>
      </w:pPr>
      <w:r>
        <w:rPr>
          <w:bCs/>
          <w:iCs/>
          <w:spacing w:val="-6"/>
          <w:sz w:val="26"/>
          <w:szCs w:val="26"/>
        </w:rPr>
        <w:t>Hiện nay hồ sơ dự toán gửi kèm theo Văn bản số 762/SNNMT-KHTC vẫn tính theo đơn giá được công bố tại Quyết định số 353/QĐ-UBND ngày 21/01/2021 của UBND tỉnh là thiếu căn cứ áp dụng, do hiện nay đã có bộ đơn giá mới được UBND tỉnh công bố tại Quyết định số 1842/QĐ-UBND ngày 25/10/2024 thay thế đơn giá được công bố tại Quyết định số 353/QĐ-UBND.”; Và một số nội dung khác thể hiện tại mục 3 Công văn số 1182/ SXD-QLHT ngày 26 tháng 4 năm 2025 của Sở Xây dựng tỉnh Lạng Sơn.</w:t>
      </w:r>
    </w:p>
    <w:p w14:paraId="29B5627C">
      <w:pPr>
        <w:widowControl w:val="0"/>
        <w:spacing w:before="120" w:after="120" w:line="380" w:lineRule="exact"/>
        <w:ind w:firstLine="567"/>
        <w:jc w:val="both"/>
        <w:rPr>
          <w:bCs/>
          <w:iCs/>
          <w:sz w:val="26"/>
          <w:szCs w:val="26"/>
        </w:rPr>
      </w:pPr>
      <w:r>
        <w:rPr>
          <w:bCs/>
          <w:iCs/>
          <w:sz w:val="26"/>
          <w:szCs w:val="26"/>
        </w:rPr>
        <w:t>Sở Xây dựng sau khi nhận được Văn bản số 1877/SNNMT-KHTC ngày 12/6/2025 của Sở Nông nghiệp và Môi trường về việc đề nghị xem xét, cho ý kiến đối với dự toán xây dựng phục vụ công tác xác định giá đất cụ thể dự án Khu đô thị phía Đông Nam thị trấn Đồng Mỏ, huyện Chi Lăng. Đã ban hành công văn số 1993/SXD-QLHT ngày 20/06/2025, nội dung như sau:</w:t>
      </w:r>
    </w:p>
    <w:p w14:paraId="2E8FFF85">
      <w:pPr>
        <w:widowControl w:val="0"/>
        <w:spacing w:before="120" w:after="120" w:line="380" w:lineRule="exact"/>
        <w:ind w:firstLine="567"/>
        <w:jc w:val="both"/>
        <w:rPr>
          <w:bCs/>
          <w:iCs/>
          <w:spacing w:val="-6"/>
          <w:sz w:val="26"/>
          <w:szCs w:val="26"/>
        </w:rPr>
      </w:pPr>
      <w:r>
        <w:rPr>
          <w:bCs/>
          <w:iCs/>
          <w:spacing w:val="-6"/>
          <w:sz w:val="26"/>
          <w:szCs w:val="26"/>
        </w:rPr>
        <w:t xml:space="preserve">“Qua kiểm tra hồ sơ dự toán xây dựng công trình Khu đô thị phía Đông Nam thị trấn Đồng Mỏ, huyện Chi Lăng còn một số nội dung chưa phù hợp theo quy định, cụ thể: </w:t>
      </w:r>
    </w:p>
    <w:p w14:paraId="654A6E4D">
      <w:pPr>
        <w:widowControl w:val="0"/>
        <w:spacing w:before="120" w:after="120" w:line="380" w:lineRule="exact"/>
        <w:ind w:firstLine="567"/>
        <w:jc w:val="both"/>
        <w:rPr>
          <w:bCs/>
          <w:iCs/>
          <w:sz w:val="26"/>
          <w:szCs w:val="26"/>
        </w:rPr>
      </w:pPr>
      <w:r>
        <w:rPr>
          <w:bCs/>
          <w:iCs/>
          <w:sz w:val="26"/>
          <w:szCs w:val="26"/>
        </w:rPr>
        <w:t xml:space="preserve">1.1. Hạng mục san nền: - Tính vận chuyển trung bình đất đào san nền để đắp là chưa phù hợp với hồ sơ thiết kế của dự án: các lô đất đắp cơ bản có khối lượng đào nằm xen kẹp các lô đất đào do vậy chỉ cần tính điều phối ngang, do đó việc tính vận chuyển là không phù hợp. </w:t>
      </w:r>
    </w:p>
    <w:p w14:paraId="737669C5">
      <w:pPr>
        <w:widowControl w:val="0"/>
        <w:spacing w:before="120" w:after="120" w:line="380" w:lineRule="exact"/>
        <w:ind w:firstLine="567"/>
        <w:jc w:val="both"/>
        <w:rPr>
          <w:bCs/>
          <w:iCs/>
          <w:spacing w:val="-6"/>
          <w:sz w:val="26"/>
          <w:szCs w:val="26"/>
        </w:rPr>
      </w:pPr>
      <w:r>
        <w:rPr>
          <w:bCs/>
          <w:iCs/>
          <w:spacing w:val="-6"/>
          <w:sz w:val="26"/>
          <w:szCs w:val="26"/>
        </w:rPr>
        <w:t xml:space="preserve">- Dự toán tính vận chuyển nội tuyến đất đào (đào đất vận chuyển gom thành bãi tập kết) cự ly vận chuyển trung bình 500m và tính xúc đất khai thác lên phương tiện vận chuyển ra khỏi phạm vi công trường. Như vậy khối lượng đào xúc đất tính thành hai lần là không phù hợp, do công tác đào san đất đã tính đào xúc lên phương tiện vận chuyển. </w:t>
      </w:r>
    </w:p>
    <w:p w14:paraId="20C496B1">
      <w:pPr>
        <w:widowControl w:val="0"/>
        <w:spacing w:before="120" w:after="120" w:line="380" w:lineRule="exact"/>
        <w:ind w:firstLine="567"/>
        <w:jc w:val="both"/>
        <w:rPr>
          <w:bCs/>
          <w:iCs/>
          <w:spacing w:val="-6"/>
          <w:sz w:val="26"/>
          <w:szCs w:val="26"/>
        </w:rPr>
      </w:pPr>
      <w:r>
        <w:rPr>
          <w:bCs/>
          <w:iCs/>
          <w:spacing w:val="-6"/>
          <w:sz w:val="26"/>
          <w:szCs w:val="26"/>
        </w:rPr>
        <w:t xml:space="preserve">- Theo Hồ sơ thanh toán khối lượng hoàn thành (đợt 1) thể hiện khối lượng đào đá cấp VI (55.845,71m3 với giá trị 2.645.980.432 đồng) đã hoàn thành nghiệm thu. Tuy nhiên hồ sơ dự toán hiện đang tính khối lượng này vào dự toán khối lượng chưa thi công với giá trị 4.357.038.349 đồng là không đúng với thực tế đã hoàn thành. </w:t>
      </w:r>
    </w:p>
    <w:p w14:paraId="30D5BBF9">
      <w:pPr>
        <w:widowControl w:val="0"/>
        <w:spacing w:before="120" w:after="120" w:line="380" w:lineRule="exact"/>
        <w:ind w:firstLine="567"/>
        <w:jc w:val="both"/>
        <w:rPr>
          <w:bCs/>
          <w:iCs/>
          <w:spacing w:val="-6"/>
          <w:sz w:val="26"/>
          <w:szCs w:val="26"/>
        </w:rPr>
      </w:pPr>
      <w:r>
        <w:rPr>
          <w:bCs/>
          <w:iCs/>
          <w:spacing w:val="-6"/>
          <w:sz w:val="26"/>
          <w:szCs w:val="26"/>
        </w:rPr>
        <w:t xml:space="preserve">- Hồ sơ gửi kèm không có hồ sơ thiết kế hạng mục san nền, do đó thiếu cơ sở xem xét sự phù hợp của khối lượng phân cấp đất đá trong hồ sơ dự toán. </w:t>
      </w:r>
    </w:p>
    <w:p w14:paraId="129917BA">
      <w:pPr>
        <w:widowControl w:val="0"/>
        <w:spacing w:before="120" w:after="120" w:line="380" w:lineRule="exact"/>
        <w:ind w:firstLine="567"/>
        <w:jc w:val="both"/>
        <w:rPr>
          <w:bCs/>
          <w:iCs/>
          <w:spacing w:val="-6"/>
          <w:sz w:val="26"/>
          <w:szCs w:val="26"/>
        </w:rPr>
      </w:pPr>
      <w:r>
        <w:rPr>
          <w:bCs/>
          <w:iCs/>
          <w:spacing w:val="-6"/>
          <w:sz w:val="26"/>
          <w:szCs w:val="26"/>
        </w:rPr>
        <w:t xml:space="preserve">1.2. Các công trình hạ tầng kỹ thuật, nhà thô </w:t>
      </w:r>
    </w:p>
    <w:p w14:paraId="162FED00">
      <w:pPr>
        <w:widowControl w:val="0"/>
        <w:spacing w:before="120" w:after="120" w:line="380" w:lineRule="exact"/>
        <w:ind w:firstLine="567"/>
        <w:jc w:val="both"/>
        <w:rPr>
          <w:bCs/>
          <w:iCs/>
          <w:spacing w:val="-6"/>
          <w:sz w:val="26"/>
          <w:szCs w:val="26"/>
        </w:rPr>
      </w:pPr>
      <w:r>
        <w:rPr>
          <w:bCs/>
          <w:iCs/>
          <w:spacing w:val="-6"/>
          <w:sz w:val="26"/>
          <w:szCs w:val="26"/>
        </w:rPr>
        <w:t xml:space="preserve">- Thiết kế hệ thống cấp, cống thoát nước mưa, thoát nước, mương cáp cùng vị trí trên vỉa hè. Tuy nhiên chưa tính giảm trừ khối lượng đào hào, đào móng. </w:t>
      </w:r>
    </w:p>
    <w:p w14:paraId="47A3D5D7">
      <w:pPr>
        <w:widowControl w:val="0"/>
        <w:spacing w:before="120" w:after="120" w:line="380" w:lineRule="exact"/>
        <w:ind w:firstLine="567"/>
        <w:jc w:val="both"/>
        <w:rPr>
          <w:bCs/>
          <w:iCs/>
          <w:spacing w:val="-6"/>
          <w:sz w:val="26"/>
          <w:szCs w:val="26"/>
        </w:rPr>
      </w:pPr>
      <w:r>
        <w:rPr>
          <w:bCs/>
          <w:iCs/>
          <w:spacing w:val="-6"/>
          <w:sz w:val="26"/>
          <w:szCs w:val="26"/>
        </w:rPr>
        <w:t xml:space="preserve">2 - Xác định phương chuyển vật liệu xây dựng (tải trọng xe 12T) vận chuyển vật liệu xây dựng chưa phù hợp với quy mô, cấp đường vận chuyển. </w:t>
      </w:r>
    </w:p>
    <w:p w14:paraId="734F85D3">
      <w:pPr>
        <w:widowControl w:val="0"/>
        <w:spacing w:before="120" w:after="120" w:line="380" w:lineRule="exact"/>
        <w:ind w:firstLine="567"/>
        <w:jc w:val="both"/>
        <w:rPr>
          <w:bCs/>
          <w:iCs/>
          <w:spacing w:val="-6"/>
          <w:sz w:val="26"/>
          <w:szCs w:val="26"/>
        </w:rPr>
      </w:pPr>
      <w:r>
        <w:rPr>
          <w:bCs/>
          <w:iCs/>
          <w:spacing w:val="-6"/>
          <w:sz w:val="26"/>
          <w:szCs w:val="26"/>
        </w:rPr>
        <w:t xml:space="preserve">1.3. Giá nguyên liệu, nhiên liệu - Thiếu thông báo giá vật liệu của nhà sản xuất đối với vật liệu không có trong công bố giá của Sở Xây dựng như: cửa kính thuỷ lực 12mm, phụ kiện cửa đi, vách kính hệ FA, kính an toàn 6,38mm, cửa cuốn, động cơ, bộ lưu điện, hộp kỹ thuật, máy cắt Recloser, máy biến áp, tủ tự bù, cây bằng lăng, chuông vàng... </w:t>
      </w:r>
    </w:p>
    <w:p w14:paraId="4CCDDEFF">
      <w:pPr>
        <w:widowControl w:val="0"/>
        <w:spacing w:before="120" w:after="120" w:line="380" w:lineRule="exact"/>
        <w:ind w:firstLine="567"/>
        <w:jc w:val="both"/>
        <w:rPr>
          <w:bCs/>
          <w:iCs/>
          <w:spacing w:val="-6"/>
          <w:sz w:val="26"/>
          <w:szCs w:val="26"/>
        </w:rPr>
      </w:pPr>
      <w:r>
        <w:rPr>
          <w:bCs/>
          <w:iCs/>
          <w:spacing w:val="-6"/>
          <w:sz w:val="26"/>
          <w:szCs w:val="26"/>
        </w:rPr>
        <w:t xml:space="preserve">- Giá đá xây dựng không nhất quán giữa các hạng mục công trình hạng mục Nhà xây thô (đá (1x2) cm, giá 200.000 đồng; đá (4x6)cm, giá 190.000 đồng); các hạng mục công trình khác của dự án (đá (1x2) cm, giá 205.000 đồng, đá (4x6)cm, giá 195.000 đồng). </w:t>
      </w:r>
    </w:p>
    <w:p w14:paraId="10F0B37B">
      <w:pPr>
        <w:widowControl w:val="0"/>
        <w:spacing w:before="120" w:after="120" w:line="380" w:lineRule="exact"/>
        <w:ind w:firstLine="567"/>
        <w:jc w:val="both"/>
        <w:rPr>
          <w:bCs/>
          <w:iCs/>
          <w:spacing w:val="-6"/>
          <w:sz w:val="26"/>
          <w:szCs w:val="26"/>
        </w:rPr>
      </w:pPr>
      <w:r>
        <w:rPr>
          <w:bCs/>
          <w:iCs/>
          <w:spacing w:val="-6"/>
          <w:sz w:val="26"/>
          <w:szCs w:val="26"/>
        </w:rPr>
        <w:t xml:space="preserve">- Một số loại vật liệu chưa tính chênh lệch giá (lấy theo giá gốc) như: thép đệm, cột chống thép ống, thép giàn giáo... 2. Nội dung khác </w:t>
      </w:r>
    </w:p>
    <w:p w14:paraId="7D223D29">
      <w:pPr>
        <w:widowControl w:val="0"/>
        <w:spacing w:before="120" w:after="120" w:line="380" w:lineRule="exact"/>
        <w:ind w:firstLine="567"/>
        <w:jc w:val="both"/>
        <w:rPr>
          <w:bCs/>
          <w:iCs/>
          <w:spacing w:val="-6"/>
          <w:sz w:val="26"/>
          <w:szCs w:val="26"/>
        </w:rPr>
      </w:pPr>
      <w:r>
        <w:rPr>
          <w:bCs/>
          <w:iCs/>
          <w:spacing w:val="-6"/>
          <w:sz w:val="26"/>
          <w:szCs w:val="26"/>
        </w:rPr>
        <w:t>- Tổng mức đầu dự án Khu đô thị phía Đông Nam thị trấn Đồng Mỏ (hạng mục hạ tầng kỹ thuật và Nhà xây thô) đã được Liên danh Công ty Cổ phần Đầu tư xây dựng hạ tầng Chi Lăng và Công ty Cổ phần Tập đoàn BGI phê duyệt tại Quyết định số 26.01/QĐ-HTCL-BGI ngày 26/01/2022 không phù hợp với giá trị tổng vốn đầu tư tại Quyết định số 1328/QĐ-UBND ngày 05/7/2021 chấp thuận chủ trương đầu tư đồng thời chấp thuận Nhà đầu tư của UBND tỉnh Lạng Sơn (theo Quyết định số 1328/QĐ-UBND ngày 05/7/2021 của UBND tỉnh, tổng vốn đầu tư: 674.950.000.000 đồng; theo Quyết định số 26.01/QĐ-HTCL-BGI ngày 26/01/2022, tổng mức đầu tư: 994.795.798.000 đồng).</w:t>
      </w:r>
    </w:p>
    <w:p w14:paraId="2591590A">
      <w:pPr>
        <w:widowControl w:val="0"/>
        <w:spacing w:before="120" w:after="120" w:line="380" w:lineRule="exact"/>
        <w:ind w:firstLine="567"/>
        <w:jc w:val="both"/>
        <w:rPr>
          <w:bCs/>
          <w:iCs/>
          <w:spacing w:val="-6"/>
          <w:sz w:val="26"/>
          <w:szCs w:val="26"/>
        </w:rPr>
      </w:pPr>
      <w:r>
        <w:rPr>
          <w:bCs/>
          <w:iCs/>
          <w:spacing w:val="-6"/>
          <w:sz w:val="26"/>
          <w:szCs w:val="26"/>
        </w:rPr>
        <w:t xml:space="preserve">- Thẩm tra thiết kế bản vẽ thi công: theo Hợp đồng tư vấn thẩm tra thiết kế bản vẽ thi công công trình Khu đô thị phía Đông Nam thị trấn Đồng Mỏ số 93/2023/HĐ-TVXD ngày 09/8/2023 giữa Công ty TNHH HCL (tổ chức kinh tế thực hiện dự án) và Công ty TNHH MTV tư vấn đầu tư xây dựng Nam Sơn, thời gian thực hiện hợp đồng từ ngày 09/8/2023 đến ngày 18/8/2023. Tuy nhiên ngày 02/6/2025 Công ty TNHH MTV tư vấn đầu tư xây dựng Nam Sơn ban hành Báo cáo số 06/BC-TT về kết quả thẩm tra thiết kế bản vẽ thi công là không phù hợp với thời gian theo hợp đồng đã ký kết, chưa đảm bảo tính pháp lý của đơn vị thẩm tra thiết kế đối với hồ sơ thẩm tra thiết kế bản vẽ thi công. </w:t>
      </w:r>
    </w:p>
    <w:p w14:paraId="541193F2">
      <w:pPr>
        <w:widowControl w:val="0"/>
        <w:spacing w:before="120" w:after="120" w:line="380" w:lineRule="exact"/>
        <w:ind w:firstLine="567"/>
        <w:jc w:val="both"/>
        <w:rPr>
          <w:bCs/>
          <w:iCs/>
          <w:spacing w:val="-6"/>
          <w:sz w:val="26"/>
          <w:szCs w:val="26"/>
        </w:rPr>
      </w:pPr>
      <w:r>
        <w:rPr>
          <w:bCs/>
          <w:iCs/>
          <w:spacing w:val="-6"/>
          <w:sz w:val="26"/>
          <w:szCs w:val="26"/>
        </w:rPr>
        <w:t>3. Sở Xây dựng đã tham gia ý kiến đối với dự toán xây dựng công trình Khu đô thị phía Đông Nam thị trấn Đồng Mỏ, huyện Chi Lăng nhiều lần (tại các văn bản số: 3160/SXD-HTKT&amp;VLXD ngày 25/12/2024; 755/SXD-QLHT ngày 25/3/2025; 1182/SXD-QLHT ngày 26/4/2025), tuy nhiên đến nay dự toán xây dựng công trình vẫn còn nhiều nội dung chưa phù hợp. Để đảm bảo tiến độ theo chỉ đạo của UBND tỉnh tại Văn bản số 1837/VP-KTTH ngày 27/3/2025 của Văn phòng UBND tỉnh đề nghị Sở Nông nghiệp và Môi trường xem xét căn cứ ước tính tổng chi đầu tư xây dựng theo phương án khác (như suất vốn đầu tư xây</w:t>
      </w:r>
      <w:r>
        <w:t xml:space="preserve"> </w:t>
      </w:r>
      <w:r>
        <w:rPr>
          <w:bCs/>
          <w:iCs/>
          <w:spacing w:val="-6"/>
          <w:sz w:val="26"/>
          <w:szCs w:val="26"/>
        </w:rPr>
        <w:t>dựng do Bộ Xây dựng công bố) để ước tính chi phí đầu tư xây dựng, làm cơ sở để ước tính tổng chi phí phát triển của dự án phù hợp với các quy định tại khoản 3, khoản 4 Điều 6, Nghị định số 71/2024/MĐ-CP của Chính phủ”.</w:t>
      </w:r>
    </w:p>
    <w:p w14:paraId="41659769">
      <w:pPr>
        <w:widowControl w:val="0"/>
        <w:spacing w:before="120" w:after="120" w:line="380" w:lineRule="exact"/>
        <w:ind w:firstLine="567"/>
        <w:jc w:val="both"/>
        <w:rPr>
          <w:bCs/>
          <w:iCs/>
          <w:spacing w:val="-6"/>
          <w:sz w:val="26"/>
          <w:szCs w:val="26"/>
        </w:rPr>
      </w:pPr>
      <w:r>
        <w:rPr>
          <w:bCs/>
          <w:iCs/>
          <w:spacing w:val="-6"/>
          <w:sz w:val="26"/>
          <w:szCs w:val="26"/>
        </w:rPr>
        <w:t>- Sở Nông nghiệp và Môi trường tỉnh Lạng Sơn ban hành công văn số  2180/SNNMT-KHTC ngày 25/06/2025 V/v rà soát hồ sơ dự toán xây dựng phục vụ công tác định giá đất cụ thể dự án Khu đô thị phía Đông Nam thị trấn Đồng Mỏ, huyện Chi Lăng:</w:t>
      </w:r>
    </w:p>
    <w:p w14:paraId="716E7195">
      <w:pPr>
        <w:widowControl w:val="0"/>
        <w:spacing w:before="120" w:after="120" w:line="380" w:lineRule="exact"/>
        <w:ind w:firstLine="567"/>
        <w:jc w:val="both"/>
        <w:rPr>
          <w:bCs/>
          <w:iCs/>
          <w:spacing w:val="-6"/>
          <w:sz w:val="26"/>
          <w:szCs w:val="26"/>
        </w:rPr>
      </w:pPr>
      <w:r>
        <w:rPr>
          <w:bCs/>
          <w:iCs/>
          <w:spacing w:val="-6"/>
          <w:sz w:val="26"/>
          <w:szCs w:val="26"/>
        </w:rPr>
        <w:t xml:space="preserve">“Để bảo đảm tuân thủ nguyên tắc, căn cứ, phương pháp định giá đất quy định tại điểm đ khoản 1 Điều 158 Luật Đất đai năm 2024 “đ) Bảo đảm hài hòa lợi ích giữa Nhà nước, người sử dụng đất và nhà đầu tư.” Sở Nông nghiệp và Môi trường đề nghị Liên danh nhà đầu tư thực hiện dự án Khu đô thị phía Đông Nam thị trấn Đồng Mỏ, huyện Chi Lăng khẩn trương rà soát hồ sơ dự toán xây dựng theo nội dung tham gia ý kiến của Sở Xây dựng tại Văn bản số 1993/SXD-QLHT ngày 20/6/2025 gửi về Sở Nông nghiệp và Môi trường chậm nhất ngày 30/6/2025 để gửi Sở Xây dựng cho ý kiến, để bảo đảm tiến độ xây dựng giá đất cụ thể (có Văn bản số 1993/SXD-QLHT ngày 20/6/2025 gửi kèm công văn này). </w:t>
      </w:r>
    </w:p>
    <w:p w14:paraId="3508442F">
      <w:pPr>
        <w:widowControl w:val="0"/>
        <w:spacing w:before="120" w:after="120" w:line="380" w:lineRule="exact"/>
        <w:ind w:firstLine="567"/>
        <w:jc w:val="both"/>
        <w:rPr>
          <w:bCs/>
          <w:iCs/>
          <w:spacing w:val="-6"/>
          <w:sz w:val="26"/>
          <w:szCs w:val="26"/>
        </w:rPr>
      </w:pPr>
      <w:r>
        <w:rPr>
          <w:bCs/>
          <w:iCs/>
          <w:spacing w:val="-6"/>
          <w:sz w:val="26"/>
          <w:szCs w:val="26"/>
        </w:rPr>
        <w:t>Sở Nông nghiệp và Môi trường có ý kiến gửi Liên danh Công ty cổ phần Đầu tư xây dựng Hạ tầng Chi Lăng và Công ty cổ phần Tập đoàn BGI được biết, thực hiện./.”</w:t>
      </w:r>
    </w:p>
    <w:p w14:paraId="192C9E03">
      <w:pPr>
        <w:widowControl w:val="0"/>
        <w:spacing w:before="120" w:after="120" w:line="380" w:lineRule="exact"/>
        <w:ind w:firstLine="567"/>
        <w:jc w:val="both"/>
        <w:rPr>
          <w:bCs/>
          <w:iCs/>
          <w:spacing w:val="-6"/>
          <w:sz w:val="26"/>
          <w:szCs w:val="26"/>
        </w:rPr>
      </w:pPr>
      <w:r>
        <w:rPr>
          <w:bCs/>
          <w:iCs/>
          <w:spacing w:val="-6"/>
          <w:sz w:val="26"/>
          <w:szCs w:val="26"/>
        </w:rPr>
        <w:t>- Sau khi nhận được hồ sơ do Liên danh nhà đầu tư thực hiện dự án Khu đô thị phía Đông Nam thị trấn Đồng Mỏ cung cấp lại sau rà soát đã ban hành Văn bản số 2250/SNNMT-KHTC ngày 30/6/2025 gửi Sở Xây dựng về việc đề nghị xem xét, cho ý kiến đối với dự toán xây dựng phục vụ công tác xác định giá đất cụ thể dự án Khu đô thị phía Đông Nam thị trấn Đồng Mỏ. Sở xây dựng ban hành Công văn số 2201/SXD-QLHT ngày 05/07/2025. Sau khi rà soát, Sở Xây dựng có ý kiến như sau:</w:t>
      </w:r>
    </w:p>
    <w:p w14:paraId="5FB691E2">
      <w:pPr>
        <w:widowControl w:val="0"/>
        <w:spacing w:before="120" w:after="120" w:line="380" w:lineRule="exact"/>
        <w:ind w:firstLine="567"/>
        <w:jc w:val="both"/>
        <w:rPr>
          <w:bCs/>
          <w:iCs/>
          <w:spacing w:val="-6"/>
          <w:sz w:val="26"/>
          <w:szCs w:val="26"/>
        </w:rPr>
      </w:pPr>
      <w:r>
        <w:rPr>
          <w:bCs/>
          <w:iCs/>
          <w:spacing w:val="-6"/>
          <w:sz w:val="26"/>
          <w:szCs w:val="26"/>
        </w:rPr>
        <w:t xml:space="preserve">1. Hồ sơ dự toán xây dựng công trình Khu đô thị phía Đông Nam thị trấn Đồng Mỏ, huyện Chi Lăng còn một số nội dung chưa phù hợp, cụ thể: </w:t>
      </w:r>
    </w:p>
    <w:p w14:paraId="7A077F2A">
      <w:pPr>
        <w:widowControl w:val="0"/>
        <w:spacing w:before="120" w:after="120" w:line="380" w:lineRule="exact"/>
        <w:ind w:firstLine="567"/>
        <w:jc w:val="both"/>
        <w:rPr>
          <w:bCs/>
          <w:iCs/>
          <w:spacing w:val="-6"/>
          <w:sz w:val="26"/>
          <w:szCs w:val="26"/>
        </w:rPr>
      </w:pPr>
      <w:r>
        <w:rPr>
          <w:bCs/>
          <w:iCs/>
          <w:spacing w:val="-6"/>
          <w:sz w:val="26"/>
          <w:szCs w:val="26"/>
        </w:rPr>
        <w:t xml:space="preserve">1.1. Hạng mục hạ tầng kỹ thuật - Tính vận chuyển nội tuyến đất đào (đất để khai thác gom thành bãi) cự ly vận chuyển trung bình 500m là không phù hợp. </w:t>
      </w:r>
    </w:p>
    <w:p w14:paraId="0CA655F6">
      <w:pPr>
        <w:widowControl w:val="0"/>
        <w:spacing w:before="120" w:after="120" w:line="380" w:lineRule="exact"/>
        <w:ind w:firstLine="567"/>
        <w:jc w:val="both"/>
        <w:rPr>
          <w:bCs/>
          <w:iCs/>
          <w:spacing w:val="-6"/>
          <w:sz w:val="26"/>
          <w:szCs w:val="26"/>
        </w:rPr>
      </w:pPr>
      <w:r>
        <w:rPr>
          <w:bCs/>
          <w:iCs/>
          <w:spacing w:val="-6"/>
          <w:sz w:val="26"/>
          <w:szCs w:val="26"/>
        </w:rPr>
        <w:t xml:space="preserve">- Áp dụng mã công tác cày xới, lu lèn không có trong đơn giá xây dựng. - Áp dụng giá cây Chuông vàng (15 triều đồng/cây) chưa phù hợp với thực tế. </w:t>
      </w:r>
    </w:p>
    <w:p w14:paraId="643C80D4">
      <w:pPr>
        <w:widowControl w:val="0"/>
        <w:spacing w:before="120" w:after="120" w:line="380" w:lineRule="exact"/>
        <w:ind w:firstLine="567"/>
        <w:jc w:val="both"/>
        <w:rPr>
          <w:bCs/>
          <w:iCs/>
          <w:spacing w:val="-6"/>
          <w:sz w:val="26"/>
          <w:szCs w:val="26"/>
        </w:rPr>
      </w:pPr>
      <w:r>
        <w:rPr>
          <w:bCs/>
          <w:iCs/>
          <w:spacing w:val="-6"/>
          <w:sz w:val="26"/>
          <w:szCs w:val="26"/>
        </w:rPr>
        <w:t xml:space="preserve">1.2. Hạng mục Nhà xây thô - Hạng mục nhà thô của dự án có khoảng 30 mẫu nhà với diện tích xây dựng khác nhau (từ 77,7 m2 đến 146,2 m2). Tuy nhiên dự toán xây không tính toán khối lượng của từng loại nhà để làm cơ sở xác định dự toán là chưa phù hợp với bước thiết kế bản vẽ thi công, chưa đảm bảo tính chính xác của khối lượng xây dựng, giá trị dự toán xây dựng (dự toán tính khối lượng trên cơ sở khối lượng của 01 mẫu nhà, tổng diện tích sàn xây dựng nhà thô đưa ra hệ số chung để tính khối lượng xây dựng của toàn bộ hạng mục nhà thô). </w:t>
      </w:r>
    </w:p>
    <w:p w14:paraId="00272348">
      <w:pPr>
        <w:widowControl w:val="0"/>
        <w:spacing w:before="120" w:after="120" w:line="380" w:lineRule="exact"/>
        <w:ind w:firstLine="567"/>
        <w:jc w:val="both"/>
        <w:rPr>
          <w:bCs/>
          <w:iCs/>
          <w:spacing w:val="-6"/>
          <w:sz w:val="26"/>
          <w:szCs w:val="26"/>
        </w:rPr>
      </w:pPr>
      <w:r>
        <w:rPr>
          <w:bCs/>
          <w:iCs/>
          <w:spacing w:val="-6"/>
          <w:sz w:val="26"/>
          <w:szCs w:val="26"/>
        </w:rPr>
        <w:t>- Đề nghị xem xét rà soát bỏ cửa kính thủy lực do hạng mục nhà thô đã có cửa cuốn (giá trị khoảng 13,9 tỷ đồng) và bỏ hạng mục ốp đá mặt ngoài nhà (giá trị khoảng 1,9 tỷ đồng). 2. Hồ sơ dự toán xây dựng chỉnh sửa chưa được thẩm tra theo quy định tại điểm b khoản 4 Điều 6, Nghị định số 71/2024/NĐ-CP của Chính phủ (hồ sơ dự toán được lập tháng 6/2025, với giá trị tổng dự toán xây dựng công trình 600.915.195.000 đồng. Tuy nhiên được đóng dấu xác nhận theo Báo cáo thẩm tra thiết kế bản vẽ thi công tại Văn bản số 06/BCTT ngày 02/6/2025, với giá trị tổng dự toán xây dựng công trình 636.969.364.000 đồng).</w:t>
      </w:r>
    </w:p>
    <w:p w14:paraId="78812199">
      <w:pPr>
        <w:widowControl w:val="0"/>
        <w:spacing w:before="120" w:after="120" w:line="380" w:lineRule="exact"/>
        <w:ind w:firstLine="567"/>
        <w:jc w:val="both"/>
        <w:rPr>
          <w:bCs/>
          <w:iCs/>
          <w:spacing w:val="-6"/>
          <w:sz w:val="26"/>
          <w:szCs w:val="26"/>
        </w:rPr>
      </w:pPr>
      <w:r>
        <w:rPr>
          <w:bCs/>
          <w:iCs/>
          <w:spacing w:val="-6"/>
          <w:sz w:val="26"/>
          <w:szCs w:val="26"/>
        </w:rPr>
        <w:t>3. Hợp đồng giữa Nhà đầu tư và đơn vị kiểm toán độc lập chưa đầy đủ pháp lý về nội dung, phạm vi kiểm toán; thời hạn Hợp đồng.</w:t>
      </w:r>
    </w:p>
    <w:p w14:paraId="0CF2DD61">
      <w:pPr>
        <w:widowControl w:val="0"/>
        <w:spacing w:before="120" w:after="120" w:line="380" w:lineRule="exact"/>
        <w:ind w:firstLine="567"/>
        <w:jc w:val="both"/>
        <w:rPr>
          <w:bCs/>
          <w:iCs/>
          <w:spacing w:val="-6"/>
          <w:sz w:val="26"/>
          <w:szCs w:val="26"/>
        </w:rPr>
      </w:pPr>
      <w:r>
        <w:rPr>
          <w:bCs/>
          <w:iCs/>
          <w:spacing w:val="-6"/>
          <w:sz w:val="26"/>
          <w:szCs w:val="26"/>
        </w:rPr>
        <w:t xml:space="preserve">4. Sở Xây dựng đã tham gia ý kiến đối với dự toán xây dựng công trình Khu đô thị phía Đông Nam thị trấn Đồng Mỏ, huyện Chi Lăng nhiều lần, tuy nhiên đến nay dự toán xây dựng công trình (do Sở Nông nghiệp và Môi trường cung cấp) chưa đủ cơ sở để xác định chi phí đầu tư xây dựng (do còn tồn tại các nội dung nêu trên); không đủ điều kiện để ước tổng chi phí phát triển của khu đất thực hiện dự án. </w:t>
      </w:r>
    </w:p>
    <w:p w14:paraId="5C23783A">
      <w:pPr>
        <w:widowControl w:val="0"/>
        <w:spacing w:before="120" w:after="120" w:line="380" w:lineRule="exact"/>
        <w:ind w:firstLine="567"/>
        <w:jc w:val="both"/>
        <w:rPr>
          <w:bCs/>
          <w:iCs/>
          <w:spacing w:val="-6"/>
          <w:sz w:val="26"/>
          <w:szCs w:val="26"/>
        </w:rPr>
      </w:pPr>
      <w:r>
        <w:rPr>
          <w:bCs/>
          <w:iCs/>
          <w:spacing w:val="-6"/>
          <w:sz w:val="26"/>
          <w:szCs w:val="26"/>
        </w:rPr>
        <w:t>Để đảm bảo tiến độ theo chỉ đạo của UBND tỉnh tại Văn bản số 1837/VP KTTH ngày 27/3/2025 của Văn phòng UBND tỉnh đề nghị Sở Nông nghiệp và Môi trường xem xét áp dụng suất vốn đầu tư theo Quyết định số 409/QĐ-BXD ngày 11/4/2025 của Bộ Xây dựng về công bố suất đầu tư và giá xây dựng tổng hợp bộ phận kết cấu công trình năm 2024 làm căn cơ sở để ước tính tổng chi phí phát triển của dự án phù hợp với các quy định tại khoản 3, khoản 4 Điều 6 Nghị định số 71/2024/NĐ-CP của Chính phủ để triển khai thực hiện xác định giá đất cụ thể trình Hội đồng thẩm định giá đất cụ thể của tỉnh xem xét, quyết định”.</w:t>
      </w:r>
    </w:p>
    <w:p w14:paraId="57C8266E">
      <w:pPr>
        <w:widowControl w:val="0"/>
        <w:spacing w:before="120" w:after="120" w:line="380" w:lineRule="exact"/>
        <w:ind w:firstLine="567"/>
        <w:jc w:val="both"/>
        <w:rPr>
          <w:bCs/>
          <w:iCs/>
          <w:spacing w:val="-6"/>
          <w:sz w:val="26"/>
          <w:szCs w:val="26"/>
        </w:rPr>
      </w:pPr>
      <w:r>
        <w:rPr>
          <w:bCs/>
          <w:iCs/>
          <w:spacing w:val="-6"/>
          <w:sz w:val="26"/>
          <w:szCs w:val="26"/>
        </w:rPr>
        <w:t>- Ngày 09/07/2025 Văn phòng UBND tỉnh Lạng Sơn ban hành văn bản số 49/VP-KTTH V/v xem xét, giải quyết đề nghị của Liên danh Công ty cổ phần đầu tư xây dựng hạ tầng Chi Lăng và Công ty cổ phần tập đoàn BGI:</w:t>
      </w:r>
    </w:p>
    <w:p w14:paraId="3477303D">
      <w:pPr>
        <w:widowControl w:val="0"/>
        <w:spacing w:before="120" w:after="120" w:line="380" w:lineRule="exact"/>
        <w:ind w:firstLine="567"/>
        <w:jc w:val="both"/>
        <w:rPr>
          <w:bCs/>
          <w:iCs/>
          <w:spacing w:val="-6"/>
          <w:sz w:val="26"/>
          <w:szCs w:val="26"/>
        </w:rPr>
      </w:pPr>
      <w:r>
        <w:rPr>
          <w:bCs/>
          <w:iCs/>
          <w:spacing w:val="-6"/>
          <w:sz w:val="26"/>
          <w:szCs w:val="26"/>
        </w:rPr>
        <w:t xml:space="preserve">“Xem xét Công văn số 08.07/CV-HTCL&amp;BGI ngày 08/7/2025 của Liên danh Công ty cổ phần đầu tư xây dựng hạ tầng Chi Lăng và Công ty cổ phần tập đoàn BGI ngày 08/7/2025 về việc xem xét công tác xác định giá đất cụ thể dự án Khu đô thị phía Đông Nam thị trấn Đồng Mỏ; đồng chí Đoàn Thanh Sơn, Phó Chủ tịch UBND tỉnh có ý kiến như sau: </w:t>
      </w:r>
    </w:p>
    <w:p w14:paraId="5B826BAD">
      <w:pPr>
        <w:widowControl w:val="0"/>
        <w:spacing w:before="120" w:after="120" w:line="380" w:lineRule="exact"/>
        <w:ind w:firstLine="567"/>
        <w:jc w:val="both"/>
        <w:rPr>
          <w:bCs/>
          <w:iCs/>
          <w:spacing w:val="-6"/>
          <w:sz w:val="26"/>
          <w:szCs w:val="26"/>
        </w:rPr>
      </w:pPr>
      <w:r>
        <w:rPr>
          <w:bCs/>
          <w:iCs/>
          <w:spacing w:val="-6"/>
          <w:sz w:val="26"/>
          <w:szCs w:val="26"/>
        </w:rPr>
        <w:t>Giao Sở Xây dựng chủ trì, phối hợp với Sở Nông nghiệp và Môi trường, Sở Tài chính, Sở Tư pháp, Thuế tỉnh Lạng Sơn và các cơ quan liên quan chủ động xem xét, giải quyết đề nghị của Liên danh Công ty cổ phần đầu tư xây dựng hạ tầng Chi Lăng và Công ty cổ phần tập đoàn BGI tại Công văn trên, bảo đảm tuân thủ theo đúng quy định pháp luật, phục vụ công tác xác định giá đất cụ thể làm căn cứ tính tiền sử dụng đất khi Nhà nước giao đất có thu tiền sử dụng đất để thực hiện dự án; hoàn thành, báo cáo UBND tỉnh kết quả thực hiện chậm nhất ngày 16/7/2025”.</w:t>
      </w:r>
    </w:p>
    <w:p w14:paraId="3569ABAF">
      <w:pPr>
        <w:widowControl w:val="0"/>
        <w:spacing w:before="120" w:after="120" w:line="380" w:lineRule="exact"/>
        <w:ind w:firstLine="567"/>
        <w:jc w:val="both"/>
        <w:rPr>
          <w:bCs/>
          <w:iCs/>
          <w:spacing w:val="-6"/>
          <w:sz w:val="26"/>
          <w:szCs w:val="26"/>
        </w:rPr>
      </w:pPr>
      <w:r>
        <w:rPr>
          <w:bCs/>
          <w:iCs/>
          <w:spacing w:val="-6"/>
          <w:sz w:val="26"/>
          <w:szCs w:val="26"/>
        </w:rPr>
        <w:t>- Thực hiện nhiệm vụ UBND tỉnh giao tại Văn bản số 4912/VP-KTTH ngày 09/7/2025 của Văn phòng UBND tỉnh về việc xem xét, giải quyết đề nghị của Liên danh Công ty cổ phần đầu tư xây dựng hạ tầng Chi Lăng và Công ty cổ phần tập đoàn BGI.  Sở Xây dựng ban hành văn bản số 2317/SXD-QLHT ngày 10/07/2025: “Để có cơ sở tham mưu, báo cáo UBND tỉnh, Sở Xây dựng đề nghị Sở Nông nghiệp và Môi trường chỉ đạo, đôn đốc Chủ đầu tư (Liên danh Công ty cổ phần đầu tư xây dựng hạ tầng Chi Lăng và Công ty cổ phần tập đoàn BGI) gửi hồ sơ dự toán xây dựng công trình đầu tư xây dựng Khu đô thị phía Đông Nam thị trấn Đồng Mỏ, huyện Chi Lăng đã được chỉnh sửa theo các nội dung tại Văn bản số 2201/SXD-QLHT ngày 05/7/2025 của Sở Xây dựng”.</w:t>
      </w:r>
    </w:p>
    <w:p w14:paraId="31EC1844">
      <w:pPr>
        <w:widowControl w:val="0"/>
        <w:spacing w:before="120" w:after="120" w:line="380" w:lineRule="exact"/>
        <w:ind w:firstLine="567"/>
        <w:jc w:val="both"/>
        <w:rPr>
          <w:b/>
          <w:iCs/>
          <w:spacing w:val="-6"/>
          <w:sz w:val="26"/>
          <w:szCs w:val="26"/>
        </w:rPr>
      </w:pPr>
      <w:r>
        <w:rPr>
          <w:b/>
          <w:iCs/>
          <w:spacing w:val="-6"/>
          <w:sz w:val="26"/>
          <w:szCs w:val="26"/>
        </w:rPr>
        <w:t>*Tại báo cáo số 443/BC-SXD ngày 16/07/2025 của Sở xây dựng tỉnh Lạng Sơn Về việc xem xét, giải quyết đề nghị của Liên danh Công ty cổ phần đầu tư xây dựng hạ tầng Chi Lăng và Công ty cổ phần tập đoàn BGI, trong đó có nội dung:</w:t>
      </w:r>
    </w:p>
    <w:p w14:paraId="496BAB50">
      <w:pPr>
        <w:widowControl w:val="0"/>
        <w:spacing w:before="120" w:after="120" w:line="380" w:lineRule="exact"/>
        <w:ind w:firstLine="567"/>
        <w:jc w:val="both"/>
        <w:rPr>
          <w:bCs/>
          <w:i/>
          <w:sz w:val="26"/>
          <w:szCs w:val="26"/>
        </w:rPr>
      </w:pPr>
      <w:r>
        <w:rPr>
          <w:bCs/>
          <w:i/>
          <w:sz w:val="26"/>
          <w:szCs w:val="26"/>
        </w:rPr>
        <w:t xml:space="preserve">“Để giải quyết kiến nghị của Nhà đầu tư theo nhiệm vụ UBND tỉnh giao, ngày 10/7/2025 Sở Xây dựng đã có Văn bản số 2317/SXD-QLHT đề nghị Sở Nông nghiệp và Môi trường phối hợp với Nhà đầu tư cung cấp hồ sơ dự toán xây dựng công trình đầu tư xây dựng Khu đô thị phía Đông Nam thị trấn Đồng Mỏ, huyện Chi Lăng trước ngày 13/7/2025 để làm cơ sở xem xét, báo cáo UBND tỉnh, theo đó ngày 14/7/2025, Sở Xây dựng nhận được hồ sơ dự án xây dựng công trình đầu tư xây dựng Khu đô thị phía Đông Nam thị trấn Đồng Mỏ, huyện Chi Lăng gửi kèm theo Công văn số 2568/SNNMT-KHTC của Sở Nông nghiệp và Môi trường. </w:t>
      </w:r>
    </w:p>
    <w:p w14:paraId="42980842">
      <w:pPr>
        <w:widowControl w:val="0"/>
        <w:spacing w:before="120" w:after="120" w:line="400" w:lineRule="exact"/>
        <w:ind w:firstLine="567"/>
        <w:jc w:val="both"/>
        <w:rPr>
          <w:bCs/>
          <w:i/>
          <w:spacing w:val="-6"/>
          <w:sz w:val="26"/>
          <w:szCs w:val="26"/>
        </w:rPr>
      </w:pPr>
      <w:r>
        <w:rPr>
          <w:bCs/>
          <w:i/>
          <w:spacing w:val="-6"/>
          <w:sz w:val="26"/>
          <w:szCs w:val="26"/>
        </w:rPr>
        <w:t xml:space="preserve">Qua rà soát, hồ sơ dự án xây dựng công trình đầu tư xây dựng Khu đô thị phía Đông Nam thị trấn Đồng Mỏ, huyện Chi Lăng đã chỉnh sửa, các nội dung chưa phù hợp và cung cấp các tài liệu (về hợp đồng thẩm tra, báo cáo thẩm tra) giải trình nội dung tham gia ý kiến của Sở Xây dựng tại Văn bản số 2201/SXD QLHT ngày 05/7/2025. Như vậy, sau khi rà soát hồ sơ dự toán xây dựng công trình đầu tư xây dựng Khu đô thị phía Đông Nam thị trấn Đồng Mỏ, huyện Chi Lăng đã cơ bản áp dụng định mức xây dựng, đơn giá nhân công xây dựng, Bảng giá ca máy và thiết bị thi công xây dựng do cơ quan nhà nước có thẩm quyền ban hành, công bố tại thời điểm giao đất1 (tháng 01/2025). </w:t>
      </w:r>
    </w:p>
    <w:p w14:paraId="5D81B0E7">
      <w:pPr>
        <w:widowControl w:val="0"/>
        <w:spacing w:before="120" w:after="120" w:line="400" w:lineRule="exact"/>
        <w:ind w:firstLine="567"/>
        <w:jc w:val="both"/>
        <w:rPr>
          <w:bCs/>
          <w:i/>
          <w:spacing w:val="-6"/>
          <w:sz w:val="26"/>
          <w:szCs w:val="26"/>
        </w:rPr>
      </w:pPr>
      <w:r>
        <w:rPr>
          <w:bCs/>
          <w:i/>
          <w:spacing w:val="-6"/>
          <w:sz w:val="26"/>
          <w:szCs w:val="26"/>
        </w:rPr>
        <w:t>Từ nội dung trên, căn cứ hồ sơ dự toán công trình cung cấp ngày 14/7/2025, Nhà đầu tư đề nghị xem xét không áp dụng suất vốn đầu tư để ước tính tổng chi phí phát triển của dự án Khu đô thị phía Đông Nam thị trấn Đồng Mỏ, huyện Chi Lăng (áp dụng ước tính chi phí đầu tư xây dựng trên cơ sở dự toán xây dựng dự trên định mức, đơn giá do cơ quan nhà nước có thẩm quyền ban hành, công bố) là có cơ sở, phù hợp với quy định tại điểm b, khoản 4 Điều 6 Nghị định số 71/2024/NĐ-CP”.</w:t>
      </w:r>
    </w:p>
    <w:p w14:paraId="536C8175">
      <w:pPr>
        <w:widowControl w:val="0"/>
        <w:spacing w:before="120" w:after="120" w:line="400" w:lineRule="exact"/>
        <w:ind w:firstLine="567"/>
        <w:jc w:val="both"/>
        <w:rPr>
          <w:b/>
          <w:iCs/>
          <w:sz w:val="26"/>
          <w:szCs w:val="26"/>
        </w:rPr>
      </w:pPr>
      <w:r>
        <w:rPr>
          <w:bCs/>
          <w:i/>
          <w:sz w:val="26"/>
          <w:szCs w:val="26"/>
        </w:rPr>
        <w:t>*</w:t>
      </w:r>
      <w:r>
        <w:rPr>
          <w:b/>
          <w:iCs/>
          <w:sz w:val="26"/>
          <w:szCs w:val="26"/>
        </w:rPr>
        <w:t>Sở xây dựng tỉnh Lạng Sơn ban hành văn bản số Văn bản số 2420/SXD-QLHT ngày 17/7/2025 V/v tham gia ý kiến về dự toán xây dựng công trình đầu tư xây dựng Khu đô thị phía Đông Nam thị trấn Đồng Mỏ, huyện Chi Lăng, nội dung văn bản như sau:</w:t>
      </w:r>
    </w:p>
    <w:p w14:paraId="04AF42CB">
      <w:pPr>
        <w:widowControl w:val="0"/>
        <w:spacing w:before="120" w:after="120" w:line="400" w:lineRule="exact"/>
        <w:ind w:firstLine="567"/>
        <w:jc w:val="both"/>
        <w:rPr>
          <w:bCs/>
          <w:i/>
          <w:spacing w:val="-6"/>
          <w:sz w:val="26"/>
          <w:szCs w:val="26"/>
        </w:rPr>
      </w:pPr>
      <w:r>
        <w:rPr>
          <w:bCs/>
          <w:i/>
          <w:spacing w:val="-6"/>
          <w:sz w:val="26"/>
          <w:szCs w:val="26"/>
        </w:rPr>
        <w:t xml:space="preserve">Sở Xây dựng nhận được Văn bản số 2568/SNNMT-KHTC ngày 14/7/2025 của Sở Nông nghiệp và Môi trường về việc đề nghị xem xét, cho ý kiến đối với dự toán xây dựng phục vụ công tác xác định giá đất cụ thể dự án Khu đô thị phía Đông Nam thị trấn Đồng Mỏ1. Sau khi kiểm tra, rà soát hồ sơ, Sở Xây dựng có ý kiến như sau: </w:t>
      </w:r>
    </w:p>
    <w:p w14:paraId="52A21EB1">
      <w:pPr>
        <w:widowControl w:val="0"/>
        <w:spacing w:before="120" w:after="120" w:line="400" w:lineRule="exact"/>
        <w:ind w:firstLine="567"/>
        <w:jc w:val="both"/>
        <w:rPr>
          <w:bCs/>
          <w:i/>
          <w:spacing w:val="-6"/>
          <w:sz w:val="26"/>
          <w:szCs w:val="26"/>
        </w:rPr>
      </w:pPr>
      <w:r>
        <w:rPr>
          <w:bCs/>
          <w:i/>
          <w:spacing w:val="-6"/>
          <w:sz w:val="26"/>
          <w:szCs w:val="26"/>
        </w:rPr>
        <w:t xml:space="preserve">1. Về cơ sở áp dụng định mức và đơn giá </w:t>
      </w:r>
    </w:p>
    <w:p w14:paraId="308047F0">
      <w:pPr>
        <w:widowControl w:val="0"/>
        <w:spacing w:before="120" w:after="120" w:line="400" w:lineRule="exact"/>
        <w:ind w:firstLine="567"/>
        <w:jc w:val="both"/>
        <w:rPr>
          <w:bCs/>
          <w:i/>
          <w:spacing w:val="-6"/>
          <w:sz w:val="26"/>
          <w:szCs w:val="26"/>
        </w:rPr>
      </w:pPr>
      <w:r>
        <w:rPr>
          <w:bCs/>
          <w:i/>
          <w:spacing w:val="-6"/>
          <w:sz w:val="26"/>
          <w:szCs w:val="26"/>
        </w:rPr>
        <w:t xml:space="preserve">Hồ sơ dự toán đã cơ bản áp dụng định mức xây dựng, đơn giá nhân công xây dựng, Bảng giá ca máy và thiết bị thi công xây dựng do cơ quan nhà nước có thẩm quyền ban hành, công bố tại thời điểm giao đất2 (tháng 01/2025). </w:t>
      </w:r>
    </w:p>
    <w:p w14:paraId="4454A1A5">
      <w:pPr>
        <w:widowControl w:val="0"/>
        <w:spacing w:before="120" w:after="120" w:line="400" w:lineRule="exact"/>
        <w:ind w:firstLine="567"/>
        <w:jc w:val="both"/>
        <w:rPr>
          <w:bCs/>
          <w:i/>
          <w:spacing w:val="-6"/>
          <w:sz w:val="26"/>
          <w:szCs w:val="26"/>
        </w:rPr>
      </w:pPr>
      <w:r>
        <w:rPr>
          <w:bCs/>
          <w:i/>
          <w:spacing w:val="-6"/>
          <w:sz w:val="26"/>
          <w:szCs w:val="26"/>
        </w:rPr>
        <w:t>2. Hồ sơ dự toán xây dựng</w:t>
      </w:r>
    </w:p>
    <w:p w14:paraId="7DCA2083">
      <w:pPr>
        <w:widowControl w:val="0"/>
        <w:spacing w:before="120" w:after="120" w:line="400" w:lineRule="exact"/>
        <w:ind w:firstLine="567"/>
        <w:jc w:val="both"/>
        <w:rPr>
          <w:bCs/>
          <w:i/>
          <w:spacing w:val="-6"/>
          <w:sz w:val="26"/>
          <w:szCs w:val="26"/>
        </w:rPr>
      </w:pPr>
      <w:r>
        <w:rPr>
          <w:bCs/>
          <w:i/>
          <w:spacing w:val="-6"/>
          <w:sz w:val="26"/>
          <w:szCs w:val="26"/>
        </w:rPr>
        <w:t xml:space="preserve">Dự toán đã được Công ty TNHH MTV tư vấn đầu tư xây dựng Nam Sơn thẩm tra, ban hành kết quả thẩm tra tại Văn bản số 07/BCTT ngày 13/7/2025 được đóng dấu, ký xác nhận thẩm tra hồ sơ, do vậy Công ty TNHH MTV tư vấn đầu tư xây dựng Nam Sơn chịu hoàn toàn trách nhiệm trước pháp luật về kết quả thẩm tra theo quy định tại điểm b khoản 4 Điều 6, Nghị định số 71/2024/NĐ-CP ngày 27/6/2024 của Chính phủ quy định về giá đất. </w:t>
      </w:r>
    </w:p>
    <w:p w14:paraId="4E4E3F2B">
      <w:pPr>
        <w:widowControl w:val="0"/>
        <w:spacing w:before="120" w:after="120" w:line="400" w:lineRule="exact"/>
        <w:ind w:firstLine="567"/>
        <w:jc w:val="both"/>
        <w:rPr>
          <w:rFonts w:ascii="Times New Roman Italic" w:hAnsi="Times New Roman Italic"/>
          <w:bCs/>
          <w:i/>
          <w:sz w:val="26"/>
          <w:szCs w:val="26"/>
        </w:rPr>
      </w:pPr>
      <w:r>
        <w:rPr>
          <w:rFonts w:ascii="Times New Roman Italic" w:hAnsi="Times New Roman Italic"/>
          <w:bCs/>
          <w:i/>
          <w:sz w:val="26"/>
          <w:szCs w:val="26"/>
        </w:rPr>
        <w:t xml:space="preserve">Chủ đầu tư, đơn vị tư vấn thiết kế, thẩm tra chịu trách nhiệm trước pháp luật về tính chính xác của hồ sơ thiết kế bản vẽ thi công, dự toán xây dựng (bao gồm: hồ sơ dự án, chất lượng hồ sơ thiết kế, sự phù hợp khối lượng của dự toán với hồ sơ thiết kế...) và các tài liệu gửi kèm theo Công văn số 2568/SNNMT KHTC ngày 14/7/2025 của Sở Nông nghiệp và Môi trường. </w:t>
      </w:r>
    </w:p>
    <w:p w14:paraId="2ADA3EF2">
      <w:pPr>
        <w:widowControl w:val="0"/>
        <w:spacing w:before="120" w:after="120" w:line="400" w:lineRule="exact"/>
        <w:ind w:firstLine="567"/>
        <w:jc w:val="both"/>
        <w:rPr>
          <w:bCs/>
          <w:i/>
          <w:spacing w:val="-6"/>
          <w:sz w:val="26"/>
          <w:szCs w:val="26"/>
        </w:rPr>
      </w:pPr>
      <w:r>
        <w:rPr>
          <w:bCs/>
          <w:i/>
          <w:spacing w:val="-6"/>
          <w:sz w:val="26"/>
          <w:szCs w:val="26"/>
        </w:rPr>
        <w:t xml:space="preserve">3. Về trách nhiệm thẩm định </w:t>
      </w:r>
    </w:p>
    <w:p w14:paraId="11AD9A17">
      <w:pPr>
        <w:widowControl w:val="0"/>
        <w:spacing w:before="120" w:after="120" w:line="400" w:lineRule="exact"/>
        <w:ind w:firstLine="567"/>
        <w:jc w:val="both"/>
        <w:rPr>
          <w:bCs/>
          <w:i/>
          <w:spacing w:val="-6"/>
          <w:sz w:val="26"/>
          <w:szCs w:val="26"/>
        </w:rPr>
      </w:pPr>
      <w:r>
        <w:rPr>
          <w:bCs/>
          <w:i/>
          <w:spacing w:val="-6"/>
          <w:sz w:val="26"/>
          <w:szCs w:val="26"/>
        </w:rPr>
        <w:t>Do dự án sử dụng vốn khác, không thuộc đối tượng quy định tại khoản 1 Điều 44 Nghị định 175/2024/NĐ-CP, việc thẩm định thiết kế triển khai sau thiết kế cơ sở (bao gồm dự toán) thuộc trách nhiệm của chủ đầu tư theo Điều 43 Nghị</w:t>
      </w:r>
      <w:r>
        <w:t xml:space="preserve"> </w:t>
      </w:r>
      <w:r>
        <w:rPr>
          <w:bCs/>
          <w:i/>
          <w:spacing w:val="-6"/>
          <w:sz w:val="26"/>
          <w:szCs w:val="26"/>
        </w:rPr>
        <w:t xml:space="preserve">định 175/2024/NĐ-CP4. Sở Xây dựng không thực hiện thẩm định. </w:t>
      </w:r>
    </w:p>
    <w:p w14:paraId="4BFD2578">
      <w:pPr>
        <w:widowControl w:val="0"/>
        <w:spacing w:before="120" w:after="120" w:line="400" w:lineRule="exact"/>
        <w:ind w:firstLine="567"/>
        <w:jc w:val="both"/>
        <w:rPr>
          <w:bCs/>
          <w:i/>
          <w:spacing w:val="-6"/>
          <w:sz w:val="26"/>
          <w:szCs w:val="26"/>
        </w:rPr>
      </w:pPr>
      <w:r>
        <w:rPr>
          <w:bCs/>
          <w:i/>
          <w:spacing w:val="-6"/>
          <w:sz w:val="26"/>
          <w:szCs w:val="26"/>
        </w:rPr>
        <w:t>Thiết kế xây dựng triển khai sau thiết kế cơ sở (bao gồm cả dự toán xây dựng công trình) sẽ do Chủ đầu tư tổ chức thẩm định theo quy định tại khoản 1 Điều 43 Nghị định số Nghị định số 175/2024/NĐ-CP5 (cơ quan chuyên môn về xây dựng không thẩm định).”</w:t>
      </w:r>
    </w:p>
    <w:p w14:paraId="49934083">
      <w:pPr>
        <w:widowControl w:val="0"/>
        <w:spacing w:before="120" w:after="120" w:line="400" w:lineRule="exact"/>
        <w:ind w:firstLine="567"/>
        <w:jc w:val="both"/>
        <w:rPr>
          <w:b/>
          <w:i/>
          <w:sz w:val="26"/>
          <w:szCs w:val="26"/>
        </w:rPr>
      </w:pPr>
      <w:r>
        <w:rPr>
          <w:b/>
          <w:iCs/>
          <w:spacing w:val="-6"/>
          <w:sz w:val="26"/>
          <w:szCs w:val="26"/>
        </w:rPr>
        <w:t>*</w:t>
      </w:r>
      <w:r>
        <w:rPr>
          <w:b/>
          <w:i/>
          <w:sz w:val="26"/>
          <w:szCs w:val="26"/>
        </w:rPr>
        <w:t>Sở Nông nghiệp và Môi trường tỉnh Lạng Sơn ban hành văn bản số 2675/SNNMT-KHTC ngày 18/07/2025 V/v cung cấp thông tin, tài liệu phục vụ công tác xác định giá đất cụ thể:</w:t>
      </w:r>
    </w:p>
    <w:p w14:paraId="311ECC37">
      <w:pPr>
        <w:widowControl w:val="0"/>
        <w:spacing w:before="120" w:after="120" w:line="400" w:lineRule="exact"/>
        <w:ind w:firstLine="567"/>
        <w:jc w:val="both"/>
        <w:rPr>
          <w:bCs/>
          <w:iCs/>
          <w:spacing w:val="-6"/>
          <w:sz w:val="26"/>
          <w:szCs w:val="26"/>
        </w:rPr>
      </w:pPr>
      <w:r>
        <w:rPr>
          <w:bCs/>
          <w:iCs/>
          <w:spacing w:val="-6"/>
          <w:sz w:val="26"/>
          <w:szCs w:val="26"/>
        </w:rPr>
        <w:t xml:space="preserve">“Trên cơ sở Văn bản số 2420/SXD-QLHT ngày 17/7/2025 của Sở Xây dựng về việc tham gia ý kiến về dự toán xây dựng công trình đầu tư xây dựng Khu đô thị phía Đông Nam thị trấn Đồng Mỏ, huyện Chi Lăng (nay là xã Chi Lăng, tỉnh Lạng Sơn). Sở Nông nghiệp và Môi trường cung cấp thông tin, tài liệu cho Công ty Cổ phần Dịch vụ Tư vấn và Thẩm định giá Việt Nam để thực hiện công tác xác định giá đất cụ thể, như sau: </w:t>
      </w:r>
    </w:p>
    <w:p w14:paraId="058D1FAB">
      <w:pPr>
        <w:widowControl w:val="0"/>
        <w:spacing w:before="120" w:after="120" w:line="400" w:lineRule="exact"/>
        <w:ind w:firstLine="567"/>
        <w:jc w:val="both"/>
        <w:rPr>
          <w:bCs/>
          <w:iCs/>
          <w:spacing w:val="-6"/>
          <w:sz w:val="26"/>
          <w:szCs w:val="26"/>
        </w:rPr>
      </w:pPr>
      <w:r>
        <w:rPr>
          <w:bCs/>
          <w:iCs/>
          <w:spacing w:val="-6"/>
          <w:sz w:val="26"/>
          <w:szCs w:val="26"/>
        </w:rPr>
        <w:t xml:space="preserve">1. Văn bản số 2420/SXD-QLHT ngày 17/7/2025 của Sở Xây dựng về việc tham gia ý kiến về dự toán xây dựng công trình. </w:t>
      </w:r>
    </w:p>
    <w:p w14:paraId="120493C1">
      <w:pPr>
        <w:widowControl w:val="0"/>
        <w:spacing w:before="120" w:after="120" w:line="400" w:lineRule="exact"/>
        <w:ind w:firstLine="567"/>
        <w:jc w:val="both"/>
        <w:rPr>
          <w:bCs/>
          <w:iCs/>
          <w:spacing w:val="-6"/>
          <w:sz w:val="26"/>
          <w:szCs w:val="26"/>
        </w:rPr>
      </w:pPr>
      <w:r>
        <w:rPr>
          <w:bCs/>
          <w:iCs/>
          <w:spacing w:val="-6"/>
          <w:sz w:val="26"/>
          <w:szCs w:val="26"/>
        </w:rPr>
        <w:t xml:space="preserve">2. File hồ sơ dự toán xây dựng công trình do Chủ đầu tư dự án Liên danh Công ty cổ phần Đầu tư xây dựng Hạ tầng Chi Lăng và Công ty cổ phần Tập đoàn BGI cung cấp tại Văn bản số 13.7/CV-HTCL&amp;BGI ngày 13/7/2025 (gửi kèm cả file số + file giấy dự toán). </w:t>
      </w:r>
    </w:p>
    <w:p w14:paraId="54A5022B">
      <w:pPr>
        <w:widowControl w:val="0"/>
        <w:spacing w:before="120" w:after="120" w:line="400" w:lineRule="exact"/>
        <w:ind w:firstLine="567"/>
        <w:jc w:val="both"/>
        <w:rPr>
          <w:bCs/>
          <w:iCs/>
          <w:spacing w:val="-6"/>
          <w:sz w:val="26"/>
          <w:szCs w:val="26"/>
        </w:rPr>
      </w:pPr>
      <w:r>
        <w:rPr>
          <w:bCs/>
          <w:iCs/>
          <w:spacing w:val="-6"/>
          <w:sz w:val="26"/>
          <w:szCs w:val="26"/>
        </w:rPr>
        <w:t>Đề nghị của Công ty Cổ phần Dịch vụ Tư vấn và Thẩm định giá Việt Nam thực hiện phương án giá đất theo đúng trình tự, thủ tục gửi về Sở Nông nghiệp và Môi trường trước ngày 24/7/2025 để xem xét trình Hội đồng thẩm định giá đất tỉnh theo quy định. Sở Nông nghiệp và Môi trường đề nghị của Công ty Cổ phần Dịch vụ Tư vấn và Thẩm định giá Việt Nam khẩn trương phối hợp thực hiện./.”</w:t>
      </w:r>
    </w:p>
    <w:p w14:paraId="59510828">
      <w:pPr>
        <w:widowControl w:val="0"/>
        <w:spacing w:before="120" w:after="120" w:line="400" w:lineRule="exact"/>
        <w:ind w:firstLine="567"/>
        <w:jc w:val="both"/>
        <w:rPr>
          <w:bCs/>
          <w:iCs/>
          <w:spacing w:val="-6"/>
          <w:sz w:val="26"/>
          <w:szCs w:val="26"/>
        </w:rPr>
      </w:pPr>
      <w:r>
        <w:rPr>
          <w:bCs/>
          <w:iCs/>
          <w:spacing w:val="-6"/>
          <w:sz w:val="26"/>
          <w:szCs w:val="26"/>
        </w:rPr>
        <w:t xml:space="preserve">Công ty CP dịch vụ Tư vấn và Thẩm định giá Việt Nam nhận được văn bản số 2675/SNNMT-KHTC ngày 18/07/2025 của Sở Nông nghiệp và Môi trường tỉnh Lạng Sơn, kèm theo hồ sơ dự toán xây dựng công trình, và các văn bản khác liên quan. </w:t>
      </w:r>
    </w:p>
    <w:p w14:paraId="7CA21DC1">
      <w:pPr>
        <w:widowControl w:val="0"/>
        <w:spacing w:before="120" w:after="120" w:line="380" w:lineRule="exact"/>
        <w:ind w:firstLine="561"/>
        <w:jc w:val="both"/>
        <w:rPr>
          <w:b/>
          <w:bCs/>
          <w:color w:val="000000" w:themeColor="text1"/>
          <w:sz w:val="26"/>
          <w:szCs w:val="26"/>
          <w14:textFill>
            <w14:solidFill>
              <w14:schemeClr w14:val="tx1"/>
            </w14:solidFill>
          </w14:textFill>
        </w:rPr>
      </w:pPr>
      <w:r>
        <w:rPr>
          <w:b/>
          <w:bCs/>
          <w:color w:val="000000" w:themeColor="text1"/>
          <w:sz w:val="26"/>
          <w:szCs w:val="26"/>
          <w:lang w:val="vi-VN"/>
          <w14:textFill>
            <w14:solidFill>
              <w14:schemeClr w14:val="tx1"/>
            </w14:solidFill>
          </w14:textFill>
        </w:rPr>
        <w:t xml:space="preserve">- </w:t>
      </w:r>
      <w:r>
        <w:rPr>
          <w:b/>
          <w:bCs/>
          <w:color w:val="000000" w:themeColor="text1"/>
          <w:sz w:val="26"/>
          <w:szCs w:val="26"/>
          <w14:textFill>
            <w14:solidFill>
              <w14:schemeClr w14:val="tx1"/>
            </w14:solidFill>
          </w14:textFill>
        </w:rPr>
        <w:t>Dự toán đã được thẩm tra tại thời điểm tháng 07/2025, chi phí xây dựng công trình hạ tầng kỹ thuật của toàn bộ dự án như sau:</w:t>
      </w:r>
    </w:p>
    <w:tbl>
      <w:tblPr>
        <w:tblStyle w:val="9"/>
        <w:tblW w:w="984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87"/>
        <w:gridCol w:w="851"/>
        <w:gridCol w:w="1278"/>
        <w:gridCol w:w="1669"/>
        <w:gridCol w:w="11"/>
        <w:gridCol w:w="1548"/>
        <w:gridCol w:w="11"/>
        <w:gridCol w:w="1690"/>
        <w:gridCol w:w="11"/>
        <w:gridCol w:w="83"/>
      </w:tblGrid>
      <w:tr w14:paraId="0162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46" w:type="dxa"/>
            <w:gridSpan w:val="11"/>
            <w:shd w:val="clear" w:color="000000" w:fill="FFFFFF"/>
            <w:noWrap/>
            <w:vAlign w:val="center"/>
          </w:tcPr>
          <w:p w14:paraId="4E828CDA">
            <w:pPr>
              <w:jc w:val="center"/>
              <w:rPr>
                <w:rFonts w:ascii=".VnTimeH" w:hAnsi=".VnTimeH"/>
                <w:b/>
                <w:bCs/>
                <w:color w:val="000000" w:themeColor="text1"/>
                <w:sz w:val="22"/>
                <w:szCs w:val="22"/>
                <w14:textFill>
                  <w14:solidFill>
                    <w14:schemeClr w14:val="tx1"/>
                  </w14:solidFill>
                </w14:textFill>
              </w:rPr>
            </w:pPr>
            <w:r>
              <w:rPr>
                <w:rFonts w:ascii=".VnTimeH" w:hAnsi=".VnTimeH"/>
                <w:b/>
                <w:bCs/>
                <w:color w:val="000000" w:themeColor="text1"/>
                <w:sz w:val="22"/>
                <w:szCs w:val="22"/>
                <w14:textFill>
                  <w14:solidFill>
                    <w14:schemeClr w14:val="tx1"/>
                  </w14:solidFill>
                </w14:textFill>
              </w:rPr>
              <w:t>TỔNG MỨC ĐẦU TƯ XÂY DỰNG CÔNG TRÌNH</w:t>
            </w:r>
          </w:p>
        </w:tc>
      </w:tr>
      <w:tr w14:paraId="39A3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46" w:type="dxa"/>
            <w:gridSpan w:val="11"/>
            <w:shd w:val="clear" w:color="000000" w:fill="FFFFFF"/>
            <w:noWrap/>
            <w:vAlign w:val="center"/>
          </w:tcPr>
          <w:p w14:paraId="38874D0B">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DỰ ÁN: KHU ĐÔ THỊ PHÍA ĐÔNG NAM THỊ TRẤN ĐỒNG MỎ</w:t>
            </w:r>
          </w:p>
        </w:tc>
      </w:tr>
      <w:tr w14:paraId="1287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D545E6A">
            <w:pPr>
              <w:jc w:val="center"/>
              <w:rPr>
                <w:color w:val="000000" w:themeColor="text1"/>
                <w:sz w:val="22"/>
                <w:szCs w:val="22"/>
                <w14:textFill>
                  <w14:solidFill>
                    <w14:schemeClr w14:val="tx1"/>
                  </w14:solidFill>
                </w14:textFill>
              </w:rPr>
            </w:pPr>
          </w:p>
        </w:tc>
        <w:tc>
          <w:tcPr>
            <w:tcW w:w="1987" w:type="dxa"/>
            <w:shd w:val="clear" w:color="000000" w:fill="FFFFFF"/>
            <w:noWrap/>
            <w:vAlign w:val="center"/>
          </w:tcPr>
          <w:p w14:paraId="38B6EF03">
            <w:pPr>
              <w:jc w:val="center"/>
              <w:rPr>
                <w:color w:val="000000" w:themeColor="text1"/>
                <w:sz w:val="22"/>
                <w:szCs w:val="22"/>
                <w14:textFill>
                  <w14:solidFill>
                    <w14:schemeClr w14:val="tx1"/>
                  </w14:solidFill>
                </w14:textFill>
              </w:rPr>
            </w:pPr>
          </w:p>
        </w:tc>
        <w:tc>
          <w:tcPr>
            <w:tcW w:w="851" w:type="dxa"/>
            <w:shd w:val="clear" w:color="000000" w:fill="FFFFFF"/>
            <w:noWrap/>
            <w:vAlign w:val="center"/>
          </w:tcPr>
          <w:p w14:paraId="5CFC0C25">
            <w:pPr>
              <w:jc w:val="center"/>
              <w:rPr>
                <w:color w:val="000000" w:themeColor="text1"/>
                <w:sz w:val="22"/>
                <w:szCs w:val="22"/>
                <w14:textFill>
                  <w14:solidFill>
                    <w14:schemeClr w14:val="tx1"/>
                  </w14:solidFill>
                </w14:textFill>
              </w:rPr>
            </w:pPr>
          </w:p>
        </w:tc>
        <w:tc>
          <w:tcPr>
            <w:tcW w:w="1278" w:type="dxa"/>
            <w:shd w:val="clear" w:color="000000" w:fill="FFFFFF"/>
            <w:noWrap/>
            <w:vAlign w:val="center"/>
          </w:tcPr>
          <w:p w14:paraId="4C6AE146">
            <w:pPr>
              <w:jc w:val="center"/>
              <w:rPr>
                <w:color w:val="000000" w:themeColor="text1"/>
                <w:sz w:val="22"/>
                <w:szCs w:val="22"/>
                <w14:textFill>
                  <w14:solidFill>
                    <w14:schemeClr w14:val="tx1"/>
                  </w14:solidFill>
                </w14:textFill>
              </w:rPr>
            </w:pPr>
          </w:p>
        </w:tc>
        <w:tc>
          <w:tcPr>
            <w:tcW w:w="1680" w:type="dxa"/>
            <w:gridSpan w:val="2"/>
            <w:shd w:val="clear" w:color="000000" w:fill="FFFFFF"/>
            <w:noWrap/>
            <w:vAlign w:val="center"/>
          </w:tcPr>
          <w:p w14:paraId="3B51219B">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w:t>
            </w:r>
          </w:p>
        </w:tc>
        <w:tc>
          <w:tcPr>
            <w:tcW w:w="1559" w:type="dxa"/>
            <w:gridSpan w:val="2"/>
            <w:shd w:val="clear" w:color="000000" w:fill="FFFFFF"/>
            <w:noWrap/>
            <w:vAlign w:val="center"/>
          </w:tcPr>
          <w:p w14:paraId="328315B8">
            <w:pPr>
              <w:jc w:val="center"/>
              <w:rPr>
                <w:color w:val="000000" w:themeColor="text1"/>
                <w:sz w:val="22"/>
                <w:szCs w:val="22"/>
                <w14:textFill>
                  <w14:solidFill>
                    <w14:schemeClr w14:val="tx1"/>
                  </w14:solidFill>
                </w14:textFill>
              </w:rPr>
            </w:pPr>
          </w:p>
        </w:tc>
        <w:tc>
          <w:tcPr>
            <w:tcW w:w="1701" w:type="dxa"/>
            <w:gridSpan w:val="2"/>
            <w:shd w:val="clear" w:color="000000" w:fill="FFFFFF"/>
            <w:noWrap/>
            <w:vAlign w:val="center"/>
          </w:tcPr>
          <w:p w14:paraId="69E50896">
            <w:pPr>
              <w:jc w:val="center"/>
              <w:rPr>
                <w:i/>
                <w:iCs/>
                <w:color w:val="000000" w:themeColor="text1"/>
                <w:sz w:val="22"/>
                <w:szCs w:val="22"/>
                <w14:textFill>
                  <w14:solidFill>
                    <w14:schemeClr w14:val="tx1"/>
                  </w14:solidFill>
                </w14:textFill>
              </w:rPr>
            </w:pPr>
            <w:r>
              <w:rPr>
                <w:i/>
                <w:iCs/>
                <w:color w:val="000000" w:themeColor="text1"/>
                <w:sz w:val="22"/>
                <w:szCs w:val="22"/>
                <w14:textFill>
                  <w14:solidFill>
                    <w14:schemeClr w14:val="tx1"/>
                  </w14:solidFill>
                </w14:textFill>
              </w:rPr>
              <w:t>Đơn vị tính: đồng</w:t>
            </w:r>
          </w:p>
        </w:tc>
      </w:tr>
      <w:tr w14:paraId="376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BA35DB5">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STT</w:t>
            </w:r>
          </w:p>
        </w:tc>
        <w:tc>
          <w:tcPr>
            <w:tcW w:w="1987" w:type="dxa"/>
            <w:shd w:val="clear" w:color="000000" w:fill="FFFFFF"/>
            <w:noWrap/>
            <w:vAlign w:val="center"/>
          </w:tcPr>
          <w:p w14:paraId="754EEA3A">
            <w:pP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NỘI DUNG CHI PHÍ</w:t>
            </w:r>
          </w:p>
        </w:tc>
        <w:tc>
          <w:tcPr>
            <w:tcW w:w="851" w:type="dxa"/>
            <w:shd w:val="clear" w:color="000000" w:fill="FFFFFF"/>
            <w:noWrap/>
            <w:vAlign w:val="center"/>
          </w:tcPr>
          <w:p w14:paraId="6F7CAE7A">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ĐMTL</w:t>
            </w:r>
          </w:p>
        </w:tc>
        <w:tc>
          <w:tcPr>
            <w:tcW w:w="1278" w:type="dxa"/>
            <w:shd w:val="clear" w:color="000000" w:fill="FFFFFF"/>
            <w:noWrap/>
            <w:vAlign w:val="center"/>
          </w:tcPr>
          <w:p w14:paraId="1D3E5E75">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CÁCH TÍNH</w:t>
            </w:r>
          </w:p>
        </w:tc>
        <w:tc>
          <w:tcPr>
            <w:tcW w:w="1680" w:type="dxa"/>
            <w:gridSpan w:val="2"/>
            <w:shd w:val="clear" w:color="000000" w:fill="FFFFFF"/>
            <w:noWrap/>
            <w:vAlign w:val="center"/>
          </w:tcPr>
          <w:p w14:paraId="7CBA63C6">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CHI PHÍ TRƯỚC THUẾ</w:t>
            </w:r>
          </w:p>
        </w:tc>
        <w:tc>
          <w:tcPr>
            <w:tcW w:w="1559" w:type="dxa"/>
            <w:gridSpan w:val="2"/>
            <w:shd w:val="clear" w:color="000000" w:fill="FFFFFF"/>
            <w:noWrap/>
            <w:vAlign w:val="center"/>
          </w:tcPr>
          <w:p w14:paraId="1592A8C1">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THUẾ GTGT</w:t>
            </w:r>
          </w:p>
        </w:tc>
        <w:tc>
          <w:tcPr>
            <w:tcW w:w="1701" w:type="dxa"/>
            <w:gridSpan w:val="2"/>
            <w:shd w:val="clear" w:color="000000" w:fill="FFFFFF"/>
            <w:noWrap/>
            <w:vAlign w:val="center"/>
          </w:tcPr>
          <w:p w14:paraId="3660B77A">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CHI PHÍ SAU THUẾ</w:t>
            </w:r>
          </w:p>
        </w:tc>
      </w:tr>
      <w:tr w14:paraId="549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26B4E41">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w:t>
            </w:r>
          </w:p>
        </w:tc>
        <w:tc>
          <w:tcPr>
            <w:tcW w:w="1987" w:type="dxa"/>
            <w:shd w:val="clear" w:color="000000" w:fill="FFFFFF"/>
            <w:noWrap/>
            <w:vAlign w:val="center"/>
          </w:tcPr>
          <w:p w14:paraId="59A5E489">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xây dựng (G</w:t>
            </w:r>
            <w:r>
              <w:rPr>
                <w:b/>
                <w:bCs/>
                <w:color w:val="000000" w:themeColor="text1"/>
                <w:sz w:val="19"/>
                <w:szCs w:val="19"/>
                <w:vertAlign w:val="subscript"/>
                <w14:textFill>
                  <w14:solidFill>
                    <w14:schemeClr w14:val="tx1"/>
                  </w14:solidFill>
                </w14:textFill>
              </w:rPr>
              <w:t>XD</w:t>
            </w:r>
            <w:r>
              <w:rPr>
                <w:b/>
                <w:bCs/>
                <w:color w:val="000000" w:themeColor="text1"/>
                <w:sz w:val="19"/>
                <w:szCs w:val="19"/>
                <w14:textFill>
                  <w14:solidFill>
                    <w14:schemeClr w14:val="tx1"/>
                  </w14:solidFill>
                </w14:textFill>
              </w:rPr>
              <w:t>)</w:t>
            </w:r>
          </w:p>
        </w:tc>
        <w:tc>
          <w:tcPr>
            <w:tcW w:w="851" w:type="dxa"/>
            <w:shd w:val="clear" w:color="000000" w:fill="FFFFFF"/>
            <w:noWrap/>
            <w:vAlign w:val="center"/>
          </w:tcPr>
          <w:p w14:paraId="4C3D3C34">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643B67F6">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561036BC">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330.115.001.382</w:t>
            </w:r>
          </w:p>
        </w:tc>
        <w:tc>
          <w:tcPr>
            <w:tcW w:w="1559" w:type="dxa"/>
            <w:gridSpan w:val="2"/>
            <w:shd w:val="clear" w:color="000000" w:fill="FFFFFF"/>
            <w:noWrap/>
            <w:vAlign w:val="center"/>
          </w:tcPr>
          <w:p w14:paraId="4710B97E">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26.409.200.111</w:t>
            </w:r>
          </w:p>
        </w:tc>
        <w:tc>
          <w:tcPr>
            <w:tcW w:w="1701" w:type="dxa"/>
            <w:gridSpan w:val="2"/>
            <w:shd w:val="clear" w:color="000000" w:fill="FFFFFF"/>
            <w:noWrap/>
            <w:vAlign w:val="center"/>
          </w:tcPr>
          <w:p w14:paraId="67A8DF8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356.524.201.493</w:t>
            </w:r>
          </w:p>
        </w:tc>
      </w:tr>
      <w:tr w14:paraId="72CE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28A1212">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1,1</w:t>
            </w:r>
          </w:p>
        </w:tc>
        <w:tc>
          <w:tcPr>
            <w:tcW w:w="1987" w:type="dxa"/>
            <w:shd w:val="clear" w:color="000000" w:fill="FFFFFF"/>
            <w:noWrap/>
            <w:vAlign w:val="center"/>
          </w:tcPr>
          <w:p w14:paraId="15E42870">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6CF019BD">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52186BA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0DE7F48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47.988.318.423</w:t>
            </w:r>
          </w:p>
        </w:tc>
        <w:tc>
          <w:tcPr>
            <w:tcW w:w="1559" w:type="dxa"/>
            <w:gridSpan w:val="2"/>
            <w:shd w:val="clear" w:color="000000" w:fill="FFFFFF"/>
            <w:noWrap/>
            <w:vAlign w:val="center"/>
          </w:tcPr>
          <w:p w14:paraId="169C1A9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3.839.065.474</w:t>
            </w:r>
          </w:p>
        </w:tc>
        <w:tc>
          <w:tcPr>
            <w:tcW w:w="1701" w:type="dxa"/>
            <w:gridSpan w:val="2"/>
            <w:shd w:val="clear" w:color="000000" w:fill="FFFFFF"/>
            <w:noWrap/>
            <w:vAlign w:val="center"/>
          </w:tcPr>
          <w:p w14:paraId="7DB3B90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51.827.383.897</w:t>
            </w:r>
          </w:p>
        </w:tc>
      </w:tr>
      <w:tr w14:paraId="6F43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79116B91">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1,2</w:t>
            </w:r>
          </w:p>
        </w:tc>
        <w:tc>
          <w:tcPr>
            <w:tcW w:w="1987" w:type="dxa"/>
            <w:shd w:val="clear" w:color="000000" w:fill="FFFFFF"/>
            <w:noWrap/>
            <w:vAlign w:val="center"/>
          </w:tcPr>
          <w:p w14:paraId="2C588A98">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w:t>
            </w:r>
          </w:p>
        </w:tc>
        <w:tc>
          <w:tcPr>
            <w:tcW w:w="851" w:type="dxa"/>
            <w:shd w:val="clear" w:color="000000" w:fill="FFFFFF"/>
            <w:noWrap/>
            <w:vAlign w:val="center"/>
          </w:tcPr>
          <w:p w14:paraId="5BC9B8DE">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64C5F9B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1A09858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79.504.567.214</w:t>
            </w:r>
          </w:p>
        </w:tc>
        <w:tc>
          <w:tcPr>
            <w:tcW w:w="1559" w:type="dxa"/>
            <w:gridSpan w:val="2"/>
            <w:shd w:val="clear" w:color="000000" w:fill="FFFFFF"/>
            <w:noWrap/>
            <w:vAlign w:val="center"/>
          </w:tcPr>
          <w:p w14:paraId="7A54275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6.360.365.377</w:t>
            </w:r>
          </w:p>
        </w:tc>
        <w:tc>
          <w:tcPr>
            <w:tcW w:w="1701" w:type="dxa"/>
            <w:gridSpan w:val="2"/>
            <w:shd w:val="clear" w:color="000000" w:fill="FFFFFF"/>
            <w:noWrap/>
            <w:vAlign w:val="center"/>
          </w:tcPr>
          <w:p w14:paraId="09752CC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85.864.932.591</w:t>
            </w:r>
          </w:p>
        </w:tc>
      </w:tr>
      <w:tr w14:paraId="2C97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78CB0F92">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1,3</w:t>
            </w:r>
          </w:p>
        </w:tc>
        <w:tc>
          <w:tcPr>
            <w:tcW w:w="1987" w:type="dxa"/>
            <w:shd w:val="clear" w:color="000000" w:fill="FFFFFF"/>
            <w:noWrap/>
            <w:vAlign w:val="center"/>
          </w:tcPr>
          <w:p w14:paraId="21215B23">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Cấp thoát nước, thông tin liên lạc, bãi đỗ xe</w:t>
            </w:r>
          </w:p>
        </w:tc>
        <w:tc>
          <w:tcPr>
            <w:tcW w:w="851" w:type="dxa"/>
            <w:shd w:val="clear" w:color="000000" w:fill="FFFFFF"/>
            <w:noWrap/>
            <w:vAlign w:val="center"/>
          </w:tcPr>
          <w:p w14:paraId="17B21460">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25C4655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7A718D5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34.742.634.360</w:t>
            </w:r>
          </w:p>
        </w:tc>
        <w:tc>
          <w:tcPr>
            <w:tcW w:w="1559" w:type="dxa"/>
            <w:gridSpan w:val="2"/>
            <w:shd w:val="clear" w:color="000000" w:fill="FFFFFF"/>
            <w:noWrap/>
            <w:vAlign w:val="center"/>
          </w:tcPr>
          <w:p w14:paraId="7148BD7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2.779.410.749</w:t>
            </w:r>
          </w:p>
        </w:tc>
        <w:tc>
          <w:tcPr>
            <w:tcW w:w="1701" w:type="dxa"/>
            <w:gridSpan w:val="2"/>
            <w:shd w:val="clear" w:color="000000" w:fill="FFFFFF"/>
            <w:noWrap/>
            <w:vAlign w:val="center"/>
          </w:tcPr>
          <w:p w14:paraId="0E995D2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37.522.045.109</w:t>
            </w:r>
          </w:p>
        </w:tc>
      </w:tr>
      <w:tr w14:paraId="524E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C64FD71">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1,4</w:t>
            </w:r>
          </w:p>
        </w:tc>
        <w:tc>
          <w:tcPr>
            <w:tcW w:w="1987" w:type="dxa"/>
            <w:shd w:val="clear" w:color="000000" w:fill="FFFFFF"/>
            <w:noWrap/>
            <w:vAlign w:val="center"/>
          </w:tcPr>
          <w:p w14:paraId="295BBBA2">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3F39F8B0">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2E0652A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439E8F6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31.418.372.685</w:t>
            </w:r>
          </w:p>
        </w:tc>
        <w:tc>
          <w:tcPr>
            <w:tcW w:w="1559" w:type="dxa"/>
            <w:gridSpan w:val="2"/>
            <w:shd w:val="clear" w:color="000000" w:fill="FFFFFF"/>
            <w:noWrap/>
            <w:vAlign w:val="center"/>
          </w:tcPr>
          <w:p w14:paraId="34F0A3C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2.513.469.815</w:t>
            </w:r>
          </w:p>
        </w:tc>
        <w:tc>
          <w:tcPr>
            <w:tcW w:w="1701" w:type="dxa"/>
            <w:gridSpan w:val="2"/>
            <w:shd w:val="clear" w:color="000000" w:fill="FFFFFF"/>
            <w:noWrap/>
            <w:vAlign w:val="center"/>
          </w:tcPr>
          <w:p w14:paraId="0EC90EE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33.931.842.499</w:t>
            </w:r>
          </w:p>
        </w:tc>
      </w:tr>
      <w:tr w14:paraId="30C1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E50F11D">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1,5</w:t>
            </w:r>
          </w:p>
        </w:tc>
        <w:tc>
          <w:tcPr>
            <w:tcW w:w="1987" w:type="dxa"/>
            <w:shd w:val="clear" w:color="000000" w:fill="FFFFFF"/>
            <w:noWrap/>
            <w:vAlign w:val="center"/>
          </w:tcPr>
          <w:p w14:paraId="223EB689">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5AED66CE">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608DE02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3DDD008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136.461.108.700</w:t>
            </w:r>
          </w:p>
        </w:tc>
        <w:tc>
          <w:tcPr>
            <w:tcW w:w="1559" w:type="dxa"/>
            <w:gridSpan w:val="2"/>
            <w:shd w:val="clear" w:color="000000" w:fill="FFFFFF"/>
            <w:noWrap/>
            <w:vAlign w:val="center"/>
          </w:tcPr>
          <w:p w14:paraId="626AE68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10.916.888.696</w:t>
            </w:r>
          </w:p>
        </w:tc>
        <w:tc>
          <w:tcPr>
            <w:tcW w:w="1701" w:type="dxa"/>
            <w:gridSpan w:val="2"/>
            <w:noWrap/>
            <w:vAlign w:val="center"/>
          </w:tcPr>
          <w:p w14:paraId="3A1AC9E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147.377.997.396</w:t>
            </w:r>
          </w:p>
        </w:tc>
      </w:tr>
      <w:tr w14:paraId="1BC5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7CEACB5A">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2</w:t>
            </w:r>
          </w:p>
        </w:tc>
        <w:tc>
          <w:tcPr>
            <w:tcW w:w="1987" w:type="dxa"/>
            <w:shd w:val="clear" w:color="000000" w:fill="FFFFFF"/>
            <w:noWrap/>
            <w:vAlign w:val="center"/>
          </w:tcPr>
          <w:p w14:paraId="568833A8">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thiết bị</w:t>
            </w:r>
          </w:p>
        </w:tc>
        <w:tc>
          <w:tcPr>
            <w:tcW w:w="851" w:type="dxa"/>
            <w:shd w:val="clear" w:color="000000" w:fill="FFFFFF"/>
            <w:noWrap/>
            <w:vAlign w:val="center"/>
          </w:tcPr>
          <w:p w14:paraId="42328687">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275FC25C">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1FB00AAE">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14.017.892.139</w:t>
            </w:r>
          </w:p>
        </w:tc>
        <w:tc>
          <w:tcPr>
            <w:tcW w:w="1559" w:type="dxa"/>
            <w:gridSpan w:val="2"/>
            <w:shd w:val="clear" w:color="000000" w:fill="FFFFFF"/>
            <w:noWrap/>
            <w:vAlign w:val="center"/>
          </w:tcPr>
          <w:p w14:paraId="3F968516">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1.250.845.691</w:t>
            </w:r>
          </w:p>
        </w:tc>
        <w:tc>
          <w:tcPr>
            <w:tcW w:w="1701" w:type="dxa"/>
            <w:gridSpan w:val="2"/>
            <w:shd w:val="clear" w:color="000000" w:fill="FFFFFF"/>
            <w:noWrap/>
            <w:vAlign w:val="center"/>
          </w:tcPr>
          <w:p w14:paraId="0C7C6899">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15.268.737.830</w:t>
            </w:r>
          </w:p>
        </w:tc>
      </w:tr>
      <w:tr w14:paraId="2E58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0F183E4">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2,1</w:t>
            </w:r>
          </w:p>
        </w:tc>
        <w:tc>
          <w:tcPr>
            <w:tcW w:w="1987" w:type="dxa"/>
            <w:shd w:val="clear" w:color="000000" w:fill="FFFFFF"/>
            <w:noWrap/>
            <w:vAlign w:val="center"/>
          </w:tcPr>
          <w:p w14:paraId="4C5D6F3C">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Hệ thống điện</w:t>
            </w:r>
          </w:p>
        </w:tc>
        <w:tc>
          <w:tcPr>
            <w:tcW w:w="851" w:type="dxa"/>
            <w:shd w:val="clear" w:color="000000" w:fill="FFFFFF"/>
            <w:noWrap/>
            <w:vAlign w:val="center"/>
          </w:tcPr>
          <w:p w14:paraId="37812D7C">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71BAC76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2581E1E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7.547.176.139</w:t>
            </w:r>
          </w:p>
        </w:tc>
        <w:tc>
          <w:tcPr>
            <w:tcW w:w="1559" w:type="dxa"/>
            <w:gridSpan w:val="2"/>
            <w:shd w:val="clear" w:color="000000" w:fill="FFFFFF"/>
            <w:noWrap/>
            <w:vAlign w:val="center"/>
          </w:tcPr>
          <w:p w14:paraId="02C499C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603.774.091</w:t>
            </w:r>
          </w:p>
        </w:tc>
        <w:tc>
          <w:tcPr>
            <w:tcW w:w="1701" w:type="dxa"/>
            <w:gridSpan w:val="2"/>
            <w:shd w:val="clear" w:color="000000" w:fill="FFFFFF"/>
            <w:noWrap/>
            <w:vAlign w:val="center"/>
          </w:tcPr>
          <w:p w14:paraId="4B4B99D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8.150.950.230</w:t>
            </w:r>
          </w:p>
        </w:tc>
      </w:tr>
      <w:tr w14:paraId="2C8E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EF63BB9">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2,2</w:t>
            </w:r>
          </w:p>
        </w:tc>
        <w:tc>
          <w:tcPr>
            <w:tcW w:w="1987" w:type="dxa"/>
            <w:shd w:val="clear" w:color="000000" w:fill="FFFFFF"/>
            <w:noWrap/>
            <w:vAlign w:val="center"/>
          </w:tcPr>
          <w:p w14:paraId="675DF4C8">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Trạm xử lý nước thải</w:t>
            </w:r>
          </w:p>
        </w:tc>
        <w:tc>
          <w:tcPr>
            <w:tcW w:w="851" w:type="dxa"/>
            <w:shd w:val="clear" w:color="000000" w:fill="FFFFFF"/>
            <w:noWrap/>
            <w:vAlign w:val="center"/>
          </w:tcPr>
          <w:p w14:paraId="1A848EED">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6A6BCDA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44BD31F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6.470.716.000</w:t>
            </w:r>
          </w:p>
        </w:tc>
        <w:tc>
          <w:tcPr>
            <w:tcW w:w="1559" w:type="dxa"/>
            <w:gridSpan w:val="2"/>
            <w:shd w:val="clear" w:color="000000" w:fill="FFFFFF"/>
            <w:noWrap/>
            <w:vAlign w:val="center"/>
          </w:tcPr>
          <w:p w14:paraId="2931E62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647.071.600</w:t>
            </w:r>
          </w:p>
        </w:tc>
        <w:tc>
          <w:tcPr>
            <w:tcW w:w="1701" w:type="dxa"/>
            <w:gridSpan w:val="2"/>
            <w:shd w:val="clear" w:color="000000" w:fill="FFFFFF"/>
            <w:noWrap/>
            <w:vAlign w:val="center"/>
          </w:tcPr>
          <w:p w14:paraId="7A5867A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7.117.787.600</w:t>
            </w:r>
          </w:p>
        </w:tc>
      </w:tr>
      <w:tr w14:paraId="264D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3717D00">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3</w:t>
            </w:r>
          </w:p>
        </w:tc>
        <w:tc>
          <w:tcPr>
            <w:tcW w:w="1987" w:type="dxa"/>
            <w:shd w:val="clear" w:color="000000" w:fill="FFFFFF"/>
            <w:noWrap/>
            <w:vAlign w:val="center"/>
          </w:tcPr>
          <w:p w14:paraId="13D54BC2">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quản lý dự án (G</w:t>
            </w:r>
            <w:r>
              <w:rPr>
                <w:b/>
                <w:bCs/>
                <w:color w:val="000000" w:themeColor="text1"/>
                <w:sz w:val="19"/>
                <w:szCs w:val="19"/>
                <w:vertAlign w:val="subscript"/>
                <w14:textFill>
                  <w14:solidFill>
                    <w14:schemeClr w14:val="tx1"/>
                  </w14:solidFill>
                </w14:textFill>
              </w:rPr>
              <w:t>QLDA</w:t>
            </w:r>
            <w:r>
              <w:rPr>
                <w:b/>
                <w:bCs/>
                <w:color w:val="000000" w:themeColor="text1"/>
                <w:sz w:val="19"/>
                <w:szCs w:val="19"/>
                <w14:textFill>
                  <w14:solidFill>
                    <w14:schemeClr w14:val="tx1"/>
                  </w14:solidFill>
                </w14:textFill>
              </w:rPr>
              <w:t>)</w:t>
            </w:r>
          </w:p>
        </w:tc>
        <w:tc>
          <w:tcPr>
            <w:tcW w:w="851" w:type="dxa"/>
            <w:shd w:val="clear" w:color="000000" w:fill="FFFFFF"/>
            <w:noWrap/>
            <w:vAlign w:val="center"/>
          </w:tcPr>
          <w:p w14:paraId="78C81462">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2EC2FBAC">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093DC9EF">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5.453.034.728</w:t>
            </w:r>
          </w:p>
        </w:tc>
        <w:tc>
          <w:tcPr>
            <w:tcW w:w="1559" w:type="dxa"/>
            <w:gridSpan w:val="2"/>
            <w:shd w:val="clear" w:color="000000" w:fill="FFFFFF"/>
            <w:noWrap/>
            <w:vAlign w:val="center"/>
          </w:tcPr>
          <w:p w14:paraId="22787E23">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436.242.778</w:t>
            </w:r>
          </w:p>
        </w:tc>
        <w:tc>
          <w:tcPr>
            <w:tcW w:w="1701" w:type="dxa"/>
            <w:gridSpan w:val="2"/>
            <w:shd w:val="clear" w:color="000000" w:fill="FFFFFF"/>
            <w:noWrap/>
            <w:vAlign w:val="center"/>
          </w:tcPr>
          <w:p w14:paraId="038BD3EB">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5.889.277.507</w:t>
            </w:r>
          </w:p>
        </w:tc>
      </w:tr>
      <w:tr w14:paraId="30DD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8D863E5">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3,1</w:t>
            </w:r>
          </w:p>
        </w:tc>
        <w:tc>
          <w:tcPr>
            <w:tcW w:w="1987" w:type="dxa"/>
            <w:shd w:val="clear" w:color="000000" w:fill="FFFFFF"/>
            <w:noWrap/>
            <w:vAlign w:val="center"/>
          </w:tcPr>
          <w:p w14:paraId="707D0794">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0798AC3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1,498%</w:t>
            </w:r>
          </w:p>
        </w:tc>
        <w:tc>
          <w:tcPr>
            <w:tcW w:w="1278" w:type="dxa"/>
            <w:shd w:val="clear" w:color="000000" w:fill="FFFFFF"/>
            <w:noWrap/>
            <w:vAlign w:val="center"/>
          </w:tcPr>
          <w:p w14:paraId="071429D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2B956E0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718.865.010</w:t>
            </w:r>
          </w:p>
        </w:tc>
        <w:tc>
          <w:tcPr>
            <w:tcW w:w="1559" w:type="dxa"/>
            <w:gridSpan w:val="2"/>
            <w:shd w:val="clear" w:color="000000" w:fill="FFFFFF"/>
            <w:noWrap/>
            <w:vAlign w:val="center"/>
          </w:tcPr>
          <w:p w14:paraId="1EABBFD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57.509.201</w:t>
            </w:r>
          </w:p>
        </w:tc>
        <w:tc>
          <w:tcPr>
            <w:tcW w:w="1701" w:type="dxa"/>
            <w:gridSpan w:val="2"/>
            <w:shd w:val="clear" w:color="000000" w:fill="FFFFFF"/>
            <w:noWrap/>
            <w:vAlign w:val="center"/>
          </w:tcPr>
          <w:p w14:paraId="3DEC64A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776.374.211</w:t>
            </w:r>
          </w:p>
        </w:tc>
      </w:tr>
      <w:tr w14:paraId="7A4D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57D411D">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3,2</w:t>
            </w:r>
          </w:p>
        </w:tc>
        <w:tc>
          <w:tcPr>
            <w:tcW w:w="1987" w:type="dxa"/>
            <w:shd w:val="clear" w:color="000000" w:fill="FFFFFF"/>
            <w:noWrap/>
            <w:vAlign w:val="center"/>
          </w:tcPr>
          <w:p w14:paraId="7137CCF9">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 Cấp thoát nước, thông tin liên lạc, bãi đỗ xe</w:t>
            </w:r>
          </w:p>
        </w:tc>
        <w:tc>
          <w:tcPr>
            <w:tcW w:w="851" w:type="dxa"/>
            <w:shd w:val="clear" w:color="000000" w:fill="FFFFFF"/>
            <w:noWrap/>
            <w:vAlign w:val="center"/>
          </w:tcPr>
          <w:p w14:paraId="04BF6BB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1,423%</w:t>
            </w:r>
          </w:p>
        </w:tc>
        <w:tc>
          <w:tcPr>
            <w:tcW w:w="1278" w:type="dxa"/>
            <w:shd w:val="clear" w:color="000000" w:fill="FFFFFF"/>
            <w:noWrap/>
            <w:vAlign w:val="center"/>
          </w:tcPr>
          <w:p w14:paraId="3E9302E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 +TB</w:t>
            </w:r>
          </w:p>
        </w:tc>
        <w:tc>
          <w:tcPr>
            <w:tcW w:w="1680" w:type="dxa"/>
            <w:gridSpan w:val="2"/>
            <w:shd w:val="clear" w:color="000000" w:fill="FFFFFF"/>
            <w:noWrap/>
            <w:vAlign w:val="center"/>
          </w:tcPr>
          <w:p w14:paraId="28E301B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1.717.815.967</w:t>
            </w:r>
          </w:p>
        </w:tc>
        <w:tc>
          <w:tcPr>
            <w:tcW w:w="1559" w:type="dxa"/>
            <w:gridSpan w:val="2"/>
            <w:shd w:val="clear" w:color="000000" w:fill="FFFFFF"/>
            <w:noWrap/>
            <w:vAlign w:val="center"/>
          </w:tcPr>
          <w:p w14:paraId="27C6240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137.425.277</w:t>
            </w:r>
          </w:p>
        </w:tc>
        <w:tc>
          <w:tcPr>
            <w:tcW w:w="1701" w:type="dxa"/>
            <w:gridSpan w:val="2"/>
            <w:shd w:val="clear" w:color="000000" w:fill="FFFFFF"/>
            <w:noWrap/>
            <w:vAlign w:val="center"/>
          </w:tcPr>
          <w:p w14:paraId="7761B44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1.855.241.244</w:t>
            </w:r>
          </w:p>
        </w:tc>
      </w:tr>
      <w:tr w14:paraId="3972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B59B8A2">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3,3</w:t>
            </w:r>
          </w:p>
        </w:tc>
        <w:tc>
          <w:tcPr>
            <w:tcW w:w="1987" w:type="dxa"/>
            <w:shd w:val="clear" w:color="000000" w:fill="FFFFFF"/>
            <w:noWrap/>
            <w:vAlign w:val="center"/>
          </w:tcPr>
          <w:p w14:paraId="5C0CD686">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738EAAF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1,763%</w:t>
            </w:r>
          </w:p>
        </w:tc>
        <w:tc>
          <w:tcPr>
            <w:tcW w:w="1278" w:type="dxa"/>
            <w:shd w:val="clear" w:color="000000" w:fill="FFFFFF"/>
            <w:noWrap/>
            <w:vAlign w:val="center"/>
          </w:tcPr>
          <w:p w14:paraId="4340DEB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 +TB</w:t>
            </w:r>
          </w:p>
        </w:tc>
        <w:tc>
          <w:tcPr>
            <w:tcW w:w="1680" w:type="dxa"/>
            <w:gridSpan w:val="2"/>
            <w:shd w:val="clear" w:color="000000" w:fill="FFFFFF"/>
            <w:noWrap/>
            <w:vAlign w:val="center"/>
          </w:tcPr>
          <w:p w14:paraId="2AAC82A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686.962.626</w:t>
            </w:r>
          </w:p>
        </w:tc>
        <w:tc>
          <w:tcPr>
            <w:tcW w:w="1559" w:type="dxa"/>
            <w:gridSpan w:val="2"/>
            <w:shd w:val="clear" w:color="000000" w:fill="FFFFFF"/>
            <w:noWrap/>
            <w:vAlign w:val="center"/>
          </w:tcPr>
          <w:p w14:paraId="371DCDD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54.957.010</w:t>
            </w:r>
          </w:p>
        </w:tc>
        <w:tc>
          <w:tcPr>
            <w:tcW w:w="1701" w:type="dxa"/>
            <w:gridSpan w:val="2"/>
            <w:shd w:val="clear" w:color="000000" w:fill="FFFFFF"/>
            <w:noWrap/>
            <w:vAlign w:val="center"/>
          </w:tcPr>
          <w:p w14:paraId="0D6D696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741.919.636</w:t>
            </w:r>
          </w:p>
        </w:tc>
      </w:tr>
      <w:tr w14:paraId="31E7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BF4055B">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3,4</w:t>
            </w:r>
          </w:p>
        </w:tc>
        <w:tc>
          <w:tcPr>
            <w:tcW w:w="1987" w:type="dxa"/>
            <w:shd w:val="clear" w:color="000000" w:fill="FFFFFF"/>
            <w:noWrap/>
            <w:vAlign w:val="center"/>
          </w:tcPr>
          <w:p w14:paraId="0B7E72D7">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0D08627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1,707%</w:t>
            </w:r>
          </w:p>
        </w:tc>
        <w:tc>
          <w:tcPr>
            <w:tcW w:w="1278" w:type="dxa"/>
            <w:shd w:val="clear" w:color="000000" w:fill="FFFFFF"/>
            <w:noWrap/>
            <w:vAlign w:val="center"/>
          </w:tcPr>
          <w:p w14:paraId="15B6708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1308E50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2.329.391.126</w:t>
            </w:r>
          </w:p>
        </w:tc>
        <w:tc>
          <w:tcPr>
            <w:tcW w:w="1559" w:type="dxa"/>
            <w:gridSpan w:val="2"/>
            <w:shd w:val="clear" w:color="000000" w:fill="FFFFFF"/>
            <w:noWrap/>
            <w:vAlign w:val="center"/>
          </w:tcPr>
          <w:p w14:paraId="5748326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186.351.290</w:t>
            </w:r>
          </w:p>
        </w:tc>
        <w:tc>
          <w:tcPr>
            <w:tcW w:w="1701" w:type="dxa"/>
            <w:gridSpan w:val="2"/>
            <w:shd w:val="clear" w:color="000000" w:fill="FFFFFF"/>
            <w:noWrap/>
            <w:vAlign w:val="center"/>
          </w:tcPr>
          <w:p w14:paraId="07C1D3D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2.515.742.416</w:t>
            </w:r>
          </w:p>
        </w:tc>
      </w:tr>
      <w:tr w14:paraId="70C2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B868E5E">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w:t>
            </w:r>
          </w:p>
        </w:tc>
        <w:tc>
          <w:tcPr>
            <w:tcW w:w="1987" w:type="dxa"/>
            <w:shd w:val="clear" w:color="000000" w:fill="FFFFFF"/>
            <w:noWrap/>
            <w:vAlign w:val="center"/>
          </w:tcPr>
          <w:p w14:paraId="14105C68">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tư vấn đầu tư xây dựng (G</w:t>
            </w:r>
            <w:r>
              <w:rPr>
                <w:b/>
                <w:bCs/>
                <w:color w:val="000000" w:themeColor="text1"/>
                <w:sz w:val="19"/>
                <w:szCs w:val="19"/>
                <w:vertAlign w:val="subscript"/>
                <w14:textFill>
                  <w14:solidFill>
                    <w14:schemeClr w14:val="tx1"/>
                  </w14:solidFill>
                </w14:textFill>
              </w:rPr>
              <w:t>TV</w:t>
            </w:r>
            <w:r>
              <w:rPr>
                <w:b/>
                <w:bCs/>
                <w:color w:val="000000" w:themeColor="text1"/>
                <w:sz w:val="19"/>
                <w:szCs w:val="19"/>
                <w14:textFill>
                  <w14:solidFill>
                    <w14:schemeClr w14:val="tx1"/>
                  </w14:solidFill>
                </w14:textFill>
              </w:rPr>
              <w:t>)</w:t>
            </w:r>
          </w:p>
        </w:tc>
        <w:tc>
          <w:tcPr>
            <w:tcW w:w="851" w:type="dxa"/>
            <w:shd w:val="clear" w:color="000000" w:fill="FFFFFF"/>
            <w:noWrap/>
            <w:vAlign w:val="center"/>
          </w:tcPr>
          <w:p w14:paraId="52B5B45B">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1FD4F83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(4.1)+…+(4.12)</w:t>
            </w:r>
          </w:p>
        </w:tc>
        <w:tc>
          <w:tcPr>
            <w:tcW w:w="1680" w:type="dxa"/>
            <w:gridSpan w:val="2"/>
            <w:shd w:val="clear" w:color="000000" w:fill="FFFFFF"/>
            <w:noWrap/>
            <w:vAlign w:val="center"/>
          </w:tcPr>
          <w:p w14:paraId="4842A102">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17.331.801.827</w:t>
            </w:r>
          </w:p>
        </w:tc>
        <w:tc>
          <w:tcPr>
            <w:tcW w:w="1559" w:type="dxa"/>
            <w:gridSpan w:val="2"/>
            <w:shd w:val="clear" w:color="000000" w:fill="FFFFFF"/>
            <w:noWrap/>
            <w:vAlign w:val="center"/>
          </w:tcPr>
          <w:p w14:paraId="3F279375">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1.325.854.422</w:t>
            </w:r>
          </w:p>
        </w:tc>
        <w:tc>
          <w:tcPr>
            <w:tcW w:w="1701" w:type="dxa"/>
            <w:gridSpan w:val="2"/>
            <w:shd w:val="clear" w:color="000000" w:fill="FFFFFF"/>
            <w:noWrap/>
            <w:vAlign w:val="center"/>
          </w:tcPr>
          <w:p w14:paraId="6C50BF26">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18.657.656.249</w:t>
            </w:r>
          </w:p>
        </w:tc>
      </w:tr>
      <w:tr w14:paraId="51A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12859FC">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4,1</w:t>
            </w:r>
          </w:p>
        </w:tc>
        <w:tc>
          <w:tcPr>
            <w:tcW w:w="1987" w:type="dxa"/>
            <w:shd w:val="clear" w:color="000000" w:fill="FFFFFF"/>
            <w:noWrap/>
            <w:vAlign w:val="center"/>
          </w:tcPr>
          <w:p w14:paraId="64110E8F">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khảo sát phục vụ giai đoạn lập dự án</w:t>
            </w:r>
          </w:p>
        </w:tc>
        <w:tc>
          <w:tcPr>
            <w:tcW w:w="851" w:type="dxa"/>
            <w:shd w:val="clear" w:color="000000" w:fill="FFFFFF"/>
            <w:noWrap/>
            <w:vAlign w:val="center"/>
          </w:tcPr>
          <w:p w14:paraId="7D686102">
            <w:pPr>
              <w:jc w:val="center"/>
              <w:rPr>
                <w:b/>
                <w:bCs/>
                <w:color w:val="000000" w:themeColor="text1"/>
                <w:sz w:val="19"/>
                <w:szCs w:val="19"/>
                <w14:textFill>
                  <w14:solidFill>
                    <w14:schemeClr w14:val="tx1"/>
                  </w14:solidFill>
                </w14:textFill>
              </w:rPr>
            </w:pPr>
          </w:p>
        </w:tc>
        <w:tc>
          <w:tcPr>
            <w:tcW w:w="1278" w:type="dxa"/>
            <w:shd w:val="clear" w:color="000000" w:fill="FFFFFF"/>
            <w:vAlign w:val="center"/>
          </w:tcPr>
          <w:p w14:paraId="285E7A7F">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4B8E1BD9">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663.100.659</w:t>
            </w:r>
          </w:p>
        </w:tc>
        <w:tc>
          <w:tcPr>
            <w:tcW w:w="1559" w:type="dxa"/>
            <w:gridSpan w:val="2"/>
            <w:shd w:val="clear" w:color="000000" w:fill="FFFFFF"/>
            <w:noWrap/>
            <w:vAlign w:val="center"/>
          </w:tcPr>
          <w:p w14:paraId="25CF3923">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66.310.066</w:t>
            </w:r>
          </w:p>
        </w:tc>
        <w:tc>
          <w:tcPr>
            <w:tcW w:w="1701" w:type="dxa"/>
            <w:gridSpan w:val="2"/>
            <w:shd w:val="clear" w:color="000000" w:fill="FFFFFF"/>
            <w:noWrap/>
            <w:vAlign w:val="center"/>
          </w:tcPr>
          <w:p w14:paraId="19CFBD5F">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729.410.725</w:t>
            </w:r>
          </w:p>
        </w:tc>
      </w:tr>
      <w:tr w14:paraId="10B4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C476EFC">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w:t>
            </w:r>
          </w:p>
        </w:tc>
        <w:tc>
          <w:tcPr>
            <w:tcW w:w="1987" w:type="dxa"/>
            <w:shd w:val="clear" w:color="000000" w:fill="FFFFFF"/>
            <w:noWrap/>
            <w:vAlign w:val="center"/>
          </w:tcPr>
          <w:p w14:paraId="7B798393">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Khảo sát địa hình, địa chất</w:t>
            </w:r>
          </w:p>
        </w:tc>
        <w:tc>
          <w:tcPr>
            <w:tcW w:w="851" w:type="dxa"/>
            <w:shd w:val="clear" w:color="000000" w:fill="FFFFFF"/>
            <w:noWrap/>
            <w:vAlign w:val="center"/>
          </w:tcPr>
          <w:p w14:paraId="7FB989EC">
            <w:pPr>
              <w:jc w:val="center"/>
              <w:rPr>
                <w:color w:val="000000" w:themeColor="text1"/>
                <w:sz w:val="19"/>
                <w:szCs w:val="19"/>
                <w14:textFill>
                  <w14:solidFill>
                    <w14:schemeClr w14:val="tx1"/>
                  </w14:solidFill>
                </w14:textFill>
              </w:rPr>
            </w:pPr>
          </w:p>
        </w:tc>
        <w:tc>
          <w:tcPr>
            <w:tcW w:w="1278" w:type="dxa"/>
            <w:shd w:val="clear" w:color="000000" w:fill="FFFFFF"/>
            <w:vAlign w:val="center"/>
          </w:tcPr>
          <w:p w14:paraId="0BED15C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216839B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559.744.818</w:t>
            </w:r>
          </w:p>
        </w:tc>
        <w:tc>
          <w:tcPr>
            <w:tcW w:w="1559" w:type="dxa"/>
            <w:gridSpan w:val="2"/>
            <w:shd w:val="clear" w:color="000000" w:fill="FFFFFF"/>
            <w:noWrap/>
            <w:vAlign w:val="center"/>
          </w:tcPr>
          <w:p w14:paraId="367A3E6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55.974.482</w:t>
            </w:r>
          </w:p>
        </w:tc>
        <w:tc>
          <w:tcPr>
            <w:tcW w:w="1701" w:type="dxa"/>
            <w:gridSpan w:val="2"/>
            <w:shd w:val="clear" w:color="000000" w:fill="FFFFFF"/>
            <w:noWrap/>
            <w:vAlign w:val="center"/>
          </w:tcPr>
          <w:p w14:paraId="0AB9B07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615.719.300</w:t>
            </w:r>
          </w:p>
        </w:tc>
      </w:tr>
      <w:tr w14:paraId="5078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7D006506">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w:t>
            </w:r>
          </w:p>
        </w:tc>
        <w:tc>
          <w:tcPr>
            <w:tcW w:w="1987" w:type="dxa"/>
            <w:shd w:val="clear" w:color="000000" w:fill="FFFFFF"/>
            <w:noWrap/>
            <w:vAlign w:val="center"/>
          </w:tcPr>
          <w:p w14:paraId="13309968">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khảo sát đường điện</w:t>
            </w:r>
          </w:p>
        </w:tc>
        <w:tc>
          <w:tcPr>
            <w:tcW w:w="851" w:type="dxa"/>
            <w:shd w:val="clear" w:color="000000" w:fill="FFFFFF"/>
            <w:noWrap/>
            <w:vAlign w:val="center"/>
          </w:tcPr>
          <w:p w14:paraId="4A79F8EE">
            <w:pPr>
              <w:jc w:val="center"/>
              <w:rPr>
                <w:color w:val="000000" w:themeColor="text1"/>
                <w:sz w:val="19"/>
                <w:szCs w:val="19"/>
                <w14:textFill>
                  <w14:solidFill>
                    <w14:schemeClr w14:val="tx1"/>
                  </w14:solidFill>
                </w14:textFill>
              </w:rPr>
            </w:pPr>
          </w:p>
        </w:tc>
        <w:tc>
          <w:tcPr>
            <w:tcW w:w="1278" w:type="dxa"/>
            <w:shd w:val="clear" w:color="000000" w:fill="FFFFFF"/>
            <w:vAlign w:val="center"/>
          </w:tcPr>
          <w:p w14:paraId="444FAD9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3FC409C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103.355.841</w:t>
            </w:r>
          </w:p>
        </w:tc>
        <w:tc>
          <w:tcPr>
            <w:tcW w:w="1559" w:type="dxa"/>
            <w:gridSpan w:val="2"/>
            <w:shd w:val="clear" w:color="000000" w:fill="FFFFFF"/>
            <w:noWrap/>
            <w:vAlign w:val="center"/>
          </w:tcPr>
          <w:p w14:paraId="5EB7AB1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10.335.584</w:t>
            </w:r>
          </w:p>
        </w:tc>
        <w:tc>
          <w:tcPr>
            <w:tcW w:w="1701" w:type="dxa"/>
            <w:gridSpan w:val="2"/>
            <w:shd w:val="clear" w:color="000000" w:fill="FFFFFF"/>
            <w:noWrap/>
            <w:vAlign w:val="center"/>
          </w:tcPr>
          <w:p w14:paraId="472ACFF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113.691.425</w:t>
            </w:r>
          </w:p>
        </w:tc>
      </w:tr>
      <w:tr w14:paraId="1D9E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F7493AE">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4,2</w:t>
            </w:r>
          </w:p>
        </w:tc>
        <w:tc>
          <w:tcPr>
            <w:tcW w:w="1987" w:type="dxa"/>
            <w:shd w:val="clear" w:color="000000" w:fill="FFFFFF"/>
            <w:noWrap/>
            <w:vAlign w:val="center"/>
          </w:tcPr>
          <w:p w14:paraId="26523F72">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tư vấn đầu tư xây dựng (G</w:t>
            </w:r>
            <w:r>
              <w:rPr>
                <w:b/>
                <w:bCs/>
                <w:color w:val="000000" w:themeColor="text1"/>
                <w:sz w:val="19"/>
                <w:szCs w:val="19"/>
                <w:vertAlign w:val="subscript"/>
                <w14:textFill>
                  <w14:solidFill>
                    <w14:schemeClr w14:val="tx1"/>
                  </w14:solidFill>
                </w14:textFill>
              </w:rPr>
              <w:t>TV</w:t>
            </w:r>
            <w:r>
              <w:rPr>
                <w:b/>
                <w:bCs/>
                <w:color w:val="000000" w:themeColor="text1"/>
                <w:sz w:val="19"/>
                <w:szCs w:val="19"/>
                <w14:textFill>
                  <w14:solidFill>
                    <w14:schemeClr w14:val="tx1"/>
                  </w14:solidFill>
                </w14:textFill>
              </w:rPr>
              <w:t>) bước lập báo cáo nghiên cứu khả thi</w:t>
            </w:r>
          </w:p>
        </w:tc>
        <w:tc>
          <w:tcPr>
            <w:tcW w:w="851" w:type="dxa"/>
            <w:shd w:val="clear" w:color="000000" w:fill="FFFFFF"/>
            <w:noWrap/>
            <w:vAlign w:val="center"/>
          </w:tcPr>
          <w:p w14:paraId="3C58CBF6">
            <w:pPr>
              <w:jc w:val="center"/>
              <w:rPr>
                <w:color w:val="000000" w:themeColor="text1"/>
                <w:sz w:val="19"/>
                <w:szCs w:val="19"/>
                <w14:textFill>
                  <w14:solidFill>
                    <w14:schemeClr w14:val="tx1"/>
                  </w14:solidFill>
                </w14:textFill>
              </w:rPr>
            </w:pPr>
          </w:p>
        </w:tc>
        <w:tc>
          <w:tcPr>
            <w:tcW w:w="1278" w:type="dxa"/>
            <w:shd w:val="clear" w:color="000000" w:fill="FFFFFF"/>
            <w:vAlign w:val="center"/>
          </w:tcPr>
          <w:p w14:paraId="35956426">
            <w:pPr>
              <w:jc w:val="center"/>
              <w:rPr>
                <w:b/>
                <w:bCs/>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3F2FE018">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959.400.578</w:t>
            </w:r>
          </w:p>
        </w:tc>
        <w:tc>
          <w:tcPr>
            <w:tcW w:w="1559" w:type="dxa"/>
            <w:gridSpan w:val="2"/>
            <w:shd w:val="clear" w:color="000000" w:fill="FFFFFF"/>
            <w:noWrap/>
            <w:vAlign w:val="center"/>
          </w:tcPr>
          <w:p w14:paraId="2AB4CDD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90.048.864</w:t>
            </w:r>
          </w:p>
        </w:tc>
        <w:tc>
          <w:tcPr>
            <w:tcW w:w="1701" w:type="dxa"/>
            <w:gridSpan w:val="2"/>
            <w:shd w:val="clear" w:color="000000" w:fill="FFFFFF"/>
            <w:noWrap/>
            <w:vAlign w:val="center"/>
          </w:tcPr>
          <w:p w14:paraId="754971C4">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1.049.449.442</w:t>
            </w:r>
          </w:p>
        </w:tc>
      </w:tr>
      <w:tr w14:paraId="330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04A53C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1E7C7DF1">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28F8441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0,238%</w:t>
            </w:r>
          </w:p>
        </w:tc>
        <w:tc>
          <w:tcPr>
            <w:tcW w:w="1278" w:type="dxa"/>
            <w:shd w:val="clear" w:color="000000" w:fill="FFFFFF"/>
            <w:noWrap/>
            <w:vAlign w:val="center"/>
          </w:tcPr>
          <w:p w14:paraId="57581EE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6AA5B4B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114.212.198</w:t>
            </w:r>
          </w:p>
        </w:tc>
        <w:tc>
          <w:tcPr>
            <w:tcW w:w="1559" w:type="dxa"/>
            <w:gridSpan w:val="2"/>
            <w:shd w:val="clear" w:color="000000" w:fill="FFFFFF"/>
            <w:noWrap/>
            <w:vAlign w:val="center"/>
          </w:tcPr>
          <w:p w14:paraId="7212D0E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9.136.976</w:t>
            </w:r>
          </w:p>
        </w:tc>
        <w:tc>
          <w:tcPr>
            <w:tcW w:w="1701" w:type="dxa"/>
            <w:gridSpan w:val="2"/>
            <w:shd w:val="clear" w:color="000000" w:fill="FFFFFF"/>
            <w:noWrap/>
            <w:vAlign w:val="center"/>
          </w:tcPr>
          <w:p w14:paraId="56E53AD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123.349.174</w:t>
            </w:r>
          </w:p>
        </w:tc>
      </w:tr>
      <w:tr w14:paraId="7278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1B8D78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2B300691">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w:t>
            </w:r>
          </w:p>
        </w:tc>
        <w:tc>
          <w:tcPr>
            <w:tcW w:w="851" w:type="dxa"/>
            <w:shd w:val="clear" w:color="000000" w:fill="FFFFFF"/>
            <w:noWrap/>
            <w:vAlign w:val="center"/>
          </w:tcPr>
          <w:p w14:paraId="6C78C3F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0,247%</w:t>
            </w:r>
          </w:p>
        </w:tc>
        <w:tc>
          <w:tcPr>
            <w:tcW w:w="1278" w:type="dxa"/>
            <w:shd w:val="clear" w:color="000000" w:fill="FFFFFF"/>
            <w:noWrap/>
            <w:vAlign w:val="center"/>
          </w:tcPr>
          <w:p w14:paraId="7001C82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ĐMTL*40%*G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0F690EB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78.550.512</w:t>
            </w:r>
          </w:p>
        </w:tc>
        <w:tc>
          <w:tcPr>
            <w:tcW w:w="1559" w:type="dxa"/>
            <w:gridSpan w:val="2"/>
            <w:shd w:val="clear" w:color="000000" w:fill="FFFFFF"/>
            <w:noWrap/>
            <w:vAlign w:val="center"/>
          </w:tcPr>
          <w:p w14:paraId="4C67188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6.284.041</w:t>
            </w:r>
          </w:p>
        </w:tc>
        <w:tc>
          <w:tcPr>
            <w:tcW w:w="1701" w:type="dxa"/>
            <w:gridSpan w:val="2"/>
            <w:shd w:val="clear" w:color="000000" w:fill="FFFFFF"/>
            <w:noWrap/>
            <w:vAlign w:val="center"/>
          </w:tcPr>
          <w:p w14:paraId="2A25429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84.834.553</w:t>
            </w:r>
          </w:p>
        </w:tc>
      </w:tr>
      <w:tr w14:paraId="72CA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8B6168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1C8BFA90">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Cấp thoát nước, thông tin liên lạc, bãi đỗ xe</w:t>
            </w:r>
          </w:p>
        </w:tc>
        <w:tc>
          <w:tcPr>
            <w:tcW w:w="851" w:type="dxa"/>
            <w:shd w:val="clear" w:color="000000" w:fill="FFFFFF"/>
            <w:noWrap/>
            <w:vAlign w:val="center"/>
          </w:tcPr>
          <w:p w14:paraId="411829E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0,247%</w:t>
            </w:r>
          </w:p>
        </w:tc>
        <w:tc>
          <w:tcPr>
            <w:tcW w:w="1278" w:type="dxa"/>
            <w:shd w:val="clear" w:color="000000" w:fill="FFFFFF"/>
            <w:noWrap/>
            <w:vAlign w:val="center"/>
          </w:tcPr>
          <w:p w14:paraId="570C304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 +TB</w:t>
            </w:r>
          </w:p>
        </w:tc>
        <w:tc>
          <w:tcPr>
            <w:tcW w:w="1680" w:type="dxa"/>
            <w:gridSpan w:val="2"/>
            <w:shd w:val="clear" w:color="000000" w:fill="FFFFFF"/>
            <w:noWrap/>
            <w:vAlign w:val="center"/>
          </w:tcPr>
          <w:p w14:paraId="09A3DCF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101.796.975</w:t>
            </w:r>
          </w:p>
        </w:tc>
        <w:tc>
          <w:tcPr>
            <w:tcW w:w="1559" w:type="dxa"/>
            <w:gridSpan w:val="2"/>
            <w:shd w:val="clear" w:color="000000" w:fill="FFFFFF"/>
            <w:noWrap/>
            <w:vAlign w:val="center"/>
          </w:tcPr>
          <w:p w14:paraId="6E60E82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8.143.758</w:t>
            </w:r>
          </w:p>
        </w:tc>
        <w:tc>
          <w:tcPr>
            <w:tcW w:w="1701" w:type="dxa"/>
            <w:gridSpan w:val="2"/>
            <w:shd w:val="clear" w:color="000000" w:fill="FFFFFF"/>
            <w:noWrap/>
            <w:vAlign w:val="center"/>
          </w:tcPr>
          <w:p w14:paraId="16B682F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109.940.733</w:t>
            </w:r>
          </w:p>
        </w:tc>
      </w:tr>
      <w:tr w14:paraId="2F14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886CDE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4696AF60">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1DD2CB2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0,491%</w:t>
            </w:r>
          </w:p>
        </w:tc>
        <w:tc>
          <w:tcPr>
            <w:tcW w:w="1278" w:type="dxa"/>
            <w:shd w:val="clear" w:color="000000" w:fill="FFFFFF"/>
            <w:noWrap/>
            <w:vAlign w:val="center"/>
          </w:tcPr>
          <w:p w14:paraId="3AC8190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 +TB</w:t>
            </w:r>
          </w:p>
        </w:tc>
        <w:tc>
          <w:tcPr>
            <w:tcW w:w="1680" w:type="dxa"/>
            <w:gridSpan w:val="2"/>
            <w:shd w:val="clear" w:color="000000" w:fill="FFFFFF"/>
            <w:noWrap/>
            <w:vAlign w:val="center"/>
          </w:tcPr>
          <w:p w14:paraId="2975833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191.320.845</w:t>
            </w:r>
          </w:p>
        </w:tc>
        <w:tc>
          <w:tcPr>
            <w:tcW w:w="1559" w:type="dxa"/>
            <w:gridSpan w:val="2"/>
            <w:shd w:val="clear" w:color="000000" w:fill="FFFFFF"/>
            <w:noWrap/>
            <w:vAlign w:val="center"/>
          </w:tcPr>
          <w:p w14:paraId="1C3825C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19.132.084</w:t>
            </w:r>
          </w:p>
        </w:tc>
        <w:tc>
          <w:tcPr>
            <w:tcW w:w="1701" w:type="dxa"/>
            <w:gridSpan w:val="2"/>
            <w:shd w:val="clear" w:color="000000" w:fill="FFFFFF"/>
            <w:noWrap/>
            <w:vAlign w:val="center"/>
          </w:tcPr>
          <w:p w14:paraId="310F329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210.452.929</w:t>
            </w:r>
          </w:p>
        </w:tc>
      </w:tr>
      <w:tr w14:paraId="5F9F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84F37B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22187C1C">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205E0CD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0,347%</w:t>
            </w:r>
          </w:p>
        </w:tc>
        <w:tc>
          <w:tcPr>
            <w:tcW w:w="1278" w:type="dxa"/>
            <w:shd w:val="clear" w:color="000000" w:fill="FFFFFF"/>
            <w:noWrap/>
            <w:vAlign w:val="center"/>
          </w:tcPr>
          <w:p w14:paraId="531FB00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01B0FC8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473.520.047</w:t>
            </w:r>
          </w:p>
        </w:tc>
        <w:tc>
          <w:tcPr>
            <w:tcW w:w="1559" w:type="dxa"/>
            <w:gridSpan w:val="2"/>
            <w:shd w:val="clear" w:color="000000" w:fill="FFFFFF"/>
            <w:noWrap/>
            <w:vAlign w:val="center"/>
          </w:tcPr>
          <w:p w14:paraId="7DD45D7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47.352.005</w:t>
            </w:r>
          </w:p>
        </w:tc>
        <w:tc>
          <w:tcPr>
            <w:tcW w:w="1701" w:type="dxa"/>
            <w:gridSpan w:val="2"/>
            <w:shd w:val="clear" w:color="000000" w:fill="FFFFFF"/>
            <w:noWrap/>
            <w:vAlign w:val="center"/>
          </w:tcPr>
          <w:p w14:paraId="5711C42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520.872.052</w:t>
            </w:r>
          </w:p>
        </w:tc>
      </w:tr>
      <w:tr w14:paraId="60FF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67651B2">
            <w:pPr>
              <w:jc w:val="center"/>
              <w:rPr>
                <w:b/>
                <w:bCs/>
                <w:i/>
                <w:iCs/>
                <w:color w:val="000000" w:themeColor="text1"/>
                <w:sz w:val="19"/>
                <w:szCs w:val="19"/>
                <w14:textFill>
                  <w14:solidFill>
                    <w14:schemeClr w14:val="tx1"/>
                  </w14:solidFill>
                </w14:textFill>
              </w:rPr>
            </w:pPr>
            <w:r>
              <w:rPr>
                <w:b/>
                <w:bCs/>
                <w:i/>
                <w:iCs/>
                <w:color w:val="000000" w:themeColor="text1"/>
                <w:sz w:val="19"/>
                <w:szCs w:val="19"/>
                <w14:textFill>
                  <w14:solidFill>
                    <w14:schemeClr w14:val="tx1"/>
                  </w14:solidFill>
                </w14:textFill>
              </w:rPr>
              <w:t>4,4</w:t>
            </w:r>
          </w:p>
        </w:tc>
        <w:tc>
          <w:tcPr>
            <w:tcW w:w="1987" w:type="dxa"/>
            <w:shd w:val="clear" w:color="000000" w:fill="FFFFFF"/>
            <w:noWrap/>
            <w:vAlign w:val="center"/>
          </w:tcPr>
          <w:p w14:paraId="0428D370">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giảm sát đánh giá đầu tư</w:t>
            </w:r>
          </w:p>
        </w:tc>
        <w:tc>
          <w:tcPr>
            <w:tcW w:w="851" w:type="dxa"/>
            <w:shd w:val="clear" w:color="000000" w:fill="FFFFFF"/>
            <w:noWrap/>
            <w:vAlign w:val="center"/>
          </w:tcPr>
          <w:p w14:paraId="2D4424E3">
            <w:pPr>
              <w:jc w:val="center"/>
              <w:rPr>
                <w:rFonts w:ascii=".VnTime" w:hAnsi=".VnTime"/>
                <w:b/>
                <w:bCs/>
                <w:color w:val="000000" w:themeColor="text1"/>
                <w:sz w:val="19"/>
                <w:szCs w:val="19"/>
                <w14:textFill>
                  <w14:solidFill>
                    <w14:schemeClr w14:val="tx1"/>
                  </w14:solidFill>
                </w14:textFill>
              </w:rPr>
            </w:pPr>
          </w:p>
        </w:tc>
        <w:tc>
          <w:tcPr>
            <w:tcW w:w="1278" w:type="dxa"/>
            <w:shd w:val="clear" w:color="000000" w:fill="FFFFFF"/>
            <w:vAlign w:val="center"/>
          </w:tcPr>
          <w:p w14:paraId="2A47F0F5">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20%* QLDA</w:t>
            </w:r>
          </w:p>
        </w:tc>
        <w:tc>
          <w:tcPr>
            <w:tcW w:w="1680" w:type="dxa"/>
            <w:gridSpan w:val="2"/>
            <w:shd w:val="clear" w:color="000000" w:fill="FFFFFF"/>
            <w:noWrap/>
            <w:vAlign w:val="center"/>
          </w:tcPr>
          <w:p w14:paraId="24F3AE56">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1.090.606.946</w:t>
            </w:r>
          </w:p>
        </w:tc>
        <w:tc>
          <w:tcPr>
            <w:tcW w:w="1559" w:type="dxa"/>
            <w:gridSpan w:val="2"/>
            <w:shd w:val="clear" w:color="000000" w:fill="FFFFFF"/>
            <w:noWrap/>
            <w:vAlign w:val="center"/>
          </w:tcPr>
          <w:p w14:paraId="3373F016">
            <w:pPr>
              <w:jc w:val="center"/>
              <w:rPr>
                <w:b/>
                <w:b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01CE437A">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1.090.606.946</w:t>
            </w:r>
          </w:p>
        </w:tc>
      </w:tr>
      <w:tr w14:paraId="468C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FBBDAE7">
            <w:pPr>
              <w:jc w:val="center"/>
              <w:rPr>
                <w:b/>
                <w:bCs/>
                <w:i/>
                <w:iCs/>
                <w:color w:val="000000" w:themeColor="text1"/>
                <w:sz w:val="19"/>
                <w:szCs w:val="19"/>
                <w14:textFill>
                  <w14:solidFill>
                    <w14:schemeClr w14:val="tx1"/>
                  </w14:solidFill>
                </w14:textFill>
              </w:rPr>
            </w:pPr>
            <w:r>
              <w:rPr>
                <w:b/>
                <w:bCs/>
                <w:i/>
                <w:iCs/>
                <w:color w:val="000000" w:themeColor="text1"/>
                <w:sz w:val="19"/>
                <w:szCs w:val="19"/>
                <w14:textFill>
                  <w14:solidFill>
                    <w14:schemeClr w14:val="tx1"/>
                  </w14:solidFill>
                </w14:textFill>
              </w:rPr>
              <w:t>4,5</w:t>
            </w:r>
          </w:p>
        </w:tc>
        <w:tc>
          <w:tcPr>
            <w:tcW w:w="1987" w:type="dxa"/>
            <w:shd w:val="clear" w:color="000000" w:fill="FFFFFF"/>
            <w:noWrap/>
            <w:vAlign w:val="center"/>
          </w:tcPr>
          <w:p w14:paraId="24C9A616">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khảo sát, thiết kế bước bản vẽ thi công</w:t>
            </w:r>
          </w:p>
        </w:tc>
        <w:tc>
          <w:tcPr>
            <w:tcW w:w="851" w:type="dxa"/>
            <w:shd w:val="clear" w:color="000000" w:fill="FFFFFF"/>
            <w:noWrap/>
            <w:vAlign w:val="center"/>
          </w:tcPr>
          <w:p w14:paraId="66F56F7C">
            <w:pPr>
              <w:jc w:val="center"/>
              <w:rPr>
                <w:rFonts w:ascii=".VnTime" w:hAnsi=".VnTime"/>
                <w:b/>
                <w:bCs/>
                <w:color w:val="000000" w:themeColor="text1"/>
                <w:sz w:val="19"/>
                <w:szCs w:val="19"/>
                <w14:textFill>
                  <w14:solidFill>
                    <w14:schemeClr w14:val="tx1"/>
                  </w14:solidFill>
                </w14:textFill>
              </w:rPr>
            </w:pPr>
          </w:p>
        </w:tc>
        <w:tc>
          <w:tcPr>
            <w:tcW w:w="1278" w:type="dxa"/>
            <w:shd w:val="clear" w:color="000000" w:fill="FFFFFF"/>
            <w:vAlign w:val="center"/>
          </w:tcPr>
          <w:p w14:paraId="70C2CB8D">
            <w:pPr>
              <w:jc w:val="center"/>
              <w:rPr>
                <w:b/>
                <w:bCs/>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7C07C273">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4.690.128.182</w:t>
            </w:r>
          </w:p>
        </w:tc>
        <w:tc>
          <w:tcPr>
            <w:tcW w:w="1559" w:type="dxa"/>
            <w:gridSpan w:val="2"/>
            <w:shd w:val="clear" w:color="000000" w:fill="FFFFFF"/>
            <w:noWrap/>
            <w:vAlign w:val="center"/>
          </w:tcPr>
          <w:p w14:paraId="50BBBB13">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469.012.818</w:t>
            </w:r>
          </w:p>
        </w:tc>
        <w:tc>
          <w:tcPr>
            <w:tcW w:w="1701" w:type="dxa"/>
            <w:gridSpan w:val="2"/>
            <w:shd w:val="clear" w:color="000000" w:fill="FFFFFF"/>
            <w:noWrap/>
            <w:vAlign w:val="center"/>
          </w:tcPr>
          <w:p w14:paraId="4D04A723">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5.159.141.000</w:t>
            </w:r>
          </w:p>
        </w:tc>
      </w:tr>
      <w:tr w14:paraId="2EE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070992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1AB162EA">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Hạng mục khảo sát bản vẽ thi công</w:t>
            </w:r>
          </w:p>
        </w:tc>
        <w:tc>
          <w:tcPr>
            <w:tcW w:w="851" w:type="dxa"/>
            <w:shd w:val="clear" w:color="000000" w:fill="FFFFFF"/>
            <w:noWrap/>
            <w:vAlign w:val="center"/>
          </w:tcPr>
          <w:p w14:paraId="222C5F63">
            <w:pPr>
              <w:jc w:val="center"/>
              <w:rPr>
                <w:rFonts w:ascii=".VnTime" w:hAnsi=".VnTime"/>
                <w:color w:val="000000" w:themeColor="text1"/>
                <w:sz w:val="19"/>
                <w:szCs w:val="19"/>
                <w14:textFill>
                  <w14:solidFill>
                    <w14:schemeClr w14:val="tx1"/>
                  </w14:solidFill>
                </w14:textFill>
              </w:rPr>
            </w:pPr>
          </w:p>
        </w:tc>
        <w:tc>
          <w:tcPr>
            <w:tcW w:w="1278" w:type="dxa"/>
            <w:shd w:val="clear" w:color="000000" w:fill="FFFFFF"/>
            <w:vAlign w:val="center"/>
          </w:tcPr>
          <w:p w14:paraId="1B540B2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023D3EE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120.757.068</w:t>
            </w:r>
          </w:p>
        </w:tc>
        <w:tc>
          <w:tcPr>
            <w:tcW w:w="1559" w:type="dxa"/>
            <w:gridSpan w:val="2"/>
            <w:shd w:val="clear" w:color="000000" w:fill="FFFFFF"/>
            <w:noWrap/>
            <w:vAlign w:val="center"/>
          </w:tcPr>
          <w:p w14:paraId="02A3B67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9.660.565</w:t>
            </w:r>
          </w:p>
        </w:tc>
        <w:tc>
          <w:tcPr>
            <w:tcW w:w="1701" w:type="dxa"/>
            <w:gridSpan w:val="2"/>
            <w:shd w:val="clear" w:color="000000" w:fill="FFFFFF"/>
            <w:noWrap/>
            <w:vAlign w:val="center"/>
          </w:tcPr>
          <w:p w14:paraId="5D9B6E5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130.417.633</w:t>
            </w:r>
          </w:p>
        </w:tc>
      </w:tr>
      <w:tr w14:paraId="0357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DC44E8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2F04587F">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Hạng mục thiết kế bản vẽ thi công</w:t>
            </w:r>
          </w:p>
        </w:tc>
        <w:tc>
          <w:tcPr>
            <w:tcW w:w="851" w:type="dxa"/>
            <w:shd w:val="clear" w:color="000000" w:fill="FFFFFF"/>
            <w:noWrap/>
            <w:vAlign w:val="center"/>
          </w:tcPr>
          <w:p w14:paraId="54C3CB5D">
            <w:pPr>
              <w:jc w:val="center"/>
              <w:rPr>
                <w:rFonts w:ascii=".VnTime" w:hAnsi=".VnTime"/>
                <w:color w:val="000000" w:themeColor="text1"/>
                <w:sz w:val="19"/>
                <w:szCs w:val="19"/>
                <w14:textFill>
                  <w14:solidFill>
                    <w14:schemeClr w14:val="tx1"/>
                  </w14:solidFill>
                </w14:textFill>
              </w:rPr>
            </w:pPr>
          </w:p>
        </w:tc>
        <w:tc>
          <w:tcPr>
            <w:tcW w:w="1278" w:type="dxa"/>
            <w:shd w:val="clear" w:color="000000" w:fill="FFFFFF"/>
            <w:vAlign w:val="center"/>
          </w:tcPr>
          <w:p w14:paraId="765D96B5">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7F6B9B7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4.656.225.642</w:t>
            </w:r>
          </w:p>
        </w:tc>
        <w:tc>
          <w:tcPr>
            <w:tcW w:w="1559" w:type="dxa"/>
            <w:gridSpan w:val="2"/>
            <w:shd w:val="clear" w:color="000000" w:fill="FFFFFF"/>
            <w:noWrap/>
            <w:vAlign w:val="center"/>
          </w:tcPr>
          <w:p w14:paraId="5E38B61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372.498.051</w:t>
            </w:r>
          </w:p>
        </w:tc>
        <w:tc>
          <w:tcPr>
            <w:tcW w:w="1701" w:type="dxa"/>
            <w:gridSpan w:val="2"/>
            <w:shd w:val="clear" w:color="000000" w:fill="FFFFFF"/>
            <w:noWrap/>
            <w:vAlign w:val="center"/>
          </w:tcPr>
          <w:p w14:paraId="40AE8CA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5.028.723.694</w:t>
            </w:r>
          </w:p>
        </w:tc>
      </w:tr>
      <w:tr w14:paraId="18EF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F011DD6">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28E27BDA">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13B61D4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0,898%</w:t>
            </w:r>
          </w:p>
        </w:tc>
        <w:tc>
          <w:tcPr>
            <w:tcW w:w="1278" w:type="dxa"/>
            <w:shd w:val="clear" w:color="000000" w:fill="FFFFFF"/>
            <w:noWrap/>
            <w:vAlign w:val="center"/>
          </w:tcPr>
          <w:p w14:paraId="4C8D364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60674E2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430.935.099</w:t>
            </w:r>
          </w:p>
        </w:tc>
        <w:tc>
          <w:tcPr>
            <w:tcW w:w="1559" w:type="dxa"/>
            <w:gridSpan w:val="2"/>
            <w:shd w:val="clear" w:color="000000" w:fill="FFFFFF"/>
            <w:noWrap/>
            <w:vAlign w:val="center"/>
          </w:tcPr>
          <w:p w14:paraId="762F0A2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34.474.808</w:t>
            </w:r>
          </w:p>
        </w:tc>
        <w:tc>
          <w:tcPr>
            <w:tcW w:w="1701" w:type="dxa"/>
            <w:gridSpan w:val="2"/>
            <w:shd w:val="clear" w:color="000000" w:fill="FFFFFF"/>
            <w:noWrap/>
            <w:vAlign w:val="center"/>
          </w:tcPr>
          <w:p w14:paraId="05A4A8E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465.409.907</w:t>
            </w:r>
          </w:p>
        </w:tc>
      </w:tr>
      <w:tr w14:paraId="54AB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EF11E0B">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731A4A69">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w:t>
            </w:r>
          </w:p>
        </w:tc>
        <w:tc>
          <w:tcPr>
            <w:tcW w:w="851" w:type="dxa"/>
            <w:shd w:val="clear" w:color="000000" w:fill="FFFFFF"/>
            <w:noWrap/>
            <w:vAlign w:val="center"/>
          </w:tcPr>
          <w:p w14:paraId="52A583B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1,279%</w:t>
            </w:r>
          </w:p>
        </w:tc>
        <w:tc>
          <w:tcPr>
            <w:tcW w:w="1278" w:type="dxa"/>
            <w:shd w:val="clear" w:color="000000" w:fill="FFFFFF"/>
            <w:noWrap/>
            <w:vAlign w:val="center"/>
          </w:tcPr>
          <w:p w14:paraId="32BC1BE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ĐMTL*40%*G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7587BE9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406.745.366</w:t>
            </w:r>
          </w:p>
        </w:tc>
        <w:tc>
          <w:tcPr>
            <w:tcW w:w="1559" w:type="dxa"/>
            <w:gridSpan w:val="2"/>
            <w:shd w:val="clear" w:color="000000" w:fill="FFFFFF"/>
            <w:noWrap/>
            <w:vAlign w:val="center"/>
          </w:tcPr>
          <w:p w14:paraId="73A6A35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32.539.629</w:t>
            </w:r>
          </w:p>
        </w:tc>
        <w:tc>
          <w:tcPr>
            <w:tcW w:w="1701" w:type="dxa"/>
            <w:gridSpan w:val="2"/>
            <w:shd w:val="clear" w:color="000000" w:fill="FFFFFF"/>
            <w:noWrap/>
            <w:vAlign w:val="center"/>
          </w:tcPr>
          <w:p w14:paraId="5AD5BC7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439.284.995</w:t>
            </w:r>
          </w:p>
        </w:tc>
      </w:tr>
      <w:tr w14:paraId="58E7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F67A1DE">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05B9901A">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Cấp thoát nước, thông tin liên lạc, bãi đỗ xe</w:t>
            </w:r>
          </w:p>
        </w:tc>
        <w:tc>
          <w:tcPr>
            <w:tcW w:w="851" w:type="dxa"/>
            <w:shd w:val="clear" w:color="000000" w:fill="FFFFFF"/>
            <w:noWrap/>
            <w:vAlign w:val="center"/>
          </w:tcPr>
          <w:p w14:paraId="3AD9EFB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1,279%</w:t>
            </w:r>
          </w:p>
        </w:tc>
        <w:tc>
          <w:tcPr>
            <w:tcW w:w="1278" w:type="dxa"/>
            <w:shd w:val="clear" w:color="000000" w:fill="FFFFFF"/>
            <w:noWrap/>
            <w:vAlign w:val="center"/>
          </w:tcPr>
          <w:p w14:paraId="55CF0BA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02FE4E3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527.118.751</w:t>
            </w:r>
          </w:p>
        </w:tc>
        <w:tc>
          <w:tcPr>
            <w:tcW w:w="1559" w:type="dxa"/>
            <w:gridSpan w:val="2"/>
            <w:shd w:val="clear" w:color="000000" w:fill="FFFFFF"/>
            <w:noWrap/>
            <w:vAlign w:val="center"/>
          </w:tcPr>
          <w:p w14:paraId="710BAAA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42.169.500</w:t>
            </w:r>
          </w:p>
        </w:tc>
        <w:tc>
          <w:tcPr>
            <w:tcW w:w="1701" w:type="dxa"/>
            <w:gridSpan w:val="2"/>
            <w:shd w:val="clear" w:color="000000" w:fill="FFFFFF"/>
            <w:noWrap/>
            <w:vAlign w:val="center"/>
          </w:tcPr>
          <w:p w14:paraId="679EF9F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569.288.251</w:t>
            </w:r>
          </w:p>
        </w:tc>
      </w:tr>
      <w:tr w14:paraId="1030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ECC2D84">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09FAFB18">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7C7F8EE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1,737%</w:t>
            </w:r>
          </w:p>
        </w:tc>
        <w:tc>
          <w:tcPr>
            <w:tcW w:w="1278" w:type="dxa"/>
            <w:shd w:val="clear" w:color="000000" w:fill="FFFFFF"/>
            <w:noWrap/>
            <w:vAlign w:val="center"/>
          </w:tcPr>
          <w:p w14:paraId="4499FCD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 +TB</w:t>
            </w:r>
          </w:p>
        </w:tc>
        <w:tc>
          <w:tcPr>
            <w:tcW w:w="1680" w:type="dxa"/>
            <w:gridSpan w:val="2"/>
            <w:shd w:val="clear" w:color="000000" w:fill="FFFFFF"/>
            <w:noWrap/>
            <w:vAlign w:val="center"/>
          </w:tcPr>
          <w:p w14:paraId="6284FA7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676.831.583</w:t>
            </w:r>
          </w:p>
        </w:tc>
        <w:tc>
          <w:tcPr>
            <w:tcW w:w="1559" w:type="dxa"/>
            <w:gridSpan w:val="2"/>
            <w:shd w:val="clear" w:color="000000" w:fill="FFFFFF"/>
            <w:noWrap/>
            <w:vAlign w:val="center"/>
          </w:tcPr>
          <w:p w14:paraId="2288F8C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54.146.527</w:t>
            </w:r>
          </w:p>
        </w:tc>
        <w:tc>
          <w:tcPr>
            <w:tcW w:w="1701" w:type="dxa"/>
            <w:gridSpan w:val="2"/>
            <w:shd w:val="clear" w:color="000000" w:fill="FFFFFF"/>
            <w:noWrap/>
            <w:vAlign w:val="center"/>
          </w:tcPr>
          <w:p w14:paraId="7BBCAC7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730.978.110</w:t>
            </w:r>
          </w:p>
        </w:tc>
      </w:tr>
      <w:tr w14:paraId="1983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A4AF045">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67F05FEE">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0B9D17A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1,916%</w:t>
            </w:r>
          </w:p>
        </w:tc>
        <w:tc>
          <w:tcPr>
            <w:tcW w:w="1278" w:type="dxa"/>
            <w:shd w:val="clear" w:color="000000" w:fill="FFFFFF"/>
            <w:noWrap/>
            <w:vAlign w:val="center"/>
          </w:tcPr>
          <w:p w14:paraId="24A08A7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3DEC4D7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2.614.594.843</w:t>
            </w:r>
          </w:p>
        </w:tc>
        <w:tc>
          <w:tcPr>
            <w:tcW w:w="1559" w:type="dxa"/>
            <w:gridSpan w:val="2"/>
            <w:shd w:val="clear" w:color="000000" w:fill="FFFFFF"/>
            <w:noWrap/>
            <w:vAlign w:val="center"/>
          </w:tcPr>
          <w:p w14:paraId="2D65D44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209.167.587</w:t>
            </w:r>
          </w:p>
        </w:tc>
        <w:tc>
          <w:tcPr>
            <w:tcW w:w="1701" w:type="dxa"/>
            <w:gridSpan w:val="2"/>
            <w:shd w:val="clear" w:color="000000" w:fill="FFFFFF"/>
            <w:noWrap/>
            <w:vAlign w:val="center"/>
          </w:tcPr>
          <w:p w14:paraId="368EA60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2.823.762.430</w:t>
            </w:r>
          </w:p>
        </w:tc>
      </w:tr>
      <w:tr w14:paraId="43E1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AC3F06F">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4,6</w:t>
            </w:r>
          </w:p>
        </w:tc>
        <w:tc>
          <w:tcPr>
            <w:tcW w:w="1987" w:type="dxa"/>
            <w:shd w:val="clear" w:color="000000" w:fill="FFFFFF"/>
            <w:noWrap/>
            <w:vAlign w:val="center"/>
          </w:tcPr>
          <w:p w14:paraId="29EBCAF6">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giám sát khảo sát bước BVTC</w:t>
            </w:r>
          </w:p>
        </w:tc>
        <w:tc>
          <w:tcPr>
            <w:tcW w:w="851" w:type="dxa"/>
            <w:shd w:val="clear" w:color="000000" w:fill="FFFFFF"/>
            <w:noWrap/>
            <w:vAlign w:val="center"/>
          </w:tcPr>
          <w:p w14:paraId="55D603C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4,072%</w:t>
            </w:r>
          </w:p>
        </w:tc>
        <w:tc>
          <w:tcPr>
            <w:tcW w:w="1278" w:type="dxa"/>
            <w:shd w:val="clear" w:color="000000" w:fill="FFFFFF"/>
            <w:noWrap/>
            <w:vAlign w:val="center"/>
          </w:tcPr>
          <w:p w14:paraId="0E5BBCEB">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ĐMTL*G</w:t>
            </w:r>
            <w:r>
              <w:rPr>
                <w:b/>
                <w:bCs/>
                <w:color w:val="000000" w:themeColor="text1"/>
                <w:sz w:val="19"/>
                <w:szCs w:val="19"/>
                <w:vertAlign w:val="subscript"/>
                <w14:textFill>
                  <w14:solidFill>
                    <w14:schemeClr w14:val="tx1"/>
                  </w14:solidFill>
                </w14:textFill>
              </w:rPr>
              <w:t>CPKS</w:t>
            </w:r>
          </w:p>
        </w:tc>
        <w:tc>
          <w:tcPr>
            <w:tcW w:w="1680" w:type="dxa"/>
            <w:gridSpan w:val="2"/>
            <w:shd w:val="clear" w:color="000000" w:fill="FFFFFF"/>
            <w:noWrap/>
            <w:vAlign w:val="center"/>
          </w:tcPr>
          <w:p w14:paraId="706B2BC1">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4.917.228</w:t>
            </w:r>
          </w:p>
        </w:tc>
        <w:tc>
          <w:tcPr>
            <w:tcW w:w="1559" w:type="dxa"/>
            <w:gridSpan w:val="2"/>
            <w:shd w:val="clear" w:color="000000" w:fill="FFFFFF"/>
            <w:noWrap/>
            <w:vAlign w:val="center"/>
          </w:tcPr>
          <w:p w14:paraId="5A7A87A5">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393.378</w:t>
            </w:r>
          </w:p>
        </w:tc>
        <w:tc>
          <w:tcPr>
            <w:tcW w:w="1701" w:type="dxa"/>
            <w:gridSpan w:val="2"/>
            <w:shd w:val="clear" w:color="000000" w:fill="FFFFFF"/>
            <w:noWrap/>
            <w:vAlign w:val="center"/>
          </w:tcPr>
          <w:p w14:paraId="29B29A96">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5.310.606</w:t>
            </w:r>
          </w:p>
        </w:tc>
      </w:tr>
      <w:tr w14:paraId="3492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21DB60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4,7</w:t>
            </w:r>
          </w:p>
        </w:tc>
        <w:tc>
          <w:tcPr>
            <w:tcW w:w="1987" w:type="dxa"/>
            <w:shd w:val="clear" w:color="000000" w:fill="FFFFFF"/>
            <w:noWrap/>
            <w:vAlign w:val="center"/>
          </w:tcPr>
          <w:p w14:paraId="38DD0A27">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thẩm tra bước TK BVTC</w:t>
            </w:r>
          </w:p>
        </w:tc>
        <w:tc>
          <w:tcPr>
            <w:tcW w:w="851" w:type="dxa"/>
            <w:shd w:val="clear" w:color="000000" w:fill="FFFFFF"/>
            <w:noWrap/>
            <w:vAlign w:val="center"/>
          </w:tcPr>
          <w:p w14:paraId="12DB4B52">
            <w:pPr>
              <w:jc w:val="center"/>
              <w:rPr>
                <w:b/>
                <w:bCs/>
                <w:color w:val="000000" w:themeColor="text1"/>
                <w:sz w:val="19"/>
                <w:szCs w:val="19"/>
                <w14:textFill>
                  <w14:solidFill>
                    <w14:schemeClr w14:val="tx1"/>
                  </w14:solidFill>
                </w14:textFill>
              </w:rPr>
            </w:pPr>
          </w:p>
        </w:tc>
        <w:tc>
          <w:tcPr>
            <w:tcW w:w="1278" w:type="dxa"/>
            <w:shd w:val="clear" w:color="000000" w:fill="FFFFFF"/>
            <w:noWrap/>
            <w:vAlign w:val="center"/>
          </w:tcPr>
          <w:p w14:paraId="01E53168">
            <w:pPr>
              <w:jc w:val="center"/>
              <w:rPr>
                <w:b/>
                <w:bCs/>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50A50120">
            <w:pPr>
              <w:jc w:val="center"/>
              <w:rPr>
                <w:b/>
                <w:bCs/>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6529181E">
            <w:pPr>
              <w:jc w:val="center"/>
              <w:rPr>
                <w:b/>
                <w:b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748F3287">
            <w:pPr>
              <w:jc w:val="center"/>
              <w:rPr>
                <w:b/>
                <w:bCs/>
                <w:color w:val="000000" w:themeColor="text1"/>
                <w:sz w:val="19"/>
                <w:szCs w:val="19"/>
                <w14:textFill>
                  <w14:solidFill>
                    <w14:schemeClr w14:val="tx1"/>
                  </w14:solidFill>
                </w14:textFill>
              </w:rPr>
            </w:pPr>
          </w:p>
        </w:tc>
      </w:tr>
      <w:tr w14:paraId="5C11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D93C708">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5947629C">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thẩm tra kỹ thuật</w:t>
            </w:r>
          </w:p>
        </w:tc>
        <w:tc>
          <w:tcPr>
            <w:tcW w:w="851" w:type="dxa"/>
            <w:shd w:val="clear" w:color="000000" w:fill="FFFFFF"/>
            <w:noWrap/>
            <w:vAlign w:val="center"/>
          </w:tcPr>
          <w:p w14:paraId="229ED94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0,069%</w:t>
            </w:r>
          </w:p>
        </w:tc>
        <w:tc>
          <w:tcPr>
            <w:tcW w:w="1278" w:type="dxa"/>
            <w:shd w:val="clear" w:color="000000" w:fill="FFFFFF"/>
            <w:noWrap/>
            <w:vAlign w:val="center"/>
          </w:tcPr>
          <w:p w14:paraId="43036EF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75C597B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227.779.351</w:t>
            </w:r>
          </w:p>
        </w:tc>
        <w:tc>
          <w:tcPr>
            <w:tcW w:w="1559" w:type="dxa"/>
            <w:gridSpan w:val="2"/>
            <w:shd w:val="clear" w:color="000000" w:fill="FFFFFF"/>
            <w:noWrap/>
            <w:vAlign w:val="center"/>
          </w:tcPr>
          <w:p w14:paraId="385AC72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18.222.348</w:t>
            </w:r>
          </w:p>
        </w:tc>
        <w:tc>
          <w:tcPr>
            <w:tcW w:w="1701" w:type="dxa"/>
            <w:gridSpan w:val="2"/>
            <w:shd w:val="clear" w:color="000000" w:fill="FFFFFF"/>
            <w:noWrap/>
            <w:vAlign w:val="center"/>
          </w:tcPr>
          <w:p w14:paraId="0D965A4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246.001.699</w:t>
            </w:r>
          </w:p>
        </w:tc>
      </w:tr>
      <w:tr w14:paraId="4CCC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B3F42ED">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34F7443B">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thẩm tra dự toán</w:t>
            </w:r>
          </w:p>
        </w:tc>
        <w:tc>
          <w:tcPr>
            <w:tcW w:w="851" w:type="dxa"/>
            <w:shd w:val="clear" w:color="000000" w:fill="FFFFFF"/>
            <w:noWrap/>
            <w:vAlign w:val="center"/>
          </w:tcPr>
          <w:p w14:paraId="0D0165E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0,065%</w:t>
            </w:r>
          </w:p>
        </w:tc>
        <w:tc>
          <w:tcPr>
            <w:tcW w:w="1278" w:type="dxa"/>
            <w:shd w:val="clear" w:color="000000" w:fill="FFFFFF"/>
            <w:noWrap/>
            <w:vAlign w:val="center"/>
          </w:tcPr>
          <w:p w14:paraId="09ADFF1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731F0DF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214.574.751</w:t>
            </w:r>
          </w:p>
        </w:tc>
        <w:tc>
          <w:tcPr>
            <w:tcW w:w="1559" w:type="dxa"/>
            <w:gridSpan w:val="2"/>
            <w:shd w:val="clear" w:color="000000" w:fill="FFFFFF"/>
            <w:noWrap/>
            <w:vAlign w:val="center"/>
          </w:tcPr>
          <w:p w14:paraId="0967679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17.165.980</w:t>
            </w:r>
          </w:p>
        </w:tc>
        <w:tc>
          <w:tcPr>
            <w:tcW w:w="1701" w:type="dxa"/>
            <w:gridSpan w:val="2"/>
            <w:shd w:val="clear" w:color="000000" w:fill="FFFFFF"/>
            <w:noWrap/>
            <w:vAlign w:val="center"/>
          </w:tcPr>
          <w:p w14:paraId="5EFDE1C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231.740.731</w:t>
            </w:r>
          </w:p>
        </w:tc>
      </w:tr>
      <w:tr w14:paraId="4DF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142CD51">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4,8</w:t>
            </w:r>
          </w:p>
        </w:tc>
        <w:tc>
          <w:tcPr>
            <w:tcW w:w="1987" w:type="dxa"/>
            <w:shd w:val="clear" w:color="000000" w:fill="FFFFFF"/>
            <w:noWrap/>
            <w:vAlign w:val="center"/>
          </w:tcPr>
          <w:p w14:paraId="0ACB7D89">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thẩm định TK-KT, thiết kế bản vẽ thi công</w:t>
            </w:r>
          </w:p>
        </w:tc>
        <w:tc>
          <w:tcPr>
            <w:tcW w:w="851" w:type="dxa"/>
            <w:shd w:val="clear" w:color="000000" w:fill="FFFFFF"/>
            <w:noWrap/>
            <w:vAlign w:val="center"/>
          </w:tcPr>
          <w:p w14:paraId="3B9BB3D5">
            <w:pPr>
              <w:jc w:val="center"/>
              <w:rPr>
                <w:b/>
                <w:bCs/>
                <w:color w:val="000000" w:themeColor="text1"/>
                <w:sz w:val="19"/>
                <w:szCs w:val="19"/>
                <w14:textFill>
                  <w14:solidFill>
                    <w14:schemeClr w14:val="tx1"/>
                  </w14:solidFill>
                </w14:textFill>
              </w:rPr>
            </w:pPr>
          </w:p>
        </w:tc>
        <w:tc>
          <w:tcPr>
            <w:tcW w:w="1278" w:type="dxa"/>
            <w:shd w:val="clear" w:color="000000" w:fill="FFFFFF"/>
            <w:noWrap/>
            <w:vAlign w:val="center"/>
          </w:tcPr>
          <w:p w14:paraId="5F4EBBA8">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ĐMTL*G</w:t>
            </w:r>
            <w:r>
              <w:rPr>
                <w:b/>
                <w:bCs/>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6A820E98">
            <w:pPr>
              <w:jc w:val="center"/>
              <w:rPr>
                <w:b/>
                <w:bCs/>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1A76D302">
            <w:pPr>
              <w:jc w:val="center"/>
              <w:rPr>
                <w:b/>
                <w:b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5B89BBE2">
            <w:pPr>
              <w:jc w:val="center"/>
              <w:rPr>
                <w:b/>
                <w:bCs/>
                <w:color w:val="000000" w:themeColor="text1"/>
                <w:sz w:val="19"/>
                <w:szCs w:val="19"/>
                <w14:textFill>
                  <w14:solidFill>
                    <w14:schemeClr w14:val="tx1"/>
                  </w14:solidFill>
                </w14:textFill>
              </w:rPr>
            </w:pPr>
          </w:p>
        </w:tc>
      </w:tr>
      <w:tr w14:paraId="7574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7D106286">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78A09793">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43E3EDF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0,039%</w:t>
            </w:r>
          </w:p>
        </w:tc>
        <w:tc>
          <w:tcPr>
            <w:tcW w:w="1278" w:type="dxa"/>
            <w:vMerge w:val="restart"/>
            <w:shd w:val="clear" w:color="000000" w:fill="FFFFFF"/>
            <w:vAlign w:val="center"/>
          </w:tcPr>
          <w:p w14:paraId="1A2E126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Thông tư số 27/2023/TT-BTC ngày 12/5/2023</w:t>
            </w:r>
          </w:p>
        </w:tc>
        <w:tc>
          <w:tcPr>
            <w:tcW w:w="1680" w:type="dxa"/>
            <w:gridSpan w:val="2"/>
            <w:shd w:val="clear" w:color="000000" w:fill="FFFFFF"/>
            <w:noWrap/>
            <w:vAlign w:val="center"/>
          </w:tcPr>
          <w:p w14:paraId="7484A6D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18.715.444</w:t>
            </w:r>
          </w:p>
        </w:tc>
        <w:tc>
          <w:tcPr>
            <w:tcW w:w="1559" w:type="dxa"/>
            <w:gridSpan w:val="2"/>
            <w:shd w:val="clear" w:color="000000" w:fill="FFFFFF"/>
            <w:noWrap/>
            <w:vAlign w:val="center"/>
          </w:tcPr>
          <w:p w14:paraId="2000C95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1.497.236</w:t>
            </w:r>
          </w:p>
        </w:tc>
        <w:tc>
          <w:tcPr>
            <w:tcW w:w="1701" w:type="dxa"/>
            <w:gridSpan w:val="2"/>
            <w:shd w:val="clear" w:color="000000" w:fill="FFFFFF"/>
            <w:noWrap/>
            <w:vAlign w:val="center"/>
          </w:tcPr>
          <w:p w14:paraId="5938DC9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20.212.680</w:t>
            </w:r>
          </w:p>
        </w:tc>
      </w:tr>
      <w:tr w14:paraId="4251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7EB7DDA7">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6EBF55DD">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 Cấp thoát nước, thông tin liên lạc, bãi đỗ xe</w:t>
            </w:r>
          </w:p>
        </w:tc>
        <w:tc>
          <w:tcPr>
            <w:tcW w:w="851" w:type="dxa"/>
            <w:shd w:val="clear" w:color="000000" w:fill="FFFFFF"/>
            <w:noWrap/>
            <w:vAlign w:val="center"/>
          </w:tcPr>
          <w:p w14:paraId="3D4DE56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0,045%</w:t>
            </w:r>
          </w:p>
        </w:tc>
        <w:tc>
          <w:tcPr>
            <w:tcW w:w="1278" w:type="dxa"/>
            <w:vMerge w:val="continue"/>
            <w:vAlign w:val="center"/>
          </w:tcPr>
          <w:p w14:paraId="7066DD29">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353F5CF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51.411.241</w:t>
            </w:r>
          </w:p>
        </w:tc>
        <w:tc>
          <w:tcPr>
            <w:tcW w:w="1559" w:type="dxa"/>
            <w:gridSpan w:val="2"/>
            <w:shd w:val="clear" w:color="000000" w:fill="FFFFFF"/>
            <w:noWrap/>
            <w:vAlign w:val="center"/>
          </w:tcPr>
          <w:p w14:paraId="5ADD448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4.112.899</w:t>
            </w:r>
          </w:p>
        </w:tc>
        <w:tc>
          <w:tcPr>
            <w:tcW w:w="1701" w:type="dxa"/>
            <w:gridSpan w:val="2"/>
            <w:shd w:val="clear" w:color="000000" w:fill="FFFFFF"/>
            <w:noWrap/>
            <w:vAlign w:val="center"/>
          </w:tcPr>
          <w:p w14:paraId="759A7A4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55.524.140</w:t>
            </w:r>
          </w:p>
        </w:tc>
      </w:tr>
      <w:tr w14:paraId="012E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EC13916">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35B7F32F">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6CF9250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0,068%</w:t>
            </w:r>
          </w:p>
        </w:tc>
        <w:tc>
          <w:tcPr>
            <w:tcW w:w="1278" w:type="dxa"/>
            <w:vMerge w:val="continue"/>
            <w:vAlign w:val="center"/>
          </w:tcPr>
          <w:p w14:paraId="2D0E0D94">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0F2BBBD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21.364.493</w:t>
            </w:r>
          </w:p>
        </w:tc>
        <w:tc>
          <w:tcPr>
            <w:tcW w:w="1559" w:type="dxa"/>
            <w:gridSpan w:val="2"/>
            <w:shd w:val="clear" w:color="000000" w:fill="FFFFFF"/>
            <w:noWrap/>
            <w:vAlign w:val="center"/>
          </w:tcPr>
          <w:p w14:paraId="1BD0D44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1.709.159</w:t>
            </w:r>
          </w:p>
        </w:tc>
        <w:tc>
          <w:tcPr>
            <w:tcW w:w="1701" w:type="dxa"/>
            <w:gridSpan w:val="2"/>
            <w:shd w:val="clear" w:color="000000" w:fill="FFFFFF"/>
            <w:noWrap/>
            <w:vAlign w:val="center"/>
          </w:tcPr>
          <w:p w14:paraId="356BBC9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23.073.653</w:t>
            </w:r>
          </w:p>
        </w:tc>
      </w:tr>
      <w:tr w14:paraId="1C49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E3512A0">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35185E7E">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02EDC8F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0,058%</w:t>
            </w:r>
          </w:p>
        </w:tc>
        <w:tc>
          <w:tcPr>
            <w:tcW w:w="1278" w:type="dxa"/>
            <w:vMerge w:val="continue"/>
            <w:vAlign w:val="center"/>
          </w:tcPr>
          <w:p w14:paraId="77436041">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6ED0841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79.147.443</w:t>
            </w:r>
          </w:p>
        </w:tc>
        <w:tc>
          <w:tcPr>
            <w:tcW w:w="1559" w:type="dxa"/>
            <w:gridSpan w:val="2"/>
            <w:shd w:val="clear" w:color="000000" w:fill="FFFFFF"/>
            <w:noWrap/>
            <w:vAlign w:val="center"/>
          </w:tcPr>
          <w:p w14:paraId="5069500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6.331.795</w:t>
            </w:r>
          </w:p>
        </w:tc>
        <w:tc>
          <w:tcPr>
            <w:tcW w:w="1701" w:type="dxa"/>
            <w:gridSpan w:val="2"/>
            <w:shd w:val="clear" w:color="000000" w:fill="FFFFFF"/>
            <w:noWrap/>
            <w:vAlign w:val="center"/>
          </w:tcPr>
          <w:p w14:paraId="73303AB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85.479.238</w:t>
            </w:r>
          </w:p>
        </w:tc>
      </w:tr>
      <w:tr w14:paraId="7452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75A9641">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4,9</w:t>
            </w:r>
          </w:p>
        </w:tc>
        <w:tc>
          <w:tcPr>
            <w:tcW w:w="1987" w:type="dxa"/>
            <w:shd w:val="clear" w:color="000000" w:fill="FFFFFF"/>
            <w:noWrap/>
            <w:vAlign w:val="center"/>
          </w:tcPr>
          <w:p w14:paraId="7943142D">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thẩm định dự toán xây dựng công trình</w:t>
            </w:r>
          </w:p>
        </w:tc>
        <w:tc>
          <w:tcPr>
            <w:tcW w:w="851" w:type="dxa"/>
            <w:shd w:val="clear" w:color="000000" w:fill="FFFFFF"/>
            <w:noWrap/>
            <w:vAlign w:val="center"/>
          </w:tcPr>
          <w:p w14:paraId="1D69F703">
            <w:pPr>
              <w:jc w:val="center"/>
              <w:rPr>
                <w:b/>
                <w:bCs/>
                <w:color w:val="000000" w:themeColor="text1"/>
                <w:sz w:val="19"/>
                <w:szCs w:val="19"/>
                <w14:textFill>
                  <w14:solidFill>
                    <w14:schemeClr w14:val="tx1"/>
                  </w14:solidFill>
                </w14:textFill>
              </w:rPr>
            </w:pPr>
          </w:p>
        </w:tc>
        <w:tc>
          <w:tcPr>
            <w:tcW w:w="1278" w:type="dxa"/>
            <w:shd w:val="clear" w:color="000000" w:fill="FFFFFF"/>
            <w:noWrap/>
            <w:vAlign w:val="center"/>
          </w:tcPr>
          <w:p w14:paraId="053600E4">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ĐMTL*G</w:t>
            </w:r>
            <w:r>
              <w:rPr>
                <w:b/>
                <w:bCs/>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03CCD34B">
            <w:pPr>
              <w:jc w:val="center"/>
              <w:rPr>
                <w:b/>
                <w:bCs/>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63D29B04">
            <w:pPr>
              <w:jc w:val="center"/>
              <w:rPr>
                <w:b/>
                <w:b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2191E031">
            <w:pPr>
              <w:jc w:val="center"/>
              <w:rPr>
                <w:b/>
                <w:bCs/>
                <w:color w:val="000000" w:themeColor="text1"/>
                <w:sz w:val="19"/>
                <w:szCs w:val="19"/>
                <w14:textFill>
                  <w14:solidFill>
                    <w14:schemeClr w14:val="tx1"/>
                  </w14:solidFill>
                </w14:textFill>
              </w:rPr>
            </w:pPr>
          </w:p>
        </w:tc>
      </w:tr>
      <w:tr w14:paraId="3749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A6B8323">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29929FF8">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790FC72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0,037%</w:t>
            </w:r>
          </w:p>
        </w:tc>
        <w:tc>
          <w:tcPr>
            <w:tcW w:w="1278" w:type="dxa"/>
            <w:vMerge w:val="restart"/>
            <w:shd w:val="clear" w:color="000000" w:fill="FFFFFF"/>
            <w:vAlign w:val="center"/>
          </w:tcPr>
          <w:p w14:paraId="6D58301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Thông tư số 27/2023/TT-BTC ngày 12/5/2023</w:t>
            </w:r>
          </w:p>
        </w:tc>
        <w:tc>
          <w:tcPr>
            <w:tcW w:w="1680" w:type="dxa"/>
            <w:gridSpan w:val="2"/>
            <w:shd w:val="clear" w:color="000000" w:fill="FFFFFF"/>
            <w:noWrap/>
            <w:vAlign w:val="center"/>
          </w:tcPr>
          <w:p w14:paraId="6B3A6F4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17.755.678</w:t>
            </w:r>
          </w:p>
        </w:tc>
        <w:tc>
          <w:tcPr>
            <w:tcW w:w="1559" w:type="dxa"/>
            <w:gridSpan w:val="2"/>
            <w:shd w:val="clear" w:color="000000" w:fill="FFFFFF"/>
            <w:noWrap/>
            <w:vAlign w:val="center"/>
          </w:tcPr>
          <w:p w14:paraId="3BCBA6D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1.420.454</w:t>
            </w:r>
          </w:p>
        </w:tc>
        <w:tc>
          <w:tcPr>
            <w:tcW w:w="1701" w:type="dxa"/>
            <w:gridSpan w:val="2"/>
            <w:shd w:val="clear" w:color="000000" w:fill="FFFFFF"/>
            <w:noWrap/>
            <w:vAlign w:val="center"/>
          </w:tcPr>
          <w:p w14:paraId="0ECBB0C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19.176.132</w:t>
            </w:r>
          </w:p>
        </w:tc>
      </w:tr>
      <w:tr w14:paraId="3A65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79C7784">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18A1B143">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 Cấp thoát nước, thông tin liên lạc, bãi đỗ xe</w:t>
            </w:r>
          </w:p>
        </w:tc>
        <w:tc>
          <w:tcPr>
            <w:tcW w:w="851" w:type="dxa"/>
            <w:shd w:val="clear" w:color="000000" w:fill="FFFFFF"/>
            <w:noWrap/>
            <w:vAlign w:val="center"/>
          </w:tcPr>
          <w:p w14:paraId="0E1A148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0,043%</w:t>
            </w:r>
          </w:p>
        </w:tc>
        <w:tc>
          <w:tcPr>
            <w:tcW w:w="1278" w:type="dxa"/>
            <w:vMerge w:val="continue"/>
            <w:vAlign w:val="center"/>
          </w:tcPr>
          <w:p w14:paraId="199374CA">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48F41DC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49.126.297</w:t>
            </w:r>
          </w:p>
        </w:tc>
        <w:tc>
          <w:tcPr>
            <w:tcW w:w="1559" w:type="dxa"/>
            <w:gridSpan w:val="2"/>
            <w:shd w:val="clear" w:color="000000" w:fill="FFFFFF"/>
            <w:noWrap/>
            <w:vAlign w:val="center"/>
          </w:tcPr>
          <w:p w14:paraId="5826740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3.930.104</w:t>
            </w:r>
          </w:p>
        </w:tc>
        <w:tc>
          <w:tcPr>
            <w:tcW w:w="1701" w:type="dxa"/>
            <w:gridSpan w:val="2"/>
            <w:shd w:val="clear" w:color="000000" w:fill="FFFFFF"/>
            <w:noWrap/>
            <w:vAlign w:val="center"/>
          </w:tcPr>
          <w:p w14:paraId="563E984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53.056.400</w:t>
            </w:r>
          </w:p>
        </w:tc>
      </w:tr>
      <w:tr w14:paraId="7A74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0467ABC">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0ADF5F8F">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36619B9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0,065%</w:t>
            </w:r>
          </w:p>
        </w:tc>
        <w:tc>
          <w:tcPr>
            <w:tcW w:w="1278" w:type="dxa"/>
            <w:vMerge w:val="continue"/>
            <w:vAlign w:val="center"/>
          </w:tcPr>
          <w:p w14:paraId="599A8A87">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18C1505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20.421.942</w:t>
            </w:r>
          </w:p>
        </w:tc>
        <w:tc>
          <w:tcPr>
            <w:tcW w:w="1559" w:type="dxa"/>
            <w:gridSpan w:val="2"/>
            <w:shd w:val="clear" w:color="000000" w:fill="FFFFFF"/>
            <w:noWrap/>
            <w:vAlign w:val="center"/>
          </w:tcPr>
          <w:p w14:paraId="4B34A1C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1.633.755</w:t>
            </w:r>
          </w:p>
        </w:tc>
        <w:tc>
          <w:tcPr>
            <w:tcW w:w="1701" w:type="dxa"/>
            <w:gridSpan w:val="2"/>
            <w:shd w:val="clear" w:color="000000" w:fill="FFFFFF"/>
            <w:noWrap/>
            <w:vAlign w:val="center"/>
          </w:tcPr>
          <w:p w14:paraId="3D30212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22.055.698</w:t>
            </w:r>
          </w:p>
        </w:tc>
      </w:tr>
      <w:tr w14:paraId="5D8A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E0514AA">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03F69880">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264518B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0,055%</w:t>
            </w:r>
          </w:p>
        </w:tc>
        <w:tc>
          <w:tcPr>
            <w:tcW w:w="1278" w:type="dxa"/>
            <w:vMerge w:val="continue"/>
            <w:vAlign w:val="center"/>
          </w:tcPr>
          <w:p w14:paraId="43D17FB1">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571C7C0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75.053.610</w:t>
            </w:r>
          </w:p>
        </w:tc>
        <w:tc>
          <w:tcPr>
            <w:tcW w:w="1559" w:type="dxa"/>
            <w:gridSpan w:val="2"/>
            <w:shd w:val="clear" w:color="000000" w:fill="FFFFFF"/>
            <w:noWrap/>
            <w:vAlign w:val="center"/>
          </w:tcPr>
          <w:p w14:paraId="7ACEBA0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6.004.289</w:t>
            </w:r>
          </w:p>
        </w:tc>
        <w:tc>
          <w:tcPr>
            <w:tcW w:w="1701" w:type="dxa"/>
            <w:gridSpan w:val="2"/>
            <w:shd w:val="clear" w:color="000000" w:fill="FFFFFF"/>
            <w:noWrap/>
            <w:vAlign w:val="center"/>
          </w:tcPr>
          <w:p w14:paraId="67C3CC8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81.057.899</w:t>
            </w:r>
          </w:p>
        </w:tc>
      </w:tr>
      <w:tr w14:paraId="2DAC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834AEC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4,1</w:t>
            </w:r>
          </w:p>
        </w:tc>
        <w:tc>
          <w:tcPr>
            <w:tcW w:w="1987" w:type="dxa"/>
            <w:shd w:val="clear" w:color="000000" w:fill="FFFFFF"/>
            <w:noWrap/>
            <w:vAlign w:val="center"/>
          </w:tcPr>
          <w:p w14:paraId="3821CD01">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lập hồ sơ mời thầu</w:t>
            </w:r>
          </w:p>
        </w:tc>
        <w:tc>
          <w:tcPr>
            <w:tcW w:w="851" w:type="dxa"/>
            <w:shd w:val="clear" w:color="000000" w:fill="FFFFFF"/>
            <w:noWrap/>
            <w:vAlign w:val="center"/>
          </w:tcPr>
          <w:p w14:paraId="03C2687F">
            <w:pPr>
              <w:jc w:val="center"/>
              <w:rPr>
                <w:b/>
                <w:bCs/>
                <w:color w:val="000000" w:themeColor="text1"/>
                <w:sz w:val="19"/>
                <w:szCs w:val="19"/>
                <w14:textFill>
                  <w14:solidFill>
                    <w14:schemeClr w14:val="tx1"/>
                  </w14:solidFill>
                </w14:textFill>
              </w:rPr>
            </w:pPr>
          </w:p>
        </w:tc>
        <w:tc>
          <w:tcPr>
            <w:tcW w:w="1278" w:type="dxa"/>
            <w:shd w:val="clear" w:color="000000" w:fill="FFFFFF"/>
            <w:noWrap/>
            <w:vAlign w:val="center"/>
          </w:tcPr>
          <w:p w14:paraId="542F8E67">
            <w:pPr>
              <w:jc w:val="center"/>
              <w:rPr>
                <w:b/>
                <w:bCs/>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3F76DD16">
            <w:pPr>
              <w:jc w:val="center"/>
              <w:rPr>
                <w:b/>
                <w:bCs/>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4E0C5C66">
            <w:pPr>
              <w:jc w:val="center"/>
              <w:rPr>
                <w:b/>
                <w:b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4B4192DD">
            <w:pPr>
              <w:jc w:val="center"/>
              <w:rPr>
                <w:b/>
                <w:bCs/>
                <w:color w:val="000000" w:themeColor="text1"/>
                <w:sz w:val="19"/>
                <w:szCs w:val="19"/>
                <w14:textFill>
                  <w14:solidFill>
                    <w14:schemeClr w14:val="tx1"/>
                  </w14:solidFill>
                </w14:textFill>
              </w:rPr>
            </w:pPr>
          </w:p>
        </w:tc>
      </w:tr>
      <w:tr w14:paraId="6FA1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D3BBBE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37A388D2">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tư vấn thiết kế BVTC</w:t>
            </w:r>
          </w:p>
        </w:tc>
        <w:tc>
          <w:tcPr>
            <w:tcW w:w="851" w:type="dxa"/>
            <w:shd w:val="clear" w:color="000000" w:fill="FFFFFF"/>
            <w:noWrap/>
            <w:vAlign w:val="center"/>
          </w:tcPr>
          <w:p w14:paraId="17C4B13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0,518%</w:t>
            </w:r>
          </w:p>
        </w:tc>
        <w:tc>
          <w:tcPr>
            <w:tcW w:w="1278" w:type="dxa"/>
            <w:shd w:val="clear" w:color="000000" w:fill="FFFFFF"/>
            <w:noWrap/>
            <w:vAlign w:val="center"/>
          </w:tcPr>
          <w:p w14:paraId="6FCF450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ĐMTL*45%*G</w:t>
            </w:r>
            <w:r>
              <w:rPr>
                <w:color w:val="000000" w:themeColor="text1"/>
                <w:sz w:val="19"/>
                <w:szCs w:val="19"/>
                <w:vertAlign w:val="subscript"/>
                <w14:textFill>
                  <w14:solidFill>
                    <w14:schemeClr w14:val="tx1"/>
                  </w14:solidFill>
                </w14:textFill>
              </w:rPr>
              <w:t>CPTK</w:t>
            </w:r>
          </w:p>
        </w:tc>
        <w:tc>
          <w:tcPr>
            <w:tcW w:w="1680" w:type="dxa"/>
            <w:gridSpan w:val="2"/>
            <w:shd w:val="clear" w:color="000000" w:fill="FFFFFF"/>
            <w:noWrap/>
            <w:vAlign w:val="center"/>
          </w:tcPr>
          <w:p w14:paraId="7D98D4C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10.932.689</w:t>
            </w:r>
          </w:p>
        </w:tc>
        <w:tc>
          <w:tcPr>
            <w:tcW w:w="1559" w:type="dxa"/>
            <w:gridSpan w:val="2"/>
            <w:shd w:val="clear" w:color="000000" w:fill="FFFFFF"/>
            <w:noWrap/>
            <w:vAlign w:val="center"/>
          </w:tcPr>
          <w:p w14:paraId="6B285E4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874.615</w:t>
            </w:r>
          </w:p>
        </w:tc>
        <w:tc>
          <w:tcPr>
            <w:tcW w:w="1701" w:type="dxa"/>
            <w:gridSpan w:val="2"/>
            <w:shd w:val="clear" w:color="000000" w:fill="FFFFFF"/>
            <w:noWrap/>
            <w:vAlign w:val="center"/>
          </w:tcPr>
          <w:p w14:paraId="06B52D8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11.807.304</w:t>
            </w:r>
          </w:p>
        </w:tc>
      </w:tr>
      <w:tr w14:paraId="589F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2A59D4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768EA83E">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thi công xây lắp</w:t>
            </w:r>
          </w:p>
        </w:tc>
        <w:tc>
          <w:tcPr>
            <w:tcW w:w="851" w:type="dxa"/>
            <w:shd w:val="clear" w:color="000000" w:fill="FFFFFF"/>
            <w:noWrap/>
            <w:vAlign w:val="center"/>
          </w:tcPr>
          <w:p w14:paraId="59D9465D">
            <w:pPr>
              <w:jc w:val="center"/>
              <w:rPr>
                <w:color w:val="000000" w:themeColor="text1"/>
                <w:sz w:val="19"/>
                <w:szCs w:val="19"/>
                <w14:textFill>
                  <w14:solidFill>
                    <w14:schemeClr w14:val="tx1"/>
                  </w14:solidFill>
                </w14:textFill>
              </w:rPr>
            </w:pPr>
          </w:p>
        </w:tc>
        <w:tc>
          <w:tcPr>
            <w:tcW w:w="1278" w:type="dxa"/>
            <w:shd w:val="clear" w:color="000000" w:fill="FFFFFF"/>
            <w:vAlign w:val="center"/>
          </w:tcPr>
          <w:p w14:paraId="7F6D30BA">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1AF352B3">
            <w:pPr>
              <w:jc w:val="center"/>
              <w:rPr>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03B84BB6">
            <w:pPr>
              <w:jc w:val="center"/>
              <w:rPr>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503D3ED0">
            <w:pPr>
              <w:jc w:val="center"/>
              <w:rPr>
                <w:color w:val="000000" w:themeColor="text1"/>
                <w:sz w:val="19"/>
                <w:szCs w:val="19"/>
                <w14:textFill>
                  <w14:solidFill>
                    <w14:schemeClr w14:val="tx1"/>
                  </w14:solidFill>
                </w14:textFill>
              </w:rPr>
            </w:pPr>
          </w:p>
        </w:tc>
      </w:tr>
      <w:tr w14:paraId="56CE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7AEA8924">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129C1767">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093A7E7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0,051%</w:t>
            </w:r>
          </w:p>
        </w:tc>
        <w:tc>
          <w:tcPr>
            <w:tcW w:w="1278" w:type="dxa"/>
            <w:shd w:val="clear" w:color="000000" w:fill="FFFFFF"/>
            <w:noWrap/>
            <w:vAlign w:val="center"/>
          </w:tcPr>
          <w:p w14:paraId="24138AD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ĐMTL*45%*G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1CC1C5C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11.013.319</w:t>
            </w:r>
          </w:p>
        </w:tc>
        <w:tc>
          <w:tcPr>
            <w:tcW w:w="1559" w:type="dxa"/>
            <w:gridSpan w:val="2"/>
            <w:shd w:val="clear" w:color="000000" w:fill="FFFFFF"/>
            <w:noWrap/>
            <w:vAlign w:val="center"/>
          </w:tcPr>
          <w:p w14:paraId="50CE1AB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881.066</w:t>
            </w:r>
          </w:p>
        </w:tc>
        <w:tc>
          <w:tcPr>
            <w:tcW w:w="1701" w:type="dxa"/>
            <w:gridSpan w:val="2"/>
            <w:shd w:val="clear" w:color="000000" w:fill="FFFFFF"/>
            <w:noWrap/>
            <w:vAlign w:val="center"/>
          </w:tcPr>
          <w:p w14:paraId="0DE2F49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11.894.385</w:t>
            </w:r>
          </w:p>
        </w:tc>
      </w:tr>
      <w:tr w14:paraId="3823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57264D8">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20939394">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 Cấp thoát nước, thông tin liên lạc, bãi đỗ xe</w:t>
            </w:r>
          </w:p>
        </w:tc>
        <w:tc>
          <w:tcPr>
            <w:tcW w:w="851" w:type="dxa"/>
            <w:shd w:val="clear" w:color="000000" w:fill="FFFFFF"/>
            <w:noWrap/>
            <w:vAlign w:val="center"/>
          </w:tcPr>
          <w:p w14:paraId="589157D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0,062%</w:t>
            </w:r>
          </w:p>
        </w:tc>
        <w:tc>
          <w:tcPr>
            <w:tcW w:w="1278" w:type="dxa"/>
            <w:shd w:val="clear" w:color="000000" w:fill="FFFFFF"/>
            <w:noWrap/>
            <w:vAlign w:val="center"/>
          </w:tcPr>
          <w:p w14:paraId="5AE3294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ĐMTL*45%*G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57B414C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31.874.969</w:t>
            </w:r>
          </w:p>
        </w:tc>
        <w:tc>
          <w:tcPr>
            <w:tcW w:w="1559" w:type="dxa"/>
            <w:gridSpan w:val="2"/>
            <w:shd w:val="clear" w:color="000000" w:fill="FFFFFF"/>
            <w:noWrap/>
            <w:vAlign w:val="center"/>
          </w:tcPr>
          <w:p w14:paraId="328F3EF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2.549.998</w:t>
            </w:r>
          </w:p>
        </w:tc>
        <w:tc>
          <w:tcPr>
            <w:tcW w:w="1701" w:type="dxa"/>
            <w:gridSpan w:val="2"/>
            <w:shd w:val="clear" w:color="000000" w:fill="FFFFFF"/>
            <w:noWrap/>
            <w:vAlign w:val="center"/>
          </w:tcPr>
          <w:p w14:paraId="3C70381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34.424.967</w:t>
            </w:r>
          </w:p>
        </w:tc>
      </w:tr>
      <w:tr w14:paraId="0FFC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DC7966D">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7CE2BC7E">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2166395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0,083%</w:t>
            </w:r>
          </w:p>
        </w:tc>
        <w:tc>
          <w:tcPr>
            <w:tcW w:w="1278" w:type="dxa"/>
            <w:shd w:val="clear" w:color="000000" w:fill="FFFFFF"/>
            <w:noWrap/>
            <w:vAlign w:val="center"/>
          </w:tcPr>
          <w:p w14:paraId="69B38DE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ĐMTL*45%*G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2857F76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11.734.762</w:t>
            </w:r>
          </w:p>
        </w:tc>
        <w:tc>
          <w:tcPr>
            <w:tcW w:w="1559" w:type="dxa"/>
            <w:gridSpan w:val="2"/>
            <w:shd w:val="clear" w:color="000000" w:fill="FFFFFF"/>
            <w:noWrap/>
            <w:vAlign w:val="center"/>
          </w:tcPr>
          <w:p w14:paraId="51BB7A3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938.781</w:t>
            </w:r>
          </w:p>
        </w:tc>
        <w:tc>
          <w:tcPr>
            <w:tcW w:w="1701" w:type="dxa"/>
            <w:gridSpan w:val="2"/>
            <w:shd w:val="clear" w:color="000000" w:fill="FFFFFF"/>
            <w:noWrap/>
            <w:vAlign w:val="center"/>
          </w:tcPr>
          <w:p w14:paraId="204B9E1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12.673.543</w:t>
            </w:r>
          </w:p>
        </w:tc>
      </w:tr>
      <w:tr w14:paraId="6AAE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BC3000B">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32E58562">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2A3ABCE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0,069%</w:t>
            </w:r>
          </w:p>
        </w:tc>
        <w:tc>
          <w:tcPr>
            <w:tcW w:w="1278" w:type="dxa"/>
            <w:shd w:val="clear" w:color="000000" w:fill="FFFFFF"/>
            <w:noWrap/>
            <w:vAlign w:val="center"/>
          </w:tcPr>
          <w:p w14:paraId="2A6E65A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ĐMTL*45%*G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683F83A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42.371.174</w:t>
            </w:r>
          </w:p>
        </w:tc>
        <w:tc>
          <w:tcPr>
            <w:tcW w:w="1559" w:type="dxa"/>
            <w:gridSpan w:val="2"/>
            <w:shd w:val="clear" w:color="000000" w:fill="FFFFFF"/>
            <w:noWrap/>
            <w:vAlign w:val="center"/>
          </w:tcPr>
          <w:p w14:paraId="67AB57E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3.389.694</w:t>
            </w:r>
          </w:p>
        </w:tc>
        <w:tc>
          <w:tcPr>
            <w:tcW w:w="1701" w:type="dxa"/>
            <w:gridSpan w:val="2"/>
            <w:shd w:val="clear" w:color="000000" w:fill="FFFFFF"/>
            <w:noWrap/>
            <w:vAlign w:val="center"/>
          </w:tcPr>
          <w:p w14:paraId="3358A49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45.760.868</w:t>
            </w:r>
          </w:p>
        </w:tc>
      </w:tr>
      <w:tr w14:paraId="202F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7D3706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458CD3F9">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giám sát thi công</w:t>
            </w:r>
          </w:p>
        </w:tc>
        <w:tc>
          <w:tcPr>
            <w:tcW w:w="851" w:type="dxa"/>
            <w:shd w:val="clear" w:color="000000" w:fill="FFFFFF"/>
            <w:noWrap/>
            <w:vAlign w:val="center"/>
          </w:tcPr>
          <w:p w14:paraId="46ACD12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0,522%</w:t>
            </w:r>
          </w:p>
        </w:tc>
        <w:tc>
          <w:tcPr>
            <w:tcW w:w="1278" w:type="dxa"/>
            <w:shd w:val="clear" w:color="000000" w:fill="FFFFFF"/>
            <w:noWrap/>
            <w:vAlign w:val="center"/>
          </w:tcPr>
          <w:p w14:paraId="6EE0628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ĐMTL*45%*G</w:t>
            </w:r>
            <w:r>
              <w:rPr>
                <w:color w:val="000000" w:themeColor="text1"/>
                <w:sz w:val="19"/>
                <w:szCs w:val="19"/>
                <w:vertAlign w:val="subscript"/>
                <w14:textFill>
                  <w14:solidFill>
                    <w14:schemeClr w14:val="tx1"/>
                  </w14:solidFill>
                </w14:textFill>
              </w:rPr>
              <w:t>CPGS</w:t>
            </w:r>
          </w:p>
        </w:tc>
        <w:tc>
          <w:tcPr>
            <w:tcW w:w="1680" w:type="dxa"/>
            <w:gridSpan w:val="2"/>
            <w:shd w:val="clear" w:color="000000" w:fill="FFFFFF"/>
            <w:noWrap/>
            <w:vAlign w:val="center"/>
          </w:tcPr>
          <w:p w14:paraId="313129C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9.733.668</w:t>
            </w:r>
          </w:p>
        </w:tc>
        <w:tc>
          <w:tcPr>
            <w:tcW w:w="1559" w:type="dxa"/>
            <w:gridSpan w:val="2"/>
            <w:shd w:val="clear" w:color="000000" w:fill="FFFFFF"/>
            <w:noWrap/>
            <w:vAlign w:val="center"/>
          </w:tcPr>
          <w:p w14:paraId="461C11C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778.693</w:t>
            </w:r>
          </w:p>
        </w:tc>
        <w:tc>
          <w:tcPr>
            <w:tcW w:w="1701" w:type="dxa"/>
            <w:gridSpan w:val="2"/>
            <w:shd w:val="clear" w:color="000000" w:fill="FFFFFF"/>
            <w:noWrap/>
            <w:vAlign w:val="center"/>
          </w:tcPr>
          <w:p w14:paraId="3DE1F2E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10.512.362</w:t>
            </w:r>
          </w:p>
        </w:tc>
      </w:tr>
      <w:tr w14:paraId="6555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660088F">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4,11</w:t>
            </w:r>
          </w:p>
        </w:tc>
        <w:tc>
          <w:tcPr>
            <w:tcW w:w="1987" w:type="dxa"/>
            <w:shd w:val="clear" w:color="000000" w:fill="FFFFFF"/>
            <w:noWrap/>
            <w:vAlign w:val="center"/>
          </w:tcPr>
          <w:p w14:paraId="3D354A2A">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đánh giá hồ sơ dự thầu</w:t>
            </w:r>
          </w:p>
        </w:tc>
        <w:tc>
          <w:tcPr>
            <w:tcW w:w="851" w:type="dxa"/>
            <w:shd w:val="clear" w:color="000000" w:fill="FFFFFF"/>
            <w:noWrap/>
            <w:vAlign w:val="center"/>
          </w:tcPr>
          <w:p w14:paraId="406AFC88">
            <w:pPr>
              <w:jc w:val="center"/>
              <w:rPr>
                <w:b/>
                <w:bCs/>
                <w:color w:val="000000" w:themeColor="text1"/>
                <w:sz w:val="19"/>
                <w:szCs w:val="19"/>
                <w14:textFill>
                  <w14:solidFill>
                    <w14:schemeClr w14:val="tx1"/>
                  </w14:solidFill>
                </w14:textFill>
              </w:rPr>
            </w:pPr>
          </w:p>
        </w:tc>
        <w:tc>
          <w:tcPr>
            <w:tcW w:w="1278" w:type="dxa"/>
            <w:shd w:val="clear" w:color="000000" w:fill="FFFFFF"/>
            <w:noWrap/>
            <w:vAlign w:val="center"/>
          </w:tcPr>
          <w:p w14:paraId="6366CDFD">
            <w:pPr>
              <w:jc w:val="center"/>
              <w:rPr>
                <w:b/>
                <w:bCs/>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79F941EB">
            <w:pPr>
              <w:jc w:val="center"/>
              <w:rPr>
                <w:b/>
                <w:bCs/>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6A62BA7F">
            <w:pPr>
              <w:jc w:val="center"/>
              <w:rPr>
                <w:b/>
                <w:b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68998A27">
            <w:pPr>
              <w:jc w:val="center"/>
              <w:rPr>
                <w:b/>
                <w:bCs/>
                <w:color w:val="000000" w:themeColor="text1"/>
                <w:sz w:val="19"/>
                <w:szCs w:val="19"/>
                <w14:textFill>
                  <w14:solidFill>
                    <w14:schemeClr w14:val="tx1"/>
                  </w14:solidFill>
                </w14:textFill>
              </w:rPr>
            </w:pPr>
          </w:p>
        </w:tc>
      </w:tr>
      <w:tr w14:paraId="754A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BE09DC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63128B80">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tư vấn thiết kế BVTC</w:t>
            </w:r>
          </w:p>
        </w:tc>
        <w:tc>
          <w:tcPr>
            <w:tcW w:w="851" w:type="dxa"/>
            <w:shd w:val="clear" w:color="000000" w:fill="FFFFFF"/>
            <w:noWrap/>
            <w:vAlign w:val="center"/>
          </w:tcPr>
          <w:p w14:paraId="597E990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0,518%</w:t>
            </w:r>
          </w:p>
        </w:tc>
        <w:tc>
          <w:tcPr>
            <w:tcW w:w="1278" w:type="dxa"/>
            <w:shd w:val="clear" w:color="000000" w:fill="FFFFFF"/>
            <w:noWrap/>
            <w:vAlign w:val="center"/>
          </w:tcPr>
          <w:p w14:paraId="68C147C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ĐMTL*55%*G</w:t>
            </w:r>
            <w:r>
              <w:rPr>
                <w:color w:val="000000" w:themeColor="text1"/>
                <w:sz w:val="19"/>
                <w:szCs w:val="19"/>
                <w:vertAlign w:val="subscript"/>
                <w14:textFill>
                  <w14:solidFill>
                    <w14:schemeClr w14:val="tx1"/>
                  </w14:solidFill>
                </w14:textFill>
              </w:rPr>
              <w:t>CPTK</w:t>
            </w:r>
          </w:p>
        </w:tc>
        <w:tc>
          <w:tcPr>
            <w:tcW w:w="1680" w:type="dxa"/>
            <w:gridSpan w:val="2"/>
            <w:shd w:val="clear" w:color="000000" w:fill="FFFFFF"/>
            <w:noWrap/>
            <w:vAlign w:val="center"/>
          </w:tcPr>
          <w:p w14:paraId="59EAA96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13.362.175</w:t>
            </w:r>
          </w:p>
        </w:tc>
        <w:tc>
          <w:tcPr>
            <w:tcW w:w="1559" w:type="dxa"/>
            <w:gridSpan w:val="2"/>
            <w:shd w:val="clear" w:color="000000" w:fill="FFFFFF"/>
            <w:noWrap/>
            <w:vAlign w:val="center"/>
          </w:tcPr>
          <w:p w14:paraId="1A70C82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1.068.974</w:t>
            </w:r>
          </w:p>
        </w:tc>
        <w:tc>
          <w:tcPr>
            <w:tcW w:w="1701" w:type="dxa"/>
            <w:gridSpan w:val="2"/>
            <w:shd w:val="clear" w:color="000000" w:fill="FFFFFF"/>
            <w:noWrap/>
            <w:vAlign w:val="center"/>
          </w:tcPr>
          <w:p w14:paraId="73BB58C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14.431.149</w:t>
            </w:r>
          </w:p>
        </w:tc>
      </w:tr>
      <w:tr w14:paraId="131A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279145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0A0E4A37">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thi công xây lắp</w:t>
            </w:r>
          </w:p>
        </w:tc>
        <w:tc>
          <w:tcPr>
            <w:tcW w:w="851" w:type="dxa"/>
            <w:shd w:val="clear" w:color="000000" w:fill="FFFFFF"/>
            <w:noWrap/>
            <w:vAlign w:val="center"/>
          </w:tcPr>
          <w:p w14:paraId="6141D614">
            <w:pPr>
              <w:jc w:val="center"/>
              <w:rPr>
                <w:color w:val="000000" w:themeColor="text1"/>
                <w:sz w:val="19"/>
                <w:szCs w:val="19"/>
                <w14:textFill>
                  <w14:solidFill>
                    <w14:schemeClr w14:val="tx1"/>
                  </w14:solidFill>
                </w14:textFill>
              </w:rPr>
            </w:pPr>
          </w:p>
        </w:tc>
        <w:tc>
          <w:tcPr>
            <w:tcW w:w="1278" w:type="dxa"/>
            <w:shd w:val="clear" w:color="000000" w:fill="FFFFFF"/>
            <w:vAlign w:val="center"/>
          </w:tcPr>
          <w:p w14:paraId="35BE9CA6">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6C8C6EE8">
            <w:pPr>
              <w:jc w:val="center"/>
              <w:rPr>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6287BBFB">
            <w:pPr>
              <w:jc w:val="center"/>
              <w:rPr>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0C437636">
            <w:pPr>
              <w:jc w:val="center"/>
              <w:rPr>
                <w:color w:val="000000" w:themeColor="text1"/>
                <w:sz w:val="19"/>
                <w:szCs w:val="19"/>
                <w14:textFill>
                  <w14:solidFill>
                    <w14:schemeClr w14:val="tx1"/>
                  </w14:solidFill>
                </w14:textFill>
              </w:rPr>
            </w:pPr>
          </w:p>
        </w:tc>
      </w:tr>
      <w:tr w14:paraId="23F1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0F56DF9">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62889583">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2CDCBB4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0,051%</w:t>
            </w:r>
          </w:p>
        </w:tc>
        <w:tc>
          <w:tcPr>
            <w:tcW w:w="1278" w:type="dxa"/>
            <w:shd w:val="clear" w:color="000000" w:fill="FFFFFF"/>
            <w:noWrap/>
            <w:vAlign w:val="center"/>
          </w:tcPr>
          <w:p w14:paraId="2B0A4FD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ĐMTL*55%*G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45A4CC6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13.460.723</w:t>
            </w:r>
          </w:p>
        </w:tc>
        <w:tc>
          <w:tcPr>
            <w:tcW w:w="1559" w:type="dxa"/>
            <w:gridSpan w:val="2"/>
            <w:shd w:val="clear" w:color="000000" w:fill="FFFFFF"/>
            <w:noWrap/>
            <w:vAlign w:val="center"/>
          </w:tcPr>
          <w:p w14:paraId="5E42968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1.076.858</w:t>
            </w:r>
          </w:p>
        </w:tc>
        <w:tc>
          <w:tcPr>
            <w:tcW w:w="1701" w:type="dxa"/>
            <w:gridSpan w:val="2"/>
            <w:shd w:val="clear" w:color="000000" w:fill="FFFFFF"/>
            <w:noWrap/>
            <w:vAlign w:val="center"/>
          </w:tcPr>
          <w:p w14:paraId="3B96D18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14.537.581</w:t>
            </w:r>
          </w:p>
        </w:tc>
      </w:tr>
      <w:tr w14:paraId="1B27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420EB50">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4DF01861">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 Cấp thoát nước, thông tin liên lạc, bãi đỗ xe</w:t>
            </w:r>
          </w:p>
        </w:tc>
        <w:tc>
          <w:tcPr>
            <w:tcW w:w="851" w:type="dxa"/>
            <w:shd w:val="clear" w:color="000000" w:fill="FFFFFF"/>
            <w:noWrap/>
            <w:vAlign w:val="center"/>
          </w:tcPr>
          <w:p w14:paraId="0EE4238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0,062%</w:t>
            </w:r>
          </w:p>
        </w:tc>
        <w:tc>
          <w:tcPr>
            <w:tcW w:w="1278" w:type="dxa"/>
            <w:shd w:val="clear" w:color="000000" w:fill="FFFFFF"/>
            <w:noWrap/>
            <w:vAlign w:val="center"/>
          </w:tcPr>
          <w:p w14:paraId="6134715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ĐMTL*55%*G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33EC513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38.958.296</w:t>
            </w:r>
          </w:p>
        </w:tc>
        <w:tc>
          <w:tcPr>
            <w:tcW w:w="1559" w:type="dxa"/>
            <w:gridSpan w:val="2"/>
            <w:shd w:val="clear" w:color="000000" w:fill="FFFFFF"/>
            <w:noWrap/>
            <w:vAlign w:val="center"/>
          </w:tcPr>
          <w:p w14:paraId="0BF4C9E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3.116.664</w:t>
            </w:r>
          </w:p>
        </w:tc>
        <w:tc>
          <w:tcPr>
            <w:tcW w:w="1701" w:type="dxa"/>
            <w:gridSpan w:val="2"/>
            <w:shd w:val="clear" w:color="000000" w:fill="FFFFFF"/>
            <w:noWrap/>
            <w:vAlign w:val="center"/>
          </w:tcPr>
          <w:p w14:paraId="48F286B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42.074.959</w:t>
            </w:r>
          </w:p>
        </w:tc>
      </w:tr>
      <w:tr w14:paraId="079F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BA6BEA7">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56ECE65B">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594E1B2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0,083%</w:t>
            </w:r>
          </w:p>
        </w:tc>
        <w:tc>
          <w:tcPr>
            <w:tcW w:w="1278" w:type="dxa"/>
            <w:shd w:val="clear" w:color="000000" w:fill="FFFFFF"/>
            <w:noWrap/>
            <w:vAlign w:val="center"/>
          </w:tcPr>
          <w:p w14:paraId="2474AF2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ĐMTL*55%*G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2B70ABB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14.342.487</w:t>
            </w:r>
          </w:p>
        </w:tc>
        <w:tc>
          <w:tcPr>
            <w:tcW w:w="1559" w:type="dxa"/>
            <w:gridSpan w:val="2"/>
            <w:shd w:val="clear" w:color="000000" w:fill="FFFFFF"/>
            <w:noWrap/>
            <w:vAlign w:val="center"/>
          </w:tcPr>
          <w:p w14:paraId="1C791E1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1.147.399</w:t>
            </w:r>
          </w:p>
        </w:tc>
        <w:tc>
          <w:tcPr>
            <w:tcW w:w="1701" w:type="dxa"/>
            <w:gridSpan w:val="2"/>
            <w:shd w:val="clear" w:color="000000" w:fill="FFFFFF"/>
            <w:noWrap/>
            <w:vAlign w:val="center"/>
          </w:tcPr>
          <w:p w14:paraId="6D844D8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15.489.886</w:t>
            </w:r>
          </w:p>
        </w:tc>
      </w:tr>
      <w:tr w14:paraId="0090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361DA4D">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2C008075">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2A4CE31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0,069%</w:t>
            </w:r>
          </w:p>
        </w:tc>
        <w:tc>
          <w:tcPr>
            <w:tcW w:w="1278" w:type="dxa"/>
            <w:shd w:val="clear" w:color="000000" w:fill="FFFFFF"/>
            <w:noWrap/>
            <w:vAlign w:val="center"/>
          </w:tcPr>
          <w:p w14:paraId="62B0DA5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ĐMTL*55%*G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35B55EE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51.786.991</w:t>
            </w:r>
          </w:p>
        </w:tc>
        <w:tc>
          <w:tcPr>
            <w:tcW w:w="1559" w:type="dxa"/>
            <w:gridSpan w:val="2"/>
            <w:shd w:val="clear" w:color="000000" w:fill="FFFFFF"/>
            <w:noWrap/>
            <w:vAlign w:val="center"/>
          </w:tcPr>
          <w:p w14:paraId="0A05895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4.142.959</w:t>
            </w:r>
          </w:p>
        </w:tc>
        <w:tc>
          <w:tcPr>
            <w:tcW w:w="1701" w:type="dxa"/>
            <w:gridSpan w:val="2"/>
            <w:shd w:val="clear" w:color="000000" w:fill="FFFFFF"/>
            <w:noWrap/>
            <w:vAlign w:val="center"/>
          </w:tcPr>
          <w:p w14:paraId="1172EA3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55.929.950</w:t>
            </w:r>
          </w:p>
        </w:tc>
      </w:tr>
      <w:tr w14:paraId="7C7C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BC4246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w:t>
            </w:r>
          </w:p>
        </w:tc>
        <w:tc>
          <w:tcPr>
            <w:tcW w:w="1987" w:type="dxa"/>
            <w:shd w:val="clear" w:color="000000" w:fill="FFFFFF"/>
            <w:noWrap/>
            <w:vAlign w:val="center"/>
          </w:tcPr>
          <w:p w14:paraId="3EB4A7DB">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giám sát thi công</w:t>
            </w:r>
          </w:p>
        </w:tc>
        <w:tc>
          <w:tcPr>
            <w:tcW w:w="851" w:type="dxa"/>
            <w:shd w:val="clear" w:color="000000" w:fill="FFFFFF"/>
            <w:noWrap/>
            <w:vAlign w:val="center"/>
          </w:tcPr>
          <w:p w14:paraId="3398633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0,522%</w:t>
            </w:r>
          </w:p>
        </w:tc>
        <w:tc>
          <w:tcPr>
            <w:tcW w:w="1278" w:type="dxa"/>
            <w:shd w:val="clear" w:color="000000" w:fill="FFFFFF"/>
            <w:noWrap/>
            <w:vAlign w:val="center"/>
          </w:tcPr>
          <w:p w14:paraId="7822E29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ĐMTL*55%*G</w:t>
            </w:r>
            <w:r>
              <w:rPr>
                <w:color w:val="000000" w:themeColor="text1"/>
                <w:sz w:val="19"/>
                <w:szCs w:val="19"/>
                <w:vertAlign w:val="subscript"/>
                <w14:textFill>
                  <w14:solidFill>
                    <w14:schemeClr w14:val="tx1"/>
                  </w14:solidFill>
                </w14:textFill>
              </w:rPr>
              <w:t>CPGS</w:t>
            </w:r>
          </w:p>
        </w:tc>
        <w:tc>
          <w:tcPr>
            <w:tcW w:w="1680" w:type="dxa"/>
            <w:gridSpan w:val="2"/>
            <w:shd w:val="clear" w:color="000000" w:fill="FFFFFF"/>
            <w:noWrap/>
            <w:vAlign w:val="center"/>
          </w:tcPr>
          <w:p w14:paraId="6D5C6C4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11.896.706</w:t>
            </w:r>
          </w:p>
        </w:tc>
        <w:tc>
          <w:tcPr>
            <w:tcW w:w="1559" w:type="dxa"/>
            <w:gridSpan w:val="2"/>
            <w:shd w:val="clear" w:color="000000" w:fill="FFFFFF"/>
            <w:noWrap/>
            <w:vAlign w:val="center"/>
          </w:tcPr>
          <w:p w14:paraId="0DB22E4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951.736</w:t>
            </w:r>
          </w:p>
        </w:tc>
        <w:tc>
          <w:tcPr>
            <w:tcW w:w="1701" w:type="dxa"/>
            <w:gridSpan w:val="2"/>
            <w:shd w:val="clear" w:color="000000" w:fill="FFFFFF"/>
            <w:noWrap/>
            <w:vAlign w:val="center"/>
          </w:tcPr>
          <w:p w14:paraId="07A5BE2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12.848.442</w:t>
            </w:r>
          </w:p>
        </w:tc>
      </w:tr>
      <w:tr w14:paraId="7534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C071C82">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4,12</w:t>
            </w:r>
          </w:p>
        </w:tc>
        <w:tc>
          <w:tcPr>
            <w:tcW w:w="1987" w:type="dxa"/>
            <w:shd w:val="clear" w:color="000000" w:fill="FFFFFF"/>
            <w:noWrap/>
            <w:vAlign w:val="center"/>
          </w:tcPr>
          <w:p w14:paraId="47DD8FE7">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giám sát thi công xây dựng</w:t>
            </w:r>
          </w:p>
        </w:tc>
        <w:tc>
          <w:tcPr>
            <w:tcW w:w="851" w:type="dxa"/>
            <w:shd w:val="clear" w:color="000000" w:fill="FFFFFF"/>
            <w:noWrap/>
            <w:vAlign w:val="center"/>
          </w:tcPr>
          <w:p w14:paraId="19E6613E">
            <w:pPr>
              <w:jc w:val="center"/>
              <w:rPr>
                <w:b/>
                <w:bCs/>
                <w:color w:val="000000" w:themeColor="text1"/>
                <w:sz w:val="19"/>
                <w:szCs w:val="19"/>
                <w14:textFill>
                  <w14:solidFill>
                    <w14:schemeClr w14:val="tx1"/>
                  </w14:solidFill>
                </w14:textFill>
              </w:rPr>
            </w:pPr>
          </w:p>
        </w:tc>
        <w:tc>
          <w:tcPr>
            <w:tcW w:w="1278" w:type="dxa"/>
            <w:shd w:val="clear" w:color="000000" w:fill="FFFFFF"/>
            <w:noWrap/>
            <w:vAlign w:val="center"/>
          </w:tcPr>
          <w:p w14:paraId="362D5693">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ĐMTL*G</w:t>
            </w:r>
            <w:r>
              <w:rPr>
                <w:b/>
                <w:bCs/>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045F1115">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4.143.749.856</w:t>
            </w:r>
          </w:p>
        </w:tc>
        <w:tc>
          <w:tcPr>
            <w:tcW w:w="1559" w:type="dxa"/>
            <w:gridSpan w:val="2"/>
            <w:shd w:val="clear" w:color="000000" w:fill="FFFFFF"/>
            <w:noWrap/>
            <w:vAlign w:val="center"/>
          </w:tcPr>
          <w:p w14:paraId="4E1F17A3">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331.499.988</w:t>
            </w:r>
          </w:p>
        </w:tc>
        <w:tc>
          <w:tcPr>
            <w:tcW w:w="1701" w:type="dxa"/>
            <w:gridSpan w:val="2"/>
            <w:shd w:val="clear" w:color="000000" w:fill="FFFFFF"/>
            <w:noWrap/>
            <w:vAlign w:val="center"/>
          </w:tcPr>
          <w:p w14:paraId="19DAAD39">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4.475.249.844</w:t>
            </w:r>
          </w:p>
        </w:tc>
      </w:tr>
      <w:tr w14:paraId="1249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98FC193">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4B02043C">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noWrap/>
            <w:vAlign w:val="center"/>
          </w:tcPr>
          <w:p w14:paraId="276957D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1,155%</w:t>
            </w:r>
          </w:p>
        </w:tc>
        <w:tc>
          <w:tcPr>
            <w:tcW w:w="1278" w:type="dxa"/>
            <w:vMerge w:val="restart"/>
            <w:shd w:val="clear" w:color="000000" w:fill="FFFFFF"/>
            <w:vAlign w:val="center"/>
          </w:tcPr>
          <w:p w14:paraId="0F5C08C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TT12/2021/TT-BTC, ngày 31/8/2021</w:t>
            </w:r>
          </w:p>
        </w:tc>
        <w:tc>
          <w:tcPr>
            <w:tcW w:w="1680" w:type="dxa"/>
            <w:gridSpan w:val="2"/>
            <w:shd w:val="clear" w:color="000000" w:fill="FFFFFF"/>
            <w:noWrap/>
            <w:vAlign w:val="center"/>
          </w:tcPr>
          <w:p w14:paraId="58CAB30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554.265.078</w:t>
            </w:r>
          </w:p>
        </w:tc>
        <w:tc>
          <w:tcPr>
            <w:tcW w:w="1559" w:type="dxa"/>
            <w:gridSpan w:val="2"/>
            <w:shd w:val="clear" w:color="000000" w:fill="FFFFFF"/>
            <w:noWrap/>
            <w:vAlign w:val="center"/>
          </w:tcPr>
          <w:p w14:paraId="73431ED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44.341.206</w:t>
            </w:r>
          </w:p>
        </w:tc>
        <w:tc>
          <w:tcPr>
            <w:tcW w:w="1701" w:type="dxa"/>
            <w:gridSpan w:val="2"/>
            <w:shd w:val="clear" w:color="000000" w:fill="FFFFFF"/>
            <w:noWrap/>
            <w:vAlign w:val="center"/>
          </w:tcPr>
          <w:p w14:paraId="7102C4E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598.606.284</w:t>
            </w:r>
          </w:p>
        </w:tc>
      </w:tr>
      <w:tr w14:paraId="36CB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07AF429">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27F57CE6">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 Cấp thoát nước, thông tin liên lạc, bãi đỗ xe</w:t>
            </w:r>
          </w:p>
        </w:tc>
        <w:tc>
          <w:tcPr>
            <w:tcW w:w="851" w:type="dxa"/>
            <w:noWrap/>
            <w:vAlign w:val="center"/>
          </w:tcPr>
          <w:p w14:paraId="0FC5394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1,042%</w:t>
            </w:r>
          </w:p>
        </w:tc>
        <w:tc>
          <w:tcPr>
            <w:tcW w:w="1278" w:type="dxa"/>
            <w:vMerge w:val="continue"/>
            <w:vAlign w:val="center"/>
          </w:tcPr>
          <w:p w14:paraId="1C333BB3">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748612D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1.190.455.840</w:t>
            </w:r>
          </w:p>
        </w:tc>
        <w:tc>
          <w:tcPr>
            <w:tcW w:w="1559" w:type="dxa"/>
            <w:gridSpan w:val="2"/>
            <w:shd w:val="clear" w:color="000000" w:fill="FFFFFF"/>
            <w:noWrap/>
            <w:vAlign w:val="center"/>
          </w:tcPr>
          <w:p w14:paraId="568EF4D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95.236.467</w:t>
            </w:r>
          </w:p>
        </w:tc>
        <w:tc>
          <w:tcPr>
            <w:tcW w:w="1701" w:type="dxa"/>
            <w:gridSpan w:val="2"/>
            <w:shd w:val="clear" w:color="000000" w:fill="FFFFFF"/>
            <w:noWrap/>
            <w:vAlign w:val="center"/>
          </w:tcPr>
          <w:p w14:paraId="4553B17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1.285.692.308</w:t>
            </w:r>
          </w:p>
        </w:tc>
      </w:tr>
      <w:tr w14:paraId="7D6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2EF4071">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1F880D2A">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noWrap/>
            <w:vAlign w:val="center"/>
          </w:tcPr>
          <w:p w14:paraId="416DBD2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1,473%</w:t>
            </w:r>
          </w:p>
        </w:tc>
        <w:tc>
          <w:tcPr>
            <w:tcW w:w="1278" w:type="dxa"/>
            <w:vMerge w:val="continue"/>
            <w:vAlign w:val="center"/>
          </w:tcPr>
          <w:p w14:paraId="29FD6FA9">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7AB1639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462.792.630</w:t>
            </w:r>
          </w:p>
        </w:tc>
        <w:tc>
          <w:tcPr>
            <w:tcW w:w="1559" w:type="dxa"/>
            <w:gridSpan w:val="2"/>
            <w:shd w:val="clear" w:color="000000" w:fill="FFFFFF"/>
            <w:noWrap/>
            <w:vAlign w:val="center"/>
          </w:tcPr>
          <w:p w14:paraId="024740E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37.023.410</w:t>
            </w:r>
          </w:p>
        </w:tc>
        <w:tc>
          <w:tcPr>
            <w:tcW w:w="1701" w:type="dxa"/>
            <w:gridSpan w:val="2"/>
            <w:shd w:val="clear" w:color="000000" w:fill="FFFFFF"/>
            <w:noWrap/>
            <w:vAlign w:val="center"/>
          </w:tcPr>
          <w:p w14:paraId="029085C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499.816.040</w:t>
            </w:r>
          </w:p>
        </w:tc>
      </w:tr>
      <w:tr w14:paraId="14ED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754DBBA">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2D7E30BC">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noWrap/>
            <w:vAlign w:val="center"/>
          </w:tcPr>
          <w:p w14:paraId="5D205EA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1,391%</w:t>
            </w:r>
          </w:p>
        </w:tc>
        <w:tc>
          <w:tcPr>
            <w:tcW w:w="1278" w:type="dxa"/>
            <w:vMerge w:val="continue"/>
            <w:vAlign w:val="center"/>
          </w:tcPr>
          <w:p w14:paraId="3DDD36DE">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6A8EAD9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1.898.174.022</w:t>
            </w:r>
          </w:p>
        </w:tc>
        <w:tc>
          <w:tcPr>
            <w:tcW w:w="1559" w:type="dxa"/>
            <w:gridSpan w:val="2"/>
            <w:shd w:val="clear" w:color="000000" w:fill="FFFFFF"/>
            <w:noWrap/>
            <w:vAlign w:val="center"/>
          </w:tcPr>
          <w:p w14:paraId="7EA5D2D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151.853.922</w:t>
            </w:r>
          </w:p>
        </w:tc>
        <w:tc>
          <w:tcPr>
            <w:tcW w:w="1701" w:type="dxa"/>
            <w:gridSpan w:val="2"/>
            <w:shd w:val="clear" w:color="000000" w:fill="FFFFFF"/>
            <w:noWrap/>
            <w:vAlign w:val="center"/>
          </w:tcPr>
          <w:p w14:paraId="3A9583C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2.050.027.944</w:t>
            </w:r>
          </w:p>
        </w:tc>
      </w:tr>
      <w:tr w14:paraId="381F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BD0D10F">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4,13</w:t>
            </w:r>
          </w:p>
        </w:tc>
        <w:tc>
          <w:tcPr>
            <w:tcW w:w="1987" w:type="dxa"/>
            <w:shd w:val="clear" w:color="000000" w:fill="FFFFFF"/>
            <w:noWrap/>
            <w:vAlign w:val="center"/>
          </w:tcPr>
          <w:p w14:paraId="44F11220">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giám sát lắp đặt thiết bị</w:t>
            </w:r>
          </w:p>
        </w:tc>
        <w:tc>
          <w:tcPr>
            <w:tcW w:w="851" w:type="dxa"/>
            <w:noWrap/>
            <w:vAlign w:val="center"/>
          </w:tcPr>
          <w:p w14:paraId="6F514232">
            <w:pPr>
              <w:jc w:val="center"/>
              <w:rPr>
                <w:b/>
                <w:bCs/>
                <w:color w:val="000000" w:themeColor="text1"/>
                <w:sz w:val="19"/>
                <w:szCs w:val="19"/>
                <w14:textFill>
                  <w14:solidFill>
                    <w14:schemeClr w14:val="tx1"/>
                  </w14:solidFill>
                </w14:textFill>
              </w:rPr>
            </w:pPr>
          </w:p>
        </w:tc>
        <w:tc>
          <w:tcPr>
            <w:tcW w:w="1278" w:type="dxa"/>
            <w:shd w:val="clear" w:color="000000" w:fill="FFFFFF"/>
            <w:noWrap/>
            <w:vAlign w:val="center"/>
          </w:tcPr>
          <w:p w14:paraId="1B655993">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ĐMTL*G</w:t>
            </w:r>
            <w:r>
              <w:rPr>
                <w:b/>
                <w:bCs/>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1A2A14FA">
            <w:pPr>
              <w:jc w:val="center"/>
              <w:rPr>
                <w:b/>
                <w:bCs/>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5B73739D">
            <w:pPr>
              <w:jc w:val="center"/>
              <w:rPr>
                <w:b/>
                <w:b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77274219">
            <w:pPr>
              <w:jc w:val="center"/>
              <w:rPr>
                <w:b/>
                <w:bCs/>
                <w:color w:val="000000" w:themeColor="text1"/>
                <w:sz w:val="19"/>
                <w:szCs w:val="19"/>
                <w14:textFill>
                  <w14:solidFill>
                    <w14:schemeClr w14:val="tx1"/>
                  </w14:solidFill>
                </w14:textFill>
              </w:rPr>
            </w:pPr>
          </w:p>
        </w:tc>
      </w:tr>
      <w:tr w14:paraId="210B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3068017B">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210DA9F2">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Hệ thống điện</w:t>
            </w:r>
          </w:p>
        </w:tc>
        <w:tc>
          <w:tcPr>
            <w:tcW w:w="851" w:type="dxa"/>
            <w:shd w:val="clear" w:color="000000" w:fill="FFFFFF"/>
            <w:noWrap/>
            <w:vAlign w:val="center"/>
          </w:tcPr>
          <w:p w14:paraId="243D6FB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0,356%</w:t>
            </w:r>
          </w:p>
        </w:tc>
        <w:tc>
          <w:tcPr>
            <w:tcW w:w="1278" w:type="dxa"/>
            <w:vMerge w:val="restart"/>
            <w:shd w:val="clear" w:color="000000" w:fill="FFFFFF"/>
            <w:vAlign w:val="center"/>
          </w:tcPr>
          <w:p w14:paraId="63F3D8A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TT12/2021/TT-BTC, ngày 31/8/2021</w:t>
            </w:r>
          </w:p>
        </w:tc>
        <w:tc>
          <w:tcPr>
            <w:tcW w:w="1680" w:type="dxa"/>
            <w:gridSpan w:val="2"/>
            <w:shd w:val="clear" w:color="000000" w:fill="FFFFFF"/>
            <w:noWrap/>
            <w:vAlign w:val="center"/>
          </w:tcPr>
          <w:p w14:paraId="1CCAA32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26.867.947</w:t>
            </w:r>
          </w:p>
        </w:tc>
        <w:tc>
          <w:tcPr>
            <w:tcW w:w="1559" w:type="dxa"/>
            <w:gridSpan w:val="2"/>
            <w:shd w:val="clear" w:color="000000" w:fill="FFFFFF"/>
            <w:noWrap/>
            <w:vAlign w:val="center"/>
          </w:tcPr>
          <w:p w14:paraId="24E2FDD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2.149.436</w:t>
            </w:r>
          </w:p>
        </w:tc>
        <w:tc>
          <w:tcPr>
            <w:tcW w:w="1701" w:type="dxa"/>
            <w:gridSpan w:val="2"/>
            <w:shd w:val="clear" w:color="000000" w:fill="FFFFFF"/>
            <w:noWrap/>
            <w:vAlign w:val="center"/>
          </w:tcPr>
          <w:p w14:paraId="3332058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29.017.383</w:t>
            </w:r>
          </w:p>
        </w:tc>
      </w:tr>
      <w:tr w14:paraId="7110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BBFF5DC">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1E47E3C6">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Trạm xử lý nước thải</w:t>
            </w:r>
          </w:p>
        </w:tc>
        <w:tc>
          <w:tcPr>
            <w:tcW w:w="851" w:type="dxa"/>
            <w:shd w:val="clear" w:color="000000" w:fill="FFFFFF"/>
            <w:noWrap/>
            <w:vAlign w:val="center"/>
          </w:tcPr>
          <w:p w14:paraId="46F9D72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0,173%</w:t>
            </w:r>
          </w:p>
        </w:tc>
        <w:tc>
          <w:tcPr>
            <w:tcW w:w="1278" w:type="dxa"/>
            <w:vMerge w:val="continue"/>
            <w:vAlign w:val="center"/>
          </w:tcPr>
          <w:p w14:paraId="79BFE428">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51A0CF7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11.194.339</w:t>
            </w:r>
          </w:p>
        </w:tc>
        <w:tc>
          <w:tcPr>
            <w:tcW w:w="1559" w:type="dxa"/>
            <w:gridSpan w:val="2"/>
            <w:shd w:val="clear" w:color="000000" w:fill="FFFFFF"/>
            <w:noWrap/>
            <w:vAlign w:val="center"/>
          </w:tcPr>
          <w:p w14:paraId="2142CDB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895.547</w:t>
            </w:r>
          </w:p>
        </w:tc>
        <w:tc>
          <w:tcPr>
            <w:tcW w:w="1701" w:type="dxa"/>
            <w:gridSpan w:val="2"/>
            <w:shd w:val="clear" w:color="000000" w:fill="FFFFFF"/>
            <w:noWrap/>
            <w:vAlign w:val="center"/>
          </w:tcPr>
          <w:p w14:paraId="1ADB7B2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12.089.886</w:t>
            </w:r>
          </w:p>
        </w:tc>
      </w:tr>
      <w:tr w14:paraId="4E07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E914A2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5</w:t>
            </w:r>
          </w:p>
        </w:tc>
        <w:tc>
          <w:tcPr>
            <w:tcW w:w="1987" w:type="dxa"/>
            <w:shd w:val="clear" w:color="000000" w:fill="FFFFFF"/>
            <w:noWrap/>
            <w:vAlign w:val="center"/>
          </w:tcPr>
          <w:p w14:paraId="16D6748A">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khác (G</w:t>
            </w:r>
            <w:r>
              <w:rPr>
                <w:b/>
                <w:bCs/>
                <w:color w:val="000000" w:themeColor="text1"/>
                <w:sz w:val="19"/>
                <w:szCs w:val="19"/>
                <w:vertAlign w:val="subscript"/>
                <w14:textFill>
                  <w14:solidFill>
                    <w14:schemeClr w14:val="tx1"/>
                  </w14:solidFill>
                </w14:textFill>
              </w:rPr>
              <w:t>K</w:t>
            </w:r>
            <w:r>
              <w:rPr>
                <w:b/>
                <w:bCs/>
                <w:color w:val="000000" w:themeColor="text1"/>
                <w:sz w:val="19"/>
                <w:szCs w:val="19"/>
                <w14:textFill>
                  <w14:solidFill>
                    <w14:schemeClr w14:val="tx1"/>
                  </w14:solidFill>
                </w14:textFill>
              </w:rPr>
              <w:t>)</w:t>
            </w:r>
          </w:p>
        </w:tc>
        <w:tc>
          <w:tcPr>
            <w:tcW w:w="851" w:type="dxa"/>
            <w:shd w:val="clear" w:color="000000" w:fill="FFFFFF"/>
            <w:noWrap/>
            <w:vAlign w:val="center"/>
          </w:tcPr>
          <w:p w14:paraId="3C4198B7">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3B8C825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(5.1)+…+(5.10)</w:t>
            </w:r>
          </w:p>
        </w:tc>
        <w:tc>
          <w:tcPr>
            <w:tcW w:w="1680" w:type="dxa"/>
            <w:gridSpan w:val="2"/>
            <w:shd w:val="clear" w:color="000000" w:fill="FFFFFF"/>
            <w:noWrap/>
            <w:vAlign w:val="center"/>
          </w:tcPr>
          <w:p w14:paraId="18721A7B">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9.243.157.705</w:t>
            </w:r>
          </w:p>
        </w:tc>
        <w:tc>
          <w:tcPr>
            <w:tcW w:w="1559" w:type="dxa"/>
            <w:gridSpan w:val="2"/>
            <w:shd w:val="clear" w:color="000000" w:fill="FFFFFF"/>
            <w:noWrap/>
            <w:vAlign w:val="center"/>
          </w:tcPr>
          <w:p w14:paraId="6C6E9B5A">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739.452.616</w:t>
            </w:r>
          </w:p>
        </w:tc>
        <w:tc>
          <w:tcPr>
            <w:tcW w:w="1701" w:type="dxa"/>
            <w:gridSpan w:val="2"/>
            <w:shd w:val="clear" w:color="000000" w:fill="FFFFFF"/>
            <w:noWrap/>
            <w:vAlign w:val="center"/>
          </w:tcPr>
          <w:p w14:paraId="6A4AAE26">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9.982.610.321</w:t>
            </w:r>
          </w:p>
        </w:tc>
      </w:tr>
      <w:tr w14:paraId="6E2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4" w:type="dxa"/>
          <w:trHeight w:val="20" w:hRule="atLeast"/>
        </w:trPr>
        <w:tc>
          <w:tcPr>
            <w:tcW w:w="707" w:type="dxa"/>
            <w:shd w:val="clear" w:color="000000" w:fill="FFFFFF"/>
            <w:noWrap/>
            <w:vAlign w:val="center"/>
          </w:tcPr>
          <w:p w14:paraId="1E84FB9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5,1</w:t>
            </w:r>
          </w:p>
        </w:tc>
        <w:tc>
          <w:tcPr>
            <w:tcW w:w="1987" w:type="dxa"/>
            <w:shd w:val="clear" w:color="000000" w:fill="FFFFFF"/>
            <w:noWrap/>
            <w:vAlign w:val="center"/>
          </w:tcPr>
          <w:p w14:paraId="6EB55A5F">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bảo hiểm công trình</w:t>
            </w:r>
          </w:p>
        </w:tc>
        <w:tc>
          <w:tcPr>
            <w:tcW w:w="2129" w:type="dxa"/>
            <w:gridSpan w:val="2"/>
            <w:shd w:val="clear" w:color="000000" w:fill="FFFFFF"/>
            <w:noWrap/>
            <w:vAlign w:val="center"/>
          </w:tcPr>
          <w:p w14:paraId="3E58F26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Thông tư số 50/2022/TT-BTC 11/8/2022</w:t>
            </w:r>
          </w:p>
        </w:tc>
        <w:tc>
          <w:tcPr>
            <w:tcW w:w="1669" w:type="dxa"/>
            <w:shd w:val="clear" w:color="000000" w:fill="FFFFFF"/>
            <w:noWrap/>
            <w:vAlign w:val="center"/>
          </w:tcPr>
          <w:p w14:paraId="75578DD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463.347.231</w:t>
            </w:r>
          </w:p>
        </w:tc>
        <w:tc>
          <w:tcPr>
            <w:tcW w:w="1559" w:type="dxa"/>
            <w:gridSpan w:val="2"/>
            <w:shd w:val="clear" w:color="000000" w:fill="FFFFFF"/>
            <w:noWrap/>
            <w:vAlign w:val="center"/>
          </w:tcPr>
          <w:p w14:paraId="3AE85A3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37.067.778</w:t>
            </w:r>
          </w:p>
        </w:tc>
        <w:tc>
          <w:tcPr>
            <w:tcW w:w="1701" w:type="dxa"/>
            <w:gridSpan w:val="2"/>
            <w:shd w:val="clear" w:color="000000" w:fill="FFFFFF"/>
            <w:noWrap/>
            <w:vAlign w:val="center"/>
          </w:tcPr>
          <w:p w14:paraId="7ED9374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500.415.009</w:t>
            </w:r>
          </w:p>
        </w:tc>
      </w:tr>
      <w:tr w14:paraId="5CE0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480FAC5">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73212FE7">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Giao thông: Đường giao thông</w:t>
            </w:r>
          </w:p>
        </w:tc>
        <w:tc>
          <w:tcPr>
            <w:tcW w:w="851" w:type="dxa"/>
            <w:shd w:val="clear" w:color="000000" w:fill="FFFFFF"/>
            <w:noWrap/>
            <w:vAlign w:val="center"/>
          </w:tcPr>
          <w:p w14:paraId="5B37B70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0,250%</w:t>
            </w:r>
          </w:p>
        </w:tc>
        <w:tc>
          <w:tcPr>
            <w:tcW w:w="1278" w:type="dxa"/>
            <w:shd w:val="clear" w:color="000000" w:fill="FFFFFF"/>
            <w:noWrap/>
            <w:vAlign w:val="center"/>
          </w:tcPr>
          <w:p w14:paraId="0375D9DF">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5B33EE5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119.970.796</w:t>
            </w:r>
          </w:p>
        </w:tc>
        <w:tc>
          <w:tcPr>
            <w:tcW w:w="1559" w:type="dxa"/>
            <w:gridSpan w:val="2"/>
            <w:shd w:val="clear" w:color="000000" w:fill="FFFFFF"/>
            <w:noWrap/>
            <w:vAlign w:val="center"/>
          </w:tcPr>
          <w:p w14:paraId="724A7D0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9.597.664</w:t>
            </w:r>
          </w:p>
        </w:tc>
        <w:tc>
          <w:tcPr>
            <w:tcW w:w="1701" w:type="dxa"/>
            <w:gridSpan w:val="2"/>
            <w:shd w:val="clear" w:color="000000" w:fill="FFFFFF"/>
            <w:noWrap/>
            <w:vAlign w:val="center"/>
          </w:tcPr>
          <w:p w14:paraId="2EAA789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129.568.460</w:t>
            </w:r>
          </w:p>
        </w:tc>
      </w:tr>
      <w:tr w14:paraId="5D09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97B564A">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2BAA232F">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hạ tầng kỹ thuật: San nền, Cấp thoát nước, thông tin liên lạc, bãi đỗ xe</w:t>
            </w:r>
          </w:p>
        </w:tc>
        <w:tc>
          <w:tcPr>
            <w:tcW w:w="851" w:type="dxa"/>
            <w:shd w:val="clear" w:color="000000" w:fill="FFFFFF"/>
            <w:noWrap/>
            <w:vAlign w:val="center"/>
          </w:tcPr>
          <w:p w14:paraId="391494C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0,150%</w:t>
            </w:r>
          </w:p>
        </w:tc>
        <w:tc>
          <w:tcPr>
            <w:tcW w:w="1278" w:type="dxa"/>
            <w:shd w:val="clear" w:color="000000" w:fill="FFFFFF"/>
            <w:noWrap/>
            <w:vAlign w:val="center"/>
          </w:tcPr>
          <w:p w14:paraId="659D1DF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57936DF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171.370.802</w:t>
            </w:r>
          </w:p>
        </w:tc>
        <w:tc>
          <w:tcPr>
            <w:tcW w:w="1559" w:type="dxa"/>
            <w:gridSpan w:val="2"/>
            <w:shd w:val="clear" w:color="000000" w:fill="FFFFFF"/>
            <w:noWrap/>
            <w:vAlign w:val="center"/>
          </w:tcPr>
          <w:p w14:paraId="4DEF53E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13.709.664</w:t>
            </w:r>
          </w:p>
        </w:tc>
        <w:tc>
          <w:tcPr>
            <w:tcW w:w="1701" w:type="dxa"/>
            <w:gridSpan w:val="2"/>
            <w:shd w:val="clear" w:color="000000" w:fill="FFFFFF"/>
            <w:noWrap/>
            <w:vAlign w:val="center"/>
          </w:tcPr>
          <w:p w14:paraId="7172D2A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185.080.467</w:t>
            </w:r>
          </w:p>
        </w:tc>
      </w:tr>
      <w:tr w14:paraId="1AE0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9631380">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78EFE1C6">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công nghiệp: Cấp điện</w:t>
            </w:r>
          </w:p>
        </w:tc>
        <w:tc>
          <w:tcPr>
            <w:tcW w:w="851" w:type="dxa"/>
            <w:shd w:val="clear" w:color="000000" w:fill="FFFFFF"/>
            <w:noWrap/>
            <w:vAlign w:val="center"/>
          </w:tcPr>
          <w:p w14:paraId="25B565B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0,200%</w:t>
            </w:r>
          </w:p>
        </w:tc>
        <w:tc>
          <w:tcPr>
            <w:tcW w:w="1278" w:type="dxa"/>
            <w:shd w:val="clear" w:color="000000" w:fill="FFFFFF"/>
            <w:noWrap/>
            <w:vAlign w:val="center"/>
          </w:tcPr>
          <w:p w14:paraId="3B0AD50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299C0B7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62.836.745</w:t>
            </w:r>
          </w:p>
        </w:tc>
        <w:tc>
          <w:tcPr>
            <w:tcW w:w="1559" w:type="dxa"/>
            <w:gridSpan w:val="2"/>
            <w:shd w:val="clear" w:color="000000" w:fill="FFFFFF"/>
            <w:noWrap/>
            <w:vAlign w:val="center"/>
          </w:tcPr>
          <w:p w14:paraId="6270D9D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5.026.940</w:t>
            </w:r>
          </w:p>
        </w:tc>
        <w:tc>
          <w:tcPr>
            <w:tcW w:w="1701" w:type="dxa"/>
            <w:gridSpan w:val="2"/>
            <w:shd w:val="clear" w:color="000000" w:fill="FFFFFF"/>
            <w:noWrap/>
            <w:vAlign w:val="center"/>
          </w:tcPr>
          <w:p w14:paraId="1E616EB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67.863.685</w:t>
            </w:r>
          </w:p>
        </w:tc>
      </w:tr>
      <w:tr w14:paraId="652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14BA85F">
            <w:pPr>
              <w:jc w:val="center"/>
              <w:rPr>
                <w:color w:val="000000" w:themeColor="text1"/>
                <w:sz w:val="19"/>
                <w:szCs w:val="19"/>
                <w14:textFill>
                  <w14:solidFill>
                    <w14:schemeClr w14:val="tx1"/>
                  </w14:solidFill>
                </w14:textFill>
              </w:rPr>
            </w:pPr>
          </w:p>
        </w:tc>
        <w:tc>
          <w:tcPr>
            <w:tcW w:w="1987" w:type="dxa"/>
            <w:shd w:val="clear" w:color="000000" w:fill="FFFFFF"/>
            <w:noWrap/>
            <w:vAlign w:val="center"/>
          </w:tcPr>
          <w:p w14:paraId="6E86F8E2">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Công trình dân dụng: Nhà xây thô</w:t>
            </w:r>
          </w:p>
        </w:tc>
        <w:tc>
          <w:tcPr>
            <w:tcW w:w="851" w:type="dxa"/>
            <w:shd w:val="clear" w:color="000000" w:fill="FFFFFF"/>
            <w:noWrap/>
            <w:vAlign w:val="center"/>
          </w:tcPr>
          <w:p w14:paraId="4B06F50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0,080%</w:t>
            </w:r>
          </w:p>
        </w:tc>
        <w:tc>
          <w:tcPr>
            <w:tcW w:w="1278" w:type="dxa"/>
            <w:shd w:val="clear" w:color="000000" w:fill="FFFFFF"/>
            <w:noWrap/>
            <w:vAlign w:val="center"/>
          </w:tcPr>
          <w:p w14:paraId="64F3025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ĐMTL*G</w:t>
            </w:r>
            <w:r>
              <w:rPr>
                <w:color w:val="000000" w:themeColor="text1"/>
                <w:sz w:val="19"/>
                <w:szCs w:val="19"/>
                <w:vertAlign w:val="subscript"/>
                <w14:textFill>
                  <w14:solidFill>
                    <w14:schemeClr w14:val="tx1"/>
                  </w14:solidFill>
                </w14:textFill>
              </w:rPr>
              <w:t>XD</w:t>
            </w:r>
          </w:p>
        </w:tc>
        <w:tc>
          <w:tcPr>
            <w:tcW w:w="1680" w:type="dxa"/>
            <w:gridSpan w:val="2"/>
            <w:shd w:val="clear" w:color="000000" w:fill="FFFFFF"/>
            <w:noWrap/>
            <w:vAlign w:val="center"/>
          </w:tcPr>
          <w:p w14:paraId="59AE3DB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109.168.887</w:t>
            </w:r>
          </w:p>
        </w:tc>
        <w:tc>
          <w:tcPr>
            <w:tcW w:w="1559" w:type="dxa"/>
            <w:gridSpan w:val="2"/>
            <w:shd w:val="clear" w:color="000000" w:fill="FFFFFF"/>
            <w:noWrap/>
            <w:vAlign w:val="center"/>
          </w:tcPr>
          <w:p w14:paraId="0C827B7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8.733.511</w:t>
            </w:r>
          </w:p>
        </w:tc>
        <w:tc>
          <w:tcPr>
            <w:tcW w:w="1701" w:type="dxa"/>
            <w:gridSpan w:val="2"/>
            <w:shd w:val="clear" w:color="000000" w:fill="FFFFFF"/>
            <w:noWrap/>
            <w:vAlign w:val="center"/>
          </w:tcPr>
          <w:p w14:paraId="04C7198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117.902.398</w:t>
            </w:r>
          </w:p>
        </w:tc>
      </w:tr>
      <w:tr w14:paraId="2F8B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A92390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5,2</w:t>
            </w:r>
          </w:p>
        </w:tc>
        <w:tc>
          <w:tcPr>
            <w:tcW w:w="1987" w:type="dxa"/>
            <w:shd w:val="clear" w:color="000000" w:fill="FFFFFF"/>
            <w:noWrap/>
            <w:vAlign w:val="center"/>
          </w:tcPr>
          <w:p w14:paraId="46A3786C">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thẩm tra phê duyệt quyết toán vốn đầu tư</w:t>
            </w:r>
          </w:p>
        </w:tc>
        <w:tc>
          <w:tcPr>
            <w:tcW w:w="851" w:type="dxa"/>
            <w:shd w:val="clear" w:color="000000" w:fill="FFFFFF"/>
            <w:noWrap/>
            <w:vAlign w:val="center"/>
          </w:tcPr>
          <w:p w14:paraId="084F92C4">
            <w:pPr>
              <w:jc w:val="center"/>
              <w:rPr>
                <w:rFonts w:ascii=".VnTime" w:hAnsi=".VnTime"/>
                <w:color w:val="000000" w:themeColor="text1"/>
                <w:sz w:val="19"/>
                <w:szCs w:val="19"/>
                <w14:textFill>
                  <w14:solidFill>
                    <w14:schemeClr w14:val="tx1"/>
                  </w14:solidFill>
                </w14:textFill>
              </w:rPr>
            </w:pPr>
            <w:r>
              <w:rPr>
                <w:rFonts w:ascii=".VnTime" w:hAnsi=".VnTime"/>
                <w:color w:val="000000" w:themeColor="text1"/>
                <w:sz w:val="19"/>
                <w:szCs w:val="19"/>
                <w14:textFill>
                  <w14:solidFill>
                    <w14:schemeClr w14:val="tx1"/>
                  </w14:solidFill>
                </w14:textFill>
              </w:rPr>
              <w:t>0,136%</w:t>
            </w:r>
          </w:p>
        </w:tc>
        <w:tc>
          <w:tcPr>
            <w:tcW w:w="1278" w:type="dxa"/>
            <w:shd w:val="clear" w:color="000000" w:fill="FFFFFF"/>
            <w:vAlign w:val="center"/>
          </w:tcPr>
          <w:p w14:paraId="6FBE204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ĐMTL*0,5*(TMĐT-DP)</w:t>
            </w:r>
          </w:p>
        </w:tc>
        <w:tc>
          <w:tcPr>
            <w:tcW w:w="1680" w:type="dxa"/>
            <w:gridSpan w:val="2"/>
            <w:shd w:val="clear" w:color="000000" w:fill="FFFFFF"/>
            <w:noWrap/>
            <w:vAlign w:val="center"/>
          </w:tcPr>
          <w:p w14:paraId="6BE90AA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334.858.460</w:t>
            </w:r>
          </w:p>
        </w:tc>
        <w:tc>
          <w:tcPr>
            <w:tcW w:w="1559" w:type="dxa"/>
            <w:gridSpan w:val="2"/>
            <w:shd w:val="clear" w:color="000000" w:fill="FFFFFF"/>
            <w:noWrap/>
            <w:vAlign w:val="center"/>
          </w:tcPr>
          <w:p w14:paraId="664B626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26.788.677</w:t>
            </w:r>
          </w:p>
        </w:tc>
        <w:tc>
          <w:tcPr>
            <w:tcW w:w="1701" w:type="dxa"/>
            <w:gridSpan w:val="2"/>
            <w:shd w:val="clear" w:color="000000" w:fill="FFFFFF"/>
            <w:noWrap/>
            <w:vAlign w:val="center"/>
          </w:tcPr>
          <w:p w14:paraId="750A848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361.647.137</w:t>
            </w:r>
          </w:p>
        </w:tc>
      </w:tr>
      <w:tr w14:paraId="29DB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1BBE00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5,3</w:t>
            </w:r>
          </w:p>
        </w:tc>
        <w:tc>
          <w:tcPr>
            <w:tcW w:w="1987" w:type="dxa"/>
            <w:shd w:val="clear" w:color="000000" w:fill="FFFFFF"/>
            <w:noWrap/>
            <w:vAlign w:val="center"/>
          </w:tcPr>
          <w:p w14:paraId="3F8EFB56">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kiểm toán</w:t>
            </w:r>
          </w:p>
        </w:tc>
        <w:tc>
          <w:tcPr>
            <w:tcW w:w="851" w:type="dxa"/>
            <w:shd w:val="clear" w:color="000000" w:fill="FFFFFF"/>
            <w:noWrap/>
            <w:vAlign w:val="center"/>
          </w:tcPr>
          <w:p w14:paraId="6B4CD6F3">
            <w:pPr>
              <w:jc w:val="center"/>
              <w:rPr>
                <w:rFonts w:ascii=".VnTime" w:hAnsi=".VnTime"/>
                <w:color w:val="000000" w:themeColor="text1"/>
                <w:sz w:val="19"/>
                <w:szCs w:val="19"/>
                <w14:textFill>
                  <w14:solidFill>
                    <w14:schemeClr w14:val="tx1"/>
                  </w14:solidFill>
                </w14:textFill>
              </w:rPr>
            </w:pPr>
            <w:r>
              <w:rPr>
                <w:rFonts w:ascii=".VnTime" w:hAnsi=".VnTime"/>
                <w:color w:val="000000" w:themeColor="text1"/>
                <w:sz w:val="19"/>
                <w:szCs w:val="19"/>
                <w14:textFill>
                  <w14:solidFill>
                    <w14:schemeClr w14:val="tx1"/>
                  </w14:solidFill>
                </w14:textFill>
              </w:rPr>
              <w:t>0,196%</w:t>
            </w:r>
          </w:p>
        </w:tc>
        <w:tc>
          <w:tcPr>
            <w:tcW w:w="1278" w:type="dxa"/>
            <w:shd w:val="clear" w:color="000000" w:fill="FFFFFF"/>
            <w:vAlign w:val="center"/>
          </w:tcPr>
          <w:p w14:paraId="7DDF17C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ĐMTL*(TMĐT-DP)</w:t>
            </w:r>
          </w:p>
        </w:tc>
        <w:tc>
          <w:tcPr>
            <w:tcW w:w="1680" w:type="dxa"/>
            <w:gridSpan w:val="2"/>
            <w:shd w:val="clear" w:color="000000" w:fill="FFFFFF"/>
            <w:noWrap/>
            <w:vAlign w:val="center"/>
          </w:tcPr>
          <w:p w14:paraId="729FC53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967.426.564</w:t>
            </w:r>
          </w:p>
        </w:tc>
        <w:tc>
          <w:tcPr>
            <w:tcW w:w="1559" w:type="dxa"/>
            <w:gridSpan w:val="2"/>
            <w:shd w:val="clear" w:color="000000" w:fill="FFFFFF"/>
            <w:noWrap/>
            <w:vAlign w:val="center"/>
          </w:tcPr>
          <w:p w14:paraId="765CE6E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77.394.125</w:t>
            </w:r>
          </w:p>
        </w:tc>
        <w:tc>
          <w:tcPr>
            <w:tcW w:w="1701" w:type="dxa"/>
            <w:gridSpan w:val="2"/>
            <w:shd w:val="clear" w:color="000000" w:fill="FFFFFF"/>
            <w:noWrap/>
            <w:vAlign w:val="center"/>
          </w:tcPr>
          <w:p w14:paraId="651320B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1.044.820.690</w:t>
            </w:r>
          </w:p>
        </w:tc>
      </w:tr>
      <w:tr w14:paraId="1F6F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65CA14B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5,4</w:t>
            </w:r>
          </w:p>
        </w:tc>
        <w:tc>
          <w:tcPr>
            <w:tcW w:w="1987" w:type="dxa"/>
            <w:shd w:val="clear" w:color="000000" w:fill="FFFFFF"/>
            <w:noWrap/>
            <w:vAlign w:val="center"/>
          </w:tcPr>
          <w:p w14:paraId="14891B47">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cắm cọc giải phóng mặt bằng</w:t>
            </w:r>
          </w:p>
        </w:tc>
        <w:tc>
          <w:tcPr>
            <w:tcW w:w="851" w:type="dxa"/>
            <w:shd w:val="clear" w:color="000000" w:fill="FFFFFF"/>
            <w:noWrap/>
            <w:vAlign w:val="center"/>
          </w:tcPr>
          <w:p w14:paraId="6AE83D1F">
            <w:pPr>
              <w:jc w:val="center"/>
              <w:rPr>
                <w:color w:val="000000" w:themeColor="text1"/>
                <w:sz w:val="19"/>
                <w:szCs w:val="19"/>
                <w14:textFill>
                  <w14:solidFill>
                    <w14:schemeClr w14:val="tx1"/>
                  </w14:solidFill>
                </w14:textFill>
              </w:rPr>
            </w:pPr>
          </w:p>
        </w:tc>
        <w:tc>
          <w:tcPr>
            <w:tcW w:w="1278" w:type="dxa"/>
            <w:shd w:val="clear" w:color="000000" w:fill="FFFFFF"/>
            <w:vAlign w:val="center"/>
          </w:tcPr>
          <w:p w14:paraId="6A7DAF4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Tạm tính</w:t>
            </w:r>
          </w:p>
        </w:tc>
        <w:tc>
          <w:tcPr>
            <w:tcW w:w="1680" w:type="dxa"/>
            <w:gridSpan w:val="2"/>
            <w:shd w:val="clear" w:color="000000" w:fill="FFFFFF"/>
            <w:noWrap/>
            <w:vAlign w:val="center"/>
          </w:tcPr>
          <w:p w14:paraId="72BAB2C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324.074.074</w:t>
            </w:r>
          </w:p>
        </w:tc>
        <w:tc>
          <w:tcPr>
            <w:tcW w:w="1559" w:type="dxa"/>
            <w:gridSpan w:val="2"/>
            <w:shd w:val="clear" w:color="000000" w:fill="FFFFFF"/>
            <w:noWrap/>
            <w:vAlign w:val="center"/>
          </w:tcPr>
          <w:p w14:paraId="7F6950A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25.925.926</w:t>
            </w:r>
          </w:p>
        </w:tc>
        <w:tc>
          <w:tcPr>
            <w:tcW w:w="1701" w:type="dxa"/>
            <w:gridSpan w:val="2"/>
            <w:shd w:val="clear" w:color="000000" w:fill="FFFFFF"/>
            <w:noWrap/>
            <w:vAlign w:val="center"/>
          </w:tcPr>
          <w:p w14:paraId="0648519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350.000.000</w:t>
            </w:r>
          </w:p>
        </w:tc>
      </w:tr>
      <w:tr w14:paraId="403A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0594F1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5,5</w:t>
            </w:r>
          </w:p>
        </w:tc>
        <w:tc>
          <w:tcPr>
            <w:tcW w:w="1987" w:type="dxa"/>
            <w:shd w:val="clear" w:color="000000" w:fill="FFFFFF"/>
            <w:noWrap/>
            <w:vAlign w:val="center"/>
          </w:tcPr>
          <w:p w14:paraId="1D3CEED1">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lập hồ sơ mời thầu</w:t>
            </w:r>
          </w:p>
        </w:tc>
        <w:tc>
          <w:tcPr>
            <w:tcW w:w="851" w:type="dxa"/>
            <w:shd w:val="clear" w:color="000000" w:fill="FFFFFF"/>
            <w:noWrap/>
            <w:vAlign w:val="center"/>
          </w:tcPr>
          <w:p w14:paraId="45A29540">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0944A37A">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29403007">
            <w:pPr>
              <w:jc w:val="center"/>
              <w:rPr>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1E7F3292">
            <w:pPr>
              <w:jc w:val="center"/>
              <w:rPr>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10C3BD18">
            <w:pPr>
              <w:jc w:val="center"/>
              <w:rPr>
                <w:color w:val="000000" w:themeColor="text1"/>
                <w:sz w:val="19"/>
                <w:szCs w:val="19"/>
                <w14:textFill>
                  <w14:solidFill>
                    <w14:schemeClr w14:val="tx1"/>
                  </w14:solidFill>
                </w14:textFill>
              </w:rPr>
            </w:pPr>
          </w:p>
        </w:tc>
      </w:tr>
      <w:tr w14:paraId="642C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C6EBA98">
            <w:pPr>
              <w:jc w:val="center"/>
              <w:rPr>
                <w:i/>
                <w:iCs/>
                <w:color w:val="000000" w:themeColor="text1"/>
                <w:sz w:val="19"/>
                <w:szCs w:val="19"/>
                <w14:textFill>
                  <w14:solidFill>
                    <w14:schemeClr w14:val="tx1"/>
                  </w14:solidFill>
                </w14:textFill>
              </w:rPr>
            </w:pPr>
          </w:p>
        </w:tc>
        <w:tc>
          <w:tcPr>
            <w:tcW w:w="1987" w:type="dxa"/>
            <w:shd w:val="clear" w:color="000000" w:fill="FFFFFF"/>
            <w:noWrap/>
            <w:vAlign w:val="center"/>
          </w:tcPr>
          <w:p w14:paraId="0EF92054">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khảo sát, thiết kế BVTC</w:t>
            </w:r>
          </w:p>
        </w:tc>
        <w:tc>
          <w:tcPr>
            <w:tcW w:w="851" w:type="dxa"/>
            <w:shd w:val="clear" w:color="000000" w:fill="FFFFFF"/>
            <w:noWrap/>
            <w:vAlign w:val="center"/>
          </w:tcPr>
          <w:p w14:paraId="0659F87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0,100%</w:t>
            </w:r>
          </w:p>
        </w:tc>
        <w:tc>
          <w:tcPr>
            <w:tcW w:w="1278" w:type="dxa"/>
            <w:vMerge w:val="restart"/>
            <w:vAlign w:val="center"/>
          </w:tcPr>
          <w:p w14:paraId="449D4DF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NĐ số 24/2024/NĐ-CP ngày 27/02/2024</w:t>
            </w:r>
          </w:p>
        </w:tc>
        <w:tc>
          <w:tcPr>
            <w:tcW w:w="1680" w:type="dxa"/>
            <w:gridSpan w:val="2"/>
            <w:shd w:val="clear" w:color="000000" w:fill="FFFFFF"/>
            <w:noWrap/>
            <w:vAlign w:val="center"/>
          </w:tcPr>
          <w:p w14:paraId="61C5A03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4.690.128</w:t>
            </w:r>
          </w:p>
        </w:tc>
        <w:tc>
          <w:tcPr>
            <w:tcW w:w="1559" w:type="dxa"/>
            <w:gridSpan w:val="2"/>
            <w:shd w:val="clear" w:color="000000" w:fill="FFFFFF"/>
            <w:noWrap/>
            <w:vAlign w:val="center"/>
          </w:tcPr>
          <w:p w14:paraId="759FB4B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375.210</w:t>
            </w:r>
          </w:p>
        </w:tc>
        <w:tc>
          <w:tcPr>
            <w:tcW w:w="1701" w:type="dxa"/>
            <w:gridSpan w:val="2"/>
            <w:shd w:val="clear" w:color="000000" w:fill="FFFFFF"/>
            <w:noWrap/>
            <w:vAlign w:val="center"/>
          </w:tcPr>
          <w:p w14:paraId="0AE3E74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5.065.338</w:t>
            </w:r>
          </w:p>
        </w:tc>
      </w:tr>
      <w:tr w14:paraId="7A0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C541FDD">
            <w:pPr>
              <w:jc w:val="center"/>
              <w:rPr>
                <w:i/>
                <w:iCs/>
                <w:color w:val="000000" w:themeColor="text1"/>
                <w:sz w:val="19"/>
                <w:szCs w:val="19"/>
                <w14:textFill>
                  <w14:solidFill>
                    <w14:schemeClr w14:val="tx1"/>
                  </w14:solidFill>
                </w14:textFill>
              </w:rPr>
            </w:pPr>
          </w:p>
        </w:tc>
        <w:tc>
          <w:tcPr>
            <w:tcW w:w="1987" w:type="dxa"/>
            <w:shd w:val="clear" w:color="000000" w:fill="FFFFFF"/>
            <w:noWrap/>
            <w:vAlign w:val="center"/>
          </w:tcPr>
          <w:p w14:paraId="62571F66">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thi công xây lắp</w:t>
            </w:r>
          </w:p>
        </w:tc>
        <w:tc>
          <w:tcPr>
            <w:tcW w:w="851" w:type="dxa"/>
            <w:shd w:val="clear" w:color="000000" w:fill="FFFFFF"/>
            <w:noWrap/>
            <w:vAlign w:val="center"/>
          </w:tcPr>
          <w:p w14:paraId="435C7C2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MTĐ</w:t>
            </w:r>
          </w:p>
        </w:tc>
        <w:tc>
          <w:tcPr>
            <w:tcW w:w="1278" w:type="dxa"/>
            <w:vMerge w:val="continue"/>
            <w:vAlign w:val="center"/>
          </w:tcPr>
          <w:p w14:paraId="4E138D74">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5F26783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55.555.556</w:t>
            </w:r>
          </w:p>
        </w:tc>
        <w:tc>
          <w:tcPr>
            <w:tcW w:w="1559" w:type="dxa"/>
            <w:gridSpan w:val="2"/>
            <w:shd w:val="clear" w:color="000000" w:fill="FFFFFF"/>
            <w:noWrap/>
            <w:vAlign w:val="center"/>
          </w:tcPr>
          <w:p w14:paraId="61DE2D4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4.444.444</w:t>
            </w:r>
          </w:p>
        </w:tc>
        <w:tc>
          <w:tcPr>
            <w:tcW w:w="1701" w:type="dxa"/>
            <w:gridSpan w:val="2"/>
            <w:shd w:val="clear" w:color="000000" w:fill="FFFFFF"/>
            <w:noWrap/>
            <w:vAlign w:val="center"/>
          </w:tcPr>
          <w:p w14:paraId="237C7E4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60.000.000</w:t>
            </w:r>
          </w:p>
        </w:tc>
      </w:tr>
      <w:tr w14:paraId="1B4F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9AEF97C">
            <w:pPr>
              <w:jc w:val="center"/>
              <w:rPr>
                <w:i/>
                <w:iCs/>
                <w:color w:val="000000" w:themeColor="text1"/>
                <w:sz w:val="19"/>
                <w:szCs w:val="19"/>
                <w14:textFill>
                  <w14:solidFill>
                    <w14:schemeClr w14:val="tx1"/>
                  </w14:solidFill>
                </w14:textFill>
              </w:rPr>
            </w:pPr>
          </w:p>
        </w:tc>
        <w:tc>
          <w:tcPr>
            <w:tcW w:w="1987" w:type="dxa"/>
            <w:shd w:val="clear" w:color="000000" w:fill="FFFFFF"/>
            <w:noWrap/>
            <w:vAlign w:val="center"/>
          </w:tcPr>
          <w:p w14:paraId="18A5D281">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giám sát thi công</w:t>
            </w:r>
          </w:p>
        </w:tc>
        <w:tc>
          <w:tcPr>
            <w:tcW w:w="851" w:type="dxa"/>
            <w:shd w:val="clear" w:color="000000" w:fill="FFFFFF"/>
            <w:noWrap/>
            <w:vAlign w:val="center"/>
          </w:tcPr>
          <w:p w14:paraId="2C896B2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0,100%</w:t>
            </w:r>
          </w:p>
        </w:tc>
        <w:tc>
          <w:tcPr>
            <w:tcW w:w="1278" w:type="dxa"/>
            <w:vMerge w:val="continue"/>
            <w:vAlign w:val="center"/>
          </w:tcPr>
          <w:p w14:paraId="2EE01A79">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666457F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4.143.750</w:t>
            </w:r>
          </w:p>
        </w:tc>
        <w:tc>
          <w:tcPr>
            <w:tcW w:w="1559" w:type="dxa"/>
            <w:gridSpan w:val="2"/>
            <w:shd w:val="clear" w:color="000000" w:fill="FFFFFF"/>
            <w:noWrap/>
            <w:vAlign w:val="center"/>
          </w:tcPr>
          <w:p w14:paraId="3290826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331.500</w:t>
            </w:r>
          </w:p>
        </w:tc>
        <w:tc>
          <w:tcPr>
            <w:tcW w:w="1701" w:type="dxa"/>
            <w:gridSpan w:val="2"/>
            <w:shd w:val="clear" w:color="000000" w:fill="FFFFFF"/>
            <w:noWrap/>
            <w:vAlign w:val="center"/>
          </w:tcPr>
          <w:p w14:paraId="6CE7FFD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4.475.250</w:t>
            </w:r>
          </w:p>
        </w:tc>
      </w:tr>
      <w:tr w14:paraId="560B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72A35F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5,6</w:t>
            </w:r>
          </w:p>
        </w:tc>
        <w:tc>
          <w:tcPr>
            <w:tcW w:w="1987" w:type="dxa"/>
            <w:shd w:val="clear" w:color="000000" w:fill="FFFFFF"/>
            <w:noWrap/>
            <w:vAlign w:val="center"/>
          </w:tcPr>
          <w:p w14:paraId="09643CF7">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thẩm định kết quả lựa chọn nhà thầu</w:t>
            </w:r>
          </w:p>
        </w:tc>
        <w:tc>
          <w:tcPr>
            <w:tcW w:w="851" w:type="dxa"/>
            <w:shd w:val="clear" w:color="000000" w:fill="FFFFFF"/>
            <w:noWrap/>
            <w:vAlign w:val="center"/>
          </w:tcPr>
          <w:p w14:paraId="65837E1C">
            <w:pPr>
              <w:jc w:val="center"/>
              <w:rPr>
                <w:color w:val="000000" w:themeColor="text1"/>
                <w:sz w:val="19"/>
                <w:szCs w:val="19"/>
                <w14:textFill>
                  <w14:solidFill>
                    <w14:schemeClr w14:val="tx1"/>
                  </w14:solidFill>
                </w14:textFill>
              </w:rPr>
            </w:pPr>
          </w:p>
        </w:tc>
        <w:tc>
          <w:tcPr>
            <w:tcW w:w="1278" w:type="dxa"/>
            <w:noWrap/>
            <w:vAlign w:val="center"/>
          </w:tcPr>
          <w:p w14:paraId="0089E2B9">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44CB91EC">
            <w:pPr>
              <w:jc w:val="center"/>
              <w:rPr>
                <w:color w:val="000000" w:themeColor="text1"/>
                <w:sz w:val="19"/>
                <w:szCs w:val="19"/>
                <w14:textFill>
                  <w14:solidFill>
                    <w14:schemeClr w14:val="tx1"/>
                  </w14:solidFill>
                </w14:textFill>
              </w:rPr>
            </w:pPr>
          </w:p>
        </w:tc>
        <w:tc>
          <w:tcPr>
            <w:tcW w:w="1559" w:type="dxa"/>
            <w:gridSpan w:val="2"/>
            <w:shd w:val="clear" w:color="000000" w:fill="FFFFFF"/>
            <w:noWrap/>
            <w:vAlign w:val="center"/>
          </w:tcPr>
          <w:p w14:paraId="50A9E5D9">
            <w:pPr>
              <w:jc w:val="center"/>
              <w:rPr>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20E39658">
            <w:pPr>
              <w:jc w:val="center"/>
              <w:rPr>
                <w:color w:val="000000" w:themeColor="text1"/>
                <w:sz w:val="19"/>
                <w:szCs w:val="19"/>
                <w14:textFill>
                  <w14:solidFill>
                    <w14:schemeClr w14:val="tx1"/>
                  </w14:solidFill>
                </w14:textFill>
              </w:rPr>
            </w:pPr>
          </w:p>
        </w:tc>
      </w:tr>
      <w:tr w14:paraId="67E4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D612731">
            <w:pPr>
              <w:jc w:val="center"/>
              <w:rPr>
                <w:i/>
                <w:iCs/>
                <w:color w:val="000000" w:themeColor="text1"/>
                <w:sz w:val="19"/>
                <w:szCs w:val="19"/>
                <w14:textFill>
                  <w14:solidFill>
                    <w14:schemeClr w14:val="tx1"/>
                  </w14:solidFill>
                </w14:textFill>
              </w:rPr>
            </w:pPr>
          </w:p>
        </w:tc>
        <w:tc>
          <w:tcPr>
            <w:tcW w:w="1987" w:type="dxa"/>
            <w:shd w:val="clear" w:color="000000" w:fill="FFFFFF"/>
            <w:noWrap/>
            <w:vAlign w:val="center"/>
          </w:tcPr>
          <w:p w14:paraId="63294C01">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khảo sát, thiết kế BVTC</w:t>
            </w:r>
          </w:p>
        </w:tc>
        <w:tc>
          <w:tcPr>
            <w:tcW w:w="851" w:type="dxa"/>
            <w:shd w:val="clear" w:color="000000" w:fill="FFFFFF"/>
            <w:noWrap/>
            <w:vAlign w:val="center"/>
          </w:tcPr>
          <w:p w14:paraId="4255ADF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0,100%</w:t>
            </w:r>
          </w:p>
        </w:tc>
        <w:tc>
          <w:tcPr>
            <w:tcW w:w="1278" w:type="dxa"/>
            <w:vMerge w:val="restart"/>
            <w:vAlign w:val="center"/>
          </w:tcPr>
          <w:p w14:paraId="6BFF89E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NĐ số 24/2024/NĐ-CP ngày 27/02/2024</w:t>
            </w:r>
          </w:p>
        </w:tc>
        <w:tc>
          <w:tcPr>
            <w:tcW w:w="1680" w:type="dxa"/>
            <w:gridSpan w:val="2"/>
            <w:shd w:val="clear" w:color="000000" w:fill="FFFFFF"/>
            <w:noWrap/>
            <w:vAlign w:val="center"/>
          </w:tcPr>
          <w:p w14:paraId="455A9DCA">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4.690.128</w:t>
            </w:r>
          </w:p>
        </w:tc>
        <w:tc>
          <w:tcPr>
            <w:tcW w:w="1559" w:type="dxa"/>
            <w:gridSpan w:val="2"/>
            <w:shd w:val="clear" w:color="000000" w:fill="FFFFFF"/>
            <w:noWrap/>
            <w:vAlign w:val="center"/>
          </w:tcPr>
          <w:p w14:paraId="406428D2">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375.210</w:t>
            </w:r>
          </w:p>
        </w:tc>
        <w:tc>
          <w:tcPr>
            <w:tcW w:w="1701" w:type="dxa"/>
            <w:gridSpan w:val="2"/>
            <w:shd w:val="clear" w:color="000000" w:fill="FFFFFF"/>
            <w:noWrap/>
            <w:vAlign w:val="center"/>
          </w:tcPr>
          <w:p w14:paraId="5D7EE35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5.065.338</w:t>
            </w:r>
          </w:p>
        </w:tc>
      </w:tr>
      <w:tr w14:paraId="341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44EC0E56">
            <w:pPr>
              <w:jc w:val="center"/>
              <w:rPr>
                <w:i/>
                <w:iCs/>
                <w:color w:val="000000" w:themeColor="text1"/>
                <w:sz w:val="19"/>
                <w:szCs w:val="19"/>
                <w14:textFill>
                  <w14:solidFill>
                    <w14:schemeClr w14:val="tx1"/>
                  </w14:solidFill>
                </w14:textFill>
              </w:rPr>
            </w:pPr>
          </w:p>
        </w:tc>
        <w:tc>
          <w:tcPr>
            <w:tcW w:w="1987" w:type="dxa"/>
            <w:shd w:val="clear" w:color="000000" w:fill="FFFFFF"/>
            <w:noWrap/>
            <w:vAlign w:val="center"/>
          </w:tcPr>
          <w:p w14:paraId="2EEECF30">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thi công xây lắp</w:t>
            </w:r>
          </w:p>
        </w:tc>
        <w:tc>
          <w:tcPr>
            <w:tcW w:w="851" w:type="dxa"/>
            <w:shd w:val="clear" w:color="000000" w:fill="FFFFFF"/>
            <w:noWrap/>
            <w:vAlign w:val="center"/>
          </w:tcPr>
          <w:p w14:paraId="1A8F250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MTĐ</w:t>
            </w:r>
          </w:p>
        </w:tc>
        <w:tc>
          <w:tcPr>
            <w:tcW w:w="1278" w:type="dxa"/>
            <w:vMerge w:val="continue"/>
            <w:vAlign w:val="center"/>
          </w:tcPr>
          <w:p w14:paraId="008C470D">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208E787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55.555.556</w:t>
            </w:r>
          </w:p>
        </w:tc>
        <w:tc>
          <w:tcPr>
            <w:tcW w:w="1559" w:type="dxa"/>
            <w:gridSpan w:val="2"/>
            <w:shd w:val="clear" w:color="000000" w:fill="FFFFFF"/>
            <w:noWrap/>
            <w:vAlign w:val="center"/>
          </w:tcPr>
          <w:p w14:paraId="14B056A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4.444.444</w:t>
            </w:r>
          </w:p>
        </w:tc>
        <w:tc>
          <w:tcPr>
            <w:tcW w:w="1701" w:type="dxa"/>
            <w:gridSpan w:val="2"/>
            <w:shd w:val="clear" w:color="000000" w:fill="FFFFFF"/>
            <w:noWrap/>
            <w:vAlign w:val="center"/>
          </w:tcPr>
          <w:p w14:paraId="4BF93FD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60.000.000</w:t>
            </w:r>
          </w:p>
        </w:tc>
      </w:tr>
      <w:tr w14:paraId="3CA1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E345762">
            <w:pPr>
              <w:jc w:val="center"/>
              <w:rPr>
                <w:i/>
                <w:iCs/>
                <w:color w:val="000000" w:themeColor="text1"/>
                <w:sz w:val="19"/>
                <w:szCs w:val="19"/>
                <w14:textFill>
                  <w14:solidFill>
                    <w14:schemeClr w14:val="tx1"/>
                  </w14:solidFill>
                </w14:textFill>
              </w:rPr>
            </w:pPr>
          </w:p>
        </w:tc>
        <w:tc>
          <w:tcPr>
            <w:tcW w:w="1987" w:type="dxa"/>
            <w:shd w:val="clear" w:color="000000" w:fill="FFFFFF"/>
            <w:noWrap/>
            <w:vAlign w:val="center"/>
          </w:tcPr>
          <w:p w14:paraId="29091635">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Gói thầu giám sát thi công</w:t>
            </w:r>
          </w:p>
        </w:tc>
        <w:tc>
          <w:tcPr>
            <w:tcW w:w="851" w:type="dxa"/>
            <w:shd w:val="clear" w:color="000000" w:fill="FFFFFF"/>
            <w:noWrap/>
            <w:vAlign w:val="center"/>
          </w:tcPr>
          <w:p w14:paraId="5CA5AD4B">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0,100%</w:t>
            </w:r>
          </w:p>
        </w:tc>
        <w:tc>
          <w:tcPr>
            <w:tcW w:w="1278" w:type="dxa"/>
            <w:vMerge w:val="continue"/>
            <w:vAlign w:val="center"/>
          </w:tcPr>
          <w:p w14:paraId="5AF5FF5F">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2A52B34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4.143.750</w:t>
            </w:r>
          </w:p>
        </w:tc>
        <w:tc>
          <w:tcPr>
            <w:tcW w:w="1559" w:type="dxa"/>
            <w:gridSpan w:val="2"/>
            <w:shd w:val="clear" w:color="000000" w:fill="FFFFFF"/>
            <w:noWrap/>
            <w:vAlign w:val="center"/>
          </w:tcPr>
          <w:p w14:paraId="41B4ADD8">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331.500</w:t>
            </w:r>
          </w:p>
        </w:tc>
        <w:tc>
          <w:tcPr>
            <w:tcW w:w="1701" w:type="dxa"/>
            <w:gridSpan w:val="2"/>
            <w:shd w:val="clear" w:color="000000" w:fill="FFFFFF"/>
            <w:noWrap/>
            <w:vAlign w:val="center"/>
          </w:tcPr>
          <w:p w14:paraId="4B7E056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4.475.250</w:t>
            </w:r>
          </w:p>
        </w:tc>
      </w:tr>
      <w:tr w14:paraId="7017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5CCB24A">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5,7</w:t>
            </w:r>
          </w:p>
        </w:tc>
        <w:tc>
          <w:tcPr>
            <w:tcW w:w="1987" w:type="dxa"/>
            <w:shd w:val="clear" w:color="000000" w:fill="FFFFFF"/>
            <w:noWrap/>
            <w:vAlign w:val="center"/>
          </w:tcPr>
          <w:p w14:paraId="38E079E7">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đóng điện bàn giao</w:t>
            </w:r>
          </w:p>
        </w:tc>
        <w:tc>
          <w:tcPr>
            <w:tcW w:w="851" w:type="dxa"/>
            <w:shd w:val="clear" w:color="000000" w:fill="FFFFFF"/>
            <w:noWrap/>
            <w:vAlign w:val="center"/>
          </w:tcPr>
          <w:p w14:paraId="16B17587">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30F67105">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Tạm tính</w:t>
            </w:r>
          </w:p>
        </w:tc>
        <w:tc>
          <w:tcPr>
            <w:tcW w:w="1680" w:type="dxa"/>
            <w:gridSpan w:val="2"/>
            <w:shd w:val="clear" w:color="000000" w:fill="FFFFFF"/>
            <w:noWrap/>
            <w:vAlign w:val="center"/>
          </w:tcPr>
          <w:p w14:paraId="795A9066">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23.148.148</w:t>
            </w:r>
          </w:p>
        </w:tc>
        <w:tc>
          <w:tcPr>
            <w:tcW w:w="1559" w:type="dxa"/>
            <w:gridSpan w:val="2"/>
            <w:shd w:val="clear" w:color="000000" w:fill="FFFFFF"/>
            <w:noWrap/>
            <w:vAlign w:val="center"/>
          </w:tcPr>
          <w:p w14:paraId="2262931D">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1.851.852</w:t>
            </w:r>
          </w:p>
        </w:tc>
        <w:tc>
          <w:tcPr>
            <w:tcW w:w="1701" w:type="dxa"/>
            <w:gridSpan w:val="2"/>
            <w:shd w:val="clear" w:color="000000" w:fill="FFFFFF"/>
            <w:noWrap/>
            <w:vAlign w:val="center"/>
          </w:tcPr>
          <w:p w14:paraId="3AB2955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25.000.000</w:t>
            </w:r>
          </w:p>
        </w:tc>
      </w:tr>
      <w:tr w14:paraId="4C3B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53108327">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5,8</w:t>
            </w:r>
          </w:p>
        </w:tc>
        <w:tc>
          <w:tcPr>
            <w:tcW w:w="1987" w:type="dxa"/>
            <w:shd w:val="clear" w:color="000000" w:fill="FFFFFF"/>
            <w:noWrap/>
            <w:vAlign w:val="center"/>
          </w:tcPr>
          <w:p w14:paraId="3B844F9A">
            <w:pP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Chi phí bảo vệ môi trường</w:t>
            </w:r>
          </w:p>
        </w:tc>
        <w:tc>
          <w:tcPr>
            <w:tcW w:w="851" w:type="dxa"/>
            <w:shd w:val="clear" w:color="000000" w:fill="FFFFFF"/>
            <w:noWrap/>
            <w:vAlign w:val="center"/>
          </w:tcPr>
          <w:p w14:paraId="5DEE9804">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254ABFD3">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Có bảng tính</w:t>
            </w:r>
          </w:p>
        </w:tc>
        <w:tc>
          <w:tcPr>
            <w:tcW w:w="1680" w:type="dxa"/>
            <w:gridSpan w:val="2"/>
            <w:shd w:val="clear" w:color="000000" w:fill="FFFFFF"/>
            <w:noWrap/>
            <w:vAlign w:val="center"/>
          </w:tcPr>
          <w:p w14:paraId="3FADCA7C">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6.538.177.129</w:t>
            </w:r>
          </w:p>
        </w:tc>
        <w:tc>
          <w:tcPr>
            <w:tcW w:w="1559" w:type="dxa"/>
            <w:gridSpan w:val="2"/>
            <w:shd w:val="clear" w:color="000000" w:fill="FFFFFF"/>
            <w:noWrap/>
            <w:vAlign w:val="center"/>
          </w:tcPr>
          <w:p w14:paraId="093DBFCE">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523.054.170</w:t>
            </w:r>
          </w:p>
        </w:tc>
        <w:tc>
          <w:tcPr>
            <w:tcW w:w="1701" w:type="dxa"/>
            <w:gridSpan w:val="2"/>
            <w:shd w:val="clear" w:color="000000" w:fill="FFFFFF"/>
            <w:noWrap/>
            <w:vAlign w:val="center"/>
          </w:tcPr>
          <w:p w14:paraId="20F403A0">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7.061.231.299</w:t>
            </w:r>
          </w:p>
        </w:tc>
      </w:tr>
      <w:tr w14:paraId="46E0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EB539CE">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6</w:t>
            </w:r>
          </w:p>
        </w:tc>
        <w:tc>
          <w:tcPr>
            <w:tcW w:w="1987" w:type="dxa"/>
            <w:shd w:val="clear" w:color="000000" w:fill="FFFFFF"/>
            <w:noWrap/>
            <w:vAlign w:val="center"/>
          </w:tcPr>
          <w:p w14:paraId="79775CE3">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dự phòng (G</w:t>
            </w:r>
            <w:r>
              <w:rPr>
                <w:b/>
                <w:bCs/>
                <w:color w:val="000000" w:themeColor="text1"/>
                <w:sz w:val="19"/>
                <w:szCs w:val="19"/>
                <w:vertAlign w:val="subscript"/>
                <w14:textFill>
                  <w14:solidFill>
                    <w14:schemeClr w14:val="tx1"/>
                  </w14:solidFill>
                </w14:textFill>
              </w:rPr>
              <w:t>DP</w:t>
            </w:r>
            <w:r>
              <w:rPr>
                <w:b/>
                <w:bCs/>
                <w:color w:val="000000" w:themeColor="text1"/>
                <w:sz w:val="19"/>
                <w:szCs w:val="19"/>
                <w14:textFill>
                  <w14:solidFill>
                    <w14:schemeClr w14:val="tx1"/>
                  </w14:solidFill>
                </w14:textFill>
              </w:rPr>
              <w:t>)</w:t>
            </w:r>
          </w:p>
        </w:tc>
        <w:tc>
          <w:tcPr>
            <w:tcW w:w="851" w:type="dxa"/>
            <w:shd w:val="clear" w:color="000000" w:fill="FFFFFF"/>
            <w:noWrap/>
            <w:vAlign w:val="center"/>
          </w:tcPr>
          <w:p w14:paraId="7333747C">
            <w:pPr>
              <w:jc w:val="center"/>
              <w:rPr>
                <w:color w:val="000000" w:themeColor="text1"/>
                <w:sz w:val="19"/>
                <w:szCs w:val="19"/>
                <w14:textFill>
                  <w14:solidFill>
                    <w14:schemeClr w14:val="tx1"/>
                  </w14:solidFill>
                </w14:textFill>
              </w:rPr>
            </w:pPr>
          </w:p>
        </w:tc>
        <w:tc>
          <w:tcPr>
            <w:tcW w:w="1278" w:type="dxa"/>
            <w:shd w:val="clear" w:color="000000" w:fill="FFFFFF"/>
            <w:noWrap/>
            <w:vAlign w:val="center"/>
          </w:tcPr>
          <w:p w14:paraId="1808BB5A">
            <w:pPr>
              <w:jc w:val="center"/>
              <w:rPr>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22081A61">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27.841.487.953</w:t>
            </w:r>
          </w:p>
        </w:tc>
        <w:tc>
          <w:tcPr>
            <w:tcW w:w="1559" w:type="dxa"/>
            <w:gridSpan w:val="2"/>
            <w:shd w:val="clear" w:color="000000" w:fill="FFFFFF"/>
            <w:noWrap/>
            <w:vAlign w:val="center"/>
          </w:tcPr>
          <w:p w14:paraId="2BE8B4EF">
            <w:pPr>
              <w:jc w:val="center"/>
              <w:rPr>
                <w:b/>
                <w:b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1972096C">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27.841.487.953</w:t>
            </w:r>
          </w:p>
        </w:tc>
      </w:tr>
      <w:tr w14:paraId="0038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0CA9E02">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6,1</w:t>
            </w:r>
          </w:p>
        </w:tc>
        <w:tc>
          <w:tcPr>
            <w:tcW w:w="1987" w:type="dxa"/>
            <w:shd w:val="clear" w:color="000000" w:fill="FFFFFF"/>
            <w:noWrap/>
            <w:vAlign w:val="center"/>
          </w:tcPr>
          <w:p w14:paraId="181C66BB">
            <w:pP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Chi phí dự phòng áp dụng cho phần xây lắp</w:t>
            </w:r>
          </w:p>
        </w:tc>
        <w:tc>
          <w:tcPr>
            <w:tcW w:w="851" w:type="dxa"/>
            <w:shd w:val="clear" w:color="000000" w:fill="FFFFFF"/>
            <w:noWrap/>
            <w:vAlign w:val="center"/>
          </w:tcPr>
          <w:p w14:paraId="149DC9A9">
            <w:pPr>
              <w:jc w:val="center"/>
              <w:rPr>
                <w:i/>
                <w:iCs/>
                <w:color w:val="000000" w:themeColor="text1"/>
                <w:sz w:val="19"/>
                <w:szCs w:val="19"/>
                <w14:textFill>
                  <w14:solidFill>
                    <w14:schemeClr w14:val="tx1"/>
                  </w14:solidFill>
                </w14:textFill>
              </w:rPr>
            </w:pPr>
          </w:p>
        </w:tc>
        <w:tc>
          <w:tcPr>
            <w:tcW w:w="1278" w:type="dxa"/>
            <w:shd w:val="clear" w:color="000000" w:fill="FFFFFF"/>
            <w:noWrap/>
            <w:vAlign w:val="center"/>
          </w:tcPr>
          <w:p w14:paraId="044E14F1">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5%</w:t>
            </w:r>
          </w:p>
        </w:tc>
        <w:tc>
          <w:tcPr>
            <w:tcW w:w="1680" w:type="dxa"/>
            <w:gridSpan w:val="2"/>
            <w:shd w:val="clear" w:color="000000" w:fill="FFFFFF"/>
            <w:noWrap/>
            <w:vAlign w:val="center"/>
          </w:tcPr>
          <w:p w14:paraId="42860C09">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20.316.124.170</w:t>
            </w:r>
          </w:p>
        </w:tc>
        <w:tc>
          <w:tcPr>
            <w:tcW w:w="1559" w:type="dxa"/>
            <w:gridSpan w:val="2"/>
            <w:shd w:val="clear" w:color="000000" w:fill="FFFFFF"/>
            <w:noWrap/>
            <w:vAlign w:val="center"/>
          </w:tcPr>
          <w:p w14:paraId="2B888EBC">
            <w:pPr>
              <w:jc w:val="center"/>
              <w:rPr>
                <w:i/>
                <w:i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30D8977E">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20.316.124.170</w:t>
            </w:r>
          </w:p>
        </w:tc>
      </w:tr>
      <w:tr w14:paraId="2B88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133C5623">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6,2</w:t>
            </w:r>
          </w:p>
        </w:tc>
        <w:tc>
          <w:tcPr>
            <w:tcW w:w="1987" w:type="dxa"/>
            <w:shd w:val="clear" w:color="000000" w:fill="FFFFFF"/>
            <w:noWrap/>
            <w:vAlign w:val="center"/>
          </w:tcPr>
          <w:p w14:paraId="0CC133B8">
            <w:pP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Chi phí dự phòng thuế GTGT</w:t>
            </w:r>
          </w:p>
        </w:tc>
        <w:tc>
          <w:tcPr>
            <w:tcW w:w="851" w:type="dxa"/>
            <w:shd w:val="clear" w:color="000000" w:fill="FFFFFF"/>
            <w:noWrap/>
            <w:vAlign w:val="center"/>
          </w:tcPr>
          <w:p w14:paraId="6AE9C1C2">
            <w:pPr>
              <w:jc w:val="center"/>
              <w:rPr>
                <w:i/>
                <w:iCs/>
                <w:color w:val="000000" w:themeColor="text1"/>
                <w:sz w:val="19"/>
                <w:szCs w:val="19"/>
                <w14:textFill>
                  <w14:solidFill>
                    <w14:schemeClr w14:val="tx1"/>
                  </w14:solidFill>
                </w14:textFill>
              </w:rPr>
            </w:pPr>
          </w:p>
        </w:tc>
        <w:tc>
          <w:tcPr>
            <w:tcW w:w="1278" w:type="dxa"/>
            <w:shd w:val="clear" w:color="000000" w:fill="FFFFFF"/>
            <w:noWrap/>
            <w:vAlign w:val="center"/>
          </w:tcPr>
          <w:p w14:paraId="24BB3069">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2%</w:t>
            </w:r>
          </w:p>
        </w:tc>
        <w:tc>
          <w:tcPr>
            <w:tcW w:w="1680" w:type="dxa"/>
            <w:gridSpan w:val="2"/>
            <w:shd w:val="clear" w:color="000000" w:fill="FFFFFF"/>
            <w:noWrap/>
            <w:vAlign w:val="center"/>
          </w:tcPr>
          <w:p w14:paraId="3C3CFEA4">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7.525.363.783</w:t>
            </w:r>
          </w:p>
        </w:tc>
        <w:tc>
          <w:tcPr>
            <w:tcW w:w="1559" w:type="dxa"/>
            <w:gridSpan w:val="2"/>
            <w:shd w:val="clear" w:color="000000" w:fill="FFFFFF"/>
            <w:noWrap/>
            <w:vAlign w:val="center"/>
          </w:tcPr>
          <w:p w14:paraId="0B01B2E5">
            <w:pPr>
              <w:jc w:val="center"/>
              <w:rPr>
                <w:i/>
                <w:iCs/>
                <w:color w:val="000000" w:themeColor="text1"/>
                <w:sz w:val="19"/>
                <w:szCs w:val="19"/>
                <w14:textFill>
                  <w14:solidFill>
                    <w14:schemeClr w14:val="tx1"/>
                  </w14:solidFill>
                </w14:textFill>
              </w:rPr>
            </w:pPr>
          </w:p>
        </w:tc>
        <w:tc>
          <w:tcPr>
            <w:tcW w:w="1701" w:type="dxa"/>
            <w:gridSpan w:val="2"/>
            <w:shd w:val="clear" w:color="000000" w:fill="FFFFFF"/>
            <w:noWrap/>
            <w:vAlign w:val="center"/>
          </w:tcPr>
          <w:p w14:paraId="5B38C272">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7.525.363.783</w:t>
            </w:r>
          </w:p>
        </w:tc>
      </w:tr>
      <w:tr w14:paraId="765D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F7C2346">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7</w:t>
            </w:r>
          </w:p>
        </w:tc>
        <w:tc>
          <w:tcPr>
            <w:tcW w:w="1987" w:type="dxa"/>
            <w:shd w:val="clear" w:color="000000" w:fill="FFFFFF"/>
            <w:noWrap/>
            <w:vAlign w:val="center"/>
          </w:tcPr>
          <w:p w14:paraId="4861F278">
            <w:pP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Chi phí giải phóng mặt bằng, bồi thường và TĐC</w:t>
            </w:r>
          </w:p>
        </w:tc>
        <w:tc>
          <w:tcPr>
            <w:tcW w:w="851" w:type="dxa"/>
            <w:shd w:val="clear" w:color="000000" w:fill="FFFFFF"/>
            <w:noWrap/>
            <w:vAlign w:val="center"/>
          </w:tcPr>
          <w:p w14:paraId="709FCEB7">
            <w:pPr>
              <w:jc w:val="center"/>
              <w:rPr>
                <w:i/>
                <w:iCs/>
                <w:color w:val="000000" w:themeColor="text1"/>
                <w:sz w:val="19"/>
                <w:szCs w:val="19"/>
                <w14:textFill>
                  <w14:solidFill>
                    <w14:schemeClr w14:val="tx1"/>
                  </w14:solidFill>
                </w14:textFill>
              </w:rPr>
            </w:pPr>
          </w:p>
        </w:tc>
        <w:tc>
          <w:tcPr>
            <w:tcW w:w="1278" w:type="dxa"/>
            <w:shd w:val="clear" w:color="000000" w:fill="FFFFFF"/>
            <w:vAlign w:val="center"/>
          </w:tcPr>
          <w:p w14:paraId="3DCA3C9D">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Tạm tính</w:t>
            </w:r>
          </w:p>
        </w:tc>
        <w:tc>
          <w:tcPr>
            <w:tcW w:w="1680" w:type="dxa"/>
            <w:gridSpan w:val="2"/>
            <w:shd w:val="clear" w:color="000000" w:fill="FFFFFF"/>
            <w:noWrap/>
            <w:vAlign w:val="center"/>
          </w:tcPr>
          <w:p w14:paraId="12842FE0">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54.545.454.545</w:t>
            </w:r>
          </w:p>
        </w:tc>
        <w:tc>
          <w:tcPr>
            <w:tcW w:w="1559" w:type="dxa"/>
            <w:gridSpan w:val="2"/>
            <w:shd w:val="clear" w:color="000000" w:fill="FFFFFF"/>
            <w:noWrap/>
            <w:vAlign w:val="center"/>
          </w:tcPr>
          <w:p w14:paraId="742D59DF">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5.454.545.455</w:t>
            </w:r>
          </w:p>
        </w:tc>
        <w:tc>
          <w:tcPr>
            <w:tcW w:w="1701" w:type="dxa"/>
            <w:gridSpan w:val="2"/>
            <w:shd w:val="clear" w:color="000000" w:fill="FFFFFF"/>
            <w:noWrap/>
            <w:vAlign w:val="center"/>
          </w:tcPr>
          <w:p w14:paraId="0ADDB461">
            <w:pPr>
              <w:jc w:val="center"/>
              <w:rPr>
                <w:i/>
                <w:iCs/>
                <w:color w:val="000000" w:themeColor="text1"/>
                <w:sz w:val="19"/>
                <w:szCs w:val="19"/>
                <w14:textFill>
                  <w14:solidFill>
                    <w14:schemeClr w14:val="tx1"/>
                  </w14:solidFill>
                </w14:textFill>
              </w:rPr>
            </w:pPr>
            <w:r>
              <w:rPr>
                <w:i/>
                <w:iCs/>
                <w:color w:val="000000" w:themeColor="text1"/>
                <w:sz w:val="19"/>
                <w:szCs w:val="19"/>
                <w14:textFill>
                  <w14:solidFill>
                    <w14:schemeClr w14:val="tx1"/>
                  </w14:solidFill>
                </w14:textFill>
              </w:rPr>
              <w:t>60.000.000.000</w:t>
            </w:r>
          </w:p>
        </w:tc>
      </w:tr>
      <w:tr w14:paraId="063B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016F9835">
            <w:pPr>
              <w:jc w:val="center"/>
              <w:rPr>
                <w:b/>
                <w:bCs/>
                <w:color w:val="000000" w:themeColor="text1"/>
                <w:sz w:val="19"/>
                <w:szCs w:val="19"/>
                <w14:textFill>
                  <w14:solidFill>
                    <w14:schemeClr w14:val="tx1"/>
                  </w14:solidFill>
                </w14:textFill>
              </w:rPr>
            </w:pPr>
          </w:p>
        </w:tc>
        <w:tc>
          <w:tcPr>
            <w:tcW w:w="1987" w:type="dxa"/>
            <w:shd w:val="clear" w:color="000000" w:fill="FFFFFF"/>
            <w:noWrap/>
            <w:vAlign w:val="center"/>
          </w:tcPr>
          <w:p w14:paraId="312EDE8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Tổng cộng:</w:t>
            </w:r>
          </w:p>
        </w:tc>
        <w:tc>
          <w:tcPr>
            <w:tcW w:w="851" w:type="dxa"/>
            <w:shd w:val="clear" w:color="000000" w:fill="FFFFFF"/>
            <w:noWrap/>
            <w:vAlign w:val="center"/>
          </w:tcPr>
          <w:p w14:paraId="6E1BC080">
            <w:pPr>
              <w:jc w:val="center"/>
              <w:rPr>
                <w:b/>
                <w:bCs/>
                <w:color w:val="000000" w:themeColor="text1"/>
                <w:sz w:val="19"/>
                <w:szCs w:val="19"/>
                <w14:textFill>
                  <w14:solidFill>
                    <w14:schemeClr w14:val="tx1"/>
                  </w14:solidFill>
                </w14:textFill>
              </w:rPr>
            </w:pPr>
          </w:p>
        </w:tc>
        <w:tc>
          <w:tcPr>
            <w:tcW w:w="1278" w:type="dxa"/>
            <w:shd w:val="clear" w:color="000000" w:fill="FFFFFF"/>
            <w:noWrap/>
            <w:vAlign w:val="center"/>
          </w:tcPr>
          <w:p w14:paraId="39B4E394">
            <w:pPr>
              <w:jc w:val="center"/>
              <w:rPr>
                <w:color w:val="000000" w:themeColor="text1"/>
                <w:sz w:val="19"/>
                <w:szCs w:val="19"/>
                <w14:textFill>
                  <w14:solidFill>
                    <w14:schemeClr w14:val="tx1"/>
                  </w14:solidFill>
                </w14:textFill>
              </w:rPr>
            </w:pPr>
            <w:r>
              <w:rPr>
                <w:color w:val="000000" w:themeColor="text1"/>
                <w:sz w:val="19"/>
                <w:szCs w:val="19"/>
                <w14:textFill>
                  <w14:solidFill>
                    <w14:schemeClr w14:val="tx1"/>
                  </w14:solidFill>
                </w14:textFill>
              </w:rPr>
              <w:t>(1)+…..+(7)</w:t>
            </w:r>
          </w:p>
        </w:tc>
        <w:tc>
          <w:tcPr>
            <w:tcW w:w="1680" w:type="dxa"/>
            <w:gridSpan w:val="2"/>
            <w:shd w:val="clear" w:color="000000" w:fill="FFFFFF"/>
            <w:noWrap/>
            <w:vAlign w:val="center"/>
          </w:tcPr>
          <w:p w14:paraId="6B8B6461">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458.547.830.280</w:t>
            </w:r>
          </w:p>
        </w:tc>
        <w:tc>
          <w:tcPr>
            <w:tcW w:w="1559" w:type="dxa"/>
            <w:gridSpan w:val="2"/>
            <w:shd w:val="clear" w:color="000000" w:fill="FFFFFF"/>
            <w:noWrap/>
            <w:vAlign w:val="center"/>
          </w:tcPr>
          <w:p w14:paraId="5D96BF3E">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35.616.141.072</w:t>
            </w:r>
          </w:p>
        </w:tc>
        <w:tc>
          <w:tcPr>
            <w:tcW w:w="1701" w:type="dxa"/>
            <w:gridSpan w:val="2"/>
            <w:shd w:val="clear" w:color="000000" w:fill="FFFFFF"/>
            <w:noWrap/>
            <w:vAlign w:val="center"/>
          </w:tcPr>
          <w:p w14:paraId="7B339DD6">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494.163.971.352</w:t>
            </w:r>
          </w:p>
        </w:tc>
      </w:tr>
      <w:tr w14:paraId="1618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3" w:type="dxa"/>
          <w:trHeight w:val="20" w:hRule="atLeast"/>
        </w:trPr>
        <w:tc>
          <w:tcPr>
            <w:tcW w:w="707" w:type="dxa"/>
            <w:shd w:val="clear" w:color="000000" w:fill="FFFFFF"/>
            <w:noWrap/>
            <w:vAlign w:val="center"/>
          </w:tcPr>
          <w:p w14:paraId="2620953E">
            <w:pPr>
              <w:jc w:val="center"/>
              <w:rPr>
                <w:rFonts w:ascii="Arial" w:hAnsi="Arial" w:cs="Arial"/>
                <w:b/>
                <w:bCs/>
                <w:color w:val="000000" w:themeColor="text1"/>
                <w:sz w:val="19"/>
                <w:szCs w:val="19"/>
                <w14:textFill>
                  <w14:solidFill>
                    <w14:schemeClr w14:val="tx1"/>
                  </w14:solidFill>
                </w14:textFill>
              </w:rPr>
            </w:pPr>
          </w:p>
        </w:tc>
        <w:tc>
          <w:tcPr>
            <w:tcW w:w="1987" w:type="dxa"/>
            <w:shd w:val="clear" w:color="000000" w:fill="FFFFFF"/>
            <w:noWrap/>
            <w:vAlign w:val="center"/>
          </w:tcPr>
          <w:p w14:paraId="4B0A44FD">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LÀM TRÒN (GXDCT):</w:t>
            </w:r>
          </w:p>
        </w:tc>
        <w:tc>
          <w:tcPr>
            <w:tcW w:w="851" w:type="dxa"/>
            <w:shd w:val="clear" w:color="000000" w:fill="FFFFFF"/>
            <w:noWrap/>
            <w:vAlign w:val="center"/>
          </w:tcPr>
          <w:p w14:paraId="6405731A">
            <w:pPr>
              <w:jc w:val="center"/>
              <w:rPr>
                <w:rFonts w:ascii="Arial" w:hAnsi="Arial" w:cs="Arial"/>
                <w:b/>
                <w:bCs/>
                <w:color w:val="000000" w:themeColor="text1"/>
                <w:sz w:val="19"/>
                <w:szCs w:val="19"/>
                <w14:textFill>
                  <w14:solidFill>
                    <w14:schemeClr w14:val="tx1"/>
                  </w14:solidFill>
                </w14:textFill>
              </w:rPr>
            </w:pPr>
          </w:p>
        </w:tc>
        <w:tc>
          <w:tcPr>
            <w:tcW w:w="1278" w:type="dxa"/>
            <w:shd w:val="clear" w:color="000000" w:fill="FFFFFF"/>
            <w:noWrap/>
            <w:vAlign w:val="center"/>
          </w:tcPr>
          <w:p w14:paraId="401D9A71">
            <w:pPr>
              <w:jc w:val="center"/>
              <w:rPr>
                <w:rFonts w:ascii="Arial" w:hAnsi="Arial" w:cs="Arial"/>
                <w:b/>
                <w:bCs/>
                <w:color w:val="000000" w:themeColor="text1"/>
                <w:sz w:val="19"/>
                <w:szCs w:val="19"/>
                <w14:textFill>
                  <w14:solidFill>
                    <w14:schemeClr w14:val="tx1"/>
                  </w14:solidFill>
                </w14:textFill>
              </w:rPr>
            </w:pPr>
          </w:p>
        </w:tc>
        <w:tc>
          <w:tcPr>
            <w:tcW w:w="1680" w:type="dxa"/>
            <w:gridSpan w:val="2"/>
            <w:shd w:val="clear" w:color="000000" w:fill="FFFFFF"/>
            <w:noWrap/>
            <w:vAlign w:val="center"/>
          </w:tcPr>
          <w:p w14:paraId="4ABAAD6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458.547.830.000</w:t>
            </w:r>
          </w:p>
        </w:tc>
        <w:tc>
          <w:tcPr>
            <w:tcW w:w="1559" w:type="dxa"/>
            <w:gridSpan w:val="2"/>
            <w:shd w:val="clear" w:color="000000" w:fill="FFFFFF"/>
            <w:noWrap/>
            <w:vAlign w:val="center"/>
          </w:tcPr>
          <w:p w14:paraId="769B25C7">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35.616.141.000</w:t>
            </w:r>
          </w:p>
        </w:tc>
        <w:tc>
          <w:tcPr>
            <w:tcW w:w="1701" w:type="dxa"/>
            <w:gridSpan w:val="2"/>
            <w:shd w:val="clear" w:color="000000" w:fill="FFFFFF"/>
            <w:noWrap/>
            <w:vAlign w:val="center"/>
          </w:tcPr>
          <w:p w14:paraId="39052992">
            <w:pPr>
              <w:jc w:val="center"/>
              <w:rPr>
                <w:b/>
                <w:bCs/>
                <w:color w:val="000000" w:themeColor="text1"/>
                <w:sz w:val="19"/>
                <w:szCs w:val="19"/>
                <w14:textFill>
                  <w14:solidFill>
                    <w14:schemeClr w14:val="tx1"/>
                  </w14:solidFill>
                </w14:textFill>
              </w:rPr>
            </w:pPr>
            <w:r>
              <w:rPr>
                <w:b/>
                <w:bCs/>
                <w:color w:val="000000" w:themeColor="text1"/>
                <w:sz w:val="19"/>
                <w:szCs w:val="19"/>
                <w14:textFill>
                  <w14:solidFill>
                    <w14:schemeClr w14:val="tx1"/>
                  </w14:solidFill>
                </w14:textFill>
              </w:rPr>
              <w:t>494.163.971.000</w:t>
            </w:r>
          </w:p>
        </w:tc>
      </w:tr>
    </w:tbl>
    <w:p w14:paraId="514A905A">
      <w:pPr>
        <w:widowControl w:val="0"/>
        <w:spacing w:before="120" w:after="120" w:line="360" w:lineRule="exact"/>
        <w:ind w:firstLine="561"/>
        <w:jc w:val="both"/>
        <w:rPr>
          <w:sz w:val="26"/>
          <w:szCs w:val="26"/>
        </w:rPr>
      </w:pPr>
      <w:r>
        <w:rPr>
          <w:sz w:val="26"/>
          <w:szCs w:val="26"/>
        </w:rPr>
        <w:t xml:space="preserve">=&gt; Do đó Công ty cổ phần dịch vụ tư vấn và thẩm định giá Việt Nam xác định tổng chi phí đầu tư xây dựng công trình Khu đô thị phía Đông Nam, thị trấn Đồng Mỏ căn cứ trên định mức, đơn giá </w:t>
      </w:r>
      <w:r>
        <w:rPr>
          <w:spacing w:val="-4"/>
          <w:sz w:val="26"/>
          <w:szCs w:val="26"/>
        </w:rPr>
        <w:t xml:space="preserve">do cơ quan nhà nước có thẩm quyền ban hành, công bố tại thời điểm lập dự toán thi công xây dựng (tháng 12/2024) </w:t>
      </w:r>
      <w:r>
        <w:rPr>
          <w:sz w:val="26"/>
          <w:szCs w:val="26"/>
        </w:rPr>
        <w:t>theo dự toán dự án: Khu đô thị phía Đông Nam thị trấn Đồng Mỏ:</w:t>
      </w:r>
    </w:p>
    <w:tbl>
      <w:tblPr>
        <w:tblStyle w:val="9"/>
        <w:tblW w:w="5000" w:type="pct"/>
        <w:tblInd w:w="0" w:type="dxa"/>
        <w:tblLayout w:type="autofit"/>
        <w:tblCellMar>
          <w:top w:w="0" w:type="dxa"/>
          <w:left w:w="108" w:type="dxa"/>
          <w:bottom w:w="0" w:type="dxa"/>
          <w:right w:w="108" w:type="dxa"/>
        </w:tblCellMar>
      </w:tblPr>
      <w:tblGrid>
        <w:gridCol w:w="687"/>
        <w:gridCol w:w="4099"/>
        <w:gridCol w:w="4500"/>
      </w:tblGrid>
      <w:tr w14:paraId="4E15B627">
        <w:tblPrEx>
          <w:tblCellMar>
            <w:top w:w="0" w:type="dxa"/>
            <w:left w:w="108" w:type="dxa"/>
            <w:bottom w:w="0" w:type="dxa"/>
            <w:right w:w="108" w:type="dxa"/>
          </w:tblCellMar>
        </w:tblPrEx>
        <w:trPr>
          <w:trHeight w:val="600" w:hRule="atLeast"/>
        </w:trPr>
        <w:tc>
          <w:tcPr>
            <w:tcW w:w="370" w:type="pct"/>
            <w:tcBorders>
              <w:top w:val="single" w:color="auto" w:sz="4" w:space="0"/>
              <w:left w:val="single" w:color="auto" w:sz="4" w:space="0"/>
              <w:bottom w:val="single" w:color="auto" w:sz="4" w:space="0"/>
              <w:right w:val="single" w:color="auto" w:sz="4" w:space="0"/>
            </w:tcBorders>
            <w:vAlign w:val="center"/>
          </w:tcPr>
          <w:p w14:paraId="4C70512C">
            <w:pPr>
              <w:jc w:val="center"/>
              <w:rPr>
                <w:b/>
                <w:bCs/>
                <w:color w:val="000000"/>
              </w:rPr>
            </w:pPr>
            <w:r>
              <w:rPr>
                <w:b/>
                <w:bCs/>
                <w:color w:val="000000"/>
              </w:rPr>
              <w:t>STT</w:t>
            </w:r>
          </w:p>
        </w:tc>
        <w:tc>
          <w:tcPr>
            <w:tcW w:w="2207" w:type="pct"/>
            <w:tcBorders>
              <w:top w:val="single" w:color="auto" w:sz="4" w:space="0"/>
              <w:left w:val="nil"/>
              <w:bottom w:val="single" w:color="auto" w:sz="4" w:space="0"/>
              <w:right w:val="single" w:color="auto" w:sz="4" w:space="0"/>
            </w:tcBorders>
            <w:vAlign w:val="center"/>
          </w:tcPr>
          <w:p w14:paraId="0BE6F06F">
            <w:pPr>
              <w:jc w:val="center"/>
              <w:rPr>
                <w:b/>
                <w:bCs/>
                <w:color w:val="000000"/>
              </w:rPr>
            </w:pPr>
            <w:r>
              <w:rPr>
                <w:b/>
                <w:bCs/>
                <w:color w:val="000000"/>
              </w:rPr>
              <w:t>Diễn giải</w:t>
            </w:r>
          </w:p>
        </w:tc>
        <w:tc>
          <w:tcPr>
            <w:tcW w:w="2423" w:type="pct"/>
            <w:tcBorders>
              <w:top w:val="single" w:color="auto" w:sz="4" w:space="0"/>
              <w:left w:val="nil"/>
              <w:bottom w:val="single" w:color="auto" w:sz="4" w:space="0"/>
              <w:right w:val="single" w:color="auto" w:sz="4" w:space="0"/>
            </w:tcBorders>
            <w:vAlign w:val="center"/>
          </w:tcPr>
          <w:p w14:paraId="6A049D5C">
            <w:pPr>
              <w:jc w:val="center"/>
              <w:rPr>
                <w:b/>
                <w:bCs/>
                <w:color w:val="000000"/>
              </w:rPr>
            </w:pPr>
            <w:r>
              <w:rPr>
                <w:b/>
                <w:bCs/>
                <w:color w:val="000000"/>
              </w:rPr>
              <w:t>Tổng cộng (chưa bao gốm thuế VAT và chi phí dự phòng)</w:t>
            </w:r>
          </w:p>
        </w:tc>
      </w:tr>
      <w:tr w14:paraId="3FC5D387">
        <w:tblPrEx>
          <w:tblCellMar>
            <w:top w:w="0" w:type="dxa"/>
            <w:left w:w="108" w:type="dxa"/>
            <w:bottom w:w="0" w:type="dxa"/>
            <w:right w:w="108" w:type="dxa"/>
          </w:tblCellMar>
        </w:tblPrEx>
        <w:trPr>
          <w:trHeight w:val="300" w:hRule="atLeast"/>
        </w:trPr>
        <w:tc>
          <w:tcPr>
            <w:tcW w:w="370" w:type="pct"/>
            <w:tcBorders>
              <w:top w:val="nil"/>
              <w:left w:val="single" w:color="auto" w:sz="4" w:space="0"/>
              <w:bottom w:val="single" w:color="auto" w:sz="4" w:space="0"/>
              <w:right w:val="single" w:color="auto" w:sz="4" w:space="0"/>
            </w:tcBorders>
            <w:vAlign w:val="center"/>
          </w:tcPr>
          <w:p w14:paraId="31F9C6F1">
            <w:pPr>
              <w:jc w:val="center"/>
              <w:rPr>
                <w:b/>
                <w:bCs/>
                <w:color w:val="000000"/>
              </w:rPr>
            </w:pPr>
            <w:r>
              <w:rPr>
                <w:b/>
                <w:bCs/>
                <w:color w:val="000000"/>
              </w:rPr>
              <w:t>1</w:t>
            </w:r>
          </w:p>
        </w:tc>
        <w:tc>
          <w:tcPr>
            <w:tcW w:w="2207" w:type="pct"/>
            <w:tcBorders>
              <w:top w:val="nil"/>
              <w:left w:val="nil"/>
              <w:bottom w:val="single" w:color="auto" w:sz="4" w:space="0"/>
              <w:right w:val="single" w:color="auto" w:sz="4" w:space="0"/>
            </w:tcBorders>
            <w:vAlign w:val="center"/>
          </w:tcPr>
          <w:p w14:paraId="5651DE0C">
            <w:pPr>
              <w:jc w:val="center"/>
              <w:rPr>
                <w:b/>
                <w:bCs/>
                <w:color w:val="000000"/>
              </w:rPr>
            </w:pPr>
            <w:r>
              <w:rPr>
                <w:b/>
                <w:bCs/>
                <w:color w:val="000000"/>
              </w:rPr>
              <w:t>Tổng chi phí xây dựng HTKT</w:t>
            </w:r>
          </w:p>
        </w:tc>
        <w:tc>
          <w:tcPr>
            <w:tcW w:w="2423" w:type="pct"/>
            <w:tcBorders>
              <w:top w:val="nil"/>
              <w:left w:val="nil"/>
              <w:bottom w:val="single" w:color="auto" w:sz="4" w:space="0"/>
              <w:right w:val="single" w:color="auto" w:sz="4" w:space="0"/>
            </w:tcBorders>
            <w:vAlign w:val="center"/>
          </w:tcPr>
          <w:p w14:paraId="027AE592">
            <w:pPr>
              <w:jc w:val="center"/>
              <w:rPr>
                <w:b/>
                <w:bCs/>
                <w:color w:val="000000"/>
              </w:rPr>
            </w:pPr>
            <w:r>
              <w:rPr>
                <w:b/>
                <w:bCs/>
                <w:color w:val="000000"/>
              </w:rPr>
              <w:t>232.026.570.939</w:t>
            </w:r>
          </w:p>
        </w:tc>
      </w:tr>
      <w:tr w14:paraId="7801F840">
        <w:tblPrEx>
          <w:tblCellMar>
            <w:top w:w="0" w:type="dxa"/>
            <w:left w:w="108" w:type="dxa"/>
            <w:bottom w:w="0" w:type="dxa"/>
            <w:right w:w="108" w:type="dxa"/>
          </w:tblCellMar>
        </w:tblPrEx>
        <w:trPr>
          <w:trHeight w:val="310" w:hRule="atLeast"/>
        </w:trPr>
        <w:tc>
          <w:tcPr>
            <w:tcW w:w="370" w:type="pct"/>
            <w:tcBorders>
              <w:top w:val="nil"/>
              <w:left w:val="single" w:color="auto" w:sz="4" w:space="0"/>
              <w:bottom w:val="single" w:color="auto" w:sz="4" w:space="0"/>
              <w:right w:val="single" w:color="auto" w:sz="4" w:space="0"/>
            </w:tcBorders>
            <w:vAlign w:val="center"/>
          </w:tcPr>
          <w:p w14:paraId="2350B272">
            <w:pPr>
              <w:jc w:val="center"/>
              <w:rPr>
                <w:color w:val="000000"/>
              </w:rPr>
            </w:pPr>
            <w:r>
              <w:rPr>
                <w:color w:val="000000"/>
              </w:rPr>
              <w:t>1.1</w:t>
            </w:r>
          </w:p>
        </w:tc>
        <w:tc>
          <w:tcPr>
            <w:tcW w:w="2207" w:type="pct"/>
            <w:tcBorders>
              <w:top w:val="nil"/>
              <w:left w:val="nil"/>
              <w:bottom w:val="single" w:color="auto" w:sz="4" w:space="0"/>
              <w:right w:val="single" w:color="auto" w:sz="4" w:space="0"/>
            </w:tcBorders>
            <w:vAlign w:val="center"/>
          </w:tcPr>
          <w:p w14:paraId="69DA8612">
            <w:pPr>
              <w:rPr>
                <w:color w:val="000000"/>
              </w:rPr>
            </w:pPr>
            <w:r>
              <w:rPr>
                <w:color w:val="000000"/>
              </w:rPr>
              <w:t xml:space="preserve">Chi phí xây dựng </w:t>
            </w:r>
          </w:p>
        </w:tc>
        <w:tc>
          <w:tcPr>
            <w:tcW w:w="2423" w:type="pct"/>
            <w:tcBorders>
              <w:top w:val="nil"/>
              <w:left w:val="nil"/>
              <w:bottom w:val="single" w:color="auto" w:sz="4" w:space="0"/>
              <w:right w:val="single" w:color="auto" w:sz="4" w:space="0"/>
            </w:tcBorders>
          </w:tcPr>
          <w:p w14:paraId="18791406">
            <w:pPr>
              <w:jc w:val="center"/>
              <w:rPr>
                <w:color w:val="000000"/>
              </w:rPr>
            </w:pPr>
            <w:r>
              <w:t>193.653.892.682</w:t>
            </w:r>
          </w:p>
        </w:tc>
      </w:tr>
      <w:tr w14:paraId="6DF8581C">
        <w:tblPrEx>
          <w:tblCellMar>
            <w:top w:w="0" w:type="dxa"/>
            <w:left w:w="108" w:type="dxa"/>
            <w:bottom w:w="0" w:type="dxa"/>
            <w:right w:w="108" w:type="dxa"/>
          </w:tblCellMar>
        </w:tblPrEx>
        <w:trPr>
          <w:trHeight w:val="310" w:hRule="atLeast"/>
        </w:trPr>
        <w:tc>
          <w:tcPr>
            <w:tcW w:w="370" w:type="pct"/>
            <w:tcBorders>
              <w:top w:val="nil"/>
              <w:left w:val="single" w:color="auto" w:sz="4" w:space="0"/>
              <w:bottom w:val="single" w:color="auto" w:sz="4" w:space="0"/>
              <w:right w:val="single" w:color="auto" w:sz="4" w:space="0"/>
            </w:tcBorders>
            <w:vAlign w:val="center"/>
          </w:tcPr>
          <w:p w14:paraId="7E9DB9CA">
            <w:pPr>
              <w:jc w:val="center"/>
              <w:rPr>
                <w:color w:val="000000"/>
              </w:rPr>
            </w:pPr>
            <w:r>
              <w:rPr>
                <w:color w:val="000000"/>
              </w:rPr>
              <w:t> 1.2</w:t>
            </w:r>
          </w:p>
        </w:tc>
        <w:tc>
          <w:tcPr>
            <w:tcW w:w="2207" w:type="pct"/>
            <w:tcBorders>
              <w:top w:val="nil"/>
              <w:left w:val="nil"/>
              <w:bottom w:val="single" w:color="auto" w:sz="4" w:space="0"/>
              <w:right w:val="single" w:color="auto" w:sz="4" w:space="0"/>
            </w:tcBorders>
            <w:vAlign w:val="center"/>
          </w:tcPr>
          <w:p w14:paraId="03ED750B">
            <w:pPr>
              <w:rPr>
                <w:color w:val="000000"/>
              </w:rPr>
            </w:pPr>
            <w:r>
              <w:rPr>
                <w:color w:val="000000"/>
              </w:rPr>
              <w:t>Chi phí thiết bị</w:t>
            </w:r>
          </w:p>
        </w:tc>
        <w:tc>
          <w:tcPr>
            <w:tcW w:w="2423" w:type="pct"/>
            <w:tcBorders>
              <w:top w:val="nil"/>
              <w:left w:val="nil"/>
              <w:bottom w:val="single" w:color="auto" w:sz="4" w:space="0"/>
              <w:right w:val="single" w:color="auto" w:sz="4" w:space="0"/>
            </w:tcBorders>
          </w:tcPr>
          <w:p w14:paraId="67421A50">
            <w:pPr>
              <w:jc w:val="center"/>
              <w:rPr>
                <w:color w:val="000000"/>
              </w:rPr>
            </w:pPr>
            <w:r>
              <w:t>14.017.892.139</w:t>
            </w:r>
          </w:p>
        </w:tc>
      </w:tr>
      <w:tr w14:paraId="7B27C1B8">
        <w:tblPrEx>
          <w:tblCellMar>
            <w:top w:w="0" w:type="dxa"/>
            <w:left w:w="108" w:type="dxa"/>
            <w:bottom w:w="0" w:type="dxa"/>
            <w:right w:w="108" w:type="dxa"/>
          </w:tblCellMar>
        </w:tblPrEx>
        <w:trPr>
          <w:trHeight w:val="310" w:hRule="atLeast"/>
        </w:trPr>
        <w:tc>
          <w:tcPr>
            <w:tcW w:w="370" w:type="pct"/>
            <w:tcBorders>
              <w:top w:val="nil"/>
              <w:left w:val="single" w:color="auto" w:sz="4" w:space="0"/>
              <w:bottom w:val="single" w:color="auto" w:sz="4" w:space="0"/>
              <w:right w:val="single" w:color="auto" w:sz="4" w:space="0"/>
            </w:tcBorders>
            <w:vAlign w:val="center"/>
          </w:tcPr>
          <w:p w14:paraId="6B591D56">
            <w:pPr>
              <w:jc w:val="center"/>
              <w:rPr>
                <w:color w:val="000000"/>
              </w:rPr>
            </w:pPr>
            <w:r>
              <w:rPr>
                <w:color w:val="000000"/>
              </w:rPr>
              <w:t> 1.3</w:t>
            </w:r>
          </w:p>
        </w:tc>
        <w:tc>
          <w:tcPr>
            <w:tcW w:w="2207" w:type="pct"/>
            <w:tcBorders>
              <w:top w:val="nil"/>
              <w:left w:val="nil"/>
              <w:bottom w:val="single" w:color="auto" w:sz="4" w:space="0"/>
              <w:right w:val="single" w:color="auto" w:sz="4" w:space="0"/>
            </w:tcBorders>
            <w:vAlign w:val="center"/>
          </w:tcPr>
          <w:p w14:paraId="54C74D20">
            <w:pPr>
              <w:rPr>
                <w:color w:val="000000"/>
              </w:rPr>
            </w:pPr>
            <w:r>
              <w:rPr>
                <w:color w:val="000000"/>
              </w:rPr>
              <w:t>Chi phí quản lý dự án</w:t>
            </w:r>
          </w:p>
        </w:tc>
        <w:tc>
          <w:tcPr>
            <w:tcW w:w="2423" w:type="pct"/>
            <w:tcBorders>
              <w:top w:val="nil"/>
              <w:left w:val="nil"/>
              <w:bottom w:val="single" w:color="auto" w:sz="4" w:space="0"/>
              <w:right w:val="single" w:color="auto" w:sz="4" w:space="0"/>
            </w:tcBorders>
          </w:tcPr>
          <w:p w14:paraId="44C2AB05">
            <w:pPr>
              <w:jc w:val="center"/>
              <w:rPr>
                <w:color w:val="000000"/>
              </w:rPr>
            </w:pPr>
            <w:r>
              <w:t>3.123.643.603</w:t>
            </w:r>
          </w:p>
        </w:tc>
      </w:tr>
      <w:tr w14:paraId="6F3BE3B7">
        <w:tblPrEx>
          <w:tblCellMar>
            <w:top w:w="0" w:type="dxa"/>
            <w:left w:w="108" w:type="dxa"/>
            <w:bottom w:w="0" w:type="dxa"/>
            <w:right w:w="108" w:type="dxa"/>
          </w:tblCellMar>
        </w:tblPrEx>
        <w:trPr>
          <w:trHeight w:val="310" w:hRule="atLeast"/>
        </w:trPr>
        <w:tc>
          <w:tcPr>
            <w:tcW w:w="370" w:type="pct"/>
            <w:tcBorders>
              <w:top w:val="nil"/>
              <w:left w:val="single" w:color="auto" w:sz="4" w:space="0"/>
              <w:bottom w:val="single" w:color="auto" w:sz="4" w:space="0"/>
              <w:right w:val="single" w:color="auto" w:sz="4" w:space="0"/>
            </w:tcBorders>
            <w:vAlign w:val="center"/>
          </w:tcPr>
          <w:p w14:paraId="3F3FA70E">
            <w:pPr>
              <w:jc w:val="center"/>
              <w:rPr>
                <w:color w:val="000000"/>
              </w:rPr>
            </w:pPr>
            <w:r>
              <w:rPr>
                <w:color w:val="000000"/>
              </w:rPr>
              <w:t> 1.4</w:t>
            </w:r>
          </w:p>
        </w:tc>
        <w:tc>
          <w:tcPr>
            <w:tcW w:w="2207" w:type="pct"/>
            <w:tcBorders>
              <w:top w:val="nil"/>
              <w:left w:val="nil"/>
              <w:bottom w:val="single" w:color="auto" w:sz="4" w:space="0"/>
              <w:right w:val="single" w:color="auto" w:sz="4" w:space="0"/>
            </w:tcBorders>
            <w:vAlign w:val="center"/>
          </w:tcPr>
          <w:p w14:paraId="07F89DA1">
            <w:pPr>
              <w:rPr>
                <w:color w:val="000000"/>
              </w:rPr>
            </w:pPr>
            <w:r>
              <w:rPr>
                <w:color w:val="000000"/>
              </w:rPr>
              <w:t>Chi phí tư vấn đầu tư xây dựng</w:t>
            </w:r>
          </w:p>
        </w:tc>
        <w:tc>
          <w:tcPr>
            <w:tcW w:w="2423" w:type="pct"/>
            <w:tcBorders>
              <w:top w:val="nil"/>
              <w:left w:val="nil"/>
              <w:bottom w:val="single" w:color="auto" w:sz="4" w:space="0"/>
              <w:right w:val="single" w:color="auto" w:sz="4" w:space="0"/>
            </w:tcBorders>
          </w:tcPr>
          <w:p w14:paraId="34FD29DD">
            <w:pPr>
              <w:jc w:val="center"/>
              <w:rPr>
                <w:color w:val="000000"/>
              </w:rPr>
            </w:pPr>
            <w:r>
              <w:t>12.097.153.698</w:t>
            </w:r>
          </w:p>
        </w:tc>
      </w:tr>
      <w:tr w14:paraId="7B7C5410">
        <w:tblPrEx>
          <w:tblCellMar>
            <w:top w:w="0" w:type="dxa"/>
            <w:left w:w="108" w:type="dxa"/>
            <w:bottom w:w="0" w:type="dxa"/>
            <w:right w:w="108" w:type="dxa"/>
          </w:tblCellMar>
        </w:tblPrEx>
        <w:trPr>
          <w:trHeight w:val="310" w:hRule="atLeast"/>
        </w:trPr>
        <w:tc>
          <w:tcPr>
            <w:tcW w:w="370" w:type="pct"/>
            <w:tcBorders>
              <w:top w:val="nil"/>
              <w:left w:val="single" w:color="auto" w:sz="4" w:space="0"/>
              <w:bottom w:val="single" w:color="auto" w:sz="4" w:space="0"/>
              <w:right w:val="single" w:color="auto" w:sz="4" w:space="0"/>
            </w:tcBorders>
            <w:vAlign w:val="center"/>
          </w:tcPr>
          <w:p w14:paraId="679BDAEA">
            <w:pPr>
              <w:jc w:val="center"/>
              <w:rPr>
                <w:color w:val="000000"/>
              </w:rPr>
            </w:pPr>
            <w:r>
              <w:rPr>
                <w:color w:val="000000"/>
              </w:rPr>
              <w:t> 1.5</w:t>
            </w:r>
          </w:p>
        </w:tc>
        <w:tc>
          <w:tcPr>
            <w:tcW w:w="2207" w:type="pct"/>
            <w:tcBorders>
              <w:top w:val="nil"/>
              <w:left w:val="nil"/>
              <w:bottom w:val="single" w:color="auto" w:sz="4" w:space="0"/>
              <w:right w:val="single" w:color="auto" w:sz="4" w:space="0"/>
            </w:tcBorders>
            <w:vAlign w:val="center"/>
          </w:tcPr>
          <w:p w14:paraId="612A3186">
            <w:pPr>
              <w:rPr>
                <w:color w:val="000000"/>
              </w:rPr>
            </w:pPr>
            <w:r>
              <w:rPr>
                <w:color w:val="000000"/>
              </w:rPr>
              <w:t>Chi phí khác</w:t>
            </w:r>
          </w:p>
        </w:tc>
        <w:tc>
          <w:tcPr>
            <w:tcW w:w="2423" w:type="pct"/>
            <w:tcBorders>
              <w:top w:val="nil"/>
              <w:left w:val="nil"/>
              <w:bottom w:val="single" w:color="auto" w:sz="4" w:space="0"/>
              <w:right w:val="single" w:color="auto" w:sz="4" w:space="0"/>
            </w:tcBorders>
          </w:tcPr>
          <w:p w14:paraId="01462815">
            <w:pPr>
              <w:jc w:val="center"/>
              <w:rPr>
                <w:color w:val="000000"/>
              </w:rPr>
            </w:pPr>
            <w:r>
              <w:t>9.133.988.818</w:t>
            </w:r>
          </w:p>
        </w:tc>
      </w:tr>
    </w:tbl>
    <w:p w14:paraId="55750BD0">
      <w:pPr>
        <w:widowControl w:val="0"/>
        <w:spacing w:before="120" w:after="120" w:line="360" w:lineRule="exact"/>
        <w:ind w:firstLine="567"/>
        <w:jc w:val="both"/>
        <w:rPr>
          <w:b/>
          <w:bCs/>
          <w:color w:val="000000" w:themeColor="text1"/>
          <w:spacing w:val="-4"/>
          <w:sz w:val="26"/>
          <w:szCs w:val="26"/>
          <w:lang w:val="da-DK"/>
          <w14:textFill>
            <w14:solidFill>
              <w14:schemeClr w14:val="tx1"/>
            </w14:solidFill>
          </w14:textFill>
        </w:rPr>
      </w:pPr>
      <w:r>
        <w:rPr>
          <w:b/>
          <w:bCs/>
          <w:color w:val="000000" w:themeColor="text1"/>
          <w:spacing w:val="-4"/>
          <w:sz w:val="26"/>
          <w:szCs w:val="26"/>
          <w:lang w:val="da-DK"/>
          <w14:textFill>
            <w14:solidFill>
              <w14:schemeClr w14:val="tx1"/>
            </w14:solidFill>
          </w14:textFill>
        </w:rPr>
        <w:t>Tổng chi phí xây dựng HTKT toàn bộ dự án: 232.026.570.939 đồng</w:t>
      </w:r>
    </w:p>
    <w:p w14:paraId="4D61F7FF">
      <w:pPr>
        <w:widowControl w:val="0"/>
        <w:spacing w:before="120" w:after="120" w:line="360" w:lineRule="exact"/>
        <w:ind w:firstLine="567"/>
        <w:jc w:val="both"/>
        <w:rPr>
          <w:rFonts w:ascii="Times New Roman Bold" w:hAnsi="Times New Roman Bold"/>
          <w:b/>
          <w:bCs/>
          <w:color w:val="000000" w:themeColor="text1"/>
          <w:spacing w:val="-10"/>
          <w:sz w:val="26"/>
          <w:szCs w:val="26"/>
          <w:lang w:val="da-DK"/>
          <w14:textFill>
            <w14:solidFill>
              <w14:schemeClr w14:val="tx1"/>
            </w14:solidFill>
          </w14:textFill>
        </w:rPr>
      </w:pPr>
      <w:r>
        <w:rPr>
          <w:rFonts w:ascii="Times New Roman Bold" w:hAnsi="Times New Roman Bold"/>
          <w:b/>
          <w:bCs/>
          <w:color w:val="000000" w:themeColor="text1"/>
          <w:spacing w:val="-10"/>
          <w:sz w:val="26"/>
          <w:szCs w:val="26"/>
          <w:lang w:val="da-DK"/>
          <w14:textFill>
            <w14:solidFill>
              <w14:schemeClr w14:val="tx1"/>
            </w14:solidFill>
          </w14:textFill>
        </w:rPr>
        <w:t>*Chi phí đầu tư xây dựng HTKT của khu vực đất ở thấp tầng (liền kề và biệt thự):</w:t>
      </w:r>
    </w:p>
    <w:p w14:paraId="4273D3CB">
      <w:pPr>
        <w:widowControl w:val="0"/>
        <w:tabs>
          <w:tab w:val="left" w:pos="567"/>
        </w:tabs>
        <w:spacing w:before="120" w:after="120" w:line="360" w:lineRule="exact"/>
        <w:ind w:firstLine="567"/>
        <w:jc w:val="both"/>
        <w:rPr>
          <w:b/>
          <w:bCs/>
          <w:spacing w:val="-2"/>
          <w:sz w:val="26"/>
          <w:szCs w:val="26"/>
        </w:rPr>
      </w:pPr>
      <w:r>
        <w:rPr>
          <w:b/>
          <w:bCs/>
          <w:spacing w:val="-2"/>
          <w:sz w:val="26"/>
          <w:szCs w:val="26"/>
        </w:rPr>
        <w:t xml:space="preserve">Việc xác định giá đất cụ thể làm căn cứ tính tiền sử dụng đất đối với Công ty Cổ phần Đầu tư xây dựng hạ tầng Chi Lăng và Công ty Cổ phần Tập đoàn BGI đợt 1 theo </w:t>
      </w:r>
      <w:r>
        <w:rPr>
          <w:b/>
          <w:bCs/>
          <w:spacing w:val="-2"/>
          <w:sz w:val="26"/>
          <w:szCs w:val="26"/>
          <w:lang w:val="nl-NL"/>
        </w:rPr>
        <w:t xml:space="preserve">Quyết định số 86/QĐ-UBND ngày 09/01/2025 của UBND tỉnh Lạng Sơn </w:t>
      </w:r>
      <w:r>
        <w:rPr>
          <w:b/>
          <w:bCs/>
          <w:spacing w:val="-2"/>
          <w:sz w:val="26"/>
          <w:szCs w:val="26"/>
        </w:rPr>
        <w:t>Giao đất cho Liên danh Công ty Cổ phần Đầu tư xây dựng hạ tầng Chi Lăng và Công ty Cổ phần Tập đoàn BGI tại dự án Khu đô thị phía Đông Nam, thị trấn Đồng Mỏ (nay là xã Chi Lăng, tỉnh Lạng Sơn)</w:t>
      </w:r>
      <w:r>
        <w:rPr>
          <w:b/>
          <w:bCs/>
          <w:spacing w:val="-2"/>
          <w:sz w:val="26"/>
          <w:szCs w:val="26"/>
          <w:lang w:val="nl-NL"/>
        </w:rPr>
        <w:t>. Căn cứ định giá căn cứ vào Mục đích sử dụng đất được đưa ra định giá là đất ở tại đô thị bao gồm các lô đất ở liền kề (LK) và đất ở biệt thự (BT).</w:t>
      </w:r>
    </w:p>
    <w:p w14:paraId="7090EAA2">
      <w:pPr>
        <w:widowControl w:val="0"/>
        <w:tabs>
          <w:tab w:val="left" w:pos="567"/>
        </w:tabs>
        <w:spacing w:before="120" w:after="120" w:line="360" w:lineRule="exact"/>
        <w:ind w:firstLine="567"/>
        <w:jc w:val="both"/>
        <w:rPr>
          <w:b/>
          <w:bCs/>
          <w:spacing w:val="-2"/>
          <w:sz w:val="26"/>
          <w:szCs w:val="26"/>
          <w:lang w:val="nl-NL"/>
        </w:rPr>
      </w:pPr>
      <w:r>
        <w:rPr>
          <w:b/>
          <w:bCs/>
          <w:spacing w:val="-2"/>
          <w:sz w:val="26"/>
          <w:szCs w:val="26"/>
          <w:lang w:val="nl-NL"/>
        </w:rPr>
        <w:t>Đối với các hạng mục thuê đất trường học, trung tâm thể dục thể thao, và khu đất thương mại dịch vụ thuộc 03 lô đất Công ty để đầu tư kinh doanh phải thực hiện thuê đất với Nhà nước sẽ hoàn thiện hồ sơ trình thuê đất sau khi hoàn thành công tác giải phóng mặt bằng phần diện tích còn lại theo quy định.</w:t>
      </w:r>
    </w:p>
    <w:p w14:paraId="02864B88">
      <w:pPr>
        <w:widowControl w:val="0"/>
        <w:tabs>
          <w:tab w:val="left" w:pos="567"/>
        </w:tabs>
        <w:spacing w:before="120" w:after="120" w:line="340" w:lineRule="exact"/>
        <w:ind w:firstLine="567"/>
        <w:jc w:val="both"/>
        <w:rPr>
          <w:b/>
          <w:i/>
          <w:iCs/>
          <w:spacing w:val="-2"/>
          <w:sz w:val="26"/>
          <w:szCs w:val="26"/>
        </w:rPr>
      </w:pPr>
      <w:r>
        <w:rPr>
          <w:b/>
          <w:i/>
          <w:iCs/>
          <w:spacing w:val="-2"/>
          <w:sz w:val="26"/>
          <w:szCs w:val="26"/>
        </w:rPr>
        <w:t xml:space="preserve">Đơn vị tư vấn phối hợp với sở Nông nghiệp và Môi trường tỉnh Lạng Sơn rà soát xác định đối với hạng mục loại đất quy hoạch xây dựng trường học, căn cứ điều 120 Luật Đất đai 2024, loại đất quy hoạch xây dựng trường học; đất trung tâm thể dục thể thao thuộc trường hợp cho thuê đất trả tiền thuê đất hàng năm. Căn cứ Điều 159 Luật Đất đai 2024 Bảng giá đất được áp dụng cho trường hợp tính tiền thuê đất khi Nhà nước cho thuê đất thu tiền thuê đất hằng năm; Lô đất thương mại dịch vụ thuộc trường hợp cho thuê đất trả tiền thuê đất một lần cho cả thời gian thuê. Do đó </w:t>
      </w:r>
      <w:bookmarkStart w:id="37" w:name="_Hlk201930606"/>
      <w:r>
        <w:rPr>
          <w:b/>
          <w:i/>
          <w:iCs/>
          <w:spacing w:val="-2"/>
          <w:sz w:val="26"/>
          <w:szCs w:val="26"/>
        </w:rPr>
        <w:t>phân bổ chi phí xây dựng HTKT lô đất quy hoạch xây dựng trường học và đất trung tâm thể dục thể thao vào tổng chi phí phát triển ước tính khi thực hiện định giá đất</w:t>
      </w:r>
      <w:bookmarkEnd w:id="37"/>
      <w:r>
        <w:rPr>
          <w:b/>
          <w:i/>
          <w:iCs/>
          <w:spacing w:val="-2"/>
          <w:sz w:val="26"/>
          <w:szCs w:val="26"/>
        </w:rPr>
        <w:t>.</w:t>
      </w:r>
    </w:p>
    <w:p w14:paraId="750C4B7D">
      <w:pPr>
        <w:widowControl w:val="0"/>
        <w:tabs>
          <w:tab w:val="left" w:pos="567"/>
        </w:tabs>
        <w:spacing w:before="120" w:after="120" w:line="360" w:lineRule="exact"/>
        <w:ind w:firstLine="567"/>
        <w:jc w:val="both"/>
        <w:rPr>
          <w:spacing w:val="-2"/>
          <w:sz w:val="26"/>
          <w:szCs w:val="26"/>
        </w:rPr>
      </w:pPr>
      <w:r>
        <w:rPr>
          <w:bCs/>
          <w:spacing w:val="-2"/>
          <w:sz w:val="26"/>
          <w:szCs w:val="26"/>
        </w:rPr>
        <w:t xml:space="preserve">=&gt; Do đó đơn vị tư vấn xin đề xuất xác định doanh thu phát triển ước tính và chi phí phát triển ước tính được thực hiện cho toàn bộ dự án đối với phần diện tích đất ở tại đô thị (gồm liền kề và biệt thự) theo quy hoạch được duyệt. </w:t>
      </w:r>
      <w:r>
        <w:rPr>
          <w:spacing w:val="-2"/>
          <w:sz w:val="26"/>
          <w:szCs w:val="26"/>
        </w:rPr>
        <w:t>Phân bổ chi phí xây dựng HTKT lô đất quy hoạch xây dựng trường học và đất trung tâm thể dục thể thao vào tổng chi phí phát triển ước tính khi thực hiện định giá đất.</w:t>
      </w:r>
    </w:p>
    <w:p w14:paraId="73B8E542">
      <w:pPr>
        <w:widowControl w:val="0"/>
        <w:tabs>
          <w:tab w:val="left" w:pos="567"/>
        </w:tabs>
        <w:spacing w:before="120" w:after="120" w:line="360" w:lineRule="exact"/>
        <w:ind w:firstLine="567"/>
        <w:jc w:val="both"/>
        <w:rPr>
          <w:b/>
          <w:bCs/>
          <w:spacing w:val="-2"/>
          <w:sz w:val="26"/>
          <w:szCs w:val="26"/>
          <w:lang w:val="nl-NL"/>
        </w:rPr>
      </w:pPr>
      <w:r>
        <w:rPr>
          <w:b/>
          <w:bCs/>
          <w:spacing w:val="-2"/>
          <w:sz w:val="26"/>
          <w:szCs w:val="26"/>
          <w:lang w:val="nl-NL"/>
        </w:rPr>
        <w:t>Căn cứ Nghị định 71/2024/NĐ-CP ngày 27/06/2024:</w:t>
      </w:r>
    </w:p>
    <w:p w14:paraId="174006A5">
      <w:pPr>
        <w:widowControl w:val="0"/>
        <w:tabs>
          <w:tab w:val="left" w:pos="567"/>
        </w:tabs>
        <w:spacing w:before="120" w:after="120" w:line="360" w:lineRule="exact"/>
        <w:ind w:firstLine="567"/>
        <w:jc w:val="both"/>
        <w:rPr>
          <w:b/>
          <w:bCs/>
          <w:spacing w:val="-2"/>
          <w:sz w:val="26"/>
          <w:szCs w:val="26"/>
          <w:lang w:val="nl-NL"/>
        </w:rPr>
      </w:pPr>
      <w:r>
        <w:rPr>
          <w:b/>
          <w:bCs/>
          <w:spacing w:val="-2"/>
          <w:sz w:val="26"/>
          <w:szCs w:val="26"/>
          <w:lang w:val="nl-NL"/>
        </w:rPr>
        <w:t>Điều 6. Trình tự, nội dung xác định giá đất theo phương pháp thặng dư</w:t>
      </w:r>
    </w:p>
    <w:p w14:paraId="0E4BB08D">
      <w:pPr>
        <w:pStyle w:val="28"/>
        <w:shd w:val="clear" w:color="auto" w:fill="FFFFFF"/>
        <w:spacing w:before="120" w:beforeAutospacing="0" w:after="120" w:afterAutospacing="0" w:line="360" w:lineRule="exact"/>
        <w:ind w:firstLine="567"/>
        <w:rPr>
          <w:bCs/>
          <w:spacing w:val="-2"/>
          <w:sz w:val="26"/>
          <w:szCs w:val="26"/>
        </w:rPr>
      </w:pPr>
      <w:r>
        <w:rPr>
          <w:bCs/>
          <w:spacing w:val="-2"/>
          <w:sz w:val="26"/>
          <w:szCs w:val="26"/>
        </w:rPr>
        <w:t>7. Trường hợp khu đất có diện tích giao đất có thu tiền sử dụng đất (sau đây gọi là giao đất), có diện tích cho thuê đất trả tiền thuê đất một lần cho cả thời gian thuê (sau đây gọi là cho thuê đất) thì giá đất của thửa đất cần định giá quy định tại khoản 6 Điều này được xác định theo tổng doanh thu phát triển và tổng chi phí phát triển của từng phần diện tích giao đất, cho thuê đất.</w:t>
      </w:r>
    </w:p>
    <w:p w14:paraId="08C0C514">
      <w:pPr>
        <w:pStyle w:val="28"/>
        <w:shd w:val="clear" w:color="auto" w:fill="FFFFFF"/>
        <w:spacing w:before="120" w:beforeAutospacing="0" w:after="120" w:afterAutospacing="0" w:line="360" w:lineRule="exact"/>
        <w:rPr>
          <w:bCs/>
          <w:spacing w:val="-2"/>
          <w:sz w:val="26"/>
          <w:szCs w:val="26"/>
        </w:rPr>
      </w:pPr>
      <w:r>
        <w:rPr>
          <w:bCs/>
          <w:spacing w:val="-2"/>
          <w:sz w:val="26"/>
          <w:szCs w:val="26"/>
        </w:rPr>
        <w:t>Việc phân bổ chi phí xây dựng kết cấu hạ tầng kỹ thuật theo từng phần diện tích giao đất, cho thuê đất được thực hiện theo công thức sau:</w:t>
      </w:r>
    </w:p>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2657"/>
        <w:gridCol w:w="366"/>
        <w:gridCol w:w="3940"/>
        <w:gridCol w:w="366"/>
        <w:gridCol w:w="1741"/>
      </w:tblGrid>
      <w:tr w14:paraId="5124D863">
        <w:tblPrEx>
          <w:shd w:val="clear" w:color="auto" w:fill="FFFFFF"/>
          <w:tblCellMar>
            <w:top w:w="0" w:type="dxa"/>
            <w:left w:w="0" w:type="dxa"/>
            <w:bottom w:w="0" w:type="dxa"/>
            <w:right w:w="0" w:type="dxa"/>
          </w:tblCellMar>
        </w:tblPrEx>
        <w:trPr>
          <w:tblCellSpacing w:w="0" w:type="dxa"/>
        </w:trPr>
        <w:tc>
          <w:tcPr>
            <w:tcW w:w="1450" w:type="pct"/>
            <w:vMerge w:val="restart"/>
            <w:shd w:val="clear" w:color="auto" w:fill="FFFFFF"/>
            <w:vAlign w:val="center"/>
          </w:tcPr>
          <w:p w14:paraId="6655380D">
            <w:pPr>
              <w:pStyle w:val="28"/>
              <w:spacing w:before="120" w:beforeAutospacing="0" w:after="120" w:afterAutospacing="0" w:line="360" w:lineRule="exact"/>
              <w:jc w:val="center"/>
              <w:rPr>
                <w:bCs/>
                <w:spacing w:val="-2"/>
                <w:sz w:val="26"/>
                <w:szCs w:val="26"/>
              </w:rPr>
            </w:pPr>
            <w:r>
              <w:rPr>
                <w:bCs/>
                <w:spacing w:val="-2"/>
                <w:sz w:val="26"/>
                <w:szCs w:val="26"/>
              </w:rPr>
              <w:t>Chi phí xây dựng kết cấu hạ tầng kỹ thuật đối với phần diện tích giao đất</w:t>
            </w:r>
          </w:p>
        </w:tc>
        <w:tc>
          <w:tcPr>
            <w:tcW w:w="200" w:type="pct"/>
            <w:vMerge w:val="restart"/>
            <w:shd w:val="clear" w:color="auto" w:fill="FFFFFF"/>
            <w:vAlign w:val="center"/>
          </w:tcPr>
          <w:p w14:paraId="6E5435DE">
            <w:pPr>
              <w:pStyle w:val="28"/>
              <w:spacing w:before="120" w:beforeAutospacing="0" w:after="120" w:afterAutospacing="0" w:line="360" w:lineRule="exact"/>
              <w:jc w:val="center"/>
              <w:rPr>
                <w:bCs/>
                <w:spacing w:val="-2"/>
                <w:sz w:val="26"/>
                <w:szCs w:val="26"/>
              </w:rPr>
            </w:pPr>
            <w:r>
              <w:rPr>
                <w:bCs/>
                <w:spacing w:val="-2"/>
                <w:sz w:val="26"/>
                <w:szCs w:val="26"/>
              </w:rPr>
              <w:t>=</w:t>
            </w:r>
          </w:p>
        </w:tc>
        <w:tc>
          <w:tcPr>
            <w:tcW w:w="2150" w:type="pct"/>
            <w:tcBorders>
              <w:top w:val="nil"/>
              <w:left w:val="nil"/>
              <w:bottom w:val="single" w:color="auto" w:sz="8" w:space="0"/>
              <w:right w:val="nil"/>
            </w:tcBorders>
            <w:shd w:val="clear" w:color="auto" w:fill="FFFFFF"/>
            <w:vAlign w:val="center"/>
          </w:tcPr>
          <w:p w14:paraId="2FA37C1D">
            <w:pPr>
              <w:pStyle w:val="28"/>
              <w:spacing w:before="120" w:beforeAutospacing="0" w:after="120" w:afterAutospacing="0" w:line="360" w:lineRule="exact"/>
              <w:jc w:val="center"/>
              <w:rPr>
                <w:bCs/>
                <w:spacing w:val="-2"/>
                <w:sz w:val="26"/>
                <w:szCs w:val="26"/>
              </w:rPr>
            </w:pPr>
            <w:r>
              <w:rPr>
                <w:bCs/>
                <w:spacing w:val="-2"/>
                <w:sz w:val="26"/>
                <w:szCs w:val="26"/>
              </w:rPr>
              <w:t>Tổng chi phí xây dựng kết cấu hạ tầng kỹ thuật của dự án</w:t>
            </w:r>
          </w:p>
        </w:tc>
        <w:tc>
          <w:tcPr>
            <w:tcW w:w="200" w:type="pct"/>
            <w:vMerge w:val="restart"/>
            <w:shd w:val="clear" w:color="auto" w:fill="FFFFFF"/>
            <w:vAlign w:val="center"/>
          </w:tcPr>
          <w:p w14:paraId="2DDD1EC2">
            <w:pPr>
              <w:pStyle w:val="28"/>
              <w:spacing w:before="120" w:beforeAutospacing="0" w:after="120" w:afterAutospacing="0" w:line="360" w:lineRule="exact"/>
              <w:jc w:val="center"/>
              <w:rPr>
                <w:bCs/>
                <w:spacing w:val="-2"/>
                <w:sz w:val="26"/>
                <w:szCs w:val="26"/>
              </w:rPr>
            </w:pPr>
            <w:r>
              <w:rPr>
                <w:bCs/>
                <w:spacing w:val="-2"/>
                <w:sz w:val="26"/>
                <w:szCs w:val="26"/>
              </w:rPr>
              <w:t>x</w:t>
            </w:r>
          </w:p>
        </w:tc>
        <w:tc>
          <w:tcPr>
            <w:tcW w:w="950" w:type="pct"/>
            <w:vMerge w:val="restart"/>
            <w:shd w:val="clear" w:color="auto" w:fill="FFFFFF"/>
            <w:vAlign w:val="center"/>
          </w:tcPr>
          <w:p w14:paraId="16F1B120">
            <w:pPr>
              <w:pStyle w:val="28"/>
              <w:spacing w:before="120" w:beforeAutospacing="0" w:after="120" w:afterAutospacing="0" w:line="360" w:lineRule="exact"/>
              <w:jc w:val="center"/>
              <w:rPr>
                <w:bCs/>
                <w:spacing w:val="-2"/>
                <w:sz w:val="26"/>
                <w:szCs w:val="26"/>
              </w:rPr>
            </w:pPr>
            <w:r>
              <w:rPr>
                <w:bCs/>
                <w:spacing w:val="-2"/>
                <w:sz w:val="26"/>
                <w:szCs w:val="26"/>
              </w:rPr>
              <w:t>Diện tích giao đất</w:t>
            </w:r>
          </w:p>
        </w:tc>
      </w:tr>
      <w:tr w14:paraId="190D3045">
        <w:tblPrEx>
          <w:shd w:val="clear" w:color="auto" w:fill="FFFFFF"/>
          <w:tblCellMar>
            <w:top w:w="0" w:type="dxa"/>
            <w:left w:w="0" w:type="dxa"/>
            <w:bottom w:w="0" w:type="dxa"/>
            <w:right w:w="0" w:type="dxa"/>
          </w:tblCellMar>
        </w:tblPrEx>
        <w:trPr>
          <w:tblCellSpacing w:w="0" w:type="dxa"/>
        </w:trPr>
        <w:tc>
          <w:tcPr>
            <w:tcW w:w="0" w:type="auto"/>
            <w:vMerge w:val="continue"/>
            <w:shd w:val="clear" w:color="auto" w:fill="FFFFFF"/>
            <w:vAlign w:val="center"/>
          </w:tcPr>
          <w:p w14:paraId="0D8E3DE9">
            <w:pPr>
              <w:spacing w:line="360" w:lineRule="exact"/>
              <w:rPr>
                <w:bCs/>
                <w:spacing w:val="-2"/>
                <w:sz w:val="26"/>
                <w:szCs w:val="26"/>
              </w:rPr>
            </w:pPr>
          </w:p>
        </w:tc>
        <w:tc>
          <w:tcPr>
            <w:tcW w:w="0" w:type="auto"/>
            <w:vMerge w:val="continue"/>
            <w:shd w:val="clear" w:color="auto" w:fill="FFFFFF"/>
            <w:vAlign w:val="center"/>
          </w:tcPr>
          <w:p w14:paraId="24E9D55C">
            <w:pPr>
              <w:spacing w:line="360" w:lineRule="exact"/>
              <w:rPr>
                <w:bCs/>
                <w:spacing w:val="-2"/>
                <w:sz w:val="26"/>
                <w:szCs w:val="26"/>
              </w:rPr>
            </w:pPr>
          </w:p>
        </w:tc>
        <w:tc>
          <w:tcPr>
            <w:tcW w:w="2150" w:type="pct"/>
            <w:tcBorders>
              <w:top w:val="nil"/>
              <w:left w:val="nil"/>
              <w:bottom w:val="nil"/>
              <w:right w:val="nil"/>
            </w:tcBorders>
            <w:shd w:val="clear" w:color="auto" w:fill="FFFFFF"/>
            <w:vAlign w:val="center"/>
          </w:tcPr>
          <w:p w14:paraId="39AAE95D">
            <w:pPr>
              <w:pStyle w:val="28"/>
              <w:spacing w:before="120" w:beforeAutospacing="0" w:after="120" w:afterAutospacing="0" w:line="360" w:lineRule="exact"/>
              <w:jc w:val="center"/>
              <w:rPr>
                <w:bCs/>
                <w:spacing w:val="-2"/>
                <w:sz w:val="26"/>
                <w:szCs w:val="26"/>
              </w:rPr>
            </w:pPr>
            <w:r>
              <w:rPr>
                <w:bCs/>
                <w:spacing w:val="-2"/>
                <w:sz w:val="26"/>
                <w:szCs w:val="26"/>
              </w:rPr>
              <w:t>Tổng diện tích giao đất và cho thuê đất</w:t>
            </w:r>
          </w:p>
        </w:tc>
        <w:tc>
          <w:tcPr>
            <w:tcW w:w="0" w:type="auto"/>
            <w:vMerge w:val="continue"/>
            <w:shd w:val="clear" w:color="auto" w:fill="FFFFFF"/>
            <w:vAlign w:val="center"/>
          </w:tcPr>
          <w:p w14:paraId="6CC75E70">
            <w:pPr>
              <w:spacing w:line="360" w:lineRule="exact"/>
              <w:rPr>
                <w:bCs/>
                <w:spacing w:val="-2"/>
                <w:sz w:val="26"/>
                <w:szCs w:val="26"/>
              </w:rPr>
            </w:pPr>
          </w:p>
        </w:tc>
        <w:tc>
          <w:tcPr>
            <w:tcW w:w="0" w:type="auto"/>
            <w:vMerge w:val="continue"/>
            <w:shd w:val="clear" w:color="auto" w:fill="FFFFFF"/>
            <w:vAlign w:val="center"/>
          </w:tcPr>
          <w:p w14:paraId="377EDDBB">
            <w:pPr>
              <w:spacing w:line="360" w:lineRule="exact"/>
              <w:rPr>
                <w:bCs/>
                <w:spacing w:val="-2"/>
                <w:sz w:val="26"/>
                <w:szCs w:val="26"/>
              </w:rPr>
            </w:pPr>
          </w:p>
        </w:tc>
      </w:tr>
    </w:tbl>
    <w:p w14:paraId="2A0178AC">
      <w:pPr>
        <w:spacing w:line="360" w:lineRule="exact"/>
        <w:rPr>
          <w:bCs/>
          <w:spacing w:val="-2"/>
          <w:sz w:val="26"/>
          <w:szCs w:val="26"/>
        </w:rPr>
      </w:pPr>
    </w:p>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2657"/>
        <w:gridCol w:w="366"/>
        <w:gridCol w:w="3940"/>
        <w:gridCol w:w="366"/>
        <w:gridCol w:w="1741"/>
      </w:tblGrid>
      <w:tr w14:paraId="62B942F6">
        <w:tblPrEx>
          <w:shd w:val="clear" w:color="auto" w:fill="FFFFFF"/>
          <w:tblCellMar>
            <w:top w:w="0" w:type="dxa"/>
            <w:left w:w="0" w:type="dxa"/>
            <w:bottom w:w="0" w:type="dxa"/>
            <w:right w:w="0" w:type="dxa"/>
          </w:tblCellMar>
        </w:tblPrEx>
        <w:trPr>
          <w:tblCellSpacing w:w="0" w:type="dxa"/>
        </w:trPr>
        <w:tc>
          <w:tcPr>
            <w:tcW w:w="1450" w:type="pct"/>
            <w:vMerge w:val="restart"/>
            <w:shd w:val="clear" w:color="auto" w:fill="FFFFFF"/>
            <w:vAlign w:val="center"/>
          </w:tcPr>
          <w:p w14:paraId="157F1B67">
            <w:pPr>
              <w:pStyle w:val="28"/>
              <w:spacing w:before="120" w:beforeAutospacing="0" w:after="120" w:afterAutospacing="0" w:line="360" w:lineRule="exact"/>
              <w:jc w:val="center"/>
              <w:rPr>
                <w:bCs/>
                <w:spacing w:val="-2"/>
                <w:sz w:val="26"/>
                <w:szCs w:val="26"/>
              </w:rPr>
            </w:pPr>
            <w:r>
              <w:rPr>
                <w:bCs/>
                <w:spacing w:val="-2"/>
                <w:sz w:val="26"/>
                <w:szCs w:val="26"/>
              </w:rPr>
              <w:t>Chi phí xây dựng kết cấu hạ tầng kỹ thuật đối với phần diện tích cho thuê đất</w:t>
            </w:r>
          </w:p>
        </w:tc>
        <w:tc>
          <w:tcPr>
            <w:tcW w:w="200" w:type="pct"/>
            <w:vMerge w:val="restart"/>
            <w:shd w:val="clear" w:color="auto" w:fill="FFFFFF"/>
            <w:vAlign w:val="center"/>
          </w:tcPr>
          <w:p w14:paraId="484B0BBE">
            <w:pPr>
              <w:pStyle w:val="28"/>
              <w:spacing w:before="120" w:beforeAutospacing="0" w:after="120" w:afterAutospacing="0" w:line="360" w:lineRule="exact"/>
              <w:jc w:val="center"/>
              <w:rPr>
                <w:bCs/>
                <w:spacing w:val="-2"/>
                <w:sz w:val="26"/>
                <w:szCs w:val="26"/>
              </w:rPr>
            </w:pPr>
            <w:r>
              <w:rPr>
                <w:bCs/>
                <w:spacing w:val="-2"/>
                <w:sz w:val="26"/>
                <w:szCs w:val="26"/>
              </w:rPr>
              <w:t>=</w:t>
            </w:r>
          </w:p>
        </w:tc>
        <w:tc>
          <w:tcPr>
            <w:tcW w:w="2150" w:type="pct"/>
            <w:tcBorders>
              <w:top w:val="nil"/>
              <w:left w:val="nil"/>
              <w:bottom w:val="single" w:color="auto" w:sz="8" w:space="0"/>
              <w:right w:val="nil"/>
            </w:tcBorders>
            <w:shd w:val="clear" w:color="auto" w:fill="FFFFFF"/>
            <w:vAlign w:val="center"/>
          </w:tcPr>
          <w:p w14:paraId="020E6340">
            <w:pPr>
              <w:pStyle w:val="28"/>
              <w:spacing w:before="120" w:beforeAutospacing="0" w:after="120" w:afterAutospacing="0" w:line="360" w:lineRule="exact"/>
              <w:jc w:val="center"/>
              <w:rPr>
                <w:bCs/>
                <w:spacing w:val="-2"/>
                <w:sz w:val="26"/>
                <w:szCs w:val="26"/>
              </w:rPr>
            </w:pPr>
            <w:r>
              <w:rPr>
                <w:bCs/>
                <w:spacing w:val="-2"/>
                <w:sz w:val="26"/>
                <w:szCs w:val="26"/>
              </w:rPr>
              <w:t>Tổng chi phí xây dựng kết cấu hạ tầng kỹ thuật của dự án</w:t>
            </w:r>
          </w:p>
        </w:tc>
        <w:tc>
          <w:tcPr>
            <w:tcW w:w="200" w:type="pct"/>
            <w:vMerge w:val="restart"/>
            <w:shd w:val="clear" w:color="auto" w:fill="FFFFFF"/>
            <w:vAlign w:val="center"/>
          </w:tcPr>
          <w:p w14:paraId="7D023EF3">
            <w:pPr>
              <w:pStyle w:val="28"/>
              <w:spacing w:before="120" w:beforeAutospacing="0" w:after="120" w:afterAutospacing="0" w:line="360" w:lineRule="exact"/>
              <w:jc w:val="center"/>
              <w:rPr>
                <w:bCs/>
                <w:spacing w:val="-2"/>
                <w:sz w:val="26"/>
                <w:szCs w:val="26"/>
              </w:rPr>
            </w:pPr>
            <w:r>
              <w:rPr>
                <w:bCs/>
                <w:spacing w:val="-2"/>
                <w:sz w:val="26"/>
                <w:szCs w:val="26"/>
              </w:rPr>
              <w:t>x</w:t>
            </w:r>
          </w:p>
        </w:tc>
        <w:tc>
          <w:tcPr>
            <w:tcW w:w="950" w:type="pct"/>
            <w:vMerge w:val="restart"/>
            <w:shd w:val="clear" w:color="auto" w:fill="FFFFFF"/>
            <w:vAlign w:val="center"/>
          </w:tcPr>
          <w:p w14:paraId="5A35F307">
            <w:pPr>
              <w:pStyle w:val="28"/>
              <w:spacing w:before="120" w:beforeAutospacing="0" w:after="120" w:afterAutospacing="0" w:line="360" w:lineRule="exact"/>
              <w:jc w:val="center"/>
              <w:rPr>
                <w:bCs/>
                <w:spacing w:val="-2"/>
                <w:sz w:val="26"/>
                <w:szCs w:val="26"/>
              </w:rPr>
            </w:pPr>
            <w:r>
              <w:rPr>
                <w:bCs/>
                <w:spacing w:val="-2"/>
                <w:sz w:val="26"/>
                <w:szCs w:val="26"/>
              </w:rPr>
              <w:t>Diện tích cho thuê đất</w:t>
            </w:r>
          </w:p>
        </w:tc>
      </w:tr>
      <w:tr w14:paraId="6B569380">
        <w:tblPrEx>
          <w:shd w:val="clear" w:color="auto" w:fill="FFFFFF"/>
          <w:tblCellMar>
            <w:top w:w="0" w:type="dxa"/>
            <w:left w:w="0" w:type="dxa"/>
            <w:bottom w:w="0" w:type="dxa"/>
            <w:right w:w="0" w:type="dxa"/>
          </w:tblCellMar>
        </w:tblPrEx>
        <w:trPr>
          <w:tblCellSpacing w:w="0" w:type="dxa"/>
        </w:trPr>
        <w:tc>
          <w:tcPr>
            <w:tcW w:w="0" w:type="auto"/>
            <w:vMerge w:val="continue"/>
            <w:shd w:val="clear" w:color="auto" w:fill="FFFFFF"/>
            <w:vAlign w:val="center"/>
          </w:tcPr>
          <w:p w14:paraId="784AB506">
            <w:pPr>
              <w:spacing w:line="360" w:lineRule="exact"/>
              <w:rPr>
                <w:bCs/>
                <w:spacing w:val="-2"/>
                <w:sz w:val="26"/>
                <w:szCs w:val="26"/>
              </w:rPr>
            </w:pPr>
          </w:p>
        </w:tc>
        <w:tc>
          <w:tcPr>
            <w:tcW w:w="0" w:type="auto"/>
            <w:vMerge w:val="continue"/>
            <w:shd w:val="clear" w:color="auto" w:fill="FFFFFF"/>
            <w:vAlign w:val="center"/>
          </w:tcPr>
          <w:p w14:paraId="650FA954">
            <w:pPr>
              <w:spacing w:line="360" w:lineRule="exact"/>
              <w:rPr>
                <w:bCs/>
                <w:spacing w:val="-2"/>
                <w:sz w:val="26"/>
                <w:szCs w:val="26"/>
              </w:rPr>
            </w:pPr>
          </w:p>
        </w:tc>
        <w:tc>
          <w:tcPr>
            <w:tcW w:w="2150" w:type="pct"/>
            <w:tcBorders>
              <w:top w:val="nil"/>
              <w:left w:val="nil"/>
              <w:bottom w:val="nil"/>
              <w:right w:val="nil"/>
            </w:tcBorders>
            <w:shd w:val="clear" w:color="auto" w:fill="FFFFFF"/>
            <w:vAlign w:val="center"/>
          </w:tcPr>
          <w:p w14:paraId="24DFE8FD">
            <w:pPr>
              <w:pStyle w:val="28"/>
              <w:spacing w:before="120" w:beforeAutospacing="0" w:after="120" w:afterAutospacing="0" w:line="360" w:lineRule="exact"/>
              <w:jc w:val="center"/>
              <w:rPr>
                <w:bCs/>
                <w:spacing w:val="-2"/>
                <w:sz w:val="26"/>
                <w:szCs w:val="26"/>
              </w:rPr>
            </w:pPr>
            <w:r>
              <w:rPr>
                <w:bCs/>
                <w:spacing w:val="-2"/>
                <w:sz w:val="26"/>
                <w:szCs w:val="26"/>
              </w:rPr>
              <w:t>Tổng diện tích giao đất và cho thuê đất</w:t>
            </w:r>
          </w:p>
        </w:tc>
        <w:tc>
          <w:tcPr>
            <w:tcW w:w="0" w:type="auto"/>
            <w:vMerge w:val="continue"/>
            <w:shd w:val="clear" w:color="auto" w:fill="FFFFFF"/>
            <w:vAlign w:val="center"/>
          </w:tcPr>
          <w:p w14:paraId="3CF9F3D9">
            <w:pPr>
              <w:spacing w:line="360" w:lineRule="exact"/>
              <w:rPr>
                <w:bCs/>
                <w:spacing w:val="-2"/>
                <w:sz w:val="26"/>
                <w:szCs w:val="26"/>
              </w:rPr>
            </w:pPr>
          </w:p>
        </w:tc>
        <w:tc>
          <w:tcPr>
            <w:tcW w:w="0" w:type="auto"/>
            <w:vMerge w:val="continue"/>
            <w:shd w:val="clear" w:color="auto" w:fill="FFFFFF"/>
            <w:vAlign w:val="center"/>
          </w:tcPr>
          <w:p w14:paraId="5C0C9FAD">
            <w:pPr>
              <w:spacing w:line="360" w:lineRule="exact"/>
              <w:rPr>
                <w:bCs/>
                <w:spacing w:val="-2"/>
                <w:sz w:val="26"/>
                <w:szCs w:val="26"/>
              </w:rPr>
            </w:pPr>
          </w:p>
        </w:tc>
      </w:tr>
    </w:tbl>
    <w:p w14:paraId="736585AA">
      <w:pPr>
        <w:widowControl w:val="0"/>
        <w:tabs>
          <w:tab w:val="left" w:pos="567"/>
        </w:tabs>
        <w:spacing w:before="120" w:after="120" w:line="340" w:lineRule="exact"/>
        <w:ind w:firstLine="567"/>
        <w:jc w:val="both"/>
        <w:rPr>
          <w:b/>
          <w:bCs/>
          <w:spacing w:val="-2"/>
          <w:sz w:val="26"/>
          <w:szCs w:val="26"/>
          <w:lang w:val="nl-NL"/>
        </w:rPr>
      </w:pPr>
      <w:r>
        <w:rPr>
          <w:b/>
          <w:bCs/>
          <w:spacing w:val="-2"/>
          <w:sz w:val="26"/>
          <w:szCs w:val="26"/>
          <w:lang w:val="nl-NL"/>
        </w:rPr>
        <w:t xml:space="preserve">Đơn vị tư vấn tiến hành phân bổ phân bổ chi phí xây dựng kết cấu hạ tầng kỹ thuật theo từng phần diện tích giao đất, cho thuê đất đảm bảo theo quy định tại Nghị định 71/2024/NĐ-CP ngày 27/06/2024.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4457"/>
        <w:gridCol w:w="1346"/>
        <w:gridCol w:w="2720"/>
      </w:tblGrid>
      <w:tr w14:paraId="3084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411" w:type="pct"/>
            <w:vAlign w:val="center"/>
          </w:tcPr>
          <w:p w14:paraId="2B3797DA">
            <w:pPr>
              <w:jc w:val="center"/>
              <w:rPr>
                <w:b/>
                <w:bCs/>
                <w:color w:val="000000"/>
              </w:rPr>
            </w:pPr>
            <w:r>
              <w:rPr>
                <w:b/>
                <w:bCs/>
                <w:color w:val="000000"/>
              </w:rPr>
              <w:t>STT</w:t>
            </w:r>
          </w:p>
        </w:tc>
        <w:tc>
          <w:tcPr>
            <w:tcW w:w="2400" w:type="pct"/>
            <w:vAlign w:val="center"/>
          </w:tcPr>
          <w:p w14:paraId="0EC93E18">
            <w:pPr>
              <w:jc w:val="center"/>
              <w:rPr>
                <w:b/>
                <w:bCs/>
                <w:color w:val="000000"/>
              </w:rPr>
            </w:pPr>
            <w:r>
              <w:rPr>
                <w:b/>
                <w:bCs/>
                <w:color w:val="000000"/>
              </w:rPr>
              <w:t>LOẠI ĐẤT</w:t>
            </w:r>
          </w:p>
        </w:tc>
        <w:tc>
          <w:tcPr>
            <w:tcW w:w="725" w:type="pct"/>
            <w:vAlign w:val="center"/>
          </w:tcPr>
          <w:p w14:paraId="595FE586">
            <w:pPr>
              <w:jc w:val="center"/>
              <w:rPr>
                <w:b/>
                <w:bCs/>
                <w:color w:val="000000"/>
              </w:rPr>
            </w:pPr>
            <w:r>
              <w:rPr>
                <w:b/>
                <w:bCs/>
                <w:color w:val="000000"/>
              </w:rPr>
              <w:t>DT ĐẤT</w:t>
            </w:r>
            <w:r>
              <w:rPr>
                <w:b/>
                <w:bCs/>
                <w:color w:val="000000"/>
              </w:rPr>
              <w:br w:type="textWrapping"/>
            </w:r>
            <w:r>
              <w:rPr>
                <w:b/>
                <w:bCs/>
                <w:color w:val="000000"/>
              </w:rPr>
              <w:t>(m2)</w:t>
            </w:r>
          </w:p>
        </w:tc>
        <w:tc>
          <w:tcPr>
            <w:tcW w:w="1464" w:type="pct"/>
            <w:vAlign w:val="center"/>
          </w:tcPr>
          <w:p w14:paraId="4EF53878">
            <w:pPr>
              <w:jc w:val="center"/>
              <w:rPr>
                <w:b/>
                <w:bCs/>
                <w:color w:val="000000"/>
              </w:rPr>
            </w:pPr>
            <w:r>
              <w:rPr>
                <w:b/>
                <w:bCs/>
                <w:color w:val="000000"/>
              </w:rPr>
              <w:t>TỶ LỆ ĐẤT THEO CƠ CẤU CHIẾM ĐẤT HỮU DỤNG</w:t>
            </w:r>
          </w:p>
        </w:tc>
      </w:tr>
      <w:tr w14:paraId="0176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5B623AE4">
            <w:pPr>
              <w:jc w:val="center"/>
              <w:rPr>
                <w:b/>
                <w:bCs/>
                <w:color w:val="000000"/>
              </w:rPr>
            </w:pPr>
            <w:r>
              <w:rPr>
                <w:b/>
                <w:bCs/>
                <w:color w:val="000000"/>
              </w:rPr>
              <w:t>I</w:t>
            </w:r>
          </w:p>
        </w:tc>
        <w:tc>
          <w:tcPr>
            <w:tcW w:w="2400" w:type="pct"/>
            <w:vAlign w:val="center"/>
          </w:tcPr>
          <w:p w14:paraId="627A14B8">
            <w:pPr>
              <w:rPr>
                <w:b/>
                <w:bCs/>
                <w:color w:val="000000"/>
              </w:rPr>
            </w:pPr>
            <w:r>
              <w:rPr>
                <w:b/>
                <w:bCs/>
                <w:color w:val="000000"/>
              </w:rPr>
              <w:t>ĐẤT NHÓM NHÀ Ở</w:t>
            </w:r>
          </w:p>
        </w:tc>
        <w:tc>
          <w:tcPr>
            <w:tcW w:w="725" w:type="pct"/>
            <w:vAlign w:val="center"/>
          </w:tcPr>
          <w:p w14:paraId="0079B329">
            <w:pPr>
              <w:jc w:val="center"/>
              <w:rPr>
                <w:b/>
                <w:bCs/>
                <w:color w:val="000000"/>
              </w:rPr>
            </w:pPr>
            <w:r>
              <w:rPr>
                <w:b/>
                <w:bCs/>
                <w:color w:val="000000"/>
              </w:rPr>
              <w:t>100.898,3</w:t>
            </w:r>
          </w:p>
        </w:tc>
        <w:tc>
          <w:tcPr>
            <w:tcW w:w="1464" w:type="pct"/>
            <w:noWrap/>
            <w:vAlign w:val="center"/>
          </w:tcPr>
          <w:p w14:paraId="57DAD6FA">
            <w:pPr>
              <w:jc w:val="center"/>
              <w:rPr>
                <w:color w:val="000000"/>
              </w:rPr>
            </w:pPr>
          </w:p>
        </w:tc>
      </w:tr>
      <w:tr w14:paraId="1250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2BA9C92D">
            <w:pPr>
              <w:jc w:val="center"/>
              <w:rPr>
                <w:color w:val="000000"/>
              </w:rPr>
            </w:pPr>
            <w:r>
              <w:rPr>
                <w:color w:val="000000"/>
              </w:rPr>
              <w:t>1</w:t>
            </w:r>
          </w:p>
        </w:tc>
        <w:tc>
          <w:tcPr>
            <w:tcW w:w="2400" w:type="pct"/>
            <w:vAlign w:val="center"/>
          </w:tcPr>
          <w:p w14:paraId="2B9785F6">
            <w:pPr>
              <w:rPr>
                <w:b/>
                <w:bCs/>
                <w:color w:val="000000"/>
              </w:rPr>
            </w:pPr>
            <w:r>
              <w:rPr>
                <w:b/>
                <w:bCs/>
                <w:color w:val="000000"/>
              </w:rPr>
              <w:t>ĐẤT Ở</w:t>
            </w:r>
          </w:p>
        </w:tc>
        <w:tc>
          <w:tcPr>
            <w:tcW w:w="725" w:type="pct"/>
            <w:vAlign w:val="center"/>
          </w:tcPr>
          <w:p w14:paraId="6EFAFFB3">
            <w:pPr>
              <w:jc w:val="center"/>
              <w:rPr>
                <w:b/>
                <w:bCs/>
                <w:color w:val="000000"/>
              </w:rPr>
            </w:pPr>
            <w:r>
              <w:rPr>
                <w:b/>
                <w:bCs/>
                <w:color w:val="000000"/>
              </w:rPr>
              <w:t>87.948,4</w:t>
            </w:r>
          </w:p>
        </w:tc>
        <w:tc>
          <w:tcPr>
            <w:tcW w:w="1464" w:type="pct"/>
            <w:noWrap/>
            <w:vAlign w:val="center"/>
          </w:tcPr>
          <w:p w14:paraId="2E30699B">
            <w:pPr>
              <w:jc w:val="center"/>
              <w:rPr>
                <w:color w:val="000000"/>
              </w:rPr>
            </w:pPr>
          </w:p>
        </w:tc>
      </w:tr>
      <w:tr w14:paraId="68B6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28DB8D6E">
            <w:pPr>
              <w:jc w:val="center"/>
              <w:rPr>
                <w:color w:val="000000"/>
              </w:rPr>
            </w:pPr>
            <w:r>
              <w:rPr>
                <w:color w:val="000000"/>
              </w:rPr>
              <w:t>1.1</w:t>
            </w:r>
          </w:p>
        </w:tc>
        <w:tc>
          <w:tcPr>
            <w:tcW w:w="2400" w:type="pct"/>
            <w:vAlign w:val="center"/>
          </w:tcPr>
          <w:p w14:paraId="09CD776D">
            <w:pPr>
              <w:rPr>
                <w:color w:val="000000"/>
              </w:rPr>
            </w:pPr>
            <w:r>
              <w:rPr>
                <w:color w:val="000000"/>
              </w:rPr>
              <w:t>Đất hiện trạng</w:t>
            </w:r>
          </w:p>
        </w:tc>
        <w:tc>
          <w:tcPr>
            <w:tcW w:w="725" w:type="pct"/>
            <w:vAlign w:val="center"/>
          </w:tcPr>
          <w:p w14:paraId="2A6B487F">
            <w:pPr>
              <w:jc w:val="center"/>
              <w:rPr>
                <w:color w:val="000000"/>
              </w:rPr>
            </w:pPr>
            <w:r>
              <w:rPr>
                <w:color w:val="000000"/>
              </w:rPr>
              <w:t>29.745,0</w:t>
            </w:r>
          </w:p>
        </w:tc>
        <w:tc>
          <w:tcPr>
            <w:tcW w:w="1464" w:type="pct"/>
            <w:noWrap/>
            <w:vAlign w:val="center"/>
          </w:tcPr>
          <w:p w14:paraId="70C8F6F1">
            <w:pPr>
              <w:jc w:val="center"/>
              <w:rPr>
                <w:color w:val="000000"/>
              </w:rPr>
            </w:pPr>
          </w:p>
        </w:tc>
      </w:tr>
      <w:tr w14:paraId="4FDB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39B3E3EF">
            <w:pPr>
              <w:jc w:val="center"/>
              <w:rPr>
                <w:color w:val="000000"/>
              </w:rPr>
            </w:pPr>
            <w:r>
              <w:rPr>
                <w:color w:val="000000"/>
              </w:rPr>
              <w:t>1.2</w:t>
            </w:r>
          </w:p>
        </w:tc>
        <w:tc>
          <w:tcPr>
            <w:tcW w:w="2400" w:type="pct"/>
            <w:vAlign w:val="center"/>
          </w:tcPr>
          <w:p w14:paraId="453C29FB">
            <w:pPr>
              <w:rPr>
                <w:color w:val="000000"/>
              </w:rPr>
            </w:pPr>
            <w:r>
              <w:rPr>
                <w:color w:val="000000"/>
              </w:rPr>
              <w:t>Đất ở biệt thự</w:t>
            </w:r>
          </w:p>
        </w:tc>
        <w:tc>
          <w:tcPr>
            <w:tcW w:w="725" w:type="pct"/>
            <w:vAlign w:val="center"/>
          </w:tcPr>
          <w:p w14:paraId="30235A13">
            <w:pPr>
              <w:jc w:val="center"/>
              <w:rPr>
                <w:color w:val="000000"/>
              </w:rPr>
            </w:pPr>
            <w:r>
              <w:rPr>
                <w:color w:val="000000"/>
              </w:rPr>
              <w:t>3.009,1</w:t>
            </w:r>
          </w:p>
        </w:tc>
        <w:tc>
          <w:tcPr>
            <w:tcW w:w="1464" w:type="pct"/>
            <w:noWrap/>
            <w:vAlign w:val="center"/>
          </w:tcPr>
          <w:p w14:paraId="57436737">
            <w:pPr>
              <w:jc w:val="center"/>
              <w:rPr>
                <w:color w:val="000000"/>
              </w:rPr>
            </w:pPr>
            <w:r>
              <w:rPr>
                <w:color w:val="000000"/>
              </w:rPr>
              <w:t>3,3%</w:t>
            </w:r>
          </w:p>
        </w:tc>
      </w:tr>
      <w:tr w14:paraId="0FA5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31F49272">
            <w:pPr>
              <w:jc w:val="center"/>
              <w:rPr>
                <w:color w:val="000000"/>
              </w:rPr>
            </w:pPr>
            <w:r>
              <w:rPr>
                <w:color w:val="000000"/>
              </w:rPr>
              <w:t>1.3</w:t>
            </w:r>
          </w:p>
        </w:tc>
        <w:tc>
          <w:tcPr>
            <w:tcW w:w="2400" w:type="pct"/>
            <w:vAlign w:val="center"/>
          </w:tcPr>
          <w:p w14:paraId="0EA2FA01">
            <w:pPr>
              <w:rPr>
                <w:color w:val="000000"/>
              </w:rPr>
            </w:pPr>
            <w:r>
              <w:rPr>
                <w:color w:val="000000"/>
              </w:rPr>
              <w:t>Đất nhà ở Liền kề kết hợp kinh doanh</w:t>
            </w:r>
          </w:p>
        </w:tc>
        <w:tc>
          <w:tcPr>
            <w:tcW w:w="725" w:type="pct"/>
            <w:vAlign w:val="center"/>
          </w:tcPr>
          <w:p w14:paraId="1D5DC2FF">
            <w:pPr>
              <w:jc w:val="center"/>
              <w:rPr>
                <w:color w:val="000000"/>
              </w:rPr>
            </w:pPr>
            <w:r>
              <w:rPr>
                <w:color w:val="000000"/>
              </w:rPr>
              <w:t>55.194,3</w:t>
            </w:r>
          </w:p>
        </w:tc>
        <w:tc>
          <w:tcPr>
            <w:tcW w:w="1464" w:type="pct"/>
            <w:noWrap/>
            <w:vAlign w:val="center"/>
          </w:tcPr>
          <w:p w14:paraId="310E60D1">
            <w:pPr>
              <w:jc w:val="center"/>
              <w:rPr>
                <w:color w:val="000000"/>
              </w:rPr>
            </w:pPr>
            <w:r>
              <w:rPr>
                <w:color w:val="000000"/>
              </w:rPr>
              <w:t>60,3%</w:t>
            </w:r>
          </w:p>
        </w:tc>
      </w:tr>
      <w:tr w14:paraId="1F12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48935D74">
            <w:pPr>
              <w:jc w:val="center"/>
              <w:rPr>
                <w:color w:val="000000"/>
              </w:rPr>
            </w:pPr>
            <w:r>
              <w:rPr>
                <w:color w:val="000000"/>
              </w:rPr>
              <w:t>2</w:t>
            </w:r>
          </w:p>
        </w:tc>
        <w:tc>
          <w:tcPr>
            <w:tcW w:w="2400" w:type="pct"/>
            <w:vAlign w:val="center"/>
          </w:tcPr>
          <w:p w14:paraId="58750F3E">
            <w:pPr>
              <w:rPr>
                <w:color w:val="000000"/>
              </w:rPr>
            </w:pPr>
            <w:r>
              <w:rPr>
                <w:color w:val="000000"/>
              </w:rPr>
              <w:t>ĐẤT CÔNG CỘNG</w:t>
            </w:r>
          </w:p>
        </w:tc>
        <w:tc>
          <w:tcPr>
            <w:tcW w:w="725" w:type="pct"/>
            <w:vAlign w:val="center"/>
          </w:tcPr>
          <w:p w14:paraId="1DD6B124">
            <w:pPr>
              <w:jc w:val="center"/>
              <w:rPr>
                <w:color w:val="000000"/>
              </w:rPr>
            </w:pPr>
            <w:r>
              <w:rPr>
                <w:color w:val="000000"/>
              </w:rPr>
              <w:t>3.200,7</w:t>
            </w:r>
          </w:p>
        </w:tc>
        <w:tc>
          <w:tcPr>
            <w:tcW w:w="1464" w:type="pct"/>
            <w:noWrap/>
            <w:vAlign w:val="center"/>
          </w:tcPr>
          <w:p w14:paraId="50566FF8">
            <w:pPr>
              <w:jc w:val="center"/>
              <w:rPr>
                <w:color w:val="000000"/>
              </w:rPr>
            </w:pPr>
          </w:p>
        </w:tc>
      </w:tr>
      <w:tr w14:paraId="75D0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1DD19E2C">
            <w:pPr>
              <w:jc w:val="center"/>
              <w:rPr>
                <w:color w:val="000000"/>
              </w:rPr>
            </w:pPr>
            <w:r>
              <w:rPr>
                <w:color w:val="000000"/>
              </w:rPr>
              <w:t>3</w:t>
            </w:r>
          </w:p>
        </w:tc>
        <w:tc>
          <w:tcPr>
            <w:tcW w:w="2400" w:type="pct"/>
            <w:vAlign w:val="center"/>
          </w:tcPr>
          <w:p w14:paraId="0DADB390">
            <w:pPr>
              <w:rPr>
                <w:color w:val="000000"/>
              </w:rPr>
            </w:pPr>
            <w:r>
              <w:rPr>
                <w:color w:val="000000"/>
              </w:rPr>
              <w:t>TRƯỜNG HỌC</w:t>
            </w:r>
          </w:p>
        </w:tc>
        <w:tc>
          <w:tcPr>
            <w:tcW w:w="725" w:type="pct"/>
            <w:vAlign w:val="center"/>
          </w:tcPr>
          <w:p w14:paraId="5BCE49EB">
            <w:pPr>
              <w:jc w:val="center"/>
              <w:rPr>
                <w:color w:val="000000"/>
              </w:rPr>
            </w:pPr>
            <w:r>
              <w:rPr>
                <w:color w:val="000000"/>
              </w:rPr>
              <w:t>2.889,9</w:t>
            </w:r>
          </w:p>
        </w:tc>
        <w:tc>
          <w:tcPr>
            <w:tcW w:w="1464" w:type="pct"/>
            <w:noWrap/>
            <w:vAlign w:val="center"/>
          </w:tcPr>
          <w:p w14:paraId="13F69577">
            <w:pPr>
              <w:jc w:val="center"/>
              <w:rPr>
                <w:color w:val="000000"/>
              </w:rPr>
            </w:pPr>
            <w:r>
              <w:rPr>
                <w:color w:val="000000"/>
              </w:rPr>
              <w:t>3,2%</w:t>
            </w:r>
          </w:p>
        </w:tc>
      </w:tr>
      <w:tr w14:paraId="3F7E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60E0385D">
            <w:pPr>
              <w:jc w:val="center"/>
              <w:rPr>
                <w:color w:val="000000"/>
              </w:rPr>
            </w:pPr>
            <w:r>
              <w:rPr>
                <w:color w:val="000000"/>
              </w:rPr>
              <w:t>4</w:t>
            </w:r>
          </w:p>
        </w:tc>
        <w:tc>
          <w:tcPr>
            <w:tcW w:w="2400" w:type="pct"/>
            <w:vAlign w:val="center"/>
          </w:tcPr>
          <w:p w14:paraId="14DF38B4">
            <w:pPr>
              <w:rPr>
                <w:color w:val="000000"/>
              </w:rPr>
            </w:pPr>
            <w:r>
              <w:rPr>
                <w:color w:val="000000"/>
              </w:rPr>
              <w:t>ĐẤT CÂY XANH, MẶT NƯỚC</w:t>
            </w:r>
          </w:p>
        </w:tc>
        <w:tc>
          <w:tcPr>
            <w:tcW w:w="725" w:type="pct"/>
            <w:vAlign w:val="center"/>
          </w:tcPr>
          <w:p w14:paraId="528F20F7">
            <w:pPr>
              <w:jc w:val="center"/>
              <w:rPr>
                <w:color w:val="000000"/>
              </w:rPr>
            </w:pPr>
            <w:r>
              <w:rPr>
                <w:color w:val="000000"/>
              </w:rPr>
              <w:t>6.859,3</w:t>
            </w:r>
          </w:p>
        </w:tc>
        <w:tc>
          <w:tcPr>
            <w:tcW w:w="1464" w:type="pct"/>
            <w:noWrap/>
            <w:vAlign w:val="center"/>
          </w:tcPr>
          <w:p w14:paraId="57F079D2">
            <w:pPr>
              <w:jc w:val="center"/>
              <w:rPr>
                <w:color w:val="000000"/>
              </w:rPr>
            </w:pPr>
          </w:p>
        </w:tc>
      </w:tr>
      <w:tr w14:paraId="0FAF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6E893FF9">
            <w:pPr>
              <w:jc w:val="center"/>
              <w:rPr>
                <w:b/>
                <w:bCs/>
                <w:color w:val="000000"/>
              </w:rPr>
            </w:pPr>
            <w:r>
              <w:rPr>
                <w:b/>
                <w:bCs/>
                <w:color w:val="000000"/>
              </w:rPr>
              <w:t>II</w:t>
            </w:r>
          </w:p>
        </w:tc>
        <w:tc>
          <w:tcPr>
            <w:tcW w:w="2400" w:type="pct"/>
            <w:vAlign w:val="center"/>
          </w:tcPr>
          <w:p w14:paraId="22681551">
            <w:pPr>
              <w:rPr>
                <w:b/>
                <w:bCs/>
                <w:color w:val="000000"/>
              </w:rPr>
            </w:pPr>
            <w:r>
              <w:rPr>
                <w:b/>
                <w:bCs/>
                <w:color w:val="000000"/>
              </w:rPr>
              <w:t>ĐẤT THƯƠNG MẠI DỊCH VỤ</w:t>
            </w:r>
          </w:p>
        </w:tc>
        <w:tc>
          <w:tcPr>
            <w:tcW w:w="725" w:type="pct"/>
            <w:vAlign w:val="center"/>
          </w:tcPr>
          <w:p w14:paraId="0E068099">
            <w:pPr>
              <w:jc w:val="center"/>
              <w:rPr>
                <w:b/>
                <w:bCs/>
                <w:color w:val="000000"/>
              </w:rPr>
            </w:pPr>
            <w:r>
              <w:rPr>
                <w:b/>
                <w:bCs/>
                <w:color w:val="000000"/>
              </w:rPr>
              <w:t>3.368,2</w:t>
            </w:r>
          </w:p>
        </w:tc>
        <w:tc>
          <w:tcPr>
            <w:tcW w:w="1464" w:type="pct"/>
            <w:noWrap/>
            <w:vAlign w:val="center"/>
          </w:tcPr>
          <w:p w14:paraId="2A801B97">
            <w:pPr>
              <w:jc w:val="center"/>
              <w:rPr>
                <w:color w:val="000000"/>
              </w:rPr>
            </w:pPr>
            <w:r>
              <w:rPr>
                <w:color w:val="000000"/>
              </w:rPr>
              <w:t>3,7%</w:t>
            </w:r>
          </w:p>
        </w:tc>
      </w:tr>
      <w:tr w14:paraId="7512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4FF362A2">
            <w:pPr>
              <w:jc w:val="center"/>
              <w:rPr>
                <w:b/>
                <w:bCs/>
                <w:color w:val="000000"/>
              </w:rPr>
            </w:pPr>
            <w:r>
              <w:rPr>
                <w:b/>
                <w:bCs/>
                <w:color w:val="000000"/>
              </w:rPr>
              <w:t>III</w:t>
            </w:r>
          </w:p>
        </w:tc>
        <w:tc>
          <w:tcPr>
            <w:tcW w:w="2400" w:type="pct"/>
            <w:vAlign w:val="center"/>
          </w:tcPr>
          <w:p w14:paraId="471BBA17">
            <w:pPr>
              <w:rPr>
                <w:b/>
                <w:bCs/>
                <w:color w:val="000000"/>
              </w:rPr>
            </w:pPr>
            <w:r>
              <w:rPr>
                <w:b/>
                <w:bCs/>
                <w:color w:val="000000"/>
              </w:rPr>
              <w:t>ĐẤT HẠ TẦNG KỸ THUẬT, BÃI ĐỖ XE</w:t>
            </w:r>
          </w:p>
        </w:tc>
        <w:tc>
          <w:tcPr>
            <w:tcW w:w="725" w:type="pct"/>
            <w:vAlign w:val="center"/>
          </w:tcPr>
          <w:p w14:paraId="0DBEEB03">
            <w:pPr>
              <w:jc w:val="center"/>
              <w:rPr>
                <w:b/>
                <w:bCs/>
                <w:color w:val="000000"/>
              </w:rPr>
            </w:pPr>
            <w:r>
              <w:rPr>
                <w:b/>
                <w:bCs/>
                <w:color w:val="000000"/>
              </w:rPr>
              <w:t>3.826,7</w:t>
            </w:r>
          </w:p>
        </w:tc>
        <w:tc>
          <w:tcPr>
            <w:tcW w:w="1464" w:type="pct"/>
            <w:noWrap/>
            <w:vAlign w:val="center"/>
          </w:tcPr>
          <w:p w14:paraId="704A7FB8">
            <w:pPr>
              <w:jc w:val="center"/>
              <w:rPr>
                <w:color w:val="000000"/>
              </w:rPr>
            </w:pPr>
          </w:p>
        </w:tc>
      </w:tr>
      <w:tr w14:paraId="22EE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67AE353F">
            <w:pPr>
              <w:jc w:val="center"/>
              <w:rPr>
                <w:b/>
                <w:bCs/>
                <w:color w:val="000000"/>
              </w:rPr>
            </w:pPr>
            <w:r>
              <w:rPr>
                <w:b/>
                <w:bCs/>
                <w:color w:val="000000"/>
              </w:rPr>
              <w:t>IV</w:t>
            </w:r>
          </w:p>
        </w:tc>
        <w:tc>
          <w:tcPr>
            <w:tcW w:w="2400" w:type="pct"/>
            <w:vAlign w:val="center"/>
          </w:tcPr>
          <w:p w14:paraId="213DAFB2">
            <w:pPr>
              <w:rPr>
                <w:b/>
                <w:bCs/>
                <w:color w:val="000000"/>
              </w:rPr>
            </w:pPr>
            <w:r>
              <w:rPr>
                <w:b/>
                <w:bCs/>
                <w:color w:val="000000"/>
              </w:rPr>
              <w:t>TRUNG TÂM THỂ DỤC THỂ THAO</w:t>
            </w:r>
          </w:p>
        </w:tc>
        <w:tc>
          <w:tcPr>
            <w:tcW w:w="725" w:type="pct"/>
            <w:vAlign w:val="center"/>
          </w:tcPr>
          <w:p w14:paraId="5689F22A">
            <w:pPr>
              <w:jc w:val="center"/>
              <w:rPr>
                <w:b/>
                <w:bCs/>
                <w:color w:val="000000"/>
              </w:rPr>
            </w:pPr>
            <w:r>
              <w:rPr>
                <w:b/>
                <w:bCs/>
                <w:color w:val="000000"/>
              </w:rPr>
              <w:t>27.008,6</w:t>
            </w:r>
          </w:p>
        </w:tc>
        <w:tc>
          <w:tcPr>
            <w:tcW w:w="1464" w:type="pct"/>
            <w:noWrap/>
            <w:vAlign w:val="center"/>
          </w:tcPr>
          <w:p w14:paraId="051C1F6F">
            <w:pPr>
              <w:jc w:val="center"/>
              <w:rPr>
                <w:color w:val="000000"/>
              </w:rPr>
            </w:pPr>
            <w:r>
              <w:rPr>
                <w:color w:val="000000"/>
              </w:rPr>
              <w:t>29,5%</w:t>
            </w:r>
          </w:p>
        </w:tc>
      </w:tr>
      <w:tr w14:paraId="0B7D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vAlign w:val="center"/>
          </w:tcPr>
          <w:p w14:paraId="389F08AB">
            <w:pPr>
              <w:jc w:val="center"/>
              <w:rPr>
                <w:b/>
                <w:bCs/>
                <w:color w:val="000000"/>
              </w:rPr>
            </w:pPr>
            <w:r>
              <w:rPr>
                <w:b/>
                <w:bCs/>
                <w:color w:val="000000"/>
              </w:rPr>
              <w:t>V</w:t>
            </w:r>
          </w:p>
        </w:tc>
        <w:tc>
          <w:tcPr>
            <w:tcW w:w="2400" w:type="pct"/>
            <w:vAlign w:val="center"/>
          </w:tcPr>
          <w:p w14:paraId="481C5B4B">
            <w:pPr>
              <w:rPr>
                <w:b/>
                <w:bCs/>
                <w:color w:val="000000"/>
              </w:rPr>
            </w:pPr>
            <w:r>
              <w:rPr>
                <w:b/>
                <w:bCs/>
                <w:color w:val="000000"/>
              </w:rPr>
              <w:t>ĐẤT GIAO THÔNG</w:t>
            </w:r>
          </w:p>
        </w:tc>
        <w:tc>
          <w:tcPr>
            <w:tcW w:w="725" w:type="pct"/>
            <w:vAlign w:val="center"/>
          </w:tcPr>
          <w:p w14:paraId="02E7178E">
            <w:pPr>
              <w:jc w:val="center"/>
              <w:rPr>
                <w:b/>
                <w:bCs/>
                <w:color w:val="000000"/>
              </w:rPr>
            </w:pPr>
            <w:r>
              <w:rPr>
                <w:b/>
                <w:bCs/>
                <w:color w:val="000000"/>
              </w:rPr>
              <w:t>63.115,2</w:t>
            </w:r>
          </w:p>
        </w:tc>
        <w:tc>
          <w:tcPr>
            <w:tcW w:w="1464" w:type="pct"/>
            <w:noWrap/>
            <w:vAlign w:val="center"/>
          </w:tcPr>
          <w:p w14:paraId="767F44C0">
            <w:pPr>
              <w:jc w:val="center"/>
              <w:rPr>
                <w:color w:val="000000"/>
              </w:rPr>
            </w:pPr>
          </w:p>
        </w:tc>
      </w:tr>
      <w:tr w14:paraId="0DA8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 w:type="pct"/>
            <w:noWrap/>
            <w:vAlign w:val="center"/>
          </w:tcPr>
          <w:p w14:paraId="66BF79B2">
            <w:pPr>
              <w:jc w:val="center"/>
              <w:rPr>
                <w:color w:val="000000"/>
              </w:rPr>
            </w:pPr>
          </w:p>
        </w:tc>
        <w:tc>
          <w:tcPr>
            <w:tcW w:w="2400" w:type="pct"/>
            <w:vAlign w:val="center"/>
          </w:tcPr>
          <w:p w14:paraId="5AAC835F">
            <w:pPr>
              <w:rPr>
                <w:b/>
                <w:bCs/>
                <w:color w:val="000000"/>
              </w:rPr>
            </w:pPr>
            <w:r>
              <w:rPr>
                <w:b/>
                <w:bCs/>
                <w:color w:val="000000"/>
              </w:rPr>
              <w:t>TỔNG CỘNG</w:t>
            </w:r>
          </w:p>
        </w:tc>
        <w:tc>
          <w:tcPr>
            <w:tcW w:w="725" w:type="pct"/>
            <w:vAlign w:val="center"/>
          </w:tcPr>
          <w:p w14:paraId="2738A7F5">
            <w:pPr>
              <w:jc w:val="center"/>
              <w:rPr>
                <w:b/>
                <w:bCs/>
                <w:color w:val="000000"/>
              </w:rPr>
            </w:pPr>
            <w:r>
              <w:rPr>
                <w:b/>
                <w:bCs/>
                <w:color w:val="000000"/>
              </w:rPr>
              <w:t>198.217,0</w:t>
            </w:r>
          </w:p>
        </w:tc>
        <w:tc>
          <w:tcPr>
            <w:tcW w:w="1464" w:type="pct"/>
            <w:noWrap/>
            <w:vAlign w:val="center"/>
          </w:tcPr>
          <w:p w14:paraId="439030AE">
            <w:pPr>
              <w:jc w:val="center"/>
              <w:rPr>
                <w:color w:val="000000"/>
              </w:rPr>
            </w:pPr>
            <w:r>
              <w:rPr>
                <w:color w:val="000000"/>
              </w:rPr>
              <w:t>100,0%</w:t>
            </w:r>
          </w:p>
        </w:tc>
      </w:tr>
    </w:tbl>
    <w:p w14:paraId="5886068A">
      <w:pPr>
        <w:widowControl w:val="0"/>
        <w:tabs>
          <w:tab w:val="left" w:pos="567"/>
        </w:tabs>
        <w:spacing w:before="120" w:after="120" w:line="340" w:lineRule="exact"/>
        <w:ind w:firstLine="567"/>
        <w:jc w:val="both"/>
        <w:rPr>
          <w:b/>
          <w:bCs/>
          <w:spacing w:val="-2"/>
          <w:sz w:val="26"/>
          <w:szCs w:val="26"/>
          <w:lang w:val="nl-NL"/>
        </w:rPr>
      </w:pPr>
    </w:p>
    <w:p w14:paraId="394771A2">
      <w:pPr>
        <w:widowControl w:val="0"/>
        <w:spacing w:before="120" w:after="120" w:line="360" w:lineRule="exact"/>
        <w:ind w:firstLine="567"/>
        <w:jc w:val="both"/>
        <w:rPr>
          <w:color w:val="000000" w:themeColor="text1"/>
          <w:spacing w:val="-4"/>
          <w:sz w:val="26"/>
          <w:szCs w:val="26"/>
          <w:lang w:val="da-DK"/>
          <w14:textFill>
            <w14:solidFill>
              <w14:schemeClr w14:val="tx1"/>
            </w14:solidFill>
          </w14:textFill>
        </w:rPr>
      </w:pPr>
      <w:r>
        <w:rPr>
          <w:color w:val="000000" w:themeColor="text1"/>
          <w:spacing w:val="-4"/>
          <w:sz w:val="26"/>
          <w:szCs w:val="26"/>
          <w:lang w:val="da-DK"/>
          <w14:textFill>
            <w14:solidFill>
              <w14:schemeClr w14:val="tx1"/>
            </w14:solidFill>
          </w14:textFill>
        </w:rPr>
        <w:t>Phần diện tích đất ở (bao gồm liền kề và biệt thự); chi phí xây dựng HTKT lô đất quy hoạch xây dựng trường học và đất trung tâm thể dục thể thao chiếm 60,3%+3,3%+</w:t>
      </w:r>
      <w:r>
        <w:t xml:space="preserve"> </w:t>
      </w:r>
      <w:r>
        <w:rPr>
          <w:color w:val="000000" w:themeColor="text1"/>
          <w:spacing w:val="-4"/>
          <w:sz w:val="26"/>
          <w:szCs w:val="26"/>
          <w:lang w:val="da-DK"/>
          <w14:textFill>
            <w14:solidFill>
              <w14:schemeClr w14:val="tx1"/>
            </w14:solidFill>
          </w14:textFill>
        </w:rPr>
        <w:t>3,2%+29,5% =</w:t>
      </w:r>
      <w:r>
        <w:t xml:space="preserve"> </w:t>
      </w:r>
      <w:r>
        <w:rPr>
          <w:b/>
          <w:bCs/>
          <w:color w:val="000000" w:themeColor="text1"/>
          <w:spacing w:val="-4"/>
          <w:sz w:val="26"/>
          <w:szCs w:val="26"/>
          <w:lang w:val="da-DK"/>
          <w14:textFill>
            <w14:solidFill>
              <w14:schemeClr w14:val="tx1"/>
            </w14:solidFill>
          </w14:textFill>
        </w:rPr>
        <w:t xml:space="preserve">96,32% </w:t>
      </w:r>
      <w:r>
        <w:rPr>
          <w:color w:val="000000" w:themeColor="text1"/>
          <w:spacing w:val="-4"/>
          <w:sz w:val="26"/>
          <w:szCs w:val="26"/>
          <w:lang w:val="da-DK"/>
          <w14:textFill>
            <w14:solidFill>
              <w14:schemeClr w14:val="tx1"/>
            </w14:solidFill>
          </w14:textFill>
        </w:rPr>
        <w:t>trong tổng cơ cấu đất hữu dụng (đất có thu tiền sử dụng đất, tiền thuê đất).</w:t>
      </w:r>
    </w:p>
    <w:p w14:paraId="04DF1439">
      <w:pPr>
        <w:widowControl w:val="0"/>
        <w:spacing w:before="120" w:after="120" w:line="360" w:lineRule="exact"/>
        <w:ind w:firstLine="567"/>
        <w:jc w:val="both"/>
        <w:rPr>
          <w:color w:val="000000" w:themeColor="text1"/>
          <w:spacing w:val="-4"/>
          <w:sz w:val="26"/>
          <w:szCs w:val="26"/>
          <w:lang w:val="da-DK"/>
          <w14:textFill>
            <w14:solidFill>
              <w14:schemeClr w14:val="tx1"/>
            </w14:solidFill>
          </w14:textFill>
        </w:rPr>
      </w:pPr>
      <w:r>
        <w:rPr>
          <w:color w:val="000000" w:themeColor="text1"/>
          <w:spacing w:val="-4"/>
          <w:sz w:val="26"/>
          <w:szCs w:val="26"/>
          <w:lang w:val="da-DK"/>
          <w14:textFill>
            <w14:solidFill>
              <w14:schemeClr w14:val="tx1"/>
            </w14:solidFill>
          </w14:textFill>
        </w:rPr>
        <w:t xml:space="preserve">Tổng chi phí đầu tư hạ tầng kỹ thuật toàn bộ dự án là </w:t>
      </w:r>
      <w:r>
        <w:rPr>
          <w:b/>
          <w:bCs/>
          <w:color w:val="000000" w:themeColor="text1"/>
          <w:spacing w:val="-4"/>
          <w:sz w:val="26"/>
          <w:szCs w:val="26"/>
          <w:lang w:val="da-DK"/>
          <w14:textFill>
            <w14:solidFill>
              <w14:schemeClr w14:val="tx1"/>
            </w14:solidFill>
          </w14:textFill>
        </w:rPr>
        <w:t xml:space="preserve"> 232.026.570.939 đồng</w:t>
      </w:r>
      <w:r>
        <w:rPr>
          <w:color w:val="000000" w:themeColor="text1"/>
          <w:spacing w:val="-4"/>
          <w:sz w:val="26"/>
          <w:szCs w:val="26"/>
          <w:lang w:val="da-DK"/>
          <w14:textFill>
            <w14:solidFill>
              <w14:schemeClr w14:val="tx1"/>
            </w14:solidFill>
          </w14:textFill>
        </w:rPr>
        <w:t>.</w:t>
      </w:r>
    </w:p>
    <w:p w14:paraId="7D1773F1">
      <w:pPr>
        <w:widowControl w:val="0"/>
        <w:spacing w:before="120" w:after="120" w:line="360" w:lineRule="exact"/>
        <w:ind w:firstLine="567"/>
        <w:jc w:val="both"/>
        <w:rPr>
          <w:b/>
          <w:bCs/>
          <w:color w:val="000000" w:themeColor="text1"/>
          <w:spacing w:val="-4"/>
          <w:sz w:val="26"/>
          <w:szCs w:val="26"/>
          <w:lang w:val="da-DK"/>
          <w14:textFill>
            <w14:solidFill>
              <w14:schemeClr w14:val="tx1"/>
            </w14:solidFill>
          </w14:textFill>
        </w:rPr>
      </w:pPr>
      <w:r>
        <w:rPr>
          <w:b/>
          <w:bCs/>
          <w:color w:val="000000" w:themeColor="text1"/>
          <w:spacing w:val="-4"/>
          <w:sz w:val="26"/>
          <w:szCs w:val="26"/>
          <w:lang w:val="da-DK"/>
          <w14:textFill>
            <w14:solidFill>
              <w14:schemeClr w14:val="tx1"/>
            </w14:solidFill>
          </w14:textFill>
        </w:rPr>
        <w:t>=&gt; Chi phí phân bổ cho phần đất giao có thu tiền sử dụng đất (đất ở) như sau:</w:t>
      </w:r>
    </w:p>
    <w:p w14:paraId="07C7EF52">
      <w:pPr>
        <w:widowControl w:val="0"/>
        <w:spacing w:before="120" w:after="120" w:line="360" w:lineRule="exact"/>
        <w:ind w:firstLine="567"/>
        <w:jc w:val="center"/>
        <w:rPr>
          <w:b/>
          <w:bCs/>
          <w:color w:val="000000" w:themeColor="text1"/>
          <w:spacing w:val="-4"/>
          <w:sz w:val="26"/>
          <w:szCs w:val="26"/>
          <w:lang w:val="da-DK"/>
          <w14:textFill>
            <w14:solidFill>
              <w14:schemeClr w14:val="tx1"/>
            </w14:solidFill>
          </w14:textFill>
        </w:rPr>
      </w:pPr>
      <w:r>
        <w:rPr>
          <w:b/>
          <w:bCs/>
          <w:color w:val="000000" w:themeColor="text1"/>
          <w:spacing w:val="-4"/>
          <w:sz w:val="26"/>
          <w:szCs w:val="26"/>
          <w:lang w:val="da-DK"/>
          <w14:textFill>
            <w14:solidFill>
              <w14:schemeClr w14:val="tx1"/>
            </w14:solidFill>
          </w14:textFill>
        </w:rPr>
        <w:t>=  232.026.570.939 đồng x 96,32% =  223.482.665.376 đồng</w:t>
      </w:r>
    </w:p>
    <w:p w14:paraId="4D1C0385">
      <w:pPr>
        <w:widowControl w:val="0"/>
        <w:spacing w:before="120" w:after="120" w:line="360" w:lineRule="exact"/>
        <w:ind w:firstLine="567"/>
        <w:jc w:val="both"/>
        <w:rPr>
          <w:b/>
          <w:bCs/>
          <w:color w:val="000000" w:themeColor="text1"/>
          <w:spacing w:val="-4"/>
          <w:sz w:val="26"/>
          <w:szCs w:val="26"/>
          <w:lang w:val="da-DK"/>
          <w14:textFill>
            <w14:solidFill>
              <w14:schemeClr w14:val="tx1"/>
            </w14:solidFill>
          </w14:textFill>
        </w:rPr>
      </w:pPr>
    </w:p>
    <w:p w14:paraId="3B68D825">
      <w:pPr>
        <w:widowControl w:val="0"/>
        <w:spacing w:before="120" w:after="120" w:line="360" w:lineRule="exact"/>
        <w:ind w:firstLine="567"/>
        <w:jc w:val="both"/>
        <w:rPr>
          <w:rFonts w:eastAsia="Tahoma"/>
          <w:b/>
          <w:color w:val="000000" w:themeColor="text1"/>
          <w:position w:val="4"/>
          <w:sz w:val="26"/>
          <w:szCs w:val="26"/>
          <w14:textFill>
            <w14:solidFill>
              <w14:schemeClr w14:val="tx1"/>
            </w14:solidFill>
          </w14:textFill>
        </w:rPr>
      </w:pPr>
      <w:r>
        <w:rPr>
          <w:rFonts w:eastAsia="Tahoma"/>
          <w:b/>
          <w:color w:val="000000" w:themeColor="text1"/>
          <w:position w:val="4"/>
          <w:sz w:val="26"/>
          <w:szCs w:val="26"/>
          <w:lang w:val="da-DK"/>
          <w14:textFill>
            <w14:solidFill>
              <w14:schemeClr w14:val="tx1"/>
            </w14:solidFill>
          </w14:textFill>
        </w:rPr>
        <w:t xml:space="preserve">2.2. </w:t>
      </w:r>
      <w:r>
        <w:rPr>
          <w:rFonts w:eastAsia="Tahoma"/>
          <w:b/>
          <w:color w:val="000000" w:themeColor="text1"/>
          <w:position w:val="4"/>
          <w:sz w:val="26"/>
          <w:szCs w:val="26"/>
          <w:lang w:val="vi-VN"/>
          <w14:textFill>
            <w14:solidFill>
              <w14:schemeClr w14:val="tx1"/>
            </w14:solidFill>
          </w14:textFill>
        </w:rPr>
        <w:t>Chi phí xây dựng</w:t>
      </w:r>
      <w:r>
        <w:rPr>
          <w:rFonts w:eastAsia="Tahoma"/>
          <w:b/>
          <w:color w:val="000000" w:themeColor="text1"/>
          <w:position w:val="4"/>
          <w:sz w:val="26"/>
          <w:szCs w:val="26"/>
          <w14:textFill>
            <w14:solidFill>
              <w14:schemeClr w14:val="tx1"/>
            </w14:solidFill>
          </w14:textFill>
        </w:rPr>
        <w:t xml:space="preserve"> 120 căn</w:t>
      </w:r>
      <w:r>
        <w:rPr>
          <w:rFonts w:eastAsia="Tahoma"/>
          <w:b/>
          <w:color w:val="000000" w:themeColor="text1"/>
          <w:position w:val="4"/>
          <w:sz w:val="26"/>
          <w:szCs w:val="26"/>
          <w:lang w:val="vi-VN"/>
          <w14:textFill>
            <w14:solidFill>
              <w14:schemeClr w14:val="tx1"/>
            </w14:solidFill>
          </w14:textFill>
        </w:rPr>
        <w:t xml:space="preserve"> nhà ở </w:t>
      </w:r>
      <w:r>
        <w:rPr>
          <w:rFonts w:eastAsia="Tahoma"/>
          <w:b/>
          <w:color w:val="000000" w:themeColor="text1"/>
          <w:position w:val="4"/>
          <w:sz w:val="26"/>
          <w:szCs w:val="26"/>
          <w14:textFill>
            <w14:solidFill>
              <w14:schemeClr w14:val="tx1"/>
            </w14:solidFill>
          </w14:textFill>
        </w:rPr>
        <w:t>liền kề, hoàn thiện mặt ngoài</w:t>
      </w:r>
      <w:r>
        <w:rPr>
          <w:rFonts w:eastAsia="Tahoma"/>
          <w:b/>
          <w:color w:val="000000" w:themeColor="text1"/>
          <w:position w:val="4"/>
          <w:sz w:val="26"/>
          <w:szCs w:val="26"/>
          <w:lang w:val="vi-VN"/>
          <w14:textFill>
            <w14:solidFill>
              <w14:schemeClr w14:val="tx1"/>
            </w14:solidFill>
          </w14:textFill>
        </w:rPr>
        <w:t xml:space="preserve"> </w:t>
      </w:r>
      <w:r>
        <w:rPr>
          <w:rFonts w:eastAsia="Tahoma"/>
          <w:b/>
          <w:color w:val="000000" w:themeColor="text1"/>
          <w:position w:val="4"/>
          <w:sz w:val="26"/>
          <w:szCs w:val="26"/>
          <w14:textFill>
            <w14:solidFill>
              <w14:schemeClr w14:val="tx1"/>
            </w14:solidFill>
          </w14:textFill>
        </w:rPr>
        <w:t xml:space="preserve">tầng </w:t>
      </w:r>
      <w:r>
        <w:rPr>
          <w:rFonts w:eastAsia="Tahoma"/>
          <w:b/>
          <w:color w:val="000000" w:themeColor="text1"/>
          <w:position w:val="4"/>
          <w:sz w:val="26"/>
          <w:szCs w:val="26"/>
          <w:lang w:val="vi-VN"/>
          <w14:textFill>
            <w14:solidFill>
              <w14:schemeClr w14:val="tx1"/>
            </w14:solidFill>
          </w14:textFill>
        </w:rPr>
        <w:t>cao</w:t>
      </w:r>
      <w:r>
        <w:rPr>
          <w:rFonts w:eastAsia="Tahoma"/>
          <w:b/>
          <w:color w:val="000000" w:themeColor="text1"/>
          <w:position w:val="4"/>
          <w:sz w:val="26"/>
          <w:szCs w:val="26"/>
          <w14:textFill>
            <w14:solidFill>
              <w14:schemeClr w14:val="tx1"/>
            </w14:solidFill>
          </w14:textFill>
        </w:rPr>
        <w:t xml:space="preserve"> tối đa</w:t>
      </w:r>
      <w:r>
        <w:rPr>
          <w:rFonts w:eastAsia="Tahoma"/>
          <w:b/>
          <w:color w:val="000000" w:themeColor="text1"/>
          <w:position w:val="4"/>
          <w:sz w:val="26"/>
          <w:szCs w:val="26"/>
          <w:lang w:val="vi-VN"/>
          <w14:textFill>
            <w14:solidFill>
              <w14:schemeClr w14:val="tx1"/>
            </w14:solidFill>
          </w14:textFill>
        </w:rPr>
        <w:t xml:space="preserve"> 0</w:t>
      </w:r>
      <w:r>
        <w:rPr>
          <w:rFonts w:eastAsia="Tahoma"/>
          <w:b/>
          <w:color w:val="000000" w:themeColor="text1"/>
          <w:position w:val="4"/>
          <w:sz w:val="26"/>
          <w:szCs w:val="26"/>
          <w14:textFill>
            <w14:solidFill>
              <w14:schemeClr w14:val="tx1"/>
            </w14:solidFill>
          </w14:textFill>
        </w:rPr>
        <w:t>5</w:t>
      </w:r>
      <w:r>
        <w:rPr>
          <w:rFonts w:eastAsia="Tahoma"/>
          <w:b/>
          <w:color w:val="000000" w:themeColor="text1"/>
          <w:position w:val="4"/>
          <w:sz w:val="26"/>
          <w:szCs w:val="26"/>
          <w:lang w:val="vi-VN"/>
          <w14:textFill>
            <w14:solidFill>
              <w14:schemeClr w14:val="tx1"/>
            </w14:solidFill>
          </w14:textFill>
        </w:rPr>
        <w:t xml:space="preserve"> tầng</w:t>
      </w:r>
      <w:r>
        <w:rPr>
          <w:rFonts w:eastAsia="Tahoma"/>
          <w:b/>
          <w:color w:val="000000" w:themeColor="text1"/>
          <w:position w:val="4"/>
          <w:sz w:val="26"/>
          <w:szCs w:val="26"/>
          <w14:textFill>
            <w14:solidFill>
              <w14:schemeClr w14:val="tx1"/>
            </w14:solidFill>
          </w14:textFill>
        </w:rPr>
        <w:t>:</w:t>
      </w:r>
    </w:p>
    <w:p w14:paraId="446B7CFE">
      <w:pPr>
        <w:spacing w:line="360" w:lineRule="exact"/>
        <w:ind w:firstLine="567"/>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Đã được trình bày tại Mục 1.4. X</w:t>
      </w:r>
      <w:r>
        <w:rPr>
          <w:bCs/>
          <w:color w:val="000000" w:themeColor="text1"/>
          <w:sz w:val="26"/>
          <w:szCs w:val="26"/>
          <w:lang w:val="vi-VN"/>
          <w14:textFill>
            <w14:solidFill>
              <w14:schemeClr w14:val="tx1"/>
            </w14:solidFill>
          </w14:textFill>
        </w:rPr>
        <w:t>ác định doanh thu bán đất bao gồm nhà li</w:t>
      </w:r>
      <w:r>
        <w:rPr>
          <w:bCs/>
          <w:color w:val="000000" w:themeColor="text1"/>
          <w:sz w:val="26"/>
          <w:szCs w:val="26"/>
          <w14:textFill>
            <w14:solidFill>
              <w14:schemeClr w14:val="tx1"/>
            </w14:solidFill>
          </w14:textFill>
        </w:rPr>
        <w:t>ền</w:t>
      </w:r>
      <w:r>
        <w:rPr>
          <w:bCs/>
          <w:color w:val="000000" w:themeColor="text1"/>
          <w:sz w:val="26"/>
          <w:szCs w:val="26"/>
          <w:lang w:val="vi-VN"/>
          <w14:textFill>
            <w14:solidFill>
              <w14:schemeClr w14:val="tx1"/>
            </w14:solidFill>
          </w14:textFill>
        </w:rPr>
        <w:t xml:space="preserve"> k</w:t>
      </w:r>
      <w:r>
        <w:rPr>
          <w:bCs/>
          <w:color w:val="000000" w:themeColor="text1"/>
          <w:sz w:val="26"/>
          <w:szCs w:val="26"/>
          <w14:textFill>
            <w14:solidFill>
              <w14:schemeClr w14:val="tx1"/>
            </w14:solidFill>
          </w14:textFill>
        </w:rPr>
        <w:t>ề</w:t>
      </w:r>
      <w:r>
        <w:rPr>
          <w:bCs/>
          <w:color w:val="000000" w:themeColor="text1"/>
          <w:sz w:val="26"/>
          <w:szCs w:val="26"/>
          <w:lang w:val="vi-VN"/>
          <w14:textFill>
            <w14:solidFill>
              <w14:schemeClr w14:val="tx1"/>
            </w14:solidFill>
          </w14:textFill>
        </w:rPr>
        <w:t xml:space="preserve"> xây thô đối với </w:t>
      </w:r>
      <w:r>
        <w:rPr>
          <w:bCs/>
          <w:color w:val="000000" w:themeColor="text1"/>
          <w:sz w:val="26"/>
          <w:szCs w:val="26"/>
          <w14:textFill>
            <w14:solidFill>
              <w14:schemeClr w14:val="tx1"/>
            </w14:solidFill>
          </w14:textFill>
        </w:rPr>
        <w:t xml:space="preserve">120 </w:t>
      </w:r>
      <w:r>
        <w:rPr>
          <w:bCs/>
          <w:color w:val="000000" w:themeColor="text1"/>
          <w:sz w:val="26"/>
          <w:szCs w:val="26"/>
          <w:lang w:val="vi-VN"/>
          <w14:textFill>
            <w14:solidFill>
              <w14:schemeClr w14:val="tx1"/>
            </w14:solidFill>
          </w14:textFill>
        </w:rPr>
        <w:t xml:space="preserve">căn </w:t>
      </w:r>
      <w:r>
        <w:rPr>
          <w:bCs/>
          <w:color w:val="000000" w:themeColor="text1"/>
          <w:sz w:val="26"/>
          <w:szCs w:val="26"/>
          <w14:textFill>
            <w14:solidFill>
              <w14:schemeClr w14:val="tx1"/>
            </w14:solidFill>
          </w14:textFill>
        </w:rPr>
        <w:t>tầng cao tối đa</w:t>
      </w:r>
      <w:r>
        <w:rPr>
          <w:bCs/>
          <w:color w:val="000000" w:themeColor="text1"/>
          <w:sz w:val="26"/>
          <w:szCs w:val="26"/>
          <w:lang w:val="vi-VN"/>
          <w14:textFill>
            <w14:solidFill>
              <w14:schemeClr w14:val="tx1"/>
            </w14:solidFill>
          </w14:textFill>
        </w:rPr>
        <w:t xml:space="preserve"> </w:t>
      </w:r>
      <w:r>
        <w:rPr>
          <w:bCs/>
          <w:color w:val="000000" w:themeColor="text1"/>
          <w:sz w:val="26"/>
          <w:szCs w:val="26"/>
          <w14:textFill>
            <w14:solidFill>
              <w14:schemeClr w14:val="tx1"/>
            </w14:solidFill>
          </w14:textFill>
        </w:rPr>
        <w:t>05</w:t>
      </w:r>
      <w:r>
        <w:rPr>
          <w:bCs/>
          <w:color w:val="000000" w:themeColor="text1"/>
          <w:sz w:val="26"/>
          <w:szCs w:val="26"/>
          <w:lang w:val="vi-VN"/>
          <w14:textFill>
            <w14:solidFill>
              <w14:schemeClr w14:val="tx1"/>
            </w14:solidFill>
          </w14:textFill>
        </w:rPr>
        <w:t xml:space="preserve"> tầng</w:t>
      </w:r>
      <w:r>
        <w:rPr>
          <w:bCs/>
          <w:color w:val="000000" w:themeColor="text1"/>
          <w:sz w:val="26"/>
          <w:szCs w:val="26"/>
          <w14:textFill>
            <w14:solidFill>
              <w14:schemeClr w14:val="tx1"/>
            </w14:solidFill>
          </w14:textFill>
        </w:rPr>
        <w:t>.</w:t>
      </w:r>
    </w:p>
    <w:p w14:paraId="10138243">
      <w:pPr>
        <w:spacing w:before="120" w:after="120"/>
        <w:ind w:firstLine="567"/>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Căn cứ </w:t>
      </w:r>
      <w:r>
        <w:rPr>
          <w:color w:val="000000" w:themeColor="text1"/>
          <w:sz w:val="26"/>
          <w:szCs w:val="26"/>
          <w14:textFill>
            <w14:solidFill>
              <w14:schemeClr w14:val="tx1"/>
            </w14:solidFill>
          </w14:textFill>
        </w:rPr>
        <w:t>Dự toán đã được thẩm tra tại thời điểm tháng 07/2025, Công ty CP dịch vụ Tư vấn và Thẩm định giá Việt Nam xác định chi phí xây dựng công trình nhà xây thô hoàn thiện mặt ngoài 120 căn nhà liền kề cao 5 tầng (không bao gồm VAT, và chi phí dự phòng là: 144.134.316.842 đồng:</w:t>
      </w:r>
    </w:p>
    <w:tbl>
      <w:tblPr>
        <w:tblStyle w:val="9"/>
        <w:tblW w:w="5000" w:type="pct"/>
        <w:tblInd w:w="0" w:type="dxa"/>
        <w:tblLayout w:type="autofit"/>
        <w:tblCellMar>
          <w:top w:w="0" w:type="dxa"/>
          <w:left w:w="108" w:type="dxa"/>
          <w:bottom w:w="0" w:type="dxa"/>
          <w:right w:w="108" w:type="dxa"/>
        </w:tblCellMar>
      </w:tblPr>
      <w:tblGrid>
        <w:gridCol w:w="997"/>
        <w:gridCol w:w="3737"/>
        <w:gridCol w:w="4552"/>
      </w:tblGrid>
      <w:tr w14:paraId="1D1472FB">
        <w:tblPrEx>
          <w:tblCellMar>
            <w:top w:w="0" w:type="dxa"/>
            <w:left w:w="108" w:type="dxa"/>
            <w:bottom w:w="0" w:type="dxa"/>
            <w:right w:w="108" w:type="dxa"/>
          </w:tblCellMar>
        </w:tblPrEx>
        <w:trPr>
          <w:trHeight w:val="20" w:hRule="atLeast"/>
        </w:trPr>
        <w:tc>
          <w:tcPr>
            <w:tcW w:w="537" w:type="pct"/>
            <w:tcBorders>
              <w:top w:val="single" w:color="auto" w:sz="4" w:space="0"/>
              <w:left w:val="single" w:color="auto" w:sz="4" w:space="0"/>
              <w:bottom w:val="single" w:color="auto" w:sz="4" w:space="0"/>
              <w:right w:val="single" w:color="auto" w:sz="4" w:space="0"/>
            </w:tcBorders>
            <w:vAlign w:val="center"/>
          </w:tcPr>
          <w:p w14:paraId="5778F4F8">
            <w:pPr>
              <w:jc w:val="center"/>
              <w:rPr>
                <w:b/>
                <w:bCs/>
                <w:color w:val="000000"/>
              </w:rPr>
            </w:pPr>
            <w:r>
              <w:rPr>
                <w:b/>
                <w:bCs/>
                <w:color w:val="000000"/>
              </w:rPr>
              <w:t>STT</w:t>
            </w:r>
          </w:p>
        </w:tc>
        <w:tc>
          <w:tcPr>
            <w:tcW w:w="2012" w:type="pct"/>
            <w:tcBorders>
              <w:top w:val="single" w:color="auto" w:sz="4" w:space="0"/>
              <w:left w:val="nil"/>
              <w:bottom w:val="single" w:color="auto" w:sz="4" w:space="0"/>
              <w:right w:val="single" w:color="auto" w:sz="4" w:space="0"/>
            </w:tcBorders>
            <w:vAlign w:val="center"/>
          </w:tcPr>
          <w:p w14:paraId="565AA383">
            <w:pPr>
              <w:jc w:val="center"/>
              <w:rPr>
                <w:b/>
                <w:bCs/>
                <w:color w:val="000000"/>
              </w:rPr>
            </w:pPr>
            <w:r>
              <w:rPr>
                <w:b/>
                <w:bCs/>
                <w:color w:val="000000"/>
              </w:rPr>
              <w:t>Diễn giải</w:t>
            </w:r>
          </w:p>
        </w:tc>
        <w:tc>
          <w:tcPr>
            <w:tcW w:w="2451" w:type="pct"/>
            <w:tcBorders>
              <w:top w:val="single" w:color="auto" w:sz="4" w:space="0"/>
              <w:left w:val="nil"/>
              <w:bottom w:val="single" w:color="auto" w:sz="4" w:space="0"/>
              <w:right w:val="single" w:color="auto" w:sz="4" w:space="0"/>
            </w:tcBorders>
            <w:vAlign w:val="center"/>
          </w:tcPr>
          <w:p w14:paraId="6E3FB520">
            <w:pPr>
              <w:jc w:val="center"/>
              <w:rPr>
                <w:b/>
                <w:bCs/>
                <w:color w:val="000000"/>
              </w:rPr>
            </w:pPr>
            <w:r>
              <w:rPr>
                <w:b/>
                <w:bCs/>
                <w:color w:val="000000"/>
              </w:rPr>
              <w:t>Tổng cộng (chưa bao gốm thuế VAT, và chi phí dự phòng)</w:t>
            </w:r>
          </w:p>
        </w:tc>
      </w:tr>
      <w:tr w14:paraId="1F1AF5F5">
        <w:tblPrEx>
          <w:tblCellMar>
            <w:top w:w="0" w:type="dxa"/>
            <w:left w:w="108" w:type="dxa"/>
            <w:bottom w:w="0" w:type="dxa"/>
            <w:right w:w="108" w:type="dxa"/>
          </w:tblCellMar>
        </w:tblPrEx>
        <w:trPr>
          <w:trHeight w:val="20" w:hRule="atLeast"/>
        </w:trPr>
        <w:tc>
          <w:tcPr>
            <w:tcW w:w="537" w:type="pct"/>
            <w:tcBorders>
              <w:top w:val="nil"/>
              <w:left w:val="single" w:color="auto" w:sz="4" w:space="0"/>
              <w:bottom w:val="single" w:color="auto" w:sz="4" w:space="0"/>
              <w:right w:val="single" w:color="auto" w:sz="4" w:space="0"/>
            </w:tcBorders>
            <w:vAlign w:val="center"/>
          </w:tcPr>
          <w:p w14:paraId="348BBF75">
            <w:pPr>
              <w:jc w:val="center"/>
              <w:rPr>
                <w:b/>
                <w:bCs/>
                <w:color w:val="000000"/>
              </w:rPr>
            </w:pPr>
            <w:r>
              <w:rPr>
                <w:b/>
                <w:bCs/>
                <w:color w:val="000000"/>
              </w:rPr>
              <w:t>1</w:t>
            </w:r>
          </w:p>
        </w:tc>
        <w:tc>
          <w:tcPr>
            <w:tcW w:w="2012" w:type="pct"/>
            <w:tcBorders>
              <w:top w:val="nil"/>
              <w:left w:val="nil"/>
              <w:bottom w:val="single" w:color="auto" w:sz="4" w:space="0"/>
              <w:right w:val="single" w:color="auto" w:sz="4" w:space="0"/>
            </w:tcBorders>
            <w:vAlign w:val="center"/>
          </w:tcPr>
          <w:p w14:paraId="703CAEC9">
            <w:pPr>
              <w:jc w:val="center"/>
              <w:rPr>
                <w:b/>
                <w:bCs/>
                <w:color w:val="000000"/>
              </w:rPr>
            </w:pPr>
            <w:r>
              <w:rPr>
                <w:b/>
                <w:bCs/>
                <w:color w:val="000000"/>
              </w:rPr>
              <w:t>Tổng chi phí xây dựng công trình nhà xây thô (120 căn)</w:t>
            </w:r>
          </w:p>
        </w:tc>
        <w:tc>
          <w:tcPr>
            <w:tcW w:w="2451" w:type="pct"/>
            <w:tcBorders>
              <w:top w:val="nil"/>
              <w:left w:val="nil"/>
              <w:bottom w:val="single" w:color="auto" w:sz="4" w:space="0"/>
              <w:right w:val="single" w:color="auto" w:sz="4" w:space="0"/>
            </w:tcBorders>
            <w:noWrap/>
            <w:vAlign w:val="center"/>
          </w:tcPr>
          <w:p w14:paraId="630A5991">
            <w:pPr>
              <w:jc w:val="center"/>
              <w:rPr>
                <w:b/>
                <w:bCs/>
                <w:color w:val="000000"/>
              </w:rPr>
            </w:pPr>
            <w:r>
              <w:rPr>
                <w:b/>
                <w:bCs/>
                <w:color w:val="000000"/>
              </w:rPr>
              <w:t>144.134.316.842</w:t>
            </w:r>
          </w:p>
        </w:tc>
      </w:tr>
      <w:tr w14:paraId="780CB6DD">
        <w:tblPrEx>
          <w:tblCellMar>
            <w:top w:w="0" w:type="dxa"/>
            <w:left w:w="108" w:type="dxa"/>
            <w:bottom w:w="0" w:type="dxa"/>
            <w:right w:w="108" w:type="dxa"/>
          </w:tblCellMar>
        </w:tblPrEx>
        <w:trPr>
          <w:trHeight w:val="20" w:hRule="atLeast"/>
        </w:trPr>
        <w:tc>
          <w:tcPr>
            <w:tcW w:w="537" w:type="pct"/>
            <w:tcBorders>
              <w:top w:val="nil"/>
              <w:left w:val="single" w:color="auto" w:sz="4" w:space="0"/>
              <w:bottom w:val="single" w:color="auto" w:sz="4" w:space="0"/>
              <w:right w:val="single" w:color="auto" w:sz="4" w:space="0"/>
            </w:tcBorders>
            <w:vAlign w:val="center"/>
          </w:tcPr>
          <w:p w14:paraId="685A6928">
            <w:pPr>
              <w:jc w:val="center"/>
              <w:rPr>
                <w:color w:val="000000"/>
              </w:rPr>
            </w:pPr>
            <w:r>
              <w:rPr>
                <w:color w:val="000000"/>
              </w:rPr>
              <w:t>1.1</w:t>
            </w:r>
          </w:p>
        </w:tc>
        <w:tc>
          <w:tcPr>
            <w:tcW w:w="2012" w:type="pct"/>
            <w:tcBorders>
              <w:top w:val="nil"/>
              <w:left w:val="nil"/>
              <w:bottom w:val="single" w:color="auto" w:sz="4" w:space="0"/>
              <w:right w:val="single" w:color="auto" w:sz="4" w:space="0"/>
            </w:tcBorders>
            <w:vAlign w:val="center"/>
          </w:tcPr>
          <w:p w14:paraId="6F81035D">
            <w:pPr>
              <w:rPr>
                <w:color w:val="000000"/>
              </w:rPr>
            </w:pPr>
            <w:r>
              <w:rPr>
                <w:color w:val="000000"/>
              </w:rPr>
              <w:t xml:space="preserve">Chi phí xây dựng </w:t>
            </w:r>
          </w:p>
        </w:tc>
        <w:tc>
          <w:tcPr>
            <w:tcW w:w="2451" w:type="pct"/>
            <w:tcBorders>
              <w:top w:val="nil"/>
              <w:left w:val="nil"/>
              <w:bottom w:val="single" w:color="auto" w:sz="4" w:space="0"/>
              <w:right w:val="single" w:color="auto" w:sz="4" w:space="0"/>
            </w:tcBorders>
            <w:vAlign w:val="center"/>
          </w:tcPr>
          <w:p w14:paraId="436AECD6">
            <w:pPr>
              <w:jc w:val="center"/>
              <w:rPr>
                <w:color w:val="000000"/>
              </w:rPr>
            </w:pPr>
            <w:r>
              <w:rPr>
                <w:color w:val="000000"/>
              </w:rPr>
              <w:t>136.461.108.700</w:t>
            </w:r>
          </w:p>
        </w:tc>
      </w:tr>
      <w:tr w14:paraId="13EE8567">
        <w:tblPrEx>
          <w:tblCellMar>
            <w:top w:w="0" w:type="dxa"/>
            <w:left w:w="108" w:type="dxa"/>
            <w:bottom w:w="0" w:type="dxa"/>
            <w:right w:w="108" w:type="dxa"/>
          </w:tblCellMar>
        </w:tblPrEx>
        <w:trPr>
          <w:trHeight w:val="20" w:hRule="atLeast"/>
        </w:trPr>
        <w:tc>
          <w:tcPr>
            <w:tcW w:w="537" w:type="pct"/>
            <w:tcBorders>
              <w:top w:val="nil"/>
              <w:left w:val="single" w:color="auto" w:sz="4" w:space="0"/>
              <w:bottom w:val="single" w:color="auto" w:sz="4" w:space="0"/>
              <w:right w:val="single" w:color="auto" w:sz="4" w:space="0"/>
            </w:tcBorders>
            <w:vAlign w:val="center"/>
          </w:tcPr>
          <w:p w14:paraId="1AD0366C">
            <w:pPr>
              <w:jc w:val="center"/>
              <w:rPr>
                <w:color w:val="000000"/>
              </w:rPr>
            </w:pPr>
            <w:r>
              <w:rPr>
                <w:color w:val="000000"/>
              </w:rPr>
              <w:t> 1.2</w:t>
            </w:r>
          </w:p>
        </w:tc>
        <w:tc>
          <w:tcPr>
            <w:tcW w:w="2012" w:type="pct"/>
            <w:tcBorders>
              <w:top w:val="nil"/>
              <w:left w:val="nil"/>
              <w:bottom w:val="single" w:color="auto" w:sz="4" w:space="0"/>
              <w:right w:val="single" w:color="auto" w:sz="4" w:space="0"/>
            </w:tcBorders>
            <w:vAlign w:val="center"/>
          </w:tcPr>
          <w:p w14:paraId="40C483B5">
            <w:pPr>
              <w:rPr>
                <w:color w:val="000000"/>
              </w:rPr>
            </w:pPr>
            <w:r>
              <w:rPr>
                <w:color w:val="000000"/>
              </w:rPr>
              <w:t>Chi phí thiết bị</w:t>
            </w:r>
          </w:p>
        </w:tc>
        <w:tc>
          <w:tcPr>
            <w:tcW w:w="2451" w:type="pct"/>
            <w:tcBorders>
              <w:top w:val="nil"/>
              <w:left w:val="nil"/>
              <w:bottom w:val="single" w:color="auto" w:sz="4" w:space="0"/>
              <w:right w:val="single" w:color="auto" w:sz="4" w:space="0"/>
            </w:tcBorders>
            <w:vAlign w:val="center"/>
          </w:tcPr>
          <w:p w14:paraId="4DFD929E">
            <w:pPr>
              <w:jc w:val="center"/>
              <w:rPr>
                <w:color w:val="000000"/>
              </w:rPr>
            </w:pPr>
            <w:r>
              <w:rPr>
                <w:color w:val="000000"/>
              </w:rPr>
              <w:t>0</w:t>
            </w:r>
          </w:p>
        </w:tc>
      </w:tr>
      <w:tr w14:paraId="49638032">
        <w:tblPrEx>
          <w:tblCellMar>
            <w:top w:w="0" w:type="dxa"/>
            <w:left w:w="108" w:type="dxa"/>
            <w:bottom w:w="0" w:type="dxa"/>
            <w:right w:w="108" w:type="dxa"/>
          </w:tblCellMar>
        </w:tblPrEx>
        <w:trPr>
          <w:trHeight w:val="20" w:hRule="atLeast"/>
        </w:trPr>
        <w:tc>
          <w:tcPr>
            <w:tcW w:w="537" w:type="pct"/>
            <w:tcBorders>
              <w:top w:val="nil"/>
              <w:left w:val="single" w:color="auto" w:sz="4" w:space="0"/>
              <w:bottom w:val="single" w:color="auto" w:sz="4" w:space="0"/>
              <w:right w:val="single" w:color="auto" w:sz="4" w:space="0"/>
            </w:tcBorders>
            <w:vAlign w:val="center"/>
          </w:tcPr>
          <w:p w14:paraId="40807744">
            <w:pPr>
              <w:jc w:val="center"/>
              <w:rPr>
                <w:color w:val="000000"/>
              </w:rPr>
            </w:pPr>
            <w:r>
              <w:rPr>
                <w:color w:val="000000"/>
              </w:rPr>
              <w:t> 1.3</w:t>
            </w:r>
          </w:p>
        </w:tc>
        <w:tc>
          <w:tcPr>
            <w:tcW w:w="2012" w:type="pct"/>
            <w:tcBorders>
              <w:top w:val="nil"/>
              <w:left w:val="nil"/>
              <w:bottom w:val="single" w:color="auto" w:sz="4" w:space="0"/>
              <w:right w:val="single" w:color="auto" w:sz="4" w:space="0"/>
            </w:tcBorders>
            <w:vAlign w:val="center"/>
          </w:tcPr>
          <w:p w14:paraId="1B6C440C">
            <w:pPr>
              <w:rPr>
                <w:color w:val="000000"/>
              </w:rPr>
            </w:pPr>
            <w:r>
              <w:rPr>
                <w:color w:val="000000"/>
              </w:rPr>
              <w:t>Chi phí quản lý dự án</w:t>
            </w:r>
          </w:p>
        </w:tc>
        <w:tc>
          <w:tcPr>
            <w:tcW w:w="2451" w:type="pct"/>
            <w:tcBorders>
              <w:top w:val="nil"/>
              <w:left w:val="nil"/>
              <w:bottom w:val="single" w:color="auto" w:sz="4" w:space="0"/>
              <w:right w:val="single" w:color="auto" w:sz="4" w:space="0"/>
            </w:tcBorders>
            <w:vAlign w:val="center"/>
          </w:tcPr>
          <w:p w14:paraId="237B39C2">
            <w:pPr>
              <w:jc w:val="center"/>
              <w:rPr>
                <w:color w:val="000000"/>
              </w:rPr>
            </w:pPr>
            <w:r>
              <w:rPr>
                <w:color w:val="000000"/>
              </w:rPr>
              <w:t>2.329.391.126</w:t>
            </w:r>
          </w:p>
        </w:tc>
      </w:tr>
      <w:tr w14:paraId="197EBFBC">
        <w:tblPrEx>
          <w:tblCellMar>
            <w:top w:w="0" w:type="dxa"/>
            <w:left w:w="108" w:type="dxa"/>
            <w:bottom w:w="0" w:type="dxa"/>
            <w:right w:w="108" w:type="dxa"/>
          </w:tblCellMar>
        </w:tblPrEx>
        <w:trPr>
          <w:trHeight w:val="20" w:hRule="atLeast"/>
        </w:trPr>
        <w:tc>
          <w:tcPr>
            <w:tcW w:w="537" w:type="pct"/>
            <w:tcBorders>
              <w:top w:val="nil"/>
              <w:left w:val="single" w:color="auto" w:sz="4" w:space="0"/>
              <w:bottom w:val="single" w:color="auto" w:sz="4" w:space="0"/>
              <w:right w:val="single" w:color="auto" w:sz="4" w:space="0"/>
            </w:tcBorders>
            <w:vAlign w:val="center"/>
          </w:tcPr>
          <w:p w14:paraId="0939EB43">
            <w:pPr>
              <w:jc w:val="center"/>
              <w:rPr>
                <w:color w:val="000000"/>
              </w:rPr>
            </w:pPr>
            <w:r>
              <w:rPr>
                <w:color w:val="000000"/>
              </w:rPr>
              <w:t> 1.4</w:t>
            </w:r>
          </w:p>
        </w:tc>
        <w:tc>
          <w:tcPr>
            <w:tcW w:w="2012" w:type="pct"/>
            <w:tcBorders>
              <w:top w:val="nil"/>
              <w:left w:val="nil"/>
              <w:bottom w:val="single" w:color="auto" w:sz="4" w:space="0"/>
              <w:right w:val="single" w:color="auto" w:sz="4" w:space="0"/>
            </w:tcBorders>
            <w:vAlign w:val="center"/>
          </w:tcPr>
          <w:p w14:paraId="0E032ECD">
            <w:pPr>
              <w:rPr>
                <w:color w:val="000000"/>
              </w:rPr>
            </w:pPr>
            <w:r>
              <w:rPr>
                <w:color w:val="000000"/>
              </w:rPr>
              <w:t>Chi phí tư vấn đầu tư xây dựng</w:t>
            </w:r>
          </w:p>
        </w:tc>
        <w:tc>
          <w:tcPr>
            <w:tcW w:w="2451" w:type="pct"/>
            <w:tcBorders>
              <w:top w:val="nil"/>
              <w:left w:val="nil"/>
              <w:bottom w:val="single" w:color="auto" w:sz="4" w:space="0"/>
              <w:right w:val="single" w:color="auto" w:sz="4" w:space="0"/>
            </w:tcBorders>
            <w:vAlign w:val="center"/>
          </w:tcPr>
          <w:p w14:paraId="2B273090">
            <w:pPr>
              <w:jc w:val="center"/>
              <w:rPr>
                <w:color w:val="000000"/>
              </w:rPr>
            </w:pPr>
            <w:r>
              <w:rPr>
                <w:color w:val="000000"/>
              </w:rPr>
              <w:t>5.234.648.130</w:t>
            </w:r>
          </w:p>
        </w:tc>
      </w:tr>
      <w:tr w14:paraId="7993CDB9">
        <w:tblPrEx>
          <w:tblCellMar>
            <w:top w:w="0" w:type="dxa"/>
            <w:left w:w="108" w:type="dxa"/>
            <w:bottom w:w="0" w:type="dxa"/>
            <w:right w:w="108" w:type="dxa"/>
          </w:tblCellMar>
        </w:tblPrEx>
        <w:trPr>
          <w:trHeight w:val="20" w:hRule="atLeast"/>
        </w:trPr>
        <w:tc>
          <w:tcPr>
            <w:tcW w:w="537" w:type="pct"/>
            <w:tcBorders>
              <w:top w:val="nil"/>
              <w:left w:val="single" w:color="auto" w:sz="4" w:space="0"/>
              <w:bottom w:val="single" w:color="auto" w:sz="4" w:space="0"/>
              <w:right w:val="single" w:color="auto" w:sz="4" w:space="0"/>
            </w:tcBorders>
            <w:vAlign w:val="center"/>
          </w:tcPr>
          <w:p w14:paraId="2E8E4459">
            <w:pPr>
              <w:jc w:val="center"/>
              <w:rPr>
                <w:color w:val="000000"/>
              </w:rPr>
            </w:pPr>
            <w:r>
              <w:rPr>
                <w:color w:val="000000"/>
              </w:rPr>
              <w:t> 1.5</w:t>
            </w:r>
          </w:p>
        </w:tc>
        <w:tc>
          <w:tcPr>
            <w:tcW w:w="2012" w:type="pct"/>
            <w:tcBorders>
              <w:top w:val="nil"/>
              <w:left w:val="nil"/>
              <w:bottom w:val="single" w:color="auto" w:sz="4" w:space="0"/>
              <w:right w:val="single" w:color="auto" w:sz="4" w:space="0"/>
            </w:tcBorders>
            <w:vAlign w:val="center"/>
          </w:tcPr>
          <w:p w14:paraId="22E0D4E3">
            <w:pPr>
              <w:rPr>
                <w:color w:val="000000"/>
              </w:rPr>
            </w:pPr>
            <w:r>
              <w:rPr>
                <w:color w:val="000000"/>
              </w:rPr>
              <w:t>Chi phí khác</w:t>
            </w:r>
          </w:p>
        </w:tc>
        <w:tc>
          <w:tcPr>
            <w:tcW w:w="2451" w:type="pct"/>
            <w:tcBorders>
              <w:top w:val="nil"/>
              <w:left w:val="nil"/>
              <w:bottom w:val="single" w:color="auto" w:sz="4" w:space="0"/>
              <w:right w:val="single" w:color="auto" w:sz="4" w:space="0"/>
            </w:tcBorders>
            <w:vAlign w:val="center"/>
          </w:tcPr>
          <w:p w14:paraId="2653D80A">
            <w:pPr>
              <w:jc w:val="center"/>
              <w:rPr>
                <w:color w:val="000000"/>
              </w:rPr>
            </w:pPr>
            <w:r>
              <w:rPr>
                <w:color w:val="000000"/>
              </w:rPr>
              <w:t>109.168.887</w:t>
            </w:r>
          </w:p>
        </w:tc>
      </w:tr>
    </w:tbl>
    <w:p w14:paraId="0DEFD628">
      <w:pPr>
        <w:widowControl w:val="0"/>
        <w:spacing w:before="120" w:after="120" w:line="340" w:lineRule="exact"/>
        <w:ind w:firstLine="567"/>
        <w:jc w:val="both"/>
        <w:rPr>
          <w:b/>
          <w:bCs/>
          <w:color w:val="000000" w:themeColor="text1"/>
          <w:spacing w:val="-4"/>
          <w:sz w:val="26"/>
          <w:szCs w:val="26"/>
          <w:lang w:val="da-DK"/>
          <w14:textFill>
            <w14:solidFill>
              <w14:schemeClr w14:val="tx1"/>
            </w14:solidFill>
          </w14:textFill>
        </w:rPr>
      </w:pPr>
      <w:r>
        <w:rPr>
          <w:b/>
          <w:bCs/>
          <w:color w:val="000000" w:themeColor="text1"/>
          <w:spacing w:val="-4"/>
          <w:sz w:val="26"/>
          <w:szCs w:val="26"/>
          <w:lang w:val="da-DK"/>
          <w14:textFill>
            <w14:solidFill>
              <w14:schemeClr w14:val="tx1"/>
            </w14:solidFill>
          </w14:textFill>
        </w:rPr>
        <w:t xml:space="preserve">=&gt; Tổng chi phí xây dựng nhà liền kề xây thô </w:t>
      </w:r>
      <w:r>
        <w:rPr>
          <w:b/>
          <w:color w:val="000000" w:themeColor="text1"/>
          <w:sz w:val="26"/>
          <w:szCs w:val="26"/>
          <w14:textFill>
            <w14:solidFill>
              <w14:schemeClr w14:val="tx1"/>
            </w14:solidFill>
          </w14:textFill>
        </w:rPr>
        <w:t xml:space="preserve">120 </w:t>
      </w:r>
      <w:r>
        <w:rPr>
          <w:b/>
          <w:color w:val="000000" w:themeColor="text1"/>
          <w:sz w:val="26"/>
          <w:szCs w:val="26"/>
          <w:lang w:val="vi-VN"/>
          <w14:textFill>
            <w14:solidFill>
              <w14:schemeClr w14:val="tx1"/>
            </w14:solidFill>
          </w14:textFill>
        </w:rPr>
        <w:t xml:space="preserve">căn cao </w:t>
      </w:r>
      <w:r>
        <w:rPr>
          <w:b/>
          <w:color w:val="000000" w:themeColor="text1"/>
          <w:sz w:val="26"/>
          <w:szCs w:val="26"/>
          <w14:textFill>
            <w14:solidFill>
              <w14:schemeClr w14:val="tx1"/>
            </w14:solidFill>
          </w14:textFill>
        </w:rPr>
        <w:t>05</w:t>
      </w:r>
      <w:r>
        <w:rPr>
          <w:b/>
          <w:color w:val="000000" w:themeColor="text1"/>
          <w:sz w:val="26"/>
          <w:szCs w:val="26"/>
          <w:lang w:val="vi-VN"/>
          <w14:textFill>
            <w14:solidFill>
              <w14:schemeClr w14:val="tx1"/>
            </w14:solidFill>
          </w14:textFill>
        </w:rPr>
        <w:t xml:space="preserve"> tầng</w:t>
      </w:r>
      <w:r>
        <w:rPr>
          <w:b/>
          <w:color w:val="000000" w:themeColor="text1"/>
          <w:sz w:val="26"/>
          <w:szCs w:val="26"/>
          <w14:textFill>
            <w14:solidFill>
              <w14:schemeClr w14:val="tx1"/>
            </w14:solidFill>
          </w14:textFill>
        </w:rPr>
        <w:t xml:space="preserve"> (</w:t>
      </w:r>
      <w:r>
        <w:rPr>
          <w:b/>
          <w:bCs/>
          <w:color w:val="000000" w:themeColor="text1"/>
          <w:spacing w:val="-4"/>
          <w:sz w:val="26"/>
          <w:szCs w:val="26"/>
          <w:lang w:val="da-DK"/>
          <w14:textFill>
            <w14:solidFill>
              <w14:schemeClr w14:val="tx1"/>
            </w14:solidFill>
          </w14:textFill>
        </w:rPr>
        <w:t xml:space="preserve">chưa bao gồm thuế VAT và chi phí dự phòng) là: 144.134.316.842 đồng </w:t>
      </w:r>
    </w:p>
    <w:p w14:paraId="2FE3C83B">
      <w:pPr>
        <w:widowControl w:val="0"/>
        <w:spacing w:before="120" w:after="120" w:line="360" w:lineRule="exact"/>
        <w:ind w:firstLine="562"/>
        <w:jc w:val="both"/>
        <w:rPr>
          <w:rFonts w:ascii="Times New Roman Bold" w:hAnsi="Times New Roman Bold"/>
          <w:b/>
          <w:bCs/>
          <w:color w:val="000000" w:themeColor="text1"/>
          <w:spacing w:val="-4"/>
          <w:sz w:val="26"/>
          <w:szCs w:val="26"/>
          <w:lang w:val="da-DK"/>
          <w14:textFill>
            <w14:solidFill>
              <w14:schemeClr w14:val="tx1"/>
            </w14:solidFill>
          </w14:textFill>
        </w:rPr>
      </w:pPr>
      <w:r>
        <w:rPr>
          <w:rFonts w:ascii="Times New Roman Bold" w:hAnsi="Times New Roman Bold"/>
          <w:b/>
          <w:bCs/>
          <w:color w:val="000000" w:themeColor="text1"/>
          <w:spacing w:val="-4"/>
          <w:sz w:val="26"/>
          <w:szCs w:val="26"/>
          <w:lang w:val="da-DK"/>
          <w14:textFill>
            <w14:solidFill>
              <w14:schemeClr w14:val="tx1"/>
            </w14:solidFill>
          </w14:textFill>
        </w:rPr>
        <w:t xml:space="preserve">=&gt; TỔNG CHI PHÍ XÂY DỰNG HẠ TẦNG KỸ THUẬT; CHI PHÍ XÂY THÔ HOÀN THIỆN MẶT NGOÀI 120 LÔ ĐẤT NHÀ LIỀN KỀ (chưa bao gồm thuế VAT, chi phí dự phòng): </w:t>
      </w:r>
    </w:p>
    <w:p w14:paraId="0F1B0F21">
      <w:pPr>
        <w:widowControl w:val="0"/>
        <w:spacing w:before="120" w:after="120" w:line="360" w:lineRule="exact"/>
        <w:ind w:firstLine="562"/>
        <w:jc w:val="both"/>
        <w:rPr>
          <w:rFonts w:ascii="Times New Roman Bold" w:hAnsi="Times New Roman Bold"/>
          <w:b/>
          <w:bCs/>
          <w:spacing w:val="-2"/>
          <w:sz w:val="26"/>
          <w:szCs w:val="26"/>
          <w:lang w:val="da-DK"/>
        </w:rPr>
      </w:pPr>
      <w:r>
        <w:rPr>
          <w:sz w:val="26"/>
          <w:szCs w:val="26"/>
        </w:rPr>
        <w:t xml:space="preserve">= </w:t>
      </w:r>
      <w:r>
        <w:rPr>
          <w:b/>
          <w:bCs/>
          <w:spacing w:val="-4"/>
          <w:sz w:val="26"/>
          <w:szCs w:val="26"/>
          <w:lang w:val="da-DK"/>
        </w:rPr>
        <w:t xml:space="preserve">223.482.665.376 </w:t>
      </w:r>
      <w:r>
        <w:rPr>
          <w:sz w:val="26"/>
          <w:szCs w:val="26"/>
        </w:rPr>
        <w:t xml:space="preserve">đồng + </w:t>
      </w:r>
      <w:r>
        <w:rPr>
          <w:b/>
          <w:bCs/>
          <w:spacing w:val="-4"/>
          <w:sz w:val="26"/>
          <w:szCs w:val="26"/>
          <w:lang w:val="da-DK"/>
        </w:rPr>
        <w:t xml:space="preserve">144.134.316.842 </w:t>
      </w:r>
      <w:r>
        <w:rPr>
          <w:sz w:val="26"/>
          <w:szCs w:val="26"/>
        </w:rPr>
        <w:t>đồng =</w:t>
      </w:r>
      <w:r>
        <w:rPr>
          <w:rFonts w:ascii="Times New Roman Bold" w:hAnsi="Times New Roman Bold"/>
          <w:b/>
          <w:bCs/>
          <w:spacing w:val="-2"/>
          <w:sz w:val="26"/>
          <w:szCs w:val="26"/>
          <w:lang w:val="da-DK"/>
        </w:rPr>
        <w:t xml:space="preserve"> 367.616.982.218 đồng</w:t>
      </w:r>
    </w:p>
    <w:p w14:paraId="5CDE4820">
      <w:pPr>
        <w:widowControl w:val="0"/>
        <w:spacing w:before="120" w:after="120" w:line="360" w:lineRule="exact"/>
        <w:ind w:firstLine="562"/>
        <w:jc w:val="both"/>
        <w:rPr>
          <w:rFonts w:ascii="Times New Roman Bold" w:hAnsi="Times New Roman Bold"/>
          <w:b/>
          <w:bCs/>
          <w:color w:val="000000" w:themeColor="text1"/>
          <w:spacing w:val="-2"/>
          <w:sz w:val="26"/>
          <w:szCs w:val="26"/>
          <w:lang w:val="da-DK"/>
          <w14:textFill>
            <w14:solidFill>
              <w14:schemeClr w14:val="tx1"/>
            </w14:solidFill>
          </w14:textFill>
        </w:rPr>
      </w:pPr>
      <w:r>
        <w:rPr>
          <w:rFonts w:ascii="Times New Roman Bold" w:hAnsi="Times New Roman Bold"/>
          <w:b/>
          <w:bCs/>
          <w:color w:val="000000" w:themeColor="text1"/>
          <w:spacing w:val="-2"/>
          <w:sz w:val="26"/>
          <w:szCs w:val="26"/>
          <w:lang w:val="da-DK"/>
          <w14:textFill>
            <w14:solidFill>
              <w14:schemeClr w14:val="tx1"/>
            </w14:solidFill>
          </w14:textFill>
        </w:rPr>
        <w:t>2.3. Thời gian xây dựng, tiến độ xây dựng; chi phí kinh doanh; chi phí lãi vay, lợi nhuận của nhà đầu tư có tính đến vốn chủ sở hữu, rủi ro trong kinh doanh:</w:t>
      </w:r>
    </w:p>
    <w:p w14:paraId="534B05F0">
      <w:pPr>
        <w:widowControl w:val="0"/>
        <w:spacing w:before="120" w:after="120" w:line="360" w:lineRule="exact"/>
        <w:ind w:firstLine="567"/>
        <w:jc w:val="both"/>
        <w:rPr>
          <w:rFonts w:eastAsia="Tahoma"/>
          <w:b/>
          <w:bCs/>
          <w:i/>
          <w:iCs/>
          <w:color w:val="000000" w:themeColor="text1"/>
          <w:spacing w:val="-2"/>
          <w:sz w:val="26"/>
          <w:szCs w:val="26"/>
          <w:lang w:val="da-DK"/>
          <w14:textFill>
            <w14:solidFill>
              <w14:schemeClr w14:val="tx1"/>
            </w14:solidFill>
          </w14:textFill>
        </w:rPr>
      </w:pPr>
      <w:r>
        <w:rPr>
          <w:rFonts w:eastAsia="Tahoma"/>
          <w:b/>
          <w:bCs/>
          <w:i/>
          <w:iCs/>
          <w:color w:val="000000" w:themeColor="text1"/>
          <w:spacing w:val="-2"/>
          <w:sz w:val="26"/>
          <w:szCs w:val="26"/>
          <w:lang w:val="vi-VN"/>
          <w14:textFill>
            <w14:solidFill>
              <w14:schemeClr w14:val="tx1"/>
            </w14:solidFill>
          </w14:textFill>
        </w:rPr>
        <w:t xml:space="preserve">* Căn cứ Điều </w:t>
      </w:r>
      <w:r>
        <w:rPr>
          <w:rFonts w:eastAsia="Tahoma"/>
          <w:b/>
          <w:bCs/>
          <w:i/>
          <w:iCs/>
          <w:color w:val="000000" w:themeColor="text1"/>
          <w:spacing w:val="-2"/>
          <w:sz w:val="26"/>
          <w:szCs w:val="26"/>
          <w14:textFill>
            <w14:solidFill>
              <w14:schemeClr w14:val="tx1"/>
            </w14:solidFill>
          </w14:textFill>
        </w:rPr>
        <w:t>6</w:t>
      </w:r>
      <w:r>
        <w:rPr>
          <w:rFonts w:eastAsia="Tahoma"/>
          <w:b/>
          <w:bCs/>
          <w:i/>
          <w:iCs/>
          <w:color w:val="000000" w:themeColor="text1"/>
          <w:spacing w:val="-2"/>
          <w:sz w:val="26"/>
          <w:szCs w:val="26"/>
          <w:lang w:val="vi-VN"/>
          <w14:textFill>
            <w14:solidFill>
              <w14:schemeClr w14:val="tx1"/>
            </w14:solidFill>
          </w14:textFill>
        </w:rPr>
        <w:t xml:space="preserve"> Nghị định số 71/2024/NĐ-CP ngày 27/06/2024 của Chính Phủ quy định như sau:</w:t>
      </w:r>
    </w:p>
    <w:p w14:paraId="002FA2DB">
      <w:pPr>
        <w:widowControl w:val="0"/>
        <w:spacing w:before="120" w:after="120" w:line="360" w:lineRule="exact"/>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ab/>
      </w:r>
      <w:r>
        <w:rPr>
          <w:rFonts w:eastAsia="Tahoma"/>
          <w:color w:val="000000" w:themeColor="text1"/>
          <w:spacing w:val="-6"/>
          <w:sz w:val="26"/>
          <w:szCs w:val="26"/>
          <w14:textFill>
            <w14:solidFill>
              <w14:schemeClr w14:val="tx1"/>
            </w14:solidFill>
          </w14:textFill>
        </w:rPr>
        <w:t>“đ) Căn cứ thông tin về các dự án tương tự trong khu vực định giá hoặc khu vực lân cận gần nhất, Sở Nông nghiệp và Môi trường chủ trì, phối hợp với các sở, ngành có liên quan tham mưu, trình Ủy ban nhân dân cấp tỉnh quy định cụ thể các tỷ lệ % để xác định chi phí kinh doanh; chi phí lãi vay, lợi nhuận của nhà đầu tư có tính đến vốn chủ sở hữu, rủi ro trong kinh doanh cho các nhóm dự án cùng mục đích sử dụng đất chính hoặc từng dự án cụ thể để áp dụng chậm nhất từ ngày 01 tháng 01 năm 2025. Trong trường hợp cần thiết, Ủy ban nhân dân cấp tỉnh điều chỉnh để phù hợp với tình hình thực tế của địa phương.</w:t>
      </w:r>
    </w:p>
    <w:p w14:paraId="3E8756CB">
      <w:pPr>
        <w:widowControl w:val="0"/>
        <w:spacing w:before="120" w:after="120" w:line="360" w:lineRule="exact"/>
        <w:ind w:firstLine="720"/>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xml:space="preserve">Trong thời gian Ủy ban nhân dân cấp tỉnh chưa quy định chi phí kinh doanh thì chi </w:t>
      </w:r>
      <w:r>
        <w:rPr>
          <w:rFonts w:eastAsia="Tahoma"/>
          <w:color w:val="000000" w:themeColor="text1"/>
          <w:spacing w:val="-4"/>
          <w:sz w:val="26"/>
          <w:szCs w:val="26"/>
          <w14:textFill>
            <w14:solidFill>
              <w14:schemeClr w14:val="tx1"/>
            </w14:solidFill>
          </w14:textFill>
        </w:rPr>
        <w:t>phí kinh doanh được xác định bằng mức bình quân của 03 dự án đầu tư cùng mục đích sử dụng đất chính có khoảng cách gần nhất đến thửa đất, khu đất cần định giá.</w:t>
      </w:r>
    </w:p>
    <w:p w14:paraId="69197C2B">
      <w:pPr>
        <w:widowControl w:val="0"/>
        <w:spacing w:before="120" w:after="120" w:line="400" w:lineRule="exact"/>
        <w:ind w:firstLine="720"/>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Trong thời gian Ủy ban nhân dân cấp tỉnh chưa quy định tỷ lệ % để tính chi phí lãi vay, lợi nhuận của nhà đầu tư có tính đến vốn chủ sở hữu, rủi ro trong kinh doanh thì tổ chức thực hiện định giá đất đề xuất trong báo cáo thuyết minh xây dựng phương án giá đất đối với từng dự án để Hội đồng thẩm định giá đất xem xét, quyết định.</w:t>
      </w:r>
    </w:p>
    <w:p w14:paraId="11BD5E5B">
      <w:pPr>
        <w:widowControl w:val="0"/>
        <w:spacing w:before="120" w:after="120" w:line="400" w:lineRule="exact"/>
        <w:ind w:firstLine="567"/>
        <w:jc w:val="both"/>
        <w:rPr>
          <w:rFonts w:eastAsia="Tahoma"/>
          <w:color w:val="000000" w:themeColor="text1"/>
          <w:spacing w:val="-2"/>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Đối với thời gian xây dựng, tiến độ xây dựng thì căn cứ vào tiến độ đã được xác định trong chủ trương đầu tư hoặc hồ sơ mời thầu thực hiện dự án đầu tư hoặc quyết định phê duyệt, chấp thuận dự án đầu tư để ước tính chi phí phát triển của dự án. Trường hợp trong các văn bản về chủ trương đầu tư hoặc hồ sơ mời thầu thực hiện dự án đầu tư hoặc quyết định phê duyệt, chấp thuận dự án đầu tư chưa xác định thời gian xây dựng, tiến độ xây dựng thì 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r>
        <w:rPr>
          <w:rFonts w:eastAsia="Tahoma"/>
          <w:color w:val="000000" w:themeColor="text1"/>
          <w:spacing w:val="-2"/>
          <w:sz w:val="26"/>
          <w:szCs w:val="26"/>
          <w:lang w:val="vi-VN"/>
          <w14:textFill>
            <w14:solidFill>
              <w14:schemeClr w14:val="tx1"/>
            </w14:solidFill>
          </w14:textFill>
        </w:rPr>
        <w:t>”.</w:t>
      </w:r>
    </w:p>
    <w:p w14:paraId="24AF1DD7">
      <w:pPr>
        <w:widowControl w:val="0"/>
        <w:spacing w:before="120" w:after="120" w:line="400" w:lineRule="exact"/>
        <w:ind w:firstLine="567"/>
        <w:jc w:val="both"/>
        <w:rPr>
          <w:color w:val="000000" w:themeColor="text1"/>
          <w:spacing w:val="-4"/>
          <w:sz w:val="26"/>
          <w:szCs w:val="26"/>
          <w:lang w:val="da-DK"/>
          <w14:textFill>
            <w14:solidFill>
              <w14:schemeClr w14:val="tx1"/>
            </w14:solidFill>
          </w14:textFill>
        </w:rPr>
      </w:pPr>
      <w:r>
        <w:rPr>
          <w:color w:val="000000" w:themeColor="text1"/>
          <w:spacing w:val="-4"/>
          <w:sz w:val="26"/>
          <w:szCs w:val="26"/>
          <w:lang w:val="da-DK"/>
          <w14:textFill>
            <w14:solidFill>
              <w14:schemeClr w14:val="tx1"/>
            </w14:solidFill>
          </w14:textFill>
        </w:rPr>
        <w:t>- Tại Quyết định số 1328/QĐ-UBND ngày 05/7/2021 của UBND tỉnh quyết định chấp thuận chủ trương đầu tư đồng thời chấp thuận nhà đầu tư:</w:t>
      </w:r>
    </w:p>
    <w:p w14:paraId="6D187793">
      <w:pPr>
        <w:widowControl w:val="0"/>
        <w:spacing w:before="120" w:after="120" w:line="400" w:lineRule="exact"/>
        <w:ind w:firstLine="567"/>
        <w:jc w:val="both"/>
        <w:rPr>
          <w:color w:val="000000" w:themeColor="text1"/>
          <w:spacing w:val="-4"/>
          <w:sz w:val="26"/>
          <w:szCs w:val="26"/>
          <w14:textFill>
            <w14:solidFill>
              <w14:schemeClr w14:val="tx1"/>
            </w14:solidFill>
          </w14:textFill>
        </w:rPr>
      </w:pPr>
      <w:r>
        <w:rPr>
          <w:color w:val="000000" w:themeColor="text1"/>
          <w:spacing w:val="-4"/>
          <w:sz w:val="26"/>
          <w:szCs w:val="26"/>
          <w14:textFill>
            <w14:solidFill>
              <w14:schemeClr w14:val="tx1"/>
            </w14:solidFill>
          </w14:textFill>
        </w:rPr>
        <w:t>“8. Tiến độ thực hiện dự án: 07 năm (trong đó dự kiến 01 năm chuẩn bị đầu tư, 04 năm triển khai xây dựng dự án, 02 năm tổ chức kinh doanh bán hàng).</w:t>
      </w:r>
    </w:p>
    <w:p w14:paraId="5EB044A0">
      <w:pPr>
        <w:widowControl w:val="0"/>
        <w:spacing w:before="120" w:after="120" w:line="400" w:lineRule="exact"/>
        <w:ind w:firstLine="567"/>
        <w:jc w:val="both"/>
        <w:rPr>
          <w:color w:val="000000" w:themeColor="text1"/>
          <w:spacing w:val="-4"/>
          <w:sz w:val="26"/>
          <w:szCs w:val="26"/>
          <w14:textFill>
            <w14:solidFill>
              <w14:schemeClr w14:val="tx1"/>
            </w14:solidFill>
          </w14:textFill>
        </w:rPr>
      </w:pPr>
      <w:r>
        <w:rPr>
          <w:color w:val="000000" w:themeColor="text1"/>
          <w:spacing w:val="-4"/>
          <w:sz w:val="26"/>
          <w:szCs w:val="26"/>
          <w14:textFill>
            <w14:solidFill>
              <w14:schemeClr w14:val="tx1"/>
            </w14:solidFill>
          </w14:textFill>
        </w:rPr>
        <w:t>- Công tác chuẩn bị đầu tư (Giải phóng mặt bằng, thực hiện các thủ tục về đất đai, xây dựng, môi trường): Quý III/2021 – Quý III/2022.</w:t>
      </w:r>
    </w:p>
    <w:p w14:paraId="2B45A2A4">
      <w:pPr>
        <w:widowControl w:val="0"/>
        <w:spacing w:before="120" w:after="120" w:line="400" w:lineRule="exact"/>
        <w:ind w:firstLine="567"/>
        <w:jc w:val="both"/>
        <w:rPr>
          <w:color w:val="000000" w:themeColor="text1"/>
          <w:spacing w:val="-4"/>
          <w:sz w:val="26"/>
          <w:szCs w:val="26"/>
          <w14:textFill>
            <w14:solidFill>
              <w14:schemeClr w14:val="tx1"/>
            </w14:solidFill>
          </w14:textFill>
        </w:rPr>
      </w:pPr>
      <w:r>
        <w:rPr>
          <w:color w:val="000000" w:themeColor="text1"/>
          <w:spacing w:val="-4"/>
          <w:sz w:val="26"/>
          <w:szCs w:val="26"/>
          <w14:textFill>
            <w14:solidFill>
              <w14:schemeClr w14:val="tx1"/>
            </w14:solidFill>
          </w14:textFill>
        </w:rPr>
        <w:t>- Thi công hạ tầng kỹ thuật và công trình trên đất, nghiệm thu hoàn thành: Quý IV/2022 – Quý IV/2026.</w:t>
      </w:r>
    </w:p>
    <w:p w14:paraId="297D325D">
      <w:pPr>
        <w:widowControl w:val="0"/>
        <w:spacing w:before="120" w:after="120" w:line="400" w:lineRule="exact"/>
        <w:ind w:firstLine="567"/>
        <w:jc w:val="both"/>
        <w:rPr>
          <w:color w:val="000000" w:themeColor="text1"/>
          <w:spacing w:val="-4"/>
          <w:sz w:val="26"/>
          <w:szCs w:val="26"/>
          <w14:textFill>
            <w14:solidFill>
              <w14:schemeClr w14:val="tx1"/>
            </w14:solidFill>
          </w14:textFill>
        </w:rPr>
      </w:pPr>
      <w:r>
        <w:rPr>
          <w:color w:val="000000" w:themeColor="text1"/>
          <w:spacing w:val="-4"/>
          <w:sz w:val="26"/>
          <w:szCs w:val="26"/>
          <w14:textFill>
            <w14:solidFill>
              <w14:schemeClr w14:val="tx1"/>
            </w14:solidFill>
          </w14:textFill>
        </w:rPr>
        <w:t>- Tổ chức kinh doanh, bán hàng: Quý I/2027 – Quý IV/2028.</w:t>
      </w:r>
    </w:p>
    <w:p w14:paraId="106B1089">
      <w:pPr>
        <w:widowControl w:val="0"/>
        <w:spacing w:before="120" w:after="120" w:line="400" w:lineRule="exact"/>
        <w:ind w:firstLine="567"/>
        <w:jc w:val="both"/>
        <w:rPr>
          <w:rFonts w:eastAsia="Tahoma"/>
          <w:color w:val="000000" w:themeColor="text1"/>
          <w:spacing w:val="-2"/>
          <w:sz w:val="26"/>
          <w:szCs w:val="26"/>
          <w:lang w:val="vi-VN"/>
          <w14:textFill>
            <w14:solidFill>
              <w14:schemeClr w14:val="tx1"/>
            </w14:solidFill>
          </w14:textFill>
        </w:rPr>
      </w:pPr>
      <w:r>
        <w:rPr>
          <w:color w:val="000000" w:themeColor="text1"/>
          <w:spacing w:val="-4"/>
          <w:sz w:val="26"/>
          <w:szCs w:val="26"/>
          <w14:textFill>
            <w14:solidFill>
              <w14:schemeClr w14:val="tx1"/>
            </w14:solidFill>
          </w14:textFill>
        </w:rPr>
        <w:t>- Quyết toán, bàn giao cơ quan quản lý nhà nước: Quý IV/2028”</w:t>
      </w:r>
      <w:r>
        <w:rPr>
          <w:color w:val="000000" w:themeColor="text1"/>
          <w:spacing w:val="-4"/>
          <w:sz w:val="26"/>
          <w:szCs w:val="26"/>
          <w:lang w:val="da-DK"/>
          <w14:textFill>
            <w14:solidFill>
              <w14:schemeClr w14:val="tx1"/>
            </w14:solidFill>
          </w14:textFill>
        </w:rPr>
        <w:t>.</w:t>
      </w:r>
    </w:p>
    <w:p w14:paraId="7666100A">
      <w:pPr>
        <w:widowControl w:val="0"/>
        <w:spacing w:before="120" w:after="120" w:line="40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lang w:val="vi-VN"/>
          <w14:textFill>
            <w14:solidFill>
              <w14:schemeClr w14:val="tx1"/>
            </w14:solidFill>
          </w14:textFill>
        </w:rPr>
        <w:t xml:space="preserve">=&gt; </w:t>
      </w:r>
      <w:r>
        <w:rPr>
          <w:color w:val="000000" w:themeColor="text1"/>
          <w:spacing w:val="-2"/>
          <w:sz w:val="26"/>
          <w:szCs w:val="26"/>
          <w14:textFill>
            <w14:solidFill>
              <w14:schemeClr w14:val="tx1"/>
            </w14:solidFill>
          </w14:textFill>
        </w:rPr>
        <w:t>Quy định chung thời gian xây dựng công hạ tầng kỹ thuật và công trình trên đất trong 17 quý; tuy nhiên không quy định chi tiết đối với thời gian xây dựng từng hạng mục công trình (công trình HTKT; xây dựng nhà ở liền kề xây thô; các công trình thuê đất). C</w:t>
      </w:r>
      <w:r>
        <w:rPr>
          <w:color w:val="000000" w:themeColor="text1"/>
          <w:spacing w:val="-2"/>
          <w:sz w:val="26"/>
          <w:szCs w:val="26"/>
          <w:lang w:val="vi-VN"/>
          <w14:textFill>
            <w14:solidFill>
              <w14:schemeClr w14:val="tx1"/>
            </w14:solidFill>
          </w14:textFill>
        </w:rPr>
        <w:t>hưa quy định</w:t>
      </w:r>
      <w:r>
        <w:rPr>
          <w:color w:val="000000" w:themeColor="text1"/>
          <w:spacing w:val="-2"/>
          <w:sz w:val="26"/>
          <w:szCs w:val="26"/>
          <w14:textFill>
            <w14:solidFill>
              <w14:schemeClr w14:val="tx1"/>
            </w14:solidFill>
          </w14:textFill>
        </w:rPr>
        <w:t xml:space="preserve"> chi tiết</w:t>
      </w:r>
      <w:r>
        <w:rPr>
          <w:color w:val="000000" w:themeColor="text1"/>
          <w:spacing w:val="-2"/>
          <w:sz w:val="26"/>
          <w:szCs w:val="26"/>
          <w:lang w:val="vi-VN"/>
          <w14:textFill>
            <w14:solidFill>
              <w14:schemeClr w14:val="tx1"/>
            </w14:solidFill>
          </w14:textFill>
        </w:rPr>
        <w:t xml:space="preserve"> đối với </w:t>
      </w:r>
      <w:r>
        <w:rPr>
          <w:color w:val="000000" w:themeColor="text1"/>
          <w:spacing w:val="-2"/>
          <w:sz w:val="26"/>
          <w:szCs w:val="26"/>
          <w14:textFill>
            <w14:solidFill>
              <w14:schemeClr w14:val="tx1"/>
            </w14:solidFill>
          </w14:textFill>
        </w:rPr>
        <w:t>tiến độ xây dựng từng hạng mục công trình.</w:t>
      </w:r>
    </w:p>
    <w:p w14:paraId="44823948">
      <w:pPr>
        <w:widowControl w:val="0"/>
        <w:spacing w:before="120" w:after="120" w:line="40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Căn cứ Khoản 5, Điều 4, Quyết định số 47/2024/QĐ-UBND ngày 30 tháng 10 năm 2024 của UBND nhân dân tỉnh Lạng Sơn về việc Ban hành Quy định một số chỉ tiêu cụ thể để áp dụng phương pháp định giá đất trên địa bàn tỉnh Lạng Sơn:</w:t>
      </w:r>
    </w:p>
    <w:p w14:paraId="52DC5D7D">
      <w:pPr>
        <w:widowControl w:val="0"/>
        <w:spacing w:before="120" w:after="120" w:line="40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“5. Thời gian xây dựng, tiến độ xây dựng, thời điểm bắt đầu bán hàng, thời gian bán hàng, tỷ lệ bán hàng</w:t>
      </w:r>
    </w:p>
    <w:p w14:paraId="6AFB788C">
      <w:pPr>
        <w:widowControl w:val="0"/>
        <w:spacing w:before="120" w:after="120" w:line="40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xml:space="preserve">Đối với thời gian xây dựng, tiến độ xây dựng, thời điểm bắt đầu bán hàng, thời gian bán hàng, tỷ lệ bán hàng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đủ các chỉ tiêu về thời gian xây dựng, tiến độ xây dựng, thời điểm bắt đầu bán hàng, thời gian bán hàng, tỷ lệ bán hàng thì thực hiện như sau: </w:t>
      </w:r>
    </w:p>
    <w:p w14:paraId="4C4C8187">
      <w:pPr>
        <w:widowControl w:val="0"/>
        <w:spacing w:before="120" w:after="120" w:line="40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xml:space="preserve">Thời gian xây dựng: được tính kể từ ngày có Quyết định giao đất, cho thuê đất, cho phép chuyển mục đích sử dụng đất. </w:t>
      </w:r>
    </w:p>
    <w:p w14:paraId="031CE9E5">
      <w:pPr>
        <w:pStyle w:val="38"/>
        <w:widowControl w:val="0"/>
        <w:numPr>
          <w:ilvl w:val="0"/>
          <w:numId w:val="1"/>
        </w:numPr>
        <w:spacing w:before="120" w:after="120" w:line="400" w:lineRule="exact"/>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Đối với dự án sử dụng đất để xây dựng khu đô thị, khu nhà ở, biệt thự, đất ở liền kề:</w:t>
      </w:r>
    </w:p>
    <w:tbl>
      <w:tblPr>
        <w:tblStyle w:val="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9"/>
        <w:gridCol w:w="1289"/>
        <w:gridCol w:w="1289"/>
        <w:gridCol w:w="1289"/>
        <w:gridCol w:w="1289"/>
        <w:gridCol w:w="1503"/>
      </w:tblGrid>
      <w:tr w14:paraId="4870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Align w:val="center"/>
          </w:tcPr>
          <w:p w14:paraId="0745B55C">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Quy mô dự án</w:t>
            </w:r>
          </w:p>
        </w:tc>
        <w:tc>
          <w:tcPr>
            <w:tcW w:w="1279" w:type="dxa"/>
            <w:vMerge w:val="restart"/>
            <w:vAlign w:val="center"/>
          </w:tcPr>
          <w:p w14:paraId="184B42A0">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Thời gian xây dựng</w:t>
            </w:r>
          </w:p>
        </w:tc>
        <w:tc>
          <w:tcPr>
            <w:tcW w:w="2578" w:type="dxa"/>
            <w:gridSpan w:val="2"/>
            <w:vAlign w:val="center"/>
          </w:tcPr>
          <w:p w14:paraId="1A47A113">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Tiến độ xây dựng </w:t>
            </w:r>
            <w:r>
              <w:rPr>
                <w:color w:val="000000" w:themeColor="text1"/>
                <w14:textFill>
                  <w14:solidFill>
                    <w14:schemeClr w14:val="tx1"/>
                  </w14:solidFill>
                </w14:textFill>
              </w:rPr>
              <w:t>(% lần lượt theo từng năm)</w:t>
            </w:r>
          </w:p>
        </w:tc>
        <w:tc>
          <w:tcPr>
            <w:tcW w:w="1289" w:type="dxa"/>
            <w:vMerge w:val="restart"/>
            <w:vAlign w:val="center"/>
          </w:tcPr>
          <w:p w14:paraId="48FB1FE5">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Thời điểm bắt đầu bán hàng</w:t>
            </w:r>
          </w:p>
        </w:tc>
        <w:tc>
          <w:tcPr>
            <w:tcW w:w="1289" w:type="dxa"/>
            <w:vMerge w:val="restart"/>
            <w:vAlign w:val="center"/>
          </w:tcPr>
          <w:p w14:paraId="6503690C">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Thời gian bán hàng</w:t>
            </w:r>
          </w:p>
        </w:tc>
        <w:tc>
          <w:tcPr>
            <w:tcW w:w="1503" w:type="dxa"/>
            <w:vMerge w:val="restart"/>
            <w:vAlign w:val="center"/>
          </w:tcPr>
          <w:p w14:paraId="4EE1D337">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Tỷ lệ bán hàng </w:t>
            </w:r>
            <w:r>
              <w:rPr>
                <w:color w:val="000000" w:themeColor="text1"/>
                <w14:textFill>
                  <w14:solidFill>
                    <w14:schemeClr w14:val="tx1"/>
                  </w14:solidFill>
                </w14:textFill>
              </w:rPr>
              <w:t>(% lần lượt theo từng năm)</w:t>
            </w:r>
          </w:p>
        </w:tc>
      </w:tr>
      <w:tr w14:paraId="3FA0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Align w:val="center"/>
          </w:tcPr>
          <w:p w14:paraId="299D0138">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Dự án</w:t>
            </w:r>
          </w:p>
        </w:tc>
        <w:tc>
          <w:tcPr>
            <w:tcW w:w="1279" w:type="dxa"/>
            <w:vMerge w:val="continue"/>
            <w:vAlign w:val="center"/>
          </w:tcPr>
          <w:p w14:paraId="0744914C">
            <w:pPr>
              <w:jc w:val="center"/>
              <w:rPr>
                <w:b/>
                <w:bCs/>
                <w:color w:val="000000" w:themeColor="text1"/>
                <w14:textFill>
                  <w14:solidFill>
                    <w14:schemeClr w14:val="tx1"/>
                  </w14:solidFill>
                </w14:textFill>
              </w:rPr>
            </w:pPr>
          </w:p>
        </w:tc>
        <w:tc>
          <w:tcPr>
            <w:tcW w:w="1289" w:type="dxa"/>
            <w:vAlign w:val="center"/>
          </w:tcPr>
          <w:p w14:paraId="6C86BCD1">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Hạ tầng kỹ thuật</w:t>
            </w:r>
          </w:p>
        </w:tc>
        <w:tc>
          <w:tcPr>
            <w:tcW w:w="1289" w:type="dxa"/>
            <w:vAlign w:val="center"/>
          </w:tcPr>
          <w:p w14:paraId="08067E36">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Nhà xây thô</w:t>
            </w:r>
          </w:p>
        </w:tc>
        <w:tc>
          <w:tcPr>
            <w:tcW w:w="1289" w:type="dxa"/>
            <w:vMerge w:val="continue"/>
            <w:vAlign w:val="center"/>
          </w:tcPr>
          <w:p w14:paraId="7C24A0D3">
            <w:pPr>
              <w:jc w:val="center"/>
              <w:rPr>
                <w:b/>
                <w:bCs/>
                <w:color w:val="000000" w:themeColor="text1"/>
                <w14:textFill>
                  <w14:solidFill>
                    <w14:schemeClr w14:val="tx1"/>
                  </w14:solidFill>
                </w14:textFill>
              </w:rPr>
            </w:pPr>
          </w:p>
        </w:tc>
        <w:tc>
          <w:tcPr>
            <w:tcW w:w="1289" w:type="dxa"/>
            <w:vMerge w:val="continue"/>
            <w:vAlign w:val="center"/>
          </w:tcPr>
          <w:p w14:paraId="243ABC3C">
            <w:pPr>
              <w:jc w:val="center"/>
              <w:rPr>
                <w:b/>
                <w:bCs/>
                <w:color w:val="000000" w:themeColor="text1"/>
                <w14:textFill>
                  <w14:solidFill>
                    <w14:schemeClr w14:val="tx1"/>
                  </w14:solidFill>
                </w14:textFill>
              </w:rPr>
            </w:pPr>
          </w:p>
        </w:tc>
        <w:tc>
          <w:tcPr>
            <w:tcW w:w="1503" w:type="dxa"/>
            <w:vMerge w:val="continue"/>
            <w:vAlign w:val="center"/>
          </w:tcPr>
          <w:p w14:paraId="7C540DC1">
            <w:pPr>
              <w:jc w:val="center"/>
              <w:rPr>
                <w:b/>
                <w:bCs/>
                <w:color w:val="000000" w:themeColor="text1"/>
                <w14:textFill>
                  <w14:solidFill>
                    <w14:schemeClr w14:val="tx1"/>
                  </w14:solidFill>
                </w14:textFill>
              </w:rPr>
            </w:pPr>
          </w:p>
        </w:tc>
      </w:tr>
      <w:tr w14:paraId="1507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vAlign w:val="center"/>
          </w:tcPr>
          <w:p w14:paraId="0F8016EF">
            <w:pPr>
              <w:jc w:val="center"/>
              <w:rPr>
                <w:color w:val="000000" w:themeColor="text1"/>
                <w14:textFill>
                  <w14:solidFill>
                    <w14:schemeClr w14:val="tx1"/>
                  </w14:solidFill>
                </w14:textFill>
              </w:rPr>
            </w:pPr>
            <w:r>
              <w:rPr>
                <w:color w:val="000000" w:themeColor="text1"/>
                <w14:textFill>
                  <w14:solidFill>
                    <w14:schemeClr w14:val="tx1"/>
                  </w14:solidFill>
                </w14:textFill>
              </w:rPr>
              <w:t>Dưới 10 ha</w:t>
            </w:r>
          </w:p>
        </w:tc>
        <w:tc>
          <w:tcPr>
            <w:tcW w:w="1279" w:type="dxa"/>
            <w:vMerge w:val="restart"/>
            <w:vAlign w:val="center"/>
          </w:tcPr>
          <w:p w14:paraId="3FFC8A51">
            <w:pPr>
              <w:jc w:val="center"/>
              <w:rPr>
                <w:color w:val="000000" w:themeColor="text1"/>
                <w14:textFill>
                  <w14:solidFill>
                    <w14:schemeClr w14:val="tx1"/>
                  </w14:solidFill>
                </w14:textFill>
              </w:rPr>
            </w:pPr>
            <w:r>
              <w:rPr>
                <w:color w:val="000000" w:themeColor="text1"/>
                <w14:textFill>
                  <w14:solidFill>
                    <w14:schemeClr w14:val="tx1"/>
                  </w14:solidFill>
                </w14:textFill>
              </w:rPr>
              <w:t>3 năm</w:t>
            </w:r>
          </w:p>
        </w:tc>
        <w:tc>
          <w:tcPr>
            <w:tcW w:w="1289" w:type="dxa"/>
            <w:vMerge w:val="restart"/>
            <w:vAlign w:val="center"/>
          </w:tcPr>
          <w:p w14:paraId="565327CE">
            <w:pPr>
              <w:jc w:val="center"/>
              <w:rPr>
                <w:color w:val="000000" w:themeColor="text1"/>
                <w14:textFill>
                  <w14:solidFill>
                    <w14:schemeClr w14:val="tx1"/>
                  </w14:solidFill>
                </w14:textFill>
              </w:rPr>
            </w:pPr>
            <w:r>
              <w:rPr>
                <w:color w:val="000000" w:themeColor="text1"/>
                <w14:textFill>
                  <w14:solidFill>
                    <w14:schemeClr w14:val="tx1"/>
                  </w14:solidFill>
                </w14:textFill>
              </w:rPr>
              <w:t>50-50</w:t>
            </w:r>
          </w:p>
        </w:tc>
        <w:tc>
          <w:tcPr>
            <w:tcW w:w="1289" w:type="dxa"/>
            <w:vMerge w:val="restart"/>
            <w:vAlign w:val="center"/>
          </w:tcPr>
          <w:p w14:paraId="4F2AF6A2">
            <w:pPr>
              <w:jc w:val="center"/>
              <w:rPr>
                <w:color w:val="000000" w:themeColor="text1"/>
                <w14:textFill>
                  <w14:solidFill>
                    <w14:schemeClr w14:val="tx1"/>
                  </w14:solidFill>
                </w14:textFill>
              </w:rPr>
            </w:pPr>
            <w:r>
              <w:rPr>
                <w:color w:val="000000" w:themeColor="text1"/>
                <w14:textFill>
                  <w14:solidFill>
                    <w14:schemeClr w14:val="tx1"/>
                  </w14:solidFill>
                </w14:textFill>
              </w:rPr>
              <w:t>35-35-30</w:t>
            </w:r>
          </w:p>
        </w:tc>
        <w:tc>
          <w:tcPr>
            <w:tcW w:w="1289" w:type="dxa"/>
            <w:vAlign w:val="center"/>
          </w:tcPr>
          <w:p w14:paraId="3E4474CD">
            <w:pPr>
              <w:jc w:val="center"/>
              <w:rPr>
                <w:color w:val="000000" w:themeColor="text1"/>
                <w14:textFill>
                  <w14:solidFill>
                    <w14:schemeClr w14:val="tx1"/>
                  </w14:solidFill>
                </w14:textFill>
              </w:rPr>
            </w:pPr>
            <w:r>
              <w:rPr>
                <w:color w:val="000000" w:themeColor="text1"/>
                <w14:textFill>
                  <w14:solidFill>
                    <w14:schemeClr w14:val="tx1"/>
                  </w14:solidFill>
                </w14:textFill>
              </w:rPr>
              <w:t>Từ năm</w:t>
            </w:r>
          </w:p>
        </w:tc>
        <w:tc>
          <w:tcPr>
            <w:tcW w:w="1289" w:type="dxa"/>
            <w:vMerge w:val="restart"/>
            <w:vAlign w:val="center"/>
          </w:tcPr>
          <w:p w14:paraId="6341AF0B">
            <w:pPr>
              <w:jc w:val="center"/>
              <w:rPr>
                <w:color w:val="000000" w:themeColor="text1"/>
                <w14:textFill>
                  <w14:solidFill>
                    <w14:schemeClr w14:val="tx1"/>
                  </w14:solidFill>
                </w14:textFill>
              </w:rPr>
            </w:pPr>
            <w:r>
              <w:rPr>
                <w:color w:val="000000" w:themeColor="text1"/>
                <w14:textFill>
                  <w14:solidFill>
                    <w14:schemeClr w14:val="tx1"/>
                  </w14:solidFill>
                </w14:textFill>
              </w:rPr>
              <w:t>2 năm</w:t>
            </w:r>
          </w:p>
        </w:tc>
        <w:tc>
          <w:tcPr>
            <w:tcW w:w="1503" w:type="dxa"/>
            <w:vMerge w:val="restart"/>
            <w:vAlign w:val="center"/>
          </w:tcPr>
          <w:p w14:paraId="69E51947">
            <w:pPr>
              <w:jc w:val="center"/>
              <w:rPr>
                <w:color w:val="000000" w:themeColor="text1"/>
                <w14:textFill>
                  <w14:solidFill>
                    <w14:schemeClr w14:val="tx1"/>
                  </w14:solidFill>
                </w14:textFill>
              </w:rPr>
            </w:pPr>
            <w:r>
              <w:rPr>
                <w:color w:val="000000" w:themeColor="text1"/>
                <w14:textFill>
                  <w14:solidFill>
                    <w14:schemeClr w14:val="tx1"/>
                  </w14:solidFill>
                </w14:textFill>
              </w:rPr>
              <w:t>50-50</w:t>
            </w:r>
          </w:p>
        </w:tc>
      </w:tr>
      <w:tr w14:paraId="07B0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vAlign w:val="center"/>
          </w:tcPr>
          <w:p w14:paraId="60E9E77E">
            <w:pPr>
              <w:jc w:val="center"/>
              <w:rPr>
                <w:color w:val="000000" w:themeColor="text1"/>
                <w14:textFill>
                  <w14:solidFill>
                    <w14:schemeClr w14:val="tx1"/>
                  </w14:solidFill>
                </w14:textFill>
              </w:rPr>
            </w:pPr>
          </w:p>
        </w:tc>
        <w:tc>
          <w:tcPr>
            <w:tcW w:w="1279" w:type="dxa"/>
            <w:vMerge w:val="continue"/>
            <w:vAlign w:val="center"/>
          </w:tcPr>
          <w:p w14:paraId="0862BB39">
            <w:pPr>
              <w:jc w:val="center"/>
              <w:rPr>
                <w:color w:val="000000" w:themeColor="text1"/>
                <w14:textFill>
                  <w14:solidFill>
                    <w14:schemeClr w14:val="tx1"/>
                  </w14:solidFill>
                </w14:textFill>
              </w:rPr>
            </w:pPr>
          </w:p>
        </w:tc>
        <w:tc>
          <w:tcPr>
            <w:tcW w:w="1289" w:type="dxa"/>
            <w:vMerge w:val="continue"/>
            <w:vAlign w:val="center"/>
          </w:tcPr>
          <w:p w14:paraId="4EB52324">
            <w:pPr>
              <w:jc w:val="center"/>
              <w:rPr>
                <w:color w:val="000000" w:themeColor="text1"/>
                <w14:textFill>
                  <w14:solidFill>
                    <w14:schemeClr w14:val="tx1"/>
                  </w14:solidFill>
                </w14:textFill>
              </w:rPr>
            </w:pPr>
          </w:p>
        </w:tc>
        <w:tc>
          <w:tcPr>
            <w:tcW w:w="1289" w:type="dxa"/>
            <w:vMerge w:val="continue"/>
            <w:vAlign w:val="center"/>
          </w:tcPr>
          <w:p w14:paraId="16120714">
            <w:pPr>
              <w:jc w:val="center"/>
              <w:rPr>
                <w:color w:val="000000" w:themeColor="text1"/>
                <w14:textFill>
                  <w14:solidFill>
                    <w14:schemeClr w14:val="tx1"/>
                  </w14:solidFill>
                </w14:textFill>
              </w:rPr>
            </w:pPr>
          </w:p>
        </w:tc>
        <w:tc>
          <w:tcPr>
            <w:tcW w:w="1289" w:type="dxa"/>
            <w:vAlign w:val="center"/>
          </w:tcPr>
          <w:p w14:paraId="4CA64C6D">
            <w:pPr>
              <w:jc w:val="center"/>
              <w:rPr>
                <w:color w:val="000000" w:themeColor="text1"/>
                <w14:textFill>
                  <w14:solidFill>
                    <w14:schemeClr w14:val="tx1"/>
                  </w14:solidFill>
                </w14:textFill>
              </w:rPr>
            </w:pPr>
            <w:r>
              <w:rPr>
                <w:color w:val="000000" w:themeColor="text1"/>
                <w14:textFill>
                  <w14:solidFill>
                    <w14:schemeClr w14:val="tx1"/>
                  </w14:solidFill>
                </w14:textFill>
              </w:rPr>
              <w:t>thứ hai</w:t>
            </w:r>
          </w:p>
        </w:tc>
        <w:tc>
          <w:tcPr>
            <w:tcW w:w="1289" w:type="dxa"/>
            <w:vMerge w:val="continue"/>
            <w:vAlign w:val="center"/>
          </w:tcPr>
          <w:p w14:paraId="22CEDA59">
            <w:pPr>
              <w:jc w:val="center"/>
              <w:rPr>
                <w:color w:val="000000" w:themeColor="text1"/>
                <w14:textFill>
                  <w14:solidFill>
                    <w14:schemeClr w14:val="tx1"/>
                  </w14:solidFill>
                </w14:textFill>
              </w:rPr>
            </w:pPr>
          </w:p>
        </w:tc>
        <w:tc>
          <w:tcPr>
            <w:tcW w:w="1503" w:type="dxa"/>
            <w:vMerge w:val="continue"/>
            <w:vAlign w:val="center"/>
          </w:tcPr>
          <w:p w14:paraId="749B5F9F">
            <w:pPr>
              <w:jc w:val="center"/>
              <w:rPr>
                <w:color w:val="000000" w:themeColor="text1"/>
                <w14:textFill>
                  <w14:solidFill>
                    <w14:schemeClr w14:val="tx1"/>
                  </w14:solidFill>
                </w14:textFill>
              </w:rPr>
            </w:pPr>
          </w:p>
        </w:tc>
      </w:tr>
      <w:tr w14:paraId="41FA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vAlign w:val="center"/>
          </w:tcPr>
          <w:p w14:paraId="10C90D24">
            <w:pPr>
              <w:jc w:val="center"/>
              <w:rPr>
                <w:color w:val="000000" w:themeColor="text1"/>
                <w14:textFill>
                  <w14:solidFill>
                    <w14:schemeClr w14:val="tx1"/>
                  </w14:solidFill>
                </w14:textFill>
              </w:rPr>
            </w:pPr>
            <w:r>
              <w:rPr>
                <w:color w:val="000000" w:themeColor="text1"/>
                <w14:textFill>
                  <w14:solidFill>
                    <w14:schemeClr w14:val="tx1"/>
                  </w14:solidFill>
                </w14:textFill>
              </w:rPr>
              <w:t>Từ 10 ha đến dưới 20 ha</w:t>
            </w:r>
          </w:p>
        </w:tc>
        <w:tc>
          <w:tcPr>
            <w:tcW w:w="1279" w:type="dxa"/>
            <w:vMerge w:val="restart"/>
            <w:vAlign w:val="center"/>
          </w:tcPr>
          <w:p w14:paraId="0C09DF92">
            <w:pPr>
              <w:jc w:val="center"/>
              <w:rPr>
                <w:color w:val="000000" w:themeColor="text1"/>
                <w14:textFill>
                  <w14:solidFill>
                    <w14:schemeClr w14:val="tx1"/>
                  </w14:solidFill>
                </w14:textFill>
              </w:rPr>
            </w:pPr>
            <w:r>
              <w:rPr>
                <w:color w:val="000000" w:themeColor="text1"/>
                <w14:textFill>
                  <w14:solidFill>
                    <w14:schemeClr w14:val="tx1"/>
                  </w14:solidFill>
                </w14:textFill>
              </w:rPr>
              <w:t>4 năm</w:t>
            </w:r>
          </w:p>
        </w:tc>
        <w:tc>
          <w:tcPr>
            <w:tcW w:w="1289" w:type="dxa"/>
            <w:vMerge w:val="restart"/>
            <w:vAlign w:val="center"/>
          </w:tcPr>
          <w:p w14:paraId="71D28E12">
            <w:pPr>
              <w:jc w:val="center"/>
              <w:rPr>
                <w:color w:val="000000" w:themeColor="text1"/>
                <w14:textFill>
                  <w14:solidFill>
                    <w14:schemeClr w14:val="tx1"/>
                  </w14:solidFill>
                </w14:textFill>
              </w:rPr>
            </w:pPr>
            <w:r>
              <w:rPr>
                <w:color w:val="000000" w:themeColor="text1"/>
                <w14:textFill>
                  <w14:solidFill>
                    <w14:schemeClr w14:val="tx1"/>
                  </w14:solidFill>
                </w14:textFill>
              </w:rPr>
              <w:t>35-35-30</w:t>
            </w:r>
          </w:p>
        </w:tc>
        <w:tc>
          <w:tcPr>
            <w:tcW w:w="1289" w:type="dxa"/>
            <w:vMerge w:val="restart"/>
            <w:vAlign w:val="center"/>
          </w:tcPr>
          <w:p w14:paraId="35A144EC">
            <w:pPr>
              <w:jc w:val="center"/>
              <w:rPr>
                <w:color w:val="000000" w:themeColor="text1"/>
                <w14:textFill>
                  <w14:solidFill>
                    <w14:schemeClr w14:val="tx1"/>
                  </w14:solidFill>
                </w14:textFill>
              </w:rPr>
            </w:pPr>
            <w:r>
              <w:rPr>
                <w:color w:val="000000" w:themeColor="text1"/>
                <w14:textFill>
                  <w14:solidFill>
                    <w14:schemeClr w14:val="tx1"/>
                  </w14:solidFill>
                </w14:textFill>
              </w:rPr>
              <w:t>25-25-25-25</w:t>
            </w:r>
          </w:p>
        </w:tc>
        <w:tc>
          <w:tcPr>
            <w:tcW w:w="1289" w:type="dxa"/>
            <w:vAlign w:val="center"/>
          </w:tcPr>
          <w:p w14:paraId="06DDD94B">
            <w:pPr>
              <w:jc w:val="center"/>
              <w:rPr>
                <w:color w:val="000000" w:themeColor="text1"/>
                <w14:textFill>
                  <w14:solidFill>
                    <w14:schemeClr w14:val="tx1"/>
                  </w14:solidFill>
                </w14:textFill>
              </w:rPr>
            </w:pPr>
            <w:r>
              <w:rPr>
                <w:color w:val="000000" w:themeColor="text1"/>
                <w14:textFill>
                  <w14:solidFill>
                    <w14:schemeClr w14:val="tx1"/>
                  </w14:solidFill>
                </w14:textFill>
              </w:rPr>
              <w:t>Từ năm</w:t>
            </w:r>
          </w:p>
        </w:tc>
        <w:tc>
          <w:tcPr>
            <w:tcW w:w="1289" w:type="dxa"/>
            <w:vMerge w:val="restart"/>
            <w:vAlign w:val="center"/>
          </w:tcPr>
          <w:p w14:paraId="07E5D7A2">
            <w:pPr>
              <w:jc w:val="center"/>
              <w:rPr>
                <w:color w:val="000000" w:themeColor="text1"/>
                <w14:textFill>
                  <w14:solidFill>
                    <w14:schemeClr w14:val="tx1"/>
                  </w14:solidFill>
                </w14:textFill>
              </w:rPr>
            </w:pPr>
            <w:r>
              <w:rPr>
                <w:color w:val="000000" w:themeColor="text1"/>
                <w14:textFill>
                  <w14:solidFill>
                    <w14:schemeClr w14:val="tx1"/>
                  </w14:solidFill>
                </w14:textFill>
              </w:rPr>
              <w:t>3 năm</w:t>
            </w:r>
          </w:p>
        </w:tc>
        <w:tc>
          <w:tcPr>
            <w:tcW w:w="1503" w:type="dxa"/>
            <w:vMerge w:val="restart"/>
            <w:vAlign w:val="center"/>
          </w:tcPr>
          <w:p w14:paraId="178E1CF9">
            <w:pPr>
              <w:jc w:val="center"/>
              <w:rPr>
                <w:color w:val="000000" w:themeColor="text1"/>
                <w14:textFill>
                  <w14:solidFill>
                    <w14:schemeClr w14:val="tx1"/>
                  </w14:solidFill>
                </w14:textFill>
              </w:rPr>
            </w:pPr>
            <w:r>
              <w:rPr>
                <w:color w:val="000000" w:themeColor="text1"/>
                <w14:textFill>
                  <w14:solidFill>
                    <w14:schemeClr w14:val="tx1"/>
                  </w14:solidFill>
                </w14:textFill>
              </w:rPr>
              <w:t>35-35-30</w:t>
            </w:r>
          </w:p>
        </w:tc>
      </w:tr>
      <w:tr w14:paraId="725D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vAlign w:val="center"/>
          </w:tcPr>
          <w:p w14:paraId="37DC80AD">
            <w:pPr>
              <w:jc w:val="center"/>
              <w:rPr>
                <w:color w:val="000000" w:themeColor="text1"/>
                <w14:textFill>
                  <w14:solidFill>
                    <w14:schemeClr w14:val="tx1"/>
                  </w14:solidFill>
                </w14:textFill>
              </w:rPr>
            </w:pPr>
          </w:p>
        </w:tc>
        <w:tc>
          <w:tcPr>
            <w:tcW w:w="1279" w:type="dxa"/>
            <w:vMerge w:val="continue"/>
            <w:vAlign w:val="center"/>
          </w:tcPr>
          <w:p w14:paraId="21413AED">
            <w:pPr>
              <w:jc w:val="center"/>
              <w:rPr>
                <w:color w:val="000000" w:themeColor="text1"/>
                <w14:textFill>
                  <w14:solidFill>
                    <w14:schemeClr w14:val="tx1"/>
                  </w14:solidFill>
                </w14:textFill>
              </w:rPr>
            </w:pPr>
          </w:p>
        </w:tc>
        <w:tc>
          <w:tcPr>
            <w:tcW w:w="1289" w:type="dxa"/>
            <w:vMerge w:val="continue"/>
            <w:vAlign w:val="center"/>
          </w:tcPr>
          <w:p w14:paraId="5E7E53E9">
            <w:pPr>
              <w:jc w:val="center"/>
              <w:rPr>
                <w:color w:val="000000" w:themeColor="text1"/>
                <w14:textFill>
                  <w14:solidFill>
                    <w14:schemeClr w14:val="tx1"/>
                  </w14:solidFill>
                </w14:textFill>
              </w:rPr>
            </w:pPr>
          </w:p>
        </w:tc>
        <w:tc>
          <w:tcPr>
            <w:tcW w:w="1289" w:type="dxa"/>
            <w:vMerge w:val="continue"/>
            <w:vAlign w:val="center"/>
          </w:tcPr>
          <w:p w14:paraId="2F660C3B">
            <w:pPr>
              <w:jc w:val="center"/>
              <w:rPr>
                <w:color w:val="000000" w:themeColor="text1"/>
                <w14:textFill>
                  <w14:solidFill>
                    <w14:schemeClr w14:val="tx1"/>
                  </w14:solidFill>
                </w14:textFill>
              </w:rPr>
            </w:pPr>
          </w:p>
        </w:tc>
        <w:tc>
          <w:tcPr>
            <w:tcW w:w="1289" w:type="dxa"/>
            <w:vAlign w:val="center"/>
          </w:tcPr>
          <w:p w14:paraId="78EFED33">
            <w:pPr>
              <w:jc w:val="center"/>
              <w:rPr>
                <w:color w:val="000000" w:themeColor="text1"/>
                <w14:textFill>
                  <w14:solidFill>
                    <w14:schemeClr w14:val="tx1"/>
                  </w14:solidFill>
                </w14:textFill>
              </w:rPr>
            </w:pPr>
            <w:r>
              <w:rPr>
                <w:color w:val="000000" w:themeColor="text1"/>
                <w14:textFill>
                  <w14:solidFill>
                    <w14:schemeClr w14:val="tx1"/>
                  </w14:solidFill>
                </w14:textFill>
              </w:rPr>
              <w:t>thứ hai</w:t>
            </w:r>
          </w:p>
        </w:tc>
        <w:tc>
          <w:tcPr>
            <w:tcW w:w="1289" w:type="dxa"/>
            <w:vMerge w:val="continue"/>
            <w:vAlign w:val="center"/>
          </w:tcPr>
          <w:p w14:paraId="276BBF74">
            <w:pPr>
              <w:jc w:val="center"/>
              <w:rPr>
                <w:color w:val="000000" w:themeColor="text1"/>
                <w14:textFill>
                  <w14:solidFill>
                    <w14:schemeClr w14:val="tx1"/>
                  </w14:solidFill>
                </w14:textFill>
              </w:rPr>
            </w:pPr>
          </w:p>
        </w:tc>
        <w:tc>
          <w:tcPr>
            <w:tcW w:w="1503" w:type="dxa"/>
            <w:vMerge w:val="continue"/>
            <w:vAlign w:val="center"/>
          </w:tcPr>
          <w:p w14:paraId="6B9C9DC7">
            <w:pPr>
              <w:jc w:val="center"/>
              <w:rPr>
                <w:color w:val="000000" w:themeColor="text1"/>
                <w14:textFill>
                  <w14:solidFill>
                    <w14:schemeClr w14:val="tx1"/>
                  </w14:solidFill>
                </w14:textFill>
              </w:rPr>
            </w:pPr>
          </w:p>
        </w:tc>
      </w:tr>
      <w:tr w14:paraId="7F80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vAlign w:val="center"/>
          </w:tcPr>
          <w:p w14:paraId="150B10DA">
            <w:pPr>
              <w:jc w:val="center"/>
              <w:rPr>
                <w:color w:val="000000" w:themeColor="text1"/>
                <w14:textFill>
                  <w14:solidFill>
                    <w14:schemeClr w14:val="tx1"/>
                  </w14:solidFill>
                </w14:textFill>
              </w:rPr>
            </w:pPr>
            <w:r>
              <w:rPr>
                <w:color w:val="000000" w:themeColor="text1"/>
                <w14:textFill>
                  <w14:solidFill>
                    <w14:schemeClr w14:val="tx1"/>
                  </w14:solidFill>
                </w14:textFill>
              </w:rPr>
              <w:t>Từ 20 ha đến dưới 30 ha</w:t>
            </w:r>
          </w:p>
        </w:tc>
        <w:tc>
          <w:tcPr>
            <w:tcW w:w="1279" w:type="dxa"/>
            <w:vMerge w:val="restart"/>
            <w:vAlign w:val="center"/>
          </w:tcPr>
          <w:p w14:paraId="64922B13">
            <w:pPr>
              <w:jc w:val="center"/>
              <w:rPr>
                <w:color w:val="000000" w:themeColor="text1"/>
                <w14:textFill>
                  <w14:solidFill>
                    <w14:schemeClr w14:val="tx1"/>
                  </w14:solidFill>
                </w14:textFill>
              </w:rPr>
            </w:pPr>
            <w:r>
              <w:rPr>
                <w:color w:val="000000" w:themeColor="text1"/>
                <w14:textFill>
                  <w14:solidFill>
                    <w14:schemeClr w14:val="tx1"/>
                  </w14:solidFill>
                </w14:textFill>
              </w:rPr>
              <w:t>5 năm</w:t>
            </w:r>
          </w:p>
        </w:tc>
        <w:tc>
          <w:tcPr>
            <w:tcW w:w="1289" w:type="dxa"/>
            <w:vMerge w:val="restart"/>
            <w:vAlign w:val="center"/>
          </w:tcPr>
          <w:p w14:paraId="568B545D">
            <w:pPr>
              <w:jc w:val="center"/>
              <w:rPr>
                <w:color w:val="000000" w:themeColor="text1"/>
                <w14:textFill>
                  <w14:solidFill>
                    <w14:schemeClr w14:val="tx1"/>
                  </w14:solidFill>
                </w14:textFill>
              </w:rPr>
            </w:pPr>
            <w:r>
              <w:rPr>
                <w:color w:val="000000" w:themeColor="text1"/>
                <w14:textFill>
                  <w14:solidFill>
                    <w14:schemeClr w14:val="tx1"/>
                  </w14:solidFill>
                </w14:textFill>
              </w:rPr>
              <w:t>25-25-25-25</w:t>
            </w:r>
          </w:p>
        </w:tc>
        <w:tc>
          <w:tcPr>
            <w:tcW w:w="1289" w:type="dxa"/>
            <w:vMerge w:val="restart"/>
            <w:vAlign w:val="center"/>
          </w:tcPr>
          <w:p w14:paraId="3A30532B">
            <w:pPr>
              <w:jc w:val="center"/>
              <w:rPr>
                <w:color w:val="000000" w:themeColor="text1"/>
                <w14:textFill>
                  <w14:solidFill>
                    <w14:schemeClr w14:val="tx1"/>
                  </w14:solidFill>
                </w14:textFill>
              </w:rPr>
            </w:pPr>
            <w:r>
              <w:rPr>
                <w:color w:val="000000" w:themeColor="text1"/>
                <w14:textFill>
                  <w14:solidFill>
                    <w14:schemeClr w14:val="tx1"/>
                  </w14:solidFill>
                </w14:textFill>
              </w:rPr>
              <w:t>20-20-20-20-20</w:t>
            </w:r>
          </w:p>
        </w:tc>
        <w:tc>
          <w:tcPr>
            <w:tcW w:w="1289" w:type="dxa"/>
            <w:vAlign w:val="center"/>
          </w:tcPr>
          <w:p w14:paraId="6AF37B39">
            <w:pPr>
              <w:jc w:val="center"/>
              <w:rPr>
                <w:color w:val="000000" w:themeColor="text1"/>
                <w14:textFill>
                  <w14:solidFill>
                    <w14:schemeClr w14:val="tx1"/>
                  </w14:solidFill>
                </w14:textFill>
              </w:rPr>
            </w:pPr>
            <w:r>
              <w:rPr>
                <w:color w:val="000000" w:themeColor="text1"/>
                <w14:textFill>
                  <w14:solidFill>
                    <w14:schemeClr w14:val="tx1"/>
                  </w14:solidFill>
                </w14:textFill>
              </w:rPr>
              <w:t>Từ năm</w:t>
            </w:r>
          </w:p>
        </w:tc>
        <w:tc>
          <w:tcPr>
            <w:tcW w:w="1289" w:type="dxa"/>
            <w:vMerge w:val="restart"/>
            <w:vAlign w:val="center"/>
          </w:tcPr>
          <w:p w14:paraId="19CB3B69">
            <w:pPr>
              <w:jc w:val="center"/>
              <w:rPr>
                <w:color w:val="000000" w:themeColor="text1"/>
                <w14:textFill>
                  <w14:solidFill>
                    <w14:schemeClr w14:val="tx1"/>
                  </w14:solidFill>
                </w14:textFill>
              </w:rPr>
            </w:pPr>
            <w:r>
              <w:rPr>
                <w:color w:val="000000" w:themeColor="text1"/>
                <w14:textFill>
                  <w14:solidFill>
                    <w14:schemeClr w14:val="tx1"/>
                  </w14:solidFill>
                </w14:textFill>
              </w:rPr>
              <w:t>4 năm</w:t>
            </w:r>
          </w:p>
        </w:tc>
        <w:tc>
          <w:tcPr>
            <w:tcW w:w="1503" w:type="dxa"/>
            <w:vAlign w:val="center"/>
          </w:tcPr>
          <w:p w14:paraId="24B2EECF">
            <w:pPr>
              <w:jc w:val="center"/>
              <w:rPr>
                <w:color w:val="000000" w:themeColor="text1"/>
                <w14:textFill>
                  <w14:solidFill>
                    <w14:schemeClr w14:val="tx1"/>
                  </w14:solidFill>
                </w14:textFill>
              </w:rPr>
            </w:pPr>
            <w:r>
              <w:rPr>
                <w:color w:val="000000" w:themeColor="text1"/>
                <w14:textFill>
                  <w14:solidFill>
                    <w14:schemeClr w14:val="tx1"/>
                  </w14:solidFill>
                </w14:textFill>
              </w:rPr>
              <w:t>25-25-25-25</w:t>
            </w:r>
          </w:p>
        </w:tc>
      </w:tr>
      <w:tr w14:paraId="41A7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vAlign w:val="center"/>
          </w:tcPr>
          <w:p w14:paraId="73AB1318">
            <w:pPr>
              <w:jc w:val="center"/>
              <w:rPr>
                <w:color w:val="000000" w:themeColor="text1"/>
                <w14:textFill>
                  <w14:solidFill>
                    <w14:schemeClr w14:val="tx1"/>
                  </w14:solidFill>
                </w14:textFill>
              </w:rPr>
            </w:pPr>
          </w:p>
        </w:tc>
        <w:tc>
          <w:tcPr>
            <w:tcW w:w="1279" w:type="dxa"/>
            <w:vMerge w:val="continue"/>
            <w:vAlign w:val="center"/>
          </w:tcPr>
          <w:p w14:paraId="05087895">
            <w:pPr>
              <w:jc w:val="center"/>
              <w:rPr>
                <w:color w:val="000000" w:themeColor="text1"/>
                <w14:textFill>
                  <w14:solidFill>
                    <w14:schemeClr w14:val="tx1"/>
                  </w14:solidFill>
                </w14:textFill>
              </w:rPr>
            </w:pPr>
          </w:p>
        </w:tc>
        <w:tc>
          <w:tcPr>
            <w:tcW w:w="1289" w:type="dxa"/>
            <w:vMerge w:val="continue"/>
            <w:vAlign w:val="center"/>
          </w:tcPr>
          <w:p w14:paraId="31069F28">
            <w:pPr>
              <w:jc w:val="center"/>
              <w:rPr>
                <w:color w:val="000000" w:themeColor="text1"/>
                <w14:textFill>
                  <w14:solidFill>
                    <w14:schemeClr w14:val="tx1"/>
                  </w14:solidFill>
                </w14:textFill>
              </w:rPr>
            </w:pPr>
          </w:p>
        </w:tc>
        <w:tc>
          <w:tcPr>
            <w:tcW w:w="1289" w:type="dxa"/>
            <w:vMerge w:val="continue"/>
            <w:vAlign w:val="center"/>
          </w:tcPr>
          <w:p w14:paraId="66148FC1">
            <w:pPr>
              <w:jc w:val="center"/>
              <w:rPr>
                <w:color w:val="000000" w:themeColor="text1"/>
                <w14:textFill>
                  <w14:solidFill>
                    <w14:schemeClr w14:val="tx1"/>
                  </w14:solidFill>
                </w14:textFill>
              </w:rPr>
            </w:pPr>
          </w:p>
        </w:tc>
        <w:tc>
          <w:tcPr>
            <w:tcW w:w="1289" w:type="dxa"/>
            <w:vAlign w:val="center"/>
          </w:tcPr>
          <w:p w14:paraId="3DDBD13B">
            <w:pPr>
              <w:jc w:val="center"/>
              <w:rPr>
                <w:color w:val="000000" w:themeColor="text1"/>
                <w14:textFill>
                  <w14:solidFill>
                    <w14:schemeClr w14:val="tx1"/>
                  </w14:solidFill>
                </w14:textFill>
              </w:rPr>
            </w:pPr>
            <w:r>
              <w:rPr>
                <w:color w:val="000000" w:themeColor="text1"/>
                <w14:textFill>
                  <w14:solidFill>
                    <w14:schemeClr w14:val="tx1"/>
                  </w14:solidFill>
                </w14:textFill>
              </w:rPr>
              <w:t>thứ hai</w:t>
            </w:r>
          </w:p>
        </w:tc>
        <w:tc>
          <w:tcPr>
            <w:tcW w:w="1289" w:type="dxa"/>
            <w:vMerge w:val="continue"/>
            <w:vAlign w:val="center"/>
          </w:tcPr>
          <w:p w14:paraId="34F69069">
            <w:pPr>
              <w:jc w:val="center"/>
              <w:rPr>
                <w:color w:val="000000" w:themeColor="text1"/>
                <w14:textFill>
                  <w14:solidFill>
                    <w14:schemeClr w14:val="tx1"/>
                  </w14:solidFill>
                </w14:textFill>
              </w:rPr>
            </w:pPr>
          </w:p>
        </w:tc>
        <w:tc>
          <w:tcPr>
            <w:tcW w:w="1503" w:type="dxa"/>
            <w:vAlign w:val="center"/>
          </w:tcPr>
          <w:p w14:paraId="720EED06">
            <w:pPr>
              <w:jc w:val="center"/>
              <w:rPr>
                <w:color w:val="000000" w:themeColor="text1"/>
                <w14:textFill>
                  <w14:solidFill>
                    <w14:schemeClr w14:val="tx1"/>
                  </w14:solidFill>
                </w14:textFill>
              </w:rPr>
            </w:pPr>
          </w:p>
        </w:tc>
      </w:tr>
      <w:tr w14:paraId="5D7B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Align w:val="center"/>
          </w:tcPr>
          <w:p w14:paraId="64310D74">
            <w:pPr>
              <w:jc w:val="center"/>
              <w:rPr>
                <w:color w:val="000000" w:themeColor="text1"/>
                <w14:textFill>
                  <w14:solidFill>
                    <w14:schemeClr w14:val="tx1"/>
                  </w14:solidFill>
                </w14:textFill>
              </w:rPr>
            </w:pPr>
            <w:r>
              <w:rPr>
                <w:color w:val="000000" w:themeColor="text1"/>
                <w14:textFill>
                  <w14:solidFill>
                    <w14:schemeClr w14:val="tx1"/>
                  </w14:solidFill>
                </w14:textFill>
              </w:rPr>
              <w:t>Từ 30 ha</w:t>
            </w:r>
          </w:p>
        </w:tc>
        <w:tc>
          <w:tcPr>
            <w:tcW w:w="1279" w:type="dxa"/>
            <w:vMerge w:val="restart"/>
            <w:vAlign w:val="center"/>
          </w:tcPr>
          <w:p w14:paraId="48DE0C95">
            <w:pPr>
              <w:jc w:val="center"/>
              <w:rPr>
                <w:color w:val="000000" w:themeColor="text1"/>
                <w14:textFill>
                  <w14:solidFill>
                    <w14:schemeClr w14:val="tx1"/>
                  </w14:solidFill>
                </w14:textFill>
              </w:rPr>
            </w:pPr>
            <w:r>
              <w:rPr>
                <w:color w:val="000000" w:themeColor="text1"/>
                <w14:textFill>
                  <w14:solidFill>
                    <w14:schemeClr w14:val="tx1"/>
                  </w14:solidFill>
                </w14:textFill>
              </w:rPr>
              <w:t>6 năm</w:t>
            </w:r>
          </w:p>
        </w:tc>
        <w:tc>
          <w:tcPr>
            <w:tcW w:w="1289" w:type="dxa"/>
            <w:vAlign w:val="center"/>
          </w:tcPr>
          <w:p w14:paraId="09958A1F">
            <w:pPr>
              <w:jc w:val="center"/>
              <w:rPr>
                <w:color w:val="000000" w:themeColor="text1"/>
                <w14:textFill>
                  <w14:solidFill>
                    <w14:schemeClr w14:val="tx1"/>
                  </w14:solidFill>
                </w14:textFill>
              </w:rPr>
            </w:pPr>
            <w:r>
              <w:rPr>
                <w:color w:val="000000" w:themeColor="text1"/>
                <w14:textFill>
                  <w14:solidFill>
                    <w14:schemeClr w14:val="tx1"/>
                  </w14:solidFill>
                </w14:textFill>
              </w:rPr>
              <w:t>20-20-20-20-20</w:t>
            </w:r>
          </w:p>
        </w:tc>
        <w:tc>
          <w:tcPr>
            <w:tcW w:w="1289" w:type="dxa"/>
            <w:vMerge w:val="restart"/>
            <w:vAlign w:val="center"/>
          </w:tcPr>
          <w:p w14:paraId="48E08082">
            <w:pPr>
              <w:jc w:val="center"/>
              <w:rPr>
                <w:color w:val="000000" w:themeColor="text1"/>
                <w14:textFill>
                  <w14:solidFill>
                    <w14:schemeClr w14:val="tx1"/>
                  </w14:solidFill>
                </w14:textFill>
              </w:rPr>
            </w:pPr>
            <w:r>
              <w:rPr>
                <w:color w:val="000000" w:themeColor="text1"/>
                <w14:textFill>
                  <w14:solidFill>
                    <w14:schemeClr w14:val="tx1"/>
                  </w14:solidFill>
                </w14:textFill>
              </w:rPr>
              <w:t>20-20-20-20-10-10</w:t>
            </w:r>
          </w:p>
        </w:tc>
        <w:tc>
          <w:tcPr>
            <w:tcW w:w="1289" w:type="dxa"/>
            <w:vAlign w:val="center"/>
          </w:tcPr>
          <w:p w14:paraId="67AECC5F">
            <w:pPr>
              <w:jc w:val="center"/>
              <w:rPr>
                <w:color w:val="000000" w:themeColor="text1"/>
                <w14:textFill>
                  <w14:solidFill>
                    <w14:schemeClr w14:val="tx1"/>
                  </w14:solidFill>
                </w14:textFill>
              </w:rPr>
            </w:pPr>
            <w:r>
              <w:rPr>
                <w:color w:val="000000" w:themeColor="text1"/>
                <w14:textFill>
                  <w14:solidFill>
                    <w14:schemeClr w14:val="tx1"/>
                  </w14:solidFill>
                </w14:textFill>
              </w:rPr>
              <w:t>Từ năm</w:t>
            </w:r>
          </w:p>
        </w:tc>
        <w:tc>
          <w:tcPr>
            <w:tcW w:w="1289" w:type="dxa"/>
            <w:vMerge w:val="restart"/>
            <w:vAlign w:val="center"/>
          </w:tcPr>
          <w:p w14:paraId="37E34DDA">
            <w:pPr>
              <w:jc w:val="center"/>
              <w:rPr>
                <w:color w:val="000000" w:themeColor="text1"/>
                <w14:textFill>
                  <w14:solidFill>
                    <w14:schemeClr w14:val="tx1"/>
                  </w14:solidFill>
                </w14:textFill>
              </w:rPr>
            </w:pPr>
            <w:r>
              <w:rPr>
                <w:color w:val="000000" w:themeColor="text1"/>
                <w14:textFill>
                  <w14:solidFill>
                    <w14:schemeClr w14:val="tx1"/>
                  </w14:solidFill>
                </w14:textFill>
              </w:rPr>
              <w:t>5 năm</w:t>
            </w:r>
          </w:p>
        </w:tc>
        <w:tc>
          <w:tcPr>
            <w:tcW w:w="1503" w:type="dxa"/>
            <w:vMerge w:val="restart"/>
            <w:vAlign w:val="center"/>
          </w:tcPr>
          <w:p w14:paraId="262E68E8">
            <w:pPr>
              <w:jc w:val="center"/>
              <w:rPr>
                <w:color w:val="000000" w:themeColor="text1"/>
                <w14:textFill>
                  <w14:solidFill>
                    <w14:schemeClr w14:val="tx1"/>
                  </w14:solidFill>
                </w14:textFill>
              </w:rPr>
            </w:pPr>
            <w:r>
              <w:rPr>
                <w:color w:val="000000" w:themeColor="text1"/>
                <w14:textFill>
                  <w14:solidFill>
                    <w14:schemeClr w14:val="tx1"/>
                  </w14:solidFill>
                </w14:textFill>
              </w:rPr>
              <w:t>20-20-20-20-20</w:t>
            </w:r>
          </w:p>
        </w:tc>
      </w:tr>
      <w:tr w14:paraId="5FAA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Align w:val="center"/>
          </w:tcPr>
          <w:p w14:paraId="5F8881C6">
            <w:pPr>
              <w:jc w:val="center"/>
              <w:rPr>
                <w:color w:val="000000" w:themeColor="text1"/>
                <w14:textFill>
                  <w14:solidFill>
                    <w14:schemeClr w14:val="tx1"/>
                  </w14:solidFill>
                </w14:textFill>
              </w:rPr>
            </w:pPr>
            <w:r>
              <w:rPr>
                <w:color w:val="000000" w:themeColor="text1"/>
                <w:lang w:val="vi-VN"/>
                <w14:textFill>
                  <w14:solidFill>
                    <w14:schemeClr w14:val="tx1"/>
                  </w14:solidFill>
                </w14:textFill>
              </w:rPr>
              <w:t>trở lên</w:t>
            </w:r>
          </w:p>
        </w:tc>
        <w:tc>
          <w:tcPr>
            <w:tcW w:w="1279" w:type="dxa"/>
            <w:vMerge w:val="continue"/>
            <w:vAlign w:val="center"/>
          </w:tcPr>
          <w:p w14:paraId="12E76099">
            <w:pPr>
              <w:jc w:val="center"/>
              <w:rPr>
                <w:color w:val="000000" w:themeColor="text1"/>
                <w14:textFill>
                  <w14:solidFill>
                    <w14:schemeClr w14:val="tx1"/>
                  </w14:solidFill>
                </w14:textFill>
              </w:rPr>
            </w:pPr>
          </w:p>
        </w:tc>
        <w:tc>
          <w:tcPr>
            <w:tcW w:w="1289" w:type="dxa"/>
            <w:vAlign w:val="center"/>
          </w:tcPr>
          <w:p w14:paraId="517194FD">
            <w:pPr>
              <w:jc w:val="center"/>
              <w:rPr>
                <w:color w:val="000000" w:themeColor="text1"/>
                <w14:textFill>
                  <w14:solidFill>
                    <w14:schemeClr w14:val="tx1"/>
                  </w14:solidFill>
                </w14:textFill>
              </w:rPr>
            </w:pPr>
          </w:p>
        </w:tc>
        <w:tc>
          <w:tcPr>
            <w:tcW w:w="1289" w:type="dxa"/>
            <w:vMerge w:val="continue"/>
            <w:vAlign w:val="center"/>
          </w:tcPr>
          <w:p w14:paraId="0D6D8BB9">
            <w:pPr>
              <w:jc w:val="center"/>
              <w:rPr>
                <w:color w:val="000000" w:themeColor="text1"/>
                <w14:textFill>
                  <w14:solidFill>
                    <w14:schemeClr w14:val="tx1"/>
                  </w14:solidFill>
                </w14:textFill>
              </w:rPr>
            </w:pPr>
          </w:p>
        </w:tc>
        <w:tc>
          <w:tcPr>
            <w:tcW w:w="1289" w:type="dxa"/>
            <w:vAlign w:val="center"/>
          </w:tcPr>
          <w:p w14:paraId="3E95FB91">
            <w:pPr>
              <w:jc w:val="center"/>
              <w:rPr>
                <w:color w:val="000000" w:themeColor="text1"/>
                <w14:textFill>
                  <w14:solidFill>
                    <w14:schemeClr w14:val="tx1"/>
                  </w14:solidFill>
                </w14:textFill>
              </w:rPr>
            </w:pPr>
            <w:r>
              <w:rPr>
                <w:color w:val="000000" w:themeColor="text1"/>
                <w14:textFill>
                  <w14:solidFill>
                    <w14:schemeClr w14:val="tx1"/>
                  </w14:solidFill>
                </w14:textFill>
              </w:rPr>
              <w:t>thứ hai</w:t>
            </w:r>
          </w:p>
        </w:tc>
        <w:tc>
          <w:tcPr>
            <w:tcW w:w="1289" w:type="dxa"/>
            <w:vMerge w:val="continue"/>
            <w:vAlign w:val="center"/>
          </w:tcPr>
          <w:p w14:paraId="1AE0CED5">
            <w:pPr>
              <w:jc w:val="center"/>
              <w:rPr>
                <w:color w:val="000000" w:themeColor="text1"/>
                <w14:textFill>
                  <w14:solidFill>
                    <w14:schemeClr w14:val="tx1"/>
                  </w14:solidFill>
                </w14:textFill>
              </w:rPr>
            </w:pPr>
          </w:p>
        </w:tc>
        <w:tc>
          <w:tcPr>
            <w:tcW w:w="1503" w:type="dxa"/>
            <w:vMerge w:val="continue"/>
            <w:vAlign w:val="center"/>
          </w:tcPr>
          <w:p w14:paraId="3D6B7D19">
            <w:pPr>
              <w:jc w:val="center"/>
              <w:rPr>
                <w:color w:val="000000" w:themeColor="text1"/>
                <w14:textFill>
                  <w14:solidFill>
                    <w14:schemeClr w14:val="tx1"/>
                  </w14:solidFill>
                </w14:textFill>
              </w:rPr>
            </w:pPr>
          </w:p>
        </w:tc>
      </w:tr>
    </w:tbl>
    <w:p w14:paraId="32F9DA49">
      <w:pPr>
        <w:widowControl w:val="0"/>
        <w:spacing w:before="120" w:after="120" w:line="400" w:lineRule="exact"/>
        <w:ind w:firstLine="567"/>
        <w:jc w:val="both"/>
        <w:rPr>
          <w:bCs/>
          <w:color w:val="000000" w:themeColor="text1"/>
          <w:spacing w:val="-4"/>
          <w:sz w:val="26"/>
          <w:szCs w:val="26"/>
          <w14:textFill>
            <w14:solidFill>
              <w14:schemeClr w14:val="tx1"/>
            </w14:solidFill>
          </w14:textFill>
        </w:rPr>
      </w:pPr>
      <w:r>
        <w:rPr>
          <w:bCs/>
          <w:color w:val="000000" w:themeColor="text1"/>
          <w:spacing w:val="-4"/>
          <w:sz w:val="26"/>
          <w:szCs w:val="26"/>
          <w14:textFill>
            <w14:solidFill>
              <w14:schemeClr w14:val="tx1"/>
            </w14:solidFill>
          </w14:textFill>
        </w:rPr>
        <w:t>=&gt; Như vậy Khu đô thị phía Đông Nam thị trấn Đồng Mỏ (nay là xã Chi Lăng, tỉnh Lạng Sơn) thuộc trường hợp trường hợp dự án có xây dựng nhà xây thô, quy mô sử dụng đất từ 10 ha đến dưới 20 ha.</w:t>
      </w:r>
    </w:p>
    <w:p w14:paraId="2CD7F474">
      <w:pPr>
        <w:widowControl w:val="0"/>
        <w:spacing w:before="120" w:after="120" w:line="400" w:lineRule="exact"/>
        <w:ind w:firstLine="567"/>
        <w:jc w:val="both"/>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a. Thời gian xây dựng (m):</w:t>
      </w:r>
    </w:p>
    <w:p w14:paraId="5E91B485">
      <w:pPr>
        <w:widowControl w:val="0"/>
        <w:spacing w:before="120" w:after="120" w:line="400" w:lineRule="exact"/>
        <w:ind w:firstLine="567"/>
        <w:jc w:val="both"/>
        <w:rPr>
          <w:bCs/>
          <w:color w:val="000000" w:themeColor="text1"/>
          <w:spacing w:val="-2"/>
          <w:sz w:val="26"/>
          <w:szCs w:val="26"/>
          <w14:textFill>
            <w14:solidFill>
              <w14:schemeClr w14:val="tx1"/>
            </w14:solidFill>
          </w14:textFill>
        </w:rPr>
      </w:pPr>
      <w:r>
        <w:rPr>
          <w:bCs/>
          <w:color w:val="000000" w:themeColor="text1"/>
          <w:spacing w:val="-2"/>
          <w:sz w:val="26"/>
          <w:szCs w:val="26"/>
          <w14:textFill>
            <w14:solidFill>
              <w14:schemeClr w14:val="tx1"/>
            </w14:solidFill>
          </w14:textFill>
        </w:rPr>
        <w:t xml:space="preserve">- </w:t>
      </w:r>
      <w:r>
        <w:rPr>
          <w:bCs/>
          <w:color w:val="000000" w:themeColor="text1"/>
          <w:spacing w:val="-2"/>
          <w:sz w:val="26"/>
          <w:szCs w:val="26"/>
          <w:lang w:val="vi-VN"/>
          <w14:textFill>
            <w14:solidFill>
              <w14:schemeClr w14:val="tx1"/>
            </w14:solidFill>
          </w14:textFill>
        </w:rPr>
        <w:t>Dự án Khu đô thị phía Đông Nam thị trấn Đồng Mỏ</w:t>
      </w:r>
      <w:r>
        <w:rPr>
          <w:bCs/>
          <w:color w:val="000000" w:themeColor="text1"/>
          <w:spacing w:val="-2"/>
          <w:sz w:val="26"/>
          <w:szCs w:val="26"/>
          <w14:textFill>
            <w14:solidFill>
              <w14:schemeClr w14:val="tx1"/>
            </w14:solidFill>
          </w14:textFill>
        </w:rPr>
        <w:t xml:space="preserve"> (nay là xã Chi Lăng, tỉnh Lạng Sơn) </w:t>
      </w:r>
      <w:r>
        <w:rPr>
          <w:bCs/>
          <w:color w:val="000000" w:themeColor="text1"/>
          <w:spacing w:val="-2"/>
          <w:sz w:val="26"/>
          <w:szCs w:val="26"/>
          <w:lang w:val="vi-VN"/>
          <w14:textFill>
            <w14:solidFill>
              <w14:schemeClr w14:val="tx1"/>
            </w14:solidFill>
          </w14:textFill>
        </w:rPr>
        <w:t xml:space="preserve">có quy mô </w:t>
      </w:r>
      <w:r>
        <w:rPr>
          <w:b/>
          <w:color w:val="000000" w:themeColor="text1"/>
          <w:spacing w:val="-2"/>
          <w:sz w:val="26"/>
          <w:szCs w:val="26"/>
          <w14:textFill>
            <w14:solidFill>
              <w14:schemeClr w14:val="tx1"/>
            </w14:solidFill>
          </w14:textFill>
        </w:rPr>
        <w:t>19,82 ha</w:t>
      </w:r>
      <w:r>
        <w:rPr>
          <w:bCs/>
          <w:color w:val="000000" w:themeColor="text1"/>
          <w:spacing w:val="-2"/>
          <w:sz w:val="26"/>
          <w:szCs w:val="26"/>
          <w:lang w:val="vi-VN"/>
          <w14:textFill>
            <w14:solidFill>
              <w14:schemeClr w14:val="tx1"/>
            </w14:solidFill>
          </w14:textFill>
        </w:rPr>
        <w:t xml:space="preserve">. Công ty Cổ phần Dịch vụ Tư vấn và Thẩm định giá Việt Nam xác định thời gian xây dựng </w:t>
      </w:r>
      <w:r>
        <w:rPr>
          <w:bCs/>
          <w:color w:val="000000" w:themeColor="text1"/>
          <w:spacing w:val="-2"/>
          <w:sz w:val="26"/>
          <w:szCs w:val="26"/>
          <w14:textFill>
            <w14:solidFill>
              <w14:schemeClr w14:val="tx1"/>
            </w14:solidFill>
          </w14:textFill>
        </w:rPr>
        <w:t>đối với các hạng mục công trình như sau:</w:t>
      </w:r>
    </w:p>
    <w:p w14:paraId="39F500F4">
      <w:pPr>
        <w:widowControl w:val="0"/>
        <w:spacing w:before="120" w:after="120" w:line="400" w:lineRule="exact"/>
        <w:ind w:firstLine="567"/>
        <w:jc w:val="both"/>
        <w:rPr>
          <w:bCs/>
          <w:color w:val="000000" w:themeColor="text1"/>
          <w:spacing w:val="-2"/>
          <w:sz w:val="26"/>
          <w:szCs w:val="26"/>
          <w14:textFill>
            <w14:solidFill>
              <w14:schemeClr w14:val="tx1"/>
            </w14:solidFill>
          </w14:textFill>
        </w:rPr>
      </w:pPr>
      <w:r>
        <w:rPr>
          <w:bCs/>
          <w:color w:val="000000" w:themeColor="text1"/>
          <w:spacing w:val="-2"/>
          <w:sz w:val="26"/>
          <w:szCs w:val="26"/>
          <w14:textFill>
            <w14:solidFill>
              <w14:schemeClr w14:val="tx1"/>
            </w14:solidFill>
          </w14:textFill>
        </w:rPr>
        <w:t>+ Đầu tư xây dựng công trình hạ tầng kỹ thuật: Thời gian xây dựng 03 năm; tiến độ xây dựng (% lần lượt theo từng năm): 35%/năm 1; 35%/năm  2; 30%/ năm 3</w:t>
      </w:r>
    </w:p>
    <w:p w14:paraId="6941F39D">
      <w:pPr>
        <w:widowControl w:val="0"/>
        <w:spacing w:before="120" w:after="120" w:line="400" w:lineRule="exact"/>
        <w:ind w:firstLine="567"/>
        <w:jc w:val="both"/>
        <w:rPr>
          <w:bCs/>
          <w:color w:val="000000" w:themeColor="text1"/>
          <w:spacing w:val="-2"/>
          <w:sz w:val="26"/>
          <w:szCs w:val="26"/>
          <w14:textFill>
            <w14:solidFill>
              <w14:schemeClr w14:val="tx1"/>
            </w14:solidFill>
          </w14:textFill>
        </w:rPr>
      </w:pPr>
      <w:r>
        <w:rPr>
          <w:bCs/>
          <w:color w:val="000000" w:themeColor="text1"/>
          <w:spacing w:val="-2"/>
          <w:sz w:val="26"/>
          <w:szCs w:val="26"/>
          <w14:textFill>
            <w14:solidFill>
              <w14:schemeClr w14:val="tx1"/>
            </w14:solidFill>
          </w14:textFill>
        </w:rPr>
        <w:t>+ Đầu tư xây dựng nhà xây thô: Thời gian xây dựng 04 năm; tiến độ xây dựng: 25%/năm.</w:t>
      </w:r>
    </w:p>
    <w:p w14:paraId="36811992">
      <w:pPr>
        <w:widowControl w:val="0"/>
        <w:spacing w:before="120" w:after="120" w:line="400" w:lineRule="exact"/>
        <w:ind w:firstLine="567"/>
        <w:jc w:val="both"/>
        <w:rPr>
          <w:b/>
          <w:color w:val="000000" w:themeColor="text1"/>
          <w:spacing w:val="-2"/>
          <w:sz w:val="26"/>
          <w:szCs w:val="26"/>
          <w:lang w:val="vi-VN"/>
          <w14:textFill>
            <w14:solidFill>
              <w14:schemeClr w14:val="tx1"/>
            </w14:solidFill>
          </w14:textFill>
        </w:rPr>
      </w:pPr>
      <w:r>
        <w:rPr>
          <w:b/>
          <w:color w:val="000000" w:themeColor="text1"/>
          <w:spacing w:val="-2"/>
          <w:sz w:val="26"/>
          <w:szCs w:val="26"/>
          <w:lang w:val="vi-VN"/>
          <w14:textFill>
            <w14:solidFill>
              <w14:schemeClr w14:val="tx1"/>
            </w14:solidFill>
          </w14:textFill>
        </w:rPr>
        <w:t>b. Tiến độ xây dựng:</w:t>
      </w:r>
    </w:p>
    <w:p w14:paraId="0FF43C10">
      <w:pPr>
        <w:widowControl w:val="0"/>
        <w:spacing w:before="120" w:after="120" w:line="400" w:lineRule="exact"/>
        <w:ind w:firstLine="567"/>
        <w:jc w:val="both"/>
        <w:rPr>
          <w:bCs/>
          <w:color w:val="000000" w:themeColor="text1"/>
          <w:spacing w:val="-2"/>
          <w:sz w:val="26"/>
          <w:szCs w:val="26"/>
          <w14:textFill>
            <w14:solidFill>
              <w14:schemeClr w14:val="tx1"/>
            </w14:solidFill>
          </w14:textFill>
        </w:rPr>
      </w:pPr>
      <w:r>
        <w:rPr>
          <w:bCs/>
          <w:color w:val="000000" w:themeColor="text1"/>
          <w:spacing w:val="-2"/>
          <w:sz w:val="26"/>
          <w:szCs w:val="26"/>
          <w:lang w:val="vi-VN"/>
          <w14:textFill>
            <w14:solidFill>
              <w14:schemeClr w14:val="tx1"/>
            </w14:solidFill>
          </w14:textFill>
        </w:rPr>
        <w:t xml:space="preserve">Công ty Cổ phần Dịch vụ Tư vấn và Thẩm định giá Việt Nam xác định </w:t>
      </w:r>
      <w:r>
        <w:rPr>
          <w:bCs/>
          <w:color w:val="000000" w:themeColor="text1"/>
          <w:spacing w:val="-2"/>
          <w:sz w:val="26"/>
          <w:szCs w:val="26"/>
          <w14:textFill>
            <w14:solidFill>
              <w14:schemeClr w14:val="tx1"/>
            </w14:solidFill>
          </w14:textFill>
        </w:rPr>
        <w:t xml:space="preserve">tiến độ </w:t>
      </w:r>
      <w:r>
        <w:rPr>
          <w:color w:val="000000" w:themeColor="text1"/>
          <w:spacing w:val="-2"/>
          <w:sz w:val="26"/>
          <w:szCs w:val="26"/>
          <w:lang w:val="vi-VN"/>
          <w14:textFill>
            <w14:solidFill>
              <w14:schemeClr w14:val="tx1"/>
            </w14:solidFill>
          </w14:textFill>
        </w:rPr>
        <w:t>xây dựng đối với các hạng mục công trình được phân bổ trong như sau</w:t>
      </w:r>
      <w:r>
        <w:rPr>
          <w:bCs/>
          <w:color w:val="000000" w:themeColor="text1"/>
          <w:spacing w:val="-2"/>
          <w:sz w:val="26"/>
          <w:szCs w:val="26"/>
          <w14:textFill>
            <w14:solidFill>
              <w14:schemeClr w14:val="tx1"/>
            </w14:solidFill>
          </w14:textFill>
        </w:rPr>
        <w:t>:</w:t>
      </w:r>
    </w:p>
    <w:tbl>
      <w:tblPr>
        <w:tblStyle w:val="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471"/>
        <w:gridCol w:w="1559"/>
        <w:gridCol w:w="1560"/>
        <w:gridCol w:w="1559"/>
        <w:gridCol w:w="1422"/>
        <w:gridCol w:w="1554"/>
      </w:tblGrid>
      <w:tr w14:paraId="7A62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5253792F">
            <w:pPr>
              <w:jc w:val="center"/>
              <w:rPr>
                <w:b/>
                <w:bCs/>
                <w:color w:val="000000"/>
                <w:sz w:val="22"/>
                <w:szCs w:val="22"/>
              </w:rPr>
            </w:pPr>
            <w:r>
              <w:rPr>
                <w:b/>
                <w:bCs/>
                <w:color w:val="000000"/>
                <w:sz w:val="22"/>
                <w:szCs w:val="22"/>
              </w:rPr>
              <w:t>Stt</w:t>
            </w:r>
          </w:p>
        </w:tc>
        <w:tc>
          <w:tcPr>
            <w:tcW w:w="1471" w:type="dxa"/>
            <w:vAlign w:val="center"/>
          </w:tcPr>
          <w:p w14:paraId="675CD7AA">
            <w:pPr>
              <w:jc w:val="center"/>
              <w:rPr>
                <w:b/>
                <w:bCs/>
                <w:color w:val="000000"/>
                <w:sz w:val="22"/>
                <w:szCs w:val="22"/>
              </w:rPr>
            </w:pPr>
            <w:r>
              <w:rPr>
                <w:b/>
                <w:bCs/>
                <w:color w:val="000000"/>
                <w:sz w:val="22"/>
                <w:szCs w:val="22"/>
              </w:rPr>
              <w:t>Diễn giải</w:t>
            </w:r>
          </w:p>
        </w:tc>
        <w:tc>
          <w:tcPr>
            <w:tcW w:w="1559" w:type="dxa"/>
            <w:vAlign w:val="center"/>
          </w:tcPr>
          <w:p w14:paraId="6FCA7B8F">
            <w:pPr>
              <w:jc w:val="center"/>
              <w:rPr>
                <w:b/>
                <w:bCs/>
                <w:color w:val="000000"/>
                <w:sz w:val="22"/>
                <w:szCs w:val="22"/>
              </w:rPr>
            </w:pPr>
            <w:r>
              <w:rPr>
                <w:b/>
                <w:bCs/>
                <w:color w:val="000000"/>
                <w:sz w:val="22"/>
                <w:szCs w:val="22"/>
              </w:rPr>
              <w:t>Năm 1</w:t>
            </w:r>
          </w:p>
        </w:tc>
        <w:tc>
          <w:tcPr>
            <w:tcW w:w="1560" w:type="dxa"/>
            <w:vAlign w:val="center"/>
          </w:tcPr>
          <w:p w14:paraId="45F2FEE1">
            <w:pPr>
              <w:jc w:val="center"/>
              <w:rPr>
                <w:b/>
                <w:bCs/>
                <w:color w:val="000000"/>
                <w:sz w:val="22"/>
                <w:szCs w:val="22"/>
              </w:rPr>
            </w:pPr>
            <w:r>
              <w:rPr>
                <w:b/>
                <w:bCs/>
                <w:color w:val="000000"/>
                <w:sz w:val="22"/>
                <w:szCs w:val="22"/>
              </w:rPr>
              <w:t>Năm 2</w:t>
            </w:r>
          </w:p>
        </w:tc>
        <w:tc>
          <w:tcPr>
            <w:tcW w:w="1559" w:type="dxa"/>
            <w:vAlign w:val="center"/>
          </w:tcPr>
          <w:p w14:paraId="1628E72A">
            <w:pPr>
              <w:jc w:val="center"/>
              <w:rPr>
                <w:b/>
                <w:bCs/>
                <w:color w:val="000000"/>
                <w:sz w:val="22"/>
                <w:szCs w:val="22"/>
              </w:rPr>
            </w:pPr>
            <w:r>
              <w:rPr>
                <w:b/>
                <w:bCs/>
                <w:color w:val="000000"/>
                <w:sz w:val="22"/>
                <w:szCs w:val="22"/>
              </w:rPr>
              <w:t>Năm 3</w:t>
            </w:r>
          </w:p>
        </w:tc>
        <w:tc>
          <w:tcPr>
            <w:tcW w:w="1422" w:type="dxa"/>
            <w:vAlign w:val="center"/>
          </w:tcPr>
          <w:p w14:paraId="3A38FF8A">
            <w:pPr>
              <w:jc w:val="center"/>
              <w:rPr>
                <w:b/>
                <w:bCs/>
                <w:color w:val="000000"/>
                <w:sz w:val="22"/>
                <w:szCs w:val="22"/>
              </w:rPr>
            </w:pPr>
            <w:r>
              <w:rPr>
                <w:b/>
                <w:bCs/>
                <w:color w:val="000000"/>
                <w:sz w:val="22"/>
                <w:szCs w:val="22"/>
              </w:rPr>
              <w:t>Năm 4</w:t>
            </w:r>
          </w:p>
        </w:tc>
        <w:tc>
          <w:tcPr>
            <w:tcW w:w="1554" w:type="dxa"/>
            <w:vAlign w:val="center"/>
          </w:tcPr>
          <w:p w14:paraId="37B01D56">
            <w:pPr>
              <w:jc w:val="center"/>
              <w:rPr>
                <w:b/>
                <w:bCs/>
                <w:color w:val="000000"/>
                <w:sz w:val="22"/>
                <w:szCs w:val="22"/>
              </w:rPr>
            </w:pPr>
            <w:r>
              <w:rPr>
                <w:b/>
                <w:bCs/>
                <w:color w:val="000000"/>
                <w:sz w:val="22"/>
                <w:szCs w:val="22"/>
              </w:rPr>
              <w:t>Tổng cộng (chưa bao gốm thuế VAT và chi phí dự phòng)</w:t>
            </w:r>
          </w:p>
        </w:tc>
      </w:tr>
      <w:tr w14:paraId="7D37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2597D747">
            <w:pPr>
              <w:jc w:val="center"/>
              <w:rPr>
                <w:b/>
                <w:bCs/>
                <w:color w:val="000000"/>
                <w:sz w:val="20"/>
                <w:szCs w:val="20"/>
              </w:rPr>
            </w:pPr>
            <w:r>
              <w:rPr>
                <w:b/>
                <w:bCs/>
                <w:color w:val="000000"/>
                <w:sz w:val="20"/>
                <w:szCs w:val="20"/>
              </w:rPr>
              <w:t>1</w:t>
            </w:r>
          </w:p>
        </w:tc>
        <w:tc>
          <w:tcPr>
            <w:tcW w:w="1471" w:type="dxa"/>
            <w:vAlign w:val="center"/>
          </w:tcPr>
          <w:p w14:paraId="4D2A95A2">
            <w:pPr>
              <w:jc w:val="center"/>
              <w:rPr>
                <w:b/>
                <w:bCs/>
                <w:color w:val="000000"/>
                <w:sz w:val="21"/>
                <w:szCs w:val="21"/>
              </w:rPr>
            </w:pPr>
            <w:r>
              <w:rPr>
                <w:b/>
                <w:bCs/>
                <w:color w:val="000000"/>
                <w:sz w:val="21"/>
                <w:szCs w:val="21"/>
              </w:rPr>
              <w:t>Tổng chi phí xây dựng HTKT</w:t>
            </w:r>
          </w:p>
        </w:tc>
        <w:tc>
          <w:tcPr>
            <w:tcW w:w="1559" w:type="dxa"/>
            <w:vAlign w:val="center"/>
          </w:tcPr>
          <w:p w14:paraId="75BB55B2">
            <w:pPr>
              <w:jc w:val="center"/>
              <w:rPr>
                <w:b/>
                <w:bCs/>
                <w:color w:val="000000"/>
                <w:sz w:val="19"/>
                <w:szCs w:val="19"/>
              </w:rPr>
            </w:pPr>
            <w:r>
              <w:rPr>
                <w:b/>
                <w:bCs/>
                <w:color w:val="000000"/>
                <w:sz w:val="19"/>
                <w:szCs w:val="19"/>
              </w:rPr>
              <w:t>78.218.932.882</w:t>
            </w:r>
          </w:p>
        </w:tc>
        <w:tc>
          <w:tcPr>
            <w:tcW w:w="1560" w:type="dxa"/>
            <w:vAlign w:val="center"/>
          </w:tcPr>
          <w:p w14:paraId="2ED37272">
            <w:pPr>
              <w:jc w:val="center"/>
              <w:rPr>
                <w:b/>
                <w:bCs/>
                <w:color w:val="000000"/>
                <w:sz w:val="19"/>
                <w:szCs w:val="19"/>
              </w:rPr>
            </w:pPr>
            <w:r>
              <w:rPr>
                <w:b/>
                <w:bCs/>
                <w:color w:val="000000"/>
                <w:sz w:val="19"/>
                <w:szCs w:val="19"/>
              </w:rPr>
              <w:t>78.218.932.882</w:t>
            </w:r>
          </w:p>
        </w:tc>
        <w:tc>
          <w:tcPr>
            <w:tcW w:w="1559" w:type="dxa"/>
            <w:vAlign w:val="center"/>
          </w:tcPr>
          <w:p w14:paraId="00DA3EBC">
            <w:pPr>
              <w:jc w:val="center"/>
              <w:rPr>
                <w:b/>
                <w:bCs/>
                <w:color w:val="000000"/>
                <w:sz w:val="19"/>
                <w:szCs w:val="19"/>
              </w:rPr>
            </w:pPr>
            <w:r>
              <w:rPr>
                <w:b/>
                <w:bCs/>
                <w:color w:val="000000"/>
                <w:sz w:val="19"/>
                <w:szCs w:val="19"/>
              </w:rPr>
              <w:t>67.044.799.613</w:t>
            </w:r>
          </w:p>
        </w:tc>
        <w:tc>
          <w:tcPr>
            <w:tcW w:w="1422" w:type="dxa"/>
            <w:vAlign w:val="center"/>
          </w:tcPr>
          <w:p w14:paraId="4FA55211">
            <w:pPr>
              <w:jc w:val="center"/>
              <w:rPr>
                <w:b/>
                <w:bCs/>
                <w:color w:val="000000"/>
                <w:sz w:val="19"/>
                <w:szCs w:val="19"/>
              </w:rPr>
            </w:pPr>
            <w:r>
              <w:rPr>
                <w:b/>
                <w:bCs/>
                <w:color w:val="000000"/>
                <w:sz w:val="19"/>
                <w:szCs w:val="19"/>
              </w:rPr>
              <w:t>-</w:t>
            </w:r>
          </w:p>
        </w:tc>
        <w:tc>
          <w:tcPr>
            <w:tcW w:w="1554" w:type="dxa"/>
            <w:vAlign w:val="center"/>
          </w:tcPr>
          <w:p w14:paraId="144A309E">
            <w:pPr>
              <w:jc w:val="center"/>
              <w:rPr>
                <w:b/>
                <w:bCs/>
                <w:color w:val="000000"/>
                <w:sz w:val="19"/>
                <w:szCs w:val="19"/>
              </w:rPr>
            </w:pPr>
            <w:r>
              <w:rPr>
                <w:b/>
                <w:bCs/>
                <w:color w:val="000000"/>
                <w:sz w:val="19"/>
                <w:szCs w:val="19"/>
              </w:rPr>
              <w:t>223.482.665.376</w:t>
            </w:r>
          </w:p>
        </w:tc>
      </w:tr>
      <w:tr w14:paraId="4BD5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646E4F5A">
            <w:pPr>
              <w:jc w:val="center"/>
              <w:rPr>
                <w:color w:val="000000"/>
                <w:sz w:val="20"/>
                <w:szCs w:val="20"/>
              </w:rPr>
            </w:pPr>
            <w:r>
              <w:rPr>
                <w:color w:val="000000"/>
                <w:sz w:val="20"/>
                <w:szCs w:val="20"/>
              </w:rPr>
              <w:t>1.1</w:t>
            </w:r>
          </w:p>
        </w:tc>
        <w:tc>
          <w:tcPr>
            <w:tcW w:w="1471" w:type="dxa"/>
            <w:vAlign w:val="center"/>
          </w:tcPr>
          <w:p w14:paraId="76E716B8">
            <w:pPr>
              <w:rPr>
                <w:color w:val="000000"/>
                <w:sz w:val="21"/>
                <w:szCs w:val="21"/>
              </w:rPr>
            </w:pPr>
            <w:r>
              <w:rPr>
                <w:color w:val="000000"/>
                <w:sz w:val="21"/>
                <w:szCs w:val="21"/>
              </w:rPr>
              <w:t>Chi phí xây dựng</w:t>
            </w:r>
          </w:p>
        </w:tc>
        <w:tc>
          <w:tcPr>
            <w:tcW w:w="1559" w:type="dxa"/>
            <w:vAlign w:val="center"/>
          </w:tcPr>
          <w:p w14:paraId="1A5F87AF">
            <w:pPr>
              <w:jc w:val="center"/>
              <w:rPr>
                <w:color w:val="000000"/>
                <w:sz w:val="19"/>
                <w:szCs w:val="19"/>
              </w:rPr>
            </w:pPr>
            <w:r>
              <w:rPr>
                <w:color w:val="000000"/>
                <w:sz w:val="19"/>
                <w:szCs w:val="19"/>
              </w:rPr>
              <w:t>65.283.043.975</w:t>
            </w:r>
          </w:p>
        </w:tc>
        <w:tc>
          <w:tcPr>
            <w:tcW w:w="1560" w:type="dxa"/>
            <w:vAlign w:val="center"/>
          </w:tcPr>
          <w:p w14:paraId="5DE4FB58">
            <w:pPr>
              <w:jc w:val="center"/>
              <w:rPr>
                <w:color w:val="000000"/>
                <w:sz w:val="19"/>
                <w:szCs w:val="19"/>
              </w:rPr>
            </w:pPr>
            <w:r>
              <w:rPr>
                <w:color w:val="000000"/>
                <w:sz w:val="19"/>
                <w:szCs w:val="19"/>
              </w:rPr>
              <w:t>65.283.043.975</w:t>
            </w:r>
          </w:p>
        </w:tc>
        <w:tc>
          <w:tcPr>
            <w:tcW w:w="1559" w:type="dxa"/>
            <w:vAlign w:val="center"/>
          </w:tcPr>
          <w:p w14:paraId="348B56B5">
            <w:pPr>
              <w:jc w:val="center"/>
              <w:rPr>
                <w:color w:val="000000"/>
                <w:sz w:val="19"/>
                <w:szCs w:val="19"/>
              </w:rPr>
            </w:pPr>
            <w:r>
              <w:rPr>
                <w:color w:val="000000"/>
                <w:sz w:val="19"/>
                <w:szCs w:val="19"/>
              </w:rPr>
              <w:t>55.956.894.836</w:t>
            </w:r>
          </w:p>
        </w:tc>
        <w:tc>
          <w:tcPr>
            <w:tcW w:w="1422" w:type="dxa"/>
            <w:vAlign w:val="center"/>
          </w:tcPr>
          <w:p w14:paraId="608A1B45">
            <w:pPr>
              <w:jc w:val="center"/>
              <w:rPr>
                <w:color w:val="000000"/>
                <w:sz w:val="19"/>
                <w:szCs w:val="19"/>
              </w:rPr>
            </w:pPr>
            <w:r>
              <w:rPr>
                <w:color w:val="000000"/>
                <w:sz w:val="19"/>
                <w:szCs w:val="19"/>
              </w:rPr>
              <w:t>-</w:t>
            </w:r>
          </w:p>
        </w:tc>
        <w:tc>
          <w:tcPr>
            <w:tcW w:w="1554" w:type="dxa"/>
            <w:vAlign w:val="center"/>
          </w:tcPr>
          <w:p w14:paraId="2D4504C7">
            <w:pPr>
              <w:jc w:val="center"/>
              <w:rPr>
                <w:color w:val="000000"/>
                <w:sz w:val="19"/>
                <w:szCs w:val="19"/>
              </w:rPr>
            </w:pPr>
            <w:r>
              <w:rPr>
                <w:color w:val="000000"/>
                <w:sz w:val="19"/>
                <w:szCs w:val="19"/>
              </w:rPr>
              <w:t>186.522.982.785</w:t>
            </w:r>
          </w:p>
        </w:tc>
      </w:tr>
      <w:tr w14:paraId="7087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47E8A4EC">
            <w:pPr>
              <w:jc w:val="center"/>
              <w:rPr>
                <w:color w:val="000000"/>
                <w:sz w:val="20"/>
                <w:szCs w:val="20"/>
              </w:rPr>
            </w:pPr>
          </w:p>
        </w:tc>
        <w:tc>
          <w:tcPr>
            <w:tcW w:w="1471" w:type="dxa"/>
            <w:vAlign w:val="center"/>
          </w:tcPr>
          <w:p w14:paraId="430BD850">
            <w:pPr>
              <w:rPr>
                <w:color w:val="000000"/>
                <w:sz w:val="21"/>
                <w:szCs w:val="21"/>
              </w:rPr>
            </w:pPr>
            <w:r>
              <w:rPr>
                <w:color w:val="000000"/>
                <w:sz w:val="21"/>
                <w:szCs w:val="21"/>
              </w:rPr>
              <w:t>Chi phí thiết bị</w:t>
            </w:r>
          </w:p>
        </w:tc>
        <w:tc>
          <w:tcPr>
            <w:tcW w:w="1559" w:type="dxa"/>
            <w:vAlign w:val="center"/>
          </w:tcPr>
          <w:p w14:paraId="38764217">
            <w:pPr>
              <w:jc w:val="center"/>
              <w:rPr>
                <w:color w:val="000000"/>
                <w:sz w:val="19"/>
                <w:szCs w:val="19"/>
              </w:rPr>
            </w:pPr>
            <w:r>
              <w:rPr>
                <w:color w:val="000000"/>
                <w:sz w:val="19"/>
                <w:szCs w:val="19"/>
              </w:rPr>
              <w:t>4.725.599.141</w:t>
            </w:r>
          </w:p>
        </w:tc>
        <w:tc>
          <w:tcPr>
            <w:tcW w:w="1560" w:type="dxa"/>
            <w:vAlign w:val="center"/>
          </w:tcPr>
          <w:p w14:paraId="2BD23BB5">
            <w:pPr>
              <w:jc w:val="center"/>
              <w:rPr>
                <w:color w:val="000000"/>
                <w:sz w:val="19"/>
                <w:szCs w:val="19"/>
              </w:rPr>
            </w:pPr>
            <w:r>
              <w:rPr>
                <w:color w:val="000000"/>
                <w:sz w:val="19"/>
                <w:szCs w:val="19"/>
              </w:rPr>
              <w:t>4.725.599.141</w:t>
            </w:r>
          </w:p>
        </w:tc>
        <w:tc>
          <w:tcPr>
            <w:tcW w:w="1559" w:type="dxa"/>
            <w:vAlign w:val="center"/>
          </w:tcPr>
          <w:p w14:paraId="3B494FF1">
            <w:pPr>
              <w:jc w:val="center"/>
              <w:rPr>
                <w:color w:val="000000"/>
                <w:sz w:val="19"/>
                <w:szCs w:val="19"/>
              </w:rPr>
            </w:pPr>
            <w:r>
              <w:rPr>
                <w:color w:val="000000"/>
                <w:sz w:val="19"/>
                <w:szCs w:val="19"/>
              </w:rPr>
              <w:t>4.050.513.549</w:t>
            </w:r>
          </w:p>
        </w:tc>
        <w:tc>
          <w:tcPr>
            <w:tcW w:w="1422" w:type="dxa"/>
            <w:vAlign w:val="center"/>
          </w:tcPr>
          <w:p w14:paraId="068CAB71">
            <w:pPr>
              <w:jc w:val="center"/>
              <w:rPr>
                <w:color w:val="000000"/>
                <w:sz w:val="19"/>
                <w:szCs w:val="19"/>
              </w:rPr>
            </w:pPr>
          </w:p>
        </w:tc>
        <w:tc>
          <w:tcPr>
            <w:tcW w:w="1554" w:type="dxa"/>
            <w:vAlign w:val="center"/>
          </w:tcPr>
          <w:p w14:paraId="5D99CE30">
            <w:pPr>
              <w:jc w:val="center"/>
              <w:rPr>
                <w:color w:val="000000"/>
                <w:sz w:val="19"/>
                <w:szCs w:val="19"/>
              </w:rPr>
            </w:pPr>
            <w:r>
              <w:rPr>
                <w:color w:val="000000"/>
                <w:sz w:val="19"/>
                <w:szCs w:val="19"/>
              </w:rPr>
              <w:t>13.501.711.832</w:t>
            </w:r>
          </w:p>
        </w:tc>
      </w:tr>
      <w:tr w14:paraId="546A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2AA31265">
            <w:pPr>
              <w:jc w:val="center"/>
              <w:rPr>
                <w:color w:val="000000"/>
                <w:sz w:val="20"/>
                <w:szCs w:val="20"/>
              </w:rPr>
            </w:pPr>
          </w:p>
        </w:tc>
        <w:tc>
          <w:tcPr>
            <w:tcW w:w="1471" w:type="dxa"/>
            <w:vAlign w:val="center"/>
          </w:tcPr>
          <w:p w14:paraId="4D056DA7">
            <w:pPr>
              <w:rPr>
                <w:color w:val="000000"/>
                <w:sz w:val="21"/>
                <w:szCs w:val="21"/>
              </w:rPr>
            </w:pPr>
            <w:r>
              <w:rPr>
                <w:color w:val="000000"/>
                <w:sz w:val="21"/>
                <w:szCs w:val="21"/>
              </w:rPr>
              <w:t>Chi phí quản lý dự án</w:t>
            </w:r>
          </w:p>
        </w:tc>
        <w:tc>
          <w:tcPr>
            <w:tcW w:w="1559" w:type="dxa"/>
            <w:vAlign w:val="center"/>
          </w:tcPr>
          <w:p w14:paraId="644C8C03">
            <w:pPr>
              <w:jc w:val="center"/>
              <w:rPr>
                <w:color w:val="000000"/>
                <w:sz w:val="19"/>
                <w:szCs w:val="19"/>
              </w:rPr>
            </w:pPr>
            <w:r>
              <w:rPr>
                <w:color w:val="000000"/>
                <w:sz w:val="19"/>
                <w:szCs w:val="19"/>
              </w:rPr>
              <w:t>1.053.017.628</w:t>
            </w:r>
          </w:p>
        </w:tc>
        <w:tc>
          <w:tcPr>
            <w:tcW w:w="1560" w:type="dxa"/>
            <w:vAlign w:val="center"/>
          </w:tcPr>
          <w:p w14:paraId="67A441F4">
            <w:pPr>
              <w:jc w:val="center"/>
              <w:rPr>
                <w:color w:val="000000"/>
                <w:sz w:val="19"/>
                <w:szCs w:val="19"/>
              </w:rPr>
            </w:pPr>
            <w:r>
              <w:rPr>
                <w:color w:val="000000"/>
                <w:sz w:val="19"/>
                <w:szCs w:val="19"/>
              </w:rPr>
              <w:t>1.053.017.628</w:t>
            </w:r>
          </w:p>
        </w:tc>
        <w:tc>
          <w:tcPr>
            <w:tcW w:w="1559" w:type="dxa"/>
            <w:vAlign w:val="center"/>
          </w:tcPr>
          <w:p w14:paraId="238318F1">
            <w:pPr>
              <w:jc w:val="center"/>
              <w:rPr>
                <w:color w:val="000000"/>
                <w:sz w:val="19"/>
                <w:szCs w:val="19"/>
              </w:rPr>
            </w:pPr>
            <w:r>
              <w:rPr>
                <w:color w:val="000000"/>
                <w:sz w:val="19"/>
                <w:szCs w:val="19"/>
              </w:rPr>
              <w:t>902.586.538</w:t>
            </w:r>
          </w:p>
        </w:tc>
        <w:tc>
          <w:tcPr>
            <w:tcW w:w="1422" w:type="dxa"/>
            <w:vAlign w:val="center"/>
          </w:tcPr>
          <w:p w14:paraId="77608D38">
            <w:pPr>
              <w:jc w:val="center"/>
              <w:rPr>
                <w:color w:val="000000"/>
                <w:sz w:val="19"/>
                <w:szCs w:val="19"/>
              </w:rPr>
            </w:pPr>
          </w:p>
        </w:tc>
        <w:tc>
          <w:tcPr>
            <w:tcW w:w="1554" w:type="dxa"/>
            <w:vAlign w:val="center"/>
          </w:tcPr>
          <w:p w14:paraId="4E169BF9">
            <w:pPr>
              <w:jc w:val="center"/>
              <w:rPr>
                <w:color w:val="000000"/>
                <w:sz w:val="19"/>
                <w:szCs w:val="19"/>
              </w:rPr>
            </w:pPr>
            <w:r>
              <w:rPr>
                <w:color w:val="000000"/>
                <w:sz w:val="19"/>
                <w:szCs w:val="19"/>
              </w:rPr>
              <w:t>3.008.621.794</w:t>
            </w:r>
          </w:p>
        </w:tc>
      </w:tr>
      <w:tr w14:paraId="19DC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1399ABD6">
            <w:pPr>
              <w:jc w:val="center"/>
              <w:rPr>
                <w:color w:val="000000"/>
                <w:sz w:val="20"/>
                <w:szCs w:val="20"/>
              </w:rPr>
            </w:pPr>
          </w:p>
        </w:tc>
        <w:tc>
          <w:tcPr>
            <w:tcW w:w="1471" w:type="dxa"/>
            <w:vAlign w:val="center"/>
          </w:tcPr>
          <w:p w14:paraId="0961EEDD">
            <w:pPr>
              <w:rPr>
                <w:color w:val="000000"/>
                <w:sz w:val="21"/>
                <w:szCs w:val="21"/>
              </w:rPr>
            </w:pPr>
            <w:r>
              <w:rPr>
                <w:color w:val="000000"/>
                <w:sz w:val="21"/>
                <w:szCs w:val="21"/>
              </w:rPr>
              <w:t>Chi phí tư vấn đầu tư xây dựng</w:t>
            </w:r>
          </w:p>
        </w:tc>
        <w:tc>
          <w:tcPr>
            <w:tcW w:w="1559" w:type="dxa"/>
            <w:vAlign w:val="center"/>
          </w:tcPr>
          <w:p w14:paraId="0D1537A8">
            <w:pPr>
              <w:jc w:val="center"/>
              <w:rPr>
                <w:color w:val="000000"/>
                <w:sz w:val="19"/>
                <w:szCs w:val="19"/>
              </w:rPr>
            </w:pPr>
            <w:r>
              <w:rPr>
                <w:color w:val="000000"/>
                <w:sz w:val="19"/>
                <w:szCs w:val="19"/>
              </w:rPr>
              <w:t>4.078.095.234</w:t>
            </w:r>
          </w:p>
        </w:tc>
        <w:tc>
          <w:tcPr>
            <w:tcW w:w="1560" w:type="dxa"/>
            <w:vAlign w:val="center"/>
          </w:tcPr>
          <w:p w14:paraId="0204D152">
            <w:pPr>
              <w:jc w:val="center"/>
              <w:rPr>
                <w:color w:val="000000"/>
                <w:sz w:val="19"/>
                <w:szCs w:val="19"/>
              </w:rPr>
            </w:pPr>
            <w:r>
              <w:rPr>
                <w:color w:val="000000"/>
                <w:sz w:val="19"/>
                <w:szCs w:val="19"/>
              </w:rPr>
              <w:t>4.078.095.234</w:t>
            </w:r>
          </w:p>
        </w:tc>
        <w:tc>
          <w:tcPr>
            <w:tcW w:w="1559" w:type="dxa"/>
            <w:vAlign w:val="center"/>
          </w:tcPr>
          <w:p w14:paraId="0DDEED7D">
            <w:pPr>
              <w:jc w:val="center"/>
              <w:rPr>
                <w:color w:val="000000"/>
                <w:sz w:val="19"/>
                <w:szCs w:val="19"/>
              </w:rPr>
            </w:pPr>
            <w:r>
              <w:rPr>
                <w:color w:val="000000"/>
                <w:sz w:val="19"/>
                <w:szCs w:val="19"/>
              </w:rPr>
              <w:t>3.495.510.201</w:t>
            </w:r>
          </w:p>
        </w:tc>
        <w:tc>
          <w:tcPr>
            <w:tcW w:w="1422" w:type="dxa"/>
            <w:vAlign w:val="center"/>
          </w:tcPr>
          <w:p w14:paraId="3C499ED1">
            <w:pPr>
              <w:jc w:val="center"/>
              <w:rPr>
                <w:color w:val="000000"/>
                <w:sz w:val="19"/>
                <w:szCs w:val="19"/>
              </w:rPr>
            </w:pPr>
          </w:p>
        </w:tc>
        <w:tc>
          <w:tcPr>
            <w:tcW w:w="1554" w:type="dxa"/>
            <w:vAlign w:val="center"/>
          </w:tcPr>
          <w:p w14:paraId="6F5E9090">
            <w:pPr>
              <w:jc w:val="center"/>
              <w:rPr>
                <w:color w:val="000000"/>
                <w:sz w:val="19"/>
                <w:szCs w:val="19"/>
              </w:rPr>
            </w:pPr>
            <w:r>
              <w:rPr>
                <w:color w:val="000000"/>
                <w:sz w:val="19"/>
                <w:szCs w:val="19"/>
              </w:rPr>
              <w:t>11.651.700.669</w:t>
            </w:r>
          </w:p>
        </w:tc>
      </w:tr>
      <w:tr w14:paraId="48A6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498815AA">
            <w:pPr>
              <w:jc w:val="center"/>
              <w:rPr>
                <w:color w:val="000000"/>
                <w:sz w:val="20"/>
                <w:szCs w:val="20"/>
              </w:rPr>
            </w:pPr>
          </w:p>
        </w:tc>
        <w:tc>
          <w:tcPr>
            <w:tcW w:w="1471" w:type="dxa"/>
            <w:vAlign w:val="center"/>
          </w:tcPr>
          <w:p w14:paraId="04B3F0EE">
            <w:pPr>
              <w:rPr>
                <w:color w:val="000000"/>
                <w:sz w:val="21"/>
                <w:szCs w:val="21"/>
              </w:rPr>
            </w:pPr>
            <w:r>
              <w:rPr>
                <w:color w:val="000000"/>
                <w:sz w:val="21"/>
                <w:szCs w:val="21"/>
              </w:rPr>
              <w:t>Chi phí khác</w:t>
            </w:r>
          </w:p>
        </w:tc>
        <w:tc>
          <w:tcPr>
            <w:tcW w:w="1559" w:type="dxa"/>
            <w:vAlign w:val="center"/>
          </w:tcPr>
          <w:p w14:paraId="062E8998">
            <w:pPr>
              <w:jc w:val="center"/>
              <w:rPr>
                <w:color w:val="000000"/>
                <w:sz w:val="19"/>
                <w:szCs w:val="19"/>
              </w:rPr>
            </w:pPr>
            <w:r>
              <w:rPr>
                <w:color w:val="000000"/>
                <w:sz w:val="19"/>
                <w:szCs w:val="19"/>
              </w:rPr>
              <w:t>3.079.176.904</w:t>
            </w:r>
          </w:p>
        </w:tc>
        <w:tc>
          <w:tcPr>
            <w:tcW w:w="1560" w:type="dxa"/>
            <w:vAlign w:val="center"/>
          </w:tcPr>
          <w:p w14:paraId="4261495C">
            <w:pPr>
              <w:jc w:val="center"/>
              <w:rPr>
                <w:color w:val="000000"/>
                <w:sz w:val="19"/>
                <w:szCs w:val="19"/>
              </w:rPr>
            </w:pPr>
            <w:r>
              <w:rPr>
                <w:color w:val="000000"/>
                <w:sz w:val="19"/>
                <w:szCs w:val="19"/>
              </w:rPr>
              <w:t>3.079.176.904</w:t>
            </w:r>
          </w:p>
        </w:tc>
        <w:tc>
          <w:tcPr>
            <w:tcW w:w="1559" w:type="dxa"/>
            <w:vAlign w:val="center"/>
          </w:tcPr>
          <w:p w14:paraId="294830A8">
            <w:pPr>
              <w:jc w:val="center"/>
              <w:rPr>
                <w:color w:val="000000"/>
                <w:sz w:val="19"/>
                <w:szCs w:val="19"/>
              </w:rPr>
            </w:pPr>
            <w:r>
              <w:rPr>
                <w:color w:val="000000"/>
                <w:sz w:val="19"/>
                <w:szCs w:val="19"/>
              </w:rPr>
              <w:t>2.639.294.489</w:t>
            </w:r>
          </w:p>
        </w:tc>
        <w:tc>
          <w:tcPr>
            <w:tcW w:w="1422" w:type="dxa"/>
            <w:vAlign w:val="center"/>
          </w:tcPr>
          <w:p w14:paraId="517F5587">
            <w:pPr>
              <w:jc w:val="center"/>
              <w:rPr>
                <w:color w:val="000000"/>
                <w:sz w:val="19"/>
                <w:szCs w:val="19"/>
              </w:rPr>
            </w:pPr>
          </w:p>
        </w:tc>
        <w:tc>
          <w:tcPr>
            <w:tcW w:w="1554" w:type="dxa"/>
            <w:vAlign w:val="center"/>
          </w:tcPr>
          <w:p w14:paraId="1D00F43C">
            <w:pPr>
              <w:jc w:val="center"/>
              <w:rPr>
                <w:color w:val="000000"/>
                <w:sz w:val="19"/>
                <w:szCs w:val="19"/>
              </w:rPr>
            </w:pPr>
            <w:r>
              <w:rPr>
                <w:color w:val="000000"/>
                <w:sz w:val="19"/>
                <w:szCs w:val="19"/>
              </w:rPr>
              <w:t>8.797.648.296</w:t>
            </w:r>
          </w:p>
        </w:tc>
      </w:tr>
      <w:tr w14:paraId="20E7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34AE5BBA">
            <w:pPr>
              <w:jc w:val="center"/>
              <w:rPr>
                <w:color w:val="000000"/>
                <w:sz w:val="20"/>
                <w:szCs w:val="20"/>
              </w:rPr>
            </w:pPr>
          </w:p>
        </w:tc>
        <w:tc>
          <w:tcPr>
            <w:tcW w:w="1471" w:type="dxa"/>
            <w:vAlign w:val="center"/>
          </w:tcPr>
          <w:p w14:paraId="2001B48E">
            <w:pPr>
              <w:rPr>
                <w:i/>
                <w:iCs/>
                <w:color w:val="000000"/>
                <w:sz w:val="21"/>
                <w:szCs w:val="21"/>
              </w:rPr>
            </w:pPr>
            <w:r>
              <w:rPr>
                <w:i/>
                <w:iCs/>
                <w:color w:val="000000"/>
                <w:sz w:val="21"/>
                <w:szCs w:val="21"/>
              </w:rPr>
              <w:t>Tiến độ đầu tư xây dựng HTKT</w:t>
            </w:r>
          </w:p>
        </w:tc>
        <w:tc>
          <w:tcPr>
            <w:tcW w:w="1559" w:type="dxa"/>
            <w:vAlign w:val="center"/>
          </w:tcPr>
          <w:p w14:paraId="7C787816">
            <w:pPr>
              <w:jc w:val="center"/>
              <w:rPr>
                <w:i/>
                <w:iCs/>
                <w:color w:val="000000"/>
                <w:sz w:val="19"/>
                <w:szCs w:val="19"/>
              </w:rPr>
            </w:pPr>
            <w:r>
              <w:rPr>
                <w:i/>
                <w:iCs/>
                <w:color w:val="000000"/>
                <w:sz w:val="19"/>
                <w:szCs w:val="19"/>
              </w:rPr>
              <w:t>35,00%</w:t>
            </w:r>
          </w:p>
        </w:tc>
        <w:tc>
          <w:tcPr>
            <w:tcW w:w="1560" w:type="dxa"/>
            <w:vAlign w:val="center"/>
          </w:tcPr>
          <w:p w14:paraId="34A3CF4A">
            <w:pPr>
              <w:jc w:val="center"/>
              <w:rPr>
                <w:i/>
                <w:iCs/>
                <w:color w:val="000000"/>
                <w:sz w:val="19"/>
                <w:szCs w:val="19"/>
              </w:rPr>
            </w:pPr>
            <w:r>
              <w:rPr>
                <w:i/>
                <w:iCs/>
                <w:color w:val="000000"/>
                <w:sz w:val="19"/>
                <w:szCs w:val="19"/>
              </w:rPr>
              <w:t>35,00%</w:t>
            </w:r>
          </w:p>
        </w:tc>
        <w:tc>
          <w:tcPr>
            <w:tcW w:w="1559" w:type="dxa"/>
            <w:vAlign w:val="center"/>
          </w:tcPr>
          <w:p w14:paraId="0B5427EC">
            <w:pPr>
              <w:jc w:val="center"/>
              <w:rPr>
                <w:i/>
                <w:iCs/>
                <w:color w:val="000000"/>
                <w:sz w:val="19"/>
                <w:szCs w:val="19"/>
              </w:rPr>
            </w:pPr>
            <w:r>
              <w:rPr>
                <w:i/>
                <w:iCs/>
                <w:color w:val="000000"/>
                <w:sz w:val="19"/>
                <w:szCs w:val="19"/>
              </w:rPr>
              <w:t>30,00%</w:t>
            </w:r>
          </w:p>
        </w:tc>
        <w:tc>
          <w:tcPr>
            <w:tcW w:w="1422" w:type="dxa"/>
            <w:vAlign w:val="center"/>
          </w:tcPr>
          <w:p w14:paraId="368C3AA3">
            <w:pPr>
              <w:jc w:val="center"/>
              <w:rPr>
                <w:i/>
                <w:iCs/>
                <w:color w:val="000000"/>
                <w:sz w:val="19"/>
                <w:szCs w:val="19"/>
              </w:rPr>
            </w:pPr>
            <w:r>
              <w:rPr>
                <w:i/>
                <w:iCs/>
                <w:color w:val="000000"/>
                <w:sz w:val="19"/>
                <w:szCs w:val="19"/>
              </w:rPr>
              <w:t>0%</w:t>
            </w:r>
          </w:p>
        </w:tc>
        <w:tc>
          <w:tcPr>
            <w:tcW w:w="1554" w:type="dxa"/>
            <w:vAlign w:val="center"/>
          </w:tcPr>
          <w:p w14:paraId="3CB25801">
            <w:pPr>
              <w:jc w:val="center"/>
              <w:rPr>
                <w:color w:val="000000"/>
                <w:sz w:val="19"/>
                <w:szCs w:val="19"/>
              </w:rPr>
            </w:pPr>
            <w:r>
              <w:rPr>
                <w:color w:val="000000"/>
                <w:sz w:val="19"/>
                <w:szCs w:val="19"/>
              </w:rPr>
              <w:t>100%</w:t>
            </w:r>
          </w:p>
        </w:tc>
      </w:tr>
      <w:tr w14:paraId="7C28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59340465">
            <w:pPr>
              <w:jc w:val="center"/>
              <w:rPr>
                <w:b/>
                <w:bCs/>
                <w:color w:val="000000"/>
                <w:sz w:val="20"/>
                <w:szCs w:val="20"/>
              </w:rPr>
            </w:pPr>
            <w:r>
              <w:rPr>
                <w:b/>
                <w:bCs/>
                <w:color w:val="000000"/>
                <w:sz w:val="20"/>
                <w:szCs w:val="20"/>
              </w:rPr>
              <w:t>2</w:t>
            </w:r>
          </w:p>
        </w:tc>
        <w:tc>
          <w:tcPr>
            <w:tcW w:w="1471" w:type="dxa"/>
            <w:vAlign w:val="center"/>
          </w:tcPr>
          <w:p w14:paraId="3B998609">
            <w:pPr>
              <w:rPr>
                <w:b/>
                <w:bCs/>
                <w:color w:val="000000"/>
                <w:sz w:val="21"/>
                <w:szCs w:val="21"/>
              </w:rPr>
            </w:pPr>
            <w:r>
              <w:rPr>
                <w:b/>
                <w:bCs/>
                <w:color w:val="000000"/>
                <w:sz w:val="21"/>
                <w:szCs w:val="21"/>
              </w:rPr>
              <w:t>Tổng chi phí xây dựng công trình nhà xây thô (120 căn)</w:t>
            </w:r>
          </w:p>
        </w:tc>
        <w:tc>
          <w:tcPr>
            <w:tcW w:w="1559" w:type="dxa"/>
            <w:vAlign w:val="center"/>
          </w:tcPr>
          <w:p w14:paraId="0BB7DDF7">
            <w:pPr>
              <w:jc w:val="center"/>
              <w:rPr>
                <w:b/>
                <w:bCs/>
                <w:color w:val="000000"/>
                <w:sz w:val="19"/>
                <w:szCs w:val="19"/>
              </w:rPr>
            </w:pPr>
            <w:r>
              <w:rPr>
                <w:b/>
                <w:bCs/>
                <w:color w:val="000000"/>
                <w:sz w:val="19"/>
                <w:szCs w:val="19"/>
              </w:rPr>
              <w:t>36.033.579.211</w:t>
            </w:r>
          </w:p>
        </w:tc>
        <w:tc>
          <w:tcPr>
            <w:tcW w:w="1560" w:type="dxa"/>
            <w:vAlign w:val="center"/>
          </w:tcPr>
          <w:p w14:paraId="27CB0647">
            <w:pPr>
              <w:jc w:val="center"/>
              <w:rPr>
                <w:b/>
                <w:bCs/>
                <w:color w:val="000000"/>
                <w:sz w:val="19"/>
                <w:szCs w:val="19"/>
              </w:rPr>
            </w:pPr>
            <w:r>
              <w:rPr>
                <w:b/>
                <w:bCs/>
                <w:color w:val="000000"/>
                <w:sz w:val="19"/>
                <w:szCs w:val="19"/>
              </w:rPr>
              <w:t>36.033.579.211</w:t>
            </w:r>
          </w:p>
        </w:tc>
        <w:tc>
          <w:tcPr>
            <w:tcW w:w="1559" w:type="dxa"/>
            <w:vAlign w:val="center"/>
          </w:tcPr>
          <w:p w14:paraId="32BC9874">
            <w:pPr>
              <w:jc w:val="center"/>
              <w:rPr>
                <w:b/>
                <w:bCs/>
                <w:color w:val="000000"/>
                <w:sz w:val="19"/>
                <w:szCs w:val="19"/>
              </w:rPr>
            </w:pPr>
            <w:r>
              <w:rPr>
                <w:b/>
                <w:bCs/>
                <w:color w:val="000000"/>
                <w:sz w:val="19"/>
                <w:szCs w:val="19"/>
              </w:rPr>
              <w:t>36.033.579.211</w:t>
            </w:r>
          </w:p>
        </w:tc>
        <w:tc>
          <w:tcPr>
            <w:tcW w:w="1422" w:type="dxa"/>
            <w:vAlign w:val="center"/>
          </w:tcPr>
          <w:p w14:paraId="083158A2">
            <w:pPr>
              <w:jc w:val="center"/>
              <w:rPr>
                <w:b/>
                <w:bCs/>
                <w:color w:val="000000"/>
                <w:sz w:val="19"/>
                <w:szCs w:val="19"/>
              </w:rPr>
            </w:pPr>
            <w:r>
              <w:rPr>
                <w:b/>
                <w:bCs/>
                <w:color w:val="000000"/>
                <w:sz w:val="19"/>
                <w:szCs w:val="19"/>
              </w:rPr>
              <w:t>36.033.579.211</w:t>
            </w:r>
          </w:p>
        </w:tc>
        <w:tc>
          <w:tcPr>
            <w:tcW w:w="1554" w:type="dxa"/>
            <w:noWrap/>
            <w:vAlign w:val="center"/>
          </w:tcPr>
          <w:p w14:paraId="6822050F">
            <w:pPr>
              <w:jc w:val="center"/>
              <w:rPr>
                <w:b/>
                <w:bCs/>
                <w:color w:val="000000"/>
                <w:sz w:val="19"/>
                <w:szCs w:val="19"/>
              </w:rPr>
            </w:pPr>
            <w:r>
              <w:rPr>
                <w:b/>
                <w:bCs/>
                <w:color w:val="000000"/>
                <w:sz w:val="19"/>
                <w:szCs w:val="19"/>
              </w:rPr>
              <w:t>144.134.316.842</w:t>
            </w:r>
          </w:p>
        </w:tc>
      </w:tr>
      <w:tr w14:paraId="0AEC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49D33D7E">
            <w:pPr>
              <w:jc w:val="center"/>
              <w:rPr>
                <w:color w:val="000000"/>
                <w:sz w:val="20"/>
                <w:szCs w:val="20"/>
              </w:rPr>
            </w:pPr>
            <w:r>
              <w:rPr>
                <w:color w:val="000000"/>
                <w:sz w:val="20"/>
                <w:szCs w:val="20"/>
              </w:rPr>
              <w:t>1.1</w:t>
            </w:r>
          </w:p>
        </w:tc>
        <w:tc>
          <w:tcPr>
            <w:tcW w:w="1471" w:type="dxa"/>
            <w:vAlign w:val="center"/>
          </w:tcPr>
          <w:p w14:paraId="47EAEA02">
            <w:pPr>
              <w:rPr>
                <w:color w:val="000000"/>
                <w:sz w:val="21"/>
                <w:szCs w:val="21"/>
              </w:rPr>
            </w:pPr>
            <w:r>
              <w:rPr>
                <w:color w:val="000000"/>
                <w:sz w:val="21"/>
                <w:szCs w:val="21"/>
              </w:rPr>
              <w:t>Chi phí xây dựng</w:t>
            </w:r>
          </w:p>
        </w:tc>
        <w:tc>
          <w:tcPr>
            <w:tcW w:w="1559" w:type="dxa"/>
            <w:vAlign w:val="center"/>
          </w:tcPr>
          <w:p w14:paraId="1A202366">
            <w:pPr>
              <w:jc w:val="center"/>
              <w:rPr>
                <w:color w:val="000000"/>
                <w:sz w:val="19"/>
                <w:szCs w:val="19"/>
              </w:rPr>
            </w:pPr>
            <w:r>
              <w:rPr>
                <w:color w:val="000000"/>
                <w:sz w:val="19"/>
                <w:szCs w:val="19"/>
              </w:rPr>
              <w:t>34.115.277.175</w:t>
            </w:r>
          </w:p>
        </w:tc>
        <w:tc>
          <w:tcPr>
            <w:tcW w:w="1560" w:type="dxa"/>
            <w:vAlign w:val="center"/>
          </w:tcPr>
          <w:p w14:paraId="5DFABD45">
            <w:pPr>
              <w:jc w:val="center"/>
              <w:rPr>
                <w:color w:val="000000"/>
                <w:sz w:val="19"/>
                <w:szCs w:val="19"/>
              </w:rPr>
            </w:pPr>
            <w:r>
              <w:rPr>
                <w:color w:val="000000"/>
                <w:sz w:val="19"/>
                <w:szCs w:val="19"/>
              </w:rPr>
              <w:t>34.115.277.175</w:t>
            </w:r>
          </w:p>
        </w:tc>
        <w:tc>
          <w:tcPr>
            <w:tcW w:w="1559" w:type="dxa"/>
            <w:vAlign w:val="center"/>
          </w:tcPr>
          <w:p w14:paraId="773BE943">
            <w:pPr>
              <w:jc w:val="center"/>
              <w:rPr>
                <w:color w:val="000000"/>
                <w:sz w:val="19"/>
                <w:szCs w:val="19"/>
              </w:rPr>
            </w:pPr>
            <w:r>
              <w:rPr>
                <w:color w:val="000000"/>
                <w:sz w:val="19"/>
                <w:szCs w:val="19"/>
              </w:rPr>
              <w:t>34.115.277.175</w:t>
            </w:r>
          </w:p>
        </w:tc>
        <w:tc>
          <w:tcPr>
            <w:tcW w:w="1422" w:type="dxa"/>
            <w:vAlign w:val="center"/>
          </w:tcPr>
          <w:p w14:paraId="5070B071">
            <w:pPr>
              <w:jc w:val="center"/>
              <w:rPr>
                <w:color w:val="000000"/>
                <w:sz w:val="19"/>
                <w:szCs w:val="19"/>
              </w:rPr>
            </w:pPr>
            <w:r>
              <w:rPr>
                <w:color w:val="000000"/>
                <w:sz w:val="19"/>
                <w:szCs w:val="19"/>
              </w:rPr>
              <w:t>34.115.277.175</w:t>
            </w:r>
          </w:p>
        </w:tc>
        <w:tc>
          <w:tcPr>
            <w:tcW w:w="1554" w:type="dxa"/>
            <w:vAlign w:val="center"/>
          </w:tcPr>
          <w:p w14:paraId="0E2DB7B2">
            <w:pPr>
              <w:jc w:val="center"/>
              <w:rPr>
                <w:color w:val="000000"/>
                <w:sz w:val="19"/>
                <w:szCs w:val="19"/>
              </w:rPr>
            </w:pPr>
            <w:r>
              <w:rPr>
                <w:color w:val="000000"/>
                <w:sz w:val="19"/>
                <w:szCs w:val="19"/>
              </w:rPr>
              <w:t>136.461.108.700</w:t>
            </w:r>
          </w:p>
        </w:tc>
      </w:tr>
      <w:tr w14:paraId="6348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3AF06DA4">
            <w:pPr>
              <w:jc w:val="center"/>
              <w:rPr>
                <w:color w:val="000000"/>
                <w:sz w:val="20"/>
                <w:szCs w:val="20"/>
              </w:rPr>
            </w:pPr>
          </w:p>
        </w:tc>
        <w:tc>
          <w:tcPr>
            <w:tcW w:w="1471" w:type="dxa"/>
            <w:vAlign w:val="center"/>
          </w:tcPr>
          <w:p w14:paraId="34AAF4CF">
            <w:pPr>
              <w:rPr>
                <w:color w:val="000000"/>
                <w:sz w:val="21"/>
                <w:szCs w:val="21"/>
              </w:rPr>
            </w:pPr>
            <w:r>
              <w:rPr>
                <w:color w:val="000000"/>
                <w:sz w:val="21"/>
                <w:szCs w:val="21"/>
              </w:rPr>
              <w:t>Chi phí thiết bị</w:t>
            </w:r>
          </w:p>
        </w:tc>
        <w:tc>
          <w:tcPr>
            <w:tcW w:w="1559" w:type="dxa"/>
            <w:vAlign w:val="center"/>
          </w:tcPr>
          <w:p w14:paraId="1D7E86F0">
            <w:pPr>
              <w:jc w:val="center"/>
              <w:rPr>
                <w:color w:val="000000"/>
                <w:sz w:val="19"/>
                <w:szCs w:val="19"/>
              </w:rPr>
            </w:pPr>
            <w:r>
              <w:rPr>
                <w:color w:val="000000"/>
                <w:sz w:val="19"/>
                <w:szCs w:val="19"/>
              </w:rPr>
              <w:t>-</w:t>
            </w:r>
          </w:p>
        </w:tc>
        <w:tc>
          <w:tcPr>
            <w:tcW w:w="1560" w:type="dxa"/>
            <w:vAlign w:val="center"/>
          </w:tcPr>
          <w:p w14:paraId="1A0B6195">
            <w:pPr>
              <w:jc w:val="center"/>
              <w:rPr>
                <w:color w:val="000000"/>
                <w:sz w:val="19"/>
                <w:szCs w:val="19"/>
              </w:rPr>
            </w:pPr>
            <w:r>
              <w:rPr>
                <w:color w:val="000000"/>
                <w:sz w:val="19"/>
                <w:szCs w:val="19"/>
              </w:rPr>
              <w:t>-</w:t>
            </w:r>
          </w:p>
        </w:tc>
        <w:tc>
          <w:tcPr>
            <w:tcW w:w="1559" w:type="dxa"/>
            <w:vAlign w:val="center"/>
          </w:tcPr>
          <w:p w14:paraId="41AB540A">
            <w:pPr>
              <w:jc w:val="center"/>
              <w:rPr>
                <w:color w:val="000000"/>
                <w:sz w:val="19"/>
                <w:szCs w:val="19"/>
              </w:rPr>
            </w:pPr>
            <w:r>
              <w:rPr>
                <w:color w:val="000000"/>
                <w:sz w:val="19"/>
                <w:szCs w:val="19"/>
              </w:rPr>
              <w:t>-</w:t>
            </w:r>
          </w:p>
        </w:tc>
        <w:tc>
          <w:tcPr>
            <w:tcW w:w="1422" w:type="dxa"/>
            <w:vAlign w:val="center"/>
          </w:tcPr>
          <w:p w14:paraId="64C3E556">
            <w:pPr>
              <w:jc w:val="center"/>
              <w:rPr>
                <w:color w:val="000000"/>
                <w:sz w:val="19"/>
                <w:szCs w:val="19"/>
              </w:rPr>
            </w:pPr>
            <w:r>
              <w:rPr>
                <w:color w:val="000000"/>
                <w:sz w:val="19"/>
                <w:szCs w:val="19"/>
              </w:rPr>
              <w:t>-</w:t>
            </w:r>
          </w:p>
        </w:tc>
        <w:tc>
          <w:tcPr>
            <w:tcW w:w="1554" w:type="dxa"/>
            <w:vAlign w:val="center"/>
          </w:tcPr>
          <w:p w14:paraId="4A420F0D">
            <w:pPr>
              <w:jc w:val="center"/>
              <w:rPr>
                <w:color w:val="000000"/>
                <w:sz w:val="19"/>
                <w:szCs w:val="19"/>
              </w:rPr>
            </w:pPr>
            <w:r>
              <w:rPr>
                <w:color w:val="000000"/>
                <w:sz w:val="19"/>
                <w:szCs w:val="19"/>
              </w:rPr>
              <w:t>0</w:t>
            </w:r>
          </w:p>
        </w:tc>
      </w:tr>
      <w:tr w14:paraId="35B8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640EFC41">
            <w:pPr>
              <w:jc w:val="center"/>
              <w:rPr>
                <w:color w:val="000000"/>
                <w:sz w:val="20"/>
                <w:szCs w:val="20"/>
              </w:rPr>
            </w:pPr>
          </w:p>
        </w:tc>
        <w:tc>
          <w:tcPr>
            <w:tcW w:w="1471" w:type="dxa"/>
            <w:vAlign w:val="center"/>
          </w:tcPr>
          <w:p w14:paraId="2DF0233B">
            <w:pPr>
              <w:rPr>
                <w:color w:val="000000"/>
                <w:sz w:val="21"/>
                <w:szCs w:val="21"/>
              </w:rPr>
            </w:pPr>
            <w:r>
              <w:rPr>
                <w:color w:val="000000"/>
                <w:sz w:val="21"/>
                <w:szCs w:val="21"/>
              </w:rPr>
              <w:t>Chi phí quản lý dự án</w:t>
            </w:r>
          </w:p>
        </w:tc>
        <w:tc>
          <w:tcPr>
            <w:tcW w:w="1559" w:type="dxa"/>
            <w:vAlign w:val="center"/>
          </w:tcPr>
          <w:p w14:paraId="70844B33">
            <w:pPr>
              <w:jc w:val="center"/>
              <w:rPr>
                <w:color w:val="000000"/>
                <w:sz w:val="19"/>
                <w:szCs w:val="19"/>
              </w:rPr>
            </w:pPr>
            <w:r>
              <w:rPr>
                <w:color w:val="000000"/>
                <w:sz w:val="19"/>
                <w:szCs w:val="19"/>
              </w:rPr>
              <w:t>582.347.781</w:t>
            </w:r>
          </w:p>
        </w:tc>
        <w:tc>
          <w:tcPr>
            <w:tcW w:w="1560" w:type="dxa"/>
            <w:vAlign w:val="center"/>
          </w:tcPr>
          <w:p w14:paraId="1E45C948">
            <w:pPr>
              <w:jc w:val="center"/>
              <w:rPr>
                <w:color w:val="000000"/>
                <w:sz w:val="19"/>
                <w:szCs w:val="19"/>
              </w:rPr>
            </w:pPr>
            <w:r>
              <w:rPr>
                <w:color w:val="000000"/>
                <w:sz w:val="19"/>
                <w:szCs w:val="19"/>
              </w:rPr>
              <w:t>582.347.781</w:t>
            </w:r>
          </w:p>
        </w:tc>
        <w:tc>
          <w:tcPr>
            <w:tcW w:w="1559" w:type="dxa"/>
            <w:vAlign w:val="center"/>
          </w:tcPr>
          <w:p w14:paraId="76479C68">
            <w:pPr>
              <w:jc w:val="center"/>
              <w:rPr>
                <w:color w:val="000000"/>
                <w:sz w:val="19"/>
                <w:szCs w:val="19"/>
              </w:rPr>
            </w:pPr>
            <w:r>
              <w:rPr>
                <w:color w:val="000000"/>
                <w:sz w:val="19"/>
                <w:szCs w:val="19"/>
              </w:rPr>
              <w:t>582.347.781</w:t>
            </w:r>
          </w:p>
        </w:tc>
        <w:tc>
          <w:tcPr>
            <w:tcW w:w="1422" w:type="dxa"/>
            <w:vAlign w:val="center"/>
          </w:tcPr>
          <w:p w14:paraId="34482609">
            <w:pPr>
              <w:jc w:val="center"/>
              <w:rPr>
                <w:color w:val="000000"/>
                <w:sz w:val="19"/>
                <w:szCs w:val="19"/>
              </w:rPr>
            </w:pPr>
            <w:r>
              <w:rPr>
                <w:color w:val="000000"/>
                <w:sz w:val="19"/>
                <w:szCs w:val="19"/>
              </w:rPr>
              <w:t>582.347.781</w:t>
            </w:r>
          </w:p>
        </w:tc>
        <w:tc>
          <w:tcPr>
            <w:tcW w:w="1554" w:type="dxa"/>
            <w:vAlign w:val="center"/>
          </w:tcPr>
          <w:p w14:paraId="4EE8029B">
            <w:pPr>
              <w:jc w:val="center"/>
              <w:rPr>
                <w:color w:val="000000"/>
                <w:sz w:val="19"/>
                <w:szCs w:val="19"/>
              </w:rPr>
            </w:pPr>
            <w:r>
              <w:rPr>
                <w:color w:val="000000"/>
                <w:sz w:val="19"/>
                <w:szCs w:val="19"/>
              </w:rPr>
              <w:t>2.329.391.126</w:t>
            </w:r>
          </w:p>
        </w:tc>
      </w:tr>
      <w:tr w14:paraId="606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10335DAD">
            <w:pPr>
              <w:jc w:val="center"/>
              <w:rPr>
                <w:color w:val="000000"/>
                <w:sz w:val="20"/>
                <w:szCs w:val="20"/>
              </w:rPr>
            </w:pPr>
          </w:p>
        </w:tc>
        <w:tc>
          <w:tcPr>
            <w:tcW w:w="1471" w:type="dxa"/>
            <w:vAlign w:val="center"/>
          </w:tcPr>
          <w:p w14:paraId="1D9D6534">
            <w:pPr>
              <w:rPr>
                <w:color w:val="000000"/>
                <w:sz w:val="21"/>
                <w:szCs w:val="21"/>
              </w:rPr>
            </w:pPr>
            <w:r>
              <w:rPr>
                <w:color w:val="000000"/>
                <w:sz w:val="21"/>
                <w:szCs w:val="21"/>
              </w:rPr>
              <w:t>Chi phí tư vấn đầu tư xây dựng</w:t>
            </w:r>
          </w:p>
        </w:tc>
        <w:tc>
          <w:tcPr>
            <w:tcW w:w="1559" w:type="dxa"/>
            <w:vAlign w:val="center"/>
          </w:tcPr>
          <w:p w14:paraId="3A404DF0">
            <w:pPr>
              <w:jc w:val="center"/>
              <w:rPr>
                <w:color w:val="000000"/>
                <w:sz w:val="19"/>
                <w:szCs w:val="19"/>
              </w:rPr>
            </w:pPr>
            <w:r>
              <w:rPr>
                <w:color w:val="000000"/>
                <w:sz w:val="19"/>
                <w:szCs w:val="19"/>
              </w:rPr>
              <w:t>1.308.662.032</w:t>
            </w:r>
          </w:p>
        </w:tc>
        <w:tc>
          <w:tcPr>
            <w:tcW w:w="1560" w:type="dxa"/>
            <w:vAlign w:val="center"/>
          </w:tcPr>
          <w:p w14:paraId="4FFAC60E">
            <w:pPr>
              <w:jc w:val="center"/>
              <w:rPr>
                <w:color w:val="000000"/>
                <w:sz w:val="19"/>
                <w:szCs w:val="19"/>
              </w:rPr>
            </w:pPr>
            <w:r>
              <w:rPr>
                <w:color w:val="000000"/>
                <w:sz w:val="19"/>
                <w:szCs w:val="19"/>
              </w:rPr>
              <w:t>1.308.662.032</w:t>
            </w:r>
          </w:p>
        </w:tc>
        <w:tc>
          <w:tcPr>
            <w:tcW w:w="1559" w:type="dxa"/>
            <w:vAlign w:val="center"/>
          </w:tcPr>
          <w:p w14:paraId="628CE711">
            <w:pPr>
              <w:jc w:val="center"/>
              <w:rPr>
                <w:color w:val="000000"/>
                <w:sz w:val="19"/>
                <w:szCs w:val="19"/>
              </w:rPr>
            </w:pPr>
            <w:r>
              <w:rPr>
                <w:color w:val="000000"/>
                <w:sz w:val="19"/>
                <w:szCs w:val="19"/>
              </w:rPr>
              <w:t>1.308.662.032</w:t>
            </w:r>
          </w:p>
        </w:tc>
        <w:tc>
          <w:tcPr>
            <w:tcW w:w="1422" w:type="dxa"/>
            <w:vAlign w:val="center"/>
          </w:tcPr>
          <w:p w14:paraId="52896B2A">
            <w:pPr>
              <w:jc w:val="center"/>
              <w:rPr>
                <w:color w:val="000000"/>
                <w:sz w:val="19"/>
                <w:szCs w:val="19"/>
              </w:rPr>
            </w:pPr>
            <w:r>
              <w:rPr>
                <w:color w:val="000000"/>
                <w:sz w:val="19"/>
                <w:szCs w:val="19"/>
              </w:rPr>
              <w:t>1.308.662.032</w:t>
            </w:r>
          </w:p>
        </w:tc>
        <w:tc>
          <w:tcPr>
            <w:tcW w:w="1554" w:type="dxa"/>
            <w:vAlign w:val="center"/>
          </w:tcPr>
          <w:p w14:paraId="7CE10AFD">
            <w:pPr>
              <w:jc w:val="center"/>
              <w:rPr>
                <w:color w:val="000000"/>
                <w:sz w:val="19"/>
                <w:szCs w:val="19"/>
              </w:rPr>
            </w:pPr>
            <w:r>
              <w:rPr>
                <w:color w:val="000000"/>
                <w:sz w:val="19"/>
                <w:szCs w:val="19"/>
              </w:rPr>
              <w:t>5.234.648.130</w:t>
            </w:r>
          </w:p>
        </w:tc>
      </w:tr>
      <w:tr w14:paraId="0C5C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2F7C4798">
            <w:pPr>
              <w:jc w:val="center"/>
              <w:rPr>
                <w:color w:val="000000"/>
                <w:sz w:val="20"/>
                <w:szCs w:val="20"/>
              </w:rPr>
            </w:pPr>
          </w:p>
        </w:tc>
        <w:tc>
          <w:tcPr>
            <w:tcW w:w="1471" w:type="dxa"/>
            <w:vAlign w:val="center"/>
          </w:tcPr>
          <w:p w14:paraId="4DD36A7C">
            <w:pPr>
              <w:rPr>
                <w:color w:val="000000"/>
                <w:sz w:val="21"/>
                <w:szCs w:val="21"/>
              </w:rPr>
            </w:pPr>
            <w:r>
              <w:rPr>
                <w:color w:val="000000"/>
                <w:sz w:val="21"/>
                <w:szCs w:val="21"/>
              </w:rPr>
              <w:t>Chi phí khác</w:t>
            </w:r>
          </w:p>
        </w:tc>
        <w:tc>
          <w:tcPr>
            <w:tcW w:w="1559" w:type="dxa"/>
            <w:vAlign w:val="center"/>
          </w:tcPr>
          <w:p w14:paraId="42A8EFD6">
            <w:pPr>
              <w:jc w:val="center"/>
              <w:rPr>
                <w:color w:val="000000"/>
                <w:sz w:val="19"/>
                <w:szCs w:val="19"/>
              </w:rPr>
            </w:pPr>
            <w:r>
              <w:rPr>
                <w:color w:val="000000"/>
                <w:sz w:val="19"/>
                <w:szCs w:val="19"/>
              </w:rPr>
              <w:t>27.292.222</w:t>
            </w:r>
          </w:p>
        </w:tc>
        <w:tc>
          <w:tcPr>
            <w:tcW w:w="1560" w:type="dxa"/>
            <w:vAlign w:val="center"/>
          </w:tcPr>
          <w:p w14:paraId="6605C7F2">
            <w:pPr>
              <w:jc w:val="center"/>
              <w:rPr>
                <w:color w:val="000000"/>
                <w:sz w:val="19"/>
                <w:szCs w:val="19"/>
              </w:rPr>
            </w:pPr>
            <w:r>
              <w:rPr>
                <w:color w:val="000000"/>
                <w:sz w:val="19"/>
                <w:szCs w:val="19"/>
              </w:rPr>
              <w:t>27.292.222</w:t>
            </w:r>
          </w:p>
        </w:tc>
        <w:tc>
          <w:tcPr>
            <w:tcW w:w="1559" w:type="dxa"/>
            <w:vAlign w:val="center"/>
          </w:tcPr>
          <w:p w14:paraId="06D47BA4">
            <w:pPr>
              <w:jc w:val="center"/>
              <w:rPr>
                <w:color w:val="000000"/>
                <w:sz w:val="19"/>
                <w:szCs w:val="19"/>
              </w:rPr>
            </w:pPr>
            <w:r>
              <w:rPr>
                <w:color w:val="000000"/>
                <w:sz w:val="19"/>
                <w:szCs w:val="19"/>
              </w:rPr>
              <w:t>27.292.222</w:t>
            </w:r>
          </w:p>
        </w:tc>
        <w:tc>
          <w:tcPr>
            <w:tcW w:w="1422" w:type="dxa"/>
            <w:vAlign w:val="center"/>
          </w:tcPr>
          <w:p w14:paraId="2097E532">
            <w:pPr>
              <w:jc w:val="center"/>
              <w:rPr>
                <w:color w:val="000000"/>
                <w:sz w:val="19"/>
                <w:szCs w:val="19"/>
              </w:rPr>
            </w:pPr>
            <w:r>
              <w:rPr>
                <w:color w:val="000000"/>
                <w:sz w:val="19"/>
                <w:szCs w:val="19"/>
              </w:rPr>
              <w:t>27.292.222</w:t>
            </w:r>
          </w:p>
        </w:tc>
        <w:tc>
          <w:tcPr>
            <w:tcW w:w="1554" w:type="dxa"/>
            <w:vAlign w:val="center"/>
          </w:tcPr>
          <w:p w14:paraId="7E4085DA">
            <w:pPr>
              <w:jc w:val="center"/>
              <w:rPr>
                <w:color w:val="000000"/>
                <w:sz w:val="19"/>
                <w:szCs w:val="19"/>
              </w:rPr>
            </w:pPr>
            <w:r>
              <w:rPr>
                <w:color w:val="000000"/>
                <w:sz w:val="19"/>
                <w:szCs w:val="19"/>
              </w:rPr>
              <w:t>109.168.887</w:t>
            </w:r>
          </w:p>
        </w:tc>
      </w:tr>
      <w:tr w14:paraId="1FB5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40D77C40">
            <w:pPr>
              <w:jc w:val="center"/>
              <w:rPr>
                <w:color w:val="000000"/>
                <w:sz w:val="20"/>
                <w:szCs w:val="20"/>
              </w:rPr>
            </w:pPr>
          </w:p>
        </w:tc>
        <w:tc>
          <w:tcPr>
            <w:tcW w:w="1471" w:type="dxa"/>
            <w:vAlign w:val="center"/>
          </w:tcPr>
          <w:p w14:paraId="25C6881B">
            <w:pPr>
              <w:rPr>
                <w:i/>
                <w:iCs/>
                <w:color w:val="000000"/>
                <w:sz w:val="21"/>
                <w:szCs w:val="21"/>
              </w:rPr>
            </w:pPr>
            <w:r>
              <w:rPr>
                <w:i/>
                <w:iCs/>
                <w:color w:val="000000"/>
                <w:sz w:val="21"/>
                <w:szCs w:val="21"/>
              </w:rPr>
              <w:t>Tiến độ đầu tư xây dựng nhà xây thô</w:t>
            </w:r>
          </w:p>
        </w:tc>
        <w:tc>
          <w:tcPr>
            <w:tcW w:w="1559" w:type="dxa"/>
            <w:vAlign w:val="center"/>
          </w:tcPr>
          <w:p w14:paraId="4C603A04">
            <w:pPr>
              <w:jc w:val="center"/>
              <w:rPr>
                <w:i/>
                <w:iCs/>
                <w:color w:val="000000"/>
                <w:sz w:val="19"/>
                <w:szCs w:val="19"/>
              </w:rPr>
            </w:pPr>
            <w:r>
              <w:rPr>
                <w:i/>
                <w:iCs/>
                <w:color w:val="000000"/>
                <w:sz w:val="19"/>
                <w:szCs w:val="19"/>
              </w:rPr>
              <w:t>25%</w:t>
            </w:r>
          </w:p>
        </w:tc>
        <w:tc>
          <w:tcPr>
            <w:tcW w:w="1560" w:type="dxa"/>
            <w:vAlign w:val="center"/>
          </w:tcPr>
          <w:p w14:paraId="229E8CDD">
            <w:pPr>
              <w:jc w:val="center"/>
              <w:rPr>
                <w:i/>
                <w:iCs/>
                <w:color w:val="000000"/>
                <w:sz w:val="19"/>
                <w:szCs w:val="19"/>
              </w:rPr>
            </w:pPr>
            <w:r>
              <w:rPr>
                <w:i/>
                <w:iCs/>
                <w:color w:val="000000"/>
                <w:sz w:val="19"/>
                <w:szCs w:val="19"/>
              </w:rPr>
              <w:t>25%</w:t>
            </w:r>
          </w:p>
        </w:tc>
        <w:tc>
          <w:tcPr>
            <w:tcW w:w="1559" w:type="dxa"/>
            <w:vAlign w:val="center"/>
          </w:tcPr>
          <w:p w14:paraId="378EB2DB">
            <w:pPr>
              <w:jc w:val="center"/>
              <w:rPr>
                <w:i/>
                <w:iCs/>
                <w:color w:val="000000"/>
                <w:sz w:val="19"/>
                <w:szCs w:val="19"/>
              </w:rPr>
            </w:pPr>
            <w:r>
              <w:rPr>
                <w:i/>
                <w:iCs/>
                <w:color w:val="000000"/>
                <w:sz w:val="19"/>
                <w:szCs w:val="19"/>
              </w:rPr>
              <w:t>25%</w:t>
            </w:r>
          </w:p>
        </w:tc>
        <w:tc>
          <w:tcPr>
            <w:tcW w:w="1422" w:type="dxa"/>
            <w:vAlign w:val="center"/>
          </w:tcPr>
          <w:p w14:paraId="78705AB7">
            <w:pPr>
              <w:jc w:val="center"/>
              <w:rPr>
                <w:i/>
                <w:iCs/>
                <w:color w:val="000000"/>
                <w:sz w:val="19"/>
                <w:szCs w:val="19"/>
              </w:rPr>
            </w:pPr>
            <w:r>
              <w:rPr>
                <w:i/>
                <w:iCs/>
                <w:color w:val="000000"/>
                <w:sz w:val="19"/>
                <w:szCs w:val="19"/>
              </w:rPr>
              <w:t>25%</w:t>
            </w:r>
          </w:p>
        </w:tc>
        <w:tc>
          <w:tcPr>
            <w:tcW w:w="1554" w:type="dxa"/>
            <w:vAlign w:val="center"/>
          </w:tcPr>
          <w:p w14:paraId="0955128C">
            <w:pPr>
              <w:jc w:val="center"/>
              <w:rPr>
                <w:color w:val="000000"/>
                <w:sz w:val="19"/>
                <w:szCs w:val="19"/>
              </w:rPr>
            </w:pPr>
            <w:r>
              <w:rPr>
                <w:color w:val="000000"/>
                <w:sz w:val="19"/>
                <w:szCs w:val="19"/>
              </w:rPr>
              <w:t>100%</w:t>
            </w:r>
          </w:p>
        </w:tc>
      </w:tr>
      <w:tr w14:paraId="79F0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4" w:type="dxa"/>
            <w:vAlign w:val="center"/>
          </w:tcPr>
          <w:p w14:paraId="0855B4DD">
            <w:pPr>
              <w:jc w:val="center"/>
              <w:rPr>
                <w:b/>
                <w:bCs/>
                <w:color w:val="000000"/>
                <w:sz w:val="20"/>
                <w:szCs w:val="20"/>
              </w:rPr>
            </w:pPr>
          </w:p>
        </w:tc>
        <w:tc>
          <w:tcPr>
            <w:tcW w:w="1471" w:type="dxa"/>
            <w:noWrap/>
            <w:vAlign w:val="center"/>
          </w:tcPr>
          <w:p w14:paraId="5B08360F">
            <w:pPr>
              <w:jc w:val="center"/>
              <w:rPr>
                <w:b/>
                <w:bCs/>
                <w:color w:val="000000"/>
                <w:sz w:val="21"/>
                <w:szCs w:val="21"/>
              </w:rPr>
            </w:pPr>
            <w:r>
              <w:rPr>
                <w:b/>
                <w:bCs/>
                <w:color w:val="000000"/>
                <w:sz w:val="21"/>
                <w:szCs w:val="21"/>
              </w:rPr>
              <w:t>Tổng chi phí đầu tư Xây dựng</w:t>
            </w:r>
          </w:p>
        </w:tc>
        <w:tc>
          <w:tcPr>
            <w:tcW w:w="1559" w:type="dxa"/>
            <w:vAlign w:val="center"/>
          </w:tcPr>
          <w:p w14:paraId="650ECAFE">
            <w:pPr>
              <w:jc w:val="center"/>
              <w:rPr>
                <w:b/>
                <w:bCs/>
                <w:color w:val="000000"/>
                <w:sz w:val="19"/>
                <w:szCs w:val="19"/>
              </w:rPr>
            </w:pPr>
            <w:r>
              <w:rPr>
                <w:b/>
                <w:bCs/>
                <w:color w:val="000000"/>
                <w:sz w:val="19"/>
                <w:szCs w:val="19"/>
              </w:rPr>
              <w:t>114.252.512.092</w:t>
            </w:r>
          </w:p>
        </w:tc>
        <w:tc>
          <w:tcPr>
            <w:tcW w:w="1560" w:type="dxa"/>
            <w:vAlign w:val="center"/>
          </w:tcPr>
          <w:p w14:paraId="038E618C">
            <w:pPr>
              <w:jc w:val="center"/>
              <w:rPr>
                <w:b/>
                <w:bCs/>
                <w:color w:val="000000"/>
                <w:sz w:val="19"/>
                <w:szCs w:val="19"/>
              </w:rPr>
            </w:pPr>
            <w:r>
              <w:rPr>
                <w:b/>
                <w:bCs/>
                <w:color w:val="000000"/>
                <w:sz w:val="19"/>
                <w:szCs w:val="19"/>
              </w:rPr>
              <w:t>114.252.512.092</w:t>
            </w:r>
          </w:p>
        </w:tc>
        <w:tc>
          <w:tcPr>
            <w:tcW w:w="1559" w:type="dxa"/>
            <w:vAlign w:val="center"/>
          </w:tcPr>
          <w:p w14:paraId="0840E139">
            <w:pPr>
              <w:jc w:val="center"/>
              <w:rPr>
                <w:b/>
                <w:bCs/>
                <w:color w:val="000000"/>
                <w:sz w:val="19"/>
                <w:szCs w:val="19"/>
              </w:rPr>
            </w:pPr>
            <w:r>
              <w:rPr>
                <w:b/>
                <w:bCs/>
                <w:color w:val="000000"/>
                <w:sz w:val="19"/>
                <w:szCs w:val="19"/>
              </w:rPr>
              <w:t>103.078.378.823</w:t>
            </w:r>
          </w:p>
        </w:tc>
        <w:tc>
          <w:tcPr>
            <w:tcW w:w="1422" w:type="dxa"/>
            <w:vAlign w:val="center"/>
          </w:tcPr>
          <w:p w14:paraId="3C0D0560">
            <w:pPr>
              <w:jc w:val="center"/>
              <w:rPr>
                <w:b/>
                <w:bCs/>
                <w:color w:val="000000"/>
                <w:sz w:val="19"/>
                <w:szCs w:val="19"/>
              </w:rPr>
            </w:pPr>
            <w:r>
              <w:rPr>
                <w:b/>
                <w:bCs/>
                <w:color w:val="000000"/>
                <w:sz w:val="19"/>
                <w:szCs w:val="19"/>
              </w:rPr>
              <w:t>36.033.579.211</w:t>
            </w:r>
          </w:p>
        </w:tc>
        <w:tc>
          <w:tcPr>
            <w:tcW w:w="1554" w:type="dxa"/>
            <w:vAlign w:val="center"/>
          </w:tcPr>
          <w:p w14:paraId="5A93FA28">
            <w:pPr>
              <w:jc w:val="center"/>
              <w:rPr>
                <w:b/>
                <w:bCs/>
                <w:color w:val="000000"/>
                <w:sz w:val="19"/>
                <w:szCs w:val="19"/>
              </w:rPr>
            </w:pPr>
            <w:r>
              <w:rPr>
                <w:b/>
                <w:bCs/>
                <w:color w:val="000000"/>
                <w:sz w:val="19"/>
                <w:szCs w:val="19"/>
              </w:rPr>
              <w:t>367.616.982.218</w:t>
            </w:r>
          </w:p>
        </w:tc>
      </w:tr>
    </w:tbl>
    <w:p w14:paraId="4822D164">
      <w:pPr>
        <w:tabs>
          <w:tab w:val="left" w:pos="1037"/>
        </w:tabs>
        <w:rPr>
          <w:b/>
          <w:bCs/>
          <w:i/>
          <w:iCs/>
          <w:color w:val="000000" w:themeColor="text1"/>
          <w:sz w:val="26"/>
          <w:szCs w:val="26"/>
          <w14:textFill>
            <w14:solidFill>
              <w14:schemeClr w14:val="tx1"/>
            </w14:solidFill>
          </w14:textFill>
        </w:rPr>
      </w:pPr>
    </w:p>
    <w:p w14:paraId="2A281321">
      <w:pPr>
        <w:tabs>
          <w:tab w:val="left" w:pos="1037"/>
        </w:tabs>
        <w:rPr>
          <w:b/>
          <w:bCs/>
          <w:i/>
          <w:iCs/>
          <w:color w:val="000000" w:themeColor="text1"/>
          <w:sz w:val="26"/>
          <w:szCs w:val="26"/>
          <w14:textFill>
            <w14:solidFill>
              <w14:schemeClr w14:val="tx1"/>
            </w14:solidFill>
          </w14:textFill>
        </w:rPr>
      </w:pPr>
      <w:r>
        <w:rPr>
          <w:b/>
          <w:bCs/>
          <w:i/>
          <w:iCs/>
          <w:color w:val="000000" w:themeColor="text1"/>
          <w:sz w:val="26"/>
          <w:szCs w:val="26"/>
          <w:lang w:val="vi-VN"/>
          <w14:textFill>
            <w14:solidFill>
              <w14:schemeClr w14:val="tx1"/>
            </w14:solidFill>
          </w14:textFill>
        </w:rPr>
        <w:t>*  Tỷ suất chiết khấu 1</w:t>
      </w:r>
      <w:r>
        <w:rPr>
          <w:b/>
          <w:bCs/>
          <w:i/>
          <w:iCs/>
          <w:color w:val="000000" w:themeColor="text1"/>
          <w:sz w:val="26"/>
          <w:szCs w:val="26"/>
          <w14:textFill>
            <w14:solidFill>
              <w14:schemeClr w14:val="tx1"/>
            </w14:solidFill>
          </w14:textFill>
        </w:rPr>
        <w:t>0,33</w:t>
      </w:r>
      <w:r>
        <w:rPr>
          <w:b/>
          <w:bCs/>
          <w:i/>
          <w:iCs/>
          <w:color w:val="000000" w:themeColor="text1"/>
          <w:sz w:val="26"/>
          <w:szCs w:val="26"/>
          <w:lang w:val="vi-VN"/>
          <w14:textFill>
            <w14:solidFill>
              <w14:schemeClr w14:val="tx1"/>
            </w14:solidFill>
          </w14:textFill>
        </w:rPr>
        <w:t>%năm.</w:t>
      </w:r>
    </w:p>
    <w:p w14:paraId="24641813">
      <w:pPr>
        <w:tabs>
          <w:tab w:val="left" w:pos="1037"/>
        </w:tabs>
        <w:rPr>
          <w:b/>
          <w:bCs/>
          <w:i/>
          <w:iCs/>
          <w:color w:val="000000" w:themeColor="text1"/>
          <w:sz w:val="26"/>
          <w:szCs w:val="26"/>
          <w14:textFill>
            <w14:solidFill>
              <w14:schemeClr w14:val="tx1"/>
            </w14:solidFill>
          </w14:textFill>
        </w:rPr>
      </w:pP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85"/>
        <w:gridCol w:w="1836"/>
        <w:gridCol w:w="2075"/>
        <w:gridCol w:w="2042"/>
        <w:gridCol w:w="2126"/>
      </w:tblGrid>
      <w:tr w14:paraId="45DA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vAlign w:val="center"/>
          </w:tcPr>
          <w:p w14:paraId="52440271">
            <w:pPr>
              <w:jc w:val="center"/>
              <w:rPr>
                <w:b/>
                <w:bCs/>
              </w:rPr>
            </w:pPr>
            <w:r>
              <w:rPr>
                <w:b/>
                <w:bCs/>
              </w:rPr>
              <w:t>STT</w:t>
            </w:r>
          </w:p>
        </w:tc>
        <w:tc>
          <w:tcPr>
            <w:tcW w:w="885" w:type="dxa"/>
            <w:vAlign w:val="center"/>
          </w:tcPr>
          <w:p w14:paraId="161E940D">
            <w:pPr>
              <w:jc w:val="center"/>
              <w:rPr>
                <w:b/>
                <w:bCs/>
              </w:rPr>
            </w:pPr>
            <w:r>
              <w:rPr>
                <w:b/>
                <w:bCs/>
              </w:rPr>
              <w:t>Năm</w:t>
            </w:r>
          </w:p>
        </w:tc>
        <w:tc>
          <w:tcPr>
            <w:tcW w:w="1836" w:type="dxa"/>
            <w:vAlign w:val="center"/>
          </w:tcPr>
          <w:p w14:paraId="7D3C2B10">
            <w:pPr>
              <w:jc w:val="center"/>
              <w:rPr>
                <w:b/>
                <w:bCs/>
              </w:rPr>
            </w:pPr>
            <w:r>
              <w:rPr>
                <w:b/>
                <w:bCs/>
              </w:rPr>
              <w:t>Chi phí xây dựng hạ tầng</w:t>
            </w:r>
          </w:p>
        </w:tc>
        <w:tc>
          <w:tcPr>
            <w:tcW w:w="2075" w:type="dxa"/>
            <w:vAlign w:val="center"/>
          </w:tcPr>
          <w:p w14:paraId="084CF1C3">
            <w:pPr>
              <w:jc w:val="center"/>
              <w:rPr>
                <w:b/>
                <w:bCs/>
              </w:rPr>
            </w:pPr>
            <w:r>
              <w:rPr>
                <w:b/>
                <w:bCs/>
              </w:rPr>
              <w:t>Chi phí xây nhà thấp tầng</w:t>
            </w:r>
          </w:p>
        </w:tc>
        <w:tc>
          <w:tcPr>
            <w:tcW w:w="2042" w:type="dxa"/>
            <w:vAlign w:val="center"/>
          </w:tcPr>
          <w:p w14:paraId="0AE37D84">
            <w:pPr>
              <w:jc w:val="center"/>
              <w:rPr>
                <w:b/>
                <w:bCs/>
              </w:rPr>
            </w:pPr>
            <w:r>
              <w:rPr>
                <w:b/>
                <w:bCs/>
              </w:rPr>
              <w:t>Hệ số chiết khấu theo lãi vay ngân hàng (r =10,33%/năm)</w:t>
            </w:r>
          </w:p>
        </w:tc>
        <w:tc>
          <w:tcPr>
            <w:tcW w:w="2126" w:type="dxa"/>
            <w:vAlign w:val="center"/>
          </w:tcPr>
          <w:p w14:paraId="0AD5C45A">
            <w:pPr>
              <w:jc w:val="center"/>
              <w:rPr>
                <w:b/>
                <w:bCs/>
              </w:rPr>
            </w:pPr>
            <w:r>
              <w:rPr>
                <w:b/>
                <w:bCs/>
              </w:rPr>
              <w:t>Tổng chi phí quy về hiện tại</w:t>
            </w:r>
          </w:p>
        </w:tc>
      </w:tr>
      <w:tr w14:paraId="35BE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noWrap/>
            <w:vAlign w:val="center"/>
          </w:tcPr>
          <w:p w14:paraId="67A90D7D">
            <w:pPr>
              <w:jc w:val="center"/>
            </w:pPr>
            <w:r>
              <w:t>1</w:t>
            </w:r>
          </w:p>
        </w:tc>
        <w:tc>
          <w:tcPr>
            <w:tcW w:w="885" w:type="dxa"/>
            <w:vAlign w:val="center"/>
          </w:tcPr>
          <w:p w14:paraId="5B7763C1">
            <w:pPr>
              <w:jc w:val="center"/>
            </w:pPr>
            <w:r>
              <w:t>Năm 1</w:t>
            </w:r>
          </w:p>
        </w:tc>
        <w:tc>
          <w:tcPr>
            <w:tcW w:w="1836" w:type="dxa"/>
            <w:vAlign w:val="center"/>
          </w:tcPr>
          <w:p w14:paraId="7DF6F3BE">
            <w:pPr>
              <w:jc w:val="center"/>
            </w:pPr>
            <w:r>
              <w:t>78.218.932.882</w:t>
            </w:r>
          </w:p>
        </w:tc>
        <w:tc>
          <w:tcPr>
            <w:tcW w:w="2075" w:type="dxa"/>
            <w:vAlign w:val="center"/>
          </w:tcPr>
          <w:p w14:paraId="05F1AD0C">
            <w:pPr>
              <w:jc w:val="center"/>
            </w:pPr>
            <w:r>
              <w:t>36.033.579.211</w:t>
            </w:r>
          </w:p>
        </w:tc>
        <w:tc>
          <w:tcPr>
            <w:tcW w:w="2042" w:type="dxa"/>
            <w:vAlign w:val="center"/>
          </w:tcPr>
          <w:p w14:paraId="238863ED">
            <w:pPr>
              <w:jc w:val="center"/>
            </w:pPr>
            <w:r>
              <w:t>0,91</w:t>
            </w:r>
          </w:p>
        </w:tc>
        <w:tc>
          <w:tcPr>
            <w:tcW w:w="2126" w:type="dxa"/>
            <w:vAlign w:val="center"/>
          </w:tcPr>
          <w:p w14:paraId="1BD782B8">
            <w:pPr>
              <w:jc w:val="center"/>
            </w:pPr>
            <w:r>
              <w:t>103.557.600.863</w:t>
            </w:r>
          </w:p>
        </w:tc>
      </w:tr>
      <w:tr w14:paraId="0D6D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noWrap/>
            <w:vAlign w:val="center"/>
          </w:tcPr>
          <w:p w14:paraId="691F7205">
            <w:pPr>
              <w:jc w:val="center"/>
            </w:pPr>
            <w:r>
              <w:t>2</w:t>
            </w:r>
          </w:p>
        </w:tc>
        <w:tc>
          <w:tcPr>
            <w:tcW w:w="885" w:type="dxa"/>
            <w:vAlign w:val="center"/>
          </w:tcPr>
          <w:p w14:paraId="76660946">
            <w:pPr>
              <w:jc w:val="center"/>
            </w:pPr>
            <w:r>
              <w:t>Năm 2</w:t>
            </w:r>
          </w:p>
        </w:tc>
        <w:tc>
          <w:tcPr>
            <w:tcW w:w="1836" w:type="dxa"/>
            <w:vAlign w:val="center"/>
          </w:tcPr>
          <w:p w14:paraId="6D9979A7">
            <w:pPr>
              <w:jc w:val="center"/>
            </w:pPr>
            <w:r>
              <w:t>78.218.932.882</w:t>
            </w:r>
          </w:p>
        </w:tc>
        <w:tc>
          <w:tcPr>
            <w:tcW w:w="2075" w:type="dxa"/>
            <w:vAlign w:val="center"/>
          </w:tcPr>
          <w:p w14:paraId="33DCECF6">
            <w:pPr>
              <w:jc w:val="center"/>
            </w:pPr>
            <w:r>
              <w:t>36.033.579.211</w:t>
            </w:r>
          </w:p>
        </w:tc>
        <w:tc>
          <w:tcPr>
            <w:tcW w:w="2042" w:type="dxa"/>
            <w:vAlign w:val="center"/>
          </w:tcPr>
          <w:p w14:paraId="3D7B656B">
            <w:pPr>
              <w:jc w:val="center"/>
            </w:pPr>
            <w:r>
              <w:t>0,82</w:t>
            </w:r>
          </w:p>
        </w:tc>
        <w:tc>
          <w:tcPr>
            <w:tcW w:w="2126" w:type="dxa"/>
            <w:vAlign w:val="center"/>
          </w:tcPr>
          <w:p w14:paraId="7ABF069A">
            <w:pPr>
              <w:jc w:val="center"/>
            </w:pPr>
            <w:r>
              <w:t>93.863.815.334</w:t>
            </w:r>
          </w:p>
        </w:tc>
      </w:tr>
      <w:tr w14:paraId="6116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noWrap/>
            <w:vAlign w:val="center"/>
          </w:tcPr>
          <w:p w14:paraId="32FCE413">
            <w:pPr>
              <w:jc w:val="center"/>
            </w:pPr>
            <w:r>
              <w:t>3</w:t>
            </w:r>
          </w:p>
        </w:tc>
        <w:tc>
          <w:tcPr>
            <w:tcW w:w="885" w:type="dxa"/>
            <w:vAlign w:val="center"/>
          </w:tcPr>
          <w:p w14:paraId="2AC6724A">
            <w:pPr>
              <w:jc w:val="center"/>
            </w:pPr>
            <w:r>
              <w:t>Năm 3</w:t>
            </w:r>
          </w:p>
        </w:tc>
        <w:tc>
          <w:tcPr>
            <w:tcW w:w="1836" w:type="dxa"/>
            <w:vAlign w:val="center"/>
          </w:tcPr>
          <w:p w14:paraId="21D9B1E8">
            <w:pPr>
              <w:jc w:val="center"/>
            </w:pPr>
            <w:r>
              <w:t>67.044.799.613</w:t>
            </w:r>
          </w:p>
        </w:tc>
        <w:tc>
          <w:tcPr>
            <w:tcW w:w="2075" w:type="dxa"/>
            <w:vAlign w:val="center"/>
          </w:tcPr>
          <w:p w14:paraId="378AC5F5">
            <w:pPr>
              <w:jc w:val="center"/>
            </w:pPr>
            <w:r>
              <w:t>36.033.579.211</w:t>
            </w:r>
          </w:p>
        </w:tc>
        <w:tc>
          <w:tcPr>
            <w:tcW w:w="2042" w:type="dxa"/>
            <w:vAlign w:val="center"/>
          </w:tcPr>
          <w:p w14:paraId="61D91614">
            <w:pPr>
              <w:jc w:val="center"/>
            </w:pPr>
            <w:r>
              <w:t>0,74</w:t>
            </w:r>
          </w:p>
        </w:tc>
        <w:tc>
          <w:tcPr>
            <w:tcW w:w="2126" w:type="dxa"/>
            <w:vAlign w:val="center"/>
          </w:tcPr>
          <w:p w14:paraId="4E45A6A2">
            <w:pPr>
              <w:jc w:val="center"/>
            </w:pPr>
            <w:r>
              <w:t>76.756.691.674</w:t>
            </w:r>
          </w:p>
        </w:tc>
      </w:tr>
      <w:tr w14:paraId="5B45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noWrap/>
            <w:vAlign w:val="center"/>
          </w:tcPr>
          <w:p w14:paraId="3592C31C">
            <w:pPr>
              <w:jc w:val="center"/>
            </w:pPr>
            <w:r>
              <w:t>4</w:t>
            </w:r>
          </w:p>
        </w:tc>
        <w:tc>
          <w:tcPr>
            <w:tcW w:w="885" w:type="dxa"/>
            <w:vAlign w:val="center"/>
          </w:tcPr>
          <w:p w14:paraId="5A53E1A9">
            <w:pPr>
              <w:jc w:val="center"/>
            </w:pPr>
            <w:r>
              <w:t>Năm 4</w:t>
            </w:r>
          </w:p>
        </w:tc>
        <w:tc>
          <w:tcPr>
            <w:tcW w:w="1836" w:type="dxa"/>
            <w:vAlign w:val="center"/>
          </w:tcPr>
          <w:p w14:paraId="5D948F32">
            <w:pPr>
              <w:jc w:val="center"/>
            </w:pPr>
          </w:p>
        </w:tc>
        <w:tc>
          <w:tcPr>
            <w:tcW w:w="2075" w:type="dxa"/>
            <w:vAlign w:val="center"/>
          </w:tcPr>
          <w:p w14:paraId="27465F03">
            <w:pPr>
              <w:jc w:val="center"/>
            </w:pPr>
            <w:r>
              <w:t>36.033.579.211</w:t>
            </w:r>
          </w:p>
        </w:tc>
        <w:tc>
          <w:tcPr>
            <w:tcW w:w="2042" w:type="dxa"/>
            <w:vAlign w:val="center"/>
          </w:tcPr>
          <w:p w14:paraId="51B7B481">
            <w:pPr>
              <w:jc w:val="center"/>
            </w:pPr>
            <w:r>
              <w:t>0,67</w:t>
            </w:r>
          </w:p>
        </w:tc>
        <w:tc>
          <w:tcPr>
            <w:tcW w:w="2126" w:type="dxa"/>
            <w:vAlign w:val="center"/>
          </w:tcPr>
          <w:p w14:paraId="539020C2">
            <w:pPr>
              <w:jc w:val="center"/>
            </w:pPr>
            <w:r>
              <w:t>24.320.488.485</w:t>
            </w:r>
          </w:p>
        </w:tc>
      </w:tr>
      <w:tr w14:paraId="1931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gridSpan w:val="2"/>
            <w:noWrap/>
            <w:vAlign w:val="center"/>
          </w:tcPr>
          <w:p w14:paraId="16D9E8F4">
            <w:pPr>
              <w:jc w:val="center"/>
              <w:rPr>
                <w:b/>
                <w:bCs/>
              </w:rPr>
            </w:pPr>
            <w:r>
              <w:rPr>
                <w:b/>
                <w:bCs/>
              </w:rPr>
              <w:t>Tổng cộng</w:t>
            </w:r>
          </w:p>
        </w:tc>
        <w:tc>
          <w:tcPr>
            <w:tcW w:w="1836" w:type="dxa"/>
            <w:vAlign w:val="center"/>
          </w:tcPr>
          <w:p w14:paraId="36B2FDF5">
            <w:pPr>
              <w:jc w:val="center"/>
              <w:rPr>
                <w:b/>
                <w:bCs/>
              </w:rPr>
            </w:pPr>
            <w:r>
              <w:rPr>
                <w:b/>
                <w:bCs/>
              </w:rPr>
              <w:t>223.482.665.376</w:t>
            </w:r>
          </w:p>
        </w:tc>
        <w:tc>
          <w:tcPr>
            <w:tcW w:w="2075" w:type="dxa"/>
            <w:vAlign w:val="center"/>
          </w:tcPr>
          <w:p w14:paraId="0BC57414">
            <w:pPr>
              <w:jc w:val="center"/>
              <w:rPr>
                <w:b/>
                <w:bCs/>
              </w:rPr>
            </w:pPr>
            <w:r>
              <w:rPr>
                <w:b/>
                <w:bCs/>
              </w:rPr>
              <w:t>144.134.316.842</w:t>
            </w:r>
          </w:p>
        </w:tc>
        <w:tc>
          <w:tcPr>
            <w:tcW w:w="2042" w:type="dxa"/>
            <w:vAlign w:val="center"/>
          </w:tcPr>
          <w:p w14:paraId="3102CF1A">
            <w:pPr>
              <w:jc w:val="center"/>
              <w:rPr>
                <w:b/>
                <w:bCs/>
              </w:rPr>
            </w:pPr>
          </w:p>
        </w:tc>
        <w:tc>
          <w:tcPr>
            <w:tcW w:w="2126" w:type="dxa"/>
            <w:vAlign w:val="center"/>
          </w:tcPr>
          <w:p w14:paraId="674D3D34">
            <w:pPr>
              <w:jc w:val="center"/>
              <w:rPr>
                <w:b/>
                <w:bCs/>
              </w:rPr>
            </w:pPr>
            <w:r>
              <w:rPr>
                <w:b/>
                <w:bCs/>
              </w:rPr>
              <w:t>298.498.596.356</w:t>
            </w:r>
          </w:p>
        </w:tc>
      </w:tr>
    </w:tbl>
    <w:p w14:paraId="03669488">
      <w:pPr>
        <w:tabs>
          <w:tab w:val="left" w:pos="1037"/>
        </w:tabs>
        <w:rPr>
          <w:b/>
          <w:bCs/>
          <w:i/>
          <w:iCs/>
          <w:color w:val="000000" w:themeColor="text1"/>
          <w:sz w:val="26"/>
          <w:szCs w:val="26"/>
          <w14:textFill>
            <w14:solidFill>
              <w14:schemeClr w14:val="tx1"/>
            </w14:solidFill>
          </w14:textFill>
        </w:rPr>
      </w:pPr>
    </w:p>
    <w:tbl>
      <w:tblPr>
        <w:tblStyle w:val="32"/>
        <w:tblpPr w:leftFromText="180" w:rightFromText="180" w:vertAnchor="text" w:horzAnchor="margin" w:tblpXSpec="center" w:tblpY="144"/>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7"/>
        <w:gridCol w:w="2126"/>
        <w:gridCol w:w="3119"/>
      </w:tblGrid>
      <w:tr w14:paraId="5E2B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1417" w:type="dxa"/>
            <w:vAlign w:val="center"/>
          </w:tcPr>
          <w:p w14:paraId="4912196F">
            <w:pPr>
              <w:tabs>
                <w:tab w:val="left" w:pos="1037"/>
              </w:tabs>
              <w:rPr>
                <w:b/>
                <w:bCs/>
                <w:i/>
                <w:iCs/>
                <w:color w:val="000000" w:themeColor="text1"/>
                <w:sz w:val="26"/>
                <w:szCs w:val="26"/>
                <w:lang w:val="da-DK"/>
                <w14:textFill>
                  <w14:solidFill>
                    <w14:schemeClr w14:val="tx1"/>
                  </w14:solidFill>
                </w14:textFill>
              </w:rPr>
            </w:pPr>
            <w:r>
              <w:rPr>
                <w:b/>
                <w:bCs/>
                <w:i/>
                <w:iCs/>
                <w:color w:val="000000" w:themeColor="text1"/>
                <w:sz w:val="26"/>
                <w:szCs w:val="26"/>
                <w:lang w:val="da-DK"/>
                <w14:textFill>
                  <w14:solidFill>
                    <w14:schemeClr w14:val="tx1"/>
                  </w14:solidFill>
                </w14:textFill>
              </w:rPr>
              <w:t>CPo =</w:t>
            </w:r>
          </w:p>
        </w:tc>
        <w:tc>
          <w:tcPr>
            <w:tcW w:w="2126" w:type="dxa"/>
            <w:vAlign w:val="center"/>
          </w:tcPr>
          <w:p w14:paraId="56669A74">
            <w:pPr>
              <w:tabs>
                <w:tab w:val="left" w:pos="1037"/>
              </w:tabs>
              <w:rPr>
                <w:b/>
                <w:bCs/>
                <w:i/>
                <w:iCs/>
                <w:color w:val="000000" w:themeColor="text1"/>
                <w:sz w:val="26"/>
                <w:szCs w:val="26"/>
                <w:lang w:val="vi-VN"/>
                <w14:textFill>
                  <w14:solidFill>
                    <w14:schemeClr w14:val="tx1"/>
                  </w14:solidFill>
                </w14:textFill>
              </w:rPr>
            </w:pPr>
            <m:oMathPara>
              <m:oMath>
                <m:nary>
                  <m:naryPr>
                    <m:chr m:val="∑"/>
                    <m:limLoc m:val="undOvr"/>
                    <m:ctrlPr>
                      <w:rPr>
                        <w:rFonts w:ascii="Cambria Math" w:hAnsi="Cambria Math"/>
                        <w:b/>
                        <w:bCs/>
                        <w:i/>
                        <w:iCs/>
                        <w:color w:val="000000" w:themeColor="text1"/>
                        <w:sz w:val="26"/>
                        <w:szCs w:val="26"/>
                        <w:lang w:val="vi-VN"/>
                        <w14:textFill>
                          <w14:solidFill>
                            <w14:schemeClr w14:val="tx1"/>
                          </w14:solidFill>
                        </w14:textFill>
                      </w:rPr>
                    </m:ctrlPr>
                  </m:naryPr>
                  <m:sub>
                    <m:r>
                      <m:rPr>
                        <m:sty m:val="bi"/>
                      </m:rPr>
                      <w:rPr>
                        <w:rFonts w:ascii="Cambria Math" w:hAnsi="Cambria Math"/>
                        <w:color w:val="000000" w:themeColor="text1"/>
                        <w:sz w:val="26"/>
                        <w:szCs w:val="26"/>
                        <w:lang w:val="vi-VN"/>
                        <w14:textFill>
                          <w14:solidFill>
                            <w14:schemeClr w14:val="tx1"/>
                          </w14:solidFill>
                        </w14:textFill>
                      </w:rPr>
                      <m:t>i=1</m:t>
                    </m:r>
                    <m:ctrlPr>
                      <w:rPr>
                        <w:rFonts w:ascii="Cambria Math" w:hAnsi="Cambria Math"/>
                        <w:b/>
                        <w:bCs/>
                        <w:i/>
                        <w:iCs/>
                        <w:color w:val="000000" w:themeColor="text1"/>
                        <w:sz w:val="26"/>
                        <w:szCs w:val="26"/>
                        <w:lang w:val="vi-VN"/>
                        <w14:textFill>
                          <w14:solidFill>
                            <w14:schemeClr w14:val="tx1"/>
                          </w14:solidFill>
                        </w14:textFill>
                      </w:rPr>
                    </m:ctrlPr>
                  </m:sub>
                  <m:sup>
                    <m:r>
                      <m:rPr>
                        <m:sty m:val="bi"/>
                      </m:rPr>
                      <w:rPr>
                        <w:rFonts w:ascii="Cambria Math" w:hAnsi="Cambria Math"/>
                        <w:color w:val="000000" w:themeColor="text1"/>
                        <w:sz w:val="26"/>
                        <w:szCs w:val="26"/>
                        <w:lang w:val="vi-VN"/>
                        <w14:textFill>
                          <w14:solidFill>
                            <w14:schemeClr w14:val="tx1"/>
                          </w14:solidFill>
                        </w14:textFill>
                      </w:rPr>
                      <m:t>m</m:t>
                    </m:r>
                    <m:ctrlPr>
                      <w:rPr>
                        <w:rFonts w:ascii="Cambria Math" w:hAnsi="Cambria Math"/>
                        <w:b/>
                        <w:bCs/>
                        <w:i/>
                        <w:iCs/>
                        <w:color w:val="000000" w:themeColor="text1"/>
                        <w:sz w:val="26"/>
                        <w:szCs w:val="26"/>
                        <w:lang w:val="vi-VN"/>
                        <w14:textFill>
                          <w14:solidFill>
                            <w14:schemeClr w14:val="tx1"/>
                          </w14:solidFill>
                        </w14:textFill>
                      </w:rPr>
                    </m:ctrlPr>
                  </m:sup>
                  <m:e>
                    <m:f>
                      <m:fPr>
                        <m:ctrlPr>
                          <w:rPr>
                            <w:rFonts w:ascii="Cambria Math" w:hAnsi="Cambria Math"/>
                            <w:b/>
                            <w:bCs/>
                            <w:i/>
                            <w:iCs/>
                            <w:color w:val="000000" w:themeColor="text1"/>
                            <w:sz w:val="26"/>
                            <w:szCs w:val="26"/>
                            <w:lang w:val="vi-VN"/>
                            <w14:textFill>
                              <w14:solidFill>
                                <w14:schemeClr w14:val="tx1"/>
                              </w14:solidFill>
                            </w14:textFill>
                          </w:rPr>
                        </m:ctrlPr>
                      </m:fPr>
                      <m:num>
                        <m:sSub>
                          <m:sSubPr>
                            <m:ctrlPr>
                              <w:rPr>
                                <w:rFonts w:ascii="Cambria Math" w:hAnsi="Cambria Math"/>
                                <w:b/>
                                <w:bCs/>
                                <w:i/>
                                <w:iCs/>
                                <w:color w:val="000000" w:themeColor="text1"/>
                                <w:sz w:val="26"/>
                                <w:szCs w:val="26"/>
                                <w:lang w:val="vi-VN"/>
                                <w14:textFill>
                                  <w14:solidFill>
                                    <w14:schemeClr w14:val="tx1"/>
                                  </w14:solidFill>
                                </w14:textFill>
                              </w:rPr>
                            </m:ctrlPr>
                          </m:sSubPr>
                          <m:e>
                            <m:r>
                              <m:rPr>
                                <m:sty m:val="bi"/>
                              </m:rPr>
                              <w:rPr>
                                <w:rFonts w:ascii="Cambria Math" w:hAnsi="Cambria Math"/>
                                <w:color w:val="000000" w:themeColor="text1"/>
                                <w:sz w:val="26"/>
                                <w:szCs w:val="26"/>
                                <w:lang w:val="vi-VN"/>
                                <w14:textFill>
                                  <w14:solidFill>
                                    <w14:schemeClr w14:val="tx1"/>
                                  </w14:solidFill>
                                </w14:textFill>
                              </w:rPr>
                              <m:t>C</m:t>
                            </m:r>
                            <m:ctrlPr>
                              <w:rPr>
                                <w:rFonts w:ascii="Cambria Math" w:hAnsi="Cambria Math"/>
                                <w:b/>
                                <w:bCs/>
                                <w:i/>
                                <w:iCs/>
                                <w:color w:val="000000" w:themeColor="text1"/>
                                <w:sz w:val="26"/>
                                <w:szCs w:val="26"/>
                                <w:lang w:val="vi-VN"/>
                                <w14:textFill>
                                  <w14:solidFill>
                                    <w14:schemeClr w14:val="tx1"/>
                                  </w14:solidFill>
                                </w14:textFill>
                              </w:rPr>
                            </m:ctrlPr>
                          </m:e>
                          <m:sub>
                            <m:r>
                              <m:rPr>
                                <m:sty m:val="bi"/>
                              </m:rPr>
                              <w:rPr>
                                <w:rFonts w:ascii="Cambria Math" w:hAnsi="Cambria Math"/>
                                <w:color w:val="000000" w:themeColor="text1"/>
                                <w:sz w:val="26"/>
                                <w:szCs w:val="26"/>
                                <w:lang w:val="vi-VN"/>
                                <w14:textFill>
                                  <w14:solidFill>
                                    <w14:schemeClr w14:val="tx1"/>
                                  </w14:solidFill>
                                </w14:textFill>
                              </w:rPr>
                              <m:t>i</m:t>
                            </m:r>
                            <m:ctrlPr>
                              <w:rPr>
                                <w:rFonts w:ascii="Cambria Math" w:hAnsi="Cambria Math"/>
                                <w:b/>
                                <w:bCs/>
                                <w:i/>
                                <w:iCs/>
                                <w:color w:val="000000" w:themeColor="text1"/>
                                <w:sz w:val="26"/>
                                <w:szCs w:val="26"/>
                                <w:lang w:val="vi-VN"/>
                                <w14:textFill>
                                  <w14:solidFill>
                                    <w14:schemeClr w14:val="tx1"/>
                                  </w14:solidFill>
                                </w14:textFill>
                              </w:rPr>
                            </m:ctrlPr>
                          </m:sub>
                        </m:sSub>
                        <m:ctrlPr>
                          <w:rPr>
                            <w:rFonts w:ascii="Cambria Math" w:hAnsi="Cambria Math"/>
                            <w:b/>
                            <w:bCs/>
                            <w:i/>
                            <w:iCs/>
                            <w:color w:val="000000" w:themeColor="text1"/>
                            <w:sz w:val="26"/>
                            <w:szCs w:val="26"/>
                            <w:lang w:val="vi-VN"/>
                            <w14:textFill>
                              <w14:solidFill>
                                <w14:schemeClr w14:val="tx1"/>
                              </w14:solidFill>
                            </w14:textFill>
                          </w:rPr>
                        </m:ctrlPr>
                      </m:num>
                      <m:den>
                        <m:sSup>
                          <m:sSupPr>
                            <m:ctrlPr>
                              <w:rPr>
                                <w:rFonts w:ascii="Cambria Math" w:hAnsi="Cambria Math"/>
                                <w:b/>
                                <w:bCs/>
                                <w:i/>
                                <w:iCs/>
                                <w:color w:val="000000" w:themeColor="text1"/>
                                <w:sz w:val="26"/>
                                <w:szCs w:val="26"/>
                                <w:lang w:val="vi-VN"/>
                                <w14:textFill>
                                  <w14:solidFill>
                                    <w14:schemeClr w14:val="tx1"/>
                                  </w14:solidFill>
                                </w14:textFill>
                              </w:rPr>
                            </m:ctrlPr>
                          </m:sSupPr>
                          <m:e>
                            <m:r>
                              <m:rPr>
                                <m:sty m:val="bi"/>
                              </m:rPr>
                              <w:rPr>
                                <w:rFonts w:ascii="Cambria Math" w:hAnsi="Cambria Math"/>
                                <w:color w:val="000000" w:themeColor="text1"/>
                                <w:sz w:val="26"/>
                                <w:szCs w:val="26"/>
                                <w:lang w:val="vi-VN"/>
                                <w14:textFill>
                                  <w14:solidFill>
                                    <w14:schemeClr w14:val="tx1"/>
                                  </w14:solidFill>
                                </w14:textFill>
                              </w:rPr>
                              <m:t>(1+r)</m:t>
                            </m:r>
                            <m:ctrlPr>
                              <w:rPr>
                                <w:rFonts w:ascii="Cambria Math" w:hAnsi="Cambria Math"/>
                                <w:b/>
                                <w:bCs/>
                                <w:i/>
                                <w:iCs/>
                                <w:color w:val="000000" w:themeColor="text1"/>
                                <w:sz w:val="26"/>
                                <w:szCs w:val="26"/>
                                <w:lang w:val="vi-VN"/>
                                <w14:textFill>
                                  <w14:solidFill>
                                    <w14:schemeClr w14:val="tx1"/>
                                  </w14:solidFill>
                                </w14:textFill>
                              </w:rPr>
                            </m:ctrlPr>
                          </m:e>
                          <m:sup>
                            <m:r>
                              <m:rPr>
                                <m:sty m:val="bi"/>
                              </m:rPr>
                              <w:rPr>
                                <w:rFonts w:ascii="Cambria Math" w:hAnsi="Cambria Math"/>
                                <w:color w:val="000000" w:themeColor="text1"/>
                                <w:sz w:val="26"/>
                                <w:szCs w:val="26"/>
                                <w:lang w:val="vi-VN"/>
                                <w14:textFill>
                                  <w14:solidFill>
                                    <w14:schemeClr w14:val="tx1"/>
                                  </w14:solidFill>
                                </w14:textFill>
                              </w:rPr>
                              <m:t>i</m:t>
                            </m:r>
                            <m:ctrlPr>
                              <w:rPr>
                                <w:rFonts w:ascii="Cambria Math" w:hAnsi="Cambria Math"/>
                                <w:b/>
                                <w:bCs/>
                                <w:i/>
                                <w:iCs/>
                                <w:color w:val="000000" w:themeColor="text1"/>
                                <w:sz w:val="26"/>
                                <w:szCs w:val="26"/>
                                <w:lang w:val="vi-VN"/>
                                <w14:textFill>
                                  <w14:solidFill>
                                    <w14:schemeClr w14:val="tx1"/>
                                  </w14:solidFill>
                                </w14:textFill>
                              </w:rPr>
                            </m:ctrlPr>
                          </m:sup>
                        </m:sSup>
                        <m:ctrlPr>
                          <w:rPr>
                            <w:rFonts w:ascii="Cambria Math" w:hAnsi="Cambria Math"/>
                            <w:b/>
                            <w:bCs/>
                            <w:i/>
                            <w:iCs/>
                            <w:color w:val="000000" w:themeColor="text1"/>
                            <w:sz w:val="26"/>
                            <w:szCs w:val="26"/>
                            <w:lang w:val="vi-VN"/>
                            <w14:textFill>
                              <w14:solidFill>
                                <w14:schemeClr w14:val="tx1"/>
                              </w14:solidFill>
                            </w14:textFill>
                          </w:rPr>
                        </m:ctrlPr>
                      </m:den>
                    </m:f>
                    <m:ctrlPr>
                      <w:rPr>
                        <w:rFonts w:ascii="Cambria Math" w:hAnsi="Cambria Math"/>
                        <w:b/>
                        <w:bCs/>
                        <w:i/>
                        <w:iCs/>
                        <w:color w:val="000000" w:themeColor="text1"/>
                        <w:sz w:val="26"/>
                        <w:szCs w:val="26"/>
                        <w:lang w:val="vi-VN"/>
                        <w14:textFill>
                          <w14:solidFill>
                            <w14:schemeClr w14:val="tx1"/>
                          </w14:solidFill>
                        </w14:textFill>
                      </w:rPr>
                    </m:ctrlPr>
                  </m:e>
                </m:nary>
              </m:oMath>
            </m:oMathPara>
          </w:p>
          <w:p w14:paraId="394039E5">
            <w:pPr>
              <w:tabs>
                <w:tab w:val="left" w:pos="1037"/>
              </w:tabs>
              <w:rPr>
                <w:b/>
                <w:bCs/>
                <w:i/>
                <w:iCs/>
                <w:color w:val="000000" w:themeColor="text1"/>
                <w:sz w:val="26"/>
                <w:szCs w:val="26"/>
                <w:lang w:val="da-DK"/>
                <w14:textFill>
                  <w14:solidFill>
                    <w14:schemeClr w14:val="tx1"/>
                  </w14:solidFill>
                </w14:textFill>
              </w:rPr>
            </w:pPr>
          </w:p>
        </w:tc>
        <w:tc>
          <w:tcPr>
            <w:tcW w:w="3119" w:type="dxa"/>
            <w:vAlign w:val="center"/>
          </w:tcPr>
          <w:p w14:paraId="6FF9D34A">
            <w:pPr>
              <w:tabs>
                <w:tab w:val="left" w:pos="1037"/>
              </w:tabs>
              <w:rPr>
                <w:b/>
                <w:bCs/>
                <w:i/>
                <w:iCs/>
                <w:color w:val="000000" w:themeColor="text1"/>
                <w:sz w:val="26"/>
                <w:szCs w:val="26"/>
                <w:lang w:val="da-DK"/>
                <w14:textFill>
                  <w14:solidFill>
                    <w14:schemeClr w14:val="tx1"/>
                  </w14:solidFill>
                </w14:textFill>
              </w:rPr>
            </w:pPr>
            <w:r>
              <w:rPr>
                <w:b/>
                <w:bCs/>
                <w:i/>
                <w:iCs/>
                <w:color w:val="000000" w:themeColor="text1"/>
                <w:sz w:val="26"/>
                <w:szCs w:val="26"/>
                <w:lang w:val="da-DK"/>
                <w14:textFill>
                  <w14:solidFill>
                    <w14:schemeClr w14:val="tx1"/>
                  </w14:solidFill>
                </w14:textFill>
              </w:rPr>
              <w:t xml:space="preserve">=  </w:t>
            </w:r>
            <w:r>
              <w:rPr>
                <w:b/>
                <w:bCs/>
              </w:rPr>
              <w:t xml:space="preserve">298.498.596.356 </w:t>
            </w:r>
            <w:r>
              <w:rPr>
                <w:b/>
                <w:bCs/>
                <w:i/>
                <w:iCs/>
                <w:color w:val="000000" w:themeColor="text1"/>
                <w:sz w:val="26"/>
                <w:szCs w:val="26"/>
                <w:lang w:val="vi-VN"/>
                <w14:textFill>
                  <w14:solidFill>
                    <w14:schemeClr w14:val="tx1"/>
                  </w14:solidFill>
                </w14:textFill>
              </w:rPr>
              <w:t>đồng</w:t>
            </w:r>
          </w:p>
        </w:tc>
      </w:tr>
    </w:tbl>
    <w:p w14:paraId="1C898760">
      <w:pPr>
        <w:tabs>
          <w:tab w:val="left" w:pos="1037"/>
        </w:tabs>
        <w:rPr>
          <w:b/>
          <w:bCs/>
          <w:i/>
          <w:iCs/>
          <w:color w:val="000000" w:themeColor="text1"/>
          <w:sz w:val="26"/>
          <w:szCs w:val="26"/>
          <w14:textFill>
            <w14:solidFill>
              <w14:schemeClr w14:val="tx1"/>
            </w14:solidFill>
          </w14:textFill>
        </w:rPr>
      </w:pPr>
    </w:p>
    <w:p w14:paraId="26085B52">
      <w:pPr>
        <w:widowControl w:val="0"/>
        <w:spacing w:before="120" w:after="120" w:line="340" w:lineRule="exact"/>
        <w:ind w:firstLine="562"/>
        <w:jc w:val="both"/>
        <w:rPr>
          <w:b/>
          <w:iCs/>
          <w:color w:val="000000" w:themeColor="text1"/>
          <w:sz w:val="26"/>
          <w:szCs w:val="26"/>
          <w:lang w:val="da-DK"/>
          <w14:textFill>
            <w14:solidFill>
              <w14:schemeClr w14:val="tx1"/>
            </w14:solidFill>
          </w14:textFill>
        </w:rPr>
      </w:pPr>
    </w:p>
    <w:p w14:paraId="6AD00ED8">
      <w:pPr>
        <w:widowControl w:val="0"/>
        <w:spacing w:before="120" w:after="120" w:line="320" w:lineRule="exact"/>
        <w:jc w:val="both"/>
        <w:rPr>
          <w:b/>
          <w:iCs/>
          <w:color w:val="000000" w:themeColor="text1"/>
          <w:spacing w:val="-4"/>
          <w:sz w:val="26"/>
          <w:szCs w:val="26"/>
          <w:lang w:val="da-DK"/>
          <w14:textFill>
            <w14:solidFill>
              <w14:schemeClr w14:val="tx1"/>
            </w14:solidFill>
          </w14:textFill>
        </w:rPr>
      </w:pPr>
    </w:p>
    <w:p w14:paraId="557E6A8F">
      <w:pPr>
        <w:widowControl w:val="0"/>
        <w:spacing w:before="120" w:after="120" w:line="300" w:lineRule="exact"/>
        <w:ind w:firstLine="562"/>
        <w:jc w:val="both"/>
        <w:rPr>
          <w:b/>
          <w:iCs/>
          <w:color w:val="000000" w:themeColor="text1"/>
          <w:spacing w:val="-4"/>
          <w:sz w:val="26"/>
          <w:szCs w:val="26"/>
          <w:lang w:val="da-DK"/>
          <w14:textFill>
            <w14:solidFill>
              <w14:schemeClr w14:val="tx1"/>
            </w14:solidFill>
          </w14:textFill>
        </w:rPr>
      </w:pPr>
      <w:r>
        <w:rPr>
          <w:b/>
          <w:iCs/>
          <w:color w:val="000000" w:themeColor="text1"/>
          <w:spacing w:val="-4"/>
          <w:sz w:val="26"/>
          <w:szCs w:val="26"/>
          <w:lang w:val="da-DK"/>
          <w14:textFill>
            <w14:solidFill>
              <w14:schemeClr w14:val="tx1"/>
            </w14:solidFill>
          </w14:textFill>
        </w:rPr>
        <w:t xml:space="preserve">c. Chi phí kinh doanh </w:t>
      </w:r>
      <w:r>
        <w:rPr>
          <w:bCs/>
          <w:i/>
          <w:color w:val="000000" w:themeColor="text1"/>
          <w:spacing w:val="-4"/>
          <w:sz w:val="26"/>
          <w:szCs w:val="26"/>
          <w:lang w:val="da-DK"/>
          <w14:textFill>
            <w14:solidFill>
              <w14:schemeClr w14:val="tx1"/>
            </w14:solidFill>
          </w14:textFill>
        </w:rPr>
        <w:t>(bao gồm: chi phí tiếp thị, quảng cáo, bán hàng):</w:t>
      </w:r>
    </w:p>
    <w:p w14:paraId="6DCACDD5">
      <w:pPr>
        <w:widowControl w:val="0"/>
        <w:spacing w:before="120" w:after="120" w:line="300" w:lineRule="exact"/>
        <w:ind w:firstLine="562"/>
        <w:jc w:val="both"/>
        <w:rPr>
          <w:bCs/>
          <w:iCs/>
          <w:color w:val="000000" w:themeColor="text1"/>
          <w:sz w:val="26"/>
          <w:szCs w:val="26"/>
          <w:lang w:val="da-DK"/>
          <w14:textFill>
            <w14:solidFill>
              <w14:schemeClr w14:val="tx1"/>
            </w14:solidFill>
          </w14:textFill>
        </w:rPr>
      </w:pPr>
      <w:r>
        <w:rPr>
          <w:bCs/>
          <w:iCs/>
          <w:color w:val="000000" w:themeColor="text1"/>
          <w:sz w:val="26"/>
          <w:szCs w:val="26"/>
          <w:lang w:val="da-DK"/>
          <w14:textFill>
            <w14:solidFill>
              <w14:schemeClr w14:val="tx1"/>
            </w14:solidFill>
          </w14:textFill>
        </w:rPr>
        <w:t>- Căn cứ Điều 6 - Nghị định số 71/2024/NĐ-CP ngày 27/06/2024 của chính Phủ: Chi phí kinh doanh bao gồm: chi phí tiếp thị, quảng cáo, bán hàng, chi phí quản lý vận hành được tính bằng tỷ lệ % trên doanh thu phù hợp với tính chất, quy mô dự án và tình hình thực tế tại địa phương;</w:t>
      </w:r>
    </w:p>
    <w:p w14:paraId="21970FB4">
      <w:pPr>
        <w:widowControl w:val="0"/>
        <w:spacing w:before="120" w:after="120" w:line="30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Căn cứ Khoản 2, Điều 4, Quyết định số 47/2024/QĐ-UBND ngày 30 tháng 10 năm 2024 của UBND nhân dân tỉnh Lạng Sơn về việc Ban hành Quy định một số chỉ tiêu cụ thể để áp dụng phương pháp định giá đất trên địa bàn tỉnh Lạng Sơn:</w:t>
      </w:r>
    </w:p>
    <w:p w14:paraId="03977493">
      <w:pPr>
        <w:widowControl w:val="0"/>
        <w:spacing w:before="120" w:after="120" w:line="300" w:lineRule="exact"/>
        <w:ind w:firstLine="562"/>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“Chi phí tiếp thị, quảng cáo, bán hàng được tính bằng 1% trên tổng các loại doanh thu trước thuế đã quy về thời điểm hiện tại của dự án”.</w:t>
      </w:r>
    </w:p>
    <w:p w14:paraId="645FE77E">
      <w:pPr>
        <w:widowControl w:val="0"/>
        <w:spacing w:before="120" w:after="120" w:line="300" w:lineRule="exact"/>
        <w:ind w:firstLine="720"/>
        <w:jc w:val="both"/>
        <w:rPr>
          <w:rFonts w:eastAsia="Tahoma"/>
          <w:color w:val="000000" w:themeColor="text1"/>
          <w:spacing w:val="-4"/>
          <w:sz w:val="26"/>
          <w:szCs w:val="26"/>
          <w:lang w:val="da-DK"/>
          <w14:textFill>
            <w14:solidFill>
              <w14:schemeClr w14:val="tx1"/>
            </w14:solidFill>
          </w14:textFill>
        </w:rPr>
      </w:pPr>
      <w:r>
        <w:rPr>
          <w:rFonts w:eastAsia="Tahoma"/>
          <w:color w:val="000000" w:themeColor="text1"/>
          <w:spacing w:val="-4"/>
          <w:sz w:val="26"/>
          <w:szCs w:val="26"/>
          <w:lang w:val="da-DK"/>
          <w14:textFill>
            <w14:solidFill>
              <w14:schemeClr w14:val="tx1"/>
            </w14:solidFill>
          </w14:textFill>
        </w:rPr>
        <w:t xml:space="preserve">- </w:t>
      </w:r>
      <w:r>
        <w:rPr>
          <w:rFonts w:eastAsia="Tahoma"/>
          <w:color w:val="000000" w:themeColor="text1"/>
          <w:spacing w:val="-4"/>
          <w:sz w:val="26"/>
          <w:szCs w:val="26"/>
          <w:lang w:val="vi-VN"/>
          <w14:textFill>
            <w14:solidFill>
              <w14:schemeClr w14:val="tx1"/>
            </w14:solidFill>
          </w14:textFill>
        </w:rPr>
        <w:t xml:space="preserve">Qua khảo sát thực tế các dự án thực hiện trên địa bàn tỉnh </w:t>
      </w:r>
      <w:r>
        <w:rPr>
          <w:rFonts w:eastAsia="Tahoma"/>
          <w:color w:val="000000" w:themeColor="text1"/>
          <w:spacing w:val="-4"/>
          <w:sz w:val="26"/>
          <w:szCs w:val="26"/>
          <w14:textFill>
            <w14:solidFill>
              <w14:schemeClr w14:val="tx1"/>
            </w14:solidFill>
          </w14:textFill>
        </w:rPr>
        <w:t>Lạng Sơn và tỉnh lân cận là tỉnh Bắc Giang</w:t>
      </w:r>
      <w:r>
        <w:rPr>
          <w:rFonts w:eastAsia="Tahoma"/>
          <w:color w:val="000000" w:themeColor="text1"/>
          <w:spacing w:val="-4"/>
          <w:sz w:val="26"/>
          <w:szCs w:val="26"/>
          <w:lang w:val="vi-VN"/>
          <w14:textFill>
            <w14:solidFill>
              <w14:schemeClr w14:val="tx1"/>
            </w14:solidFill>
          </w14:textFill>
        </w:rPr>
        <w:t>, chi phí quảng cáo, bán hàng đối với từng dự án là không cố định, tỷ lệ phần trăm mà chủ dự án chi phí cho đơn vị quảng cáo, bán hàng phụ thuộc vào vị trí, điều kiện thuận lợi, tính thanh khoản, diện tích cho thuê của dự án….</w:t>
      </w:r>
      <w:r>
        <w:rPr>
          <w:rFonts w:eastAsia="Tahoma"/>
          <w:color w:val="000000" w:themeColor="text1"/>
          <w:spacing w:val="-4"/>
          <w:sz w:val="26"/>
          <w:szCs w:val="26"/>
          <w:lang w:val="da-DK"/>
          <w14:textFill>
            <w14:solidFill>
              <w14:schemeClr w14:val="tx1"/>
            </w14:solidFill>
          </w14:textFill>
        </w:rPr>
        <w:t>. Do thị trường BĐS đang trong thời kỳ tương đối trầm lắng, các sàn giao dịch khó ra hàng, chủ đầu tư chấp nhận mức tỷ lệ chi phí kinh doanh để lại cho các sàn môi giới cao hơn thời điểm thị trường BĐS sôi động. Tỷ lệ này trong thực tế phổ biến giao động từ 4% đến 10%/doanh thu.</w:t>
      </w:r>
    </w:p>
    <w:p w14:paraId="4E40C089">
      <w:pPr>
        <w:widowControl w:val="0"/>
        <w:spacing w:before="120" w:after="120" w:line="300" w:lineRule="exact"/>
        <w:ind w:firstLine="561"/>
        <w:jc w:val="both"/>
        <w:rPr>
          <w:color w:val="000000" w:themeColor="text1"/>
          <w:spacing w:val="-6"/>
          <w:sz w:val="26"/>
          <w:szCs w:val="26"/>
          <w:lang w:val="da-DK"/>
          <w14:textFill>
            <w14:solidFill>
              <w14:schemeClr w14:val="tx1"/>
            </w14:solidFill>
          </w14:textFill>
        </w:rPr>
      </w:pPr>
      <w:r>
        <w:rPr>
          <w:color w:val="000000" w:themeColor="text1"/>
          <w:spacing w:val="-6"/>
          <w:sz w:val="26"/>
          <w:szCs w:val="26"/>
          <w:lang w:val="da-DK"/>
          <w14:textFill>
            <w14:solidFill>
              <w14:schemeClr w14:val="tx1"/>
            </w14:solidFill>
          </w14:textFill>
        </w:rPr>
        <w:t xml:space="preserve">- Qua khảo sát báo cáo tài chính của một số công ty kinh doanh cùng ngành nghề được công bố trên các sàn chứng khoán, tỷ lệ chi phí kinh doanh trung bình qua các năm 2022, 2023, 2024 của các doanh nghiệp trên tài sản như: CTCP Đầu tư Hải Phát là 5,21%; CTCP tập đoàn CEO là 8,26%; CTCP tư vấn - thương mại - dịch vụ địa ốc Hoàng Quân 3,29%. </w:t>
      </w:r>
      <w:r>
        <w:rPr>
          <w:b/>
          <w:bCs/>
          <w:i/>
          <w:iCs/>
          <w:color w:val="000000" w:themeColor="text1"/>
          <w:spacing w:val="-6"/>
          <w:sz w:val="26"/>
          <w:szCs w:val="26"/>
          <w:lang w:val="da-DK"/>
          <w14:textFill>
            <w14:solidFill>
              <w14:schemeClr w14:val="tx1"/>
            </w14:solidFill>
          </w14:textFill>
        </w:rPr>
        <w:t>Trung bình đạt 5,59%.</w:t>
      </w:r>
      <w:r>
        <w:rPr>
          <w:color w:val="000000" w:themeColor="text1"/>
          <w:spacing w:val="-6"/>
          <w:sz w:val="26"/>
          <w:szCs w:val="26"/>
          <w:lang w:val="da-DK"/>
          <w14:textFill>
            <w14:solidFill>
              <w14:schemeClr w14:val="tx1"/>
            </w14:solidFill>
          </w14:textFill>
        </w:rPr>
        <w:t xml:space="preserve"> </w:t>
      </w:r>
      <w:r>
        <w:rPr>
          <w:i/>
          <w:iCs/>
          <w:color w:val="000000" w:themeColor="text1"/>
          <w:spacing w:val="-6"/>
          <w:sz w:val="26"/>
          <w:szCs w:val="26"/>
          <w:lang w:val="da-DK"/>
          <w14:textFill>
            <w14:solidFill>
              <w14:schemeClr w14:val="tx1"/>
            </w14:solidFill>
          </w14:textFill>
        </w:rPr>
        <w:t>cụ thể:</w:t>
      </w:r>
    </w:p>
    <w:tbl>
      <w:tblPr>
        <w:tblStyle w:val="9"/>
        <w:tblW w:w="96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98"/>
        <w:gridCol w:w="903"/>
        <w:gridCol w:w="850"/>
        <w:gridCol w:w="851"/>
        <w:gridCol w:w="850"/>
        <w:gridCol w:w="851"/>
        <w:gridCol w:w="850"/>
        <w:gridCol w:w="10"/>
        <w:gridCol w:w="699"/>
        <w:gridCol w:w="709"/>
        <w:gridCol w:w="709"/>
        <w:gridCol w:w="10"/>
      </w:tblGrid>
      <w:tr w14:paraId="63B5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noWrap/>
            <w:vAlign w:val="center"/>
          </w:tcPr>
          <w:p w14:paraId="5DC7A893">
            <w:pPr>
              <w:jc w:val="center"/>
              <w:rPr>
                <w:b/>
                <w:bCs/>
                <w:color w:val="000000"/>
                <w:sz w:val="20"/>
                <w:szCs w:val="20"/>
              </w:rPr>
            </w:pPr>
            <w:r>
              <w:rPr>
                <w:b/>
                <w:bCs/>
                <w:color w:val="000000"/>
                <w:sz w:val="20"/>
                <w:szCs w:val="20"/>
              </w:rPr>
              <w:t>NỘI DUNG</w:t>
            </w:r>
          </w:p>
        </w:tc>
        <w:tc>
          <w:tcPr>
            <w:tcW w:w="798" w:type="dxa"/>
            <w:vMerge w:val="restart"/>
            <w:noWrap/>
            <w:vAlign w:val="center"/>
          </w:tcPr>
          <w:p w14:paraId="4F9B0736">
            <w:pPr>
              <w:jc w:val="center"/>
              <w:rPr>
                <w:b/>
                <w:bCs/>
                <w:color w:val="000000"/>
                <w:sz w:val="20"/>
                <w:szCs w:val="20"/>
              </w:rPr>
            </w:pPr>
            <w:r>
              <w:rPr>
                <w:b/>
                <w:bCs/>
                <w:color w:val="000000"/>
                <w:sz w:val="20"/>
                <w:szCs w:val="20"/>
              </w:rPr>
              <w:t>Đơn vị tính</w:t>
            </w:r>
          </w:p>
        </w:tc>
        <w:tc>
          <w:tcPr>
            <w:tcW w:w="2604" w:type="dxa"/>
            <w:gridSpan w:val="3"/>
            <w:vAlign w:val="center"/>
          </w:tcPr>
          <w:p w14:paraId="09708D78">
            <w:pPr>
              <w:jc w:val="center"/>
              <w:rPr>
                <w:b/>
                <w:bCs/>
                <w:color w:val="000000"/>
                <w:sz w:val="20"/>
                <w:szCs w:val="20"/>
              </w:rPr>
            </w:pPr>
            <w:r>
              <w:rPr>
                <w:b/>
                <w:bCs/>
                <w:color w:val="000000"/>
                <w:sz w:val="20"/>
                <w:szCs w:val="20"/>
              </w:rPr>
              <w:t>CTCP Đầu tư Hải Phát</w:t>
            </w:r>
          </w:p>
        </w:tc>
        <w:tc>
          <w:tcPr>
            <w:tcW w:w="2561" w:type="dxa"/>
            <w:gridSpan w:val="4"/>
            <w:vAlign w:val="center"/>
          </w:tcPr>
          <w:p w14:paraId="3DEFE8D2">
            <w:pPr>
              <w:jc w:val="center"/>
              <w:rPr>
                <w:b/>
                <w:bCs/>
                <w:color w:val="000000"/>
                <w:sz w:val="20"/>
                <w:szCs w:val="20"/>
              </w:rPr>
            </w:pPr>
            <w:r>
              <w:rPr>
                <w:b/>
                <w:bCs/>
                <w:color w:val="000000"/>
                <w:sz w:val="20"/>
                <w:szCs w:val="20"/>
              </w:rPr>
              <w:t>CTCP tập đoàn CEO</w:t>
            </w:r>
          </w:p>
        </w:tc>
        <w:tc>
          <w:tcPr>
            <w:tcW w:w="2127" w:type="dxa"/>
            <w:gridSpan w:val="4"/>
            <w:vAlign w:val="center"/>
          </w:tcPr>
          <w:p w14:paraId="37C38AEB">
            <w:pPr>
              <w:jc w:val="center"/>
              <w:rPr>
                <w:b/>
                <w:bCs/>
                <w:color w:val="000000"/>
                <w:sz w:val="20"/>
                <w:szCs w:val="20"/>
              </w:rPr>
            </w:pPr>
            <w:r>
              <w:rPr>
                <w:b/>
                <w:bCs/>
                <w:color w:val="000000"/>
                <w:sz w:val="20"/>
                <w:szCs w:val="20"/>
              </w:rPr>
              <w:t>CTCP tư vấn - thương mại - dịch vụ địa ốc Hoàng Quân</w:t>
            </w:r>
          </w:p>
        </w:tc>
      </w:tr>
      <w:tr w14:paraId="0FE4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0" w:hRule="atLeast"/>
        </w:trPr>
        <w:tc>
          <w:tcPr>
            <w:tcW w:w="1555" w:type="dxa"/>
            <w:vMerge w:val="continue"/>
            <w:vAlign w:val="center"/>
          </w:tcPr>
          <w:p w14:paraId="38FBF5FB">
            <w:pPr>
              <w:jc w:val="center"/>
              <w:rPr>
                <w:b/>
                <w:bCs/>
                <w:color w:val="000000"/>
                <w:sz w:val="20"/>
                <w:szCs w:val="20"/>
              </w:rPr>
            </w:pPr>
          </w:p>
        </w:tc>
        <w:tc>
          <w:tcPr>
            <w:tcW w:w="798" w:type="dxa"/>
            <w:vMerge w:val="continue"/>
            <w:vAlign w:val="center"/>
          </w:tcPr>
          <w:p w14:paraId="35186D16">
            <w:pPr>
              <w:jc w:val="center"/>
              <w:rPr>
                <w:b/>
                <w:bCs/>
                <w:color w:val="000000"/>
                <w:sz w:val="20"/>
                <w:szCs w:val="20"/>
              </w:rPr>
            </w:pPr>
          </w:p>
        </w:tc>
        <w:tc>
          <w:tcPr>
            <w:tcW w:w="903" w:type="dxa"/>
            <w:noWrap/>
            <w:vAlign w:val="center"/>
          </w:tcPr>
          <w:p w14:paraId="051DA2BD">
            <w:pPr>
              <w:jc w:val="center"/>
              <w:rPr>
                <w:b/>
                <w:bCs/>
                <w:color w:val="000000"/>
                <w:sz w:val="20"/>
                <w:szCs w:val="20"/>
              </w:rPr>
            </w:pPr>
            <w:r>
              <w:rPr>
                <w:b/>
                <w:bCs/>
                <w:color w:val="000000"/>
                <w:sz w:val="20"/>
                <w:szCs w:val="20"/>
              </w:rPr>
              <w:t>2022</w:t>
            </w:r>
          </w:p>
        </w:tc>
        <w:tc>
          <w:tcPr>
            <w:tcW w:w="850" w:type="dxa"/>
            <w:noWrap/>
            <w:vAlign w:val="center"/>
          </w:tcPr>
          <w:p w14:paraId="5CF8D38C">
            <w:pPr>
              <w:jc w:val="center"/>
              <w:rPr>
                <w:b/>
                <w:bCs/>
                <w:color w:val="000000"/>
                <w:sz w:val="20"/>
                <w:szCs w:val="20"/>
              </w:rPr>
            </w:pPr>
            <w:r>
              <w:rPr>
                <w:b/>
                <w:bCs/>
                <w:color w:val="000000"/>
                <w:sz w:val="20"/>
                <w:szCs w:val="20"/>
              </w:rPr>
              <w:t>2023</w:t>
            </w:r>
          </w:p>
        </w:tc>
        <w:tc>
          <w:tcPr>
            <w:tcW w:w="851" w:type="dxa"/>
            <w:noWrap/>
            <w:vAlign w:val="center"/>
          </w:tcPr>
          <w:p w14:paraId="50D8861D">
            <w:pPr>
              <w:jc w:val="center"/>
              <w:rPr>
                <w:b/>
                <w:bCs/>
                <w:color w:val="000000"/>
                <w:sz w:val="20"/>
                <w:szCs w:val="20"/>
              </w:rPr>
            </w:pPr>
            <w:r>
              <w:rPr>
                <w:b/>
                <w:bCs/>
                <w:color w:val="000000"/>
                <w:sz w:val="20"/>
                <w:szCs w:val="20"/>
              </w:rPr>
              <w:t>2024</w:t>
            </w:r>
          </w:p>
        </w:tc>
        <w:tc>
          <w:tcPr>
            <w:tcW w:w="850" w:type="dxa"/>
            <w:noWrap/>
            <w:vAlign w:val="center"/>
          </w:tcPr>
          <w:p w14:paraId="1D9DE1BA">
            <w:pPr>
              <w:jc w:val="center"/>
              <w:rPr>
                <w:b/>
                <w:bCs/>
                <w:color w:val="000000"/>
                <w:sz w:val="20"/>
                <w:szCs w:val="20"/>
              </w:rPr>
            </w:pPr>
            <w:r>
              <w:rPr>
                <w:b/>
                <w:bCs/>
                <w:color w:val="000000"/>
                <w:sz w:val="20"/>
                <w:szCs w:val="20"/>
              </w:rPr>
              <w:t>2022</w:t>
            </w:r>
          </w:p>
        </w:tc>
        <w:tc>
          <w:tcPr>
            <w:tcW w:w="851" w:type="dxa"/>
            <w:noWrap/>
            <w:vAlign w:val="center"/>
          </w:tcPr>
          <w:p w14:paraId="4CE95238">
            <w:pPr>
              <w:jc w:val="center"/>
              <w:rPr>
                <w:b/>
                <w:bCs/>
                <w:color w:val="000000"/>
                <w:sz w:val="20"/>
                <w:szCs w:val="20"/>
              </w:rPr>
            </w:pPr>
            <w:r>
              <w:rPr>
                <w:b/>
                <w:bCs/>
                <w:color w:val="000000"/>
                <w:sz w:val="20"/>
                <w:szCs w:val="20"/>
              </w:rPr>
              <w:t>2023</w:t>
            </w:r>
          </w:p>
        </w:tc>
        <w:tc>
          <w:tcPr>
            <w:tcW w:w="850" w:type="dxa"/>
            <w:noWrap/>
            <w:vAlign w:val="center"/>
          </w:tcPr>
          <w:p w14:paraId="2E040A48">
            <w:pPr>
              <w:jc w:val="center"/>
              <w:rPr>
                <w:b/>
                <w:bCs/>
                <w:color w:val="000000"/>
                <w:sz w:val="20"/>
                <w:szCs w:val="20"/>
              </w:rPr>
            </w:pPr>
            <w:r>
              <w:rPr>
                <w:b/>
                <w:bCs/>
                <w:color w:val="000000"/>
                <w:sz w:val="20"/>
                <w:szCs w:val="20"/>
              </w:rPr>
              <w:t>2024</w:t>
            </w:r>
          </w:p>
        </w:tc>
        <w:tc>
          <w:tcPr>
            <w:tcW w:w="709" w:type="dxa"/>
            <w:gridSpan w:val="2"/>
            <w:noWrap/>
            <w:vAlign w:val="center"/>
          </w:tcPr>
          <w:p w14:paraId="6C0B411F">
            <w:pPr>
              <w:jc w:val="center"/>
              <w:rPr>
                <w:b/>
                <w:bCs/>
                <w:color w:val="000000"/>
                <w:sz w:val="20"/>
                <w:szCs w:val="20"/>
              </w:rPr>
            </w:pPr>
            <w:r>
              <w:rPr>
                <w:b/>
                <w:bCs/>
                <w:color w:val="000000"/>
                <w:sz w:val="20"/>
                <w:szCs w:val="20"/>
              </w:rPr>
              <w:t>2022</w:t>
            </w:r>
          </w:p>
        </w:tc>
        <w:tc>
          <w:tcPr>
            <w:tcW w:w="709" w:type="dxa"/>
            <w:noWrap/>
            <w:vAlign w:val="center"/>
          </w:tcPr>
          <w:p w14:paraId="06CE41B8">
            <w:pPr>
              <w:jc w:val="center"/>
              <w:rPr>
                <w:b/>
                <w:bCs/>
                <w:color w:val="000000"/>
                <w:sz w:val="20"/>
                <w:szCs w:val="20"/>
              </w:rPr>
            </w:pPr>
            <w:r>
              <w:rPr>
                <w:b/>
                <w:bCs/>
                <w:color w:val="000000"/>
                <w:sz w:val="20"/>
                <w:szCs w:val="20"/>
              </w:rPr>
              <w:t>2023</w:t>
            </w:r>
          </w:p>
        </w:tc>
        <w:tc>
          <w:tcPr>
            <w:tcW w:w="709" w:type="dxa"/>
            <w:noWrap/>
            <w:vAlign w:val="center"/>
          </w:tcPr>
          <w:p w14:paraId="31BBE246">
            <w:pPr>
              <w:jc w:val="center"/>
              <w:rPr>
                <w:b/>
                <w:bCs/>
                <w:color w:val="000000"/>
                <w:sz w:val="20"/>
                <w:szCs w:val="20"/>
              </w:rPr>
            </w:pPr>
            <w:r>
              <w:rPr>
                <w:b/>
                <w:bCs/>
                <w:color w:val="000000"/>
                <w:sz w:val="20"/>
                <w:szCs w:val="20"/>
              </w:rPr>
              <w:t>2024</w:t>
            </w:r>
          </w:p>
        </w:tc>
      </w:tr>
      <w:tr w14:paraId="33C3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0" w:hRule="atLeast"/>
        </w:trPr>
        <w:tc>
          <w:tcPr>
            <w:tcW w:w="1555" w:type="dxa"/>
            <w:noWrap/>
            <w:vAlign w:val="center"/>
          </w:tcPr>
          <w:p w14:paraId="4581C7CA">
            <w:pPr>
              <w:jc w:val="center"/>
              <w:rPr>
                <w:color w:val="000000"/>
                <w:sz w:val="18"/>
                <w:szCs w:val="18"/>
              </w:rPr>
            </w:pPr>
            <w:r>
              <w:rPr>
                <w:color w:val="000000"/>
                <w:sz w:val="18"/>
                <w:szCs w:val="18"/>
              </w:rPr>
              <w:t>Doanh thu</w:t>
            </w:r>
          </w:p>
        </w:tc>
        <w:tc>
          <w:tcPr>
            <w:tcW w:w="798" w:type="dxa"/>
            <w:noWrap/>
            <w:vAlign w:val="center"/>
          </w:tcPr>
          <w:p w14:paraId="1EDA595E">
            <w:pPr>
              <w:jc w:val="center"/>
              <w:rPr>
                <w:color w:val="000000"/>
                <w:sz w:val="16"/>
                <w:szCs w:val="16"/>
              </w:rPr>
            </w:pPr>
            <w:r>
              <w:rPr>
                <w:color w:val="000000"/>
                <w:sz w:val="16"/>
                <w:szCs w:val="16"/>
              </w:rPr>
              <w:t>Triệu đồng</w:t>
            </w:r>
          </w:p>
        </w:tc>
        <w:tc>
          <w:tcPr>
            <w:tcW w:w="903" w:type="dxa"/>
            <w:vAlign w:val="center"/>
          </w:tcPr>
          <w:p w14:paraId="39A31B7A">
            <w:pPr>
              <w:jc w:val="center"/>
              <w:rPr>
                <w:color w:val="000000"/>
                <w:sz w:val="14"/>
                <w:szCs w:val="14"/>
              </w:rPr>
            </w:pPr>
            <w:r>
              <w:rPr>
                <w:color w:val="000000"/>
                <w:sz w:val="14"/>
                <w:szCs w:val="14"/>
              </w:rPr>
              <w:t>1.210.371</w:t>
            </w:r>
          </w:p>
        </w:tc>
        <w:tc>
          <w:tcPr>
            <w:tcW w:w="850" w:type="dxa"/>
            <w:vAlign w:val="center"/>
          </w:tcPr>
          <w:p w14:paraId="4161F73B">
            <w:pPr>
              <w:jc w:val="center"/>
              <w:rPr>
                <w:color w:val="000000"/>
                <w:sz w:val="14"/>
                <w:szCs w:val="14"/>
              </w:rPr>
            </w:pPr>
            <w:r>
              <w:rPr>
                <w:color w:val="000000"/>
                <w:sz w:val="14"/>
                <w:szCs w:val="14"/>
              </w:rPr>
              <w:t>1.680.274</w:t>
            </w:r>
          </w:p>
        </w:tc>
        <w:tc>
          <w:tcPr>
            <w:tcW w:w="851" w:type="dxa"/>
            <w:vAlign w:val="center"/>
          </w:tcPr>
          <w:p w14:paraId="66565917">
            <w:pPr>
              <w:jc w:val="center"/>
              <w:rPr>
                <w:color w:val="000000"/>
                <w:sz w:val="14"/>
                <w:szCs w:val="14"/>
              </w:rPr>
            </w:pPr>
            <w:r>
              <w:rPr>
                <w:color w:val="000000"/>
                <w:sz w:val="14"/>
                <w:szCs w:val="14"/>
              </w:rPr>
              <w:t>1.615.671</w:t>
            </w:r>
          </w:p>
        </w:tc>
        <w:tc>
          <w:tcPr>
            <w:tcW w:w="850" w:type="dxa"/>
            <w:vAlign w:val="center"/>
          </w:tcPr>
          <w:p w14:paraId="19A4AC36">
            <w:pPr>
              <w:jc w:val="center"/>
              <w:rPr>
                <w:color w:val="333333"/>
                <w:sz w:val="14"/>
                <w:szCs w:val="14"/>
              </w:rPr>
            </w:pPr>
            <w:r>
              <w:rPr>
                <w:color w:val="333333"/>
                <w:sz w:val="14"/>
                <w:szCs w:val="14"/>
              </w:rPr>
              <w:t>2.549.015</w:t>
            </w:r>
          </w:p>
        </w:tc>
        <w:tc>
          <w:tcPr>
            <w:tcW w:w="851" w:type="dxa"/>
            <w:vAlign w:val="center"/>
          </w:tcPr>
          <w:p w14:paraId="5D6F59D3">
            <w:pPr>
              <w:jc w:val="center"/>
              <w:rPr>
                <w:color w:val="333333"/>
                <w:sz w:val="14"/>
                <w:szCs w:val="14"/>
              </w:rPr>
            </w:pPr>
            <w:r>
              <w:rPr>
                <w:color w:val="333333"/>
                <w:sz w:val="14"/>
                <w:szCs w:val="14"/>
              </w:rPr>
              <w:t>1.393.477</w:t>
            </w:r>
          </w:p>
        </w:tc>
        <w:tc>
          <w:tcPr>
            <w:tcW w:w="850" w:type="dxa"/>
            <w:vAlign w:val="center"/>
          </w:tcPr>
          <w:p w14:paraId="13D5D510">
            <w:pPr>
              <w:jc w:val="center"/>
              <w:rPr>
                <w:color w:val="333333"/>
                <w:sz w:val="14"/>
                <w:szCs w:val="14"/>
              </w:rPr>
            </w:pPr>
            <w:r>
              <w:rPr>
                <w:color w:val="333333"/>
                <w:sz w:val="14"/>
                <w:szCs w:val="14"/>
              </w:rPr>
              <w:t>1.307.939</w:t>
            </w:r>
          </w:p>
        </w:tc>
        <w:tc>
          <w:tcPr>
            <w:tcW w:w="709" w:type="dxa"/>
            <w:gridSpan w:val="2"/>
            <w:vAlign w:val="center"/>
          </w:tcPr>
          <w:p w14:paraId="0D5B7F63">
            <w:pPr>
              <w:jc w:val="center"/>
              <w:rPr>
                <w:color w:val="333333"/>
                <w:sz w:val="14"/>
                <w:szCs w:val="14"/>
              </w:rPr>
            </w:pPr>
            <w:r>
              <w:rPr>
                <w:color w:val="333333"/>
                <w:sz w:val="14"/>
                <w:szCs w:val="14"/>
              </w:rPr>
              <w:t>333.181</w:t>
            </w:r>
          </w:p>
        </w:tc>
        <w:tc>
          <w:tcPr>
            <w:tcW w:w="709" w:type="dxa"/>
            <w:vAlign w:val="center"/>
          </w:tcPr>
          <w:p w14:paraId="0A32B1C4">
            <w:pPr>
              <w:jc w:val="center"/>
              <w:rPr>
                <w:color w:val="333333"/>
                <w:sz w:val="14"/>
                <w:szCs w:val="14"/>
              </w:rPr>
            </w:pPr>
            <w:r>
              <w:rPr>
                <w:color w:val="333333"/>
                <w:sz w:val="14"/>
                <w:szCs w:val="14"/>
              </w:rPr>
              <w:t>322.609</w:t>
            </w:r>
          </w:p>
        </w:tc>
        <w:tc>
          <w:tcPr>
            <w:tcW w:w="709" w:type="dxa"/>
            <w:vAlign w:val="center"/>
          </w:tcPr>
          <w:p w14:paraId="55DA538A">
            <w:pPr>
              <w:jc w:val="center"/>
              <w:rPr>
                <w:color w:val="333333"/>
                <w:sz w:val="14"/>
                <w:szCs w:val="14"/>
              </w:rPr>
            </w:pPr>
            <w:r>
              <w:rPr>
                <w:color w:val="333333"/>
                <w:sz w:val="14"/>
                <w:szCs w:val="14"/>
              </w:rPr>
              <w:t>326.648</w:t>
            </w:r>
          </w:p>
        </w:tc>
      </w:tr>
      <w:tr w14:paraId="6596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0" w:hRule="atLeast"/>
        </w:trPr>
        <w:tc>
          <w:tcPr>
            <w:tcW w:w="1555" w:type="dxa"/>
            <w:noWrap/>
            <w:vAlign w:val="center"/>
          </w:tcPr>
          <w:p w14:paraId="77302033">
            <w:pPr>
              <w:jc w:val="center"/>
              <w:rPr>
                <w:color w:val="000000"/>
                <w:sz w:val="18"/>
                <w:szCs w:val="18"/>
              </w:rPr>
            </w:pPr>
            <w:r>
              <w:rPr>
                <w:color w:val="000000"/>
                <w:sz w:val="18"/>
                <w:szCs w:val="18"/>
              </w:rPr>
              <w:t>Chi phí bán hàng</w:t>
            </w:r>
          </w:p>
        </w:tc>
        <w:tc>
          <w:tcPr>
            <w:tcW w:w="798" w:type="dxa"/>
            <w:noWrap/>
            <w:vAlign w:val="center"/>
          </w:tcPr>
          <w:p w14:paraId="0C504927">
            <w:pPr>
              <w:jc w:val="center"/>
              <w:rPr>
                <w:color w:val="000000"/>
                <w:sz w:val="16"/>
                <w:szCs w:val="16"/>
              </w:rPr>
            </w:pPr>
            <w:r>
              <w:rPr>
                <w:color w:val="000000"/>
                <w:sz w:val="16"/>
                <w:szCs w:val="16"/>
              </w:rPr>
              <w:t>Triệu đồng</w:t>
            </w:r>
          </w:p>
        </w:tc>
        <w:tc>
          <w:tcPr>
            <w:tcW w:w="903" w:type="dxa"/>
            <w:vAlign w:val="center"/>
          </w:tcPr>
          <w:p w14:paraId="7F13241F">
            <w:pPr>
              <w:jc w:val="center"/>
              <w:rPr>
                <w:color w:val="000000"/>
                <w:sz w:val="14"/>
                <w:szCs w:val="14"/>
              </w:rPr>
            </w:pPr>
            <w:r>
              <w:rPr>
                <w:color w:val="000000"/>
                <w:sz w:val="14"/>
                <w:szCs w:val="14"/>
              </w:rPr>
              <w:t>9.329</w:t>
            </w:r>
          </w:p>
        </w:tc>
        <w:tc>
          <w:tcPr>
            <w:tcW w:w="850" w:type="dxa"/>
            <w:vAlign w:val="center"/>
          </w:tcPr>
          <w:p w14:paraId="1C5DB9FE">
            <w:pPr>
              <w:jc w:val="center"/>
              <w:rPr>
                <w:color w:val="000000"/>
                <w:sz w:val="14"/>
                <w:szCs w:val="14"/>
              </w:rPr>
            </w:pPr>
            <w:r>
              <w:rPr>
                <w:color w:val="000000"/>
                <w:sz w:val="14"/>
                <w:szCs w:val="14"/>
              </w:rPr>
              <w:t>136.219</w:t>
            </w:r>
          </w:p>
        </w:tc>
        <w:tc>
          <w:tcPr>
            <w:tcW w:w="851" w:type="dxa"/>
            <w:vAlign w:val="center"/>
          </w:tcPr>
          <w:p w14:paraId="52B4FB25">
            <w:pPr>
              <w:jc w:val="center"/>
              <w:rPr>
                <w:color w:val="000000"/>
                <w:sz w:val="14"/>
                <w:szCs w:val="14"/>
              </w:rPr>
            </w:pPr>
            <w:r>
              <w:rPr>
                <w:color w:val="000000"/>
                <w:sz w:val="14"/>
                <w:szCs w:val="14"/>
              </w:rPr>
              <w:t>109.149</w:t>
            </w:r>
          </w:p>
        </w:tc>
        <w:tc>
          <w:tcPr>
            <w:tcW w:w="850" w:type="dxa"/>
            <w:vAlign w:val="center"/>
          </w:tcPr>
          <w:p w14:paraId="0413AB4A">
            <w:pPr>
              <w:jc w:val="center"/>
              <w:rPr>
                <w:color w:val="333333"/>
                <w:sz w:val="14"/>
                <w:szCs w:val="14"/>
              </w:rPr>
            </w:pPr>
            <w:r>
              <w:rPr>
                <w:color w:val="333333"/>
                <w:sz w:val="14"/>
                <w:szCs w:val="14"/>
              </w:rPr>
              <w:t>272.693</w:t>
            </w:r>
          </w:p>
        </w:tc>
        <w:tc>
          <w:tcPr>
            <w:tcW w:w="851" w:type="dxa"/>
            <w:vAlign w:val="center"/>
          </w:tcPr>
          <w:p w14:paraId="019ED821">
            <w:pPr>
              <w:jc w:val="center"/>
              <w:rPr>
                <w:color w:val="333333"/>
                <w:sz w:val="14"/>
                <w:szCs w:val="14"/>
              </w:rPr>
            </w:pPr>
            <w:r>
              <w:rPr>
                <w:color w:val="333333"/>
                <w:sz w:val="14"/>
                <w:szCs w:val="14"/>
              </w:rPr>
              <w:t>122.608</w:t>
            </w:r>
          </w:p>
        </w:tc>
        <w:tc>
          <w:tcPr>
            <w:tcW w:w="850" w:type="dxa"/>
            <w:vAlign w:val="center"/>
          </w:tcPr>
          <w:p w14:paraId="45D61DD7">
            <w:pPr>
              <w:jc w:val="center"/>
              <w:rPr>
                <w:color w:val="333333"/>
                <w:sz w:val="14"/>
                <w:szCs w:val="14"/>
              </w:rPr>
            </w:pPr>
            <w:r>
              <w:rPr>
                <w:color w:val="333333"/>
                <w:sz w:val="14"/>
                <w:szCs w:val="14"/>
              </w:rPr>
              <w:t>68.973</w:t>
            </w:r>
          </w:p>
        </w:tc>
        <w:tc>
          <w:tcPr>
            <w:tcW w:w="709" w:type="dxa"/>
            <w:gridSpan w:val="2"/>
            <w:vAlign w:val="center"/>
          </w:tcPr>
          <w:p w14:paraId="42438F42">
            <w:pPr>
              <w:jc w:val="center"/>
              <w:rPr>
                <w:color w:val="333333"/>
                <w:sz w:val="14"/>
                <w:szCs w:val="14"/>
              </w:rPr>
            </w:pPr>
            <w:r>
              <w:rPr>
                <w:color w:val="333333"/>
                <w:sz w:val="14"/>
                <w:szCs w:val="14"/>
              </w:rPr>
              <w:t>21.134</w:t>
            </w:r>
          </w:p>
        </w:tc>
        <w:tc>
          <w:tcPr>
            <w:tcW w:w="709" w:type="dxa"/>
            <w:vAlign w:val="center"/>
          </w:tcPr>
          <w:p w14:paraId="34DBA73A">
            <w:pPr>
              <w:jc w:val="center"/>
              <w:rPr>
                <w:color w:val="333333"/>
                <w:sz w:val="14"/>
                <w:szCs w:val="14"/>
              </w:rPr>
            </w:pPr>
            <w:r>
              <w:rPr>
                <w:color w:val="333333"/>
                <w:sz w:val="14"/>
                <w:szCs w:val="14"/>
              </w:rPr>
              <w:t>5.748</w:t>
            </w:r>
          </w:p>
        </w:tc>
        <w:tc>
          <w:tcPr>
            <w:tcW w:w="709" w:type="dxa"/>
            <w:vAlign w:val="center"/>
          </w:tcPr>
          <w:p w14:paraId="69AB2426">
            <w:pPr>
              <w:jc w:val="center"/>
              <w:rPr>
                <w:color w:val="333333"/>
                <w:sz w:val="14"/>
                <w:szCs w:val="14"/>
              </w:rPr>
            </w:pPr>
            <w:r>
              <w:rPr>
                <w:color w:val="333333"/>
                <w:sz w:val="14"/>
                <w:szCs w:val="14"/>
              </w:rPr>
              <w:t>5.700</w:t>
            </w:r>
          </w:p>
        </w:tc>
      </w:tr>
      <w:tr w14:paraId="1197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0" w:hRule="atLeast"/>
        </w:trPr>
        <w:tc>
          <w:tcPr>
            <w:tcW w:w="1555" w:type="dxa"/>
            <w:noWrap/>
            <w:vAlign w:val="center"/>
          </w:tcPr>
          <w:p w14:paraId="62B5DDBA">
            <w:pPr>
              <w:jc w:val="center"/>
              <w:rPr>
                <w:color w:val="000000"/>
                <w:sz w:val="18"/>
                <w:szCs w:val="18"/>
              </w:rPr>
            </w:pPr>
            <w:r>
              <w:rPr>
                <w:color w:val="000000"/>
                <w:sz w:val="18"/>
                <w:szCs w:val="18"/>
              </w:rPr>
              <w:t>Tổng chi phí quảng cáo, bán hàng, quản lý</w:t>
            </w:r>
          </w:p>
        </w:tc>
        <w:tc>
          <w:tcPr>
            <w:tcW w:w="798" w:type="dxa"/>
            <w:noWrap/>
            <w:vAlign w:val="center"/>
          </w:tcPr>
          <w:p w14:paraId="76081118">
            <w:pPr>
              <w:jc w:val="center"/>
              <w:rPr>
                <w:color w:val="000000"/>
                <w:sz w:val="16"/>
                <w:szCs w:val="16"/>
              </w:rPr>
            </w:pPr>
            <w:r>
              <w:rPr>
                <w:color w:val="000000"/>
                <w:sz w:val="16"/>
                <w:szCs w:val="16"/>
              </w:rPr>
              <w:t>Triệu đồng</w:t>
            </w:r>
          </w:p>
        </w:tc>
        <w:tc>
          <w:tcPr>
            <w:tcW w:w="903" w:type="dxa"/>
            <w:noWrap/>
            <w:vAlign w:val="center"/>
          </w:tcPr>
          <w:p w14:paraId="2E84AE78">
            <w:pPr>
              <w:jc w:val="center"/>
              <w:rPr>
                <w:color w:val="000000"/>
                <w:sz w:val="14"/>
                <w:szCs w:val="14"/>
              </w:rPr>
            </w:pPr>
            <w:r>
              <w:rPr>
                <w:color w:val="000000"/>
                <w:sz w:val="14"/>
                <w:szCs w:val="14"/>
              </w:rPr>
              <w:t>9.329</w:t>
            </w:r>
          </w:p>
        </w:tc>
        <w:tc>
          <w:tcPr>
            <w:tcW w:w="850" w:type="dxa"/>
            <w:noWrap/>
            <w:vAlign w:val="center"/>
          </w:tcPr>
          <w:p w14:paraId="33260909">
            <w:pPr>
              <w:jc w:val="center"/>
              <w:rPr>
                <w:color w:val="000000"/>
                <w:sz w:val="14"/>
                <w:szCs w:val="14"/>
              </w:rPr>
            </w:pPr>
            <w:r>
              <w:rPr>
                <w:color w:val="000000"/>
                <w:sz w:val="14"/>
                <w:szCs w:val="14"/>
              </w:rPr>
              <w:t>136.219</w:t>
            </w:r>
          </w:p>
        </w:tc>
        <w:tc>
          <w:tcPr>
            <w:tcW w:w="851" w:type="dxa"/>
            <w:noWrap/>
            <w:vAlign w:val="center"/>
          </w:tcPr>
          <w:p w14:paraId="55357722">
            <w:pPr>
              <w:jc w:val="center"/>
              <w:rPr>
                <w:color w:val="000000"/>
                <w:sz w:val="14"/>
                <w:szCs w:val="14"/>
              </w:rPr>
            </w:pPr>
            <w:r>
              <w:rPr>
                <w:color w:val="000000"/>
                <w:sz w:val="14"/>
                <w:szCs w:val="14"/>
              </w:rPr>
              <w:t>109.149</w:t>
            </w:r>
          </w:p>
        </w:tc>
        <w:tc>
          <w:tcPr>
            <w:tcW w:w="850" w:type="dxa"/>
            <w:noWrap/>
            <w:vAlign w:val="center"/>
          </w:tcPr>
          <w:p w14:paraId="7F283D85">
            <w:pPr>
              <w:jc w:val="center"/>
              <w:rPr>
                <w:color w:val="000000"/>
                <w:sz w:val="14"/>
                <w:szCs w:val="14"/>
              </w:rPr>
            </w:pPr>
            <w:r>
              <w:rPr>
                <w:color w:val="000000"/>
                <w:sz w:val="14"/>
                <w:szCs w:val="14"/>
              </w:rPr>
              <w:t>272.693</w:t>
            </w:r>
          </w:p>
        </w:tc>
        <w:tc>
          <w:tcPr>
            <w:tcW w:w="851" w:type="dxa"/>
            <w:noWrap/>
            <w:vAlign w:val="center"/>
          </w:tcPr>
          <w:p w14:paraId="45CD2648">
            <w:pPr>
              <w:jc w:val="center"/>
              <w:rPr>
                <w:color w:val="000000"/>
                <w:sz w:val="14"/>
                <w:szCs w:val="14"/>
              </w:rPr>
            </w:pPr>
            <w:r>
              <w:rPr>
                <w:color w:val="000000"/>
                <w:sz w:val="14"/>
                <w:szCs w:val="14"/>
              </w:rPr>
              <w:t>122.608</w:t>
            </w:r>
          </w:p>
        </w:tc>
        <w:tc>
          <w:tcPr>
            <w:tcW w:w="850" w:type="dxa"/>
            <w:noWrap/>
            <w:vAlign w:val="center"/>
          </w:tcPr>
          <w:p w14:paraId="6A426182">
            <w:pPr>
              <w:jc w:val="center"/>
              <w:rPr>
                <w:color w:val="000000"/>
                <w:sz w:val="14"/>
                <w:szCs w:val="14"/>
              </w:rPr>
            </w:pPr>
            <w:r>
              <w:rPr>
                <w:color w:val="000000"/>
                <w:sz w:val="14"/>
                <w:szCs w:val="14"/>
              </w:rPr>
              <w:t>68.973</w:t>
            </w:r>
          </w:p>
        </w:tc>
        <w:tc>
          <w:tcPr>
            <w:tcW w:w="709" w:type="dxa"/>
            <w:gridSpan w:val="2"/>
            <w:noWrap/>
            <w:vAlign w:val="center"/>
          </w:tcPr>
          <w:p w14:paraId="0FA3B1C3">
            <w:pPr>
              <w:jc w:val="center"/>
              <w:rPr>
                <w:color w:val="000000"/>
                <w:sz w:val="14"/>
                <w:szCs w:val="14"/>
              </w:rPr>
            </w:pPr>
            <w:r>
              <w:rPr>
                <w:color w:val="000000"/>
                <w:sz w:val="14"/>
                <w:szCs w:val="14"/>
              </w:rPr>
              <w:t>21.134</w:t>
            </w:r>
          </w:p>
        </w:tc>
        <w:tc>
          <w:tcPr>
            <w:tcW w:w="709" w:type="dxa"/>
            <w:noWrap/>
            <w:vAlign w:val="center"/>
          </w:tcPr>
          <w:p w14:paraId="15E75125">
            <w:pPr>
              <w:jc w:val="center"/>
              <w:rPr>
                <w:color w:val="000000"/>
                <w:sz w:val="14"/>
                <w:szCs w:val="14"/>
              </w:rPr>
            </w:pPr>
            <w:r>
              <w:rPr>
                <w:color w:val="000000"/>
                <w:sz w:val="14"/>
                <w:szCs w:val="14"/>
              </w:rPr>
              <w:t>5.748</w:t>
            </w:r>
          </w:p>
        </w:tc>
        <w:tc>
          <w:tcPr>
            <w:tcW w:w="709" w:type="dxa"/>
            <w:noWrap/>
            <w:vAlign w:val="center"/>
          </w:tcPr>
          <w:p w14:paraId="6620C0F8">
            <w:pPr>
              <w:jc w:val="center"/>
              <w:rPr>
                <w:color w:val="000000"/>
                <w:sz w:val="14"/>
                <w:szCs w:val="14"/>
              </w:rPr>
            </w:pPr>
            <w:r>
              <w:rPr>
                <w:color w:val="000000"/>
                <w:sz w:val="14"/>
                <w:szCs w:val="14"/>
              </w:rPr>
              <w:t>5.700</w:t>
            </w:r>
          </w:p>
        </w:tc>
      </w:tr>
      <w:tr w14:paraId="058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0" w:hRule="atLeast"/>
        </w:trPr>
        <w:tc>
          <w:tcPr>
            <w:tcW w:w="1555" w:type="dxa"/>
            <w:vAlign w:val="center"/>
          </w:tcPr>
          <w:p w14:paraId="0B0742AA">
            <w:pPr>
              <w:jc w:val="center"/>
              <w:rPr>
                <w:color w:val="000000"/>
                <w:sz w:val="18"/>
                <w:szCs w:val="18"/>
              </w:rPr>
            </w:pPr>
            <w:r>
              <w:rPr>
                <w:color w:val="000000"/>
                <w:sz w:val="18"/>
                <w:szCs w:val="18"/>
              </w:rPr>
              <w:t>Tỷ lệ chi phí quảng cáo, bán hàng, quản lý/Doanh thu</w:t>
            </w:r>
          </w:p>
        </w:tc>
        <w:tc>
          <w:tcPr>
            <w:tcW w:w="798" w:type="dxa"/>
            <w:noWrap/>
            <w:vAlign w:val="center"/>
          </w:tcPr>
          <w:p w14:paraId="3095382B">
            <w:pPr>
              <w:jc w:val="center"/>
              <w:rPr>
                <w:color w:val="000000"/>
                <w:sz w:val="16"/>
                <w:szCs w:val="16"/>
              </w:rPr>
            </w:pPr>
            <w:r>
              <w:rPr>
                <w:color w:val="000000"/>
                <w:sz w:val="16"/>
                <w:szCs w:val="16"/>
              </w:rPr>
              <w:t>%</w:t>
            </w:r>
          </w:p>
        </w:tc>
        <w:tc>
          <w:tcPr>
            <w:tcW w:w="903" w:type="dxa"/>
            <w:noWrap/>
            <w:vAlign w:val="center"/>
          </w:tcPr>
          <w:p w14:paraId="67989D3D">
            <w:pPr>
              <w:jc w:val="center"/>
              <w:rPr>
                <w:color w:val="000000"/>
                <w:sz w:val="14"/>
                <w:szCs w:val="14"/>
              </w:rPr>
            </w:pPr>
            <w:r>
              <w:rPr>
                <w:color w:val="000000"/>
                <w:sz w:val="14"/>
                <w:szCs w:val="14"/>
              </w:rPr>
              <w:t>0,77%</w:t>
            </w:r>
          </w:p>
        </w:tc>
        <w:tc>
          <w:tcPr>
            <w:tcW w:w="850" w:type="dxa"/>
            <w:noWrap/>
            <w:vAlign w:val="center"/>
          </w:tcPr>
          <w:p w14:paraId="64D52245">
            <w:pPr>
              <w:jc w:val="center"/>
              <w:rPr>
                <w:color w:val="000000"/>
                <w:sz w:val="14"/>
                <w:szCs w:val="14"/>
              </w:rPr>
            </w:pPr>
            <w:r>
              <w:rPr>
                <w:color w:val="000000"/>
                <w:sz w:val="14"/>
                <w:szCs w:val="14"/>
              </w:rPr>
              <w:t>8,11%</w:t>
            </w:r>
          </w:p>
        </w:tc>
        <w:tc>
          <w:tcPr>
            <w:tcW w:w="851" w:type="dxa"/>
            <w:noWrap/>
            <w:vAlign w:val="center"/>
          </w:tcPr>
          <w:p w14:paraId="5F90AD98">
            <w:pPr>
              <w:jc w:val="center"/>
              <w:rPr>
                <w:color w:val="000000"/>
                <w:sz w:val="14"/>
                <w:szCs w:val="14"/>
              </w:rPr>
            </w:pPr>
            <w:r>
              <w:rPr>
                <w:color w:val="000000"/>
                <w:sz w:val="14"/>
                <w:szCs w:val="14"/>
              </w:rPr>
              <w:t>6,76%</w:t>
            </w:r>
          </w:p>
        </w:tc>
        <w:tc>
          <w:tcPr>
            <w:tcW w:w="850" w:type="dxa"/>
            <w:noWrap/>
            <w:vAlign w:val="center"/>
          </w:tcPr>
          <w:p w14:paraId="4C609C13">
            <w:pPr>
              <w:jc w:val="center"/>
              <w:rPr>
                <w:color w:val="000000"/>
                <w:sz w:val="14"/>
                <w:szCs w:val="14"/>
              </w:rPr>
            </w:pPr>
            <w:r>
              <w:rPr>
                <w:color w:val="000000"/>
                <w:sz w:val="14"/>
                <w:szCs w:val="14"/>
              </w:rPr>
              <w:t>10,70%</w:t>
            </w:r>
          </w:p>
        </w:tc>
        <w:tc>
          <w:tcPr>
            <w:tcW w:w="851" w:type="dxa"/>
            <w:noWrap/>
            <w:vAlign w:val="center"/>
          </w:tcPr>
          <w:p w14:paraId="31506869">
            <w:pPr>
              <w:jc w:val="center"/>
              <w:rPr>
                <w:color w:val="000000"/>
                <w:sz w:val="14"/>
                <w:szCs w:val="14"/>
              </w:rPr>
            </w:pPr>
            <w:r>
              <w:rPr>
                <w:color w:val="000000"/>
                <w:sz w:val="14"/>
                <w:szCs w:val="14"/>
              </w:rPr>
              <w:t>8,80%</w:t>
            </w:r>
          </w:p>
        </w:tc>
        <w:tc>
          <w:tcPr>
            <w:tcW w:w="850" w:type="dxa"/>
            <w:noWrap/>
            <w:vAlign w:val="center"/>
          </w:tcPr>
          <w:p w14:paraId="74C24002">
            <w:pPr>
              <w:jc w:val="center"/>
              <w:rPr>
                <w:color w:val="000000"/>
                <w:sz w:val="14"/>
                <w:szCs w:val="14"/>
              </w:rPr>
            </w:pPr>
            <w:r>
              <w:rPr>
                <w:color w:val="000000"/>
                <w:sz w:val="14"/>
                <w:szCs w:val="14"/>
              </w:rPr>
              <w:t>5,27%</w:t>
            </w:r>
          </w:p>
        </w:tc>
        <w:tc>
          <w:tcPr>
            <w:tcW w:w="709" w:type="dxa"/>
            <w:gridSpan w:val="2"/>
            <w:noWrap/>
            <w:vAlign w:val="center"/>
          </w:tcPr>
          <w:p w14:paraId="5B1E91F3">
            <w:pPr>
              <w:jc w:val="center"/>
              <w:rPr>
                <w:color w:val="000000"/>
                <w:sz w:val="14"/>
                <w:szCs w:val="14"/>
              </w:rPr>
            </w:pPr>
            <w:r>
              <w:rPr>
                <w:color w:val="000000"/>
                <w:sz w:val="14"/>
                <w:szCs w:val="14"/>
              </w:rPr>
              <w:t>6,34%</w:t>
            </w:r>
          </w:p>
        </w:tc>
        <w:tc>
          <w:tcPr>
            <w:tcW w:w="709" w:type="dxa"/>
            <w:noWrap/>
            <w:vAlign w:val="center"/>
          </w:tcPr>
          <w:p w14:paraId="3ED1EF9E">
            <w:pPr>
              <w:jc w:val="center"/>
              <w:rPr>
                <w:color w:val="000000"/>
                <w:sz w:val="14"/>
                <w:szCs w:val="14"/>
              </w:rPr>
            </w:pPr>
            <w:r>
              <w:rPr>
                <w:color w:val="000000"/>
                <w:sz w:val="14"/>
                <w:szCs w:val="14"/>
              </w:rPr>
              <w:t>1,78%</w:t>
            </w:r>
          </w:p>
        </w:tc>
        <w:tc>
          <w:tcPr>
            <w:tcW w:w="709" w:type="dxa"/>
            <w:noWrap/>
            <w:vAlign w:val="center"/>
          </w:tcPr>
          <w:p w14:paraId="16E26029">
            <w:pPr>
              <w:jc w:val="center"/>
              <w:rPr>
                <w:color w:val="000000"/>
                <w:sz w:val="14"/>
                <w:szCs w:val="14"/>
              </w:rPr>
            </w:pPr>
            <w:r>
              <w:rPr>
                <w:color w:val="000000"/>
                <w:sz w:val="14"/>
                <w:szCs w:val="14"/>
              </w:rPr>
              <w:t>1,74%</w:t>
            </w:r>
          </w:p>
        </w:tc>
      </w:tr>
      <w:tr w14:paraId="24FD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Align w:val="center"/>
          </w:tcPr>
          <w:p w14:paraId="766A1D21">
            <w:pPr>
              <w:jc w:val="center"/>
              <w:rPr>
                <w:color w:val="000000"/>
                <w:sz w:val="18"/>
                <w:szCs w:val="18"/>
              </w:rPr>
            </w:pPr>
            <w:r>
              <w:rPr>
                <w:color w:val="000000"/>
                <w:sz w:val="18"/>
                <w:szCs w:val="18"/>
              </w:rPr>
              <w:t>Tỷ lệ trung bình chi phí quảng cáo, bán hàng, quản lý / Doanh thu của từng đơn vị</w:t>
            </w:r>
          </w:p>
        </w:tc>
        <w:tc>
          <w:tcPr>
            <w:tcW w:w="798" w:type="dxa"/>
            <w:noWrap/>
            <w:vAlign w:val="center"/>
          </w:tcPr>
          <w:p w14:paraId="5FEC66CF">
            <w:pPr>
              <w:jc w:val="center"/>
              <w:rPr>
                <w:color w:val="000000"/>
                <w:sz w:val="16"/>
                <w:szCs w:val="16"/>
              </w:rPr>
            </w:pPr>
            <w:r>
              <w:rPr>
                <w:color w:val="000000"/>
                <w:sz w:val="16"/>
                <w:szCs w:val="16"/>
              </w:rPr>
              <w:t>%</w:t>
            </w:r>
          </w:p>
        </w:tc>
        <w:tc>
          <w:tcPr>
            <w:tcW w:w="2604" w:type="dxa"/>
            <w:gridSpan w:val="3"/>
            <w:noWrap/>
            <w:vAlign w:val="center"/>
          </w:tcPr>
          <w:p w14:paraId="0B30FBBA">
            <w:pPr>
              <w:jc w:val="center"/>
              <w:rPr>
                <w:color w:val="000000"/>
                <w:sz w:val="22"/>
                <w:szCs w:val="22"/>
              </w:rPr>
            </w:pPr>
            <w:r>
              <w:rPr>
                <w:color w:val="000000"/>
                <w:sz w:val="22"/>
                <w:szCs w:val="22"/>
              </w:rPr>
              <w:t>5,21%</w:t>
            </w:r>
          </w:p>
        </w:tc>
        <w:tc>
          <w:tcPr>
            <w:tcW w:w="2561" w:type="dxa"/>
            <w:gridSpan w:val="4"/>
            <w:noWrap/>
            <w:vAlign w:val="center"/>
          </w:tcPr>
          <w:p w14:paraId="7135D0F4">
            <w:pPr>
              <w:jc w:val="center"/>
              <w:rPr>
                <w:color w:val="000000"/>
                <w:sz w:val="22"/>
                <w:szCs w:val="22"/>
              </w:rPr>
            </w:pPr>
            <w:r>
              <w:rPr>
                <w:color w:val="000000"/>
                <w:sz w:val="22"/>
                <w:szCs w:val="22"/>
              </w:rPr>
              <w:t>8,26%</w:t>
            </w:r>
          </w:p>
        </w:tc>
        <w:tc>
          <w:tcPr>
            <w:tcW w:w="2127" w:type="dxa"/>
            <w:gridSpan w:val="4"/>
            <w:noWrap/>
            <w:vAlign w:val="center"/>
          </w:tcPr>
          <w:p w14:paraId="389E1E4C">
            <w:pPr>
              <w:jc w:val="center"/>
              <w:rPr>
                <w:color w:val="000000"/>
                <w:sz w:val="22"/>
                <w:szCs w:val="22"/>
              </w:rPr>
            </w:pPr>
            <w:r>
              <w:rPr>
                <w:color w:val="000000"/>
                <w:sz w:val="22"/>
                <w:szCs w:val="22"/>
              </w:rPr>
              <w:t>3,29%</w:t>
            </w:r>
          </w:p>
        </w:tc>
      </w:tr>
      <w:tr w14:paraId="7BBA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Align w:val="center"/>
          </w:tcPr>
          <w:p w14:paraId="1C0C9E0F">
            <w:pPr>
              <w:jc w:val="center"/>
              <w:rPr>
                <w:b/>
                <w:bCs/>
                <w:color w:val="000000"/>
                <w:sz w:val="18"/>
                <w:szCs w:val="18"/>
              </w:rPr>
            </w:pPr>
            <w:r>
              <w:rPr>
                <w:b/>
                <w:bCs/>
                <w:color w:val="000000"/>
                <w:sz w:val="18"/>
                <w:szCs w:val="18"/>
              </w:rPr>
              <w:t>Tỷ lệ  chi phí quảng cáo, bán hàng, quản lý / Doanh thu trung bình ngành</w:t>
            </w:r>
          </w:p>
        </w:tc>
        <w:tc>
          <w:tcPr>
            <w:tcW w:w="798" w:type="dxa"/>
            <w:noWrap/>
            <w:vAlign w:val="center"/>
          </w:tcPr>
          <w:p w14:paraId="2B1862D1">
            <w:pPr>
              <w:jc w:val="center"/>
              <w:rPr>
                <w:color w:val="000000"/>
                <w:sz w:val="16"/>
                <w:szCs w:val="16"/>
              </w:rPr>
            </w:pPr>
            <w:r>
              <w:rPr>
                <w:color w:val="000000"/>
                <w:sz w:val="16"/>
                <w:szCs w:val="16"/>
              </w:rPr>
              <w:t>%</w:t>
            </w:r>
          </w:p>
        </w:tc>
        <w:tc>
          <w:tcPr>
            <w:tcW w:w="7292" w:type="dxa"/>
            <w:gridSpan w:val="11"/>
            <w:noWrap/>
            <w:vAlign w:val="center"/>
          </w:tcPr>
          <w:p w14:paraId="6193BCB2">
            <w:pPr>
              <w:jc w:val="center"/>
              <w:rPr>
                <w:b/>
                <w:bCs/>
                <w:color w:val="000000"/>
                <w:sz w:val="22"/>
                <w:szCs w:val="22"/>
              </w:rPr>
            </w:pPr>
            <w:r>
              <w:rPr>
                <w:b/>
                <w:bCs/>
                <w:color w:val="000000"/>
                <w:sz w:val="22"/>
                <w:szCs w:val="22"/>
              </w:rPr>
              <w:t>5,59%</w:t>
            </w:r>
          </w:p>
        </w:tc>
      </w:tr>
    </w:tbl>
    <w:p w14:paraId="4612F53F">
      <w:pPr>
        <w:widowControl w:val="0"/>
        <w:spacing w:before="120" w:after="120" w:line="340" w:lineRule="exact"/>
        <w:ind w:firstLine="561"/>
        <w:jc w:val="both"/>
        <w:rPr>
          <w:rFonts w:eastAsia="Tahoma"/>
          <w:color w:val="000000" w:themeColor="text1"/>
          <w:sz w:val="26"/>
          <w:szCs w:val="26"/>
          <w:lang w:val="da-DK"/>
          <w14:textFill>
            <w14:solidFill>
              <w14:schemeClr w14:val="tx1"/>
            </w14:solidFill>
          </w14:textFill>
        </w:rPr>
      </w:pPr>
      <w:r>
        <w:rPr>
          <w:rFonts w:eastAsia="Tahoma"/>
          <w:color w:val="000000" w:themeColor="text1"/>
          <w:sz w:val="26"/>
          <w:szCs w:val="26"/>
          <w:lang w:val="vi-VN"/>
          <w14:textFill>
            <w14:solidFill>
              <w14:schemeClr w14:val="tx1"/>
            </w14:solidFill>
          </w14:textFill>
        </w:rPr>
        <w:t xml:space="preserve">- Công ty Cổ phần Dịch vụ Tư vấn và Thẩm định giá Việt Nam tiến hành khảo sát </w:t>
      </w:r>
      <w:r>
        <w:rPr>
          <w:rFonts w:eastAsia="Tahoma"/>
          <w:color w:val="000000" w:themeColor="text1"/>
          <w:sz w:val="26"/>
          <w:szCs w:val="26"/>
          <w:lang w:val="da-DK"/>
          <w14:textFill>
            <w14:solidFill>
              <w14:schemeClr w14:val="tx1"/>
            </w14:solidFill>
          </w14:textFill>
        </w:rPr>
        <w:t>thực tế chi phí kinh doanh của các dự án trên địa bàn tỉnh Bắc Giang có vị trí giáp ranh lân cận tỉnh Lạng Sơn, đã ký hợp đồng môi giới với các bên phân phối tại thời điểm gần nhất với thời điểm định giá, đơn vị tư vấn thu thập được một số thông tin về tỷ lệ chi phí kinh doanh tính trên doanh thu như sau:</w:t>
      </w:r>
    </w:p>
    <w:tbl>
      <w:tblPr>
        <w:tblStyle w:val="9"/>
        <w:tblW w:w="94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2"/>
        <w:gridCol w:w="1561"/>
        <w:gridCol w:w="1327"/>
        <w:gridCol w:w="817"/>
        <w:gridCol w:w="1026"/>
        <w:gridCol w:w="996"/>
        <w:gridCol w:w="6"/>
        <w:gridCol w:w="2125"/>
        <w:gridCol w:w="26"/>
      </w:tblGrid>
      <w:tr w14:paraId="1AE7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0" w:hRule="atLeast"/>
        </w:trPr>
        <w:tc>
          <w:tcPr>
            <w:tcW w:w="7292" w:type="dxa"/>
            <w:gridSpan w:val="8"/>
            <w:noWrap/>
            <w:vAlign w:val="center"/>
          </w:tcPr>
          <w:p w14:paraId="46E89779">
            <w:pPr>
              <w:jc w:val="center"/>
              <w:rPr>
                <w:b/>
                <w:bCs/>
                <w:color w:val="000000" w:themeColor="text1"/>
                <w:sz w:val="21"/>
                <w:szCs w:val="21"/>
                <w:lang w:val="da-DK"/>
                <w14:textFill>
                  <w14:solidFill>
                    <w14:schemeClr w14:val="tx1"/>
                  </w14:solidFill>
                </w14:textFill>
              </w:rPr>
            </w:pPr>
            <w:r>
              <w:rPr>
                <w:b/>
                <w:bCs/>
                <w:color w:val="000000" w:themeColor="text1"/>
                <w:sz w:val="21"/>
                <w:szCs w:val="21"/>
                <w:lang w:val="da-DK"/>
                <w14:textFill>
                  <w14:solidFill>
                    <w14:schemeClr w14:val="tx1"/>
                  </w14:solidFill>
                </w14:textFill>
              </w:rPr>
              <w:t>THỐNG KÊ TỶ LỆ CHI PHÍ QUẢNG CÁO BÁN HÀNG</w:t>
            </w:r>
          </w:p>
        </w:tc>
        <w:tc>
          <w:tcPr>
            <w:tcW w:w="2125" w:type="dxa"/>
            <w:noWrap/>
            <w:vAlign w:val="center"/>
          </w:tcPr>
          <w:p w14:paraId="6407D0F3">
            <w:pPr>
              <w:jc w:val="center"/>
              <w:rPr>
                <w:b/>
                <w:bCs/>
                <w:color w:val="000000" w:themeColor="text1"/>
                <w:sz w:val="21"/>
                <w:szCs w:val="21"/>
                <w:lang w:val="da-DK"/>
                <w14:textFill>
                  <w14:solidFill>
                    <w14:schemeClr w14:val="tx1"/>
                  </w14:solidFill>
                </w14:textFill>
              </w:rPr>
            </w:pPr>
          </w:p>
        </w:tc>
      </w:tr>
      <w:tr w14:paraId="27FA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noWrap/>
            <w:vAlign w:val="center"/>
          </w:tcPr>
          <w:p w14:paraId="4E508B93">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Stt</w:t>
            </w:r>
          </w:p>
        </w:tc>
        <w:tc>
          <w:tcPr>
            <w:tcW w:w="992" w:type="dxa"/>
            <w:noWrap/>
            <w:vAlign w:val="center"/>
          </w:tcPr>
          <w:p w14:paraId="03075DC6">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Tên đơn vị</w:t>
            </w:r>
          </w:p>
        </w:tc>
        <w:tc>
          <w:tcPr>
            <w:tcW w:w="1561" w:type="dxa"/>
            <w:noWrap/>
            <w:vAlign w:val="center"/>
          </w:tcPr>
          <w:p w14:paraId="4CA52076">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Tên dự án</w:t>
            </w:r>
          </w:p>
        </w:tc>
        <w:tc>
          <w:tcPr>
            <w:tcW w:w="1327" w:type="dxa"/>
            <w:noWrap/>
            <w:vAlign w:val="center"/>
          </w:tcPr>
          <w:p w14:paraId="75DB3D29">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Số HĐ</w:t>
            </w:r>
          </w:p>
        </w:tc>
        <w:tc>
          <w:tcPr>
            <w:tcW w:w="817" w:type="dxa"/>
            <w:noWrap/>
            <w:vAlign w:val="center"/>
          </w:tcPr>
          <w:p w14:paraId="76C64D1F">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Thời gian</w:t>
            </w:r>
          </w:p>
        </w:tc>
        <w:tc>
          <w:tcPr>
            <w:tcW w:w="1026" w:type="dxa"/>
            <w:noWrap/>
            <w:vAlign w:val="center"/>
          </w:tcPr>
          <w:p w14:paraId="30898896">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Tỷ lệ CFKD/DT (%)</w:t>
            </w:r>
          </w:p>
        </w:tc>
        <w:tc>
          <w:tcPr>
            <w:tcW w:w="996" w:type="dxa"/>
            <w:noWrap/>
            <w:vAlign w:val="center"/>
          </w:tcPr>
          <w:p w14:paraId="2749B2BE">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Bình quân tỷ lệ (%)</w:t>
            </w:r>
          </w:p>
        </w:tc>
        <w:tc>
          <w:tcPr>
            <w:tcW w:w="2157" w:type="dxa"/>
            <w:gridSpan w:val="3"/>
            <w:noWrap/>
            <w:vAlign w:val="center"/>
          </w:tcPr>
          <w:p w14:paraId="515AEB1B">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Ghi chú</w:t>
            </w:r>
          </w:p>
        </w:tc>
      </w:tr>
      <w:tr w14:paraId="6CAF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noWrap/>
            <w:vAlign w:val="center"/>
          </w:tcPr>
          <w:p w14:paraId="45A7374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992" w:type="dxa"/>
            <w:noWrap/>
            <w:vAlign w:val="center"/>
          </w:tcPr>
          <w:p w14:paraId="3B0193DD">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Công ty CP BV INVEST</w:t>
            </w:r>
          </w:p>
        </w:tc>
        <w:tc>
          <w:tcPr>
            <w:tcW w:w="1561" w:type="dxa"/>
            <w:vAlign w:val="center"/>
          </w:tcPr>
          <w:p w14:paraId="469247AC">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Dự án chung cư HH tại lô C01 và X03  - Diamond Hill  - KDC số 02 TP Bắc Giang</w:t>
            </w:r>
          </w:p>
        </w:tc>
        <w:tc>
          <w:tcPr>
            <w:tcW w:w="1327" w:type="dxa"/>
            <w:vAlign w:val="center"/>
          </w:tcPr>
          <w:p w14:paraId="74D468C6">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18/2023/HĐMG/BVDMH/BV-HN</w:t>
            </w:r>
          </w:p>
        </w:tc>
        <w:tc>
          <w:tcPr>
            <w:tcW w:w="817" w:type="dxa"/>
            <w:noWrap/>
            <w:vAlign w:val="center"/>
          </w:tcPr>
          <w:p w14:paraId="13C46539">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01/12/2023</w:t>
            </w:r>
          </w:p>
        </w:tc>
        <w:tc>
          <w:tcPr>
            <w:tcW w:w="1026" w:type="dxa"/>
            <w:noWrap/>
            <w:vAlign w:val="center"/>
          </w:tcPr>
          <w:p w14:paraId="706C07C2">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5,75%</w:t>
            </w:r>
          </w:p>
        </w:tc>
        <w:tc>
          <w:tcPr>
            <w:tcW w:w="996" w:type="dxa"/>
            <w:vMerge w:val="restart"/>
            <w:noWrap/>
            <w:vAlign w:val="center"/>
          </w:tcPr>
          <w:p w14:paraId="7B728553">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7,04%</w:t>
            </w:r>
          </w:p>
        </w:tc>
        <w:tc>
          <w:tcPr>
            <w:tcW w:w="2157" w:type="dxa"/>
            <w:gridSpan w:val="3"/>
            <w:vAlign w:val="center"/>
          </w:tcPr>
          <w:p w14:paraId="7371B810">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Phí môi giới bằng giá trị giao dịch thành công x tỷ lệ tính phí. Hai mức phí là 5,5% và 6% =&gt; xác định bình quân 5,75%</w:t>
            </w:r>
          </w:p>
        </w:tc>
      </w:tr>
      <w:tr w14:paraId="2712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noWrap/>
            <w:vAlign w:val="center"/>
          </w:tcPr>
          <w:p w14:paraId="15B221D4">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992" w:type="dxa"/>
            <w:vAlign w:val="center"/>
          </w:tcPr>
          <w:p w14:paraId="6DC88B11">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Công ty CP dịch vụ quốc tế Việt Nam</w:t>
            </w:r>
          </w:p>
        </w:tc>
        <w:tc>
          <w:tcPr>
            <w:tcW w:w="1561" w:type="dxa"/>
            <w:vAlign w:val="center"/>
          </w:tcPr>
          <w:p w14:paraId="418C0F33">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Dự án KĐT mới HH3 - KĐT phía Nam, TP Bắc Giang</w:t>
            </w:r>
          </w:p>
        </w:tc>
        <w:tc>
          <w:tcPr>
            <w:tcW w:w="1327" w:type="dxa"/>
            <w:vAlign w:val="center"/>
          </w:tcPr>
          <w:p w14:paraId="352FF377">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01/2024/HDDV/VISC-MVL</w:t>
            </w:r>
          </w:p>
        </w:tc>
        <w:tc>
          <w:tcPr>
            <w:tcW w:w="817" w:type="dxa"/>
            <w:noWrap/>
            <w:vAlign w:val="center"/>
          </w:tcPr>
          <w:p w14:paraId="0B9BF134">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19/01/2024</w:t>
            </w:r>
          </w:p>
        </w:tc>
        <w:tc>
          <w:tcPr>
            <w:tcW w:w="1026" w:type="dxa"/>
            <w:noWrap/>
            <w:vAlign w:val="center"/>
          </w:tcPr>
          <w:p w14:paraId="78810A9D">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10,36%</w:t>
            </w:r>
          </w:p>
        </w:tc>
        <w:tc>
          <w:tcPr>
            <w:tcW w:w="996" w:type="dxa"/>
            <w:vMerge w:val="continue"/>
            <w:vAlign w:val="center"/>
          </w:tcPr>
          <w:p w14:paraId="0981281E">
            <w:pPr>
              <w:jc w:val="center"/>
              <w:rPr>
                <w:color w:val="000000" w:themeColor="text1"/>
                <w:sz w:val="21"/>
                <w:szCs w:val="21"/>
                <w14:textFill>
                  <w14:solidFill>
                    <w14:schemeClr w14:val="tx1"/>
                  </w14:solidFill>
                </w14:textFill>
              </w:rPr>
            </w:pPr>
          </w:p>
        </w:tc>
        <w:tc>
          <w:tcPr>
            <w:tcW w:w="2157" w:type="dxa"/>
            <w:gridSpan w:val="3"/>
            <w:vAlign w:val="center"/>
          </w:tcPr>
          <w:p w14:paraId="3AECBCC6">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Phí môi giới bằng giá trị BĐS x tỷ lệ tính phí. Hai mức phí là 9,81% và 10,91% =&gt; xác định bình quân 10,36%</w:t>
            </w:r>
          </w:p>
        </w:tc>
      </w:tr>
      <w:tr w14:paraId="22BC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noWrap/>
            <w:vAlign w:val="center"/>
          </w:tcPr>
          <w:p w14:paraId="15B8FEC1">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992" w:type="dxa"/>
            <w:noWrap/>
            <w:vAlign w:val="center"/>
          </w:tcPr>
          <w:p w14:paraId="7511E5F6">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Công ty CP Vinhome</w:t>
            </w:r>
          </w:p>
        </w:tc>
        <w:tc>
          <w:tcPr>
            <w:tcW w:w="1561" w:type="dxa"/>
            <w:vAlign w:val="center"/>
          </w:tcPr>
          <w:p w14:paraId="4AB002E1">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Dự án Vinhome Sky Park, thành phố Bắc Giang</w:t>
            </w:r>
          </w:p>
        </w:tc>
        <w:tc>
          <w:tcPr>
            <w:tcW w:w="1327" w:type="dxa"/>
            <w:vAlign w:val="center"/>
          </w:tcPr>
          <w:p w14:paraId="5D6B5CF6">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TIẾN PHÁT/VHMSKYPARK/HĐMG</w:t>
            </w:r>
          </w:p>
        </w:tc>
        <w:tc>
          <w:tcPr>
            <w:tcW w:w="817" w:type="dxa"/>
            <w:noWrap/>
            <w:vAlign w:val="center"/>
          </w:tcPr>
          <w:p w14:paraId="7ADA206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01/08/2023</w:t>
            </w:r>
          </w:p>
        </w:tc>
        <w:tc>
          <w:tcPr>
            <w:tcW w:w="1026" w:type="dxa"/>
            <w:noWrap/>
            <w:vAlign w:val="center"/>
          </w:tcPr>
          <w:p w14:paraId="1D1B1EB7">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996" w:type="dxa"/>
            <w:vMerge w:val="continue"/>
            <w:vAlign w:val="center"/>
          </w:tcPr>
          <w:p w14:paraId="3476049C">
            <w:pPr>
              <w:jc w:val="center"/>
              <w:rPr>
                <w:color w:val="000000" w:themeColor="text1"/>
                <w:sz w:val="21"/>
                <w:szCs w:val="21"/>
                <w14:textFill>
                  <w14:solidFill>
                    <w14:schemeClr w14:val="tx1"/>
                  </w14:solidFill>
                </w14:textFill>
              </w:rPr>
            </w:pPr>
          </w:p>
        </w:tc>
        <w:tc>
          <w:tcPr>
            <w:tcW w:w="2157" w:type="dxa"/>
            <w:gridSpan w:val="3"/>
            <w:vAlign w:val="center"/>
          </w:tcPr>
          <w:p w14:paraId="2E9B9C01">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Phí môi giới = tỷ lệ hoa hồng 5% x giá cơ sở theo thông báo của chủ đầu tư + mức hoa hồng bổ sung (nếu có) - giá trị khoản giảm (nếu có)</w:t>
            </w:r>
          </w:p>
        </w:tc>
      </w:tr>
    </w:tbl>
    <w:p w14:paraId="39D49E7B">
      <w:pPr>
        <w:tabs>
          <w:tab w:val="left" w:pos="6142"/>
        </w:tabs>
        <w:rPr>
          <w:color w:val="000000" w:themeColor="text1"/>
          <w:sz w:val="22"/>
          <w:szCs w:val="22"/>
          <w14:textFill>
            <w14:solidFill>
              <w14:schemeClr w14:val="tx1"/>
            </w14:solidFill>
          </w14:textFill>
        </w:rPr>
      </w:pPr>
    </w:p>
    <w:p w14:paraId="515F69F6">
      <w:pPr>
        <w:tabs>
          <w:tab w:val="left" w:pos="6142"/>
        </w:tabs>
        <w:spacing w:line="400" w:lineRule="exact"/>
        <w:rPr>
          <w:b/>
          <w:bCs/>
          <w:sz w:val="26"/>
          <w:szCs w:val="26"/>
          <w:lang w:val="da-DK"/>
        </w:rPr>
      </w:pPr>
      <w:r>
        <w:rPr>
          <w:b/>
          <w:bCs/>
          <w:sz w:val="26"/>
          <w:szCs w:val="26"/>
          <w:lang w:val="da-DK"/>
        </w:rPr>
        <w:t xml:space="preserve">           =&gt; Tỷ lệ chi phí kinh doanh/doanh thu bình quân ba dự án là 7,04%.</w:t>
      </w:r>
    </w:p>
    <w:p w14:paraId="41A3DAF6">
      <w:pPr>
        <w:widowControl w:val="0"/>
        <w:spacing w:before="120" w:after="120" w:line="400" w:lineRule="exact"/>
        <w:ind w:firstLine="720"/>
        <w:jc w:val="both"/>
        <w:rPr>
          <w:rFonts w:eastAsia="Tahoma"/>
          <w:color w:val="000000" w:themeColor="text1"/>
          <w:sz w:val="26"/>
          <w:szCs w:val="26"/>
          <w:lang w:val="vi-VN"/>
          <w14:textFill>
            <w14:solidFill>
              <w14:schemeClr w14:val="tx1"/>
            </w14:solidFill>
          </w14:textFill>
        </w:rPr>
      </w:pPr>
      <w:r>
        <w:rPr>
          <w:rFonts w:eastAsia="Tahoma"/>
          <w:color w:val="000000" w:themeColor="text1"/>
          <w:sz w:val="26"/>
          <w:szCs w:val="26"/>
          <w:lang w:val="vi-VN"/>
          <w14:textFill>
            <w14:solidFill>
              <w14:schemeClr w14:val="tx1"/>
            </w14:solidFill>
          </w14:textFill>
        </w:rPr>
        <w:t>=&gt; Qua khảo sát thực tế tỷ lệ chi phí kinh doanh tính trên doanh thu của các hợp đồng môi giới với các bên phân phối thuộc 03 dự án trên địa bàn tỉnh Bắc Giang năm 2023, 2024 với tỷ lệ chi phí kinh doanh/doanh thu bình quân là 7,04%. Tuy nhiên căn cứ Tiêu chuẩn thẩm định giá Việt Nam số 04: “Nguyên tắc sử dụng tốt nhất và hiệu quả nhất: Sử dụng tốt nhất và có hiệu quả nhất của tài sản là đạt được mức hữu dụng tối đa có thể cho phép về mặt pháp lý, về kỹ thuật, về tài chính trong những hoàn cảnh kinh tế - xã hội thực tế phù hợp và đem lại giá trị cao nhất cho tài sản”. Công ty Cổ phần Dịch vụ Tư vấn và Thẩm định giá Việt Nam đề xuất căn cứ quy định tại Khoản 2, Điều 4, Quyết định số 47/2024/QĐ-UBND ngày 30 tháng 10 năm 2024 của UBND nhân dân tỉnh Lạng Sơn về việc Ban hành Quy định một số chỉ tiêu cụ thể để áp dụng phương pháp định giá đất trên địa bàn tỉnh Lạng Sơn:</w:t>
      </w:r>
    </w:p>
    <w:p w14:paraId="782968C6">
      <w:pPr>
        <w:widowControl w:val="0"/>
        <w:spacing w:before="120" w:after="120" w:line="400" w:lineRule="exact"/>
        <w:ind w:firstLine="720"/>
        <w:jc w:val="both"/>
        <w:rPr>
          <w:rFonts w:eastAsia="Tahoma"/>
          <w:b/>
          <w:bCs/>
          <w:i/>
          <w:iCs/>
          <w:color w:val="000000" w:themeColor="text1"/>
          <w:spacing w:val="10"/>
          <w:sz w:val="26"/>
          <w:szCs w:val="26"/>
          <w14:textFill>
            <w14:solidFill>
              <w14:schemeClr w14:val="tx1"/>
            </w14:solidFill>
          </w14:textFill>
        </w:rPr>
      </w:pPr>
      <w:r>
        <w:rPr>
          <w:rFonts w:eastAsia="Tahoma"/>
          <w:color w:val="000000" w:themeColor="text1"/>
          <w:sz w:val="26"/>
          <w:szCs w:val="26"/>
          <w:lang w:val="vi-VN"/>
          <w14:textFill>
            <w14:solidFill>
              <w14:schemeClr w14:val="tx1"/>
            </w14:solidFill>
          </w14:textFill>
        </w:rPr>
        <w:t>Chi phí tiếp thị, quảng cáo, bán hàng được tính bằng 1% trên tổng các loại doanh thu trước thuế đã quy về thời điểm hiện tại của dự án</w:t>
      </w:r>
      <w:r>
        <w:rPr>
          <w:rFonts w:eastAsia="Tahoma"/>
          <w:color w:val="000000" w:themeColor="text1"/>
          <w:sz w:val="26"/>
          <w:szCs w:val="26"/>
          <w14:textFill>
            <w14:solidFill>
              <w14:schemeClr w14:val="tx1"/>
            </w14:solidFill>
          </w14:textFill>
        </w:rPr>
        <w:t>:</w:t>
      </w:r>
    </w:p>
    <w:p w14:paraId="5220EF19">
      <w:pPr>
        <w:widowControl w:val="0"/>
        <w:spacing w:before="120" w:after="120" w:line="400" w:lineRule="exact"/>
        <w:ind w:firstLine="720"/>
        <w:jc w:val="center"/>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lang w:val="da-DK"/>
          <w14:textFill>
            <w14:solidFill>
              <w14:schemeClr w14:val="tx1"/>
            </w14:solidFill>
          </w14:textFill>
        </w:rPr>
        <w:t>CFKD  =  (DTo) * 1%</w:t>
      </w:r>
      <w:r>
        <w:rPr>
          <w:rFonts w:eastAsia="Tahoma"/>
          <w:i/>
          <w:color w:val="000000" w:themeColor="text1"/>
          <w:position w:val="4"/>
          <w:sz w:val="26"/>
          <w:szCs w:val="26"/>
          <w:lang w:val="da-DK"/>
          <w14:textFill>
            <w14:solidFill>
              <w14:schemeClr w14:val="tx1"/>
            </w14:solidFill>
          </w14:textFill>
        </w:rPr>
        <w:t>=   619.169.789.514 * 1% =</w:t>
      </w:r>
      <w:r>
        <w:rPr>
          <w:rFonts w:eastAsia="Tahoma"/>
          <w:b/>
          <w:bCs/>
          <w:color w:val="000000" w:themeColor="text1"/>
          <w:position w:val="4"/>
          <w:sz w:val="26"/>
          <w:szCs w:val="26"/>
          <w:lang w:val="vi-VN"/>
          <w14:textFill>
            <w14:solidFill>
              <w14:schemeClr w14:val="tx1"/>
            </w14:solidFill>
          </w14:textFill>
        </w:rPr>
        <w:t xml:space="preserve"> </w:t>
      </w:r>
      <w:r>
        <w:rPr>
          <w:rFonts w:eastAsia="Tahoma"/>
          <w:b/>
          <w:bCs/>
          <w:color w:val="000000" w:themeColor="text1"/>
          <w:position w:val="4"/>
          <w:sz w:val="26"/>
          <w:szCs w:val="26"/>
          <w14:textFill>
            <w14:solidFill>
              <w14:schemeClr w14:val="tx1"/>
            </w14:solidFill>
          </w14:textFill>
        </w:rPr>
        <w:t xml:space="preserve"> 6.191.697.895 đồng</w:t>
      </w:r>
    </w:p>
    <w:p w14:paraId="6A090EA0">
      <w:pPr>
        <w:widowControl w:val="0"/>
        <w:spacing w:before="120" w:after="120" w:line="400" w:lineRule="exact"/>
        <w:ind w:firstLine="720"/>
        <w:jc w:val="both"/>
        <w:rPr>
          <w:rFonts w:eastAsia="Tahoma"/>
          <w:color w:val="000000" w:themeColor="text1"/>
          <w:spacing w:val="-4"/>
          <w:sz w:val="26"/>
          <w:szCs w:val="26"/>
          <w:lang w:val="vi-VN"/>
          <w14:textFill>
            <w14:solidFill>
              <w14:schemeClr w14:val="tx1"/>
            </w14:solidFill>
          </w14:textFill>
        </w:rPr>
      </w:pPr>
      <w:r>
        <w:rPr>
          <w:rFonts w:eastAsia="Tahoma"/>
          <w:b/>
          <w:i/>
          <w:color w:val="000000" w:themeColor="text1"/>
          <w:spacing w:val="-4"/>
          <w:sz w:val="26"/>
          <w:szCs w:val="26"/>
          <w:lang w:val="da-DK"/>
          <w14:textFill>
            <w14:solidFill>
              <w14:schemeClr w14:val="tx1"/>
            </w14:solidFill>
          </w14:textFill>
        </w:rPr>
        <w:t>c. Chi phí lãi vay, lợi nhuận của nhà đầu tư có tính đến vốn chủ sở hữu, rủi ro trong kinh doanh</w:t>
      </w:r>
      <w:r>
        <w:rPr>
          <w:rFonts w:eastAsia="Tahoma"/>
          <w:bCs/>
          <w:i/>
          <w:color w:val="000000" w:themeColor="text1"/>
          <w:spacing w:val="-4"/>
          <w:sz w:val="26"/>
          <w:szCs w:val="26"/>
          <w:lang w:val="da-DK"/>
          <w14:textFill>
            <w14:solidFill>
              <w14:schemeClr w14:val="tx1"/>
            </w14:solidFill>
          </w14:textFill>
        </w:rPr>
        <w:t xml:space="preserve">:  </w:t>
      </w:r>
    </w:p>
    <w:p w14:paraId="788306BC">
      <w:pPr>
        <w:widowControl w:val="0"/>
        <w:spacing w:before="120" w:after="120" w:line="400" w:lineRule="exact"/>
        <w:ind w:firstLine="567"/>
        <w:jc w:val="both"/>
        <w:rPr>
          <w:bCs/>
          <w:iCs/>
          <w:color w:val="000000" w:themeColor="text1"/>
          <w:sz w:val="26"/>
          <w:szCs w:val="26"/>
          <w:lang w:val="da-DK"/>
          <w14:textFill>
            <w14:solidFill>
              <w14:schemeClr w14:val="tx1"/>
            </w14:solidFill>
          </w14:textFill>
        </w:rPr>
      </w:pPr>
      <w:r>
        <w:rPr>
          <w:bCs/>
          <w:iCs/>
          <w:color w:val="000000" w:themeColor="text1"/>
          <w:sz w:val="26"/>
          <w:szCs w:val="26"/>
          <w:lang w:val="da-DK"/>
          <w14:textFill>
            <w14:solidFill>
              <w14:schemeClr w14:val="tx1"/>
            </w14:solidFill>
          </w14:textFill>
        </w:rPr>
        <w:t>- Căn cứ Nghị định số 71/2024/NĐ-CP ngày 27/06/2024 của Chính Phủ: lãi vay, lợi nhuận của nhà đầu tư có tính đến vốn chủ sở hữu, rủi ro trong kinh doanh được tính bằng tỷ lệ % nhân với tổng của chi phí đầu tư xây dựng + chi phí kinh doanh và giá trị quyền sử dụng đất của thửa đất, khu đất cần định giá.</w:t>
      </w:r>
    </w:p>
    <w:p w14:paraId="55A648BD">
      <w:pPr>
        <w:widowControl w:val="0"/>
        <w:spacing w:before="120" w:after="120" w:line="400" w:lineRule="exact"/>
        <w:ind w:firstLine="567"/>
        <w:jc w:val="both"/>
        <w:rPr>
          <w:rFonts w:eastAsia="Tahoma"/>
          <w:color w:val="000000" w:themeColor="text1"/>
          <w:spacing w:val="-6"/>
          <w:sz w:val="26"/>
          <w:szCs w:val="26"/>
          <w14:textFill>
            <w14:solidFill>
              <w14:schemeClr w14:val="tx1"/>
            </w14:solidFill>
          </w14:textFill>
        </w:rPr>
      </w:pPr>
      <w:r>
        <w:rPr>
          <w:rFonts w:eastAsia="Tahoma"/>
          <w:color w:val="000000" w:themeColor="text1"/>
          <w:spacing w:val="-6"/>
          <w:sz w:val="26"/>
          <w:szCs w:val="26"/>
          <w14:textFill>
            <w14:solidFill>
              <w14:schemeClr w14:val="tx1"/>
            </w14:solidFill>
          </w14:textFill>
        </w:rPr>
        <w:t xml:space="preserve">- Căn cứ Khoản 2, Điều 4, Quyết định số 47/2024/QĐ-UBND ngày 30 tháng 10 năm 2024 của UBND nhân dân tỉnh Lạng Sơn về việc Ban hành Quy định một số chỉ tiêu cụ thể để áp dụng phương pháp định giá đất trên địa bàn tỉnh Lạng Sơn: </w:t>
      </w:r>
    </w:p>
    <w:p w14:paraId="674170F8">
      <w:pPr>
        <w:widowControl w:val="0"/>
        <w:spacing w:before="120" w:after="120" w:line="400" w:lineRule="exact"/>
        <w:ind w:firstLine="567"/>
        <w:jc w:val="both"/>
        <w:rPr>
          <w:bCs/>
          <w:iCs/>
          <w:color w:val="000000" w:themeColor="text1"/>
          <w:sz w:val="26"/>
          <w:szCs w:val="26"/>
          <w14:textFill>
            <w14:solidFill>
              <w14:schemeClr w14:val="tx1"/>
            </w14:solidFill>
          </w14:textFill>
        </w:rPr>
      </w:pPr>
      <w:r>
        <w:rPr>
          <w:bCs/>
          <w:iCs/>
          <w:color w:val="000000" w:themeColor="text1"/>
          <w:sz w:val="26"/>
          <w:szCs w:val="26"/>
          <w14:textFill>
            <w14:solidFill>
              <w14:schemeClr w14:val="tx1"/>
            </w14:solidFill>
          </w14:textFill>
        </w:rPr>
        <w:t>“Chi phí lãi vay, lợi nhuận của nhà đầu tư có tính đến vốn chủ sở hữu, rủi ro trong kinh doanh được tính bằng 15% nhân với tổng của chi phí đầu tư xây dựng, chi phí kinh doanh quy định tại điểm a, điểm b khoản 3 Điều 6 Nghị định số 71/2024/NĐ-CP và giá trị của thửa đất, khu đất cần định giá.”</w:t>
      </w:r>
    </w:p>
    <w:p w14:paraId="10A1226E">
      <w:pPr>
        <w:tabs>
          <w:tab w:val="left" w:pos="6142"/>
        </w:tabs>
        <w:spacing w:line="400" w:lineRule="exact"/>
        <w:jc w:val="both"/>
        <w:rPr>
          <w:sz w:val="26"/>
          <w:szCs w:val="26"/>
          <w:lang w:val="da-DK"/>
        </w:rPr>
      </w:pPr>
      <w:r>
        <w:rPr>
          <w:sz w:val="26"/>
          <w:szCs w:val="26"/>
          <w:lang w:val="da-DK"/>
        </w:rPr>
        <w:t xml:space="preserve">       - Đơn vị tư vấn tiến hành khảo sát báo cáo tài chính của một số công ty kinh doanh</w:t>
      </w:r>
      <w:r>
        <w:t xml:space="preserve"> </w:t>
      </w:r>
      <w:r>
        <w:rPr>
          <w:sz w:val="26"/>
          <w:szCs w:val="26"/>
          <w:lang w:val="da-DK"/>
        </w:rPr>
        <w:t>cùng ngành nghề được công bố trên các sàn chứng khoán, tỷ suất lợi nhuận trung bình qua các năm 2022, 2023, 2024 của các doanh nghiệp trên tài sản như: Công ty CP</w:t>
      </w:r>
      <w:r>
        <w:t xml:space="preserve"> </w:t>
      </w:r>
      <w:r>
        <w:rPr>
          <w:sz w:val="26"/>
          <w:szCs w:val="26"/>
          <w:lang w:val="da-DK"/>
        </w:rPr>
        <w:t>Đầu tư Hải Phát là 17,43%; Công ty CP tập đoàn CEO là 24,70%;</w:t>
      </w:r>
      <w:r>
        <w:t xml:space="preserve"> </w:t>
      </w:r>
      <w:r>
        <w:rPr>
          <w:sz w:val="26"/>
          <w:szCs w:val="26"/>
          <w:lang w:val="da-DK"/>
        </w:rPr>
        <w:t>Công ty CP tư vấn - thương mại - dịch vụ địa ốc Hoàng Quân 38,13%.</w:t>
      </w:r>
      <w:r>
        <w:t xml:space="preserve"> </w:t>
      </w:r>
      <w:r>
        <w:rPr>
          <w:sz w:val="26"/>
          <w:szCs w:val="26"/>
          <w:lang w:val="da-DK"/>
        </w:rPr>
        <w:t xml:space="preserve">Trung bình tỷ lệ Lợi nhuận nhà đầu tư/Tổng chi phí trung bình ngành đạt </w:t>
      </w:r>
      <w:r>
        <w:rPr>
          <w:b/>
          <w:bCs/>
          <w:sz w:val="26"/>
          <w:szCs w:val="26"/>
          <w:lang w:val="da-DK"/>
        </w:rPr>
        <w:t>26,75%</w:t>
      </w:r>
      <w:r>
        <w:rPr>
          <w:sz w:val="26"/>
          <w:szCs w:val="26"/>
          <w:lang w:val="da-DK"/>
        </w:rPr>
        <w:t>, cụ thể:</w:t>
      </w:r>
    </w:p>
    <w:p w14:paraId="2F37DDDE">
      <w:pPr>
        <w:tabs>
          <w:tab w:val="left" w:pos="6142"/>
        </w:tabs>
        <w:rPr>
          <w:sz w:val="26"/>
          <w:szCs w:val="26"/>
          <w:lang w:val="da-DK"/>
        </w:rPr>
      </w:pPr>
    </w:p>
    <w:tbl>
      <w:tblPr>
        <w:tblStyle w:val="9"/>
        <w:tblW w:w="52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870"/>
        <w:gridCol w:w="870"/>
        <w:gridCol w:w="870"/>
        <w:gridCol w:w="881"/>
        <w:gridCol w:w="873"/>
        <w:gridCol w:w="875"/>
        <w:gridCol w:w="864"/>
        <w:gridCol w:w="732"/>
        <w:gridCol w:w="726"/>
        <w:gridCol w:w="724"/>
      </w:tblGrid>
      <w:tr w14:paraId="0F33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vMerge w:val="restart"/>
            <w:noWrap/>
            <w:vAlign w:val="center"/>
          </w:tcPr>
          <w:p w14:paraId="4B379041">
            <w:pPr>
              <w:jc w:val="center"/>
              <w:rPr>
                <w:b/>
                <w:bCs/>
              </w:rPr>
            </w:pPr>
            <w:r>
              <w:rPr>
                <w:b/>
                <w:bCs/>
              </w:rPr>
              <w:t>NỘI DUNG</w:t>
            </w:r>
          </w:p>
        </w:tc>
        <w:tc>
          <w:tcPr>
            <w:tcW w:w="447" w:type="pct"/>
            <w:vMerge w:val="restart"/>
            <w:noWrap/>
            <w:vAlign w:val="center"/>
          </w:tcPr>
          <w:p w14:paraId="2DA5EE59">
            <w:pPr>
              <w:jc w:val="center"/>
              <w:rPr>
                <w:b/>
                <w:bCs/>
              </w:rPr>
            </w:pPr>
            <w:r>
              <w:rPr>
                <w:b/>
                <w:bCs/>
              </w:rPr>
              <w:t>Đơn vị tính</w:t>
            </w:r>
          </w:p>
        </w:tc>
        <w:tc>
          <w:tcPr>
            <w:tcW w:w="1347" w:type="pct"/>
            <w:gridSpan w:val="3"/>
            <w:vAlign w:val="center"/>
          </w:tcPr>
          <w:p w14:paraId="51B592EA">
            <w:pPr>
              <w:jc w:val="center"/>
              <w:rPr>
                <w:b/>
                <w:bCs/>
              </w:rPr>
            </w:pPr>
            <w:r>
              <w:rPr>
                <w:b/>
                <w:bCs/>
              </w:rPr>
              <w:t>CTCP Đầu tư Hải Phát</w:t>
            </w:r>
          </w:p>
        </w:tc>
        <w:tc>
          <w:tcPr>
            <w:tcW w:w="1343" w:type="pct"/>
            <w:gridSpan w:val="3"/>
            <w:vAlign w:val="center"/>
          </w:tcPr>
          <w:p w14:paraId="3DD1F8E5">
            <w:pPr>
              <w:jc w:val="center"/>
              <w:rPr>
                <w:b/>
                <w:bCs/>
              </w:rPr>
            </w:pPr>
            <w:r>
              <w:rPr>
                <w:b/>
                <w:bCs/>
              </w:rPr>
              <w:t>CTCP tập đoàn CEO</w:t>
            </w:r>
          </w:p>
        </w:tc>
        <w:tc>
          <w:tcPr>
            <w:tcW w:w="1121" w:type="pct"/>
            <w:gridSpan w:val="3"/>
            <w:vAlign w:val="center"/>
          </w:tcPr>
          <w:p w14:paraId="3B463385">
            <w:pPr>
              <w:jc w:val="center"/>
              <w:rPr>
                <w:b/>
                <w:bCs/>
              </w:rPr>
            </w:pPr>
            <w:r>
              <w:rPr>
                <w:b/>
                <w:bCs/>
              </w:rPr>
              <w:t>CTCP tư vấn - thương mại - dịch vụ địa ốc Hoàng Quân</w:t>
            </w:r>
          </w:p>
        </w:tc>
      </w:tr>
      <w:tr w14:paraId="1509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vMerge w:val="continue"/>
            <w:vAlign w:val="center"/>
          </w:tcPr>
          <w:p w14:paraId="3F8476CA">
            <w:pPr>
              <w:jc w:val="center"/>
              <w:rPr>
                <w:b/>
                <w:bCs/>
                <w:sz w:val="20"/>
                <w:szCs w:val="20"/>
              </w:rPr>
            </w:pPr>
          </w:p>
        </w:tc>
        <w:tc>
          <w:tcPr>
            <w:tcW w:w="447" w:type="pct"/>
            <w:vMerge w:val="continue"/>
            <w:vAlign w:val="center"/>
          </w:tcPr>
          <w:p w14:paraId="57CDF0C8">
            <w:pPr>
              <w:jc w:val="center"/>
              <w:rPr>
                <w:b/>
                <w:bCs/>
                <w:sz w:val="18"/>
                <w:szCs w:val="18"/>
              </w:rPr>
            </w:pPr>
          </w:p>
        </w:tc>
        <w:tc>
          <w:tcPr>
            <w:tcW w:w="447" w:type="pct"/>
            <w:noWrap/>
            <w:vAlign w:val="center"/>
          </w:tcPr>
          <w:p w14:paraId="129B1ADA">
            <w:pPr>
              <w:jc w:val="center"/>
              <w:rPr>
                <w:b/>
                <w:bCs/>
                <w:sz w:val="20"/>
                <w:szCs w:val="20"/>
              </w:rPr>
            </w:pPr>
            <w:r>
              <w:rPr>
                <w:b/>
                <w:bCs/>
                <w:sz w:val="20"/>
                <w:szCs w:val="20"/>
              </w:rPr>
              <w:t>2022</w:t>
            </w:r>
          </w:p>
        </w:tc>
        <w:tc>
          <w:tcPr>
            <w:tcW w:w="447" w:type="pct"/>
            <w:noWrap/>
            <w:vAlign w:val="center"/>
          </w:tcPr>
          <w:p w14:paraId="6361C9C7">
            <w:pPr>
              <w:jc w:val="center"/>
              <w:rPr>
                <w:b/>
                <w:bCs/>
                <w:sz w:val="20"/>
                <w:szCs w:val="20"/>
              </w:rPr>
            </w:pPr>
            <w:r>
              <w:rPr>
                <w:b/>
                <w:bCs/>
                <w:sz w:val="20"/>
                <w:szCs w:val="20"/>
              </w:rPr>
              <w:t>2023</w:t>
            </w:r>
          </w:p>
        </w:tc>
        <w:tc>
          <w:tcPr>
            <w:tcW w:w="452" w:type="pct"/>
            <w:noWrap/>
            <w:vAlign w:val="center"/>
          </w:tcPr>
          <w:p w14:paraId="3986B40E">
            <w:pPr>
              <w:jc w:val="center"/>
              <w:rPr>
                <w:b/>
                <w:bCs/>
                <w:sz w:val="20"/>
                <w:szCs w:val="20"/>
              </w:rPr>
            </w:pPr>
            <w:r>
              <w:rPr>
                <w:b/>
                <w:bCs/>
                <w:sz w:val="20"/>
                <w:szCs w:val="20"/>
              </w:rPr>
              <w:t>2024</w:t>
            </w:r>
          </w:p>
        </w:tc>
        <w:tc>
          <w:tcPr>
            <w:tcW w:w="449" w:type="pct"/>
            <w:noWrap/>
            <w:vAlign w:val="center"/>
          </w:tcPr>
          <w:p w14:paraId="7FB651FA">
            <w:pPr>
              <w:jc w:val="center"/>
              <w:rPr>
                <w:b/>
                <w:bCs/>
                <w:sz w:val="20"/>
                <w:szCs w:val="20"/>
              </w:rPr>
            </w:pPr>
            <w:r>
              <w:rPr>
                <w:b/>
                <w:bCs/>
                <w:sz w:val="20"/>
                <w:szCs w:val="20"/>
              </w:rPr>
              <w:t>2022</w:t>
            </w:r>
          </w:p>
        </w:tc>
        <w:tc>
          <w:tcPr>
            <w:tcW w:w="450" w:type="pct"/>
            <w:noWrap/>
            <w:vAlign w:val="center"/>
          </w:tcPr>
          <w:p w14:paraId="1073DC4F">
            <w:pPr>
              <w:jc w:val="center"/>
              <w:rPr>
                <w:b/>
                <w:bCs/>
                <w:sz w:val="20"/>
                <w:szCs w:val="20"/>
              </w:rPr>
            </w:pPr>
            <w:r>
              <w:rPr>
                <w:b/>
                <w:bCs/>
                <w:sz w:val="20"/>
                <w:szCs w:val="20"/>
              </w:rPr>
              <w:t>2023</w:t>
            </w:r>
          </w:p>
        </w:tc>
        <w:tc>
          <w:tcPr>
            <w:tcW w:w="443" w:type="pct"/>
            <w:noWrap/>
            <w:vAlign w:val="center"/>
          </w:tcPr>
          <w:p w14:paraId="47D7792C">
            <w:pPr>
              <w:jc w:val="center"/>
              <w:rPr>
                <w:b/>
                <w:bCs/>
                <w:sz w:val="20"/>
                <w:szCs w:val="20"/>
              </w:rPr>
            </w:pPr>
            <w:r>
              <w:rPr>
                <w:b/>
                <w:bCs/>
                <w:sz w:val="20"/>
                <w:szCs w:val="20"/>
              </w:rPr>
              <w:t>2024</w:t>
            </w:r>
          </w:p>
        </w:tc>
        <w:tc>
          <w:tcPr>
            <w:tcW w:w="376" w:type="pct"/>
            <w:noWrap/>
            <w:vAlign w:val="center"/>
          </w:tcPr>
          <w:p w14:paraId="305068D9">
            <w:pPr>
              <w:jc w:val="center"/>
              <w:rPr>
                <w:b/>
                <w:bCs/>
                <w:sz w:val="20"/>
                <w:szCs w:val="20"/>
              </w:rPr>
            </w:pPr>
            <w:r>
              <w:rPr>
                <w:b/>
                <w:bCs/>
                <w:sz w:val="20"/>
                <w:szCs w:val="20"/>
              </w:rPr>
              <w:t>2022</w:t>
            </w:r>
          </w:p>
        </w:tc>
        <w:tc>
          <w:tcPr>
            <w:tcW w:w="373" w:type="pct"/>
            <w:noWrap/>
            <w:vAlign w:val="center"/>
          </w:tcPr>
          <w:p w14:paraId="17D31AD6">
            <w:pPr>
              <w:jc w:val="center"/>
              <w:rPr>
                <w:b/>
                <w:bCs/>
                <w:sz w:val="20"/>
                <w:szCs w:val="20"/>
              </w:rPr>
            </w:pPr>
            <w:r>
              <w:rPr>
                <w:b/>
                <w:bCs/>
                <w:sz w:val="20"/>
                <w:szCs w:val="20"/>
              </w:rPr>
              <w:t>2023</w:t>
            </w:r>
          </w:p>
        </w:tc>
        <w:tc>
          <w:tcPr>
            <w:tcW w:w="372" w:type="pct"/>
            <w:noWrap/>
            <w:vAlign w:val="center"/>
          </w:tcPr>
          <w:p w14:paraId="18B93A98">
            <w:pPr>
              <w:jc w:val="center"/>
              <w:rPr>
                <w:b/>
                <w:bCs/>
                <w:sz w:val="20"/>
                <w:szCs w:val="20"/>
              </w:rPr>
            </w:pPr>
            <w:r>
              <w:rPr>
                <w:b/>
                <w:bCs/>
                <w:sz w:val="20"/>
                <w:szCs w:val="20"/>
              </w:rPr>
              <w:t>2024</w:t>
            </w:r>
          </w:p>
        </w:tc>
      </w:tr>
      <w:tr w14:paraId="2EB1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noWrap/>
            <w:vAlign w:val="center"/>
          </w:tcPr>
          <w:p w14:paraId="2A2DDCED">
            <w:pPr>
              <w:jc w:val="center"/>
              <w:rPr>
                <w:sz w:val="20"/>
                <w:szCs w:val="20"/>
              </w:rPr>
            </w:pPr>
            <w:r>
              <w:rPr>
                <w:sz w:val="20"/>
                <w:szCs w:val="20"/>
              </w:rPr>
              <w:t>Doanh thu</w:t>
            </w:r>
          </w:p>
        </w:tc>
        <w:tc>
          <w:tcPr>
            <w:tcW w:w="447" w:type="pct"/>
            <w:noWrap/>
            <w:vAlign w:val="center"/>
          </w:tcPr>
          <w:p w14:paraId="3C8128D2">
            <w:pPr>
              <w:jc w:val="center"/>
              <w:rPr>
                <w:sz w:val="18"/>
                <w:szCs w:val="18"/>
              </w:rPr>
            </w:pPr>
            <w:r>
              <w:rPr>
                <w:sz w:val="18"/>
                <w:szCs w:val="18"/>
              </w:rPr>
              <w:t>Triệu đồng</w:t>
            </w:r>
          </w:p>
        </w:tc>
        <w:tc>
          <w:tcPr>
            <w:tcW w:w="447" w:type="pct"/>
            <w:noWrap/>
            <w:vAlign w:val="center"/>
          </w:tcPr>
          <w:p w14:paraId="4207C706">
            <w:pPr>
              <w:jc w:val="center"/>
              <w:rPr>
                <w:sz w:val="15"/>
                <w:szCs w:val="15"/>
              </w:rPr>
            </w:pPr>
            <w:r>
              <w:rPr>
                <w:sz w:val="15"/>
                <w:szCs w:val="15"/>
              </w:rPr>
              <w:t>1.210.371</w:t>
            </w:r>
          </w:p>
        </w:tc>
        <w:tc>
          <w:tcPr>
            <w:tcW w:w="447" w:type="pct"/>
            <w:noWrap/>
            <w:vAlign w:val="center"/>
          </w:tcPr>
          <w:p w14:paraId="3F6AF6A3">
            <w:pPr>
              <w:jc w:val="center"/>
              <w:rPr>
                <w:sz w:val="15"/>
                <w:szCs w:val="15"/>
              </w:rPr>
            </w:pPr>
            <w:r>
              <w:rPr>
                <w:sz w:val="15"/>
                <w:szCs w:val="15"/>
              </w:rPr>
              <w:t>1.680.274</w:t>
            </w:r>
          </w:p>
        </w:tc>
        <w:tc>
          <w:tcPr>
            <w:tcW w:w="452" w:type="pct"/>
            <w:noWrap/>
            <w:vAlign w:val="center"/>
          </w:tcPr>
          <w:p w14:paraId="0584B3AB">
            <w:pPr>
              <w:jc w:val="center"/>
              <w:rPr>
                <w:sz w:val="15"/>
                <w:szCs w:val="15"/>
              </w:rPr>
            </w:pPr>
            <w:r>
              <w:rPr>
                <w:sz w:val="15"/>
                <w:szCs w:val="15"/>
              </w:rPr>
              <w:t>1.615.671</w:t>
            </w:r>
          </w:p>
        </w:tc>
        <w:tc>
          <w:tcPr>
            <w:tcW w:w="449" w:type="pct"/>
            <w:noWrap/>
            <w:vAlign w:val="center"/>
          </w:tcPr>
          <w:p w14:paraId="4EED628A">
            <w:pPr>
              <w:jc w:val="center"/>
              <w:rPr>
                <w:sz w:val="15"/>
                <w:szCs w:val="15"/>
              </w:rPr>
            </w:pPr>
            <w:r>
              <w:rPr>
                <w:sz w:val="15"/>
                <w:szCs w:val="15"/>
              </w:rPr>
              <w:t>2.549.015</w:t>
            </w:r>
          </w:p>
        </w:tc>
        <w:tc>
          <w:tcPr>
            <w:tcW w:w="450" w:type="pct"/>
            <w:noWrap/>
            <w:vAlign w:val="center"/>
          </w:tcPr>
          <w:p w14:paraId="03EA238D">
            <w:pPr>
              <w:jc w:val="center"/>
              <w:rPr>
                <w:sz w:val="15"/>
                <w:szCs w:val="15"/>
              </w:rPr>
            </w:pPr>
            <w:r>
              <w:rPr>
                <w:sz w:val="15"/>
                <w:szCs w:val="15"/>
              </w:rPr>
              <w:t>1.393.477</w:t>
            </w:r>
          </w:p>
        </w:tc>
        <w:tc>
          <w:tcPr>
            <w:tcW w:w="443" w:type="pct"/>
            <w:noWrap/>
            <w:vAlign w:val="center"/>
          </w:tcPr>
          <w:p w14:paraId="48627C6A">
            <w:pPr>
              <w:jc w:val="center"/>
              <w:rPr>
                <w:sz w:val="15"/>
                <w:szCs w:val="15"/>
              </w:rPr>
            </w:pPr>
            <w:r>
              <w:rPr>
                <w:sz w:val="15"/>
                <w:szCs w:val="15"/>
              </w:rPr>
              <w:t>1.307.939</w:t>
            </w:r>
          </w:p>
        </w:tc>
        <w:tc>
          <w:tcPr>
            <w:tcW w:w="376" w:type="pct"/>
            <w:noWrap/>
            <w:vAlign w:val="center"/>
          </w:tcPr>
          <w:p w14:paraId="054BBE16">
            <w:pPr>
              <w:jc w:val="center"/>
              <w:rPr>
                <w:sz w:val="15"/>
                <w:szCs w:val="15"/>
              </w:rPr>
            </w:pPr>
            <w:r>
              <w:rPr>
                <w:sz w:val="15"/>
                <w:szCs w:val="15"/>
              </w:rPr>
              <w:t>333.181</w:t>
            </w:r>
          </w:p>
        </w:tc>
        <w:tc>
          <w:tcPr>
            <w:tcW w:w="373" w:type="pct"/>
            <w:noWrap/>
            <w:vAlign w:val="center"/>
          </w:tcPr>
          <w:p w14:paraId="45C801B9">
            <w:pPr>
              <w:jc w:val="center"/>
              <w:rPr>
                <w:sz w:val="15"/>
                <w:szCs w:val="15"/>
              </w:rPr>
            </w:pPr>
            <w:r>
              <w:rPr>
                <w:sz w:val="15"/>
                <w:szCs w:val="15"/>
              </w:rPr>
              <w:t>322.609</w:t>
            </w:r>
          </w:p>
        </w:tc>
        <w:tc>
          <w:tcPr>
            <w:tcW w:w="372" w:type="pct"/>
            <w:noWrap/>
            <w:vAlign w:val="center"/>
          </w:tcPr>
          <w:p w14:paraId="24F6E4BC">
            <w:pPr>
              <w:jc w:val="center"/>
              <w:rPr>
                <w:sz w:val="15"/>
                <w:szCs w:val="15"/>
              </w:rPr>
            </w:pPr>
            <w:r>
              <w:rPr>
                <w:sz w:val="15"/>
                <w:szCs w:val="15"/>
              </w:rPr>
              <w:t>326.648</w:t>
            </w:r>
          </w:p>
        </w:tc>
      </w:tr>
      <w:tr w14:paraId="0027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noWrap/>
            <w:vAlign w:val="center"/>
          </w:tcPr>
          <w:p w14:paraId="745B6CCD">
            <w:pPr>
              <w:jc w:val="center"/>
              <w:rPr>
                <w:sz w:val="20"/>
                <w:szCs w:val="20"/>
              </w:rPr>
            </w:pPr>
            <w:r>
              <w:rPr>
                <w:sz w:val="20"/>
                <w:szCs w:val="20"/>
              </w:rPr>
              <w:t>Giá vốn hàng bán</w:t>
            </w:r>
          </w:p>
        </w:tc>
        <w:tc>
          <w:tcPr>
            <w:tcW w:w="447" w:type="pct"/>
            <w:noWrap/>
            <w:vAlign w:val="center"/>
          </w:tcPr>
          <w:p w14:paraId="7269FD37">
            <w:pPr>
              <w:jc w:val="center"/>
              <w:rPr>
                <w:sz w:val="18"/>
                <w:szCs w:val="18"/>
              </w:rPr>
            </w:pPr>
            <w:r>
              <w:rPr>
                <w:sz w:val="18"/>
                <w:szCs w:val="18"/>
              </w:rPr>
              <w:t>Triệu đồng</w:t>
            </w:r>
          </w:p>
        </w:tc>
        <w:tc>
          <w:tcPr>
            <w:tcW w:w="447" w:type="pct"/>
            <w:noWrap/>
            <w:vAlign w:val="center"/>
          </w:tcPr>
          <w:p w14:paraId="672413D9">
            <w:pPr>
              <w:jc w:val="center"/>
              <w:rPr>
                <w:sz w:val="15"/>
                <w:szCs w:val="15"/>
              </w:rPr>
            </w:pPr>
            <w:r>
              <w:rPr>
                <w:sz w:val="15"/>
                <w:szCs w:val="15"/>
              </w:rPr>
              <w:t>957.229</w:t>
            </w:r>
          </w:p>
        </w:tc>
        <w:tc>
          <w:tcPr>
            <w:tcW w:w="447" w:type="pct"/>
            <w:noWrap/>
            <w:vAlign w:val="center"/>
          </w:tcPr>
          <w:p w14:paraId="6E1A692F">
            <w:pPr>
              <w:jc w:val="center"/>
              <w:rPr>
                <w:sz w:val="15"/>
                <w:szCs w:val="15"/>
              </w:rPr>
            </w:pPr>
            <w:r>
              <w:rPr>
                <w:sz w:val="15"/>
                <w:szCs w:val="15"/>
              </w:rPr>
              <w:t>1.392.219</w:t>
            </w:r>
          </w:p>
        </w:tc>
        <w:tc>
          <w:tcPr>
            <w:tcW w:w="452" w:type="pct"/>
            <w:noWrap/>
            <w:vAlign w:val="center"/>
          </w:tcPr>
          <w:p w14:paraId="06422BDC">
            <w:pPr>
              <w:jc w:val="center"/>
              <w:rPr>
                <w:sz w:val="15"/>
                <w:szCs w:val="15"/>
              </w:rPr>
            </w:pPr>
            <w:r>
              <w:rPr>
                <w:sz w:val="15"/>
                <w:szCs w:val="15"/>
              </w:rPr>
              <w:t>1.097.119</w:t>
            </w:r>
          </w:p>
        </w:tc>
        <w:tc>
          <w:tcPr>
            <w:tcW w:w="449" w:type="pct"/>
            <w:vAlign w:val="center"/>
          </w:tcPr>
          <w:p w14:paraId="33994D19">
            <w:pPr>
              <w:jc w:val="center"/>
              <w:rPr>
                <w:sz w:val="15"/>
                <w:szCs w:val="15"/>
              </w:rPr>
            </w:pPr>
            <w:r>
              <w:rPr>
                <w:sz w:val="15"/>
                <w:szCs w:val="15"/>
              </w:rPr>
              <w:t>1.636.738</w:t>
            </w:r>
          </w:p>
        </w:tc>
        <w:tc>
          <w:tcPr>
            <w:tcW w:w="450" w:type="pct"/>
            <w:vAlign w:val="center"/>
          </w:tcPr>
          <w:p w14:paraId="1B2F7813">
            <w:pPr>
              <w:jc w:val="center"/>
              <w:rPr>
                <w:sz w:val="15"/>
                <w:szCs w:val="15"/>
              </w:rPr>
            </w:pPr>
            <w:r>
              <w:rPr>
                <w:sz w:val="15"/>
                <w:szCs w:val="15"/>
              </w:rPr>
              <w:t>960.432</w:t>
            </w:r>
          </w:p>
        </w:tc>
        <w:tc>
          <w:tcPr>
            <w:tcW w:w="443" w:type="pct"/>
            <w:vAlign w:val="center"/>
          </w:tcPr>
          <w:p w14:paraId="071E2907">
            <w:pPr>
              <w:jc w:val="center"/>
              <w:rPr>
                <w:sz w:val="15"/>
                <w:szCs w:val="15"/>
              </w:rPr>
            </w:pPr>
            <w:r>
              <w:rPr>
                <w:sz w:val="15"/>
                <w:szCs w:val="15"/>
              </w:rPr>
              <w:t>957.030</w:t>
            </w:r>
          </w:p>
        </w:tc>
        <w:tc>
          <w:tcPr>
            <w:tcW w:w="376" w:type="pct"/>
            <w:vAlign w:val="center"/>
          </w:tcPr>
          <w:p w14:paraId="2B18A6E5">
            <w:pPr>
              <w:jc w:val="center"/>
              <w:rPr>
                <w:sz w:val="15"/>
                <w:szCs w:val="15"/>
              </w:rPr>
            </w:pPr>
            <w:r>
              <w:rPr>
                <w:sz w:val="15"/>
                <w:szCs w:val="15"/>
              </w:rPr>
              <w:t>200.530</w:t>
            </w:r>
          </w:p>
        </w:tc>
        <w:tc>
          <w:tcPr>
            <w:tcW w:w="373" w:type="pct"/>
            <w:vAlign w:val="center"/>
          </w:tcPr>
          <w:p w14:paraId="6BC75F41">
            <w:pPr>
              <w:jc w:val="center"/>
              <w:rPr>
                <w:sz w:val="15"/>
                <w:szCs w:val="15"/>
              </w:rPr>
            </w:pPr>
            <w:r>
              <w:rPr>
                <w:sz w:val="15"/>
                <w:szCs w:val="15"/>
              </w:rPr>
              <w:t>240.764</w:t>
            </w:r>
          </w:p>
        </w:tc>
        <w:tc>
          <w:tcPr>
            <w:tcW w:w="372" w:type="pct"/>
            <w:vAlign w:val="center"/>
          </w:tcPr>
          <w:p w14:paraId="5A9E2611">
            <w:pPr>
              <w:jc w:val="center"/>
              <w:rPr>
                <w:sz w:val="15"/>
                <w:szCs w:val="15"/>
              </w:rPr>
            </w:pPr>
            <w:r>
              <w:rPr>
                <w:sz w:val="15"/>
                <w:szCs w:val="15"/>
              </w:rPr>
              <w:t>176.456</w:t>
            </w:r>
          </w:p>
        </w:tc>
      </w:tr>
      <w:tr w14:paraId="61C4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noWrap/>
            <w:vAlign w:val="center"/>
          </w:tcPr>
          <w:p w14:paraId="7AB2D2BE">
            <w:pPr>
              <w:jc w:val="center"/>
              <w:rPr>
                <w:sz w:val="20"/>
                <w:szCs w:val="20"/>
              </w:rPr>
            </w:pPr>
            <w:r>
              <w:rPr>
                <w:sz w:val="20"/>
                <w:szCs w:val="20"/>
              </w:rPr>
              <w:t>Chi phí bán hàng</w:t>
            </w:r>
          </w:p>
        </w:tc>
        <w:tc>
          <w:tcPr>
            <w:tcW w:w="447" w:type="pct"/>
            <w:noWrap/>
            <w:vAlign w:val="center"/>
          </w:tcPr>
          <w:p w14:paraId="394BC314">
            <w:pPr>
              <w:jc w:val="center"/>
              <w:rPr>
                <w:sz w:val="18"/>
                <w:szCs w:val="18"/>
              </w:rPr>
            </w:pPr>
            <w:r>
              <w:rPr>
                <w:sz w:val="18"/>
                <w:szCs w:val="18"/>
              </w:rPr>
              <w:t>Triệu đồng</w:t>
            </w:r>
          </w:p>
        </w:tc>
        <w:tc>
          <w:tcPr>
            <w:tcW w:w="447" w:type="pct"/>
            <w:noWrap/>
            <w:vAlign w:val="center"/>
          </w:tcPr>
          <w:p w14:paraId="2A87A877">
            <w:pPr>
              <w:jc w:val="center"/>
              <w:rPr>
                <w:sz w:val="15"/>
                <w:szCs w:val="15"/>
              </w:rPr>
            </w:pPr>
            <w:r>
              <w:rPr>
                <w:sz w:val="15"/>
                <w:szCs w:val="15"/>
              </w:rPr>
              <w:t>9.329</w:t>
            </w:r>
          </w:p>
        </w:tc>
        <w:tc>
          <w:tcPr>
            <w:tcW w:w="447" w:type="pct"/>
            <w:noWrap/>
            <w:vAlign w:val="center"/>
          </w:tcPr>
          <w:p w14:paraId="31569AAC">
            <w:pPr>
              <w:jc w:val="center"/>
              <w:rPr>
                <w:sz w:val="15"/>
                <w:szCs w:val="15"/>
              </w:rPr>
            </w:pPr>
            <w:r>
              <w:rPr>
                <w:sz w:val="15"/>
                <w:szCs w:val="15"/>
              </w:rPr>
              <w:t>136.219</w:t>
            </w:r>
          </w:p>
        </w:tc>
        <w:tc>
          <w:tcPr>
            <w:tcW w:w="452" w:type="pct"/>
            <w:noWrap/>
            <w:vAlign w:val="center"/>
          </w:tcPr>
          <w:p w14:paraId="62789039">
            <w:pPr>
              <w:jc w:val="center"/>
              <w:rPr>
                <w:sz w:val="15"/>
                <w:szCs w:val="15"/>
              </w:rPr>
            </w:pPr>
            <w:r>
              <w:rPr>
                <w:sz w:val="15"/>
                <w:szCs w:val="15"/>
              </w:rPr>
              <w:t>109.149</w:t>
            </w:r>
          </w:p>
        </w:tc>
        <w:tc>
          <w:tcPr>
            <w:tcW w:w="449" w:type="pct"/>
            <w:noWrap/>
            <w:vAlign w:val="center"/>
          </w:tcPr>
          <w:p w14:paraId="4641CF72">
            <w:pPr>
              <w:jc w:val="center"/>
              <w:rPr>
                <w:sz w:val="15"/>
                <w:szCs w:val="15"/>
              </w:rPr>
            </w:pPr>
            <w:r>
              <w:rPr>
                <w:sz w:val="15"/>
                <w:szCs w:val="15"/>
              </w:rPr>
              <w:t>272.693</w:t>
            </w:r>
          </w:p>
        </w:tc>
        <w:tc>
          <w:tcPr>
            <w:tcW w:w="450" w:type="pct"/>
            <w:noWrap/>
            <w:vAlign w:val="center"/>
          </w:tcPr>
          <w:p w14:paraId="65C0221A">
            <w:pPr>
              <w:jc w:val="center"/>
              <w:rPr>
                <w:sz w:val="15"/>
                <w:szCs w:val="15"/>
              </w:rPr>
            </w:pPr>
            <w:r>
              <w:rPr>
                <w:sz w:val="15"/>
                <w:szCs w:val="15"/>
              </w:rPr>
              <w:t>122.608</w:t>
            </w:r>
          </w:p>
        </w:tc>
        <w:tc>
          <w:tcPr>
            <w:tcW w:w="443" w:type="pct"/>
            <w:noWrap/>
            <w:vAlign w:val="center"/>
          </w:tcPr>
          <w:p w14:paraId="16E9298C">
            <w:pPr>
              <w:jc w:val="center"/>
              <w:rPr>
                <w:sz w:val="15"/>
                <w:szCs w:val="15"/>
              </w:rPr>
            </w:pPr>
            <w:r>
              <w:rPr>
                <w:sz w:val="15"/>
                <w:szCs w:val="15"/>
              </w:rPr>
              <w:t>68.973</w:t>
            </w:r>
          </w:p>
        </w:tc>
        <w:tc>
          <w:tcPr>
            <w:tcW w:w="376" w:type="pct"/>
            <w:noWrap/>
            <w:vAlign w:val="center"/>
          </w:tcPr>
          <w:p w14:paraId="09EB9B22">
            <w:pPr>
              <w:jc w:val="center"/>
              <w:rPr>
                <w:sz w:val="15"/>
                <w:szCs w:val="15"/>
              </w:rPr>
            </w:pPr>
            <w:r>
              <w:rPr>
                <w:sz w:val="15"/>
                <w:szCs w:val="15"/>
              </w:rPr>
              <w:t>21.134</w:t>
            </w:r>
          </w:p>
        </w:tc>
        <w:tc>
          <w:tcPr>
            <w:tcW w:w="373" w:type="pct"/>
            <w:noWrap/>
            <w:vAlign w:val="center"/>
          </w:tcPr>
          <w:p w14:paraId="2EAB0E77">
            <w:pPr>
              <w:jc w:val="center"/>
              <w:rPr>
                <w:sz w:val="15"/>
                <w:szCs w:val="15"/>
              </w:rPr>
            </w:pPr>
            <w:r>
              <w:rPr>
                <w:sz w:val="15"/>
                <w:szCs w:val="15"/>
              </w:rPr>
              <w:t>5.748</w:t>
            </w:r>
          </w:p>
        </w:tc>
        <w:tc>
          <w:tcPr>
            <w:tcW w:w="372" w:type="pct"/>
            <w:noWrap/>
            <w:vAlign w:val="center"/>
          </w:tcPr>
          <w:p w14:paraId="7356BE06">
            <w:pPr>
              <w:jc w:val="center"/>
              <w:rPr>
                <w:sz w:val="15"/>
                <w:szCs w:val="15"/>
              </w:rPr>
            </w:pPr>
            <w:r>
              <w:rPr>
                <w:sz w:val="15"/>
                <w:szCs w:val="15"/>
              </w:rPr>
              <w:t>5.700</w:t>
            </w:r>
          </w:p>
        </w:tc>
      </w:tr>
      <w:tr w14:paraId="64D3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noWrap/>
            <w:vAlign w:val="center"/>
          </w:tcPr>
          <w:p w14:paraId="5906B048">
            <w:pPr>
              <w:jc w:val="center"/>
              <w:rPr>
                <w:sz w:val="20"/>
                <w:szCs w:val="20"/>
              </w:rPr>
            </w:pPr>
            <w:r>
              <w:rPr>
                <w:sz w:val="20"/>
                <w:szCs w:val="20"/>
              </w:rPr>
              <w:t>Chi phí quản lý doanh nghiệp</w:t>
            </w:r>
          </w:p>
        </w:tc>
        <w:tc>
          <w:tcPr>
            <w:tcW w:w="447" w:type="pct"/>
            <w:noWrap/>
            <w:vAlign w:val="center"/>
          </w:tcPr>
          <w:p w14:paraId="70A5B1E4">
            <w:pPr>
              <w:jc w:val="center"/>
              <w:rPr>
                <w:sz w:val="18"/>
                <w:szCs w:val="18"/>
              </w:rPr>
            </w:pPr>
            <w:r>
              <w:rPr>
                <w:sz w:val="18"/>
                <w:szCs w:val="18"/>
              </w:rPr>
              <w:t>Triệu đồng</w:t>
            </w:r>
          </w:p>
        </w:tc>
        <w:tc>
          <w:tcPr>
            <w:tcW w:w="447" w:type="pct"/>
            <w:noWrap/>
            <w:vAlign w:val="center"/>
          </w:tcPr>
          <w:p w14:paraId="1FA65BB6">
            <w:pPr>
              <w:jc w:val="center"/>
              <w:rPr>
                <w:sz w:val="15"/>
                <w:szCs w:val="15"/>
              </w:rPr>
            </w:pPr>
            <w:r>
              <w:rPr>
                <w:sz w:val="15"/>
                <w:szCs w:val="15"/>
              </w:rPr>
              <w:t>77.766</w:t>
            </w:r>
          </w:p>
        </w:tc>
        <w:tc>
          <w:tcPr>
            <w:tcW w:w="447" w:type="pct"/>
            <w:noWrap/>
            <w:vAlign w:val="center"/>
          </w:tcPr>
          <w:p w14:paraId="4C190D8A">
            <w:pPr>
              <w:jc w:val="center"/>
              <w:rPr>
                <w:sz w:val="15"/>
                <w:szCs w:val="15"/>
              </w:rPr>
            </w:pPr>
            <w:r>
              <w:rPr>
                <w:sz w:val="15"/>
                <w:szCs w:val="15"/>
              </w:rPr>
              <w:t>55.087</w:t>
            </w:r>
          </w:p>
        </w:tc>
        <w:tc>
          <w:tcPr>
            <w:tcW w:w="452" w:type="pct"/>
            <w:noWrap/>
            <w:vAlign w:val="center"/>
          </w:tcPr>
          <w:p w14:paraId="7829385A">
            <w:pPr>
              <w:jc w:val="center"/>
              <w:rPr>
                <w:sz w:val="15"/>
                <w:szCs w:val="15"/>
              </w:rPr>
            </w:pPr>
            <w:r>
              <w:rPr>
                <w:sz w:val="15"/>
                <w:szCs w:val="15"/>
              </w:rPr>
              <w:t>102.308</w:t>
            </w:r>
          </w:p>
        </w:tc>
        <w:tc>
          <w:tcPr>
            <w:tcW w:w="449" w:type="pct"/>
            <w:noWrap/>
            <w:vAlign w:val="center"/>
          </w:tcPr>
          <w:p w14:paraId="6063D100">
            <w:pPr>
              <w:jc w:val="center"/>
              <w:rPr>
                <w:sz w:val="15"/>
                <w:szCs w:val="15"/>
              </w:rPr>
            </w:pPr>
            <w:r>
              <w:rPr>
                <w:sz w:val="15"/>
                <w:szCs w:val="15"/>
              </w:rPr>
              <w:t>97.575</w:t>
            </w:r>
          </w:p>
        </w:tc>
        <w:tc>
          <w:tcPr>
            <w:tcW w:w="450" w:type="pct"/>
            <w:noWrap/>
            <w:vAlign w:val="center"/>
          </w:tcPr>
          <w:p w14:paraId="7055D406">
            <w:pPr>
              <w:jc w:val="center"/>
              <w:rPr>
                <w:sz w:val="15"/>
                <w:szCs w:val="15"/>
              </w:rPr>
            </w:pPr>
            <w:r>
              <w:rPr>
                <w:sz w:val="15"/>
                <w:szCs w:val="15"/>
              </w:rPr>
              <w:t>101.910</w:t>
            </w:r>
          </w:p>
        </w:tc>
        <w:tc>
          <w:tcPr>
            <w:tcW w:w="443" w:type="pct"/>
            <w:noWrap/>
            <w:vAlign w:val="center"/>
          </w:tcPr>
          <w:p w14:paraId="27B3E105">
            <w:pPr>
              <w:jc w:val="center"/>
              <w:rPr>
                <w:sz w:val="15"/>
                <w:szCs w:val="15"/>
              </w:rPr>
            </w:pPr>
            <w:r>
              <w:rPr>
                <w:sz w:val="15"/>
                <w:szCs w:val="15"/>
              </w:rPr>
              <w:t>97.631</w:t>
            </w:r>
          </w:p>
        </w:tc>
        <w:tc>
          <w:tcPr>
            <w:tcW w:w="376" w:type="pct"/>
            <w:noWrap/>
            <w:vAlign w:val="center"/>
          </w:tcPr>
          <w:p w14:paraId="3ACC3397">
            <w:pPr>
              <w:jc w:val="center"/>
              <w:rPr>
                <w:sz w:val="15"/>
                <w:szCs w:val="15"/>
              </w:rPr>
            </w:pPr>
            <w:r>
              <w:rPr>
                <w:sz w:val="15"/>
                <w:szCs w:val="15"/>
              </w:rPr>
              <w:t>35.288</w:t>
            </w:r>
          </w:p>
        </w:tc>
        <w:tc>
          <w:tcPr>
            <w:tcW w:w="373" w:type="pct"/>
            <w:noWrap/>
            <w:vAlign w:val="center"/>
          </w:tcPr>
          <w:p w14:paraId="46E3F93A">
            <w:pPr>
              <w:jc w:val="center"/>
              <w:rPr>
                <w:sz w:val="15"/>
                <w:szCs w:val="15"/>
              </w:rPr>
            </w:pPr>
            <w:r>
              <w:rPr>
                <w:sz w:val="15"/>
                <w:szCs w:val="15"/>
              </w:rPr>
              <w:t>29.695</w:t>
            </w:r>
          </w:p>
        </w:tc>
        <w:tc>
          <w:tcPr>
            <w:tcW w:w="372" w:type="pct"/>
            <w:noWrap/>
            <w:vAlign w:val="center"/>
          </w:tcPr>
          <w:p w14:paraId="32DD09F3">
            <w:pPr>
              <w:jc w:val="center"/>
              <w:rPr>
                <w:sz w:val="15"/>
                <w:szCs w:val="15"/>
              </w:rPr>
            </w:pPr>
            <w:r>
              <w:rPr>
                <w:sz w:val="15"/>
                <w:szCs w:val="15"/>
              </w:rPr>
              <w:t>43.754</w:t>
            </w:r>
          </w:p>
        </w:tc>
      </w:tr>
      <w:tr w14:paraId="4831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noWrap/>
            <w:vAlign w:val="center"/>
          </w:tcPr>
          <w:p w14:paraId="22FAED2B">
            <w:pPr>
              <w:jc w:val="center"/>
              <w:rPr>
                <w:sz w:val="20"/>
                <w:szCs w:val="20"/>
              </w:rPr>
            </w:pPr>
            <w:r>
              <w:rPr>
                <w:sz w:val="20"/>
                <w:szCs w:val="20"/>
              </w:rPr>
              <w:t>Lợi nhuận nhà đầu tư</w:t>
            </w:r>
          </w:p>
        </w:tc>
        <w:tc>
          <w:tcPr>
            <w:tcW w:w="447" w:type="pct"/>
            <w:noWrap/>
            <w:vAlign w:val="center"/>
          </w:tcPr>
          <w:p w14:paraId="0F693E53">
            <w:pPr>
              <w:jc w:val="center"/>
              <w:rPr>
                <w:sz w:val="18"/>
                <w:szCs w:val="18"/>
              </w:rPr>
            </w:pPr>
            <w:r>
              <w:rPr>
                <w:sz w:val="18"/>
                <w:szCs w:val="18"/>
              </w:rPr>
              <w:t>Triệu đồng</w:t>
            </w:r>
          </w:p>
        </w:tc>
        <w:tc>
          <w:tcPr>
            <w:tcW w:w="447" w:type="pct"/>
            <w:noWrap/>
            <w:vAlign w:val="center"/>
          </w:tcPr>
          <w:p w14:paraId="5388B65D">
            <w:pPr>
              <w:jc w:val="center"/>
              <w:rPr>
                <w:sz w:val="15"/>
                <w:szCs w:val="15"/>
              </w:rPr>
            </w:pPr>
            <w:r>
              <w:rPr>
                <w:sz w:val="15"/>
                <w:szCs w:val="15"/>
              </w:rPr>
              <w:t>166.047</w:t>
            </w:r>
          </w:p>
        </w:tc>
        <w:tc>
          <w:tcPr>
            <w:tcW w:w="447" w:type="pct"/>
            <w:noWrap/>
            <w:vAlign w:val="center"/>
          </w:tcPr>
          <w:p w14:paraId="3EC9012D">
            <w:pPr>
              <w:jc w:val="center"/>
              <w:rPr>
                <w:sz w:val="15"/>
                <w:szCs w:val="15"/>
              </w:rPr>
            </w:pPr>
            <w:r>
              <w:rPr>
                <w:sz w:val="15"/>
                <w:szCs w:val="15"/>
              </w:rPr>
              <w:t>96.749</w:t>
            </w:r>
          </w:p>
        </w:tc>
        <w:tc>
          <w:tcPr>
            <w:tcW w:w="452" w:type="pct"/>
            <w:noWrap/>
            <w:vAlign w:val="center"/>
          </w:tcPr>
          <w:p w14:paraId="403EEAB2">
            <w:pPr>
              <w:jc w:val="center"/>
              <w:rPr>
                <w:sz w:val="15"/>
                <w:szCs w:val="15"/>
              </w:rPr>
            </w:pPr>
            <w:r>
              <w:rPr>
                <w:sz w:val="15"/>
                <w:szCs w:val="15"/>
              </w:rPr>
              <w:t>307.095</w:t>
            </w:r>
          </w:p>
        </w:tc>
        <w:tc>
          <w:tcPr>
            <w:tcW w:w="449" w:type="pct"/>
            <w:noWrap/>
            <w:vAlign w:val="center"/>
          </w:tcPr>
          <w:p w14:paraId="48BE9637">
            <w:pPr>
              <w:jc w:val="center"/>
              <w:rPr>
                <w:sz w:val="15"/>
                <w:szCs w:val="15"/>
              </w:rPr>
            </w:pPr>
            <w:r>
              <w:rPr>
                <w:sz w:val="15"/>
                <w:szCs w:val="15"/>
              </w:rPr>
              <w:t>542.009</w:t>
            </w:r>
          </w:p>
        </w:tc>
        <w:tc>
          <w:tcPr>
            <w:tcW w:w="450" w:type="pct"/>
            <w:noWrap/>
            <w:vAlign w:val="center"/>
          </w:tcPr>
          <w:p w14:paraId="529596DE">
            <w:pPr>
              <w:jc w:val="center"/>
              <w:rPr>
                <w:sz w:val="15"/>
                <w:szCs w:val="15"/>
              </w:rPr>
            </w:pPr>
            <w:r>
              <w:rPr>
                <w:sz w:val="15"/>
                <w:szCs w:val="15"/>
              </w:rPr>
              <w:t>208.527</w:t>
            </w:r>
          </w:p>
        </w:tc>
        <w:tc>
          <w:tcPr>
            <w:tcW w:w="443" w:type="pct"/>
            <w:noWrap/>
            <w:vAlign w:val="center"/>
          </w:tcPr>
          <w:p w14:paraId="4FC9A926">
            <w:pPr>
              <w:jc w:val="center"/>
              <w:rPr>
                <w:sz w:val="15"/>
                <w:szCs w:val="15"/>
              </w:rPr>
            </w:pPr>
            <w:r>
              <w:rPr>
                <w:sz w:val="15"/>
                <w:szCs w:val="15"/>
              </w:rPr>
              <w:t>184.305</w:t>
            </w:r>
          </w:p>
        </w:tc>
        <w:tc>
          <w:tcPr>
            <w:tcW w:w="376" w:type="pct"/>
            <w:noWrap/>
            <w:vAlign w:val="center"/>
          </w:tcPr>
          <w:p w14:paraId="066B033B">
            <w:pPr>
              <w:jc w:val="center"/>
              <w:rPr>
                <w:sz w:val="15"/>
                <w:szCs w:val="15"/>
              </w:rPr>
            </w:pPr>
            <w:r>
              <w:rPr>
                <w:sz w:val="15"/>
                <w:szCs w:val="15"/>
              </w:rPr>
              <w:t>76.229</w:t>
            </w:r>
          </w:p>
        </w:tc>
        <w:tc>
          <w:tcPr>
            <w:tcW w:w="373" w:type="pct"/>
            <w:noWrap/>
            <w:vAlign w:val="center"/>
          </w:tcPr>
          <w:p w14:paraId="52679B8A">
            <w:pPr>
              <w:jc w:val="center"/>
              <w:rPr>
                <w:sz w:val="15"/>
                <w:szCs w:val="15"/>
              </w:rPr>
            </w:pPr>
            <w:r>
              <w:rPr>
                <w:sz w:val="15"/>
                <w:szCs w:val="15"/>
              </w:rPr>
              <w:t>46.402</w:t>
            </w:r>
          </w:p>
        </w:tc>
        <w:tc>
          <w:tcPr>
            <w:tcW w:w="372" w:type="pct"/>
            <w:noWrap/>
            <w:vAlign w:val="center"/>
          </w:tcPr>
          <w:p w14:paraId="6BC6E44F">
            <w:pPr>
              <w:jc w:val="center"/>
              <w:rPr>
                <w:sz w:val="15"/>
                <w:szCs w:val="15"/>
              </w:rPr>
            </w:pPr>
            <w:r>
              <w:rPr>
                <w:sz w:val="15"/>
                <w:szCs w:val="15"/>
              </w:rPr>
              <w:t>100.738</w:t>
            </w:r>
          </w:p>
        </w:tc>
      </w:tr>
      <w:tr w14:paraId="494D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noWrap/>
            <w:vAlign w:val="center"/>
          </w:tcPr>
          <w:p w14:paraId="2F65CBEB">
            <w:pPr>
              <w:jc w:val="center"/>
              <w:rPr>
                <w:sz w:val="20"/>
                <w:szCs w:val="20"/>
              </w:rPr>
            </w:pPr>
            <w:r>
              <w:rPr>
                <w:sz w:val="20"/>
                <w:szCs w:val="20"/>
              </w:rPr>
              <w:t>Tỷ lệ Lợi nhuận nhà đầu tư/CF</w:t>
            </w:r>
          </w:p>
        </w:tc>
        <w:tc>
          <w:tcPr>
            <w:tcW w:w="447" w:type="pct"/>
            <w:noWrap/>
            <w:vAlign w:val="center"/>
          </w:tcPr>
          <w:p w14:paraId="6F4CBA8E">
            <w:pPr>
              <w:jc w:val="center"/>
              <w:rPr>
                <w:sz w:val="18"/>
                <w:szCs w:val="18"/>
              </w:rPr>
            </w:pPr>
            <w:r>
              <w:rPr>
                <w:sz w:val="18"/>
                <w:szCs w:val="18"/>
              </w:rPr>
              <w:t>%</w:t>
            </w:r>
          </w:p>
        </w:tc>
        <w:tc>
          <w:tcPr>
            <w:tcW w:w="447" w:type="pct"/>
            <w:noWrap/>
            <w:vAlign w:val="center"/>
          </w:tcPr>
          <w:p w14:paraId="6D9DBEA9">
            <w:pPr>
              <w:jc w:val="center"/>
              <w:rPr>
                <w:sz w:val="15"/>
                <w:szCs w:val="15"/>
              </w:rPr>
            </w:pPr>
            <w:r>
              <w:rPr>
                <w:sz w:val="15"/>
                <w:szCs w:val="15"/>
              </w:rPr>
              <w:t>17,35%</w:t>
            </w:r>
          </w:p>
        </w:tc>
        <w:tc>
          <w:tcPr>
            <w:tcW w:w="447" w:type="pct"/>
            <w:noWrap/>
            <w:vAlign w:val="center"/>
          </w:tcPr>
          <w:p w14:paraId="57A85AF2">
            <w:pPr>
              <w:jc w:val="center"/>
              <w:rPr>
                <w:sz w:val="15"/>
                <w:szCs w:val="15"/>
              </w:rPr>
            </w:pPr>
            <w:r>
              <w:rPr>
                <w:sz w:val="15"/>
                <w:szCs w:val="15"/>
              </w:rPr>
              <w:t>6,95%</w:t>
            </w:r>
          </w:p>
        </w:tc>
        <w:tc>
          <w:tcPr>
            <w:tcW w:w="452" w:type="pct"/>
            <w:noWrap/>
            <w:vAlign w:val="center"/>
          </w:tcPr>
          <w:p w14:paraId="70B5D200">
            <w:pPr>
              <w:jc w:val="center"/>
              <w:rPr>
                <w:sz w:val="15"/>
                <w:szCs w:val="15"/>
              </w:rPr>
            </w:pPr>
            <w:r>
              <w:rPr>
                <w:sz w:val="15"/>
                <w:szCs w:val="15"/>
              </w:rPr>
              <w:t>27,99%</w:t>
            </w:r>
          </w:p>
        </w:tc>
        <w:tc>
          <w:tcPr>
            <w:tcW w:w="449" w:type="pct"/>
            <w:noWrap/>
            <w:vAlign w:val="center"/>
          </w:tcPr>
          <w:p w14:paraId="0A462CE9">
            <w:pPr>
              <w:jc w:val="center"/>
              <w:rPr>
                <w:sz w:val="15"/>
                <w:szCs w:val="15"/>
              </w:rPr>
            </w:pPr>
            <w:r>
              <w:rPr>
                <w:sz w:val="15"/>
                <w:szCs w:val="15"/>
              </w:rPr>
              <w:t>33,12%</w:t>
            </w:r>
          </w:p>
        </w:tc>
        <w:tc>
          <w:tcPr>
            <w:tcW w:w="450" w:type="pct"/>
            <w:noWrap/>
            <w:vAlign w:val="center"/>
          </w:tcPr>
          <w:p w14:paraId="41359121">
            <w:pPr>
              <w:jc w:val="center"/>
              <w:rPr>
                <w:sz w:val="15"/>
                <w:szCs w:val="15"/>
              </w:rPr>
            </w:pPr>
            <w:r>
              <w:rPr>
                <w:sz w:val="15"/>
                <w:szCs w:val="15"/>
              </w:rPr>
              <w:t>21,71%</w:t>
            </w:r>
          </w:p>
        </w:tc>
        <w:tc>
          <w:tcPr>
            <w:tcW w:w="443" w:type="pct"/>
            <w:noWrap/>
            <w:vAlign w:val="center"/>
          </w:tcPr>
          <w:p w14:paraId="3F0D7874">
            <w:pPr>
              <w:jc w:val="center"/>
              <w:rPr>
                <w:sz w:val="15"/>
                <w:szCs w:val="15"/>
              </w:rPr>
            </w:pPr>
            <w:r>
              <w:rPr>
                <w:sz w:val="15"/>
                <w:szCs w:val="15"/>
              </w:rPr>
              <w:t>19,26%</w:t>
            </w:r>
          </w:p>
        </w:tc>
        <w:tc>
          <w:tcPr>
            <w:tcW w:w="376" w:type="pct"/>
            <w:noWrap/>
            <w:vAlign w:val="center"/>
          </w:tcPr>
          <w:p w14:paraId="02D2CF57">
            <w:pPr>
              <w:jc w:val="center"/>
              <w:rPr>
                <w:sz w:val="15"/>
                <w:szCs w:val="15"/>
              </w:rPr>
            </w:pPr>
            <w:r>
              <w:rPr>
                <w:sz w:val="15"/>
                <w:szCs w:val="15"/>
              </w:rPr>
              <w:t>38,01%</w:t>
            </w:r>
          </w:p>
        </w:tc>
        <w:tc>
          <w:tcPr>
            <w:tcW w:w="373" w:type="pct"/>
            <w:noWrap/>
            <w:vAlign w:val="center"/>
          </w:tcPr>
          <w:p w14:paraId="6C68DDDF">
            <w:pPr>
              <w:jc w:val="center"/>
              <w:rPr>
                <w:sz w:val="15"/>
                <w:szCs w:val="15"/>
              </w:rPr>
            </w:pPr>
            <w:r>
              <w:rPr>
                <w:sz w:val="15"/>
                <w:szCs w:val="15"/>
              </w:rPr>
              <w:t>19,27%</w:t>
            </w:r>
          </w:p>
        </w:tc>
        <w:tc>
          <w:tcPr>
            <w:tcW w:w="372" w:type="pct"/>
            <w:noWrap/>
            <w:vAlign w:val="center"/>
          </w:tcPr>
          <w:p w14:paraId="0E14A6BC">
            <w:pPr>
              <w:jc w:val="center"/>
              <w:rPr>
                <w:sz w:val="15"/>
                <w:szCs w:val="15"/>
              </w:rPr>
            </w:pPr>
            <w:r>
              <w:rPr>
                <w:sz w:val="15"/>
                <w:szCs w:val="15"/>
              </w:rPr>
              <w:t>57,09%</w:t>
            </w:r>
          </w:p>
        </w:tc>
      </w:tr>
      <w:tr w14:paraId="229C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vAlign w:val="center"/>
          </w:tcPr>
          <w:p w14:paraId="2F1BAB09">
            <w:pPr>
              <w:jc w:val="center"/>
              <w:rPr>
                <w:sz w:val="20"/>
                <w:szCs w:val="20"/>
              </w:rPr>
            </w:pPr>
            <w:r>
              <w:rPr>
                <w:sz w:val="20"/>
                <w:szCs w:val="20"/>
              </w:rPr>
              <w:t>Tỷ lệ Lợi nhuận nhà đầu tư/CF</w:t>
            </w:r>
          </w:p>
        </w:tc>
        <w:tc>
          <w:tcPr>
            <w:tcW w:w="447" w:type="pct"/>
            <w:noWrap/>
            <w:vAlign w:val="center"/>
          </w:tcPr>
          <w:p w14:paraId="537D509C">
            <w:pPr>
              <w:jc w:val="center"/>
              <w:rPr>
                <w:sz w:val="20"/>
                <w:szCs w:val="20"/>
              </w:rPr>
            </w:pPr>
            <w:r>
              <w:rPr>
                <w:sz w:val="20"/>
                <w:szCs w:val="20"/>
              </w:rPr>
              <w:t>%</w:t>
            </w:r>
          </w:p>
        </w:tc>
        <w:tc>
          <w:tcPr>
            <w:tcW w:w="1347" w:type="pct"/>
            <w:gridSpan w:val="3"/>
            <w:noWrap/>
            <w:vAlign w:val="center"/>
          </w:tcPr>
          <w:p w14:paraId="098A506F">
            <w:pPr>
              <w:jc w:val="center"/>
              <w:rPr>
                <w:sz w:val="20"/>
                <w:szCs w:val="20"/>
              </w:rPr>
            </w:pPr>
            <w:r>
              <w:rPr>
                <w:sz w:val="20"/>
                <w:szCs w:val="20"/>
              </w:rPr>
              <w:t>17,43%</w:t>
            </w:r>
          </w:p>
        </w:tc>
        <w:tc>
          <w:tcPr>
            <w:tcW w:w="1343" w:type="pct"/>
            <w:gridSpan w:val="3"/>
            <w:noWrap/>
            <w:vAlign w:val="center"/>
          </w:tcPr>
          <w:p w14:paraId="1A3C6B0C">
            <w:pPr>
              <w:jc w:val="center"/>
              <w:rPr>
                <w:sz w:val="20"/>
                <w:szCs w:val="20"/>
              </w:rPr>
            </w:pPr>
            <w:r>
              <w:rPr>
                <w:sz w:val="20"/>
                <w:szCs w:val="20"/>
              </w:rPr>
              <w:t>24,70%</w:t>
            </w:r>
          </w:p>
        </w:tc>
        <w:tc>
          <w:tcPr>
            <w:tcW w:w="1121" w:type="pct"/>
            <w:gridSpan w:val="3"/>
            <w:noWrap/>
            <w:vAlign w:val="center"/>
          </w:tcPr>
          <w:p w14:paraId="1AE37218">
            <w:pPr>
              <w:jc w:val="center"/>
              <w:rPr>
                <w:sz w:val="20"/>
                <w:szCs w:val="20"/>
              </w:rPr>
            </w:pPr>
            <w:r>
              <w:rPr>
                <w:sz w:val="20"/>
                <w:szCs w:val="20"/>
              </w:rPr>
              <w:t>38,13%</w:t>
            </w:r>
          </w:p>
        </w:tc>
      </w:tr>
      <w:tr w14:paraId="359F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2" w:type="pct"/>
            <w:vAlign w:val="center"/>
          </w:tcPr>
          <w:p w14:paraId="73B84ECB">
            <w:pPr>
              <w:jc w:val="center"/>
              <w:rPr>
                <w:b/>
                <w:bCs/>
                <w:sz w:val="20"/>
                <w:szCs w:val="20"/>
              </w:rPr>
            </w:pPr>
            <w:r>
              <w:rPr>
                <w:b/>
                <w:bCs/>
                <w:sz w:val="20"/>
                <w:szCs w:val="20"/>
              </w:rPr>
              <w:t>Tỷ lệ Lợi nhuận nhà đầu tư/Tổng chi phí trung bình ngành</w:t>
            </w:r>
          </w:p>
        </w:tc>
        <w:tc>
          <w:tcPr>
            <w:tcW w:w="447" w:type="pct"/>
            <w:noWrap/>
            <w:vAlign w:val="center"/>
          </w:tcPr>
          <w:p w14:paraId="00B3C9E5">
            <w:pPr>
              <w:jc w:val="center"/>
              <w:rPr>
                <w:sz w:val="20"/>
                <w:szCs w:val="20"/>
              </w:rPr>
            </w:pPr>
            <w:r>
              <w:rPr>
                <w:sz w:val="20"/>
                <w:szCs w:val="20"/>
              </w:rPr>
              <w:t>%</w:t>
            </w:r>
          </w:p>
        </w:tc>
        <w:tc>
          <w:tcPr>
            <w:tcW w:w="3811" w:type="pct"/>
            <w:gridSpan w:val="9"/>
            <w:noWrap/>
            <w:vAlign w:val="center"/>
          </w:tcPr>
          <w:p w14:paraId="0C550B52">
            <w:pPr>
              <w:jc w:val="center"/>
              <w:rPr>
                <w:b/>
                <w:bCs/>
                <w:sz w:val="20"/>
                <w:szCs w:val="20"/>
              </w:rPr>
            </w:pPr>
            <w:r>
              <w:rPr>
                <w:b/>
                <w:bCs/>
                <w:sz w:val="20"/>
                <w:szCs w:val="20"/>
              </w:rPr>
              <w:t>26,75%</w:t>
            </w:r>
          </w:p>
        </w:tc>
      </w:tr>
    </w:tbl>
    <w:p w14:paraId="15D9D2C5">
      <w:pPr>
        <w:widowControl w:val="0"/>
        <w:spacing w:before="120" w:beforeLines="50" w:after="120" w:line="380" w:lineRule="exact"/>
        <w:ind w:firstLine="567"/>
        <w:jc w:val="both"/>
        <w:rPr>
          <w:rFonts w:eastAsia="Tahoma"/>
          <w:color w:val="000000" w:themeColor="text1"/>
          <w:spacing w:val="-4"/>
          <w:sz w:val="26"/>
          <w:szCs w:val="26"/>
          <w:lang w:val="da-DK"/>
          <w14:textFill>
            <w14:solidFill>
              <w14:schemeClr w14:val="tx1"/>
            </w14:solidFill>
          </w14:textFill>
        </w:rPr>
      </w:pPr>
      <w:r>
        <w:rPr>
          <w:sz w:val="26"/>
          <w:szCs w:val="26"/>
          <w:lang w:val="da-DK"/>
        </w:rPr>
        <w:tab/>
      </w:r>
      <w:r>
        <w:rPr>
          <w:rFonts w:eastAsia="Tahoma"/>
          <w:color w:val="000000" w:themeColor="text1"/>
          <w:spacing w:val="-4"/>
          <w:sz w:val="26"/>
          <w:szCs w:val="26"/>
          <w:lang w:val="da-DK"/>
          <w14:textFill>
            <w14:solidFill>
              <w14:schemeClr w14:val="tx1"/>
            </w14:solidFill>
          </w14:textFill>
        </w:rPr>
        <w:t>- Qua khảo sát thực tế mức lợi nhuận của các dự án thực hiện trên địa bàn tỉnh Lạng Sơn; trong những năm vừa qua có sự biến động theo chu kỳ, và có mức lợi nhuận thuần trên hoạt động kinh doanh bình quân phổ biến khoảng 10% đến 20%.</w:t>
      </w:r>
    </w:p>
    <w:p w14:paraId="607790D4">
      <w:pPr>
        <w:widowControl w:val="0"/>
        <w:spacing w:before="120" w:beforeLines="50" w:after="120" w:line="420" w:lineRule="exact"/>
        <w:ind w:firstLine="567"/>
        <w:jc w:val="both"/>
        <w:rPr>
          <w:rFonts w:eastAsia="Tahoma"/>
          <w:color w:val="000000" w:themeColor="text1"/>
          <w:spacing w:val="-6"/>
          <w:sz w:val="26"/>
          <w:szCs w:val="26"/>
          <w:lang w:val="da-DK"/>
          <w14:textFill>
            <w14:solidFill>
              <w14:schemeClr w14:val="tx1"/>
            </w14:solidFill>
          </w14:textFill>
        </w:rPr>
      </w:pPr>
      <w:r>
        <w:rPr>
          <w:rFonts w:eastAsia="Tahoma"/>
          <w:color w:val="000000" w:themeColor="text1"/>
          <w:spacing w:val="-6"/>
          <w:sz w:val="26"/>
          <w:szCs w:val="26"/>
          <w:lang w:val="da-DK"/>
          <w14:textFill>
            <w14:solidFill>
              <w14:schemeClr w14:val="tx1"/>
            </w14:solidFill>
          </w14:textFill>
        </w:rPr>
        <w:t>=&gt; Công ty Cổ phần Dịch vụ Tư vấn và Thẩm định giá Việt Nam xác định chi phí lãi vay, lợi nhuận của nhà đầu tư có tính đến vốn chủ sở hữu, rủi ro trong kinh doanh của dự án được căn cứ theo quy định tại Khoản 2, Điều 4, Quyết định số 47/2024/QĐ-UBND ngày 30</w:t>
      </w:r>
    </w:p>
    <w:p w14:paraId="0779BA02">
      <w:pPr>
        <w:tabs>
          <w:tab w:val="left" w:pos="3590"/>
        </w:tabs>
        <w:spacing w:line="420" w:lineRule="exact"/>
        <w:rPr>
          <w:sz w:val="26"/>
          <w:szCs w:val="26"/>
          <w:lang w:val="da-DK"/>
        </w:rPr>
      </w:pPr>
      <w:r>
        <w:rPr>
          <w:sz w:val="26"/>
          <w:szCs w:val="26"/>
          <w:lang w:val="da-DK"/>
        </w:rPr>
        <w:t>tháng 10 năm 2024 của UBND nhân dân tỉnh Lạng Sơn:</w:t>
      </w:r>
    </w:p>
    <w:p w14:paraId="5FC105EA">
      <w:pPr>
        <w:tabs>
          <w:tab w:val="left" w:pos="3590"/>
        </w:tabs>
        <w:spacing w:line="420" w:lineRule="exact"/>
        <w:rPr>
          <w:sz w:val="26"/>
          <w:szCs w:val="26"/>
          <w:lang w:val="da-DK"/>
        </w:rPr>
      </w:pPr>
    </w:p>
    <w:p w14:paraId="0B0CCD29">
      <w:pPr>
        <w:widowControl w:val="0"/>
        <w:spacing w:before="120" w:beforeLines="50" w:after="120" w:line="420" w:lineRule="exact"/>
        <w:ind w:firstLine="567"/>
        <w:rPr>
          <w:rFonts w:eastAsia="Tahoma"/>
          <w:color w:val="000000" w:themeColor="text1"/>
          <w:spacing w:val="-6"/>
          <w:sz w:val="26"/>
          <w:szCs w:val="26"/>
          <w:lang w:val="da-DK"/>
          <w14:textFill>
            <w14:solidFill>
              <w14:schemeClr w14:val="tx1"/>
            </w14:solidFill>
          </w14:textFill>
        </w:rPr>
      </w:pPr>
      <w:r>
        <w:rPr>
          <w:rFonts w:eastAsia="Tahoma"/>
          <w:color w:val="000000" w:themeColor="text1"/>
          <w:spacing w:val="-6"/>
          <w:sz w:val="26"/>
          <w:szCs w:val="26"/>
          <w:lang w:val="da-DK"/>
          <w14:textFill>
            <w14:solidFill>
              <w14:schemeClr w14:val="tx1"/>
            </w14:solidFill>
          </w14:textFill>
        </w:rPr>
        <w:t>LN1 = 15% * (tổng của chi phí đầu tư xây dựng, chi phí kinh doanh)</w:t>
      </w:r>
    </w:p>
    <w:p w14:paraId="052747A2">
      <w:pPr>
        <w:widowControl w:val="0"/>
        <w:spacing w:before="120" w:beforeLines="50" w:after="120" w:line="420" w:lineRule="exact"/>
        <w:ind w:firstLine="567"/>
        <w:rPr>
          <w:rFonts w:eastAsia="Tahoma"/>
          <w:i/>
          <w:color w:val="000000" w:themeColor="text1"/>
          <w:sz w:val="26"/>
          <w:szCs w:val="26"/>
          <w:lang w:val="da-DK"/>
          <w14:textFill>
            <w14:solidFill>
              <w14:schemeClr w14:val="tx1"/>
            </w14:solidFill>
          </w14:textFill>
        </w:rPr>
      </w:pPr>
      <w:r>
        <w:rPr>
          <w:rFonts w:eastAsia="Tahoma"/>
          <w:color w:val="000000" w:themeColor="text1"/>
          <w:spacing w:val="-6"/>
          <w:sz w:val="26"/>
          <w:szCs w:val="26"/>
          <w:lang w:val="da-DK"/>
          <w14:textFill>
            <w14:solidFill>
              <w14:schemeClr w14:val="tx1"/>
            </w14:solidFill>
          </w14:textFill>
        </w:rPr>
        <w:t>=</w:t>
      </w:r>
      <w:r>
        <w:rPr>
          <w:rFonts w:eastAsia="Tahoma"/>
          <w:color w:val="000000" w:themeColor="text1"/>
          <w:sz w:val="26"/>
          <w:szCs w:val="26"/>
          <w:lang w:val="da-DK"/>
          <w14:textFill>
            <w14:solidFill>
              <w14:schemeClr w14:val="tx1"/>
            </w14:solidFill>
          </w14:textFill>
        </w:rPr>
        <w:t xml:space="preserve"> (6.191.697.895 + 298.498.596.356)  * 15% =  </w:t>
      </w:r>
      <w:r>
        <w:rPr>
          <w:rFonts w:eastAsia="SimSun"/>
          <w:color w:val="000000" w:themeColor="text1"/>
          <w:sz w:val="26"/>
          <w:szCs w:val="26"/>
          <w:lang w:val="da-DK" w:eastAsia="zh-CN" w:bidi="ar"/>
          <w14:textFill>
            <w14:solidFill>
              <w14:schemeClr w14:val="tx1"/>
            </w14:solidFill>
          </w14:textFill>
        </w:rPr>
        <w:t xml:space="preserve">45.703.544.138 </w:t>
      </w:r>
      <w:r>
        <w:rPr>
          <w:rFonts w:eastAsia="Tahoma"/>
          <w:iCs/>
          <w:color w:val="000000" w:themeColor="text1"/>
          <w:sz w:val="26"/>
          <w:szCs w:val="26"/>
          <w:lang w:val="vi-VN"/>
          <w14:textFill>
            <w14:solidFill>
              <w14:schemeClr w14:val="tx1"/>
            </w14:solidFill>
          </w14:textFill>
        </w:rPr>
        <w:t>đ</w:t>
      </w:r>
      <w:r>
        <w:rPr>
          <w:rFonts w:eastAsia="Tahoma"/>
          <w:iCs/>
          <w:color w:val="000000" w:themeColor="text1"/>
          <w:sz w:val="26"/>
          <w:szCs w:val="26"/>
          <w:lang w:val="da-DK"/>
          <w14:textFill>
            <w14:solidFill>
              <w14:schemeClr w14:val="tx1"/>
            </w14:solidFill>
          </w14:textFill>
        </w:rPr>
        <w:t>ồng</w:t>
      </w:r>
    </w:p>
    <w:p w14:paraId="4EF3CBFF">
      <w:pPr>
        <w:widowControl w:val="0"/>
        <w:spacing w:before="120" w:beforeLines="50" w:after="120" w:line="420" w:lineRule="exact"/>
        <w:ind w:firstLine="567"/>
        <w:jc w:val="center"/>
        <w:rPr>
          <w:rFonts w:eastAsia="Tahoma"/>
          <w:bCs/>
          <w:iCs/>
          <w:color w:val="000000" w:themeColor="text1"/>
          <w:sz w:val="26"/>
          <w:szCs w:val="26"/>
          <w:lang w:val="da-DK"/>
          <w14:textFill>
            <w14:solidFill>
              <w14:schemeClr w14:val="tx1"/>
            </w14:solidFill>
          </w14:textFill>
        </w:rPr>
      </w:pPr>
      <w:r>
        <w:rPr>
          <w:rFonts w:eastAsia="Tahoma"/>
          <w:bCs/>
          <w:iCs/>
          <w:color w:val="000000" w:themeColor="text1"/>
          <w:sz w:val="26"/>
          <w:szCs w:val="26"/>
          <w:lang w:val="da-DK"/>
          <w14:textFill>
            <w14:solidFill>
              <w14:schemeClr w14:val="tx1"/>
            </w14:solidFill>
          </w14:textFill>
        </w:rPr>
        <w:t>LN2 = 15%* giá trị của thửa đất, khu đất cần định giá = 35.057.732.755 đồng</w:t>
      </w:r>
    </w:p>
    <w:p w14:paraId="79E5CDAD">
      <w:pPr>
        <w:widowControl w:val="0"/>
        <w:spacing w:before="120" w:beforeLines="50" w:after="120" w:line="420" w:lineRule="exact"/>
        <w:ind w:firstLine="567"/>
        <w:jc w:val="both"/>
        <w:rPr>
          <w:rFonts w:eastAsia="Tahoma"/>
          <w:b/>
          <w:i/>
          <w:color w:val="000000" w:themeColor="text1"/>
          <w:spacing w:val="-6"/>
          <w:sz w:val="26"/>
          <w:szCs w:val="26"/>
          <w:lang w:val="da-DK"/>
          <w14:textFill>
            <w14:solidFill>
              <w14:schemeClr w14:val="tx1"/>
            </w14:solidFill>
          </w14:textFill>
        </w:rPr>
      </w:pPr>
      <w:r>
        <w:rPr>
          <w:rFonts w:eastAsia="Tahoma"/>
          <w:bCs/>
          <w:iCs/>
          <w:color w:val="000000" w:themeColor="text1"/>
          <w:sz w:val="26"/>
          <w:szCs w:val="26"/>
          <w:lang w:val="da-DK"/>
          <w14:textFill>
            <w14:solidFill>
              <w14:schemeClr w14:val="tx1"/>
            </w14:solidFill>
          </w14:textFill>
        </w:rPr>
        <w:t>=&gt; Tổng Chi phí lãi vay, lợi nhuận của nhà đầu tư có tính đến vốn chủ sở hữu, rủi ro trong kinh doanh của toàn bộ dự án là:</w:t>
      </w:r>
      <w:r>
        <w:rPr>
          <w:rFonts w:eastAsia="Tahoma"/>
          <w:b/>
          <w:i/>
          <w:color w:val="000000" w:themeColor="text1"/>
          <w:sz w:val="26"/>
          <w:szCs w:val="26"/>
          <w:lang w:val="da-DK"/>
          <w14:textFill>
            <w14:solidFill>
              <w14:schemeClr w14:val="tx1"/>
            </w14:solidFill>
          </w14:textFill>
        </w:rPr>
        <w:t xml:space="preserve"> 80.761.276.893 đồng</w:t>
      </w:r>
    </w:p>
    <w:p w14:paraId="0010501A">
      <w:pPr>
        <w:widowControl w:val="0"/>
        <w:spacing w:before="50" w:after="120" w:line="420" w:lineRule="exact"/>
        <w:ind w:firstLine="562"/>
        <w:jc w:val="both"/>
        <w:rPr>
          <w:b/>
          <w:color w:val="000000" w:themeColor="text1"/>
          <w:sz w:val="26"/>
          <w:szCs w:val="26"/>
          <w:lang w:val="vi-VN"/>
          <w14:textFill>
            <w14:solidFill>
              <w14:schemeClr w14:val="tx1"/>
            </w14:solidFill>
          </w14:textFill>
        </w:rPr>
      </w:pPr>
      <w:r>
        <w:rPr>
          <w:b/>
          <w:bCs/>
          <w:color w:val="000000" w:themeColor="text1"/>
          <w:spacing w:val="-4"/>
          <w:sz w:val="26"/>
          <w:szCs w:val="26"/>
          <w:lang w:val="vi-VN"/>
          <w14:textFill>
            <w14:solidFill>
              <w14:schemeClr w14:val="tx1"/>
            </w14:solidFill>
          </w14:textFill>
        </w:rPr>
        <w:t>2.</w:t>
      </w:r>
      <w:r>
        <w:rPr>
          <w:b/>
          <w:bCs/>
          <w:color w:val="000000" w:themeColor="text1"/>
          <w:spacing w:val="-4"/>
          <w:sz w:val="26"/>
          <w:szCs w:val="26"/>
          <w:lang w:val="da-DK"/>
          <w14:textFill>
            <w14:solidFill>
              <w14:schemeClr w14:val="tx1"/>
            </w14:solidFill>
          </w14:textFill>
        </w:rPr>
        <w:t>3</w:t>
      </w:r>
      <w:r>
        <w:rPr>
          <w:b/>
          <w:bCs/>
          <w:color w:val="000000" w:themeColor="text1"/>
          <w:spacing w:val="-4"/>
          <w:sz w:val="26"/>
          <w:szCs w:val="26"/>
          <w:lang w:val="vi-VN"/>
          <w14:textFill>
            <w14:solidFill>
              <w14:schemeClr w14:val="tx1"/>
            </w14:solidFill>
          </w14:textFill>
        </w:rPr>
        <w:t xml:space="preserve">. </w:t>
      </w:r>
      <w:r>
        <w:rPr>
          <w:b/>
          <w:color w:val="000000" w:themeColor="text1"/>
          <w:sz w:val="26"/>
          <w:szCs w:val="26"/>
          <w:lang w:val="vi-VN"/>
          <w14:textFill>
            <w14:solidFill>
              <w14:schemeClr w14:val="tx1"/>
            </w14:solidFill>
          </w14:textFill>
        </w:rPr>
        <w:t>Tổng chi phí phát triển quy về thời điểm hiện tại:</w:t>
      </w:r>
    </w:p>
    <w:p w14:paraId="0CDD9871">
      <w:pPr>
        <w:widowControl w:val="0"/>
        <w:spacing w:before="50" w:after="120" w:line="420" w:lineRule="exact"/>
        <w:ind w:firstLine="562"/>
        <w:jc w:val="both"/>
        <w:rPr>
          <w:bCs/>
          <w:color w:val="000000" w:themeColor="text1"/>
          <w:sz w:val="26"/>
          <w:szCs w:val="26"/>
          <w:lang w:val="da-DK"/>
          <w14:textFill>
            <w14:solidFill>
              <w14:schemeClr w14:val="tx1"/>
            </w14:solidFill>
          </w14:textFill>
        </w:rPr>
      </w:pPr>
      <w:r>
        <w:rPr>
          <w:bCs/>
          <w:color w:val="000000" w:themeColor="text1"/>
          <w:sz w:val="26"/>
          <w:szCs w:val="26"/>
          <w:lang w:val="da-DK"/>
          <w14:textFill>
            <w14:solidFill>
              <w14:schemeClr w14:val="tx1"/>
            </w14:solidFill>
          </w14:textFill>
        </w:rPr>
        <w:t>Tổng chi phí phát triển của dự án quy về thời điểm hiện tại:</w:t>
      </w:r>
    </w:p>
    <w:p w14:paraId="2C2DD3DC">
      <w:pPr>
        <w:widowControl w:val="0"/>
        <w:spacing w:before="50" w:after="120" w:line="420" w:lineRule="exact"/>
        <w:rPr>
          <w:bCs/>
          <w:color w:val="000000" w:themeColor="text1"/>
          <w:spacing w:val="-14"/>
          <w:sz w:val="26"/>
          <w:szCs w:val="26"/>
          <w:lang w:val="da-DK"/>
          <w14:textFill>
            <w14:solidFill>
              <w14:schemeClr w14:val="tx1"/>
            </w14:solidFill>
          </w14:textFill>
        </w:rPr>
      </w:pPr>
      <w:r>
        <w:rPr>
          <w:bCs/>
          <w:color w:val="000000" w:themeColor="text1"/>
          <w:spacing w:val="-14"/>
          <w:sz w:val="26"/>
          <w:szCs w:val="26"/>
          <w:lang w:val="da-DK"/>
          <w14:textFill>
            <w14:solidFill>
              <w14:schemeClr w14:val="tx1"/>
            </w14:solidFill>
          </w14:textFill>
        </w:rPr>
        <w:t>CP = CPo+CFKD +  LN =  298.498.596.356 đồng +</w:t>
      </w:r>
      <w:r>
        <w:rPr>
          <w:color w:val="000000" w:themeColor="text1"/>
          <w:spacing w:val="-14"/>
          <w:sz w:val="26"/>
          <w:szCs w:val="26"/>
          <w:lang w:val="da-DK"/>
          <w14:textFill>
            <w14:solidFill>
              <w14:schemeClr w14:val="tx1"/>
            </w14:solidFill>
          </w14:textFill>
        </w:rPr>
        <w:t xml:space="preserve"> 6.191.697.895 </w:t>
      </w:r>
      <w:r>
        <w:rPr>
          <w:bCs/>
          <w:color w:val="000000" w:themeColor="text1"/>
          <w:spacing w:val="-14"/>
          <w:sz w:val="26"/>
          <w:szCs w:val="26"/>
          <w:lang w:val="da-DK"/>
          <w14:textFill>
            <w14:solidFill>
              <w14:schemeClr w14:val="tx1"/>
            </w14:solidFill>
          </w14:textFill>
        </w:rPr>
        <w:t>đồng</w:t>
      </w:r>
      <w:r>
        <w:rPr>
          <w:bCs/>
          <w:color w:val="000000" w:themeColor="text1"/>
          <w:spacing w:val="-14"/>
          <w:sz w:val="26"/>
          <w:szCs w:val="26"/>
          <w:lang w:val="vi-VN"/>
          <w14:textFill>
            <w14:solidFill>
              <w14:schemeClr w14:val="tx1"/>
            </w14:solidFill>
          </w14:textFill>
        </w:rPr>
        <w:t xml:space="preserve"> </w:t>
      </w:r>
      <w:r>
        <w:rPr>
          <w:bCs/>
          <w:color w:val="000000" w:themeColor="text1"/>
          <w:spacing w:val="-14"/>
          <w:sz w:val="26"/>
          <w:szCs w:val="26"/>
          <w:lang w:val="da-DK"/>
          <w14:textFill>
            <w14:solidFill>
              <w14:schemeClr w14:val="tx1"/>
            </w14:solidFill>
          </w14:textFill>
        </w:rPr>
        <w:t xml:space="preserve">+ 80.761.276.893 đồng </w:t>
      </w:r>
      <w:r>
        <w:rPr>
          <w:bCs/>
          <w:color w:val="000000" w:themeColor="text1"/>
          <w:spacing w:val="-14"/>
          <w:sz w:val="26"/>
          <w:szCs w:val="26"/>
          <w:lang w:val="vi-VN"/>
          <w14:textFill>
            <w14:solidFill>
              <w14:schemeClr w14:val="tx1"/>
            </w14:solidFill>
          </w14:textFill>
        </w:rPr>
        <w:t>=</w:t>
      </w:r>
      <w:r>
        <w:rPr>
          <w:b/>
          <w:color w:val="000000" w:themeColor="text1"/>
          <w:spacing w:val="-14"/>
          <w:sz w:val="26"/>
          <w:szCs w:val="26"/>
          <w:lang w:val="da-DK"/>
          <w14:textFill>
            <w14:solidFill>
              <w14:schemeClr w14:val="tx1"/>
            </w14:solidFill>
          </w14:textFill>
        </w:rPr>
        <w:t xml:space="preserve"> </w:t>
      </w:r>
      <w:r>
        <w:rPr>
          <w:b/>
          <w:bCs/>
          <w:color w:val="000000" w:themeColor="text1"/>
          <w:spacing w:val="-14"/>
          <w:sz w:val="26"/>
          <w:szCs w:val="26"/>
          <w:lang w:val="da-DK"/>
          <w14:textFill>
            <w14:solidFill>
              <w14:schemeClr w14:val="tx1"/>
            </w14:solidFill>
          </w14:textFill>
        </w:rPr>
        <w:t xml:space="preserve">   385.451.571.144  </w:t>
      </w:r>
      <w:r>
        <w:rPr>
          <w:b/>
          <w:color w:val="000000" w:themeColor="text1"/>
          <w:spacing w:val="-14"/>
          <w:sz w:val="26"/>
          <w:szCs w:val="26"/>
          <w:lang w:val="da-DK"/>
          <w14:textFill>
            <w14:solidFill>
              <w14:schemeClr w14:val="tx1"/>
            </w14:solidFill>
          </w14:textFill>
        </w:rPr>
        <w:t>đồng</w:t>
      </w:r>
    </w:p>
    <w:p w14:paraId="752577E1">
      <w:pPr>
        <w:widowControl w:val="0"/>
        <w:spacing w:before="50" w:after="120" w:line="420" w:lineRule="exact"/>
        <w:ind w:firstLine="562"/>
        <w:jc w:val="both"/>
        <w:rPr>
          <w:b/>
          <w:bCs/>
          <w:iCs/>
          <w:color w:val="000000" w:themeColor="text1"/>
          <w:sz w:val="26"/>
          <w:szCs w:val="26"/>
          <w:lang w:val="vi-VN"/>
          <w14:textFill>
            <w14:solidFill>
              <w14:schemeClr w14:val="tx1"/>
            </w14:solidFill>
          </w14:textFill>
        </w:rPr>
      </w:pPr>
      <w:r>
        <w:rPr>
          <w:b/>
          <w:bCs/>
          <w:iCs/>
          <w:color w:val="000000" w:themeColor="text1"/>
          <w:sz w:val="26"/>
          <w:szCs w:val="26"/>
          <w:lang w:val="vi-VN"/>
          <w14:textFill>
            <w14:solidFill>
              <w14:schemeClr w14:val="tx1"/>
            </w14:solidFill>
          </w14:textFill>
        </w:rPr>
        <w:t>3. Xác định giá đất tính tiền sử dụng đất</w:t>
      </w:r>
    </w:p>
    <w:p w14:paraId="3974DC03">
      <w:pPr>
        <w:widowControl w:val="0"/>
        <w:spacing w:before="50" w:after="120" w:line="420" w:lineRule="exact"/>
        <w:ind w:firstLine="562"/>
        <w:jc w:val="both"/>
        <w:rPr>
          <w:b/>
          <w:bCs/>
          <w:color w:val="000000" w:themeColor="text1"/>
          <w:spacing w:val="-4"/>
          <w:sz w:val="26"/>
          <w:szCs w:val="26"/>
          <w:lang w:val="vi-VN"/>
          <w14:textFill>
            <w14:solidFill>
              <w14:schemeClr w14:val="tx1"/>
            </w14:solidFill>
          </w14:textFill>
        </w:rPr>
      </w:pPr>
      <w:r>
        <w:rPr>
          <w:b/>
          <w:bCs/>
          <w:color w:val="000000" w:themeColor="text1"/>
          <w:spacing w:val="-4"/>
          <w:sz w:val="26"/>
          <w:szCs w:val="26"/>
          <w:lang w:val="vi-VN"/>
          <w14:textFill>
            <w14:solidFill>
              <w14:schemeClr w14:val="tx1"/>
            </w14:solidFill>
          </w14:textFill>
        </w:rPr>
        <w:t>* Giá trị khu đất thực hiện toàn bộ dự án</w:t>
      </w:r>
      <w:r>
        <w:rPr>
          <w:b/>
          <w:bCs/>
          <w:color w:val="000000" w:themeColor="text1"/>
          <w:spacing w:val="-4"/>
          <w:sz w:val="26"/>
          <w:szCs w:val="26"/>
          <w14:textFill>
            <w14:solidFill>
              <w14:schemeClr w14:val="tx1"/>
            </w14:solidFill>
          </w14:textFill>
        </w:rPr>
        <w:t xml:space="preserve"> </w:t>
      </w:r>
      <w:r>
        <w:rPr>
          <w:b/>
          <w:bCs/>
          <w:color w:val="000000" w:themeColor="text1"/>
          <w:spacing w:val="-4"/>
          <w:sz w:val="26"/>
          <w:szCs w:val="26"/>
          <w:lang w:val="vi-VN"/>
          <w14:textFill>
            <w14:solidFill>
              <w14:schemeClr w14:val="tx1"/>
            </w14:solidFill>
          </w14:textFill>
        </w:rPr>
        <w:t>(V): V = DTo – CP</w:t>
      </w:r>
    </w:p>
    <w:p w14:paraId="532940DF">
      <w:pPr>
        <w:spacing w:line="420" w:lineRule="exact"/>
        <w:jc w:val="center"/>
        <w:rPr>
          <w:b/>
          <w:bCs/>
          <w:color w:val="000000" w:themeColor="text1"/>
          <w:lang w:val="vi-VN"/>
          <w14:textFill>
            <w14:solidFill>
              <w14:schemeClr w14:val="tx1"/>
            </w14:solidFill>
          </w14:textFill>
        </w:rPr>
      </w:pPr>
      <w:r>
        <w:rPr>
          <w:color w:val="000000" w:themeColor="text1"/>
          <w:spacing w:val="-4"/>
          <w:sz w:val="26"/>
          <w:szCs w:val="26"/>
          <w:lang w:val="vi-VN"/>
          <w14:textFill>
            <w14:solidFill>
              <w14:schemeClr w14:val="tx1"/>
            </w14:solidFill>
          </w14:textFill>
        </w:rPr>
        <w:t>=</w:t>
      </w:r>
      <w:r>
        <w:rPr>
          <w:color w:val="000000" w:themeColor="text1"/>
          <w:lang w:val="vi-VN"/>
          <w14:textFill>
            <w14:solidFill>
              <w14:schemeClr w14:val="tx1"/>
            </w14:solidFill>
          </w14:textFill>
        </w:rPr>
        <w:t xml:space="preserve"> </w:t>
      </w:r>
      <w:r>
        <w:rPr>
          <w:color w:val="000000" w:themeColor="text1"/>
          <w14:textFill>
            <w14:solidFill>
              <w14:schemeClr w14:val="tx1"/>
            </w14:solidFill>
          </w14:textFill>
        </w:rPr>
        <w:t xml:space="preserve"> 619.169.789.514 </w:t>
      </w:r>
      <w:r>
        <w:rPr>
          <w:color w:val="000000" w:themeColor="text1"/>
          <w:spacing w:val="-4"/>
          <w:sz w:val="26"/>
          <w:szCs w:val="26"/>
          <w:lang w:val="vi-VN"/>
          <w14:textFill>
            <w14:solidFill>
              <w14:schemeClr w14:val="tx1"/>
            </w14:solidFill>
          </w14:textFill>
        </w:rPr>
        <w:t xml:space="preserve">đồng – </w:t>
      </w:r>
      <w:r>
        <w:rPr>
          <w:color w:val="000000" w:themeColor="text1"/>
          <w:spacing w:val="-4"/>
          <w:sz w:val="26"/>
          <w:szCs w:val="26"/>
          <w14:textFill>
            <w14:solidFill>
              <w14:schemeClr w14:val="tx1"/>
            </w14:solidFill>
          </w14:textFill>
        </w:rPr>
        <w:t xml:space="preserve"> 385.451.571.144 </w:t>
      </w:r>
      <w:r>
        <w:rPr>
          <w:color w:val="000000" w:themeColor="text1"/>
          <w:spacing w:val="-4"/>
          <w:sz w:val="26"/>
          <w:szCs w:val="26"/>
          <w:lang w:val="vi-VN"/>
          <w14:textFill>
            <w14:solidFill>
              <w14:schemeClr w14:val="tx1"/>
            </w14:solidFill>
          </w14:textFill>
        </w:rPr>
        <w:t>đồng =</w:t>
      </w:r>
      <w:r>
        <w:rPr>
          <w:b/>
          <w:bCs/>
          <w:color w:val="000000" w:themeColor="text1"/>
          <w:spacing w:val="-4"/>
          <w:sz w:val="26"/>
          <w:szCs w:val="26"/>
          <w:lang w:val="vi-VN"/>
          <w14:textFill>
            <w14:solidFill>
              <w14:schemeClr w14:val="tx1"/>
            </w14:solidFill>
          </w14:textFill>
        </w:rPr>
        <w:t xml:space="preserve"> </w:t>
      </w:r>
      <w:r>
        <w:rPr>
          <w:b/>
          <w:bCs/>
          <w:color w:val="000000" w:themeColor="text1"/>
          <w:spacing w:val="-4"/>
          <w:sz w:val="26"/>
          <w:szCs w:val="26"/>
          <w14:textFill>
            <w14:solidFill>
              <w14:schemeClr w14:val="tx1"/>
            </w14:solidFill>
          </w14:textFill>
        </w:rPr>
        <w:t xml:space="preserve">233.718.218.370 </w:t>
      </w:r>
      <w:r>
        <w:rPr>
          <w:b/>
          <w:bCs/>
          <w:color w:val="000000" w:themeColor="text1"/>
          <w:spacing w:val="-4"/>
          <w:sz w:val="26"/>
          <w:szCs w:val="26"/>
          <w:lang w:val="vi-VN"/>
          <w14:textFill>
            <w14:solidFill>
              <w14:schemeClr w14:val="tx1"/>
            </w14:solidFill>
          </w14:textFill>
        </w:rPr>
        <w:t>đồng</w:t>
      </w:r>
    </w:p>
    <w:p w14:paraId="70AA866C">
      <w:pPr>
        <w:widowControl w:val="0"/>
        <w:spacing w:before="50" w:after="120" w:line="420" w:lineRule="exact"/>
        <w:ind w:firstLine="562"/>
        <w:jc w:val="both"/>
        <w:rPr>
          <w:b/>
          <w:bCs/>
          <w:iCs/>
          <w:color w:val="000000" w:themeColor="text1"/>
          <w:sz w:val="26"/>
          <w:szCs w:val="26"/>
          <w:lang w:val="vi-VN"/>
          <w14:textFill>
            <w14:solidFill>
              <w14:schemeClr w14:val="tx1"/>
            </w14:solidFill>
          </w14:textFill>
        </w:rPr>
      </w:pPr>
      <w:r>
        <w:rPr>
          <w:b/>
          <w:bCs/>
          <w:iCs/>
          <w:color w:val="000000" w:themeColor="text1"/>
          <w:sz w:val="26"/>
          <w:szCs w:val="26"/>
          <w:lang w:val="vi-VN"/>
          <w14:textFill>
            <w14:solidFill>
              <w14:schemeClr w14:val="tx1"/>
            </w14:solidFill>
          </w14:textFill>
        </w:rPr>
        <w:t>*</w:t>
      </w:r>
      <w:r>
        <w:rPr>
          <w:b/>
          <w:bCs/>
          <w:color w:val="000000" w:themeColor="text1"/>
          <w:sz w:val="26"/>
          <w:szCs w:val="26"/>
          <w:lang w:val="vi-VN"/>
          <w14:textFill>
            <w14:solidFill>
              <w14:schemeClr w14:val="tx1"/>
            </w14:solidFill>
          </w14:textFill>
        </w:rPr>
        <w:t xml:space="preserve">Đơn giá đất bình quân cho </w:t>
      </w:r>
      <w:r>
        <w:rPr>
          <w:b/>
          <w:bCs/>
          <w:color w:val="000000" w:themeColor="text1"/>
          <w:sz w:val="26"/>
          <w:szCs w:val="26"/>
          <w14:textFill>
            <w14:solidFill>
              <w14:schemeClr w14:val="tx1"/>
            </w14:solidFill>
          </w14:textFill>
        </w:rPr>
        <w:t>toàn bộ dự án (đơn giá chưa bao gồm chi phí)</w:t>
      </w:r>
      <w:r>
        <w:rPr>
          <w:b/>
          <w:bCs/>
          <w:iCs/>
          <w:color w:val="000000" w:themeColor="text1"/>
          <w:sz w:val="26"/>
          <w:szCs w:val="26"/>
          <w:lang w:val="vi-VN"/>
          <w14:textFill>
            <w14:solidFill>
              <w14:schemeClr w14:val="tx1"/>
            </w14:solidFill>
          </w14:textFill>
        </w:rPr>
        <w:t>:</w:t>
      </w:r>
    </w:p>
    <w:tbl>
      <w:tblPr>
        <w:tblStyle w:val="9"/>
        <w:tblW w:w="0" w:type="auto"/>
        <w:jc w:val="center"/>
        <w:tblLayout w:type="autofit"/>
        <w:tblCellMar>
          <w:top w:w="0" w:type="dxa"/>
          <w:left w:w="108" w:type="dxa"/>
          <w:bottom w:w="0" w:type="dxa"/>
          <w:right w:w="108" w:type="dxa"/>
        </w:tblCellMar>
      </w:tblPr>
      <w:tblGrid>
        <w:gridCol w:w="3017"/>
        <w:gridCol w:w="369"/>
        <w:gridCol w:w="2420"/>
      </w:tblGrid>
      <w:tr w14:paraId="28B68F51">
        <w:tblPrEx>
          <w:tblCellMar>
            <w:top w:w="0" w:type="dxa"/>
            <w:left w:w="108" w:type="dxa"/>
            <w:bottom w:w="0" w:type="dxa"/>
            <w:right w:w="108" w:type="dxa"/>
          </w:tblCellMar>
        </w:tblPrEx>
        <w:trPr>
          <w:trHeight w:val="193" w:hRule="atLeast"/>
          <w:jc w:val="center"/>
        </w:trPr>
        <w:tc>
          <w:tcPr>
            <w:tcW w:w="3017" w:type="dxa"/>
            <w:tcBorders>
              <w:bottom w:val="single" w:color="auto" w:sz="4" w:space="0"/>
            </w:tcBorders>
            <w:vAlign w:val="center"/>
          </w:tcPr>
          <w:p w14:paraId="58F3CE26">
            <w:pPr>
              <w:spacing w:before="120" w:after="120" w:line="420" w:lineRule="exact"/>
              <w:jc w:val="center"/>
              <w:rPr>
                <w:color w:val="000000" w:themeColor="text1"/>
                <w:sz w:val="26"/>
                <w:szCs w:val="26"/>
                <w:lang w:val="vi-VN"/>
                <w14:textFill>
                  <w14:solidFill>
                    <w14:schemeClr w14:val="tx1"/>
                  </w14:solidFill>
                </w14:textFill>
              </w:rPr>
            </w:pPr>
            <w:r>
              <w:rPr>
                <w:b/>
                <w:bCs/>
                <w:color w:val="000000" w:themeColor="text1"/>
                <w:spacing w:val="-4"/>
                <w:sz w:val="26"/>
                <w:szCs w:val="26"/>
                <w14:textFill>
                  <w14:solidFill>
                    <w14:schemeClr w14:val="tx1"/>
                  </w14:solidFill>
                </w14:textFill>
              </w:rPr>
              <w:t xml:space="preserve">233.718.218.370 </w:t>
            </w:r>
            <w:r>
              <w:rPr>
                <w:color w:val="000000" w:themeColor="text1"/>
                <w:sz w:val="26"/>
                <w:szCs w:val="26"/>
                <w:lang w:val="it-IT"/>
                <w14:textFill>
                  <w14:solidFill>
                    <w14:schemeClr w14:val="tx1"/>
                  </w14:solidFill>
                </w14:textFill>
              </w:rPr>
              <w:t>đồng</w:t>
            </w:r>
          </w:p>
        </w:tc>
        <w:tc>
          <w:tcPr>
            <w:tcW w:w="369" w:type="dxa"/>
            <w:vMerge w:val="restart"/>
            <w:vAlign w:val="center"/>
          </w:tcPr>
          <w:p w14:paraId="1C387DD2">
            <w:pPr>
              <w:spacing w:before="120" w:after="120" w:line="420" w:lineRule="exact"/>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w:t>
            </w:r>
          </w:p>
        </w:tc>
        <w:tc>
          <w:tcPr>
            <w:tcW w:w="2420" w:type="dxa"/>
            <w:vMerge w:val="restart"/>
            <w:vAlign w:val="center"/>
          </w:tcPr>
          <w:p w14:paraId="3E3F97FD">
            <w:pPr>
              <w:spacing w:before="120" w:after="120" w:line="420" w:lineRule="exact"/>
              <w:rPr>
                <w:b/>
                <w:color w:val="000000" w:themeColor="text1"/>
                <w:sz w:val="26"/>
                <w:szCs w:val="26"/>
                <w:vertAlign w:val="superscript"/>
                <w14:textFill>
                  <w14:solidFill>
                    <w14:schemeClr w14:val="tx1"/>
                  </w14:solidFill>
                </w14:textFill>
              </w:rPr>
            </w:pPr>
            <w:r>
              <w:rPr>
                <w:b/>
                <w:color w:val="000000" w:themeColor="text1"/>
                <w:sz w:val="26"/>
                <w:szCs w:val="26"/>
                <w14:textFill>
                  <w14:solidFill>
                    <w14:schemeClr w14:val="tx1"/>
                  </w14:solidFill>
                </w14:textFill>
              </w:rPr>
              <w:t>4.015.550 đồng/m</w:t>
            </w:r>
            <w:r>
              <w:rPr>
                <w:b/>
                <w:color w:val="000000" w:themeColor="text1"/>
                <w:sz w:val="26"/>
                <w:szCs w:val="26"/>
                <w:vertAlign w:val="superscript"/>
                <w14:textFill>
                  <w14:solidFill>
                    <w14:schemeClr w14:val="tx1"/>
                  </w14:solidFill>
                </w14:textFill>
              </w:rPr>
              <w:t>2</w:t>
            </w:r>
          </w:p>
        </w:tc>
      </w:tr>
      <w:tr w14:paraId="39E0BB4E">
        <w:tblPrEx>
          <w:tblCellMar>
            <w:top w:w="0" w:type="dxa"/>
            <w:left w:w="108" w:type="dxa"/>
            <w:bottom w:w="0" w:type="dxa"/>
            <w:right w:w="108" w:type="dxa"/>
          </w:tblCellMar>
        </w:tblPrEx>
        <w:trPr>
          <w:trHeight w:val="502" w:hRule="atLeast"/>
          <w:jc w:val="center"/>
        </w:trPr>
        <w:tc>
          <w:tcPr>
            <w:tcW w:w="3017" w:type="dxa"/>
            <w:tcBorders>
              <w:top w:val="single" w:color="auto" w:sz="4" w:space="0"/>
            </w:tcBorders>
            <w:vAlign w:val="center"/>
          </w:tcPr>
          <w:p w14:paraId="7EA4D80F">
            <w:pPr>
              <w:spacing w:before="120" w:after="120" w:line="420" w:lineRule="exact"/>
              <w:jc w:val="center"/>
              <w:rPr>
                <w:color w:val="000000" w:themeColor="text1"/>
                <w:sz w:val="26"/>
                <w:szCs w:val="26"/>
                <w:vertAlign w:val="superscript"/>
                <w14:textFill>
                  <w14:solidFill>
                    <w14:schemeClr w14:val="tx1"/>
                  </w14:solidFill>
                </w14:textFill>
              </w:rPr>
            </w:pPr>
            <w:r>
              <w:rPr>
                <w:color w:val="000000" w:themeColor="text1"/>
                <w:sz w:val="26"/>
                <w:szCs w:val="26"/>
                <w14:textFill>
                  <w14:solidFill>
                    <w14:schemeClr w14:val="tx1"/>
                  </w14:solidFill>
                </w14:textFill>
              </w:rPr>
              <w:t>58.203,4 m</w:t>
            </w:r>
            <w:r>
              <w:rPr>
                <w:color w:val="000000" w:themeColor="text1"/>
                <w:sz w:val="26"/>
                <w:szCs w:val="26"/>
                <w:vertAlign w:val="superscript"/>
                <w14:textFill>
                  <w14:solidFill>
                    <w14:schemeClr w14:val="tx1"/>
                  </w14:solidFill>
                </w14:textFill>
              </w:rPr>
              <w:t>2</w:t>
            </w:r>
          </w:p>
        </w:tc>
        <w:tc>
          <w:tcPr>
            <w:tcW w:w="369" w:type="dxa"/>
            <w:vMerge w:val="continue"/>
          </w:tcPr>
          <w:p w14:paraId="1501BC26">
            <w:pPr>
              <w:spacing w:before="120" w:after="120" w:line="420" w:lineRule="exact"/>
              <w:jc w:val="both"/>
              <w:rPr>
                <w:color w:val="000000" w:themeColor="text1"/>
                <w:sz w:val="26"/>
                <w:szCs w:val="26"/>
                <w:lang w:val="vi-VN"/>
                <w14:textFill>
                  <w14:solidFill>
                    <w14:schemeClr w14:val="tx1"/>
                  </w14:solidFill>
                </w14:textFill>
              </w:rPr>
            </w:pPr>
          </w:p>
        </w:tc>
        <w:tc>
          <w:tcPr>
            <w:tcW w:w="2420" w:type="dxa"/>
            <w:vMerge w:val="continue"/>
          </w:tcPr>
          <w:p w14:paraId="7E9BCBA7">
            <w:pPr>
              <w:spacing w:before="120" w:after="120" w:line="420" w:lineRule="exact"/>
              <w:jc w:val="both"/>
              <w:rPr>
                <w:color w:val="000000" w:themeColor="text1"/>
                <w:sz w:val="26"/>
                <w:szCs w:val="26"/>
                <w:lang w:val="vi-VN"/>
                <w14:textFill>
                  <w14:solidFill>
                    <w14:schemeClr w14:val="tx1"/>
                  </w14:solidFill>
                </w14:textFill>
              </w:rPr>
            </w:pPr>
          </w:p>
        </w:tc>
      </w:tr>
    </w:tbl>
    <w:p w14:paraId="7D7E8011">
      <w:pPr>
        <w:widowControl w:val="0"/>
        <w:spacing w:before="120" w:after="120" w:line="420" w:lineRule="exact"/>
        <w:ind w:firstLine="567"/>
        <w:jc w:val="both"/>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Làm tròn: 4.016.000 đồng/m</w:t>
      </w:r>
      <w:r>
        <w:rPr>
          <w:b/>
          <w:bCs/>
          <w:iCs/>
          <w:color w:val="000000" w:themeColor="text1"/>
          <w:sz w:val="26"/>
          <w:szCs w:val="26"/>
          <w:vertAlign w:val="superscript"/>
          <w14:textFill>
            <w14:solidFill>
              <w14:schemeClr w14:val="tx1"/>
            </w14:solidFill>
          </w14:textFill>
        </w:rPr>
        <w:t>2</w:t>
      </w:r>
    </w:p>
    <w:p w14:paraId="4C057ACA">
      <w:pPr>
        <w:widowControl w:val="0"/>
        <w:spacing w:before="120" w:after="120" w:line="420" w:lineRule="exact"/>
        <w:ind w:firstLine="567"/>
        <w:jc w:val="both"/>
        <w:rPr>
          <w:b/>
          <w:color w:val="000000" w:themeColor="text1"/>
          <w:sz w:val="26"/>
          <w:szCs w:val="26"/>
          <w:lang w:val="vi-VN"/>
          <w14:textFill>
            <w14:solidFill>
              <w14:schemeClr w14:val="tx1"/>
            </w14:solidFill>
          </w14:textFill>
        </w:rPr>
      </w:pPr>
      <w:r>
        <w:rPr>
          <w:b/>
          <w:bCs/>
          <w:iCs/>
          <w:color w:val="000000" w:themeColor="text1"/>
          <w:sz w:val="26"/>
          <w:szCs w:val="26"/>
          <w:lang w:val="vi-VN"/>
          <w14:textFill>
            <w14:solidFill>
              <w14:schemeClr w14:val="tx1"/>
            </w14:solidFill>
          </w14:textFill>
        </w:rPr>
        <w:t xml:space="preserve">4. </w:t>
      </w:r>
      <w:bookmarkStart w:id="38" w:name="_Hlk171182093"/>
      <w:r>
        <w:rPr>
          <w:b/>
          <w:color w:val="000000" w:themeColor="text1"/>
          <w:sz w:val="26"/>
          <w:szCs w:val="26"/>
          <w:lang w:val="vi-VN"/>
          <w14:textFill>
            <w14:solidFill>
              <w14:schemeClr w14:val="tx1"/>
            </w14:solidFill>
          </w14:textFill>
        </w:rPr>
        <w:t xml:space="preserve">Giá trị diện tích </w:t>
      </w:r>
      <w:r>
        <w:rPr>
          <w:b/>
          <w:color w:val="000000" w:themeColor="text1"/>
          <w:sz w:val="26"/>
          <w:szCs w:val="26"/>
          <w14:textFill>
            <w14:solidFill>
              <w14:schemeClr w14:val="tx1"/>
            </w14:solidFill>
          </w14:textFill>
        </w:rPr>
        <w:t>34.702,2</w:t>
      </w:r>
      <w:r>
        <w:rPr>
          <w:b/>
          <w:color w:val="000000" w:themeColor="text1"/>
          <w:sz w:val="26"/>
          <w:szCs w:val="26"/>
          <w:lang w:val="vi-VN"/>
          <w14:textFill>
            <w14:solidFill>
              <w14:schemeClr w14:val="tx1"/>
            </w14:solidFill>
          </w14:textFill>
        </w:rPr>
        <w:t xml:space="preserve"> m2 đất giao có thu tiền sử dụng đất</w:t>
      </w:r>
      <w:r>
        <w:rPr>
          <w:b/>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 xml:space="preserve">(Tại quyết định </w:t>
      </w:r>
      <w:r>
        <w:rPr>
          <w:bCs/>
          <w:iCs/>
          <w:spacing w:val="-6"/>
          <w:sz w:val="26"/>
          <w:szCs w:val="26"/>
          <w:lang w:val="vi-VN"/>
        </w:rPr>
        <w:t xml:space="preserve">số </w:t>
      </w:r>
      <w:r>
        <w:rPr>
          <w:bCs/>
          <w:iCs/>
          <w:spacing w:val="-6"/>
          <w:sz w:val="26"/>
          <w:szCs w:val="26"/>
        </w:rPr>
        <w:t>8</w:t>
      </w:r>
      <w:r>
        <w:rPr>
          <w:bCs/>
          <w:iCs/>
          <w:spacing w:val="-6"/>
          <w:sz w:val="26"/>
          <w:szCs w:val="26"/>
          <w:lang w:val="vi-VN"/>
        </w:rPr>
        <w:t xml:space="preserve">6/QĐ-UBND ngày </w:t>
      </w:r>
      <w:r>
        <w:rPr>
          <w:bCs/>
          <w:iCs/>
          <w:spacing w:val="-6"/>
          <w:sz w:val="26"/>
          <w:szCs w:val="26"/>
        </w:rPr>
        <w:t>09</w:t>
      </w:r>
      <w:r>
        <w:rPr>
          <w:bCs/>
          <w:iCs/>
          <w:spacing w:val="-6"/>
          <w:sz w:val="26"/>
          <w:szCs w:val="26"/>
          <w:lang w:val="vi-VN"/>
        </w:rPr>
        <w:t xml:space="preserve"> tháng </w:t>
      </w:r>
      <w:r>
        <w:rPr>
          <w:bCs/>
          <w:iCs/>
          <w:spacing w:val="-6"/>
          <w:sz w:val="26"/>
          <w:szCs w:val="26"/>
        </w:rPr>
        <w:t>01</w:t>
      </w:r>
      <w:r>
        <w:rPr>
          <w:bCs/>
          <w:iCs/>
          <w:spacing w:val="-6"/>
          <w:sz w:val="26"/>
          <w:szCs w:val="26"/>
          <w:lang w:val="vi-VN"/>
        </w:rPr>
        <w:t xml:space="preserve"> năm 202</w:t>
      </w:r>
      <w:r>
        <w:rPr>
          <w:bCs/>
          <w:iCs/>
          <w:spacing w:val="-6"/>
          <w:sz w:val="26"/>
          <w:szCs w:val="26"/>
        </w:rPr>
        <w:t>5</w:t>
      </w:r>
      <w:r>
        <w:rPr>
          <w:bCs/>
          <w:iCs/>
          <w:spacing w:val="-6"/>
          <w:sz w:val="26"/>
          <w:szCs w:val="26"/>
          <w:lang w:val="vi-VN"/>
        </w:rPr>
        <w:t xml:space="preserve"> của UBND tỉnh Lạng Sơn Về việc giao đất cho Liên danh Công ty Cổ phần Đầu tư xây dựng hạ tầng Chi Lăng và Công ty Cổ phần Tập đoàn BGI để thực hiện dự án Khu đô thị </w:t>
      </w:r>
      <w:r>
        <w:rPr>
          <w:bCs/>
          <w:iCs/>
          <w:spacing w:val="-6"/>
          <w:sz w:val="26"/>
          <w:szCs w:val="26"/>
        </w:rPr>
        <w:t>phía Đông Nam, thị trấn Đồng Mỏ (nay là xã Chi Lăng, tỉnh Lạng Sơn) (đợt 1)</w:t>
      </w:r>
      <w:r>
        <w:rPr>
          <w:bCs/>
          <w:sz w:val="26"/>
          <w:szCs w:val="26"/>
          <w:lang w:val="vi-VN"/>
        </w:rPr>
        <w:t xml:space="preserve"> </w:t>
      </w:r>
      <w:r>
        <w:rPr>
          <w:bCs/>
          <w:color w:val="000000" w:themeColor="text1"/>
          <w:sz w:val="26"/>
          <w:szCs w:val="26"/>
          <w:lang w:val="vi-VN"/>
          <w14:textFill>
            <w14:solidFill>
              <w14:schemeClr w14:val="tx1"/>
            </w14:solidFill>
          </w14:textFill>
        </w:rPr>
        <w:t>là</w:t>
      </w:r>
      <w:r>
        <w:rPr>
          <w:b/>
          <w:color w:val="000000" w:themeColor="text1"/>
          <w:sz w:val="26"/>
          <w:szCs w:val="26"/>
          <w:lang w:val="vi-VN"/>
          <w14:textFill>
            <w14:solidFill>
              <w14:schemeClr w14:val="tx1"/>
            </w14:solidFill>
          </w14:textFill>
        </w:rPr>
        <w:t>:</w:t>
      </w:r>
    </w:p>
    <w:p w14:paraId="09448335">
      <w:pPr>
        <w:spacing w:before="120" w:after="120" w:line="420" w:lineRule="exact"/>
        <w:ind w:firstLine="567"/>
        <w:jc w:val="both"/>
        <w:rPr>
          <w:b/>
          <w:bCs/>
          <w:color w:val="000000" w:themeColor="text1"/>
          <w:sz w:val="26"/>
          <w:szCs w:val="26"/>
          <w:lang w:val="vi-VN"/>
          <w14:textFill>
            <w14:solidFill>
              <w14:schemeClr w14:val="tx1"/>
            </w14:solidFill>
          </w14:textFill>
        </w:rPr>
      </w:pPr>
      <w:r>
        <w:rPr>
          <w:iCs/>
          <w:color w:val="000000" w:themeColor="text1"/>
          <w:sz w:val="26"/>
          <w:szCs w:val="26"/>
          <w14:textFill>
            <w14:solidFill>
              <w14:schemeClr w14:val="tx1"/>
            </w14:solidFill>
          </w14:textFill>
        </w:rPr>
        <w:t>4.016.000</w:t>
      </w:r>
      <w:r>
        <w:rPr>
          <w:b/>
          <w:bCs/>
          <w:iCs/>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đồng/m</w:t>
      </w:r>
      <w:r>
        <w:rPr>
          <w:color w:val="000000" w:themeColor="text1"/>
          <w:sz w:val="26"/>
          <w:szCs w:val="26"/>
          <w:vertAlign w:val="superscript"/>
          <w:lang w:val="vi-VN"/>
          <w14:textFill>
            <w14:solidFill>
              <w14:schemeClr w14:val="tx1"/>
            </w14:solidFill>
          </w14:textFill>
        </w:rPr>
        <w:t>2</w:t>
      </w:r>
      <w:r>
        <w:rPr>
          <w:color w:val="000000" w:themeColor="text1"/>
          <w:sz w:val="26"/>
          <w:szCs w:val="26"/>
          <w:lang w:val="vi-VN"/>
          <w14:textFill>
            <w14:solidFill>
              <w14:schemeClr w14:val="tx1"/>
            </w14:solidFill>
          </w14:textFill>
        </w:rPr>
        <w:t xml:space="preserve"> * </w:t>
      </w:r>
      <w:r>
        <w:rPr>
          <w:color w:val="000000" w:themeColor="text1"/>
          <w:sz w:val="26"/>
          <w:szCs w:val="26"/>
          <w14:textFill>
            <w14:solidFill>
              <w14:schemeClr w14:val="tx1"/>
            </w14:solidFill>
          </w14:textFill>
        </w:rPr>
        <w:t>34.702,2</w:t>
      </w:r>
      <w:r>
        <w:rPr>
          <w:color w:val="000000" w:themeColor="text1"/>
          <w:sz w:val="26"/>
          <w:szCs w:val="26"/>
          <w:lang w:val="vi-VN"/>
          <w14:textFill>
            <w14:solidFill>
              <w14:schemeClr w14:val="tx1"/>
            </w14:solidFill>
          </w14:textFill>
        </w:rPr>
        <w:t xml:space="preserve"> m</w:t>
      </w:r>
      <w:r>
        <w:rPr>
          <w:color w:val="000000" w:themeColor="text1"/>
          <w:sz w:val="26"/>
          <w:szCs w:val="26"/>
          <w:vertAlign w:val="superscript"/>
          <w:lang w:val="vi-VN"/>
          <w14:textFill>
            <w14:solidFill>
              <w14:schemeClr w14:val="tx1"/>
            </w14:solidFill>
          </w14:textFill>
        </w:rPr>
        <w:t>2</w:t>
      </w:r>
      <w:r>
        <w:rPr>
          <w:color w:val="000000" w:themeColor="text1"/>
          <w:sz w:val="26"/>
          <w:szCs w:val="26"/>
          <w:lang w:val="vi-VN"/>
          <w14:textFill>
            <w14:solidFill>
              <w14:schemeClr w14:val="tx1"/>
            </w14:solidFill>
          </w14:textFill>
        </w:rPr>
        <w:t xml:space="preserve"> = </w:t>
      </w:r>
      <w:r>
        <w:rPr>
          <w:b/>
          <w:bCs/>
          <w:color w:val="000000" w:themeColor="text1"/>
          <w:sz w:val="26"/>
          <w:szCs w:val="26"/>
          <w14:textFill>
            <w14:solidFill>
              <w14:schemeClr w14:val="tx1"/>
            </w14:solidFill>
          </w14:textFill>
        </w:rPr>
        <w:t xml:space="preserve">139.364.035.200 </w:t>
      </w:r>
      <w:r>
        <w:rPr>
          <w:b/>
          <w:color w:val="000000" w:themeColor="text1"/>
          <w:sz w:val="26"/>
          <w:szCs w:val="26"/>
          <w:lang w:val="vi-VN"/>
          <w14:textFill>
            <w14:solidFill>
              <w14:schemeClr w14:val="tx1"/>
            </w14:solidFill>
          </w14:textFill>
        </w:rPr>
        <w:t>đồng</w:t>
      </w:r>
    </w:p>
    <w:p w14:paraId="246A4A58">
      <w:pPr>
        <w:widowControl w:val="0"/>
        <w:spacing w:before="120" w:after="120" w:line="420" w:lineRule="exact"/>
        <w:ind w:firstLine="567"/>
        <w:jc w:val="both"/>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 xml:space="preserve">Làm tròn: </w:t>
      </w:r>
      <w:r>
        <w:rPr>
          <w:b/>
          <w:color w:val="000000" w:themeColor="text1"/>
          <w:sz w:val="26"/>
          <w:szCs w:val="26"/>
          <w14:textFill>
            <w14:solidFill>
              <w14:schemeClr w14:val="tx1"/>
            </w14:solidFill>
          </w14:textFill>
        </w:rPr>
        <w:t xml:space="preserve">139.364.040.000 </w:t>
      </w:r>
      <w:r>
        <w:rPr>
          <w:b/>
          <w:color w:val="000000" w:themeColor="text1"/>
          <w:sz w:val="26"/>
          <w:szCs w:val="26"/>
          <w:lang w:val="vi-VN"/>
          <w14:textFill>
            <w14:solidFill>
              <w14:schemeClr w14:val="tx1"/>
            </w14:solidFill>
          </w14:textFill>
        </w:rPr>
        <w:t>đồng</w:t>
      </w:r>
    </w:p>
    <w:bookmarkEnd w:id="38"/>
    <w:p w14:paraId="4007A714">
      <w:pPr>
        <w:tabs>
          <w:tab w:val="left" w:pos="3590"/>
        </w:tabs>
        <w:rPr>
          <w:sz w:val="26"/>
          <w:szCs w:val="26"/>
          <w:lang w:val="da-DK"/>
        </w:rPr>
        <w:sectPr>
          <w:pgSz w:w="11905" w:h="16838"/>
          <w:pgMar w:top="1134" w:right="1134" w:bottom="1134" w:left="1701" w:header="720" w:footer="720" w:gutter="0"/>
          <w:cols w:space="0" w:num="1"/>
          <w:docGrid w:linePitch="367" w:charSpace="0"/>
        </w:sectPr>
      </w:pPr>
    </w:p>
    <w:p w14:paraId="559EA48B">
      <w:pPr>
        <w:widowControl w:val="0"/>
        <w:spacing w:before="120" w:after="120" w:line="400" w:lineRule="exact"/>
        <w:jc w:val="center"/>
        <w:rPr>
          <w:b/>
          <w:bCs/>
          <w:iCs/>
          <w:color w:val="000000" w:themeColor="text1"/>
          <w:spacing w:val="-8"/>
          <w:sz w:val="26"/>
          <w:szCs w:val="26"/>
          <w:lang w:val="vi-VN"/>
          <w14:textFill>
            <w14:solidFill>
              <w14:schemeClr w14:val="tx1"/>
            </w14:solidFill>
          </w14:textFill>
        </w:rPr>
      </w:pPr>
      <w:bookmarkStart w:id="39" w:name="_Hlk145478361"/>
      <w:bookmarkStart w:id="40" w:name="_Hlk192369645"/>
      <w:r>
        <w:rPr>
          <w:b/>
          <w:bCs/>
          <w:iCs/>
          <w:color w:val="000000" w:themeColor="text1"/>
          <w:spacing w:val="-8"/>
          <w:sz w:val="26"/>
          <w:szCs w:val="26"/>
          <w:lang w:val="vi-VN"/>
          <w14:textFill>
            <w14:solidFill>
              <w14:schemeClr w14:val="tx1"/>
            </w14:solidFill>
          </w14:textFill>
        </w:rPr>
        <w:t>CHI TIẾT BẢNG TỔNG HỢP GIÁ TRỊ PHÁT TRIỂN CỦA DỰ ÁN ĐỊNH GIÁ</w:t>
      </w:r>
      <w:bookmarkEnd w:id="39"/>
    </w:p>
    <w:bookmarkEnd w:id="40"/>
    <w:tbl>
      <w:tblPr>
        <w:tblStyle w:val="9"/>
        <w:tblW w:w="5000" w:type="pct"/>
        <w:tblInd w:w="0" w:type="dxa"/>
        <w:tblLayout w:type="autofit"/>
        <w:tblCellMar>
          <w:top w:w="0" w:type="dxa"/>
          <w:left w:w="108" w:type="dxa"/>
          <w:bottom w:w="0" w:type="dxa"/>
          <w:right w:w="108" w:type="dxa"/>
        </w:tblCellMar>
      </w:tblPr>
      <w:tblGrid>
        <w:gridCol w:w="626"/>
        <w:gridCol w:w="3679"/>
        <w:gridCol w:w="1228"/>
        <w:gridCol w:w="1971"/>
        <w:gridCol w:w="1782"/>
      </w:tblGrid>
      <w:tr w14:paraId="55240D69">
        <w:tblPrEx>
          <w:tblCellMar>
            <w:top w:w="0" w:type="dxa"/>
            <w:left w:w="108" w:type="dxa"/>
            <w:bottom w:w="0" w:type="dxa"/>
            <w:right w:w="108" w:type="dxa"/>
          </w:tblCellMar>
        </w:tblPrEx>
        <w:trPr>
          <w:trHeight w:val="20" w:hRule="atLeast"/>
        </w:trPr>
        <w:tc>
          <w:tcPr>
            <w:tcW w:w="371" w:type="pct"/>
            <w:tcBorders>
              <w:top w:val="single" w:color="auto" w:sz="4" w:space="0"/>
              <w:left w:val="single" w:color="auto" w:sz="4" w:space="0"/>
              <w:bottom w:val="single" w:color="auto" w:sz="4" w:space="0"/>
              <w:right w:val="single" w:color="auto" w:sz="4" w:space="0"/>
            </w:tcBorders>
            <w:vAlign w:val="center"/>
          </w:tcPr>
          <w:p w14:paraId="3DB1FB6C">
            <w:pPr>
              <w:jc w:val="center"/>
              <w:rPr>
                <w:b/>
                <w:bCs/>
                <w:color w:val="000000"/>
                <w:sz w:val="26"/>
                <w:szCs w:val="26"/>
              </w:rPr>
            </w:pPr>
            <w:r>
              <w:rPr>
                <w:b/>
                <w:bCs/>
                <w:color w:val="000000"/>
                <w:sz w:val="26"/>
                <w:szCs w:val="26"/>
              </w:rPr>
              <w:t>TT</w:t>
            </w:r>
          </w:p>
        </w:tc>
        <w:tc>
          <w:tcPr>
            <w:tcW w:w="2015" w:type="pct"/>
            <w:tcBorders>
              <w:top w:val="single" w:color="auto" w:sz="4" w:space="0"/>
              <w:left w:val="nil"/>
              <w:bottom w:val="single" w:color="auto" w:sz="4" w:space="0"/>
              <w:right w:val="single" w:color="auto" w:sz="4" w:space="0"/>
            </w:tcBorders>
            <w:vAlign w:val="center"/>
          </w:tcPr>
          <w:p w14:paraId="70074555">
            <w:pPr>
              <w:jc w:val="center"/>
              <w:rPr>
                <w:b/>
                <w:bCs/>
                <w:color w:val="000000"/>
                <w:sz w:val="26"/>
                <w:szCs w:val="26"/>
              </w:rPr>
            </w:pPr>
            <w:r>
              <w:rPr>
                <w:b/>
                <w:bCs/>
                <w:color w:val="000000"/>
                <w:sz w:val="26"/>
                <w:szCs w:val="26"/>
              </w:rPr>
              <w:t>NỘI DUNG</w:t>
            </w:r>
          </w:p>
        </w:tc>
        <w:tc>
          <w:tcPr>
            <w:tcW w:w="654" w:type="pct"/>
            <w:tcBorders>
              <w:top w:val="single" w:color="auto" w:sz="4" w:space="0"/>
              <w:left w:val="nil"/>
              <w:bottom w:val="single" w:color="auto" w:sz="4" w:space="0"/>
              <w:right w:val="single" w:color="auto" w:sz="4" w:space="0"/>
            </w:tcBorders>
            <w:vAlign w:val="center"/>
          </w:tcPr>
          <w:p w14:paraId="61FBCBAF">
            <w:pPr>
              <w:jc w:val="center"/>
              <w:rPr>
                <w:b/>
                <w:bCs/>
                <w:color w:val="000000"/>
                <w:sz w:val="26"/>
                <w:szCs w:val="26"/>
              </w:rPr>
            </w:pPr>
            <w:r>
              <w:rPr>
                <w:b/>
                <w:bCs/>
                <w:color w:val="000000"/>
                <w:sz w:val="26"/>
                <w:szCs w:val="26"/>
              </w:rPr>
              <w:t>Đơn vị tính</w:t>
            </w:r>
          </w:p>
        </w:tc>
        <w:tc>
          <w:tcPr>
            <w:tcW w:w="967" w:type="pct"/>
            <w:tcBorders>
              <w:top w:val="single" w:color="auto" w:sz="4" w:space="0"/>
              <w:left w:val="nil"/>
              <w:bottom w:val="single" w:color="auto" w:sz="4" w:space="0"/>
              <w:right w:val="single" w:color="auto" w:sz="4" w:space="0"/>
            </w:tcBorders>
            <w:vAlign w:val="center"/>
          </w:tcPr>
          <w:p w14:paraId="13C1D184">
            <w:pPr>
              <w:jc w:val="center"/>
              <w:rPr>
                <w:b/>
                <w:bCs/>
                <w:color w:val="000000"/>
                <w:sz w:val="26"/>
                <w:szCs w:val="26"/>
              </w:rPr>
            </w:pPr>
            <w:r>
              <w:rPr>
                <w:b/>
                <w:bCs/>
                <w:color w:val="000000"/>
                <w:sz w:val="26"/>
                <w:szCs w:val="26"/>
              </w:rPr>
              <w:t>Thành tiền</w:t>
            </w:r>
          </w:p>
        </w:tc>
        <w:tc>
          <w:tcPr>
            <w:tcW w:w="993" w:type="pct"/>
            <w:tcBorders>
              <w:top w:val="single" w:color="auto" w:sz="4" w:space="0"/>
              <w:left w:val="nil"/>
              <w:bottom w:val="single" w:color="auto" w:sz="4" w:space="0"/>
              <w:right w:val="single" w:color="auto" w:sz="4" w:space="0"/>
            </w:tcBorders>
            <w:vAlign w:val="center"/>
          </w:tcPr>
          <w:p w14:paraId="0D8F7FBC">
            <w:pPr>
              <w:jc w:val="center"/>
              <w:rPr>
                <w:b/>
                <w:bCs/>
                <w:color w:val="000000"/>
                <w:sz w:val="26"/>
                <w:szCs w:val="26"/>
              </w:rPr>
            </w:pPr>
            <w:r>
              <w:rPr>
                <w:b/>
                <w:bCs/>
                <w:color w:val="000000"/>
                <w:sz w:val="26"/>
                <w:szCs w:val="26"/>
              </w:rPr>
              <w:t>Ký hiệu</w:t>
            </w:r>
          </w:p>
        </w:tc>
      </w:tr>
      <w:tr w14:paraId="3CF8C384">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6323653C">
            <w:pPr>
              <w:jc w:val="center"/>
              <w:rPr>
                <w:b/>
                <w:bCs/>
                <w:color w:val="000000"/>
                <w:sz w:val="26"/>
                <w:szCs w:val="26"/>
              </w:rPr>
            </w:pPr>
            <w:r>
              <w:rPr>
                <w:b/>
                <w:bCs/>
                <w:color w:val="000000"/>
                <w:sz w:val="26"/>
                <w:szCs w:val="26"/>
              </w:rPr>
              <w:t>I</w:t>
            </w:r>
          </w:p>
        </w:tc>
        <w:tc>
          <w:tcPr>
            <w:tcW w:w="2015" w:type="pct"/>
            <w:tcBorders>
              <w:top w:val="nil"/>
              <w:left w:val="nil"/>
              <w:bottom w:val="single" w:color="auto" w:sz="4" w:space="0"/>
              <w:right w:val="single" w:color="auto" w:sz="4" w:space="0"/>
            </w:tcBorders>
            <w:vAlign w:val="center"/>
          </w:tcPr>
          <w:p w14:paraId="5FEFA4CF">
            <w:pPr>
              <w:rPr>
                <w:b/>
                <w:bCs/>
                <w:color w:val="000000"/>
                <w:sz w:val="26"/>
                <w:szCs w:val="26"/>
              </w:rPr>
            </w:pPr>
            <w:r>
              <w:rPr>
                <w:b/>
                <w:bCs/>
                <w:color w:val="000000"/>
                <w:sz w:val="26"/>
                <w:szCs w:val="26"/>
              </w:rPr>
              <w:t>DOANH THU PHÁT TRIỂN</w:t>
            </w:r>
          </w:p>
        </w:tc>
        <w:tc>
          <w:tcPr>
            <w:tcW w:w="654" w:type="pct"/>
            <w:tcBorders>
              <w:top w:val="nil"/>
              <w:left w:val="nil"/>
              <w:bottom w:val="single" w:color="auto" w:sz="4" w:space="0"/>
              <w:right w:val="single" w:color="auto" w:sz="4" w:space="0"/>
            </w:tcBorders>
            <w:vAlign w:val="center"/>
          </w:tcPr>
          <w:p w14:paraId="07927644">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18CFB2BF">
            <w:pPr>
              <w:jc w:val="center"/>
              <w:rPr>
                <w:b/>
                <w:bCs/>
                <w:color w:val="000000"/>
                <w:sz w:val="26"/>
                <w:szCs w:val="26"/>
              </w:rPr>
            </w:pPr>
            <w:r>
              <w:rPr>
                <w:b/>
                <w:bCs/>
                <w:color w:val="000000"/>
                <w:sz w:val="26"/>
                <w:szCs w:val="26"/>
              </w:rPr>
              <w:t>826.051.566.484</w:t>
            </w:r>
          </w:p>
        </w:tc>
        <w:tc>
          <w:tcPr>
            <w:tcW w:w="993" w:type="pct"/>
            <w:tcBorders>
              <w:top w:val="nil"/>
              <w:left w:val="nil"/>
              <w:bottom w:val="single" w:color="auto" w:sz="4" w:space="0"/>
              <w:right w:val="single" w:color="auto" w:sz="4" w:space="0"/>
            </w:tcBorders>
            <w:vAlign w:val="center"/>
          </w:tcPr>
          <w:p w14:paraId="73090B05">
            <w:pPr>
              <w:jc w:val="center"/>
              <w:rPr>
                <w:color w:val="000000"/>
                <w:sz w:val="26"/>
                <w:szCs w:val="26"/>
              </w:rPr>
            </w:pPr>
            <w:r>
              <w:rPr>
                <w:color w:val="000000"/>
                <w:sz w:val="26"/>
                <w:szCs w:val="26"/>
              </w:rPr>
              <w:t>DT</w:t>
            </w:r>
          </w:p>
        </w:tc>
      </w:tr>
      <w:tr w14:paraId="162E0BE9">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2E716CCE">
            <w:pPr>
              <w:jc w:val="center"/>
              <w:rPr>
                <w:color w:val="000000"/>
                <w:sz w:val="26"/>
                <w:szCs w:val="26"/>
              </w:rPr>
            </w:pPr>
            <w:r>
              <w:rPr>
                <w:color w:val="000000"/>
                <w:sz w:val="26"/>
                <w:szCs w:val="26"/>
              </w:rPr>
              <w:t>1</w:t>
            </w:r>
          </w:p>
        </w:tc>
        <w:tc>
          <w:tcPr>
            <w:tcW w:w="2015" w:type="pct"/>
            <w:tcBorders>
              <w:top w:val="nil"/>
              <w:left w:val="nil"/>
              <w:bottom w:val="single" w:color="auto" w:sz="4" w:space="0"/>
              <w:right w:val="single" w:color="auto" w:sz="4" w:space="0"/>
            </w:tcBorders>
            <w:vAlign w:val="center"/>
          </w:tcPr>
          <w:p w14:paraId="5067EA1C">
            <w:pPr>
              <w:rPr>
                <w:color w:val="000000"/>
                <w:sz w:val="26"/>
                <w:szCs w:val="26"/>
              </w:rPr>
            </w:pPr>
            <w:r>
              <w:rPr>
                <w:color w:val="000000"/>
                <w:sz w:val="26"/>
                <w:szCs w:val="26"/>
              </w:rPr>
              <w:t>Doanh thu bán đất có nhà ở thấp tầng liền kề và biệt thự xây thô</w:t>
            </w:r>
          </w:p>
        </w:tc>
        <w:tc>
          <w:tcPr>
            <w:tcW w:w="654" w:type="pct"/>
            <w:tcBorders>
              <w:top w:val="nil"/>
              <w:left w:val="nil"/>
              <w:bottom w:val="single" w:color="auto" w:sz="4" w:space="0"/>
              <w:right w:val="single" w:color="auto" w:sz="4" w:space="0"/>
            </w:tcBorders>
            <w:vAlign w:val="center"/>
          </w:tcPr>
          <w:p w14:paraId="3D8D14C1">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68620F1F">
            <w:pPr>
              <w:jc w:val="center"/>
              <w:rPr>
                <w:color w:val="000000"/>
                <w:sz w:val="26"/>
                <w:szCs w:val="26"/>
              </w:rPr>
            </w:pPr>
            <w:r>
              <w:rPr>
                <w:color w:val="000000"/>
                <w:sz w:val="26"/>
                <w:szCs w:val="26"/>
              </w:rPr>
              <w:t>826.051.566.484</w:t>
            </w:r>
          </w:p>
        </w:tc>
        <w:tc>
          <w:tcPr>
            <w:tcW w:w="993" w:type="pct"/>
            <w:tcBorders>
              <w:top w:val="nil"/>
              <w:left w:val="nil"/>
              <w:bottom w:val="single" w:color="auto" w:sz="4" w:space="0"/>
              <w:right w:val="single" w:color="auto" w:sz="4" w:space="0"/>
            </w:tcBorders>
            <w:vAlign w:val="center"/>
          </w:tcPr>
          <w:p w14:paraId="14EAFE64">
            <w:pPr>
              <w:jc w:val="center"/>
              <w:rPr>
                <w:i/>
                <w:iCs/>
                <w:color w:val="000000"/>
                <w:sz w:val="26"/>
                <w:szCs w:val="26"/>
              </w:rPr>
            </w:pPr>
            <w:r>
              <w:rPr>
                <w:i/>
                <w:iCs/>
                <w:color w:val="000000"/>
                <w:sz w:val="26"/>
                <w:szCs w:val="26"/>
              </w:rPr>
              <w:t>DT LK</w:t>
            </w:r>
          </w:p>
        </w:tc>
      </w:tr>
      <w:tr w14:paraId="5EF6D6ED">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7F8BAB5A">
            <w:pPr>
              <w:jc w:val="center"/>
              <w:rPr>
                <w:b/>
                <w:bCs/>
                <w:i/>
                <w:iCs/>
                <w:color w:val="000000"/>
                <w:sz w:val="26"/>
                <w:szCs w:val="26"/>
              </w:rPr>
            </w:pPr>
          </w:p>
        </w:tc>
        <w:tc>
          <w:tcPr>
            <w:tcW w:w="2015" w:type="pct"/>
            <w:tcBorders>
              <w:top w:val="nil"/>
              <w:left w:val="nil"/>
              <w:bottom w:val="single" w:color="auto" w:sz="4" w:space="0"/>
              <w:right w:val="single" w:color="auto" w:sz="4" w:space="0"/>
            </w:tcBorders>
            <w:vAlign w:val="center"/>
          </w:tcPr>
          <w:p w14:paraId="2C39A75D">
            <w:pPr>
              <w:rPr>
                <w:b/>
                <w:bCs/>
                <w:i/>
                <w:iCs/>
                <w:color w:val="000000"/>
                <w:sz w:val="26"/>
                <w:szCs w:val="26"/>
              </w:rPr>
            </w:pPr>
            <w:r>
              <w:rPr>
                <w:b/>
                <w:bCs/>
                <w:i/>
                <w:iCs/>
                <w:color w:val="000000"/>
                <w:sz w:val="26"/>
                <w:szCs w:val="26"/>
              </w:rPr>
              <w:t>Doanh thu quy về thời điểm hiện tại</w:t>
            </w:r>
          </w:p>
        </w:tc>
        <w:tc>
          <w:tcPr>
            <w:tcW w:w="654" w:type="pct"/>
            <w:tcBorders>
              <w:top w:val="nil"/>
              <w:left w:val="nil"/>
              <w:bottom w:val="single" w:color="auto" w:sz="4" w:space="0"/>
              <w:right w:val="single" w:color="auto" w:sz="4" w:space="0"/>
            </w:tcBorders>
            <w:vAlign w:val="center"/>
          </w:tcPr>
          <w:p w14:paraId="3AD66471">
            <w:pPr>
              <w:jc w:val="center"/>
              <w:rPr>
                <w:b/>
                <w:bCs/>
                <w:i/>
                <w:iCs/>
                <w:color w:val="000000"/>
                <w:sz w:val="26"/>
                <w:szCs w:val="26"/>
              </w:rPr>
            </w:pPr>
            <w:r>
              <w:rPr>
                <w:b/>
                <w:bCs/>
                <w:i/>
                <w:iCs/>
                <w:color w:val="000000"/>
                <w:sz w:val="26"/>
                <w:szCs w:val="26"/>
              </w:rPr>
              <w:t>Đồng</w:t>
            </w:r>
          </w:p>
        </w:tc>
        <w:tc>
          <w:tcPr>
            <w:tcW w:w="967" w:type="pct"/>
            <w:tcBorders>
              <w:top w:val="nil"/>
              <w:left w:val="nil"/>
              <w:bottom w:val="single" w:color="auto" w:sz="4" w:space="0"/>
              <w:right w:val="single" w:color="auto" w:sz="4" w:space="0"/>
            </w:tcBorders>
            <w:vAlign w:val="center"/>
          </w:tcPr>
          <w:p w14:paraId="4DD80BBB">
            <w:pPr>
              <w:jc w:val="center"/>
              <w:rPr>
                <w:b/>
                <w:bCs/>
                <w:i/>
                <w:iCs/>
                <w:color w:val="000000"/>
                <w:sz w:val="26"/>
                <w:szCs w:val="26"/>
              </w:rPr>
            </w:pPr>
            <w:r>
              <w:rPr>
                <w:b/>
                <w:bCs/>
                <w:i/>
                <w:iCs/>
                <w:color w:val="000000"/>
                <w:sz w:val="26"/>
                <w:szCs w:val="26"/>
              </w:rPr>
              <w:t>619.169.789.514</w:t>
            </w:r>
          </w:p>
        </w:tc>
        <w:tc>
          <w:tcPr>
            <w:tcW w:w="993" w:type="pct"/>
            <w:tcBorders>
              <w:top w:val="nil"/>
              <w:left w:val="nil"/>
              <w:bottom w:val="single" w:color="auto" w:sz="4" w:space="0"/>
              <w:right w:val="single" w:color="auto" w:sz="4" w:space="0"/>
            </w:tcBorders>
            <w:vAlign w:val="center"/>
          </w:tcPr>
          <w:p w14:paraId="7446E61D">
            <w:pPr>
              <w:jc w:val="center"/>
              <w:rPr>
                <w:i/>
                <w:iCs/>
                <w:color w:val="000000"/>
                <w:sz w:val="26"/>
                <w:szCs w:val="26"/>
              </w:rPr>
            </w:pPr>
            <w:r>
              <w:rPr>
                <w:i/>
                <w:iCs/>
                <w:color w:val="000000"/>
                <w:sz w:val="26"/>
                <w:szCs w:val="26"/>
              </w:rPr>
              <w:t>DTo</w:t>
            </w:r>
          </w:p>
        </w:tc>
      </w:tr>
      <w:tr w14:paraId="177FC031">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3EA02D9F">
            <w:pPr>
              <w:jc w:val="center"/>
              <w:rPr>
                <w:b/>
                <w:bCs/>
                <w:color w:val="000000"/>
                <w:sz w:val="26"/>
                <w:szCs w:val="26"/>
              </w:rPr>
            </w:pPr>
            <w:r>
              <w:rPr>
                <w:b/>
                <w:bCs/>
                <w:color w:val="000000"/>
                <w:sz w:val="26"/>
                <w:szCs w:val="26"/>
              </w:rPr>
              <w:t>II</w:t>
            </w:r>
          </w:p>
        </w:tc>
        <w:tc>
          <w:tcPr>
            <w:tcW w:w="2015" w:type="pct"/>
            <w:tcBorders>
              <w:top w:val="nil"/>
              <w:left w:val="nil"/>
              <w:bottom w:val="single" w:color="auto" w:sz="4" w:space="0"/>
              <w:right w:val="single" w:color="auto" w:sz="4" w:space="0"/>
            </w:tcBorders>
            <w:vAlign w:val="center"/>
          </w:tcPr>
          <w:p w14:paraId="2202F957">
            <w:pPr>
              <w:rPr>
                <w:b/>
                <w:bCs/>
                <w:color w:val="000000"/>
                <w:sz w:val="26"/>
                <w:szCs w:val="26"/>
              </w:rPr>
            </w:pPr>
            <w:r>
              <w:rPr>
                <w:b/>
                <w:bCs/>
                <w:color w:val="000000"/>
                <w:sz w:val="26"/>
                <w:szCs w:val="26"/>
              </w:rPr>
              <w:t>CHI PHÍ PHÁT TRIỂN</w:t>
            </w:r>
          </w:p>
        </w:tc>
        <w:tc>
          <w:tcPr>
            <w:tcW w:w="654" w:type="pct"/>
            <w:tcBorders>
              <w:top w:val="nil"/>
              <w:left w:val="nil"/>
              <w:bottom w:val="single" w:color="auto" w:sz="4" w:space="0"/>
              <w:right w:val="single" w:color="auto" w:sz="4" w:space="0"/>
            </w:tcBorders>
            <w:vAlign w:val="center"/>
          </w:tcPr>
          <w:p w14:paraId="67244A81">
            <w:pPr>
              <w:jc w:val="center"/>
              <w:rPr>
                <w:b/>
                <w:bCs/>
                <w:color w:val="000000"/>
                <w:sz w:val="26"/>
                <w:szCs w:val="26"/>
              </w:rPr>
            </w:pPr>
            <w:r>
              <w:rPr>
                <w:b/>
                <w:bCs/>
                <w:color w:val="000000"/>
                <w:sz w:val="26"/>
                <w:szCs w:val="26"/>
              </w:rPr>
              <w:t>Đồng</w:t>
            </w:r>
          </w:p>
        </w:tc>
        <w:tc>
          <w:tcPr>
            <w:tcW w:w="967" w:type="pct"/>
            <w:tcBorders>
              <w:top w:val="nil"/>
              <w:left w:val="nil"/>
              <w:bottom w:val="single" w:color="auto" w:sz="4" w:space="0"/>
              <w:right w:val="single" w:color="auto" w:sz="4" w:space="0"/>
            </w:tcBorders>
            <w:vAlign w:val="center"/>
          </w:tcPr>
          <w:p w14:paraId="764B3723">
            <w:pPr>
              <w:jc w:val="center"/>
              <w:rPr>
                <w:b/>
                <w:bCs/>
                <w:color w:val="000000"/>
                <w:sz w:val="26"/>
                <w:szCs w:val="26"/>
              </w:rPr>
            </w:pPr>
          </w:p>
        </w:tc>
        <w:tc>
          <w:tcPr>
            <w:tcW w:w="993" w:type="pct"/>
            <w:tcBorders>
              <w:top w:val="nil"/>
              <w:left w:val="nil"/>
              <w:bottom w:val="single" w:color="auto" w:sz="4" w:space="0"/>
              <w:right w:val="single" w:color="auto" w:sz="4" w:space="0"/>
            </w:tcBorders>
            <w:vAlign w:val="center"/>
          </w:tcPr>
          <w:p w14:paraId="3E8F38B8">
            <w:pPr>
              <w:jc w:val="center"/>
              <w:rPr>
                <w:color w:val="000000"/>
                <w:sz w:val="26"/>
                <w:szCs w:val="26"/>
              </w:rPr>
            </w:pPr>
            <w:r>
              <w:rPr>
                <w:color w:val="000000"/>
                <w:sz w:val="26"/>
                <w:szCs w:val="26"/>
              </w:rPr>
              <w:t>CP</w:t>
            </w:r>
          </w:p>
        </w:tc>
      </w:tr>
      <w:tr w14:paraId="11296439">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1AFCC702">
            <w:pPr>
              <w:jc w:val="center"/>
              <w:rPr>
                <w:color w:val="000000"/>
                <w:sz w:val="26"/>
                <w:szCs w:val="26"/>
              </w:rPr>
            </w:pPr>
            <w:r>
              <w:rPr>
                <w:color w:val="000000"/>
                <w:sz w:val="26"/>
                <w:szCs w:val="26"/>
              </w:rPr>
              <w:t>1</w:t>
            </w:r>
          </w:p>
        </w:tc>
        <w:tc>
          <w:tcPr>
            <w:tcW w:w="2015" w:type="pct"/>
            <w:tcBorders>
              <w:top w:val="nil"/>
              <w:left w:val="nil"/>
              <w:bottom w:val="single" w:color="auto" w:sz="4" w:space="0"/>
              <w:right w:val="single" w:color="auto" w:sz="4" w:space="0"/>
            </w:tcBorders>
            <w:vAlign w:val="center"/>
          </w:tcPr>
          <w:p w14:paraId="6E6B5BD5">
            <w:pPr>
              <w:rPr>
                <w:color w:val="000000"/>
                <w:sz w:val="26"/>
                <w:szCs w:val="26"/>
              </w:rPr>
            </w:pPr>
            <w:r>
              <w:rPr>
                <w:color w:val="000000"/>
                <w:sz w:val="26"/>
                <w:szCs w:val="26"/>
              </w:rPr>
              <w:t>Chi phí đầu tư xây dựng hạ tầng</w:t>
            </w:r>
          </w:p>
        </w:tc>
        <w:tc>
          <w:tcPr>
            <w:tcW w:w="654" w:type="pct"/>
            <w:tcBorders>
              <w:top w:val="nil"/>
              <w:left w:val="nil"/>
              <w:bottom w:val="single" w:color="auto" w:sz="4" w:space="0"/>
              <w:right w:val="single" w:color="auto" w:sz="4" w:space="0"/>
            </w:tcBorders>
            <w:vAlign w:val="center"/>
          </w:tcPr>
          <w:p w14:paraId="27AEFEDB">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7F73D06D">
            <w:pPr>
              <w:jc w:val="center"/>
              <w:rPr>
                <w:color w:val="000000"/>
                <w:sz w:val="26"/>
                <w:szCs w:val="26"/>
              </w:rPr>
            </w:pPr>
            <w:r>
              <w:rPr>
                <w:color w:val="000000"/>
                <w:sz w:val="26"/>
                <w:szCs w:val="26"/>
              </w:rPr>
              <w:t>223.482.665.376</w:t>
            </w:r>
          </w:p>
        </w:tc>
        <w:tc>
          <w:tcPr>
            <w:tcW w:w="993" w:type="pct"/>
            <w:tcBorders>
              <w:top w:val="nil"/>
              <w:left w:val="nil"/>
              <w:bottom w:val="single" w:color="auto" w:sz="4" w:space="0"/>
              <w:right w:val="single" w:color="auto" w:sz="4" w:space="0"/>
            </w:tcBorders>
            <w:vAlign w:val="center"/>
          </w:tcPr>
          <w:p w14:paraId="190FE0A2">
            <w:pPr>
              <w:jc w:val="center"/>
              <w:rPr>
                <w:color w:val="000000"/>
                <w:sz w:val="26"/>
                <w:szCs w:val="26"/>
              </w:rPr>
            </w:pPr>
          </w:p>
        </w:tc>
      </w:tr>
      <w:tr w14:paraId="49E47F0A">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7BF6891D">
            <w:pPr>
              <w:jc w:val="center"/>
              <w:rPr>
                <w:color w:val="000000"/>
                <w:sz w:val="26"/>
                <w:szCs w:val="26"/>
              </w:rPr>
            </w:pPr>
            <w:r>
              <w:rPr>
                <w:color w:val="000000"/>
                <w:sz w:val="26"/>
                <w:szCs w:val="26"/>
              </w:rPr>
              <w:t>2</w:t>
            </w:r>
          </w:p>
        </w:tc>
        <w:tc>
          <w:tcPr>
            <w:tcW w:w="2015" w:type="pct"/>
            <w:tcBorders>
              <w:top w:val="nil"/>
              <w:left w:val="nil"/>
              <w:bottom w:val="single" w:color="auto" w:sz="4" w:space="0"/>
              <w:right w:val="single" w:color="auto" w:sz="4" w:space="0"/>
            </w:tcBorders>
            <w:vAlign w:val="center"/>
          </w:tcPr>
          <w:p w14:paraId="3BF71665">
            <w:pPr>
              <w:rPr>
                <w:color w:val="000000"/>
                <w:sz w:val="26"/>
                <w:szCs w:val="26"/>
              </w:rPr>
            </w:pPr>
            <w:r>
              <w:rPr>
                <w:color w:val="000000"/>
                <w:sz w:val="26"/>
                <w:szCs w:val="26"/>
              </w:rPr>
              <w:t>Chi phí đầu tư xây dựng nhà xây thô</w:t>
            </w:r>
          </w:p>
        </w:tc>
        <w:tc>
          <w:tcPr>
            <w:tcW w:w="654" w:type="pct"/>
            <w:tcBorders>
              <w:top w:val="nil"/>
              <w:left w:val="nil"/>
              <w:bottom w:val="single" w:color="auto" w:sz="4" w:space="0"/>
              <w:right w:val="single" w:color="auto" w:sz="4" w:space="0"/>
            </w:tcBorders>
            <w:vAlign w:val="center"/>
          </w:tcPr>
          <w:p w14:paraId="1122FA16">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05E0C5DC">
            <w:pPr>
              <w:jc w:val="center"/>
              <w:rPr>
                <w:color w:val="000000"/>
                <w:sz w:val="26"/>
                <w:szCs w:val="26"/>
              </w:rPr>
            </w:pPr>
            <w:r>
              <w:rPr>
                <w:color w:val="000000"/>
                <w:sz w:val="26"/>
                <w:szCs w:val="26"/>
              </w:rPr>
              <w:t>144.134.316.842</w:t>
            </w:r>
          </w:p>
        </w:tc>
        <w:tc>
          <w:tcPr>
            <w:tcW w:w="993" w:type="pct"/>
            <w:tcBorders>
              <w:top w:val="nil"/>
              <w:left w:val="nil"/>
              <w:bottom w:val="single" w:color="auto" w:sz="4" w:space="0"/>
              <w:right w:val="single" w:color="auto" w:sz="4" w:space="0"/>
            </w:tcBorders>
            <w:vAlign w:val="center"/>
          </w:tcPr>
          <w:p w14:paraId="1B132E50">
            <w:pPr>
              <w:jc w:val="center"/>
              <w:rPr>
                <w:color w:val="000000"/>
                <w:sz w:val="26"/>
                <w:szCs w:val="26"/>
              </w:rPr>
            </w:pPr>
            <w:r>
              <w:rPr>
                <w:color w:val="000000"/>
                <w:sz w:val="26"/>
                <w:szCs w:val="26"/>
              </w:rPr>
              <w:t>CFXD</w:t>
            </w:r>
          </w:p>
        </w:tc>
      </w:tr>
      <w:tr w14:paraId="6BA49E3A">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5DEA8383">
            <w:pPr>
              <w:jc w:val="center"/>
              <w:rPr>
                <w:color w:val="000000"/>
                <w:sz w:val="26"/>
                <w:szCs w:val="26"/>
              </w:rPr>
            </w:pPr>
            <w:r>
              <w:rPr>
                <w:color w:val="000000"/>
                <w:sz w:val="26"/>
                <w:szCs w:val="26"/>
              </w:rPr>
              <w:t>4</w:t>
            </w:r>
          </w:p>
        </w:tc>
        <w:tc>
          <w:tcPr>
            <w:tcW w:w="2015" w:type="pct"/>
            <w:tcBorders>
              <w:top w:val="nil"/>
              <w:left w:val="nil"/>
              <w:bottom w:val="single" w:color="auto" w:sz="4" w:space="0"/>
              <w:right w:val="single" w:color="auto" w:sz="4" w:space="0"/>
            </w:tcBorders>
            <w:vAlign w:val="center"/>
          </w:tcPr>
          <w:p w14:paraId="08C4337A">
            <w:pPr>
              <w:rPr>
                <w:color w:val="000000"/>
                <w:sz w:val="26"/>
                <w:szCs w:val="26"/>
              </w:rPr>
            </w:pPr>
            <w:r>
              <w:rPr>
                <w:color w:val="000000"/>
                <w:sz w:val="26"/>
                <w:szCs w:val="26"/>
              </w:rPr>
              <w:t>Chi phí kinh doanh</w:t>
            </w:r>
          </w:p>
        </w:tc>
        <w:tc>
          <w:tcPr>
            <w:tcW w:w="654" w:type="pct"/>
            <w:tcBorders>
              <w:top w:val="nil"/>
              <w:left w:val="nil"/>
              <w:bottom w:val="single" w:color="auto" w:sz="4" w:space="0"/>
              <w:right w:val="single" w:color="auto" w:sz="4" w:space="0"/>
            </w:tcBorders>
            <w:vAlign w:val="center"/>
          </w:tcPr>
          <w:p w14:paraId="69F77E99">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56C0A506">
            <w:pPr>
              <w:jc w:val="center"/>
              <w:rPr>
                <w:color w:val="000000"/>
                <w:sz w:val="26"/>
                <w:szCs w:val="26"/>
              </w:rPr>
            </w:pPr>
            <w:r>
              <w:rPr>
                <w:color w:val="000000"/>
                <w:sz w:val="26"/>
                <w:szCs w:val="26"/>
              </w:rPr>
              <w:t>6.191.697.895</w:t>
            </w:r>
          </w:p>
        </w:tc>
        <w:tc>
          <w:tcPr>
            <w:tcW w:w="993" w:type="pct"/>
            <w:tcBorders>
              <w:top w:val="nil"/>
              <w:left w:val="nil"/>
              <w:bottom w:val="single" w:color="auto" w:sz="4" w:space="0"/>
              <w:right w:val="single" w:color="auto" w:sz="4" w:space="0"/>
            </w:tcBorders>
            <w:vAlign w:val="center"/>
          </w:tcPr>
          <w:p w14:paraId="3787B12B">
            <w:pPr>
              <w:jc w:val="center"/>
              <w:rPr>
                <w:color w:val="000000"/>
                <w:sz w:val="26"/>
                <w:szCs w:val="26"/>
              </w:rPr>
            </w:pPr>
          </w:p>
        </w:tc>
      </w:tr>
      <w:tr w14:paraId="33F26F09">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25570E95">
            <w:pPr>
              <w:jc w:val="center"/>
              <w:rPr>
                <w:b/>
                <w:bCs/>
                <w:i/>
                <w:iCs/>
                <w:color w:val="000000"/>
                <w:sz w:val="26"/>
                <w:szCs w:val="26"/>
              </w:rPr>
            </w:pPr>
          </w:p>
        </w:tc>
        <w:tc>
          <w:tcPr>
            <w:tcW w:w="2015" w:type="pct"/>
            <w:tcBorders>
              <w:top w:val="nil"/>
              <w:left w:val="nil"/>
              <w:bottom w:val="single" w:color="auto" w:sz="4" w:space="0"/>
              <w:right w:val="single" w:color="auto" w:sz="4" w:space="0"/>
            </w:tcBorders>
            <w:vAlign w:val="center"/>
          </w:tcPr>
          <w:p w14:paraId="17D7392E">
            <w:pPr>
              <w:rPr>
                <w:b/>
                <w:bCs/>
                <w:i/>
                <w:iCs/>
                <w:color w:val="000000"/>
                <w:sz w:val="26"/>
                <w:szCs w:val="26"/>
              </w:rPr>
            </w:pPr>
            <w:r>
              <w:rPr>
                <w:b/>
                <w:bCs/>
                <w:i/>
                <w:iCs/>
                <w:color w:val="000000"/>
                <w:sz w:val="26"/>
                <w:szCs w:val="26"/>
              </w:rPr>
              <w:t>Tổng chi phí  xây dựng (chưa bao gồm chi phí kinh doanh và Chi phí lãi vay, lợi nhuận của nhà đầu tư  quy về thời điểm hiện tại</w:t>
            </w:r>
          </w:p>
        </w:tc>
        <w:tc>
          <w:tcPr>
            <w:tcW w:w="654" w:type="pct"/>
            <w:tcBorders>
              <w:top w:val="nil"/>
              <w:left w:val="nil"/>
              <w:bottom w:val="single" w:color="auto" w:sz="4" w:space="0"/>
              <w:right w:val="single" w:color="auto" w:sz="4" w:space="0"/>
            </w:tcBorders>
            <w:vAlign w:val="center"/>
          </w:tcPr>
          <w:p w14:paraId="36B96564">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01737257">
            <w:pPr>
              <w:jc w:val="center"/>
              <w:rPr>
                <w:b/>
                <w:bCs/>
                <w:i/>
                <w:iCs/>
                <w:color w:val="000000"/>
                <w:sz w:val="26"/>
                <w:szCs w:val="26"/>
              </w:rPr>
            </w:pPr>
            <w:r>
              <w:rPr>
                <w:b/>
                <w:bCs/>
                <w:i/>
                <w:iCs/>
                <w:color w:val="000000"/>
                <w:sz w:val="26"/>
                <w:szCs w:val="26"/>
              </w:rPr>
              <w:t>298.498.596.356</w:t>
            </w:r>
          </w:p>
        </w:tc>
        <w:tc>
          <w:tcPr>
            <w:tcW w:w="993" w:type="pct"/>
            <w:tcBorders>
              <w:top w:val="nil"/>
              <w:left w:val="nil"/>
              <w:bottom w:val="single" w:color="auto" w:sz="4" w:space="0"/>
              <w:right w:val="single" w:color="auto" w:sz="4" w:space="0"/>
            </w:tcBorders>
            <w:vAlign w:val="center"/>
          </w:tcPr>
          <w:p w14:paraId="44F6323F">
            <w:pPr>
              <w:jc w:val="center"/>
              <w:rPr>
                <w:b/>
                <w:bCs/>
                <w:i/>
                <w:iCs/>
                <w:color w:val="000000"/>
                <w:sz w:val="26"/>
                <w:szCs w:val="26"/>
              </w:rPr>
            </w:pPr>
          </w:p>
        </w:tc>
      </w:tr>
      <w:tr w14:paraId="5B871FD6">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769A6A88">
            <w:pPr>
              <w:jc w:val="center"/>
              <w:rPr>
                <w:color w:val="000000"/>
                <w:sz w:val="26"/>
                <w:szCs w:val="26"/>
              </w:rPr>
            </w:pPr>
            <w:r>
              <w:rPr>
                <w:color w:val="000000"/>
                <w:sz w:val="26"/>
                <w:szCs w:val="26"/>
              </w:rPr>
              <w:t>6</w:t>
            </w:r>
          </w:p>
        </w:tc>
        <w:tc>
          <w:tcPr>
            <w:tcW w:w="2015" w:type="pct"/>
            <w:tcBorders>
              <w:top w:val="nil"/>
              <w:left w:val="nil"/>
              <w:bottom w:val="single" w:color="auto" w:sz="4" w:space="0"/>
              <w:right w:val="single" w:color="auto" w:sz="4" w:space="0"/>
            </w:tcBorders>
            <w:vAlign w:val="center"/>
          </w:tcPr>
          <w:p w14:paraId="1CF5E170">
            <w:pPr>
              <w:rPr>
                <w:color w:val="000000"/>
                <w:sz w:val="26"/>
                <w:szCs w:val="26"/>
              </w:rPr>
            </w:pPr>
            <w:r>
              <w:rPr>
                <w:color w:val="000000"/>
                <w:sz w:val="26"/>
                <w:szCs w:val="26"/>
              </w:rPr>
              <w:t>Chi phí lãi vay, lợi nhuận của nhà đầu tư có tính đến vốn chủ sở hữu, rủi ro trong kinh doanh tính trên chi phí Hạ tầng + xây lắp + chi phí kinh doanh</w:t>
            </w:r>
          </w:p>
        </w:tc>
        <w:tc>
          <w:tcPr>
            <w:tcW w:w="654" w:type="pct"/>
            <w:tcBorders>
              <w:top w:val="nil"/>
              <w:left w:val="nil"/>
              <w:bottom w:val="single" w:color="auto" w:sz="4" w:space="0"/>
              <w:right w:val="single" w:color="auto" w:sz="4" w:space="0"/>
            </w:tcBorders>
            <w:vAlign w:val="center"/>
          </w:tcPr>
          <w:p w14:paraId="1FD64D3F">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7B5E2F44">
            <w:pPr>
              <w:jc w:val="center"/>
              <w:rPr>
                <w:color w:val="000000"/>
                <w:sz w:val="26"/>
                <w:szCs w:val="26"/>
              </w:rPr>
            </w:pPr>
            <w:r>
              <w:rPr>
                <w:color w:val="000000"/>
                <w:sz w:val="26"/>
                <w:szCs w:val="26"/>
              </w:rPr>
              <w:t>45.703.544.138</w:t>
            </w:r>
          </w:p>
        </w:tc>
        <w:tc>
          <w:tcPr>
            <w:tcW w:w="993" w:type="pct"/>
            <w:tcBorders>
              <w:top w:val="nil"/>
              <w:left w:val="nil"/>
              <w:bottom w:val="single" w:color="auto" w:sz="4" w:space="0"/>
              <w:right w:val="single" w:color="auto" w:sz="4" w:space="0"/>
            </w:tcBorders>
            <w:vAlign w:val="center"/>
          </w:tcPr>
          <w:p w14:paraId="67484B8C">
            <w:pPr>
              <w:jc w:val="center"/>
              <w:rPr>
                <w:color w:val="000000"/>
                <w:sz w:val="26"/>
                <w:szCs w:val="26"/>
              </w:rPr>
            </w:pPr>
            <w:r>
              <w:rPr>
                <w:color w:val="000000"/>
                <w:sz w:val="26"/>
                <w:szCs w:val="26"/>
              </w:rPr>
              <w:t>= (Cpo+CPKD) x 15%</w:t>
            </w:r>
          </w:p>
        </w:tc>
      </w:tr>
      <w:tr w14:paraId="1F25FDC0">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69DD36BF">
            <w:pPr>
              <w:jc w:val="center"/>
              <w:rPr>
                <w:color w:val="000000"/>
                <w:sz w:val="26"/>
                <w:szCs w:val="26"/>
              </w:rPr>
            </w:pPr>
            <w:r>
              <w:rPr>
                <w:color w:val="000000"/>
                <w:sz w:val="26"/>
                <w:szCs w:val="26"/>
              </w:rPr>
              <w:t>6</w:t>
            </w:r>
          </w:p>
        </w:tc>
        <w:tc>
          <w:tcPr>
            <w:tcW w:w="2015" w:type="pct"/>
            <w:tcBorders>
              <w:top w:val="nil"/>
              <w:left w:val="nil"/>
              <w:bottom w:val="single" w:color="auto" w:sz="4" w:space="0"/>
              <w:right w:val="single" w:color="auto" w:sz="4" w:space="0"/>
            </w:tcBorders>
            <w:vAlign w:val="center"/>
          </w:tcPr>
          <w:p w14:paraId="668A2DB4">
            <w:pPr>
              <w:rPr>
                <w:color w:val="000000"/>
                <w:sz w:val="26"/>
                <w:szCs w:val="26"/>
              </w:rPr>
            </w:pPr>
            <w:r>
              <w:rPr>
                <w:color w:val="000000"/>
                <w:sz w:val="26"/>
                <w:szCs w:val="26"/>
              </w:rPr>
              <w:t>Chi phí lãi vay, lợi nhuận của nhà đầu tư có tính đến vốn chủ sở hữu, rủi ro trong kinh doanh tính trên giá trị quyền sử dụng đất</w:t>
            </w:r>
          </w:p>
        </w:tc>
        <w:tc>
          <w:tcPr>
            <w:tcW w:w="654" w:type="pct"/>
            <w:tcBorders>
              <w:top w:val="nil"/>
              <w:left w:val="nil"/>
              <w:bottom w:val="single" w:color="auto" w:sz="4" w:space="0"/>
              <w:right w:val="single" w:color="auto" w:sz="4" w:space="0"/>
            </w:tcBorders>
            <w:vAlign w:val="center"/>
          </w:tcPr>
          <w:p w14:paraId="5E0836F1">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7C30B29C">
            <w:pPr>
              <w:jc w:val="center"/>
              <w:rPr>
                <w:color w:val="000000"/>
                <w:sz w:val="26"/>
                <w:szCs w:val="26"/>
              </w:rPr>
            </w:pPr>
            <w:r>
              <w:rPr>
                <w:color w:val="000000"/>
                <w:sz w:val="26"/>
                <w:szCs w:val="26"/>
              </w:rPr>
              <w:t>35.057.732.755</w:t>
            </w:r>
          </w:p>
        </w:tc>
        <w:tc>
          <w:tcPr>
            <w:tcW w:w="993" w:type="pct"/>
            <w:tcBorders>
              <w:top w:val="nil"/>
              <w:left w:val="nil"/>
              <w:bottom w:val="single" w:color="auto" w:sz="4" w:space="0"/>
              <w:right w:val="single" w:color="auto" w:sz="4" w:space="0"/>
            </w:tcBorders>
            <w:vAlign w:val="center"/>
          </w:tcPr>
          <w:p w14:paraId="7340FC8F">
            <w:pPr>
              <w:jc w:val="center"/>
              <w:rPr>
                <w:color w:val="000000"/>
                <w:sz w:val="26"/>
                <w:szCs w:val="26"/>
              </w:rPr>
            </w:pPr>
            <w:r>
              <w:rPr>
                <w:color w:val="000000"/>
                <w:sz w:val="26"/>
                <w:szCs w:val="26"/>
              </w:rPr>
              <w:t>= V x 15%</w:t>
            </w:r>
          </w:p>
        </w:tc>
      </w:tr>
      <w:tr w14:paraId="7855705F">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0F8475B6">
            <w:pPr>
              <w:jc w:val="center"/>
              <w:rPr>
                <w:b/>
                <w:bCs/>
                <w:color w:val="000000"/>
                <w:sz w:val="26"/>
                <w:szCs w:val="26"/>
              </w:rPr>
            </w:pPr>
            <w:r>
              <w:rPr>
                <w:b/>
                <w:bCs/>
                <w:color w:val="000000"/>
                <w:sz w:val="26"/>
                <w:szCs w:val="26"/>
              </w:rPr>
              <w:t>III</w:t>
            </w:r>
          </w:p>
        </w:tc>
        <w:tc>
          <w:tcPr>
            <w:tcW w:w="2015" w:type="pct"/>
            <w:tcBorders>
              <w:top w:val="nil"/>
              <w:left w:val="nil"/>
              <w:bottom w:val="single" w:color="auto" w:sz="4" w:space="0"/>
              <w:right w:val="single" w:color="auto" w:sz="4" w:space="0"/>
            </w:tcBorders>
            <w:vAlign w:val="center"/>
          </w:tcPr>
          <w:p w14:paraId="67A47B1E">
            <w:pPr>
              <w:rPr>
                <w:b/>
                <w:bCs/>
                <w:color w:val="000000"/>
                <w:sz w:val="26"/>
                <w:szCs w:val="26"/>
              </w:rPr>
            </w:pPr>
            <w:r>
              <w:rPr>
                <w:b/>
                <w:bCs/>
                <w:color w:val="000000"/>
                <w:sz w:val="26"/>
                <w:szCs w:val="26"/>
              </w:rPr>
              <w:t>GIÁ TRỊ KHU ĐẤT THỰC HIỆN TOÀN BỘ DỰ ÁN  THẤP TẦNG</w:t>
            </w:r>
          </w:p>
        </w:tc>
        <w:tc>
          <w:tcPr>
            <w:tcW w:w="654" w:type="pct"/>
            <w:tcBorders>
              <w:top w:val="nil"/>
              <w:left w:val="nil"/>
              <w:bottom w:val="single" w:color="auto" w:sz="4" w:space="0"/>
              <w:right w:val="single" w:color="auto" w:sz="4" w:space="0"/>
            </w:tcBorders>
            <w:vAlign w:val="center"/>
          </w:tcPr>
          <w:p w14:paraId="2C1409FD">
            <w:pPr>
              <w:jc w:val="center"/>
              <w:rPr>
                <w:color w:val="000000"/>
                <w:sz w:val="26"/>
                <w:szCs w:val="26"/>
              </w:rPr>
            </w:pPr>
            <w:r>
              <w:rPr>
                <w:color w:val="000000"/>
                <w:sz w:val="26"/>
                <w:szCs w:val="26"/>
              </w:rPr>
              <w:t>Đồng</w:t>
            </w:r>
          </w:p>
        </w:tc>
        <w:tc>
          <w:tcPr>
            <w:tcW w:w="967" w:type="pct"/>
            <w:tcBorders>
              <w:top w:val="nil"/>
              <w:left w:val="nil"/>
              <w:bottom w:val="single" w:color="auto" w:sz="4" w:space="0"/>
              <w:right w:val="single" w:color="auto" w:sz="4" w:space="0"/>
            </w:tcBorders>
            <w:vAlign w:val="center"/>
          </w:tcPr>
          <w:p w14:paraId="17CFEB74">
            <w:pPr>
              <w:jc w:val="center"/>
              <w:rPr>
                <w:b/>
                <w:bCs/>
                <w:color w:val="000000"/>
                <w:sz w:val="26"/>
                <w:szCs w:val="26"/>
              </w:rPr>
            </w:pPr>
            <w:r>
              <w:rPr>
                <w:b/>
                <w:bCs/>
                <w:color w:val="000000"/>
                <w:sz w:val="26"/>
                <w:szCs w:val="26"/>
              </w:rPr>
              <w:t>233.718.218.370</w:t>
            </w:r>
          </w:p>
        </w:tc>
        <w:tc>
          <w:tcPr>
            <w:tcW w:w="993" w:type="pct"/>
            <w:tcBorders>
              <w:top w:val="nil"/>
              <w:left w:val="nil"/>
              <w:bottom w:val="single" w:color="auto" w:sz="4" w:space="0"/>
              <w:right w:val="single" w:color="auto" w:sz="4" w:space="0"/>
            </w:tcBorders>
            <w:vAlign w:val="center"/>
          </w:tcPr>
          <w:p w14:paraId="1E8891FE">
            <w:pPr>
              <w:jc w:val="center"/>
              <w:rPr>
                <w:color w:val="000000"/>
                <w:sz w:val="26"/>
                <w:szCs w:val="26"/>
              </w:rPr>
            </w:pPr>
          </w:p>
        </w:tc>
      </w:tr>
      <w:tr w14:paraId="29FA0FBF">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00C4E813">
            <w:pPr>
              <w:jc w:val="center"/>
              <w:rPr>
                <w:b/>
                <w:bCs/>
                <w:color w:val="000000"/>
                <w:sz w:val="26"/>
                <w:szCs w:val="26"/>
              </w:rPr>
            </w:pPr>
            <w:r>
              <w:rPr>
                <w:b/>
                <w:bCs/>
                <w:color w:val="000000"/>
                <w:sz w:val="26"/>
                <w:szCs w:val="26"/>
              </w:rPr>
              <w:t>IV</w:t>
            </w:r>
          </w:p>
        </w:tc>
        <w:tc>
          <w:tcPr>
            <w:tcW w:w="2015" w:type="pct"/>
            <w:tcBorders>
              <w:top w:val="nil"/>
              <w:left w:val="nil"/>
              <w:bottom w:val="single" w:color="auto" w:sz="4" w:space="0"/>
              <w:right w:val="single" w:color="auto" w:sz="4" w:space="0"/>
            </w:tcBorders>
            <w:vAlign w:val="center"/>
          </w:tcPr>
          <w:p w14:paraId="1D07C23F">
            <w:pPr>
              <w:rPr>
                <w:b/>
                <w:bCs/>
                <w:color w:val="000000"/>
                <w:sz w:val="26"/>
                <w:szCs w:val="26"/>
              </w:rPr>
            </w:pPr>
            <w:r>
              <w:rPr>
                <w:b/>
                <w:bCs/>
                <w:color w:val="000000"/>
                <w:sz w:val="26"/>
                <w:szCs w:val="26"/>
              </w:rPr>
              <w:t>DIỆN TÍCH ĐẤT GIAO CÓ THU TIỀN TOÀN BỘ DỰ ÁN THẤP TẦNG</w:t>
            </w:r>
          </w:p>
        </w:tc>
        <w:tc>
          <w:tcPr>
            <w:tcW w:w="654" w:type="pct"/>
            <w:tcBorders>
              <w:top w:val="nil"/>
              <w:left w:val="nil"/>
              <w:bottom w:val="single" w:color="auto" w:sz="4" w:space="0"/>
              <w:right w:val="single" w:color="auto" w:sz="4" w:space="0"/>
            </w:tcBorders>
            <w:vAlign w:val="center"/>
          </w:tcPr>
          <w:p w14:paraId="4DB3BE35">
            <w:pPr>
              <w:jc w:val="center"/>
              <w:rPr>
                <w:b/>
                <w:bCs/>
                <w:color w:val="000000"/>
                <w:sz w:val="26"/>
                <w:szCs w:val="26"/>
              </w:rPr>
            </w:pPr>
            <w:r>
              <w:rPr>
                <w:b/>
                <w:bCs/>
                <w:color w:val="000000"/>
                <w:sz w:val="26"/>
                <w:szCs w:val="26"/>
              </w:rPr>
              <w:t>m2</w:t>
            </w:r>
          </w:p>
        </w:tc>
        <w:tc>
          <w:tcPr>
            <w:tcW w:w="967" w:type="pct"/>
            <w:tcBorders>
              <w:top w:val="nil"/>
              <w:left w:val="nil"/>
              <w:bottom w:val="single" w:color="auto" w:sz="4" w:space="0"/>
              <w:right w:val="single" w:color="auto" w:sz="4" w:space="0"/>
            </w:tcBorders>
            <w:vAlign w:val="center"/>
          </w:tcPr>
          <w:p w14:paraId="0394DC00">
            <w:pPr>
              <w:jc w:val="center"/>
              <w:rPr>
                <w:b/>
                <w:bCs/>
                <w:color w:val="000000"/>
                <w:sz w:val="26"/>
                <w:szCs w:val="26"/>
              </w:rPr>
            </w:pPr>
            <w:r>
              <w:rPr>
                <w:b/>
                <w:bCs/>
                <w:color w:val="000000"/>
                <w:sz w:val="26"/>
                <w:szCs w:val="26"/>
              </w:rPr>
              <w:t>58.203,4</w:t>
            </w:r>
          </w:p>
        </w:tc>
        <w:tc>
          <w:tcPr>
            <w:tcW w:w="993" w:type="pct"/>
            <w:tcBorders>
              <w:top w:val="nil"/>
              <w:left w:val="nil"/>
              <w:bottom w:val="single" w:color="auto" w:sz="4" w:space="0"/>
              <w:right w:val="single" w:color="auto" w:sz="4" w:space="0"/>
            </w:tcBorders>
            <w:vAlign w:val="center"/>
          </w:tcPr>
          <w:p w14:paraId="00C8949E">
            <w:pPr>
              <w:jc w:val="center"/>
              <w:rPr>
                <w:color w:val="000000"/>
                <w:sz w:val="26"/>
                <w:szCs w:val="26"/>
              </w:rPr>
            </w:pPr>
          </w:p>
        </w:tc>
      </w:tr>
      <w:tr w14:paraId="551E9202">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793ADB84">
            <w:pPr>
              <w:jc w:val="center"/>
              <w:rPr>
                <w:b/>
                <w:bCs/>
                <w:color w:val="000000"/>
                <w:sz w:val="26"/>
                <w:szCs w:val="26"/>
              </w:rPr>
            </w:pPr>
          </w:p>
        </w:tc>
        <w:tc>
          <w:tcPr>
            <w:tcW w:w="2015" w:type="pct"/>
            <w:tcBorders>
              <w:top w:val="nil"/>
              <w:left w:val="nil"/>
              <w:bottom w:val="single" w:color="auto" w:sz="4" w:space="0"/>
              <w:right w:val="single" w:color="auto" w:sz="4" w:space="0"/>
            </w:tcBorders>
            <w:vAlign w:val="center"/>
          </w:tcPr>
          <w:p w14:paraId="62044715">
            <w:pPr>
              <w:rPr>
                <w:b/>
                <w:bCs/>
                <w:color w:val="000000"/>
                <w:sz w:val="26"/>
                <w:szCs w:val="26"/>
              </w:rPr>
            </w:pPr>
            <w:r>
              <w:rPr>
                <w:b/>
                <w:bCs/>
                <w:color w:val="000000"/>
                <w:sz w:val="26"/>
                <w:szCs w:val="26"/>
              </w:rPr>
              <w:t>ĐƠN GIÁ ĐẤT BÌNH QUÂN THẤP TẦNG</w:t>
            </w:r>
          </w:p>
        </w:tc>
        <w:tc>
          <w:tcPr>
            <w:tcW w:w="654" w:type="pct"/>
            <w:tcBorders>
              <w:top w:val="nil"/>
              <w:left w:val="nil"/>
              <w:bottom w:val="single" w:color="auto" w:sz="4" w:space="0"/>
              <w:right w:val="single" w:color="auto" w:sz="4" w:space="0"/>
            </w:tcBorders>
            <w:vAlign w:val="center"/>
          </w:tcPr>
          <w:p w14:paraId="5927D70E">
            <w:pPr>
              <w:jc w:val="center"/>
              <w:rPr>
                <w:b/>
                <w:bCs/>
                <w:color w:val="000000"/>
                <w:sz w:val="26"/>
                <w:szCs w:val="26"/>
              </w:rPr>
            </w:pPr>
            <w:r>
              <w:rPr>
                <w:b/>
                <w:bCs/>
                <w:color w:val="000000"/>
                <w:sz w:val="26"/>
                <w:szCs w:val="26"/>
              </w:rPr>
              <w:t>Đồng/m2</w:t>
            </w:r>
          </w:p>
        </w:tc>
        <w:tc>
          <w:tcPr>
            <w:tcW w:w="967" w:type="pct"/>
            <w:tcBorders>
              <w:top w:val="nil"/>
              <w:left w:val="nil"/>
              <w:bottom w:val="single" w:color="auto" w:sz="4" w:space="0"/>
              <w:right w:val="single" w:color="auto" w:sz="4" w:space="0"/>
            </w:tcBorders>
            <w:vAlign w:val="center"/>
          </w:tcPr>
          <w:p w14:paraId="68721989">
            <w:pPr>
              <w:jc w:val="center"/>
              <w:rPr>
                <w:b/>
                <w:bCs/>
                <w:color w:val="000000"/>
                <w:sz w:val="26"/>
                <w:szCs w:val="26"/>
              </w:rPr>
            </w:pPr>
            <w:r>
              <w:rPr>
                <w:b/>
                <w:bCs/>
                <w:color w:val="000000"/>
                <w:sz w:val="26"/>
                <w:szCs w:val="26"/>
              </w:rPr>
              <w:t>4.016.000</w:t>
            </w:r>
          </w:p>
        </w:tc>
        <w:tc>
          <w:tcPr>
            <w:tcW w:w="993" w:type="pct"/>
            <w:tcBorders>
              <w:top w:val="nil"/>
              <w:left w:val="nil"/>
              <w:bottom w:val="single" w:color="auto" w:sz="4" w:space="0"/>
              <w:right w:val="single" w:color="auto" w:sz="4" w:space="0"/>
            </w:tcBorders>
            <w:vAlign w:val="center"/>
          </w:tcPr>
          <w:p w14:paraId="7C4A9AB8">
            <w:pPr>
              <w:jc w:val="center"/>
              <w:rPr>
                <w:color w:val="000000"/>
                <w:sz w:val="26"/>
                <w:szCs w:val="26"/>
              </w:rPr>
            </w:pPr>
            <w:r>
              <w:rPr>
                <w:color w:val="000000"/>
                <w:sz w:val="26"/>
                <w:szCs w:val="26"/>
              </w:rPr>
              <w:t>Đơn giá đất chưa bao gồm chi phí</w:t>
            </w:r>
          </w:p>
        </w:tc>
      </w:tr>
      <w:tr w14:paraId="2429A124">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10D438A9">
            <w:pPr>
              <w:jc w:val="center"/>
              <w:rPr>
                <w:b/>
                <w:bCs/>
                <w:color w:val="000000"/>
                <w:sz w:val="26"/>
                <w:szCs w:val="26"/>
              </w:rPr>
            </w:pPr>
            <w:r>
              <w:rPr>
                <w:b/>
                <w:bCs/>
                <w:color w:val="000000"/>
                <w:sz w:val="26"/>
                <w:szCs w:val="26"/>
              </w:rPr>
              <w:t>VI</w:t>
            </w:r>
          </w:p>
        </w:tc>
        <w:tc>
          <w:tcPr>
            <w:tcW w:w="2015" w:type="pct"/>
            <w:tcBorders>
              <w:top w:val="nil"/>
              <w:left w:val="nil"/>
              <w:bottom w:val="single" w:color="auto" w:sz="4" w:space="0"/>
              <w:right w:val="single" w:color="auto" w:sz="4" w:space="0"/>
            </w:tcBorders>
            <w:vAlign w:val="center"/>
          </w:tcPr>
          <w:p w14:paraId="388E6E62">
            <w:pPr>
              <w:rPr>
                <w:b/>
                <w:bCs/>
                <w:color w:val="000000"/>
                <w:sz w:val="26"/>
                <w:szCs w:val="26"/>
              </w:rPr>
            </w:pPr>
            <w:r>
              <w:rPr>
                <w:b/>
                <w:bCs/>
                <w:color w:val="000000"/>
                <w:sz w:val="26"/>
                <w:szCs w:val="26"/>
              </w:rPr>
              <w:t>DIỆN TÍCH NỘP TIỀN SỬ DỤNG ĐẤT (đợt 1)</w:t>
            </w:r>
          </w:p>
        </w:tc>
        <w:tc>
          <w:tcPr>
            <w:tcW w:w="654" w:type="pct"/>
            <w:tcBorders>
              <w:top w:val="nil"/>
              <w:left w:val="nil"/>
              <w:bottom w:val="single" w:color="auto" w:sz="4" w:space="0"/>
              <w:right w:val="single" w:color="auto" w:sz="4" w:space="0"/>
            </w:tcBorders>
            <w:vAlign w:val="center"/>
          </w:tcPr>
          <w:p w14:paraId="4B2D67EA">
            <w:pPr>
              <w:jc w:val="center"/>
              <w:rPr>
                <w:b/>
                <w:bCs/>
                <w:color w:val="000000"/>
                <w:sz w:val="26"/>
                <w:szCs w:val="26"/>
              </w:rPr>
            </w:pPr>
            <w:r>
              <w:rPr>
                <w:b/>
                <w:bCs/>
                <w:color w:val="000000"/>
                <w:sz w:val="26"/>
                <w:szCs w:val="26"/>
              </w:rPr>
              <w:t>m2</w:t>
            </w:r>
          </w:p>
        </w:tc>
        <w:tc>
          <w:tcPr>
            <w:tcW w:w="967" w:type="pct"/>
            <w:tcBorders>
              <w:top w:val="nil"/>
              <w:left w:val="nil"/>
              <w:bottom w:val="nil"/>
              <w:right w:val="nil"/>
            </w:tcBorders>
            <w:noWrap/>
            <w:vAlign w:val="center"/>
          </w:tcPr>
          <w:p w14:paraId="27F84C55">
            <w:pPr>
              <w:jc w:val="center"/>
              <w:rPr>
                <w:b/>
                <w:bCs/>
                <w:color w:val="000000"/>
                <w:sz w:val="26"/>
                <w:szCs w:val="26"/>
              </w:rPr>
            </w:pPr>
            <w:r>
              <w:rPr>
                <w:b/>
                <w:bCs/>
                <w:color w:val="000000"/>
                <w:sz w:val="26"/>
                <w:szCs w:val="26"/>
              </w:rPr>
              <w:t>34.702,20</w:t>
            </w:r>
          </w:p>
        </w:tc>
        <w:tc>
          <w:tcPr>
            <w:tcW w:w="993" w:type="pct"/>
            <w:tcBorders>
              <w:top w:val="nil"/>
              <w:left w:val="single" w:color="auto" w:sz="4" w:space="0"/>
              <w:bottom w:val="single" w:color="auto" w:sz="4" w:space="0"/>
              <w:right w:val="single" w:color="auto" w:sz="4" w:space="0"/>
            </w:tcBorders>
            <w:vAlign w:val="center"/>
          </w:tcPr>
          <w:p w14:paraId="7B9527ED">
            <w:pPr>
              <w:jc w:val="center"/>
              <w:rPr>
                <w:color w:val="000000"/>
                <w:sz w:val="26"/>
                <w:szCs w:val="26"/>
              </w:rPr>
            </w:pPr>
            <w:r>
              <w:rPr>
                <w:color w:val="000000"/>
                <w:sz w:val="26"/>
                <w:szCs w:val="26"/>
              </w:rPr>
              <w:t>QĐ số 86/QĐ-UBND ngày 09/01/2025</w:t>
            </w:r>
          </w:p>
        </w:tc>
      </w:tr>
      <w:tr w14:paraId="3A67FFCB">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6C17A73C">
            <w:pPr>
              <w:jc w:val="center"/>
              <w:rPr>
                <w:b/>
                <w:bCs/>
                <w:color w:val="000000"/>
                <w:sz w:val="26"/>
                <w:szCs w:val="26"/>
              </w:rPr>
            </w:pPr>
            <w:r>
              <w:rPr>
                <w:b/>
                <w:bCs/>
                <w:color w:val="000000"/>
                <w:sz w:val="26"/>
                <w:szCs w:val="26"/>
              </w:rPr>
              <w:t>VII</w:t>
            </w:r>
          </w:p>
        </w:tc>
        <w:tc>
          <w:tcPr>
            <w:tcW w:w="2015" w:type="pct"/>
            <w:tcBorders>
              <w:top w:val="nil"/>
              <w:left w:val="nil"/>
              <w:bottom w:val="single" w:color="auto" w:sz="4" w:space="0"/>
              <w:right w:val="single" w:color="auto" w:sz="4" w:space="0"/>
            </w:tcBorders>
            <w:vAlign w:val="center"/>
          </w:tcPr>
          <w:p w14:paraId="62779BBC">
            <w:pPr>
              <w:rPr>
                <w:b/>
                <w:bCs/>
                <w:color w:val="000000"/>
                <w:sz w:val="26"/>
                <w:szCs w:val="26"/>
              </w:rPr>
            </w:pPr>
            <w:r>
              <w:rPr>
                <w:b/>
                <w:bCs/>
                <w:color w:val="000000"/>
                <w:sz w:val="26"/>
                <w:szCs w:val="26"/>
              </w:rPr>
              <w:t>GIÁ TRỊ QUYỀN SỬ DỤNG ĐẤT</w:t>
            </w:r>
          </w:p>
        </w:tc>
        <w:tc>
          <w:tcPr>
            <w:tcW w:w="654" w:type="pct"/>
            <w:tcBorders>
              <w:top w:val="nil"/>
              <w:left w:val="nil"/>
              <w:bottom w:val="single" w:color="auto" w:sz="4" w:space="0"/>
              <w:right w:val="single" w:color="auto" w:sz="4" w:space="0"/>
            </w:tcBorders>
            <w:vAlign w:val="center"/>
          </w:tcPr>
          <w:p w14:paraId="219E6DB7">
            <w:pPr>
              <w:jc w:val="center"/>
              <w:rPr>
                <w:b/>
                <w:bCs/>
                <w:color w:val="000000"/>
                <w:sz w:val="26"/>
                <w:szCs w:val="26"/>
              </w:rPr>
            </w:pPr>
            <w:r>
              <w:rPr>
                <w:b/>
                <w:bCs/>
                <w:color w:val="000000"/>
                <w:sz w:val="26"/>
                <w:szCs w:val="26"/>
              </w:rPr>
              <w:t>Đồng</w:t>
            </w:r>
          </w:p>
        </w:tc>
        <w:tc>
          <w:tcPr>
            <w:tcW w:w="967" w:type="pct"/>
            <w:tcBorders>
              <w:top w:val="single" w:color="auto" w:sz="4" w:space="0"/>
              <w:left w:val="nil"/>
              <w:bottom w:val="single" w:color="auto" w:sz="4" w:space="0"/>
              <w:right w:val="single" w:color="auto" w:sz="4" w:space="0"/>
            </w:tcBorders>
            <w:vAlign w:val="center"/>
          </w:tcPr>
          <w:p w14:paraId="55E3C6F7">
            <w:pPr>
              <w:jc w:val="center"/>
              <w:rPr>
                <w:b/>
                <w:bCs/>
                <w:color w:val="000000"/>
                <w:sz w:val="26"/>
                <w:szCs w:val="26"/>
              </w:rPr>
            </w:pPr>
            <w:r>
              <w:rPr>
                <w:b/>
                <w:bCs/>
                <w:color w:val="000000"/>
                <w:sz w:val="26"/>
                <w:szCs w:val="26"/>
              </w:rPr>
              <w:t>139.364.035.200</w:t>
            </w:r>
          </w:p>
        </w:tc>
        <w:tc>
          <w:tcPr>
            <w:tcW w:w="993" w:type="pct"/>
            <w:tcBorders>
              <w:top w:val="nil"/>
              <w:left w:val="nil"/>
              <w:bottom w:val="single" w:color="auto" w:sz="4" w:space="0"/>
              <w:right w:val="single" w:color="auto" w:sz="4" w:space="0"/>
            </w:tcBorders>
            <w:vAlign w:val="center"/>
          </w:tcPr>
          <w:p w14:paraId="1E54E87F">
            <w:pPr>
              <w:jc w:val="center"/>
              <w:rPr>
                <w:color w:val="000000"/>
                <w:sz w:val="26"/>
                <w:szCs w:val="26"/>
              </w:rPr>
            </w:pPr>
          </w:p>
        </w:tc>
      </w:tr>
      <w:tr w14:paraId="5A59AAB3">
        <w:tblPrEx>
          <w:tblCellMar>
            <w:top w:w="0" w:type="dxa"/>
            <w:left w:w="108" w:type="dxa"/>
            <w:bottom w:w="0" w:type="dxa"/>
            <w:right w:w="108" w:type="dxa"/>
          </w:tblCellMar>
        </w:tblPrEx>
        <w:trPr>
          <w:trHeight w:val="20" w:hRule="atLeast"/>
        </w:trPr>
        <w:tc>
          <w:tcPr>
            <w:tcW w:w="371" w:type="pct"/>
            <w:tcBorders>
              <w:top w:val="nil"/>
              <w:left w:val="single" w:color="auto" w:sz="4" w:space="0"/>
              <w:bottom w:val="single" w:color="auto" w:sz="4" w:space="0"/>
              <w:right w:val="single" w:color="auto" w:sz="4" w:space="0"/>
            </w:tcBorders>
            <w:vAlign w:val="center"/>
          </w:tcPr>
          <w:p w14:paraId="42CCD64E">
            <w:pPr>
              <w:jc w:val="center"/>
              <w:rPr>
                <w:color w:val="000000"/>
                <w:sz w:val="26"/>
                <w:szCs w:val="26"/>
              </w:rPr>
            </w:pPr>
          </w:p>
        </w:tc>
        <w:tc>
          <w:tcPr>
            <w:tcW w:w="2015" w:type="pct"/>
            <w:tcBorders>
              <w:top w:val="nil"/>
              <w:left w:val="nil"/>
              <w:bottom w:val="single" w:color="auto" w:sz="4" w:space="0"/>
              <w:right w:val="single" w:color="auto" w:sz="4" w:space="0"/>
            </w:tcBorders>
            <w:vAlign w:val="center"/>
          </w:tcPr>
          <w:p w14:paraId="474633B8">
            <w:pPr>
              <w:jc w:val="center"/>
              <w:rPr>
                <w:b/>
                <w:bCs/>
                <w:color w:val="000000"/>
                <w:sz w:val="26"/>
                <w:szCs w:val="26"/>
              </w:rPr>
            </w:pPr>
            <w:r>
              <w:rPr>
                <w:b/>
                <w:bCs/>
                <w:color w:val="000000"/>
                <w:sz w:val="26"/>
                <w:szCs w:val="26"/>
              </w:rPr>
              <w:t>LÀM TRÒN</w:t>
            </w:r>
          </w:p>
        </w:tc>
        <w:tc>
          <w:tcPr>
            <w:tcW w:w="654" w:type="pct"/>
            <w:tcBorders>
              <w:top w:val="nil"/>
              <w:left w:val="nil"/>
              <w:bottom w:val="single" w:color="auto" w:sz="4" w:space="0"/>
              <w:right w:val="single" w:color="auto" w:sz="4" w:space="0"/>
            </w:tcBorders>
            <w:vAlign w:val="center"/>
          </w:tcPr>
          <w:p w14:paraId="6B3AFB53">
            <w:pPr>
              <w:jc w:val="center"/>
              <w:rPr>
                <w:b/>
                <w:bCs/>
                <w:color w:val="000000"/>
                <w:sz w:val="26"/>
                <w:szCs w:val="26"/>
              </w:rPr>
            </w:pPr>
            <w:r>
              <w:rPr>
                <w:b/>
                <w:bCs/>
                <w:color w:val="000000"/>
                <w:sz w:val="26"/>
                <w:szCs w:val="26"/>
              </w:rPr>
              <w:t>Đồng</w:t>
            </w:r>
          </w:p>
        </w:tc>
        <w:tc>
          <w:tcPr>
            <w:tcW w:w="967" w:type="pct"/>
            <w:tcBorders>
              <w:top w:val="nil"/>
              <w:left w:val="nil"/>
              <w:bottom w:val="single" w:color="auto" w:sz="4" w:space="0"/>
              <w:right w:val="single" w:color="auto" w:sz="4" w:space="0"/>
            </w:tcBorders>
            <w:vAlign w:val="center"/>
          </w:tcPr>
          <w:p w14:paraId="50C8850E">
            <w:pPr>
              <w:jc w:val="center"/>
              <w:rPr>
                <w:b/>
                <w:bCs/>
                <w:color w:val="000000"/>
                <w:sz w:val="26"/>
                <w:szCs w:val="26"/>
              </w:rPr>
            </w:pPr>
            <w:r>
              <w:rPr>
                <w:b/>
                <w:bCs/>
                <w:color w:val="000000"/>
                <w:sz w:val="26"/>
                <w:szCs w:val="26"/>
              </w:rPr>
              <w:t>139.364.040.000</w:t>
            </w:r>
          </w:p>
        </w:tc>
        <w:tc>
          <w:tcPr>
            <w:tcW w:w="993" w:type="pct"/>
            <w:tcBorders>
              <w:top w:val="nil"/>
              <w:left w:val="nil"/>
              <w:bottom w:val="single" w:color="auto" w:sz="4" w:space="0"/>
              <w:right w:val="single" w:color="auto" w:sz="4" w:space="0"/>
            </w:tcBorders>
            <w:vAlign w:val="center"/>
          </w:tcPr>
          <w:p w14:paraId="37A54520">
            <w:pPr>
              <w:jc w:val="center"/>
              <w:rPr>
                <w:color w:val="000000"/>
                <w:sz w:val="26"/>
                <w:szCs w:val="26"/>
              </w:rPr>
            </w:pPr>
          </w:p>
        </w:tc>
      </w:tr>
    </w:tbl>
    <w:p w14:paraId="5D5542E9">
      <w:pPr>
        <w:tabs>
          <w:tab w:val="left" w:pos="0"/>
          <w:tab w:val="left" w:pos="600"/>
        </w:tabs>
        <w:spacing w:before="120" w:after="120" w:line="380" w:lineRule="exact"/>
        <w:jc w:val="both"/>
        <w:rPr>
          <w:b/>
          <w:color w:val="000000" w:themeColor="text1"/>
          <w:sz w:val="26"/>
          <w:szCs w:val="26"/>
          <w:lang w:val="vi-VN" w:eastAsia="zh-CN"/>
          <w14:textFill>
            <w14:solidFill>
              <w14:schemeClr w14:val="tx1"/>
            </w14:solidFill>
          </w14:textFill>
        </w:rPr>
      </w:pPr>
      <w:r>
        <w:rPr>
          <w:b/>
          <w:color w:val="000000" w:themeColor="text1"/>
          <w:sz w:val="26"/>
          <w:szCs w:val="26"/>
          <w:lang w:eastAsia="zh-CN"/>
          <w14:textFill>
            <w14:solidFill>
              <w14:schemeClr w14:val="tx1"/>
            </w14:solidFill>
          </w14:textFill>
        </w:rPr>
        <w:tab/>
      </w:r>
      <w:r>
        <w:rPr>
          <w:b/>
          <w:color w:val="000000" w:themeColor="text1"/>
          <w:sz w:val="26"/>
          <w:szCs w:val="26"/>
          <w:lang w:val="vi-VN" w:eastAsia="zh-CN"/>
          <w14:textFill>
            <w14:solidFill>
              <w14:schemeClr w14:val="tx1"/>
            </w14:solidFill>
          </w14:textFill>
        </w:rPr>
        <w:t>VI. NHỮNG HẠN CHẾ CỦA PHƯƠNG PHÁP</w:t>
      </w:r>
    </w:p>
    <w:p w14:paraId="0000C481">
      <w:pPr>
        <w:widowControl w:val="0"/>
        <w:spacing w:before="120" w:after="120" w:line="380" w:lineRule="exact"/>
        <w:ind w:firstLine="567"/>
        <w:jc w:val="both"/>
        <w:rPr>
          <w:b/>
          <w:color w:val="000000" w:themeColor="text1"/>
          <w:spacing w:val="-4"/>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 Giá tham khảo là giá giao dịch thành công và giá trúng đấu giá trên thị trường trong vòng 24 tháng tính từ thời điểm khảo sát trở về trước, các tài sản đã giao dịch thành công dễ trở nên lạc hậu khi thị trường biến động.</w:t>
      </w:r>
    </w:p>
    <w:p w14:paraId="387F39CB">
      <w:pPr>
        <w:spacing w:before="120" w:after="120" w:line="380" w:lineRule="exact"/>
        <w:ind w:firstLine="562"/>
        <w:jc w:val="both"/>
        <w:rPr>
          <w:color w:val="000000" w:themeColor="text1"/>
          <w:spacing w:val="-4"/>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 Thời gian bán hàng, thời điểm bắt đầu bán hàng, tỷ lệ bán hàng, tỷ lệ lấp đầy; thời gian xây dựng, tiến độ xây dựng; chi phí lãi vay, lợi nhuận của nhà đầu tư có tính đến vốn chủ sở hữu, rủi ro trong kinh doanh được</w:t>
      </w:r>
      <w:r>
        <w:rPr>
          <w:color w:val="000000" w:themeColor="text1"/>
          <w:spacing w:val="-4"/>
          <w:sz w:val="26"/>
          <w:szCs w:val="26"/>
          <w14:textFill>
            <w14:solidFill>
              <w14:schemeClr w14:val="tx1"/>
            </w14:solidFill>
          </w14:textFill>
        </w:rPr>
        <w:t xml:space="preserve"> căn cứ theo quy định tại </w:t>
      </w:r>
      <w:r>
        <w:rPr>
          <w:color w:val="000000" w:themeColor="text1"/>
          <w:spacing w:val="-4"/>
          <w:sz w:val="26"/>
          <w:szCs w:val="26"/>
          <w:lang w:val="vi-VN"/>
          <w14:textFill>
            <w14:solidFill>
              <w14:schemeClr w14:val="tx1"/>
            </w14:solidFill>
          </w14:textFill>
        </w:rPr>
        <w:t>Quyết định số Quyết định số 47/2024/QĐ-UBND ngày 30 tháng 10 năm 2024 của UBND nhân dân tỉnh Lạng Sơn; khảo sát báo cáo tài chính của một số công ty kinh doanh cùng ngành nghề được công bố trên các sàn chứng khoán.</w:t>
      </w:r>
    </w:p>
    <w:p w14:paraId="45C3308F">
      <w:pPr>
        <w:spacing w:before="120" w:after="120" w:line="380" w:lineRule="exact"/>
        <w:ind w:firstLine="562"/>
        <w:jc w:val="both"/>
        <w:rPr>
          <w:color w:val="000000" w:themeColor="text1"/>
          <w:spacing w:val="-2"/>
          <w:sz w:val="26"/>
          <w:szCs w:val="26"/>
          <w14:textFill>
            <w14:solidFill>
              <w14:schemeClr w14:val="tx1"/>
            </w14:solidFill>
          </w14:textFill>
        </w:rPr>
      </w:pPr>
      <w:r>
        <w:rPr>
          <w:color w:val="000000" w:themeColor="text1"/>
          <w:spacing w:val="-2"/>
          <w:sz w:val="26"/>
          <w:szCs w:val="26"/>
          <w:lang w:val="vi-VN"/>
          <w14:textFill>
            <w14:solidFill>
              <w14:schemeClr w14:val="tx1"/>
            </w14:solidFill>
          </w14:textFill>
        </w:rPr>
        <w:t>- Chi phí quảng cáo, bán hàng khảo sát thực tế chi phí kinh doanh của các dự án trên địa bàn tỉnh Bắc Giang đã ký hợp đồng môi giới với các bên phân phối tại thời điểm gần nhất với thời điểm định giá</w:t>
      </w:r>
      <w:r>
        <w:rPr>
          <w:color w:val="000000" w:themeColor="text1"/>
          <w:spacing w:val="-2"/>
          <w:sz w:val="26"/>
          <w:szCs w:val="26"/>
          <w14:textFill>
            <w14:solidFill>
              <w14:schemeClr w14:val="tx1"/>
            </w14:solidFill>
          </w14:textFill>
        </w:rPr>
        <w:t xml:space="preserve">; </w:t>
      </w:r>
      <w:r>
        <w:rPr>
          <w:color w:val="000000" w:themeColor="text1"/>
          <w:spacing w:val="-2"/>
          <w:sz w:val="26"/>
          <w:szCs w:val="26"/>
          <w:lang w:val="vi-VN"/>
          <w14:textFill>
            <w14:solidFill>
              <w14:schemeClr w14:val="tx1"/>
            </w14:solidFill>
          </w14:textFill>
        </w:rPr>
        <w:t>được căn cứ theo quy định tại Quyết định số Quyết định số 47/2024/QĐ-UBND ngày 30 tháng 10 năm 2024 của UBND nhân dân tỉnh Lạng Sơn; khảo sát báo cáo tài chính của một số công ty kinh doanh cùng ngành nghề được công bố trên các sàn chứng khoán.</w:t>
      </w:r>
    </w:p>
    <w:p w14:paraId="6A9DE09A">
      <w:pPr>
        <w:widowControl w:val="0"/>
        <w:spacing w:before="120" w:after="120" w:line="38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lang w:val="vi-VN"/>
          <w14:textFill>
            <w14:solidFill>
              <w14:schemeClr w14:val="tx1"/>
            </w14:solidFill>
          </w14:textFill>
        </w:rPr>
        <w:t>- Dự án Khu đô thị phía Đông Nam thị trấn Đồng Mỏ</w:t>
      </w:r>
      <w:r>
        <w:rPr>
          <w:color w:val="000000" w:themeColor="text1"/>
          <w:spacing w:val="-2"/>
          <w:sz w:val="26"/>
          <w:szCs w:val="26"/>
          <w14:textFill>
            <w14:solidFill>
              <w14:schemeClr w14:val="tx1"/>
            </w14:solidFill>
          </w14:textFill>
        </w:rPr>
        <w:t xml:space="preserve"> (nay là xã Chi Lăng, tỉnh Lạng Sơn) </w:t>
      </w:r>
      <w:r>
        <w:rPr>
          <w:color w:val="000000" w:themeColor="text1"/>
          <w:spacing w:val="-2"/>
          <w:sz w:val="26"/>
          <w:szCs w:val="26"/>
          <w:lang w:val="vi-VN"/>
          <w14:textFill>
            <w14:solidFill>
              <w14:schemeClr w14:val="tx1"/>
            </w14:solidFill>
          </w14:textFill>
        </w:rPr>
        <w:t xml:space="preserve">vẫn đang trong quá trình thực hiện Công ty VCVS sử dụng giá trị </w:t>
      </w:r>
      <w:r>
        <w:rPr>
          <w:color w:val="000000" w:themeColor="text1"/>
          <w:spacing w:val="-2"/>
          <w:sz w:val="26"/>
          <w:szCs w:val="26"/>
          <w14:textFill>
            <w14:solidFill>
              <w14:schemeClr w14:val="tx1"/>
            </w14:solidFill>
          </w14:textFill>
        </w:rPr>
        <w:t>dự toán</w:t>
      </w:r>
      <w:r>
        <w:rPr>
          <w:color w:val="000000" w:themeColor="text1"/>
          <w:spacing w:val="-2"/>
          <w:sz w:val="26"/>
          <w:szCs w:val="26"/>
          <w:lang w:val="vi-VN"/>
          <w14:textFill>
            <w14:solidFill>
              <w14:schemeClr w14:val="tx1"/>
            </w14:solidFill>
          </w14:textFill>
        </w:rPr>
        <w:t xml:space="preserve"> để xác định giá trị quyền sử dụng đất, thực hiện nghĩa vụ tài chính về đất đai của dự án.</w:t>
      </w:r>
      <w:r>
        <w:rPr>
          <w:color w:val="000000" w:themeColor="text1"/>
          <w:spacing w:val="-2"/>
          <w:sz w:val="26"/>
          <w:szCs w:val="26"/>
          <w14:textFill>
            <w14:solidFill>
              <w14:schemeClr w14:val="tx1"/>
            </w14:solidFill>
          </w14:textFill>
        </w:rPr>
        <w:t xml:space="preserve"> Được Sở xây dựng kiểm tra rà soát, xác định dự toán đã cơ bản áp dụng định mức xây dựng, đơn giá nhân công xây dựng, Bảng giá ca máy và thiết bị thi công xây dựng do cơ quan nhà nước có thẩm quyền ban hành, công bố tại thời điểm giao đất2 (tháng 01/2025), tại văn bản số 2490/SXD-QLHT ngày 17/07/2025. </w:t>
      </w:r>
    </w:p>
    <w:p w14:paraId="00AD4822">
      <w:pPr>
        <w:widowControl w:val="0"/>
        <w:spacing w:before="120" w:after="120" w:line="380" w:lineRule="exact"/>
        <w:ind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Dự toán đã được Công ty TNHH MTV tư vấn đầu tư xây dựng Nam Sơn thẩm tra, ban hành kết quả thẩm tra tại Văn bản số 07/BCTT ngày 13/7/2025 được đóng dấu, ký xác nhận thẩm tra hồ sơ, do vậy Công ty TNHH MTV tư vấn đầu tư xây dựng Nam Sơn chịu hoàn toàn trách nhiệm trước pháp luật về kết quả thẩm tra theo quy định tại điểm b khoản 4 Điều 6, Nghị định số 71/2024/NĐ-CP ngày 27/6/2024 của Chính phủ quy định về giá đất. Chủ đầu tư, đơn vị tư vấn thiết kế, thẩm tra chịu trách nhiệm trước pháp luật về tính chính xác của hồ sơ thiết kế bản vẽ thi công, dự toán xây dựng (bao gồm: hồ sơ dự án, chất lượng hồ sơ thiết kế, sự phù hợp khối lượng của dự toán với hồ sơ thiết kế...) và các tài liệu gửi kèm theo Công văn số 2675/SNNMT-KHTC ngày 18/7/2025 của Sở Nông nghiệp và Môi trường.</w:t>
      </w:r>
    </w:p>
    <w:p w14:paraId="39AD6872">
      <w:pPr>
        <w:spacing w:before="120" w:after="120" w:line="380" w:lineRule="exact"/>
        <w:ind w:firstLine="562"/>
        <w:jc w:val="both"/>
        <w:rPr>
          <w:color w:val="000000" w:themeColor="text1"/>
          <w:spacing w:val="-4"/>
          <w:sz w:val="26"/>
          <w:szCs w:val="26"/>
          <w14:textFill>
            <w14:solidFill>
              <w14:schemeClr w14:val="tx1"/>
            </w14:solidFill>
          </w14:textFill>
        </w:rPr>
      </w:pPr>
      <w:r>
        <w:rPr>
          <w:color w:val="000000" w:themeColor="text1"/>
          <w:sz w:val="26"/>
          <w:szCs w:val="26"/>
          <w:lang w:val="da-DK"/>
          <w14:textFill>
            <w14:solidFill>
              <w14:schemeClr w14:val="tx1"/>
            </w14:solidFill>
          </w14:textFill>
        </w:rPr>
        <w:t>- Mức giá Công ty Cổ phần Dịch vụ Tư vấn và Thẩm định giá Việt Nam đưa vào làm căn cứ so sánh là mức giá sau khi Công ty Cổ phần Dịch vụ Tư vấn và Thẩm định giá Việt Nam đã điều tra giá thị trường tại thời điểm và đưa ra mức giá được giao dịch thành công tại thời điểm định giá. Giá trúng đấu giá các tài sản so sánh tại thời điểm năm 2024 đã xét đến yếu tố trượt giá so với thời điểm định giá (đã xét đến yếu tố biến động giá tại thời điểm định giá).</w:t>
      </w:r>
    </w:p>
    <w:p w14:paraId="1A3E83BF">
      <w:pPr>
        <w:spacing w:before="120" w:after="120" w:line="380" w:lineRule="exact"/>
        <w:ind w:firstLine="562"/>
        <w:jc w:val="both"/>
        <w:rPr>
          <w:color w:val="000000" w:themeColor="text1"/>
          <w:sz w:val="26"/>
          <w:szCs w:val="26"/>
          <w:lang w:val="da-DK"/>
          <w14:textFill>
            <w14:solidFill>
              <w14:schemeClr w14:val="tx1"/>
            </w14:solidFill>
          </w14:textFill>
        </w:rPr>
      </w:pPr>
      <w:r>
        <w:rPr>
          <w:b/>
          <w:bCs/>
          <w:color w:val="000000" w:themeColor="text1"/>
          <w:sz w:val="26"/>
          <w:szCs w:val="26"/>
          <w:lang w:val="vi-VN" w:eastAsia="zh-CN"/>
          <w14:textFill>
            <w14:solidFill>
              <w14:schemeClr w14:val="tx1"/>
            </w14:solidFill>
          </w14:textFill>
        </w:rPr>
        <w:t>VII. KẾT QUẢ THẨM ĐỊNH GIÁ</w:t>
      </w:r>
    </w:p>
    <w:p w14:paraId="1C9C4DA4">
      <w:pPr>
        <w:widowControl w:val="0"/>
        <w:spacing w:before="120" w:after="120" w:line="380" w:lineRule="exact"/>
        <w:ind w:firstLine="567"/>
        <w:jc w:val="both"/>
        <w:rPr>
          <w:b/>
          <w:color w:val="000000" w:themeColor="text1"/>
          <w:sz w:val="26"/>
          <w:szCs w:val="26"/>
          <w14:textFill>
            <w14:solidFill>
              <w14:schemeClr w14:val="tx1"/>
            </w14:solidFill>
          </w14:textFill>
        </w:rPr>
      </w:pPr>
      <w:bookmarkStart w:id="41" w:name="_Hlk192369545"/>
      <w:r>
        <w:rPr>
          <w:b/>
          <w:color w:val="000000" w:themeColor="text1"/>
          <w:sz w:val="26"/>
          <w:szCs w:val="26"/>
          <w:lang w:val="vi-VN"/>
          <w14:textFill>
            <w14:solidFill>
              <w14:schemeClr w14:val="tx1"/>
            </w14:solidFill>
          </w14:textFill>
        </w:rPr>
        <w:t xml:space="preserve">Trên cơ sở thẩm định giá, qua khảo sát thực tế vị trí các tài sản thẩm định giá, nghiên cứu động thái thị trường cùng với các phương pháp thẩm định giá được áp dụng trong tính toán, Công ty Cổ phần Dịch vụ Tư vấn và Thẩm định giá Việt Nam thông báo kết quả thẩm định giá tại thời điểm tháng </w:t>
      </w:r>
      <w:r>
        <w:rPr>
          <w:b/>
          <w:color w:val="000000" w:themeColor="text1"/>
          <w:sz w:val="26"/>
          <w:szCs w:val="26"/>
          <w14:textFill>
            <w14:solidFill>
              <w14:schemeClr w14:val="tx1"/>
            </w14:solidFill>
          </w14:textFill>
        </w:rPr>
        <w:t>01/2025</w:t>
      </w:r>
      <w:r>
        <w:rPr>
          <w:b/>
          <w:color w:val="000000" w:themeColor="text1"/>
          <w:sz w:val="26"/>
          <w:szCs w:val="26"/>
          <w:lang w:val="vi-VN"/>
          <w14:textFill>
            <w14:solidFill>
              <w14:schemeClr w14:val="tx1"/>
            </w14:solidFill>
          </w14:textFill>
        </w:rPr>
        <w:t xml:space="preserve"> đối với diện tích </w:t>
      </w:r>
      <w:r>
        <w:rPr>
          <w:b/>
          <w:color w:val="000000" w:themeColor="text1"/>
          <w:sz w:val="26"/>
          <w:szCs w:val="26"/>
          <w14:textFill>
            <w14:solidFill>
              <w14:schemeClr w14:val="tx1"/>
            </w14:solidFill>
          </w14:textFill>
        </w:rPr>
        <w:t>34.702,2</w:t>
      </w:r>
      <w:r>
        <w:rPr>
          <w:b/>
          <w:color w:val="000000" w:themeColor="text1"/>
          <w:sz w:val="26"/>
          <w:szCs w:val="26"/>
          <w:lang w:val="vi-VN"/>
          <w14:textFill>
            <w14:solidFill>
              <w14:schemeClr w14:val="tx1"/>
            </w14:solidFill>
          </w14:textFill>
        </w:rPr>
        <w:t xml:space="preserve"> m2 đất giao có thu tiền sử dụng đất </w:t>
      </w:r>
      <w:r>
        <w:rPr>
          <w:bCs/>
          <w:color w:val="000000" w:themeColor="text1"/>
          <w:sz w:val="26"/>
          <w:szCs w:val="26"/>
          <w:lang w:val="vi-VN"/>
          <w14:textFill>
            <w14:solidFill>
              <w14:schemeClr w14:val="tx1"/>
            </w14:solidFill>
          </w14:textFill>
        </w:rPr>
        <w:t>(Tại quyết định số</w:t>
      </w:r>
      <w:r>
        <w:rPr>
          <w:b/>
          <w:color w:val="000000" w:themeColor="text1"/>
          <w:sz w:val="26"/>
          <w:szCs w:val="26"/>
          <w14:textFill>
            <w14:solidFill>
              <w14:schemeClr w14:val="tx1"/>
            </w14:solidFill>
          </w14:textFill>
        </w:rPr>
        <w:t xml:space="preserve"> </w:t>
      </w:r>
      <w:r>
        <w:rPr>
          <w:bCs/>
          <w:iCs/>
          <w:spacing w:val="-6"/>
          <w:sz w:val="26"/>
          <w:szCs w:val="26"/>
        </w:rPr>
        <w:t>8</w:t>
      </w:r>
      <w:r>
        <w:rPr>
          <w:bCs/>
          <w:iCs/>
          <w:spacing w:val="-6"/>
          <w:sz w:val="26"/>
          <w:szCs w:val="26"/>
          <w:lang w:val="vi-VN"/>
        </w:rPr>
        <w:t xml:space="preserve">6/QĐ-UBND ngày </w:t>
      </w:r>
      <w:r>
        <w:rPr>
          <w:bCs/>
          <w:iCs/>
          <w:spacing w:val="-6"/>
          <w:sz w:val="26"/>
          <w:szCs w:val="26"/>
        </w:rPr>
        <w:t>09</w:t>
      </w:r>
      <w:r>
        <w:rPr>
          <w:bCs/>
          <w:iCs/>
          <w:spacing w:val="-6"/>
          <w:sz w:val="26"/>
          <w:szCs w:val="26"/>
          <w:lang w:val="vi-VN"/>
        </w:rPr>
        <w:t xml:space="preserve"> tháng </w:t>
      </w:r>
      <w:r>
        <w:rPr>
          <w:bCs/>
          <w:iCs/>
          <w:spacing w:val="-6"/>
          <w:sz w:val="26"/>
          <w:szCs w:val="26"/>
        </w:rPr>
        <w:t>01</w:t>
      </w:r>
      <w:r>
        <w:rPr>
          <w:bCs/>
          <w:iCs/>
          <w:spacing w:val="-6"/>
          <w:sz w:val="26"/>
          <w:szCs w:val="26"/>
          <w:lang w:val="vi-VN"/>
        </w:rPr>
        <w:t xml:space="preserve"> năm 202</w:t>
      </w:r>
      <w:r>
        <w:rPr>
          <w:bCs/>
          <w:iCs/>
          <w:spacing w:val="-6"/>
          <w:sz w:val="26"/>
          <w:szCs w:val="26"/>
        </w:rPr>
        <w:t>5</w:t>
      </w:r>
      <w:r>
        <w:rPr>
          <w:bCs/>
          <w:iCs/>
          <w:spacing w:val="-6"/>
          <w:sz w:val="26"/>
          <w:szCs w:val="26"/>
          <w:lang w:val="vi-VN"/>
        </w:rPr>
        <w:t xml:space="preserve"> của UBND tỉnh Lạng Sơn Về việc giao đất cho Liên danh Công ty Cổ phần Đầu tư xây dựng hạ tầng Chi Lăng và Công ty Cổ phần Tập đoàn BGI để thực hiện dự án Khu đô thị </w:t>
      </w:r>
      <w:r>
        <w:rPr>
          <w:bCs/>
          <w:iCs/>
          <w:spacing w:val="-6"/>
          <w:sz w:val="26"/>
          <w:szCs w:val="26"/>
        </w:rPr>
        <w:t>phía Đông Nam, thị trấn Đồng Mỏ (nay là xã Chi Lăng, tỉnh Lạng Sơn))</w:t>
      </w:r>
      <w:r>
        <w:rPr>
          <w:b/>
          <w:color w:val="000000" w:themeColor="text1"/>
          <w:sz w:val="26"/>
          <w:szCs w:val="26"/>
          <w:lang w:val="vi-VN"/>
          <w14:textFill>
            <w14:solidFill>
              <w14:schemeClr w14:val="tx1"/>
            </w14:solidFill>
          </w14:textFill>
        </w:rPr>
        <w:t xml:space="preserve"> </w:t>
      </w:r>
      <w:r>
        <w:rPr>
          <w:bCs/>
          <w:color w:val="000000" w:themeColor="text1"/>
          <w:sz w:val="26"/>
          <w:szCs w:val="26"/>
          <w:lang w:val="vi-VN"/>
          <w14:textFill>
            <w14:solidFill>
              <w14:schemeClr w14:val="tx1"/>
            </w14:solidFill>
          </w14:textFill>
        </w:rPr>
        <w:t>là</w:t>
      </w:r>
      <w:r>
        <w:rPr>
          <w:b/>
          <w:color w:val="000000" w:themeColor="text1"/>
          <w:sz w:val="26"/>
          <w:szCs w:val="26"/>
          <w:lang w:val="vi-VN"/>
          <w14:textFill>
            <w14:solidFill>
              <w14:schemeClr w14:val="tx1"/>
            </w14:solidFill>
          </w14:textFill>
        </w:rPr>
        <w:t>:</w:t>
      </w:r>
      <w:r>
        <w:rPr>
          <w:b/>
          <w:color w:val="000000" w:themeColor="text1"/>
          <w:sz w:val="26"/>
          <w:szCs w:val="26"/>
          <w14:textFill>
            <w14:solidFill>
              <w14:schemeClr w14:val="tx1"/>
            </w14:solidFill>
          </w14:textFill>
        </w:rPr>
        <w:t xml:space="preserve"> 4.016.000 đồng/m2</w:t>
      </w:r>
    </w:p>
    <w:p w14:paraId="335B466D">
      <w:pPr>
        <w:widowControl w:val="0"/>
        <w:spacing w:before="120" w:after="120" w:line="380" w:lineRule="exact"/>
        <w:jc w:val="center"/>
        <w:rPr>
          <w:i/>
          <w:color w:val="000000" w:themeColor="text1"/>
          <w:spacing w:val="-4"/>
          <w:sz w:val="26"/>
          <w:szCs w:val="26"/>
          <w:lang w:val="vi-VN"/>
          <w14:textFill>
            <w14:solidFill>
              <w14:schemeClr w14:val="tx1"/>
            </w14:solidFill>
          </w14:textFill>
        </w:rPr>
      </w:pPr>
      <w:r>
        <w:rPr>
          <w:i/>
          <w:color w:val="000000" w:themeColor="text1"/>
          <w:spacing w:val="-4"/>
          <w:sz w:val="26"/>
          <w:szCs w:val="26"/>
          <w:lang w:val="vi-VN"/>
          <w14:textFill>
            <w14:solidFill>
              <w14:schemeClr w14:val="tx1"/>
            </w14:solidFill>
          </w14:textFill>
        </w:rPr>
        <w:t>(Bằng chữ:</w:t>
      </w:r>
      <w:r>
        <w:rPr>
          <w:i/>
          <w:color w:val="000000" w:themeColor="text1"/>
          <w:spacing w:val="-4"/>
          <w:sz w:val="26"/>
          <w:szCs w:val="26"/>
          <w14:textFill>
            <w14:solidFill>
              <w14:schemeClr w14:val="tx1"/>
            </w14:solidFill>
          </w14:textFill>
        </w:rPr>
        <w:t xml:space="preserve"> Bốn triệu không trăm mười sáu nghìn đồng trên mét vuông</w:t>
      </w:r>
      <w:r>
        <w:rPr>
          <w:i/>
          <w:color w:val="000000" w:themeColor="text1"/>
          <w:spacing w:val="-4"/>
          <w:sz w:val="26"/>
          <w:szCs w:val="26"/>
          <w:lang w:val="vi-VN"/>
          <w14:textFill>
            <w14:solidFill>
              <w14:schemeClr w14:val="tx1"/>
            </w14:solidFill>
          </w14:textFill>
        </w:rPr>
        <w:t>)</w:t>
      </w:r>
    </w:p>
    <w:bookmarkEnd w:id="41"/>
    <w:p w14:paraId="5E1AED6E">
      <w:pPr>
        <w:widowControl w:val="0"/>
        <w:spacing w:before="120" w:after="120" w:line="380" w:lineRule="exact"/>
        <w:ind w:firstLine="567"/>
        <w:jc w:val="both"/>
        <w:rPr>
          <w:i/>
          <w:color w:val="000000" w:themeColor="text1"/>
          <w:spacing w:val="-4"/>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VIII. NHỮNG LƯU Ý KÈM THEO KẾT QUẢ THẨM ĐỊNH GIÁ</w:t>
      </w:r>
    </w:p>
    <w:p w14:paraId="4A138A39">
      <w:pPr>
        <w:widowControl w:val="0"/>
        <w:spacing w:before="120" w:after="120" w:line="380" w:lineRule="exact"/>
        <w:ind w:firstLine="561"/>
        <w:jc w:val="both"/>
        <w:rPr>
          <w:color w:val="000000" w:themeColor="text1"/>
          <w:sz w:val="26"/>
          <w:szCs w:val="26"/>
          <w:lang w:val="vi-VN"/>
          <w14:textFill>
            <w14:solidFill>
              <w14:schemeClr w14:val="tx1"/>
            </w14:solidFill>
          </w14:textFill>
        </w:rPr>
      </w:pPr>
      <w:bookmarkStart w:id="42" w:name="_Hlk150372640"/>
      <w:r>
        <w:rPr>
          <w:color w:val="000000" w:themeColor="text1"/>
          <w:sz w:val="26"/>
          <w:szCs w:val="26"/>
          <w:lang w:val="vi-VN"/>
          <w14:textFill>
            <w14:solidFill>
              <w14:schemeClr w14:val="tx1"/>
            </w14:solidFill>
          </w14:textFill>
        </w:rPr>
        <w:t xml:space="preserve">Kết quả định giá chỉ xác định giá đất làm một trong những cơ sở xác định giá thu tiền sử dụng đất để thực hiện dự án </w:t>
      </w:r>
      <w:r>
        <w:rPr>
          <w:color w:val="000000" w:themeColor="text1"/>
          <w:sz w:val="26"/>
          <w:szCs w:val="26"/>
          <w:lang w:val="da-DK"/>
          <w14:textFill>
            <w14:solidFill>
              <w14:schemeClr w14:val="tx1"/>
            </w14:solidFill>
          </w14:textFill>
        </w:rPr>
        <w:t xml:space="preserve">đầu tư xây dựng </w:t>
      </w:r>
      <w:r>
        <w:rPr>
          <w:color w:val="000000" w:themeColor="text1"/>
          <w:sz w:val="26"/>
          <w:szCs w:val="26"/>
          <w:lang w:val="vi-VN"/>
          <w14:textFill>
            <w14:solidFill>
              <w14:schemeClr w14:val="tx1"/>
            </w14:solidFill>
          </w14:textFill>
        </w:rPr>
        <w:t>Khu đô thị phía Đông Nam thị trấn Đồng Mỏ</w:t>
      </w:r>
      <w:r>
        <w:rPr>
          <w:color w:val="000000" w:themeColor="text1"/>
          <w:sz w:val="26"/>
          <w:szCs w:val="26"/>
          <w14:textFill>
            <w14:solidFill>
              <w14:schemeClr w14:val="tx1"/>
            </w14:solidFill>
          </w14:textFill>
        </w:rPr>
        <w:t xml:space="preserve"> (nay là xã Chi Lăng, tỉnh Lạng Sơn) (đợt 1) </w:t>
      </w:r>
      <w:r>
        <w:rPr>
          <w:color w:val="000000" w:themeColor="text1"/>
          <w:sz w:val="26"/>
          <w:szCs w:val="26"/>
          <w:lang w:val="vi-VN"/>
          <w14:textFill>
            <w14:solidFill>
              <w14:schemeClr w14:val="tx1"/>
            </w14:solidFill>
          </w14:textFill>
        </w:rPr>
        <w:t>tại thời điểm định giá; không bao gồm các loại</w:t>
      </w:r>
      <w:r>
        <w:rPr>
          <w:color w:val="000000" w:themeColor="text1"/>
          <w:sz w:val="26"/>
          <w:szCs w:val="26"/>
          <w:lang w:val="da-DK"/>
          <w14:textFill>
            <w14:solidFill>
              <w14:schemeClr w14:val="tx1"/>
            </w14:solidFill>
          </w14:textFill>
        </w:rPr>
        <w:t xml:space="preserve"> thuế,</w:t>
      </w:r>
      <w:r>
        <w:rPr>
          <w:color w:val="000000" w:themeColor="text1"/>
          <w:sz w:val="26"/>
          <w:szCs w:val="26"/>
          <w:lang w:val="vi-VN"/>
          <w14:textFill>
            <w14:solidFill>
              <w14:schemeClr w14:val="tx1"/>
            </w14:solidFill>
          </w14:textFill>
        </w:rPr>
        <w:t xml:space="preserve"> phí, lệ phí theo quy định hiện hành.</w:t>
      </w:r>
    </w:p>
    <w:bookmarkEnd w:id="42"/>
    <w:p w14:paraId="6AAA90CF">
      <w:pPr>
        <w:widowControl w:val="0"/>
        <w:spacing w:before="120" w:after="120" w:line="380" w:lineRule="exact"/>
        <w:ind w:firstLine="56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Kết quả định giá chỉ được sử dụng cho mục đích đã được đề cập tại mục 1.3 của văn bản này và chỉ có giá trị sử dụng trong thời hạn 6 tháng (180 ngày) kể từ ngày ban hành chứng thư thẩm định giá nếu không có biến động lớn về thị trường và những thay đổi chính sách do Nhà nước quy định.</w:t>
      </w:r>
    </w:p>
    <w:p w14:paraId="2C8248D1">
      <w:pPr>
        <w:widowControl w:val="0"/>
        <w:spacing w:before="120" w:after="120" w:line="380" w:lineRule="exact"/>
        <w:ind w:firstLine="56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Kết quả định giá được thẩm định viên tiến hành một cách độc lập, chuyên nghiệp, cẩn trọng với kiến thức, kỹ năng và trách nhiệm cao nhất với giới hạn theo yêu cầu của khách hàng.</w:t>
      </w:r>
    </w:p>
    <w:p w14:paraId="1D3037D2">
      <w:pPr>
        <w:widowControl w:val="0"/>
        <w:spacing w:before="120" w:after="120" w:line="380" w:lineRule="exact"/>
        <w:ind w:firstLine="561"/>
        <w:jc w:val="both"/>
        <w:rPr>
          <w:color w:val="000000" w:themeColor="text1"/>
          <w:spacing w:val="-4"/>
          <w:sz w:val="26"/>
          <w:szCs w:val="26"/>
          <w:lang w:val="vi-VN"/>
          <w14:textFill>
            <w14:solidFill>
              <w14:schemeClr w14:val="tx1"/>
            </w14:solidFill>
          </w14:textFill>
        </w:rPr>
      </w:pPr>
      <w:r>
        <w:rPr>
          <w:color w:val="000000" w:themeColor="text1"/>
          <w:spacing w:val="-4"/>
          <w:sz w:val="26"/>
          <w:szCs w:val="26"/>
          <w:lang w:val="vi-VN"/>
          <w14:textFill>
            <w14:solidFill>
              <w14:schemeClr w14:val="tx1"/>
            </w14:solidFill>
          </w14:textFill>
        </w:rPr>
        <w:t xml:space="preserve">Chứng thư định giá chỉ sử dụng bản chính và chỉ cấp cho khách hàng yêu cầu thẩm định giá, số lượng bản chính cấp cho khách hàng được ghi rõ trong Hợp đồng định giá. Trường hợp khách hàng có yêu cầu cung cấp thêm bản sao chứng thư thì phải có văn bản yêu cầu, nêu rõ mục đích và Kết quả thẩm định giá còn trong thời hạn đã nêu tại điểm 2 mục này. </w:t>
      </w:r>
      <w:r>
        <w:rPr>
          <w:color w:val="000000" w:themeColor="text1"/>
          <w:sz w:val="26"/>
          <w:szCs w:val="26"/>
          <w:lang w:val="da-DK"/>
          <w14:textFill>
            <w14:solidFill>
              <w14:schemeClr w14:val="tx1"/>
            </w14:solidFill>
          </w14:textFill>
        </w:rPr>
        <w:t>Công ty Cổ phần Dịch vụ Tư vấn và Thẩm định giá Việt Nam</w:t>
      </w:r>
      <w:r>
        <w:rPr>
          <w:color w:val="000000" w:themeColor="text1"/>
          <w:spacing w:val="-4"/>
          <w:sz w:val="26"/>
          <w:szCs w:val="26"/>
          <w:lang w:val="vi-VN"/>
          <w14:textFill>
            <w14:solidFill>
              <w14:schemeClr w14:val="tx1"/>
            </w14:solidFill>
          </w14:textFill>
        </w:rPr>
        <w:t xml:space="preserve"> (VCVS) chỉ chịu trách nhiệm về số lượng văn bản (bản gốc, bản chính và bản sao) do Công ty phát hành, các văn bản sao không có xác nhận của Công ty Cổ phần Dịch vụ Tư vấn và Thẩm định giá Việt Nam đều không có giá trị.</w:t>
      </w:r>
    </w:p>
    <w:p w14:paraId="3D23D907">
      <w:pPr>
        <w:widowControl w:val="0"/>
        <w:spacing w:before="120" w:after="120" w:line="380" w:lineRule="exact"/>
        <w:ind w:firstLine="561"/>
        <w:jc w:val="both"/>
        <w:rPr>
          <w:color w:val="000000" w:themeColor="text1"/>
          <w:sz w:val="26"/>
          <w:szCs w:val="26"/>
          <w14:textFill>
            <w14:solidFill>
              <w14:schemeClr w14:val="tx1"/>
            </w14:solidFill>
          </w14:textFill>
        </w:rPr>
      </w:pPr>
    </w:p>
    <w:p w14:paraId="5DDA281D">
      <w:pPr>
        <w:widowControl w:val="0"/>
        <w:spacing w:before="120" w:after="120" w:line="380" w:lineRule="exact"/>
        <w:ind w:firstLine="56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Chứng thư định giá không có giá trị thay thế cho bất kỳ loại giấy chứng nhận quyền sở hữu tài sản nào của Khách hàng yêu cầu định giá.</w:t>
      </w:r>
    </w:p>
    <w:p w14:paraId="1541BC8D">
      <w:pPr>
        <w:widowControl w:val="0"/>
        <w:spacing w:before="120" w:after="120" w:line="380" w:lineRule="exact"/>
        <w:ind w:firstLine="56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Chứng thư định giá chỉ có giá trị tư vấn để các bên làm cơ sở xem xét, cân nhắc và quyết định thực hiện theo mục đích đã ghi trên Chứng thư.</w:t>
      </w:r>
    </w:p>
    <w:p w14:paraId="6DB1DC18">
      <w:pPr>
        <w:widowControl w:val="0"/>
        <w:spacing w:before="120" w:after="120" w:line="380" w:lineRule="exact"/>
        <w:ind w:firstLine="561"/>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Sở Nông nghiệp và Môi trường tỉnh Lạng Sơn và các bên liên quan chịu trách nhiệm về tính chính xác của các thông tin liên quan đến tài sản đề nghị định giá đã cung cấp cho Công ty Cổ phần Dịch vụ Tư vấn và Thẩm định giá Việt Nam trong quá trình định giá và sử dụng kết quả chứng thư định giá theo đúng quy định.</w:t>
      </w:r>
    </w:p>
    <w:p w14:paraId="353F7246">
      <w:pPr>
        <w:widowControl w:val="0"/>
        <w:tabs>
          <w:tab w:val="left" w:pos="5812"/>
          <w:tab w:val="left" w:pos="6096"/>
        </w:tabs>
        <w:spacing w:before="120" w:after="120" w:line="380" w:lineRule="exact"/>
        <w:ind w:firstLine="561"/>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Công ty Cổ phần Dịch vụ Tư vấn và Thẩm định giá Việt Nam thông báo kết quả định giá đất để Sở Nông nghiệp và Môi trường tỉnh Lạng Sơn tham khảo, sử dụng kết quả định giá đất theo đúng mục đích và quy định hiện hành.</w:t>
      </w:r>
    </w:p>
    <w:p w14:paraId="0843E638">
      <w:pPr>
        <w:widowControl w:val="0"/>
        <w:tabs>
          <w:tab w:val="left" w:pos="5812"/>
          <w:tab w:val="left" w:pos="6096"/>
        </w:tabs>
        <w:spacing w:before="120" w:after="120" w:line="380" w:lineRule="exact"/>
        <w:ind w:firstLine="561"/>
        <w:jc w:val="both"/>
        <w:rPr>
          <w:color w:val="000000" w:themeColor="text1"/>
          <w:sz w:val="26"/>
          <w:szCs w:val="26"/>
          <w14:textFill>
            <w14:solidFill>
              <w14:schemeClr w14:val="tx1"/>
            </w14:solidFill>
          </w14:textFill>
        </w:rPr>
      </w:pPr>
    </w:p>
    <w:tbl>
      <w:tblPr>
        <w:tblStyle w:val="9"/>
        <w:tblW w:w="5000" w:type="pct"/>
        <w:jc w:val="center"/>
        <w:tblLayout w:type="autofit"/>
        <w:tblCellMar>
          <w:top w:w="0" w:type="dxa"/>
          <w:left w:w="108" w:type="dxa"/>
          <w:bottom w:w="0" w:type="dxa"/>
          <w:right w:w="108" w:type="dxa"/>
        </w:tblCellMar>
      </w:tblPr>
      <w:tblGrid>
        <w:gridCol w:w="4335"/>
        <w:gridCol w:w="4951"/>
      </w:tblGrid>
      <w:tr w14:paraId="089C7E85">
        <w:tblPrEx>
          <w:tblCellMar>
            <w:top w:w="0" w:type="dxa"/>
            <w:left w:w="108" w:type="dxa"/>
            <w:bottom w:w="0" w:type="dxa"/>
            <w:right w:w="108" w:type="dxa"/>
          </w:tblCellMar>
        </w:tblPrEx>
        <w:trPr>
          <w:trHeight w:val="2632" w:hRule="atLeast"/>
          <w:jc w:val="center"/>
        </w:trPr>
        <w:tc>
          <w:tcPr>
            <w:tcW w:w="2334" w:type="pct"/>
            <w:vAlign w:val="center"/>
          </w:tcPr>
          <w:p w14:paraId="4EC4A097">
            <w:pPr>
              <w:tabs>
                <w:tab w:val="left" w:pos="4890"/>
              </w:tabs>
              <w:spacing w:before="120" w:after="120"/>
              <w:jc w:val="center"/>
              <w:rPr>
                <w:rFonts w:eastAsia="SimSun"/>
                <w:b/>
                <w:sz w:val="26"/>
                <w:szCs w:val="26"/>
                <w:lang w:val="vi-VN"/>
              </w:rPr>
            </w:pPr>
            <w:bookmarkStart w:id="43" w:name="_Hlk142856161"/>
            <w:r>
              <w:rPr>
                <w:rFonts w:eastAsia="SimSun"/>
                <w:b/>
                <w:sz w:val="26"/>
                <w:szCs w:val="26"/>
                <w:lang w:val="vi-VN"/>
              </w:rPr>
              <w:t>Người lập báo cáo</w:t>
            </w:r>
          </w:p>
          <w:p w14:paraId="6851ABDA">
            <w:pPr>
              <w:tabs>
                <w:tab w:val="left" w:pos="4890"/>
              </w:tabs>
              <w:spacing w:before="120" w:after="120"/>
              <w:jc w:val="center"/>
              <w:rPr>
                <w:rFonts w:eastAsia="SimSun"/>
                <w:b/>
                <w:sz w:val="26"/>
                <w:szCs w:val="26"/>
                <w:lang w:val="vi-VN"/>
              </w:rPr>
            </w:pPr>
            <w:r>
              <w:rPr>
                <w:rFonts w:eastAsia="SimSun"/>
                <w:b/>
                <w:sz w:val="26"/>
                <w:szCs w:val="26"/>
                <w:lang w:val="vi-VN"/>
              </w:rPr>
              <w:t>Thẩm định viên về giá</w:t>
            </w:r>
          </w:p>
          <w:p w14:paraId="203ABE30">
            <w:pPr>
              <w:tabs>
                <w:tab w:val="left" w:pos="4890"/>
              </w:tabs>
              <w:spacing w:before="120" w:after="120"/>
              <w:jc w:val="center"/>
              <w:rPr>
                <w:rFonts w:eastAsia="SimSun"/>
                <w:sz w:val="26"/>
                <w:szCs w:val="26"/>
                <w:lang w:val="vi-VN"/>
              </w:rPr>
            </w:pPr>
          </w:p>
          <w:p w14:paraId="089EF1CF">
            <w:pPr>
              <w:tabs>
                <w:tab w:val="left" w:pos="4890"/>
              </w:tabs>
              <w:spacing w:before="120" w:after="120"/>
              <w:jc w:val="center"/>
              <w:rPr>
                <w:rFonts w:eastAsia="SimSun"/>
                <w:sz w:val="26"/>
                <w:szCs w:val="26"/>
                <w:lang w:val="vi-VN"/>
              </w:rPr>
            </w:pPr>
          </w:p>
          <w:p w14:paraId="54AF58C8">
            <w:pPr>
              <w:tabs>
                <w:tab w:val="left" w:pos="4890"/>
              </w:tabs>
              <w:spacing w:before="120" w:after="120"/>
              <w:jc w:val="center"/>
              <w:rPr>
                <w:rFonts w:eastAsia="SimSun"/>
                <w:sz w:val="26"/>
                <w:szCs w:val="26"/>
                <w:lang w:val="vi-VN"/>
              </w:rPr>
            </w:pPr>
          </w:p>
          <w:p w14:paraId="65EDCE8A">
            <w:pPr>
              <w:tabs>
                <w:tab w:val="left" w:pos="4890"/>
              </w:tabs>
              <w:spacing w:before="120" w:after="120"/>
              <w:jc w:val="center"/>
              <w:rPr>
                <w:rFonts w:eastAsia="SimSun"/>
                <w:b/>
                <w:sz w:val="26"/>
                <w:szCs w:val="26"/>
                <w:lang w:val="vi-VN"/>
              </w:rPr>
            </w:pPr>
            <w:r>
              <w:rPr>
                <w:rFonts w:eastAsia="SimSun"/>
                <w:b/>
                <w:sz w:val="26"/>
                <w:szCs w:val="26"/>
                <w:lang w:val="vi-VN"/>
              </w:rPr>
              <w:t>Lê Mạnh Cường</w:t>
            </w:r>
          </w:p>
          <w:p w14:paraId="6F1974D3">
            <w:pPr>
              <w:tabs>
                <w:tab w:val="left" w:pos="4890"/>
              </w:tabs>
              <w:spacing w:before="120" w:after="120"/>
              <w:jc w:val="center"/>
              <w:rPr>
                <w:rFonts w:eastAsia="SimSun"/>
                <w:bCs/>
                <w:sz w:val="26"/>
                <w:szCs w:val="26"/>
                <w:lang w:val="vi-VN"/>
              </w:rPr>
            </w:pPr>
            <w:r>
              <w:rPr>
                <w:rFonts w:eastAsia="SimSun"/>
                <w:sz w:val="26"/>
                <w:szCs w:val="26"/>
                <w:lang w:val="vi-VN"/>
              </w:rPr>
              <w:t>(Thẻ TĐV số: XIV19.2125</w:t>
            </w:r>
            <w:r>
              <w:rPr>
                <w:rFonts w:eastAsia="SimSun"/>
                <w:b/>
                <w:sz w:val="26"/>
                <w:szCs w:val="26"/>
                <w:lang w:val="vi-VN"/>
              </w:rPr>
              <w:t>)</w:t>
            </w:r>
          </w:p>
        </w:tc>
        <w:tc>
          <w:tcPr>
            <w:tcW w:w="2666" w:type="pct"/>
            <w:vAlign w:val="center"/>
          </w:tcPr>
          <w:p w14:paraId="3EA3A3AF">
            <w:pPr>
              <w:tabs>
                <w:tab w:val="left" w:pos="4890"/>
              </w:tabs>
              <w:spacing w:before="120" w:after="120"/>
              <w:rPr>
                <w:rFonts w:eastAsia="SimSun"/>
                <w:b/>
                <w:sz w:val="26"/>
                <w:szCs w:val="26"/>
                <w:lang w:val="vi-VN"/>
              </w:rPr>
            </w:pPr>
            <w:r>
              <w:rPr>
                <w:rFonts w:eastAsia="SimSun"/>
                <w:b/>
                <w:sz w:val="26"/>
                <w:szCs w:val="26"/>
                <w:lang w:val="vi-VN"/>
              </w:rPr>
              <w:t xml:space="preserve">                    Tổng Giám đốc</w:t>
            </w:r>
          </w:p>
          <w:p w14:paraId="26CB531B">
            <w:pPr>
              <w:spacing w:before="120" w:after="120"/>
              <w:jc w:val="center"/>
              <w:rPr>
                <w:rFonts w:eastAsia="SimSun"/>
                <w:sz w:val="26"/>
                <w:szCs w:val="26"/>
                <w:lang w:val="vi-VN"/>
              </w:rPr>
            </w:pPr>
          </w:p>
          <w:p w14:paraId="6140072D">
            <w:pPr>
              <w:spacing w:before="120" w:after="120"/>
              <w:jc w:val="center"/>
              <w:rPr>
                <w:rFonts w:eastAsia="SimSun"/>
                <w:sz w:val="26"/>
                <w:szCs w:val="26"/>
                <w:lang w:val="vi-VN"/>
              </w:rPr>
            </w:pPr>
          </w:p>
          <w:p w14:paraId="7060376A">
            <w:pPr>
              <w:spacing w:before="120" w:after="120"/>
              <w:jc w:val="center"/>
              <w:rPr>
                <w:rFonts w:eastAsia="SimSun"/>
                <w:sz w:val="26"/>
                <w:szCs w:val="26"/>
                <w:lang w:val="vi-VN"/>
              </w:rPr>
            </w:pPr>
          </w:p>
          <w:p w14:paraId="363AD731">
            <w:pPr>
              <w:spacing w:before="120" w:after="120"/>
              <w:jc w:val="center"/>
              <w:rPr>
                <w:rFonts w:eastAsia="SimSun"/>
                <w:sz w:val="26"/>
                <w:szCs w:val="26"/>
                <w:lang w:val="vi-VN"/>
              </w:rPr>
            </w:pPr>
          </w:p>
          <w:p w14:paraId="0A5E4C0B">
            <w:pPr>
              <w:tabs>
                <w:tab w:val="left" w:pos="4890"/>
              </w:tabs>
              <w:spacing w:before="120" w:after="120"/>
              <w:jc w:val="center"/>
              <w:rPr>
                <w:rFonts w:eastAsia="SimSun"/>
                <w:b/>
                <w:sz w:val="26"/>
                <w:szCs w:val="26"/>
                <w:lang w:val="vi-VN"/>
              </w:rPr>
            </w:pPr>
            <w:r>
              <w:rPr>
                <w:rFonts w:eastAsia="SimSun"/>
                <w:b/>
                <w:sz w:val="26"/>
                <w:szCs w:val="26"/>
                <w:lang w:val="vi-VN"/>
              </w:rPr>
              <w:t>Đinh Việt Khánh</w:t>
            </w:r>
          </w:p>
          <w:p w14:paraId="5E980248">
            <w:pPr>
              <w:tabs>
                <w:tab w:val="left" w:pos="4890"/>
              </w:tabs>
              <w:spacing w:before="120" w:after="120"/>
              <w:jc w:val="center"/>
              <w:rPr>
                <w:rFonts w:eastAsia="SimSun"/>
                <w:sz w:val="26"/>
                <w:szCs w:val="26"/>
                <w:lang w:val="pt-BR"/>
              </w:rPr>
            </w:pPr>
            <w:r>
              <w:rPr>
                <w:rFonts w:eastAsia="SimSun"/>
                <w:sz w:val="26"/>
                <w:szCs w:val="26"/>
                <w:lang w:val="pt-BR"/>
              </w:rPr>
              <w:t>(Thẻ TĐV số: X15</w:t>
            </w:r>
            <w:r>
              <w:rPr>
                <w:rFonts w:eastAsia="SimSun"/>
                <w:sz w:val="26"/>
                <w:szCs w:val="26"/>
                <w:lang w:val="vi-VN"/>
              </w:rPr>
              <w:t>.1329</w:t>
            </w:r>
            <w:r>
              <w:rPr>
                <w:rFonts w:eastAsia="SimSun"/>
                <w:sz w:val="26"/>
                <w:szCs w:val="26"/>
                <w:lang w:val="pt-BR"/>
              </w:rPr>
              <w:t>)</w:t>
            </w:r>
          </w:p>
        </w:tc>
      </w:tr>
      <w:bookmarkEnd w:id="43"/>
    </w:tbl>
    <w:p w14:paraId="01951148">
      <w:pPr>
        <w:widowControl w:val="0"/>
        <w:tabs>
          <w:tab w:val="left" w:pos="5812"/>
          <w:tab w:val="left" w:pos="6096"/>
        </w:tabs>
        <w:spacing w:before="120" w:after="120" w:line="380" w:lineRule="exact"/>
        <w:ind w:firstLine="561"/>
        <w:jc w:val="both"/>
        <w:rPr>
          <w:color w:val="000000" w:themeColor="text1"/>
          <w:sz w:val="26"/>
          <w:szCs w:val="26"/>
          <w14:textFill>
            <w14:solidFill>
              <w14:schemeClr w14:val="tx1"/>
            </w14:solidFill>
          </w14:textFill>
        </w:rPr>
      </w:pPr>
    </w:p>
    <w:tbl>
      <w:tblPr>
        <w:tblStyle w:val="9"/>
        <w:tblW w:w="5000" w:type="pct"/>
        <w:tblInd w:w="0" w:type="dxa"/>
        <w:tblLayout w:type="autofit"/>
        <w:tblCellMar>
          <w:top w:w="0" w:type="dxa"/>
          <w:left w:w="108" w:type="dxa"/>
          <w:bottom w:w="0" w:type="dxa"/>
          <w:right w:w="108" w:type="dxa"/>
        </w:tblCellMar>
      </w:tblPr>
      <w:tblGrid>
        <w:gridCol w:w="9286"/>
      </w:tblGrid>
      <w:tr w14:paraId="2F460A87">
        <w:trPr>
          <w:trHeight w:val="20" w:hRule="atLeast"/>
        </w:trPr>
        <w:tc>
          <w:tcPr>
            <w:tcW w:w="5000" w:type="pct"/>
            <w:vAlign w:val="center"/>
          </w:tcPr>
          <w:p w14:paraId="27405359">
            <w:pPr>
              <w:tabs>
                <w:tab w:val="left" w:pos="4890"/>
              </w:tabs>
              <w:spacing w:before="120" w:after="120" w:line="340" w:lineRule="exact"/>
              <w:jc w:val="center"/>
              <w:rPr>
                <w:b/>
                <w:sz w:val="26"/>
                <w:szCs w:val="26"/>
                <w:lang w:val="vi-VN"/>
              </w:rPr>
            </w:pPr>
            <w:r>
              <w:rPr>
                <w:b/>
                <w:sz w:val="26"/>
                <w:szCs w:val="26"/>
                <w:lang w:val="vi-VN"/>
              </w:rPr>
              <w:t>Cán bộ thẩm định</w:t>
            </w:r>
          </w:p>
          <w:p w14:paraId="69CA4DBA">
            <w:pPr>
              <w:tabs>
                <w:tab w:val="left" w:pos="4890"/>
              </w:tabs>
              <w:spacing w:before="120" w:after="120" w:line="340" w:lineRule="exact"/>
              <w:jc w:val="center"/>
              <w:rPr>
                <w:b/>
                <w:sz w:val="26"/>
                <w:szCs w:val="26"/>
                <w:lang w:val="vi-VN"/>
              </w:rPr>
            </w:pPr>
          </w:p>
          <w:p w14:paraId="1114D4F4">
            <w:pPr>
              <w:tabs>
                <w:tab w:val="left" w:pos="4890"/>
              </w:tabs>
              <w:spacing w:before="120" w:after="120" w:line="340" w:lineRule="exact"/>
              <w:jc w:val="both"/>
              <w:rPr>
                <w:b/>
                <w:sz w:val="26"/>
                <w:szCs w:val="26"/>
                <w:lang w:val="vi-VN"/>
              </w:rPr>
            </w:pPr>
          </w:p>
          <w:p w14:paraId="673A5C32">
            <w:pPr>
              <w:tabs>
                <w:tab w:val="left" w:pos="4890"/>
              </w:tabs>
              <w:spacing w:before="120" w:after="120" w:line="340" w:lineRule="exact"/>
              <w:jc w:val="both"/>
              <w:rPr>
                <w:b/>
                <w:sz w:val="26"/>
                <w:szCs w:val="26"/>
                <w:lang w:val="vi-VN"/>
              </w:rPr>
            </w:pPr>
          </w:p>
          <w:p w14:paraId="44EFD5E9">
            <w:pPr>
              <w:tabs>
                <w:tab w:val="left" w:pos="4890"/>
              </w:tabs>
              <w:spacing w:before="120" w:after="120" w:line="340" w:lineRule="exact"/>
              <w:jc w:val="both"/>
              <w:rPr>
                <w:b/>
                <w:sz w:val="26"/>
                <w:szCs w:val="26"/>
                <w:lang w:val="vi-VN"/>
              </w:rPr>
            </w:pPr>
          </w:p>
          <w:p w14:paraId="3FEE2D20">
            <w:pPr>
              <w:tabs>
                <w:tab w:val="left" w:pos="4890"/>
              </w:tabs>
              <w:spacing w:before="120" w:after="120" w:line="340" w:lineRule="exact"/>
              <w:jc w:val="center"/>
              <w:rPr>
                <w:b/>
                <w:sz w:val="26"/>
                <w:szCs w:val="26"/>
                <w:lang w:val="vi-VN"/>
              </w:rPr>
            </w:pPr>
            <w:r>
              <w:rPr>
                <w:b/>
                <w:sz w:val="26"/>
                <w:szCs w:val="26"/>
                <w:lang w:val="vi-VN"/>
              </w:rPr>
              <w:t>Tạ Thị Thoa</w:t>
            </w:r>
          </w:p>
        </w:tc>
      </w:tr>
    </w:tbl>
    <w:p w14:paraId="724D4BE3">
      <w:pPr>
        <w:widowControl w:val="0"/>
        <w:spacing w:before="120" w:after="120" w:line="380" w:lineRule="exact"/>
        <w:rPr>
          <w:b/>
          <w:bCs/>
          <w:color w:val="000000" w:themeColor="text1"/>
          <w:spacing w:val="-4"/>
          <w:sz w:val="26"/>
          <w:szCs w:val="26"/>
          <w14:textFill>
            <w14:solidFill>
              <w14:schemeClr w14:val="tx1"/>
            </w14:solidFill>
          </w14:textFill>
        </w:rPr>
      </w:pPr>
    </w:p>
    <w:sectPr>
      <w:pgSz w:w="11905" w:h="16838"/>
      <w:pgMar w:top="1134" w:right="1134" w:bottom="1134" w:left="1701" w:header="720" w:footer="720" w:gutter="0"/>
      <w:cols w:space="0" w:num="1"/>
      <w:docGrid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VnHelvetInsH">
    <w:panose1 w:val="020B7200000000000000"/>
    <w:charset w:val="00"/>
    <w:family w:val="swiss"/>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imes New Roman Bold">
    <w:altName w:val="Times New Roman"/>
    <w:panose1 w:val="02020803070505020304"/>
    <w:charset w:val="00"/>
    <w:family w:val="roman"/>
    <w:pitch w:val="default"/>
    <w:sig w:usb0="00000000" w:usb1="00000000" w:usb2="00000000" w:usb3="00000000" w:csb0="00000001" w:csb1="00000000"/>
  </w:font>
  <w:font w:name="Times New Roman Italic">
    <w:altName w:val="Italic"/>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Italic">
    <w:panose1 w:val="00000400000000000000"/>
    <w:charset w:val="00"/>
    <w:family w:val="auto"/>
    <w:pitch w:val="default"/>
    <w:sig w:usb0="00000207" w:usb1="00000000" w:usb2="00000000" w:usb3="00000000" w:csb0="000001F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773815"/>
    </w:sdtPr>
    <w:sdtContent>
      <w:p w14:paraId="03952DC9">
        <w:pPr>
          <w:pStyle w:val="23"/>
          <w:jc w:val="center"/>
        </w:pPr>
        <w:r>
          <w:t>Trang</w:t>
        </w:r>
        <w:r>
          <w:rPr>
            <w:lang w:val="vi-VN"/>
          </w:rPr>
          <w:t xml:space="preserve"> </w:t>
        </w:r>
        <w:r>
          <w:fldChar w:fldCharType="begin"/>
        </w:r>
        <w:r>
          <w:instrText xml:space="preserve"> PAGE   \* MERGEFORMAT </w:instrText>
        </w:r>
        <w:r>
          <w:fldChar w:fldCharType="separate"/>
        </w:r>
        <w:r>
          <w:t>68</w:t>
        </w:r>
        <w:r>
          <w:fldChar w:fldCharType="end"/>
        </w:r>
      </w:p>
    </w:sdtContent>
  </w:sdt>
  <w:p w14:paraId="0D0A249B">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668F4"/>
    <w:multiLevelType w:val="multilevel"/>
    <w:tmpl w:val="3D9668F4"/>
    <w:lvl w:ilvl="0" w:tentative="0">
      <w:start w:val="1"/>
      <w:numFmt w:val="bullet"/>
      <w:lvlText w:val=""/>
      <w:lvlJc w:val="left"/>
      <w:pPr>
        <w:ind w:left="927" w:hanging="360"/>
      </w:pPr>
      <w:rPr>
        <w:rFonts w:hint="default" w:ascii="Wingdings" w:hAnsi="Wingdings" w:eastAsia="Times New Roma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
    <w:nsid w:val="497B32E4"/>
    <w:multiLevelType w:val="multilevel"/>
    <w:tmpl w:val="497B32E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hideGrammatical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92"/>
    <w:rsid w:val="00000323"/>
    <w:rsid w:val="00000F31"/>
    <w:rsid w:val="0000112E"/>
    <w:rsid w:val="0000165C"/>
    <w:rsid w:val="0000167F"/>
    <w:rsid w:val="00001D48"/>
    <w:rsid w:val="0000204C"/>
    <w:rsid w:val="0000245A"/>
    <w:rsid w:val="000026E7"/>
    <w:rsid w:val="0000287C"/>
    <w:rsid w:val="00002905"/>
    <w:rsid w:val="00002D83"/>
    <w:rsid w:val="000032E7"/>
    <w:rsid w:val="000033F2"/>
    <w:rsid w:val="00003493"/>
    <w:rsid w:val="0000399B"/>
    <w:rsid w:val="00003CDB"/>
    <w:rsid w:val="000048D0"/>
    <w:rsid w:val="00004A8A"/>
    <w:rsid w:val="00004B54"/>
    <w:rsid w:val="00004C0F"/>
    <w:rsid w:val="00004F38"/>
    <w:rsid w:val="000051EC"/>
    <w:rsid w:val="0000528B"/>
    <w:rsid w:val="00005975"/>
    <w:rsid w:val="000064CE"/>
    <w:rsid w:val="0000682F"/>
    <w:rsid w:val="00006AB1"/>
    <w:rsid w:val="00007958"/>
    <w:rsid w:val="00010546"/>
    <w:rsid w:val="000105F7"/>
    <w:rsid w:val="000108E2"/>
    <w:rsid w:val="00010E88"/>
    <w:rsid w:val="00011373"/>
    <w:rsid w:val="000117AA"/>
    <w:rsid w:val="00011891"/>
    <w:rsid w:val="000123CE"/>
    <w:rsid w:val="0001282A"/>
    <w:rsid w:val="00013F89"/>
    <w:rsid w:val="00014449"/>
    <w:rsid w:val="00014F9F"/>
    <w:rsid w:val="000150C2"/>
    <w:rsid w:val="0001553E"/>
    <w:rsid w:val="00015570"/>
    <w:rsid w:val="000159EC"/>
    <w:rsid w:val="00015AC4"/>
    <w:rsid w:val="00016131"/>
    <w:rsid w:val="000161E2"/>
    <w:rsid w:val="0001650C"/>
    <w:rsid w:val="0001692A"/>
    <w:rsid w:val="000169C3"/>
    <w:rsid w:val="00016B08"/>
    <w:rsid w:val="000177E8"/>
    <w:rsid w:val="000179A0"/>
    <w:rsid w:val="00020131"/>
    <w:rsid w:val="000203B0"/>
    <w:rsid w:val="00020516"/>
    <w:rsid w:val="00020BA7"/>
    <w:rsid w:val="00021463"/>
    <w:rsid w:val="00021CC1"/>
    <w:rsid w:val="00021FBF"/>
    <w:rsid w:val="00022233"/>
    <w:rsid w:val="000224F3"/>
    <w:rsid w:val="00022591"/>
    <w:rsid w:val="0002274A"/>
    <w:rsid w:val="00022E2C"/>
    <w:rsid w:val="00024B47"/>
    <w:rsid w:val="00024CBD"/>
    <w:rsid w:val="00024D9E"/>
    <w:rsid w:val="00024E15"/>
    <w:rsid w:val="00024E9B"/>
    <w:rsid w:val="00024F4C"/>
    <w:rsid w:val="00024F7C"/>
    <w:rsid w:val="000250C6"/>
    <w:rsid w:val="00026343"/>
    <w:rsid w:val="00026572"/>
    <w:rsid w:val="00026636"/>
    <w:rsid w:val="00026D09"/>
    <w:rsid w:val="00026FFA"/>
    <w:rsid w:val="000270E2"/>
    <w:rsid w:val="00027256"/>
    <w:rsid w:val="00027A5F"/>
    <w:rsid w:val="00030091"/>
    <w:rsid w:val="000314BD"/>
    <w:rsid w:val="00031554"/>
    <w:rsid w:val="000318AF"/>
    <w:rsid w:val="00031CC8"/>
    <w:rsid w:val="000320F6"/>
    <w:rsid w:val="00032393"/>
    <w:rsid w:val="00032698"/>
    <w:rsid w:val="00032E0D"/>
    <w:rsid w:val="0003304F"/>
    <w:rsid w:val="00033EE1"/>
    <w:rsid w:val="000341EC"/>
    <w:rsid w:val="000351D4"/>
    <w:rsid w:val="000357AC"/>
    <w:rsid w:val="00035BF9"/>
    <w:rsid w:val="00035C3B"/>
    <w:rsid w:val="00035D3C"/>
    <w:rsid w:val="00035F43"/>
    <w:rsid w:val="000367A3"/>
    <w:rsid w:val="00036CCE"/>
    <w:rsid w:val="00036FF8"/>
    <w:rsid w:val="00040B1F"/>
    <w:rsid w:val="00042188"/>
    <w:rsid w:val="00043145"/>
    <w:rsid w:val="000435F3"/>
    <w:rsid w:val="00043B19"/>
    <w:rsid w:val="00044236"/>
    <w:rsid w:val="00044649"/>
    <w:rsid w:val="00044679"/>
    <w:rsid w:val="00044B97"/>
    <w:rsid w:val="00044F62"/>
    <w:rsid w:val="0004510D"/>
    <w:rsid w:val="00045623"/>
    <w:rsid w:val="00045A70"/>
    <w:rsid w:val="00045D34"/>
    <w:rsid w:val="00047093"/>
    <w:rsid w:val="00047E6F"/>
    <w:rsid w:val="0005053E"/>
    <w:rsid w:val="00050B07"/>
    <w:rsid w:val="00051282"/>
    <w:rsid w:val="000512A1"/>
    <w:rsid w:val="000513F6"/>
    <w:rsid w:val="000517B5"/>
    <w:rsid w:val="00052053"/>
    <w:rsid w:val="00052137"/>
    <w:rsid w:val="0005256E"/>
    <w:rsid w:val="0005285E"/>
    <w:rsid w:val="00052867"/>
    <w:rsid w:val="00052A4E"/>
    <w:rsid w:val="000537C6"/>
    <w:rsid w:val="00053EA9"/>
    <w:rsid w:val="000540F5"/>
    <w:rsid w:val="00054376"/>
    <w:rsid w:val="00054753"/>
    <w:rsid w:val="000549FF"/>
    <w:rsid w:val="000551C5"/>
    <w:rsid w:val="000554AA"/>
    <w:rsid w:val="00055DAA"/>
    <w:rsid w:val="0005680A"/>
    <w:rsid w:val="000579AF"/>
    <w:rsid w:val="00060217"/>
    <w:rsid w:val="0006121B"/>
    <w:rsid w:val="0006170A"/>
    <w:rsid w:val="00061980"/>
    <w:rsid w:val="00061A43"/>
    <w:rsid w:val="00061F2C"/>
    <w:rsid w:val="00063136"/>
    <w:rsid w:val="00063323"/>
    <w:rsid w:val="00063523"/>
    <w:rsid w:val="0006391B"/>
    <w:rsid w:val="00064495"/>
    <w:rsid w:val="000644F0"/>
    <w:rsid w:val="00064798"/>
    <w:rsid w:val="00064854"/>
    <w:rsid w:val="00064F69"/>
    <w:rsid w:val="00065433"/>
    <w:rsid w:val="000657EF"/>
    <w:rsid w:val="00065897"/>
    <w:rsid w:val="00065FD9"/>
    <w:rsid w:val="00066BB7"/>
    <w:rsid w:val="00067066"/>
    <w:rsid w:val="00067080"/>
    <w:rsid w:val="0006709C"/>
    <w:rsid w:val="00067E7F"/>
    <w:rsid w:val="00067EBC"/>
    <w:rsid w:val="000711C9"/>
    <w:rsid w:val="000715C9"/>
    <w:rsid w:val="000717C7"/>
    <w:rsid w:val="00071D24"/>
    <w:rsid w:val="00072797"/>
    <w:rsid w:val="00072FDC"/>
    <w:rsid w:val="000731AE"/>
    <w:rsid w:val="0007398F"/>
    <w:rsid w:val="000739E6"/>
    <w:rsid w:val="00073DA7"/>
    <w:rsid w:val="00074980"/>
    <w:rsid w:val="000749E5"/>
    <w:rsid w:val="00074F3A"/>
    <w:rsid w:val="00075A4D"/>
    <w:rsid w:val="00075A65"/>
    <w:rsid w:val="00075D61"/>
    <w:rsid w:val="00076DD7"/>
    <w:rsid w:val="00077CE4"/>
    <w:rsid w:val="00077DCE"/>
    <w:rsid w:val="00080110"/>
    <w:rsid w:val="00080256"/>
    <w:rsid w:val="00080A91"/>
    <w:rsid w:val="00080C60"/>
    <w:rsid w:val="00080E21"/>
    <w:rsid w:val="00081B91"/>
    <w:rsid w:val="000821E1"/>
    <w:rsid w:val="000835E4"/>
    <w:rsid w:val="0008362A"/>
    <w:rsid w:val="00083B70"/>
    <w:rsid w:val="0008411A"/>
    <w:rsid w:val="0008446C"/>
    <w:rsid w:val="000845C5"/>
    <w:rsid w:val="000846F2"/>
    <w:rsid w:val="00084866"/>
    <w:rsid w:val="0008490B"/>
    <w:rsid w:val="00084E9F"/>
    <w:rsid w:val="000858F1"/>
    <w:rsid w:val="00085E7D"/>
    <w:rsid w:val="000860E8"/>
    <w:rsid w:val="00086A91"/>
    <w:rsid w:val="00086D0E"/>
    <w:rsid w:val="0008711C"/>
    <w:rsid w:val="00087750"/>
    <w:rsid w:val="0008781A"/>
    <w:rsid w:val="00087C33"/>
    <w:rsid w:val="00087C6D"/>
    <w:rsid w:val="00090F87"/>
    <w:rsid w:val="0009151E"/>
    <w:rsid w:val="00091BE3"/>
    <w:rsid w:val="00091E3C"/>
    <w:rsid w:val="00091FCC"/>
    <w:rsid w:val="00092118"/>
    <w:rsid w:val="000925B0"/>
    <w:rsid w:val="00092791"/>
    <w:rsid w:val="00092859"/>
    <w:rsid w:val="00092BD0"/>
    <w:rsid w:val="00092BE1"/>
    <w:rsid w:val="00093505"/>
    <w:rsid w:val="000935B4"/>
    <w:rsid w:val="000938D4"/>
    <w:rsid w:val="00093AAF"/>
    <w:rsid w:val="00093C39"/>
    <w:rsid w:val="00093F33"/>
    <w:rsid w:val="000940DD"/>
    <w:rsid w:val="0009529A"/>
    <w:rsid w:val="0009534C"/>
    <w:rsid w:val="000955A4"/>
    <w:rsid w:val="000965B3"/>
    <w:rsid w:val="00097071"/>
    <w:rsid w:val="00097416"/>
    <w:rsid w:val="000A008E"/>
    <w:rsid w:val="000A0776"/>
    <w:rsid w:val="000A0BFF"/>
    <w:rsid w:val="000A119D"/>
    <w:rsid w:val="000A13D4"/>
    <w:rsid w:val="000A1685"/>
    <w:rsid w:val="000A1A11"/>
    <w:rsid w:val="000A1D75"/>
    <w:rsid w:val="000A1FC5"/>
    <w:rsid w:val="000A2532"/>
    <w:rsid w:val="000A2784"/>
    <w:rsid w:val="000A2C93"/>
    <w:rsid w:val="000A33C8"/>
    <w:rsid w:val="000A3E90"/>
    <w:rsid w:val="000A4302"/>
    <w:rsid w:val="000A47FA"/>
    <w:rsid w:val="000A4B66"/>
    <w:rsid w:val="000A551B"/>
    <w:rsid w:val="000A5725"/>
    <w:rsid w:val="000A5AAA"/>
    <w:rsid w:val="000A5AB9"/>
    <w:rsid w:val="000A71B5"/>
    <w:rsid w:val="000B025B"/>
    <w:rsid w:val="000B121D"/>
    <w:rsid w:val="000B189E"/>
    <w:rsid w:val="000B21E0"/>
    <w:rsid w:val="000B2F18"/>
    <w:rsid w:val="000B2F80"/>
    <w:rsid w:val="000B32EC"/>
    <w:rsid w:val="000B3C1F"/>
    <w:rsid w:val="000B3CA3"/>
    <w:rsid w:val="000B3FEA"/>
    <w:rsid w:val="000B43B8"/>
    <w:rsid w:val="000B47A0"/>
    <w:rsid w:val="000B4849"/>
    <w:rsid w:val="000B4AA5"/>
    <w:rsid w:val="000B4B82"/>
    <w:rsid w:val="000B4CCF"/>
    <w:rsid w:val="000B52DD"/>
    <w:rsid w:val="000B5A78"/>
    <w:rsid w:val="000B5AA3"/>
    <w:rsid w:val="000B5AD6"/>
    <w:rsid w:val="000B7034"/>
    <w:rsid w:val="000B728A"/>
    <w:rsid w:val="000C08E5"/>
    <w:rsid w:val="000C09E2"/>
    <w:rsid w:val="000C0E3B"/>
    <w:rsid w:val="000C11D7"/>
    <w:rsid w:val="000C188C"/>
    <w:rsid w:val="000C23E6"/>
    <w:rsid w:val="000C265C"/>
    <w:rsid w:val="000C2C2C"/>
    <w:rsid w:val="000C33DE"/>
    <w:rsid w:val="000C3BC9"/>
    <w:rsid w:val="000C3C45"/>
    <w:rsid w:val="000C42BE"/>
    <w:rsid w:val="000C4602"/>
    <w:rsid w:val="000C47AF"/>
    <w:rsid w:val="000C4A59"/>
    <w:rsid w:val="000C4FD9"/>
    <w:rsid w:val="000C54A8"/>
    <w:rsid w:val="000C5866"/>
    <w:rsid w:val="000C588E"/>
    <w:rsid w:val="000C5A59"/>
    <w:rsid w:val="000C6106"/>
    <w:rsid w:val="000C641B"/>
    <w:rsid w:val="000C6667"/>
    <w:rsid w:val="000C6AC8"/>
    <w:rsid w:val="000C7E88"/>
    <w:rsid w:val="000D087C"/>
    <w:rsid w:val="000D1868"/>
    <w:rsid w:val="000D1CEC"/>
    <w:rsid w:val="000D2073"/>
    <w:rsid w:val="000D21DE"/>
    <w:rsid w:val="000D2940"/>
    <w:rsid w:val="000D32CF"/>
    <w:rsid w:val="000D33E2"/>
    <w:rsid w:val="000D39CC"/>
    <w:rsid w:val="000D3A7E"/>
    <w:rsid w:val="000D3CAF"/>
    <w:rsid w:val="000D429A"/>
    <w:rsid w:val="000D44E1"/>
    <w:rsid w:val="000D4A6C"/>
    <w:rsid w:val="000D4E2B"/>
    <w:rsid w:val="000D50EC"/>
    <w:rsid w:val="000D5182"/>
    <w:rsid w:val="000D51ED"/>
    <w:rsid w:val="000D5661"/>
    <w:rsid w:val="000D5996"/>
    <w:rsid w:val="000D5A59"/>
    <w:rsid w:val="000D5DE0"/>
    <w:rsid w:val="000D60F0"/>
    <w:rsid w:val="000D6151"/>
    <w:rsid w:val="000D62D1"/>
    <w:rsid w:val="000D64A6"/>
    <w:rsid w:val="000D66A1"/>
    <w:rsid w:val="000D70C3"/>
    <w:rsid w:val="000D7662"/>
    <w:rsid w:val="000D76B8"/>
    <w:rsid w:val="000D7CB2"/>
    <w:rsid w:val="000E003C"/>
    <w:rsid w:val="000E0166"/>
    <w:rsid w:val="000E0863"/>
    <w:rsid w:val="000E1095"/>
    <w:rsid w:val="000E1348"/>
    <w:rsid w:val="000E187A"/>
    <w:rsid w:val="000E196F"/>
    <w:rsid w:val="000E1BC2"/>
    <w:rsid w:val="000E25C4"/>
    <w:rsid w:val="000E25DE"/>
    <w:rsid w:val="000E2CBF"/>
    <w:rsid w:val="000E2E36"/>
    <w:rsid w:val="000E359A"/>
    <w:rsid w:val="000E3702"/>
    <w:rsid w:val="000E400F"/>
    <w:rsid w:val="000E4635"/>
    <w:rsid w:val="000E5114"/>
    <w:rsid w:val="000E57D8"/>
    <w:rsid w:val="000E7482"/>
    <w:rsid w:val="000E77DD"/>
    <w:rsid w:val="000E7869"/>
    <w:rsid w:val="000F078D"/>
    <w:rsid w:val="000F0C1A"/>
    <w:rsid w:val="000F0D6C"/>
    <w:rsid w:val="000F18D7"/>
    <w:rsid w:val="000F1EAB"/>
    <w:rsid w:val="000F213D"/>
    <w:rsid w:val="000F2241"/>
    <w:rsid w:val="000F2303"/>
    <w:rsid w:val="000F280A"/>
    <w:rsid w:val="000F3126"/>
    <w:rsid w:val="000F3566"/>
    <w:rsid w:val="000F3975"/>
    <w:rsid w:val="000F44C2"/>
    <w:rsid w:val="000F5164"/>
    <w:rsid w:val="000F556F"/>
    <w:rsid w:val="000F618D"/>
    <w:rsid w:val="000F61F9"/>
    <w:rsid w:val="000F65DC"/>
    <w:rsid w:val="000F6934"/>
    <w:rsid w:val="000F7871"/>
    <w:rsid w:val="000F79CA"/>
    <w:rsid w:val="000F7B33"/>
    <w:rsid w:val="000F7D7D"/>
    <w:rsid w:val="0010086E"/>
    <w:rsid w:val="00100A0D"/>
    <w:rsid w:val="00100EE5"/>
    <w:rsid w:val="00101D2A"/>
    <w:rsid w:val="00102024"/>
    <w:rsid w:val="00102B8F"/>
    <w:rsid w:val="00102EDD"/>
    <w:rsid w:val="00102F55"/>
    <w:rsid w:val="00103623"/>
    <w:rsid w:val="001039AA"/>
    <w:rsid w:val="00103D9C"/>
    <w:rsid w:val="00103EF4"/>
    <w:rsid w:val="00103F41"/>
    <w:rsid w:val="0010431F"/>
    <w:rsid w:val="00104597"/>
    <w:rsid w:val="0010487B"/>
    <w:rsid w:val="0010514B"/>
    <w:rsid w:val="00105541"/>
    <w:rsid w:val="0010582F"/>
    <w:rsid w:val="001059A1"/>
    <w:rsid w:val="00105BAE"/>
    <w:rsid w:val="00105F21"/>
    <w:rsid w:val="00106011"/>
    <w:rsid w:val="001069E6"/>
    <w:rsid w:val="00106C71"/>
    <w:rsid w:val="001073EA"/>
    <w:rsid w:val="00110150"/>
    <w:rsid w:val="00110927"/>
    <w:rsid w:val="00110E65"/>
    <w:rsid w:val="00111697"/>
    <w:rsid w:val="00111A41"/>
    <w:rsid w:val="00112458"/>
    <w:rsid w:val="00112A9E"/>
    <w:rsid w:val="00112E09"/>
    <w:rsid w:val="001130AC"/>
    <w:rsid w:val="00113B69"/>
    <w:rsid w:val="0011448C"/>
    <w:rsid w:val="00116243"/>
    <w:rsid w:val="001164BF"/>
    <w:rsid w:val="00117B5E"/>
    <w:rsid w:val="001205D6"/>
    <w:rsid w:val="0012060A"/>
    <w:rsid w:val="00120CC8"/>
    <w:rsid w:val="00120D3B"/>
    <w:rsid w:val="00120E47"/>
    <w:rsid w:val="001218A3"/>
    <w:rsid w:val="00121BDF"/>
    <w:rsid w:val="00122055"/>
    <w:rsid w:val="00122187"/>
    <w:rsid w:val="00123408"/>
    <w:rsid w:val="001235A6"/>
    <w:rsid w:val="001244D4"/>
    <w:rsid w:val="001249C4"/>
    <w:rsid w:val="00125821"/>
    <w:rsid w:val="00125EE0"/>
    <w:rsid w:val="00126248"/>
    <w:rsid w:val="00126283"/>
    <w:rsid w:val="001264B1"/>
    <w:rsid w:val="00127B17"/>
    <w:rsid w:val="00127DE1"/>
    <w:rsid w:val="00130608"/>
    <w:rsid w:val="0013066A"/>
    <w:rsid w:val="001311CF"/>
    <w:rsid w:val="00131AC2"/>
    <w:rsid w:val="00131EF9"/>
    <w:rsid w:val="00132016"/>
    <w:rsid w:val="00132061"/>
    <w:rsid w:val="00132095"/>
    <w:rsid w:val="001326F2"/>
    <w:rsid w:val="0013325A"/>
    <w:rsid w:val="0013367B"/>
    <w:rsid w:val="001338E4"/>
    <w:rsid w:val="001340C3"/>
    <w:rsid w:val="00134640"/>
    <w:rsid w:val="00134BBD"/>
    <w:rsid w:val="00134CE3"/>
    <w:rsid w:val="00134DCD"/>
    <w:rsid w:val="00135067"/>
    <w:rsid w:val="00135304"/>
    <w:rsid w:val="00135B36"/>
    <w:rsid w:val="00136441"/>
    <w:rsid w:val="001371B6"/>
    <w:rsid w:val="001372CD"/>
    <w:rsid w:val="001373A9"/>
    <w:rsid w:val="001374E1"/>
    <w:rsid w:val="00137C71"/>
    <w:rsid w:val="00140A53"/>
    <w:rsid w:val="0014196E"/>
    <w:rsid w:val="00142196"/>
    <w:rsid w:val="00142408"/>
    <w:rsid w:val="00142D5D"/>
    <w:rsid w:val="00143031"/>
    <w:rsid w:val="00143E0E"/>
    <w:rsid w:val="00143E95"/>
    <w:rsid w:val="001440F0"/>
    <w:rsid w:val="00144170"/>
    <w:rsid w:val="00144ADD"/>
    <w:rsid w:val="00144C7B"/>
    <w:rsid w:val="00144FF8"/>
    <w:rsid w:val="00145546"/>
    <w:rsid w:val="00145BDA"/>
    <w:rsid w:val="0014687C"/>
    <w:rsid w:val="001469D0"/>
    <w:rsid w:val="00146BE6"/>
    <w:rsid w:val="001476E3"/>
    <w:rsid w:val="0014784B"/>
    <w:rsid w:val="00147E67"/>
    <w:rsid w:val="001507F5"/>
    <w:rsid w:val="00150920"/>
    <w:rsid w:val="00150FAA"/>
    <w:rsid w:val="001510C5"/>
    <w:rsid w:val="001511C7"/>
    <w:rsid w:val="0015167F"/>
    <w:rsid w:val="00151935"/>
    <w:rsid w:val="00151A05"/>
    <w:rsid w:val="00151CF1"/>
    <w:rsid w:val="001520A0"/>
    <w:rsid w:val="001521A3"/>
    <w:rsid w:val="001524D8"/>
    <w:rsid w:val="001524EC"/>
    <w:rsid w:val="0015258E"/>
    <w:rsid w:val="00152749"/>
    <w:rsid w:val="00152E8A"/>
    <w:rsid w:val="0015344E"/>
    <w:rsid w:val="00153AE0"/>
    <w:rsid w:val="00154D4C"/>
    <w:rsid w:val="00155BF7"/>
    <w:rsid w:val="001560EB"/>
    <w:rsid w:val="00156DE3"/>
    <w:rsid w:val="00156F42"/>
    <w:rsid w:val="0015767C"/>
    <w:rsid w:val="00157C3A"/>
    <w:rsid w:val="00160698"/>
    <w:rsid w:val="00160F91"/>
    <w:rsid w:val="00161143"/>
    <w:rsid w:val="001613BB"/>
    <w:rsid w:val="00161784"/>
    <w:rsid w:val="001617BA"/>
    <w:rsid w:val="00161962"/>
    <w:rsid w:val="00161D85"/>
    <w:rsid w:val="0016224A"/>
    <w:rsid w:val="0016226A"/>
    <w:rsid w:val="0016230D"/>
    <w:rsid w:val="00162553"/>
    <w:rsid w:val="00162675"/>
    <w:rsid w:val="001628DE"/>
    <w:rsid w:val="001630C8"/>
    <w:rsid w:val="00163135"/>
    <w:rsid w:val="001638B4"/>
    <w:rsid w:val="00163AF9"/>
    <w:rsid w:val="001640D1"/>
    <w:rsid w:val="00164243"/>
    <w:rsid w:val="00164B4E"/>
    <w:rsid w:val="00164BBD"/>
    <w:rsid w:val="00165598"/>
    <w:rsid w:val="00165FAA"/>
    <w:rsid w:val="001662DB"/>
    <w:rsid w:val="00167535"/>
    <w:rsid w:val="001676E1"/>
    <w:rsid w:val="00167E46"/>
    <w:rsid w:val="00167FAE"/>
    <w:rsid w:val="00170038"/>
    <w:rsid w:val="001708E9"/>
    <w:rsid w:val="0017093C"/>
    <w:rsid w:val="00170A16"/>
    <w:rsid w:val="00170D67"/>
    <w:rsid w:val="00170E7F"/>
    <w:rsid w:val="0017127C"/>
    <w:rsid w:val="0017182F"/>
    <w:rsid w:val="00171930"/>
    <w:rsid w:val="00171AB3"/>
    <w:rsid w:val="00171D36"/>
    <w:rsid w:val="00171DE5"/>
    <w:rsid w:val="00171EDA"/>
    <w:rsid w:val="00172186"/>
    <w:rsid w:val="00172527"/>
    <w:rsid w:val="00172718"/>
    <w:rsid w:val="00172BCE"/>
    <w:rsid w:val="00172FAD"/>
    <w:rsid w:val="001748C9"/>
    <w:rsid w:val="00174AC6"/>
    <w:rsid w:val="00175DAC"/>
    <w:rsid w:val="00176252"/>
    <w:rsid w:val="0017636E"/>
    <w:rsid w:val="001763EE"/>
    <w:rsid w:val="001766C6"/>
    <w:rsid w:val="00176A4C"/>
    <w:rsid w:val="00177071"/>
    <w:rsid w:val="00177C8F"/>
    <w:rsid w:val="00180C01"/>
    <w:rsid w:val="0018186A"/>
    <w:rsid w:val="00181BC1"/>
    <w:rsid w:val="00181CD2"/>
    <w:rsid w:val="00181F81"/>
    <w:rsid w:val="001824CB"/>
    <w:rsid w:val="0018273E"/>
    <w:rsid w:val="0018279F"/>
    <w:rsid w:val="0018289C"/>
    <w:rsid w:val="001828B3"/>
    <w:rsid w:val="00182BC3"/>
    <w:rsid w:val="00182E80"/>
    <w:rsid w:val="00183B91"/>
    <w:rsid w:val="0018411F"/>
    <w:rsid w:val="00184756"/>
    <w:rsid w:val="0018480E"/>
    <w:rsid w:val="001849B9"/>
    <w:rsid w:val="00184EE1"/>
    <w:rsid w:val="00185720"/>
    <w:rsid w:val="00185D6D"/>
    <w:rsid w:val="00185DC7"/>
    <w:rsid w:val="00185EAD"/>
    <w:rsid w:val="001862AF"/>
    <w:rsid w:val="001864EE"/>
    <w:rsid w:val="00186ED0"/>
    <w:rsid w:val="001873B5"/>
    <w:rsid w:val="00190127"/>
    <w:rsid w:val="001901B0"/>
    <w:rsid w:val="0019120C"/>
    <w:rsid w:val="00191BEC"/>
    <w:rsid w:val="00191CC5"/>
    <w:rsid w:val="0019246E"/>
    <w:rsid w:val="00192B65"/>
    <w:rsid w:val="00193030"/>
    <w:rsid w:val="0019379F"/>
    <w:rsid w:val="0019394A"/>
    <w:rsid w:val="0019457B"/>
    <w:rsid w:val="00194C1E"/>
    <w:rsid w:val="00195332"/>
    <w:rsid w:val="00195C9B"/>
    <w:rsid w:val="00195F17"/>
    <w:rsid w:val="0019608E"/>
    <w:rsid w:val="001961A8"/>
    <w:rsid w:val="001967B0"/>
    <w:rsid w:val="001978DE"/>
    <w:rsid w:val="00197B65"/>
    <w:rsid w:val="001A0574"/>
    <w:rsid w:val="001A0A78"/>
    <w:rsid w:val="001A1035"/>
    <w:rsid w:val="001A110F"/>
    <w:rsid w:val="001A19E5"/>
    <w:rsid w:val="001A1C5A"/>
    <w:rsid w:val="001A1EA4"/>
    <w:rsid w:val="001A216F"/>
    <w:rsid w:val="001A23E7"/>
    <w:rsid w:val="001A2ECC"/>
    <w:rsid w:val="001A3172"/>
    <w:rsid w:val="001A38B7"/>
    <w:rsid w:val="001A3A98"/>
    <w:rsid w:val="001A424F"/>
    <w:rsid w:val="001A4D68"/>
    <w:rsid w:val="001A520B"/>
    <w:rsid w:val="001A528D"/>
    <w:rsid w:val="001A58EE"/>
    <w:rsid w:val="001A7CC6"/>
    <w:rsid w:val="001B0062"/>
    <w:rsid w:val="001B0711"/>
    <w:rsid w:val="001B140B"/>
    <w:rsid w:val="001B1618"/>
    <w:rsid w:val="001B19BF"/>
    <w:rsid w:val="001B2E75"/>
    <w:rsid w:val="001B31C3"/>
    <w:rsid w:val="001B33F8"/>
    <w:rsid w:val="001B3467"/>
    <w:rsid w:val="001B3695"/>
    <w:rsid w:val="001B4398"/>
    <w:rsid w:val="001B474C"/>
    <w:rsid w:val="001B4B44"/>
    <w:rsid w:val="001B4DE2"/>
    <w:rsid w:val="001B4DEF"/>
    <w:rsid w:val="001B55A0"/>
    <w:rsid w:val="001B5927"/>
    <w:rsid w:val="001B5E99"/>
    <w:rsid w:val="001B608C"/>
    <w:rsid w:val="001B6279"/>
    <w:rsid w:val="001B64A7"/>
    <w:rsid w:val="001B6653"/>
    <w:rsid w:val="001B67BE"/>
    <w:rsid w:val="001B6D2B"/>
    <w:rsid w:val="001B7031"/>
    <w:rsid w:val="001B74B9"/>
    <w:rsid w:val="001B788E"/>
    <w:rsid w:val="001C0527"/>
    <w:rsid w:val="001C157D"/>
    <w:rsid w:val="001C209E"/>
    <w:rsid w:val="001C325B"/>
    <w:rsid w:val="001C38FD"/>
    <w:rsid w:val="001C3C0E"/>
    <w:rsid w:val="001C3DF6"/>
    <w:rsid w:val="001C408A"/>
    <w:rsid w:val="001C4749"/>
    <w:rsid w:val="001C4936"/>
    <w:rsid w:val="001C558B"/>
    <w:rsid w:val="001C5794"/>
    <w:rsid w:val="001C69AF"/>
    <w:rsid w:val="001C7E30"/>
    <w:rsid w:val="001D021A"/>
    <w:rsid w:val="001D0277"/>
    <w:rsid w:val="001D07F4"/>
    <w:rsid w:val="001D0824"/>
    <w:rsid w:val="001D082F"/>
    <w:rsid w:val="001D0B56"/>
    <w:rsid w:val="001D0B87"/>
    <w:rsid w:val="001D0D9F"/>
    <w:rsid w:val="001D122A"/>
    <w:rsid w:val="001D133C"/>
    <w:rsid w:val="001D1528"/>
    <w:rsid w:val="001D1752"/>
    <w:rsid w:val="001D1A37"/>
    <w:rsid w:val="001D1FE4"/>
    <w:rsid w:val="001D28EA"/>
    <w:rsid w:val="001D2F8C"/>
    <w:rsid w:val="001D3532"/>
    <w:rsid w:val="001D3741"/>
    <w:rsid w:val="001D3D63"/>
    <w:rsid w:val="001D3D7F"/>
    <w:rsid w:val="001D4A71"/>
    <w:rsid w:val="001D5561"/>
    <w:rsid w:val="001D5770"/>
    <w:rsid w:val="001D5B22"/>
    <w:rsid w:val="001D5DAB"/>
    <w:rsid w:val="001D6105"/>
    <w:rsid w:val="001D618B"/>
    <w:rsid w:val="001D758E"/>
    <w:rsid w:val="001D7B83"/>
    <w:rsid w:val="001D7F1B"/>
    <w:rsid w:val="001E11EF"/>
    <w:rsid w:val="001E16D9"/>
    <w:rsid w:val="001E1A33"/>
    <w:rsid w:val="001E261F"/>
    <w:rsid w:val="001E30D2"/>
    <w:rsid w:val="001E3670"/>
    <w:rsid w:val="001E39A4"/>
    <w:rsid w:val="001E4C01"/>
    <w:rsid w:val="001E51D7"/>
    <w:rsid w:val="001E5F05"/>
    <w:rsid w:val="001E601B"/>
    <w:rsid w:val="001E6047"/>
    <w:rsid w:val="001E61CD"/>
    <w:rsid w:val="001E74B3"/>
    <w:rsid w:val="001E74BF"/>
    <w:rsid w:val="001E766F"/>
    <w:rsid w:val="001E7A74"/>
    <w:rsid w:val="001E7B16"/>
    <w:rsid w:val="001E7E8F"/>
    <w:rsid w:val="001F0045"/>
    <w:rsid w:val="001F02CF"/>
    <w:rsid w:val="001F0721"/>
    <w:rsid w:val="001F1031"/>
    <w:rsid w:val="001F200A"/>
    <w:rsid w:val="001F22A3"/>
    <w:rsid w:val="001F2A61"/>
    <w:rsid w:val="001F2FEB"/>
    <w:rsid w:val="001F30FF"/>
    <w:rsid w:val="001F3D98"/>
    <w:rsid w:val="001F4703"/>
    <w:rsid w:val="001F4CF7"/>
    <w:rsid w:val="001F5485"/>
    <w:rsid w:val="001F56E9"/>
    <w:rsid w:val="001F5967"/>
    <w:rsid w:val="001F5B88"/>
    <w:rsid w:val="001F5DDE"/>
    <w:rsid w:val="001F5FFE"/>
    <w:rsid w:val="001F63C8"/>
    <w:rsid w:val="001F6467"/>
    <w:rsid w:val="001F6535"/>
    <w:rsid w:val="001F65E9"/>
    <w:rsid w:val="001F6662"/>
    <w:rsid w:val="001F6811"/>
    <w:rsid w:val="001F6BA2"/>
    <w:rsid w:val="001F72CE"/>
    <w:rsid w:val="001F7AAE"/>
    <w:rsid w:val="001F7CEB"/>
    <w:rsid w:val="002007A9"/>
    <w:rsid w:val="0020134C"/>
    <w:rsid w:val="00201FF9"/>
    <w:rsid w:val="00203741"/>
    <w:rsid w:val="00203751"/>
    <w:rsid w:val="00203A1F"/>
    <w:rsid w:val="00203C38"/>
    <w:rsid w:val="0020423E"/>
    <w:rsid w:val="00204274"/>
    <w:rsid w:val="002047C3"/>
    <w:rsid w:val="00205EF1"/>
    <w:rsid w:val="002062DE"/>
    <w:rsid w:val="0020661D"/>
    <w:rsid w:val="00206982"/>
    <w:rsid w:val="00206B60"/>
    <w:rsid w:val="00206D4A"/>
    <w:rsid w:val="002072BE"/>
    <w:rsid w:val="00207C4D"/>
    <w:rsid w:val="002106DB"/>
    <w:rsid w:val="00210F98"/>
    <w:rsid w:val="002118BA"/>
    <w:rsid w:val="00212D74"/>
    <w:rsid w:val="002137FF"/>
    <w:rsid w:val="00213C85"/>
    <w:rsid w:val="00213CA7"/>
    <w:rsid w:val="00214054"/>
    <w:rsid w:val="0021470A"/>
    <w:rsid w:val="00215547"/>
    <w:rsid w:val="00215667"/>
    <w:rsid w:val="002158F5"/>
    <w:rsid w:val="00215A25"/>
    <w:rsid w:val="00216371"/>
    <w:rsid w:val="00216453"/>
    <w:rsid w:val="00216554"/>
    <w:rsid w:val="002165D2"/>
    <w:rsid w:val="00216968"/>
    <w:rsid w:val="00216D9D"/>
    <w:rsid w:val="002200C8"/>
    <w:rsid w:val="00220124"/>
    <w:rsid w:val="002201CD"/>
    <w:rsid w:val="00221D16"/>
    <w:rsid w:val="00222092"/>
    <w:rsid w:val="00222388"/>
    <w:rsid w:val="00222900"/>
    <w:rsid w:val="00222A57"/>
    <w:rsid w:val="002237E7"/>
    <w:rsid w:val="00223FD1"/>
    <w:rsid w:val="00224DE7"/>
    <w:rsid w:val="0022545D"/>
    <w:rsid w:val="0022584F"/>
    <w:rsid w:val="002261B5"/>
    <w:rsid w:val="002264B0"/>
    <w:rsid w:val="002269C3"/>
    <w:rsid w:val="002272FA"/>
    <w:rsid w:val="00227AC9"/>
    <w:rsid w:val="00227CAA"/>
    <w:rsid w:val="00227D14"/>
    <w:rsid w:val="00230173"/>
    <w:rsid w:val="00230742"/>
    <w:rsid w:val="00231765"/>
    <w:rsid w:val="00232B0C"/>
    <w:rsid w:val="0023318D"/>
    <w:rsid w:val="00234A86"/>
    <w:rsid w:val="00234CBF"/>
    <w:rsid w:val="00235425"/>
    <w:rsid w:val="00235A3B"/>
    <w:rsid w:val="00236121"/>
    <w:rsid w:val="00236398"/>
    <w:rsid w:val="0023663C"/>
    <w:rsid w:val="00236760"/>
    <w:rsid w:val="00236791"/>
    <w:rsid w:val="00236857"/>
    <w:rsid w:val="00236EB7"/>
    <w:rsid w:val="00236EC0"/>
    <w:rsid w:val="00236ECB"/>
    <w:rsid w:val="0023722F"/>
    <w:rsid w:val="00237729"/>
    <w:rsid w:val="00237A4A"/>
    <w:rsid w:val="00240688"/>
    <w:rsid w:val="0024091A"/>
    <w:rsid w:val="002409D9"/>
    <w:rsid w:val="00240FB1"/>
    <w:rsid w:val="00241A33"/>
    <w:rsid w:val="002425D6"/>
    <w:rsid w:val="00242C87"/>
    <w:rsid w:val="00242FBE"/>
    <w:rsid w:val="002431B7"/>
    <w:rsid w:val="0024364F"/>
    <w:rsid w:val="00243A95"/>
    <w:rsid w:val="0024405A"/>
    <w:rsid w:val="00244305"/>
    <w:rsid w:val="002443DB"/>
    <w:rsid w:val="00244475"/>
    <w:rsid w:val="002449C7"/>
    <w:rsid w:val="00244F04"/>
    <w:rsid w:val="00245AA9"/>
    <w:rsid w:val="00245B2E"/>
    <w:rsid w:val="00245DA5"/>
    <w:rsid w:val="0024640D"/>
    <w:rsid w:val="00246899"/>
    <w:rsid w:val="00246AB1"/>
    <w:rsid w:val="00246C91"/>
    <w:rsid w:val="00247118"/>
    <w:rsid w:val="00247BDA"/>
    <w:rsid w:val="00250549"/>
    <w:rsid w:val="0025083E"/>
    <w:rsid w:val="00250AB8"/>
    <w:rsid w:val="0025103C"/>
    <w:rsid w:val="00251522"/>
    <w:rsid w:val="00252736"/>
    <w:rsid w:val="00252B7A"/>
    <w:rsid w:val="00252FD4"/>
    <w:rsid w:val="00253136"/>
    <w:rsid w:val="002531CC"/>
    <w:rsid w:val="002536DE"/>
    <w:rsid w:val="00253914"/>
    <w:rsid w:val="00253C0C"/>
    <w:rsid w:val="00253C53"/>
    <w:rsid w:val="00253E42"/>
    <w:rsid w:val="00253EA1"/>
    <w:rsid w:val="00254628"/>
    <w:rsid w:val="00254A1F"/>
    <w:rsid w:val="00254B55"/>
    <w:rsid w:val="00254F16"/>
    <w:rsid w:val="00255697"/>
    <w:rsid w:val="00255890"/>
    <w:rsid w:val="00255F7C"/>
    <w:rsid w:val="00256E3E"/>
    <w:rsid w:val="00256E54"/>
    <w:rsid w:val="0025739E"/>
    <w:rsid w:val="00257F13"/>
    <w:rsid w:val="00260201"/>
    <w:rsid w:val="002602BC"/>
    <w:rsid w:val="002603FE"/>
    <w:rsid w:val="00260719"/>
    <w:rsid w:val="0026073B"/>
    <w:rsid w:val="00260C3C"/>
    <w:rsid w:val="00261116"/>
    <w:rsid w:val="00261895"/>
    <w:rsid w:val="00261ADB"/>
    <w:rsid w:val="00261B26"/>
    <w:rsid w:val="002620D8"/>
    <w:rsid w:val="002625F5"/>
    <w:rsid w:val="00262B62"/>
    <w:rsid w:val="002630F4"/>
    <w:rsid w:val="00263A29"/>
    <w:rsid w:val="00263BFF"/>
    <w:rsid w:val="0026474F"/>
    <w:rsid w:val="002647A5"/>
    <w:rsid w:val="00264D4D"/>
    <w:rsid w:val="00264DFD"/>
    <w:rsid w:val="0026563D"/>
    <w:rsid w:val="00265748"/>
    <w:rsid w:val="00265782"/>
    <w:rsid w:val="002658AB"/>
    <w:rsid w:val="00265BFC"/>
    <w:rsid w:val="00265D49"/>
    <w:rsid w:val="00265E49"/>
    <w:rsid w:val="00265FDD"/>
    <w:rsid w:val="002661D3"/>
    <w:rsid w:val="00266A5F"/>
    <w:rsid w:val="00266C1B"/>
    <w:rsid w:val="00267704"/>
    <w:rsid w:val="00267706"/>
    <w:rsid w:val="00267BC1"/>
    <w:rsid w:val="00267BE6"/>
    <w:rsid w:val="002701C6"/>
    <w:rsid w:val="002706BC"/>
    <w:rsid w:val="0027073B"/>
    <w:rsid w:val="00270979"/>
    <w:rsid w:val="00270DC7"/>
    <w:rsid w:val="00270FFD"/>
    <w:rsid w:val="00271618"/>
    <w:rsid w:val="002718D8"/>
    <w:rsid w:val="00271E42"/>
    <w:rsid w:val="00273A4E"/>
    <w:rsid w:val="00273FD4"/>
    <w:rsid w:val="002742C4"/>
    <w:rsid w:val="00274347"/>
    <w:rsid w:val="00274A31"/>
    <w:rsid w:val="00274AE0"/>
    <w:rsid w:val="002750A1"/>
    <w:rsid w:val="002752AF"/>
    <w:rsid w:val="00275563"/>
    <w:rsid w:val="00275AD6"/>
    <w:rsid w:val="002767C1"/>
    <w:rsid w:val="00276845"/>
    <w:rsid w:val="00276BA7"/>
    <w:rsid w:val="00276D1E"/>
    <w:rsid w:val="002806A8"/>
    <w:rsid w:val="0028091A"/>
    <w:rsid w:val="00280A80"/>
    <w:rsid w:val="00280F29"/>
    <w:rsid w:val="00282063"/>
    <w:rsid w:val="00282151"/>
    <w:rsid w:val="002821A0"/>
    <w:rsid w:val="002825EE"/>
    <w:rsid w:val="00282EFD"/>
    <w:rsid w:val="0028338C"/>
    <w:rsid w:val="00283708"/>
    <w:rsid w:val="00284F0F"/>
    <w:rsid w:val="0028573E"/>
    <w:rsid w:val="00286008"/>
    <w:rsid w:val="00287065"/>
    <w:rsid w:val="002905D2"/>
    <w:rsid w:val="0029070E"/>
    <w:rsid w:val="00290999"/>
    <w:rsid w:val="00290C5F"/>
    <w:rsid w:val="00290EAA"/>
    <w:rsid w:val="002916A0"/>
    <w:rsid w:val="00291D4C"/>
    <w:rsid w:val="00291DAB"/>
    <w:rsid w:val="0029273E"/>
    <w:rsid w:val="00292ABE"/>
    <w:rsid w:val="00292B76"/>
    <w:rsid w:val="00292BC9"/>
    <w:rsid w:val="00292BF0"/>
    <w:rsid w:val="0029360C"/>
    <w:rsid w:val="00293650"/>
    <w:rsid w:val="00293F76"/>
    <w:rsid w:val="0029400D"/>
    <w:rsid w:val="00294436"/>
    <w:rsid w:val="00294463"/>
    <w:rsid w:val="00294B8C"/>
    <w:rsid w:val="00294DE7"/>
    <w:rsid w:val="0029560D"/>
    <w:rsid w:val="0029569C"/>
    <w:rsid w:val="00295901"/>
    <w:rsid w:val="00295DC7"/>
    <w:rsid w:val="00296A7C"/>
    <w:rsid w:val="00296EAE"/>
    <w:rsid w:val="0029714A"/>
    <w:rsid w:val="002A001B"/>
    <w:rsid w:val="002A00F4"/>
    <w:rsid w:val="002A217E"/>
    <w:rsid w:val="002A2CD5"/>
    <w:rsid w:val="002A421E"/>
    <w:rsid w:val="002A4F25"/>
    <w:rsid w:val="002A5CB4"/>
    <w:rsid w:val="002A63C9"/>
    <w:rsid w:val="002A6468"/>
    <w:rsid w:val="002A66EF"/>
    <w:rsid w:val="002A6965"/>
    <w:rsid w:val="002A71D7"/>
    <w:rsid w:val="002A741D"/>
    <w:rsid w:val="002A7C5C"/>
    <w:rsid w:val="002B012A"/>
    <w:rsid w:val="002B071E"/>
    <w:rsid w:val="002B0D6D"/>
    <w:rsid w:val="002B1685"/>
    <w:rsid w:val="002B1777"/>
    <w:rsid w:val="002B1895"/>
    <w:rsid w:val="002B1970"/>
    <w:rsid w:val="002B2081"/>
    <w:rsid w:val="002B2372"/>
    <w:rsid w:val="002B23A1"/>
    <w:rsid w:val="002B23CE"/>
    <w:rsid w:val="002B26B7"/>
    <w:rsid w:val="002B3662"/>
    <w:rsid w:val="002B396F"/>
    <w:rsid w:val="002B39C0"/>
    <w:rsid w:val="002B4672"/>
    <w:rsid w:val="002B4E1E"/>
    <w:rsid w:val="002B4FD8"/>
    <w:rsid w:val="002B50D9"/>
    <w:rsid w:val="002B5212"/>
    <w:rsid w:val="002B52EA"/>
    <w:rsid w:val="002B5354"/>
    <w:rsid w:val="002B56B1"/>
    <w:rsid w:val="002B6187"/>
    <w:rsid w:val="002C00CF"/>
    <w:rsid w:val="002C01E9"/>
    <w:rsid w:val="002C19A3"/>
    <w:rsid w:val="002C1D83"/>
    <w:rsid w:val="002C1DF4"/>
    <w:rsid w:val="002C1F0F"/>
    <w:rsid w:val="002C221D"/>
    <w:rsid w:val="002C3018"/>
    <w:rsid w:val="002C3BDF"/>
    <w:rsid w:val="002C3D40"/>
    <w:rsid w:val="002C422E"/>
    <w:rsid w:val="002C4B6E"/>
    <w:rsid w:val="002C5059"/>
    <w:rsid w:val="002C510D"/>
    <w:rsid w:val="002C5344"/>
    <w:rsid w:val="002C5541"/>
    <w:rsid w:val="002C5BDC"/>
    <w:rsid w:val="002C6085"/>
    <w:rsid w:val="002C7375"/>
    <w:rsid w:val="002C78EB"/>
    <w:rsid w:val="002D0015"/>
    <w:rsid w:val="002D050A"/>
    <w:rsid w:val="002D0992"/>
    <w:rsid w:val="002D0D6B"/>
    <w:rsid w:val="002D120C"/>
    <w:rsid w:val="002D196C"/>
    <w:rsid w:val="002D2037"/>
    <w:rsid w:val="002D216F"/>
    <w:rsid w:val="002D2187"/>
    <w:rsid w:val="002D24D5"/>
    <w:rsid w:val="002D2C7A"/>
    <w:rsid w:val="002D3090"/>
    <w:rsid w:val="002D3F76"/>
    <w:rsid w:val="002D470E"/>
    <w:rsid w:val="002D47FD"/>
    <w:rsid w:val="002D5069"/>
    <w:rsid w:val="002D57B9"/>
    <w:rsid w:val="002D59BA"/>
    <w:rsid w:val="002D60A8"/>
    <w:rsid w:val="002D656C"/>
    <w:rsid w:val="002D67A5"/>
    <w:rsid w:val="002D7648"/>
    <w:rsid w:val="002D7BAE"/>
    <w:rsid w:val="002D7CA5"/>
    <w:rsid w:val="002D7E41"/>
    <w:rsid w:val="002E0086"/>
    <w:rsid w:val="002E038D"/>
    <w:rsid w:val="002E052E"/>
    <w:rsid w:val="002E07C6"/>
    <w:rsid w:val="002E0AFD"/>
    <w:rsid w:val="002E0D14"/>
    <w:rsid w:val="002E0EE0"/>
    <w:rsid w:val="002E19F4"/>
    <w:rsid w:val="002E1E47"/>
    <w:rsid w:val="002E1FBC"/>
    <w:rsid w:val="002E2646"/>
    <w:rsid w:val="002E28A9"/>
    <w:rsid w:val="002E2CB2"/>
    <w:rsid w:val="002E30FC"/>
    <w:rsid w:val="002E3720"/>
    <w:rsid w:val="002E4FF5"/>
    <w:rsid w:val="002E510F"/>
    <w:rsid w:val="002E52AE"/>
    <w:rsid w:val="002E57A6"/>
    <w:rsid w:val="002E5E31"/>
    <w:rsid w:val="002E61B8"/>
    <w:rsid w:val="002E6735"/>
    <w:rsid w:val="002E78C1"/>
    <w:rsid w:val="002E7BB4"/>
    <w:rsid w:val="002E7D4C"/>
    <w:rsid w:val="002F0822"/>
    <w:rsid w:val="002F0D60"/>
    <w:rsid w:val="002F1F6C"/>
    <w:rsid w:val="002F21E6"/>
    <w:rsid w:val="002F2FC9"/>
    <w:rsid w:val="002F3440"/>
    <w:rsid w:val="002F35FF"/>
    <w:rsid w:val="002F3C74"/>
    <w:rsid w:val="002F3CB8"/>
    <w:rsid w:val="002F3D6A"/>
    <w:rsid w:val="002F4295"/>
    <w:rsid w:val="002F4789"/>
    <w:rsid w:val="002F4E66"/>
    <w:rsid w:val="002F4F3E"/>
    <w:rsid w:val="002F518E"/>
    <w:rsid w:val="002F522B"/>
    <w:rsid w:val="002F57DC"/>
    <w:rsid w:val="002F5C67"/>
    <w:rsid w:val="002F5CE6"/>
    <w:rsid w:val="002F614B"/>
    <w:rsid w:val="002F7633"/>
    <w:rsid w:val="00300001"/>
    <w:rsid w:val="0030049E"/>
    <w:rsid w:val="003005F0"/>
    <w:rsid w:val="0030083D"/>
    <w:rsid w:val="00300C6F"/>
    <w:rsid w:val="0030178D"/>
    <w:rsid w:val="00301D02"/>
    <w:rsid w:val="00302089"/>
    <w:rsid w:val="0030220F"/>
    <w:rsid w:val="00302226"/>
    <w:rsid w:val="00302621"/>
    <w:rsid w:val="00302984"/>
    <w:rsid w:val="00302A18"/>
    <w:rsid w:val="003034EB"/>
    <w:rsid w:val="00303E3A"/>
    <w:rsid w:val="00303F05"/>
    <w:rsid w:val="00303F87"/>
    <w:rsid w:val="00304A1F"/>
    <w:rsid w:val="00304C76"/>
    <w:rsid w:val="00304DC8"/>
    <w:rsid w:val="00304F96"/>
    <w:rsid w:val="003052B1"/>
    <w:rsid w:val="003053DF"/>
    <w:rsid w:val="00305692"/>
    <w:rsid w:val="0030607A"/>
    <w:rsid w:val="0030709B"/>
    <w:rsid w:val="00307580"/>
    <w:rsid w:val="003079A4"/>
    <w:rsid w:val="00307CAA"/>
    <w:rsid w:val="00310572"/>
    <w:rsid w:val="00310833"/>
    <w:rsid w:val="003111F3"/>
    <w:rsid w:val="003118A0"/>
    <w:rsid w:val="003119F9"/>
    <w:rsid w:val="00311AA1"/>
    <w:rsid w:val="00312074"/>
    <w:rsid w:val="0031228E"/>
    <w:rsid w:val="00312FB4"/>
    <w:rsid w:val="003130C5"/>
    <w:rsid w:val="00313E21"/>
    <w:rsid w:val="00313FDE"/>
    <w:rsid w:val="003141DE"/>
    <w:rsid w:val="00314390"/>
    <w:rsid w:val="003144AE"/>
    <w:rsid w:val="00314542"/>
    <w:rsid w:val="00314B98"/>
    <w:rsid w:val="00314BB6"/>
    <w:rsid w:val="00314D4A"/>
    <w:rsid w:val="00314EE7"/>
    <w:rsid w:val="00315E00"/>
    <w:rsid w:val="00316F04"/>
    <w:rsid w:val="00316F9B"/>
    <w:rsid w:val="00317701"/>
    <w:rsid w:val="0031785C"/>
    <w:rsid w:val="00317A02"/>
    <w:rsid w:val="00317A5C"/>
    <w:rsid w:val="00320681"/>
    <w:rsid w:val="00320990"/>
    <w:rsid w:val="00320B15"/>
    <w:rsid w:val="00320D28"/>
    <w:rsid w:val="00320E9C"/>
    <w:rsid w:val="0032165E"/>
    <w:rsid w:val="003217B9"/>
    <w:rsid w:val="00321AA8"/>
    <w:rsid w:val="0032238B"/>
    <w:rsid w:val="00323129"/>
    <w:rsid w:val="00323EBE"/>
    <w:rsid w:val="00323F85"/>
    <w:rsid w:val="00324957"/>
    <w:rsid w:val="003249DA"/>
    <w:rsid w:val="00325881"/>
    <w:rsid w:val="00325A62"/>
    <w:rsid w:val="00325BEF"/>
    <w:rsid w:val="00325DD5"/>
    <w:rsid w:val="00326059"/>
    <w:rsid w:val="003261A0"/>
    <w:rsid w:val="0032669A"/>
    <w:rsid w:val="00326937"/>
    <w:rsid w:val="00326BD2"/>
    <w:rsid w:val="003272C4"/>
    <w:rsid w:val="003274C1"/>
    <w:rsid w:val="003305C5"/>
    <w:rsid w:val="00330B50"/>
    <w:rsid w:val="00330D7D"/>
    <w:rsid w:val="00330DB2"/>
    <w:rsid w:val="003310D5"/>
    <w:rsid w:val="0033156D"/>
    <w:rsid w:val="003326C9"/>
    <w:rsid w:val="0033299C"/>
    <w:rsid w:val="00333938"/>
    <w:rsid w:val="00333A14"/>
    <w:rsid w:val="00333EE5"/>
    <w:rsid w:val="00333F0C"/>
    <w:rsid w:val="00333FE3"/>
    <w:rsid w:val="003341B2"/>
    <w:rsid w:val="00334461"/>
    <w:rsid w:val="003344F0"/>
    <w:rsid w:val="00334915"/>
    <w:rsid w:val="00335131"/>
    <w:rsid w:val="0033547C"/>
    <w:rsid w:val="00335DB6"/>
    <w:rsid w:val="00335E6F"/>
    <w:rsid w:val="003365DA"/>
    <w:rsid w:val="00336651"/>
    <w:rsid w:val="0033680C"/>
    <w:rsid w:val="00336D44"/>
    <w:rsid w:val="00337956"/>
    <w:rsid w:val="00337D13"/>
    <w:rsid w:val="003400F8"/>
    <w:rsid w:val="003406EE"/>
    <w:rsid w:val="003407C5"/>
    <w:rsid w:val="003409A0"/>
    <w:rsid w:val="00340AE2"/>
    <w:rsid w:val="00340DBB"/>
    <w:rsid w:val="003410EA"/>
    <w:rsid w:val="0034118F"/>
    <w:rsid w:val="00341A89"/>
    <w:rsid w:val="003424B3"/>
    <w:rsid w:val="00342A60"/>
    <w:rsid w:val="00342EBD"/>
    <w:rsid w:val="003430BA"/>
    <w:rsid w:val="003437A3"/>
    <w:rsid w:val="00343899"/>
    <w:rsid w:val="00343F1B"/>
    <w:rsid w:val="0034402B"/>
    <w:rsid w:val="0034406A"/>
    <w:rsid w:val="003441C1"/>
    <w:rsid w:val="003442D7"/>
    <w:rsid w:val="00344392"/>
    <w:rsid w:val="003456BE"/>
    <w:rsid w:val="00345D7D"/>
    <w:rsid w:val="0034646B"/>
    <w:rsid w:val="00347BF1"/>
    <w:rsid w:val="003504A6"/>
    <w:rsid w:val="00350522"/>
    <w:rsid w:val="0035066B"/>
    <w:rsid w:val="00350DEA"/>
    <w:rsid w:val="00350EAA"/>
    <w:rsid w:val="00351FFC"/>
    <w:rsid w:val="0035241E"/>
    <w:rsid w:val="00352B58"/>
    <w:rsid w:val="003532D1"/>
    <w:rsid w:val="0035334A"/>
    <w:rsid w:val="003534B2"/>
    <w:rsid w:val="003535ED"/>
    <w:rsid w:val="00353F8A"/>
    <w:rsid w:val="003548C7"/>
    <w:rsid w:val="00354A32"/>
    <w:rsid w:val="0035579D"/>
    <w:rsid w:val="003559A3"/>
    <w:rsid w:val="00355FD1"/>
    <w:rsid w:val="0035617B"/>
    <w:rsid w:val="00356D56"/>
    <w:rsid w:val="00356ED8"/>
    <w:rsid w:val="00356F17"/>
    <w:rsid w:val="00357572"/>
    <w:rsid w:val="003576EF"/>
    <w:rsid w:val="00357F33"/>
    <w:rsid w:val="00360248"/>
    <w:rsid w:val="00360730"/>
    <w:rsid w:val="00360E5E"/>
    <w:rsid w:val="0036144F"/>
    <w:rsid w:val="003617A0"/>
    <w:rsid w:val="00361861"/>
    <w:rsid w:val="00362667"/>
    <w:rsid w:val="00363216"/>
    <w:rsid w:val="0036335C"/>
    <w:rsid w:val="00363530"/>
    <w:rsid w:val="003641B9"/>
    <w:rsid w:val="003649D6"/>
    <w:rsid w:val="00364BDF"/>
    <w:rsid w:val="00365119"/>
    <w:rsid w:val="00365476"/>
    <w:rsid w:val="0036568E"/>
    <w:rsid w:val="0036579A"/>
    <w:rsid w:val="003657E3"/>
    <w:rsid w:val="00365871"/>
    <w:rsid w:val="00365A02"/>
    <w:rsid w:val="0036691B"/>
    <w:rsid w:val="00367828"/>
    <w:rsid w:val="00367B86"/>
    <w:rsid w:val="00367E6B"/>
    <w:rsid w:val="00372776"/>
    <w:rsid w:val="00372A35"/>
    <w:rsid w:val="00372FDF"/>
    <w:rsid w:val="00373314"/>
    <w:rsid w:val="0037393C"/>
    <w:rsid w:val="00373CC2"/>
    <w:rsid w:val="00373DAC"/>
    <w:rsid w:val="00373F18"/>
    <w:rsid w:val="0037405B"/>
    <w:rsid w:val="0037532F"/>
    <w:rsid w:val="00375996"/>
    <w:rsid w:val="003759FC"/>
    <w:rsid w:val="003769B4"/>
    <w:rsid w:val="00376B0C"/>
    <w:rsid w:val="003804DB"/>
    <w:rsid w:val="00380618"/>
    <w:rsid w:val="003806D3"/>
    <w:rsid w:val="00380FAE"/>
    <w:rsid w:val="003811DD"/>
    <w:rsid w:val="0038194F"/>
    <w:rsid w:val="00381AD3"/>
    <w:rsid w:val="00382A71"/>
    <w:rsid w:val="00382D6E"/>
    <w:rsid w:val="00383060"/>
    <w:rsid w:val="00383F48"/>
    <w:rsid w:val="00384554"/>
    <w:rsid w:val="003847A7"/>
    <w:rsid w:val="00384C98"/>
    <w:rsid w:val="0038500C"/>
    <w:rsid w:val="003851FA"/>
    <w:rsid w:val="00385693"/>
    <w:rsid w:val="00385973"/>
    <w:rsid w:val="00386BE0"/>
    <w:rsid w:val="0038716F"/>
    <w:rsid w:val="0038791B"/>
    <w:rsid w:val="00387A8D"/>
    <w:rsid w:val="00387B2E"/>
    <w:rsid w:val="00387CBD"/>
    <w:rsid w:val="00390355"/>
    <w:rsid w:val="00390509"/>
    <w:rsid w:val="00390FBD"/>
    <w:rsid w:val="00392ABC"/>
    <w:rsid w:val="00392E43"/>
    <w:rsid w:val="00393289"/>
    <w:rsid w:val="00393440"/>
    <w:rsid w:val="00393504"/>
    <w:rsid w:val="00393960"/>
    <w:rsid w:val="00394A6A"/>
    <w:rsid w:val="00394F87"/>
    <w:rsid w:val="0039524F"/>
    <w:rsid w:val="003955B5"/>
    <w:rsid w:val="003956FB"/>
    <w:rsid w:val="00396C06"/>
    <w:rsid w:val="00396C35"/>
    <w:rsid w:val="00396F63"/>
    <w:rsid w:val="00397617"/>
    <w:rsid w:val="003A044D"/>
    <w:rsid w:val="003A0C0C"/>
    <w:rsid w:val="003A19A3"/>
    <w:rsid w:val="003A19ED"/>
    <w:rsid w:val="003A27A4"/>
    <w:rsid w:val="003A28BD"/>
    <w:rsid w:val="003A2D18"/>
    <w:rsid w:val="003A35B6"/>
    <w:rsid w:val="003A360C"/>
    <w:rsid w:val="003A3856"/>
    <w:rsid w:val="003A4741"/>
    <w:rsid w:val="003A48E4"/>
    <w:rsid w:val="003A48F2"/>
    <w:rsid w:val="003A4DBD"/>
    <w:rsid w:val="003A4E57"/>
    <w:rsid w:val="003A5538"/>
    <w:rsid w:val="003A55A6"/>
    <w:rsid w:val="003A5FD9"/>
    <w:rsid w:val="003A603C"/>
    <w:rsid w:val="003A65E1"/>
    <w:rsid w:val="003A6760"/>
    <w:rsid w:val="003A6A42"/>
    <w:rsid w:val="003A7B86"/>
    <w:rsid w:val="003A7F0E"/>
    <w:rsid w:val="003B004B"/>
    <w:rsid w:val="003B0425"/>
    <w:rsid w:val="003B07F8"/>
    <w:rsid w:val="003B0C25"/>
    <w:rsid w:val="003B1AF2"/>
    <w:rsid w:val="003B1FAC"/>
    <w:rsid w:val="003B24FD"/>
    <w:rsid w:val="003B2538"/>
    <w:rsid w:val="003B2BF1"/>
    <w:rsid w:val="003B3629"/>
    <w:rsid w:val="003B408E"/>
    <w:rsid w:val="003B4AE4"/>
    <w:rsid w:val="003B4C6C"/>
    <w:rsid w:val="003B4C7E"/>
    <w:rsid w:val="003B5803"/>
    <w:rsid w:val="003B63BD"/>
    <w:rsid w:val="003B656E"/>
    <w:rsid w:val="003B6EF9"/>
    <w:rsid w:val="003B7804"/>
    <w:rsid w:val="003B78D1"/>
    <w:rsid w:val="003B7B77"/>
    <w:rsid w:val="003C0182"/>
    <w:rsid w:val="003C0432"/>
    <w:rsid w:val="003C100D"/>
    <w:rsid w:val="003C127D"/>
    <w:rsid w:val="003C24B5"/>
    <w:rsid w:val="003C27D3"/>
    <w:rsid w:val="003C2A94"/>
    <w:rsid w:val="003C3357"/>
    <w:rsid w:val="003C34C2"/>
    <w:rsid w:val="003C3696"/>
    <w:rsid w:val="003C3C80"/>
    <w:rsid w:val="003C3D20"/>
    <w:rsid w:val="003C4230"/>
    <w:rsid w:val="003C4314"/>
    <w:rsid w:val="003C45D9"/>
    <w:rsid w:val="003C4AF8"/>
    <w:rsid w:val="003C4B77"/>
    <w:rsid w:val="003C4BDD"/>
    <w:rsid w:val="003C4CBA"/>
    <w:rsid w:val="003C5A50"/>
    <w:rsid w:val="003C5BD0"/>
    <w:rsid w:val="003C5CF9"/>
    <w:rsid w:val="003C5E8A"/>
    <w:rsid w:val="003C6C4C"/>
    <w:rsid w:val="003C6FDC"/>
    <w:rsid w:val="003C734D"/>
    <w:rsid w:val="003C7D20"/>
    <w:rsid w:val="003D0267"/>
    <w:rsid w:val="003D0893"/>
    <w:rsid w:val="003D0DD2"/>
    <w:rsid w:val="003D1148"/>
    <w:rsid w:val="003D1321"/>
    <w:rsid w:val="003D1546"/>
    <w:rsid w:val="003D18EE"/>
    <w:rsid w:val="003D1DB1"/>
    <w:rsid w:val="003D22B1"/>
    <w:rsid w:val="003D2559"/>
    <w:rsid w:val="003D2CEF"/>
    <w:rsid w:val="003D3114"/>
    <w:rsid w:val="003D3875"/>
    <w:rsid w:val="003D3B1D"/>
    <w:rsid w:val="003D41A6"/>
    <w:rsid w:val="003D4227"/>
    <w:rsid w:val="003D4409"/>
    <w:rsid w:val="003D4B07"/>
    <w:rsid w:val="003D4B3E"/>
    <w:rsid w:val="003D5045"/>
    <w:rsid w:val="003D5DD1"/>
    <w:rsid w:val="003D6BC0"/>
    <w:rsid w:val="003E0C51"/>
    <w:rsid w:val="003E120E"/>
    <w:rsid w:val="003E1437"/>
    <w:rsid w:val="003E18B7"/>
    <w:rsid w:val="003E1B5D"/>
    <w:rsid w:val="003E2450"/>
    <w:rsid w:val="003E254E"/>
    <w:rsid w:val="003E282D"/>
    <w:rsid w:val="003E2D1E"/>
    <w:rsid w:val="003E2FFF"/>
    <w:rsid w:val="003E331F"/>
    <w:rsid w:val="003E3436"/>
    <w:rsid w:val="003E3AF4"/>
    <w:rsid w:val="003E3BF5"/>
    <w:rsid w:val="003E3D4A"/>
    <w:rsid w:val="003E471A"/>
    <w:rsid w:val="003E4DB4"/>
    <w:rsid w:val="003E5ABE"/>
    <w:rsid w:val="003E5DE8"/>
    <w:rsid w:val="003E6323"/>
    <w:rsid w:val="003E6E09"/>
    <w:rsid w:val="003F04A5"/>
    <w:rsid w:val="003F0722"/>
    <w:rsid w:val="003F0FBE"/>
    <w:rsid w:val="003F1971"/>
    <w:rsid w:val="003F1A8F"/>
    <w:rsid w:val="003F1CA2"/>
    <w:rsid w:val="003F2535"/>
    <w:rsid w:val="003F2C46"/>
    <w:rsid w:val="003F2CEC"/>
    <w:rsid w:val="003F3162"/>
    <w:rsid w:val="003F3202"/>
    <w:rsid w:val="003F3245"/>
    <w:rsid w:val="003F324C"/>
    <w:rsid w:val="003F36DA"/>
    <w:rsid w:val="003F398A"/>
    <w:rsid w:val="003F3B89"/>
    <w:rsid w:val="003F4535"/>
    <w:rsid w:val="003F467E"/>
    <w:rsid w:val="003F4B41"/>
    <w:rsid w:val="003F522A"/>
    <w:rsid w:val="003F5458"/>
    <w:rsid w:val="003F556E"/>
    <w:rsid w:val="003F578A"/>
    <w:rsid w:val="003F5E24"/>
    <w:rsid w:val="003F5E79"/>
    <w:rsid w:val="003F65A4"/>
    <w:rsid w:val="003F6734"/>
    <w:rsid w:val="003F68A8"/>
    <w:rsid w:val="003F6BF8"/>
    <w:rsid w:val="003F6C31"/>
    <w:rsid w:val="003F70DA"/>
    <w:rsid w:val="003F7530"/>
    <w:rsid w:val="003F76ED"/>
    <w:rsid w:val="003F7A97"/>
    <w:rsid w:val="003F7AA1"/>
    <w:rsid w:val="004001BF"/>
    <w:rsid w:val="0040079E"/>
    <w:rsid w:val="00400ADC"/>
    <w:rsid w:val="00400CB6"/>
    <w:rsid w:val="00400CD8"/>
    <w:rsid w:val="0040123D"/>
    <w:rsid w:val="004019E7"/>
    <w:rsid w:val="0040228D"/>
    <w:rsid w:val="0040294B"/>
    <w:rsid w:val="0040401E"/>
    <w:rsid w:val="00404A40"/>
    <w:rsid w:val="00404BAE"/>
    <w:rsid w:val="004056B5"/>
    <w:rsid w:val="00405B1E"/>
    <w:rsid w:val="00406E15"/>
    <w:rsid w:val="004071BF"/>
    <w:rsid w:val="004073F4"/>
    <w:rsid w:val="00410431"/>
    <w:rsid w:val="0041084C"/>
    <w:rsid w:val="00410F10"/>
    <w:rsid w:val="00410F2D"/>
    <w:rsid w:val="00411309"/>
    <w:rsid w:val="004118A9"/>
    <w:rsid w:val="00411A8F"/>
    <w:rsid w:val="00411E6D"/>
    <w:rsid w:val="00411F85"/>
    <w:rsid w:val="00412865"/>
    <w:rsid w:val="00412A28"/>
    <w:rsid w:val="00412D91"/>
    <w:rsid w:val="004139B9"/>
    <w:rsid w:val="004139DE"/>
    <w:rsid w:val="00413A29"/>
    <w:rsid w:val="00413F86"/>
    <w:rsid w:val="00414B50"/>
    <w:rsid w:val="0041516F"/>
    <w:rsid w:val="004152F2"/>
    <w:rsid w:val="00415659"/>
    <w:rsid w:val="0041586D"/>
    <w:rsid w:val="00415E8D"/>
    <w:rsid w:val="00416063"/>
    <w:rsid w:val="00416C26"/>
    <w:rsid w:val="00417524"/>
    <w:rsid w:val="00417886"/>
    <w:rsid w:val="00417F99"/>
    <w:rsid w:val="00420710"/>
    <w:rsid w:val="0042088C"/>
    <w:rsid w:val="00420CDB"/>
    <w:rsid w:val="004210F4"/>
    <w:rsid w:val="004215E3"/>
    <w:rsid w:val="00421A1C"/>
    <w:rsid w:val="004225E7"/>
    <w:rsid w:val="004230CD"/>
    <w:rsid w:val="004233D5"/>
    <w:rsid w:val="00424296"/>
    <w:rsid w:val="00424C8E"/>
    <w:rsid w:val="004257D1"/>
    <w:rsid w:val="004258A4"/>
    <w:rsid w:val="004265A6"/>
    <w:rsid w:val="00426727"/>
    <w:rsid w:val="0042682E"/>
    <w:rsid w:val="00426A0C"/>
    <w:rsid w:val="00427EC4"/>
    <w:rsid w:val="00430E7C"/>
    <w:rsid w:val="0043117D"/>
    <w:rsid w:val="00431223"/>
    <w:rsid w:val="00431482"/>
    <w:rsid w:val="00431588"/>
    <w:rsid w:val="0043164A"/>
    <w:rsid w:val="0043176A"/>
    <w:rsid w:val="00431E0C"/>
    <w:rsid w:val="00431E9A"/>
    <w:rsid w:val="0043207F"/>
    <w:rsid w:val="00432374"/>
    <w:rsid w:val="0043238D"/>
    <w:rsid w:val="00432B30"/>
    <w:rsid w:val="00432B98"/>
    <w:rsid w:val="00432CC3"/>
    <w:rsid w:val="004334FE"/>
    <w:rsid w:val="00433DB8"/>
    <w:rsid w:val="00433E50"/>
    <w:rsid w:val="00434289"/>
    <w:rsid w:val="004344B2"/>
    <w:rsid w:val="00434C0A"/>
    <w:rsid w:val="00435177"/>
    <w:rsid w:val="004359D3"/>
    <w:rsid w:val="00435ACA"/>
    <w:rsid w:val="0043679E"/>
    <w:rsid w:val="0043748B"/>
    <w:rsid w:val="0044050D"/>
    <w:rsid w:val="004406CA"/>
    <w:rsid w:val="00440A5B"/>
    <w:rsid w:val="00440AF2"/>
    <w:rsid w:val="004411C2"/>
    <w:rsid w:val="00441807"/>
    <w:rsid w:val="00441895"/>
    <w:rsid w:val="004418B2"/>
    <w:rsid w:val="00441B11"/>
    <w:rsid w:val="004421A2"/>
    <w:rsid w:val="00442F5F"/>
    <w:rsid w:val="004433E5"/>
    <w:rsid w:val="0044362B"/>
    <w:rsid w:val="004436A6"/>
    <w:rsid w:val="00443839"/>
    <w:rsid w:val="00443A23"/>
    <w:rsid w:val="004442DA"/>
    <w:rsid w:val="004443CF"/>
    <w:rsid w:val="0044442D"/>
    <w:rsid w:val="00444AE2"/>
    <w:rsid w:val="00444B30"/>
    <w:rsid w:val="00444F80"/>
    <w:rsid w:val="00445072"/>
    <w:rsid w:val="004469BC"/>
    <w:rsid w:val="00447125"/>
    <w:rsid w:val="00447C09"/>
    <w:rsid w:val="00447CC3"/>
    <w:rsid w:val="00447E17"/>
    <w:rsid w:val="00450493"/>
    <w:rsid w:val="004505FF"/>
    <w:rsid w:val="00450811"/>
    <w:rsid w:val="00450890"/>
    <w:rsid w:val="00450CDA"/>
    <w:rsid w:val="004512AA"/>
    <w:rsid w:val="004513C1"/>
    <w:rsid w:val="00452110"/>
    <w:rsid w:val="0045276A"/>
    <w:rsid w:val="00452A8F"/>
    <w:rsid w:val="00452B3D"/>
    <w:rsid w:val="00453EB4"/>
    <w:rsid w:val="00454207"/>
    <w:rsid w:val="00455930"/>
    <w:rsid w:val="004559A6"/>
    <w:rsid w:val="00455AAC"/>
    <w:rsid w:val="00455D0A"/>
    <w:rsid w:val="004561EB"/>
    <w:rsid w:val="004562DF"/>
    <w:rsid w:val="0045719D"/>
    <w:rsid w:val="0045725C"/>
    <w:rsid w:val="00457526"/>
    <w:rsid w:val="00460B07"/>
    <w:rsid w:val="00460D89"/>
    <w:rsid w:val="0046124E"/>
    <w:rsid w:val="004616FA"/>
    <w:rsid w:val="004617BA"/>
    <w:rsid w:val="004617D4"/>
    <w:rsid w:val="00461C05"/>
    <w:rsid w:val="00462476"/>
    <w:rsid w:val="00462F26"/>
    <w:rsid w:val="004632A5"/>
    <w:rsid w:val="00463311"/>
    <w:rsid w:val="00463345"/>
    <w:rsid w:val="00463554"/>
    <w:rsid w:val="004638A6"/>
    <w:rsid w:val="0046391C"/>
    <w:rsid w:val="00463B75"/>
    <w:rsid w:val="00463DAF"/>
    <w:rsid w:val="00466339"/>
    <w:rsid w:val="00467149"/>
    <w:rsid w:val="00467343"/>
    <w:rsid w:val="0046762E"/>
    <w:rsid w:val="0046777E"/>
    <w:rsid w:val="0046780B"/>
    <w:rsid w:val="00467C60"/>
    <w:rsid w:val="004706EA"/>
    <w:rsid w:val="00470C1E"/>
    <w:rsid w:val="004710A2"/>
    <w:rsid w:val="004712DC"/>
    <w:rsid w:val="00471460"/>
    <w:rsid w:val="00471F17"/>
    <w:rsid w:val="004722A4"/>
    <w:rsid w:val="00472300"/>
    <w:rsid w:val="004725D8"/>
    <w:rsid w:val="00472ADF"/>
    <w:rsid w:val="00472B9E"/>
    <w:rsid w:val="00472D71"/>
    <w:rsid w:val="004737EC"/>
    <w:rsid w:val="00473810"/>
    <w:rsid w:val="0047391C"/>
    <w:rsid w:val="00473C73"/>
    <w:rsid w:val="00474F1C"/>
    <w:rsid w:val="00474FE3"/>
    <w:rsid w:val="004750A3"/>
    <w:rsid w:val="00475299"/>
    <w:rsid w:val="00475307"/>
    <w:rsid w:val="00475CBE"/>
    <w:rsid w:val="00476177"/>
    <w:rsid w:val="00476C52"/>
    <w:rsid w:val="0047702E"/>
    <w:rsid w:val="00477425"/>
    <w:rsid w:val="00477526"/>
    <w:rsid w:val="004776FC"/>
    <w:rsid w:val="0047790D"/>
    <w:rsid w:val="00477B92"/>
    <w:rsid w:val="00477E4C"/>
    <w:rsid w:val="00477F5F"/>
    <w:rsid w:val="004804B7"/>
    <w:rsid w:val="0048062B"/>
    <w:rsid w:val="004806A1"/>
    <w:rsid w:val="0048070D"/>
    <w:rsid w:val="0048073A"/>
    <w:rsid w:val="004813E7"/>
    <w:rsid w:val="004814D8"/>
    <w:rsid w:val="0048165D"/>
    <w:rsid w:val="0048169E"/>
    <w:rsid w:val="00482465"/>
    <w:rsid w:val="00482684"/>
    <w:rsid w:val="00482B0C"/>
    <w:rsid w:val="004833EB"/>
    <w:rsid w:val="0048367C"/>
    <w:rsid w:val="00483758"/>
    <w:rsid w:val="00483991"/>
    <w:rsid w:val="00483AF5"/>
    <w:rsid w:val="00483BE1"/>
    <w:rsid w:val="00483E62"/>
    <w:rsid w:val="00483F61"/>
    <w:rsid w:val="0048418B"/>
    <w:rsid w:val="00484820"/>
    <w:rsid w:val="0048486C"/>
    <w:rsid w:val="00484A81"/>
    <w:rsid w:val="00484C90"/>
    <w:rsid w:val="00484CF6"/>
    <w:rsid w:val="00484D8B"/>
    <w:rsid w:val="0048546B"/>
    <w:rsid w:val="00485871"/>
    <w:rsid w:val="0048592D"/>
    <w:rsid w:val="00485FDA"/>
    <w:rsid w:val="004866F7"/>
    <w:rsid w:val="00486A11"/>
    <w:rsid w:val="00486C46"/>
    <w:rsid w:val="004872CB"/>
    <w:rsid w:val="004874EF"/>
    <w:rsid w:val="004874FA"/>
    <w:rsid w:val="00487599"/>
    <w:rsid w:val="00487728"/>
    <w:rsid w:val="0048795D"/>
    <w:rsid w:val="00487A4E"/>
    <w:rsid w:val="00487DC3"/>
    <w:rsid w:val="00487EFE"/>
    <w:rsid w:val="00490F1E"/>
    <w:rsid w:val="00491810"/>
    <w:rsid w:val="00491A2F"/>
    <w:rsid w:val="00492036"/>
    <w:rsid w:val="004923E6"/>
    <w:rsid w:val="0049283A"/>
    <w:rsid w:val="00492B22"/>
    <w:rsid w:val="00493964"/>
    <w:rsid w:val="00493CFA"/>
    <w:rsid w:val="00493DC4"/>
    <w:rsid w:val="004947CE"/>
    <w:rsid w:val="00494A9A"/>
    <w:rsid w:val="00494DE7"/>
    <w:rsid w:val="00494FA4"/>
    <w:rsid w:val="0049539B"/>
    <w:rsid w:val="004953B3"/>
    <w:rsid w:val="004959A9"/>
    <w:rsid w:val="00495A26"/>
    <w:rsid w:val="00495B31"/>
    <w:rsid w:val="00495FE7"/>
    <w:rsid w:val="00496416"/>
    <w:rsid w:val="00496661"/>
    <w:rsid w:val="004971FC"/>
    <w:rsid w:val="00497369"/>
    <w:rsid w:val="00497716"/>
    <w:rsid w:val="00497A10"/>
    <w:rsid w:val="00497BD3"/>
    <w:rsid w:val="00497CB4"/>
    <w:rsid w:val="004A000D"/>
    <w:rsid w:val="004A0183"/>
    <w:rsid w:val="004A1E76"/>
    <w:rsid w:val="004A2356"/>
    <w:rsid w:val="004A25BA"/>
    <w:rsid w:val="004A2D47"/>
    <w:rsid w:val="004A378E"/>
    <w:rsid w:val="004A3FF8"/>
    <w:rsid w:val="004A4018"/>
    <w:rsid w:val="004A4362"/>
    <w:rsid w:val="004A45FC"/>
    <w:rsid w:val="004A4BAC"/>
    <w:rsid w:val="004A4E6E"/>
    <w:rsid w:val="004A50DD"/>
    <w:rsid w:val="004A530A"/>
    <w:rsid w:val="004A55BD"/>
    <w:rsid w:val="004A5AEC"/>
    <w:rsid w:val="004A5E6F"/>
    <w:rsid w:val="004A6AF8"/>
    <w:rsid w:val="004A75E4"/>
    <w:rsid w:val="004A7BBD"/>
    <w:rsid w:val="004B040E"/>
    <w:rsid w:val="004B08C9"/>
    <w:rsid w:val="004B0980"/>
    <w:rsid w:val="004B0CE6"/>
    <w:rsid w:val="004B0FD1"/>
    <w:rsid w:val="004B137D"/>
    <w:rsid w:val="004B16ED"/>
    <w:rsid w:val="004B189A"/>
    <w:rsid w:val="004B2A84"/>
    <w:rsid w:val="004B30C3"/>
    <w:rsid w:val="004B326A"/>
    <w:rsid w:val="004B35A6"/>
    <w:rsid w:val="004B36F1"/>
    <w:rsid w:val="004B4CDC"/>
    <w:rsid w:val="004B4D2A"/>
    <w:rsid w:val="004B4D45"/>
    <w:rsid w:val="004B4DCA"/>
    <w:rsid w:val="004B517A"/>
    <w:rsid w:val="004B51BA"/>
    <w:rsid w:val="004B55C0"/>
    <w:rsid w:val="004B5906"/>
    <w:rsid w:val="004B5C44"/>
    <w:rsid w:val="004B7419"/>
    <w:rsid w:val="004C12DB"/>
    <w:rsid w:val="004C1563"/>
    <w:rsid w:val="004C2001"/>
    <w:rsid w:val="004C2338"/>
    <w:rsid w:val="004C2B91"/>
    <w:rsid w:val="004C2BAB"/>
    <w:rsid w:val="004C313F"/>
    <w:rsid w:val="004C47C9"/>
    <w:rsid w:val="004C4A2D"/>
    <w:rsid w:val="004C57A8"/>
    <w:rsid w:val="004C57ED"/>
    <w:rsid w:val="004C57F9"/>
    <w:rsid w:val="004C5997"/>
    <w:rsid w:val="004C5D52"/>
    <w:rsid w:val="004C5DC5"/>
    <w:rsid w:val="004C5E57"/>
    <w:rsid w:val="004C5F9A"/>
    <w:rsid w:val="004C6227"/>
    <w:rsid w:val="004C678B"/>
    <w:rsid w:val="004C6B39"/>
    <w:rsid w:val="004C7114"/>
    <w:rsid w:val="004C721E"/>
    <w:rsid w:val="004C750C"/>
    <w:rsid w:val="004C77F6"/>
    <w:rsid w:val="004C7FC4"/>
    <w:rsid w:val="004D00F7"/>
    <w:rsid w:val="004D03C6"/>
    <w:rsid w:val="004D075F"/>
    <w:rsid w:val="004D12A5"/>
    <w:rsid w:val="004D13CD"/>
    <w:rsid w:val="004D193D"/>
    <w:rsid w:val="004D1AB6"/>
    <w:rsid w:val="004D1ADA"/>
    <w:rsid w:val="004D21A0"/>
    <w:rsid w:val="004D2F7A"/>
    <w:rsid w:val="004D3500"/>
    <w:rsid w:val="004D3E94"/>
    <w:rsid w:val="004D4136"/>
    <w:rsid w:val="004D480D"/>
    <w:rsid w:val="004D4902"/>
    <w:rsid w:val="004D4F7E"/>
    <w:rsid w:val="004D4FA8"/>
    <w:rsid w:val="004D55C7"/>
    <w:rsid w:val="004D5688"/>
    <w:rsid w:val="004D587D"/>
    <w:rsid w:val="004D5C37"/>
    <w:rsid w:val="004D5D36"/>
    <w:rsid w:val="004D6071"/>
    <w:rsid w:val="004D6219"/>
    <w:rsid w:val="004D6691"/>
    <w:rsid w:val="004D678F"/>
    <w:rsid w:val="004D6E31"/>
    <w:rsid w:val="004D7B50"/>
    <w:rsid w:val="004D7BA2"/>
    <w:rsid w:val="004D7BF4"/>
    <w:rsid w:val="004D7FF2"/>
    <w:rsid w:val="004E007B"/>
    <w:rsid w:val="004E0502"/>
    <w:rsid w:val="004E096C"/>
    <w:rsid w:val="004E0E90"/>
    <w:rsid w:val="004E0F2A"/>
    <w:rsid w:val="004E1146"/>
    <w:rsid w:val="004E1AA9"/>
    <w:rsid w:val="004E20EB"/>
    <w:rsid w:val="004E24AD"/>
    <w:rsid w:val="004E2DAE"/>
    <w:rsid w:val="004E32E1"/>
    <w:rsid w:val="004E3639"/>
    <w:rsid w:val="004E37A5"/>
    <w:rsid w:val="004E3937"/>
    <w:rsid w:val="004E39A8"/>
    <w:rsid w:val="004E3FDB"/>
    <w:rsid w:val="004E4480"/>
    <w:rsid w:val="004E471A"/>
    <w:rsid w:val="004E4A7D"/>
    <w:rsid w:val="004E5014"/>
    <w:rsid w:val="004E564C"/>
    <w:rsid w:val="004E5DFC"/>
    <w:rsid w:val="004E5FB2"/>
    <w:rsid w:val="004E6158"/>
    <w:rsid w:val="004E6824"/>
    <w:rsid w:val="004E764B"/>
    <w:rsid w:val="004E7BAD"/>
    <w:rsid w:val="004E7E5B"/>
    <w:rsid w:val="004E7E7C"/>
    <w:rsid w:val="004E7EC2"/>
    <w:rsid w:val="004F0560"/>
    <w:rsid w:val="004F0614"/>
    <w:rsid w:val="004F13D5"/>
    <w:rsid w:val="004F14C6"/>
    <w:rsid w:val="004F1674"/>
    <w:rsid w:val="004F16CC"/>
    <w:rsid w:val="004F1880"/>
    <w:rsid w:val="004F1E6A"/>
    <w:rsid w:val="004F214E"/>
    <w:rsid w:val="004F279E"/>
    <w:rsid w:val="004F2F16"/>
    <w:rsid w:val="004F306D"/>
    <w:rsid w:val="004F3D31"/>
    <w:rsid w:val="004F4195"/>
    <w:rsid w:val="004F4752"/>
    <w:rsid w:val="004F4ACB"/>
    <w:rsid w:val="004F5445"/>
    <w:rsid w:val="004F5AA5"/>
    <w:rsid w:val="004F6620"/>
    <w:rsid w:val="004F7152"/>
    <w:rsid w:val="004F7EB8"/>
    <w:rsid w:val="00500BE8"/>
    <w:rsid w:val="00500FAB"/>
    <w:rsid w:val="00501D01"/>
    <w:rsid w:val="00501F6E"/>
    <w:rsid w:val="005023D6"/>
    <w:rsid w:val="005024A5"/>
    <w:rsid w:val="005027C8"/>
    <w:rsid w:val="0050285F"/>
    <w:rsid w:val="00502931"/>
    <w:rsid w:val="00502A84"/>
    <w:rsid w:val="00503657"/>
    <w:rsid w:val="00503AA6"/>
    <w:rsid w:val="00503BE8"/>
    <w:rsid w:val="0050408F"/>
    <w:rsid w:val="00504444"/>
    <w:rsid w:val="00505118"/>
    <w:rsid w:val="0050559A"/>
    <w:rsid w:val="00505AE4"/>
    <w:rsid w:val="00505C03"/>
    <w:rsid w:val="00505E71"/>
    <w:rsid w:val="005064E3"/>
    <w:rsid w:val="0050693F"/>
    <w:rsid w:val="00507032"/>
    <w:rsid w:val="00507795"/>
    <w:rsid w:val="00507D6B"/>
    <w:rsid w:val="00510307"/>
    <w:rsid w:val="0051033E"/>
    <w:rsid w:val="00510569"/>
    <w:rsid w:val="00510DF4"/>
    <w:rsid w:val="00510E9A"/>
    <w:rsid w:val="00510FA9"/>
    <w:rsid w:val="00511362"/>
    <w:rsid w:val="00513031"/>
    <w:rsid w:val="00513716"/>
    <w:rsid w:val="0051382C"/>
    <w:rsid w:val="00513B23"/>
    <w:rsid w:val="00513BC5"/>
    <w:rsid w:val="00513C34"/>
    <w:rsid w:val="00513CDC"/>
    <w:rsid w:val="00513FBD"/>
    <w:rsid w:val="0051467A"/>
    <w:rsid w:val="00514957"/>
    <w:rsid w:val="00514AB0"/>
    <w:rsid w:val="00514CD6"/>
    <w:rsid w:val="005158B8"/>
    <w:rsid w:val="00516A9D"/>
    <w:rsid w:val="00516E04"/>
    <w:rsid w:val="00516E3F"/>
    <w:rsid w:val="00520124"/>
    <w:rsid w:val="005205CD"/>
    <w:rsid w:val="00521137"/>
    <w:rsid w:val="0052115C"/>
    <w:rsid w:val="0052144D"/>
    <w:rsid w:val="0052147B"/>
    <w:rsid w:val="00521AE1"/>
    <w:rsid w:val="005228B7"/>
    <w:rsid w:val="005228BF"/>
    <w:rsid w:val="00523058"/>
    <w:rsid w:val="005231A7"/>
    <w:rsid w:val="005236AF"/>
    <w:rsid w:val="00524092"/>
    <w:rsid w:val="005243B2"/>
    <w:rsid w:val="00524483"/>
    <w:rsid w:val="00524518"/>
    <w:rsid w:val="0052464A"/>
    <w:rsid w:val="00524DF0"/>
    <w:rsid w:val="005254C9"/>
    <w:rsid w:val="0052563D"/>
    <w:rsid w:val="005259B0"/>
    <w:rsid w:val="005265C8"/>
    <w:rsid w:val="005265DA"/>
    <w:rsid w:val="005266F1"/>
    <w:rsid w:val="005267C7"/>
    <w:rsid w:val="00526981"/>
    <w:rsid w:val="00526A39"/>
    <w:rsid w:val="0052721F"/>
    <w:rsid w:val="005276EB"/>
    <w:rsid w:val="0053156F"/>
    <w:rsid w:val="005316E9"/>
    <w:rsid w:val="00531B31"/>
    <w:rsid w:val="00531FF3"/>
    <w:rsid w:val="0053228E"/>
    <w:rsid w:val="00532626"/>
    <w:rsid w:val="00532CE4"/>
    <w:rsid w:val="00532D9B"/>
    <w:rsid w:val="00533C89"/>
    <w:rsid w:val="005341FB"/>
    <w:rsid w:val="005344DE"/>
    <w:rsid w:val="005345FC"/>
    <w:rsid w:val="00534BBA"/>
    <w:rsid w:val="00535D1B"/>
    <w:rsid w:val="00536087"/>
    <w:rsid w:val="00536798"/>
    <w:rsid w:val="00536D06"/>
    <w:rsid w:val="005375A1"/>
    <w:rsid w:val="00537A99"/>
    <w:rsid w:val="00537CC4"/>
    <w:rsid w:val="005404D3"/>
    <w:rsid w:val="00540B36"/>
    <w:rsid w:val="0054119A"/>
    <w:rsid w:val="005412C3"/>
    <w:rsid w:val="0054145C"/>
    <w:rsid w:val="00541756"/>
    <w:rsid w:val="0054195F"/>
    <w:rsid w:val="00542532"/>
    <w:rsid w:val="005429D2"/>
    <w:rsid w:val="0054325B"/>
    <w:rsid w:val="005434D5"/>
    <w:rsid w:val="00543BA3"/>
    <w:rsid w:val="00544F6A"/>
    <w:rsid w:val="00545868"/>
    <w:rsid w:val="0054633D"/>
    <w:rsid w:val="005467EC"/>
    <w:rsid w:val="00546904"/>
    <w:rsid w:val="00547358"/>
    <w:rsid w:val="00547A9E"/>
    <w:rsid w:val="00547EA1"/>
    <w:rsid w:val="005503B2"/>
    <w:rsid w:val="005514C2"/>
    <w:rsid w:val="00551B34"/>
    <w:rsid w:val="00551CE4"/>
    <w:rsid w:val="00551F9D"/>
    <w:rsid w:val="0055261D"/>
    <w:rsid w:val="0055385F"/>
    <w:rsid w:val="00553E2C"/>
    <w:rsid w:val="00553E30"/>
    <w:rsid w:val="00553F57"/>
    <w:rsid w:val="0055473C"/>
    <w:rsid w:val="005549F3"/>
    <w:rsid w:val="00554C24"/>
    <w:rsid w:val="00555005"/>
    <w:rsid w:val="005551D8"/>
    <w:rsid w:val="0055539F"/>
    <w:rsid w:val="0055576B"/>
    <w:rsid w:val="00555820"/>
    <w:rsid w:val="005561E2"/>
    <w:rsid w:val="005565CD"/>
    <w:rsid w:val="005566CD"/>
    <w:rsid w:val="00556D43"/>
    <w:rsid w:val="00560691"/>
    <w:rsid w:val="005606C6"/>
    <w:rsid w:val="00561A96"/>
    <w:rsid w:val="00561AF7"/>
    <w:rsid w:val="00562A33"/>
    <w:rsid w:val="005640FB"/>
    <w:rsid w:val="005648D2"/>
    <w:rsid w:val="00564AB9"/>
    <w:rsid w:val="00565307"/>
    <w:rsid w:val="005653E6"/>
    <w:rsid w:val="00565998"/>
    <w:rsid w:val="00565D35"/>
    <w:rsid w:val="00565DC4"/>
    <w:rsid w:val="00565E2E"/>
    <w:rsid w:val="00566B1F"/>
    <w:rsid w:val="00566D1F"/>
    <w:rsid w:val="005672E8"/>
    <w:rsid w:val="005678DE"/>
    <w:rsid w:val="00567C75"/>
    <w:rsid w:val="00567E6F"/>
    <w:rsid w:val="0057048C"/>
    <w:rsid w:val="00570C68"/>
    <w:rsid w:val="00570E1C"/>
    <w:rsid w:val="00570F43"/>
    <w:rsid w:val="005714AA"/>
    <w:rsid w:val="00571C2B"/>
    <w:rsid w:val="00571CC6"/>
    <w:rsid w:val="00571D6A"/>
    <w:rsid w:val="00571DDC"/>
    <w:rsid w:val="00571F9A"/>
    <w:rsid w:val="00572C46"/>
    <w:rsid w:val="00573588"/>
    <w:rsid w:val="0057364A"/>
    <w:rsid w:val="0057373B"/>
    <w:rsid w:val="005737CB"/>
    <w:rsid w:val="00573BFC"/>
    <w:rsid w:val="0057452D"/>
    <w:rsid w:val="00574969"/>
    <w:rsid w:val="005749FD"/>
    <w:rsid w:val="00574C31"/>
    <w:rsid w:val="00574DA2"/>
    <w:rsid w:val="00574F6E"/>
    <w:rsid w:val="005752E9"/>
    <w:rsid w:val="005759FE"/>
    <w:rsid w:val="00575B98"/>
    <w:rsid w:val="00576089"/>
    <w:rsid w:val="00576298"/>
    <w:rsid w:val="00576A38"/>
    <w:rsid w:val="00576FAF"/>
    <w:rsid w:val="005774E4"/>
    <w:rsid w:val="0057754F"/>
    <w:rsid w:val="005775CE"/>
    <w:rsid w:val="00577A17"/>
    <w:rsid w:val="005802A3"/>
    <w:rsid w:val="00580F8B"/>
    <w:rsid w:val="00581016"/>
    <w:rsid w:val="00581669"/>
    <w:rsid w:val="00581837"/>
    <w:rsid w:val="00581A9C"/>
    <w:rsid w:val="005821AA"/>
    <w:rsid w:val="00582B96"/>
    <w:rsid w:val="00582DE6"/>
    <w:rsid w:val="005836B4"/>
    <w:rsid w:val="005836F3"/>
    <w:rsid w:val="00583737"/>
    <w:rsid w:val="00583979"/>
    <w:rsid w:val="00583DD5"/>
    <w:rsid w:val="005850C9"/>
    <w:rsid w:val="00586070"/>
    <w:rsid w:val="0058610E"/>
    <w:rsid w:val="00586142"/>
    <w:rsid w:val="005861D7"/>
    <w:rsid w:val="005874A2"/>
    <w:rsid w:val="005877C9"/>
    <w:rsid w:val="00587ECF"/>
    <w:rsid w:val="00590A32"/>
    <w:rsid w:val="00590BFB"/>
    <w:rsid w:val="00590E7D"/>
    <w:rsid w:val="00591356"/>
    <w:rsid w:val="005915EC"/>
    <w:rsid w:val="0059193C"/>
    <w:rsid w:val="005921B5"/>
    <w:rsid w:val="00592CAD"/>
    <w:rsid w:val="00592D2A"/>
    <w:rsid w:val="00592E2B"/>
    <w:rsid w:val="00592FDA"/>
    <w:rsid w:val="00593ACC"/>
    <w:rsid w:val="0059415F"/>
    <w:rsid w:val="00594BDF"/>
    <w:rsid w:val="005956F9"/>
    <w:rsid w:val="00595C6C"/>
    <w:rsid w:val="00595DCF"/>
    <w:rsid w:val="00596C5A"/>
    <w:rsid w:val="00596D64"/>
    <w:rsid w:val="00596DED"/>
    <w:rsid w:val="00596DFD"/>
    <w:rsid w:val="00596FBE"/>
    <w:rsid w:val="0059714E"/>
    <w:rsid w:val="00597821"/>
    <w:rsid w:val="00597F57"/>
    <w:rsid w:val="005A0BC1"/>
    <w:rsid w:val="005A0D14"/>
    <w:rsid w:val="005A0F35"/>
    <w:rsid w:val="005A1065"/>
    <w:rsid w:val="005A1247"/>
    <w:rsid w:val="005A12C0"/>
    <w:rsid w:val="005A1AA2"/>
    <w:rsid w:val="005A1B42"/>
    <w:rsid w:val="005A23D1"/>
    <w:rsid w:val="005A29E8"/>
    <w:rsid w:val="005A2CAA"/>
    <w:rsid w:val="005A2EEF"/>
    <w:rsid w:val="005A2F58"/>
    <w:rsid w:val="005A2FBF"/>
    <w:rsid w:val="005A4050"/>
    <w:rsid w:val="005A421A"/>
    <w:rsid w:val="005A457E"/>
    <w:rsid w:val="005A45F6"/>
    <w:rsid w:val="005A5431"/>
    <w:rsid w:val="005A5A74"/>
    <w:rsid w:val="005A6883"/>
    <w:rsid w:val="005A75AC"/>
    <w:rsid w:val="005A7A1D"/>
    <w:rsid w:val="005B0C0E"/>
    <w:rsid w:val="005B0F2F"/>
    <w:rsid w:val="005B0FA1"/>
    <w:rsid w:val="005B1434"/>
    <w:rsid w:val="005B15FC"/>
    <w:rsid w:val="005B19F4"/>
    <w:rsid w:val="005B1ADB"/>
    <w:rsid w:val="005B1CB8"/>
    <w:rsid w:val="005B1D20"/>
    <w:rsid w:val="005B1D72"/>
    <w:rsid w:val="005B1F40"/>
    <w:rsid w:val="005B2411"/>
    <w:rsid w:val="005B25DD"/>
    <w:rsid w:val="005B27B2"/>
    <w:rsid w:val="005B28A0"/>
    <w:rsid w:val="005B292F"/>
    <w:rsid w:val="005B309C"/>
    <w:rsid w:val="005B3B7C"/>
    <w:rsid w:val="005B4806"/>
    <w:rsid w:val="005B4897"/>
    <w:rsid w:val="005B4966"/>
    <w:rsid w:val="005B57DB"/>
    <w:rsid w:val="005B5D03"/>
    <w:rsid w:val="005B5E2E"/>
    <w:rsid w:val="005B5F2B"/>
    <w:rsid w:val="005B6697"/>
    <w:rsid w:val="005B71B7"/>
    <w:rsid w:val="005B7378"/>
    <w:rsid w:val="005B7A50"/>
    <w:rsid w:val="005C094B"/>
    <w:rsid w:val="005C0B78"/>
    <w:rsid w:val="005C1072"/>
    <w:rsid w:val="005C19D4"/>
    <w:rsid w:val="005C1D6B"/>
    <w:rsid w:val="005C20C6"/>
    <w:rsid w:val="005C21EB"/>
    <w:rsid w:val="005C28A0"/>
    <w:rsid w:val="005C2BDC"/>
    <w:rsid w:val="005C2F2D"/>
    <w:rsid w:val="005C2F87"/>
    <w:rsid w:val="005C3582"/>
    <w:rsid w:val="005C4003"/>
    <w:rsid w:val="005C44F0"/>
    <w:rsid w:val="005C4CE2"/>
    <w:rsid w:val="005C4FA0"/>
    <w:rsid w:val="005C50E6"/>
    <w:rsid w:val="005C5142"/>
    <w:rsid w:val="005C5415"/>
    <w:rsid w:val="005C5422"/>
    <w:rsid w:val="005C5AE5"/>
    <w:rsid w:val="005C6616"/>
    <w:rsid w:val="005C71AD"/>
    <w:rsid w:val="005C720A"/>
    <w:rsid w:val="005C7A30"/>
    <w:rsid w:val="005C7D7E"/>
    <w:rsid w:val="005D03D2"/>
    <w:rsid w:val="005D0BEF"/>
    <w:rsid w:val="005D1618"/>
    <w:rsid w:val="005D1A63"/>
    <w:rsid w:val="005D1AF4"/>
    <w:rsid w:val="005D2923"/>
    <w:rsid w:val="005D3A19"/>
    <w:rsid w:val="005D414F"/>
    <w:rsid w:val="005D4656"/>
    <w:rsid w:val="005D4F8D"/>
    <w:rsid w:val="005D588A"/>
    <w:rsid w:val="005D597C"/>
    <w:rsid w:val="005D5995"/>
    <w:rsid w:val="005D5AFB"/>
    <w:rsid w:val="005D6B58"/>
    <w:rsid w:val="005D7461"/>
    <w:rsid w:val="005D7B60"/>
    <w:rsid w:val="005E00B3"/>
    <w:rsid w:val="005E06DE"/>
    <w:rsid w:val="005E23BD"/>
    <w:rsid w:val="005E2576"/>
    <w:rsid w:val="005E28D3"/>
    <w:rsid w:val="005E2E8A"/>
    <w:rsid w:val="005E2F4C"/>
    <w:rsid w:val="005E3B9C"/>
    <w:rsid w:val="005E3FEC"/>
    <w:rsid w:val="005E486B"/>
    <w:rsid w:val="005E630A"/>
    <w:rsid w:val="005E6374"/>
    <w:rsid w:val="005F03D4"/>
    <w:rsid w:val="005F07BC"/>
    <w:rsid w:val="005F0C97"/>
    <w:rsid w:val="005F0CB5"/>
    <w:rsid w:val="005F173E"/>
    <w:rsid w:val="005F1AA8"/>
    <w:rsid w:val="005F23EE"/>
    <w:rsid w:val="005F2568"/>
    <w:rsid w:val="005F264D"/>
    <w:rsid w:val="005F28CC"/>
    <w:rsid w:val="005F2DC3"/>
    <w:rsid w:val="005F2EA6"/>
    <w:rsid w:val="005F2F9E"/>
    <w:rsid w:val="005F307D"/>
    <w:rsid w:val="005F3518"/>
    <w:rsid w:val="005F366D"/>
    <w:rsid w:val="005F3840"/>
    <w:rsid w:val="005F3938"/>
    <w:rsid w:val="005F42AE"/>
    <w:rsid w:val="005F452D"/>
    <w:rsid w:val="005F5151"/>
    <w:rsid w:val="005F5891"/>
    <w:rsid w:val="005F5A62"/>
    <w:rsid w:val="005F5AAD"/>
    <w:rsid w:val="005F703D"/>
    <w:rsid w:val="005F70A5"/>
    <w:rsid w:val="005F70C6"/>
    <w:rsid w:val="005F726A"/>
    <w:rsid w:val="0060029F"/>
    <w:rsid w:val="00600B7B"/>
    <w:rsid w:val="006010CF"/>
    <w:rsid w:val="00602240"/>
    <w:rsid w:val="00602DDB"/>
    <w:rsid w:val="006030E7"/>
    <w:rsid w:val="00603528"/>
    <w:rsid w:val="006038EB"/>
    <w:rsid w:val="0060421F"/>
    <w:rsid w:val="0060448D"/>
    <w:rsid w:val="006044C0"/>
    <w:rsid w:val="006044C7"/>
    <w:rsid w:val="006045C9"/>
    <w:rsid w:val="006046C9"/>
    <w:rsid w:val="00605423"/>
    <w:rsid w:val="006055BF"/>
    <w:rsid w:val="00605F11"/>
    <w:rsid w:val="00606121"/>
    <w:rsid w:val="0060687E"/>
    <w:rsid w:val="00606F48"/>
    <w:rsid w:val="0060704C"/>
    <w:rsid w:val="00607108"/>
    <w:rsid w:val="0060752C"/>
    <w:rsid w:val="00607D49"/>
    <w:rsid w:val="00607FCD"/>
    <w:rsid w:val="0061070E"/>
    <w:rsid w:val="006110B8"/>
    <w:rsid w:val="00611182"/>
    <w:rsid w:val="006111B8"/>
    <w:rsid w:val="0061253E"/>
    <w:rsid w:val="00612583"/>
    <w:rsid w:val="00612842"/>
    <w:rsid w:val="00612A33"/>
    <w:rsid w:val="00612B84"/>
    <w:rsid w:val="006136DF"/>
    <w:rsid w:val="00613C06"/>
    <w:rsid w:val="00613DDF"/>
    <w:rsid w:val="00613E23"/>
    <w:rsid w:val="00614678"/>
    <w:rsid w:val="006147EC"/>
    <w:rsid w:val="00614BE0"/>
    <w:rsid w:val="00614F27"/>
    <w:rsid w:val="006155EE"/>
    <w:rsid w:val="0061572D"/>
    <w:rsid w:val="00615B33"/>
    <w:rsid w:val="00616260"/>
    <w:rsid w:val="006166BD"/>
    <w:rsid w:val="006170EB"/>
    <w:rsid w:val="00617721"/>
    <w:rsid w:val="006200AB"/>
    <w:rsid w:val="00620255"/>
    <w:rsid w:val="00621235"/>
    <w:rsid w:val="0062154B"/>
    <w:rsid w:val="00621729"/>
    <w:rsid w:val="00621C1A"/>
    <w:rsid w:val="006227D7"/>
    <w:rsid w:val="00623F0D"/>
    <w:rsid w:val="006246F0"/>
    <w:rsid w:val="00624F86"/>
    <w:rsid w:val="00625522"/>
    <w:rsid w:val="006259F4"/>
    <w:rsid w:val="00625AE6"/>
    <w:rsid w:val="00630BAF"/>
    <w:rsid w:val="006312D5"/>
    <w:rsid w:val="00631F6F"/>
    <w:rsid w:val="006320D2"/>
    <w:rsid w:val="00632130"/>
    <w:rsid w:val="006322A9"/>
    <w:rsid w:val="00632372"/>
    <w:rsid w:val="006329C4"/>
    <w:rsid w:val="00632FDB"/>
    <w:rsid w:val="006339D2"/>
    <w:rsid w:val="00633C64"/>
    <w:rsid w:val="00634A53"/>
    <w:rsid w:val="00634B16"/>
    <w:rsid w:val="00635427"/>
    <w:rsid w:val="006354D6"/>
    <w:rsid w:val="00635B21"/>
    <w:rsid w:val="00635BB2"/>
    <w:rsid w:val="00635DAD"/>
    <w:rsid w:val="00635DE0"/>
    <w:rsid w:val="00637695"/>
    <w:rsid w:val="0063781E"/>
    <w:rsid w:val="00637AC8"/>
    <w:rsid w:val="00637D15"/>
    <w:rsid w:val="00640AA1"/>
    <w:rsid w:val="00640FAE"/>
    <w:rsid w:val="0064169D"/>
    <w:rsid w:val="006418FE"/>
    <w:rsid w:val="006425AD"/>
    <w:rsid w:val="00642733"/>
    <w:rsid w:val="0064300C"/>
    <w:rsid w:val="00643277"/>
    <w:rsid w:val="006435C5"/>
    <w:rsid w:val="0064367F"/>
    <w:rsid w:val="006437E6"/>
    <w:rsid w:val="00643912"/>
    <w:rsid w:val="00643EF0"/>
    <w:rsid w:val="00643FBA"/>
    <w:rsid w:val="00643FDF"/>
    <w:rsid w:val="00644675"/>
    <w:rsid w:val="006446D1"/>
    <w:rsid w:val="00644FD6"/>
    <w:rsid w:val="00645253"/>
    <w:rsid w:val="00645B05"/>
    <w:rsid w:val="00646C7E"/>
    <w:rsid w:val="00646CBB"/>
    <w:rsid w:val="00647177"/>
    <w:rsid w:val="0064729C"/>
    <w:rsid w:val="00647C9F"/>
    <w:rsid w:val="00647DCE"/>
    <w:rsid w:val="00650C7C"/>
    <w:rsid w:val="00650DD0"/>
    <w:rsid w:val="006512C2"/>
    <w:rsid w:val="00651786"/>
    <w:rsid w:val="006520F9"/>
    <w:rsid w:val="006521AB"/>
    <w:rsid w:val="00652226"/>
    <w:rsid w:val="0065225D"/>
    <w:rsid w:val="00652C9C"/>
    <w:rsid w:val="00653021"/>
    <w:rsid w:val="00653196"/>
    <w:rsid w:val="006535F7"/>
    <w:rsid w:val="00653ACD"/>
    <w:rsid w:val="00653CE5"/>
    <w:rsid w:val="00654088"/>
    <w:rsid w:val="00654B67"/>
    <w:rsid w:val="00654DC0"/>
    <w:rsid w:val="006552AF"/>
    <w:rsid w:val="00655569"/>
    <w:rsid w:val="00657780"/>
    <w:rsid w:val="00657B29"/>
    <w:rsid w:val="00657C7C"/>
    <w:rsid w:val="00660516"/>
    <w:rsid w:val="00660663"/>
    <w:rsid w:val="00660D8B"/>
    <w:rsid w:val="00660FF2"/>
    <w:rsid w:val="00661208"/>
    <w:rsid w:val="00661C0B"/>
    <w:rsid w:val="00661EAD"/>
    <w:rsid w:val="006621E2"/>
    <w:rsid w:val="006625C2"/>
    <w:rsid w:val="006626C4"/>
    <w:rsid w:val="00662B33"/>
    <w:rsid w:val="00663613"/>
    <w:rsid w:val="006637CE"/>
    <w:rsid w:val="00663F62"/>
    <w:rsid w:val="006644D2"/>
    <w:rsid w:val="006651DE"/>
    <w:rsid w:val="00665429"/>
    <w:rsid w:val="00665A2E"/>
    <w:rsid w:val="00665D77"/>
    <w:rsid w:val="00665EE2"/>
    <w:rsid w:val="00666260"/>
    <w:rsid w:val="006663AB"/>
    <w:rsid w:val="0066788D"/>
    <w:rsid w:val="00667A4A"/>
    <w:rsid w:val="00667C3D"/>
    <w:rsid w:val="00667F67"/>
    <w:rsid w:val="006702B0"/>
    <w:rsid w:val="00670833"/>
    <w:rsid w:val="0067098D"/>
    <w:rsid w:val="00670D00"/>
    <w:rsid w:val="006714DE"/>
    <w:rsid w:val="0067165F"/>
    <w:rsid w:val="006717BE"/>
    <w:rsid w:val="006721D5"/>
    <w:rsid w:val="00672D03"/>
    <w:rsid w:val="00672E3F"/>
    <w:rsid w:val="006730E4"/>
    <w:rsid w:val="006736DD"/>
    <w:rsid w:val="00674FDF"/>
    <w:rsid w:val="00675147"/>
    <w:rsid w:val="00675168"/>
    <w:rsid w:val="00675E62"/>
    <w:rsid w:val="006763FA"/>
    <w:rsid w:val="00676C15"/>
    <w:rsid w:val="00676EDA"/>
    <w:rsid w:val="00680457"/>
    <w:rsid w:val="00680C6F"/>
    <w:rsid w:val="006814C4"/>
    <w:rsid w:val="00681893"/>
    <w:rsid w:val="00681DA0"/>
    <w:rsid w:val="00681DB6"/>
    <w:rsid w:val="00682441"/>
    <w:rsid w:val="00682566"/>
    <w:rsid w:val="006825E6"/>
    <w:rsid w:val="0068262C"/>
    <w:rsid w:val="00682AB6"/>
    <w:rsid w:val="00682DB2"/>
    <w:rsid w:val="0068368E"/>
    <w:rsid w:val="00683E3D"/>
    <w:rsid w:val="00684293"/>
    <w:rsid w:val="00684627"/>
    <w:rsid w:val="00684CFE"/>
    <w:rsid w:val="006851D4"/>
    <w:rsid w:val="00685B94"/>
    <w:rsid w:val="00685C3D"/>
    <w:rsid w:val="00686071"/>
    <w:rsid w:val="00686204"/>
    <w:rsid w:val="00686458"/>
    <w:rsid w:val="00687081"/>
    <w:rsid w:val="00687465"/>
    <w:rsid w:val="006877C6"/>
    <w:rsid w:val="0068790F"/>
    <w:rsid w:val="00690201"/>
    <w:rsid w:val="006902AD"/>
    <w:rsid w:val="00690BBA"/>
    <w:rsid w:val="006910F6"/>
    <w:rsid w:val="00691F14"/>
    <w:rsid w:val="006921C5"/>
    <w:rsid w:val="00692346"/>
    <w:rsid w:val="006928D2"/>
    <w:rsid w:val="00692D01"/>
    <w:rsid w:val="006931A3"/>
    <w:rsid w:val="00694642"/>
    <w:rsid w:val="006947DD"/>
    <w:rsid w:val="00695179"/>
    <w:rsid w:val="006951B8"/>
    <w:rsid w:val="006955A9"/>
    <w:rsid w:val="00696B15"/>
    <w:rsid w:val="00696D0F"/>
    <w:rsid w:val="00696DA6"/>
    <w:rsid w:val="006971DA"/>
    <w:rsid w:val="0069790F"/>
    <w:rsid w:val="006A0135"/>
    <w:rsid w:val="006A06A4"/>
    <w:rsid w:val="006A0C50"/>
    <w:rsid w:val="006A16F2"/>
    <w:rsid w:val="006A22EA"/>
    <w:rsid w:val="006A23A8"/>
    <w:rsid w:val="006A2E99"/>
    <w:rsid w:val="006A2EA5"/>
    <w:rsid w:val="006A3379"/>
    <w:rsid w:val="006A3770"/>
    <w:rsid w:val="006A3E2A"/>
    <w:rsid w:val="006A4519"/>
    <w:rsid w:val="006A4BE7"/>
    <w:rsid w:val="006A614B"/>
    <w:rsid w:val="006A62A0"/>
    <w:rsid w:val="006A634A"/>
    <w:rsid w:val="006A6756"/>
    <w:rsid w:val="006A6B0B"/>
    <w:rsid w:val="006A70AC"/>
    <w:rsid w:val="006A72B3"/>
    <w:rsid w:val="006A75FA"/>
    <w:rsid w:val="006A7679"/>
    <w:rsid w:val="006B07AD"/>
    <w:rsid w:val="006B085E"/>
    <w:rsid w:val="006B0EC1"/>
    <w:rsid w:val="006B103B"/>
    <w:rsid w:val="006B12ED"/>
    <w:rsid w:val="006B224E"/>
    <w:rsid w:val="006B22CF"/>
    <w:rsid w:val="006B251C"/>
    <w:rsid w:val="006B2E3A"/>
    <w:rsid w:val="006B3B15"/>
    <w:rsid w:val="006B4305"/>
    <w:rsid w:val="006B46F3"/>
    <w:rsid w:val="006B4AC5"/>
    <w:rsid w:val="006B4E19"/>
    <w:rsid w:val="006B54F1"/>
    <w:rsid w:val="006B5E19"/>
    <w:rsid w:val="006B5E6C"/>
    <w:rsid w:val="006B6A68"/>
    <w:rsid w:val="006B6D50"/>
    <w:rsid w:val="006B6E36"/>
    <w:rsid w:val="006B71D0"/>
    <w:rsid w:val="006B7244"/>
    <w:rsid w:val="006B75F0"/>
    <w:rsid w:val="006B7C74"/>
    <w:rsid w:val="006C01BC"/>
    <w:rsid w:val="006C10C6"/>
    <w:rsid w:val="006C127E"/>
    <w:rsid w:val="006C170A"/>
    <w:rsid w:val="006C1EF4"/>
    <w:rsid w:val="006C2801"/>
    <w:rsid w:val="006C2E36"/>
    <w:rsid w:val="006C30F1"/>
    <w:rsid w:val="006C3873"/>
    <w:rsid w:val="006C3BC2"/>
    <w:rsid w:val="006C42FD"/>
    <w:rsid w:val="006C4EA3"/>
    <w:rsid w:val="006C4EC8"/>
    <w:rsid w:val="006C5859"/>
    <w:rsid w:val="006C62D8"/>
    <w:rsid w:val="006C63B6"/>
    <w:rsid w:val="006C680D"/>
    <w:rsid w:val="006C6FEA"/>
    <w:rsid w:val="006C7253"/>
    <w:rsid w:val="006C7C25"/>
    <w:rsid w:val="006D02C0"/>
    <w:rsid w:val="006D0389"/>
    <w:rsid w:val="006D0407"/>
    <w:rsid w:val="006D08BF"/>
    <w:rsid w:val="006D0AB1"/>
    <w:rsid w:val="006D25F2"/>
    <w:rsid w:val="006D262D"/>
    <w:rsid w:val="006D29F1"/>
    <w:rsid w:val="006D2E57"/>
    <w:rsid w:val="006D3050"/>
    <w:rsid w:val="006D31A6"/>
    <w:rsid w:val="006D3B1A"/>
    <w:rsid w:val="006D3FD8"/>
    <w:rsid w:val="006D50C4"/>
    <w:rsid w:val="006D57DA"/>
    <w:rsid w:val="006D5A27"/>
    <w:rsid w:val="006D6718"/>
    <w:rsid w:val="006D67EE"/>
    <w:rsid w:val="006D6900"/>
    <w:rsid w:val="006D6AAF"/>
    <w:rsid w:val="006D6DC2"/>
    <w:rsid w:val="006D714F"/>
    <w:rsid w:val="006D71D7"/>
    <w:rsid w:val="006D73C3"/>
    <w:rsid w:val="006D75B1"/>
    <w:rsid w:val="006E04BF"/>
    <w:rsid w:val="006E0822"/>
    <w:rsid w:val="006E08FF"/>
    <w:rsid w:val="006E09FB"/>
    <w:rsid w:val="006E0C06"/>
    <w:rsid w:val="006E19C4"/>
    <w:rsid w:val="006E1AF4"/>
    <w:rsid w:val="006E21DA"/>
    <w:rsid w:val="006E2293"/>
    <w:rsid w:val="006E2C6B"/>
    <w:rsid w:val="006E2D84"/>
    <w:rsid w:val="006E2FDF"/>
    <w:rsid w:val="006E3B3A"/>
    <w:rsid w:val="006E3DE0"/>
    <w:rsid w:val="006E4418"/>
    <w:rsid w:val="006E4559"/>
    <w:rsid w:val="006E45E4"/>
    <w:rsid w:val="006E49A9"/>
    <w:rsid w:val="006E4DD7"/>
    <w:rsid w:val="006E6398"/>
    <w:rsid w:val="006E67CD"/>
    <w:rsid w:val="006E6F6E"/>
    <w:rsid w:val="006E6F9F"/>
    <w:rsid w:val="006E73CA"/>
    <w:rsid w:val="006E7E27"/>
    <w:rsid w:val="006E7FA9"/>
    <w:rsid w:val="006F08F6"/>
    <w:rsid w:val="006F1617"/>
    <w:rsid w:val="006F165D"/>
    <w:rsid w:val="006F1B9A"/>
    <w:rsid w:val="006F2825"/>
    <w:rsid w:val="006F28AD"/>
    <w:rsid w:val="006F2993"/>
    <w:rsid w:val="006F2E8D"/>
    <w:rsid w:val="006F3158"/>
    <w:rsid w:val="006F323E"/>
    <w:rsid w:val="006F3604"/>
    <w:rsid w:val="006F3C78"/>
    <w:rsid w:val="006F515B"/>
    <w:rsid w:val="006F517D"/>
    <w:rsid w:val="006F5202"/>
    <w:rsid w:val="006F5785"/>
    <w:rsid w:val="006F5AF3"/>
    <w:rsid w:val="006F61CE"/>
    <w:rsid w:val="006F6D01"/>
    <w:rsid w:val="006F6D7E"/>
    <w:rsid w:val="006F6D95"/>
    <w:rsid w:val="006F7069"/>
    <w:rsid w:val="006F748B"/>
    <w:rsid w:val="006F78C7"/>
    <w:rsid w:val="006F7D23"/>
    <w:rsid w:val="00700052"/>
    <w:rsid w:val="007009A0"/>
    <w:rsid w:val="00700F02"/>
    <w:rsid w:val="007015A6"/>
    <w:rsid w:val="0070162B"/>
    <w:rsid w:val="00701C5E"/>
    <w:rsid w:val="00701E70"/>
    <w:rsid w:val="0070210C"/>
    <w:rsid w:val="007025E4"/>
    <w:rsid w:val="00702682"/>
    <w:rsid w:val="00702702"/>
    <w:rsid w:val="0070305A"/>
    <w:rsid w:val="0070320C"/>
    <w:rsid w:val="007033B9"/>
    <w:rsid w:val="00703A06"/>
    <w:rsid w:val="00703ACE"/>
    <w:rsid w:val="00704BDC"/>
    <w:rsid w:val="00705102"/>
    <w:rsid w:val="007057E3"/>
    <w:rsid w:val="007057EC"/>
    <w:rsid w:val="007064D8"/>
    <w:rsid w:val="00706F21"/>
    <w:rsid w:val="00707007"/>
    <w:rsid w:val="0070775C"/>
    <w:rsid w:val="00707930"/>
    <w:rsid w:val="007105FB"/>
    <w:rsid w:val="00710690"/>
    <w:rsid w:val="00710849"/>
    <w:rsid w:val="00710D9D"/>
    <w:rsid w:val="00710DA8"/>
    <w:rsid w:val="0071119F"/>
    <w:rsid w:val="00711861"/>
    <w:rsid w:val="00711F15"/>
    <w:rsid w:val="00712513"/>
    <w:rsid w:val="00712E5C"/>
    <w:rsid w:val="0071318D"/>
    <w:rsid w:val="0071340C"/>
    <w:rsid w:val="0071476E"/>
    <w:rsid w:val="00714CB9"/>
    <w:rsid w:val="00714E86"/>
    <w:rsid w:val="00714FAB"/>
    <w:rsid w:val="00715710"/>
    <w:rsid w:val="0071585E"/>
    <w:rsid w:val="00715ADD"/>
    <w:rsid w:val="00717618"/>
    <w:rsid w:val="00720912"/>
    <w:rsid w:val="0072182A"/>
    <w:rsid w:val="0072254A"/>
    <w:rsid w:val="00722853"/>
    <w:rsid w:val="00722A89"/>
    <w:rsid w:val="00722AC6"/>
    <w:rsid w:val="00722D2B"/>
    <w:rsid w:val="00723588"/>
    <w:rsid w:val="00725427"/>
    <w:rsid w:val="00725832"/>
    <w:rsid w:val="00726D93"/>
    <w:rsid w:val="00726EDE"/>
    <w:rsid w:val="007270C7"/>
    <w:rsid w:val="00727F07"/>
    <w:rsid w:val="00730653"/>
    <w:rsid w:val="0073065C"/>
    <w:rsid w:val="00730993"/>
    <w:rsid w:val="007312B7"/>
    <w:rsid w:val="007319B2"/>
    <w:rsid w:val="00731C40"/>
    <w:rsid w:val="00732170"/>
    <w:rsid w:val="0073356A"/>
    <w:rsid w:val="007341E8"/>
    <w:rsid w:val="00734716"/>
    <w:rsid w:val="00734D56"/>
    <w:rsid w:val="00734EBC"/>
    <w:rsid w:val="00736028"/>
    <w:rsid w:val="00736458"/>
    <w:rsid w:val="00737138"/>
    <w:rsid w:val="007378EE"/>
    <w:rsid w:val="00740FC6"/>
    <w:rsid w:val="007413DD"/>
    <w:rsid w:val="0074147C"/>
    <w:rsid w:val="00741CE1"/>
    <w:rsid w:val="00741CEB"/>
    <w:rsid w:val="00742E78"/>
    <w:rsid w:val="007430B5"/>
    <w:rsid w:val="0074407A"/>
    <w:rsid w:val="007449C8"/>
    <w:rsid w:val="00744E8C"/>
    <w:rsid w:val="00745D4B"/>
    <w:rsid w:val="00745EF5"/>
    <w:rsid w:val="0074622E"/>
    <w:rsid w:val="00747075"/>
    <w:rsid w:val="007472F0"/>
    <w:rsid w:val="00747696"/>
    <w:rsid w:val="00747AB4"/>
    <w:rsid w:val="0075049B"/>
    <w:rsid w:val="00750672"/>
    <w:rsid w:val="0075079D"/>
    <w:rsid w:val="00750AC3"/>
    <w:rsid w:val="0075131A"/>
    <w:rsid w:val="00751600"/>
    <w:rsid w:val="007516E3"/>
    <w:rsid w:val="00751912"/>
    <w:rsid w:val="00751922"/>
    <w:rsid w:val="00751BCD"/>
    <w:rsid w:val="00752A8B"/>
    <w:rsid w:val="007549F2"/>
    <w:rsid w:val="00754D8F"/>
    <w:rsid w:val="0075569A"/>
    <w:rsid w:val="00755C60"/>
    <w:rsid w:val="00755D47"/>
    <w:rsid w:val="00756102"/>
    <w:rsid w:val="007563C0"/>
    <w:rsid w:val="007563C7"/>
    <w:rsid w:val="00756D6A"/>
    <w:rsid w:val="007573AF"/>
    <w:rsid w:val="007579D9"/>
    <w:rsid w:val="00757B36"/>
    <w:rsid w:val="00757B8E"/>
    <w:rsid w:val="0076025A"/>
    <w:rsid w:val="007602DB"/>
    <w:rsid w:val="0076071E"/>
    <w:rsid w:val="00760B98"/>
    <w:rsid w:val="007610CC"/>
    <w:rsid w:val="007612A2"/>
    <w:rsid w:val="0076142C"/>
    <w:rsid w:val="00761960"/>
    <w:rsid w:val="00761DFD"/>
    <w:rsid w:val="007624B6"/>
    <w:rsid w:val="00763ADA"/>
    <w:rsid w:val="00763CC2"/>
    <w:rsid w:val="00763CF3"/>
    <w:rsid w:val="00763F80"/>
    <w:rsid w:val="007645AA"/>
    <w:rsid w:val="00764D9C"/>
    <w:rsid w:val="00765AB4"/>
    <w:rsid w:val="00765FBC"/>
    <w:rsid w:val="007664A1"/>
    <w:rsid w:val="00766635"/>
    <w:rsid w:val="007666F1"/>
    <w:rsid w:val="0076731C"/>
    <w:rsid w:val="007673A5"/>
    <w:rsid w:val="00767531"/>
    <w:rsid w:val="007675F0"/>
    <w:rsid w:val="00767D2F"/>
    <w:rsid w:val="00767EE0"/>
    <w:rsid w:val="0077068C"/>
    <w:rsid w:val="00770956"/>
    <w:rsid w:val="00770AD7"/>
    <w:rsid w:val="00770AE0"/>
    <w:rsid w:val="0077233F"/>
    <w:rsid w:val="0077273B"/>
    <w:rsid w:val="00772C7F"/>
    <w:rsid w:val="0077316D"/>
    <w:rsid w:val="0077344A"/>
    <w:rsid w:val="007734C8"/>
    <w:rsid w:val="00773B54"/>
    <w:rsid w:val="00773EEF"/>
    <w:rsid w:val="00774CC2"/>
    <w:rsid w:val="00774ED3"/>
    <w:rsid w:val="00774F08"/>
    <w:rsid w:val="007757B3"/>
    <w:rsid w:val="00775BF3"/>
    <w:rsid w:val="00776299"/>
    <w:rsid w:val="0077656F"/>
    <w:rsid w:val="00776878"/>
    <w:rsid w:val="00777322"/>
    <w:rsid w:val="00777399"/>
    <w:rsid w:val="007774CA"/>
    <w:rsid w:val="007775F8"/>
    <w:rsid w:val="007775FF"/>
    <w:rsid w:val="007804C0"/>
    <w:rsid w:val="00780829"/>
    <w:rsid w:val="00780D7D"/>
    <w:rsid w:val="007815A9"/>
    <w:rsid w:val="00781DEE"/>
    <w:rsid w:val="00781EC1"/>
    <w:rsid w:val="007821A1"/>
    <w:rsid w:val="007831E6"/>
    <w:rsid w:val="0078382C"/>
    <w:rsid w:val="00784057"/>
    <w:rsid w:val="0078442B"/>
    <w:rsid w:val="00784525"/>
    <w:rsid w:val="007850AF"/>
    <w:rsid w:val="007854C5"/>
    <w:rsid w:val="00785574"/>
    <w:rsid w:val="00785870"/>
    <w:rsid w:val="00785BB2"/>
    <w:rsid w:val="00785DCA"/>
    <w:rsid w:val="00786A29"/>
    <w:rsid w:val="00786B13"/>
    <w:rsid w:val="00786C36"/>
    <w:rsid w:val="00787437"/>
    <w:rsid w:val="00787B5E"/>
    <w:rsid w:val="00787D91"/>
    <w:rsid w:val="00787E94"/>
    <w:rsid w:val="0079052E"/>
    <w:rsid w:val="00790C6D"/>
    <w:rsid w:val="00790DA6"/>
    <w:rsid w:val="00791666"/>
    <w:rsid w:val="00791809"/>
    <w:rsid w:val="007920D5"/>
    <w:rsid w:val="0079237E"/>
    <w:rsid w:val="00792A56"/>
    <w:rsid w:val="0079360A"/>
    <w:rsid w:val="0079416F"/>
    <w:rsid w:val="00794B47"/>
    <w:rsid w:val="00794B52"/>
    <w:rsid w:val="007953F2"/>
    <w:rsid w:val="007958A3"/>
    <w:rsid w:val="00795909"/>
    <w:rsid w:val="00795987"/>
    <w:rsid w:val="00796632"/>
    <w:rsid w:val="00796940"/>
    <w:rsid w:val="00797437"/>
    <w:rsid w:val="00797582"/>
    <w:rsid w:val="00797806"/>
    <w:rsid w:val="007A0646"/>
    <w:rsid w:val="007A08A4"/>
    <w:rsid w:val="007A09FD"/>
    <w:rsid w:val="007A10A7"/>
    <w:rsid w:val="007A19BA"/>
    <w:rsid w:val="007A1AA3"/>
    <w:rsid w:val="007A1B9A"/>
    <w:rsid w:val="007A25F4"/>
    <w:rsid w:val="007A2BD4"/>
    <w:rsid w:val="007A2D45"/>
    <w:rsid w:val="007A2FCA"/>
    <w:rsid w:val="007A3ACB"/>
    <w:rsid w:val="007A44AF"/>
    <w:rsid w:val="007A4590"/>
    <w:rsid w:val="007A4A52"/>
    <w:rsid w:val="007A5068"/>
    <w:rsid w:val="007A5359"/>
    <w:rsid w:val="007A5389"/>
    <w:rsid w:val="007A5CC1"/>
    <w:rsid w:val="007A62AC"/>
    <w:rsid w:val="007A6912"/>
    <w:rsid w:val="007A6BAD"/>
    <w:rsid w:val="007A6DB0"/>
    <w:rsid w:val="007A6E18"/>
    <w:rsid w:val="007A7B5B"/>
    <w:rsid w:val="007B01D4"/>
    <w:rsid w:val="007B03C9"/>
    <w:rsid w:val="007B1235"/>
    <w:rsid w:val="007B2534"/>
    <w:rsid w:val="007B2953"/>
    <w:rsid w:val="007B2EB0"/>
    <w:rsid w:val="007B342B"/>
    <w:rsid w:val="007B3430"/>
    <w:rsid w:val="007B35D8"/>
    <w:rsid w:val="007B4238"/>
    <w:rsid w:val="007B4A4D"/>
    <w:rsid w:val="007B4D27"/>
    <w:rsid w:val="007B5E6D"/>
    <w:rsid w:val="007B62AA"/>
    <w:rsid w:val="007B65CD"/>
    <w:rsid w:val="007B660E"/>
    <w:rsid w:val="007B692D"/>
    <w:rsid w:val="007B69C2"/>
    <w:rsid w:val="007B70B5"/>
    <w:rsid w:val="007B76FC"/>
    <w:rsid w:val="007B7968"/>
    <w:rsid w:val="007C0350"/>
    <w:rsid w:val="007C05D3"/>
    <w:rsid w:val="007C175C"/>
    <w:rsid w:val="007C19CB"/>
    <w:rsid w:val="007C2129"/>
    <w:rsid w:val="007C23E6"/>
    <w:rsid w:val="007C28B3"/>
    <w:rsid w:val="007C29AA"/>
    <w:rsid w:val="007C2BB2"/>
    <w:rsid w:val="007C35D4"/>
    <w:rsid w:val="007C400C"/>
    <w:rsid w:val="007C45A7"/>
    <w:rsid w:val="007C48C8"/>
    <w:rsid w:val="007C5B49"/>
    <w:rsid w:val="007C5B6C"/>
    <w:rsid w:val="007C5DD6"/>
    <w:rsid w:val="007C6A35"/>
    <w:rsid w:val="007C6F90"/>
    <w:rsid w:val="007D000C"/>
    <w:rsid w:val="007D0578"/>
    <w:rsid w:val="007D10B3"/>
    <w:rsid w:val="007D1112"/>
    <w:rsid w:val="007D25AD"/>
    <w:rsid w:val="007D2E26"/>
    <w:rsid w:val="007D2EEF"/>
    <w:rsid w:val="007D3148"/>
    <w:rsid w:val="007D3DD5"/>
    <w:rsid w:val="007D455F"/>
    <w:rsid w:val="007D4AB6"/>
    <w:rsid w:val="007D5C3D"/>
    <w:rsid w:val="007D5CD9"/>
    <w:rsid w:val="007D6890"/>
    <w:rsid w:val="007D6F34"/>
    <w:rsid w:val="007D74C6"/>
    <w:rsid w:val="007D769F"/>
    <w:rsid w:val="007E039B"/>
    <w:rsid w:val="007E09C7"/>
    <w:rsid w:val="007E0ACD"/>
    <w:rsid w:val="007E0BC1"/>
    <w:rsid w:val="007E0EA5"/>
    <w:rsid w:val="007E0EFF"/>
    <w:rsid w:val="007E1108"/>
    <w:rsid w:val="007E1468"/>
    <w:rsid w:val="007E17FA"/>
    <w:rsid w:val="007E19A7"/>
    <w:rsid w:val="007E2239"/>
    <w:rsid w:val="007E298E"/>
    <w:rsid w:val="007E2FCA"/>
    <w:rsid w:val="007E3333"/>
    <w:rsid w:val="007E37ED"/>
    <w:rsid w:val="007E39A3"/>
    <w:rsid w:val="007E3C71"/>
    <w:rsid w:val="007E45C9"/>
    <w:rsid w:val="007E4E61"/>
    <w:rsid w:val="007E4EE8"/>
    <w:rsid w:val="007E526C"/>
    <w:rsid w:val="007E5ADF"/>
    <w:rsid w:val="007E617D"/>
    <w:rsid w:val="007E61BD"/>
    <w:rsid w:val="007E6448"/>
    <w:rsid w:val="007E6522"/>
    <w:rsid w:val="007E67E5"/>
    <w:rsid w:val="007E7BB1"/>
    <w:rsid w:val="007E7CAA"/>
    <w:rsid w:val="007F0142"/>
    <w:rsid w:val="007F01C7"/>
    <w:rsid w:val="007F04F3"/>
    <w:rsid w:val="007F06BA"/>
    <w:rsid w:val="007F0D9A"/>
    <w:rsid w:val="007F151E"/>
    <w:rsid w:val="007F15CB"/>
    <w:rsid w:val="007F1C6D"/>
    <w:rsid w:val="007F1C9A"/>
    <w:rsid w:val="007F21FD"/>
    <w:rsid w:val="007F285E"/>
    <w:rsid w:val="007F2D91"/>
    <w:rsid w:val="007F3168"/>
    <w:rsid w:val="007F32CC"/>
    <w:rsid w:val="007F3478"/>
    <w:rsid w:val="007F49D7"/>
    <w:rsid w:val="007F593B"/>
    <w:rsid w:val="007F5D73"/>
    <w:rsid w:val="007F60AC"/>
    <w:rsid w:val="007F6CF0"/>
    <w:rsid w:val="007F6FE8"/>
    <w:rsid w:val="007F79BF"/>
    <w:rsid w:val="007F7BB5"/>
    <w:rsid w:val="007F7C5B"/>
    <w:rsid w:val="007F7CB8"/>
    <w:rsid w:val="00800607"/>
    <w:rsid w:val="00800802"/>
    <w:rsid w:val="00800DE5"/>
    <w:rsid w:val="00801078"/>
    <w:rsid w:val="00801476"/>
    <w:rsid w:val="00801632"/>
    <w:rsid w:val="00801A11"/>
    <w:rsid w:val="00801CF5"/>
    <w:rsid w:val="00801FFB"/>
    <w:rsid w:val="00802263"/>
    <w:rsid w:val="00802284"/>
    <w:rsid w:val="00802A54"/>
    <w:rsid w:val="00802AC2"/>
    <w:rsid w:val="00803485"/>
    <w:rsid w:val="00803634"/>
    <w:rsid w:val="00803969"/>
    <w:rsid w:val="00803A0F"/>
    <w:rsid w:val="008040F3"/>
    <w:rsid w:val="008042B4"/>
    <w:rsid w:val="0080484A"/>
    <w:rsid w:val="0080562D"/>
    <w:rsid w:val="00806082"/>
    <w:rsid w:val="00806E41"/>
    <w:rsid w:val="008076C7"/>
    <w:rsid w:val="00807B26"/>
    <w:rsid w:val="00807C43"/>
    <w:rsid w:val="008106F3"/>
    <w:rsid w:val="008107A7"/>
    <w:rsid w:val="00810D6A"/>
    <w:rsid w:val="0081122C"/>
    <w:rsid w:val="0081128D"/>
    <w:rsid w:val="0081155A"/>
    <w:rsid w:val="008122C8"/>
    <w:rsid w:val="008125FF"/>
    <w:rsid w:val="00812F39"/>
    <w:rsid w:val="0081349D"/>
    <w:rsid w:val="00814254"/>
    <w:rsid w:val="00814314"/>
    <w:rsid w:val="0081435A"/>
    <w:rsid w:val="0081497C"/>
    <w:rsid w:val="00814BDD"/>
    <w:rsid w:val="00815893"/>
    <w:rsid w:val="00815A49"/>
    <w:rsid w:val="00816872"/>
    <w:rsid w:val="00816972"/>
    <w:rsid w:val="00820114"/>
    <w:rsid w:val="0082056A"/>
    <w:rsid w:val="00820F96"/>
    <w:rsid w:val="008211E0"/>
    <w:rsid w:val="00821906"/>
    <w:rsid w:val="008219D0"/>
    <w:rsid w:val="0082241F"/>
    <w:rsid w:val="00823043"/>
    <w:rsid w:val="00823419"/>
    <w:rsid w:val="00823434"/>
    <w:rsid w:val="008237AB"/>
    <w:rsid w:val="00823A7E"/>
    <w:rsid w:val="00823C0B"/>
    <w:rsid w:val="00824A22"/>
    <w:rsid w:val="0082521D"/>
    <w:rsid w:val="00825375"/>
    <w:rsid w:val="00825DF0"/>
    <w:rsid w:val="008261AC"/>
    <w:rsid w:val="00826B74"/>
    <w:rsid w:val="00826BA1"/>
    <w:rsid w:val="00827761"/>
    <w:rsid w:val="008277D9"/>
    <w:rsid w:val="00827D64"/>
    <w:rsid w:val="008301C7"/>
    <w:rsid w:val="008303E4"/>
    <w:rsid w:val="008315D1"/>
    <w:rsid w:val="008318C8"/>
    <w:rsid w:val="00831A81"/>
    <w:rsid w:val="00831BC2"/>
    <w:rsid w:val="00831C12"/>
    <w:rsid w:val="0083243A"/>
    <w:rsid w:val="008324C6"/>
    <w:rsid w:val="008327D9"/>
    <w:rsid w:val="00832A1D"/>
    <w:rsid w:val="00832EB7"/>
    <w:rsid w:val="00833C53"/>
    <w:rsid w:val="0083469B"/>
    <w:rsid w:val="008347D4"/>
    <w:rsid w:val="00834EFF"/>
    <w:rsid w:val="008350EE"/>
    <w:rsid w:val="00836062"/>
    <w:rsid w:val="00836503"/>
    <w:rsid w:val="008366DA"/>
    <w:rsid w:val="00836D59"/>
    <w:rsid w:val="0083730A"/>
    <w:rsid w:val="00837DB6"/>
    <w:rsid w:val="0084008A"/>
    <w:rsid w:val="00840148"/>
    <w:rsid w:val="008401D6"/>
    <w:rsid w:val="00840BED"/>
    <w:rsid w:val="00840E2D"/>
    <w:rsid w:val="00841643"/>
    <w:rsid w:val="00841BB3"/>
    <w:rsid w:val="00842257"/>
    <w:rsid w:val="008454FA"/>
    <w:rsid w:val="0084655B"/>
    <w:rsid w:val="0084667A"/>
    <w:rsid w:val="00846714"/>
    <w:rsid w:val="008468CF"/>
    <w:rsid w:val="00846DB9"/>
    <w:rsid w:val="00847DF1"/>
    <w:rsid w:val="00850F29"/>
    <w:rsid w:val="008512EA"/>
    <w:rsid w:val="00851A9D"/>
    <w:rsid w:val="00851F7D"/>
    <w:rsid w:val="0085238E"/>
    <w:rsid w:val="0085242C"/>
    <w:rsid w:val="0085257D"/>
    <w:rsid w:val="0085274B"/>
    <w:rsid w:val="00853C6E"/>
    <w:rsid w:val="00853D31"/>
    <w:rsid w:val="00853F1D"/>
    <w:rsid w:val="00854AE6"/>
    <w:rsid w:val="00855475"/>
    <w:rsid w:val="008554E8"/>
    <w:rsid w:val="00855E30"/>
    <w:rsid w:val="0085637F"/>
    <w:rsid w:val="008569BD"/>
    <w:rsid w:val="00857114"/>
    <w:rsid w:val="00857BE7"/>
    <w:rsid w:val="00857C27"/>
    <w:rsid w:val="00857CF6"/>
    <w:rsid w:val="00857D98"/>
    <w:rsid w:val="008608BD"/>
    <w:rsid w:val="00860F4D"/>
    <w:rsid w:val="0086149C"/>
    <w:rsid w:val="008621BF"/>
    <w:rsid w:val="00862C7E"/>
    <w:rsid w:val="00863099"/>
    <w:rsid w:val="008631E9"/>
    <w:rsid w:val="008633FC"/>
    <w:rsid w:val="00863982"/>
    <w:rsid w:val="008639C7"/>
    <w:rsid w:val="008642F8"/>
    <w:rsid w:val="00864334"/>
    <w:rsid w:val="00864866"/>
    <w:rsid w:val="00864E3A"/>
    <w:rsid w:val="00865243"/>
    <w:rsid w:val="00865BD5"/>
    <w:rsid w:val="0086647D"/>
    <w:rsid w:val="0086699E"/>
    <w:rsid w:val="00866A2C"/>
    <w:rsid w:val="00866C05"/>
    <w:rsid w:val="00866F35"/>
    <w:rsid w:val="00867028"/>
    <w:rsid w:val="00867B80"/>
    <w:rsid w:val="00870103"/>
    <w:rsid w:val="00870682"/>
    <w:rsid w:val="00870B3D"/>
    <w:rsid w:val="00870F9B"/>
    <w:rsid w:val="00871053"/>
    <w:rsid w:val="00871058"/>
    <w:rsid w:val="008714B6"/>
    <w:rsid w:val="00871A06"/>
    <w:rsid w:val="00871D7C"/>
    <w:rsid w:val="00871E54"/>
    <w:rsid w:val="0087318B"/>
    <w:rsid w:val="00873306"/>
    <w:rsid w:val="0087338B"/>
    <w:rsid w:val="008735AC"/>
    <w:rsid w:val="00873706"/>
    <w:rsid w:val="00874178"/>
    <w:rsid w:val="00874E8B"/>
    <w:rsid w:val="00875015"/>
    <w:rsid w:val="00875031"/>
    <w:rsid w:val="00875D04"/>
    <w:rsid w:val="00875D74"/>
    <w:rsid w:val="00875F1C"/>
    <w:rsid w:val="0087643E"/>
    <w:rsid w:val="008764DF"/>
    <w:rsid w:val="00876FD5"/>
    <w:rsid w:val="00877EEE"/>
    <w:rsid w:val="00880736"/>
    <w:rsid w:val="00880A64"/>
    <w:rsid w:val="00880BD7"/>
    <w:rsid w:val="008810B4"/>
    <w:rsid w:val="008819C3"/>
    <w:rsid w:val="00881C5A"/>
    <w:rsid w:val="00881D99"/>
    <w:rsid w:val="00882EAC"/>
    <w:rsid w:val="00882EC8"/>
    <w:rsid w:val="00883744"/>
    <w:rsid w:val="00883ED1"/>
    <w:rsid w:val="0088463B"/>
    <w:rsid w:val="0088535D"/>
    <w:rsid w:val="00885841"/>
    <w:rsid w:val="00886401"/>
    <w:rsid w:val="00886880"/>
    <w:rsid w:val="00886FA7"/>
    <w:rsid w:val="00886FC4"/>
    <w:rsid w:val="00887627"/>
    <w:rsid w:val="00887878"/>
    <w:rsid w:val="00887BA0"/>
    <w:rsid w:val="00887D12"/>
    <w:rsid w:val="008902BC"/>
    <w:rsid w:val="00890EA7"/>
    <w:rsid w:val="00891424"/>
    <w:rsid w:val="008917FB"/>
    <w:rsid w:val="0089208F"/>
    <w:rsid w:val="008922A7"/>
    <w:rsid w:val="00892D53"/>
    <w:rsid w:val="00892DFB"/>
    <w:rsid w:val="00893412"/>
    <w:rsid w:val="008943D2"/>
    <w:rsid w:val="0089449E"/>
    <w:rsid w:val="008945DC"/>
    <w:rsid w:val="008946ED"/>
    <w:rsid w:val="00894E83"/>
    <w:rsid w:val="0089528E"/>
    <w:rsid w:val="008958C8"/>
    <w:rsid w:val="008959A5"/>
    <w:rsid w:val="00895AF2"/>
    <w:rsid w:val="00896286"/>
    <w:rsid w:val="00896AE7"/>
    <w:rsid w:val="00896F30"/>
    <w:rsid w:val="00897048"/>
    <w:rsid w:val="008972F5"/>
    <w:rsid w:val="0089753E"/>
    <w:rsid w:val="00897992"/>
    <w:rsid w:val="008A05C1"/>
    <w:rsid w:val="008A0C00"/>
    <w:rsid w:val="008A1533"/>
    <w:rsid w:val="008A1D71"/>
    <w:rsid w:val="008A24B2"/>
    <w:rsid w:val="008A26F9"/>
    <w:rsid w:val="008A285F"/>
    <w:rsid w:val="008A28DF"/>
    <w:rsid w:val="008A2989"/>
    <w:rsid w:val="008A2F22"/>
    <w:rsid w:val="008A3661"/>
    <w:rsid w:val="008A376C"/>
    <w:rsid w:val="008A3A5E"/>
    <w:rsid w:val="008A3B66"/>
    <w:rsid w:val="008A3BE1"/>
    <w:rsid w:val="008A41BF"/>
    <w:rsid w:val="008A41C1"/>
    <w:rsid w:val="008A45D1"/>
    <w:rsid w:val="008A4C35"/>
    <w:rsid w:val="008A4EDB"/>
    <w:rsid w:val="008A53D7"/>
    <w:rsid w:val="008A581D"/>
    <w:rsid w:val="008A6264"/>
    <w:rsid w:val="008A6A2F"/>
    <w:rsid w:val="008A6C39"/>
    <w:rsid w:val="008A6D26"/>
    <w:rsid w:val="008A6D3A"/>
    <w:rsid w:val="008A6D76"/>
    <w:rsid w:val="008A6E0E"/>
    <w:rsid w:val="008A75D9"/>
    <w:rsid w:val="008A7BB5"/>
    <w:rsid w:val="008B00A7"/>
    <w:rsid w:val="008B00DA"/>
    <w:rsid w:val="008B056B"/>
    <w:rsid w:val="008B0B60"/>
    <w:rsid w:val="008B0D9F"/>
    <w:rsid w:val="008B150C"/>
    <w:rsid w:val="008B18BA"/>
    <w:rsid w:val="008B1D47"/>
    <w:rsid w:val="008B22ED"/>
    <w:rsid w:val="008B2F5A"/>
    <w:rsid w:val="008B425C"/>
    <w:rsid w:val="008B44B7"/>
    <w:rsid w:val="008B51C0"/>
    <w:rsid w:val="008B5633"/>
    <w:rsid w:val="008B5A73"/>
    <w:rsid w:val="008B5D0C"/>
    <w:rsid w:val="008B6169"/>
    <w:rsid w:val="008B682E"/>
    <w:rsid w:val="008B6E4F"/>
    <w:rsid w:val="008B7C0B"/>
    <w:rsid w:val="008B7CBD"/>
    <w:rsid w:val="008C03B1"/>
    <w:rsid w:val="008C0584"/>
    <w:rsid w:val="008C067A"/>
    <w:rsid w:val="008C10B5"/>
    <w:rsid w:val="008C16D6"/>
    <w:rsid w:val="008C2353"/>
    <w:rsid w:val="008C2640"/>
    <w:rsid w:val="008C295E"/>
    <w:rsid w:val="008C2AD3"/>
    <w:rsid w:val="008C2CCF"/>
    <w:rsid w:val="008C31A9"/>
    <w:rsid w:val="008C32DC"/>
    <w:rsid w:val="008C32F4"/>
    <w:rsid w:val="008C3317"/>
    <w:rsid w:val="008C380E"/>
    <w:rsid w:val="008C3B7C"/>
    <w:rsid w:val="008C493B"/>
    <w:rsid w:val="008C4E93"/>
    <w:rsid w:val="008C584A"/>
    <w:rsid w:val="008C637E"/>
    <w:rsid w:val="008C6441"/>
    <w:rsid w:val="008C67C9"/>
    <w:rsid w:val="008C7614"/>
    <w:rsid w:val="008C7CBC"/>
    <w:rsid w:val="008C7F6E"/>
    <w:rsid w:val="008D061A"/>
    <w:rsid w:val="008D08DF"/>
    <w:rsid w:val="008D0A6C"/>
    <w:rsid w:val="008D0E6E"/>
    <w:rsid w:val="008D1238"/>
    <w:rsid w:val="008D15A7"/>
    <w:rsid w:val="008D15F6"/>
    <w:rsid w:val="008D1DC4"/>
    <w:rsid w:val="008D2025"/>
    <w:rsid w:val="008D25E2"/>
    <w:rsid w:val="008D29A7"/>
    <w:rsid w:val="008D2A44"/>
    <w:rsid w:val="008D3188"/>
    <w:rsid w:val="008D37E5"/>
    <w:rsid w:val="008D41E4"/>
    <w:rsid w:val="008D44B9"/>
    <w:rsid w:val="008D4D13"/>
    <w:rsid w:val="008D527E"/>
    <w:rsid w:val="008D6095"/>
    <w:rsid w:val="008D6E00"/>
    <w:rsid w:val="008D7C24"/>
    <w:rsid w:val="008D7E99"/>
    <w:rsid w:val="008D7F9A"/>
    <w:rsid w:val="008E0517"/>
    <w:rsid w:val="008E057A"/>
    <w:rsid w:val="008E0659"/>
    <w:rsid w:val="008E096E"/>
    <w:rsid w:val="008E09A5"/>
    <w:rsid w:val="008E0E45"/>
    <w:rsid w:val="008E0EBF"/>
    <w:rsid w:val="008E1265"/>
    <w:rsid w:val="008E140E"/>
    <w:rsid w:val="008E17FE"/>
    <w:rsid w:val="008E1A5E"/>
    <w:rsid w:val="008E287F"/>
    <w:rsid w:val="008E351A"/>
    <w:rsid w:val="008E4027"/>
    <w:rsid w:val="008E42C7"/>
    <w:rsid w:val="008E42CC"/>
    <w:rsid w:val="008E44E8"/>
    <w:rsid w:val="008E4C26"/>
    <w:rsid w:val="008E5278"/>
    <w:rsid w:val="008E5849"/>
    <w:rsid w:val="008E585E"/>
    <w:rsid w:val="008E5DE7"/>
    <w:rsid w:val="008E628E"/>
    <w:rsid w:val="008E674A"/>
    <w:rsid w:val="008E71C1"/>
    <w:rsid w:val="008F0C29"/>
    <w:rsid w:val="008F13BE"/>
    <w:rsid w:val="008F1A81"/>
    <w:rsid w:val="008F20EA"/>
    <w:rsid w:val="008F21A5"/>
    <w:rsid w:val="008F2547"/>
    <w:rsid w:val="008F260B"/>
    <w:rsid w:val="008F2D1E"/>
    <w:rsid w:val="008F3171"/>
    <w:rsid w:val="008F317C"/>
    <w:rsid w:val="008F33E8"/>
    <w:rsid w:val="008F5BCC"/>
    <w:rsid w:val="008F621B"/>
    <w:rsid w:val="008F654A"/>
    <w:rsid w:val="008F6848"/>
    <w:rsid w:val="008F7161"/>
    <w:rsid w:val="008F72C3"/>
    <w:rsid w:val="008F74A9"/>
    <w:rsid w:val="0090046E"/>
    <w:rsid w:val="009004BB"/>
    <w:rsid w:val="009005F8"/>
    <w:rsid w:val="00900747"/>
    <w:rsid w:val="00900ED7"/>
    <w:rsid w:val="0090131A"/>
    <w:rsid w:val="0090155A"/>
    <w:rsid w:val="009015A5"/>
    <w:rsid w:val="009017B2"/>
    <w:rsid w:val="00901814"/>
    <w:rsid w:val="0090193F"/>
    <w:rsid w:val="00901B41"/>
    <w:rsid w:val="00901BAE"/>
    <w:rsid w:val="00901F19"/>
    <w:rsid w:val="00902020"/>
    <w:rsid w:val="009021AF"/>
    <w:rsid w:val="009022EB"/>
    <w:rsid w:val="009023D1"/>
    <w:rsid w:val="00902534"/>
    <w:rsid w:val="009025BF"/>
    <w:rsid w:val="00902A8A"/>
    <w:rsid w:val="00903688"/>
    <w:rsid w:val="009036B4"/>
    <w:rsid w:val="009038A6"/>
    <w:rsid w:val="00903F2C"/>
    <w:rsid w:val="00903F36"/>
    <w:rsid w:val="009045CA"/>
    <w:rsid w:val="009047E3"/>
    <w:rsid w:val="009049BD"/>
    <w:rsid w:val="00904E3F"/>
    <w:rsid w:val="00904EF0"/>
    <w:rsid w:val="00905708"/>
    <w:rsid w:val="00905B0E"/>
    <w:rsid w:val="00905C3A"/>
    <w:rsid w:val="00905EF3"/>
    <w:rsid w:val="00906430"/>
    <w:rsid w:val="009066B5"/>
    <w:rsid w:val="009067B6"/>
    <w:rsid w:val="00907205"/>
    <w:rsid w:val="00907284"/>
    <w:rsid w:val="009075B5"/>
    <w:rsid w:val="009079E4"/>
    <w:rsid w:val="00907B1F"/>
    <w:rsid w:val="00907E7F"/>
    <w:rsid w:val="00907EA1"/>
    <w:rsid w:val="00907F68"/>
    <w:rsid w:val="00910EF3"/>
    <w:rsid w:val="00911036"/>
    <w:rsid w:val="00911681"/>
    <w:rsid w:val="00912610"/>
    <w:rsid w:val="009137AF"/>
    <w:rsid w:val="00913D9D"/>
    <w:rsid w:val="00913F01"/>
    <w:rsid w:val="00914310"/>
    <w:rsid w:val="009143B9"/>
    <w:rsid w:val="0091463C"/>
    <w:rsid w:val="0091588B"/>
    <w:rsid w:val="00915A4D"/>
    <w:rsid w:val="00915AE8"/>
    <w:rsid w:val="009162D9"/>
    <w:rsid w:val="0091638A"/>
    <w:rsid w:val="0091668B"/>
    <w:rsid w:val="00916837"/>
    <w:rsid w:val="00916A7F"/>
    <w:rsid w:val="00917875"/>
    <w:rsid w:val="00920606"/>
    <w:rsid w:val="00920893"/>
    <w:rsid w:val="00920D69"/>
    <w:rsid w:val="00921237"/>
    <w:rsid w:val="00921C55"/>
    <w:rsid w:val="00921D6F"/>
    <w:rsid w:val="00922C75"/>
    <w:rsid w:val="009232F3"/>
    <w:rsid w:val="00923A45"/>
    <w:rsid w:val="00923EAD"/>
    <w:rsid w:val="00924A05"/>
    <w:rsid w:val="00925E1D"/>
    <w:rsid w:val="00925F69"/>
    <w:rsid w:val="00926173"/>
    <w:rsid w:val="00926977"/>
    <w:rsid w:val="00926F67"/>
    <w:rsid w:val="009272E1"/>
    <w:rsid w:val="00927ED8"/>
    <w:rsid w:val="00930119"/>
    <w:rsid w:val="009308E2"/>
    <w:rsid w:val="00930A69"/>
    <w:rsid w:val="00930D9C"/>
    <w:rsid w:val="009318E9"/>
    <w:rsid w:val="009338EC"/>
    <w:rsid w:val="009338F7"/>
    <w:rsid w:val="00933C84"/>
    <w:rsid w:val="00934794"/>
    <w:rsid w:val="00935252"/>
    <w:rsid w:val="00935D3B"/>
    <w:rsid w:val="00935D65"/>
    <w:rsid w:val="009361F2"/>
    <w:rsid w:val="00936B99"/>
    <w:rsid w:val="00936F04"/>
    <w:rsid w:val="0093716A"/>
    <w:rsid w:val="009371AC"/>
    <w:rsid w:val="009373AC"/>
    <w:rsid w:val="00937FBC"/>
    <w:rsid w:val="0094004F"/>
    <w:rsid w:val="0094178E"/>
    <w:rsid w:val="00941850"/>
    <w:rsid w:val="00941AF9"/>
    <w:rsid w:val="00941B51"/>
    <w:rsid w:val="00941BAC"/>
    <w:rsid w:val="00941BF9"/>
    <w:rsid w:val="00942620"/>
    <w:rsid w:val="009428E3"/>
    <w:rsid w:val="00943678"/>
    <w:rsid w:val="009438E3"/>
    <w:rsid w:val="0094393D"/>
    <w:rsid w:val="0094397F"/>
    <w:rsid w:val="009443C7"/>
    <w:rsid w:val="00944F78"/>
    <w:rsid w:val="00944F9E"/>
    <w:rsid w:val="00945E62"/>
    <w:rsid w:val="0094609D"/>
    <w:rsid w:val="0094626C"/>
    <w:rsid w:val="009466AC"/>
    <w:rsid w:val="00946A68"/>
    <w:rsid w:val="00946E32"/>
    <w:rsid w:val="00946FD7"/>
    <w:rsid w:val="009473C4"/>
    <w:rsid w:val="009504BE"/>
    <w:rsid w:val="0095067A"/>
    <w:rsid w:val="0095083E"/>
    <w:rsid w:val="00950B75"/>
    <w:rsid w:val="00950C0E"/>
    <w:rsid w:val="00950C82"/>
    <w:rsid w:val="00950E12"/>
    <w:rsid w:val="00951519"/>
    <w:rsid w:val="00951620"/>
    <w:rsid w:val="00951B8E"/>
    <w:rsid w:val="009527B2"/>
    <w:rsid w:val="00952C4D"/>
    <w:rsid w:val="0095342B"/>
    <w:rsid w:val="009539D9"/>
    <w:rsid w:val="00953B0A"/>
    <w:rsid w:val="00953E1D"/>
    <w:rsid w:val="00953F91"/>
    <w:rsid w:val="009546C5"/>
    <w:rsid w:val="009546E1"/>
    <w:rsid w:val="0095577C"/>
    <w:rsid w:val="00955C4A"/>
    <w:rsid w:val="00955CA5"/>
    <w:rsid w:val="00956492"/>
    <w:rsid w:val="00956589"/>
    <w:rsid w:val="009565A6"/>
    <w:rsid w:val="00956A91"/>
    <w:rsid w:val="009573FB"/>
    <w:rsid w:val="009574E5"/>
    <w:rsid w:val="00957676"/>
    <w:rsid w:val="00957C98"/>
    <w:rsid w:val="00957F6B"/>
    <w:rsid w:val="00960038"/>
    <w:rsid w:val="0096008C"/>
    <w:rsid w:val="009606E2"/>
    <w:rsid w:val="009608B6"/>
    <w:rsid w:val="00961178"/>
    <w:rsid w:val="00961816"/>
    <w:rsid w:val="009619CD"/>
    <w:rsid w:val="00961ED7"/>
    <w:rsid w:val="00962C1B"/>
    <w:rsid w:val="00963815"/>
    <w:rsid w:val="00964546"/>
    <w:rsid w:val="00965ECF"/>
    <w:rsid w:val="0096607E"/>
    <w:rsid w:val="00966133"/>
    <w:rsid w:val="00966197"/>
    <w:rsid w:val="00966424"/>
    <w:rsid w:val="00966ABA"/>
    <w:rsid w:val="009674BB"/>
    <w:rsid w:val="00967649"/>
    <w:rsid w:val="00970AE5"/>
    <w:rsid w:val="00971009"/>
    <w:rsid w:val="00971045"/>
    <w:rsid w:val="00971469"/>
    <w:rsid w:val="00971AE3"/>
    <w:rsid w:val="00972048"/>
    <w:rsid w:val="009738CD"/>
    <w:rsid w:val="00973A92"/>
    <w:rsid w:val="00974DE4"/>
    <w:rsid w:val="0097594A"/>
    <w:rsid w:val="00976496"/>
    <w:rsid w:val="0097745C"/>
    <w:rsid w:val="00977C0B"/>
    <w:rsid w:val="00977F81"/>
    <w:rsid w:val="00977F86"/>
    <w:rsid w:val="00980787"/>
    <w:rsid w:val="00980CA6"/>
    <w:rsid w:val="009811C7"/>
    <w:rsid w:val="009814E4"/>
    <w:rsid w:val="0098154D"/>
    <w:rsid w:val="00981573"/>
    <w:rsid w:val="00981673"/>
    <w:rsid w:val="0098170E"/>
    <w:rsid w:val="00981AAD"/>
    <w:rsid w:val="00982006"/>
    <w:rsid w:val="009822FF"/>
    <w:rsid w:val="009828D1"/>
    <w:rsid w:val="009831D2"/>
    <w:rsid w:val="0098324E"/>
    <w:rsid w:val="009832A3"/>
    <w:rsid w:val="00983546"/>
    <w:rsid w:val="0098357A"/>
    <w:rsid w:val="00983733"/>
    <w:rsid w:val="00983742"/>
    <w:rsid w:val="00985733"/>
    <w:rsid w:val="00985D0B"/>
    <w:rsid w:val="00985D19"/>
    <w:rsid w:val="00985E45"/>
    <w:rsid w:val="00986166"/>
    <w:rsid w:val="0098670C"/>
    <w:rsid w:val="00986F67"/>
    <w:rsid w:val="00986F78"/>
    <w:rsid w:val="0098727E"/>
    <w:rsid w:val="00987600"/>
    <w:rsid w:val="00987F62"/>
    <w:rsid w:val="009901E0"/>
    <w:rsid w:val="009905DE"/>
    <w:rsid w:val="00990A4C"/>
    <w:rsid w:val="00990DA3"/>
    <w:rsid w:val="00991094"/>
    <w:rsid w:val="009910C6"/>
    <w:rsid w:val="00991138"/>
    <w:rsid w:val="00992381"/>
    <w:rsid w:val="009928E5"/>
    <w:rsid w:val="00992BFE"/>
    <w:rsid w:val="00992D28"/>
    <w:rsid w:val="00992E25"/>
    <w:rsid w:val="00993940"/>
    <w:rsid w:val="00993AE7"/>
    <w:rsid w:val="00993CCB"/>
    <w:rsid w:val="00994037"/>
    <w:rsid w:val="00994BF6"/>
    <w:rsid w:val="00994D96"/>
    <w:rsid w:val="00995065"/>
    <w:rsid w:val="00995FFF"/>
    <w:rsid w:val="00996A0E"/>
    <w:rsid w:val="00996ACF"/>
    <w:rsid w:val="00997336"/>
    <w:rsid w:val="009978E7"/>
    <w:rsid w:val="009A0026"/>
    <w:rsid w:val="009A03F1"/>
    <w:rsid w:val="009A0632"/>
    <w:rsid w:val="009A06A7"/>
    <w:rsid w:val="009A0893"/>
    <w:rsid w:val="009A0CFF"/>
    <w:rsid w:val="009A13D5"/>
    <w:rsid w:val="009A17A9"/>
    <w:rsid w:val="009A1E99"/>
    <w:rsid w:val="009A2952"/>
    <w:rsid w:val="009A2B19"/>
    <w:rsid w:val="009A2BCE"/>
    <w:rsid w:val="009A2E45"/>
    <w:rsid w:val="009A3090"/>
    <w:rsid w:val="009A3616"/>
    <w:rsid w:val="009A4275"/>
    <w:rsid w:val="009A4947"/>
    <w:rsid w:val="009A4AB4"/>
    <w:rsid w:val="009A5891"/>
    <w:rsid w:val="009A6063"/>
    <w:rsid w:val="009A656E"/>
    <w:rsid w:val="009A6FDC"/>
    <w:rsid w:val="009A7D35"/>
    <w:rsid w:val="009A7DF0"/>
    <w:rsid w:val="009B05D5"/>
    <w:rsid w:val="009B0945"/>
    <w:rsid w:val="009B0BBF"/>
    <w:rsid w:val="009B0EDB"/>
    <w:rsid w:val="009B19BC"/>
    <w:rsid w:val="009B1C62"/>
    <w:rsid w:val="009B2C1A"/>
    <w:rsid w:val="009B2F61"/>
    <w:rsid w:val="009B32E0"/>
    <w:rsid w:val="009B35F1"/>
    <w:rsid w:val="009B396E"/>
    <w:rsid w:val="009B4B4D"/>
    <w:rsid w:val="009B4D41"/>
    <w:rsid w:val="009B4EE1"/>
    <w:rsid w:val="009B5A40"/>
    <w:rsid w:val="009B5D26"/>
    <w:rsid w:val="009B5DD7"/>
    <w:rsid w:val="009B668C"/>
    <w:rsid w:val="009B6A1F"/>
    <w:rsid w:val="009B6D32"/>
    <w:rsid w:val="009B6FC1"/>
    <w:rsid w:val="009C004A"/>
    <w:rsid w:val="009C02C8"/>
    <w:rsid w:val="009C0941"/>
    <w:rsid w:val="009C0E07"/>
    <w:rsid w:val="009C1272"/>
    <w:rsid w:val="009C137F"/>
    <w:rsid w:val="009C1966"/>
    <w:rsid w:val="009C239E"/>
    <w:rsid w:val="009C23E2"/>
    <w:rsid w:val="009C24FE"/>
    <w:rsid w:val="009C2BB2"/>
    <w:rsid w:val="009C3646"/>
    <w:rsid w:val="009C4503"/>
    <w:rsid w:val="009C46E6"/>
    <w:rsid w:val="009C4723"/>
    <w:rsid w:val="009C4925"/>
    <w:rsid w:val="009C4972"/>
    <w:rsid w:val="009C4F06"/>
    <w:rsid w:val="009C5772"/>
    <w:rsid w:val="009C5CB6"/>
    <w:rsid w:val="009C6AB9"/>
    <w:rsid w:val="009C7782"/>
    <w:rsid w:val="009C7BFA"/>
    <w:rsid w:val="009C7EFD"/>
    <w:rsid w:val="009D014A"/>
    <w:rsid w:val="009D0189"/>
    <w:rsid w:val="009D03C8"/>
    <w:rsid w:val="009D0B79"/>
    <w:rsid w:val="009D1354"/>
    <w:rsid w:val="009D1D6C"/>
    <w:rsid w:val="009D289E"/>
    <w:rsid w:val="009D2A7A"/>
    <w:rsid w:val="009D2D00"/>
    <w:rsid w:val="009D2F47"/>
    <w:rsid w:val="009D32EF"/>
    <w:rsid w:val="009D38C3"/>
    <w:rsid w:val="009D3A72"/>
    <w:rsid w:val="009D4E0C"/>
    <w:rsid w:val="009D50F3"/>
    <w:rsid w:val="009D57A8"/>
    <w:rsid w:val="009D5FEA"/>
    <w:rsid w:val="009D62C7"/>
    <w:rsid w:val="009D6AE4"/>
    <w:rsid w:val="009D6B24"/>
    <w:rsid w:val="009D6B67"/>
    <w:rsid w:val="009D7611"/>
    <w:rsid w:val="009D79F2"/>
    <w:rsid w:val="009D7C1B"/>
    <w:rsid w:val="009E0427"/>
    <w:rsid w:val="009E06A2"/>
    <w:rsid w:val="009E1124"/>
    <w:rsid w:val="009E138F"/>
    <w:rsid w:val="009E142C"/>
    <w:rsid w:val="009E187A"/>
    <w:rsid w:val="009E1E0E"/>
    <w:rsid w:val="009E255C"/>
    <w:rsid w:val="009E2881"/>
    <w:rsid w:val="009E2E05"/>
    <w:rsid w:val="009E2F11"/>
    <w:rsid w:val="009E32AD"/>
    <w:rsid w:val="009E3371"/>
    <w:rsid w:val="009E3545"/>
    <w:rsid w:val="009E3869"/>
    <w:rsid w:val="009E3C1B"/>
    <w:rsid w:val="009E443D"/>
    <w:rsid w:val="009E46D3"/>
    <w:rsid w:val="009E4993"/>
    <w:rsid w:val="009E4994"/>
    <w:rsid w:val="009E4C2D"/>
    <w:rsid w:val="009E4C63"/>
    <w:rsid w:val="009E5301"/>
    <w:rsid w:val="009E5A57"/>
    <w:rsid w:val="009E66DA"/>
    <w:rsid w:val="009E6857"/>
    <w:rsid w:val="009E69E3"/>
    <w:rsid w:val="009E6C21"/>
    <w:rsid w:val="009E6F89"/>
    <w:rsid w:val="009E70CD"/>
    <w:rsid w:val="009F0E4D"/>
    <w:rsid w:val="009F10C9"/>
    <w:rsid w:val="009F11A5"/>
    <w:rsid w:val="009F1223"/>
    <w:rsid w:val="009F1CC7"/>
    <w:rsid w:val="009F1E42"/>
    <w:rsid w:val="009F224C"/>
    <w:rsid w:val="009F33E8"/>
    <w:rsid w:val="009F3A74"/>
    <w:rsid w:val="009F4050"/>
    <w:rsid w:val="009F44B1"/>
    <w:rsid w:val="009F4B8E"/>
    <w:rsid w:val="009F5132"/>
    <w:rsid w:val="009F586F"/>
    <w:rsid w:val="009F58D5"/>
    <w:rsid w:val="009F5FD3"/>
    <w:rsid w:val="009F61E7"/>
    <w:rsid w:val="009F654D"/>
    <w:rsid w:val="009F6841"/>
    <w:rsid w:val="009F7160"/>
    <w:rsid w:val="009F72CC"/>
    <w:rsid w:val="009F731F"/>
    <w:rsid w:val="00A005FB"/>
    <w:rsid w:val="00A00AA1"/>
    <w:rsid w:val="00A00C28"/>
    <w:rsid w:val="00A014FB"/>
    <w:rsid w:val="00A01782"/>
    <w:rsid w:val="00A01BD6"/>
    <w:rsid w:val="00A01D51"/>
    <w:rsid w:val="00A0215C"/>
    <w:rsid w:val="00A030F7"/>
    <w:rsid w:val="00A031CA"/>
    <w:rsid w:val="00A0370A"/>
    <w:rsid w:val="00A04958"/>
    <w:rsid w:val="00A051A7"/>
    <w:rsid w:val="00A05868"/>
    <w:rsid w:val="00A05C18"/>
    <w:rsid w:val="00A06A64"/>
    <w:rsid w:val="00A06B5F"/>
    <w:rsid w:val="00A06E6D"/>
    <w:rsid w:val="00A06F14"/>
    <w:rsid w:val="00A0768F"/>
    <w:rsid w:val="00A07F05"/>
    <w:rsid w:val="00A100A8"/>
    <w:rsid w:val="00A10494"/>
    <w:rsid w:val="00A104B5"/>
    <w:rsid w:val="00A10ECE"/>
    <w:rsid w:val="00A113D9"/>
    <w:rsid w:val="00A1160C"/>
    <w:rsid w:val="00A11C56"/>
    <w:rsid w:val="00A11D3A"/>
    <w:rsid w:val="00A11E18"/>
    <w:rsid w:val="00A12477"/>
    <w:rsid w:val="00A12AB3"/>
    <w:rsid w:val="00A12E01"/>
    <w:rsid w:val="00A1346E"/>
    <w:rsid w:val="00A13544"/>
    <w:rsid w:val="00A1373F"/>
    <w:rsid w:val="00A145FC"/>
    <w:rsid w:val="00A150DE"/>
    <w:rsid w:val="00A152FA"/>
    <w:rsid w:val="00A15C08"/>
    <w:rsid w:val="00A15FE7"/>
    <w:rsid w:val="00A16603"/>
    <w:rsid w:val="00A16F18"/>
    <w:rsid w:val="00A17333"/>
    <w:rsid w:val="00A17427"/>
    <w:rsid w:val="00A17693"/>
    <w:rsid w:val="00A17773"/>
    <w:rsid w:val="00A17CFB"/>
    <w:rsid w:val="00A17DBF"/>
    <w:rsid w:val="00A21198"/>
    <w:rsid w:val="00A212C5"/>
    <w:rsid w:val="00A21607"/>
    <w:rsid w:val="00A21737"/>
    <w:rsid w:val="00A2173F"/>
    <w:rsid w:val="00A2187D"/>
    <w:rsid w:val="00A223F8"/>
    <w:rsid w:val="00A22654"/>
    <w:rsid w:val="00A22C00"/>
    <w:rsid w:val="00A22E96"/>
    <w:rsid w:val="00A22FEF"/>
    <w:rsid w:val="00A23226"/>
    <w:rsid w:val="00A23DB9"/>
    <w:rsid w:val="00A23E7D"/>
    <w:rsid w:val="00A24204"/>
    <w:rsid w:val="00A244FC"/>
    <w:rsid w:val="00A24D87"/>
    <w:rsid w:val="00A24E48"/>
    <w:rsid w:val="00A24FD0"/>
    <w:rsid w:val="00A254B8"/>
    <w:rsid w:val="00A25E6B"/>
    <w:rsid w:val="00A25FD1"/>
    <w:rsid w:val="00A262D5"/>
    <w:rsid w:val="00A263EA"/>
    <w:rsid w:val="00A265A6"/>
    <w:rsid w:val="00A26F29"/>
    <w:rsid w:val="00A30351"/>
    <w:rsid w:val="00A305E1"/>
    <w:rsid w:val="00A306FB"/>
    <w:rsid w:val="00A30A02"/>
    <w:rsid w:val="00A30CB8"/>
    <w:rsid w:val="00A30CC3"/>
    <w:rsid w:val="00A31654"/>
    <w:rsid w:val="00A31B48"/>
    <w:rsid w:val="00A31B87"/>
    <w:rsid w:val="00A32696"/>
    <w:rsid w:val="00A32B99"/>
    <w:rsid w:val="00A33B44"/>
    <w:rsid w:val="00A341A8"/>
    <w:rsid w:val="00A34502"/>
    <w:rsid w:val="00A34685"/>
    <w:rsid w:val="00A34C87"/>
    <w:rsid w:val="00A3511D"/>
    <w:rsid w:val="00A35783"/>
    <w:rsid w:val="00A35B02"/>
    <w:rsid w:val="00A3636F"/>
    <w:rsid w:val="00A3702F"/>
    <w:rsid w:val="00A372E7"/>
    <w:rsid w:val="00A37421"/>
    <w:rsid w:val="00A3786D"/>
    <w:rsid w:val="00A40485"/>
    <w:rsid w:val="00A41055"/>
    <w:rsid w:val="00A41205"/>
    <w:rsid w:val="00A41E80"/>
    <w:rsid w:val="00A41FF9"/>
    <w:rsid w:val="00A42092"/>
    <w:rsid w:val="00A424F2"/>
    <w:rsid w:val="00A42691"/>
    <w:rsid w:val="00A42AF0"/>
    <w:rsid w:val="00A42FCB"/>
    <w:rsid w:val="00A433C2"/>
    <w:rsid w:val="00A43E84"/>
    <w:rsid w:val="00A43EC3"/>
    <w:rsid w:val="00A440A2"/>
    <w:rsid w:val="00A44216"/>
    <w:rsid w:val="00A4445D"/>
    <w:rsid w:val="00A457B2"/>
    <w:rsid w:val="00A45AAD"/>
    <w:rsid w:val="00A45F1B"/>
    <w:rsid w:val="00A4614C"/>
    <w:rsid w:val="00A461BD"/>
    <w:rsid w:val="00A469D6"/>
    <w:rsid w:val="00A46EFF"/>
    <w:rsid w:val="00A47375"/>
    <w:rsid w:val="00A47488"/>
    <w:rsid w:val="00A4775E"/>
    <w:rsid w:val="00A47C2D"/>
    <w:rsid w:val="00A502C2"/>
    <w:rsid w:val="00A50B36"/>
    <w:rsid w:val="00A51164"/>
    <w:rsid w:val="00A52534"/>
    <w:rsid w:val="00A52905"/>
    <w:rsid w:val="00A52ACB"/>
    <w:rsid w:val="00A53EEB"/>
    <w:rsid w:val="00A5473A"/>
    <w:rsid w:val="00A552F3"/>
    <w:rsid w:val="00A553A5"/>
    <w:rsid w:val="00A55988"/>
    <w:rsid w:val="00A5621E"/>
    <w:rsid w:val="00A56845"/>
    <w:rsid w:val="00A56B48"/>
    <w:rsid w:val="00A573F4"/>
    <w:rsid w:val="00A57688"/>
    <w:rsid w:val="00A578B2"/>
    <w:rsid w:val="00A57B53"/>
    <w:rsid w:val="00A600BA"/>
    <w:rsid w:val="00A611F3"/>
    <w:rsid w:val="00A61D46"/>
    <w:rsid w:val="00A62090"/>
    <w:rsid w:val="00A6296A"/>
    <w:rsid w:val="00A62BB4"/>
    <w:rsid w:val="00A62E22"/>
    <w:rsid w:val="00A64555"/>
    <w:rsid w:val="00A64791"/>
    <w:rsid w:val="00A64A92"/>
    <w:rsid w:val="00A64B8F"/>
    <w:rsid w:val="00A653FB"/>
    <w:rsid w:val="00A659FD"/>
    <w:rsid w:val="00A65DA0"/>
    <w:rsid w:val="00A660A0"/>
    <w:rsid w:val="00A663DB"/>
    <w:rsid w:val="00A66670"/>
    <w:rsid w:val="00A67326"/>
    <w:rsid w:val="00A6762A"/>
    <w:rsid w:val="00A7037D"/>
    <w:rsid w:val="00A70758"/>
    <w:rsid w:val="00A70D5D"/>
    <w:rsid w:val="00A70E5E"/>
    <w:rsid w:val="00A71269"/>
    <w:rsid w:val="00A71831"/>
    <w:rsid w:val="00A71B18"/>
    <w:rsid w:val="00A71CEC"/>
    <w:rsid w:val="00A72074"/>
    <w:rsid w:val="00A7280C"/>
    <w:rsid w:val="00A72969"/>
    <w:rsid w:val="00A73877"/>
    <w:rsid w:val="00A74699"/>
    <w:rsid w:val="00A749F3"/>
    <w:rsid w:val="00A74D35"/>
    <w:rsid w:val="00A74DFE"/>
    <w:rsid w:val="00A74E6E"/>
    <w:rsid w:val="00A74E7A"/>
    <w:rsid w:val="00A75886"/>
    <w:rsid w:val="00A75C66"/>
    <w:rsid w:val="00A76CE8"/>
    <w:rsid w:val="00A77635"/>
    <w:rsid w:val="00A77C8F"/>
    <w:rsid w:val="00A8035C"/>
    <w:rsid w:val="00A80367"/>
    <w:rsid w:val="00A8119F"/>
    <w:rsid w:val="00A81392"/>
    <w:rsid w:val="00A81625"/>
    <w:rsid w:val="00A81683"/>
    <w:rsid w:val="00A81A7C"/>
    <w:rsid w:val="00A81AA7"/>
    <w:rsid w:val="00A81F49"/>
    <w:rsid w:val="00A81F7B"/>
    <w:rsid w:val="00A8200A"/>
    <w:rsid w:val="00A82BB9"/>
    <w:rsid w:val="00A830B3"/>
    <w:rsid w:val="00A83574"/>
    <w:rsid w:val="00A83942"/>
    <w:rsid w:val="00A840FB"/>
    <w:rsid w:val="00A84415"/>
    <w:rsid w:val="00A847EF"/>
    <w:rsid w:val="00A853F1"/>
    <w:rsid w:val="00A858B5"/>
    <w:rsid w:val="00A85D59"/>
    <w:rsid w:val="00A85E94"/>
    <w:rsid w:val="00A85E98"/>
    <w:rsid w:val="00A8613E"/>
    <w:rsid w:val="00A87026"/>
    <w:rsid w:val="00A870CD"/>
    <w:rsid w:val="00A87CA5"/>
    <w:rsid w:val="00A87CFA"/>
    <w:rsid w:val="00A9054C"/>
    <w:rsid w:val="00A9055F"/>
    <w:rsid w:val="00A90A4B"/>
    <w:rsid w:val="00A91264"/>
    <w:rsid w:val="00A91431"/>
    <w:rsid w:val="00A91491"/>
    <w:rsid w:val="00A91F6F"/>
    <w:rsid w:val="00A9205E"/>
    <w:rsid w:val="00A92D33"/>
    <w:rsid w:val="00A93292"/>
    <w:rsid w:val="00A94238"/>
    <w:rsid w:val="00A944A7"/>
    <w:rsid w:val="00A9456E"/>
    <w:rsid w:val="00A946AE"/>
    <w:rsid w:val="00A949F3"/>
    <w:rsid w:val="00A94F87"/>
    <w:rsid w:val="00A950A2"/>
    <w:rsid w:val="00A95B66"/>
    <w:rsid w:val="00A96603"/>
    <w:rsid w:val="00A9668A"/>
    <w:rsid w:val="00A966A5"/>
    <w:rsid w:val="00A96AE3"/>
    <w:rsid w:val="00A96B9F"/>
    <w:rsid w:val="00A97978"/>
    <w:rsid w:val="00A97DC4"/>
    <w:rsid w:val="00A97E78"/>
    <w:rsid w:val="00AA0F90"/>
    <w:rsid w:val="00AA1E06"/>
    <w:rsid w:val="00AA2336"/>
    <w:rsid w:val="00AA2372"/>
    <w:rsid w:val="00AA239E"/>
    <w:rsid w:val="00AA299D"/>
    <w:rsid w:val="00AA2E3D"/>
    <w:rsid w:val="00AA3487"/>
    <w:rsid w:val="00AA3609"/>
    <w:rsid w:val="00AA434E"/>
    <w:rsid w:val="00AA469B"/>
    <w:rsid w:val="00AA47A5"/>
    <w:rsid w:val="00AA4FAB"/>
    <w:rsid w:val="00AA51BA"/>
    <w:rsid w:val="00AA599E"/>
    <w:rsid w:val="00AA60FE"/>
    <w:rsid w:val="00AA6638"/>
    <w:rsid w:val="00AA6687"/>
    <w:rsid w:val="00AA6A6F"/>
    <w:rsid w:val="00AA6EAE"/>
    <w:rsid w:val="00AA7529"/>
    <w:rsid w:val="00AA75BB"/>
    <w:rsid w:val="00AA7DF0"/>
    <w:rsid w:val="00AB04FA"/>
    <w:rsid w:val="00AB0DA4"/>
    <w:rsid w:val="00AB0E78"/>
    <w:rsid w:val="00AB0ED9"/>
    <w:rsid w:val="00AB15DE"/>
    <w:rsid w:val="00AB179D"/>
    <w:rsid w:val="00AB192B"/>
    <w:rsid w:val="00AB2B97"/>
    <w:rsid w:val="00AB3119"/>
    <w:rsid w:val="00AB35B8"/>
    <w:rsid w:val="00AB4456"/>
    <w:rsid w:val="00AB457A"/>
    <w:rsid w:val="00AB4997"/>
    <w:rsid w:val="00AB4A0D"/>
    <w:rsid w:val="00AB5690"/>
    <w:rsid w:val="00AB5722"/>
    <w:rsid w:val="00AB5AFB"/>
    <w:rsid w:val="00AB5E6A"/>
    <w:rsid w:val="00AB6270"/>
    <w:rsid w:val="00AB64EE"/>
    <w:rsid w:val="00AB698B"/>
    <w:rsid w:val="00AB6D51"/>
    <w:rsid w:val="00AB719D"/>
    <w:rsid w:val="00AB767E"/>
    <w:rsid w:val="00AB7C3E"/>
    <w:rsid w:val="00AC009A"/>
    <w:rsid w:val="00AC0855"/>
    <w:rsid w:val="00AC0A92"/>
    <w:rsid w:val="00AC1A76"/>
    <w:rsid w:val="00AC1F51"/>
    <w:rsid w:val="00AC2139"/>
    <w:rsid w:val="00AC2182"/>
    <w:rsid w:val="00AC2F7D"/>
    <w:rsid w:val="00AC3233"/>
    <w:rsid w:val="00AC36AB"/>
    <w:rsid w:val="00AC4507"/>
    <w:rsid w:val="00AC4578"/>
    <w:rsid w:val="00AC4C81"/>
    <w:rsid w:val="00AC4ED4"/>
    <w:rsid w:val="00AC50A3"/>
    <w:rsid w:val="00AC6218"/>
    <w:rsid w:val="00AC626B"/>
    <w:rsid w:val="00AC7155"/>
    <w:rsid w:val="00AC7959"/>
    <w:rsid w:val="00AD0363"/>
    <w:rsid w:val="00AD08BA"/>
    <w:rsid w:val="00AD0B5F"/>
    <w:rsid w:val="00AD0D8C"/>
    <w:rsid w:val="00AD0ED7"/>
    <w:rsid w:val="00AD12C8"/>
    <w:rsid w:val="00AD13EA"/>
    <w:rsid w:val="00AD179B"/>
    <w:rsid w:val="00AD1D48"/>
    <w:rsid w:val="00AD20FC"/>
    <w:rsid w:val="00AD21D9"/>
    <w:rsid w:val="00AD2F8C"/>
    <w:rsid w:val="00AD439C"/>
    <w:rsid w:val="00AD4627"/>
    <w:rsid w:val="00AD48AF"/>
    <w:rsid w:val="00AD5B47"/>
    <w:rsid w:val="00AD5EC8"/>
    <w:rsid w:val="00AD6E08"/>
    <w:rsid w:val="00AD70C4"/>
    <w:rsid w:val="00AD75CF"/>
    <w:rsid w:val="00AD7E83"/>
    <w:rsid w:val="00AE080F"/>
    <w:rsid w:val="00AE0C47"/>
    <w:rsid w:val="00AE0E1C"/>
    <w:rsid w:val="00AE0F39"/>
    <w:rsid w:val="00AE10E5"/>
    <w:rsid w:val="00AE15F9"/>
    <w:rsid w:val="00AE274B"/>
    <w:rsid w:val="00AE2A24"/>
    <w:rsid w:val="00AE300B"/>
    <w:rsid w:val="00AE3982"/>
    <w:rsid w:val="00AE3D5E"/>
    <w:rsid w:val="00AE4231"/>
    <w:rsid w:val="00AE4D29"/>
    <w:rsid w:val="00AE53BC"/>
    <w:rsid w:val="00AE59CF"/>
    <w:rsid w:val="00AE5FB3"/>
    <w:rsid w:val="00AE6464"/>
    <w:rsid w:val="00AE6AEF"/>
    <w:rsid w:val="00AE6F26"/>
    <w:rsid w:val="00AE712A"/>
    <w:rsid w:val="00AE7546"/>
    <w:rsid w:val="00AE7CBA"/>
    <w:rsid w:val="00AF07BF"/>
    <w:rsid w:val="00AF1509"/>
    <w:rsid w:val="00AF15FB"/>
    <w:rsid w:val="00AF1F7C"/>
    <w:rsid w:val="00AF20A3"/>
    <w:rsid w:val="00AF233B"/>
    <w:rsid w:val="00AF2475"/>
    <w:rsid w:val="00AF26DC"/>
    <w:rsid w:val="00AF2F79"/>
    <w:rsid w:val="00AF35D1"/>
    <w:rsid w:val="00AF367C"/>
    <w:rsid w:val="00AF3954"/>
    <w:rsid w:val="00AF39A9"/>
    <w:rsid w:val="00AF3BB5"/>
    <w:rsid w:val="00AF45EC"/>
    <w:rsid w:val="00AF4A45"/>
    <w:rsid w:val="00AF50CA"/>
    <w:rsid w:val="00AF641A"/>
    <w:rsid w:val="00AF6F23"/>
    <w:rsid w:val="00AF7244"/>
    <w:rsid w:val="00AF757B"/>
    <w:rsid w:val="00AF77FF"/>
    <w:rsid w:val="00AF7E46"/>
    <w:rsid w:val="00AF7F1E"/>
    <w:rsid w:val="00B00187"/>
    <w:rsid w:val="00B0086F"/>
    <w:rsid w:val="00B009DF"/>
    <w:rsid w:val="00B00C53"/>
    <w:rsid w:val="00B00C85"/>
    <w:rsid w:val="00B00DFA"/>
    <w:rsid w:val="00B02BAC"/>
    <w:rsid w:val="00B03078"/>
    <w:rsid w:val="00B03507"/>
    <w:rsid w:val="00B03538"/>
    <w:rsid w:val="00B03973"/>
    <w:rsid w:val="00B03CA8"/>
    <w:rsid w:val="00B05057"/>
    <w:rsid w:val="00B06016"/>
    <w:rsid w:val="00B072C9"/>
    <w:rsid w:val="00B074E6"/>
    <w:rsid w:val="00B07866"/>
    <w:rsid w:val="00B07FBF"/>
    <w:rsid w:val="00B10678"/>
    <w:rsid w:val="00B107AF"/>
    <w:rsid w:val="00B1103B"/>
    <w:rsid w:val="00B113FC"/>
    <w:rsid w:val="00B11D8C"/>
    <w:rsid w:val="00B1219F"/>
    <w:rsid w:val="00B13012"/>
    <w:rsid w:val="00B1314B"/>
    <w:rsid w:val="00B142B3"/>
    <w:rsid w:val="00B1483A"/>
    <w:rsid w:val="00B15218"/>
    <w:rsid w:val="00B15FE6"/>
    <w:rsid w:val="00B160E4"/>
    <w:rsid w:val="00B16315"/>
    <w:rsid w:val="00B163D0"/>
    <w:rsid w:val="00B16C7D"/>
    <w:rsid w:val="00B175E1"/>
    <w:rsid w:val="00B17706"/>
    <w:rsid w:val="00B17A0D"/>
    <w:rsid w:val="00B20C1B"/>
    <w:rsid w:val="00B212D4"/>
    <w:rsid w:val="00B21387"/>
    <w:rsid w:val="00B216C0"/>
    <w:rsid w:val="00B21944"/>
    <w:rsid w:val="00B21B86"/>
    <w:rsid w:val="00B21F3D"/>
    <w:rsid w:val="00B221EB"/>
    <w:rsid w:val="00B223B3"/>
    <w:rsid w:val="00B224F1"/>
    <w:rsid w:val="00B226B0"/>
    <w:rsid w:val="00B22790"/>
    <w:rsid w:val="00B22A46"/>
    <w:rsid w:val="00B22A66"/>
    <w:rsid w:val="00B22C0D"/>
    <w:rsid w:val="00B22D04"/>
    <w:rsid w:val="00B23669"/>
    <w:rsid w:val="00B23AA0"/>
    <w:rsid w:val="00B23DCB"/>
    <w:rsid w:val="00B24658"/>
    <w:rsid w:val="00B248A9"/>
    <w:rsid w:val="00B24BE9"/>
    <w:rsid w:val="00B25028"/>
    <w:rsid w:val="00B25158"/>
    <w:rsid w:val="00B25AF3"/>
    <w:rsid w:val="00B25B44"/>
    <w:rsid w:val="00B260CC"/>
    <w:rsid w:val="00B26252"/>
    <w:rsid w:val="00B2682F"/>
    <w:rsid w:val="00B26E13"/>
    <w:rsid w:val="00B26EF3"/>
    <w:rsid w:val="00B2735D"/>
    <w:rsid w:val="00B27567"/>
    <w:rsid w:val="00B278DD"/>
    <w:rsid w:val="00B27F24"/>
    <w:rsid w:val="00B27FE5"/>
    <w:rsid w:val="00B30C17"/>
    <w:rsid w:val="00B30F20"/>
    <w:rsid w:val="00B31254"/>
    <w:rsid w:val="00B312E4"/>
    <w:rsid w:val="00B31597"/>
    <w:rsid w:val="00B317A0"/>
    <w:rsid w:val="00B31D9B"/>
    <w:rsid w:val="00B3201E"/>
    <w:rsid w:val="00B3339E"/>
    <w:rsid w:val="00B3360B"/>
    <w:rsid w:val="00B337A3"/>
    <w:rsid w:val="00B33DA0"/>
    <w:rsid w:val="00B3404E"/>
    <w:rsid w:val="00B3469E"/>
    <w:rsid w:val="00B34A5A"/>
    <w:rsid w:val="00B34CE5"/>
    <w:rsid w:val="00B35D24"/>
    <w:rsid w:val="00B362D3"/>
    <w:rsid w:val="00B36609"/>
    <w:rsid w:val="00B36900"/>
    <w:rsid w:val="00B3720E"/>
    <w:rsid w:val="00B37250"/>
    <w:rsid w:val="00B376F7"/>
    <w:rsid w:val="00B37C9D"/>
    <w:rsid w:val="00B400B6"/>
    <w:rsid w:val="00B40421"/>
    <w:rsid w:val="00B40B1A"/>
    <w:rsid w:val="00B40C19"/>
    <w:rsid w:val="00B41010"/>
    <w:rsid w:val="00B41230"/>
    <w:rsid w:val="00B42342"/>
    <w:rsid w:val="00B423A6"/>
    <w:rsid w:val="00B423B2"/>
    <w:rsid w:val="00B42C49"/>
    <w:rsid w:val="00B42CC9"/>
    <w:rsid w:val="00B4390A"/>
    <w:rsid w:val="00B439F8"/>
    <w:rsid w:val="00B43B1E"/>
    <w:rsid w:val="00B43C4D"/>
    <w:rsid w:val="00B43F7E"/>
    <w:rsid w:val="00B446CB"/>
    <w:rsid w:val="00B4527A"/>
    <w:rsid w:val="00B457CB"/>
    <w:rsid w:val="00B45C5F"/>
    <w:rsid w:val="00B45FC4"/>
    <w:rsid w:val="00B46105"/>
    <w:rsid w:val="00B46313"/>
    <w:rsid w:val="00B46832"/>
    <w:rsid w:val="00B4687D"/>
    <w:rsid w:val="00B4691F"/>
    <w:rsid w:val="00B46BE2"/>
    <w:rsid w:val="00B47BA8"/>
    <w:rsid w:val="00B47E0D"/>
    <w:rsid w:val="00B5017E"/>
    <w:rsid w:val="00B50477"/>
    <w:rsid w:val="00B50863"/>
    <w:rsid w:val="00B50867"/>
    <w:rsid w:val="00B508D4"/>
    <w:rsid w:val="00B50E54"/>
    <w:rsid w:val="00B51628"/>
    <w:rsid w:val="00B517A7"/>
    <w:rsid w:val="00B517BC"/>
    <w:rsid w:val="00B51F5E"/>
    <w:rsid w:val="00B52216"/>
    <w:rsid w:val="00B52393"/>
    <w:rsid w:val="00B52BD4"/>
    <w:rsid w:val="00B52CC6"/>
    <w:rsid w:val="00B539C7"/>
    <w:rsid w:val="00B53E56"/>
    <w:rsid w:val="00B542B0"/>
    <w:rsid w:val="00B545C6"/>
    <w:rsid w:val="00B547B7"/>
    <w:rsid w:val="00B54879"/>
    <w:rsid w:val="00B54FAF"/>
    <w:rsid w:val="00B559F8"/>
    <w:rsid w:val="00B55A8A"/>
    <w:rsid w:val="00B55E1B"/>
    <w:rsid w:val="00B55FA7"/>
    <w:rsid w:val="00B562C3"/>
    <w:rsid w:val="00B56606"/>
    <w:rsid w:val="00B56766"/>
    <w:rsid w:val="00B569D8"/>
    <w:rsid w:val="00B573CF"/>
    <w:rsid w:val="00B577D5"/>
    <w:rsid w:val="00B57A0C"/>
    <w:rsid w:val="00B6028D"/>
    <w:rsid w:val="00B602D6"/>
    <w:rsid w:val="00B612FA"/>
    <w:rsid w:val="00B613BD"/>
    <w:rsid w:val="00B619A5"/>
    <w:rsid w:val="00B61F2A"/>
    <w:rsid w:val="00B62A4C"/>
    <w:rsid w:val="00B63883"/>
    <w:rsid w:val="00B63960"/>
    <w:rsid w:val="00B63EEB"/>
    <w:rsid w:val="00B645BC"/>
    <w:rsid w:val="00B64656"/>
    <w:rsid w:val="00B647AB"/>
    <w:rsid w:val="00B64A48"/>
    <w:rsid w:val="00B64C21"/>
    <w:rsid w:val="00B650FD"/>
    <w:rsid w:val="00B65547"/>
    <w:rsid w:val="00B655DA"/>
    <w:rsid w:val="00B661AE"/>
    <w:rsid w:val="00B66258"/>
    <w:rsid w:val="00B66472"/>
    <w:rsid w:val="00B66685"/>
    <w:rsid w:val="00B66A0D"/>
    <w:rsid w:val="00B66B23"/>
    <w:rsid w:val="00B7001E"/>
    <w:rsid w:val="00B70049"/>
    <w:rsid w:val="00B70449"/>
    <w:rsid w:val="00B70782"/>
    <w:rsid w:val="00B70B8F"/>
    <w:rsid w:val="00B70C9F"/>
    <w:rsid w:val="00B725F7"/>
    <w:rsid w:val="00B738CA"/>
    <w:rsid w:val="00B741CD"/>
    <w:rsid w:val="00B744D2"/>
    <w:rsid w:val="00B745F3"/>
    <w:rsid w:val="00B745F7"/>
    <w:rsid w:val="00B7518C"/>
    <w:rsid w:val="00B75395"/>
    <w:rsid w:val="00B75A87"/>
    <w:rsid w:val="00B75D9D"/>
    <w:rsid w:val="00B75E54"/>
    <w:rsid w:val="00B761D4"/>
    <w:rsid w:val="00B764BA"/>
    <w:rsid w:val="00B76FB0"/>
    <w:rsid w:val="00B77180"/>
    <w:rsid w:val="00B77CC8"/>
    <w:rsid w:val="00B77D73"/>
    <w:rsid w:val="00B77E06"/>
    <w:rsid w:val="00B77E83"/>
    <w:rsid w:val="00B802D8"/>
    <w:rsid w:val="00B8057C"/>
    <w:rsid w:val="00B80967"/>
    <w:rsid w:val="00B80CB3"/>
    <w:rsid w:val="00B80CE5"/>
    <w:rsid w:val="00B80E02"/>
    <w:rsid w:val="00B8102F"/>
    <w:rsid w:val="00B81080"/>
    <w:rsid w:val="00B81E58"/>
    <w:rsid w:val="00B8209F"/>
    <w:rsid w:val="00B828AD"/>
    <w:rsid w:val="00B82A41"/>
    <w:rsid w:val="00B82B1F"/>
    <w:rsid w:val="00B82B36"/>
    <w:rsid w:val="00B831ED"/>
    <w:rsid w:val="00B844FB"/>
    <w:rsid w:val="00B84831"/>
    <w:rsid w:val="00B85359"/>
    <w:rsid w:val="00B86773"/>
    <w:rsid w:val="00B86FFF"/>
    <w:rsid w:val="00B871E0"/>
    <w:rsid w:val="00B87562"/>
    <w:rsid w:val="00B87A3A"/>
    <w:rsid w:val="00B87C0A"/>
    <w:rsid w:val="00B87E00"/>
    <w:rsid w:val="00B87F18"/>
    <w:rsid w:val="00B903DE"/>
    <w:rsid w:val="00B906CC"/>
    <w:rsid w:val="00B90E4F"/>
    <w:rsid w:val="00B91467"/>
    <w:rsid w:val="00B91BB3"/>
    <w:rsid w:val="00B91E2D"/>
    <w:rsid w:val="00B920AB"/>
    <w:rsid w:val="00B92142"/>
    <w:rsid w:val="00B9256B"/>
    <w:rsid w:val="00B925A0"/>
    <w:rsid w:val="00B926CC"/>
    <w:rsid w:val="00B927BB"/>
    <w:rsid w:val="00B93279"/>
    <w:rsid w:val="00B9428E"/>
    <w:rsid w:val="00B943E3"/>
    <w:rsid w:val="00B94A45"/>
    <w:rsid w:val="00B951B0"/>
    <w:rsid w:val="00B95226"/>
    <w:rsid w:val="00B952D1"/>
    <w:rsid w:val="00B9567A"/>
    <w:rsid w:val="00B95A6D"/>
    <w:rsid w:val="00B95C45"/>
    <w:rsid w:val="00B96C09"/>
    <w:rsid w:val="00B97987"/>
    <w:rsid w:val="00B97C3B"/>
    <w:rsid w:val="00B97D56"/>
    <w:rsid w:val="00B97F05"/>
    <w:rsid w:val="00BA0295"/>
    <w:rsid w:val="00BA0D17"/>
    <w:rsid w:val="00BA128F"/>
    <w:rsid w:val="00BA20F0"/>
    <w:rsid w:val="00BA36F7"/>
    <w:rsid w:val="00BA381C"/>
    <w:rsid w:val="00BA39D6"/>
    <w:rsid w:val="00BA3C1B"/>
    <w:rsid w:val="00BA4004"/>
    <w:rsid w:val="00BA458D"/>
    <w:rsid w:val="00BA4BEF"/>
    <w:rsid w:val="00BA52A2"/>
    <w:rsid w:val="00BA5FFC"/>
    <w:rsid w:val="00BA639F"/>
    <w:rsid w:val="00BA6C72"/>
    <w:rsid w:val="00BA6FAB"/>
    <w:rsid w:val="00BA7A50"/>
    <w:rsid w:val="00BA7CF5"/>
    <w:rsid w:val="00BA7F9C"/>
    <w:rsid w:val="00BB03D3"/>
    <w:rsid w:val="00BB054A"/>
    <w:rsid w:val="00BB0D46"/>
    <w:rsid w:val="00BB0D6E"/>
    <w:rsid w:val="00BB0D9B"/>
    <w:rsid w:val="00BB1551"/>
    <w:rsid w:val="00BB15A3"/>
    <w:rsid w:val="00BB2998"/>
    <w:rsid w:val="00BB2FF3"/>
    <w:rsid w:val="00BB303D"/>
    <w:rsid w:val="00BB398C"/>
    <w:rsid w:val="00BB39E0"/>
    <w:rsid w:val="00BB3CCA"/>
    <w:rsid w:val="00BB400B"/>
    <w:rsid w:val="00BB45F4"/>
    <w:rsid w:val="00BB4E53"/>
    <w:rsid w:val="00BB502F"/>
    <w:rsid w:val="00BB543A"/>
    <w:rsid w:val="00BB55CC"/>
    <w:rsid w:val="00BB5A3A"/>
    <w:rsid w:val="00BB5DDB"/>
    <w:rsid w:val="00BB65F8"/>
    <w:rsid w:val="00BB6F4C"/>
    <w:rsid w:val="00BB730F"/>
    <w:rsid w:val="00BB74DB"/>
    <w:rsid w:val="00BB75BE"/>
    <w:rsid w:val="00BB7A1B"/>
    <w:rsid w:val="00BB7B11"/>
    <w:rsid w:val="00BB7DDD"/>
    <w:rsid w:val="00BB7FA9"/>
    <w:rsid w:val="00BC0050"/>
    <w:rsid w:val="00BC099E"/>
    <w:rsid w:val="00BC0ABF"/>
    <w:rsid w:val="00BC17DF"/>
    <w:rsid w:val="00BC1A3C"/>
    <w:rsid w:val="00BC2110"/>
    <w:rsid w:val="00BC21EA"/>
    <w:rsid w:val="00BC26C3"/>
    <w:rsid w:val="00BC27BD"/>
    <w:rsid w:val="00BC27CE"/>
    <w:rsid w:val="00BC2AD2"/>
    <w:rsid w:val="00BC2C3A"/>
    <w:rsid w:val="00BC31CB"/>
    <w:rsid w:val="00BC3225"/>
    <w:rsid w:val="00BC3DD7"/>
    <w:rsid w:val="00BC3E23"/>
    <w:rsid w:val="00BC3EAD"/>
    <w:rsid w:val="00BC4690"/>
    <w:rsid w:val="00BC4A81"/>
    <w:rsid w:val="00BC4D6E"/>
    <w:rsid w:val="00BC545D"/>
    <w:rsid w:val="00BC5A0C"/>
    <w:rsid w:val="00BC6292"/>
    <w:rsid w:val="00BC63A8"/>
    <w:rsid w:val="00BC6993"/>
    <w:rsid w:val="00BC6D29"/>
    <w:rsid w:val="00BC72BC"/>
    <w:rsid w:val="00BC78DF"/>
    <w:rsid w:val="00BD05FE"/>
    <w:rsid w:val="00BD070C"/>
    <w:rsid w:val="00BD0B27"/>
    <w:rsid w:val="00BD0D63"/>
    <w:rsid w:val="00BD0E50"/>
    <w:rsid w:val="00BD11B9"/>
    <w:rsid w:val="00BD1620"/>
    <w:rsid w:val="00BD180A"/>
    <w:rsid w:val="00BD22EB"/>
    <w:rsid w:val="00BD2437"/>
    <w:rsid w:val="00BD2A1C"/>
    <w:rsid w:val="00BD2C66"/>
    <w:rsid w:val="00BD333C"/>
    <w:rsid w:val="00BD36F8"/>
    <w:rsid w:val="00BD388E"/>
    <w:rsid w:val="00BD3921"/>
    <w:rsid w:val="00BD399D"/>
    <w:rsid w:val="00BD3A90"/>
    <w:rsid w:val="00BD3EFC"/>
    <w:rsid w:val="00BD3F6E"/>
    <w:rsid w:val="00BD4415"/>
    <w:rsid w:val="00BD4466"/>
    <w:rsid w:val="00BD4793"/>
    <w:rsid w:val="00BD4821"/>
    <w:rsid w:val="00BD4DC1"/>
    <w:rsid w:val="00BD4F2E"/>
    <w:rsid w:val="00BD52FA"/>
    <w:rsid w:val="00BD5511"/>
    <w:rsid w:val="00BD57C1"/>
    <w:rsid w:val="00BD5913"/>
    <w:rsid w:val="00BD5A1C"/>
    <w:rsid w:val="00BD6978"/>
    <w:rsid w:val="00BD69D2"/>
    <w:rsid w:val="00BD708D"/>
    <w:rsid w:val="00BD75C2"/>
    <w:rsid w:val="00BD7AE8"/>
    <w:rsid w:val="00BE001B"/>
    <w:rsid w:val="00BE0791"/>
    <w:rsid w:val="00BE0D92"/>
    <w:rsid w:val="00BE0FF2"/>
    <w:rsid w:val="00BE211F"/>
    <w:rsid w:val="00BE27FF"/>
    <w:rsid w:val="00BE2A25"/>
    <w:rsid w:val="00BE2C5A"/>
    <w:rsid w:val="00BE2DEF"/>
    <w:rsid w:val="00BE31EA"/>
    <w:rsid w:val="00BE3FF3"/>
    <w:rsid w:val="00BE45A1"/>
    <w:rsid w:val="00BE4BB8"/>
    <w:rsid w:val="00BE4CDF"/>
    <w:rsid w:val="00BE52B6"/>
    <w:rsid w:val="00BE58EF"/>
    <w:rsid w:val="00BE5D50"/>
    <w:rsid w:val="00BE5E9D"/>
    <w:rsid w:val="00BE6894"/>
    <w:rsid w:val="00BE72C0"/>
    <w:rsid w:val="00BE746A"/>
    <w:rsid w:val="00BE78AB"/>
    <w:rsid w:val="00BE78E6"/>
    <w:rsid w:val="00BE7F97"/>
    <w:rsid w:val="00BF1009"/>
    <w:rsid w:val="00BF16B7"/>
    <w:rsid w:val="00BF1747"/>
    <w:rsid w:val="00BF329B"/>
    <w:rsid w:val="00BF3584"/>
    <w:rsid w:val="00BF3D2A"/>
    <w:rsid w:val="00BF4DF2"/>
    <w:rsid w:val="00BF52F1"/>
    <w:rsid w:val="00BF55ED"/>
    <w:rsid w:val="00BF5CD7"/>
    <w:rsid w:val="00BF70BA"/>
    <w:rsid w:val="00BF7665"/>
    <w:rsid w:val="00BF76EF"/>
    <w:rsid w:val="00BF7D0F"/>
    <w:rsid w:val="00BF7DEE"/>
    <w:rsid w:val="00C006EA"/>
    <w:rsid w:val="00C0094C"/>
    <w:rsid w:val="00C01282"/>
    <w:rsid w:val="00C01851"/>
    <w:rsid w:val="00C01883"/>
    <w:rsid w:val="00C01AD1"/>
    <w:rsid w:val="00C0207C"/>
    <w:rsid w:val="00C02BD6"/>
    <w:rsid w:val="00C03976"/>
    <w:rsid w:val="00C05720"/>
    <w:rsid w:val="00C06504"/>
    <w:rsid w:val="00C06721"/>
    <w:rsid w:val="00C06A5E"/>
    <w:rsid w:val="00C07A62"/>
    <w:rsid w:val="00C07B63"/>
    <w:rsid w:val="00C10807"/>
    <w:rsid w:val="00C10C33"/>
    <w:rsid w:val="00C10C58"/>
    <w:rsid w:val="00C10D9B"/>
    <w:rsid w:val="00C11143"/>
    <w:rsid w:val="00C118CA"/>
    <w:rsid w:val="00C11B4A"/>
    <w:rsid w:val="00C11D9B"/>
    <w:rsid w:val="00C120E4"/>
    <w:rsid w:val="00C12988"/>
    <w:rsid w:val="00C12AD2"/>
    <w:rsid w:val="00C12B55"/>
    <w:rsid w:val="00C12D89"/>
    <w:rsid w:val="00C12FF6"/>
    <w:rsid w:val="00C13B04"/>
    <w:rsid w:val="00C13EEF"/>
    <w:rsid w:val="00C14ED6"/>
    <w:rsid w:val="00C1503F"/>
    <w:rsid w:val="00C15345"/>
    <w:rsid w:val="00C1542A"/>
    <w:rsid w:val="00C15A88"/>
    <w:rsid w:val="00C15B53"/>
    <w:rsid w:val="00C15BAB"/>
    <w:rsid w:val="00C1669E"/>
    <w:rsid w:val="00C17039"/>
    <w:rsid w:val="00C174BE"/>
    <w:rsid w:val="00C17552"/>
    <w:rsid w:val="00C17A8E"/>
    <w:rsid w:val="00C20B33"/>
    <w:rsid w:val="00C2114A"/>
    <w:rsid w:val="00C211E7"/>
    <w:rsid w:val="00C216E9"/>
    <w:rsid w:val="00C22C00"/>
    <w:rsid w:val="00C2354C"/>
    <w:rsid w:val="00C23743"/>
    <w:rsid w:val="00C238E7"/>
    <w:rsid w:val="00C23F83"/>
    <w:rsid w:val="00C249AC"/>
    <w:rsid w:val="00C24C04"/>
    <w:rsid w:val="00C25250"/>
    <w:rsid w:val="00C25B9E"/>
    <w:rsid w:val="00C26523"/>
    <w:rsid w:val="00C26687"/>
    <w:rsid w:val="00C2685A"/>
    <w:rsid w:val="00C26D5C"/>
    <w:rsid w:val="00C27190"/>
    <w:rsid w:val="00C27BA1"/>
    <w:rsid w:val="00C27CC9"/>
    <w:rsid w:val="00C3060A"/>
    <w:rsid w:val="00C31827"/>
    <w:rsid w:val="00C318BE"/>
    <w:rsid w:val="00C31A40"/>
    <w:rsid w:val="00C31A81"/>
    <w:rsid w:val="00C31BFF"/>
    <w:rsid w:val="00C320DE"/>
    <w:rsid w:val="00C3225A"/>
    <w:rsid w:val="00C325C5"/>
    <w:rsid w:val="00C32E27"/>
    <w:rsid w:val="00C3465D"/>
    <w:rsid w:val="00C3525E"/>
    <w:rsid w:val="00C35BC8"/>
    <w:rsid w:val="00C35CE7"/>
    <w:rsid w:val="00C36290"/>
    <w:rsid w:val="00C36416"/>
    <w:rsid w:val="00C364A0"/>
    <w:rsid w:val="00C3685B"/>
    <w:rsid w:val="00C36E06"/>
    <w:rsid w:val="00C3715A"/>
    <w:rsid w:val="00C402A9"/>
    <w:rsid w:val="00C40D43"/>
    <w:rsid w:val="00C40DCC"/>
    <w:rsid w:val="00C40EBE"/>
    <w:rsid w:val="00C42176"/>
    <w:rsid w:val="00C422D8"/>
    <w:rsid w:val="00C428AA"/>
    <w:rsid w:val="00C42EE0"/>
    <w:rsid w:val="00C435A0"/>
    <w:rsid w:val="00C436E9"/>
    <w:rsid w:val="00C43FC0"/>
    <w:rsid w:val="00C4401D"/>
    <w:rsid w:val="00C4498A"/>
    <w:rsid w:val="00C44A4D"/>
    <w:rsid w:val="00C44B96"/>
    <w:rsid w:val="00C45A06"/>
    <w:rsid w:val="00C45A31"/>
    <w:rsid w:val="00C45EBA"/>
    <w:rsid w:val="00C47A00"/>
    <w:rsid w:val="00C47A25"/>
    <w:rsid w:val="00C500C3"/>
    <w:rsid w:val="00C506B8"/>
    <w:rsid w:val="00C507A3"/>
    <w:rsid w:val="00C50D16"/>
    <w:rsid w:val="00C50E25"/>
    <w:rsid w:val="00C51CE4"/>
    <w:rsid w:val="00C52538"/>
    <w:rsid w:val="00C52733"/>
    <w:rsid w:val="00C52F2B"/>
    <w:rsid w:val="00C53053"/>
    <w:rsid w:val="00C530E5"/>
    <w:rsid w:val="00C53155"/>
    <w:rsid w:val="00C53611"/>
    <w:rsid w:val="00C53B49"/>
    <w:rsid w:val="00C53BB6"/>
    <w:rsid w:val="00C54162"/>
    <w:rsid w:val="00C54C44"/>
    <w:rsid w:val="00C54E89"/>
    <w:rsid w:val="00C55033"/>
    <w:rsid w:val="00C550F7"/>
    <w:rsid w:val="00C5513F"/>
    <w:rsid w:val="00C559AB"/>
    <w:rsid w:val="00C559E9"/>
    <w:rsid w:val="00C56098"/>
    <w:rsid w:val="00C56F33"/>
    <w:rsid w:val="00C5705A"/>
    <w:rsid w:val="00C5728F"/>
    <w:rsid w:val="00C57F1D"/>
    <w:rsid w:val="00C60004"/>
    <w:rsid w:val="00C6013F"/>
    <w:rsid w:val="00C60583"/>
    <w:rsid w:val="00C60AEA"/>
    <w:rsid w:val="00C61492"/>
    <w:rsid w:val="00C618A2"/>
    <w:rsid w:val="00C6192F"/>
    <w:rsid w:val="00C619AA"/>
    <w:rsid w:val="00C61A23"/>
    <w:rsid w:val="00C61D18"/>
    <w:rsid w:val="00C61EA4"/>
    <w:rsid w:val="00C61FFE"/>
    <w:rsid w:val="00C62297"/>
    <w:rsid w:val="00C62A65"/>
    <w:rsid w:val="00C62DCD"/>
    <w:rsid w:val="00C631C8"/>
    <w:rsid w:val="00C636BD"/>
    <w:rsid w:val="00C646DD"/>
    <w:rsid w:val="00C64872"/>
    <w:rsid w:val="00C64BB6"/>
    <w:rsid w:val="00C64CE2"/>
    <w:rsid w:val="00C64EFB"/>
    <w:rsid w:val="00C64F7F"/>
    <w:rsid w:val="00C65B68"/>
    <w:rsid w:val="00C65FE8"/>
    <w:rsid w:val="00C66641"/>
    <w:rsid w:val="00C668B0"/>
    <w:rsid w:val="00C67355"/>
    <w:rsid w:val="00C6753E"/>
    <w:rsid w:val="00C7081D"/>
    <w:rsid w:val="00C70824"/>
    <w:rsid w:val="00C70A93"/>
    <w:rsid w:val="00C71910"/>
    <w:rsid w:val="00C72A6D"/>
    <w:rsid w:val="00C72F79"/>
    <w:rsid w:val="00C7307B"/>
    <w:rsid w:val="00C7329A"/>
    <w:rsid w:val="00C7342F"/>
    <w:rsid w:val="00C73D07"/>
    <w:rsid w:val="00C74129"/>
    <w:rsid w:val="00C749D8"/>
    <w:rsid w:val="00C74B61"/>
    <w:rsid w:val="00C7517D"/>
    <w:rsid w:val="00C7547E"/>
    <w:rsid w:val="00C75524"/>
    <w:rsid w:val="00C75A4B"/>
    <w:rsid w:val="00C765AA"/>
    <w:rsid w:val="00C76685"/>
    <w:rsid w:val="00C767A5"/>
    <w:rsid w:val="00C768D0"/>
    <w:rsid w:val="00C76FDC"/>
    <w:rsid w:val="00C76FF9"/>
    <w:rsid w:val="00C77AEB"/>
    <w:rsid w:val="00C77E61"/>
    <w:rsid w:val="00C80875"/>
    <w:rsid w:val="00C80C6A"/>
    <w:rsid w:val="00C80CA7"/>
    <w:rsid w:val="00C80CD0"/>
    <w:rsid w:val="00C80CDF"/>
    <w:rsid w:val="00C80CF5"/>
    <w:rsid w:val="00C81584"/>
    <w:rsid w:val="00C8206B"/>
    <w:rsid w:val="00C82753"/>
    <w:rsid w:val="00C8284A"/>
    <w:rsid w:val="00C82A78"/>
    <w:rsid w:val="00C82D19"/>
    <w:rsid w:val="00C83298"/>
    <w:rsid w:val="00C8397E"/>
    <w:rsid w:val="00C83C4E"/>
    <w:rsid w:val="00C84179"/>
    <w:rsid w:val="00C8430C"/>
    <w:rsid w:val="00C84398"/>
    <w:rsid w:val="00C846C0"/>
    <w:rsid w:val="00C84BE5"/>
    <w:rsid w:val="00C84F48"/>
    <w:rsid w:val="00C8558D"/>
    <w:rsid w:val="00C85980"/>
    <w:rsid w:val="00C859D7"/>
    <w:rsid w:val="00C85AAB"/>
    <w:rsid w:val="00C860A3"/>
    <w:rsid w:val="00C86323"/>
    <w:rsid w:val="00C86FA0"/>
    <w:rsid w:val="00C87AFC"/>
    <w:rsid w:val="00C87C1B"/>
    <w:rsid w:val="00C9103A"/>
    <w:rsid w:val="00C9138A"/>
    <w:rsid w:val="00C91792"/>
    <w:rsid w:val="00C91FD0"/>
    <w:rsid w:val="00C920F0"/>
    <w:rsid w:val="00C925D4"/>
    <w:rsid w:val="00C92695"/>
    <w:rsid w:val="00C9270C"/>
    <w:rsid w:val="00C92CC5"/>
    <w:rsid w:val="00C93735"/>
    <w:rsid w:val="00C9382B"/>
    <w:rsid w:val="00C94048"/>
    <w:rsid w:val="00C9434E"/>
    <w:rsid w:val="00C948B3"/>
    <w:rsid w:val="00C94D98"/>
    <w:rsid w:val="00C95D7E"/>
    <w:rsid w:val="00C96012"/>
    <w:rsid w:val="00C969C6"/>
    <w:rsid w:val="00C97A3E"/>
    <w:rsid w:val="00CA0184"/>
    <w:rsid w:val="00CA01A0"/>
    <w:rsid w:val="00CA0546"/>
    <w:rsid w:val="00CA0B52"/>
    <w:rsid w:val="00CA0F4E"/>
    <w:rsid w:val="00CA12A6"/>
    <w:rsid w:val="00CA1823"/>
    <w:rsid w:val="00CA1C37"/>
    <w:rsid w:val="00CA1C7D"/>
    <w:rsid w:val="00CA1CED"/>
    <w:rsid w:val="00CA1EA1"/>
    <w:rsid w:val="00CA201A"/>
    <w:rsid w:val="00CA24A1"/>
    <w:rsid w:val="00CA2891"/>
    <w:rsid w:val="00CA3765"/>
    <w:rsid w:val="00CA3D6D"/>
    <w:rsid w:val="00CA3F01"/>
    <w:rsid w:val="00CA403E"/>
    <w:rsid w:val="00CA4233"/>
    <w:rsid w:val="00CA48BF"/>
    <w:rsid w:val="00CA527A"/>
    <w:rsid w:val="00CA56AF"/>
    <w:rsid w:val="00CA6272"/>
    <w:rsid w:val="00CA638C"/>
    <w:rsid w:val="00CA6439"/>
    <w:rsid w:val="00CA7422"/>
    <w:rsid w:val="00CA75A8"/>
    <w:rsid w:val="00CA7711"/>
    <w:rsid w:val="00CA7A84"/>
    <w:rsid w:val="00CB1155"/>
    <w:rsid w:val="00CB1733"/>
    <w:rsid w:val="00CB1CC5"/>
    <w:rsid w:val="00CB1D2E"/>
    <w:rsid w:val="00CB1E62"/>
    <w:rsid w:val="00CB28CF"/>
    <w:rsid w:val="00CB2B7A"/>
    <w:rsid w:val="00CB2F41"/>
    <w:rsid w:val="00CB37C1"/>
    <w:rsid w:val="00CB48FA"/>
    <w:rsid w:val="00CB570E"/>
    <w:rsid w:val="00CB5E3A"/>
    <w:rsid w:val="00CB688F"/>
    <w:rsid w:val="00CB6FA4"/>
    <w:rsid w:val="00CB783A"/>
    <w:rsid w:val="00CB7D7E"/>
    <w:rsid w:val="00CC017F"/>
    <w:rsid w:val="00CC0227"/>
    <w:rsid w:val="00CC08F7"/>
    <w:rsid w:val="00CC0A07"/>
    <w:rsid w:val="00CC0A57"/>
    <w:rsid w:val="00CC0C88"/>
    <w:rsid w:val="00CC0D52"/>
    <w:rsid w:val="00CC15E7"/>
    <w:rsid w:val="00CC226E"/>
    <w:rsid w:val="00CC2B50"/>
    <w:rsid w:val="00CC34DB"/>
    <w:rsid w:val="00CC3635"/>
    <w:rsid w:val="00CC3A6D"/>
    <w:rsid w:val="00CC4B43"/>
    <w:rsid w:val="00CC5D2F"/>
    <w:rsid w:val="00CC5FCD"/>
    <w:rsid w:val="00CC6012"/>
    <w:rsid w:val="00CC75AF"/>
    <w:rsid w:val="00CC75F0"/>
    <w:rsid w:val="00CC7696"/>
    <w:rsid w:val="00CD0272"/>
    <w:rsid w:val="00CD0DB4"/>
    <w:rsid w:val="00CD0DFE"/>
    <w:rsid w:val="00CD1086"/>
    <w:rsid w:val="00CD1961"/>
    <w:rsid w:val="00CD1BD6"/>
    <w:rsid w:val="00CD2281"/>
    <w:rsid w:val="00CD2737"/>
    <w:rsid w:val="00CD2A55"/>
    <w:rsid w:val="00CD2DB2"/>
    <w:rsid w:val="00CD2E24"/>
    <w:rsid w:val="00CD336C"/>
    <w:rsid w:val="00CD33B5"/>
    <w:rsid w:val="00CD37CB"/>
    <w:rsid w:val="00CD3980"/>
    <w:rsid w:val="00CD3F70"/>
    <w:rsid w:val="00CD4514"/>
    <w:rsid w:val="00CD5CA3"/>
    <w:rsid w:val="00CD67C0"/>
    <w:rsid w:val="00CD6922"/>
    <w:rsid w:val="00CD7448"/>
    <w:rsid w:val="00CD7742"/>
    <w:rsid w:val="00CD7B1F"/>
    <w:rsid w:val="00CE01FA"/>
    <w:rsid w:val="00CE056D"/>
    <w:rsid w:val="00CE0F7D"/>
    <w:rsid w:val="00CE10A1"/>
    <w:rsid w:val="00CE11F7"/>
    <w:rsid w:val="00CE16E0"/>
    <w:rsid w:val="00CE1853"/>
    <w:rsid w:val="00CE1E01"/>
    <w:rsid w:val="00CE2223"/>
    <w:rsid w:val="00CE22F3"/>
    <w:rsid w:val="00CE26A2"/>
    <w:rsid w:val="00CE28B0"/>
    <w:rsid w:val="00CE2C8F"/>
    <w:rsid w:val="00CE3377"/>
    <w:rsid w:val="00CE3CD2"/>
    <w:rsid w:val="00CE4867"/>
    <w:rsid w:val="00CE4992"/>
    <w:rsid w:val="00CE4F59"/>
    <w:rsid w:val="00CE4FA0"/>
    <w:rsid w:val="00CE5072"/>
    <w:rsid w:val="00CE532F"/>
    <w:rsid w:val="00CE552B"/>
    <w:rsid w:val="00CE574B"/>
    <w:rsid w:val="00CE62D6"/>
    <w:rsid w:val="00CE631F"/>
    <w:rsid w:val="00CE633A"/>
    <w:rsid w:val="00CE666E"/>
    <w:rsid w:val="00CE671D"/>
    <w:rsid w:val="00CE6A5E"/>
    <w:rsid w:val="00CE7AB7"/>
    <w:rsid w:val="00CE7BE6"/>
    <w:rsid w:val="00CE7D46"/>
    <w:rsid w:val="00CE7D68"/>
    <w:rsid w:val="00CF0037"/>
    <w:rsid w:val="00CF125F"/>
    <w:rsid w:val="00CF13EB"/>
    <w:rsid w:val="00CF1695"/>
    <w:rsid w:val="00CF1704"/>
    <w:rsid w:val="00CF1713"/>
    <w:rsid w:val="00CF1C0E"/>
    <w:rsid w:val="00CF2D3F"/>
    <w:rsid w:val="00CF322C"/>
    <w:rsid w:val="00CF324A"/>
    <w:rsid w:val="00CF3417"/>
    <w:rsid w:val="00CF34ED"/>
    <w:rsid w:val="00CF3C30"/>
    <w:rsid w:val="00CF3D55"/>
    <w:rsid w:val="00CF4A03"/>
    <w:rsid w:val="00CF5161"/>
    <w:rsid w:val="00CF52F4"/>
    <w:rsid w:val="00CF52FD"/>
    <w:rsid w:val="00CF53A2"/>
    <w:rsid w:val="00CF5D44"/>
    <w:rsid w:val="00CF5D98"/>
    <w:rsid w:val="00CF6150"/>
    <w:rsid w:val="00CF6203"/>
    <w:rsid w:val="00CF647C"/>
    <w:rsid w:val="00CF6593"/>
    <w:rsid w:val="00CF69F2"/>
    <w:rsid w:val="00CF745B"/>
    <w:rsid w:val="00CF7AA9"/>
    <w:rsid w:val="00D0029E"/>
    <w:rsid w:val="00D0085D"/>
    <w:rsid w:val="00D008D2"/>
    <w:rsid w:val="00D009CF"/>
    <w:rsid w:val="00D00B97"/>
    <w:rsid w:val="00D00CAB"/>
    <w:rsid w:val="00D01119"/>
    <w:rsid w:val="00D01470"/>
    <w:rsid w:val="00D014F4"/>
    <w:rsid w:val="00D01BB2"/>
    <w:rsid w:val="00D01D7E"/>
    <w:rsid w:val="00D02415"/>
    <w:rsid w:val="00D02493"/>
    <w:rsid w:val="00D025B2"/>
    <w:rsid w:val="00D026C6"/>
    <w:rsid w:val="00D02BFE"/>
    <w:rsid w:val="00D0380B"/>
    <w:rsid w:val="00D03C4C"/>
    <w:rsid w:val="00D03EE7"/>
    <w:rsid w:val="00D03FB2"/>
    <w:rsid w:val="00D04060"/>
    <w:rsid w:val="00D05181"/>
    <w:rsid w:val="00D0522E"/>
    <w:rsid w:val="00D05683"/>
    <w:rsid w:val="00D0572B"/>
    <w:rsid w:val="00D05A10"/>
    <w:rsid w:val="00D0658E"/>
    <w:rsid w:val="00D069CB"/>
    <w:rsid w:val="00D06CF1"/>
    <w:rsid w:val="00D06E11"/>
    <w:rsid w:val="00D074C1"/>
    <w:rsid w:val="00D074E9"/>
    <w:rsid w:val="00D079A3"/>
    <w:rsid w:val="00D10634"/>
    <w:rsid w:val="00D107CF"/>
    <w:rsid w:val="00D10BD2"/>
    <w:rsid w:val="00D11AC9"/>
    <w:rsid w:val="00D12EC2"/>
    <w:rsid w:val="00D12F1D"/>
    <w:rsid w:val="00D1311A"/>
    <w:rsid w:val="00D1322B"/>
    <w:rsid w:val="00D14633"/>
    <w:rsid w:val="00D1472B"/>
    <w:rsid w:val="00D14BC3"/>
    <w:rsid w:val="00D14EA7"/>
    <w:rsid w:val="00D14FAB"/>
    <w:rsid w:val="00D15659"/>
    <w:rsid w:val="00D164D2"/>
    <w:rsid w:val="00D16F86"/>
    <w:rsid w:val="00D17ABE"/>
    <w:rsid w:val="00D17B6A"/>
    <w:rsid w:val="00D17F16"/>
    <w:rsid w:val="00D20B4E"/>
    <w:rsid w:val="00D20BE3"/>
    <w:rsid w:val="00D21390"/>
    <w:rsid w:val="00D214F2"/>
    <w:rsid w:val="00D21A5D"/>
    <w:rsid w:val="00D22067"/>
    <w:rsid w:val="00D2235A"/>
    <w:rsid w:val="00D224B3"/>
    <w:rsid w:val="00D22955"/>
    <w:rsid w:val="00D22AC3"/>
    <w:rsid w:val="00D22B32"/>
    <w:rsid w:val="00D233D7"/>
    <w:rsid w:val="00D23A47"/>
    <w:rsid w:val="00D2418E"/>
    <w:rsid w:val="00D24555"/>
    <w:rsid w:val="00D248B6"/>
    <w:rsid w:val="00D255F3"/>
    <w:rsid w:val="00D257B5"/>
    <w:rsid w:val="00D25DD8"/>
    <w:rsid w:val="00D261EA"/>
    <w:rsid w:val="00D262AE"/>
    <w:rsid w:val="00D26463"/>
    <w:rsid w:val="00D26497"/>
    <w:rsid w:val="00D276EB"/>
    <w:rsid w:val="00D27E95"/>
    <w:rsid w:val="00D30846"/>
    <w:rsid w:val="00D3084A"/>
    <w:rsid w:val="00D30A12"/>
    <w:rsid w:val="00D30B5B"/>
    <w:rsid w:val="00D30BBC"/>
    <w:rsid w:val="00D30DE7"/>
    <w:rsid w:val="00D31397"/>
    <w:rsid w:val="00D31413"/>
    <w:rsid w:val="00D3175C"/>
    <w:rsid w:val="00D31CEF"/>
    <w:rsid w:val="00D3204F"/>
    <w:rsid w:val="00D32171"/>
    <w:rsid w:val="00D3237D"/>
    <w:rsid w:val="00D32B01"/>
    <w:rsid w:val="00D3320F"/>
    <w:rsid w:val="00D33221"/>
    <w:rsid w:val="00D33411"/>
    <w:rsid w:val="00D3392A"/>
    <w:rsid w:val="00D34008"/>
    <w:rsid w:val="00D340BA"/>
    <w:rsid w:val="00D34174"/>
    <w:rsid w:val="00D3422C"/>
    <w:rsid w:val="00D3422D"/>
    <w:rsid w:val="00D34BB6"/>
    <w:rsid w:val="00D34E3F"/>
    <w:rsid w:val="00D3503D"/>
    <w:rsid w:val="00D35176"/>
    <w:rsid w:val="00D351EF"/>
    <w:rsid w:val="00D35542"/>
    <w:rsid w:val="00D35614"/>
    <w:rsid w:val="00D35893"/>
    <w:rsid w:val="00D35A95"/>
    <w:rsid w:val="00D35C32"/>
    <w:rsid w:val="00D35D1A"/>
    <w:rsid w:val="00D35D65"/>
    <w:rsid w:val="00D35DD1"/>
    <w:rsid w:val="00D3626F"/>
    <w:rsid w:val="00D36351"/>
    <w:rsid w:val="00D36DDC"/>
    <w:rsid w:val="00D3707B"/>
    <w:rsid w:val="00D373AF"/>
    <w:rsid w:val="00D375D7"/>
    <w:rsid w:val="00D37B95"/>
    <w:rsid w:val="00D409F9"/>
    <w:rsid w:val="00D41222"/>
    <w:rsid w:val="00D419E8"/>
    <w:rsid w:val="00D41A39"/>
    <w:rsid w:val="00D421B2"/>
    <w:rsid w:val="00D42970"/>
    <w:rsid w:val="00D4344F"/>
    <w:rsid w:val="00D43B3A"/>
    <w:rsid w:val="00D43B63"/>
    <w:rsid w:val="00D44203"/>
    <w:rsid w:val="00D44A0E"/>
    <w:rsid w:val="00D460B2"/>
    <w:rsid w:val="00D460F4"/>
    <w:rsid w:val="00D46D18"/>
    <w:rsid w:val="00D479F3"/>
    <w:rsid w:val="00D47C8F"/>
    <w:rsid w:val="00D47EB7"/>
    <w:rsid w:val="00D505A8"/>
    <w:rsid w:val="00D5091C"/>
    <w:rsid w:val="00D50B0F"/>
    <w:rsid w:val="00D515E1"/>
    <w:rsid w:val="00D5244D"/>
    <w:rsid w:val="00D52479"/>
    <w:rsid w:val="00D531CF"/>
    <w:rsid w:val="00D53493"/>
    <w:rsid w:val="00D537A6"/>
    <w:rsid w:val="00D53AAB"/>
    <w:rsid w:val="00D53D09"/>
    <w:rsid w:val="00D5423B"/>
    <w:rsid w:val="00D54768"/>
    <w:rsid w:val="00D54F8B"/>
    <w:rsid w:val="00D54FF0"/>
    <w:rsid w:val="00D55226"/>
    <w:rsid w:val="00D567EB"/>
    <w:rsid w:val="00D5690F"/>
    <w:rsid w:val="00D56EE4"/>
    <w:rsid w:val="00D57236"/>
    <w:rsid w:val="00D57A0B"/>
    <w:rsid w:val="00D57B11"/>
    <w:rsid w:val="00D57E4F"/>
    <w:rsid w:val="00D6007D"/>
    <w:rsid w:val="00D60A98"/>
    <w:rsid w:val="00D60ACC"/>
    <w:rsid w:val="00D61E62"/>
    <w:rsid w:val="00D62324"/>
    <w:rsid w:val="00D626BD"/>
    <w:rsid w:val="00D629CD"/>
    <w:rsid w:val="00D62DAE"/>
    <w:rsid w:val="00D63008"/>
    <w:rsid w:val="00D632DC"/>
    <w:rsid w:val="00D632F2"/>
    <w:rsid w:val="00D63642"/>
    <w:rsid w:val="00D638A8"/>
    <w:rsid w:val="00D63AA2"/>
    <w:rsid w:val="00D64236"/>
    <w:rsid w:val="00D646BF"/>
    <w:rsid w:val="00D652E7"/>
    <w:rsid w:val="00D65858"/>
    <w:rsid w:val="00D65FDB"/>
    <w:rsid w:val="00D66071"/>
    <w:rsid w:val="00D660A0"/>
    <w:rsid w:val="00D665D7"/>
    <w:rsid w:val="00D66C70"/>
    <w:rsid w:val="00D66E4F"/>
    <w:rsid w:val="00D67641"/>
    <w:rsid w:val="00D67AE8"/>
    <w:rsid w:val="00D70635"/>
    <w:rsid w:val="00D7091C"/>
    <w:rsid w:val="00D70A42"/>
    <w:rsid w:val="00D70CFA"/>
    <w:rsid w:val="00D712B4"/>
    <w:rsid w:val="00D715F2"/>
    <w:rsid w:val="00D7194A"/>
    <w:rsid w:val="00D72814"/>
    <w:rsid w:val="00D72C56"/>
    <w:rsid w:val="00D72C66"/>
    <w:rsid w:val="00D72FE4"/>
    <w:rsid w:val="00D73267"/>
    <w:rsid w:val="00D734A2"/>
    <w:rsid w:val="00D73ADE"/>
    <w:rsid w:val="00D73FD9"/>
    <w:rsid w:val="00D74300"/>
    <w:rsid w:val="00D74600"/>
    <w:rsid w:val="00D74A00"/>
    <w:rsid w:val="00D752ED"/>
    <w:rsid w:val="00D75CA0"/>
    <w:rsid w:val="00D75E03"/>
    <w:rsid w:val="00D762FE"/>
    <w:rsid w:val="00D76BD2"/>
    <w:rsid w:val="00D77E7D"/>
    <w:rsid w:val="00D803C6"/>
    <w:rsid w:val="00D80890"/>
    <w:rsid w:val="00D80C8B"/>
    <w:rsid w:val="00D813A4"/>
    <w:rsid w:val="00D81716"/>
    <w:rsid w:val="00D81D31"/>
    <w:rsid w:val="00D81D5B"/>
    <w:rsid w:val="00D830C4"/>
    <w:rsid w:val="00D833BF"/>
    <w:rsid w:val="00D83BE2"/>
    <w:rsid w:val="00D8414F"/>
    <w:rsid w:val="00D841C7"/>
    <w:rsid w:val="00D8423C"/>
    <w:rsid w:val="00D84978"/>
    <w:rsid w:val="00D85141"/>
    <w:rsid w:val="00D85221"/>
    <w:rsid w:val="00D85844"/>
    <w:rsid w:val="00D85A0E"/>
    <w:rsid w:val="00D85F1C"/>
    <w:rsid w:val="00D861DB"/>
    <w:rsid w:val="00D8652D"/>
    <w:rsid w:val="00D8693E"/>
    <w:rsid w:val="00D86DC5"/>
    <w:rsid w:val="00D872E9"/>
    <w:rsid w:val="00D8765A"/>
    <w:rsid w:val="00D8787D"/>
    <w:rsid w:val="00D878FE"/>
    <w:rsid w:val="00D87F59"/>
    <w:rsid w:val="00D904D5"/>
    <w:rsid w:val="00D9073A"/>
    <w:rsid w:val="00D90742"/>
    <w:rsid w:val="00D90746"/>
    <w:rsid w:val="00D919BD"/>
    <w:rsid w:val="00D91EF1"/>
    <w:rsid w:val="00D91FDC"/>
    <w:rsid w:val="00D9202B"/>
    <w:rsid w:val="00D920FB"/>
    <w:rsid w:val="00D925F6"/>
    <w:rsid w:val="00D92606"/>
    <w:rsid w:val="00D92743"/>
    <w:rsid w:val="00D92867"/>
    <w:rsid w:val="00D92EAF"/>
    <w:rsid w:val="00D92FA7"/>
    <w:rsid w:val="00D930E4"/>
    <w:rsid w:val="00D9377F"/>
    <w:rsid w:val="00D9395D"/>
    <w:rsid w:val="00D93A53"/>
    <w:rsid w:val="00D9459F"/>
    <w:rsid w:val="00D94686"/>
    <w:rsid w:val="00D94823"/>
    <w:rsid w:val="00D94F80"/>
    <w:rsid w:val="00D951AE"/>
    <w:rsid w:val="00D957E3"/>
    <w:rsid w:val="00D95CAA"/>
    <w:rsid w:val="00D95F0A"/>
    <w:rsid w:val="00D97817"/>
    <w:rsid w:val="00DA004C"/>
    <w:rsid w:val="00DA04EF"/>
    <w:rsid w:val="00DA08D3"/>
    <w:rsid w:val="00DA0BD7"/>
    <w:rsid w:val="00DA0CED"/>
    <w:rsid w:val="00DA12EB"/>
    <w:rsid w:val="00DA2203"/>
    <w:rsid w:val="00DA22BC"/>
    <w:rsid w:val="00DA26D3"/>
    <w:rsid w:val="00DA2F71"/>
    <w:rsid w:val="00DA3319"/>
    <w:rsid w:val="00DA3EB5"/>
    <w:rsid w:val="00DA4056"/>
    <w:rsid w:val="00DA442E"/>
    <w:rsid w:val="00DA44C6"/>
    <w:rsid w:val="00DA4755"/>
    <w:rsid w:val="00DA4A51"/>
    <w:rsid w:val="00DA50C2"/>
    <w:rsid w:val="00DA521F"/>
    <w:rsid w:val="00DA57B0"/>
    <w:rsid w:val="00DA58C1"/>
    <w:rsid w:val="00DA5C35"/>
    <w:rsid w:val="00DA5F2C"/>
    <w:rsid w:val="00DA653C"/>
    <w:rsid w:val="00DA658F"/>
    <w:rsid w:val="00DA6865"/>
    <w:rsid w:val="00DA6A53"/>
    <w:rsid w:val="00DA6B87"/>
    <w:rsid w:val="00DA760C"/>
    <w:rsid w:val="00DA789B"/>
    <w:rsid w:val="00DA7A0B"/>
    <w:rsid w:val="00DB02B2"/>
    <w:rsid w:val="00DB0764"/>
    <w:rsid w:val="00DB14C5"/>
    <w:rsid w:val="00DB1839"/>
    <w:rsid w:val="00DB1940"/>
    <w:rsid w:val="00DB1FD5"/>
    <w:rsid w:val="00DB222F"/>
    <w:rsid w:val="00DB2469"/>
    <w:rsid w:val="00DB24CE"/>
    <w:rsid w:val="00DB2C3B"/>
    <w:rsid w:val="00DB2F5B"/>
    <w:rsid w:val="00DB3265"/>
    <w:rsid w:val="00DB3272"/>
    <w:rsid w:val="00DB3A64"/>
    <w:rsid w:val="00DB3D4F"/>
    <w:rsid w:val="00DB415A"/>
    <w:rsid w:val="00DB4374"/>
    <w:rsid w:val="00DB4681"/>
    <w:rsid w:val="00DB46EB"/>
    <w:rsid w:val="00DB4721"/>
    <w:rsid w:val="00DB4D97"/>
    <w:rsid w:val="00DB50C3"/>
    <w:rsid w:val="00DB5445"/>
    <w:rsid w:val="00DB5555"/>
    <w:rsid w:val="00DB58A5"/>
    <w:rsid w:val="00DB5908"/>
    <w:rsid w:val="00DB5A8E"/>
    <w:rsid w:val="00DC0150"/>
    <w:rsid w:val="00DC03F6"/>
    <w:rsid w:val="00DC04A8"/>
    <w:rsid w:val="00DC059E"/>
    <w:rsid w:val="00DC0921"/>
    <w:rsid w:val="00DC0D4A"/>
    <w:rsid w:val="00DC18C2"/>
    <w:rsid w:val="00DC1C61"/>
    <w:rsid w:val="00DC3034"/>
    <w:rsid w:val="00DC35DB"/>
    <w:rsid w:val="00DC36CA"/>
    <w:rsid w:val="00DC4C1F"/>
    <w:rsid w:val="00DC50E1"/>
    <w:rsid w:val="00DC51BA"/>
    <w:rsid w:val="00DC56C8"/>
    <w:rsid w:val="00DC5CDB"/>
    <w:rsid w:val="00DC5F16"/>
    <w:rsid w:val="00DC69AD"/>
    <w:rsid w:val="00DC6DB9"/>
    <w:rsid w:val="00DC7AE4"/>
    <w:rsid w:val="00DD060C"/>
    <w:rsid w:val="00DD0A89"/>
    <w:rsid w:val="00DD0AC7"/>
    <w:rsid w:val="00DD0AE8"/>
    <w:rsid w:val="00DD1136"/>
    <w:rsid w:val="00DD1204"/>
    <w:rsid w:val="00DD15EB"/>
    <w:rsid w:val="00DD1AD5"/>
    <w:rsid w:val="00DD24A3"/>
    <w:rsid w:val="00DD2BDD"/>
    <w:rsid w:val="00DD3374"/>
    <w:rsid w:val="00DD34A2"/>
    <w:rsid w:val="00DD369B"/>
    <w:rsid w:val="00DD3A9E"/>
    <w:rsid w:val="00DD4501"/>
    <w:rsid w:val="00DD503A"/>
    <w:rsid w:val="00DD549A"/>
    <w:rsid w:val="00DD54BF"/>
    <w:rsid w:val="00DD57DD"/>
    <w:rsid w:val="00DD61BC"/>
    <w:rsid w:val="00DD6318"/>
    <w:rsid w:val="00DD6951"/>
    <w:rsid w:val="00DD7785"/>
    <w:rsid w:val="00DD7F3E"/>
    <w:rsid w:val="00DE02E4"/>
    <w:rsid w:val="00DE14CC"/>
    <w:rsid w:val="00DE1627"/>
    <w:rsid w:val="00DE1FC9"/>
    <w:rsid w:val="00DE2287"/>
    <w:rsid w:val="00DE25B2"/>
    <w:rsid w:val="00DE25EE"/>
    <w:rsid w:val="00DE26FC"/>
    <w:rsid w:val="00DE33B6"/>
    <w:rsid w:val="00DE3943"/>
    <w:rsid w:val="00DE3C66"/>
    <w:rsid w:val="00DE46AD"/>
    <w:rsid w:val="00DE4AB2"/>
    <w:rsid w:val="00DE4B18"/>
    <w:rsid w:val="00DE4C3D"/>
    <w:rsid w:val="00DE5571"/>
    <w:rsid w:val="00DE5D90"/>
    <w:rsid w:val="00DE710C"/>
    <w:rsid w:val="00DE752F"/>
    <w:rsid w:val="00DF17C1"/>
    <w:rsid w:val="00DF1AE3"/>
    <w:rsid w:val="00DF1B9E"/>
    <w:rsid w:val="00DF1F1B"/>
    <w:rsid w:val="00DF24E1"/>
    <w:rsid w:val="00DF2615"/>
    <w:rsid w:val="00DF27F5"/>
    <w:rsid w:val="00DF2B07"/>
    <w:rsid w:val="00DF2FCA"/>
    <w:rsid w:val="00DF34B5"/>
    <w:rsid w:val="00DF365D"/>
    <w:rsid w:val="00DF3662"/>
    <w:rsid w:val="00DF3794"/>
    <w:rsid w:val="00DF39DC"/>
    <w:rsid w:val="00DF3EBC"/>
    <w:rsid w:val="00DF410E"/>
    <w:rsid w:val="00DF433D"/>
    <w:rsid w:val="00DF47CB"/>
    <w:rsid w:val="00DF4ECF"/>
    <w:rsid w:val="00DF4FD0"/>
    <w:rsid w:val="00DF53CD"/>
    <w:rsid w:val="00DF59F5"/>
    <w:rsid w:val="00DF5D1D"/>
    <w:rsid w:val="00DF5E73"/>
    <w:rsid w:val="00DF685F"/>
    <w:rsid w:val="00DF68DA"/>
    <w:rsid w:val="00DF69F6"/>
    <w:rsid w:val="00DF7533"/>
    <w:rsid w:val="00DF758B"/>
    <w:rsid w:val="00DF7CA1"/>
    <w:rsid w:val="00E0026D"/>
    <w:rsid w:val="00E00607"/>
    <w:rsid w:val="00E00C54"/>
    <w:rsid w:val="00E00F25"/>
    <w:rsid w:val="00E01464"/>
    <w:rsid w:val="00E014F5"/>
    <w:rsid w:val="00E01E5C"/>
    <w:rsid w:val="00E026B6"/>
    <w:rsid w:val="00E03242"/>
    <w:rsid w:val="00E03624"/>
    <w:rsid w:val="00E03A30"/>
    <w:rsid w:val="00E03E1F"/>
    <w:rsid w:val="00E03F9B"/>
    <w:rsid w:val="00E03FEF"/>
    <w:rsid w:val="00E04AD4"/>
    <w:rsid w:val="00E04FBB"/>
    <w:rsid w:val="00E05B26"/>
    <w:rsid w:val="00E06499"/>
    <w:rsid w:val="00E0662D"/>
    <w:rsid w:val="00E06B8C"/>
    <w:rsid w:val="00E074CE"/>
    <w:rsid w:val="00E075EF"/>
    <w:rsid w:val="00E10CFA"/>
    <w:rsid w:val="00E112A4"/>
    <w:rsid w:val="00E1168B"/>
    <w:rsid w:val="00E123D7"/>
    <w:rsid w:val="00E124A4"/>
    <w:rsid w:val="00E126CE"/>
    <w:rsid w:val="00E12A39"/>
    <w:rsid w:val="00E13105"/>
    <w:rsid w:val="00E139DE"/>
    <w:rsid w:val="00E13A32"/>
    <w:rsid w:val="00E14423"/>
    <w:rsid w:val="00E14540"/>
    <w:rsid w:val="00E1495D"/>
    <w:rsid w:val="00E14F55"/>
    <w:rsid w:val="00E159A4"/>
    <w:rsid w:val="00E1672D"/>
    <w:rsid w:val="00E16C31"/>
    <w:rsid w:val="00E16D08"/>
    <w:rsid w:val="00E16D10"/>
    <w:rsid w:val="00E1756F"/>
    <w:rsid w:val="00E202F2"/>
    <w:rsid w:val="00E20596"/>
    <w:rsid w:val="00E20A44"/>
    <w:rsid w:val="00E210B2"/>
    <w:rsid w:val="00E2113E"/>
    <w:rsid w:val="00E212C4"/>
    <w:rsid w:val="00E21374"/>
    <w:rsid w:val="00E2145E"/>
    <w:rsid w:val="00E2148A"/>
    <w:rsid w:val="00E216C1"/>
    <w:rsid w:val="00E21B63"/>
    <w:rsid w:val="00E21E2E"/>
    <w:rsid w:val="00E22591"/>
    <w:rsid w:val="00E227FE"/>
    <w:rsid w:val="00E24580"/>
    <w:rsid w:val="00E24BC4"/>
    <w:rsid w:val="00E2535A"/>
    <w:rsid w:val="00E257EF"/>
    <w:rsid w:val="00E25B53"/>
    <w:rsid w:val="00E26689"/>
    <w:rsid w:val="00E266E7"/>
    <w:rsid w:val="00E267E5"/>
    <w:rsid w:val="00E269E3"/>
    <w:rsid w:val="00E26A3D"/>
    <w:rsid w:val="00E27E2F"/>
    <w:rsid w:val="00E30340"/>
    <w:rsid w:val="00E304EA"/>
    <w:rsid w:val="00E30513"/>
    <w:rsid w:val="00E30692"/>
    <w:rsid w:val="00E30C29"/>
    <w:rsid w:val="00E3122D"/>
    <w:rsid w:val="00E3172F"/>
    <w:rsid w:val="00E319DB"/>
    <w:rsid w:val="00E31E18"/>
    <w:rsid w:val="00E31F9C"/>
    <w:rsid w:val="00E32917"/>
    <w:rsid w:val="00E32A0E"/>
    <w:rsid w:val="00E3346A"/>
    <w:rsid w:val="00E33A3C"/>
    <w:rsid w:val="00E3405A"/>
    <w:rsid w:val="00E3439A"/>
    <w:rsid w:val="00E345BC"/>
    <w:rsid w:val="00E3528D"/>
    <w:rsid w:val="00E3550E"/>
    <w:rsid w:val="00E35546"/>
    <w:rsid w:val="00E35842"/>
    <w:rsid w:val="00E35D6C"/>
    <w:rsid w:val="00E35FCD"/>
    <w:rsid w:val="00E36023"/>
    <w:rsid w:val="00E3640E"/>
    <w:rsid w:val="00E36608"/>
    <w:rsid w:val="00E36C91"/>
    <w:rsid w:val="00E3702E"/>
    <w:rsid w:val="00E376C8"/>
    <w:rsid w:val="00E40632"/>
    <w:rsid w:val="00E409CC"/>
    <w:rsid w:val="00E40BEB"/>
    <w:rsid w:val="00E40BF9"/>
    <w:rsid w:val="00E410E3"/>
    <w:rsid w:val="00E415BB"/>
    <w:rsid w:val="00E4176C"/>
    <w:rsid w:val="00E41D76"/>
    <w:rsid w:val="00E422BF"/>
    <w:rsid w:val="00E4286A"/>
    <w:rsid w:val="00E42A34"/>
    <w:rsid w:val="00E42B1C"/>
    <w:rsid w:val="00E43B81"/>
    <w:rsid w:val="00E43C41"/>
    <w:rsid w:val="00E43CCB"/>
    <w:rsid w:val="00E43E37"/>
    <w:rsid w:val="00E446E1"/>
    <w:rsid w:val="00E44757"/>
    <w:rsid w:val="00E448A0"/>
    <w:rsid w:val="00E44976"/>
    <w:rsid w:val="00E449E9"/>
    <w:rsid w:val="00E449FD"/>
    <w:rsid w:val="00E44F7C"/>
    <w:rsid w:val="00E452AC"/>
    <w:rsid w:val="00E45EAD"/>
    <w:rsid w:val="00E46261"/>
    <w:rsid w:val="00E46A63"/>
    <w:rsid w:val="00E46C30"/>
    <w:rsid w:val="00E46D73"/>
    <w:rsid w:val="00E46E24"/>
    <w:rsid w:val="00E46FD5"/>
    <w:rsid w:val="00E4701B"/>
    <w:rsid w:val="00E4740C"/>
    <w:rsid w:val="00E47A5D"/>
    <w:rsid w:val="00E50141"/>
    <w:rsid w:val="00E50696"/>
    <w:rsid w:val="00E50A4B"/>
    <w:rsid w:val="00E514AA"/>
    <w:rsid w:val="00E5163E"/>
    <w:rsid w:val="00E51784"/>
    <w:rsid w:val="00E51A68"/>
    <w:rsid w:val="00E51EE9"/>
    <w:rsid w:val="00E52886"/>
    <w:rsid w:val="00E537ED"/>
    <w:rsid w:val="00E540A5"/>
    <w:rsid w:val="00E543BA"/>
    <w:rsid w:val="00E54663"/>
    <w:rsid w:val="00E549AE"/>
    <w:rsid w:val="00E55086"/>
    <w:rsid w:val="00E552B4"/>
    <w:rsid w:val="00E552E9"/>
    <w:rsid w:val="00E55752"/>
    <w:rsid w:val="00E55D06"/>
    <w:rsid w:val="00E561C3"/>
    <w:rsid w:val="00E564E0"/>
    <w:rsid w:val="00E5659B"/>
    <w:rsid w:val="00E57111"/>
    <w:rsid w:val="00E57537"/>
    <w:rsid w:val="00E57B55"/>
    <w:rsid w:val="00E600F8"/>
    <w:rsid w:val="00E606CD"/>
    <w:rsid w:val="00E60738"/>
    <w:rsid w:val="00E60B51"/>
    <w:rsid w:val="00E60FF4"/>
    <w:rsid w:val="00E610E1"/>
    <w:rsid w:val="00E6195A"/>
    <w:rsid w:val="00E62378"/>
    <w:rsid w:val="00E62B00"/>
    <w:rsid w:val="00E62BAD"/>
    <w:rsid w:val="00E634F3"/>
    <w:rsid w:val="00E6353E"/>
    <w:rsid w:val="00E64607"/>
    <w:rsid w:val="00E64BED"/>
    <w:rsid w:val="00E6548B"/>
    <w:rsid w:val="00E655B0"/>
    <w:rsid w:val="00E662FC"/>
    <w:rsid w:val="00E66716"/>
    <w:rsid w:val="00E66C14"/>
    <w:rsid w:val="00E66C45"/>
    <w:rsid w:val="00E67203"/>
    <w:rsid w:val="00E67AA3"/>
    <w:rsid w:val="00E67C4B"/>
    <w:rsid w:val="00E67DB3"/>
    <w:rsid w:val="00E67E00"/>
    <w:rsid w:val="00E70B90"/>
    <w:rsid w:val="00E71660"/>
    <w:rsid w:val="00E71818"/>
    <w:rsid w:val="00E72048"/>
    <w:rsid w:val="00E7212D"/>
    <w:rsid w:val="00E72A59"/>
    <w:rsid w:val="00E72D84"/>
    <w:rsid w:val="00E735B3"/>
    <w:rsid w:val="00E73B93"/>
    <w:rsid w:val="00E740E2"/>
    <w:rsid w:val="00E742DD"/>
    <w:rsid w:val="00E749B0"/>
    <w:rsid w:val="00E74F53"/>
    <w:rsid w:val="00E74FE1"/>
    <w:rsid w:val="00E752DB"/>
    <w:rsid w:val="00E7547F"/>
    <w:rsid w:val="00E75BA4"/>
    <w:rsid w:val="00E763B3"/>
    <w:rsid w:val="00E76554"/>
    <w:rsid w:val="00E76629"/>
    <w:rsid w:val="00E76992"/>
    <w:rsid w:val="00E76CB5"/>
    <w:rsid w:val="00E77B31"/>
    <w:rsid w:val="00E80221"/>
    <w:rsid w:val="00E80530"/>
    <w:rsid w:val="00E8069F"/>
    <w:rsid w:val="00E80CF7"/>
    <w:rsid w:val="00E80FE6"/>
    <w:rsid w:val="00E81AC5"/>
    <w:rsid w:val="00E823A2"/>
    <w:rsid w:val="00E82B1A"/>
    <w:rsid w:val="00E82E72"/>
    <w:rsid w:val="00E83632"/>
    <w:rsid w:val="00E8441C"/>
    <w:rsid w:val="00E84E47"/>
    <w:rsid w:val="00E85046"/>
    <w:rsid w:val="00E86BD7"/>
    <w:rsid w:val="00E871C2"/>
    <w:rsid w:val="00E87D78"/>
    <w:rsid w:val="00E9060F"/>
    <w:rsid w:val="00E90933"/>
    <w:rsid w:val="00E90F88"/>
    <w:rsid w:val="00E914E6"/>
    <w:rsid w:val="00E917DA"/>
    <w:rsid w:val="00E923B2"/>
    <w:rsid w:val="00E9273F"/>
    <w:rsid w:val="00E92874"/>
    <w:rsid w:val="00E932F4"/>
    <w:rsid w:val="00E93B95"/>
    <w:rsid w:val="00E93F8E"/>
    <w:rsid w:val="00E94235"/>
    <w:rsid w:val="00E94752"/>
    <w:rsid w:val="00E94C3F"/>
    <w:rsid w:val="00E94E4F"/>
    <w:rsid w:val="00E950BC"/>
    <w:rsid w:val="00E952A9"/>
    <w:rsid w:val="00E9556E"/>
    <w:rsid w:val="00E95DD0"/>
    <w:rsid w:val="00E95E1A"/>
    <w:rsid w:val="00E96160"/>
    <w:rsid w:val="00E96490"/>
    <w:rsid w:val="00E965F6"/>
    <w:rsid w:val="00E9699B"/>
    <w:rsid w:val="00E96B54"/>
    <w:rsid w:val="00E97014"/>
    <w:rsid w:val="00E97448"/>
    <w:rsid w:val="00E9779E"/>
    <w:rsid w:val="00EA05E8"/>
    <w:rsid w:val="00EA0830"/>
    <w:rsid w:val="00EA0B11"/>
    <w:rsid w:val="00EA0BEC"/>
    <w:rsid w:val="00EA0C9C"/>
    <w:rsid w:val="00EA0F0B"/>
    <w:rsid w:val="00EA12CD"/>
    <w:rsid w:val="00EA1959"/>
    <w:rsid w:val="00EA197B"/>
    <w:rsid w:val="00EA1C51"/>
    <w:rsid w:val="00EA1F34"/>
    <w:rsid w:val="00EA20C9"/>
    <w:rsid w:val="00EA25D6"/>
    <w:rsid w:val="00EA2B64"/>
    <w:rsid w:val="00EA3292"/>
    <w:rsid w:val="00EA3AE7"/>
    <w:rsid w:val="00EA3CFA"/>
    <w:rsid w:val="00EA4339"/>
    <w:rsid w:val="00EA47E2"/>
    <w:rsid w:val="00EA5941"/>
    <w:rsid w:val="00EA5B5E"/>
    <w:rsid w:val="00EA5C0A"/>
    <w:rsid w:val="00EA5F72"/>
    <w:rsid w:val="00EA638B"/>
    <w:rsid w:val="00EA63F4"/>
    <w:rsid w:val="00EA644F"/>
    <w:rsid w:val="00EA67FA"/>
    <w:rsid w:val="00EA7011"/>
    <w:rsid w:val="00EA72F7"/>
    <w:rsid w:val="00EA7BA3"/>
    <w:rsid w:val="00EB0B4B"/>
    <w:rsid w:val="00EB18C8"/>
    <w:rsid w:val="00EB1908"/>
    <w:rsid w:val="00EB194C"/>
    <w:rsid w:val="00EB24A4"/>
    <w:rsid w:val="00EB2AB3"/>
    <w:rsid w:val="00EB2CC0"/>
    <w:rsid w:val="00EB3174"/>
    <w:rsid w:val="00EB32D6"/>
    <w:rsid w:val="00EB3305"/>
    <w:rsid w:val="00EB33D8"/>
    <w:rsid w:val="00EB350C"/>
    <w:rsid w:val="00EB3DF6"/>
    <w:rsid w:val="00EB3F85"/>
    <w:rsid w:val="00EB478D"/>
    <w:rsid w:val="00EB5DCD"/>
    <w:rsid w:val="00EB62F4"/>
    <w:rsid w:val="00EB645D"/>
    <w:rsid w:val="00EC0646"/>
    <w:rsid w:val="00EC088E"/>
    <w:rsid w:val="00EC09E9"/>
    <w:rsid w:val="00EC0B29"/>
    <w:rsid w:val="00EC0C4C"/>
    <w:rsid w:val="00EC13B6"/>
    <w:rsid w:val="00EC21A1"/>
    <w:rsid w:val="00EC2687"/>
    <w:rsid w:val="00EC286A"/>
    <w:rsid w:val="00EC3286"/>
    <w:rsid w:val="00EC3439"/>
    <w:rsid w:val="00EC36DD"/>
    <w:rsid w:val="00EC4882"/>
    <w:rsid w:val="00EC4F30"/>
    <w:rsid w:val="00EC4F45"/>
    <w:rsid w:val="00EC5058"/>
    <w:rsid w:val="00EC527A"/>
    <w:rsid w:val="00EC55A4"/>
    <w:rsid w:val="00EC60DA"/>
    <w:rsid w:val="00EC631D"/>
    <w:rsid w:val="00EC6E28"/>
    <w:rsid w:val="00EC7A5E"/>
    <w:rsid w:val="00EC7EFC"/>
    <w:rsid w:val="00ED05E5"/>
    <w:rsid w:val="00ED060E"/>
    <w:rsid w:val="00ED1106"/>
    <w:rsid w:val="00ED2024"/>
    <w:rsid w:val="00ED30BE"/>
    <w:rsid w:val="00ED3204"/>
    <w:rsid w:val="00ED3480"/>
    <w:rsid w:val="00ED420A"/>
    <w:rsid w:val="00ED4507"/>
    <w:rsid w:val="00ED4513"/>
    <w:rsid w:val="00ED4F62"/>
    <w:rsid w:val="00ED518F"/>
    <w:rsid w:val="00ED5647"/>
    <w:rsid w:val="00ED5A02"/>
    <w:rsid w:val="00ED5B85"/>
    <w:rsid w:val="00ED5F32"/>
    <w:rsid w:val="00ED67A5"/>
    <w:rsid w:val="00ED6944"/>
    <w:rsid w:val="00ED6D5C"/>
    <w:rsid w:val="00ED73E8"/>
    <w:rsid w:val="00ED756C"/>
    <w:rsid w:val="00ED757C"/>
    <w:rsid w:val="00ED75D2"/>
    <w:rsid w:val="00ED77CA"/>
    <w:rsid w:val="00ED7BA2"/>
    <w:rsid w:val="00EE07BA"/>
    <w:rsid w:val="00EE091D"/>
    <w:rsid w:val="00EE105A"/>
    <w:rsid w:val="00EE1094"/>
    <w:rsid w:val="00EE11BB"/>
    <w:rsid w:val="00EE1BAD"/>
    <w:rsid w:val="00EE2220"/>
    <w:rsid w:val="00EE25F0"/>
    <w:rsid w:val="00EE2F2E"/>
    <w:rsid w:val="00EE310A"/>
    <w:rsid w:val="00EE34F5"/>
    <w:rsid w:val="00EE3FA4"/>
    <w:rsid w:val="00EE44B8"/>
    <w:rsid w:val="00EE49FD"/>
    <w:rsid w:val="00EE5294"/>
    <w:rsid w:val="00EE58D6"/>
    <w:rsid w:val="00EE5A68"/>
    <w:rsid w:val="00EE5F5F"/>
    <w:rsid w:val="00EE602E"/>
    <w:rsid w:val="00EE714F"/>
    <w:rsid w:val="00EE73AD"/>
    <w:rsid w:val="00EE7700"/>
    <w:rsid w:val="00EE7750"/>
    <w:rsid w:val="00EF0908"/>
    <w:rsid w:val="00EF09ED"/>
    <w:rsid w:val="00EF0EE2"/>
    <w:rsid w:val="00EF10CB"/>
    <w:rsid w:val="00EF16F3"/>
    <w:rsid w:val="00EF1F87"/>
    <w:rsid w:val="00EF28E8"/>
    <w:rsid w:val="00EF2B20"/>
    <w:rsid w:val="00EF2BFD"/>
    <w:rsid w:val="00EF2EE0"/>
    <w:rsid w:val="00EF3178"/>
    <w:rsid w:val="00EF33C9"/>
    <w:rsid w:val="00EF38DD"/>
    <w:rsid w:val="00EF3E79"/>
    <w:rsid w:val="00EF4042"/>
    <w:rsid w:val="00EF40AC"/>
    <w:rsid w:val="00EF4372"/>
    <w:rsid w:val="00EF43B7"/>
    <w:rsid w:val="00EF45EA"/>
    <w:rsid w:val="00EF5846"/>
    <w:rsid w:val="00EF58FC"/>
    <w:rsid w:val="00EF6EFD"/>
    <w:rsid w:val="00EF746A"/>
    <w:rsid w:val="00EF799E"/>
    <w:rsid w:val="00EF7BB9"/>
    <w:rsid w:val="00F00032"/>
    <w:rsid w:val="00F008FD"/>
    <w:rsid w:val="00F00B77"/>
    <w:rsid w:val="00F01045"/>
    <w:rsid w:val="00F01779"/>
    <w:rsid w:val="00F017D4"/>
    <w:rsid w:val="00F017FE"/>
    <w:rsid w:val="00F0260A"/>
    <w:rsid w:val="00F0277D"/>
    <w:rsid w:val="00F02DB7"/>
    <w:rsid w:val="00F039BE"/>
    <w:rsid w:val="00F03A95"/>
    <w:rsid w:val="00F03B69"/>
    <w:rsid w:val="00F03CB0"/>
    <w:rsid w:val="00F0419F"/>
    <w:rsid w:val="00F04321"/>
    <w:rsid w:val="00F044E9"/>
    <w:rsid w:val="00F04BC2"/>
    <w:rsid w:val="00F04D7E"/>
    <w:rsid w:val="00F0546F"/>
    <w:rsid w:val="00F05757"/>
    <w:rsid w:val="00F059CA"/>
    <w:rsid w:val="00F05DEE"/>
    <w:rsid w:val="00F05E76"/>
    <w:rsid w:val="00F06150"/>
    <w:rsid w:val="00F065A0"/>
    <w:rsid w:val="00F06B2E"/>
    <w:rsid w:val="00F103A3"/>
    <w:rsid w:val="00F109CB"/>
    <w:rsid w:val="00F11664"/>
    <w:rsid w:val="00F1167E"/>
    <w:rsid w:val="00F11B40"/>
    <w:rsid w:val="00F12409"/>
    <w:rsid w:val="00F1285A"/>
    <w:rsid w:val="00F13DF1"/>
    <w:rsid w:val="00F1527E"/>
    <w:rsid w:val="00F15488"/>
    <w:rsid w:val="00F15588"/>
    <w:rsid w:val="00F1587D"/>
    <w:rsid w:val="00F168FE"/>
    <w:rsid w:val="00F16E19"/>
    <w:rsid w:val="00F16E52"/>
    <w:rsid w:val="00F16FE4"/>
    <w:rsid w:val="00F1716C"/>
    <w:rsid w:val="00F172A4"/>
    <w:rsid w:val="00F17673"/>
    <w:rsid w:val="00F17696"/>
    <w:rsid w:val="00F20E12"/>
    <w:rsid w:val="00F20E5A"/>
    <w:rsid w:val="00F21191"/>
    <w:rsid w:val="00F22115"/>
    <w:rsid w:val="00F222C8"/>
    <w:rsid w:val="00F22408"/>
    <w:rsid w:val="00F2273C"/>
    <w:rsid w:val="00F2292C"/>
    <w:rsid w:val="00F240EB"/>
    <w:rsid w:val="00F242D3"/>
    <w:rsid w:val="00F243F9"/>
    <w:rsid w:val="00F24553"/>
    <w:rsid w:val="00F25007"/>
    <w:rsid w:val="00F254C5"/>
    <w:rsid w:val="00F25A6D"/>
    <w:rsid w:val="00F2605A"/>
    <w:rsid w:val="00F265DC"/>
    <w:rsid w:val="00F26A28"/>
    <w:rsid w:val="00F26D72"/>
    <w:rsid w:val="00F276F0"/>
    <w:rsid w:val="00F278ED"/>
    <w:rsid w:val="00F27AF7"/>
    <w:rsid w:val="00F27B52"/>
    <w:rsid w:val="00F27B76"/>
    <w:rsid w:val="00F27B9A"/>
    <w:rsid w:val="00F30768"/>
    <w:rsid w:val="00F30E26"/>
    <w:rsid w:val="00F30EE7"/>
    <w:rsid w:val="00F312F1"/>
    <w:rsid w:val="00F32217"/>
    <w:rsid w:val="00F32546"/>
    <w:rsid w:val="00F32FF9"/>
    <w:rsid w:val="00F3320B"/>
    <w:rsid w:val="00F333B5"/>
    <w:rsid w:val="00F3347D"/>
    <w:rsid w:val="00F33886"/>
    <w:rsid w:val="00F33EED"/>
    <w:rsid w:val="00F342E6"/>
    <w:rsid w:val="00F3475F"/>
    <w:rsid w:val="00F3483E"/>
    <w:rsid w:val="00F3510A"/>
    <w:rsid w:val="00F35859"/>
    <w:rsid w:val="00F358AE"/>
    <w:rsid w:val="00F360A8"/>
    <w:rsid w:val="00F36800"/>
    <w:rsid w:val="00F36A5E"/>
    <w:rsid w:val="00F36A90"/>
    <w:rsid w:val="00F3722A"/>
    <w:rsid w:val="00F37FEF"/>
    <w:rsid w:val="00F403EB"/>
    <w:rsid w:val="00F40ABF"/>
    <w:rsid w:val="00F41243"/>
    <w:rsid w:val="00F415A3"/>
    <w:rsid w:val="00F4166F"/>
    <w:rsid w:val="00F41DEA"/>
    <w:rsid w:val="00F41EDE"/>
    <w:rsid w:val="00F4204E"/>
    <w:rsid w:val="00F4277C"/>
    <w:rsid w:val="00F42FEC"/>
    <w:rsid w:val="00F43302"/>
    <w:rsid w:val="00F441DB"/>
    <w:rsid w:val="00F444BE"/>
    <w:rsid w:val="00F4512A"/>
    <w:rsid w:val="00F45B61"/>
    <w:rsid w:val="00F469B5"/>
    <w:rsid w:val="00F46D82"/>
    <w:rsid w:val="00F473B7"/>
    <w:rsid w:val="00F476BE"/>
    <w:rsid w:val="00F47A59"/>
    <w:rsid w:val="00F47B4F"/>
    <w:rsid w:val="00F47DDA"/>
    <w:rsid w:val="00F5022A"/>
    <w:rsid w:val="00F505FA"/>
    <w:rsid w:val="00F50E3E"/>
    <w:rsid w:val="00F51C0F"/>
    <w:rsid w:val="00F51E53"/>
    <w:rsid w:val="00F5205B"/>
    <w:rsid w:val="00F52304"/>
    <w:rsid w:val="00F52C83"/>
    <w:rsid w:val="00F52D2E"/>
    <w:rsid w:val="00F52E2D"/>
    <w:rsid w:val="00F5332F"/>
    <w:rsid w:val="00F5354E"/>
    <w:rsid w:val="00F53AC7"/>
    <w:rsid w:val="00F53B7B"/>
    <w:rsid w:val="00F556F9"/>
    <w:rsid w:val="00F55BAD"/>
    <w:rsid w:val="00F55EAD"/>
    <w:rsid w:val="00F564AD"/>
    <w:rsid w:val="00F564F2"/>
    <w:rsid w:val="00F5682F"/>
    <w:rsid w:val="00F569DB"/>
    <w:rsid w:val="00F56A49"/>
    <w:rsid w:val="00F56BD0"/>
    <w:rsid w:val="00F56DAD"/>
    <w:rsid w:val="00F572DA"/>
    <w:rsid w:val="00F57523"/>
    <w:rsid w:val="00F57831"/>
    <w:rsid w:val="00F57FB1"/>
    <w:rsid w:val="00F6071C"/>
    <w:rsid w:val="00F60C22"/>
    <w:rsid w:val="00F61DCE"/>
    <w:rsid w:val="00F62933"/>
    <w:rsid w:val="00F6337C"/>
    <w:rsid w:val="00F633D6"/>
    <w:rsid w:val="00F63921"/>
    <w:rsid w:val="00F64123"/>
    <w:rsid w:val="00F6489A"/>
    <w:rsid w:val="00F649C1"/>
    <w:rsid w:val="00F64C11"/>
    <w:rsid w:val="00F64F18"/>
    <w:rsid w:val="00F6526D"/>
    <w:rsid w:val="00F65733"/>
    <w:rsid w:val="00F65D6B"/>
    <w:rsid w:val="00F65F14"/>
    <w:rsid w:val="00F666C9"/>
    <w:rsid w:val="00F67347"/>
    <w:rsid w:val="00F67609"/>
    <w:rsid w:val="00F676EA"/>
    <w:rsid w:val="00F67E41"/>
    <w:rsid w:val="00F70025"/>
    <w:rsid w:val="00F700D9"/>
    <w:rsid w:val="00F71770"/>
    <w:rsid w:val="00F71A35"/>
    <w:rsid w:val="00F72156"/>
    <w:rsid w:val="00F722D4"/>
    <w:rsid w:val="00F72CE3"/>
    <w:rsid w:val="00F735D4"/>
    <w:rsid w:val="00F73D0D"/>
    <w:rsid w:val="00F74A24"/>
    <w:rsid w:val="00F75166"/>
    <w:rsid w:val="00F7549F"/>
    <w:rsid w:val="00F754A0"/>
    <w:rsid w:val="00F7554E"/>
    <w:rsid w:val="00F7559F"/>
    <w:rsid w:val="00F756D3"/>
    <w:rsid w:val="00F756FF"/>
    <w:rsid w:val="00F75A60"/>
    <w:rsid w:val="00F75B02"/>
    <w:rsid w:val="00F7612B"/>
    <w:rsid w:val="00F764E4"/>
    <w:rsid w:val="00F76503"/>
    <w:rsid w:val="00F76B45"/>
    <w:rsid w:val="00F76C2B"/>
    <w:rsid w:val="00F76F8E"/>
    <w:rsid w:val="00F7704C"/>
    <w:rsid w:val="00F77472"/>
    <w:rsid w:val="00F779FE"/>
    <w:rsid w:val="00F804D3"/>
    <w:rsid w:val="00F8065E"/>
    <w:rsid w:val="00F8075B"/>
    <w:rsid w:val="00F80928"/>
    <w:rsid w:val="00F818AC"/>
    <w:rsid w:val="00F8190A"/>
    <w:rsid w:val="00F81B7C"/>
    <w:rsid w:val="00F81DDD"/>
    <w:rsid w:val="00F82166"/>
    <w:rsid w:val="00F825D7"/>
    <w:rsid w:val="00F830EB"/>
    <w:rsid w:val="00F831B6"/>
    <w:rsid w:val="00F83BF8"/>
    <w:rsid w:val="00F83CB8"/>
    <w:rsid w:val="00F83F30"/>
    <w:rsid w:val="00F840AA"/>
    <w:rsid w:val="00F8467C"/>
    <w:rsid w:val="00F84B46"/>
    <w:rsid w:val="00F858F0"/>
    <w:rsid w:val="00F859C4"/>
    <w:rsid w:val="00F85A5C"/>
    <w:rsid w:val="00F864DF"/>
    <w:rsid w:val="00F87809"/>
    <w:rsid w:val="00F87847"/>
    <w:rsid w:val="00F87A5A"/>
    <w:rsid w:val="00F87CC8"/>
    <w:rsid w:val="00F87CDA"/>
    <w:rsid w:val="00F87EB7"/>
    <w:rsid w:val="00F90195"/>
    <w:rsid w:val="00F9024B"/>
    <w:rsid w:val="00F90577"/>
    <w:rsid w:val="00F90CBF"/>
    <w:rsid w:val="00F90F28"/>
    <w:rsid w:val="00F9274D"/>
    <w:rsid w:val="00F93106"/>
    <w:rsid w:val="00F93111"/>
    <w:rsid w:val="00F9328B"/>
    <w:rsid w:val="00F934F9"/>
    <w:rsid w:val="00F93567"/>
    <w:rsid w:val="00F93876"/>
    <w:rsid w:val="00F93984"/>
    <w:rsid w:val="00F93A2C"/>
    <w:rsid w:val="00F93C50"/>
    <w:rsid w:val="00F93D46"/>
    <w:rsid w:val="00F9454E"/>
    <w:rsid w:val="00F94BDB"/>
    <w:rsid w:val="00F9646F"/>
    <w:rsid w:val="00F96AF0"/>
    <w:rsid w:val="00F96DF2"/>
    <w:rsid w:val="00F97176"/>
    <w:rsid w:val="00F97747"/>
    <w:rsid w:val="00F97751"/>
    <w:rsid w:val="00FA0595"/>
    <w:rsid w:val="00FA0609"/>
    <w:rsid w:val="00FA06DC"/>
    <w:rsid w:val="00FA0854"/>
    <w:rsid w:val="00FA113D"/>
    <w:rsid w:val="00FA1473"/>
    <w:rsid w:val="00FA1CDA"/>
    <w:rsid w:val="00FA25C9"/>
    <w:rsid w:val="00FA3C28"/>
    <w:rsid w:val="00FA461C"/>
    <w:rsid w:val="00FA4E24"/>
    <w:rsid w:val="00FA5311"/>
    <w:rsid w:val="00FA543C"/>
    <w:rsid w:val="00FA565E"/>
    <w:rsid w:val="00FA5A52"/>
    <w:rsid w:val="00FA5CE4"/>
    <w:rsid w:val="00FA62CA"/>
    <w:rsid w:val="00FA692C"/>
    <w:rsid w:val="00FA6BEC"/>
    <w:rsid w:val="00FA6EC1"/>
    <w:rsid w:val="00FA6F56"/>
    <w:rsid w:val="00FA6FFD"/>
    <w:rsid w:val="00FA7D9C"/>
    <w:rsid w:val="00FA7F6C"/>
    <w:rsid w:val="00FB0506"/>
    <w:rsid w:val="00FB0B70"/>
    <w:rsid w:val="00FB124D"/>
    <w:rsid w:val="00FB133C"/>
    <w:rsid w:val="00FB2190"/>
    <w:rsid w:val="00FB229F"/>
    <w:rsid w:val="00FB2524"/>
    <w:rsid w:val="00FB3CFC"/>
    <w:rsid w:val="00FB4A3A"/>
    <w:rsid w:val="00FB4F38"/>
    <w:rsid w:val="00FB59FF"/>
    <w:rsid w:val="00FB5EDD"/>
    <w:rsid w:val="00FB5F34"/>
    <w:rsid w:val="00FB64EB"/>
    <w:rsid w:val="00FB67F6"/>
    <w:rsid w:val="00FB6967"/>
    <w:rsid w:val="00FB711E"/>
    <w:rsid w:val="00FB7BB6"/>
    <w:rsid w:val="00FB7C16"/>
    <w:rsid w:val="00FB7C73"/>
    <w:rsid w:val="00FB7C96"/>
    <w:rsid w:val="00FC082E"/>
    <w:rsid w:val="00FC0EC4"/>
    <w:rsid w:val="00FC2C68"/>
    <w:rsid w:val="00FC3616"/>
    <w:rsid w:val="00FC37E2"/>
    <w:rsid w:val="00FC3F95"/>
    <w:rsid w:val="00FC4E90"/>
    <w:rsid w:val="00FC5449"/>
    <w:rsid w:val="00FC5D15"/>
    <w:rsid w:val="00FC64FE"/>
    <w:rsid w:val="00FC6506"/>
    <w:rsid w:val="00FC6715"/>
    <w:rsid w:val="00FC69B3"/>
    <w:rsid w:val="00FC7099"/>
    <w:rsid w:val="00FC70E8"/>
    <w:rsid w:val="00FC7349"/>
    <w:rsid w:val="00FC7452"/>
    <w:rsid w:val="00FD0065"/>
    <w:rsid w:val="00FD080C"/>
    <w:rsid w:val="00FD08BD"/>
    <w:rsid w:val="00FD0AEC"/>
    <w:rsid w:val="00FD0D64"/>
    <w:rsid w:val="00FD0E53"/>
    <w:rsid w:val="00FD13D0"/>
    <w:rsid w:val="00FD1407"/>
    <w:rsid w:val="00FD1818"/>
    <w:rsid w:val="00FD1B81"/>
    <w:rsid w:val="00FD1E7F"/>
    <w:rsid w:val="00FD1FF4"/>
    <w:rsid w:val="00FD2349"/>
    <w:rsid w:val="00FD2522"/>
    <w:rsid w:val="00FD2CB9"/>
    <w:rsid w:val="00FD2EA7"/>
    <w:rsid w:val="00FD37A2"/>
    <w:rsid w:val="00FD37F6"/>
    <w:rsid w:val="00FD4A00"/>
    <w:rsid w:val="00FD4A15"/>
    <w:rsid w:val="00FD5333"/>
    <w:rsid w:val="00FD5841"/>
    <w:rsid w:val="00FD5E23"/>
    <w:rsid w:val="00FD5FDD"/>
    <w:rsid w:val="00FD61AF"/>
    <w:rsid w:val="00FD68FB"/>
    <w:rsid w:val="00FD6C38"/>
    <w:rsid w:val="00FD6D9A"/>
    <w:rsid w:val="00FD71CF"/>
    <w:rsid w:val="00FD7450"/>
    <w:rsid w:val="00FE0048"/>
    <w:rsid w:val="00FE0786"/>
    <w:rsid w:val="00FE0C0E"/>
    <w:rsid w:val="00FE1293"/>
    <w:rsid w:val="00FE1EEF"/>
    <w:rsid w:val="00FE23AB"/>
    <w:rsid w:val="00FE246C"/>
    <w:rsid w:val="00FE299D"/>
    <w:rsid w:val="00FE2ED5"/>
    <w:rsid w:val="00FE3830"/>
    <w:rsid w:val="00FE39D7"/>
    <w:rsid w:val="00FE3C8E"/>
    <w:rsid w:val="00FE40F4"/>
    <w:rsid w:val="00FE425C"/>
    <w:rsid w:val="00FE4663"/>
    <w:rsid w:val="00FE5F16"/>
    <w:rsid w:val="00FE609B"/>
    <w:rsid w:val="00FE65B0"/>
    <w:rsid w:val="00FE6AD7"/>
    <w:rsid w:val="00FE6E7D"/>
    <w:rsid w:val="00FE6F92"/>
    <w:rsid w:val="00FE7119"/>
    <w:rsid w:val="00FE71F3"/>
    <w:rsid w:val="00FE7364"/>
    <w:rsid w:val="00FE77B5"/>
    <w:rsid w:val="00FE7BEA"/>
    <w:rsid w:val="00FE7F0F"/>
    <w:rsid w:val="00FF040E"/>
    <w:rsid w:val="00FF0ADE"/>
    <w:rsid w:val="00FF0BB9"/>
    <w:rsid w:val="00FF155B"/>
    <w:rsid w:val="00FF1904"/>
    <w:rsid w:val="00FF23A1"/>
    <w:rsid w:val="00FF246D"/>
    <w:rsid w:val="00FF265A"/>
    <w:rsid w:val="00FF2D28"/>
    <w:rsid w:val="00FF2E7C"/>
    <w:rsid w:val="00FF3130"/>
    <w:rsid w:val="00FF3B09"/>
    <w:rsid w:val="00FF4475"/>
    <w:rsid w:val="00FF52BE"/>
    <w:rsid w:val="00FF627A"/>
    <w:rsid w:val="00FF6781"/>
    <w:rsid w:val="00FF6AB4"/>
    <w:rsid w:val="00FF6AFC"/>
    <w:rsid w:val="00FF76EF"/>
    <w:rsid w:val="00FF7C63"/>
    <w:rsid w:val="00FF7EB6"/>
    <w:rsid w:val="058E4AFE"/>
    <w:rsid w:val="067D5942"/>
    <w:rsid w:val="098433A4"/>
    <w:rsid w:val="0BEB5526"/>
    <w:rsid w:val="0C6B5FB1"/>
    <w:rsid w:val="0F5D487F"/>
    <w:rsid w:val="12205FC9"/>
    <w:rsid w:val="122C6B4D"/>
    <w:rsid w:val="137F17E1"/>
    <w:rsid w:val="158A0564"/>
    <w:rsid w:val="173D342E"/>
    <w:rsid w:val="18DC3B2F"/>
    <w:rsid w:val="1A7F4362"/>
    <w:rsid w:val="1B8B3BB6"/>
    <w:rsid w:val="1BA00B99"/>
    <w:rsid w:val="1C9D2592"/>
    <w:rsid w:val="1D1D63D2"/>
    <w:rsid w:val="1E0508CE"/>
    <w:rsid w:val="1EAE3D67"/>
    <w:rsid w:val="21361A0A"/>
    <w:rsid w:val="229067C3"/>
    <w:rsid w:val="23077707"/>
    <w:rsid w:val="28831ECD"/>
    <w:rsid w:val="29AB2321"/>
    <w:rsid w:val="2AA64763"/>
    <w:rsid w:val="2C1646E5"/>
    <w:rsid w:val="2CCE69F7"/>
    <w:rsid w:val="302D18DD"/>
    <w:rsid w:val="313B47A9"/>
    <w:rsid w:val="31990A1C"/>
    <w:rsid w:val="33CE6D47"/>
    <w:rsid w:val="34E500D8"/>
    <w:rsid w:val="37AF728D"/>
    <w:rsid w:val="395E6FAD"/>
    <w:rsid w:val="3B977B51"/>
    <w:rsid w:val="3C1D6ACA"/>
    <w:rsid w:val="3EA2689F"/>
    <w:rsid w:val="3F3E1D24"/>
    <w:rsid w:val="42B47F7E"/>
    <w:rsid w:val="43E94269"/>
    <w:rsid w:val="43F33821"/>
    <w:rsid w:val="46952C11"/>
    <w:rsid w:val="4B675123"/>
    <w:rsid w:val="4C490DA8"/>
    <w:rsid w:val="500C0490"/>
    <w:rsid w:val="50957418"/>
    <w:rsid w:val="52286E20"/>
    <w:rsid w:val="528775F5"/>
    <w:rsid w:val="53653760"/>
    <w:rsid w:val="55863375"/>
    <w:rsid w:val="59083D57"/>
    <w:rsid w:val="5B6D7E0E"/>
    <w:rsid w:val="5CC069BB"/>
    <w:rsid w:val="5DD4136B"/>
    <w:rsid w:val="5EB07C43"/>
    <w:rsid w:val="646A0F4B"/>
    <w:rsid w:val="65365C86"/>
    <w:rsid w:val="68953223"/>
    <w:rsid w:val="6B1429BD"/>
    <w:rsid w:val="6B5F36B6"/>
    <w:rsid w:val="6E5A7566"/>
    <w:rsid w:val="6FC06108"/>
    <w:rsid w:val="742D3EE0"/>
    <w:rsid w:val="783F2591"/>
    <w:rsid w:val="78E77BA5"/>
    <w:rsid w:val="7A492DB0"/>
    <w:rsid w:val="7B8D2142"/>
    <w:rsid w:val="7C2B4237"/>
    <w:rsid w:val="7D825CD7"/>
    <w:rsid w:val="7F2B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364"/>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48"/>
    <w:qFormat/>
    <w:uiPriority w:val="9"/>
    <w:pPr>
      <w:keepNext/>
      <w:jc w:val="center"/>
      <w:outlineLvl w:val="1"/>
    </w:pPr>
    <w:rPr>
      <w:rFonts w:ascii=".VnTimeH" w:hAnsi=".VnTimeH"/>
      <w:b/>
      <w:sz w:val="30"/>
      <w:szCs w:val="20"/>
      <w:lang w:val="zh-CN" w:eastAsia="zh-CN"/>
    </w:rPr>
  </w:style>
  <w:style w:type="paragraph" w:styleId="4">
    <w:name w:val="heading 3"/>
    <w:basedOn w:val="1"/>
    <w:next w:val="1"/>
    <w:link w:val="49"/>
    <w:qFormat/>
    <w:uiPriority w:val="9"/>
    <w:pPr>
      <w:keepNext/>
      <w:jc w:val="center"/>
      <w:outlineLvl w:val="2"/>
    </w:pPr>
    <w:rPr>
      <w:rFonts w:ascii=".VnTime" w:hAnsi=".VnTime"/>
      <w:b/>
      <w:sz w:val="28"/>
      <w:szCs w:val="20"/>
      <w:lang w:val="zh-CN" w:eastAsia="zh-CN"/>
    </w:rPr>
  </w:style>
  <w:style w:type="paragraph" w:styleId="5">
    <w:name w:val="heading 4"/>
    <w:basedOn w:val="1"/>
    <w:next w:val="1"/>
    <w:link w:val="50"/>
    <w:qFormat/>
    <w:uiPriority w:val="9"/>
    <w:pPr>
      <w:keepNext/>
      <w:jc w:val="center"/>
      <w:outlineLvl w:val="3"/>
    </w:pPr>
    <w:rPr>
      <w:rFonts w:ascii=".VnTime" w:hAnsi=".VnTime"/>
      <w:b/>
      <w:szCs w:val="20"/>
      <w:lang w:val="zh-CN" w:eastAsia="zh-CN"/>
    </w:rPr>
  </w:style>
  <w:style w:type="paragraph" w:styleId="6">
    <w:name w:val="heading 5"/>
    <w:basedOn w:val="1"/>
    <w:next w:val="1"/>
    <w:link w:val="51"/>
    <w:qFormat/>
    <w:uiPriority w:val="9"/>
    <w:pPr>
      <w:spacing w:before="240" w:after="60"/>
      <w:outlineLvl w:val="4"/>
    </w:pPr>
    <w:rPr>
      <w:b/>
      <w:bCs/>
      <w:i/>
      <w:iCs/>
      <w:sz w:val="26"/>
      <w:szCs w:val="26"/>
    </w:rPr>
  </w:style>
  <w:style w:type="paragraph" w:styleId="7">
    <w:name w:val="heading 6"/>
    <w:basedOn w:val="1"/>
    <w:next w:val="1"/>
    <w:link w:val="35"/>
    <w:qFormat/>
    <w:uiPriority w:val="9"/>
    <w:pPr>
      <w:keepNext/>
      <w:ind w:left="-442" w:firstLine="442"/>
      <w:jc w:val="center"/>
      <w:outlineLvl w:val="5"/>
    </w:pPr>
    <w:rPr>
      <w:rFonts w:cs="Arial"/>
      <w:b/>
      <w:sz w:val="26"/>
      <w:szCs w:val="3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7"/>
    <w:unhideWhenUsed/>
    <w:qFormat/>
    <w:uiPriority w:val="0"/>
    <w:rPr>
      <w:rFonts w:ascii="Segoe UI" w:hAnsi="Segoe UI" w:cs="Segoe UI"/>
      <w:sz w:val="18"/>
      <w:szCs w:val="18"/>
    </w:rPr>
  </w:style>
  <w:style w:type="paragraph" w:styleId="11">
    <w:name w:val="Body Text"/>
    <w:basedOn w:val="1"/>
    <w:link w:val="58"/>
    <w:qFormat/>
    <w:uiPriority w:val="0"/>
    <w:pPr>
      <w:spacing w:before="80" w:after="80" w:line="336" w:lineRule="auto"/>
      <w:jc w:val="both"/>
    </w:pPr>
    <w:rPr>
      <w:rFonts w:ascii=".VnTime" w:hAnsi=".VnTime"/>
      <w:sz w:val="28"/>
      <w:szCs w:val="20"/>
      <w:lang w:val="zh-CN" w:eastAsia="zh-CN"/>
    </w:rPr>
  </w:style>
  <w:style w:type="paragraph" w:styleId="12">
    <w:name w:val="Body Text 2"/>
    <w:basedOn w:val="1"/>
    <w:link w:val="53"/>
    <w:qFormat/>
    <w:uiPriority w:val="0"/>
    <w:pPr>
      <w:jc w:val="both"/>
    </w:pPr>
    <w:rPr>
      <w:rFonts w:ascii=".VnTime" w:hAnsi=".VnTime"/>
      <w:sz w:val="28"/>
    </w:rPr>
  </w:style>
  <w:style w:type="paragraph" w:styleId="13">
    <w:name w:val="Body Text 3"/>
    <w:basedOn w:val="1"/>
    <w:link w:val="57"/>
    <w:uiPriority w:val="0"/>
    <w:pPr>
      <w:spacing w:after="120"/>
    </w:pPr>
    <w:rPr>
      <w:rFonts w:ascii=".VnTime" w:hAnsi=".VnTime"/>
      <w:sz w:val="16"/>
      <w:szCs w:val="16"/>
    </w:rPr>
  </w:style>
  <w:style w:type="paragraph" w:styleId="14">
    <w:name w:val="Body Text Indent"/>
    <w:basedOn w:val="1"/>
    <w:link w:val="56"/>
    <w:uiPriority w:val="0"/>
    <w:pPr>
      <w:spacing w:before="120" w:line="360" w:lineRule="exact"/>
      <w:ind w:firstLine="547"/>
      <w:jc w:val="both"/>
    </w:pPr>
    <w:rPr>
      <w:rFonts w:ascii=".VnTime" w:hAnsi=".VnTime"/>
      <w:sz w:val="28"/>
    </w:rPr>
  </w:style>
  <w:style w:type="paragraph" w:styleId="15">
    <w:name w:val="Body Text Indent 2"/>
    <w:basedOn w:val="1"/>
    <w:link w:val="36"/>
    <w:qFormat/>
    <w:uiPriority w:val="0"/>
    <w:pPr>
      <w:spacing w:after="120" w:line="480" w:lineRule="auto"/>
      <w:ind w:left="360"/>
    </w:pPr>
  </w:style>
  <w:style w:type="paragraph" w:styleId="16">
    <w:name w:val="Body Text Indent 3"/>
    <w:basedOn w:val="1"/>
    <w:link w:val="54"/>
    <w:qFormat/>
    <w:uiPriority w:val="0"/>
    <w:pPr>
      <w:ind w:firstLine="720"/>
      <w:jc w:val="both"/>
    </w:pPr>
    <w:rPr>
      <w:rFonts w:ascii=".VnTime" w:hAnsi=".VnTime"/>
      <w:sz w:val="28"/>
      <w:szCs w:val="20"/>
    </w:rPr>
  </w:style>
  <w:style w:type="paragraph" w:styleId="17">
    <w:name w:val="caption"/>
    <w:basedOn w:val="1"/>
    <w:next w:val="1"/>
    <w:semiHidden/>
    <w:unhideWhenUsed/>
    <w:qFormat/>
    <w:uiPriority w:val="35"/>
    <w:pPr>
      <w:spacing w:after="200"/>
    </w:pPr>
    <w:rPr>
      <w:i/>
      <w:iCs/>
      <w:color w:val="1F497D" w:themeColor="text2"/>
      <w:sz w:val="18"/>
      <w:szCs w:val="18"/>
      <w14:textFill>
        <w14:solidFill>
          <w14:schemeClr w14:val="tx2"/>
        </w14:solidFill>
      </w14:textFill>
    </w:rPr>
  </w:style>
  <w:style w:type="character" w:styleId="18">
    <w:name w:val="annotation reference"/>
    <w:semiHidden/>
    <w:qFormat/>
    <w:uiPriority w:val="0"/>
    <w:rPr>
      <w:sz w:val="16"/>
      <w:szCs w:val="16"/>
    </w:rPr>
  </w:style>
  <w:style w:type="paragraph" w:styleId="19">
    <w:name w:val="annotation text"/>
    <w:basedOn w:val="1"/>
    <w:link w:val="70"/>
    <w:semiHidden/>
    <w:qFormat/>
    <w:uiPriority w:val="0"/>
    <w:rPr>
      <w:sz w:val="20"/>
      <w:szCs w:val="20"/>
    </w:rPr>
  </w:style>
  <w:style w:type="paragraph" w:styleId="20">
    <w:name w:val="annotation subject"/>
    <w:basedOn w:val="19"/>
    <w:next w:val="19"/>
    <w:link w:val="71"/>
    <w:semiHidden/>
    <w:qFormat/>
    <w:uiPriority w:val="0"/>
    <w:rPr>
      <w:b/>
      <w:bCs/>
    </w:rPr>
  </w:style>
  <w:style w:type="character" w:styleId="21">
    <w:name w:val="Emphasis"/>
    <w:qFormat/>
    <w:uiPriority w:val="0"/>
    <w:rPr>
      <w:i/>
      <w:iCs/>
    </w:rPr>
  </w:style>
  <w:style w:type="character" w:styleId="22">
    <w:name w:val="FollowedHyperlink"/>
    <w:qFormat/>
    <w:uiPriority w:val="99"/>
    <w:rPr>
      <w:color w:val="800080"/>
      <w:u w:val="single"/>
    </w:rPr>
  </w:style>
  <w:style w:type="paragraph" w:styleId="23">
    <w:name w:val="footer"/>
    <w:basedOn w:val="1"/>
    <w:link w:val="40"/>
    <w:unhideWhenUsed/>
    <w:qFormat/>
    <w:uiPriority w:val="99"/>
    <w:pPr>
      <w:tabs>
        <w:tab w:val="center" w:pos="4680"/>
        <w:tab w:val="right" w:pos="9360"/>
      </w:tabs>
    </w:pPr>
  </w:style>
  <w:style w:type="character" w:styleId="24">
    <w:name w:val="footnote reference"/>
    <w:unhideWhenUsed/>
    <w:qFormat/>
    <w:uiPriority w:val="0"/>
    <w:rPr>
      <w:vertAlign w:val="superscript"/>
    </w:rPr>
  </w:style>
  <w:style w:type="paragraph" w:styleId="25">
    <w:name w:val="footnote text"/>
    <w:basedOn w:val="1"/>
    <w:link w:val="478"/>
    <w:semiHidden/>
    <w:unhideWhenUsed/>
    <w:qFormat/>
    <w:uiPriority w:val="99"/>
    <w:rPr>
      <w:sz w:val="20"/>
      <w:szCs w:val="20"/>
    </w:rPr>
  </w:style>
  <w:style w:type="paragraph" w:styleId="26">
    <w:name w:val="header"/>
    <w:basedOn w:val="1"/>
    <w:link w:val="39"/>
    <w:unhideWhenUsed/>
    <w:qFormat/>
    <w:uiPriority w:val="0"/>
    <w:pPr>
      <w:tabs>
        <w:tab w:val="center" w:pos="4680"/>
        <w:tab w:val="right" w:pos="9360"/>
      </w:tabs>
    </w:pPr>
  </w:style>
  <w:style w:type="character" w:styleId="27">
    <w:name w:val="Hyperlink"/>
    <w:qFormat/>
    <w:uiPriority w:val="99"/>
    <w:rPr>
      <w:color w:val="0000FF"/>
      <w:u w:val="single"/>
    </w:rPr>
  </w:style>
  <w:style w:type="paragraph" w:styleId="28">
    <w:name w:val="Normal (Web)"/>
    <w:basedOn w:val="1"/>
    <w:unhideWhenUsed/>
    <w:uiPriority w:val="99"/>
    <w:pPr>
      <w:spacing w:before="100" w:beforeAutospacing="1" w:after="100" w:afterAutospacing="1"/>
    </w:pPr>
  </w:style>
  <w:style w:type="character" w:styleId="29">
    <w:name w:val="page number"/>
    <w:basedOn w:val="8"/>
    <w:qFormat/>
    <w:uiPriority w:val="0"/>
  </w:style>
  <w:style w:type="character" w:styleId="30">
    <w:name w:val="Strong"/>
    <w:qFormat/>
    <w:uiPriority w:val="22"/>
    <w:rPr>
      <w:b/>
      <w:bCs/>
    </w:rPr>
  </w:style>
  <w:style w:type="paragraph" w:styleId="31">
    <w:name w:val="Subtitle"/>
    <w:basedOn w:val="1"/>
    <w:next w:val="1"/>
    <w:link w:val="563"/>
    <w:qFormat/>
    <w:uiPriority w:val="11"/>
    <w:pPr>
      <w:keepNext/>
      <w:keepLines/>
      <w:spacing w:before="360" w:after="80" w:line="276" w:lineRule="auto"/>
    </w:pPr>
    <w:rPr>
      <w:rFonts w:ascii="Georgia" w:hAnsi="Georgia" w:eastAsia="Georgia" w:cs="Georgia"/>
      <w:i/>
      <w:color w:val="666666"/>
      <w:sz w:val="48"/>
      <w:szCs w:val="48"/>
    </w:rPr>
  </w:style>
  <w:style w:type="table" w:styleId="32">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Title"/>
    <w:basedOn w:val="1"/>
    <w:link w:val="61"/>
    <w:qFormat/>
    <w:uiPriority w:val="10"/>
    <w:pPr>
      <w:jc w:val="center"/>
    </w:pPr>
    <w:rPr>
      <w:rFonts w:ascii=".VnTimeH" w:hAnsi=".VnTimeH"/>
      <w:b/>
      <w:szCs w:val="20"/>
      <w:lang w:val="zh-CN" w:eastAsia="zh-CN"/>
    </w:rPr>
  </w:style>
  <w:style w:type="paragraph" w:styleId="34">
    <w:name w:val="toc 1"/>
    <w:basedOn w:val="1"/>
    <w:next w:val="1"/>
    <w:autoRedefine/>
    <w:unhideWhenUsed/>
    <w:qFormat/>
    <w:uiPriority w:val="39"/>
    <w:pPr>
      <w:spacing w:after="100"/>
    </w:pPr>
  </w:style>
  <w:style w:type="character" w:customStyle="1" w:styleId="35">
    <w:name w:val="Heading 6 Char"/>
    <w:basedOn w:val="8"/>
    <w:link w:val="7"/>
    <w:qFormat/>
    <w:uiPriority w:val="9"/>
    <w:rPr>
      <w:rFonts w:ascii="Times New Roman" w:hAnsi="Times New Roman" w:eastAsia="Times New Roman" w:cs="Arial"/>
      <w:b/>
      <w:sz w:val="26"/>
      <w:szCs w:val="36"/>
    </w:rPr>
  </w:style>
  <w:style w:type="character" w:customStyle="1" w:styleId="36">
    <w:name w:val="Body Text Indent 2 Char"/>
    <w:basedOn w:val="8"/>
    <w:link w:val="15"/>
    <w:qFormat/>
    <w:uiPriority w:val="0"/>
    <w:rPr>
      <w:rFonts w:ascii="Times New Roman" w:hAnsi="Times New Roman" w:eastAsia="Times New Roman" w:cs="Times New Roman"/>
      <w:sz w:val="27"/>
      <w:szCs w:val="27"/>
    </w:rPr>
  </w:style>
  <w:style w:type="character" w:customStyle="1" w:styleId="37">
    <w:name w:val="Balloon Text Char"/>
    <w:basedOn w:val="8"/>
    <w:link w:val="10"/>
    <w:qFormat/>
    <w:uiPriority w:val="0"/>
    <w:rPr>
      <w:rFonts w:ascii="Segoe UI" w:hAnsi="Segoe UI" w:eastAsia="Times New Roman" w:cs="Segoe UI"/>
      <w:sz w:val="18"/>
      <w:szCs w:val="18"/>
    </w:rPr>
  </w:style>
  <w:style w:type="paragraph" w:styleId="38">
    <w:name w:val="List Paragraph"/>
    <w:basedOn w:val="1"/>
    <w:qFormat/>
    <w:uiPriority w:val="34"/>
    <w:pPr>
      <w:ind w:left="720"/>
      <w:contextualSpacing/>
    </w:pPr>
  </w:style>
  <w:style w:type="character" w:customStyle="1" w:styleId="39">
    <w:name w:val="Header Char"/>
    <w:basedOn w:val="8"/>
    <w:link w:val="26"/>
    <w:qFormat/>
    <w:uiPriority w:val="99"/>
    <w:rPr>
      <w:rFonts w:ascii="Times New Roman" w:hAnsi="Times New Roman" w:eastAsia="Times New Roman" w:cs="Times New Roman"/>
      <w:sz w:val="27"/>
      <w:szCs w:val="27"/>
    </w:rPr>
  </w:style>
  <w:style w:type="character" w:customStyle="1" w:styleId="40">
    <w:name w:val="Footer Char"/>
    <w:basedOn w:val="8"/>
    <w:link w:val="23"/>
    <w:qFormat/>
    <w:uiPriority w:val="99"/>
    <w:rPr>
      <w:rFonts w:ascii="Times New Roman" w:hAnsi="Times New Roman" w:eastAsia="Times New Roman" w:cs="Times New Roman"/>
      <w:sz w:val="27"/>
      <w:szCs w:val="27"/>
    </w:rPr>
  </w:style>
  <w:style w:type="character" w:styleId="41">
    <w:name w:val="Placeholder Text"/>
    <w:basedOn w:val="8"/>
    <w:semiHidden/>
    <w:qFormat/>
    <w:uiPriority w:val="99"/>
    <w:rPr>
      <w:color w:val="808080"/>
    </w:rPr>
  </w:style>
  <w:style w:type="character" w:customStyle="1" w:styleId="42">
    <w:name w:val="font31"/>
    <w:basedOn w:val="8"/>
    <w:qFormat/>
    <w:uiPriority w:val="0"/>
    <w:rPr>
      <w:rFonts w:hint="default" w:ascii="Times New Roman" w:hAnsi="Times New Roman" w:cs="Times New Roman"/>
      <w:color w:val="000000"/>
      <w:u w:val="none"/>
    </w:rPr>
  </w:style>
  <w:style w:type="character" w:customStyle="1" w:styleId="43">
    <w:name w:val="font01"/>
    <w:basedOn w:val="8"/>
    <w:qFormat/>
    <w:uiPriority w:val="0"/>
    <w:rPr>
      <w:rFonts w:hint="default" w:ascii="Times New Roman" w:hAnsi="Times New Roman" w:cs="Times New Roman"/>
      <w:b/>
      <w:bCs/>
      <w:color w:val="000000"/>
      <w:u w:val="none"/>
    </w:rPr>
  </w:style>
  <w:style w:type="character" w:customStyle="1" w:styleId="44">
    <w:name w:val="font61"/>
    <w:uiPriority w:val="0"/>
    <w:rPr>
      <w:rFonts w:hint="default" w:ascii="Times New Roman" w:hAnsi="Times New Roman" w:cs="Times New Roman"/>
      <w:i/>
      <w:iCs/>
      <w:color w:val="000000"/>
      <w:u w:val="none"/>
    </w:rPr>
  </w:style>
  <w:style w:type="character" w:customStyle="1" w:styleId="45">
    <w:name w:val="font51"/>
    <w:qFormat/>
    <w:uiPriority w:val="0"/>
    <w:rPr>
      <w:rFonts w:hint="default" w:ascii="Times New Roman" w:hAnsi="Times New Roman" w:cs="Times New Roman"/>
      <w:b/>
      <w:bCs/>
      <w:color w:val="000000"/>
      <w:u w:val="none"/>
      <w:vertAlign w:val="superscript"/>
    </w:rPr>
  </w:style>
  <w:style w:type="character" w:customStyle="1" w:styleId="46">
    <w:name w:val="font71"/>
    <w:qFormat/>
    <w:uiPriority w:val="0"/>
    <w:rPr>
      <w:rFonts w:hint="default" w:ascii="Times New Roman" w:hAnsi="Times New Roman" w:cs="Times New Roman"/>
      <w:b/>
      <w:bCs/>
      <w:i/>
      <w:iCs/>
      <w:color w:val="000000"/>
      <w:u w:val="none"/>
      <w:vertAlign w:val="superscript"/>
    </w:rPr>
  </w:style>
  <w:style w:type="character" w:customStyle="1" w:styleId="47">
    <w:name w:val="font41"/>
    <w:qFormat/>
    <w:uiPriority w:val="0"/>
    <w:rPr>
      <w:rFonts w:hint="default" w:ascii="Times New Roman" w:hAnsi="Times New Roman" w:cs="Times New Roman"/>
      <w:b/>
      <w:bCs/>
      <w:color w:val="000000"/>
      <w:u w:val="none"/>
      <w:vertAlign w:val="superscript"/>
    </w:rPr>
  </w:style>
  <w:style w:type="character" w:customStyle="1" w:styleId="48">
    <w:name w:val="Heading 2 Char"/>
    <w:basedOn w:val="8"/>
    <w:link w:val="3"/>
    <w:qFormat/>
    <w:uiPriority w:val="9"/>
    <w:rPr>
      <w:rFonts w:ascii=".VnTimeH" w:hAnsi=".VnTimeH" w:eastAsia="Times New Roman"/>
      <w:b/>
      <w:sz w:val="30"/>
      <w:lang w:val="zh-CN" w:eastAsia="zh-CN"/>
    </w:rPr>
  </w:style>
  <w:style w:type="character" w:customStyle="1" w:styleId="49">
    <w:name w:val="Heading 3 Char"/>
    <w:basedOn w:val="8"/>
    <w:link w:val="4"/>
    <w:uiPriority w:val="9"/>
    <w:rPr>
      <w:rFonts w:ascii=".VnTime" w:hAnsi=".VnTime" w:eastAsia="Times New Roman"/>
      <w:b/>
      <w:sz w:val="28"/>
      <w:lang w:val="zh-CN" w:eastAsia="zh-CN"/>
    </w:rPr>
  </w:style>
  <w:style w:type="character" w:customStyle="1" w:styleId="50">
    <w:name w:val="Heading 4 Char"/>
    <w:basedOn w:val="8"/>
    <w:link w:val="5"/>
    <w:qFormat/>
    <w:uiPriority w:val="9"/>
    <w:rPr>
      <w:rFonts w:ascii=".VnTime" w:hAnsi=".VnTime" w:eastAsia="Times New Roman"/>
      <w:b/>
      <w:sz w:val="24"/>
      <w:lang w:val="zh-CN" w:eastAsia="zh-CN"/>
    </w:rPr>
  </w:style>
  <w:style w:type="character" w:customStyle="1" w:styleId="51">
    <w:name w:val="Heading 5 Char"/>
    <w:basedOn w:val="8"/>
    <w:link w:val="6"/>
    <w:uiPriority w:val="9"/>
    <w:rPr>
      <w:rFonts w:eastAsia="Times New Roman"/>
      <w:b/>
      <w:bCs/>
      <w:i/>
      <w:iCs/>
      <w:sz w:val="26"/>
      <w:szCs w:val="26"/>
    </w:rPr>
  </w:style>
  <w:style w:type="paragraph" w:customStyle="1" w:styleId="52">
    <w:name w:val="Char"/>
    <w:basedOn w:val="1"/>
    <w:semiHidden/>
    <w:qFormat/>
    <w:uiPriority w:val="0"/>
    <w:pPr>
      <w:spacing w:after="160" w:line="240" w:lineRule="exact"/>
    </w:pPr>
    <w:rPr>
      <w:rFonts w:ascii="Arial" w:hAnsi="Arial"/>
      <w:sz w:val="22"/>
      <w:szCs w:val="22"/>
    </w:rPr>
  </w:style>
  <w:style w:type="character" w:customStyle="1" w:styleId="53">
    <w:name w:val="Body Text 2 Char"/>
    <w:basedOn w:val="8"/>
    <w:link w:val="12"/>
    <w:qFormat/>
    <w:uiPriority w:val="0"/>
    <w:rPr>
      <w:rFonts w:ascii=".VnTime" w:hAnsi=".VnTime" w:eastAsia="Times New Roman"/>
      <w:sz w:val="28"/>
      <w:szCs w:val="24"/>
    </w:rPr>
  </w:style>
  <w:style w:type="character" w:customStyle="1" w:styleId="54">
    <w:name w:val="Body Text Indent 3 Char"/>
    <w:basedOn w:val="8"/>
    <w:link w:val="16"/>
    <w:qFormat/>
    <w:uiPriority w:val="0"/>
    <w:rPr>
      <w:rFonts w:ascii=".VnTime" w:hAnsi=".VnTime" w:eastAsia="Times New Roman"/>
      <w:sz w:val="28"/>
    </w:rPr>
  </w:style>
  <w:style w:type="paragraph" w:customStyle="1" w:styleId="55">
    <w:name w:val="Char Char Char Char Char Char Char Char Char Char"/>
    <w:basedOn w:val="1"/>
    <w:autoRedefine/>
    <w:qFormat/>
    <w:uiPriority w:val="0"/>
    <w:pPr>
      <w:spacing w:after="160" w:line="240" w:lineRule="exact"/>
    </w:pPr>
    <w:rPr>
      <w:rFonts w:ascii="Verdana" w:hAnsi="Verdana" w:cs="Verdana"/>
      <w:sz w:val="20"/>
      <w:szCs w:val="20"/>
    </w:rPr>
  </w:style>
  <w:style w:type="character" w:customStyle="1" w:styleId="56">
    <w:name w:val="Body Text Indent Char"/>
    <w:basedOn w:val="8"/>
    <w:link w:val="14"/>
    <w:qFormat/>
    <w:uiPriority w:val="0"/>
    <w:rPr>
      <w:rFonts w:ascii=".VnTime" w:hAnsi=".VnTime" w:eastAsia="Times New Roman"/>
      <w:sz w:val="28"/>
      <w:szCs w:val="24"/>
    </w:rPr>
  </w:style>
  <w:style w:type="character" w:customStyle="1" w:styleId="57">
    <w:name w:val="Body Text 3 Char"/>
    <w:basedOn w:val="8"/>
    <w:link w:val="13"/>
    <w:qFormat/>
    <w:uiPriority w:val="0"/>
    <w:rPr>
      <w:rFonts w:ascii=".VnTime" w:hAnsi=".VnTime" w:eastAsia="Times New Roman"/>
      <w:sz w:val="16"/>
      <w:szCs w:val="16"/>
    </w:rPr>
  </w:style>
  <w:style w:type="character" w:customStyle="1" w:styleId="58">
    <w:name w:val="Body Text Char"/>
    <w:basedOn w:val="8"/>
    <w:link w:val="11"/>
    <w:qFormat/>
    <w:uiPriority w:val="0"/>
    <w:rPr>
      <w:rFonts w:ascii=".VnTime" w:hAnsi=".VnTime" w:eastAsia="Times New Roman"/>
      <w:sz w:val="28"/>
      <w:lang w:val="zh-CN" w:eastAsia="zh-CN"/>
    </w:rPr>
  </w:style>
  <w:style w:type="paragraph" w:customStyle="1" w:styleId="59">
    <w:name w:val="body"/>
    <w:basedOn w:val="13"/>
    <w:qFormat/>
    <w:uiPriority w:val="0"/>
    <w:pPr>
      <w:spacing w:after="0"/>
      <w:ind w:firstLine="709"/>
      <w:jc w:val="both"/>
    </w:pPr>
    <w:rPr>
      <w:sz w:val="26"/>
      <w:szCs w:val="20"/>
    </w:rPr>
  </w:style>
  <w:style w:type="character" w:customStyle="1" w:styleId="60">
    <w:name w:val="grame"/>
    <w:basedOn w:val="8"/>
    <w:qFormat/>
    <w:uiPriority w:val="0"/>
  </w:style>
  <w:style w:type="character" w:customStyle="1" w:styleId="61">
    <w:name w:val="Title Char"/>
    <w:basedOn w:val="8"/>
    <w:link w:val="33"/>
    <w:qFormat/>
    <w:uiPriority w:val="10"/>
    <w:rPr>
      <w:rFonts w:ascii=".VnTimeH" w:hAnsi=".VnTimeH" w:eastAsia="Times New Roman"/>
      <w:b/>
      <w:sz w:val="24"/>
      <w:lang w:val="zh-CN" w:eastAsia="zh-CN"/>
    </w:rPr>
  </w:style>
  <w:style w:type="paragraph" w:customStyle="1" w:styleId="62">
    <w:name w:val="Normal (Web)1"/>
    <w:basedOn w:val="1"/>
    <w:qFormat/>
    <w:uiPriority w:val="0"/>
    <w:pPr>
      <w:spacing w:before="100" w:beforeAutospacing="1" w:after="167"/>
    </w:pPr>
  </w:style>
  <w:style w:type="character" w:customStyle="1" w:styleId="63">
    <w:name w:val="name_gt1"/>
    <w:qFormat/>
    <w:uiPriority w:val="0"/>
    <w:rPr>
      <w:rFonts w:hint="default" w:ascii="Arial" w:hAnsi="Arial" w:cs="Arial"/>
      <w:b/>
      <w:bCs/>
      <w:color w:val="333300"/>
      <w:sz w:val="21"/>
      <w:szCs w:val="21"/>
    </w:rPr>
  </w:style>
  <w:style w:type="character" w:customStyle="1" w:styleId="64">
    <w:name w:val="name1"/>
    <w:qFormat/>
    <w:uiPriority w:val="0"/>
    <w:rPr>
      <w:rFonts w:hint="default" w:ascii="Arial" w:hAnsi="Arial" w:cs="Arial"/>
      <w:color w:val="330000"/>
      <w:sz w:val="21"/>
      <w:szCs w:val="21"/>
    </w:rPr>
  </w:style>
  <w:style w:type="character" w:customStyle="1" w:styleId="65">
    <w:name w:val="style1"/>
    <w:qFormat/>
    <w:uiPriority w:val="0"/>
    <w:rPr>
      <w:shd w:val="clear" w:color="auto" w:fill="FFFFFF"/>
    </w:rPr>
  </w:style>
  <w:style w:type="character" w:customStyle="1" w:styleId="66">
    <w:name w:val="style2"/>
    <w:qFormat/>
    <w:uiPriority w:val="0"/>
    <w:rPr>
      <w:rFonts w:hint="default" w:ascii="Verdana" w:hAnsi="Verdana"/>
      <w:color w:val="000000"/>
      <w:sz w:val="20"/>
      <w:szCs w:val="20"/>
      <w:shd w:val="clear" w:color="auto" w:fill="FFFFFF"/>
    </w:rPr>
  </w:style>
  <w:style w:type="paragraph" w:customStyle="1" w:styleId="67">
    <w:name w:val="style11"/>
    <w:basedOn w:val="1"/>
    <w:qFormat/>
    <w:uiPriority w:val="0"/>
    <w:pPr>
      <w:shd w:val="clear" w:color="auto" w:fill="FFFFFF"/>
      <w:spacing w:before="100" w:beforeAutospacing="1" w:after="100" w:afterAutospacing="1"/>
    </w:pPr>
    <w:rPr>
      <w:rFonts w:ascii="Verdana" w:hAnsi="Verdana"/>
      <w:color w:val="000000"/>
      <w:sz w:val="20"/>
      <w:szCs w:val="20"/>
    </w:rPr>
  </w:style>
  <w:style w:type="character" w:customStyle="1" w:styleId="68">
    <w:name w:val="apple-style-span"/>
    <w:basedOn w:val="8"/>
    <w:qFormat/>
    <w:uiPriority w:val="0"/>
  </w:style>
  <w:style w:type="paragraph" w:customStyle="1" w:styleId="69">
    <w:name w:val="1"/>
    <w:basedOn w:val="1"/>
    <w:qFormat/>
    <w:uiPriority w:val="0"/>
    <w:pPr>
      <w:spacing w:after="160" w:line="240" w:lineRule="exact"/>
    </w:pPr>
    <w:rPr>
      <w:rFonts w:cs="Arial"/>
      <w:sz w:val="20"/>
      <w:szCs w:val="20"/>
    </w:rPr>
  </w:style>
  <w:style w:type="character" w:customStyle="1" w:styleId="70">
    <w:name w:val="Comment Text Char"/>
    <w:basedOn w:val="8"/>
    <w:link w:val="19"/>
    <w:semiHidden/>
    <w:qFormat/>
    <w:uiPriority w:val="0"/>
    <w:rPr>
      <w:rFonts w:eastAsia="Times New Roman"/>
    </w:rPr>
  </w:style>
  <w:style w:type="character" w:customStyle="1" w:styleId="71">
    <w:name w:val="Comment Subject Char"/>
    <w:basedOn w:val="70"/>
    <w:link w:val="20"/>
    <w:semiHidden/>
    <w:qFormat/>
    <w:uiPriority w:val="0"/>
    <w:rPr>
      <w:rFonts w:eastAsia="Times New Roman"/>
      <w:b/>
      <w:bCs/>
    </w:rPr>
  </w:style>
  <w:style w:type="paragraph" w:customStyle="1" w:styleId="72">
    <w:name w:val="Char2 Char Char Char Char Char Char Char Char Char Char Char Char Char Char Char Char Char1 Char Char Char Char Char Char Char"/>
    <w:basedOn w:val="1"/>
    <w:qFormat/>
    <w:uiPriority w:val="0"/>
    <w:pPr>
      <w:spacing w:after="160" w:line="240" w:lineRule="exact"/>
    </w:pPr>
    <w:rPr>
      <w:rFonts w:cs="Arial"/>
      <w:sz w:val="20"/>
      <w:szCs w:val="20"/>
    </w:rPr>
  </w:style>
  <w:style w:type="paragraph" w:customStyle="1" w:styleId="73">
    <w:name w:val="(文字) (文字)"/>
    <w:basedOn w:val="1"/>
    <w:qFormat/>
    <w:uiPriority w:val="0"/>
    <w:pPr>
      <w:spacing w:after="160" w:line="240" w:lineRule="exact"/>
    </w:pPr>
    <w:rPr>
      <w:rFonts w:ascii="Tahoma" w:hAnsi="Tahoma" w:eastAsia="MS Mincho"/>
      <w:sz w:val="20"/>
      <w:szCs w:val="20"/>
    </w:rPr>
  </w:style>
  <w:style w:type="character" w:customStyle="1" w:styleId="74">
    <w:name w:val="apple-converted-space"/>
    <w:basedOn w:val="8"/>
    <w:qFormat/>
    <w:uiPriority w:val="0"/>
  </w:style>
  <w:style w:type="character" w:customStyle="1" w:styleId="75">
    <w:name w:val="Char Char8"/>
    <w:qFormat/>
    <w:locked/>
    <w:uiPriority w:val="0"/>
    <w:rPr>
      <w:rFonts w:ascii=".VnTimeH" w:hAnsi=".VnTimeH"/>
      <w:b/>
      <w:sz w:val="30"/>
      <w:lang w:val="zh-CN" w:eastAsia="zh-CN" w:bidi="ar-SA"/>
    </w:rPr>
  </w:style>
  <w:style w:type="character" w:customStyle="1" w:styleId="76">
    <w:name w:val="Char Char7"/>
    <w:locked/>
    <w:uiPriority w:val="0"/>
    <w:rPr>
      <w:rFonts w:ascii=".VnTime" w:hAnsi=".VnTime"/>
      <w:b/>
      <w:sz w:val="28"/>
      <w:lang w:val="zh-CN" w:eastAsia="zh-CN" w:bidi="ar-SA"/>
    </w:rPr>
  </w:style>
  <w:style w:type="character" w:customStyle="1" w:styleId="77">
    <w:name w:val="Char Char6"/>
    <w:locked/>
    <w:uiPriority w:val="0"/>
    <w:rPr>
      <w:rFonts w:ascii=".VnTime" w:hAnsi=".VnTime"/>
      <w:b/>
      <w:sz w:val="24"/>
      <w:lang w:val="zh-CN" w:eastAsia="zh-CN" w:bidi="ar-SA"/>
    </w:rPr>
  </w:style>
  <w:style w:type="character" w:customStyle="1" w:styleId="78">
    <w:name w:val="Char Char5"/>
    <w:locked/>
    <w:uiPriority w:val="0"/>
    <w:rPr>
      <w:b/>
      <w:bCs/>
      <w:i/>
      <w:iCs/>
      <w:sz w:val="26"/>
      <w:szCs w:val="26"/>
      <w:lang w:val="en-US" w:eastAsia="en-US" w:bidi="ar-SA"/>
    </w:rPr>
  </w:style>
  <w:style w:type="character" w:customStyle="1" w:styleId="79">
    <w:name w:val="Char Char3"/>
    <w:locked/>
    <w:uiPriority w:val="0"/>
    <w:rPr>
      <w:rFonts w:ascii=".VnTime" w:hAnsi=".VnTime"/>
      <w:sz w:val="28"/>
      <w:szCs w:val="24"/>
      <w:lang w:val="en-US" w:eastAsia="en-US" w:bidi="ar-SA"/>
    </w:rPr>
  </w:style>
  <w:style w:type="character" w:customStyle="1" w:styleId="80">
    <w:name w:val="Char Char1"/>
    <w:locked/>
    <w:uiPriority w:val="0"/>
    <w:rPr>
      <w:rFonts w:ascii=".VnTimeH" w:hAnsi=".VnTimeH"/>
      <w:b/>
      <w:sz w:val="24"/>
      <w:lang w:val="zh-CN" w:eastAsia="zh-CN" w:bidi="ar-SA"/>
    </w:rPr>
  </w:style>
  <w:style w:type="character" w:customStyle="1" w:styleId="81">
    <w:name w:val="Char Char2"/>
    <w:locked/>
    <w:uiPriority w:val="0"/>
    <w:rPr>
      <w:rFonts w:ascii=".VnTime" w:hAnsi=".VnTime"/>
      <w:sz w:val="28"/>
      <w:lang w:val="zh-CN" w:eastAsia="zh-CN" w:bidi="ar-SA"/>
    </w:rPr>
  </w:style>
  <w:style w:type="character" w:customStyle="1" w:styleId="82">
    <w:name w:val="Char Char"/>
    <w:locked/>
    <w:uiPriority w:val="0"/>
    <w:rPr>
      <w:rFonts w:ascii="Tahoma" w:hAnsi="Tahoma" w:cs="Tahoma"/>
      <w:sz w:val="16"/>
      <w:szCs w:val="16"/>
      <w:lang w:val="zh-CN" w:eastAsia="zh-CN" w:bidi="ar-SA"/>
    </w:rPr>
  </w:style>
  <w:style w:type="paragraph" w:customStyle="1" w:styleId="83">
    <w:name w:val="Char Char Char"/>
    <w:basedOn w:val="1"/>
    <w:uiPriority w:val="0"/>
    <w:pPr>
      <w:spacing w:after="160" w:line="240" w:lineRule="exact"/>
    </w:pPr>
    <w:rPr>
      <w:rFonts w:ascii="Verdana" w:hAnsi="Verdana" w:eastAsia="MS Mincho"/>
      <w:sz w:val="20"/>
      <w:szCs w:val="20"/>
    </w:rPr>
  </w:style>
  <w:style w:type="paragraph" w:customStyle="1" w:styleId="84">
    <w:name w:val="tenbang"/>
    <w:basedOn w:val="1"/>
    <w:uiPriority w:val="0"/>
    <w:pPr>
      <w:jc w:val="center"/>
    </w:pPr>
    <w:rPr>
      <w:rFonts w:ascii=".VnHelvetInsH" w:hAnsi=".VnHelvetInsH"/>
      <w:sz w:val="22"/>
      <w:szCs w:val="20"/>
    </w:rPr>
  </w:style>
  <w:style w:type="paragraph" w:customStyle="1" w:styleId="85">
    <w:name w:val="Char Char4 Char Char"/>
    <w:basedOn w:val="1"/>
    <w:semiHidden/>
    <w:uiPriority w:val="0"/>
    <w:pPr>
      <w:spacing w:after="160" w:line="240" w:lineRule="exact"/>
    </w:pPr>
    <w:rPr>
      <w:rFonts w:ascii="Arial" w:hAnsi="Arial" w:cs="Arial"/>
      <w:sz w:val="22"/>
      <w:szCs w:val="22"/>
    </w:rPr>
  </w:style>
  <w:style w:type="paragraph" w:customStyle="1" w:styleId="86">
    <w:name w:val="xl702"/>
    <w:basedOn w:val="1"/>
    <w:uiPriority w:val="0"/>
    <w:pPr>
      <w:spacing w:before="100" w:beforeAutospacing="1" w:after="100" w:afterAutospacing="1"/>
    </w:pPr>
  </w:style>
  <w:style w:type="paragraph" w:customStyle="1" w:styleId="87">
    <w:name w:val="xl703"/>
    <w:basedOn w:val="1"/>
    <w:uiPriority w:val="0"/>
    <w:pPr>
      <w:spacing w:before="100" w:beforeAutospacing="1" w:after="100" w:afterAutospacing="1"/>
    </w:pPr>
    <w:rPr>
      <w:b/>
      <w:bCs/>
    </w:rPr>
  </w:style>
  <w:style w:type="paragraph" w:customStyle="1" w:styleId="88">
    <w:name w:val="xl704"/>
    <w:basedOn w:val="1"/>
    <w:uiPriority w:val="0"/>
    <w:pPr>
      <w:spacing w:before="100" w:beforeAutospacing="1" w:after="100" w:afterAutospacing="1"/>
    </w:pPr>
  </w:style>
  <w:style w:type="paragraph" w:customStyle="1" w:styleId="89">
    <w:name w:val="xl705"/>
    <w:basedOn w:val="1"/>
    <w:uiPriority w:val="0"/>
    <w:pPr>
      <w:spacing w:before="100" w:beforeAutospacing="1" w:after="100" w:afterAutospacing="1"/>
      <w:jc w:val="center"/>
    </w:pPr>
  </w:style>
  <w:style w:type="paragraph" w:customStyle="1" w:styleId="90">
    <w:name w:val="xl706"/>
    <w:basedOn w:val="1"/>
    <w:uiPriority w:val="0"/>
    <w:pPr>
      <w:spacing w:before="100" w:beforeAutospacing="1" w:after="100" w:afterAutospacing="1"/>
      <w:jc w:val="center"/>
    </w:pPr>
    <w:rPr>
      <w:i/>
      <w:iCs/>
    </w:rPr>
  </w:style>
  <w:style w:type="paragraph" w:customStyle="1" w:styleId="91">
    <w:name w:val="xl707"/>
    <w:basedOn w:val="1"/>
    <w:uiPriority w:val="0"/>
    <w:pPr>
      <w:spacing w:before="100" w:beforeAutospacing="1" w:after="100" w:afterAutospacing="1"/>
      <w:jc w:val="center"/>
    </w:pPr>
    <w:rPr>
      <w:i/>
      <w:iCs/>
    </w:rPr>
  </w:style>
  <w:style w:type="paragraph" w:customStyle="1" w:styleId="92">
    <w:name w:val="xl708"/>
    <w:basedOn w:val="1"/>
    <w:uiPriority w:val="0"/>
    <w:pPr>
      <w:spacing w:before="100" w:beforeAutospacing="1" w:after="100" w:afterAutospacing="1"/>
      <w:jc w:val="center"/>
      <w:textAlignment w:val="center"/>
    </w:pPr>
  </w:style>
  <w:style w:type="paragraph" w:customStyle="1" w:styleId="93">
    <w:name w:val="xl709"/>
    <w:basedOn w:val="1"/>
    <w:uiPriority w:val="0"/>
    <w:pPr>
      <w:spacing w:before="100" w:beforeAutospacing="1" w:after="100" w:afterAutospacing="1"/>
    </w:pPr>
  </w:style>
  <w:style w:type="paragraph" w:customStyle="1" w:styleId="94">
    <w:name w:val="xl710"/>
    <w:basedOn w:val="1"/>
    <w:uiPriority w:val="0"/>
    <w:pPr>
      <w:spacing w:before="100" w:beforeAutospacing="1" w:after="100" w:afterAutospacing="1"/>
      <w:jc w:val="center"/>
    </w:pPr>
    <w:rPr>
      <w:i/>
      <w:iCs/>
      <w:color w:val="FF0000"/>
    </w:rPr>
  </w:style>
  <w:style w:type="paragraph" w:customStyle="1" w:styleId="95">
    <w:name w:val="xl7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96">
    <w:name w:val="xl7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97">
    <w:name w:val="xl7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98">
    <w:name w:val="xl7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99">
    <w:name w:val="xl7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color w:val="FF0000"/>
      <w:sz w:val="20"/>
      <w:szCs w:val="20"/>
    </w:rPr>
  </w:style>
  <w:style w:type="paragraph" w:customStyle="1" w:styleId="100">
    <w:name w:val="xl7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01">
    <w:name w:val="xl7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0"/>
      <w:szCs w:val="20"/>
    </w:rPr>
  </w:style>
  <w:style w:type="paragraph" w:customStyle="1" w:styleId="102">
    <w:name w:val="xl7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03">
    <w:name w:val="xl7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104">
    <w:name w:val="xl7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5">
    <w:name w:val="xl7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0"/>
      <w:szCs w:val="20"/>
    </w:rPr>
  </w:style>
  <w:style w:type="paragraph" w:customStyle="1" w:styleId="106">
    <w:name w:val="xl7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7">
    <w:name w:val="xl7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sz w:val="20"/>
      <w:szCs w:val="20"/>
    </w:rPr>
  </w:style>
  <w:style w:type="paragraph" w:customStyle="1" w:styleId="108">
    <w:name w:val="xl7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109">
    <w:name w:val="xl725"/>
    <w:basedOn w:val="1"/>
    <w:qFormat/>
    <w:uiPriority w:val="0"/>
    <w:pPr>
      <w:spacing w:before="100" w:beforeAutospacing="1" w:after="100" w:afterAutospacing="1"/>
    </w:pPr>
    <w:rPr>
      <w:b/>
      <w:bCs/>
      <w:color w:val="FF0000"/>
    </w:rPr>
  </w:style>
  <w:style w:type="paragraph" w:customStyle="1" w:styleId="110">
    <w:name w:val="xl72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11">
    <w:name w:val="xl727"/>
    <w:basedOn w:val="1"/>
    <w:uiPriority w:val="0"/>
    <w:pPr>
      <w:shd w:val="clear" w:color="000000" w:fill="FFFFFF"/>
      <w:spacing w:before="100" w:beforeAutospacing="1" w:after="100" w:afterAutospacing="1"/>
    </w:pPr>
  </w:style>
  <w:style w:type="paragraph" w:customStyle="1" w:styleId="112">
    <w:name w:val="xl728"/>
    <w:basedOn w:val="1"/>
    <w:qFormat/>
    <w:uiPriority w:val="0"/>
    <w:pPr>
      <w:shd w:val="clear" w:color="000000" w:fill="FFFFFF"/>
      <w:spacing w:before="100" w:beforeAutospacing="1" w:after="100" w:afterAutospacing="1"/>
    </w:pPr>
  </w:style>
  <w:style w:type="paragraph" w:customStyle="1" w:styleId="113">
    <w:name w:val="xl729"/>
    <w:basedOn w:val="1"/>
    <w:qFormat/>
    <w:uiPriority w:val="0"/>
    <w:pPr>
      <w:spacing w:before="100" w:beforeAutospacing="1" w:after="100" w:afterAutospacing="1"/>
    </w:pPr>
    <w:rPr>
      <w:b/>
      <w:bCs/>
    </w:rPr>
  </w:style>
  <w:style w:type="paragraph" w:customStyle="1" w:styleId="114">
    <w:name w:val="xl73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115">
    <w:name w:val="xl731"/>
    <w:basedOn w:val="1"/>
    <w:qFormat/>
    <w:uiPriority w:val="0"/>
    <w:pPr>
      <w:shd w:val="clear" w:color="000000" w:fill="FFFFFF"/>
      <w:spacing w:before="100" w:beforeAutospacing="1" w:after="100" w:afterAutospacing="1"/>
      <w:jc w:val="center"/>
      <w:textAlignment w:val="center"/>
    </w:pPr>
  </w:style>
  <w:style w:type="paragraph" w:customStyle="1" w:styleId="116">
    <w:name w:val="xl732"/>
    <w:basedOn w:val="1"/>
    <w:qFormat/>
    <w:uiPriority w:val="0"/>
    <w:pPr>
      <w:spacing w:before="100" w:beforeAutospacing="1" w:after="100" w:afterAutospacing="1"/>
      <w:jc w:val="center"/>
    </w:pPr>
    <w:rPr>
      <w:color w:val="FF0000"/>
    </w:rPr>
  </w:style>
  <w:style w:type="paragraph" w:customStyle="1" w:styleId="117">
    <w:name w:val="xl7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118">
    <w:name w:val="xl7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0"/>
      <w:szCs w:val="20"/>
    </w:rPr>
  </w:style>
  <w:style w:type="paragraph" w:customStyle="1" w:styleId="119">
    <w:name w:val="xl7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sz w:val="20"/>
      <w:szCs w:val="20"/>
    </w:rPr>
  </w:style>
  <w:style w:type="paragraph" w:customStyle="1" w:styleId="120">
    <w:name w:val="xl7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0"/>
      <w:szCs w:val="20"/>
    </w:rPr>
  </w:style>
  <w:style w:type="paragraph" w:customStyle="1" w:styleId="121">
    <w:name w:val="xl737"/>
    <w:basedOn w:val="1"/>
    <w:qFormat/>
    <w:uiPriority w:val="0"/>
    <w:pPr>
      <w:pBdr>
        <w:top w:val="single" w:color="auto" w:sz="4" w:space="0"/>
        <w:left w:val="single" w:color="auto" w:sz="4" w:space="0"/>
      </w:pBdr>
      <w:spacing w:before="100" w:beforeAutospacing="1" w:after="100" w:afterAutospacing="1"/>
      <w:jc w:val="center"/>
      <w:textAlignment w:val="center"/>
    </w:pPr>
    <w:rPr>
      <w:b/>
      <w:bCs/>
      <w:sz w:val="20"/>
      <w:szCs w:val="20"/>
    </w:rPr>
  </w:style>
  <w:style w:type="paragraph" w:customStyle="1" w:styleId="122">
    <w:name w:val="xl73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123">
    <w:name w:val="xl73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24">
    <w:name w:val="xl7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color w:val="FF0000"/>
      <w:sz w:val="20"/>
      <w:szCs w:val="20"/>
    </w:rPr>
  </w:style>
  <w:style w:type="paragraph" w:customStyle="1" w:styleId="125">
    <w:name w:val="xl74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126">
    <w:name w:val="xl74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0"/>
      <w:szCs w:val="20"/>
    </w:rPr>
  </w:style>
  <w:style w:type="paragraph" w:customStyle="1" w:styleId="127">
    <w:name w:val="xl7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0"/>
      <w:szCs w:val="20"/>
    </w:rPr>
  </w:style>
  <w:style w:type="paragraph" w:customStyle="1" w:styleId="128">
    <w:name w:val="xl74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29">
    <w:name w:val="xl74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sz w:val="20"/>
      <w:szCs w:val="20"/>
    </w:rPr>
  </w:style>
  <w:style w:type="paragraph" w:customStyle="1" w:styleId="130">
    <w:name w:val="xl74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31">
    <w:name w:val="xl74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color w:val="FF0000"/>
      <w:sz w:val="20"/>
      <w:szCs w:val="20"/>
    </w:rPr>
  </w:style>
  <w:style w:type="paragraph" w:customStyle="1" w:styleId="132">
    <w:name w:val="xl74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33">
    <w:name w:val="xl74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34">
    <w:name w:val="xl75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35">
    <w:name w:val="xl75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i/>
      <w:iCs/>
      <w:sz w:val="20"/>
      <w:szCs w:val="20"/>
    </w:rPr>
  </w:style>
  <w:style w:type="paragraph" w:customStyle="1" w:styleId="136">
    <w:name w:val="xl75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color w:val="FF0000"/>
      <w:sz w:val="20"/>
      <w:szCs w:val="20"/>
    </w:rPr>
  </w:style>
  <w:style w:type="paragraph" w:customStyle="1" w:styleId="137">
    <w:name w:val="xl75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38">
    <w:name w:val="xl7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sz w:val="20"/>
      <w:szCs w:val="20"/>
    </w:rPr>
  </w:style>
  <w:style w:type="paragraph" w:customStyle="1" w:styleId="139">
    <w:name w:val="xl7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40">
    <w:name w:val="xl7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color w:val="FF0000"/>
      <w:sz w:val="20"/>
      <w:szCs w:val="20"/>
    </w:rPr>
  </w:style>
  <w:style w:type="paragraph" w:customStyle="1" w:styleId="141">
    <w:name w:val="xl75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42">
    <w:name w:val="xl758"/>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43">
    <w:name w:val="xl7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44">
    <w:name w:val="xl76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i/>
      <w:iCs/>
      <w:sz w:val="20"/>
      <w:szCs w:val="20"/>
    </w:rPr>
  </w:style>
  <w:style w:type="paragraph" w:customStyle="1" w:styleId="145">
    <w:name w:val="xl7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color w:val="FF0000"/>
      <w:sz w:val="20"/>
      <w:szCs w:val="20"/>
    </w:rPr>
  </w:style>
  <w:style w:type="paragraph" w:customStyle="1" w:styleId="146">
    <w:name w:val="xl76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47">
    <w:name w:val="xl7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48">
    <w:name w:val="xl7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sz w:val="20"/>
      <w:szCs w:val="20"/>
    </w:rPr>
  </w:style>
  <w:style w:type="paragraph" w:customStyle="1" w:styleId="149">
    <w:name w:val="xl7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50">
    <w:name w:val="xl7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color w:val="FF0000"/>
      <w:sz w:val="20"/>
      <w:szCs w:val="20"/>
    </w:rPr>
  </w:style>
  <w:style w:type="paragraph" w:customStyle="1" w:styleId="151">
    <w:name w:val="xl7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52">
    <w:name w:val="xl768"/>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53">
    <w:name w:val="xl7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54">
    <w:name w:val="xl7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i/>
      <w:iCs/>
      <w:sz w:val="20"/>
      <w:szCs w:val="20"/>
    </w:rPr>
  </w:style>
  <w:style w:type="paragraph" w:customStyle="1" w:styleId="155">
    <w:name w:val="xl7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color w:val="FF0000"/>
      <w:sz w:val="20"/>
      <w:szCs w:val="20"/>
    </w:rPr>
  </w:style>
  <w:style w:type="paragraph" w:customStyle="1" w:styleId="156">
    <w:name w:val="xl77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57">
    <w:name w:val="xl77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58">
    <w:name w:val="xl7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59">
    <w:name w:val="xl7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60">
    <w:name w:val="xl7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61">
    <w:name w:val="xl7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62">
    <w:name w:val="xl7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color w:val="FF0000"/>
      <w:sz w:val="20"/>
      <w:szCs w:val="20"/>
    </w:rPr>
  </w:style>
  <w:style w:type="paragraph" w:customStyle="1" w:styleId="163">
    <w:name w:val="xl7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64">
    <w:name w:val="xl7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65">
    <w:name w:val="xl7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66">
    <w:name w:val="xl7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color w:val="FF0000"/>
      <w:sz w:val="20"/>
      <w:szCs w:val="20"/>
    </w:rPr>
  </w:style>
  <w:style w:type="paragraph" w:customStyle="1" w:styleId="167">
    <w:name w:val="xl7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68">
    <w:name w:val="xl7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69">
    <w:name w:val="xl78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sz w:val="20"/>
      <w:szCs w:val="20"/>
    </w:rPr>
  </w:style>
  <w:style w:type="paragraph" w:customStyle="1" w:styleId="170">
    <w:name w:val="xl7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color w:val="FF0000"/>
      <w:sz w:val="20"/>
      <w:szCs w:val="20"/>
    </w:rPr>
  </w:style>
  <w:style w:type="paragraph" w:customStyle="1" w:styleId="171">
    <w:name w:val="xl7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color w:val="FF0000"/>
      <w:sz w:val="20"/>
      <w:szCs w:val="20"/>
    </w:rPr>
  </w:style>
  <w:style w:type="paragraph" w:customStyle="1" w:styleId="172">
    <w:name w:val="xl7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color w:val="FF0000"/>
      <w:sz w:val="20"/>
      <w:szCs w:val="20"/>
    </w:rPr>
  </w:style>
  <w:style w:type="paragraph" w:customStyle="1" w:styleId="173">
    <w:name w:val="xl7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sz w:val="20"/>
      <w:szCs w:val="20"/>
    </w:rPr>
  </w:style>
  <w:style w:type="paragraph" w:customStyle="1" w:styleId="174">
    <w:name w:val="xl7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sz w:val="20"/>
      <w:szCs w:val="20"/>
    </w:rPr>
  </w:style>
  <w:style w:type="paragraph" w:customStyle="1" w:styleId="175">
    <w:name w:val="xl7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color w:val="FF0000"/>
      <w:sz w:val="20"/>
      <w:szCs w:val="20"/>
    </w:rPr>
  </w:style>
  <w:style w:type="paragraph" w:customStyle="1" w:styleId="176">
    <w:name w:val="xl7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77">
    <w:name w:val="xl79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78">
    <w:name w:val="xl7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79">
    <w:name w:val="xl7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80">
    <w:name w:val="xl7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81">
    <w:name w:val="xl79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sz w:val="20"/>
      <w:szCs w:val="20"/>
    </w:rPr>
  </w:style>
  <w:style w:type="paragraph" w:customStyle="1" w:styleId="182">
    <w:name w:val="xl79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83">
    <w:name w:val="xl799"/>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i/>
      <w:iCs/>
      <w:sz w:val="20"/>
      <w:szCs w:val="20"/>
    </w:rPr>
  </w:style>
  <w:style w:type="paragraph" w:customStyle="1" w:styleId="184">
    <w:name w:val="xl800"/>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85">
    <w:name w:val="xl801"/>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i/>
      <w:iCs/>
      <w:color w:val="FF0000"/>
      <w:sz w:val="20"/>
      <w:szCs w:val="20"/>
    </w:rPr>
  </w:style>
  <w:style w:type="paragraph" w:customStyle="1" w:styleId="186">
    <w:name w:val="xl802"/>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87">
    <w:name w:val="xl803"/>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88">
    <w:name w:val="xl80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i/>
      <w:iCs/>
      <w:sz w:val="20"/>
      <w:szCs w:val="20"/>
    </w:rPr>
  </w:style>
  <w:style w:type="paragraph" w:customStyle="1" w:styleId="189">
    <w:name w:val="xl805"/>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90">
    <w:name w:val="xl80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i/>
      <w:iCs/>
      <w:color w:val="FF0000"/>
      <w:sz w:val="20"/>
      <w:szCs w:val="20"/>
    </w:rPr>
  </w:style>
  <w:style w:type="paragraph" w:customStyle="1" w:styleId="191">
    <w:name w:val="xl807"/>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i/>
      <w:iCs/>
      <w:sz w:val="20"/>
      <w:szCs w:val="20"/>
    </w:rPr>
  </w:style>
  <w:style w:type="paragraph" w:customStyle="1" w:styleId="192">
    <w:name w:val="xl8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0"/>
      <w:szCs w:val="20"/>
    </w:rPr>
  </w:style>
  <w:style w:type="paragraph" w:customStyle="1" w:styleId="193">
    <w:name w:val="xl8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color w:val="FF0000"/>
      <w:sz w:val="20"/>
      <w:szCs w:val="20"/>
    </w:rPr>
  </w:style>
  <w:style w:type="paragraph" w:customStyle="1" w:styleId="194">
    <w:name w:val="xl8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95">
    <w:name w:val="xl811"/>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96">
    <w:name w:val="xl81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97">
    <w:name w:val="xl8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98">
    <w:name w:val="xl81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199">
    <w:name w:val="xl8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FF0000"/>
      <w:sz w:val="20"/>
      <w:szCs w:val="20"/>
    </w:rPr>
  </w:style>
  <w:style w:type="paragraph" w:customStyle="1" w:styleId="200">
    <w:name w:val="xl8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FF0000"/>
      <w:sz w:val="20"/>
      <w:szCs w:val="20"/>
    </w:rPr>
  </w:style>
  <w:style w:type="paragraph" w:customStyle="1" w:styleId="201">
    <w:name w:val="xl8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FF0000"/>
      <w:sz w:val="20"/>
      <w:szCs w:val="20"/>
    </w:rPr>
  </w:style>
  <w:style w:type="paragraph" w:customStyle="1" w:styleId="202">
    <w:name w:val="msonormal"/>
    <w:basedOn w:val="1"/>
    <w:qFormat/>
    <w:uiPriority w:val="0"/>
    <w:pPr>
      <w:spacing w:before="100" w:beforeAutospacing="1" w:after="100" w:afterAutospacing="1"/>
    </w:pPr>
  </w:style>
  <w:style w:type="paragraph" w:customStyle="1" w:styleId="203">
    <w:name w:val="xl8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0"/>
      <w:szCs w:val="20"/>
    </w:rPr>
  </w:style>
  <w:style w:type="paragraph" w:customStyle="1" w:styleId="204">
    <w:name w:val="xl8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color w:val="FF0000"/>
      <w:sz w:val="20"/>
      <w:szCs w:val="20"/>
    </w:rPr>
  </w:style>
  <w:style w:type="paragraph" w:customStyle="1" w:styleId="205">
    <w:name w:val="xl8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06">
    <w:name w:val="xl82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207">
    <w:name w:val="xl82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08">
    <w:name w:val="xl8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09">
    <w:name w:val="xl8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210">
    <w:name w:val="xl8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lang w:val="vi-VN" w:eastAsia="vi-VN"/>
    </w:rPr>
  </w:style>
  <w:style w:type="character" w:customStyle="1" w:styleId="211">
    <w:name w:val="font81"/>
    <w:qFormat/>
    <w:uiPriority w:val="0"/>
    <w:rPr>
      <w:rFonts w:hint="default" w:ascii="Times New Roman" w:hAnsi="Times New Roman" w:cs="Times New Roman"/>
      <w:b/>
      <w:bCs/>
      <w:color w:val="000000"/>
      <w:u w:val="none"/>
      <w:vertAlign w:val="superscript"/>
    </w:rPr>
  </w:style>
  <w:style w:type="paragraph" w:customStyle="1" w:styleId="212">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213">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214">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215">
    <w:name w:val="xl83"/>
    <w:basedOn w:val="1"/>
    <w:qFormat/>
    <w:uiPriority w:val="0"/>
    <w:pPr>
      <w:shd w:val="clear" w:color="000000" w:fill="FFFFFF"/>
      <w:spacing w:before="100" w:beforeAutospacing="1" w:after="100" w:afterAutospacing="1"/>
      <w:jc w:val="center"/>
      <w:textAlignment w:val="center"/>
    </w:pPr>
    <w:rPr>
      <w:b/>
      <w:bCs/>
    </w:rPr>
  </w:style>
  <w:style w:type="paragraph" w:customStyle="1" w:styleId="216">
    <w:name w:val="xl84"/>
    <w:basedOn w:val="1"/>
    <w:qFormat/>
    <w:uiPriority w:val="0"/>
    <w:pPr>
      <w:shd w:val="clear" w:color="000000" w:fill="FFFFFF"/>
      <w:spacing w:before="100" w:beforeAutospacing="1" w:after="100" w:afterAutospacing="1"/>
      <w:jc w:val="center"/>
      <w:textAlignment w:val="center"/>
    </w:pPr>
    <w:rPr>
      <w:i/>
      <w:iCs/>
    </w:rPr>
  </w:style>
  <w:style w:type="paragraph" w:customStyle="1" w:styleId="217">
    <w:name w:val="xl85"/>
    <w:basedOn w:val="1"/>
    <w:qFormat/>
    <w:uiPriority w:val="0"/>
    <w:pPr>
      <w:shd w:val="clear" w:color="000000" w:fill="FFFFFF"/>
      <w:spacing w:before="100" w:beforeAutospacing="1" w:after="100" w:afterAutospacing="1"/>
      <w:textAlignment w:val="center"/>
    </w:pPr>
  </w:style>
  <w:style w:type="paragraph" w:customStyle="1" w:styleId="218">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219">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220">
    <w:name w:val="xl8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rPr>
  </w:style>
  <w:style w:type="paragraph" w:customStyle="1" w:styleId="221">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rPr>
  </w:style>
  <w:style w:type="paragraph" w:customStyle="1" w:styleId="222">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rPr>
  </w:style>
  <w:style w:type="paragraph" w:customStyle="1" w:styleId="223">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i/>
      <w:iCs/>
    </w:rPr>
  </w:style>
  <w:style w:type="paragraph" w:customStyle="1" w:styleId="224">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225">
    <w:name w:val="xl93"/>
    <w:basedOn w:val="1"/>
    <w:qFormat/>
    <w:uiPriority w:val="0"/>
    <w:pPr>
      <w:shd w:val="clear" w:color="000000" w:fill="FFFFFF"/>
      <w:spacing w:before="100" w:beforeAutospacing="1" w:after="100" w:afterAutospacing="1"/>
      <w:textAlignment w:val="center"/>
    </w:pPr>
    <w:rPr>
      <w:b/>
      <w:bCs/>
    </w:rPr>
  </w:style>
  <w:style w:type="paragraph" w:customStyle="1" w:styleId="226">
    <w:name w:val="xl94"/>
    <w:basedOn w:val="1"/>
    <w:qFormat/>
    <w:uiPriority w:val="0"/>
    <w:pPr>
      <w:shd w:val="clear" w:color="000000" w:fill="FFFFFF"/>
      <w:spacing w:before="100" w:beforeAutospacing="1" w:after="100" w:afterAutospacing="1"/>
      <w:textAlignment w:val="center"/>
    </w:pPr>
    <w:rPr>
      <w:i/>
      <w:iCs/>
    </w:rPr>
  </w:style>
  <w:style w:type="paragraph" w:customStyle="1" w:styleId="227">
    <w:name w:val="xl95"/>
    <w:basedOn w:val="1"/>
    <w:qFormat/>
    <w:uiPriority w:val="0"/>
    <w:pPr>
      <w:shd w:val="clear" w:color="000000" w:fill="FFFFFF"/>
      <w:spacing w:before="100" w:beforeAutospacing="1" w:after="100" w:afterAutospacing="1"/>
      <w:textAlignment w:val="center"/>
    </w:pPr>
    <w:rPr>
      <w:b/>
      <w:bCs/>
      <w:i/>
      <w:iCs/>
    </w:rPr>
  </w:style>
  <w:style w:type="paragraph" w:customStyle="1" w:styleId="228">
    <w:name w:val="xl96"/>
    <w:basedOn w:val="1"/>
    <w:qFormat/>
    <w:uiPriority w:val="0"/>
    <w:pPr>
      <w:shd w:val="clear" w:color="000000" w:fill="FFFFFF"/>
      <w:spacing w:before="100" w:beforeAutospacing="1" w:after="100" w:afterAutospacing="1"/>
      <w:textAlignment w:val="center"/>
    </w:pPr>
  </w:style>
  <w:style w:type="paragraph" w:customStyle="1" w:styleId="229">
    <w:name w:val="xl97"/>
    <w:basedOn w:val="1"/>
    <w:qFormat/>
    <w:uiPriority w:val="0"/>
    <w:pPr>
      <w:shd w:val="clear" w:color="000000" w:fill="FFFFFF"/>
      <w:spacing w:before="100" w:beforeAutospacing="1" w:after="100" w:afterAutospacing="1"/>
      <w:textAlignment w:val="center"/>
    </w:pPr>
    <w:rPr>
      <w:b/>
      <w:bCs/>
    </w:rPr>
  </w:style>
  <w:style w:type="paragraph" w:customStyle="1" w:styleId="230">
    <w:name w:val="xl98"/>
    <w:basedOn w:val="1"/>
    <w:qFormat/>
    <w:uiPriority w:val="0"/>
    <w:pPr>
      <w:shd w:val="clear" w:color="000000" w:fill="FFFFFF"/>
      <w:spacing w:before="100" w:beforeAutospacing="1" w:after="100" w:afterAutospacing="1"/>
      <w:jc w:val="right"/>
      <w:textAlignment w:val="center"/>
    </w:pPr>
  </w:style>
  <w:style w:type="paragraph" w:customStyle="1" w:styleId="231">
    <w:name w:val="xl99"/>
    <w:basedOn w:val="1"/>
    <w:qFormat/>
    <w:uiPriority w:val="0"/>
    <w:pPr>
      <w:shd w:val="clear" w:color="000000" w:fill="FFFFFF"/>
      <w:spacing w:before="100" w:beforeAutospacing="1" w:after="100" w:afterAutospacing="1"/>
      <w:jc w:val="right"/>
      <w:textAlignment w:val="center"/>
    </w:pPr>
    <w:rPr>
      <w:b/>
      <w:bCs/>
    </w:rPr>
  </w:style>
  <w:style w:type="paragraph" w:customStyle="1" w:styleId="232">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233">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23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235">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236">
    <w:name w:val="xl104"/>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237">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238">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23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240">
    <w:name w:val="xl1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241">
    <w:name w:val="xl10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242">
    <w:name w:val="xl11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243">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244">
    <w:name w:val="xl11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245">
    <w:name w:val="xl11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246">
    <w:name w:val="xl11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rPr>
  </w:style>
  <w:style w:type="paragraph" w:customStyle="1" w:styleId="247">
    <w:name w:val="xl1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rPr>
  </w:style>
  <w:style w:type="paragraph" w:customStyle="1" w:styleId="248">
    <w:name w:val="xl11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rPr>
  </w:style>
  <w:style w:type="paragraph" w:customStyle="1" w:styleId="249">
    <w:name w:val="xl1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i/>
      <w:iCs/>
    </w:rPr>
  </w:style>
  <w:style w:type="paragraph" w:customStyle="1" w:styleId="250">
    <w:name w:val="xl1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i/>
      <w:iCs/>
    </w:rPr>
  </w:style>
  <w:style w:type="paragraph" w:customStyle="1" w:styleId="251">
    <w:name w:val="xl1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252">
    <w:name w:val="xl12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rPr>
  </w:style>
  <w:style w:type="paragraph" w:customStyle="1" w:styleId="253">
    <w:name w:val="xl12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254">
    <w:name w:val="xl12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255">
    <w:name w:val="xl12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rPr>
  </w:style>
  <w:style w:type="paragraph" w:customStyle="1" w:styleId="256">
    <w:name w:val="xl1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257">
    <w:name w:val="xl125"/>
    <w:basedOn w:val="1"/>
    <w:qFormat/>
    <w:uiPriority w:val="0"/>
    <w:pPr>
      <w:shd w:val="clear" w:color="000000" w:fill="FFFFFF"/>
      <w:spacing w:before="100" w:beforeAutospacing="1" w:after="100" w:afterAutospacing="1"/>
      <w:textAlignment w:val="center"/>
    </w:pPr>
    <w:rPr>
      <w:b/>
      <w:bCs/>
    </w:rPr>
  </w:style>
  <w:style w:type="paragraph" w:customStyle="1" w:styleId="258">
    <w:name w:val="xl12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259">
    <w:name w:val="xl12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260">
    <w:name w:val="xl12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261">
    <w:name w:val="xl129"/>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262">
    <w:name w:val="xl130"/>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263">
    <w:name w:val="xl131"/>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264">
    <w:name w:val="xl132"/>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265">
    <w:name w:val="xl13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266">
    <w:name w:val="xl13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267">
    <w:name w:val="xl899"/>
    <w:basedOn w:val="1"/>
    <w:qFormat/>
    <w:uiPriority w:val="0"/>
    <w:pPr>
      <w:spacing w:before="100" w:beforeAutospacing="1" w:after="100" w:afterAutospacing="1"/>
    </w:pPr>
  </w:style>
  <w:style w:type="paragraph" w:customStyle="1" w:styleId="268">
    <w:name w:val="xl900"/>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style>
  <w:style w:type="paragraph" w:customStyle="1" w:styleId="269">
    <w:name w:val="xl901"/>
    <w:basedOn w:val="1"/>
    <w:qFormat/>
    <w:uiPriority w:val="0"/>
    <w:pPr>
      <w:spacing w:before="100" w:beforeAutospacing="1" w:after="100" w:afterAutospacing="1"/>
      <w:textAlignment w:val="top"/>
    </w:pPr>
  </w:style>
  <w:style w:type="paragraph" w:customStyle="1" w:styleId="270">
    <w:name w:val="xl902"/>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center"/>
      <w:textAlignment w:val="center"/>
    </w:pPr>
    <w:rPr>
      <w:b/>
      <w:bCs/>
    </w:rPr>
  </w:style>
  <w:style w:type="paragraph" w:customStyle="1" w:styleId="271">
    <w:name w:val="xl903"/>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textAlignment w:val="center"/>
    </w:pPr>
    <w:rPr>
      <w:b/>
      <w:bCs/>
    </w:rPr>
  </w:style>
  <w:style w:type="paragraph" w:customStyle="1" w:styleId="272">
    <w:name w:val="xl904"/>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rPr>
      <w:b/>
      <w:bCs/>
    </w:rPr>
  </w:style>
  <w:style w:type="paragraph" w:customStyle="1" w:styleId="273">
    <w:name w:val="xl905"/>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rPr>
      <w:b/>
      <w:bCs/>
    </w:rPr>
  </w:style>
  <w:style w:type="paragraph" w:customStyle="1" w:styleId="274">
    <w:name w:val="xl906"/>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rPr>
      <w:b/>
      <w:bCs/>
    </w:rPr>
  </w:style>
  <w:style w:type="paragraph" w:customStyle="1" w:styleId="275">
    <w:name w:val="xl907"/>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style>
  <w:style w:type="paragraph" w:customStyle="1" w:styleId="276">
    <w:name w:val="xl908"/>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textAlignment w:val="center"/>
    </w:pPr>
    <w:rPr>
      <w:b/>
      <w:bCs/>
    </w:rPr>
  </w:style>
  <w:style w:type="paragraph" w:customStyle="1" w:styleId="277">
    <w:name w:val="xl909"/>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textAlignment w:val="center"/>
    </w:pPr>
  </w:style>
  <w:style w:type="paragraph" w:customStyle="1" w:styleId="278">
    <w:name w:val="xl910"/>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style>
  <w:style w:type="paragraph" w:customStyle="1" w:styleId="279">
    <w:name w:val="xl911"/>
    <w:basedOn w:val="1"/>
    <w:uiPriority w:val="0"/>
    <w:pPr>
      <w:pBdr>
        <w:top w:val="single" w:color="333300" w:sz="4" w:space="0"/>
        <w:bottom w:val="single" w:color="333300" w:sz="4" w:space="0"/>
        <w:right w:val="single" w:color="333300" w:sz="4" w:space="0"/>
      </w:pBdr>
      <w:spacing w:before="100" w:beforeAutospacing="1" w:after="100" w:afterAutospacing="1"/>
      <w:jc w:val="center"/>
      <w:textAlignment w:val="center"/>
    </w:pPr>
    <w:rPr>
      <w:b/>
      <w:bCs/>
    </w:rPr>
  </w:style>
  <w:style w:type="paragraph" w:customStyle="1" w:styleId="280">
    <w:name w:val="xl912"/>
    <w:basedOn w:val="1"/>
    <w:uiPriority w:val="0"/>
    <w:pPr>
      <w:pBdr>
        <w:top w:val="single" w:color="333300" w:sz="4" w:space="0"/>
        <w:bottom w:val="single" w:color="333300" w:sz="4" w:space="0"/>
        <w:right w:val="single" w:color="333300" w:sz="4" w:space="0"/>
      </w:pBdr>
      <w:spacing w:before="100" w:beforeAutospacing="1" w:after="100" w:afterAutospacing="1"/>
      <w:jc w:val="right"/>
      <w:textAlignment w:val="center"/>
    </w:pPr>
    <w:rPr>
      <w:b/>
      <w:bCs/>
    </w:rPr>
  </w:style>
  <w:style w:type="paragraph" w:customStyle="1" w:styleId="281">
    <w:name w:val="xl913"/>
    <w:basedOn w:val="1"/>
    <w:qFormat/>
    <w:uiPriority w:val="0"/>
    <w:pPr>
      <w:pBdr>
        <w:top w:val="single" w:color="333300" w:sz="4" w:space="0"/>
        <w:bottom w:val="single" w:color="333300" w:sz="4" w:space="0"/>
        <w:right w:val="single" w:color="333300" w:sz="4" w:space="0"/>
      </w:pBdr>
      <w:spacing w:before="100" w:beforeAutospacing="1" w:after="100" w:afterAutospacing="1"/>
      <w:jc w:val="right"/>
      <w:textAlignment w:val="center"/>
    </w:pPr>
  </w:style>
  <w:style w:type="paragraph" w:customStyle="1" w:styleId="282">
    <w:name w:val="xl914"/>
    <w:basedOn w:val="1"/>
    <w:uiPriority w:val="0"/>
    <w:pPr>
      <w:pBdr>
        <w:top w:val="single" w:color="333300" w:sz="4" w:space="0"/>
        <w:bottom w:val="single" w:color="333300" w:sz="4" w:space="0"/>
        <w:right w:val="single" w:color="333300" w:sz="4" w:space="0"/>
      </w:pBdr>
      <w:spacing w:before="100" w:beforeAutospacing="1" w:after="100" w:afterAutospacing="1"/>
      <w:jc w:val="center"/>
      <w:textAlignment w:val="center"/>
    </w:pPr>
    <w:rPr>
      <w:b/>
      <w:bCs/>
    </w:rPr>
  </w:style>
  <w:style w:type="paragraph" w:customStyle="1" w:styleId="283">
    <w:name w:val="xl915"/>
    <w:basedOn w:val="1"/>
    <w:qFormat/>
    <w:uiPriority w:val="0"/>
    <w:pPr>
      <w:pBdr>
        <w:top w:val="single" w:color="333300" w:sz="4" w:space="0"/>
        <w:bottom w:val="single" w:color="333300" w:sz="4" w:space="0"/>
        <w:right w:val="single" w:color="333300" w:sz="4" w:space="0"/>
      </w:pBdr>
      <w:spacing w:before="100" w:beforeAutospacing="1" w:after="100" w:afterAutospacing="1"/>
      <w:jc w:val="center"/>
      <w:textAlignment w:val="center"/>
    </w:pPr>
  </w:style>
  <w:style w:type="paragraph" w:customStyle="1" w:styleId="284">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85">
    <w:name w:val="xl9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86">
    <w:name w:val="xl9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87">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88">
    <w:name w:val="xl920"/>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rPr>
      <w:b/>
      <w:bCs/>
    </w:rPr>
  </w:style>
  <w:style w:type="paragraph" w:customStyle="1" w:styleId="289">
    <w:name w:val="xl921"/>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style>
  <w:style w:type="paragraph" w:customStyle="1" w:styleId="290">
    <w:name w:val="xl9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291">
    <w:name w:val="xl923"/>
    <w:basedOn w:val="1"/>
    <w:uiPriority w:val="0"/>
    <w:pPr>
      <w:pBdr>
        <w:top w:val="single" w:color="333300" w:sz="4" w:space="0"/>
        <w:bottom w:val="single" w:color="333300" w:sz="4" w:space="0"/>
        <w:right w:val="single" w:color="333300" w:sz="4" w:space="0"/>
      </w:pBdr>
      <w:spacing w:before="100" w:beforeAutospacing="1" w:after="100" w:afterAutospacing="1"/>
      <w:jc w:val="center"/>
      <w:textAlignment w:val="center"/>
    </w:pPr>
    <w:rPr>
      <w:b/>
      <w:bCs/>
      <w:i/>
      <w:iCs/>
    </w:rPr>
  </w:style>
  <w:style w:type="paragraph" w:customStyle="1" w:styleId="292">
    <w:name w:val="xl924"/>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textAlignment w:val="center"/>
    </w:pPr>
    <w:rPr>
      <w:b/>
      <w:bCs/>
      <w:i/>
      <w:iCs/>
    </w:rPr>
  </w:style>
  <w:style w:type="paragraph" w:customStyle="1" w:styleId="293">
    <w:name w:val="xl925"/>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rPr>
      <w:b/>
      <w:bCs/>
      <w:i/>
      <w:iCs/>
    </w:rPr>
  </w:style>
  <w:style w:type="paragraph" w:customStyle="1" w:styleId="294">
    <w:name w:val="xl926"/>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rPr>
      <w:b/>
      <w:bCs/>
      <w:i/>
      <w:iCs/>
    </w:rPr>
  </w:style>
  <w:style w:type="paragraph" w:customStyle="1" w:styleId="295">
    <w:name w:val="xl927"/>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rPr>
      <w:b/>
      <w:bCs/>
      <w:i/>
      <w:iCs/>
    </w:rPr>
  </w:style>
  <w:style w:type="paragraph" w:customStyle="1" w:styleId="296">
    <w:name w:val="xl928"/>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rPr>
      <w:b/>
      <w:bCs/>
      <w:i/>
      <w:iCs/>
    </w:rPr>
  </w:style>
  <w:style w:type="paragraph" w:customStyle="1" w:styleId="297">
    <w:name w:val="xl929"/>
    <w:basedOn w:val="1"/>
    <w:uiPriority w:val="0"/>
    <w:pPr>
      <w:spacing w:before="100" w:beforeAutospacing="1" w:after="100" w:afterAutospacing="1"/>
    </w:pPr>
    <w:rPr>
      <w:b/>
      <w:bCs/>
      <w:i/>
      <w:iCs/>
    </w:rPr>
  </w:style>
  <w:style w:type="paragraph" w:customStyle="1" w:styleId="298">
    <w:name w:val="xl9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299">
    <w:name w:val="xl931"/>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center"/>
      <w:textAlignment w:val="center"/>
    </w:pPr>
    <w:rPr>
      <w:b/>
      <w:bCs/>
    </w:rPr>
  </w:style>
  <w:style w:type="paragraph" w:customStyle="1" w:styleId="300">
    <w:name w:val="xl932"/>
    <w:basedOn w:val="1"/>
    <w:uiPriority w:val="0"/>
    <w:pPr>
      <w:spacing w:before="100" w:beforeAutospacing="1" w:after="100" w:afterAutospacing="1"/>
    </w:pPr>
  </w:style>
  <w:style w:type="paragraph" w:customStyle="1" w:styleId="301">
    <w:name w:val="xl933"/>
    <w:basedOn w:val="1"/>
    <w:qFormat/>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style>
  <w:style w:type="paragraph" w:customStyle="1" w:styleId="302">
    <w:name w:val="xl934"/>
    <w:basedOn w:val="1"/>
    <w:uiPriority w:val="0"/>
    <w:pPr>
      <w:pBdr>
        <w:top w:val="single" w:color="333300" w:sz="4" w:space="0"/>
        <w:left w:val="single" w:color="333300" w:sz="4" w:space="0"/>
        <w:bottom w:val="single" w:color="333300" w:sz="4" w:space="0"/>
        <w:right w:val="single" w:color="333300" w:sz="4" w:space="0"/>
      </w:pBdr>
      <w:spacing w:before="100" w:beforeAutospacing="1" w:after="100" w:afterAutospacing="1"/>
      <w:jc w:val="right"/>
      <w:textAlignment w:val="center"/>
    </w:pPr>
  </w:style>
  <w:style w:type="paragraph" w:customStyle="1" w:styleId="303">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04">
    <w:name w:val="xl936"/>
    <w:basedOn w:val="1"/>
    <w:uiPriority w:val="0"/>
    <w:pPr>
      <w:spacing w:before="100" w:beforeAutospacing="1" w:after="100" w:afterAutospacing="1"/>
    </w:pPr>
    <w:rPr>
      <w:b/>
      <w:bCs/>
    </w:rPr>
  </w:style>
  <w:style w:type="paragraph" w:customStyle="1" w:styleId="305">
    <w:name w:val="xl93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06">
    <w:name w:val="xl93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07">
    <w:name w:val="xl939"/>
    <w:basedOn w:val="1"/>
    <w:uiPriority w:val="0"/>
    <w:pPr>
      <w:pBdr>
        <w:top w:val="single" w:color="333300" w:sz="4" w:space="0"/>
        <w:left w:val="single" w:color="333300" w:sz="4" w:space="0"/>
        <w:right w:val="single" w:color="333300" w:sz="4" w:space="0"/>
      </w:pBdr>
      <w:spacing w:before="100" w:beforeAutospacing="1" w:after="100" w:afterAutospacing="1"/>
      <w:jc w:val="center"/>
      <w:textAlignment w:val="center"/>
    </w:pPr>
    <w:rPr>
      <w:b/>
      <w:bCs/>
    </w:rPr>
  </w:style>
  <w:style w:type="paragraph" w:customStyle="1" w:styleId="308">
    <w:name w:val="xl940"/>
    <w:basedOn w:val="1"/>
    <w:uiPriority w:val="0"/>
    <w:pPr>
      <w:pBdr>
        <w:left w:val="single" w:color="333300" w:sz="4" w:space="0"/>
        <w:bottom w:val="single" w:color="333300" w:sz="4" w:space="0"/>
        <w:right w:val="single" w:color="333300" w:sz="4" w:space="0"/>
      </w:pBdr>
      <w:spacing w:before="100" w:beforeAutospacing="1" w:after="100" w:afterAutospacing="1"/>
      <w:jc w:val="center"/>
      <w:textAlignment w:val="center"/>
    </w:pPr>
    <w:rPr>
      <w:b/>
      <w:bCs/>
    </w:rPr>
  </w:style>
  <w:style w:type="paragraph" w:customStyle="1" w:styleId="309">
    <w:name w:val="Trung A4"/>
    <w:basedOn w:val="17"/>
    <w:uiPriority w:val="0"/>
    <w:pPr>
      <w:spacing w:before="100" w:beforeAutospacing="1" w:after="0" w:line="360" w:lineRule="auto"/>
      <w:ind w:left="69" w:firstLine="357"/>
      <w:jc w:val="both"/>
    </w:pPr>
    <w:rPr>
      <w:i w:val="0"/>
      <w:iCs w:val="0"/>
      <w:color w:val="auto"/>
      <w:sz w:val="26"/>
      <w:szCs w:val="26"/>
    </w:rPr>
  </w:style>
  <w:style w:type="paragraph" w:customStyle="1" w:styleId="310">
    <w:name w:val="xl1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311">
    <w:name w:val="xl1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12">
    <w:name w:val="xl1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313">
    <w:name w:val="xl1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314">
    <w:name w:val="xl13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315">
    <w:name w:val="xl140"/>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16">
    <w:name w:val="xl14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i/>
      <w:iCs/>
    </w:rPr>
  </w:style>
  <w:style w:type="paragraph" w:customStyle="1" w:styleId="317">
    <w:name w:val="xl14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318">
    <w:name w:val="xl1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319">
    <w:name w:val="xl14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20">
    <w:name w:val="xl14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21">
    <w:name w:val="xl14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322">
    <w:name w:val="xl14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323">
    <w:name w:val="xl14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24">
    <w:name w:val="xl149"/>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325">
    <w:name w:val="xl15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326">
    <w:name w:val="xl151"/>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right"/>
      <w:textAlignment w:val="center"/>
    </w:pPr>
    <w:rPr>
      <w:b/>
      <w:bCs/>
    </w:rPr>
  </w:style>
  <w:style w:type="paragraph" w:customStyle="1" w:styleId="327">
    <w:name w:val="xl152"/>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right"/>
      <w:textAlignment w:val="center"/>
    </w:pPr>
    <w:rPr>
      <w:b/>
      <w:bCs/>
      <w:i/>
      <w:iCs/>
    </w:rPr>
  </w:style>
  <w:style w:type="paragraph" w:customStyle="1" w:styleId="328">
    <w:name w:val="xl15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329">
    <w:name w:val="xl154"/>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30">
    <w:name w:val="xl155"/>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31">
    <w:name w:val="xl15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332">
    <w:name w:val="xl157"/>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33">
    <w:name w:val="xl158"/>
    <w:basedOn w:val="1"/>
    <w:qFormat/>
    <w:uiPriority w:val="0"/>
    <w:pPr>
      <w:pBdr>
        <w:top w:val="single" w:color="auto" w:sz="4" w:space="0"/>
        <w:left w:val="single" w:color="auto" w:sz="4" w:space="0"/>
      </w:pBdr>
      <w:shd w:val="clear" w:color="000000" w:fill="FFFFFF"/>
      <w:spacing w:before="100" w:beforeAutospacing="1" w:after="100" w:afterAutospacing="1"/>
      <w:jc w:val="center"/>
      <w:textAlignment w:val="center"/>
    </w:pPr>
    <w:rPr>
      <w:b/>
      <w:bCs/>
    </w:rPr>
  </w:style>
  <w:style w:type="paragraph" w:customStyle="1" w:styleId="334">
    <w:name w:val="xl159"/>
    <w:basedOn w:val="1"/>
    <w:qFormat/>
    <w:uiPriority w:val="0"/>
    <w:pPr>
      <w:pBdr>
        <w:top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335">
    <w:name w:val="xl16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rPr>
      <w:b/>
      <w:bCs/>
    </w:rPr>
  </w:style>
  <w:style w:type="paragraph" w:customStyle="1" w:styleId="336">
    <w:name w:val="xl161"/>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337">
    <w:name w:val="xl16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rPr>
  </w:style>
  <w:style w:type="paragraph" w:customStyle="1" w:styleId="338">
    <w:name w:val="xl16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rPr>
  </w:style>
  <w:style w:type="paragraph" w:customStyle="1" w:styleId="339">
    <w:name w:val="xl1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color w:val="FF0000"/>
    </w:rPr>
  </w:style>
  <w:style w:type="paragraph" w:customStyle="1" w:styleId="340">
    <w:name w:val="xl165"/>
    <w:basedOn w:val="1"/>
    <w:uiPriority w:val="0"/>
    <w:pPr>
      <w:shd w:val="clear" w:color="000000" w:fill="FFFFFF"/>
      <w:spacing w:before="100" w:beforeAutospacing="1" w:after="100" w:afterAutospacing="1"/>
      <w:textAlignment w:val="center"/>
    </w:pPr>
    <w:rPr>
      <w:i/>
      <w:iCs/>
      <w:color w:val="FF0000"/>
    </w:rPr>
  </w:style>
  <w:style w:type="paragraph" w:customStyle="1" w:styleId="341">
    <w:name w:val="xl1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color w:val="FF0000"/>
    </w:rPr>
  </w:style>
  <w:style w:type="paragraph" w:customStyle="1" w:styleId="342">
    <w:name w:val="xl167"/>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i/>
      <w:iCs/>
      <w:color w:val="FF0000"/>
    </w:rPr>
  </w:style>
  <w:style w:type="paragraph" w:customStyle="1" w:styleId="343">
    <w:name w:val="xl1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color w:val="FF0000"/>
    </w:rPr>
  </w:style>
  <w:style w:type="paragraph" w:customStyle="1" w:styleId="344">
    <w:name w:val="xl16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i/>
      <w:iCs/>
      <w:color w:val="FF0000"/>
    </w:rPr>
  </w:style>
  <w:style w:type="paragraph" w:customStyle="1" w:styleId="345">
    <w:name w:val="xl1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i/>
      <w:iCs/>
      <w:color w:val="FF0000"/>
    </w:rPr>
  </w:style>
  <w:style w:type="paragraph" w:customStyle="1" w:styleId="346">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i/>
      <w:iCs/>
      <w:color w:val="000000"/>
    </w:rPr>
  </w:style>
  <w:style w:type="paragraph" w:customStyle="1" w:styleId="347">
    <w:name w:val="xl942"/>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b/>
      <w:bCs/>
    </w:rPr>
  </w:style>
  <w:style w:type="paragraph" w:customStyle="1" w:styleId="348">
    <w:name w:val="xl943"/>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349">
    <w:name w:val="xl9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50">
    <w:name w:val="xl945"/>
    <w:basedOn w:val="1"/>
    <w:uiPriority w:val="0"/>
    <w:pPr>
      <w:pBdr>
        <w:top w:val="single" w:color="auto" w:sz="4" w:space="0"/>
        <w:bottom w:val="single" w:color="auto" w:sz="4" w:space="0"/>
        <w:right w:val="single" w:color="auto" w:sz="4" w:space="0"/>
      </w:pBdr>
      <w:spacing w:before="100" w:beforeAutospacing="1" w:after="100" w:afterAutospacing="1"/>
      <w:textAlignment w:val="top"/>
    </w:pPr>
    <w:rPr>
      <w:i/>
      <w:iCs/>
      <w:color w:val="000000"/>
    </w:rPr>
  </w:style>
  <w:style w:type="paragraph" w:customStyle="1" w:styleId="351">
    <w:name w:val="xl946"/>
    <w:basedOn w:val="1"/>
    <w:qFormat/>
    <w:uiPriority w:val="0"/>
    <w:pPr>
      <w:pBdr>
        <w:left w:val="single" w:color="auto" w:sz="4" w:space="0"/>
        <w:right w:val="single" w:color="auto" w:sz="4" w:space="0"/>
      </w:pBdr>
      <w:spacing w:before="100" w:beforeAutospacing="1" w:after="100" w:afterAutospacing="1"/>
      <w:textAlignment w:val="center"/>
    </w:pPr>
    <w:rPr>
      <w:b/>
      <w:bCs/>
      <w:i/>
      <w:iCs/>
    </w:rPr>
  </w:style>
  <w:style w:type="paragraph" w:customStyle="1" w:styleId="352">
    <w:name w:val="xl9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53">
    <w:name w:val="xl9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rPr>
  </w:style>
  <w:style w:type="paragraph" w:customStyle="1" w:styleId="354">
    <w:name w:val="xl949"/>
    <w:basedOn w:val="1"/>
    <w:qFormat/>
    <w:uiPriority w:val="0"/>
    <w:pPr>
      <w:spacing w:before="100" w:beforeAutospacing="1" w:after="100" w:afterAutospacing="1"/>
      <w:textAlignment w:val="center"/>
    </w:pPr>
    <w:rPr>
      <w:i/>
      <w:iCs/>
    </w:rPr>
  </w:style>
  <w:style w:type="paragraph" w:customStyle="1" w:styleId="355">
    <w:name w:val="xl9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i/>
      <w:iCs/>
    </w:rPr>
  </w:style>
  <w:style w:type="paragraph" w:customStyle="1" w:styleId="356">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i/>
      <w:iCs/>
    </w:rPr>
  </w:style>
  <w:style w:type="paragraph" w:customStyle="1" w:styleId="357">
    <w:name w:val="xl9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358">
    <w:name w:val="xl953"/>
    <w:basedOn w:val="1"/>
    <w:uiPriority w:val="0"/>
    <w:pPr>
      <w:spacing w:before="100" w:beforeAutospacing="1" w:after="100" w:afterAutospacing="1"/>
      <w:jc w:val="center"/>
      <w:textAlignment w:val="center"/>
    </w:pPr>
    <w:rPr>
      <w:i/>
      <w:iCs/>
    </w:rPr>
  </w:style>
  <w:style w:type="paragraph" w:customStyle="1" w:styleId="359">
    <w:name w:val="xl954"/>
    <w:basedOn w:val="1"/>
    <w:qFormat/>
    <w:uiPriority w:val="0"/>
    <w:pPr>
      <w:spacing w:before="100" w:beforeAutospacing="1" w:after="100" w:afterAutospacing="1"/>
      <w:jc w:val="center"/>
      <w:textAlignment w:val="center"/>
    </w:pPr>
    <w:rPr>
      <w:b/>
      <w:bCs/>
      <w:i/>
      <w:iCs/>
    </w:rPr>
  </w:style>
  <w:style w:type="paragraph" w:customStyle="1" w:styleId="360">
    <w:name w:val="xl955"/>
    <w:basedOn w:val="1"/>
    <w:qFormat/>
    <w:uiPriority w:val="0"/>
    <w:pPr>
      <w:spacing w:before="100" w:beforeAutospacing="1" w:after="100" w:afterAutospacing="1"/>
      <w:textAlignment w:val="center"/>
    </w:pPr>
  </w:style>
  <w:style w:type="paragraph" w:customStyle="1" w:styleId="361">
    <w:name w:val="xl956"/>
    <w:basedOn w:val="1"/>
    <w:qFormat/>
    <w:uiPriority w:val="0"/>
    <w:pPr>
      <w:spacing w:before="100" w:beforeAutospacing="1" w:after="100" w:afterAutospacing="1"/>
      <w:textAlignment w:val="center"/>
    </w:pPr>
    <w:rPr>
      <w:i/>
      <w:iCs/>
    </w:rPr>
  </w:style>
  <w:style w:type="paragraph" w:customStyle="1" w:styleId="362">
    <w:name w:val="xl957"/>
    <w:basedOn w:val="1"/>
    <w:qFormat/>
    <w:uiPriority w:val="0"/>
    <w:pPr>
      <w:spacing w:before="100" w:beforeAutospacing="1" w:after="100" w:afterAutospacing="1"/>
      <w:textAlignment w:val="center"/>
    </w:pPr>
    <w:rPr>
      <w:i/>
      <w:iCs/>
    </w:rPr>
  </w:style>
  <w:style w:type="character" w:customStyle="1" w:styleId="363">
    <w:name w:val="fontstyle01"/>
    <w:basedOn w:val="8"/>
    <w:qFormat/>
    <w:uiPriority w:val="0"/>
    <w:rPr>
      <w:rFonts w:hint="default" w:ascii="Times New Roman" w:hAnsi="Times New Roman" w:cs="Times New Roman"/>
      <w:color w:val="000000"/>
      <w:sz w:val="28"/>
      <w:szCs w:val="28"/>
    </w:rPr>
  </w:style>
  <w:style w:type="character" w:customStyle="1" w:styleId="364">
    <w:name w:val="Heading 1 Char"/>
    <w:basedOn w:val="8"/>
    <w:link w:val="2"/>
    <w:qFormat/>
    <w:uiPriority w:val="9"/>
    <w:rPr>
      <w:rFonts w:asciiTheme="majorHAnsi" w:hAnsiTheme="majorHAnsi" w:eastAsiaTheme="majorEastAsia" w:cstheme="majorBidi"/>
      <w:color w:val="376092" w:themeColor="accent1" w:themeShade="BF"/>
      <w:sz w:val="32"/>
      <w:szCs w:val="32"/>
    </w:rPr>
  </w:style>
  <w:style w:type="paragraph" w:customStyle="1" w:styleId="365">
    <w:name w:val="TOC Heading"/>
    <w:basedOn w:val="2"/>
    <w:next w:val="1"/>
    <w:unhideWhenUsed/>
    <w:qFormat/>
    <w:uiPriority w:val="39"/>
    <w:pPr>
      <w:spacing w:line="259" w:lineRule="auto"/>
      <w:outlineLvl w:val="9"/>
    </w:pPr>
  </w:style>
  <w:style w:type="paragraph" w:customStyle="1" w:styleId="366">
    <w:name w:val="xl691"/>
    <w:basedOn w:val="1"/>
    <w:uiPriority w:val="0"/>
    <w:pPr>
      <w:spacing w:before="100" w:beforeAutospacing="1" w:after="100" w:afterAutospacing="1"/>
      <w:textAlignment w:val="center"/>
    </w:pPr>
    <w:rPr>
      <w:b/>
      <w:bCs/>
      <w:color w:val="000000"/>
    </w:rPr>
  </w:style>
  <w:style w:type="paragraph" w:customStyle="1" w:styleId="367">
    <w:name w:val="xl692"/>
    <w:basedOn w:val="1"/>
    <w:qFormat/>
    <w:uiPriority w:val="0"/>
    <w:pPr>
      <w:spacing w:before="100" w:beforeAutospacing="1" w:after="100" w:afterAutospacing="1"/>
      <w:jc w:val="center"/>
      <w:textAlignment w:val="center"/>
    </w:pPr>
    <w:rPr>
      <w:i/>
      <w:iCs/>
      <w:color w:val="000000"/>
    </w:rPr>
  </w:style>
  <w:style w:type="paragraph" w:customStyle="1" w:styleId="368">
    <w:name w:val="xl693"/>
    <w:basedOn w:val="1"/>
    <w:qFormat/>
    <w:uiPriority w:val="0"/>
    <w:pPr>
      <w:spacing w:before="100" w:beforeAutospacing="1" w:after="100" w:afterAutospacing="1"/>
      <w:textAlignment w:val="center"/>
    </w:pPr>
    <w:rPr>
      <w:color w:val="000000"/>
    </w:rPr>
  </w:style>
  <w:style w:type="paragraph" w:customStyle="1" w:styleId="369">
    <w:name w:val="xl694"/>
    <w:basedOn w:val="1"/>
    <w:uiPriority w:val="0"/>
    <w:pPr>
      <w:spacing w:before="100" w:beforeAutospacing="1" w:after="100" w:afterAutospacing="1"/>
      <w:textAlignment w:val="center"/>
    </w:pPr>
    <w:rPr>
      <w:i/>
      <w:iCs/>
      <w:color w:val="000000"/>
    </w:rPr>
  </w:style>
  <w:style w:type="paragraph" w:customStyle="1" w:styleId="370">
    <w:name w:val="xl695"/>
    <w:basedOn w:val="1"/>
    <w:qFormat/>
    <w:uiPriority w:val="0"/>
    <w:pPr>
      <w:spacing w:before="100" w:beforeAutospacing="1" w:after="100" w:afterAutospacing="1"/>
      <w:jc w:val="center"/>
      <w:textAlignment w:val="center"/>
    </w:pPr>
    <w:rPr>
      <w:i/>
      <w:iCs/>
      <w:color w:val="000000"/>
    </w:rPr>
  </w:style>
  <w:style w:type="paragraph" w:customStyle="1" w:styleId="371">
    <w:name w:val="xl696"/>
    <w:basedOn w:val="1"/>
    <w:qFormat/>
    <w:uiPriority w:val="0"/>
    <w:pPr>
      <w:spacing w:before="100" w:beforeAutospacing="1" w:after="100" w:afterAutospacing="1"/>
      <w:jc w:val="center"/>
      <w:textAlignment w:val="center"/>
    </w:pPr>
    <w:rPr>
      <w:i/>
      <w:iCs/>
      <w:color w:val="000000"/>
    </w:rPr>
  </w:style>
  <w:style w:type="paragraph" w:customStyle="1" w:styleId="372">
    <w:name w:val="xl697"/>
    <w:basedOn w:val="1"/>
    <w:uiPriority w:val="0"/>
    <w:pPr>
      <w:pBdr>
        <w:top w:val="single" w:color="auto" w:sz="4" w:space="0"/>
        <w:bottom w:val="single" w:color="auto" w:sz="4" w:space="0"/>
      </w:pBdr>
      <w:spacing w:before="100" w:beforeAutospacing="1" w:after="100" w:afterAutospacing="1"/>
      <w:jc w:val="center"/>
      <w:textAlignment w:val="center"/>
    </w:pPr>
    <w:rPr>
      <w:i/>
      <w:iCs/>
      <w:color w:val="000000"/>
    </w:rPr>
  </w:style>
  <w:style w:type="paragraph" w:customStyle="1" w:styleId="373">
    <w:name w:val="xl698"/>
    <w:basedOn w:val="1"/>
    <w:uiPriority w:val="0"/>
    <w:pPr>
      <w:spacing w:before="100" w:beforeAutospacing="1" w:after="100" w:afterAutospacing="1"/>
      <w:jc w:val="center"/>
      <w:textAlignment w:val="center"/>
    </w:pPr>
    <w:rPr>
      <w:color w:val="000000"/>
    </w:rPr>
  </w:style>
  <w:style w:type="paragraph" w:customStyle="1" w:styleId="374">
    <w:name w:val="xl699"/>
    <w:basedOn w:val="1"/>
    <w:uiPriority w:val="0"/>
    <w:pPr>
      <w:spacing w:before="100" w:beforeAutospacing="1" w:after="100" w:afterAutospacing="1"/>
      <w:textAlignment w:val="center"/>
    </w:pPr>
    <w:rPr>
      <w:color w:val="000000"/>
    </w:rPr>
  </w:style>
  <w:style w:type="paragraph" w:customStyle="1" w:styleId="375">
    <w:name w:val="xl7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rPr>
  </w:style>
  <w:style w:type="paragraph" w:customStyle="1" w:styleId="376">
    <w:name w:val="xl7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color w:val="000000"/>
    </w:rPr>
  </w:style>
  <w:style w:type="paragraph" w:customStyle="1" w:styleId="377">
    <w:name w:val="font5"/>
    <w:basedOn w:val="1"/>
    <w:qFormat/>
    <w:uiPriority w:val="0"/>
    <w:pPr>
      <w:spacing w:before="100" w:beforeAutospacing="1" w:after="100" w:afterAutospacing="1"/>
    </w:pPr>
    <w:rPr>
      <w:b/>
      <w:bCs/>
      <w:color w:val="000000"/>
    </w:rPr>
  </w:style>
  <w:style w:type="paragraph" w:customStyle="1" w:styleId="378">
    <w:name w:val="font6"/>
    <w:basedOn w:val="1"/>
    <w:uiPriority w:val="0"/>
    <w:pPr>
      <w:spacing w:before="100" w:beforeAutospacing="1" w:after="100" w:afterAutospacing="1"/>
    </w:pPr>
    <w:rPr>
      <w:b/>
      <w:bCs/>
      <w:color w:val="000000"/>
    </w:rPr>
  </w:style>
  <w:style w:type="paragraph" w:customStyle="1" w:styleId="379">
    <w:name w:val="xl95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380">
    <w:name w:val="xl95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381">
    <w:name w:val="xl960"/>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382">
    <w:name w:val="xl961"/>
    <w:basedOn w:val="1"/>
    <w:uiPriority w:val="0"/>
    <w:pPr>
      <w:shd w:val="clear" w:color="000000" w:fill="FFFFFF"/>
      <w:spacing w:before="100" w:beforeAutospacing="1" w:after="100" w:afterAutospacing="1"/>
      <w:textAlignment w:val="center"/>
    </w:pPr>
  </w:style>
  <w:style w:type="paragraph" w:customStyle="1" w:styleId="383">
    <w:name w:val="xl96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384">
    <w:name w:val="xl96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385">
    <w:name w:val="xl9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386">
    <w:name w:val="xl9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387">
    <w:name w:val="xl9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388">
    <w:name w:val="xl967"/>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389">
    <w:name w:val="xl9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390">
    <w:name w:val="xl9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391">
    <w:name w:val="xl9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392">
    <w:name w:val="xl971"/>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right"/>
      <w:textAlignment w:val="center"/>
    </w:pPr>
    <w:rPr>
      <w:b/>
      <w:bCs/>
    </w:rPr>
  </w:style>
  <w:style w:type="paragraph" w:customStyle="1" w:styleId="393">
    <w:name w:val="xl9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style>
  <w:style w:type="paragraph" w:customStyle="1" w:styleId="394">
    <w:name w:val="xl973"/>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rPr>
  </w:style>
  <w:style w:type="paragraph" w:customStyle="1" w:styleId="395">
    <w:name w:val="xl974"/>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396">
    <w:name w:val="xl97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397">
    <w:name w:val="xl976"/>
    <w:basedOn w:val="1"/>
    <w:qFormat/>
    <w:uiPriority w:val="0"/>
    <w:pPr>
      <w:pBdr>
        <w:top w:val="single" w:color="auto" w:sz="4" w:space="0"/>
        <w:left w:val="single" w:color="auto" w:sz="4" w:space="0"/>
      </w:pBdr>
      <w:shd w:val="clear" w:color="000000" w:fill="FFFFFF"/>
      <w:spacing w:before="100" w:beforeAutospacing="1" w:after="100" w:afterAutospacing="1"/>
      <w:jc w:val="center"/>
      <w:textAlignment w:val="center"/>
    </w:pPr>
    <w:rPr>
      <w:b/>
      <w:bCs/>
    </w:rPr>
  </w:style>
  <w:style w:type="paragraph" w:customStyle="1" w:styleId="398">
    <w:name w:val="xl977"/>
    <w:basedOn w:val="1"/>
    <w:qFormat/>
    <w:uiPriority w:val="0"/>
    <w:pPr>
      <w:pBdr>
        <w:top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399">
    <w:name w:val="xl97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400">
    <w:name w:val="xl979"/>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401">
    <w:name w:val="xl980"/>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02">
    <w:name w:val="xl981"/>
    <w:basedOn w:val="1"/>
    <w:qFormat/>
    <w:uiPriority w:val="0"/>
    <w:pPr>
      <w:shd w:val="clear" w:color="000000" w:fill="FFFFFF"/>
      <w:spacing w:before="100" w:beforeAutospacing="1" w:after="100" w:afterAutospacing="1"/>
      <w:jc w:val="center"/>
      <w:textAlignment w:val="center"/>
    </w:pPr>
  </w:style>
  <w:style w:type="paragraph" w:customStyle="1" w:styleId="403">
    <w:name w:val="xl982"/>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04">
    <w:name w:val="xl983"/>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05">
    <w:name w:val="xl984"/>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06">
    <w:name w:val="xl98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07">
    <w:name w:val="xl986"/>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08">
    <w:name w:val="xl987"/>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09">
    <w:name w:val="xl988"/>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10">
    <w:name w:val="xl989"/>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11">
    <w:name w:val="xl990"/>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12">
    <w:name w:val="xl991"/>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13">
    <w:name w:val="xl992"/>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14">
    <w:name w:val="xl993"/>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15">
    <w:name w:val="xl994"/>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style>
  <w:style w:type="paragraph" w:customStyle="1" w:styleId="416">
    <w:name w:val="xl99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17">
    <w:name w:val="xl996"/>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18">
    <w:name w:val="xl997"/>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19">
    <w:name w:val="xl998"/>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20">
    <w:name w:val="xl9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421">
    <w:name w:val="xl100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422">
    <w:name w:val="xl100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423">
    <w:name w:val="xl1002"/>
    <w:basedOn w:val="1"/>
    <w:qFormat/>
    <w:uiPriority w:val="0"/>
    <w:pPr>
      <w:shd w:val="clear" w:color="000000" w:fill="FFFFFF"/>
      <w:spacing w:before="100" w:beforeAutospacing="1" w:after="100" w:afterAutospacing="1"/>
      <w:textAlignment w:val="center"/>
    </w:pPr>
    <w:rPr>
      <w:b/>
      <w:bCs/>
      <w:i/>
      <w:iCs/>
    </w:rPr>
  </w:style>
  <w:style w:type="paragraph" w:customStyle="1" w:styleId="424">
    <w:name w:val="xl1003"/>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425">
    <w:name w:val="xl1004"/>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426">
    <w:name w:val="xl1005"/>
    <w:basedOn w:val="1"/>
    <w:uiPriority w:val="0"/>
    <w:pPr>
      <w:pBdr>
        <w:left w:val="single" w:color="auto" w:sz="4" w:space="0"/>
        <w:right w:val="single" w:color="auto" w:sz="4" w:space="0"/>
      </w:pBdr>
      <w:shd w:val="clear" w:color="000000" w:fill="FFFFFF"/>
      <w:spacing w:before="100" w:beforeAutospacing="1" w:after="100" w:afterAutospacing="1"/>
      <w:textAlignment w:val="center"/>
    </w:pPr>
  </w:style>
  <w:style w:type="paragraph" w:customStyle="1" w:styleId="427">
    <w:name w:val="xl1006"/>
    <w:basedOn w:val="1"/>
    <w:qFormat/>
    <w:uiPriority w:val="0"/>
    <w:pPr>
      <w:pBdr>
        <w:left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428">
    <w:name w:val="xl1007"/>
    <w:basedOn w:val="1"/>
    <w:uiPriority w:val="0"/>
    <w:pPr>
      <w:pBdr>
        <w:top w:val="single" w:color="auto" w:sz="4" w:space="0"/>
        <w:left w:val="single" w:color="auto" w:sz="4" w:space="0"/>
      </w:pBdr>
      <w:shd w:val="clear" w:color="000000" w:fill="FFFFFF"/>
      <w:spacing w:before="100" w:beforeAutospacing="1" w:after="100" w:afterAutospacing="1"/>
      <w:jc w:val="center"/>
      <w:textAlignment w:val="center"/>
    </w:pPr>
  </w:style>
  <w:style w:type="paragraph" w:customStyle="1" w:styleId="429">
    <w:name w:val="xl1008"/>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430">
    <w:name w:val="xl1009"/>
    <w:basedOn w:val="1"/>
    <w:uiPriority w:val="0"/>
    <w:pPr>
      <w:pBdr>
        <w:left w:val="single" w:color="auto" w:sz="4" w:space="0"/>
        <w:right w:val="single" w:color="auto" w:sz="4" w:space="0"/>
      </w:pBdr>
      <w:shd w:val="clear" w:color="000000" w:fill="FFFFFF"/>
      <w:spacing w:before="100" w:beforeAutospacing="1" w:after="100" w:afterAutospacing="1"/>
      <w:textAlignment w:val="center"/>
    </w:pPr>
  </w:style>
  <w:style w:type="paragraph" w:customStyle="1" w:styleId="431">
    <w:name w:val="xl1010"/>
    <w:basedOn w:val="1"/>
    <w:uiPriority w:val="0"/>
    <w:pPr>
      <w:pBdr>
        <w:left w:val="single" w:color="auto" w:sz="4" w:space="0"/>
      </w:pBdr>
      <w:shd w:val="clear" w:color="000000" w:fill="FFFFFF"/>
      <w:spacing w:before="100" w:beforeAutospacing="1" w:after="100" w:afterAutospacing="1"/>
      <w:jc w:val="center"/>
      <w:textAlignment w:val="center"/>
    </w:pPr>
  </w:style>
  <w:style w:type="paragraph" w:customStyle="1" w:styleId="432">
    <w:name w:val="xl10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433">
    <w:name w:val="xl10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34">
    <w:name w:val="xl1013"/>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35">
    <w:name w:val="xl101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36">
    <w:name w:val="xl10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437">
    <w:name w:val="xl1016"/>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style>
  <w:style w:type="paragraph" w:customStyle="1" w:styleId="438">
    <w:name w:val="xl1017"/>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style>
  <w:style w:type="paragraph" w:customStyle="1" w:styleId="439">
    <w:name w:val="xl1018"/>
    <w:basedOn w:val="1"/>
    <w:uiPriority w:val="0"/>
    <w:pPr>
      <w:pBdr>
        <w:top w:val="single" w:color="auto" w:sz="4" w:space="0"/>
        <w:left w:val="single" w:color="auto" w:sz="4" w:space="0"/>
      </w:pBdr>
      <w:shd w:val="clear" w:color="000000" w:fill="FFFFFF"/>
      <w:spacing w:before="100" w:beforeAutospacing="1" w:after="100" w:afterAutospacing="1"/>
      <w:jc w:val="center"/>
      <w:textAlignment w:val="center"/>
    </w:pPr>
  </w:style>
  <w:style w:type="paragraph" w:customStyle="1" w:styleId="440">
    <w:name w:val="xl101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441">
    <w:name w:val="xl102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42">
    <w:name w:val="xl1021"/>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443">
    <w:name w:val="xl1022"/>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44">
    <w:name w:val="xl102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45">
    <w:name w:val="xl10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446">
    <w:name w:val="xl10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47">
    <w:name w:val="xl1026"/>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style>
  <w:style w:type="paragraph" w:customStyle="1" w:styleId="448">
    <w:name w:val="xl10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449">
    <w:name w:val="xl102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rPr>
  </w:style>
  <w:style w:type="paragraph" w:customStyle="1" w:styleId="450">
    <w:name w:val="xl102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51">
    <w:name w:val="xl103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452">
    <w:name w:val="xl1031"/>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53">
    <w:name w:val="xl10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54">
    <w:name w:val="xl1033"/>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455">
    <w:name w:val="xl1034"/>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56">
    <w:name w:val="xl1035"/>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457">
    <w:name w:val="xl10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458">
    <w:name w:val="xl10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459">
    <w:name w:val="xl1038"/>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460">
    <w:name w:val="xl103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461">
    <w:name w:val="xl104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462">
    <w:name w:val="xl1041"/>
    <w:basedOn w:val="1"/>
    <w:qFormat/>
    <w:uiPriority w:val="0"/>
    <w:pPr>
      <w:pBdr>
        <w:left w:val="single" w:color="auto" w:sz="4" w:space="0"/>
        <w:right w:val="single" w:color="auto" w:sz="4" w:space="0"/>
      </w:pBdr>
      <w:shd w:val="clear" w:color="000000" w:fill="FFFFFF"/>
      <w:spacing w:before="100" w:beforeAutospacing="1" w:after="100" w:afterAutospacing="1"/>
      <w:textAlignment w:val="center"/>
    </w:pPr>
    <w:rPr>
      <w:i/>
      <w:iCs/>
    </w:rPr>
  </w:style>
  <w:style w:type="paragraph" w:customStyle="1" w:styleId="463">
    <w:name w:val="xl104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rPr>
  </w:style>
  <w:style w:type="paragraph" w:customStyle="1" w:styleId="464">
    <w:name w:val="xl10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65">
    <w:name w:val="xl1044"/>
    <w:basedOn w:val="1"/>
    <w:qFormat/>
    <w:uiPriority w:val="0"/>
    <w:pPr>
      <w:pBdr>
        <w:left w:val="single" w:color="auto" w:sz="4" w:space="0"/>
      </w:pBdr>
      <w:shd w:val="clear" w:color="000000" w:fill="FFFFFF"/>
      <w:spacing w:before="100" w:beforeAutospacing="1" w:after="100" w:afterAutospacing="1"/>
      <w:jc w:val="center"/>
      <w:textAlignment w:val="center"/>
    </w:pPr>
  </w:style>
  <w:style w:type="paragraph" w:customStyle="1" w:styleId="466">
    <w:name w:val="xl1045"/>
    <w:basedOn w:val="1"/>
    <w:qFormat/>
    <w:uiPriority w:val="0"/>
    <w:pPr>
      <w:shd w:val="clear" w:color="000000" w:fill="FFFFFF"/>
      <w:spacing w:before="100" w:beforeAutospacing="1" w:after="100" w:afterAutospacing="1"/>
      <w:jc w:val="center"/>
      <w:textAlignment w:val="center"/>
    </w:pPr>
    <w:rPr>
      <w:i/>
      <w:iCs/>
    </w:rPr>
  </w:style>
  <w:style w:type="paragraph" w:customStyle="1" w:styleId="467">
    <w:name w:val="xl1046"/>
    <w:basedOn w:val="1"/>
    <w:qFormat/>
    <w:uiPriority w:val="0"/>
    <w:pPr>
      <w:pBdr>
        <w:left w:val="single" w:color="auto" w:sz="4" w:space="0"/>
        <w:bottom w:val="single" w:color="auto" w:sz="4" w:space="0"/>
      </w:pBdr>
      <w:shd w:val="clear" w:color="000000" w:fill="FFFFFF"/>
      <w:spacing w:before="100" w:beforeAutospacing="1" w:after="100" w:afterAutospacing="1"/>
      <w:jc w:val="center"/>
      <w:textAlignment w:val="center"/>
    </w:pPr>
    <w:rPr>
      <w:b/>
      <w:bCs/>
    </w:rPr>
  </w:style>
  <w:style w:type="paragraph" w:customStyle="1" w:styleId="468">
    <w:name w:val="xl1047"/>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rPr>
      <w:b/>
      <w:bCs/>
    </w:rPr>
  </w:style>
  <w:style w:type="paragraph" w:customStyle="1" w:styleId="469">
    <w:name w:val="xl104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70">
    <w:name w:val="xl1049"/>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71">
    <w:name w:val="xl105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i/>
      <w:iCs/>
    </w:rPr>
  </w:style>
  <w:style w:type="paragraph" w:customStyle="1" w:styleId="472">
    <w:name w:val="xl105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rPr>
  </w:style>
  <w:style w:type="paragraph" w:customStyle="1" w:styleId="473">
    <w:name w:val="xl1052"/>
    <w:basedOn w:val="1"/>
    <w:qFormat/>
    <w:uiPriority w:val="0"/>
    <w:pPr>
      <w:pBdr>
        <w:top w:val="single" w:color="auto" w:sz="4" w:space="0"/>
        <w:left w:val="single" w:color="auto" w:sz="4" w:space="0"/>
      </w:pBdr>
      <w:shd w:val="clear" w:color="000000" w:fill="FFFFFF"/>
      <w:spacing w:before="100" w:beforeAutospacing="1" w:after="100" w:afterAutospacing="1"/>
      <w:jc w:val="center"/>
      <w:textAlignment w:val="center"/>
    </w:pPr>
    <w:rPr>
      <w:b/>
      <w:bCs/>
    </w:rPr>
  </w:style>
  <w:style w:type="paragraph" w:customStyle="1" w:styleId="474">
    <w:name w:val="xl1053"/>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b/>
      <w:bCs/>
    </w:rPr>
  </w:style>
  <w:style w:type="paragraph" w:customStyle="1" w:styleId="475">
    <w:name w:val="xl1054"/>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76">
    <w:name w:val="xl105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477">
    <w:name w:val="xl1056"/>
    <w:basedOn w:val="1"/>
    <w:qFormat/>
    <w:uiPriority w:val="0"/>
    <w:pPr>
      <w:shd w:val="clear" w:color="000000" w:fill="FFFFFF"/>
      <w:spacing w:before="100" w:beforeAutospacing="1" w:after="100" w:afterAutospacing="1"/>
      <w:jc w:val="center"/>
      <w:textAlignment w:val="center"/>
    </w:pPr>
    <w:rPr>
      <w:i/>
      <w:iCs/>
    </w:rPr>
  </w:style>
  <w:style w:type="character" w:customStyle="1" w:styleId="478">
    <w:name w:val="Footnote Text Char"/>
    <w:basedOn w:val="8"/>
    <w:link w:val="25"/>
    <w:semiHidden/>
    <w:qFormat/>
    <w:uiPriority w:val="99"/>
    <w:rPr>
      <w:rFonts w:eastAsia="Times New Roman"/>
    </w:rPr>
  </w:style>
  <w:style w:type="paragraph" w:customStyle="1" w:styleId="479">
    <w:name w:val="xl1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80">
    <w:name w:val="xl1907"/>
    <w:basedOn w:val="1"/>
    <w:qFormat/>
    <w:uiPriority w:val="0"/>
    <w:pPr>
      <w:spacing w:before="100" w:beforeAutospacing="1" w:after="100" w:afterAutospacing="1"/>
      <w:jc w:val="center"/>
    </w:pPr>
  </w:style>
  <w:style w:type="paragraph" w:customStyle="1" w:styleId="481">
    <w:name w:val="xl1908"/>
    <w:basedOn w:val="1"/>
    <w:qFormat/>
    <w:uiPriority w:val="0"/>
    <w:pPr>
      <w:spacing w:before="100" w:beforeAutospacing="1" w:after="100" w:afterAutospacing="1"/>
    </w:pPr>
  </w:style>
  <w:style w:type="paragraph" w:customStyle="1" w:styleId="482">
    <w:name w:val="xl1909"/>
    <w:basedOn w:val="1"/>
    <w:qFormat/>
    <w:uiPriority w:val="0"/>
    <w:pPr>
      <w:spacing w:before="100" w:beforeAutospacing="1" w:after="100" w:afterAutospacing="1"/>
    </w:pPr>
    <w:rPr>
      <w:b/>
      <w:bCs/>
    </w:rPr>
  </w:style>
  <w:style w:type="paragraph" w:customStyle="1" w:styleId="483">
    <w:name w:val="xl19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84">
    <w:name w:val="xl19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485">
    <w:name w:val="xl19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486">
    <w:name w:val="xl19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487">
    <w:name w:val="xl19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488">
    <w:name w:val="xl19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489">
    <w:name w:val="xl1916"/>
    <w:basedOn w:val="1"/>
    <w:qFormat/>
    <w:uiPriority w:val="0"/>
    <w:pPr>
      <w:spacing w:before="100" w:beforeAutospacing="1" w:after="100" w:afterAutospacing="1"/>
      <w:jc w:val="center"/>
      <w:textAlignment w:val="center"/>
    </w:pPr>
  </w:style>
  <w:style w:type="paragraph" w:customStyle="1" w:styleId="490">
    <w:name w:val="xl1917"/>
    <w:basedOn w:val="1"/>
    <w:qFormat/>
    <w:uiPriority w:val="0"/>
    <w:pPr>
      <w:spacing w:before="100" w:beforeAutospacing="1" w:after="100" w:afterAutospacing="1"/>
    </w:pPr>
  </w:style>
  <w:style w:type="paragraph" w:customStyle="1" w:styleId="491">
    <w:name w:val="xl19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492">
    <w:name w:val="xl19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493">
    <w:name w:val="xl1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2"/>
      <w:szCs w:val="22"/>
    </w:rPr>
  </w:style>
  <w:style w:type="paragraph" w:customStyle="1" w:styleId="494">
    <w:name w:val="xl19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2"/>
      <w:szCs w:val="22"/>
    </w:rPr>
  </w:style>
  <w:style w:type="paragraph" w:customStyle="1" w:styleId="495">
    <w:name w:val="xl19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2"/>
      <w:szCs w:val="22"/>
    </w:rPr>
  </w:style>
  <w:style w:type="paragraph" w:customStyle="1" w:styleId="496">
    <w:name w:val="xl19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497">
    <w:name w:val="xl19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212529"/>
    </w:rPr>
  </w:style>
  <w:style w:type="paragraph" w:customStyle="1" w:styleId="498">
    <w:name w:val="xl19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212529"/>
    </w:rPr>
  </w:style>
  <w:style w:type="paragraph" w:customStyle="1" w:styleId="499">
    <w:name w:val="xl19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500">
    <w:name w:val="xl1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501">
    <w:name w:val="xl1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502">
    <w:name w:val="xl1929"/>
    <w:basedOn w:val="1"/>
    <w:qFormat/>
    <w:uiPriority w:val="0"/>
    <w:pPr>
      <w:spacing w:before="100" w:beforeAutospacing="1" w:after="100" w:afterAutospacing="1"/>
    </w:pPr>
  </w:style>
  <w:style w:type="paragraph" w:customStyle="1" w:styleId="503">
    <w:name w:val="xl19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504">
    <w:name w:val="xl19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505">
    <w:name w:val="xl19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2"/>
      <w:szCs w:val="22"/>
    </w:rPr>
  </w:style>
  <w:style w:type="paragraph" w:customStyle="1" w:styleId="506">
    <w:name w:val="xl19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507">
    <w:name w:val="xl1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08">
    <w:name w:val="xl1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509">
    <w:name w:val="xl1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510">
    <w:name w:val="xl1937"/>
    <w:basedOn w:val="1"/>
    <w:qFormat/>
    <w:uiPriority w:val="0"/>
    <w:pPr>
      <w:spacing w:before="100" w:beforeAutospacing="1" w:after="100" w:afterAutospacing="1"/>
      <w:textAlignment w:val="center"/>
    </w:pPr>
    <w:rPr>
      <w:b/>
      <w:bCs/>
    </w:rPr>
  </w:style>
  <w:style w:type="paragraph" w:customStyle="1" w:styleId="511">
    <w:name w:val="xl1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212529"/>
    </w:rPr>
  </w:style>
  <w:style w:type="paragraph" w:customStyle="1" w:styleId="512">
    <w:name w:val="xl1939"/>
    <w:basedOn w:val="1"/>
    <w:qFormat/>
    <w:uiPriority w:val="0"/>
    <w:pPr>
      <w:spacing w:before="100" w:beforeAutospacing="1" w:after="100" w:afterAutospacing="1"/>
    </w:pPr>
  </w:style>
  <w:style w:type="paragraph" w:customStyle="1" w:styleId="513">
    <w:name w:val="xl1940"/>
    <w:basedOn w:val="1"/>
    <w:qFormat/>
    <w:uiPriority w:val="0"/>
    <w:pPr>
      <w:spacing w:before="100" w:beforeAutospacing="1" w:after="100" w:afterAutospacing="1"/>
      <w:jc w:val="center"/>
      <w:textAlignment w:val="center"/>
    </w:pPr>
  </w:style>
  <w:style w:type="paragraph" w:customStyle="1" w:styleId="514">
    <w:name w:val="xl1941"/>
    <w:basedOn w:val="1"/>
    <w:qFormat/>
    <w:uiPriority w:val="0"/>
    <w:pPr>
      <w:spacing w:before="100" w:beforeAutospacing="1" w:after="100" w:afterAutospacing="1"/>
    </w:pPr>
    <w:rPr>
      <w:sz w:val="22"/>
      <w:szCs w:val="22"/>
    </w:rPr>
  </w:style>
  <w:style w:type="paragraph" w:customStyle="1" w:styleId="515">
    <w:name w:val="xl1942"/>
    <w:basedOn w:val="1"/>
    <w:qFormat/>
    <w:uiPriority w:val="0"/>
    <w:pPr>
      <w:spacing w:before="100" w:beforeAutospacing="1" w:after="100" w:afterAutospacing="1"/>
      <w:jc w:val="center"/>
      <w:textAlignment w:val="center"/>
    </w:pPr>
  </w:style>
  <w:style w:type="paragraph" w:customStyle="1" w:styleId="516">
    <w:name w:val="xl19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517">
    <w:name w:val="xl19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18">
    <w:name w:val="xl19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519">
    <w:name w:val="xl19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212529"/>
    </w:rPr>
  </w:style>
  <w:style w:type="paragraph" w:customStyle="1" w:styleId="520">
    <w:name w:val="xl19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21">
    <w:name w:val="xl19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22">
    <w:name w:val="xl1949"/>
    <w:basedOn w:val="1"/>
    <w:qFormat/>
    <w:uiPriority w:val="0"/>
    <w:pPr>
      <w:spacing w:before="100" w:beforeAutospacing="1" w:after="100" w:afterAutospacing="1"/>
    </w:pPr>
  </w:style>
  <w:style w:type="paragraph" w:customStyle="1" w:styleId="523">
    <w:name w:val="xl1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2"/>
      <w:szCs w:val="22"/>
    </w:rPr>
  </w:style>
  <w:style w:type="paragraph" w:customStyle="1" w:styleId="524">
    <w:name w:val="xl1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25">
    <w:name w:val="xl19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526">
    <w:name w:val="xl1953"/>
    <w:basedOn w:val="1"/>
    <w:qFormat/>
    <w:uiPriority w:val="0"/>
    <w:pPr>
      <w:pBdr>
        <w:left w:val="single" w:color="auto" w:sz="4" w:space="0"/>
      </w:pBdr>
      <w:spacing w:before="100" w:beforeAutospacing="1" w:after="100" w:afterAutospacing="1"/>
      <w:jc w:val="center"/>
      <w:textAlignment w:val="center"/>
    </w:pPr>
    <w:rPr>
      <w:b/>
      <w:bCs/>
    </w:rPr>
  </w:style>
  <w:style w:type="paragraph" w:customStyle="1" w:styleId="527">
    <w:name w:val="xl1954"/>
    <w:basedOn w:val="1"/>
    <w:qFormat/>
    <w:uiPriority w:val="0"/>
    <w:pPr>
      <w:spacing w:before="100" w:beforeAutospacing="1" w:after="100" w:afterAutospacing="1"/>
      <w:jc w:val="center"/>
      <w:textAlignment w:val="center"/>
    </w:pPr>
    <w:rPr>
      <w:b/>
      <w:bCs/>
    </w:rPr>
  </w:style>
  <w:style w:type="paragraph" w:customStyle="1" w:styleId="528">
    <w:name w:val="xl1955"/>
    <w:basedOn w:val="1"/>
    <w:qFormat/>
    <w:uiPriority w:val="0"/>
    <w:pPr>
      <w:pBdr>
        <w:left w:val="single" w:color="auto" w:sz="4" w:space="0"/>
        <w:bottom w:val="single" w:color="auto" w:sz="4" w:space="0"/>
      </w:pBdr>
      <w:spacing w:before="100" w:beforeAutospacing="1" w:after="100" w:afterAutospacing="1"/>
      <w:jc w:val="center"/>
      <w:textAlignment w:val="center"/>
    </w:pPr>
    <w:rPr>
      <w:i/>
      <w:iCs/>
    </w:rPr>
  </w:style>
  <w:style w:type="paragraph" w:customStyle="1" w:styleId="529">
    <w:name w:val="xl1956"/>
    <w:basedOn w:val="1"/>
    <w:qFormat/>
    <w:uiPriority w:val="0"/>
    <w:pPr>
      <w:pBdr>
        <w:bottom w:val="single" w:color="auto" w:sz="4" w:space="0"/>
      </w:pBdr>
      <w:spacing w:before="100" w:beforeAutospacing="1" w:after="100" w:afterAutospacing="1"/>
      <w:jc w:val="center"/>
      <w:textAlignment w:val="center"/>
    </w:pPr>
    <w:rPr>
      <w:i/>
      <w:iCs/>
    </w:rPr>
  </w:style>
  <w:style w:type="character" w:customStyle="1" w:styleId="530">
    <w:name w:val="Unresolved Mention1"/>
    <w:basedOn w:val="8"/>
    <w:semiHidden/>
    <w:unhideWhenUsed/>
    <w:qFormat/>
    <w:uiPriority w:val="99"/>
    <w:rPr>
      <w:color w:val="605E5C"/>
      <w:shd w:val="clear" w:color="auto" w:fill="E1DFDD"/>
    </w:rPr>
  </w:style>
  <w:style w:type="paragraph" w:customStyle="1" w:styleId="531">
    <w:name w:val="xl195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style>
  <w:style w:type="paragraph" w:customStyle="1" w:styleId="532">
    <w:name w:val="xl195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color w:val="FF0000"/>
    </w:rPr>
  </w:style>
  <w:style w:type="paragraph" w:customStyle="1" w:styleId="533">
    <w:name w:val="xl195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534">
    <w:name w:val="xl196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535">
    <w:name w:val="xl19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8"/>
      <w:szCs w:val="28"/>
    </w:rPr>
  </w:style>
  <w:style w:type="paragraph" w:customStyle="1" w:styleId="536">
    <w:name w:val="xl19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8"/>
      <w:szCs w:val="28"/>
    </w:rPr>
  </w:style>
  <w:style w:type="paragraph" w:customStyle="1" w:styleId="537">
    <w:name w:val="xl19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538">
    <w:name w:val="xl1964"/>
    <w:basedOn w:val="1"/>
    <w:qFormat/>
    <w:uiPriority w:val="0"/>
    <w:pPr>
      <w:pBdr>
        <w:top w:val="single" w:color="auto" w:sz="8" w:space="0"/>
        <w:left w:val="single" w:color="auto" w:sz="4" w:space="0"/>
        <w:bottom w:val="single" w:color="auto" w:sz="4" w:space="0"/>
      </w:pBdr>
      <w:spacing w:before="100" w:beforeAutospacing="1" w:after="100" w:afterAutospacing="1"/>
      <w:jc w:val="center"/>
      <w:textAlignment w:val="center"/>
    </w:pPr>
    <w:rPr>
      <w:b/>
      <w:bCs/>
      <w:sz w:val="28"/>
      <w:szCs w:val="28"/>
    </w:rPr>
  </w:style>
  <w:style w:type="paragraph" w:customStyle="1" w:styleId="539">
    <w:name w:val="xl1965"/>
    <w:basedOn w:val="1"/>
    <w:qFormat/>
    <w:uiPriority w:val="0"/>
    <w:pPr>
      <w:pBdr>
        <w:top w:val="single" w:color="auto" w:sz="8" w:space="0"/>
        <w:bottom w:val="single" w:color="auto" w:sz="4" w:space="0"/>
      </w:pBdr>
      <w:spacing w:before="100" w:beforeAutospacing="1" w:after="100" w:afterAutospacing="1"/>
      <w:jc w:val="center"/>
      <w:textAlignment w:val="center"/>
    </w:pPr>
    <w:rPr>
      <w:b/>
      <w:bCs/>
      <w:sz w:val="28"/>
      <w:szCs w:val="28"/>
    </w:rPr>
  </w:style>
  <w:style w:type="paragraph" w:customStyle="1" w:styleId="540">
    <w:name w:val="xl1966"/>
    <w:basedOn w:val="1"/>
    <w:qFormat/>
    <w:uiPriority w:val="0"/>
    <w:pPr>
      <w:pBdr>
        <w:top w:val="single" w:color="auto" w:sz="8" w:space="0"/>
        <w:bottom w:val="single" w:color="auto" w:sz="4" w:space="0"/>
        <w:right w:val="single" w:color="auto" w:sz="4" w:space="0"/>
      </w:pBdr>
      <w:spacing w:before="100" w:beforeAutospacing="1" w:after="100" w:afterAutospacing="1"/>
      <w:jc w:val="center"/>
      <w:textAlignment w:val="center"/>
    </w:pPr>
    <w:rPr>
      <w:b/>
      <w:bCs/>
      <w:sz w:val="28"/>
      <w:szCs w:val="28"/>
    </w:rPr>
  </w:style>
  <w:style w:type="paragraph" w:customStyle="1" w:styleId="541">
    <w:name w:val="xl196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style>
  <w:style w:type="paragraph" w:customStyle="1" w:styleId="542">
    <w:name w:val="xl196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style>
  <w:style w:type="paragraph" w:customStyle="1" w:styleId="543">
    <w:name w:val="xl1969"/>
    <w:basedOn w:val="1"/>
    <w:qFormat/>
    <w:uiPriority w:val="0"/>
    <w:pPr>
      <w:pBdr>
        <w:top w:val="single" w:color="auto" w:sz="4" w:space="0"/>
        <w:left w:val="single" w:color="auto" w:sz="4" w:space="0"/>
      </w:pBdr>
      <w:spacing w:before="100" w:beforeAutospacing="1" w:after="100" w:afterAutospacing="1"/>
      <w:jc w:val="center"/>
      <w:textAlignment w:val="center"/>
    </w:pPr>
  </w:style>
  <w:style w:type="paragraph" w:customStyle="1" w:styleId="544">
    <w:name w:val="xl197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color w:val="FF0000"/>
    </w:rPr>
  </w:style>
  <w:style w:type="paragraph" w:customStyle="1" w:styleId="545">
    <w:name w:val="xl197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style>
  <w:style w:type="paragraph" w:customStyle="1" w:styleId="546">
    <w:name w:val="xl197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547">
    <w:name w:val="xl197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548">
    <w:name w:val="xl197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549">
    <w:name w:val="xl197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550">
    <w:name w:val="xl1976"/>
    <w:basedOn w:val="1"/>
    <w:qFormat/>
    <w:uiPriority w:val="0"/>
    <w:pPr>
      <w:pBdr>
        <w:left w:val="single" w:color="auto" w:sz="4" w:space="0"/>
        <w:bottom w:val="single" w:color="auto" w:sz="4" w:space="0"/>
      </w:pBdr>
      <w:spacing w:before="100" w:beforeAutospacing="1" w:after="100" w:afterAutospacing="1"/>
      <w:jc w:val="center"/>
      <w:textAlignment w:val="center"/>
    </w:pPr>
  </w:style>
  <w:style w:type="paragraph" w:customStyle="1" w:styleId="551">
    <w:name w:val="xl19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rPr>
  </w:style>
  <w:style w:type="paragraph" w:customStyle="1" w:styleId="552">
    <w:name w:val="xl197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553">
    <w:name w:val="xl1979"/>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554">
    <w:name w:val="xl1980"/>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555">
    <w:name w:val="xl1981"/>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556">
    <w:name w:val="xl1982"/>
    <w:basedOn w:val="1"/>
    <w:qFormat/>
    <w:uiPriority w:val="0"/>
    <w:pPr>
      <w:pBdr>
        <w:left w:val="single" w:color="auto" w:sz="4" w:space="0"/>
        <w:right w:val="single" w:color="auto" w:sz="4" w:space="0"/>
      </w:pBdr>
      <w:spacing w:before="100" w:beforeAutospacing="1" w:after="100" w:afterAutospacing="1"/>
      <w:jc w:val="center"/>
      <w:textAlignment w:val="center"/>
    </w:pPr>
    <w:rPr>
      <w:b/>
      <w:bCs/>
      <w:color w:val="FF0000"/>
    </w:rPr>
  </w:style>
  <w:style w:type="paragraph" w:customStyle="1" w:styleId="557">
    <w:name w:val="xl1983"/>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558">
    <w:name w:val="xl19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559">
    <w:name w:val="xl1985"/>
    <w:basedOn w:val="1"/>
    <w:qFormat/>
    <w:uiPriority w:val="0"/>
    <w:pPr>
      <w:pBdr>
        <w:top w:val="single" w:color="auto" w:sz="8"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560">
    <w:name w:val="xl1986"/>
    <w:basedOn w:val="1"/>
    <w:qFormat/>
    <w:uiPriority w:val="0"/>
    <w:pPr>
      <w:pBdr>
        <w:top w:val="single" w:color="auto" w:sz="8" w:space="0"/>
        <w:bottom w:val="single" w:color="auto" w:sz="4" w:space="0"/>
      </w:pBdr>
      <w:spacing w:before="100" w:beforeAutospacing="1" w:after="100" w:afterAutospacing="1"/>
      <w:jc w:val="center"/>
      <w:textAlignment w:val="center"/>
    </w:pPr>
    <w:rPr>
      <w:b/>
      <w:bCs/>
    </w:rPr>
  </w:style>
  <w:style w:type="paragraph" w:customStyle="1" w:styleId="561">
    <w:name w:val="xl1987"/>
    <w:basedOn w:val="1"/>
    <w:qFormat/>
    <w:uiPriority w:val="0"/>
    <w:pPr>
      <w:pBdr>
        <w:top w:val="single" w:color="auto" w:sz="8" w:space="0"/>
        <w:bottom w:val="single" w:color="auto" w:sz="4" w:space="0"/>
        <w:right w:val="single" w:color="auto" w:sz="4" w:space="0"/>
      </w:pBdr>
      <w:spacing w:before="100" w:beforeAutospacing="1" w:after="100" w:afterAutospacing="1"/>
      <w:jc w:val="center"/>
      <w:textAlignment w:val="center"/>
    </w:pPr>
    <w:rPr>
      <w:b/>
      <w:bCs/>
    </w:rPr>
  </w:style>
  <w:style w:type="table" w:customStyle="1" w:styleId="562">
    <w:name w:val="TableNormal"/>
    <w:qFormat/>
    <w:uiPriority w:val="0"/>
    <w:pPr>
      <w:spacing w:line="276" w:lineRule="auto"/>
    </w:pPr>
    <w:rPr>
      <w:rFonts w:ascii="Arial" w:hAnsi="Arial" w:eastAsia="Arial" w:cs="Arial"/>
      <w:sz w:val="22"/>
      <w:szCs w:val="22"/>
    </w:rPr>
    <w:tblPr>
      <w:tblCellMar>
        <w:top w:w="0" w:type="dxa"/>
        <w:left w:w="0" w:type="dxa"/>
        <w:bottom w:w="0" w:type="dxa"/>
        <w:right w:w="0" w:type="dxa"/>
      </w:tblCellMar>
    </w:tblPr>
  </w:style>
  <w:style w:type="character" w:customStyle="1" w:styleId="563">
    <w:name w:val="Subtitle Char"/>
    <w:basedOn w:val="8"/>
    <w:link w:val="31"/>
    <w:qFormat/>
    <w:uiPriority w:val="11"/>
    <w:rPr>
      <w:rFonts w:ascii="Georgia" w:hAnsi="Georgia" w:eastAsia="Georgia" w:cs="Georgia"/>
      <w:i/>
      <w:color w:val="666666"/>
      <w:sz w:val="48"/>
      <w:szCs w:val="48"/>
    </w:rPr>
  </w:style>
  <w:style w:type="table" w:customStyle="1" w:styleId="564">
    <w:name w:val="Table Grid1"/>
    <w:basedOn w:val="9"/>
    <w:qFormat/>
    <w:uiPriority w:val="39"/>
    <w:rPr>
      <w:rFonts w:ascii="Arial" w:hAnsi="Arial" w:eastAsia="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5">
    <w:name w:val="font7"/>
    <w:basedOn w:val="1"/>
    <w:uiPriority w:val="0"/>
    <w:pPr>
      <w:spacing w:before="100" w:beforeAutospacing="1" w:after="100" w:afterAutospacing="1"/>
    </w:pPr>
    <w:rPr>
      <w:sz w:val="22"/>
      <w:szCs w:val="22"/>
    </w:rPr>
  </w:style>
  <w:style w:type="paragraph" w:customStyle="1" w:styleId="566">
    <w:name w:val="font8"/>
    <w:basedOn w:val="1"/>
    <w:uiPriority w:val="0"/>
    <w:pPr>
      <w:spacing w:before="100" w:beforeAutospacing="1" w:after="100" w:afterAutospacing="1"/>
    </w:pPr>
    <w:rPr>
      <w:rFonts w:ascii="Tahoma" w:hAnsi="Tahoma" w:cs="Tahoma"/>
      <w:color w:val="000000"/>
      <w:sz w:val="16"/>
      <w:szCs w:val="16"/>
    </w:rPr>
  </w:style>
  <w:style w:type="paragraph" w:customStyle="1" w:styleId="567">
    <w:name w:val="font9"/>
    <w:basedOn w:val="1"/>
    <w:uiPriority w:val="0"/>
    <w:pPr>
      <w:spacing w:before="100" w:beforeAutospacing="1" w:after="100" w:afterAutospacing="1"/>
    </w:pPr>
    <w:rPr>
      <w:rFonts w:ascii="Tahoma" w:hAnsi="Tahoma" w:cs="Tahoma"/>
      <w:b/>
      <w:bCs/>
      <w:color w:val="000000"/>
      <w:sz w:val="16"/>
      <w:szCs w:val="16"/>
    </w:rPr>
  </w:style>
  <w:style w:type="paragraph" w:customStyle="1" w:styleId="568">
    <w:name w:val="font10"/>
    <w:basedOn w:val="1"/>
    <w:uiPriority w:val="0"/>
    <w:pPr>
      <w:spacing w:before="100" w:beforeAutospacing="1" w:after="100" w:afterAutospacing="1"/>
    </w:pPr>
    <w:rPr>
      <w:color w:val="0000FF"/>
      <w:sz w:val="22"/>
      <w:szCs w:val="22"/>
    </w:rPr>
  </w:style>
  <w:style w:type="paragraph" w:customStyle="1" w:styleId="569">
    <w:name w:val="xl4289"/>
    <w:basedOn w:val="1"/>
    <w:uiPriority w:val="0"/>
    <w:pPr>
      <w:spacing w:before="100" w:beforeAutospacing="1" w:after="100" w:afterAutospacing="1"/>
    </w:pPr>
    <w:rPr>
      <w:sz w:val="28"/>
      <w:szCs w:val="28"/>
    </w:rPr>
  </w:style>
  <w:style w:type="paragraph" w:customStyle="1" w:styleId="570">
    <w:name w:val="xl4290"/>
    <w:basedOn w:val="1"/>
    <w:uiPriority w:val="0"/>
    <w:pPr>
      <w:spacing w:before="100" w:beforeAutospacing="1" w:after="100" w:afterAutospacing="1"/>
    </w:pPr>
    <w:rPr>
      <w:sz w:val="22"/>
      <w:szCs w:val="22"/>
    </w:rPr>
  </w:style>
  <w:style w:type="paragraph" w:customStyle="1" w:styleId="571">
    <w:name w:val="xl4291"/>
    <w:basedOn w:val="1"/>
    <w:uiPriority w:val="0"/>
    <w:pPr>
      <w:spacing w:before="100" w:beforeAutospacing="1" w:after="100" w:afterAutospacing="1"/>
    </w:pPr>
  </w:style>
  <w:style w:type="paragraph" w:customStyle="1" w:styleId="572">
    <w:name w:val="xl4292"/>
    <w:basedOn w:val="1"/>
    <w:uiPriority w:val="0"/>
    <w:pPr>
      <w:shd w:val="clear" w:color="000000" w:fill="008000"/>
      <w:spacing w:before="100" w:beforeAutospacing="1" w:after="100" w:afterAutospacing="1"/>
    </w:pPr>
    <w:rPr>
      <w:rFonts w:ascii="Arial" w:hAnsi="Arial" w:cs="Arial"/>
      <w:sz w:val="18"/>
      <w:szCs w:val="18"/>
    </w:rPr>
  </w:style>
  <w:style w:type="paragraph" w:customStyle="1" w:styleId="573">
    <w:name w:val="xl4293"/>
    <w:basedOn w:val="1"/>
    <w:uiPriority w:val="0"/>
    <w:pPr>
      <w:shd w:val="clear" w:color="000000" w:fill="008000"/>
      <w:spacing w:before="100" w:beforeAutospacing="1" w:after="100" w:afterAutospacing="1"/>
    </w:pPr>
    <w:rPr>
      <w:rFonts w:ascii="Arial" w:hAnsi="Arial" w:cs="Arial"/>
      <w:sz w:val="20"/>
      <w:szCs w:val="20"/>
    </w:rPr>
  </w:style>
  <w:style w:type="paragraph" w:customStyle="1" w:styleId="574">
    <w:name w:val="xl4294"/>
    <w:basedOn w:val="1"/>
    <w:uiPriority w:val="0"/>
    <w:pPr>
      <w:shd w:val="clear" w:color="000000" w:fill="FFFFFF"/>
      <w:spacing w:before="100" w:beforeAutospacing="1" w:after="100" w:afterAutospacing="1"/>
      <w:textAlignment w:val="center"/>
    </w:pPr>
    <w:rPr>
      <w:sz w:val="20"/>
      <w:szCs w:val="20"/>
    </w:rPr>
  </w:style>
  <w:style w:type="paragraph" w:customStyle="1" w:styleId="575">
    <w:name w:val="xl4295"/>
    <w:basedOn w:val="1"/>
    <w:uiPriority w:val="0"/>
    <w:pPr>
      <w:shd w:val="clear" w:color="000000" w:fill="FFFFFF"/>
      <w:spacing w:before="100" w:beforeAutospacing="1" w:after="100" w:afterAutospacing="1"/>
      <w:textAlignment w:val="center"/>
    </w:pPr>
    <w:rPr>
      <w:sz w:val="20"/>
      <w:szCs w:val="20"/>
    </w:rPr>
  </w:style>
  <w:style w:type="paragraph" w:customStyle="1" w:styleId="576">
    <w:name w:val="xl4296"/>
    <w:basedOn w:val="1"/>
    <w:uiPriority w:val="0"/>
    <w:pPr>
      <w:shd w:val="clear" w:color="000000" w:fill="FFFFFF"/>
      <w:spacing w:before="100" w:beforeAutospacing="1" w:after="100" w:afterAutospacing="1"/>
      <w:jc w:val="right"/>
      <w:textAlignment w:val="center"/>
    </w:pPr>
    <w:rPr>
      <w:i/>
      <w:iCs/>
    </w:rPr>
  </w:style>
  <w:style w:type="paragraph" w:customStyle="1" w:styleId="577">
    <w:name w:val="xl4297"/>
    <w:basedOn w:val="1"/>
    <w:uiPriority w:val="0"/>
    <w:pPr>
      <w:shd w:val="clear" w:color="000000" w:fill="FFFFFF"/>
      <w:spacing w:before="100" w:beforeAutospacing="1" w:after="100" w:afterAutospacing="1"/>
    </w:pPr>
  </w:style>
  <w:style w:type="paragraph" w:customStyle="1" w:styleId="578">
    <w:name w:val="xl4298"/>
    <w:basedOn w:val="1"/>
    <w:uiPriority w:val="0"/>
    <w:pPr>
      <w:shd w:val="clear" w:color="000000" w:fill="FFFF00"/>
      <w:spacing w:before="100" w:beforeAutospacing="1" w:after="100" w:afterAutospacing="1"/>
    </w:pPr>
  </w:style>
  <w:style w:type="paragraph" w:customStyle="1" w:styleId="579">
    <w:name w:val="xl42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580">
    <w:name w:val="xl430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b/>
      <w:bCs/>
      <w:sz w:val="22"/>
      <w:szCs w:val="22"/>
    </w:rPr>
  </w:style>
  <w:style w:type="paragraph" w:customStyle="1" w:styleId="581">
    <w:name w:val="xl430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582">
    <w:name w:val="xl430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2"/>
      <w:szCs w:val="22"/>
    </w:rPr>
  </w:style>
  <w:style w:type="paragraph" w:customStyle="1" w:styleId="583">
    <w:name w:val="xl430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0000FF"/>
      <w:sz w:val="22"/>
      <w:szCs w:val="22"/>
    </w:rPr>
  </w:style>
  <w:style w:type="paragraph" w:customStyle="1" w:styleId="584">
    <w:name w:val="xl430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sz w:val="22"/>
      <w:szCs w:val="22"/>
    </w:rPr>
  </w:style>
  <w:style w:type="paragraph" w:customStyle="1" w:styleId="585">
    <w:name w:val="xl43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2"/>
      <w:szCs w:val="22"/>
    </w:rPr>
  </w:style>
  <w:style w:type="paragraph" w:customStyle="1" w:styleId="586">
    <w:name w:val="xl43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FF"/>
      <w:sz w:val="22"/>
      <w:szCs w:val="22"/>
    </w:rPr>
  </w:style>
  <w:style w:type="paragraph" w:customStyle="1" w:styleId="587">
    <w:name w:val="xl43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588">
    <w:name w:val="xl43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2"/>
      <w:szCs w:val="22"/>
    </w:rPr>
  </w:style>
  <w:style w:type="paragraph" w:customStyle="1" w:styleId="589">
    <w:name w:val="xl43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590">
    <w:name w:val="xl4310"/>
    <w:basedOn w:val="1"/>
    <w:uiPriority w:val="0"/>
    <w:pPr>
      <w:shd w:val="clear" w:color="000000" w:fill="FFFFFF"/>
      <w:spacing w:before="100" w:beforeAutospacing="1" w:after="100" w:afterAutospacing="1"/>
      <w:textAlignment w:val="center"/>
    </w:pPr>
    <w:rPr>
      <w:color w:val="FFFFFF"/>
      <w:sz w:val="20"/>
      <w:szCs w:val="20"/>
    </w:rPr>
  </w:style>
  <w:style w:type="paragraph" w:customStyle="1" w:styleId="591">
    <w:name w:val="xl43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i/>
      <w:iCs/>
      <w:sz w:val="22"/>
      <w:szCs w:val="22"/>
    </w:rPr>
  </w:style>
  <w:style w:type="paragraph" w:customStyle="1" w:styleId="592">
    <w:name w:val="xl43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2"/>
      <w:szCs w:val="22"/>
    </w:rPr>
  </w:style>
  <w:style w:type="paragraph" w:customStyle="1" w:styleId="593">
    <w:name w:val="xl43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i/>
      <w:iCs/>
      <w:sz w:val="22"/>
      <w:szCs w:val="22"/>
    </w:rPr>
  </w:style>
  <w:style w:type="paragraph" w:customStyle="1" w:styleId="594">
    <w:name w:val="xl4314"/>
    <w:basedOn w:val="1"/>
    <w:uiPriority w:val="0"/>
    <w:pPr>
      <w:shd w:val="clear" w:color="000000" w:fill="FFFFFF"/>
      <w:spacing w:before="100" w:beforeAutospacing="1" w:after="100" w:afterAutospacing="1"/>
    </w:pPr>
    <w:rPr>
      <w:i/>
      <w:iCs/>
    </w:rPr>
  </w:style>
  <w:style w:type="paragraph" w:customStyle="1" w:styleId="595">
    <w:name w:val="xl43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VnTime" w:hAnsi=".VnTime"/>
    </w:rPr>
  </w:style>
  <w:style w:type="paragraph" w:customStyle="1" w:styleId="596">
    <w:name w:val="xl4316"/>
    <w:basedOn w:val="1"/>
    <w:uiPriority w:val="0"/>
    <w:pPr>
      <w:shd w:val="clear" w:color="000000" w:fill="00B050"/>
      <w:spacing w:before="100" w:beforeAutospacing="1" w:after="100" w:afterAutospacing="1"/>
    </w:pPr>
  </w:style>
  <w:style w:type="paragraph" w:customStyle="1" w:styleId="597">
    <w:name w:val="xl4317"/>
    <w:basedOn w:val="1"/>
    <w:uiPriority w:val="0"/>
    <w:pPr>
      <w:pBdr>
        <w:left w:val="single" w:color="auto" w:sz="4" w:space="0"/>
        <w:right w:val="single" w:color="auto" w:sz="4" w:space="0"/>
      </w:pBdr>
      <w:shd w:val="clear" w:color="000000" w:fill="FFFFFF"/>
      <w:spacing w:before="100" w:beforeAutospacing="1" w:after="100" w:afterAutospacing="1"/>
      <w:textAlignment w:val="center"/>
    </w:pPr>
    <w:rPr>
      <w:sz w:val="22"/>
      <w:szCs w:val="22"/>
    </w:rPr>
  </w:style>
  <w:style w:type="paragraph" w:customStyle="1" w:styleId="598">
    <w:name w:val="xl43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599">
    <w:name w:val="xl43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2"/>
      <w:szCs w:val="22"/>
    </w:rPr>
  </w:style>
  <w:style w:type="paragraph" w:customStyle="1" w:styleId="600">
    <w:name w:val="xl432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01">
    <w:name w:val="xl432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i/>
      <w:iCs/>
      <w:sz w:val="22"/>
      <w:szCs w:val="22"/>
    </w:rPr>
  </w:style>
  <w:style w:type="paragraph" w:customStyle="1" w:styleId="602">
    <w:name w:val="xl4322"/>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2"/>
      <w:szCs w:val="22"/>
    </w:rPr>
  </w:style>
  <w:style w:type="paragraph" w:customStyle="1" w:styleId="603">
    <w:name w:val="xl4323"/>
    <w:basedOn w:val="1"/>
    <w:uiPriority w:val="0"/>
    <w:pPr>
      <w:shd w:val="clear" w:color="000000" w:fill="FFFFFF"/>
      <w:spacing w:before="100" w:beforeAutospacing="1" w:after="100" w:afterAutospacing="1"/>
    </w:pPr>
    <w:rPr>
      <w:color w:val="FF0000"/>
    </w:rPr>
  </w:style>
  <w:style w:type="paragraph" w:customStyle="1" w:styleId="604">
    <w:name w:val="xl432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FF"/>
      <w:sz w:val="22"/>
      <w:szCs w:val="22"/>
    </w:rPr>
  </w:style>
  <w:style w:type="paragraph" w:customStyle="1" w:styleId="605">
    <w:name w:val="xl4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FF"/>
      <w:sz w:val="22"/>
      <w:szCs w:val="22"/>
    </w:rPr>
  </w:style>
  <w:style w:type="paragraph" w:customStyle="1" w:styleId="606">
    <w:name w:val="xl4326"/>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07">
    <w:name w:val="xl4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VnTime" w:hAnsi=".VnTime"/>
      <w:color w:val="0000FF"/>
    </w:rPr>
  </w:style>
  <w:style w:type="paragraph" w:customStyle="1" w:styleId="608">
    <w:name w:val="xl432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sz w:val="22"/>
      <w:szCs w:val="22"/>
    </w:rPr>
  </w:style>
  <w:style w:type="paragraph" w:customStyle="1" w:styleId="609">
    <w:name w:val="xl4329"/>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both"/>
      <w:textAlignment w:val="center"/>
    </w:pPr>
    <w:rPr>
      <w:b/>
      <w:bCs/>
      <w:sz w:val="22"/>
      <w:szCs w:val="22"/>
    </w:rPr>
  </w:style>
  <w:style w:type="paragraph" w:customStyle="1" w:styleId="610">
    <w:name w:val="xl433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sz w:val="22"/>
      <w:szCs w:val="22"/>
    </w:rPr>
  </w:style>
  <w:style w:type="paragraph" w:customStyle="1" w:styleId="611">
    <w:name w:val="xl433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sz w:val="22"/>
      <w:szCs w:val="22"/>
    </w:rPr>
  </w:style>
  <w:style w:type="paragraph" w:customStyle="1" w:styleId="612">
    <w:name w:val="xl433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both"/>
      <w:textAlignment w:val="center"/>
    </w:pPr>
    <w:rPr>
      <w:color w:val="FF0000"/>
      <w:sz w:val="22"/>
      <w:szCs w:val="22"/>
    </w:rPr>
  </w:style>
  <w:style w:type="paragraph" w:customStyle="1" w:styleId="613">
    <w:name w:val="xl4333"/>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VnTime" w:hAnsi=".VnTime"/>
      <w:color w:val="FF0000"/>
    </w:rPr>
  </w:style>
  <w:style w:type="paragraph" w:customStyle="1" w:styleId="614">
    <w:name w:val="xl433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color w:val="FF0000"/>
      <w:sz w:val="22"/>
      <w:szCs w:val="22"/>
    </w:rPr>
  </w:style>
  <w:style w:type="paragraph" w:customStyle="1" w:styleId="615">
    <w:name w:val="xl4335"/>
    <w:basedOn w:val="1"/>
    <w:qFormat/>
    <w:uiPriority w:val="0"/>
    <w:pPr>
      <w:shd w:val="clear" w:color="000000" w:fill="FFFF00"/>
      <w:spacing w:before="100" w:beforeAutospacing="1" w:after="100" w:afterAutospacing="1"/>
    </w:pPr>
    <w:rPr>
      <w:color w:val="FF0000"/>
    </w:rPr>
  </w:style>
  <w:style w:type="paragraph" w:customStyle="1" w:styleId="616">
    <w:name w:val="xl433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color w:val="0000FF"/>
      <w:sz w:val="22"/>
      <w:szCs w:val="22"/>
    </w:rPr>
  </w:style>
  <w:style w:type="paragraph" w:customStyle="1" w:styleId="617">
    <w:name w:val="xl433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color w:val="0000FF"/>
      <w:sz w:val="18"/>
      <w:szCs w:val="18"/>
    </w:rPr>
  </w:style>
  <w:style w:type="paragraph" w:customStyle="1" w:styleId="618">
    <w:name w:val="xl4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color w:val="0000FF"/>
      <w:sz w:val="22"/>
      <w:szCs w:val="22"/>
    </w:rPr>
  </w:style>
  <w:style w:type="paragraph" w:customStyle="1" w:styleId="619">
    <w:name w:val="xl43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20">
    <w:name w:val="xl4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FF"/>
      <w:sz w:val="22"/>
      <w:szCs w:val="22"/>
    </w:rPr>
  </w:style>
  <w:style w:type="paragraph" w:customStyle="1" w:styleId="621">
    <w:name w:val="xl4341"/>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color w:val="0000FF"/>
      <w:sz w:val="18"/>
      <w:szCs w:val="18"/>
    </w:rPr>
  </w:style>
  <w:style w:type="paragraph" w:customStyle="1" w:styleId="622">
    <w:name w:val="xl4342"/>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2"/>
      <w:szCs w:val="22"/>
    </w:rPr>
  </w:style>
  <w:style w:type="paragraph" w:customStyle="1" w:styleId="623">
    <w:name w:val="xl4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2"/>
      <w:szCs w:val="22"/>
    </w:rPr>
  </w:style>
  <w:style w:type="paragraph" w:customStyle="1" w:styleId="624">
    <w:name w:val="xl434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sz w:val="22"/>
      <w:szCs w:val="22"/>
    </w:rPr>
  </w:style>
  <w:style w:type="paragraph" w:customStyle="1" w:styleId="625">
    <w:name w:val="xl434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sz w:val="22"/>
      <w:szCs w:val="22"/>
    </w:rPr>
  </w:style>
  <w:style w:type="paragraph" w:customStyle="1" w:styleId="626">
    <w:name w:val="xl434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VnTime" w:hAnsi=".VnTime"/>
      <w:b/>
      <w:bCs/>
    </w:rPr>
  </w:style>
  <w:style w:type="paragraph" w:customStyle="1" w:styleId="627">
    <w:name w:val="xl434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628">
    <w:name w:val="xl4348"/>
    <w:basedOn w:val="1"/>
    <w:uiPriority w:val="0"/>
    <w:pPr>
      <w:shd w:val="clear" w:color="000000" w:fill="FFFFFF"/>
      <w:spacing w:before="100" w:beforeAutospacing="1" w:after="100" w:afterAutospacing="1"/>
    </w:pPr>
    <w:rPr>
      <w:b/>
      <w:bCs/>
    </w:rPr>
  </w:style>
  <w:style w:type="paragraph" w:customStyle="1" w:styleId="629">
    <w:name w:val="xl4349"/>
    <w:basedOn w:val="1"/>
    <w:uiPriority w:val="0"/>
    <w:pPr>
      <w:spacing w:before="100" w:beforeAutospacing="1" w:after="100" w:afterAutospacing="1"/>
    </w:pPr>
    <w:rPr>
      <w:b/>
      <w:bCs/>
    </w:rPr>
  </w:style>
  <w:style w:type="paragraph" w:customStyle="1" w:styleId="630">
    <w:name w:val="xl4350"/>
    <w:basedOn w:val="1"/>
    <w:uiPriority w:val="0"/>
    <w:pPr>
      <w:shd w:val="clear" w:color="000000" w:fill="FFFF00"/>
      <w:spacing w:before="100" w:beforeAutospacing="1" w:after="100" w:afterAutospacing="1"/>
    </w:pPr>
    <w:rPr>
      <w:b/>
      <w:bCs/>
    </w:rPr>
  </w:style>
  <w:style w:type="paragraph" w:customStyle="1" w:styleId="631">
    <w:name w:val="xl435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color w:val="0000FF"/>
      <w:sz w:val="22"/>
      <w:szCs w:val="22"/>
    </w:rPr>
  </w:style>
  <w:style w:type="paragraph" w:customStyle="1" w:styleId="632">
    <w:name w:val="xl435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633">
    <w:name w:val="xl435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634">
    <w:name w:val="xl43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FF"/>
      <w:sz w:val="22"/>
      <w:szCs w:val="22"/>
    </w:rPr>
  </w:style>
  <w:style w:type="paragraph" w:customStyle="1" w:styleId="635">
    <w:name w:val="xl435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36">
    <w:name w:val="xl435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sz w:val="22"/>
      <w:szCs w:val="22"/>
    </w:rPr>
  </w:style>
  <w:style w:type="paragraph" w:customStyle="1" w:styleId="637">
    <w:name w:val="xl435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VnTime" w:hAnsi=".VnTime"/>
    </w:rPr>
  </w:style>
  <w:style w:type="paragraph" w:customStyle="1" w:styleId="638">
    <w:name w:val="xl4358"/>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39">
    <w:name w:val="xl435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2"/>
      <w:szCs w:val="22"/>
    </w:rPr>
  </w:style>
  <w:style w:type="paragraph" w:customStyle="1" w:styleId="640">
    <w:name w:val="xl436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FF0000"/>
      <w:sz w:val="22"/>
      <w:szCs w:val="22"/>
    </w:rPr>
  </w:style>
  <w:style w:type="paragraph" w:customStyle="1" w:styleId="641">
    <w:name w:val="xl4361"/>
    <w:basedOn w:val="1"/>
    <w:uiPriority w:val="0"/>
    <w:pPr>
      <w:shd w:val="clear" w:color="000000" w:fill="FFFFFF"/>
      <w:spacing w:before="100" w:beforeAutospacing="1" w:after="100" w:afterAutospacing="1"/>
    </w:pPr>
  </w:style>
  <w:style w:type="paragraph" w:customStyle="1" w:styleId="642">
    <w:name w:val="xl436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2"/>
      <w:szCs w:val="22"/>
    </w:rPr>
  </w:style>
  <w:style w:type="paragraph" w:customStyle="1" w:styleId="643">
    <w:name w:val="xl43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FF"/>
      <w:sz w:val="22"/>
      <w:szCs w:val="22"/>
    </w:rPr>
  </w:style>
  <w:style w:type="paragraph" w:customStyle="1" w:styleId="644">
    <w:name w:val="xl4364"/>
    <w:basedOn w:val="1"/>
    <w:uiPriority w:val="0"/>
    <w:pPr>
      <w:shd w:val="clear" w:color="000000" w:fill="FFFFFF"/>
      <w:spacing w:before="100" w:beforeAutospacing="1" w:after="100" w:afterAutospacing="1"/>
      <w:jc w:val="center"/>
      <w:textAlignment w:val="center"/>
    </w:pPr>
    <w:rPr>
      <w:rFonts w:ascii=".VnTimeH" w:hAnsi=".VnTimeH"/>
      <w:b/>
      <w:bCs/>
      <w:sz w:val="28"/>
      <w:szCs w:val="28"/>
    </w:rPr>
  </w:style>
  <w:style w:type="paragraph" w:customStyle="1" w:styleId="645">
    <w:name w:val="xl4365"/>
    <w:basedOn w:val="1"/>
    <w:uiPriority w:val="0"/>
    <w:pPr>
      <w:shd w:val="clear" w:color="000000" w:fill="FFFFFF"/>
      <w:spacing w:before="100" w:beforeAutospacing="1" w:after="100" w:afterAutospacing="1"/>
      <w:jc w:val="center"/>
      <w:textAlignment w:val="center"/>
    </w:pPr>
    <w:rPr>
      <w:b/>
      <w:bCs/>
    </w:rPr>
  </w:style>
  <w:style w:type="paragraph" w:customStyle="1" w:styleId="646">
    <w:name w:val="xl4366"/>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47">
    <w:name w:val="xl4367"/>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48">
    <w:name w:val="xl4368"/>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color w:val="0000FF"/>
      <w:sz w:val="22"/>
      <w:szCs w:val="22"/>
    </w:rPr>
  </w:style>
  <w:style w:type="paragraph" w:customStyle="1" w:styleId="649">
    <w:name w:val="xl4369"/>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color w:val="0000FF"/>
      <w:sz w:val="22"/>
      <w:szCs w:val="22"/>
    </w:rPr>
  </w:style>
  <w:style w:type="paragraph" w:customStyle="1" w:styleId="650">
    <w:name w:val="xl4370"/>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sz w:val="22"/>
      <w:szCs w:val="22"/>
    </w:rPr>
  </w:style>
  <w:style w:type="paragraph" w:customStyle="1" w:styleId="651">
    <w:name w:val="xl4371"/>
    <w:basedOn w:val="1"/>
    <w:uiPriority w:val="0"/>
    <w:pPr>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sz w:val="22"/>
      <w:szCs w:val="22"/>
    </w:rPr>
  </w:style>
  <w:style w:type="paragraph" w:customStyle="1" w:styleId="652">
    <w:name w:val="xl4372"/>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53">
    <w:name w:val="xl4373"/>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54">
    <w:name w:val="xl4374"/>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655">
    <w:name w:val="xl437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FF"/>
      <w:sz w:val="22"/>
      <w:szCs w:val="22"/>
    </w:rPr>
  </w:style>
  <w:style w:type="paragraph" w:customStyle="1" w:styleId="656">
    <w:name w:val="xl4376"/>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57">
    <w:name w:val="xl4377"/>
    <w:basedOn w:val="1"/>
    <w:uiPriority w:val="0"/>
    <w:pPr>
      <w:pBdr>
        <w:left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58">
    <w:name w:val="xl4378"/>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E97B3-E2B1-4E7C-9829-B24422000772}">
  <ds:schemaRefs/>
</ds:datastoreItem>
</file>

<file path=docProps/app.xml><?xml version="1.0" encoding="utf-8"?>
<Properties xmlns="http://schemas.openxmlformats.org/officeDocument/2006/extended-properties" xmlns:vt="http://schemas.openxmlformats.org/officeDocument/2006/docPropsVTypes">
  <Template>Normal</Template>
  <Pages>172</Pages>
  <Words>65471</Words>
  <Characters>373189</Characters>
  <Lines>3109</Lines>
  <Paragraphs>875</Paragraphs>
  <TotalTime>1763</TotalTime>
  <ScaleCrop>false</ScaleCrop>
  <LinksUpToDate>false</LinksUpToDate>
  <CharactersWithSpaces>437785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2025-06-02T07:22:00Z</dcterms:created>
  <dc:creator>lenovo</dc:creator>
  <cp:lastModifiedBy>Đinh Tùng STNMT Lạng Sơn</cp:lastModifiedBy>
  <cp:lastPrinted>2024-11-27T02:03:00Z</cp:lastPrinted>
  <dcterms:modified xsi:type="dcterms:W3CDTF">2025-08-01T04:27:24Z</dcterms:modified>
  <cp:revision>465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5A8F0093480044E8A983FD456B8D8B0C</vt:lpwstr>
  </property>
</Properties>
</file>